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F5775" w14:textId="77777777" w:rsidR="00BC24A8" w:rsidRDefault="00000000">
      <w:pPr>
        <w:pStyle w:val="BodyText"/>
        <w:spacing w:before="4"/>
        <w:rPr>
          <w:rFonts w:ascii="Times New Roman"/>
          <w:sz w:val="17"/>
        </w:rPr>
      </w:pPr>
      <w:r>
        <w:rPr>
          <w:rFonts w:ascii="Times New Roman"/>
          <w:noProof/>
          <w:sz w:val="17"/>
        </w:rPr>
        <w:drawing>
          <wp:anchor distT="0" distB="0" distL="0" distR="0" simplePos="0" relativeHeight="15728640" behindDoc="0" locked="0" layoutInCell="1" allowOverlap="1" wp14:anchorId="7E3F862A" wp14:editId="7AB245AC">
            <wp:simplePos x="0" y="0"/>
            <wp:positionH relativeFrom="page">
              <wp:posOffset>0</wp:posOffset>
            </wp:positionH>
            <wp:positionV relativeFrom="page">
              <wp:posOffset>223900</wp:posOffset>
            </wp:positionV>
            <wp:extent cx="7553121" cy="10462511"/>
            <wp:effectExtent l="0" t="0" r="0" b="0"/>
            <wp:wrapNone/>
            <wp:docPr id="1" name="Image 1" descr="Cover: SKALA Six Monthly Progress Report January-June 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ver: SKALA Six Monthly Progress Report January-June 2025"/>
                    <pic:cNvPicPr/>
                  </pic:nvPicPr>
                  <pic:blipFill>
                    <a:blip r:embed="rId7" cstate="print"/>
                    <a:stretch>
                      <a:fillRect/>
                    </a:stretch>
                  </pic:blipFill>
                  <pic:spPr>
                    <a:xfrm>
                      <a:off x="0" y="0"/>
                      <a:ext cx="7553121" cy="10462511"/>
                    </a:xfrm>
                    <a:prstGeom prst="rect">
                      <a:avLst/>
                    </a:prstGeom>
                  </pic:spPr>
                </pic:pic>
              </a:graphicData>
            </a:graphic>
          </wp:anchor>
        </w:drawing>
      </w:r>
    </w:p>
    <w:p w14:paraId="560AFD7E" w14:textId="77777777" w:rsidR="00BC24A8" w:rsidRDefault="00BC24A8">
      <w:pPr>
        <w:pStyle w:val="BodyText"/>
        <w:rPr>
          <w:rFonts w:ascii="Times New Roman"/>
          <w:sz w:val="17"/>
        </w:rPr>
        <w:sectPr w:rsidR="00BC24A8">
          <w:type w:val="continuous"/>
          <w:pgSz w:w="11910" w:h="16840"/>
          <w:pgMar w:top="1920" w:right="1133" w:bottom="280" w:left="1275" w:header="720" w:footer="720" w:gutter="0"/>
          <w:cols w:space="720"/>
        </w:sectPr>
      </w:pPr>
    </w:p>
    <w:p w14:paraId="7EABAA61" w14:textId="77777777" w:rsidR="00BC24A8" w:rsidRDefault="00BC24A8">
      <w:pPr>
        <w:pStyle w:val="BodyText"/>
        <w:rPr>
          <w:rFonts w:ascii="Times New Roman"/>
        </w:rPr>
      </w:pPr>
    </w:p>
    <w:p w14:paraId="1AB442C0" w14:textId="77777777" w:rsidR="00BC24A8" w:rsidRDefault="00BC24A8">
      <w:pPr>
        <w:pStyle w:val="BodyText"/>
        <w:rPr>
          <w:rFonts w:ascii="Times New Roman"/>
        </w:rPr>
      </w:pPr>
    </w:p>
    <w:p w14:paraId="10718ECD" w14:textId="77777777" w:rsidR="00BC24A8" w:rsidRDefault="00BC24A8">
      <w:pPr>
        <w:pStyle w:val="BodyText"/>
        <w:rPr>
          <w:rFonts w:ascii="Times New Roman"/>
        </w:rPr>
      </w:pPr>
    </w:p>
    <w:p w14:paraId="6F801A26" w14:textId="77777777" w:rsidR="00BC24A8" w:rsidRDefault="00BC24A8">
      <w:pPr>
        <w:pStyle w:val="BodyText"/>
        <w:rPr>
          <w:rFonts w:ascii="Times New Roman"/>
        </w:rPr>
      </w:pPr>
    </w:p>
    <w:p w14:paraId="20780F2E" w14:textId="77777777" w:rsidR="00BC24A8" w:rsidRDefault="00BC24A8">
      <w:pPr>
        <w:pStyle w:val="BodyText"/>
        <w:rPr>
          <w:rFonts w:ascii="Times New Roman"/>
        </w:rPr>
      </w:pPr>
    </w:p>
    <w:p w14:paraId="38EB166D" w14:textId="77777777" w:rsidR="00BC24A8" w:rsidRDefault="00BC24A8">
      <w:pPr>
        <w:pStyle w:val="BodyText"/>
        <w:rPr>
          <w:rFonts w:ascii="Times New Roman"/>
        </w:rPr>
      </w:pPr>
    </w:p>
    <w:p w14:paraId="2DC82EB6" w14:textId="77777777" w:rsidR="00BC24A8" w:rsidRDefault="00BC24A8">
      <w:pPr>
        <w:pStyle w:val="BodyText"/>
        <w:rPr>
          <w:rFonts w:ascii="Times New Roman"/>
        </w:rPr>
      </w:pPr>
    </w:p>
    <w:p w14:paraId="73B4D128" w14:textId="77777777" w:rsidR="00BC24A8" w:rsidRDefault="00BC24A8">
      <w:pPr>
        <w:pStyle w:val="BodyText"/>
        <w:rPr>
          <w:rFonts w:ascii="Times New Roman"/>
        </w:rPr>
      </w:pPr>
    </w:p>
    <w:p w14:paraId="7AC8F1F3" w14:textId="77777777" w:rsidR="00BC24A8" w:rsidRDefault="00BC24A8">
      <w:pPr>
        <w:pStyle w:val="BodyText"/>
        <w:rPr>
          <w:rFonts w:ascii="Times New Roman"/>
        </w:rPr>
      </w:pPr>
    </w:p>
    <w:p w14:paraId="09F6F263" w14:textId="77777777" w:rsidR="00BC24A8" w:rsidRDefault="00BC24A8">
      <w:pPr>
        <w:pStyle w:val="BodyText"/>
        <w:rPr>
          <w:rFonts w:ascii="Times New Roman"/>
        </w:rPr>
      </w:pPr>
    </w:p>
    <w:p w14:paraId="61BD8439" w14:textId="77777777" w:rsidR="00BC24A8" w:rsidRDefault="00BC24A8">
      <w:pPr>
        <w:pStyle w:val="BodyText"/>
        <w:rPr>
          <w:rFonts w:ascii="Times New Roman"/>
        </w:rPr>
      </w:pPr>
    </w:p>
    <w:p w14:paraId="3E866AC1" w14:textId="77777777" w:rsidR="00BC24A8" w:rsidRDefault="00BC24A8">
      <w:pPr>
        <w:pStyle w:val="BodyText"/>
        <w:rPr>
          <w:rFonts w:ascii="Times New Roman"/>
        </w:rPr>
      </w:pPr>
    </w:p>
    <w:p w14:paraId="45BA451B" w14:textId="77777777" w:rsidR="00BC24A8" w:rsidRDefault="00BC24A8">
      <w:pPr>
        <w:pStyle w:val="BodyText"/>
        <w:rPr>
          <w:rFonts w:ascii="Times New Roman"/>
        </w:rPr>
      </w:pPr>
    </w:p>
    <w:p w14:paraId="15F9F23B" w14:textId="77777777" w:rsidR="00BC24A8" w:rsidRDefault="00BC24A8">
      <w:pPr>
        <w:pStyle w:val="BodyText"/>
        <w:rPr>
          <w:rFonts w:ascii="Times New Roman"/>
        </w:rPr>
      </w:pPr>
    </w:p>
    <w:p w14:paraId="30CE779C" w14:textId="77777777" w:rsidR="00BC24A8" w:rsidRDefault="00BC24A8">
      <w:pPr>
        <w:pStyle w:val="BodyText"/>
        <w:rPr>
          <w:rFonts w:ascii="Times New Roman"/>
        </w:rPr>
      </w:pPr>
    </w:p>
    <w:p w14:paraId="7BCF5BA8" w14:textId="77777777" w:rsidR="00BC24A8" w:rsidRDefault="00BC24A8">
      <w:pPr>
        <w:pStyle w:val="BodyText"/>
        <w:rPr>
          <w:rFonts w:ascii="Times New Roman"/>
        </w:rPr>
      </w:pPr>
    </w:p>
    <w:p w14:paraId="5CFC40E1" w14:textId="77777777" w:rsidR="00BC24A8" w:rsidRDefault="00BC24A8">
      <w:pPr>
        <w:pStyle w:val="BodyText"/>
        <w:rPr>
          <w:rFonts w:ascii="Times New Roman"/>
        </w:rPr>
      </w:pPr>
    </w:p>
    <w:p w14:paraId="5451D386" w14:textId="77777777" w:rsidR="00BC24A8" w:rsidRDefault="00BC24A8">
      <w:pPr>
        <w:pStyle w:val="BodyText"/>
        <w:rPr>
          <w:rFonts w:ascii="Times New Roman"/>
        </w:rPr>
      </w:pPr>
    </w:p>
    <w:p w14:paraId="622CA913" w14:textId="77777777" w:rsidR="00BC24A8" w:rsidRDefault="00BC24A8">
      <w:pPr>
        <w:pStyle w:val="BodyText"/>
        <w:rPr>
          <w:rFonts w:ascii="Times New Roman"/>
        </w:rPr>
      </w:pPr>
    </w:p>
    <w:p w14:paraId="665F1F3B" w14:textId="77777777" w:rsidR="00BC24A8" w:rsidRDefault="00BC24A8">
      <w:pPr>
        <w:pStyle w:val="BodyText"/>
        <w:rPr>
          <w:rFonts w:ascii="Times New Roman"/>
        </w:rPr>
      </w:pPr>
    </w:p>
    <w:p w14:paraId="6A3E18C3" w14:textId="77777777" w:rsidR="00BC24A8" w:rsidRDefault="00BC24A8">
      <w:pPr>
        <w:pStyle w:val="BodyText"/>
        <w:rPr>
          <w:rFonts w:ascii="Times New Roman"/>
        </w:rPr>
      </w:pPr>
    </w:p>
    <w:p w14:paraId="6B48D41E" w14:textId="77777777" w:rsidR="00BC24A8" w:rsidRDefault="00BC24A8">
      <w:pPr>
        <w:pStyle w:val="BodyText"/>
        <w:rPr>
          <w:rFonts w:ascii="Times New Roman"/>
        </w:rPr>
      </w:pPr>
    </w:p>
    <w:p w14:paraId="63FE7696" w14:textId="77777777" w:rsidR="00BC24A8" w:rsidRDefault="00BC24A8">
      <w:pPr>
        <w:pStyle w:val="BodyText"/>
        <w:rPr>
          <w:rFonts w:ascii="Times New Roman"/>
        </w:rPr>
      </w:pPr>
    </w:p>
    <w:p w14:paraId="341843B7" w14:textId="77777777" w:rsidR="00BC24A8" w:rsidRDefault="00BC24A8">
      <w:pPr>
        <w:pStyle w:val="BodyText"/>
        <w:rPr>
          <w:rFonts w:ascii="Times New Roman"/>
        </w:rPr>
      </w:pPr>
    </w:p>
    <w:p w14:paraId="21EA9A8D" w14:textId="77777777" w:rsidR="00BC24A8" w:rsidRDefault="00BC24A8">
      <w:pPr>
        <w:pStyle w:val="BodyText"/>
        <w:rPr>
          <w:rFonts w:ascii="Times New Roman"/>
        </w:rPr>
      </w:pPr>
    </w:p>
    <w:p w14:paraId="4037C93F" w14:textId="77777777" w:rsidR="00BC24A8" w:rsidRDefault="00BC24A8">
      <w:pPr>
        <w:pStyle w:val="BodyText"/>
        <w:rPr>
          <w:rFonts w:ascii="Times New Roman"/>
        </w:rPr>
      </w:pPr>
    </w:p>
    <w:p w14:paraId="37304E4E" w14:textId="77777777" w:rsidR="00BC24A8" w:rsidRDefault="00BC24A8">
      <w:pPr>
        <w:pStyle w:val="BodyText"/>
        <w:rPr>
          <w:rFonts w:ascii="Times New Roman"/>
        </w:rPr>
      </w:pPr>
    </w:p>
    <w:p w14:paraId="5338C6B3" w14:textId="77777777" w:rsidR="00BC24A8" w:rsidRDefault="00BC24A8">
      <w:pPr>
        <w:pStyle w:val="BodyText"/>
        <w:rPr>
          <w:rFonts w:ascii="Times New Roman"/>
        </w:rPr>
      </w:pPr>
    </w:p>
    <w:p w14:paraId="442B9BFE" w14:textId="77777777" w:rsidR="00BC24A8" w:rsidRDefault="00BC24A8">
      <w:pPr>
        <w:pStyle w:val="BodyText"/>
        <w:rPr>
          <w:rFonts w:ascii="Times New Roman"/>
        </w:rPr>
      </w:pPr>
    </w:p>
    <w:p w14:paraId="580C2661" w14:textId="77777777" w:rsidR="00BC24A8" w:rsidRDefault="00BC24A8">
      <w:pPr>
        <w:pStyle w:val="BodyText"/>
        <w:rPr>
          <w:rFonts w:ascii="Times New Roman"/>
        </w:rPr>
      </w:pPr>
    </w:p>
    <w:p w14:paraId="65293F89" w14:textId="77777777" w:rsidR="00BC24A8" w:rsidRDefault="00BC24A8">
      <w:pPr>
        <w:pStyle w:val="BodyText"/>
        <w:spacing w:before="139"/>
        <w:rPr>
          <w:rFonts w:ascii="Times New Roman"/>
        </w:rPr>
      </w:pPr>
    </w:p>
    <w:p w14:paraId="7A7764F9" w14:textId="77777777" w:rsidR="00BC24A8" w:rsidRDefault="00000000">
      <w:pPr>
        <w:pStyle w:val="BodyText"/>
        <w:spacing w:line="278" w:lineRule="auto"/>
        <w:ind w:left="165" w:right="3605"/>
      </w:pPr>
      <w:r>
        <w:t>SKALA</w:t>
      </w:r>
      <w:r>
        <w:rPr>
          <w:spacing w:val="-8"/>
        </w:rPr>
        <w:t xml:space="preserve"> </w:t>
      </w:r>
      <w:r>
        <w:t>–</w:t>
      </w:r>
      <w:r>
        <w:rPr>
          <w:spacing w:val="-8"/>
        </w:rPr>
        <w:t xml:space="preserve"> </w:t>
      </w:r>
      <w:r>
        <w:t>Sinergi</w:t>
      </w:r>
      <w:r>
        <w:rPr>
          <w:spacing w:val="-7"/>
        </w:rPr>
        <w:t xml:space="preserve"> </w:t>
      </w:r>
      <w:r>
        <w:t>dan</w:t>
      </w:r>
      <w:r>
        <w:rPr>
          <w:spacing w:val="-8"/>
        </w:rPr>
        <w:t xml:space="preserve"> </w:t>
      </w:r>
      <w:r>
        <w:t>Kolaborasi</w:t>
      </w:r>
      <w:r>
        <w:rPr>
          <w:spacing w:val="-7"/>
        </w:rPr>
        <w:t xml:space="preserve"> </w:t>
      </w:r>
      <w:r>
        <w:t>untuk</w:t>
      </w:r>
      <w:r>
        <w:rPr>
          <w:spacing w:val="-6"/>
        </w:rPr>
        <w:t xml:space="preserve"> </w:t>
      </w:r>
      <w:r>
        <w:t>Akselerasi</w:t>
      </w:r>
      <w:r>
        <w:rPr>
          <w:spacing w:val="-7"/>
        </w:rPr>
        <w:t xml:space="preserve"> </w:t>
      </w:r>
      <w:r>
        <w:t>Layanan</w:t>
      </w:r>
      <w:r>
        <w:rPr>
          <w:spacing w:val="-6"/>
        </w:rPr>
        <w:t xml:space="preserve"> </w:t>
      </w:r>
      <w:r>
        <w:t>Dasar IFC Tower 2, Level 17</w:t>
      </w:r>
    </w:p>
    <w:p w14:paraId="5169AE79" w14:textId="77777777" w:rsidR="00BC24A8" w:rsidRDefault="00000000">
      <w:pPr>
        <w:pStyle w:val="BodyText"/>
        <w:spacing w:line="267" w:lineRule="exact"/>
        <w:ind w:left="165"/>
      </w:pPr>
      <w:r>
        <w:t>Jl.</w:t>
      </w:r>
      <w:r>
        <w:rPr>
          <w:spacing w:val="-7"/>
        </w:rPr>
        <w:t xml:space="preserve"> </w:t>
      </w:r>
      <w:r>
        <w:t>Jenderal</w:t>
      </w:r>
      <w:r>
        <w:rPr>
          <w:spacing w:val="-7"/>
        </w:rPr>
        <w:t xml:space="preserve"> </w:t>
      </w:r>
      <w:r>
        <w:t>Sudirman</w:t>
      </w:r>
      <w:r>
        <w:rPr>
          <w:spacing w:val="-6"/>
        </w:rPr>
        <w:t xml:space="preserve"> </w:t>
      </w:r>
      <w:r>
        <w:t>Kav.</w:t>
      </w:r>
      <w:r>
        <w:rPr>
          <w:spacing w:val="-8"/>
        </w:rPr>
        <w:t xml:space="preserve"> </w:t>
      </w:r>
      <w:r>
        <w:t>22-23</w:t>
      </w:r>
      <w:r>
        <w:rPr>
          <w:spacing w:val="-8"/>
        </w:rPr>
        <w:t xml:space="preserve"> </w:t>
      </w:r>
      <w:r>
        <w:t>|</w:t>
      </w:r>
      <w:r>
        <w:rPr>
          <w:spacing w:val="-7"/>
        </w:rPr>
        <w:t xml:space="preserve"> </w:t>
      </w:r>
      <w:r>
        <w:t>Jakarta</w:t>
      </w:r>
      <w:r>
        <w:rPr>
          <w:spacing w:val="-9"/>
        </w:rPr>
        <w:t xml:space="preserve"> </w:t>
      </w:r>
      <w:r>
        <w:t>12920</w:t>
      </w:r>
      <w:r>
        <w:rPr>
          <w:spacing w:val="-6"/>
        </w:rPr>
        <w:t xml:space="preserve"> </w:t>
      </w:r>
      <w:r>
        <w:t>|</w:t>
      </w:r>
      <w:r>
        <w:rPr>
          <w:spacing w:val="-7"/>
        </w:rPr>
        <w:t xml:space="preserve"> </w:t>
      </w:r>
      <w:r>
        <w:rPr>
          <w:spacing w:val="-2"/>
        </w:rPr>
        <w:t>Indonesia</w:t>
      </w:r>
    </w:p>
    <w:p w14:paraId="5E574846" w14:textId="77777777" w:rsidR="00BC24A8" w:rsidRDefault="00BC24A8">
      <w:pPr>
        <w:pStyle w:val="BodyText"/>
        <w:spacing w:before="245"/>
      </w:pPr>
    </w:p>
    <w:p w14:paraId="557C89FC" w14:textId="77777777" w:rsidR="00BC24A8" w:rsidRDefault="00000000">
      <w:pPr>
        <w:pStyle w:val="BodyText"/>
        <w:spacing w:line="278" w:lineRule="auto"/>
        <w:ind w:left="165" w:right="327"/>
      </w:pPr>
      <w:r>
        <w:t>This document is produced</w:t>
      </w:r>
      <w:r>
        <w:rPr>
          <w:spacing w:val="-1"/>
        </w:rPr>
        <w:t xml:space="preserve"> </w:t>
      </w:r>
      <w:r>
        <w:t>by DT Global as guidance only solely for the benefit of and use by DFAT in accordance with the terms of the engagement for SKALA. DT Global does not and shall not assume any</w:t>
      </w:r>
      <w:r>
        <w:rPr>
          <w:spacing w:val="-4"/>
        </w:rPr>
        <w:t xml:space="preserve"> </w:t>
      </w:r>
      <w:r>
        <w:t>responsibility</w:t>
      </w:r>
      <w:r>
        <w:rPr>
          <w:spacing w:val="-7"/>
        </w:rPr>
        <w:t xml:space="preserve"> </w:t>
      </w:r>
      <w:r>
        <w:t>or</w:t>
      </w:r>
      <w:r>
        <w:rPr>
          <w:spacing w:val="-4"/>
        </w:rPr>
        <w:t xml:space="preserve"> </w:t>
      </w:r>
      <w:r>
        <w:t>liability</w:t>
      </w:r>
      <w:r>
        <w:rPr>
          <w:spacing w:val="-7"/>
        </w:rPr>
        <w:t xml:space="preserve"> </w:t>
      </w:r>
      <w:r>
        <w:t>whatsoever</w:t>
      </w:r>
      <w:r>
        <w:rPr>
          <w:spacing w:val="-4"/>
        </w:rPr>
        <w:t xml:space="preserve"> </w:t>
      </w:r>
      <w:r>
        <w:t>to</w:t>
      </w:r>
      <w:r>
        <w:rPr>
          <w:spacing w:val="-7"/>
        </w:rPr>
        <w:t xml:space="preserve"> </w:t>
      </w:r>
      <w:r>
        <w:t>DFAT</w:t>
      </w:r>
      <w:r>
        <w:rPr>
          <w:spacing w:val="-7"/>
        </w:rPr>
        <w:t xml:space="preserve"> </w:t>
      </w:r>
      <w:r>
        <w:t>or</w:t>
      </w:r>
      <w:r>
        <w:rPr>
          <w:spacing w:val="-4"/>
        </w:rPr>
        <w:t xml:space="preserve"> </w:t>
      </w:r>
      <w:r>
        <w:t>any</w:t>
      </w:r>
      <w:r>
        <w:rPr>
          <w:spacing w:val="-6"/>
        </w:rPr>
        <w:t xml:space="preserve"> </w:t>
      </w:r>
      <w:r>
        <w:t>third</w:t>
      </w:r>
      <w:r>
        <w:rPr>
          <w:spacing w:val="-5"/>
        </w:rPr>
        <w:t xml:space="preserve"> </w:t>
      </w:r>
      <w:r>
        <w:t>party</w:t>
      </w:r>
      <w:r>
        <w:rPr>
          <w:spacing w:val="-7"/>
        </w:rPr>
        <w:t xml:space="preserve"> </w:t>
      </w:r>
      <w:r>
        <w:t>arising</w:t>
      </w:r>
      <w:r>
        <w:rPr>
          <w:spacing w:val="-8"/>
        </w:rPr>
        <w:t xml:space="preserve"> </w:t>
      </w:r>
      <w:r>
        <w:t>out</w:t>
      </w:r>
      <w:r>
        <w:rPr>
          <w:spacing w:val="-8"/>
        </w:rPr>
        <w:t xml:space="preserve"> </w:t>
      </w:r>
      <w:r>
        <w:t>of</w:t>
      </w:r>
      <w:r>
        <w:rPr>
          <w:spacing w:val="-6"/>
        </w:rPr>
        <w:t xml:space="preserve"> </w:t>
      </w:r>
      <w:r>
        <w:t>any</w:t>
      </w:r>
      <w:r>
        <w:rPr>
          <w:spacing w:val="-4"/>
        </w:rPr>
        <w:t xml:space="preserve"> </w:t>
      </w:r>
      <w:r>
        <w:t>use</w:t>
      </w:r>
      <w:r>
        <w:rPr>
          <w:spacing w:val="-6"/>
        </w:rPr>
        <w:t xml:space="preserve"> </w:t>
      </w:r>
      <w:r>
        <w:t>or</w:t>
      </w:r>
      <w:r>
        <w:rPr>
          <w:spacing w:val="-6"/>
        </w:rPr>
        <w:t xml:space="preserve"> </w:t>
      </w:r>
      <w:r>
        <w:t>reliance</w:t>
      </w:r>
      <w:r>
        <w:rPr>
          <w:spacing w:val="-6"/>
        </w:rPr>
        <w:t xml:space="preserve"> </w:t>
      </w:r>
      <w:r>
        <w:t>by any party on the content of this document.</w:t>
      </w:r>
    </w:p>
    <w:p w14:paraId="25C6593F" w14:textId="77777777" w:rsidR="00BC24A8" w:rsidRDefault="00000000">
      <w:pPr>
        <w:pStyle w:val="BodyText"/>
        <w:spacing w:before="159" w:line="278" w:lineRule="auto"/>
        <w:ind w:left="165" w:right="327"/>
      </w:pPr>
      <w:r>
        <w:t>This</w:t>
      </w:r>
      <w:r>
        <w:rPr>
          <w:spacing w:val="-4"/>
        </w:rPr>
        <w:t xml:space="preserve"> </w:t>
      </w:r>
      <w:r>
        <w:t>publication</w:t>
      </w:r>
      <w:r>
        <w:rPr>
          <w:spacing w:val="-7"/>
        </w:rPr>
        <w:t xml:space="preserve"> </w:t>
      </w:r>
      <w:r>
        <w:t>has</w:t>
      </w:r>
      <w:r>
        <w:rPr>
          <w:spacing w:val="-7"/>
        </w:rPr>
        <w:t xml:space="preserve"> </w:t>
      </w:r>
      <w:r>
        <w:t>been</w:t>
      </w:r>
      <w:r>
        <w:rPr>
          <w:spacing w:val="-5"/>
        </w:rPr>
        <w:t xml:space="preserve"> </w:t>
      </w:r>
      <w:r>
        <w:t>funded</w:t>
      </w:r>
      <w:r>
        <w:rPr>
          <w:spacing w:val="-5"/>
        </w:rPr>
        <w:t xml:space="preserve"> </w:t>
      </w:r>
      <w:r>
        <w:t>by</w:t>
      </w:r>
      <w:r>
        <w:rPr>
          <w:spacing w:val="-4"/>
        </w:rPr>
        <w:t xml:space="preserve"> </w:t>
      </w:r>
      <w:r>
        <w:t>the</w:t>
      </w:r>
      <w:r>
        <w:rPr>
          <w:spacing w:val="-8"/>
        </w:rPr>
        <w:t xml:space="preserve"> </w:t>
      </w:r>
      <w:r>
        <w:t>Australian</w:t>
      </w:r>
      <w:r>
        <w:rPr>
          <w:spacing w:val="-5"/>
        </w:rPr>
        <w:t xml:space="preserve"> </w:t>
      </w:r>
      <w:r>
        <w:t>Government</w:t>
      </w:r>
      <w:r>
        <w:rPr>
          <w:spacing w:val="-5"/>
        </w:rPr>
        <w:t xml:space="preserve"> </w:t>
      </w:r>
      <w:r>
        <w:t>through</w:t>
      </w:r>
      <w:r>
        <w:rPr>
          <w:spacing w:val="-5"/>
        </w:rPr>
        <w:t xml:space="preserve"> </w:t>
      </w:r>
      <w:r>
        <w:t>the</w:t>
      </w:r>
      <w:r>
        <w:rPr>
          <w:spacing w:val="-6"/>
        </w:rPr>
        <w:t xml:space="preserve"> </w:t>
      </w:r>
      <w:r>
        <w:t>Department</w:t>
      </w:r>
      <w:r>
        <w:rPr>
          <w:spacing w:val="-5"/>
        </w:rPr>
        <w:t xml:space="preserve"> </w:t>
      </w:r>
      <w:r>
        <w:t>of</w:t>
      </w:r>
      <w:r>
        <w:rPr>
          <w:spacing w:val="-6"/>
        </w:rPr>
        <w:t xml:space="preserve"> </w:t>
      </w:r>
      <w:r>
        <w:t>Foreign Affairs and Trade. The views expressed in this publication are the author’s alone and are not necessarily the views of the Australian Government.</w:t>
      </w:r>
    </w:p>
    <w:p w14:paraId="455A916A" w14:textId="77777777" w:rsidR="00BC24A8" w:rsidRDefault="00000000">
      <w:pPr>
        <w:pStyle w:val="BodyText"/>
        <w:spacing w:before="160"/>
        <w:ind w:left="165"/>
      </w:pPr>
      <w:r>
        <w:t>SKALA</w:t>
      </w:r>
      <w:r>
        <w:rPr>
          <w:spacing w:val="-9"/>
        </w:rPr>
        <w:t xml:space="preserve"> </w:t>
      </w:r>
      <w:r>
        <w:t>is</w:t>
      </w:r>
      <w:r>
        <w:rPr>
          <w:spacing w:val="-7"/>
        </w:rPr>
        <w:t xml:space="preserve"> </w:t>
      </w:r>
      <w:r>
        <w:t>supported</w:t>
      </w:r>
      <w:r>
        <w:rPr>
          <w:spacing w:val="-6"/>
        </w:rPr>
        <w:t xml:space="preserve"> </w:t>
      </w:r>
      <w:r>
        <w:t>by</w:t>
      </w:r>
      <w:r>
        <w:rPr>
          <w:spacing w:val="-5"/>
        </w:rPr>
        <w:t xml:space="preserve"> </w:t>
      </w:r>
      <w:r>
        <w:t>the</w:t>
      </w:r>
      <w:r>
        <w:rPr>
          <w:spacing w:val="-9"/>
        </w:rPr>
        <w:t xml:space="preserve"> </w:t>
      </w:r>
      <w:r>
        <w:t>Australian</w:t>
      </w:r>
      <w:r>
        <w:rPr>
          <w:spacing w:val="-6"/>
        </w:rPr>
        <w:t xml:space="preserve"> </w:t>
      </w:r>
      <w:r>
        <w:t>Government</w:t>
      </w:r>
      <w:r>
        <w:rPr>
          <w:spacing w:val="-6"/>
        </w:rPr>
        <w:t xml:space="preserve"> </w:t>
      </w:r>
      <w:r>
        <w:t>and</w:t>
      </w:r>
      <w:r>
        <w:rPr>
          <w:spacing w:val="-8"/>
        </w:rPr>
        <w:t xml:space="preserve"> </w:t>
      </w:r>
      <w:r>
        <w:t>implemented</w:t>
      </w:r>
      <w:r>
        <w:rPr>
          <w:spacing w:val="-6"/>
        </w:rPr>
        <w:t xml:space="preserve"> </w:t>
      </w:r>
      <w:r>
        <w:t>by</w:t>
      </w:r>
      <w:r>
        <w:rPr>
          <w:spacing w:val="-8"/>
        </w:rPr>
        <w:t xml:space="preserve"> </w:t>
      </w:r>
      <w:r>
        <w:t>DT</w:t>
      </w:r>
      <w:r>
        <w:rPr>
          <w:spacing w:val="-7"/>
        </w:rPr>
        <w:t xml:space="preserve"> </w:t>
      </w:r>
      <w:r>
        <w:rPr>
          <w:spacing w:val="-2"/>
        </w:rPr>
        <w:t>Global.</w:t>
      </w:r>
    </w:p>
    <w:p w14:paraId="3E896CF2" w14:textId="77777777" w:rsidR="00BC24A8" w:rsidRDefault="00BC24A8">
      <w:pPr>
        <w:pStyle w:val="BodyText"/>
        <w:sectPr w:rsidR="00BC24A8">
          <w:pgSz w:w="11910" w:h="16840"/>
          <w:pgMar w:top="1920" w:right="1133" w:bottom="280" w:left="1275" w:header="720" w:footer="720" w:gutter="0"/>
          <w:cols w:space="720"/>
        </w:sectPr>
      </w:pPr>
    </w:p>
    <w:p w14:paraId="392546CC" w14:textId="77777777" w:rsidR="00BC24A8" w:rsidRDefault="00000000">
      <w:pPr>
        <w:pStyle w:val="Heading1"/>
        <w:spacing w:before="82"/>
      </w:pPr>
      <w:bookmarkStart w:id="0" w:name="Table_of_Contents"/>
      <w:bookmarkStart w:id="1" w:name="_bookmark0"/>
      <w:bookmarkEnd w:id="0"/>
      <w:bookmarkEnd w:id="1"/>
      <w:r w:rsidRPr="00795364">
        <w:rPr>
          <w:color w:val="00A59C"/>
          <w:spacing w:val="-20"/>
        </w:rPr>
        <w:lastRenderedPageBreak/>
        <w:t>Table</w:t>
      </w:r>
      <w:r w:rsidRPr="00795364">
        <w:rPr>
          <w:color w:val="00A59C"/>
          <w:spacing w:val="-56"/>
        </w:rPr>
        <w:t xml:space="preserve"> </w:t>
      </w:r>
      <w:r w:rsidRPr="00795364">
        <w:rPr>
          <w:color w:val="00A59C"/>
          <w:spacing w:val="-20"/>
        </w:rPr>
        <w:t>of</w:t>
      </w:r>
      <w:r w:rsidRPr="00795364">
        <w:rPr>
          <w:color w:val="00A59C"/>
          <w:spacing w:val="-57"/>
        </w:rPr>
        <w:t xml:space="preserve"> </w:t>
      </w:r>
      <w:r w:rsidRPr="00795364">
        <w:rPr>
          <w:color w:val="00A59C"/>
          <w:spacing w:val="-20"/>
        </w:rPr>
        <w:t>Contents</w:t>
      </w:r>
    </w:p>
    <w:p w14:paraId="6619D381" w14:textId="77777777" w:rsidR="00BC24A8" w:rsidRDefault="00BC24A8">
      <w:pPr>
        <w:pStyle w:val="Heading1"/>
        <w:sectPr w:rsidR="00BC24A8">
          <w:footerReference w:type="default" r:id="rId8"/>
          <w:pgSz w:w="11910" w:h="16840"/>
          <w:pgMar w:top="1400" w:right="1133" w:bottom="1900" w:left="1275" w:header="0" w:footer="1614" w:gutter="0"/>
          <w:pgNumType w:start="1"/>
          <w:cols w:space="720"/>
        </w:sectPr>
      </w:pPr>
    </w:p>
    <w:sdt>
      <w:sdtPr>
        <w:id w:val="-846174742"/>
        <w:docPartObj>
          <w:docPartGallery w:val="Table of Contents"/>
          <w:docPartUnique/>
        </w:docPartObj>
      </w:sdtPr>
      <w:sdtContent>
        <w:p w14:paraId="07D3DC13" w14:textId="77777777" w:rsidR="00BC24A8" w:rsidRDefault="00BC24A8">
          <w:pPr>
            <w:pStyle w:val="TOC1"/>
            <w:tabs>
              <w:tab w:val="right" w:pos="9236"/>
            </w:tabs>
            <w:spacing w:before="272"/>
          </w:pPr>
          <w:hyperlink w:anchor="_bookmark0" w:history="1">
            <w:r>
              <w:t>Table</w:t>
            </w:r>
            <w:r>
              <w:rPr>
                <w:spacing w:val="-11"/>
              </w:rPr>
              <w:t xml:space="preserve"> </w:t>
            </w:r>
            <w:r>
              <w:t>of</w:t>
            </w:r>
            <w:r>
              <w:rPr>
                <w:spacing w:val="-11"/>
              </w:rPr>
              <w:t xml:space="preserve"> </w:t>
            </w:r>
            <w:r>
              <w:rPr>
                <w:spacing w:val="-2"/>
              </w:rPr>
              <w:t>Contents</w:t>
            </w:r>
            <w:r>
              <w:rPr>
                <w:rFonts w:ascii="Times New Roman"/>
                <w:b/>
              </w:rPr>
              <w:tab/>
            </w:r>
            <w:r>
              <w:rPr>
                <w:spacing w:val="-10"/>
              </w:rPr>
              <w:t>1</w:t>
            </w:r>
          </w:hyperlink>
        </w:p>
        <w:p w14:paraId="65AE8111" w14:textId="77777777" w:rsidR="00BC24A8" w:rsidRDefault="00BC24A8">
          <w:pPr>
            <w:pStyle w:val="TOC1"/>
            <w:tabs>
              <w:tab w:val="right" w:pos="9236"/>
            </w:tabs>
          </w:pPr>
          <w:hyperlink w:anchor="_bookmark1" w:history="1">
            <w:r>
              <w:t>List</w:t>
            </w:r>
            <w:r>
              <w:rPr>
                <w:spacing w:val="-5"/>
              </w:rPr>
              <w:t xml:space="preserve"> </w:t>
            </w:r>
            <w:r>
              <w:t>of</w:t>
            </w:r>
            <w:r>
              <w:rPr>
                <w:spacing w:val="-2"/>
              </w:rPr>
              <w:t xml:space="preserve"> Tables</w:t>
            </w:r>
            <w:r>
              <w:rPr>
                <w:rFonts w:ascii="Times New Roman"/>
                <w:b/>
              </w:rPr>
              <w:tab/>
            </w:r>
            <w:r>
              <w:rPr>
                <w:spacing w:val="-10"/>
              </w:rPr>
              <w:t>3</w:t>
            </w:r>
          </w:hyperlink>
        </w:p>
        <w:p w14:paraId="729A63E8" w14:textId="77777777" w:rsidR="00BC24A8" w:rsidRDefault="00BC24A8">
          <w:pPr>
            <w:pStyle w:val="TOC1"/>
            <w:tabs>
              <w:tab w:val="right" w:pos="9235"/>
            </w:tabs>
          </w:pPr>
          <w:hyperlink w:anchor="_bookmark2" w:history="1">
            <w:r>
              <w:rPr>
                <w:spacing w:val="-2"/>
              </w:rPr>
              <w:t>Executive</w:t>
            </w:r>
            <w:r>
              <w:rPr>
                <w:spacing w:val="1"/>
              </w:rPr>
              <w:t xml:space="preserve"> </w:t>
            </w:r>
            <w:r>
              <w:rPr>
                <w:spacing w:val="-2"/>
              </w:rPr>
              <w:t>Summary</w:t>
            </w:r>
            <w:r>
              <w:rPr>
                <w:rFonts w:ascii="Times New Roman"/>
                <w:b/>
              </w:rPr>
              <w:tab/>
            </w:r>
            <w:r>
              <w:rPr>
                <w:spacing w:val="-10"/>
              </w:rPr>
              <w:t>4</w:t>
            </w:r>
          </w:hyperlink>
        </w:p>
        <w:p w14:paraId="27F7A95A" w14:textId="77777777" w:rsidR="00BC24A8" w:rsidRDefault="00BC24A8">
          <w:pPr>
            <w:pStyle w:val="TOC2"/>
            <w:tabs>
              <w:tab w:val="right" w:pos="9214"/>
            </w:tabs>
            <w:spacing w:before="101"/>
          </w:pPr>
          <w:hyperlink w:anchor="_bookmark3" w:history="1">
            <w:r>
              <w:t>Context</w:t>
            </w:r>
            <w:r>
              <w:rPr>
                <w:spacing w:val="-9"/>
              </w:rPr>
              <w:t xml:space="preserve"> </w:t>
            </w:r>
            <w:r>
              <w:t>and</w:t>
            </w:r>
            <w:r>
              <w:rPr>
                <w:spacing w:val="-9"/>
              </w:rPr>
              <w:t xml:space="preserve"> </w:t>
            </w:r>
            <w:r>
              <w:t>Operating</w:t>
            </w:r>
            <w:r>
              <w:rPr>
                <w:spacing w:val="-11"/>
              </w:rPr>
              <w:t xml:space="preserve"> </w:t>
            </w:r>
            <w:r>
              <w:rPr>
                <w:spacing w:val="-2"/>
              </w:rPr>
              <w:t>Environment</w:t>
            </w:r>
            <w:r>
              <w:rPr>
                <w:rFonts w:ascii="Times New Roman"/>
                <w:b/>
              </w:rPr>
              <w:tab/>
            </w:r>
            <w:r>
              <w:rPr>
                <w:spacing w:val="-10"/>
              </w:rPr>
              <w:t>4</w:t>
            </w:r>
          </w:hyperlink>
        </w:p>
        <w:p w14:paraId="6328B517" w14:textId="77777777" w:rsidR="00BC24A8" w:rsidRDefault="00BC24A8">
          <w:pPr>
            <w:pStyle w:val="TOC2"/>
            <w:tabs>
              <w:tab w:val="right" w:pos="9214"/>
            </w:tabs>
            <w:spacing w:before="39"/>
          </w:pPr>
          <w:hyperlink w:anchor="_bookmark4" w:history="1">
            <w:r>
              <w:rPr>
                <w:spacing w:val="-2"/>
              </w:rPr>
              <w:t>Progress</w:t>
            </w:r>
            <w:r>
              <w:rPr>
                <w:spacing w:val="-10"/>
              </w:rPr>
              <w:t xml:space="preserve"> </w:t>
            </w:r>
            <w:r>
              <w:rPr>
                <w:spacing w:val="-2"/>
              </w:rPr>
              <w:t>Towards</w:t>
            </w:r>
            <w:r>
              <w:rPr>
                <w:spacing w:val="-7"/>
              </w:rPr>
              <w:t xml:space="preserve"> </w:t>
            </w:r>
            <w:r>
              <w:rPr>
                <w:spacing w:val="-2"/>
              </w:rPr>
              <w:t>Outcomes</w:t>
            </w:r>
            <w:r>
              <w:rPr>
                <w:rFonts w:ascii="Times New Roman"/>
                <w:b/>
              </w:rPr>
              <w:tab/>
            </w:r>
            <w:r>
              <w:rPr>
                <w:spacing w:val="-10"/>
              </w:rPr>
              <w:t>4</w:t>
            </w:r>
          </w:hyperlink>
        </w:p>
        <w:p w14:paraId="2BB81391" w14:textId="77777777" w:rsidR="00BC24A8" w:rsidRDefault="00BC24A8">
          <w:pPr>
            <w:pStyle w:val="TOC2"/>
            <w:tabs>
              <w:tab w:val="right" w:pos="9214"/>
            </w:tabs>
            <w:spacing w:before="41"/>
          </w:pPr>
          <w:hyperlink w:anchor="_bookmark5" w:history="1">
            <w:r>
              <w:t>Governance</w:t>
            </w:r>
            <w:r>
              <w:rPr>
                <w:spacing w:val="-12"/>
              </w:rPr>
              <w:t xml:space="preserve"> </w:t>
            </w:r>
            <w:r>
              <w:t>Structure</w:t>
            </w:r>
            <w:r>
              <w:rPr>
                <w:spacing w:val="-7"/>
              </w:rPr>
              <w:t xml:space="preserve"> </w:t>
            </w:r>
            <w:r>
              <w:t>and</w:t>
            </w:r>
            <w:r>
              <w:rPr>
                <w:spacing w:val="-5"/>
              </w:rPr>
              <w:t xml:space="preserve"> </w:t>
            </w:r>
            <w:r>
              <w:t>the</w:t>
            </w:r>
            <w:r>
              <w:rPr>
                <w:spacing w:val="-8"/>
              </w:rPr>
              <w:t xml:space="preserve"> </w:t>
            </w:r>
            <w:r>
              <w:t>Relevance</w:t>
            </w:r>
            <w:r>
              <w:rPr>
                <w:spacing w:val="-7"/>
              </w:rPr>
              <w:t xml:space="preserve"> </w:t>
            </w:r>
            <w:r>
              <w:t>to</w:t>
            </w:r>
            <w:r>
              <w:rPr>
                <w:spacing w:val="-6"/>
              </w:rPr>
              <w:t xml:space="preserve"> </w:t>
            </w:r>
            <w:r>
              <w:t>the</w:t>
            </w:r>
            <w:r>
              <w:rPr>
                <w:spacing w:val="-8"/>
              </w:rPr>
              <w:t xml:space="preserve"> </w:t>
            </w:r>
            <w:r>
              <w:t>Government</w:t>
            </w:r>
            <w:r>
              <w:rPr>
                <w:spacing w:val="-6"/>
              </w:rPr>
              <w:t xml:space="preserve"> </w:t>
            </w:r>
            <w:r>
              <w:t>of</w:t>
            </w:r>
            <w:r>
              <w:rPr>
                <w:spacing w:val="-7"/>
              </w:rPr>
              <w:t xml:space="preserve"> </w:t>
            </w:r>
            <w:r>
              <w:rPr>
                <w:spacing w:val="-2"/>
              </w:rPr>
              <w:t>Australia</w:t>
            </w:r>
            <w:r>
              <w:rPr>
                <w:rFonts w:ascii="Times New Roman"/>
                <w:b/>
              </w:rPr>
              <w:tab/>
            </w:r>
            <w:r>
              <w:rPr>
                <w:spacing w:val="-10"/>
              </w:rPr>
              <w:t>5</w:t>
            </w:r>
          </w:hyperlink>
        </w:p>
        <w:p w14:paraId="4FD35DD8" w14:textId="77777777" w:rsidR="00BC24A8" w:rsidRDefault="00BC24A8">
          <w:pPr>
            <w:pStyle w:val="TOC2"/>
            <w:tabs>
              <w:tab w:val="right" w:pos="9214"/>
            </w:tabs>
            <w:spacing w:before="38"/>
          </w:pPr>
          <w:hyperlink w:anchor="_bookmark6" w:history="1">
            <w:r>
              <w:rPr>
                <w:spacing w:val="-2"/>
              </w:rPr>
              <w:t>Program</w:t>
            </w:r>
            <w:r>
              <w:rPr>
                <w:spacing w:val="-4"/>
              </w:rPr>
              <w:t xml:space="preserve"> </w:t>
            </w:r>
            <w:r>
              <w:rPr>
                <w:spacing w:val="-2"/>
              </w:rPr>
              <w:t>delivery</w:t>
            </w:r>
            <w:r>
              <w:rPr>
                <w:rFonts w:ascii="Times New Roman"/>
                <w:b/>
              </w:rPr>
              <w:tab/>
            </w:r>
            <w:r>
              <w:rPr>
                <w:spacing w:val="-10"/>
              </w:rPr>
              <w:t>6</w:t>
            </w:r>
          </w:hyperlink>
        </w:p>
        <w:p w14:paraId="7AC3FBD6" w14:textId="77777777" w:rsidR="00BC24A8" w:rsidRDefault="00BC24A8">
          <w:pPr>
            <w:pStyle w:val="TOC2"/>
            <w:tabs>
              <w:tab w:val="right" w:pos="9214"/>
            </w:tabs>
            <w:spacing w:before="41"/>
          </w:pPr>
          <w:hyperlink w:anchor="_bookmark7" w:history="1">
            <w:r>
              <w:rPr>
                <w:spacing w:val="-2"/>
              </w:rPr>
              <w:t>Forward</w:t>
            </w:r>
            <w:r>
              <w:rPr>
                <w:spacing w:val="-1"/>
              </w:rPr>
              <w:t xml:space="preserve"> </w:t>
            </w:r>
            <w:r>
              <w:rPr>
                <w:spacing w:val="-2"/>
              </w:rPr>
              <w:t>Planning</w:t>
            </w:r>
            <w:r>
              <w:rPr>
                <w:rFonts w:ascii="Times New Roman"/>
                <w:b/>
              </w:rPr>
              <w:tab/>
            </w:r>
            <w:r>
              <w:rPr>
                <w:spacing w:val="-12"/>
              </w:rPr>
              <w:t>6</w:t>
            </w:r>
          </w:hyperlink>
        </w:p>
        <w:p w14:paraId="4BA12ED0" w14:textId="77777777" w:rsidR="00BC24A8" w:rsidRDefault="00BC24A8">
          <w:pPr>
            <w:pStyle w:val="TOC1"/>
            <w:tabs>
              <w:tab w:val="right" w:pos="9236"/>
            </w:tabs>
            <w:spacing w:before="241"/>
          </w:pPr>
          <w:hyperlink w:anchor="_bookmark8" w:history="1">
            <w:r>
              <w:rPr>
                <w:spacing w:val="-2"/>
              </w:rPr>
              <w:t>Highlights</w:t>
            </w:r>
            <w:r>
              <w:rPr>
                <w:rFonts w:ascii="Times New Roman"/>
                <w:b/>
              </w:rPr>
              <w:tab/>
            </w:r>
            <w:r>
              <w:rPr>
                <w:spacing w:val="-10"/>
              </w:rPr>
              <w:t>7</w:t>
            </w:r>
          </w:hyperlink>
        </w:p>
        <w:p w14:paraId="018DB4F6" w14:textId="77777777" w:rsidR="00BC24A8" w:rsidRDefault="00BC24A8">
          <w:pPr>
            <w:pStyle w:val="TOC2"/>
            <w:spacing w:before="58" w:line="242" w:lineRule="exact"/>
            <w:ind w:left="993"/>
          </w:pPr>
          <w:hyperlink w:anchor="_bookmark9" w:history="1">
            <w:r>
              <w:t>End</w:t>
            </w:r>
            <w:r>
              <w:rPr>
                <w:spacing w:val="-6"/>
              </w:rPr>
              <w:t xml:space="preserve"> </w:t>
            </w:r>
            <w:r>
              <w:t>of</w:t>
            </w:r>
            <w:r>
              <w:rPr>
                <w:spacing w:val="-10"/>
              </w:rPr>
              <w:t xml:space="preserve"> </w:t>
            </w:r>
            <w:r>
              <w:t>Program</w:t>
            </w:r>
            <w:r>
              <w:rPr>
                <w:spacing w:val="-6"/>
              </w:rPr>
              <w:t xml:space="preserve"> </w:t>
            </w:r>
            <w:r>
              <w:t>Outcome</w:t>
            </w:r>
            <w:r>
              <w:rPr>
                <w:spacing w:val="-7"/>
              </w:rPr>
              <w:t xml:space="preserve"> </w:t>
            </w:r>
            <w:r>
              <w:rPr>
                <w:spacing w:val="-5"/>
              </w:rPr>
              <w:t>1:</w:t>
            </w:r>
          </w:hyperlink>
        </w:p>
        <w:p w14:paraId="3463FB36" w14:textId="77777777" w:rsidR="00BC24A8" w:rsidRDefault="00BC24A8">
          <w:pPr>
            <w:pStyle w:val="TOC2"/>
            <w:tabs>
              <w:tab w:val="right" w:pos="9214"/>
            </w:tabs>
            <w:spacing w:line="242" w:lineRule="exact"/>
            <w:ind w:left="993"/>
          </w:pPr>
          <w:hyperlink w:anchor="_bookmark9" w:history="1">
            <w:r>
              <w:t>Stronger</w:t>
            </w:r>
            <w:r>
              <w:rPr>
                <w:spacing w:val="-10"/>
              </w:rPr>
              <w:t xml:space="preserve"> </w:t>
            </w:r>
            <w:r>
              <w:t>Enabling</w:t>
            </w:r>
            <w:r>
              <w:rPr>
                <w:spacing w:val="-10"/>
              </w:rPr>
              <w:t xml:space="preserve"> </w:t>
            </w:r>
            <w:r>
              <w:t>Environment</w:t>
            </w:r>
            <w:r>
              <w:rPr>
                <w:spacing w:val="-10"/>
              </w:rPr>
              <w:t xml:space="preserve"> </w:t>
            </w:r>
            <w:r>
              <w:t>for</w:t>
            </w:r>
            <w:r>
              <w:rPr>
                <w:spacing w:val="-9"/>
              </w:rPr>
              <w:t xml:space="preserve"> </w:t>
            </w:r>
            <w:r>
              <w:t>Subnational</w:t>
            </w:r>
            <w:r>
              <w:rPr>
                <w:spacing w:val="-12"/>
              </w:rPr>
              <w:t xml:space="preserve"> </w:t>
            </w:r>
            <w:r>
              <w:t>Service</w:t>
            </w:r>
            <w:r>
              <w:rPr>
                <w:spacing w:val="-11"/>
              </w:rPr>
              <w:t xml:space="preserve"> </w:t>
            </w:r>
            <w:r>
              <w:rPr>
                <w:spacing w:val="-2"/>
              </w:rPr>
              <w:t>Delivery</w:t>
            </w:r>
            <w:r>
              <w:rPr>
                <w:rFonts w:ascii="Times New Roman"/>
                <w:b/>
              </w:rPr>
              <w:tab/>
            </w:r>
            <w:r>
              <w:rPr>
                <w:spacing w:val="-10"/>
              </w:rPr>
              <w:t>7</w:t>
            </w:r>
          </w:hyperlink>
        </w:p>
        <w:p w14:paraId="7AA92925" w14:textId="77777777" w:rsidR="00BC24A8" w:rsidRDefault="00BC24A8">
          <w:pPr>
            <w:pStyle w:val="TOC2"/>
            <w:spacing w:before="26"/>
          </w:pPr>
          <w:hyperlink w:anchor="_bookmark10" w:history="1">
            <w:r>
              <w:t>End</w:t>
            </w:r>
            <w:r>
              <w:rPr>
                <w:spacing w:val="-6"/>
              </w:rPr>
              <w:t xml:space="preserve"> </w:t>
            </w:r>
            <w:r>
              <w:t>of</w:t>
            </w:r>
            <w:r>
              <w:rPr>
                <w:spacing w:val="-10"/>
              </w:rPr>
              <w:t xml:space="preserve"> </w:t>
            </w:r>
            <w:r>
              <w:t>Program</w:t>
            </w:r>
            <w:r>
              <w:rPr>
                <w:spacing w:val="-6"/>
              </w:rPr>
              <w:t xml:space="preserve"> </w:t>
            </w:r>
            <w:r>
              <w:t>Outcome</w:t>
            </w:r>
            <w:r>
              <w:rPr>
                <w:spacing w:val="-7"/>
              </w:rPr>
              <w:t xml:space="preserve"> </w:t>
            </w:r>
            <w:r>
              <w:rPr>
                <w:spacing w:val="-5"/>
              </w:rPr>
              <w:t>2:</w:t>
            </w:r>
          </w:hyperlink>
        </w:p>
        <w:p w14:paraId="469C76AD" w14:textId="77777777" w:rsidR="00BC24A8" w:rsidRDefault="00BC24A8">
          <w:pPr>
            <w:pStyle w:val="TOC2"/>
            <w:tabs>
              <w:tab w:val="right" w:pos="9214"/>
            </w:tabs>
          </w:pPr>
          <w:hyperlink w:anchor="_bookmark10" w:history="1">
            <w:r>
              <w:t>Better</w:t>
            </w:r>
            <w:r>
              <w:rPr>
                <w:spacing w:val="-12"/>
              </w:rPr>
              <w:t xml:space="preserve"> </w:t>
            </w:r>
            <w:r>
              <w:t>Subnational</w:t>
            </w:r>
            <w:r>
              <w:rPr>
                <w:spacing w:val="-12"/>
              </w:rPr>
              <w:t xml:space="preserve"> </w:t>
            </w:r>
            <w:r>
              <w:t>Service</w:t>
            </w:r>
            <w:r>
              <w:rPr>
                <w:spacing w:val="-13"/>
              </w:rPr>
              <w:t xml:space="preserve"> </w:t>
            </w:r>
            <w:r>
              <w:rPr>
                <w:spacing w:val="-2"/>
              </w:rPr>
              <w:t>Delivery</w:t>
            </w:r>
            <w:r>
              <w:rPr>
                <w:rFonts w:ascii="Times New Roman"/>
                <w:b/>
              </w:rPr>
              <w:tab/>
            </w:r>
            <w:r>
              <w:rPr>
                <w:spacing w:val="-10"/>
              </w:rPr>
              <w:t>9</w:t>
            </w:r>
          </w:hyperlink>
        </w:p>
        <w:p w14:paraId="7B81A13D" w14:textId="77777777" w:rsidR="00BC24A8" w:rsidRDefault="00BC24A8">
          <w:pPr>
            <w:pStyle w:val="TOC2"/>
            <w:spacing w:before="39"/>
          </w:pPr>
          <w:hyperlink w:anchor="_bookmark11" w:history="1">
            <w:r>
              <w:t>End</w:t>
            </w:r>
            <w:r>
              <w:rPr>
                <w:spacing w:val="-6"/>
              </w:rPr>
              <w:t xml:space="preserve"> </w:t>
            </w:r>
            <w:r>
              <w:t>of</w:t>
            </w:r>
            <w:r>
              <w:rPr>
                <w:spacing w:val="-10"/>
              </w:rPr>
              <w:t xml:space="preserve"> </w:t>
            </w:r>
            <w:r>
              <w:t>Program</w:t>
            </w:r>
            <w:r>
              <w:rPr>
                <w:spacing w:val="-6"/>
              </w:rPr>
              <w:t xml:space="preserve"> </w:t>
            </w:r>
            <w:r>
              <w:t>Outcome</w:t>
            </w:r>
            <w:r>
              <w:rPr>
                <w:spacing w:val="-7"/>
              </w:rPr>
              <w:t xml:space="preserve"> </w:t>
            </w:r>
            <w:r>
              <w:rPr>
                <w:spacing w:val="-5"/>
              </w:rPr>
              <w:t>3:</w:t>
            </w:r>
          </w:hyperlink>
        </w:p>
        <w:p w14:paraId="37138B8F" w14:textId="77777777" w:rsidR="00BC24A8" w:rsidRDefault="00BC24A8">
          <w:pPr>
            <w:pStyle w:val="TOC2"/>
          </w:pPr>
          <w:hyperlink w:anchor="_bookmark11" w:history="1">
            <w:r>
              <w:t>Greater</w:t>
            </w:r>
            <w:r>
              <w:rPr>
                <w:spacing w:val="-12"/>
              </w:rPr>
              <w:t xml:space="preserve"> </w:t>
            </w:r>
            <w:r>
              <w:t>Participation,</w:t>
            </w:r>
            <w:r>
              <w:rPr>
                <w:spacing w:val="-12"/>
              </w:rPr>
              <w:t xml:space="preserve"> </w:t>
            </w:r>
            <w:r>
              <w:t>Representation</w:t>
            </w:r>
            <w:r>
              <w:rPr>
                <w:spacing w:val="-11"/>
              </w:rPr>
              <w:t xml:space="preserve"> </w:t>
            </w:r>
            <w:r>
              <w:t>and</w:t>
            </w:r>
            <w:r>
              <w:rPr>
                <w:spacing w:val="-11"/>
              </w:rPr>
              <w:t xml:space="preserve"> </w:t>
            </w:r>
            <w:r>
              <w:t>Influence</w:t>
            </w:r>
            <w:r>
              <w:rPr>
                <w:spacing w:val="-12"/>
              </w:rPr>
              <w:t xml:space="preserve"> </w:t>
            </w:r>
            <w:r>
              <w:t>of</w:t>
            </w:r>
            <w:r>
              <w:rPr>
                <w:spacing w:val="-12"/>
              </w:rPr>
              <w:t xml:space="preserve"> </w:t>
            </w:r>
            <w:r>
              <w:t>Women,</w:t>
            </w:r>
            <w:r>
              <w:rPr>
                <w:spacing w:val="-12"/>
              </w:rPr>
              <w:t xml:space="preserve"> </w:t>
            </w:r>
            <w:r>
              <w:t>People</w:t>
            </w:r>
            <w:r>
              <w:rPr>
                <w:spacing w:val="-12"/>
              </w:rPr>
              <w:t xml:space="preserve"> </w:t>
            </w:r>
            <w:r>
              <w:t>with</w:t>
            </w:r>
            <w:r>
              <w:rPr>
                <w:spacing w:val="-11"/>
              </w:rPr>
              <w:t xml:space="preserve"> </w:t>
            </w:r>
            <w:r>
              <w:rPr>
                <w:spacing w:val="-2"/>
              </w:rPr>
              <w:t>Disabilities</w:t>
            </w:r>
          </w:hyperlink>
        </w:p>
        <w:p w14:paraId="03DDC418" w14:textId="77777777" w:rsidR="00BC24A8" w:rsidRDefault="00BC24A8">
          <w:pPr>
            <w:pStyle w:val="TOC2"/>
            <w:tabs>
              <w:tab w:val="right" w:pos="9215"/>
            </w:tabs>
          </w:pPr>
          <w:hyperlink w:anchor="_bookmark11" w:history="1">
            <w:r>
              <w:t>and</w:t>
            </w:r>
            <w:r>
              <w:rPr>
                <w:spacing w:val="-9"/>
              </w:rPr>
              <w:t xml:space="preserve"> </w:t>
            </w:r>
            <w:r>
              <w:t>Vulnerable</w:t>
            </w:r>
            <w:r>
              <w:rPr>
                <w:spacing w:val="-10"/>
              </w:rPr>
              <w:t xml:space="preserve"> </w:t>
            </w:r>
            <w:r>
              <w:rPr>
                <w:spacing w:val="-2"/>
              </w:rPr>
              <w:t>groups</w:t>
            </w:r>
            <w:r>
              <w:rPr>
                <w:rFonts w:ascii="Times New Roman"/>
                <w:b/>
              </w:rPr>
              <w:tab/>
            </w:r>
            <w:r>
              <w:rPr>
                <w:spacing w:val="-5"/>
              </w:rPr>
              <w:t>11</w:t>
            </w:r>
          </w:hyperlink>
        </w:p>
        <w:p w14:paraId="6DB889B5" w14:textId="77777777" w:rsidR="00BC24A8" w:rsidRDefault="00BC24A8">
          <w:pPr>
            <w:pStyle w:val="TOC1"/>
            <w:tabs>
              <w:tab w:val="right" w:pos="9236"/>
            </w:tabs>
            <w:spacing w:before="241"/>
          </w:pPr>
          <w:hyperlink w:anchor="_bookmark12" w:history="1">
            <w:r>
              <w:rPr>
                <w:spacing w:val="-2"/>
              </w:rPr>
              <w:t>Context</w:t>
            </w:r>
            <w:r>
              <w:rPr>
                <w:rFonts w:ascii="Times New Roman"/>
                <w:b/>
              </w:rPr>
              <w:tab/>
            </w:r>
            <w:r>
              <w:rPr>
                <w:spacing w:val="-5"/>
              </w:rPr>
              <w:t>12</w:t>
            </w:r>
          </w:hyperlink>
        </w:p>
        <w:p w14:paraId="5B87DF69" w14:textId="77777777" w:rsidR="00BC24A8" w:rsidRDefault="00BC24A8">
          <w:pPr>
            <w:pStyle w:val="TOC2"/>
            <w:tabs>
              <w:tab w:val="right" w:pos="9215"/>
            </w:tabs>
            <w:spacing w:before="101"/>
          </w:pPr>
          <w:hyperlink w:anchor="_bookmark13" w:history="1">
            <w:r>
              <w:rPr>
                <w:spacing w:val="-2"/>
              </w:rPr>
              <w:t>Partnership</w:t>
            </w:r>
            <w:r>
              <w:rPr>
                <w:spacing w:val="3"/>
              </w:rPr>
              <w:t xml:space="preserve"> </w:t>
            </w:r>
            <w:r>
              <w:rPr>
                <w:spacing w:val="-2"/>
              </w:rPr>
              <w:t>Dynamics</w:t>
            </w:r>
            <w:r>
              <w:rPr>
                <w:rFonts w:ascii="Times New Roman"/>
                <w:b/>
              </w:rPr>
              <w:tab/>
            </w:r>
            <w:r>
              <w:rPr>
                <w:spacing w:val="-5"/>
              </w:rPr>
              <w:t>12</w:t>
            </w:r>
          </w:hyperlink>
        </w:p>
        <w:p w14:paraId="0692A653" w14:textId="77777777" w:rsidR="00BC24A8" w:rsidRDefault="00BC24A8">
          <w:pPr>
            <w:pStyle w:val="TOC2"/>
            <w:tabs>
              <w:tab w:val="right" w:pos="9215"/>
            </w:tabs>
            <w:spacing w:before="39"/>
          </w:pPr>
          <w:hyperlink w:anchor="_bookmark14" w:history="1">
            <w:r>
              <w:t>National</w:t>
            </w:r>
            <w:r>
              <w:rPr>
                <w:spacing w:val="-11"/>
              </w:rPr>
              <w:t xml:space="preserve"> </w:t>
            </w:r>
            <w:r>
              <w:t>Policy</w:t>
            </w:r>
            <w:r>
              <w:rPr>
                <w:spacing w:val="-9"/>
              </w:rPr>
              <w:t xml:space="preserve"> </w:t>
            </w:r>
            <w:r>
              <w:rPr>
                <w:spacing w:val="-2"/>
              </w:rPr>
              <w:t>Shifts</w:t>
            </w:r>
            <w:r>
              <w:rPr>
                <w:rFonts w:ascii="Times New Roman"/>
                <w:b/>
              </w:rPr>
              <w:tab/>
            </w:r>
            <w:r>
              <w:rPr>
                <w:spacing w:val="-5"/>
              </w:rPr>
              <w:t>13</w:t>
            </w:r>
          </w:hyperlink>
        </w:p>
        <w:p w14:paraId="43037633" w14:textId="77777777" w:rsidR="00BC24A8" w:rsidRDefault="00BC24A8">
          <w:pPr>
            <w:pStyle w:val="TOC2"/>
            <w:tabs>
              <w:tab w:val="right" w:pos="9215"/>
            </w:tabs>
            <w:spacing w:before="41"/>
          </w:pPr>
          <w:hyperlink w:anchor="_bookmark15" w:history="1">
            <w:r>
              <w:rPr>
                <w:spacing w:val="-2"/>
              </w:rPr>
              <w:t>International</w:t>
            </w:r>
            <w:r>
              <w:rPr>
                <w:spacing w:val="9"/>
              </w:rPr>
              <w:t xml:space="preserve"> </w:t>
            </w:r>
            <w:r>
              <w:rPr>
                <w:spacing w:val="-2"/>
              </w:rPr>
              <w:t>Influences</w:t>
            </w:r>
            <w:r>
              <w:rPr>
                <w:rFonts w:ascii="Times New Roman"/>
                <w:b/>
              </w:rPr>
              <w:tab/>
            </w:r>
            <w:r>
              <w:rPr>
                <w:spacing w:val="-5"/>
              </w:rPr>
              <w:t>13</w:t>
            </w:r>
          </w:hyperlink>
        </w:p>
        <w:p w14:paraId="76DA5745" w14:textId="77777777" w:rsidR="00BC24A8" w:rsidRDefault="00BC24A8">
          <w:pPr>
            <w:pStyle w:val="TOC2"/>
            <w:tabs>
              <w:tab w:val="right" w:pos="9215"/>
            </w:tabs>
            <w:spacing w:before="41"/>
          </w:pPr>
          <w:hyperlink w:anchor="_bookmark16" w:history="1">
            <w:r>
              <w:t>Subnational</w:t>
            </w:r>
            <w:r>
              <w:rPr>
                <w:spacing w:val="-13"/>
              </w:rPr>
              <w:t xml:space="preserve"> </w:t>
            </w:r>
            <w:r>
              <w:rPr>
                <w:spacing w:val="-2"/>
              </w:rPr>
              <w:t>Leadership</w:t>
            </w:r>
            <w:r>
              <w:rPr>
                <w:rFonts w:ascii="Times New Roman"/>
                <w:b/>
              </w:rPr>
              <w:tab/>
            </w:r>
            <w:r>
              <w:rPr>
                <w:spacing w:val="-5"/>
              </w:rPr>
              <w:t>13</w:t>
            </w:r>
          </w:hyperlink>
        </w:p>
        <w:p w14:paraId="3152DC9E" w14:textId="77777777" w:rsidR="00BC24A8" w:rsidRDefault="00BC24A8">
          <w:pPr>
            <w:pStyle w:val="TOC2"/>
            <w:tabs>
              <w:tab w:val="right" w:pos="9215"/>
            </w:tabs>
            <w:spacing w:before="38"/>
          </w:pPr>
          <w:hyperlink w:anchor="_bookmark17" w:history="1">
            <w:r>
              <w:t>Reflection</w:t>
            </w:r>
            <w:r>
              <w:rPr>
                <w:spacing w:val="-9"/>
              </w:rPr>
              <w:t xml:space="preserve"> </w:t>
            </w:r>
            <w:r>
              <w:t>on</w:t>
            </w:r>
            <w:r>
              <w:rPr>
                <w:spacing w:val="-8"/>
              </w:rPr>
              <w:t xml:space="preserve"> </w:t>
            </w:r>
            <w:r>
              <w:rPr>
                <w:spacing w:val="-2"/>
              </w:rPr>
              <w:t>Relevance</w:t>
            </w:r>
            <w:r>
              <w:rPr>
                <w:rFonts w:ascii="Times New Roman"/>
                <w:b/>
              </w:rPr>
              <w:tab/>
            </w:r>
            <w:r>
              <w:rPr>
                <w:spacing w:val="-5"/>
              </w:rPr>
              <w:t>14</w:t>
            </w:r>
          </w:hyperlink>
        </w:p>
        <w:p w14:paraId="52E65843" w14:textId="77777777" w:rsidR="00BC24A8" w:rsidRDefault="00BC24A8">
          <w:pPr>
            <w:pStyle w:val="TOC1"/>
            <w:tabs>
              <w:tab w:val="right" w:pos="9236"/>
            </w:tabs>
            <w:spacing w:before="241"/>
          </w:pPr>
          <w:hyperlink w:anchor="_bookmark18" w:history="1">
            <w:r>
              <w:rPr>
                <w:spacing w:val="-2"/>
              </w:rPr>
              <w:t>Progress</w:t>
            </w:r>
            <w:r>
              <w:rPr>
                <w:spacing w:val="1"/>
              </w:rPr>
              <w:t xml:space="preserve"> </w:t>
            </w:r>
            <w:r>
              <w:rPr>
                <w:spacing w:val="-2"/>
              </w:rPr>
              <w:t>Against</w:t>
            </w:r>
            <w:r>
              <w:rPr>
                <w:spacing w:val="3"/>
              </w:rPr>
              <w:t xml:space="preserve"> </w:t>
            </w:r>
            <w:r>
              <w:rPr>
                <w:spacing w:val="-2"/>
              </w:rPr>
              <w:t>Outcomes</w:t>
            </w:r>
            <w:r>
              <w:rPr>
                <w:spacing w:val="2"/>
              </w:rPr>
              <w:t xml:space="preserve"> </w:t>
            </w:r>
            <w:r>
              <w:rPr>
                <w:spacing w:val="-2"/>
              </w:rPr>
              <w:t>(Effectiveness)</w:t>
            </w:r>
            <w:r>
              <w:rPr>
                <w:rFonts w:ascii="Times New Roman"/>
                <w:b/>
              </w:rPr>
              <w:tab/>
            </w:r>
            <w:r>
              <w:rPr>
                <w:spacing w:val="-5"/>
              </w:rPr>
              <w:t>15</w:t>
            </w:r>
          </w:hyperlink>
        </w:p>
        <w:p w14:paraId="69D4EB63" w14:textId="77777777" w:rsidR="00BC24A8" w:rsidRDefault="00BC24A8">
          <w:pPr>
            <w:pStyle w:val="TOC2"/>
            <w:spacing w:before="98"/>
          </w:pPr>
          <w:hyperlink w:anchor="_bookmark19" w:history="1">
            <w:r>
              <w:t>End</w:t>
            </w:r>
            <w:r>
              <w:rPr>
                <w:spacing w:val="-6"/>
              </w:rPr>
              <w:t xml:space="preserve"> </w:t>
            </w:r>
            <w:r>
              <w:t>of</w:t>
            </w:r>
            <w:r>
              <w:rPr>
                <w:spacing w:val="-10"/>
              </w:rPr>
              <w:t xml:space="preserve"> </w:t>
            </w:r>
            <w:r>
              <w:t>Program</w:t>
            </w:r>
            <w:r>
              <w:rPr>
                <w:spacing w:val="-6"/>
              </w:rPr>
              <w:t xml:space="preserve"> </w:t>
            </w:r>
            <w:r>
              <w:t>Outcome</w:t>
            </w:r>
            <w:r>
              <w:rPr>
                <w:spacing w:val="-7"/>
              </w:rPr>
              <w:t xml:space="preserve"> </w:t>
            </w:r>
            <w:r>
              <w:rPr>
                <w:spacing w:val="-5"/>
              </w:rPr>
              <w:t>1:</w:t>
            </w:r>
          </w:hyperlink>
        </w:p>
        <w:p w14:paraId="28572822" w14:textId="77777777" w:rsidR="00BC24A8" w:rsidRDefault="00BC24A8">
          <w:pPr>
            <w:pStyle w:val="TOC2"/>
            <w:tabs>
              <w:tab w:val="right" w:pos="9215"/>
            </w:tabs>
          </w:pPr>
          <w:hyperlink w:anchor="_bookmark19" w:history="1">
            <w:r>
              <w:t>Stronger</w:t>
            </w:r>
            <w:r>
              <w:rPr>
                <w:spacing w:val="-10"/>
              </w:rPr>
              <w:t xml:space="preserve"> </w:t>
            </w:r>
            <w:r>
              <w:t>Enabling</w:t>
            </w:r>
            <w:r>
              <w:rPr>
                <w:spacing w:val="-10"/>
              </w:rPr>
              <w:t xml:space="preserve"> </w:t>
            </w:r>
            <w:r>
              <w:t>Environment</w:t>
            </w:r>
            <w:r>
              <w:rPr>
                <w:spacing w:val="-10"/>
              </w:rPr>
              <w:t xml:space="preserve"> </w:t>
            </w:r>
            <w:r>
              <w:t>for</w:t>
            </w:r>
            <w:r>
              <w:rPr>
                <w:spacing w:val="-9"/>
              </w:rPr>
              <w:t xml:space="preserve"> </w:t>
            </w:r>
            <w:r>
              <w:t>Subnational</w:t>
            </w:r>
            <w:r>
              <w:rPr>
                <w:spacing w:val="-12"/>
              </w:rPr>
              <w:t xml:space="preserve"> </w:t>
            </w:r>
            <w:r>
              <w:t>Service</w:t>
            </w:r>
            <w:r>
              <w:rPr>
                <w:spacing w:val="-11"/>
              </w:rPr>
              <w:t xml:space="preserve"> </w:t>
            </w:r>
            <w:r>
              <w:rPr>
                <w:spacing w:val="-2"/>
              </w:rPr>
              <w:t>Delivery</w:t>
            </w:r>
            <w:r>
              <w:rPr>
                <w:rFonts w:ascii="Times New Roman"/>
                <w:b/>
              </w:rPr>
              <w:tab/>
            </w:r>
            <w:r>
              <w:rPr>
                <w:spacing w:val="-5"/>
              </w:rPr>
              <w:t>15</w:t>
            </w:r>
          </w:hyperlink>
        </w:p>
        <w:p w14:paraId="32AB5ACC" w14:textId="77777777" w:rsidR="00BC24A8" w:rsidRDefault="00BC24A8">
          <w:pPr>
            <w:pStyle w:val="TOC2"/>
            <w:spacing w:before="41"/>
          </w:pPr>
          <w:hyperlink w:anchor="_bookmark25" w:history="1">
            <w:r>
              <w:t>End</w:t>
            </w:r>
            <w:r>
              <w:rPr>
                <w:spacing w:val="-6"/>
              </w:rPr>
              <w:t xml:space="preserve"> </w:t>
            </w:r>
            <w:r>
              <w:t>of</w:t>
            </w:r>
            <w:r>
              <w:rPr>
                <w:spacing w:val="-10"/>
              </w:rPr>
              <w:t xml:space="preserve"> </w:t>
            </w:r>
            <w:r>
              <w:t>Program</w:t>
            </w:r>
            <w:r>
              <w:rPr>
                <w:spacing w:val="-6"/>
              </w:rPr>
              <w:t xml:space="preserve"> </w:t>
            </w:r>
            <w:r>
              <w:t>Outcome</w:t>
            </w:r>
            <w:r>
              <w:rPr>
                <w:spacing w:val="-7"/>
              </w:rPr>
              <w:t xml:space="preserve"> </w:t>
            </w:r>
            <w:r>
              <w:rPr>
                <w:spacing w:val="-5"/>
              </w:rPr>
              <w:t>2:</w:t>
            </w:r>
          </w:hyperlink>
        </w:p>
        <w:p w14:paraId="72C711A8" w14:textId="77777777" w:rsidR="00BC24A8" w:rsidRDefault="00BC24A8">
          <w:pPr>
            <w:pStyle w:val="TOC2"/>
            <w:tabs>
              <w:tab w:val="right" w:pos="9215"/>
            </w:tabs>
            <w:spacing w:before="1"/>
          </w:pPr>
          <w:hyperlink w:anchor="_bookmark25" w:history="1">
            <w:r>
              <w:t>Better</w:t>
            </w:r>
            <w:r>
              <w:rPr>
                <w:spacing w:val="-12"/>
              </w:rPr>
              <w:t xml:space="preserve"> </w:t>
            </w:r>
            <w:r>
              <w:t>Subnational</w:t>
            </w:r>
            <w:r>
              <w:rPr>
                <w:spacing w:val="-12"/>
              </w:rPr>
              <w:t xml:space="preserve"> </w:t>
            </w:r>
            <w:r>
              <w:t>Service</w:t>
            </w:r>
            <w:r>
              <w:rPr>
                <w:spacing w:val="-13"/>
              </w:rPr>
              <w:t xml:space="preserve"> </w:t>
            </w:r>
            <w:r>
              <w:rPr>
                <w:spacing w:val="-2"/>
              </w:rPr>
              <w:t>Delivery</w:t>
            </w:r>
            <w:r>
              <w:rPr>
                <w:rFonts w:ascii="Times New Roman"/>
                <w:b/>
              </w:rPr>
              <w:tab/>
            </w:r>
            <w:r>
              <w:rPr>
                <w:spacing w:val="-5"/>
              </w:rPr>
              <w:t>18</w:t>
            </w:r>
          </w:hyperlink>
        </w:p>
        <w:p w14:paraId="59FD5A28" w14:textId="77777777" w:rsidR="00BC24A8" w:rsidRDefault="00BC24A8">
          <w:pPr>
            <w:pStyle w:val="TOC2"/>
            <w:spacing w:before="38"/>
          </w:pPr>
          <w:hyperlink w:anchor="_bookmark35" w:history="1">
            <w:r>
              <w:t>End</w:t>
            </w:r>
            <w:r>
              <w:rPr>
                <w:spacing w:val="-6"/>
              </w:rPr>
              <w:t xml:space="preserve"> </w:t>
            </w:r>
            <w:r>
              <w:t>of</w:t>
            </w:r>
            <w:r>
              <w:rPr>
                <w:spacing w:val="-10"/>
              </w:rPr>
              <w:t xml:space="preserve"> </w:t>
            </w:r>
            <w:r>
              <w:t>Program</w:t>
            </w:r>
            <w:r>
              <w:rPr>
                <w:spacing w:val="-6"/>
              </w:rPr>
              <w:t xml:space="preserve"> </w:t>
            </w:r>
            <w:r>
              <w:t>Outcome</w:t>
            </w:r>
            <w:r>
              <w:rPr>
                <w:spacing w:val="-7"/>
              </w:rPr>
              <w:t xml:space="preserve"> </w:t>
            </w:r>
            <w:r>
              <w:rPr>
                <w:spacing w:val="-5"/>
              </w:rPr>
              <w:t>3:</w:t>
            </w:r>
          </w:hyperlink>
        </w:p>
        <w:p w14:paraId="6778A1BF" w14:textId="77777777" w:rsidR="00BC24A8" w:rsidRDefault="00BC24A8">
          <w:pPr>
            <w:pStyle w:val="TOC2"/>
            <w:spacing w:before="1"/>
          </w:pPr>
          <w:hyperlink w:anchor="_bookmark35" w:history="1">
            <w:r>
              <w:t>Greater</w:t>
            </w:r>
            <w:r>
              <w:rPr>
                <w:spacing w:val="-12"/>
              </w:rPr>
              <w:t xml:space="preserve"> </w:t>
            </w:r>
            <w:r>
              <w:t>Participation,</w:t>
            </w:r>
            <w:r>
              <w:rPr>
                <w:spacing w:val="-12"/>
              </w:rPr>
              <w:t xml:space="preserve"> </w:t>
            </w:r>
            <w:r>
              <w:t>Representation</w:t>
            </w:r>
            <w:r>
              <w:rPr>
                <w:spacing w:val="-11"/>
              </w:rPr>
              <w:t xml:space="preserve"> </w:t>
            </w:r>
            <w:r>
              <w:t>and</w:t>
            </w:r>
            <w:r>
              <w:rPr>
                <w:spacing w:val="-11"/>
              </w:rPr>
              <w:t xml:space="preserve"> </w:t>
            </w:r>
            <w:r>
              <w:t>Influence</w:t>
            </w:r>
            <w:r>
              <w:rPr>
                <w:spacing w:val="-12"/>
              </w:rPr>
              <w:t xml:space="preserve"> </w:t>
            </w:r>
            <w:r>
              <w:t>of</w:t>
            </w:r>
            <w:r>
              <w:rPr>
                <w:spacing w:val="-12"/>
              </w:rPr>
              <w:t xml:space="preserve"> </w:t>
            </w:r>
            <w:r>
              <w:t>Women,</w:t>
            </w:r>
            <w:r>
              <w:rPr>
                <w:spacing w:val="-12"/>
              </w:rPr>
              <w:t xml:space="preserve"> </w:t>
            </w:r>
            <w:r>
              <w:t>People</w:t>
            </w:r>
            <w:r>
              <w:rPr>
                <w:spacing w:val="-12"/>
              </w:rPr>
              <w:t xml:space="preserve"> </w:t>
            </w:r>
            <w:r>
              <w:t>with</w:t>
            </w:r>
            <w:r>
              <w:rPr>
                <w:spacing w:val="-11"/>
              </w:rPr>
              <w:t xml:space="preserve"> </w:t>
            </w:r>
            <w:r>
              <w:rPr>
                <w:spacing w:val="-2"/>
              </w:rPr>
              <w:t>Disabilities</w:t>
            </w:r>
          </w:hyperlink>
        </w:p>
        <w:p w14:paraId="19E207D6" w14:textId="77777777" w:rsidR="00BC24A8" w:rsidRDefault="00BC24A8">
          <w:pPr>
            <w:pStyle w:val="TOC2"/>
            <w:tabs>
              <w:tab w:val="right" w:pos="9215"/>
            </w:tabs>
          </w:pPr>
          <w:hyperlink w:anchor="_bookmark35" w:history="1">
            <w:r>
              <w:t>and</w:t>
            </w:r>
            <w:r>
              <w:rPr>
                <w:spacing w:val="-9"/>
              </w:rPr>
              <w:t xml:space="preserve"> </w:t>
            </w:r>
            <w:r>
              <w:t>Vulnerable</w:t>
            </w:r>
            <w:r>
              <w:rPr>
                <w:spacing w:val="-10"/>
              </w:rPr>
              <w:t xml:space="preserve"> </w:t>
            </w:r>
            <w:r>
              <w:rPr>
                <w:spacing w:val="-2"/>
              </w:rPr>
              <w:t>groups</w:t>
            </w:r>
            <w:r>
              <w:rPr>
                <w:rFonts w:ascii="Times New Roman"/>
                <w:b/>
              </w:rPr>
              <w:tab/>
            </w:r>
            <w:r>
              <w:rPr>
                <w:spacing w:val="-5"/>
              </w:rPr>
              <w:t>22</w:t>
            </w:r>
          </w:hyperlink>
        </w:p>
        <w:p w14:paraId="0F53625B" w14:textId="77777777" w:rsidR="00BC24A8" w:rsidRDefault="00BC24A8">
          <w:pPr>
            <w:pStyle w:val="TOC1"/>
            <w:tabs>
              <w:tab w:val="right" w:pos="9237"/>
            </w:tabs>
            <w:spacing w:before="240"/>
          </w:pPr>
          <w:hyperlink w:anchor="_bookmark37" w:history="1">
            <w:r>
              <w:rPr>
                <w:spacing w:val="-2"/>
              </w:rPr>
              <w:t>Implementation</w:t>
            </w:r>
            <w:r>
              <w:rPr>
                <w:spacing w:val="-1"/>
              </w:rPr>
              <w:t xml:space="preserve"> </w:t>
            </w:r>
            <w:r>
              <w:rPr>
                <w:spacing w:val="-2"/>
              </w:rPr>
              <w:t>Progress</w:t>
            </w:r>
            <w:r>
              <w:rPr>
                <w:spacing w:val="3"/>
              </w:rPr>
              <w:t xml:space="preserve"> </w:t>
            </w:r>
            <w:r>
              <w:rPr>
                <w:spacing w:val="-2"/>
              </w:rPr>
              <w:t>(Effectiveness</w:t>
            </w:r>
            <w:r>
              <w:rPr>
                <w:spacing w:val="3"/>
              </w:rPr>
              <w:t xml:space="preserve"> </w:t>
            </w:r>
            <w:r>
              <w:rPr>
                <w:spacing w:val="-2"/>
              </w:rPr>
              <w:t>and</w:t>
            </w:r>
            <w:r>
              <w:rPr>
                <w:spacing w:val="-1"/>
              </w:rPr>
              <w:t xml:space="preserve"> </w:t>
            </w:r>
            <w:r>
              <w:rPr>
                <w:spacing w:val="-2"/>
              </w:rPr>
              <w:t>Efficiency)</w:t>
            </w:r>
            <w:r>
              <w:rPr>
                <w:rFonts w:ascii="Times New Roman"/>
                <w:b/>
              </w:rPr>
              <w:tab/>
            </w:r>
            <w:r>
              <w:rPr>
                <w:spacing w:val="-5"/>
              </w:rPr>
              <w:t>25</w:t>
            </w:r>
          </w:hyperlink>
        </w:p>
        <w:p w14:paraId="0CF0E6B9" w14:textId="77777777" w:rsidR="00BC24A8" w:rsidRDefault="00BC24A8">
          <w:pPr>
            <w:pStyle w:val="TOC2"/>
            <w:tabs>
              <w:tab w:val="right" w:pos="9215"/>
            </w:tabs>
            <w:spacing w:before="101"/>
          </w:pPr>
          <w:hyperlink w:anchor="_bookmark38" w:history="1">
            <w:r>
              <w:t>Adequacy</w:t>
            </w:r>
            <w:r>
              <w:rPr>
                <w:spacing w:val="-7"/>
              </w:rPr>
              <w:t xml:space="preserve"> </w:t>
            </w:r>
            <w:r>
              <w:t>of</w:t>
            </w:r>
            <w:r>
              <w:rPr>
                <w:spacing w:val="-9"/>
              </w:rPr>
              <w:t xml:space="preserve"> </w:t>
            </w:r>
            <w:r>
              <w:t>Progress</w:t>
            </w:r>
            <w:r>
              <w:rPr>
                <w:spacing w:val="-9"/>
              </w:rPr>
              <w:t xml:space="preserve"> </w:t>
            </w:r>
            <w:r>
              <w:t>against</w:t>
            </w:r>
            <w:r>
              <w:rPr>
                <w:spacing w:val="-7"/>
              </w:rPr>
              <w:t xml:space="preserve"> </w:t>
            </w:r>
            <w:r>
              <w:t>the</w:t>
            </w:r>
            <w:r>
              <w:rPr>
                <w:spacing w:val="-9"/>
              </w:rPr>
              <w:t xml:space="preserve"> </w:t>
            </w:r>
            <w:r>
              <w:t>Work</w:t>
            </w:r>
            <w:r>
              <w:rPr>
                <w:spacing w:val="-8"/>
              </w:rPr>
              <w:t xml:space="preserve"> </w:t>
            </w:r>
            <w:r>
              <w:rPr>
                <w:spacing w:val="-4"/>
              </w:rPr>
              <w:t>Plan</w:t>
            </w:r>
            <w:r>
              <w:rPr>
                <w:rFonts w:ascii="Times New Roman"/>
                <w:b/>
              </w:rPr>
              <w:tab/>
            </w:r>
            <w:r>
              <w:rPr>
                <w:spacing w:val="-5"/>
              </w:rPr>
              <w:t>25</w:t>
            </w:r>
          </w:hyperlink>
        </w:p>
        <w:p w14:paraId="10CFFA63" w14:textId="77777777" w:rsidR="00BC24A8" w:rsidRDefault="00BC24A8">
          <w:pPr>
            <w:pStyle w:val="TOC1"/>
            <w:tabs>
              <w:tab w:val="right" w:pos="9236"/>
            </w:tabs>
            <w:spacing w:before="240"/>
          </w:pPr>
          <w:hyperlink w:anchor="_bookmark39" w:history="1">
            <w:r>
              <w:t>Gender</w:t>
            </w:r>
            <w:r>
              <w:rPr>
                <w:spacing w:val="-8"/>
              </w:rPr>
              <w:t xml:space="preserve"> </w:t>
            </w:r>
            <w:r>
              <w:rPr>
                <w:spacing w:val="-2"/>
              </w:rPr>
              <w:t>Equality</w:t>
            </w:r>
            <w:r>
              <w:rPr>
                <w:rFonts w:ascii="Times New Roman"/>
                <w:b/>
              </w:rPr>
              <w:tab/>
            </w:r>
            <w:r>
              <w:rPr>
                <w:spacing w:val="-5"/>
              </w:rPr>
              <w:t>27</w:t>
            </w:r>
          </w:hyperlink>
        </w:p>
        <w:p w14:paraId="15C55DC4" w14:textId="77777777" w:rsidR="00BC24A8" w:rsidRDefault="00BC24A8">
          <w:pPr>
            <w:pStyle w:val="TOC1"/>
            <w:tabs>
              <w:tab w:val="right" w:pos="9236"/>
            </w:tabs>
            <w:spacing w:before="1"/>
          </w:pPr>
          <w:hyperlink w:anchor="_bookmark40" w:history="1">
            <w:r>
              <w:t>Disability</w:t>
            </w:r>
            <w:r>
              <w:rPr>
                <w:spacing w:val="-4"/>
              </w:rPr>
              <w:t xml:space="preserve"> </w:t>
            </w:r>
            <w:r>
              <w:rPr>
                <w:spacing w:val="-2"/>
              </w:rPr>
              <w:t>Equity</w:t>
            </w:r>
            <w:r>
              <w:rPr>
                <w:rFonts w:ascii="Times New Roman"/>
                <w:b/>
              </w:rPr>
              <w:tab/>
            </w:r>
            <w:r>
              <w:rPr>
                <w:spacing w:val="-5"/>
              </w:rPr>
              <w:t>29</w:t>
            </w:r>
          </w:hyperlink>
        </w:p>
        <w:p w14:paraId="4FAAEBB6" w14:textId="77777777" w:rsidR="00BC24A8" w:rsidRDefault="00BC24A8">
          <w:pPr>
            <w:pStyle w:val="TOC2"/>
            <w:tabs>
              <w:tab w:val="right" w:pos="9215"/>
            </w:tabs>
            <w:spacing w:before="98"/>
          </w:pPr>
          <w:hyperlink w:anchor="_bookmark41" w:history="1">
            <w:r>
              <w:t>Context</w:t>
            </w:r>
            <w:r>
              <w:rPr>
                <w:spacing w:val="-8"/>
              </w:rPr>
              <w:t xml:space="preserve"> </w:t>
            </w:r>
            <w:r>
              <w:t>Underpinning</w:t>
            </w:r>
            <w:r>
              <w:rPr>
                <w:spacing w:val="-8"/>
              </w:rPr>
              <w:t xml:space="preserve"> </w:t>
            </w:r>
            <w:r>
              <w:t>the</w:t>
            </w:r>
            <w:r>
              <w:rPr>
                <w:spacing w:val="-10"/>
              </w:rPr>
              <w:t xml:space="preserve"> </w:t>
            </w:r>
            <w:r>
              <w:t>Approach</w:t>
            </w:r>
            <w:r>
              <w:rPr>
                <w:spacing w:val="-6"/>
              </w:rPr>
              <w:t xml:space="preserve"> </w:t>
            </w:r>
            <w:r>
              <w:t>and</w:t>
            </w:r>
            <w:r>
              <w:rPr>
                <w:spacing w:val="-7"/>
              </w:rPr>
              <w:t xml:space="preserve"> </w:t>
            </w:r>
            <w:r>
              <w:t>Informed</w:t>
            </w:r>
            <w:r>
              <w:rPr>
                <w:spacing w:val="-9"/>
              </w:rPr>
              <w:t xml:space="preserve"> </w:t>
            </w:r>
            <w:r>
              <w:rPr>
                <w:spacing w:val="-2"/>
              </w:rPr>
              <w:t>Investment</w:t>
            </w:r>
            <w:r>
              <w:rPr>
                <w:rFonts w:ascii="Times New Roman"/>
                <w:b/>
              </w:rPr>
              <w:tab/>
            </w:r>
            <w:r>
              <w:rPr>
                <w:spacing w:val="-5"/>
              </w:rPr>
              <w:t>29</w:t>
            </w:r>
          </w:hyperlink>
        </w:p>
        <w:p w14:paraId="6B219834" w14:textId="77777777" w:rsidR="00BC24A8" w:rsidRDefault="00BC24A8">
          <w:pPr>
            <w:pStyle w:val="TOC1"/>
            <w:tabs>
              <w:tab w:val="right" w:pos="9236"/>
            </w:tabs>
            <w:spacing w:before="241"/>
          </w:pPr>
          <w:hyperlink w:anchor="_bookmark43" w:history="1">
            <w:r>
              <w:t>Climate</w:t>
            </w:r>
            <w:r>
              <w:rPr>
                <w:spacing w:val="-11"/>
              </w:rPr>
              <w:t xml:space="preserve"> </w:t>
            </w:r>
            <w:r>
              <w:rPr>
                <w:spacing w:val="-2"/>
              </w:rPr>
              <w:t>Change</w:t>
            </w:r>
            <w:r>
              <w:rPr>
                <w:rFonts w:ascii="Times New Roman"/>
                <w:b/>
              </w:rPr>
              <w:tab/>
            </w:r>
            <w:r>
              <w:rPr>
                <w:spacing w:val="-7"/>
              </w:rPr>
              <w:t>31</w:t>
            </w:r>
          </w:hyperlink>
        </w:p>
        <w:p w14:paraId="02D90319" w14:textId="77777777" w:rsidR="00BC24A8" w:rsidRDefault="00BC24A8">
          <w:pPr>
            <w:pStyle w:val="TOC2"/>
            <w:tabs>
              <w:tab w:val="right" w:pos="9215"/>
            </w:tabs>
            <w:spacing w:before="98" w:after="20"/>
          </w:pPr>
          <w:hyperlink w:anchor="_bookmark44" w:history="1">
            <w:r>
              <w:t>Context</w:t>
            </w:r>
            <w:r>
              <w:rPr>
                <w:spacing w:val="-6"/>
              </w:rPr>
              <w:t xml:space="preserve"> </w:t>
            </w:r>
            <w:r>
              <w:t>and</w:t>
            </w:r>
            <w:r>
              <w:rPr>
                <w:spacing w:val="-6"/>
              </w:rPr>
              <w:t xml:space="preserve"> </w:t>
            </w:r>
            <w:r>
              <w:rPr>
                <w:spacing w:val="-2"/>
              </w:rPr>
              <w:t>Rationale</w:t>
            </w:r>
            <w:r>
              <w:rPr>
                <w:rFonts w:ascii="Times New Roman"/>
                <w:b/>
              </w:rPr>
              <w:tab/>
            </w:r>
            <w:r>
              <w:rPr>
                <w:spacing w:val="-5"/>
              </w:rPr>
              <w:t>31</w:t>
            </w:r>
          </w:hyperlink>
        </w:p>
        <w:p w14:paraId="5A588177" w14:textId="77777777" w:rsidR="00BC24A8" w:rsidRDefault="00BC24A8">
          <w:pPr>
            <w:pStyle w:val="TOC2"/>
            <w:tabs>
              <w:tab w:val="right" w:pos="9215"/>
            </w:tabs>
            <w:spacing w:before="40"/>
          </w:pPr>
          <w:hyperlink w:anchor="_bookmark45" w:history="1">
            <w:r>
              <w:t>Progress</w:t>
            </w:r>
            <w:r>
              <w:rPr>
                <w:spacing w:val="-9"/>
              </w:rPr>
              <w:t xml:space="preserve"> </w:t>
            </w:r>
            <w:r>
              <w:t>and</w:t>
            </w:r>
            <w:r>
              <w:rPr>
                <w:spacing w:val="-9"/>
              </w:rPr>
              <w:t xml:space="preserve"> </w:t>
            </w:r>
            <w:r>
              <w:rPr>
                <w:spacing w:val="-2"/>
              </w:rPr>
              <w:t>Achievements</w:t>
            </w:r>
            <w:r>
              <w:rPr>
                <w:rFonts w:ascii="Times New Roman"/>
                <w:b/>
              </w:rPr>
              <w:tab/>
            </w:r>
            <w:r>
              <w:rPr>
                <w:spacing w:val="-5"/>
              </w:rPr>
              <w:t>31</w:t>
            </w:r>
          </w:hyperlink>
        </w:p>
        <w:p w14:paraId="106B9298" w14:textId="77777777" w:rsidR="00BC24A8" w:rsidRDefault="00BC24A8">
          <w:pPr>
            <w:pStyle w:val="TOC2"/>
            <w:tabs>
              <w:tab w:val="right" w:pos="9215"/>
            </w:tabs>
          </w:pPr>
          <w:hyperlink w:anchor="_bookmark46" w:history="1">
            <w:r>
              <w:t>Effectiveness</w:t>
            </w:r>
            <w:r>
              <w:rPr>
                <w:spacing w:val="-13"/>
              </w:rPr>
              <w:t xml:space="preserve"> </w:t>
            </w:r>
            <w:r>
              <w:t>and</w:t>
            </w:r>
            <w:r>
              <w:rPr>
                <w:spacing w:val="-12"/>
              </w:rPr>
              <w:t xml:space="preserve"> </w:t>
            </w:r>
            <w:r>
              <w:t>Risk</w:t>
            </w:r>
            <w:r>
              <w:rPr>
                <w:spacing w:val="-12"/>
              </w:rPr>
              <w:t xml:space="preserve"> </w:t>
            </w:r>
            <w:r>
              <w:rPr>
                <w:spacing w:val="-2"/>
              </w:rPr>
              <w:t>Management</w:t>
            </w:r>
            <w:r>
              <w:rPr>
                <w:rFonts w:ascii="Times New Roman"/>
                <w:b/>
              </w:rPr>
              <w:tab/>
            </w:r>
            <w:r>
              <w:rPr>
                <w:spacing w:val="-5"/>
              </w:rPr>
              <w:t>31</w:t>
            </w:r>
          </w:hyperlink>
        </w:p>
        <w:p w14:paraId="09E38BF7" w14:textId="77777777" w:rsidR="00BC24A8" w:rsidRDefault="00BC24A8">
          <w:pPr>
            <w:pStyle w:val="TOC2"/>
            <w:tabs>
              <w:tab w:val="right" w:pos="9215"/>
            </w:tabs>
            <w:spacing w:before="1"/>
          </w:pPr>
          <w:hyperlink w:anchor="_bookmark47" w:history="1">
            <w:r>
              <w:t>Next</w:t>
            </w:r>
            <w:r>
              <w:rPr>
                <w:spacing w:val="-5"/>
              </w:rPr>
              <w:t xml:space="preserve"> </w:t>
            </w:r>
            <w:r>
              <w:rPr>
                <w:spacing w:val="-2"/>
              </w:rPr>
              <w:t>Steps</w:t>
            </w:r>
            <w:r>
              <w:rPr>
                <w:rFonts w:ascii="Times New Roman"/>
                <w:b/>
              </w:rPr>
              <w:tab/>
            </w:r>
            <w:r>
              <w:rPr>
                <w:spacing w:val="-5"/>
              </w:rPr>
              <w:t>32</w:t>
            </w:r>
          </w:hyperlink>
        </w:p>
        <w:p w14:paraId="797D45CA" w14:textId="77777777" w:rsidR="00BC24A8" w:rsidRDefault="00BC24A8">
          <w:pPr>
            <w:pStyle w:val="TOC1"/>
            <w:tabs>
              <w:tab w:val="right" w:pos="9237"/>
            </w:tabs>
            <w:spacing w:before="240"/>
          </w:pPr>
          <w:hyperlink w:anchor="_bookmark48" w:history="1">
            <w:r>
              <w:t>Locally</w:t>
            </w:r>
            <w:r>
              <w:rPr>
                <w:spacing w:val="-8"/>
              </w:rPr>
              <w:t xml:space="preserve"> </w:t>
            </w:r>
            <w:r>
              <w:t>Thematic</w:t>
            </w:r>
            <w:r>
              <w:rPr>
                <w:spacing w:val="-10"/>
              </w:rPr>
              <w:t xml:space="preserve"> </w:t>
            </w:r>
            <w:r>
              <w:t>Priority</w:t>
            </w:r>
            <w:r>
              <w:rPr>
                <w:spacing w:val="-9"/>
              </w:rPr>
              <w:t xml:space="preserve"> </w:t>
            </w:r>
            <w:r>
              <w:rPr>
                <w:spacing w:val="-4"/>
              </w:rPr>
              <w:t>Areas</w:t>
            </w:r>
            <w:r>
              <w:rPr>
                <w:rFonts w:ascii="Times New Roman"/>
                <w:b/>
              </w:rPr>
              <w:tab/>
            </w:r>
            <w:r>
              <w:rPr>
                <w:spacing w:val="-5"/>
              </w:rPr>
              <w:t>33</w:t>
            </w:r>
          </w:hyperlink>
        </w:p>
        <w:p w14:paraId="55EB4606" w14:textId="77777777" w:rsidR="00BC24A8" w:rsidRDefault="00BC24A8">
          <w:pPr>
            <w:pStyle w:val="TOC2"/>
            <w:tabs>
              <w:tab w:val="right" w:pos="9215"/>
            </w:tabs>
            <w:spacing w:before="98"/>
          </w:pPr>
          <w:hyperlink w:anchor="_bookmark49" w:history="1">
            <w:r>
              <w:t>Locally</w:t>
            </w:r>
            <w:r>
              <w:rPr>
                <w:spacing w:val="-4"/>
              </w:rPr>
              <w:t xml:space="preserve"> </w:t>
            </w:r>
            <w:r>
              <w:t>Led</w:t>
            </w:r>
            <w:r>
              <w:rPr>
                <w:spacing w:val="-1"/>
              </w:rPr>
              <w:t xml:space="preserve"> </w:t>
            </w:r>
            <w:r>
              <w:rPr>
                <w:spacing w:val="-2"/>
              </w:rPr>
              <w:t>Development</w:t>
            </w:r>
            <w:r>
              <w:rPr>
                <w:rFonts w:ascii="Times New Roman"/>
                <w:b/>
              </w:rPr>
              <w:tab/>
            </w:r>
            <w:r>
              <w:rPr>
                <w:spacing w:val="-5"/>
              </w:rPr>
              <w:t>33</w:t>
            </w:r>
          </w:hyperlink>
        </w:p>
        <w:p w14:paraId="3DEA46E5" w14:textId="77777777" w:rsidR="00BC24A8" w:rsidRDefault="00BC24A8">
          <w:pPr>
            <w:pStyle w:val="TOC2"/>
            <w:tabs>
              <w:tab w:val="right" w:pos="9215"/>
            </w:tabs>
            <w:spacing w:before="1"/>
          </w:pPr>
          <w:hyperlink w:anchor="_bookmark50" w:history="1">
            <w:r>
              <w:t>Democratic</w:t>
            </w:r>
            <w:r>
              <w:rPr>
                <w:spacing w:val="-10"/>
              </w:rPr>
              <w:t xml:space="preserve"> </w:t>
            </w:r>
            <w:r>
              <w:t>Resilience</w:t>
            </w:r>
            <w:r>
              <w:rPr>
                <w:spacing w:val="-11"/>
              </w:rPr>
              <w:t xml:space="preserve"> </w:t>
            </w:r>
            <w:r>
              <w:t>and</w:t>
            </w:r>
            <w:r>
              <w:rPr>
                <w:spacing w:val="-11"/>
              </w:rPr>
              <w:t xml:space="preserve"> </w:t>
            </w:r>
            <w:r>
              <w:t>Addressing</w:t>
            </w:r>
            <w:r>
              <w:rPr>
                <w:spacing w:val="-10"/>
              </w:rPr>
              <w:t xml:space="preserve"> </w:t>
            </w:r>
            <w:r>
              <w:rPr>
                <w:spacing w:val="-2"/>
              </w:rPr>
              <w:t>Corruption</w:t>
            </w:r>
            <w:r>
              <w:rPr>
                <w:rFonts w:ascii="Times New Roman"/>
                <w:b/>
              </w:rPr>
              <w:tab/>
            </w:r>
            <w:r>
              <w:rPr>
                <w:spacing w:val="-5"/>
              </w:rPr>
              <w:t>33</w:t>
            </w:r>
          </w:hyperlink>
        </w:p>
        <w:p w14:paraId="5FAE9C8D" w14:textId="77777777" w:rsidR="00BC24A8" w:rsidRDefault="00BC24A8">
          <w:pPr>
            <w:pStyle w:val="TOC1"/>
            <w:tabs>
              <w:tab w:val="right" w:pos="9236"/>
            </w:tabs>
            <w:spacing w:before="240"/>
          </w:pPr>
          <w:hyperlink w:anchor="_bookmark51" w:history="1">
            <w:r>
              <w:t>Monitoring,</w:t>
            </w:r>
            <w:r>
              <w:rPr>
                <w:spacing w:val="-9"/>
              </w:rPr>
              <w:t xml:space="preserve"> </w:t>
            </w:r>
            <w:r>
              <w:t>Evaluation,</w:t>
            </w:r>
            <w:r>
              <w:rPr>
                <w:spacing w:val="-7"/>
              </w:rPr>
              <w:t xml:space="preserve"> </w:t>
            </w:r>
            <w:r>
              <w:t>and</w:t>
            </w:r>
            <w:r>
              <w:rPr>
                <w:spacing w:val="-10"/>
              </w:rPr>
              <w:t xml:space="preserve"> </w:t>
            </w:r>
            <w:r>
              <w:t>Learning</w:t>
            </w:r>
            <w:r>
              <w:rPr>
                <w:spacing w:val="-10"/>
              </w:rPr>
              <w:t xml:space="preserve"> </w:t>
            </w:r>
            <w:r>
              <w:rPr>
                <w:spacing w:val="-4"/>
              </w:rPr>
              <w:t>(MEL)</w:t>
            </w:r>
            <w:r>
              <w:rPr>
                <w:rFonts w:ascii="Times New Roman"/>
                <w:b/>
              </w:rPr>
              <w:tab/>
            </w:r>
            <w:r>
              <w:rPr>
                <w:spacing w:val="-5"/>
              </w:rPr>
              <w:t>34</w:t>
            </w:r>
          </w:hyperlink>
        </w:p>
        <w:p w14:paraId="48B8B380" w14:textId="77777777" w:rsidR="00BC24A8" w:rsidRDefault="00BC24A8">
          <w:pPr>
            <w:pStyle w:val="TOC1"/>
            <w:tabs>
              <w:tab w:val="right" w:pos="9236"/>
            </w:tabs>
          </w:pPr>
          <w:hyperlink w:anchor="_bookmark52" w:history="1">
            <w:r>
              <w:t>Management</w:t>
            </w:r>
            <w:r>
              <w:rPr>
                <w:spacing w:val="-10"/>
              </w:rPr>
              <w:t xml:space="preserve"> </w:t>
            </w:r>
            <w:r>
              <w:t>and</w:t>
            </w:r>
            <w:r>
              <w:rPr>
                <w:spacing w:val="-12"/>
              </w:rPr>
              <w:t xml:space="preserve"> </w:t>
            </w:r>
            <w:r>
              <w:t>Operations</w:t>
            </w:r>
            <w:r>
              <w:rPr>
                <w:spacing w:val="-9"/>
              </w:rPr>
              <w:t xml:space="preserve"> </w:t>
            </w:r>
            <w:r>
              <w:rPr>
                <w:spacing w:val="-2"/>
              </w:rPr>
              <w:t>(Efficiency)</w:t>
            </w:r>
            <w:r>
              <w:rPr>
                <w:rFonts w:ascii="Times New Roman"/>
                <w:b/>
              </w:rPr>
              <w:tab/>
            </w:r>
            <w:r>
              <w:rPr>
                <w:spacing w:val="-5"/>
              </w:rPr>
              <w:t>35</w:t>
            </w:r>
          </w:hyperlink>
        </w:p>
        <w:p w14:paraId="70CB0D03" w14:textId="77777777" w:rsidR="00BC24A8" w:rsidRDefault="00BC24A8">
          <w:pPr>
            <w:pStyle w:val="TOC1"/>
            <w:tabs>
              <w:tab w:val="right" w:pos="9236"/>
            </w:tabs>
            <w:spacing w:line="267" w:lineRule="exact"/>
          </w:pPr>
          <w:hyperlink w:anchor="_bookmark53" w:history="1">
            <w:r>
              <w:t>Learning</w:t>
            </w:r>
            <w:r>
              <w:rPr>
                <w:spacing w:val="-11"/>
              </w:rPr>
              <w:t xml:space="preserve"> </w:t>
            </w:r>
            <w:r>
              <w:t>and</w:t>
            </w:r>
            <w:r>
              <w:rPr>
                <w:spacing w:val="-9"/>
              </w:rPr>
              <w:t xml:space="preserve"> </w:t>
            </w:r>
            <w:r>
              <w:t>Recommendations</w:t>
            </w:r>
            <w:r>
              <w:rPr>
                <w:spacing w:val="-11"/>
              </w:rPr>
              <w:t xml:space="preserve"> </w:t>
            </w:r>
            <w:r>
              <w:rPr>
                <w:spacing w:val="-2"/>
              </w:rPr>
              <w:t>(Efficiency)</w:t>
            </w:r>
            <w:r>
              <w:rPr>
                <w:rFonts w:ascii="Times New Roman"/>
                <w:b/>
              </w:rPr>
              <w:tab/>
            </w:r>
            <w:r>
              <w:rPr>
                <w:spacing w:val="-5"/>
              </w:rPr>
              <w:t>36</w:t>
            </w:r>
          </w:hyperlink>
        </w:p>
        <w:p w14:paraId="38BF324A" w14:textId="77777777" w:rsidR="00BC24A8" w:rsidRDefault="00BC24A8">
          <w:pPr>
            <w:pStyle w:val="TOC1"/>
            <w:tabs>
              <w:tab w:val="right" w:pos="9236"/>
            </w:tabs>
            <w:spacing w:line="267" w:lineRule="exact"/>
          </w:pPr>
          <w:hyperlink w:anchor="_bookmark54" w:history="1">
            <w:r>
              <w:t>Next</w:t>
            </w:r>
            <w:r>
              <w:rPr>
                <w:spacing w:val="-5"/>
              </w:rPr>
              <w:t xml:space="preserve"> </w:t>
            </w:r>
            <w:r>
              <w:rPr>
                <w:spacing w:val="-2"/>
              </w:rPr>
              <w:t>Steps</w:t>
            </w:r>
            <w:r>
              <w:rPr>
                <w:rFonts w:ascii="Times New Roman"/>
                <w:b/>
              </w:rPr>
              <w:tab/>
            </w:r>
            <w:r>
              <w:rPr>
                <w:spacing w:val="-5"/>
              </w:rPr>
              <w:t>37</w:t>
            </w:r>
          </w:hyperlink>
        </w:p>
        <w:p w14:paraId="19F900A6" w14:textId="77777777" w:rsidR="00BC24A8" w:rsidRDefault="00BC24A8">
          <w:pPr>
            <w:pStyle w:val="TOC1"/>
            <w:tabs>
              <w:tab w:val="right" w:pos="9236"/>
            </w:tabs>
            <w:spacing w:before="1"/>
          </w:pPr>
          <w:hyperlink w:anchor="_bookmark56" w:history="1">
            <w:r>
              <w:t>Annex</w:t>
            </w:r>
            <w:r>
              <w:rPr>
                <w:spacing w:val="-14"/>
              </w:rPr>
              <w:t xml:space="preserve"> </w:t>
            </w:r>
            <w:r>
              <w:t>1:</w:t>
            </w:r>
            <w:r>
              <w:rPr>
                <w:spacing w:val="-8"/>
              </w:rPr>
              <w:t xml:space="preserve"> </w:t>
            </w:r>
            <w:r>
              <w:t>Evidence</w:t>
            </w:r>
            <w:r>
              <w:rPr>
                <w:spacing w:val="-9"/>
              </w:rPr>
              <w:t xml:space="preserve"> </w:t>
            </w:r>
            <w:r>
              <w:t>of</w:t>
            </w:r>
            <w:r>
              <w:rPr>
                <w:spacing w:val="-10"/>
              </w:rPr>
              <w:t xml:space="preserve"> </w:t>
            </w:r>
            <w:r>
              <w:t>Influence</w:t>
            </w:r>
            <w:r>
              <w:rPr>
                <w:spacing w:val="-9"/>
              </w:rPr>
              <w:t xml:space="preserve"> </w:t>
            </w:r>
            <w:r>
              <w:t>from</w:t>
            </w:r>
            <w:r>
              <w:rPr>
                <w:spacing w:val="-8"/>
              </w:rPr>
              <w:t xml:space="preserve"> </w:t>
            </w:r>
            <w:r>
              <w:t>Fiscal</w:t>
            </w:r>
            <w:r>
              <w:rPr>
                <w:spacing w:val="-9"/>
              </w:rPr>
              <w:t xml:space="preserve"> </w:t>
            </w:r>
            <w:r>
              <w:t>Transfer</w:t>
            </w:r>
            <w:r>
              <w:rPr>
                <w:spacing w:val="-10"/>
              </w:rPr>
              <w:t xml:space="preserve"> </w:t>
            </w:r>
            <w:r>
              <w:rPr>
                <w:spacing w:val="-2"/>
              </w:rPr>
              <w:t>Improvements</w:t>
            </w:r>
            <w:r>
              <w:rPr>
                <w:rFonts w:ascii="Times New Roman"/>
                <w:b/>
              </w:rPr>
              <w:tab/>
            </w:r>
            <w:r>
              <w:rPr>
                <w:spacing w:val="-5"/>
              </w:rPr>
              <w:t>38</w:t>
            </w:r>
          </w:hyperlink>
        </w:p>
        <w:p w14:paraId="009AA9E3" w14:textId="77777777" w:rsidR="00BC24A8" w:rsidRDefault="00BC24A8">
          <w:pPr>
            <w:pStyle w:val="TOC2"/>
            <w:tabs>
              <w:tab w:val="right" w:pos="9215"/>
            </w:tabs>
            <w:spacing w:before="101"/>
          </w:pPr>
          <w:hyperlink w:anchor="_bookmark57" w:history="1">
            <w:r>
              <w:t>General</w:t>
            </w:r>
            <w:r>
              <w:rPr>
                <w:spacing w:val="-9"/>
              </w:rPr>
              <w:t xml:space="preserve"> </w:t>
            </w:r>
            <w:r>
              <w:t>Allocation</w:t>
            </w:r>
            <w:r>
              <w:rPr>
                <w:spacing w:val="-8"/>
              </w:rPr>
              <w:t xml:space="preserve"> </w:t>
            </w:r>
            <w:r>
              <w:t>Fund</w:t>
            </w:r>
            <w:r>
              <w:rPr>
                <w:spacing w:val="-7"/>
              </w:rPr>
              <w:t xml:space="preserve"> </w:t>
            </w:r>
            <w:r>
              <w:rPr>
                <w:spacing w:val="-2"/>
              </w:rPr>
              <w:t>(DAU)</w:t>
            </w:r>
            <w:r>
              <w:rPr>
                <w:rFonts w:ascii="Times New Roman"/>
                <w:b/>
              </w:rPr>
              <w:tab/>
            </w:r>
            <w:r>
              <w:rPr>
                <w:spacing w:val="-5"/>
              </w:rPr>
              <w:t>38</w:t>
            </w:r>
          </w:hyperlink>
        </w:p>
        <w:p w14:paraId="48742B2D" w14:textId="77777777" w:rsidR="00BC24A8" w:rsidRDefault="00BC24A8">
          <w:pPr>
            <w:pStyle w:val="TOC2"/>
            <w:tabs>
              <w:tab w:val="right" w:pos="9215"/>
            </w:tabs>
          </w:pPr>
          <w:hyperlink w:anchor="_bookmark68" w:history="1">
            <w:r>
              <w:t>Special</w:t>
            </w:r>
            <w:r>
              <w:rPr>
                <w:spacing w:val="-12"/>
              </w:rPr>
              <w:t xml:space="preserve"> </w:t>
            </w:r>
            <w:r>
              <w:t>Autonomy</w:t>
            </w:r>
            <w:r>
              <w:rPr>
                <w:spacing w:val="-11"/>
              </w:rPr>
              <w:t xml:space="preserve"> </w:t>
            </w:r>
            <w:r>
              <w:t>(OTSUS)</w:t>
            </w:r>
            <w:r>
              <w:rPr>
                <w:spacing w:val="-12"/>
              </w:rPr>
              <w:t xml:space="preserve"> </w:t>
            </w:r>
            <w:r>
              <w:rPr>
                <w:spacing w:val="-2"/>
              </w:rPr>
              <w:t>Funds</w:t>
            </w:r>
            <w:r>
              <w:rPr>
                <w:rFonts w:ascii="Times New Roman"/>
                <w:b/>
              </w:rPr>
              <w:tab/>
            </w:r>
            <w:r>
              <w:rPr>
                <w:spacing w:val="-5"/>
              </w:rPr>
              <w:t>43</w:t>
            </w:r>
          </w:hyperlink>
        </w:p>
        <w:p w14:paraId="2BA942A7" w14:textId="77777777" w:rsidR="00BC24A8" w:rsidRDefault="00BC24A8">
          <w:pPr>
            <w:pStyle w:val="TOC1"/>
            <w:tabs>
              <w:tab w:val="right" w:pos="9236"/>
            </w:tabs>
            <w:spacing w:before="240"/>
          </w:pPr>
          <w:hyperlink w:anchor="_bookmark77" w:history="1">
            <w:r>
              <w:t>Annex</w:t>
            </w:r>
            <w:r>
              <w:rPr>
                <w:spacing w:val="-11"/>
              </w:rPr>
              <w:t xml:space="preserve"> </w:t>
            </w:r>
            <w:r>
              <w:t>2-</w:t>
            </w:r>
            <w:r>
              <w:rPr>
                <w:spacing w:val="-5"/>
              </w:rPr>
              <w:t xml:space="preserve"> </w:t>
            </w:r>
            <w:r>
              <w:t>SKALA</w:t>
            </w:r>
            <w:r>
              <w:rPr>
                <w:spacing w:val="-7"/>
              </w:rPr>
              <w:t xml:space="preserve"> </w:t>
            </w:r>
            <w:r>
              <w:t>supported</w:t>
            </w:r>
            <w:r>
              <w:rPr>
                <w:spacing w:val="-7"/>
              </w:rPr>
              <w:t xml:space="preserve"> </w:t>
            </w:r>
            <w:r>
              <w:t>Papuan</w:t>
            </w:r>
            <w:r>
              <w:rPr>
                <w:spacing w:val="-8"/>
              </w:rPr>
              <w:t xml:space="preserve"> </w:t>
            </w:r>
            <w:r>
              <w:t>province</w:t>
            </w:r>
            <w:r>
              <w:rPr>
                <w:spacing w:val="-6"/>
              </w:rPr>
              <w:t xml:space="preserve"> </w:t>
            </w:r>
            <w:r>
              <w:t>program</w:t>
            </w:r>
            <w:r>
              <w:rPr>
                <w:spacing w:val="-4"/>
              </w:rPr>
              <w:t xml:space="preserve"> </w:t>
            </w:r>
            <w:r>
              <w:rPr>
                <w:spacing w:val="-2"/>
              </w:rPr>
              <w:t>improvements</w:t>
            </w:r>
            <w:r>
              <w:rPr>
                <w:rFonts w:ascii="Times New Roman"/>
                <w:b/>
              </w:rPr>
              <w:tab/>
            </w:r>
            <w:r>
              <w:rPr>
                <w:spacing w:val="-5"/>
              </w:rPr>
              <w:t>46</w:t>
            </w:r>
          </w:hyperlink>
        </w:p>
        <w:p w14:paraId="176ED5CA" w14:textId="77777777" w:rsidR="00BC24A8" w:rsidRDefault="00BC24A8">
          <w:pPr>
            <w:pStyle w:val="TOC1"/>
            <w:tabs>
              <w:tab w:val="right" w:pos="9236"/>
            </w:tabs>
          </w:pPr>
          <w:hyperlink w:anchor="_bookmark84" w:history="1">
            <w:r>
              <w:t>Annex</w:t>
            </w:r>
            <w:r>
              <w:rPr>
                <w:spacing w:val="-13"/>
              </w:rPr>
              <w:t xml:space="preserve"> </w:t>
            </w:r>
            <w:r>
              <w:t>3:</w:t>
            </w:r>
            <w:r>
              <w:rPr>
                <w:spacing w:val="-12"/>
              </w:rPr>
              <w:t xml:space="preserve"> </w:t>
            </w:r>
            <w:r>
              <w:t>Indicator</w:t>
            </w:r>
            <w:r>
              <w:rPr>
                <w:spacing w:val="-10"/>
              </w:rPr>
              <w:t xml:space="preserve"> </w:t>
            </w:r>
            <w:r>
              <w:t>Tracking</w:t>
            </w:r>
            <w:r>
              <w:rPr>
                <w:spacing w:val="-12"/>
              </w:rPr>
              <w:t xml:space="preserve"> </w:t>
            </w:r>
            <w:r>
              <w:rPr>
                <w:spacing w:val="-2"/>
              </w:rPr>
              <w:t>Matrix</w:t>
            </w:r>
            <w:r>
              <w:rPr>
                <w:rFonts w:ascii="Times New Roman"/>
                <w:b/>
              </w:rPr>
              <w:tab/>
            </w:r>
            <w:r>
              <w:rPr>
                <w:spacing w:val="-5"/>
              </w:rPr>
              <w:t>48</w:t>
            </w:r>
          </w:hyperlink>
        </w:p>
        <w:p w14:paraId="120C670D" w14:textId="77777777" w:rsidR="00BC24A8" w:rsidRDefault="00BC24A8">
          <w:pPr>
            <w:pStyle w:val="TOC1"/>
            <w:tabs>
              <w:tab w:val="right" w:pos="9236"/>
            </w:tabs>
            <w:spacing w:before="1" w:line="267" w:lineRule="exact"/>
          </w:pPr>
          <w:hyperlink w:anchor="_bookmark85" w:history="1">
            <w:r>
              <w:t>Annex</w:t>
            </w:r>
            <w:r>
              <w:rPr>
                <w:spacing w:val="-10"/>
              </w:rPr>
              <w:t xml:space="preserve"> </w:t>
            </w:r>
            <w:r>
              <w:t>4:</w:t>
            </w:r>
            <w:r>
              <w:rPr>
                <w:spacing w:val="-7"/>
              </w:rPr>
              <w:t xml:space="preserve"> </w:t>
            </w:r>
            <w:r>
              <w:t>Partnerships</w:t>
            </w:r>
            <w:r>
              <w:rPr>
                <w:spacing w:val="-7"/>
              </w:rPr>
              <w:t xml:space="preserve"> </w:t>
            </w:r>
            <w:r>
              <w:t>and</w:t>
            </w:r>
            <w:r>
              <w:rPr>
                <w:spacing w:val="-8"/>
              </w:rPr>
              <w:t xml:space="preserve"> </w:t>
            </w:r>
            <w:r>
              <w:rPr>
                <w:spacing w:val="-2"/>
              </w:rPr>
              <w:t>Collaborations</w:t>
            </w:r>
            <w:r>
              <w:rPr>
                <w:rFonts w:ascii="Times New Roman"/>
                <w:b/>
              </w:rPr>
              <w:tab/>
            </w:r>
            <w:r>
              <w:rPr>
                <w:spacing w:val="-5"/>
              </w:rPr>
              <w:t>57</w:t>
            </w:r>
          </w:hyperlink>
        </w:p>
        <w:p w14:paraId="00DA07D6" w14:textId="77777777" w:rsidR="00BC24A8" w:rsidRDefault="00BC24A8">
          <w:pPr>
            <w:pStyle w:val="TOC1"/>
            <w:tabs>
              <w:tab w:val="right" w:pos="9236"/>
            </w:tabs>
            <w:spacing w:line="267" w:lineRule="exact"/>
          </w:pPr>
          <w:hyperlink w:anchor="_bookmark88" w:history="1">
            <w:r>
              <w:t>Annex</w:t>
            </w:r>
            <w:r>
              <w:rPr>
                <w:spacing w:val="-10"/>
              </w:rPr>
              <w:t xml:space="preserve"> </w:t>
            </w:r>
            <w:r>
              <w:t>5:</w:t>
            </w:r>
            <w:r>
              <w:rPr>
                <w:spacing w:val="-7"/>
              </w:rPr>
              <w:t xml:space="preserve"> </w:t>
            </w:r>
            <w:r>
              <w:t>Relevant</w:t>
            </w:r>
            <w:r>
              <w:rPr>
                <w:spacing w:val="-7"/>
              </w:rPr>
              <w:t xml:space="preserve"> </w:t>
            </w:r>
            <w:r>
              <w:rPr>
                <w:spacing w:val="-2"/>
              </w:rPr>
              <w:t>Documents</w:t>
            </w:r>
            <w:r>
              <w:rPr>
                <w:rFonts w:ascii="Times New Roman"/>
                <w:b/>
              </w:rPr>
              <w:tab/>
            </w:r>
            <w:r>
              <w:rPr>
                <w:spacing w:val="-5"/>
              </w:rPr>
              <w:t>59</w:t>
            </w:r>
          </w:hyperlink>
        </w:p>
        <w:p w14:paraId="476B535D" w14:textId="77777777" w:rsidR="00BC24A8" w:rsidRDefault="00BC24A8">
          <w:pPr>
            <w:pStyle w:val="TOC1"/>
            <w:tabs>
              <w:tab w:val="right" w:pos="9236"/>
            </w:tabs>
          </w:pPr>
          <w:hyperlink w:anchor="_bookmark89" w:history="1">
            <w:r>
              <w:t>Annex</w:t>
            </w:r>
            <w:r>
              <w:rPr>
                <w:spacing w:val="-12"/>
              </w:rPr>
              <w:t xml:space="preserve"> </w:t>
            </w:r>
            <w:r>
              <w:t>6:</w:t>
            </w:r>
            <w:r>
              <w:rPr>
                <w:spacing w:val="-6"/>
              </w:rPr>
              <w:t xml:space="preserve"> </w:t>
            </w:r>
            <w:r>
              <w:t>Provincial</w:t>
            </w:r>
            <w:r>
              <w:rPr>
                <w:spacing w:val="-7"/>
              </w:rPr>
              <w:t xml:space="preserve"> </w:t>
            </w:r>
            <w:r>
              <w:rPr>
                <w:spacing w:val="-4"/>
              </w:rPr>
              <w:t>Annex</w:t>
            </w:r>
            <w:r>
              <w:rPr>
                <w:rFonts w:ascii="Times New Roman"/>
                <w:b/>
              </w:rPr>
              <w:tab/>
            </w:r>
            <w:r>
              <w:rPr>
                <w:spacing w:val="-5"/>
              </w:rPr>
              <w:t>69</w:t>
            </w:r>
          </w:hyperlink>
        </w:p>
        <w:p w14:paraId="7B6A0095" w14:textId="77777777" w:rsidR="00BC24A8" w:rsidRDefault="00BC24A8">
          <w:pPr>
            <w:pStyle w:val="TOC2"/>
            <w:tabs>
              <w:tab w:val="right" w:pos="9215"/>
            </w:tabs>
            <w:spacing w:before="60" w:line="241" w:lineRule="exact"/>
          </w:pPr>
          <w:hyperlink w:anchor="_bookmark90" w:history="1">
            <w:r>
              <w:t>Aceh</w:t>
            </w:r>
            <w:r>
              <w:rPr>
                <w:spacing w:val="-9"/>
              </w:rPr>
              <w:t xml:space="preserve"> </w:t>
            </w:r>
            <w:r>
              <w:t>Province</w:t>
            </w:r>
            <w:r>
              <w:rPr>
                <w:spacing w:val="-11"/>
              </w:rPr>
              <w:t xml:space="preserve"> </w:t>
            </w:r>
            <w:r>
              <w:t>Semester</w:t>
            </w:r>
            <w:r>
              <w:rPr>
                <w:spacing w:val="-8"/>
              </w:rPr>
              <w:t xml:space="preserve"> </w:t>
            </w:r>
            <w:r>
              <w:rPr>
                <w:spacing w:val="-2"/>
              </w:rPr>
              <w:t>Report</w:t>
            </w:r>
            <w:r>
              <w:rPr>
                <w:rFonts w:ascii="Times New Roman"/>
                <w:b/>
              </w:rPr>
              <w:tab/>
            </w:r>
            <w:r>
              <w:rPr>
                <w:spacing w:val="-5"/>
              </w:rPr>
              <w:t>69</w:t>
            </w:r>
          </w:hyperlink>
        </w:p>
        <w:p w14:paraId="2CA54BB7" w14:textId="77777777" w:rsidR="00BC24A8" w:rsidRDefault="00BC24A8">
          <w:pPr>
            <w:pStyle w:val="TOC2"/>
            <w:tabs>
              <w:tab w:val="right" w:pos="9215"/>
            </w:tabs>
            <w:spacing w:line="215" w:lineRule="exact"/>
          </w:pPr>
          <w:hyperlink w:anchor="_bookmark96" w:history="1">
            <w:r>
              <w:rPr>
                <w:spacing w:val="-2"/>
              </w:rPr>
              <w:t>Gorontalo</w:t>
            </w:r>
            <w:r>
              <w:rPr>
                <w:spacing w:val="3"/>
              </w:rPr>
              <w:t xml:space="preserve"> </w:t>
            </w:r>
            <w:r>
              <w:rPr>
                <w:spacing w:val="-2"/>
              </w:rPr>
              <w:t>Province</w:t>
            </w:r>
            <w:r>
              <w:rPr>
                <w:spacing w:val="1"/>
              </w:rPr>
              <w:t xml:space="preserve"> </w:t>
            </w:r>
            <w:r>
              <w:rPr>
                <w:spacing w:val="-2"/>
              </w:rPr>
              <w:t>Semester</w:t>
            </w:r>
            <w:r>
              <w:rPr>
                <w:spacing w:val="5"/>
              </w:rPr>
              <w:t xml:space="preserve"> </w:t>
            </w:r>
            <w:r>
              <w:rPr>
                <w:spacing w:val="-2"/>
              </w:rPr>
              <w:t>Report</w:t>
            </w:r>
            <w:r>
              <w:rPr>
                <w:rFonts w:ascii="Times New Roman"/>
                <w:b/>
              </w:rPr>
              <w:tab/>
            </w:r>
            <w:r>
              <w:rPr>
                <w:spacing w:val="-5"/>
              </w:rPr>
              <w:t>79</w:t>
            </w:r>
          </w:hyperlink>
        </w:p>
        <w:p w14:paraId="5C56816C" w14:textId="77777777" w:rsidR="00BC24A8" w:rsidRDefault="00BC24A8">
          <w:pPr>
            <w:pStyle w:val="TOC2"/>
            <w:tabs>
              <w:tab w:val="right" w:pos="9215"/>
            </w:tabs>
            <w:spacing w:line="215" w:lineRule="exact"/>
          </w:pPr>
          <w:hyperlink w:anchor="_bookmark107" w:history="1">
            <w:r>
              <w:rPr>
                <w:spacing w:val="-2"/>
              </w:rPr>
              <w:t>Kalimantan</w:t>
            </w:r>
            <w:r>
              <w:rPr>
                <w:spacing w:val="3"/>
              </w:rPr>
              <w:t xml:space="preserve"> </w:t>
            </w:r>
            <w:r>
              <w:rPr>
                <w:spacing w:val="-2"/>
              </w:rPr>
              <w:t>Utara</w:t>
            </w:r>
            <w:r>
              <w:t xml:space="preserve"> </w:t>
            </w:r>
            <w:r>
              <w:rPr>
                <w:spacing w:val="-2"/>
              </w:rPr>
              <w:t>Province</w:t>
            </w:r>
            <w:r>
              <w:rPr>
                <w:spacing w:val="2"/>
              </w:rPr>
              <w:t xml:space="preserve"> </w:t>
            </w:r>
            <w:r>
              <w:rPr>
                <w:spacing w:val="-2"/>
              </w:rPr>
              <w:t>Semester</w:t>
            </w:r>
            <w:r>
              <w:rPr>
                <w:spacing w:val="4"/>
              </w:rPr>
              <w:t xml:space="preserve"> </w:t>
            </w:r>
            <w:r>
              <w:rPr>
                <w:spacing w:val="-2"/>
              </w:rPr>
              <w:t>Report</w:t>
            </w:r>
            <w:r>
              <w:rPr>
                <w:rFonts w:ascii="Times New Roman"/>
                <w:b/>
              </w:rPr>
              <w:tab/>
            </w:r>
            <w:r>
              <w:rPr>
                <w:spacing w:val="-5"/>
              </w:rPr>
              <w:t>90</w:t>
            </w:r>
          </w:hyperlink>
        </w:p>
        <w:p w14:paraId="7DAFF32F" w14:textId="77777777" w:rsidR="00BC24A8" w:rsidRDefault="00BC24A8">
          <w:pPr>
            <w:pStyle w:val="TOC2"/>
            <w:tabs>
              <w:tab w:val="right" w:pos="9212"/>
            </w:tabs>
            <w:spacing w:line="215" w:lineRule="exact"/>
          </w:pPr>
          <w:hyperlink w:anchor="_bookmark115" w:history="1">
            <w:r>
              <w:t>Maluku</w:t>
            </w:r>
            <w:r>
              <w:rPr>
                <w:spacing w:val="-11"/>
              </w:rPr>
              <w:t xml:space="preserve"> </w:t>
            </w:r>
            <w:r>
              <w:t>Province</w:t>
            </w:r>
            <w:r>
              <w:rPr>
                <w:spacing w:val="-12"/>
              </w:rPr>
              <w:t xml:space="preserve"> </w:t>
            </w:r>
            <w:r>
              <w:t>Semester</w:t>
            </w:r>
            <w:r>
              <w:rPr>
                <w:spacing w:val="-10"/>
              </w:rPr>
              <w:t xml:space="preserve"> </w:t>
            </w:r>
            <w:r>
              <w:rPr>
                <w:spacing w:val="-2"/>
              </w:rPr>
              <w:t>Report</w:t>
            </w:r>
            <w:r>
              <w:rPr>
                <w:rFonts w:ascii="Times New Roman"/>
                <w:b/>
              </w:rPr>
              <w:tab/>
            </w:r>
            <w:r>
              <w:rPr>
                <w:spacing w:val="-5"/>
              </w:rPr>
              <w:t>103</w:t>
            </w:r>
          </w:hyperlink>
        </w:p>
        <w:p w14:paraId="621141F1" w14:textId="77777777" w:rsidR="00BC24A8" w:rsidRDefault="00BC24A8">
          <w:pPr>
            <w:pStyle w:val="TOC2"/>
            <w:tabs>
              <w:tab w:val="right" w:pos="9213"/>
            </w:tabs>
            <w:spacing w:line="215" w:lineRule="exact"/>
          </w:pPr>
          <w:hyperlink w:anchor="_bookmark123" w:history="1">
            <w:r>
              <w:rPr>
                <w:spacing w:val="-2"/>
              </w:rPr>
              <w:t>West</w:t>
            </w:r>
            <w:r>
              <w:rPr>
                <w:spacing w:val="-1"/>
              </w:rPr>
              <w:t xml:space="preserve"> </w:t>
            </w:r>
            <w:r>
              <w:rPr>
                <w:spacing w:val="-2"/>
              </w:rPr>
              <w:t>Nusa Tenggara</w:t>
            </w:r>
            <w:r>
              <w:rPr>
                <w:spacing w:val="-1"/>
              </w:rPr>
              <w:t xml:space="preserve"> </w:t>
            </w:r>
            <w:r>
              <w:rPr>
                <w:spacing w:val="-2"/>
              </w:rPr>
              <w:t>(NTB) Province Semester</w:t>
            </w:r>
            <w:r>
              <w:rPr>
                <w:spacing w:val="1"/>
              </w:rPr>
              <w:t xml:space="preserve"> </w:t>
            </w:r>
            <w:r>
              <w:rPr>
                <w:spacing w:val="-2"/>
              </w:rPr>
              <w:t>Report</w:t>
            </w:r>
            <w:r>
              <w:rPr>
                <w:rFonts w:ascii="Times New Roman"/>
                <w:b/>
              </w:rPr>
              <w:tab/>
            </w:r>
            <w:r>
              <w:rPr>
                <w:spacing w:val="-5"/>
              </w:rPr>
              <w:t>117</w:t>
            </w:r>
          </w:hyperlink>
        </w:p>
        <w:p w14:paraId="4B1B9BBC" w14:textId="77777777" w:rsidR="00BC24A8" w:rsidRDefault="00BC24A8">
          <w:pPr>
            <w:pStyle w:val="TOC2"/>
            <w:tabs>
              <w:tab w:val="right" w:pos="9213"/>
            </w:tabs>
            <w:spacing w:line="215" w:lineRule="exact"/>
          </w:pPr>
          <w:hyperlink w:anchor="_bookmark135" w:history="1">
            <w:r>
              <w:rPr>
                <w:spacing w:val="-2"/>
              </w:rPr>
              <w:t>East</w:t>
            </w:r>
            <w:r>
              <w:rPr>
                <w:spacing w:val="-1"/>
              </w:rPr>
              <w:t xml:space="preserve"> </w:t>
            </w:r>
            <w:r>
              <w:rPr>
                <w:spacing w:val="-2"/>
              </w:rPr>
              <w:t>Nusa Tenggara</w:t>
            </w:r>
            <w:r>
              <w:rPr>
                <w:spacing w:val="-4"/>
              </w:rPr>
              <w:t xml:space="preserve"> </w:t>
            </w:r>
            <w:r>
              <w:rPr>
                <w:spacing w:val="-2"/>
              </w:rPr>
              <w:t>Province Semester</w:t>
            </w:r>
            <w:r>
              <w:rPr>
                <w:spacing w:val="1"/>
              </w:rPr>
              <w:t xml:space="preserve"> </w:t>
            </w:r>
            <w:r>
              <w:rPr>
                <w:spacing w:val="-2"/>
              </w:rPr>
              <w:t>Report</w:t>
            </w:r>
            <w:r>
              <w:rPr>
                <w:rFonts w:ascii="Times New Roman"/>
                <w:b/>
              </w:rPr>
              <w:tab/>
            </w:r>
            <w:r>
              <w:rPr>
                <w:spacing w:val="-5"/>
              </w:rPr>
              <w:t>134</w:t>
            </w:r>
          </w:hyperlink>
        </w:p>
        <w:p w14:paraId="7D324553" w14:textId="77777777" w:rsidR="00BC24A8" w:rsidRDefault="00BC24A8">
          <w:pPr>
            <w:pStyle w:val="TOC2"/>
            <w:tabs>
              <w:tab w:val="right" w:pos="9213"/>
            </w:tabs>
            <w:spacing w:line="215" w:lineRule="exact"/>
          </w:pPr>
          <w:hyperlink w:anchor="_bookmark142" w:history="1">
            <w:r>
              <w:t>Papua</w:t>
            </w:r>
            <w:r>
              <w:rPr>
                <w:spacing w:val="-13"/>
              </w:rPr>
              <w:t xml:space="preserve"> </w:t>
            </w:r>
            <w:r>
              <w:t>Barat</w:t>
            </w:r>
            <w:r>
              <w:rPr>
                <w:spacing w:val="-12"/>
              </w:rPr>
              <w:t xml:space="preserve"> </w:t>
            </w:r>
            <w:r>
              <w:t>Daya</w:t>
            </w:r>
            <w:r>
              <w:rPr>
                <w:spacing w:val="-12"/>
              </w:rPr>
              <w:t xml:space="preserve"> </w:t>
            </w:r>
            <w:r>
              <w:t>Province</w:t>
            </w:r>
            <w:r>
              <w:rPr>
                <w:spacing w:val="-12"/>
              </w:rPr>
              <w:t xml:space="preserve"> </w:t>
            </w:r>
            <w:r>
              <w:t>Semester</w:t>
            </w:r>
            <w:r>
              <w:rPr>
                <w:spacing w:val="-10"/>
              </w:rPr>
              <w:t xml:space="preserve"> </w:t>
            </w:r>
            <w:r>
              <w:rPr>
                <w:spacing w:val="-2"/>
              </w:rPr>
              <w:t>Report</w:t>
            </w:r>
            <w:r>
              <w:rPr>
                <w:rFonts w:ascii="Times New Roman"/>
                <w:b/>
              </w:rPr>
              <w:tab/>
            </w:r>
            <w:r>
              <w:rPr>
                <w:spacing w:val="-5"/>
              </w:rPr>
              <w:t>145</w:t>
            </w:r>
          </w:hyperlink>
        </w:p>
        <w:p w14:paraId="0C9A6CAE" w14:textId="77777777" w:rsidR="00BC24A8" w:rsidRDefault="00BC24A8">
          <w:pPr>
            <w:pStyle w:val="TOC2"/>
            <w:tabs>
              <w:tab w:val="right" w:pos="9213"/>
            </w:tabs>
            <w:spacing w:line="215" w:lineRule="exact"/>
          </w:pPr>
          <w:hyperlink w:anchor="_bookmark154" w:history="1">
            <w:r>
              <w:t>Papua</w:t>
            </w:r>
            <w:r>
              <w:rPr>
                <w:spacing w:val="-13"/>
              </w:rPr>
              <w:t xml:space="preserve"> </w:t>
            </w:r>
            <w:r>
              <w:t>Barat</w:t>
            </w:r>
            <w:r>
              <w:rPr>
                <w:spacing w:val="-12"/>
              </w:rPr>
              <w:t xml:space="preserve"> </w:t>
            </w:r>
            <w:r>
              <w:t>Province</w:t>
            </w:r>
            <w:r>
              <w:rPr>
                <w:spacing w:val="-12"/>
              </w:rPr>
              <w:t xml:space="preserve"> </w:t>
            </w:r>
            <w:r>
              <w:t>Semester</w:t>
            </w:r>
            <w:r>
              <w:rPr>
                <w:spacing w:val="-10"/>
              </w:rPr>
              <w:t xml:space="preserve"> </w:t>
            </w:r>
            <w:r>
              <w:rPr>
                <w:spacing w:val="-2"/>
              </w:rPr>
              <w:t>Report</w:t>
            </w:r>
            <w:r>
              <w:rPr>
                <w:rFonts w:ascii="Times New Roman"/>
                <w:b/>
              </w:rPr>
              <w:tab/>
            </w:r>
            <w:r>
              <w:rPr>
                <w:spacing w:val="-5"/>
              </w:rPr>
              <w:t>154</w:t>
            </w:r>
          </w:hyperlink>
        </w:p>
        <w:p w14:paraId="1B47F580" w14:textId="77777777" w:rsidR="00BC24A8" w:rsidRDefault="00BC24A8">
          <w:pPr>
            <w:pStyle w:val="TOC2"/>
            <w:tabs>
              <w:tab w:val="right" w:pos="9212"/>
            </w:tabs>
            <w:spacing w:line="216" w:lineRule="exact"/>
          </w:pPr>
          <w:hyperlink w:anchor="_bookmark164" w:history="1">
            <w:r>
              <w:t>Papua</w:t>
            </w:r>
            <w:r>
              <w:rPr>
                <w:spacing w:val="-13"/>
              </w:rPr>
              <w:t xml:space="preserve"> </w:t>
            </w:r>
            <w:r>
              <w:t>Selatan</w:t>
            </w:r>
            <w:r>
              <w:rPr>
                <w:spacing w:val="-12"/>
              </w:rPr>
              <w:t xml:space="preserve"> </w:t>
            </w:r>
            <w:r>
              <w:t>Province</w:t>
            </w:r>
            <w:r>
              <w:rPr>
                <w:spacing w:val="-12"/>
              </w:rPr>
              <w:t xml:space="preserve"> </w:t>
            </w:r>
            <w:r>
              <w:t>Semester</w:t>
            </w:r>
            <w:r>
              <w:rPr>
                <w:spacing w:val="-10"/>
              </w:rPr>
              <w:t xml:space="preserve"> </w:t>
            </w:r>
            <w:r>
              <w:rPr>
                <w:spacing w:val="-2"/>
              </w:rPr>
              <w:t>Report</w:t>
            </w:r>
            <w:r>
              <w:rPr>
                <w:rFonts w:ascii="Times New Roman"/>
                <w:b/>
              </w:rPr>
              <w:tab/>
            </w:r>
            <w:r>
              <w:rPr>
                <w:spacing w:val="-5"/>
              </w:rPr>
              <w:t>163</w:t>
            </w:r>
          </w:hyperlink>
        </w:p>
        <w:p w14:paraId="32A2025F" w14:textId="77777777" w:rsidR="00BC24A8" w:rsidRDefault="00BC24A8">
          <w:pPr>
            <w:pStyle w:val="TOC2"/>
            <w:tabs>
              <w:tab w:val="right" w:pos="9213"/>
            </w:tabs>
            <w:spacing w:line="242" w:lineRule="exact"/>
          </w:pPr>
          <w:hyperlink w:anchor="_bookmark169" w:history="1">
            <w:r>
              <w:t>Papua</w:t>
            </w:r>
            <w:r>
              <w:rPr>
                <w:spacing w:val="-13"/>
              </w:rPr>
              <w:t xml:space="preserve"> </w:t>
            </w:r>
            <w:r>
              <w:t>Province</w:t>
            </w:r>
            <w:r>
              <w:rPr>
                <w:spacing w:val="-12"/>
              </w:rPr>
              <w:t xml:space="preserve"> </w:t>
            </w:r>
            <w:r>
              <w:t>Semester</w:t>
            </w:r>
            <w:r>
              <w:rPr>
                <w:spacing w:val="-10"/>
              </w:rPr>
              <w:t xml:space="preserve"> </w:t>
            </w:r>
            <w:r>
              <w:rPr>
                <w:spacing w:val="-2"/>
              </w:rPr>
              <w:t>Report</w:t>
            </w:r>
            <w:r>
              <w:rPr>
                <w:rFonts w:ascii="Times New Roman"/>
                <w:b/>
              </w:rPr>
              <w:tab/>
            </w:r>
            <w:r>
              <w:rPr>
                <w:spacing w:val="-5"/>
              </w:rPr>
              <w:t>173</w:t>
            </w:r>
          </w:hyperlink>
        </w:p>
      </w:sdtContent>
    </w:sdt>
    <w:p w14:paraId="0C41CC4F" w14:textId="77777777" w:rsidR="00BC24A8" w:rsidRDefault="00BC24A8">
      <w:pPr>
        <w:pStyle w:val="TOC2"/>
        <w:spacing w:line="242" w:lineRule="exact"/>
        <w:sectPr w:rsidR="00BC24A8">
          <w:type w:val="continuous"/>
          <w:pgSz w:w="11910" w:h="16840"/>
          <w:pgMar w:top="1378" w:right="1133" w:bottom="1900" w:left="1275" w:header="0" w:footer="1614" w:gutter="0"/>
          <w:cols w:space="720"/>
        </w:sectPr>
      </w:pPr>
    </w:p>
    <w:p w14:paraId="5347A55A" w14:textId="77777777" w:rsidR="00BC24A8" w:rsidRDefault="00000000">
      <w:pPr>
        <w:pStyle w:val="Heading1"/>
        <w:spacing w:before="82"/>
      </w:pPr>
      <w:bookmarkStart w:id="2" w:name="List_of_Tables"/>
      <w:bookmarkStart w:id="3" w:name="_bookmark1"/>
      <w:bookmarkEnd w:id="2"/>
      <w:bookmarkEnd w:id="3"/>
      <w:r w:rsidRPr="00795364">
        <w:rPr>
          <w:color w:val="00A59C"/>
          <w:spacing w:val="-8"/>
        </w:rPr>
        <w:lastRenderedPageBreak/>
        <w:t>List</w:t>
      </w:r>
      <w:r w:rsidRPr="00795364">
        <w:rPr>
          <w:color w:val="00A59C"/>
          <w:spacing w:val="-57"/>
        </w:rPr>
        <w:t xml:space="preserve"> </w:t>
      </w:r>
      <w:r w:rsidRPr="00795364">
        <w:rPr>
          <w:color w:val="00A59C"/>
          <w:spacing w:val="-8"/>
        </w:rPr>
        <w:t>of</w:t>
      </w:r>
      <w:r w:rsidRPr="00795364">
        <w:rPr>
          <w:color w:val="00A59C"/>
          <w:spacing w:val="-56"/>
        </w:rPr>
        <w:t xml:space="preserve"> </w:t>
      </w:r>
      <w:r w:rsidRPr="00795364">
        <w:rPr>
          <w:color w:val="00A59C"/>
          <w:spacing w:val="-8"/>
        </w:rPr>
        <w:t>Tables</w:t>
      </w:r>
    </w:p>
    <w:p w14:paraId="7E9F3F70" w14:textId="77777777" w:rsidR="00BC24A8" w:rsidRDefault="00BC24A8">
      <w:pPr>
        <w:pStyle w:val="BodyText"/>
        <w:tabs>
          <w:tab w:val="left" w:pos="8934"/>
        </w:tabs>
        <w:spacing w:before="555"/>
        <w:ind w:left="143"/>
      </w:pPr>
      <w:hyperlink w:anchor="_bookmark60" w:history="1">
        <w:r>
          <w:t>Table</w:t>
        </w:r>
        <w:r>
          <w:rPr>
            <w:spacing w:val="-10"/>
          </w:rPr>
          <w:t xml:space="preserve"> </w:t>
        </w:r>
        <w:r>
          <w:t>1:</w:t>
        </w:r>
        <w:r>
          <w:rPr>
            <w:spacing w:val="-6"/>
          </w:rPr>
          <w:t xml:space="preserve"> </w:t>
        </w:r>
        <w:r>
          <w:t>Number</w:t>
        </w:r>
        <w:r>
          <w:rPr>
            <w:spacing w:val="-8"/>
          </w:rPr>
          <w:t xml:space="preserve"> </w:t>
        </w:r>
        <w:r>
          <w:t>of</w:t>
        </w:r>
        <w:r>
          <w:rPr>
            <w:spacing w:val="-8"/>
          </w:rPr>
          <w:t xml:space="preserve"> </w:t>
        </w:r>
        <w:r>
          <w:t>DAU-SG</w:t>
        </w:r>
        <w:r>
          <w:rPr>
            <w:spacing w:val="-8"/>
          </w:rPr>
          <w:t xml:space="preserve"> </w:t>
        </w:r>
        <w:r>
          <w:t>budget</w:t>
        </w:r>
        <w:r>
          <w:rPr>
            <w:spacing w:val="-6"/>
          </w:rPr>
          <w:t xml:space="preserve"> </w:t>
        </w:r>
        <w:r>
          <w:t>categories</w:t>
        </w:r>
        <w:r>
          <w:rPr>
            <w:spacing w:val="-6"/>
          </w:rPr>
          <w:t xml:space="preserve"> </w:t>
        </w:r>
        <w:r>
          <w:t>based</w:t>
        </w:r>
        <w:r>
          <w:rPr>
            <w:spacing w:val="-5"/>
          </w:rPr>
          <w:t xml:space="preserve"> </w:t>
        </w:r>
        <w:r>
          <w:t>on</w:t>
        </w:r>
        <w:r>
          <w:rPr>
            <w:spacing w:val="-6"/>
          </w:rPr>
          <w:t xml:space="preserve"> </w:t>
        </w:r>
        <w:r>
          <w:t>annual</w:t>
        </w:r>
        <w:r>
          <w:rPr>
            <w:spacing w:val="-7"/>
          </w:rPr>
          <w:t xml:space="preserve"> </w:t>
        </w:r>
        <w:r>
          <w:t>MoF</w:t>
        </w:r>
        <w:r>
          <w:rPr>
            <w:spacing w:val="-7"/>
          </w:rPr>
          <w:t xml:space="preserve"> </w:t>
        </w:r>
        <w:r>
          <w:rPr>
            <w:spacing w:val="-2"/>
          </w:rPr>
          <w:t>regulations</w:t>
        </w:r>
        <w:r>
          <w:rPr>
            <w:rFonts w:ascii="Times New Roman"/>
            <w:b/>
          </w:rPr>
          <w:tab/>
        </w:r>
        <w:r>
          <w:rPr>
            <w:spacing w:val="-5"/>
          </w:rPr>
          <w:t>39</w:t>
        </w:r>
      </w:hyperlink>
    </w:p>
    <w:p w14:paraId="3E51B269" w14:textId="77777777" w:rsidR="00BC24A8" w:rsidRDefault="00BC24A8">
      <w:pPr>
        <w:pStyle w:val="BodyText"/>
        <w:spacing w:before="139"/>
        <w:ind w:left="143"/>
      </w:pPr>
      <w:hyperlink w:anchor="_bookmark65" w:history="1">
        <w:r>
          <w:t>Table</w:t>
        </w:r>
        <w:r>
          <w:rPr>
            <w:spacing w:val="38"/>
          </w:rPr>
          <w:t xml:space="preserve"> </w:t>
        </w:r>
        <w:r>
          <w:t>2:</w:t>
        </w:r>
        <w:r>
          <w:rPr>
            <w:spacing w:val="-5"/>
          </w:rPr>
          <w:t xml:space="preserve"> </w:t>
        </w:r>
        <w:r>
          <w:t>Amount</w:t>
        </w:r>
        <w:r>
          <w:rPr>
            <w:spacing w:val="-8"/>
          </w:rPr>
          <w:t xml:space="preserve"> </w:t>
        </w:r>
        <w:r>
          <w:t>and</w:t>
        </w:r>
        <w:r>
          <w:rPr>
            <w:spacing w:val="-8"/>
          </w:rPr>
          <w:t xml:space="preserve"> </w:t>
        </w:r>
        <w:r>
          <w:t>proportion</w:t>
        </w:r>
        <w:r>
          <w:rPr>
            <w:spacing w:val="-7"/>
          </w:rPr>
          <w:t xml:space="preserve"> </w:t>
        </w:r>
        <w:r>
          <w:t>of</w:t>
        </w:r>
        <w:r>
          <w:rPr>
            <w:spacing w:val="-6"/>
          </w:rPr>
          <w:t xml:space="preserve"> </w:t>
        </w:r>
        <w:r>
          <w:t>DAU</w:t>
        </w:r>
        <w:r>
          <w:rPr>
            <w:spacing w:val="-7"/>
          </w:rPr>
          <w:t xml:space="preserve"> </w:t>
        </w:r>
        <w:r>
          <w:t>SG</w:t>
        </w:r>
        <w:r>
          <w:rPr>
            <w:spacing w:val="-5"/>
          </w:rPr>
          <w:t xml:space="preserve"> </w:t>
        </w:r>
        <w:r>
          <w:t>that</w:t>
        </w:r>
        <w:r>
          <w:rPr>
            <w:spacing w:val="-5"/>
          </w:rPr>
          <w:t xml:space="preserve"> </w:t>
        </w:r>
        <w:r>
          <w:t>are</w:t>
        </w:r>
        <w:r>
          <w:rPr>
            <w:spacing w:val="-6"/>
          </w:rPr>
          <w:t xml:space="preserve"> </w:t>
        </w:r>
        <w:r>
          <w:t>allocated</w:t>
        </w:r>
        <w:r>
          <w:rPr>
            <w:spacing w:val="-5"/>
          </w:rPr>
          <w:t xml:space="preserve"> </w:t>
        </w:r>
        <w:r>
          <w:t>for</w:t>
        </w:r>
        <w:r>
          <w:rPr>
            <w:spacing w:val="-5"/>
          </w:rPr>
          <w:t xml:space="preserve"> </w:t>
        </w:r>
        <w:r>
          <w:t>MSS</w:t>
        </w:r>
        <w:r>
          <w:rPr>
            <w:spacing w:val="-6"/>
          </w:rPr>
          <w:t xml:space="preserve"> </w:t>
        </w:r>
        <w:r>
          <w:t>2023</w:t>
        </w:r>
        <w:r>
          <w:rPr>
            <w:spacing w:val="-5"/>
          </w:rPr>
          <w:t xml:space="preserve"> </w:t>
        </w:r>
        <w:r>
          <w:t>–</w:t>
        </w:r>
        <w:r>
          <w:rPr>
            <w:spacing w:val="-6"/>
          </w:rPr>
          <w:t xml:space="preserve"> </w:t>
        </w:r>
        <w:r>
          <w:rPr>
            <w:spacing w:val="-4"/>
          </w:rPr>
          <w:t>2025</w:t>
        </w:r>
      </w:hyperlink>
    </w:p>
    <w:p w14:paraId="5F363066" w14:textId="77777777" w:rsidR="00BC24A8" w:rsidRDefault="00BC24A8">
      <w:pPr>
        <w:pStyle w:val="BodyText"/>
        <w:tabs>
          <w:tab w:val="left" w:pos="8884"/>
        </w:tabs>
        <w:spacing w:before="41"/>
        <w:ind w:left="851"/>
      </w:pPr>
      <w:hyperlink w:anchor="_bookmark65" w:history="1">
        <w:r>
          <w:t>(health</w:t>
        </w:r>
        <w:r>
          <w:rPr>
            <w:spacing w:val="-7"/>
          </w:rPr>
          <w:t xml:space="preserve"> </w:t>
        </w:r>
        <w:r>
          <w:t>and</w:t>
        </w:r>
        <w:r>
          <w:rPr>
            <w:spacing w:val="-7"/>
          </w:rPr>
          <w:t xml:space="preserve"> </w:t>
        </w:r>
        <w:r>
          <w:t>education</w:t>
        </w:r>
        <w:r>
          <w:rPr>
            <w:spacing w:val="-9"/>
          </w:rPr>
          <w:t xml:space="preserve"> </w:t>
        </w:r>
        <w:r>
          <w:rPr>
            <w:spacing w:val="-2"/>
          </w:rPr>
          <w:t>sector)</w:t>
        </w:r>
        <w:r>
          <w:rPr>
            <w:rFonts w:ascii="Times New Roman"/>
            <w:b/>
          </w:rPr>
          <w:tab/>
        </w:r>
        <w:r>
          <w:rPr>
            <w:spacing w:val="-5"/>
          </w:rPr>
          <w:t>41</w:t>
        </w:r>
      </w:hyperlink>
    </w:p>
    <w:p w14:paraId="3CEB931E" w14:textId="77777777" w:rsidR="00BC24A8" w:rsidRDefault="00BC24A8">
      <w:pPr>
        <w:pStyle w:val="BodyText"/>
        <w:spacing w:before="140"/>
        <w:ind w:left="143"/>
      </w:pPr>
      <w:hyperlink w:anchor="_bookmark69" w:history="1">
        <w:r>
          <w:t>Table</w:t>
        </w:r>
        <w:r>
          <w:rPr>
            <w:spacing w:val="-10"/>
          </w:rPr>
          <w:t xml:space="preserve"> </w:t>
        </w:r>
        <w:r>
          <w:t>3:</w:t>
        </w:r>
        <w:r>
          <w:rPr>
            <w:spacing w:val="-9"/>
          </w:rPr>
          <w:t xml:space="preserve"> </w:t>
        </w:r>
        <w:r>
          <w:t>Comparison</w:t>
        </w:r>
        <w:r>
          <w:rPr>
            <w:spacing w:val="-9"/>
          </w:rPr>
          <w:t xml:space="preserve"> </w:t>
        </w:r>
        <w:r>
          <w:t>of</w:t>
        </w:r>
        <w:r>
          <w:rPr>
            <w:spacing w:val="-10"/>
          </w:rPr>
          <w:t xml:space="preserve"> </w:t>
        </w:r>
        <w:r>
          <w:t>required</w:t>
        </w:r>
        <w:r>
          <w:rPr>
            <w:spacing w:val="-8"/>
          </w:rPr>
          <w:t xml:space="preserve"> </w:t>
        </w:r>
        <w:r>
          <w:t>planning</w:t>
        </w:r>
        <w:r>
          <w:rPr>
            <w:spacing w:val="-9"/>
          </w:rPr>
          <w:t xml:space="preserve"> </w:t>
        </w:r>
        <w:r>
          <w:t>information</w:t>
        </w:r>
        <w:r>
          <w:rPr>
            <w:spacing w:val="-11"/>
          </w:rPr>
          <w:t xml:space="preserve"> </w:t>
        </w:r>
        <w:r>
          <w:t>pre-</w:t>
        </w:r>
        <w:r>
          <w:rPr>
            <w:spacing w:val="-9"/>
          </w:rPr>
          <w:t xml:space="preserve"> </w:t>
        </w:r>
        <w:r>
          <w:t>and</w:t>
        </w:r>
        <w:r>
          <w:rPr>
            <w:spacing w:val="-8"/>
          </w:rPr>
          <w:t xml:space="preserve"> </w:t>
        </w:r>
        <w:r>
          <w:t>post-MoF</w:t>
        </w:r>
        <w:r>
          <w:rPr>
            <w:spacing w:val="-10"/>
          </w:rPr>
          <w:t xml:space="preserve"> </w:t>
        </w:r>
        <w:r>
          <w:rPr>
            <w:spacing w:val="-2"/>
          </w:rPr>
          <w:t>regulation</w:t>
        </w:r>
      </w:hyperlink>
    </w:p>
    <w:p w14:paraId="3477CC7A" w14:textId="77777777" w:rsidR="00BC24A8" w:rsidRDefault="00BC24A8">
      <w:pPr>
        <w:pStyle w:val="BodyText"/>
        <w:tabs>
          <w:tab w:val="left" w:pos="8884"/>
        </w:tabs>
        <w:spacing w:before="43"/>
        <w:ind w:left="851"/>
      </w:pPr>
      <w:hyperlink w:anchor="_bookmark69" w:history="1">
        <w:r>
          <w:rPr>
            <w:spacing w:val="-2"/>
          </w:rPr>
          <w:t>revision</w:t>
        </w:r>
        <w:r>
          <w:rPr>
            <w:rFonts w:ascii="Times New Roman"/>
            <w:b/>
          </w:rPr>
          <w:tab/>
        </w:r>
        <w:r>
          <w:rPr>
            <w:spacing w:val="-5"/>
          </w:rPr>
          <w:t>44</w:t>
        </w:r>
      </w:hyperlink>
    </w:p>
    <w:p w14:paraId="72EC3158" w14:textId="77777777" w:rsidR="00BC24A8" w:rsidRDefault="00BC24A8">
      <w:pPr>
        <w:pStyle w:val="BodyText"/>
        <w:spacing w:before="137"/>
        <w:ind w:left="143"/>
      </w:pPr>
      <w:hyperlink w:anchor="_bookmark78" w:history="1">
        <w:r>
          <w:t>Table</w:t>
        </w:r>
        <w:r>
          <w:rPr>
            <w:spacing w:val="-15"/>
          </w:rPr>
          <w:t xml:space="preserve"> </w:t>
        </w:r>
        <w:r>
          <w:t>4:</w:t>
        </w:r>
        <w:r>
          <w:rPr>
            <w:spacing w:val="-12"/>
          </w:rPr>
          <w:t xml:space="preserve"> </w:t>
        </w:r>
        <w:r>
          <w:t>OTSUS-funded</w:t>
        </w:r>
        <w:r>
          <w:rPr>
            <w:spacing w:val="-13"/>
          </w:rPr>
          <w:t xml:space="preserve"> </w:t>
        </w:r>
        <w:r>
          <w:t>systems</w:t>
        </w:r>
        <w:r>
          <w:rPr>
            <w:spacing w:val="-12"/>
          </w:rPr>
          <w:t xml:space="preserve"> </w:t>
        </w:r>
        <w:r>
          <w:t>and</w:t>
        </w:r>
        <w:r>
          <w:rPr>
            <w:spacing w:val="-12"/>
          </w:rPr>
          <w:t xml:space="preserve"> </w:t>
        </w:r>
        <w:r>
          <w:t>strategic</w:t>
        </w:r>
        <w:r>
          <w:rPr>
            <w:spacing w:val="-12"/>
          </w:rPr>
          <w:t xml:space="preserve"> </w:t>
        </w:r>
        <w:r>
          <w:t>programs</w:t>
        </w:r>
        <w:r>
          <w:rPr>
            <w:spacing w:val="-13"/>
          </w:rPr>
          <w:t xml:space="preserve"> </w:t>
        </w:r>
        <w:r>
          <w:t>in</w:t>
        </w:r>
        <w:r>
          <w:rPr>
            <w:spacing w:val="-11"/>
          </w:rPr>
          <w:t xml:space="preserve"> </w:t>
        </w:r>
        <w:r>
          <w:t>Papuan</w:t>
        </w:r>
        <w:r>
          <w:rPr>
            <w:spacing w:val="-12"/>
          </w:rPr>
          <w:t xml:space="preserve"> </w:t>
        </w:r>
        <w:r>
          <w:t>provinces</w:t>
        </w:r>
        <w:r>
          <w:rPr>
            <w:spacing w:val="-11"/>
          </w:rPr>
          <w:t xml:space="preserve"> </w:t>
        </w:r>
        <w:r>
          <w:rPr>
            <w:spacing w:val="-2"/>
          </w:rPr>
          <w:t>developed</w:t>
        </w:r>
      </w:hyperlink>
    </w:p>
    <w:p w14:paraId="6A2DF2AE" w14:textId="77777777" w:rsidR="00BC24A8" w:rsidRDefault="00BC24A8">
      <w:pPr>
        <w:pStyle w:val="BodyText"/>
        <w:tabs>
          <w:tab w:val="left" w:pos="8884"/>
        </w:tabs>
        <w:spacing w:before="44"/>
        <w:ind w:left="851"/>
      </w:pPr>
      <w:hyperlink w:anchor="_bookmark78" w:history="1">
        <w:r>
          <w:t>with</w:t>
        </w:r>
        <w:r>
          <w:rPr>
            <w:spacing w:val="-3"/>
          </w:rPr>
          <w:t xml:space="preserve"> </w:t>
        </w:r>
        <w:r>
          <w:t>SKALA</w:t>
        </w:r>
        <w:r>
          <w:rPr>
            <w:spacing w:val="-4"/>
          </w:rPr>
          <w:t xml:space="preserve"> </w:t>
        </w:r>
        <w:r>
          <w:rPr>
            <w:spacing w:val="-2"/>
          </w:rPr>
          <w:t>support.</w:t>
        </w:r>
        <w:r>
          <w:rPr>
            <w:rFonts w:ascii="Times New Roman"/>
            <w:b/>
          </w:rPr>
          <w:tab/>
        </w:r>
        <w:r>
          <w:rPr>
            <w:spacing w:val="-5"/>
          </w:rPr>
          <w:t>46</w:t>
        </w:r>
      </w:hyperlink>
    </w:p>
    <w:p w14:paraId="7FC3E4D5" w14:textId="77777777" w:rsidR="00BC24A8" w:rsidRDefault="00BC24A8">
      <w:pPr>
        <w:pStyle w:val="BodyText"/>
        <w:tabs>
          <w:tab w:val="left" w:pos="8884"/>
        </w:tabs>
        <w:spacing w:before="137"/>
        <w:ind w:left="144"/>
      </w:pPr>
      <w:hyperlink w:anchor="_bookmark81" w:history="1">
        <w:r>
          <w:t>Table</w:t>
        </w:r>
        <w:r>
          <w:rPr>
            <w:spacing w:val="-13"/>
          </w:rPr>
          <w:t xml:space="preserve"> </w:t>
        </w:r>
        <w:r>
          <w:t>5:</w:t>
        </w:r>
        <w:r>
          <w:rPr>
            <w:spacing w:val="-12"/>
          </w:rPr>
          <w:t xml:space="preserve"> </w:t>
        </w:r>
        <w:r>
          <w:t>Table</w:t>
        </w:r>
        <w:r>
          <w:rPr>
            <w:spacing w:val="-13"/>
          </w:rPr>
          <w:t xml:space="preserve"> </w:t>
        </w:r>
        <w:r>
          <w:t>PAITUA</w:t>
        </w:r>
        <w:r>
          <w:rPr>
            <w:spacing w:val="-12"/>
          </w:rPr>
          <w:t xml:space="preserve"> </w:t>
        </w:r>
        <w:r>
          <w:t>Program</w:t>
        </w:r>
        <w:r>
          <w:rPr>
            <w:spacing w:val="-13"/>
          </w:rPr>
          <w:t xml:space="preserve"> </w:t>
        </w:r>
        <w:r>
          <w:t>Distribution</w:t>
        </w:r>
        <w:r>
          <w:rPr>
            <w:spacing w:val="-11"/>
          </w:rPr>
          <w:t xml:space="preserve"> </w:t>
        </w:r>
        <w:r>
          <w:t>as</w:t>
        </w:r>
        <w:r>
          <w:rPr>
            <w:spacing w:val="-11"/>
          </w:rPr>
          <w:t xml:space="preserve"> </w:t>
        </w:r>
        <w:r>
          <w:t>of</w:t>
        </w:r>
        <w:r>
          <w:rPr>
            <w:spacing w:val="-12"/>
          </w:rPr>
          <w:t xml:space="preserve"> </w:t>
        </w:r>
        <w:r>
          <w:t>May</w:t>
        </w:r>
        <w:r>
          <w:rPr>
            <w:spacing w:val="-13"/>
          </w:rPr>
          <w:t xml:space="preserve"> </w:t>
        </w:r>
        <w:r>
          <w:rPr>
            <w:spacing w:val="-4"/>
          </w:rPr>
          <w:t>2025</w:t>
        </w:r>
        <w:r>
          <w:rPr>
            <w:rFonts w:ascii="Times New Roman"/>
            <w:b/>
          </w:rPr>
          <w:tab/>
        </w:r>
        <w:r>
          <w:rPr>
            <w:spacing w:val="-5"/>
          </w:rPr>
          <w:t>47</w:t>
        </w:r>
      </w:hyperlink>
    </w:p>
    <w:p w14:paraId="192EC79A" w14:textId="77777777" w:rsidR="00BC24A8" w:rsidRDefault="00BC24A8">
      <w:pPr>
        <w:pStyle w:val="BodyText"/>
        <w:tabs>
          <w:tab w:val="left" w:pos="8885"/>
        </w:tabs>
        <w:spacing w:before="139"/>
        <w:ind w:left="144"/>
      </w:pPr>
      <w:hyperlink w:anchor="_bookmark86" w:history="1">
        <w:r>
          <w:t>Table</w:t>
        </w:r>
        <w:r>
          <w:rPr>
            <w:spacing w:val="-12"/>
          </w:rPr>
          <w:t xml:space="preserve"> </w:t>
        </w:r>
        <w:r>
          <w:t>6:</w:t>
        </w:r>
        <w:r>
          <w:rPr>
            <w:spacing w:val="-10"/>
          </w:rPr>
          <w:t xml:space="preserve"> </w:t>
        </w:r>
        <w:r>
          <w:t>Engagement</w:t>
        </w:r>
        <w:r>
          <w:rPr>
            <w:spacing w:val="-11"/>
          </w:rPr>
          <w:t xml:space="preserve"> </w:t>
        </w:r>
        <w:r>
          <w:t>with</w:t>
        </w:r>
        <w:r>
          <w:rPr>
            <w:spacing w:val="-9"/>
          </w:rPr>
          <w:t xml:space="preserve"> </w:t>
        </w:r>
        <w:r>
          <w:t>Indonesian</w:t>
        </w:r>
        <w:r>
          <w:rPr>
            <w:spacing w:val="-10"/>
          </w:rPr>
          <w:t xml:space="preserve"> </w:t>
        </w:r>
        <w:r>
          <w:t>government</w:t>
        </w:r>
        <w:r>
          <w:rPr>
            <w:spacing w:val="-12"/>
          </w:rPr>
          <w:t xml:space="preserve"> </w:t>
        </w:r>
        <w:r>
          <w:rPr>
            <w:spacing w:val="-2"/>
          </w:rPr>
          <w:t>partners</w:t>
        </w:r>
        <w:r>
          <w:rPr>
            <w:rFonts w:ascii="Times New Roman"/>
            <w:b/>
          </w:rPr>
          <w:tab/>
        </w:r>
        <w:r>
          <w:rPr>
            <w:spacing w:val="-5"/>
          </w:rPr>
          <w:t>57</w:t>
        </w:r>
      </w:hyperlink>
    </w:p>
    <w:p w14:paraId="32AC1B1D" w14:textId="77777777" w:rsidR="00BC24A8" w:rsidRDefault="00BC24A8">
      <w:pPr>
        <w:pStyle w:val="BodyText"/>
        <w:tabs>
          <w:tab w:val="left" w:pos="8885"/>
        </w:tabs>
        <w:spacing w:before="140"/>
        <w:ind w:left="144"/>
      </w:pPr>
      <w:hyperlink w:anchor="_bookmark87" w:history="1">
        <w:r>
          <w:rPr>
            <w:spacing w:val="-2"/>
          </w:rPr>
          <w:t>Table</w:t>
        </w:r>
        <w:r>
          <w:rPr>
            <w:spacing w:val="-3"/>
          </w:rPr>
          <w:t xml:space="preserve"> </w:t>
        </w:r>
        <w:r>
          <w:rPr>
            <w:spacing w:val="-2"/>
          </w:rPr>
          <w:t>7:</w:t>
        </w:r>
        <w:r>
          <w:t xml:space="preserve"> </w:t>
        </w:r>
        <w:r>
          <w:rPr>
            <w:spacing w:val="-2"/>
          </w:rPr>
          <w:t>Engagement</w:t>
        </w:r>
        <w:r>
          <w:rPr>
            <w:spacing w:val="1"/>
          </w:rPr>
          <w:t xml:space="preserve"> </w:t>
        </w:r>
        <w:r>
          <w:rPr>
            <w:spacing w:val="-2"/>
          </w:rPr>
          <w:t>with</w:t>
        </w:r>
        <w:r>
          <w:rPr>
            <w:spacing w:val="1"/>
          </w:rPr>
          <w:t xml:space="preserve"> </w:t>
        </w:r>
        <w:r>
          <w:rPr>
            <w:spacing w:val="-2"/>
          </w:rPr>
          <w:t>other</w:t>
        </w:r>
        <w:r>
          <w:rPr>
            <w:spacing w:val="2"/>
          </w:rPr>
          <w:t xml:space="preserve"> </w:t>
        </w:r>
        <w:r>
          <w:rPr>
            <w:spacing w:val="-2"/>
          </w:rPr>
          <w:t>DFAT</w:t>
        </w:r>
        <w:r>
          <w:rPr>
            <w:spacing w:val="-3"/>
          </w:rPr>
          <w:t xml:space="preserve"> </w:t>
        </w:r>
        <w:r>
          <w:rPr>
            <w:spacing w:val="-2"/>
          </w:rPr>
          <w:t>programs,</w:t>
        </w:r>
        <w:r>
          <w:rPr>
            <w:spacing w:val="2"/>
          </w:rPr>
          <w:t xml:space="preserve"> </w:t>
        </w:r>
        <w:r>
          <w:rPr>
            <w:spacing w:val="-2"/>
          </w:rPr>
          <w:t>other development</w:t>
        </w:r>
        <w:r>
          <w:rPr>
            <w:spacing w:val="1"/>
          </w:rPr>
          <w:t xml:space="preserve"> </w:t>
        </w:r>
        <w:r>
          <w:rPr>
            <w:spacing w:val="-2"/>
          </w:rPr>
          <w:t>partners,</w:t>
        </w:r>
        <w:r>
          <w:rPr>
            <w:spacing w:val="1"/>
          </w:rPr>
          <w:t xml:space="preserve"> </w:t>
        </w:r>
        <w:r>
          <w:rPr>
            <w:spacing w:val="-2"/>
          </w:rPr>
          <w:t>private</w:t>
        </w:r>
        <w:r>
          <w:t xml:space="preserve"> </w:t>
        </w:r>
        <w:r>
          <w:rPr>
            <w:spacing w:val="-2"/>
          </w:rPr>
          <w:t>sector</w:t>
        </w:r>
        <w:r>
          <w:rPr>
            <w:rFonts w:ascii="Times New Roman"/>
            <w:b/>
          </w:rPr>
          <w:tab/>
        </w:r>
        <w:r>
          <w:rPr>
            <w:spacing w:val="-5"/>
          </w:rPr>
          <w:t>58</w:t>
        </w:r>
      </w:hyperlink>
    </w:p>
    <w:p w14:paraId="0F98FBE8" w14:textId="77777777" w:rsidR="00BC24A8" w:rsidRDefault="00BC24A8">
      <w:pPr>
        <w:pStyle w:val="BodyText"/>
        <w:tabs>
          <w:tab w:val="left" w:pos="8885"/>
        </w:tabs>
        <w:spacing w:before="137"/>
        <w:ind w:left="144"/>
      </w:pPr>
      <w:hyperlink w:anchor="_bookmark92" w:history="1">
        <w:r>
          <w:t>Table</w:t>
        </w:r>
        <w:r>
          <w:rPr>
            <w:spacing w:val="-13"/>
          </w:rPr>
          <w:t xml:space="preserve"> </w:t>
        </w:r>
        <w:r>
          <w:t>8:</w:t>
        </w:r>
        <w:r>
          <w:rPr>
            <w:spacing w:val="-10"/>
          </w:rPr>
          <w:t xml:space="preserve"> </w:t>
        </w:r>
        <w:r>
          <w:t>Table</w:t>
        </w:r>
        <w:r>
          <w:rPr>
            <w:spacing w:val="-11"/>
          </w:rPr>
          <w:t xml:space="preserve"> </w:t>
        </w:r>
        <w:r>
          <w:t>of</w:t>
        </w:r>
        <w:r>
          <w:rPr>
            <w:spacing w:val="-11"/>
          </w:rPr>
          <w:t xml:space="preserve"> </w:t>
        </w:r>
        <w:r>
          <w:t>program</w:t>
        </w:r>
        <w:r>
          <w:rPr>
            <w:spacing w:val="-9"/>
          </w:rPr>
          <w:t xml:space="preserve"> </w:t>
        </w:r>
        <w:r>
          <w:t>input</w:t>
        </w:r>
        <w:r>
          <w:rPr>
            <w:spacing w:val="-10"/>
          </w:rPr>
          <w:t xml:space="preserve"> </w:t>
        </w:r>
        <w:r>
          <w:t>summary</w:t>
        </w:r>
        <w:r>
          <w:rPr>
            <w:spacing w:val="-9"/>
          </w:rPr>
          <w:t xml:space="preserve"> </w:t>
        </w:r>
        <w:r>
          <w:t>(January-June</w:t>
        </w:r>
        <w:r>
          <w:rPr>
            <w:spacing w:val="-10"/>
          </w:rPr>
          <w:t xml:space="preserve"> </w:t>
        </w:r>
        <w:r>
          <w:rPr>
            <w:spacing w:val="-2"/>
          </w:rPr>
          <w:t>2025)</w:t>
        </w:r>
        <w:r>
          <w:rPr>
            <w:rFonts w:ascii="Times New Roman"/>
            <w:b/>
          </w:rPr>
          <w:tab/>
        </w:r>
        <w:r>
          <w:rPr>
            <w:spacing w:val="-5"/>
          </w:rPr>
          <w:t>71</w:t>
        </w:r>
      </w:hyperlink>
    </w:p>
    <w:p w14:paraId="7B04BAFC" w14:textId="77777777" w:rsidR="00BC24A8" w:rsidRDefault="00BC24A8">
      <w:pPr>
        <w:pStyle w:val="BodyText"/>
        <w:tabs>
          <w:tab w:val="left" w:pos="8885"/>
        </w:tabs>
        <w:spacing w:before="139"/>
        <w:ind w:left="144"/>
      </w:pPr>
      <w:hyperlink w:anchor="_bookmark93" w:history="1">
        <w:r>
          <w:t>Table</w:t>
        </w:r>
        <w:r>
          <w:rPr>
            <w:spacing w:val="-6"/>
          </w:rPr>
          <w:t xml:space="preserve"> </w:t>
        </w:r>
        <w:r>
          <w:t>9:</w:t>
        </w:r>
        <w:r>
          <w:rPr>
            <w:spacing w:val="-5"/>
          </w:rPr>
          <w:t xml:space="preserve"> </w:t>
        </w:r>
        <w:r>
          <w:t>Table</w:t>
        </w:r>
        <w:r>
          <w:rPr>
            <w:spacing w:val="-6"/>
          </w:rPr>
          <w:t xml:space="preserve"> </w:t>
        </w:r>
        <w:r>
          <w:t>of</w:t>
        </w:r>
        <w:r>
          <w:rPr>
            <w:spacing w:val="-6"/>
          </w:rPr>
          <w:t xml:space="preserve"> </w:t>
        </w:r>
        <w:r>
          <w:t>summary</w:t>
        </w:r>
        <w:r>
          <w:rPr>
            <w:spacing w:val="-6"/>
          </w:rPr>
          <w:t xml:space="preserve"> </w:t>
        </w:r>
        <w:r>
          <w:t>of</w:t>
        </w:r>
        <w:r>
          <w:rPr>
            <w:spacing w:val="-6"/>
          </w:rPr>
          <w:t xml:space="preserve"> </w:t>
        </w:r>
        <w:r>
          <w:t>FY</w:t>
        </w:r>
        <w:r>
          <w:rPr>
            <w:spacing w:val="-4"/>
          </w:rPr>
          <w:t xml:space="preserve"> </w:t>
        </w:r>
        <w:r>
          <w:t>2024/2025</w:t>
        </w:r>
        <w:r>
          <w:rPr>
            <w:spacing w:val="-6"/>
          </w:rPr>
          <w:t xml:space="preserve"> </w:t>
        </w:r>
        <w:r>
          <w:t>work</w:t>
        </w:r>
        <w:r>
          <w:rPr>
            <w:spacing w:val="-4"/>
          </w:rPr>
          <w:t xml:space="preserve"> </w:t>
        </w:r>
        <w:r>
          <w:t>plan</w:t>
        </w:r>
        <w:r>
          <w:rPr>
            <w:spacing w:val="-7"/>
          </w:rPr>
          <w:t xml:space="preserve"> </w:t>
        </w:r>
        <w:r>
          <w:t>outputs</w:t>
        </w:r>
        <w:r>
          <w:rPr>
            <w:spacing w:val="-4"/>
          </w:rPr>
          <w:t xml:space="preserve"> </w:t>
        </w:r>
        <w:r>
          <w:t>as</w:t>
        </w:r>
        <w:r>
          <w:rPr>
            <w:spacing w:val="-6"/>
          </w:rPr>
          <w:t xml:space="preserve"> </w:t>
        </w:r>
        <w:r>
          <w:t>of</w:t>
        </w:r>
        <w:r>
          <w:rPr>
            <w:spacing w:val="-6"/>
          </w:rPr>
          <w:t xml:space="preserve"> </w:t>
        </w:r>
        <w:r>
          <w:t>June</w:t>
        </w:r>
        <w:r>
          <w:rPr>
            <w:spacing w:val="-5"/>
          </w:rPr>
          <w:t xml:space="preserve"> </w:t>
        </w:r>
        <w:r>
          <w:rPr>
            <w:spacing w:val="-4"/>
          </w:rPr>
          <w:t>2025</w:t>
        </w:r>
        <w:r>
          <w:rPr>
            <w:rFonts w:ascii="Times New Roman"/>
            <w:b/>
          </w:rPr>
          <w:tab/>
        </w:r>
        <w:r>
          <w:rPr>
            <w:spacing w:val="-5"/>
          </w:rPr>
          <w:t>71</w:t>
        </w:r>
      </w:hyperlink>
    </w:p>
    <w:p w14:paraId="7F864F3A" w14:textId="77777777" w:rsidR="00BC24A8" w:rsidRDefault="00BC24A8">
      <w:pPr>
        <w:pStyle w:val="BodyText"/>
        <w:tabs>
          <w:tab w:val="left" w:pos="8885"/>
        </w:tabs>
        <w:spacing w:before="140"/>
        <w:ind w:left="144"/>
      </w:pPr>
      <w:hyperlink w:anchor="_bookmark101" w:history="1">
        <w:r>
          <w:t>Table</w:t>
        </w:r>
        <w:r>
          <w:rPr>
            <w:spacing w:val="-11"/>
          </w:rPr>
          <w:t xml:space="preserve"> </w:t>
        </w:r>
        <w:r>
          <w:t>10:</w:t>
        </w:r>
        <w:r>
          <w:rPr>
            <w:spacing w:val="-9"/>
          </w:rPr>
          <w:t xml:space="preserve"> </w:t>
        </w:r>
        <w:r>
          <w:t>Table</w:t>
        </w:r>
        <w:r>
          <w:rPr>
            <w:spacing w:val="-10"/>
          </w:rPr>
          <w:t xml:space="preserve"> </w:t>
        </w:r>
        <w:r>
          <w:t>of</w:t>
        </w:r>
        <w:r>
          <w:rPr>
            <w:spacing w:val="-11"/>
          </w:rPr>
          <w:t xml:space="preserve"> </w:t>
        </w:r>
        <w:r>
          <w:t>program</w:t>
        </w:r>
        <w:r>
          <w:rPr>
            <w:spacing w:val="-11"/>
          </w:rPr>
          <w:t xml:space="preserve"> </w:t>
        </w:r>
        <w:r>
          <w:t>input</w:t>
        </w:r>
        <w:r>
          <w:rPr>
            <w:spacing w:val="-12"/>
          </w:rPr>
          <w:t xml:space="preserve"> </w:t>
        </w:r>
        <w:r>
          <w:t>summary</w:t>
        </w:r>
        <w:r>
          <w:rPr>
            <w:spacing w:val="-8"/>
          </w:rPr>
          <w:t xml:space="preserve"> </w:t>
        </w:r>
        <w:r>
          <w:t>(January-June</w:t>
        </w:r>
        <w:r>
          <w:rPr>
            <w:spacing w:val="-10"/>
          </w:rPr>
          <w:t xml:space="preserve"> </w:t>
        </w:r>
        <w:r>
          <w:rPr>
            <w:spacing w:val="-2"/>
          </w:rPr>
          <w:t>2025)</w:t>
        </w:r>
        <w:r>
          <w:rPr>
            <w:rFonts w:ascii="Times New Roman"/>
            <w:b/>
          </w:rPr>
          <w:tab/>
        </w:r>
        <w:r>
          <w:rPr>
            <w:spacing w:val="-5"/>
          </w:rPr>
          <w:t>81</w:t>
        </w:r>
      </w:hyperlink>
    </w:p>
    <w:p w14:paraId="5E9A63AC" w14:textId="77777777" w:rsidR="00BC24A8" w:rsidRDefault="00BC24A8">
      <w:pPr>
        <w:pStyle w:val="BodyText"/>
        <w:tabs>
          <w:tab w:val="left" w:pos="8885"/>
        </w:tabs>
        <w:spacing w:before="137"/>
        <w:ind w:left="145"/>
      </w:pPr>
      <w:hyperlink w:anchor="_bookmark102" w:history="1">
        <w:r>
          <w:t>Table</w:t>
        </w:r>
        <w:r>
          <w:rPr>
            <w:spacing w:val="-6"/>
          </w:rPr>
          <w:t xml:space="preserve"> </w:t>
        </w:r>
        <w:r>
          <w:t>11:</w:t>
        </w:r>
        <w:r>
          <w:rPr>
            <w:spacing w:val="-6"/>
          </w:rPr>
          <w:t xml:space="preserve"> </w:t>
        </w:r>
        <w:r>
          <w:t>Table</w:t>
        </w:r>
        <w:r>
          <w:rPr>
            <w:spacing w:val="-5"/>
          </w:rPr>
          <w:t xml:space="preserve"> </w:t>
        </w:r>
        <w:r>
          <w:t>of</w:t>
        </w:r>
        <w:r>
          <w:rPr>
            <w:spacing w:val="-8"/>
          </w:rPr>
          <w:t xml:space="preserve"> </w:t>
        </w:r>
        <w:r>
          <w:t>summary</w:t>
        </w:r>
        <w:r>
          <w:rPr>
            <w:spacing w:val="-6"/>
          </w:rPr>
          <w:t xml:space="preserve"> </w:t>
        </w:r>
        <w:r>
          <w:t>of</w:t>
        </w:r>
        <w:r>
          <w:rPr>
            <w:spacing w:val="-6"/>
          </w:rPr>
          <w:t xml:space="preserve"> </w:t>
        </w:r>
        <w:r>
          <w:t>FY</w:t>
        </w:r>
        <w:r>
          <w:rPr>
            <w:spacing w:val="-5"/>
          </w:rPr>
          <w:t xml:space="preserve"> </w:t>
        </w:r>
        <w:r>
          <w:t>2024/2025</w:t>
        </w:r>
        <w:r>
          <w:rPr>
            <w:spacing w:val="-4"/>
          </w:rPr>
          <w:t xml:space="preserve"> </w:t>
        </w:r>
        <w:r>
          <w:t>work</w:t>
        </w:r>
        <w:r>
          <w:rPr>
            <w:spacing w:val="-5"/>
          </w:rPr>
          <w:t xml:space="preserve"> </w:t>
        </w:r>
        <w:r>
          <w:t>plan</w:t>
        </w:r>
        <w:r>
          <w:rPr>
            <w:spacing w:val="-6"/>
          </w:rPr>
          <w:t xml:space="preserve"> </w:t>
        </w:r>
        <w:r>
          <w:t>outputs</w:t>
        </w:r>
        <w:r>
          <w:rPr>
            <w:spacing w:val="-5"/>
          </w:rPr>
          <w:t xml:space="preserve"> </w:t>
        </w:r>
        <w:r>
          <w:t>as</w:t>
        </w:r>
        <w:r>
          <w:rPr>
            <w:spacing w:val="-4"/>
          </w:rPr>
          <w:t xml:space="preserve"> </w:t>
        </w:r>
        <w:r>
          <w:t>of</w:t>
        </w:r>
        <w:r>
          <w:rPr>
            <w:spacing w:val="-6"/>
          </w:rPr>
          <w:t xml:space="preserve"> </w:t>
        </w:r>
        <w:r>
          <w:t>June</w:t>
        </w:r>
        <w:r>
          <w:rPr>
            <w:spacing w:val="-7"/>
          </w:rPr>
          <w:t xml:space="preserve"> </w:t>
        </w:r>
        <w:r>
          <w:rPr>
            <w:spacing w:val="-4"/>
          </w:rPr>
          <w:t>2025</w:t>
        </w:r>
        <w:r>
          <w:rPr>
            <w:rFonts w:ascii="Times New Roman"/>
            <w:b/>
          </w:rPr>
          <w:tab/>
        </w:r>
        <w:r>
          <w:rPr>
            <w:spacing w:val="-5"/>
          </w:rPr>
          <w:t>81</w:t>
        </w:r>
      </w:hyperlink>
    </w:p>
    <w:p w14:paraId="63EEA436" w14:textId="77777777" w:rsidR="00BC24A8" w:rsidRDefault="00BC24A8">
      <w:pPr>
        <w:pStyle w:val="BodyText"/>
        <w:tabs>
          <w:tab w:val="left" w:pos="8886"/>
        </w:tabs>
        <w:spacing w:before="139"/>
        <w:ind w:left="145"/>
      </w:pPr>
      <w:hyperlink w:anchor="_bookmark108" w:history="1">
        <w:r>
          <w:t>Table</w:t>
        </w:r>
        <w:r>
          <w:rPr>
            <w:spacing w:val="-10"/>
          </w:rPr>
          <w:t xml:space="preserve"> </w:t>
        </w:r>
        <w:r>
          <w:t>12:</w:t>
        </w:r>
        <w:r>
          <w:rPr>
            <w:spacing w:val="-9"/>
          </w:rPr>
          <w:t xml:space="preserve"> </w:t>
        </w:r>
        <w:r>
          <w:t>Table</w:t>
        </w:r>
        <w:r>
          <w:rPr>
            <w:spacing w:val="-9"/>
          </w:rPr>
          <w:t xml:space="preserve"> </w:t>
        </w:r>
        <w:r>
          <w:t>of</w:t>
        </w:r>
        <w:r>
          <w:rPr>
            <w:spacing w:val="-10"/>
          </w:rPr>
          <w:t xml:space="preserve"> </w:t>
        </w:r>
        <w:r>
          <w:t>program</w:t>
        </w:r>
        <w:r>
          <w:rPr>
            <w:spacing w:val="-10"/>
          </w:rPr>
          <w:t xml:space="preserve"> </w:t>
        </w:r>
        <w:r>
          <w:t>input</w:t>
        </w:r>
        <w:r>
          <w:rPr>
            <w:spacing w:val="-11"/>
          </w:rPr>
          <w:t xml:space="preserve"> </w:t>
        </w:r>
        <w:r>
          <w:t>summary</w:t>
        </w:r>
        <w:r>
          <w:rPr>
            <w:spacing w:val="-8"/>
          </w:rPr>
          <w:t xml:space="preserve"> </w:t>
        </w:r>
        <w:r>
          <w:t>(January–June</w:t>
        </w:r>
        <w:r>
          <w:rPr>
            <w:spacing w:val="-9"/>
          </w:rPr>
          <w:t xml:space="preserve"> </w:t>
        </w:r>
        <w:r>
          <w:rPr>
            <w:spacing w:val="-2"/>
          </w:rPr>
          <w:t>2025)</w:t>
        </w:r>
        <w:r>
          <w:rPr>
            <w:rFonts w:ascii="Times New Roman" w:hAnsi="Times New Roman"/>
            <w:b/>
          </w:rPr>
          <w:tab/>
        </w:r>
        <w:r>
          <w:rPr>
            <w:spacing w:val="-5"/>
          </w:rPr>
          <w:t>92</w:t>
        </w:r>
      </w:hyperlink>
    </w:p>
    <w:p w14:paraId="551E8694" w14:textId="77777777" w:rsidR="00BC24A8" w:rsidRDefault="00BC24A8">
      <w:pPr>
        <w:pStyle w:val="BodyText"/>
        <w:tabs>
          <w:tab w:val="left" w:pos="8886"/>
        </w:tabs>
        <w:spacing w:before="137"/>
        <w:ind w:left="145"/>
      </w:pPr>
      <w:hyperlink w:anchor="_bookmark109" w:history="1">
        <w:r>
          <w:t>Table</w:t>
        </w:r>
        <w:r>
          <w:rPr>
            <w:spacing w:val="-6"/>
          </w:rPr>
          <w:t xml:space="preserve"> </w:t>
        </w:r>
        <w:r>
          <w:t>13:</w:t>
        </w:r>
        <w:r>
          <w:rPr>
            <w:spacing w:val="-6"/>
          </w:rPr>
          <w:t xml:space="preserve"> </w:t>
        </w:r>
        <w:r>
          <w:t>Table</w:t>
        </w:r>
        <w:r>
          <w:rPr>
            <w:spacing w:val="-5"/>
          </w:rPr>
          <w:t xml:space="preserve"> </w:t>
        </w:r>
        <w:r>
          <w:t>of</w:t>
        </w:r>
        <w:r>
          <w:rPr>
            <w:spacing w:val="-8"/>
          </w:rPr>
          <w:t xml:space="preserve"> </w:t>
        </w:r>
        <w:r>
          <w:t>summary</w:t>
        </w:r>
        <w:r>
          <w:rPr>
            <w:spacing w:val="-6"/>
          </w:rPr>
          <w:t xml:space="preserve"> </w:t>
        </w:r>
        <w:r>
          <w:t>of</w:t>
        </w:r>
        <w:r>
          <w:rPr>
            <w:spacing w:val="-6"/>
          </w:rPr>
          <w:t xml:space="preserve"> </w:t>
        </w:r>
        <w:r>
          <w:t>FY</w:t>
        </w:r>
        <w:r>
          <w:rPr>
            <w:spacing w:val="-5"/>
          </w:rPr>
          <w:t xml:space="preserve"> </w:t>
        </w:r>
        <w:r>
          <w:t>2024/2025</w:t>
        </w:r>
        <w:r>
          <w:rPr>
            <w:spacing w:val="-4"/>
          </w:rPr>
          <w:t xml:space="preserve"> </w:t>
        </w:r>
        <w:r>
          <w:t>work</w:t>
        </w:r>
        <w:r>
          <w:rPr>
            <w:spacing w:val="-5"/>
          </w:rPr>
          <w:t xml:space="preserve"> </w:t>
        </w:r>
        <w:r>
          <w:t>plan</w:t>
        </w:r>
        <w:r>
          <w:rPr>
            <w:spacing w:val="-6"/>
          </w:rPr>
          <w:t xml:space="preserve"> </w:t>
        </w:r>
        <w:r>
          <w:t>outputs</w:t>
        </w:r>
        <w:r>
          <w:rPr>
            <w:spacing w:val="-5"/>
          </w:rPr>
          <w:t xml:space="preserve"> </w:t>
        </w:r>
        <w:r>
          <w:t>as</w:t>
        </w:r>
        <w:r>
          <w:rPr>
            <w:spacing w:val="-4"/>
          </w:rPr>
          <w:t xml:space="preserve"> </w:t>
        </w:r>
        <w:r>
          <w:t>of</w:t>
        </w:r>
        <w:r>
          <w:rPr>
            <w:spacing w:val="-6"/>
          </w:rPr>
          <w:t xml:space="preserve"> </w:t>
        </w:r>
        <w:r>
          <w:t>June</w:t>
        </w:r>
        <w:r>
          <w:rPr>
            <w:spacing w:val="-7"/>
          </w:rPr>
          <w:t xml:space="preserve"> </w:t>
        </w:r>
        <w:r>
          <w:rPr>
            <w:spacing w:val="-4"/>
          </w:rPr>
          <w:t>2025</w:t>
        </w:r>
        <w:r>
          <w:rPr>
            <w:rFonts w:ascii="Times New Roman"/>
            <w:b/>
          </w:rPr>
          <w:tab/>
        </w:r>
        <w:r>
          <w:rPr>
            <w:spacing w:val="-5"/>
          </w:rPr>
          <w:t>92</w:t>
        </w:r>
      </w:hyperlink>
    </w:p>
    <w:p w14:paraId="0F1DC93D" w14:textId="77777777" w:rsidR="00BC24A8" w:rsidRDefault="00BC24A8">
      <w:pPr>
        <w:pStyle w:val="BodyText"/>
        <w:tabs>
          <w:tab w:val="left" w:pos="8785"/>
        </w:tabs>
        <w:spacing w:before="140"/>
        <w:ind w:left="145"/>
      </w:pPr>
      <w:hyperlink w:anchor="_bookmark120" w:history="1">
        <w:r>
          <w:t>Table</w:t>
        </w:r>
        <w:r>
          <w:rPr>
            <w:spacing w:val="-13"/>
          </w:rPr>
          <w:t xml:space="preserve"> </w:t>
        </w:r>
        <w:r>
          <w:t>14:</w:t>
        </w:r>
        <w:r>
          <w:rPr>
            <w:spacing w:val="-10"/>
          </w:rPr>
          <w:t xml:space="preserve"> </w:t>
        </w:r>
        <w:r>
          <w:t>Program</w:t>
        </w:r>
        <w:r>
          <w:rPr>
            <w:spacing w:val="-11"/>
          </w:rPr>
          <w:t xml:space="preserve"> </w:t>
        </w:r>
        <w:r>
          <w:t>input</w:t>
        </w:r>
        <w:r>
          <w:rPr>
            <w:spacing w:val="-9"/>
          </w:rPr>
          <w:t xml:space="preserve"> </w:t>
        </w:r>
        <w:r>
          <w:t>count</w:t>
        </w:r>
        <w:r>
          <w:rPr>
            <w:spacing w:val="-10"/>
          </w:rPr>
          <w:t xml:space="preserve"> </w:t>
        </w:r>
        <w:r>
          <w:t>table</w:t>
        </w:r>
        <w:r>
          <w:rPr>
            <w:spacing w:val="-10"/>
          </w:rPr>
          <w:t xml:space="preserve"> </w:t>
        </w:r>
        <w:r>
          <w:t>(January-June</w:t>
        </w:r>
        <w:r>
          <w:rPr>
            <w:spacing w:val="-12"/>
          </w:rPr>
          <w:t xml:space="preserve"> </w:t>
        </w:r>
        <w:r>
          <w:rPr>
            <w:spacing w:val="-4"/>
          </w:rPr>
          <w:t>2025)</w:t>
        </w:r>
        <w:r>
          <w:rPr>
            <w:rFonts w:ascii="Times New Roman"/>
            <w:b/>
          </w:rPr>
          <w:tab/>
        </w:r>
        <w:r>
          <w:rPr>
            <w:spacing w:val="-5"/>
          </w:rPr>
          <w:t>106</w:t>
        </w:r>
      </w:hyperlink>
    </w:p>
    <w:p w14:paraId="04BDEB1A" w14:textId="77777777" w:rsidR="00BC24A8" w:rsidRDefault="00BC24A8">
      <w:pPr>
        <w:pStyle w:val="BodyText"/>
        <w:tabs>
          <w:tab w:val="left" w:pos="8786"/>
        </w:tabs>
        <w:spacing w:before="139"/>
        <w:ind w:left="146"/>
      </w:pPr>
      <w:hyperlink w:anchor="_bookmark121" w:history="1">
        <w:r>
          <w:t>Table</w:t>
        </w:r>
        <w:r>
          <w:rPr>
            <w:spacing w:val="-6"/>
          </w:rPr>
          <w:t xml:space="preserve"> </w:t>
        </w:r>
        <w:r>
          <w:t>15:</w:t>
        </w:r>
        <w:r>
          <w:rPr>
            <w:spacing w:val="-5"/>
          </w:rPr>
          <w:t xml:space="preserve"> </w:t>
        </w:r>
        <w:r>
          <w:t>FY</w:t>
        </w:r>
        <w:r>
          <w:rPr>
            <w:spacing w:val="-8"/>
          </w:rPr>
          <w:t xml:space="preserve"> </w:t>
        </w:r>
        <w:r>
          <w:t>2024/2025</w:t>
        </w:r>
        <w:r>
          <w:rPr>
            <w:spacing w:val="-5"/>
          </w:rPr>
          <w:t xml:space="preserve"> </w:t>
        </w:r>
        <w:r>
          <w:t>work</w:t>
        </w:r>
        <w:r>
          <w:rPr>
            <w:spacing w:val="-6"/>
          </w:rPr>
          <w:t xml:space="preserve"> </w:t>
        </w:r>
        <w:r>
          <w:t>plan</w:t>
        </w:r>
        <w:r>
          <w:rPr>
            <w:spacing w:val="-4"/>
          </w:rPr>
          <w:t xml:space="preserve"> </w:t>
        </w:r>
        <w:r>
          <w:t>output</w:t>
        </w:r>
        <w:r>
          <w:rPr>
            <w:spacing w:val="-5"/>
          </w:rPr>
          <w:t xml:space="preserve"> </w:t>
        </w:r>
        <w:r>
          <w:t>table</w:t>
        </w:r>
        <w:r>
          <w:rPr>
            <w:spacing w:val="-5"/>
          </w:rPr>
          <w:t xml:space="preserve"> </w:t>
        </w:r>
        <w:r>
          <w:t>as</w:t>
        </w:r>
        <w:r>
          <w:rPr>
            <w:spacing w:val="-4"/>
          </w:rPr>
          <w:t xml:space="preserve"> </w:t>
        </w:r>
        <w:r>
          <w:t>of</w:t>
        </w:r>
        <w:r>
          <w:rPr>
            <w:spacing w:val="-8"/>
          </w:rPr>
          <w:t xml:space="preserve"> </w:t>
        </w:r>
        <w:r>
          <w:t>June</w:t>
        </w:r>
        <w:r>
          <w:rPr>
            <w:spacing w:val="-5"/>
          </w:rPr>
          <w:t xml:space="preserve"> </w:t>
        </w:r>
        <w:r>
          <w:rPr>
            <w:spacing w:val="-4"/>
          </w:rPr>
          <w:t>2025</w:t>
        </w:r>
        <w:r>
          <w:rPr>
            <w:rFonts w:ascii="Times New Roman"/>
            <w:b/>
          </w:rPr>
          <w:tab/>
        </w:r>
        <w:r>
          <w:rPr>
            <w:spacing w:val="-5"/>
          </w:rPr>
          <w:t>106</w:t>
        </w:r>
      </w:hyperlink>
    </w:p>
    <w:p w14:paraId="04F0F1EE" w14:textId="77777777" w:rsidR="00BC24A8" w:rsidRDefault="00BC24A8">
      <w:pPr>
        <w:pStyle w:val="BodyText"/>
        <w:tabs>
          <w:tab w:val="left" w:pos="8786"/>
        </w:tabs>
        <w:spacing w:before="137"/>
        <w:ind w:left="146"/>
      </w:pPr>
      <w:hyperlink w:anchor="_bookmark126" w:history="1">
        <w:r>
          <w:t>Table</w:t>
        </w:r>
        <w:r>
          <w:rPr>
            <w:spacing w:val="-10"/>
          </w:rPr>
          <w:t xml:space="preserve"> </w:t>
        </w:r>
        <w:r>
          <w:t>16:</w:t>
        </w:r>
        <w:r>
          <w:rPr>
            <w:spacing w:val="-9"/>
          </w:rPr>
          <w:t xml:space="preserve"> </w:t>
        </w:r>
        <w:r>
          <w:t>Table</w:t>
        </w:r>
        <w:r>
          <w:rPr>
            <w:spacing w:val="-10"/>
          </w:rPr>
          <w:t xml:space="preserve"> </w:t>
        </w:r>
        <w:r>
          <w:t>of</w:t>
        </w:r>
        <w:r>
          <w:rPr>
            <w:spacing w:val="-10"/>
          </w:rPr>
          <w:t xml:space="preserve"> </w:t>
        </w:r>
        <w:r>
          <w:t>number</w:t>
        </w:r>
        <w:r>
          <w:rPr>
            <w:spacing w:val="-8"/>
          </w:rPr>
          <w:t xml:space="preserve"> </w:t>
        </w:r>
        <w:r>
          <w:t>of</w:t>
        </w:r>
        <w:r>
          <w:rPr>
            <w:spacing w:val="-10"/>
          </w:rPr>
          <w:t xml:space="preserve"> </w:t>
        </w:r>
        <w:r>
          <w:t>program</w:t>
        </w:r>
        <w:r>
          <w:rPr>
            <w:spacing w:val="-8"/>
          </w:rPr>
          <w:t xml:space="preserve"> </w:t>
        </w:r>
        <w:r>
          <w:t>inputs</w:t>
        </w:r>
        <w:r>
          <w:rPr>
            <w:spacing w:val="-9"/>
          </w:rPr>
          <w:t xml:space="preserve"> </w:t>
        </w:r>
        <w:r>
          <w:t>(January-June</w:t>
        </w:r>
        <w:r>
          <w:rPr>
            <w:spacing w:val="-9"/>
          </w:rPr>
          <w:t xml:space="preserve"> </w:t>
        </w:r>
        <w:r>
          <w:rPr>
            <w:spacing w:val="-4"/>
          </w:rPr>
          <w:t>2025</w:t>
        </w:r>
        <w:r>
          <w:rPr>
            <w:rFonts w:ascii="Times New Roman"/>
            <w:b/>
          </w:rPr>
          <w:tab/>
        </w:r>
        <w:r>
          <w:rPr>
            <w:spacing w:val="-5"/>
          </w:rPr>
          <w:t>120</w:t>
        </w:r>
      </w:hyperlink>
    </w:p>
    <w:p w14:paraId="2A7DF4C1" w14:textId="77777777" w:rsidR="00BC24A8" w:rsidRDefault="00BC24A8">
      <w:pPr>
        <w:pStyle w:val="BodyText"/>
        <w:tabs>
          <w:tab w:val="left" w:pos="8786"/>
        </w:tabs>
        <w:spacing w:before="140"/>
        <w:ind w:left="146"/>
      </w:pPr>
      <w:hyperlink w:anchor="_bookmark127" w:history="1">
        <w:r>
          <w:t>Table</w:t>
        </w:r>
        <w:r>
          <w:rPr>
            <w:spacing w:val="-6"/>
          </w:rPr>
          <w:t xml:space="preserve"> </w:t>
        </w:r>
        <w:r>
          <w:t>17:</w:t>
        </w:r>
        <w:r>
          <w:rPr>
            <w:spacing w:val="-5"/>
          </w:rPr>
          <w:t xml:space="preserve"> </w:t>
        </w:r>
        <w:r>
          <w:t>Table</w:t>
        </w:r>
        <w:r>
          <w:rPr>
            <w:spacing w:val="-6"/>
          </w:rPr>
          <w:t xml:space="preserve"> </w:t>
        </w:r>
        <w:r>
          <w:t>of</w:t>
        </w:r>
        <w:r>
          <w:rPr>
            <w:spacing w:val="-6"/>
          </w:rPr>
          <w:t xml:space="preserve"> </w:t>
        </w:r>
        <w:r>
          <w:t>total</w:t>
        </w:r>
        <w:r>
          <w:rPr>
            <w:spacing w:val="-6"/>
          </w:rPr>
          <w:t xml:space="preserve"> </w:t>
        </w:r>
        <w:r>
          <w:t>outputs</w:t>
        </w:r>
        <w:r>
          <w:rPr>
            <w:spacing w:val="-6"/>
          </w:rPr>
          <w:t xml:space="preserve"> </w:t>
        </w:r>
        <w:r>
          <w:t>of</w:t>
        </w:r>
        <w:r>
          <w:rPr>
            <w:spacing w:val="-6"/>
          </w:rPr>
          <w:t xml:space="preserve"> </w:t>
        </w:r>
        <w:r>
          <w:t>FY</w:t>
        </w:r>
        <w:r>
          <w:rPr>
            <w:spacing w:val="-5"/>
          </w:rPr>
          <w:t xml:space="preserve"> </w:t>
        </w:r>
        <w:r>
          <w:t>24/25</w:t>
        </w:r>
        <w:r>
          <w:rPr>
            <w:spacing w:val="-4"/>
          </w:rPr>
          <w:t xml:space="preserve"> </w:t>
        </w:r>
        <w:r>
          <w:t>work</w:t>
        </w:r>
        <w:r>
          <w:rPr>
            <w:spacing w:val="-4"/>
          </w:rPr>
          <w:t xml:space="preserve"> </w:t>
        </w:r>
        <w:r>
          <w:t>plan</w:t>
        </w:r>
        <w:r>
          <w:rPr>
            <w:spacing w:val="-9"/>
          </w:rPr>
          <w:t xml:space="preserve"> </w:t>
        </w:r>
        <w:r>
          <w:t>as</w:t>
        </w:r>
        <w:r>
          <w:rPr>
            <w:spacing w:val="-4"/>
          </w:rPr>
          <w:t xml:space="preserve"> </w:t>
        </w:r>
        <w:r>
          <w:t>of</w:t>
        </w:r>
        <w:r>
          <w:rPr>
            <w:spacing w:val="-6"/>
          </w:rPr>
          <w:t xml:space="preserve"> </w:t>
        </w:r>
        <w:r>
          <w:t>June</w:t>
        </w:r>
        <w:r>
          <w:rPr>
            <w:spacing w:val="-5"/>
          </w:rPr>
          <w:t xml:space="preserve"> </w:t>
        </w:r>
        <w:r>
          <w:rPr>
            <w:spacing w:val="-4"/>
          </w:rPr>
          <w:t>2025</w:t>
        </w:r>
        <w:r>
          <w:rPr>
            <w:rFonts w:ascii="Times New Roman"/>
            <w:b/>
          </w:rPr>
          <w:tab/>
        </w:r>
        <w:r>
          <w:rPr>
            <w:spacing w:val="-5"/>
          </w:rPr>
          <w:t>120</w:t>
        </w:r>
      </w:hyperlink>
    </w:p>
    <w:p w14:paraId="3D2359EB" w14:textId="77777777" w:rsidR="00BC24A8" w:rsidRDefault="00BC24A8">
      <w:pPr>
        <w:pStyle w:val="BodyText"/>
        <w:tabs>
          <w:tab w:val="left" w:pos="8786"/>
        </w:tabs>
        <w:spacing w:before="137"/>
        <w:ind w:left="146"/>
      </w:pPr>
      <w:hyperlink w:anchor="_bookmark136" w:history="1">
        <w:r>
          <w:t>Table</w:t>
        </w:r>
        <w:r>
          <w:rPr>
            <w:spacing w:val="-10"/>
          </w:rPr>
          <w:t xml:space="preserve"> </w:t>
        </w:r>
        <w:r>
          <w:t>18:</w:t>
        </w:r>
        <w:r>
          <w:rPr>
            <w:spacing w:val="-8"/>
          </w:rPr>
          <w:t xml:space="preserve"> </w:t>
        </w:r>
        <w:r>
          <w:t>Program</w:t>
        </w:r>
        <w:r>
          <w:rPr>
            <w:spacing w:val="-10"/>
          </w:rPr>
          <w:t xml:space="preserve"> </w:t>
        </w:r>
        <w:r>
          <w:t>input</w:t>
        </w:r>
        <w:r>
          <w:rPr>
            <w:spacing w:val="-8"/>
          </w:rPr>
          <w:t xml:space="preserve"> </w:t>
        </w:r>
        <w:r>
          <w:t>summary</w:t>
        </w:r>
        <w:r>
          <w:rPr>
            <w:spacing w:val="-9"/>
          </w:rPr>
          <w:t xml:space="preserve"> </w:t>
        </w:r>
        <w:r>
          <w:t>table</w:t>
        </w:r>
        <w:r>
          <w:rPr>
            <w:spacing w:val="-10"/>
          </w:rPr>
          <w:t xml:space="preserve"> </w:t>
        </w:r>
        <w:r>
          <w:t>(January–June</w:t>
        </w:r>
        <w:r>
          <w:rPr>
            <w:spacing w:val="-10"/>
          </w:rPr>
          <w:t xml:space="preserve"> </w:t>
        </w:r>
        <w:r>
          <w:rPr>
            <w:spacing w:val="-2"/>
          </w:rPr>
          <w:t>2025)</w:t>
        </w:r>
        <w:r>
          <w:rPr>
            <w:rFonts w:ascii="Times New Roman" w:hAnsi="Times New Roman"/>
            <w:b/>
          </w:rPr>
          <w:tab/>
        </w:r>
        <w:r>
          <w:rPr>
            <w:spacing w:val="-5"/>
          </w:rPr>
          <w:t>136</w:t>
        </w:r>
      </w:hyperlink>
    </w:p>
    <w:p w14:paraId="103D62FE" w14:textId="77777777" w:rsidR="00BC24A8" w:rsidRDefault="00BC24A8">
      <w:pPr>
        <w:pStyle w:val="BodyText"/>
        <w:tabs>
          <w:tab w:val="left" w:pos="8786"/>
        </w:tabs>
        <w:spacing w:before="139"/>
        <w:ind w:left="146"/>
      </w:pPr>
      <w:hyperlink w:anchor="_bookmark137" w:history="1">
        <w:r>
          <w:t>Table</w:t>
        </w:r>
        <w:r>
          <w:rPr>
            <w:spacing w:val="-6"/>
          </w:rPr>
          <w:t xml:space="preserve"> </w:t>
        </w:r>
        <w:r>
          <w:t>19:</w:t>
        </w:r>
        <w:r>
          <w:rPr>
            <w:spacing w:val="-6"/>
          </w:rPr>
          <w:t xml:space="preserve"> </w:t>
        </w:r>
        <w:r>
          <w:t>Table</w:t>
        </w:r>
        <w:r>
          <w:rPr>
            <w:spacing w:val="-5"/>
          </w:rPr>
          <w:t xml:space="preserve"> </w:t>
        </w:r>
        <w:r>
          <w:t>of</w:t>
        </w:r>
        <w:r>
          <w:rPr>
            <w:spacing w:val="-8"/>
          </w:rPr>
          <w:t xml:space="preserve"> </w:t>
        </w:r>
        <w:r>
          <w:t>summary</w:t>
        </w:r>
        <w:r>
          <w:rPr>
            <w:spacing w:val="-6"/>
          </w:rPr>
          <w:t xml:space="preserve"> </w:t>
        </w:r>
        <w:r>
          <w:t>of</w:t>
        </w:r>
        <w:r>
          <w:rPr>
            <w:spacing w:val="-6"/>
          </w:rPr>
          <w:t xml:space="preserve"> </w:t>
        </w:r>
        <w:r>
          <w:t>FY</w:t>
        </w:r>
        <w:r>
          <w:rPr>
            <w:spacing w:val="-5"/>
          </w:rPr>
          <w:t xml:space="preserve"> </w:t>
        </w:r>
        <w:r>
          <w:t>2024/2025</w:t>
        </w:r>
        <w:r>
          <w:rPr>
            <w:spacing w:val="-4"/>
          </w:rPr>
          <w:t xml:space="preserve"> </w:t>
        </w:r>
        <w:r>
          <w:t>work</w:t>
        </w:r>
        <w:r>
          <w:rPr>
            <w:spacing w:val="-5"/>
          </w:rPr>
          <w:t xml:space="preserve"> </w:t>
        </w:r>
        <w:r>
          <w:t>plan</w:t>
        </w:r>
        <w:r>
          <w:rPr>
            <w:spacing w:val="-6"/>
          </w:rPr>
          <w:t xml:space="preserve"> </w:t>
        </w:r>
        <w:r>
          <w:t>outputs</w:t>
        </w:r>
        <w:r>
          <w:rPr>
            <w:spacing w:val="-5"/>
          </w:rPr>
          <w:t xml:space="preserve"> </w:t>
        </w:r>
        <w:r>
          <w:t>as</w:t>
        </w:r>
        <w:r>
          <w:rPr>
            <w:spacing w:val="-4"/>
          </w:rPr>
          <w:t xml:space="preserve"> </w:t>
        </w:r>
        <w:r>
          <w:t>of</w:t>
        </w:r>
        <w:r>
          <w:rPr>
            <w:spacing w:val="-6"/>
          </w:rPr>
          <w:t xml:space="preserve"> </w:t>
        </w:r>
        <w:r>
          <w:t>June</w:t>
        </w:r>
        <w:r>
          <w:rPr>
            <w:spacing w:val="-7"/>
          </w:rPr>
          <w:t xml:space="preserve"> </w:t>
        </w:r>
        <w:r>
          <w:rPr>
            <w:spacing w:val="-4"/>
          </w:rPr>
          <w:t>2025</w:t>
        </w:r>
        <w:r>
          <w:rPr>
            <w:rFonts w:ascii="Times New Roman"/>
            <w:b/>
          </w:rPr>
          <w:tab/>
        </w:r>
        <w:r>
          <w:rPr>
            <w:spacing w:val="-5"/>
          </w:rPr>
          <w:t>136</w:t>
        </w:r>
      </w:hyperlink>
    </w:p>
    <w:p w14:paraId="1E0B5CDA" w14:textId="77777777" w:rsidR="00BC24A8" w:rsidRDefault="00BC24A8">
      <w:pPr>
        <w:pStyle w:val="BodyText"/>
        <w:tabs>
          <w:tab w:val="left" w:pos="8787"/>
        </w:tabs>
        <w:spacing w:before="140"/>
        <w:ind w:left="147"/>
      </w:pPr>
      <w:hyperlink w:anchor="_bookmark145" w:history="1">
        <w:r>
          <w:t>Table</w:t>
        </w:r>
        <w:r>
          <w:rPr>
            <w:spacing w:val="-10"/>
          </w:rPr>
          <w:t xml:space="preserve"> </w:t>
        </w:r>
        <w:r>
          <w:t>20:</w:t>
        </w:r>
        <w:r>
          <w:rPr>
            <w:spacing w:val="-9"/>
          </w:rPr>
          <w:t xml:space="preserve"> </w:t>
        </w:r>
        <w:r>
          <w:t>Table</w:t>
        </w:r>
        <w:r>
          <w:rPr>
            <w:spacing w:val="-9"/>
          </w:rPr>
          <w:t xml:space="preserve"> </w:t>
        </w:r>
        <w:r>
          <w:t>of</w:t>
        </w:r>
        <w:r>
          <w:rPr>
            <w:spacing w:val="-10"/>
          </w:rPr>
          <w:t xml:space="preserve"> </w:t>
        </w:r>
        <w:r>
          <w:t>program</w:t>
        </w:r>
        <w:r>
          <w:rPr>
            <w:spacing w:val="-10"/>
          </w:rPr>
          <w:t xml:space="preserve"> </w:t>
        </w:r>
        <w:r>
          <w:t>input</w:t>
        </w:r>
        <w:r>
          <w:rPr>
            <w:spacing w:val="-11"/>
          </w:rPr>
          <w:t xml:space="preserve"> </w:t>
        </w:r>
        <w:r>
          <w:t>summary</w:t>
        </w:r>
        <w:r>
          <w:rPr>
            <w:spacing w:val="-8"/>
          </w:rPr>
          <w:t xml:space="preserve"> </w:t>
        </w:r>
        <w:r>
          <w:t>(January–June</w:t>
        </w:r>
        <w:r>
          <w:rPr>
            <w:spacing w:val="-9"/>
          </w:rPr>
          <w:t xml:space="preserve"> </w:t>
        </w:r>
        <w:r>
          <w:rPr>
            <w:spacing w:val="-2"/>
          </w:rPr>
          <w:t>2025)</w:t>
        </w:r>
        <w:r>
          <w:rPr>
            <w:rFonts w:ascii="Times New Roman" w:hAnsi="Times New Roman"/>
            <w:b/>
          </w:rPr>
          <w:tab/>
        </w:r>
        <w:r>
          <w:rPr>
            <w:spacing w:val="-5"/>
          </w:rPr>
          <w:t>148</w:t>
        </w:r>
      </w:hyperlink>
    </w:p>
    <w:p w14:paraId="34F5E1FA" w14:textId="77777777" w:rsidR="00BC24A8" w:rsidRDefault="00BC24A8">
      <w:pPr>
        <w:pStyle w:val="BodyText"/>
        <w:tabs>
          <w:tab w:val="left" w:pos="8787"/>
        </w:tabs>
        <w:spacing w:before="137"/>
        <w:ind w:left="147"/>
      </w:pPr>
      <w:hyperlink w:anchor="_bookmark146" w:history="1">
        <w:r>
          <w:t>Table</w:t>
        </w:r>
        <w:r>
          <w:rPr>
            <w:spacing w:val="-6"/>
          </w:rPr>
          <w:t xml:space="preserve"> </w:t>
        </w:r>
        <w:r>
          <w:t>21:</w:t>
        </w:r>
        <w:r>
          <w:rPr>
            <w:spacing w:val="-6"/>
          </w:rPr>
          <w:t xml:space="preserve"> </w:t>
        </w:r>
        <w:r>
          <w:t>Table</w:t>
        </w:r>
        <w:r>
          <w:rPr>
            <w:spacing w:val="-5"/>
          </w:rPr>
          <w:t xml:space="preserve"> </w:t>
        </w:r>
        <w:r>
          <w:t>of</w:t>
        </w:r>
        <w:r>
          <w:rPr>
            <w:spacing w:val="-8"/>
          </w:rPr>
          <w:t xml:space="preserve"> </w:t>
        </w:r>
        <w:r>
          <w:t>summary</w:t>
        </w:r>
        <w:r>
          <w:rPr>
            <w:spacing w:val="-6"/>
          </w:rPr>
          <w:t xml:space="preserve"> </w:t>
        </w:r>
        <w:r>
          <w:t>of</w:t>
        </w:r>
        <w:r>
          <w:rPr>
            <w:spacing w:val="-6"/>
          </w:rPr>
          <w:t xml:space="preserve"> </w:t>
        </w:r>
        <w:r>
          <w:t>FY</w:t>
        </w:r>
        <w:r>
          <w:rPr>
            <w:spacing w:val="-5"/>
          </w:rPr>
          <w:t xml:space="preserve"> </w:t>
        </w:r>
        <w:r>
          <w:t>2024/2025</w:t>
        </w:r>
        <w:r>
          <w:rPr>
            <w:spacing w:val="-4"/>
          </w:rPr>
          <w:t xml:space="preserve"> </w:t>
        </w:r>
        <w:r>
          <w:t>work</w:t>
        </w:r>
        <w:r>
          <w:rPr>
            <w:spacing w:val="-5"/>
          </w:rPr>
          <w:t xml:space="preserve"> </w:t>
        </w:r>
        <w:r>
          <w:t>plan</w:t>
        </w:r>
        <w:r>
          <w:rPr>
            <w:spacing w:val="-6"/>
          </w:rPr>
          <w:t xml:space="preserve"> </w:t>
        </w:r>
        <w:r>
          <w:t>outputs</w:t>
        </w:r>
        <w:r>
          <w:rPr>
            <w:spacing w:val="-5"/>
          </w:rPr>
          <w:t xml:space="preserve"> </w:t>
        </w:r>
        <w:r>
          <w:t>as</w:t>
        </w:r>
        <w:r>
          <w:rPr>
            <w:spacing w:val="-4"/>
          </w:rPr>
          <w:t xml:space="preserve"> </w:t>
        </w:r>
        <w:r>
          <w:t>of</w:t>
        </w:r>
        <w:r>
          <w:rPr>
            <w:spacing w:val="-6"/>
          </w:rPr>
          <w:t xml:space="preserve"> </w:t>
        </w:r>
        <w:r>
          <w:t>June</w:t>
        </w:r>
        <w:r>
          <w:rPr>
            <w:spacing w:val="-7"/>
          </w:rPr>
          <w:t xml:space="preserve"> </w:t>
        </w:r>
        <w:r>
          <w:rPr>
            <w:spacing w:val="-4"/>
          </w:rPr>
          <w:t>2025</w:t>
        </w:r>
        <w:r>
          <w:rPr>
            <w:rFonts w:ascii="Times New Roman"/>
            <w:b/>
          </w:rPr>
          <w:tab/>
        </w:r>
        <w:r>
          <w:rPr>
            <w:spacing w:val="-5"/>
          </w:rPr>
          <w:t>148</w:t>
        </w:r>
      </w:hyperlink>
    </w:p>
    <w:p w14:paraId="57EAF1EF" w14:textId="77777777" w:rsidR="00BC24A8" w:rsidRDefault="00BC24A8">
      <w:pPr>
        <w:pStyle w:val="BodyText"/>
        <w:tabs>
          <w:tab w:val="left" w:pos="8787"/>
        </w:tabs>
        <w:spacing w:before="139"/>
        <w:ind w:left="147"/>
      </w:pPr>
      <w:hyperlink w:anchor="_bookmark159" w:history="1">
        <w:r>
          <w:t>Table</w:t>
        </w:r>
        <w:r>
          <w:rPr>
            <w:spacing w:val="-11"/>
          </w:rPr>
          <w:t xml:space="preserve"> </w:t>
        </w:r>
        <w:r>
          <w:t>22:</w:t>
        </w:r>
        <w:r>
          <w:rPr>
            <w:spacing w:val="-9"/>
          </w:rPr>
          <w:t xml:space="preserve"> </w:t>
        </w:r>
        <w:r>
          <w:t>Table</w:t>
        </w:r>
        <w:r>
          <w:rPr>
            <w:spacing w:val="-10"/>
          </w:rPr>
          <w:t xml:space="preserve"> </w:t>
        </w:r>
        <w:r>
          <w:t>of</w:t>
        </w:r>
        <w:r>
          <w:rPr>
            <w:spacing w:val="-11"/>
          </w:rPr>
          <w:t xml:space="preserve"> </w:t>
        </w:r>
        <w:r>
          <w:t>program</w:t>
        </w:r>
        <w:r>
          <w:rPr>
            <w:spacing w:val="-11"/>
          </w:rPr>
          <w:t xml:space="preserve"> </w:t>
        </w:r>
        <w:r>
          <w:t>input</w:t>
        </w:r>
        <w:r>
          <w:rPr>
            <w:spacing w:val="-12"/>
          </w:rPr>
          <w:t xml:space="preserve"> </w:t>
        </w:r>
        <w:r>
          <w:t>summary</w:t>
        </w:r>
        <w:r>
          <w:rPr>
            <w:spacing w:val="-8"/>
          </w:rPr>
          <w:t xml:space="preserve"> </w:t>
        </w:r>
        <w:r>
          <w:t>(January-June</w:t>
        </w:r>
        <w:r>
          <w:rPr>
            <w:spacing w:val="-10"/>
          </w:rPr>
          <w:t xml:space="preserve"> </w:t>
        </w:r>
        <w:r>
          <w:rPr>
            <w:spacing w:val="-2"/>
          </w:rPr>
          <w:t>2025)</w:t>
        </w:r>
        <w:r>
          <w:rPr>
            <w:rFonts w:ascii="Times New Roman"/>
            <w:b/>
          </w:rPr>
          <w:tab/>
        </w:r>
        <w:r>
          <w:rPr>
            <w:spacing w:val="-5"/>
          </w:rPr>
          <w:t>157</w:t>
        </w:r>
      </w:hyperlink>
    </w:p>
    <w:p w14:paraId="6B504DEA" w14:textId="77777777" w:rsidR="00BC24A8" w:rsidRDefault="00BC24A8">
      <w:pPr>
        <w:pStyle w:val="BodyText"/>
        <w:tabs>
          <w:tab w:val="left" w:pos="8787"/>
        </w:tabs>
        <w:spacing w:before="140"/>
        <w:ind w:left="147"/>
      </w:pPr>
      <w:hyperlink w:anchor="_bookmark160" w:history="1">
        <w:r>
          <w:t>Table</w:t>
        </w:r>
        <w:r>
          <w:rPr>
            <w:spacing w:val="-6"/>
          </w:rPr>
          <w:t xml:space="preserve"> </w:t>
        </w:r>
        <w:r>
          <w:t>23:</w:t>
        </w:r>
        <w:r>
          <w:rPr>
            <w:spacing w:val="-6"/>
          </w:rPr>
          <w:t xml:space="preserve"> </w:t>
        </w:r>
        <w:r>
          <w:t>Table</w:t>
        </w:r>
        <w:r>
          <w:rPr>
            <w:spacing w:val="-5"/>
          </w:rPr>
          <w:t xml:space="preserve"> </w:t>
        </w:r>
        <w:r>
          <w:t>of</w:t>
        </w:r>
        <w:r>
          <w:rPr>
            <w:spacing w:val="-8"/>
          </w:rPr>
          <w:t xml:space="preserve"> </w:t>
        </w:r>
        <w:r>
          <w:t>summary</w:t>
        </w:r>
        <w:r>
          <w:rPr>
            <w:spacing w:val="-6"/>
          </w:rPr>
          <w:t xml:space="preserve"> </w:t>
        </w:r>
        <w:r>
          <w:t>of</w:t>
        </w:r>
        <w:r>
          <w:rPr>
            <w:spacing w:val="-6"/>
          </w:rPr>
          <w:t xml:space="preserve"> </w:t>
        </w:r>
        <w:r>
          <w:t>FY</w:t>
        </w:r>
        <w:r>
          <w:rPr>
            <w:spacing w:val="-5"/>
          </w:rPr>
          <w:t xml:space="preserve"> </w:t>
        </w:r>
        <w:r>
          <w:t>2024/2025</w:t>
        </w:r>
        <w:r>
          <w:rPr>
            <w:spacing w:val="-4"/>
          </w:rPr>
          <w:t xml:space="preserve"> </w:t>
        </w:r>
        <w:r>
          <w:t>work</w:t>
        </w:r>
        <w:r>
          <w:rPr>
            <w:spacing w:val="-5"/>
          </w:rPr>
          <w:t xml:space="preserve"> </w:t>
        </w:r>
        <w:r>
          <w:t>plan</w:t>
        </w:r>
        <w:r>
          <w:rPr>
            <w:spacing w:val="-6"/>
          </w:rPr>
          <w:t xml:space="preserve"> </w:t>
        </w:r>
        <w:r>
          <w:t>outputs</w:t>
        </w:r>
        <w:r>
          <w:rPr>
            <w:spacing w:val="-5"/>
          </w:rPr>
          <w:t xml:space="preserve"> </w:t>
        </w:r>
        <w:r>
          <w:t>as</w:t>
        </w:r>
        <w:r>
          <w:rPr>
            <w:spacing w:val="-4"/>
          </w:rPr>
          <w:t xml:space="preserve"> </w:t>
        </w:r>
        <w:r>
          <w:t>of</w:t>
        </w:r>
        <w:r>
          <w:rPr>
            <w:spacing w:val="-6"/>
          </w:rPr>
          <w:t xml:space="preserve"> </w:t>
        </w:r>
        <w:r>
          <w:t>June</w:t>
        </w:r>
        <w:r>
          <w:rPr>
            <w:spacing w:val="-7"/>
          </w:rPr>
          <w:t xml:space="preserve"> </w:t>
        </w:r>
        <w:r>
          <w:rPr>
            <w:spacing w:val="-4"/>
          </w:rPr>
          <w:t>2025</w:t>
        </w:r>
        <w:r>
          <w:rPr>
            <w:rFonts w:ascii="Times New Roman"/>
            <w:b/>
          </w:rPr>
          <w:tab/>
        </w:r>
        <w:r>
          <w:rPr>
            <w:spacing w:val="-5"/>
          </w:rPr>
          <w:t>157</w:t>
        </w:r>
      </w:hyperlink>
    </w:p>
    <w:p w14:paraId="02CA0006" w14:textId="77777777" w:rsidR="00BC24A8" w:rsidRDefault="00BC24A8">
      <w:pPr>
        <w:pStyle w:val="BodyText"/>
        <w:tabs>
          <w:tab w:val="left" w:pos="8788"/>
        </w:tabs>
        <w:spacing w:before="137"/>
        <w:ind w:left="148"/>
      </w:pPr>
      <w:hyperlink w:anchor="_bookmark165" w:history="1">
        <w:r>
          <w:t>Table</w:t>
        </w:r>
        <w:r>
          <w:rPr>
            <w:spacing w:val="-11"/>
          </w:rPr>
          <w:t xml:space="preserve"> </w:t>
        </w:r>
        <w:r>
          <w:t>24:</w:t>
        </w:r>
        <w:r>
          <w:rPr>
            <w:spacing w:val="-9"/>
          </w:rPr>
          <w:t xml:space="preserve"> </w:t>
        </w:r>
        <w:r>
          <w:t>Table</w:t>
        </w:r>
        <w:r>
          <w:rPr>
            <w:spacing w:val="-10"/>
          </w:rPr>
          <w:t xml:space="preserve"> </w:t>
        </w:r>
        <w:r>
          <w:t>of</w:t>
        </w:r>
        <w:r>
          <w:rPr>
            <w:spacing w:val="-11"/>
          </w:rPr>
          <w:t xml:space="preserve"> </w:t>
        </w:r>
        <w:r>
          <w:t>program</w:t>
        </w:r>
        <w:r>
          <w:rPr>
            <w:spacing w:val="-11"/>
          </w:rPr>
          <w:t xml:space="preserve"> </w:t>
        </w:r>
        <w:r>
          <w:t>input</w:t>
        </w:r>
        <w:r>
          <w:rPr>
            <w:spacing w:val="-12"/>
          </w:rPr>
          <w:t xml:space="preserve"> </w:t>
        </w:r>
        <w:r>
          <w:t>summary</w:t>
        </w:r>
        <w:r>
          <w:rPr>
            <w:spacing w:val="-8"/>
          </w:rPr>
          <w:t xml:space="preserve"> </w:t>
        </w:r>
        <w:r>
          <w:t>(January-June</w:t>
        </w:r>
        <w:r>
          <w:rPr>
            <w:spacing w:val="-10"/>
          </w:rPr>
          <w:t xml:space="preserve"> </w:t>
        </w:r>
        <w:r>
          <w:rPr>
            <w:spacing w:val="-2"/>
          </w:rPr>
          <w:t>2025)</w:t>
        </w:r>
        <w:r>
          <w:rPr>
            <w:rFonts w:ascii="Times New Roman"/>
            <w:b/>
          </w:rPr>
          <w:tab/>
        </w:r>
        <w:r>
          <w:rPr>
            <w:spacing w:val="-5"/>
          </w:rPr>
          <w:t>166</w:t>
        </w:r>
      </w:hyperlink>
    </w:p>
    <w:p w14:paraId="1A6F9CF4" w14:textId="77777777" w:rsidR="00BC24A8" w:rsidRDefault="00BC24A8">
      <w:pPr>
        <w:pStyle w:val="BodyText"/>
        <w:tabs>
          <w:tab w:val="left" w:pos="8788"/>
        </w:tabs>
        <w:spacing w:before="139"/>
        <w:ind w:left="148"/>
      </w:pPr>
      <w:hyperlink w:anchor="_bookmark166" w:history="1">
        <w:r>
          <w:t>Table</w:t>
        </w:r>
        <w:r>
          <w:rPr>
            <w:spacing w:val="-6"/>
          </w:rPr>
          <w:t xml:space="preserve"> </w:t>
        </w:r>
        <w:r>
          <w:t>25:</w:t>
        </w:r>
        <w:r>
          <w:rPr>
            <w:spacing w:val="-6"/>
          </w:rPr>
          <w:t xml:space="preserve"> </w:t>
        </w:r>
        <w:r>
          <w:t>Table</w:t>
        </w:r>
        <w:r>
          <w:rPr>
            <w:spacing w:val="-5"/>
          </w:rPr>
          <w:t xml:space="preserve"> </w:t>
        </w:r>
        <w:r>
          <w:t>of</w:t>
        </w:r>
        <w:r>
          <w:rPr>
            <w:spacing w:val="-8"/>
          </w:rPr>
          <w:t xml:space="preserve"> </w:t>
        </w:r>
        <w:r>
          <w:t>summary</w:t>
        </w:r>
        <w:r>
          <w:rPr>
            <w:spacing w:val="-6"/>
          </w:rPr>
          <w:t xml:space="preserve"> </w:t>
        </w:r>
        <w:r>
          <w:t>of</w:t>
        </w:r>
        <w:r>
          <w:rPr>
            <w:spacing w:val="-6"/>
          </w:rPr>
          <w:t xml:space="preserve"> </w:t>
        </w:r>
        <w:r>
          <w:t>FY</w:t>
        </w:r>
        <w:r>
          <w:rPr>
            <w:spacing w:val="-5"/>
          </w:rPr>
          <w:t xml:space="preserve"> </w:t>
        </w:r>
        <w:r>
          <w:t>2024/2025</w:t>
        </w:r>
        <w:r>
          <w:rPr>
            <w:spacing w:val="-4"/>
          </w:rPr>
          <w:t xml:space="preserve"> </w:t>
        </w:r>
        <w:r>
          <w:t>work</w:t>
        </w:r>
        <w:r>
          <w:rPr>
            <w:spacing w:val="-5"/>
          </w:rPr>
          <w:t xml:space="preserve"> </w:t>
        </w:r>
        <w:r>
          <w:t>plan</w:t>
        </w:r>
        <w:r>
          <w:rPr>
            <w:spacing w:val="-6"/>
          </w:rPr>
          <w:t xml:space="preserve"> </w:t>
        </w:r>
        <w:r>
          <w:t>outputs</w:t>
        </w:r>
        <w:r>
          <w:rPr>
            <w:spacing w:val="-5"/>
          </w:rPr>
          <w:t xml:space="preserve"> </w:t>
        </w:r>
        <w:r>
          <w:t>as</w:t>
        </w:r>
        <w:r>
          <w:rPr>
            <w:spacing w:val="-4"/>
          </w:rPr>
          <w:t xml:space="preserve"> </w:t>
        </w:r>
        <w:r>
          <w:t>of</w:t>
        </w:r>
        <w:r>
          <w:rPr>
            <w:spacing w:val="-6"/>
          </w:rPr>
          <w:t xml:space="preserve"> </w:t>
        </w:r>
        <w:r>
          <w:t>June</w:t>
        </w:r>
        <w:r>
          <w:rPr>
            <w:spacing w:val="-7"/>
          </w:rPr>
          <w:t xml:space="preserve"> </w:t>
        </w:r>
        <w:r>
          <w:rPr>
            <w:spacing w:val="-4"/>
          </w:rPr>
          <w:t>2025</w:t>
        </w:r>
        <w:r>
          <w:rPr>
            <w:rFonts w:ascii="Times New Roman"/>
            <w:b/>
          </w:rPr>
          <w:tab/>
        </w:r>
        <w:r>
          <w:rPr>
            <w:spacing w:val="-5"/>
          </w:rPr>
          <w:t>166</w:t>
        </w:r>
      </w:hyperlink>
    </w:p>
    <w:p w14:paraId="46E50E04" w14:textId="77777777" w:rsidR="00BC24A8" w:rsidRDefault="00BC24A8">
      <w:pPr>
        <w:pStyle w:val="BodyText"/>
        <w:tabs>
          <w:tab w:val="left" w:pos="8788"/>
        </w:tabs>
        <w:spacing w:before="137"/>
        <w:ind w:left="148"/>
      </w:pPr>
      <w:hyperlink w:anchor="_bookmark171" w:history="1">
        <w:r>
          <w:t>Table</w:t>
        </w:r>
        <w:r>
          <w:rPr>
            <w:spacing w:val="-10"/>
          </w:rPr>
          <w:t xml:space="preserve"> </w:t>
        </w:r>
        <w:r>
          <w:t>26:</w:t>
        </w:r>
        <w:r>
          <w:rPr>
            <w:spacing w:val="-9"/>
          </w:rPr>
          <w:t xml:space="preserve"> </w:t>
        </w:r>
        <w:r>
          <w:t>Table</w:t>
        </w:r>
        <w:r>
          <w:rPr>
            <w:spacing w:val="-9"/>
          </w:rPr>
          <w:t xml:space="preserve"> </w:t>
        </w:r>
        <w:r>
          <w:t>of</w:t>
        </w:r>
        <w:r>
          <w:rPr>
            <w:spacing w:val="-10"/>
          </w:rPr>
          <w:t xml:space="preserve"> </w:t>
        </w:r>
        <w:r>
          <w:t>program</w:t>
        </w:r>
        <w:r>
          <w:rPr>
            <w:spacing w:val="-10"/>
          </w:rPr>
          <w:t xml:space="preserve"> </w:t>
        </w:r>
        <w:r>
          <w:t>input</w:t>
        </w:r>
        <w:r>
          <w:rPr>
            <w:spacing w:val="-11"/>
          </w:rPr>
          <w:t xml:space="preserve"> </w:t>
        </w:r>
        <w:r>
          <w:t>summary</w:t>
        </w:r>
        <w:r>
          <w:rPr>
            <w:spacing w:val="-8"/>
          </w:rPr>
          <w:t xml:space="preserve"> </w:t>
        </w:r>
        <w:r>
          <w:t>(January–June</w:t>
        </w:r>
        <w:r>
          <w:rPr>
            <w:spacing w:val="-9"/>
          </w:rPr>
          <w:t xml:space="preserve"> </w:t>
        </w:r>
        <w:r>
          <w:rPr>
            <w:spacing w:val="-2"/>
          </w:rPr>
          <w:t>2025)</w:t>
        </w:r>
        <w:r>
          <w:rPr>
            <w:rFonts w:ascii="Times New Roman" w:hAnsi="Times New Roman"/>
            <w:b/>
          </w:rPr>
          <w:tab/>
        </w:r>
        <w:r>
          <w:rPr>
            <w:spacing w:val="-5"/>
          </w:rPr>
          <w:t>176</w:t>
        </w:r>
      </w:hyperlink>
    </w:p>
    <w:p w14:paraId="5C5783F9" w14:textId="77777777" w:rsidR="00BC24A8" w:rsidRDefault="00BC24A8">
      <w:pPr>
        <w:pStyle w:val="BodyText"/>
        <w:tabs>
          <w:tab w:val="left" w:pos="8788"/>
        </w:tabs>
        <w:spacing w:before="140"/>
        <w:ind w:left="148"/>
      </w:pPr>
      <w:hyperlink w:anchor="_bookmark172" w:history="1">
        <w:r>
          <w:t>Table</w:t>
        </w:r>
        <w:r>
          <w:rPr>
            <w:spacing w:val="-6"/>
          </w:rPr>
          <w:t xml:space="preserve"> </w:t>
        </w:r>
        <w:r>
          <w:t>27:</w:t>
        </w:r>
        <w:r>
          <w:rPr>
            <w:spacing w:val="-6"/>
          </w:rPr>
          <w:t xml:space="preserve"> </w:t>
        </w:r>
        <w:r>
          <w:t>Table</w:t>
        </w:r>
        <w:r>
          <w:rPr>
            <w:spacing w:val="-5"/>
          </w:rPr>
          <w:t xml:space="preserve"> </w:t>
        </w:r>
        <w:r>
          <w:t>of</w:t>
        </w:r>
        <w:r>
          <w:rPr>
            <w:spacing w:val="-8"/>
          </w:rPr>
          <w:t xml:space="preserve"> </w:t>
        </w:r>
        <w:r>
          <w:t>summary</w:t>
        </w:r>
        <w:r>
          <w:rPr>
            <w:spacing w:val="-6"/>
          </w:rPr>
          <w:t xml:space="preserve"> </w:t>
        </w:r>
        <w:r>
          <w:t>of</w:t>
        </w:r>
        <w:r>
          <w:rPr>
            <w:spacing w:val="-6"/>
          </w:rPr>
          <w:t xml:space="preserve"> </w:t>
        </w:r>
        <w:r>
          <w:t>FY</w:t>
        </w:r>
        <w:r>
          <w:rPr>
            <w:spacing w:val="-5"/>
          </w:rPr>
          <w:t xml:space="preserve"> </w:t>
        </w:r>
        <w:r>
          <w:t>2024/2025</w:t>
        </w:r>
        <w:r>
          <w:rPr>
            <w:spacing w:val="-4"/>
          </w:rPr>
          <w:t xml:space="preserve"> </w:t>
        </w:r>
        <w:r>
          <w:t>work</w:t>
        </w:r>
        <w:r>
          <w:rPr>
            <w:spacing w:val="-5"/>
          </w:rPr>
          <w:t xml:space="preserve"> </w:t>
        </w:r>
        <w:r>
          <w:t>plan</w:t>
        </w:r>
        <w:r>
          <w:rPr>
            <w:spacing w:val="-6"/>
          </w:rPr>
          <w:t xml:space="preserve"> </w:t>
        </w:r>
        <w:r>
          <w:t>outputs</w:t>
        </w:r>
        <w:r>
          <w:rPr>
            <w:spacing w:val="-5"/>
          </w:rPr>
          <w:t xml:space="preserve"> </w:t>
        </w:r>
        <w:r>
          <w:t>as</w:t>
        </w:r>
        <w:r>
          <w:rPr>
            <w:spacing w:val="-4"/>
          </w:rPr>
          <w:t xml:space="preserve"> </w:t>
        </w:r>
        <w:r>
          <w:t>of</w:t>
        </w:r>
        <w:r>
          <w:rPr>
            <w:spacing w:val="-6"/>
          </w:rPr>
          <w:t xml:space="preserve"> </w:t>
        </w:r>
        <w:r>
          <w:t>June</w:t>
        </w:r>
        <w:r>
          <w:rPr>
            <w:spacing w:val="-7"/>
          </w:rPr>
          <w:t xml:space="preserve"> </w:t>
        </w:r>
        <w:r>
          <w:rPr>
            <w:spacing w:val="-4"/>
          </w:rPr>
          <w:t>2025</w:t>
        </w:r>
        <w:r>
          <w:rPr>
            <w:rFonts w:ascii="Times New Roman"/>
            <w:b/>
          </w:rPr>
          <w:tab/>
        </w:r>
        <w:r>
          <w:rPr>
            <w:spacing w:val="-5"/>
          </w:rPr>
          <w:t>176</w:t>
        </w:r>
      </w:hyperlink>
    </w:p>
    <w:p w14:paraId="246EBD1A" w14:textId="77777777" w:rsidR="00BC24A8" w:rsidRDefault="00BC24A8">
      <w:pPr>
        <w:pStyle w:val="BodyText"/>
        <w:sectPr w:rsidR="00BC24A8">
          <w:footerReference w:type="default" r:id="rId9"/>
          <w:pgSz w:w="11910" w:h="16840"/>
          <w:pgMar w:top="1400" w:right="1133" w:bottom="1100" w:left="1275" w:header="0" w:footer="907" w:gutter="0"/>
          <w:cols w:space="720"/>
        </w:sectPr>
      </w:pPr>
    </w:p>
    <w:p w14:paraId="47595986" w14:textId="77777777" w:rsidR="00BC24A8" w:rsidRDefault="00000000">
      <w:pPr>
        <w:pStyle w:val="Heading1"/>
        <w:jc w:val="both"/>
      </w:pPr>
      <w:bookmarkStart w:id="4" w:name="Executive_Summary"/>
      <w:bookmarkStart w:id="5" w:name="_bookmark2"/>
      <w:bookmarkEnd w:id="4"/>
      <w:bookmarkEnd w:id="5"/>
      <w:r w:rsidRPr="00795364">
        <w:rPr>
          <w:color w:val="00A59C"/>
          <w:spacing w:val="-17"/>
        </w:rPr>
        <w:lastRenderedPageBreak/>
        <w:t>Executive</w:t>
      </w:r>
      <w:r w:rsidRPr="00795364">
        <w:rPr>
          <w:color w:val="00A59C"/>
          <w:spacing w:val="-44"/>
        </w:rPr>
        <w:t xml:space="preserve"> </w:t>
      </w:r>
      <w:r w:rsidRPr="00795364">
        <w:rPr>
          <w:color w:val="00A59C"/>
          <w:spacing w:val="-2"/>
        </w:rPr>
        <w:t>Summary</w:t>
      </w:r>
    </w:p>
    <w:p w14:paraId="49CC43AB" w14:textId="77777777" w:rsidR="00BC24A8" w:rsidRDefault="00000000">
      <w:pPr>
        <w:pStyle w:val="BodyText"/>
        <w:spacing w:before="274" w:line="278" w:lineRule="auto"/>
        <w:ind w:left="143" w:right="278"/>
        <w:jc w:val="both"/>
      </w:pPr>
      <w:r>
        <w:rPr>
          <w:spacing w:val="-2"/>
        </w:rPr>
        <w:t>Synergy and Collaboration for Accelerated Service Delivery (SKALA)</w:t>
      </w:r>
      <w:r>
        <w:rPr>
          <w:spacing w:val="-4"/>
        </w:rPr>
        <w:t xml:space="preserve"> </w:t>
      </w:r>
      <w:r>
        <w:rPr>
          <w:spacing w:val="-2"/>
        </w:rPr>
        <w:t xml:space="preserve">is an Australia–Indonesia partnership </w:t>
      </w:r>
      <w:r>
        <w:t>that</w:t>
      </w:r>
      <w:r>
        <w:rPr>
          <w:spacing w:val="-4"/>
        </w:rPr>
        <w:t xml:space="preserve"> </w:t>
      </w:r>
      <w:r>
        <w:t>strengthens</w:t>
      </w:r>
      <w:r>
        <w:rPr>
          <w:spacing w:val="-2"/>
        </w:rPr>
        <w:t xml:space="preserve"> </w:t>
      </w:r>
      <w:r>
        <w:t>governance</w:t>
      </w:r>
      <w:r>
        <w:rPr>
          <w:spacing w:val="-5"/>
        </w:rPr>
        <w:t xml:space="preserve"> </w:t>
      </w:r>
      <w:r>
        <w:t>for</w:t>
      </w:r>
      <w:r>
        <w:rPr>
          <w:spacing w:val="-3"/>
        </w:rPr>
        <w:t xml:space="preserve"> </w:t>
      </w:r>
      <w:r>
        <w:t>basic-service</w:t>
      </w:r>
      <w:r>
        <w:rPr>
          <w:spacing w:val="-5"/>
        </w:rPr>
        <w:t xml:space="preserve"> </w:t>
      </w:r>
      <w:r>
        <w:t>delivery</w:t>
      </w:r>
      <w:r>
        <w:rPr>
          <w:spacing w:val="-5"/>
        </w:rPr>
        <w:t xml:space="preserve"> </w:t>
      </w:r>
      <w:r>
        <w:t>in</w:t>
      </w:r>
      <w:r>
        <w:rPr>
          <w:spacing w:val="-3"/>
        </w:rPr>
        <w:t xml:space="preserve"> </w:t>
      </w:r>
      <w:r>
        <w:t>poor</w:t>
      </w:r>
      <w:r>
        <w:rPr>
          <w:spacing w:val="-3"/>
        </w:rPr>
        <w:t xml:space="preserve"> </w:t>
      </w:r>
      <w:r>
        <w:t>and</w:t>
      </w:r>
      <w:r>
        <w:rPr>
          <w:spacing w:val="-5"/>
        </w:rPr>
        <w:t xml:space="preserve"> </w:t>
      </w:r>
      <w:r>
        <w:t>vulnerable</w:t>
      </w:r>
      <w:r>
        <w:rPr>
          <w:spacing w:val="-5"/>
        </w:rPr>
        <w:t xml:space="preserve"> </w:t>
      </w:r>
      <w:r>
        <w:t>communities</w:t>
      </w:r>
      <w:r>
        <w:rPr>
          <w:spacing w:val="-2"/>
        </w:rPr>
        <w:t xml:space="preserve"> </w:t>
      </w:r>
      <w:r>
        <w:t>across</w:t>
      </w:r>
      <w:r>
        <w:rPr>
          <w:spacing w:val="-5"/>
        </w:rPr>
        <w:t xml:space="preserve"> </w:t>
      </w:r>
      <w:r>
        <w:t>less- developed</w:t>
      </w:r>
      <w:r>
        <w:rPr>
          <w:spacing w:val="-2"/>
        </w:rPr>
        <w:t xml:space="preserve"> </w:t>
      </w:r>
      <w:r>
        <w:t>regions</w:t>
      </w:r>
      <w:r>
        <w:rPr>
          <w:spacing w:val="-2"/>
        </w:rPr>
        <w:t xml:space="preserve"> </w:t>
      </w:r>
      <w:r>
        <w:t>of</w:t>
      </w:r>
      <w:r>
        <w:rPr>
          <w:spacing w:val="-2"/>
        </w:rPr>
        <w:t xml:space="preserve"> </w:t>
      </w:r>
      <w:r>
        <w:t>Indonesia.</w:t>
      </w:r>
      <w:r>
        <w:rPr>
          <w:spacing w:val="-2"/>
        </w:rPr>
        <w:t xml:space="preserve"> </w:t>
      </w:r>
      <w:r>
        <w:t>SKALA</w:t>
      </w:r>
      <w:r>
        <w:rPr>
          <w:spacing w:val="-3"/>
        </w:rPr>
        <w:t xml:space="preserve"> </w:t>
      </w:r>
      <w:r>
        <w:t>has</w:t>
      </w:r>
      <w:r>
        <w:rPr>
          <w:spacing w:val="-2"/>
        </w:rPr>
        <w:t xml:space="preserve"> </w:t>
      </w:r>
      <w:r>
        <w:t>an</w:t>
      </w:r>
      <w:r>
        <w:rPr>
          <w:spacing w:val="-2"/>
        </w:rPr>
        <w:t xml:space="preserve"> </w:t>
      </w:r>
      <w:r>
        <w:t>operating</w:t>
      </w:r>
      <w:r>
        <w:rPr>
          <w:spacing w:val="-1"/>
        </w:rPr>
        <w:t xml:space="preserve"> </w:t>
      </w:r>
      <w:r>
        <w:t>budget</w:t>
      </w:r>
      <w:r>
        <w:rPr>
          <w:spacing w:val="-1"/>
        </w:rPr>
        <w:t xml:space="preserve"> </w:t>
      </w:r>
      <w:r>
        <w:t>of</w:t>
      </w:r>
      <w:r>
        <w:rPr>
          <w:spacing w:val="-4"/>
        </w:rPr>
        <w:t xml:space="preserve"> </w:t>
      </w:r>
      <w:r>
        <w:t>up</w:t>
      </w:r>
      <w:r>
        <w:rPr>
          <w:spacing w:val="-2"/>
        </w:rPr>
        <w:t xml:space="preserve"> </w:t>
      </w:r>
      <w:r>
        <w:t>to AUD</w:t>
      </w:r>
      <w:r>
        <w:rPr>
          <w:spacing w:val="-2"/>
        </w:rPr>
        <w:t xml:space="preserve"> </w:t>
      </w:r>
      <w:r>
        <w:t>80</w:t>
      </w:r>
      <w:r>
        <w:rPr>
          <w:spacing w:val="-4"/>
        </w:rPr>
        <w:t xml:space="preserve"> </w:t>
      </w:r>
      <w:r>
        <w:t>million (October</w:t>
      </w:r>
      <w:r>
        <w:rPr>
          <w:spacing w:val="-2"/>
        </w:rPr>
        <w:t xml:space="preserve"> </w:t>
      </w:r>
      <w:r>
        <w:t>2022 – December</w:t>
      </w:r>
      <w:r>
        <w:rPr>
          <w:spacing w:val="-2"/>
        </w:rPr>
        <w:t xml:space="preserve"> </w:t>
      </w:r>
      <w:r>
        <w:t>2026), with</w:t>
      </w:r>
      <w:r>
        <w:rPr>
          <w:spacing w:val="-2"/>
        </w:rPr>
        <w:t xml:space="preserve"> </w:t>
      </w:r>
      <w:r>
        <w:t>AUD19.3 million expended in</w:t>
      </w:r>
      <w:r>
        <w:rPr>
          <w:spacing w:val="-5"/>
        </w:rPr>
        <w:t xml:space="preserve"> </w:t>
      </w:r>
      <w:r>
        <w:t>FY24-25.</w:t>
      </w:r>
      <w:r>
        <w:rPr>
          <w:spacing w:val="-2"/>
        </w:rPr>
        <w:t xml:space="preserve"> </w:t>
      </w:r>
      <w:r>
        <w:t>It</w:t>
      </w:r>
      <w:r>
        <w:rPr>
          <w:spacing w:val="-1"/>
        </w:rPr>
        <w:t xml:space="preserve"> </w:t>
      </w:r>
      <w:r>
        <w:t>is active</w:t>
      </w:r>
      <w:r>
        <w:rPr>
          <w:spacing w:val="-2"/>
        </w:rPr>
        <w:t xml:space="preserve"> </w:t>
      </w:r>
      <w:r>
        <w:t>across</w:t>
      </w:r>
      <w:r>
        <w:rPr>
          <w:spacing w:val="-4"/>
        </w:rPr>
        <w:t xml:space="preserve"> </w:t>
      </w:r>
      <w:r>
        <w:t>10</w:t>
      </w:r>
      <w:r>
        <w:rPr>
          <w:spacing w:val="-2"/>
        </w:rPr>
        <w:t xml:space="preserve"> </w:t>
      </w:r>
      <w:r>
        <w:t>partner</w:t>
      </w:r>
      <w:r>
        <w:rPr>
          <w:spacing w:val="-2"/>
        </w:rPr>
        <w:t xml:space="preserve"> </w:t>
      </w:r>
      <w:r>
        <w:t>provinces, expanding to 12 provinces (31% of Indonesia’s provinces) in the coming financial year. The program is entering</w:t>
      </w:r>
      <w:r>
        <w:rPr>
          <w:spacing w:val="-8"/>
        </w:rPr>
        <w:t xml:space="preserve"> </w:t>
      </w:r>
      <w:r>
        <w:t>its</w:t>
      </w:r>
      <w:r>
        <w:rPr>
          <w:spacing w:val="-6"/>
        </w:rPr>
        <w:t xml:space="preserve"> </w:t>
      </w:r>
      <w:r>
        <w:t>third</w:t>
      </w:r>
      <w:r>
        <w:rPr>
          <w:spacing w:val="-9"/>
        </w:rPr>
        <w:t xml:space="preserve"> </w:t>
      </w:r>
      <w:r>
        <w:t>year</w:t>
      </w:r>
      <w:r>
        <w:rPr>
          <w:spacing w:val="-7"/>
        </w:rPr>
        <w:t xml:space="preserve"> </w:t>
      </w:r>
      <w:r>
        <w:t>of</w:t>
      </w:r>
      <w:r>
        <w:rPr>
          <w:spacing w:val="-9"/>
        </w:rPr>
        <w:t xml:space="preserve"> </w:t>
      </w:r>
      <w:r>
        <w:t>implementation</w:t>
      </w:r>
      <w:r>
        <w:rPr>
          <w:spacing w:val="-9"/>
        </w:rPr>
        <w:t xml:space="preserve"> </w:t>
      </w:r>
      <w:r>
        <w:t>and</w:t>
      </w:r>
      <w:r>
        <w:rPr>
          <w:spacing w:val="-9"/>
        </w:rPr>
        <w:t xml:space="preserve"> </w:t>
      </w:r>
      <w:r>
        <w:t>is</w:t>
      </w:r>
      <w:r>
        <w:rPr>
          <w:spacing w:val="-6"/>
        </w:rPr>
        <w:t xml:space="preserve"> </w:t>
      </w:r>
      <w:r>
        <w:t>currently</w:t>
      </w:r>
      <w:r>
        <w:rPr>
          <w:spacing w:val="-6"/>
        </w:rPr>
        <w:t xml:space="preserve"> </w:t>
      </w:r>
      <w:r>
        <w:t>planning</w:t>
      </w:r>
      <w:r>
        <w:rPr>
          <w:spacing w:val="-8"/>
        </w:rPr>
        <w:t xml:space="preserve"> </w:t>
      </w:r>
      <w:r>
        <w:t>for</w:t>
      </w:r>
      <w:r>
        <w:rPr>
          <w:spacing w:val="-9"/>
        </w:rPr>
        <w:t xml:space="preserve"> </w:t>
      </w:r>
      <w:r>
        <w:t>consolidation</w:t>
      </w:r>
      <w:r>
        <w:rPr>
          <w:spacing w:val="-7"/>
        </w:rPr>
        <w:t xml:space="preserve"> </w:t>
      </w:r>
      <w:r>
        <w:t>of</w:t>
      </w:r>
      <w:r>
        <w:rPr>
          <w:spacing w:val="-8"/>
        </w:rPr>
        <w:t xml:space="preserve"> </w:t>
      </w:r>
      <w:r>
        <w:t>Phase</w:t>
      </w:r>
      <w:r>
        <w:rPr>
          <w:spacing w:val="-10"/>
        </w:rPr>
        <w:t xml:space="preserve"> </w:t>
      </w:r>
      <w:r>
        <w:t>1</w:t>
      </w:r>
      <w:r>
        <w:rPr>
          <w:spacing w:val="-9"/>
        </w:rPr>
        <w:t xml:space="preserve"> </w:t>
      </w:r>
      <w:r>
        <w:t>progress towards intermediate and end of program outcomes.</w:t>
      </w:r>
    </w:p>
    <w:p w14:paraId="3C4CD6BB" w14:textId="77777777" w:rsidR="00BC24A8" w:rsidRDefault="00000000">
      <w:pPr>
        <w:pStyle w:val="BodyText"/>
        <w:spacing w:before="157"/>
        <w:ind w:left="143"/>
        <w:jc w:val="both"/>
      </w:pPr>
      <w:r>
        <w:rPr>
          <w:spacing w:val="-2"/>
        </w:rPr>
        <w:t>SKALA’s</w:t>
      </w:r>
      <w:r>
        <w:rPr>
          <w:spacing w:val="2"/>
        </w:rPr>
        <w:t xml:space="preserve"> </w:t>
      </w:r>
      <w:r>
        <w:rPr>
          <w:spacing w:val="-2"/>
        </w:rPr>
        <w:t>design</w:t>
      </w:r>
      <w:r>
        <w:rPr>
          <w:spacing w:val="2"/>
        </w:rPr>
        <w:t xml:space="preserve"> </w:t>
      </w:r>
      <w:r>
        <w:rPr>
          <w:spacing w:val="-2"/>
        </w:rPr>
        <w:t>identifies</w:t>
      </w:r>
      <w:r>
        <w:t xml:space="preserve"> </w:t>
      </w:r>
      <w:r>
        <w:rPr>
          <w:spacing w:val="-2"/>
        </w:rPr>
        <w:t>three</w:t>
      </w:r>
      <w:r>
        <w:t xml:space="preserve"> </w:t>
      </w:r>
      <w:r>
        <w:rPr>
          <w:spacing w:val="-2"/>
        </w:rPr>
        <w:t>End-of-Program</w:t>
      </w:r>
      <w:r>
        <w:rPr>
          <w:spacing w:val="3"/>
        </w:rPr>
        <w:t xml:space="preserve"> </w:t>
      </w:r>
      <w:r>
        <w:rPr>
          <w:spacing w:val="-2"/>
        </w:rPr>
        <w:t>Outcomes</w:t>
      </w:r>
      <w:r>
        <w:rPr>
          <w:spacing w:val="2"/>
        </w:rPr>
        <w:t xml:space="preserve"> </w:t>
      </w:r>
      <w:r>
        <w:rPr>
          <w:spacing w:val="-2"/>
        </w:rPr>
        <w:t>(EOPOs):</w:t>
      </w:r>
    </w:p>
    <w:p w14:paraId="6AD69514" w14:textId="77777777" w:rsidR="00BC24A8" w:rsidRDefault="00000000">
      <w:pPr>
        <w:pStyle w:val="BodyText"/>
        <w:spacing w:before="202"/>
        <w:ind w:left="143"/>
        <w:jc w:val="both"/>
      </w:pPr>
      <w:r>
        <w:t>EOPO</w:t>
      </w:r>
      <w:r>
        <w:rPr>
          <w:spacing w:val="-11"/>
        </w:rPr>
        <w:t xml:space="preserve"> </w:t>
      </w:r>
      <w:r>
        <w:t>1:</w:t>
      </w:r>
      <w:r>
        <w:rPr>
          <w:spacing w:val="-10"/>
        </w:rPr>
        <w:t xml:space="preserve"> </w:t>
      </w:r>
      <w:r>
        <w:t>Stronger</w:t>
      </w:r>
      <w:r>
        <w:rPr>
          <w:spacing w:val="-7"/>
        </w:rPr>
        <w:t xml:space="preserve"> </w:t>
      </w:r>
      <w:r>
        <w:t>enabling</w:t>
      </w:r>
      <w:r>
        <w:rPr>
          <w:spacing w:val="-10"/>
        </w:rPr>
        <w:t xml:space="preserve"> </w:t>
      </w:r>
      <w:r>
        <w:t>environment</w:t>
      </w:r>
      <w:r>
        <w:rPr>
          <w:spacing w:val="-8"/>
        </w:rPr>
        <w:t xml:space="preserve"> </w:t>
      </w:r>
      <w:r>
        <w:t>for</w:t>
      </w:r>
      <w:r>
        <w:rPr>
          <w:spacing w:val="-10"/>
        </w:rPr>
        <w:t xml:space="preserve"> </w:t>
      </w:r>
      <w:r>
        <w:t>subnational</w:t>
      </w:r>
      <w:r>
        <w:rPr>
          <w:spacing w:val="-8"/>
        </w:rPr>
        <w:t xml:space="preserve"> </w:t>
      </w:r>
      <w:r>
        <w:t>service</w:t>
      </w:r>
      <w:r>
        <w:rPr>
          <w:spacing w:val="-9"/>
        </w:rPr>
        <w:t xml:space="preserve"> </w:t>
      </w:r>
      <w:r>
        <w:rPr>
          <w:spacing w:val="-2"/>
        </w:rPr>
        <w:t>delivery.</w:t>
      </w:r>
    </w:p>
    <w:p w14:paraId="4522159A" w14:textId="77777777" w:rsidR="00BC24A8" w:rsidRDefault="00000000">
      <w:pPr>
        <w:pStyle w:val="BodyText"/>
        <w:spacing w:before="204" w:line="276" w:lineRule="auto"/>
        <w:ind w:left="143" w:right="282"/>
        <w:jc w:val="both"/>
      </w:pPr>
      <w:r>
        <w:t xml:space="preserve">EOPO 2: Better subnational service delivery through improved planning, budgeting, and financial </w:t>
      </w:r>
      <w:r>
        <w:rPr>
          <w:spacing w:val="-2"/>
        </w:rPr>
        <w:t>management.</w:t>
      </w:r>
    </w:p>
    <w:p w14:paraId="47A3A02B" w14:textId="77777777" w:rsidR="00BC24A8" w:rsidRDefault="00000000">
      <w:pPr>
        <w:pStyle w:val="BodyText"/>
        <w:spacing w:before="162" w:line="278" w:lineRule="auto"/>
        <w:ind w:left="143" w:right="283"/>
        <w:jc w:val="both"/>
      </w:pPr>
      <w:r>
        <w:t>EOPO 3: Greater participation, representation, and influence of women, people with disabilities, and vulnerable groups in planning and decision-making.</w:t>
      </w:r>
    </w:p>
    <w:p w14:paraId="6B4468AF" w14:textId="77777777" w:rsidR="00BC24A8" w:rsidRDefault="00000000">
      <w:pPr>
        <w:pStyle w:val="BodyText"/>
        <w:spacing w:before="159" w:line="278" w:lineRule="auto"/>
        <w:ind w:left="143" w:right="284"/>
        <w:jc w:val="both"/>
      </w:pPr>
      <w:r>
        <w:t>These outcomes remain central amid Indonesia’s shifting political and fiscal landscape, where decentralisation is challenged by increasing central control and competing national priorities.</w:t>
      </w:r>
    </w:p>
    <w:p w14:paraId="3A710453" w14:textId="77777777" w:rsidR="00BC24A8" w:rsidRDefault="00000000">
      <w:pPr>
        <w:pStyle w:val="Heading4"/>
        <w:spacing w:before="162"/>
        <w:jc w:val="both"/>
      </w:pPr>
      <w:bookmarkStart w:id="6" w:name="Context_and_Operating_Environment"/>
      <w:bookmarkStart w:id="7" w:name="_bookmark3"/>
      <w:bookmarkEnd w:id="6"/>
      <w:bookmarkEnd w:id="7"/>
      <w:r>
        <w:rPr>
          <w:color w:val="17365A"/>
          <w:spacing w:val="-6"/>
        </w:rPr>
        <w:t>Context</w:t>
      </w:r>
      <w:r>
        <w:rPr>
          <w:color w:val="17365A"/>
          <w:spacing w:val="-18"/>
        </w:rPr>
        <w:t xml:space="preserve"> </w:t>
      </w:r>
      <w:r>
        <w:rPr>
          <w:color w:val="17365A"/>
          <w:spacing w:val="-6"/>
        </w:rPr>
        <w:t>and</w:t>
      </w:r>
      <w:r>
        <w:rPr>
          <w:color w:val="17365A"/>
          <w:spacing w:val="-14"/>
        </w:rPr>
        <w:t xml:space="preserve"> </w:t>
      </w:r>
      <w:r>
        <w:rPr>
          <w:color w:val="17365A"/>
          <w:spacing w:val="-6"/>
        </w:rPr>
        <w:t>Operating</w:t>
      </w:r>
      <w:r>
        <w:rPr>
          <w:color w:val="17365A"/>
          <w:spacing w:val="-15"/>
        </w:rPr>
        <w:t xml:space="preserve"> </w:t>
      </w:r>
      <w:r>
        <w:rPr>
          <w:color w:val="17365A"/>
          <w:spacing w:val="-6"/>
        </w:rPr>
        <w:t>Environment</w:t>
      </w:r>
    </w:p>
    <w:p w14:paraId="1CBFBCA5" w14:textId="77777777" w:rsidR="00BC24A8" w:rsidRDefault="00000000">
      <w:pPr>
        <w:pStyle w:val="BodyText"/>
        <w:spacing w:before="256" w:line="278" w:lineRule="auto"/>
        <w:ind w:left="143" w:right="279"/>
        <w:jc w:val="both"/>
      </w:pPr>
      <w:r>
        <w:rPr>
          <w:spacing w:val="-2"/>
        </w:rPr>
        <w:t>The</w:t>
      </w:r>
      <w:r>
        <w:rPr>
          <w:spacing w:val="-6"/>
        </w:rPr>
        <w:t xml:space="preserve"> </w:t>
      </w:r>
      <w:r>
        <w:rPr>
          <w:spacing w:val="-2"/>
        </w:rPr>
        <w:t>start</w:t>
      </w:r>
      <w:r>
        <w:rPr>
          <w:spacing w:val="-4"/>
        </w:rPr>
        <w:t xml:space="preserve"> </w:t>
      </w:r>
      <w:r>
        <w:rPr>
          <w:spacing w:val="-2"/>
        </w:rPr>
        <w:t>of</w:t>
      </w:r>
      <w:r>
        <w:rPr>
          <w:spacing w:val="-6"/>
        </w:rPr>
        <w:t xml:space="preserve"> </w:t>
      </w:r>
      <w:r>
        <w:rPr>
          <w:spacing w:val="-2"/>
        </w:rPr>
        <w:t>2025</w:t>
      </w:r>
      <w:r>
        <w:rPr>
          <w:spacing w:val="-3"/>
        </w:rPr>
        <w:t xml:space="preserve"> </w:t>
      </w:r>
      <w:r>
        <w:rPr>
          <w:spacing w:val="-2"/>
        </w:rPr>
        <w:t>marked</w:t>
      </w:r>
      <w:r>
        <w:rPr>
          <w:spacing w:val="-3"/>
        </w:rPr>
        <w:t xml:space="preserve"> </w:t>
      </w:r>
      <w:r>
        <w:rPr>
          <w:spacing w:val="-2"/>
        </w:rPr>
        <w:t>the</w:t>
      </w:r>
      <w:r>
        <w:rPr>
          <w:spacing w:val="-6"/>
        </w:rPr>
        <w:t xml:space="preserve"> </w:t>
      </w:r>
      <w:r>
        <w:rPr>
          <w:spacing w:val="-2"/>
        </w:rPr>
        <w:t>beginning</w:t>
      </w:r>
      <w:r>
        <w:rPr>
          <w:spacing w:val="-4"/>
        </w:rPr>
        <w:t xml:space="preserve"> </w:t>
      </w:r>
      <w:r>
        <w:rPr>
          <w:spacing w:val="-2"/>
        </w:rPr>
        <w:t>of</w:t>
      </w:r>
      <w:r>
        <w:rPr>
          <w:spacing w:val="-6"/>
        </w:rPr>
        <w:t xml:space="preserve"> </w:t>
      </w:r>
      <w:r>
        <w:rPr>
          <w:spacing w:val="-2"/>
        </w:rPr>
        <w:t>Indonesia’s new</w:t>
      </w:r>
      <w:r>
        <w:rPr>
          <w:spacing w:val="-4"/>
        </w:rPr>
        <w:t xml:space="preserve"> </w:t>
      </w:r>
      <w:r>
        <w:rPr>
          <w:spacing w:val="-2"/>
        </w:rPr>
        <w:t>administration</w:t>
      </w:r>
      <w:r>
        <w:rPr>
          <w:spacing w:val="-6"/>
        </w:rPr>
        <w:t xml:space="preserve"> </w:t>
      </w:r>
      <w:r>
        <w:rPr>
          <w:spacing w:val="-2"/>
        </w:rPr>
        <w:t>following</w:t>
      </w:r>
      <w:r>
        <w:rPr>
          <w:spacing w:val="-7"/>
        </w:rPr>
        <w:t xml:space="preserve"> </w:t>
      </w:r>
      <w:r>
        <w:rPr>
          <w:spacing w:val="-2"/>
        </w:rPr>
        <w:t>President</w:t>
      </w:r>
      <w:r>
        <w:rPr>
          <w:spacing w:val="-4"/>
        </w:rPr>
        <w:t xml:space="preserve"> </w:t>
      </w:r>
      <w:r>
        <w:rPr>
          <w:spacing w:val="-2"/>
        </w:rPr>
        <w:t xml:space="preserve">Prabowo’s </w:t>
      </w:r>
      <w:r>
        <w:t>inauguration in October 2024. The first half of 2025 was characterised by tight fiscal constraints and increased centralisation of planning and budget control following Presidential Instruction 1/2025 on Spending</w:t>
      </w:r>
      <w:r>
        <w:rPr>
          <w:spacing w:val="-6"/>
        </w:rPr>
        <w:t xml:space="preserve"> </w:t>
      </w:r>
      <w:r>
        <w:t>Efficiency.</w:t>
      </w:r>
      <w:r>
        <w:rPr>
          <w:spacing w:val="-5"/>
        </w:rPr>
        <w:t xml:space="preserve"> </w:t>
      </w:r>
      <w:r>
        <w:t>New</w:t>
      </w:r>
      <w:r>
        <w:rPr>
          <w:spacing w:val="-7"/>
        </w:rPr>
        <w:t xml:space="preserve"> </w:t>
      </w:r>
      <w:r>
        <w:t>national</w:t>
      </w:r>
      <w:r>
        <w:rPr>
          <w:spacing w:val="-4"/>
        </w:rPr>
        <w:t xml:space="preserve"> </w:t>
      </w:r>
      <w:r>
        <w:t>initiatives</w:t>
      </w:r>
      <w:r>
        <w:rPr>
          <w:spacing w:val="-4"/>
        </w:rPr>
        <w:t xml:space="preserve"> </w:t>
      </w:r>
      <w:r>
        <w:t>redirected</w:t>
      </w:r>
      <w:r>
        <w:rPr>
          <w:spacing w:val="-4"/>
        </w:rPr>
        <w:t xml:space="preserve"> </w:t>
      </w:r>
      <w:r>
        <w:t>resources</w:t>
      </w:r>
      <w:r>
        <w:rPr>
          <w:spacing w:val="-5"/>
        </w:rPr>
        <w:t xml:space="preserve"> </w:t>
      </w:r>
      <w:r>
        <w:t>toward</w:t>
      </w:r>
      <w:r>
        <w:rPr>
          <w:spacing w:val="-6"/>
        </w:rPr>
        <w:t xml:space="preserve"> </w:t>
      </w:r>
      <w:r>
        <w:t>centrally</w:t>
      </w:r>
      <w:r>
        <w:rPr>
          <w:spacing w:val="-4"/>
        </w:rPr>
        <w:t xml:space="preserve"> </w:t>
      </w:r>
      <w:r>
        <w:t>managed</w:t>
      </w:r>
      <w:r>
        <w:rPr>
          <w:spacing w:val="-4"/>
        </w:rPr>
        <w:t xml:space="preserve"> </w:t>
      </w:r>
      <w:r>
        <w:t>programs, reducing fiscal space for long-term subnational reform.</w:t>
      </w:r>
    </w:p>
    <w:p w14:paraId="02B4CD47" w14:textId="77777777" w:rsidR="00BC24A8" w:rsidRDefault="00000000">
      <w:pPr>
        <w:pStyle w:val="BodyText"/>
        <w:spacing w:before="156" w:line="278" w:lineRule="auto"/>
        <w:ind w:left="143" w:right="279"/>
        <w:jc w:val="both"/>
      </w:pPr>
      <w:r>
        <w:t>Local election–related leadership transitions disrupted decision-making in several provinces, notably where contested results delayed planning processes. New reform-oriented provincial leaders in a number of SKALA provinces have created openings for data-driven and inclusive service planning.</w:t>
      </w:r>
    </w:p>
    <w:p w14:paraId="6D33CD45" w14:textId="77777777" w:rsidR="00BC24A8" w:rsidRDefault="00000000">
      <w:pPr>
        <w:pStyle w:val="BodyText"/>
        <w:spacing w:before="160" w:line="276" w:lineRule="auto"/>
        <w:ind w:left="143" w:right="280"/>
        <w:jc w:val="both"/>
      </w:pPr>
      <w:r>
        <w:t>SKALA’s</w:t>
      </w:r>
      <w:r>
        <w:rPr>
          <w:spacing w:val="-8"/>
        </w:rPr>
        <w:t xml:space="preserve"> </w:t>
      </w:r>
      <w:r>
        <w:t>brokerage</w:t>
      </w:r>
      <w:r>
        <w:rPr>
          <w:spacing w:val="-10"/>
        </w:rPr>
        <w:t xml:space="preserve"> </w:t>
      </w:r>
      <w:r>
        <w:t>and</w:t>
      </w:r>
      <w:r>
        <w:rPr>
          <w:spacing w:val="-8"/>
        </w:rPr>
        <w:t xml:space="preserve"> </w:t>
      </w:r>
      <w:r>
        <w:t>technical</w:t>
      </w:r>
      <w:r>
        <w:rPr>
          <w:spacing w:val="-10"/>
        </w:rPr>
        <w:t xml:space="preserve"> </w:t>
      </w:r>
      <w:r>
        <w:t>facilitation</w:t>
      </w:r>
      <w:r>
        <w:rPr>
          <w:spacing w:val="-8"/>
        </w:rPr>
        <w:t xml:space="preserve"> </w:t>
      </w:r>
      <w:r>
        <w:t>role</w:t>
      </w:r>
      <w:r>
        <w:rPr>
          <w:spacing w:val="-10"/>
        </w:rPr>
        <w:t xml:space="preserve"> </w:t>
      </w:r>
      <w:r>
        <w:t>across</w:t>
      </w:r>
      <w:r>
        <w:rPr>
          <w:spacing w:val="-10"/>
        </w:rPr>
        <w:t xml:space="preserve"> </w:t>
      </w:r>
      <w:r>
        <w:t>national</w:t>
      </w:r>
      <w:r>
        <w:rPr>
          <w:spacing w:val="-10"/>
        </w:rPr>
        <w:t xml:space="preserve"> </w:t>
      </w:r>
      <w:r>
        <w:t>and</w:t>
      </w:r>
      <w:r>
        <w:rPr>
          <w:spacing w:val="-8"/>
        </w:rPr>
        <w:t xml:space="preserve"> </w:t>
      </w:r>
      <w:r>
        <w:t>subnational</w:t>
      </w:r>
      <w:r>
        <w:rPr>
          <w:spacing w:val="-10"/>
        </w:rPr>
        <w:t xml:space="preserve"> </w:t>
      </w:r>
      <w:r>
        <w:t>levels</w:t>
      </w:r>
      <w:r>
        <w:rPr>
          <w:spacing w:val="-8"/>
        </w:rPr>
        <w:t xml:space="preserve"> </w:t>
      </w:r>
      <w:r>
        <w:t>remain</w:t>
      </w:r>
      <w:r>
        <w:rPr>
          <w:spacing w:val="-8"/>
        </w:rPr>
        <w:t xml:space="preserve"> </w:t>
      </w:r>
      <w:r>
        <w:t>essential to maintaining coherence, transparency, and inclusion in governance systems.</w:t>
      </w:r>
    </w:p>
    <w:p w14:paraId="7756BDE9" w14:textId="77777777" w:rsidR="00BC24A8" w:rsidRDefault="00000000">
      <w:pPr>
        <w:pStyle w:val="Heading4"/>
        <w:spacing w:before="167"/>
        <w:jc w:val="both"/>
      </w:pPr>
      <w:bookmarkStart w:id="8" w:name="Progress_Towards_Outcomes"/>
      <w:bookmarkStart w:id="9" w:name="_bookmark4"/>
      <w:bookmarkEnd w:id="8"/>
      <w:bookmarkEnd w:id="9"/>
      <w:r>
        <w:rPr>
          <w:color w:val="17365A"/>
          <w:spacing w:val="-4"/>
        </w:rPr>
        <w:t>Progress</w:t>
      </w:r>
      <w:r>
        <w:rPr>
          <w:color w:val="17365A"/>
          <w:spacing w:val="-28"/>
        </w:rPr>
        <w:t xml:space="preserve"> </w:t>
      </w:r>
      <w:r>
        <w:rPr>
          <w:color w:val="17365A"/>
          <w:spacing w:val="-4"/>
        </w:rPr>
        <w:t>Towards</w:t>
      </w:r>
      <w:r>
        <w:rPr>
          <w:color w:val="17365A"/>
          <w:spacing w:val="-29"/>
        </w:rPr>
        <w:t xml:space="preserve"> </w:t>
      </w:r>
      <w:r>
        <w:rPr>
          <w:color w:val="17365A"/>
          <w:spacing w:val="-4"/>
        </w:rPr>
        <w:t>Outcomes</w:t>
      </w:r>
    </w:p>
    <w:p w14:paraId="55C08F80" w14:textId="77777777" w:rsidR="00BC24A8" w:rsidRDefault="00000000">
      <w:pPr>
        <w:pStyle w:val="BodyText"/>
        <w:spacing w:before="254" w:line="278" w:lineRule="auto"/>
        <w:ind w:left="143" w:right="280"/>
        <w:jc w:val="both"/>
      </w:pPr>
      <w:r>
        <w:t>Under EOPO 1, SKALA has made steady progress in strengthening the enabling environment for subnational service delivery by supporting central ministries to deliver more coherent and technically robust</w:t>
      </w:r>
      <w:r>
        <w:rPr>
          <w:spacing w:val="-9"/>
        </w:rPr>
        <w:t xml:space="preserve"> </w:t>
      </w:r>
      <w:r>
        <w:t>guidance.</w:t>
      </w:r>
      <w:r>
        <w:rPr>
          <w:spacing w:val="-8"/>
        </w:rPr>
        <w:t xml:space="preserve"> </w:t>
      </w:r>
      <w:r>
        <w:t>Across</w:t>
      </w:r>
      <w:r>
        <w:rPr>
          <w:spacing w:val="-8"/>
        </w:rPr>
        <w:t xml:space="preserve"> </w:t>
      </w:r>
      <w:r>
        <w:t>the</w:t>
      </w:r>
      <w:r>
        <w:rPr>
          <w:spacing w:val="-12"/>
        </w:rPr>
        <w:t xml:space="preserve"> </w:t>
      </w:r>
      <w:r>
        <w:t>three</w:t>
      </w:r>
      <w:r>
        <w:rPr>
          <w:spacing w:val="-9"/>
        </w:rPr>
        <w:t xml:space="preserve"> </w:t>
      </w:r>
      <w:r>
        <w:t>nationally</w:t>
      </w:r>
      <w:r>
        <w:rPr>
          <w:spacing w:val="-8"/>
        </w:rPr>
        <w:t xml:space="preserve"> </w:t>
      </w:r>
      <w:r>
        <w:t>focused</w:t>
      </w:r>
      <w:r>
        <w:rPr>
          <w:spacing w:val="-8"/>
        </w:rPr>
        <w:t xml:space="preserve"> </w:t>
      </w:r>
      <w:r>
        <w:t>Intermediate</w:t>
      </w:r>
      <w:r>
        <w:rPr>
          <w:spacing w:val="-9"/>
        </w:rPr>
        <w:t xml:space="preserve"> </w:t>
      </w:r>
      <w:r>
        <w:t>Outcomes,</w:t>
      </w:r>
      <w:r>
        <w:rPr>
          <w:spacing w:val="-8"/>
        </w:rPr>
        <w:t xml:space="preserve"> </w:t>
      </w:r>
      <w:r>
        <w:t>improved</w:t>
      </w:r>
      <w:r>
        <w:rPr>
          <w:spacing w:val="-8"/>
        </w:rPr>
        <w:t xml:space="preserve"> </w:t>
      </w:r>
      <w:r>
        <w:t>public</w:t>
      </w:r>
      <w:r>
        <w:rPr>
          <w:spacing w:val="-9"/>
        </w:rPr>
        <w:t xml:space="preserve"> </w:t>
      </w:r>
      <w:r>
        <w:t>financial management for service delivery, evidence-based decentralised planning, and use of GEDSI analysis, SKALA has contributed to improved national policy coherence despite ongoing disruptions from administrative transitions. Key achievements include the issuance of national policies that better align fiscal</w:t>
      </w:r>
      <w:r>
        <w:rPr>
          <w:spacing w:val="21"/>
        </w:rPr>
        <w:t xml:space="preserve"> </w:t>
      </w:r>
      <w:r>
        <w:t>transfers</w:t>
      </w:r>
      <w:r>
        <w:rPr>
          <w:spacing w:val="22"/>
        </w:rPr>
        <w:t xml:space="preserve"> </w:t>
      </w:r>
      <w:r>
        <w:t>with service</w:t>
      </w:r>
      <w:r>
        <w:rPr>
          <w:spacing w:val="20"/>
        </w:rPr>
        <w:t xml:space="preserve"> </w:t>
      </w:r>
      <w:r>
        <w:t>quality</w:t>
      </w:r>
      <w:r>
        <w:rPr>
          <w:spacing w:val="20"/>
        </w:rPr>
        <w:t xml:space="preserve"> </w:t>
      </w:r>
      <w:r>
        <w:t>standards,</w:t>
      </w:r>
      <w:r>
        <w:rPr>
          <w:spacing w:val="20"/>
        </w:rPr>
        <w:t xml:space="preserve"> </w:t>
      </w:r>
      <w:r>
        <w:t>enhanced</w:t>
      </w:r>
      <w:r>
        <w:rPr>
          <w:spacing w:val="22"/>
        </w:rPr>
        <w:t xml:space="preserve"> </w:t>
      </w:r>
      <w:r>
        <w:t>interoperability</w:t>
      </w:r>
      <w:r>
        <w:rPr>
          <w:spacing w:val="20"/>
        </w:rPr>
        <w:t xml:space="preserve"> </w:t>
      </w:r>
      <w:r>
        <w:t>between</w:t>
      </w:r>
      <w:r>
        <w:rPr>
          <w:spacing w:val="22"/>
        </w:rPr>
        <w:t xml:space="preserve"> </w:t>
      </w:r>
      <w:r>
        <w:t>planning</w:t>
      </w:r>
      <w:r>
        <w:rPr>
          <w:spacing w:val="19"/>
        </w:rPr>
        <w:t xml:space="preserve"> </w:t>
      </w:r>
      <w:r>
        <w:t>and</w:t>
      </w:r>
      <w:r>
        <w:rPr>
          <w:spacing w:val="19"/>
        </w:rPr>
        <w:t xml:space="preserve"> </w:t>
      </w:r>
      <w:r>
        <w:t>data</w:t>
      </w:r>
    </w:p>
    <w:p w14:paraId="574E0514" w14:textId="77777777" w:rsidR="00BC24A8" w:rsidRDefault="00BC24A8">
      <w:pPr>
        <w:pStyle w:val="BodyText"/>
        <w:spacing w:line="278" w:lineRule="auto"/>
        <w:jc w:val="both"/>
        <w:sectPr w:rsidR="00BC24A8">
          <w:pgSz w:w="11910" w:h="16840"/>
          <w:pgMar w:top="1320" w:right="1133" w:bottom="1100" w:left="1275" w:header="0" w:footer="907" w:gutter="0"/>
          <w:cols w:space="720"/>
        </w:sectPr>
      </w:pPr>
    </w:p>
    <w:p w14:paraId="6725B976" w14:textId="77777777" w:rsidR="00BC24A8" w:rsidRDefault="00000000">
      <w:pPr>
        <w:pStyle w:val="BodyText"/>
        <w:spacing w:before="39" w:line="278" w:lineRule="auto"/>
        <w:ind w:left="143" w:right="279"/>
        <w:jc w:val="both"/>
      </w:pPr>
      <w:r>
        <w:lastRenderedPageBreak/>
        <w:t>systems to support decentralised decision-making, and the finalisation of national action plans for disability and gender mainstreaming. The full potential of these achievements will only be realised through</w:t>
      </w:r>
      <w:r>
        <w:rPr>
          <w:spacing w:val="-13"/>
        </w:rPr>
        <w:t xml:space="preserve"> </w:t>
      </w:r>
      <w:r>
        <w:t>sustained</w:t>
      </w:r>
      <w:r>
        <w:rPr>
          <w:spacing w:val="-12"/>
        </w:rPr>
        <w:t xml:space="preserve"> </w:t>
      </w:r>
      <w:r>
        <w:t>ministerial</w:t>
      </w:r>
      <w:r>
        <w:rPr>
          <w:spacing w:val="-13"/>
        </w:rPr>
        <w:t xml:space="preserve"> </w:t>
      </w:r>
      <w:r>
        <w:t>leadership,</w:t>
      </w:r>
      <w:r>
        <w:rPr>
          <w:spacing w:val="-12"/>
        </w:rPr>
        <w:t xml:space="preserve"> </w:t>
      </w:r>
      <w:r>
        <w:t>greater</w:t>
      </w:r>
      <w:r>
        <w:rPr>
          <w:spacing w:val="-13"/>
        </w:rPr>
        <w:t xml:space="preserve"> </w:t>
      </w:r>
      <w:r>
        <w:t>policy</w:t>
      </w:r>
      <w:r>
        <w:rPr>
          <w:spacing w:val="-12"/>
        </w:rPr>
        <w:t xml:space="preserve"> </w:t>
      </w:r>
      <w:r>
        <w:t>stability,</w:t>
      </w:r>
      <w:r>
        <w:rPr>
          <w:spacing w:val="-13"/>
        </w:rPr>
        <w:t xml:space="preserve"> </w:t>
      </w:r>
      <w:r>
        <w:t>and</w:t>
      </w:r>
      <w:r>
        <w:rPr>
          <w:spacing w:val="-12"/>
        </w:rPr>
        <w:t xml:space="preserve"> </w:t>
      </w:r>
      <w:r>
        <w:t>stronger</w:t>
      </w:r>
      <w:r>
        <w:rPr>
          <w:spacing w:val="-12"/>
        </w:rPr>
        <w:t xml:space="preserve"> </w:t>
      </w:r>
      <w:r>
        <w:t>incentives</w:t>
      </w:r>
      <w:r>
        <w:rPr>
          <w:spacing w:val="-13"/>
        </w:rPr>
        <w:t xml:space="preserve"> </w:t>
      </w:r>
      <w:r>
        <w:t>for</w:t>
      </w:r>
      <w:r>
        <w:rPr>
          <w:spacing w:val="-12"/>
        </w:rPr>
        <w:t xml:space="preserve"> </w:t>
      </w:r>
      <w:r>
        <w:t>subnational actors to adopt and implement these guidelines. Overall, while SKALA is on track to deliver quality outputs</w:t>
      </w:r>
      <w:r>
        <w:rPr>
          <w:spacing w:val="-13"/>
        </w:rPr>
        <w:t xml:space="preserve"> </w:t>
      </w:r>
      <w:r>
        <w:t>and</w:t>
      </w:r>
      <w:r>
        <w:rPr>
          <w:spacing w:val="-12"/>
        </w:rPr>
        <w:t xml:space="preserve"> </w:t>
      </w:r>
      <w:r>
        <w:t>contribute</w:t>
      </w:r>
      <w:r>
        <w:rPr>
          <w:spacing w:val="-13"/>
        </w:rPr>
        <w:t xml:space="preserve"> </w:t>
      </w:r>
      <w:r>
        <w:t>to</w:t>
      </w:r>
      <w:r>
        <w:rPr>
          <w:spacing w:val="-12"/>
        </w:rPr>
        <w:t xml:space="preserve"> </w:t>
      </w:r>
      <w:r>
        <w:t>intended</w:t>
      </w:r>
      <w:r>
        <w:rPr>
          <w:spacing w:val="-13"/>
        </w:rPr>
        <w:t xml:space="preserve"> </w:t>
      </w:r>
      <w:r>
        <w:t>outcomes,</w:t>
      </w:r>
      <w:r>
        <w:rPr>
          <w:spacing w:val="-12"/>
        </w:rPr>
        <w:t xml:space="preserve"> </w:t>
      </w:r>
      <w:r>
        <w:t>systemic</w:t>
      </w:r>
      <w:r>
        <w:rPr>
          <w:spacing w:val="-13"/>
        </w:rPr>
        <w:t xml:space="preserve"> </w:t>
      </w:r>
      <w:r>
        <w:t>challenges</w:t>
      </w:r>
      <w:r>
        <w:rPr>
          <w:spacing w:val="-12"/>
        </w:rPr>
        <w:t xml:space="preserve"> </w:t>
      </w:r>
      <w:r>
        <w:t>continue</w:t>
      </w:r>
      <w:r>
        <w:rPr>
          <w:spacing w:val="-12"/>
        </w:rPr>
        <w:t xml:space="preserve"> </w:t>
      </w:r>
      <w:r>
        <w:t>to</w:t>
      </w:r>
      <w:r>
        <w:rPr>
          <w:spacing w:val="-13"/>
        </w:rPr>
        <w:t xml:space="preserve"> </w:t>
      </w:r>
      <w:r>
        <w:t>constrain</w:t>
      </w:r>
      <w:r>
        <w:rPr>
          <w:spacing w:val="-12"/>
        </w:rPr>
        <w:t xml:space="preserve"> </w:t>
      </w:r>
      <w:r>
        <w:t>the</w:t>
      </w:r>
      <w:r>
        <w:rPr>
          <w:spacing w:val="-13"/>
        </w:rPr>
        <w:t xml:space="preserve"> </w:t>
      </w:r>
      <w:r>
        <w:t>translation of national guidance into tangible improvements for vulnerable groups at the subnational level.</w:t>
      </w:r>
    </w:p>
    <w:p w14:paraId="2D48E4F8" w14:textId="77777777" w:rsidR="00BC24A8" w:rsidRDefault="00000000">
      <w:pPr>
        <w:pStyle w:val="BodyText"/>
        <w:spacing w:before="156" w:line="278" w:lineRule="auto"/>
        <w:ind w:left="143" w:right="280"/>
        <w:jc w:val="both"/>
      </w:pPr>
      <w:r>
        <w:t>Under EOPO 2, SKALA is supporting partner provinces to strengthen subnational service delivery by improving</w:t>
      </w:r>
      <w:r>
        <w:rPr>
          <w:spacing w:val="-1"/>
        </w:rPr>
        <w:t xml:space="preserve"> </w:t>
      </w:r>
      <w:r>
        <w:t xml:space="preserve">service-oriented public financial management, locally generated revenue, data governance, and inclusive planning. SKALA can demonstrate progress toward more robust and compliant provincial systems across all these domains. Five provinces have completed costed Minimum Service Standards (MSS) Action Plans, though further work is needed to strengthen data quality and monitoring frameworks to implement these plans effectively. Six provinces have aligned local tax regulations with national guidance, and seven have improved revenue forecasting, yet manual systems and limited </w:t>
      </w:r>
      <w:r>
        <w:rPr>
          <w:spacing w:val="-2"/>
        </w:rPr>
        <w:t>institutional</w:t>
      </w:r>
      <w:r>
        <w:rPr>
          <w:spacing w:val="-3"/>
        </w:rPr>
        <w:t xml:space="preserve"> </w:t>
      </w:r>
      <w:r>
        <w:rPr>
          <w:spacing w:val="-2"/>
        </w:rPr>
        <w:t>capacity continue</w:t>
      </w:r>
      <w:r>
        <w:rPr>
          <w:spacing w:val="-4"/>
        </w:rPr>
        <w:t xml:space="preserve"> </w:t>
      </w:r>
      <w:r>
        <w:rPr>
          <w:spacing w:val="-2"/>
        </w:rPr>
        <w:t>to constrain provincial</w:t>
      </w:r>
      <w:r>
        <w:rPr>
          <w:spacing w:val="-3"/>
        </w:rPr>
        <w:t xml:space="preserve"> </w:t>
      </w:r>
      <w:r>
        <w:rPr>
          <w:spacing w:val="-2"/>
        </w:rPr>
        <w:t>tax</w:t>
      </w:r>
      <w:r>
        <w:rPr>
          <w:spacing w:val="-4"/>
        </w:rPr>
        <w:t xml:space="preserve"> </w:t>
      </w:r>
      <w:r>
        <w:rPr>
          <w:spacing w:val="-2"/>
        </w:rPr>
        <w:t>reform</w:t>
      </w:r>
      <w:r>
        <w:rPr>
          <w:spacing w:val="-4"/>
        </w:rPr>
        <w:t xml:space="preserve"> </w:t>
      </w:r>
      <w:r>
        <w:rPr>
          <w:spacing w:val="-2"/>
        </w:rPr>
        <w:t>efforts. The</w:t>
      </w:r>
      <w:r>
        <w:rPr>
          <w:spacing w:val="-4"/>
        </w:rPr>
        <w:t xml:space="preserve"> </w:t>
      </w:r>
      <w:r>
        <w:rPr>
          <w:spacing w:val="-2"/>
        </w:rPr>
        <w:t>majority of</w:t>
      </w:r>
      <w:r>
        <w:rPr>
          <w:spacing w:val="-4"/>
        </w:rPr>
        <w:t xml:space="preserve"> </w:t>
      </w:r>
      <w:r>
        <w:rPr>
          <w:spacing w:val="-2"/>
        </w:rPr>
        <w:t xml:space="preserve">SKALA provinces </w:t>
      </w:r>
      <w:r>
        <w:t>have improved data governance and accessibility, while facilitated groups of policy analysts in four provinces</w:t>
      </w:r>
      <w:r>
        <w:rPr>
          <w:spacing w:val="-13"/>
        </w:rPr>
        <w:t xml:space="preserve"> </w:t>
      </w:r>
      <w:r>
        <w:t>are</w:t>
      </w:r>
      <w:r>
        <w:rPr>
          <w:spacing w:val="-12"/>
        </w:rPr>
        <w:t xml:space="preserve"> </w:t>
      </w:r>
      <w:r>
        <w:t>fostering</w:t>
      </w:r>
      <w:r>
        <w:rPr>
          <w:spacing w:val="-12"/>
        </w:rPr>
        <w:t xml:space="preserve"> </w:t>
      </w:r>
      <w:r>
        <w:t>multi-stakeholder</w:t>
      </w:r>
      <w:r>
        <w:rPr>
          <w:spacing w:val="-11"/>
        </w:rPr>
        <w:t xml:space="preserve"> </w:t>
      </w:r>
      <w:r>
        <w:t>policy</w:t>
      </w:r>
      <w:r>
        <w:rPr>
          <w:spacing w:val="-13"/>
        </w:rPr>
        <w:t xml:space="preserve"> </w:t>
      </w:r>
      <w:r>
        <w:t>dialogue</w:t>
      </w:r>
      <w:r>
        <w:rPr>
          <w:spacing w:val="-12"/>
        </w:rPr>
        <w:t xml:space="preserve"> </w:t>
      </w:r>
      <w:r>
        <w:t>on</w:t>
      </w:r>
      <w:r>
        <w:rPr>
          <w:spacing w:val="-13"/>
        </w:rPr>
        <w:t xml:space="preserve"> </w:t>
      </w:r>
      <w:r>
        <w:t>service-oriented</w:t>
      </w:r>
      <w:r>
        <w:rPr>
          <w:spacing w:val="-10"/>
        </w:rPr>
        <w:t xml:space="preserve"> </w:t>
      </w:r>
      <w:r>
        <w:t>planning.</w:t>
      </w:r>
      <w:r>
        <w:rPr>
          <w:spacing w:val="-10"/>
        </w:rPr>
        <w:t xml:space="preserve"> </w:t>
      </w:r>
      <w:r>
        <w:t>Overall,</w:t>
      </w:r>
      <w:r>
        <w:rPr>
          <w:spacing w:val="-13"/>
        </w:rPr>
        <w:t xml:space="preserve"> </w:t>
      </w:r>
      <w:r>
        <w:t>SKALA</w:t>
      </w:r>
      <w:r>
        <w:rPr>
          <w:spacing w:val="-10"/>
        </w:rPr>
        <w:t xml:space="preserve"> </w:t>
      </w:r>
      <w:r>
        <w:t>is on track to contribute meaningfully to improved subnational fiscal policy, tax policy and inclusive data governance; however, technical and institutional challenges persist- particularly in translating reforms into inclusive service-oriented budget decisions and improved spending quality.</w:t>
      </w:r>
    </w:p>
    <w:p w14:paraId="6084D6A8" w14:textId="77777777" w:rsidR="00BC24A8" w:rsidRDefault="00000000">
      <w:pPr>
        <w:pStyle w:val="BodyText"/>
        <w:spacing w:before="155" w:line="278" w:lineRule="auto"/>
        <w:ind w:left="142" w:right="278"/>
        <w:jc w:val="both"/>
      </w:pPr>
      <w:r>
        <w:t>Under</w:t>
      </w:r>
      <w:r>
        <w:rPr>
          <w:spacing w:val="-8"/>
        </w:rPr>
        <w:t xml:space="preserve"> </w:t>
      </w:r>
      <w:r>
        <w:t>EOPO</w:t>
      </w:r>
      <w:r>
        <w:rPr>
          <w:spacing w:val="-9"/>
        </w:rPr>
        <w:t xml:space="preserve"> </w:t>
      </w:r>
      <w:r>
        <w:t>3,</w:t>
      </w:r>
      <w:r>
        <w:rPr>
          <w:spacing w:val="-10"/>
        </w:rPr>
        <w:t xml:space="preserve"> </w:t>
      </w:r>
      <w:r>
        <w:t>SKALA</w:t>
      </w:r>
      <w:r>
        <w:rPr>
          <w:spacing w:val="-8"/>
        </w:rPr>
        <w:t xml:space="preserve"> </w:t>
      </w:r>
      <w:r>
        <w:t>is</w:t>
      </w:r>
      <w:r>
        <w:rPr>
          <w:spacing w:val="-8"/>
        </w:rPr>
        <w:t xml:space="preserve"> </w:t>
      </w:r>
      <w:r>
        <w:t>working</w:t>
      </w:r>
      <w:r>
        <w:rPr>
          <w:spacing w:val="-9"/>
        </w:rPr>
        <w:t xml:space="preserve"> </w:t>
      </w:r>
      <w:r>
        <w:t>to</w:t>
      </w:r>
      <w:r>
        <w:rPr>
          <w:spacing w:val="-9"/>
        </w:rPr>
        <w:t xml:space="preserve"> </w:t>
      </w:r>
      <w:r>
        <w:t>strengthen</w:t>
      </w:r>
      <w:r>
        <w:rPr>
          <w:spacing w:val="-8"/>
        </w:rPr>
        <w:t xml:space="preserve"> </w:t>
      </w:r>
      <w:r>
        <w:t>mutual</w:t>
      </w:r>
      <w:r>
        <w:rPr>
          <w:spacing w:val="-12"/>
        </w:rPr>
        <w:t xml:space="preserve"> </w:t>
      </w:r>
      <w:r>
        <w:t>trust</w:t>
      </w:r>
      <w:r>
        <w:rPr>
          <w:spacing w:val="-9"/>
        </w:rPr>
        <w:t xml:space="preserve"> </w:t>
      </w:r>
      <w:r>
        <w:t>between</w:t>
      </w:r>
      <w:r>
        <w:rPr>
          <w:spacing w:val="-8"/>
        </w:rPr>
        <w:t xml:space="preserve"> </w:t>
      </w:r>
      <w:r>
        <w:t>subnational</w:t>
      </w:r>
      <w:r>
        <w:rPr>
          <w:spacing w:val="-12"/>
        </w:rPr>
        <w:t xml:space="preserve"> </w:t>
      </w:r>
      <w:r>
        <w:t>governments</w:t>
      </w:r>
      <w:r>
        <w:rPr>
          <w:spacing w:val="-8"/>
        </w:rPr>
        <w:t xml:space="preserve"> </w:t>
      </w:r>
      <w:r>
        <w:t>and</w:t>
      </w:r>
      <w:r>
        <w:rPr>
          <w:spacing w:val="-8"/>
        </w:rPr>
        <w:t xml:space="preserve"> </w:t>
      </w:r>
      <w:r>
        <w:t>civil society organisations (CSOs) representing vulnerable communities, by enhancing both the supply and demand sides of inclusive governance. In collaboration with other DFAT investments, progress across three</w:t>
      </w:r>
      <w:r>
        <w:rPr>
          <w:spacing w:val="-13"/>
        </w:rPr>
        <w:t xml:space="preserve"> </w:t>
      </w:r>
      <w:r>
        <w:t>key</w:t>
      </w:r>
      <w:r>
        <w:rPr>
          <w:spacing w:val="-10"/>
        </w:rPr>
        <w:t xml:space="preserve"> </w:t>
      </w:r>
      <w:r>
        <w:t>areas—inclusive</w:t>
      </w:r>
      <w:r>
        <w:rPr>
          <w:spacing w:val="-13"/>
        </w:rPr>
        <w:t xml:space="preserve"> </w:t>
      </w:r>
      <w:r>
        <w:t>planning</w:t>
      </w:r>
      <w:r>
        <w:rPr>
          <w:spacing w:val="-11"/>
        </w:rPr>
        <w:t xml:space="preserve"> </w:t>
      </w:r>
      <w:r>
        <w:t>forums,</w:t>
      </w:r>
      <w:r>
        <w:rPr>
          <w:spacing w:val="-10"/>
        </w:rPr>
        <w:t xml:space="preserve"> </w:t>
      </w:r>
      <w:r>
        <w:t>formalised</w:t>
      </w:r>
      <w:r>
        <w:rPr>
          <w:spacing w:val="-13"/>
        </w:rPr>
        <w:t xml:space="preserve"> </w:t>
      </w:r>
      <w:r>
        <w:t>participation</w:t>
      </w:r>
      <w:r>
        <w:rPr>
          <w:spacing w:val="-10"/>
        </w:rPr>
        <w:t xml:space="preserve"> </w:t>
      </w:r>
      <w:r>
        <w:t>mechanisms,</w:t>
      </w:r>
      <w:r>
        <w:rPr>
          <w:spacing w:val="-13"/>
        </w:rPr>
        <w:t xml:space="preserve"> </w:t>
      </w:r>
      <w:r>
        <w:t>and</w:t>
      </w:r>
      <w:r>
        <w:rPr>
          <w:spacing w:val="-10"/>
        </w:rPr>
        <w:t xml:space="preserve"> </w:t>
      </w:r>
      <w:r>
        <w:t>partnerships</w:t>
      </w:r>
      <w:r>
        <w:rPr>
          <w:spacing w:val="-11"/>
        </w:rPr>
        <w:t xml:space="preserve"> </w:t>
      </w:r>
      <w:r>
        <w:t>and capacity building—shows</w:t>
      </w:r>
      <w:r>
        <w:rPr>
          <w:spacing w:val="-1"/>
        </w:rPr>
        <w:t xml:space="preserve"> </w:t>
      </w:r>
      <w:r>
        <w:t>promising</w:t>
      </w:r>
      <w:r>
        <w:rPr>
          <w:spacing w:val="-2"/>
        </w:rPr>
        <w:t xml:space="preserve"> </w:t>
      </w:r>
      <w:r>
        <w:t>momentum.</w:t>
      </w:r>
      <w:r>
        <w:rPr>
          <w:spacing w:val="-1"/>
        </w:rPr>
        <w:t xml:space="preserve"> </w:t>
      </w:r>
      <w:r>
        <w:t>Six</w:t>
      </w:r>
      <w:r>
        <w:rPr>
          <w:spacing w:val="-1"/>
        </w:rPr>
        <w:t xml:space="preserve"> </w:t>
      </w:r>
      <w:r>
        <w:t>provinces have</w:t>
      </w:r>
      <w:r>
        <w:rPr>
          <w:spacing w:val="-2"/>
        </w:rPr>
        <w:t xml:space="preserve"> </w:t>
      </w:r>
      <w:r>
        <w:t>established or</w:t>
      </w:r>
      <w:r>
        <w:rPr>
          <w:spacing w:val="-1"/>
        </w:rPr>
        <w:t xml:space="preserve"> </w:t>
      </w:r>
      <w:r>
        <w:t>revitalised inclusive consultation forums. Inclusive engagement has been institutionalised through provincial decrees in at least two provinces. To consolidate these gains and address persistent constraints on meaningful participation,</w:t>
      </w:r>
      <w:r>
        <w:rPr>
          <w:spacing w:val="-4"/>
        </w:rPr>
        <w:t xml:space="preserve"> </w:t>
      </w:r>
      <w:r>
        <w:t>CSO</w:t>
      </w:r>
      <w:r>
        <w:rPr>
          <w:spacing w:val="-5"/>
        </w:rPr>
        <w:t xml:space="preserve"> </w:t>
      </w:r>
      <w:r>
        <w:t>network</w:t>
      </w:r>
      <w:r>
        <w:rPr>
          <w:spacing w:val="-4"/>
        </w:rPr>
        <w:t xml:space="preserve"> </w:t>
      </w:r>
      <w:r>
        <w:t>knowledge</w:t>
      </w:r>
      <w:r>
        <w:rPr>
          <w:spacing w:val="-4"/>
        </w:rPr>
        <w:t xml:space="preserve"> </w:t>
      </w:r>
      <w:r>
        <w:t>hubs</w:t>
      </w:r>
      <w:r>
        <w:rPr>
          <w:spacing w:val="-1"/>
        </w:rPr>
        <w:t xml:space="preserve"> </w:t>
      </w:r>
      <w:r>
        <w:t>are</w:t>
      </w:r>
      <w:r>
        <w:rPr>
          <w:spacing w:val="-6"/>
        </w:rPr>
        <w:t xml:space="preserve"> </w:t>
      </w:r>
      <w:r>
        <w:t>planned</w:t>
      </w:r>
      <w:r>
        <w:rPr>
          <w:spacing w:val="-2"/>
        </w:rPr>
        <w:t xml:space="preserve"> </w:t>
      </w:r>
      <w:r>
        <w:t>in</w:t>
      </w:r>
      <w:r>
        <w:rPr>
          <w:spacing w:val="-4"/>
        </w:rPr>
        <w:t xml:space="preserve"> </w:t>
      </w:r>
      <w:r>
        <w:t>six</w:t>
      </w:r>
      <w:r>
        <w:rPr>
          <w:spacing w:val="-6"/>
        </w:rPr>
        <w:t xml:space="preserve"> </w:t>
      </w:r>
      <w:r>
        <w:t>provinces</w:t>
      </w:r>
      <w:r>
        <w:rPr>
          <w:spacing w:val="-1"/>
        </w:rPr>
        <w:t xml:space="preserve"> </w:t>
      </w:r>
      <w:r>
        <w:t>to</w:t>
      </w:r>
      <w:r>
        <w:rPr>
          <w:spacing w:val="-7"/>
        </w:rPr>
        <w:t xml:space="preserve"> </w:t>
      </w:r>
      <w:r>
        <w:t>support</w:t>
      </w:r>
      <w:r>
        <w:rPr>
          <w:spacing w:val="-3"/>
        </w:rPr>
        <w:t xml:space="preserve"> </w:t>
      </w:r>
      <w:r>
        <w:t>data-driven</w:t>
      </w:r>
      <w:r>
        <w:rPr>
          <w:spacing w:val="-4"/>
        </w:rPr>
        <w:t xml:space="preserve"> </w:t>
      </w:r>
      <w:r>
        <w:t>budget advocacy.</w:t>
      </w:r>
      <w:r>
        <w:rPr>
          <w:spacing w:val="-13"/>
        </w:rPr>
        <w:t xml:space="preserve"> </w:t>
      </w:r>
      <w:r>
        <w:t>Overall,</w:t>
      </w:r>
      <w:r>
        <w:rPr>
          <w:spacing w:val="-12"/>
        </w:rPr>
        <w:t xml:space="preserve"> </w:t>
      </w:r>
      <w:r>
        <w:t>SKALA</w:t>
      </w:r>
      <w:r>
        <w:rPr>
          <w:spacing w:val="-13"/>
        </w:rPr>
        <w:t xml:space="preserve"> </w:t>
      </w:r>
      <w:r>
        <w:t>is</w:t>
      </w:r>
      <w:r>
        <w:rPr>
          <w:spacing w:val="-12"/>
        </w:rPr>
        <w:t xml:space="preserve"> </w:t>
      </w:r>
      <w:r>
        <w:t>on</w:t>
      </w:r>
      <w:r>
        <w:rPr>
          <w:spacing w:val="-11"/>
        </w:rPr>
        <w:t xml:space="preserve"> </w:t>
      </w:r>
      <w:r>
        <w:t>track</w:t>
      </w:r>
      <w:r>
        <w:rPr>
          <w:spacing w:val="-11"/>
        </w:rPr>
        <w:t xml:space="preserve"> </w:t>
      </w:r>
      <w:r>
        <w:t>to</w:t>
      </w:r>
      <w:r>
        <w:rPr>
          <w:spacing w:val="-13"/>
        </w:rPr>
        <w:t xml:space="preserve"> </w:t>
      </w:r>
      <w:r>
        <w:t>meet</w:t>
      </w:r>
      <w:r>
        <w:rPr>
          <w:spacing w:val="-12"/>
        </w:rPr>
        <w:t xml:space="preserve"> </w:t>
      </w:r>
      <w:r>
        <w:t>its</w:t>
      </w:r>
      <w:r>
        <w:rPr>
          <w:spacing w:val="-11"/>
        </w:rPr>
        <w:t xml:space="preserve"> </w:t>
      </w:r>
      <w:r>
        <w:t>Phase</w:t>
      </w:r>
      <w:r>
        <w:rPr>
          <w:spacing w:val="-13"/>
        </w:rPr>
        <w:t xml:space="preserve"> </w:t>
      </w:r>
      <w:r>
        <w:t>1</w:t>
      </w:r>
      <w:r>
        <w:rPr>
          <w:spacing w:val="-12"/>
        </w:rPr>
        <w:t xml:space="preserve"> </w:t>
      </w:r>
      <w:r>
        <w:t>targets</w:t>
      </w:r>
      <w:r>
        <w:rPr>
          <w:spacing w:val="-11"/>
        </w:rPr>
        <w:t xml:space="preserve"> </w:t>
      </w:r>
      <w:r>
        <w:t>and</w:t>
      </w:r>
      <w:r>
        <w:rPr>
          <w:spacing w:val="-11"/>
        </w:rPr>
        <w:t xml:space="preserve"> </w:t>
      </w:r>
      <w:r>
        <w:t>lay</w:t>
      </w:r>
      <w:r>
        <w:rPr>
          <w:spacing w:val="-11"/>
        </w:rPr>
        <w:t xml:space="preserve"> </w:t>
      </w:r>
      <w:r>
        <w:t>the</w:t>
      </w:r>
      <w:r>
        <w:rPr>
          <w:spacing w:val="-13"/>
        </w:rPr>
        <w:t xml:space="preserve"> </w:t>
      </w:r>
      <w:r>
        <w:t>foundation</w:t>
      </w:r>
      <w:r>
        <w:rPr>
          <w:spacing w:val="-11"/>
        </w:rPr>
        <w:t xml:space="preserve"> </w:t>
      </w:r>
      <w:r>
        <w:t>for</w:t>
      </w:r>
      <w:r>
        <w:rPr>
          <w:spacing w:val="-13"/>
        </w:rPr>
        <w:t xml:space="preserve"> </w:t>
      </w:r>
      <w:r>
        <w:t>more</w:t>
      </w:r>
      <w:r>
        <w:rPr>
          <w:spacing w:val="-12"/>
        </w:rPr>
        <w:t xml:space="preserve"> </w:t>
      </w:r>
      <w:r>
        <w:t>inclusive and representative governance, though continued support is needed to embed these practices and ensure they translate into meaningful influence over service delivery decisions.</w:t>
      </w:r>
    </w:p>
    <w:p w14:paraId="632BDFB1" w14:textId="77777777" w:rsidR="00BC24A8" w:rsidRDefault="00000000">
      <w:pPr>
        <w:pStyle w:val="Heading4"/>
        <w:spacing w:before="154" w:line="254" w:lineRule="auto"/>
        <w:ind w:right="328"/>
      </w:pPr>
      <w:bookmarkStart w:id="10" w:name="Governance_Structure_and_the_Relevance_t"/>
      <w:bookmarkStart w:id="11" w:name="_bookmark5"/>
      <w:bookmarkEnd w:id="10"/>
      <w:bookmarkEnd w:id="11"/>
      <w:r>
        <w:rPr>
          <w:color w:val="17365A"/>
          <w:spacing w:val="-4"/>
        </w:rPr>
        <w:t>Governance</w:t>
      </w:r>
      <w:r>
        <w:rPr>
          <w:color w:val="17365A"/>
          <w:spacing w:val="-24"/>
        </w:rPr>
        <w:t xml:space="preserve"> </w:t>
      </w:r>
      <w:r>
        <w:rPr>
          <w:color w:val="17365A"/>
          <w:spacing w:val="-4"/>
        </w:rPr>
        <w:t>Structure</w:t>
      </w:r>
      <w:r>
        <w:rPr>
          <w:color w:val="17365A"/>
          <w:spacing w:val="-24"/>
        </w:rPr>
        <w:t xml:space="preserve"> </w:t>
      </w:r>
      <w:r>
        <w:rPr>
          <w:color w:val="17365A"/>
          <w:spacing w:val="-4"/>
        </w:rPr>
        <w:t>and</w:t>
      </w:r>
      <w:r>
        <w:rPr>
          <w:color w:val="17365A"/>
          <w:spacing w:val="-26"/>
        </w:rPr>
        <w:t xml:space="preserve"> </w:t>
      </w:r>
      <w:r>
        <w:rPr>
          <w:color w:val="17365A"/>
          <w:spacing w:val="-4"/>
        </w:rPr>
        <w:t>the</w:t>
      </w:r>
      <w:r>
        <w:rPr>
          <w:color w:val="17365A"/>
          <w:spacing w:val="-24"/>
        </w:rPr>
        <w:t xml:space="preserve"> </w:t>
      </w:r>
      <w:r>
        <w:rPr>
          <w:color w:val="17365A"/>
          <w:spacing w:val="-4"/>
        </w:rPr>
        <w:t>Relevance</w:t>
      </w:r>
      <w:r>
        <w:rPr>
          <w:color w:val="17365A"/>
          <w:spacing w:val="-25"/>
        </w:rPr>
        <w:t xml:space="preserve"> </w:t>
      </w:r>
      <w:r>
        <w:rPr>
          <w:color w:val="17365A"/>
          <w:spacing w:val="-4"/>
        </w:rPr>
        <w:t>to</w:t>
      </w:r>
      <w:r>
        <w:rPr>
          <w:color w:val="17365A"/>
          <w:spacing w:val="-27"/>
        </w:rPr>
        <w:t xml:space="preserve"> </w:t>
      </w:r>
      <w:r>
        <w:rPr>
          <w:color w:val="17365A"/>
          <w:spacing w:val="-4"/>
        </w:rPr>
        <w:t>the</w:t>
      </w:r>
      <w:r>
        <w:rPr>
          <w:color w:val="17365A"/>
          <w:spacing w:val="-27"/>
        </w:rPr>
        <w:t xml:space="preserve"> </w:t>
      </w:r>
      <w:r>
        <w:rPr>
          <w:color w:val="17365A"/>
          <w:spacing w:val="-4"/>
        </w:rPr>
        <w:t>Government</w:t>
      </w:r>
      <w:r>
        <w:rPr>
          <w:color w:val="17365A"/>
          <w:spacing w:val="-26"/>
        </w:rPr>
        <w:t xml:space="preserve"> </w:t>
      </w:r>
      <w:r>
        <w:rPr>
          <w:color w:val="17365A"/>
          <w:spacing w:val="-4"/>
        </w:rPr>
        <w:t xml:space="preserve">of </w:t>
      </w:r>
      <w:r>
        <w:rPr>
          <w:color w:val="17365A"/>
          <w:spacing w:val="-2"/>
        </w:rPr>
        <w:t>Australia</w:t>
      </w:r>
    </w:p>
    <w:p w14:paraId="25318263" w14:textId="77777777" w:rsidR="00BC24A8" w:rsidRDefault="00000000">
      <w:pPr>
        <w:pStyle w:val="BodyText"/>
        <w:spacing w:before="235" w:line="278" w:lineRule="auto"/>
        <w:ind w:left="142" w:right="280"/>
        <w:jc w:val="both"/>
      </w:pPr>
      <w:r>
        <w:t>As a decentralised governance program with a long-term presence in out-laying Provinces, SKALA is a strategic</w:t>
      </w:r>
      <w:r>
        <w:rPr>
          <w:spacing w:val="-7"/>
        </w:rPr>
        <w:t xml:space="preserve"> </w:t>
      </w:r>
      <w:r>
        <w:t>platform</w:t>
      </w:r>
      <w:r>
        <w:rPr>
          <w:spacing w:val="-6"/>
        </w:rPr>
        <w:t xml:space="preserve"> </w:t>
      </w:r>
      <w:r>
        <w:t>for</w:t>
      </w:r>
      <w:r>
        <w:rPr>
          <w:spacing w:val="-8"/>
        </w:rPr>
        <w:t xml:space="preserve"> </w:t>
      </w:r>
      <w:r>
        <w:t>Australia’s</w:t>
      </w:r>
      <w:r>
        <w:rPr>
          <w:spacing w:val="-6"/>
        </w:rPr>
        <w:t xml:space="preserve"> </w:t>
      </w:r>
      <w:r>
        <w:t>engagement</w:t>
      </w:r>
      <w:r>
        <w:rPr>
          <w:spacing w:val="-7"/>
        </w:rPr>
        <w:t xml:space="preserve"> </w:t>
      </w:r>
      <w:r>
        <w:t>with</w:t>
      </w:r>
      <w:r>
        <w:rPr>
          <w:spacing w:val="-6"/>
        </w:rPr>
        <w:t xml:space="preserve"> </w:t>
      </w:r>
      <w:r>
        <w:t>Indonesia</w:t>
      </w:r>
      <w:r>
        <w:rPr>
          <w:spacing w:val="-7"/>
        </w:rPr>
        <w:t xml:space="preserve"> </w:t>
      </w:r>
      <w:r>
        <w:t>at</w:t>
      </w:r>
      <w:r>
        <w:rPr>
          <w:spacing w:val="-7"/>
        </w:rPr>
        <w:t xml:space="preserve"> </w:t>
      </w:r>
      <w:r>
        <w:t>the</w:t>
      </w:r>
      <w:r>
        <w:rPr>
          <w:spacing w:val="-10"/>
        </w:rPr>
        <w:t xml:space="preserve"> </w:t>
      </w:r>
      <w:r>
        <w:t>subnational</w:t>
      </w:r>
      <w:r>
        <w:rPr>
          <w:spacing w:val="-7"/>
        </w:rPr>
        <w:t xml:space="preserve"> </w:t>
      </w:r>
      <w:r>
        <w:t>level,</w:t>
      </w:r>
      <w:r>
        <w:rPr>
          <w:spacing w:val="-6"/>
        </w:rPr>
        <w:t xml:space="preserve"> </w:t>
      </w:r>
      <w:r>
        <w:t>advancing</w:t>
      </w:r>
      <w:r>
        <w:rPr>
          <w:spacing w:val="-9"/>
        </w:rPr>
        <w:t xml:space="preserve"> </w:t>
      </w:r>
      <w:r>
        <w:t>shared priorities</w:t>
      </w:r>
      <w:r>
        <w:rPr>
          <w:spacing w:val="-13"/>
        </w:rPr>
        <w:t xml:space="preserve"> </w:t>
      </w:r>
      <w:r>
        <w:t>around</w:t>
      </w:r>
      <w:r>
        <w:rPr>
          <w:spacing w:val="-12"/>
        </w:rPr>
        <w:t xml:space="preserve"> </w:t>
      </w:r>
      <w:r>
        <w:t>inclusive,</w:t>
      </w:r>
      <w:r>
        <w:rPr>
          <w:spacing w:val="-13"/>
        </w:rPr>
        <w:t xml:space="preserve"> </w:t>
      </w:r>
      <w:r>
        <w:t>transparent,</w:t>
      </w:r>
      <w:r>
        <w:rPr>
          <w:spacing w:val="-12"/>
        </w:rPr>
        <w:t xml:space="preserve"> </w:t>
      </w:r>
      <w:r>
        <w:t>and</w:t>
      </w:r>
      <w:r>
        <w:rPr>
          <w:spacing w:val="-13"/>
        </w:rPr>
        <w:t xml:space="preserve"> </w:t>
      </w:r>
      <w:r>
        <w:t>evidence-based</w:t>
      </w:r>
      <w:r>
        <w:rPr>
          <w:spacing w:val="-12"/>
        </w:rPr>
        <w:t xml:space="preserve"> </w:t>
      </w:r>
      <w:r>
        <w:t>governance</w:t>
      </w:r>
      <w:r>
        <w:rPr>
          <w:spacing w:val="-13"/>
        </w:rPr>
        <w:t xml:space="preserve"> </w:t>
      </w:r>
      <w:r>
        <w:t>across</w:t>
      </w:r>
      <w:r>
        <w:rPr>
          <w:spacing w:val="-12"/>
        </w:rPr>
        <w:t xml:space="preserve"> </w:t>
      </w:r>
      <w:r>
        <w:t>Indonesia’s</w:t>
      </w:r>
      <w:r>
        <w:rPr>
          <w:spacing w:val="-12"/>
        </w:rPr>
        <w:t xml:space="preserve"> </w:t>
      </w:r>
      <w:r>
        <w:t>archipelago. Its approach aligns with Australia’s development cooperation objectives by strengthening Indonesia’s capacity to deliver basic services to vulnerable populations, promoting gender equality, disability inclusion, and effective public financial management. SKALA’s governance structure, comprising the Steering Committee, Technical Committee, Working Groups, and Provincial Program Committees, ensures mutual accountability and alignment between Australian and Indonesian stakeholders, reinforcing</w:t>
      </w:r>
      <w:r>
        <w:rPr>
          <w:spacing w:val="40"/>
        </w:rPr>
        <w:t xml:space="preserve"> </w:t>
      </w:r>
      <w:r>
        <w:t>ownership</w:t>
      </w:r>
      <w:r>
        <w:rPr>
          <w:spacing w:val="40"/>
        </w:rPr>
        <w:t xml:space="preserve"> </w:t>
      </w:r>
      <w:r>
        <w:t>and</w:t>
      </w:r>
      <w:r>
        <w:rPr>
          <w:spacing w:val="40"/>
        </w:rPr>
        <w:t xml:space="preserve"> </w:t>
      </w:r>
      <w:r>
        <w:t>sustainability</w:t>
      </w:r>
      <w:r>
        <w:rPr>
          <w:spacing w:val="40"/>
        </w:rPr>
        <w:t xml:space="preserve"> </w:t>
      </w:r>
      <w:r>
        <w:t>across</w:t>
      </w:r>
      <w:r>
        <w:rPr>
          <w:spacing w:val="40"/>
        </w:rPr>
        <w:t xml:space="preserve"> </w:t>
      </w:r>
      <w:r>
        <w:t>all</w:t>
      </w:r>
      <w:r>
        <w:rPr>
          <w:spacing w:val="40"/>
        </w:rPr>
        <w:t xml:space="preserve"> </w:t>
      </w:r>
      <w:r>
        <w:t>levels</w:t>
      </w:r>
      <w:r>
        <w:rPr>
          <w:spacing w:val="40"/>
        </w:rPr>
        <w:t xml:space="preserve"> </w:t>
      </w:r>
      <w:r>
        <w:t>of</w:t>
      </w:r>
      <w:r>
        <w:rPr>
          <w:spacing w:val="40"/>
        </w:rPr>
        <w:t xml:space="preserve"> </w:t>
      </w:r>
      <w:r>
        <w:t>government.</w:t>
      </w:r>
      <w:r>
        <w:rPr>
          <w:spacing w:val="40"/>
        </w:rPr>
        <w:t xml:space="preserve"> </w:t>
      </w:r>
      <w:r>
        <w:t>The</w:t>
      </w:r>
      <w:r>
        <w:rPr>
          <w:spacing w:val="40"/>
        </w:rPr>
        <w:t xml:space="preserve"> </w:t>
      </w:r>
      <w:r>
        <w:t>program’s</w:t>
      </w:r>
      <w:r>
        <w:rPr>
          <w:spacing w:val="40"/>
        </w:rPr>
        <w:t xml:space="preserve"> </w:t>
      </w:r>
      <w:r>
        <w:t>adaptive</w:t>
      </w:r>
    </w:p>
    <w:p w14:paraId="7763D7D1" w14:textId="77777777" w:rsidR="00BC24A8" w:rsidRDefault="00BC24A8">
      <w:pPr>
        <w:pStyle w:val="BodyText"/>
        <w:spacing w:line="278" w:lineRule="auto"/>
        <w:jc w:val="both"/>
        <w:sectPr w:rsidR="00BC24A8">
          <w:pgSz w:w="11910" w:h="16840"/>
          <w:pgMar w:top="1360" w:right="1133" w:bottom="1100" w:left="1275" w:header="0" w:footer="907" w:gutter="0"/>
          <w:cols w:space="720"/>
        </w:sectPr>
      </w:pPr>
    </w:p>
    <w:p w14:paraId="4C5B748C" w14:textId="77777777" w:rsidR="00BC24A8" w:rsidRDefault="00000000">
      <w:pPr>
        <w:pStyle w:val="BodyText"/>
        <w:spacing w:before="39" w:line="278" w:lineRule="auto"/>
        <w:ind w:left="143" w:right="279"/>
        <w:jc w:val="both"/>
      </w:pPr>
      <w:r>
        <w:lastRenderedPageBreak/>
        <w:t>management approach, that seeks to balance highly valued, quick wins with long-term institutional reforms in</w:t>
      </w:r>
      <w:r>
        <w:rPr>
          <w:spacing w:val="-1"/>
        </w:rPr>
        <w:t xml:space="preserve"> </w:t>
      </w:r>
      <w:r>
        <w:t>a dynamic political context, ensures the program is resilient and</w:t>
      </w:r>
      <w:r>
        <w:rPr>
          <w:spacing w:val="-1"/>
        </w:rPr>
        <w:t xml:space="preserve"> </w:t>
      </w:r>
      <w:r>
        <w:t xml:space="preserve">responsive. This makes the program a valuable relationship asset. Critically, SKALA’s work also contributes to stronger democratic institutions by improving government transparency, enabling citizen participation, and building public </w:t>
      </w:r>
      <w:r>
        <w:rPr>
          <w:spacing w:val="-2"/>
        </w:rPr>
        <w:t>confidence</w:t>
      </w:r>
      <w:r>
        <w:rPr>
          <w:spacing w:val="-4"/>
        </w:rPr>
        <w:t xml:space="preserve"> </w:t>
      </w:r>
      <w:r>
        <w:rPr>
          <w:spacing w:val="-2"/>
        </w:rPr>
        <w:t>in service</w:t>
      </w:r>
      <w:r>
        <w:rPr>
          <w:spacing w:val="-4"/>
        </w:rPr>
        <w:t xml:space="preserve"> </w:t>
      </w:r>
      <w:r>
        <w:rPr>
          <w:spacing w:val="-2"/>
        </w:rPr>
        <w:t>delivery systems. In this way the</w:t>
      </w:r>
      <w:r>
        <w:rPr>
          <w:spacing w:val="-3"/>
        </w:rPr>
        <w:t xml:space="preserve"> </w:t>
      </w:r>
      <w:r>
        <w:rPr>
          <w:spacing w:val="-2"/>
        </w:rPr>
        <w:t>program is also</w:t>
      </w:r>
      <w:r>
        <w:rPr>
          <w:spacing w:val="-5"/>
        </w:rPr>
        <w:t xml:space="preserve"> </w:t>
      </w:r>
      <w:r>
        <w:rPr>
          <w:spacing w:val="-2"/>
        </w:rPr>
        <w:t>making</w:t>
      </w:r>
      <w:r>
        <w:rPr>
          <w:spacing w:val="-5"/>
        </w:rPr>
        <w:t xml:space="preserve"> </w:t>
      </w:r>
      <w:r>
        <w:rPr>
          <w:spacing w:val="-2"/>
        </w:rPr>
        <w:t>foundational</w:t>
      </w:r>
      <w:r>
        <w:rPr>
          <w:spacing w:val="-3"/>
        </w:rPr>
        <w:t xml:space="preserve"> </w:t>
      </w:r>
      <w:r>
        <w:rPr>
          <w:spacing w:val="-2"/>
        </w:rPr>
        <w:t xml:space="preserve">contributions </w:t>
      </w:r>
      <w:r>
        <w:t>to regional stability.</w:t>
      </w:r>
    </w:p>
    <w:p w14:paraId="6B92F001" w14:textId="77777777" w:rsidR="00BC24A8" w:rsidRDefault="00000000">
      <w:pPr>
        <w:pStyle w:val="Heading4"/>
        <w:jc w:val="both"/>
      </w:pPr>
      <w:bookmarkStart w:id="12" w:name="Program_delivery"/>
      <w:bookmarkStart w:id="13" w:name="_bookmark6"/>
      <w:bookmarkEnd w:id="12"/>
      <w:bookmarkEnd w:id="13"/>
      <w:r>
        <w:rPr>
          <w:color w:val="17365A"/>
          <w:spacing w:val="-6"/>
        </w:rPr>
        <w:t>Program</w:t>
      </w:r>
      <w:r>
        <w:rPr>
          <w:color w:val="17365A"/>
          <w:spacing w:val="-17"/>
        </w:rPr>
        <w:t xml:space="preserve"> </w:t>
      </w:r>
      <w:r>
        <w:rPr>
          <w:color w:val="17365A"/>
          <w:spacing w:val="-2"/>
        </w:rPr>
        <w:t>delivery</w:t>
      </w:r>
    </w:p>
    <w:p w14:paraId="7F0E4BB3" w14:textId="77777777" w:rsidR="00BC24A8" w:rsidRDefault="00000000">
      <w:pPr>
        <w:pStyle w:val="BodyText"/>
        <w:spacing w:before="257" w:line="278" w:lineRule="auto"/>
        <w:ind w:left="142" w:right="280"/>
        <w:jc w:val="both"/>
      </w:pPr>
      <w:r>
        <w:t>As of</w:t>
      </w:r>
      <w:r>
        <w:rPr>
          <w:spacing w:val="-1"/>
        </w:rPr>
        <w:t xml:space="preserve"> </w:t>
      </w:r>
      <w:r>
        <w:t>June</w:t>
      </w:r>
      <w:r>
        <w:rPr>
          <w:spacing w:val="-3"/>
        </w:rPr>
        <w:t xml:space="preserve"> </w:t>
      </w:r>
      <w:r>
        <w:t>30, 2025, SKALA</w:t>
      </w:r>
      <w:r>
        <w:rPr>
          <w:spacing w:val="-4"/>
        </w:rPr>
        <w:t xml:space="preserve"> </w:t>
      </w:r>
      <w:r>
        <w:t>has delivered 30% of</w:t>
      </w:r>
      <w:r>
        <w:rPr>
          <w:spacing w:val="-1"/>
        </w:rPr>
        <w:t xml:space="preserve"> </w:t>
      </w:r>
      <w:r>
        <w:t>its</w:t>
      </w:r>
      <w:r>
        <w:rPr>
          <w:spacing w:val="-1"/>
        </w:rPr>
        <w:t xml:space="preserve"> </w:t>
      </w:r>
      <w:r>
        <w:t>multi-year Work</w:t>
      </w:r>
      <w:r>
        <w:rPr>
          <w:spacing w:val="-1"/>
        </w:rPr>
        <w:t xml:space="preserve"> </w:t>
      </w:r>
      <w:r>
        <w:t xml:space="preserve">Plan (July 2025- Dec 2026), with a large number of program activities carried over into the coming financial year. This planning approach and completion rate reflect the complexity of planned program outputs and expected delays resulting from changes in national fiscal policy and administrative changes. Despite these delays, the semester budget was fully acquitted, demonstrating disciplined financial management and proactive risk </w:t>
      </w:r>
      <w:r>
        <w:rPr>
          <w:spacing w:val="-2"/>
        </w:rPr>
        <w:t>management.</w:t>
      </w:r>
    </w:p>
    <w:p w14:paraId="627AFD3F" w14:textId="77777777" w:rsidR="00BC24A8" w:rsidRDefault="00000000">
      <w:pPr>
        <w:pStyle w:val="BodyText"/>
        <w:spacing w:before="156" w:line="278" w:lineRule="auto"/>
        <w:ind w:left="142" w:right="281"/>
        <w:jc w:val="both"/>
      </w:pPr>
      <w:r>
        <w:t>For the final semesters of Phase 1, SKALA has shifted from over-programming workplans to aligning activities with Government of Indonesia (GoI) annual cycles, focusing only on what can be realistically delivered within the workplan period. This change strengthens synergy with GoI systems, improves performance accountability, and ensures effective management of delivery risks.</w:t>
      </w:r>
    </w:p>
    <w:p w14:paraId="23525765" w14:textId="77777777" w:rsidR="00BC24A8" w:rsidRDefault="00000000">
      <w:pPr>
        <w:pStyle w:val="Heading4"/>
        <w:spacing w:before="160"/>
        <w:jc w:val="both"/>
      </w:pPr>
      <w:bookmarkStart w:id="14" w:name="Forward_Planning"/>
      <w:bookmarkStart w:id="15" w:name="_bookmark7"/>
      <w:bookmarkEnd w:id="14"/>
      <w:bookmarkEnd w:id="15"/>
      <w:r>
        <w:rPr>
          <w:color w:val="17365A"/>
          <w:spacing w:val="-9"/>
        </w:rPr>
        <w:t>Forward</w:t>
      </w:r>
      <w:r>
        <w:rPr>
          <w:color w:val="17365A"/>
          <w:spacing w:val="-18"/>
        </w:rPr>
        <w:t xml:space="preserve"> </w:t>
      </w:r>
      <w:r>
        <w:rPr>
          <w:color w:val="17365A"/>
          <w:spacing w:val="-2"/>
        </w:rPr>
        <w:t>Planning</w:t>
      </w:r>
    </w:p>
    <w:p w14:paraId="28EF7AAF" w14:textId="77777777" w:rsidR="00BC24A8" w:rsidRDefault="00000000">
      <w:pPr>
        <w:pStyle w:val="BodyText"/>
        <w:spacing w:before="254" w:line="278" w:lineRule="auto"/>
        <w:ind w:left="143" w:right="280"/>
        <w:jc w:val="both"/>
      </w:pPr>
      <w:r>
        <w:t>As SKALA enters its final</w:t>
      </w:r>
      <w:r>
        <w:rPr>
          <w:spacing w:val="-1"/>
        </w:rPr>
        <w:t xml:space="preserve"> </w:t>
      </w:r>
      <w:r>
        <w:t>18</w:t>
      </w:r>
      <w:r>
        <w:rPr>
          <w:spacing w:val="-2"/>
        </w:rPr>
        <w:t xml:space="preserve"> </w:t>
      </w:r>
      <w:r>
        <w:t>months, the</w:t>
      </w:r>
      <w:r>
        <w:rPr>
          <w:spacing w:val="-1"/>
        </w:rPr>
        <w:t xml:space="preserve"> </w:t>
      </w:r>
      <w:r>
        <w:t>program will</w:t>
      </w:r>
      <w:r>
        <w:rPr>
          <w:spacing w:val="-1"/>
        </w:rPr>
        <w:t xml:space="preserve"> </w:t>
      </w:r>
      <w:r>
        <w:t>consolidate</w:t>
      </w:r>
      <w:r>
        <w:rPr>
          <w:spacing w:val="-1"/>
        </w:rPr>
        <w:t xml:space="preserve"> </w:t>
      </w:r>
      <w:r>
        <w:t>efforts around five</w:t>
      </w:r>
      <w:r>
        <w:rPr>
          <w:spacing w:val="-1"/>
        </w:rPr>
        <w:t xml:space="preserve"> </w:t>
      </w:r>
      <w:r>
        <w:t>key work areas to demonstrate meaningful progress across EOPOs. SKALA will focus on improving data governance to support inclusive service delivery, consolidating frameworks for equitable MSS implementation, enhancing local government budgeting through better fiscal transfer utilisation and tax reform, and improving the management of Special Autonomy (OTSUS) Funds. To ensure vulnerable groups are meaningfully represented, SKALA will institutionalise inclusive planning forums and strengthen civil society capacity for evidence-based advocacy. These efforts aim to embed inclusive, data-driven, and context-responsive systems that can sustain improved service delivery beyond Phase 1.</w:t>
      </w:r>
    </w:p>
    <w:p w14:paraId="06425FDF" w14:textId="77777777" w:rsidR="00BC24A8" w:rsidRDefault="00BC24A8">
      <w:pPr>
        <w:pStyle w:val="BodyText"/>
        <w:spacing w:line="278" w:lineRule="auto"/>
        <w:jc w:val="both"/>
        <w:sectPr w:rsidR="00BC24A8">
          <w:pgSz w:w="11910" w:h="16840"/>
          <w:pgMar w:top="1360" w:right="1133" w:bottom="1100" w:left="1275" w:header="0" w:footer="907" w:gutter="0"/>
          <w:cols w:space="720"/>
        </w:sectPr>
      </w:pPr>
    </w:p>
    <w:p w14:paraId="3B64AEC0" w14:textId="77777777" w:rsidR="00BC24A8" w:rsidRDefault="00000000">
      <w:pPr>
        <w:pStyle w:val="Heading1"/>
      </w:pPr>
      <w:bookmarkStart w:id="16" w:name="Highlights"/>
      <w:bookmarkStart w:id="17" w:name="_bookmark8"/>
      <w:bookmarkEnd w:id="16"/>
      <w:bookmarkEnd w:id="17"/>
      <w:r w:rsidRPr="00795364">
        <w:rPr>
          <w:color w:val="00A59C"/>
          <w:spacing w:val="-2"/>
        </w:rPr>
        <w:lastRenderedPageBreak/>
        <w:t>Highlights</w:t>
      </w:r>
    </w:p>
    <w:p w14:paraId="2090D332" w14:textId="77777777" w:rsidR="00BC24A8" w:rsidRDefault="00000000">
      <w:pPr>
        <w:spacing w:before="627" w:line="254" w:lineRule="auto"/>
        <w:ind w:left="143" w:right="327"/>
        <w:rPr>
          <w:rFonts w:ascii="Trebuchet MS"/>
          <w:b/>
          <w:sz w:val="28"/>
        </w:rPr>
      </w:pPr>
      <w:bookmarkStart w:id="18" w:name="_bookmark9"/>
      <w:bookmarkEnd w:id="18"/>
      <w:r>
        <w:rPr>
          <w:rFonts w:ascii="Trebuchet MS"/>
          <w:b/>
          <w:color w:val="2C3A5B"/>
          <w:spacing w:val="-4"/>
          <w:sz w:val="28"/>
        </w:rPr>
        <w:t>End</w:t>
      </w:r>
      <w:r>
        <w:rPr>
          <w:rFonts w:ascii="Trebuchet MS"/>
          <w:b/>
          <w:color w:val="2C3A5B"/>
          <w:spacing w:val="-28"/>
          <w:sz w:val="28"/>
        </w:rPr>
        <w:t xml:space="preserve"> </w:t>
      </w:r>
      <w:r>
        <w:rPr>
          <w:rFonts w:ascii="Trebuchet MS"/>
          <w:b/>
          <w:color w:val="2C3A5B"/>
          <w:spacing w:val="-4"/>
          <w:sz w:val="28"/>
        </w:rPr>
        <w:t>of</w:t>
      </w:r>
      <w:r>
        <w:rPr>
          <w:rFonts w:ascii="Trebuchet MS"/>
          <w:b/>
          <w:color w:val="2C3A5B"/>
          <w:spacing w:val="-27"/>
          <w:sz w:val="28"/>
        </w:rPr>
        <w:t xml:space="preserve"> </w:t>
      </w:r>
      <w:r>
        <w:rPr>
          <w:rFonts w:ascii="Trebuchet MS"/>
          <w:b/>
          <w:color w:val="2C3A5B"/>
          <w:spacing w:val="-4"/>
          <w:sz w:val="28"/>
        </w:rPr>
        <w:t>Program</w:t>
      </w:r>
      <w:r>
        <w:rPr>
          <w:rFonts w:ascii="Trebuchet MS"/>
          <w:b/>
          <w:color w:val="2C3A5B"/>
          <w:spacing w:val="-29"/>
          <w:sz w:val="28"/>
        </w:rPr>
        <w:t xml:space="preserve"> </w:t>
      </w:r>
      <w:r>
        <w:rPr>
          <w:rFonts w:ascii="Trebuchet MS"/>
          <w:b/>
          <w:color w:val="2C3A5B"/>
          <w:spacing w:val="-4"/>
          <w:sz w:val="28"/>
        </w:rPr>
        <w:t>Outcome</w:t>
      </w:r>
      <w:r>
        <w:rPr>
          <w:rFonts w:ascii="Trebuchet MS"/>
          <w:b/>
          <w:color w:val="2C3A5B"/>
          <w:spacing w:val="-26"/>
          <w:sz w:val="28"/>
        </w:rPr>
        <w:t xml:space="preserve"> </w:t>
      </w:r>
      <w:r>
        <w:rPr>
          <w:rFonts w:ascii="Trebuchet MS"/>
          <w:b/>
          <w:color w:val="2C3A5B"/>
          <w:spacing w:val="-4"/>
          <w:sz w:val="28"/>
        </w:rPr>
        <w:t>1:</w:t>
      </w:r>
      <w:r>
        <w:rPr>
          <w:rFonts w:ascii="Trebuchet MS"/>
          <w:b/>
          <w:color w:val="2C3A5B"/>
          <w:spacing w:val="-27"/>
          <w:sz w:val="28"/>
        </w:rPr>
        <w:t xml:space="preserve"> </w:t>
      </w:r>
      <w:r>
        <w:rPr>
          <w:rFonts w:ascii="Trebuchet MS"/>
          <w:b/>
          <w:color w:val="2C3A5B"/>
          <w:spacing w:val="-4"/>
          <w:sz w:val="28"/>
        </w:rPr>
        <w:t>Stronger</w:t>
      </w:r>
      <w:r>
        <w:rPr>
          <w:rFonts w:ascii="Trebuchet MS"/>
          <w:b/>
          <w:color w:val="2C3A5B"/>
          <w:spacing w:val="-29"/>
          <w:sz w:val="28"/>
        </w:rPr>
        <w:t xml:space="preserve"> </w:t>
      </w:r>
      <w:r>
        <w:rPr>
          <w:rFonts w:ascii="Trebuchet MS"/>
          <w:b/>
          <w:color w:val="2C3A5B"/>
          <w:spacing w:val="-4"/>
          <w:sz w:val="28"/>
        </w:rPr>
        <w:t>Enabling</w:t>
      </w:r>
      <w:r>
        <w:rPr>
          <w:rFonts w:ascii="Trebuchet MS"/>
          <w:b/>
          <w:color w:val="2C3A5B"/>
          <w:spacing w:val="-26"/>
          <w:sz w:val="28"/>
        </w:rPr>
        <w:t xml:space="preserve"> </w:t>
      </w:r>
      <w:r>
        <w:rPr>
          <w:rFonts w:ascii="Trebuchet MS"/>
          <w:b/>
          <w:color w:val="2C3A5B"/>
          <w:spacing w:val="-4"/>
          <w:sz w:val="28"/>
        </w:rPr>
        <w:t>Environment</w:t>
      </w:r>
      <w:r>
        <w:rPr>
          <w:rFonts w:ascii="Trebuchet MS"/>
          <w:b/>
          <w:color w:val="2C3A5B"/>
          <w:spacing w:val="-25"/>
          <w:sz w:val="28"/>
        </w:rPr>
        <w:t xml:space="preserve"> </w:t>
      </w:r>
      <w:r>
        <w:rPr>
          <w:rFonts w:ascii="Trebuchet MS"/>
          <w:b/>
          <w:color w:val="2C3A5B"/>
          <w:spacing w:val="-4"/>
          <w:sz w:val="28"/>
        </w:rPr>
        <w:t xml:space="preserve">for </w:t>
      </w:r>
      <w:r>
        <w:rPr>
          <w:rFonts w:ascii="Trebuchet MS"/>
          <w:b/>
          <w:color w:val="2C3A5B"/>
          <w:sz w:val="28"/>
        </w:rPr>
        <w:t>Subnational Service Delivery</w:t>
      </w:r>
    </w:p>
    <w:p w14:paraId="6F02D7AA" w14:textId="77777777" w:rsidR="00BC24A8" w:rsidRDefault="00000000">
      <w:pPr>
        <w:pStyle w:val="BodyText"/>
        <w:spacing w:before="22"/>
        <w:rPr>
          <w:rFonts w:ascii="Trebuchet MS"/>
          <w:b/>
          <w:sz w:val="20"/>
        </w:rPr>
      </w:pPr>
      <w:r>
        <w:rPr>
          <w:rFonts w:ascii="Trebuchet MS"/>
          <w:b/>
          <w:noProof/>
          <w:sz w:val="20"/>
        </w:rPr>
        <w:drawing>
          <wp:anchor distT="0" distB="0" distL="0" distR="0" simplePos="0" relativeHeight="487588352" behindDoc="1" locked="0" layoutInCell="1" allowOverlap="1" wp14:anchorId="4EC61BC7" wp14:editId="491FF779">
            <wp:simplePos x="0" y="0"/>
            <wp:positionH relativeFrom="page">
              <wp:posOffset>1049613</wp:posOffset>
            </wp:positionH>
            <wp:positionV relativeFrom="paragraph">
              <wp:posOffset>177274</wp:posOffset>
            </wp:positionV>
            <wp:extent cx="5385214" cy="7012590"/>
            <wp:effectExtent l="0" t="0" r="0" b="0"/>
            <wp:wrapTopAndBottom/>
            <wp:docPr id="18" name="Image 18" descr="This infographic reports on progress tracking three Intermediate Outcomes (IO 1, IO 2, and IO 3), which are divided into several sub-indicators. Each indicator displays its progress status, as well as a comparison of achievements between this semester and last semes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This infographic reports on progress tracking three Intermediate Outcomes (IO 1, IO 2, and IO 3), which are divided into several sub-indicators. Each indicator displays its progress status, as well as a comparison of achievements between this semester and last semester."/>
                    <pic:cNvPicPr/>
                  </pic:nvPicPr>
                  <pic:blipFill>
                    <a:blip r:embed="rId10" cstate="print"/>
                    <a:stretch>
                      <a:fillRect/>
                    </a:stretch>
                  </pic:blipFill>
                  <pic:spPr>
                    <a:xfrm>
                      <a:off x="0" y="0"/>
                      <a:ext cx="5385214" cy="7012590"/>
                    </a:xfrm>
                    <a:prstGeom prst="rect">
                      <a:avLst/>
                    </a:prstGeom>
                  </pic:spPr>
                </pic:pic>
              </a:graphicData>
            </a:graphic>
          </wp:anchor>
        </w:drawing>
      </w:r>
    </w:p>
    <w:p w14:paraId="5B187EEE" w14:textId="77777777" w:rsidR="00BC24A8" w:rsidRDefault="00BC24A8">
      <w:pPr>
        <w:pStyle w:val="BodyText"/>
        <w:rPr>
          <w:rFonts w:ascii="Trebuchet MS"/>
          <w:b/>
          <w:sz w:val="20"/>
        </w:rPr>
        <w:sectPr w:rsidR="00BC24A8">
          <w:pgSz w:w="11910" w:h="16840"/>
          <w:pgMar w:top="1320" w:right="1133" w:bottom="1100" w:left="1275" w:header="0" w:footer="907" w:gutter="0"/>
          <w:cols w:space="720"/>
        </w:sectPr>
      </w:pPr>
    </w:p>
    <w:p w14:paraId="55CA5922" w14:textId="77777777" w:rsidR="00BC24A8" w:rsidRDefault="00000000">
      <w:pPr>
        <w:pStyle w:val="ListParagraph"/>
        <w:numPr>
          <w:ilvl w:val="0"/>
          <w:numId w:val="172"/>
        </w:numPr>
        <w:tabs>
          <w:tab w:val="left" w:pos="863"/>
        </w:tabs>
        <w:spacing w:before="79" w:line="278" w:lineRule="auto"/>
        <w:ind w:right="280"/>
        <w:rPr>
          <w:rFonts w:ascii="Symbol" w:hAnsi="Symbol"/>
        </w:rPr>
      </w:pPr>
      <w:r>
        <w:lastRenderedPageBreak/>
        <w:t>Improved national assessment of subnational service delivery: SKALA’s technical recommendations</w:t>
      </w:r>
      <w:r>
        <w:rPr>
          <w:spacing w:val="-7"/>
        </w:rPr>
        <w:t xml:space="preserve"> </w:t>
      </w:r>
      <w:r>
        <w:t>have</w:t>
      </w:r>
      <w:r>
        <w:rPr>
          <w:spacing w:val="-9"/>
        </w:rPr>
        <w:t xml:space="preserve"> </w:t>
      </w:r>
      <w:r>
        <w:t>helped</w:t>
      </w:r>
      <w:r>
        <w:rPr>
          <w:spacing w:val="-5"/>
        </w:rPr>
        <w:t xml:space="preserve"> </w:t>
      </w:r>
      <w:r>
        <w:t>the</w:t>
      </w:r>
      <w:r>
        <w:rPr>
          <w:spacing w:val="-9"/>
        </w:rPr>
        <w:t xml:space="preserve"> </w:t>
      </w:r>
      <w:r>
        <w:t>Ministry</w:t>
      </w:r>
      <w:r>
        <w:rPr>
          <w:spacing w:val="-5"/>
        </w:rPr>
        <w:t xml:space="preserve"> </w:t>
      </w:r>
      <w:r>
        <w:t>of</w:t>
      </w:r>
      <w:r>
        <w:rPr>
          <w:spacing w:val="-9"/>
        </w:rPr>
        <w:t xml:space="preserve"> </w:t>
      </w:r>
      <w:r>
        <w:t>Home</w:t>
      </w:r>
      <w:r>
        <w:rPr>
          <w:spacing w:val="-9"/>
        </w:rPr>
        <w:t xml:space="preserve"> </w:t>
      </w:r>
      <w:r>
        <w:t>Affairs</w:t>
      </w:r>
      <w:r>
        <w:rPr>
          <w:spacing w:val="-5"/>
        </w:rPr>
        <w:t xml:space="preserve"> </w:t>
      </w:r>
      <w:r>
        <w:t>(MoHA)</w:t>
      </w:r>
      <w:r>
        <w:rPr>
          <w:spacing w:val="-9"/>
        </w:rPr>
        <w:t xml:space="preserve"> </w:t>
      </w:r>
      <w:r>
        <w:t>enhance</w:t>
      </w:r>
      <w:r>
        <w:rPr>
          <w:spacing w:val="-9"/>
        </w:rPr>
        <w:t xml:space="preserve"> </w:t>
      </w:r>
      <w:r>
        <w:t>the</w:t>
      </w:r>
      <w:r>
        <w:rPr>
          <w:spacing w:val="-9"/>
        </w:rPr>
        <w:t xml:space="preserve"> </w:t>
      </w:r>
      <w:r>
        <w:t>evaluation</w:t>
      </w:r>
      <w:r>
        <w:rPr>
          <w:spacing w:val="-8"/>
        </w:rPr>
        <w:t xml:space="preserve"> </w:t>
      </w:r>
      <w:r>
        <w:t>of Minimum Service Standards (MSS) by incorporating factors such as regional fiscal capacity, geographic</w:t>
      </w:r>
      <w:r>
        <w:rPr>
          <w:spacing w:val="-5"/>
        </w:rPr>
        <w:t xml:space="preserve"> </w:t>
      </w:r>
      <w:r>
        <w:t>barriers,</w:t>
      </w:r>
      <w:r>
        <w:rPr>
          <w:spacing w:val="-4"/>
        </w:rPr>
        <w:t xml:space="preserve"> </w:t>
      </w:r>
      <w:r>
        <w:t>and</w:t>
      </w:r>
      <w:r>
        <w:rPr>
          <w:spacing w:val="-6"/>
        </w:rPr>
        <w:t xml:space="preserve"> </w:t>
      </w:r>
      <w:r>
        <w:t>service</w:t>
      </w:r>
      <w:r>
        <w:rPr>
          <w:spacing w:val="-6"/>
        </w:rPr>
        <w:t xml:space="preserve"> </w:t>
      </w:r>
      <w:r>
        <w:t>delivery</w:t>
      </w:r>
      <w:r>
        <w:rPr>
          <w:spacing w:val="-6"/>
        </w:rPr>
        <w:t xml:space="preserve"> </w:t>
      </w:r>
      <w:r>
        <w:t>needs.</w:t>
      </w:r>
      <w:r>
        <w:rPr>
          <w:spacing w:val="-6"/>
        </w:rPr>
        <w:t xml:space="preserve"> </w:t>
      </w:r>
      <w:r>
        <w:t>This</w:t>
      </w:r>
      <w:r>
        <w:rPr>
          <w:spacing w:val="-6"/>
        </w:rPr>
        <w:t xml:space="preserve"> </w:t>
      </w:r>
      <w:r>
        <w:t>more</w:t>
      </w:r>
      <w:r>
        <w:rPr>
          <w:spacing w:val="-6"/>
        </w:rPr>
        <w:t xml:space="preserve"> </w:t>
      </w:r>
      <w:r>
        <w:t>context-sensitive</w:t>
      </w:r>
      <w:r>
        <w:rPr>
          <w:spacing w:val="-6"/>
        </w:rPr>
        <w:t xml:space="preserve"> </w:t>
      </w:r>
      <w:r>
        <w:t>framework</w:t>
      </w:r>
      <w:r>
        <w:rPr>
          <w:spacing w:val="-6"/>
        </w:rPr>
        <w:t xml:space="preserve"> </w:t>
      </w:r>
      <w:r>
        <w:t>has</w:t>
      </w:r>
      <w:r>
        <w:rPr>
          <w:spacing w:val="-4"/>
        </w:rPr>
        <w:t xml:space="preserve"> </w:t>
      </w:r>
      <w:r>
        <w:t>led to</w:t>
      </w:r>
      <w:r>
        <w:rPr>
          <w:spacing w:val="-13"/>
        </w:rPr>
        <w:t xml:space="preserve"> </w:t>
      </w:r>
      <w:r>
        <w:t>the</w:t>
      </w:r>
      <w:r>
        <w:rPr>
          <w:spacing w:val="-12"/>
        </w:rPr>
        <w:t xml:space="preserve"> </w:t>
      </w:r>
      <w:r>
        <w:t>recognition</w:t>
      </w:r>
      <w:r>
        <w:rPr>
          <w:spacing w:val="-13"/>
        </w:rPr>
        <w:t xml:space="preserve"> </w:t>
      </w:r>
      <w:r>
        <w:t>of</w:t>
      </w:r>
      <w:r>
        <w:rPr>
          <w:spacing w:val="-12"/>
        </w:rPr>
        <w:t xml:space="preserve"> </w:t>
      </w:r>
      <w:r>
        <w:t>Nusa</w:t>
      </w:r>
      <w:r>
        <w:rPr>
          <w:spacing w:val="-13"/>
        </w:rPr>
        <w:t xml:space="preserve"> </w:t>
      </w:r>
      <w:r>
        <w:t>Tenggara</w:t>
      </w:r>
      <w:r>
        <w:rPr>
          <w:spacing w:val="-12"/>
        </w:rPr>
        <w:t xml:space="preserve"> </w:t>
      </w:r>
      <w:r>
        <w:t>Barat,</w:t>
      </w:r>
      <w:r>
        <w:rPr>
          <w:spacing w:val="-13"/>
        </w:rPr>
        <w:t xml:space="preserve"> </w:t>
      </w:r>
      <w:r>
        <w:t>North</w:t>
      </w:r>
      <w:r>
        <w:rPr>
          <w:spacing w:val="-12"/>
        </w:rPr>
        <w:t xml:space="preserve"> </w:t>
      </w:r>
      <w:r>
        <w:t>Kalimantan,</w:t>
      </w:r>
      <w:r>
        <w:rPr>
          <w:spacing w:val="-12"/>
        </w:rPr>
        <w:t xml:space="preserve"> </w:t>
      </w:r>
      <w:r>
        <w:t>and</w:t>
      </w:r>
      <w:r>
        <w:rPr>
          <w:spacing w:val="-13"/>
        </w:rPr>
        <w:t xml:space="preserve"> </w:t>
      </w:r>
      <w:r>
        <w:t>Maluku</w:t>
      </w:r>
      <w:r>
        <w:rPr>
          <w:spacing w:val="-12"/>
        </w:rPr>
        <w:t xml:space="preserve"> </w:t>
      </w:r>
      <w:r>
        <w:t>as</w:t>
      </w:r>
      <w:r>
        <w:rPr>
          <w:spacing w:val="-13"/>
        </w:rPr>
        <w:t xml:space="preserve"> </w:t>
      </w:r>
      <w:r>
        <w:t>high-performing</w:t>
      </w:r>
      <w:r>
        <w:rPr>
          <w:spacing w:val="-12"/>
        </w:rPr>
        <w:t xml:space="preserve"> </w:t>
      </w:r>
      <w:r>
        <w:t xml:space="preserve">or </w:t>
      </w:r>
      <w:r>
        <w:rPr>
          <w:spacing w:val="-2"/>
        </w:rPr>
        <w:t>innovative provinces in MSS implementation. The improved methodology also</w:t>
      </w:r>
      <w:r>
        <w:rPr>
          <w:spacing w:val="-3"/>
        </w:rPr>
        <w:t xml:space="preserve"> </w:t>
      </w:r>
      <w:r>
        <w:rPr>
          <w:spacing w:val="-2"/>
        </w:rPr>
        <w:t xml:space="preserve">supports ongoing </w:t>
      </w:r>
      <w:r>
        <w:t>collaboration</w:t>
      </w:r>
      <w:r>
        <w:rPr>
          <w:spacing w:val="-1"/>
        </w:rPr>
        <w:t xml:space="preserve"> </w:t>
      </w:r>
      <w:r>
        <w:t>between</w:t>
      </w:r>
      <w:r>
        <w:rPr>
          <w:spacing w:val="-1"/>
        </w:rPr>
        <w:t xml:space="preserve"> </w:t>
      </w:r>
      <w:r>
        <w:t>MoHA</w:t>
      </w:r>
      <w:r>
        <w:rPr>
          <w:spacing w:val="-1"/>
        </w:rPr>
        <w:t xml:space="preserve"> </w:t>
      </w:r>
      <w:r>
        <w:t>and</w:t>
      </w:r>
      <w:r>
        <w:rPr>
          <w:spacing w:val="-1"/>
        </w:rPr>
        <w:t xml:space="preserve"> </w:t>
      </w:r>
      <w:r>
        <w:t>the</w:t>
      </w:r>
      <w:r>
        <w:rPr>
          <w:spacing w:val="-2"/>
        </w:rPr>
        <w:t xml:space="preserve"> </w:t>
      </w:r>
      <w:r>
        <w:t>Ministry of</w:t>
      </w:r>
      <w:r>
        <w:rPr>
          <w:spacing w:val="-2"/>
        </w:rPr>
        <w:t xml:space="preserve"> </w:t>
      </w:r>
      <w:r>
        <w:t>Finance</w:t>
      </w:r>
      <w:r>
        <w:rPr>
          <w:spacing w:val="-2"/>
        </w:rPr>
        <w:t xml:space="preserve"> </w:t>
      </w:r>
      <w:r>
        <w:t>(MoF)</w:t>
      </w:r>
      <w:r>
        <w:rPr>
          <w:spacing w:val="-2"/>
        </w:rPr>
        <w:t xml:space="preserve"> </w:t>
      </w:r>
      <w:r>
        <w:t>to</w:t>
      </w:r>
      <w:r>
        <w:rPr>
          <w:spacing w:val="-1"/>
        </w:rPr>
        <w:t xml:space="preserve"> </w:t>
      </w:r>
      <w:r>
        <w:t>link MSS</w:t>
      </w:r>
      <w:r>
        <w:rPr>
          <w:spacing w:val="-1"/>
        </w:rPr>
        <w:t xml:space="preserve"> </w:t>
      </w:r>
      <w:r>
        <w:t>performance</w:t>
      </w:r>
      <w:r>
        <w:rPr>
          <w:spacing w:val="-2"/>
        </w:rPr>
        <w:t xml:space="preserve"> </w:t>
      </w:r>
      <w:r>
        <w:t>with fiscal transfers, balancing general allocations and specific grants.</w:t>
      </w:r>
    </w:p>
    <w:p w14:paraId="4ECA640A" w14:textId="77777777" w:rsidR="00BC24A8" w:rsidRDefault="00000000">
      <w:pPr>
        <w:pStyle w:val="ListParagraph"/>
        <w:numPr>
          <w:ilvl w:val="0"/>
          <w:numId w:val="172"/>
        </w:numPr>
        <w:tabs>
          <w:tab w:val="left" w:pos="861"/>
          <w:tab w:val="left" w:pos="863"/>
        </w:tabs>
        <w:spacing w:line="278" w:lineRule="auto"/>
        <w:ind w:right="279" w:hanging="361"/>
        <w:rPr>
          <w:rFonts w:ascii="Symbol" w:hAnsi="Symbol"/>
        </w:rPr>
      </w:pPr>
      <w:r>
        <w:t>Stronger national guidance on local revenue generation: In response to subnational concerns on local taxation, the Ministry of Finance (MoF) issued Regulation PMK 7/2025 on regional tax audit and collection. SKALA contributed key inputs to the regulation, including recommendations to strengthen subnational tax personnel capacity, improve inspection and verification</w:t>
      </w:r>
      <w:r>
        <w:rPr>
          <w:spacing w:val="-13"/>
        </w:rPr>
        <w:t xml:space="preserve"> </w:t>
      </w:r>
      <w:r>
        <w:t>mechanisms,</w:t>
      </w:r>
      <w:r>
        <w:rPr>
          <w:spacing w:val="-12"/>
        </w:rPr>
        <w:t xml:space="preserve"> </w:t>
      </w:r>
      <w:r>
        <w:t>and</w:t>
      </w:r>
      <w:r>
        <w:rPr>
          <w:spacing w:val="-13"/>
        </w:rPr>
        <w:t xml:space="preserve"> </w:t>
      </w:r>
      <w:r>
        <w:t>technical</w:t>
      </w:r>
      <w:r>
        <w:rPr>
          <w:spacing w:val="-12"/>
        </w:rPr>
        <w:t xml:space="preserve"> </w:t>
      </w:r>
      <w:r>
        <w:t>reviews</w:t>
      </w:r>
      <w:r>
        <w:rPr>
          <w:spacing w:val="-13"/>
        </w:rPr>
        <w:t xml:space="preserve"> </w:t>
      </w:r>
      <w:r>
        <w:t>of</w:t>
      </w:r>
      <w:r>
        <w:rPr>
          <w:spacing w:val="-12"/>
        </w:rPr>
        <w:t xml:space="preserve"> </w:t>
      </w:r>
      <w:r>
        <w:t>the</w:t>
      </w:r>
      <w:r>
        <w:rPr>
          <w:spacing w:val="-13"/>
        </w:rPr>
        <w:t xml:space="preserve"> </w:t>
      </w:r>
      <w:r>
        <w:t>draft.</w:t>
      </w:r>
      <w:r>
        <w:rPr>
          <w:spacing w:val="-12"/>
        </w:rPr>
        <w:t xml:space="preserve"> </w:t>
      </w:r>
      <w:r>
        <w:t>Moving</w:t>
      </w:r>
      <w:r>
        <w:rPr>
          <w:spacing w:val="-12"/>
        </w:rPr>
        <w:t xml:space="preserve"> </w:t>
      </w:r>
      <w:r>
        <w:t>forward,</w:t>
      </w:r>
      <w:r>
        <w:rPr>
          <w:spacing w:val="-13"/>
        </w:rPr>
        <w:t xml:space="preserve"> </w:t>
      </w:r>
      <w:r>
        <w:t>SKALA</w:t>
      </w:r>
      <w:r>
        <w:rPr>
          <w:spacing w:val="-12"/>
        </w:rPr>
        <w:t xml:space="preserve"> </w:t>
      </w:r>
      <w:r>
        <w:t>will</w:t>
      </w:r>
      <w:r>
        <w:rPr>
          <w:spacing w:val="-13"/>
        </w:rPr>
        <w:t xml:space="preserve"> </w:t>
      </w:r>
      <w:r>
        <w:t>support MoF</w:t>
      </w:r>
      <w:r>
        <w:rPr>
          <w:spacing w:val="-13"/>
        </w:rPr>
        <w:t xml:space="preserve"> </w:t>
      </w:r>
      <w:r>
        <w:t>in</w:t>
      </w:r>
      <w:r>
        <w:rPr>
          <w:spacing w:val="-12"/>
        </w:rPr>
        <w:t xml:space="preserve"> </w:t>
      </w:r>
      <w:r>
        <w:t>designing</w:t>
      </w:r>
      <w:r>
        <w:rPr>
          <w:spacing w:val="-13"/>
        </w:rPr>
        <w:t xml:space="preserve"> </w:t>
      </w:r>
      <w:r>
        <w:t>targeted</w:t>
      </w:r>
      <w:r>
        <w:rPr>
          <w:spacing w:val="-12"/>
        </w:rPr>
        <w:t xml:space="preserve"> </w:t>
      </w:r>
      <w:r>
        <w:t>capacity-building</w:t>
      </w:r>
      <w:r>
        <w:rPr>
          <w:spacing w:val="-13"/>
        </w:rPr>
        <w:t xml:space="preserve"> </w:t>
      </w:r>
      <w:r>
        <w:t>initiatives</w:t>
      </w:r>
      <w:r>
        <w:rPr>
          <w:spacing w:val="-12"/>
        </w:rPr>
        <w:t xml:space="preserve"> </w:t>
      </w:r>
      <w:r>
        <w:t>to</w:t>
      </w:r>
      <w:r>
        <w:rPr>
          <w:spacing w:val="-13"/>
        </w:rPr>
        <w:t xml:space="preserve"> </w:t>
      </w:r>
      <w:r>
        <w:t>help</w:t>
      </w:r>
      <w:r>
        <w:rPr>
          <w:spacing w:val="-12"/>
        </w:rPr>
        <w:t xml:space="preserve"> </w:t>
      </w:r>
      <w:r>
        <w:t>local</w:t>
      </w:r>
      <w:r>
        <w:rPr>
          <w:spacing w:val="-12"/>
        </w:rPr>
        <w:t xml:space="preserve"> </w:t>
      </w:r>
      <w:r>
        <w:t>governments</w:t>
      </w:r>
      <w:r>
        <w:rPr>
          <w:spacing w:val="-13"/>
        </w:rPr>
        <w:t xml:space="preserve"> </w:t>
      </w:r>
      <w:r>
        <w:t>implement</w:t>
      </w:r>
      <w:r>
        <w:rPr>
          <w:spacing w:val="-12"/>
        </w:rPr>
        <w:t xml:space="preserve"> </w:t>
      </w:r>
      <w:r>
        <w:t>the new regulation effectively.</w:t>
      </w:r>
    </w:p>
    <w:p w14:paraId="456CA2AF" w14:textId="77777777" w:rsidR="00BC24A8" w:rsidRDefault="00000000">
      <w:pPr>
        <w:pStyle w:val="ListParagraph"/>
        <w:numPr>
          <w:ilvl w:val="0"/>
          <w:numId w:val="172"/>
        </w:numPr>
        <w:tabs>
          <w:tab w:val="left" w:pos="863"/>
        </w:tabs>
        <w:spacing w:line="278" w:lineRule="auto"/>
        <w:ind w:right="280"/>
        <w:rPr>
          <w:rFonts w:ascii="Symbol" w:hAnsi="Symbol"/>
        </w:rPr>
      </w:pPr>
      <w:r>
        <w:t>Improved application of data to planning: SKALA’s multi-year support for BAPPENAS’ SEPAKAT analytical platform is delivering results, with a national-subnational trainer network now established and online learning modules supporting planning across government levels. These trainers have helped apply SEPAKAT analysis to national five-year thematic action plans— covering</w:t>
      </w:r>
      <w:r>
        <w:rPr>
          <w:spacing w:val="-10"/>
        </w:rPr>
        <w:t xml:space="preserve"> </w:t>
      </w:r>
      <w:r>
        <w:t>disability,</w:t>
      </w:r>
      <w:r>
        <w:rPr>
          <w:spacing w:val="-7"/>
        </w:rPr>
        <w:t xml:space="preserve"> </w:t>
      </w:r>
      <w:r>
        <w:t>gender,</w:t>
      </w:r>
      <w:r>
        <w:rPr>
          <w:spacing w:val="-10"/>
        </w:rPr>
        <w:t xml:space="preserve"> </w:t>
      </w:r>
      <w:r>
        <w:t>One</w:t>
      </w:r>
      <w:r>
        <w:rPr>
          <w:spacing w:val="-9"/>
        </w:rPr>
        <w:t xml:space="preserve"> </w:t>
      </w:r>
      <w:r>
        <w:t>Data,</w:t>
      </w:r>
      <w:r>
        <w:rPr>
          <w:spacing w:val="-9"/>
        </w:rPr>
        <w:t xml:space="preserve"> </w:t>
      </w:r>
      <w:r>
        <w:t>and</w:t>
      </w:r>
      <w:r>
        <w:rPr>
          <w:spacing w:val="-7"/>
        </w:rPr>
        <w:t xml:space="preserve"> </w:t>
      </w:r>
      <w:r>
        <w:t>elderly</w:t>
      </w:r>
      <w:r>
        <w:rPr>
          <w:spacing w:val="-9"/>
        </w:rPr>
        <w:t xml:space="preserve"> </w:t>
      </w:r>
      <w:r>
        <w:t>issues—and</w:t>
      </w:r>
      <w:r>
        <w:rPr>
          <w:spacing w:val="-10"/>
        </w:rPr>
        <w:t xml:space="preserve"> </w:t>
      </w:r>
      <w:r>
        <w:t>contributed</w:t>
      </w:r>
      <w:r>
        <w:rPr>
          <w:spacing w:val="-7"/>
        </w:rPr>
        <w:t xml:space="preserve"> </w:t>
      </w:r>
      <w:r>
        <w:t>to</w:t>
      </w:r>
      <w:r>
        <w:rPr>
          <w:spacing w:val="-10"/>
        </w:rPr>
        <w:t xml:space="preserve"> </w:t>
      </w:r>
      <w:r>
        <w:t>the</w:t>
      </w:r>
      <w:r>
        <w:rPr>
          <w:spacing w:val="-9"/>
        </w:rPr>
        <w:t xml:space="preserve"> </w:t>
      </w:r>
      <w:r>
        <w:t>roadmap</w:t>
      </w:r>
      <w:r>
        <w:rPr>
          <w:spacing w:val="-10"/>
        </w:rPr>
        <w:t xml:space="preserve"> </w:t>
      </w:r>
      <w:r>
        <w:t>for</w:t>
      </w:r>
      <w:r>
        <w:rPr>
          <w:spacing w:val="-10"/>
        </w:rPr>
        <w:t xml:space="preserve"> </w:t>
      </w:r>
      <w:r>
        <w:t>a prosperous Indonesia. During this reporting period, SKALA also supported the development of new</w:t>
      </w:r>
      <w:r>
        <w:rPr>
          <w:spacing w:val="-10"/>
        </w:rPr>
        <w:t xml:space="preserve"> </w:t>
      </w:r>
      <w:r>
        <w:t>SEPAKAT</w:t>
      </w:r>
      <w:r>
        <w:rPr>
          <w:spacing w:val="-10"/>
        </w:rPr>
        <w:t xml:space="preserve"> </w:t>
      </w:r>
      <w:r>
        <w:t>features,</w:t>
      </w:r>
      <w:r>
        <w:rPr>
          <w:spacing w:val="-8"/>
        </w:rPr>
        <w:t xml:space="preserve"> </w:t>
      </w:r>
      <w:r>
        <w:t>planning</w:t>
      </w:r>
      <w:r>
        <w:rPr>
          <w:spacing w:val="-7"/>
        </w:rPr>
        <w:t xml:space="preserve"> </w:t>
      </w:r>
      <w:r>
        <w:t>guidance,</w:t>
      </w:r>
      <w:r>
        <w:rPr>
          <w:spacing w:val="-8"/>
        </w:rPr>
        <w:t xml:space="preserve"> </w:t>
      </w:r>
      <w:r>
        <w:t>and</w:t>
      </w:r>
      <w:r>
        <w:rPr>
          <w:spacing w:val="-8"/>
        </w:rPr>
        <w:t xml:space="preserve"> </w:t>
      </w:r>
      <w:r>
        <w:t>continued</w:t>
      </w:r>
      <w:r>
        <w:rPr>
          <w:spacing w:val="-6"/>
        </w:rPr>
        <w:t xml:space="preserve"> </w:t>
      </w:r>
      <w:r>
        <w:t>direct</w:t>
      </w:r>
      <w:r>
        <w:rPr>
          <w:spacing w:val="-7"/>
        </w:rPr>
        <w:t xml:space="preserve"> </w:t>
      </w:r>
      <w:r>
        <w:t>technical</w:t>
      </w:r>
      <w:r>
        <w:rPr>
          <w:spacing w:val="-7"/>
        </w:rPr>
        <w:t xml:space="preserve"> </w:t>
      </w:r>
      <w:r>
        <w:t>assistance</w:t>
      </w:r>
      <w:r>
        <w:rPr>
          <w:spacing w:val="-8"/>
        </w:rPr>
        <w:t xml:space="preserve"> </w:t>
      </w:r>
      <w:r>
        <w:t>to</w:t>
      </w:r>
      <w:r>
        <w:rPr>
          <w:spacing w:val="-6"/>
        </w:rPr>
        <w:t xml:space="preserve"> </w:t>
      </w:r>
      <w:r>
        <w:t xml:space="preserve">partner </w:t>
      </w:r>
      <w:r>
        <w:rPr>
          <w:spacing w:val="-2"/>
        </w:rPr>
        <w:t>provinces.</w:t>
      </w:r>
    </w:p>
    <w:p w14:paraId="73A9DF40" w14:textId="77777777" w:rsidR="00BC24A8" w:rsidRDefault="00BC24A8">
      <w:pPr>
        <w:pStyle w:val="ListParagraph"/>
        <w:spacing w:line="278" w:lineRule="auto"/>
        <w:rPr>
          <w:rFonts w:ascii="Symbol" w:hAnsi="Symbol"/>
        </w:rPr>
        <w:sectPr w:rsidR="00BC24A8">
          <w:pgSz w:w="11910" w:h="16840"/>
          <w:pgMar w:top="1320" w:right="1133" w:bottom="1100" w:left="1275" w:header="0" w:footer="907" w:gutter="0"/>
          <w:cols w:space="720"/>
        </w:sectPr>
      </w:pPr>
    </w:p>
    <w:p w14:paraId="56E6859F" w14:textId="77777777" w:rsidR="00BC24A8" w:rsidRDefault="00000000">
      <w:pPr>
        <w:pStyle w:val="Heading4"/>
        <w:spacing w:before="81"/>
      </w:pPr>
      <w:bookmarkStart w:id="19" w:name="_bookmark10"/>
      <w:bookmarkEnd w:id="19"/>
      <w:r>
        <w:rPr>
          <w:color w:val="17365A"/>
          <w:spacing w:val="-4"/>
        </w:rPr>
        <w:lastRenderedPageBreak/>
        <w:t>End</w:t>
      </w:r>
      <w:r>
        <w:rPr>
          <w:color w:val="17365A"/>
          <w:spacing w:val="-25"/>
        </w:rPr>
        <w:t xml:space="preserve"> </w:t>
      </w:r>
      <w:r>
        <w:rPr>
          <w:color w:val="17365A"/>
          <w:spacing w:val="-4"/>
        </w:rPr>
        <w:t>of</w:t>
      </w:r>
      <w:r>
        <w:rPr>
          <w:color w:val="17365A"/>
          <w:spacing w:val="-24"/>
        </w:rPr>
        <w:t xml:space="preserve"> </w:t>
      </w:r>
      <w:r>
        <w:rPr>
          <w:color w:val="17365A"/>
          <w:spacing w:val="-4"/>
        </w:rPr>
        <w:t>Program</w:t>
      </w:r>
      <w:r>
        <w:rPr>
          <w:color w:val="17365A"/>
          <w:spacing w:val="-26"/>
        </w:rPr>
        <w:t xml:space="preserve"> </w:t>
      </w:r>
      <w:r>
        <w:rPr>
          <w:color w:val="17365A"/>
          <w:spacing w:val="-4"/>
        </w:rPr>
        <w:t>Outcome</w:t>
      </w:r>
      <w:r>
        <w:rPr>
          <w:color w:val="17365A"/>
          <w:spacing w:val="-22"/>
        </w:rPr>
        <w:t xml:space="preserve"> </w:t>
      </w:r>
      <w:r>
        <w:rPr>
          <w:color w:val="17365A"/>
          <w:spacing w:val="-4"/>
        </w:rPr>
        <w:t>2:</w:t>
      </w:r>
      <w:r>
        <w:rPr>
          <w:color w:val="17365A"/>
          <w:spacing w:val="-24"/>
        </w:rPr>
        <w:t xml:space="preserve"> </w:t>
      </w:r>
      <w:r>
        <w:rPr>
          <w:color w:val="17365A"/>
          <w:spacing w:val="-4"/>
        </w:rPr>
        <w:t>Better</w:t>
      </w:r>
      <w:r>
        <w:rPr>
          <w:color w:val="17365A"/>
          <w:spacing w:val="-24"/>
        </w:rPr>
        <w:t xml:space="preserve"> </w:t>
      </w:r>
      <w:r>
        <w:rPr>
          <w:color w:val="17365A"/>
          <w:spacing w:val="-4"/>
        </w:rPr>
        <w:t>Subnational</w:t>
      </w:r>
      <w:r>
        <w:rPr>
          <w:color w:val="17365A"/>
          <w:spacing w:val="-21"/>
        </w:rPr>
        <w:t xml:space="preserve"> </w:t>
      </w:r>
      <w:r>
        <w:rPr>
          <w:color w:val="17365A"/>
          <w:spacing w:val="-4"/>
        </w:rPr>
        <w:t>Service</w:t>
      </w:r>
      <w:r>
        <w:rPr>
          <w:color w:val="17365A"/>
          <w:spacing w:val="-23"/>
        </w:rPr>
        <w:t xml:space="preserve"> </w:t>
      </w:r>
      <w:r>
        <w:rPr>
          <w:color w:val="17365A"/>
          <w:spacing w:val="-4"/>
        </w:rPr>
        <w:t>Delivery</w:t>
      </w:r>
    </w:p>
    <w:p w14:paraId="64A109D7" w14:textId="77777777" w:rsidR="00BC24A8" w:rsidRDefault="00000000">
      <w:pPr>
        <w:pStyle w:val="BodyText"/>
        <w:spacing w:before="74"/>
        <w:rPr>
          <w:rFonts w:ascii="Trebuchet MS"/>
          <w:b/>
          <w:sz w:val="20"/>
        </w:rPr>
      </w:pPr>
      <w:r>
        <w:rPr>
          <w:rFonts w:ascii="Trebuchet MS"/>
          <w:b/>
          <w:noProof/>
          <w:sz w:val="20"/>
        </w:rPr>
        <w:drawing>
          <wp:anchor distT="0" distB="0" distL="0" distR="0" simplePos="0" relativeHeight="487588864" behindDoc="1" locked="0" layoutInCell="1" allowOverlap="1" wp14:anchorId="102172B1" wp14:editId="3C8961CE">
            <wp:simplePos x="0" y="0"/>
            <wp:positionH relativeFrom="page">
              <wp:posOffset>924271</wp:posOffset>
            </wp:positionH>
            <wp:positionV relativeFrom="paragraph">
              <wp:posOffset>209785</wp:posOffset>
            </wp:positionV>
            <wp:extent cx="5853462" cy="8134350"/>
            <wp:effectExtent l="0" t="0" r="0" b="0"/>
            <wp:wrapTopAndBottom/>
            <wp:docPr id="19" name="Image 19" descr="This infographic is a progress report tracking Intermediate Outcomes (IO 4, IO 5, and IO 6, plus IO 4.7), which are broken down into various sub-indicators. Each indicator card displays its progress status, along with specific achievements for &quot;This Semester&quot; and &quot;Last Semester.&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This infographic is a progress report tracking Intermediate Outcomes (IO 4, IO 5, and IO 6, plus IO 4.7), which are broken down into various sub-indicators. Each indicator card displays its progress status, along with specific achievements for &quot;This Semester&quot; and &quot;Last Semester.&quot;"/>
                    <pic:cNvPicPr/>
                  </pic:nvPicPr>
                  <pic:blipFill>
                    <a:blip r:embed="rId11" cstate="print"/>
                    <a:stretch>
                      <a:fillRect/>
                    </a:stretch>
                  </pic:blipFill>
                  <pic:spPr>
                    <a:xfrm>
                      <a:off x="0" y="0"/>
                      <a:ext cx="5853462" cy="8134350"/>
                    </a:xfrm>
                    <a:prstGeom prst="rect">
                      <a:avLst/>
                    </a:prstGeom>
                  </pic:spPr>
                </pic:pic>
              </a:graphicData>
            </a:graphic>
          </wp:anchor>
        </w:drawing>
      </w:r>
    </w:p>
    <w:p w14:paraId="11035839" w14:textId="77777777" w:rsidR="00BC24A8" w:rsidRDefault="00BC24A8">
      <w:pPr>
        <w:pStyle w:val="BodyText"/>
        <w:rPr>
          <w:rFonts w:ascii="Trebuchet MS"/>
          <w:b/>
          <w:sz w:val="20"/>
        </w:rPr>
        <w:sectPr w:rsidR="00BC24A8">
          <w:pgSz w:w="11910" w:h="16840"/>
          <w:pgMar w:top="1320" w:right="1133" w:bottom="1100" w:left="1275" w:header="0" w:footer="907" w:gutter="0"/>
          <w:cols w:space="720"/>
        </w:sectPr>
      </w:pPr>
    </w:p>
    <w:p w14:paraId="485C3163" w14:textId="77777777" w:rsidR="00BC24A8" w:rsidRDefault="00000000">
      <w:pPr>
        <w:pStyle w:val="ListParagraph"/>
        <w:numPr>
          <w:ilvl w:val="0"/>
          <w:numId w:val="172"/>
        </w:numPr>
        <w:tabs>
          <w:tab w:val="left" w:pos="863"/>
        </w:tabs>
        <w:spacing w:before="79" w:line="278" w:lineRule="auto"/>
        <w:ind w:right="280"/>
        <w:rPr>
          <w:rFonts w:ascii="Symbol" w:hAnsi="Symbol"/>
        </w:rPr>
      </w:pPr>
      <w:r>
        <w:lastRenderedPageBreak/>
        <w:t>Inclusive data for planning: With SKALA’s support, Aceh has expanded the number of publicly available</w:t>
      </w:r>
      <w:r>
        <w:rPr>
          <w:spacing w:val="-8"/>
        </w:rPr>
        <w:t xml:space="preserve"> </w:t>
      </w:r>
      <w:r>
        <w:t>datasets</w:t>
      </w:r>
      <w:r>
        <w:rPr>
          <w:spacing w:val="-8"/>
        </w:rPr>
        <w:t xml:space="preserve"> </w:t>
      </w:r>
      <w:r>
        <w:t>on</w:t>
      </w:r>
      <w:r>
        <w:rPr>
          <w:spacing w:val="-11"/>
        </w:rPr>
        <w:t xml:space="preserve"> </w:t>
      </w:r>
      <w:r>
        <w:t>GEDSI</w:t>
      </w:r>
      <w:r>
        <w:rPr>
          <w:spacing w:val="-8"/>
        </w:rPr>
        <w:t xml:space="preserve"> </w:t>
      </w:r>
      <w:r>
        <w:t>(Gender</w:t>
      </w:r>
      <w:r>
        <w:rPr>
          <w:spacing w:val="-9"/>
        </w:rPr>
        <w:t xml:space="preserve"> </w:t>
      </w:r>
      <w:r>
        <w:t>Equality,</w:t>
      </w:r>
      <w:r>
        <w:rPr>
          <w:spacing w:val="-8"/>
        </w:rPr>
        <w:t xml:space="preserve"> </w:t>
      </w:r>
      <w:r>
        <w:t>Disability,</w:t>
      </w:r>
      <w:r>
        <w:rPr>
          <w:spacing w:val="-8"/>
        </w:rPr>
        <w:t xml:space="preserve"> </w:t>
      </w:r>
      <w:r>
        <w:t>and</w:t>
      </w:r>
      <w:r>
        <w:rPr>
          <w:spacing w:val="-9"/>
        </w:rPr>
        <w:t xml:space="preserve"> </w:t>
      </w:r>
      <w:r>
        <w:t>Social</w:t>
      </w:r>
      <w:r>
        <w:rPr>
          <w:spacing w:val="-8"/>
        </w:rPr>
        <w:t xml:space="preserve"> </w:t>
      </w:r>
      <w:r>
        <w:t>Inclusion).</w:t>
      </w:r>
      <w:r>
        <w:rPr>
          <w:spacing w:val="-7"/>
        </w:rPr>
        <w:t xml:space="preserve"> </w:t>
      </w:r>
      <w:r>
        <w:t>The</w:t>
      </w:r>
      <w:r>
        <w:rPr>
          <w:spacing w:val="-10"/>
        </w:rPr>
        <w:t xml:space="preserve"> </w:t>
      </w:r>
      <w:r>
        <w:t>new</w:t>
      </w:r>
      <w:r>
        <w:rPr>
          <w:spacing w:val="-8"/>
        </w:rPr>
        <w:t xml:space="preserve"> </w:t>
      </w:r>
      <w:r>
        <w:t>datasets covering disability prevalence, school-age children with disabilities, gender empowerment, women’s</w:t>
      </w:r>
      <w:r>
        <w:rPr>
          <w:spacing w:val="-7"/>
        </w:rPr>
        <w:t xml:space="preserve"> </w:t>
      </w:r>
      <w:r>
        <w:t>representation</w:t>
      </w:r>
      <w:r>
        <w:rPr>
          <w:spacing w:val="-7"/>
        </w:rPr>
        <w:t xml:space="preserve"> </w:t>
      </w:r>
      <w:r>
        <w:t>in</w:t>
      </w:r>
      <w:r>
        <w:rPr>
          <w:spacing w:val="-11"/>
        </w:rPr>
        <w:t xml:space="preserve"> </w:t>
      </w:r>
      <w:r>
        <w:t>parliament,</w:t>
      </w:r>
      <w:r>
        <w:rPr>
          <w:spacing w:val="-7"/>
        </w:rPr>
        <w:t xml:space="preserve"> </w:t>
      </w:r>
      <w:r>
        <w:t>and</w:t>
      </w:r>
      <w:r>
        <w:rPr>
          <w:spacing w:val="-7"/>
        </w:rPr>
        <w:t xml:space="preserve"> </w:t>
      </w:r>
      <w:r>
        <w:t>violence</w:t>
      </w:r>
      <w:r>
        <w:rPr>
          <w:spacing w:val="-8"/>
        </w:rPr>
        <w:t xml:space="preserve"> </w:t>
      </w:r>
      <w:r>
        <w:t>victims</w:t>
      </w:r>
      <w:r>
        <w:rPr>
          <w:spacing w:val="-8"/>
        </w:rPr>
        <w:t xml:space="preserve"> </w:t>
      </w:r>
      <w:r>
        <w:t>are</w:t>
      </w:r>
      <w:r>
        <w:rPr>
          <w:spacing w:val="-7"/>
        </w:rPr>
        <w:t xml:space="preserve"> </w:t>
      </w:r>
      <w:r>
        <w:t>now</w:t>
      </w:r>
      <w:r>
        <w:rPr>
          <w:spacing w:val="-8"/>
        </w:rPr>
        <w:t xml:space="preserve"> </w:t>
      </w:r>
      <w:r>
        <w:t>accessible</w:t>
      </w:r>
      <w:r>
        <w:rPr>
          <w:spacing w:val="-8"/>
        </w:rPr>
        <w:t xml:space="preserve"> </w:t>
      </w:r>
      <w:r>
        <w:t>through</w:t>
      </w:r>
      <w:r>
        <w:rPr>
          <w:spacing w:val="-9"/>
        </w:rPr>
        <w:t xml:space="preserve"> </w:t>
      </w:r>
      <w:r>
        <w:t>a</w:t>
      </w:r>
      <w:r>
        <w:rPr>
          <w:spacing w:val="-8"/>
        </w:rPr>
        <w:t xml:space="preserve"> </w:t>
      </w:r>
      <w:r>
        <w:t>user- friendly</w:t>
      </w:r>
      <w:r>
        <w:rPr>
          <w:spacing w:val="-13"/>
        </w:rPr>
        <w:t xml:space="preserve"> </w:t>
      </w:r>
      <w:r>
        <w:t>dashboard.</w:t>
      </w:r>
      <w:r>
        <w:rPr>
          <w:spacing w:val="-12"/>
        </w:rPr>
        <w:t xml:space="preserve"> </w:t>
      </w:r>
      <w:r>
        <w:t>These</w:t>
      </w:r>
      <w:r>
        <w:rPr>
          <w:spacing w:val="-13"/>
        </w:rPr>
        <w:t xml:space="preserve"> </w:t>
      </w:r>
      <w:r>
        <w:t>data</w:t>
      </w:r>
      <w:r>
        <w:rPr>
          <w:spacing w:val="-12"/>
        </w:rPr>
        <w:t xml:space="preserve"> </w:t>
      </w:r>
      <w:r>
        <w:t>sets</w:t>
      </w:r>
      <w:r>
        <w:rPr>
          <w:spacing w:val="-13"/>
        </w:rPr>
        <w:t xml:space="preserve"> </w:t>
      </w:r>
      <w:r>
        <w:t>were</w:t>
      </w:r>
      <w:r>
        <w:rPr>
          <w:spacing w:val="-12"/>
        </w:rPr>
        <w:t xml:space="preserve"> </w:t>
      </w:r>
      <w:r>
        <w:t>identified</w:t>
      </w:r>
      <w:r>
        <w:rPr>
          <w:spacing w:val="-13"/>
        </w:rPr>
        <w:t xml:space="preserve"> </w:t>
      </w:r>
      <w:r>
        <w:t>in</w:t>
      </w:r>
      <w:r>
        <w:rPr>
          <w:spacing w:val="-12"/>
        </w:rPr>
        <w:t xml:space="preserve"> </w:t>
      </w:r>
      <w:r>
        <w:t>consultation</w:t>
      </w:r>
      <w:r>
        <w:rPr>
          <w:spacing w:val="-12"/>
        </w:rPr>
        <w:t xml:space="preserve"> </w:t>
      </w:r>
      <w:r>
        <w:t>with</w:t>
      </w:r>
      <w:r>
        <w:rPr>
          <w:spacing w:val="-13"/>
        </w:rPr>
        <w:t xml:space="preserve"> </w:t>
      </w:r>
      <w:r>
        <w:t>persons</w:t>
      </w:r>
      <w:r>
        <w:rPr>
          <w:spacing w:val="-12"/>
        </w:rPr>
        <w:t xml:space="preserve"> </w:t>
      </w:r>
      <w:r>
        <w:t>with</w:t>
      </w:r>
      <w:r>
        <w:rPr>
          <w:spacing w:val="-13"/>
        </w:rPr>
        <w:t xml:space="preserve"> </w:t>
      </w:r>
      <w:r>
        <w:t>disabilities to</w:t>
      </w:r>
      <w:r>
        <w:rPr>
          <w:spacing w:val="-13"/>
        </w:rPr>
        <w:t xml:space="preserve"> </w:t>
      </w:r>
      <w:r>
        <w:t>ensure</w:t>
      </w:r>
      <w:r>
        <w:rPr>
          <w:spacing w:val="-12"/>
        </w:rPr>
        <w:t xml:space="preserve"> </w:t>
      </w:r>
      <w:r>
        <w:t>relevance</w:t>
      </w:r>
      <w:r>
        <w:rPr>
          <w:spacing w:val="-13"/>
        </w:rPr>
        <w:t xml:space="preserve"> </w:t>
      </w:r>
      <w:r>
        <w:t>and</w:t>
      </w:r>
      <w:r>
        <w:rPr>
          <w:spacing w:val="-12"/>
        </w:rPr>
        <w:t xml:space="preserve"> </w:t>
      </w:r>
      <w:r>
        <w:t>responsiveness</w:t>
      </w:r>
      <w:r>
        <w:rPr>
          <w:spacing w:val="-13"/>
        </w:rPr>
        <w:t xml:space="preserve"> </w:t>
      </w:r>
      <w:r>
        <w:t>to</w:t>
      </w:r>
      <w:r>
        <w:rPr>
          <w:spacing w:val="-12"/>
        </w:rPr>
        <w:t xml:space="preserve"> </w:t>
      </w:r>
      <w:r>
        <w:t>community</w:t>
      </w:r>
      <w:r>
        <w:rPr>
          <w:spacing w:val="-13"/>
        </w:rPr>
        <w:t xml:space="preserve"> </w:t>
      </w:r>
      <w:r>
        <w:t>priorities.</w:t>
      </w:r>
      <w:r>
        <w:rPr>
          <w:spacing w:val="-12"/>
        </w:rPr>
        <w:t xml:space="preserve"> </w:t>
      </w:r>
      <w:r>
        <w:t>This</w:t>
      </w:r>
      <w:r>
        <w:rPr>
          <w:spacing w:val="-12"/>
        </w:rPr>
        <w:t xml:space="preserve"> </w:t>
      </w:r>
      <w:r>
        <w:t>tool</w:t>
      </w:r>
      <w:r>
        <w:rPr>
          <w:spacing w:val="-13"/>
        </w:rPr>
        <w:t xml:space="preserve"> </w:t>
      </w:r>
      <w:r>
        <w:t>improves</w:t>
      </w:r>
      <w:r>
        <w:rPr>
          <w:spacing w:val="-12"/>
        </w:rPr>
        <w:t xml:space="preserve"> </w:t>
      </w:r>
      <w:r>
        <w:t>data-driven planning and decision-making for both government and the public.</w:t>
      </w:r>
    </w:p>
    <w:p w14:paraId="13DF8307" w14:textId="77777777" w:rsidR="00BC24A8" w:rsidRDefault="00000000">
      <w:pPr>
        <w:pStyle w:val="ListParagraph"/>
        <w:numPr>
          <w:ilvl w:val="0"/>
          <w:numId w:val="172"/>
        </w:numPr>
        <w:tabs>
          <w:tab w:val="left" w:pos="863"/>
        </w:tabs>
        <w:spacing w:line="278" w:lineRule="auto"/>
        <w:ind w:right="279"/>
        <w:rPr>
          <w:rFonts w:ascii="Symbol" w:hAnsi="Symbol"/>
        </w:rPr>
      </w:pPr>
      <w:r>
        <w:t>Sharing</w:t>
      </w:r>
      <w:r>
        <w:rPr>
          <w:spacing w:val="-8"/>
        </w:rPr>
        <w:t xml:space="preserve"> </w:t>
      </w:r>
      <w:r>
        <w:t>innovation</w:t>
      </w:r>
      <w:r>
        <w:rPr>
          <w:spacing w:val="-9"/>
        </w:rPr>
        <w:t xml:space="preserve"> </w:t>
      </w:r>
      <w:r>
        <w:t>between</w:t>
      </w:r>
      <w:r>
        <w:rPr>
          <w:spacing w:val="-7"/>
        </w:rPr>
        <w:t xml:space="preserve"> </w:t>
      </w:r>
      <w:r>
        <w:t>provinces</w:t>
      </w:r>
      <w:r>
        <w:rPr>
          <w:spacing w:val="-7"/>
        </w:rPr>
        <w:t xml:space="preserve"> </w:t>
      </w:r>
      <w:r>
        <w:t>to</w:t>
      </w:r>
      <w:r>
        <w:rPr>
          <w:spacing w:val="-8"/>
        </w:rPr>
        <w:t xml:space="preserve"> </w:t>
      </w:r>
      <w:r>
        <w:t>optimise</w:t>
      </w:r>
      <w:r>
        <w:rPr>
          <w:spacing w:val="-8"/>
        </w:rPr>
        <w:t xml:space="preserve"> </w:t>
      </w:r>
      <w:r>
        <w:t>regulatory</w:t>
      </w:r>
      <w:r>
        <w:rPr>
          <w:spacing w:val="-8"/>
        </w:rPr>
        <w:t xml:space="preserve"> </w:t>
      </w:r>
      <w:r>
        <w:t>reforms:</w:t>
      </w:r>
      <w:r>
        <w:rPr>
          <w:spacing w:val="-8"/>
        </w:rPr>
        <w:t xml:space="preserve"> </w:t>
      </w:r>
      <w:r>
        <w:t>SKALA</w:t>
      </w:r>
      <w:r>
        <w:rPr>
          <w:spacing w:val="-8"/>
        </w:rPr>
        <w:t xml:space="preserve"> </w:t>
      </w:r>
      <w:r>
        <w:t>is</w:t>
      </w:r>
      <w:r>
        <w:rPr>
          <w:spacing w:val="-8"/>
        </w:rPr>
        <w:t xml:space="preserve"> </w:t>
      </w:r>
      <w:r>
        <w:t>fostering</w:t>
      </w:r>
      <w:r>
        <w:rPr>
          <w:spacing w:val="-8"/>
        </w:rPr>
        <w:t xml:space="preserve"> </w:t>
      </w:r>
      <w:r>
        <w:t>cross- provincial learning to help local governments optimise revenue generation while promoting equity in taxation. Provinces are exchanging innovations in effectively taxing water-based transportation,</w:t>
      </w:r>
      <w:r>
        <w:rPr>
          <w:spacing w:val="-11"/>
        </w:rPr>
        <w:t xml:space="preserve"> </w:t>
      </w:r>
      <w:r>
        <w:t>digitising</w:t>
      </w:r>
      <w:r>
        <w:rPr>
          <w:spacing w:val="-12"/>
        </w:rPr>
        <w:t xml:space="preserve"> </w:t>
      </w:r>
      <w:r>
        <w:t>tax</w:t>
      </w:r>
      <w:r>
        <w:rPr>
          <w:spacing w:val="-11"/>
        </w:rPr>
        <w:t xml:space="preserve"> </w:t>
      </w:r>
      <w:r>
        <w:t>systems,</w:t>
      </w:r>
      <w:r>
        <w:rPr>
          <w:spacing w:val="-9"/>
        </w:rPr>
        <w:t xml:space="preserve"> </w:t>
      </w:r>
      <w:r>
        <w:t>and</w:t>
      </w:r>
      <w:r>
        <w:rPr>
          <w:spacing w:val="-12"/>
        </w:rPr>
        <w:t xml:space="preserve"> </w:t>
      </w:r>
      <w:r>
        <w:t>implementing</w:t>
      </w:r>
      <w:r>
        <w:rPr>
          <w:spacing w:val="-11"/>
        </w:rPr>
        <w:t xml:space="preserve"> </w:t>
      </w:r>
      <w:r>
        <w:t>vehicle</w:t>
      </w:r>
      <w:r>
        <w:rPr>
          <w:spacing w:val="-11"/>
        </w:rPr>
        <w:t xml:space="preserve"> </w:t>
      </w:r>
      <w:r>
        <w:t>tax</w:t>
      </w:r>
      <w:r>
        <w:rPr>
          <w:spacing w:val="-12"/>
        </w:rPr>
        <w:t xml:space="preserve"> </w:t>
      </w:r>
      <w:r>
        <w:t>exemptions</w:t>
      </w:r>
      <w:r>
        <w:rPr>
          <w:spacing w:val="-9"/>
        </w:rPr>
        <w:t xml:space="preserve"> </w:t>
      </w:r>
      <w:r>
        <w:t>for</w:t>
      </w:r>
      <w:r>
        <w:rPr>
          <w:spacing w:val="-12"/>
        </w:rPr>
        <w:t xml:space="preserve"> </w:t>
      </w:r>
      <w:r>
        <w:t>people</w:t>
      </w:r>
      <w:r>
        <w:rPr>
          <w:spacing w:val="-11"/>
        </w:rPr>
        <w:t xml:space="preserve"> </w:t>
      </w:r>
      <w:r>
        <w:t>with disabilities. These efforts not only improve fiscal performance but also advance inclusive and accessible policy reform across regions.</w:t>
      </w:r>
    </w:p>
    <w:p w14:paraId="00B251C7" w14:textId="77777777" w:rsidR="00BC24A8" w:rsidRDefault="00000000">
      <w:pPr>
        <w:pStyle w:val="ListParagraph"/>
        <w:numPr>
          <w:ilvl w:val="0"/>
          <w:numId w:val="172"/>
        </w:numPr>
        <w:tabs>
          <w:tab w:val="left" w:pos="863"/>
        </w:tabs>
        <w:spacing w:line="278" w:lineRule="auto"/>
        <w:ind w:right="279"/>
        <w:rPr>
          <w:rFonts w:ascii="Symbol" w:hAnsi="Symbol"/>
        </w:rPr>
      </w:pPr>
      <w:r>
        <w:t>Climate responsive service delivery planning: SKALA supported Housing Departments in NTB and Maluku to enhance disaster risk planning by integrating micro-socioeconomic data with spatial mapping. Previously reliant on spatial data alone, local planners can now identify the most</w:t>
      </w:r>
      <w:r>
        <w:rPr>
          <w:spacing w:val="-13"/>
        </w:rPr>
        <w:t xml:space="preserve"> </w:t>
      </w:r>
      <w:r>
        <w:t>vulnerable</w:t>
      </w:r>
      <w:r>
        <w:rPr>
          <w:spacing w:val="-12"/>
        </w:rPr>
        <w:t xml:space="preserve"> </w:t>
      </w:r>
      <w:r>
        <w:t>households</w:t>
      </w:r>
      <w:r>
        <w:rPr>
          <w:spacing w:val="-13"/>
        </w:rPr>
        <w:t xml:space="preserve"> </w:t>
      </w:r>
      <w:r>
        <w:t>and</w:t>
      </w:r>
      <w:r>
        <w:rPr>
          <w:spacing w:val="-12"/>
        </w:rPr>
        <w:t xml:space="preserve"> </w:t>
      </w:r>
      <w:r>
        <w:t>design</w:t>
      </w:r>
      <w:r>
        <w:rPr>
          <w:spacing w:val="-13"/>
        </w:rPr>
        <w:t xml:space="preserve"> </w:t>
      </w:r>
      <w:r>
        <w:t>more</w:t>
      </w:r>
      <w:r>
        <w:rPr>
          <w:spacing w:val="-12"/>
        </w:rPr>
        <w:t xml:space="preserve"> </w:t>
      </w:r>
      <w:r>
        <w:t>inclusive</w:t>
      </w:r>
      <w:r>
        <w:rPr>
          <w:spacing w:val="-13"/>
        </w:rPr>
        <w:t xml:space="preserve"> </w:t>
      </w:r>
      <w:r>
        <w:t>interventions.</w:t>
      </w:r>
      <w:r>
        <w:rPr>
          <w:spacing w:val="-12"/>
        </w:rPr>
        <w:t xml:space="preserve"> </w:t>
      </w:r>
      <w:r>
        <w:t>This</w:t>
      </w:r>
      <w:r>
        <w:rPr>
          <w:spacing w:val="-12"/>
        </w:rPr>
        <w:t xml:space="preserve"> </w:t>
      </w:r>
      <w:r>
        <w:t>data-driven</w:t>
      </w:r>
      <w:r>
        <w:rPr>
          <w:spacing w:val="-13"/>
        </w:rPr>
        <w:t xml:space="preserve"> </w:t>
      </w:r>
      <w:r>
        <w:t>approach marks a significant step toward equitable public service delivery and improved resilience for disadvantaged communities.</w:t>
      </w:r>
    </w:p>
    <w:p w14:paraId="53F7F58A" w14:textId="77777777" w:rsidR="00BC24A8" w:rsidRDefault="00BC24A8">
      <w:pPr>
        <w:pStyle w:val="ListParagraph"/>
        <w:spacing w:line="278" w:lineRule="auto"/>
        <w:rPr>
          <w:rFonts w:ascii="Symbol" w:hAnsi="Symbol"/>
        </w:rPr>
        <w:sectPr w:rsidR="00BC24A8">
          <w:pgSz w:w="11910" w:h="16840"/>
          <w:pgMar w:top="1320" w:right="1133" w:bottom="1100" w:left="1275" w:header="0" w:footer="907" w:gutter="0"/>
          <w:cols w:space="720"/>
        </w:sectPr>
      </w:pPr>
    </w:p>
    <w:p w14:paraId="6A939C74" w14:textId="77777777" w:rsidR="00BC24A8" w:rsidRDefault="00000000">
      <w:pPr>
        <w:pStyle w:val="Heading4"/>
        <w:spacing w:before="78"/>
      </w:pPr>
      <w:bookmarkStart w:id="20" w:name="_bookmark11"/>
      <w:bookmarkEnd w:id="20"/>
      <w:r>
        <w:rPr>
          <w:color w:val="17365A"/>
          <w:spacing w:val="-6"/>
        </w:rPr>
        <w:lastRenderedPageBreak/>
        <w:t>End</w:t>
      </w:r>
      <w:r>
        <w:rPr>
          <w:color w:val="17365A"/>
          <w:spacing w:val="-21"/>
        </w:rPr>
        <w:t xml:space="preserve"> </w:t>
      </w:r>
      <w:r>
        <w:rPr>
          <w:color w:val="17365A"/>
          <w:spacing w:val="-6"/>
        </w:rPr>
        <w:t>of</w:t>
      </w:r>
      <w:r>
        <w:rPr>
          <w:color w:val="17365A"/>
          <w:spacing w:val="-19"/>
        </w:rPr>
        <w:t xml:space="preserve"> </w:t>
      </w:r>
      <w:r>
        <w:rPr>
          <w:color w:val="17365A"/>
          <w:spacing w:val="-6"/>
        </w:rPr>
        <w:t>Program</w:t>
      </w:r>
      <w:r>
        <w:rPr>
          <w:color w:val="17365A"/>
          <w:spacing w:val="-21"/>
        </w:rPr>
        <w:t xml:space="preserve"> </w:t>
      </w:r>
      <w:r>
        <w:rPr>
          <w:color w:val="17365A"/>
          <w:spacing w:val="-6"/>
        </w:rPr>
        <w:t>Outcome</w:t>
      </w:r>
      <w:r>
        <w:rPr>
          <w:color w:val="17365A"/>
          <w:spacing w:val="-18"/>
        </w:rPr>
        <w:t xml:space="preserve"> </w:t>
      </w:r>
      <w:r>
        <w:rPr>
          <w:color w:val="17365A"/>
          <w:spacing w:val="-6"/>
        </w:rPr>
        <w:t>3:</w:t>
      </w:r>
      <w:r>
        <w:rPr>
          <w:color w:val="17365A"/>
          <w:spacing w:val="-19"/>
        </w:rPr>
        <w:t xml:space="preserve"> </w:t>
      </w:r>
      <w:r>
        <w:rPr>
          <w:color w:val="17365A"/>
          <w:spacing w:val="-6"/>
        </w:rPr>
        <w:t>Greater</w:t>
      </w:r>
      <w:r>
        <w:rPr>
          <w:color w:val="17365A"/>
          <w:spacing w:val="-19"/>
        </w:rPr>
        <w:t xml:space="preserve"> </w:t>
      </w:r>
      <w:r>
        <w:rPr>
          <w:color w:val="17365A"/>
          <w:spacing w:val="-6"/>
        </w:rPr>
        <w:t>Participation,</w:t>
      </w:r>
      <w:r>
        <w:rPr>
          <w:color w:val="17365A"/>
          <w:spacing w:val="-21"/>
        </w:rPr>
        <w:t xml:space="preserve"> </w:t>
      </w:r>
      <w:r>
        <w:rPr>
          <w:color w:val="17365A"/>
          <w:spacing w:val="-6"/>
        </w:rPr>
        <w:t>Representation</w:t>
      </w:r>
      <w:r>
        <w:rPr>
          <w:color w:val="17365A"/>
          <w:spacing w:val="-20"/>
        </w:rPr>
        <w:t xml:space="preserve"> </w:t>
      </w:r>
      <w:r>
        <w:rPr>
          <w:color w:val="17365A"/>
          <w:spacing w:val="-6"/>
        </w:rPr>
        <w:t>and</w:t>
      </w:r>
    </w:p>
    <w:p w14:paraId="3BE5F3F8" w14:textId="77777777" w:rsidR="00BC24A8" w:rsidRDefault="00000000">
      <w:pPr>
        <w:spacing w:before="18"/>
        <w:ind w:left="143"/>
        <w:rPr>
          <w:rFonts w:ascii="Trebuchet MS"/>
          <w:b/>
          <w:sz w:val="28"/>
        </w:rPr>
      </w:pPr>
      <w:r>
        <w:rPr>
          <w:rFonts w:ascii="Trebuchet MS"/>
          <w:b/>
          <w:color w:val="17365A"/>
          <w:spacing w:val="-4"/>
          <w:sz w:val="28"/>
        </w:rPr>
        <w:t>Influence</w:t>
      </w:r>
      <w:r>
        <w:rPr>
          <w:rFonts w:ascii="Trebuchet MS"/>
          <w:b/>
          <w:color w:val="17365A"/>
          <w:spacing w:val="-23"/>
          <w:sz w:val="28"/>
        </w:rPr>
        <w:t xml:space="preserve"> </w:t>
      </w:r>
      <w:r>
        <w:rPr>
          <w:rFonts w:ascii="Trebuchet MS"/>
          <w:b/>
          <w:color w:val="17365A"/>
          <w:spacing w:val="-4"/>
          <w:sz w:val="28"/>
        </w:rPr>
        <w:t>of</w:t>
      </w:r>
      <w:r>
        <w:rPr>
          <w:rFonts w:ascii="Trebuchet MS"/>
          <w:b/>
          <w:color w:val="17365A"/>
          <w:spacing w:val="-20"/>
          <w:sz w:val="28"/>
        </w:rPr>
        <w:t xml:space="preserve"> </w:t>
      </w:r>
      <w:r>
        <w:rPr>
          <w:rFonts w:ascii="Trebuchet MS"/>
          <w:b/>
          <w:color w:val="17365A"/>
          <w:spacing w:val="-4"/>
          <w:sz w:val="28"/>
        </w:rPr>
        <w:t>Women,</w:t>
      </w:r>
      <w:r>
        <w:rPr>
          <w:rFonts w:ascii="Trebuchet MS"/>
          <w:b/>
          <w:color w:val="17365A"/>
          <w:spacing w:val="-19"/>
          <w:sz w:val="28"/>
        </w:rPr>
        <w:t xml:space="preserve"> </w:t>
      </w:r>
      <w:r>
        <w:rPr>
          <w:rFonts w:ascii="Trebuchet MS"/>
          <w:b/>
          <w:color w:val="17365A"/>
          <w:spacing w:val="-4"/>
          <w:sz w:val="28"/>
        </w:rPr>
        <w:t>People</w:t>
      </w:r>
      <w:r>
        <w:rPr>
          <w:rFonts w:ascii="Trebuchet MS"/>
          <w:b/>
          <w:color w:val="17365A"/>
          <w:spacing w:val="-22"/>
          <w:sz w:val="28"/>
        </w:rPr>
        <w:t xml:space="preserve"> </w:t>
      </w:r>
      <w:r>
        <w:rPr>
          <w:rFonts w:ascii="Trebuchet MS"/>
          <w:b/>
          <w:color w:val="17365A"/>
          <w:spacing w:val="-4"/>
          <w:sz w:val="28"/>
        </w:rPr>
        <w:t>with</w:t>
      </w:r>
      <w:r>
        <w:rPr>
          <w:rFonts w:ascii="Trebuchet MS"/>
          <w:b/>
          <w:color w:val="17365A"/>
          <w:spacing w:val="-21"/>
          <w:sz w:val="28"/>
        </w:rPr>
        <w:t xml:space="preserve"> </w:t>
      </w:r>
      <w:r>
        <w:rPr>
          <w:rFonts w:ascii="Trebuchet MS"/>
          <w:b/>
          <w:color w:val="17365A"/>
          <w:spacing w:val="-4"/>
          <w:sz w:val="28"/>
        </w:rPr>
        <w:t>Disabilities</w:t>
      </w:r>
      <w:r>
        <w:rPr>
          <w:rFonts w:ascii="Trebuchet MS"/>
          <w:b/>
          <w:color w:val="17365A"/>
          <w:spacing w:val="-20"/>
          <w:sz w:val="28"/>
        </w:rPr>
        <w:t xml:space="preserve"> </w:t>
      </w:r>
      <w:r>
        <w:rPr>
          <w:rFonts w:ascii="Trebuchet MS"/>
          <w:b/>
          <w:color w:val="17365A"/>
          <w:spacing w:val="-4"/>
          <w:sz w:val="28"/>
        </w:rPr>
        <w:t>and</w:t>
      </w:r>
      <w:r>
        <w:rPr>
          <w:rFonts w:ascii="Trebuchet MS"/>
          <w:b/>
          <w:color w:val="17365A"/>
          <w:spacing w:val="-18"/>
          <w:sz w:val="28"/>
        </w:rPr>
        <w:t xml:space="preserve"> </w:t>
      </w:r>
      <w:r>
        <w:rPr>
          <w:rFonts w:ascii="Trebuchet MS"/>
          <w:b/>
          <w:color w:val="17365A"/>
          <w:spacing w:val="-4"/>
          <w:sz w:val="28"/>
        </w:rPr>
        <w:t>Vulnerable</w:t>
      </w:r>
      <w:r>
        <w:rPr>
          <w:rFonts w:ascii="Trebuchet MS"/>
          <w:b/>
          <w:color w:val="17365A"/>
          <w:spacing w:val="-22"/>
          <w:sz w:val="28"/>
        </w:rPr>
        <w:t xml:space="preserve"> </w:t>
      </w:r>
      <w:r>
        <w:rPr>
          <w:rFonts w:ascii="Trebuchet MS"/>
          <w:b/>
          <w:color w:val="17365A"/>
          <w:spacing w:val="-4"/>
          <w:sz w:val="28"/>
        </w:rPr>
        <w:t>groups</w:t>
      </w:r>
    </w:p>
    <w:p w14:paraId="7FCD4529" w14:textId="77777777" w:rsidR="00BC24A8" w:rsidRDefault="00000000">
      <w:pPr>
        <w:pStyle w:val="BodyText"/>
        <w:spacing w:before="89"/>
        <w:rPr>
          <w:rFonts w:ascii="Trebuchet MS"/>
          <w:b/>
          <w:sz w:val="20"/>
        </w:rPr>
      </w:pPr>
      <w:r>
        <w:rPr>
          <w:rFonts w:ascii="Trebuchet MS"/>
          <w:b/>
          <w:noProof/>
          <w:sz w:val="20"/>
        </w:rPr>
        <w:drawing>
          <wp:anchor distT="0" distB="0" distL="0" distR="0" simplePos="0" relativeHeight="487589376" behindDoc="1" locked="0" layoutInCell="1" allowOverlap="1" wp14:anchorId="32B78D33" wp14:editId="46B0BC9C">
            <wp:simplePos x="0" y="0"/>
            <wp:positionH relativeFrom="page">
              <wp:posOffset>923653</wp:posOffset>
            </wp:positionH>
            <wp:positionV relativeFrom="paragraph">
              <wp:posOffset>219405</wp:posOffset>
            </wp:positionV>
            <wp:extent cx="5620271" cy="3927348"/>
            <wp:effectExtent l="0" t="0" r="0" b="0"/>
            <wp:wrapTopAndBottom/>
            <wp:docPr id="20" name="Image 20" descr="A screenshot of a computer screen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computer screen  AI-generated content may be incorrect. "/>
                    <pic:cNvPicPr/>
                  </pic:nvPicPr>
                  <pic:blipFill>
                    <a:blip r:embed="rId12" cstate="print"/>
                    <a:stretch>
                      <a:fillRect/>
                    </a:stretch>
                  </pic:blipFill>
                  <pic:spPr>
                    <a:xfrm>
                      <a:off x="0" y="0"/>
                      <a:ext cx="5620271" cy="3927348"/>
                    </a:xfrm>
                    <a:prstGeom prst="rect">
                      <a:avLst/>
                    </a:prstGeom>
                  </pic:spPr>
                </pic:pic>
              </a:graphicData>
            </a:graphic>
          </wp:anchor>
        </w:drawing>
      </w:r>
    </w:p>
    <w:p w14:paraId="00E32E75" w14:textId="77777777" w:rsidR="00BC24A8" w:rsidRDefault="00BC24A8">
      <w:pPr>
        <w:pStyle w:val="BodyText"/>
        <w:spacing w:before="83"/>
        <w:rPr>
          <w:rFonts w:ascii="Trebuchet MS"/>
          <w:b/>
          <w:sz w:val="28"/>
        </w:rPr>
      </w:pPr>
    </w:p>
    <w:p w14:paraId="2679FC06" w14:textId="77777777" w:rsidR="00BC24A8" w:rsidRDefault="00000000">
      <w:pPr>
        <w:pStyle w:val="ListParagraph"/>
        <w:numPr>
          <w:ilvl w:val="0"/>
          <w:numId w:val="172"/>
        </w:numPr>
        <w:tabs>
          <w:tab w:val="left" w:pos="861"/>
          <w:tab w:val="left" w:pos="863"/>
        </w:tabs>
        <w:spacing w:line="278" w:lineRule="auto"/>
        <w:ind w:right="279" w:hanging="361"/>
        <w:rPr>
          <w:rFonts w:ascii="Symbol" w:hAnsi="Symbol"/>
        </w:rPr>
      </w:pPr>
      <w:r>
        <w:t>Effective, inclusive planning: SKALA supported inclusive participatory development planning in six</w:t>
      </w:r>
      <w:r>
        <w:rPr>
          <w:spacing w:val="-13"/>
        </w:rPr>
        <w:t xml:space="preserve"> </w:t>
      </w:r>
      <w:r>
        <w:t>provinces,</w:t>
      </w:r>
      <w:r>
        <w:rPr>
          <w:spacing w:val="-12"/>
        </w:rPr>
        <w:t xml:space="preserve"> </w:t>
      </w:r>
      <w:r>
        <w:t>North</w:t>
      </w:r>
      <w:r>
        <w:rPr>
          <w:spacing w:val="-12"/>
        </w:rPr>
        <w:t xml:space="preserve"> </w:t>
      </w:r>
      <w:r>
        <w:t>Kalimantan,</w:t>
      </w:r>
      <w:r>
        <w:rPr>
          <w:spacing w:val="-13"/>
        </w:rPr>
        <w:t xml:space="preserve"> </w:t>
      </w:r>
      <w:r>
        <w:t>Gorontalo,</w:t>
      </w:r>
      <w:r>
        <w:rPr>
          <w:spacing w:val="-11"/>
        </w:rPr>
        <w:t xml:space="preserve"> </w:t>
      </w:r>
      <w:r>
        <w:t>Maluku,</w:t>
      </w:r>
      <w:r>
        <w:rPr>
          <w:spacing w:val="-11"/>
        </w:rPr>
        <w:t xml:space="preserve"> </w:t>
      </w:r>
      <w:r>
        <w:t>NTB,</w:t>
      </w:r>
      <w:r>
        <w:rPr>
          <w:spacing w:val="-11"/>
        </w:rPr>
        <w:t xml:space="preserve"> </w:t>
      </w:r>
      <w:r>
        <w:t>NTT,</w:t>
      </w:r>
      <w:r>
        <w:rPr>
          <w:spacing w:val="-11"/>
        </w:rPr>
        <w:t xml:space="preserve"> </w:t>
      </w:r>
      <w:r>
        <w:t>and</w:t>
      </w:r>
      <w:r>
        <w:rPr>
          <w:spacing w:val="-12"/>
        </w:rPr>
        <w:t xml:space="preserve"> </w:t>
      </w:r>
      <w:r>
        <w:t>Papua</w:t>
      </w:r>
      <w:r>
        <w:rPr>
          <w:spacing w:val="-13"/>
        </w:rPr>
        <w:t xml:space="preserve"> </w:t>
      </w:r>
      <w:r>
        <w:t>Selatan,</w:t>
      </w:r>
      <w:r>
        <w:rPr>
          <w:spacing w:val="-12"/>
        </w:rPr>
        <w:t xml:space="preserve"> </w:t>
      </w:r>
      <w:r>
        <w:t>enabling</w:t>
      </w:r>
      <w:r>
        <w:rPr>
          <w:spacing w:val="-13"/>
        </w:rPr>
        <w:t xml:space="preserve"> </w:t>
      </w:r>
      <w:r>
        <w:t>100 CSOs and 29 disability organisations to present 777 evidence-based activity proposals. Early adoption of these recommendations in Gorontalo and NTT shows the potential of equipping CSOs</w:t>
      </w:r>
      <w:r>
        <w:rPr>
          <w:spacing w:val="-7"/>
        </w:rPr>
        <w:t xml:space="preserve"> </w:t>
      </w:r>
      <w:r>
        <w:t>with</w:t>
      </w:r>
      <w:r>
        <w:rPr>
          <w:spacing w:val="-5"/>
        </w:rPr>
        <w:t xml:space="preserve"> </w:t>
      </w:r>
      <w:r>
        <w:t>analytical</w:t>
      </w:r>
      <w:r>
        <w:rPr>
          <w:spacing w:val="-8"/>
        </w:rPr>
        <w:t xml:space="preserve"> </w:t>
      </w:r>
      <w:r>
        <w:t>skills</w:t>
      </w:r>
      <w:r>
        <w:rPr>
          <w:spacing w:val="-7"/>
        </w:rPr>
        <w:t xml:space="preserve"> </w:t>
      </w:r>
      <w:r>
        <w:t>and</w:t>
      </w:r>
      <w:r>
        <w:rPr>
          <w:spacing w:val="-5"/>
        </w:rPr>
        <w:t xml:space="preserve"> </w:t>
      </w:r>
      <w:r>
        <w:t>facilitating</w:t>
      </w:r>
      <w:r>
        <w:rPr>
          <w:spacing w:val="-7"/>
        </w:rPr>
        <w:t xml:space="preserve"> </w:t>
      </w:r>
      <w:r>
        <w:t>formal</w:t>
      </w:r>
      <w:r>
        <w:rPr>
          <w:spacing w:val="-6"/>
        </w:rPr>
        <w:t xml:space="preserve"> </w:t>
      </w:r>
      <w:r>
        <w:t>engagement.</w:t>
      </w:r>
      <w:r>
        <w:rPr>
          <w:spacing w:val="-4"/>
        </w:rPr>
        <w:t xml:space="preserve"> </w:t>
      </w:r>
      <w:r>
        <w:t>This</w:t>
      </w:r>
      <w:r>
        <w:rPr>
          <w:spacing w:val="-4"/>
        </w:rPr>
        <w:t xml:space="preserve"> </w:t>
      </w:r>
      <w:r>
        <w:t>approach</w:t>
      </w:r>
      <w:r>
        <w:rPr>
          <w:spacing w:val="-7"/>
        </w:rPr>
        <w:t xml:space="preserve"> </w:t>
      </w:r>
      <w:r>
        <w:t>has</w:t>
      </w:r>
      <w:r>
        <w:rPr>
          <w:spacing w:val="-7"/>
        </w:rPr>
        <w:t xml:space="preserve"> </w:t>
      </w:r>
      <w:r>
        <w:t>demonstrated its value to MoHA and informed the upcoming national guideline on inclusive planning.</w:t>
      </w:r>
    </w:p>
    <w:p w14:paraId="30C62A87" w14:textId="77777777" w:rsidR="00BC24A8" w:rsidRDefault="00000000">
      <w:pPr>
        <w:pStyle w:val="ListParagraph"/>
        <w:numPr>
          <w:ilvl w:val="0"/>
          <w:numId w:val="172"/>
        </w:numPr>
        <w:tabs>
          <w:tab w:val="left" w:pos="863"/>
        </w:tabs>
        <w:spacing w:line="278" w:lineRule="auto"/>
        <w:ind w:right="279"/>
        <w:rPr>
          <w:rFonts w:ascii="Symbol" w:hAnsi="Symbol"/>
        </w:rPr>
      </w:pPr>
      <w:r>
        <w:t>Collaboration to strengthen gender equality policy in Aceh: In Aceh, SKALA collaborated with DFAT-funded INKLUSI and AIPJ2 programs to leverage the program’s respective networks, relationships and technical strengths to support the delivery of the Qanun on Protection of Women's Rights. The Qanun regulation broadens women's protection, accelerates gender mainstreaming and progress towards achieving gender equality targets.</w:t>
      </w:r>
    </w:p>
    <w:p w14:paraId="3D5A52CD" w14:textId="77777777" w:rsidR="00BC24A8" w:rsidRDefault="00000000">
      <w:pPr>
        <w:pStyle w:val="ListParagraph"/>
        <w:numPr>
          <w:ilvl w:val="0"/>
          <w:numId w:val="172"/>
        </w:numPr>
        <w:tabs>
          <w:tab w:val="left" w:pos="863"/>
        </w:tabs>
        <w:spacing w:line="278" w:lineRule="auto"/>
        <w:ind w:right="279"/>
        <w:rPr>
          <w:rFonts w:ascii="Symbol" w:hAnsi="Symbol"/>
        </w:rPr>
      </w:pPr>
      <w:r>
        <w:t>Building networks of influence: SKALA continued to support 10 CSOs in Gorontalo, North Kalimantan,</w:t>
      </w:r>
      <w:r>
        <w:rPr>
          <w:spacing w:val="-13"/>
        </w:rPr>
        <w:t xml:space="preserve"> </w:t>
      </w:r>
      <w:r>
        <w:t>NTT,</w:t>
      </w:r>
      <w:r>
        <w:rPr>
          <w:spacing w:val="-12"/>
        </w:rPr>
        <w:t xml:space="preserve"> </w:t>
      </w:r>
      <w:r>
        <w:t>and</w:t>
      </w:r>
      <w:r>
        <w:rPr>
          <w:spacing w:val="-13"/>
        </w:rPr>
        <w:t xml:space="preserve"> </w:t>
      </w:r>
      <w:r>
        <w:t>Maluku</w:t>
      </w:r>
      <w:r>
        <w:rPr>
          <w:spacing w:val="-12"/>
        </w:rPr>
        <w:t xml:space="preserve"> </w:t>
      </w:r>
      <w:r>
        <w:t>through</w:t>
      </w:r>
      <w:r>
        <w:rPr>
          <w:spacing w:val="-13"/>
        </w:rPr>
        <w:t xml:space="preserve"> </w:t>
      </w:r>
      <w:r>
        <w:t>the</w:t>
      </w:r>
      <w:r>
        <w:rPr>
          <w:spacing w:val="-12"/>
        </w:rPr>
        <w:t xml:space="preserve"> </w:t>
      </w:r>
      <w:r>
        <w:t>Policy</w:t>
      </w:r>
      <w:r>
        <w:rPr>
          <w:spacing w:val="-13"/>
        </w:rPr>
        <w:t xml:space="preserve"> </w:t>
      </w:r>
      <w:r>
        <w:t>Advocacy</w:t>
      </w:r>
      <w:r>
        <w:rPr>
          <w:spacing w:val="-12"/>
        </w:rPr>
        <w:t xml:space="preserve"> </w:t>
      </w:r>
      <w:r>
        <w:t>Community</w:t>
      </w:r>
      <w:r>
        <w:rPr>
          <w:spacing w:val="-12"/>
        </w:rPr>
        <w:t xml:space="preserve"> </w:t>
      </w:r>
      <w:r>
        <w:t>of</w:t>
      </w:r>
      <w:r>
        <w:rPr>
          <w:spacing w:val="-13"/>
        </w:rPr>
        <w:t xml:space="preserve"> </w:t>
      </w:r>
      <w:r>
        <w:t>Practice</w:t>
      </w:r>
      <w:r>
        <w:rPr>
          <w:spacing w:val="-12"/>
        </w:rPr>
        <w:t xml:space="preserve"> </w:t>
      </w:r>
      <w:r>
        <w:t>and</w:t>
      </w:r>
      <w:r>
        <w:rPr>
          <w:spacing w:val="-13"/>
        </w:rPr>
        <w:t xml:space="preserve"> </w:t>
      </w:r>
      <w:r>
        <w:t>Influence (CoPI). This multi-stakeholder platform—bringing together CSOs, universities, journalists, and think tanks—strengthens skills in policy analysis, evidence use, and strategic communication. Already regarded as trusted think tanks by local governments, CoPIs are influencing planning and</w:t>
      </w:r>
      <w:r>
        <w:rPr>
          <w:spacing w:val="-1"/>
        </w:rPr>
        <w:t xml:space="preserve"> </w:t>
      </w:r>
      <w:r>
        <w:t>budgeting</w:t>
      </w:r>
      <w:r>
        <w:rPr>
          <w:spacing w:val="-4"/>
        </w:rPr>
        <w:t xml:space="preserve"> </w:t>
      </w:r>
      <w:r>
        <w:t>processes</w:t>
      </w:r>
      <w:r>
        <w:rPr>
          <w:spacing w:val="-1"/>
        </w:rPr>
        <w:t xml:space="preserve"> </w:t>
      </w:r>
      <w:r>
        <w:t>to</w:t>
      </w:r>
      <w:r>
        <w:rPr>
          <w:spacing w:val="-4"/>
        </w:rPr>
        <w:t xml:space="preserve"> </w:t>
      </w:r>
      <w:r>
        <w:t>improve</w:t>
      </w:r>
      <w:r>
        <w:rPr>
          <w:spacing w:val="-3"/>
        </w:rPr>
        <w:t xml:space="preserve"> </w:t>
      </w:r>
      <w:r>
        <w:t>inclusive</w:t>
      </w:r>
      <w:r>
        <w:rPr>
          <w:spacing w:val="-3"/>
        </w:rPr>
        <w:t xml:space="preserve"> </w:t>
      </w:r>
      <w:r>
        <w:t>basic</w:t>
      </w:r>
      <w:r>
        <w:rPr>
          <w:spacing w:val="-2"/>
        </w:rPr>
        <w:t xml:space="preserve"> </w:t>
      </w:r>
      <w:r>
        <w:t>services</w:t>
      </w:r>
      <w:r>
        <w:rPr>
          <w:spacing w:val="-1"/>
        </w:rPr>
        <w:t xml:space="preserve"> </w:t>
      </w:r>
      <w:r>
        <w:t>and</w:t>
      </w:r>
      <w:r>
        <w:rPr>
          <w:spacing w:val="-2"/>
        </w:rPr>
        <w:t xml:space="preserve"> </w:t>
      </w:r>
      <w:r>
        <w:t>foster</w:t>
      </w:r>
      <w:r>
        <w:rPr>
          <w:spacing w:val="-1"/>
        </w:rPr>
        <w:t xml:space="preserve"> </w:t>
      </w:r>
      <w:r>
        <w:t>sustained</w:t>
      </w:r>
      <w:r>
        <w:rPr>
          <w:spacing w:val="-2"/>
        </w:rPr>
        <w:t xml:space="preserve"> </w:t>
      </w:r>
      <w:r>
        <w:t>collaboration between government and civil society.</w:t>
      </w:r>
    </w:p>
    <w:p w14:paraId="4D2744D2" w14:textId="77777777" w:rsidR="00BC24A8" w:rsidRDefault="00BC24A8">
      <w:pPr>
        <w:pStyle w:val="ListParagraph"/>
        <w:spacing w:line="278" w:lineRule="auto"/>
        <w:rPr>
          <w:rFonts w:ascii="Symbol" w:hAnsi="Symbol"/>
        </w:rPr>
        <w:sectPr w:rsidR="00BC24A8">
          <w:pgSz w:w="11910" w:h="16840"/>
          <w:pgMar w:top="1320" w:right="1133" w:bottom="1100" w:left="1275" w:header="0" w:footer="907" w:gutter="0"/>
          <w:cols w:space="720"/>
        </w:sectPr>
      </w:pPr>
    </w:p>
    <w:p w14:paraId="7688133D" w14:textId="77777777" w:rsidR="00BC24A8" w:rsidRDefault="00000000">
      <w:pPr>
        <w:pStyle w:val="Heading1"/>
      </w:pPr>
      <w:bookmarkStart w:id="21" w:name="Context"/>
      <w:bookmarkStart w:id="22" w:name="_bookmark12"/>
      <w:bookmarkEnd w:id="21"/>
      <w:bookmarkEnd w:id="22"/>
      <w:r w:rsidRPr="00795364">
        <w:rPr>
          <w:color w:val="00A59C"/>
          <w:spacing w:val="-2"/>
        </w:rPr>
        <w:lastRenderedPageBreak/>
        <w:t>Context</w:t>
      </w:r>
    </w:p>
    <w:p w14:paraId="5D56FB07" w14:textId="77777777" w:rsidR="00BC24A8" w:rsidRDefault="00000000">
      <w:pPr>
        <w:pStyle w:val="BodyText"/>
        <w:spacing w:before="586" w:line="278" w:lineRule="auto"/>
        <w:ind w:left="143" w:right="280"/>
        <w:jc w:val="both"/>
      </w:pPr>
      <w:r>
        <w:rPr>
          <w:spacing w:val="-2"/>
        </w:rPr>
        <w:t>SKALA operates within an Indonesian</w:t>
      </w:r>
      <w:r>
        <w:rPr>
          <w:spacing w:val="-4"/>
        </w:rPr>
        <w:t xml:space="preserve"> </w:t>
      </w:r>
      <w:r>
        <w:rPr>
          <w:spacing w:val="-2"/>
        </w:rPr>
        <w:t>governance</w:t>
      </w:r>
      <w:r>
        <w:rPr>
          <w:spacing w:val="-3"/>
        </w:rPr>
        <w:t xml:space="preserve"> </w:t>
      </w:r>
      <w:r>
        <w:rPr>
          <w:spacing w:val="-2"/>
        </w:rPr>
        <w:t>environment that</w:t>
      </w:r>
      <w:r>
        <w:rPr>
          <w:spacing w:val="-3"/>
        </w:rPr>
        <w:t xml:space="preserve"> </w:t>
      </w:r>
      <w:r>
        <w:rPr>
          <w:spacing w:val="-2"/>
        </w:rPr>
        <w:t>is</w:t>
      </w:r>
      <w:r>
        <w:rPr>
          <w:spacing w:val="-3"/>
        </w:rPr>
        <w:t xml:space="preserve"> </w:t>
      </w:r>
      <w:r>
        <w:rPr>
          <w:spacing w:val="-2"/>
        </w:rPr>
        <w:t xml:space="preserve">becoming increasingly centralised. </w:t>
      </w:r>
      <w:r>
        <w:t xml:space="preserve">Unfortunately, centralised structures are increasingly fragmented with many ministries and bodies </w:t>
      </w:r>
      <w:r>
        <w:rPr>
          <w:spacing w:val="-2"/>
        </w:rPr>
        <w:t>competing</w:t>
      </w:r>
      <w:r>
        <w:rPr>
          <w:spacing w:val="-5"/>
        </w:rPr>
        <w:t xml:space="preserve"> </w:t>
      </w:r>
      <w:r>
        <w:rPr>
          <w:spacing w:val="-2"/>
        </w:rPr>
        <w:t>at</w:t>
      </w:r>
      <w:r>
        <w:rPr>
          <w:spacing w:val="-5"/>
        </w:rPr>
        <w:t xml:space="preserve"> </w:t>
      </w:r>
      <w:r>
        <w:rPr>
          <w:spacing w:val="-2"/>
        </w:rPr>
        <w:t>a</w:t>
      </w:r>
      <w:r>
        <w:rPr>
          <w:spacing w:val="-6"/>
        </w:rPr>
        <w:t xml:space="preserve"> </w:t>
      </w:r>
      <w:r>
        <w:rPr>
          <w:spacing w:val="-2"/>
        </w:rPr>
        <w:t>national</w:t>
      </w:r>
      <w:r>
        <w:rPr>
          <w:spacing w:val="-6"/>
        </w:rPr>
        <w:t xml:space="preserve"> </w:t>
      </w:r>
      <w:r>
        <w:rPr>
          <w:spacing w:val="-2"/>
        </w:rPr>
        <w:t>level</w:t>
      </w:r>
      <w:r>
        <w:rPr>
          <w:spacing w:val="-6"/>
        </w:rPr>
        <w:t xml:space="preserve"> </w:t>
      </w:r>
      <w:r>
        <w:rPr>
          <w:spacing w:val="-2"/>
        </w:rPr>
        <w:t>for</w:t>
      </w:r>
      <w:r>
        <w:rPr>
          <w:spacing w:val="-3"/>
        </w:rPr>
        <w:t xml:space="preserve"> </w:t>
      </w:r>
      <w:r>
        <w:rPr>
          <w:spacing w:val="-2"/>
        </w:rPr>
        <w:t>influence</w:t>
      </w:r>
      <w:r>
        <w:rPr>
          <w:spacing w:val="-6"/>
        </w:rPr>
        <w:t xml:space="preserve"> </w:t>
      </w:r>
      <w:r>
        <w:rPr>
          <w:spacing w:val="-2"/>
        </w:rPr>
        <w:t>and</w:t>
      </w:r>
      <w:r>
        <w:rPr>
          <w:spacing w:val="-3"/>
        </w:rPr>
        <w:t xml:space="preserve"> </w:t>
      </w:r>
      <w:r>
        <w:rPr>
          <w:spacing w:val="-2"/>
        </w:rPr>
        <w:t>resources.</w:t>
      </w:r>
      <w:r>
        <w:rPr>
          <w:spacing w:val="-3"/>
        </w:rPr>
        <w:t xml:space="preserve"> </w:t>
      </w:r>
      <w:r>
        <w:rPr>
          <w:spacing w:val="-2"/>
        </w:rPr>
        <w:t>In</w:t>
      </w:r>
      <w:r>
        <w:rPr>
          <w:spacing w:val="-3"/>
        </w:rPr>
        <w:t xml:space="preserve"> </w:t>
      </w:r>
      <w:r>
        <w:rPr>
          <w:spacing w:val="-2"/>
        </w:rPr>
        <w:t>this</w:t>
      </w:r>
      <w:r>
        <w:rPr>
          <w:spacing w:val="-6"/>
        </w:rPr>
        <w:t xml:space="preserve"> </w:t>
      </w:r>
      <w:r>
        <w:rPr>
          <w:spacing w:val="-2"/>
        </w:rPr>
        <w:t>“fragmented</w:t>
      </w:r>
      <w:r>
        <w:rPr>
          <w:spacing w:val="-3"/>
        </w:rPr>
        <w:t xml:space="preserve"> </w:t>
      </w:r>
      <w:r>
        <w:rPr>
          <w:spacing w:val="-2"/>
        </w:rPr>
        <w:t>centralism”</w:t>
      </w:r>
      <w:r>
        <w:rPr>
          <w:spacing w:val="-3"/>
        </w:rPr>
        <w:t xml:space="preserve"> </w:t>
      </w:r>
      <w:r>
        <w:rPr>
          <w:spacing w:val="-2"/>
        </w:rPr>
        <w:t>context,</w:t>
      </w:r>
      <w:r>
        <w:rPr>
          <w:spacing w:val="-3"/>
        </w:rPr>
        <w:t xml:space="preserve"> </w:t>
      </w:r>
      <w:r>
        <w:rPr>
          <w:spacing w:val="-2"/>
        </w:rPr>
        <w:t xml:space="preserve">SKALA </w:t>
      </w:r>
      <w:r>
        <w:t>plays a vital role in building synergies and collaboration within government, and between government and non-government actors. The program also plays a valuable role in advocating for context responsiveness within centrally administered processes – ensuring that diverse</w:t>
      </w:r>
      <w:r>
        <w:rPr>
          <w:spacing w:val="-1"/>
        </w:rPr>
        <w:t xml:space="preserve"> </w:t>
      </w:r>
      <w:r>
        <w:t>provincial contexts are responded</w:t>
      </w:r>
      <w:r>
        <w:rPr>
          <w:spacing w:val="-11"/>
        </w:rPr>
        <w:t xml:space="preserve"> </w:t>
      </w:r>
      <w:r>
        <w:t>to</w:t>
      </w:r>
      <w:r>
        <w:rPr>
          <w:spacing w:val="-9"/>
        </w:rPr>
        <w:t xml:space="preserve"> </w:t>
      </w:r>
      <w:r>
        <w:t>in</w:t>
      </w:r>
      <w:r>
        <w:rPr>
          <w:spacing w:val="-10"/>
        </w:rPr>
        <w:t xml:space="preserve"> </w:t>
      </w:r>
      <w:r>
        <w:t>national</w:t>
      </w:r>
      <w:r>
        <w:rPr>
          <w:spacing w:val="-12"/>
        </w:rPr>
        <w:t xml:space="preserve"> </w:t>
      </w:r>
      <w:r>
        <w:t>plans</w:t>
      </w:r>
      <w:r>
        <w:rPr>
          <w:spacing w:val="-8"/>
        </w:rPr>
        <w:t xml:space="preserve"> </w:t>
      </w:r>
      <w:r>
        <w:t>and</w:t>
      </w:r>
      <w:r>
        <w:rPr>
          <w:spacing w:val="-8"/>
        </w:rPr>
        <w:t xml:space="preserve"> </w:t>
      </w:r>
      <w:r>
        <w:t>key</w:t>
      </w:r>
      <w:r>
        <w:rPr>
          <w:spacing w:val="-10"/>
        </w:rPr>
        <w:t xml:space="preserve"> </w:t>
      </w:r>
      <w:r>
        <w:t>fiscal</w:t>
      </w:r>
      <w:r>
        <w:rPr>
          <w:spacing w:val="-9"/>
        </w:rPr>
        <w:t xml:space="preserve"> </w:t>
      </w:r>
      <w:r>
        <w:t>policies.</w:t>
      </w:r>
      <w:r>
        <w:rPr>
          <w:spacing w:val="-10"/>
        </w:rPr>
        <w:t xml:space="preserve"> </w:t>
      </w:r>
      <w:r>
        <w:t>These</w:t>
      </w:r>
      <w:r>
        <w:rPr>
          <w:spacing w:val="-10"/>
        </w:rPr>
        <w:t xml:space="preserve"> </w:t>
      </w:r>
      <w:r>
        <w:t>functions</w:t>
      </w:r>
      <w:r>
        <w:rPr>
          <w:spacing w:val="-10"/>
        </w:rPr>
        <w:t xml:space="preserve"> </w:t>
      </w:r>
      <w:r>
        <w:t>are</w:t>
      </w:r>
      <w:r>
        <w:rPr>
          <w:spacing w:val="-10"/>
        </w:rPr>
        <w:t xml:space="preserve"> </w:t>
      </w:r>
      <w:r>
        <w:t>both</w:t>
      </w:r>
      <w:r>
        <w:rPr>
          <w:spacing w:val="-8"/>
        </w:rPr>
        <w:t xml:space="preserve"> </w:t>
      </w:r>
      <w:r>
        <w:t>important</w:t>
      </w:r>
      <w:r>
        <w:rPr>
          <w:spacing w:val="-9"/>
        </w:rPr>
        <w:t xml:space="preserve"> </w:t>
      </w:r>
      <w:r>
        <w:t>and</w:t>
      </w:r>
      <w:r>
        <w:rPr>
          <w:spacing w:val="-8"/>
        </w:rPr>
        <w:t xml:space="preserve"> </w:t>
      </w:r>
      <w:r>
        <w:t>necessary to progress the shared goals of the partnership program.</w:t>
      </w:r>
    </w:p>
    <w:p w14:paraId="6CE91CB9" w14:textId="77777777" w:rsidR="00BC24A8" w:rsidRDefault="00000000">
      <w:pPr>
        <w:pStyle w:val="BodyText"/>
        <w:spacing w:before="155"/>
        <w:ind w:left="143"/>
        <w:jc w:val="both"/>
      </w:pPr>
      <w:r>
        <w:t>SKALA’s</w:t>
      </w:r>
      <w:r>
        <w:rPr>
          <w:spacing w:val="-13"/>
        </w:rPr>
        <w:t xml:space="preserve"> </w:t>
      </w:r>
      <w:r>
        <w:t>program</w:t>
      </w:r>
      <w:r>
        <w:rPr>
          <w:spacing w:val="-12"/>
        </w:rPr>
        <w:t xml:space="preserve"> </w:t>
      </w:r>
      <w:r>
        <w:t>design</w:t>
      </w:r>
      <w:r>
        <w:rPr>
          <w:spacing w:val="-13"/>
        </w:rPr>
        <w:t xml:space="preserve"> </w:t>
      </w:r>
      <w:r>
        <w:t>assumes</w:t>
      </w:r>
      <w:r>
        <w:rPr>
          <w:spacing w:val="-11"/>
        </w:rPr>
        <w:t xml:space="preserve"> </w:t>
      </w:r>
      <w:r>
        <w:rPr>
          <w:spacing w:val="-4"/>
        </w:rPr>
        <w:t>that:</w:t>
      </w:r>
    </w:p>
    <w:p w14:paraId="45FFD599" w14:textId="77777777" w:rsidR="00BC24A8" w:rsidRDefault="00000000">
      <w:pPr>
        <w:pStyle w:val="ListParagraph"/>
        <w:numPr>
          <w:ilvl w:val="0"/>
          <w:numId w:val="172"/>
        </w:numPr>
        <w:tabs>
          <w:tab w:val="left" w:pos="863"/>
        </w:tabs>
        <w:spacing w:before="202" w:line="259" w:lineRule="auto"/>
        <w:ind w:right="515"/>
        <w:jc w:val="left"/>
        <w:rPr>
          <w:rFonts w:ascii="Symbol" w:hAnsi="Symbol"/>
          <w:sz w:val="20"/>
        </w:rPr>
      </w:pPr>
      <w:r>
        <w:t>Strong</w:t>
      </w:r>
      <w:r>
        <w:rPr>
          <w:spacing w:val="-7"/>
        </w:rPr>
        <w:t xml:space="preserve"> </w:t>
      </w:r>
      <w:r>
        <w:t>and</w:t>
      </w:r>
      <w:r>
        <w:rPr>
          <w:spacing w:val="-9"/>
        </w:rPr>
        <w:t xml:space="preserve"> </w:t>
      </w:r>
      <w:r>
        <w:t>predictable</w:t>
      </w:r>
      <w:r>
        <w:rPr>
          <w:spacing w:val="-8"/>
        </w:rPr>
        <w:t xml:space="preserve"> </w:t>
      </w:r>
      <w:r>
        <w:t>partnerships</w:t>
      </w:r>
      <w:r>
        <w:rPr>
          <w:spacing w:val="-8"/>
        </w:rPr>
        <w:t xml:space="preserve"> </w:t>
      </w:r>
      <w:r>
        <w:t>with</w:t>
      </w:r>
      <w:r>
        <w:rPr>
          <w:spacing w:val="-6"/>
        </w:rPr>
        <w:t xml:space="preserve"> </w:t>
      </w:r>
      <w:r>
        <w:t>and</w:t>
      </w:r>
      <w:r>
        <w:rPr>
          <w:spacing w:val="-9"/>
        </w:rPr>
        <w:t xml:space="preserve"> </w:t>
      </w:r>
      <w:r>
        <w:t>between</w:t>
      </w:r>
      <w:r>
        <w:rPr>
          <w:spacing w:val="-9"/>
        </w:rPr>
        <w:t xml:space="preserve"> </w:t>
      </w:r>
      <w:r>
        <w:t>central</w:t>
      </w:r>
      <w:r>
        <w:rPr>
          <w:spacing w:val="-8"/>
        </w:rPr>
        <w:t xml:space="preserve"> </w:t>
      </w:r>
      <w:r>
        <w:t>government</w:t>
      </w:r>
      <w:r>
        <w:rPr>
          <w:spacing w:val="-7"/>
        </w:rPr>
        <w:t xml:space="preserve"> </w:t>
      </w:r>
      <w:r>
        <w:t>counterparts</w:t>
      </w:r>
      <w:r>
        <w:rPr>
          <w:spacing w:val="-8"/>
        </w:rPr>
        <w:t xml:space="preserve"> </w:t>
      </w:r>
      <w:r>
        <w:t>are essential for smooth implementation and influence on national-to-subnational alignment.</w:t>
      </w:r>
    </w:p>
    <w:p w14:paraId="02B23A1C" w14:textId="77777777" w:rsidR="00BC24A8" w:rsidRDefault="00000000">
      <w:pPr>
        <w:pStyle w:val="ListParagraph"/>
        <w:numPr>
          <w:ilvl w:val="0"/>
          <w:numId w:val="172"/>
        </w:numPr>
        <w:tabs>
          <w:tab w:val="left" w:pos="863"/>
        </w:tabs>
        <w:spacing w:before="162" w:line="259" w:lineRule="auto"/>
        <w:ind w:right="472"/>
        <w:jc w:val="left"/>
        <w:rPr>
          <w:rFonts w:ascii="Symbol" w:hAnsi="Symbol"/>
          <w:sz w:val="20"/>
        </w:rPr>
      </w:pPr>
      <w:r>
        <w:t>Subnational</w:t>
      </w:r>
      <w:r>
        <w:rPr>
          <w:spacing w:val="-9"/>
        </w:rPr>
        <w:t xml:space="preserve"> </w:t>
      </w:r>
      <w:r>
        <w:t>governments</w:t>
      </w:r>
      <w:r>
        <w:rPr>
          <w:spacing w:val="-7"/>
        </w:rPr>
        <w:t xml:space="preserve"> </w:t>
      </w:r>
      <w:r>
        <w:t>have</w:t>
      </w:r>
      <w:r>
        <w:rPr>
          <w:spacing w:val="-9"/>
        </w:rPr>
        <w:t xml:space="preserve"> </w:t>
      </w:r>
      <w:r>
        <w:t>sufficient</w:t>
      </w:r>
      <w:r>
        <w:rPr>
          <w:spacing w:val="-6"/>
        </w:rPr>
        <w:t xml:space="preserve"> </w:t>
      </w:r>
      <w:r>
        <w:t>fiscal</w:t>
      </w:r>
      <w:r>
        <w:rPr>
          <w:spacing w:val="-9"/>
        </w:rPr>
        <w:t xml:space="preserve"> </w:t>
      </w:r>
      <w:r>
        <w:t>space</w:t>
      </w:r>
      <w:r>
        <w:rPr>
          <w:spacing w:val="-7"/>
        </w:rPr>
        <w:t xml:space="preserve"> </w:t>
      </w:r>
      <w:r>
        <w:t>and</w:t>
      </w:r>
      <w:r>
        <w:rPr>
          <w:spacing w:val="-6"/>
        </w:rPr>
        <w:t xml:space="preserve"> </w:t>
      </w:r>
      <w:r>
        <w:t>leadership</w:t>
      </w:r>
      <w:r>
        <w:rPr>
          <w:spacing w:val="-6"/>
        </w:rPr>
        <w:t xml:space="preserve"> </w:t>
      </w:r>
      <w:r>
        <w:t>stability</w:t>
      </w:r>
      <w:r>
        <w:rPr>
          <w:spacing w:val="-6"/>
        </w:rPr>
        <w:t xml:space="preserve"> </w:t>
      </w:r>
      <w:r>
        <w:t>to</w:t>
      </w:r>
      <w:r>
        <w:rPr>
          <w:spacing w:val="-8"/>
        </w:rPr>
        <w:t xml:space="preserve"> </w:t>
      </w:r>
      <w:r>
        <w:t>plan,</w:t>
      </w:r>
      <w:r>
        <w:rPr>
          <w:spacing w:val="-6"/>
        </w:rPr>
        <w:t xml:space="preserve"> </w:t>
      </w:r>
      <w:r>
        <w:t xml:space="preserve">budget, and deliver inclusive services aligned with Minimum Service Standards (MSS) and GEDSI </w:t>
      </w:r>
      <w:r>
        <w:rPr>
          <w:spacing w:val="-2"/>
        </w:rPr>
        <w:t>principles.</w:t>
      </w:r>
    </w:p>
    <w:p w14:paraId="0A6BEA64" w14:textId="77777777" w:rsidR="00BC24A8" w:rsidRDefault="00000000">
      <w:pPr>
        <w:pStyle w:val="ListParagraph"/>
        <w:numPr>
          <w:ilvl w:val="0"/>
          <w:numId w:val="172"/>
        </w:numPr>
        <w:tabs>
          <w:tab w:val="left" w:pos="863"/>
        </w:tabs>
        <w:spacing w:before="159" w:line="256" w:lineRule="auto"/>
        <w:ind w:right="969"/>
        <w:jc w:val="left"/>
        <w:rPr>
          <w:rFonts w:ascii="Symbol" w:hAnsi="Symbol"/>
          <w:sz w:val="20"/>
        </w:rPr>
      </w:pPr>
      <w:r>
        <w:t>National</w:t>
      </w:r>
      <w:r>
        <w:rPr>
          <w:spacing w:val="-6"/>
        </w:rPr>
        <w:t xml:space="preserve"> </w:t>
      </w:r>
      <w:r>
        <w:t>policy</w:t>
      </w:r>
      <w:r>
        <w:rPr>
          <w:spacing w:val="-4"/>
        </w:rPr>
        <w:t xml:space="preserve"> </w:t>
      </w:r>
      <w:r>
        <w:t>reforms</w:t>
      </w:r>
      <w:r>
        <w:rPr>
          <w:spacing w:val="-4"/>
        </w:rPr>
        <w:t xml:space="preserve"> </w:t>
      </w:r>
      <w:r>
        <w:t>(e.g.,</w:t>
      </w:r>
      <w:r>
        <w:rPr>
          <w:spacing w:val="-6"/>
        </w:rPr>
        <w:t xml:space="preserve"> </w:t>
      </w:r>
      <w:r>
        <w:t>on</w:t>
      </w:r>
      <w:r>
        <w:rPr>
          <w:spacing w:val="-7"/>
        </w:rPr>
        <w:t xml:space="preserve"> </w:t>
      </w:r>
      <w:r>
        <w:t>data</w:t>
      </w:r>
      <w:r>
        <w:rPr>
          <w:spacing w:val="-6"/>
        </w:rPr>
        <w:t xml:space="preserve"> </w:t>
      </w:r>
      <w:r>
        <w:t>governance,</w:t>
      </w:r>
      <w:r>
        <w:rPr>
          <w:spacing w:val="-6"/>
        </w:rPr>
        <w:t xml:space="preserve"> </w:t>
      </w:r>
      <w:r>
        <w:t>fiscal</w:t>
      </w:r>
      <w:r>
        <w:rPr>
          <w:spacing w:val="-6"/>
        </w:rPr>
        <w:t xml:space="preserve"> </w:t>
      </w:r>
      <w:r>
        <w:t>transfers)</w:t>
      </w:r>
      <w:r>
        <w:rPr>
          <w:spacing w:val="-6"/>
        </w:rPr>
        <w:t xml:space="preserve"> </w:t>
      </w:r>
      <w:r>
        <w:t>will</w:t>
      </w:r>
      <w:r>
        <w:rPr>
          <w:spacing w:val="-6"/>
        </w:rPr>
        <w:t xml:space="preserve"> </w:t>
      </w:r>
      <w:r>
        <w:t>be</w:t>
      </w:r>
      <w:r>
        <w:rPr>
          <w:spacing w:val="-6"/>
        </w:rPr>
        <w:t xml:space="preserve"> </w:t>
      </w:r>
      <w:r>
        <w:t>rolled</w:t>
      </w:r>
      <w:r>
        <w:rPr>
          <w:spacing w:val="-4"/>
        </w:rPr>
        <w:t xml:space="preserve"> </w:t>
      </w:r>
      <w:r>
        <w:t>out</w:t>
      </w:r>
      <w:r>
        <w:rPr>
          <w:spacing w:val="-8"/>
        </w:rPr>
        <w:t xml:space="preserve"> </w:t>
      </w:r>
      <w:r>
        <w:t>in</w:t>
      </w:r>
      <w:r>
        <w:rPr>
          <w:spacing w:val="-4"/>
        </w:rPr>
        <w:t xml:space="preserve"> </w:t>
      </w:r>
      <w:r>
        <w:t>a manner that enables local adaptation and capacity development.</w:t>
      </w:r>
    </w:p>
    <w:p w14:paraId="690BA3DE" w14:textId="77777777" w:rsidR="00BC24A8" w:rsidRDefault="00000000">
      <w:pPr>
        <w:pStyle w:val="ListParagraph"/>
        <w:numPr>
          <w:ilvl w:val="0"/>
          <w:numId w:val="172"/>
        </w:numPr>
        <w:tabs>
          <w:tab w:val="left" w:pos="863"/>
        </w:tabs>
        <w:spacing w:before="165" w:line="259" w:lineRule="auto"/>
        <w:ind w:right="640"/>
        <w:jc w:val="left"/>
        <w:rPr>
          <w:rFonts w:ascii="Symbol" w:hAnsi="Symbol"/>
          <w:sz w:val="20"/>
        </w:rPr>
      </w:pPr>
      <w:r>
        <w:t>Civil</w:t>
      </w:r>
      <w:r>
        <w:rPr>
          <w:spacing w:val="-8"/>
        </w:rPr>
        <w:t xml:space="preserve"> </w:t>
      </w:r>
      <w:r>
        <w:t>society</w:t>
      </w:r>
      <w:r>
        <w:rPr>
          <w:spacing w:val="-6"/>
        </w:rPr>
        <w:t xml:space="preserve"> </w:t>
      </w:r>
      <w:r>
        <w:t>networks</w:t>
      </w:r>
      <w:r>
        <w:rPr>
          <w:spacing w:val="-8"/>
        </w:rPr>
        <w:t xml:space="preserve"> </w:t>
      </w:r>
      <w:r>
        <w:t>(JMS)</w:t>
      </w:r>
      <w:r>
        <w:rPr>
          <w:spacing w:val="-8"/>
        </w:rPr>
        <w:t xml:space="preserve"> </w:t>
      </w:r>
      <w:r>
        <w:t>can</w:t>
      </w:r>
      <w:r>
        <w:rPr>
          <w:spacing w:val="-6"/>
        </w:rPr>
        <w:t xml:space="preserve"> </w:t>
      </w:r>
      <w:r>
        <w:t>be</w:t>
      </w:r>
      <w:r>
        <w:rPr>
          <w:spacing w:val="-8"/>
        </w:rPr>
        <w:t xml:space="preserve"> </w:t>
      </w:r>
      <w:r>
        <w:t>engaged</w:t>
      </w:r>
      <w:r>
        <w:rPr>
          <w:spacing w:val="-6"/>
        </w:rPr>
        <w:t xml:space="preserve"> </w:t>
      </w:r>
      <w:r>
        <w:t>as</w:t>
      </w:r>
      <w:r>
        <w:rPr>
          <w:spacing w:val="-8"/>
        </w:rPr>
        <w:t xml:space="preserve"> </w:t>
      </w:r>
      <w:r>
        <w:t>effective</w:t>
      </w:r>
      <w:r>
        <w:rPr>
          <w:spacing w:val="-8"/>
        </w:rPr>
        <w:t xml:space="preserve"> </w:t>
      </w:r>
      <w:r>
        <w:t>partners</w:t>
      </w:r>
      <w:r>
        <w:rPr>
          <w:spacing w:val="-8"/>
        </w:rPr>
        <w:t xml:space="preserve"> </w:t>
      </w:r>
      <w:r>
        <w:t>in</w:t>
      </w:r>
      <w:r>
        <w:rPr>
          <w:spacing w:val="-6"/>
        </w:rPr>
        <w:t xml:space="preserve"> </w:t>
      </w:r>
      <w:r>
        <w:t>strengthening</w:t>
      </w:r>
      <w:r>
        <w:rPr>
          <w:spacing w:val="-9"/>
        </w:rPr>
        <w:t xml:space="preserve"> </w:t>
      </w:r>
      <w:r>
        <w:t>inclusive governance, particularly in planning and budgeting.</w:t>
      </w:r>
    </w:p>
    <w:p w14:paraId="7E9A6C8D" w14:textId="77777777" w:rsidR="00BC24A8" w:rsidRDefault="00000000">
      <w:pPr>
        <w:pStyle w:val="BodyText"/>
        <w:spacing w:before="159"/>
        <w:ind w:left="143"/>
        <w:jc w:val="both"/>
      </w:pPr>
      <w:r>
        <w:t>These</w:t>
      </w:r>
      <w:r>
        <w:rPr>
          <w:spacing w:val="-8"/>
        </w:rPr>
        <w:t xml:space="preserve"> </w:t>
      </w:r>
      <w:r>
        <w:t>assumptions</w:t>
      </w:r>
      <w:r>
        <w:rPr>
          <w:spacing w:val="-8"/>
        </w:rPr>
        <w:t xml:space="preserve"> </w:t>
      </w:r>
      <w:r>
        <w:t>continue</w:t>
      </w:r>
      <w:r>
        <w:rPr>
          <w:spacing w:val="-8"/>
        </w:rPr>
        <w:t xml:space="preserve"> </w:t>
      </w:r>
      <w:r>
        <w:t>to</w:t>
      </w:r>
      <w:r>
        <w:rPr>
          <w:spacing w:val="-7"/>
        </w:rPr>
        <w:t xml:space="preserve"> </w:t>
      </w:r>
      <w:r>
        <w:t>be</w:t>
      </w:r>
      <w:r>
        <w:rPr>
          <w:spacing w:val="-8"/>
        </w:rPr>
        <w:t xml:space="preserve"> </w:t>
      </w:r>
      <w:r>
        <w:t>tested</w:t>
      </w:r>
      <w:r>
        <w:rPr>
          <w:spacing w:val="-6"/>
        </w:rPr>
        <w:t xml:space="preserve"> </w:t>
      </w:r>
      <w:r>
        <w:t>as</w:t>
      </w:r>
      <w:r>
        <w:rPr>
          <w:spacing w:val="-6"/>
        </w:rPr>
        <w:t xml:space="preserve"> </w:t>
      </w:r>
      <w:r>
        <w:t>political,</w:t>
      </w:r>
      <w:r>
        <w:rPr>
          <w:spacing w:val="-6"/>
        </w:rPr>
        <w:t xml:space="preserve"> </w:t>
      </w:r>
      <w:r>
        <w:t>fiscal,</w:t>
      </w:r>
      <w:r>
        <w:rPr>
          <w:spacing w:val="-7"/>
        </w:rPr>
        <w:t xml:space="preserve"> </w:t>
      </w:r>
      <w:r>
        <w:t>and</w:t>
      </w:r>
      <w:r>
        <w:rPr>
          <w:spacing w:val="-6"/>
        </w:rPr>
        <w:t xml:space="preserve"> </w:t>
      </w:r>
      <w:r>
        <w:t>institutional</w:t>
      </w:r>
      <w:r>
        <w:rPr>
          <w:spacing w:val="-8"/>
        </w:rPr>
        <w:t xml:space="preserve"> </w:t>
      </w:r>
      <w:r>
        <w:t>dynamics</w:t>
      </w:r>
      <w:r>
        <w:rPr>
          <w:spacing w:val="-6"/>
        </w:rPr>
        <w:t xml:space="preserve"> </w:t>
      </w:r>
      <w:r>
        <w:rPr>
          <w:spacing w:val="-2"/>
        </w:rPr>
        <w:t>evolve.</w:t>
      </w:r>
    </w:p>
    <w:p w14:paraId="05436A3E" w14:textId="77777777" w:rsidR="00BC24A8" w:rsidRDefault="00BC24A8">
      <w:pPr>
        <w:pStyle w:val="BodyText"/>
      </w:pPr>
    </w:p>
    <w:p w14:paraId="064F7A4F" w14:textId="77777777" w:rsidR="00BC24A8" w:rsidRDefault="00BC24A8">
      <w:pPr>
        <w:pStyle w:val="BodyText"/>
        <w:spacing w:before="139"/>
      </w:pPr>
    </w:p>
    <w:p w14:paraId="3213DB80" w14:textId="77777777" w:rsidR="00BC24A8" w:rsidRDefault="00000000">
      <w:pPr>
        <w:pStyle w:val="Heading4"/>
        <w:spacing w:before="0"/>
        <w:jc w:val="both"/>
      </w:pPr>
      <w:bookmarkStart w:id="23" w:name="Partnership_Dynamics"/>
      <w:bookmarkStart w:id="24" w:name="_bookmark13"/>
      <w:bookmarkEnd w:id="23"/>
      <w:bookmarkEnd w:id="24"/>
      <w:r>
        <w:rPr>
          <w:color w:val="17365A"/>
          <w:spacing w:val="-6"/>
        </w:rPr>
        <w:t>Partnership</w:t>
      </w:r>
      <w:r>
        <w:rPr>
          <w:color w:val="17365A"/>
          <w:spacing w:val="-16"/>
        </w:rPr>
        <w:t xml:space="preserve"> </w:t>
      </w:r>
      <w:r>
        <w:rPr>
          <w:color w:val="17365A"/>
          <w:spacing w:val="-2"/>
        </w:rPr>
        <w:t>Dynamics</w:t>
      </w:r>
    </w:p>
    <w:p w14:paraId="3ED89D2F" w14:textId="77777777" w:rsidR="00BC24A8" w:rsidRDefault="00000000">
      <w:pPr>
        <w:pStyle w:val="BodyText"/>
        <w:spacing w:before="254" w:line="278" w:lineRule="auto"/>
        <w:ind w:left="143" w:right="279"/>
        <w:jc w:val="both"/>
      </w:pPr>
      <w:r>
        <w:t>During the first half of 2025, SKALA experienced increased operational oversight by BAPPENAS as the program and its partners negotiated how best to respond to new national policy priorities and heightened domestic budgetary pressures. To effectively address the partnership and alignment risks this</w:t>
      </w:r>
      <w:r>
        <w:rPr>
          <w:spacing w:val="-5"/>
        </w:rPr>
        <w:t xml:space="preserve"> </w:t>
      </w:r>
      <w:r>
        <w:t>introduced,</w:t>
      </w:r>
      <w:r>
        <w:rPr>
          <w:spacing w:val="-5"/>
        </w:rPr>
        <w:t xml:space="preserve"> </w:t>
      </w:r>
      <w:r>
        <w:t>there</w:t>
      </w:r>
      <w:r>
        <w:rPr>
          <w:spacing w:val="-7"/>
        </w:rPr>
        <w:t xml:space="preserve"> </w:t>
      </w:r>
      <w:r>
        <w:t>was</w:t>
      </w:r>
      <w:r>
        <w:rPr>
          <w:spacing w:val="-7"/>
        </w:rPr>
        <w:t xml:space="preserve"> </w:t>
      </w:r>
      <w:r>
        <w:t>a</w:t>
      </w:r>
      <w:r>
        <w:rPr>
          <w:spacing w:val="-7"/>
        </w:rPr>
        <w:t xml:space="preserve"> </w:t>
      </w:r>
      <w:r>
        <w:t>temporary</w:t>
      </w:r>
      <w:r>
        <w:rPr>
          <w:spacing w:val="-7"/>
        </w:rPr>
        <w:t xml:space="preserve"> </w:t>
      </w:r>
      <w:r>
        <w:t>slowdown</w:t>
      </w:r>
      <w:r>
        <w:rPr>
          <w:spacing w:val="-5"/>
        </w:rPr>
        <w:t xml:space="preserve"> </w:t>
      </w:r>
      <w:r>
        <w:t>in</w:t>
      </w:r>
      <w:r>
        <w:rPr>
          <w:spacing w:val="-5"/>
        </w:rPr>
        <w:t xml:space="preserve"> </w:t>
      </w:r>
      <w:r>
        <w:t>program</w:t>
      </w:r>
      <w:r>
        <w:rPr>
          <w:spacing w:val="-5"/>
        </w:rPr>
        <w:t xml:space="preserve"> </w:t>
      </w:r>
      <w:r>
        <w:t>implementation</w:t>
      </w:r>
      <w:r>
        <w:rPr>
          <w:spacing w:val="-7"/>
        </w:rPr>
        <w:t xml:space="preserve"> </w:t>
      </w:r>
      <w:r>
        <w:t>(Jan–Mar),</w:t>
      </w:r>
      <w:r>
        <w:rPr>
          <w:spacing w:val="-5"/>
        </w:rPr>
        <w:t xml:space="preserve"> </w:t>
      </w:r>
      <w:r>
        <w:t>which</w:t>
      </w:r>
      <w:r>
        <w:rPr>
          <w:spacing w:val="-5"/>
        </w:rPr>
        <w:t xml:space="preserve"> </w:t>
      </w:r>
      <w:r>
        <w:t>in</w:t>
      </w:r>
      <w:r>
        <w:rPr>
          <w:spacing w:val="-5"/>
        </w:rPr>
        <w:t xml:space="preserve"> </w:t>
      </w:r>
      <w:r>
        <w:t>turn raised concerns among provincial partners about risks to their annual planning and budgeting performance. Momentum was regained in the second half of the semester, and 100% of the annual budget</w:t>
      </w:r>
      <w:r>
        <w:rPr>
          <w:spacing w:val="-6"/>
        </w:rPr>
        <w:t xml:space="preserve"> </w:t>
      </w:r>
      <w:r>
        <w:t>was</w:t>
      </w:r>
      <w:r>
        <w:rPr>
          <w:spacing w:val="-5"/>
        </w:rPr>
        <w:t xml:space="preserve"> </w:t>
      </w:r>
      <w:r>
        <w:t>acquitted.</w:t>
      </w:r>
      <w:r>
        <w:rPr>
          <w:spacing w:val="-2"/>
        </w:rPr>
        <w:t xml:space="preserve"> </w:t>
      </w:r>
      <w:r>
        <w:t>This</w:t>
      </w:r>
      <w:r>
        <w:rPr>
          <w:spacing w:val="-5"/>
        </w:rPr>
        <w:t xml:space="preserve"> </w:t>
      </w:r>
      <w:r>
        <w:t>episode</w:t>
      </w:r>
      <w:r>
        <w:rPr>
          <w:spacing w:val="-7"/>
        </w:rPr>
        <w:t xml:space="preserve"> </w:t>
      </w:r>
      <w:r>
        <w:t>did</w:t>
      </w:r>
      <w:r>
        <w:rPr>
          <w:spacing w:val="-5"/>
        </w:rPr>
        <w:t xml:space="preserve"> </w:t>
      </w:r>
      <w:r>
        <w:t>highlight</w:t>
      </w:r>
      <w:r>
        <w:rPr>
          <w:spacing w:val="-6"/>
        </w:rPr>
        <w:t xml:space="preserve"> </w:t>
      </w:r>
      <w:r>
        <w:t>the</w:t>
      </w:r>
      <w:r>
        <w:rPr>
          <w:spacing w:val="-5"/>
        </w:rPr>
        <w:t xml:space="preserve"> </w:t>
      </w:r>
      <w:r>
        <w:t>fragility</w:t>
      </w:r>
      <w:r>
        <w:rPr>
          <w:spacing w:val="-2"/>
        </w:rPr>
        <w:t xml:space="preserve"> </w:t>
      </w:r>
      <w:r>
        <w:t>of</w:t>
      </w:r>
      <w:r>
        <w:rPr>
          <w:spacing w:val="-5"/>
        </w:rPr>
        <w:t xml:space="preserve"> </w:t>
      </w:r>
      <w:r>
        <w:t>program–government</w:t>
      </w:r>
      <w:r>
        <w:rPr>
          <w:spacing w:val="-4"/>
        </w:rPr>
        <w:t xml:space="preserve"> </w:t>
      </w:r>
      <w:r>
        <w:t>relations</w:t>
      </w:r>
      <w:r>
        <w:rPr>
          <w:spacing w:val="-5"/>
        </w:rPr>
        <w:t xml:space="preserve"> </w:t>
      </w:r>
      <w:r>
        <w:t>and</w:t>
      </w:r>
      <w:r>
        <w:rPr>
          <w:spacing w:val="-5"/>
        </w:rPr>
        <w:t xml:space="preserve"> </w:t>
      </w:r>
      <w:r>
        <w:t xml:space="preserve">the need for clearer communication of shared program goals, SKALA’s operating model and governance </w:t>
      </w:r>
      <w:r>
        <w:rPr>
          <w:spacing w:val="-2"/>
        </w:rPr>
        <w:t>structures.</w:t>
      </w:r>
    </w:p>
    <w:p w14:paraId="1712EC31" w14:textId="77777777" w:rsidR="00BC24A8" w:rsidRDefault="00000000">
      <w:pPr>
        <w:pStyle w:val="BodyText"/>
        <w:spacing w:before="155" w:line="278" w:lineRule="auto"/>
        <w:ind w:left="143" w:right="280"/>
        <w:jc w:val="both"/>
      </w:pPr>
      <w:r>
        <w:t>Uncertainty also persisted at the subnational level, where structural and personnel changes within ministries and provincial administrations slowed decision-making. This created less predictable operating environments, impacting the program’s ability to sustain reform momentum.</w:t>
      </w:r>
    </w:p>
    <w:p w14:paraId="4BFBDEA7" w14:textId="77777777" w:rsidR="00BC24A8" w:rsidRDefault="00BC24A8">
      <w:pPr>
        <w:pStyle w:val="BodyText"/>
        <w:spacing w:line="278" w:lineRule="auto"/>
        <w:jc w:val="both"/>
        <w:sectPr w:rsidR="00BC24A8">
          <w:pgSz w:w="11910" w:h="16840"/>
          <w:pgMar w:top="1320" w:right="1133" w:bottom="1100" w:left="1275" w:header="0" w:footer="907" w:gutter="0"/>
          <w:cols w:space="720"/>
        </w:sectPr>
      </w:pPr>
    </w:p>
    <w:p w14:paraId="1899981E" w14:textId="77777777" w:rsidR="00BC24A8" w:rsidRDefault="00000000">
      <w:pPr>
        <w:pStyle w:val="Heading4"/>
        <w:spacing w:before="81"/>
      </w:pPr>
      <w:bookmarkStart w:id="25" w:name="National_Policy_Shifts"/>
      <w:bookmarkStart w:id="26" w:name="_bookmark14"/>
      <w:bookmarkEnd w:id="25"/>
      <w:bookmarkEnd w:id="26"/>
      <w:r>
        <w:rPr>
          <w:color w:val="17365A"/>
          <w:spacing w:val="-2"/>
        </w:rPr>
        <w:lastRenderedPageBreak/>
        <w:t>National</w:t>
      </w:r>
      <w:r>
        <w:rPr>
          <w:color w:val="17365A"/>
          <w:spacing w:val="-26"/>
        </w:rPr>
        <w:t xml:space="preserve"> </w:t>
      </w:r>
      <w:r>
        <w:rPr>
          <w:color w:val="17365A"/>
          <w:spacing w:val="-2"/>
        </w:rPr>
        <w:t>Policy</w:t>
      </w:r>
      <w:r>
        <w:rPr>
          <w:color w:val="17365A"/>
          <w:spacing w:val="-27"/>
        </w:rPr>
        <w:t xml:space="preserve"> </w:t>
      </w:r>
      <w:r>
        <w:rPr>
          <w:color w:val="17365A"/>
          <w:spacing w:val="-2"/>
        </w:rPr>
        <w:t>Shifts</w:t>
      </w:r>
    </w:p>
    <w:p w14:paraId="576D7C81" w14:textId="77777777" w:rsidR="00BC24A8" w:rsidRDefault="00000000">
      <w:pPr>
        <w:pStyle w:val="BodyText"/>
        <w:spacing w:before="254"/>
        <w:ind w:left="143"/>
        <w:jc w:val="both"/>
      </w:pPr>
      <w:r>
        <w:t>Several</w:t>
      </w:r>
      <w:r>
        <w:rPr>
          <w:spacing w:val="-9"/>
        </w:rPr>
        <w:t xml:space="preserve"> </w:t>
      </w:r>
      <w:r>
        <w:t>national</w:t>
      </w:r>
      <w:r>
        <w:rPr>
          <w:spacing w:val="-9"/>
        </w:rPr>
        <w:t xml:space="preserve"> </w:t>
      </w:r>
      <w:r>
        <w:t>policy</w:t>
      </w:r>
      <w:r>
        <w:rPr>
          <w:spacing w:val="-8"/>
        </w:rPr>
        <w:t xml:space="preserve"> </w:t>
      </w:r>
      <w:r>
        <w:t>developments</w:t>
      </w:r>
      <w:r>
        <w:rPr>
          <w:spacing w:val="-9"/>
        </w:rPr>
        <w:t xml:space="preserve"> </w:t>
      </w:r>
      <w:r>
        <w:t>shaped</w:t>
      </w:r>
      <w:r>
        <w:rPr>
          <w:spacing w:val="-7"/>
        </w:rPr>
        <w:t xml:space="preserve"> </w:t>
      </w:r>
      <w:r>
        <w:t>the</w:t>
      </w:r>
      <w:r>
        <w:rPr>
          <w:spacing w:val="-9"/>
        </w:rPr>
        <w:t xml:space="preserve"> </w:t>
      </w:r>
      <w:r>
        <w:rPr>
          <w:spacing w:val="-2"/>
        </w:rPr>
        <w:t>context:</w:t>
      </w:r>
    </w:p>
    <w:p w14:paraId="1E4E5741" w14:textId="77777777" w:rsidR="00BC24A8" w:rsidRDefault="00000000">
      <w:pPr>
        <w:pStyle w:val="ListParagraph"/>
        <w:numPr>
          <w:ilvl w:val="0"/>
          <w:numId w:val="172"/>
        </w:numPr>
        <w:tabs>
          <w:tab w:val="left" w:pos="863"/>
        </w:tabs>
        <w:spacing w:before="204" w:line="259" w:lineRule="auto"/>
        <w:ind w:right="397"/>
        <w:jc w:val="left"/>
        <w:rPr>
          <w:rFonts w:ascii="Symbol" w:hAnsi="Symbol"/>
          <w:sz w:val="20"/>
        </w:rPr>
      </w:pPr>
      <w:r>
        <w:t>Inpres</w:t>
      </w:r>
      <w:r>
        <w:rPr>
          <w:spacing w:val="-8"/>
        </w:rPr>
        <w:t xml:space="preserve"> </w:t>
      </w:r>
      <w:r>
        <w:t>No.</w:t>
      </w:r>
      <w:r>
        <w:rPr>
          <w:spacing w:val="-8"/>
        </w:rPr>
        <w:t xml:space="preserve"> </w:t>
      </w:r>
      <w:r>
        <w:t>1/2025</w:t>
      </w:r>
      <w:r>
        <w:rPr>
          <w:spacing w:val="-7"/>
        </w:rPr>
        <w:t xml:space="preserve"> </w:t>
      </w:r>
      <w:r>
        <w:t>on</w:t>
      </w:r>
      <w:r>
        <w:rPr>
          <w:spacing w:val="-7"/>
        </w:rPr>
        <w:t xml:space="preserve"> </w:t>
      </w:r>
      <w:r>
        <w:t>Spending</w:t>
      </w:r>
      <w:r>
        <w:rPr>
          <w:spacing w:val="-8"/>
        </w:rPr>
        <w:t xml:space="preserve"> </w:t>
      </w:r>
      <w:r>
        <w:t>Efficiency</w:t>
      </w:r>
      <w:r>
        <w:rPr>
          <w:spacing w:val="-8"/>
        </w:rPr>
        <w:t xml:space="preserve"> </w:t>
      </w:r>
      <w:r>
        <w:t>reduced</w:t>
      </w:r>
      <w:r>
        <w:rPr>
          <w:spacing w:val="-7"/>
        </w:rPr>
        <w:t xml:space="preserve"> </w:t>
      </w:r>
      <w:r>
        <w:t>fiscal</w:t>
      </w:r>
      <w:r>
        <w:rPr>
          <w:spacing w:val="-8"/>
        </w:rPr>
        <w:t xml:space="preserve"> </w:t>
      </w:r>
      <w:r>
        <w:t>transfers</w:t>
      </w:r>
      <w:r>
        <w:rPr>
          <w:spacing w:val="-8"/>
        </w:rPr>
        <w:t xml:space="preserve"> </w:t>
      </w:r>
      <w:r>
        <w:t>to</w:t>
      </w:r>
      <w:r>
        <w:rPr>
          <w:spacing w:val="-8"/>
        </w:rPr>
        <w:t xml:space="preserve"> </w:t>
      </w:r>
      <w:r>
        <w:t>subnational</w:t>
      </w:r>
      <w:r>
        <w:rPr>
          <w:spacing w:val="-10"/>
        </w:rPr>
        <w:t xml:space="preserve"> </w:t>
      </w:r>
      <w:r>
        <w:t>governments by 5.5%. This impacted on local partners’ ability to resource reforms, and increased pressure on SKALA to absorb operational costs while maintaining focus on outcomes.</w:t>
      </w:r>
    </w:p>
    <w:p w14:paraId="3E760BCA" w14:textId="77777777" w:rsidR="00BC24A8" w:rsidRDefault="00000000">
      <w:pPr>
        <w:pStyle w:val="ListParagraph"/>
        <w:numPr>
          <w:ilvl w:val="0"/>
          <w:numId w:val="172"/>
        </w:numPr>
        <w:tabs>
          <w:tab w:val="left" w:pos="863"/>
        </w:tabs>
        <w:spacing w:before="157" w:line="259" w:lineRule="auto"/>
        <w:ind w:right="630" w:hanging="361"/>
        <w:jc w:val="left"/>
        <w:rPr>
          <w:rFonts w:ascii="Symbol" w:hAnsi="Symbol"/>
          <w:sz w:val="20"/>
        </w:rPr>
      </w:pPr>
      <w:r>
        <w:t>National</w:t>
      </w:r>
      <w:r>
        <w:rPr>
          <w:spacing w:val="-6"/>
        </w:rPr>
        <w:t xml:space="preserve"> </w:t>
      </w:r>
      <w:r>
        <w:t>flagship</w:t>
      </w:r>
      <w:r>
        <w:rPr>
          <w:spacing w:val="-4"/>
        </w:rPr>
        <w:t xml:space="preserve"> </w:t>
      </w:r>
      <w:r>
        <w:t>initiatives</w:t>
      </w:r>
      <w:r>
        <w:rPr>
          <w:spacing w:val="-6"/>
        </w:rPr>
        <w:t xml:space="preserve"> </w:t>
      </w:r>
      <w:r>
        <w:t>creating</w:t>
      </w:r>
      <w:r>
        <w:rPr>
          <w:spacing w:val="-5"/>
        </w:rPr>
        <w:t xml:space="preserve"> </w:t>
      </w:r>
      <w:r>
        <w:t>new</w:t>
      </w:r>
      <w:r>
        <w:rPr>
          <w:spacing w:val="-8"/>
        </w:rPr>
        <w:t xml:space="preserve"> </w:t>
      </w:r>
      <w:r>
        <w:t>dynamics,</w:t>
      </w:r>
      <w:r>
        <w:rPr>
          <w:spacing w:val="-4"/>
        </w:rPr>
        <w:t xml:space="preserve"> </w:t>
      </w:r>
      <w:r>
        <w:t>such</w:t>
      </w:r>
      <w:r>
        <w:rPr>
          <w:spacing w:val="-4"/>
        </w:rPr>
        <w:t xml:space="preserve"> </w:t>
      </w:r>
      <w:r>
        <w:t>as</w:t>
      </w:r>
      <w:r>
        <w:rPr>
          <w:spacing w:val="-4"/>
        </w:rPr>
        <w:t xml:space="preserve"> </w:t>
      </w:r>
      <w:r>
        <w:t>the</w:t>
      </w:r>
      <w:r>
        <w:rPr>
          <w:spacing w:val="-6"/>
        </w:rPr>
        <w:t xml:space="preserve"> </w:t>
      </w:r>
      <w:r>
        <w:t>Red</w:t>
      </w:r>
      <w:r>
        <w:rPr>
          <w:spacing w:val="-4"/>
        </w:rPr>
        <w:t xml:space="preserve"> </w:t>
      </w:r>
      <w:r>
        <w:t>and</w:t>
      </w:r>
      <w:r>
        <w:rPr>
          <w:spacing w:val="-7"/>
        </w:rPr>
        <w:t xml:space="preserve"> </w:t>
      </w:r>
      <w:r>
        <w:t>White</w:t>
      </w:r>
      <w:r>
        <w:rPr>
          <w:spacing w:val="-6"/>
        </w:rPr>
        <w:t xml:space="preserve"> </w:t>
      </w:r>
      <w:r>
        <w:t>Cooperative (KMP) and the Free Nutritious Meals (MBG) have resulted in major re-directing of fiscal resources. These initiatives run the risk of diverting attention and resources away from broader inclusive governance reforms.</w:t>
      </w:r>
    </w:p>
    <w:p w14:paraId="51AF208B" w14:textId="77777777" w:rsidR="00BC24A8" w:rsidRDefault="00000000">
      <w:pPr>
        <w:pStyle w:val="ListParagraph"/>
        <w:numPr>
          <w:ilvl w:val="0"/>
          <w:numId w:val="172"/>
        </w:numPr>
        <w:tabs>
          <w:tab w:val="left" w:pos="863"/>
        </w:tabs>
        <w:spacing w:before="160" w:line="259" w:lineRule="auto"/>
        <w:ind w:right="297"/>
        <w:jc w:val="left"/>
        <w:rPr>
          <w:rFonts w:ascii="Symbol" w:hAnsi="Symbol"/>
          <w:sz w:val="20"/>
        </w:rPr>
      </w:pPr>
      <w:r>
        <w:t>Inpres No. 4/2025 on National Unified</w:t>
      </w:r>
      <w:r>
        <w:rPr>
          <w:spacing w:val="-1"/>
        </w:rPr>
        <w:t xml:space="preserve"> </w:t>
      </w:r>
      <w:r>
        <w:t>Socio-Economic</w:t>
      </w:r>
      <w:r>
        <w:rPr>
          <w:spacing w:val="-2"/>
        </w:rPr>
        <w:t xml:space="preserve"> </w:t>
      </w:r>
      <w:r>
        <w:t>Data (DTSEN) aligns with SKALA’s focus on</w:t>
      </w:r>
      <w:r>
        <w:rPr>
          <w:spacing w:val="-7"/>
        </w:rPr>
        <w:t xml:space="preserve"> </w:t>
      </w:r>
      <w:r>
        <w:t>data,</w:t>
      </w:r>
      <w:r>
        <w:rPr>
          <w:spacing w:val="-7"/>
        </w:rPr>
        <w:t xml:space="preserve"> </w:t>
      </w:r>
      <w:r>
        <w:t>but</w:t>
      </w:r>
      <w:r>
        <w:rPr>
          <w:spacing w:val="-8"/>
        </w:rPr>
        <w:t xml:space="preserve"> </w:t>
      </w:r>
      <w:r>
        <w:t>competing</w:t>
      </w:r>
      <w:r>
        <w:rPr>
          <w:spacing w:val="-8"/>
        </w:rPr>
        <w:t xml:space="preserve"> </w:t>
      </w:r>
      <w:r>
        <w:t>interests</w:t>
      </w:r>
      <w:r>
        <w:rPr>
          <w:spacing w:val="-7"/>
        </w:rPr>
        <w:t xml:space="preserve"> </w:t>
      </w:r>
      <w:r>
        <w:t>between</w:t>
      </w:r>
      <w:r>
        <w:rPr>
          <w:spacing w:val="-7"/>
        </w:rPr>
        <w:t xml:space="preserve"> </w:t>
      </w:r>
      <w:r>
        <w:t>different</w:t>
      </w:r>
      <w:r>
        <w:rPr>
          <w:spacing w:val="-8"/>
        </w:rPr>
        <w:t xml:space="preserve"> </w:t>
      </w:r>
      <w:r>
        <w:t>national</w:t>
      </w:r>
      <w:r>
        <w:rPr>
          <w:spacing w:val="-8"/>
        </w:rPr>
        <w:t xml:space="preserve"> </w:t>
      </w:r>
      <w:r>
        <w:t>agencies</w:t>
      </w:r>
      <w:r>
        <w:rPr>
          <w:spacing w:val="-7"/>
        </w:rPr>
        <w:t xml:space="preserve"> </w:t>
      </w:r>
      <w:r>
        <w:t>create</w:t>
      </w:r>
      <w:r>
        <w:rPr>
          <w:spacing w:val="-8"/>
        </w:rPr>
        <w:t xml:space="preserve"> </w:t>
      </w:r>
      <w:r>
        <w:t>uncertainty</w:t>
      </w:r>
      <w:r>
        <w:rPr>
          <w:spacing w:val="-7"/>
        </w:rPr>
        <w:t xml:space="preserve"> </w:t>
      </w:r>
      <w:r>
        <w:t>about the role of existing subnational systems and improvements supported by SKALA. Rapid rollout risks</w:t>
      </w:r>
      <w:r>
        <w:rPr>
          <w:spacing w:val="-5"/>
        </w:rPr>
        <w:t xml:space="preserve"> </w:t>
      </w:r>
      <w:r>
        <w:t>misalignment,</w:t>
      </w:r>
      <w:r>
        <w:rPr>
          <w:spacing w:val="-6"/>
        </w:rPr>
        <w:t xml:space="preserve"> </w:t>
      </w:r>
      <w:r>
        <w:t>but</w:t>
      </w:r>
      <w:r>
        <w:rPr>
          <w:spacing w:val="-6"/>
        </w:rPr>
        <w:t xml:space="preserve"> </w:t>
      </w:r>
      <w:r>
        <w:t>also</w:t>
      </w:r>
      <w:r>
        <w:rPr>
          <w:spacing w:val="-7"/>
        </w:rPr>
        <w:t xml:space="preserve"> </w:t>
      </w:r>
      <w:r>
        <w:t>offers</w:t>
      </w:r>
      <w:r>
        <w:rPr>
          <w:spacing w:val="-5"/>
        </w:rPr>
        <w:t xml:space="preserve"> </w:t>
      </w:r>
      <w:r>
        <w:t>entry</w:t>
      </w:r>
      <w:r>
        <w:rPr>
          <w:spacing w:val="-5"/>
        </w:rPr>
        <w:t xml:space="preserve"> </w:t>
      </w:r>
      <w:r>
        <w:t>points</w:t>
      </w:r>
      <w:r>
        <w:rPr>
          <w:spacing w:val="-5"/>
        </w:rPr>
        <w:t xml:space="preserve"> </w:t>
      </w:r>
      <w:r>
        <w:t>to</w:t>
      </w:r>
      <w:r>
        <w:rPr>
          <w:spacing w:val="-6"/>
        </w:rPr>
        <w:t xml:space="preserve"> </w:t>
      </w:r>
      <w:r>
        <w:t>influence</w:t>
      </w:r>
      <w:r>
        <w:rPr>
          <w:spacing w:val="-6"/>
        </w:rPr>
        <w:t xml:space="preserve"> </w:t>
      </w:r>
      <w:r>
        <w:t>design</w:t>
      </w:r>
      <w:r>
        <w:rPr>
          <w:spacing w:val="-5"/>
        </w:rPr>
        <w:t xml:space="preserve"> </w:t>
      </w:r>
      <w:r>
        <w:t>and</w:t>
      </w:r>
      <w:r>
        <w:rPr>
          <w:spacing w:val="-5"/>
        </w:rPr>
        <w:t xml:space="preserve"> </w:t>
      </w:r>
      <w:r>
        <w:t>ensure</w:t>
      </w:r>
      <w:r>
        <w:rPr>
          <w:spacing w:val="-6"/>
        </w:rPr>
        <w:t xml:space="preserve"> </w:t>
      </w:r>
      <w:r>
        <w:t>the</w:t>
      </w:r>
      <w:r>
        <w:rPr>
          <w:spacing w:val="-6"/>
        </w:rPr>
        <w:t xml:space="preserve"> </w:t>
      </w:r>
      <w:r>
        <w:t>relevance</w:t>
      </w:r>
      <w:r>
        <w:rPr>
          <w:spacing w:val="-6"/>
        </w:rPr>
        <w:t xml:space="preserve"> </w:t>
      </w:r>
      <w:r>
        <w:t>of micro-disaggregated data.</w:t>
      </w:r>
    </w:p>
    <w:p w14:paraId="46805E5F" w14:textId="77777777" w:rsidR="00BC24A8" w:rsidRDefault="00000000">
      <w:pPr>
        <w:pStyle w:val="BodyText"/>
        <w:spacing w:before="160" w:line="278" w:lineRule="auto"/>
        <w:ind w:left="143" w:right="280"/>
        <w:jc w:val="both"/>
      </w:pPr>
      <w:r>
        <w:t>These developments confirm SKALA’s continued relevance in navigating fiscal constraints, maintaining inclusive governance priorities, and supporting evidence-based policymaking. They also highlight what can be described as “fragmented centralism”, with more control of resources shifting back to central agencies and institutions, but with many more competing interests compared to Indonesia’s previous centralised government, highlighting also the need for stronger coordination and collaboration.</w:t>
      </w:r>
    </w:p>
    <w:p w14:paraId="45B12F3D" w14:textId="77777777" w:rsidR="00BC24A8" w:rsidRDefault="00000000">
      <w:pPr>
        <w:pStyle w:val="Heading4"/>
      </w:pPr>
      <w:bookmarkStart w:id="27" w:name="International_Influences"/>
      <w:bookmarkStart w:id="28" w:name="_bookmark15"/>
      <w:bookmarkEnd w:id="27"/>
      <w:bookmarkEnd w:id="28"/>
      <w:r>
        <w:rPr>
          <w:color w:val="17365A"/>
          <w:spacing w:val="-7"/>
        </w:rPr>
        <w:t>International</w:t>
      </w:r>
      <w:r>
        <w:rPr>
          <w:color w:val="17365A"/>
          <w:spacing w:val="-2"/>
        </w:rPr>
        <w:t xml:space="preserve"> Influences</w:t>
      </w:r>
    </w:p>
    <w:p w14:paraId="396E1100" w14:textId="77777777" w:rsidR="00BC24A8" w:rsidRDefault="00000000">
      <w:pPr>
        <w:pStyle w:val="BodyText"/>
        <w:spacing w:before="256" w:line="278" w:lineRule="auto"/>
        <w:ind w:left="143" w:right="280"/>
        <w:jc w:val="both"/>
      </w:pPr>
      <w:r>
        <w:t>The departure</w:t>
      </w:r>
      <w:r>
        <w:rPr>
          <w:spacing w:val="-3"/>
        </w:rPr>
        <w:t xml:space="preserve"> </w:t>
      </w:r>
      <w:r>
        <w:t>of USAID</w:t>
      </w:r>
      <w:r>
        <w:rPr>
          <w:spacing w:val="-1"/>
        </w:rPr>
        <w:t xml:space="preserve"> </w:t>
      </w:r>
      <w:r>
        <w:t>has reduced</w:t>
      </w:r>
      <w:r>
        <w:rPr>
          <w:spacing w:val="-1"/>
        </w:rPr>
        <w:t xml:space="preserve"> </w:t>
      </w:r>
      <w:r>
        <w:t>governance-sector</w:t>
      </w:r>
      <w:r>
        <w:rPr>
          <w:spacing w:val="-1"/>
        </w:rPr>
        <w:t xml:space="preserve"> </w:t>
      </w:r>
      <w:r>
        <w:t>support, while emphasising the</w:t>
      </w:r>
      <w:r>
        <w:rPr>
          <w:spacing w:val="-3"/>
        </w:rPr>
        <w:t xml:space="preserve"> </w:t>
      </w:r>
      <w:r>
        <w:t>importance</w:t>
      </w:r>
      <w:r>
        <w:rPr>
          <w:spacing w:val="-3"/>
        </w:rPr>
        <w:t xml:space="preserve"> </w:t>
      </w:r>
      <w:r>
        <w:t xml:space="preserve">of </w:t>
      </w:r>
      <w:r>
        <w:rPr>
          <w:spacing w:val="-2"/>
        </w:rPr>
        <w:t>Australia’s</w:t>
      </w:r>
      <w:r>
        <w:rPr>
          <w:spacing w:val="-4"/>
        </w:rPr>
        <w:t xml:space="preserve"> </w:t>
      </w:r>
      <w:r>
        <w:rPr>
          <w:spacing w:val="-2"/>
        </w:rPr>
        <w:t>ongoing</w:t>
      </w:r>
      <w:r>
        <w:rPr>
          <w:spacing w:val="-5"/>
        </w:rPr>
        <w:t xml:space="preserve"> </w:t>
      </w:r>
      <w:r>
        <w:rPr>
          <w:spacing w:val="-2"/>
        </w:rPr>
        <w:t>aid</w:t>
      </w:r>
      <w:r>
        <w:rPr>
          <w:spacing w:val="-7"/>
        </w:rPr>
        <w:t xml:space="preserve"> </w:t>
      </w:r>
      <w:r>
        <w:rPr>
          <w:spacing w:val="-2"/>
        </w:rPr>
        <w:t>commitment,</w:t>
      </w:r>
      <w:r>
        <w:rPr>
          <w:spacing w:val="-6"/>
        </w:rPr>
        <w:t xml:space="preserve"> </w:t>
      </w:r>
      <w:r>
        <w:rPr>
          <w:spacing w:val="-2"/>
        </w:rPr>
        <w:t>underscoring</w:t>
      </w:r>
      <w:r>
        <w:rPr>
          <w:spacing w:val="-9"/>
        </w:rPr>
        <w:t xml:space="preserve"> </w:t>
      </w:r>
      <w:r>
        <w:rPr>
          <w:spacing w:val="-2"/>
        </w:rPr>
        <w:t>SKALA’s</w:t>
      </w:r>
      <w:r>
        <w:rPr>
          <w:spacing w:val="-4"/>
        </w:rPr>
        <w:t xml:space="preserve"> </w:t>
      </w:r>
      <w:r>
        <w:rPr>
          <w:spacing w:val="-2"/>
        </w:rPr>
        <w:t>role</w:t>
      </w:r>
      <w:r>
        <w:rPr>
          <w:spacing w:val="-6"/>
        </w:rPr>
        <w:t xml:space="preserve"> </w:t>
      </w:r>
      <w:r>
        <w:rPr>
          <w:spacing w:val="-2"/>
        </w:rPr>
        <w:t>as</w:t>
      </w:r>
      <w:r>
        <w:rPr>
          <w:spacing w:val="-4"/>
        </w:rPr>
        <w:t xml:space="preserve"> </w:t>
      </w:r>
      <w:r>
        <w:rPr>
          <w:spacing w:val="-2"/>
        </w:rPr>
        <w:t>a</w:t>
      </w:r>
      <w:r>
        <w:rPr>
          <w:spacing w:val="-6"/>
        </w:rPr>
        <w:t xml:space="preserve"> </w:t>
      </w:r>
      <w:r>
        <w:rPr>
          <w:spacing w:val="-2"/>
        </w:rPr>
        <w:t>flagship</w:t>
      </w:r>
      <w:r>
        <w:rPr>
          <w:spacing w:val="-7"/>
        </w:rPr>
        <w:t xml:space="preserve"> </w:t>
      </w:r>
      <w:r>
        <w:rPr>
          <w:spacing w:val="-2"/>
        </w:rPr>
        <w:t>governance</w:t>
      </w:r>
      <w:r>
        <w:rPr>
          <w:spacing w:val="-6"/>
        </w:rPr>
        <w:t xml:space="preserve"> </w:t>
      </w:r>
      <w:r>
        <w:rPr>
          <w:spacing w:val="-2"/>
        </w:rPr>
        <w:t>program.</w:t>
      </w:r>
      <w:r>
        <w:rPr>
          <w:spacing w:val="-6"/>
        </w:rPr>
        <w:t xml:space="preserve"> </w:t>
      </w:r>
      <w:r>
        <w:rPr>
          <w:spacing w:val="-2"/>
        </w:rPr>
        <w:t xml:space="preserve">Global </w:t>
      </w:r>
      <w:r>
        <w:t>trade tensions have also raised risks of economic volatility, potentially reducing local revenues and weakening fiscal stability. This reinforces the importance of SKALA’s support for fiscal capacity and efficient service delivery.</w:t>
      </w:r>
    </w:p>
    <w:p w14:paraId="4E8EFEAC" w14:textId="77777777" w:rsidR="00BC24A8" w:rsidRDefault="00000000">
      <w:pPr>
        <w:pStyle w:val="Heading4"/>
      </w:pPr>
      <w:bookmarkStart w:id="29" w:name="Subnational_Leadership"/>
      <w:bookmarkStart w:id="30" w:name="_bookmark16"/>
      <w:bookmarkEnd w:id="29"/>
      <w:bookmarkEnd w:id="30"/>
      <w:r>
        <w:rPr>
          <w:color w:val="17365A"/>
          <w:spacing w:val="-2"/>
        </w:rPr>
        <w:t>Subnational</w:t>
      </w:r>
      <w:r>
        <w:rPr>
          <w:color w:val="17365A"/>
          <w:spacing w:val="-9"/>
        </w:rPr>
        <w:t xml:space="preserve"> </w:t>
      </w:r>
      <w:r>
        <w:rPr>
          <w:color w:val="17365A"/>
          <w:spacing w:val="-2"/>
        </w:rPr>
        <w:t>Leadership</w:t>
      </w:r>
    </w:p>
    <w:p w14:paraId="5ECCE5DF" w14:textId="77777777" w:rsidR="00BC24A8" w:rsidRDefault="00000000">
      <w:pPr>
        <w:pStyle w:val="BodyText"/>
        <w:spacing w:before="256"/>
        <w:ind w:left="143"/>
        <w:jc w:val="both"/>
      </w:pPr>
      <w:r>
        <w:t>Leadership</w:t>
      </w:r>
      <w:r>
        <w:rPr>
          <w:spacing w:val="-10"/>
        </w:rPr>
        <w:t xml:space="preserve"> </w:t>
      </w:r>
      <w:r>
        <w:t>turnover</w:t>
      </w:r>
      <w:r>
        <w:rPr>
          <w:spacing w:val="-6"/>
        </w:rPr>
        <w:t xml:space="preserve"> </w:t>
      </w:r>
      <w:r>
        <w:t>following</w:t>
      </w:r>
      <w:r>
        <w:rPr>
          <w:spacing w:val="-8"/>
        </w:rPr>
        <w:t xml:space="preserve"> </w:t>
      </w:r>
      <w:r>
        <w:t>the</w:t>
      </w:r>
      <w:r>
        <w:rPr>
          <w:spacing w:val="-8"/>
        </w:rPr>
        <w:t xml:space="preserve"> </w:t>
      </w:r>
      <w:r>
        <w:t>2025</w:t>
      </w:r>
      <w:r>
        <w:rPr>
          <w:spacing w:val="-7"/>
        </w:rPr>
        <w:t xml:space="preserve"> </w:t>
      </w:r>
      <w:r>
        <w:t>local</w:t>
      </w:r>
      <w:r>
        <w:rPr>
          <w:spacing w:val="-8"/>
        </w:rPr>
        <w:t xml:space="preserve"> </w:t>
      </w:r>
      <w:r>
        <w:t>elections</w:t>
      </w:r>
      <w:r>
        <w:rPr>
          <w:spacing w:val="-9"/>
        </w:rPr>
        <w:t xml:space="preserve"> </w:t>
      </w:r>
      <w:r>
        <w:t>created</w:t>
      </w:r>
      <w:r>
        <w:rPr>
          <w:spacing w:val="-6"/>
        </w:rPr>
        <w:t xml:space="preserve"> </w:t>
      </w:r>
      <w:r>
        <w:t>both</w:t>
      </w:r>
      <w:r>
        <w:rPr>
          <w:spacing w:val="-7"/>
        </w:rPr>
        <w:t xml:space="preserve"> </w:t>
      </w:r>
      <w:r>
        <w:t>disruption</w:t>
      </w:r>
      <w:r>
        <w:rPr>
          <w:spacing w:val="-7"/>
        </w:rPr>
        <w:t xml:space="preserve"> </w:t>
      </w:r>
      <w:r>
        <w:t>and</w:t>
      </w:r>
      <w:r>
        <w:rPr>
          <w:spacing w:val="-6"/>
        </w:rPr>
        <w:t xml:space="preserve"> </w:t>
      </w:r>
      <w:r>
        <w:rPr>
          <w:spacing w:val="-2"/>
        </w:rPr>
        <w:t>opportunity:</w:t>
      </w:r>
    </w:p>
    <w:p w14:paraId="759B9099" w14:textId="77777777" w:rsidR="00BC24A8" w:rsidRDefault="00000000">
      <w:pPr>
        <w:pStyle w:val="ListParagraph"/>
        <w:numPr>
          <w:ilvl w:val="0"/>
          <w:numId w:val="172"/>
        </w:numPr>
        <w:tabs>
          <w:tab w:val="left" w:pos="863"/>
        </w:tabs>
        <w:spacing w:before="202" w:line="259" w:lineRule="auto"/>
        <w:ind w:right="356"/>
        <w:jc w:val="left"/>
        <w:rPr>
          <w:rFonts w:ascii="Symbol" w:hAnsi="Symbol"/>
          <w:sz w:val="20"/>
        </w:rPr>
      </w:pPr>
      <w:r>
        <w:t>Challenges:</w:t>
      </w:r>
      <w:r>
        <w:rPr>
          <w:spacing w:val="-9"/>
        </w:rPr>
        <w:t xml:space="preserve"> </w:t>
      </w:r>
      <w:r>
        <w:t>Delays</w:t>
      </w:r>
      <w:r>
        <w:rPr>
          <w:spacing w:val="-6"/>
        </w:rPr>
        <w:t xml:space="preserve"> </w:t>
      </w:r>
      <w:r>
        <w:t>in</w:t>
      </w:r>
      <w:r>
        <w:rPr>
          <w:spacing w:val="-6"/>
        </w:rPr>
        <w:t xml:space="preserve"> </w:t>
      </w:r>
      <w:r>
        <w:t>confirming</w:t>
      </w:r>
      <w:r>
        <w:rPr>
          <w:spacing w:val="-7"/>
        </w:rPr>
        <w:t xml:space="preserve"> </w:t>
      </w:r>
      <w:r>
        <w:t>key</w:t>
      </w:r>
      <w:r>
        <w:rPr>
          <w:spacing w:val="-8"/>
        </w:rPr>
        <w:t xml:space="preserve"> </w:t>
      </w:r>
      <w:r>
        <w:t>provincial</w:t>
      </w:r>
      <w:r>
        <w:rPr>
          <w:spacing w:val="-8"/>
        </w:rPr>
        <w:t xml:space="preserve"> </w:t>
      </w:r>
      <w:r>
        <w:t>officials</w:t>
      </w:r>
      <w:r>
        <w:rPr>
          <w:spacing w:val="-8"/>
        </w:rPr>
        <w:t xml:space="preserve"> </w:t>
      </w:r>
      <w:r>
        <w:t>slowed</w:t>
      </w:r>
      <w:r>
        <w:rPr>
          <w:spacing w:val="-8"/>
        </w:rPr>
        <w:t xml:space="preserve"> </w:t>
      </w:r>
      <w:r>
        <w:t>decision-making,</w:t>
      </w:r>
      <w:r>
        <w:rPr>
          <w:spacing w:val="-6"/>
        </w:rPr>
        <w:t xml:space="preserve"> </w:t>
      </w:r>
      <w:r>
        <w:t>particularly</w:t>
      </w:r>
      <w:r>
        <w:rPr>
          <w:spacing w:val="-6"/>
        </w:rPr>
        <w:t xml:space="preserve"> </w:t>
      </w:r>
      <w:r>
        <w:t xml:space="preserve">in Papua, where contested elections were taken to court and with one province requiring a re- </w:t>
      </w:r>
      <w:r>
        <w:rPr>
          <w:spacing w:val="-4"/>
        </w:rPr>
        <w:t>run.</w:t>
      </w:r>
    </w:p>
    <w:p w14:paraId="6C072FB2" w14:textId="77777777" w:rsidR="00BC24A8" w:rsidRDefault="00000000">
      <w:pPr>
        <w:pStyle w:val="ListParagraph"/>
        <w:numPr>
          <w:ilvl w:val="0"/>
          <w:numId w:val="172"/>
        </w:numPr>
        <w:tabs>
          <w:tab w:val="left" w:pos="863"/>
        </w:tabs>
        <w:spacing w:before="160" w:line="259" w:lineRule="auto"/>
        <w:ind w:right="284" w:hanging="361"/>
        <w:jc w:val="left"/>
        <w:rPr>
          <w:rFonts w:ascii="Symbol" w:hAnsi="Symbol"/>
          <w:sz w:val="20"/>
        </w:rPr>
      </w:pPr>
      <w:r>
        <w:t>Opportunities:</w:t>
      </w:r>
      <w:r>
        <w:rPr>
          <w:spacing w:val="-10"/>
        </w:rPr>
        <w:t xml:space="preserve"> </w:t>
      </w:r>
      <w:r>
        <w:t>Newly</w:t>
      </w:r>
      <w:r>
        <w:rPr>
          <w:spacing w:val="-9"/>
        </w:rPr>
        <w:t xml:space="preserve"> </w:t>
      </w:r>
      <w:r>
        <w:t>confirmed</w:t>
      </w:r>
      <w:r>
        <w:rPr>
          <w:spacing w:val="-9"/>
        </w:rPr>
        <w:t xml:space="preserve"> </w:t>
      </w:r>
      <w:r>
        <w:t>governors</w:t>
      </w:r>
      <w:r>
        <w:rPr>
          <w:spacing w:val="-9"/>
        </w:rPr>
        <w:t xml:space="preserve"> </w:t>
      </w:r>
      <w:r>
        <w:t>in</w:t>
      </w:r>
      <w:r>
        <w:rPr>
          <w:spacing w:val="-12"/>
        </w:rPr>
        <w:t xml:space="preserve"> </w:t>
      </w:r>
      <w:r>
        <w:t>several</w:t>
      </w:r>
      <w:r>
        <w:rPr>
          <w:spacing w:val="-11"/>
        </w:rPr>
        <w:t xml:space="preserve"> </w:t>
      </w:r>
      <w:r>
        <w:t>provinces</w:t>
      </w:r>
      <w:r>
        <w:rPr>
          <w:spacing w:val="-9"/>
        </w:rPr>
        <w:t xml:space="preserve"> </w:t>
      </w:r>
      <w:r>
        <w:t>bring</w:t>
      </w:r>
      <w:r>
        <w:rPr>
          <w:spacing w:val="-12"/>
        </w:rPr>
        <w:t xml:space="preserve"> </w:t>
      </w:r>
      <w:r>
        <w:t>progressive,</w:t>
      </w:r>
      <w:r>
        <w:rPr>
          <w:spacing w:val="-11"/>
        </w:rPr>
        <w:t xml:space="preserve"> </w:t>
      </w:r>
      <w:r>
        <w:t>data-literate, and</w:t>
      </w:r>
      <w:r>
        <w:rPr>
          <w:spacing w:val="-1"/>
        </w:rPr>
        <w:t xml:space="preserve"> </w:t>
      </w:r>
      <w:r>
        <w:t>reform-oriented</w:t>
      </w:r>
      <w:r>
        <w:rPr>
          <w:spacing w:val="-1"/>
        </w:rPr>
        <w:t xml:space="preserve"> </w:t>
      </w:r>
      <w:r>
        <w:t>perspectives.</w:t>
      </w:r>
      <w:r>
        <w:rPr>
          <w:spacing w:val="-3"/>
        </w:rPr>
        <w:t xml:space="preserve"> </w:t>
      </w:r>
      <w:r>
        <w:t>Combined</w:t>
      </w:r>
      <w:r>
        <w:rPr>
          <w:spacing w:val="-1"/>
        </w:rPr>
        <w:t xml:space="preserve"> </w:t>
      </w:r>
      <w:r>
        <w:t>with</w:t>
      </w:r>
      <w:r>
        <w:rPr>
          <w:spacing w:val="-1"/>
        </w:rPr>
        <w:t xml:space="preserve"> </w:t>
      </w:r>
      <w:r>
        <w:t>commitments</w:t>
      </w:r>
      <w:r>
        <w:rPr>
          <w:spacing w:val="-3"/>
        </w:rPr>
        <w:t xml:space="preserve"> </w:t>
      </w:r>
      <w:r>
        <w:t>from</w:t>
      </w:r>
      <w:r>
        <w:rPr>
          <w:spacing w:val="-4"/>
        </w:rPr>
        <w:t xml:space="preserve"> </w:t>
      </w:r>
      <w:r>
        <w:t>supportive</w:t>
      </w:r>
      <w:r>
        <w:rPr>
          <w:spacing w:val="-3"/>
        </w:rPr>
        <w:t xml:space="preserve"> </w:t>
      </w:r>
      <w:r>
        <w:t>incumbents, this strengthens the political space for SKALA to embed inclusive planning, budgeting, and service delivery practices.</w:t>
      </w:r>
    </w:p>
    <w:p w14:paraId="6ABDB214" w14:textId="77777777" w:rsidR="00BC24A8" w:rsidRDefault="00BC24A8">
      <w:pPr>
        <w:pStyle w:val="ListParagraph"/>
        <w:spacing w:line="259" w:lineRule="auto"/>
        <w:jc w:val="left"/>
        <w:rPr>
          <w:rFonts w:ascii="Symbol" w:hAnsi="Symbol"/>
          <w:sz w:val="20"/>
        </w:rPr>
        <w:sectPr w:rsidR="00BC24A8">
          <w:pgSz w:w="11910" w:h="16840"/>
          <w:pgMar w:top="1320" w:right="1133" w:bottom="1100" w:left="1275" w:header="0" w:footer="907" w:gutter="0"/>
          <w:cols w:space="720"/>
        </w:sectPr>
      </w:pPr>
    </w:p>
    <w:p w14:paraId="0A659132" w14:textId="77777777" w:rsidR="00BC24A8" w:rsidRDefault="00000000">
      <w:pPr>
        <w:pStyle w:val="Heading4"/>
        <w:spacing w:before="81"/>
        <w:jc w:val="both"/>
      </w:pPr>
      <w:bookmarkStart w:id="31" w:name="Reflection_on_Relevance"/>
      <w:bookmarkStart w:id="32" w:name="_bookmark17"/>
      <w:bookmarkEnd w:id="31"/>
      <w:bookmarkEnd w:id="32"/>
      <w:r>
        <w:rPr>
          <w:color w:val="17365A"/>
          <w:spacing w:val="-4"/>
        </w:rPr>
        <w:lastRenderedPageBreak/>
        <w:t>Reflection</w:t>
      </w:r>
      <w:r>
        <w:rPr>
          <w:color w:val="17365A"/>
          <w:spacing w:val="-22"/>
        </w:rPr>
        <w:t xml:space="preserve"> </w:t>
      </w:r>
      <w:r>
        <w:rPr>
          <w:color w:val="17365A"/>
          <w:spacing w:val="-4"/>
        </w:rPr>
        <w:t>on</w:t>
      </w:r>
      <w:r>
        <w:rPr>
          <w:color w:val="17365A"/>
          <w:spacing w:val="-21"/>
        </w:rPr>
        <w:t xml:space="preserve"> </w:t>
      </w:r>
      <w:r>
        <w:rPr>
          <w:color w:val="17365A"/>
          <w:spacing w:val="-4"/>
        </w:rPr>
        <w:t>Relevance</w:t>
      </w:r>
    </w:p>
    <w:p w14:paraId="757FDC2A" w14:textId="77777777" w:rsidR="00BC24A8" w:rsidRDefault="00000000">
      <w:pPr>
        <w:pStyle w:val="BodyText"/>
        <w:spacing w:before="254" w:line="278" w:lineRule="auto"/>
        <w:ind w:left="143" w:right="279"/>
        <w:jc w:val="both"/>
      </w:pPr>
      <w:r>
        <w:t xml:space="preserve">Despite fiscal tightening, political shifts, and institutional uncertainties, SKALA’s EOPOs remain highly </w:t>
      </w:r>
      <w:r>
        <w:rPr>
          <w:spacing w:val="-2"/>
        </w:rPr>
        <w:t>relevant:</w:t>
      </w:r>
    </w:p>
    <w:p w14:paraId="452E2F85" w14:textId="77777777" w:rsidR="00BC24A8" w:rsidRDefault="00000000">
      <w:pPr>
        <w:pStyle w:val="ListParagraph"/>
        <w:numPr>
          <w:ilvl w:val="0"/>
          <w:numId w:val="172"/>
        </w:numPr>
        <w:tabs>
          <w:tab w:val="left" w:pos="863"/>
        </w:tabs>
        <w:spacing w:before="159" w:line="259" w:lineRule="auto"/>
        <w:ind w:right="438" w:hanging="361"/>
        <w:jc w:val="left"/>
        <w:rPr>
          <w:rFonts w:ascii="Symbol" w:hAnsi="Symbol"/>
          <w:sz w:val="20"/>
        </w:rPr>
      </w:pPr>
      <w:r>
        <w:t>EOPO</w:t>
      </w:r>
      <w:r>
        <w:rPr>
          <w:spacing w:val="-8"/>
        </w:rPr>
        <w:t xml:space="preserve"> </w:t>
      </w:r>
      <w:r>
        <w:t>1</w:t>
      </w:r>
      <w:r>
        <w:rPr>
          <w:spacing w:val="-4"/>
        </w:rPr>
        <w:t xml:space="preserve"> </w:t>
      </w:r>
      <w:r>
        <w:t>(enabling</w:t>
      </w:r>
      <w:r>
        <w:rPr>
          <w:spacing w:val="-8"/>
        </w:rPr>
        <w:t xml:space="preserve"> </w:t>
      </w:r>
      <w:r>
        <w:t>environment):</w:t>
      </w:r>
      <w:r>
        <w:rPr>
          <w:spacing w:val="-5"/>
        </w:rPr>
        <w:t xml:space="preserve"> </w:t>
      </w:r>
      <w:r>
        <w:t>Increased</w:t>
      </w:r>
      <w:r>
        <w:rPr>
          <w:spacing w:val="-7"/>
        </w:rPr>
        <w:t xml:space="preserve"> </w:t>
      </w:r>
      <w:r>
        <w:t>risk</w:t>
      </w:r>
      <w:r>
        <w:rPr>
          <w:spacing w:val="-4"/>
        </w:rPr>
        <w:t xml:space="preserve"> </w:t>
      </w:r>
      <w:r>
        <w:t>of</w:t>
      </w:r>
      <w:r>
        <w:rPr>
          <w:spacing w:val="-6"/>
        </w:rPr>
        <w:t xml:space="preserve"> </w:t>
      </w:r>
      <w:r>
        <w:t>fragmented</w:t>
      </w:r>
      <w:r>
        <w:rPr>
          <w:spacing w:val="-4"/>
        </w:rPr>
        <w:t xml:space="preserve"> </w:t>
      </w:r>
      <w:r>
        <w:t>and</w:t>
      </w:r>
      <w:r>
        <w:rPr>
          <w:spacing w:val="-7"/>
        </w:rPr>
        <w:t xml:space="preserve"> </w:t>
      </w:r>
      <w:r>
        <w:t>disjointed</w:t>
      </w:r>
      <w:r>
        <w:rPr>
          <w:spacing w:val="-7"/>
        </w:rPr>
        <w:t xml:space="preserve"> </w:t>
      </w:r>
      <w:r>
        <w:t>national</w:t>
      </w:r>
      <w:r>
        <w:rPr>
          <w:spacing w:val="-6"/>
        </w:rPr>
        <w:t xml:space="preserve"> </w:t>
      </w:r>
      <w:r>
        <w:t>policies underlines the need for continued engagement at the policy level.</w:t>
      </w:r>
    </w:p>
    <w:p w14:paraId="17E1C953" w14:textId="77777777" w:rsidR="00BC24A8" w:rsidRDefault="00000000">
      <w:pPr>
        <w:pStyle w:val="ListParagraph"/>
        <w:numPr>
          <w:ilvl w:val="0"/>
          <w:numId w:val="172"/>
        </w:numPr>
        <w:tabs>
          <w:tab w:val="left" w:pos="863"/>
        </w:tabs>
        <w:spacing w:before="159" w:line="259" w:lineRule="auto"/>
        <w:ind w:right="484"/>
        <w:jc w:val="left"/>
        <w:rPr>
          <w:rFonts w:ascii="Symbol" w:hAnsi="Symbol"/>
          <w:sz w:val="20"/>
        </w:rPr>
      </w:pPr>
      <w:r>
        <w:t>EOPO</w:t>
      </w:r>
      <w:r>
        <w:rPr>
          <w:spacing w:val="-7"/>
        </w:rPr>
        <w:t xml:space="preserve"> </w:t>
      </w:r>
      <w:r>
        <w:t>2</w:t>
      </w:r>
      <w:r>
        <w:rPr>
          <w:spacing w:val="-3"/>
        </w:rPr>
        <w:t xml:space="preserve"> </w:t>
      </w:r>
      <w:r>
        <w:t>(inclusive</w:t>
      </w:r>
      <w:r>
        <w:rPr>
          <w:spacing w:val="-5"/>
        </w:rPr>
        <w:t xml:space="preserve"> </w:t>
      </w:r>
      <w:r>
        <w:t>service</w:t>
      </w:r>
      <w:r>
        <w:rPr>
          <w:spacing w:val="-3"/>
        </w:rPr>
        <w:t xml:space="preserve"> </w:t>
      </w:r>
      <w:r>
        <w:t>delivery):</w:t>
      </w:r>
      <w:r>
        <w:rPr>
          <w:spacing w:val="-5"/>
        </w:rPr>
        <w:t xml:space="preserve"> </w:t>
      </w:r>
      <w:r>
        <w:t>Fiscal</w:t>
      </w:r>
      <w:r>
        <w:rPr>
          <w:spacing w:val="-5"/>
        </w:rPr>
        <w:t xml:space="preserve"> </w:t>
      </w:r>
      <w:r>
        <w:t>cuts</w:t>
      </w:r>
      <w:r>
        <w:rPr>
          <w:spacing w:val="-3"/>
        </w:rPr>
        <w:t xml:space="preserve"> </w:t>
      </w:r>
      <w:r>
        <w:t>and</w:t>
      </w:r>
      <w:r>
        <w:rPr>
          <w:spacing w:val="-3"/>
        </w:rPr>
        <w:t xml:space="preserve"> </w:t>
      </w:r>
      <w:r>
        <w:t>competing</w:t>
      </w:r>
      <w:r>
        <w:rPr>
          <w:spacing w:val="-4"/>
        </w:rPr>
        <w:t xml:space="preserve"> </w:t>
      </w:r>
      <w:r>
        <w:t>priorities</w:t>
      </w:r>
      <w:r>
        <w:rPr>
          <w:spacing w:val="-3"/>
        </w:rPr>
        <w:t xml:space="preserve"> </w:t>
      </w:r>
      <w:r>
        <w:t>highlight</w:t>
      </w:r>
      <w:r>
        <w:rPr>
          <w:spacing w:val="-7"/>
        </w:rPr>
        <w:t xml:space="preserve"> </w:t>
      </w:r>
      <w:r>
        <w:t>the</w:t>
      </w:r>
      <w:r>
        <w:rPr>
          <w:spacing w:val="-5"/>
        </w:rPr>
        <w:t xml:space="preserve"> </w:t>
      </w:r>
      <w:r>
        <w:t xml:space="preserve">urgency of SKALA’s role in supporting provinces to optimise limited resources for MSS and inclusive </w:t>
      </w:r>
      <w:r>
        <w:rPr>
          <w:spacing w:val="-2"/>
        </w:rPr>
        <w:t>services.</w:t>
      </w:r>
    </w:p>
    <w:p w14:paraId="4BF53DFB" w14:textId="77777777" w:rsidR="00BC24A8" w:rsidRDefault="00000000">
      <w:pPr>
        <w:pStyle w:val="ListParagraph"/>
        <w:numPr>
          <w:ilvl w:val="0"/>
          <w:numId w:val="172"/>
        </w:numPr>
        <w:tabs>
          <w:tab w:val="left" w:pos="863"/>
        </w:tabs>
        <w:spacing w:before="160" w:line="259" w:lineRule="auto"/>
        <w:ind w:right="591"/>
        <w:jc w:val="left"/>
        <w:rPr>
          <w:rFonts w:ascii="Symbol" w:hAnsi="Symbol"/>
          <w:sz w:val="20"/>
        </w:rPr>
      </w:pPr>
      <w:r>
        <w:t>EOPO</w:t>
      </w:r>
      <w:r>
        <w:rPr>
          <w:spacing w:val="-8"/>
        </w:rPr>
        <w:t xml:space="preserve"> </w:t>
      </w:r>
      <w:r>
        <w:t>3</w:t>
      </w:r>
      <w:r>
        <w:rPr>
          <w:spacing w:val="-5"/>
        </w:rPr>
        <w:t xml:space="preserve"> </w:t>
      </w:r>
      <w:r>
        <w:t>(participation</w:t>
      </w:r>
      <w:r>
        <w:rPr>
          <w:spacing w:val="-5"/>
        </w:rPr>
        <w:t xml:space="preserve"> </w:t>
      </w:r>
      <w:r>
        <w:t>and</w:t>
      </w:r>
      <w:r>
        <w:rPr>
          <w:spacing w:val="-7"/>
        </w:rPr>
        <w:t xml:space="preserve"> </w:t>
      </w:r>
      <w:r>
        <w:t>representation):</w:t>
      </w:r>
      <w:r>
        <w:rPr>
          <w:spacing w:val="-6"/>
        </w:rPr>
        <w:t xml:space="preserve"> </w:t>
      </w:r>
      <w:r>
        <w:t>Civil</w:t>
      </w:r>
      <w:r>
        <w:rPr>
          <w:spacing w:val="-6"/>
        </w:rPr>
        <w:t xml:space="preserve"> </w:t>
      </w:r>
      <w:r>
        <w:t>society</w:t>
      </w:r>
      <w:r>
        <w:rPr>
          <w:spacing w:val="-6"/>
        </w:rPr>
        <w:t xml:space="preserve"> </w:t>
      </w:r>
      <w:r>
        <w:t>engagement</w:t>
      </w:r>
      <w:r>
        <w:rPr>
          <w:spacing w:val="-6"/>
        </w:rPr>
        <w:t xml:space="preserve"> </w:t>
      </w:r>
      <w:r>
        <w:t>is</w:t>
      </w:r>
      <w:r>
        <w:rPr>
          <w:spacing w:val="-5"/>
        </w:rPr>
        <w:t xml:space="preserve"> </w:t>
      </w:r>
      <w:r>
        <w:t>even</w:t>
      </w:r>
      <w:r>
        <w:rPr>
          <w:spacing w:val="-7"/>
        </w:rPr>
        <w:t xml:space="preserve"> </w:t>
      </w:r>
      <w:r>
        <w:t>more</w:t>
      </w:r>
      <w:r>
        <w:rPr>
          <w:spacing w:val="-8"/>
        </w:rPr>
        <w:t xml:space="preserve"> </w:t>
      </w:r>
      <w:r>
        <w:t>critical</w:t>
      </w:r>
      <w:r>
        <w:rPr>
          <w:spacing w:val="-6"/>
        </w:rPr>
        <w:t xml:space="preserve"> </w:t>
      </w:r>
      <w:r>
        <w:t>as local governance risks being crowded out by centralised initiatives like KMP.</w:t>
      </w:r>
    </w:p>
    <w:p w14:paraId="1A57B54E" w14:textId="77777777" w:rsidR="00BC24A8" w:rsidRDefault="00000000">
      <w:pPr>
        <w:pStyle w:val="BodyText"/>
        <w:spacing w:before="159" w:line="278" w:lineRule="auto"/>
        <w:ind w:left="143" w:right="280"/>
        <w:jc w:val="both"/>
      </w:pPr>
      <w:r>
        <w:rPr>
          <w:spacing w:val="-2"/>
        </w:rPr>
        <w:t>Overall, SKALA</w:t>
      </w:r>
      <w:r>
        <w:rPr>
          <w:spacing w:val="-6"/>
        </w:rPr>
        <w:t xml:space="preserve"> </w:t>
      </w:r>
      <w:r>
        <w:rPr>
          <w:spacing w:val="-2"/>
        </w:rPr>
        <w:t>continues</w:t>
      </w:r>
      <w:r>
        <w:rPr>
          <w:spacing w:val="-5"/>
        </w:rPr>
        <w:t xml:space="preserve"> </w:t>
      </w:r>
      <w:r>
        <w:rPr>
          <w:spacing w:val="-2"/>
        </w:rPr>
        <w:t>to</w:t>
      </w:r>
      <w:r>
        <w:rPr>
          <w:spacing w:val="-6"/>
        </w:rPr>
        <w:t xml:space="preserve"> </w:t>
      </w:r>
      <w:r>
        <w:rPr>
          <w:spacing w:val="-2"/>
        </w:rPr>
        <w:t>occupy a</w:t>
      </w:r>
      <w:r>
        <w:rPr>
          <w:spacing w:val="-5"/>
        </w:rPr>
        <w:t xml:space="preserve"> </w:t>
      </w:r>
      <w:r>
        <w:rPr>
          <w:spacing w:val="-2"/>
        </w:rPr>
        <w:t>vital</w:t>
      </w:r>
      <w:r>
        <w:rPr>
          <w:spacing w:val="-5"/>
        </w:rPr>
        <w:t xml:space="preserve"> </w:t>
      </w:r>
      <w:r>
        <w:rPr>
          <w:spacing w:val="-2"/>
        </w:rPr>
        <w:t>role</w:t>
      </w:r>
      <w:r>
        <w:rPr>
          <w:spacing w:val="-5"/>
        </w:rPr>
        <w:t xml:space="preserve"> </w:t>
      </w:r>
      <w:r>
        <w:rPr>
          <w:spacing w:val="-2"/>
        </w:rPr>
        <w:t>as a</w:t>
      </w:r>
      <w:r>
        <w:rPr>
          <w:spacing w:val="-5"/>
        </w:rPr>
        <w:t xml:space="preserve"> </w:t>
      </w:r>
      <w:r>
        <w:rPr>
          <w:spacing w:val="-2"/>
        </w:rPr>
        <w:t>stable</w:t>
      </w:r>
      <w:r>
        <w:rPr>
          <w:spacing w:val="-5"/>
        </w:rPr>
        <w:t xml:space="preserve"> </w:t>
      </w:r>
      <w:r>
        <w:rPr>
          <w:spacing w:val="-2"/>
        </w:rPr>
        <w:t>partner</w:t>
      </w:r>
      <w:r>
        <w:rPr>
          <w:spacing w:val="-6"/>
        </w:rPr>
        <w:t xml:space="preserve"> </w:t>
      </w:r>
      <w:r>
        <w:rPr>
          <w:spacing w:val="-2"/>
        </w:rPr>
        <w:t>bridging</w:t>
      </w:r>
      <w:r>
        <w:rPr>
          <w:spacing w:val="-7"/>
        </w:rPr>
        <w:t xml:space="preserve"> </w:t>
      </w:r>
      <w:r>
        <w:rPr>
          <w:spacing w:val="-2"/>
        </w:rPr>
        <w:t>national</w:t>
      </w:r>
      <w:r>
        <w:rPr>
          <w:spacing w:val="-7"/>
        </w:rPr>
        <w:t xml:space="preserve"> </w:t>
      </w:r>
      <w:r>
        <w:rPr>
          <w:spacing w:val="-2"/>
        </w:rPr>
        <w:t>priorities,</w:t>
      </w:r>
      <w:r>
        <w:rPr>
          <w:spacing w:val="-5"/>
        </w:rPr>
        <w:t xml:space="preserve"> </w:t>
      </w:r>
      <w:r>
        <w:rPr>
          <w:spacing w:val="-2"/>
        </w:rPr>
        <w:t xml:space="preserve">subnational </w:t>
      </w:r>
      <w:r>
        <w:t>delivery, and civil society participation. The program’s adaptability will remain central to sustaining outcomes in this dynamic environment.</w:t>
      </w:r>
    </w:p>
    <w:p w14:paraId="31D33320" w14:textId="77777777" w:rsidR="00BC24A8" w:rsidRDefault="00BC24A8">
      <w:pPr>
        <w:pStyle w:val="BodyText"/>
        <w:spacing w:line="278" w:lineRule="auto"/>
        <w:jc w:val="both"/>
        <w:sectPr w:rsidR="00BC24A8">
          <w:pgSz w:w="11910" w:h="16840"/>
          <w:pgMar w:top="1320" w:right="1133" w:bottom="1100" w:left="1275" w:header="0" w:footer="907" w:gutter="0"/>
          <w:cols w:space="720"/>
        </w:sectPr>
      </w:pPr>
    </w:p>
    <w:p w14:paraId="0E5D1889" w14:textId="77777777" w:rsidR="00BC24A8" w:rsidRDefault="00000000">
      <w:pPr>
        <w:pStyle w:val="Heading1"/>
      </w:pPr>
      <w:bookmarkStart w:id="33" w:name="Progress_Against_Outcomes_(Effectiveness"/>
      <w:bookmarkStart w:id="34" w:name="_bookmark18"/>
      <w:bookmarkEnd w:id="33"/>
      <w:bookmarkEnd w:id="34"/>
      <w:r w:rsidRPr="00795364">
        <w:rPr>
          <w:color w:val="00A59C"/>
          <w:spacing w:val="-2"/>
        </w:rPr>
        <w:lastRenderedPageBreak/>
        <w:t>Progress</w:t>
      </w:r>
      <w:r w:rsidRPr="00795364">
        <w:rPr>
          <w:color w:val="00A59C"/>
          <w:spacing w:val="-50"/>
        </w:rPr>
        <w:t xml:space="preserve"> </w:t>
      </w:r>
      <w:r w:rsidRPr="00795364">
        <w:rPr>
          <w:color w:val="00A59C"/>
          <w:spacing w:val="-2"/>
        </w:rPr>
        <w:t>Against</w:t>
      </w:r>
      <w:r w:rsidRPr="00795364">
        <w:rPr>
          <w:color w:val="00A59C"/>
          <w:spacing w:val="-54"/>
        </w:rPr>
        <w:t xml:space="preserve"> </w:t>
      </w:r>
      <w:r w:rsidRPr="00795364">
        <w:rPr>
          <w:color w:val="00A59C"/>
          <w:spacing w:val="-2"/>
        </w:rPr>
        <w:t>Outcomes</w:t>
      </w:r>
    </w:p>
    <w:p w14:paraId="2483054E" w14:textId="77777777" w:rsidR="00BC24A8" w:rsidRDefault="00000000">
      <w:pPr>
        <w:spacing w:before="36"/>
        <w:ind w:left="143"/>
        <w:rPr>
          <w:rFonts w:ascii="Trebuchet MS"/>
          <w:b/>
          <w:sz w:val="60"/>
        </w:rPr>
      </w:pPr>
      <w:r w:rsidRPr="00795364">
        <w:rPr>
          <w:rFonts w:ascii="Trebuchet MS"/>
          <w:b/>
          <w:color w:val="00A59C"/>
          <w:spacing w:val="-2"/>
          <w:sz w:val="60"/>
        </w:rPr>
        <w:t>(Effectiveness)</w:t>
      </w:r>
    </w:p>
    <w:p w14:paraId="516F4A64" w14:textId="77777777" w:rsidR="00BC24A8" w:rsidRDefault="00000000">
      <w:pPr>
        <w:pStyle w:val="BodyText"/>
        <w:spacing w:before="586" w:line="278" w:lineRule="auto"/>
        <w:ind w:left="143" w:right="279"/>
        <w:jc w:val="both"/>
      </w:pPr>
      <w:r>
        <w:t>SKALA’s goal is to contribute to reduced poverty and inequality within Indonesia by improving basic service provision to poor and vulnerable communities in less-developed regions. This section summarises the extent to which SKALA is effectively contributing to this goal through a series of intermediate</w:t>
      </w:r>
      <w:r>
        <w:rPr>
          <w:spacing w:val="-13"/>
        </w:rPr>
        <w:t xml:space="preserve"> </w:t>
      </w:r>
      <w:r>
        <w:t>outcomes</w:t>
      </w:r>
      <w:r>
        <w:rPr>
          <w:spacing w:val="-12"/>
        </w:rPr>
        <w:t xml:space="preserve"> </w:t>
      </w:r>
      <w:r>
        <w:t>(IOs)</w:t>
      </w:r>
      <w:r>
        <w:rPr>
          <w:spacing w:val="-13"/>
        </w:rPr>
        <w:t xml:space="preserve"> </w:t>
      </w:r>
      <w:r>
        <w:t>organised</w:t>
      </w:r>
      <w:r>
        <w:rPr>
          <w:spacing w:val="-12"/>
        </w:rPr>
        <w:t xml:space="preserve"> </w:t>
      </w:r>
      <w:r>
        <w:t>under</w:t>
      </w:r>
      <w:r>
        <w:rPr>
          <w:spacing w:val="-13"/>
        </w:rPr>
        <w:t xml:space="preserve"> </w:t>
      </w:r>
      <w:r>
        <w:t>three</w:t>
      </w:r>
      <w:r>
        <w:rPr>
          <w:spacing w:val="-12"/>
        </w:rPr>
        <w:t xml:space="preserve"> </w:t>
      </w:r>
      <w:r>
        <w:t>interconnected</w:t>
      </w:r>
      <w:r>
        <w:rPr>
          <w:spacing w:val="-13"/>
        </w:rPr>
        <w:t xml:space="preserve"> </w:t>
      </w:r>
      <w:r>
        <w:t>End</w:t>
      </w:r>
      <w:r>
        <w:rPr>
          <w:spacing w:val="-12"/>
        </w:rPr>
        <w:t xml:space="preserve"> </w:t>
      </w:r>
      <w:r>
        <w:t>of</w:t>
      </w:r>
      <w:r>
        <w:rPr>
          <w:spacing w:val="-12"/>
        </w:rPr>
        <w:t xml:space="preserve"> </w:t>
      </w:r>
      <w:r>
        <w:t>Program</w:t>
      </w:r>
      <w:r>
        <w:rPr>
          <w:spacing w:val="-13"/>
        </w:rPr>
        <w:t xml:space="preserve"> </w:t>
      </w:r>
      <w:r>
        <w:t>Outcomes</w:t>
      </w:r>
      <w:r>
        <w:rPr>
          <w:spacing w:val="-12"/>
        </w:rPr>
        <w:t xml:space="preserve"> </w:t>
      </w:r>
      <w:r>
        <w:t>(EOPOs). EOPO1 focuses on the role of the central government in providing an enabling environment for subnational service delivery. EOPO2 relates to the effective management of service delivery by the subnational governments. EOPO3 targets improved representation of vulnerable groups in service- related</w:t>
      </w:r>
      <w:r>
        <w:rPr>
          <w:spacing w:val="-11"/>
        </w:rPr>
        <w:t xml:space="preserve"> </w:t>
      </w:r>
      <w:r>
        <w:t>decision-making.</w:t>
      </w:r>
      <w:r>
        <w:rPr>
          <w:spacing w:val="-12"/>
        </w:rPr>
        <w:t xml:space="preserve"> </w:t>
      </w:r>
      <w:r>
        <w:t>SKALA</w:t>
      </w:r>
      <w:r>
        <w:rPr>
          <w:spacing w:val="-13"/>
        </w:rPr>
        <w:t xml:space="preserve"> </w:t>
      </w:r>
      <w:r>
        <w:t>supports</w:t>
      </w:r>
      <w:r>
        <w:rPr>
          <w:spacing w:val="-12"/>
        </w:rPr>
        <w:t xml:space="preserve"> </w:t>
      </w:r>
      <w:r>
        <w:t>effective</w:t>
      </w:r>
      <w:r>
        <w:rPr>
          <w:spacing w:val="-12"/>
        </w:rPr>
        <w:t xml:space="preserve"> </w:t>
      </w:r>
      <w:r>
        <w:t>decentralised</w:t>
      </w:r>
      <w:r>
        <w:rPr>
          <w:spacing w:val="-11"/>
        </w:rPr>
        <w:t xml:space="preserve"> </w:t>
      </w:r>
      <w:r>
        <w:t>governance</w:t>
      </w:r>
      <w:r>
        <w:rPr>
          <w:spacing w:val="-12"/>
        </w:rPr>
        <w:t xml:space="preserve"> </w:t>
      </w:r>
      <w:r>
        <w:t>in</w:t>
      </w:r>
      <w:r>
        <w:rPr>
          <w:spacing w:val="-11"/>
        </w:rPr>
        <w:t xml:space="preserve"> </w:t>
      </w:r>
      <w:r>
        <w:t>Indonesia</w:t>
      </w:r>
      <w:r>
        <w:rPr>
          <w:spacing w:val="-11"/>
        </w:rPr>
        <w:t xml:space="preserve"> </w:t>
      </w:r>
      <w:r>
        <w:t>by</w:t>
      </w:r>
      <w:r>
        <w:rPr>
          <w:spacing w:val="-11"/>
        </w:rPr>
        <w:t xml:space="preserve"> </w:t>
      </w:r>
      <w:r>
        <w:t>working</w:t>
      </w:r>
      <w:r>
        <w:rPr>
          <w:spacing w:val="-11"/>
        </w:rPr>
        <w:t xml:space="preserve"> </w:t>
      </w:r>
      <w:r>
        <w:t>on key</w:t>
      </w:r>
      <w:r>
        <w:rPr>
          <w:spacing w:val="-10"/>
        </w:rPr>
        <w:t xml:space="preserve"> </w:t>
      </w:r>
      <w:r>
        <w:t>policy</w:t>
      </w:r>
      <w:r>
        <w:rPr>
          <w:spacing w:val="-11"/>
        </w:rPr>
        <w:t xml:space="preserve"> </w:t>
      </w:r>
      <w:r>
        <w:t>agendas</w:t>
      </w:r>
      <w:r>
        <w:rPr>
          <w:spacing w:val="-11"/>
        </w:rPr>
        <w:t xml:space="preserve"> </w:t>
      </w:r>
      <w:r>
        <w:t>across</w:t>
      </w:r>
      <w:r>
        <w:rPr>
          <w:spacing w:val="-11"/>
        </w:rPr>
        <w:t xml:space="preserve"> </w:t>
      </w:r>
      <w:r>
        <w:t>these</w:t>
      </w:r>
      <w:r>
        <w:rPr>
          <w:spacing w:val="-12"/>
        </w:rPr>
        <w:t xml:space="preserve"> </w:t>
      </w:r>
      <w:r>
        <w:t>three</w:t>
      </w:r>
      <w:r>
        <w:rPr>
          <w:spacing w:val="-12"/>
        </w:rPr>
        <w:t xml:space="preserve"> </w:t>
      </w:r>
      <w:r>
        <w:t>outcome</w:t>
      </w:r>
      <w:r>
        <w:rPr>
          <w:spacing w:val="-12"/>
        </w:rPr>
        <w:t xml:space="preserve"> </w:t>
      </w:r>
      <w:r>
        <w:t>areas</w:t>
      </w:r>
      <w:r>
        <w:rPr>
          <w:spacing w:val="-4"/>
        </w:rPr>
        <w:t xml:space="preserve"> </w:t>
      </w:r>
      <w:r>
        <w:t>-</w:t>
      </w:r>
      <w:r>
        <w:rPr>
          <w:spacing w:val="-13"/>
        </w:rPr>
        <w:t xml:space="preserve"> </w:t>
      </w:r>
      <w:r>
        <w:t>seeking</w:t>
      </w:r>
      <w:r>
        <w:rPr>
          <w:spacing w:val="-11"/>
        </w:rPr>
        <w:t xml:space="preserve"> </w:t>
      </w:r>
      <w:r>
        <w:t>to</w:t>
      </w:r>
      <w:r>
        <w:rPr>
          <w:spacing w:val="-13"/>
        </w:rPr>
        <w:t xml:space="preserve"> </w:t>
      </w:r>
      <w:r>
        <w:t>ensure</w:t>
      </w:r>
      <w:r>
        <w:rPr>
          <w:spacing w:val="-12"/>
        </w:rPr>
        <w:t xml:space="preserve"> </w:t>
      </w:r>
      <w:r>
        <w:t>coordinated</w:t>
      </w:r>
      <w:r>
        <w:rPr>
          <w:spacing w:val="-11"/>
        </w:rPr>
        <w:t xml:space="preserve"> </w:t>
      </w:r>
      <w:r>
        <w:t>progress</w:t>
      </w:r>
      <w:r>
        <w:rPr>
          <w:spacing w:val="-12"/>
        </w:rPr>
        <w:t xml:space="preserve"> </w:t>
      </w:r>
      <w:r>
        <w:t>between national and</w:t>
      </w:r>
      <w:r>
        <w:rPr>
          <w:spacing w:val="-1"/>
        </w:rPr>
        <w:t xml:space="preserve"> </w:t>
      </w:r>
      <w:r>
        <w:t xml:space="preserve">subnational partners to improve planning and budgeting that will deliver inclusive service </w:t>
      </w:r>
      <w:r>
        <w:rPr>
          <w:spacing w:val="-2"/>
        </w:rPr>
        <w:t>delivery.</w:t>
      </w:r>
    </w:p>
    <w:p w14:paraId="3585BBFD" w14:textId="77777777" w:rsidR="00BC24A8" w:rsidRDefault="00000000">
      <w:pPr>
        <w:pStyle w:val="Heading4"/>
        <w:spacing w:before="153" w:line="254" w:lineRule="auto"/>
        <w:ind w:right="327"/>
      </w:pPr>
      <w:bookmarkStart w:id="35" w:name="End_of_Program_Outcome_1:_Stronger_Enabl"/>
      <w:bookmarkStart w:id="36" w:name="_bookmark19"/>
      <w:bookmarkEnd w:id="35"/>
      <w:bookmarkEnd w:id="36"/>
      <w:r>
        <w:rPr>
          <w:color w:val="17365A"/>
          <w:spacing w:val="-4"/>
        </w:rPr>
        <w:t>End</w:t>
      </w:r>
      <w:r>
        <w:rPr>
          <w:color w:val="17365A"/>
          <w:spacing w:val="-28"/>
        </w:rPr>
        <w:t xml:space="preserve"> </w:t>
      </w:r>
      <w:r>
        <w:rPr>
          <w:color w:val="17365A"/>
          <w:spacing w:val="-4"/>
        </w:rPr>
        <w:t>of</w:t>
      </w:r>
      <w:r>
        <w:rPr>
          <w:color w:val="17365A"/>
          <w:spacing w:val="-27"/>
        </w:rPr>
        <w:t xml:space="preserve"> </w:t>
      </w:r>
      <w:r>
        <w:rPr>
          <w:color w:val="17365A"/>
          <w:spacing w:val="-4"/>
        </w:rPr>
        <w:t>Program</w:t>
      </w:r>
      <w:r>
        <w:rPr>
          <w:color w:val="17365A"/>
          <w:spacing w:val="-29"/>
        </w:rPr>
        <w:t xml:space="preserve"> </w:t>
      </w:r>
      <w:r>
        <w:rPr>
          <w:color w:val="17365A"/>
          <w:spacing w:val="-4"/>
        </w:rPr>
        <w:t>Outcome</w:t>
      </w:r>
      <w:r>
        <w:rPr>
          <w:color w:val="17365A"/>
          <w:spacing w:val="-26"/>
        </w:rPr>
        <w:t xml:space="preserve"> </w:t>
      </w:r>
      <w:r>
        <w:rPr>
          <w:color w:val="17365A"/>
          <w:spacing w:val="-4"/>
        </w:rPr>
        <w:t>1:</w:t>
      </w:r>
      <w:r>
        <w:rPr>
          <w:color w:val="17365A"/>
          <w:spacing w:val="-27"/>
        </w:rPr>
        <w:t xml:space="preserve"> </w:t>
      </w:r>
      <w:r>
        <w:rPr>
          <w:color w:val="17365A"/>
          <w:spacing w:val="-4"/>
        </w:rPr>
        <w:t>Stronger</w:t>
      </w:r>
      <w:r>
        <w:rPr>
          <w:color w:val="17365A"/>
          <w:spacing w:val="-29"/>
        </w:rPr>
        <w:t xml:space="preserve"> </w:t>
      </w:r>
      <w:r>
        <w:rPr>
          <w:color w:val="17365A"/>
          <w:spacing w:val="-4"/>
        </w:rPr>
        <w:t>Enabling</w:t>
      </w:r>
      <w:r>
        <w:rPr>
          <w:color w:val="17365A"/>
          <w:spacing w:val="-26"/>
        </w:rPr>
        <w:t xml:space="preserve"> </w:t>
      </w:r>
      <w:r>
        <w:rPr>
          <w:color w:val="17365A"/>
          <w:spacing w:val="-4"/>
        </w:rPr>
        <w:t>Environment</w:t>
      </w:r>
      <w:r>
        <w:rPr>
          <w:color w:val="17365A"/>
          <w:spacing w:val="-25"/>
        </w:rPr>
        <w:t xml:space="preserve"> </w:t>
      </w:r>
      <w:r>
        <w:rPr>
          <w:color w:val="17365A"/>
          <w:spacing w:val="-4"/>
        </w:rPr>
        <w:t xml:space="preserve">for </w:t>
      </w:r>
      <w:r>
        <w:rPr>
          <w:color w:val="17365A"/>
        </w:rPr>
        <w:t>Subnational Service Delivery</w:t>
      </w:r>
    </w:p>
    <w:p w14:paraId="6689B4B2" w14:textId="77777777" w:rsidR="00BC24A8" w:rsidRDefault="00000000">
      <w:pPr>
        <w:pStyle w:val="BodyText"/>
        <w:spacing w:before="235" w:line="278" w:lineRule="auto"/>
        <w:ind w:left="143" w:right="282"/>
        <w:jc w:val="both"/>
      </w:pPr>
      <w:r>
        <w:t>SKALA’s first program outcome is: Central ministries develop and implement improved policies, plans, and budgets that can support better basic service provision in less developed regions.</w:t>
      </w:r>
    </w:p>
    <w:p w14:paraId="4BE5FE0F" w14:textId="77777777" w:rsidR="00BC24A8" w:rsidRDefault="00000000">
      <w:pPr>
        <w:pStyle w:val="BodyText"/>
        <w:spacing w:before="160" w:line="278" w:lineRule="auto"/>
        <w:ind w:left="143" w:right="280"/>
        <w:jc w:val="both"/>
      </w:pPr>
      <w:r>
        <w:t>SKALA’s work in this outcome area aims to improve the extent to which national policies coherently support effective service-related subnational planning and budgeting. Under this EOPO, SKALA is supporting</w:t>
      </w:r>
      <w:r>
        <w:rPr>
          <w:spacing w:val="-13"/>
        </w:rPr>
        <w:t xml:space="preserve"> </w:t>
      </w:r>
      <w:r>
        <w:t>central</w:t>
      </w:r>
      <w:r>
        <w:rPr>
          <w:spacing w:val="-12"/>
        </w:rPr>
        <w:t xml:space="preserve"> </w:t>
      </w:r>
      <w:r>
        <w:t>ministries</w:t>
      </w:r>
      <w:r>
        <w:rPr>
          <w:spacing w:val="-12"/>
        </w:rPr>
        <w:t xml:space="preserve"> </w:t>
      </w:r>
      <w:r>
        <w:t>to</w:t>
      </w:r>
      <w:r>
        <w:rPr>
          <w:spacing w:val="-11"/>
        </w:rPr>
        <w:t xml:space="preserve"> </w:t>
      </w:r>
      <w:r>
        <w:t>provide</w:t>
      </w:r>
      <w:r>
        <w:rPr>
          <w:spacing w:val="-13"/>
        </w:rPr>
        <w:t xml:space="preserve"> </w:t>
      </w:r>
      <w:r>
        <w:t>coordinated</w:t>
      </w:r>
      <w:r>
        <w:rPr>
          <w:spacing w:val="-11"/>
        </w:rPr>
        <w:t xml:space="preserve"> </w:t>
      </w:r>
      <w:r>
        <w:t>guidance</w:t>
      </w:r>
      <w:r>
        <w:rPr>
          <w:spacing w:val="-12"/>
        </w:rPr>
        <w:t xml:space="preserve"> </w:t>
      </w:r>
      <w:r>
        <w:t>to</w:t>
      </w:r>
      <w:r>
        <w:rPr>
          <w:spacing w:val="-12"/>
        </w:rPr>
        <w:t xml:space="preserve"> </w:t>
      </w:r>
      <w:r>
        <w:t>subnational</w:t>
      </w:r>
      <w:r>
        <w:rPr>
          <w:spacing w:val="-12"/>
        </w:rPr>
        <w:t xml:space="preserve"> </w:t>
      </w:r>
      <w:r>
        <w:t>partners</w:t>
      </w:r>
      <w:r>
        <w:rPr>
          <w:spacing w:val="-11"/>
        </w:rPr>
        <w:t xml:space="preserve"> </w:t>
      </w:r>
      <w:r>
        <w:t>in</w:t>
      </w:r>
      <w:r>
        <w:rPr>
          <w:spacing w:val="-13"/>
        </w:rPr>
        <w:t xml:space="preserve"> </w:t>
      </w:r>
      <w:r>
        <w:t xml:space="preserve">service-related </w:t>
      </w:r>
      <w:r>
        <w:rPr>
          <w:spacing w:val="-2"/>
        </w:rPr>
        <w:t>policy areas.</w:t>
      </w:r>
      <w:r>
        <w:rPr>
          <w:spacing w:val="-4"/>
        </w:rPr>
        <w:t xml:space="preserve"> </w:t>
      </w:r>
      <w:r>
        <w:rPr>
          <w:spacing w:val="-2"/>
        </w:rPr>
        <w:t>Despite</w:t>
      </w:r>
      <w:r>
        <w:rPr>
          <w:spacing w:val="-4"/>
        </w:rPr>
        <w:t xml:space="preserve"> </w:t>
      </w:r>
      <w:r>
        <w:rPr>
          <w:spacing w:val="-2"/>
        </w:rPr>
        <w:t>administration changes at the</w:t>
      </w:r>
      <w:r>
        <w:rPr>
          <w:spacing w:val="-4"/>
        </w:rPr>
        <w:t xml:space="preserve"> </w:t>
      </w:r>
      <w:r>
        <w:rPr>
          <w:spacing w:val="-2"/>
        </w:rPr>
        <w:t>national</w:t>
      </w:r>
      <w:r>
        <w:rPr>
          <w:spacing w:val="-4"/>
        </w:rPr>
        <w:t xml:space="preserve"> </w:t>
      </w:r>
      <w:r>
        <w:rPr>
          <w:spacing w:val="-2"/>
        </w:rPr>
        <w:t>and</w:t>
      </w:r>
      <w:r>
        <w:rPr>
          <w:spacing w:val="-5"/>
        </w:rPr>
        <w:t xml:space="preserve"> </w:t>
      </w:r>
      <w:r>
        <w:rPr>
          <w:spacing w:val="-2"/>
        </w:rPr>
        <w:t>subnational</w:t>
      </w:r>
      <w:r>
        <w:rPr>
          <w:spacing w:val="-4"/>
        </w:rPr>
        <w:t xml:space="preserve"> </w:t>
      </w:r>
      <w:r>
        <w:rPr>
          <w:spacing w:val="-2"/>
        </w:rPr>
        <w:t>levels</w:t>
      </w:r>
      <w:r>
        <w:rPr>
          <w:spacing w:val="-4"/>
        </w:rPr>
        <w:t xml:space="preserve"> </w:t>
      </w:r>
      <w:r>
        <w:rPr>
          <w:spacing w:val="-2"/>
        </w:rPr>
        <w:t>resulting in</w:t>
      </w:r>
      <w:r>
        <w:rPr>
          <w:spacing w:val="-5"/>
        </w:rPr>
        <w:t xml:space="preserve"> </w:t>
      </w:r>
      <w:r>
        <w:rPr>
          <w:spacing w:val="-2"/>
        </w:rPr>
        <w:t xml:space="preserve">significant </w:t>
      </w:r>
      <w:r>
        <w:t>policy and personnel changes over the past 12 months, SKALA has contributed to improved national policy coherence through work under each of the nationally focused IOs.</w:t>
      </w:r>
    </w:p>
    <w:p w14:paraId="515066C8" w14:textId="77777777" w:rsidR="00BC24A8" w:rsidRDefault="00BC24A8">
      <w:pPr>
        <w:pStyle w:val="BodyText"/>
      </w:pPr>
    </w:p>
    <w:p w14:paraId="1483DEA0" w14:textId="77777777" w:rsidR="00BC24A8" w:rsidRDefault="00BC24A8">
      <w:pPr>
        <w:pStyle w:val="BodyText"/>
        <w:spacing w:before="92"/>
      </w:pPr>
    </w:p>
    <w:p w14:paraId="22005D0B" w14:textId="77777777" w:rsidR="00BC24A8" w:rsidRDefault="00000000">
      <w:pPr>
        <w:pStyle w:val="Heading6"/>
        <w:spacing w:line="290" w:lineRule="auto"/>
        <w:ind w:right="285"/>
      </w:pPr>
      <w:r w:rsidRPr="00795364">
        <w:rPr>
          <w:color w:val="00827F"/>
          <w:spacing w:val="-6"/>
        </w:rPr>
        <w:t>IO1: Central</w:t>
      </w:r>
      <w:r w:rsidRPr="00795364">
        <w:rPr>
          <w:color w:val="00827F"/>
          <w:spacing w:val="-8"/>
        </w:rPr>
        <w:t xml:space="preserve"> </w:t>
      </w:r>
      <w:r w:rsidRPr="00795364">
        <w:rPr>
          <w:color w:val="00827F"/>
          <w:spacing w:val="-6"/>
        </w:rPr>
        <w:t>agencies improve the subnational</w:t>
      </w:r>
      <w:r w:rsidRPr="00795364">
        <w:rPr>
          <w:color w:val="00827F"/>
          <w:spacing w:val="-8"/>
        </w:rPr>
        <w:t xml:space="preserve"> </w:t>
      </w:r>
      <w:r w:rsidRPr="00795364">
        <w:rPr>
          <w:color w:val="00827F"/>
          <w:spacing w:val="-6"/>
        </w:rPr>
        <w:t>policy and regulatory</w:t>
      </w:r>
      <w:r w:rsidRPr="00795364">
        <w:rPr>
          <w:color w:val="00827F"/>
          <w:spacing w:val="-8"/>
        </w:rPr>
        <w:t xml:space="preserve"> </w:t>
      </w:r>
      <w:r w:rsidRPr="00795364">
        <w:rPr>
          <w:color w:val="00827F"/>
          <w:spacing w:val="-6"/>
        </w:rPr>
        <w:t xml:space="preserve">environment on Public </w:t>
      </w:r>
      <w:r w:rsidRPr="00795364">
        <w:rPr>
          <w:color w:val="00827F"/>
          <w:spacing w:val="-2"/>
        </w:rPr>
        <w:t>Financial</w:t>
      </w:r>
      <w:r w:rsidRPr="00795364">
        <w:rPr>
          <w:color w:val="00827F"/>
          <w:spacing w:val="-22"/>
        </w:rPr>
        <w:t xml:space="preserve"> </w:t>
      </w:r>
      <w:r w:rsidRPr="00795364">
        <w:rPr>
          <w:color w:val="00827F"/>
          <w:spacing w:val="-2"/>
        </w:rPr>
        <w:t>Management</w:t>
      </w:r>
      <w:r w:rsidRPr="00795364">
        <w:rPr>
          <w:color w:val="00827F"/>
          <w:spacing w:val="-21"/>
        </w:rPr>
        <w:t xml:space="preserve"> </w:t>
      </w:r>
      <w:r w:rsidRPr="00795364">
        <w:rPr>
          <w:color w:val="00827F"/>
          <w:spacing w:val="-2"/>
        </w:rPr>
        <w:t>(PFM)</w:t>
      </w:r>
      <w:r w:rsidRPr="00795364">
        <w:rPr>
          <w:color w:val="00827F"/>
          <w:spacing w:val="-24"/>
        </w:rPr>
        <w:t xml:space="preserve"> </w:t>
      </w:r>
      <w:r w:rsidRPr="00795364">
        <w:rPr>
          <w:color w:val="00827F"/>
          <w:spacing w:val="-2"/>
        </w:rPr>
        <w:t>and</w:t>
      </w:r>
      <w:r w:rsidRPr="00795364">
        <w:rPr>
          <w:color w:val="00827F"/>
          <w:spacing w:val="-21"/>
        </w:rPr>
        <w:t xml:space="preserve"> </w:t>
      </w:r>
      <w:r w:rsidRPr="00795364">
        <w:rPr>
          <w:color w:val="00827F"/>
          <w:spacing w:val="-2"/>
        </w:rPr>
        <w:t>the</w:t>
      </w:r>
      <w:r w:rsidRPr="00795364">
        <w:rPr>
          <w:color w:val="00827F"/>
          <w:spacing w:val="-20"/>
        </w:rPr>
        <w:t xml:space="preserve"> </w:t>
      </w:r>
      <w:r w:rsidRPr="00795364">
        <w:rPr>
          <w:color w:val="00827F"/>
          <w:spacing w:val="-2"/>
        </w:rPr>
        <w:t>implementation</w:t>
      </w:r>
      <w:r w:rsidRPr="00795364">
        <w:rPr>
          <w:color w:val="00827F"/>
          <w:spacing w:val="-24"/>
        </w:rPr>
        <w:t xml:space="preserve"> </w:t>
      </w:r>
      <w:r w:rsidRPr="00795364">
        <w:rPr>
          <w:color w:val="00827F"/>
          <w:spacing w:val="-2"/>
        </w:rPr>
        <w:t>of</w:t>
      </w:r>
      <w:r w:rsidRPr="00795364">
        <w:rPr>
          <w:color w:val="00827F"/>
          <w:spacing w:val="-23"/>
        </w:rPr>
        <w:t xml:space="preserve"> </w:t>
      </w:r>
      <w:r w:rsidRPr="00795364">
        <w:rPr>
          <w:color w:val="00827F"/>
          <w:spacing w:val="-2"/>
        </w:rPr>
        <w:t>Minimum</w:t>
      </w:r>
      <w:r w:rsidRPr="00795364">
        <w:rPr>
          <w:color w:val="00827F"/>
          <w:spacing w:val="-21"/>
        </w:rPr>
        <w:t xml:space="preserve"> </w:t>
      </w:r>
      <w:r w:rsidRPr="00795364">
        <w:rPr>
          <w:color w:val="00827F"/>
          <w:spacing w:val="-2"/>
        </w:rPr>
        <w:t>Service</w:t>
      </w:r>
      <w:r w:rsidRPr="00795364">
        <w:rPr>
          <w:color w:val="00827F"/>
          <w:spacing w:val="-20"/>
        </w:rPr>
        <w:t xml:space="preserve"> </w:t>
      </w:r>
      <w:r w:rsidRPr="00795364">
        <w:rPr>
          <w:color w:val="00827F"/>
          <w:spacing w:val="-2"/>
        </w:rPr>
        <w:t>Standards</w:t>
      </w:r>
      <w:r w:rsidRPr="00795364">
        <w:rPr>
          <w:color w:val="00827F"/>
          <w:spacing w:val="-22"/>
        </w:rPr>
        <w:t xml:space="preserve"> </w:t>
      </w:r>
      <w:r w:rsidRPr="00795364">
        <w:rPr>
          <w:color w:val="00827F"/>
          <w:spacing w:val="-2"/>
        </w:rPr>
        <w:t>(MSS)</w:t>
      </w:r>
    </w:p>
    <w:p w14:paraId="02FE3C53" w14:textId="77777777" w:rsidR="00BC24A8" w:rsidRDefault="00000000">
      <w:pPr>
        <w:pStyle w:val="BodyText"/>
        <w:spacing w:before="161" w:line="278" w:lineRule="auto"/>
        <w:ind w:left="143" w:right="279"/>
        <w:jc w:val="both"/>
      </w:pPr>
      <w:r>
        <w:t>In</w:t>
      </w:r>
      <w:r>
        <w:rPr>
          <w:spacing w:val="-7"/>
        </w:rPr>
        <w:t xml:space="preserve"> </w:t>
      </w:r>
      <w:r>
        <w:t>this</w:t>
      </w:r>
      <w:r>
        <w:rPr>
          <w:spacing w:val="-6"/>
        </w:rPr>
        <w:t xml:space="preserve"> </w:t>
      </w:r>
      <w:r>
        <w:t>reporting</w:t>
      </w:r>
      <w:r>
        <w:rPr>
          <w:spacing w:val="-9"/>
        </w:rPr>
        <w:t xml:space="preserve"> </w:t>
      </w:r>
      <w:r>
        <w:t>period,</w:t>
      </w:r>
      <w:r>
        <w:rPr>
          <w:spacing w:val="-8"/>
        </w:rPr>
        <w:t xml:space="preserve"> </w:t>
      </w:r>
      <w:r>
        <w:t>SKALA</w:t>
      </w:r>
      <w:r>
        <w:rPr>
          <w:spacing w:val="-8"/>
        </w:rPr>
        <w:t xml:space="preserve"> </w:t>
      </w:r>
      <w:r>
        <w:t>can</w:t>
      </w:r>
      <w:r>
        <w:rPr>
          <w:spacing w:val="-8"/>
        </w:rPr>
        <w:t xml:space="preserve"> </w:t>
      </w:r>
      <w:r>
        <w:t>show</w:t>
      </w:r>
      <w:r>
        <w:rPr>
          <w:spacing w:val="-8"/>
        </w:rPr>
        <w:t xml:space="preserve"> </w:t>
      </w:r>
      <w:r>
        <w:t>that</w:t>
      </w:r>
      <w:r>
        <w:rPr>
          <w:spacing w:val="-8"/>
        </w:rPr>
        <w:t xml:space="preserve"> </w:t>
      </w:r>
      <w:r>
        <w:t>its</w:t>
      </w:r>
      <w:r>
        <w:rPr>
          <w:spacing w:val="-8"/>
        </w:rPr>
        <w:t xml:space="preserve"> </w:t>
      </w:r>
      <w:r>
        <w:t>technical</w:t>
      </w:r>
      <w:r>
        <w:rPr>
          <w:spacing w:val="-8"/>
        </w:rPr>
        <w:t xml:space="preserve"> </w:t>
      </w:r>
      <w:r>
        <w:t>support</w:t>
      </w:r>
      <w:r>
        <w:rPr>
          <w:spacing w:val="-8"/>
        </w:rPr>
        <w:t xml:space="preserve"> </w:t>
      </w:r>
      <w:r>
        <w:t>and</w:t>
      </w:r>
      <w:r>
        <w:rPr>
          <w:spacing w:val="-7"/>
        </w:rPr>
        <w:t xml:space="preserve"> </w:t>
      </w:r>
      <w:r>
        <w:t>facilitation</w:t>
      </w:r>
      <w:r>
        <w:rPr>
          <w:spacing w:val="-8"/>
        </w:rPr>
        <w:t xml:space="preserve"> </w:t>
      </w:r>
      <w:r>
        <w:t>of</w:t>
      </w:r>
      <w:r>
        <w:rPr>
          <w:spacing w:val="-8"/>
        </w:rPr>
        <w:t xml:space="preserve"> </w:t>
      </w:r>
      <w:r>
        <w:t>stronger</w:t>
      </w:r>
      <w:r>
        <w:rPr>
          <w:spacing w:val="-7"/>
        </w:rPr>
        <w:t xml:space="preserve"> </w:t>
      </w:r>
      <w:r>
        <w:t>processes has contributed to central GoI partners issuing policies, regulations and other guidance documents intended to improve subnational PFM for the delivery of MSS.</w:t>
      </w:r>
    </w:p>
    <w:p w14:paraId="6E5D0102" w14:textId="77777777" w:rsidR="00BC24A8" w:rsidRDefault="00000000">
      <w:pPr>
        <w:pStyle w:val="BodyText"/>
        <w:spacing w:before="160"/>
        <w:ind w:left="143"/>
        <w:jc w:val="both"/>
      </w:pPr>
      <w:r>
        <w:t>SKALA</w:t>
      </w:r>
      <w:r>
        <w:rPr>
          <w:spacing w:val="-6"/>
        </w:rPr>
        <w:t xml:space="preserve"> </w:t>
      </w:r>
      <w:r>
        <w:t>supports</w:t>
      </w:r>
      <w:r>
        <w:rPr>
          <w:spacing w:val="-5"/>
        </w:rPr>
        <w:t xml:space="preserve"> </w:t>
      </w:r>
      <w:r>
        <w:t>central</w:t>
      </w:r>
      <w:r>
        <w:rPr>
          <w:spacing w:val="-7"/>
        </w:rPr>
        <w:t xml:space="preserve"> </w:t>
      </w:r>
      <w:r>
        <w:t>agencies</w:t>
      </w:r>
      <w:r>
        <w:rPr>
          <w:spacing w:val="-5"/>
        </w:rPr>
        <w:t xml:space="preserve"> </w:t>
      </w:r>
      <w:r>
        <w:t>to</w:t>
      </w:r>
      <w:r>
        <w:rPr>
          <w:spacing w:val="-6"/>
        </w:rPr>
        <w:t xml:space="preserve"> </w:t>
      </w:r>
      <w:r>
        <w:t>improve</w:t>
      </w:r>
      <w:r>
        <w:rPr>
          <w:spacing w:val="-7"/>
        </w:rPr>
        <w:t xml:space="preserve"> </w:t>
      </w:r>
      <w:r>
        <w:t>subnational</w:t>
      </w:r>
      <w:r>
        <w:rPr>
          <w:spacing w:val="-7"/>
        </w:rPr>
        <w:t xml:space="preserve"> </w:t>
      </w:r>
      <w:r>
        <w:t>PFM</w:t>
      </w:r>
      <w:r>
        <w:rPr>
          <w:spacing w:val="-5"/>
        </w:rPr>
        <w:t xml:space="preserve"> </w:t>
      </w:r>
      <w:r>
        <w:t>for</w:t>
      </w:r>
      <w:r>
        <w:rPr>
          <w:spacing w:val="-7"/>
        </w:rPr>
        <w:t xml:space="preserve"> </w:t>
      </w:r>
      <w:r>
        <w:t>the</w:t>
      </w:r>
      <w:r>
        <w:rPr>
          <w:spacing w:val="-7"/>
        </w:rPr>
        <w:t xml:space="preserve"> </w:t>
      </w:r>
      <w:r>
        <w:t>delivery</w:t>
      </w:r>
      <w:r>
        <w:rPr>
          <w:spacing w:val="-7"/>
        </w:rPr>
        <w:t xml:space="preserve"> </w:t>
      </w:r>
      <w:r>
        <w:t>of</w:t>
      </w:r>
      <w:r>
        <w:rPr>
          <w:spacing w:val="-8"/>
        </w:rPr>
        <w:t xml:space="preserve"> </w:t>
      </w:r>
      <w:r>
        <w:t>MSS</w:t>
      </w:r>
      <w:r>
        <w:rPr>
          <w:spacing w:val="-5"/>
        </w:rPr>
        <w:t xml:space="preserve"> </w:t>
      </w:r>
      <w:r>
        <w:t>by</w:t>
      </w:r>
      <w:r>
        <w:rPr>
          <w:spacing w:val="-7"/>
        </w:rPr>
        <w:t xml:space="preserve"> </w:t>
      </w:r>
      <w:r>
        <w:t>working</w:t>
      </w:r>
      <w:r>
        <w:rPr>
          <w:spacing w:val="-6"/>
        </w:rPr>
        <w:t xml:space="preserve"> </w:t>
      </w:r>
      <w:r>
        <w:rPr>
          <w:spacing w:val="-5"/>
        </w:rPr>
        <w:t>on:</w:t>
      </w:r>
    </w:p>
    <w:p w14:paraId="00FCA72A" w14:textId="77777777" w:rsidR="00BC24A8" w:rsidRDefault="00000000">
      <w:pPr>
        <w:pStyle w:val="ListParagraph"/>
        <w:numPr>
          <w:ilvl w:val="0"/>
          <w:numId w:val="171"/>
        </w:numPr>
        <w:tabs>
          <w:tab w:val="left" w:pos="861"/>
        </w:tabs>
        <w:spacing w:before="202"/>
        <w:ind w:left="861" w:hanging="358"/>
      </w:pPr>
      <w:r>
        <w:t>Regulations</w:t>
      </w:r>
      <w:r>
        <w:rPr>
          <w:spacing w:val="-13"/>
        </w:rPr>
        <w:t xml:space="preserve"> </w:t>
      </w:r>
      <w:r>
        <w:t>governing</w:t>
      </w:r>
      <w:r>
        <w:rPr>
          <w:spacing w:val="-12"/>
        </w:rPr>
        <w:t xml:space="preserve"> </w:t>
      </w:r>
      <w:r>
        <w:t>fiscal</w:t>
      </w:r>
      <w:r>
        <w:rPr>
          <w:spacing w:val="-12"/>
        </w:rPr>
        <w:t xml:space="preserve"> </w:t>
      </w:r>
      <w:r>
        <w:t>transfers</w:t>
      </w:r>
      <w:r>
        <w:rPr>
          <w:spacing w:val="-11"/>
        </w:rPr>
        <w:t xml:space="preserve"> </w:t>
      </w:r>
      <w:r>
        <w:t>from</w:t>
      </w:r>
      <w:r>
        <w:rPr>
          <w:spacing w:val="-12"/>
        </w:rPr>
        <w:t xml:space="preserve"> </w:t>
      </w:r>
      <w:r>
        <w:t>the</w:t>
      </w:r>
      <w:r>
        <w:rPr>
          <w:spacing w:val="-12"/>
        </w:rPr>
        <w:t xml:space="preserve"> </w:t>
      </w:r>
      <w:r>
        <w:t>central</w:t>
      </w:r>
      <w:r>
        <w:rPr>
          <w:spacing w:val="-12"/>
        </w:rPr>
        <w:t xml:space="preserve"> </w:t>
      </w:r>
      <w:r>
        <w:rPr>
          <w:spacing w:val="-2"/>
        </w:rPr>
        <w:t>government</w:t>
      </w:r>
    </w:p>
    <w:p w14:paraId="77A59CFE" w14:textId="77777777" w:rsidR="00BC24A8" w:rsidRDefault="00000000">
      <w:pPr>
        <w:pStyle w:val="ListParagraph"/>
        <w:numPr>
          <w:ilvl w:val="0"/>
          <w:numId w:val="171"/>
        </w:numPr>
        <w:tabs>
          <w:tab w:val="left" w:pos="860"/>
        </w:tabs>
        <w:spacing w:before="22"/>
        <w:ind w:left="860" w:hanging="358"/>
      </w:pPr>
      <w:r>
        <w:t>National</w:t>
      </w:r>
      <w:r>
        <w:rPr>
          <w:spacing w:val="-8"/>
        </w:rPr>
        <w:t xml:space="preserve"> </w:t>
      </w:r>
      <w:r>
        <w:t>guidance</w:t>
      </w:r>
      <w:r>
        <w:rPr>
          <w:spacing w:val="-7"/>
        </w:rPr>
        <w:t xml:space="preserve"> </w:t>
      </w:r>
      <w:r>
        <w:t>on</w:t>
      </w:r>
      <w:r>
        <w:rPr>
          <w:spacing w:val="-7"/>
        </w:rPr>
        <w:t xml:space="preserve"> </w:t>
      </w:r>
      <w:r>
        <w:t>aligning</w:t>
      </w:r>
      <w:r>
        <w:rPr>
          <w:spacing w:val="-7"/>
        </w:rPr>
        <w:t xml:space="preserve"> </w:t>
      </w:r>
      <w:r>
        <w:t>subnational</w:t>
      </w:r>
      <w:r>
        <w:rPr>
          <w:spacing w:val="-7"/>
        </w:rPr>
        <w:t xml:space="preserve"> </w:t>
      </w:r>
      <w:r>
        <w:t>planning</w:t>
      </w:r>
      <w:r>
        <w:rPr>
          <w:spacing w:val="-6"/>
        </w:rPr>
        <w:t xml:space="preserve"> </w:t>
      </w:r>
      <w:r>
        <w:t>and</w:t>
      </w:r>
      <w:r>
        <w:rPr>
          <w:spacing w:val="-5"/>
        </w:rPr>
        <w:t xml:space="preserve"> </w:t>
      </w:r>
      <w:r>
        <w:t>budgeting</w:t>
      </w:r>
      <w:r>
        <w:rPr>
          <w:spacing w:val="-9"/>
        </w:rPr>
        <w:t xml:space="preserve"> </w:t>
      </w:r>
      <w:r>
        <w:t>with</w:t>
      </w:r>
      <w:r>
        <w:rPr>
          <w:spacing w:val="-5"/>
        </w:rPr>
        <w:t xml:space="preserve"> </w:t>
      </w:r>
      <w:r>
        <w:t>national</w:t>
      </w:r>
      <w:r>
        <w:rPr>
          <w:spacing w:val="-7"/>
        </w:rPr>
        <w:t xml:space="preserve"> </w:t>
      </w:r>
      <w:r>
        <w:rPr>
          <w:spacing w:val="-2"/>
        </w:rPr>
        <w:t>policies</w:t>
      </w:r>
    </w:p>
    <w:p w14:paraId="2784B8F5" w14:textId="77777777" w:rsidR="00BC24A8" w:rsidRDefault="00000000">
      <w:pPr>
        <w:pStyle w:val="ListParagraph"/>
        <w:numPr>
          <w:ilvl w:val="0"/>
          <w:numId w:val="171"/>
        </w:numPr>
        <w:tabs>
          <w:tab w:val="left" w:pos="860"/>
        </w:tabs>
        <w:spacing w:before="21"/>
        <w:ind w:left="860" w:hanging="358"/>
      </w:pPr>
      <w:r>
        <w:t>National</w:t>
      </w:r>
      <w:r>
        <w:rPr>
          <w:spacing w:val="-9"/>
        </w:rPr>
        <w:t xml:space="preserve"> </w:t>
      </w:r>
      <w:r>
        <w:t>policies</w:t>
      </w:r>
      <w:r>
        <w:rPr>
          <w:spacing w:val="-6"/>
        </w:rPr>
        <w:t xml:space="preserve"> </w:t>
      </w:r>
      <w:r>
        <w:t>guiding</w:t>
      </w:r>
      <w:r>
        <w:rPr>
          <w:spacing w:val="-8"/>
        </w:rPr>
        <w:t xml:space="preserve"> </w:t>
      </w:r>
      <w:r>
        <w:t>approaches</w:t>
      </w:r>
      <w:r>
        <w:rPr>
          <w:spacing w:val="-8"/>
        </w:rPr>
        <w:t xml:space="preserve"> </w:t>
      </w:r>
      <w:r>
        <w:t>to</w:t>
      </w:r>
      <w:r>
        <w:rPr>
          <w:spacing w:val="-7"/>
        </w:rPr>
        <w:t xml:space="preserve"> </w:t>
      </w:r>
      <w:r>
        <w:t>increasing</w:t>
      </w:r>
      <w:r>
        <w:rPr>
          <w:spacing w:val="-8"/>
        </w:rPr>
        <w:t xml:space="preserve"> </w:t>
      </w:r>
      <w:r>
        <w:t>local</w:t>
      </w:r>
      <w:r>
        <w:rPr>
          <w:spacing w:val="-10"/>
        </w:rPr>
        <w:t xml:space="preserve"> </w:t>
      </w:r>
      <w:r>
        <w:rPr>
          <w:spacing w:val="-2"/>
        </w:rPr>
        <w:t>revenues.</w:t>
      </w:r>
    </w:p>
    <w:p w14:paraId="29B8579C" w14:textId="77777777" w:rsidR="00BC24A8" w:rsidRDefault="00BC24A8">
      <w:pPr>
        <w:pStyle w:val="ListParagraph"/>
        <w:jc w:val="left"/>
        <w:sectPr w:rsidR="00BC24A8">
          <w:pgSz w:w="11910" w:h="16840"/>
          <w:pgMar w:top="1560" w:right="1133" w:bottom="1100" w:left="1275" w:header="0" w:footer="907" w:gutter="0"/>
          <w:cols w:space="720"/>
        </w:sectPr>
      </w:pPr>
    </w:p>
    <w:p w14:paraId="2005D5E3" w14:textId="77777777" w:rsidR="00BC24A8" w:rsidRDefault="00000000">
      <w:pPr>
        <w:pStyle w:val="BodyText"/>
        <w:spacing w:before="39" w:line="278" w:lineRule="auto"/>
        <w:ind w:left="143" w:right="279"/>
        <w:jc w:val="both"/>
      </w:pPr>
      <w:r>
        <w:lastRenderedPageBreak/>
        <w:t>To</w:t>
      </w:r>
      <w:r>
        <w:rPr>
          <w:spacing w:val="-9"/>
        </w:rPr>
        <w:t xml:space="preserve"> </w:t>
      </w:r>
      <w:r>
        <w:t>date</w:t>
      </w:r>
      <w:r>
        <w:rPr>
          <w:spacing w:val="-12"/>
        </w:rPr>
        <w:t xml:space="preserve"> </w:t>
      </w:r>
      <w:r>
        <w:t>support</w:t>
      </w:r>
      <w:r>
        <w:rPr>
          <w:spacing w:val="-11"/>
        </w:rPr>
        <w:t xml:space="preserve"> </w:t>
      </w:r>
      <w:r>
        <w:t>to</w:t>
      </w:r>
      <w:r>
        <w:rPr>
          <w:spacing w:val="-11"/>
        </w:rPr>
        <w:t xml:space="preserve"> </w:t>
      </w:r>
      <w:r>
        <w:t>central</w:t>
      </w:r>
      <w:r>
        <w:rPr>
          <w:spacing w:val="-9"/>
        </w:rPr>
        <w:t xml:space="preserve"> </w:t>
      </w:r>
      <w:r>
        <w:t>agencies</w:t>
      </w:r>
      <w:r>
        <w:rPr>
          <w:spacing w:val="-7"/>
        </w:rPr>
        <w:t xml:space="preserve"> </w:t>
      </w:r>
      <w:r>
        <w:t>has</w:t>
      </w:r>
      <w:r>
        <w:rPr>
          <w:spacing w:val="-10"/>
        </w:rPr>
        <w:t xml:space="preserve"> </w:t>
      </w:r>
      <w:r>
        <w:t>delivered</w:t>
      </w:r>
      <w:r>
        <w:rPr>
          <w:spacing w:val="-10"/>
        </w:rPr>
        <w:t xml:space="preserve"> </w:t>
      </w:r>
      <w:r>
        <w:t>5</w:t>
      </w:r>
      <w:r>
        <w:rPr>
          <w:spacing w:val="-10"/>
        </w:rPr>
        <w:t xml:space="preserve"> </w:t>
      </w:r>
      <w:r>
        <w:t>policies</w:t>
      </w:r>
      <w:r>
        <w:rPr>
          <w:spacing w:val="-7"/>
        </w:rPr>
        <w:t xml:space="preserve"> </w:t>
      </w:r>
      <w:r>
        <w:t>related</w:t>
      </w:r>
      <w:r>
        <w:rPr>
          <w:spacing w:val="-8"/>
        </w:rPr>
        <w:t xml:space="preserve"> </w:t>
      </w:r>
      <w:r>
        <w:t>to</w:t>
      </w:r>
      <w:r>
        <w:rPr>
          <w:spacing w:val="-11"/>
        </w:rPr>
        <w:t xml:space="preserve"> </w:t>
      </w:r>
      <w:r>
        <w:t>subnational</w:t>
      </w:r>
      <w:r>
        <w:rPr>
          <w:spacing w:val="-13"/>
        </w:rPr>
        <w:t xml:space="preserve"> </w:t>
      </w:r>
      <w:r>
        <w:t>management</w:t>
      </w:r>
      <w:r>
        <w:rPr>
          <w:spacing w:val="-8"/>
        </w:rPr>
        <w:t xml:space="preserve"> </w:t>
      </w:r>
      <w:r>
        <w:t>of</w:t>
      </w:r>
      <w:r>
        <w:rPr>
          <w:spacing w:val="-12"/>
        </w:rPr>
        <w:t xml:space="preserve"> </w:t>
      </w:r>
      <w:r>
        <w:t>MSS; 2 regulations related to the management of Special Autonomy Funds; and 5 regulation, 1 MoU, 1 guideline related to improved subnational revenue generation. SKALA has added significant value to these processes by supporting cross-agency coordination and ensuring that subnational technical guidance to implement changes is aligned. Further support is required to fully translate the MSS and GEDSI elements of this central guidance to the subnational level and to see the influence of public financial management on improved service delivery.</w:t>
      </w:r>
    </w:p>
    <w:p w14:paraId="1AEB339E" w14:textId="77777777" w:rsidR="00BC24A8" w:rsidRDefault="00000000">
      <w:pPr>
        <w:pStyle w:val="BodyText"/>
        <w:spacing w:before="157" w:line="278" w:lineRule="auto"/>
        <w:ind w:left="143" w:right="279"/>
        <w:jc w:val="both"/>
      </w:pPr>
      <w:r>
        <w:t>With SKALA support, key national fiscal transfer mechanisms (General Allocation Fund and Special Autonomy Funds) have both been revised to more tightly orient subnational management of these transfer</w:t>
      </w:r>
      <w:r>
        <w:rPr>
          <w:spacing w:val="-13"/>
        </w:rPr>
        <w:t xml:space="preserve"> </w:t>
      </w:r>
      <w:r>
        <w:t>categories</w:t>
      </w:r>
      <w:r>
        <w:rPr>
          <w:spacing w:val="-12"/>
        </w:rPr>
        <w:t xml:space="preserve"> </w:t>
      </w:r>
      <w:r>
        <w:t>to</w:t>
      </w:r>
      <w:r>
        <w:rPr>
          <w:spacing w:val="-11"/>
        </w:rPr>
        <w:t xml:space="preserve"> </w:t>
      </w:r>
      <w:r>
        <w:t>improve</w:t>
      </w:r>
      <w:r>
        <w:rPr>
          <w:spacing w:val="-12"/>
        </w:rPr>
        <w:t xml:space="preserve"> </w:t>
      </w:r>
      <w:r>
        <w:t>delivery</w:t>
      </w:r>
      <w:r>
        <w:rPr>
          <w:spacing w:val="-12"/>
        </w:rPr>
        <w:t xml:space="preserve"> </w:t>
      </w:r>
      <w:r>
        <w:t>of</w:t>
      </w:r>
      <w:r>
        <w:rPr>
          <w:spacing w:val="-13"/>
        </w:rPr>
        <w:t xml:space="preserve"> </w:t>
      </w:r>
      <w:r>
        <w:t>basic</w:t>
      </w:r>
      <w:r>
        <w:rPr>
          <w:spacing w:val="-12"/>
        </w:rPr>
        <w:t xml:space="preserve"> </w:t>
      </w:r>
      <w:r>
        <w:t>services.</w:t>
      </w:r>
      <w:r>
        <w:rPr>
          <w:spacing w:val="-12"/>
        </w:rPr>
        <w:t xml:space="preserve"> </w:t>
      </w:r>
      <w:r>
        <w:t>Progress</w:t>
      </w:r>
      <w:r>
        <w:rPr>
          <w:spacing w:val="-10"/>
        </w:rPr>
        <w:t xml:space="preserve"> </w:t>
      </w:r>
      <w:r>
        <w:t>in</w:t>
      </w:r>
      <w:r>
        <w:rPr>
          <w:spacing w:val="-13"/>
        </w:rPr>
        <w:t xml:space="preserve"> </w:t>
      </w:r>
      <w:r>
        <w:t>translating</w:t>
      </w:r>
      <w:r>
        <w:rPr>
          <w:spacing w:val="-12"/>
        </w:rPr>
        <w:t xml:space="preserve"> </w:t>
      </w:r>
      <w:r>
        <w:t>this</w:t>
      </w:r>
      <w:r>
        <w:rPr>
          <w:spacing w:val="-13"/>
        </w:rPr>
        <w:t xml:space="preserve"> </w:t>
      </w:r>
      <w:r>
        <w:t>national</w:t>
      </w:r>
      <w:r>
        <w:rPr>
          <w:spacing w:val="-10"/>
        </w:rPr>
        <w:t xml:space="preserve"> </w:t>
      </w:r>
      <w:r>
        <w:t>guidance</w:t>
      </w:r>
      <w:r>
        <w:rPr>
          <w:spacing w:val="-13"/>
        </w:rPr>
        <w:t xml:space="preserve"> </w:t>
      </w:r>
      <w:r>
        <w:t>to subnational implementation has been complicated by annual changes in national policy, significant changes to 2025 national budgets, limited socialisation of new national guidelines, as well as capacity gaps and competing interests in the subnational planning and budgeting processes (see Annex 1 for detailed analysis of</w:t>
      </w:r>
      <w:r>
        <w:rPr>
          <w:spacing w:val="-1"/>
        </w:rPr>
        <w:t xml:space="preserve"> </w:t>
      </w:r>
      <w:r>
        <w:t>General</w:t>
      </w:r>
      <w:r>
        <w:rPr>
          <w:spacing w:val="-3"/>
        </w:rPr>
        <w:t xml:space="preserve"> </w:t>
      </w:r>
      <w:r>
        <w:t>Allocation Fund and Special</w:t>
      </w:r>
      <w:r>
        <w:rPr>
          <w:spacing w:val="-1"/>
        </w:rPr>
        <w:t xml:space="preserve"> </w:t>
      </w:r>
      <w:r>
        <w:t>Autonomy Funds progress). SKALA</w:t>
      </w:r>
      <w:r>
        <w:rPr>
          <w:spacing w:val="-2"/>
        </w:rPr>
        <w:t xml:space="preserve"> </w:t>
      </w:r>
      <w:r>
        <w:t>support</w:t>
      </w:r>
      <w:r>
        <w:rPr>
          <w:spacing w:val="-1"/>
        </w:rPr>
        <w:t xml:space="preserve"> </w:t>
      </w:r>
      <w:r>
        <w:t>for the</w:t>
      </w:r>
      <w:r>
        <w:rPr>
          <w:spacing w:val="-4"/>
        </w:rPr>
        <w:t xml:space="preserve"> </w:t>
      </w:r>
      <w:r>
        <w:t>annual</w:t>
      </w:r>
      <w:r>
        <w:rPr>
          <w:spacing w:val="-4"/>
        </w:rPr>
        <w:t xml:space="preserve"> </w:t>
      </w:r>
      <w:r>
        <w:t>planning</w:t>
      </w:r>
      <w:r>
        <w:rPr>
          <w:spacing w:val="-3"/>
        </w:rPr>
        <w:t xml:space="preserve"> </w:t>
      </w:r>
      <w:r>
        <w:t>and</w:t>
      </w:r>
      <w:r>
        <w:rPr>
          <w:spacing w:val="-2"/>
        </w:rPr>
        <w:t xml:space="preserve"> </w:t>
      </w:r>
      <w:r>
        <w:t>budgeting</w:t>
      </w:r>
      <w:r>
        <w:rPr>
          <w:spacing w:val="-3"/>
        </w:rPr>
        <w:t xml:space="preserve"> </w:t>
      </w:r>
      <w:r>
        <w:t>cycles</w:t>
      </w:r>
      <w:r>
        <w:rPr>
          <w:spacing w:val="-2"/>
        </w:rPr>
        <w:t xml:space="preserve"> </w:t>
      </w:r>
      <w:r>
        <w:t>has</w:t>
      </w:r>
      <w:r>
        <w:rPr>
          <w:spacing w:val="-2"/>
        </w:rPr>
        <w:t xml:space="preserve"> </w:t>
      </w:r>
      <w:r>
        <w:t>equipped</w:t>
      </w:r>
      <w:r>
        <w:rPr>
          <w:spacing w:val="-2"/>
        </w:rPr>
        <w:t xml:space="preserve"> </w:t>
      </w:r>
      <w:r>
        <w:t>national</w:t>
      </w:r>
      <w:r>
        <w:rPr>
          <w:spacing w:val="-4"/>
        </w:rPr>
        <w:t xml:space="preserve"> </w:t>
      </w:r>
      <w:r>
        <w:t>agencies</w:t>
      </w:r>
      <w:r>
        <w:rPr>
          <w:spacing w:val="-2"/>
        </w:rPr>
        <w:t xml:space="preserve"> </w:t>
      </w:r>
      <w:r>
        <w:t>with</w:t>
      </w:r>
      <w:r>
        <w:rPr>
          <w:spacing w:val="-2"/>
        </w:rPr>
        <w:t xml:space="preserve"> </w:t>
      </w:r>
      <w:r>
        <w:t>improved</w:t>
      </w:r>
      <w:r>
        <w:rPr>
          <w:spacing w:val="-2"/>
        </w:rPr>
        <w:t xml:space="preserve"> </w:t>
      </w:r>
      <w:r>
        <w:t>tools</w:t>
      </w:r>
      <w:r>
        <w:rPr>
          <w:spacing w:val="-2"/>
        </w:rPr>
        <w:t xml:space="preserve"> </w:t>
      </w:r>
      <w:r>
        <w:t>to</w:t>
      </w:r>
      <w:r>
        <w:rPr>
          <w:spacing w:val="-3"/>
        </w:rPr>
        <w:t xml:space="preserve"> </w:t>
      </w:r>
      <w:r>
        <w:t>guide and review the alignment of subnational long term, medium term and annual development plans and budgets with national fiscal policies</w:t>
      </w:r>
      <w:hyperlink w:anchor="_bookmark20" w:history="1">
        <w:r w:rsidR="00BC24A8">
          <w:rPr>
            <w:vertAlign w:val="superscript"/>
          </w:rPr>
          <w:t>1</w:t>
        </w:r>
      </w:hyperlink>
      <w:r>
        <w:t>. Further support is required to ensure that these tools are being applied effectively, including developing feedback mechanisms from national agencies to improve alignment in future planning and budgeting cycles. SKALA’s significant work in facilitating central agencies to develop coordinated guidance for local taxation and levies</w:t>
      </w:r>
      <w:hyperlink w:anchor="_bookmark21" w:history="1">
        <w:r w:rsidR="00BC24A8">
          <w:rPr>
            <w:vertAlign w:val="superscript"/>
          </w:rPr>
          <w:t>2</w:t>
        </w:r>
      </w:hyperlink>
      <w:r>
        <w:t xml:space="preserve"> is yet to be rolled out sub- nationally, with</w:t>
      </w:r>
      <w:r>
        <w:rPr>
          <w:spacing w:val="-4"/>
        </w:rPr>
        <w:t xml:space="preserve"> </w:t>
      </w:r>
      <w:r>
        <w:t>national</w:t>
      </w:r>
      <w:r>
        <w:rPr>
          <w:spacing w:val="-4"/>
        </w:rPr>
        <w:t xml:space="preserve"> </w:t>
      </w:r>
      <w:r>
        <w:t>ministries currently working</w:t>
      </w:r>
      <w:r>
        <w:rPr>
          <w:spacing w:val="-3"/>
        </w:rPr>
        <w:t xml:space="preserve"> </w:t>
      </w:r>
      <w:r>
        <w:t>on a</w:t>
      </w:r>
      <w:r>
        <w:rPr>
          <w:spacing w:val="-4"/>
        </w:rPr>
        <w:t xml:space="preserve"> </w:t>
      </w:r>
      <w:r>
        <w:t>clear capacity</w:t>
      </w:r>
      <w:r>
        <w:rPr>
          <w:spacing w:val="-2"/>
        </w:rPr>
        <w:t xml:space="preserve"> </w:t>
      </w:r>
      <w:r>
        <w:t>building</w:t>
      </w:r>
      <w:r>
        <w:rPr>
          <w:spacing w:val="-3"/>
        </w:rPr>
        <w:t xml:space="preserve"> </w:t>
      </w:r>
      <w:r>
        <w:t>strategy and</w:t>
      </w:r>
      <w:r>
        <w:rPr>
          <w:spacing w:val="-4"/>
        </w:rPr>
        <w:t xml:space="preserve"> </w:t>
      </w:r>
      <w:r>
        <w:t>effective incentive structures to promote improved subnational investment in service delivery.</w:t>
      </w:r>
    </w:p>
    <w:p w14:paraId="4C27F92F" w14:textId="77777777" w:rsidR="00BC24A8" w:rsidRDefault="00000000">
      <w:pPr>
        <w:pStyle w:val="BodyText"/>
        <w:spacing w:before="153" w:line="276" w:lineRule="auto"/>
        <w:ind w:left="143" w:right="282"/>
        <w:jc w:val="both"/>
      </w:pPr>
      <w:r>
        <w:t>To</w:t>
      </w:r>
      <w:r>
        <w:rPr>
          <w:spacing w:val="-13"/>
        </w:rPr>
        <w:t xml:space="preserve"> </w:t>
      </w:r>
      <w:r>
        <w:t>capitalise</w:t>
      </w:r>
      <w:r>
        <w:rPr>
          <w:spacing w:val="-12"/>
        </w:rPr>
        <w:t xml:space="preserve"> </w:t>
      </w:r>
      <w:r>
        <w:t>on</w:t>
      </w:r>
      <w:r>
        <w:rPr>
          <w:spacing w:val="-13"/>
        </w:rPr>
        <w:t xml:space="preserve"> </w:t>
      </w:r>
      <w:r>
        <w:t>the</w:t>
      </w:r>
      <w:r>
        <w:rPr>
          <w:spacing w:val="-12"/>
        </w:rPr>
        <w:t xml:space="preserve"> </w:t>
      </w:r>
      <w:r>
        <w:t>strong</w:t>
      </w:r>
      <w:r>
        <w:rPr>
          <w:spacing w:val="-13"/>
        </w:rPr>
        <w:t xml:space="preserve"> </w:t>
      </w:r>
      <w:r>
        <w:t>national</w:t>
      </w:r>
      <w:r>
        <w:rPr>
          <w:spacing w:val="-12"/>
        </w:rPr>
        <w:t xml:space="preserve"> </w:t>
      </w:r>
      <w:r>
        <w:t>engagement</w:t>
      </w:r>
      <w:r>
        <w:rPr>
          <w:spacing w:val="-13"/>
        </w:rPr>
        <w:t xml:space="preserve"> </w:t>
      </w:r>
      <w:r>
        <w:t>and</w:t>
      </w:r>
      <w:r>
        <w:rPr>
          <w:spacing w:val="-12"/>
        </w:rPr>
        <w:t xml:space="preserve"> </w:t>
      </w:r>
      <w:r>
        <w:t>see</w:t>
      </w:r>
      <w:r>
        <w:rPr>
          <w:spacing w:val="-12"/>
        </w:rPr>
        <w:t xml:space="preserve"> </w:t>
      </w:r>
      <w:r>
        <w:t>further</w:t>
      </w:r>
      <w:r>
        <w:rPr>
          <w:spacing w:val="-13"/>
        </w:rPr>
        <w:t xml:space="preserve"> </w:t>
      </w:r>
      <w:r>
        <w:t>value</w:t>
      </w:r>
      <w:r>
        <w:rPr>
          <w:spacing w:val="-12"/>
        </w:rPr>
        <w:t xml:space="preserve"> </w:t>
      </w:r>
      <w:r>
        <w:t>delivered</w:t>
      </w:r>
      <w:r>
        <w:rPr>
          <w:spacing w:val="-13"/>
        </w:rPr>
        <w:t xml:space="preserve"> </w:t>
      </w:r>
      <w:r>
        <w:t>at</w:t>
      </w:r>
      <w:r>
        <w:rPr>
          <w:spacing w:val="-12"/>
        </w:rPr>
        <w:t xml:space="preserve"> </w:t>
      </w:r>
      <w:r>
        <w:t>the</w:t>
      </w:r>
      <w:r>
        <w:rPr>
          <w:spacing w:val="-13"/>
        </w:rPr>
        <w:t xml:space="preserve"> </w:t>
      </w:r>
      <w:r>
        <w:t>subnational</w:t>
      </w:r>
      <w:r>
        <w:rPr>
          <w:spacing w:val="-12"/>
        </w:rPr>
        <w:t xml:space="preserve"> </w:t>
      </w:r>
      <w:r>
        <w:t>level, in the coming semesters SKALA should:</w:t>
      </w:r>
    </w:p>
    <w:p w14:paraId="348F502C" w14:textId="77777777" w:rsidR="00BC24A8" w:rsidRDefault="00000000">
      <w:pPr>
        <w:pStyle w:val="ListParagraph"/>
        <w:numPr>
          <w:ilvl w:val="1"/>
          <w:numId w:val="171"/>
        </w:numPr>
        <w:tabs>
          <w:tab w:val="left" w:pos="861"/>
          <w:tab w:val="left" w:pos="863"/>
        </w:tabs>
        <w:spacing w:before="163"/>
        <w:ind w:right="280"/>
      </w:pPr>
      <w:r>
        <w:t>Focus program support to a limited number of fiscal transfer categories, ensure clear national guidance on MSS delivery expectations in relation to these transfer categories and more effectively support the translation of national guidance to subnational implementation (i.e. strengthen alignment of chart of accounts and fiscal synergy policy)</w:t>
      </w:r>
    </w:p>
    <w:p w14:paraId="7903887D" w14:textId="77777777" w:rsidR="00BC24A8" w:rsidRDefault="00000000">
      <w:pPr>
        <w:pStyle w:val="ListParagraph"/>
        <w:numPr>
          <w:ilvl w:val="1"/>
          <w:numId w:val="171"/>
        </w:numPr>
        <w:tabs>
          <w:tab w:val="left" w:pos="861"/>
          <w:tab w:val="left" w:pos="863"/>
        </w:tabs>
        <w:spacing w:before="1"/>
        <w:ind w:right="284"/>
      </w:pPr>
      <w:r>
        <w:t>Support</w:t>
      </w:r>
      <w:r>
        <w:rPr>
          <w:spacing w:val="-3"/>
        </w:rPr>
        <w:t xml:space="preserve"> </w:t>
      </w:r>
      <w:r>
        <w:t>MoHA</w:t>
      </w:r>
      <w:r>
        <w:rPr>
          <w:spacing w:val="-2"/>
        </w:rPr>
        <w:t xml:space="preserve"> </w:t>
      </w:r>
      <w:r>
        <w:t>and</w:t>
      </w:r>
      <w:r>
        <w:rPr>
          <w:spacing w:val="-2"/>
        </w:rPr>
        <w:t xml:space="preserve"> </w:t>
      </w:r>
      <w:r>
        <w:t>MoF</w:t>
      </w:r>
      <w:r>
        <w:rPr>
          <w:spacing w:val="-4"/>
        </w:rPr>
        <w:t xml:space="preserve"> </w:t>
      </w:r>
      <w:r>
        <w:t>to</w:t>
      </w:r>
      <w:r>
        <w:rPr>
          <w:spacing w:val="-3"/>
        </w:rPr>
        <w:t xml:space="preserve"> </w:t>
      </w:r>
      <w:r>
        <w:t>provide</w:t>
      </w:r>
      <w:r>
        <w:rPr>
          <w:spacing w:val="-2"/>
        </w:rPr>
        <w:t xml:space="preserve"> </w:t>
      </w:r>
      <w:r>
        <w:t>timely</w:t>
      </w:r>
      <w:r>
        <w:rPr>
          <w:spacing w:val="-2"/>
        </w:rPr>
        <w:t xml:space="preserve"> </w:t>
      </w:r>
      <w:r>
        <w:t>guidance to</w:t>
      </w:r>
      <w:r>
        <w:rPr>
          <w:spacing w:val="-5"/>
        </w:rPr>
        <w:t xml:space="preserve"> </w:t>
      </w:r>
      <w:r>
        <w:t>and transparent, improvement-focused reviews of subnational plans and budgets</w:t>
      </w:r>
    </w:p>
    <w:p w14:paraId="179821D1" w14:textId="77777777" w:rsidR="00BC24A8" w:rsidRDefault="00000000">
      <w:pPr>
        <w:pStyle w:val="ListParagraph"/>
        <w:numPr>
          <w:ilvl w:val="1"/>
          <w:numId w:val="171"/>
        </w:numPr>
        <w:tabs>
          <w:tab w:val="left" w:pos="861"/>
          <w:tab w:val="left" w:pos="863"/>
        </w:tabs>
        <w:ind w:right="281"/>
      </w:pPr>
      <w:r>
        <w:t>Advocate for strengthened guidance and transparency in relation to the service orientation of local taxes and levy revenues.</w:t>
      </w:r>
    </w:p>
    <w:p w14:paraId="425612E3" w14:textId="77777777" w:rsidR="00BC24A8" w:rsidRDefault="00BC24A8">
      <w:pPr>
        <w:pStyle w:val="BodyText"/>
        <w:rPr>
          <w:sz w:val="20"/>
        </w:rPr>
      </w:pPr>
    </w:p>
    <w:p w14:paraId="7B1F5EA3" w14:textId="77777777" w:rsidR="00BC24A8" w:rsidRDefault="00BC24A8">
      <w:pPr>
        <w:pStyle w:val="BodyText"/>
        <w:rPr>
          <w:sz w:val="20"/>
        </w:rPr>
      </w:pPr>
    </w:p>
    <w:p w14:paraId="7D7E7AB0" w14:textId="77777777" w:rsidR="00BC24A8" w:rsidRDefault="00BC24A8">
      <w:pPr>
        <w:pStyle w:val="BodyText"/>
        <w:rPr>
          <w:sz w:val="20"/>
        </w:rPr>
      </w:pPr>
    </w:p>
    <w:p w14:paraId="7835AC4B" w14:textId="77777777" w:rsidR="00BC24A8" w:rsidRDefault="00BC24A8">
      <w:pPr>
        <w:pStyle w:val="BodyText"/>
        <w:rPr>
          <w:sz w:val="20"/>
        </w:rPr>
      </w:pPr>
    </w:p>
    <w:p w14:paraId="3E1FAAEA" w14:textId="77777777" w:rsidR="00BC24A8" w:rsidRDefault="00BC24A8">
      <w:pPr>
        <w:pStyle w:val="BodyText"/>
        <w:rPr>
          <w:sz w:val="20"/>
        </w:rPr>
      </w:pPr>
    </w:p>
    <w:p w14:paraId="5FEC9B9D" w14:textId="77777777" w:rsidR="00BC24A8" w:rsidRDefault="00BC24A8">
      <w:pPr>
        <w:pStyle w:val="BodyText"/>
        <w:rPr>
          <w:sz w:val="20"/>
        </w:rPr>
      </w:pPr>
    </w:p>
    <w:p w14:paraId="131AB040" w14:textId="77777777" w:rsidR="00BC24A8" w:rsidRDefault="00BC24A8">
      <w:pPr>
        <w:pStyle w:val="BodyText"/>
        <w:rPr>
          <w:sz w:val="20"/>
        </w:rPr>
      </w:pPr>
    </w:p>
    <w:p w14:paraId="01E85568" w14:textId="77777777" w:rsidR="00BC24A8" w:rsidRDefault="00000000">
      <w:pPr>
        <w:pStyle w:val="BodyText"/>
        <w:spacing w:before="3"/>
        <w:rPr>
          <w:sz w:val="20"/>
        </w:rPr>
      </w:pPr>
      <w:r>
        <w:rPr>
          <w:noProof/>
          <w:sz w:val="20"/>
        </w:rPr>
        <mc:AlternateContent>
          <mc:Choice Requires="wps">
            <w:drawing>
              <wp:anchor distT="0" distB="0" distL="0" distR="0" simplePos="0" relativeHeight="487589888" behindDoc="1" locked="0" layoutInCell="1" allowOverlap="1" wp14:anchorId="054099C5" wp14:editId="7D7A0050">
                <wp:simplePos x="0" y="0"/>
                <wp:positionH relativeFrom="page">
                  <wp:posOffset>900683</wp:posOffset>
                </wp:positionH>
                <wp:positionV relativeFrom="paragraph">
                  <wp:posOffset>172249</wp:posOffset>
                </wp:positionV>
                <wp:extent cx="1828800" cy="9525"/>
                <wp:effectExtent l="0" t="0" r="0" b="0"/>
                <wp:wrapTopAndBottom/>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14C059" id="Graphic 21" o:spid="_x0000_s1026" alt="&quot;&quot;" style="position:absolute;margin-left:70.9pt;margin-top:13.55pt;width:2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" path="m1828800,l,,,9144r1828800,l1828800,xe" fillcolor="black" stroked="f">
                <v:path arrowok="t"/>
                <w10:wrap type="topAndBottom" anchorx="page"/>
              </v:shape>
            </w:pict>
          </mc:Fallback>
        </mc:AlternateContent>
      </w:r>
    </w:p>
    <w:p w14:paraId="49211534" w14:textId="77777777" w:rsidR="00BC24A8" w:rsidRDefault="00BC24A8">
      <w:pPr>
        <w:pStyle w:val="BodyText"/>
        <w:spacing w:before="105"/>
        <w:rPr>
          <w:sz w:val="16"/>
        </w:rPr>
      </w:pPr>
    </w:p>
    <w:p w14:paraId="15373BFF" w14:textId="77777777" w:rsidR="00BC24A8" w:rsidRDefault="00000000">
      <w:pPr>
        <w:spacing w:before="1"/>
        <w:ind w:left="143"/>
        <w:rPr>
          <w:sz w:val="16"/>
        </w:rPr>
      </w:pPr>
      <w:bookmarkStart w:id="37" w:name="_bookmark20"/>
      <w:bookmarkEnd w:id="37"/>
      <w:r>
        <w:rPr>
          <w:color w:val="767070"/>
          <w:sz w:val="16"/>
          <w:vertAlign w:val="superscript"/>
        </w:rPr>
        <w:t>1</w:t>
      </w:r>
      <w:r>
        <w:rPr>
          <w:color w:val="767070"/>
          <w:spacing w:val="-8"/>
          <w:sz w:val="16"/>
        </w:rPr>
        <w:t xml:space="preserve"> </w:t>
      </w:r>
      <w:r>
        <w:rPr>
          <w:color w:val="767070"/>
          <w:sz w:val="16"/>
        </w:rPr>
        <w:t>Including</w:t>
      </w:r>
      <w:r>
        <w:rPr>
          <w:color w:val="767070"/>
          <w:spacing w:val="-9"/>
          <w:sz w:val="16"/>
        </w:rPr>
        <w:t xml:space="preserve"> </w:t>
      </w:r>
      <w:r>
        <w:rPr>
          <w:color w:val="767070"/>
          <w:sz w:val="16"/>
        </w:rPr>
        <w:t>fiscal</w:t>
      </w:r>
      <w:r>
        <w:rPr>
          <w:color w:val="767070"/>
          <w:spacing w:val="-6"/>
          <w:sz w:val="16"/>
        </w:rPr>
        <w:t xml:space="preserve"> </w:t>
      </w:r>
      <w:r>
        <w:rPr>
          <w:color w:val="767070"/>
          <w:sz w:val="16"/>
        </w:rPr>
        <w:t>synergy</w:t>
      </w:r>
      <w:r>
        <w:rPr>
          <w:color w:val="767070"/>
          <w:spacing w:val="-7"/>
          <w:sz w:val="16"/>
        </w:rPr>
        <w:t xml:space="preserve"> </w:t>
      </w:r>
      <w:r>
        <w:rPr>
          <w:color w:val="767070"/>
          <w:sz w:val="16"/>
        </w:rPr>
        <w:t>policy,</w:t>
      </w:r>
      <w:r>
        <w:rPr>
          <w:color w:val="767070"/>
          <w:spacing w:val="-8"/>
          <w:sz w:val="16"/>
        </w:rPr>
        <w:t xml:space="preserve"> </w:t>
      </w:r>
      <w:r>
        <w:rPr>
          <w:color w:val="767070"/>
          <w:sz w:val="16"/>
        </w:rPr>
        <w:t>regional</w:t>
      </w:r>
      <w:r>
        <w:rPr>
          <w:color w:val="767070"/>
          <w:spacing w:val="-6"/>
          <w:sz w:val="16"/>
        </w:rPr>
        <w:t xml:space="preserve"> </w:t>
      </w:r>
      <w:r>
        <w:rPr>
          <w:color w:val="767070"/>
          <w:sz w:val="16"/>
        </w:rPr>
        <w:t>budget</w:t>
      </w:r>
      <w:r>
        <w:rPr>
          <w:color w:val="767070"/>
          <w:spacing w:val="-7"/>
          <w:sz w:val="16"/>
        </w:rPr>
        <w:t xml:space="preserve"> </w:t>
      </w:r>
      <w:r>
        <w:rPr>
          <w:color w:val="767070"/>
          <w:sz w:val="16"/>
        </w:rPr>
        <w:t>policy</w:t>
      </w:r>
      <w:r>
        <w:rPr>
          <w:color w:val="767070"/>
          <w:spacing w:val="-6"/>
          <w:sz w:val="16"/>
        </w:rPr>
        <w:t xml:space="preserve"> </w:t>
      </w:r>
      <w:r>
        <w:rPr>
          <w:color w:val="767070"/>
          <w:sz w:val="16"/>
        </w:rPr>
        <w:t>(KEM-PPKF</w:t>
      </w:r>
      <w:r>
        <w:rPr>
          <w:color w:val="767070"/>
          <w:spacing w:val="-6"/>
          <w:sz w:val="16"/>
        </w:rPr>
        <w:t xml:space="preserve"> </w:t>
      </w:r>
      <w:r>
        <w:rPr>
          <w:color w:val="767070"/>
          <w:sz w:val="16"/>
        </w:rPr>
        <w:t>regional),</w:t>
      </w:r>
      <w:r>
        <w:rPr>
          <w:color w:val="767070"/>
          <w:spacing w:val="-8"/>
          <w:sz w:val="16"/>
        </w:rPr>
        <w:t xml:space="preserve"> </w:t>
      </w:r>
      <w:r>
        <w:rPr>
          <w:color w:val="767070"/>
          <w:sz w:val="16"/>
        </w:rPr>
        <w:t>guidelines</w:t>
      </w:r>
      <w:r>
        <w:rPr>
          <w:color w:val="767070"/>
          <w:spacing w:val="-7"/>
          <w:sz w:val="16"/>
        </w:rPr>
        <w:t xml:space="preserve"> </w:t>
      </w:r>
      <w:r>
        <w:rPr>
          <w:color w:val="767070"/>
          <w:sz w:val="16"/>
        </w:rPr>
        <w:t>for</w:t>
      </w:r>
      <w:r>
        <w:rPr>
          <w:color w:val="767070"/>
          <w:spacing w:val="-7"/>
          <w:sz w:val="16"/>
        </w:rPr>
        <w:t xml:space="preserve"> </w:t>
      </w:r>
      <w:r>
        <w:rPr>
          <w:color w:val="767070"/>
          <w:sz w:val="16"/>
        </w:rPr>
        <w:t>annual</w:t>
      </w:r>
      <w:r>
        <w:rPr>
          <w:color w:val="767070"/>
          <w:spacing w:val="-6"/>
          <w:sz w:val="16"/>
        </w:rPr>
        <w:t xml:space="preserve"> </w:t>
      </w:r>
      <w:r>
        <w:rPr>
          <w:color w:val="767070"/>
          <w:sz w:val="16"/>
        </w:rPr>
        <w:t>workplan</w:t>
      </w:r>
      <w:r>
        <w:rPr>
          <w:color w:val="767070"/>
          <w:spacing w:val="-6"/>
          <w:sz w:val="16"/>
        </w:rPr>
        <w:t xml:space="preserve"> </w:t>
      </w:r>
      <w:r>
        <w:rPr>
          <w:color w:val="767070"/>
          <w:sz w:val="16"/>
        </w:rPr>
        <w:t>(RKPD)</w:t>
      </w:r>
      <w:r>
        <w:rPr>
          <w:color w:val="767070"/>
          <w:spacing w:val="-9"/>
          <w:sz w:val="16"/>
        </w:rPr>
        <w:t xml:space="preserve"> </w:t>
      </w:r>
      <w:r>
        <w:rPr>
          <w:color w:val="767070"/>
          <w:sz w:val="16"/>
        </w:rPr>
        <w:t>and</w:t>
      </w:r>
      <w:r>
        <w:rPr>
          <w:color w:val="767070"/>
          <w:spacing w:val="-9"/>
          <w:sz w:val="16"/>
        </w:rPr>
        <w:t xml:space="preserve"> </w:t>
      </w:r>
      <w:r>
        <w:rPr>
          <w:color w:val="767070"/>
          <w:sz w:val="16"/>
        </w:rPr>
        <w:t>budget</w:t>
      </w:r>
      <w:r>
        <w:rPr>
          <w:color w:val="767070"/>
          <w:spacing w:val="-7"/>
          <w:sz w:val="16"/>
        </w:rPr>
        <w:t xml:space="preserve"> </w:t>
      </w:r>
      <w:r>
        <w:rPr>
          <w:color w:val="767070"/>
          <w:spacing w:val="-2"/>
          <w:sz w:val="16"/>
        </w:rPr>
        <w:t>(APBD)</w:t>
      </w:r>
    </w:p>
    <w:p w14:paraId="0305506D" w14:textId="77777777" w:rsidR="00BC24A8" w:rsidRDefault="00000000">
      <w:pPr>
        <w:spacing w:before="1"/>
        <w:ind w:left="143" w:right="328" w:hanging="1"/>
        <w:rPr>
          <w:sz w:val="18"/>
        </w:rPr>
      </w:pPr>
      <w:bookmarkStart w:id="38" w:name="_bookmark21"/>
      <w:bookmarkEnd w:id="38"/>
      <w:r>
        <w:rPr>
          <w:color w:val="767070"/>
          <w:position w:val="5"/>
          <w:sz w:val="10"/>
        </w:rPr>
        <w:t>2</w:t>
      </w:r>
      <w:r>
        <w:rPr>
          <w:color w:val="767070"/>
          <w:spacing w:val="80"/>
          <w:position w:val="5"/>
          <w:sz w:val="10"/>
        </w:rPr>
        <w:t xml:space="preserve"> </w:t>
      </w:r>
      <w:r>
        <w:rPr>
          <w:color w:val="767070"/>
          <w:sz w:val="16"/>
        </w:rPr>
        <w:t xml:space="preserve">Law No. 1 HKPD and PP 35 related to the implementation of PDRD and </w:t>
      </w:r>
      <w:r>
        <w:rPr>
          <w:color w:val="767070"/>
          <w:sz w:val="18"/>
        </w:rPr>
        <w:t>MoF regulation 64/2024 on regional endowment funds, MoF</w:t>
      </w:r>
      <w:r>
        <w:rPr>
          <w:color w:val="767070"/>
          <w:spacing w:val="-5"/>
          <w:sz w:val="18"/>
        </w:rPr>
        <w:t xml:space="preserve"> </w:t>
      </w:r>
      <w:r>
        <w:rPr>
          <w:color w:val="767070"/>
          <w:sz w:val="18"/>
        </w:rPr>
        <w:t>regulation</w:t>
      </w:r>
      <w:r>
        <w:rPr>
          <w:color w:val="767070"/>
          <w:spacing w:val="-3"/>
          <w:sz w:val="18"/>
        </w:rPr>
        <w:t xml:space="preserve"> </w:t>
      </w:r>
      <w:r>
        <w:rPr>
          <w:color w:val="767070"/>
          <w:sz w:val="18"/>
        </w:rPr>
        <w:t>85/2024</w:t>
      </w:r>
      <w:r>
        <w:rPr>
          <w:color w:val="767070"/>
          <w:spacing w:val="-3"/>
          <w:sz w:val="18"/>
        </w:rPr>
        <w:t xml:space="preserve"> </w:t>
      </w:r>
      <w:r>
        <w:rPr>
          <w:color w:val="767070"/>
          <w:sz w:val="18"/>
        </w:rPr>
        <w:t>on</w:t>
      </w:r>
      <w:r>
        <w:rPr>
          <w:color w:val="767070"/>
          <w:spacing w:val="-3"/>
          <w:sz w:val="18"/>
        </w:rPr>
        <w:t xml:space="preserve"> </w:t>
      </w:r>
      <w:r>
        <w:rPr>
          <w:color w:val="767070"/>
          <w:sz w:val="18"/>
        </w:rPr>
        <w:t>assessment</w:t>
      </w:r>
      <w:r>
        <w:rPr>
          <w:color w:val="767070"/>
          <w:spacing w:val="-2"/>
          <w:sz w:val="18"/>
        </w:rPr>
        <w:t xml:space="preserve"> </w:t>
      </w:r>
      <w:r>
        <w:rPr>
          <w:color w:val="767070"/>
          <w:sz w:val="18"/>
        </w:rPr>
        <w:t>of</w:t>
      </w:r>
      <w:r>
        <w:rPr>
          <w:color w:val="767070"/>
          <w:spacing w:val="-4"/>
          <w:sz w:val="18"/>
        </w:rPr>
        <w:t xml:space="preserve"> </w:t>
      </w:r>
      <w:r>
        <w:rPr>
          <w:color w:val="767070"/>
          <w:sz w:val="18"/>
        </w:rPr>
        <w:t>land</w:t>
      </w:r>
      <w:r>
        <w:rPr>
          <w:color w:val="767070"/>
          <w:spacing w:val="-3"/>
          <w:sz w:val="18"/>
        </w:rPr>
        <w:t xml:space="preserve"> </w:t>
      </w:r>
      <w:r>
        <w:rPr>
          <w:color w:val="767070"/>
          <w:sz w:val="18"/>
        </w:rPr>
        <w:t>and</w:t>
      </w:r>
      <w:r>
        <w:rPr>
          <w:color w:val="767070"/>
          <w:spacing w:val="-3"/>
          <w:sz w:val="18"/>
        </w:rPr>
        <w:t xml:space="preserve"> </w:t>
      </w:r>
      <w:r>
        <w:rPr>
          <w:color w:val="767070"/>
          <w:sz w:val="18"/>
        </w:rPr>
        <w:t>building</w:t>
      </w:r>
      <w:r>
        <w:rPr>
          <w:color w:val="767070"/>
          <w:spacing w:val="-4"/>
          <w:sz w:val="18"/>
        </w:rPr>
        <w:t xml:space="preserve"> </w:t>
      </w:r>
      <w:r>
        <w:rPr>
          <w:color w:val="767070"/>
          <w:sz w:val="18"/>
        </w:rPr>
        <w:t>taxes,</w:t>
      </w:r>
      <w:r>
        <w:rPr>
          <w:color w:val="767070"/>
          <w:spacing w:val="-4"/>
          <w:sz w:val="18"/>
        </w:rPr>
        <w:t xml:space="preserve"> </w:t>
      </w:r>
      <w:r>
        <w:rPr>
          <w:color w:val="767070"/>
          <w:sz w:val="18"/>
        </w:rPr>
        <w:t>MoF</w:t>
      </w:r>
      <w:r>
        <w:rPr>
          <w:color w:val="767070"/>
          <w:spacing w:val="-5"/>
          <w:sz w:val="18"/>
        </w:rPr>
        <w:t xml:space="preserve"> </w:t>
      </w:r>
      <w:r>
        <w:rPr>
          <w:color w:val="767070"/>
          <w:sz w:val="18"/>
        </w:rPr>
        <w:t>policy</w:t>
      </w:r>
      <w:r>
        <w:rPr>
          <w:color w:val="767070"/>
          <w:spacing w:val="-3"/>
          <w:sz w:val="18"/>
        </w:rPr>
        <w:t xml:space="preserve"> </w:t>
      </w:r>
      <w:r>
        <w:rPr>
          <w:color w:val="767070"/>
          <w:sz w:val="18"/>
        </w:rPr>
        <w:t>42/KM.7/2024</w:t>
      </w:r>
      <w:r>
        <w:rPr>
          <w:color w:val="767070"/>
          <w:spacing w:val="-3"/>
          <w:sz w:val="18"/>
        </w:rPr>
        <w:t xml:space="preserve"> </w:t>
      </w:r>
      <w:r>
        <w:rPr>
          <w:color w:val="767070"/>
          <w:sz w:val="18"/>
        </w:rPr>
        <w:t>on</w:t>
      </w:r>
      <w:r>
        <w:rPr>
          <w:color w:val="767070"/>
          <w:spacing w:val="-3"/>
          <w:sz w:val="18"/>
        </w:rPr>
        <w:t xml:space="preserve"> </w:t>
      </w:r>
      <w:r>
        <w:rPr>
          <w:color w:val="767070"/>
          <w:sz w:val="18"/>
        </w:rPr>
        <w:t>tagging</w:t>
      </w:r>
      <w:r>
        <w:rPr>
          <w:color w:val="767070"/>
          <w:spacing w:val="-4"/>
          <w:sz w:val="18"/>
        </w:rPr>
        <w:t xml:space="preserve"> </w:t>
      </w:r>
      <w:r>
        <w:rPr>
          <w:color w:val="767070"/>
          <w:sz w:val="18"/>
        </w:rPr>
        <w:t>details</w:t>
      </w:r>
      <w:r>
        <w:rPr>
          <w:color w:val="767070"/>
          <w:spacing w:val="-3"/>
          <w:sz w:val="18"/>
        </w:rPr>
        <w:t xml:space="preserve"> </w:t>
      </w:r>
      <w:r>
        <w:rPr>
          <w:color w:val="767070"/>
          <w:sz w:val="18"/>
        </w:rPr>
        <w:t>of</w:t>
      </w:r>
      <w:r>
        <w:rPr>
          <w:color w:val="767070"/>
          <w:spacing w:val="-4"/>
          <w:sz w:val="18"/>
        </w:rPr>
        <w:t xml:space="preserve"> </w:t>
      </w:r>
      <w:r>
        <w:rPr>
          <w:color w:val="767070"/>
          <w:sz w:val="18"/>
        </w:rPr>
        <w:t>regional expenditures from regional tax revenues, Joint commitment between the central government (MoHA, MoF, Jasaraharja, Korlantas Polri) and the provinces on readiness to implement the PKB opsen and BBNKB opsen policies, Guidelines on diagnostic tools for self-assessment of regional PAD potential through PDRD</w:t>
      </w:r>
    </w:p>
    <w:p w14:paraId="7DEB0E35" w14:textId="77777777" w:rsidR="00BC24A8" w:rsidRDefault="00BC24A8">
      <w:pPr>
        <w:rPr>
          <w:sz w:val="18"/>
        </w:rPr>
        <w:sectPr w:rsidR="00BC24A8">
          <w:pgSz w:w="11910" w:h="16840"/>
          <w:pgMar w:top="1360" w:right="1133" w:bottom="1100" w:left="1275" w:header="0" w:footer="907" w:gutter="0"/>
          <w:cols w:space="720"/>
        </w:sectPr>
      </w:pPr>
    </w:p>
    <w:p w14:paraId="3D8CF254" w14:textId="77777777" w:rsidR="00BC24A8" w:rsidRDefault="00000000">
      <w:pPr>
        <w:pStyle w:val="Heading6"/>
        <w:spacing w:before="80" w:line="290" w:lineRule="auto"/>
      </w:pPr>
      <w:r w:rsidRPr="00795364">
        <w:rPr>
          <w:color w:val="00827F"/>
        </w:rPr>
        <w:lastRenderedPageBreak/>
        <w:t xml:space="preserve">IO2: Central agencies use evidence to improve decentralisation-related planning, </w:t>
      </w:r>
      <w:r w:rsidRPr="00795364">
        <w:rPr>
          <w:color w:val="00827F"/>
          <w:spacing w:val="-2"/>
        </w:rPr>
        <w:t>coordination</w:t>
      </w:r>
      <w:r w:rsidRPr="00795364">
        <w:rPr>
          <w:color w:val="00827F"/>
          <w:spacing w:val="-11"/>
        </w:rPr>
        <w:t xml:space="preserve"> </w:t>
      </w:r>
      <w:r w:rsidRPr="00795364">
        <w:rPr>
          <w:color w:val="00827F"/>
          <w:spacing w:val="-2"/>
        </w:rPr>
        <w:t>and</w:t>
      </w:r>
      <w:r w:rsidRPr="00795364">
        <w:rPr>
          <w:color w:val="00827F"/>
          <w:spacing w:val="-14"/>
        </w:rPr>
        <w:t xml:space="preserve"> </w:t>
      </w:r>
      <w:r w:rsidRPr="00795364">
        <w:rPr>
          <w:color w:val="00827F"/>
          <w:spacing w:val="-2"/>
        </w:rPr>
        <w:t>prioritisation</w:t>
      </w:r>
    </w:p>
    <w:p w14:paraId="633960A6" w14:textId="77777777" w:rsidR="00BC24A8" w:rsidRDefault="00000000">
      <w:pPr>
        <w:pStyle w:val="BodyText"/>
        <w:spacing w:before="163" w:line="276" w:lineRule="auto"/>
        <w:ind w:left="143" w:right="282"/>
        <w:jc w:val="both"/>
      </w:pPr>
      <w:bookmarkStart w:id="39" w:name="Under_IO2,_SKALA_is_working_towards_the_"/>
      <w:bookmarkEnd w:id="39"/>
      <w:r>
        <w:t>Under IO2, SKALA is working towards the Phase 1 target of having improved interoperability of data management systems in use by central agencies and SKALA-supported provinces.</w:t>
      </w:r>
    </w:p>
    <w:p w14:paraId="2B3D9BDE" w14:textId="77777777" w:rsidR="00BC24A8" w:rsidRDefault="00000000">
      <w:pPr>
        <w:pStyle w:val="BodyText"/>
        <w:spacing w:before="124" w:line="278" w:lineRule="auto"/>
        <w:ind w:left="143" w:right="279"/>
        <w:jc w:val="both"/>
      </w:pPr>
      <w:r>
        <w:t>SKALA</w:t>
      </w:r>
      <w:r>
        <w:rPr>
          <w:spacing w:val="-7"/>
        </w:rPr>
        <w:t xml:space="preserve"> </w:t>
      </w:r>
      <w:r>
        <w:t>has</w:t>
      </w:r>
      <w:r>
        <w:rPr>
          <w:spacing w:val="-6"/>
        </w:rPr>
        <w:t xml:space="preserve"> </w:t>
      </w:r>
      <w:r>
        <w:t>made</w:t>
      </w:r>
      <w:r>
        <w:rPr>
          <w:spacing w:val="-8"/>
        </w:rPr>
        <w:t xml:space="preserve"> </w:t>
      </w:r>
      <w:r>
        <w:t>a</w:t>
      </w:r>
      <w:r>
        <w:rPr>
          <w:spacing w:val="-10"/>
        </w:rPr>
        <w:t xml:space="preserve"> </w:t>
      </w:r>
      <w:r>
        <w:t>significant</w:t>
      </w:r>
      <w:r>
        <w:rPr>
          <w:spacing w:val="-8"/>
        </w:rPr>
        <w:t xml:space="preserve"> </w:t>
      </w:r>
      <w:r>
        <w:t>contribution</w:t>
      </w:r>
      <w:r>
        <w:rPr>
          <w:spacing w:val="-7"/>
        </w:rPr>
        <w:t xml:space="preserve"> </w:t>
      </w:r>
      <w:r>
        <w:t>in</w:t>
      </w:r>
      <w:r>
        <w:rPr>
          <w:spacing w:val="-9"/>
        </w:rPr>
        <w:t xml:space="preserve"> </w:t>
      </w:r>
      <w:r>
        <w:t>supporting</w:t>
      </w:r>
      <w:r>
        <w:rPr>
          <w:spacing w:val="-8"/>
        </w:rPr>
        <w:t xml:space="preserve"> </w:t>
      </w:r>
      <w:r>
        <w:t>central</w:t>
      </w:r>
      <w:r>
        <w:rPr>
          <w:spacing w:val="-8"/>
        </w:rPr>
        <w:t xml:space="preserve"> </w:t>
      </w:r>
      <w:r>
        <w:t>agencies</w:t>
      </w:r>
      <w:r>
        <w:rPr>
          <w:spacing w:val="-6"/>
        </w:rPr>
        <w:t xml:space="preserve"> </w:t>
      </w:r>
      <w:r>
        <w:t>to</w:t>
      </w:r>
      <w:r>
        <w:rPr>
          <w:spacing w:val="-7"/>
        </w:rPr>
        <w:t xml:space="preserve"> </w:t>
      </w:r>
      <w:r>
        <w:t>establish</w:t>
      </w:r>
      <w:r>
        <w:rPr>
          <w:spacing w:val="-7"/>
        </w:rPr>
        <w:t xml:space="preserve"> </w:t>
      </w:r>
      <w:r>
        <w:t>guidelines</w:t>
      </w:r>
      <w:r>
        <w:rPr>
          <w:spacing w:val="-6"/>
        </w:rPr>
        <w:t xml:space="preserve"> </w:t>
      </w:r>
      <w:r>
        <w:t>needed to improve data management systems, producing evidence for planning. As the result of SKALA- supported inter-ministerial coordination, this semester MoHA was able to issue a complete set of documents guiding sub-national planning-related data management at all levels of government</w:t>
      </w:r>
      <w:hyperlink w:anchor="_bookmark22" w:history="1">
        <w:r w:rsidR="00BC24A8">
          <w:rPr>
            <w:vertAlign w:val="superscript"/>
          </w:rPr>
          <w:t>3</w:t>
        </w:r>
      </w:hyperlink>
      <w:r>
        <w:t>. Concurrent subnational readiness for improved data management is discussed in EOPO2.</w:t>
      </w:r>
    </w:p>
    <w:p w14:paraId="75916C23" w14:textId="77777777" w:rsidR="00BC24A8" w:rsidRDefault="00000000">
      <w:pPr>
        <w:pStyle w:val="BodyText"/>
        <w:spacing w:before="158" w:line="278" w:lineRule="auto"/>
        <w:ind w:left="143" w:right="279"/>
        <w:jc w:val="both"/>
      </w:pPr>
      <w:r>
        <w:t>Supported cross-ministry coordination on data management has resulted in improved demand for analysed population data in decentralised planning processes. Support to two central agencies to improve the interoperability of analytical platforms and online planning systems has resulted in increased engagement with evidence in service-related planning. The potential of more interoperable data systems to facilitate improved</w:t>
      </w:r>
      <w:r>
        <w:rPr>
          <w:spacing w:val="-1"/>
        </w:rPr>
        <w:t xml:space="preserve"> </w:t>
      </w:r>
      <w:r>
        <w:t>service targeting in the planning cycle is well recognised by central program partners.</w:t>
      </w:r>
    </w:p>
    <w:p w14:paraId="66EE6868" w14:textId="77777777" w:rsidR="00BC24A8" w:rsidRDefault="00000000">
      <w:pPr>
        <w:pStyle w:val="BodyText"/>
        <w:spacing w:before="157" w:line="278" w:lineRule="auto"/>
        <w:ind w:left="143" w:right="279"/>
        <w:jc w:val="both"/>
      </w:pPr>
      <w:r>
        <w:t>Work in this area has highlighted that benefits are harder to achieve in (i) evolving data systems ;(ii) systems subject to annual changes; (iii) when the user benefits are less clear, and/or (iv) when cross- ministerial</w:t>
      </w:r>
      <w:r>
        <w:rPr>
          <w:spacing w:val="-13"/>
        </w:rPr>
        <w:t xml:space="preserve"> </w:t>
      </w:r>
      <w:r>
        <w:t>leadership</w:t>
      </w:r>
      <w:r>
        <w:rPr>
          <w:spacing w:val="-12"/>
        </w:rPr>
        <w:t xml:space="preserve"> </w:t>
      </w:r>
      <w:r>
        <w:t>is</w:t>
      </w:r>
      <w:r>
        <w:rPr>
          <w:spacing w:val="-13"/>
        </w:rPr>
        <w:t xml:space="preserve"> </w:t>
      </w:r>
      <w:r>
        <w:t>lacking.</w:t>
      </w:r>
      <w:r>
        <w:rPr>
          <w:spacing w:val="-12"/>
        </w:rPr>
        <w:t xml:space="preserve"> </w:t>
      </w:r>
      <w:r>
        <w:t>Four</w:t>
      </w:r>
      <w:r>
        <w:rPr>
          <w:spacing w:val="-13"/>
        </w:rPr>
        <w:t xml:space="preserve"> </w:t>
      </w:r>
      <w:r>
        <w:t>initiated</w:t>
      </w:r>
      <w:r>
        <w:rPr>
          <w:spacing w:val="-12"/>
        </w:rPr>
        <w:t xml:space="preserve"> </w:t>
      </w:r>
      <w:r>
        <w:t>systems</w:t>
      </w:r>
      <w:r>
        <w:rPr>
          <w:spacing w:val="-13"/>
        </w:rPr>
        <w:t xml:space="preserve"> </w:t>
      </w:r>
      <w:r>
        <w:t>integration</w:t>
      </w:r>
      <w:r>
        <w:rPr>
          <w:spacing w:val="-12"/>
        </w:rPr>
        <w:t xml:space="preserve"> </w:t>
      </w:r>
      <w:r>
        <w:t>projects</w:t>
      </w:r>
      <w:r>
        <w:rPr>
          <w:spacing w:val="-12"/>
        </w:rPr>
        <w:t xml:space="preserve"> </w:t>
      </w:r>
      <w:r>
        <w:t>at</w:t>
      </w:r>
      <w:r>
        <w:rPr>
          <w:spacing w:val="-13"/>
        </w:rPr>
        <w:t xml:space="preserve"> </w:t>
      </w:r>
      <w:r>
        <w:t>the</w:t>
      </w:r>
      <w:r>
        <w:rPr>
          <w:spacing w:val="-12"/>
        </w:rPr>
        <w:t xml:space="preserve"> </w:t>
      </w:r>
      <w:r>
        <w:t>national</w:t>
      </w:r>
      <w:r>
        <w:rPr>
          <w:spacing w:val="-13"/>
        </w:rPr>
        <w:t xml:space="preserve"> </w:t>
      </w:r>
      <w:r>
        <w:t>level</w:t>
      </w:r>
      <w:hyperlink w:anchor="_bookmark23" w:history="1">
        <w:r w:rsidR="00BC24A8">
          <w:rPr>
            <w:vertAlign w:val="superscript"/>
          </w:rPr>
          <w:t>4</w:t>
        </w:r>
      </w:hyperlink>
      <w:r>
        <w:rPr>
          <w:spacing w:val="-12"/>
        </w:rPr>
        <w:t xml:space="preserve"> </w:t>
      </w:r>
      <w:r>
        <w:t>and</w:t>
      </w:r>
      <w:r>
        <w:rPr>
          <w:spacing w:val="-13"/>
        </w:rPr>
        <w:t xml:space="preserve"> </w:t>
      </w:r>
      <w:r>
        <w:t>one national–subnational project</w:t>
      </w:r>
      <w:hyperlink w:anchor="_bookmark24" w:history="1">
        <w:r w:rsidR="00BC24A8">
          <w:rPr>
            <w:vertAlign w:val="superscript"/>
          </w:rPr>
          <w:t>5</w:t>
        </w:r>
      </w:hyperlink>
      <w:r>
        <w:t xml:space="preserve"> have been ongoing for multiple semesters, and have struggled due to these</w:t>
      </w:r>
      <w:r>
        <w:rPr>
          <w:spacing w:val="-6"/>
        </w:rPr>
        <w:t xml:space="preserve"> </w:t>
      </w:r>
      <w:r>
        <w:t>factors.</w:t>
      </w:r>
      <w:r>
        <w:rPr>
          <w:spacing w:val="-6"/>
        </w:rPr>
        <w:t xml:space="preserve"> </w:t>
      </w:r>
      <w:r>
        <w:t>Although</w:t>
      </w:r>
      <w:r>
        <w:rPr>
          <w:spacing w:val="-4"/>
        </w:rPr>
        <w:t xml:space="preserve"> </w:t>
      </w:r>
      <w:r>
        <w:t>SKALA</w:t>
      </w:r>
      <w:r>
        <w:rPr>
          <w:spacing w:val="-5"/>
        </w:rPr>
        <w:t xml:space="preserve"> </w:t>
      </w:r>
      <w:r>
        <w:t>is</w:t>
      </w:r>
      <w:r>
        <w:rPr>
          <w:spacing w:val="-6"/>
        </w:rPr>
        <w:t xml:space="preserve"> </w:t>
      </w:r>
      <w:r>
        <w:t>on</w:t>
      </w:r>
      <w:r>
        <w:rPr>
          <w:spacing w:val="-4"/>
        </w:rPr>
        <w:t xml:space="preserve"> </w:t>
      </w:r>
      <w:r>
        <w:t>track</w:t>
      </w:r>
      <w:r>
        <w:rPr>
          <w:spacing w:val="-4"/>
        </w:rPr>
        <w:t xml:space="preserve"> </w:t>
      </w:r>
      <w:r>
        <w:t>to</w:t>
      </w:r>
      <w:r>
        <w:rPr>
          <w:spacing w:val="-5"/>
        </w:rPr>
        <w:t xml:space="preserve"> </w:t>
      </w:r>
      <w:r>
        <w:t>deliver</w:t>
      </w:r>
      <w:r>
        <w:rPr>
          <w:spacing w:val="-7"/>
        </w:rPr>
        <w:t xml:space="preserve"> </w:t>
      </w:r>
      <w:r>
        <w:t>input</w:t>
      </w:r>
      <w:r>
        <w:rPr>
          <w:spacing w:val="-5"/>
        </w:rPr>
        <w:t xml:space="preserve"> </w:t>
      </w:r>
      <w:r>
        <w:t>for</w:t>
      </w:r>
      <w:r>
        <w:rPr>
          <w:spacing w:val="-4"/>
        </w:rPr>
        <w:t xml:space="preserve"> </w:t>
      </w:r>
      <w:r>
        <w:t>centrally</w:t>
      </w:r>
      <w:r>
        <w:rPr>
          <w:spacing w:val="-4"/>
        </w:rPr>
        <w:t xml:space="preserve"> </w:t>
      </w:r>
      <w:r>
        <w:t>enabling</w:t>
      </w:r>
      <w:r>
        <w:rPr>
          <w:spacing w:val="-8"/>
        </w:rPr>
        <w:t xml:space="preserve"> </w:t>
      </w:r>
      <w:r>
        <w:t>policies</w:t>
      </w:r>
      <w:r>
        <w:rPr>
          <w:spacing w:val="-4"/>
        </w:rPr>
        <w:t xml:space="preserve"> </w:t>
      </w:r>
      <w:r>
        <w:t>to</w:t>
      </w:r>
      <w:r>
        <w:rPr>
          <w:spacing w:val="-5"/>
        </w:rPr>
        <w:t xml:space="preserve"> </w:t>
      </w:r>
      <w:r>
        <w:t>improve</w:t>
      </w:r>
      <w:r>
        <w:rPr>
          <w:spacing w:val="-6"/>
        </w:rPr>
        <w:t xml:space="preserve"> </w:t>
      </w:r>
      <w:r>
        <w:t>data management,</w:t>
      </w:r>
      <w:r>
        <w:rPr>
          <w:spacing w:val="-4"/>
        </w:rPr>
        <w:t xml:space="preserve"> </w:t>
      </w:r>
      <w:r>
        <w:t>efficiency</w:t>
      </w:r>
      <w:r>
        <w:rPr>
          <w:spacing w:val="-2"/>
        </w:rPr>
        <w:t xml:space="preserve"> </w:t>
      </w:r>
      <w:r>
        <w:t>gains</w:t>
      </w:r>
      <w:r>
        <w:rPr>
          <w:spacing w:val="-2"/>
        </w:rPr>
        <w:t xml:space="preserve"> </w:t>
      </w:r>
      <w:r>
        <w:t>and</w:t>
      </w:r>
      <w:r>
        <w:rPr>
          <w:spacing w:val="-5"/>
        </w:rPr>
        <w:t xml:space="preserve"> </w:t>
      </w:r>
      <w:r>
        <w:t>planning</w:t>
      </w:r>
      <w:r>
        <w:rPr>
          <w:spacing w:val="-6"/>
        </w:rPr>
        <w:t xml:space="preserve"> </w:t>
      </w:r>
      <w:r>
        <w:t>benefits</w:t>
      </w:r>
      <w:r>
        <w:rPr>
          <w:spacing w:val="-2"/>
        </w:rPr>
        <w:t xml:space="preserve"> </w:t>
      </w:r>
      <w:r>
        <w:t>from</w:t>
      </w:r>
      <w:r>
        <w:rPr>
          <w:spacing w:val="-2"/>
        </w:rPr>
        <w:t xml:space="preserve"> </w:t>
      </w:r>
      <w:r>
        <w:t>interoperable</w:t>
      </w:r>
      <w:r>
        <w:rPr>
          <w:spacing w:val="-7"/>
        </w:rPr>
        <w:t xml:space="preserve"> </w:t>
      </w:r>
      <w:r>
        <w:t>systems</w:t>
      </w:r>
      <w:r>
        <w:rPr>
          <w:spacing w:val="-4"/>
        </w:rPr>
        <w:t xml:space="preserve"> </w:t>
      </w:r>
      <w:r>
        <w:t>will</w:t>
      </w:r>
      <w:r>
        <w:rPr>
          <w:spacing w:val="-4"/>
        </w:rPr>
        <w:t xml:space="preserve"> </w:t>
      </w:r>
      <w:r>
        <w:t>require</w:t>
      </w:r>
      <w:r>
        <w:rPr>
          <w:spacing w:val="-4"/>
        </w:rPr>
        <w:t xml:space="preserve"> </w:t>
      </w:r>
      <w:r>
        <w:t>sustained, coordinated engagement across central agencies.</w:t>
      </w:r>
    </w:p>
    <w:p w14:paraId="63285AFC" w14:textId="77777777" w:rsidR="00BC24A8" w:rsidRDefault="00000000">
      <w:pPr>
        <w:pStyle w:val="BodyText"/>
        <w:spacing w:before="157"/>
        <w:ind w:left="143"/>
        <w:jc w:val="both"/>
      </w:pPr>
      <w:r>
        <w:t>To</w:t>
      </w:r>
      <w:r>
        <w:rPr>
          <w:spacing w:val="-8"/>
        </w:rPr>
        <w:t xml:space="preserve"> </w:t>
      </w:r>
      <w:r>
        <w:t>support</w:t>
      </w:r>
      <w:r>
        <w:rPr>
          <w:spacing w:val="-8"/>
        </w:rPr>
        <w:t xml:space="preserve"> </w:t>
      </w:r>
      <w:r>
        <w:t>national</w:t>
      </w:r>
      <w:r>
        <w:rPr>
          <w:spacing w:val="-9"/>
        </w:rPr>
        <w:t xml:space="preserve"> </w:t>
      </w:r>
      <w:r>
        <w:t>partners</w:t>
      </w:r>
      <w:r>
        <w:rPr>
          <w:spacing w:val="-7"/>
        </w:rPr>
        <w:t xml:space="preserve"> </w:t>
      </w:r>
      <w:r>
        <w:t>in</w:t>
      </w:r>
      <w:r>
        <w:rPr>
          <w:spacing w:val="-7"/>
        </w:rPr>
        <w:t xml:space="preserve"> </w:t>
      </w:r>
      <w:r>
        <w:t>their</w:t>
      </w:r>
      <w:r>
        <w:rPr>
          <w:spacing w:val="-9"/>
        </w:rPr>
        <w:t xml:space="preserve"> </w:t>
      </w:r>
      <w:r>
        <w:t>enabling</w:t>
      </w:r>
      <w:r>
        <w:rPr>
          <w:spacing w:val="-8"/>
        </w:rPr>
        <w:t xml:space="preserve"> </w:t>
      </w:r>
      <w:r>
        <w:t>role,</w:t>
      </w:r>
      <w:r>
        <w:rPr>
          <w:spacing w:val="-7"/>
        </w:rPr>
        <w:t xml:space="preserve"> </w:t>
      </w:r>
      <w:r>
        <w:t>SKALA</w:t>
      </w:r>
      <w:r>
        <w:rPr>
          <w:spacing w:val="-10"/>
        </w:rPr>
        <w:t xml:space="preserve"> </w:t>
      </w:r>
      <w:r>
        <w:rPr>
          <w:spacing w:val="-2"/>
        </w:rPr>
        <w:t>should:</w:t>
      </w:r>
    </w:p>
    <w:p w14:paraId="1E376365" w14:textId="77777777" w:rsidR="00BC24A8" w:rsidRDefault="00000000">
      <w:pPr>
        <w:pStyle w:val="ListParagraph"/>
        <w:numPr>
          <w:ilvl w:val="1"/>
          <w:numId w:val="171"/>
        </w:numPr>
        <w:tabs>
          <w:tab w:val="left" w:pos="863"/>
        </w:tabs>
        <w:spacing w:before="202"/>
        <w:ind w:right="282" w:hanging="360"/>
      </w:pPr>
      <w:r>
        <w:t>Continue to support central agencies to increase data availability, analytical capacity and application of data-driven insights to the planning process in order to target the needs of vulnerable populations</w:t>
      </w:r>
    </w:p>
    <w:p w14:paraId="4DECD81B" w14:textId="77777777" w:rsidR="00BC24A8" w:rsidRDefault="00000000">
      <w:pPr>
        <w:pStyle w:val="ListParagraph"/>
        <w:numPr>
          <w:ilvl w:val="1"/>
          <w:numId w:val="171"/>
        </w:numPr>
        <w:tabs>
          <w:tab w:val="left" w:pos="861"/>
          <w:tab w:val="left" w:pos="863"/>
        </w:tabs>
        <w:spacing w:before="1"/>
        <w:ind w:right="280"/>
      </w:pPr>
      <w:r>
        <w:t>Advocate for accelerating interoperability between online planning, budgeting and data management systems that target easing the subnational administrative burden.</w:t>
      </w:r>
    </w:p>
    <w:p w14:paraId="122B696A" w14:textId="77777777" w:rsidR="00BC24A8" w:rsidRDefault="00000000">
      <w:pPr>
        <w:pStyle w:val="ListParagraph"/>
        <w:numPr>
          <w:ilvl w:val="1"/>
          <w:numId w:val="171"/>
        </w:numPr>
        <w:tabs>
          <w:tab w:val="left" w:pos="862"/>
        </w:tabs>
        <w:spacing w:line="279" w:lineRule="exact"/>
        <w:ind w:left="862" w:hanging="359"/>
      </w:pPr>
      <w:r>
        <w:t>Collaborate</w:t>
      </w:r>
      <w:r>
        <w:rPr>
          <w:spacing w:val="-6"/>
        </w:rPr>
        <w:t xml:space="preserve"> </w:t>
      </w:r>
      <w:r>
        <w:t>with</w:t>
      </w:r>
      <w:r>
        <w:rPr>
          <w:spacing w:val="-6"/>
        </w:rPr>
        <w:t xml:space="preserve"> </w:t>
      </w:r>
      <w:r>
        <w:t>other</w:t>
      </w:r>
      <w:r>
        <w:rPr>
          <w:spacing w:val="-6"/>
        </w:rPr>
        <w:t xml:space="preserve"> </w:t>
      </w:r>
      <w:r>
        <w:t>DFAT</w:t>
      </w:r>
      <w:r>
        <w:rPr>
          <w:spacing w:val="-4"/>
        </w:rPr>
        <w:t xml:space="preserve"> </w:t>
      </w:r>
      <w:r>
        <w:t>programs</w:t>
      </w:r>
      <w:r>
        <w:rPr>
          <w:spacing w:val="-5"/>
        </w:rPr>
        <w:t xml:space="preserve"> </w:t>
      </w:r>
      <w:r>
        <w:t>engaged</w:t>
      </w:r>
      <w:r>
        <w:rPr>
          <w:spacing w:val="-4"/>
        </w:rPr>
        <w:t xml:space="preserve"> </w:t>
      </w:r>
      <w:r>
        <w:t>with</w:t>
      </w:r>
      <w:r>
        <w:rPr>
          <w:spacing w:val="-3"/>
        </w:rPr>
        <w:t xml:space="preserve"> </w:t>
      </w:r>
      <w:r>
        <w:t>DTSEN</w:t>
      </w:r>
      <w:r>
        <w:rPr>
          <w:spacing w:val="-6"/>
        </w:rPr>
        <w:t xml:space="preserve"> </w:t>
      </w:r>
      <w:r>
        <w:t>development</w:t>
      </w:r>
      <w:r>
        <w:rPr>
          <w:spacing w:val="-7"/>
        </w:rPr>
        <w:t xml:space="preserve"> </w:t>
      </w:r>
      <w:r>
        <w:t>and</w:t>
      </w:r>
      <w:r>
        <w:rPr>
          <w:spacing w:val="-6"/>
        </w:rPr>
        <w:t xml:space="preserve"> </w:t>
      </w:r>
      <w:r>
        <w:rPr>
          <w:spacing w:val="-2"/>
        </w:rPr>
        <w:t>governance.</w:t>
      </w:r>
    </w:p>
    <w:p w14:paraId="2677C6AD" w14:textId="77777777" w:rsidR="00BC24A8" w:rsidRDefault="00BC24A8">
      <w:pPr>
        <w:pStyle w:val="BodyText"/>
        <w:spacing w:before="1"/>
      </w:pPr>
    </w:p>
    <w:p w14:paraId="5C0D930B" w14:textId="77777777" w:rsidR="00BC24A8" w:rsidRDefault="00000000">
      <w:pPr>
        <w:pStyle w:val="Heading6"/>
        <w:spacing w:line="292" w:lineRule="auto"/>
        <w:ind w:right="281"/>
      </w:pPr>
      <w:r w:rsidRPr="00795364">
        <w:rPr>
          <w:color w:val="00827F"/>
        </w:rPr>
        <w:t>IO3:</w:t>
      </w:r>
      <w:r w:rsidRPr="00795364">
        <w:rPr>
          <w:color w:val="00827F"/>
          <w:spacing w:val="-10"/>
        </w:rPr>
        <w:t xml:space="preserve"> </w:t>
      </w:r>
      <w:r w:rsidRPr="00795364">
        <w:rPr>
          <w:color w:val="00827F"/>
        </w:rPr>
        <w:t>Central</w:t>
      </w:r>
      <w:r w:rsidRPr="00795364">
        <w:rPr>
          <w:color w:val="00827F"/>
          <w:spacing w:val="-11"/>
        </w:rPr>
        <w:t xml:space="preserve"> </w:t>
      </w:r>
      <w:r w:rsidRPr="00795364">
        <w:rPr>
          <w:color w:val="00827F"/>
        </w:rPr>
        <w:t>agencies</w:t>
      </w:r>
      <w:r w:rsidRPr="00795364">
        <w:rPr>
          <w:color w:val="00827F"/>
          <w:spacing w:val="-12"/>
        </w:rPr>
        <w:t xml:space="preserve"> </w:t>
      </w:r>
      <w:r w:rsidRPr="00795364">
        <w:rPr>
          <w:color w:val="00827F"/>
        </w:rPr>
        <w:t>increasingly</w:t>
      </w:r>
      <w:r w:rsidRPr="00795364">
        <w:rPr>
          <w:color w:val="00827F"/>
          <w:spacing w:val="-11"/>
        </w:rPr>
        <w:t xml:space="preserve"> </w:t>
      </w:r>
      <w:r w:rsidRPr="00795364">
        <w:rPr>
          <w:color w:val="00827F"/>
        </w:rPr>
        <w:t>apply</w:t>
      </w:r>
      <w:r w:rsidRPr="00795364">
        <w:rPr>
          <w:color w:val="00827F"/>
          <w:spacing w:val="-12"/>
        </w:rPr>
        <w:t xml:space="preserve"> </w:t>
      </w:r>
      <w:r w:rsidRPr="00795364">
        <w:rPr>
          <w:color w:val="00827F"/>
        </w:rPr>
        <w:t>GEDSI</w:t>
      </w:r>
      <w:r w:rsidRPr="00795364">
        <w:rPr>
          <w:color w:val="00827F"/>
          <w:spacing w:val="-11"/>
        </w:rPr>
        <w:t xml:space="preserve"> </w:t>
      </w:r>
      <w:r w:rsidRPr="00795364">
        <w:rPr>
          <w:color w:val="00827F"/>
        </w:rPr>
        <w:t>analysis</w:t>
      </w:r>
      <w:r w:rsidRPr="00795364">
        <w:rPr>
          <w:color w:val="00827F"/>
          <w:spacing w:val="-12"/>
        </w:rPr>
        <w:t xml:space="preserve"> </w:t>
      </w:r>
      <w:r w:rsidRPr="00795364">
        <w:rPr>
          <w:color w:val="00827F"/>
        </w:rPr>
        <w:t>and</w:t>
      </w:r>
      <w:r w:rsidRPr="00795364">
        <w:rPr>
          <w:color w:val="00827F"/>
          <w:spacing w:val="-10"/>
        </w:rPr>
        <w:t xml:space="preserve"> </w:t>
      </w:r>
      <w:r w:rsidRPr="00795364">
        <w:rPr>
          <w:color w:val="00827F"/>
        </w:rPr>
        <w:t>evidence</w:t>
      </w:r>
      <w:r w:rsidRPr="00795364">
        <w:rPr>
          <w:color w:val="00827F"/>
          <w:spacing w:val="-12"/>
        </w:rPr>
        <w:t xml:space="preserve"> </w:t>
      </w:r>
      <w:r w:rsidRPr="00795364">
        <w:rPr>
          <w:color w:val="00827F"/>
        </w:rPr>
        <w:t>in</w:t>
      </w:r>
      <w:r w:rsidRPr="00795364">
        <w:rPr>
          <w:color w:val="00827F"/>
          <w:spacing w:val="-11"/>
        </w:rPr>
        <w:t xml:space="preserve"> </w:t>
      </w:r>
      <w:r w:rsidRPr="00795364">
        <w:rPr>
          <w:color w:val="00827F"/>
        </w:rPr>
        <w:t>preparing</w:t>
      </w:r>
      <w:r w:rsidRPr="00795364">
        <w:rPr>
          <w:color w:val="00827F"/>
          <w:spacing w:val="-11"/>
        </w:rPr>
        <w:t xml:space="preserve"> </w:t>
      </w:r>
      <w:r w:rsidRPr="00795364">
        <w:rPr>
          <w:color w:val="00827F"/>
        </w:rPr>
        <w:t>their policies,</w:t>
      </w:r>
      <w:r w:rsidRPr="00795364">
        <w:rPr>
          <w:color w:val="00827F"/>
          <w:spacing w:val="-5"/>
        </w:rPr>
        <w:t xml:space="preserve"> </w:t>
      </w:r>
      <w:r w:rsidRPr="00795364">
        <w:rPr>
          <w:color w:val="00827F"/>
        </w:rPr>
        <w:t>plans</w:t>
      </w:r>
      <w:r w:rsidRPr="00795364">
        <w:rPr>
          <w:color w:val="00827F"/>
          <w:spacing w:val="-5"/>
        </w:rPr>
        <w:t xml:space="preserve"> </w:t>
      </w:r>
      <w:r w:rsidRPr="00795364">
        <w:rPr>
          <w:color w:val="00827F"/>
        </w:rPr>
        <w:t>and</w:t>
      </w:r>
      <w:r w:rsidRPr="00795364">
        <w:rPr>
          <w:color w:val="00827F"/>
          <w:spacing w:val="-4"/>
        </w:rPr>
        <w:t xml:space="preserve"> </w:t>
      </w:r>
      <w:r w:rsidRPr="00795364">
        <w:rPr>
          <w:color w:val="00827F"/>
        </w:rPr>
        <w:t>budgets</w:t>
      </w:r>
      <w:r w:rsidRPr="00795364">
        <w:rPr>
          <w:color w:val="00827F"/>
          <w:spacing w:val="-5"/>
        </w:rPr>
        <w:t xml:space="preserve"> </w:t>
      </w:r>
      <w:r w:rsidRPr="00795364">
        <w:rPr>
          <w:color w:val="00827F"/>
        </w:rPr>
        <w:t>to</w:t>
      </w:r>
      <w:r w:rsidRPr="00795364">
        <w:rPr>
          <w:color w:val="00827F"/>
          <w:spacing w:val="-5"/>
        </w:rPr>
        <w:t xml:space="preserve"> </w:t>
      </w:r>
      <w:r w:rsidRPr="00795364">
        <w:rPr>
          <w:color w:val="00827F"/>
        </w:rPr>
        <w:t>ensure</w:t>
      </w:r>
      <w:r w:rsidRPr="00795364">
        <w:rPr>
          <w:color w:val="00827F"/>
          <w:spacing w:val="-5"/>
        </w:rPr>
        <w:t xml:space="preserve"> </w:t>
      </w:r>
      <w:r w:rsidRPr="00795364">
        <w:rPr>
          <w:color w:val="00827F"/>
        </w:rPr>
        <w:t>the</w:t>
      </w:r>
      <w:r w:rsidRPr="00795364">
        <w:rPr>
          <w:color w:val="00827F"/>
          <w:spacing w:val="-5"/>
        </w:rPr>
        <w:t xml:space="preserve"> </w:t>
      </w:r>
      <w:r w:rsidRPr="00795364">
        <w:rPr>
          <w:color w:val="00827F"/>
        </w:rPr>
        <w:t>needs</w:t>
      </w:r>
      <w:r w:rsidRPr="00795364">
        <w:rPr>
          <w:color w:val="00827F"/>
          <w:spacing w:val="-5"/>
        </w:rPr>
        <w:t xml:space="preserve"> </w:t>
      </w:r>
      <w:r w:rsidRPr="00795364">
        <w:rPr>
          <w:color w:val="00827F"/>
        </w:rPr>
        <w:t>of</w:t>
      </w:r>
      <w:r w:rsidRPr="00795364">
        <w:rPr>
          <w:color w:val="00827F"/>
          <w:spacing w:val="-3"/>
        </w:rPr>
        <w:t xml:space="preserve"> </w:t>
      </w:r>
      <w:r w:rsidRPr="00795364">
        <w:rPr>
          <w:color w:val="00827F"/>
        </w:rPr>
        <w:t>women,</w:t>
      </w:r>
      <w:r w:rsidRPr="00795364">
        <w:rPr>
          <w:color w:val="00827F"/>
          <w:spacing w:val="-5"/>
        </w:rPr>
        <w:t xml:space="preserve"> </w:t>
      </w:r>
      <w:r w:rsidRPr="00795364">
        <w:rPr>
          <w:color w:val="00827F"/>
        </w:rPr>
        <w:t>people</w:t>
      </w:r>
      <w:r w:rsidRPr="00795364">
        <w:rPr>
          <w:color w:val="00827F"/>
          <w:spacing w:val="-5"/>
        </w:rPr>
        <w:t xml:space="preserve"> </w:t>
      </w:r>
      <w:r w:rsidRPr="00795364">
        <w:rPr>
          <w:color w:val="00827F"/>
        </w:rPr>
        <w:t>with</w:t>
      </w:r>
      <w:r w:rsidRPr="00795364">
        <w:rPr>
          <w:color w:val="00827F"/>
          <w:spacing w:val="-4"/>
        </w:rPr>
        <w:t xml:space="preserve"> </w:t>
      </w:r>
      <w:r w:rsidRPr="00795364">
        <w:rPr>
          <w:color w:val="00827F"/>
        </w:rPr>
        <w:t>disabilities</w:t>
      </w:r>
      <w:r w:rsidRPr="00795364">
        <w:rPr>
          <w:color w:val="00827F"/>
          <w:spacing w:val="-5"/>
        </w:rPr>
        <w:t xml:space="preserve"> </w:t>
      </w:r>
      <w:r w:rsidRPr="00795364">
        <w:rPr>
          <w:color w:val="00827F"/>
        </w:rPr>
        <w:t>and vulnerable groups</w:t>
      </w:r>
      <w:r w:rsidRPr="00795364">
        <w:rPr>
          <w:color w:val="00827F"/>
          <w:spacing w:val="-3"/>
        </w:rPr>
        <w:t xml:space="preserve"> </w:t>
      </w:r>
      <w:r w:rsidRPr="00795364">
        <w:rPr>
          <w:color w:val="00827F"/>
        </w:rPr>
        <w:t>are</w:t>
      </w:r>
      <w:r w:rsidRPr="00795364">
        <w:rPr>
          <w:color w:val="00827F"/>
          <w:spacing w:val="-4"/>
        </w:rPr>
        <w:t xml:space="preserve"> </w:t>
      </w:r>
      <w:r w:rsidRPr="00795364">
        <w:rPr>
          <w:color w:val="00827F"/>
        </w:rPr>
        <w:t>addressed</w:t>
      </w:r>
    </w:p>
    <w:p w14:paraId="0FCEEFAE" w14:textId="77777777" w:rsidR="00BC24A8" w:rsidRDefault="00000000">
      <w:pPr>
        <w:pStyle w:val="BodyText"/>
        <w:spacing w:before="159" w:line="276" w:lineRule="auto"/>
        <w:ind w:left="143" w:right="280"/>
        <w:jc w:val="both"/>
      </w:pPr>
      <w:r>
        <w:t xml:space="preserve">Work in previous semesters has equipped central agencies with improved GEDSI analysis for national </w:t>
      </w:r>
      <w:r>
        <w:rPr>
          <w:spacing w:val="-2"/>
        </w:rPr>
        <w:t>planning</w:t>
      </w:r>
      <w:r>
        <w:rPr>
          <w:spacing w:val="-3"/>
        </w:rPr>
        <w:t xml:space="preserve"> </w:t>
      </w:r>
      <w:r>
        <w:rPr>
          <w:spacing w:val="-2"/>
        </w:rPr>
        <w:t>purposes by providing</w:t>
      </w:r>
      <w:r>
        <w:rPr>
          <w:spacing w:val="-3"/>
        </w:rPr>
        <w:t xml:space="preserve"> </w:t>
      </w:r>
      <w:r>
        <w:rPr>
          <w:spacing w:val="-2"/>
        </w:rPr>
        <w:t>more nuanced analysis of population data</w:t>
      </w:r>
      <w:r>
        <w:rPr>
          <w:spacing w:val="-3"/>
        </w:rPr>
        <w:t xml:space="preserve"> </w:t>
      </w:r>
      <w:r>
        <w:rPr>
          <w:spacing w:val="-2"/>
        </w:rPr>
        <w:t>through</w:t>
      </w:r>
      <w:r>
        <w:rPr>
          <w:spacing w:val="-4"/>
        </w:rPr>
        <w:t xml:space="preserve"> </w:t>
      </w:r>
      <w:r>
        <w:rPr>
          <w:spacing w:val="-2"/>
        </w:rPr>
        <w:t>SEPAKAT- BAPPENAS’</w:t>
      </w:r>
    </w:p>
    <w:p w14:paraId="10CDA228" w14:textId="77777777" w:rsidR="00BC24A8" w:rsidRDefault="00000000">
      <w:pPr>
        <w:pStyle w:val="BodyText"/>
        <w:spacing w:before="2"/>
        <w:rPr>
          <w:sz w:val="13"/>
        </w:rPr>
      </w:pPr>
      <w:r>
        <w:rPr>
          <w:noProof/>
          <w:sz w:val="13"/>
        </w:rPr>
        <mc:AlternateContent>
          <mc:Choice Requires="wps">
            <w:drawing>
              <wp:anchor distT="0" distB="0" distL="0" distR="0" simplePos="0" relativeHeight="487590400" behindDoc="1" locked="0" layoutInCell="1" allowOverlap="1" wp14:anchorId="383A2EA1" wp14:editId="4C6AED28">
                <wp:simplePos x="0" y="0"/>
                <wp:positionH relativeFrom="page">
                  <wp:posOffset>900683</wp:posOffset>
                </wp:positionH>
                <wp:positionV relativeFrom="paragraph">
                  <wp:posOffset>117479</wp:posOffset>
                </wp:positionV>
                <wp:extent cx="1828800" cy="9525"/>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33393D" id="Graphic 22" o:spid="_x0000_s1026" alt="&quot;&quot;" style="position:absolute;margin-left:70.9pt;margin-top:9.25pt;width:2in;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" path="m1828800,l,,,9143r1828800,l1828800,xe" fillcolor="black" stroked="f">
                <v:path arrowok="t"/>
                <w10:wrap type="topAndBottom" anchorx="page"/>
              </v:shape>
            </w:pict>
          </mc:Fallback>
        </mc:AlternateContent>
      </w:r>
    </w:p>
    <w:p w14:paraId="3BD297FF" w14:textId="77777777" w:rsidR="00BC24A8" w:rsidRDefault="00BC24A8">
      <w:pPr>
        <w:pStyle w:val="BodyText"/>
        <w:spacing w:before="165"/>
        <w:rPr>
          <w:sz w:val="16"/>
        </w:rPr>
      </w:pPr>
    </w:p>
    <w:p w14:paraId="191DE5B5" w14:textId="77777777" w:rsidR="00BC24A8" w:rsidRDefault="00000000">
      <w:pPr>
        <w:spacing w:before="1"/>
        <w:ind w:left="143" w:right="282" w:hanging="1"/>
        <w:jc w:val="both"/>
        <w:rPr>
          <w:sz w:val="16"/>
        </w:rPr>
      </w:pPr>
      <w:bookmarkStart w:id="40" w:name="_bookmark22"/>
      <w:bookmarkEnd w:id="40"/>
      <w:r>
        <w:rPr>
          <w:sz w:val="16"/>
          <w:vertAlign w:val="superscript"/>
        </w:rPr>
        <w:t>3</w:t>
      </w:r>
      <w:r>
        <w:rPr>
          <w:sz w:val="16"/>
        </w:rPr>
        <w:t xml:space="preserve"> To date SKALA has supported partners to produce: Grand design for SDPDN, SOP for data planning, SOP for data collection, SOP for data</w:t>
      </w:r>
      <w:r>
        <w:rPr>
          <w:spacing w:val="40"/>
          <w:sz w:val="16"/>
        </w:rPr>
        <w:t xml:space="preserve"> </w:t>
      </w:r>
      <w:r>
        <w:rPr>
          <w:sz w:val="16"/>
        </w:rPr>
        <w:t>verification and validation. SOP for data sharing/publication, Technical guidelines for SDPDN data coverage. Technical guidelines for data</w:t>
      </w:r>
      <w:r>
        <w:rPr>
          <w:spacing w:val="40"/>
          <w:sz w:val="16"/>
        </w:rPr>
        <w:t xml:space="preserve"> </w:t>
      </w:r>
      <w:r>
        <w:rPr>
          <w:sz w:val="16"/>
        </w:rPr>
        <w:t>forum, Technical guidelines for coordination and oversight, Technical guidelines for data sharing/publication,</w:t>
      </w:r>
    </w:p>
    <w:p w14:paraId="2B0222F4" w14:textId="77777777" w:rsidR="00BC24A8" w:rsidRDefault="00000000">
      <w:pPr>
        <w:spacing w:before="64"/>
        <w:ind w:left="143"/>
        <w:jc w:val="both"/>
        <w:rPr>
          <w:rFonts w:ascii="Trebuchet MS" w:hAnsi="Trebuchet MS"/>
          <w:sz w:val="16"/>
        </w:rPr>
      </w:pPr>
      <w:bookmarkStart w:id="41" w:name="_bookmark23"/>
      <w:bookmarkEnd w:id="41"/>
      <w:r>
        <w:rPr>
          <w:color w:val="767070"/>
          <w:spacing w:val="-4"/>
          <w:position w:val="5"/>
          <w:sz w:val="10"/>
        </w:rPr>
        <w:t>4</w:t>
      </w:r>
      <w:r>
        <w:rPr>
          <w:color w:val="767070"/>
          <w:spacing w:val="13"/>
          <w:position w:val="5"/>
          <w:sz w:val="10"/>
        </w:rPr>
        <w:t xml:space="preserve"> </w:t>
      </w:r>
      <w:r>
        <w:rPr>
          <w:rFonts w:ascii="Trebuchet MS" w:hAnsi="Trebuchet MS"/>
          <w:color w:val="767070"/>
          <w:spacing w:val="-4"/>
          <w:sz w:val="16"/>
        </w:rPr>
        <w:t>System</w:t>
      </w:r>
      <w:r>
        <w:rPr>
          <w:rFonts w:ascii="Trebuchet MS" w:hAnsi="Trebuchet MS"/>
          <w:color w:val="767070"/>
          <w:spacing w:val="-17"/>
          <w:sz w:val="16"/>
        </w:rPr>
        <w:t xml:space="preserve"> </w:t>
      </w:r>
      <w:r>
        <w:rPr>
          <w:rFonts w:ascii="Trebuchet MS" w:hAnsi="Trebuchet MS"/>
          <w:color w:val="767070"/>
          <w:spacing w:val="-4"/>
          <w:sz w:val="16"/>
        </w:rPr>
        <w:t>integration</w:t>
      </w:r>
      <w:r>
        <w:rPr>
          <w:rFonts w:ascii="Trebuchet MS" w:hAnsi="Trebuchet MS"/>
          <w:color w:val="767070"/>
          <w:spacing w:val="-16"/>
          <w:sz w:val="16"/>
        </w:rPr>
        <w:t xml:space="preserve"> </w:t>
      </w:r>
      <w:r>
        <w:rPr>
          <w:rFonts w:ascii="Trebuchet MS" w:hAnsi="Trebuchet MS"/>
          <w:color w:val="767070"/>
          <w:spacing w:val="-4"/>
          <w:sz w:val="16"/>
        </w:rPr>
        <w:t>is</w:t>
      </w:r>
      <w:r>
        <w:rPr>
          <w:rFonts w:ascii="Trebuchet MS" w:hAnsi="Trebuchet MS"/>
          <w:color w:val="767070"/>
          <w:spacing w:val="-17"/>
          <w:sz w:val="16"/>
        </w:rPr>
        <w:t xml:space="preserve"> </w:t>
      </w:r>
      <w:r>
        <w:rPr>
          <w:rFonts w:ascii="Trebuchet MS" w:hAnsi="Trebuchet MS"/>
          <w:color w:val="767070"/>
          <w:spacing w:val="-4"/>
          <w:sz w:val="16"/>
        </w:rPr>
        <w:t>still</w:t>
      </w:r>
      <w:r>
        <w:rPr>
          <w:rFonts w:ascii="Trebuchet MS" w:hAnsi="Trebuchet MS"/>
          <w:color w:val="767070"/>
          <w:spacing w:val="-17"/>
          <w:sz w:val="16"/>
        </w:rPr>
        <w:t xml:space="preserve"> </w:t>
      </w:r>
      <w:r>
        <w:rPr>
          <w:rFonts w:ascii="Trebuchet MS" w:hAnsi="Trebuchet MS"/>
          <w:color w:val="767070"/>
          <w:spacing w:val="-4"/>
          <w:sz w:val="16"/>
        </w:rPr>
        <w:t>progressing:</w:t>
      </w:r>
      <w:r>
        <w:rPr>
          <w:rFonts w:ascii="Trebuchet MS" w:hAnsi="Trebuchet MS"/>
          <w:color w:val="767070"/>
          <w:spacing w:val="-15"/>
          <w:sz w:val="16"/>
        </w:rPr>
        <w:t xml:space="preserve"> </w:t>
      </w:r>
      <w:r>
        <w:rPr>
          <w:rFonts w:ascii="Trebuchet MS" w:hAnsi="Trebuchet MS"/>
          <w:color w:val="767070"/>
          <w:spacing w:val="-4"/>
          <w:sz w:val="16"/>
        </w:rPr>
        <w:t>SIPD</w:t>
      </w:r>
      <w:r>
        <w:rPr>
          <w:rFonts w:ascii="Trebuchet MS" w:hAnsi="Trebuchet MS"/>
          <w:color w:val="767070"/>
          <w:spacing w:val="-16"/>
          <w:sz w:val="16"/>
        </w:rPr>
        <w:t xml:space="preserve"> </w:t>
      </w:r>
      <w:r>
        <w:rPr>
          <w:rFonts w:ascii="Trebuchet MS" w:hAnsi="Trebuchet MS"/>
          <w:color w:val="767070"/>
          <w:spacing w:val="-4"/>
          <w:sz w:val="16"/>
        </w:rPr>
        <w:t>Hub</w:t>
      </w:r>
      <w:r>
        <w:rPr>
          <w:rFonts w:ascii="Trebuchet MS" w:hAnsi="Trebuchet MS"/>
          <w:color w:val="767070"/>
          <w:spacing w:val="-16"/>
          <w:sz w:val="16"/>
        </w:rPr>
        <w:t xml:space="preserve"> </w:t>
      </w:r>
      <w:r>
        <w:rPr>
          <w:rFonts w:ascii="Trebuchet MS" w:hAnsi="Trebuchet MS"/>
          <w:color w:val="767070"/>
          <w:spacing w:val="-4"/>
          <w:sz w:val="16"/>
        </w:rPr>
        <w:t>–</w:t>
      </w:r>
      <w:r>
        <w:rPr>
          <w:rFonts w:ascii="Trebuchet MS" w:hAnsi="Trebuchet MS"/>
          <w:color w:val="767070"/>
          <w:spacing w:val="-18"/>
          <w:sz w:val="16"/>
        </w:rPr>
        <w:t xml:space="preserve"> </w:t>
      </w:r>
      <w:r>
        <w:rPr>
          <w:rFonts w:ascii="Trebuchet MS" w:hAnsi="Trebuchet MS"/>
          <w:color w:val="767070"/>
          <w:spacing w:val="-4"/>
          <w:sz w:val="16"/>
        </w:rPr>
        <w:t>SEPAKAT;</w:t>
      </w:r>
      <w:r>
        <w:rPr>
          <w:rFonts w:ascii="Trebuchet MS" w:hAnsi="Trebuchet MS"/>
          <w:color w:val="767070"/>
          <w:spacing w:val="-18"/>
          <w:sz w:val="16"/>
        </w:rPr>
        <w:t xml:space="preserve"> </w:t>
      </w:r>
      <w:r>
        <w:rPr>
          <w:rFonts w:ascii="Trebuchet MS" w:hAnsi="Trebuchet MS"/>
          <w:color w:val="767070"/>
          <w:spacing w:val="-4"/>
          <w:sz w:val="16"/>
        </w:rPr>
        <w:t>SIKD-</w:t>
      </w:r>
      <w:r>
        <w:rPr>
          <w:rFonts w:ascii="Trebuchet MS" w:hAnsi="Trebuchet MS"/>
          <w:color w:val="767070"/>
          <w:spacing w:val="-18"/>
          <w:sz w:val="16"/>
        </w:rPr>
        <w:t xml:space="preserve"> </w:t>
      </w:r>
      <w:r>
        <w:rPr>
          <w:rFonts w:ascii="Trebuchet MS" w:hAnsi="Trebuchet MS"/>
          <w:color w:val="767070"/>
          <w:spacing w:val="-4"/>
          <w:sz w:val="16"/>
        </w:rPr>
        <w:t>SEPAKAT;</w:t>
      </w:r>
      <w:r>
        <w:rPr>
          <w:rFonts w:ascii="Trebuchet MS" w:hAnsi="Trebuchet MS"/>
          <w:color w:val="767070"/>
          <w:spacing w:val="-18"/>
          <w:sz w:val="16"/>
        </w:rPr>
        <w:t xml:space="preserve"> </w:t>
      </w:r>
      <w:r>
        <w:rPr>
          <w:rFonts w:ascii="Trebuchet MS" w:hAnsi="Trebuchet MS"/>
          <w:color w:val="767070"/>
          <w:spacing w:val="-4"/>
          <w:sz w:val="16"/>
        </w:rPr>
        <w:t>SIKD-SIPD-SEPAKAT;</w:t>
      </w:r>
      <w:r>
        <w:rPr>
          <w:rFonts w:ascii="Trebuchet MS" w:hAnsi="Trebuchet MS"/>
          <w:color w:val="767070"/>
          <w:spacing w:val="-18"/>
          <w:sz w:val="16"/>
        </w:rPr>
        <w:t xml:space="preserve"> </w:t>
      </w:r>
      <w:r>
        <w:rPr>
          <w:rFonts w:ascii="Trebuchet MS" w:hAnsi="Trebuchet MS"/>
          <w:color w:val="767070"/>
          <w:spacing w:val="-4"/>
          <w:sz w:val="16"/>
        </w:rPr>
        <w:t>SIPPP</w:t>
      </w:r>
      <w:r>
        <w:rPr>
          <w:rFonts w:ascii="Trebuchet MS" w:hAnsi="Trebuchet MS"/>
          <w:color w:val="767070"/>
          <w:spacing w:val="-17"/>
          <w:sz w:val="16"/>
        </w:rPr>
        <w:t xml:space="preserve"> </w:t>
      </w:r>
      <w:r>
        <w:rPr>
          <w:rFonts w:ascii="Trebuchet MS" w:hAnsi="Trebuchet MS"/>
          <w:color w:val="767070"/>
          <w:spacing w:val="-4"/>
          <w:sz w:val="16"/>
        </w:rPr>
        <w:t>-</w:t>
      </w:r>
      <w:r>
        <w:rPr>
          <w:rFonts w:ascii="Trebuchet MS" w:hAnsi="Trebuchet MS"/>
          <w:color w:val="767070"/>
          <w:spacing w:val="-20"/>
          <w:sz w:val="16"/>
        </w:rPr>
        <w:t xml:space="preserve"> </w:t>
      </w:r>
      <w:r>
        <w:rPr>
          <w:rFonts w:ascii="Trebuchet MS" w:hAnsi="Trebuchet MS"/>
          <w:color w:val="767070"/>
          <w:spacing w:val="-4"/>
          <w:sz w:val="16"/>
        </w:rPr>
        <w:t>SIPD</w:t>
      </w:r>
      <w:r>
        <w:rPr>
          <w:rFonts w:ascii="Trebuchet MS" w:hAnsi="Trebuchet MS"/>
          <w:color w:val="767070"/>
          <w:spacing w:val="-19"/>
          <w:sz w:val="16"/>
        </w:rPr>
        <w:t xml:space="preserve"> </w:t>
      </w:r>
      <w:r>
        <w:rPr>
          <w:rFonts w:ascii="Trebuchet MS" w:hAnsi="Trebuchet MS"/>
          <w:color w:val="767070"/>
          <w:spacing w:val="-4"/>
          <w:sz w:val="16"/>
        </w:rPr>
        <w:t>-</w:t>
      </w:r>
      <w:r>
        <w:rPr>
          <w:rFonts w:ascii="Trebuchet MS" w:hAnsi="Trebuchet MS"/>
          <w:color w:val="767070"/>
          <w:spacing w:val="-17"/>
          <w:sz w:val="16"/>
        </w:rPr>
        <w:t xml:space="preserve"> </w:t>
      </w:r>
      <w:r>
        <w:rPr>
          <w:rFonts w:ascii="Trebuchet MS" w:hAnsi="Trebuchet MS"/>
          <w:color w:val="767070"/>
          <w:spacing w:val="-4"/>
          <w:sz w:val="16"/>
        </w:rPr>
        <w:t>SEPAKAT</w:t>
      </w:r>
    </w:p>
    <w:p w14:paraId="0C03A816" w14:textId="77777777" w:rsidR="00BC24A8" w:rsidRDefault="00000000">
      <w:pPr>
        <w:spacing w:before="9" w:line="278" w:lineRule="auto"/>
        <w:ind w:left="143" w:right="281" w:hanging="1"/>
        <w:jc w:val="both"/>
        <w:rPr>
          <w:sz w:val="16"/>
        </w:rPr>
      </w:pPr>
      <w:bookmarkStart w:id="42" w:name="_bookmark24"/>
      <w:bookmarkEnd w:id="42"/>
      <w:r>
        <w:rPr>
          <w:sz w:val="16"/>
          <w:vertAlign w:val="superscript"/>
        </w:rPr>
        <w:t>5</w:t>
      </w:r>
      <w:r>
        <w:rPr>
          <w:sz w:val="16"/>
        </w:rPr>
        <w:t xml:space="preserve"> As a result of these conditions the envisioned benefits for OTSUS fund management in Papua through systems integration have yet been</w:t>
      </w:r>
      <w:r>
        <w:rPr>
          <w:spacing w:val="40"/>
          <w:sz w:val="16"/>
        </w:rPr>
        <w:t xml:space="preserve"> </w:t>
      </w:r>
      <w:r>
        <w:rPr>
          <w:spacing w:val="-2"/>
          <w:sz w:val="16"/>
        </w:rPr>
        <w:t>achieved.</w:t>
      </w:r>
    </w:p>
    <w:p w14:paraId="03540560" w14:textId="77777777" w:rsidR="00BC24A8" w:rsidRDefault="00BC24A8">
      <w:pPr>
        <w:spacing w:line="278" w:lineRule="auto"/>
        <w:jc w:val="both"/>
        <w:rPr>
          <w:sz w:val="16"/>
        </w:rPr>
        <w:sectPr w:rsidR="00BC24A8">
          <w:pgSz w:w="11910" w:h="16840"/>
          <w:pgMar w:top="1320" w:right="1133" w:bottom="1100" w:left="1275" w:header="0" w:footer="907" w:gutter="0"/>
          <w:cols w:space="720"/>
        </w:sectPr>
      </w:pPr>
    </w:p>
    <w:p w14:paraId="495EDBE3" w14:textId="77777777" w:rsidR="00BC24A8" w:rsidRDefault="00000000">
      <w:pPr>
        <w:pStyle w:val="BodyText"/>
        <w:spacing w:before="39" w:line="278" w:lineRule="auto"/>
        <w:ind w:left="143" w:right="279"/>
        <w:jc w:val="both"/>
      </w:pPr>
      <w:r>
        <w:lastRenderedPageBreak/>
        <w:t>automated analytical application. Analysis produced was used to inform national planning documents and</w:t>
      </w:r>
      <w:r>
        <w:rPr>
          <w:spacing w:val="-13"/>
        </w:rPr>
        <w:t xml:space="preserve"> </w:t>
      </w:r>
      <w:r>
        <w:t>guidance</w:t>
      </w:r>
      <w:r>
        <w:rPr>
          <w:spacing w:val="-12"/>
        </w:rPr>
        <w:t xml:space="preserve"> </w:t>
      </w:r>
      <w:r>
        <w:t>for</w:t>
      </w:r>
      <w:r>
        <w:rPr>
          <w:spacing w:val="-13"/>
        </w:rPr>
        <w:t xml:space="preserve"> </w:t>
      </w:r>
      <w:r>
        <w:t>subnational</w:t>
      </w:r>
      <w:r>
        <w:rPr>
          <w:spacing w:val="-12"/>
        </w:rPr>
        <w:t xml:space="preserve"> </w:t>
      </w:r>
      <w:r>
        <w:t>medium-</w:t>
      </w:r>
      <w:r>
        <w:rPr>
          <w:spacing w:val="-13"/>
        </w:rPr>
        <w:t xml:space="preserve"> </w:t>
      </w:r>
      <w:r>
        <w:t>and</w:t>
      </w:r>
      <w:r>
        <w:rPr>
          <w:spacing w:val="-12"/>
        </w:rPr>
        <w:t xml:space="preserve"> </w:t>
      </w:r>
      <w:r>
        <w:t>long-term</w:t>
      </w:r>
      <w:r>
        <w:rPr>
          <w:spacing w:val="-13"/>
        </w:rPr>
        <w:t xml:space="preserve"> </w:t>
      </w:r>
      <w:r>
        <w:t>planning.</w:t>
      </w:r>
      <w:r>
        <w:rPr>
          <w:spacing w:val="-12"/>
        </w:rPr>
        <w:t xml:space="preserve"> </w:t>
      </w:r>
      <w:r>
        <w:t>These</w:t>
      </w:r>
      <w:r>
        <w:rPr>
          <w:spacing w:val="-12"/>
        </w:rPr>
        <w:t xml:space="preserve"> </w:t>
      </w:r>
      <w:r>
        <w:t>contributions</w:t>
      </w:r>
      <w:r>
        <w:rPr>
          <w:spacing w:val="-13"/>
        </w:rPr>
        <w:t xml:space="preserve"> </w:t>
      </w:r>
      <w:r>
        <w:t>are</w:t>
      </w:r>
      <w:r>
        <w:rPr>
          <w:spacing w:val="-12"/>
        </w:rPr>
        <w:t xml:space="preserve"> </w:t>
      </w:r>
      <w:r>
        <w:t>institutionalised and will continue to benefit annual planning and budgeting cycles.</w:t>
      </w:r>
    </w:p>
    <w:p w14:paraId="57266D28" w14:textId="77777777" w:rsidR="00BC24A8" w:rsidRDefault="00000000">
      <w:pPr>
        <w:pStyle w:val="BodyText"/>
        <w:spacing w:before="157" w:line="278" w:lineRule="auto"/>
        <w:ind w:left="143" w:right="277"/>
        <w:jc w:val="both"/>
      </w:pPr>
      <w:r>
        <w:t>SKALA has also contributed to specific GEDSI policy and planning documents, including national action plans on disabilities and the draft national strategy for the Elderly. Draft guidelines for public planning participation and draft national policy of gender mainstreaming have also been developed. Due to competing priorities, these national processes were not progressed significantly this semester.</w:t>
      </w:r>
      <w:r>
        <w:rPr>
          <w:spacing w:val="40"/>
        </w:rPr>
        <w:t xml:space="preserve"> </w:t>
      </w:r>
      <w:r>
        <w:t xml:space="preserve">In preparation for the release of national guidelines on the implementation of these national policies, </w:t>
      </w:r>
      <w:r>
        <w:rPr>
          <w:spacing w:val="-2"/>
        </w:rPr>
        <w:t>SKALA</w:t>
      </w:r>
      <w:r>
        <w:rPr>
          <w:spacing w:val="-3"/>
        </w:rPr>
        <w:t xml:space="preserve"> </w:t>
      </w:r>
      <w:r>
        <w:rPr>
          <w:spacing w:val="-2"/>
        </w:rPr>
        <w:t>has</w:t>
      </w:r>
      <w:r>
        <w:rPr>
          <w:spacing w:val="-3"/>
        </w:rPr>
        <w:t xml:space="preserve"> </w:t>
      </w:r>
      <w:r>
        <w:rPr>
          <w:spacing w:val="-2"/>
        </w:rPr>
        <w:t>commenced</w:t>
      </w:r>
      <w:r>
        <w:rPr>
          <w:spacing w:val="-3"/>
        </w:rPr>
        <w:t xml:space="preserve"> </w:t>
      </w:r>
      <w:r>
        <w:rPr>
          <w:spacing w:val="-2"/>
        </w:rPr>
        <w:t>work</w:t>
      </w:r>
      <w:r>
        <w:rPr>
          <w:spacing w:val="-3"/>
        </w:rPr>
        <w:t xml:space="preserve"> </w:t>
      </w:r>
      <w:r>
        <w:rPr>
          <w:spacing w:val="-2"/>
        </w:rPr>
        <w:t>with</w:t>
      </w:r>
      <w:r>
        <w:rPr>
          <w:spacing w:val="-3"/>
        </w:rPr>
        <w:t xml:space="preserve"> </w:t>
      </w:r>
      <w:r>
        <w:rPr>
          <w:spacing w:val="-2"/>
        </w:rPr>
        <w:t>partner</w:t>
      </w:r>
      <w:r>
        <w:rPr>
          <w:spacing w:val="-7"/>
        </w:rPr>
        <w:t xml:space="preserve"> </w:t>
      </w:r>
      <w:r>
        <w:rPr>
          <w:spacing w:val="-2"/>
        </w:rPr>
        <w:t>provinces</w:t>
      </w:r>
      <w:r>
        <w:rPr>
          <w:spacing w:val="-3"/>
        </w:rPr>
        <w:t xml:space="preserve"> </w:t>
      </w:r>
      <w:r>
        <w:rPr>
          <w:spacing w:val="-2"/>
        </w:rPr>
        <w:t>to</w:t>
      </w:r>
      <w:r>
        <w:rPr>
          <w:spacing w:val="-4"/>
        </w:rPr>
        <w:t xml:space="preserve"> </w:t>
      </w:r>
      <w:r>
        <w:rPr>
          <w:spacing w:val="-2"/>
        </w:rPr>
        <w:t>build</w:t>
      </w:r>
      <w:r>
        <w:rPr>
          <w:spacing w:val="-3"/>
        </w:rPr>
        <w:t xml:space="preserve"> </w:t>
      </w:r>
      <w:r>
        <w:rPr>
          <w:spacing w:val="-2"/>
        </w:rPr>
        <w:t>their</w:t>
      </w:r>
      <w:r>
        <w:rPr>
          <w:spacing w:val="-3"/>
        </w:rPr>
        <w:t xml:space="preserve"> </w:t>
      </w:r>
      <w:r>
        <w:rPr>
          <w:spacing w:val="-2"/>
        </w:rPr>
        <w:t>skills</w:t>
      </w:r>
      <w:r>
        <w:rPr>
          <w:spacing w:val="-3"/>
        </w:rPr>
        <w:t xml:space="preserve"> </w:t>
      </w:r>
      <w:r>
        <w:rPr>
          <w:spacing w:val="-2"/>
        </w:rPr>
        <w:t>in</w:t>
      </w:r>
      <w:r>
        <w:rPr>
          <w:spacing w:val="-3"/>
        </w:rPr>
        <w:t xml:space="preserve"> </w:t>
      </w:r>
      <w:r>
        <w:rPr>
          <w:spacing w:val="-2"/>
        </w:rPr>
        <w:t>gender</w:t>
      </w:r>
      <w:r>
        <w:rPr>
          <w:spacing w:val="-3"/>
        </w:rPr>
        <w:t xml:space="preserve"> </w:t>
      </w:r>
      <w:r>
        <w:rPr>
          <w:spacing w:val="-2"/>
        </w:rPr>
        <w:t>analysis</w:t>
      </w:r>
      <w:r>
        <w:rPr>
          <w:spacing w:val="-3"/>
        </w:rPr>
        <w:t xml:space="preserve"> </w:t>
      </w:r>
      <w:r>
        <w:rPr>
          <w:spacing w:val="-2"/>
        </w:rPr>
        <w:t>and</w:t>
      </w:r>
      <w:r>
        <w:rPr>
          <w:spacing w:val="-3"/>
        </w:rPr>
        <w:t xml:space="preserve"> </w:t>
      </w:r>
      <w:r>
        <w:rPr>
          <w:spacing w:val="-2"/>
        </w:rPr>
        <w:t xml:space="preserve">responsive </w:t>
      </w:r>
      <w:r>
        <w:t>planning (see EOPO2).</w:t>
      </w:r>
    </w:p>
    <w:p w14:paraId="78367244" w14:textId="77777777" w:rsidR="00BC24A8" w:rsidRDefault="00000000">
      <w:pPr>
        <w:pStyle w:val="BodyText"/>
        <w:spacing w:before="157" w:line="278" w:lineRule="auto"/>
        <w:ind w:left="143" w:right="279"/>
        <w:jc w:val="both"/>
      </w:pPr>
      <w:r>
        <w:t>Improved national analytical capabilities, national plans and subnational planning guidelines will yield results for vulnerable groups if there is more consistency in national policies, and efforts to socialise while building capacity sub-nationally. Consistent oversight is also needed in the translation of policies into clear plans with aligned spending priorities. Moving forward, SKALA should focus its support on central agencies around these priorities.</w:t>
      </w:r>
    </w:p>
    <w:p w14:paraId="5BCA99A1" w14:textId="77777777" w:rsidR="00BC24A8" w:rsidRDefault="00BC24A8">
      <w:pPr>
        <w:pStyle w:val="BodyText"/>
      </w:pPr>
    </w:p>
    <w:p w14:paraId="0674AA4E" w14:textId="77777777" w:rsidR="00BC24A8" w:rsidRDefault="00BC24A8">
      <w:pPr>
        <w:pStyle w:val="BodyText"/>
        <w:spacing w:before="94"/>
      </w:pPr>
    </w:p>
    <w:p w14:paraId="44B62CA1" w14:textId="77777777" w:rsidR="00BC24A8" w:rsidRDefault="00000000">
      <w:pPr>
        <w:pStyle w:val="Heading4"/>
        <w:spacing w:before="0"/>
        <w:jc w:val="both"/>
      </w:pPr>
      <w:bookmarkStart w:id="43" w:name="End_of_Program_Outcome_2:_Better_Subnati"/>
      <w:bookmarkStart w:id="44" w:name="_bookmark25"/>
      <w:bookmarkEnd w:id="43"/>
      <w:bookmarkEnd w:id="44"/>
      <w:r>
        <w:rPr>
          <w:color w:val="17365A"/>
          <w:spacing w:val="-4"/>
        </w:rPr>
        <w:t>End</w:t>
      </w:r>
      <w:r>
        <w:rPr>
          <w:color w:val="17365A"/>
          <w:spacing w:val="-25"/>
        </w:rPr>
        <w:t xml:space="preserve"> </w:t>
      </w:r>
      <w:r>
        <w:rPr>
          <w:color w:val="17365A"/>
          <w:spacing w:val="-4"/>
        </w:rPr>
        <w:t>of</w:t>
      </w:r>
      <w:r>
        <w:rPr>
          <w:color w:val="17365A"/>
          <w:spacing w:val="-24"/>
        </w:rPr>
        <w:t xml:space="preserve"> </w:t>
      </w:r>
      <w:r>
        <w:rPr>
          <w:color w:val="17365A"/>
          <w:spacing w:val="-4"/>
        </w:rPr>
        <w:t>Program</w:t>
      </w:r>
      <w:r>
        <w:rPr>
          <w:color w:val="17365A"/>
          <w:spacing w:val="-26"/>
        </w:rPr>
        <w:t xml:space="preserve"> </w:t>
      </w:r>
      <w:r>
        <w:rPr>
          <w:color w:val="17365A"/>
          <w:spacing w:val="-4"/>
        </w:rPr>
        <w:t>Outcome</w:t>
      </w:r>
      <w:r>
        <w:rPr>
          <w:color w:val="17365A"/>
          <w:spacing w:val="-22"/>
        </w:rPr>
        <w:t xml:space="preserve"> </w:t>
      </w:r>
      <w:r>
        <w:rPr>
          <w:color w:val="17365A"/>
          <w:spacing w:val="-4"/>
        </w:rPr>
        <w:t>2:</w:t>
      </w:r>
      <w:r>
        <w:rPr>
          <w:color w:val="17365A"/>
          <w:spacing w:val="-24"/>
        </w:rPr>
        <w:t xml:space="preserve"> </w:t>
      </w:r>
      <w:r>
        <w:rPr>
          <w:color w:val="17365A"/>
          <w:spacing w:val="-4"/>
        </w:rPr>
        <w:t>Better</w:t>
      </w:r>
      <w:r>
        <w:rPr>
          <w:color w:val="17365A"/>
          <w:spacing w:val="-24"/>
        </w:rPr>
        <w:t xml:space="preserve"> </w:t>
      </w:r>
      <w:r>
        <w:rPr>
          <w:color w:val="17365A"/>
          <w:spacing w:val="-4"/>
        </w:rPr>
        <w:t>Subnational</w:t>
      </w:r>
      <w:r>
        <w:rPr>
          <w:color w:val="17365A"/>
          <w:spacing w:val="-21"/>
        </w:rPr>
        <w:t xml:space="preserve"> </w:t>
      </w:r>
      <w:r>
        <w:rPr>
          <w:color w:val="17365A"/>
          <w:spacing w:val="-4"/>
        </w:rPr>
        <w:t>Service</w:t>
      </w:r>
      <w:r>
        <w:rPr>
          <w:color w:val="17365A"/>
          <w:spacing w:val="-23"/>
        </w:rPr>
        <w:t xml:space="preserve"> </w:t>
      </w:r>
      <w:r>
        <w:rPr>
          <w:color w:val="17365A"/>
          <w:spacing w:val="-4"/>
        </w:rPr>
        <w:t>Delivery</w:t>
      </w:r>
    </w:p>
    <w:p w14:paraId="1BDB0278" w14:textId="77777777" w:rsidR="00BC24A8" w:rsidRDefault="00000000">
      <w:pPr>
        <w:pStyle w:val="BodyText"/>
        <w:spacing w:before="256" w:line="276" w:lineRule="auto"/>
        <w:ind w:left="143" w:right="280"/>
        <w:jc w:val="both"/>
      </w:pPr>
      <w:r>
        <w:t>SKALA’s second program outcome is to ensure: Selected provincial and district governments more effectively plan, budget and manage for basic service provision.</w:t>
      </w:r>
    </w:p>
    <w:p w14:paraId="3BFA713D" w14:textId="77777777" w:rsidR="00BC24A8" w:rsidRDefault="00000000">
      <w:pPr>
        <w:pStyle w:val="BodyText"/>
        <w:spacing w:before="165" w:line="278" w:lineRule="auto"/>
        <w:ind w:left="143" w:right="280"/>
        <w:jc w:val="both"/>
      </w:pPr>
      <w:r>
        <w:t>Work</w:t>
      </w:r>
      <w:r>
        <w:rPr>
          <w:spacing w:val="-9"/>
        </w:rPr>
        <w:t xml:space="preserve"> </w:t>
      </w:r>
      <w:r>
        <w:t>in</w:t>
      </w:r>
      <w:r>
        <w:rPr>
          <w:spacing w:val="-10"/>
        </w:rPr>
        <w:t xml:space="preserve"> </w:t>
      </w:r>
      <w:r>
        <w:t>this</w:t>
      </w:r>
      <w:r>
        <w:rPr>
          <w:spacing w:val="-9"/>
        </w:rPr>
        <w:t xml:space="preserve"> </w:t>
      </w:r>
      <w:r>
        <w:t>outcome</w:t>
      </w:r>
      <w:r>
        <w:rPr>
          <w:spacing w:val="-11"/>
        </w:rPr>
        <w:t xml:space="preserve"> </w:t>
      </w:r>
      <w:r>
        <w:t>area</w:t>
      </w:r>
      <w:r>
        <w:rPr>
          <w:spacing w:val="-10"/>
        </w:rPr>
        <w:t xml:space="preserve"> </w:t>
      </w:r>
      <w:r>
        <w:t>supports</w:t>
      </w:r>
      <w:r>
        <w:rPr>
          <w:spacing w:val="-9"/>
        </w:rPr>
        <w:t xml:space="preserve"> </w:t>
      </w:r>
      <w:r>
        <w:t>partner</w:t>
      </w:r>
      <w:r>
        <w:rPr>
          <w:spacing w:val="-10"/>
        </w:rPr>
        <w:t xml:space="preserve"> </w:t>
      </w:r>
      <w:r>
        <w:t>provinces</w:t>
      </w:r>
      <w:r>
        <w:rPr>
          <w:spacing w:val="-9"/>
        </w:rPr>
        <w:t xml:space="preserve"> </w:t>
      </w:r>
      <w:r>
        <w:t>to</w:t>
      </w:r>
      <w:r>
        <w:rPr>
          <w:spacing w:val="-10"/>
        </w:rPr>
        <w:t xml:space="preserve"> </w:t>
      </w:r>
      <w:r>
        <w:t>more</w:t>
      </w:r>
      <w:r>
        <w:rPr>
          <w:spacing w:val="-11"/>
        </w:rPr>
        <w:t xml:space="preserve"> </w:t>
      </w:r>
      <w:r>
        <w:t>effectively</w:t>
      </w:r>
      <w:r>
        <w:rPr>
          <w:spacing w:val="-11"/>
        </w:rPr>
        <w:t xml:space="preserve"> </w:t>
      </w:r>
      <w:r>
        <w:t>manage</w:t>
      </w:r>
      <w:r>
        <w:rPr>
          <w:spacing w:val="-11"/>
        </w:rPr>
        <w:t xml:space="preserve"> </w:t>
      </w:r>
      <w:r>
        <w:t>provincial</w:t>
      </w:r>
      <w:r>
        <w:rPr>
          <w:spacing w:val="-10"/>
        </w:rPr>
        <w:t xml:space="preserve"> </w:t>
      </w:r>
      <w:r>
        <w:t>finances</w:t>
      </w:r>
      <w:r>
        <w:rPr>
          <w:spacing w:val="-9"/>
        </w:rPr>
        <w:t xml:space="preserve"> </w:t>
      </w:r>
      <w:r>
        <w:t>in line</w:t>
      </w:r>
      <w:r>
        <w:rPr>
          <w:spacing w:val="-13"/>
        </w:rPr>
        <w:t xml:space="preserve"> </w:t>
      </w:r>
      <w:r>
        <w:t>with</w:t>
      </w:r>
      <w:r>
        <w:rPr>
          <w:spacing w:val="-12"/>
        </w:rPr>
        <w:t xml:space="preserve"> </w:t>
      </w:r>
      <w:r>
        <w:t>national</w:t>
      </w:r>
      <w:r>
        <w:rPr>
          <w:spacing w:val="-12"/>
        </w:rPr>
        <w:t xml:space="preserve"> </w:t>
      </w:r>
      <w:r>
        <w:t>guidelines</w:t>
      </w:r>
      <w:r>
        <w:rPr>
          <w:spacing w:val="-12"/>
        </w:rPr>
        <w:t xml:space="preserve"> </w:t>
      </w:r>
      <w:r>
        <w:t>related</w:t>
      </w:r>
      <w:r>
        <w:rPr>
          <w:spacing w:val="-11"/>
        </w:rPr>
        <w:t xml:space="preserve"> </w:t>
      </w:r>
      <w:r>
        <w:t>to</w:t>
      </w:r>
      <w:r>
        <w:rPr>
          <w:spacing w:val="-11"/>
        </w:rPr>
        <w:t xml:space="preserve"> </w:t>
      </w:r>
      <w:r>
        <w:t>inclusive</w:t>
      </w:r>
      <w:r>
        <w:rPr>
          <w:spacing w:val="-12"/>
        </w:rPr>
        <w:t xml:space="preserve"> </w:t>
      </w:r>
      <w:r>
        <w:t>service</w:t>
      </w:r>
      <w:r>
        <w:rPr>
          <w:spacing w:val="-13"/>
        </w:rPr>
        <w:t xml:space="preserve"> </w:t>
      </w:r>
      <w:r>
        <w:t>delivery</w:t>
      </w:r>
      <w:r>
        <w:rPr>
          <w:spacing w:val="-10"/>
        </w:rPr>
        <w:t xml:space="preserve"> </w:t>
      </w:r>
      <w:r>
        <w:t>and</w:t>
      </w:r>
      <w:r>
        <w:rPr>
          <w:spacing w:val="-11"/>
        </w:rPr>
        <w:t xml:space="preserve"> </w:t>
      </w:r>
      <w:r>
        <w:t>improve</w:t>
      </w:r>
      <w:r>
        <w:rPr>
          <w:spacing w:val="-12"/>
        </w:rPr>
        <w:t xml:space="preserve"> </w:t>
      </w:r>
      <w:r>
        <w:t>data</w:t>
      </w:r>
      <w:r>
        <w:rPr>
          <w:spacing w:val="-12"/>
        </w:rPr>
        <w:t xml:space="preserve"> </w:t>
      </w:r>
      <w:r>
        <w:t>governance</w:t>
      </w:r>
      <w:r>
        <w:rPr>
          <w:spacing w:val="-12"/>
        </w:rPr>
        <w:t xml:space="preserve"> </w:t>
      </w:r>
      <w:r>
        <w:t>to</w:t>
      </w:r>
      <w:r>
        <w:rPr>
          <w:spacing w:val="-11"/>
        </w:rPr>
        <w:t xml:space="preserve"> </w:t>
      </w:r>
      <w:r>
        <w:t xml:space="preserve">ensure quality data for evidence-based planning and budgeting. SKALA also works with partner provinces to </w:t>
      </w:r>
      <w:r>
        <w:rPr>
          <w:spacing w:val="-2"/>
        </w:rPr>
        <w:t>build their revenue</w:t>
      </w:r>
      <w:r>
        <w:rPr>
          <w:spacing w:val="-4"/>
        </w:rPr>
        <w:t xml:space="preserve"> </w:t>
      </w:r>
      <w:r>
        <w:rPr>
          <w:spacing w:val="-2"/>
        </w:rPr>
        <w:t>base</w:t>
      </w:r>
      <w:r>
        <w:rPr>
          <w:spacing w:val="-4"/>
        </w:rPr>
        <w:t xml:space="preserve"> </w:t>
      </w:r>
      <w:r>
        <w:rPr>
          <w:spacing w:val="-2"/>
        </w:rPr>
        <w:t>to</w:t>
      </w:r>
      <w:r>
        <w:rPr>
          <w:spacing w:val="-3"/>
        </w:rPr>
        <w:t xml:space="preserve"> </w:t>
      </w:r>
      <w:r>
        <w:rPr>
          <w:spacing w:val="-2"/>
        </w:rPr>
        <w:t>pursue</w:t>
      </w:r>
      <w:r>
        <w:rPr>
          <w:spacing w:val="-4"/>
        </w:rPr>
        <w:t xml:space="preserve"> </w:t>
      </w:r>
      <w:r>
        <w:rPr>
          <w:spacing w:val="-2"/>
        </w:rPr>
        <w:t>local</w:t>
      </w:r>
      <w:r>
        <w:rPr>
          <w:spacing w:val="-4"/>
        </w:rPr>
        <w:t xml:space="preserve"> </w:t>
      </w:r>
      <w:r>
        <w:rPr>
          <w:spacing w:val="-2"/>
        </w:rPr>
        <w:t>development</w:t>
      </w:r>
      <w:r>
        <w:rPr>
          <w:spacing w:val="-3"/>
        </w:rPr>
        <w:t xml:space="preserve"> </w:t>
      </w:r>
      <w:r>
        <w:rPr>
          <w:spacing w:val="-2"/>
        </w:rPr>
        <w:t>priorities and share</w:t>
      </w:r>
      <w:r>
        <w:rPr>
          <w:spacing w:val="-4"/>
        </w:rPr>
        <w:t xml:space="preserve"> </w:t>
      </w:r>
      <w:r>
        <w:rPr>
          <w:spacing w:val="-2"/>
        </w:rPr>
        <w:t>innovations between partners.</w:t>
      </w:r>
    </w:p>
    <w:p w14:paraId="11D6FB1E" w14:textId="77777777" w:rsidR="00BC24A8" w:rsidRDefault="00000000">
      <w:pPr>
        <w:pStyle w:val="Heading6"/>
        <w:spacing w:before="158" w:line="290" w:lineRule="auto"/>
      </w:pPr>
      <w:r w:rsidRPr="00795364">
        <w:rPr>
          <w:color w:val="00827F"/>
          <w:spacing w:val="-4"/>
        </w:rPr>
        <w:t>IO4:</w:t>
      </w:r>
      <w:r w:rsidRPr="00795364">
        <w:rPr>
          <w:color w:val="00827F"/>
          <w:spacing w:val="-13"/>
        </w:rPr>
        <w:t xml:space="preserve"> </w:t>
      </w:r>
      <w:r w:rsidRPr="00795364">
        <w:rPr>
          <w:color w:val="00827F"/>
          <w:spacing w:val="-4"/>
        </w:rPr>
        <w:t>Selected</w:t>
      </w:r>
      <w:r w:rsidRPr="00795364">
        <w:rPr>
          <w:color w:val="00827F"/>
          <w:spacing w:val="-13"/>
        </w:rPr>
        <w:t xml:space="preserve"> </w:t>
      </w:r>
      <w:r w:rsidRPr="00795364">
        <w:rPr>
          <w:color w:val="00827F"/>
          <w:spacing w:val="-4"/>
        </w:rPr>
        <w:t>provincial</w:t>
      </w:r>
      <w:r w:rsidRPr="00795364">
        <w:rPr>
          <w:color w:val="00827F"/>
          <w:spacing w:val="-12"/>
        </w:rPr>
        <w:t xml:space="preserve"> </w:t>
      </w:r>
      <w:r w:rsidRPr="00795364">
        <w:rPr>
          <w:color w:val="00827F"/>
          <w:spacing w:val="-4"/>
        </w:rPr>
        <w:t>and</w:t>
      </w:r>
      <w:r w:rsidRPr="00795364">
        <w:rPr>
          <w:color w:val="00827F"/>
          <w:spacing w:val="-13"/>
        </w:rPr>
        <w:t xml:space="preserve"> </w:t>
      </w:r>
      <w:r w:rsidRPr="00795364">
        <w:rPr>
          <w:color w:val="00827F"/>
          <w:spacing w:val="-4"/>
        </w:rPr>
        <w:t>district</w:t>
      </w:r>
      <w:r w:rsidRPr="00795364">
        <w:rPr>
          <w:color w:val="00827F"/>
          <w:spacing w:val="-12"/>
        </w:rPr>
        <w:t xml:space="preserve"> </w:t>
      </w:r>
      <w:r w:rsidRPr="00795364">
        <w:rPr>
          <w:color w:val="00827F"/>
          <w:spacing w:val="-4"/>
        </w:rPr>
        <w:t>governments</w:t>
      </w:r>
      <w:r w:rsidRPr="00795364">
        <w:rPr>
          <w:color w:val="00827F"/>
          <w:spacing w:val="-13"/>
        </w:rPr>
        <w:t xml:space="preserve"> </w:t>
      </w:r>
      <w:r w:rsidRPr="00795364">
        <w:rPr>
          <w:color w:val="00827F"/>
          <w:spacing w:val="-4"/>
        </w:rPr>
        <w:t>better</w:t>
      </w:r>
      <w:r w:rsidRPr="00795364">
        <w:rPr>
          <w:color w:val="00827F"/>
          <w:spacing w:val="-12"/>
        </w:rPr>
        <w:t xml:space="preserve"> </w:t>
      </w:r>
      <w:r w:rsidRPr="00795364">
        <w:rPr>
          <w:color w:val="00827F"/>
          <w:spacing w:val="-4"/>
        </w:rPr>
        <w:t>use</w:t>
      </w:r>
      <w:r w:rsidRPr="00795364">
        <w:rPr>
          <w:color w:val="00827F"/>
          <w:spacing w:val="-13"/>
        </w:rPr>
        <w:t xml:space="preserve"> </w:t>
      </w:r>
      <w:r w:rsidRPr="00795364">
        <w:rPr>
          <w:color w:val="00827F"/>
          <w:spacing w:val="-4"/>
        </w:rPr>
        <w:t>PFM</w:t>
      </w:r>
      <w:r w:rsidRPr="00795364">
        <w:rPr>
          <w:color w:val="00827F"/>
          <w:spacing w:val="-13"/>
        </w:rPr>
        <w:t xml:space="preserve"> </w:t>
      </w:r>
      <w:r w:rsidRPr="00795364">
        <w:rPr>
          <w:color w:val="00827F"/>
          <w:spacing w:val="-4"/>
        </w:rPr>
        <w:t>for</w:t>
      </w:r>
      <w:r w:rsidRPr="00795364">
        <w:rPr>
          <w:color w:val="00827F"/>
          <w:spacing w:val="-12"/>
        </w:rPr>
        <w:t xml:space="preserve"> </w:t>
      </w:r>
      <w:r w:rsidRPr="00795364">
        <w:rPr>
          <w:color w:val="00827F"/>
          <w:spacing w:val="-4"/>
        </w:rPr>
        <w:t>the</w:t>
      </w:r>
      <w:r w:rsidRPr="00795364">
        <w:rPr>
          <w:color w:val="00827F"/>
          <w:spacing w:val="-13"/>
        </w:rPr>
        <w:t xml:space="preserve"> </w:t>
      </w:r>
      <w:r w:rsidRPr="00795364">
        <w:rPr>
          <w:color w:val="00827F"/>
          <w:spacing w:val="-4"/>
        </w:rPr>
        <w:t>provision</w:t>
      </w:r>
      <w:r w:rsidRPr="00795364">
        <w:rPr>
          <w:color w:val="00827F"/>
          <w:spacing w:val="-12"/>
        </w:rPr>
        <w:t xml:space="preserve"> </w:t>
      </w:r>
      <w:r w:rsidRPr="00795364">
        <w:rPr>
          <w:color w:val="00827F"/>
          <w:spacing w:val="-4"/>
        </w:rPr>
        <w:t>of</w:t>
      </w:r>
      <w:r w:rsidRPr="00795364">
        <w:rPr>
          <w:color w:val="00827F"/>
          <w:spacing w:val="-13"/>
        </w:rPr>
        <w:t xml:space="preserve"> </w:t>
      </w:r>
      <w:r w:rsidRPr="00795364">
        <w:rPr>
          <w:color w:val="00827F"/>
          <w:spacing w:val="-4"/>
        </w:rPr>
        <w:t xml:space="preserve">basic </w:t>
      </w:r>
      <w:r w:rsidRPr="00795364">
        <w:rPr>
          <w:color w:val="00827F"/>
        </w:rPr>
        <w:t>services that meet the MSS</w:t>
      </w:r>
    </w:p>
    <w:p w14:paraId="7F6C6C16" w14:textId="77777777" w:rsidR="00BC24A8" w:rsidRDefault="00000000">
      <w:pPr>
        <w:pStyle w:val="BodyText"/>
        <w:spacing w:before="164" w:line="276" w:lineRule="auto"/>
        <w:ind w:left="143" w:right="284"/>
        <w:jc w:val="both"/>
      </w:pPr>
      <w:r>
        <w:t>SKALA’s implementation strategy under IO4 focused on improving public financial management for delivery of MSS by:</w:t>
      </w:r>
    </w:p>
    <w:p w14:paraId="7D7B7F0D" w14:textId="77777777" w:rsidR="00BC24A8" w:rsidRDefault="00000000">
      <w:pPr>
        <w:pStyle w:val="ListParagraph"/>
        <w:numPr>
          <w:ilvl w:val="0"/>
          <w:numId w:val="170"/>
        </w:numPr>
        <w:tabs>
          <w:tab w:val="left" w:pos="860"/>
          <w:tab w:val="left" w:pos="863"/>
        </w:tabs>
        <w:spacing w:before="164" w:line="256" w:lineRule="auto"/>
        <w:ind w:right="279" w:hanging="361"/>
      </w:pPr>
      <w:r>
        <w:t>Supporting</w:t>
      </w:r>
      <w:r>
        <w:rPr>
          <w:spacing w:val="-12"/>
        </w:rPr>
        <w:t xml:space="preserve"> </w:t>
      </w:r>
      <w:r>
        <w:t>partner</w:t>
      </w:r>
      <w:r>
        <w:rPr>
          <w:spacing w:val="-11"/>
        </w:rPr>
        <w:t xml:space="preserve"> </w:t>
      </w:r>
      <w:r>
        <w:t>provinces</w:t>
      </w:r>
      <w:r>
        <w:rPr>
          <w:spacing w:val="-9"/>
        </w:rPr>
        <w:t xml:space="preserve"> </w:t>
      </w:r>
      <w:r>
        <w:t>to</w:t>
      </w:r>
      <w:r>
        <w:rPr>
          <w:spacing w:val="-9"/>
        </w:rPr>
        <w:t xml:space="preserve"> </w:t>
      </w:r>
      <w:r>
        <w:t>optimise</w:t>
      </w:r>
      <w:r>
        <w:rPr>
          <w:spacing w:val="-10"/>
        </w:rPr>
        <w:t xml:space="preserve"> </w:t>
      </w:r>
      <w:r>
        <w:t>the</w:t>
      </w:r>
      <w:r>
        <w:rPr>
          <w:spacing w:val="-13"/>
        </w:rPr>
        <w:t xml:space="preserve"> </w:t>
      </w:r>
      <w:r>
        <w:t>use</w:t>
      </w:r>
      <w:r>
        <w:rPr>
          <w:spacing w:val="-10"/>
        </w:rPr>
        <w:t xml:space="preserve"> </w:t>
      </w:r>
      <w:r>
        <w:t>of</w:t>
      </w:r>
      <w:r>
        <w:rPr>
          <w:spacing w:val="-13"/>
        </w:rPr>
        <w:t xml:space="preserve"> </w:t>
      </w:r>
      <w:r>
        <w:t>national</w:t>
      </w:r>
      <w:r>
        <w:rPr>
          <w:spacing w:val="-9"/>
        </w:rPr>
        <w:t xml:space="preserve"> </w:t>
      </w:r>
      <w:r>
        <w:t>fiscal</w:t>
      </w:r>
      <w:r>
        <w:rPr>
          <w:spacing w:val="-10"/>
        </w:rPr>
        <w:t xml:space="preserve"> </w:t>
      </w:r>
      <w:r>
        <w:t>transfers</w:t>
      </w:r>
      <w:r>
        <w:rPr>
          <w:spacing w:val="-11"/>
        </w:rPr>
        <w:t xml:space="preserve"> </w:t>
      </w:r>
      <w:r>
        <w:t>for</w:t>
      </w:r>
      <w:r>
        <w:rPr>
          <w:spacing w:val="-9"/>
        </w:rPr>
        <w:t xml:space="preserve"> </w:t>
      </w:r>
      <w:r>
        <w:t>inclusive</w:t>
      </w:r>
      <w:r>
        <w:rPr>
          <w:spacing w:val="-13"/>
        </w:rPr>
        <w:t xml:space="preserve"> </w:t>
      </w:r>
      <w:r>
        <w:t xml:space="preserve">service </w:t>
      </w:r>
      <w:r>
        <w:rPr>
          <w:spacing w:val="-2"/>
        </w:rPr>
        <w:t>delivery</w:t>
      </w:r>
    </w:p>
    <w:p w14:paraId="05C607B1" w14:textId="77777777" w:rsidR="00BC24A8" w:rsidRDefault="00000000">
      <w:pPr>
        <w:pStyle w:val="ListParagraph"/>
        <w:numPr>
          <w:ilvl w:val="0"/>
          <w:numId w:val="170"/>
        </w:numPr>
        <w:tabs>
          <w:tab w:val="left" w:pos="860"/>
          <w:tab w:val="left" w:pos="862"/>
        </w:tabs>
        <w:spacing w:before="4" w:line="259" w:lineRule="auto"/>
        <w:ind w:left="862" w:right="280"/>
      </w:pPr>
      <w:r>
        <w:t>Supporting</w:t>
      </w:r>
      <w:r>
        <w:rPr>
          <w:spacing w:val="-7"/>
        </w:rPr>
        <w:t xml:space="preserve"> </w:t>
      </w:r>
      <w:r>
        <w:t>provinces</w:t>
      </w:r>
      <w:r>
        <w:rPr>
          <w:spacing w:val="-4"/>
        </w:rPr>
        <w:t xml:space="preserve"> </w:t>
      </w:r>
      <w:r>
        <w:t>to</w:t>
      </w:r>
      <w:r>
        <w:rPr>
          <w:spacing w:val="-6"/>
        </w:rPr>
        <w:t xml:space="preserve"> </w:t>
      </w:r>
      <w:r>
        <w:t>apply</w:t>
      </w:r>
      <w:r>
        <w:rPr>
          <w:spacing w:val="-5"/>
        </w:rPr>
        <w:t xml:space="preserve"> </w:t>
      </w:r>
      <w:r>
        <w:t>national</w:t>
      </w:r>
      <w:r>
        <w:rPr>
          <w:spacing w:val="-7"/>
        </w:rPr>
        <w:t xml:space="preserve"> </w:t>
      </w:r>
      <w:r>
        <w:t>planning</w:t>
      </w:r>
      <w:r>
        <w:rPr>
          <w:spacing w:val="-7"/>
        </w:rPr>
        <w:t xml:space="preserve"> </w:t>
      </w:r>
      <w:r>
        <w:t>and</w:t>
      </w:r>
      <w:r>
        <w:rPr>
          <w:spacing w:val="-6"/>
        </w:rPr>
        <w:t xml:space="preserve"> </w:t>
      </w:r>
      <w:r>
        <w:t>budgeting</w:t>
      </w:r>
      <w:r>
        <w:rPr>
          <w:spacing w:val="-7"/>
        </w:rPr>
        <w:t xml:space="preserve"> </w:t>
      </w:r>
      <w:r>
        <w:t>guidance</w:t>
      </w:r>
      <w:r>
        <w:rPr>
          <w:spacing w:val="-5"/>
        </w:rPr>
        <w:t xml:space="preserve"> </w:t>
      </w:r>
      <w:r>
        <w:t>in</w:t>
      </w:r>
      <w:r>
        <w:rPr>
          <w:spacing w:val="-6"/>
        </w:rPr>
        <w:t xml:space="preserve"> </w:t>
      </w:r>
      <w:r>
        <w:t>relation</w:t>
      </w:r>
      <w:r>
        <w:rPr>
          <w:spacing w:val="-4"/>
        </w:rPr>
        <w:t xml:space="preserve"> </w:t>
      </w:r>
      <w:r>
        <w:t>to</w:t>
      </w:r>
      <w:r>
        <w:rPr>
          <w:spacing w:val="-4"/>
        </w:rPr>
        <w:t xml:space="preserve"> </w:t>
      </w:r>
      <w:r>
        <w:t>inclusive service delivery</w:t>
      </w:r>
    </w:p>
    <w:p w14:paraId="1921CF6B" w14:textId="77777777" w:rsidR="00BC24A8" w:rsidRDefault="00000000">
      <w:pPr>
        <w:pStyle w:val="ListParagraph"/>
        <w:numPr>
          <w:ilvl w:val="0"/>
          <w:numId w:val="170"/>
        </w:numPr>
        <w:tabs>
          <w:tab w:val="left" w:pos="861"/>
        </w:tabs>
        <w:ind w:left="861" w:hanging="358"/>
      </w:pPr>
      <w:r>
        <w:t>Improving</w:t>
      </w:r>
      <w:r>
        <w:rPr>
          <w:spacing w:val="-10"/>
        </w:rPr>
        <w:t xml:space="preserve"> </w:t>
      </w:r>
      <w:r>
        <w:t>local</w:t>
      </w:r>
      <w:r>
        <w:rPr>
          <w:spacing w:val="-10"/>
        </w:rPr>
        <w:t xml:space="preserve"> </w:t>
      </w:r>
      <w:r>
        <w:t>revenue</w:t>
      </w:r>
      <w:r>
        <w:rPr>
          <w:spacing w:val="-11"/>
        </w:rPr>
        <w:t xml:space="preserve"> </w:t>
      </w:r>
      <w:r>
        <w:t>streams</w:t>
      </w:r>
      <w:r>
        <w:rPr>
          <w:spacing w:val="-8"/>
        </w:rPr>
        <w:t xml:space="preserve"> </w:t>
      </w:r>
      <w:r>
        <w:t>to</w:t>
      </w:r>
      <w:r>
        <w:rPr>
          <w:spacing w:val="-10"/>
        </w:rPr>
        <w:t xml:space="preserve"> </w:t>
      </w:r>
      <w:r>
        <w:t>increase</w:t>
      </w:r>
      <w:r>
        <w:rPr>
          <w:spacing w:val="-10"/>
        </w:rPr>
        <w:t xml:space="preserve"> </w:t>
      </w:r>
      <w:r>
        <w:t>options</w:t>
      </w:r>
      <w:r>
        <w:rPr>
          <w:spacing w:val="-9"/>
        </w:rPr>
        <w:t xml:space="preserve"> </w:t>
      </w:r>
      <w:r>
        <w:t>for</w:t>
      </w:r>
      <w:r>
        <w:rPr>
          <w:spacing w:val="-8"/>
        </w:rPr>
        <w:t xml:space="preserve"> </w:t>
      </w:r>
      <w:r>
        <w:t>province-led</w:t>
      </w:r>
      <w:r>
        <w:rPr>
          <w:spacing w:val="-9"/>
        </w:rPr>
        <w:t xml:space="preserve"> </w:t>
      </w:r>
      <w:r>
        <w:rPr>
          <w:spacing w:val="-2"/>
        </w:rPr>
        <w:t>development.</w:t>
      </w:r>
    </w:p>
    <w:p w14:paraId="411F059A" w14:textId="77777777" w:rsidR="00BC24A8" w:rsidRDefault="00BC24A8">
      <w:pPr>
        <w:pStyle w:val="BodyText"/>
        <w:spacing w:before="42"/>
      </w:pPr>
    </w:p>
    <w:p w14:paraId="5E26B498" w14:textId="77777777" w:rsidR="00BC24A8" w:rsidRDefault="00000000">
      <w:pPr>
        <w:pStyle w:val="BodyText"/>
        <w:spacing w:line="278" w:lineRule="auto"/>
        <w:ind w:left="143" w:right="280"/>
        <w:jc w:val="both"/>
      </w:pPr>
      <w:r>
        <w:t>As of June 2025, SKALA has provided central agencies with technical support across all national fiscal transfer categories (see EOPO1). The target in Phase 1 is to ensure partner provinces are compliant in their planning and budgeting for the fulfilment of inclusive basic services. Sub-nationally, SKALA has complemented the development of national policy guidelines with technical support and work to improve the capacity of provincial partners to manage Special Autonomy Funds (OTSUS) in Aceh and Papua,</w:t>
      </w:r>
      <w:r>
        <w:rPr>
          <w:spacing w:val="40"/>
        </w:rPr>
        <w:t xml:space="preserve"> </w:t>
      </w:r>
      <w:r>
        <w:t>Resource</w:t>
      </w:r>
      <w:r>
        <w:rPr>
          <w:spacing w:val="40"/>
        </w:rPr>
        <w:t xml:space="preserve"> </w:t>
      </w:r>
      <w:r>
        <w:t>Revenue</w:t>
      </w:r>
      <w:r>
        <w:rPr>
          <w:spacing w:val="40"/>
        </w:rPr>
        <w:t xml:space="preserve"> </w:t>
      </w:r>
      <w:r>
        <w:t>Sharing</w:t>
      </w:r>
      <w:r>
        <w:rPr>
          <w:spacing w:val="40"/>
        </w:rPr>
        <w:t xml:space="preserve"> </w:t>
      </w:r>
      <w:r>
        <w:t>in</w:t>
      </w:r>
      <w:r>
        <w:rPr>
          <w:spacing w:val="40"/>
        </w:rPr>
        <w:t xml:space="preserve"> </w:t>
      </w:r>
      <w:r>
        <w:t>Aceh,</w:t>
      </w:r>
      <w:r>
        <w:rPr>
          <w:spacing w:val="40"/>
        </w:rPr>
        <w:t xml:space="preserve"> </w:t>
      </w:r>
      <w:r>
        <w:t>Gorontalo,</w:t>
      </w:r>
      <w:r>
        <w:rPr>
          <w:spacing w:val="40"/>
        </w:rPr>
        <w:t xml:space="preserve"> </w:t>
      </w:r>
      <w:r>
        <w:t>Papuan</w:t>
      </w:r>
      <w:r>
        <w:rPr>
          <w:spacing w:val="40"/>
        </w:rPr>
        <w:t xml:space="preserve"> </w:t>
      </w:r>
      <w:r>
        <w:t>Provinces</w:t>
      </w:r>
      <w:r>
        <w:rPr>
          <w:spacing w:val="40"/>
        </w:rPr>
        <w:t xml:space="preserve"> </w:t>
      </w:r>
      <w:r>
        <w:t>and</w:t>
      </w:r>
      <w:r>
        <w:rPr>
          <w:spacing w:val="40"/>
        </w:rPr>
        <w:t xml:space="preserve"> </w:t>
      </w:r>
      <w:r>
        <w:t>NTT,</w:t>
      </w:r>
      <w:r>
        <w:rPr>
          <w:spacing w:val="40"/>
        </w:rPr>
        <w:t xml:space="preserve"> </w:t>
      </w:r>
      <w:r>
        <w:t>and</w:t>
      </w:r>
      <w:r>
        <w:rPr>
          <w:spacing w:val="40"/>
        </w:rPr>
        <w:t xml:space="preserve"> </w:t>
      </w:r>
      <w:r>
        <w:t>Regional</w:t>
      </w:r>
    </w:p>
    <w:p w14:paraId="0DEB0848" w14:textId="77777777" w:rsidR="00BC24A8" w:rsidRDefault="00BC24A8">
      <w:pPr>
        <w:pStyle w:val="BodyText"/>
        <w:spacing w:line="278" w:lineRule="auto"/>
        <w:jc w:val="both"/>
        <w:sectPr w:rsidR="00BC24A8">
          <w:pgSz w:w="11910" w:h="16840"/>
          <w:pgMar w:top="1360" w:right="1133" w:bottom="1100" w:left="1275" w:header="0" w:footer="907" w:gutter="0"/>
          <w:cols w:space="720"/>
        </w:sectPr>
      </w:pPr>
    </w:p>
    <w:p w14:paraId="0CA97C90" w14:textId="77777777" w:rsidR="00BC24A8" w:rsidRDefault="00000000">
      <w:pPr>
        <w:pStyle w:val="BodyText"/>
        <w:spacing w:before="59" w:line="278" w:lineRule="auto"/>
        <w:ind w:left="143" w:right="279" w:hanging="1"/>
        <w:jc w:val="both"/>
      </w:pPr>
      <w:r>
        <w:lastRenderedPageBreak/>
        <w:t>Endowment Funds in Aceh</w:t>
      </w:r>
      <w:hyperlink w:anchor="_bookmark26" w:history="1">
        <w:r w:rsidR="00BC24A8">
          <w:rPr>
            <w:vertAlign w:val="superscript"/>
          </w:rPr>
          <w:t>6</w:t>
        </w:r>
      </w:hyperlink>
      <w:r>
        <w:t>. This support has led to subnational regulatory improvements aimed at improving</w:t>
      </w:r>
      <w:r>
        <w:rPr>
          <w:spacing w:val="-11"/>
        </w:rPr>
        <w:t xml:space="preserve"> </w:t>
      </w:r>
      <w:r>
        <w:t>service</w:t>
      </w:r>
      <w:r>
        <w:rPr>
          <w:spacing w:val="-9"/>
        </w:rPr>
        <w:t xml:space="preserve"> </w:t>
      </w:r>
      <w:r>
        <w:t>delivery,</w:t>
      </w:r>
      <w:r>
        <w:rPr>
          <w:spacing w:val="-9"/>
        </w:rPr>
        <w:t xml:space="preserve"> </w:t>
      </w:r>
      <w:r>
        <w:t>and</w:t>
      </w:r>
      <w:r>
        <w:rPr>
          <w:spacing w:val="-8"/>
        </w:rPr>
        <w:t xml:space="preserve"> </w:t>
      </w:r>
      <w:r>
        <w:t>some</w:t>
      </w:r>
      <w:r>
        <w:rPr>
          <w:spacing w:val="-9"/>
        </w:rPr>
        <w:t xml:space="preserve"> </w:t>
      </w:r>
      <w:r>
        <w:t>instances</w:t>
      </w:r>
      <w:r>
        <w:rPr>
          <w:spacing w:val="-10"/>
        </w:rPr>
        <w:t xml:space="preserve"> </w:t>
      </w:r>
      <w:r>
        <w:t>of</w:t>
      </w:r>
      <w:r>
        <w:rPr>
          <w:spacing w:val="-9"/>
        </w:rPr>
        <w:t xml:space="preserve"> </w:t>
      </w:r>
      <w:r>
        <w:t>tangible</w:t>
      </w:r>
      <w:r>
        <w:rPr>
          <w:spacing w:val="-9"/>
        </w:rPr>
        <w:t xml:space="preserve"> </w:t>
      </w:r>
      <w:r>
        <w:t>program</w:t>
      </w:r>
      <w:r>
        <w:rPr>
          <w:spacing w:val="-8"/>
        </w:rPr>
        <w:t xml:space="preserve"> </w:t>
      </w:r>
      <w:r>
        <w:t>improvements</w:t>
      </w:r>
      <w:r>
        <w:rPr>
          <w:spacing w:val="-10"/>
        </w:rPr>
        <w:t xml:space="preserve"> </w:t>
      </w:r>
      <w:r>
        <w:t>in</w:t>
      </w:r>
      <w:r>
        <w:rPr>
          <w:spacing w:val="-8"/>
        </w:rPr>
        <w:t xml:space="preserve"> </w:t>
      </w:r>
      <w:r>
        <w:t>the</w:t>
      </w:r>
      <w:r>
        <w:rPr>
          <w:spacing w:val="-9"/>
        </w:rPr>
        <w:t xml:space="preserve"> </w:t>
      </w:r>
      <w:r>
        <w:t>case</w:t>
      </w:r>
      <w:r>
        <w:rPr>
          <w:spacing w:val="-9"/>
        </w:rPr>
        <w:t xml:space="preserve"> </w:t>
      </w:r>
      <w:r>
        <w:t>of</w:t>
      </w:r>
      <w:r>
        <w:rPr>
          <w:spacing w:val="-9"/>
        </w:rPr>
        <w:t xml:space="preserve"> </w:t>
      </w:r>
      <w:r>
        <w:t>OTSUS in Papua (see Annex 2). Assessing the extent to which PFM regulatory improvements and capacity support are improving basic service provision is complicated by frequent national policy changes and limitations</w:t>
      </w:r>
      <w:r>
        <w:rPr>
          <w:spacing w:val="-9"/>
        </w:rPr>
        <w:t xml:space="preserve"> </w:t>
      </w:r>
      <w:r>
        <w:t>in</w:t>
      </w:r>
      <w:r>
        <w:rPr>
          <w:spacing w:val="-9"/>
        </w:rPr>
        <w:t xml:space="preserve"> </w:t>
      </w:r>
      <w:r>
        <w:t>the</w:t>
      </w:r>
      <w:r>
        <w:rPr>
          <w:spacing w:val="-8"/>
        </w:rPr>
        <w:t xml:space="preserve"> </w:t>
      </w:r>
      <w:r>
        <w:t>ability</w:t>
      </w:r>
      <w:r>
        <w:rPr>
          <w:spacing w:val="-9"/>
        </w:rPr>
        <w:t xml:space="preserve"> </w:t>
      </w:r>
      <w:r>
        <w:t>of</w:t>
      </w:r>
      <w:r>
        <w:rPr>
          <w:spacing w:val="-11"/>
        </w:rPr>
        <w:t xml:space="preserve"> </w:t>
      </w:r>
      <w:r>
        <w:t>national</w:t>
      </w:r>
      <w:r>
        <w:rPr>
          <w:spacing w:val="-8"/>
        </w:rPr>
        <w:t xml:space="preserve"> </w:t>
      </w:r>
      <w:r>
        <w:t>and</w:t>
      </w:r>
      <w:r>
        <w:rPr>
          <w:spacing w:val="-9"/>
        </w:rPr>
        <w:t xml:space="preserve"> </w:t>
      </w:r>
      <w:r>
        <w:t>subnational</w:t>
      </w:r>
      <w:r>
        <w:rPr>
          <w:spacing w:val="-8"/>
        </w:rPr>
        <w:t xml:space="preserve"> </w:t>
      </w:r>
      <w:r>
        <w:t>budget</w:t>
      </w:r>
      <w:r>
        <w:rPr>
          <w:spacing w:val="-8"/>
        </w:rPr>
        <w:t xml:space="preserve"> </w:t>
      </w:r>
      <w:r>
        <w:t>monitoring</w:t>
      </w:r>
      <w:r>
        <w:rPr>
          <w:spacing w:val="-10"/>
        </w:rPr>
        <w:t xml:space="preserve"> </w:t>
      </w:r>
      <w:r>
        <w:t>systems</w:t>
      </w:r>
      <w:r>
        <w:rPr>
          <w:spacing w:val="-7"/>
        </w:rPr>
        <w:t xml:space="preserve"> </w:t>
      </w:r>
      <w:r>
        <w:t>to</w:t>
      </w:r>
      <w:r>
        <w:rPr>
          <w:spacing w:val="-10"/>
        </w:rPr>
        <w:t xml:space="preserve"> </w:t>
      </w:r>
      <w:r>
        <w:t>track</w:t>
      </w:r>
      <w:r>
        <w:rPr>
          <w:spacing w:val="-9"/>
        </w:rPr>
        <w:t xml:space="preserve"> </w:t>
      </w:r>
      <w:r>
        <w:t>MSS</w:t>
      </w:r>
      <w:r>
        <w:rPr>
          <w:spacing w:val="-9"/>
        </w:rPr>
        <w:t xml:space="preserve"> </w:t>
      </w:r>
      <w:r>
        <w:t>allocations and use of transfers for basic services. Capacity constraints in new Papuan Provinces, coupled with complex national oversight systems, continue to hamper the management of OTSUS funds for MSS. These factors have made it difficult to assess the extent to which SKALA provinces are complying with the national guidance on fiscal transfer use. SKALA continues to play an important brokerage role between the levels of government, highlighting these issues through annual policy development and review processes.</w:t>
      </w:r>
    </w:p>
    <w:p w14:paraId="5D1C61F3" w14:textId="77777777" w:rsidR="00BC24A8" w:rsidRDefault="00000000">
      <w:pPr>
        <w:pStyle w:val="BodyText"/>
        <w:spacing w:before="154" w:line="278" w:lineRule="auto"/>
        <w:ind w:left="143" w:right="280"/>
        <w:jc w:val="both"/>
      </w:pPr>
      <w:r>
        <w:t>To align planning and budgeting with national guidance for inclusive service delivery, SKALA provides support to partner provinces through annual planning and budgeting cycles. This semester, SKALA provided technical support through major changes in national fiscal policy, ensuring that partner provinces were able to maintain alignment with national budgeting guidance.</w:t>
      </w:r>
    </w:p>
    <w:p w14:paraId="24E6859D" w14:textId="77777777" w:rsidR="00BC24A8" w:rsidRDefault="00000000">
      <w:pPr>
        <w:pStyle w:val="BodyText"/>
        <w:spacing w:before="158" w:line="278" w:lineRule="auto"/>
        <w:ind w:left="143" w:right="278"/>
        <w:jc w:val="both"/>
      </w:pPr>
      <w:r>
        <w:t>The</w:t>
      </w:r>
      <w:r>
        <w:rPr>
          <w:spacing w:val="-5"/>
        </w:rPr>
        <w:t xml:space="preserve"> </w:t>
      </w:r>
      <w:r>
        <w:t>program</w:t>
      </w:r>
      <w:r>
        <w:rPr>
          <w:spacing w:val="-3"/>
        </w:rPr>
        <w:t xml:space="preserve"> </w:t>
      </w:r>
      <w:r>
        <w:t>has</w:t>
      </w:r>
      <w:r>
        <w:rPr>
          <w:spacing w:val="-3"/>
        </w:rPr>
        <w:t xml:space="preserve"> </w:t>
      </w:r>
      <w:r>
        <w:t>also</w:t>
      </w:r>
      <w:r>
        <w:rPr>
          <w:spacing w:val="-4"/>
        </w:rPr>
        <w:t xml:space="preserve"> </w:t>
      </w:r>
      <w:r>
        <w:t>focused</w:t>
      </w:r>
      <w:r>
        <w:rPr>
          <w:spacing w:val="-3"/>
        </w:rPr>
        <w:t xml:space="preserve"> </w:t>
      </w:r>
      <w:r>
        <w:t>on</w:t>
      </w:r>
      <w:r>
        <w:rPr>
          <w:spacing w:val="-3"/>
        </w:rPr>
        <w:t xml:space="preserve"> </w:t>
      </w:r>
      <w:r>
        <w:t>supporting</w:t>
      </w:r>
      <w:r>
        <w:rPr>
          <w:spacing w:val="-4"/>
        </w:rPr>
        <w:t xml:space="preserve"> </w:t>
      </w:r>
      <w:r>
        <w:t>partner</w:t>
      </w:r>
      <w:r>
        <w:rPr>
          <w:spacing w:val="-3"/>
        </w:rPr>
        <w:t xml:space="preserve"> </w:t>
      </w:r>
      <w:r>
        <w:t>provinces</w:t>
      </w:r>
      <w:r>
        <w:rPr>
          <w:spacing w:val="-3"/>
        </w:rPr>
        <w:t xml:space="preserve"> </w:t>
      </w:r>
      <w:r>
        <w:t>to</w:t>
      </w:r>
      <w:r>
        <w:rPr>
          <w:spacing w:val="-4"/>
        </w:rPr>
        <w:t xml:space="preserve"> </w:t>
      </w:r>
      <w:r>
        <w:t>develop</w:t>
      </w:r>
      <w:r>
        <w:rPr>
          <w:spacing w:val="-5"/>
        </w:rPr>
        <w:t xml:space="preserve"> </w:t>
      </w:r>
      <w:r>
        <w:t>MSS</w:t>
      </w:r>
      <w:r>
        <w:rPr>
          <w:spacing w:val="-5"/>
        </w:rPr>
        <w:t xml:space="preserve"> </w:t>
      </w:r>
      <w:r>
        <w:t>Action</w:t>
      </w:r>
      <w:r>
        <w:rPr>
          <w:spacing w:val="-3"/>
        </w:rPr>
        <w:t xml:space="preserve"> </w:t>
      </w:r>
      <w:r>
        <w:t>Plans,</w:t>
      </w:r>
      <w:r>
        <w:rPr>
          <w:spacing w:val="-3"/>
        </w:rPr>
        <w:t xml:space="preserve"> </w:t>
      </w:r>
      <w:r>
        <w:t>which</w:t>
      </w:r>
      <w:r>
        <w:rPr>
          <w:spacing w:val="-3"/>
        </w:rPr>
        <w:t xml:space="preserve"> </w:t>
      </w:r>
      <w:r>
        <w:t>link national guidance with subnational service implementation. This is a key policy vehicle to improve provision of MSS. The program is working towards Phase 1 targets of costed, evidence-based action plans in partner provinces and effective oversight of its implementation at the district and city levels</w:t>
      </w:r>
      <w:hyperlink w:anchor="_bookmark27" w:history="1">
        <w:r w:rsidR="00BC24A8">
          <w:rPr>
            <w:vertAlign w:val="superscript"/>
          </w:rPr>
          <w:t>7</w:t>
        </w:r>
      </w:hyperlink>
      <w:r>
        <w:t>. As of June 2025, 5 of 10</w:t>
      </w:r>
      <w:hyperlink w:anchor="_bookmark28" w:history="1">
        <w:r w:rsidR="00BC24A8">
          <w:rPr>
            <w:vertAlign w:val="superscript"/>
          </w:rPr>
          <w:t>8</w:t>
        </w:r>
      </w:hyperlink>
      <w:r>
        <w:t xml:space="preserve"> SKALA partner provinces have MSS action plans, and 3 have been able to provide oversight to their districts/municipalities</w:t>
      </w:r>
      <w:hyperlink w:anchor="_bookmark29" w:history="1">
        <w:r w:rsidR="00BC24A8">
          <w:rPr>
            <w:vertAlign w:val="superscript"/>
          </w:rPr>
          <w:t>9</w:t>
        </w:r>
      </w:hyperlink>
      <w:r>
        <w:t>. This semester, SKALA supported MSS capacity building at 326 provincial government offices on different elements of MSS planning and implementation. With SKALA support, Aceh, Kaltara, NTB, and Maluku were able to improve how the costs of MSS are calculated to more accurately budget for their provision in 2026.</w:t>
      </w:r>
    </w:p>
    <w:p w14:paraId="3AA0A5D0" w14:textId="77777777" w:rsidR="00BC24A8" w:rsidRDefault="00000000">
      <w:pPr>
        <w:pStyle w:val="BodyText"/>
        <w:spacing w:before="158" w:line="278" w:lineRule="auto"/>
        <w:ind w:left="143" w:right="279"/>
        <w:jc w:val="both"/>
      </w:pPr>
      <w:r>
        <w:t>The quality of data currently used in these action plans varies, and consequently, confidence in using these</w:t>
      </w:r>
      <w:r>
        <w:rPr>
          <w:spacing w:val="-9"/>
        </w:rPr>
        <w:t xml:space="preserve"> </w:t>
      </w:r>
      <w:r>
        <w:t>plans</w:t>
      </w:r>
      <w:r>
        <w:rPr>
          <w:spacing w:val="-7"/>
        </w:rPr>
        <w:t xml:space="preserve"> </w:t>
      </w:r>
      <w:r>
        <w:t>to</w:t>
      </w:r>
      <w:r>
        <w:rPr>
          <w:spacing w:val="-10"/>
        </w:rPr>
        <w:t xml:space="preserve"> </w:t>
      </w:r>
      <w:r>
        <w:t>influence</w:t>
      </w:r>
      <w:r>
        <w:rPr>
          <w:spacing w:val="-11"/>
        </w:rPr>
        <w:t xml:space="preserve"> </w:t>
      </w:r>
      <w:r>
        <w:t>program</w:t>
      </w:r>
      <w:r>
        <w:rPr>
          <w:spacing w:val="-9"/>
        </w:rPr>
        <w:t xml:space="preserve"> </w:t>
      </w:r>
      <w:r>
        <w:t>decisions</w:t>
      </w:r>
      <w:r>
        <w:rPr>
          <w:spacing w:val="-7"/>
        </w:rPr>
        <w:t xml:space="preserve"> </w:t>
      </w:r>
      <w:r>
        <w:t>in</w:t>
      </w:r>
      <w:r>
        <w:rPr>
          <w:spacing w:val="-9"/>
        </w:rPr>
        <w:t xml:space="preserve"> </w:t>
      </w:r>
      <w:r>
        <w:t>provincial</w:t>
      </w:r>
      <w:r>
        <w:rPr>
          <w:spacing w:val="-9"/>
        </w:rPr>
        <w:t xml:space="preserve"> </w:t>
      </w:r>
      <w:r>
        <w:t>development</w:t>
      </w:r>
      <w:r>
        <w:rPr>
          <w:spacing w:val="-10"/>
        </w:rPr>
        <w:t xml:space="preserve"> </w:t>
      </w:r>
      <w:r>
        <w:t>plans</w:t>
      </w:r>
      <w:r>
        <w:rPr>
          <w:spacing w:val="-7"/>
        </w:rPr>
        <w:t xml:space="preserve"> </w:t>
      </w:r>
      <w:r>
        <w:t>and</w:t>
      </w:r>
      <w:r>
        <w:rPr>
          <w:spacing w:val="-9"/>
        </w:rPr>
        <w:t xml:space="preserve"> </w:t>
      </w:r>
      <w:r>
        <w:t>budgets</w:t>
      </w:r>
      <w:r>
        <w:rPr>
          <w:spacing w:val="-7"/>
        </w:rPr>
        <w:t xml:space="preserve"> </w:t>
      </w:r>
      <w:r>
        <w:t>is</w:t>
      </w:r>
      <w:r>
        <w:rPr>
          <w:spacing w:val="-7"/>
        </w:rPr>
        <w:t xml:space="preserve"> </w:t>
      </w:r>
      <w:r>
        <w:t>low.</w:t>
      </w:r>
      <w:r>
        <w:rPr>
          <w:spacing w:val="-9"/>
        </w:rPr>
        <w:t xml:space="preserve"> </w:t>
      </w:r>
      <w:r>
        <w:t>The</w:t>
      </w:r>
      <w:r>
        <w:rPr>
          <w:spacing w:val="-9"/>
        </w:rPr>
        <w:t xml:space="preserve"> </w:t>
      </w:r>
      <w:r>
        <w:t>lack of clear monitoring and evaluation guidelines also continues to hamper efforts to assess MSS delivery and outcomes. Going forward, MSS implementation will also be affected by INPRES 1/2025 on budget efficiency, which required across-the-board budget cuts, including in all six MSS leading sectors. While SKALA is on track to contribute to delivering the planning documents governing MSS implementation, further</w:t>
      </w:r>
      <w:r>
        <w:rPr>
          <w:spacing w:val="-8"/>
        </w:rPr>
        <w:t xml:space="preserve"> </w:t>
      </w:r>
      <w:r>
        <w:t>work</w:t>
      </w:r>
      <w:r>
        <w:rPr>
          <w:spacing w:val="-10"/>
        </w:rPr>
        <w:t xml:space="preserve"> </w:t>
      </w:r>
      <w:r>
        <w:t>is</w:t>
      </w:r>
      <w:r>
        <w:rPr>
          <w:spacing w:val="-10"/>
        </w:rPr>
        <w:t xml:space="preserve"> </w:t>
      </w:r>
      <w:r>
        <w:t>required</w:t>
      </w:r>
      <w:r>
        <w:rPr>
          <w:spacing w:val="-8"/>
        </w:rPr>
        <w:t xml:space="preserve"> </w:t>
      </w:r>
      <w:r>
        <w:t>on</w:t>
      </w:r>
      <w:r>
        <w:rPr>
          <w:spacing w:val="-10"/>
        </w:rPr>
        <w:t xml:space="preserve"> </w:t>
      </w:r>
      <w:r>
        <w:t>the</w:t>
      </w:r>
      <w:r>
        <w:rPr>
          <w:spacing w:val="-10"/>
        </w:rPr>
        <w:t xml:space="preserve"> </w:t>
      </w:r>
      <w:r>
        <w:t>systems</w:t>
      </w:r>
      <w:r>
        <w:rPr>
          <w:spacing w:val="-10"/>
        </w:rPr>
        <w:t xml:space="preserve"> </w:t>
      </w:r>
      <w:r>
        <w:t>needed</w:t>
      </w:r>
      <w:r>
        <w:rPr>
          <w:spacing w:val="-8"/>
        </w:rPr>
        <w:t xml:space="preserve"> </w:t>
      </w:r>
      <w:r>
        <w:t>to</w:t>
      </w:r>
      <w:r>
        <w:rPr>
          <w:spacing w:val="-11"/>
        </w:rPr>
        <w:t xml:space="preserve"> </w:t>
      </w:r>
      <w:r>
        <w:t>ensure</w:t>
      </w:r>
      <w:r>
        <w:rPr>
          <w:spacing w:val="-10"/>
        </w:rPr>
        <w:t xml:space="preserve"> </w:t>
      </w:r>
      <w:r>
        <w:t>the</w:t>
      </w:r>
      <w:r>
        <w:rPr>
          <w:spacing w:val="-10"/>
        </w:rPr>
        <w:t xml:space="preserve"> </w:t>
      </w:r>
      <w:r>
        <w:t>quality</w:t>
      </w:r>
      <w:r>
        <w:rPr>
          <w:spacing w:val="-10"/>
        </w:rPr>
        <w:t xml:space="preserve"> </w:t>
      </w:r>
      <w:r>
        <w:t>of</w:t>
      </w:r>
      <w:r>
        <w:rPr>
          <w:spacing w:val="-10"/>
        </w:rPr>
        <w:t xml:space="preserve"> </w:t>
      </w:r>
      <w:r>
        <w:t>these</w:t>
      </w:r>
      <w:r>
        <w:rPr>
          <w:spacing w:val="-10"/>
        </w:rPr>
        <w:t xml:space="preserve"> </w:t>
      </w:r>
      <w:r>
        <w:t>plans</w:t>
      </w:r>
      <w:r>
        <w:rPr>
          <w:spacing w:val="-10"/>
        </w:rPr>
        <w:t xml:space="preserve"> </w:t>
      </w:r>
      <w:r>
        <w:t>and</w:t>
      </w:r>
      <w:r>
        <w:rPr>
          <w:spacing w:val="-11"/>
        </w:rPr>
        <w:t xml:space="preserve"> </w:t>
      </w:r>
      <w:r>
        <w:t>to</w:t>
      </w:r>
      <w:r>
        <w:rPr>
          <w:spacing w:val="-11"/>
        </w:rPr>
        <w:t xml:space="preserve"> </w:t>
      </w:r>
      <w:r>
        <w:t>meaningfully use these to incentivise improved service delivery.</w:t>
      </w:r>
    </w:p>
    <w:p w14:paraId="4005E4DE" w14:textId="77777777" w:rsidR="00BC24A8" w:rsidRDefault="00BC24A8">
      <w:pPr>
        <w:pStyle w:val="BodyText"/>
        <w:rPr>
          <w:sz w:val="20"/>
        </w:rPr>
      </w:pPr>
    </w:p>
    <w:p w14:paraId="3D29FD5A" w14:textId="77777777" w:rsidR="00BC24A8" w:rsidRDefault="00BC24A8">
      <w:pPr>
        <w:pStyle w:val="BodyText"/>
        <w:rPr>
          <w:sz w:val="20"/>
        </w:rPr>
      </w:pPr>
    </w:p>
    <w:p w14:paraId="0EE94455" w14:textId="77777777" w:rsidR="00BC24A8" w:rsidRDefault="00000000">
      <w:pPr>
        <w:pStyle w:val="BodyText"/>
        <w:spacing w:before="59"/>
        <w:rPr>
          <w:sz w:val="20"/>
        </w:rPr>
      </w:pPr>
      <w:r>
        <w:rPr>
          <w:noProof/>
          <w:sz w:val="20"/>
        </w:rPr>
        <mc:AlternateContent>
          <mc:Choice Requires="wps">
            <w:drawing>
              <wp:anchor distT="0" distB="0" distL="0" distR="0" simplePos="0" relativeHeight="487590912" behindDoc="1" locked="0" layoutInCell="1" allowOverlap="1" wp14:anchorId="61790A7A" wp14:editId="3D18E72E">
                <wp:simplePos x="0" y="0"/>
                <wp:positionH relativeFrom="page">
                  <wp:posOffset>900683</wp:posOffset>
                </wp:positionH>
                <wp:positionV relativeFrom="paragraph">
                  <wp:posOffset>208006</wp:posOffset>
                </wp:positionV>
                <wp:extent cx="1828800" cy="9525"/>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42E2E0" id="Graphic 23" o:spid="_x0000_s1026" alt="&quot;&quot;" style="position:absolute;margin-left:70.9pt;margin-top:16.4pt;width:2in;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" path="m1828800,l,,,9143r1828800,l1828800,xe" fillcolor="black" stroked="f">
                <v:path arrowok="t"/>
                <w10:wrap type="topAndBottom" anchorx="page"/>
              </v:shape>
            </w:pict>
          </mc:Fallback>
        </mc:AlternateContent>
      </w:r>
    </w:p>
    <w:p w14:paraId="25EF342B" w14:textId="77777777" w:rsidR="00BC24A8" w:rsidRDefault="00BC24A8">
      <w:pPr>
        <w:pStyle w:val="BodyText"/>
        <w:spacing w:before="105"/>
        <w:rPr>
          <w:sz w:val="16"/>
        </w:rPr>
      </w:pPr>
    </w:p>
    <w:p w14:paraId="64B10D71" w14:textId="77777777" w:rsidR="00BC24A8" w:rsidRDefault="00000000">
      <w:pPr>
        <w:spacing w:before="1"/>
        <w:ind w:left="143" w:right="393"/>
        <w:rPr>
          <w:sz w:val="16"/>
        </w:rPr>
      </w:pPr>
      <w:bookmarkStart w:id="45" w:name="_bookmark26"/>
      <w:bookmarkEnd w:id="45"/>
      <w:r>
        <w:rPr>
          <w:color w:val="767070"/>
          <w:sz w:val="16"/>
          <w:vertAlign w:val="superscript"/>
        </w:rPr>
        <w:t>6</w:t>
      </w:r>
      <w:r>
        <w:rPr>
          <w:color w:val="767070"/>
          <w:sz w:val="16"/>
        </w:rPr>
        <w:t xml:space="preserve"> SKALA has supported efforts to strengthen the capacity of the provincial government/local government, especially in the management of</w:t>
      </w:r>
      <w:r>
        <w:rPr>
          <w:color w:val="767070"/>
          <w:spacing w:val="40"/>
          <w:sz w:val="16"/>
        </w:rPr>
        <w:t xml:space="preserve"> </w:t>
      </w:r>
      <w:r>
        <w:rPr>
          <w:color w:val="767070"/>
          <w:sz w:val="16"/>
        </w:rPr>
        <w:t>Special</w:t>
      </w:r>
      <w:r>
        <w:rPr>
          <w:color w:val="767070"/>
          <w:spacing w:val="-1"/>
          <w:sz w:val="16"/>
        </w:rPr>
        <w:t xml:space="preserve"> </w:t>
      </w:r>
      <w:r>
        <w:rPr>
          <w:color w:val="767070"/>
          <w:sz w:val="16"/>
        </w:rPr>
        <w:t>Autonomy</w:t>
      </w:r>
      <w:r>
        <w:rPr>
          <w:color w:val="767070"/>
          <w:spacing w:val="-1"/>
          <w:sz w:val="16"/>
        </w:rPr>
        <w:t xml:space="preserve"> </w:t>
      </w:r>
      <w:r>
        <w:rPr>
          <w:color w:val="767070"/>
          <w:sz w:val="16"/>
        </w:rPr>
        <w:t>funds</w:t>
      </w:r>
      <w:r>
        <w:rPr>
          <w:color w:val="767070"/>
          <w:spacing w:val="-1"/>
          <w:sz w:val="16"/>
        </w:rPr>
        <w:t xml:space="preserve"> </w:t>
      </w:r>
      <w:r>
        <w:rPr>
          <w:color w:val="767070"/>
          <w:sz w:val="16"/>
        </w:rPr>
        <w:t>(±236</w:t>
      </w:r>
      <w:r>
        <w:rPr>
          <w:color w:val="767070"/>
          <w:spacing w:val="-2"/>
          <w:sz w:val="16"/>
        </w:rPr>
        <w:t xml:space="preserve"> </w:t>
      </w:r>
      <w:r>
        <w:rPr>
          <w:color w:val="767070"/>
          <w:sz w:val="16"/>
        </w:rPr>
        <w:t>"person</w:t>
      </w:r>
      <w:r>
        <w:rPr>
          <w:color w:val="767070"/>
          <w:spacing w:val="-1"/>
          <w:sz w:val="16"/>
        </w:rPr>
        <w:t xml:space="preserve"> </w:t>
      </w:r>
      <w:r>
        <w:rPr>
          <w:color w:val="767070"/>
          <w:sz w:val="16"/>
        </w:rPr>
        <w:t>time"</w:t>
      </w:r>
      <w:r>
        <w:rPr>
          <w:color w:val="767070"/>
          <w:spacing w:val="-3"/>
          <w:sz w:val="16"/>
        </w:rPr>
        <w:t xml:space="preserve"> </w:t>
      </w:r>
      <w:r>
        <w:rPr>
          <w:color w:val="767070"/>
          <w:sz w:val="16"/>
        </w:rPr>
        <w:t>in</w:t>
      </w:r>
      <w:r>
        <w:rPr>
          <w:color w:val="767070"/>
          <w:spacing w:val="-1"/>
          <w:sz w:val="16"/>
        </w:rPr>
        <w:t xml:space="preserve"> </w:t>
      </w:r>
      <w:r>
        <w:rPr>
          <w:color w:val="767070"/>
          <w:sz w:val="16"/>
        </w:rPr>
        <w:t>Aceh</w:t>
      </w:r>
      <w:r>
        <w:rPr>
          <w:color w:val="767070"/>
          <w:spacing w:val="-4"/>
          <w:sz w:val="16"/>
        </w:rPr>
        <w:t xml:space="preserve"> </w:t>
      </w:r>
      <w:r>
        <w:rPr>
          <w:color w:val="767070"/>
          <w:sz w:val="16"/>
        </w:rPr>
        <w:t>and</w:t>
      </w:r>
      <w:r>
        <w:rPr>
          <w:color w:val="767070"/>
          <w:spacing w:val="-1"/>
          <w:sz w:val="16"/>
        </w:rPr>
        <w:t xml:space="preserve"> </w:t>
      </w:r>
      <w:r>
        <w:rPr>
          <w:color w:val="767070"/>
          <w:sz w:val="16"/>
        </w:rPr>
        <w:t>±652</w:t>
      </w:r>
      <w:r>
        <w:rPr>
          <w:color w:val="767070"/>
          <w:spacing w:val="-2"/>
          <w:sz w:val="16"/>
        </w:rPr>
        <w:t xml:space="preserve"> </w:t>
      </w:r>
      <w:r>
        <w:rPr>
          <w:color w:val="767070"/>
          <w:sz w:val="16"/>
        </w:rPr>
        <w:t>"person</w:t>
      </w:r>
      <w:r>
        <w:rPr>
          <w:color w:val="767070"/>
          <w:spacing w:val="-1"/>
          <w:sz w:val="16"/>
        </w:rPr>
        <w:t xml:space="preserve"> </w:t>
      </w:r>
      <w:r>
        <w:rPr>
          <w:color w:val="767070"/>
          <w:sz w:val="16"/>
        </w:rPr>
        <w:t>time"</w:t>
      </w:r>
      <w:r>
        <w:rPr>
          <w:color w:val="767070"/>
          <w:spacing w:val="-3"/>
          <w:sz w:val="16"/>
        </w:rPr>
        <w:t xml:space="preserve"> </w:t>
      </w:r>
      <w:r>
        <w:rPr>
          <w:color w:val="767070"/>
          <w:sz w:val="16"/>
        </w:rPr>
        <w:t>in</w:t>
      </w:r>
      <w:r>
        <w:rPr>
          <w:color w:val="767070"/>
          <w:spacing w:val="-1"/>
          <w:sz w:val="16"/>
        </w:rPr>
        <w:t xml:space="preserve"> </w:t>
      </w:r>
      <w:r>
        <w:rPr>
          <w:color w:val="767070"/>
          <w:sz w:val="16"/>
        </w:rPr>
        <w:t>the</w:t>
      </w:r>
      <w:r>
        <w:rPr>
          <w:color w:val="767070"/>
          <w:spacing w:val="-2"/>
          <w:sz w:val="16"/>
        </w:rPr>
        <w:t xml:space="preserve"> </w:t>
      </w:r>
      <w:r>
        <w:rPr>
          <w:color w:val="767070"/>
          <w:sz w:val="16"/>
        </w:rPr>
        <w:t>Land</w:t>
      </w:r>
      <w:r>
        <w:rPr>
          <w:color w:val="767070"/>
          <w:spacing w:val="-1"/>
          <w:sz w:val="16"/>
        </w:rPr>
        <w:t xml:space="preserve"> </w:t>
      </w:r>
      <w:r>
        <w:rPr>
          <w:color w:val="767070"/>
          <w:sz w:val="16"/>
        </w:rPr>
        <w:t>of</w:t>
      </w:r>
      <w:r>
        <w:rPr>
          <w:color w:val="767070"/>
          <w:spacing w:val="-4"/>
          <w:sz w:val="16"/>
        </w:rPr>
        <w:t xml:space="preserve"> </w:t>
      </w:r>
      <w:r>
        <w:rPr>
          <w:color w:val="767070"/>
          <w:sz w:val="16"/>
        </w:rPr>
        <w:t>Papua),</w:t>
      </w:r>
      <w:r>
        <w:rPr>
          <w:color w:val="767070"/>
          <w:spacing w:val="-3"/>
          <w:sz w:val="16"/>
        </w:rPr>
        <w:t xml:space="preserve"> </w:t>
      </w:r>
      <w:r>
        <w:rPr>
          <w:color w:val="767070"/>
          <w:sz w:val="16"/>
        </w:rPr>
        <w:t>the</w:t>
      </w:r>
      <w:r>
        <w:rPr>
          <w:color w:val="767070"/>
          <w:spacing w:val="-2"/>
          <w:sz w:val="16"/>
        </w:rPr>
        <w:t xml:space="preserve"> </w:t>
      </w:r>
      <w:r>
        <w:rPr>
          <w:color w:val="767070"/>
          <w:sz w:val="16"/>
        </w:rPr>
        <w:t>preparation</w:t>
      </w:r>
      <w:r>
        <w:rPr>
          <w:color w:val="767070"/>
          <w:spacing w:val="-1"/>
          <w:sz w:val="16"/>
        </w:rPr>
        <w:t xml:space="preserve"> </w:t>
      </w:r>
      <w:r>
        <w:rPr>
          <w:color w:val="767070"/>
          <w:sz w:val="16"/>
        </w:rPr>
        <w:t>of</w:t>
      </w:r>
      <w:r>
        <w:rPr>
          <w:color w:val="767070"/>
          <w:spacing w:val="-2"/>
          <w:sz w:val="16"/>
        </w:rPr>
        <w:t xml:space="preserve"> </w:t>
      </w:r>
      <w:r>
        <w:rPr>
          <w:color w:val="767070"/>
          <w:sz w:val="16"/>
        </w:rPr>
        <w:t>the</w:t>
      </w:r>
      <w:r>
        <w:rPr>
          <w:color w:val="767070"/>
          <w:spacing w:val="-4"/>
          <w:sz w:val="16"/>
        </w:rPr>
        <w:t xml:space="preserve"> </w:t>
      </w:r>
      <w:r>
        <w:rPr>
          <w:color w:val="767070"/>
          <w:sz w:val="16"/>
        </w:rPr>
        <w:t>DBH</w:t>
      </w:r>
      <w:r>
        <w:rPr>
          <w:color w:val="767070"/>
          <w:spacing w:val="-3"/>
          <w:sz w:val="16"/>
        </w:rPr>
        <w:t xml:space="preserve"> </w:t>
      </w:r>
      <w:r>
        <w:rPr>
          <w:color w:val="767070"/>
          <w:sz w:val="16"/>
        </w:rPr>
        <w:t>RKP</w:t>
      </w:r>
      <w:r>
        <w:rPr>
          <w:color w:val="767070"/>
          <w:spacing w:val="-2"/>
          <w:sz w:val="16"/>
        </w:rPr>
        <w:t xml:space="preserve"> </w:t>
      </w:r>
      <w:r>
        <w:rPr>
          <w:color w:val="767070"/>
          <w:sz w:val="16"/>
        </w:rPr>
        <w:t>by</w:t>
      </w:r>
      <w:r>
        <w:rPr>
          <w:color w:val="767070"/>
          <w:spacing w:val="-1"/>
          <w:sz w:val="16"/>
        </w:rPr>
        <w:t xml:space="preserve"> </w:t>
      </w:r>
      <w:r>
        <w:rPr>
          <w:color w:val="767070"/>
          <w:sz w:val="16"/>
        </w:rPr>
        <w:t>177</w:t>
      </w:r>
      <w:r>
        <w:rPr>
          <w:color w:val="767070"/>
          <w:spacing w:val="40"/>
          <w:sz w:val="16"/>
        </w:rPr>
        <w:t xml:space="preserve"> </w:t>
      </w:r>
      <w:r>
        <w:rPr>
          <w:color w:val="767070"/>
          <w:sz w:val="16"/>
        </w:rPr>
        <w:t>civil servants in 4 provinces, the preparation of 40 DAD investment managers, including an online interactive session "better with DJPK" to</w:t>
      </w:r>
      <w:r>
        <w:rPr>
          <w:color w:val="767070"/>
          <w:spacing w:val="40"/>
          <w:sz w:val="16"/>
        </w:rPr>
        <w:t xml:space="preserve"> </w:t>
      </w:r>
      <w:r>
        <w:rPr>
          <w:color w:val="767070"/>
          <w:sz w:val="16"/>
        </w:rPr>
        <w:t>communicate</w:t>
      </w:r>
      <w:r>
        <w:rPr>
          <w:color w:val="767070"/>
          <w:spacing w:val="-3"/>
          <w:sz w:val="16"/>
        </w:rPr>
        <w:t xml:space="preserve"> </w:t>
      </w:r>
      <w:r>
        <w:rPr>
          <w:color w:val="767070"/>
          <w:sz w:val="16"/>
        </w:rPr>
        <w:t>policies</w:t>
      </w:r>
      <w:r>
        <w:rPr>
          <w:color w:val="767070"/>
          <w:spacing w:val="-2"/>
          <w:sz w:val="16"/>
        </w:rPr>
        <w:t xml:space="preserve"> </w:t>
      </w:r>
      <w:r>
        <w:rPr>
          <w:color w:val="767070"/>
          <w:sz w:val="16"/>
        </w:rPr>
        <w:t>to</w:t>
      </w:r>
      <w:r>
        <w:rPr>
          <w:color w:val="767070"/>
          <w:spacing w:val="-2"/>
          <w:sz w:val="16"/>
        </w:rPr>
        <w:t xml:space="preserve"> </w:t>
      </w:r>
      <w:r>
        <w:rPr>
          <w:color w:val="767070"/>
          <w:sz w:val="16"/>
        </w:rPr>
        <w:t>the</w:t>
      </w:r>
      <w:r>
        <w:rPr>
          <w:color w:val="767070"/>
          <w:spacing w:val="-3"/>
          <w:sz w:val="16"/>
        </w:rPr>
        <w:t xml:space="preserve"> </w:t>
      </w:r>
      <w:r>
        <w:rPr>
          <w:color w:val="767070"/>
          <w:sz w:val="16"/>
        </w:rPr>
        <w:t>regions</w:t>
      </w:r>
      <w:r>
        <w:rPr>
          <w:color w:val="767070"/>
          <w:spacing w:val="-2"/>
          <w:sz w:val="16"/>
        </w:rPr>
        <w:t xml:space="preserve"> </w:t>
      </w:r>
      <w:r>
        <w:rPr>
          <w:color w:val="767070"/>
          <w:sz w:val="16"/>
        </w:rPr>
        <w:t>has</w:t>
      </w:r>
      <w:r>
        <w:rPr>
          <w:color w:val="767070"/>
          <w:spacing w:val="-2"/>
          <w:sz w:val="16"/>
        </w:rPr>
        <w:t xml:space="preserve"> </w:t>
      </w:r>
      <w:r>
        <w:rPr>
          <w:color w:val="767070"/>
          <w:sz w:val="16"/>
        </w:rPr>
        <w:t>reached</w:t>
      </w:r>
      <w:r>
        <w:rPr>
          <w:color w:val="767070"/>
          <w:spacing w:val="-2"/>
          <w:sz w:val="16"/>
        </w:rPr>
        <w:t xml:space="preserve"> </w:t>
      </w:r>
      <w:r>
        <w:rPr>
          <w:color w:val="767070"/>
          <w:sz w:val="16"/>
        </w:rPr>
        <w:t>60,000</w:t>
      </w:r>
      <w:r>
        <w:rPr>
          <w:color w:val="767070"/>
          <w:spacing w:val="-3"/>
          <w:sz w:val="16"/>
        </w:rPr>
        <w:t xml:space="preserve"> </w:t>
      </w:r>
      <w:r>
        <w:rPr>
          <w:color w:val="767070"/>
          <w:sz w:val="16"/>
        </w:rPr>
        <w:t>participants</w:t>
      </w:r>
      <w:r>
        <w:rPr>
          <w:color w:val="767070"/>
          <w:spacing w:val="-2"/>
          <w:sz w:val="16"/>
        </w:rPr>
        <w:t xml:space="preserve"> </w:t>
      </w:r>
      <w:r>
        <w:rPr>
          <w:color w:val="767070"/>
          <w:sz w:val="16"/>
        </w:rPr>
        <w:t>from</w:t>
      </w:r>
      <w:r>
        <w:rPr>
          <w:color w:val="767070"/>
          <w:spacing w:val="-5"/>
          <w:sz w:val="16"/>
        </w:rPr>
        <w:t xml:space="preserve"> </w:t>
      </w:r>
      <w:r>
        <w:rPr>
          <w:color w:val="767070"/>
          <w:sz w:val="16"/>
        </w:rPr>
        <w:t>546</w:t>
      </w:r>
      <w:r>
        <w:rPr>
          <w:color w:val="767070"/>
          <w:spacing w:val="-3"/>
          <w:sz w:val="16"/>
        </w:rPr>
        <w:t xml:space="preserve"> </w:t>
      </w:r>
      <w:r>
        <w:rPr>
          <w:color w:val="767070"/>
          <w:sz w:val="16"/>
        </w:rPr>
        <w:t>local</w:t>
      </w:r>
      <w:r>
        <w:rPr>
          <w:color w:val="767070"/>
          <w:spacing w:val="-2"/>
          <w:sz w:val="16"/>
        </w:rPr>
        <w:t xml:space="preserve"> </w:t>
      </w:r>
      <w:r>
        <w:rPr>
          <w:color w:val="767070"/>
          <w:sz w:val="16"/>
        </w:rPr>
        <w:t>governments</w:t>
      </w:r>
      <w:r>
        <w:rPr>
          <w:color w:val="767070"/>
          <w:spacing w:val="-5"/>
          <w:sz w:val="16"/>
        </w:rPr>
        <w:t xml:space="preserve"> </w:t>
      </w:r>
      <w:r>
        <w:rPr>
          <w:color w:val="767070"/>
          <w:sz w:val="16"/>
        </w:rPr>
        <w:t>and</w:t>
      </w:r>
      <w:r>
        <w:rPr>
          <w:color w:val="767070"/>
          <w:spacing w:val="-2"/>
          <w:sz w:val="16"/>
        </w:rPr>
        <w:t xml:space="preserve"> </w:t>
      </w:r>
      <w:r>
        <w:rPr>
          <w:color w:val="767070"/>
          <w:sz w:val="16"/>
        </w:rPr>
        <w:t>30</w:t>
      </w:r>
      <w:r>
        <w:rPr>
          <w:color w:val="767070"/>
          <w:spacing w:val="-3"/>
          <w:sz w:val="16"/>
        </w:rPr>
        <w:t xml:space="preserve"> </w:t>
      </w:r>
      <w:r>
        <w:rPr>
          <w:color w:val="767070"/>
          <w:sz w:val="16"/>
        </w:rPr>
        <w:t>ministries/agencies</w:t>
      </w:r>
      <w:r>
        <w:rPr>
          <w:color w:val="767070"/>
          <w:spacing w:val="-2"/>
          <w:sz w:val="16"/>
        </w:rPr>
        <w:t xml:space="preserve"> </w:t>
      </w:r>
      <w:r>
        <w:rPr>
          <w:color w:val="767070"/>
          <w:sz w:val="16"/>
        </w:rPr>
        <w:t>working</w:t>
      </w:r>
      <w:r>
        <w:rPr>
          <w:color w:val="767070"/>
          <w:spacing w:val="-4"/>
          <w:sz w:val="16"/>
        </w:rPr>
        <w:t xml:space="preserve"> </w:t>
      </w:r>
      <w:r>
        <w:rPr>
          <w:color w:val="767070"/>
          <w:sz w:val="16"/>
        </w:rPr>
        <w:t>units.</w:t>
      </w:r>
      <w:r>
        <w:rPr>
          <w:color w:val="767070"/>
          <w:spacing w:val="40"/>
          <w:sz w:val="16"/>
        </w:rPr>
        <w:t xml:space="preserve"> </w:t>
      </w:r>
      <w:bookmarkStart w:id="46" w:name="_bookmark27"/>
      <w:bookmarkEnd w:id="46"/>
      <w:r>
        <w:rPr>
          <w:color w:val="767070"/>
          <w:sz w:val="16"/>
          <w:vertAlign w:val="superscript"/>
        </w:rPr>
        <w:t>7</w:t>
      </w:r>
      <w:r>
        <w:rPr>
          <w:color w:val="767070"/>
          <w:sz w:val="16"/>
        </w:rPr>
        <w:t xml:space="preserve"> SKALA Phase 1 Thematic Action Plan targets are: 1) SKALA-supported provincial and local governments have fully costed MSS</w:t>
      </w:r>
      <w:r>
        <w:rPr>
          <w:color w:val="767070"/>
          <w:spacing w:val="40"/>
          <w:sz w:val="16"/>
        </w:rPr>
        <w:t xml:space="preserve"> </w:t>
      </w:r>
      <w:r>
        <w:rPr>
          <w:color w:val="767070"/>
          <w:sz w:val="16"/>
        </w:rPr>
        <w:t>implementation</w:t>
      </w:r>
      <w:r>
        <w:rPr>
          <w:color w:val="767070"/>
          <w:spacing w:val="-6"/>
          <w:sz w:val="16"/>
        </w:rPr>
        <w:t xml:space="preserve"> </w:t>
      </w:r>
      <w:r>
        <w:rPr>
          <w:color w:val="767070"/>
          <w:sz w:val="16"/>
        </w:rPr>
        <w:t>action</w:t>
      </w:r>
      <w:r>
        <w:rPr>
          <w:color w:val="767070"/>
          <w:spacing w:val="-3"/>
          <w:sz w:val="16"/>
        </w:rPr>
        <w:t xml:space="preserve"> </w:t>
      </w:r>
      <w:r>
        <w:rPr>
          <w:color w:val="767070"/>
          <w:sz w:val="16"/>
        </w:rPr>
        <w:t>plans</w:t>
      </w:r>
      <w:r>
        <w:rPr>
          <w:color w:val="767070"/>
          <w:spacing w:val="-3"/>
          <w:sz w:val="16"/>
        </w:rPr>
        <w:t xml:space="preserve"> </w:t>
      </w:r>
      <w:r>
        <w:rPr>
          <w:color w:val="767070"/>
          <w:sz w:val="16"/>
        </w:rPr>
        <w:t>based</w:t>
      </w:r>
      <w:r>
        <w:rPr>
          <w:color w:val="767070"/>
          <w:spacing w:val="-6"/>
          <w:sz w:val="16"/>
        </w:rPr>
        <w:t xml:space="preserve"> </w:t>
      </w:r>
      <w:r>
        <w:rPr>
          <w:color w:val="767070"/>
          <w:sz w:val="16"/>
        </w:rPr>
        <w:t>on</w:t>
      </w:r>
      <w:r>
        <w:rPr>
          <w:color w:val="767070"/>
          <w:spacing w:val="-6"/>
          <w:sz w:val="16"/>
        </w:rPr>
        <w:t xml:space="preserve"> </w:t>
      </w:r>
      <w:r>
        <w:rPr>
          <w:color w:val="767070"/>
          <w:sz w:val="16"/>
        </w:rPr>
        <w:t>accurate</w:t>
      </w:r>
      <w:r>
        <w:rPr>
          <w:color w:val="767070"/>
          <w:spacing w:val="-4"/>
          <w:sz w:val="16"/>
        </w:rPr>
        <w:t xml:space="preserve"> </w:t>
      </w:r>
      <w:r>
        <w:rPr>
          <w:color w:val="767070"/>
          <w:sz w:val="16"/>
        </w:rPr>
        <w:t>data;</w:t>
      </w:r>
      <w:r>
        <w:rPr>
          <w:color w:val="767070"/>
          <w:spacing w:val="-3"/>
          <w:sz w:val="16"/>
        </w:rPr>
        <w:t xml:space="preserve"> </w:t>
      </w:r>
      <w:r>
        <w:rPr>
          <w:color w:val="767070"/>
          <w:sz w:val="16"/>
        </w:rPr>
        <w:t>2)</w:t>
      </w:r>
      <w:r>
        <w:rPr>
          <w:color w:val="767070"/>
          <w:spacing w:val="-4"/>
          <w:sz w:val="16"/>
        </w:rPr>
        <w:t xml:space="preserve"> </w:t>
      </w:r>
      <w:r>
        <w:rPr>
          <w:color w:val="767070"/>
          <w:sz w:val="16"/>
        </w:rPr>
        <w:t>The</w:t>
      </w:r>
      <w:r>
        <w:rPr>
          <w:color w:val="767070"/>
          <w:spacing w:val="-4"/>
          <w:sz w:val="16"/>
        </w:rPr>
        <w:t xml:space="preserve"> </w:t>
      </w:r>
      <w:r>
        <w:rPr>
          <w:color w:val="767070"/>
          <w:sz w:val="16"/>
        </w:rPr>
        <w:t>provincial</w:t>
      </w:r>
      <w:r>
        <w:rPr>
          <w:color w:val="767070"/>
          <w:spacing w:val="-6"/>
          <w:sz w:val="16"/>
        </w:rPr>
        <w:t xml:space="preserve"> </w:t>
      </w:r>
      <w:r>
        <w:rPr>
          <w:color w:val="767070"/>
          <w:sz w:val="16"/>
        </w:rPr>
        <w:t>MSS</w:t>
      </w:r>
      <w:r>
        <w:rPr>
          <w:color w:val="767070"/>
          <w:spacing w:val="-4"/>
          <w:sz w:val="16"/>
        </w:rPr>
        <w:t xml:space="preserve"> </w:t>
      </w:r>
      <w:r>
        <w:rPr>
          <w:color w:val="767070"/>
          <w:sz w:val="16"/>
        </w:rPr>
        <w:t>implementation</w:t>
      </w:r>
      <w:r>
        <w:rPr>
          <w:color w:val="767070"/>
          <w:spacing w:val="-3"/>
          <w:sz w:val="16"/>
        </w:rPr>
        <w:t xml:space="preserve"> </w:t>
      </w:r>
      <w:r>
        <w:rPr>
          <w:color w:val="767070"/>
          <w:sz w:val="16"/>
        </w:rPr>
        <w:t>team</w:t>
      </w:r>
      <w:r>
        <w:rPr>
          <w:color w:val="767070"/>
          <w:spacing w:val="-4"/>
          <w:sz w:val="16"/>
        </w:rPr>
        <w:t xml:space="preserve"> </w:t>
      </w:r>
      <w:r>
        <w:rPr>
          <w:color w:val="767070"/>
          <w:sz w:val="16"/>
        </w:rPr>
        <w:t>coordinates,</w:t>
      </w:r>
      <w:r>
        <w:rPr>
          <w:color w:val="767070"/>
          <w:spacing w:val="-5"/>
          <w:sz w:val="16"/>
        </w:rPr>
        <w:t xml:space="preserve"> </w:t>
      </w:r>
      <w:r>
        <w:rPr>
          <w:color w:val="767070"/>
          <w:sz w:val="16"/>
        </w:rPr>
        <w:t>develops,</w:t>
      </w:r>
      <w:r>
        <w:rPr>
          <w:color w:val="767070"/>
          <w:spacing w:val="-5"/>
          <w:sz w:val="16"/>
        </w:rPr>
        <w:t xml:space="preserve"> </w:t>
      </w:r>
      <w:r>
        <w:rPr>
          <w:color w:val="767070"/>
          <w:sz w:val="16"/>
        </w:rPr>
        <w:t>and</w:t>
      </w:r>
      <w:r>
        <w:rPr>
          <w:color w:val="767070"/>
          <w:spacing w:val="-6"/>
          <w:sz w:val="16"/>
        </w:rPr>
        <w:t xml:space="preserve"> </w:t>
      </w:r>
      <w:r>
        <w:rPr>
          <w:color w:val="767070"/>
          <w:sz w:val="16"/>
        </w:rPr>
        <w:t>supervises</w:t>
      </w:r>
      <w:r>
        <w:rPr>
          <w:color w:val="767070"/>
          <w:spacing w:val="-3"/>
          <w:sz w:val="16"/>
        </w:rPr>
        <w:t xml:space="preserve"> </w:t>
      </w:r>
      <w:r>
        <w:rPr>
          <w:color w:val="767070"/>
          <w:sz w:val="16"/>
        </w:rPr>
        <w:t>the</w:t>
      </w:r>
      <w:r>
        <w:rPr>
          <w:color w:val="767070"/>
          <w:spacing w:val="40"/>
          <w:sz w:val="16"/>
        </w:rPr>
        <w:t xml:space="preserve"> </w:t>
      </w:r>
      <w:r>
        <w:rPr>
          <w:color w:val="767070"/>
          <w:sz w:val="16"/>
        </w:rPr>
        <w:t>district and city governments and their service delivery units</w:t>
      </w:r>
    </w:p>
    <w:p w14:paraId="775D8E40" w14:textId="77777777" w:rsidR="00BC24A8" w:rsidRDefault="00000000">
      <w:pPr>
        <w:ind w:left="143" w:right="76"/>
        <w:rPr>
          <w:sz w:val="16"/>
        </w:rPr>
      </w:pPr>
      <w:bookmarkStart w:id="47" w:name="_bookmark28"/>
      <w:bookmarkEnd w:id="47"/>
      <w:r>
        <w:rPr>
          <w:color w:val="767070"/>
          <w:sz w:val="16"/>
          <w:vertAlign w:val="superscript"/>
        </w:rPr>
        <w:t>8</w:t>
      </w:r>
      <w:r>
        <w:rPr>
          <w:color w:val="767070"/>
          <w:spacing w:val="-5"/>
          <w:sz w:val="16"/>
        </w:rPr>
        <w:t xml:space="preserve"> </w:t>
      </w:r>
      <w:r>
        <w:rPr>
          <w:color w:val="767070"/>
          <w:sz w:val="16"/>
        </w:rPr>
        <w:t>NTB,</w:t>
      </w:r>
      <w:r>
        <w:rPr>
          <w:color w:val="767070"/>
          <w:spacing w:val="-6"/>
          <w:sz w:val="16"/>
        </w:rPr>
        <w:t xml:space="preserve"> </w:t>
      </w:r>
      <w:r>
        <w:rPr>
          <w:color w:val="767070"/>
          <w:sz w:val="16"/>
        </w:rPr>
        <w:t>NTT,</w:t>
      </w:r>
      <w:r>
        <w:rPr>
          <w:color w:val="767070"/>
          <w:spacing w:val="-6"/>
          <w:sz w:val="16"/>
        </w:rPr>
        <w:t xml:space="preserve"> </w:t>
      </w:r>
      <w:r>
        <w:rPr>
          <w:color w:val="767070"/>
          <w:sz w:val="16"/>
        </w:rPr>
        <w:t>Kaltara,</w:t>
      </w:r>
      <w:r>
        <w:rPr>
          <w:color w:val="767070"/>
          <w:spacing w:val="-6"/>
          <w:sz w:val="16"/>
        </w:rPr>
        <w:t xml:space="preserve"> </w:t>
      </w:r>
      <w:r>
        <w:rPr>
          <w:color w:val="767070"/>
          <w:sz w:val="16"/>
        </w:rPr>
        <w:t>Gorontalo,</w:t>
      </w:r>
      <w:r>
        <w:rPr>
          <w:color w:val="767070"/>
          <w:spacing w:val="-6"/>
          <w:sz w:val="16"/>
        </w:rPr>
        <w:t xml:space="preserve"> </w:t>
      </w:r>
      <w:r>
        <w:rPr>
          <w:color w:val="767070"/>
          <w:sz w:val="16"/>
        </w:rPr>
        <w:t>Maluku</w:t>
      </w:r>
      <w:r>
        <w:rPr>
          <w:color w:val="767070"/>
          <w:spacing w:val="-7"/>
          <w:sz w:val="16"/>
        </w:rPr>
        <w:t xml:space="preserve"> </w:t>
      </w:r>
      <w:r>
        <w:rPr>
          <w:color w:val="767070"/>
          <w:sz w:val="16"/>
        </w:rPr>
        <w:t>–</w:t>
      </w:r>
      <w:r>
        <w:rPr>
          <w:color w:val="767070"/>
          <w:spacing w:val="-5"/>
          <w:sz w:val="16"/>
        </w:rPr>
        <w:t xml:space="preserve"> </w:t>
      </w:r>
      <w:r>
        <w:rPr>
          <w:color w:val="767070"/>
          <w:sz w:val="16"/>
        </w:rPr>
        <w:t>in</w:t>
      </w:r>
      <w:r>
        <w:rPr>
          <w:color w:val="767070"/>
          <w:spacing w:val="-4"/>
          <w:sz w:val="16"/>
        </w:rPr>
        <w:t xml:space="preserve"> </w:t>
      </w:r>
      <w:r>
        <w:rPr>
          <w:color w:val="767070"/>
          <w:sz w:val="16"/>
        </w:rPr>
        <w:t>Kaltara</w:t>
      </w:r>
      <w:r>
        <w:rPr>
          <w:color w:val="767070"/>
          <w:spacing w:val="-6"/>
          <w:sz w:val="16"/>
        </w:rPr>
        <w:t xml:space="preserve"> </w:t>
      </w:r>
      <w:r>
        <w:rPr>
          <w:color w:val="767070"/>
          <w:sz w:val="16"/>
        </w:rPr>
        <w:t>and</w:t>
      </w:r>
      <w:r>
        <w:rPr>
          <w:color w:val="767070"/>
          <w:spacing w:val="-4"/>
          <w:sz w:val="16"/>
        </w:rPr>
        <w:t xml:space="preserve"> </w:t>
      </w:r>
      <w:r>
        <w:rPr>
          <w:color w:val="767070"/>
          <w:sz w:val="16"/>
        </w:rPr>
        <w:t>Maluku</w:t>
      </w:r>
      <w:r>
        <w:rPr>
          <w:color w:val="767070"/>
          <w:spacing w:val="-7"/>
          <w:sz w:val="16"/>
        </w:rPr>
        <w:t xml:space="preserve"> </w:t>
      </w:r>
      <w:r>
        <w:rPr>
          <w:color w:val="767070"/>
          <w:sz w:val="16"/>
        </w:rPr>
        <w:t>plans</w:t>
      </w:r>
      <w:r>
        <w:rPr>
          <w:color w:val="767070"/>
          <w:spacing w:val="-4"/>
          <w:sz w:val="16"/>
        </w:rPr>
        <w:t xml:space="preserve"> </w:t>
      </w:r>
      <w:r>
        <w:rPr>
          <w:color w:val="767070"/>
          <w:sz w:val="16"/>
        </w:rPr>
        <w:t>were</w:t>
      </w:r>
      <w:r>
        <w:rPr>
          <w:color w:val="767070"/>
          <w:spacing w:val="-7"/>
          <w:sz w:val="16"/>
        </w:rPr>
        <w:t xml:space="preserve"> </w:t>
      </w:r>
      <w:r>
        <w:rPr>
          <w:color w:val="767070"/>
          <w:sz w:val="16"/>
        </w:rPr>
        <w:t>pre-existing</w:t>
      </w:r>
      <w:r>
        <w:rPr>
          <w:color w:val="767070"/>
          <w:spacing w:val="-6"/>
          <w:sz w:val="16"/>
        </w:rPr>
        <w:t xml:space="preserve"> </w:t>
      </w:r>
      <w:r>
        <w:rPr>
          <w:color w:val="767070"/>
          <w:sz w:val="16"/>
        </w:rPr>
        <w:t>but</w:t>
      </w:r>
      <w:r>
        <w:rPr>
          <w:color w:val="767070"/>
          <w:spacing w:val="-5"/>
          <w:sz w:val="16"/>
        </w:rPr>
        <w:t xml:space="preserve"> </w:t>
      </w:r>
      <w:r>
        <w:rPr>
          <w:color w:val="767070"/>
          <w:sz w:val="16"/>
        </w:rPr>
        <w:t>due</w:t>
      </w:r>
      <w:r>
        <w:rPr>
          <w:color w:val="767070"/>
          <w:spacing w:val="-5"/>
          <w:sz w:val="16"/>
        </w:rPr>
        <w:t xml:space="preserve"> </w:t>
      </w:r>
      <w:r>
        <w:rPr>
          <w:color w:val="767070"/>
          <w:sz w:val="16"/>
        </w:rPr>
        <w:t>to</w:t>
      </w:r>
      <w:r>
        <w:rPr>
          <w:color w:val="767070"/>
          <w:spacing w:val="-4"/>
          <w:sz w:val="16"/>
        </w:rPr>
        <w:t xml:space="preserve"> </w:t>
      </w:r>
      <w:r>
        <w:rPr>
          <w:color w:val="767070"/>
          <w:sz w:val="16"/>
        </w:rPr>
        <w:t>quality</w:t>
      </w:r>
      <w:r>
        <w:rPr>
          <w:color w:val="767070"/>
          <w:spacing w:val="-4"/>
          <w:sz w:val="16"/>
        </w:rPr>
        <w:t xml:space="preserve"> </w:t>
      </w:r>
      <w:r>
        <w:rPr>
          <w:color w:val="767070"/>
          <w:sz w:val="16"/>
        </w:rPr>
        <w:t>issue</w:t>
      </w:r>
      <w:r>
        <w:rPr>
          <w:color w:val="767070"/>
          <w:spacing w:val="-5"/>
          <w:sz w:val="16"/>
        </w:rPr>
        <w:t xml:space="preserve"> </w:t>
      </w:r>
      <w:r>
        <w:rPr>
          <w:color w:val="767070"/>
          <w:sz w:val="16"/>
        </w:rPr>
        <w:t>SKALA</w:t>
      </w:r>
      <w:r>
        <w:rPr>
          <w:color w:val="767070"/>
          <w:spacing w:val="-4"/>
          <w:sz w:val="16"/>
        </w:rPr>
        <w:t xml:space="preserve"> </w:t>
      </w:r>
      <w:r>
        <w:rPr>
          <w:color w:val="767070"/>
          <w:sz w:val="16"/>
        </w:rPr>
        <w:t>helped</w:t>
      </w:r>
      <w:r>
        <w:rPr>
          <w:color w:val="767070"/>
          <w:spacing w:val="-4"/>
          <w:sz w:val="16"/>
        </w:rPr>
        <w:t xml:space="preserve"> </w:t>
      </w:r>
      <w:r>
        <w:rPr>
          <w:color w:val="767070"/>
          <w:sz w:val="16"/>
        </w:rPr>
        <w:t>to</w:t>
      </w:r>
      <w:r>
        <w:rPr>
          <w:color w:val="767070"/>
          <w:spacing w:val="-4"/>
          <w:sz w:val="16"/>
        </w:rPr>
        <w:t xml:space="preserve"> </w:t>
      </w:r>
      <w:r>
        <w:rPr>
          <w:color w:val="767070"/>
          <w:sz w:val="16"/>
        </w:rPr>
        <w:t>refine</w:t>
      </w:r>
      <w:r>
        <w:rPr>
          <w:color w:val="767070"/>
          <w:spacing w:val="-5"/>
          <w:sz w:val="16"/>
        </w:rPr>
        <w:t xml:space="preserve"> </w:t>
      </w:r>
      <w:r>
        <w:rPr>
          <w:color w:val="767070"/>
          <w:sz w:val="16"/>
        </w:rPr>
        <w:t>existing</w:t>
      </w:r>
      <w:r>
        <w:rPr>
          <w:color w:val="767070"/>
          <w:spacing w:val="40"/>
          <w:sz w:val="16"/>
        </w:rPr>
        <w:t xml:space="preserve"> </w:t>
      </w:r>
      <w:r>
        <w:rPr>
          <w:color w:val="767070"/>
          <w:sz w:val="16"/>
        </w:rPr>
        <w:t>MSS action plans.</w:t>
      </w:r>
    </w:p>
    <w:p w14:paraId="5B272429" w14:textId="77777777" w:rsidR="00BC24A8" w:rsidRDefault="00000000">
      <w:pPr>
        <w:ind w:left="143" w:right="327" w:hanging="1"/>
        <w:rPr>
          <w:sz w:val="16"/>
        </w:rPr>
      </w:pPr>
      <w:bookmarkStart w:id="48" w:name="_bookmark29"/>
      <w:bookmarkEnd w:id="48"/>
      <w:r>
        <w:rPr>
          <w:color w:val="767070"/>
          <w:sz w:val="16"/>
          <w:vertAlign w:val="superscript"/>
        </w:rPr>
        <w:t>9</w:t>
      </w:r>
      <w:r>
        <w:rPr>
          <w:color w:val="767070"/>
          <w:spacing w:val="-4"/>
          <w:sz w:val="16"/>
        </w:rPr>
        <w:t xml:space="preserve"> </w:t>
      </w:r>
      <w:r>
        <w:rPr>
          <w:color w:val="767070"/>
          <w:sz w:val="16"/>
        </w:rPr>
        <w:t>Kaltara,</w:t>
      </w:r>
      <w:r>
        <w:rPr>
          <w:color w:val="767070"/>
          <w:spacing w:val="-4"/>
          <w:sz w:val="16"/>
        </w:rPr>
        <w:t xml:space="preserve"> </w:t>
      </w:r>
      <w:r>
        <w:rPr>
          <w:color w:val="767070"/>
          <w:sz w:val="16"/>
        </w:rPr>
        <w:t>Aceh,</w:t>
      </w:r>
      <w:r>
        <w:rPr>
          <w:color w:val="767070"/>
          <w:spacing w:val="-5"/>
          <w:sz w:val="16"/>
        </w:rPr>
        <w:t xml:space="preserve"> </w:t>
      </w:r>
      <w:r>
        <w:rPr>
          <w:color w:val="767070"/>
          <w:sz w:val="16"/>
        </w:rPr>
        <w:t>and</w:t>
      </w:r>
      <w:r>
        <w:rPr>
          <w:color w:val="767070"/>
          <w:spacing w:val="-5"/>
          <w:sz w:val="16"/>
        </w:rPr>
        <w:t xml:space="preserve"> </w:t>
      </w:r>
      <w:r>
        <w:rPr>
          <w:color w:val="767070"/>
          <w:sz w:val="16"/>
        </w:rPr>
        <w:t>Papua</w:t>
      </w:r>
      <w:r>
        <w:rPr>
          <w:color w:val="767070"/>
          <w:spacing w:val="-3"/>
          <w:sz w:val="16"/>
        </w:rPr>
        <w:t xml:space="preserve"> </w:t>
      </w:r>
      <w:r>
        <w:rPr>
          <w:color w:val="767070"/>
          <w:sz w:val="16"/>
        </w:rPr>
        <w:t>were</w:t>
      </w:r>
      <w:r>
        <w:rPr>
          <w:color w:val="767070"/>
          <w:spacing w:val="-4"/>
          <w:sz w:val="16"/>
        </w:rPr>
        <w:t xml:space="preserve"> </w:t>
      </w:r>
      <w:r>
        <w:rPr>
          <w:color w:val="767070"/>
          <w:sz w:val="16"/>
        </w:rPr>
        <w:t>able</w:t>
      </w:r>
      <w:r>
        <w:rPr>
          <w:color w:val="767070"/>
          <w:spacing w:val="-4"/>
          <w:sz w:val="16"/>
        </w:rPr>
        <w:t xml:space="preserve"> </w:t>
      </w:r>
      <w:r>
        <w:rPr>
          <w:color w:val="767070"/>
          <w:sz w:val="16"/>
        </w:rPr>
        <w:t>to</w:t>
      </w:r>
      <w:r>
        <w:rPr>
          <w:color w:val="767070"/>
          <w:spacing w:val="-4"/>
          <w:sz w:val="16"/>
        </w:rPr>
        <w:t xml:space="preserve"> </w:t>
      </w:r>
      <w:r>
        <w:rPr>
          <w:color w:val="767070"/>
          <w:sz w:val="16"/>
        </w:rPr>
        <w:t>apply</w:t>
      </w:r>
      <w:r>
        <w:rPr>
          <w:color w:val="767070"/>
          <w:spacing w:val="-3"/>
          <w:sz w:val="16"/>
        </w:rPr>
        <w:t xml:space="preserve"> </w:t>
      </w:r>
      <w:r>
        <w:rPr>
          <w:color w:val="767070"/>
          <w:sz w:val="16"/>
        </w:rPr>
        <w:t>their</w:t>
      </w:r>
      <w:r>
        <w:rPr>
          <w:color w:val="767070"/>
          <w:spacing w:val="-4"/>
          <w:sz w:val="16"/>
        </w:rPr>
        <w:t xml:space="preserve"> </w:t>
      </w:r>
      <w:r>
        <w:rPr>
          <w:color w:val="767070"/>
          <w:sz w:val="16"/>
        </w:rPr>
        <w:t>improved</w:t>
      </w:r>
      <w:r>
        <w:rPr>
          <w:color w:val="767070"/>
          <w:spacing w:val="-3"/>
          <w:sz w:val="16"/>
        </w:rPr>
        <w:t xml:space="preserve"> </w:t>
      </w:r>
      <w:r>
        <w:rPr>
          <w:color w:val="767070"/>
          <w:sz w:val="16"/>
        </w:rPr>
        <w:t>capacity</w:t>
      </w:r>
      <w:r>
        <w:rPr>
          <w:color w:val="767070"/>
          <w:spacing w:val="-3"/>
          <w:sz w:val="16"/>
        </w:rPr>
        <w:t xml:space="preserve"> </w:t>
      </w:r>
      <w:r>
        <w:rPr>
          <w:color w:val="767070"/>
          <w:sz w:val="16"/>
        </w:rPr>
        <w:t>in</w:t>
      </w:r>
      <w:r>
        <w:rPr>
          <w:color w:val="767070"/>
          <w:spacing w:val="-3"/>
          <w:sz w:val="16"/>
        </w:rPr>
        <w:t xml:space="preserve"> </w:t>
      </w:r>
      <w:r>
        <w:rPr>
          <w:color w:val="767070"/>
          <w:sz w:val="16"/>
        </w:rPr>
        <w:t>relation</w:t>
      </w:r>
      <w:r>
        <w:rPr>
          <w:color w:val="767070"/>
          <w:spacing w:val="-3"/>
          <w:sz w:val="16"/>
        </w:rPr>
        <w:t xml:space="preserve"> </w:t>
      </w:r>
      <w:r>
        <w:rPr>
          <w:color w:val="767070"/>
          <w:sz w:val="16"/>
        </w:rPr>
        <w:t>to</w:t>
      </w:r>
      <w:r>
        <w:rPr>
          <w:color w:val="767070"/>
          <w:spacing w:val="-4"/>
          <w:sz w:val="16"/>
        </w:rPr>
        <w:t xml:space="preserve"> </w:t>
      </w:r>
      <w:r>
        <w:rPr>
          <w:color w:val="767070"/>
          <w:sz w:val="16"/>
        </w:rPr>
        <w:t>MSS</w:t>
      </w:r>
      <w:r>
        <w:rPr>
          <w:color w:val="767070"/>
          <w:spacing w:val="-4"/>
          <w:sz w:val="16"/>
        </w:rPr>
        <w:t xml:space="preserve"> </w:t>
      </w:r>
      <w:r>
        <w:rPr>
          <w:color w:val="767070"/>
          <w:sz w:val="16"/>
        </w:rPr>
        <w:t>by</w:t>
      </w:r>
      <w:r>
        <w:rPr>
          <w:color w:val="767070"/>
          <w:spacing w:val="-3"/>
          <w:sz w:val="16"/>
        </w:rPr>
        <w:t xml:space="preserve"> </w:t>
      </w:r>
      <w:r>
        <w:rPr>
          <w:color w:val="767070"/>
          <w:sz w:val="16"/>
        </w:rPr>
        <w:t>conducting</w:t>
      </w:r>
      <w:r>
        <w:rPr>
          <w:color w:val="767070"/>
          <w:spacing w:val="-6"/>
          <w:sz w:val="16"/>
        </w:rPr>
        <w:t xml:space="preserve"> </w:t>
      </w:r>
      <w:r>
        <w:rPr>
          <w:color w:val="767070"/>
          <w:sz w:val="16"/>
        </w:rPr>
        <w:t>MSS</w:t>
      </w:r>
      <w:r>
        <w:rPr>
          <w:color w:val="767070"/>
          <w:spacing w:val="-4"/>
          <w:sz w:val="16"/>
        </w:rPr>
        <w:t xml:space="preserve"> </w:t>
      </w:r>
      <w:r>
        <w:rPr>
          <w:color w:val="767070"/>
          <w:sz w:val="16"/>
        </w:rPr>
        <w:t>monitoring</w:t>
      </w:r>
      <w:r>
        <w:rPr>
          <w:color w:val="767070"/>
          <w:spacing w:val="-4"/>
          <w:sz w:val="16"/>
        </w:rPr>
        <w:t xml:space="preserve"> </w:t>
      </w:r>
      <w:r>
        <w:rPr>
          <w:color w:val="767070"/>
          <w:sz w:val="16"/>
        </w:rPr>
        <w:t>and</w:t>
      </w:r>
      <w:r>
        <w:rPr>
          <w:color w:val="767070"/>
          <w:spacing w:val="-3"/>
          <w:sz w:val="16"/>
        </w:rPr>
        <w:t xml:space="preserve"> </w:t>
      </w:r>
      <w:r>
        <w:rPr>
          <w:color w:val="767070"/>
          <w:sz w:val="16"/>
        </w:rPr>
        <w:t>supervision</w:t>
      </w:r>
      <w:r>
        <w:rPr>
          <w:color w:val="767070"/>
          <w:spacing w:val="-3"/>
          <w:sz w:val="16"/>
        </w:rPr>
        <w:t xml:space="preserve"> </w:t>
      </w:r>
      <w:r>
        <w:rPr>
          <w:color w:val="767070"/>
          <w:sz w:val="16"/>
        </w:rPr>
        <w:t>to</w:t>
      </w:r>
      <w:r>
        <w:rPr>
          <w:color w:val="767070"/>
          <w:spacing w:val="40"/>
          <w:sz w:val="16"/>
        </w:rPr>
        <w:t xml:space="preserve"> </w:t>
      </w:r>
      <w:r>
        <w:rPr>
          <w:color w:val="767070"/>
          <w:spacing w:val="-2"/>
          <w:sz w:val="16"/>
        </w:rPr>
        <w:t>districts.</w:t>
      </w:r>
    </w:p>
    <w:p w14:paraId="07A31CED" w14:textId="77777777" w:rsidR="00BC24A8" w:rsidRDefault="00BC24A8">
      <w:pPr>
        <w:rPr>
          <w:sz w:val="16"/>
        </w:rPr>
        <w:sectPr w:rsidR="00BC24A8">
          <w:pgSz w:w="11910" w:h="16840"/>
          <w:pgMar w:top="1340" w:right="1133" w:bottom="1100" w:left="1275" w:header="0" w:footer="907" w:gutter="0"/>
          <w:cols w:space="720"/>
        </w:sectPr>
      </w:pPr>
    </w:p>
    <w:p w14:paraId="17997662" w14:textId="77777777" w:rsidR="00BC24A8" w:rsidRDefault="00000000">
      <w:pPr>
        <w:pStyle w:val="BodyText"/>
        <w:spacing w:before="39" w:line="278" w:lineRule="auto"/>
        <w:ind w:left="143" w:right="279"/>
        <w:jc w:val="both"/>
      </w:pPr>
      <w:r>
        <w:lastRenderedPageBreak/>
        <w:t>In order to improve local revenue, SKALA is leveraging its national policy work to provide subnational governments with guidance</w:t>
      </w:r>
      <w:hyperlink w:anchor="_bookmark30" w:history="1">
        <w:r w:rsidR="00BC24A8">
          <w:rPr>
            <w:vertAlign w:val="superscript"/>
          </w:rPr>
          <w:t>10</w:t>
        </w:r>
      </w:hyperlink>
      <w:r>
        <w:t xml:space="preserve"> on implementing</w:t>
      </w:r>
      <w:r>
        <w:rPr>
          <w:spacing w:val="-1"/>
        </w:rPr>
        <w:t xml:space="preserve"> </w:t>
      </w:r>
      <w:r>
        <w:t>national</w:t>
      </w:r>
      <w:r>
        <w:rPr>
          <w:spacing w:val="-1"/>
        </w:rPr>
        <w:t xml:space="preserve"> </w:t>
      </w:r>
      <w:r>
        <w:t>policies</w:t>
      </w:r>
      <w:hyperlink w:anchor="_bookmark31" w:history="1">
        <w:r w:rsidR="00BC24A8">
          <w:rPr>
            <w:vertAlign w:val="superscript"/>
          </w:rPr>
          <w:t>11</w:t>
        </w:r>
      </w:hyperlink>
      <w:r>
        <w:t xml:space="preserve"> on taxes and levies.</w:t>
      </w:r>
      <w:r>
        <w:rPr>
          <w:spacing w:val="40"/>
        </w:rPr>
        <w:t xml:space="preserve"> </w:t>
      </w:r>
      <w:r>
        <w:t>SKALA has set</w:t>
      </w:r>
      <w:r>
        <w:rPr>
          <w:spacing w:val="-1"/>
        </w:rPr>
        <w:t xml:space="preserve"> </w:t>
      </w:r>
      <w:r>
        <w:t>a Phase</w:t>
      </w:r>
      <w:r>
        <w:rPr>
          <w:spacing w:val="-5"/>
        </w:rPr>
        <w:t xml:space="preserve"> </w:t>
      </w:r>
      <w:r>
        <w:t>1</w:t>
      </w:r>
      <w:r>
        <w:rPr>
          <w:spacing w:val="-3"/>
        </w:rPr>
        <w:t xml:space="preserve"> </w:t>
      </w:r>
      <w:r>
        <w:t>target</w:t>
      </w:r>
      <w:r>
        <w:rPr>
          <w:spacing w:val="-2"/>
        </w:rPr>
        <w:t xml:space="preserve"> </w:t>
      </w:r>
      <w:r>
        <w:t>of</w:t>
      </w:r>
      <w:r>
        <w:rPr>
          <w:spacing w:val="-5"/>
        </w:rPr>
        <w:t xml:space="preserve"> </w:t>
      </w:r>
      <w:r>
        <w:t>having</w:t>
      </w:r>
      <w:r>
        <w:rPr>
          <w:spacing w:val="-4"/>
        </w:rPr>
        <w:t xml:space="preserve"> </w:t>
      </w:r>
      <w:r>
        <w:t>SKALA</w:t>
      </w:r>
      <w:r>
        <w:rPr>
          <w:spacing w:val="-3"/>
        </w:rPr>
        <w:t xml:space="preserve"> </w:t>
      </w:r>
      <w:r>
        <w:t>provinces</w:t>
      </w:r>
      <w:r>
        <w:rPr>
          <w:spacing w:val="-3"/>
        </w:rPr>
        <w:t xml:space="preserve"> </w:t>
      </w:r>
      <w:r>
        <w:t>manage</w:t>
      </w:r>
      <w:r>
        <w:rPr>
          <w:spacing w:val="-3"/>
        </w:rPr>
        <w:t xml:space="preserve"> </w:t>
      </w:r>
      <w:r>
        <w:t>regional</w:t>
      </w:r>
      <w:r>
        <w:rPr>
          <w:spacing w:val="-2"/>
        </w:rPr>
        <w:t xml:space="preserve"> </w:t>
      </w:r>
      <w:r>
        <w:t>taxes</w:t>
      </w:r>
      <w:r>
        <w:rPr>
          <w:spacing w:val="-3"/>
        </w:rPr>
        <w:t xml:space="preserve"> </w:t>
      </w:r>
      <w:r>
        <w:t>and</w:t>
      </w:r>
      <w:r>
        <w:rPr>
          <w:spacing w:val="-3"/>
        </w:rPr>
        <w:t xml:space="preserve"> </w:t>
      </w:r>
      <w:r>
        <w:t>levies in</w:t>
      </w:r>
      <w:r>
        <w:rPr>
          <w:spacing w:val="-3"/>
        </w:rPr>
        <w:t xml:space="preserve"> </w:t>
      </w:r>
      <w:r>
        <w:t>compliance</w:t>
      </w:r>
      <w:r>
        <w:rPr>
          <w:spacing w:val="-3"/>
        </w:rPr>
        <w:t xml:space="preserve"> </w:t>
      </w:r>
      <w:r>
        <w:t>with</w:t>
      </w:r>
      <w:r>
        <w:rPr>
          <w:spacing w:val="-1"/>
        </w:rPr>
        <w:t xml:space="preserve"> </w:t>
      </w:r>
      <w:r>
        <w:t>the</w:t>
      </w:r>
      <w:r>
        <w:rPr>
          <w:spacing w:val="-3"/>
        </w:rPr>
        <w:t xml:space="preserve"> </w:t>
      </w:r>
      <w:r>
        <w:t>new regulations.</w:t>
      </w:r>
      <w:r>
        <w:rPr>
          <w:spacing w:val="-13"/>
        </w:rPr>
        <w:t xml:space="preserve"> </w:t>
      </w:r>
      <w:r>
        <w:t>The</w:t>
      </w:r>
      <w:r>
        <w:rPr>
          <w:spacing w:val="-12"/>
        </w:rPr>
        <w:t xml:space="preserve"> </w:t>
      </w:r>
      <w:r>
        <w:t>program</w:t>
      </w:r>
      <w:r>
        <w:rPr>
          <w:spacing w:val="-13"/>
        </w:rPr>
        <w:t xml:space="preserve"> </w:t>
      </w:r>
      <w:r>
        <w:t>also</w:t>
      </w:r>
      <w:r>
        <w:rPr>
          <w:spacing w:val="-12"/>
        </w:rPr>
        <w:t xml:space="preserve"> </w:t>
      </w:r>
      <w:r>
        <w:t>encourages</w:t>
      </w:r>
      <w:r>
        <w:rPr>
          <w:spacing w:val="-13"/>
        </w:rPr>
        <w:t xml:space="preserve"> </w:t>
      </w:r>
      <w:r>
        <w:t>provinces</w:t>
      </w:r>
      <w:r>
        <w:rPr>
          <w:spacing w:val="-12"/>
        </w:rPr>
        <w:t xml:space="preserve"> </w:t>
      </w:r>
      <w:r>
        <w:t>to</w:t>
      </w:r>
      <w:r>
        <w:rPr>
          <w:spacing w:val="-13"/>
        </w:rPr>
        <w:t xml:space="preserve"> </w:t>
      </w:r>
      <w:r>
        <w:t>actively</w:t>
      </w:r>
      <w:r>
        <w:rPr>
          <w:spacing w:val="-12"/>
        </w:rPr>
        <w:t xml:space="preserve"> </w:t>
      </w:r>
      <w:r>
        <w:t>regulate</w:t>
      </w:r>
      <w:r>
        <w:rPr>
          <w:spacing w:val="-12"/>
        </w:rPr>
        <w:t xml:space="preserve"> </w:t>
      </w:r>
      <w:r>
        <w:t>for</w:t>
      </w:r>
      <w:r>
        <w:rPr>
          <w:spacing w:val="-13"/>
        </w:rPr>
        <w:t xml:space="preserve"> </w:t>
      </w:r>
      <w:r>
        <w:t>improved</w:t>
      </w:r>
      <w:r>
        <w:rPr>
          <w:spacing w:val="-12"/>
        </w:rPr>
        <w:t xml:space="preserve"> </w:t>
      </w:r>
      <w:r>
        <w:t>equity</w:t>
      </w:r>
      <w:r>
        <w:rPr>
          <w:spacing w:val="-13"/>
        </w:rPr>
        <w:t xml:space="preserve"> </w:t>
      </w:r>
      <w:r>
        <w:t>within</w:t>
      </w:r>
      <w:r>
        <w:rPr>
          <w:spacing w:val="-12"/>
        </w:rPr>
        <w:t xml:space="preserve"> </w:t>
      </w:r>
      <w:r>
        <w:t>their taxing authority. As of June</w:t>
      </w:r>
      <w:r>
        <w:rPr>
          <w:spacing w:val="-1"/>
        </w:rPr>
        <w:t xml:space="preserve"> </w:t>
      </w:r>
      <w:r>
        <w:t>2025, 6/10 SKALA-supported provinces have delivered regulatory reforms. Intensive support is also underway in new Papuan Provinces to develop necessary tax policies. The program</w:t>
      </w:r>
      <w:r>
        <w:rPr>
          <w:spacing w:val="-3"/>
        </w:rPr>
        <w:t xml:space="preserve"> </w:t>
      </w:r>
      <w:r>
        <w:t>has</w:t>
      </w:r>
      <w:r>
        <w:rPr>
          <w:spacing w:val="-2"/>
        </w:rPr>
        <w:t xml:space="preserve"> </w:t>
      </w:r>
      <w:r>
        <w:t>also</w:t>
      </w:r>
      <w:r>
        <w:rPr>
          <w:spacing w:val="-3"/>
        </w:rPr>
        <w:t xml:space="preserve"> </w:t>
      </w:r>
      <w:r>
        <w:t>enabled</w:t>
      </w:r>
      <w:r>
        <w:rPr>
          <w:spacing w:val="-3"/>
        </w:rPr>
        <w:t xml:space="preserve"> </w:t>
      </w:r>
      <w:r>
        <w:t>7</w:t>
      </w:r>
      <w:r>
        <w:rPr>
          <w:spacing w:val="-3"/>
        </w:rPr>
        <w:t xml:space="preserve"> </w:t>
      </w:r>
      <w:r>
        <w:t>provinces</w:t>
      </w:r>
      <w:r>
        <w:rPr>
          <w:spacing w:val="-2"/>
        </w:rPr>
        <w:t xml:space="preserve"> </w:t>
      </w:r>
      <w:r>
        <w:t>to</w:t>
      </w:r>
      <w:r>
        <w:rPr>
          <w:spacing w:val="-3"/>
        </w:rPr>
        <w:t xml:space="preserve"> </w:t>
      </w:r>
      <w:r>
        <w:t>more</w:t>
      </w:r>
      <w:r>
        <w:rPr>
          <w:spacing w:val="-2"/>
        </w:rPr>
        <w:t xml:space="preserve"> </w:t>
      </w:r>
      <w:r>
        <w:t>accurately project</w:t>
      </w:r>
      <w:r>
        <w:rPr>
          <w:spacing w:val="-2"/>
        </w:rPr>
        <w:t xml:space="preserve"> </w:t>
      </w:r>
      <w:r>
        <w:t>regional</w:t>
      </w:r>
      <w:r>
        <w:rPr>
          <w:spacing w:val="-2"/>
        </w:rPr>
        <w:t xml:space="preserve"> </w:t>
      </w:r>
      <w:r>
        <w:t>tax</w:t>
      </w:r>
      <w:r>
        <w:rPr>
          <w:spacing w:val="-2"/>
        </w:rPr>
        <w:t xml:space="preserve"> </w:t>
      </w:r>
      <w:r>
        <w:t>revenues</w:t>
      </w:r>
      <w:r>
        <w:rPr>
          <w:spacing w:val="-2"/>
        </w:rPr>
        <w:t xml:space="preserve"> </w:t>
      </w:r>
      <w:r>
        <w:t>as</w:t>
      </w:r>
      <w:r>
        <w:rPr>
          <w:spacing w:val="-2"/>
        </w:rPr>
        <w:t xml:space="preserve"> </w:t>
      </w:r>
      <w:r>
        <w:t>the</w:t>
      </w:r>
      <w:r>
        <w:rPr>
          <w:spacing w:val="-4"/>
        </w:rPr>
        <w:t xml:space="preserve"> </w:t>
      </w:r>
      <w:r>
        <w:t>basis for long-term</w:t>
      </w:r>
      <w:r>
        <w:rPr>
          <w:spacing w:val="-9"/>
        </w:rPr>
        <w:t xml:space="preserve"> </w:t>
      </w:r>
      <w:r>
        <w:t>development</w:t>
      </w:r>
      <w:r>
        <w:rPr>
          <w:spacing w:val="-13"/>
        </w:rPr>
        <w:t xml:space="preserve"> </w:t>
      </w:r>
      <w:r>
        <w:t>planning.</w:t>
      </w:r>
      <w:hyperlink w:anchor="_bookmark32" w:history="1">
        <w:r w:rsidR="00BC24A8">
          <w:rPr>
            <w:vertAlign w:val="superscript"/>
          </w:rPr>
          <w:t>12</w:t>
        </w:r>
      </w:hyperlink>
      <w:r>
        <w:rPr>
          <w:spacing w:val="-10"/>
        </w:rPr>
        <w:t xml:space="preserve"> </w:t>
      </w:r>
      <w:r>
        <w:t>At</w:t>
      </w:r>
      <w:r>
        <w:rPr>
          <w:spacing w:val="-10"/>
        </w:rPr>
        <w:t xml:space="preserve"> </w:t>
      </w:r>
      <w:r>
        <w:t>this</w:t>
      </w:r>
      <w:r>
        <w:rPr>
          <w:spacing w:val="-11"/>
        </w:rPr>
        <w:t xml:space="preserve"> </w:t>
      </w:r>
      <w:r>
        <w:t>stage,</w:t>
      </w:r>
      <w:r>
        <w:rPr>
          <w:spacing w:val="-8"/>
        </w:rPr>
        <w:t xml:space="preserve"> </w:t>
      </w:r>
      <w:r>
        <w:t>the</w:t>
      </w:r>
      <w:r>
        <w:rPr>
          <w:spacing w:val="-11"/>
        </w:rPr>
        <w:t xml:space="preserve"> </w:t>
      </w:r>
      <w:r>
        <w:t>program</w:t>
      </w:r>
      <w:r>
        <w:rPr>
          <w:spacing w:val="-9"/>
        </w:rPr>
        <w:t xml:space="preserve"> </w:t>
      </w:r>
      <w:r>
        <w:t>is</w:t>
      </w:r>
      <w:r>
        <w:rPr>
          <w:spacing w:val="-8"/>
        </w:rPr>
        <w:t xml:space="preserve"> </w:t>
      </w:r>
      <w:r>
        <w:t>on</w:t>
      </w:r>
      <w:r>
        <w:rPr>
          <w:spacing w:val="-9"/>
        </w:rPr>
        <w:t xml:space="preserve"> </w:t>
      </w:r>
      <w:r>
        <w:t>track</w:t>
      </w:r>
      <w:r>
        <w:rPr>
          <w:spacing w:val="-9"/>
        </w:rPr>
        <w:t xml:space="preserve"> </w:t>
      </w:r>
      <w:r>
        <w:t>to</w:t>
      </w:r>
      <w:r>
        <w:rPr>
          <w:spacing w:val="-10"/>
        </w:rPr>
        <w:t xml:space="preserve"> </w:t>
      </w:r>
      <w:r>
        <w:t>deliver</w:t>
      </w:r>
      <w:r>
        <w:rPr>
          <w:spacing w:val="-11"/>
        </w:rPr>
        <w:t xml:space="preserve"> </w:t>
      </w:r>
      <w:r>
        <w:t>provincial</w:t>
      </w:r>
      <w:r>
        <w:rPr>
          <w:spacing w:val="-10"/>
        </w:rPr>
        <w:t xml:space="preserve"> </w:t>
      </w:r>
      <w:r>
        <w:t>regulatory reform</w:t>
      </w:r>
      <w:r>
        <w:rPr>
          <w:spacing w:val="-3"/>
        </w:rPr>
        <w:t xml:space="preserve"> </w:t>
      </w:r>
      <w:r>
        <w:t>that</w:t>
      </w:r>
      <w:r>
        <w:rPr>
          <w:spacing w:val="-2"/>
        </w:rPr>
        <w:t xml:space="preserve"> </w:t>
      </w:r>
      <w:r>
        <w:t>aligns</w:t>
      </w:r>
      <w:r>
        <w:rPr>
          <w:spacing w:val="-2"/>
        </w:rPr>
        <w:t xml:space="preserve"> </w:t>
      </w:r>
      <w:r>
        <w:t>with</w:t>
      </w:r>
      <w:r>
        <w:rPr>
          <w:spacing w:val="-1"/>
        </w:rPr>
        <w:t xml:space="preserve"> </w:t>
      </w:r>
      <w:r>
        <w:t>national</w:t>
      </w:r>
      <w:r>
        <w:rPr>
          <w:spacing w:val="-2"/>
        </w:rPr>
        <w:t xml:space="preserve"> </w:t>
      </w:r>
      <w:r>
        <w:t>guidance, despite</w:t>
      </w:r>
      <w:r>
        <w:rPr>
          <w:spacing w:val="-2"/>
        </w:rPr>
        <w:t xml:space="preserve"> </w:t>
      </w:r>
      <w:r>
        <w:t>capacity limitations,</w:t>
      </w:r>
      <w:r>
        <w:rPr>
          <w:spacing w:val="-2"/>
        </w:rPr>
        <w:t xml:space="preserve"> </w:t>
      </w:r>
      <w:r>
        <w:t>entrenched</w:t>
      </w:r>
      <w:r>
        <w:rPr>
          <w:spacing w:val="-1"/>
        </w:rPr>
        <w:t xml:space="preserve"> </w:t>
      </w:r>
      <w:r>
        <w:t>public</w:t>
      </w:r>
      <w:r>
        <w:rPr>
          <w:spacing w:val="-1"/>
        </w:rPr>
        <w:t xml:space="preserve"> </w:t>
      </w:r>
      <w:r>
        <w:t>and</w:t>
      </w:r>
      <w:r>
        <w:rPr>
          <w:spacing w:val="-3"/>
        </w:rPr>
        <w:t xml:space="preserve"> </w:t>
      </w:r>
      <w:r>
        <w:t>business behaviours around local taxation and limited momentum within local institutions to drive reform. To address the administrative burden of a mostly manual payment system and limited technical support, SKALA</w:t>
      </w:r>
      <w:r>
        <w:rPr>
          <w:spacing w:val="-9"/>
        </w:rPr>
        <w:t xml:space="preserve"> </w:t>
      </w:r>
      <w:r>
        <w:t>has</w:t>
      </w:r>
      <w:r>
        <w:rPr>
          <w:spacing w:val="-9"/>
        </w:rPr>
        <w:t xml:space="preserve"> </w:t>
      </w:r>
      <w:r>
        <w:t>commenced</w:t>
      </w:r>
      <w:r>
        <w:rPr>
          <w:spacing w:val="-9"/>
        </w:rPr>
        <w:t xml:space="preserve"> </w:t>
      </w:r>
      <w:r>
        <w:t>work</w:t>
      </w:r>
      <w:r>
        <w:rPr>
          <w:spacing w:val="-9"/>
        </w:rPr>
        <w:t xml:space="preserve"> </w:t>
      </w:r>
      <w:r>
        <w:t>on</w:t>
      </w:r>
      <w:r>
        <w:rPr>
          <w:spacing w:val="-9"/>
        </w:rPr>
        <w:t xml:space="preserve"> </w:t>
      </w:r>
      <w:r>
        <w:t>lessons</w:t>
      </w:r>
      <w:r>
        <w:rPr>
          <w:spacing w:val="-9"/>
        </w:rPr>
        <w:t xml:space="preserve"> </w:t>
      </w:r>
      <w:r>
        <w:t>sharing</w:t>
      </w:r>
      <w:r>
        <w:rPr>
          <w:spacing w:val="-10"/>
        </w:rPr>
        <w:t xml:space="preserve"> </w:t>
      </w:r>
      <w:r>
        <w:t>in</w:t>
      </w:r>
      <w:r>
        <w:rPr>
          <w:spacing w:val="-9"/>
        </w:rPr>
        <w:t xml:space="preserve"> </w:t>
      </w:r>
      <w:r>
        <w:t>relation</w:t>
      </w:r>
      <w:r>
        <w:rPr>
          <w:spacing w:val="-9"/>
        </w:rPr>
        <w:t xml:space="preserve"> </w:t>
      </w:r>
      <w:r>
        <w:t>to</w:t>
      </w:r>
      <w:r>
        <w:rPr>
          <w:spacing w:val="-10"/>
        </w:rPr>
        <w:t xml:space="preserve"> </w:t>
      </w:r>
      <w:r>
        <w:t>tax</w:t>
      </w:r>
      <w:r>
        <w:rPr>
          <w:spacing w:val="-11"/>
        </w:rPr>
        <w:t xml:space="preserve"> </w:t>
      </w:r>
      <w:r>
        <w:t>system</w:t>
      </w:r>
      <w:r>
        <w:rPr>
          <w:spacing w:val="-9"/>
        </w:rPr>
        <w:t xml:space="preserve"> </w:t>
      </w:r>
      <w:r>
        <w:t>digitalisation</w:t>
      </w:r>
      <w:r>
        <w:rPr>
          <w:spacing w:val="-9"/>
        </w:rPr>
        <w:t xml:space="preserve"> </w:t>
      </w:r>
      <w:r>
        <w:t>and</w:t>
      </w:r>
      <w:r>
        <w:rPr>
          <w:spacing w:val="-9"/>
        </w:rPr>
        <w:t xml:space="preserve"> </w:t>
      </w:r>
      <w:r>
        <w:t>local</w:t>
      </w:r>
      <w:r>
        <w:rPr>
          <w:spacing w:val="-10"/>
        </w:rPr>
        <w:t xml:space="preserve"> </w:t>
      </w:r>
      <w:r>
        <w:t xml:space="preserve">capacity </w:t>
      </w:r>
      <w:r>
        <w:rPr>
          <w:spacing w:val="-2"/>
        </w:rPr>
        <w:t>building.</w:t>
      </w:r>
    </w:p>
    <w:p w14:paraId="755F4F9C" w14:textId="77777777" w:rsidR="00BC24A8" w:rsidRDefault="00000000">
      <w:pPr>
        <w:pStyle w:val="BodyText"/>
        <w:spacing w:before="152"/>
        <w:ind w:left="143"/>
        <w:jc w:val="both"/>
      </w:pPr>
      <w:r>
        <w:t>To</w:t>
      </w:r>
      <w:r>
        <w:rPr>
          <w:spacing w:val="-11"/>
        </w:rPr>
        <w:t xml:space="preserve"> </w:t>
      </w:r>
      <w:r>
        <w:t>consolidate</w:t>
      </w:r>
      <w:r>
        <w:rPr>
          <w:spacing w:val="-11"/>
        </w:rPr>
        <w:t xml:space="preserve"> </w:t>
      </w:r>
      <w:r>
        <w:t>program</w:t>
      </w:r>
      <w:r>
        <w:rPr>
          <w:spacing w:val="-11"/>
        </w:rPr>
        <w:t xml:space="preserve"> </w:t>
      </w:r>
      <w:r>
        <w:t>contributions</w:t>
      </w:r>
      <w:r>
        <w:rPr>
          <w:spacing w:val="-11"/>
        </w:rPr>
        <w:t xml:space="preserve"> </w:t>
      </w:r>
      <w:r>
        <w:t>to</w:t>
      </w:r>
      <w:r>
        <w:rPr>
          <w:spacing w:val="-9"/>
        </w:rPr>
        <w:t xml:space="preserve"> </w:t>
      </w:r>
      <w:r>
        <w:t>IO4</w:t>
      </w:r>
      <w:r>
        <w:rPr>
          <w:spacing w:val="-9"/>
        </w:rPr>
        <w:t xml:space="preserve"> </w:t>
      </w:r>
      <w:r>
        <w:t>in</w:t>
      </w:r>
      <w:r>
        <w:rPr>
          <w:spacing w:val="-11"/>
        </w:rPr>
        <w:t xml:space="preserve"> </w:t>
      </w:r>
      <w:r>
        <w:t>coming</w:t>
      </w:r>
      <w:r>
        <w:rPr>
          <w:spacing w:val="-13"/>
        </w:rPr>
        <w:t xml:space="preserve"> </w:t>
      </w:r>
      <w:r>
        <w:t>semesters</w:t>
      </w:r>
      <w:r>
        <w:rPr>
          <w:spacing w:val="-9"/>
        </w:rPr>
        <w:t xml:space="preserve"> </w:t>
      </w:r>
      <w:r>
        <w:t>SKALA</w:t>
      </w:r>
      <w:r>
        <w:rPr>
          <w:spacing w:val="-11"/>
        </w:rPr>
        <w:t xml:space="preserve"> </w:t>
      </w:r>
      <w:r>
        <w:rPr>
          <w:spacing w:val="-2"/>
        </w:rPr>
        <w:t>should:</w:t>
      </w:r>
    </w:p>
    <w:p w14:paraId="647E14D9" w14:textId="77777777" w:rsidR="00BC24A8" w:rsidRDefault="00000000">
      <w:pPr>
        <w:pStyle w:val="ListParagraph"/>
        <w:numPr>
          <w:ilvl w:val="0"/>
          <w:numId w:val="169"/>
        </w:numPr>
        <w:tabs>
          <w:tab w:val="left" w:pos="861"/>
          <w:tab w:val="left" w:pos="863"/>
        </w:tabs>
        <w:spacing w:before="205" w:line="276" w:lineRule="auto"/>
        <w:ind w:right="279"/>
        <w:jc w:val="both"/>
      </w:pPr>
      <w:r>
        <w:t>Support development of systems and capacity to monitor and oversee the implementation of regulations/policies intended to improve basic services and their intended outcomes</w:t>
      </w:r>
    </w:p>
    <w:p w14:paraId="53F2A85D" w14:textId="77777777" w:rsidR="00BC24A8" w:rsidRDefault="00000000">
      <w:pPr>
        <w:pStyle w:val="ListParagraph"/>
        <w:numPr>
          <w:ilvl w:val="0"/>
          <w:numId w:val="169"/>
        </w:numPr>
        <w:tabs>
          <w:tab w:val="left" w:pos="861"/>
          <w:tab w:val="left" w:pos="863"/>
        </w:tabs>
        <w:spacing w:before="3" w:line="278" w:lineRule="auto"/>
        <w:ind w:right="282"/>
        <w:jc w:val="both"/>
      </w:pPr>
      <w:r>
        <w:t>Advocate for and accelerate the development fit-for-purpose solutions to streamline management of OTSUS in Papua</w:t>
      </w:r>
    </w:p>
    <w:p w14:paraId="1F31E854" w14:textId="77777777" w:rsidR="00BC24A8" w:rsidRDefault="00000000">
      <w:pPr>
        <w:pStyle w:val="ListParagraph"/>
        <w:numPr>
          <w:ilvl w:val="0"/>
          <w:numId w:val="169"/>
        </w:numPr>
        <w:tabs>
          <w:tab w:val="left" w:pos="861"/>
          <w:tab w:val="left" w:pos="863"/>
        </w:tabs>
        <w:spacing w:line="278" w:lineRule="auto"/>
        <w:ind w:right="279"/>
        <w:jc w:val="both"/>
      </w:pPr>
      <w:r>
        <w:rPr>
          <w:spacing w:val="-2"/>
        </w:rPr>
        <w:t>Support</w:t>
      </w:r>
      <w:r>
        <w:rPr>
          <w:spacing w:val="-8"/>
        </w:rPr>
        <w:t xml:space="preserve"> </w:t>
      </w:r>
      <w:r>
        <w:rPr>
          <w:spacing w:val="-2"/>
        </w:rPr>
        <w:t>national</w:t>
      </w:r>
      <w:r>
        <w:rPr>
          <w:spacing w:val="-5"/>
        </w:rPr>
        <w:t xml:space="preserve"> </w:t>
      </w:r>
      <w:r>
        <w:rPr>
          <w:spacing w:val="-2"/>
        </w:rPr>
        <w:t>and</w:t>
      </w:r>
      <w:r>
        <w:rPr>
          <w:spacing w:val="-7"/>
        </w:rPr>
        <w:t xml:space="preserve"> </w:t>
      </w:r>
      <w:r>
        <w:rPr>
          <w:spacing w:val="-2"/>
        </w:rPr>
        <w:t>subnational</w:t>
      </w:r>
      <w:r>
        <w:rPr>
          <w:spacing w:val="-5"/>
        </w:rPr>
        <w:t xml:space="preserve"> </w:t>
      </w:r>
      <w:r>
        <w:rPr>
          <w:spacing w:val="-2"/>
        </w:rPr>
        <w:t>actors</w:t>
      </w:r>
      <w:r>
        <w:rPr>
          <w:spacing w:val="-3"/>
        </w:rPr>
        <w:t xml:space="preserve"> </w:t>
      </w:r>
      <w:r>
        <w:rPr>
          <w:spacing w:val="-2"/>
        </w:rPr>
        <w:t>to</w:t>
      </w:r>
      <w:r>
        <w:rPr>
          <w:spacing w:val="-4"/>
        </w:rPr>
        <w:t xml:space="preserve"> </w:t>
      </w:r>
      <w:r>
        <w:rPr>
          <w:spacing w:val="-2"/>
        </w:rPr>
        <w:t>address</w:t>
      </w:r>
      <w:r>
        <w:rPr>
          <w:spacing w:val="-5"/>
        </w:rPr>
        <w:t xml:space="preserve"> </w:t>
      </w:r>
      <w:r>
        <w:rPr>
          <w:spacing w:val="-2"/>
        </w:rPr>
        <w:t>these</w:t>
      </w:r>
      <w:r>
        <w:rPr>
          <w:spacing w:val="-5"/>
        </w:rPr>
        <w:t xml:space="preserve"> </w:t>
      </w:r>
      <w:r>
        <w:rPr>
          <w:spacing w:val="-2"/>
        </w:rPr>
        <w:t>barriers</w:t>
      </w:r>
      <w:r>
        <w:rPr>
          <w:spacing w:val="-5"/>
        </w:rPr>
        <w:t xml:space="preserve"> </w:t>
      </w:r>
      <w:r>
        <w:rPr>
          <w:spacing w:val="-2"/>
        </w:rPr>
        <w:t>in</w:t>
      </w:r>
      <w:r>
        <w:rPr>
          <w:spacing w:val="-3"/>
        </w:rPr>
        <w:t xml:space="preserve"> </w:t>
      </w:r>
      <w:r>
        <w:rPr>
          <w:spacing w:val="-2"/>
        </w:rPr>
        <w:t>a</w:t>
      </w:r>
      <w:r>
        <w:rPr>
          <w:spacing w:val="-8"/>
        </w:rPr>
        <w:t xml:space="preserve"> </w:t>
      </w:r>
      <w:r>
        <w:rPr>
          <w:spacing w:val="-2"/>
        </w:rPr>
        <w:t>coordinated</w:t>
      </w:r>
      <w:r>
        <w:rPr>
          <w:spacing w:val="-3"/>
        </w:rPr>
        <w:t xml:space="preserve"> </w:t>
      </w:r>
      <w:r>
        <w:rPr>
          <w:spacing w:val="-2"/>
        </w:rPr>
        <w:t>fashion,</w:t>
      </w:r>
      <w:r>
        <w:rPr>
          <w:spacing w:val="-3"/>
        </w:rPr>
        <w:t xml:space="preserve"> </w:t>
      </w:r>
      <w:r>
        <w:rPr>
          <w:spacing w:val="-2"/>
        </w:rPr>
        <w:t xml:space="preserve">while </w:t>
      </w:r>
      <w:r>
        <w:t>disseminating SKALA’s experience in improving equity through tax exemptions rather than relying solely on taxation as a redistributive mechanism.</w:t>
      </w:r>
    </w:p>
    <w:p w14:paraId="58AAB19C" w14:textId="77777777" w:rsidR="00BC24A8" w:rsidRDefault="00BC24A8">
      <w:pPr>
        <w:pStyle w:val="BodyText"/>
        <w:spacing w:before="42"/>
      </w:pPr>
    </w:p>
    <w:p w14:paraId="276C985F" w14:textId="77777777" w:rsidR="00BC24A8" w:rsidRDefault="00000000">
      <w:pPr>
        <w:pStyle w:val="Heading6"/>
        <w:spacing w:line="292" w:lineRule="auto"/>
        <w:ind w:right="280"/>
      </w:pPr>
      <w:r w:rsidRPr="00795364">
        <w:rPr>
          <w:color w:val="00827F"/>
          <w:spacing w:val="-4"/>
        </w:rPr>
        <w:t>IO5:</w:t>
      </w:r>
      <w:r w:rsidRPr="00795364">
        <w:rPr>
          <w:color w:val="00827F"/>
          <w:spacing w:val="-5"/>
        </w:rPr>
        <w:t xml:space="preserve"> </w:t>
      </w:r>
      <w:r w:rsidRPr="00795364">
        <w:rPr>
          <w:color w:val="00827F"/>
          <w:spacing w:val="-4"/>
        </w:rPr>
        <w:t>Selected</w:t>
      </w:r>
      <w:r w:rsidRPr="00795364">
        <w:rPr>
          <w:color w:val="00827F"/>
          <w:spacing w:val="-6"/>
        </w:rPr>
        <w:t xml:space="preserve"> </w:t>
      </w:r>
      <w:r w:rsidRPr="00795364">
        <w:rPr>
          <w:color w:val="00827F"/>
          <w:spacing w:val="-4"/>
        </w:rPr>
        <w:t>provincial and</w:t>
      </w:r>
      <w:r w:rsidRPr="00795364">
        <w:rPr>
          <w:color w:val="00827F"/>
          <w:spacing w:val="-6"/>
        </w:rPr>
        <w:t xml:space="preserve"> </w:t>
      </w:r>
      <w:r w:rsidRPr="00795364">
        <w:rPr>
          <w:color w:val="00827F"/>
          <w:spacing w:val="-4"/>
        </w:rPr>
        <w:t>district</w:t>
      </w:r>
      <w:r w:rsidRPr="00795364">
        <w:rPr>
          <w:color w:val="00827F"/>
          <w:spacing w:val="-5"/>
        </w:rPr>
        <w:t xml:space="preserve"> </w:t>
      </w:r>
      <w:r w:rsidRPr="00795364">
        <w:rPr>
          <w:color w:val="00827F"/>
          <w:spacing w:val="-4"/>
        </w:rPr>
        <w:t>governments increasingly</w:t>
      </w:r>
      <w:r w:rsidRPr="00795364">
        <w:rPr>
          <w:color w:val="00827F"/>
          <w:spacing w:val="-7"/>
        </w:rPr>
        <w:t xml:space="preserve"> </w:t>
      </w:r>
      <w:r w:rsidRPr="00795364">
        <w:rPr>
          <w:color w:val="00827F"/>
          <w:spacing w:val="-4"/>
        </w:rPr>
        <w:t>utilise</w:t>
      </w:r>
      <w:r w:rsidRPr="00795364">
        <w:rPr>
          <w:color w:val="00827F"/>
          <w:spacing w:val="-5"/>
        </w:rPr>
        <w:t xml:space="preserve"> </w:t>
      </w:r>
      <w:r w:rsidRPr="00795364">
        <w:rPr>
          <w:color w:val="00827F"/>
          <w:spacing w:val="-4"/>
        </w:rPr>
        <w:t>evidence</w:t>
      </w:r>
      <w:r w:rsidRPr="00795364">
        <w:rPr>
          <w:color w:val="00827F"/>
          <w:spacing w:val="-7"/>
        </w:rPr>
        <w:t xml:space="preserve"> </w:t>
      </w:r>
      <w:r w:rsidRPr="00795364">
        <w:rPr>
          <w:color w:val="00827F"/>
          <w:spacing w:val="-4"/>
        </w:rPr>
        <w:t>on</w:t>
      </w:r>
      <w:r w:rsidRPr="00795364">
        <w:rPr>
          <w:color w:val="00827F"/>
          <w:spacing w:val="-6"/>
        </w:rPr>
        <w:t xml:space="preserve"> </w:t>
      </w:r>
      <w:r w:rsidRPr="00795364">
        <w:rPr>
          <w:color w:val="00827F"/>
          <w:spacing w:val="-4"/>
        </w:rPr>
        <w:t xml:space="preserve">women, </w:t>
      </w:r>
      <w:r w:rsidRPr="00795364">
        <w:rPr>
          <w:color w:val="00827F"/>
          <w:spacing w:val="-6"/>
        </w:rPr>
        <w:t>people</w:t>
      </w:r>
      <w:r w:rsidRPr="00795364">
        <w:rPr>
          <w:color w:val="00827F"/>
          <w:spacing w:val="-11"/>
        </w:rPr>
        <w:t xml:space="preserve"> </w:t>
      </w:r>
      <w:r w:rsidRPr="00795364">
        <w:rPr>
          <w:color w:val="00827F"/>
          <w:spacing w:val="-6"/>
        </w:rPr>
        <w:t>with disabilities</w:t>
      </w:r>
      <w:r w:rsidRPr="00795364">
        <w:rPr>
          <w:color w:val="00827F"/>
          <w:spacing w:val="-8"/>
        </w:rPr>
        <w:t xml:space="preserve"> </w:t>
      </w:r>
      <w:r w:rsidRPr="00795364">
        <w:rPr>
          <w:color w:val="00827F"/>
          <w:spacing w:val="-6"/>
        </w:rPr>
        <w:t>and vulnerable groups’</w:t>
      </w:r>
      <w:r w:rsidRPr="00795364">
        <w:rPr>
          <w:color w:val="00827F"/>
          <w:spacing w:val="-11"/>
        </w:rPr>
        <w:t xml:space="preserve"> </w:t>
      </w:r>
      <w:r w:rsidRPr="00795364">
        <w:rPr>
          <w:color w:val="00827F"/>
          <w:spacing w:val="-6"/>
        </w:rPr>
        <w:t>service delivery needs in</w:t>
      </w:r>
      <w:r w:rsidRPr="00795364">
        <w:rPr>
          <w:color w:val="00827F"/>
          <w:spacing w:val="-8"/>
        </w:rPr>
        <w:t xml:space="preserve"> </w:t>
      </w:r>
      <w:r w:rsidRPr="00795364">
        <w:rPr>
          <w:color w:val="00827F"/>
          <w:spacing w:val="-6"/>
        </w:rPr>
        <w:t xml:space="preserve">their planning and </w:t>
      </w:r>
      <w:r w:rsidRPr="00795364">
        <w:rPr>
          <w:color w:val="00827F"/>
        </w:rPr>
        <w:t>budget</w:t>
      </w:r>
      <w:r w:rsidRPr="00795364">
        <w:rPr>
          <w:color w:val="00827F"/>
          <w:spacing w:val="-20"/>
        </w:rPr>
        <w:t xml:space="preserve"> </w:t>
      </w:r>
      <w:r w:rsidRPr="00795364">
        <w:rPr>
          <w:color w:val="00827F"/>
        </w:rPr>
        <w:t>decisions</w:t>
      </w:r>
    </w:p>
    <w:p w14:paraId="0C1E412B" w14:textId="77777777" w:rsidR="00BC24A8" w:rsidRDefault="00000000">
      <w:pPr>
        <w:pStyle w:val="BodyText"/>
        <w:spacing w:before="157" w:line="278" w:lineRule="auto"/>
        <w:ind w:left="143" w:right="279"/>
        <w:jc w:val="both"/>
      </w:pPr>
      <w:r>
        <w:t>SKALA’s</w:t>
      </w:r>
      <w:r>
        <w:rPr>
          <w:spacing w:val="-2"/>
        </w:rPr>
        <w:t xml:space="preserve"> </w:t>
      </w:r>
      <w:r>
        <w:t>strategy</w:t>
      </w:r>
      <w:r>
        <w:rPr>
          <w:spacing w:val="-2"/>
        </w:rPr>
        <w:t xml:space="preserve"> </w:t>
      </w:r>
      <w:r>
        <w:t>under</w:t>
      </w:r>
      <w:r>
        <w:rPr>
          <w:spacing w:val="-2"/>
        </w:rPr>
        <w:t xml:space="preserve"> </w:t>
      </w:r>
      <w:r>
        <w:t>IO5</w:t>
      </w:r>
      <w:r>
        <w:rPr>
          <w:spacing w:val="-4"/>
        </w:rPr>
        <w:t xml:space="preserve"> </w:t>
      </w:r>
      <w:r>
        <w:t>is</w:t>
      </w:r>
      <w:r>
        <w:rPr>
          <w:spacing w:val="-2"/>
        </w:rPr>
        <w:t xml:space="preserve"> </w:t>
      </w:r>
      <w:r>
        <w:t>to</w:t>
      </w:r>
      <w:r>
        <w:rPr>
          <w:spacing w:val="-3"/>
        </w:rPr>
        <w:t xml:space="preserve"> </w:t>
      </w:r>
      <w:r>
        <w:t>strengthen</w:t>
      </w:r>
      <w:r>
        <w:rPr>
          <w:spacing w:val="-2"/>
        </w:rPr>
        <w:t xml:space="preserve"> </w:t>
      </w:r>
      <w:r>
        <w:t>the</w:t>
      </w:r>
      <w:r>
        <w:rPr>
          <w:spacing w:val="-4"/>
        </w:rPr>
        <w:t xml:space="preserve"> </w:t>
      </w:r>
      <w:r>
        <w:t>availability,</w:t>
      </w:r>
      <w:r>
        <w:rPr>
          <w:spacing w:val="-2"/>
        </w:rPr>
        <w:t xml:space="preserve"> </w:t>
      </w:r>
      <w:r>
        <w:t>quality,</w:t>
      </w:r>
      <w:r>
        <w:rPr>
          <w:spacing w:val="-2"/>
        </w:rPr>
        <w:t xml:space="preserve"> </w:t>
      </w:r>
      <w:r>
        <w:t>and</w:t>
      </w:r>
      <w:r>
        <w:rPr>
          <w:spacing w:val="-3"/>
        </w:rPr>
        <w:t xml:space="preserve"> </w:t>
      </w:r>
      <w:r>
        <w:t>use</w:t>
      </w:r>
      <w:r>
        <w:rPr>
          <w:spacing w:val="-2"/>
        </w:rPr>
        <w:t xml:space="preserve"> </w:t>
      </w:r>
      <w:r>
        <w:t>of</w:t>
      </w:r>
      <w:r>
        <w:rPr>
          <w:spacing w:val="-2"/>
        </w:rPr>
        <w:t xml:space="preserve"> </w:t>
      </w:r>
      <w:r>
        <w:t>regional</w:t>
      </w:r>
      <w:r>
        <w:rPr>
          <w:spacing w:val="-4"/>
        </w:rPr>
        <w:t xml:space="preserve"> </w:t>
      </w:r>
      <w:r>
        <w:t>service</w:t>
      </w:r>
      <w:r>
        <w:rPr>
          <w:spacing w:val="-4"/>
        </w:rPr>
        <w:t xml:space="preserve"> </w:t>
      </w:r>
      <w:r>
        <w:t>delivery data,</w:t>
      </w:r>
      <w:r>
        <w:rPr>
          <w:spacing w:val="-4"/>
        </w:rPr>
        <w:t xml:space="preserve"> </w:t>
      </w:r>
      <w:r>
        <w:t>with</w:t>
      </w:r>
      <w:r>
        <w:rPr>
          <w:spacing w:val="-4"/>
        </w:rPr>
        <w:t xml:space="preserve"> </w:t>
      </w:r>
      <w:r>
        <w:t>a</w:t>
      </w:r>
      <w:r>
        <w:rPr>
          <w:spacing w:val="-6"/>
        </w:rPr>
        <w:t xml:space="preserve"> </w:t>
      </w:r>
      <w:r>
        <w:t>particular</w:t>
      </w:r>
      <w:r>
        <w:rPr>
          <w:spacing w:val="-4"/>
        </w:rPr>
        <w:t xml:space="preserve"> </w:t>
      </w:r>
      <w:r>
        <w:t>focus</w:t>
      </w:r>
      <w:r>
        <w:rPr>
          <w:spacing w:val="-6"/>
        </w:rPr>
        <w:t xml:space="preserve"> </w:t>
      </w:r>
      <w:r>
        <w:t>on</w:t>
      </w:r>
      <w:r>
        <w:rPr>
          <w:spacing w:val="-4"/>
        </w:rPr>
        <w:t xml:space="preserve"> </w:t>
      </w:r>
      <w:r>
        <w:t>institutionalising</w:t>
      </w:r>
      <w:r>
        <w:rPr>
          <w:spacing w:val="-5"/>
        </w:rPr>
        <w:t xml:space="preserve"> </w:t>
      </w:r>
      <w:r>
        <w:t>the</w:t>
      </w:r>
      <w:r>
        <w:rPr>
          <w:spacing w:val="-8"/>
        </w:rPr>
        <w:t xml:space="preserve"> </w:t>
      </w:r>
      <w:r>
        <w:rPr>
          <w:i/>
        </w:rPr>
        <w:t>One</w:t>
      </w:r>
      <w:r>
        <w:rPr>
          <w:i/>
          <w:spacing w:val="-5"/>
        </w:rPr>
        <w:t xml:space="preserve"> </w:t>
      </w:r>
      <w:r>
        <w:rPr>
          <w:i/>
        </w:rPr>
        <w:t>Regional</w:t>
      </w:r>
      <w:r>
        <w:rPr>
          <w:i/>
          <w:spacing w:val="-6"/>
        </w:rPr>
        <w:t xml:space="preserve"> </w:t>
      </w:r>
      <w:r>
        <w:rPr>
          <w:i/>
        </w:rPr>
        <w:t>Data</w:t>
      </w:r>
      <w:r>
        <w:rPr>
          <w:i/>
          <w:spacing w:val="-4"/>
        </w:rPr>
        <w:t xml:space="preserve"> </w:t>
      </w:r>
      <w:r>
        <w:rPr>
          <w:i/>
        </w:rPr>
        <w:t>(Satu</w:t>
      </w:r>
      <w:r>
        <w:rPr>
          <w:i/>
          <w:spacing w:val="-4"/>
        </w:rPr>
        <w:t xml:space="preserve"> </w:t>
      </w:r>
      <w:r>
        <w:rPr>
          <w:i/>
        </w:rPr>
        <w:t>Data</w:t>
      </w:r>
      <w:r>
        <w:rPr>
          <w:i/>
          <w:spacing w:val="-6"/>
        </w:rPr>
        <w:t xml:space="preserve"> </w:t>
      </w:r>
      <w:r>
        <w:rPr>
          <w:i/>
        </w:rPr>
        <w:t>Daerah/SDD)</w:t>
      </w:r>
      <w:r>
        <w:rPr>
          <w:i/>
          <w:spacing w:val="-6"/>
        </w:rPr>
        <w:t xml:space="preserve"> </w:t>
      </w:r>
      <w:r>
        <w:t>policy. SKALA</w:t>
      </w:r>
      <w:r>
        <w:rPr>
          <w:spacing w:val="-7"/>
        </w:rPr>
        <w:t xml:space="preserve"> </w:t>
      </w:r>
      <w:r>
        <w:t>is</w:t>
      </w:r>
      <w:r>
        <w:rPr>
          <w:spacing w:val="-6"/>
        </w:rPr>
        <w:t xml:space="preserve"> </w:t>
      </w:r>
      <w:r>
        <w:t>working</w:t>
      </w:r>
      <w:r>
        <w:rPr>
          <w:spacing w:val="-9"/>
        </w:rPr>
        <w:t xml:space="preserve"> </w:t>
      </w:r>
      <w:r>
        <w:t>towards</w:t>
      </w:r>
      <w:r>
        <w:rPr>
          <w:spacing w:val="-8"/>
        </w:rPr>
        <w:t xml:space="preserve"> </w:t>
      </w:r>
      <w:r>
        <w:t>a</w:t>
      </w:r>
      <w:r>
        <w:rPr>
          <w:spacing w:val="-9"/>
        </w:rPr>
        <w:t xml:space="preserve"> </w:t>
      </w:r>
      <w:r>
        <w:t>Phase</w:t>
      </w:r>
      <w:r>
        <w:rPr>
          <w:spacing w:val="-10"/>
        </w:rPr>
        <w:t xml:space="preserve"> </w:t>
      </w:r>
      <w:r>
        <w:t>1</w:t>
      </w:r>
      <w:r>
        <w:rPr>
          <w:spacing w:val="-8"/>
        </w:rPr>
        <w:t xml:space="preserve"> </w:t>
      </w:r>
      <w:r>
        <w:t>target</w:t>
      </w:r>
      <w:r>
        <w:rPr>
          <w:spacing w:val="-7"/>
        </w:rPr>
        <w:t xml:space="preserve"> </w:t>
      </w:r>
      <w:r>
        <w:t>of</w:t>
      </w:r>
      <w:r>
        <w:rPr>
          <w:spacing w:val="-7"/>
        </w:rPr>
        <w:t xml:space="preserve"> </w:t>
      </w:r>
      <w:r>
        <w:t>ensuring</w:t>
      </w:r>
      <w:r>
        <w:rPr>
          <w:spacing w:val="-9"/>
        </w:rPr>
        <w:t xml:space="preserve"> </w:t>
      </w:r>
      <w:r>
        <w:t>that</w:t>
      </w:r>
      <w:r>
        <w:rPr>
          <w:spacing w:val="-7"/>
        </w:rPr>
        <w:t xml:space="preserve"> </w:t>
      </w:r>
      <w:r>
        <w:t>data</w:t>
      </w:r>
      <w:r>
        <w:rPr>
          <w:spacing w:val="-9"/>
        </w:rPr>
        <w:t xml:space="preserve"> </w:t>
      </w:r>
      <w:r>
        <w:t>cycles</w:t>
      </w:r>
      <w:r>
        <w:rPr>
          <w:spacing w:val="-6"/>
        </w:rPr>
        <w:t xml:space="preserve"> </w:t>
      </w:r>
      <w:r>
        <w:t>in</w:t>
      </w:r>
      <w:r>
        <w:rPr>
          <w:spacing w:val="-8"/>
        </w:rPr>
        <w:t xml:space="preserve"> </w:t>
      </w:r>
      <w:r>
        <w:t>SKALA</w:t>
      </w:r>
      <w:r>
        <w:rPr>
          <w:spacing w:val="-8"/>
        </w:rPr>
        <w:t xml:space="preserve"> </w:t>
      </w:r>
      <w:r>
        <w:t>locations</w:t>
      </w:r>
      <w:r>
        <w:rPr>
          <w:spacing w:val="-8"/>
        </w:rPr>
        <w:t xml:space="preserve"> </w:t>
      </w:r>
      <w:r>
        <w:t>are</w:t>
      </w:r>
      <w:r>
        <w:rPr>
          <w:spacing w:val="-7"/>
        </w:rPr>
        <w:t xml:space="preserve"> </w:t>
      </w:r>
      <w:r>
        <w:t>supported with planning</w:t>
      </w:r>
      <w:r>
        <w:rPr>
          <w:spacing w:val="-1"/>
        </w:rPr>
        <w:t xml:space="preserve"> </w:t>
      </w:r>
      <w:r>
        <w:t>systems and regular data updating –</w:t>
      </w:r>
      <w:r>
        <w:rPr>
          <w:spacing w:val="-1"/>
        </w:rPr>
        <w:t xml:space="preserve"> </w:t>
      </w:r>
      <w:r>
        <w:t>contributing to improved inclusive, evidence-based planning and budgeting.</w:t>
      </w:r>
    </w:p>
    <w:p w14:paraId="7FB6BB20" w14:textId="77777777" w:rsidR="00BC24A8" w:rsidRDefault="00000000">
      <w:pPr>
        <w:pStyle w:val="BodyText"/>
        <w:spacing w:before="158" w:line="278" w:lineRule="auto"/>
        <w:ind w:left="143" w:right="280"/>
        <w:jc w:val="both"/>
      </w:pPr>
      <w:r>
        <w:t>While</w:t>
      </w:r>
      <w:r>
        <w:rPr>
          <w:spacing w:val="-13"/>
        </w:rPr>
        <w:t xml:space="preserve"> </w:t>
      </w:r>
      <w:r>
        <w:t>evidence</w:t>
      </w:r>
      <w:r>
        <w:rPr>
          <w:spacing w:val="-12"/>
        </w:rPr>
        <w:t xml:space="preserve"> </w:t>
      </w:r>
      <w:r>
        <w:t>of</w:t>
      </w:r>
      <w:r>
        <w:rPr>
          <w:spacing w:val="-13"/>
        </w:rPr>
        <w:t xml:space="preserve"> </w:t>
      </w:r>
      <w:r>
        <w:t>systemic</w:t>
      </w:r>
      <w:r>
        <w:rPr>
          <w:spacing w:val="-12"/>
        </w:rPr>
        <w:t xml:space="preserve"> </w:t>
      </w:r>
      <w:r>
        <w:t>improvements</w:t>
      </w:r>
      <w:r>
        <w:rPr>
          <w:spacing w:val="-13"/>
        </w:rPr>
        <w:t xml:space="preserve"> </w:t>
      </w:r>
      <w:r>
        <w:t>in</w:t>
      </w:r>
      <w:r>
        <w:rPr>
          <w:spacing w:val="-12"/>
        </w:rPr>
        <w:t xml:space="preserve"> </w:t>
      </w:r>
      <w:r>
        <w:t>provincial</w:t>
      </w:r>
      <w:r>
        <w:rPr>
          <w:spacing w:val="-13"/>
        </w:rPr>
        <w:t xml:space="preserve"> </w:t>
      </w:r>
      <w:r>
        <w:t>service</w:t>
      </w:r>
      <w:r>
        <w:rPr>
          <w:spacing w:val="-12"/>
        </w:rPr>
        <w:t xml:space="preserve"> </w:t>
      </w:r>
      <w:r>
        <w:t>planning</w:t>
      </w:r>
      <w:r>
        <w:rPr>
          <w:spacing w:val="-12"/>
        </w:rPr>
        <w:t xml:space="preserve"> </w:t>
      </w:r>
      <w:r>
        <w:t>data</w:t>
      </w:r>
      <w:r>
        <w:rPr>
          <w:spacing w:val="-13"/>
        </w:rPr>
        <w:t xml:space="preserve"> </w:t>
      </w:r>
      <w:r>
        <w:t>use</w:t>
      </w:r>
      <w:r>
        <w:rPr>
          <w:spacing w:val="-12"/>
        </w:rPr>
        <w:t xml:space="preserve"> </w:t>
      </w:r>
      <w:r>
        <w:t>is</w:t>
      </w:r>
      <w:r>
        <w:rPr>
          <w:spacing w:val="-13"/>
        </w:rPr>
        <w:t xml:space="preserve"> </w:t>
      </w:r>
      <w:r>
        <w:t>limited,</w:t>
      </w:r>
      <w:r>
        <w:rPr>
          <w:spacing w:val="-12"/>
        </w:rPr>
        <w:t xml:space="preserve"> </w:t>
      </w:r>
      <w:r>
        <w:t>foundational work</w:t>
      </w:r>
      <w:r>
        <w:rPr>
          <w:spacing w:val="-12"/>
        </w:rPr>
        <w:t xml:space="preserve"> </w:t>
      </w:r>
      <w:r>
        <w:t>is</w:t>
      </w:r>
      <w:r>
        <w:rPr>
          <w:spacing w:val="-11"/>
        </w:rPr>
        <w:t xml:space="preserve"> </w:t>
      </w:r>
      <w:r>
        <w:t>underway.</w:t>
      </w:r>
      <w:r>
        <w:rPr>
          <w:spacing w:val="-12"/>
        </w:rPr>
        <w:t xml:space="preserve"> </w:t>
      </w:r>
      <w:r>
        <w:t>Seven</w:t>
      </w:r>
      <w:r>
        <w:rPr>
          <w:spacing w:val="-13"/>
        </w:rPr>
        <w:t xml:space="preserve"> </w:t>
      </w:r>
      <w:r>
        <w:t>provinces</w:t>
      </w:r>
      <w:r>
        <w:rPr>
          <w:spacing w:val="-12"/>
        </w:rPr>
        <w:t xml:space="preserve"> </w:t>
      </w:r>
      <w:r>
        <w:t>have</w:t>
      </w:r>
      <w:r>
        <w:rPr>
          <w:spacing w:val="-13"/>
        </w:rPr>
        <w:t xml:space="preserve"> </w:t>
      </w:r>
      <w:r>
        <w:t>compiled</w:t>
      </w:r>
      <w:r>
        <w:rPr>
          <w:spacing w:val="-10"/>
        </w:rPr>
        <w:t xml:space="preserve"> </w:t>
      </w:r>
      <w:r>
        <w:t>service</w:t>
      </w:r>
      <w:r>
        <w:rPr>
          <w:spacing w:val="-12"/>
        </w:rPr>
        <w:t xml:space="preserve"> </w:t>
      </w:r>
      <w:r>
        <w:t>data</w:t>
      </w:r>
      <w:r>
        <w:rPr>
          <w:spacing w:val="-11"/>
        </w:rPr>
        <w:t xml:space="preserve"> </w:t>
      </w:r>
      <w:r>
        <w:t>lists,</w:t>
      </w:r>
      <w:r>
        <w:rPr>
          <w:spacing w:val="-10"/>
        </w:rPr>
        <w:t xml:space="preserve"> </w:t>
      </w:r>
      <w:r>
        <w:t>and</w:t>
      </w:r>
      <w:r>
        <w:rPr>
          <w:spacing w:val="-10"/>
        </w:rPr>
        <w:t xml:space="preserve"> </w:t>
      </w:r>
      <w:r>
        <w:t>although</w:t>
      </w:r>
      <w:r>
        <w:rPr>
          <w:spacing w:val="-13"/>
        </w:rPr>
        <w:t xml:space="preserve"> </w:t>
      </w:r>
      <w:r>
        <w:t>adherence</w:t>
      </w:r>
      <w:r>
        <w:rPr>
          <w:spacing w:val="-12"/>
        </w:rPr>
        <w:t xml:space="preserve"> </w:t>
      </w:r>
      <w:r>
        <w:t>to</w:t>
      </w:r>
      <w:r>
        <w:rPr>
          <w:spacing w:val="-11"/>
        </w:rPr>
        <w:t xml:space="preserve"> </w:t>
      </w:r>
      <w:r>
        <w:t>national specifications and</w:t>
      </w:r>
      <w:r>
        <w:rPr>
          <w:spacing w:val="-2"/>
        </w:rPr>
        <w:t xml:space="preserve"> </w:t>
      </w:r>
      <w:r>
        <w:t>quality standards remains</w:t>
      </w:r>
      <w:r>
        <w:rPr>
          <w:spacing w:val="-2"/>
        </w:rPr>
        <w:t xml:space="preserve"> </w:t>
      </w:r>
      <w:r>
        <w:t>uneven across</w:t>
      </w:r>
      <w:r>
        <w:rPr>
          <w:spacing w:val="-2"/>
        </w:rPr>
        <w:t xml:space="preserve"> </w:t>
      </w:r>
      <w:r>
        <w:t>provinces and</w:t>
      </w:r>
      <w:r>
        <w:rPr>
          <w:spacing w:val="-2"/>
        </w:rPr>
        <w:t xml:space="preserve"> </w:t>
      </w:r>
      <w:r>
        <w:t>sectors,</w:t>
      </w:r>
      <w:r>
        <w:rPr>
          <w:spacing w:val="-2"/>
        </w:rPr>
        <w:t xml:space="preserve"> </w:t>
      </w:r>
      <w:r>
        <w:t>stakeholder surveys show</w:t>
      </w:r>
      <w:r>
        <w:rPr>
          <w:spacing w:val="-9"/>
        </w:rPr>
        <w:t xml:space="preserve"> </w:t>
      </w:r>
      <w:r>
        <w:t>encouraging</w:t>
      </w:r>
      <w:r>
        <w:rPr>
          <w:spacing w:val="-11"/>
        </w:rPr>
        <w:t xml:space="preserve"> </w:t>
      </w:r>
      <w:r>
        <w:t>results,</w:t>
      </w:r>
      <w:r>
        <w:rPr>
          <w:spacing w:val="-12"/>
        </w:rPr>
        <w:t xml:space="preserve"> </w:t>
      </w:r>
      <w:r>
        <w:t>with</w:t>
      </w:r>
      <w:r>
        <w:rPr>
          <w:spacing w:val="-8"/>
        </w:rPr>
        <w:t xml:space="preserve"> </w:t>
      </w:r>
      <w:r>
        <w:t>66%</w:t>
      </w:r>
      <w:r>
        <w:rPr>
          <w:spacing w:val="-11"/>
        </w:rPr>
        <w:t xml:space="preserve"> </w:t>
      </w:r>
      <w:r>
        <w:t>of</w:t>
      </w:r>
      <w:r>
        <w:rPr>
          <w:spacing w:val="-12"/>
        </w:rPr>
        <w:t xml:space="preserve"> </w:t>
      </w:r>
      <w:r>
        <w:t>130</w:t>
      </w:r>
      <w:r>
        <w:rPr>
          <w:spacing w:val="-10"/>
        </w:rPr>
        <w:t xml:space="preserve"> </w:t>
      </w:r>
      <w:r>
        <w:t>respondents</w:t>
      </w:r>
      <w:r>
        <w:rPr>
          <w:spacing w:val="-7"/>
        </w:rPr>
        <w:t xml:space="preserve"> </w:t>
      </w:r>
      <w:r>
        <w:t>reporting</w:t>
      </w:r>
      <w:r>
        <w:rPr>
          <w:spacing w:val="-13"/>
        </w:rPr>
        <w:t xml:space="preserve"> </w:t>
      </w:r>
      <w:r>
        <w:t>improved</w:t>
      </w:r>
      <w:r>
        <w:rPr>
          <w:spacing w:val="-9"/>
        </w:rPr>
        <w:t xml:space="preserve"> </w:t>
      </w:r>
      <w:r>
        <w:t>data</w:t>
      </w:r>
      <w:r>
        <w:rPr>
          <w:spacing w:val="-11"/>
        </w:rPr>
        <w:t xml:space="preserve"> </w:t>
      </w:r>
      <w:r>
        <w:t>quality</w:t>
      </w:r>
      <w:r>
        <w:rPr>
          <w:spacing w:val="-7"/>
        </w:rPr>
        <w:t xml:space="preserve"> </w:t>
      </w:r>
      <w:r>
        <w:t>due</w:t>
      </w:r>
      <w:r>
        <w:rPr>
          <w:spacing w:val="-9"/>
        </w:rPr>
        <w:t xml:space="preserve"> </w:t>
      </w:r>
      <w:r>
        <w:t>to</w:t>
      </w:r>
      <w:r>
        <w:rPr>
          <w:spacing w:val="-11"/>
        </w:rPr>
        <w:t xml:space="preserve"> </w:t>
      </w:r>
      <w:r>
        <w:t xml:space="preserve">SKALA’s </w:t>
      </w:r>
      <w:r>
        <w:rPr>
          <w:spacing w:val="-2"/>
        </w:rPr>
        <w:t>support.</w:t>
      </w:r>
    </w:p>
    <w:p w14:paraId="2035B6C9" w14:textId="77777777" w:rsidR="00BC24A8" w:rsidRDefault="00BC24A8">
      <w:pPr>
        <w:pStyle w:val="BodyText"/>
        <w:rPr>
          <w:sz w:val="20"/>
        </w:rPr>
      </w:pPr>
    </w:p>
    <w:p w14:paraId="47B1EFBF" w14:textId="77777777" w:rsidR="00BC24A8" w:rsidRDefault="00000000">
      <w:pPr>
        <w:pStyle w:val="BodyText"/>
        <w:spacing w:before="189"/>
        <w:rPr>
          <w:sz w:val="20"/>
        </w:rPr>
      </w:pPr>
      <w:r>
        <w:rPr>
          <w:noProof/>
          <w:sz w:val="20"/>
        </w:rPr>
        <mc:AlternateContent>
          <mc:Choice Requires="wps">
            <w:drawing>
              <wp:anchor distT="0" distB="0" distL="0" distR="0" simplePos="0" relativeHeight="487591424" behindDoc="1" locked="0" layoutInCell="1" allowOverlap="1" wp14:anchorId="724E82BB" wp14:editId="7F69ACC5">
                <wp:simplePos x="0" y="0"/>
                <wp:positionH relativeFrom="page">
                  <wp:posOffset>900683</wp:posOffset>
                </wp:positionH>
                <wp:positionV relativeFrom="paragraph">
                  <wp:posOffset>290749</wp:posOffset>
                </wp:positionV>
                <wp:extent cx="1828800" cy="9525"/>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F58E12" id="Graphic 24" o:spid="_x0000_s1026" alt="&quot;&quot;" style="position:absolute;margin-left:70.9pt;margin-top:22.9pt;width:2in;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" path="m1828800,l,,,9144r1828800,l1828800,xe" fillcolor="black" stroked="f">
                <v:path arrowok="t"/>
                <w10:wrap type="topAndBottom" anchorx="page"/>
              </v:shape>
            </w:pict>
          </mc:Fallback>
        </mc:AlternateContent>
      </w:r>
    </w:p>
    <w:p w14:paraId="10474B1B" w14:textId="77777777" w:rsidR="00BC24A8" w:rsidRDefault="00BC24A8">
      <w:pPr>
        <w:pStyle w:val="BodyText"/>
        <w:spacing w:before="105"/>
        <w:rPr>
          <w:sz w:val="16"/>
        </w:rPr>
      </w:pPr>
    </w:p>
    <w:p w14:paraId="1A1900AF" w14:textId="77777777" w:rsidR="00BC24A8" w:rsidRDefault="00000000">
      <w:pPr>
        <w:spacing w:before="1"/>
        <w:ind w:left="143" w:right="327"/>
        <w:rPr>
          <w:sz w:val="16"/>
        </w:rPr>
      </w:pPr>
      <w:bookmarkStart w:id="49" w:name="_bookmark30"/>
      <w:bookmarkEnd w:id="49"/>
      <w:r>
        <w:rPr>
          <w:color w:val="767070"/>
          <w:sz w:val="16"/>
          <w:vertAlign w:val="superscript"/>
        </w:rPr>
        <w:t>10</w:t>
      </w:r>
      <w:r>
        <w:rPr>
          <w:color w:val="767070"/>
          <w:sz w:val="16"/>
        </w:rPr>
        <w:t xml:space="preserve"> MoF regulation 64/2024 on regional endowment funds, MoF regulation 85/2024 on assessment of land and building taxes, MoF policy</w:t>
      </w:r>
      <w:r>
        <w:rPr>
          <w:color w:val="767070"/>
          <w:spacing w:val="40"/>
          <w:sz w:val="16"/>
        </w:rPr>
        <w:t xml:space="preserve"> </w:t>
      </w:r>
      <w:r>
        <w:rPr>
          <w:color w:val="767070"/>
          <w:sz w:val="16"/>
        </w:rPr>
        <w:t>42/KM.7/2024 on tagging details of regional expenditures from regional tax revenues, Joint commitment between the central government</w:t>
      </w:r>
      <w:r>
        <w:rPr>
          <w:color w:val="767070"/>
          <w:spacing w:val="40"/>
          <w:sz w:val="16"/>
        </w:rPr>
        <w:t xml:space="preserve"> </w:t>
      </w:r>
      <w:r>
        <w:rPr>
          <w:color w:val="767070"/>
          <w:sz w:val="16"/>
        </w:rPr>
        <w:t>(MoHA,</w:t>
      </w:r>
      <w:r>
        <w:rPr>
          <w:color w:val="767070"/>
          <w:spacing w:val="-5"/>
          <w:sz w:val="16"/>
        </w:rPr>
        <w:t xml:space="preserve"> </w:t>
      </w:r>
      <w:r>
        <w:rPr>
          <w:color w:val="767070"/>
          <w:sz w:val="16"/>
        </w:rPr>
        <w:t>MoF,</w:t>
      </w:r>
      <w:r>
        <w:rPr>
          <w:color w:val="767070"/>
          <w:spacing w:val="-5"/>
          <w:sz w:val="16"/>
        </w:rPr>
        <w:t xml:space="preserve"> </w:t>
      </w:r>
      <w:r>
        <w:rPr>
          <w:color w:val="767070"/>
          <w:sz w:val="16"/>
        </w:rPr>
        <w:t>Jasaraharja,</w:t>
      </w:r>
      <w:r>
        <w:rPr>
          <w:color w:val="767070"/>
          <w:spacing w:val="-5"/>
          <w:sz w:val="16"/>
        </w:rPr>
        <w:t xml:space="preserve"> </w:t>
      </w:r>
      <w:r>
        <w:rPr>
          <w:color w:val="767070"/>
          <w:sz w:val="16"/>
        </w:rPr>
        <w:t>Korlantas</w:t>
      </w:r>
      <w:r>
        <w:rPr>
          <w:color w:val="767070"/>
          <w:spacing w:val="-4"/>
          <w:sz w:val="16"/>
        </w:rPr>
        <w:t xml:space="preserve"> </w:t>
      </w:r>
      <w:r>
        <w:rPr>
          <w:color w:val="767070"/>
          <w:sz w:val="16"/>
        </w:rPr>
        <w:t>Polri)</w:t>
      </w:r>
      <w:r>
        <w:rPr>
          <w:color w:val="767070"/>
          <w:spacing w:val="-4"/>
          <w:sz w:val="16"/>
        </w:rPr>
        <w:t xml:space="preserve"> </w:t>
      </w:r>
      <w:r>
        <w:rPr>
          <w:color w:val="767070"/>
          <w:sz w:val="16"/>
        </w:rPr>
        <w:t>and</w:t>
      </w:r>
      <w:r>
        <w:rPr>
          <w:color w:val="767070"/>
          <w:spacing w:val="-4"/>
          <w:sz w:val="16"/>
        </w:rPr>
        <w:t xml:space="preserve"> </w:t>
      </w:r>
      <w:r>
        <w:rPr>
          <w:color w:val="767070"/>
          <w:sz w:val="16"/>
        </w:rPr>
        <w:t>the</w:t>
      </w:r>
      <w:r>
        <w:rPr>
          <w:color w:val="767070"/>
          <w:spacing w:val="-4"/>
          <w:sz w:val="16"/>
        </w:rPr>
        <w:t xml:space="preserve"> </w:t>
      </w:r>
      <w:r>
        <w:rPr>
          <w:color w:val="767070"/>
          <w:sz w:val="16"/>
        </w:rPr>
        <w:t>provinces</w:t>
      </w:r>
      <w:r>
        <w:rPr>
          <w:color w:val="767070"/>
          <w:spacing w:val="-4"/>
          <w:sz w:val="16"/>
        </w:rPr>
        <w:t xml:space="preserve"> </w:t>
      </w:r>
      <w:r>
        <w:rPr>
          <w:color w:val="767070"/>
          <w:sz w:val="16"/>
        </w:rPr>
        <w:t>on</w:t>
      </w:r>
      <w:r>
        <w:rPr>
          <w:color w:val="767070"/>
          <w:spacing w:val="-4"/>
          <w:sz w:val="16"/>
        </w:rPr>
        <w:t xml:space="preserve"> </w:t>
      </w:r>
      <w:r>
        <w:rPr>
          <w:color w:val="767070"/>
          <w:sz w:val="16"/>
        </w:rPr>
        <w:t>readiness</w:t>
      </w:r>
      <w:r>
        <w:rPr>
          <w:color w:val="767070"/>
          <w:spacing w:val="-4"/>
          <w:sz w:val="16"/>
        </w:rPr>
        <w:t xml:space="preserve"> </w:t>
      </w:r>
      <w:r>
        <w:rPr>
          <w:color w:val="767070"/>
          <w:sz w:val="16"/>
        </w:rPr>
        <w:t>to</w:t>
      </w:r>
      <w:r>
        <w:rPr>
          <w:color w:val="767070"/>
          <w:spacing w:val="-4"/>
          <w:sz w:val="16"/>
        </w:rPr>
        <w:t xml:space="preserve"> </w:t>
      </w:r>
      <w:r>
        <w:rPr>
          <w:color w:val="767070"/>
          <w:sz w:val="16"/>
        </w:rPr>
        <w:t>implement</w:t>
      </w:r>
      <w:r>
        <w:rPr>
          <w:color w:val="767070"/>
          <w:spacing w:val="-4"/>
          <w:sz w:val="16"/>
        </w:rPr>
        <w:t xml:space="preserve"> </w:t>
      </w:r>
      <w:r>
        <w:rPr>
          <w:color w:val="767070"/>
          <w:sz w:val="16"/>
        </w:rPr>
        <w:t>the</w:t>
      </w:r>
      <w:r>
        <w:rPr>
          <w:color w:val="767070"/>
          <w:spacing w:val="-4"/>
          <w:sz w:val="16"/>
        </w:rPr>
        <w:t xml:space="preserve"> </w:t>
      </w:r>
      <w:r>
        <w:rPr>
          <w:color w:val="767070"/>
          <w:sz w:val="16"/>
        </w:rPr>
        <w:t>PKB</w:t>
      </w:r>
      <w:r>
        <w:rPr>
          <w:color w:val="767070"/>
          <w:spacing w:val="-4"/>
          <w:sz w:val="16"/>
        </w:rPr>
        <w:t xml:space="preserve"> </w:t>
      </w:r>
      <w:r>
        <w:rPr>
          <w:color w:val="767070"/>
          <w:sz w:val="16"/>
        </w:rPr>
        <w:t>opsen</w:t>
      </w:r>
      <w:r>
        <w:rPr>
          <w:color w:val="767070"/>
          <w:spacing w:val="-4"/>
          <w:sz w:val="16"/>
        </w:rPr>
        <w:t xml:space="preserve"> </w:t>
      </w:r>
      <w:r>
        <w:rPr>
          <w:color w:val="767070"/>
          <w:sz w:val="16"/>
        </w:rPr>
        <w:t>and</w:t>
      </w:r>
      <w:r>
        <w:rPr>
          <w:color w:val="767070"/>
          <w:spacing w:val="-4"/>
          <w:sz w:val="16"/>
        </w:rPr>
        <w:t xml:space="preserve"> </w:t>
      </w:r>
      <w:r>
        <w:rPr>
          <w:color w:val="767070"/>
          <w:sz w:val="16"/>
        </w:rPr>
        <w:t>BBNKB</w:t>
      </w:r>
      <w:r>
        <w:rPr>
          <w:color w:val="767070"/>
          <w:spacing w:val="-4"/>
          <w:sz w:val="16"/>
        </w:rPr>
        <w:t xml:space="preserve"> </w:t>
      </w:r>
      <w:r>
        <w:rPr>
          <w:color w:val="767070"/>
          <w:sz w:val="16"/>
        </w:rPr>
        <w:t>opsen</w:t>
      </w:r>
      <w:r>
        <w:rPr>
          <w:color w:val="767070"/>
          <w:spacing w:val="-4"/>
          <w:sz w:val="16"/>
        </w:rPr>
        <w:t xml:space="preserve"> </w:t>
      </w:r>
      <w:r>
        <w:rPr>
          <w:color w:val="767070"/>
          <w:sz w:val="16"/>
        </w:rPr>
        <w:t>policies,</w:t>
      </w:r>
      <w:r>
        <w:rPr>
          <w:color w:val="767070"/>
          <w:spacing w:val="-5"/>
          <w:sz w:val="16"/>
        </w:rPr>
        <w:t xml:space="preserve"> </w:t>
      </w:r>
      <w:r>
        <w:rPr>
          <w:color w:val="767070"/>
          <w:sz w:val="16"/>
        </w:rPr>
        <w:t>Guidelines</w:t>
      </w:r>
      <w:r>
        <w:rPr>
          <w:color w:val="767070"/>
          <w:spacing w:val="40"/>
          <w:sz w:val="16"/>
        </w:rPr>
        <w:t xml:space="preserve"> </w:t>
      </w:r>
      <w:r>
        <w:rPr>
          <w:color w:val="767070"/>
          <w:sz w:val="16"/>
        </w:rPr>
        <w:t>on diagnostic tools for self-assessment of regional PAD potential through PDRD</w:t>
      </w:r>
    </w:p>
    <w:p w14:paraId="4C3C040D" w14:textId="77777777" w:rsidR="00BC24A8" w:rsidRDefault="00000000">
      <w:pPr>
        <w:spacing w:line="194" w:lineRule="exact"/>
        <w:ind w:left="143"/>
        <w:rPr>
          <w:sz w:val="16"/>
        </w:rPr>
      </w:pPr>
      <w:bookmarkStart w:id="50" w:name="_bookmark31"/>
      <w:bookmarkEnd w:id="50"/>
      <w:r>
        <w:rPr>
          <w:color w:val="767070"/>
          <w:sz w:val="16"/>
          <w:vertAlign w:val="superscript"/>
        </w:rPr>
        <w:t>11</w:t>
      </w:r>
      <w:r>
        <w:rPr>
          <w:color w:val="767070"/>
          <w:spacing w:val="-5"/>
          <w:sz w:val="16"/>
        </w:rPr>
        <w:t xml:space="preserve"> </w:t>
      </w:r>
      <w:r>
        <w:rPr>
          <w:color w:val="767070"/>
          <w:sz w:val="16"/>
        </w:rPr>
        <w:t>Law</w:t>
      </w:r>
      <w:r>
        <w:rPr>
          <w:color w:val="767070"/>
          <w:spacing w:val="-3"/>
          <w:sz w:val="16"/>
        </w:rPr>
        <w:t xml:space="preserve"> </w:t>
      </w:r>
      <w:r>
        <w:rPr>
          <w:color w:val="767070"/>
          <w:sz w:val="16"/>
        </w:rPr>
        <w:t>No.</w:t>
      </w:r>
      <w:r>
        <w:rPr>
          <w:color w:val="767070"/>
          <w:spacing w:val="-5"/>
          <w:sz w:val="16"/>
        </w:rPr>
        <w:t xml:space="preserve"> </w:t>
      </w:r>
      <w:r>
        <w:rPr>
          <w:color w:val="767070"/>
          <w:sz w:val="16"/>
        </w:rPr>
        <w:t>1</w:t>
      </w:r>
      <w:r>
        <w:rPr>
          <w:color w:val="767070"/>
          <w:spacing w:val="-4"/>
          <w:sz w:val="16"/>
        </w:rPr>
        <w:t xml:space="preserve"> </w:t>
      </w:r>
      <w:r>
        <w:rPr>
          <w:color w:val="767070"/>
          <w:sz w:val="16"/>
        </w:rPr>
        <w:t>HKPD</w:t>
      </w:r>
      <w:r>
        <w:rPr>
          <w:color w:val="767070"/>
          <w:spacing w:val="-5"/>
          <w:sz w:val="16"/>
        </w:rPr>
        <w:t xml:space="preserve"> </w:t>
      </w:r>
      <w:r>
        <w:rPr>
          <w:color w:val="767070"/>
          <w:sz w:val="16"/>
        </w:rPr>
        <w:t>and</w:t>
      </w:r>
      <w:r>
        <w:rPr>
          <w:color w:val="767070"/>
          <w:spacing w:val="-3"/>
          <w:sz w:val="16"/>
        </w:rPr>
        <w:t xml:space="preserve"> </w:t>
      </w:r>
      <w:r>
        <w:rPr>
          <w:color w:val="767070"/>
          <w:sz w:val="16"/>
        </w:rPr>
        <w:t>PP</w:t>
      </w:r>
      <w:r>
        <w:rPr>
          <w:color w:val="767070"/>
          <w:spacing w:val="-4"/>
          <w:sz w:val="16"/>
        </w:rPr>
        <w:t xml:space="preserve"> </w:t>
      </w:r>
      <w:r>
        <w:rPr>
          <w:color w:val="767070"/>
          <w:sz w:val="16"/>
        </w:rPr>
        <w:t>35</w:t>
      </w:r>
      <w:r>
        <w:rPr>
          <w:color w:val="767070"/>
          <w:spacing w:val="-4"/>
          <w:sz w:val="16"/>
        </w:rPr>
        <w:t xml:space="preserve"> </w:t>
      </w:r>
      <w:r>
        <w:rPr>
          <w:color w:val="767070"/>
          <w:sz w:val="16"/>
        </w:rPr>
        <w:t>related</w:t>
      </w:r>
      <w:r>
        <w:rPr>
          <w:color w:val="767070"/>
          <w:spacing w:val="-3"/>
          <w:sz w:val="16"/>
        </w:rPr>
        <w:t xml:space="preserve"> </w:t>
      </w:r>
      <w:r>
        <w:rPr>
          <w:color w:val="767070"/>
          <w:sz w:val="16"/>
        </w:rPr>
        <w:t>to</w:t>
      </w:r>
      <w:r>
        <w:rPr>
          <w:color w:val="767070"/>
          <w:spacing w:val="-6"/>
          <w:sz w:val="16"/>
        </w:rPr>
        <w:t xml:space="preserve"> </w:t>
      </w:r>
      <w:r>
        <w:rPr>
          <w:color w:val="767070"/>
          <w:sz w:val="16"/>
        </w:rPr>
        <w:t>the</w:t>
      </w:r>
      <w:r>
        <w:rPr>
          <w:color w:val="767070"/>
          <w:spacing w:val="-4"/>
          <w:sz w:val="16"/>
        </w:rPr>
        <w:t xml:space="preserve"> </w:t>
      </w:r>
      <w:r>
        <w:rPr>
          <w:color w:val="767070"/>
          <w:sz w:val="16"/>
        </w:rPr>
        <w:t>implementation</w:t>
      </w:r>
      <w:r>
        <w:rPr>
          <w:color w:val="767070"/>
          <w:spacing w:val="-3"/>
          <w:sz w:val="16"/>
        </w:rPr>
        <w:t xml:space="preserve"> </w:t>
      </w:r>
      <w:r>
        <w:rPr>
          <w:color w:val="767070"/>
          <w:sz w:val="16"/>
        </w:rPr>
        <w:t>of</w:t>
      </w:r>
      <w:r>
        <w:rPr>
          <w:color w:val="767070"/>
          <w:spacing w:val="-4"/>
          <w:sz w:val="16"/>
        </w:rPr>
        <w:t xml:space="preserve"> PDRD</w:t>
      </w:r>
    </w:p>
    <w:p w14:paraId="357455B1" w14:textId="77777777" w:rsidR="00BC24A8" w:rsidRDefault="00000000">
      <w:pPr>
        <w:spacing w:before="1"/>
        <w:ind w:left="143"/>
        <w:rPr>
          <w:sz w:val="16"/>
        </w:rPr>
      </w:pPr>
      <w:bookmarkStart w:id="51" w:name="_bookmark32"/>
      <w:bookmarkEnd w:id="51"/>
      <w:r>
        <w:rPr>
          <w:color w:val="767070"/>
          <w:sz w:val="16"/>
          <w:vertAlign w:val="superscript"/>
        </w:rPr>
        <w:t>12</w:t>
      </w:r>
      <w:r>
        <w:rPr>
          <w:color w:val="767070"/>
          <w:spacing w:val="-10"/>
          <w:sz w:val="16"/>
        </w:rPr>
        <w:t xml:space="preserve"> </w:t>
      </w:r>
      <w:r>
        <w:rPr>
          <w:color w:val="767070"/>
          <w:sz w:val="16"/>
        </w:rPr>
        <w:t>Undertaken</w:t>
      </w:r>
      <w:r>
        <w:rPr>
          <w:color w:val="767070"/>
          <w:spacing w:val="-9"/>
          <w:sz w:val="16"/>
        </w:rPr>
        <w:t xml:space="preserve"> </w:t>
      </w:r>
      <w:r>
        <w:rPr>
          <w:color w:val="767070"/>
          <w:sz w:val="16"/>
        </w:rPr>
        <w:t>in</w:t>
      </w:r>
      <w:r>
        <w:rPr>
          <w:color w:val="767070"/>
          <w:spacing w:val="-8"/>
          <w:sz w:val="16"/>
        </w:rPr>
        <w:t xml:space="preserve"> </w:t>
      </w:r>
      <w:r>
        <w:rPr>
          <w:color w:val="767070"/>
          <w:sz w:val="16"/>
        </w:rPr>
        <w:t>Kalimantan</w:t>
      </w:r>
      <w:r>
        <w:rPr>
          <w:color w:val="767070"/>
          <w:spacing w:val="-7"/>
          <w:sz w:val="16"/>
        </w:rPr>
        <w:t xml:space="preserve"> </w:t>
      </w:r>
      <w:r>
        <w:rPr>
          <w:color w:val="767070"/>
          <w:sz w:val="16"/>
        </w:rPr>
        <w:t>Utara,</w:t>
      </w:r>
      <w:r>
        <w:rPr>
          <w:color w:val="767070"/>
          <w:spacing w:val="-9"/>
          <w:sz w:val="16"/>
        </w:rPr>
        <w:t xml:space="preserve"> </w:t>
      </w:r>
      <w:r>
        <w:rPr>
          <w:color w:val="767070"/>
          <w:sz w:val="16"/>
        </w:rPr>
        <w:t>Aceh,</w:t>
      </w:r>
      <w:r>
        <w:rPr>
          <w:color w:val="767070"/>
          <w:spacing w:val="-9"/>
          <w:sz w:val="16"/>
        </w:rPr>
        <w:t xml:space="preserve"> </w:t>
      </w:r>
      <w:r>
        <w:rPr>
          <w:color w:val="767070"/>
          <w:sz w:val="16"/>
        </w:rPr>
        <w:t>NTB,</w:t>
      </w:r>
      <w:r>
        <w:rPr>
          <w:color w:val="767070"/>
          <w:spacing w:val="-9"/>
          <w:sz w:val="16"/>
        </w:rPr>
        <w:t xml:space="preserve"> </w:t>
      </w:r>
      <w:r>
        <w:rPr>
          <w:color w:val="767070"/>
          <w:sz w:val="16"/>
        </w:rPr>
        <w:t>Kalimantan</w:t>
      </w:r>
      <w:r>
        <w:rPr>
          <w:color w:val="767070"/>
          <w:spacing w:val="-7"/>
          <w:sz w:val="16"/>
        </w:rPr>
        <w:t xml:space="preserve"> </w:t>
      </w:r>
      <w:r>
        <w:rPr>
          <w:color w:val="767070"/>
          <w:sz w:val="16"/>
        </w:rPr>
        <w:t>Utara,</w:t>
      </w:r>
      <w:r>
        <w:rPr>
          <w:color w:val="767070"/>
          <w:spacing w:val="-9"/>
          <w:sz w:val="16"/>
        </w:rPr>
        <w:t xml:space="preserve"> </w:t>
      </w:r>
      <w:r>
        <w:rPr>
          <w:color w:val="767070"/>
          <w:sz w:val="16"/>
        </w:rPr>
        <w:t>Maluku,</w:t>
      </w:r>
      <w:r>
        <w:rPr>
          <w:color w:val="767070"/>
          <w:spacing w:val="-9"/>
          <w:sz w:val="16"/>
        </w:rPr>
        <w:t xml:space="preserve"> </w:t>
      </w:r>
      <w:r>
        <w:rPr>
          <w:color w:val="767070"/>
          <w:sz w:val="16"/>
        </w:rPr>
        <w:t>Gorontalo,</w:t>
      </w:r>
      <w:r>
        <w:rPr>
          <w:color w:val="767070"/>
          <w:spacing w:val="-9"/>
          <w:sz w:val="16"/>
        </w:rPr>
        <w:t xml:space="preserve"> </w:t>
      </w:r>
      <w:r>
        <w:rPr>
          <w:color w:val="767070"/>
          <w:sz w:val="16"/>
        </w:rPr>
        <w:t>Maluku</w:t>
      </w:r>
      <w:r>
        <w:rPr>
          <w:color w:val="767070"/>
          <w:spacing w:val="-9"/>
          <w:sz w:val="16"/>
        </w:rPr>
        <w:t xml:space="preserve"> </w:t>
      </w:r>
      <w:r>
        <w:rPr>
          <w:color w:val="767070"/>
          <w:sz w:val="16"/>
        </w:rPr>
        <w:t>and</w:t>
      </w:r>
      <w:r>
        <w:rPr>
          <w:color w:val="767070"/>
          <w:spacing w:val="-7"/>
          <w:sz w:val="16"/>
        </w:rPr>
        <w:t xml:space="preserve"> </w:t>
      </w:r>
      <w:r>
        <w:rPr>
          <w:color w:val="767070"/>
          <w:sz w:val="16"/>
        </w:rPr>
        <w:t>South</w:t>
      </w:r>
      <w:r>
        <w:rPr>
          <w:color w:val="767070"/>
          <w:spacing w:val="-9"/>
          <w:sz w:val="16"/>
        </w:rPr>
        <w:t xml:space="preserve"> </w:t>
      </w:r>
      <w:r>
        <w:rPr>
          <w:color w:val="767070"/>
          <w:spacing w:val="-2"/>
          <w:sz w:val="16"/>
        </w:rPr>
        <w:t>Papua</w:t>
      </w:r>
    </w:p>
    <w:p w14:paraId="4B084184" w14:textId="77777777" w:rsidR="00BC24A8" w:rsidRDefault="00BC24A8">
      <w:pPr>
        <w:rPr>
          <w:sz w:val="16"/>
        </w:rPr>
        <w:sectPr w:rsidR="00BC24A8">
          <w:pgSz w:w="11910" w:h="16840"/>
          <w:pgMar w:top="1360" w:right="1133" w:bottom="1100" w:left="1275" w:header="0" w:footer="907" w:gutter="0"/>
          <w:cols w:space="720"/>
        </w:sectPr>
      </w:pPr>
    </w:p>
    <w:p w14:paraId="16C6331B" w14:textId="77777777" w:rsidR="00BC24A8" w:rsidRDefault="00000000">
      <w:pPr>
        <w:pStyle w:val="BodyText"/>
        <w:spacing w:before="39" w:line="278" w:lineRule="auto"/>
        <w:ind w:left="143" w:right="279"/>
        <w:jc w:val="both"/>
      </w:pPr>
      <w:r>
        <w:lastRenderedPageBreak/>
        <w:t>As of June 2025, 9/10 SKALA partner provinces have advanced enabling regulations, decrees, and support systems and institutions needed to implement One Regional Data policies. Most provinces</w:t>
      </w:r>
      <w:hyperlink w:anchor="_bookmark33" w:history="1">
        <w:r w:rsidR="00BC24A8">
          <w:rPr>
            <w:vertAlign w:val="superscript"/>
          </w:rPr>
          <w:t>13</w:t>
        </w:r>
      </w:hyperlink>
      <w:r>
        <w:t xml:space="preserve"> have functioning institutions</w:t>
      </w:r>
      <w:hyperlink w:anchor="_bookmark34" w:history="1">
        <w:r w:rsidR="00BC24A8">
          <w:rPr>
            <w:vertAlign w:val="superscript"/>
          </w:rPr>
          <w:t>14</w:t>
        </w:r>
      </w:hyperlink>
      <w:r>
        <w:t xml:space="preserve"> and have agreed on priority datasets for planning and budgeting and completed one cycle of collection. However, budgeting for SDD is also limited, with only a handful of provinces (NTB, NTT, Gorontalo, Maluku, Kaltara) allocating resources, raising concerns about </w:t>
      </w:r>
      <w:r>
        <w:rPr>
          <w:spacing w:val="-2"/>
        </w:rPr>
        <w:t>sustainability.</w:t>
      </w:r>
    </w:p>
    <w:p w14:paraId="4CA35798" w14:textId="77777777" w:rsidR="00BC24A8" w:rsidRDefault="00000000">
      <w:pPr>
        <w:pStyle w:val="BodyText"/>
        <w:spacing w:before="156" w:line="278" w:lineRule="auto"/>
        <w:ind w:left="143" w:right="281"/>
        <w:jc w:val="both"/>
      </w:pPr>
      <w:r>
        <w:t>SKALA has also made significant contributions to improved data availability with five provinces (Aceh, North</w:t>
      </w:r>
      <w:r>
        <w:rPr>
          <w:spacing w:val="-8"/>
        </w:rPr>
        <w:t xml:space="preserve"> </w:t>
      </w:r>
      <w:r>
        <w:t>Kalimantan,</w:t>
      </w:r>
      <w:r>
        <w:rPr>
          <w:spacing w:val="-5"/>
        </w:rPr>
        <w:t xml:space="preserve"> </w:t>
      </w:r>
      <w:r>
        <w:t>NTB,</w:t>
      </w:r>
      <w:r>
        <w:rPr>
          <w:spacing w:val="-7"/>
        </w:rPr>
        <w:t xml:space="preserve"> </w:t>
      </w:r>
      <w:r>
        <w:t>NTT,</w:t>
      </w:r>
      <w:r>
        <w:rPr>
          <w:spacing w:val="-5"/>
        </w:rPr>
        <w:t xml:space="preserve"> </w:t>
      </w:r>
      <w:r>
        <w:t>Gorontalo).</w:t>
      </w:r>
      <w:r>
        <w:rPr>
          <w:spacing w:val="-5"/>
        </w:rPr>
        <w:t xml:space="preserve"> </w:t>
      </w:r>
      <w:r>
        <w:t>These</w:t>
      </w:r>
      <w:r>
        <w:rPr>
          <w:spacing w:val="-7"/>
        </w:rPr>
        <w:t xml:space="preserve"> </w:t>
      </w:r>
      <w:r>
        <w:t>now</w:t>
      </w:r>
      <w:r>
        <w:rPr>
          <w:spacing w:val="-6"/>
        </w:rPr>
        <w:t xml:space="preserve"> </w:t>
      </w:r>
      <w:r>
        <w:t>have</w:t>
      </w:r>
      <w:r>
        <w:rPr>
          <w:spacing w:val="-5"/>
        </w:rPr>
        <w:t xml:space="preserve"> </w:t>
      </w:r>
      <w:r>
        <w:t>publicly</w:t>
      </w:r>
      <w:r>
        <w:rPr>
          <w:spacing w:val="-5"/>
        </w:rPr>
        <w:t xml:space="preserve"> </w:t>
      </w:r>
      <w:r>
        <w:t>accessible</w:t>
      </w:r>
      <w:r>
        <w:rPr>
          <w:spacing w:val="-5"/>
        </w:rPr>
        <w:t xml:space="preserve"> </w:t>
      </w:r>
      <w:r>
        <w:t>One</w:t>
      </w:r>
      <w:r>
        <w:rPr>
          <w:spacing w:val="-9"/>
        </w:rPr>
        <w:t xml:space="preserve"> </w:t>
      </w:r>
      <w:r>
        <w:t>Data</w:t>
      </w:r>
      <w:r>
        <w:rPr>
          <w:spacing w:val="-4"/>
        </w:rPr>
        <w:t xml:space="preserve"> </w:t>
      </w:r>
      <w:r>
        <w:t>portals.</w:t>
      </w:r>
      <w:r>
        <w:rPr>
          <w:spacing w:val="-5"/>
        </w:rPr>
        <w:t xml:space="preserve"> </w:t>
      </w:r>
      <w:r>
        <w:t>In</w:t>
      </w:r>
      <w:r>
        <w:rPr>
          <w:spacing w:val="-5"/>
        </w:rPr>
        <w:t xml:space="preserve"> </w:t>
      </w:r>
      <w:r>
        <w:t>Aceh, SKALA</w:t>
      </w:r>
      <w:r>
        <w:rPr>
          <w:spacing w:val="-13"/>
        </w:rPr>
        <w:t xml:space="preserve"> </w:t>
      </w:r>
      <w:r>
        <w:t>supported</w:t>
      </w:r>
      <w:r>
        <w:rPr>
          <w:spacing w:val="-12"/>
        </w:rPr>
        <w:t xml:space="preserve"> </w:t>
      </w:r>
      <w:r>
        <w:t>the</w:t>
      </w:r>
      <w:r>
        <w:rPr>
          <w:spacing w:val="-13"/>
        </w:rPr>
        <w:t xml:space="preserve"> </w:t>
      </w:r>
      <w:r>
        <w:t>expansion</w:t>
      </w:r>
      <w:r>
        <w:rPr>
          <w:spacing w:val="-12"/>
        </w:rPr>
        <w:t xml:space="preserve"> </w:t>
      </w:r>
      <w:r>
        <w:t>of</w:t>
      </w:r>
      <w:r>
        <w:rPr>
          <w:spacing w:val="-13"/>
        </w:rPr>
        <w:t xml:space="preserve"> </w:t>
      </w:r>
      <w:r>
        <w:t>GEDSI</w:t>
      </w:r>
      <w:r>
        <w:rPr>
          <w:spacing w:val="-12"/>
        </w:rPr>
        <w:t xml:space="preserve"> </w:t>
      </w:r>
      <w:r>
        <w:t>datasets—covering</w:t>
      </w:r>
      <w:r>
        <w:rPr>
          <w:spacing w:val="-13"/>
        </w:rPr>
        <w:t xml:space="preserve"> </w:t>
      </w:r>
      <w:r>
        <w:t>children</w:t>
      </w:r>
      <w:r>
        <w:rPr>
          <w:spacing w:val="-12"/>
        </w:rPr>
        <w:t xml:space="preserve"> </w:t>
      </w:r>
      <w:r>
        <w:t>with</w:t>
      </w:r>
      <w:r>
        <w:rPr>
          <w:spacing w:val="-12"/>
        </w:rPr>
        <w:t xml:space="preserve"> </w:t>
      </w:r>
      <w:r>
        <w:t>disabilities,</w:t>
      </w:r>
      <w:r>
        <w:rPr>
          <w:spacing w:val="-13"/>
        </w:rPr>
        <w:t xml:space="preserve"> </w:t>
      </w:r>
      <w:r>
        <w:t>prevalence</w:t>
      </w:r>
      <w:r>
        <w:rPr>
          <w:spacing w:val="-12"/>
        </w:rPr>
        <w:t xml:space="preserve"> </w:t>
      </w:r>
      <w:r>
        <w:t>rates, women’s political participation, and gender indices—through a participatory process with disability groups. These are now accessible via a user-friendly dashboard, enhancing transparency and usability for both government and citizens.</w:t>
      </w:r>
    </w:p>
    <w:p w14:paraId="31643251" w14:textId="77777777" w:rsidR="00BC24A8" w:rsidRDefault="00000000">
      <w:pPr>
        <w:pStyle w:val="BodyText"/>
        <w:spacing w:before="159" w:line="278" w:lineRule="auto"/>
        <w:ind w:left="143" w:right="280"/>
        <w:jc w:val="both"/>
      </w:pPr>
      <w:r>
        <w:t>SKALA</w:t>
      </w:r>
      <w:r>
        <w:rPr>
          <w:spacing w:val="-13"/>
        </w:rPr>
        <w:t xml:space="preserve"> </w:t>
      </w:r>
      <w:r>
        <w:t>is</w:t>
      </w:r>
      <w:r>
        <w:rPr>
          <w:spacing w:val="-12"/>
        </w:rPr>
        <w:t xml:space="preserve"> </w:t>
      </w:r>
      <w:r>
        <w:t>currently</w:t>
      </w:r>
      <w:r>
        <w:rPr>
          <w:spacing w:val="-13"/>
        </w:rPr>
        <w:t xml:space="preserve"> </w:t>
      </w:r>
      <w:r>
        <w:t>on</w:t>
      </w:r>
      <w:r>
        <w:rPr>
          <w:spacing w:val="-12"/>
        </w:rPr>
        <w:t xml:space="preserve"> </w:t>
      </w:r>
      <w:r>
        <w:t>track</w:t>
      </w:r>
      <w:r>
        <w:rPr>
          <w:spacing w:val="-13"/>
        </w:rPr>
        <w:t xml:space="preserve"> </w:t>
      </w:r>
      <w:r>
        <w:t>to</w:t>
      </w:r>
      <w:r>
        <w:rPr>
          <w:spacing w:val="-12"/>
        </w:rPr>
        <w:t xml:space="preserve"> </w:t>
      </w:r>
      <w:r>
        <w:t>deliver</w:t>
      </w:r>
      <w:r>
        <w:rPr>
          <w:spacing w:val="-13"/>
        </w:rPr>
        <w:t xml:space="preserve"> </w:t>
      </w:r>
      <w:r>
        <w:t>on</w:t>
      </w:r>
      <w:r>
        <w:rPr>
          <w:spacing w:val="-12"/>
        </w:rPr>
        <w:t xml:space="preserve"> </w:t>
      </w:r>
      <w:r>
        <w:t>its</w:t>
      </w:r>
      <w:r>
        <w:rPr>
          <w:spacing w:val="-12"/>
        </w:rPr>
        <w:t xml:space="preserve"> </w:t>
      </w:r>
      <w:r>
        <w:t>Phase</w:t>
      </w:r>
      <w:r>
        <w:rPr>
          <w:spacing w:val="-13"/>
        </w:rPr>
        <w:t xml:space="preserve"> </w:t>
      </w:r>
      <w:r>
        <w:t>1</w:t>
      </w:r>
      <w:r>
        <w:rPr>
          <w:spacing w:val="-12"/>
        </w:rPr>
        <w:t xml:space="preserve"> </w:t>
      </w:r>
      <w:r>
        <w:t>target.</w:t>
      </w:r>
      <w:r>
        <w:rPr>
          <w:spacing w:val="-13"/>
        </w:rPr>
        <w:t xml:space="preserve"> </w:t>
      </w:r>
      <w:r>
        <w:t>Despite</w:t>
      </w:r>
      <w:r>
        <w:rPr>
          <w:spacing w:val="-12"/>
        </w:rPr>
        <w:t xml:space="preserve"> </w:t>
      </w:r>
      <w:r>
        <w:t>SKALA</w:t>
      </w:r>
      <w:r>
        <w:rPr>
          <w:spacing w:val="-13"/>
        </w:rPr>
        <w:t xml:space="preserve"> </w:t>
      </w:r>
      <w:r>
        <w:t>supported</w:t>
      </w:r>
      <w:r>
        <w:rPr>
          <w:spacing w:val="-12"/>
        </w:rPr>
        <w:t xml:space="preserve"> </w:t>
      </w:r>
      <w:r>
        <w:t>regulatory</w:t>
      </w:r>
      <w:r>
        <w:rPr>
          <w:spacing w:val="-12"/>
        </w:rPr>
        <w:t xml:space="preserve"> </w:t>
      </w:r>
      <w:r>
        <w:t>progress, challenges</w:t>
      </w:r>
      <w:r>
        <w:rPr>
          <w:spacing w:val="-1"/>
        </w:rPr>
        <w:t xml:space="preserve"> </w:t>
      </w:r>
      <w:r>
        <w:t>persist</w:t>
      </w:r>
      <w:r>
        <w:rPr>
          <w:spacing w:val="-3"/>
        </w:rPr>
        <w:t xml:space="preserve"> </w:t>
      </w:r>
      <w:r>
        <w:t>in</w:t>
      </w:r>
      <w:r>
        <w:rPr>
          <w:spacing w:val="-4"/>
        </w:rPr>
        <w:t xml:space="preserve"> </w:t>
      </w:r>
      <w:r>
        <w:t>realising</w:t>
      </w:r>
      <w:r>
        <w:rPr>
          <w:spacing w:val="-3"/>
        </w:rPr>
        <w:t xml:space="preserve"> </w:t>
      </w:r>
      <w:r>
        <w:t>the</w:t>
      </w:r>
      <w:r>
        <w:rPr>
          <w:spacing w:val="-4"/>
        </w:rPr>
        <w:t xml:space="preserve"> </w:t>
      </w:r>
      <w:r>
        <w:t>value</w:t>
      </w:r>
      <w:r>
        <w:rPr>
          <w:spacing w:val="-6"/>
        </w:rPr>
        <w:t xml:space="preserve"> </w:t>
      </w:r>
      <w:r>
        <w:t>of</w:t>
      </w:r>
      <w:r>
        <w:rPr>
          <w:spacing w:val="-4"/>
        </w:rPr>
        <w:t xml:space="preserve"> </w:t>
      </w:r>
      <w:r>
        <w:t>data</w:t>
      </w:r>
      <w:r>
        <w:rPr>
          <w:spacing w:val="-6"/>
        </w:rPr>
        <w:t xml:space="preserve"> </w:t>
      </w:r>
      <w:r>
        <w:t>use.</w:t>
      </w:r>
      <w:r>
        <w:rPr>
          <w:spacing w:val="-4"/>
        </w:rPr>
        <w:t xml:space="preserve"> </w:t>
      </w:r>
      <w:r>
        <w:t>Monitoring</w:t>
      </w:r>
      <w:r>
        <w:rPr>
          <w:spacing w:val="-5"/>
        </w:rPr>
        <w:t xml:space="preserve"> </w:t>
      </w:r>
      <w:r>
        <w:t>data</w:t>
      </w:r>
      <w:r>
        <w:rPr>
          <w:spacing w:val="-6"/>
        </w:rPr>
        <w:t xml:space="preserve"> </w:t>
      </w:r>
      <w:r>
        <w:t>shows</w:t>
      </w:r>
      <w:r>
        <w:rPr>
          <w:spacing w:val="-4"/>
        </w:rPr>
        <w:t xml:space="preserve"> </w:t>
      </w:r>
      <w:r>
        <w:t>many</w:t>
      </w:r>
      <w:r>
        <w:rPr>
          <w:spacing w:val="-4"/>
        </w:rPr>
        <w:t xml:space="preserve"> </w:t>
      </w:r>
      <w:r>
        <w:t>provinces</w:t>
      </w:r>
      <w:r>
        <w:rPr>
          <w:spacing w:val="-4"/>
        </w:rPr>
        <w:t xml:space="preserve"> </w:t>
      </w:r>
      <w:r>
        <w:t>still</w:t>
      </w:r>
      <w:r>
        <w:rPr>
          <w:spacing w:val="-3"/>
        </w:rPr>
        <w:t xml:space="preserve"> </w:t>
      </w:r>
      <w:r>
        <w:t>require support to translate data analysis into decision-making, due to limited analytical capacity, incomplete datasets, and competing leadership priorities.</w:t>
      </w:r>
    </w:p>
    <w:p w14:paraId="6BEB2DEE" w14:textId="77777777" w:rsidR="00BC24A8" w:rsidRDefault="00000000">
      <w:pPr>
        <w:pStyle w:val="BodyText"/>
        <w:spacing w:before="158"/>
        <w:ind w:left="143"/>
        <w:jc w:val="both"/>
      </w:pPr>
      <w:r>
        <w:t>To</w:t>
      </w:r>
      <w:r>
        <w:rPr>
          <w:spacing w:val="-12"/>
        </w:rPr>
        <w:t xml:space="preserve"> </w:t>
      </w:r>
      <w:r>
        <w:t>consolidate</w:t>
      </w:r>
      <w:r>
        <w:rPr>
          <w:spacing w:val="-12"/>
        </w:rPr>
        <w:t xml:space="preserve"> </w:t>
      </w:r>
      <w:r>
        <w:t>IO5</w:t>
      </w:r>
      <w:r>
        <w:rPr>
          <w:spacing w:val="-10"/>
        </w:rPr>
        <w:t xml:space="preserve"> </w:t>
      </w:r>
      <w:r>
        <w:t>contributions,</w:t>
      </w:r>
      <w:r>
        <w:rPr>
          <w:spacing w:val="-12"/>
        </w:rPr>
        <w:t xml:space="preserve"> </w:t>
      </w:r>
      <w:r>
        <w:t>SKALA</w:t>
      </w:r>
      <w:r>
        <w:rPr>
          <w:spacing w:val="-13"/>
        </w:rPr>
        <w:t xml:space="preserve"> </w:t>
      </w:r>
      <w:r>
        <w:rPr>
          <w:spacing w:val="-2"/>
        </w:rPr>
        <w:t>should:</w:t>
      </w:r>
    </w:p>
    <w:p w14:paraId="384E01DE" w14:textId="77777777" w:rsidR="00BC24A8" w:rsidRDefault="00000000">
      <w:pPr>
        <w:pStyle w:val="ListParagraph"/>
        <w:numPr>
          <w:ilvl w:val="0"/>
          <w:numId w:val="168"/>
        </w:numPr>
        <w:tabs>
          <w:tab w:val="left" w:pos="861"/>
          <w:tab w:val="left" w:pos="863"/>
        </w:tabs>
        <w:spacing w:before="202" w:line="278" w:lineRule="auto"/>
        <w:ind w:right="282"/>
      </w:pPr>
      <w:r>
        <w:t>Support</w:t>
      </w:r>
      <w:r>
        <w:rPr>
          <w:spacing w:val="-3"/>
        </w:rPr>
        <w:t xml:space="preserve"> </w:t>
      </w:r>
      <w:r>
        <w:t>sustainable</w:t>
      </w:r>
      <w:r>
        <w:rPr>
          <w:spacing w:val="-1"/>
        </w:rPr>
        <w:t xml:space="preserve"> </w:t>
      </w:r>
      <w:r>
        <w:t>strategies to</w:t>
      </w:r>
      <w:r>
        <w:rPr>
          <w:spacing w:val="-2"/>
        </w:rPr>
        <w:t xml:space="preserve"> </w:t>
      </w:r>
      <w:r>
        <w:t>build</w:t>
      </w:r>
      <w:r>
        <w:rPr>
          <w:spacing w:val="-2"/>
        </w:rPr>
        <w:t xml:space="preserve"> </w:t>
      </w:r>
      <w:r>
        <w:t>provincial analytical competencies,</w:t>
      </w:r>
      <w:r>
        <w:rPr>
          <w:spacing w:val="-1"/>
        </w:rPr>
        <w:t xml:space="preserve"> </w:t>
      </w:r>
      <w:r>
        <w:t>linking</w:t>
      </w:r>
      <w:r>
        <w:rPr>
          <w:spacing w:val="-5"/>
        </w:rPr>
        <w:t xml:space="preserve"> </w:t>
      </w:r>
      <w:r>
        <w:t>data analysis to programming and budgeting.</w:t>
      </w:r>
    </w:p>
    <w:p w14:paraId="23AA659C" w14:textId="77777777" w:rsidR="00BC24A8" w:rsidRDefault="00000000">
      <w:pPr>
        <w:pStyle w:val="ListParagraph"/>
        <w:numPr>
          <w:ilvl w:val="0"/>
          <w:numId w:val="168"/>
        </w:numPr>
        <w:tabs>
          <w:tab w:val="left" w:pos="861"/>
          <w:tab w:val="left" w:pos="863"/>
        </w:tabs>
        <w:spacing w:before="159" w:line="276" w:lineRule="auto"/>
        <w:ind w:right="282"/>
      </w:pPr>
      <w:r>
        <w:t>Promote integration of online analytical, planning, and budgeting platforms to institutionalise data use.</w:t>
      </w:r>
    </w:p>
    <w:p w14:paraId="5B08E1D8" w14:textId="77777777" w:rsidR="00BC24A8" w:rsidRDefault="00000000">
      <w:pPr>
        <w:pStyle w:val="ListParagraph"/>
        <w:numPr>
          <w:ilvl w:val="0"/>
          <w:numId w:val="168"/>
        </w:numPr>
        <w:tabs>
          <w:tab w:val="left" w:pos="861"/>
          <w:tab w:val="left" w:pos="863"/>
        </w:tabs>
        <w:spacing w:before="165" w:line="276" w:lineRule="auto"/>
        <w:ind w:right="279"/>
      </w:pPr>
      <w:r>
        <w:t>Continue</w:t>
      </w:r>
      <w:r>
        <w:rPr>
          <w:spacing w:val="40"/>
        </w:rPr>
        <w:t xml:space="preserve"> </w:t>
      </w:r>
      <w:r>
        <w:t>strengthening</w:t>
      </w:r>
      <w:r>
        <w:rPr>
          <w:spacing w:val="40"/>
        </w:rPr>
        <w:t xml:space="preserve"> </w:t>
      </w:r>
      <w:r>
        <w:t>provincial</w:t>
      </w:r>
      <w:r>
        <w:rPr>
          <w:spacing w:val="40"/>
        </w:rPr>
        <w:t xml:space="preserve"> </w:t>
      </w:r>
      <w:r>
        <w:t>One</w:t>
      </w:r>
      <w:r>
        <w:rPr>
          <w:spacing w:val="40"/>
        </w:rPr>
        <w:t xml:space="preserve"> </w:t>
      </w:r>
      <w:r>
        <w:t>Data</w:t>
      </w:r>
      <w:r>
        <w:rPr>
          <w:spacing w:val="40"/>
        </w:rPr>
        <w:t xml:space="preserve"> </w:t>
      </w:r>
      <w:r>
        <w:t>forums,</w:t>
      </w:r>
      <w:r>
        <w:rPr>
          <w:spacing w:val="40"/>
        </w:rPr>
        <w:t xml:space="preserve"> </w:t>
      </w:r>
      <w:r>
        <w:t>including</w:t>
      </w:r>
      <w:r>
        <w:rPr>
          <w:spacing w:val="40"/>
        </w:rPr>
        <w:t xml:space="preserve"> </w:t>
      </w:r>
      <w:r>
        <w:t>financing</w:t>
      </w:r>
      <w:r>
        <w:rPr>
          <w:spacing w:val="40"/>
        </w:rPr>
        <w:t xml:space="preserve"> </w:t>
      </w:r>
      <w:r>
        <w:t>and</w:t>
      </w:r>
      <w:r>
        <w:rPr>
          <w:spacing w:val="40"/>
        </w:rPr>
        <w:t xml:space="preserve"> </w:t>
      </w:r>
      <w:r>
        <w:t>coordination mechanisms, with emphasis on GEDSI-disaggregated data.</w:t>
      </w:r>
    </w:p>
    <w:p w14:paraId="7ECD02F1" w14:textId="77777777" w:rsidR="00BC24A8" w:rsidRDefault="00BC24A8">
      <w:pPr>
        <w:pStyle w:val="BodyText"/>
      </w:pPr>
    </w:p>
    <w:p w14:paraId="19F6D1D6" w14:textId="77777777" w:rsidR="00BC24A8" w:rsidRDefault="00BC24A8">
      <w:pPr>
        <w:pStyle w:val="BodyText"/>
        <w:spacing w:before="98"/>
      </w:pPr>
    </w:p>
    <w:p w14:paraId="2CDCC301" w14:textId="77777777" w:rsidR="00BC24A8" w:rsidRDefault="00000000">
      <w:pPr>
        <w:pStyle w:val="Heading6"/>
        <w:ind w:left="142" w:right="0"/>
      </w:pPr>
      <w:r w:rsidRPr="00795364">
        <w:rPr>
          <w:color w:val="00827F"/>
        </w:rPr>
        <w:t>IOC:</w:t>
      </w:r>
      <w:r w:rsidRPr="00795364">
        <w:rPr>
          <w:color w:val="00827F"/>
          <w:spacing w:val="17"/>
        </w:rPr>
        <w:t xml:space="preserve"> </w:t>
      </w:r>
      <w:r w:rsidRPr="00795364">
        <w:rPr>
          <w:color w:val="00827F"/>
        </w:rPr>
        <w:t>Senior</w:t>
      </w:r>
      <w:r w:rsidRPr="00795364">
        <w:rPr>
          <w:color w:val="00827F"/>
          <w:spacing w:val="17"/>
        </w:rPr>
        <w:t xml:space="preserve"> </w:t>
      </w:r>
      <w:r w:rsidRPr="00795364">
        <w:rPr>
          <w:color w:val="00827F"/>
        </w:rPr>
        <w:t>leaders</w:t>
      </w:r>
      <w:r w:rsidRPr="00795364">
        <w:rPr>
          <w:color w:val="00827F"/>
          <w:spacing w:val="17"/>
        </w:rPr>
        <w:t xml:space="preserve"> </w:t>
      </w:r>
      <w:r w:rsidRPr="00795364">
        <w:rPr>
          <w:color w:val="00827F"/>
        </w:rPr>
        <w:t>in</w:t>
      </w:r>
      <w:r w:rsidRPr="00795364">
        <w:rPr>
          <w:color w:val="00827F"/>
          <w:spacing w:val="16"/>
        </w:rPr>
        <w:t xml:space="preserve"> </w:t>
      </w:r>
      <w:r w:rsidRPr="00795364">
        <w:rPr>
          <w:color w:val="00827F"/>
        </w:rPr>
        <w:t>selected</w:t>
      </w:r>
      <w:r w:rsidRPr="00795364">
        <w:rPr>
          <w:color w:val="00827F"/>
          <w:spacing w:val="15"/>
        </w:rPr>
        <w:t xml:space="preserve"> </w:t>
      </w:r>
      <w:r w:rsidRPr="00795364">
        <w:rPr>
          <w:color w:val="00827F"/>
        </w:rPr>
        <w:t>provincial</w:t>
      </w:r>
      <w:r w:rsidRPr="00795364">
        <w:rPr>
          <w:color w:val="00827F"/>
          <w:spacing w:val="18"/>
        </w:rPr>
        <w:t xml:space="preserve"> </w:t>
      </w:r>
      <w:r w:rsidRPr="00795364">
        <w:rPr>
          <w:color w:val="00827F"/>
        </w:rPr>
        <w:t>and</w:t>
      </w:r>
      <w:r w:rsidRPr="00795364">
        <w:rPr>
          <w:color w:val="00827F"/>
          <w:spacing w:val="18"/>
        </w:rPr>
        <w:t xml:space="preserve"> </w:t>
      </w:r>
      <w:r w:rsidRPr="00795364">
        <w:rPr>
          <w:color w:val="00827F"/>
        </w:rPr>
        <w:t>district</w:t>
      </w:r>
      <w:r w:rsidRPr="00795364">
        <w:rPr>
          <w:color w:val="00827F"/>
          <w:spacing w:val="17"/>
        </w:rPr>
        <w:t xml:space="preserve"> </w:t>
      </w:r>
      <w:r w:rsidRPr="00795364">
        <w:rPr>
          <w:color w:val="00827F"/>
        </w:rPr>
        <w:t>governments</w:t>
      </w:r>
      <w:r w:rsidRPr="00795364">
        <w:rPr>
          <w:color w:val="00827F"/>
          <w:spacing w:val="18"/>
        </w:rPr>
        <w:t xml:space="preserve"> </w:t>
      </w:r>
      <w:r w:rsidRPr="00795364">
        <w:rPr>
          <w:color w:val="00827F"/>
        </w:rPr>
        <w:t>better</w:t>
      </w:r>
      <w:r w:rsidRPr="00795364">
        <w:rPr>
          <w:color w:val="00827F"/>
          <w:spacing w:val="18"/>
        </w:rPr>
        <w:t xml:space="preserve"> </w:t>
      </w:r>
      <w:r w:rsidRPr="00795364">
        <w:rPr>
          <w:color w:val="00827F"/>
          <w:spacing w:val="-2"/>
        </w:rPr>
        <w:t>recognize,</w:t>
      </w:r>
    </w:p>
    <w:p w14:paraId="2C31C30C" w14:textId="77777777" w:rsidR="00BC24A8" w:rsidRDefault="00000000">
      <w:pPr>
        <w:spacing w:before="57"/>
        <w:ind w:left="142"/>
        <w:jc w:val="both"/>
        <w:rPr>
          <w:rFonts w:ascii="Trebuchet MS"/>
          <w:b/>
          <w:i/>
        </w:rPr>
      </w:pPr>
      <w:r w:rsidRPr="00795364">
        <w:rPr>
          <w:rFonts w:ascii="Trebuchet MS"/>
          <w:b/>
          <w:i/>
          <w:color w:val="00827F"/>
          <w:spacing w:val="-6"/>
        </w:rPr>
        <w:t>measure</w:t>
      </w:r>
      <w:r w:rsidRPr="00795364">
        <w:rPr>
          <w:rFonts w:ascii="Trebuchet MS"/>
          <w:b/>
          <w:i/>
          <w:color w:val="00827F"/>
          <w:spacing w:val="-12"/>
        </w:rPr>
        <w:t xml:space="preserve"> </w:t>
      </w:r>
      <w:r w:rsidRPr="00795364">
        <w:rPr>
          <w:rFonts w:ascii="Trebuchet MS"/>
          <w:b/>
          <w:i/>
          <w:color w:val="00827F"/>
          <w:spacing w:val="-6"/>
        </w:rPr>
        <w:t>and</w:t>
      </w:r>
      <w:r w:rsidRPr="00795364">
        <w:rPr>
          <w:rFonts w:ascii="Trebuchet MS"/>
          <w:b/>
          <w:i/>
          <w:color w:val="00827F"/>
          <w:spacing w:val="-12"/>
        </w:rPr>
        <w:t xml:space="preserve"> </w:t>
      </w:r>
      <w:r w:rsidRPr="00795364">
        <w:rPr>
          <w:rFonts w:ascii="Trebuchet MS"/>
          <w:b/>
          <w:i/>
          <w:color w:val="00827F"/>
          <w:spacing w:val="-6"/>
        </w:rPr>
        <w:t>plan</w:t>
      </w:r>
      <w:r w:rsidRPr="00795364">
        <w:rPr>
          <w:rFonts w:ascii="Trebuchet MS"/>
          <w:b/>
          <w:i/>
          <w:color w:val="00827F"/>
          <w:spacing w:val="-14"/>
        </w:rPr>
        <w:t xml:space="preserve"> </w:t>
      </w:r>
      <w:r w:rsidRPr="00795364">
        <w:rPr>
          <w:rFonts w:ascii="Trebuchet MS"/>
          <w:b/>
          <w:i/>
          <w:color w:val="00827F"/>
          <w:spacing w:val="-6"/>
        </w:rPr>
        <w:t>for</w:t>
      </w:r>
      <w:r w:rsidRPr="00795364">
        <w:rPr>
          <w:rFonts w:ascii="Trebuchet MS"/>
          <w:b/>
          <w:i/>
          <w:color w:val="00827F"/>
          <w:spacing w:val="-12"/>
        </w:rPr>
        <w:t xml:space="preserve"> </w:t>
      </w:r>
      <w:r w:rsidRPr="00795364">
        <w:rPr>
          <w:rFonts w:ascii="Trebuchet MS"/>
          <w:b/>
          <w:i/>
          <w:color w:val="00827F"/>
          <w:spacing w:val="-6"/>
        </w:rPr>
        <w:t>the</w:t>
      </w:r>
      <w:r w:rsidRPr="00795364">
        <w:rPr>
          <w:rFonts w:ascii="Trebuchet MS"/>
          <w:b/>
          <w:i/>
          <w:color w:val="00827F"/>
          <w:spacing w:val="-11"/>
        </w:rPr>
        <w:t xml:space="preserve"> </w:t>
      </w:r>
      <w:r w:rsidRPr="00795364">
        <w:rPr>
          <w:rFonts w:ascii="Trebuchet MS"/>
          <w:b/>
          <w:i/>
          <w:color w:val="00827F"/>
          <w:spacing w:val="-6"/>
        </w:rPr>
        <w:t>specific</w:t>
      </w:r>
      <w:r w:rsidRPr="00795364">
        <w:rPr>
          <w:rFonts w:ascii="Trebuchet MS"/>
          <w:b/>
          <w:i/>
          <w:color w:val="00827F"/>
          <w:spacing w:val="-13"/>
        </w:rPr>
        <w:t xml:space="preserve"> </w:t>
      </w:r>
      <w:r w:rsidRPr="00795364">
        <w:rPr>
          <w:rFonts w:ascii="Trebuchet MS"/>
          <w:b/>
          <w:i/>
          <w:color w:val="00827F"/>
          <w:spacing w:val="-6"/>
        </w:rPr>
        <w:t>service</w:t>
      </w:r>
      <w:r w:rsidRPr="00795364">
        <w:rPr>
          <w:rFonts w:ascii="Trebuchet MS"/>
          <w:b/>
          <w:i/>
          <w:color w:val="00827F"/>
          <w:spacing w:val="-11"/>
        </w:rPr>
        <w:t xml:space="preserve"> </w:t>
      </w:r>
      <w:r w:rsidRPr="00795364">
        <w:rPr>
          <w:rFonts w:ascii="Trebuchet MS"/>
          <w:b/>
          <w:i/>
          <w:color w:val="00827F"/>
          <w:spacing w:val="-6"/>
        </w:rPr>
        <w:t>delivery</w:t>
      </w:r>
      <w:r w:rsidRPr="00795364">
        <w:rPr>
          <w:rFonts w:ascii="Trebuchet MS"/>
          <w:b/>
          <w:i/>
          <w:color w:val="00827F"/>
          <w:spacing w:val="-14"/>
        </w:rPr>
        <w:t xml:space="preserve"> </w:t>
      </w:r>
      <w:r w:rsidRPr="00795364">
        <w:rPr>
          <w:rFonts w:ascii="Trebuchet MS"/>
          <w:b/>
          <w:i/>
          <w:color w:val="00827F"/>
          <w:spacing w:val="-6"/>
        </w:rPr>
        <w:t>needs</w:t>
      </w:r>
      <w:r w:rsidRPr="00795364">
        <w:rPr>
          <w:rFonts w:ascii="Trebuchet MS"/>
          <w:b/>
          <w:i/>
          <w:color w:val="00827F"/>
          <w:spacing w:val="-17"/>
        </w:rPr>
        <w:t xml:space="preserve"> </w:t>
      </w:r>
      <w:r w:rsidRPr="00795364">
        <w:rPr>
          <w:rFonts w:ascii="Trebuchet MS"/>
          <w:b/>
          <w:i/>
          <w:color w:val="00827F"/>
          <w:spacing w:val="-6"/>
        </w:rPr>
        <w:t>of</w:t>
      </w:r>
      <w:r w:rsidRPr="00795364">
        <w:rPr>
          <w:rFonts w:ascii="Trebuchet MS"/>
          <w:b/>
          <w:i/>
          <w:color w:val="00827F"/>
          <w:spacing w:val="-12"/>
        </w:rPr>
        <w:t xml:space="preserve"> </w:t>
      </w:r>
      <w:r w:rsidRPr="00795364">
        <w:rPr>
          <w:rFonts w:ascii="Trebuchet MS"/>
          <w:b/>
          <w:i/>
          <w:color w:val="00827F"/>
          <w:spacing w:val="-6"/>
        </w:rPr>
        <w:t>all</w:t>
      </w:r>
      <w:r w:rsidRPr="00795364">
        <w:rPr>
          <w:rFonts w:ascii="Trebuchet MS"/>
          <w:b/>
          <w:i/>
          <w:color w:val="00827F"/>
          <w:spacing w:val="-14"/>
        </w:rPr>
        <w:t xml:space="preserve"> </w:t>
      </w:r>
      <w:r w:rsidRPr="00795364">
        <w:rPr>
          <w:rFonts w:ascii="Trebuchet MS"/>
          <w:b/>
          <w:i/>
          <w:color w:val="00827F"/>
          <w:spacing w:val="-6"/>
        </w:rPr>
        <w:t>citizens</w:t>
      </w:r>
    </w:p>
    <w:p w14:paraId="0C147A5B" w14:textId="77777777" w:rsidR="00BC24A8" w:rsidRDefault="00000000">
      <w:pPr>
        <w:pStyle w:val="BodyText"/>
        <w:spacing w:before="214" w:line="278" w:lineRule="auto"/>
        <w:ind w:left="142" w:right="280"/>
        <w:jc w:val="both"/>
      </w:pPr>
      <w:r>
        <w:t>SKALA’s implementation strategy under IO6 focuses on improving senior leadership engagement by strengthening policy advocacy practice and influence in partner provinces. SKALA has supported the development</w:t>
      </w:r>
      <w:r>
        <w:rPr>
          <w:spacing w:val="-9"/>
        </w:rPr>
        <w:t xml:space="preserve"> </w:t>
      </w:r>
      <w:r>
        <w:t>of</w:t>
      </w:r>
      <w:r>
        <w:rPr>
          <w:spacing w:val="-12"/>
        </w:rPr>
        <w:t xml:space="preserve"> </w:t>
      </w:r>
      <w:r>
        <w:t>a</w:t>
      </w:r>
      <w:r>
        <w:rPr>
          <w:spacing w:val="-11"/>
        </w:rPr>
        <w:t xml:space="preserve"> </w:t>
      </w:r>
      <w:r>
        <w:t>Policy</w:t>
      </w:r>
      <w:r>
        <w:rPr>
          <w:spacing w:val="-10"/>
        </w:rPr>
        <w:t xml:space="preserve"> </w:t>
      </w:r>
      <w:r>
        <w:t>Advocacy</w:t>
      </w:r>
      <w:r>
        <w:rPr>
          <w:spacing w:val="-10"/>
        </w:rPr>
        <w:t xml:space="preserve"> </w:t>
      </w:r>
      <w:r>
        <w:t>Community</w:t>
      </w:r>
      <w:r>
        <w:rPr>
          <w:spacing w:val="-10"/>
        </w:rPr>
        <w:t xml:space="preserve"> </w:t>
      </w:r>
      <w:r>
        <w:t>of</w:t>
      </w:r>
      <w:r>
        <w:rPr>
          <w:spacing w:val="-9"/>
        </w:rPr>
        <w:t xml:space="preserve"> </w:t>
      </w:r>
      <w:r>
        <w:t>Practice</w:t>
      </w:r>
      <w:r>
        <w:rPr>
          <w:spacing w:val="-9"/>
        </w:rPr>
        <w:t xml:space="preserve"> </w:t>
      </w:r>
      <w:r>
        <w:t>and</w:t>
      </w:r>
      <w:r>
        <w:rPr>
          <w:spacing w:val="-10"/>
        </w:rPr>
        <w:t xml:space="preserve"> </w:t>
      </w:r>
      <w:r>
        <w:t>Influence</w:t>
      </w:r>
      <w:r>
        <w:rPr>
          <w:spacing w:val="-9"/>
        </w:rPr>
        <w:t xml:space="preserve"> </w:t>
      </w:r>
      <w:r>
        <w:t>(CoPI)</w:t>
      </w:r>
      <w:r>
        <w:rPr>
          <w:spacing w:val="-9"/>
        </w:rPr>
        <w:t xml:space="preserve"> </w:t>
      </w:r>
      <w:r>
        <w:t>in</w:t>
      </w:r>
      <w:r>
        <w:rPr>
          <w:spacing w:val="-10"/>
        </w:rPr>
        <w:t xml:space="preserve"> </w:t>
      </w:r>
      <w:r>
        <w:t>Gorontalo,</w:t>
      </w:r>
      <w:r>
        <w:rPr>
          <w:spacing w:val="-12"/>
        </w:rPr>
        <w:t xml:space="preserve"> </w:t>
      </w:r>
      <w:r>
        <w:t>Kalimantan Utara, Nusa Tenggara Timur, and Maluku. This initiative brings together government and non- government</w:t>
      </w:r>
      <w:r>
        <w:rPr>
          <w:spacing w:val="-13"/>
        </w:rPr>
        <w:t xml:space="preserve"> </w:t>
      </w:r>
      <w:r>
        <w:t>actors,</w:t>
      </w:r>
      <w:r>
        <w:rPr>
          <w:spacing w:val="-12"/>
        </w:rPr>
        <w:t xml:space="preserve"> </w:t>
      </w:r>
      <w:r>
        <w:t>including</w:t>
      </w:r>
      <w:r>
        <w:rPr>
          <w:spacing w:val="-13"/>
        </w:rPr>
        <w:t xml:space="preserve"> </w:t>
      </w:r>
      <w:r>
        <w:t>CSOs,</w:t>
      </w:r>
      <w:r>
        <w:rPr>
          <w:spacing w:val="-12"/>
        </w:rPr>
        <w:t xml:space="preserve"> </w:t>
      </w:r>
      <w:r>
        <w:t>universities,</w:t>
      </w:r>
      <w:r>
        <w:rPr>
          <w:spacing w:val="-13"/>
        </w:rPr>
        <w:t xml:space="preserve"> </w:t>
      </w:r>
      <w:r>
        <w:t>journalists,</w:t>
      </w:r>
      <w:r>
        <w:rPr>
          <w:spacing w:val="-12"/>
        </w:rPr>
        <w:t xml:space="preserve"> </w:t>
      </w:r>
      <w:r>
        <w:t>and</w:t>
      </w:r>
      <w:r>
        <w:rPr>
          <w:spacing w:val="-13"/>
        </w:rPr>
        <w:t xml:space="preserve"> </w:t>
      </w:r>
      <w:r>
        <w:t>think</w:t>
      </w:r>
      <w:r>
        <w:rPr>
          <w:spacing w:val="-12"/>
        </w:rPr>
        <w:t xml:space="preserve"> </w:t>
      </w:r>
      <w:r>
        <w:t>tanks,</w:t>
      </w:r>
      <w:r>
        <w:rPr>
          <w:spacing w:val="-12"/>
        </w:rPr>
        <w:t xml:space="preserve"> </w:t>
      </w:r>
      <w:r>
        <w:t>to</w:t>
      </w:r>
      <w:r>
        <w:rPr>
          <w:spacing w:val="-13"/>
        </w:rPr>
        <w:t xml:space="preserve"> </w:t>
      </w:r>
      <w:r>
        <w:t>strengthen</w:t>
      </w:r>
      <w:r>
        <w:rPr>
          <w:spacing w:val="-12"/>
        </w:rPr>
        <w:t xml:space="preserve"> </w:t>
      </w:r>
      <w:r>
        <w:t>skills</w:t>
      </w:r>
      <w:r>
        <w:rPr>
          <w:spacing w:val="-13"/>
        </w:rPr>
        <w:t xml:space="preserve"> </w:t>
      </w:r>
      <w:r>
        <w:t>in</w:t>
      </w:r>
      <w:r>
        <w:rPr>
          <w:spacing w:val="-12"/>
        </w:rPr>
        <w:t xml:space="preserve"> </w:t>
      </w:r>
      <w:r>
        <w:t>policy advocacy. The CoPI focuses on building core competencies such as policy analysis, effective use of evidence</w:t>
      </w:r>
      <w:r>
        <w:rPr>
          <w:spacing w:val="-3"/>
        </w:rPr>
        <w:t xml:space="preserve"> </w:t>
      </w:r>
      <w:r>
        <w:t>and</w:t>
      </w:r>
      <w:r>
        <w:rPr>
          <w:spacing w:val="-1"/>
        </w:rPr>
        <w:t xml:space="preserve"> </w:t>
      </w:r>
      <w:r>
        <w:t>data, communicating</w:t>
      </w:r>
      <w:r>
        <w:rPr>
          <w:spacing w:val="-2"/>
        </w:rPr>
        <w:t xml:space="preserve"> </w:t>
      </w:r>
      <w:r>
        <w:t>recommendations</w:t>
      </w:r>
      <w:r>
        <w:rPr>
          <w:spacing w:val="-3"/>
        </w:rPr>
        <w:t xml:space="preserve"> </w:t>
      </w:r>
      <w:r>
        <w:t>to</w:t>
      </w:r>
      <w:r>
        <w:rPr>
          <w:spacing w:val="-2"/>
        </w:rPr>
        <w:t xml:space="preserve"> </w:t>
      </w:r>
      <w:r>
        <w:t>policymakers, and</w:t>
      </w:r>
      <w:r>
        <w:rPr>
          <w:spacing w:val="-1"/>
        </w:rPr>
        <w:t xml:space="preserve"> </w:t>
      </w:r>
      <w:r>
        <w:t>facilitating</w:t>
      </w:r>
      <w:r>
        <w:rPr>
          <w:spacing w:val="-2"/>
        </w:rPr>
        <w:t xml:space="preserve"> </w:t>
      </w:r>
      <w:r>
        <w:t>evidence-based discussions.</w:t>
      </w:r>
      <w:r>
        <w:rPr>
          <w:spacing w:val="-11"/>
        </w:rPr>
        <w:t xml:space="preserve"> </w:t>
      </w:r>
      <w:r>
        <w:t>These</w:t>
      </w:r>
      <w:r>
        <w:rPr>
          <w:spacing w:val="-13"/>
        </w:rPr>
        <w:t xml:space="preserve"> </w:t>
      </w:r>
      <w:r>
        <w:t>multi-stakeholders</w:t>
      </w:r>
      <w:r>
        <w:rPr>
          <w:spacing w:val="-11"/>
        </w:rPr>
        <w:t xml:space="preserve"> </w:t>
      </w:r>
      <w:r>
        <w:t>CoPIs</w:t>
      </w:r>
      <w:r>
        <w:rPr>
          <w:spacing w:val="-11"/>
        </w:rPr>
        <w:t xml:space="preserve"> </w:t>
      </w:r>
      <w:r>
        <w:t>are</w:t>
      </w:r>
      <w:r>
        <w:rPr>
          <w:spacing w:val="-13"/>
        </w:rPr>
        <w:t xml:space="preserve"> </w:t>
      </w:r>
      <w:r>
        <w:t>already</w:t>
      </w:r>
      <w:r>
        <w:rPr>
          <w:spacing w:val="-11"/>
        </w:rPr>
        <w:t xml:space="preserve"> </w:t>
      </w:r>
      <w:r>
        <w:t>regarded</w:t>
      </w:r>
      <w:r>
        <w:rPr>
          <w:spacing w:val="-11"/>
        </w:rPr>
        <w:t xml:space="preserve"> </w:t>
      </w:r>
      <w:r>
        <w:t>as</w:t>
      </w:r>
      <w:r>
        <w:rPr>
          <w:spacing w:val="-11"/>
        </w:rPr>
        <w:t xml:space="preserve"> </w:t>
      </w:r>
      <w:r>
        <w:t>trusted</w:t>
      </w:r>
      <w:r>
        <w:rPr>
          <w:spacing w:val="-11"/>
        </w:rPr>
        <w:t xml:space="preserve"> </w:t>
      </w:r>
      <w:r>
        <w:t>think</w:t>
      </w:r>
      <w:r>
        <w:rPr>
          <w:spacing w:val="-11"/>
        </w:rPr>
        <w:t xml:space="preserve"> </w:t>
      </w:r>
      <w:r>
        <w:t>tanks</w:t>
      </w:r>
      <w:r>
        <w:rPr>
          <w:spacing w:val="-11"/>
        </w:rPr>
        <w:t xml:space="preserve"> </w:t>
      </w:r>
      <w:r>
        <w:t>by</w:t>
      </w:r>
      <w:r>
        <w:rPr>
          <w:spacing w:val="-11"/>
        </w:rPr>
        <w:t xml:space="preserve"> </w:t>
      </w:r>
      <w:r>
        <w:t>governments in</w:t>
      </w:r>
      <w:r>
        <w:rPr>
          <w:spacing w:val="-2"/>
        </w:rPr>
        <w:t xml:space="preserve"> </w:t>
      </w:r>
      <w:r>
        <w:t>these</w:t>
      </w:r>
      <w:r>
        <w:rPr>
          <w:spacing w:val="-6"/>
        </w:rPr>
        <w:t xml:space="preserve"> </w:t>
      </w:r>
      <w:r>
        <w:t>four</w:t>
      </w:r>
      <w:r>
        <w:rPr>
          <w:spacing w:val="-4"/>
        </w:rPr>
        <w:t xml:space="preserve"> </w:t>
      </w:r>
      <w:r>
        <w:t>provinces,</w:t>
      </w:r>
      <w:r>
        <w:rPr>
          <w:spacing w:val="-4"/>
        </w:rPr>
        <w:t xml:space="preserve"> </w:t>
      </w:r>
      <w:r>
        <w:t>providing</w:t>
      </w:r>
      <w:r>
        <w:rPr>
          <w:spacing w:val="-3"/>
        </w:rPr>
        <w:t xml:space="preserve"> </w:t>
      </w:r>
      <w:r>
        <w:t>policy</w:t>
      </w:r>
      <w:r>
        <w:rPr>
          <w:spacing w:val="-4"/>
        </w:rPr>
        <w:t xml:space="preserve"> </w:t>
      </w:r>
      <w:r>
        <w:t>input,</w:t>
      </w:r>
      <w:r>
        <w:rPr>
          <w:spacing w:val="-4"/>
        </w:rPr>
        <w:t xml:space="preserve"> </w:t>
      </w:r>
      <w:r>
        <w:t>particularly</w:t>
      </w:r>
      <w:r>
        <w:rPr>
          <w:spacing w:val="-1"/>
        </w:rPr>
        <w:t xml:space="preserve"> </w:t>
      </w:r>
      <w:r>
        <w:t>for</w:t>
      </w:r>
      <w:r>
        <w:rPr>
          <w:spacing w:val="-2"/>
        </w:rPr>
        <w:t xml:space="preserve"> </w:t>
      </w:r>
      <w:r>
        <w:t>the</w:t>
      </w:r>
      <w:r>
        <w:rPr>
          <w:spacing w:val="-6"/>
        </w:rPr>
        <w:t xml:space="preserve"> </w:t>
      </w:r>
      <w:r>
        <w:t>planning</w:t>
      </w:r>
      <w:r>
        <w:rPr>
          <w:spacing w:val="-3"/>
        </w:rPr>
        <w:t xml:space="preserve"> </w:t>
      </w:r>
      <w:r>
        <w:t>and</w:t>
      </w:r>
      <w:r>
        <w:rPr>
          <w:spacing w:val="-4"/>
        </w:rPr>
        <w:t xml:space="preserve"> </w:t>
      </w:r>
      <w:r>
        <w:t>budgeting</w:t>
      </w:r>
      <w:r>
        <w:rPr>
          <w:spacing w:val="-5"/>
        </w:rPr>
        <w:t xml:space="preserve"> </w:t>
      </w:r>
      <w:r>
        <w:t>processes</w:t>
      </w:r>
      <w:r>
        <w:rPr>
          <w:spacing w:val="-4"/>
        </w:rPr>
        <w:t xml:space="preserve"> </w:t>
      </w:r>
      <w:r>
        <w:t>to</w:t>
      </w:r>
    </w:p>
    <w:p w14:paraId="08A6A41E" w14:textId="77777777" w:rsidR="00BC24A8" w:rsidRDefault="00000000">
      <w:pPr>
        <w:pStyle w:val="BodyText"/>
        <w:spacing w:before="21"/>
        <w:rPr>
          <w:sz w:val="20"/>
        </w:rPr>
      </w:pPr>
      <w:r>
        <w:rPr>
          <w:noProof/>
          <w:sz w:val="20"/>
        </w:rPr>
        <mc:AlternateContent>
          <mc:Choice Requires="wps">
            <w:drawing>
              <wp:anchor distT="0" distB="0" distL="0" distR="0" simplePos="0" relativeHeight="487591936" behindDoc="1" locked="0" layoutInCell="1" allowOverlap="1" wp14:anchorId="42F156AB" wp14:editId="1415F256">
                <wp:simplePos x="0" y="0"/>
                <wp:positionH relativeFrom="page">
                  <wp:posOffset>900683</wp:posOffset>
                </wp:positionH>
                <wp:positionV relativeFrom="paragraph">
                  <wp:posOffset>183612</wp:posOffset>
                </wp:positionV>
                <wp:extent cx="1828800" cy="9525"/>
                <wp:effectExtent l="0" t="0" r="0" b="0"/>
                <wp:wrapTopAndBottom/>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31DAC4" id="Graphic 25" o:spid="_x0000_s1026" alt="&quot;&quot;" style="position:absolute;margin-left:70.9pt;margin-top:14.45pt;width:2in;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" path="m1828800,l,,,9143r1828800,l1828800,xe" fillcolor="black" stroked="f">
                <v:path arrowok="t"/>
                <w10:wrap type="topAndBottom" anchorx="page"/>
              </v:shape>
            </w:pict>
          </mc:Fallback>
        </mc:AlternateContent>
      </w:r>
    </w:p>
    <w:p w14:paraId="7BF2C911" w14:textId="77777777" w:rsidR="00BC24A8" w:rsidRDefault="00BC24A8">
      <w:pPr>
        <w:pStyle w:val="BodyText"/>
        <w:spacing w:before="108"/>
        <w:rPr>
          <w:sz w:val="16"/>
        </w:rPr>
      </w:pPr>
    </w:p>
    <w:p w14:paraId="2C189DE5" w14:textId="77777777" w:rsidR="00BC24A8" w:rsidRDefault="00000000">
      <w:pPr>
        <w:spacing w:line="195" w:lineRule="exact"/>
        <w:ind w:left="143"/>
        <w:rPr>
          <w:sz w:val="16"/>
        </w:rPr>
      </w:pPr>
      <w:bookmarkStart w:id="52" w:name="_bookmark33"/>
      <w:bookmarkEnd w:id="52"/>
      <w:r>
        <w:rPr>
          <w:color w:val="767070"/>
          <w:sz w:val="16"/>
          <w:vertAlign w:val="superscript"/>
        </w:rPr>
        <w:t>13</w:t>
      </w:r>
      <w:r>
        <w:rPr>
          <w:color w:val="767070"/>
          <w:spacing w:val="-7"/>
          <w:sz w:val="16"/>
        </w:rPr>
        <w:t xml:space="preserve"> </w:t>
      </w:r>
      <w:r>
        <w:rPr>
          <w:color w:val="767070"/>
          <w:sz w:val="16"/>
        </w:rPr>
        <w:t>Except</w:t>
      </w:r>
      <w:r>
        <w:rPr>
          <w:color w:val="767070"/>
          <w:spacing w:val="-6"/>
          <w:sz w:val="16"/>
        </w:rPr>
        <w:t xml:space="preserve"> </w:t>
      </w:r>
      <w:r>
        <w:rPr>
          <w:color w:val="767070"/>
          <w:sz w:val="16"/>
        </w:rPr>
        <w:t>Papua</w:t>
      </w:r>
      <w:r>
        <w:rPr>
          <w:color w:val="767070"/>
          <w:spacing w:val="-5"/>
          <w:sz w:val="16"/>
        </w:rPr>
        <w:t xml:space="preserve"> </w:t>
      </w:r>
      <w:r>
        <w:rPr>
          <w:color w:val="767070"/>
          <w:sz w:val="16"/>
        </w:rPr>
        <w:t>Barat</w:t>
      </w:r>
      <w:r>
        <w:rPr>
          <w:color w:val="767070"/>
          <w:spacing w:val="-8"/>
          <w:sz w:val="16"/>
        </w:rPr>
        <w:t xml:space="preserve"> </w:t>
      </w:r>
      <w:r>
        <w:rPr>
          <w:color w:val="767070"/>
          <w:sz w:val="16"/>
        </w:rPr>
        <w:t>and</w:t>
      </w:r>
      <w:r>
        <w:rPr>
          <w:color w:val="767070"/>
          <w:spacing w:val="-6"/>
          <w:sz w:val="16"/>
        </w:rPr>
        <w:t xml:space="preserve"> </w:t>
      </w:r>
      <w:r>
        <w:rPr>
          <w:color w:val="767070"/>
          <w:sz w:val="16"/>
        </w:rPr>
        <w:t>Papua</w:t>
      </w:r>
      <w:r>
        <w:rPr>
          <w:color w:val="767070"/>
          <w:spacing w:val="-4"/>
          <w:sz w:val="16"/>
        </w:rPr>
        <w:t xml:space="preserve"> </w:t>
      </w:r>
      <w:r>
        <w:rPr>
          <w:color w:val="767070"/>
          <w:sz w:val="16"/>
        </w:rPr>
        <w:t>Barat</w:t>
      </w:r>
      <w:r>
        <w:rPr>
          <w:color w:val="767070"/>
          <w:spacing w:val="-8"/>
          <w:sz w:val="16"/>
        </w:rPr>
        <w:t xml:space="preserve"> </w:t>
      </w:r>
      <w:r>
        <w:rPr>
          <w:color w:val="767070"/>
          <w:spacing w:val="-4"/>
          <w:sz w:val="16"/>
        </w:rPr>
        <w:t>Daya</w:t>
      </w:r>
    </w:p>
    <w:p w14:paraId="476E1276" w14:textId="77777777" w:rsidR="00BC24A8" w:rsidRDefault="00000000">
      <w:pPr>
        <w:ind w:left="143"/>
        <w:rPr>
          <w:sz w:val="16"/>
        </w:rPr>
      </w:pPr>
      <w:bookmarkStart w:id="53" w:name="_bookmark34"/>
      <w:bookmarkEnd w:id="53"/>
      <w:r>
        <w:rPr>
          <w:color w:val="767070"/>
          <w:sz w:val="16"/>
          <w:vertAlign w:val="superscript"/>
        </w:rPr>
        <w:t>14</w:t>
      </w:r>
      <w:r>
        <w:rPr>
          <w:color w:val="767070"/>
          <w:spacing w:val="-4"/>
          <w:sz w:val="16"/>
        </w:rPr>
        <w:t xml:space="preserve"> </w:t>
      </w:r>
      <w:r>
        <w:rPr>
          <w:color w:val="767070"/>
          <w:sz w:val="16"/>
        </w:rPr>
        <w:t>Satu</w:t>
      </w:r>
      <w:r>
        <w:rPr>
          <w:color w:val="767070"/>
          <w:spacing w:val="-3"/>
          <w:sz w:val="16"/>
        </w:rPr>
        <w:t xml:space="preserve"> </w:t>
      </w:r>
      <w:r>
        <w:rPr>
          <w:color w:val="767070"/>
          <w:sz w:val="16"/>
        </w:rPr>
        <w:t>Data</w:t>
      </w:r>
      <w:r>
        <w:rPr>
          <w:color w:val="767070"/>
          <w:spacing w:val="-3"/>
          <w:sz w:val="16"/>
        </w:rPr>
        <w:t xml:space="preserve"> </w:t>
      </w:r>
      <w:r>
        <w:rPr>
          <w:color w:val="767070"/>
          <w:sz w:val="16"/>
        </w:rPr>
        <w:t>Forums</w:t>
      </w:r>
      <w:r>
        <w:rPr>
          <w:color w:val="767070"/>
          <w:spacing w:val="-6"/>
          <w:sz w:val="16"/>
        </w:rPr>
        <w:t xml:space="preserve"> </w:t>
      </w:r>
      <w:r>
        <w:rPr>
          <w:color w:val="767070"/>
          <w:sz w:val="16"/>
        </w:rPr>
        <w:t>and</w:t>
      </w:r>
      <w:r>
        <w:rPr>
          <w:color w:val="767070"/>
          <w:spacing w:val="-6"/>
          <w:sz w:val="16"/>
        </w:rPr>
        <w:t xml:space="preserve"> </w:t>
      </w:r>
      <w:r>
        <w:rPr>
          <w:color w:val="767070"/>
          <w:sz w:val="16"/>
        </w:rPr>
        <w:t>coordination</w:t>
      </w:r>
      <w:r>
        <w:rPr>
          <w:color w:val="767070"/>
          <w:spacing w:val="-3"/>
          <w:sz w:val="16"/>
        </w:rPr>
        <w:t xml:space="preserve"> </w:t>
      </w:r>
      <w:r>
        <w:rPr>
          <w:color w:val="767070"/>
          <w:sz w:val="16"/>
        </w:rPr>
        <w:t>among</w:t>
      </w:r>
      <w:r>
        <w:rPr>
          <w:color w:val="767070"/>
          <w:spacing w:val="-5"/>
          <w:sz w:val="16"/>
        </w:rPr>
        <w:t xml:space="preserve"> </w:t>
      </w:r>
      <w:r>
        <w:rPr>
          <w:color w:val="767070"/>
          <w:sz w:val="16"/>
        </w:rPr>
        <w:t>the</w:t>
      </w:r>
      <w:r>
        <w:rPr>
          <w:color w:val="767070"/>
          <w:spacing w:val="-4"/>
          <w:sz w:val="16"/>
        </w:rPr>
        <w:t xml:space="preserve"> </w:t>
      </w:r>
      <w:r>
        <w:rPr>
          <w:color w:val="767070"/>
          <w:sz w:val="16"/>
        </w:rPr>
        <w:t>forum</w:t>
      </w:r>
      <w:r>
        <w:rPr>
          <w:color w:val="767070"/>
          <w:spacing w:val="-4"/>
          <w:sz w:val="16"/>
        </w:rPr>
        <w:t xml:space="preserve"> </w:t>
      </w:r>
      <w:r>
        <w:rPr>
          <w:color w:val="767070"/>
          <w:sz w:val="16"/>
        </w:rPr>
        <w:t>members</w:t>
      </w:r>
      <w:r>
        <w:rPr>
          <w:color w:val="767070"/>
          <w:spacing w:val="-3"/>
          <w:sz w:val="16"/>
        </w:rPr>
        <w:t xml:space="preserve"> </w:t>
      </w:r>
      <w:r>
        <w:rPr>
          <w:color w:val="767070"/>
          <w:sz w:val="16"/>
        </w:rPr>
        <w:t>significantly</w:t>
      </w:r>
      <w:r>
        <w:rPr>
          <w:color w:val="767070"/>
          <w:spacing w:val="-3"/>
          <w:sz w:val="16"/>
        </w:rPr>
        <w:t xml:space="preserve"> </w:t>
      </w:r>
      <w:r>
        <w:rPr>
          <w:color w:val="767070"/>
          <w:sz w:val="16"/>
        </w:rPr>
        <w:t>increased</w:t>
      </w:r>
      <w:r>
        <w:rPr>
          <w:color w:val="767070"/>
          <w:spacing w:val="-3"/>
          <w:sz w:val="16"/>
        </w:rPr>
        <w:t xml:space="preserve"> </w:t>
      </w:r>
      <w:r>
        <w:rPr>
          <w:color w:val="767070"/>
          <w:sz w:val="16"/>
        </w:rPr>
        <w:t>with</w:t>
      </w:r>
      <w:r>
        <w:rPr>
          <w:color w:val="767070"/>
          <w:spacing w:val="-3"/>
          <w:sz w:val="16"/>
        </w:rPr>
        <w:t xml:space="preserve"> </w:t>
      </w:r>
      <w:r>
        <w:rPr>
          <w:color w:val="767070"/>
          <w:sz w:val="16"/>
        </w:rPr>
        <w:t>support</w:t>
      </w:r>
      <w:r>
        <w:rPr>
          <w:color w:val="767070"/>
          <w:spacing w:val="-4"/>
          <w:sz w:val="16"/>
        </w:rPr>
        <w:t xml:space="preserve"> </w:t>
      </w:r>
      <w:r>
        <w:rPr>
          <w:color w:val="767070"/>
          <w:sz w:val="16"/>
        </w:rPr>
        <w:t>from</w:t>
      </w:r>
      <w:r>
        <w:rPr>
          <w:color w:val="767070"/>
          <w:spacing w:val="-4"/>
          <w:sz w:val="16"/>
        </w:rPr>
        <w:t xml:space="preserve"> </w:t>
      </w:r>
      <w:r>
        <w:rPr>
          <w:color w:val="767070"/>
          <w:sz w:val="16"/>
        </w:rPr>
        <w:t>SKALA</w:t>
      </w:r>
      <w:r>
        <w:rPr>
          <w:color w:val="767070"/>
          <w:spacing w:val="-5"/>
          <w:sz w:val="16"/>
        </w:rPr>
        <w:t xml:space="preserve"> </w:t>
      </w:r>
      <w:r>
        <w:rPr>
          <w:color w:val="767070"/>
          <w:sz w:val="16"/>
        </w:rPr>
        <w:t>and</w:t>
      </w:r>
      <w:r>
        <w:rPr>
          <w:color w:val="767070"/>
          <w:spacing w:val="-6"/>
          <w:sz w:val="16"/>
        </w:rPr>
        <w:t xml:space="preserve"> </w:t>
      </w:r>
      <w:r>
        <w:rPr>
          <w:color w:val="767070"/>
          <w:sz w:val="16"/>
        </w:rPr>
        <w:t>partner</w:t>
      </w:r>
      <w:r>
        <w:rPr>
          <w:color w:val="767070"/>
          <w:spacing w:val="-4"/>
          <w:sz w:val="16"/>
        </w:rPr>
        <w:t xml:space="preserve"> </w:t>
      </w:r>
      <w:r>
        <w:rPr>
          <w:color w:val="767070"/>
          <w:sz w:val="16"/>
        </w:rPr>
        <w:t>provinces</w:t>
      </w:r>
      <w:r>
        <w:rPr>
          <w:color w:val="767070"/>
          <w:spacing w:val="-3"/>
          <w:sz w:val="16"/>
        </w:rPr>
        <w:t xml:space="preserve"> </w:t>
      </w:r>
      <w:r>
        <w:rPr>
          <w:color w:val="767070"/>
          <w:sz w:val="16"/>
        </w:rPr>
        <w:t>now</w:t>
      </w:r>
      <w:r>
        <w:rPr>
          <w:color w:val="767070"/>
          <w:spacing w:val="40"/>
          <w:sz w:val="16"/>
        </w:rPr>
        <w:t xml:space="preserve"> </w:t>
      </w:r>
      <w:r>
        <w:rPr>
          <w:color w:val="767070"/>
          <w:sz w:val="16"/>
        </w:rPr>
        <w:t>consistently see a functioning Satu Data Forum and coordinated management of data as a high priority.</w:t>
      </w:r>
    </w:p>
    <w:p w14:paraId="64C72284" w14:textId="77777777" w:rsidR="00BC24A8" w:rsidRDefault="00BC24A8">
      <w:pPr>
        <w:rPr>
          <w:sz w:val="16"/>
        </w:rPr>
        <w:sectPr w:rsidR="00BC24A8">
          <w:pgSz w:w="11910" w:h="16840"/>
          <w:pgMar w:top="1360" w:right="1133" w:bottom="1100" w:left="1275" w:header="0" w:footer="907" w:gutter="0"/>
          <w:cols w:space="720"/>
        </w:sectPr>
      </w:pPr>
    </w:p>
    <w:p w14:paraId="46840023" w14:textId="77777777" w:rsidR="00BC24A8" w:rsidRDefault="00000000">
      <w:pPr>
        <w:pStyle w:val="BodyText"/>
        <w:spacing w:before="39" w:line="278" w:lineRule="auto"/>
        <w:ind w:left="143" w:right="278"/>
        <w:jc w:val="both"/>
      </w:pPr>
      <w:r>
        <w:lastRenderedPageBreak/>
        <w:t>accelerate improvements in the quality of inclusive basic services. By creating an ecosystem that will sustain ongoing collaboration between policy analysts within the civil service and diverse non- government voices, the CoPI shows early potential to accelerate SKALA prioritised policy agendas in partner provinces.</w:t>
      </w:r>
    </w:p>
    <w:p w14:paraId="510624EB" w14:textId="77777777" w:rsidR="00BC24A8" w:rsidRDefault="00BC24A8">
      <w:pPr>
        <w:pStyle w:val="BodyText"/>
      </w:pPr>
    </w:p>
    <w:p w14:paraId="73C31BEB" w14:textId="77777777" w:rsidR="00BC24A8" w:rsidRDefault="00BC24A8">
      <w:pPr>
        <w:pStyle w:val="BodyText"/>
        <w:spacing w:before="90"/>
      </w:pPr>
    </w:p>
    <w:p w14:paraId="1F12EA54" w14:textId="77777777" w:rsidR="00BC24A8" w:rsidRDefault="00000000">
      <w:pPr>
        <w:pStyle w:val="Heading4"/>
        <w:spacing w:before="1"/>
        <w:jc w:val="both"/>
      </w:pPr>
      <w:bookmarkStart w:id="54" w:name="End_of_Program_Outcome_3:_Greater_Partic"/>
      <w:bookmarkStart w:id="55" w:name="_bookmark35"/>
      <w:bookmarkEnd w:id="54"/>
      <w:bookmarkEnd w:id="55"/>
      <w:r>
        <w:rPr>
          <w:color w:val="17365A"/>
          <w:spacing w:val="-6"/>
        </w:rPr>
        <w:t>End</w:t>
      </w:r>
      <w:r>
        <w:rPr>
          <w:color w:val="17365A"/>
          <w:spacing w:val="-21"/>
        </w:rPr>
        <w:t xml:space="preserve"> </w:t>
      </w:r>
      <w:r>
        <w:rPr>
          <w:color w:val="17365A"/>
          <w:spacing w:val="-6"/>
        </w:rPr>
        <w:t>of</w:t>
      </w:r>
      <w:r>
        <w:rPr>
          <w:color w:val="17365A"/>
          <w:spacing w:val="-19"/>
        </w:rPr>
        <w:t xml:space="preserve"> </w:t>
      </w:r>
      <w:r>
        <w:rPr>
          <w:color w:val="17365A"/>
          <w:spacing w:val="-6"/>
        </w:rPr>
        <w:t>Program</w:t>
      </w:r>
      <w:r>
        <w:rPr>
          <w:color w:val="17365A"/>
          <w:spacing w:val="-21"/>
        </w:rPr>
        <w:t xml:space="preserve"> </w:t>
      </w:r>
      <w:r>
        <w:rPr>
          <w:color w:val="17365A"/>
          <w:spacing w:val="-6"/>
        </w:rPr>
        <w:t>Outcome</w:t>
      </w:r>
      <w:r>
        <w:rPr>
          <w:color w:val="17365A"/>
          <w:spacing w:val="-18"/>
        </w:rPr>
        <w:t xml:space="preserve"> </w:t>
      </w:r>
      <w:r>
        <w:rPr>
          <w:color w:val="17365A"/>
          <w:spacing w:val="-6"/>
        </w:rPr>
        <w:t>3:</w:t>
      </w:r>
      <w:r>
        <w:rPr>
          <w:color w:val="17365A"/>
          <w:spacing w:val="-19"/>
        </w:rPr>
        <w:t xml:space="preserve"> </w:t>
      </w:r>
      <w:r>
        <w:rPr>
          <w:color w:val="17365A"/>
          <w:spacing w:val="-6"/>
        </w:rPr>
        <w:t>Greater</w:t>
      </w:r>
      <w:r>
        <w:rPr>
          <w:color w:val="17365A"/>
          <w:spacing w:val="-19"/>
        </w:rPr>
        <w:t xml:space="preserve"> </w:t>
      </w:r>
      <w:r>
        <w:rPr>
          <w:color w:val="17365A"/>
          <w:spacing w:val="-6"/>
        </w:rPr>
        <w:t>Participation,</w:t>
      </w:r>
      <w:r>
        <w:rPr>
          <w:color w:val="17365A"/>
          <w:spacing w:val="-21"/>
        </w:rPr>
        <w:t xml:space="preserve"> </w:t>
      </w:r>
      <w:r>
        <w:rPr>
          <w:color w:val="17365A"/>
          <w:spacing w:val="-6"/>
        </w:rPr>
        <w:t>Representation</w:t>
      </w:r>
      <w:r>
        <w:rPr>
          <w:color w:val="17365A"/>
          <w:spacing w:val="-20"/>
        </w:rPr>
        <w:t xml:space="preserve"> </w:t>
      </w:r>
      <w:r>
        <w:rPr>
          <w:color w:val="17365A"/>
          <w:spacing w:val="-6"/>
        </w:rPr>
        <w:t>and</w:t>
      </w:r>
    </w:p>
    <w:p w14:paraId="33B457FB" w14:textId="77777777" w:rsidR="00BC24A8" w:rsidRDefault="00000000">
      <w:pPr>
        <w:spacing w:before="20"/>
        <w:ind w:left="143"/>
        <w:jc w:val="both"/>
        <w:rPr>
          <w:rFonts w:ascii="Trebuchet MS"/>
          <w:b/>
          <w:sz w:val="28"/>
        </w:rPr>
      </w:pPr>
      <w:r>
        <w:rPr>
          <w:rFonts w:ascii="Trebuchet MS"/>
          <w:b/>
          <w:color w:val="17365A"/>
          <w:spacing w:val="-4"/>
          <w:sz w:val="28"/>
        </w:rPr>
        <w:t>Influence</w:t>
      </w:r>
      <w:r>
        <w:rPr>
          <w:rFonts w:ascii="Trebuchet MS"/>
          <w:b/>
          <w:color w:val="17365A"/>
          <w:spacing w:val="-23"/>
          <w:sz w:val="28"/>
        </w:rPr>
        <w:t xml:space="preserve"> </w:t>
      </w:r>
      <w:r>
        <w:rPr>
          <w:rFonts w:ascii="Trebuchet MS"/>
          <w:b/>
          <w:color w:val="17365A"/>
          <w:spacing w:val="-4"/>
          <w:sz w:val="28"/>
        </w:rPr>
        <w:t>of</w:t>
      </w:r>
      <w:r>
        <w:rPr>
          <w:rFonts w:ascii="Trebuchet MS"/>
          <w:b/>
          <w:color w:val="17365A"/>
          <w:spacing w:val="-20"/>
          <w:sz w:val="28"/>
        </w:rPr>
        <w:t xml:space="preserve"> </w:t>
      </w:r>
      <w:r>
        <w:rPr>
          <w:rFonts w:ascii="Trebuchet MS"/>
          <w:b/>
          <w:color w:val="17365A"/>
          <w:spacing w:val="-4"/>
          <w:sz w:val="28"/>
        </w:rPr>
        <w:t>Women,</w:t>
      </w:r>
      <w:r>
        <w:rPr>
          <w:rFonts w:ascii="Trebuchet MS"/>
          <w:b/>
          <w:color w:val="17365A"/>
          <w:spacing w:val="-19"/>
          <w:sz w:val="28"/>
        </w:rPr>
        <w:t xml:space="preserve"> </w:t>
      </w:r>
      <w:r>
        <w:rPr>
          <w:rFonts w:ascii="Trebuchet MS"/>
          <w:b/>
          <w:color w:val="17365A"/>
          <w:spacing w:val="-4"/>
          <w:sz w:val="28"/>
        </w:rPr>
        <w:t>People</w:t>
      </w:r>
      <w:r>
        <w:rPr>
          <w:rFonts w:ascii="Trebuchet MS"/>
          <w:b/>
          <w:color w:val="17365A"/>
          <w:spacing w:val="-22"/>
          <w:sz w:val="28"/>
        </w:rPr>
        <w:t xml:space="preserve"> </w:t>
      </w:r>
      <w:r>
        <w:rPr>
          <w:rFonts w:ascii="Trebuchet MS"/>
          <w:b/>
          <w:color w:val="17365A"/>
          <w:spacing w:val="-4"/>
          <w:sz w:val="28"/>
        </w:rPr>
        <w:t>with</w:t>
      </w:r>
      <w:r>
        <w:rPr>
          <w:rFonts w:ascii="Trebuchet MS"/>
          <w:b/>
          <w:color w:val="17365A"/>
          <w:spacing w:val="-21"/>
          <w:sz w:val="28"/>
        </w:rPr>
        <w:t xml:space="preserve"> </w:t>
      </w:r>
      <w:r>
        <w:rPr>
          <w:rFonts w:ascii="Trebuchet MS"/>
          <w:b/>
          <w:color w:val="17365A"/>
          <w:spacing w:val="-4"/>
          <w:sz w:val="28"/>
        </w:rPr>
        <w:t>Disabilities</w:t>
      </w:r>
      <w:r>
        <w:rPr>
          <w:rFonts w:ascii="Trebuchet MS"/>
          <w:b/>
          <w:color w:val="17365A"/>
          <w:spacing w:val="-20"/>
          <w:sz w:val="28"/>
        </w:rPr>
        <w:t xml:space="preserve"> </w:t>
      </w:r>
      <w:r>
        <w:rPr>
          <w:rFonts w:ascii="Trebuchet MS"/>
          <w:b/>
          <w:color w:val="17365A"/>
          <w:spacing w:val="-4"/>
          <w:sz w:val="28"/>
        </w:rPr>
        <w:t>and</w:t>
      </w:r>
      <w:r>
        <w:rPr>
          <w:rFonts w:ascii="Trebuchet MS"/>
          <w:b/>
          <w:color w:val="17365A"/>
          <w:spacing w:val="-18"/>
          <w:sz w:val="28"/>
        </w:rPr>
        <w:t xml:space="preserve"> </w:t>
      </w:r>
      <w:r>
        <w:rPr>
          <w:rFonts w:ascii="Trebuchet MS"/>
          <w:b/>
          <w:color w:val="17365A"/>
          <w:spacing w:val="-4"/>
          <w:sz w:val="28"/>
        </w:rPr>
        <w:t>Vulnerable</w:t>
      </w:r>
      <w:r>
        <w:rPr>
          <w:rFonts w:ascii="Trebuchet MS"/>
          <w:b/>
          <w:color w:val="17365A"/>
          <w:spacing w:val="-22"/>
          <w:sz w:val="28"/>
        </w:rPr>
        <w:t xml:space="preserve"> </w:t>
      </w:r>
      <w:r>
        <w:rPr>
          <w:rFonts w:ascii="Trebuchet MS"/>
          <w:b/>
          <w:color w:val="17365A"/>
          <w:spacing w:val="-4"/>
          <w:sz w:val="28"/>
        </w:rPr>
        <w:t>groups</w:t>
      </w:r>
    </w:p>
    <w:p w14:paraId="28A00C41" w14:textId="77777777" w:rsidR="00BC24A8" w:rsidRDefault="00000000">
      <w:pPr>
        <w:pStyle w:val="BodyText"/>
        <w:spacing w:before="254" w:line="278" w:lineRule="auto"/>
        <w:ind w:left="143" w:right="278"/>
        <w:jc w:val="both"/>
      </w:pPr>
      <w:r>
        <w:t xml:space="preserve">SKALA’s third program outcome is: Women, people with disabilities and vulnerable groups in targeted </w:t>
      </w:r>
      <w:r>
        <w:rPr>
          <w:spacing w:val="-2"/>
        </w:rPr>
        <w:t>areas are</w:t>
      </w:r>
      <w:r>
        <w:rPr>
          <w:spacing w:val="-3"/>
        </w:rPr>
        <w:t xml:space="preserve"> </w:t>
      </w:r>
      <w:r>
        <w:rPr>
          <w:spacing w:val="-2"/>
        </w:rPr>
        <w:t>represented and able</w:t>
      </w:r>
      <w:r>
        <w:rPr>
          <w:spacing w:val="-3"/>
        </w:rPr>
        <w:t xml:space="preserve"> </w:t>
      </w:r>
      <w:r>
        <w:rPr>
          <w:spacing w:val="-2"/>
        </w:rPr>
        <w:t>to exercise</w:t>
      </w:r>
      <w:r>
        <w:rPr>
          <w:spacing w:val="-3"/>
        </w:rPr>
        <w:t xml:space="preserve"> </w:t>
      </w:r>
      <w:r>
        <w:rPr>
          <w:spacing w:val="-2"/>
        </w:rPr>
        <w:t>influence</w:t>
      </w:r>
      <w:r>
        <w:rPr>
          <w:spacing w:val="-3"/>
        </w:rPr>
        <w:t xml:space="preserve"> </w:t>
      </w:r>
      <w:r>
        <w:rPr>
          <w:spacing w:val="-2"/>
        </w:rPr>
        <w:t>in subnational service</w:t>
      </w:r>
      <w:r>
        <w:rPr>
          <w:spacing w:val="-3"/>
        </w:rPr>
        <w:t xml:space="preserve"> </w:t>
      </w:r>
      <w:r>
        <w:rPr>
          <w:spacing w:val="-2"/>
        </w:rPr>
        <w:t xml:space="preserve">delivery-related planning and </w:t>
      </w:r>
      <w:r>
        <w:t>decision-making processes.</w:t>
      </w:r>
    </w:p>
    <w:p w14:paraId="1F02EBD0" w14:textId="77777777" w:rsidR="00BC24A8" w:rsidRDefault="00000000">
      <w:pPr>
        <w:pStyle w:val="BodyText"/>
        <w:spacing w:before="160" w:line="278" w:lineRule="auto"/>
        <w:ind w:left="142" w:right="281"/>
        <w:jc w:val="both"/>
      </w:pPr>
      <w:r>
        <w:t>SKALA’s work in this outcome</w:t>
      </w:r>
      <w:r>
        <w:rPr>
          <w:spacing w:val="-2"/>
        </w:rPr>
        <w:t xml:space="preserve"> </w:t>
      </w:r>
      <w:r>
        <w:t>area</w:t>
      </w:r>
      <w:r>
        <w:rPr>
          <w:spacing w:val="-2"/>
        </w:rPr>
        <w:t xml:space="preserve"> </w:t>
      </w:r>
      <w:r>
        <w:t>seeks to</w:t>
      </w:r>
      <w:r>
        <w:rPr>
          <w:spacing w:val="-1"/>
        </w:rPr>
        <w:t xml:space="preserve"> </w:t>
      </w:r>
      <w:r>
        <w:t>improve</w:t>
      </w:r>
      <w:r>
        <w:rPr>
          <w:spacing w:val="-2"/>
        </w:rPr>
        <w:t xml:space="preserve"> </w:t>
      </w:r>
      <w:r>
        <w:t>the</w:t>
      </w:r>
      <w:r>
        <w:rPr>
          <w:spacing w:val="-2"/>
        </w:rPr>
        <w:t xml:space="preserve"> </w:t>
      </w:r>
      <w:r>
        <w:t>mutual</w:t>
      </w:r>
      <w:r>
        <w:rPr>
          <w:spacing w:val="-2"/>
        </w:rPr>
        <w:t xml:space="preserve"> </w:t>
      </w:r>
      <w:r>
        <w:t>trust</w:t>
      </w:r>
      <w:r>
        <w:rPr>
          <w:spacing w:val="-2"/>
        </w:rPr>
        <w:t xml:space="preserve"> </w:t>
      </w:r>
      <w:r>
        <w:t>and confidence</w:t>
      </w:r>
      <w:r>
        <w:rPr>
          <w:spacing w:val="-2"/>
        </w:rPr>
        <w:t xml:space="preserve"> </w:t>
      </w:r>
      <w:r>
        <w:t>between partner subnational</w:t>
      </w:r>
      <w:r>
        <w:rPr>
          <w:spacing w:val="-13"/>
        </w:rPr>
        <w:t xml:space="preserve"> </w:t>
      </w:r>
      <w:r>
        <w:t>governments</w:t>
      </w:r>
      <w:r>
        <w:rPr>
          <w:spacing w:val="-12"/>
        </w:rPr>
        <w:t xml:space="preserve"> </w:t>
      </w:r>
      <w:r>
        <w:t>and</w:t>
      </w:r>
      <w:r>
        <w:rPr>
          <w:spacing w:val="-13"/>
        </w:rPr>
        <w:t xml:space="preserve"> </w:t>
      </w:r>
      <w:r>
        <w:t>networks</w:t>
      </w:r>
      <w:r>
        <w:rPr>
          <w:spacing w:val="-12"/>
        </w:rPr>
        <w:t xml:space="preserve"> </w:t>
      </w:r>
      <w:r>
        <w:t>of</w:t>
      </w:r>
      <w:r>
        <w:rPr>
          <w:spacing w:val="-13"/>
        </w:rPr>
        <w:t xml:space="preserve"> </w:t>
      </w:r>
      <w:r>
        <w:t>CSOs</w:t>
      </w:r>
      <w:r>
        <w:rPr>
          <w:spacing w:val="-12"/>
        </w:rPr>
        <w:t xml:space="preserve"> </w:t>
      </w:r>
      <w:r>
        <w:t>representing</w:t>
      </w:r>
      <w:r>
        <w:rPr>
          <w:spacing w:val="-13"/>
        </w:rPr>
        <w:t xml:space="preserve"> </w:t>
      </w:r>
      <w:r>
        <w:t>the</w:t>
      </w:r>
      <w:r>
        <w:rPr>
          <w:spacing w:val="-12"/>
        </w:rPr>
        <w:t xml:space="preserve"> </w:t>
      </w:r>
      <w:r>
        <w:t>service</w:t>
      </w:r>
      <w:r>
        <w:rPr>
          <w:spacing w:val="-12"/>
        </w:rPr>
        <w:t xml:space="preserve"> </w:t>
      </w:r>
      <w:r>
        <w:t>delivery</w:t>
      </w:r>
      <w:r>
        <w:rPr>
          <w:spacing w:val="-13"/>
        </w:rPr>
        <w:t xml:space="preserve"> </w:t>
      </w:r>
      <w:r>
        <w:t>interests</w:t>
      </w:r>
      <w:r>
        <w:rPr>
          <w:spacing w:val="-12"/>
        </w:rPr>
        <w:t xml:space="preserve"> </w:t>
      </w:r>
      <w:r>
        <w:t>of</w:t>
      </w:r>
      <w:r>
        <w:rPr>
          <w:spacing w:val="-13"/>
        </w:rPr>
        <w:t xml:space="preserve"> </w:t>
      </w:r>
      <w:r>
        <w:t>vulnerable communities. The program aims to do this through strengthening the supply and demand side of government’s engagement with vulnerable groups.</w:t>
      </w:r>
    </w:p>
    <w:p w14:paraId="4E1D4801" w14:textId="77777777" w:rsidR="00BC24A8" w:rsidRDefault="00000000">
      <w:pPr>
        <w:pStyle w:val="BodyText"/>
        <w:spacing w:before="157" w:line="276" w:lineRule="auto"/>
        <w:ind w:left="142" w:right="282"/>
        <w:jc w:val="both"/>
      </w:pPr>
      <w:r>
        <w:t>SKALA’s</w:t>
      </w:r>
      <w:r>
        <w:rPr>
          <w:spacing w:val="-7"/>
        </w:rPr>
        <w:t xml:space="preserve"> </w:t>
      </w:r>
      <w:r>
        <w:t>implementation</w:t>
      </w:r>
      <w:r>
        <w:rPr>
          <w:spacing w:val="-7"/>
        </w:rPr>
        <w:t xml:space="preserve"> </w:t>
      </w:r>
      <w:r>
        <w:t>strategy</w:t>
      </w:r>
      <w:r>
        <w:rPr>
          <w:spacing w:val="-7"/>
        </w:rPr>
        <w:t xml:space="preserve"> </w:t>
      </w:r>
      <w:r>
        <w:t>for</w:t>
      </w:r>
      <w:r>
        <w:rPr>
          <w:spacing w:val="-7"/>
        </w:rPr>
        <w:t xml:space="preserve"> </w:t>
      </w:r>
      <w:r>
        <w:t>this</w:t>
      </w:r>
      <w:r>
        <w:rPr>
          <w:spacing w:val="-7"/>
        </w:rPr>
        <w:t xml:space="preserve"> </w:t>
      </w:r>
      <w:r>
        <w:t>was</w:t>
      </w:r>
      <w:r>
        <w:rPr>
          <w:spacing w:val="-7"/>
        </w:rPr>
        <w:t xml:space="preserve"> </w:t>
      </w:r>
      <w:r>
        <w:t>pursued</w:t>
      </w:r>
      <w:r>
        <w:rPr>
          <w:spacing w:val="-7"/>
        </w:rPr>
        <w:t xml:space="preserve"> </w:t>
      </w:r>
      <w:r>
        <w:t>through</w:t>
      </w:r>
      <w:r>
        <w:rPr>
          <w:spacing w:val="-7"/>
        </w:rPr>
        <w:t xml:space="preserve"> </w:t>
      </w:r>
      <w:r>
        <w:t>the</w:t>
      </w:r>
      <w:r>
        <w:rPr>
          <w:spacing w:val="-9"/>
        </w:rPr>
        <w:t xml:space="preserve"> </w:t>
      </w:r>
      <w:r>
        <w:t>complementary</w:t>
      </w:r>
      <w:r>
        <w:rPr>
          <w:spacing w:val="-9"/>
        </w:rPr>
        <w:t xml:space="preserve"> </w:t>
      </w:r>
      <w:r>
        <w:t>program</w:t>
      </w:r>
      <w:r>
        <w:rPr>
          <w:spacing w:val="-7"/>
        </w:rPr>
        <w:t xml:space="preserve"> </w:t>
      </w:r>
      <w:r>
        <w:t>outcomes. IO7 and IO8.</w:t>
      </w:r>
    </w:p>
    <w:p w14:paraId="5460261A" w14:textId="77777777" w:rsidR="00BC24A8" w:rsidRDefault="00BC24A8">
      <w:pPr>
        <w:pStyle w:val="BodyText"/>
      </w:pPr>
    </w:p>
    <w:p w14:paraId="07A2A830" w14:textId="77777777" w:rsidR="00BC24A8" w:rsidRDefault="00BC24A8">
      <w:pPr>
        <w:pStyle w:val="BodyText"/>
        <w:spacing w:before="99"/>
      </w:pPr>
    </w:p>
    <w:p w14:paraId="061AECC4" w14:textId="77777777" w:rsidR="00BC24A8" w:rsidRDefault="00000000">
      <w:pPr>
        <w:pStyle w:val="Heading6"/>
        <w:spacing w:line="290" w:lineRule="auto"/>
        <w:ind w:left="142" w:right="279"/>
      </w:pPr>
      <w:r w:rsidRPr="00795364">
        <w:rPr>
          <w:color w:val="00827F"/>
        </w:rPr>
        <w:t>IO7: Strengthened government engagement with women, people with disabilities and vulnerable</w:t>
      </w:r>
      <w:r w:rsidRPr="00795364">
        <w:rPr>
          <w:color w:val="00827F"/>
          <w:spacing w:val="-19"/>
        </w:rPr>
        <w:t xml:space="preserve"> </w:t>
      </w:r>
      <w:r w:rsidRPr="00795364">
        <w:rPr>
          <w:color w:val="00827F"/>
        </w:rPr>
        <w:t>groups</w:t>
      </w:r>
      <w:r w:rsidRPr="00795364">
        <w:rPr>
          <w:color w:val="00827F"/>
          <w:spacing w:val="-21"/>
        </w:rPr>
        <w:t xml:space="preserve"> </w:t>
      </w:r>
      <w:r w:rsidRPr="00795364">
        <w:rPr>
          <w:color w:val="00827F"/>
        </w:rPr>
        <w:t>in</w:t>
      </w:r>
      <w:r w:rsidRPr="00795364">
        <w:rPr>
          <w:color w:val="00827F"/>
          <w:spacing w:val="-21"/>
        </w:rPr>
        <w:t xml:space="preserve"> </w:t>
      </w:r>
      <w:r w:rsidRPr="00795364">
        <w:rPr>
          <w:color w:val="00827F"/>
        </w:rPr>
        <w:t>sub-national</w:t>
      </w:r>
      <w:r w:rsidRPr="00795364">
        <w:rPr>
          <w:color w:val="00827F"/>
          <w:spacing w:val="-21"/>
        </w:rPr>
        <w:t xml:space="preserve"> </w:t>
      </w:r>
      <w:r w:rsidRPr="00795364">
        <w:rPr>
          <w:color w:val="00827F"/>
        </w:rPr>
        <w:t>planning</w:t>
      </w:r>
      <w:r w:rsidRPr="00795364">
        <w:rPr>
          <w:color w:val="00827F"/>
          <w:spacing w:val="-20"/>
        </w:rPr>
        <w:t xml:space="preserve"> </w:t>
      </w:r>
      <w:r w:rsidRPr="00795364">
        <w:rPr>
          <w:color w:val="00827F"/>
        </w:rPr>
        <w:t>and</w:t>
      </w:r>
      <w:r w:rsidRPr="00795364">
        <w:rPr>
          <w:color w:val="00827F"/>
          <w:spacing w:val="-20"/>
        </w:rPr>
        <w:t xml:space="preserve"> </w:t>
      </w:r>
      <w:r w:rsidRPr="00795364">
        <w:rPr>
          <w:color w:val="00827F"/>
        </w:rPr>
        <w:t>decision-making</w:t>
      </w:r>
      <w:r w:rsidRPr="00795364">
        <w:rPr>
          <w:color w:val="00827F"/>
          <w:spacing w:val="-20"/>
        </w:rPr>
        <w:t xml:space="preserve"> </w:t>
      </w:r>
      <w:r w:rsidRPr="00795364">
        <w:rPr>
          <w:color w:val="00827F"/>
        </w:rPr>
        <w:t>processes</w:t>
      </w:r>
    </w:p>
    <w:p w14:paraId="51F9DEF0" w14:textId="77777777" w:rsidR="00BC24A8" w:rsidRDefault="00000000">
      <w:pPr>
        <w:spacing w:before="164" w:line="292" w:lineRule="auto"/>
        <w:ind w:left="142" w:right="282"/>
        <w:jc w:val="both"/>
        <w:rPr>
          <w:rFonts w:ascii="Trebuchet MS"/>
          <w:b/>
          <w:i/>
        </w:rPr>
      </w:pPr>
      <w:r w:rsidRPr="00795364">
        <w:rPr>
          <w:rFonts w:ascii="Trebuchet MS"/>
          <w:b/>
          <w:i/>
          <w:color w:val="00827F"/>
          <w:spacing w:val="-8"/>
        </w:rPr>
        <w:t>IO8:</w:t>
      </w:r>
      <w:r w:rsidRPr="00795364">
        <w:rPr>
          <w:rFonts w:ascii="Trebuchet MS"/>
          <w:b/>
          <w:i/>
          <w:color w:val="00827F"/>
          <w:spacing w:val="-5"/>
        </w:rPr>
        <w:t xml:space="preserve"> </w:t>
      </w:r>
      <w:r w:rsidRPr="00795364">
        <w:rPr>
          <w:rFonts w:ascii="Trebuchet MS"/>
          <w:b/>
          <w:i/>
          <w:color w:val="00827F"/>
          <w:spacing w:val="-8"/>
        </w:rPr>
        <w:t>Increased participation</w:t>
      </w:r>
      <w:r w:rsidRPr="00795364">
        <w:rPr>
          <w:rFonts w:ascii="Trebuchet MS"/>
          <w:b/>
          <w:i/>
          <w:color w:val="00827F"/>
          <w:spacing w:val="-2"/>
        </w:rPr>
        <w:t xml:space="preserve"> </w:t>
      </w:r>
      <w:r w:rsidRPr="00795364">
        <w:rPr>
          <w:rFonts w:ascii="Trebuchet MS"/>
          <w:b/>
          <w:i/>
          <w:color w:val="00827F"/>
          <w:spacing w:val="-8"/>
        </w:rPr>
        <w:t>and inffuence</w:t>
      </w:r>
      <w:r w:rsidRPr="00795364">
        <w:rPr>
          <w:rFonts w:ascii="Trebuchet MS"/>
          <w:b/>
          <w:i/>
          <w:color w:val="00827F"/>
          <w:spacing w:val="-9"/>
        </w:rPr>
        <w:t xml:space="preserve"> </w:t>
      </w:r>
      <w:r w:rsidRPr="00795364">
        <w:rPr>
          <w:rFonts w:ascii="Trebuchet MS"/>
          <w:b/>
          <w:i/>
          <w:color w:val="00827F"/>
          <w:spacing w:val="-8"/>
        </w:rPr>
        <w:t>of women, people</w:t>
      </w:r>
      <w:r w:rsidRPr="00795364">
        <w:rPr>
          <w:rFonts w:ascii="Trebuchet MS"/>
          <w:b/>
          <w:i/>
          <w:color w:val="00827F"/>
          <w:spacing w:val="-4"/>
        </w:rPr>
        <w:t xml:space="preserve"> </w:t>
      </w:r>
      <w:r w:rsidRPr="00795364">
        <w:rPr>
          <w:rFonts w:ascii="Trebuchet MS"/>
          <w:b/>
          <w:i/>
          <w:color w:val="00827F"/>
          <w:spacing w:val="-8"/>
        </w:rPr>
        <w:t>with disabilities</w:t>
      </w:r>
      <w:r w:rsidRPr="00795364">
        <w:rPr>
          <w:rFonts w:ascii="Trebuchet MS"/>
          <w:b/>
          <w:i/>
          <w:color w:val="00827F"/>
          <w:spacing w:val="-4"/>
        </w:rPr>
        <w:t xml:space="preserve"> </w:t>
      </w:r>
      <w:r w:rsidRPr="00795364">
        <w:rPr>
          <w:rFonts w:ascii="Trebuchet MS"/>
          <w:b/>
          <w:i/>
          <w:color w:val="00827F"/>
          <w:spacing w:val="-8"/>
        </w:rPr>
        <w:t xml:space="preserve">and vulnerable </w:t>
      </w:r>
      <w:r w:rsidRPr="00795364">
        <w:rPr>
          <w:rFonts w:ascii="Trebuchet MS"/>
          <w:b/>
          <w:i/>
          <w:color w:val="00827F"/>
        </w:rPr>
        <w:t xml:space="preserve">groups and/or their representatives in sub-national planning and decision-making </w:t>
      </w:r>
      <w:r w:rsidRPr="00795364">
        <w:rPr>
          <w:rFonts w:ascii="Trebuchet MS"/>
          <w:b/>
          <w:i/>
          <w:color w:val="00827F"/>
          <w:spacing w:val="-2"/>
        </w:rPr>
        <w:t>processes</w:t>
      </w:r>
    </w:p>
    <w:p w14:paraId="79EA7ED1" w14:textId="77777777" w:rsidR="00BC24A8" w:rsidRDefault="00000000">
      <w:pPr>
        <w:pStyle w:val="BodyText"/>
        <w:spacing w:before="157" w:line="278" w:lineRule="auto"/>
        <w:ind w:left="143" w:right="282"/>
        <w:jc w:val="both"/>
      </w:pPr>
      <w:bookmarkStart w:id="56" w:name="The_Phase_1_target_is_to_establish_inclu"/>
      <w:bookmarkEnd w:id="56"/>
      <w:r>
        <w:t>The</w:t>
      </w:r>
      <w:r>
        <w:rPr>
          <w:spacing w:val="-13"/>
        </w:rPr>
        <w:t xml:space="preserve"> </w:t>
      </w:r>
      <w:r>
        <w:t>Phase</w:t>
      </w:r>
      <w:r>
        <w:rPr>
          <w:spacing w:val="-12"/>
        </w:rPr>
        <w:t xml:space="preserve"> </w:t>
      </w:r>
      <w:r>
        <w:t>1</w:t>
      </w:r>
      <w:r>
        <w:rPr>
          <w:spacing w:val="-13"/>
        </w:rPr>
        <w:t xml:space="preserve"> </w:t>
      </w:r>
      <w:r>
        <w:t>target</w:t>
      </w:r>
      <w:r>
        <w:rPr>
          <w:spacing w:val="-12"/>
        </w:rPr>
        <w:t xml:space="preserve"> </w:t>
      </w:r>
      <w:r>
        <w:t>is</w:t>
      </w:r>
      <w:r>
        <w:rPr>
          <w:spacing w:val="-13"/>
        </w:rPr>
        <w:t xml:space="preserve"> </w:t>
      </w:r>
      <w:r>
        <w:t>to</w:t>
      </w:r>
      <w:r>
        <w:rPr>
          <w:spacing w:val="-12"/>
        </w:rPr>
        <w:t xml:space="preserve"> </w:t>
      </w:r>
      <w:r>
        <w:t>establish</w:t>
      </w:r>
      <w:r>
        <w:rPr>
          <w:spacing w:val="-13"/>
        </w:rPr>
        <w:t xml:space="preserve"> </w:t>
      </w:r>
      <w:r>
        <w:t>inclusive</w:t>
      </w:r>
      <w:r>
        <w:rPr>
          <w:spacing w:val="-12"/>
        </w:rPr>
        <w:t xml:space="preserve"> </w:t>
      </w:r>
      <w:r>
        <w:t>planning</w:t>
      </w:r>
      <w:r>
        <w:rPr>
          <w:spacing w:val="-12"/>
        </w:rPr>
        <w:t xml:space="preserve"> </w:t>
      </w:r>
      <w:r>
        <w:t>and</w:t>
      </w:r>
      <w:r>
        <w:rPr>
          <w:spacing w:val="-13"/>
        </w:rPr>
        <w:t xml:space="preserve"> </w:t>
      </w:r>
      <w:r>
        <w:t>budgeting</w:t>
      </w:r>
      <w:r>
        <w:rPr>
          <w:spacing w:val="-12"/>
        </w:rPr>
        <w:t xml:space="preserve"> </w:t>
      </w:r>
      <w:r>
        <w:t>forums</w:t>
      </w:r>
      <w:r>
        <w:rPr>
          <w:spacing w:val="-13"/>
        </w:rPr>
        <w:t xml:space="preserve"> </w:t>
      </w:r>
      <w:r>
        <w:t>at</w:t>
      </w:r>
      <w:r>
        <w:rPr>
          <w:spacing w:val="-12"/>
        </w:rPr>
        <w:t xml:space="preserve"> </w:t>
      </w:r>
      <w:r>
        <w:t>provincial</w:t>
      </w:r>
      <w:r>
        <w:rPr>
          <w:spacing w:val="-13"/>
        </w:rPr>
        <w:t xml:space="preserve"> </w:t>
      </w:r>
      <w:r>
        <w:t>and</w:t>
      </w:r>
      <w:r>
        <w:rPr>
          <w:spacing w:val="-12"/>
        </w:rPr>
        <w:t xml:space="preserve"> </w:t>
      </w:r>
      <w:r>
        <w:t>district</w:t>
      </w:r>
      <w:r>
        <w:rPr>
          <w:spacing w:val="-12"/>
        </w:rPr>
        <w:t xml:space="preserve"> </w:t>
      </w:r>
      <w:r>
        <w:t>levels that enable meaningful participation.</w:t>
      </w:r>
    </w:p>
    <w:p w14:paraId="34100BC4" w14:textId="77777777" w:rsidR="00BC24A8" w:rsidRDefault="00000000">
      <w:pPr>
        <w:pStyle w:val="BodyText"/>
        <w:spacing w:before="121" w:line="278" w:lineRule="auto"/>
        <w:ind w:left="143" w:right="278"/>
        <w:jc w:val="both"/>
      </w:pPr>
      <w:r>
        <w:t>At the national level, advances in the enabling environment have been progressed by supporting the Ministry of Home Affairs to prepare participatory planning guidelines, providing provinces with a clear framework for incorporating inclusivity in their planning processes. This has supported work at the subnational</w:t>
      </w:r>
      <w:r>
        <w:rPr>
          <w:spacing w:val="-9"/>
        </w:rPr>
        <w:t xml:space="preserve"> </w:t>
      </w:r>
      <w:r>
        <w:t>level</w:t>
      </w:r>
      <w:r>
        <w:rPr>
          <w:spacing w:val="-7"/>
        </w:rPr>
        <w:t xml:space="preserve"> </w:t>
      </w:r>
      <w:r>
        <w:t>to</w:t>
      </w:r>
      <w:r>
        <w:rPr>
          <w:spacing w:val="-9"/>
        </w:rPr>
        <w:t xml:space="preserve"> </w:t>
      </w:r>
      <w:r>
        <w:t>focus</w:t>
      </w:r>
      <w:r>
        <w:rPr>
          <w:spacing w:val="-5"/>
        </w:rPr>
        <w:t xml:space="preserve"> </w:t>
      </w:r>
      <w:r>
        <w:t>on</w:t>
      </w:r>
      <w:r>
        <w:rPr>
          <w:spacing w:val="-6"/>
        </w:rPr>
        <w:t xml:space="preserve"> </w:t>
      </w:r>
      <w:r>
        <w:t>strengthening</w:t>
      </w:r>
      <w:r>
        <w:rPr>
          <w:spacing w:val="-7"/>
        </w:rPr>
        <w:t xml:space="preserve"> </w:t>
      </w:r>
      <w:r>
        <w:t>the</w:t>
      </w:r>
      <w:r>
        <w:rPr>
          <w:spacing w:val="-10"/>
        </w:rPr>
        <w:t xml:space="preserve"> </w:t>
      </w:r>
      <w:r>
        <w:t>quality</w:t>
      </w:r>
      <w:r>
        <w:rPr>
          <w:spacing w:val="-10"/>
        </w:rPr>
        <w:t xml:space="preserve"> </w:t>
      </w:r>
      <w:r>
        <w:t>and</w:t>
      </w:r>
      <w:r>
        <w:rPr>
          <w:spacing w:val="-6"/>
        </w:rPr>
        <w:t xml:space="preserve"> </w:t>
      </w:r>
      <w:r>
        <w:t>impact</w:t>
      </w:r>
      <w:r>
        <w:rPr>
          <w:spacing w:val="-7"/>
        </w:rPr>
        <w:t xml:space="preserve"> </w:t>
      </w:r>
      <w:r>
        <w:t>of</w:t>
      </w:r>
      <w:r>
        <w:rPr>
          <w:spacing w:val="-7"/>
        </w:rPr>
        <w:t xml:space="preserve"> </w:t>
      </w:r>
      <w:r>
        <w:t>civil</w:t>
      </w:r>
      <w:r>
        <w:rPr>
          <w:spacing w:val="-9"/>
        </w:rPr>
        <w:t xml:space="preserve"> </w:t>
      </w:r>
      <w:r>
        <w:t>society</w:t>
      </w:r>
      <w:r>
        <w:rPr>
          <w:spacing w:val="-8"/>
        </w:rPr>
        <w:t xml:space="preserve"> </w:t>
      </w:r>
      <w:r>
        <w:t>participation.</w:t>
      </w:r>
      <w:r>
        <w:rPr>
          <w:spacing w:val="-7"/>
        </w:rPr>
        <w:t xml:space="preserve"> </w:t>
      </w:r>
      <w:r>
        <w:t>In</w:t>
      </w:r>
      <w:r>
        <w:rPr>
          <w:spacing w:val="-8"/>
        </w:rPr>
        <w:t xml:space="preserve"> </w:t>
      </w:r>
      <w:r>
        <w:t>North Kalimantan, Gorontalo, Maluku, NTB, NTT and Papua Selatan, SKALA facilitated a two-stage process in which</w:t>
      </w:r>
      <w:r>
        <w:rPr>
          <w:spacing w:val="-5"/>
        </w:rPr>
        <w:t xml:space="preserve"> </w:t>
      </w:r>
      <w:r>
        <w:t>civil</w:t>
      </w:r>
      <w:r>
        <w:rPr>
          <w:spacing w:val="-7"/>
        </w:rPr>
        <w:t xml:space="preserve"> </w:t>
      </w:r>
      <w:r>
        <w:t>society</w:t>
      </w:r>
      <w:r>
        <w:rPr>
          <w:spacing w:val="-5"/>
        </w:rPr>
        <w:t xml:space="preserve"> </w:t>
      </w:r>
      <w:r>
        <w:t>organisations</w:t>
      </w:r>
      <w:r>
        <w:rPr>
          <w:spacing w:val="-5"/>
        </w:rPr>
        <w:t xml:space="preserve"> </w:t>
      </w:r>
      <w:r>
        <w:t>were</w:t>
      </w:r>
      <w:r>
        <w:rPr>
          <w:spacing w:val="-7"/>
        </w:rPr>
        <w:t xml:space="preserve"> </w:t>
      </w:r>
      <w:r>
        <w:t>first</w:t>
      </w:r>
      <w:r>
        <w:rPr>
          <w:spacing w:val="-6"/>
        </w:rPr>
        <w:t xml:space="preserve"> </w:t>
      </w:r>
      <w:r>
        <w:t>supported</w:t>
      </w:r>
      <w:r>
        <w:rPr>
          <w:spacing w:val="-5"/>
        </w:rPr>
        <w:t xml:space="preserve"> </w:t>
      </w:r>
      <w:r>
        <w:t>to</w:t>
      </w:r>
      <w:r>
        <w:rPr>
          <w:spacing w:val="-6"/>
        </w:rPr>
        <w:t xml:space="preserve"> </w:t>
      </w:r>
      <w:r>
        <w:t>analyse</w:t>
      </w:r>
      <w:r>
        <w:rPr>
          <w:spacing w:val="-7"/>
        </w:rPr>
        <w:t xml:space="preserve"> </w:t>
      </w:r>
      <w:r>
        <w:t>disaggregated</w:t>
      </w:r>
      <w:r>
        <w:rPr>
          <w:spacing w:val="-5"/>
        </w:rPr>
        <w:t xml:space="preserve"> </w:t>
      </w:r>
      <w:r>
        <w:t>socioeconomic</w:t>
      </w:r>
      <w:r>
        <w:rPr>
          <w:spacing w:val="-6"/>
        </w:rPr>
        <w:t xml:space="preserve"> </w:t>
      </w:r>
      <w:r>
        <w:t>data</w:t>
      </w:r>
      <w:r>
        <w:rPr>
          <w:spacing w:val="-7"/>
        </w:rPr>
        <w:t xml:space="preserve"> </w:t>
      </w:r>
      <w:r>
        <w:t>and develop evidence-based policy recommendations. These recommendations were then formally presented through pre-planning workshops. This process resulted in 100 civil society organisations, including 29 organisations of persons with disabilities, putting forward 777 recommendations for consideration in annual and medium-term provincial planning documents. Early signs of adoption are already visible in Gorontalo and NTT, with provincial governments beginning to incorporate CSO proposals into draft plans.</w:t>
      </w:r>
    </w:p>
    <w:p w14:paraId="66A03126" w14:textId="77777777" w:rsidR="00BC24A8" w:rsidRDefault="00000000">
      <w:pPr>
        <w:pStyle w:val="BodyText"/>
        <w:spacing w:before="154" w:line="276" w:lineRule="auto"/>
        <w:ind w:left="143" w:right="282"/>
        <w:jc w:val="both"/>
      </w:pPr>
      <w:r>
        <w:t>To ensure that these gains are sustained, SKALA has also helped provinces formalise participatory mechanisms</w:t>
      </w:r>
      <w:r>
        <w:rPr>
          <w:spacing w:val="40"/>
        </w:rPr>
        <w:t xml:space="preserve"> </w:t>
      </w:r>
      <w:r>
        <w:t>through</w:t>
      </w:r>
      <w:r>
        <w:rPr>
          <w:spacing w:val="40"/>
        </w:rPr>
        <w:t xml:space="preserve"> </w:t>
      </w:r>
      <w:r>
        <w:t>regulations</w:t>
      </w:r>
      <w:r>
        <w:rPr>
          <w:spacing w:val="40"/>
        </w:rPr>
        <w:t xml:space="preserve"> </w:t>
      </w:r>
      <w:r>
        <w:t>and</w:t>
      </w:r>
      <w:r>
        <w:rPr>
          <w:spacing w:val="40"/>
        </w:rPr>
        <w:t xml:space="preserve"> </w:t>
      </w:r>
      <w:r>
        <w:t>decrees.</w:t>
      </w:r>
      <w:r>
        <w:rPr>
          <w:spacing w:val="40"/>
        </w:rPr>
        <w:t xml:space="preserve"> </w:t>
      </w:r>
      <w:r>
        <w:t>NTT</w:t>
      </w:r>
      <w:r>
        <w:rPr>
          <w:spacing w:val="40"/>
        </w:rPr>
        <w:t xml:space="preserve"> </w:t>
      </w:r>
      <w:r>
        <w:t>enacted</w:t>
      </w:r>
      <w:r>
        <w:rPr>
          <w:spacing w:val="40"/>
        </w:rPr>
        <w:t xml:space="preserve"> </w:t>
      </w:r>
      <w:r>
        <w:t>a</w:t>
      </w:r>
      <w:r>
        <w:rPr>
          <w:spacing w:val="40"/>
        </w:rPr>
        <w:t xml:space="preserve"> </w:t>
      </w:r>
      <w:r>
        <w:t>Governor’s</w:t>
      </w:r>
      <w:r>
        <w:rPr>
          <w:spacing w:val="40"/>
        </w:rPr>
        <w:t xml:space="preserve"> </w:t>
      </w:r>
      <w:r>
        <w:t>Regulation</w:t>
      </w:r>
      <w:r>
        <w:rPr>
          <w:spacing w:val="40"/>
        </w:rPr>
        <w:t xml:space="preserve"> </w:t>
      </w:r>
      <w:r>
        <w:t>on</w:t>
      </w:r>
      <w:r>
        <w:rPr>
          <w:spacing w:val="40"/>
        </w:rPr>
        <w:t xml:space="preserve"> </w:t>
      </w:r>
      <w:r>
        <w:t>Inclusive</w:t>
      </w:r>
    </w:p>
    <w:p w14:paraId="2A8A5B91" w14:textId="77777777" w:rsidR="00BC24A8" w:rsidRDefault="00BC24A8">
      <w:pPr>
        <w:pStyle w:val="BodyText"/>
        <w:spacing w:line="276" w:lineRule="auto"/>
        <w:jc w:val="both"/>
        <w:sectPr w:rsidR="00BC24A8">
          <w:pgSz w:w="11910" w:h="16840"/>
          <w:pgMar w:top="1360" w:right="1133" w:bottom="1100" w:left="1275" w:header="0" w:footer="907" w:gutter="0"/>
          <w:cols w:space="720"/>
        </w:sectPr>
      </w:pPr>
    </w:p>
    <w:p w14:paraId="18E79E92" w14:textId="77777777" w:rsidR="00BC24A8" w:rsidRDefault="00000000">
      <w:pPr>
        <w:pStyle w:val="BodyText"/>
        <w:spacing w:before="39" w:line="278" w:lineRule="auto"/>
        <w:ind w:left="143" w:right="279"/>
        <w:jc w:val="both"/>
      </w:pPr>
      <w:r>
        <w:lastRenderedPageBreak/>
        <w:t xml:space="preserve">Development Planning Forums, while North Kalimantan issued a BAPPEDA decree mandating inclusive participation. In parallel, SKALA has supported civil society to engage in other policy and planning processes, from provincial action plans and budgeting standards to disability action plans and taxation </w:t>
      </w:r>
      <w:r>
        <w:rPr>
          <w:spacing w:val="-2"/>
        </w:rPr>
        <w:t>regulations.</w:t>
      </w:r>
      <w:r>
        <w:rPr>
          <w:spacing w:val="-7"/>
        </w:rPr>
        <w:t xml:space="preserve"> </w:t>
      </w:r>
      <w:r>
        <w:rPr>
          <w:spacing w:val="-2"/>
        </w:rPr>
        <w:t>In</w:t>
      </w:r>
      <w:r>
        <w:rPr>
          <w:spacing w:val="-10"/>
        </w:rPr>
        <w:t xml:space="preserve"> </w:t>
      </w:r>
      <w:r>
        <w:rPr>
          <w:spacing w:val="-2"/>
        </w:rPr>
        <w:t>Aceh,</w:t>
      </w:r>
      <w:r>
        <w:rPr>
          <w:spacing w:val="-7"/>
        </w:rPr>
        <w:t xml:space="preserve"> </w:t>
      </w:r>
      <w:r>
        <w:rPr>
          <w:spacing w:val="-2"/>
        </w:rPr>
        <w:t>for</w:t>
      </w:r>
      <w:r>
        <w:rPr>
          <w:spacing w:val="-7"/>
        </w:rPr>
        <w:t xml:space="preserve"> </w:t>
      </w:r>
      <w:r>
        <w:rPr>
          <w:spacing w:val="-2"/>
        </w:rPr>
        <w:t>instance,</w:t>
      </w:r>
      <w:r>
        <w:rPr>
          <w:spacing w:val="-7"/>
        </w:rPr>
        <w:t xml:space="preserve"> </w:t>
      </w:r>
      <w:r>
        <w:rPr>
          <w:spacing w:val="-2"/>
        </w:rPr>
        <w:t>SKALA</w:t>
      </w:r>
      <w:r>
        <w:rPr>
          <w:spacing w:val="-7"/>
        </w:rPr>
        <w:t xml:space="preserve"> </w:t>
      </w:r>
      <w:r>
        <w:rPr>
          <w:spacing w:val="-2"/>
        </w:rPr>
        <w:t>collaborated</w:t>
      </w:r>
      <w:r>
        <w:rPr>
          <w:spacing w:val="-7"/>
        </w:rPr>
        <w:t xml:space="preserve"> </w:t>
      </w:r>
      <w:r>
        <w:rPr>
          <w:spacing w:val="-2"/>
        </w:rPr>
        <w:t>with</w:t>
      </w:r>
      <w:r>
        <w:rPr>
          <w:spacing w:val="-7"/>
        </w:rPr>
        <w:t xml:space="preserve"> </w:t>
      </w:r>
      <w:r>
        <w:rPr>
          <w:spacing w:val="-2"/>
        </w:rPr>
        <w:t>DFAT’s</w:t>
      </w:r>
      <w:r>
        <w:rPr>
          <w:spacing w:val="-7"/>
        </w:rPr>
        <w:t xml:space="preserve"> </w:t>
      </w:r>
      <w:r>
        <w:rPr>
          <w:spacing w:val="-2"/>
        </w:rPr>
        <w:t>INKLUSI</w:t>
      </w:r>
      <w:r>
        <w:rPr>
          <w:spacing w:val="-9"/>
        </w:rPr>
        <w:t xml:space="preserve"> </w:t>
      </w:r>
      <w:r>
        <w:rPr>
          <w:spacing w:val="-2"/>
        </w:rPr>
        <w:t>and</w:t>
      </w:r>
      <w:r>
        <w:rPr>
          <w:spacing w:val="-10"/>
        </w:rPr>
        <w:t xml:space="preserve"> </w:t>
      </w:r>
      <w:r>
        <w:rPr>
          <w:spacing w:val="-2"/>
        </w:rPr>
        <w:t>AIPJ2</w:t>
      </w:r>
      <w:r>
        <w:rPr>
          <w:spacing w:val="-9"/>
        </w:rPr>
        <w:t xml:space="preserve"> </w:t>
      </w:r>
      <w:r>
        <w:rPr>
          <w:spacing w:val="-2"/>
        </w:rPr>
        <w:t>programs</w:t>
      </w:r>
      <w:r>
        <w:rPr>
          <w:spacing w:val="-7"/>
        </w:rPr>
        <w:t xml:space="preserve"> </w:t>
      </w:r>
      <w:r>
        <w:rPr>
          <w:spacing w:val="-2"/>
        </w:rPr>
        <w:t>to</w:t>
      </w:r>
      <w:r>
        <w:rPr>
          <w:spacing w:val="-8"/>
        </w:rPr>
        <w:t xml:space="preserve"> </w:t>
      </w:r>
      <w:r>
        <w:rPr>
          <w:spacing w:val="-2"/>
        </w:rPr>
        <w:t xml:space="preserve">support </w:t>
      </w:r>
      <w:r>
        <w:t>the</w:t>
      </w:r>
      <w:r>
        <w:rPr>
          <w:spacing w:val="-13"/>
        </w:rPr>
        <w:t xml:space="preserve"> </w:t>
      </w:r>
      <w:r>
        <w:t>passage</w:t>
      </w:r>
      <w:r>
        <w:rPr>
          <w:spacing w:val="-12"/>
        </w:rPr>
        <w:t xml:space="preserve"> </w:t>
      </w:r>
      <w:r>
        <w:t>of</w:t>
      </w:r>
      <w:r>
        <w:rPr>
          <w:spacing w:val="-13"/>
        </w:rPr>
        <w:t xml:space="preserve"> </w:t>
      </w:r>
      <w:r>
        <w:t>the</w:t>
      </w:r>
      <w:r>
        <w:rPr>
          <w:spacing w:val="-12"/>
        </w:rPr>
        <w:t xml:space="preserve"> </w:t>
      </w:r>
      <w:r>
        <w:t>Qanun</w:t>
      </w:r>
      <w:r>
        <w:rPr>
          <w:spacing w:val="-13"/>
        </w:rPr>
        <w:t xml:space="preserve"> </w:t>
      </w:r>
      <w:r>
        <w:t>on</w:t>
      </w:r>
      <w:r>
        <w:rPr>
          <w:spacing w:val="-12"/>
        </w:rPr>
        <w:t xml:space="preserve"> </w:t>
      </w:r>
      <w:r>
        <w:t>Protection</w:t>
      </w:r>
      <w:r>
        <w:rPr>
          <w:spacing w:val="-13"/>
        </w:rPr>
        <w:t xml:space="preserve"> </w:t>
      </w:r>
      <w:r>
        <w:t>of</w:t>
      </w:r>
      <w:r>
        <w:rPr>
          <w:spacing w:val="-12"/>
        </w:rPr>
        <w:t xml:space="preserve"> </w:t>
      </w:r>
      <w:r>
        <w:t>Women’s</w:t>
      </w:r>
      <w:r>
        <w:rPr>
          <w:spacing w:val="-12"/>
        </w:rPr>
        <w:t xml:space="preserve"> </w:t>
      </w:r>
      <w:r>
        <w:t>Rights,</w:t>
      </w:r>
      <w:r>
        <w:rPr>
          <w:spacing w:val="-13"/>
        </w:rPr>
        <w:t xml:space="preserve"> </w:t>
      </w:r>
      <w:r>
        <w:t>which</w:t>
      </w:r>
      <w:r>
        <w:rPr>
          <w:spacing w:val="-12"/>
        </w:rPr>
        <w:t xml:space="preserve"> </w:t>
      </w:r>
      <w:r>
        <w:t>broadens</w:t>
      </w:r>
      <w:r>
        <w:rPr>
          <w:spacing w:val="-13"/>
        </w:rPr>
        <w:t xml:space="preserve"> </w:t>
      </w:r>
      <w:r>
        <w:t>protections</w:t>
      </w:r>
      <w:r>
        <w:rPr>
          <w:spacing w:val="-12"/>
        </w:rPr>
        <w:t xml:space="preserve"> </w:t>
      </w:r>
      <w:r>
        <w:t>and</w:t>
      </w:r>
      <w:r>
        <w:rPr>
          <w:spacing w:val="-13"/>
        </w:rPr>
        <w:t xml:space="preserve"> </w:t>
      </w:r>
      <w:r>
        <w:t>accelerates progress towards gender equality.</w:t>
      </w:r>
    </w:p>
    <w:p w14:paraId="08BB192A" w14:textId="77777777" w:rsidR="00BC24A8" w:rsidRDefault="00000000">
      <w:pPr>
        <w:pStyle w:val="BodyText"/>
        <w:spacing w:before="156" w:line="278" w:lineRule="auto"/>
        <w:ind w:left="143" w:right="278"/>
        <w:jc w:val="both"/>
      </w:pPr>
      <w:r>
        <w:rPr>
          <w:spacing w:val="-2"/>
        </w:rPr>
        <w:t>Persistent barriers</w:t>
      </w:r>
      <w:r>
        <w:rPr>
          <w:spacing w:val="-3"/>
        </w:rPr>
        <w:t xml:space="preserve"> </w:t>
      </w:r>
      <w:r>
        <w:rPr>
          <w:spacing w:val="-2"/>
        </w:rPr>
        <w:t>continue</w:t>
      </w:r>
      <w:r>
        <w:rPr>
          <w:spacing w:val="-6"/>
        </w:rPr>
        <w:t xml:space="preserve"> </w:t>
      </w:r>
      <w:r>
        <w:rPr>
          <w:spacing w:val="-2"/>
        </w:rPr>
        <w:t>to limit the</w:t>
      </w:r>
      <w:r>
        <w:rPr>
          <w:spacing w:val="-3"/>
        </w:rPr>
        <w:t xml:space="preserve"> </w:t>
      </w:r>
      <w:r>
        <w:rPr>
          <w:spacing w:val="-2"/>
        </w:rPr>
        <w:t>influence</w:t>
      </w:r>
      <w:r>
        <w:rPr>
          <w:spacing w:val="-3"/>
        </w:rPr>
        <w:t xml:space="preserve"> </w:t>
      </w:r>
      <w:r>
        <w:rPr>
          <w:spacing w:val="-2"/>
        </w:rPr>
        <w:t>of</w:t>
      </w:r>
      <w:r>
        <w:rPr>
          <w:spacing w:val="-3"/>
        </w:rPr>
        <w:t xml:space="preserve"> </w:t>
      </w:r>
      <w:r>
        <w:rPr>
          <w:spacing w:val="-2"/>
        </w:rPr>
        <w:t>CSOs in planning and budgeting.</w:t>
      </w:r>
      <w:r>
        <w:rPr>
          <w:spacing w:val="-3"/>
        </w:rPr>
        <w:t xml:space="preserve"> </w:t>
      </w:r>
      <w:r>
        <w:rPr>
          <w:spacing w:val="-2"/>
        </w:rPr>
        <w:t>Many</w:t>
      </w:r>
      <w:r>
        <w:rPr>
          <w:spacing w:val="-3"/>
        </w:rPr>
        <w:t xml:space="preserve"> </w:t>
      </w:r>
      <w:r>
        <w:rPr>
          <w:spacing w:val="-2"/>
        </w:rPr>
        <w:t xml:space="preserve">organisations </w:t>
      </w:r>
      <w:r>
        <w:t>lack a strong understanding of government planning systems and budget structures, which makes it difficult to translate community needs into actionable policy recommendations. Access to reliable disaggregated data remains uneven, and monitoring mechanisms to track whether CSO proposals are adopted</w:t>
      </w:r>
      <w:r>
        <w:rPr>
          <w:spacing w:val="-4"/>
        </w:rPr>
        <w:t xml:space="preserve"> </w:t>
      </w:r>
      <w:r>
        <w:t>need</w:t>
      </w:r>
      <w:r>
        <w:rPr>
          <w:spacing w:val="-4"/>
        </w:rPr>
        <w:t xml:space="preserve"> </w:t>
      </w:r>
      <w:r>
        <w:t>further</w:t>
      </w:r>
      <w:r>
        <w:rPr>
          <w:spacing w:val="-4"/>
        </w:rPr>
        <w:t xml:space="preserve"> </w:t>
      </w:r>
      <w:r>
        <w:t>strengthening.</w:t>
      </w:r>
      <w:r>
        <w:rPr>
          <w:spacing w:val="-3"/>
        </w:rPr>
        <w:t xml:space="preserve"> </w:t>
      </w:r>
      <w:r>
        <w:t>Coordination</w:t>
      </w:r>
      <w:r>
        <w:rPr>
          <w:spacing w:val="-4"/>
        </w:rPr>
        <w:t xml:space="preserve"> </w:t>
      </w:r>
      <w:r>
        <w:t>among</w:t>
      </w:r>
      <w:r>
        <w:rPr>
          <w:spacing w:val="-5"/>
        </w:rPr>
        <w:t xml:space="preserve"> </w:t>
      </w:r>
      <w:r>
        <w:t>CSOs</w:t>
      </w:r>
      <w:r>
        <w:rPr>
          <w:spacing w:val="-3"/>
        </w:rPr>
        <w:t xml:space="preserve"> </w:t>
      </w:r>
      <w:r>
        <w:t>is</w:t>
      </w:r>
      <w:r>
        <w:rPr>
          <w:spacing w:val="-3"/>
        </w:rPr>
        <w:t xml:space="preserve"> </w:t>
      </w:r>
      <w:r>
        <w:t>often</w:t>
      </w:r>
      <w:r>
        <w:rPr>
          <w:spacing w:val="-4"/>
        </w:rPr>
        <w:t xml:space="preserve"> </w:t>
      </w:r>
      <w:r>
        <w:t>fragmented</w:t>
      </w:r>
      <w:r>
        <w:rPr>
          <w:spacing w:val="-4"/>
        </w:rPr>
        <w:t xml:space="preserve"> </w:t>
      </w:r>
      <w:r>
        <w:t>and</w:t>
      </w:r>
      <w:r>
        <w:rPr>
          <w:spacing w:val="-4"/>
        </w:rPr>
        <w:t xml:space="preserve"> </w:t>
      </w:r>
      <w:r>
        <w:t>heavily</w:t>
      </w:r>
      <w:r>
        <w:rPr>
          <w:spacing w:val="-3"/>
        </w:rPr>
        <w:t xml:space="preserve"> </w:t>
      </w:r>
      <w:r>
        <w:t>reliant on donor support, reducing sustainability and long-term influence. Even with these challenges, at this stage, SKALA is on track to deliver the Phase 1 target.</w:t>
      </w:r>
    </w:p>
    <w:p w14:paraId="0CC116BC" w14:textId="77777777" w:rsidR="00BC24A8" w:rsidRDefault="00000000">
      <w:pPr>
        <w:pStyle w:val="BodyText"/>
        <w:spacing w:before="157" w:line="278" w:lineRule="auto"/>
        <w:ind w:left="143" w:right="277"/>
        <w:jc w:val="both"/>
      </w:pPr>
      <w:r>
        <w:t>To consolidate gains to date and to address these constraints, SKALA has developed a CSO Network Engagement</w:t>
      </w:r>
      <w:r>
        <w:rPr>
          <w:spacing w:val="-2"/>
        </w:rPr>
        <w:t xml:space="preserve"> </w:t>
      </w:r>
      <w:r>
        <w:t>Plan</w:t>
      </w:r>
      <w:r>
        <w:rPr>
          <w:spacing w:val="-1"/>
        </w:rPr>
        <w:t xml:space="preserve"> </w:t>
      </w:r>
      <w:r>
        <w:t>that</w:t>
      </w:r>
      <w:r>
        <w:rPr>
          <w:spacing w:val="-2"/>
        </w:rPr>
        <w:t xml:space="preserve"> </w:t>
      </w:r>
      <w:r>
        <w:t>refines its approach</w:t>
      </w:r>
      <w:r>
        <w:rPr>
          <w:spacing w:val="-2"/>
        </w:rPr>
        <w:t xml:space="preserve"> </w:t>
      </w:r>
      <w:r>
        <w:t>to</w:t>
      </w:r>
      <w:r>
        <w:rPr>
          <w:spacing w:val="-1"/>
        </w:rPr>
        <w:t xml:space="preserve"> </w:t>
      </w:r>
      <w:r>
        <w:t>strengthening</w:t>
      </w:r>
      <w:r>
        <w:rPr>
          <w:spacing w:val="-1"/>
        </w:rPr>
        <w:t xml:space="preserve"> </w:t>
      </w:r>
      <w:r>
        <w:t>both</w:t>
      </w:r>
      <w:r>
        <w:rPr>
          <w:spacing w:val="-2"/>
        </w:rPr>
        <w:t xml:space="preserve"> </w:t>
      </w:r>
      <w:r>
        <w:t>the</w:t>
      </w:r>
      <w:r>
        <w:rPr>
          <w:spacing w:val="-2"/>
        </w:rPr>
        <w:t xml:space="preserve"> </w:t>
      </w:r>
      <w:r>
        <w:t>“supply” of</w:t>
      </w:r>
      <w:r>
        <w:rPr>
          <w:spacing w:val="-2"/>
        </w:rPr>
        <w:t xml:space="preserve"> </w:t>
      </w:r>
      <w:r>
        <w:t>inclusive</w:t>
      </w:r>
      <w:r>
        <w:rPr>
          <w:spacing w:val="-4"/>
        </w:rPr>
        <w:t xml:space="preserve"> </w:t>
      </w:r>
      <w:r>
        <w:t>government systems and the “demand” from civil society for meaningful participation. The plan prioritises support for CSO networks rather than individual organisations, recognising that coalitions amplify advocacy efforts,</w:t>
      </w:r>
      <w:r>
        <w:rPr>
          <w:spacing w:val="-3"/>
        </w:rPr>
        <w:t xml:space="preserve"> </w:t>
      </w:r>
      <w:r>
        <w:t>enhance</w:t>
      </w:r>
      <w:r>
        <w:rPr>
          <w:spacing w:val="-5"/>
        </w:rPr>
        <w:t xml:space="preserve"> </w:t>
      </w:r>
      <w:r>
        <w:t>legitimacy,</w:t>
      </w:r>
      <w:r>
        <w:rPr>
          <w:spacing w:val="-5"/>
        </w:rPr>
        <w:t xml:space="preserve"> </w:t>
      </w:r>
      <w:r>
        <w:t>and</w:t>
      </w:r>
      <w:r>
        <w:rPr>
          <w:spacing w:val="-6"/>
        </w:rPr>
        <w:t xml:space="preserve"> </w:t>
      </w:r>
      <w:r>
        <w:t>promote</w:t>
      </w:r>
      <w:r>
        <w:rPr>
          <w:spacing w:val="-5"/>
        </w:rPr>
        <w:t xml:space="preserve"> </w:t>
      </w:r>
      <w:r>
        <w:t>accountability.</w:t>
      </w:r>
      <w:r>
        <w:rPr>
          <w:spacing w:val="-3"/>
        </w:rPr>
        <w:t xml:space="preserve"> </w:t>
      </w:r>
      <w:r>
        <w:t>It</w:t>
      </w:r>
      <w:r>
        <w:rPr>
          <w:spacing w:val="-5"/>
        </w:rPr>
        <w:t xml:space="preserve"> </w:t>
      </w:r>
      <w:r>
        <w:t>also</w:t>
      </w:r>
      <w:r>
        <w:rPr>
          <w:spacing w:val="-6"/>
        </w:rPr>
        <w:t xml:space="preserve"> </w:t>
      </w:r>
      <w:r>
        <w:t>sets</w:t>
      </w:r>
      <w:r>
        <w:rPr>
          <w:spacing w:val="-5"/>
        </w:rPr>
        <w:t xml:space="preserve"> </w:t>
      </w:r>
      <w:r>
        <w:t>out</w:t>
      </w:r>
      <w:r>
        <w:rPr>
          <w:spacing w:val="-6"/>
        </w:rPr>
        <w:t xml:space="preserve"> </w:t>
      </w:r>
      <w:r>
        <w:t>a</w:t>
      </w:r>
      <w:r>
        <w:rPr>
          <w:spacing w:val="-6"/>
        </w:rPr>
        <w:t xml:space="preserve"> </w:t>
      </w:r>
      <w:r>
        <w:t>place-based</w:t>
      </w:r>
      <w:r>
        <w:rPr>
          <w:spacing w:val="-4"/>
        </w:rPr>
        <w:t xml:space="preserve"> </w:t>
      </w:r>
      <w:r>
        <w:t>strategy</w:t>
      </w:r>
      <w:r>
        <w:rPr>
          <w:spacing w:val="-5"/>
        </w:rPr>
        <w:t xml:space="preserve"> </w:t>
      </w:r>
      <w:r>
        <w:t>tailored to the different</w:t>
      </w:r>
      <w:r>
        <w:rPr>
          <w:spacing w:val="-1"/>
        </w:rPr>
        <w:t xml:space="preserve"> </w:t>
      </w:r>
      <w:r>
        <w:t>models of</w:t>
      </w:r>
      <w:r>
        <w:rPr>
          <w:spacing w:val="-2"/>
        </w:rPr>
        <w:t xml:space="preserve"> </w:t>
      </w:r>
      <w:r>
        <w:t>CSO–government</w:t>
      </w:r>
      <w:r>
        <w:rPr>
          <w:spacing w:val="-1"/>
        </w:rPr>
        <w:t xml:space="preserve"> </w:t>
      </w:r>
      <w:r>
        <w:t>engagement found in SKALA’s partner provinces. Through this dual approach—brokering direct engagement between coalitions and government, and building capacity</w:t>
      </w:r>
      <w:r>
        <w:rPr>
          <w:spacing w:val="-9"/>
        </w:rPr>
        <w:t xml:space="preserve"> </w:t>
      </w:r>
      <w:r>
        <w:t>through</w:t>
      </w:r>
      <w:r>
        <w:rPr>
          <w:spacing w:val="-10"/>
        </w:rPr>
        <w:t xml:space="preserve"> </w:t>
      </w:r>
      <w:r>
        <w:t>partnerships</w:t>
      </w:r>
      <w:r>
        <w:rPr>
          <w:spacing w:val="-9"/>
        </w:rPr>
        <w:t xml:space="preserve"> </w:t>
      </w:r>
      <w:r>
        <w:t>with</w:t>
      </w:r>
      <w:r>
        <w:rPr>
          <w:spacing w:val="-10"/>
        </w:rPr>
        <w:t xml:space="preserve"> </w:t>
      </w:r>
      <w:r>
        <w:t>knowledge</w:t>
      </w:r>
      <w:r>
        <w:rPr>
          <w:spacing w:val="-11"/>
        </w:rPr>
        <w:t xml:space="preserve"> </w:t>
      </w:r>
      <w:r>
        <w:t>actors</w:t>
      </w:r>
      <w:r>
        <w:rPr>
          <w:spacing w:val="-11"/>
        </w:rPr>
        <w:t xml:space="preserve"> </w:t>
      </w:r>
      <w:r>
        <w:t>such</w:t>
      </w:r>
      <w:r>
        <w:rPr>
          <w:spacing w:val="-10"/>
        </w:rPr>
        <w:t xml:space="preserve"> </w:t>
      </w:r>
      <w:r>
        <w:t>as</w:t>
      </w:r>
      <w:r>
        <w:rPr>
          <w:spacing w:val="-11"/>
        </w:rPr>
        <w:t xml:space="preserve"> </w:t>
      </w:r>
      <w:r>
        <w:t>Seknas</w:t>
      </w:r>
      <w:r>
        <w:rPr>
          <w:spacing w:val="-9"/>
        </w:rPr>
        <w:t xml:space="preserve"> </w:t>
      </w:r>
      <w:r>
        <w:t>FITRA—SKALA</w:t>
      </w:r>
      <w:r>
        <w:rPr>
          <w:spacing w:val="-10"/>
        </w:rPr>
        <w:t xml:space="preserve"> </w:t>
      </w:r>
      <w:r>
        <w:t>is</w:t>
      </w:r>
      <w:r>
        <w:rPr>
          <w:spacing w:val="-9"/>
        </w:rPr>
        <w:t xml:space="preserve"> </w:t>
      </w:r>
      <w:r>
        <w:t>creating</w:t>
      </w:r>
      <w:r>
        <w:rPr>
          <w:spacing w:val="-11"/>
        </w:rPr>
        <w:t xml:space="preserve"> </w:t>
      </w:r>
      <w:r>
        <w:t>stronger, more sustainable pathways for inclusive participation in planning and budgeting.</w:t>
      </w:r>
    </w:p>
    <w:p w14:paraId="6691DFCB" w14:textId="77777777" w:rsidR="00BC24A8" w:rsidRDefault="00BC24A8">
      <w:pPr>
        <w:pStyle w:val="BodyText"/>
      </w:pPr>
    </w:p>
    <w:p w14:paraId="0543631D" w14:textId="77777777" w:rsidR="00BC24A8" w:rsidRDefault="00BC24A8">
      <w:pPr>
        <w:pStyle w:val="BodyText"/>
        <w:spacing w:before="91"/>
      </w:pPr>
    </w:p>
    <w:p w14:paraId="053E0663" w14:textId="77777777" w:rsidR="00BC24A8" w:rsidRDefault="00000000">
      <w:pPr>
        <w:pStyle w:val="Heading6"/>
        <w:spacing w:line="290" w:lineRule="auto"/>
        <w:ind w:right="283"/>
      </w:pPr>
      <w:r w:rsidRPr="00795364">
        <w:rPr>
          <w:color w:val="00827F"/>
          <w:spacing w:val="-2"/>
        </w:rPr>
        <w:t>IO3:</w:t>
      </w:r>
      <w:r w:rsidRPr="00795364">
        <w:rPr>
          <w:color w:val="00827F"/>
          <w:spacing w:val="-11"/>
        </w:rPr>
        <w:t xml:space="preserve"> </w:t>
      </w:r>
      <w:r w:rsidRPr="00795364">
        <w:rPr>
          <w:color w:val="00827F"/>
          <w:spacing w:val="-2"/>
        </w:rPr>
        <w:t>Village</w:t>
      </w:r>
      <w:r w:rsidRPr="00795364">
        <w:rPr>
          <w:color w:val="00827F"/>
          <w:spacing w:val="-11"/>
        </w:rPr>
        <w:t xml:space="preserve"> </w:t>
      </w:r>
      <w:r w:rsidRPr="00795364">
        <w:rPr>
          <w:color w:val="00827F"/>
          <w:spacing w:val="-2"/>
        </w:rPr>
        <w:t>level</w:t>
      </w:r>
      <w:r w:rsidRPr="00795364">
        <w:rPr>
          <w:color w:val="00827F"/>
          <w:spacing w:val="-10"/>
        </w:rPr>
        <w:t xml:space="preserve"> </w:t>
      </w:r>
      <w:r w:rsidRPr="00795364">
        <w:rPr>
          <w:color w:val="00827F"/>
          <w:spacing w:val="-2"/>
        </w:rPr>
        <w:t>information</w:t>
      </w:r>
      <w:r w:rsidRPr="00795364">
        <w:rPr>
          <w:color w:val="00827F"/>
          <w:spacing w:val="-12"/>
        </w:rPr>
        <w:t xml:space="preserve"> </w:t>
      </w:r>
      <w:r w:rsidRPr="00795364">
        <w:rPr>
          <w:color w:val="00827F"/>
          <w:spacing w:val="-2"/>
        </w:rPr>
        <w:t>systems</w:t>
      </w:r>
      <w:r w:rsidRPr="00795364">
        <w:rPr>
          <w:color w:val="00827F"/>
          <w:spacing w:val="-12"/>
        </w:rPr>
        <w:t xml:space="preserve"> </w:t>
      </w:r>
      <w:r w:rsidRPr="00795364">
        <w:rPr>
          <w:color w:val="00827F"/>
          <w:spacing w:val="-2"/>
        </w:rPr>
        <w:t>produce</w:t>
      </w:r>
      <w:r w:rsidRPr="00795364">
        <w:rPr>
          <w:color w:val="00827F"/>
          <w:spacing w:val="-12"/>
        </w:rPr>
        <w:t xml:space="preserve"> </w:t>
      </w:r>
      <w:r w:rsidRPr="00795364">
        <w:rPr>
          <w:color w:val="00827F"/>
          <w:spacing w:val="-2"/>
        </w:rPr>
        <w:t>stronger</w:t>
      </w:r>
      <w:r w:rsidRPr="00795364">
        <w:rPr>
          <w:color w:val="00827F"/>
          <w:spacing w:val="-9"/>
        </w:rPr>
        <w:t xml:space="preserve"> </w:t>
      </w:r>
      <w:r w:rsidRPr="00795364">
        <w:rPr>
          <w:color w:val="00827F"/>
          <w:spacing w:val="-2"/>
        </w:rPr>
        <w:t>analysis</w:t>
      </w:r>
      <w:r w:rsidRPr="00795364">
        <w:rPr>
          <w:color w:val="00827F"/>
          <w:spacing w:val="-11"/>
        </w:rPr>
        <w:t xml:space="preserve"> </w:t>
      </w:r>
      <w:r w:rsidRPr="00795364">
        <w:rPr>
          <w:color w:val="00827F"/>
          <w:spacing w:val="-2"/>
        </w:rPr>
        <w:t>on</w:t>
      </w:r>
      <w:r w:rsidRPr="00795364">
        <w:rPr>
          <w:color w:val="00827F"/>
          <w:spacing w:val="-10"/>
        </w:rPr>
        <w:t xml:space="preserve"> </w:t>
      </w:r>
      <w:r w:rsidRPr="00795364">
        <w:rPr>
          <w:color w:val="00827F"/>
          <w:spacing w:val="-2"/>
        </w:rPr>
        <w:t>the</w:t>
      </w:r>
      <w:r w:rsidRPr="00795364">
        <w:rPr>
          <w:color w:val="00827F"/>
          <w:spacing w:val="-11"/>
        </w:rPr>
        <w:t xml:space="preserve"> </w:t>
      </w:r>
      <w:r w:rsidRPr="00795364">
        <w:rPr>
          <w:color w:val="00827F"/>
          <w:spacing w:val="-2"/>
        </w:rPr>
        <w:t>needs</w:t>
      </w:r>
      <w:r w:rsidRPr="00795364">
        <w:rPr>
          <w:color w:val="00827F"/>
          <w:spacing w:val="-11"/>
        </w:rPr>
        <w:t xml:space="preserve"> </w:t>
      </w:r>
      <w:r w:rsidRPr="00795364">
        <w:rPr>
          <w:color w:val="00827F"/>
          <w:spacing w:val="-2"/>
        </w:rPr>
        <w:t>of</w:t>
      </w:r>
      <w:r w:rsidRPr="00795364">
        <w:rPr>
          <w:color w:val="00827F"/>
          <w:spacing w:val="-9"/>
        </w:rPr>
        <w:t xml:space="preserve"> </w:t>
      </w:r>
      <w:r w:rsidRPr="00795364">
        <w:rPr>
          <w:color w:val="00827F"/>
          <w:spacing w:val="-2"/>
        </w:rPr>
        <w:t xml:space="preserve">women, </w:t>
      </w:r>
      <w:r w:rsidRPr="00795364">
        <w:rPr>
          <w:color w:val="00827F"/>
          <w:spacing w:val="-4"/>
        </w:rPr>
        <w:t>people</w:t>
      </w:r>
      <w:r w:rsidRPr="00795364">
        <w:rPr>
          <w:color w:val="00827F"/>
          <w:spacing w:val="-10"/>
        </w:rPr>
        <w:t xml:space="preserve"> </w:t>
      </w:r>
      <w:r w:rsidRPr="00795364">
        <w:rPr>
          <w:color w:val="00827F"/>
          <w:spacing w:val="-4"/>
        </w:rPr>
        <w:t>with</w:t>
      </w:r>
      <w:r w:rsidRPr="00795364">
        <w:rPr>
          <w:color w:val="00827F"/>
          <w:spacing w:val="-15"/>
        </w:rPr>
        <w:t xml:space="preserve"> </w:t>
      </w:r>
      <w:r w:rsidRPr="00795364">
        <w:rPr>
          <w:color w:val="00827F"/>
          <w:spacing w:val="-4"/>
        </w:rPr>
        <w:t>disabilities</w:t>
      </w:r>
      <w:r w:rsidRPr="00795364">
        <w:rPr>
          <w:color w:val="00827F"/>
          <w:spacing w:val="-12"/>
        </w:rPr>
        <w:t xml:space="preserve"> </w:t>
      </w:r>
      <w:r w:rsidRPr="00795364">
        <w:rPr>
          <w:color w:val="00827F"/>
          <w:spacing w:val="-4"/>
        </w:rPr>
        <w:t>and</w:t>
      </w:r>
      <w:r w:rsidRPr="00795364">
        <w:rPr>
          <w:color w:val="00827F"/>
          <w:spacing w:val="-11"/>
        </w:rPr>
        <w:t xml:space="preserve"> </w:t>
      </w:r>
      <w:r w:rsidRPr="00795364">
        <w:rPr>
          <w:color w:val="00827F"/>
          <w:spacing w:val="-4"/>
        </w:rPr>
        <w:t>vulnerable</w:t>
      </w:r>
      <w:r w:rsidRPr="00795364">
        <w:rPr>
          <w:color w:val="00827F"/>
          <w:spacing w:val="-14"/>
        </w:rPr>
        <w:t xml:space="preserve"> </w:t>
      </w:r>
      <w:r w:rsidRPr="00795364">
        <w:rPr>
          <w:color w:val="00827F"/>
          <w:spacing w:val="-4"/>
        </w:rPr>
        <w:t>groups</w:t>
      </w:r>
      <w:r w:rsidRPr="00795364">
        <w:rPr>
          <w:color w:val="00827F"/>
          <w:spacing w:val="-12"/>
        </w:rPr>
        <w:t xml:space="preserve"> </w:t>
      </w:r>
      <w:r w:rsidRPr="00795364">
        <w:rPr>
          <w:color w:val="00827F"/>
          <w:spacing w:val="-4"/>
        </w:rPr>
        <w:t>to</w:t>
      </w:r>
      <w:r w:rsidRPr="00795364">
        <w:rPr>
          <w:color w:val="00827F"/>
          <w:spacing w:val="-11"/>
        </w:rPr>
        <w:t xml:space="preserve"> </w:t>
      </w:r>
      <w:r w:rsidRPr="00795364">
        <w:rPr>
          <w:color w:val="00827F"/>
          <w:spacing w:val="-4"/>
        </w:rPr>
        <w:t>inform</w:t>
      </w:r>
      <w:r w:rsidRPr="00795364">
        <w:rPr>
          <w:color w:val="00827F"/>
          <w:spacing w:val="-14"/>
        </w:rPr>
        <w:t xml:space="preserve"> </w:t>
      </w:r>
      <w:r w:rsidRPr="00795364">
        <w:rPr>
          <w:color w:val="00827F"/>
          <w:spacing w:val="-4"/>
        </w:rPr>
        <w:t>more</w:t>
      </w:r>
      <w:r w:rsidRPr="00795364">
        <w:rPr>
          <w:color w:val="00827F"/>
          <w:spacing w:val="-10"/>
        </w:rPr>
        <w:t xml:space="preserve"> </w:t>
      </w:r>
      <w:r w:rsidRPr="00795364">
        <w:rPr>
          <w:color w:val="00827F"/>
          <w:spacing w:val="-4"/>
        </w:rPr>
        <w:t>inclusive</w:t>
      </w:r>
      <w:r w:rsidRPr="00795364">
        <w:rPr>
          <w:color w:val="00827F"/>
          <w:spacing w:val="-14"/>
        </w:rPr>
        <w:t xml:space="preserve"> </w:t>
      </w:r>
      <w:r w:rsidRPr="00795364">
        <w:rPr>
          <w:color w:val="00827F"/>
          <w:spacing w:val="-4"/>
        </w:rPr>
        <w:t>service</w:t>
      </w:r>
      <w:r w:rsidRPr="00795364">
        <w:rPr>
          <w:color w:val="00827F"/>
          <w:spacing w:val="-10"/>
        </w:rPr>
        <w:t xml:space="preserve"> </w:t>
      </w:r>
      <w:r w:rsidRPr="00795364">
        <w:rPr>
          <w:color w:val="00827F"/>
          <w:spacing w:val="-4"/>
        </w:rPr>
        <w:t>delivery</w:t>
      </w:r>
    </w:p>
    <w:p w14:paraId="3787B5F1" w14:textId="77777777" w:rsidR="00BC24A8" w:rsidRDefault="00000000">
      <w:pPr>
        <w:pStyle w:val="BodyText"/>
        <w:spacing w:before="164" w:line="278" w:lineRule="auto"/>
        <w:ind w:left="143" w:right="278"/>
        <w:jc w:val="both"/>
      </w:pPr>
      <w:r>
        <w:t>SKALA’s original Phase 1 target was for villages in supported districts to operate village information systems</w:t>
      </w:r>
      <w:r>
        <w:rPr>
          <w:spacing w:val="-9"/>
        </w:rPr>
        <w:t xml:space="preserve"> </w:t>
      </w:r>
      <w:r>
        <w:t>(SID)</w:t>
      </w:r>
      <w:r>
        <w:rPr>
          <w:spacing w:val="-11"/>
        </w:rPr>
        <w:t xml:space="preserve"> </w:t>
      </w:r>
      <w:r>
        <w:t>that</w:t>
      </w:r>
      <w:r>
        <w:rPr>
          <w:spacing w:val="-10"/>
        </w:rPr>
        <w:t xml:space="preserve"> </w:t>
      </w:r>
      <w:r>
        <w:t>incorporated</w:t>
      </w:r>
      <w:r>
        <w:rPr>
          <w:spacing w:val="-9"/>
        </w:rPr>
        <w:t xml:space="preserve"> </w:t>
      </w:r>
      <w:r>
        <w:rPr>
          <w:i/>
        </w:rPr>
        <w:t>national</w:t>
      </w:r>
      <w:r>
        <w:rPr>
          <w:i/>
          <w:spacing w:val="-10"/>
        </w:rPr>
        <w:t xml:space="preserve"> </w:t>
      </w:r>
      <w:r>
        <w:rPr>
          <w:i/>
        </w:rPr>
        <w:t>socioeconomic</w:t>
      </w:r>
      <w:r>
        <w:rPr>
          <w:i/>
          <w:spacing w:val="-11"/>
        </w:rPr>
        <w:t xml:space="preserve"> </w:t>
      </w:r>
      <w:r>
        <w:rPr>
          <w:i/>
        </w:rPr>
        <w:t>dataset</w:t>
      </w:r>
      <w:r>
        <w:rPr>
          <w:i/>
          <w:spacing w:val="-10"/>
        </w:rPr>
        <w:t xml:space="preserve"> </w:t>
      </w:r>
      <w:r>
        <w:t>variables.</w:t>
      </w:r>
      <w:r>
        <w:rPr>
          <w:spacing w:val="-8"/>
        </w:rPr>
        <w:t xml:space="preserve"> </w:t>
      </w:r>
      <w:r>
        <w:t>In</w:t>
      </w:r>
      <w:r>
        <w:rPr>
          <w:spacing w:val="-9"/>
        </w:rPr>
        <w:t xml:space="preserve"> </w:t>
      </w:r>
      <w:r>
        <w:t>response</w:t>
      </w:r>
      <w:r>
        <w:rPr>
          <w:spacing w:val="-11"/>
        </w:rPr>
        <w:t xml:space="preserve"> </w:t>
      </w:r>
      <w:r>
        <w:t>to</w:t>
      </w:r>
      <w:r>
        <w:rPr>
          <w:spacing w:val="-9"/>
        </w:rPr>
        <w:t xml:space="preserve"> </w:t>
      </w:r>
      <w:r>
        <w:t>the</w:t>
      </w:r>
      <w:r>
        <w:rPr>
          <w:spacing w:val="-11"/>
        </w:rPr>
        <w:t xml:space="preserve"> </w:t>
      </w:r>
      <w:r>
        <w:t>new</w:t>
      </w:r>
      <w:r>
        <w:rPr>
          <w:spacing w:val="-10"/>
        </w:rPr>
        <w:t xml:space="preserve"> </w:t>
      </w:r>
      <w:r>
        <w:t>policy direction</w:t>
      </w:r>
      <w:r>
        <w:rPr>
          <w:spacing w:val="-13"/>
        </w:rPr>
        <w:t xml:space="preserve"> </w:t>
      </w:r>
      <w:r>
        <w:t>on</w:t>
      </w:r>
      <w:r>
        <w:rPr>
          <w:spacing w:val="-12"/>
        </w:rPr>
        <w:t xml:space="preserve"> </w:t>
      </w:r>
      <w:r>
        <w:t>One</w:t>
      </w:r>
      <w:r>
        <w:rPr>
          <w:spacing w:val="-13"/>
        </w:rPr>
        <w:t xml:space="preserve"> </w:t>
      </w:r>
      <w:r>
        <w:t>Data</w:t>
      </w:r>
      <w:r>
        <w:rPr>
          <w:spacing w:val="-12"/>
        </w:rPr>
        <w:t xml:space="preserve"> </w:t>
      </w:r>
      <w:r>
        <w:t>governance,</w:t>
      </w:r>
      <w:r>
        <w:rPr>
          <w:spacing w:val="-13"/>
        </w:rPr>
        <w:t xml:space="preserve"> </w:t>
      </w:r>
      <w:r>
        <w:t>SKALA’s</w:t>
      </w:r>
      <w:r>
        <w:rPr>
          <w:spacing w:val="-12"/>
        </w:rPr>
        <w:t xml:space="preserve"> </w:t>
      </w:r>
      <w:r>
        <w:t>strategy</w:t>
      </w:r>
      <w:r>
        <w:rPr>
          <w:spacing w:val="-13"/>
        </w:rPr>
        <w:t xml:space="preserve"> </w:t>
      </w:r>
      <w:r>
        <w:t>regarding</w:t>
      </w:r>
      <w:r>
        <w:rPr>
          <w:spacing w:val="-12"/>
        </w:rPr>
        <w:t xml:space="preserve"> </w:t>
      </w:r>
      <w:r>
        <w:t>micro-disaggregated</w:t>
      </w:r>
      <w:r>
        <w:rPr>
          <w:spacing w:val="-12"/>
        </w:rPr>
        <w:t xml:space="preserve"> </w:t>
      </w:r>
      <w:r>
        <w:t>data</w:t>
      </w:r>
      <w:r>
        <w:rPr>
          <w:spacing w:val="-13"/>
        </w:rPr>
        <w:t xml:space="preserve"> </w:t>
      </w:r>
      <w:r>
        <w:t>quality</w:t>
      </w:r>
      <w:r>
        <w:rPr>
          <w:spacing w:val="-12"/>
        </w:rPr>
        <w:t xml:space="preserve"> </w:t>
      </w:r>
      <w:r>
        <w:t>and</w:t>
      </w:r>
      <w:r>
        <w:rPr>
          <w:spacing w:val="-12"/>
        </w:rPr>
        <w:t xml:space="preserve"> </w:t>
      </w:r>
      <w:r>
        <w:t>use has</w:t>
      </w:r>
      <w:r>
        <w:rPr>
          <w:spacing w:val="-10"/>
        </w:rPr>
        <w:t xml:space="preserve"> </w:t>
      </w:r>
      <w:r>
        <w:t>changed.</w:t>
      </w:r>
      <w:r>
        <w:rPr>
          <w:spacing w:val="-10"/>
        </w:rPr>
        <w:t xml:space="preserve"> </w:t>
      </w:r>
      <w:r>
        <w:t>Acknowledging</w:t>
      </w:r>
      <w:r>
        <w:rPr>
          <w:spacing w:val="-11"/>
        </w:rPr>
        <w:t xml:space="preserve"> </w:t>
      </w:r>
      <w:r>
        <w:t>that</w:t>
      </w:r>
      <w:r>
        <w:rPr>
          <w:spacing w:val="-11"/>
        </w:rPr>
        <w:t xml:space="preserve"> </w:t>
      </w:r>
      <w:r>
        <w:t>the</w:t>
      </w:r>
      <w:r>
        <w:rPr>
          <w:spacing w:val="-11"/>
        </w:rPr>
        <w:t xml:space="preserve"> </w:t>
      </w:r>
      <w:r>
        <w:t>value</w:t>
      </w:r>
      <w:r>
        <w:rPr>
          <w:spacing w:val="-11"/>
        </w:rPr>
        <w:t xml:space="preserve"> </w:t>
      </w:r>
      <w:r>
        <w:t>of</w:t>
      </w:r>
      <w:r>
        <w:rPr>
          <w:spacing w:val="-10"/>
        </w:rPr>
        <w:t xml:space="preserve"> </w:t>
      </w:r>
      <w:r>
        <w:t>village-level</w:t>
      </w:r>
      <w:r>
        <w:rPr>
          <w:spacing w:val="-11"/>
        </w:rPr>
        <w:t xml:space="preserve"> </w:t>
      </w:r>
      <w:r>
        <w:t>information</w:t>
      </w:r>
      <w:r>
        <w:rPr>
          <w:spacing w:val="-11"/>
        </w:rPr>
        <w:t xml:space="preserve"> </w:t>
      </w:r>
      <w:r>
        <w:t>will</w:t>
      </w:r>
      <w:r>
        <w:rPr>
          <w:spacing w:val="-11"/>
        </w:rPr>
        <w:t xml:space="preserve"> </w:t>
      </w:r>
      <w:r>
        <w:t>be</w:t>
      </w:r>
      <w:r>
        <w:rPr>
          <w:spacing w:val="-11"/>
        </w:rPr>
        <w:t xml:space="preserve"> </w:t>
      </w:r>
      <w:r>
        <w:t>best</w:t>
      </w:r>
      <w:r>
        <w:rPr>
          <w:spacing w:val="-11"/>
        </w:rPr>
        <w:t xml:space="preserve"> </w:t>
      </w:r>
      <w:r>
        <w:t>leveraged</w:t>
      </w:r>
      <w:r>
        <w:rPr>
          <w:spacing w:val="-11"/>
        </w:rPr>
        <w:t xml:space="preserve"> </w:t>
      </w:r>
      <w:r>
        <w:t>in</w:t>
      </w:r>
      <w:r>
        <w:rPr>
          <w:spacing w:val="-11"/>
        </w:rPr>
        <w:t xml:space="preserve"> </w:t>
      </w:r>
      <w:r>
        <w:t>the</w:t>
      </w:r>
      <w:r>
        <w:rPr>
          <w:spacing w:val="-11"/>
        </w:rPr>
        <w:t xml:space="preserve"> </w:t>
      </w:r>
      <w:r>
        <w:t>long term by integrating its management into provincial One Data cycles, SKALA is now seeking to support national and provincial stakeholders to achieve this.</w:t>
      </w:r>
    </w:p>
    <w:p w14:paraId="6C5BBE4F" w14:textId="77777777" w:rsidR="00BC24A8" w:rsidRDefault="00000000">
      <w:pPr>
        <w:pStyle w:val="BodyText"/>
        <w:spacing w:before="156" w:line="278" w:lineRule="auto"/>
        <w:ind w:left="142" w:right="279"/>
        <w:jc w:val="both"/>
      </w:pPr>
      <w:r>
        <w:t>Implementation towards the original target under previous policy settings was steady but challenging. SKALA assessed the maturity of existing village information systems and facilitated BAPPENAS, MoHA and</w:t>
      </w:r>
      <w:r>
        <w:rPr>
          <w:spacing w:val="-6"/>
        </w:rPr>
        <w:t xml:space="preserve"> </w:t>
      </w:r>
      <w:r>
        <w:t>the</w:t>
      </w:r>
      <w:r>
        <w:rPr>
          <w:spacing w:val="-7"/>
        </w:rPr>
        <w:t xml:space="preserve"> </w:t>
      </w:r>
      <w:r>
        <w:t>Ministry</w:t>
      </w:r>
      <w:r>
        <w:rPr>
          <w:spacing w:val="-5"/>
        </w:rPr>
        <w:t xml:space="preserve"> </w:t>
      </w:r>
      <w:r>
        <w:t>of</w:t>
      </w:r>
      <w:r>
        <w:rPr>
          <w:spacing w:val="-7"/>
        </w:rPr>
        <w:t xml:space="preserve"> </w:t>
      </w:r>
      <w:r>
        <w:t>Villages</w:t>
      </w:r>
      <w:r>
        <w:rPr>
          <w:spacing w:val="-3"/>
        </w:rPr>
        <w:t xml:space="preserve"> </w:t>
      </w:r>
      <w:r>
        <w:t>to</w:t>
      </w:r>
      <w:r>
        <w:rPr>
          <w:spacing w:val="-6"/>
        </w:rPr>
        <w:t xml:space="preserve"> </w:t>
      </w:r>
      <w:r>
        <w:t>design</w:t>
      </w:r>
      <w:r>
        <w:rPr>
          <w:spacing w:val="-6"/>
        </w:rPr>
        <w:t xml:space="preserve"> </w:t>
      </w:r>
      <w:r>
        <w:t>a</w:t>
      </w:r>
      <w:r>
        <w:rPr>
          <w:spacing w:val="-7"/>
        </w:rPr>
        <w:t xml:space="preserve"> </w:t>
      </w:r>
      <w:r>
        <w:t>model</w:t>
      </w:r>
      <w:r>
        <w:rPr>
          <w:spacing w:val="-7"/>
        </w:rPr>
        <w:t xml:space="preserve"> </w:t>
      </w:r>
      <w:r>
        <w:t>that</w:t>
      </w:r>
      <w:r>
        <w:rPr>
          <w:spacing w:val="-7"/>
        </w:rPr>
        <w:t xml:space="preserve"> </w:t>
      </w:r>
      <w:r>
        <w:t>can</w:t>
      </w:r>
      <w:r>
        <w:rPr>
          <w:spacing w:val="-6"/>
        </w:rPr>
        <w:t xml:space="preserve"> </w:t>
      </w:r>
      <w:r>
        <w:t>accommodate</w:t>
      </w:r>
      <w:r>
        <w:rPr>
          <w:spacing w:val="-7"/>
        </w:rPr>
        <w:t xml:space="preserve"> </w:t>
      </w:r>
      <w:r>
        <w:t>national</w:t>
      </w:r>
      <w:r>
        <w:rPr>
          <w:spacing w:val="-7"/>
        </w:rPr>
        <w:t xml:space="preserve"> </w:t>
      </w:r>
      <w:r>
        <w:t>socio-economic</w:t>
      </w:r>
      <w:r>
        <w:rPr>
          <w:spacing w:val="-7"/>
        </w:rPr>
        <w:t xml:space="preserve"> </w:t>
      </w:r>
      <w:r>
        <w:t>datasets and explore models for updating. In SKALA-supported provinces, village information system implementation</w:t>
      </w:r>
      <w:r>
        <w:rPr>
          <w:spacing w:val="-3"/>
        </w:rPr>
        <w:t xml:space="preserve"> </w:t>
      </w:r>
      <w:r>
        <w:t>is</w:t>
      </w:r>
      <w:r>
        <w:rPr>
          <w:spacing w:val="-2"/>
        </w:rPr>
        <w:t xml:space="preserve"> </w:t>
      </w:r>
      <w:r>
        <w:t>continuing</w:t>
      </w:r>
      <w:r>
        <w:rPr>
          <w:spacing w:val="-1"/>
        </w:rPr>
        <w:t xml:space="preserve"> </w:t>
      </w:r>
      <w:r>
        <w:t>according</w:t>
      </w:r>
      <w:r>
        <w:rPr>
          <w:spacing w:val="-3"/>
        </w:rPr>
        <w:t xml:space="preserve"> </w:t>
      </w:r>
      <w:r>
        <w:t>to</w:t>
      </w:r>
      <w:r>
        <w:rPr>
          <w:spacing w:val="-3"/>
        </w:rPr>
        <w:t xml:space="preserve"> </w:t>
      </w:r>
      <w:r>
        <w:t>local</w:t>
      </w:r>
      <w:r>
        <w:rPr>
          <w:spacing w:val="-1"/>
        </w:rPr>
        <w:t xml:space="preserve"> </w:t>
      </w:r>
      <w:r>
        <w:t>commitments and</w:t>
      </w:r>
      <w:r>
        <w:rPr>
          <w:spacing w:val="-3"/>
        </w:rPr>
        <w:t xml:space="preserve"> </w:t>
      </w:r>
      <w:r>
        <w:t>approaches.</w:t>
      </w:r>
      <w:r>
        <w:rPr>
          <w:spacing w:val="-2"/>
        </w:rPr>
        <w:t xml:space="preserve"> </w:t>
      </w:r>
      <w:r>
        <w:t>Several</w:t>
      </w:r>
      <w:r>
        <w:rPr>
          <w:spacing w:val="-1"/>
        </w:rPr>
        <w:t xml:space="preserve"> </w:t>
      </w:r>
      <w:r>
        <w:t>provinces</w:t>
      </w:r>
      <w:r>
        <w:rPr>
          <w:spacing w:val="-2"/>
        </w:rPr>
        <w:t xml:space="preserve"> </w:t>
      </w:r>
      <w:r>
        <w:t>have secured varying</w:t>
      </w:r>
      <w:r>
        <w:rPr>
          <w:spacing w:val="-1"/>
        </w:rPr>
        <w:t xml:space="preserve"> </w:t>
      </w:r>
      <w:r>
        <w:t>degrees of</w:t>
      </w:r>
      <w:r>
        <w:rPr>
          <w:spacing w:val="-4"/>
        </w:rPr>
        <w:t xml:space="preserve"> </w:t>
      </w:r>
      <w:r>
        <w:t>funding</w:t>
      </w:r>
      <w:r>
        <w:rPr>
          <w:spacing w:val="-1"/>
        </w:rPr>
        <w:t xml:space="preserve"> </w:t>
      </w:r>
      <w:r>
        <w:t>and commitment,</w:t>
      </w:r>
      <w:r>
        <w:rPr>
          <w:spacing w:val="-2"/>
        </w:rPr>
        <w:t xml:space="preserve"> </w:t>
      </w:r>
      <w:r>
        <w:t>but</w:t>
      </w:r>
      <w:r>
        <w:rPr>
          <w:spacing w:val="-1"/>
        </w:rPr>
        <w:t xml:space="preserve"> </w:t>
      </w:r>
      <w:r>
        <w:t xml:space="preserve">interoperability, aggregation, and consistent </w:t>
      </w:r>
      <w:r>
        <w:rPr>
          <w:spacing w:val="-2"/>
        </w:rPr>
        <w:t>coverage</w:t>
      </w:r>
      <w:r>
        <w:rPr>
          <w:spacing w:val="-4"/>
        </w:rPr>
        <w:t xml:space="preserve"> </w:t>
      </w:r>
      <w:r>
        <w:rPr>
          <w:spacing w:val="-2"/>
        </w:rPr>
        <w:t>remain limited.</w:t>
      </w:r>
      <w:r>
        <w:rPr>
          <w:spacing w:val="-4"/>
        </w:rPr>
        <w:t xml:space="preserve"> </w:t>
      </w:r>
      <w:r>
        <w:rPr>
          <w:spacing w:val="-2"/>
        </w:rPr>
        <w:t>Tangible</w:t>
      </w:r>
      <w:r>
        <w:rPr>
          <w:spacing w:val="-4"/>
        </w:rPr>
        <w:t xml:space="preserve"> </w:t>
      </w:r>
      <w:r>
        <w:rPr>
          <w:spacing w:val="-2"/>
        </w:rPr>
        <w:t>application</w:t>
      </w:r>
      <w:r>
        <w:rPr>
          <w:spacing w:val="-4"/>
        </w:rPr>
        <w:t xml:space="preserve"> </w:t>
      </w:r>
      <w:r>
        <w:rPr>
          <w:spacing w:val="-2"/>
        </w:rPr>
        <w:t>of</w:t>
      </w:r>
      <w:r>
        <w:rPr>
          <w:spacing w:val="-4"/>
        </w:rPr>
        <w:t xml:space="preserve"> </w:t>
      </w:r>
      <w:r>
        <w:rPr>
          <w:spacing w:val="-2"/>
        </w:rPr>
        <w:t>village</w:t>
      </w:r>
      <w:r>
        <w:rPr>
          <w:spacing w:val="-4"/>
        </w:rPr>
        <w:t xml:space="preserve"> </w:t>
      </w:r>
      <w:r>
        <w:rPr>
          <w:spacing w:val="-2"/>
        </w:rPr>
        <w:t>information</w:t>
      </w:r>
      <w:r>
        <w:rPr>
          <w:spacing w:val="-4"/>
        </w:rPr>
        <w:t xml:space="preserve"> </w:t>
      </w:r>
      <w:r>
        <w:rPr>
          <w:spacing w:val="-2"/>
        </w:rPr>
        <w:t>systems to</w:t>
      </w:r>
      <w:r>
        <w:rPr>
          <w:spacing w:val="-5"/>
        </w:rPr>
        <w:t xml:space="preserve"> </w:t>
      </w:r>
      <w:r>
        <w:rPr>
          <w:spacing w:val="-2"/>
        </w:rPr>
        <w:t>improved</w:t>
      </w:r>
      <w:r>
        <w:rPr>
          <w:spacing w:val="-4"/>
        </w:rPr>
        <w:t xml:space="preserve"> </w:t>
      </w:r>
      <w:r>
        <w:rPr>
          <w:spacing w:val="-2"/>
        </w:rPr>
        <w:t>service</w:t>
      </w:r>
      <w:r>
        <w:rPr>
          <w:spacing w:val="-4"/>
        </w:rPr>
        <w:t xml:space="preserve"> </w:t>
      </w:r>
      <w:r>
        <w:rPr>
          <w:spacing w:val="-2"/>
        </w:rPr>
        <w:t xml:space="preserve">delivery </w:t>
      </w:r>
      <w:r>
        <w:t>continues</w:t>
      </w:r>
      <w:r>
        <w:rPr>
          <w:spacing w:val="-2"/>
        </w:rPr>
        <w:t xml:space="preserve"> </w:t>
      </w:r>
      <w:r>
        <w:t>to</w:t>
      </w:r>
      <w:r>
        <w:rPr>
          <w:spacing w:val="-5"/>
        </w:rPr>
        <w:t xml:space="preserve"> </w:t>
      </w:r>
      <w:r>
        <w:t>be</w:t>
      </w:r>
      <w:r>
        <w:rPr>
          <w:spacing w:val="-7"/>
        </w:rPr>
        <w:t xml:space="preserve"> </w:t>
      </w:r>
      <w:r>
        <w:t>difficult</w:t>
      </w:r>
      <w:r>
        <w:rPr>
          <w:spacing w:val="-4"/>
        </w:rPr>
        <w:t xml:space="preserve"> </w:t>
      </w:r>
      <w:r>
        <w:t>to</w:t>
      </w:r>
      <w:r>
        <w:rPr>
          <w:spacing w:val="-7"/>
        </w:rPr>
        <w:t xml:space="preserve"> </w:t>
      </w:r>
      <w:r>
        <w:t>achieve.</w:t>
      </w:r>
      <w:r>
        <w:rPr>
          <w:spacing w:val="-4"/>
        </w:rPr>
        <w:t xml:space="preserve"> </w:t>
      </w:r>
      <w:r>
        <w:t>Barriers</w:t>
      </w:r>
      <w:r>
        <w:rPr>
          <w:spacing w:val="-4"/>
        </w:rPr>
        <w:t xml:space="preserve"> </w:t>
      </w:r>
      <w:r>
        <w:t>include</w:t>
      </w:r>
      <w:r>
        <w:rPr>
          <w:spacing w:val="-4"/>
        </w:rPr>
        <w:t xml:space="preserve"> </w:t>
      </w:r>
      <w:r>
        <w:t>fragmented</w:t>
      </w:r>
      <w:r>
        <w:rPr>
          <w:spacing w:val="-2"/>
        </w:rPr>
        <w:t xml:space="preserve"> </w:t>
      </w:r>
      <w:r>
        <w:t>implementation,</w:t>
      </w:r>
      <w:r>
        <w:rPr>
          <w:spacing w:val="-7"/>
        </w:rPr>
        <w:t xml:space="preserve"> </w:t>
      </w:r>
      <w:r>
        <w:t>weak</w:t>
      </w:r>
      <w:r>
        <w:rPr>
          <w:spacing w:val="-2"/>
        </w:rPr>
        <w:t xml:space="preserve"> </w:t>
      </w:r>
      <w:r>
        <w:t>interoperability across systems, and limited aggregation of data at higher levels. These challenges are compounded by</w:t>
      </w:r>
    </w:p>
    <w:p w14:paraId="16A0BBC9" w14:textId="77777777" w:rsidR="00BC24A8" w:rsidRDefault="00BC24A8">
      <w:pPr>
        <w:pStyle w:val="BodyText"/>
        <w:spacing w:line="278" w:lineRule="auto"/>
        <w:jc w:val="both"/>
        <w:sectPr w:rsidR="00BC24A8">
          <w:pgSz w:w="11910" w:h="16840"/>
          <w:pgMar w:top="1360" w:right="1133" w:bottom="1100" w:left="1275" w:header="0" w:footer="907" w:gutter="0"/>
          <w:cols w:space="720"/>
        </w:sectPr>
      </w:pPr>
    </w:p>
    <w:p w14:paraId="2F50D4D4" w14:textId="77777777" w:rsidR="00BC24A8" w:rsidRDefault="00000000">
      <w:pPr>
        <w:pStyle w:val="BodyText"/>
        <w:spacing w:before="39" w:line="276" w:lineRule="auto"/>
        <w:ind w:left="143" w:right="282"/>
        <w:jc w:val="both"/>
      </w:pPr>
      <w:r>
        <w:lastRenderedPageBreak/>
        <w:t>ongoing</w:t>
      </w:r>
      <w:r>
        <w:rPr>
          <w:spacing w:val="-6"/>
        </w:rPr>
        <w:t xml:space="preserve"> </w:t>
      </w:r>
      <w:r>
        <w:t>revisions</w:t>
      </w:r>
      <w:r>
        <w:rPr>
          <w:spacing w:val="-2"/>
        </w:rPr>
        <w:t xml:space="preserve"> </w:t>
      </w:r>
      <w:r>
        <w:t>to</w:t>
      </w:r>
      <w:r>
        <w:rPr>
          <w:spacing w:val="-6"/>
        </w:rPr>
        <w:t xml:space="preserve"> </w:t>
      </w:r>
      <w:r>
        <w:t>national</w:t>
      </w:r>
      <w:r>
        <w:rPr>
          <w:spacing w:val="-4"/>
        </w:rPr>
        <w:t xml:space="preserve"> </w:t>
      </w:r>
      <w:r>
        <w:t>and</w:t>
      </w:r>
      <w:r>
        <w:rPr>
          <w:spacing w:val="-3"/>
        </w:rPr>
        <w:t xml:space="preserve"> </w:t>
      </w:r>
      <w:r>
        <w:t>provincial</w:t>
      </w:r>
      <w:r>
        <w:rPr>
          <w:spacing w:val="-4"/>
        </w:rPr>
        <w:t xml:space="preserve"> </w:t>
      </w:r>
      <w:r>
        <w:t>data</w:t>
      </w:r>
      <w:r>
        <w:rPr>
          <w:spacing w:val="-7"/>
        </w:rPr>
        <w:t xml:space="preserve"> </w:t>
      </w:r>
      <w:r>
        <w:t>governance</w:t>
      </w:r>
      <w:r>
        <w:rPr>
          <w:spacing w:val="-5"/>
        </w:rPr>
        <w:t xml:space="preserve"> </w:t>
      </w:r>
      <w:r>
        <w:t>under</w:t>
      </w:r>
      <w:r>
        <w:rPr>
          <w:spacing w:val="-5"/>
        </w:rPr>
        <w:t xml:space="preserve"> </w:t>
      </w:r>
      <w:r>
        <w:t>Presidential</w:t>
      </w:r>
      <w:r>
        <w:rPr>
          <w:spacing w:val="-4"/>
        </w:rPr>
        <w:t xml:space="preserve"> </w:t>
      </w:r>
      <w:r>
        <w:t>Instruction</w:t>
      </w:r>
      <w:r>
        <w:rPr>
          <w:spacing w:val="-5"/>
        </w:rPr>
        <w:t xml:space="preserve"> </w:t>
      </w:r>
      <w:r>
        <w:t>No.</w:t>
      </w:r>
      <w:r>
        <w:rPr>
          <w:spacing w:val="-5"/>
        </w:rPr>
        <w:t xml:space="preserve"> </w:t>
      </w:r>
      <w:r>
        <w:t>4/2025 on National Socio-Economic Data System (DTSEN).</w:t>
      </w:r>
    </w:p>
    <w:p w14:paraId="4B019571" w14:textId="77777777" w:rsidR="00BC24A8" w:rsidRDefault="00000000">
      <w:pPr>
        <w:pStyle w:val="BodyText"/>
        <w:spacing w:before="165" w:line="278" w:lineRule="auto"/>
        <w:ind w:left="143" w:right="280" w:hanging="1"/>
        <w:jc w:val="both"/>
      </w:pPr>
      <w:r>
        <w:t>Given</w:t>
      </w:r>
      <w:r>
        <w:rPr>
          <w:spacing w:val="-5"/>
        </w:rPr>
        <w:t xml:space="preserve"> </w:t>
      </w:r>
      <w:r>
        <w:t>these</w:t>
      </w:r>
      <w:r>
        <w:rPr>
          <w:spacing w:val="-7"/>
        </w:rPr>
        <w:t xml:space="preserve"> </w:t>
      </w:r>
      <w:r>
        <w:t>policy</w:t>
      </w:r>
      <w:r>
        <w:rPr>
          <w:spacing w:val="-7"/>
        </w:rPr>
        <w:t xml:space="preserve"> </w:t>
      </w:r>
      <w:r>
        <w:t>shifts</w:t>
      </w:r>
      <w:r>
        <w:rPr>
          <w:spacing w:val="-5"/>
        </w:rPr>
        <w:t xml:space="preserve"> </w:t>
      </w:r>
      <w:r>
        <w:t>and</w:t>
      </w:r>
      <w:r>
        <w:rPr>
          <w:spacing w:val="-5"/>
        </w:rPr>
        <w:t xml:space="preserve"> </w:t>
      </w:r>
      <w:r>
        <w:t>SKALA’s</w:t>
      </w:r>
      <w:r>
        <w:rPr>
          <w:spacing w:val="-7"/>
        </w:rPr>
        <w:t xml:space="preserve"> </w:t>
      </w:r>
      <w:r>
        <w:t>current</w:t>
      </w:r>
      <w:r>
        <w:rPr>
          <w:spacing w:val="-6"/>
        </w:rPr>
        <w:t xml:space="preserve"> </w:t>
      </w:r>
      <w:r>
        <w:t>focus</w:t>
      </w:r>
      <w:r>
        <w:rPr>
          <w:spacing w:val="-7"/>
        </w:rPr>
        <w:t xml:space="preserve"> </w:t>
      </w:r>
      <w:r>
        <w:t>on</w:t>
      </w:r>
      <w:r>
        <w:rPr>
          <w:spacing w:val="-10"/>
        </w:rPr>
        <w:t xml:space="preserve"> </w:t>
      </w:r>
      <w:r>
        <w:t>provincial</w:t>
      </w:r>
      <w:r>
        <w:rPr>
          <w:spacing w:val="-7"/>
        </w:rPr>
        <w:t xml:space="preserve"> </w:t>
      </w:r>
      <w:r>
        <w:t>rather</w:t>
      </w:r>
      <w:r>
        <w:rPr>
          <w:spacing w:val="-5"/>
        </w:rPr>
        <w:t xml:space="preserve"> </w:t>
      </w:r>
      <w:r>
        <w:t>than</w:t>
      </w:r>
      <w:r>
        <w:rPr>
          <w:spacing w:val="-8"/>
        </w:rPr>
        <w:t xml:space="preserve"> </w:t>
      </w:r>
      <w:r>
        <w:t>district</w:t>
      </w:r>
      <w:r>
        <w:rPr>
          <w:spacing w:val="-6"/>
        </w:rPr>
        <w:t xml:space="preserve"> </w:t>
      </w:r>
      <w:r>
        <w:t>level</w:t>
      </w:r>
      <w:r>
        <w:rPr>
          <w:spacing w:val="-7"/>
        </w:rPr>
        <w:t xml:space="preserve"> </w:t>
      </w:r>
      <w:r>
        <w:t>governance</w:t>
      </w:r>
      <w:hyperlink w:anchor="_bookmark36" w:history="1">
        <w:r w:rsidR="00BC24A8">
          <w:rPr>
            <w:vertAlign w:val="superscript"/>
          </w:rPr>
          <w:t>15</w:t>
        </w:r>
      </w:hyperlink>
      <w:r>
        <w:t>, the relevance of IO9 may need to be revisited at SKALA’s mid-term review. Future emphasis will be on embedding village-level data into provincial One Data governance and ensuring that such data strengthens inclusive</w:t>
      </w:r>
      <w:r>
        <w:rPr>
          <w:spacing w:val="-4"/>
        </w:rPr>
        <w:t xml:space="preserve"> </w:t>
      </w:r>
      <w:r>
        <w:t>planning,</w:t>
      </w:r>
      <w:r>
        <w:rPr>
          <w:spacing w:val="-2"/>
        </w:rPr>
        <w:t xml:space="preserve"> </w:t>
      </w:r>
      <w:r>
        <w:t>particularly for women,</w:t>
      </w:r>
      <w:r>
        <w:rPr>
          <w:spacing w:val="-4"/>
        </w:rPr>
        <w:t xml:space="preserve"> </w:t>
      </w:r>
      <w:r>
        <w:t>people</w:t>
      </w:r>
      <w:r>
        <w:rPr>
          <w:spacing w:val="-2"/>
        </w:rPr>
        <w:t xml:space="preserve"> </w:t>
      </w:r>
      <w:r>
        <w:t>with disabilities, and vulnerable</w:t>
      </w:r>
      <w:r>
        <w:rPr>
          <w:spacing w:val="-2"/>
        </w:rPr>
        <w:t xml:space="preserve"> </w:t>
      </w:r>
      <w:r>
        <w:t>groups.</w:t>
      </w:r>
    </w:p>
    <w:p w14:paraId="16CEF462" w14:textId="77777777" w:rsidR="00BC24A8" w:rsidRDefault="00BC24A8">
      <w:pPr>
        <w:pStyle w:val="BodyText"/>
        <w:rPr>
          <w:sz w:val="20"/>
        </w:rPr>
      </w:pPr>
    </w:p>
    <w:p w14:paraId="1C820F66" w14:textId="77777777" w:rsidR="00BC24A8" w:rsidRDefault="00BC24A8">
      <w:pPr>
        <w:pStyle w:val="BodyText"/>
        <w:rPr>
          <w:sz w:val="20"/>
        </w:rPr>
      </w:pPr>
    </w:p>
    <w:p w14:paraId="44956D95" w14:textId="77777777" w:rsidR="00BC24A8" w:rsidRDefault="00BC24A8">
      <w:pPr>
        <w:pStyle w:val="BodyText"/>
        <w:rPr>
          <w:sz w:val="20"/>
        </w:rPr>
      </w:pPr>
    </w:p>
    <w:p w14:paraId="3399C971" w14:textId="77777777" w:rsidR="00BC24A8" w:rsidRDefault="00BC24A8">
      <w:pPr>
        <w:pStyle w:val="BodyText"/>
        <w:rPr>
          <w:sz w:val="20"/>
        </w:rPr>
      </w:pPr>
    </w:p>
    <w:p w14:paraId="2DD1C580" w14:textId="77777777" w:rsidR="00BC24A8" w:rsidRDefault="00BC24A8">
      <w:pPr>
        <w:pStyle w:val="BodyText"/>
        <w:rPr>
          <w:sz w:val="20"/>
        </w:rPr>
      </w:pPr>
    </w:p>
    <w:p w14:paraId="639283FC" w14:textId="77777777" w:rsidR="00BC24A8" w:rsidRDefault="00BC24A8">
      <w:pPr>
        <w:pStyle w:val="BodyText"/>
        <w:rPr>
          <w:sz w:val="20"/>
        </w:rPr>
      </w:pPr>
    </w:p>
    <w:p w14:paraId="06DE3524" w14:textId="77777777" w:rsidR="00BC24A8" w:rsidRDefault="00BC24A8">
      <w:pPr>
        <w:pStyle w:val="BodyText"/>
        <w:rPr>
          <w:sz w:val="20"/>
        </w:rPr>
      </w:pPr>
    </w:p>
    <w:p w14:paraId="15A94A59" w14:textId="77777777" w:rsidR="00BC24A8" w:rsidRDefault="00BC24A8">
      <w:pPr>
        <w:pStyle w:val="BodyText"/>
        <w:rPr>
          <w:sz w:val="20"/>
        </w:rPr>
      </w:pPr>
    </w:p>
    <w:p w14:paraId="1A95E883" w14:textId="77777777" w:rsidR="00BC24A8" w:rsidRDefault="00BC24A8">
      <w:pPr>
        <w:pStyle w:val="BodyText"/>
        <w:rPr>
          <w:sz w:val="20"/>
        </w:rPr>
      </w:pPr>
    </w:p>
    <w:p w14:paraId="0405BB91" w14:textId="77777777" w:rsidR="00BC24A8" w:rsidRDefault="00BC24A8">
      <w:pPr>
        <w:pStyle w:val="BodyText"/>
        <w:rPr>
          <w:sz w:val="20"/>
        </w:rPr>
      </w:pPr>
    </w:p>
    <w:p w14:paraId="6AF95236" w14:textId="77777777" w:rsidR="00BC24A8" w:rsidRDefault="00BC24A8">
      <w:pPr>
        <w:pStyle w:val="BodyText"/>
        <w:rPr>
          <w:sz w:val="20"/>
        </w:rPr>
      </w:pPr>
    </w:p>
    <w:p w14:paraId="79D3C5B8" w14:textId="77777777" w:rsidR="00BC24A8" w:rsidRDefault="00BC24A8">
      <w:pPr>
        <w:pStyle w:val="BodyText"/>
        <w:rPr>
          <w:sz w:val="20"/>
        </w:rPr>
      </w:pPr>
    </w:p>
    <w:p w14:paraId="4C551775" w14:textId="77777777" w:rsidR="00BC24A8" w:rsidRDefault="00BC24A8">
      <w:pPr>
        <w:pStyle w:val="BodyText"/>
        <w:rPr>
          <w:sz w:val="20"/>
        </w:rPr>
      </w:pPr>
    </w:p>
    <w:p w14:paraId="7771C7D4" w14:textId="77777777" w:rsidR="00BC24A8" w:rsidRDefault="00BC24A8">
      <w:pPr>
        <w:pStyle w:val="BodyText"/>
        <w:rPr>
          <w:sz w:val="20"/>
        </w:rPr>
      </w:pPr>
    </w:p>
    <w:p w14:paraId="630C1888" w14:textId="77777777" w:rsidR="00BC24A8" w:rsidRDefault="00BC24A8">
      <w:pPr>
        <w:pStyle w:val="BodyText"/>
        <w:rPr>
          <w:sz w:val="20"/>
        </w:rPr>
      </w:pPr>
    </w:p>
    <w:p w14:paraId="621617CF" w14:textId="77777777" w:rsidR="00BC24A8" w:rsidRDefault="00BC24A8">
      <w:pPr>
        <w:pStyle w:val="BodyText"/>
        <w:rPr>
          <w:sz w:val="20"/>
        </w:rPr>
      </w:pPr>
    </w:p>
    <w:p w14:paraId="049C4A74" w14:textId="77777777" w:rsidR="00BC24A8" w:rsidRDefault="00BC24A8">
      <w:pPr>
        <w:pStyle w:val="BodyText"/>
        <w:rPr>
          <w:sz w:val="20"/>
        </w:rPr>
      </w:pPr>
    </w:p>
    <w:p w14:paraId="7AE0E6FB" w14:textId="77777777" w:rsidR="00BC24A8" w:rsidRDefault="00BC24A8">
      <w:pPr>
        <w:pStyle w:val="BodyText"/>
        <w:rPr>
          <w:sz w:val="20"/>
        </w:rPr>
      </w:pPr>
    </w:p>
    <w:p w14:paraId="210A16C8" w14:textId="77777777" w:rsidR="00BC24A8" w:rsidRDefault="00BC24A8">
      <w:pPr>
        <w:pStyle w:val="BodyText"/>
        <w:rPr>
          <w:sz w:val="20"/>
        </w:rPr>
      </w:pPr>
    </w:p>
    <w:p w14:paraId="1B18CA34" w14:textId="77777777" w:rsidR="00BC24A8" w:rsidRDefault="00BC24A8">
      <w:pPr>
        <w:pStyle w:val="BodyText"/>
        <w:rPr>
          <w:sz w:val="20"/>
        </w:rPr>
      </w:pPr>
    </w:p>
    <w:p w14:paraId="2111F4AD" w14:textId="77777777" w:rsidR="00BC24A8" w:rsidRDefault="00BC24A8">
      <w:pPr>
        <w:pStyle w:val="BodyText"/>
        <w:rPr>
          <w:sz w:val="20"/>
        </w:rPr>
      </w:pPr>
    </w:p>
    <w:p w14:paraId="48E444C6" w14:textId="77777777" w:rsidR="00BC24A8" w:rsidRDefault="00BC24A8">
      <w:pPr>
        <w:pStyle w:val="BodyText"/>
        <w:rPr>
          <w:sz w:val="20"/>
        </w:rPr>
      </w:pPr>
    </w:p>
    <w:p w14:paraId="782F350C" w14:textId="77777777" w:rsidR="00BC24A8" w:rsidRDefault="00BC24A8">
      <w:pPr>
        <w:pStyle w:val="BodyText"/>
        <w:rPr>
          <w:sz w:val="20"/>
        </w:rPr>
      </w:pPr>
    </w:p>
    <w:p w14:paraId="4612F463" w14:textId="77777777" w:rsidR="00BC24A8" w:rsidRDefault="00BC24A8">
      <w:pPr>
        <w:pStyle w:val="BodyText"/>
        <w:rPr>
          <w:sz w:val="20"/>
        </w:rPr>
      </w:pPr>
    </w:p>
    <w:p w14:paraId="60364A83" w14:textId="77777777" w:rsidR="00BC24A8" w:rsidRDefault="00BC24A8">
      <w:pPr>
        <w:pStyle w:val="BodyText"/>
        <w:rPr>
          <w:sz w:val="20"/>
        </w:rPr>
      </w:pPr>
    </w:p>
    <w:p w14:paraId="1DD5678C" w14:textId="77777777" w:rsidR="00BC24A8" w:rsidRDefault="00BC24A8">
      <w:pPr>
        <w:pStyle w:val="BodyText"/>
        <w:rPr>
          <w:sz w:val="20"/>
        </w:rPr>
      </w:pPr>
    </w:p>
    <w:p w14:paraId="1EF2252D" w14:textId="77777777" w:rsidR="00BC24A8" w:rsidRDefault="00BC24A8">
      <w:pPr>
        <w:pStyle w:val="BodyText"/>
        <w:rPr>
          <w:sz w:val="20"/>
        </w:rPr>
      </w:pPr>
    </w:p>
    <w:p w14:paraId="4A88F57B" w14:textId="77777777" w:rsidR="00BC24A8" w:rsidRDefault="00BC24A8">
      <w:pPr>
        <w:pStyle w:val="BodyText"/>
        <w:rPr>
          <w:sz w:val="20"/>
        </w:rPr>
      </w:pPr>
    </w:p>
    <w:p w14:paraId="033E4A20" w14:textId="77777777" w:rsidR="00BC24A8" w:rsidRDefault="00BC24A8">
      <w:pPr>
        <w:pStyle w:val="BodyText"/>
        <w:rPr>
          <w:sz w:val="20"/>
        </w:rPr>
      </w:pPr>
    </w:p>
    <w:p w14:paraId="07AE6A52" w14:textId="77777777" w:rsidR="00BC24A8" w:rsidRDefault="00BC24A8">
      <w:pPr>
        <w:pStyle w:val="BodyText"/>
        <w:rPr>
          <w:sz w:val="20"/>
        </w:rPr>
      </w:pPr>
    </w:p>
    <w:p w14:paraId="49318436" w14:textId="77777777" w:rsidR="00BC24A8" w:rsidRDefault="00BC24A8">
      <w:pPr>
        <w:pStyle w:val="BodyText"/>
        <w:rPr>
          <w:sz w:val="20"/>
        </w:rPr>
      </w:pPr>
    </w:p>
    <w:p w14:paraId="0BA9F3D6" w14:textId="77777777" w:rsidR="00BC24A8" w:rsidRDefault="00BC24A8">
      <w:pPr>
        <w:pStyle w:val="BodyText"/>
        <w:rPr>
          <w:sz w:val="20"/>
        </w:rPr>
      </w:pPr>
    </w:p>
    <w:p w14:paraId="11FC1656" w14:textId="77777777" w:rsidR="00BC24A8" w:rsidRDefault="00BC24A8">
      <w:pPr>
        <w:pStyle w:val="BodyText"/>
        <w:rPr>
          <w:sz w:val="20"/>
        </w:rPr>
      </w:pPr>
    </w:p>
    <w:p w14:paraId="0EF1A08F" w14:textId="77777777" w:rsidR="00BC24A8" w:rsidRDefault="00BC24A8">
      <w:pPr>
        <w:pStyle w:val="BodyText"/>
        <w:rPr>
          <w:sz w:val="20"/>
        </w:rPr>
      </w:pPr>
    </w:p>
    <w:p w14:paraId="66A95414" w14:textId="77777777" w:rsidR="00BC24A8" w:rsidRDefault="00BC24A8">
      <w:pPr>
        <w:pStyle w:val="BodyText"/>
        <w:rPr>
          <w:sz w:val="20"/>
        </w:rPr>
      </w:pPr>
    </w:p>
    <w:p w14:paraId="090B8412" w14:textId="77777777" w:rsidR="00BC24A8" w:rsidRDefault="00BC24A8">
      <w:pPr>
        <w:pStyle w:val="BodyText"/>
        <w:rPr>
          <w:sz w:val="20"/>
        </w:rPr>
      </w:pPr>
    </w:p>
    <w:p w14:paraId="19D6633C" w14:textId="77777777" w:rsidR="00BC24A8" w:rsidRDefault="00BC24A8">
      <w:pPr>
        <w:pStyle w:val="BodyText"/>
        <w:rPr>
          <w:sz w:val="20"/>
        </w:rPr>
      </w:pPr>
    </w:p>
    <w:p w14:paraId="50A9AD38" w14:textId="77777777" w:rsidR="00BC24A8" w:rsidRDefault="00BC24A8">
      <w:pPr>
        <w:pStyle w:val="BodyText"/>
        <w:rPr>
          <w:sz w:val="20"/>
        </w:rPr>
      </w:pPr>
    </w:p>
    <w:p w14:paraId="18670E92" w14:textId="77777777" w:rsidR="00BC24A8" w:rsidRDefault="00BC24A8">
      <w:pPr>
        <w:pStyle w:val="BodyText"/>
        <w:rPr>
          <w:sz w:val="20"/>
        </w:rPr>
      </w:pPr>
    </w:p>
    <w:p w14:paraId="44A6A69E" w14:textId="77777777" w:rsidR="00BC24A8" w:rsidRDefault="00BC24A8">
      <w:pPr>
        <w:pStyle w:val="BodyText"/>
        <w:rPr>
          <w:sz w:val="20"/>
        </w:rPr>
      </w:pPr>
    </w:p>
    <w:p w14:paraId="4852E25A" w14:textId="77777777" w:rsidR="00BC24A8" w:rsidRDefault="00BC24A8">
      <w:pPr>
        <w:pStyle w:val="BodyText"/>
        <w:rPr>
          <w:sz w:val="20"/>
        </w:rPr>
      </w:pPr>
    </w:p>
    <w:p w14:paraId="2EC26034" w14:textId="77777777" w:rsidR="00BC24A8" w:rsidRDefault="00BC24A8">
      <w:pPr>
        <w:pStyle w:val="BodyText"/>
        <w:rPr>
          <w:sz w:val="20"/>
        </w:rPr>
      </w:pPr>
    </w:p>
    <w:p w14:paraId="71F165A2" w14:textId="77777777" w:rsidR="00BC24A8" w:rsidRDefault="00BC24A8">
      <w:pPr>
        <w:pStyle w:val="BodyText"/>
        <w:rPr>
          <w:sz w:val="20"/>
        </w:rPr>
      </w:pPr>
    </w:p>
    <w:p w14:paraId="54D4E146" w14:textId="77777777" w:rsidR="00BC24A8" w:rsidRDefault="00000000">
      <w:pPr>
        <w:pStyle w:val="BodyText"/>
        <w:spacing w:before="22"/>
        <w:rPr>
          <w:sz w:val="20"/>
        </w:rPr>
      </w:pPr>
      <w:r>
        <w:rPr>
          <w:noProof/>
          <w:sz w:val="20"/>
        </w:rPr>
        <mc:AlternateContent>
          <mc:Choice Requires="wps">
            <w:drawing>
              <wp:anchor distT="0" distB="0" distL="0" distR="0" simplePos="0" relativeHeight="487592448" behindDoc="1" locked="0" layoutInCell="1" allowOverlap="1" wp14:anchorId="15FC3472" wp14:editId="28FE8EF5">
                <wp:simplePos x="0" y="0"/>
                <wp:positionH relativeFrom="page">
                  <wp:posOffset>900683</wp:posOffset>
                </wp:positionH>
                <wp:positionV relativeFrom="paragraph">
                  <wp:posOffset>184266</wp:posOffset>
                </wp:positionV>
                <wp:extent cx="1828800" cy="9525"/>
                <wp:effectExtent l="0" t="0" r="0" b="0"/>
                <wp:wrapTopAndBottom/>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7F597" id="Graphic 26" o:spid="_x0000_s1026" alt="&quot;&quot;" style="position:absolute;margin-left:70.9pt;margin-top:14.5pt;width:2in;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" path="m1828800,l,,,9144r1828800,l1828800,xe" fillcolor="black" stroked="f">
                <v:path arrowok="t"/>
                <w10:wrap type="topAndBottom" anchorx="page"/>
              </v:shape>
            </w:pict>
          </mc:Fallback>
        </mc:AlternateContent>
      </w:r>
    </w:p>
    <w:p w14:paraId="05D32A27" w14:textId="77777777" w:rsidR="00BC24A8" w:rsidRDefault="00BC24A8">
      <w:pPr>
        <w:pStyle w:val="BodyText"/>
        <w:spacing w:before="105"/>
        <w:rPr>
          <w:sz w:val="16"/>
        </w:rPr>
      </w:pPr>
    </w:p>
    <w:p w14:paraId="1104C6FA" w14:textId="77777777" w:rsidR="00BC24A8" w:rsidRDefault="00000000">
      <w:pPr>
        <w:spacing w:before="1"/>
        <w:ind w:left="143" w:right="328"/>
        <w:rPr>
          <w:sz w:val="16"/>
        </w:rPr>
      </w:pPr>
      <w:bookmarkStart w:id="57" w:name="_bookmark36"/>
      <w:bookmarkEnd w:id="57"/>
      <w:r>
        <w:rPr>
          <w:color w:val="767070"/>
          <w:sz w:val="16"/>
          <w:vertAlign w:val="superscript"/>
        </w:rPr>
        <w:t>15</w:t>
      </w:r>
      <w:r>
        <w:rPr>
          <w:color w:val="767070"/>
          <w:spacing w:val="-3"/>
          <w:sz w:val="16"/>
        </w:rPr>
        <w:t xml:space="preserve"> </w:t>
      </w:r>
      <w:r>
        <w:rPr>
          <w:color w:val="767070"/>
          <w:sz w:val="16"/>
        </w:rPr>
        <w:t>Policy</w:t>
      </w:r>
      <w:r>
        <w:rPr>
          <w:color w:val="767070"/>
          <w:spacing w:val="-2"/>
          <w:sz w:val="16"/>
        </w:rPr>
        <w:t xml:space="preserve"> </w:t>
      </w:r>
      <w:r>
        <w:rPr>
          <w:color w:val="767070"/>
          <w:sz w:val="16"/>
        </w:rPr>
        <w:t>and</w:t>
      </w:r>
      <w:r>
        <w:rPr>
          <w:color w:val="767070"/>
          <w:spacing w:val="-2"/>
          <w:sz w:val="16"/>
        </w:rPr>
        <w:t xml:space="preserve"> </w:t>
      </w:r>
      <w:r>
        <w:rPr>
          <w:color w:val="767070"/>
          <w:sz w:val="16"/>
        </w:rPr>
        <w:t>coordination</w:t>
      </w:r>
      <w:r>
        <w:rPr>
          <w:color w:val="767070"/>
          <w:spacing w:val="-5"/>
          <w:sz w:val="16"/>
        </w:rPr>
        <w:t xml:space="preserve"> </w:t>
      </w:r>
      <w:r>
        <w:rPr>
          <w:color w:val="767070"/>
          <w:sz w:val="16"/>
        </w:rPr>
        <w:t>intervention</w:t>
      </w:r>
      <w:r>
        <w:rPr>
          <w:color w:val="767070"/>
          <w:spacing w:val="-2"/>
          <w:sz w:val="16"/>
        </w:rPr>
        <w:t xml:space="preserve"> </w:t>
      </w:r>
      <w:r>
        <w:rPr>
          <w:color w:val="767070"/>
          <w:sz w:val="16"/>
        </w:rPr>
        <w:t>on</w:t>
      </w:r>
      <w:r>
        <w:rPr>
          <w:color w:val="767070"/>
          <w:spacing w:val="-2"/>
          <w:sz w:val="16"/>
        </w:rPr>
        <w:t xml:space="preserve"> </w:t>
      </w:r>
      <w:r>
        <w:rPr>
          <w:color w:val="767070"/>
          <w:sz w:val="16"/>
        </w:rPr>
        <w:t>SID</w:t>
      </w:r>
      <w:r>
        <w:rPr>
          <w:color w:val="767070"/>
          <w:spacing w:val="-2"/>
          <w:sz w:val="16"/>
        </w:rPr>
        <w:t xml:space="preserve"> </w:t>
      </w:r>
      <w:r>
        <w:rPr>
          <w:color w:val="767070"/>
          <w:sz w:val="16"/>
        </w:rPr>
        <w:t>would</w:t>
      </w:r>
      <w:r>
        <w:rPr>
          <w:color w:val="767070"/>
          <w:spacing w:val="-2"/>
          <w:sz w:val="16"/>
        </w:rPr>
        <w:t xml:space="preserve"> </w:t>
      </w:r>
      <w:r>
        <w:rPr>
          <w:color w:val="767070"/>
          <w:sz w:val="16"/>
        </w:rPr>
        <w:t>more</w:t>
      </w:r>
      <w:r>
        <w:rPr>
          <w:color w:val="767070"/>
          <w:spacing w:val="-5"/>
          <w:sz w:val="16"/>
        </w:rPr>
        <w:t xml:space="preserve"> </w:t>
      </w:r>
      <w:r>
        <w:rPr>
          <w:color w:val="767070"/>
          <w:sz w:val="16"/>
        </w:rPr>
        <w:t>logically</w:t>
      </w:r>
      <w:r>
        <w:rPr>
          <w:color w:val="767070"/>
          <w:spacing w:val="-2"/>
          <w:sz w:val="16"/>
        </w:rPr>
        <w:t xml:space="preserve"> </w:t>
      </w:r>
      <w:r>
        <w:rPr>
          <w:color w:val="767070"/>
          <w:sz w:val="16"/>
        </w:rPr>
        <w:t>sit</w:t>
      </w:r>
      <w:r>
        <w:rPr>
          <w:color w:val="767070"/>
          <w:spacing w:val="-5"/>
          <w:sz w:val="16"/>
        </w:rPr>
        <w:t xml:space="preserve"> </w:t>
      </w:r>
      <w:r>
        <w:rPr>
          <w:color w:val="767070"/>
          <w:sz w:val="16"/>
        </w:rPr>
        <w:t>at</w:t>
      </w:r>
      <w:r>
        <w:rPr>
          <w:color w:val="767070"/>
          <w:spacing w:val="-3"/>
          <w:sz w:val="16"/>
        </w:rPr>
        <w:t xml:space="preserve"> </w:t>
      </w:r>
      <w:r>
        <w:rPr>
          <w:color w:val="767070"/>
          <w:sz w:val="16"/>
        </w:rPr>
        <w:t>the</w:t>
      </w:r>
      <w:r>
        <w:rPr>
          <w:color w:val="767070"/>
          <w:spacing w:val="-5"/>
          <w:sz w:val="16"/>
        </w:rPr>
        <w:t xml:space="preserve"> </w:t>
      </w:r>
      <w:r>
        <w:rPr>
          <w:color w:val="767070"/>
          <w:sz w:val="16"/>
        </w:rPr>
        <w:t>district</w:t>
      </w:r>
      <w:r>
        <w:rPr>
          <w:color w:val="767070"/>
          <w:spacing w:val="-3"/>
          <w:sz w:val="16"/>
        </w:rPr>
        <w:t xml:space="preserve"> </w:t>
      </w:r>
      <w:r>
        <w:rPr>
          <w:color w:val="767070"/>
          <w:sz w:val="16"/>
        </w:rPr>
        <w:t>or</w:t>
      </w:r>
      <w:r>
        <w:rPr>
          <w:color w:val="767070"/>
          <w:spacing w:val="-3"/>
          <w:sz w:val="16"/>
        </w:rPr>
        <w:t xml:space="preserve"> </w:t>
      </w:r>
      <w:r>
        <w:rPr>
          <w:color w:val="767070"/>
          <w:sz w:val="16"/>
        </w:rPr>
        <w:t>city</w:t>
      </w:r>
      <w:r>
        <w:rPr>
          <w:color w:val="767070"/>
          <w:spacing w:val="-2"/>
          <w:sz w:val="16"/>
        </w:rPr>
        <w:t xml:space="preserve"> </w:t>
      </w:r>
      <w:r>
        <w:rPr>
          <w:color w:val="767070"/>
          <w:sz w:val="16"/>
        </w:rPr>
        <w:t>level</w:t>
      </w:r>
      <w:r>
        <w:rPr>
          <w:color w:val="767070"/>
          <w:spacing w:val="-2"/>
          <w:sz w:val="16"/>
        </w:rPr>
        <w:t xml:space="preserve"> </w:t>
      </w:r>
      <w:r>
        <w:rPr>
          <w:color w:val="767070"/>
          <w:sz w:val="16"/>
        </w:rPr>
        <w:t>under</w:t>
      </w:r>
      <w:r>
        <w:rPr>
          <w:color w:val="767070"/>
          <w:spacing w:val="-3"/>
          <w:sz w:val="16"/>
        </w:rPr>
        <w:t xml:space="preserve"> </w:t>
      </w:r>
      <w:r>
        <w:rPr>
          <w:color w:val="767070"/>
          <w:sz w:val="16"/>
        </w:rPr>
        <w:t>the</w:t>
      </w:r>
      <w:r>
        <w:rPr>
          <w:color w:val="767070"/>
          <w:spacing w:val="-5"/>
          <w:sz w:val="16"/>
        </w:rPr>
        <w:t xml:space="preserve"> </w:t>
      </w:r>
      <w:r>
        <w:rPr>
          <w:color w:val="767070"/>
          <w:sz w:val="16"/>
        </w:rPr>
        <w:t>coordination</w:t>
      </w:r>
      <w:r>
        <w:rPr>
          <w:color w:val="767070"/>
          <w:spacing w:val="-2"/>
          <w:sz w:val="16"/>
        </w:rPr>
        <w:t xml:space="preserve"> </w:t>
      </w:r>
      <w:r>
        <w:rPr>
          <w:color w:val="767070"/>
          <w:sz w:val="16"/>
        </w:rPr>
        <w:t>of</w:t>
      </w:r>
      <w:r>
        <w:rPr>
          <w:color w:val="767070"/>
          <w:spacing w:val="-2"/>
          <w:sz w:val="16"/>
        </w:rPr>
        <w:t xml:space="preserve"> </w:t>
      </w:r>
      <w:r>
        <w:rPr>
          <w:color w:val="767070"/>
          <w:sz w:val="16"/>
        </w:rPr>
        <w:t>the</w:t>
      </w:r>
      <w:r>
        <w:rPr>
          <w:color w:val="767070"/>
          <w:spacing w:val="-5"/>
          <w:sz w:val="16"/>
        </w:rPr>
        <w:t xml:space="preserve"> </w:t>
      </w:r>
      <w:r>
        <w:rPr>
          <w:color w:val="767070"/>
          <w:sz w:val="16"/>
        </w:rPr>
        <w:t>Ministry</w:t>
      </w:r>
      <w:r>
        <w:rPr>
          <w:color w:val="767070"/>
          <w:spacing w:val="-4"/>
          <w:sz w:val="16"/>
        </w:rPr>
        <w:t xml:space="preserve"> </w:t>
      </w:r>
      <w:r>
        <w:rPr>
          <w:color w:val="767070"/>
          <w:sz w:val="16"/>
        </w:rPr>
        <w:t>of</w:t>
      </w:r>
      <w:r>
        <w:rPr>
          <w:color w:val="767070"/>
          <w:spacing w:val="40"/>
          <w:sz w:val="16"/>
        </w:rPr>
        <w:t xml:space="preserve"> </w:t>
      </w:r>
      <w:r>
        <w:rPr>
          <w:color w:val="767070"/>
          <w:sz w:val="16"/>
        </w:rPr>
        <w:t>Villages and Development of Disadvantaged Regions who are not currently a SKALA ministry partner</w:t>
      </w:r>
    </w:p>
    <w:p w14:paraId="7F52301F" w14:textId="77777777" w:rsidR="00BC24A8" w:rsidRDefault="00BC24A8">
      <w:pPr>
        <w:rPr>
          <w:sz w:val="16"/>
        </w:rPr>
        <w:sectPr w:rsidR="00BC24A8">
          <w:pgSz w:w="11910" w:h="16840"/>
          <w:pgMar w:top="1360" w:right="1133" w:bottom="1100" w:left="1275" w:header="0" w:footer="907" w:gutter="0"/>
          <w:cols w:space="720"/>
        </w:sectPr>
      </w:pPr>
    </w:p>
    <w:p w14:paraId="0F0D0429" w14:textId="77777777" w:rsidR="00BC24A8" w:rsidRDefault="00000000">
      <w:pPr>
        <w:pStyle w:val="Heading1"/>
      </w:pPr>
      <w:bookmarkStart w:id="58" w:name="Implementation_Progress_(Effectiveness_a"/>
      <w:bookmarkStart w:id="59" w:name="_bookmark37"/>
      <w:bookmarkEnd w:id="58"/>
      <w:bookmarkEnd w:id="59"/>
      <w:r w:rsidRPr="00795364">
        <w:rPr>
          <w:color w:val="00A59C"/>
          <w:spacing w:val="-7"/>
        </w:rPr>
        <w:lastRenderedPageBreak/>
        <w:t>Implementation</w:t>
      </w:r>
      <w:r w:rsidRPr="00795364">
        <w:rPr>
          <w:color w:val="00A59C"/>
          <w:spacing w:val="-36"/>
        </w:rPr>
        <w:t xml:space="preserve"> </w:t>
      </w:r>
      <w:r w:rsidRPr="00795364">
        <w:rPr>
          <w:color w:val="00A59C"/>
          <w:spacing w:val="-2"/>
        </w:rPr>
        <w:t>Progress</w:t>
      </w:r>
    </w:p>
    <w:p w14:paraId="016545C8" w14:textId="77777777" w:rsidR="00BC24A8" w:rsidRDefault="00000000">
      <w:pPr>
        <w:spacing w:before="36"/>
        <w:ind w:left="143"/>
        <w:rPr>
          <w:rFonts w:ascii="Trebuchet MS"/>
          <w:b/>
          <w:sz w:val="60"/>
        </w:rPr>
      </w:pPr>
      <w:r w:rsidRPr="00795364">
        <w:rPr>
          <w:rFonts w:ascii="Trebuchet MS"/>
          <w:b/>
          <w:color w:val="00A59C"/>
          <w:spacing w:val="-8"/>
          <w:sz w:val="60"/>
        </w:rPr>
        <w:t>(Effectiveness</w:t>
      </w:r>
      <w:r w:rsidRPr="00795364">
        <w:rPr>
          <w:rFonts w:ascii="Trebuchet MS"/>
          <w:b/>
          <w:color w:val="00A59C"/>
          <w:spacing w:val="-49"/>
          <w:sz w:val="60"/>
        </w:rPr>
        <w:t xml:space="preserve"> </w:t>
      </w:r>
      <w:r w:rsidRPr="00795364">
        <w:rPr>
          <w:rFonts w:ascii="Trebuchet MS"/>
          <w:b/>
          <w:color w:val="00A59C"/>
          <w:spacing w:val="-8"/>
          <w:sz w:val="60"/>
        </w:rPr>
        <w:t>and</w:t>
      </w:r>
      <w:r w:rsidRPr="00795364">
        <w:rPr>
          <w:rFonts w:ascii="Trebuchet MS"/>
          <w:b/>
          <w:color w:val="00A59C"/>
          <w:spacing w:val="-49"/>
          <w:sz w:val="60"/>
        </w:rPr>
        <w:t xml:space="preserve"> </w:t>
      </w:r>
      <w:r w:rsidRPr="00795364">
        <w:rPr>
          <w:rFonts w:ascii="Trebuchet MS"/>
          <w:b/>
          <w:color w:val="00A59C"/>
          <w:spacing w:val="-8"/>
          <w:sz w:val="60"/>
        </w:rPr>
        <w:t>Efficiency)</w:t>
      </w:r>
    </w:p>
    <w:p w14:paraId="2532B591" w14:textId="77777777" w:rsidR="00BC24A8" w:rsidRDefault="00000000">
      <w:pPr>
        <w:pStyle w:val="Heading4"/>
        <w:spacing w:before="628"/>
      </w:pPr>
      <w:bookmarkStart w:id="60" w:name="Adequacy_of_Progress_against_the_Work_Pl"/>
      <w:bookmarkStart w:id="61" w:name="_bookmark38"/>
      <w:bookmarkEnd w:id="60"/>
      <w:bookmarkEnd w:id="61"/>
      <w:r>
        <w:rPr>
          <w:color w:val="17365A"/>
          <w:spacing w:val="-4"/>
        </w:rPr>
        <w:t>Adequacy</w:t>
      </w:r>
      <w:r>
        <w:rPr>
          <w:color w:val="17365A"/>
          <w:spacing w:val="-18"/>
        </w:rPr>
        <w:t xml:space="preserve"> </w:t>
      </w:r>
      <w:r>
        <w:rPr>
          <w:color w:val="17365A"/>
          <w:spacing w:val="-4"/>
        </w:rPr>
        <w:t>of</w:t>
      </w:r>
      <w:r>
        <w:rPr>
          <w:color w:val="17365A"/>
          <w:spacing w:val="-20"/>
        </w:rPr>
        <w:t xml:space="preserve"> </w:t>
      </w:r>
      <w:r>
        <w:rPr>
          <w:color w:val="17365A"/>
          <w:spacing w:val="-4"/>
        </w:rPr>
        <w:t>Progress</w:t>
      </w:r>
      <w:r>
        <w:rPr>
          <w:color w:val="17365A"/>
          <w:spacing w:val="-18"/>
        </w:rPr>
        <w:t xml:space="preserve"> </w:t>
      </w:r>
      <w:r>
        <w:rPr>
          <w:color w:val="17365A"/>
          <w:spacing w:val="-4"/>
        </w:rPr>
        <w:t>against</w:t>
      </w:r>
      <w:r>
        <w:rPr>
          <w:color w:val="17365A"/>
          <w:spacing w:val="-20"/>
        </w:rPr>
        <w:t xml:space="preserve"> </w:t>
      </w:r>
      <w:r>
        <w:rPr>
          <w:color w:val="17365A"/>
          <w:spacing w:val="-4"/>
        </w:rPr>
        <w:t>the</w:t>
      </w:r>
      <w:r>
        <w:rPr>
          <w:color w:val="17365A"/>
          <w:spacing w:val="-17"/>
        </w:rPr>
        <w:t xml:space="preserve"> </w:t>
      </w:r>
      <w:r>
        <w:rPr>
          <w:color w:val="17365A"/>
          <w:spacing w:val="-4"/>
        </w:rPr>
        <w:t>Work</w:t>
      </w:r>
      <w:r>
        <w:rPr>
          <w:color w:val="17365A"/>
          <w:spacing w:val="-18"/>
        </w:rPr>
        <w:t xml:space="preserve"> </w:t>
      </w:r>
      <w:r>
        <w:rPr>
          <w:color w:val="17365A"/>
          <w:spacing w:val="-4"/>
        </w:rPr>
        <w:t>Plan</w:t>
      </w:r>
    </w:p>
    <w:p w14:paraId="256C4017" w14:textId="77777777" w:rsidR="00BC24A8" w:rsidRDefault="00000000">
      <w:pPr>
        <w:pStyle w:val="BodyText"/>
        <w:spacing w:before="254" w:line="278" w:lineRule="auto"/>
        <w:ind w:left="143" w:right="279"/>
        <w:jc w:val="both"/>
      </w:pPr>
      <w:r>
        <w:t>By 30 June 2025, SKALA recorded 92 outputs completed (30%), 126 ongoing (41%), and 65 not yet started (21%) out of 304 outputs in a rolling 2-year Annual Work Plan (AWP). This represents a lower completion rate compared to the previous financial year (42% in FY23/24), reflecting both an overall increase in program activity and the challenges of a changing operating environment.</w:t>
      </w:r>
    </w:p>
    <w:p w14:paraId="44E36B1D" w14:textId="77777777" w:rsidR="00BC24A8" w:rsidRDefault="00000000">
      <w:pPr>
        <w:pStyle w:val="BodyText"/>
        <w:spacing w:before="158" w:line="278" w:lineRule="auto"/>
        <w:ind w:left="143" w:right="278"/>
        <w:jc w:val="both"/>
      </w:pPr>
      <w:r>
        <w:t>Adequacy of Progress.</w:t>
      </w:r>
      <w:r>
        <w:rPr>
          <w:spacing w:val="40"/>
        </w:rPr>
        <w:t xml:space="preserve"> </w:t>
      </w:r>
      <w:r>
        <w:t>Program delivery this semester was shaped by transitions in subnational administrations,</w:t>
      </w:r>
      <w:r>
        <w:rPr>
          <w:spacing w:val="-13"/>
        </w:rPr>
        <w:t xml:space="preserve"> </w:t>
      </w:r>
      <w:r>
        <w:t>national</w:t>
      </w:r>
      <w:r>
        <w:rPr>
          <w:spacing w:val="-12"/>
        </w:rPr>
        <w:t xml:space="preserve"> </w:t>
      </w:r>
      <w:r>
        <w:t>budget</w:t>
      </w:r>
      <w:r>
        <w:rPr>
          <w:spacing w:val="-13"/>
        </w:rPr>
        <w:t xml:space="preserve"> </w:t>
      </w:r>
      <w:r>
        <w:t>cuts,</w:t>
      </w:r>
      <w:r>
        <w:rPr>
          <w:spacing w:val="-12"/>
        </w:rPr>
        <w:t xml:space="preserve"> </w:t>
      </w:r>
      <w:r>
        <w:t>and</w:t>
      </w:r>
      <w:r>
        <w:rPr>
          <w:spacing w:val="-13"/>
        </w:rPr>
        <w:t xml:space="preserve"> </w:t>
      </w:r>
      <w:r>
        <w:t>new</w:t>
      </w:r>
      <w:r>
        <w:rPr>
          <w:spacing w:val="-12"/>
        </w:rPr>
        <w:t xml:space="preserve"> </w:t>
      </w:r>
      <w:r>
        <w:t>policy</w:t>
      </w:r>
      <w:r>
        <w:rPr>
          <w:spacing w:val="-13"/>
        </w:rPr>
        <w:t xml:space="preserve"> </w:t>
      </w:r>
      <w:r>
        <w:t>directions.</w:t>
      </w:r>
      <w:r>
        <w:rPr>
          <w:spacing w:val="-12"/>
        </w:rPr>
        <w:t xml:space="preserve"> </w:t>
      </w:r>
      <w:r>
        <w:t>These</w:t>
      </w:r>
      <w:r>
        <w:rPr>
          <w:spacing w:val="-12"/>
        </w:rPr>
        <w:t xml:space="preserve"> </w:t>
      </w:r>
      <w:r>
        <w:t>factors</w:t>
      </w:r>
      <w:r>
        <w:rPr>
          <w:spacing w:val="-13"/>
        </w:rPr>
        <w:t xml:space="preserve"> </w:t>
      </w:r>
      <w:r>
        <w:t>required</w:t>
      </w:r>
      <w:r>
        <w:rPr>
          <w:spacing w:val="-12"/>
        </w:rPr>
        <w:t xml:space="preserve"> </w:t>
      </w:r>
      <w:r>
        <w:t>increased</w:t>
      </w:r>
      <w:r>
        <w:rPr>
          <w:spacing w:val="-13"/>
        </w:rPr>
        <w:t xml:space="preserve"> </w:t>
      </w:r>
      <w:r>
        <w:t>effort at the national level (EOPO1) to align regulations and guidance with emerging priorities, while slowing subnational</w:t>
      </w:r>
      <w:r>
        <w:rPr>
          <w:spacing w:val="-13"/>
        </w:rPr>
        <w:t xml:space="preserve"> </w:t>
      </w:r>
      <w:r>
        <w:t>completion</w:t>
      </w:r>
      <w:r>
        <w:rPr>
          <w:spacing w:val="-12"/>
        </w:rPr>
        <w:t xml:space="preserve"> </w:t>
      </w:r>
      <w:r>
        <w:t>(EOPO2)</w:t>
      </w:r>
      <w:r>
        <w:rPr>
          <w:spacing w:val="-13"/>
        </w:rPr>
        <w:t xml:space="preserve"> </w:t>
      </w:r>
      <w:r>
        <w:t>due</w:t>
      </w:r>
      <w:r>
        <w:rPr>
          <w:spacing w:val="-12"/>
        </w:rPr>
        <w:t xml:space="preserve"> </w:t>
      </w:r>
      <w:r>
        <w:t>to</w:t>
      </w:r>
      <w:r>
        <w:rPr>
          <w:spacing w:val="-13"/>
        </w:rPr>
        <w:t xml:space="preserve"> </w:t>
      </w:r>
      <w:r>
        <w:t>turnover</w:t>
      </w:r>
      <w:r>
        <w:rPr>
          <w:spacing w:val="-12"/>
        </w:rPr>
        <w:t xml:space="preserve"> </w:t>
      </w:r>
      <w:r>
        <w:t>and</w:t>
      </w:r>
      <w:r>
        <w:rPr>
          <w:spacing w:val="-13"/>
        </w:rPr>
        <w:t xml:space="preserve"> </w:t>
      </w:r>
      <w:r>
        <w:t>delayed</w:t>
      </w:r>
      <w:r>
        <w:rPr>
          <w:spacing w:val="-12"/>
        </w:rPr>
        <w:t xml:space="preserve"> </w:t>
      </w:r>
      <w:r>
        <w:t>planning</w:t>
      </w:r>
      <w:r>
        <w:rPr>
          <w:spacing w:val="-12"/>
        </w:rPr>
        <w:t xml:space="preserve"> </w:t>
      </w:r>
      <w:r>
        <w:t>cycles.</w:t>
      </w:r>
      <w:r>
        <w:rPr>
          <w:spacing w:val="-13"/>
        </w:rPr>
        <w:t xml:space="preserve"> </w:t>
      </w:r>
      <w:r>
        <w:t>The</w:t>
      </w:r>
      <w:r>
        <w:rPr>
          <w:spacing w:val="-12"/>
        </w:rPr>
        <w:t xml:space="preserve"> </w:t>
      </w:r>
      <w:r>
        <w:t>program</w:t>
      </w:r>
      <w:r>
        <w:rPr>
          <w:spacing w:val="-13"/>
        </w:rPr>
        <w:t xml:space="preserve"> </w:t>
      </w:r>
      <w:r>
        <w:t>nonetheless recorded modest improvements in EOPO3, with strengthened participatory planning forums enabling greater engagement of vulnerable groups. Inputs were heavily concentrated in public financial management (29%) and data and analytics (27%), consistent with the evolving fiscal and data governance agendas.</w:t>
      </w:r>
    </w:p>
    <w:p w14:paraId="639114EE" w14:textId="77777777" w:rsidR="00BC24A8" w:rsidRDefault="00000000">
      <w:pPr>
        <w:pStyle w:val="BodyText"/>
        <w:spacing w:before="157" w:line="278" w:lineRule="auto"/>
        <w:ind w:left="143" w:right="279"/>
        <w:jc w:val="both"/>
      </w:pPr>
      <w:r>
        <w:t xml:space="preserve">Delays and Challenges. Key delays stem from (i) BAPPENAS requested implementation pause while a governance and strategy review was undertaken, (ii) administrative turnover in partner provinces, particularly in Papua and Maluku, (iii) the late issuance of revised national fiscal transfer and MSS </w:t>
      </w:r>
      <w:r>
        <w:rPr>
          <w:spacing w:val="-2"/>
        </w:rPr>
        <w:t xml:space="preserve">regulations, which complicated 2025 budget preparation, and (iv) constrained provincial fiscal space due </w:t>
      </w:r>
      <w:r>
        <w:t>to INPRES 1/2025. Delivery modalities also shifted, with a reduced reliance on technical guidance and greater emphasis on learning forums and evidence-sharing. These adaptations demonstrate flexibility but highlight slower-than-expected uptake of new regulations and systems at subnational levels.</w:t>
      </w:r>
    </w:p>
    <w:p w14:paraId="4FDCEB71" w14:textId="77777777" w:rsidR="00BC24A8" w:rsidRDefault="00000000">
      <w:pPr>
        <w:pStyle w:val="BodyText"/>
        <w:spacing w:before="4"/>
        <w:rPr>
          <w:sz w:val="17"/>
        </w:rPr>
      </w:pPr>
      <w:r>
        <w:rPr>
          <w:noProof/>
          <w:sz w:val="17"/>
        </w:rPr>
        <w:drawing>
          <wp:anchor distT="0" distB="0" distL="0" distR="0" simplePos="0" relativeHeight="487592960" behindDoc="1" locked="0" layoutInCell="1" allowOverlap="1" wp14:anchorId="22615545" wp14:editId="0B10F729">
            <wp:simplePos x="0" y="0"/>
            <wp:positionH relativeFrom="page">
              <wp:posOffset>1346889</wp:posOffset>
            </wp:positionH>
            <wp:positionV relativeFrom="paragraph">
              <wp:posOffset>150176</wp:posOffset>
            </wp:positionV>
            <wp:extent cx="4834933" cy="2824829"/>
            <wp:effectExtent l="0" t="0" r="0" b="0"/>
            <wp:wrapTopAndBottom/>
            <wp:docPr id="27" name="Image 27" descr="A graph of progress with different colored bar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graph of progress with different colored bars  AI-generated content may be incorrect. "/>
                    <pic:cNvPicPr/>
                  </pic:nvPicPr>
                  <pic:blipFill>
                    <a:blip r:embed="rId13" cstate="print"/>
                    <a:stretch>
                      <a:fillRect/>
                    </a:stretch>
                  </pic:blipFill>
                  <pic:spPr>
                    <a:xfrm>
                      <a:off x="0" y="0"/>
                      <a:ext cx="4834933" cy="2824829"/>
                    </a:xfrm>
                    <a:prstGeom prst="rect">
                      <a:avLst/>
                    </a:prstGeom>
                  </pic:spPr>
                </pic:pic>
              </a:graphicData>
            </a:graphic>
          </wp:anchor>
        </w:drawing>
      </w:r>
    </w:p>
    <w:p w14:paraId="694126FD" w14:textId="77777777" w:rsidR="00BC24A8" w:rsidRDefault="00BC24A8">
      <w:pPr>
        <w:pStyle w:val="BodyText"/>
        <w:rPr>
          <w:sz w:val="17"/>
        </w:rPr>
        <w:sectPr w:rsidR="00BC24A8">
          <w:pgSz w:w="11910" w:h="16840"/>
          <w:pgMar w:top="1320" w:right="1133" w:bottom="1100" w:left="1275" w:header="0" w:footer="907" w:gutter="0"/>
          <w:cols w:space="720"/>
        </w:sectPr>
      </w:pPr>
    </w:p>
    <w:p w14:paraId="0381A90E" w14:textId="77777777" w:rsidR="00BC24A8" w:rsidRDefault="00000000">
      <w:pPr>
        <w:pStyle w:val="BodyText"/>
        <w:spacing w:before="39" w:line="278" w:lineRule="auto"/>
        <w:ind w:left="143" w:right="280"/>
        <w:jc w:val="both"/>
      </w:pPr>
      <w:r>
        <w:lastRenderedPageBreak/>
        <w:t>Implications. The backlog of “ongoing” outputs risks compressing delivery into the final program year, with potential impacts on quality, absorptive capacity, and sustainability. This is especially evident in fiscal</w:t>
      </w:r>
      <w:r>
        <w:rPr>
          <w:spacing w:val="-7"/>
        </w:rPr>
        <w:t xml:space="preserve"> </w:t>
      </w:r>
      <w:r>
        <w:t>transfer</w:t>
      </w:r>
      <w:r>
        <w:rPr>
          <w:spacing w:val="-5"/>
        </w:rPr>
        <w:t xml:space="preserve"> </w:t>
      </w:r>
      <w:r>
        <w:t>optimisation,</w:t>
      </w:r>
      <w:r>
        <w:rPr>
          <w:spacing w:val="-7"/>
        </w:rPr>
        <w:t xml:space="preserve"> </w:t>
      </w:r>
      <w:r>
        <w:t>MSS</w:t>
      </w:r>
      <w:r>
        <w:rPr>
          <w:spacing w:val="-5"/>
        </w:rPr>
        <w:t xml:space="preserve"> </w:t>
      </w:r>
      <w:r>
        <w:t>costing,</w:t>
      </w:r>
      <w:r>
        <w:rPr>
          <w:spacing w:val="-5"/>
        </w:rPr>
        <w:t xml:space="preserve"> </w:t>
      </w:r>
      <w:r>
        <w:t>and</w:t>
      </w:r>
      <w:r>
        <w:rPr>
          <w:spacing w:val="-5"/>
        </w:rPr>
        <w:t xml:space="preserve"> </w:t>
      </w:r>
      <w:r>
        <w:t>inclusive</w:t>
      </w:r>
      <w:r>
        <w:rPr>
          <w:spacing w:val="-9"/>
        </w:rPr>
        <w:t xml:space="preserve"> </w:t>
      </w:r>
      <w:r>
        <w:t>planning</w:t>
      </w:r>
      <w:r>
        <w:rPr>
          <w:spacing w:val="-6"/>
        </w:rPr>
        <w:t xml:space="preserve"> </w:t>
      </w:r>
      <w:r>
        <w:t>forums,</w:t>
      </w:r>
      <w:r>
        <w:rPr>
          <w:spacing w:val="-5"/>
        </w:rPr>
        <w:t xml:space="preserve"> </w:t>
      </w:r>
      <w:r>
        <w:t>which</w:t>
      </w:r>
      <w:r>
        <w:rPr>
          <w:spacing w:val="-5"/>
        </w:rPr>
        <w:t xml:space="preserve"> </w:t>
      </w:r>
      <w:r>
        <w:t>remain</w:t>
      </w:r>
      <w:r>
        <w:rPr>
          <w:spacing w:val="-5"/>
        </w:rPr>
        <w:t xml:space="preserve"> </w:t>
      </w:r>
      <w:r>
        <w:t>at</w:t>
      </w:r>
      <w:r>
        <w:rPr>
          <w:spacing w:val="-6"/>
        </w:rPr>
        <w:t xml:space="preserve"> </w:t>
      </w:r>
      <w:r>
        <w:t>early</w:t>
      </w:r>
      <w:r>
        <w:rPr>
          <w:spacing w:val="-5"/>
        </w:rPr>
        <w:t xml:space="preserve"> </w:t>
      </w:r>
      <w:r>
        <w:t>stages</w:t>
      </w:r>
      <w:r>
        <w:rPr>
          <w:spacing w:val="-5"/>
        </w:rPr>
        <w:t xml:space="preserve"> </w:t>
      </w:r>
      <w:r>
        <w:t>of institutionalisation. Without targeted acceleration, Phase 1 targets may not be fully realised on time.</w:t>
      </w:r>
    </w:p>
    <w:p w14:paraId="203F3C34" w14:textId="77777777" w:rsidR="00BC24A8" w:rsidRDefault="00000000">
      <w:pPr>
        <w:pStyle w:val="BodyText"/>
        <w:spacing w:before="158"/>
        <w:ind w:left="143"/>
        <w:jc w:val="both"/>
      </w:pPr>
      <w:r>
        <w:t>Management</w:t>
      </w:r>
      <w:r>
        <w:rPr>
          <w:spacing w:val="-7"/>
        </w:rPr>
        <w:t xml:space="preserve"> </w:t>
      </w:r>
      <w:r>
        <w:rPr>
          <w:spacing w:val="-2"/>
        </w:rPr>
        <w:t>Responses.</w:t>
      </w:r>
    </w:p>
    <w:p w14:paraId="34F5609F" w14:textId="77777777" w:rsidR="00BC24A8" w:rsidRDefault="00000000">
      <w:pPr>
        <w:pStyle w:val="ListParagraph"/>
        <w:numPr>
          <w:ilvl w:val="0"/>
          <w:numId w:val="167"/>
        </w:numPr>
        <w:tabs>
          <w:tab w:val="left" w:pos="863"/>
        </w:tabs>
        <w:spacing w:before="202" w:line="259" w:lineRule="auto"/>
        <w:ind w:right="419"/>
        <w:jc w:val="left"/>
      </w:pPr>
      <w:r>
        <w:t>Re-prioritisation of outputs to focus on the five policy agendas identified for the final 18 months:</w:t>
      </w:r>
      <w:r>
        <w:rPr>
          <w:spacing w:val="-7"/>
        </w:rPr>
        <w:t xml:space="preserve"> </w:t>
      </w:r>
      <w:r>
        <w:t>One</w:t>
      </w:r>
      <w:r>
        <w:rPr>
          <w:spacing w:val="-8"/>
        </w:rPr>
        <w:t xml:space="preserve"> </w:t>
      </w:r>
      <w:r>
        <w:t>Regional</w:t>
      </w:r>
      <w:r>
        <w:rPr>
          <w:spacing w:val="-10"/>
        </w:rPr>
        <w:t xml:space="preserve"> </w:t>
      </w:r>
      <w:r>
        <w:t>Data,</w:t>
      </w:r>
      <w:r>
        <w:rPr>
          <w:spacing w:val="-6"/>
        </w:rPr>
        <w:t xml:space="preserve"> </w:t>
      </w:r>
      <w:r>
        <w:t>MSS</w:t>
      </w:r>
      <w:r>
        <w:rPr>
          <w:spacing w:val="-8"/>
        </w:rPr>
        <w:t xml:space="preserve"> </w:t>
      </w:r>
      <w:r>
        <w:t>frameworks,</w:t>
      </w:r>
      <w:r>
        <w:rPr>
          <w:spacing w:val="-6"/>
        </w:rPr>
        <w:t xml:space="preserve"> </w:t>
      </w:r>
      <w:r>
        <w:t>inclusive</w:t>
      </w:r>
      <w:r>
        <w:rPr>
          <w:spacing w:val="-10"/>
        </w:rPr>
        <w:t xml:space="preserve"> </w:t>
      </w:r>
      <w:r>
        <w:t>budgeting,</w:t>
      </w:r>
      <w:r>
        <w:rPr>
          <w:spacing w:val="-8"/>
        </w:rPr>
        <w:t xml:space="preserve"> </w:t>
      </w:r>
      <w:r>
        <w:t>OTSUS</w:t>
      </w:r>
      <w:r>
        <w:rPr>
          <w:spacing w:val="-6"/>
        </w:rPr>
        <w:t xml:space="preserve"> </w:t>
      </w:r>
      <w:r>
        <w:t>fund</w:t>
      </w:r>
      <w:r>
        <w:rPr>
          <w:spacing w:val="-6"/>
        </w:rPr>
        <w:t xml:space="preserve"> </w:t>
      </w:r>
      <w:r>
        <w:t>management, and institutionalising inclusive planning forums.</w:t>
      </w:r>
    </w:p>
    <w:p w14:paraId="44888369" w14:textId="77777777" w:rsidR="00BC24A8" w:rsidRDefault="00000000">
      <w:pPr>
        <w:pStyle w:val="ListParagraph"/>
        <w:numPr>
          <w:ilvl w:val="0"/>
          <w:numId w:val="167"/>
        </w:numPr>
        <w:tabs>
          <w:tab w:val="left" w:pos="863"/>
        </w:tabs>
        <w:spacing w:before="159" w:line="259" w:lineRule="auto"/>
        <w:ind w:right="392"/>
        <w:jc w:val="left"/>
      </w:pPr>
      <w:r>
        <w:t>Adaptive</w:t>
      </w:r>
      <w:r>
        <w:rPr>
          <w:spacing w:val="-7"/>
        </w:rPr>
        <w:t xml:space="preserve"> </w:t>
      </w:r>
      <w:r>
        <w:t>delivery</w:t>
      </w:r>
      <w:r>
        <w:rPr>
          <w:spacing w:val="-7"/>
        </w:rPr>
        <w:t xml:space="preserve"> </w:t>
      </w:r>
      <w:r>
        <w:t>through</w:t>
      </w:r>
      <w:r>
        <w:rPr>
          <w:spacing w:val="-7"/>
        </w:rPr>
        <w:t xml:space="preserve"> </w:t>
      </w:r>
      <w:r>
        <w:t>cross-provincial</w:t>
      </w:r>
      <w:r>
        <w:rPr>
          <w:spacing w:val="-9"/>
        </w:rPr>
        <w:t xml:space="preserve"> </w:t>
      </w:r>
      <w:r>
        <w:t>peer</w:t>
      </w:r>
      <w:r>
        <w:rPr>
          <w:spacing w:val="-7"/>
        </w:rPr>
        <w:t xml:space="preserve"> </w:t>
      </w:r>
      <w:r>
        <w:t>learning,</w:t>
      </w:r>
      <w:r>
        <w:rPr>
          <w:spacing w:val="-7"/>
        </w:rPr>
        <w:t xml:space="preserve"> </w:t>
      </w:r>
      <w:r>
        <w:t>hybrid</w:t>
      </w:r>
      <w:r>
        <w:rPr>
          <w:spacing w:val="-7"/>
        </w:rPr>
        <w:t xml:space="preserve"> </w:t>
      </w:r>
      <w:r>
        <w:t>TA,</w:t>
      </w:r>
      <w:r>
        <w:rPr>
          <w:spacing w:val="-9"/>
        </w:rPr>
        <w:t xml:space="preserve"> </w:t>
      </w:r>
      <w:r>
        <w:t>and</w:t>
      </w:r>
      <w:r>
        <w:rPr>
          <w:spacing w:val="-7"/>
        </w:rPr>
        <w:t xml:space="preserve"> </w:t>
      </w:r>
      <w:r>
        <w:t>intensified</w:t>
      </w:r>
      <w:r>
        <w:rPr>
          <w:spacing w:val="-7"/>
        </w:rPr>
        <w:t xml:space="preserve"> </w:t>
      </w:r>
      <w:r>
        <w:t>support</w:t>
      </w:r>
      <w:r>
        <w:rPr>
          <w:spacing w:val="-8"/>
        </w:rPr>
        <w:t xml:space="preserve"> </w:t>
      </w:r>
      <w:r>
        <w:t>to provinces with slower progress.</w:t>
      </w:r>
    </w:p>
    <w:p w14:paraId="44263035" w14:textId="77777777" w:rsidR="00BC24A8" w:rsidRDefault="00000000">
      <w:pPr>
        <w:pStyle w:val="ListParagraph"/>
        <w:numPr>
          <w:ilvl w:val="0"/>
          <w:numId w:val="167"/>
        </w:numPr>
        <w:tabs>
          <w:tab w:val="left" w:pos="863"/>
        </w:tabs>
        <w:spacing w:before="159" w:line="259" w:lineRule="auto"/>
        <w:ind w:right="857"/>
        <w:jc w:val="left"/>
      </w:pPr>
      <w:r>
        <w:t>Strengthened</w:t>
      </w:r>
      <w:r>
        <w:rPr>
          <w:spacing w:val="-9"/>
        </w:rPr>
        <w:t xml:space="preserve"> </w:t>
      </w:r>
      <w:r>
        <w:t>oversight</w:t>
      </w:r>
      <w:r>
        <w:rPr>
          <w:spacing w:val="-8"/>
        </w:rPr>
        <w:t xml:space="preserve"> </w:t>
      </w:r>
      <w:r>
        <w:t>via</w:t>
      </w:r>
      <w:r>
        <w:rPr>
          <w:spacing w:val="-8"/>
        </w:rPr>
        <w:t xml:space="preserve"> </w:t>
      </w:r>
      <w:r>
        <w:t>quarterly</w:t>
      </w:r>
      <w:r>
        <w:rPr>
          <w:spacing w:val="-7"/>
        </w:rPr>
        <w:t xml:space="preserve"> </w:t>
      </w:r>
      <w:r>
        <w:t>thematic</w:t>
      </w:r>
      <w:r>
        <w:rPr>
          <w:spacing w:val="-8"/>
        </w:rPr>
        <w:t xml:space="preserve"> </w:t>
      </w:r>
      <w:r>
        <w:t>reviews</w:t>
      </w:r>
      <w:r>
        <w:rPr>
          <w:spacing w:val="-8"/>
        </w:rPr>
        <w:t xml:space="preserve"> </w:t>
      </w:r>
      <w:r>
        <w:t>to</w:t>
      </w:r>
      <w:r>
        <w:rPr>
          <w:spacing w:val="-8"/>
        </w:rPr>
        <w:t xml:space="preserve"> </w:t>
      </w:r>
      <w:r>
        <w:t>monitor</w:t>
      </w:r>
      <w:r>
        <w:rPr>
          <w:spacing w:val="-9"/>
        </w:rPr>
        <w:t xml:space="preserve"> </w:t>
      </w:r>
      <w:r>
        <w:t>bottlenecks</w:t>
      </w:r>
      <w:r>
        <w:rPr>
          <w:spacing w:val="-7"/>
        </w:rPr>
        <w:t xml:space="preserve"> </w:t>
      </w:r>
      <w:r>
        <w:t>and</w:t>
      </w:r>
      <w:r>
        <w:rPr>
          <w:spacing w:val="-9"/>
        </w:rPr>
        <w:t xml:space="preserve"> </w:t>
      </w:r>
      <w:r>
        <w:t xml:space="preserve">adapt </w:t>
      </w:r>
      <w:r>
        <w:rPr>
          <w:spacing w:val="-2"/>
        </w:rPr>
        <w:t>sequencing.</w:t>
      </w:r>
    </w:p>
    <w:p w14:paraId="08142BA9" w14:textId="77777777" w:rsidR="00BC24A8" w:rsidRDefault="00000000">
      <w:pPr>
        <w:pStyle w:val="ListParagraph"/>
        <w:numPr>
          <w:ilvl w:val="0"/>
          <w:numId w:val="167"/>
        </w:numPr>
        <w:tabs>
          <w:tab w:val="left" w:pos="863"/>
        </w:tabs>
        <w:spacing w:before="162" w:line="256" w:lineRule="auto"/>
        <w:ind w:right="583" w:hanging="361"/>
        <w:jc w:val="left"/>
      </w:pPr>
      <w:r>
        <w:t>Capacity</w:t>
      </w:r>
      <w:r>
        <w:rPr>
          <w:spacing w:val="-6"/>
        </w:rPr>
        <w:t xml:space="preserve"> </w:t>
      </w:r>
      <w:r>
        <w:t>investments</w:t>
      </w:r>
      <w:r>
        <w:rPr>
          <w:spacing w:val="-6"/>
        </w:rPr>
        <w:t xml:space="preserve"> </w:t>
      </w:r>
      <w:r>
        <w:t>in</w:t>
      </w:r>
      <w:r>
        <w:rPr>
          <w:spacing w:val="-8"/>
        </w:rPr>
        <w:t xml:space="preserve"> </w:t>
      </w:r>
      <w:r>
        <w:t>data</w:t>
      </w:r>
      <w:r>
        <w:rPr>
          <w:spacing w:val="-7"/>
        </w:rPr>
        <w:t xml:space="preserve"> </w:t>
      </w:r>
      <w:r>
        <w:t>use,</w:t>
      </w:r>
      <w:r>
        <w:rPr>
          <w:spacing w:val="-7"/>
        </w:rPr>
        <w:t xml:space="preserve"> </w:t>
      </w:r>
      <w:r>
        <w:t>fiscal</w:t>
      </w:r>
      <w:r>
        <w:rPr>
          <w:spacing w:val="-7"/>
        </w:rPr>
        <w:t xml:space="preserve"> </w:t>
      </w:r>
      <w:r>
        <w:t>transfer</w:t>
      </w:r>
      <w:r>
        <w:rPr>
          <w:spacing w:val="-8"/>
        </w:rPr>
        <w:t xml:space="preserve"> </w:t>
      </w:r>
      <w:r>
        <w:t>management,</w:t>
      </w:r>
      <w:r>
        <w:rPr>
          <w:spacing w:val="-6"/>
        </w:rPr>
        <w:t xml:space="preserve"> </w:t>
      </w:r>
      <w:r>
        <w:t>and</w:t>
      </w:r>
      <w:r>
        <w:rPr>
          <w:spacing w:val="-8"/>
        </w:rPr>
        <w:t xml:space="preserve"> </w:t>
      </w:r>
      <w:r>
        <w:t>participatory</w:t>
      </w:r>
      <w:r>
        <w:rPr>
          <w:spacing w:val="-7"/>
        </w:rPr>
        <w:t xml:space="preserve"> </w:t>
      </w:r>
      <w:r>
        <w:t>planning</w:t>
      </w:r>
      <w:r>
        <w:rPr>
          <w:spacing w:val="-6"/>
        </w:rPr>
        <w:t xml:space="preserve"> </w:t>
      </w:r>
      <w:r>
        <w:t>to mitigate staff turnover risks.</w:t>
      </w:r>
    </w:p>
    <w:p w14:paraId="08DBB409" w14:textId="77777777" w:rsidR="00BC24A8" w:rsidRDefault="00000000">
      <w:pPr>
        <w:pStyle w:val="BodyText"/>
        <w:spacing w:before="164" w:line="278" w:lineRule="auto"/>
        <w:ind w:left="143" w:right="279"/>
        <w:jc w:val="both"/>
      </w:pPr>
      <w:r>
        <w:t>Adequacy of Inputs and Extensions. Current inputs remain adequate to achieve EOPOs if streamlined delivery and prioritisation are enforced. Some additional short-term TA may be justified to accelerate backlog areas, particularly where alignment between national guidance and provincial adoption is lagging. While no formal extension request has been made, sustainability considerations—such as embedding inclusive planning regulations and One Data systems—suggest that a modest extension or targeted consolidation phase could safeguard reforms.</w:t>
      </w:r>
    </w:p>
    <w:p w14:paraId="6F96753D" w14:textId="77777777" w:rsidR="00BC24A8" w:rsidRDefault="00000000">
      <w:pPr>
        <w:pStyle w:val="BodyText"/>
        <w:spacing w:before="157" w:line="278" w:lineRule="auto"/>
        <w:ind w:left="143" w:right="277"/>
        <w:jc w:val="both"/>
      </w:pPr>
      <w:r>
        <w:t>Sustainability Risks. The most significant risks relate to incomplete institutionalisation of reforms, reliance on external TA, and political turnover in 2025–26. To mitigate these, SKALA is embedding reforms in regulatory instruments, strengthening CSO-government partnerships, and ensuring greater provincial ownership.</w:t>
      </w:r>
    </w:p>
    <w:p w14:paraId="7A1C994C" w14:textId="77777777" w:rsidR="00BC24A8" w:rsidRDefault="00000000">
      <w:pPr>
        <w:pStyle w:val="BodyText"/>
        <w:spacing w:before="158" w:line="278" w:lineRule="auto"/>
        <w:ind w:left="143" w:right="279"/>
        <w:jc w:val="both"/>
      </w:pPr>
      <w:r>
        <w:t>Overall,</w:t>
      </w:r>
      <w:r>
        <w:rPr>
          <w:spacing w:val="-6"/>
        </w:rPr>
        <w:t xml:space="preserve"> </w:t>
      </w:r>
      <w:r>
        <w:t>while</w:t>
      </w:r>
      <w:r>
        <w:rPr>
          <w:spacing w:val="-8"/>
        </w:rPr>
        <w:t xml:space="preserve"> </w:t>
      </w:r>
      <w:r>
        <w:t>progress</w:t>
      </w:r>
      <w:r>
        <w:rPr>
          <w:spacing w:val="-6"/>
        </w:rPr>
        <w:t xml:space="preserve"> </w:t>
      </w:r>
      <w:r>
        <w:t>against</w:t>
      </w:r>
      <w:r>
        <w:rPr>
          <w:spacing w:val="-8"/>
        </w:rPr>
        <w:t xml:space="preserve"> </w:t>
      </w:r>
      <w:r>
        <w:t>the</w:t>
      </w:r>
      <w:r>
        <w:rPr>
          <w:spacing w:val="-8"/>
        </w:rPr>
        <w:t xml:space="preserve"> </w:t>
      </w:r>
      <w:r>
        <w:t>work</w:t>
      </w:r>
      <w:r>
        <w:rPr>
          <w:spacing w:val="-6"/>
        </w:rPr>
        <w:t xml:space="preserve"> </w:t>
      </w:r>
      <w:r>
        <w:t>plan</w:t>
      </w:r>
      <w:r>
        <w:rPr>
          <w:spacing w:val="-9"/>
        </w:rPr>
        <w:t xml:space="preserve"> </w:t>
      </w:r>
      <w:r>
        <w:t>has</w:t>
      </w:r>
      <w:r>
        <w:rPr>
          <w:spacing w:val="-9"/>
        </w:rPr>
        <w:t xml:space="preserve"> </w:t>
      </w:r>
      <w:r>
        <w:t>been</w:t>
      </w:r>
      <w:r>
        <w:rPr>
          <w:spacing w:val="-7"/>
        </w:rPr>
        <w:t xml:space="preserve"> </w:t>
      </w:r>
      <w:r>
        <w:t>uneven,</w:t>
      </w:r>
      <w:r>
        <w:rPr>
          <w:spacing w:val="-6"/>
        </w:rPr>
        <w:t xml:space="preserve"> </w:t>
      </w:r>
      <w:r>
        <w:t>the</w:t>
      </w:r>
      <w:r>
        <w:rPr>
          <w:spacing w:val="-10"/>
        </w:rPr>
        <w:t xml:space="preserve"> </w:t>
      </w:r>
      <w:r>
        <w:t>program</w:t>
      </w:r>
      <w:r>
        <w:rPr>
          <w:spacing w:val="-7"/>
        </w:rPr>
        <w:t xml:space="preserve"> </w:t>
      </w:r>
      <w:r>
        <w:t>remains</w:t>
      </w:r>
      <w:r>
        <w:rPr>
          <w:spacing w:val="-6"/>
        </w:rPr>
        <w:t xml:space="preserve"> </w:t>
      </w:r>
      <w:r>
        <w:t>on</w:t>
      </w:r>
      <w:r>
        <w:rPr>
          <w:spacing w:val="-7"/>
        </w:rPr>
        <w:t xml:space="preserve"> </w:t>
      </w:r>
      <w:r>
        <w:t>track</w:t>
      </w:r>
      <w:r>
        <w:rPr>
          <w:spacing w:val="-6"/>
        </w:rPr>
        <w:t xml:space="preserve"> </w:t>
      </w:r>
      <w:r>
        <w:t>to</w:t>
      </w:r>
      <w:r>
        <w:rPr>
          <w:spacing w:val="-7"/>
        </w:rPr>
        <w:t xml:space="preserve"> </w:t>
      </w:r>
      <w:r>
        <w:t>deliver EOPOs if management actions to sharpen focus, strengthen capacity, and prioritise sustainability are fully implemented.</w:t>
      </w:r>
    </w:p>
    <w:p w14:paraId="3631E76E" w14:textId="77777777" w:rsidR="00BC24A8" w:rsidRDefault="00BC24A8">
      <w:pPr>
        <w:pStyle w:val="BodyText"/>
        <w:spacing w:line="278" w:lineRule="auto"/>
        <w:jc w:val="both"/>
        <w:sectPr w:rsidR="00BC24A8">
          <w:pgSz w:w="11910" w:h="16840"/>
          <w:pgMar w:top="1360" w:right="1133" w:bottom="1100" w:left="1275" w:header="0" w:footer="907" w:gutter="0"/>
          <w:cols w:space="720"/>
        </w:sectPr>
      </w:pPr>
    </w:p>
    <w:p w14:paraId="33883350" w14:textId="77777777" w:rsidR="00BC24A8" w:rsidRDefault="00000000">
      <w:pPr>
        <w:pStyle w:val="Heading1"/>
        <w:jc w:val="both"/>
      </w:pPr>
      <w:bookmarkStart w:id="62" w:name="Gender_Equality"/>
      <w:bookmarkStart w:id="63" w:name="_bookmark39"/>
      <w:bookmarkEnd w:id="62"/>
      <w:bookmarkEnd w:id="63"/>
      <w:r w:rsidRPr="00795364">
        <w:rPr>
          <w:color w:val="00A59C"/>
          <w:spacing w:val="-10"/>
        </w:rPr>
        <w:lastRenderedPageBreak/>
        <w:t>Gender</w:t>
      </w:r>
      <w:r w:rsidRPr="00795364">
        <w:rPr>
          <w:color w:val="00A59C"/>
          <w:spacing w:val="-48"/>
        </w:rPr>
        <w:t xml:space="preserve"> </w:t>
      </w:r>
      <w:r w:rsidRPr="00795364">
        <w:rPr>
          <w:color w:val="00A59C"/>
          <w:spacing w:val="-2"/>
        </w:rPr>
        <w:t>Equality</w:t>
      </w:r>
    </w:p>
    <w:p w14:paraId="0B25616D" w14:textId="77777777" w:rsidR="00BC24A8" w:rsidRDefault="00000000">
      <w:pPr>
        <w:pStyle w:val="BodyText"/>
        <w:spacing w:before="586" w:line="278" w:lineRule="auto"/>
        <w:ind w:left="143" w:right="278"/>
        <w:jc w:val="both"/>
      </w:pPr>
      <w:r>
        <w:t>SKALA’s</w:t>
      </w:r>
      <w:r>
        <w:rPr>
          <w:spacing w:val="-7"/>
        </w:rPr>
        <w:t xml:space="preserve"> </w:t>
      </w:r>
      <w:r>
        <w:t>approach</w:t>
      </w:r>
      <w:r>
        <w:rPr>
          <w:spacing w:val="-7"/>
        </w:rPr>
        <w:t xml:space="preserve"> </w:t>
      </w:r>
      <w:r>
        <w:t>to</w:t>
      </w:r>
      <w:r>
        <w:rPr>
          <w:spacing w:val="-8"/>
        </w:rPr>
        <w:t xml:space="preserve"> </w:t>
      </w:r>
      <w:r>
        <w:t>advancing</w:t>
      </w:r>
      <w:r>
        <w:rPr>
          <w:spacing w:val="-8"/>
        </w:rPr>
        <w:t xml:space="preserve"> </w:t>
      </w:r>
      <w:r>
        <w:t>gender</w:t>
      </w:r>
      <w:r>
        <w:rPr>
          <w:spacing w:val="-7"/>
        </w:rPr>
        <w:t xml:space="preserve"> </w:t>
      </w:r>
      <w:r>
        <w:t>equality</w:t>
      </w:r>
      <w:r>
        <w:rPr>
          <w:spacing w:val="-7"/>
        </w:rPr>
        <w:t xml:space="preserve"> </w:t>
      </w:r>
      <w:r>
        <w:t>focuses</w:t>
      </w:r>
      <w:r>
        <w:rPr>
          <w:spacing w:val="-7"/>
        </w:rPr>
        <w:t xml:space="preserve"> </w:t>
      </w:r>
      <w:r>
        <w:t>on</w:t>
      </w:r>
      <w:r>
        <w:rPr>
          <w:spacing w:val="-7"/>
        </w:rPr>
        <w:t xml:space="preserve"> </w:t>
      </w:r>
      <w:r>
        <w:t>strengthening</w:t>
      </w:r>
      <w:r>
        <w:rPr>
          <w:spacing w:val="-8"/>
        </w:rPr>
        <w:t xml:space="preserve"> </w:t>
      </w:r>
      <w:r>
        <w:t>gender</w:t>
      </w:r>
      <w:r>
        <w:rPr>
          <w:spacing w:val="-10"/>
        </w:rPr>
        <w:t xml:space="preserve"> </w:t>
      </w:r>
      <w:r>
        <w:t>mainstreaming</w:t>
      </w:r>
      <w:r>
        <w:rPr>
          <w:spacing w:val="-8"/>
        </w:rPr>
        <w:t xml:space="preserve"> </w:t>
      </w:r>
      <w:r>
        <w:t>across service</w:t>
      </w:r>
      <w:r>
        <w:rPr>
          <w:spacing w:val="-13"/>
        </w:rPr>
        <w:t xml:space="preserve"> </w:t>
      </w:r>
      <w:r>
        <w:t>delivery-related</w:t>
      </w:r>
      <w:r>
        <w:rPr>
          <w:spacing w:val="-12"/>
        </w:rPr>
        <w:t xml:space="preserve"> </w:t>
      </w:r>
      <w:r>
        <w:t>policy</w:t>
      </w:r>
      <w:r>
        <w:rPr>
          <w:spacing w:val="-13"/>
        </w:rPr>
        <w:t xml:space="preserve"> </w:t>
      </w:r>
      <w:r>
        <w:t>domains</w:t>
      </w:r>
      <w:r>
        <w:rPr>
          <w:spacing w:val="-12"/>
        </w:rPr>
        <w:t xml:space="preserve"> </w:t>
      </w:r>
      <w:r>
        <w:t>and</w:t>
      </w:r>
      <w:r>
        <w:rPr>
          <w:spacing w:val="-13"/>
        </w:rPr>
        <w:t xml:space="preserve"> </w:t>
      </w:r>
      <w:r>
        <w:t>increasing</w:t>
      </w:r>
      <w:r>
        <w:rPr>
          <w:spacing w:val="-12"/>
        </w:rPr>
        <w:t xml:space="preserve"> </w:t>
      </w:r>
      <w:r>
        <w:t>the</w:t>
      </w:r>
      <w:r>
        <w:rPr>
          <w:spacing w:val="-13"/>
        </w:rPr>
        <w:t xml:space="preserve"> </w:t>
      </w:r>
      <w:r>
        <w:t>participation,</w:t>
      </w:r>
      <w:r>
        <w:rPr>
          <w:spacing w:val="-12"/>
        </w:rPr>
        <w:t xml:space="preserve"> </w:t>
      </w:r>
      <w:r>
        <w:t>representation</w:t>
      </w:r>
      <w:r>
        <w:rPr>
          <w:spacing w:val="-12"/>
        </w:rPr>
        <w:t xml:space="preserve"> </w:t>
      </w:r>
      <w:r>
        <w:t>and</w:t>
      </w:r>
      <w:r>
        <w:rPr>
          <w:spacing w:val="-13"/>
        </w:rPr>
        <w:t xml:space="preserve"> </w:t>
      </w:r>
      <w:r>
        <w:t>influence</w:t>
      </w:r>
      <w:r>
        <w:rPr>
          <w:spacing w:val="-12"/>
        </w:rPr>
        <w:t xml:space="preserve"> </w:t>
      </w:r>
      <w:r>
        <w:t>of women and vulnerable groups in planning and budgeting. The first component of SKALA’s gender equality strategy is informed by the EOPO 1 baseline study that assessed the policy coherence of inclusive service delivery policies and institutions. Building on the insights from this study,</w:t>
      </w:r>
      <w:r>
        <w:rPr>
          <w:spacing w:val="-3"/>
        </w:rPr>
        <w:t xml:space="preserve"> </w:t>
      </w:r>
      <w:r>
        <w:t>SKALA provides technical</w:t>
      </w:r>
      <w:r>
        <w:rPr>
          <w:spacing w:val="-6"/>
        </w:rPr>
        <w:t xml:space="preserve"> </w:t>
      </w:r>
      <w:r>
        <w:t>support to GoI strategies</w:t>
      </w:r>
      <w:r>
        <w:rPr>
          <w:spacing w:val="-4"/>
        </w:rPr>
        <w:t xml:space="preserve"> </w:t>
      </w:r>
      <w:r>
        <w:t>for achieving national priorities on gender equality, as set out in the National Medium-Term Development Plan 2025-2029. This includes supporting updates to the national policies (particularly under BAPPENAS, Ministry of Finance and Ministry of Home Affairs) and supporting their coherent implementation across national and subnational government agencies through gender-responsive policies, programs, and activities.</w:t>
      </w:r>
    </w:p>
    <w:p w14:paraId="34175283" w14:textId="77777777" w:rsidR="00BC24A8" w:rsidRDefault="00000000">
      <w:pPr>
        <w:pStyle w:val="BodyText"/>
        <w:spacing w:before="154" w:line="278" w:lineRule="auto"/>
        <w:ind w:left="142" w:right="280"/>
        <w:jc w:val="both"/>
      </w:pPr>
      <w:r>
        <w:t>The</w:t>
      </w:r>
      <w:r>
        <w:rPr>
          <w:spacing w:val="-4"/>
        </w:rPr>
        <w:t xml:space="preserve"> </w:t>
      </w:r>
      <w:r>
        <w:t>second</w:t>
      </w:r>
      <w:r>
        <w:rPr>
          <w:spacing w:val="-5"/>
        </w:rPr>
        <w:t xml:space="preserve"> </w:t>
      </w:r>
      <w:r>
        <w:t>component</w:t>
      </w:r>
      <w:r>
        <w:rPr>
          <w:spacing w:val="-6"/>
        </w:rPr>
        <w:t xml:space="preserve"> </w:t>
      </w:r>
      <w:r>
        <w:t>of</w:t>
      </w:r>
      <w:r>
        <w:rPr>
          <w:spacing w:val="-4"/>
        </w:rPr>
        <w:t xml:space="preserve"> </w:t>
      </w:r>
      <w:r>
        <w:t>the</w:t>
      </w:r>
      <w:r>
        <w:rPr>
          <w:spacing w:val="-4"/>
        </w:rPr>
        <w:t xml:space="preserve"> </w:t>
      </w:r>
      <w:r>
        <w:t>strategy</w:t>
      </w:r>
      <w:r>
        <w:rPr>
          <w:spacing w:val="-3"/>
        </w:rPr>
        <w:t xml:space="preserve"> </w:t>
      </w:r>
      <w:r>
        <w:t>is</w:t>
      </w:r>
      <w:r>
        <w:rPr>
          <w:spacing w:val="-4"/>
        </w:rPr>
        <w:t xml:space="preserve"> </w:t>
      </w:r>
      <w:r>
        <w:t>underpinned</w:t>
      </w:r>
      <w:r>
        <w:rPr>
          <w:spacing w:val="-5"/>
        </w:rPr>
        <w:t xml:space="preserve"> </w:t>
      </w:r>
      <w:r>
        <w:t>by</w:t>
      </w:r>
      <w:r>
        <w:rPr>
          <w:spacing w:val="-3"/>
        </w:rPr>
        <w:t xml:space="preserve"> </w:t>
      </w:r>
      <w:r>
        <w:t>the</w:t>
      </w:r>
      <w:r>
        <w:rPr>
          <w:spacing w:val="-4"/>
        </w:rPr>
        <w:t xml:space="preserve"> </w:t>
      </w:r>
      <w:r>
        <w:t>analytical</w:t>
      </w:r>
      <w:r>
        <w:rPr>
          <w:spacing w:val="-4"/>
        </w:rPr>
        <w:t xml:space="preserve"> </w:t>
      </w:r>
      <w:r>
        <w:t>findings</w:t>
      </w:r>
      <w:r>
        <w:rPr>
          <w:spacing w:val="-4"/>
        </w:rPr>
        <w:t xml:space="preserve"> </w:t>
      </w:r>
      <w:r>
        <w:t>of</w:t>
      </w:r>
      <w:r>
        <w:rPr>
          <w:spacing w:val="-6"/>
        </w:rPr>
        <w:t xml:space="preserve"> </w:t>
      </w:r>
      <w:r>
        <w:t>the</w:t>
      </w:r>
      <w:r>
        <w:rPr>
          <w:spacing w:val="-4"/>
        </w:rPr>
        <w:t xml:space="preserve"> </w:t>
      </w:r>
      <w:r>
        <w:t>EOPO</w:t>
      </w:r>
      <w:r>
        <w:rPr>
          <w:spacing w:val="-6"/>
        </w:rPr>
        <w:t xml:space="preserve"> </w:t>
      </w:r>
      <w:r>
        <w:t>3</w:t>
      </w:r>
      <w:r>
        <w:rPr>
          <w:spacing w:val="-4"/>
        </w:rPr>
        <w:t xml:space="preserve"> </w:t>
      </w:r>
      <w:r>
        <w:t xml:space="preserve">baseline </w:t>
      </w:r>
      <w:r>
        <w:rPr>
          <w:spacing w:val="-2"/>
        </w:rPr>
        <w:t>study</w:t>
      </w:r>
      <w:r>
        <w:rPr>
          <w:spacing w:val="-4"/>
        </w:rPr>
        <w:t xml:space="preserve"> </w:t>
      </w:r>
      <w:r>
        <w:rPr>
          <w:spacing w:val="-2"/>
        </w:rPr>
        <w:t>that</w:t>
      </w:r>
      <w:r>
        <w:rPr>
          <w:spacing w:val="-5"/>
        </w:rPr>
        <w:t xml:space="preserve"> </w:t>
      </w:r>
      <w:r>
        <w:rPr>
          <w:spacing w:val="-2"/>
        </w:rPr>
        <w:t>characterised</w:t>
      </w:r>
      <w:r>
        <w:rPr>
          <w:spacing w:val="-4"/>
        </w:rPr>
        <w:t xml:space="preserve"> </w:t>
      </w:r>
      <w:r>
        <w:rPr>
          <w:spacing w:val="-2"/>
        </w:rPr>
        <w:t>the</w:t>
      </w:r>
      <w:r>
        <w:rPr>
          <w:spacing w:val="-9"/>
        </w:rPr>
        <w:t xml:space="preserve"> </w:t>
      </w:r>
      <w:r>
        <w:rPr>
          <w:spacing w:val="-2"/>
        </w:rPr>
        <w:t>current</w:t>
      </w:r>
      <w:r>
        <w:rPr>
          <w:spacing w:val="-5"/>
        </w:rPr>
        <w:t xml:space="preserve"> </w:t>
      </w:r>
      <w:r>
        <w:rPr>
          <w:spacing w:val="-2"/>
        </w:rPr>
        <w:t>system</w:t>
      </w:r>
      <w:r>
        <w:rPr>
          <w:spacing w:val="-4"/>
        </w:rPr>
        <w:t xml:space="preserve"> </w:t>
      </w:r>
      <w:r>
        <w:rPr>
          <w:spacing w:val="-2"/>
        </w:rPr>
        <w:t>for</w:t>
      </w:r>
      <w:r>
        <w:rPr>
          <w:spacing w:val="-4"/>
        </w:rPr>
        <w:t xml:space="preserve"> </w:t>
      </w:r>
      <w:r>
        <w:rPr>
          <w:spacing w:val="-2"/>
        </w:rPr>
        <w:t>facilitating</w:t>
      </w:r>
      <w:r>
        <w:rPr>
          <w:spacing w:val="-5"/>
        </w:rPr>
        <w:t xml:space="preserve"> </w:t>
      </w:r>
      <w:r>
        <w:rPr>
          <w:spacing w:val="-2"/>
        </w:rPr>
        <w:t>vulnerable</w:t>
      </w:r>
      <w:r>
        <w:rPr>
          <w:spacing w:val="-6"/>
        </w:rPr>
        <w:t xml:space="preserve"> </w:t>
      </w:r>
      <w:r>
        <w:rPr>
          <w:spacing w:val="-2"/>
        </w:rPr>
        <w:t>groups</w:t>
      </w:r>
      <w:r>
        <w:rPr>
          <w:spacing w:val="-4"/>
        </w:rPr>
        <w:t xml:space="preserve"> </w:t>
      </w:r>
      <w:r>
        <w:rPr>
          <w:spacing w:val="-2"/>
        </w:rPr>
        <w:t>to</w:t>
      </w:r>
      <w:r>
        <w:rPr>
          <w:spacing w:val="-5"/>
        </w:rPr>
        <w:t xml:space="preserve"> </w:t>
      </w:r>
      <w:r>
        <w:rPr>
          <w:spacing w:val="-2"/>
        </w:rPr>
        <w:t>engage</w:t>
      </w:r>
      <w:r>
        <w:rPr>
          <w:spacing w:val="-6"/>
        </w:rPr>
        <w:t xml:space="preserve"> </w:t>
      </w:r>
      <w:r>
        <w:rPr>
          <w:spacing w:val="-2"/>
        </w:rPr>
        <w:t>with</w:t>
      </w:r>
      <w:r>
        <w:rPr>
          <w:spacing w:val="-4"/>
        </w:rPr>
        <w:t xml:space="preserve"> </w:t>
      </w:r>
      <w:r>
        <w:rPr>
          <w:spacing w:val="-2"/>
        </w:rPr>
        <w:t xml:space="preserve">government </w:t>
      </w:r>
      <w:r>
        <w:t xml:space="preserve">decision-making processes as “high-trust but low-functioning,” with participation often symbolic and </w:t>
      </w:r>
      <w:r>
        <w:rPr>
          <w:spacing w:val="-2"/>
        </w:rPr>
        <w:t>fragmented. The</w:t>
      </w:r>
      <w:r>
        <w:rPr>
          <w:spacing w:val="-6"/>
        </w:rPr>
        <w:t xml:space="preserve"> </w:t>
      </w:r>
      <w:r>
        <w:rPr>
          <w:spacing w:val="-2"/>
        </w:rPr>
        <w:t>investment, therefore,</w:t>
      </w:r>
      <w:r>
        <w:rPr>
          <w:spacing w:val="-4"/>
        </w:rPr>
        <w:t xml:space="preserve"> </w:t>
      </w:r>
      <w:r>
        <w:rPr>
          <w:spacing w:val="-2"/>
        </w:rPr>
        <w:t>prioritises</w:t>
      </w:r>
      <w:r>
        <w:rPr>
          <w:spacing w:val="-4"/>
        </w:rPr>
        <w:t xml:space="preserve"> </w:t>
      </w:r>
      <w:r>
        <w:rPr>
          <w:spacing w:val="-2"/>
        </w:rPr>
        <w:t>addressing</w:t>
      </w:r>
      <w:r>
        <w:rPr>
          <w:spacing w:val="-5"/>
        </w:rPr>
        <w:t xml:space="preserve"> </w:t>
      </w:r>
      <w:r>
        <w:rPr>
          <w:spacing w:val="-2"/>
        </w:rPr>
        <w:t>systemic</w:t>
      </w:r>
      <w:r>
        <w:rPr>
          <w:spacing w:val="-3"/>
        </w:rPr>
        <w:t xml:space="preserve"> </w:t>
      </w:r>
      <w:r>
        <w:rPr>
          <w:spacing w:val="-2"/>
        </w:rPr>
        <w:t>barriers that</w:t>
      </w:r>
      <w:r>
        <w:rPr>
          <w:spacing w:val="-3"/>
        </w:rPr>
        <w:t xml:space="preserve"> </w:t>
      </w:r>
      <w:r>
        <w:rPr>
          <w:spacing w:val="-2"/>
        </w:rPr>
        <w:t>prevent</w:t>
      </w:r>
      <w:r>
        <w:rPr>
          <w:spacing w:val="-5"/>
        </w:rPr>
        <w:t xml:space="preserve"> </w:t>
      </w:r>
      <w:r>
        <w:rPr>
          <w:spacing w:val="-2"/>
        </w:rPr>
        <w:t>women</w:t>
      </w:r>
      <w:r>
        <w:rPr>
          <w:spacing w:val="-4"/>
        </w:rPr>
        <w:t xml:space="preserve"> </w:t>
      </w:r>
      <w:r>
        <w:rPr>
          <w:spacing w:val="-2"/>
        </w:rPr>
        <w:t xml:space="preserve">and </w:t>
      </w:r>
      <w:r>
        <w:t>marginalised groups from meaningfully influencing service delivery.</w:t>
      </w:r>
    </w:p>
    <w:p w14:paraId="7DC5431A" w14:textId="77777777" w:rsidR="00BC24A8" w:rsidRDefault="00000000">
      <w:pPr>
        <w:pStyle w:val="BodyText"/>
        <w:spacing w:before="158" w:line="278" w:lineRule="auto"/>
        <w:ind w:left="143" w:right="279"/>
        <w:jc w:val="both"/>
      </w:pPr>
      <w:r>
        <w:t>Context and Problems Addressed. Analysis identified several persistent barriers. Civil society organisations (CSOs), while recognised as key partners, often lack the technical capacity to engage effectively in policy monitoring, long-term planning, budget formulation, and impact evaluation. Women’s</w:t>
      </w:r>
      <w:r>
        <w:rPr>
          <w:spacing w:val="-7"/>
        </w:rPr>
        <w:t xml:space="preserve"> </w:t>
      </w:r>
      <w:r>
        <w:t>and</w:t>
      </w:r>
      <w:r>
        <w:rPr>
          <w:spacing w:val="-10"/>
        </w:rPr>
        <w:t xml:space="preserve"> </w:t>
      </w:r>
      <w:r>
        <w:t>disability</w:t>
      </w:r>
      <w:r>
        <w:rPr>
          <w:spacing w:val="-7"/>
        </w:rPr>
        <w:t xml:space="preserve"> </w:t>
      </w:r>
      <w:r>
        <w:t>groups</w:t>
      </w:r>
      <w:r>
        <w:rPr>
          <w:spacing w:val="-7"/>
        </w:rPr>
        <w:t xml:space="preserve"> </w:t>
      </w:r>
      <w:r>
        <w:t>in</w:t>
      </w:r>
      <w:r>
        <w:rPr>
          <w:spacing w:val="-10"/>
        </w:rPr>
        <w:t xml:space="preserve"> </w:t>
      </w:r>
      <w:r>
        <w:t>particular</w:t>
      </w:r>
      <w:r>
        <w:rPr>
          <w:spacing w:val="-10"/>
        </w:rPr>
        <w:t xml:space="preserve"> </w:t>
      </w:r>
      <w:r>
        <w:t>have</w:t>
      </w:r>
      <w:r>
        <w:rPr>
          <w:spacing w:val="-9"/>
        </w:rPr>
        <w:t xml:space="preserve"> </w:t>
      </w:r>
      <w:r>
        <w:t>struggled</w:t>
      </w:r>
      <w:r>
        <w:rPr>
          <w:spacing w:val="-7"/>
        </w:rPr>
        <w:t xml:space="preserve"> </w:t>
      </w:r>
      <w:r>
        <w:t>to</w:t>
      </w:r>
      <w:r>
        <w:rPr>
          <w:spacing w:val="-8"/>
        </w:rPr>
        <w:t xml:space="preserve"> </w:t>
      </w:r>
      <w:r>
        <w:t>convert</w:t>
      </w:r>
      <w:r>
        <w:rPr>
          <w:spacing w:val="-8"/>
        </w:rPr>
        <w:t xml:space="preserve"> </w:t>
      </w:r>
      <w:r>
        <w:t>advocacy</w:t>
      </w:r>
      <w:r>
        <w:rPr>
          <w:spacing w:val="-7"/>
        </w:rPr>
        <w:t xml:space="preserve"> </w:t>
      </w:r>
      <w:r>
        <w:t>into</w:t>
      </w:r>
      <w:r>
        <w:rPr>
          <w:spacing w:val="-8"/>
        </w:rPr>
        <w:t xml:space="preserve"> </w:t>
      </w:r>
      <w:r>
        <w:t>concrete</w:t>
      </w:r>
      <w:r>
        <w:rPr>
          <w:spacing w:val="-9"/>
        </w:rPr>
        <w:t xml:space="preserve"> </w:t>
      </w:r>
      <w:r>
        <w:t>proposals within formal budgeting processes, such as SIPD-RI. Participation in Musrenbang forums is frequently tokenistic, lacking structured consultation mechanisms, while CSOs face difficulties accessing government data needed for evidence-based advocacy. At the same time, limited government commitment to GEDSI frameworks and weak coordination between central ministries have impeded inclusive policy implementation.</w:t>
      </w:r>
    </w:p>
    <w:p w14:paraId="13AC42A5" w14:textId="77777777" w:rsidR="00BC24A8" w:rsidRDefault="00000000">
      <w:pPr>
        <w:pStyle w:val="BodyText"/>
        <w:spacing w:before="156" w:line="278" w:lineRule="auto"/>
        <w:ind w:left="142" w:right="280"/>
        <w:jc w:val="both"/>
      </w:pPr>
      <w:r>
        <w:t>How Analysis Informs the Investment. In response, SKALA has shifted its engagement model from ad- hoc consultation towards institutionalised, data-driven collaboration. Strategic partnerships, such as with Seknas FITRA, have been mobilised to</w:t>
      </w:r>
      <w:r>
        <w:rPr>
          <w:spacing w:val="-1"/>
        </w:rPr>
        <w:t xml:space="preserve"> </w:t>
      </w:r>
      <w:r>
        <w:t>build CSO capacity in evidence-based advocacy and</w:t>
      </w:r>
      <w:r>
        <w:rPr>
          <w:spacing w:val="-1"/>
        </w:rPr>
        <w:t xml:space="preserve"> </w:t>
      </w:r>
      <w:r>
        <w:t>budget analysis. Technical assistance supports both government and CSOs in strengthening inclusive planning and budgeting forums, ensuring they evolve from symbolic platforms into functioning mechanisms for decision-making. At the same time, SKALA has facilitated CSO access to disaggregated datasets (e.g., REGSOSEK,</w:t>
      </w:r>
      <w:r>
        <w:rPr>
          <w:spacing w:val="-3"/>
        </w:rPr>
        <w:t xml:space="preserve"> </w:t>
      </w:r>
      <w:r>
        <w:t>GEDSI</w:t>
      </w:r>
      <w:r>
        <w:rPr>
          <w:spacing w:val="-3"/>
        </w:rPr>
        <w:t xml:space="preserve"> </w:t>
      </w:r>
      <w:r>
        <w:t>tagging,</w:t>
      </w:r>
      <w:r>
        <w:rPr>
          <w:spacing w:val="-3"/>
        </w:rPr>
        <w:t xml:space="preserve"> </w:t>
      </w:r>
      <w:r>
        <w:t>MSS</w:t>
      </w:r>
      <w:r>
        <w:rPr>
          <w:spacing w:val="-1"/>
        </w:rPr>
        <w:t xml:space="preserve"> </w:t>
      </w:r>
      <w:r>
        <w:t>data)</w:t>
      </w:r>
      <w:r>
        <w:rPr>
          <w:spacing w:val="-3"/>
        </w:rPr>
        <w:t xml:space="preserve"> </w:t>
      </w:r>
      <w:r>
        <w:t>and</w:t>
      </w:r>
      <w:r>
        <w:rPr>
          <w:spacing w:val="-1"/>
        </w:rPr>
        <w:t xml:space="preserve"> </w:t>
      </w:r>
      <w:r>
        <w:t>built</w:t>
      </w:r>
      <w:r>
        <w:rPr>
          <w:spacing w:val="-2"/>
        </w:rPr>
        <w:t xml:space="preserve"> </w:t>
      </w:r>
      <w:r>
        <w:t>capacity</w:t>
      </w:r>
      <w:r>
        <w:rPr>
          <w:spacing w:val="-1"/>
        </w:rPr>
        <w:t xml:space="preserve"> </w:t>
      </w:r>
      <w:r>
        <w:t>to</w:t>
      </w:r>
      <w:r>
        <w:rPr>
          <w:spacing w:val="-2"/>
        </w:rPr>
        <w:t xml:space="preserve"> </w:t>
      </w:r>
      <w:r>
        <w:t>analyse</w:t>
      </w:r>
      <w:r>
        <w:rPr>
          <w:spacing w:val="-3"/>
        </w:rPr>
        <w:t xml:space="preserve"> </w:t>
      </w:r>
      <w:r>
        <w:t>and</w:t>
      </w:r>
      <w:r>
        <w:rPr>
          <w:spacing w:val="-1"/>
        </w:rPr>
        <w:t xml:space="preserve"> </w:t>
      </w:r>
      <w:r>
        <w:t>apply</w:t>
      </w:r>
      <w:r>
        <w:rPr>
          <w:spacing w:val="-1"/>
        </w:rPr>
        <w:t xml:space="preserve"> </w:t>
      </w:r>
      <w:r>
        <w:t>this</w:t>
      </w:r>
      <w:r>
        <w:rPr>
          <w:spacing w:val="-3"/>
        </w:rPr>
        <w:t xml:space="preserve"> </w:t>
      </w:r>
      <w:r>
        <w:t>evidence</w:t>
      </w:r>
      <w:r>
        <w:rPr>
          <w:spacing w:val="-3"/>
        </w:rPr>
        <w:t xml:space="preserve"> </w:t>
      </w:r>
      <w:r>
        <w:t>in</w:t>
      </w:r>
      <w:r>
        <w:rPr>
          <w:spacing w:val="-1"/>
        </w:rPr>
        <w:t xml:space="preserve"> </w:t>
      </w:r>
      <w:r>
        <w:t>advocacy.</w:t>
      </w:r>
    </w:p>
    <w:p w14:paraId="528573B4" w14:textId="77777777" w:rsidR="00BC24A8" w:rsidRDefault="00000000">
      <w:pPr>
        <w:pStyle w:val="BodyText"/>
        <w:spacing w:before="157" w:line="278" w:lineRule="auto"/>
        <w:ind w:left="143" w:right="280"/>
        <w:jc w:val="both"/>
      </w:pPr>
      <w:r>
        <w:t>Risks and Barriers. Risks for women in program activities include tokenistic involvement without influence,</w:t>
      </w:r>
      <w:r>
        <w:rPr>
          <w:spacing w:val="-4"/>
        </w:rPr>
        <w:t xml:space="preserve"> </w:t>
      </w:r>
      <w:r>
        <w:t>exclusion</w:t>
      </w:r>
      <w:r>
        <w:rPr>
          <w:spacing w:val="-6"/>
        </w:rPr>
        <w:t xml:space="preserve"> </w:t>
      </w:r>
      <w:r>
        <w:t>due</w:t>
      </w:r>
      <w:r>
        <w:rPr>
          <w:spacing w:val="-7"/>
        </w:rPr>
        <w:t xml:space="preserve"> </w:t>
      </w:r>
      <w:r>
        <w:t>to</w:t>
      </w:r>
      <w:r>
        <w:rPr>
          <w:spacing w:val="-6"/>
        </w:rPr>
        <w:t xml:space="preserve"> </w:t>
      </w:r>
      <w:r>
        <w:t>technical</w:t>
      </w:r>
      <w:r>
        <w:rPr>
          <w:spacing w:val="-6"/>
        </w:rPr>
        <w:t xml:space="preserve"> </w:t>
      </w:r>
      <w:r>
        <w:t>barriers,</w:t>
      </w:r>
      <w:r>
        <w:rPr>
          <w:spacing w:val="-4"/>
        </w:rPr>
        <w:t xml:space="preserve"> </w:t>
      </w:r>
      <w:r>
        <w:t>and</w:t>
      </w:r>
      <w:r>
        <w:rPr>
          <w:spacing w:val="-4"/>
        </w:rPr>
        <w:t xml:space="preserve"> </w:t>
      </w:r>
      <w:r>
        <w:t>entrenched</w:t>
      </w:r>
      <w:r>
        <w:rPr>
          <w:spacing w:val="-6"/>
        </w:rPr>
        <w:t xml:space="preserve"> </w:t>
      </w:r>
      <w:r>
        <w:t>social</w:t>
      </w:r>
      <w:r>
        <w:rPr>
          <w:spacing w:val="-6"/>
        </w:rPr>
        <w:t xml:space="preserve"> </w:t>
      </w:r>
      <w:r>
        <w:t>norms</w:t>
      </w:r>
      <w:r>
        <w:rPr>
          <w:spacing w:val="-4"/>
        </w:rPr>
        <w:t xml:space="preserve"> </w:t>
      </w:r>
      <w:r>
        <w:t>that</w:t>
      </w:r>
      <w:r>
        <w:rPr>
          <w:spacing w:val="-5"/>
        </w:rPr>
        <w:t xml:space="preserve"> </w:t>
      </w:r>
      <w:r>
        <w:t>limit</w:t>
      </w:r>
      <w:r>
        <w:rPr>
          <w:spacing w:val="-5"/>
        </w:rPr>
        <w:t xml:space="preserve"> </w:t>
      </w:r>
      <w:r>
        <w:t>their</w:t>
      </w:r>
      <w:r>
        <w:rPr>
          <w:spacing w:val="-6"/>
        </w:rPr>
        <w:t xml:space="preserve"> </w:t>
      </w:r>
      <w:r>
        <w:t>voice.</w:t>
      </w:r>
      <w:r>
        <w:rPr>
          <w:spacing w:val="-6"/>
        </w:rPr>
        <w:t xml:space="preserve"> </w:t>
      </w:r>
      <w:r>
        <w:t>SKALA addresses these risks by institutionalising inclusive forums through governor regulations and decrees, supporting CSOs to present structured evidence-based recommendations, and strengthening monitoring of how recommendations are integrated into planning documents. Early evidence shows these</w:t>
      </w:r>
      <w:r>
        <w:rPr>
          <w:spacing w:val="-8"/>
        </w:rPr>
        <w:t xml:space="preserve"> </w:t>
      </w:r>
      <w:r>
        <w:t>barriers</w:t>
      </w:r>
      <w:r>
        <w:rPr>
          <w:spacing w:val="-8"/>
        </w:rPr>
        <w:t xml:space="preserve"> </w:t>
      </w:r>
      <w:r>
        <w:t>are</w:t>
      </w:r>
      <w:r>
        <w:rPr>
          <w:spacing w:val="-8"/>
        </w:rPr>
        <w:t xml:space="preserve"> </w:t>
      </w:r>
      <w:r>
        <w:t>being</w:t>
      </w:r>
      <w:r>
        <w:rPr>
          <w:spacing w:val="-10"/>
        </w:rPr>
        <w:t xml:space="preserve"> </w:t>
      </w:r>
      <w:r>
        <w:t>reduced:</w:t>
      </w:r>
      <w:r>
        <w:rPr>
          <w:spacing w:val="-7"/>
        </w:rPr>
        <w:t xml:space="preserve"> </w:t>
      </w:r>
      <w:r>
        <w:t>for</w:t>
      </w:r>
      <w:r>
        <w:rPr>
          <w:spacing w:val="-9"/>
        </w:rPr>
        <w:t xml:space="preserve"> </w:t>
      </w:r>
      <w:r>
        <w:t>example,</w:t>
      </w:r>
      <w:r>
        <w:rPr>
          <w:spacing w:val="-8"/>
        </w:rPr>
        <w:t xml:space="preserve"> </w:t>
      </w:r>
      <w:r>
        <w:t>in</w:t>
      </w:r>
      <w:r>
        <w:rPr>
          <w:spacing w:val="-9"/>
        </w:rPr>
        <w:t xml:space="preserve"> </w:t>
      </w:r>
      <w:r>
        <w:t>NTT</w:t>
      </w:r>
      <w:r>
        <w:rPr>
          <w:spacing w:val="-8"/>
        </w:rPr>
        <w:t xml:space="preserve"> </w:t>
      </w:r>
      <w:r>
        <w:t>and</w:t>
      </w:r>
      <w:r>
        <w:rPr>
          <w:spacing w:val="-9"/>
        </w:rPr>
        <w:t xml:space="preserve"> </w:t>
      </w:r>
      <w:r>
        <w:t>Gorontalo,</w:t>
      </w:r>
      <w:r>
        <w:rPr>
          <w:spacing w:val="-8"/>
        </w:rPr>
        <w:t xml:space="preserve"> </w:t>
      </w:r>
      <w:r>
        <w:t>women’s</w:t>
      </w:r>
      <w:r>
        <w:rPr>
          <w:spacing w:val="-8"/>
        </w:rPr>
        <w:t xml:space="preserve"> </w:t>
      </w:r>
      <w:r>
        <w:t>organisations</w:t>
      </w:r>
      <w:r>
        <w:rPr>
          <w:spacing w:val="-6"/>
        </w:rPr>
        <w:t xml:space="preserve"> </w:t>
      </w:r>
      <w:r>
        <w:t>and</w:t>
      </w:r>
      <w:r>
        <w:rPr>
          <w:spacing w:val="-9"/>
        </w:rPr>
        <w:t xml:space="preserve"> </w:t>
      </w:r>
      <w:r>
        <w:t>OPDIs</w:t>
      </w:r>
    </w:p>
    <w:p w14:paraId="64B4B055" w14:textId="77777777" w:rsidR="00BC24A8" w:rsidRDefault="00BC24A8">
      <w:pPr>
        <w:pStyle w:val="BodyText"/>
        <w:spacing w:line="278" w:lineRule="auto"/>
        <w:jc w:val="both"/>
        <w:sectPr w:rsidR="00BC24A8">
          <w:pgSz w:w="11910" w:h="16840"/>
          <w:pgMar w:top="1320" w:right="1133" w:bottom="1100" w:left="1275" w:header="0" w:footer="907" w:gutter="0"/>
          <w:cols w:space="720"/>
        </w:sectPr>
      </w:pPr>
    </w:p>
    <w:p w14:paraId="02DD94F5" w14:textId="77777777" w:rsidR="00BC24A8" w:rsidRDefault="00000000">
      <w:pPr>
        <w:pStyle w:val="BodyText"/>
        <w:spacing w:before="39" w:line="276" w:lineRule="auto"/>
        <w:ind w:left="143" w:right="278"/>
        <w:jc w:val="both"/>
      </w:pPr>
      <w:r>
        <w:lastRenderedPageBreak/>
        <w:t>successfully influenced draft RPJMD priorities, while in Aceh, SKALA supported enactment of a Qanun on Women’s Rights, enhancing legal protections.</w:t>
      </w:r>
    </w:p>
    <w:p w14:paraId="09A839F3" w14:textId="77777777" w:rsidR="00BC24A8" w:rsidRDefault="00000000">
      <w:pPr>
        <w:pStyle w:val="BodyText"/>
        <w:spacing w:before="165" w:line="278" w:lineRule="auto"/>
        <w:ind w:left="143" w:right="280"/>
        <w:jc w:val="both"/>
      </w:pPr>
      <w:r>
        <w:t>Through this combined focus on capacity, institutionalisation, and data integration, SKALA is reducing barriers to participation and enabling women and vulnerable groups to engage more meaningfully in governance. This not only advances gender equality but also strengthens the continued relevance and sustainability of inclusive service delivery reforms.</w:t>
      </w:r>
    </w:p>
    <w:p w14:paraId="15C3C293" w14:textId="77777777" w:rsidR="00BC24A8" w:rsidRDefault="00BC24A8">
      <w:pPr>
        <w:pStyle w:val="BodyText"/>
        <w:spacing w:line="278" w:lineRule="auto"/>
        <w:jc w:val="both"/>
        <w:sectPr w:rsidR="00BC24A8">
          <w:pgSz w:w="11910" w:h="16840"/>
          <w:pgMar w:top="1360" w:right="1133" w:bottom="1100" w:left="1275" w:header="0" w:footer="907" w:gutter="0"/>
          <w:cols w:space="720"/>
        </w:sectPr>
      </w:pPr>
    </w:p>
    <w:p w14:paraId="120C3AB7" w14:textId="77777777" w:rsidR="00BC24A8" w:rsidRDefault="00000000">
      <w:pPr>
        <w:pStyle w:val="Heading1"/>
        <w:jc w:val="both"/>
      </w:pPr>
      <w:bookmarkStart w:id="64" w:name="Disability_Equity"/>
      <w:bookmarkStart w:id="65" w:name="_bookmark40"/>
      <w:bookmarkEnd w:id="64"/>
      <w:bookmarkEnd w:id="65"/>
      <w:r w:rsidRPr="00795364">
        <w:rPr>
          <w:color w:val="00A59C"/>
          <w:spacing w:val="-2"/>
        </w:rPr>
        <w:lastRenderedPageBreak/>
        <w:t>Disability</w:t>
      </w:r>
      <w:r w:rsidRPr="00795364">
        <w:rPr>
          <w:color w:val="00A59C"/>
          <w:spacing w:val="-58"/>
        </w:rPr>
        <w:t xml:space="preserve"> </w:t>
      </w:r>
      <w:r w:rsidRPr="00795364">
        <w:rPr>
          <w:color w:val="00A59C"/>
          <w:spacing w:val="-2"/>
        </w:rPr>
        <w:t>Equity</w:t>
      </w:r>
    </w:p>
    <w:p w14:paraId="7A354758" w14:textId="77777777" w:rsidR="00BC24A8" w:rsidRDefault="00000000">
      <w:pPr>
        <w:pStyle w:val="BodyText"/>
        <w:spacing w:before="586" w:line="278" w:lineRule="auto"/>
        <w:ind w:left="143" w:right="281"/>
        <w:jc w:val="both"/>
      </w:pPr>
      <w:r>
        <w:t>The promotion of Disability Equity (DE) is central to SKALA’s logic, encapsulated in End of Program Outcome 3 (EOPO 3): Greater participation, representation and influence of women, people with disabilities and other vulnerable groups.</w:t>
      </w:r>
    </w:p>
    <w:p w14:paraId="68FF00C0" w14:textId="77777777" w:rsidR="00BC24A8" w:rsidRDefault="00000000">
      <w:pPr>
        <w:pStyle w:val="Heading4"/>
        <w:spacing w:before="160"/>
        <w:jc w:val="both"/>
      </w:pPr>
      <w:bookmarkStart w:id="66" w:name="Context_Underpinning_the_Approach_and_In"/>
      <w:bookmarkStart w:id="67" w:name="_bookmark41"/>
      <w:bookmarkEnd w:id="66"/>
      <w:bookmarkEnd w:id="67"/>
      <w:r>
        <w:rPr>
          <w:color w:val="17365A"/>
          <w:spacing w:val="-4"/>
        </w:rPr>
        <w:t>Context</w:t>
      </w:r>
      <w:r>
        <w:rPr>
          <w:color w:val="17365A"/>
          <w:spacing w:val="-26"/>
        </w:rPr>
        <w:t xml:space="preserve"> </w:t>
      </w:r>
      <w:r>
        <w:rPr>
          <w:color w:val="17365A"/>
          <w:spacing w:val="-4"/>
        </w:rPr>
        <w:t>Underpinning</w:t>
      </w:r>
      <w:r>
        <w:rPr>
          <w:color w:val="17365A"/>
          <w:spacing w:val="-26"/>
        </w:rPr>
        <w:t xml:space="preserve"> </w:t>
      </w:r>
      <w:r>
        <w:rPr>
          <w:color w:val="17365A"/>
          <w:spacing w:val="-4"/>
        </w:rPr>
        <w:t>the</w:t>
      </w:r>
      <w:r>
        <w:rPr>
          <w:color w:val="17365A"/>
          <w:spacing w:val="-29"/>
        </w:rPr>
        <w:t xml:space="preserve"> </w:t>
      </w:r>
      <w:r>
        <w:rPr>
          <w:color w:val="17365A"/>
          <w:spacing w:val="-4"/>
        </w:rPr>
        <w:t>Approach</w:t>
      </w:r>
      <w:r>
        <w:rPr>
          <w:color w:val="17365A"/>
          <w:spacing w:val="-28"/>
        </w:rPr>
        <w:t xml:space="preserve"> </w:t>
      </w:r>
      <w:r>
        <w:rPr>
          <w:color w:val="17365A"/>
          <w:spacing w:val="-4"/>
        </w:rPr>
        <w:t>and</w:t>
      </w:r>
      <w:r>
        <w:rPr>
          <w:color w:val="17365A"/>
          <w:spacing w:val="-26"/>
        </w:rPr>
        <w:t xml:space="preserve"> </w:t>
      </w:r>
      <w:r>
        <w:rPr>
          <w:color w:val="17365A"/>
          <w:spacing w:val="-4"/>
        </w:rPr>
        <w:t>Informed</w:t>
      </w:r>
      <w:r>
        <w:rPr>
          <w:color w:val="17365A"/>
          <w:spacing w:val="-28"/>
        </w:rPr>
        <w:t xml:space="preserve"> </w:t>
      </w:r>
      <w:r>
        <w:rPr>
          <w:color w:val="17365A"/>
          <w:spacing w:val="-4"/>
        </w:rPr>
        <w:t>Investment</w:t>
      </w:r>
    </w:p>
    <w:p w14:paraId="19CCBF10" w14:textId="77777777" w:rsidR="00BC24A8" w:rsidRDefault="00000000">
      <w:pPr>
        <w:pStyle w:val="BodyText"/>
        <w:spacing w:before="256" w:line="278" w:lineRule="auto"/>
        <w:ind w:left="143" w:right="279"/>
        <w:jc w:val="both"/>
      </w:pPr>
      <w:r>
        <w:t>The</w:t>
      </w:r>
      <w:r>
        <w:rPr>
          <w:spacing w:val="-6"/>
        </w:rPr>
        <w:t xml:space="preserve"> </w:t>
      </w:r>
      <w:r>
        <w:t>approach</w:t>
      </w:r>
      <w:r>
        <w:rPr>
          <w:spacing w:val="-7"/>
        </w:rPr>
        <w:t xml:space="preserve"> </w:t>
      </w:r>
      <w:r>
        <w:t>to</w:t>
      </w:r>
      <w:r>
        <w:rPr>
          <w:spacing w:val="-5"/>
        </w:rPr>
        <w:t xml:space="preserve"> </w:t>
      </w:r>
      <w:r>
        <w:t>advancing</w:t>
      </w:r>
      <w:r>
        <w:rPr>
          <w:spacing w:val="-8"/>
        </w:rPr>
        <w:t xml:space="preserve"> </w:t>
      </w:r>
      <w:r>
        <w:t>DE</w:t>
      </w:r>
      <w:r>
        <w:rPr>
          <w:spacing w:val="-5"/>
        </w:rPr>
        <w:t xml:space="preserve"> </w:t>
      </w:r>
      <w:r>
        <w:t>objectives</w:t>
      </w:r>
      <w:r>
        <w:rPr>
          <w:spacing w:val="-7"/>
        </w:rPr>
        <w:t xml:space="preserve"> </w:t>
      </w:r>
      <w:r>
        <w:t>is</w:t>
      </w:r>
      <w:r>
        <w:rPr>
          <w:spacing w:val="-7"/>
        </w:rPr>
        <w:t xml:space="preserve"> </w:t>
      </w:r>
      <w:r>
        <w:t>directly</w:t>
      </w:r>
      <w:r>
        <w:rPr>
          <w:spacing w:val="-4"/>
        </w:rPr>
        <w:t xml:space="preserve"> </w:t>
      </w:r>
      <w:r>
        <w:t>underpinned</w:t>
      </w:r>
      <w:r>
        <w:rPr>
          <w:spacing w:val="-5"/>
        </w:rPr>
        <w:t xml:space="preserve"> </w:t>
      </w:r>
      <w:r>
        <w:t>by</w:t>
      </w:r>
      <w:r>
        <w:rPr>
          <w:spacing w:val="-4"/>
        </w:rPr>
        <w:t xml:space="preserve"> </w:t>
      </w:r>
      <w:r>
        <w:t>the</w:t>
      </w:r>
      <w:r>
        <w:rPr>
          <w:spacing w:val="-9"/>
        </w:rPr>
        <w:t xml:space="preserve"> </w:t>
      </w:r>
      <w:r>
        <w:t>findings</w:t>
      </w:r>
      <w:r>
        <w:rPr>
          <w:spacing w:val="-4"/>
        </w:rPr>
        <w:t xml:space="preserve"> </w:t>
      </w:r>
      <w:r>
        <w:t>of</w:t>
      </w:r>
      <w:r>
        <w:rPr>
          <w:spacing w:val="-9"/>
        </w:rPr>
        <w:t xml:space="preserve"> </w:t>
      </w:r>
      <w:r>
        <w:t>the</w:t>
      </w:r>
      <w:r>
        <w:rPr>
          <w:spacing w:val="-6"/>
        </w:rPr>
        <w:t xml:space="preserve"> </w:t>
      </w:r>
      <w:r>
        <w:t>EOPO</w:t>
      </w:r>
      <w:r>
        <w:rPr>
          <w:spacing w:val="-8"/>
        </w:rPr>
        <w:t xml:space="preserve"> </w:t>
      </w:r>
      <w:r>
        <w:t>3</w:t>
      </w:r>
      <w:r>
        <w:rPr>
          <w:spacing w:val="-7"/>
        </w:rPr>
        <w:t xml:space="preserve"> </w:t>
      </w:r>
      <w:r>
        <w:t>baseline study, which assessed the foundations for effective Civil Society Organisation (CSO) participation, including that of Organisations of People with Disabilities (OPDs).</w:t>
      </w:r>
    </w:p>
    <w:p w14:paraId="5ECA7F35" w14:textId="77777777" w:rsidR="00BC24A8" w:rsidRDefault="00000000">
      <w:pPr>
        <w:pStyle w:val="BodyText"/>
        <w:spacing w:before="157" w:line="278" w:lineRule="auto"/>
        <w:ind w:left="143" w:right="282"/>
        <w:jc w:val="both"/>
      </w:pPr>
      <w:r>
        <w:t>Problems</w:t>
      </w:r>
      <w:r>
        <w:rPr>
          <w:spacing w:val="-2"/>
        </w:rPr>
        <w:t xml:space="preserve"> </w:t>
      </w:r>
      <w:r>
        <w:t>Being</w:t>
      </w:r>
      <w:r>
        <w:rPr>
          <w:spacing w:val="-3"/>
        </w:rPr>
        <w:t xml:space="preserve"> </w:t>
      </w:r>
      <w:r>
        <w:t>Addressed:</w:t>
      </w:r>
      <w:r>
        <w:rPr>
          <w:spacing w:val="-5"/>
        </w:rPr>
        <w:t xml:space="preserve"> </w:t>
      </w:r>
      <w:r>
        <w:t>Analysis</w:t>
      </w:r>
      <w:r>
        <w:rPr>
          <w:spacing w:val="-4"/>
        </w:rPr>
        <w:t xml:space="preserve"> </w:t>
      </w:r>
      <w:r>
        <w:t>showed</w:t>
      </w:r>
      <w:r>
        <w:rPr>
          <w:spacing w:val="-2"/>
        </w:rPr>
        <w:t xml:space="preserve"> </w:t>
      </w:r>
      <w:r>
        <w:t>that</w:t>
      </w:r>
      <w:r>
        <w:rPr>
          <w:spacing w:val="-3"/>
        </w:rPr>
        <w:t xml:space="preserve"> </w:t>
      </w:r>
      <w:r>
        <w:t>the</w:t>
      </w:r>
      <w:r>
        <w:rPr>
          <w:spacing w:val="-6"/>
        </w:rPr>
        <w:t xml:space="preserve"> </w:t>
      </w:r>
      <w:r>
        <w:t>system</w:t>
      </w:r>
      <w:r>
        <w:rPr>
          <w:spacing w:val="-2"/>
        </w:rPr>
        <w:t xml:space="preserve"> </w:t>
      </w:r>
      <w:r>
        <w:t>for</w:t>
      </w:r>
      <w:r>
        <w:rPr>
          <w:spacing w:val="-2"/>
        </w:rPr>
        <w:t xml:space="preserve"> </w:t>
      </w:r>
      <w:r>
        <w:t>inclusive</w:t>
      </w:r>
      <w:r>
        <w:rPr>
          <w:spacing w:val="-6"/>
        </w:rPr>
        <w:t xml:space="preserve"> </w:t>
      </w:r>
      <w:r>
        <w:t>participation</w:t>
      </w:r>
      <w:r>
        <w:rPr>
          <w:spacing w:val="-2"/>
        </w:rPr>
        <w:t xml:space="preserve"> </w:t>
      </w:r>
      <w:r>
        <w:t>is</w:t>
      </w:r>
      <w:r>
        <w:rPr>
          <w:spacing w:val="-4"/>
        </w:rPr>
        <w:t xml:space="preserve"> </w:t>
      </w:r>
      <w:r>
        <w:t>high-trust</w:t>
      </w:r>
      <w:r>
        <w:rPr>
          <w:spacing w:val="-3"/>
        </w:rPr>
        <w:t xml:space="preserve"> </w:t>
      </w:r>
      <w:r>
        <w:t>but low-functioning and fragmented. Key problems include:</w:t>
      </w:r>
    </w:p>
    <w:p w14:paraId="197F0F83" w14:textId="77777777" w:rsidR="00BC24A8" w:rsidRDefault="00000000">
      <w:pPr>
        <w:pStyle w:val="ListParagraph"/>
        <w:numPr>
          <w:ilvl w:val="0"/>
          <w:numId w:val="166"/>
        </w:numPr>
        <w:tabs>
          <w:tab w:val="left" w:pos="861"/>
          <w:tab w:val="left" w:pos="863"/>
        </w:tabs>
        <w:spacing w:before="160" w:line="259" w:lineRule="auto"/>
        <w:ind w:right="368"/>
      </w:pPr>
      <w:r>
        <w:t>Symbolic</w:t>
      </w:r>
      <w:r>
        <w:rPr>
          <w:spacing w:val="-7"/>
        </w:rPr>
        <w:t xml:space="preserve"> </w:t>
      </w:r>
      <w:r>
        <w:t>Participation:</w:t>
      </w:r>
      <w:r>
        <w:rPr>
          <w:spacing w:val="-9"/>
        </w:rPr>
        <w:t xml:space="preserve"> </w:t>
      </w:r>
      <w:r>
        <w:t>Participation</w:t>
      </w:r>
      <w:r>
        <w:rPr>
          <w:spacing w:val="-6"/>
        </w:rPr>
        <w:t xml:space="preserve"> </w:t>
      </w:r>
      <w:r>
        <w:t>by</w:t>
      </w:r>
      <w:r>
        <w:rPr>
          <w:spacing w:val="-6"/>
        </w:rPr>
        <w:t xml:space="preserve"> </w:t>
      </w:r>
      <w:r>
        <w:t>vulnerable</w:t>
      </w:r>
      <w:r>
        <w:rPr>
          <w:spacing w:val="-8"/>
        </w:rPr>
        <w:t xml:space="preserve"> </w:t>
      </w:r>
      <w:r>
        <w:t>groups</w:t>
      </w:r>
      <w:r>
        <w:rPr>
          <w:spacing w:val="-6"/>
        </w:rPr>
        <w:t xml:space="preserve"> </w:t>
      </w:r>
      <w:r>
        <w:t>and</w:t>
      </w:r>
      <w:r>
        <w:rPr>
          <w:spacing w:val="-6"/>
        </w:rPr>
        <w:t xml:space="preserve"> </w:t>
      </w:r>
      <w:r>
        <w:t>CSOs</w:t>
      </w:r>
      <w:r>
        <w:rPr>
          <w:spacing w:val="-6"/>
        </w:rPr>
        <w:t xml:space="preserve"> </w:t>
      </w:r>
      <w:r>
        <w:t>in</w:t>
      </w:r>
      <w:r>
        <w:rPr>
          <w:spacing w:val="-9"/>
        </w:rPr>
        <w:t xml:space="preserve"> </w:t>
      </w:r>
      <w:r>
        <w:t>formal</w:t>
      </w:r>
      <w:r>
        <w:rPr>
          <w:spacing w:val="-8"/>
        </w:rPr>
        <w:t xml:space="preserve"> </w:t>
      </w:r>
      <w:r>
        <w:t>planning</w:t>
      </w:r>
      <w:r>
        <w:rPr>
          <w:spacing w:val="-7"/>
        </w:rPr>
        <w:t xml:space="preserve"> </w:t>
      </w:r>
      <w:r>
        <w:t>forums (like Musrenbang) is often limited and symbolic, hindering meaningful influence.</w:t>
      </w:r>
    </w:p>
    <w:p w14:paraId="3A82E6B6" w14:textId="77777777" w:rsidR="00BC24A8" w:rsidRDefault="00000000">
      <w:pPr>
        <w:pStyle w:val="ListParagraph"/>
        <w:numPr>
          <w:ilvl w:val="0"/>
          <w:numId w:val="166"/>
        </w:numPr>
        <w:tabs>
          <w:tab w:val="left" w:pos="861"/>
          <w:tab w:val="left" w:pos="863"/>
        </w:tabs>
        <w:spacing w:before="159" w:line="259" w:lineRule="auto"/>
        <w:ind w:right="284"/>
      </w:pPr>
      <w:r>
        <w:t>Capacity Gaps: OPDs and CSOs face capacity limitations in technical areas, particularly policy monitoring,</w:t>
      </w:r>
      <w:r>
        <w:rPr>
          <w:spacing w:val="-4"/>
        </w:rPr>
        <w:t xml:space="preserve"> </w:t>
      </w:r>
      <w:r>
        <w:t>long-term</w:t>
      </w:r>
      <w:r>
        <w:rPr>
          <w:spacing w:val="-7"/>
        </w:rPr>
        <w:t xml:space="preserve"> </w:t>
      </w:r>
      <w:r>
        <w:t>planning,</w:t>
      </w:r>
      <w:r>
        <w:rPr>
          <w:spacing w:val="-6"/>
        </w:rPr>
        <w:t xml:space="preserve"> </w:t>
      </w:r>
      <w:r>
        <w:t>data</w:t>
      </w:r>
      <w:r>
        <w:rPr>
          <w:spacing w:val="-6"/>
        </w:rPr>
        <w:t xml:space="preserve"> </w:t>
      </w:r>
      <w:r>
        <w:t>collection,</w:t>
      </w:r>
      <w:r>
        <w:rPr>
          <w:spacing w:val="-4"/>
        </w:rPr>
        <w:t xml:space="preserve"> </w:t>
      </w:r>
      <w:r>
        <w:t>and</w:t>
      </w:r>
      <w:r>
        <w:rPr>
          <w:spacing w:val="-4"/>
        </w:rPr>
        <w:t xml:space="preserve"> </w:t>
      </w:r>
      <w:r>
        <w:t>impact</w:t>
      </w:r>
      <w:r>
        <w:rPr>
          <w:spacing w:val="-8"/>
        </w:rPr>
        <w:t xml:space="preserve"> </w:t>
      </w:r>
      <w:r>
        <w:t>evaluation.</w:t>
      </w:r>
      <w:r>
        <w:rPr>
          <w:spacing w:val="-6"/>
        </w:rPr>
        <w:t xml:space="preserve"> </w:t>
      </w:r>
      <w:r>
        <w:t>A</w:t>
      </w:r>
      <w:r>
        <w:rPr>
          <w:spacing w:val="-5"/>
        </w:rPr>
        <w:t xml:space="preserve"> </w:t>
      </w:r>
      <w:r>
        <w:t>critical</w:t>
      </w:r>
      <w:r>
        <w:rPr>
          <w:spacing w:val="-8"/>
        </w:rPr>
        <w:t xml:space="preserve"> </w:t>
      </w:r>
      <w:r>
        <w:t>gap</w:t>
      </w:r>
      <w:r>
        <w:rPr>
          <w:spacing w:val="-4"/>
        </w:rPr>
        <w:t xml:space="preserve"> </w:t>
      </w:r>
      <w:r>
        <w:t>identified was the inability to translate advocacy into concrete budget proposals or engage in formal budget processes (e.g., SIPD-RI).</w:t>
      </w:r>
    </w:p>
    <w:p w14:paraId="4AD9B0F4" w14:textId="77777777" w:rsidR="00BC24A8" w:rsidRDefault="00000000">
      <w:pPr>
        <w:pStyle w:val="ListParagraph"/>
        <w:numPr>
          <w:ilvl w:val="0"/>
          <w:numId w:val="166"/>
        </w:numPr>
        <w:tabs>
          <w:tab w:val="left" w:pos="861"/>
        </w:tabs>
        <w:spacing w:before="160"/>
        <w:ind w:left="861" w:hanging="358"/>
      </w:pPr>
      <w:r>
        <w:t>Data</w:t>
      </w:r>
      <w:r>
        <w:rPr>
          <w:spacing w:val="-9"/>
        </w:rPr>
        <w:t xml:space="preserve"> </w:t>
      </w:r>
      <w:r>
        <w:t>Barriers:</w:t>
      </w:r>
      <w:r>
        <w:rPr>
          <w:spacing w:val="-8"/>
        </w:rPr>
        <w:t xml:space="preserve"> </w:t>
      </w:r>
      <w:r>
        <w:t>CSOs/OPDs</w:t>
      </w:r>
      <w:r>
        <w:rPr>
          <w:spacing w:val="-8"/>
        </w:rPr>
        <w:t xml:space="preserve"> </w:t>
      </w:r>
      <w:r>
        <w:t>encounter</w:t>
      </w:r>
      <w:r>
        <w:rPr>
          <w:spacing w:val="-8"/>
        </w:rPr>
        <w:t xml:space="preserve"> </w:t>
      </w:r>
      <w:r>
        <w:t>significant</w:t>
      </w:r>
      <w:r>
        <w:rPr>
          <w:spacing w:val="-8"/>
        </w:rPr>
        <w:t xml:space="preserve"> </w:t>
      </w:r>
      <w:r>
        <w:t>barriers</w:t>
      </w:r>
      <w:r>
        <w:rPr>
          <w:spacing w:val="-8"/>
        </w:rPr>
        <w:t xml:space="preserve"> </w:t>
      </w:r>
      <w:r>
        <w:t>in</w:t>
      </w:r>
      <w:r>
        <w:rPr>
          <w:spacing w:val="-7"/>
        </w:rPr>
        <w:t xml:space="preserve"> </w:t>
      </w:r>
      <w:r>
        <w:t>accessing</w:t>
      </w:r>
      <w:r>
        <w:rPr>
          <w:spacing w:val="-10"/>
        </w:rPr>
        <w:t xml:space="preserve"> </w:t>
      </w:r>
      <w:r>
        <w:t>essential</w:t>
      </w:r>
      <w:r>
        <w:rPr>
          <w:spacing w:val="-9"/>
        </w:rPr>
        <w:t xml:space="preserve"> </w:t>
      </w:r>
      <w:r>
        <w:rPr>
          <w:spacing w:val="-2"/>
        </w:rPr>
        <w:t>government</w:t>
      </w:r>
    </w:p>
    <w:p w14:paraId="1C665C81" w14:textId="77777777" w:rsidR="00BC24A8" w:rsidRDefault="00000000">
      <w:pPr>
        <w:pStyle w:val="BodyText"/>
        <w:spacing w:before="21"/>
        <w:ind w:left="863"/>
      </w:pPr>
      <w:r>
        <w:rPr>
          <w:spacing w:val="-2"/>
        </w:rPr>
        <w:t>data.</w:t>
      </w:r>
    </w:p>
    <w:p w14:paraId="1DF78EDE" w14:textId="77777777" w:rsidR="00BC24A8" w:rsidRDefault="00000000">
      <w:pPr>
        <w:pStyle w:val="BodyText"/>
        <w:spacing w:before="181" w:line="278" w:lineRule="auto"/>
        <w:ind w:left="143" w:right="279"/>
        <w:jc w:val="both"/>
      </w:pPr>
      <w:r>
        <w:t xml:space="preserve">Informing the Investment and Likelihood of Success: SKALA's investment is designed to move </w:t>
      </w:r>
      <w:r>
        <w:rPr>
          <w:spacing w:val="-2"/>
        </w:rPr>
        <w:t xml:space="preserve">participation beyond sporadic interactions toward institutionalised, data-driven collaboration. This is the </w:t>
      </w:r>
      <w:r>
        <w:t>most likely approach to achieve lasting results because it addresses systemic weaknesses:</w:t>
      </w:r>
    </w:p>
    <w:p w14:paraId="3D30917F" w14:textId="77777777" w:rsidR="00BC24A8" w:rsidRDefault="00000000">
      <w:pPr>
        <w:pStyle w:val="ListParagraph"/>
        <w:numPr>
          <w:ilvl w:val="1"/>
          <w:numId w:val="166"/>
        </w:numPr>
        <w:tabs>
          <w:tab w:val="left" w:pos="863"/>
        </w:tabs>
        <w:spacing w:before="160" w:line="259" w:lineRule="auto"/>
        <w:ind w:right="286"/>
        <w:jc w:val="left"/>
      </w:pPr>
      <w:r>
        <w:t>Capacity Building: SKALA supports networks of OPDs to gain access to data (like REGSOSEK analysis), build capacity for collaboration, and enhance skills in evidence-based policy</w:t>
      </w:r>
      <w:r>
        <w:rPr>
          <w:spacing w:val="40"/>
        </w:rPr>
        <w:t xml:space="preserve"> </w:t>
      </w:r>
      <w:r>
        <w:t>advocacy and budget analysis. To support this work SKALA has engaged SEKNAS FITRA as a strategic</w:t>
      </w:r>
      <w:r>
        <w:rPr>
          <w:spacing w:val="-6"/>
        </w:rPr>
        <w:t xml:space="preserve"> </w:t>
      </w:r>
      <w:r>
        <w:t>partner</w:t>
      </w:r>
      <w:r>
        <w:rPr>
          <w:spacing w:val="-5"/>
        </w:rPr>
        <w:t xml:space="preserve"> </w:t>
      </w:r>
      <w:r>
        <w:t>to</w:t>
      </w:r>
      <w:r>
        <w:rPr>
          <w:spacing w:val="-6"/>
        </w:rPr>
        <w:t xml:space="preserve"> </w:t>
      </w:r>
      <w:r>
        <w:t>develop</w:t>
      </w:r>
      <w:r>
        <w:rPr>
          <w:spacing w:val="-7"/>
        </w:rPr>
        <w:t xml:space="preserve"> </w:t>
      </w:r>
      <w:r>
        <w:t>provincial</w:t>
      </w:r>
      <w:r>
        <w:rPr>
          <w:spacing w:val="-6"/>
        </w:rPr>
        <w:t xml:space="preserve"> </w:t>
      </w:r>
      <w:r>
        <w:t>resource</w:t>
      </w:r>
      <w:r>
        <w:rPr>
          <w:spacing w:val="-6"/>
        </w:rPr>
        <w:t xml:space="preserve"> </w:t>
      </w:r>
      <w:r>
        <w:t>centres</w:t>
      </w:r>
      <w:r>
        <w:rPr>
          <w:spacing w:val="-5"/>
        </w:rPr>
        <w:t xml:space="preserve"> </w:t>
      </w:r>
      <w:r>
        <w:t>and</w:t>
      </w:r>
      <w:r>
        <w:rPr>
          <w:spacing w:val="-7"/>
        </w:rPr>
        <w:t xml:space="preserve"> </w:t>
      </w:r>
      <w:r>
        <w:t>support</w:t>
      </w:r>
      <w:r>
        <w:rPr>
          <w:spacing w:val="-8"/>
        </w:rPr>
        <w:t xml:space="preserve"> </w:t>
      </w:r>
      <w:r>
        <w:t>networks</w:t>
      </w:r>
      <w:r>
        <w:rPr>
          <w:spacing w:val="-6"/>
        </w:rPr>
        <w:t xml:space="preserve"> </w:t>
      </w:r>
      <w:r>
        <w:t>of</w:t>
      </w:r>
      <w:r>
        <w:rPr>
          <w:spacing w:val="-6"/>
        </w:rPr>
        <w:t xml:space="preserve"> </w:t>
      </w:r>
      <w:r>
        <w:t>OPDs</w:t>
      </w:r>
      <w:r>
        <w:rPr>
          <w:spacing w:val="-6"/>
        </w:rPr>
        <w:t xml:space="preserve"> </w:t>
      </w:r>
      <w:r>
        <w:t>to</w:t>
      </w:r>
      <w:r>
        <w:rPr>
          <w:spacing w:val="-6"/>
        </w:rPr>
        <w:t xml:space="preserve"> </w:t>
      </w:r>
      <w:r>
        <w:t>build applied skills in inclusive planning and budgeting.</w:t>
      </w:r>
    </w:p>
    <w:p w14:paraId="0B4A8D7B" w14:textId="77777777" w:rsidR="00BC24A8" w:rsidRDefault="00000000">
      <w:pPr>
        <w:pStyle w:val="ListParagraph"/>
        <w:numPr>
          <w:ilvl w:val="1"/>
          <w:numId w:val="166"/>
        </w:numPr>
        <w:tabs>
          <w:tab w:val="left" w:pos="863"/>
        </w:tabs>
        <w:spacing w:before="157" w:line="259" w:lineRule="auto"/>
        <w:ind w:right="447"/>
        <w:jc w:val="left"/>
      </w:pPr>
      <w:r>
        <w:t>Institutional Reform: The program directly supports the establishment or revitalisation of inclusive planning and budgeting forums, aiming for functioning inclusive planning and budgeting</w:t>
      </w:r>
      <w:r>
        <w:rPr>
          <w:spacing w:val="-9"/>
        </w:rPr>
        <w:t xml:space="preserve"> </w:t>
      </w:r>
      <w:r>
        <w:t>forums</w:t>
      </w:r>
      <w:r>
        <w:rPr>
          <w:spacing w:val="-5"/>
        </w:rPr>
        <w:t xml:space="preserve"> </w:t>
      </w:r>
      <w:r>
        <w:t>by</w:t>
      </w:r>
      <w:r>
        <w:rPr>
          <w:spacing w:val="-5"/>
        </w:rPr>
        <w:t xml:space="preserve"> </w:t>
      </w:r>
      <w:r>
        <w:t>December</w:t>
      </w:r>
      <w:r>
        <w:rPr>
          <w:spacing w:val="-8"/>
        </w:rPr>
        <w:t xml:space="preserve"> </w:t>
      </w:r>
      <w:r>
        <w:t>2025.</w:t>
      </w:r>
      <w:r>
        <w:rPr>
          <w:spacing w:val="-5"/>
        </w:rPr>
        <w:t xml:space="preserve"> </w:t>
      </w:r>
      <w:r>
        <w:t>This</w:t>
      </w:r>
      <w:r>
        <w:rPr>
          <w:spacing w:val="-5"/>
        </w:rPr>
        <w:t xml:space="preserve"> </w:t>
      </w:r>
      <w:r>
        <w:t>formalisation</w:t>
      </w:r>
      <w:r>
        <w:rPr>
          <w:spacing w:val="-5"/>
        </w:rPr>
        <w:t xml:space="preserve"> </w:t>
      </w:r>
      <w:r>
        <w:t>counters</w:t>
      </w:r>
      <w:r>
        <w:rPr>
          <w:spacing w:val="-5"/>
        </w:rPr>
        <w:t xml:space="preserve"> </w:t>
      </w:r>
      <w:r>
        <w:t>the</w:t>
      </w:r>
      <w:r>
        <w:rPr>
          <w:spacing w:val="-9"/>
        </w:rPr>
        <w:t xml:space="preserve"> </w:t>
      </w:r>
      <w:r>
        <w:t>risk</w:t>
      </w:r>
      <w:r>
        <w:rPr>
          <w:spacing w:val="-5"/>
        </w:rPr>
        <w:t xml:space="preserve"> </w:t>
      </w:r>
      <w:r>
        <w:t>of</w:t>
      </w:r>
      <w:r>
        <w:rPr>
          <w:spacing w:val="-7"/>
        </w:rPr>
        <w:t xml:space="preserve"> </w:t>
      </w:r>
      <w:r>
        <w:t>merely</w:t>
      </w:r>
      <w:r>
        <w:rPr>
          <w:spacing w:val="-5"/>
        </w:rPr>
        <w:t xml:space="preserve"> </w:t>
      </w:r>
      <w:r>
        <w:t xml:space="preserve">symbolic </w:t>
      </w:r>
      <w:r>
        <w:rPr>
          <w:spacing w:val="-2"/>
        </w:rPr>
        <w:t>engagement.</w:t>
      </w:r>
    </w:p>
    <w:p w14:paraId="46226114" w14:textId="77777777" w:rsidR="00BC24A8" w:rsidRDefault="00000000">
      <w:pPr>
        <w:pStyle w:val="ListParagraph"/>
        <w:numPr>
          <w:ilvl w:val="1"/>
          <w:numId w:val="166"/>
        </w:numPr>
        <w:tabs>
          <w:tab w:val="left" w:pos="863"/>
        </w:tabs>
        <w:spacing w:before="160" w:line="259" w:lineRule="auto"/>
        <w:ind w:right="318"/>
        <w:jc w:val="left"/>
      </w:pPr>
      <w:r>
        <w:t>Policy Development: The investment focuses on supporting the drafting and ratification of specific</w:t>
      </w:r>
      <w:r>
        <w:rPr>
          <w:spacing w:val="-5"/>
        </w:rPr>
        <w:t xml:space="preserve"> </w:t>
      </w:r>
      <w:r>
        <w:t>policies</w:t>
      </w:r>
      <w:r>
        <w:rPr>
          <w:spacing w:val="-4"/>
        </w:rPr>
        <w:t xml:space="preserve"> </w:t>
      </w:r>
      <w:r>
        <w:t>that</w:t>
      </w:r>
      <w:r>
        <w:rPr>
          <w:spacing w:val="-5"/>
        </w:rPr>
        <w:t xml:space="preserve"> </w:t>
      </w:r>
      <w:r>
        <w:t>benefit</w:t>
      </w:r>
      <w:r>
        <w:rPr>
          <w:spacing w:val="-5"/>
        </w:rPr>
        <w:t xml:space="preserve"> </w:t>
      </w:r>
      <w:r>
        <w:t>PwD,</w:t>
      </w:r>
      <w:r>
        <w:rPr>
          <w:spacing w:val="-6"/>
        </w:rPr>
        <w:t xml:space="preserve"> </w:t>
      </w:r>
      <w:r>
        <w:t>such</w:t>
      </w:r>
      <w:r>
        <w:rPr>
          <w:spacing w:val="-4"/>
        </w:rPr>
        <w:t xml:space="preserve"> </w:t>
      </w:r>
      <w:r>
        <w:t>as</w:t>
      </w:r>
      <w:r>
        <w:rPr>
          <w:spacing w:val="-6"/>
        </w:rPr>
        <w:t xml:space="preserve"> </w:t>
      </w:r>
      <w:r>
        <w:t>the</w:t>
      </w:r>
      <w:r>
        <w:rPr>
          <w:spacing w:val="-6"/>
        </w:rPr>
        <w:t xml:space="preserve"> </w:t>
      </w:r>
      <w:r>
        <w:t>Regional</w:t>
      </w:r>
      <w:r>
        <w:rPr>
          <w:spacing w:val="-6"/>
        </w:rPr>
        <w:t xml:space="preserve"> </w:t>
      </w:r>
      <w:r>
        <w:t>Action</w:t>
      </w:r>
      <w:r>
        <w:rPr>
          <w:spacing w:val="-6"/>
        </w:rPr>
        <w:t xml:space="preserve"> </w:t>
      </w:r>
      <w:r>
        <w:t>Plan</w:t>
      </w:r>
      <w:r>
        <w:rPr>
          <w:spacing w:val="-6"/>
        </w:rPr>
        <w:t xml:space="preserve"> </w:t>
      </w:r>
      <w:r>
        <w:t>for</w:t>
      </w:r>
      <w:r>
        <w:rPr>
          <w:spacing w:val="-6"/>
        </w:rPr>
        <w:t xml:space="preserve"> </w:t>
      </w:r>
      <w:r>
        <w:t>Persons</w:t>
      </w:r>
      <w:r>
        <w:rPr>
          <w:spacing w:val="-4"/>
        </w:rPr>
        <w:t xml:space="preserve"> </w:t>
      </w:r>
      <w:r>
        <w:t>with</w:t>
      </w:r>
      <w:r>
        <w:rPr>
          <w:spacing w:val="-4"/>
        </w:rPr>
        <w:t xml:space="preserve"> </w:t>
      </w:r>
      <w:r>
        <w:t>Disabilities (RAD PD)</w:t>
      </w:r>
      <w:hyperlink w:anchor="_bookmark42" w:history="1">
        <w:r w:rsidR="00BC24A8">
          <w:rPr>
            <w:vertAlign w:val="superscript"/>
          </w:rPr>
          <w:t>16</w:t>
        </w:r>
      </w:hyperlink>
      <w:r>
        <w:t>.</w:t>
      </w:r>
    </w:p>
    <w:p w14:paraId="2FF31B5A" w14:textId="77777777" w:rsidR="00BC24A8" w:rsidRDefault="00000000">
      <w:pPr>
        <w:pStyle w:val="BodyText"/>
        <w:spacing w:before="218"/>
        <w:rPr>
          <w:sz w:val="20"/>
        </w:rPr>
      </w:pPr>
      <w:r>
        <w:rPr>
          <w:noProof/>
          <w:sz w:val="20"/>
        </w:rPr>
        <mc:AlternateContent>
          <mc:Choice Requires="wps">
            <w:drawing>
              <wp:anchor distT="0" distB="0" distL="0" distR="0" simplePos="0" relativeHeight="487593472" behindDoc="1" locked="0" layoutInCell="1" allowOverlap="1" wp14:anchorId="24E69120" wp14:editId="48BF0BF2">
                <wp:simplePos x="0" y="0"/>
                <wp:positionH relativeFrom="page">
                  <wp:posOffset>900683</wp:posOffset>
                </wp:positionH>
                <wp:positionV relativeFrom="paragraph">
                  <wp:posOffset>309265</wp:posOffset>
                </wp:positionV>
                <wp:extent cx="1828800" cy="9525"/>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B76648" id="Graphic 28" o:spid="_x0000_s1026" alt="&quot;&quot;" style="position:absolute;margin-left:70.9pt;margin-top:24.35pt;width:2in;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" path="m1828800,l,,,9144r1828800,l1828800,xe" fillcolor="black" stroked="f">
                <v:path arrowok="t"/>
                <w10:wrap type="topAndBottom" anchorx="page"/>
              </v:shape>
            </w:pict>
          </mc:Fallback>
        </mc:AlternateContent>
      </w:r>
    </w:p>
    <w:p w14:paraId="1C6D126E" w14:textId="77777777" w:rsidR="00BC24A8" w:rsidRDefault="00BC24A8">
      <w:pPr>
        <w:pStyle w:val="BodyText"/>
        <w:spacing w:before="105"/>
        <w:rPr>
          <w:sz w:val="16"/>
        </w:rPr>
      </w:pPr>
    </w:p>
    <w:p w14:paraId="1F68CB6C" w14:textId="77777777" w:rsidR="00BC24A8" w:rsidRDefault="00000000">
      <w:pPr>
        <w:spacing w:before="1"/>
        <w:ind w:left="143" w:right="201"/>
        <w:rPr>
          <w:sz w:val="16"/>
        </w:rPr>
      </w:pPr>
      <w:bookmarkStart w:id="68" w:name="_bookmark42"/>
      <w:bookmarkEnd w:id="68"/>
      <w:r>
        <w:rPr>
          <w:color w:val="767070"/>
          <w:sz w:val="16"/>
          <w:vertAlign w:val="superscript"/>
        </w:rPr>
        <w:t>16</w:t>
      </w:r>
      <w:r>
        <w:rPr>
          <w:color w:val="767070"/>
          <w:spacing w:val="-4"/>
          <w:sz w:val="16"/>
        </w:rPr>
        <w:t xml:space="preserve"> </w:t>
      </w:r>
      <w:r>
        <w:rPr>
          <w:color w:val="767070"/>
          <w:sz w:val="16"/>
        </w:rPr>
        <w:t>SKALA</w:t>
      </w:r>
      <w:r>
        <w:rPr>
          <w:color w:val="767070"/>
          <w:spacing w:val="-3"/>
          <w:sz w:val="16"/>
        </w:rPr>
        <w:t xml:space="preserve"> </w:t>
      </w:r>
      <w:r>
        <w:rPr>
          <w:color w:val="767070"/>
          <w:sz w:val="16"/>
        </w:rPr>
        <w:t>provided</w:t>
      </w:r>
      <w:r>
        <w:rPr>
          <w:color w:val="767070"/>
          <w:spacing w:val="-3"/>
          <w:sz w:val="16"/>
        </w:rPr>
        <w:t xml:space="preserve"> </w:t>
      </w:r>
      <w:r>
        <w:rPr>
          <w:color w:val="767070"/>
          <w:sz w:val="16"/>
        </w:rPr>
        <w:t>technical</w:t>
      </w:r>
      <w:r>
        <w:rPr>
          <w:color w:val="767070"/>
          <w:spacing w:val="-3"/>
          <w:sz w:val="16"/>
        </w:rPr>
        <w:t xml:space="preserve"> </w:t>
      </w:r>
      <w:r>
        <w:rPr>
          <w:color w:val="767070"/>
          <w:sz w:val="16"/>
        </w:rPr>
        <w:t>support</w:t>
      </w:r>
      <w:r>
        <w:rPr>
          <w:color w:val="767070"/>
          <w:spacing w:val="-4"/>
          <w:sz w:val="16"/>
        </w:rPr>
        <w:t xml:space="preserve"> </w:t>
      </w:r>
      <w:r>
        <w:rPr>
          <w:color w:val="767070"/>
          <w:sz w:val="16"/>
        </w:rPr>
        <w:t>to</w:t>
      </w:r>
      <w:r>
        <w:rPr>
          <w:color w:val="767070"/>
          <w:spacing w:val="-3"/>
          <w:sz w:val="16"/>
        </w:rPr>
        <w:t xml:space="preserve"> </w:t>
      </w:r>
      <w:r>
        <w:rPr>
          <w:color w:val="767070"/>
          <w:sz w:val="16"/>
        </w:rPr>
        <w:t>improve</w:t>
      </w:r>
      <w:r>
        <w:rPr>
          <w:color w:val="767070"/>
          <w:spacing w:val="-4"/>
          <w:sz w:val="16"/>
        </w:rPr>
        <w:t xml:space="preserve"> </w:t>
      </w:r>
      <w:r>
        <w:rPr>
          <w:color w:val="767070"/>
          <w:sz w:val="16"/>
        </w:rPr>
        <w:t>the</w:t>
      </w:r>
      <w:r>
        <w:rPr>
          <w:color w:val="767070"/>
          <w:spacing w:val="-6"/>
          <w:sz w:val="16"/>
        </w:rPr>
        <w:t xml:space="preserve"> </w:t>
      </w:r>
      <w:r>
        <w:rPr>
          <w:color w:val="767070"/>
          <w:sz w:val="16"/>
        </w:rPr>
        <w:t>quality</w:t>
      </w:r>
      <w:r>
        <w:rPr>
          <w:color w:val="767070"/>
          <w:spacing w:val="-3"/>
          <w:sz w:val="16"/>
        </w:rPr>
        <w:t xml:space="preserve"> </w:t>
      </w:r>
      <w:r>
        <w:rPr>
          <w:color w:val="767070"/>
          <w:sz w:val="16"/>
        </w:rPr>
        <w:t>of</w:t>
      </w:r>
      <w:r>
        <w:rPr>
          <w:color w:val="767070"/>
          <w:spacing w:val="-4"/>
          <w:sz w:val="16"/>
        </w:rPr>
        <w:t xml:space="preserve"> </w:t>
      </w:r>
      <w:r>
        <w:rPr>
          <w:color w:val="767070"/>
          <w:sz w:val="16"/>
        </w:rPr>
        <w:t>indicators</w:t>
      </w:r>
      <w:r>
        <w:rPr>
          <w:color w:val="767070"/>
          <w:spacing w:val="-6"/>
          <w:sz w:val="16"/>
        </w:rPr>
        <w:t xml:space="preserve"> </w:t>
      </w:r>
      <w:r>
        <w:rPr>
          <w:color w:val="767070"/>
          <w:sz w:val="16"/>
        </w:rPr>
        <w:t>against</w:t>
      </w:r>
      <w:r>
        <w:rPr>
          <w:color w:val="767070"/>
          <w:spacing w:val="-4"/>
          <w:sz w:val="16"/>
        </w:rPr>
        <w:t xml:space="preserve"> </w:t>
      </w:r>
      <w:r>
        <w:rPr>
          <w:color w:val="767070"/>
          <w:sz w:val="16"/>
        </w:rPr>
        <w:t>7</w:t>
      </w:r>
      <w:r>
        <w:rPr>
          <w:color w:val="767070"/>
          <w:spacing w:val="-4"/>
          <w:sz w:val="16"/>
        </w:rPr>
        <w:t xml:space="preserve"> </w:t>
      </w:r>
      <w:r>
        <w:rPr>
          <w:color w:val="767070"/>
          <w:sz w:val="16"/>
        </w:rPr>
        <w:t>Strategic</w:t>
      </w:r>
      <w:r>
        <w:rPr>
          <w:color w:val="767070"/>
          <w:spacing w:val="-5"/>
          <w:sz w:val="16"/>
        </w:rPr>
        <w:t xml:space="preserve"> </w:t>
      </w:r>
      <w:r>
        <w:rPr>
          <w:color w:val="767070"/>
          <w:sz w:val="16"/>
        </w:rPr>
        <w:t>Goals</w:t>
      </w:r>
      <w:r>
        <w:rPr>
          <w:color w:val="767070"/>
          <w:spacing w:val="-3"/>
          <w:sz w:val="16"/>
        </w:rPr>
        <w:t xml:space="preserve"> </w:t>
      </w:r>
      <w:r>
        <w:rPr>
          <w:color w:val="767070"/>
          <w:sz w:val="16"/>
        </w:rPr>
        <w:t>for</w:t>
      </w:r>
      <w:r>
        <w:rPr>
          <w:color w:val="767070"/>
          <w:spacing w:val="-4"/>
          <w:sz w:val="16"/>
        </w:rPr>
        <w:t xml:space="preserve"> </w:t>
      </w:r>
      <w:r>
        <w:rPr>
          <w:color w:val="767070"/>
          <w:sz w:val="16"/>
        </w:rPr>
        <w:t>the</w:t>
      </w:r>
      <w:r>
        <w:rPr>
          <w:color w:val="767070"/>
          <w:spacing w:val="-4"/>
          <w:sz w:val="16"/>
        </w:rPr>
        <w:t xml:space="preserve"> </w:t>
      </w:r>
      <w:r>
        <w:rPr>
          <w:color w:val="767070"/>
          <w:sz w:val="16"/>
        </w:rPr>
        <w:t>next</w:t>
      </w:r>
      <w:r>
        <w:rPr>
          <w:color w:val="767070"/>
          <w:spacing w:val="-4"/>
          <w:sz w:val="16"/>
        </w:rPr>
        <w:t xml:space="preserve"> </w:t>
      </w:r>
      <w:r>
        <w:rPr>
          <w:color w:val="767070"/>
          <w:sz w:val="16"/>
        </w:rPr>
        <w:t>2025-2029</w:t>
      </w:r>
      <w:r>
        <w:rPr>
          <w:color w:val="767070"/>
          <w:spacing w:val="-4"/>
          <w:sz w:val="16"/>
        </w:rPr>
        <w:t xml:space="preserve"> </w:t>
      </w:r>
      <w:r>
        <w:rPr>
          <w:color w:val="767070"/>
          <w:sz w:val="16"/>
        </w:rPr>
        <w:t>National</w:t>
      </w:r>
      <w:r>
        <w:rPr>
          <w:color w:val="767070"/>
          <w:spacing w:val="-3"/>
          <w:sz w:val="16"/>
        </w:rPr>
        <w:t xml:space="preserve"> </w:t>
      </w:r>
      <w:r>
        <w:rPr>
          <w:color w:val="767070"/>
          <w:sz w:val="16"/>
        </w:rPr>
        <w:t>Action</w:t>
      </w:r>
      <w:r>
        <w:rPr>
          <w:color w:val="767070"/>
          <w:spacing w:val="-3"/>
          <w:sz w:val="16"/>
        </w:rPr>
        <w:t xml:space="preserve"> </w:t>
      </w:r>
      <w:r>
        <w:rPr>
          <w:color w:val="767070"/>
          <w:sz w:val="16"/>
        </w:rPr>
        <w:t>Plan</w:t>
      </w:r>
      <w:r>
        <w:rPr>
          <w:color w:val="767070"/>
          <w:spacing w:val="40"/>
          <w:sz w:val="16"/>
        </w:rPr>
        <w:t xml:space="preserve"> </w:t>
      </w:r>
      <w:r>
        <w:rPr>
          <w:color w:val="767070"/>
          <w:sz w:val="16"/>
        </w:rPr>
        <w:t>for Persons with Disabilities (RAN PD)</w:t>
      </w:r>
    </w:p>
    <w:p w14:paraId="1250B053" w14:textId="77777777" w:rsidR="00BC24A8" w:rsidRDefault="00BC24A8">
      <w:pPr>
        <w:rPr>
          <w:sz w:val="16"/>
        </w:rPr>
        <w:sectPr w:rsidR="00BC24A8">
          <w:pgSz w:w="11910" w:h="16840"/>
          <w:pgMar w:top="1320" w:right="1133" w:bottom="1100" w:left="1275" w:header="0" w:footer="907" w:gutter="0"/>
          <w:cols w:space="720"/>
        </w:sectPr>
      </w:pPr>
    </w:p>
    <w:p w14:paraId="3C891B92" w14:textId="77777777" w:rsidR="00BC24A8" w:rsidRDefault="00000000">
      <w:pPr>
        <w:pStyle w:val="BodyText"/>
        <w:spacing w:before="39"/>
        <w:ind w:left="143"/>
        <w:jc w:val="both"/>
      </w:pPr>
      <w:r>
        <w:lastRenderedPageBreak/>
        <w:t>Risks,</w:t>
      </w:r>
      <w:r>
        <w:rPr>
          <w:spacing w:val="-7"/>
        </w:rPr>
        <w:t xml:space="preserve"> </w:t>
      </w:r>
      <w:r>
        <w:t>Barriers,</w:t>
      </w:r>
      <w:r>
        <w:rPr>
          <w:spacing w:val="-7"/>
        </w:rPr>
        <w:t xml:space="preserve"> </w:t>
      </w:r>
      <w:r>
        <w:t>and</w:t>
      </w:r>
      <w:r>
        <w:rPr>
          <w:spacing w:val="-7"/>
        </w:rPr>
        <w:t xml:space="preserve"> </w:t>
      </w:r>
      <w:r>
        <w:t>Active</w:t>
      </w:r>
      <w:r>
        <w:rPr>
          <w:spacing w:val="-9"/>
        </w:rPr>
        <w:t xml:space="preserve"> </w:t>
      </w:r>
      <w:r>
        <w:t>Involvement</w:t>
      </w:r>
      <w:r>
        <w:rPr>
          <w:spacing w:val="-8"/>
        </w:rPr>
        <w:t xml:space="preserve"> </w:t>
      </w:r>
      <w:r>
        <w:t>of</w:t>
      </w:r>
      <w:r>
        <w:rPr>
          <w:spacing w:val="-7"/>
        </w:rPr>
        <w:t xml:space="preserve"> </w:t>
      </w:r>
      <w:r>
        <w:rPr>
          <w:spacing w:val="-2"/>
        </w:rPr>
        <w:t>PwD/OPDs</w:t>
      </w:r>
    </w:p>
    <w:p w14:paraId="72F38B73" w14:textId="77777777" w:rsidR="00BC24A8" w:rsidRDefault="00000000">
      <w:pPr>
        <w:pStyle w:val="BodyText"/>
        <w:spacing w:before="202" w:line="278" w:lineRule="auto"/>
        <w:ind w:left="143" w:right="280"/>
        <w:jc w:val="both"/>
      </w:pPr>
      <w:r>
        <w:t>Risks and Mitigation: A primary risk for PwD and OPDs relates to low government commitment and political will to fully implement GEDSI frameworks, alongside fiscal constraints that limit budget allocations for disability programs. SKALA mitigates this by:</w:t>
      </w:r>
    </w:p>
    <w:p w14:paraId="0439ABB3" w14:textId="77777777" w:rsidR="00BC24A8" w:rsidRDefault="00000000">
      <w:pPr>
        <w:pStyle w:val="ListParagraph"/>
        <w:numPr>
          <w:ilvl w:val="0"/>
          <w:numId w:val="165"/>
        </w:numPr>
        <w:tabs>
          <w:tab w:val="left" w:pos="860"/>
          <w:tab w:val="left" w:pos="863"/>
        </w:tabs>
        <w:spacing w:before="160" w:line="256" w:lineRule="auto"/>
        <w:ind w:right="806" w:hanging="361"/>
        <w:jc w:val="both"/>
      </w:pPr>
      <w:r>
        <w:t>Building</w:t>
      </w:r>
      <w:r>
        <w:rPr>
          <w:spacing w:val="-5"/>
        </w:rPr>
        <w:t xml:space="preserve"> </w:t>
      </w:r>
      <w:r>
        <w:t>Political</w:t>
      </w:r>
      <w:r>
        <w:rPr>
          <w:spacing w:val="-6"/>
        </w:rPr>
        <w:t xml:space="preserve"> </w:t>
      </w:r>
      <w:r>
        <w:t>Commitment:</w:t>
      </w:r>
      <w:r>
        <w:rPr>
          <w:spacing w:val="-5"/>
        </w:rPr>
        <w:t xml:space="preserve"> </w:t>
      </w:r>
      <w:r>
        <w:t>Engaging</w:t>
      </w:r>
      <w:r>
        <w:rPr>
          <w:spacing w:val="-8"/>
        </w:rPr>
        <w:t xml:space="preserve"> </w:t>
      </w:r>
      <w:r>
        <w:t>senior</w:t>
      </w:r>
      <w:r>
        <w:rPr>
          <w:spacing w:val="-4"/>
        </w:rPr>
        <w:t xml:space="preserve"> </w:t>
      </w:r>
      <w:r>
        <w:t>leaders</w:t>
      </w:r>
      <w:r>
        <w:rPr>
          <w:spacing w:val="-4"/>
        </w:rPr>
        <w:t xml:space="preserve"> </w:t>
      </w:r>
      <w:r>
        <w:t>at</w:t>
      </w:r>
      <w:r>
        <w:rPr>
          <w:spacing w:val="-5"/>
        </w:rPr>
        <w:t xml:space="preserve"> </w:t>
      </w:r>
      <w:r>
        <w:t>the</w:t>
      </w:r>
      <w:r>
        <w:rPr>
          <w:spacing w:val="-6"/>
        </w:rPr>
        <w:t xml:space="preserve"> </w:t>
      </w:r>
      <w:r>
        <w:t>subnational</w:t>
      </w:r>
      <w:r>
        <w:rPr>
          <w:spacing w:val="-6"/>
        </w:rPr>
        <w:t xml:space="preserve"> </w:t>
      </w:r>
      <w:r>
        <w:t>level</w:t>
      </w:r>
      <w:r>
        <w:rPr>
          <w:spacing w:val="-6"/>
        </w:rPr>
        <w:t xml:space="preserve"> </w:t>
      </w:r>
      <w:r>
        <w:t>to</w:t>
      </w:r>
      <w:r>
        <w:rPr>
          <w:spacing w:val="-5"/>
        </w:rPr>
        <w:t xml:space="preserve"> </w:t>
      </w:r>
      <w:r>
        <w:t>secure commitment for PwD participation.</w:t>
      </w:r>
    </w:p>
    <w:p w14:paraId="337C9B50" w14:textId="77777777" w:rsidR="00BC24A8" w:rsidRDefault="00000000">
      <w:pPr>
        <w:pStyle w:val="ListParagraph"/>
        <w:numPr>
          <w:ilvl w:val="0"/>
          <w:numId w:val="165"/>
        </w:numPr>
        <w:tabs>
          <w:tab w:val="left" w:pos="860"/>
          <w:tab w:val="left" w:pos="863"/>
        </w:tabs>
        <w:spacing w:before="164" w:line="259" w:lineRule="auto"/>
        <w:ind w:right="832" w:hanging="361"/>
        <w:jc w:val="both"/>
      </w:pPr>
      <w:r>
        <w:t>Institutionalising</w:t>
      </w:r>
      <w:r>
        <w:rPr>
          <w:spacing w:val="-12"/>
        </w:rPr>
        <w:t xml:space="preserve"> </w:t>
      </w:r>
      <w:r>
        <w:t>Trust:</w:t>
      </w:r>
      <w:r>
        <w:rPr>
          <w:spacing w:val="-10"/>
        </w:rPr>
        <w:t xml:space="preserve"> </w:t>
      </w:r>
      <w:r>
        <w:t>Facilitating</w:t>
      </w:r>
      <w:r>
        <w:rPr>
          <w:spacing w:val="-10"/>
        </w:rPr>
        <w:t xml:space="preserve"> </w:t>
      </w:r>
      <w:r>
        <w:t>collaboration</w:t>
      </w:r>
      <w:r>
        <w:rPr>
          <w:spacing w:val="-9"/>
        </w:rPr>
        <w:t xml:space="preserve"> </w:t>
      </w:r>
      <w:r>
        <w:t>to</w:t>
      </w:r>
      <w:r>
        <w:rPr>
          <w:spacing w:val="-10"/>
        </w:rPr>
        <w:t xml:space="preserve"> </w:t>
      </w:r>
      <w:r>
        <w:t>address</w:t>
      </w:r>
      <w:r>
        <w:rPr>
          <w:spacing w:val="-11"/>
        </w:rPr>
        <w:t xml:space="preserve"> </w:t>
      </w:r>
      <w:r>
        <w:t>mutual</w:t>
      </w:r>
      <w:r>
        <w:rPr>
          <w:spacing w:val="-11"/>
        </w:rPr>
        <w:t xml:space="preserve"> </w:t>
      </w:r>
      <w:r>
        <w:t>distrust</w:t>
      </w:r>
      <w:r>
        <w:rPr>
          <w:spacing w:val="-10"/>
        </w:rPr>
        <w:t xml:space="preserve"> </w:t>
      </w:r>
      <w:r>
        <w:t>between</w:t>
      </w:r>
      <w:r>
        <w:rPr>
          <w:spacing w:val="-9"/>
        </w:rPr>
        <w:t xml:space="preserve"> </w:t>
      </w:r>
      <w:r>
        <w:t>CSO networks and government (e.g., Maluku).</w:t>
      </w:r>
    </w:p>
    <w:p w14:paraId="4E5F291F" w14:textId="77777777" w:rsidR="00BC24A8" w:rsidRDefault="00000000">
      <w:pPr>
        <w:pStyle w:val="ListParagraph"/>
        <w:numPr>
          <w:ilvl w:val="0"/>
          <w:numId w:val="165"/>
        </w:numPr>
        <w:tabs>
          <w:tab w:val="left" w:pos="861"/>
          <w:tab w:val="left" w:pos="863"/>
        </w:tabs>
        <w:spacing w:before="159" w:line="259" w:lineRule="auto"/>
        <w:ind w:right="876"/>
        <w:jc w:val="both"/>
      </w:pPr>
      <w:r>
        <w:t>Policy</w:t>
      </w:r>
      <w:r>
        <w:rPr>
          <w:spacing w:val="-3"/>
        </w:rPr>
        <w:t xml:space="preserve"> </w:t>
      </w:r>
      <w:r>
        <w:t>Locks:</w:t>
      </w:r>
      <w:r>
        <w:rPr>
          <w:spacing w:val="-7"/>
        </w:rPr>
        <w:t xml:space="preserve"> </w:t>
      </w:r>
      <w:r>
        <w:t>Prioritising</w:t>
      </w:r>
      <w:r>
        <w:rPr>
          <w:spacing w:val="-7"/>
        </w:rPr>
        <w:t xml:space="preserve"> </w:t>
      </w:r>
      <w:r>
        <w:t>the</w:t>
      </w:r>
      <w:r>
        <w:rPr>
          <w:spacing w:val="-7"/>
        </w:rPr>
        <w:t xml:space="preserve"> </w:t>
      </w:r>
      <w:r>
        <w:t>formal</w:t>
      </w:r>
      <w:r>
        <w:rPr>
          <w:spacing w:val="-5"/>
        </w:rPr>
        <w:t xml:space="preserve"> </w:t>
      </w:r>
      <w:r>
        <w:t>ratification</w:t>
      </w:r>
      <w:r>
        <w:rPr>
          <w:spacing w:val="-3"/>
        </w:rPr>
        <w:t xml:space="preserve"> </w:t>
      </w:r>
      <w:r>
        <w:t>of</w:t>
      </w:r>
      <w:r>
        <w:rPr>
          <w:spacing w:val="-5"/>
        </w:rPr>
        <w:t xml:space="preserve"> </w:t>
      </w:r>
      <w:r>
        <w:t>regulations</w:t>
      </w:r>
      <w:r>
        <w:rPr>
          <w:spacing w:val="-5"/>
        </w:rPr>
        <w:t xml:space="preserve"> </w:t>
      </w:r>
      <w:r>
        <w:t>(like</w:t>
      </w:r>
      <w:r>
        <w:rPr>
          <w:spacing w:val="-5"/>
        </w:rPr>
        <w:t xml:space="preserve"> </w:t>
      </w:r>
      <w:r>
        <w:t>RAD</w:t>
      </w:r>
      <w:r>
        <w:rPr>
          <w:spacing w:val="-3"/>
        </w:rPr>
        <w:t xml:space="preserve"> </w:t>
      </w:r>
      <w:r>
        <w:t>PDs</w:t>
      </w:r>
      <w:r>
        <w:rPr>
          <w:spacing w:val="-3"/>
        </w:rPr>
        <w:t xml:space="preserve"> </w:t>
      </w:r>
      <w:r>
        <w:t>and</w:t>
      </w:r>
      <w:r>
        <w:rPr>
          <w:spacing w:val="-3"/>
        </w:rPr>
        <w:t xml:space="preserve"> </w:t>
      </w:r>
      <w:r>
        <w:t>Inclusive Musrenbang</w:t>
      </w:r>
      <w:r>
        <w:rPr>
          <w:spacing w:val="-6"/>
        </w:rPr>
        <w:t xml:space="preserve"> </w:t>
      </w:r>
      <w:r>
        <w:t>guidelines)</w:t>
      </w:r>
      <w:r>
        <w:rPr>
          <w:spacing w:val="-7"/>
        </w:rPr>
        <w:t xml:space="preserve"> </w:t>
      </w:r>
      <w:r>
        <w:t>that</w:t>
      </w:r>
      <w:r>
        <w:rPr>
          <w:spacing w:val="-6"/>
        </w:rPr>
        <w:t xml:space="preserve"> </w:t>
      </w:r>
      <w:r>
        <w:t>lock</w:t>
      </w:r>
      <w:r>
        <w:rPr>
          <w:spacing w:val="-5"/>
        </w:rPr>
        <w:t xml:space="preserve"> </w:t>
      </w:r>
      <w:r>
        <w:t>in</w:t>
      </w:r>
      <w:r>
        <w:rPr>
          <w:spacing w:val="-5"/>
        </w:rPr>
        <w:t xml:space="preserve"> </w:t>
      </w:r>
      <w:r>
        <w:t>PwD</w:t>
      </w:r>
      <w:r>
        <w:rPr>
          <w:spacing w:val="-5"/>
        </w:rPr>
        <w:t xml:space="preserve"> </w:t>
      </w:r>
      <w:r>
        <w:t>participation,</w:t>
      </w:r>
      <w:r>
        <w:rPr>
          <w:spacing w:val="-5"/>
        </w:rPr>
        <w:t xml:space="preserve"> </w:t>
      </w:r>
      <w:r>
        <w:t>making</w:t>
      </w:r>
      <w:r>
        <w:rPr>
          <w:spacing w:val="-6"/>
        </w:rPr>
        <w:t xml:space="preserve"> </w:t>
      </w:r>
      <w:r>
        <w:t>them</w:t>
      </w:r>
      <w:r>
        <w:rPr>
          <w:spacing w:val="-5"/>
        </w:rPr>
        <w:t xml:space="preserve"> </w:t>
      </w:r>
      <w:r>
        <w:t>resilient</w:t>
      </w:r>
      <w:r>
        <w:rPr>
          <w:spacing w:val="-6"/>
        </w:rPr>
        <w:t xml:space="preserve"> </w:t>
      </w:r>
      <w:r>
        <w:t>to</w:t>
      </w:r>
      <w:r>
        <w:rPr>
          <w:spacing w:val="-6"/>
        </w:rPr>
        <w:t xml:space="preserve"> </w:t>
      </w:r>
      <w:r>
        <w:t xml:space="preserve">political </w:t>
      </w:r>
      <w:r>
        <w:rPr>
          <w:spacing w:val="-2"/>
        </w:rPr>
        <w:t>transitions.</w:t>
      </w:r>
    </w:p>
    <w:p w14:paraId="33B97B08" w14:textId="77777777" w:rsidR="00BC24A8" w:rsidRDefault="00000000">
      <w:pPr>
        <w:pStyle w:val="BodyText"/>
        <w:spacing w:before="160" w:line="278" w:lineRule="auto"/>
        <w:ind w:left="143" w:right="280"/>
        <w:jc w:val="both"/>
      </w:pPr>
      <w:r>
        <w:t>Active Involvement and Intersectionality: The investment actively involves OPDs in planning and implementation. For example, in Maluku, the Puspa Forum, a civil society network focused on disabilities, was established with SKALA support to facilitate collaboration. In NTT, PwD participated directly</w:t>
      </w:r>
      <w:r>
        <w:rPr>
          <w:spacing w:val="-7"/>
        </w:rPr>
        <w:t xml:space="preserve"> </w:t>
      </w:r>
      <w:r>
        <w:t>in</w:t>
      </w:r>
      <w:r>
        <w:rPr>
          <w:spacing w:val="-8"/>
        </w:rPr>
        <w:t xml:space="preserve"> </w:t>
      </w:r>
      <w:r>
        <w:t>drafting</w:t>
      </w:r>
      <w:r>
        <w:rPr>
          <w:spacing w:val="-9"/>
        </w:rPr>
        <w:t xml:space="preserve"> </w:t>
      </w:r>
      <w:r>
        <w:t>the</w:t>
      </w:r>
      <w:r>
        <w:rPr>
          <w:spacing w:val="-9"/>
        </w:rPr>
        <w:t xml:space="preserve"> </w:t>
      </w:r>
      <w:r>
        <w:t>Inclusive</w:t>
      </w:r>
      <w:r>
        <w:rPr>
          <w:spacing w:val="-9"/>
        </w:rPr>
        <w:t xml:space="preserve"> </w:t>
      </w:r>
      <w:r>
        <w:t>Musrenbang</w:t>
      </w:r>
      <w:r>
        <w:rPr>
          <w:spacing w:val="-9"/>
        </w:rPr>
        <w:t xml:space="preserve"> </w:t>
      </w:r>
      <w:r>
        <w:t>guidelines.</w:t>
      </w:r>
      <w:r>
        <w:rPr>
          <w:spacing w:val="-7"/>
        </w:rPr>
        <w:t xml:space="preserve"> </w:t>
      </w:r>
      <w:r>
        <w:t>SKALA</w:t>
      </w:r>
      <w:r>
        <w:rPr>
          <w:spacing w:val="-8"/>
        </w:rPr>
        <w:t xml:space="preserve"> </w:t>
      </w:r>
      <w:r>
        <w:t>ensures</w:t>
      </w:r>
      <w:r>
        <w:rPr>
          <w:spacing w:val="-7"/>
        </w:rPr>
        <w:t xml:space="preserve"> </w:t>
      </w:r>
      <w:r>
        <w:t>that</w:t>
      </w:r>
      <w:r>
        <w:rPr>
          <w:spacing w:val="-9"/>
        </w:rPr>
        <w:t xml:space="preserve"> </w:t>
      </w:r>
      <w:r>
        <w:t>the</w:t>
      </w:r>
      <w:r>
        <w:rPr>
          <w:spacing w:val="-9"/>
        </w:rPr>
        <w:t xml:space="preserve"> </w:t>
      </w:r>
      <w:r>
        <w:t>investment</w:t>
      </w:r>
      <w:r>
        <w:rPr>
          <w:spacing w:val="-9"/>
        </w:rPr>
        <w:t xml:space="preserve"> </w:t>
      </w:r>
      <w:r>
        <w:t>is</w:t>
      </w:r>
      <w:r>
        <w:rPr>
          <w:spacing w:val="-7"/>
        </w:rPr>
        <w:t xml:space="preserve"> </w:t>
      </w:r>
      <w:r>
        <w:t>informed by comprehensive</w:t>
      </w:r>
      <w:r>
        <w:rPr>
          <w:spacing w:val="-4"/>
        </w:rPr>
        <w:t xml:space="preserve"> </w:t>
      </w:r>
      <w:r>
        <w:t>GEDSI</w:t>
      </w:r>
      <w:r>
        <w:rPr>
          <w:spacing w:val="-1"/>
        </w:rPr>
        <w:t xml:space="preserve"> </w:t>
      </w:r>
      <w:r>
        <w:t>analysis, which guides the</w:t>
      </w:r>
      <w:r>
        <w:rPr>
          <w:spacing w:val="-1"/>
        </w:rPr>
        <w:t xml:space="preserve"> </w:t>
      </w:r>
      <w:r>
        <w:t>integration of</w:t>
      </w:r>
      <w:r>
        <w:rPr>
          <w:spacing w:val="-1"/>
        </w:rPr>
        <w:t xml:space="preserve"> </w:t>
      </w:r>
      <w:r>
        <w:t>PwD</w:t>
      </w:r>
      <w:r>
        <w:rPr>
          <w:spacing w:val="-2"/>
        </w:rPr>
        <w:t xml:space="preserve"> </w:t>
      </w:r>
      <w:r>
        <w:t>needs</w:t>
      </w:r>
      <w:r>
        <w:rPr>
          <w:spacing w:val="-1"/>
        </w:rPr>
        <w:t xml:space="preserve"> </w:t>
      </w:r>
      <w:r>
        <w:t>across</w:t>
      </w:r>
      <w:r>
        <w:rPr>
          <w:spacing w:val="-1"/>
        </w:rPr>
        <w:t xml:space="preserve"> </w:t>
      </w:r>
      <w:r>
        <w:t>all</w:t>
      </w:r>
      <w:r>
        <w:rPr>
          <w:spacing w:val="-1"/>
        </w:rPr>
        <w:t xml:space="preserve"> </w:t>
      </w:r>
      <w:r>
        <w:t>thematic areas (PFM,</w:t>
      </w:r>
      <w:r>
        <w:rPr>
          <w:spacing w:val="-13"/>
        </w:rPr>
        <w:t xml:space="preserve"> </w:t>
      </w:r>
      <w:r>
        <w:t>Data,</w:t>
      </w:r>
      <w:r>
        <w:rPr>
          <w:spacing w:val="-11"/>
        </w:rPr>
        <w:t xml:space="preserve"> </w:t>
      </w:r>
      <w:r>
        <w:t>MSS).</w:t>
      </w:r>
      <w:r>
        <w:rPr>
          <w:spacing w:val="-11"/>
        </w:rPr>
        <w:t xml:space="preserve"> </w:t>
      </w:r>
      <w:r>
        <w:t>The</w:t>
      </w:r>
      <w:r>
        <w:rPr>
          <w:spacing w:val="-13"/>
        </w:rPr>
        <w:t xml:space="preserve"> </w:t>
      </w:r>
      <w:r>
        <w:t>issue</w:t>
      </w:r>
      <w:r>
        <w:rPr>
          <w:spacing w:val="-12"/>
        </w:rPr>
        <w:t xml:space="preserve"> </w:t>
      </w:r>
      <w:r>
        <w:t>of</w:t>
      </w:r>
      <w:r>
        <w:rPr>
          <w:spacing w:val="-13"/>
        </w:rPr>
        <w:t xml:space="preserve"> </w:t>
      </w:r>
      <w:r>
        <w:t>intersectionality</w:t>
      </w:r>
      <w:r>
        <w:rPr>
          <w:spacing w:val="-11"/>
        </w:rPr>
        <w:t xml:space="preserve"> </w:t>
      </w:r>
      <w:r>
        <w:t>is</w:t>
      </w:r>
      <w:r>
        <w:rPr>
          <w:spacing w:val="-11"/>
        </w:rPr>
        <w:t xml:space="preserve"> </w:t>
      </w:r>
      <w:r>
        <w:t>addressed</w:t>
      </w:r>
      <w:r>
        <w:rPr>
          <w:spacing w:val="-11"/>
        </w:rPr>
        <w:t xml:space="preserve"> </w:t>
      </w:r>
      <w:r>
        <w:t>by</w:t>
      </w:r>
      <w:r>
        <w:rPr>
          <w:spacing w:val="-11"/>
        </w:rPr>
        <w:t xml:space="preserve"> </w:t>
      </w:r>
      <w:r>
        <w:t>advocating</w:t>
      </w:r>
      <w:r>
        <w:rPr>
          <w:spacing w:val="-12"/>
        </w:rPr>
        <w:t xml:space="preserve"> </w:t>
      </w:r>
      <w:r>
        <w:t>for</w:t>
      </w:r>
      <w:r>
        <w:rPr>
          <w:spacing w:val="-11"/>
        </w:rPr>
        <w:t xml:space="preserve"> </w:t>
      </w:r>
      <w:r>
        <w:t>GEDSI</w:t>
      </w:r>
      <w:r>
        <w:rPr>
          <w:spacing w:val="-13"/>
        </w:rPr>
        <w:t xml:space="preserve"> </w:t>
      </w:r>
      <w:r>
        <w:t>integration</w:t>
      </w:r>
      <w:r>
        <w:rPr>
          <w:spacing w:val="-11"/>
        </w:rPr>
        <w:t xml:space="preserve"> </w:t>
      </w:r>
      <w:r>
        <w:t>in</w:t>
      </w:r>
      <w:r>
        <w:rPr>
          <w:spacing w:val="-11"/>
        </w:rPr>
        <w:t xml:space="preserve"> </w:t>
      </w:r>
      <w:r>
        <w:t>long- term</w:t>
      </w:r>
      <w:r>
        <w:rPr>
          <w:spacing w:val="-13"/>
        </w:rPr>
        <w:t xml:space="preserve"> </w:t>
      </w:r>
      <w:r>
        <w:t>planning</w:t>
      </w:r>
      <w:r>
        <w:rPr>
          <w:spacing w:val="-12"/>
        </w:rPr>
        <w:t xml:space="preserve"> </w:t>
      </w:r>
      <w:r>
        <w:t>documents</w:t>
      </w:r>
      <w:r>
        <w:rPr>
          <w:spacing w:val="-12"/>
        </w:rPr>
        <w:t xml:space="preserve"> </w:t>
      </w:r>
      <w:r>
        <w:t>(RPJPD/RPJMD),</w:t>
      </w:r>
      <w:r>
        <w:rPr>
          <w:spacing w:val="-11"/>
        </w:rPr>
        <w:t xml:space="preserve"> </w:t>
      </w:r>
      <w:r>
        <w:t>ensuring</w:t>
      </w:r>
      <w:r>
        <w:rPr>
          <w:spacing w:val="-13"/>
        </w:rPr>
        <w:t xml:space="preserve"> </w:t>
      </w:r>
      <w:r>
        <w:t>that</w:t>
      </w:r>
      <w:r>
        <w:rPr>
          <w:spacing w:val="-12"/>
        </w:rPr>
        <w:t xml:space="preserve"> </w:t>
      </w:r>
      <w:r>
        <w:t>gender</w:t>
      </w:r>
      <w:r>
        <w:rPr>
          <w:spacing w:val="-12"/>
        </w:rPr>
        <w:t xml:space="preserve"> </w:t>
      </w:r>
      <w:r>
        <w:t>mainstreaming</w:t>
      </w:r>
      <w:r>
        <w:rPr>
          <w:spacing w:val="-13"/>
        </w:rPr>
        <w:t xml:space="preserve"> </w:t>
      </w:r>
      <w:r>
        <w:t>strategies</w:t>
      </w:r>
      <w:r>
        <w:rPr>
          <w:spacing w:val="-12"/>
        </w:rPr>
        <w:t xml:space="preserve"> </w:t>
      </w:r>
      <w:r>
        <w:t>and</w:t>
      </w:r>
      <w:r>
        <w:rPr>
          <w:spacing w:val="-12"/>
        </w:rPr>
        <w:t xml:space="preserve"> </w:t>
      </w:r>
      <w:r>
        <w:t>disability action plans are integrated to ensure no vulnerable group is left behind.</w:t>
      </w:r>
    </w:p>
    <w:p w14:paraId="6DB1A38A" w14:textId="77777777" w:rsidR="00BC24A8" w:rsidRDefault="00BC24A8">
      <w:pPr>
        <w:pStyle w:val="BodyText"/>
        <w:spacing w:line="278" w:lineRule="auto"/>
        <w:jc w:val="both"/>
        <w:sectPr w:rsidR="00BC24A8">
          <w:pgSz w:w="11910" w:h="16840"/>
          <w:pgMar w:top="1360" w:right="1133" w:bottom="1100" w:left="1275" w:header="0" w:footer="907" w:gutter="0"/>
          <w:cols w:space="720"/>
        </w:sectPr>
      </w:pPr>
    </w:p>
    <w:p w14:paraId="52DBE9D4" w14:textId="77777777" w:rsidR="00BC24A8" w:rsidRDefault="00000000">
      <w:pPr>
        <w:pStyle w:val="Heading1"/>
        <w:jc w:val="both"/>
      </w:pPr>
      <w:bookmarkStart w:id="69" w:name="Climate_Change"/>
      <w:bookmarkStart w:id="70" w:name="_bookmark43"/>
      <w:bookmarkEnd w:id="69"/>
      <w:bookmarkEnd w:id="70"/>
      <w:r w:rsidRPr="00795364">
        <w:rPr>
          <w:color w:val="00A59C"/>
        </w:rPr>
        <w:lastRenderedPageBreak/>
        <w:t>Climate</w:t>
      </w:r>
      <w:r w:rsidRPr="00795364">
        <w:rPr>
          <w:color w:val="00A59C"/>
          <w:spacing w:val="-46"/>
        </w:rPr>
        <w:t xml:space="preserve"> </w:t>
      </w:r>
      <w:r w:rsidRPr="00795364">
        <w:rPr>
          <w:color w:val="00A59C"/>
          <w:spacing w:val="-2"/>
        </w:rPr>
        <w:t>Change</w:t>
      </w:r>
    </w:p>
    <w:p w14:paraId="59A65E3A" w14:textId="77777777" w:rsidR="00BC24A8" w:rsidRDefault="00000000">
      <w:pPr>
        <w:pStyle w:val="BodyText"/>
        <w:spacing w:before="586" w:line="278" w:lineRule="auto"/>
        <w:ind w:left="143" w:right="280"/>
        <w:jc w:val="both"/>
      </w:pPr>
      <w:r>
        <w:t>During this reporting period, SKALA operationalised its Climate Integration Plan (2025–2026), aligning with Australia’s 2023 International Development Policy and the Indonesia Development Partnership Plan. The plan provides a framework for embedding climate risk and opportunity assessments across SKALA’s</w:t>
      </w:r>
      <w:r>
        <w:rPr>
          <w:spacing w:val="-1"/>
        </w:rPr>
        <w:t xml:space="preserve"> </w:t>
      </w:r>
      <w:r>
        <w:t>workstreams,</w:t>
      </w:r>
      <w:r>
        <w:rPr>
          <w:spacing w:val="-1"/>
        </w:rPr>
        <w:t xml:space="preserve"> </w:t>
      </w:r>
      <w:r>
        <w:t>with</w:t>
      </w:r>
      <w:r>
        <w:rPr>
          <w:spacing w:val="-3"/>
        </w:rPr>
        <w:t xml:space="preserve"> </w:t>
      </w:r>
      <w:r>
        <w:t>a</w:t>
      </w:r>
      <w:r>
        <w:rPr>
          <w:spacing w:val="-2"/>
        </w:rPr>
        <w:t xml:space="preserve"> </w:t>
      </w:r>
      <w:r>
        <w:t>focus</w:t>
      </w:r>
      <w:r>
        <w:rPr>
          <w:spacing w:val="-1"/>
        </w:rPr>
        <w:t xml:space="preserve"> </w:t>
      </w:r>
      <w:r>
        <w:t>on</w:t>
      </w:r>
      <w:r>
        <w:rPr>
          <w:spacing w:val="-3"/>
        </w:rPr>
        <w:t xml:space="preserve"> </w:t>
      </w:r>
      <w:r>
        <w:t>supporting</w:t>
      </w:r>
      <w:r>
        <w:rPr>
          <w:spacing w:val="-4"/>
        </w:rPr>
        <w:t xml:space="preserve"> </w:t>
      </w:r>
      <w:r>
        <w:t>subnational</w:t>
      </w:r>
      <w:r>
        <w:rPr>
          <w:spacing w:val="-2"/>
        </w:rPr>
        <w:t xml:space="preserve"> </w:t>
      </w:r>
      <w:r>
        <w:t>governments</w:t>
      </w:r>
      <w:r>
        <w:rPr>
          <w:spacing w:val="-1"/>
        </w:rPr>
        <w:t xml:space="preserve"> </w:t>
      </w:r>
      <w:r>
        <w:t>to</w:t>
      </w:r>
      <w:r>
        <w:rPr>
          <w:spacing w:val="-1"/>
        </w:rPr>
        <w:t xml:space="preserve"> </w:t>
      </w:r>
      <w:r>
        <w:t>adapt</w:t>
      </w:r>
      <w:r>
        <w:rPr>
          <w:spacing w:val="-2"/>
        </w:rPr>
        <w:t xml:space="preserve"> </w:t>
      </w:r>
      <w:r>
        <w:t>to</w:t>
      </w:r>
      <w:r>
        <w:rPr>
          <w:spacing w:val="-1"/>
        </w:rPr>
        <w:t xml:space="preserve"> </w:t>
      </w:r>
      <w:r>
        <w:t>climate</w:t>
      </w:r>
      <w:r>
        <w:rPr>
          <w:spacing w:val="-2"/>
        </w:rPr>
        <w:t xml:space="preserve"> </w:t>
      </w:r>
      <w:r>
        <w:t>change while strengthening inclusive service delivery.</w:t>
      </w:r>
    </w:p>
    <w:p w14:paraId="5E79CCB5" w14:textId="77777777" w:rsidR="00BC24A8" w:rsidRDefault="00000000">
      <w:pPr>
        <w:pStyle w:val="Heading4"/>
      </w:pPr>
      <w:bookmarkStart w:id="71" w:name="Context_and_Rationale"/>
      <w:bookmarkStart w:id="72" w:name="_bookmark44"/>
      <w:bookmarkEnd w:id="71"/>
      <w:bookmarkEnd w:id="72"/>
      <w:r>
        <w:rPr>
          <w:color w:val="17365A"/>
          <w:spacing w:val="-4"/>
        </w:rPr>
        <w:t>Context</w:t>
      </w:r>
      <w:r>
        <w:rPr>
          <w:color w:val="17365A"/>
          <w:spacing w:val="-25"/>
        </w:rPr>
        <w:t xml:space="preserve"> </w:t>
      </w:r>
      <w:r>
        <w:rPr>
          <w:color w:val="17365A"/>
          <w:spacing w:val="-4"/>
        </w:rPr>
        <w:t>and</w:t>
      </w:r>
      <w:r>
        <w:rPr>
          <w:color w:val="17365A"/>
          <w:spacing w:val="-21"/>
        </w:rPr>
        <w:t xml:space="preserve"> </w:t>
      </w:r>
      <w:r>
        <w:rPr>
          <w:color w:val="17365A"/>
          <w:spacing w:val="-4"/>
        </w:rPr>
        <w:t>Rationale</w:t>
      </w:r>
    </w:p>
    <w:p w14:paraId="01AF1C57" w14:textId="77777777" w:rsidR="00BC24A8" w:rsidRDefault="00000000">
      <w:pPr>
        <w:pStyle w:val="BodyText"/>
        <w:spacing w:before="256" w:line="278" w:lineRule="auto"/>
        <w:ind w:left="143" w:right="280"/>
        <w:jc w:val="both"/>
      </w:pPr>
      <w:r>
        <w:t>Indonesia faces acute vulnerabilities from climate impacts, including floods, droughts, coastal erosion, and sea level rise. These risks disproportionately affect</w:t>
      </w:r>
      <w:r>
        <w:rPr>
          <w:spacing w:val="-1"/>
        </w:rPr>
        <w:t xml:space="preserve"> </w:t>
      </w:r>
      <w:r>
        <w:t>poor and marginalised communities, especially those</w:t>
      </w:r>
      <w:r>
        <w:rPr>
          <w:spacing w:val="-13"/>
        </w:rPr>
        <w:t xml:space="preserve"> </w:t>
      </w:r>
      <w:r>
        <w:t>living</w:t>
      </w:r>
      <w:r>
        <w:rPr>
          <w:spacing w:val="-12"/>
        </w:rPr>
        <w:t xml:space="preserve"> </w:t>
      </w:r>
      <w:r>
        <w:t>in</w:t>
      </w:r>
      <w:r>
        <w:rPr>
          <w:spacing w:val="-13"/>
        </w:rPr>
        <w:t xml:space="preserve"> </w:t>
      </w:r>
      <w:r>
        <w:t>coastal</w:t>
      </w:r>
      <w:r>
        <w:rPr>
          <w:spacing w:val="-12"/>
        </w:rPr>
        <w:t xml:space="preserve"> </w:t>
      </w:r>
      <w:r>
        <w:t>and</w:t>
      </w:r>
      <w:r>
        <w:rPr>
          <w:spacing w:val="-13"/>
        </w:rPr>
        <w:t xml:space="preserve"> </w:t>
      </w:r>
      <w:r>
        <w:t>disaster-prone</w:t>
      </w:r>
      <w:r>
        <w:rPr>
          <w:spacing w:val="-12"/>
        </w:rPr>
        <w:t xml:space="preserve"> </w:t>
      </w:r>
      <w:r>
        <w:t>areas.</w:t>
      </w:r>
      <w:r>
        <w:rPr>
          <w:spacing w:val="-13"/>
        </w:rPr>
        <w:t xml:space="preserve"> </w:t>
      </w:r>
      <w:r>
        <w:t>Yet,</w:t>
      </w:r>
      <w:r>
        <w:rPr>
          <w:spacing w:val="-12"/>
        </w:rPr>
        <w:t xml:space="preserve"> </w:t>
      </w:r>
      <w:r>
        <w:t>local</w:t>
      </w:r>
      <w:r>
        <w:rPr>
          <w:spacing w:val="-12"/>
        </w:rPr>
        <w:t xml:space="preserve"> </w:t>
      </w:r>
      <w:r>
        <w:t>planning</w:t>
      </w:r>
      <w:r>
        <w:rPr>
          <w:spacing w:val="-13"/>
        </w:rPr>
        <w:t xml:space="preserve"> </w:t>
      </w:r>
      <w:r>
        <w:t>and</w:t>
      </w:r>
      <w:r>
        <w:rPr>
          <w:spacing w:val="-12"/>
        </w:rPr>
        <w:t xml:space="preserve"> </w:t>
      </w:r>
      <w:r>
        <w:t>budgeting</w:t>
      </w:r>
      <w:r>
        <w:rPr>
          <w:spacing w:val="-13"/>
        </w:rPr>
        <w:t xml:space="preserve"> </w:t>
      </w:r>
      <w:r>
        <w:t>processes</w:t>
      </w:r>
      <w:r>
        <w:rPr>
          <w:spacing w:val="-12"/>
        </w:rPr>
        <w:t xml:space="preserve"> </w:t>
      </w:r>
      <w:r>
        <w:t>often</w:t>
      </w:r>
      <w:r>
        <w:rPr>
          <w:spacing w:val="-13"/>
        </w:rPr>
        <w:t xml:space="preserve"> </w:t>
      </w:r>
      <w:r>
        <w:t>do</w:t>
      </w:r>
      <w:r>
        <w:rPr>
          <w:spacing w:val="-12"/>
        </w:rPr>
        <w:t xml:space="preserve"> </w:t>
      </w:r>
      <w:r>
        <w:t>not adequately account for</w:t>
      </w:r>
      <w:r>
        <w:rPr>
          <w:spacing w:val="-1"/>
        </w:rPr>
        <w:t xml:space="preserve"> </w:t>
      </w:r>
      <w:r>
        <w:t>climate</w:t>
      </w:r>
      <w:r>
        <w:rPr>
          <w:spacing w:val="-1"/>
        </w:rPr>
        <w:t xml:space="preserve"> </w:t>
      </w:r>
      <w:r>
        <w:t>risks.</w:t>
      </w:r>
      <w:r>
        <w:rPr>
          <w:spacing w:val="-1"/>
        </w:rPr>
        <w:t xml:space="preserve"> </w:t>
      </w:r>
      <w:r>
        <w:t>SKALA’s approach responds</w:t>
      </w:r>
      <w:r>
        <w:rPr>
          <w:spacing w:val="-1"/>
        </w:rPr>
        <w:t xml:space="preserve"> </w:t>
      </w:r>
      <w:r>
        <w:t>to this gap</w:t>
      </w:r>
      <w:r>
        <w:rPr>
          <w:spacing w:val="-2"/>
        </w:rPr>
        <w:t xml:space="preserve"> </w:t>
      </w:r>
      <w:r>
        <w:t>by</w:t>
      </w:r>
      <w:r>
        <w:rPr>
          <w:spacing w:val="-1"/>
        </w:rPr>
        <w:t xml:space="preserve"> </w:t>
      </w:r>
      <w:r>
        <w:t>mainstreaming climate analysis into its governance and fiscal strengthening agenda, ensuring that public resources are better positioned to build resilience and protect vulnerable populations.</w:t>
      </w:r>
    </w:p>
    <w:p w14:paraId="35DEEE41" w14:textId="77777777" w:rsidR="00BC24A8" w:rsidRDefault="00000000">
      <w:pPr>
        <w:pStyle w:val="Heading4"/>
        <w:spacing w:before="159"/>
      </w:pPr>
      <w:bookmarkStart w:id="73" w:name="Progress_and_Achievements"/>
      <w:bookmarkStart w:id="74" w:name="_bookmark45"/>
      <w:bookmarkEnd w:id="73"/>
      <w:bookmarkEnd w:id="74"/>
      <w:r>
        <w:rPr>
          <w:color w:val="17365A"/>
        </w:rPr>
        <w:t>Progress</w:t>
      </w:r>
      <w:r>
        <w:rPr>
          <w:color w:val="17365A"/>
          <w:spacing w:val="-29"/>
        </w:rPr>
        <w:t xml:space="preserve"> </w:t>
      </w:r>
      <w:r>
        <w:rPr>
          <w:color w:val="17365A"/>
        </w:rPr>
        <w:t>and</w:t>
      </w:r>
      <w:r>
        <w:rPr>
          <w:color w:val="17365A"/>
          <w:spacing w:val="-28"/>
        </w:rPr>
        <w:t xml:space="preserve"> </w:t>
      </w:r>
      <w:r>
        <w:rPr>
          <w:color w:val="17365A"/>
          <w:spacing w:val="-2"/>
        </w:rPr>
        <w:t>Achievements</w:t>
      </w:r>
    </w:p>
    <w:p w14:paraId="4466F361" w14:textId="77777777" w:rsidR="00BC24A8" w:rsidRDefault="00000000">
      <w:pPr>
        <w:pStyle w:val="BodyText"/>
        <w:spacing w:before="256"/>
        <w:ind w:left="143"/>
        <w:jc w:val="both"/>
      </w:pPr>
      <w:r>
        <w:t>Key</w:t>
      </w:r>
      <w:r>
        <w:rPr>
          <w:spacing w:val="-7"/>
        </w:rPr>
        <w:t xml:space="preserve"> </w:t>
      </w:r>
      <w:r>
        <w:t>achievements</w:t>
      </w:r>
      <w:r>
        <w:rPr>
          <w:spacing w:val="-4"/>
        </w:rPr>
        <w:t xml:space="preserve"> </w:t>
      </w:r>
      <w:r>
        <w:t>in</w:t>
      </w:r>
      <w:r>
        <w:rPr>
          <w:spacing w:val="-7"/>
        </w:rPr>
        <w:t xml:space="preserve"> </w:t>
      </w:r>
      <w:r>
        <w:t>the</w:t>
      </w:r>
      <w:r>
        <w:rPr>
          <w:spacing w:val="-6"/>
        </w:rPr>
        <w:t xml:space="preserve"> </w:t>
      </w:r>
      <w:r>
        <w:t>first</w:t>
      </w:r>
      <w:r>
        <w:rPr>
          <w:spacing w:val="-6"/>
        </w:rPr>
        <w:t xml:space="preserve"> </w:t>
      </w:r>
      <w:r>
        <w:t>half</w:t>
      </w:r>
      <w:r>
        <w:rPr>
          <w:spacing w:val="-6"/>
        </w:rPr>
        <w:t xml:space="preserve"> </w:t>
      </w:r>
      <w:r>
        <w:t>of</w:t>
      </w:r>
      <w:r>
        <w:rPr>
          <w:spacing w:val="-6"/>
        </w:rPr>
        <w:t xml:space="preserve"> </w:t>
      </w:r>
      <w:r>
        <w:t>2025</w:t>
      </w:r>
      <w:r>
        <w:rPr>
          <w:spacing w:val="-5"/>
        </w:rPr>
        <w:t xml:space="preserve"> </w:t>
      </w:r>
      <w:r>
        <w:rPr>
          <w:spacing w:val="-2"/>
        </w:rPr>
        <w:t>include:</w:t>
      </w:r>
    </w:p>
    <w:p w14:paraId="3C93B0D2" w14:textId="77777777" w:rsidR="00BC24A8" w:rsidRDefault="00000000">
      <w:pPr>
        <w:pStyle w:val="ListParagraph"/>
        <w:numPr>
          <w:ilvl w:val="0"/>
          <w:numId w:val="164"/>
        </w:numPr>
        <w:tabs>
          <w:tab w:val="left" w:pos="863"/>
        </w:tabs>
        <w:spacing w:before="202" w:line="278" w:lineRule="auto"/>
        <w:ind w:right="414"/>
        <w:jc w:val="left"/>
      </w:pPr>
      <w:r>
        <w:t>Mainstreaming</w:t>
      </w:r>
      <w:r>
        <w:rPr>
          <w:spacing w:val="-4"/>
        </w:rPr>
        <w:t xml:space="preserve"> </w:t>
      </w:r>
      <w:r>
        <w:t>climate into</w:t>
      </w:r>
      <w:r>
        <w:rPr>
          <w:spacing w:val="-3"/>
        </w:rPr>
        <w:t xml:space="preserve"> </w:t>
      </w:r>
      <w:r>
        <w:t>fiscal</w:t>
      </w:r>
      <w:r>
        <w:rPr>
          <w:spacing w:val="-2"/>
        </w:rPr>
        <w:t xml:space="preserve"> </w:t>
      </w:r>
      <w:r>
        <w:t>analysis:</w:t>
      </w:r>
      <w:r>
        <w:rPr>
          <w:spacing w:val="-1"/>
        </w:rPr>
        <w:t xml:space="preserve"> </w:t>
      </w:r>
      <w:r>
        <w:t>Collaboration with LPEM-UI</w:t>
      </w:r>
      <w:r>
        <w:rPr>
          <w:spacing w:val="-2"/>
        </w:rPr>
        <w:t xml:space="preserve"> </w:t>
      </w:r>
      <w:r>
        <w:t>on Public</w:t>
      </w:r>
      <w:r>
        <w:rPr>
          <w:spacing w:val="-1"/>
        </w:rPr>
        <w:t xml:space="preserve"> </w:t>
      </w:r>
      <w:r>
        <w:t>Expenditure and</w:t>
      </w:r>
      <w:r>
        <w:rPr>
          <w:spacing w:val="-7"/>
        </w:rPr>
        <w:t xml:space="preserve"> </w:t>
      </w:r>
      <w:r>
        <w:t>Revenue</w:t>
      </w:r>
      <w:r>
        <w:rPr>
          <w:spacing w:val="-9"/>
        </w:rPr>
        <w:t xml:space="preserve"> </w:t>
      </w:r>
      <w:r>
        <w:t>Analysis</w:t>
      </w:r>
      <w:r>
        <w:rPr>
          <w:spacing w:val="-7"/>
        </w:rPr>
        <w:t xml:space="preserve"> </w:t>
      </w:r>
      <w:r>
        <w:t>(PERA)</w:t>
      </w:r>
      <w:r>
        <w:rPr>
          <w:spacing w:val="-9"/>
        </w:rPr>
        <w:t xml:space="preserve"> </w:t>
      </w:r>
      <w:r>
        <w:t>in</w:t>
      </w:r>
      <w:r>
        <w:rPr>
          <w:spacing w:val="-7"/>
        </w:rPr>
        <w:t xml:space="preserve"> </w:t>
      </w:r>
      <w:r>
        <w:t>eight</w:t>
      </w:r>
      <w:r>
        <w:rPr>
          <w:spacing w:val="-8"/>
        </w:rPr>
        <w:t xml:space="preserve"> </w:t>
      </w:r>
      <w:r>
        <w:t>provinces</w:t>
      </w:r>
      <w:r>
        <w:rPr>
          <w:spacing w:val="-7"/>
        </w:rPr>
        <w:t xml:space="preserve"> </w:t>
      </w:r>
      <w:r>
        <w:t>highlighted</w:t>
      </w:r>
      <w:r>
        <w:rPr>
          <w:spacing w:val="-7"/>
        </w:rPr>
        <w:t xml:space="preserve"> </w:t>
      </w:r>
      <w:r>
        <w:t>how</w:t>
      </w:r>
      <w:r>
        <w:rPr>
          <w:spacing w:val="-11"/>
        </w:rPr>
        <w:t xml:space="preserve"> </w:t>
      </w:r>
      <w:r>
        <w:t>environmental</w:t>
      </w:r>
      <w:r>
        <w:rPr>
          <w:spacing w:val="-9"/>
        </w:rPr>
        <w:t xml:space="preserve"> </w:t>
      </w:r>
      <w:r>
        <w:t>vulnerabilities affect service delivery and identified opportunities to strengthen resilience through planning and budgeting.</w:t>
      </w:r>
    </w:p>
    <w:p w14:paraId="08F3474D" w14:textId="77777777" w:rsidR="00BC24A8" w:rsidRDefault="00000000">
      <w:pPr>
        <w:pStyle w:val="ListParagraph"/>
        <w:numPr>
          <w:ilvl w:val="0"/>
          <w:numId w:val="164"/>
        </w:numPr>
        <w:tabs>
          <w:tab w:val="left" w:pos="863"/>
        </w:tabs>
        <w:spacing w:before="158" w:line="278" w:lineRule="auto"/>
        <w:ind w:right="415"/>
        <w:jc w:val="left"/>
      </w:pPr>
      <w:r>
        <w:t>Improved disaster risk planning: In NTB and Maluku, SKALA supported the Housing Department (Perkim) to combine</w:t>
      </w:r>
      <w:r>
        <w:rPr>
          <w:spacing w:val="-2"/>
        </w:rPr>
        <w:t xml:space="preserve"> </w:t>
      </w:r>
      <w:r>
        <w:t>spatial data with</w:t>
      </w:r>
      <w:r>
        <w:rPr>
          <w:spacing w:val="-3"/>
        </w:rPr>
        <w:t xml:space="preserve"> </w:t>
      </w:r>
      <w:r>
        <w:t>REGSOSEK</w:t>
      </w:r>
      <w:r>
        <w:rPr>
          <w:spacing w:val="-2"/>
        </w:rPr>
        <w:t xml:space="preserve"> </w:t>
      </w:r>
      <w:r>
        <w:t>socioeconomic</w:t>
      </w:r>
      <w:r>
        <w:rPr>
          <w:spacing w:val="-2"/>
        </w:rPr>
        <w:t xml:space="preserve"> </w:t>
      </w:r>
      <w:r>
        <w:t>data to identify households</w:t>
      </w:r>
      <w:r>
        <w:rPr>
          <w:spacing w:val="-8"/>
        </w:rPr>
        <w:t xml:space="preserve"> </w:t>
      </w:r>
      <w:r>
        <w:t>most</w:t>
      </w:r>
      <w:r>
        <w:rPr>
          <w:spacing w:val="-7"/>
        </w:rPr>
        <w:t xml:space="preserve"> </w:t>
      </w:r>
      <w:r>
        <w:t>exposed</w:t>
      </w:r>
      <w:r>
        <w:rPr>
          <w:spacing w:val="-6"/>
        </w:rPr>
        <w:t xml:space="preserve"> </w:t>
      </w:r>
      <w:r>
        <w:t>to</w:t>
      </w:r>
      <w:r>
        <w:rPr>
          <w:spacing w:val="-7"/>
        </w:rPr>
        <w:t xml:space="preserve"> </w:t>
      </w:r>
      <w:r>
        <w:t>disaster</w:t>
      </w:r>
      <w:r>
        <w:rPr>
          <w:spacing w:val="-6"/>
        </w:rPr>
        <w:t xml:space="preserve"> </w:t>
      </w:r>
      <w:r>
        <w:t>risks.</w:t>
      </w:r>
      <w:r>
        <w:rPr>
          <w:spacing w:val="-6"/>
        </w:rPr>
        <w:t xml:space="preserve"> </w:t>
      </w:r>
      <w:r>
        <w:t>This</w:t>
      </w:r>
      <w:r>
        <w:rPr>
          <w:spacing w:val="-6"/>
        </w:rPr>
        <w:t xml:space="preserve"> </w:t>
      </w:r>
      <w:r>
        <w:t>innovation</w:t>
      </w:r>
      <w:r>
        <w:rPr>
          <w:spacing w:val="-6"/>
        </w:rPr>
        <w:t xml:space="preserve"> </w:t>
      </w:r>
      <w:r>
        <w:t>allows</w:t>
      </w:r>
      <w:r>
        <w:rPr>
          <w:spacing w:val="-6"/>
        </w:rPr>
        <w:t xml:space="preserve"> </w:t>
      </w:r>
      <w:r>
        <w:t>more</w:t>
      </w:r>
      <w:r>
        <w:rPr>
          <w:spacing w:val="-8"/>
        </w:rPr>
        <w:t xml:space="preserve"> </w:t>
      </w:r>
      <w:r>
        <w:t>equitable</w:t>
      </w:r>
      <w:r>
        <w:rPr>
          <w:spacing w:val="-10"/>
        </w:rPr>
        <w:t xml:space="preserve"> </w:t>
      </w:r>
      <w:r>
        <w:t>targeting</w:t>
      </w:r>
      <w:r>
        <w:rPr>
          <w:spacing w:val="-7"/>
        </w:rPr>
        <w:t xml:space="preserve"> </w:t>
      </w:r>
      <w:r>
        <w:t>of disaster-preparedness interventions and represents a step change in data-driven planning.</w:t>
      </w:r>
    </w:p>
    <w:p w14:paraId="780314BC" w14:textId="77777777" w:rsidR="00BC24A8" w:rsidRDefault="00000000">
      <w:pPr>
        <w:pStyle w:val="ListParagraph"/>
        <w:numPr>
          <w:ilvl w:val="0"/>
          <w:numId w:val="164"/>
        </w:numPr>
        <w:tabs>
          <w:tab w:val="left" w:pos="863"/>
        </w:tabs>
        <w:spacing w:before="158" w:line="278" w:lineRule="auto"/>
        <w:ind w:right="322"/>
        <w:jc w:val="left"/>
      </w:pPr>
      <w:r>
        <w:t>National–subnational</w:t>
      </w:r>
      <w:r>
        <w:rPr>
          <w:spacing w:val="-8"/>
        </w:rPr>
        <w:t xml:space="preserve"> </w:t>
      </w:r>
      <w:r>
        <w:t>policy</w:t>
      </w:r>
      <w:r>
        <w:rPr>
          <w:spacing w:val="-8"/>
        </w:rPr>
        <w:t xml:space="preserve"> </w:t>
      </w:r>
      <w:r>
        <w:t>alignment:</w:t>
      </w:r>
      <w:r>
        <w:rPr>
          <w:spacing w:val="-7"/>
        </w:rPr>
        <w:t xml:space="preserve"> </w:t>
      </w:r>
      <w:r>
        <w:t>At</w:t>
      </w:r>
      <w:r>
        <w:rPr>
          <w:spacing w:val="-10"/>
        </w:rPr>
        <w:t xml:space="preserve"> </w:t>
      </w:r>
      <w:r>
        <w:t>BAPPENAS’s</w:t>
      </w:r>
      <w:r>
        <w:rPr>
          <w:spacing w:val="-8"/>
        </w:rPr>
        <w:t xml:space="preserve"> </w:t>
      </w:r>
      <w:r>
        <w:t>request,</w:t>
      </w:r>
      <w:r>
        <w:rPr>
          <w:spacing w:val="-7"/>
        </w:rPr>
        <w:t xml:space="preserve"> </w:t>
      </w:r>
      <w:r>
        <w:t>SKALA</w:t>
      </w:r>
      <w:r>
        <w:rPr>
          <w:spacing w:val="-9"/>
        </w:rPr>
        <w:t xml:space="preserve"> </w:t>
      </w:r>
      <w:r>
        <w:t>supported</w:t>
      </w:r>
      <w:r>
        <w:rPr>
          <w:spacing w:val="-7"/>
        </w:rPr>
        <w:t xml:space="preserve"> </w:t>
      </w:r>
      <w:r>
        <w:t>the</w:t>
      </w:r>
      <w:r>
        <w:rPr>
          <w:spacing w:val="-8"/>
        </w:rPr>
        <w:t xml:space="preserve"> </w:t>
      </w:r>
      <w:r>
        <w:t>inclusion of</w:t>
      </w:r>
      <w:r>
        <w:rPr>
          <w:spacing w:val="-3"/>
        </w:rPr>
        <w:t xml:space="preserve"> </w:t>
      </w:r>
      <w:r>
        <w:t>a</w:t>
      </w:r>
      <w:r>
        <w:rPr>
          <w:spacing w:val="-5"/>
        </w:rPr>
        <w:t xml:space="preserve"> </w:t>
      </w:r>
      <w:r>
        <w:t>sea</w:t>
      </w:r>
      <w:r>
        <w:rPr>
          <w:spacing w:val="-3"/>
        </w:rPr>
        <w:t xml:space="preserve"> </w:t>
      </w:r>
      <w:r>
        <w:t>level</w:t>
      </w:r>
      <w:r>
        <w:rPr>
          <w:spacing w:val="-5"/>
        </w:rPr>
        <w:t xml:space="preserve"> </w:t>
      </w:r>
      <w:r>
        <w:t>rise</w:t>
      </w:r>
      <w:r>
        <w:rPr>
          <w:spacing w:val="-1"/>
        </w:rPr>
        <w:t xml:space="preserve"> </w:t>
      </w:r>
      <w:r>
        <w:t>information</w:t>
      </w:r>
      <w:r>
        <w:rPr>
          <w:spacing w:val="-1"/>
        </w:rPr>
        <w:t xml:space="preserve"> </w:t>
      </w:r>
      <w:r>
        <w:t>dashboard</w:t>
      </w:r>
      <w:r>
        <w:rPr>
          <w:spacing w:val="-1"/>
        </w:rPr>
        <w:t xml:space="preserve"> </w:t>
      </w:r>
      <w:r>
        <w:t>in</w:t>
      </w:r>
      <w:r>
        <w:rPr>
          <w:spacing w:val="-4"/>
        </w:rPr>
        <w:t xml:space="preserve"> </w:t>
      </w:r>
      <w:r>
        <w:t>SEPAKAT,</w:t>
      </w:r>
      <w:r>
        <w:rPr>
          <w:spacing w:val="-1"/>
        </w:rPr>
        <w:t xml:space="preserve"> </w:t>
      </w:r>
      <w:r>
        <w:t>strengthening</w:t>
      </w:r>
      <w:r>
        <w:rPr>
          <w:spacing w:val="-2"/>
        </w:rPr>
        <w:t xml:space="preserve"> </w:t>
      </w:r>
      <w:r>
        <w:t>national</w:t>
      </w:r>
      <w:r>
        <w:rPr>
          <w:spacing w:val="-3"/>
        </w:rPr>
        <w:t xml:space="preserve"> </w:t>
      </w:r>
      <w:r>
        <w:t>capacity</w:t>
      </w:r>
      <w:r>
        <w:rPr>
          <w:spacing w:val="-1"/>
        </w:rPr>
        <w:t xml:space="preserve"> </w:t>
      </w:r>
      <w:r>
        <w:t>to</w:t>
      </w:r>
      <w:r>
        <w:rPr>
          <w:spacing w:val="-2"/>
        </w:rPr>
        <w:t xml:space="preserve"> </w:t>
      </w:r>
      <w:r>
        <w:t>guide subnational governments in climate-sensitive planning.</w:t>
      </w:r>
    </w:p>
    <w:p w14:paraId="293F603E" w14:textId="77777777" w:rsidR="00BC24A8" w:rsidRDefault="00000000">
      <w:pPr>
        <w:pStyle w:val="BodyText"/>
        <w:spacing w:before="159" w:line="278" w:lineRule="auto"/>
        <w:ind w:left="143" w:right="279"/>
        <w:jc w:val="both"/>
      </w:pPr>
      <w:r>
        <w:rPr>
          <w:spacing w:val="-2"/>
        </w:rPr>
        <w:t>These</w:t>
      </w:r>
      <w:r>
        <w:rPr>
          <w:spacing w:val="-4"/>
        </w:rPr>
        <w:t xml:space="preserve"> </w:t>
      </w:r>
      <w:r>
        <w:rPr>
          <w:spacing w:val="-2"/>
        </w:rPr>
        <w:t>initiatives</w:t>
      </w:r>
      <w:r>
        <w:rPr>
          <w:spacing w:val="-4"/>
        </w:rPr>
        <w:t xml:space="preserve"> </w:t>
      </w:r>
      <w:r>
        <w:rPr>
          <w:spacing w:val="-2"/>
        </w:rPr>
        <w:t>directly support</w:t>
      </w:r>
      <w:r>
        <w:rPr>
          <w:spacing w:val="-5"/>
        </w:rPr>
        <w:t xml:space="preserve"> </w:t>
      </w:r>
      <w:r>
        <w:rPr>
          <w:spacing w:val="-2"/>
        </w:rPr>
        <w:t>DFAT’s climate</w:t>
      </w:r>
      <w:r>
        <w:rPr>
          <w:spacing w:val="-4"/>
        </w:rPr>
        <w:t xml:space="preserve"> </w:t>
      </w:r>
      <w:r>
        <w:rPr>
          <w:spacing w:val="-2"/>
        </w:rPr>
        <w:t>finance</w:t>
      </w:r>
      <w:r>
        <w:rPr>
          <w:spacing w:val="-9"/>
        </w:rPr>
        <w:t xml:space="preserve"> </w:t>
      </w:r>
      <w:r>
        <w:rPr>
          <w:spacing w:val="-2"/>
        </w:rPr>
        <w:t>priorities by</w:t>
      </w:r>
      <w:r>
        <w:rPr>
          <w:spacing w:val="-4"/>
        </w:rPr>
        <w:t xml:space="preserve"> </w:t>
      </w:r>
      <w:r>
        <w:rPr>
          <w:spacing w:val="-2"/>
        </w:rPr>
        <w:t>enhancing</w:t>
      </w:r>
      <w:r>
        <w:rPr>
          <w:spacing w:val="-5"/>
        </w:rPr>
        <w:t xml:space="preserve"> </w:t>
      </w:r>
      <w:r>
        <w:rPr>
          <w:spacing w:val="-2"/>
        </w:rPr>
        <w:t>adaptive</w:t>
      </w:r>
      <w:r>
        <w:rPr>
          <w:spacing w:val="-4"/>
        </w:rPr>
        <w:t xml:space="preserve"> </w:t>
      </w:r>
      <w:r>
        <w:rPr>
          <w:spacing w:val="-2"/>
        </w:rPr>
        <w:t>capacity of</w:t>
      </w:r>
      <w:r>
        <w:rPr>
          <w:spacing w:val="-4"/>
        </w:rPr>
        <w:t xml:space="preserve"> </w:t>
      </w:r>
      <w:r>
        <w:rPr>
          <w:spacing w:val="-2"/>
        </w:rPr>
        <w:t xml:space="preserve">local </w:t>
      </w:r>
      <w:r>
        <w:t>governments and vulnerable households. Based on current participation in training, research and planning</w:t>
      </w:r>
      <w:r>
        <w:rPr>
          <w:spacing w:val="-13"/>
        </w:rPr>
        <w:t xml:space="preserve"> </w:t>
      </w:r>
      <w:r>
        <w:t>pilots,</w:t>
      </w:r>
      <w:r>
        <w:rPr>
          <w:spacing w:val="-12"/>
        </w:rPr>
        <w:t xml:space="preserve"> </w:t>
      </w:r>
      <w:r>
        <w:t>SKALA</w:t>
      </w:r>
      <w:r>
        <w:rPr>
          <w:spacing w:val="-13"/>
        </w:rPr>
        <w:t xml:space="preserve"> </w:t>
      </w:r>
      <w:r>
        <w:t>estimates</w:t>
      </w:r>
      <w:r>
        <w:rPr>
          <w:spacing w:val="-12"/>
        </w:rPr>
        <w:t xml:space="preserve"> </w:t>
      </w:r>
      <w:r>
        <w:t>that</w:t>
      </w:r>
      <w:r>
        <w:rPr>
          <w:spacing w:val="-13"/>
        </w:rPr>
        <w:t xml:space="preserve"> </w:t>
      </w:r>
      <w:r>
        <w:t>more</w:t>
      </w:r>
      <w:r>
        <w:rPr>
          <w:spacing w:val="-12"/>
        </w:rPr>
        <w:t xml:space="preserve"> </w:t>
      </w:r>
      <w:r>
        <w:t>than</w:t>
      </w:r>
      <w:r>
        <w:rPr>
          <w:spacing w:val="-13"/>
        </w:rPr>
        <w:t xml:space="preserve"> </w:t>
      </w:r>
      <w:r>
        <w:t>500</w:t>
      </w:r>
      <w:r>
        <w:rPr>
          <w:spacing w:val="-12"/>
        </w:rPr>
        <w:t xml:space="preserve"> </w:t>
      </w:r>
      <w:r>
        <w:t>people</w:t>
      </w:r>
      <w:r>
        <w:rPr>
          <w:spacing w:val="-12"/>
        </w:rPr>
        <w:t xml:space="preserve"> </w:t>
      </w:r>
      <w:r>
        <w:t>(government</w:t>
      </w:r>
      <w:r>
        <w:rPr>
          <w:spacing w:val="-13"/>
        </w:rPr>
        <w:t xml:space="preserve"> </w:t>
      </w:r>
      <w:r>
        <w:t>staff,</w:t>
      </w:r>
      <w:r>
        <w:rPr>
          <w:spacing w:val="-12"/>
        </w:rPr>
        <w:t xml:space="preserve"> </w:t>
      </w:r>
      <w:r>
        <w:t>analysts,</w:t>
      </w:r>
      <w:r>
        <w:rPr>
          <w:spacing w:val="-13"/>
        </w:rPr>
        <w:t xml:space="preserve"> </w:t>
      </w:r>
      <w:r>
        <w:t>and</w:t>
      </w:r>
      <w:r>
        <w:rPr>
          <w:spacing w:val="-12"/>
        </w:rPr>
        <w:t xml:space="preserve"> </w:t>
      </w:r>
      <w:r>
        <w:t>community representatives) are benefitting from improved capacity to integrate climate adaptation into service delivery systems (Tier 2 Indicator).</w:t>
      </w:r>
    </w:p>
    <w:p w14:paraId="7F5BEC62" w14:textId="77777777" w:rsidR="00BC24A8" w:rsidRDefault="00000000">
      <w:pPr>
        <w:pStyle w:val="Heading4"/>
      </w:pPr>
      <w:bookmarkStart w:id="75" w:name="Effectiveness_and_Risk_Management"/>
      <w:bookmarkStart w:id="76" w:name="_bookmark46"/>
      <w:bookmarkEnd w:id="75"/>
      <w:bookmarkEnd w:id="76"/>
      <w:r>
        <w:rPr>
          <w:color w:val="17365A"/>
          <w:spacing w:val="-2"/>
        </w:rPr>
        <w:t>Effectiveness</w:t>
      </w:r>
      <w:r>
        <w:rPr>
          <w:color w:val="17365A"/>
          <w:spacing w:val="-21"/>
        </w:rPr>
        <w:t xml:space="preserve"> </w:t>
      </w:r>
      <w:r>
        <w:rPr>
          <w:color w:val="17365A"/>
          <w:spacing w:val="-2"/>
        </w:rPr>
        <w:t>and</w:t>
      </w:r>
      <w:r>
        <w:rPr>
          <w:color w:val="17365A"/>
          <w:spacing w:val="-18"/>
        </w:rPr>
        <w:t xml:space="preserve"> </w:t>
      </w:r>
      <w:r>
        <w:rPr>
          <w:color w:val="17365A"/>
          <w:spacing w:val="-2"/>
        </w:rPr>
        <w:t>Risk</w:t>
      </w:r>
      <w:r>
        <w:rPr>
          <w:color w:val="17365A"/>
          <w:spacing w:val="-18"/>
        </w:rPr>
        <w:t xml:space="preserve"> </w:t>
      </w:r>
      <w:r>
        <w:rPr>
          <w:color w:val="17365A"/>
          <w:spacing w:val="-2"/>
        </w:rPr>
        <w:t>Management</w:t>
      </w:r>
    </w:p>
    <w:p w14:paraId="04885ED8" w14:textId="77777777" w:rsidR="00BC24A8" w:rsidRDefault="00000000">
      <w:pPr>
        <w:pStyle w:val="BodyText"/>
        <w:spacing w:before="257" w:line="276" w:lineRule="auto"/>
        <w:ind w:left="143" w:right="280"/>
        <w:jc w:val="both"/>
      </w:pPr>
      <w:r>
        <w:t>By embedding climate variables into analysis, planning and budgeting, SKALA reduces the risk that climate impacts will derail service delivery improvements. At the same time, it enhances sustainability</w:t>
      </w:r>
    </w:p>
    <w:p w14:paraId="7EAB4607" w14:textId="77777777" w:rsidR="00BC24A8" w:rsidRDefault="00BC24A8">
      <w:pPr>
        <w:pStyle w:val="BodyText"/>
        <w:spacing w:line="276" w:lineRule="auto"/>
        <w:jc w:val="both"/>
        <w:sectPr w:rsidR="00BC24A8">
          <w:pgSz w:w="11910" w:h="16840"/>
          <w:pgMar w:top="1320" w:right="1133" w:bottom="1100" w:left="1275" w:header="0" w:footer="907" w:gutter="0"/>
          <w:cols w:space="720"/>
        </w:sectPr>
      </w:pPr>
    </w:p>
    <w:p w14:paraId="0BAA7847" w14:textId="77777777" w:rsidR="00BC24A8" w:rsidRDefault="00000000">
      <w:pPr>
        <w:pStyle w:val="BodyText"/>
        <w:spacing w:before="39" w:line="278" w:lineRule="auto"/>
        <w:ind w:left="143" w:right="280"/>
        <w:jc w:val="both"/>
      </w:pPr>
      <w:r>
        <w:lastRenderedPageBreak/>
        <w:t>by building systemic capacities—ensuring that climate-sensitive decision-making is institutionalised at both national and provincial levels. Risks remain, including uneven provincial uptake and limited fiscal space for climate investment. To mitigate these, SKALA is brokering partnerships with external actors (e.g. UN Global</w:t>
      </w:r>
      <w:r>
        <w:rPr>
          <w:spacing w:val="-1"/>
        </w:rPr>
        <w:t xml:space="preserve"> </w:t>
      </w:r>
      <w:r>
        <w:t>Pulse, civil</w:t>
      </w:r>
      <w:r>
        <w:rPr>
          <w:spacing w:val="-1"/>
        </w:rPr>
        <w:t xml:space="preserve"> </w:t>
      </w:r>
      <w:r>
        <w:t>society networks, and bilateral</w:t>
      </w:r>
      <w:r>
        <w:rPr>
          <w:spacing w:val="-1"/>
        </w:rPr>
        <w:t xml:space="preserve"> </w:t>
      </w:r>
      <w:r>
        <w:t>programs)</w:t>
      </w:r>
      <w:r>
        <w:rPr>
          <w:spacing w:val="-1"/>
        </w:rPr>
        <w:t xml:space="preserve"> </w:t>
      </w:r>
      <w:r>
        <w:t>to co-finance</w:t>
      </w:r>
      <w:r>
        <w:rPr>
          <w:spacing w:val="-1"/>
        </w:rPr>
        <w:t xml:space="preserve"> </w:t>
      </w:r>
      <w:r>
        <w:t>and sustain climate- positive reforms.</w:t>
      </w:r>
    </w:p>
    <w:p w14:paraId="25D4E77A" w14:textId="77777777" w:rsidR="00BC24A8" w:rsidRDefault="00000000">
      <w:pPr>
        <w:pStyle w:val="Heading4"/>
        <w:spacing w:before="160"/>
        <w:jc w:val="both"/>
      </w:pPr>
      <w:bookmarkStart w:id="77" w:name="_bookmark47"/>
      <w:bookmarkEnd w:id="77"/>
      <w:r>
        <w:rPr>
          <w:color w:val="17365A"/>
          <w:spacing w:val="-7"/>
        </w:rPr>
        <w:t>Next</w:t>
      </w:r>
      <w:r>
        <w:rPr>
          <w:color w:val="17365A"/>
          <w:spacing w:val="-22"/>
        </w:rPr>
        <w:t xml:space="preserve"> </w:t>
      </w:r>
      <w:r>
        <w:rPr>
          <w:color w:val="17365A"/>
          <w:spacing w:val="-2"/>
        </w:rPr>
        <w:t>Steps</w:t>
      </w:r>
    </w:p>
    <w:p w14:paraId="73C1092F" w14:textId="77777777" w:rsidR="00BC24A8" w:rsidRDefault="00000000">
      <w:pPr>
        <w:pStyle w:val="BodyText"/>
        <w:spacing w:before="254" w:line="278" w:lineRule="auto"/>
        <w:ind w:left="143" w:right="280"/>
        <w:jc w:val="both"/>
      </w:pPr>
      <w:r>
        <w:t>In the next period, SKALA will expand scenario-based risk assessments in five provinces and support subnational governments to implement plans to address climate risks noted in medium-term development</w:t>
      </w:r>
      <w:r>
        <w:rPr>
          <w:spacing w:val="-10"/>
        </w:rPr>
        <w:t xml:space="preserve"> </w:t>
      </w:r>
      <w:r>
        <w:t>plans.</w:t>
      </w:r>
      <w:r>
        <w:rPr>
          <w:spacing w:val="-11"/>
        </w:rPr>
        <w:t xml:space="preserve"> </w:t>
      </w:r>
      <w:r>
        <w:t>Knowledge</w:t>
      </w:r>
      <w:r>
        <w:rPr>
          <w:spacing w:val="-11"/>
        </w:rPr>
        <w:t xml:space="preserve"> </w:t>
      </w:r>
      <w:r>
        <w:t>products</w:t>
      </w:r>
      <w:r>
        <w:rPr>
          <w:spacing w:val="-9"/>
        </w:rPr>
        <w:t xml:space="preserve"> </w:t>
      </w:r>
      <w:r>
        <w:t>will</w:t>
      </w:r>
      <w:r>
        <w:rPr>
          <w:spacing w:val="-10"/>
        </w:rPr>
        <w:t xml:space="preserve"> </w:t>
      </w:r>
      <w:r>
        <w:t>be</w:t>
      </w:r>
      <w:r>
        <w:rPr>
          <w:spacing w:val="-11"/>
        </w:rPr>
        <w:t xml:space="preserve"> </w:t>
      </w:r>
      <w:r>
        <w:t>packaged</w:t>
      </w:r>
      <w:r>
        <w:rPr>
          <w:spacing w:val="-9"/>
        </w:rPr>
        <w:t xml:space="preserve"> </w:t>
      </w:r>
      <w:r>
        <w:t>and</w:t>
      </w:r>
      <w:r>
        <w:rPr>
          <w:spacing w:val="-9"/>
        </w:rPr>
        <w:t xml:space="preserve"> </w:t>
      </w:r>
      <w:r>
        <w:t>disseminated</w:t>
      </w:r>
      <w:r>
        <w:rPr>
          <w:spacing w:val="-9"/>
        </w:rPr>
        <w:t xml:space="preserve"> </w:t>
      </w:r>
      <w:r>
        <w:t>to</w:t>
      </w:r>
      <w:r>
        <w:rPr>
          <w:spacing w:val="-10"/>
        </w:rPr>
        <w:t xml:space="preserve"> </w:t>
      </w:r>
      <w:r>
        <w:t>influence</w:t>
      </w:r>
      <w:r>
        <w:rPr>
          <w:spacing w:val="-11"/>
        </w:rPr>
        <w:t xml:space="preserve"> </w:t>
      </w:r>
      <w:r>
        <w:t>broader</w:t>
      </w:r>
      <w:r>
        <w:rPr>
          <w:spacing w:val="-9"/>
        </w:rPr>
        <w:t xml:space="preserve"> </w:t>
      </w:r>
      <w:r>
        <w:t>policy processes and strengthen Australia’s contribution to global climate adaptation outcomes.</w:t>
      </w:r>
    </w:p>
    <w:p w14:paraId="4F8A566C" w14:textId="77777777" w:rsidR="00BC24A8" w:rsidRDefault="00BC24A8">
      <w:pPr>
        <w:pStyle w:val="BodyText"/>
        <w:spacing w:line="278" w:lineRule="auto"/>
        <w:jc w:val="both"/>
        <w:sectPr w:rsidR="00BC24A8">
          <w:pgSz w:w="11910" w:h="16840"/>
          <w:pgMar w:top="1360" w:right="1133" w:bottom="1100" w:left="1275" w:header="0" w:footer="907" w:gutter="0"/>
          <w:cols w:space="720"/>
        </w:sectPr>
      </w:pPr>
    </w:p>
    <w:p w14:paraId="09223AF0" w14:textId="77777777" w:rsidR="00BC24A8" w:rsidRDefault="00000000">
      <w:pPr>
        <w:pStyle w:val="Heading1"/>
      </w:pPr>
      <w:bookmarkStart w:id="78" w:name="Locally_Thematic_Priority_Areas"/>
      <w:bookmarkStart w:id="79" w:name="_bookmark48"/>
      <w:bookmarkEnd w:id="78"/>
      <w:bookmarkEnd w:id="79"/>
      <w:r w:rsidRPr="00795364">
        <w:rPr>
          <w:color w:val="00A59C"/>
          <w:spacing w:val="-14"/>
        </w:rPr>
        <w:lastRenderedPageBreak/>
        <w:t>Locally</w:t>
      </w:r>
      <w:r w:rsidRPr="00795364">
        <w:rPr>
          <w:color w:val="00A59C"/>
          <w:spacing w:val="-47"/>
        </w:rPr>
        <w:t xml:space="preserve"> </w:t>
      </w:r>
      <w:r w:rsidRPr="00795364">
        <w:rPr>
          <w:color w:val="00A59C"/>
          <w:spacing w:val="-14"/>
        </w:rPr>
        <w:t>Thematic</w:t>
      </w:r>
      <w:r w:rsidRPr="00795364">
        <w:rPr>
          <w:color w:val="00A59C"/>
          <w:spacing w:val="-45"/>
        </w:rPr>
        <w:t xml:space="preserve"> </w:t>
      </w:r>
      <w:r w:rsidRPr="00795364">
        <w:rPr>
          <w:color w:val="00A59C"/>
          <w:spacing w:val="-14"/>
        </w:rPr>
        <w:t>Priority</w:t>
      </w:r>
      <w:r w:rsidRPr="00795364">
        <w:rPr>
          <w:color w:val="00A59C"/>
          <w:spacing w:val="-46"/>
        </w:rPr>
        <w:t xml:space="preserve"> </w:t>
      </w:r>
      <w:r w:rsidRPr="00795364">
        <w:rPr>
          <w:color w:val="00A59C"/>
          <w:spacing w:val="-14"/>
        </w:rPr>
        <w:t>Areas</w:t>
      </w:r>
    </w:p>
    <w:p w14:paraId="013BCA87" w14:textId="77777777" w:rsidR="00BC24A8" w:rsidRDefault="00000000">
      <w:pPr>
        <w:pStyle w:val="Heading4"/>
        <w:spacing w:before="629"/>
      </w:pPr>
      <w:bookmarkStart w:id="80" w:name="Locally_Led_Development"/>
      <w:bookmarkStart w:id="81" w:name="_bookmark49"/>
      <w:bookmarkEnd w:id="80"/>
      <w:bookmarkEnd w:id="81"/>
      <w:r>
        <w:rPr>
          <w:color w:val="17365A"/>
          <w:spacing w:val="-4"/>
        </w:rPr>
        <w:t>Locally</w:t>
      </w:r>
      <w:r>
        <w:rPr>
          <w:color w:val="17365A"/>
          <w:spacing w:val="-24"/>
        </w:rPr>
        <w:t xml:space="preserve"> </w:t>
      </w:r>
      <w:r>
        <w:rPr>
          <w:color w:val="17365A"/>
          <w:spacing w:val="-4"/>
        </w:rPr>
        <w:t>Led</w:t>
      </w:r>
      <w:r>
        <w:rPr>
          <w:color w:val="17365A"/>
          <w:spacing w:val="-24"/>
        </w:rPr>
        <w:t xml:space="preserve"> </w:t>
      </w:r>
      <w:r>
        <w:rPr>
          <w:color w:val="17365A"/>
          <w:spacing w:val="-4"/>
        </w:rPr>
        <w:t>Development</w:t>
      </w:r>
    </w:p>
    <w:p w14:paraId="6DD55F80" w14:textId="77777777" w:rsidR="00BC24A8" w:rsidRDefault="00000000">
      <w:pPr>
        <w:pStyle w:val="BodyText"/>
        <w:spacing w:before="254"/>
        <w:ind w:left="143"/>
        <w:jc w:val="both"/>
      </w:pPr>
      <w:r>
        <w:rPr>
          <w:spacing w:val="-2"/>
        </w:rPr>
        <w:t>A</w:t>
      </w:r>
      <w:r>
        <w:rPr>
          <w:spacing w:val="-5"/>
        </w:rPr>
        <w:t xml:space="preserve"> </w:t>
      </w:r>
      <w:r>
        <w:rPr>
          <w:spacing w:val="-2"/>
        </w:rPr>
        <w:t>number</w:t>
      </w:r>
      <w:r>
        <w:rPr>
          <w:spacing w:val="-7"/>
        </w:rPr>
        <w:t xml:space="preserve"> </w:t>
      </w:r>
      <w:r>
        <w:rPr>
          <w:spacing w:val="-2"/>
        </w:rPr>
        <w:t>of</w:t>
      </w:r>
      <w:r>
        <w:rPr>
          <w:spacing w:val="-7"/>
        </w:rPr>
        <w:t xml:space="preserve"> </w:t>
      </w:r>
      <w:r>
        <w:rPr>
          <w:spacing w:val="-2"/>
        </w:rPr>
        <w:t>approaches</w:t>
      </w:r>
      <w:r>
        <w:rPr>
          <w:spacing w:val="-7"/>
        </w:rPr>
        <w:t xml:space="preserve"> </w:t>
      </w:r>
      <w:r>
        <w:rPr>
          <w:spacing w:val="-2"/>
        </w:rPr>
        <w:t>have</w:t>
      </w:r>
      <w:r>
        <w:rPr>
          <w:spacing w:val="-7"/>
        </w:rPr>
        <w:t xml:space="preserve"> </w:t>
      </w:r>
      <w:r>
        <w:rPr>
          <w:spacing w:val="-2"/>
        </w:rPr>
        <w:t>been</w:t>
      </w:r>
      <w:r>
        <w:rPr>
          <w:spacing w:val="-6"/>
        </w:rPr>
        <w:t xml:space="preserve"> </w:t>
      </w:r>
      <w:r>
        <w:rPr>
          <w:spacing w:val="-2"/>
        </w:rPr>
        <w:t>adopted</w:t>
      </w:r>
      <w:r>
        <w:rPr>
          <w:spacing w:val="-7"/>
        </w:rPr>
        <w:t xml:space="preserve"> </w:t>
      </w:r>
      <w:r>
        <w:rPr>
          <w:spacing w:val="-2"/>
        </w:rPr>
        <w:t>by</w:t>
      </w:r>
      <w:r>
        <w:rPr>
          <w:spacing w:val="-7"/>
        </w:rPr>
        <w:t xml:space="preserve"> </w:t>
      </w:r>
      <w:r>
        <w:rPr>
          <w:spacing w:val="-2"/>
        </w:rPr>
        <w:t>SKALA</w:t>
      </w:r>
      <w:r>
        <w:rPr>
          <w:spacing w:val="-7"/>
        </w:rPr>
        <w:t xml:space="preserve"> </w:t>
      </w:r>
      <w:r>
        <w:rPr>
          <w:spacing w:val="-2"/>
        </w:rPr>
        <w:t>to</w:t>
      </w:r>
      <w:r>
        <w:rPr>
          <w:spacing w:val="-5"/>
        </w:rPr>
        <w:t xml:space="preserve"> </w:t>
      </w:r>
      <w:r>
        <w:rPr>
          <w:spacing w:val="-2"/>
        </w:rPr>
        <w:t>progress</w:t>
      </w:r>
      <w:r>
        <w:rPr>
          <w:spacing w:val="-7"/>
        </w:rPr>
        <w:t xml:space="preserve"> </w:t>
      </w:r>
      <w:r>
        <w:rPr>
          <w:spacing w:val="-2"/>
        </w:rPr>
        <w:t>the</w:t>
      </w:r>
      <w:r>
        <w:rPr>
          <w:spacing w:val="-9"/>
        </w:rPr>
        <w:t xml:space="preserve"> </w:t>
      </w:r>
      <w:r>
        <w:rPr>
          <w:spacing w:val="-2"/>
        </w:rPr>
        <w:t>localisation</w:t>
      </w:r>
      <w:r>
        <w:rPr>
          <w:spacing w:val="-7"/>
        </w:rPr>
        <w:t xml:space="preserve"> </w:t>
      </w:r>
      <w:r>
        <w:rPr>
          <w:spacing w:val="-2"/>
        </w:rPr>
        <w:t>agenda.</w:t>
      </w:r>
      <w:r>
        <w:rPr>
          <w:spacing w:val="-3"/>
        </w:rPr>
        <w:t xml:space="preserve"> </w:t>
      </w:r>
      <w:r>
        <w:rPr>
          <w:spacing w:val="-2"/>
        </w:rPr>
        <w:t>These</w:t>
      </w:r>
      <w:r>
        <w:rPr>
          <w:spacing w:val="-7"/>
        </w:rPr>
        <w:t xml:space="preserve"> </w:t>
      </w:r>
      <w:r>
        <w:rPr>
          <w:spacing w:val="-2"/>
        </w:rPr>
        <w:t>include</w:t>
      </w:r>
    </w:p>
    <w:p w14:paraId="2DBDB620" w14:textId="77777777" w:rsidR="00BC24A8" w:rsidRDefault="00000000">
      <w:pPr>
        <w:pStyle w:val="BodyText"/>
        <w:spacing w:before="41" w:line="278" w:lineRule="auto"/>
        <w:ind w:left="143" w:right="280"/>
        <w:jc w:val="both"/>
      </w:pPr>
      <w:r>
        <w:t>1) strengthening the capacity of the program team, 2) utilising the governance structure to progress joint national and subnational agendas, and 3)</w:t>
      </w:r>
      <w:r>
        <w:rPr>
          <w:spacing w:val="-1"/>
        </w:rPr>
        <w:t xml:space="preserve"> </w:t>
      </w:r>
      <w:r>
        <w:t>expanding linkages with local institutions to collaborate on agendas and priorities.</w:t>
      </w:r>
    </w:p>
    <w:p w14:paraId="6200BBF8" w14:textId="77777777" w:rsidR="00BC24A8" w:rsidRDefault="00000000">
      <w:pPr>
        <w:pStyle w:val="BodyText"/>
        <w:spacing w:before="160" w:line="278" w:lineRule="auto"/>
        <w:ind w:left="143" w:right="279"/>
        <w:jc w:val="both"/>
      </w:pPr>
      <w:r>
        <w:t>Within the program team, SKALA has sought to recruit strong local personnel able to facilitate and expand its sphere of influence at both national and subnational levels. Recruitment of personnel representing different ethnicities, as well as vulnerable groups, including those with disabilities, enhances SKALA’s capacity to navigate, interact and progress agendas.</w:t>
      </w:r>
    </w:p>
    <w:p w14:paraId="51380AD6" w14:textId="77777777" w:rsidR="00BC24A8" w:rsidRDefault="00000000">
      <w:pPr>
        <w:pStyle w:val="BodyText"/>
        <w:spacing w:before="157" w:line="278" w:lineRule="auto"/>
        <w:ind w:left="143" w:right="279"/>
        <w:jc w:val="both"/>
      </w:pPr>
      <w:r>
        <w:t>SKALA’s governance structure, and particularly the three EOPO-based working groups under the technical committee, are also being activated to push for stronger collaboration on key issues to be addressed, which are collated from the implementation team and synthesised through MEL findings.</w:t>
      </w:r>
    </w:p>
    <w:p w14:paraId="6E04833D" w14:textId="77777777" w:rsidR="00BC24A8" w:rsidRDefault="00000000">
      <w:pPr>
        <w:pStyle w:val="BodyText"/>
        <w:spacing w:before="158" w:line="278" w:lineRule="auto"/>
        <w:ind w:left="143" w:right="279"/>
        <w:jc w:val="both"/>
      </w:pPr>
      <w:r>
        <w:t>Finally, linkages with policy analyst networks, civil society and academic networks add influence and pressure</w:t>
      </w:r>
      <w:r>
        <w:rPr>
          <w:spacing w:val="-13"/>
        </w:rPr>
        <w:t xml:space="preserve"> </w:t>
      </w:r>
      <w:r>
        <w:t>to</w:t>
      </w:r>
      <w:r>
        <w:rPr>
          <w:spacing w:val="-12"/>
        </w:rPr>
        <w:t xml:space="preserve"> </w:t>
      </w:r>
      <w:r>
        <w:t>address</w:t>
      </w:r>
      <w:r>
        <w:rPr>
          <w:spacing w:val="-13"/>
        </w:rPr>
        <w:t xml:space="preserve"> </w:t>
      </w:r>
      <w:r>
        <w:t>issues.</w:t>
      </w:r>
      <w:r>
        <w:rPr>
          <w:spacing w:val="-12"/>
        </w:rPr>
        <w:t xml:space="preserve"> </w:t>
      </w:r>
      <w:r>
        <w:t>Collectively,</w:t>
      </w:r>
      <w:r>
        <w:rPr>
          <w:spacing w:val="-13"/>
        </w:rPr>
        <w:t xml:space="preserve"> </w:t>
      </w:r>
      <w:r>
        <w:t>between</w:t>
      </w:r>
      <w:r>
        <w:rPr>
          <w:spacing w:val="-12"/>
        </w:rPr>
        <w:t xml:space="preserve"> </w:t>
      </w:r>
      <w:r>
        <w:t>the</w:t>
      </w:r>
      <w:r>
        <w:rPr>
          <w:spacing w:val="-13"/>
        </w:rPr>
        <w:t xml:space="preserve"> </w:t>
      </w:r>
      <w:r>
        <w:t>team,</w:t>
      </w:r>
      <w:r>
        <w:rPr>
          <w:spacing w:val="-12"/>
        </w:rPr>
        <w:t xml:space="preserve"> </w:t>
      </w:r>
      <w:r>
        <w:t>governance</w:t>
      </w:r>
      <w:r>
        <w:rPr>
          <w:spacing w:val="-12"/>
        </w:rPr>
        <w:t xml:space="preserve"> </w:t>
      </w:r>
      <w:r>
        <w:t>structures,</w:t>
      </w:r>
      <w:r>
        <w:rPr>
          <w:spacing w:val="-13"/>
        </w:rPr>
        <w:t xml:space="preserve"> </w:t>
      </w:r>
      <w:r>
        <w:t>and</w:t>
      </w:r>
      <w:r>
        <w:rPr>
          <w:spacing w:val="-12"/>
        </w:rPr>
        <w:t xml:space="preserve"> </w:t>
      </w:r>
      <w:r>
        <w:t>networks,</w:t>
      </w:r>
      <w:r>
        <w:rPr>
          <w:spacing w:val="-13"/>
        </w:rPr>
        <w:t xml:space="preserve"> </w:t>
      </w:r>
      <w:r>
        <w:t xml:space="preserve">SKALA </w:t>
      </w:r>
      <w:r>
        <w:rPr>
          <w:spacing w:val="-2"/>
        </w:rPr>
        <w:t>has</w:t>
      </w:r>
      <w:r>
        <w:rPr>
          <w:spacing w:val="-3"/>
        </w:rPr>
        <w:t xml:space="preserve"> </w:t>
      </w:r>
      <w:r>
        <w:rPr>
          <w:spacing w:val="-2"/>
        </w:rPr>
        <w:t>progressed various communities of</w:t>
      </w:r>
      <w:r>
        <w:rPr>
          <w:spacing w:val="-6"/>
        </w:rPr>
        <w:t xml:space="preserve"> </w:t>
      </w:r>
      <w:r>
        <w:rPr>
          <w:spacing w:val="-2"/>
        </w:rPr>
        <w:t>practice</w:t>
      </w:r>
      <w:r>
        <w:rPr>
          <w:spacing w:val="-6"/>
        </w:rPr>
        <w:t xml:space="preserve"> </w:t>
      </w:r>
      <w:r>
        <w:rPr>
          <w:spacing w:val="-2"/>
        </w:rPr>
        <w:t>to</w:t>
      </w:r>
      <w:r>
        <w:rPr>
          <w:spacing w:val="-5"/>
        </w:rPr>
        <w:t xml:space="preserve"> </w:t>
      </w:r>
      <w:r>
        <w:rPr>
          <w:spacing w:val="-2"/>
        </w:rPr>
        <w:t>become</w:t>
      </w:r>
      <w:r>
        <w:rPr>
          <w:spacing w:val="-3"/>
        </w:rPr>
        <w:t xml:space="preserve"> </w:t>
      </w:r>
      <w:r>
        <w:rPr>
          <w:spacing w:val="-2"/>
        </w:rPr>
        <w:t>a community</w:t>
      </w:r>
      <w:r>
        <w:rPr>
          <w:spacing w:val="-3"/>
        </w:rPr>
        <w:t xml:space="preserve"> </w:t>
      </w:r>
      <w:r>
        <w:rPr>
          <w:spacing w:val="-2"/>
        </w:rPr>
        <w:t>of</w:t>
      </w:r>
      <w:r>
        <w:rPr>
          <w:spacing w:val="-4"/>
        </w:rPr>
        <w:t xml:space="preserve"> </w:t>
      </w:r>
      <w:r>
        <w:rPr>
          <w:spacing w:val="-2"/>
        </w:rPr>
        <w:t>influence, coalescing</w:t>
      </w:r>
      <w:r>
        <w:rPr>
          <w:spacing w:val="-5"/>
        </w:rPr>
        <w:t xml:space="preserve"> </w:t>
      </w:r>
      <w:r>
        <w:rPr>
          <w:spacing w:val="-2"/>
        </w:rPr>
        <w:t>to</w:t>
      </w:r>
      <w:r>
        <w:rPr>
          <w:spacing w:val="-5"/>
        </w:rPr>
        <w:t xml:space="preserve"> </w:t>
      </w:r>
      <w:r>
        <w:rPr>
          <w:spacing w:val="-2"/>
        </w:rPr>
        <w:t xml:space="preserve">push </w:t>
      </w:r>
      <w:r>
        <w:t>for improvements in service delivery.</w:t>
      </w:r>
    </w:p>
    <w:p w14:paraId="3E2BB0A6" w14:textId="77777777" w:rsidR="00BC24A8" w:rsidRDefault="00000000">
      <w:pPr>
        <w:pStyle w:val="Heading4"/>
        <w:spacing w:before="162"/>
        <w:jc w:val="both"/>
      </w:pPr>
      <w:bookmarkStart w:id="82" w:name="Democratic_Resilience_and_Addressing_Cor"/>
      <w:bookmarkStart w:id="83" w:name="_bookmark50"/>
      <w:bookmarkEnd w:id="82"/>
      <w:bookmarkEnd w:id="83"/>
      <w:r>
        <w:rPr>
          <w:color w:val="17365A"/>
          <w:spacing w:val="-2"/>
        </w:rPr>
        <w:t>Democratic</w:t>
      </w:r>
      <w:r>
        <w:rPr>
          <w:color w:val="17365A"/>
          <w:spacing w:val="-17"/>
        </w:rPr>
        <w:t xml:space="preserve"> </w:t>
      </w:r>
      <w:r>
        <w:rPr>
          <w:color w:val="17365A"/>
          <w:spacing w:val="-2"/>
        </w:rPr>
        <w:t>Resilience</w:t>
      </w:r>
      <w:r>
        <w:rPr>
          <w:color w:val="17365A"/>
          <w:spacing w:val="-15"/>
        </w:rPr>
        <w:t xml:space="preserve"> </w:t>
      </w:r>
      <w:r>
        <w:rPr>
          <w:color w:val="17365A"/>
          <w:spacing w:val="-2"/>
        </w:rPr>
        <w:t>and</w:t>
      </w:r>
      <w:r>
        <w:rPr>
          <w:color w:val="17365A"/>
          <w:spacing w:val="-14"/>
        </w:rPr>
        <w:t xml:space="preserve"> </w:t>
      </w:r>
      <w:r>
        <w:rPr>
          <w:color w:val="17365A"/>
          <w:spacing w:val="-2"/>
        </w:rPr>
        <w:t>Addressing</w:t>
      </w:r>
      <w:r>
        <w:rPr>
          <w:color w:val="17365A"/>
          <w:spacing w:val="-15"/>
        </w:rPr>
        <w:t xml:space="preserve"> </w:t>
      </w:r>
      <w:r>
        <w:rPr>
          <w:color w:val="17365A"/>
          <w:spacing w:val="-2"/>
        </w:rPr>
        <w:t>Corruption</w:t>
      </w:r>
    </w:p>
    <w:p w14:paraId="2D24A2F4" w14:textId="77777777" w:rsidR="00BC24A8" w:rsidRDefault="00000000">
      <w:pPr>
        <w:pStyle w:val="BodyText"/>
        <w:spacing w:before="254" w:line="278" w:lineRule="auto"/>
        <w:ind w:left="143" w:right="280"/>
        <w:jc w:val="both"/>
      </w:pPr>
      <w:r>
        <w:t>SKALA’s</w:t>
      </w:r>
      <w:r>
        <w:rPr>
          <w:spacing w:val="-13"/>
        </w:rPr>
        <w:t xml:space="preserve"> </w:t>
      </w:r>
      <w:r>
        <w:t>work</w:t>
      </w:r>
      <w:r>
        <w:rPr>
          <w:spacing w:val="-12"/>
        </w:rPr>
        <w:t xml:space="preserve"> </w:t>
      </w:r>
      <w:r>
        <w:t>also</w:t>
      </w:r>
      <w:r>
        <w:rPr>
          <w:spacing w:val="-13"/>
        </w:rPr>
        <w:t xml:space="preserve"> </w:t>
      </w:r>
      <w:r>
        <w:t>contributes</w:t>
      </w:r>
      <w:r>
        <w:rPr>
          <w:spacing w:val="-12"/>
        </w:rPr>
        <w:t xml:space="preserve"> </w:t>
      </w:r>
      <w:r>
        <w:t>to</w:t>
      </w:r>
      <w:r>
        <w:rPr>
          <w:spacing w:val="-13"/>
        </w:rPr>
        <w:t xml:space="preserve"> </w:t>
      </w:r>
      <w:r>
        <w:t>democratic</w:t>
      </w:r>
      <w:r>
        <w:rPr>
          <w:spacing w:val="-12"/>
        </w:rPr>
        <w:t xml:space="preserve"> </w:t>
      </w:r>
      <w:r>
        <w:t>resilience</w:t>
      </w:r>
      <w:r>
        <w:rPr>
          <w:spacing w:val="-13"/>
        </w:rPr>
        <w:t xml:space="preserve"> </w:t>
      </w:r>
      <w:r>
        <w:t>and</w:t>
      </w:r>
      <w:r>
        <w:rPr>
          <w:spacing w:val="-12"/>
        </w:rPr>
        <w:t xml:space="preserve"> </w:t>
      </w:r>
      <w:r>
        <w:t>in</w:t>
      </w:r>
      <w:r>
        <w:rPr>
          <w:spacing w:val="-11"/>
        </w:rPr>
        <w:t xml:space="preserve"> </w:t>
      </w:r>
      <w:r>
        <w:t>addressing</w:t>
      </w:r>
      <w:r>
        <w:rPr>
          <w:spacing w:val="-13"/>
        </w:rPr>
        <w:t xml:space="preserve"> </w:t>
      </w:r>
      <w:r>
        <w:t>corruption.</w:t>
      </w:r>
      <w:r>
        <w:rPr>
          <w:spacing w:val="-10"/>
        </w:rPr>
        <w:t xml:space="preserve"> </w:t>
      </w:r>
      <w:r>
        <w:t>In</w:t>
      </w:r>
      <w:r>
        <w:rPr>
          <w:spacing w:val="-13"/>
        </w:rPr>
        <w:t xml:space="preserve"> </w:t>
      </w:r>
      <w:r>
        <w:t>underdeveloped regions, basic</w:t>
      </w:r>
      <w:r>
        <w:rPr>
          <w:spacing w:val="-2"/>
        </w:rPr>
        <w:t xml:space="preserve"> </w:t>
      </w:r>
      <w:r>
        <w:t>services are</w:t>
      </w:r>
      <w:r>
        <w:rPr>
          <w:spacing w:val="-3"/>
        </w:rPr>
        <w:t xml:space="preserve"> </w:t>
      </w:r>
      <w:r>
        <w:t>often the</w:t>
      </w:r>
      <w:r>
        <w:rPr>
          <w:spacing w:val="-3"/>
        </w:rPr>
        <w:t xml:space="preserve"> </w:t>
      </w:r>
      <w:r>
        <w:t>only proof of the</w:t>
      </w:r>
      <w:r>
        <w:rPr>
          <w:spacing w:val="-3"/>
        </w:rPr>
        <w:t xml:space="preserve"> </w:t>
      </w:r>
      <w:r>
        <w:t>presence of the state. Improving service delivery and enhancing inclusivity increases citizen confidence that elected governments at both national and local levels are addressing needs and providing benefits.</w:t>
      </w:r>
    </w:p>
    <w:p w14:paraId="718C2B87" w14:textId="77777777" w:rsidR="00BC24A8" w:rsidRDefault="00000000">
      <w:pPr>
        <w:pStyle w:val="BodyText"/>
        <w:spacing w:before="158" w:line="278" w:lineRule="auto"/>
        <w:ind w:left="143" w:right="279"/>
        <w:jc w:val="both"/>
      </w:pPr>
      <w:r>
        <w:t>Poor quality or absent services increase scepticism towards democratic processes and provide fuel for other</w:t>
      </w:r>
      <w:r>
        <w:rPr>
          <w:spacing w:val="-3"/>
        </w:rPr>
        <w:t xml:space="preserve"> </w:t>
      </w:r>
      <w:r>
        <w:t>ideologies</w:t>
      </w:r>
      <w:r>
        <w:rPr>
          <w:spacing w:val="-4"/>
        </w:rPr>
        <w:t xml:space="preserve"> </w:t>
      </w:r>
      <w:r>
        <w:t>to</w:t>
      </w:r>
      <w:r>
        <w:rPr>
          <w:spacing w:val="-5"/>
        </w:rPr>
        <w:t xml:space="preserve"> </w:t>
      </w:r>
      <w:r>
        <w:t>take</w:t>
      </w:r>
      <w:r>
        <w:rPr>
          <w:spacing w:val="-4"/>
        </w:rPr>
        <w:t xml:space="preserve"> </w:t>
      </w:r>
      <w:r>
        <w:t>root.</w:t>
      </w:r>
      <w:r>
        <w:rPr>
          <w:spacing w:val="-3"/>
        </w:rPr>
        <w:t xml:space="preserve"> </w:t>
      </w:r>
      <w:r>
        <w:t>Unmet</w:t>
      </w:r>
      <w:r>
        <w:rPr>
          <w:spacing w:val="-6"/>
        </w:rPr>
        <w:t xml:space="preserve"> </w:t>
      </w:r>
      <w:r>
        <w:t>needs</w:t>
      </w:r>
      <w:r>
        <w:rPr>
          <w:spacing w:val="-4"/>
        </w:rPr>
        <w:t xml:space="preserve"> </w:t>
      </w:r>
      <w:r>
        <w:t>linked</w:t>
      </w:r>
      <w:r>
        <w:rPr>
          <w:spacing w:val="-3"/>
        </w:rPr>
        <w:t xml:space="preserve"> </w:t>
      </w:r>
      <w:r>
        <w:t>to</w:t>
      </w:r>
      <w:r>
        <w:rPr>
          <w:spacing w:val="-5"/>
        </w:rPr>
        <w:t xml:space="preserve"> </w:t>
      </w:r>
      <w:r>
        <w:t>negative</w:t>
      </w:r>
      <w:r>
        <w:rPr>
          <w:spacing w:val="-4"/>
        </w:rPr>
        <w:t xml:space="preserve"> </w:t>
      </w:r>
      <w:r>
        <w:t>narratives</w:t>
      </w:r>
      <w:r>
        <w:rPr>
          <w:spacing w:val="-4"/>
        </w:rPr>
        <w:t xml:space="preserve"> </w:t>
      </w:r>
      <w:r>
        <w:t>towards</w:t>
      </w:r>
      <w:r>
        <w:rPr>
          <w:spacing w:val="-4"/>
        </w:rPr>
        <w:t xml:space="preserve"> </w:t>
      </w:r>
      <w:r>
        <w:t>government</w:t>
      </w:r>
      <w:r>
        <w:rPr>
          <w:spacing w:val="-4"/>
        </w:rPr>
        <w:t xml:space="preserve"> </w:t>
      </w:r>
      <w:r>
        <w:t>provides fertile ground for radicalisation and destabilising influences to grow.</w:t>
      </w:r>
    </w:p>
    <w:p w14:paraId="296EBF6C" w14:textId="77777777" w:rsidR="00BC24A8" w:rsidRDefault="00000000">
      <w:pPr>
        <w:pStyle w:val="BodyText"/>
        <w:spacing w:before="159" w:line="278" w:lineRule="auto"/>
        <w:ind w:left="143" w:right="280"/>
        <w:jc w:val="both"/>
      </w:pPr>
      <w:r>
        <w:t>Strengthening</w:t>
      </w:r>
      <w:r>
        <w:rPr>
          <w:spacing w:val="-9"/>
        </w:rPr>
        <w:t xml:space="preserve"> </w:t>
      </w:r>
      <w:r>
        <w:t>of</w:t>
      </w:r>
      <w:r>
        <w:rPr>
          <w:spacing w:val="-9"/>
        </w:rPr>
        <w:t xml:space="preserve"> </w:t>
      </w:r>
      <w:r>
        <w:t>systems</w:t>
      </w:r>
      <w:r>
        <w:rPr>
          <w:spacing w:val="-7"/>
        </w:rPr>
        <w:t xml:space="preserve"> </w:t>
      </w:r>
      <w:r>
        <w:t>throughout</w:t>
      </w:r>
      <w:r>
        <w:rPr>
          <w:spacing w:val="-9"/>
        </w:rPr>
        <w:t xml:space="preserve"> </w:t>
      </w:r>
      <w:r>
        <w:t>the</w:t>
      </w:r>
      <w:r>
        <w:rPr>
          <w:spacing w:val="-9"/>
        </w:rPr>
        <w:t xml:space="preserve"> </w:t>
      </w:r>
      <w:r>
        <w:t>processes</w:t>
      </w:r>
      <w:r>
        <w:rPr>
          <w:spacing w:val="-10"/>
        </w:rPr>
        <w:t xml:space="preserve"> </w:t>
      </w:r>
      <w:r>
        <w:t>related</w:t>
      </w:r>
      <w:r>
        <w:rPr>
          <w:spacing w:val="-8"/>
        </w:rPr>
        <w:t xml:space="preserve"> </w:t>
      </w:r>
      <w:r>
        <w:t>to</w:t>
      </w:r>
      <w:r>
        <w:rPr>
          <w:spacing w:val="-8"/>
        </w:rPr>
        <w:t xml:space="preserve"> </w:t>
      </w:r>
      <w:r>
        <w:t>service</w:t>
      </w:r>
      <w:r>
        <w:rPr>
          <w:spacing w:val="-9"/>
        </w:rPr>
        <w:t xml:space="preserve"> </w:t>
      </w:r>
      <w:r>
        <w:t>delivery</w:t>
      </w:r>
      <w:r>
        <w:rPr>
          <w:spacing w:val="-7"/>
        </w:rPr>
        <w:t xml:space="preserve"> </w:t>
      </w:r>
      <w:r>
        <w:t>governance</w:t>
      </w:r>
      <w:r>
        <w:rPr>
          <w:spacing w:val="-9"/>
        </w:rPr>
        <w:t xml:space="preserve"> </w:t>
      </w:r>
      <w:r>
        <w:t>also</w:t>
      </w:r>
      <w:r>
        <w:rPr>
          <w:spacing w:val="-8"/>
        </w:rPr>
        <w:t xml:space="preserve"> </w:t>
      </w:r>
      <w:r>
        <w:t>helps</w:t>
      </w:r>
      <w:r>
        <w:rPr>
          <w:spacing w:val="-7"/>
        </w:rPr>
        <w:t xml:space="preserve"> </w:t>
      </w:r>
      <w:r>
        <w:t>to track and enforce disbursements as intended and reduces the level of misappropriation and misuse. Essentially,</w:t>
      </w:r>
      <w:r>
        <w:rPr>
          <w:spacing w:val="-10"/>
        </w:rPr>
        <w:t xml:space="preserve"> </w:t>
      </w:r>
      <w:r>
        <w:t>weak</w:t>
      </w:r>
      <w:r>
        <w:rPr>
          <w:spacing w:val="-10"/>
        </w:rPr>
        <w:t xml:space="preserve"> </w:t>
      </w:r>
      <w:r>
        <w:t>systems</w:t>
      </w:r>
      <w:r>
        <w:rPr>
          <w:spacing w:val="-10"/>
        </w:rPr>
        <w:t xml:space="preserve"> </w:t>
      </w:r>
      <w:r>
        <w:t>and</w:t>
      </w:r>
      <w:r>
        <w:rPr>
          <w:spacing w:val="-11"/>
        </w:rPr>
        <w:t xml:space="preserve"> </w:t>
      </w:r>
      <w:r>
        <w:t>accountability</w:t>
      </w:r>
      <w:r>
        <w:rPr>
          <w:spacing w:val="-10"/>
        </w:rPr>
        <w:t xml:space="preserve"> </w:t>
      </w:r>
      <w:r>
        <w:t>provide</w:t>
      </w:r>
      <w:r>
        <w:rPr>
          <w:spacing w:val="-12"/>
        </w:rPr>
        <w:t xml:space="preserve"> </w:t>
      </w:r>
      <w:r>
        <w:t>avenues</w:t>
      </w:r>
      <w:r>
        <w:rPr>
          <w:spacing w:val="-10"/>
        </w:rPr>
        <w:t xml:space="preserve"> </w:t>
      </w:r>
      <w:r>
        <w:t>for</w:t>
      </w:r>
      <w:r>
        <w:rPr>
          <w:spacing w:val="-11"/>
        </w:rPr>
        <w:t xml:space="preserve"> </w:t>
      </w:r>
      <w:r>
        <w:t>corruption.</w:t>
      </w:r>
      <w:r>
        <w:rPr>
          <w:spacing w:val="-12"/>
        </w:rPr>
        <w:t xml:space="preserve"> </w:t>
      </w:r>
      <w:r>
        <w:t>As</w:t>
      </w:r>
      <w:r>
        <w:rPr>
          <w:spacing w:val="-13"/>
        </w:rPr>
        <w:t xml:space="preserve"> </w:t>
      </w:r>
      <w:r>
        <w:t>such,</w:t>
      </w:r>
      <w:r>
        <w:rPr>
          <w:spacing w:val="-10"/>
        </w:rPr>
        <w:t xml:space="preserve"> </w:t>
      </w:r>
      <w:r>
        <w:t>the</w:t>
      </w:r>
      <w:r>
        <w:rPr>
          <w:spacing w:val="-12"/>
        </w:rPr>
        <w:t xml:space="preserve"> </w:t>
      </w:r>
      <w:r>
        <w:t>strengthening of systems and processes undertaken by SKALA works to reduce opportunities for abuse of authority and access to public resources.</w:t>
      </w:r>
    </w:p>
    <w:p w14:paraId="18B262EF" w14:textId="77777777" w:rsidR="00BC24A8" w:rsidRDefault="00BC24A8">
      <w:pPr>
        <w:pStyle w:val="BodyText"/>
        <w:spacing w:line="278" w:lineRule="auto"/>
        <w:jc w:val="both"/>
        <w:sectPr w:rsidR="00BC24A8">
          <w:pgSz w:w="11910" w:h="16840"/>
          <w:pgMar w:top="1320" w:right="1133" w:bottom="1100" w:left="1275" w:header="0" w:footer="907" w:gutter="0"/>
          <w:cols w:space="720"/>
        </w:sectPr>
      </w:pPr>
    </w:p>
    <w:p w14:paraId="0E8A365B" w14:textId="77777777" w:rsidR="00BC24A8" w:rsidRDefault="00000000">
      <w:pPr>
        <w:pStyle w:val="Heading1"/>
      </w:pPr>
      <w:bookmarkStart w:id="84" w:name="Monitoring,_Evaluation,_and_Learning_(ME"/>
      <w:bookmarkStart w:id="85" w:name="_bookmark51"/>
      <w:bookmarkEnd w:id="84"/>
      <w:bookmarkEnd w:id="85"/>
      <w:r w:rsidRPr="00795364">
        <w:rPr>
          <w:color w:val="00A59C"/>
          <w:spacing w:val="-12"/>
        </w:rPr>
        <w:lastRenderedPageBreak/>
        <w:t>Monitoring,</w:t>
      </w:r>
      <w:r w:rsidRPr="00795364">
        <w:rPr>
          <w:color w:val="00A59C"/>
          <w:spacing w:val="-38"/>
        </w:rPr>
        <w:t xml:space="preserve"> </w:t>
      </w:r>
      <w:r w:rsidRPr="00795364">
        <w:rPr>
          <w:color w:val="00A59C"/>
          <w:spacing w:val="-12"/>
        </w:rPr>
        <w:t>Evaluation,</w:t>
      </w:r>
      <w:r w:rsidRPr="00795364">
        <w:rPr>
          <w:color w:val="00A59C"/>
          <w:spacing w:val="-37"/>
        </w:rPr>
        <w:t xml:space="preserve"> </w:t>
      </w:r>
      <w:r w:rsidRPr="00795364">
        <w:rPr>
          <w:color w:val="00A59C"/>
          <w:spacing w:val="-12"/>
        </w:rPr>
        <w:t>and</w:t>
      </w:r>
    </w:p>
    <w:p w14:paraId="6753F821" w14:textId="77777777" w:rsidR="00BC24A8" w:rsidRDefault="00000000">
      <w:pPr>
        <w:spacing w:before="36"/>
        <w:ind w:left="143"/>
        <w:rPr>
          <w:rFonts w:ascii="Trebuchet MS"/>
          <w:b/>
          <w:sz w:val="60"/>
        </w:rPr>
      </w:pPr>
      <w:r w:rsidRPr="00795364">
        <w:rPr>
          <w:rFonts w:ascii="Trebuchet MS"/>
          <w:b/>
          <w:color w:val="00A59C"/>
          <w:spacing w:val="-14"/>
          <w:sz w:val="60"/>
        </w:rPr>
        <w:t>Learning</w:t>
      </w:r>
      <w:r w:rsidRPr="00795364">
        <w:rPr>
          <w:rFonts w:ascii="Trebuchet MS"/>
          <w:b/>
          <w:color w:val="00A59C"/>
          <w:spacing w:val="-46"/>
          <w:sz w:val="60"/>
        </w:rPr>
        <w:t xml:space="preserve"> </w:t>
      </w:r>
      <w:r w:rsidRPr="00795364">
        <w:rPr>
          <w:rFonts w:ascii="Trebuchet MS"/>
          <w:b/>
          <w:color w:val="00A59C"/>
          <w:spacing w:val="-2"/>
          <w:sz w:val="60"/>
        </w:rPr>
        <w:t>(MEL)</w:t>
      </w:r>
    </w:p>
    <w:p w14:paraId="1B62F73C" w14:textId="77777777" w:rsidR="00BC24A8" w:rsidRDefault="00000000">
      <w:pPr>
        <w:pStyle w:val="BodyText"/>
        <w:spacing w:before="586" w:line="278" w:lineRule="auto"/>
        <w:ind w:left="143" w:right="279"/>
        <w:jc w:val="both"/>
      </w:pPr>
      <w:r>
        <w:t>This</w:t>
      </w:r>
      <w:r>
        <w:rPr>
          <w:spacing w:val="-3"/>
        </w:rPr>
        <w:t xml:space="preserve"> </w:t>
      </w:r>
      <w:r>
        <w:t>semester,</w:t>
      </w:r>
      <w:r>
        <w:rPr>
          <w:spacing w:val="-3"/>
        </w:rPr>
        <w:t xml:space="preserve"> </w:t>
      </w:r>
      <w:r>
        <w:t>growing</w:t>
      </w:r>
      <w:r>
        <w:rPr>
          <w:spacing w:val="-7"/>
        </w:rPr>
        <w:t xml:space="preserve"> </w:t>
      </w:r>
      <w:r>
        <w:t>internal</w:t>
      </w:r>
      <w:r>
        <w:rPr>
          <w:spacing w:val="-5"/>
        </w:rPr>
        <w:t xml:space="preserve"> </w:t>
      </w:r>
      <w:r>
        <w:t>trust</w:t>
      </w:r>
      <w:r>
        <w:rPr>
          <w:spacing w:val="-5"/>
        </w:rPr>
        <w:t xml:space="preserve"> </w:t>
      </w:r>
      <w:r>
        <w:t>and</w:t>
      </w:r>
      <w:r>
        <w:rPr>
          <w:spacing w:val="-6"/>
        </w:rPr>
        <w:t xml:space="preserve"> </w:t>
      </w:r>
      <w:r>
        <w:t>confidence</w:t>
      </w:r>
      <w:r>
        <w:rPr>
          <w:spacing w:val="-6"/>
        </w:rPr>
        <w:t xml:space="preserve"> </w:t>
      </w:r>
      <w:r>
        <w:t>in</w:t>
      </w:r>
      <w:r>
        <w:rPr>
          <w:spacing w:val="-6"/>
        </w:rPr>
        <w:t xml:space="preserve"> </w:t>
      </w:r>
      <w:r>
        <w:t>Monitoring,</w:t>
      </w:r>
      <w:r>
        <w:rPr>
          <w:spacing w:val="-3"/>
        </w:rPr>
        <w:t xml:space="preserve"> </w:t>
      </w:r>
      <w:r>
        <w:t>Evaluation,</w:t>
      </w:r>
      <w:r>
        <w:rPr>
          <w:spacing w:val="-3"/>
        </w:rPr>
        <w:t xml:space="preserve"> </w:t>
      </w:r>
      <w:r>
        <w:t>and</w:t>
      </w:r>
      <w:r>
        <w:rPr>
          <w:spacing w:val="-6"/>
        </w:rPr>
        <w:t xml:space="preserve"> </w:t>
      </w:r>
      <w:r>
        <w:t>Learning</w:t>
      </w:r>
      <w:r>
        <w:rPr>
          <w:spacing w:val="-7"/>
        </w:rPr>
        <w:t xml:space="preserve"> </w:t>
      </w:r>
      <w:r>
        <w:t>(MEL)</w:t>
      </w:r>
      <w:r>
        <w:rPr>
          <w:spacing w:val="-8"/>
        </w:rPr>
        <w:t xml:space="preserve"> </w:t>
      </w:r>
      <w:r>
        <w:t>has led</w:t>
      </w:r>
      <w:r>
        <w:rPr>
          <w:spacing w:val="-3"/>
        </w:rPr>
        <w:t xml:space="preserve"> </w:t>
      </w:r>
      <w:r>
        <w:t>to</w:t>
      </w:r>
      <w:r>
        <w:rPr>
          <w:spacing w:val="-3"/>
        </w:rPr>
        <w:t xml:space="preserve"> </w:t>
      </w:r>
      <w:r>
        <w:t>greater</w:t>
      </w:r>
      <w:r>
        <w:rPr>
          <w:spacing w:val="-3"/>
        </w:rPr>
        <w:t xml:space="preserve"> </w:t>
      </w:r>
      <w:r>
        <w:t>utilisation</w:t>
      </w:r>
      <w:r>
        <w:rPr>
          <w:spacing w:val="-3"/>
        </w:rPr>
        <w:t xml:space="preserve"> </w:t>
      </w:r>
      <w:r>
        <w:t>of</w:t>
      </w:r>
      <w:r>
        <w:rPr>
          <w:spacing w:val="-6"/>
        </w:rPr>
        <w:t xml:space="preserve"> </w:t>
      </w:r>
      <w:r>
        <w:t>MEL</w:t>
      </w:r>
      <w:r>
        <w:rPr>
          <w:spacing w:val="-4"/>
        </w:rPr>
        <w:t xml:space="preserve"> </w:t>
      </w:r>
      <w:r>
        <w:t>data</w:t>
      </w:r>
      <w:r>
        <w:rPr>
          <w:spacing w:val="-4"/>
        </w:rPr>
        <w:t xml:space="preserve"> </w:t>
      </w:r>
      <w:r>
        <w:t>for</w:t>
      </w:r>
      <w:r>
        <w:rPr>
          <w:spacing w:val="-4"/>
        </w:rPr>
        <w:t xml:space="preserve"> </w:t>
      </w:r>
      <w:r>
        <w:t>program</w:t>
      </w:r>
      <w:r>
        <w:rPr>
          <w:spacing w:val="-4"/>
        </w:rPr>
        <w:t xml:space="preserve"> </w:t>
      </w:r>
      <w:r>
        <w:t>management.</w:t>
      </w:r>
      <w:r>
        <w:rPr>
          <w:spacing w:val="-2"/>
        </w:rPr>
        <w:t xml:space="preserve"> </w:t>
      </w:r>
      <w:r>
        <w:t>As</w:t>
      </w:r>
      <w:r>
        <w:rPr>
          <w:spacing w:val="-4"/>
        </w:rPr>
        <w:t xml:space="preserve"> </w:t>
      </w:r>
      <w:r>
        <w:t>both</w:t>
      </w:r>
      <w:r>
        <w:rPr>
          <w:spacing w:val="-3"/>
        </w:rPr>
        <w:t xml:space="preserve"> </w:t>
      </w:r>
      <w:r>
        <w:t>the</w:t>
      </w:r>
      <w:r>
        <w:rPr>
          <w:spacing w:val="-4"/>
        </w:rPr>
        <w:t xml:space="preserve"> </w:t>
      </w:r>
      <w:r>
        <w:t>program</w:t>
      </w:r>
      <w:r>
        <w:rPr>
          <w:spacing w:val="-3"/>
        </w:rPr>
        <w:t xml:space="preserve"> </w:t>
      </w:r>
      <w:r>
        <w:t>and</w:t>
      </w:r>
      <w:r>
        <w:rPr>
          <w:spacing w:val="-4"/>
        </w:rPr>
        <w:t xml:space="preserve"> </w:t>
      </w:r>
      <w:r>
        <w:t>MEL</w:t>
      </w:r>
      <w:r>
        <w:rPr>
          <w:spacing w:val="-2"/>
        </w:rPr>
        <w:t xml:space="preserve"> </w:t>
      </w:r>
      <w:r>
        <w:t xml:space="preserve">systems mature, it has been possible to generate meaningful insights into the effectiveness of program </w:t>
      </w:r>
      <w:r>
        <w:rPr>
          <w:spacing w:val="-2"/>
        </w:rPr>
        <w:t>approaches.</w:t>
      </w:r>
    </w:p>
    <w:p w14:paraId="3EB38C31" w14:textId="77777777" w:rsidR="00BC24A8" w:rsidRDefault="00000000">
      <w:pPr>
        <w:pStyle w:val="BodyText"/>
        <w:spacing w:before="157" w:line="278" w:lineRule="auto"/>
        <w:ind w:left="143" w:right="281"/>
        <w:jc w:val="both"/>
      </w:pPr>
      <w:r>
        <w:rPr>
          <w:spacing w:val="-2"/>
        </w:rPr>
        <w:t>Detailed data</w:t>
      </w:r>
      <w:r>
        <w:rPr>
          <w:spacing w:val="-3"/>
        </w:rPr>
        <w:t xml:space="preserve"> </w:t>
      </w:r>
      <w:r>
        <w:rPr>
          <w:spacing w:val="-2"/>
        </w:rPr>
        <w:t>collection has</w:t>
      </w:r>
      <w:r>
        <w:rPr>
          <w:spacing w:val="-4"/>
        </w:rPr>
        <w:t xml:space="preserve"> </w:t>
      </w:r>
      <w:r>
        <w:rPr>
          <w:spacing w:val="-2"/>
        </w:rPr>
        <w:t>shed light</w:t>
      </w:r>
      <w:r>
        <w:rPr>
          <w:spacing w:val="-5"/>
        </w:rPr>
        <w:t xml:space="preserve"> </w:t>
      </w:r>
      <w:r>
        <w:rPr>
          <w:spacing w:val="-2"/>
        </w:rPr>
        <w:t>on</w:t>
      </w:r>
      <w:r>
        <w:rPr>
          <w:spacing w:val="-4"/>
        </w:rPr>
        <w:t xml:space="preserve"> </w:t>
      </w:r>
      <w:r>
        <w:rPr>
          <w:spacing w:val="-2"/>
        </w:rPr>
        <w:t>how</w:t>
      </w:r>
      <w:r>
        <w:rPr>
          <w:spacing w:val="-3"/>
        </w:rPr>
        <w:t xml:space="preserve"> </w:t>
      </w:r>
      <w:r>
        <w:rPr>
          <w:spacing w:val="-2"/>
        </w:rPr>
        <w:t>program</w:t>
      </w:r>
      <w:r>
        <w:rPr>
          <w:spacing w:val="-7"/>
        </w:rPr>
        <w:t xml:space="preserve"> </w:t>
      </w:r>
      <w:r>
        <w:rPr>
          <w:spacing w:val="-2"/>
        </w:rPr>
        <w:t>activities are</w:t>
      </w:r>
      <w:r>
        <w:rPr>
          <w:spacing w:val="-4"/>
        </w:rPr>
        <w:t xml:space="preserve"> </w:t>
      </w:r>
      <w:r>
        <w:rPr>
          <w:spacing w:val="-2"/>
        </w:rPr>
        <w:t>influencing</w:t>
      </w:r>
      <w:r>
        <w:rPr>
          <w:spacing w:val="-3"/>
        </w:rPr>
        <w:t xml:space="preserve"> </w:t>
      </w:r>
      <w:r>
        <w:rPr>
          <w:spacing w:val="-2"/>
        </w:rPr>
        <w:t>key</w:t>
      </w:r>
      <w:r>
        <w:rPr>
          <w:spacing w:val="-4"/>
        </w:rPr>
        <w:t xml:space="preserve"> </w:t>
      </w:r>
      <w:r>
        <w:rPr>
          <w:spacing w:val="-2"/>
        </w:rPr>
        <w:t>government</w:t>
      </w:r>
      <w:r>
        <w:rPr>
          <w:spacing w:val="-5"/>
        </w:rPr>
        <w:t xml:space="preserve"> </w:t>
      </w:r>
      <w:r>
        <w:rPr>
          <w:spacing w:val="-2"/>
        </w:rPr>
        <w:t xml:space="preserve">policies </w:t>
      </w:r>
      <w:r>
        <w:t>and processes</w:t>
      </w:r>
      <w:r>
        <w:rPr>
          <w:spacing w:val="-13"/>
        </w:rPr>
        <w:t xml:space="preserve"> </w:t>
      </w:r>
      <w:r>
        <w:t>- highlighting areas where institutionalisation is occurring, as well as where further support is needed to translate technical advice and training into improved practices and tangible benefits for vulnerable groups.</w:t>
      </w:r>
    </w:p>
    <w:p w14:paraId="09161403" w14:textId="77777777" w:rsidR="00BC24A8" w:rsidRDefault="00000000">
      <w:pPr>
        <w:pStyle w:val="BodyText"/>
        <w:spacing w:before="158" w:line="278" w:lineRule="auto"/>
        <w:ind w:left="143" w:right="280"/>
        <w:jc w:val="both"/>
      </w:pPr>
      <w:r>
        <w:t>MEL activities this semester engaged 68 Government of Indonesia (GoI) personnel through in-depth interviews</w:t>
      </w:r>
      <w:r>
        <w:rPr>
          <w:spacing w:val="-13"/>
        </w:rPr>
        <w:t xml:space="preserve"> </w:t>
      </w:r>
      <w:r>
        <w:t>and</w:t>
      </w:r>
      <w:r>
        <w:rPr>
          <w:spacing w:val="-12"/>
        </w:rPr>
        <w:t xml:space="preserve"> </w:t>
      </w:r>
      <w:r>
        <w:t>348</w:t>
      </w:r>
      <w:r>
        <w:rPr>
          <w:spacing w:val="-13"/>
        </w:rPr>
        <w:t xml:space="preserve"> </w:t>
      </w:r>
      <w:r>
        <w:t>participants-</w:t>
      </w:r>
      <w:r>
        <w:rPr>
          <w:spacing w:val="-12"/>
        </w:rPr>
        <w:t xml:space="preserve"> </w:t>
      </w:r>
      <w:r>
        <w:t>including</w:t>
      </w:r>
      <w:r>
        <w:rPr>
          <w:spacing w:val="-13"/>
        </w:rPr>
        <w:t xml:space="preserve"> </w:t>
      </w:r>
      <w:r>
        <w:t>people</w:t>
      </w:r>
      <w:r>
        <w:rPr>
          <w:spacing w:val="-12"/>
        </w:rPr>
        <w:t xml:space="preserve"> </w:t>
      </w:r>
      <w:r>
        <w:t>with</w:t>
      </w:r>
      <w:r>
        <w:rPr>
          <w:spacing w:val="-13"/>
        </w:rPr>
        <w:t xml:space="preserve"> </w:t>
      </w:r>
      <w:r>
        <w:t>disabilities-</w:t>
      </w:r>
      <w:r>
        <w:rPr>
          <w:spacing w:val="-12"/>
        </w:rPr>
        <w:t xml:space="preserve"> </w:t>
      </w:r>
      <w:r>
        <w:t>via</w:t>
      </w:r>
      <w:r>
        <w:rPr>
          <w:spacing w:val="-12"/>
        </w:rPr>
        <w:t xml:space="preserve"> </w:t>
      </w:r>
      <w:r>
        <w:t>focus</w:t>
      </w:r>
      <w:r>
        <w:rPr>
          <w:spacing w:val="-13"/>
        </w:rPr>
        <w:t xml:space="preserve"> </w:t>
      </w:r>
      <w:r>
        <w:t>group</w:t>
      </w:r>
      <w:r>
        <w:rPr>
          <w:spacing w:val="-12"/>
        </w:rPr>
        <w:t xml:space="preserve"> </w:t>
      </w:r>
      <w:r>
        <w:t>discussions,</w:t>
      </w:r>
      <w:r>
        <w:rPr>
          <w:spacing w:val="-13"/>
        </w:rPr>
        <w:t xml:space="preserve"> </w:t>
      </w:r>
      <w:r>
        <w:t>alongside a review of nearly 80 policy documents.</w:t>
      </w:r>
    </w:p>
    <w:p w14:paraId="2F0A7342" w14:textId="77777777" w:rsidR="00BC24A8" w:rsidRDefault="00000000">
      <w:pPr>
        <w:pStyle w:val="BodyText"/>
        <w:spacing w:before="160" w:line="278" w:lineRule="auto"/>
        <w:ind w:left="143" w:right="281"/>
        <w:jc w:val="both"/>
      </w:pPr>
      <w:r>
        <w:t>Practical enhancements have been made to the Management Information System (MIS), such as improved progress logs and indicator tracking tables. Integration of the MIS with event planning, approvals, and finance systems in the coming semester is likely to further reduce reliance on parallel systems and encourage the use of the MIS as the primary decision-making tool.</w:t>
      </w:r>
    </w:p>
    <w:p w14:paraId="3EF47F59" w14:textId="77777777" w:rsidR="00BC24A8" w:rsidRDefault="00000000">
      <w:pPr>
        <w:pStyle w:val="BodyText"/>
        <w:spacing w:before="158" w:line="278" w:lineRule="auto"/>
        <w:ind w:left="143" w:right="279"/>
        <w:jc w:val="both"/>
      </w:pPr>
      <w:r>
        <w:t>Stronger coordination between the Governance, Strategy and Quality (GSQ) team and MEL teams and better</w:t>
      </w:r>
      <w:r>
        <w:rPr>
          <w:spacing w:val="-13"/>
        </w:rPr>
        <w:t xml:space="preserve"> </w:t>
      </w:r>
      <w:r>
        <w:t>alignment</w:t>
      </w:r>
      <w:r>
        <w:rPr>
          <w:spacing w:val="-12"/>
        </w:rPr>
        <w:t xml:space="preserve"> </w:t>
      </w:r>
      <w:r>
        <w:t>between</w:t>
      </w:r>
      <w:r>
        <w:rPr>
          <w:spacing w:val="-13"/>
        </w:rPr>
        <w:t xml:space="preserve"> </w:t>
      </w:r>
      <w:r>
        <w:t>MEL</w:t>
      </w:r>
      <w:r>
        <w:rPr>
          <w:spacing w:val="-12"/>
        </w:rPr>
        <w:t xml:space="preserve"> </w:t>
      </w:r>
      <w:r>
        <w:t>reporting</w:t>
      </w:r>
      <w:r>
        <w:rPr>
          <w:spacing w:val="-13"/>
        </w:rPr>
        <w:t xml:space="preserve"> </w:t>
      </w:r>
      <w:r>
        <w:t>cycles</w:t>
      </w:r>
      <w:r>
        <w:rPr>
          <w:spacing w:val="-12"/>
        </w:rPr>
        <w:t xml:space="preserve"> </w:t>
      </w:r>
      <w:r>
        <w:t>with</w:t>
      </w:r>
      <w:r>
        <w:rPr>
          <w:spacing w:val="-13"/>
        </w:rPr>
        <w:t xml:space="preserve"> </w:t>
      </w:r>
      <w:r>
        <w:t>Annual</w:t>
      </w:r>
      <w:r>
        <w:rPr>
          <w:spacing w:val="-12"/>
        </w:rPr>
        <w:t xml:space="preserve"> </w:t>
      </w:r>
      <w:r>
        <w:t>Work</w:t>
      </w:r>
      <w:r>
        <w:rPr>
          <w:spacing w:val="-12"/>
        </w:rPr>
        <w:t xml:space="preserve"> </w:t>
      </w:r>
      <w:r>
        <w:t>Plan</w:t>
      </w:r>
      <w:r>
        <w:rPr>
          <w:spacing w:val="-13"/>
        </w:rPr>
        <w:t xml:space="preserve"> </w:t>
      </w:r>
      <w:r>
        <w:t>(AWP)</w:t>
      </w:r>
      <w:r>
        <w:rPr>
          <w:spacing w:val="-12"/>
        </w:rPr>
        <w:t xml:space="preserve"> </w:t>
      </w:r>
      <w:r>
        <w:t>adjustments</w:t>
      </w:r>
      <w:r>
        <w:rPr>
          <w:spacing w:val="-13"/>
        </w:rPr>
        <w:t xml:space="preserve"> </w:t>
      </w:r>
      <w:r>
        <w:t>will</w:t>
      </w:r>
      <w:r>
        <w:rPr>
          <w:spacing w:val="-12"/>
        </w:rPr>
        <w:t xml:space="preserve"> </w:t>
      </w:r>
      <w:r>
        <w:t>continue to enhance data use and improve implementation oversight and resource management. These efforts have been complemented by clearer GoI expectations around reporting, enabling MEL to better align monitoring reports with stakeholder needs.</w:t>
      </w:r>
    </w:p>
    <w:p w14:paraId="44C6410A" w14:textId="77777777" w:rsidR="00BC24A8" w:rsidRDefault="00000000">
      <w:pPr>
        <w:pStyle w:val="BodyText"/>
        <w:spacing w:before="155" w:line="278" w:lineRule="auto"/>
        <w:ind w:left="143" w:right="282"/>
        <w:jc w:val="both"/>
      </w:pPr>
      <w:r>
        <w:t>Ongoing collaboration between MEL and Knowledge Management and Partnerships (KMP) team has also ensured the production of high-quality, verified communications and advocacy materials.</w:t>
      </w:r>
    </w:p>
    <w:p w14:paraId="04B9EFF5" w14:textId="77777777" w:rsidR="00BC24A8" w:rsidRDefault="00BC24A8">
      <w:pPr>
        <w:pStyle w:val="BodyText"/>
        <w:spacing w:line="278" w:lineRule="auto"/>
        <w:jc w:val="both"/>
        <w:sectPr w:rsidR="00BC24A8">
          <w:pgSz w:w="11910" w:h="16840"/>
          <w:pgMar w:top="1320" w:right="1133" w:bottom="1100" w:left="1275" w:header="0" w:footer="907" w:gutter="0"/>
          <w:cols w:space="720"/>
        </w:sectPr>
      </w:pPr>
    </w:p>
    <w:p w14:paraId="6C373CE1" w14:textId="77777777" w:rsidR="00BC24A8" w:rsidRDefault="00000000">
      <w:pPr>
        <w:pStyle w:val="Heading1"/>
      </w:pPr>
      <w:bookmarkStart w:id="86" w:name="Management_and_Operations_(Efficiency)"/>
      <w:bookmarkStart w:id="87" w:name="_bookmark52"/>
      <w:bookmarkEnd w:id="86"/>
      <w:bookmarkEnd w:id="87"/>
      <w:r w:rsidRPr="00795364">
        <w:rPr>
          <w:color w:val="00A59C"/>
          <w:spacing w:val="-2"/>
        </w:rPr>
        <w:lastRenderedPageBreak/>
        <w:t>Management</w:t>
      </w:r>
      <w:r w:rsidRPr="00795364">
        <w:rPr>
          <w:color w:val="00A59C"/>
          <w:spacing w:val="-48"/>
        </w:rPr>
        <w:t xml:space="preserve"> </w:t>
      </w:r>
      <w:r w:rsidRPr="00795364">
        <w:rPr>
          <w:color w:val="00A59C"/>
          <w:spacing w:val="-2"/>
        </w:rPr>
        <w:t>and</w:t>
      </w:r>
      <w:r w:rsidRPr="00795364">
        <w:rPr>
          <w:color w:val="00A59C"/>
          <w:spacing w:val="-50"/>
        </w:rPr>
        <w:t xml:space="preserve"> </w:t>
      </w:r>
      <w:r w:rsidRPr="00795364">
        <w:rPr>
          <w:color w:val="00A59C"/>
          <w:spacing w:val="-2"/>
        </w:rPr>
        <w:t>Operations</w:t>
      </w:r>
    </w:p>
    <w:p w14:paraId="1E276A64" w14:textId="77777777" w:rsidR="00BC24A8" w:rsidRDefault="00000000">
      <w:pPr>
        <w:spacing w:before="36"/>
        <w:ind w:left="143"/>
        <w:rPr>
          <w:rFonts w:ascii="Trebuchet MS"/>
          <w:b/>
          <w:sz w:val="60"/>
        </w:rPr>
      </w:pPr>
      <w:r w:rsidRPr="00795364">
        <w:rPr>
          <w:rFonts w:ascii="Trebuchet MS"/>
          <w:b/>
          <w:color w:val="00A59C"/>
          <w:spacing w:val="-2"/>
          <w:sz w:val="60"/>
        </w:rPr>
        <w:t>(Efficiency)</w:t>
      </w:r>
    </w:p>
    <w:p w14:paraId="69295278" w14:textId="77777777" w:rsidR="00BC24A8" w:rsidRDefault="00000000">
      <w:pPr>
        <w:pStyle w:val="BodyText"/>
        <w:spacing w:before="586" w:line="276" w:lineRule="auto"/>
        <w:ind w:left="143" w:right="282"/>
        <w:jc w:val="both"/>
      </w:pPr>
      <w:r>
        <w:t>A number of</w:t>
      </w:r>
      <w:r>
        <w:rPr>
          <w:spacing w:val="-1"/>
        </w:rPr>
        <w:t xml:space="preserve"> </w:t>
      </w:r>
      <w:r>
        <w:t>key lessons</w:t>
      </w:r>
      <w:r>
        <w:rPr>
          <w:spacing w:val="-1"/>
        </w:rPr>
        <w:t xml:space="preserve"> </w:t>
      </w:r>
      <w:r>
        <w:t>have</w:t>
      </w:r>
      <w:r>
        <w:rPr>
          <w:spacing w:val="-1"/>
        </w:rPr>
        <w:t xml:space="preserve"> </w:t>
      </w:r>
      <w:r>
        <w:t>been learnt</w:t>
      </w:r>
      <w:r>
        <w:rPr>
          <w:spacing w:val="-3"/>
        </w:rPr>
        <w:t xml:space="preserve"> </w:t>
      </w:r>
      <w:r>
        <w:t>through</w:t>
      </w:r>
      <w:r>
        <w:rPr>
          <w:spacing w:val="-2"/>
        </w:rPr>
        <w:t xml:space="preserve"> </w:t>
      </w:r>
      <w:r>
        <w:t>SKALA’s</w:t>
      </w:r>
      <w:r>
        <w:rPr>
          <w:spacing w:val="-1"/>
        </w:rPr>
        <w:t xml:space="preserve"> </w:t>
      </w:r>
      <w:r>
        <w:t>management and</w:t>
      </w:r>
      <w:r>
        <w:rPr>
          <w:spacing w:val="-1"/>
        </w:rPr>
        <w:t xml:space="preserve"> </w:t>
      </w:r>
      <w:r>
        <w:t>operations</w:t>
      </w:r>
      <w:r>
        <w:rPr>
          <w:spacing w:val="-1"/>
        </w:rPr>
        <w:t xml:space="preserve"> </w:t>
      </w:r>
      <w:r>
        <w:t>this</w:t>
      </w:r>
      <w:r>
        <w:rPr>
          <w:spacing w:val="-1"/>
        </w:rPr>
        <w:t xml:space="preserve"> </w:t>
      </w:r>
      <w:r>
        <w:t>semester and are already being used to improve efficiencies in program delivery.</w:t>
      </w:r>
    </w:p>
    <w:p w14:paraId="714DC51E" w14:textId="77777777" w:rsidR="00BC24A8" w:rsidRDefault="00000000">
      <w:pPr>
        <w:pStyle w:val="BodyText"/>
        <w:spacing w:before="164" w:line="278" w:lineRule="auto"/>
        <w:ind w:left="143" w:right="279"/>
        <w:jc w:val="both"/>
      </w:pPr>
      <w:r>
        <w:t>Previously, workplans were purposefully “over-programmed” to</w:t>
      </w:r>
      <w:r>
        <w:rPr>
          <w:spacing w:val="-1"/>
        </w:rPr>
        <w:t xml:space="preserve"> </w:t>
      </w:r>
      <w:r>
        <w:t>exceed</w:t>
      </w:r>
      <w:r>
        <w:rPr>
          <w:spacing w:val="-1"/>
        </w:rPr>
        <w:t xml:space="preserve"> </w:t>
      </w:r>
      <w:r>
        <w:t>actual</w:t>
      </w:r>
      <w:r>
        <w:rPr>
          <w:spacing w:val="-2"/>
        </w:rPr>
        <w:t xml:space="preserve"> </w:t>
      </w:r>
      <w:r>
        <w:t>budget</w:t>
      </w:r>
      <w:r>
        <w:rPr>
          <w:spacing w:val="-2"/>
        </w:rPr>
        <w:t xml:space="preserve"> </w:t>
      </w:r>
      <w:r>
        <w:t>allocations. This was done</w:t>
      </w:r>
      <w:r>
        <w:rPr>
          <w:spacing w:val="-1"/>
        </w:rPr>
        <w:t xml:space="preserve"> </w:t>
      </w:r>
      <w:r>
        <w:t>to ensure</w:t>
      </w:r>
      <w:r>
        <w:rPr>
          <w:spacing w:val="-1"/>
        </w:rPr>
        <w:t xml:space="preserve"> </w:t>
      </w:r>
      <w:r>
        <w:t>that</w:t>
      </w:r>
      <w:r>
        <w:rPr>
          <w:spacing w:val="-1"/>
        </w:rPr>
        <w:t xml:space="preserve"> </w:t>
      </w:r>
      <w:r>
        <w:t>activity slippages, changes in</w:t>
      </w:r>
      <w:r>
        <w:rPr>
          <w:spacing w:val="-2"/>
        </w:rPr>
        <w:t xml:space="preserve"> </w:t>
      </w:r>
      <w:r>
        <w:t>priorities and</w:t>
      </w:r>
      <w:r>
        <w:rPr>
          <w:spacing w:val="-2"/>
        </w:rPr>
        <w:t xml:space="preserve"> </w:t>
      </w:r>
      <w:r>
        <w:t>other likely implementation issues would not adversely affect SKALA budget disbursement. This is also in line with SKALA’s multi-year programming, which accommodated activities to be rescheduled into the next workplan period. However,</w:t>
      </w:r>
      <w:r>
        <w:rPr>
          <w:spacing w:val="-5"/>
        </w:rPr>
        <w:t xml:space="preserve"> </w:t>
      </w:r>
      <w:r>
        <w:t>this</w:t>
      </w:r>
      <w:r>
        <w:rPr>
          <w:spacing w:val="-7"/>
        </w:rPr>
        <w:t xml:space="preserve"> </w:t>
      </w:r>
      <w:r>
        <w:t>ran</w:t>
      </w:r>
      <w:r>
        <w:rPr>
          <w:spacing w:val="-5"/>
        </w:rPr>
        <w:t xml:space="preserve"> </w:t>
      </w:r>
      <w:r>
        <w:t>contrary</w:t>
      </w:r>
      <w:r>
        <w:rPr>
          <w:spacing w:val="-5"/>
        </w:rPr>
        <w:t xml:space="preserve"> </w:t>
      </w:r>
      <w:r>
        <w:t>to</w:t>
      </w:r>
      <w:r>
        <w:rPr>
          <w:spacing w:val="-6"/>
        </w:rPr>
        <w:t xml:space="preserve"> </w:t>
      </w:r>
      <w:r>
        <w:t>GoI</w:t>
      </w:r>
      <w:r>
        <w:rPr>
          <w:spacing w:val="-7"/>
        </w:rPr>
        <w:t xml:space="preserve"> </w:t>
      </w:r>
      <w:r>
        <w:t>practices,</w:t>
      </w:r>
      <w:r>
        <w:rPr>
          <w:spacing w:val="-5"/>
        </w:rPr>
        <w:t xml:space="preserve"> </w:t>
      </w:r>
      <w:r>
        <w:t>where</w:t>
      </w:r>
      <w:r>
        <w:rPr>
          <w:spacing w:val="-7"/>
        </w:rPr>
        <w:t xml:space="preserve"> </w:t>
      </w:r>
      <w:r>
        <w:t>delivery</w:t>
      </w:r>
      <w:r>
        <w:rPr>
          <w:spacing w:val="-5"/>
        </w:rPr>
        <w:t xml:space="preserve"> </w:t>
      </w:r>
      <w:r>
        <w:t>of</w:t>
      </w:r>
      <w:r>
        <w:rPr>
          <w:spacing w:val="-7"/>
        </w:rPr>
        <w:t xml:space="preserve"> </w:t>
      </w:r>
      <w:r>
        <w:t>planned</w:t>
      </w:r>
      <w:r>
        <w:rPr>
          <w:spacing w:val="-5"/>
        </w:rPr>
        <w:t xml:space="preserve"> </w:t>
      </w:r>
      <w:r>
        <w:t>activities</w:t>
      </w:r>
      <w:r>
        <w:rPr>
          <w:spacing w:val="-7"/>
        </w:rPr>
        <w:t xml:space="preserve"> </w:t>
      </w:r>
      <w:r>
        <w:t>is</w:t>
      </w:r>
      <w:r>
        <w:rPr>
          <w:spacing w:val="-7"/>
        </w:rPr>
        <w:t xml:space="preserve"> </w:t>
      </w:r>
      <w:r>
        <w:t>set</w:t>
      </w:r>
      <w:r>
        <w:rPr>
          <w:spacing w:val="-6"/>
        </w:rPr>
        <w:t xml:space="preserve"> </w:t>
      </w:r>
      <w:r>
        <w:t>as</w:t>
      </w:r>
      <w:r>
        <w:rPr>
          <w:spacing w:val="-5"/>
        </w:rPr>
        <w:t xml:space="preserve"> </w:t>
      </w:r>
      <w:r>
        <w:t>a</w:t>
      </w:r>
      <w:r>
        <w:rPr>
          <w:spacing w:val="-7"/>
        </w:rPr>
        <w:t xml:space="preserve"> </w:t>
      </w:r>
      <w:r>
        <w:t>performance indicator</w:t>
      </w:r>
      <w:r>
        <w:rPr>
          <w:spacing w:val="-7"/>
        </w:rPr>
        <w:t xml:space="preserve"> </w:t>
      </w:r>
      <w:r>
        <w:t>and</w:t>
      </w:r>
      <w:r>
        <w:rPr>
          <w:spacing w:val="-7"/>
        </w:rPr>
        <w:t xml:space="preserve"> </w:t>
      </w:r>
      <w:r>
        <w:t>where</w:t>
      </w:r>
      <w:r>
        <w:rPr>
          <w:spacing w:val="-8"/>
        </w:rPr>
        <w:t xml:space="preserve"> </w:t>
      </w:r>
      <w:r>
        <w:t>activities</w:t>
      </w:r>
      <w:r>
        <w:rPr>
          <w:spacing w:val="-6"/>
        </w:rPr>
        <w:t xml:space="preserve"> </w:t>
      </w:r>
      <w:r>
        <w:t>are</w:t>
      </w:r>
      <w:r>
        <w:rPr>
          <w:spacing w:val="-8"/>
        </w:rPr>
        <w:t xml:space="preserve"> </w:t>
      </w:r>
      <w:r>
        <w:t>strictly</w:t>
      </w:r>
      <w:r>
        <w:rPr>
          <w:spacing w:val="-6"/>
        </w:rPr>
        <w:t xml:space="preserve"> </w:t>
      </w:r>
      <w:r>
        <w:t>plotted</w:t>
      </w:r>
      <w:r>
        <w:rPr>
          <w:spacing w:val="-7"/>
        </w:rPr>
        <w:t xml:space="preserve"> </w:t>
      </w:r>
      <w:r>
        <w:t>to</w:t>
      </w:r>
      <w:r>
        <w:rPr>
          <w:spacing w:val="-7"/>
        </w:rPr>
        <w:t xml:space="preserve"> </w:t>
      </w:r>
      <w:r>
        <w:t>be</w:t>
      </w:r>
      <w:r>
        <w:rPr>
          <w:spacing w:val="-6"/>
        </w:rPr>
        <w:t xml:space="preserve"> </w:t>
      </w:r>
      <w:r>
        <w:t>undertaken</w:t>
      </w:r>
      <w:r>
        <w:rPr>
          <w:spacing w:val="-7"/>
        </w:rPr>
        <w:t xml:space="preserve"> </w:t>
      </w:r>
      <w:r>
        <w:t>within</w:t>
      </w:r>
      <w:r>
        <w:rPr>
          <w:spacing w:val="-7"/>
        </w:rPr>
        <w:t xml:space="preserve"> </w:t>
      </w:r>
      <w:r>
        <w:t>annual</w:t>
      </w:r>
      <w:r>
        <w:rPr>
          <w:spacing w:val="-8"/>
        </w:rPr>
        <w:t xml:space="preserve"> </w:t>
      </w:r>
      <w:r>
        <w:t>cycles.</w:t>
      </w:r>
      <w:r>
        <w:rPr>
          <w:spacing w:val="-6"/>
        </w:rPr>
        <w:t xml:space="preserve"> </w:t>
      </w:r>
      <w:r>
        <w:t>As</w:t>
      </w:r>
      <w:r>
        <w:rPr>
          <w:spacing w:val="-6"/>
        </w:rPr>
        <w:t xml:space="preserve"> </w:t>
      </w:r>
      <w:r>
        <w:t>SKALA</w:t>
      </w:r>
      <w:r>
        <w:rPr>
          <w:spacing w:val="-7"/>
        </w:rPr>
        <w:t xml:space="preserve"> </w:t>
      </w:r>
      <w:r>
        <w:t>nears the end of its first phase, work planning practice will move into</w:t>
      </w:r>
      <w:r>
        <w:rPr>
          <w:spacing w:val="-1"/>
        </w:rPr>
        <w:t xml:space="preserve"> </w:t>
      </w:r>
      <w:r>
        <w:t>alignment with</w:t>
      </w:r>
      <w:r>
        <w:rPr>
          <w:spacing w:val="-1"/>
        </w:rPr>
        <w:t xml:space="preserve"> </w:t>
      </w:r>
      <w:r>
        <w:t>GoI practices and</w:t>
      </w:r>
      <w:r>
        <w:rPr>
          <w:spacing w:val="-1"/>
        </w:rPr>
        <w:t xml:space="preserve"> </w:t>
      </w:r>
      <w:r>
        <w:t>focus on</w:t>
      </w:r>
      <w:r>
        <w:rPr>
          <w:spacing w:val="-5"/>
        </w:rPr>
        <w:t xml:space="preserve"> </w:t>
      </w:r>
      <w:r>
        <w:t>activities</w:t>
      </w:r>
      <w:r>
        <w:rPr>
          <w:spacing w:val="-7"/>
        </w:rPr>
        <w:t xml:space="preserve"> </w:t>
      </w:r>
      <w:r>
        <w:t>that</w:t>
      </w:r>
      <w:r>
        <w:rPr>
          <w:spacing w:val="-6"/>
        </w:rPr>
        <w:t xml:space="preserve"> </w:t>
      </w:r>
      <w:r>
        <w:t>are</w:t>
      </w:r>
      <w:r>
        <w:rPr>
          <w:spacing w:val="-7"/>
        </w:rPr>
        <w:t xml:space="preserve"> </w:t>
      </w:r>
      <w:r>
        <w:t>achievable</w:t>
      </w:r>
      <w:r>
        <w:rPr>
          <w:spacing w:val="-7"/>
        </w:rPr>
        <w:t xml:space="preserve"> </w:t>
      </w:r>
      <w:r>
        <w:t>within</w:t>
      </w:r>
      <w:r>
        <w:rPr>
          <w:spacing w:val="-5"/>
        </w:rPr>
        <w:t xml:space="preserve"> </w:t>
      </w:r>
      <w:r>
        <w:t>the</w:t>
      </w:r>
      <w:r>
        <w:rPr>
          <w:spacing w:val="-7"/>
        </w:rPr>
        <w:t xml:space="preserve"> </w:t>
      </w:r>
      <w:r>
        <w:t>workplan</w:t>
      </w:r>
      <w:r>
        <w:rPr>
          <w:spacing w:val="-8"/>
        </w:rPr>
        <w:t xml:space="preserve"> </w:t>
      </w:r>
      <w:r>
        <w:t>period.</w:t>
      </w:r>
      <w:r>
        <w:rPr>
          <w:spacing w:val="-5"/>
        </w:rPr>
        <w:t xml:space="preserve"> </w:t>
      </w:r>
      <w:r>
        <w:t>This</w:t>
      </w:r>
      <w:r>
        <w:rPr>
          <w:spacing w:val="-5"/>
        </w:rPr>
        <w:t xml:space="preserve"> </w:t>
      </w:r>
      <w:r>
        <w:t>strengthens</w:t>
      </w:r>
      <w:r>
        <w:rPr>
          <w:spacing w:val="-7"/>
        </w:rPr>
        <w:t xml:space="preserve"> </w:t>
      </w:r>
      <w:r>
        <w:t>synergies</w:t>
      </w:r>
      <w:r>
        <w:rPr>
          <w:spacing w:val="-5"/>
        </w:rPr>
        <w:t xml:space="preserve"> </w:t>
      </w:r>
      <w:r>
        <w:t>between</w:t>
      </w:r>
      <w:r>
        <w:rPr>
          <w:spacing w:val="-5"/>
        </w:rPr>
        <w:t xml:space="preserve"> </w:t>
      </w:r>
      <w:r>
        <w:t>SKALA and</w:t>
      </w:r>
      <w:r>
        <w:rPr>
          <w:spacing w:val="-7"/>
        </w:rPr>
        <w:t xml:space="preserve"> </w:t>
      </w:r>
      <w:r>
        <w:t>GoI</w:t>
      </w:r>
      <w:r>
        <w:rPr>
          <w:spacing w:val="-8"/>
        </w:rPr>
        <w:t xml:space="preserve"> </w:t>
      </w:r>
      <w:r>
        <w:t>processes</w:t>
      </w:r>
      <w:r>
        <w:rPr>
          <w:spacing w:val="-9"/>
        </w:rPr>
        <w:t xml:space="preserve"> </w:t>
      </w:r>
      <w:r>
        <w:t>and</w:t>
      </w:r>
      <w:r>
        <w:rPr>
          <w:spacing w:val="-9"/>
        </w:rPr>
        <w:t xml:space="preserve"> </w:t>
      </w:r>
      <w:r>
        <w:t>reduces</w:t>
      </w:r>
      <w:r>
        <w:rPr>
          <w:spacing w:val="-6"/>
        </w:rPr>
        <w:t xml:space="preserve"> </w:t>
      </w:r>
      <w:r>
        <w:t>the</w:t>
      </w:r>
      <w:r>
        <w:rPr>
          <w:spacing w:val="-8"/>
        </w:rPr>
        <w:t xml:space="preserve"> </w:t>
      </w:r>
      <w:r>
        <w:t>risk</w:t>
      </w:r>
      <w:r>
        <w:rPr>
          <w:spacing w:val="-9"/>
        </w:rPr>
        <w:t xml:space="preserve"> </w:t>
      </w:r>
      <w:r>
        <w:t>of</w:t>
      </w:r>
      <w:r>
        <w:rPr>
          <w:spacing w:val="-8"/>
        </w:rPr>
        <w:t xml:space="preserve"> </w:t>
      </w:r>
      <w:r>
        <w:t>failing</w:t>
      </w:r>
      <w:r>
        <w:rPr>
          <w:spacing w:val="-8"/>
        </w:rPr>
        <w:t xml:space="preserve"> </w:t>
      </w:r>
      <w:r>
        <w:t>to</w:t>
      </w:r>
      <w:r>
        <w:rPr>
          <w:spacing w:val="-7"/>
        </w:rPr>
        <w:t xml:space="preserve"> </w:t>
      </w:r>
      <w:r>
        <w:t>complete</w:t>
      </w:r>
      <w:r>
        <w:rPr>
          <w:spacing w:val="-8"/>
        </w:rPr>
        <w:t xml:space="preserve"> </w:t>
      </w:r>
      <w:r>
        <w:t>program</w:t>
      </w:r>
      <w:r>
        <w:rPr>
          <w:spacing w:val="-9"/>
        </w:rPr>
        <w:t xml:space="preserve"> </w:t>
      </w:r>
      <w:r>
        <w:t>activities</w:t>
      </w:r>
      <w:r>
        <w:rPr>
          <w:spacing w:val="-9"/>
        </w:rPr>
        <w:t xml:space="preserve"> </w:t>
      </w:r>
      <w:r>
        <w:t>effectively</w:t>
      </w:r>
      <w:r>
        <w:rPr>
          <w:spacing w:val="-6"/>
        </w:rPr>
        <w:t xml:space="preserve"> </w:t>
      </w:r>
      <w:r>
        <w:t>at</w:t>
      </w:r>
      <w:r>
        <w:rPr>
          <w:spacing w:val="-8"/>
        </w:rPr>
        <w:t xml:space="preserve"> </w:t>
      </w:r>
      <w:r>
        <w:t>the</w:t>
      </w:r>
      <w:r>
        <w:rPr>
          <w:spacing w:val="-8"/>
        </w:rPr>
        <w:t xml:space="preserve"> </w:t>
      </w:r>
      <w:r>
        <w:t>end</w:t>
      </w:r>
      <w:r>
        <w:rPr>
          <w:spacing w:val="-9"/>
        </w:rPr>
        <w:t xml:space="preserve"> </w:t>
      </w:r>
      <w:r>
        <w:t>of Phase 1.</w:t>
      </w:r>
    </w:p>
    <w:p w14:paraId="4F9015F2" w14:textId="77777777" w:rsidR="00BC24A8" w:rsidRDefault="00000000">
      <w:pPr>
        <w:pStyle w:val="BodyText"/>
        <w:spacing w:before="156" w:line="278" w:lineRule="auto"/>
        <w:ind w:left="143" w:right="279"/>
        <w:jc w:val="both"/>
      </w:pPr>
      <w:r>
        <w:t xml:space="preserve">Working across 25 directorates in the three counterpart ministries, each with its own priorities and </w:t>
      </w:r>
      <w:r>
        <w:rPr>
          <w:spacing w:val="-2"/>
        </w:rPr>
        <w:t>agendas,</w:t>
      </w:r>
      <w:r>
        <w:rPr>
          <w:spacing w:val="-3"/>
        </w:rPr>
        <w:t xml:space="preserve"> </w:t>
      </w:r>
      <w:r>
        <w:rPr>
          <w:spacing w:val="-2"/>
        </w:rPr>
        <w:t>has</w:t>
      </w:r>
      <w:r>
        <w:rPr>
          <w:spacing w:val="-3"/>
        </w:rPr>
        <w:t xml:space="preserve"> </w:t>
      </w:r>
      <w:r>
        <w:rPr>
          <w:spacing w:val="-2"/>
        </w:rPr>
        <w:t>also</w:t>
      </w:r>
      <w:r>
        <w:rPr>
          <w:spacing w:val="-4"/>
        </w:rPr>
        <w:t xml:space="preserve"> </w:t>
      </w:r>
      <w:r>
        <w:rPr>
          <w:spacing w:val="-2"/>
        </w:rPr>
        <w:t>been challenging in filtering activities</w:t>
      </w:r>
      <w:r>
        <w:rPr>
          <w:spacing w:val="-3"/>
        </w:rPr>
        <w:t xml:space="preserve"> </w:t>
      </w:r>
      <w:r>
        <w:rPr>
          <w:spacing w:val="-2"/>
        </w:rPr>
        <w:t>essential to</w:t>
      </w:r>
      <w:r>
        <w:rPr>
          <w:spacing w:val="-4"/>
        </w:rPr>
        <w:t xml:space="preserve"> </w:t>
      </w:r>
      <w:r>
        <w:rPr>
          <w:spacing w:val="-2"/>
        </w:rPr>
        <w:t>the</w:t>
      </w:r>
      <w:r>
        <w:rPr>
          <w:spacing w:val="-3"/>
        </w:rPr>
        <w:t xml:space="preserve"> </w:t>
      </w:r>
      <w:r>
        <w:rPr>
          <w:spacing w:val="-2"/>
        </w:rPr>
        <w:t>fulfilment of</w:t>
      </w:r>
      <w:r>
        <w:rPr>
          <w:spacing w:val="-6"/>
        </w:rPr>
        <w:t xml:space="preserve"> </w:t>
      </w:r>
      <w:r>
        <w:rPr>
          <w:spacing w:val="-2"/>
        </w:rPr>
        <w:t>the program’s</w:t>
      </w:r>
      <w:r>
        <w:rPr>
          <w:spacing w:val="-3"/>
        </w:rPr>
        <w:t xml:space="preserve"> </w:t>
      </w:r>
      <w:r>
        <w:rPr>
          <w:spacing w:val="-2"/>
        </w:rPr>
        <w:t xml:space="preserve">goals. </w:t>
      </w:r>
      <w:r>
        <w:t xml:space="preserve">This needs to be further considered in revising participation in SKALA’s technical committee. The structural changes in BAPPENAS, which now incorporates a “deputy secretary” position, allow consideration moving forward of only working through deputy and directorate-general secretaries, </w:t>
      </w:r>
      <w:r>
        <w:rPr>
          <w:spacing w:val="-2"/>
        </w:rPr>
        <w:t>which</w:t>
      </w:r>
      <w:r>
        <w:rPr>
          <w:spacing w:val="-4"/>
        </w:rPr>
        <w:t xml:space="preserve"> </w:t>
      </w:r>
      <w:r>
        <w:rPr>
          <w:spacing w:val="-2"/>
        </w:rPr>
        <w:t>would</w:t>
      </w:r>
      <w:r>
        <w:rPr>
          <w:spacing w:val="-8"/>
        </w:rPr>
        <w:t xml:space="preserve"> </w:t>
      </w:r>
      <w:r>
        <w:rPr>
          <w:spacing w:val="-2"/>
        </w:rPr>
        <w:t>ensure</w:t>
      </w:r>
      <w:r>
        <w:rPr>
          <w:spacing w:val="-6"/>
        </w:rPr>
        <w:t xml:space="preserve"> </w:t>
      </w:r>
      <w:r>
        <w:rPr>
          <w:spacing w:val="-2"/>
        </w:rPr>
        <w:t>better</w:t>
      </w:r>
      <w:r>
        <w:rPr>
          <w:spacing w:val="-8"/>
        </w:rPr>
        <w:t xml:space="preserve"> </w:t>
      </w:r>
      <w:r>
        <w:rPr>
          <w:spacing w:val="-2"/>
        </w:rPr>
        <w:t>alignment</w:t>
      </w:r>
      <w:r>
        <w:rPr>
          <w:spacing w:val="-5"/>
        </w:rPr>
        <w:t xml:space="preserve"> </w:t>
      </w:r>
      <w:r>
        <w:rPr>
          <w:spacing w:val="-2"/>
        </w:rPr>
        <w:t>and</w:t>
      </w:r>
      <w:r>
        <w:rPr>
          <w:spacing w:val="-8"/>
        </w:rPr>
        <w:t xml:space="preserve"> </w:t>
      </w:r>
      <w:r>
        <w:rPr>
          <w:spacing w:val="-2"/>
        </w:rPr>
        <w:t>more</w:t>
      </w:r>
      <w:r>
        <w:rPr>
          <w:spacing w:val="-6"/>
        </w:rPr>
        <w:t xml:space="preserve"> </w:t>
      </w:r>
      <w:r>
        <w:rPr>
          <w:spacing w:val="-2"/>
        </w:rPr>
        <w:t>efficient</w:t>
      </w:r>
      <w:r>
        <w:rPr>
          <w:spacing w:val="-5"/>
        </w:rPr>
        <w:t xml:space="preserve"> </w:t>
      </w:r>
      <w:r>
        <w:rPr>
          <w:spacing w:val="-2"/>
        </w:rPr>
        <w:t>coordination.</w:t>
      </w:r>
      <w:r>
        <w:rPr>
          <w:spacing w:val="-6"/>
        </w:rPr>
        <w:t xml:space="preserve"> </w:t>
      </w:r>
      <w:r>
        <w:rPr>
          <w:spacing w:val="-2"/>
        </w:rPr>
        <w:t>At</w:t>
      </w:r>
      <w:r>
        <w:rPr>
          <w:spacing w:val="-5"/>
        </w:rPr>
        <w:t xml:space="preserve"> </w:t>
      </w:r>
      <w:r>
        <w:rPr>
          <w:spacing w:val="-2"/>
        </w:rPr>
        <w:t>a</w:t>
      </w:r>
      <w:r>
        <w:rPr>
          <w:spacing w:val="-6"/>
        </w:rPr>
        <w:t xml:space="preserve"> </w:t>
      </w:r>
      <w:r>
        <w:rPr>
          <w:spacing w:val="-2"/>
        </w:rPr>
        <w:t>more</w:t>
      </w:r>
      <w:r>
        <w:rPr>
          <w:spacing w:val="-6"/>
        </w:rPr>
        <w:t xml:space="preserve"> </w:t>
      </w:r>
      <w:r>
        <w:rPr>
          <w:spacing w:val="-2"/>
        </w:rPr>
        <w:t>technical</w:t>
      </w:r>
      <w:r>
        <w:rPr>
          <w:spacing w:val="-6"/>
        </w:rPr>
        <w:t xml:space="preserve"> </w:t>
      </w:r>
      <w:r>
        <w:rPr>
          <w:spacing w:val="-2"/>
        </w:rPr>
        <w:t>level,</w:t>
      </w:r>
      <w:r>
        <w:rPr>
          <w:spacing w:val="-4"/>
        </w:rPr>
        <w:t xml:space="preserve"> </w:t>
      </w:r>
      <w:r>
        <w:rPr>
          <w:spacing w:val="-2"/>
        </w:rPr>
        <w:t xml:space="preserve">agendas </w:t>
      </w:r>
      <w:r>
        <w:t>and priorities can be progressed through the working groups. Another element being pushed is to progress joint knowledge management systems utilising artificial intelligence to improve sharing of documents, data and information between the three counterpart ministries, increase efficiencies and address capacity gaps.</w:t>
      </w:r>
    </w:p>
    <w:p w14:paraId="65A6BD1A" w14:textId="77777777" w:rsidR="00BC24A8" w:rsidRDefault="00BC24A8">
      <w:pPr>
        <w:pStyle w:val="BodyText"/>
        <w:spacing w:line="278" w:lineRule="auto"/>
        <w:jc w:val="both"/>
        <w:sectPr w:rsidR="00BC24A8">
          <w:pgSz w:w="11910" w:h="16840"/>
          <w:pgMar w:top="1320" w:right="1133" w:bottom="1100" w:left="1275" w:header="0" w:footer="907" w:gutter="0"/>
          <w:cols w:space="720"/>
        </w:sectPr>
      </w:pPr>
    </w:p>
    <w:p w14:paraId="48B186A1" w14:textId="77777777" w:rsidR="00BC24A8" w:rsidRDefault="00000000">
      <w:pPr>
        <w:pStyle w:val="Heading1"/>
        <w:spacing w:line="252" w:lineRule="auto"/>
      </w:pPr>
      <w:bookmarkStart w:id="88" w:name="Learning_and_Recommendations_(Efficiency"/>
      <w:bookmarkStart w:id="89" w:name="_bookmark53"/>
      <w:bookmarkEnd w:id="88"/>
      <w:bookmarkEnd w:id="89"/>
      <w:r w:rsidRPr="00795364">
        <w:rPr>
          <w:color w:val="00A59C"/>
          <w:spacing w:val="-2"/>
        </w:rPr>
        <w:lastRenderedPageBreak/>
        <w:t>Learning</w:t>
      </w:r>
      <w:r w:rsidRPr="00795364">
        <w:rPr>
          <w:color w:val="00A59C"/>
          <w:spacing w:val="-56"/>
        </w:rPr>
        <w:t xml:space="preserve"> </w:t>
      </w:r>
      <w:r w:rsidRPr="00795364">
        <w:rPr>
          <w:color w:val="00A59C"/>
          <w:spacing w:val="-2"/>
        </w:rPr>
        <w:t>and</w:t>
      </w:r>
      <w:r w:rsidRPr="00795364">
        <w:rPr>
          <w:color w:val="00A59C"/>
          <w:spacing w:val="-55"/>
        </w:rPr>
        <w:t xml:space="preserve"> </w:t>
      </w:r>
      <w:r w:rsidRPr="00795364">
        <w:rPr>
          <w:color w:val="00A59C"/>
          <w:spacing w:val="-2"/>
        </w:rPr>
        <w:t>Recommendations (Efficiency)</w:t>
      </w:r>
    </w:p>
    <w:p w14:paraId="5D86B5D0" w14:textId="77777777" w:rsidR="00BC24A8" w:rsidRDefault="00000000">
      <w:pPr>
        <w:pStyle w:val="BodyText"/>
        <w:spacing w:before="552" w:line="278" w:lineRule="auto"/>
        <w:ind w:left="143" w:right="279" w:hanging="1"/>
        <w:jc w:val="both"/>
      </w:pPr>
      <w:r>
        <w:t>Innovation-</w:t>
      </w:r>
      <w:r>
        <w:rPr>
          <w:spacing w:val="-13"/>
        </w:rPr>
        <w:t xml:space="preserve"> </w:t>
      </w:r>
      <w:r>
        <w:t>SKALA’s</w:t>
      </w:r>
      <w:r>
        <w:rPr>
          <w:spacing w:val="-12"/>
        </w:rPr>
        <w:t xml:space="preserve"> </w:t>
      </w:r>
      <w:r>
        <w:t>work</w:t>
      </w:r>
      <w:r>
        <w:rPr>
          <w:spacing w:val="-10"/>
        </w:rPr>
        <w:t xml:space="preserve"> </w:t>
      </w:r>
      <w:r>
        <w:t>with</w:t>
      </w:r>
      <w:r>
        <w:rPr>
          <w:spacing w:val="-11"/>
        </w:rPr>
        <w:t xml:space="preserve"> </w:t>
      </w:r>
      <w:r>
        <w:t>UN</w:t>
      </w:r>
      <w:r>
        <w:rPr>
          <w:spacing w:val="-12"/>
        </w:rPr>
        <w:t xml:space="preserve"> </w:t>
      </w:r>
      <w:r>
        <w:t>Global</w:t>
      </w:r>
      <w:r>
        <w:rPr>
          <w:spacing w:val="-11"/>
        </w:rPr>
        <w:t xml:space="preserve"> </w:t>
      </w:r>
      <w:r>
        <w:t>Pulse</w:t>
      </w:r>
      <w:r>
        <w:rPr>
          <w:spacing w:val="-13"/>
        </w:rPr>
        <w:t xml:space="preserve"> </w:t>
      </w:r>
      <w:r>
        <w:t>Asia</w:t>
      </w:r>
      <w:r>
        <w:rPr>
          <w:spacing w:val="-12"/>
        </w:rPr>
        <w:t xml:space="preserve"> </w:t>
      </w:r>
      <w:r>
        <w:t>Pacific</w:t>
      </w:r>
      <w:r>
        <w:rPr>
          <w:spacing w:val="-11"/>
        </w:rPr>
        <w:t xml:space="preserve"> </w:t>
      </w:r>
      <w:r>
        <w:t>(UNGP-AP)</w:t>
      </w:r>
      <w:r>
        <w:rPr>
          <w:spacing w:val="-12"/>
        </w:rPr>
        <w:t xml:space="preserve"> </w:t>
      </w:r>
      <w:r>
        <w:t>to</w:t>
      </w:r>
      <w:r>
        <w:rPr>
          <w:spacing w:val="-11"/>
        </w:rPr>
        <w:t xml:space="preserve"> </w:t>
      </w:r>
      <w:r>
        <w:t>combine</w:t>
      </w:r>
      <w:r>
        <w:rPr>
          <w:spacing w:val="-12"/>
        </w:rPr>
        <w:t xml:space="preserve"> </w:t>
      </w:r>
      <w:r>
        <w:t>its</w:t>
      </w:r>
      <w:r>
        <w:rPr>
          <w:spacing w:val="-11"/>
        </w:rPr>
        <w:t xml:space="preserve"> </w:t>
      </w:r>
      <w:r>
        <w:t>analytical</w:t>
      </w:r>
      <w:r>
        <w:rPr>
          <w:spacing w:val="-13"/>
        </w:rPr>
        <w:t xml:space="preserve"> </w:t>
      </w:r>
      <w:r>
        <w:t>platform on sea level rise (SLR) with SEPAKAT as a poverty analysis platform has provided both expected and unexpected results. In</w:t>
      </w:r>
      <w:r>
        <w:rPr>
          <w:spacing w:val="-2"/>
        </w:rPr>
        <w:t xml:space="preserve"> </w:t>
      </w:r>
      <w:r>
        <w:t>piloting this</w:t>
      </w:r>
      <w:r>
        <w:rPr>
          <w:spacing w:val="-1"/>
        </w:rPr>
        <w:t xml:space="preserve"> </w:t>
      </w:r>
      <w:r>
        <w:t>platform in</w:t>
      </w:r>
      <w:r>
        <w:rPr>
          <w:spacing w:val="-2"/>
        </w:rPr>
        <w:t xml:space="preserve"> </w:t>
      </w:r>
      <w:r>
        <w:t>NTB</w:t>
      </w:r>
      <w:r>
        <w:rPr>
          <w:spacing w:val="-1"/>
        </w:rPr>
        <w:t xml:space="preserve"> </w:t>
      </w:r>
      <w:r>
        <w:t>province, the</w:t>
      </w:r>
      <w:r>
        <w:rPr>
          <w:spacing w:val="-1"/>
        </w:rPr>
        <w:t xml:space="preserve"> </w:t>
      </w:r>
      <w:r>
        <w:t>intent</w:t>
      </w:r>
      <w:r>
        <w:rPr>
          <w:spacing w:val="-1"/>
        </w:rPr>
        <w:t xml:space="preserve"> </w:t>
      </w:r>
      <w:r>
        <w:t>was to</w:t>
      </w:r>
      <w:r>
        <w:rPr>
          <w:spacing w:val="-2"/>
        </w:rPr>
        <w:t xml:space="preserve"> </w:t>
      </w:r>
      <w:r>
        <w:t>provide</w:t>
      </w:r>
      <w:r>
        <w:rPr>
          <w:spacing w:val="-1"/>
        </w:rPr>
        <w:t xml:space="preserve"> </w:t>
      </w:r>
      <w:r>
        <w:t>insights to</w:t>
      </w:r>
      <w:r>
        <w:rPr>
          <w:spacing w:val="-2"/>
        </w:rPr>
        <w:t xml:space="preserve"> </w:t>
      </w:r>
      <w:r>
        <w:t>local government</w:t>
      </w:r>
      <w:r>
        <w:rPr>
          <w:spacing w:val="-4"/>
        </w:rPr>
        <w:t xml:space="preserve"> </w:t>
      </w:r>
      <w:r>
        <w:t>on</w:t>
      </w:r>
      <w:r>
        <w:rPr>
          <w:spacing w:val="-3"/>
        </w:rPr>
        <w:t xml:space="preserve"> </w:t>
      </w:r>
      <w:r>
        <w:t>vulnerabilities</w:t>
      </w:r>
      <w:r>
        <w:rPr>
          <w:spacing w:val="-3"/>
        </w:rPr>
        <w:t xml:space="preserve"> </w:t>
      </w:r>
      <w:r>
        <w:t>caused</w:t>
      </w:r>
      <w:r>
        <w:rPr>
          <w:spacing w:val="-3"/>
        </w:rPr>
        <w:t xml:space="preserve"> </w:t>
      </w:r>
      <w:r>
        <w:t>by</w:t>
      </w:r>
      <w:r>
        <w:rPr>
          <w:spacing w:val="-5"/>
        </w:rPr>
        <w:t xml:space="preserve"> </w:t>
      </w:r>
      <w:r>
        <w:t>rising</w:t>
      </w:r>
      <w:r>
        <w:rPr>
          <w:spacing w:val="-7"/>
        </w:rPr>
        <w:t xml:space="preserve"> </w:t>
      </w:r>
      <w:r>
        <w:t>sea</w:t>
      </w:r>
      <w:r>
        <w:rPr>
          <w:spacing w:val="-5"/>
        </w:rPr>
        <w:t xml:space="preserve"> </w:t>
      </w:r>
      <w:r>
        <w:t>levels,</w:t>
      </w:r>
      <w:r>
        <w:rPr>
          <w:spacing w:val="-3"/>
        </w:rPr>
        <w:t xml:space="preserve"> </w:t>
      </w:r>
      <w:r>
        <w:t>in</w:t>
      </w:r>
      <w:r>
        <w:rPr>
          <w:spacing w:val="-3"/>
        </w:rPr>
        <w:t xml:space="preserve"> </w:t>
      </w:r>
      <w:r>
        <w:t>terms</w:t>
      </w:r>
      <w:r>
        <w:rPr>
          <w:spacing w:val="-3"/>
        </w:rPr>
        <w:t xml:space="preserve"> </w:t>
      </w:r>
      <w:r>
        <w:t>of</w:t>
      </w:r>
      <w:r>
        <w:rPr>
          <w:spacing w:val="-5"/>
        </w:rPr>
        <w:t xml:space="preserve"> </w:t>
      </w:r>
      <w:r>
        <w:t>vulnerable</w:t>
      </w:r>
      <w:r>
        <w:rPr>
          <w:spacing w:val="-5"/>
        </w:rPr>
        <w:t xml:space="preserve"> </w:t>
      </w:r>
      <w:r>
        <w:t>communities</w:t>
      </w:r>
      <w:r>
        <w:rPr>
          <w:spacing w:val="-3"/>
        </w:rPr>
        <w:t xml:space="preserve"> </w:t>
      </w:r>
      <w:r>
        <w:t>and</w:t>
      </w:r>
      <w:r>
        <w:rPr>
          <w:spacing w:val="-3"/>
        </w:rPr>
        <w:t xml:space="preserve"> </w:t>
      </w:r>
      <w:r>
        <w:t>their access to services. This was well received, but also further expanded by the provincial government, intending to use the analysis for a range of other strategic priorities it has planned. Nationally, the combined</w:t>
      </w:r>
      <w:r>
        <w:rPr>
          <w:spacing w:val="-2"/>
        </w:rPr>
        <w:t xml:space="preserve"> </w:t>
      </w:r>
      <w:r>
        <w:t>platform also enhances</w:t>
      </w:r>
      <w:r>
        <w:rPr>
          <w:spacing w:val="-1"/>
        </w:rPr>
        <w:t xml:space="preserve"> </w:t>
      </w:r>
      <w:r>
        <w:t>projections</w:t>
      </w:r>
      <w:r>
        <w:rPr>
          <w:spacing w:val="-1"/>
        </w:rPr>
        <w:t xml:space="preserve"> </w:t>
      </w:r>
      <w:r>
        <w:t>needed</w:t>
      </w:r>
      <w:r>
        <w:rPr>
          <w:spacing w:val="-1"/>
        </w:rPr>
        <w:t xml:space="preserve"> </w:t>
      </w:r>
      <w:r>
        <w:t>for national strategic programs in</w:t>
      </w:r>
      <w:r>
        <w:rPr>
          <w:spacing w:val="-2"/>
        </w:rPr>
        <w:t xml:space="preserve"> </w:t>
      </w:r>
      <w:r>
        <w:t>other</w:t>
      </w:r>
      <w:r>
        <w:rPr>
          <w:spacing w:val="-1"/>
        </w:rPr>
        <w:t xml:space="preserve"> </w:t>
      </w:r>
      <w:r>
        <w:t>regions, including the north Java coastline.</w:t>
      </w:r>
    </w:p>
    <w:p w14:paraId="13F9D8E9" w14:textId="77777777" w:rsidR="00BC24A8" w:rsidRDefault="00000000">
      <w:pPr>
        <w:pStyle w:val="BodyText"/>
        <w:spacing w:before="155" w:line="278" w:lineRule="auto"/>
        <w:ind w:left="143" w:right="280"/>
        <w:jc w:val="both"/>
      </w:pPr>
      <w:r>
        <w:t>Significant</w:t>
      </w:r>
      <w:r>
        <w:rPr>
          <w:spacing w:val="-9"/>
        </w:rPr>
        <w:t xml:space="preserve"> </w:t>
      </w:r>
      <w:r>
        <w:t>Challenges-</w:t>
      </w:r>
      <w:r>
        <w:rPr>
          <w:spacing w:val="-11"/>
        </w:rPr>
        <w:t xml:space="preserve"> </w:t>
      </w:r>
      <w:r>
        <w:t>An</w:t>
      </w:r>
      <w:r>
        <w:rPr>
          <w:spacing w:val="-8"/>
        </w:rPr>
        <w:t xml:space="preserve"> </w:t>
      </w:r>
      <w:r>
        <w:t>important</w:t>
      </w:r>
      <w:r>
        <w:rPr>
          <w:spacing w:val="-9"/>
        </w:rPr>
        <w:t xml:space="preserve"> </w:t>
      </w:r>
      <w:r>
        <w:t>challenge</w:t>
      </w:r>
      <w:r>
        <w:rPr>
          <w:spacing w:val="-10"/>
        </w:rPr>
        <w:t xml:space="preserve"> </w:t>
      </w:r>
      <w:r>
        <w:t>in</w:t>
      </w:r>
      <w:r>
        <w:rPr>
          <w:spacing w:val="-8"/>
        </w:rPr>
        <w:t xml:space="preserve"> </w:t>
      </w:r>
      <w:r>
        <w:t>implementation</w:t>
      </w:r>
      <w:r>
        <w:rPr>
          <w:spacing w:val="-8"/>
        </w:rPr>
        <w:t xml:space="preserve"> </w:t>
      </w:r>
      <w:r>
        <w:t>is</w:t>
      </w:r>
      <w:r>
        <w:rPr>
          <w:spacing w:val="-8"/>
        </w:rPr>
        <w:t xml:space="preserve"> </w:t>
      </w:r>
      <w:r>
        <w:t>in</w:t>
      </w:r>
      <w:r>
        <w:rPr>
          <w:spacing w:val="-8"/>
        </w:rPr>
        <w:t xml:space="preserve"> </w:t>
      </w:r>
      <w:r>
        <w:t>aligning</w:t>
      </w:r>
      <w:r>
        <w:rPr>
          <w:spacing w:val="-11"/>
        </w:rPr>
        <w:t xml:space="preserve"> </w:t>
      </w:r>
      <w:r>
        <w:t>MEL</w:t>
      </w:r>
      <w:r>
        <w:rPr>
          <w:spacing w:val="-8"/>
        </w:rPr>
        <w:t xml:space="preserve"> </w:t>
      </w:r>
      <w:r>
        <w:t>reporting</w:t>
      </w:r>
      <w:r>
        <w:rPr>
          <w:spacing w:val="-11"/>
        </w:rPr>
        <w:t xml:space="preserve"> </w:t>
      </w:r>
      <w:r>
        <w:t>processes with work planning. The governance manual requires the work plan to be discussed and revised to ensure relevance and identify key areas requiring adjustments. SKALA is also required to submit full progress reports every six months to DFAT. DFAT’s approval must be obtained before the six-monthly report can be shared with other stakeholders. This can cause issues, as progress reported to counterparts</w:t>
      </w:r>
      <w:r>
        <w:rPr>
          <w:spacing w:val="-4"/>
        </w:rPr>
        <w:t xml:space="preserve"> </w:t>
      </w:r>
      <w:r>
        <w:t>is</w:t>
      </w:r>
      <w:r>
        <w:rPr>
          <w:spacing w:val="-7"/>
        </w:rPr>
        <w:t xml:space="preserve"> </w:t>
      </w:r>
      <w:r>
        <w:t>based</w:t>
      </w:r>
      <w:r>
        <w:rPr>
          <w:spacing w:val="-5"/>
        </w:rPr>
        <w:t xml:space="preserve"> </w:t>
      </w:r>
      <w:r>
        <w:t>on</w:t>
      </w:r>
      <w:r>
        <w:rPr>
          <w:spacing w:val="-5"/>
        </w:rPr>
        <w:t xml:space="preserve"> </w:t>
      </w:r>
      <w:r>
        <w:t>MEL</w:t>
      </w:r>
      <w:r>
        <w:rPr>
          <w:spacing w:val="-4"/>
        </w:rPr>
        <w:t xml:space="preserve"> </w:t>
      </w:r>
      <w:r>
        <w:t>findings</w:t>
      </w:r>
      <w:r>
        <w:rPr>
          <w:spacing w:val="-7"/>
        </w:rPr>
        <w:t xml:space="preserve"> </w:t>
      </w:r>
      <w:r>
        <w:t>up</w:t>
      </w:r>
      <w:r>
        <w:rPr>
          <w:spacing w:val="-5"/>
        </w:rPr>
        <w:t xml:space="preserve"> </w:t>
      </w:r>
      <w:r>
        <w:t>to</w:t>
      </w:r>
      <w:r>
        <w:rPr>
          <w:spacing w:val="-5"/>
        </w:rPr>
        <w:t xml:space="preserve"> </w:t>
      </w:r>
      <w:r>
        <w:t>the</w:t>
      </w:r>
      <w:r>
        <w:rPr>
          <w:spacing w:val="-9"/>
        </w:rPr>
        <w:t xml:space="preserve"> </w:t>
      </w:r>
      <w:r>
        <w:t>previous</w:t>
      </w:r>
      <w:r>
        <w:rPr>
          <w:spacing w:val="-4"/>
        </w:rPr>
        <w:t xml:space="preserve"> </w:t>
      </w:r>
      <w:r>
        <w:t>quarter</w:t>
      </w:r>
      <w:r>
        <w:rPr>
          <w:spacing w:val="-5"/>
        </w:rPr>
        <w:t xml:space="preserve"> </w:t>
      </w:r>
      <w:r>
        <w:t>and</w:t>
      </w:r>
      <w:r>
        <w:rPr>
          <w:spacing w:val="-5"/>
        </w:rPr>
        <w:t xml:space="preserve"> </w:t>
      </w:r>
      <w:r>
        <w:t>not</w:t>
      </w:r>
      <w:r>
        <w:rPr>
          <w:spacing w:val="-6"/>
        </w:rPr>
        <w:t xml:space="preserve"> </w:t>
      </w:r>
      <w:r>
        <w:t>the</w:t>
      </w:r>
      <w:r>
        <w:rPr>
          <w:spacing w:val="-6"/>
        </w:rPr>
        <w:t xml:space="preserve"> </w:t>
      </w:r>
      <w:r>
        <w:t>full</w:t>
      </w:r>
      <w:r>
        <w:rPr>
          <w:spacing w:val="-6"/>
        </w:rPr>
        <w:t xml:space="preserve"> </w:t>
      </w:r>
      <w:r>
        <w:t>semester</w:t>
      </w:r>
      <w:r>
        <w:rPr>
          <w:spacing w:val="-5"/>
        </w:rPr>
        <w:t xml:space="preserve"> </w:t>
      </w:r>
      <w:r>
        <w:t>of</w:t>
      </w:r>
      <w:r>
        <w:rPr>
          <w:spacing w:val="-6"/>
        </w:rPr>
        <w:t xml:space="preserve"> </w:t>
      </w:r>
      <w:r>
        <w:t>activities. This</w:t>
      </w:r>
      <w:r>
        <w:rPr>
          <w:spacing w:val="-3"/>
        </w:rPr>
        <w:t xml:space="preserve"> </w:t>
      </w:r>
      <w:r>
        <w:t>can</w:t>
      </w:r>
      <w:r>
        <w:rPr>
          <w:spacing w:val="-6"/>
        </w:rPr>
        <w:t xml:space="preserve"> </w:t>
      </w:r>
      <w:r>
        <w:t>also</w:t>
      </w:r>
      <w:r>
        <w:rPr>
          <w:spacing w:val="-6"/>
        </w:rPr>
        <w:t xml:space="preserve"> </w:t>
      </w:r>
      <w:r>
        <w:t>result</w:t>
      </w:r>
      <w:r>
        <w:rPr>
          <w:spacing w:val="-5"/>
        </w:rPr>
        <w:t xml:space="preserve"> </w:t>
      </w:r>
      <w:r>
        <w:t>in</w:t>
      </w:r>
      <w:r>
        <w:rPr>
          <w:spacing w:val="-6"/>
        </w:rPr>
        <w:t xml:space="preserve"> </w:t>
      </w:r>
      <w:r>
        <w:t>different</w:t>
      </w:r>
      <w:r>
        <w:rPr>
          <w:spacing w:val="-5"/>
        </w:rPr>
        <w:t xml:space="preserve"> </w:t>
      </w:r>
      <w:r>
        <w:t>results</w:t>
      </w:r>
      <w:r>
        <w:rPr>
          <w:spacing w:val="-6"/>
        </w:rPr>
        <w:t xml:space="preserve"> </w:t>
      </w:r>
      <w:r>
        <w:t>presented</w:t>
      </w:r>
      <w:r>
        <w:rPr>
          <w:spacing w:val="-4"/>
        </w:rPr>
        <w:t xml:space="preserve"> </w:t>
      </w:r>
      <w:r>
        <w:t>in</w:t>
      </w:r>
      <w:r>
        <w:rPr>
          <w:spacing w:val="-6"/>
        </w:rPr>
        <w:t xml:space="preserve"> </w:t>
      </w:r>
      <w:r>
        <w:t>governance-related</w:t>
      </w:r>
      <w:r>
        <w:rPr>
          <w:spacing w:val="-4"/>
        </w:rPr>
        <w:t xml:space="preserve"> </w:t>
      </w:r>
      <w:r>
        <w:t>meetings</w:t>
      </w:r>
      <w:r>
        <w:rPr>
          <w:spacing w:val="-6"/>
        </w:rPr>
        <w:t xml:space="preserve"> </w:t>
      </w:r>
      <w:r>
        <w:t>from</w:t>
      </w:r>
      <w:r>
        <w:rPr>
          <w:spacing w:val="-6"/>
        </w:rPr>
        <w:t xml:space="preserve"> </w:t>
      </w:r>
      <w:r>
        <w:t>what</w:t>
      </w:r>
      <w:r>
        <w:rPr>
          <w:spacing w:val="-5"/>
        </w:rPr>
        <w:t xml:space="preserve"> </w:t>
      </w:r>
      <w:r>
        <w:t>is</w:t>
      </w:r>
      <w:r>
        <w:rPr>
          <w:spacing w:val="-6"/>
        </w:rPr>
        <w:t xml:space="preserve"> </w:t>
      </w:r>
      <w:r>
        <w:t>finalised in the official six-monthly report. This might not be resolvable in the current phase, but is worth considering in enhancing efficiency for the second phase of SKALA.</w:t>
      </w:r>
    </w:p>
    <w:p w14:paraId="73032F25" w14:textId="77777777" w:rsidR="00BC24A8" w:rsidRDefault="00000000">
      <w:pPr>
        <w:pStyle w:val="BodyText"/>
        <w:spacing w:before="158" w:line="278" w:lineRule="auto"/>
        <w:ind w:left="143" w:right="279"/>
        <w:jc w:val="both"/>
      </w:pPr>
      <w:r>
        <w:t>The likely addition of Papua Tengah and Papua Pegunungan as official SKALA partners is a key agenda item</w:t>
      </w:r>
      <w:r>
        <w:rPr>
          <w:spacing w:val="-11"/>
        </w:rPr>
        <w:t xml:space="preserve"> </w:t>
      </w:r>
      <w:r>
        <w:t>for</w:t>
      </w:r>
      <w:r>
        <w:rPr>
          <w:spacing w:val="-10"/>
        </w:rPr>
        <w:t xml:space="preserve"> </w:t>
      </w:r>
      <w:r>
        <w:t>the</w:t>
      </w:r>
      <w:r>
        <w:rPr>
          <w:spacing w:val="-13"/>
        </w:rPr>
        <w:t xml:space="preserve"> </w:t>
      </w:r>
      <w:r>
        <w:t>next</w:t>
      </w:r>
      <w:r>
        <w:rPr>
          <w:spacing w:val="-12"/>
        </w:rPr>
        <w:t xml:space="preserve"> </w:t>
      </w:r>
      <w:r>
        <w:t>Steering</w:t>
      </w:r>
      <w:r>
        <w:rPr>
          <w:spacing w:val="-11"/>
        </w:rPr>
        <w:t xml:space="preserve"> </w:t>
      </w:r>
      <w:r>
        <w:t>Committee</w:t>
      </w:r>
      <w:r>
        <w:rPr>
          <w:spacing w:val="-12"/>
        </w:rPr>
        <w:t xml:space="preserve"> </w:t>
      </w:r>
      <w:r>
        <w:t>meeting.</w:t>
      </w:r>
      <w:r>
        <w:rPr>
          <w:spacing w:val="-12"/>
        </w:rPr>
        <w:t xml:space="preserve"> </w:t>
      </w:r>
      <w:r>
        <w:t>Preliminary</w:t>
      </w:r>
      <w:r>
        <w:rPr>
          <w:spacing w:val="-12"/>
        </w:rPr>
        <w:t xml:space="preserve"> </w:t>
      </w:r>
      <w:r>
        <w:t>Steering</w:t>
      </w:r>
      <w:r>
        <w:rPr>
          <w:spacing w:val="-11"/>
        </w:rPr>
        <w:t xml:space="preserve"> </w:t>
      </w:r>
      <w:r>
        <w:t>Committee</w:t>
      </w:r>
      <w:r>
        <w:rPr>
          <w:spacing w:val="-12"/>
        </w:rPr>
        <w:t xml:space="preserve"> </w:t>
      </w:r>
      <w:r>
        <w:t>discussions</w:t>
      </w:r>
      <w:r>
        <w:rPr>
          <w:spacing w:val="-12"/>
        </w:rPr>
        <w:t xml:space="preserve"> </w:t>
      </w:r>
      <w:r>
        <w:t>on</w:t>
      </w:r>
      <w:r>
        <w:rPr>
          <w:spacing w:val="-10"/>
        </w:rPr>
        <w:t xml:space="preserve"> </w:t>
      </w:r>
      <w:r>
        <w:t>the</w:t>
      </w:r>
      <w:r>
        <w:rPr>
          <w:spacing w:val="-12"/>
        </w:rPr>
        <w:t xml:space="preserve"> </w:t>
      </w:r>
      <w:r>
        <w:t>topic have been positive. This increases the number of provinces where SKALA is operating to 12 provinces- from an original program design based on 8 partner provinces. This increases the strain on capacity within</w:t>
      </w:r>
      <w:r>
        <w:rPr>
          <w:spacing w:val="-8"/>
        </w:rPr>
        <w:t xml:space="preserve"> </w:t>
      </w:r>
      <w:r>
        <w:t>the</w:t>
      </w:r>
      <w:r>
        <w:rPr>
          <w:spacing w:val="-9"/>
        </w:rPr>
        <w:t xml:space="preserve"> </w:t>
      </w:r>
      <w:r>
        <w:t>Papua-based</w:t>
      </w:r>
      <w:r>
        <w:rPr>
          <w:spacing w:val="-8"/>
        </w:rPr>
        <w:t xml:space="preserve"> </w:t>
      </w:r>
      <w:r>
        <w:t>team,</w:t>
      </w:r>
      <w:r>
        <w:rPr>
          <w:spacing w:val="-9"/>
        </w:rPr>
        <w:t xml:space="preserve"> </w:t>
      </w:r>
      <w:r>
        <w:t>which</w:t>
      </w:r>
      <w:r>
        <w:rPr>
          <w:spacing w:val="-9"/>
        </w:rPr>
        <w:t xml:space="preserve"> </w:t>
      </w:r>
      <w:r>
        <w:t>must</w:t>
      </w:r>
      <w:r>
        <w:rPr>
          <w:spacing w:val="-11"/>
        </w:rPr>
        <w:t xml:space="preserve"> </w:t>
      </w:r>
      <w:r>
        <w:t>be</w:t>
      </w:r>
      <w:r>
        <w:rPr>
          <w:spacing w:val="-9"/>
        </w:rPr>
        <w:t xml:space="preserve"> </w:t>
      </w:r>
      <w:r>
        <w:t>addressed.</w:t>
      </w:r>
      <w:r>
        <w:rPr>
          <w:spacing w:val="-7"/>
        </w:rPr>
        <w:t xml:space="preserve"> </w:t>
      </w:r>
      <w:r>
        <w:t>Further</w:t>
      </w:r>
      <w:r>
        <w:rPr>
          <w:spacing w:val="-9"/>
        </w:rPr>
        <w:t xml:space="preserve"> </w:t>
      </w:r>
      <w:r>
        <w:t>adjustments</w:t>
      </w:r>
      <w:r>
        <w:rPr>
          <w:spacing w:val="-8"/>
        </w:rPr>
        <w:t xml:space="preserve"> </w:t>
      </w:r>
      <w:r>
        <w:t>will</w:t>
      </w:r>
      <w:r>
        <w:rPr>
          <w:spacing w:val="-10"/>
        </w:rPr>
        <w:t xml:space="preserve"> </w:t>
      </w:r>
      <w:r>
        <w:t>also</w:t>
      </w:r>
      <w:r>
        <w:rPr>
          <w:spacing w:val="-8"/>
        </w:rPr>
        <w:t xml:space="preserve"> </w:t>
      </w:r>
      <w:r>
        <w:t>need</w:t>
      </w:r>
      <w:r>
        <w:rPr>
          <w:spacing w:val="-8"/>
        </w:rPr>
        <w:t xml:space="preserve"> </w:t>
      </w:r>
      <w:r>
        <w:t>to</w:t>
      </w:r>
      <w:r>
        <w:rPr>
          <w:spacing w:val="-10"/>
        </w:rPr>
        <w:t xml:space="preserve"> </w:t>
      </w:r>
      <w:r>
        <w:t>be</w:t>
      </w:r>
      <w:r>
        <w:rPr>
          <w:spacing w:val="-11"/>
        </w:rPr>
        <w:t xml:space="preserve"> </w:t>
      </w:r>
      <w:r>
        <w:t>made in</w:t>
      </w:r>
      <w:r>
        <w:rPr>
          <w:spacing w:val="-2"/>
        </w:rPr>
        <w:t xml:space="preserve"> </w:t>
      </w:r>
      <w:r>
        <w:t>SKALA’s</w:t>
      </w:r>
      <w:r>
        <w:rPr>
          <w:spacing w:val="-3"/>
        </w:rPr>
        <w:t xml:space="preserve"> </w:t>
      </w:r>
      <w:r>
        <w:t>risk</w:t>
      </w:r>
      <w:r>
        <w:rPr>
          <w:spacing w:val="-3"/>
        </w:rPr>
        <w:t xml:space="preserve"> </w:t>
      </w:r>
      <w:r>
        <w:t>matrix</w:t>
      </w:r>
      <w:r>
        <w:rPr>
          <w:spacing w:val="-3"/>
        </w:rPr>
        <w:t xml:space="preserve"> </w:t>
      </w:r>
      <w:r>
        <w:t>in</w:t>
      </w:r>
      <w:r>
        <w:rPr>
          <w:spacing w:val="-2"/>
        </w:rPr>
        <w:t xml:space="preserve"> </w:t>
      </w:r>
      <w:r>
        <w:t>consideration</w:t>
      </w:r>
      <w:r>
        <w:rPr>
          <w:spacing w:val="-4"/>
        </w:rPr>
        <w:t xml:space="preserve"> </w:t>
      </w:r>
      <w:r>
        <w:t>of</w:t>
      </w:r>
      <w:r>
        <w:rPr>
          <w:spacing w:val="-3"/>
        </w:rPr>
        <w:t xml:space="preserve"> </w:t>
      </w:r>
      <w:r>
        <w:t>these</w:t>
      </w:r>
      <w:r>
        <w:rPr>
          <w:spacing w:val="-5"/>
        </w:rPr>
        <w:t xml:space="preserve"> </w:t>
      </w:r>
      <w:r>
        <w:t>new</w:t>
      </w:r>
      <w:r>
        <w:rPr>
          <w:spacing w:val="-4"/>
        </w:rPr>
        <w:t xml:space="preserve"> </w:t>
      </w:r>
      <w:r>
        <w:t>provinces.</w:t>
      </w:r>
      <w:r>
        <w:rPr>
          <w:spacing w:val="-1"/>
        </w:rPr>
        <w:t xml:space="preserve"> </w:t>
      </w:r>
      <w:r>
        <w:t>Recommended</w:t>
      </w:r>
      <w:r>
        <w:rPr>
          <w:spacing w:val="-4"/>
        </w:rPr>
        <w:t xml:space="preserve"> </w:t>
      </w:r>
      <w:r>
        <w:t>are</w:t>
      </w:r>
      <w:r>
        <w:rPr>
          <w:spacing w:val="-3"/>
        </w:rPr>
        <w:t xml:space="preserve"> </w:t>
      </w:r>
      <w:r>
        <w:t>additional</w:t>
      </w:r>
      <w:r>
        <w:rPr>
          <w:spacing w:val="-3"/>
        </w:rPr>
        <w:t xml:space="preserve"> </w:t>
      </w:r>
      <w:r>
        <w:t>resources and support for the Papua-based team.</w:t>
      </w:r>
    </w:p>
    <w:p w14:paraId="5C3489BD" w14:textId="77777777" w:rsidR="00BC24A8" w:rsidRDefault="00BC24A8">
      <w:pPr>
        <w:pStyle w:val="BodyText"/>
        <w:spacing w:line="278" w:lineRule="auto"/>
        <w:jc w:val="both"/>
        <w:sectPr w:rsidR="00BC24A8">
          <w:pgSz w:w="11910" w:h="16840"/>
          <w:pgMar w:top="1320" w:right="1133" w:bottom="1100" w:left="1275" w:header="0" w:footer="907" w:gutter="0"/>
          <w:cols w:space="720"/>
        </w:sectPr>
      </w:pPr>
    </w:p>
    <w:p w14:paraId="6694F5B1" w14:textId="77777777" w:rsidR="00BC24A8" w:rsidRDefault="00000000">
      <w:pPr>
        <w:pStyle w:val="Heading1"/>
        <w:jc w:val="both"/>
      </w:pPr>
      <w:bookmarkStart w:id="90" w:name="Next_Steps"/>
      <w:bookmarkStart w:id="91" w:name="_bookmark54"/>
      <w:bookmarkEnd w:id="90"/>
      <w:bookmarkEnd w:id="91"/>
      <w:r w:rsidRPr="00795364">
        <w:rPr>
          <w:color w:val="00A59C"/>
          <w:spacing w:val="-15"/>
        </w:rPr>
        <w:lastRenderedPageBreak/>
        <w:t>Next</w:t>
      </w:r>
      <w:r w:rsidRPr="00795364">
        <w:rPr>
          <w:color w:val="00A59C"/>
          <w:spacing w:val="-55"/>
        </w:rPr>
        <w:t xml:space="preserve"> </w:t>
      </w:r>
      <w:r w:rsidRPr="00795364">
        <w:rPr>
          <w:color w:val="00A59C"/>
          <w:spacing w:val="-4"/>
        </w:rPr>
        <w:t>Steps</w:t>
      </w:r>
    </w:p>
    <w:p w14:paraId="7BA285ED" w14:textId="77777777" w:rsidR="00BC24A8" w:rsidRDefault="00000000">
      <w:pPr>
        <w:pStyle w:val="BodyText"/>
        <w:spacing w:before="586" w:line="278" w:lineRule="auto"/>
        <w:ind w:left="143" w:right="280"/>
        <w:jc w:val="both"/>
      </w:pPr>
      <w:r>
        <w:rPr>
          <w:spacing w:val="-2"/>
        </w:rPr>
        <w:t>As</w:t>
      </w:r>
      <w:r>
        <w:rPr>
          <w:spacing w:val="-6"/>
        </w:rPr>
        <w:t xml:space="preserve"> </w:t>
      </w:r>
      <w:r>
        <w:rPr>
          <w:spacing w:val="-2"/>
        </w:rPr>
        <w:t>SKALA</w:t>
      </w:r>
      <w:r>
        <w:rPr>
          <w:spacing w:val="-4"/>
        </w:rPr>
        <w:t xml:space="preserve"> </w:t>
      </w:r>
      <w:r>
        <w:rPr>
          <w:spacing w:val="-2"/>
        </w:rPr>
        <w:t>plans for</w:t>
      </w:r>
      <w:r>
        <w:rPr>
          <w:spacing w:val="-4"/>
        </w:rPr>
        <w:t xml:space="preserve"> </w:t>
      </w:r>
      <w:r>
        <w:rPr>
          <w:spacing w:val="-2"/>
        </w:rPr>
        <w:t>the</w:t>
      </w:r>
      <w:r>
        <w:rPr>
          <w:spacing w:val="-5"/>
        </w:rPr>
        <w:t xml:space="preserve"> </w:t>
      </w:r>
      <w:r>
        <w:rPr>
          <w:spacing w:val="-2"/>
        </w:rPr>
        <w:t>program’s</w:t>
      </w:r>
      <w:r>
        <w:rPr>
          <w:spacing w:val="-6"/>
        </w:rPr>
        <w:t xml:space="preserve"> </w:t>
      </w:r>
      <w:r>
        <w:rPr>
          <w:spacing w:val="-2"/>
        </w:rPr>
        <w:t>final</w:t>
      </w:r>
      <w:r>
        <w:rPr>
          <w:spacing w:val="-5"/>
        </w:rPr>
        <w:t xml:space="preserve"> </w:t>
      </w:r>
      <w:r>
        <w:rPr>
          <w:spacing w:val="-2"/>
        </w:rPr>
        <w:t>18 months,</w:t>
      </w:r>
      <w:r>
        <w:rPr>
          <w:spacing w:val="-6"/>
        </w:rPr>
        <w:t xml:space="preserve"> </w:t>
      </w:r>
      <w:r>
        <w:rPr>
          <w:spacing w:val="-2"/>
        </w:rPr>
        <w:t>delivery is expected</w:t>
      </w:r>
      <w:r>
        <w:rPr>
          <w:spacing w:val="-4"/>
        </w:rPr>
        <w:t xml:space="preserve"> </w:t>
      </w:r>
      <w:r>
        <w:rPr>
          <w:spacing w:val="-2"/>
        </w:rPr>
        <w:t>to</w:t>
      </w:r>
      <w:r>
        <w:rPr>
          <w:spacing w:val="-4"/>
        </w:rPr>
        <w:t xml:space="preserve"> </w:t>
      </w:r>
      <w:r>
        <w:rPr>
          <w:spacing w:val="-2"/>
        </w:rPr>
        <w:t>consolidate</w:t>
      </w:r>
      <w:r>
        <w:rPr>
          <w:spacing w:val="-5"/>
        </w:rPr>
        <w:t xml:space="preserve"> </w:t>
      </w:r>
      <w:r>
        <w:rPr>
          <w:spacing w:val="-2"/>
        </w:rPr>
        <w:t>around</w:t>
      </w:r>
      <w:r>
        <w:rPr>
          <w:spacing w:val="-6"/>
        </w:rPr>
        <w:t xml:space="preserve"> </w:t>
      </w:r>
      <w:r>
        <w:rPr>
          <w:spacing w:val="-2"/>
        </w:rPr>
        <w:t xml:space="preserve">progressing </w:t>
      </w:r>
      <w:r>
        <w:t>five</w:t>
      </w:r>
      <w:r>
        <w:rPr>
          <w:spacing w:val="-12"/>
        </w:rPr>
        <w:t xml:space="preserve"> </w:t>
      </w:r>
      <w:r>
        <w:t>key</w:t>
      </w:r>
      <w:r>
        <w:rPr>
          <w:spacing w:val="-11"/>
        </w:rPr>
        <w:t xml:space="preserve"> </w:t>
      </w:r>
      <w:r>
        <w:t>work</w:t>
      </w:r>
      <w:r>
        <w:rPr>
          <w:spacing w:val="-10"/>
        </w:rPr>
        <w:t xml:space="preserve"> </w:t>
      </w:r>
      <w:r>
        <w:t>areas.</w:t>
      </w:r>
      <w:r>
        <w:rPr>
          <w:spacing w:val="-9"/>
        </w:rPr>
        <w:t xml:space="preserve"> </w:t>
      </w:r>
      <w:r>
        <w:t>By</w:t>
      </w:r>
      <w:r>
        <w:rPr>
          <w:spacing w:val="-10"/>
        </w:rPr>
        <w:t xml:space="preserve"> </w:t>
      </w:r>
      <w:r>
        <w:t>the</w:t>
      </w:r>
      <w:r>
        <w:rPr>
          <w:spacing w:val="-13"/>
        </w:rPr>
        <w:t xml:space="preserve"> </w:t>
      </w:r>
      <w:r>
        <w:t>end</w:t>
      </w:r>
      <w:r>
        <w:rPr>
          <w:spacing w:val="-9"/>
        </w:rPr>
        <w:t xml:space="preserve"> </w:t>
      </w:r>
      <w:r>
        <w:t>of</w:t>
      </w:r>
      <w:r>
        <w:rPr>
          <w:spacing w:val="-13"/>
        </w:rPr>
        <w:t xml:space="preserve"> </w:t>
      </w:r>
      <w:r>
        <w:t>Phase</w:t>
      </w:r>
      <w:r>
        <w:rPr>
          <w:spacing w:val="-12"/>
        </w:rPr>
        <w:t xml:space="preserve"> </w:t>
      </w:r>
      <w:r>
        <w:t>1,</w:t>
      </w:r>
      <w:r>
        <w:rPr>
          <w:spacing w:val="-11"/>
        </w:rPr>
        <w:t xml:space="preserve"> </w:t>
      </w:r>
      <w:r>
        <w:t>SKALA</w:t>
      </w:r>
      <w:r>
        <w:rPr>
          <w:spacing w:val="-12"/>
        </w:rPr>
        <w:t xml:space="preserve"> </w:t>
      </w:r>
      <w:r>
        <w:t>expects</w:t>
      </w:r>
      <w:r>
        <w:rPr>
          <w:spacing w:val="-10"/>
        </w:rPr>
        <w:t xml:space="preserve"> </w:t>
      </w:r>
      <w:r>
        <w:t>to</w:t>
      </w:r>
      <w:r>
        <w:rPr>
          <w:spacing w:val="-12"/>
        </w:rPr>
        <w:t xml:space="preserve"> </w:t>
      </w:r>
      <w:r>
        <w:t>demonstrate</w:t>
      </w:r>
      <w:r>
        <w:rPr>
          <w:spacing w:val="-11"/>
        </w:rPr>
        <w:t xml:space="preserve"> </w:t>
      </w:r>
      <w:r>
        <w:t>significant</w:t>
      </w:r>
      <w:r>
        <w:rPr>
          <w:spacing w:val="-11"/>
        </w:rPr>
        <w:t xml:space="preserve"> </w:t>
      </w:r>
      <w:r>
        <w:t>progress</w:t>
      </w:r>
      <w:r>
        <w:rPr>
          <w:spacing w:val="-11"/>
        </w:rPr>
        <w:t xml:space="preserve"> </w:t>
      </w:r>
      <w:r>
        <w:t>in</w:t>
      </w:r>
      <w:r>
        <w:rPr>
          <w:spacing w:val="-12"/>
        </w:rPr>
        <w:t xml:space="preserve"> </w:t>
      </w:r>
      <w:r>
        <w:t>relation to</w:t>
      </w:r>
      <w:r>
        <w:rPr>
          <w:spacing w:val="-4"/>
        </w:rPr>
        <w:t xml:space="preserve"> </w:t>
      </w:r>
      <w:r>
        <w:t>four</w:t>
      </w:r>
      <w:r>
        <w:rPr>
          <w:spacing w:val="-4"/>
        </w:rPr>
        <w:t xml:space="preserve"> </w:t>
      </w:r>
      <w:r>
        <w:t>key</w:t>
      </w:r>
      <w:r>
        <w:rPr>
          <w:spacing w:val="-5"/>
        </w:rPr>
        <w:t xml:space="preserve"> </w:t>
      </w:r>
      <w:r>
        <w:t>policy</w:t>
      </w:r>
      <w:r>
        <w:rPr>
          <w:spacing w:val="-3"/>
        </w:rPr>
        <w:t xml:space="preserve"> </w:t>
      </w:r>
      <w:r>
        <w:t>areas</w:t>
      </w:r>
      <w:r>
        <w:rPr>
          <w:spacing w:val="-3"/>
        </w:rPr>
        <w:t xml:space="preserve"> </w:t>
      </w:r>
      <w:r>
        <w:t>that</w:t>
      </w:r>
      <w:r>
        <w:rPr>
          <w:spacing w:val="-6"/>
        </w:rPr>
        <w:t xml:space="preserve"> </w:t>
      </w:r>
      <w:r>
        <w:t>require</w:t>
      </w:r>
      <w:r>
        <w:rPr>
          <w:spacing w:val="-5"/>
        </w:rPr>
        <w:t xml:space="preserve"> </w:t>
      </w:r>
      <w:r>
        <w:t>an</w:t>
      </w:r>
      <w:r>
        <w:rPr>
          <w:spacing w:val="-4"/>
        </w:rPr>
        <w:t xml:space="preserve"> </w:t>
      </w:r>
      <w:r>
        <w:t>improved</w:t>
      </w:r>
      <w:r>
        <w:rPr>
          <w:spacing w:val="-5"/>
        </w:rPr>
        <w:t xml:space="preserve"> </w:t>
      </w:r>
      <w:r>
        <w:t>enabling</w:t>
      </w:r>
      <w:r>
        <w:rPr>
          <w:spacing w:val="-5"/>
        </w:rPr>
        <w:t xml:space="preserve"> </w:t>
      </w:r>
      <w:r>
        <w:t>national</w:t>
      </w:r>
      <w:r>
        <w:rPr>
          <w:spacing w:val="-7"/>
        </w:rPr>
        <w:t xml:space="preserve"> </w:t>
      </w:r>
      <w:r>
        <w:t>regulatory</w:t>
      </w:r>
      <w:r>
        <w:rPr>
          <w:spacing w:val="-3"/>
        </w:rPr>
        <w:t xml:space="preserve"> </w:t>
      </w:r>
      <w:r>
        <w:t>environment</w:t>
      </w:r>
      <w:r>
        <w:rPr>
          <w:spacing w:val="-5"/>
        </w:rPr>
        <w:t xml:space="preserve"> </w:t>
      </w:r>
      <w:r>
        <w:t>(EOPO1)</w:t>
      </w:r>
      <w:r>
        <w:rPr>
          <w:spacing w:val="-3"/>
        </w:rPr>
        <w:t xml:space="preserve"> </w:t>
      </w:r>
      <w:r>
        <w:t>to deliver</w:t>
      </w:r>
      <w:r>
        <w:rPr>
          <w:spacing w:val="-10"/>
        </w:rPr>
        <w:t xml:space="preserve"> </w:t>
      </w:r>
      <w:r>
        <w:t>more</w:t>
      </w:r>
      <w:r>
        <w:rPr>
          <w:spacing w:val="-13"/>
        </w:rPr>
        <w:t xml:space="preserve"> </w:t>
      </w:r>
      <w:r>
        <w:t>effective</w:t>
      </w:r>
      <w:r>
        <w:rPr>
          <w:spacing w:val="-8"/>
        </w:rPr>
        <w:t xml:space="preserve"> </w:t>
      </w:r>
      <w:r>
        <w:t>subnational</w:t>
      </w:r>
      <w:r>
        <w:rPr>
          <w:spacing w:val="-11"/>
        </w:rPr>
        <w:t xml:space="preserve"> </w:t>
      </w:r>
      <w:r>
        <w:t>planning</w:t>
      </w:r>
      <w:r>
        <w:rPr>
          <w:spacing w:val="-11"/>
        </w:rPr>
        <w:t xml:space="preserve"> </w:t>
      </w:r>
      <w:r>
        <w:t>and</w:t>
      </w:r>
      <w:r>
        <w:rPr>
          <w:spacing w:val="-10"/>
        </w:rPr>
        <w:t xml:space="preserve"> </w:t>
      </w:r>
      <w:r>
        <w:t>budgeting</w:t>
      </w:r>
      <w:r>
        <w:rPr>
          <w:spacing w:val="-11"/>
        </w:rPr>
        <w:t xml:space="preserve"> </w:t>
      </w:r>
      <w:r>
        <w:t>for</w:t>
      </w:r>
      <w:r>
        <w:rPr>
          <w:spacing w:val="-10"/>
        </w:rPr>
        <w:t xml:space="preserve"> </w:t>
      </w:r>
      <w:r>
        <w:t>basic</w:t>
      </w:r>
      <w:r>
        <w:rPr>
          <w:spacing w:val="-11"/>
        </w:rPr>
        <w:t xml:space="preserve"> </w:t>
      </w:r>
      <w:r>
        <w:t>service</w:t>
      </w:r>
      <w:r>
        <w:rPr>
          <w:spacing w:val="-9"/>
        </w:rPr>
        <w:t xml:space="preserve"> </w:t>
      </w:r>
      <w:r>
        <w:t>provisions</w:t>
      </w:r>
      <w:r>
        <w:rPr>
          <w:spacing w:val="-10"/>
        </w:rPr>
        <w:t xml:space="preserve"> </w:t>
      </w:r>
      <w:r>
        <w:t>(EOPO2).</w:t>
      </w:r>
      <w:r>
        <w:rPr>
          <w:spacing w:val="-7"/>
        </w:rPr>
        <w:t xml:space="preserve"> </w:t>
      </w:r>
      <w:r>
        <w:t>The</w:t>
      </w:r>
      <w:r>
        <w:rPr>
          <w:spacing w:val="-11"/>
        </w:rPr>
        <w:t xml:space="preserve"> </w:t>
      </w:r>
      <w:r>
        <w:t>key policy agendas and SKALA’s expected contribution areas are:</w:t>
      </w:r>
    </w:p>
    <w:p w14:paraId="24F8D441" w14:textId="77777777" w:rsidR="00BC24A8" w:rsidRDefault="00000000">
      <w:pPr>
        <w:pStyle w:val="ListParagraph"/>
        <w:numPr>
          <w:ilvl w:val="0"/>
          <w:numId w:val="163"/>
        </w:numPr>
        <w:tabs>
          <w:tab w:val="left" w:pos="681"/>
          <w:tab w:val="left" w:pos="683"/>
        </w:tabs>
        <w:spacing w:before="157"/>
        <w:ind w:right="279" w:hanging="361"/>
      </w:pPr>
      <w:r>
        <w:t>Improved data governance frameworks that enable more inclusive basic service delivery. This involves</w:t>
      </w:r>
      <w:r>
        <w:rPr>
          <w:spacing w:val="-6"/>
        </w:rPr>
        <w:t xml:space="preserve"> </w:t>
      </w:r>
      <w:r>
        <w:t>institutionalising</w:t>
      </w:r>
      <w:r>
        <w:rPr>
          <w:spacing w:val="-7"/>
        </w:rPr>
        <w:t xml:space="preserve"> </w:t>
      </w:r>
      <w:r>
        <w:t>the</w:t>
      </w:r>
      <w:r>
        <w:rPr>
          <w:spacing w:val="-5"/>
        </w:rPr>
        <w:t xml:space="preserve"> </w:t>
      </w:r>
      <w:r>
        <w:t>national</w:t>
      </w:r>
      <w:r>
        <w:rPr>
          <w:spacing w:val="-10"/>
        </w:rPr>
        <w:t xml:space="preserve"> </w:t>
      </w:r>
      <w:r>
        <w:t>“One</w:t>
      </w:r>
      <w:r>
        <w:rPr>
          <w:spacing w:val="-5"/>
        </w:rPr>
        <w:t xml:space="preserve"> </w:t>
      </w:r>
      <w:r>
        <w:t>Regional</w:t>
      </w:r>
      <w:r>
        <w:rPr>
          <w:spacing w:val="-7"/>
        </w:rPr>
        <w:t xml:space="preserve"> </w:t>
      </w:r>
      <w:r>
        <w:t>Data”</w:t>
      </w:r>
      <w:r>
        <w:rPr>
          <w:spacing w:val="-6"/>
        </w:rPr>
        <w:t xml:space="preserve"> </w:t>
      </w:r>
      <w:r>
        <w:t>policy</w:t>
      </w:r>
      <w:r>
        <w:rPr>
          <w:spacing w:val="-8"/>
        </w:rPr>
        <w:t xml:space="preserve"> </w:t>
      </w:r>
      <w:r>
        <w:t>by</w:t>
      </w:r>
      <w:r>
        <w:rPr>
          <w:spacing w:val="-8"/>
        </w:rPr>
        <w:t xml:space="preserve"> </w:t>
      </w:r>
      <w:r>
        <w:t>(i)</w:t>
      </w:r>
      <w:r>
        <w:rPr>
          <w:spacing w:val="-8"/>
        </w:rPr>
        <w:t xml:space="preserve"> </w:t>
      </w:r>
      <w:r>
        <w:t>supporting</w:t>
      </w:r>
      <w:r>
        <w:rPr>
          <w:spacing w:val="-9"/>
        </w:rPr>
        <w:t xml:space="preserve"> </w:t>
      </w:r>
      <w:r>
        <w:t>the</w:t>
      </w:r>
      <w:r>
        <w:rPr>
          <w:spacing w:val="-8"/>
        </w:rPr>
        <w:t xml:space="preserve"> </w:t>
      </w:r>
      <w:r>
        <w:t>delivery</w:t>
      </w:r>
      <w:r>
        <w:rPr>
          <w:spacing w:val="-8"/>
        </w:rPr>
        <w:t xml:space="preserve"> </w:t>
      </w:r>
      <w:r>
        <w:t>of joint national guidance to operationalise an annual data management cycle, (ii) ensuring data used in service provision is more consolidated, validated, and current, and (iii) achieving interoperability across key online platforms used for subnational planning and budgeting.</w:t>
      </w:r>
    </w:p>
    <w:p w14:paraId="78F37E87" w14:textId="77777777" w:rsidR="00BC24A8" w:rsidRDefault="00000000">
      <w:pPr>
        <w:pStyle w:val="ListParagraph"/>
        <w:numPr>
          <w:ilvl w:val="0"/>
          <w:numId w:val="163"/>
        </w:numPr>
        <w:tabs>
          <w:tab w:val="left" w:pos="682"/>
        </w:tabs>
        <w:spacing w:before="1"/>
        <w:ind w:left="682" w:right="279"/>
      </w:pPr>
      <w:r>
        <w:t>Consolidated</w:t>
      </w:r>
      <w:r>
        <w:rPr>
          <w:spacing w:val="-1"/>
        </w:rPr>
        <w:t xml:space="preserve"> </w:t>
      </w:r>
      <w:r>
        <w:t>and inclusive</w:t>
      </w:r>
      <w:r>
        <w:rPr>
          <w:spacing w:val="-1"/>
        </w:rPr>
        <w:t xml:space="preserve"> </w:t>
      </w:r>
      <w:r>
        <w:t>framework</w:t>
      </w:r>
      <w:r>
        <w:rPr>
          <w:spacing w:val="-1"/>
        </w:rPr>
        <w:t xml:space="preserve"> </w:t>
      </w:r>
      <w:r>
        <w:t>for implementing Minimum</w:t>
      </w:r>
      <w:r>
        <w:rPr>
          <w:spacing w:val="-1"/>
        </w:rPr>
        <w:t xml:space="preserve"> </w:t>
      </w:r>
      <w:r>
        <w:t>Service</w:t>
      </w:r>
      <w:r>
        <w:rPr>
          <w:spacing w:val="-1"/>
        </w:rPr>
        <w:t xml:space="preserve"> </w:t>
      </w:r>
      <w:r>
        <w:t>Standards</w:t>
      </w:r>
      <w:r>
        <w:rPr>
          <w:spacing w:val="-1"/>
        </w:rPr>
        <w:t xml:space="preserve"> </w:t>
      </w:r>
      <w:r>
        <w:t>(MSS). This involves ensuring that national processes for calculating the demand, costs and delivery of MSS are</w:t>
      </w:r>
      <w:r>
        <w:rPr>
          <w:spacing w:val="-13"/>
        </w:rPr>
        <w:t xml:space="preserve"> </w:t>
      </w:r>
      <w:r>
        <w:t>supported</w:t>
      </w:r>
      <w:r>
        <w:rPr>
          <w:spacing w:val="-12"/>
        </w:rPr>
        <w:t xml:space="preserve"> </w:t>
      </w:r>
      <w:r>
        <w:t>by</w:t>
      </w:r>
      <w:r>
        <w:rPr>
          <w:spacing w:val="-13"/>
        </w:rPr>
        <w:t xml:space="preserve"> </w:t>
      </w:r>
      <w:r>
        <w:t>appropriate</w:t>
      </w:r>
      <w:r>
        <w:rPr>
          <w:spacing w:val="-12"/>
        </w:rPr>
        <w:t xml:space="preserve"> </w:t>
      </w:r>
      <w:r>
        <w:t>technical</w:t>
      </w:r>
      <w:r>
        <w:rPr>
          <w:spacing w:val="-13"/>
        </w:rPr>
        <w:t xml:space="preserve"> </w:t>
      </w:r>
      <w:r>
        <w:t>advice</w:t>
      </w:r>
      <w:r>
        <w:rPr>
          <w:spacing w:val="-12"/>
        </w:rPr>
        <w:t xml:space="preserve"> </w:t>
      </w:r>
      <w:r>
        <w:t>and</w:t>
      </w:r>
      <w:r>
        <w:rPr>
          <w:spacing w:val="-13"/>
        </w:rPr>
        <w:t xml:space="preserve"> </w:t>
      </w:r>
      <w:r>
        <w:t>tools</w:t>
      </w:r>
      <w:r>
        <w:rPr>
          <w:spacing w:val="-12"/>
        </w:rPr>
        <w:t xml:space="preserve"> </w:t>
      </w:r>
      <w:r>
        <w:t>to</w:t>
      </w:r>
      <w:r>
        <w:rPr>
          <w:spacing w:val="-12"/>
        </w:rPr>
        <w:t xml:space="preserve"> </w:t>
      </w:r>
      <w:r>
        <w:t>ensure</w:t>
      </w:r>
      <w:r>
        <w:rPr>
          <w:spacing w:val="-13"/>
        </w:rPr>
        <w:t xml:space="preserve"> </w:t>
      </w:r>
      <w:r>
        <w:t>the</w:t>
      </w:r>
      <w:r>
        <w:rPr>
          <w:spacing w:val="-12"/>
        </w:rPr>
        <w:t xml:space="preserve"> </w:t>
      </w:r>
      <w:r>
        <w:t>delivery</w:t>
      </w:r>
      <w:r>
        <w:rPr>
          <w:spacing w:val="-13"/>
        </w:rPr>
        <w:t xml:space="preserve"> </w:t>
      </w:r>
      <w:r>
        <w:t>of</w:t>
      </w:r>
      <w:r>
        <w:rPr>
          <w:spacing w:val="-12"/>
        </w:rPr>
        <w:t xml:space="preserve"> </w:t>
      </w:r>
      <w:r>
        <w:t>MSS</w:t>
      </w:r>
      <w:r>
        <w:rPr>
          <w:spacing w:val="-13"/>
        </w:rPr>
        <w:t xml:space="preserve"> </w:t>
      </w:r>
      <w:r>
        <w:t>is</w:t>
      </w:r>
      <w:r>
        <w:rPr>
          <w:spacing w:val="-12"/>
        </w:rPr>
        <w:t xml:space="preserve"> </w:t>
      </w:r>
      <w:r>
        <w:t>equitable, transparent and consistently implemented.</w:t>
      </w:r>
      <w:hyperlink w:anchor="_bookmark55" w:history="1">
        <w:r w:rsidR="00BC24A8">
          <w:rPr>
            <w:vertAlign w:val="superscript"/>
          </w:rPr>
          <w:t>17</w:t>
        </w:r>
      </w:hyperlink>
      <w:r>
        <w:t xml:space="preserve"> SKALA will also contribute to enhancing the understanding and capacity</w:t>
      </w:r>
      <w:r>
        <w:rPr>
          <w:spacing w:val="-1"/>
        </w:rPr>
        <w:t xml:space="preserve"> </w:t>
      </w:r>
      <w:r>
        <w:t>of provincial partners to provide effective guidance and oversight of district/city-level MSS implementation and to ensure planning processes are inclusive of, and responsive to, vulnerable populations.</w:t>
      </w:r>
    </w:p>
    <w:p w14:paraId="3049F4BC" w14:textId="77777777" w:rsidR="00BC24A8" w:rsidRDefault="00000000">
      <w:pPr>
        <w:pStyle w:val="ListParagraph"/>
        <w:numPr>
          <w:ilvl w:val="0"/>
          <w:numId w:val="163"/>
        </w:numPr>
        <w:tabs>
          <w:tab w:val="left" w:pos="681"/>
          <w:tab w:val="left" w:pos="683"/>
        </w:tabs>
        <w:ind w:right="280" w:hanging="361"/>
      </w:pPr>
      <w:r>
        <w:t>Enhanced support for more responsive local government budgeting for inclusive basic services. To contribute to this, SKALA has worked to optimise the use of fiscal transfers to deliver MSS by improving national guidance on the utilisation of transfers for MSS delivery and supporting effective use of different transfer categories at the provincial level. It will also support the implementation of tax and levy policy reforms to increase provincial income through better national-regional policy alignment. Budgeting quality will also be improved by enhancing the functionality and user experience of online planning and budgeting systems.</w:t>
      </w:r>
    </w:p>
    <w:p w14:paraId="203E9529" w14:textId="77777777" w:rsidR="00BC24A8" w:rsidRDefault="00000000">
      <w:pPr>
        <w:pStyle w:val="ListParagraph"/>
        <w:numPr>
          <w:ilvl w:val="0"/>
          <w:numId w:val="163"/>
        </w:numPr>
        <w:tabs>
          <w:tab w:val="left" w:pos="683"/>
        </w:tabs>
        <w:ind w:right="279"/>
      </w:pPr>
      <w:r>
        <w:t>Improved</w:t>
      </w:r>
      <w:r>
        <w:rPr>
          <w:spacing w:val="-13"/>
        </w:rPr>
        <w:t xml:space="preserve"> </w:t>
      </w:r>
      <w:r>
        <w:t>management</w:t>
      </w:r>
      <w:r>
        <w:rPr>
          <w:spacing w:val="-12"/>
        </w:rPr>
        <w:t xml:space="preserve"> </w:t>
      </w:r>
      <w:r>
        <w:t>of</w:t>
      </w:r>
      <w:r>
        <w:rPr>
          <w:spacing w:val="-13"/>
        </w:rPr>
        <w:t xml:space="preserve"> </w:t>
      </w:r>
      <w:r>
        <w:t>Special</w:t>
      </w:r>
      <w:r>
        <w:rPr>
          <w:spacing w:val="-12"/>
        </w:rPr>
        <w:t xml:space="preserve"> </w:t>
      </w:r>
      <w:r>
        <w:t>Autonomy</w:t>
      </w:r>
      <w:r>
        <w:rPr>
          <w:spacing w:val="-13"/>
        </w:rPr>
        <w:t xml:space="preserve"> </w:t>
      </w:r>
      <w:r>
        <w:t>(OTSUS)</w:t>
      </w:r>
      <w:r>
        <w:rPr>
          <w:spacing w:val="-12"/>
        </w:rPr>
        <w:t xml:space="preserve"> </w:t>
      </w:r>
      <w:r>
        <w:t>Funds.</w:t>
      </w:r>
      <w:r>
        <w:rPr>
          <w:spacing w:val="-13"/>
        </w:rPr>
        <w:t xml:space="preserve"> </w:t>
      </w:r>
      <w:r>
        <w:t>SKALA</w:t>
      </w:r>
      <w:r>
        <w:rPr>
          <w:spacing w:val="-12"/>
        </w:rPr>
        <w:t xml:space="preserve"> </w:t>
      </w:r>
      <w:r>
        <w:t>will</w:t>
      </w:r>
      <w:r>
        <w:rPr>
          <w:spacing w:val="-12"/>
        </w:rPr>
        <w:t xml:space="preserve"> </w:t>
      </w:r>
      <w:r>
        <w:t>contribute</w:t>
      </w:r>
      <w:r>
        <w:rPr>
          <w:spacing w:val="-13"/>
        </w:rPr>
        <w:t xml:space="preserve"> </w:t>
      </w:r>
      <w:r>
        <w:t>to</w:t>
      </w:r>
      <w:r>
        <w:rPr>
          <w:spacing w:val="-11"/>
        </w:rPr>
        <w:t xml:space="preserve"> </w:t>
      </w:r>
      <w:r>
        <w:t>this</w:t>
      </w:r>
      <w:r>
        <w:rPr>
          <w:spacing w:val="-12"/>
        </w:rPr>
        <w:t xml:space="preserve"> </w:t>
      </w:r>
      <w:r>
        <w:t>through improved national allocation and distribution processes, and more streamlined regulatory processes for OTSUS management. It will implement collaborative monitoring and supervision mechanisms across ministries and strengthen provincial capacities to plan and execute basic service programs funded by OTSUS.</w:t>
      </w:r>
    </w:p>
    <w:p w14:paraId="1BECF69A" w14:textId="77777777" w:rsidR="00BC24A8" w:rsidRDefault="00BC24A8">
      <w:pPr>
        <w:pStyle w:val="BodyText"/>
        <w:spacing w:before="10"/>
      </w:pPr>
    </w:p>
    <w:p w14:paraId="6CBD27F7" w14:textId="77777777" w:rsidR="00BC24A8" w:rsidRDefault="00000000">
      <w:pPr>
        <w:pStyle w:val="BodyText"/>
        <w:ind w:left="143" w:right="281"/>
        <w:jc w:val="both"/>
      </w:pPr>
      <w:r>
        <w:t>To specifically support greater participation, representation and influence of women, people with disabilities and vulnerable groups (EOPO 3), SKALA will:</w:t>
      </w:r>
    </w:p>
    <w:p w14:paraId="2FB32D83" w14:textId="77777777" w:rsidR="00BC24A8" w:rsidRDefault="00BC24A8">
      <w:pPr>
        <w:pStyle w:val="BodyText"/>
        <w:spacing w:before="11"/>
      </w:pPr>
    </w:p>
    <w:p w14:paraId="07E5BAF5" w14:textId="77777777" w:rsidR="00BC24A8" w:rsidRDefault="00000000">
      <w:pPr>
        <w:pStyle w:val="ListParagraph"/>
        <w:numPr>
          <w:ilvl w:val="0"/>
          <w:numId w:val="163"/>
        </w:numPr>
        <w:tabs>
          <w:tab w:val="left" w:pos="683"/>
        </w:tabs>
        <w:ind w:right="280"/>
      </w:pPr>
      <w:r>
        <w:t>Institutionalise inclusive planning forums across SKALA partner provinces by consolidating initiatives in six provinces to date. This includes (i) establishing regional regulations that provide for inclusive planning</w:t>
      </w:r>
      <w:r>
        <w:rPr>
          <w:spacing w:val="-1"/>
        </w:rPr>
        <w:t xml:space="preserve"> </w:t>
      </w:r>
      <w:r>
        <w:t>forums as</w:t>
      </w:r>
      <w:r>
        <w:rPr>
          <w:spacing w:val="-2"/>
        </w:rPr>
        <w:t xml:space="preserve"> </w:t>
      </w:r>
      <w:r>
        <w:t>structured</w:t>
      </w:r>
      <w:r>
        <w:rPr>
          <w:spacing w:val="-2"/>
        </w:rPr>
        <w:t xml:space="preserve"> </w:t>
      </w:r>
      <w:r>
        <w:t>platforms</w:t>
      </w:r>
      <w:r>
        <w:rPr>
          <w:spacing w:val="-2"/>
        </w:rPr>
        <w:t xml:space="preserve"> </w:t>
      </w:r>
      <w:r>
        <w:t>for government–civil</w:t>
      </w:r>
      <w:r>
        <w:rPr>
          <w:spacing w:val="-1"/>
        </w:rPr>
        <w:t xml:space="preserve"> </w:t>
      </w:r>
      <w:r>
        <w:t>society collaboration,</w:t>
      </w:r>
    </w:p>
    <w:p w14:paraId="1341FD9B" w14:textId="77777777" w:rsidR="00BC24A8" w:rsidRDefault="00000000">
      <w:pPr>
        <w:pStyle w:val="BodyText"/>
        <w:spacing w:before="1"/>
        <w:ind w:left="683" w:right="282"/>
        <w:jc w:val="both"/>
      </w:pPr>
      <w:r>
        <w:t>(ii) instituting mechanisms to enhance the capacity of civil society networks to advocate with evidence,</w:t>
      </w:r>
      <w:r>
        <w:rPr>
          <w:spacing w:val="-8"/>
        </w:rPr>
        <w:t xml:space="preserve"> </w:t>
      </w:r>
      <w:r>
        <w:t>and</w:t>
      </w:r>
      <w:r>
        <w:rPr>
          <w:spacing w:val="-11"/>
        </w:rPr>
        <w:t xml:space="preserve"> </w:t>
      </w:r>
      <w:r>
        <w:t>(iii)</w:t>
      </w:r>
      <w:r>
        <w:rPr>
          <w:spacing w:val="-8"/>
        </w:rPr>
        <w:t xml:space="preserve"> </w:t>
      </w:r>
      <w:r>
        <w:t>improving</w:t>
      </w:r>
      <w:r>
        <w:rPr>
          <w:spacing w:val="-9"/>
        </w:rPr>
        <w:t xml:space="preserve"> </w:t>
      </w:r>
      <w:r>
        <w:t>public</w:t>
      </w:r>
      <w:r>
        <w:rPr>
          <w:spacing w:val="-9"/>
        </w:rPr>
        <w:t xml:space="preserve"> </w:t>
      </w:r>
      <w:r>
        <w:t>access</w:t>
      </w:r>
      <w:r>
        <w:rPr>
          <w:spacing w:val="-8"/>
        </w:rPr>
        <w:t xml:space="preserve"> </w:t>
      </w:r>
      <w:r>
        <w:t>to</w:t>
      </w:r>
      <w:r>
        <w:rPr>
          <w:spacing w:val="-9"/>
        </w:rPr>
        <w:t xml:space="preserve"> </w:t>
      </w:r>
      <w:r>
        <w:t>disaggregated</w:t>
      </w:r>
      <w:r>
        <w:rPr>
          <w:spacing w:val="-9"/>
        </w:rPr>
        <w:t xml:space="preserve"> </w:t>
      </w:r>
      <w:r>
        <w:t>data</w:t>
      </w:r>
      <w:r>
        <w:rPr>
          <w:spacing w:val="-10"/>
        </w:rPr>
        <w:t xml:space="preserve"> </w:t>
      </w:r>
      <w:r>
        <w:t>to</w:t>
      </w:r>
      <w:r>
        <w:rPr>
          <w:spacing w:val="-9"/>
        </w:rPr>
        <w:t xml:space="preserve"> </w:t>
      </w:r>
      <w:r>
        <w:t>inform</w:t>
      </w:r>
      <w:r>
        <w:rPr>
          <w:spacing w:val="-8"/>
        </w:rPr>
        <w:t xml:space="preserve"> </w:t>
      </w:r>
      <w:r>
        <w:t>and</w:t>
      </w:r>
      <w:r>
        <w:rPr>
          <w:spacing w:val="-9"/>
        </w:rPr>
        <w:t xml:space="preserve"> </w:t>
      </w:r>
      <w:r>
        <w:t>influence</w:t>
      </w:r>
      <w:r>
        <w:rPr>
          <w:spacing w:val="-8"/>
        </w:rPr>
        <w:t xml:space="preserve"> </w:t>
      </w:r>
      <w:r>
        <w:t>inclusive planning discussions.</w:t>
      </w:r>
    </w:p>
    <w:p w14:paraId="65AAEA6A" w14:textId="77777777" w:rsidR="00BC24A8" w:rsidRDefault="00BC24A8">
      <w:pPr>
        <w:pStyle w:val="BodyText"/>
        <w:rPr>
          <w:sz w:val="20"/>
        </w:rPr>
      </w:pPr>
    </w:p>
    <w:p w14:paraId="68EFCCCE" w14:textId="77777777" w:rsidR="00BC24A8" w:rsidRDefault="00000000">
      <w:pPr>
        <w:pStyle w:val="BodyText"/>
        <w:spacing w:before="94"/>
        <w:rPr>
          <w:sz w:val="20"/>
        </w:rPr>
      </w:pPr>
      <w:r>
        <w:rPr>
          <w:noProof/>
          <w:sz w:val="20"/>
        </w:rPr>
        <mc:AlternateContent>
          <mc:Choice Requires="wps">
            <w:drawing>
              <wp:anchor distT="0" distB="0" distL="0" distR="0" simplePos="0" relativeHeight="487593984" behindDoc="1" locked="0" layoutInCell="1" allowOverlap="1" wp14:anchorId="6C4BFCBE" wp14:editId="643A0C91">
                <wp:simplePos x="0" y="0"/>
                <wp:positionH relativeFrom="page">
                  <wp:posOffset>900683</wp:posOffset>
                </wp:positionH>
                <wp:positionV relativeFrom="paragraph">
                  <wp:posOffset>229970</wp:posOffset>
                </wp:positionV>
                <wp:extent cx="1828800" cy="9525"/>
                <wp:effectExtent l="0" t="0" r="0" b="0"/>
                <wp:wrapTopAndBottom/>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183659" id="Graphic 29" o:spid="_x0000_s1026" alt="&quot;&quot;" style="position:absolute;margin-left:70.9pt;margin-top:18.1pt;width:2in;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" path="m1828800,l,,,9144r1828800,l1828800,xe" fillcolor="black" stroked="f">
                <v:path arrowok="t"/>
                <w10:wrap type="topAndBottom" anchorx="page"/>
              </v:shape>
            </w:pict>
          </mc:Fallback>
        </mc:AlternateContent>
      </w:r>
    </w:p>
    <w:p w14:paraId="5290F50B" w14:textId="77777777" w:rsidR="00BC24A8" w:rsidRDefault="00BC24A8">
      <w:pPr>
        <w:pStyle w:val="BodyText"/>
        <w:spacing w:before="105"/>
        <w:rPr>
          <w:sz w:val="16"/>
        </w:rPr>
      </w:pPr>
    </w:p>
    <w:p w14:paraId="1E158AA7" w14:textId="77777777" w:rsidR="00BC24A8" w:rsidRDefault="00000000">
      <w:pPr>
        <w:spacing w:before="1"/>
        <w:ind w:left="143" w:right="328"/>
        <w:rPr>
          <w:sz w:val="16"/>
        </w:rPr>
      </w:pPr>
      <w:bookmarkStart w:id="92" w:name="_bookmark55"/>
      <w:bookmarkEnd w:id="92"/>
      <w:r>
        <w:rPr>
          <w:color w:val="767070"/>
          <w:sz w:val="16"/>
          <w:vertAlign w:val="superscript"/>
        </w:rPr>
        <w:t>17</w:t>
      </w:r>
      <w:r>
        <w:rPr>
          <w:color w:val="767070"/>
          <w:spacing w:val="-6"/>
          <w:sz w:val="16"/>
        </w:rPr>
        <w:t xml:space="preserve"> </w:t>
      </w:r>
      <w:r>
        <w:rPr>
          <w:color w:val="767070"/>
          <w:sz w:val="16"/>
        </w:rPr>
        <w:t>SKALA</w:t>
      </w:r>
      <w:r>
        <w:rPr>
          <w:color w:val="767070"/>
          <w:spacing w:val="-5"/>
          <w:sz w:val="16"/>
        </w:rPr>
        <w:t xml:space="preserve"> </w:t>
      </w:r>
      <w:r>
        <w:rPr>
          <w:color w:val="767070"/>
          <w:sz w:val="16"/>
        </w:rPr>
        <w:t>outputs</w:t>
      </w:r>
      <w:r>
        <w:rPr>
          <w:color w:val="767070"/>
          <w:spacing w:val="-5"/>
          <w:sz w:val="16"/>
        </w:rPr>
        <w:t xml:space="preserve"> </w:t>
      </w:r>
      <w:r>
        <w:rPr>
          <w:color w:val="767070"/>
          <w:sz w:val="16"/>
        </w:rPr>
        <w:t>include</w:t>
      </w:r>
      <w:r>
        <w:rPr>
          <w:color w:val="767070"/>
          <w:spacing w:val="-6"/>
          <w:sz w:val="16"/>
        </w:rPr>
        <w:t xml:space="preserve"> </w:t>
      </w:r>
      <w:r>
        <w:rPr>
          <w:color w:val="767070"/>
          <w:sz w:val="16"/>
        </w:rPr>
        <w:t>improved</w:t>
      </w:r>
      <w:r>
        <w:rPr>
          <w:color w:val="767070"/>
          <w:spacing w:val="-8"/>
          <w:sz w:val="16"/>
        </w:rPr>
        <w:t xml:space="preserve"> </w:t>
      </w:r>
      <w:r>
        <w:rPr>
          <w:color w:val="767070"/>
          <w:sz w:val="16"/>
        </w:rPr>
        <w:t>access</w:t>
      </w:r>
      <w:r>
        <w:rPr>
          <w:color w:val="767070"/>
          <w:spacing w:val="-5"/>
          <w:sz w:val="16"/>
        </w:rPr>
        <w:t xml:space="preserve"> </w:t>
      </w:r>
      <w:r>
        <w:rPr>
          <w:color w:val="767070"/>
          <w:sz w:val="16"/>
        </w:rPr>
        <w:t>to</w:t>
      </w:r>
      <w:r>
        <w:rPr>
          <w:color w:val="767070"/>
          <w:spacing w:val="-6"/>
          <w:sz w:val="16"/>
        </w:rPr>
        <w:t xml:space="preserve"> </w:t>
      </w:r>
      <w:r>
        <w:rPr>
          <w:color w:val="767070"/>
          <w:sz w:val="16"/>
        </w:rPr>
        <w:t>disaggregated</w:t>
      </w:r>
      <w:r>
        <w:rPr>
          <w:color w:val="767070"/>
          <w:spacing w:val="-5"/>
          <w:sz w:val="16"/>
        </w:rPr>
        <w:t xml:space="preserve"> </w:t>
      </w:r>
      <w:r>
        <w:rPr>
          <w:color w:val="767070"/>
          <w:sz w:val="16"/>
        </w:rPr>
        <w:t>microdata</w:t>
      </w:r>
      <w:r>
        <w:rPr>
          <w:color w:val="767070"/>
          <w:spacing w:val="-5"/>
          <w:sz w:val="16"/>
        </w:rPr>
        <w:t xml:space="preserve"> </w:t>
      </w:r>
      <w:r>
        <w:rPr>
          <w:color w:val="767070"/>
          <w:sz w:val="16"/>
        </w:rPr>
        <w:t>for</w:t>
      </w:r>
      <w:r>
        <w:rPr>
          <w:color w:val="767070"/>
          <w:spacing w:val="-6"/>
          <w:sz w:val="16"/>
        </w:rPr>
        <w:t xml:space="preserve"> </w:t>
      </w:r>
      <w:r>
        <w:rPr>
          <w:color w:val="767070"/>
          <w:sz w:val="16"/>
        </w:rPr>
        <w:t>more</w:t>
      </w:r>
      <w:r>
        <w:rPr>
          <w:color w:val="767070"/>
          <w:spacing w:val="-6"/>
          <w:sz w:val="16"/>
        </w:rPr>
        <w:t xml:space="preserve"> </w:t>
      </w:r>
      <w:r>
        <w:rPr>
          <w:color w:val="767070"/>
          <w:sz w:val="16"/>
        </w:rPr>
        <w:t>accurate</w:t>
      </w:r>
      <w:r>
        <w:rPr>
          <w:color w:val="767070"/>
          <w:spacing w:val="-6"/>
          <w:sz w:val="16"/>
        </w:rPr>
        <w:t xml:space="preserve"> </w:t>
      </w:r>
      <w:r>
        <w:rPr>
          <w:color w:val="767070"/>
          <w:sz w:val="16"/>
        </w:rPr>
        <w:t>targeting;</w:t>
      </w:r>
      <w:r>
        <w:rPr>
          <w:color w:val="767070"/>
          <w:spacing w:val="-5"/>
          <w:sz w:val="16"/>
        </w:rPr>
        <w:t xml:space="preserve"> </w:t>
      </w:r>
      <w:r>
        <w:rPr>
          <w:color w:val="767070"/>
          <w:sz w:val="16"/>
        </w:rPr>
        <w:t>recommendations</w:t>
      </w:r>
      <w:r>
        <w:rPr>
          <w:color w:val="767070"/>
          <w:spacing w:val="-5"/>
          <w:sz w:val="16"/>
        </w:rPr>
        <w:t xml:space="preserve"> </w:t>
      </w:r>
      <w:r>
        <w:rPr>
          <w:color w:val="767070"/>
          <w:sz w:val="16"/>
        </w:rPr>
        <w:t>for</w:t>
      </w:r>
      <w:r>
        <w:rPr>
          <w:color w:val="767070"/>
          <w:spacing w:val="-6"/>
          <w:sz w:val="16"/>
        </w:rPr>
        <w:t xml:space="preserve"> </w:t>
      </w:r>
      <w:r>
        <w:rPr>
          <w:color w:val="767070"/>
          <w:sz w:val="16"/>
        </w:rPr>
        <w:t>improved</w:t>
      </w:r>
      <w:r>
        <w:rPr>
          <w:color w:val="767070"/>
          <w:spacing w:val="-8"/>
          <w:sz w:val="16"/>
        </w:rPr>
        <w:t xml:space="preserve"> </w:t>
      </w:r>
      <w:r>
        <w:rPr>
          <w:color w:val="767070"/>
          <w:sz w:val="16"/>
        </w:rPr>
        <w:t>MSS</w:t>
      </w:r>
      <w:r>
        <w:rPr>
          <w:color w:val="767070"/>
          <w:spacing w:val="40"/>
          <w:sz w:val="16"/>
        </w:rPr>
        <w:t xml:space="preserve"> </w:t>
      </w:r>
      <w:r>
        <w:rPr>
          <w:color w:val="767070"/>
          <w:sz w:val="16"/>
        </w:rPr>
        <w:t>costing tools and achievement indices; analytics using development area clustering for performance tracking; strengthening central</w:t>
      </w:r>
      <w:r>
        <w:rPr>
          <w:color w:val="767070"/>
          <w:spacing w:val="40"/>
          <w:sz w:val="16"/>
        </w:rPr>
        <w:t xml:space="preserve"> </w:t>
      </w:r>
      <w:r>
        <w:rPr>
          <w:color w:val="767070"/>
          <w:sz w:val="16"/>
        </w:rPr>
        <w:t>government oversight through improved online review tools and joint monitoring.</w:t>
      </w:r>
    </w:p>
    <w:p w14:paraId="3B74F279" w14:textId="77777777" w:rsidR="00BC24A8" w:rsidRDefault="00BC24A8">
      <w:pPr>
        <w:rPr>
          <w:sz w:val="16"/>
        </w:rPr>
        <w:sectPr w:rsidR="00BC24A8">
          <w:pgSz w:w="11910" w:h="16840"/>
          <w:pgMar w:top="1320" w:right="1133" w:bottom="1100" w:left="1275" w:header="0" w:footer="907" w:gutter="0"/>
          <w:cols w:space="720"/>
        </w:sectPr>
      </w:pPr>
    </w:p>
    <w:p w14:paraId="1086E294" w14:textId="77777777" w:rsidR="00BC24A8" w:rsidRDefault="00000000">
      <w:pPr>
        <w:pStyle w:val="Heading2"/>
        <w:spacing w:before="81" w:line="290" w:lineRule="auto"/>
        <w:ind w:right="1676"/>
      </w:pPr>
      <w:bookmarkStart w:id="93" w:name="Annex_1:_Evidence_of_Influence_from_Fisc"/>
      <w:bookmarkStart w:id="94" w:name="_bookmark56"/>
      <w:bookmarkEnd w:id="93"/>
      <w:bookmarkEnd w:id="94"/>
      <w:r>
        <w:rPr>
          <w:color w:val="163558"/>
          <w:spacing w:val="-4"/>
        </w:rPr>
        <w:lastRenderedPageBreak/>
        <w:t>Annex</w:t>
      </w:r>
      <w:r>
        <w:rPr>
          <w:color w:val="163558"/>
          <w:spacing w:val="-41"/>
        </w:rPr>
        <w:t xml:space="preserve"> </w:t>
      </w:r>
      <w:r>
        <w:rPr>
          <w:color w:val="163558"/>
          <w:spacing w:val="-4"/>
        </w:rPr>
        <w:t>1:</w:t>
      </w:r>
      <w:r>
        <w:rPr>
          <w:color w:val="163558"/>
          <w:spacing w:val="-40"/>
        </w:rPr>
        <w:t xml:space="preserve"> </w:t>
      </w:r>
      <w:r>
        <w:rPr>
          <w:color w:val="163558"/>
          <w:spacing w:val="-4"/>
        </w:rPr>
        <w:t>Evidence</w:t>
      </w:r>
      <w:r>
        <w:rPr>
          <w:color w:val="163558"/>
          <w:spacing w:val="-39"/>
        </w:rPr>
        <w:t xml:space="preserve"> </w:t>
      </w:r>
      <w:r>
        <w:rPr>
          <w:color w:val="163558"/>
          <w:spacing w:val="-4"/>
        </w:rPr>
        <w:t>of</w:t>
      </w:r>
      <w:r>
        <w:rPr>
          <w:color w:val="163558"/>
          <w:spacing w:val="-42"/>
        </w:rPr>
        <w:t xml:space="preserve"> </w:t>
      </w:r>
      <w:r>
        <w:rPr>
          <w:color w:val="163558"/>
          <w:spacing w:val="-4"/>
        </w:rPr>
        <w:t>Influence</w:t>
      </w:r>
      <w:r>
        <w:rPr>
          <w:color w:val="163558"/>
          <w:spacing w:val="-39"/>
        </w:rPr>
        <w:t xml:space="preserve"> </w:t>
      </w:r>
      <w:r>
        <w:rPr>
          <w:color w:val="163558"/>
          <w:spacing w:val="-4"/>
        </w:rPr>
        <w:t>from</w:t>
      </w:r>
      <w:r>
        <w:rPr>
          <w:color w:val="163558"/>
          <w:spacing w:val="-38"/>
        </w:rPr>
        <w:t xml:space="preserve"> </w:t>
      </w:r>
      <w:r>
        <w:rPr>
          <w:color w:val="163558"/>
          <w:spacing w:val="-4"/>
        </w:rPr>
        <w:t xml:space="preserve">Fiscal </w:t>
      </w:r>
      <w:r>
        <w:rPr>
          <w:color w:val="163558"/>
        </w:rPr>
        <w:t>Transfer Improvements</w:t>
      </w:r>
    </w:p>
    <w:p w14:paraId="21AEFA58" w14:textId="77777777" w:rsidR="00BC24A8" w:rsidRDefault="00000000">
      <w:pPr>
        <w:pStyle w:val="BodyText"/>
        <w:spacing w:before="244" w:line="278" w:lineRule="auto"/>
        <w:ind w:left="143" w:right="279"/>
        <w:jc w:val="both"/>
      </w:pPr>
      <w:r>
        <w:t>This</w:t>
      </w:r>
      <w:r>
        <w:rPr>
          <w:spacing w:val="-6"/>
        </w:rPr>
        <w:t xml:space="preserve"> </w:t>
      </w:r>
      <w:r>
        <w:t>semester</w:t>
      </w:r>
      <w:r>
        <w:rPr>
          <w:spacing w:val="-6"/>
        </w:rPr>
        <w:t xml:space="preserve"> </w:t>
      </w:r>
      <w:r>
        <w:t>SKALA</w:t>
      </w:r>
      <w:r>
        <w:rPr>
          <w:spacing w:val="-7"/>
        </w:rPr>
        <w:t xml:space="preserve"> </w:t>
      </w:r>
      <w:r>
        <w:t>collected</w:t>
      </w:r>
      <w:r>
        <w:rPr>
          <w:spacing w:val="-6"/>
        </w:rPr>
        <w:t xml:space="preserve"> </w:t>
      </w:r>
      <w:r>
        <w:t>in-depth</w:t>
      </w:r>
      <w:r>
        <w:rPr>
          <w:spacing w:val="-8"/>
        </w:rPr>
        <w:t xml:space="preserve"> </w:t>
      </w:r>
      <w:r>
        <w:t>monitoring</w:t>
      </w:r>
      <w:r>
        <w:rPr>
          <w:spacing w:val="-9"/>
        </w:rPr>
        <w:t xml:space="preserve"> </w:t>
      </w:r>
      <w:r>
        <w:t>data</w:t>
      </w:r>
      <w:r>
        <w:rPr>
          <w:spacing w:val="-7"/>
        </w:rPr>
        <w:t xml:space="preserve"> </w:t>
      </w:r>
      <w:r>
        <w:t>on</w:t>
      </w:r>
      <w:r>
        <w:rPr>
          <w:spacing w:val="-6"/>
        </w:rPr>
        <w:t xml:space="preserve"> </w:t>
      </w:r>
      <w:r>
        <w:t>the</w:t>
      </w:r>
      <w:r>
        <w:rPr>
          <w:spacing w:val="-7"/>
        </w:rPr>
        <w:t xml:space="preserve"> </w:t>
      </w:r>
      <w:r>
        <w:t>two</w:t>
      </w:r>
      <w:r>
        <w:rPr>
          <w:spacing w:val="-8"/>
        </w:rPr>
        <w:t xml:space="preserve"> </w:t>
      </w:r>
      <w:r>
        <w:t>most</w:t>
      </w:r>
      <w:r>
        <w:rPr>
          <w:spacing w:val="-9"/>
        </w:rPr>
        <w:t xml:space="preserve"> </w:t>
      </w:r>
      <w:r>
        <w:t>significant</w:t>
      </w:r>
      <w:r>
        <w:rPr>
          <w:spacing w:val="-7"/>
        </w:rPr>
        <w:t xml:space="preserve"> </w:t>
      </w:r>
      <w:r>
        <w:t>transfer</w:t>
      </w:r>
      <w:r>
        <w:rPr>
          <w:spacing w:val="-6"/>
        </w:rPr>
        <w:t xml:space="preserve"> </w:t>
      </w:r>
      <w:r>
        <w:t>categories the program has previously supported – the General Allocation Fund (DAU) and the Special Autonomy (OTSUS)</w:t>
      </w:r>
      <w:r>
        <w:rPr>
          <w:spacing w:val="-9"/>
        </w:rPr>
        <w:t xml:space="preserve"> </w:t>
      </w:r>
      <w:r>
        <w:t>Funds</w:t>
      </w:r>
      <w:r>
        <w:rPr>
          <w:spacing w:val="-10"/>
        </w:rPr>
        <w:t xml:space="preserve"> </w:t>
      </w:r>
      <w:r>
        <w:t>in</w:t>
      </w:r>
      <w:r>
        <w:rPr>
          <w:spacing w:val="-10"/>
        </w:rPr>
        <w:t xml:space="preserve"> </w:t>
      </w:r>
      <w:r>
        <w:t>Aceh</w:t>
      </w:r>
      <w:r>
        <w:rPr>
          <w:spacing w:val="-8"/>
        </w:rPr>
        <w:t xml:space="preserve"> </w:t>
      </w:r>
      <w:r>
        <w:t>and</w:t>
      </w:r>
      <w:r>
        <w:rPr>
          <w:spacing w:val="-12"/>
        </w:rPr>
        <w:t xml:space="preserve"> </w:t>
      </w:r>
      <w:r>
        <w:t>Papuan</w:t>
      </w:r>
      <w:r>
        <w:rPr>
          <w:spacing w:val="-10"/>
        </w:rPr>
        <w:t xml:space="preserve"> </w:t>
      </w:r>
      <w:r>
        <w:t>provinces.</w:t>
      </w:r>
      <w:r>
        <w:rPr>
          <w:spacing w:val="-7"/>
        </w:rPr>
        <w:t xml:space="preserve"> </w:t>
      </w:r>
      <w:r>
        <w:t>These</w:t>
      </w:r>
      <w:r>
        <w:rPr>
          <w:spacing w:val="-9"/>
        </w:rPr>
        <w:t xml:space="preserve"> </w:t>
      </w:r>
      <w:r>
        <w:t>case</w:t>
      </w:r>
      <w:r>
        <w:rPr>
          <w:spacing w:val="-9"/>
        </w:rPr>
        <w:t xml:space="preserve"> </w:t>
      </w:r>
      <w:r>
        <w:t>studies</w:t>
      </w:r>
      <w:r>
        <w:rPr>
          <w:spacing w:val="-10"/>
        </w:rPr>
        <w:t xml:space="preserve"> </w:t>
      </w:r>
      <w:r>
        <w:t>provided</w:t>
      </w:r>
      <w:r>
        <w:rPr>
          <w:spacing w:val="-10"/>
        </w:rPr>
        <w:t xml:space="preserve"> </w:t>
      </w:r>
      <w:r>
        <w:t>objective</w:t>
      </w:r>
      <w:r>
        <w:rPr>
          <w:spacing w:val="-9"/>
        </w:rPr>
        <w:t xml:space="preserve"> </w:t>
      </w:r>
      <w:r>
        <w:t>information</w:t>
      </w:r>
      <w:r>
        <w:rPr>
          <w:spacing w:val="-8"/>
        </w:rPr>
        <w:t xml:space="preserve"> </w:t>
      </w:r>
      <w:r>
        <w:t>on</w:t>
      </w:r>
      <w:r>
        <w:rPr>
          <w:spacing w:val="-8"/>
        </w:rPr>
        <w:t xml:space="preserve"> </w:t>
      </w:r>
      <w:r>
        <w:t>the current</w:t>
      </w:r>
      <w:r>
        <w:rPr>
          <w:spacing w:val="-7"/>
        </w:rPr>
        <w:t xml:space="preserve"> </w:t>
      </w:r>
      <w:r>
        <w:t>status</w:t>
      </w:r>
      <w:r>
        <w:rPr>
          <w:spacing w:val="-8"/>
        </w:rPr>
        <w:t xml:space="preserve"> </w:t>
      </w:r>
      <w:r>
        <w:t>of</w:t>
      </w:r>
      <w:r>
        <w:rPr>
          <w:spacing w:val="-8"/>
        </w:rPr>
        <w:t xml:space="preserve"> </w:t>
      </w:r>
      <w:r>
        <w:t>key</w:t>
      </w:r>
      <w:r>
        <w:rPr>
          <w:spacing w:val="-8"/>
        </w:rPr>
        <w:t xml:space="preserve"> </w:t>
      </w:r>
      <w:r>
        <w:t>policies,</w:t>
      </w:r>
      <w:r>
        <w:rPr>
          <w:spacing w:val="-8"/>
        </w:rPr>
        <w:t xml:space="preserve"> </w:t>
      </w:r>
      <w:r>
        <w:t>regulations</w:t>
      </w:r>
      <w:r>
        <w:rPr>
          <w:spacing w:val="-6"/>
        </w:rPr>
        <w:t xml:space="preserve"> </w:t>
      </w:r>
      <w:r>
        <w:t>and</w:t>
      </w:r>
      <w:r>
        <w:rPr>
          <w:spacing w:val="-6"/>
        </w:rPr>
        <w:t xml:space="preserve"> </w:t>
      </w:r>
      <w:r>
        <w:t>administrative</w:t>
      </w:r>
      <w:r>
        <w:rPr>
          <w:spacing w:val="-8"/>
        </w:rPr>
        <w:t xml:space="preserve"> </w:t>
      </w:r>
      <w:r>
        <w:t>instruments</w:t>
      </w:r>
      <w:r>
        <w:rPr>
          <w:spacing w:val="-8"/>
        </w:rPr>
        <w:t xml:space="preserve"> </w:t>
      </w:r>
      <w:r>
        <w:t>that</w:t>
      </w:r>
      <w:r>
        <w:rPr>
          <w:spacing w:val="-7"/>
        </w:rPr>
        <w:t xml:space="preserve"> </w:t>
      </w:r>
      <w:r>
        <w:t>the</w:t>
      </w:r>
      <w:r>
        <w:rPr>
          <w:spacing w:val="-8"/>
        </w:rPr>
        <w:t xml:space="preserve"> </w:t>
      </w:r>
      <w:r>
        <w:t>program</w:t>
      </w:r>
      <w:r>
        <w:rPr>
          <w:spacing w:val="-9"/>
        </w:rPr>
        <w:t xml:space="preserve"> </w:t>
      </w:r>
      <w:r>
        <w:t>is</w:t>
      </w:r>
      <w:r>
        <w:rPr>
          <w:spacing w:val="-8"/>
        </w:rPr>
        <w:t xml:space="preserve"> </w:t>
      </w:r>
      <w:r>
        <w:t>seeking</w:t>
      </w:r>
      <w:r>
        <w:rPr>
          <w:spacing w:val="-10"/>
        </w:rPr>
        <w:t xml:space="preserve"> </w:t>
      </w:r>
      <w:r>
        <w:t>to optimise for the delivery of</w:t>
      </w:r>
      <w:r>
        <w:rPr>
          <w:spacing w:val="-2"/>
        </w:rPr>
        <w:t xml:space="preserve"> </w:t>
      </w:r>
      <w:r>
        <w:t>basic</w:t>
      </w:r>
      <w:r>
        <w:rPr>
          <w:spacing w:val="-1"/>
        </w:rPr>
        <w:t xml:space="preserve"> </w:t>
      </w:r>
      <w:r>
        <w:t>services and</w:t>
      </w:r>
      <w:r>
        <w:rPr>
          <w:spacing w:val="-1"/>
        </w:rPr>
        <w:t xml:space="preserve"> </w:t>
      </w:r>
      <w:r>
        <w:t>provided stakeholder insights on strategic next steps for the program. The extent of SKALA’s progress towards IOs, as demonstrated through these studies, is presented below.</w:t>
      </w:r>
    </w:p>
    <w:p w14:paraId="50C6CCBF" w14:textId="77777777" w:rsidR="00BC24A8" w:rsidRDefault="00BC24A8">
      <w:pPr>
        <w:pStyle w:val="BodyText"/>
        <w:spacing w:before="82"/>
      </w:pPr>
    </w:p>
    <w:p w14:paraId="75A99FDD" w14:textId="77777777" w:rsidR="00BC24A8" w:rsidRDefault="00000000">
      <w:pPr>
        <w:pStyle w:val="Heading4"/>
        <w:spacing w:before="1"/>
        <w:jc w:val="both"/>
      </w:pPr>
      <w:bookmarkStart w:id="95" w:name="General_Allocation_Fund_(DAU)"/>
      <w:bookmarkStart w:id="96" w:name="_bookmark57"/>
      <w:bookmarkEnd w:id="95"/>
      <w:bookmarkEnd w:id="96"/>
      <w:r>
        <w:rPr>
          <w:color w:val="17365A"/>
          <w:spacing w:val="-4"/>
        </w:rPr>
        <w:t>General</w:t>
      </w:r>
      <w:r>
        <w:rPr>
          <w:color w:val="17365A"/>
          <w:spacing w:val="-25"/>
        </w:rPr>
        <w:t xml:space="preserve"> </w:t>
      </w:r>
      <w:r>
        <w:rPr>
          <w:color w:val="17365A"/>
          <w:spacing w:val="-4"/>
        </w:rPr>
        <w:t>Allocation</w:t>
      </w:r>
      <w:r>
        <w:rPr>
          <w:color w:val="17365A"/>
          <w:spacing w:val="-26"/>
        </w:rPr>
        <w:t xml:space="preserve"> </w:t>
      </w:r>
      <w:r>
        <w:rPr>
          <w:color w:val="17365A"/>
          <w:spacing w:val="-4"/>
        </w:rPr>
        <w:t>Fund</w:t>
      </w:r>
      <w:r>
        <w:rPr>
          <w:color w:val="17365A"/>
          <w:spacing w:val="-21"/>
        </w:rPr>
        <w:t xml:space="preserve"> </w:t>
      </w:r>
      <w:r>
        <w:rPr>
          <w:color w:val="17365A"/>
          <w:spacing w:val="-4"/>
        </w:rPr>
        <w:t>(DAU)</w:t>
      </w:r>
    </w:p>
    <w:p w14:paraId="0766D162" w14:textId="77777777" w:rsidR="00BC24A8" w:rsidRDefault="00000000">
      <w:pPr>
        <w:pStyle w:val="BodyText"/>
        <w:spacing w:before="254" w:line="278" w:lineRule="auto"/>
        <w:ind w:left="143" w:right="278"/>
        <w:jc w:val="both"/>
      </w:pPr>
      <w:r>
        <w:t>This</w:t>
      </w:r>
      <w:r>
        <w:rPr>
          <w:spacing w:val="-11"/>
        </w:rPr>
        <w:t xml:space="preserve"> </w:t>
      </w:r>
      <w:r>
        <w:t>transfer</w:t>
      </w:r>
      <w:r>
        <w:rPr>
          <w:spacing w:val="-11"/>
        </w:rPr>
        <w:t xml:space="preserve"> </w:t>
      </w:r>
      <w:r>
        <w:t>mechanism</w:t>
      </w:r>
      <w:r>
        <w:rPr>
          <w:spacing w:val="-12"/>
        </w:rPr>
        <w:t xml:space="preserve"> </w:t>
      </w:r>
      <w:r>
        <w:t>is</w:t>
      </w:r>
      <w:r>
        <w:rPr>
          <w:spacing w:val="-12"/>
        </w:rPr>
        <w:t xml:space="preserve"> </w:t>
      </w:r>
      <w:r>
        <w:t>designed</w:t>
      </w:r>
      <w:r>
        <w:rPr>
          <w:spacing w:val="-11"/>
        </w:rPr>
        <w:t xml:space="preserve"> </w:t>
      </w:r>
      <w:r>
        <w:t>to</w:t>
      </w:r>
      <w:r>
        <w:rPr>
          <w:spacing w:val="-12"/>
        </w:rPr>
        <w:t xml:space="preserve"> </w:t>
      </w:r>
      <w:r>
        <w:t>ensure</w:t>
      </w:r>
      <w:r>
        <w:rPr>
          <w:spacing w:val="-11"/>
        </w:rPr>
        <w:t xml:space="preserve"> </w:t>
      </w:r>
      <w:r>
        <w:t>that</w:t>
      </w:r>
      <w:r>
        <w:rPr>
          <w:spacing w:val="-12"/>
        </w:rPr>
        <w:t xml:space="preserve"> </w:t>
      </w:r>
      <w:r>
        <w:t>provinces</w:t>
      </w:r>
      <w:r>
        <w:rPr>
          <w:spacing w:val="-11"/>
        </w:rPr>
        <w:t xml:space="preserve"> </w:t>
      </w:r>
      <w:r>
        <w:t>have</w:t>
      </w:r>
      <w:r>
        <w:rPr>
          <w:spacing w:val="-11"/>
        </w:rPr>
        <w:t xml:space="preserve"> </w:t>
      </w:r>
      <w:r>
        <w:t>enough</w:t>
      </w:r>
      <w:r>
        <w:rPr>
          <w:spacing w:val="-13"/>
        </w:rPr>
        <w:t xml:space="preserve"> </w:t>
      </w:r>
      <w:r>
        <w:t>financial</w:t>
      </w:r>
      <w:r>
        <w:rPr>
          <w:spacing w:val="-9"/>
        </w:rPr>
        <w:t xml:space="preserve"> </w:t>
      </w:r>
      <w:r>
        <w:t>resources</w:t>
      </w:r>
      <w:r>
        <w:rPr>
          <w:spacing w:val="-11"/>
        </w:rPr>
        <w:t xml:space="preserve"> </w:t>
      </w:r>
      <w:r>
        <w:t>to</w:t>
      </w:r>
      <w:r>
        <w:rPr>
          <w:spacing w:val="-12"/>
        </w:rPr>
        <w:t xml:space="preserve"> </w:t>
      </w:r>
      <w:r>
        <w:t>deliver public</w:t>
      </w:r>
      <w:r>
        <w:rPr>
          <w:spacing w:val="-4"/>
        </w:rPr>
        <w:t xml:space="preserve"> </w:t>
      </w:r>
      <w:r>
        <w:t>services.</w:t>
      </w:r>
      <w:r>
        <w:rPr>
          <w:spacing w:val="-5"/>
        </w:rPr>
        <w:t xml:space="preserve"> </w:t>
      </w:r>
      <w:r>
        <w:t>However,</w:t>
      </w:r>
      <w:r>
        <w:rPr>
          <w:spacing w:val="-2"/>
        </w:rPr>
        <w:t xml:space="preserve"> </w:t>
      </w:r>
      <w:r>
        <w:t>additional</w:t>
      </w:r>
      <w:r>
        <w:rPr>
          <w:spacing w:val="-7"/>
        </w:rPr>
        <w:t xml:space="preserve"> </w:t>
      </w:r>
      <w:r>
        <w:t>measures</w:t>
      </w:r>
      <w:r>
        <w:rPr>
          <w:spacing w:val="-2"/>
        </w:rPr>
        <w:t xml:space="preserve"> </w:t>
      </w:r>
      <w:r>
        <w:t>are</w:t>
      </w:r>
      <w:r>
        <w:rPr>
          <w:spacing w:val="-5"/>
        </w:rPr>
        <w:t xml:space="preserve"> </w:t>
      </w:r>
      <w:r>
        <w:t>needed</w:t>
      </w:r>
      <w:r>
        <w:rPr>
          <w:spacing w:val="-3"/>
        </w:rPr>
        <w:t xml:space="preserve"> </w:t>
      </w:r>
      <w:r>
        <w:t>to</w:t>
      </w:r>
      <w:r>
        <w:rPr>
          <w:spacing w:val="-3"/>
        </w:rPr>
        <w:t xml:space="preserve"> </w:t>
      </w:r>
      <w:r>
        <w:t>ensure</w:t>
      </w:r>
      <w:r>
        <w:rPr>
          <w:spacing w:val="-5"/>
        </w:rPr>
        <w:t xml:space="preserve"> </w:t>
      </w:r>
      <w:r>
        <w:t>that</w:t>
      </w:r>
      <w:r>
        <w:rPr>
          <w:spacing w:val="-4"/>
        </w:rPr>
        <w:t xml:space="preserve"> </w:t>
      </w:r>
      <w:r>
        <w:t>the</w:t>
      </w:r>
      <w:r>
        <w:rPr>
          <w:spacing w:val="-5"/>
        </w:rPr>
        <w:t xml:space="preserve"> </w:t>
      </w:r>
      <w:r>
        <w:t>allocated</w:t>
      </w:r>
      <w:r>
        <w:rPr>
          <w:spacing w:val="-3"/>
        </w:rPr>
        <w:t xml:space="preserve"> </w:t>
      </w:r>
      <w:r>
        <w:t>funds</w:t>
      </w:r>
      <w:r>
        <w:rPr>
          <w:spacing w:val="-5"/>
        </w:rPr>
        <w:t xml:space="preserve"> </w:t>
      </w:r>
      <w:r>
        <w:t>align</w:t>
      </w:r>
      <w:r>
        <w:rPr>
          <w:spacing w:val="-3"/>
        </w:rPr>
        <w:t xml:space="preserve"> </w:t>
      </w:r>
      <w:r>
        <w:t>with provincial needs and are not disproportionately spent on government administration. This transfer category comprises two components: (i) a specific grant (DAU – SG or DAU earmarked) that must be spent on designated activities outlined by the MoF and (ii) a block grant (DAU) that is usually unrestricted, allowing subnational governments to allocate funds according to their priorities. An incentive mechanism applies, under which provinces that demonstrate MSS fulfilment get a higher proportion</w:t>
      </w:r>
      <w:r>
        <w:rPr>
          <w:spacing w:val="-4"/>
        </w:rPr>
        <w:t xml:space="preserve"> </w:t>
      </w:r>
      <w:r>
        <w:t>of</w:t>
      </w:r>
      <w:r>
        <w:rPr>
          <w:spacing w:val="-6"/>
        </w:rPr>
        <w:t xml:space="preserve"> </w:t>
      </w:r>
      <w:r>
        <w:t>the</w:t>
      </w:r>
      <w:r>
        <w:rPr>
          <w:spacing w:val="-6"/>
        </w:rPr>
        <w:t xml:space="preserve"> </w:t>
      </w:r>
      <w:r>
        <w:t>transfer</w:t>
      </w:r>
      <w:r>
        <w:rPr>
          <w:spacing w:val="-4"/>
        </w:rPr>
        <w:t xml:space="preserve"> </w:t>
      </w:r>
      <w:r>
        <w:t>as</w:t>
      </w:r>
      <w:r>
        <w:rPr>
          <w:spacing w:val="-4"/>
        </w:rPr>
        <w:t xml:space="preserve"> </w:t>
      </w:r>
      <w:r>
        <w:t>non-earmarked</w:t>
      </w:r>
      <w:r>
        <w:rPr>
          <w:spacing w:val="-4"/>
        </w:rPr>
        <w:t xml:space="preserve"> </w:t>
      </w:r>
      <w:r>
        <w:t>and</w:t>
      </w:r>
      <w:r>
        <w:rPr>
          <w:spacing w:val="-4"/>
        </w:rPr>
        <w:t xml:space="preserve"> </w:t>
      </w:r>
      <w:r>
        <w:t>flexibly</w:t>
      </w:r>
      <w:r>
        <w:rPr>
          <w:spacing w:val="-4"/>
        </w:rPr>
        <w:t xml:space="preserve"> </w:t>
      </w:r>
      <w:r>
        <w:t>available</w:t>
      </w:r>
      <w:r>
        <w:rPr>
          <w:spacing w:val="-6"/>
        </w:rPr>
        <w:t xml:space="preserve"> </w:t>
      </w:r>
      <w:r>
        <w:t>funds.</w:t>
      </w:r>
      <w:r>
        <w:rPr>
          <w:spacing w:val="-4"/>
        </w:rPr>
        <w:t xml:space="preserve"> </w:t>
      </w:r>
      <w:r>
        <w:t>SKALA</w:t>
      </w:r>
      <w:r>
        <w:rPr>
          <w:spacing w:val="-5"/>
        </w:rPr>
        <w:t xml:space="preserve"> </w:t>
      </w:r>
      <w:r>
        <w:t>has</w:t>
      </w:r>
      <w:r>
        <w:rPr>
          <w:spacing w:val="-4"/>
        </w:rPr>
        <w:t xml:space="preserve"> </w:t>
      </w:r>
      <w:r>
        <w:t>focused</w:t>
      </w:r>
      <w:r>
        <w:rPr>
          <w:spacing w:val="-4"/>
        </w:rPr>
        <w:t xml:space="preserve"> </w:t>
      </w:r>
      <w:r>
        <w:t>on</w:t>
      </w:r>
      <w:r>
        <w:rPr>
          <w:spacing w:val="-7"/>
        </w:rPr>
        <w:t xml:space="preserve"> </w:t>
      </w:r>
      <w:r>
        <w:t>helping national</w:t>
      </w:r>
      <w:r>
        <w:rPr>
          <w:spacing w:val="-9"/>
        </w:rPr>
        <w:t xml:space="preserve"> </w:t>
      </w:r>
      <w:r>
        <w:t>and</w:t>
      </w:r>
      <w:r>
        <w:rPr>
          <w:spacing w:val="-10"/>
        </w:rPr>
        <w:t xml:space="preserve"> </w:t>
      </w:r>
      <w:r>
        <w:t>subnational</w:t>
      </w:r>
      <w:r>
        <w:rPr>
          <w:spacing w:val="-11"/>
        </w:rPr>
        <w:t xml:space="preserve"> </w:t>
      </w:r>
      <w:r>
        <w:t>governments</w:t>
      </w:r>
      <w:r>
        <w:rPr>
          <w:spacing w:val="-10"/>
        </w:rPr>
        <w:t xml:space="preserve"> </w:t>
      </w:r>
      <w:r>
        <w:t>use</w:t>
      </w:r>
      <w:r>
        <w:rPr>
          <w:spacing w:val="-9"/>
        </w:rPr>
        <w:t xml:space="preserve"> </w:t>
      </w:r>
      <w:r>
        <w:t>the</w:t>
      </w:r>
      <w:r>
        <w:rPr>
          <w:spacing w:val="-12"/>
        </w:rPr>
        <w:t xml:space="preserve"> </w:t>
      </w:r>
      <w:r>
        <w:t>specific</w:t>
      </w:r>
      <w:r>
        <w:rPr>
          <w:spacing w:val="-11"/>
        </w:rPr>
        <w:t xml:space="preserve"> </w:t>
      </w:r>
      <w:r>
        <w:t>grant</w:t>
      </w:r>
      <w:r>
        <w:rPr>
          <w:spacing w:val="-9"/>
        </w:rPr>
        <w:t xml:space="preserve"> </w:t>
      </w:r>
      <w:r>
        <w:t>(DAU-SG)</w:t>
      </w:r>
      <w:r>
        <w:rPr>
          <w:spacing w:val="-12"/>
        </w:rPr>
        <w:t xml:space="preserve"> </w:t>
      </w:r>
      <w:r>
        <w:t>effectively</w:t>
      </w:r>
      <w:r>
        <w:rPr>
          <w:spacing w:val="-10"/>
        </w:rPr>
        <w:t xml:space="preserve"> </w:t>
      </w:r>
      <w:r>
        <w:t>to</w:t>
      </w:r>
      <w:r>
        <w:rPr>
          <w:spacing w:val="-8"/>
        </w:rPr>
        <w:t xml:space="preserve"> </w:t>
      </w:r>
      <w:r>
        <w:t>ensure</w:t>
      </w:r>
      <w:r>
        <w:rPr>
          <w:spacing w:val="-9"/>
        </w:rPr>
        <w:t xml:space="preserve"> </w:t>
      </w:r>
      <w:r>
        <w:t>the</w:t>
      </w:r>
      <w:r>
        <w:rPr>
          <w:spacing w:val="-12"/>
        </w:rPr>
        <w:t xml:space="preserve"> </w:t>
      </w:r>
      <w:r>
        <w:t>delivery of basic services.</w:t>
      </w:r>
    </w:p>
    <w:p w14:paraId="0E7B45E4" w14:textId="77777777" w:rsidR="00BC24A8" w:rsidRDefault="00000000">
      <w:pPr>
        <w:spacing w:before="155"/>
        <w:ind w:left="143"/>
        <w:jc w:val="both"/>
        <w:rPr>
          <w:i/>
        </w:rPr>
      </w:pPr>
      <w:r>
        <w:rPr>
          <w:i/>
        </w:rPr>
        <w:t>In</w:t>
      </w:r>
      <w:r>
        <w:rPr>
          <w:i/>
          <w:spacing w:val="-6"/>
        </w:rPr>
        <w:t xml:space="preserve"> </w:t>
      </w:r>
      <w:r>
        <w:rPr>
          <w:i/>
        </w:rPr>
        <w:t>previous</w:t>
      </w:r>
      <w:r>
        <w:rPr>
          <w:i/>
          <w:spacing w:val="-8"/>
        </w:rPr>
        <w:t xml:space="preserve"> </w:t>
      </w:r>
      <w:r>
        <w:rPr>
          <w:i/>
        </w:rPr>
        <w:t>semesters,</w:t>
      </w:r>
      <w:r>
        <w:rPr>
          <w:i/>
          <w:spacing w:val="-6"/>
        </w:rPr>
        <w:t xml:space="preserve"> </w:t>
      </w:r>
      <w:r>
        <w:rPr>
          <w:i/>
        </w:rPr>
        <w:t>SKALA</w:t>
      </w:r>
      <w:r>
        <w:rPr>
          <w:i/>
          <w:spacing w:val="-6"/>
        </w:rPr>
        <w:t xml:space="preserve"> </w:t>
      </w:r>
      <w:r>
        <w:rPr>
          <w:i/>
          <w:spacing w:val="-4"/>
        </w:rPr>
        <w:t>has:</w:t>
      </w:r>
    </w:p>
    <w:p w14:paraId="2A34F287" w14:textId="77777777" w:rsidR="00BC24A8" w:rsidRDefault="00000000">
      <w:pPr>
        <w:pStyle w:val="ListParagraph"/>
        <w:numPr>
          <w:ilvl w:val="0"/>
          <w:numId w:val="163"/>
        </w:numPr>
        <w:tabs>
          <w:tab w:val="left" w:pos="681"/>
          <w:tab w:val="left" w:pos="683"/>
        </w:tabs>
        <w:spacing w:before="203"/>
        <w:ind w:right="278" w:hanging="361"/>
        <w:rPr>
          <w:i/>
        </w:rPr>
      </w:pPr>
      <w:r>
        <w:rPr>
          <w:i/>
        </w:rPr>
        <w:t>Delivered training to eight partner provinces, leading to timely DAU budget proposal submission for financial year 2024</w:t>
      </w:r>
    </w:p>
    <w:p w14:paraId="4C48EF72" w14:textId="77777777" w:rsidR="00BC24A8" w:rsidRDefault="00000000">
      <w:pPr>
        <w:pStyle w:val="ListParagraph"/>
        <w:numPr>
          <w:ilvl w:val="0"/>
          <w:numId w:val="163"/>
        </w:numPr>
        <w:tabs>
          <w:tab w:val="left" w:pos="681"/>
          <w:tab w:val="left" w:pos="683"/>
        </w:tabs>
        <w:ind w:right="280" w:hanging="361"/>
        <w:rPr>
          <w:i/>
        </w:rPr>
      </w:pPr>
      <w:r>
        <w:rPr>
          <w:i/>
        </w:rPr>
        <w:t>Achieved increased DAU grant allocations across partner provinces for the financial year 2024 through improved process compliance (IO4.5)</w:t>
      </w:r>
      <w:hyperlink w:anchor="_bookmark58" w:history="1">
        <w:r w:rsidR="00BC24A8">
          <w:rPr>
            <w:i/>
            <w:vertAlign w:val="superscript"/>
          </w:rPr>
          <w:t>18</w:t>
        </w:r>
      </w:hyperlink>
    </w:p>
    <w:p w14:paraId="2516D06B" w14:textId="77777777" w:rsidR="00BC24A8" w:rsidRDefault="00000000">
      <w:pPr>
        <w:pStyle w:val="ListParagraph"/>
        <w:numPr>
          <w:ilvl w:val="0"/>
          <w:numId w:val="163"/>
        </w:numPr>
        <w:tabs>
          <w:tab w:val="left" w:pos="681"/>
          <w:tab w:val="left" w:pos="683"/>
        </w:tabs>
        <w:ind w:right="280" w:hanging="361"/>
        <w:rPr>
          <w:i/>
        </w:rPr>
      </w:pPr>
      <w:r>
        <w:rPr>
          <w:i/>
        </w:rPr>
        <w:t>Provided technical</w:t>
      </w:r>
      <w:r>
        <w:rPr>
          <w:i/>
          <w:spacing w:val="-4"/>
        </w:rPr>
        <w:t xml:space="preserve"> </w:t>
      </w:r>
      <w:r>
        <w:rPr>
          <w:i/>
        </w:rPr>
        <w:t>advice</w:t>
      </w:r>
      <w:r>
        <w:rPr>
          <w:i/>
          <w:spacing w:val="-1"/>
        </w:rPr>
        <w:t xml:space="preserve"> </w:t>
      </w:r>
      <w:r>
        <w:rPr>
          <w:i/>
        </w:rPr>
        <w:t>to</w:t>
      </w:r>
      <w:r>
        <w:rPr>
          <w:i/>
          <w:spacing w:val="-2"/>
        </w:rPr>
        <w:t xml:space="preserve"> </w:t>
      </w:r>
      <w:r>
        <w:rPr>
          <w:i/>
        </w:rPr>
        <w:t>MoF</w:t>
      </w:r>
      <w:r>
        <w:rPr>
          <w:i/>
          <w:spacing w:val="-4"/>
        </w:rPr>
        <w:t xml:space="preserve"> </w:t>
      </w:r>
      <w:r>
        <w:rPr>
          <w:i/>
        </w:rPr>
        <w:t>on the</w:t>
      </w:r>
      <w:r>
        <w:rPr>
          <w:i/>
          <w:spacing w:val="-4"/>
        </w:rPr>
        <w:t xml:space="preserve"> </w:t>
      </w:r>
      <w:r>
        <w:rPr>
          <w:i/>
        </w:rPr>
        <w:t>benefits</w:t>
      </w:r>
      <w:r>
        <w:rPr>
          <w:i/>
          <w:spacing w:val="-2"/>
        </w:rPr>
        <w:t xml:space="preserve"> </w:t>
      </w:r>
      <w:r>
        <w:rPr>
          <w:i/>
        </w:rPr>
        <w:t>of</w:t>
      </w:r>
      <w:r>
        <w:rPr>
          <w:i/>
          <w:spacing w:val="-2"/>
        </w:rPr>
        <w:t xml:space="preserve"> </w:t>
      </w:r>
      <w:r>
        <w:rPr>
          <w:i/>
        </w:rPr>
        <w:t>using the</w:t>
      </w:r>
      <w:r>
        <w:rPr>
          <w:i/>
          <w:spacing w:val="-4"/>
        </w:rPr>
        <w:t xml:space="preserve"> </w:t>
      </w:r>
      <w:r>
        <w:rPr>
          <w:i/>
        </w:rPr>
        <w:t>per-capita</w:t>
      </w:r>
      <w:r>
        <w:rPr>
          <w:i/>
          <w:spacing w:val="-2"/>
        </w:rPr>
        <w:t xml:space="preserve"> </w:t>
      </w:r>
      <w:r>
        <w:rPr>
          <w:i/>
        </w:rPr>
        <w:t>costs</w:t>
      </w:r>
      <w:r>
        <w:rPr>
          <w:i/>
          <w:spacing w:val="-2"/>
        </w:rPr>
        <w:t xml:space="preserve"> </w:t>
      </w:r>
      <w:r>
        <w:rPr>
          <w:i/>
        </w:rPr>
        <w:t>for</w:t>
      </w:r>
      <w:r>
        <w:rPr>
          <w:i/>
          <w:spacing w:val="-3"/>
        </w:rPr>
        <w:t xml:space="preserve"> </w:t>
      </w:r>
      <w:r>
        <w:rPr>
          <w:i/>
        </w:rPr>
        <w:t>service</w:t>
      </w:r>
      <w:r>
        <w:rPr>
          <w:i/>
          <w:spacing w:val="-4"/>
        </w:rPr>
        <w:t xml:space="preserve"> </w:t>
      </w:r>
      <w:r>
        <w:rPr>
          <w:i/>
        </w:rPr>
        <w:t xml:space="preserve">delivery, more specifically recognising varied costs of service delivery in different provinces (under </w:t>
      </w:r>
      <w:r>
        <w:rPr>
          <w:i/>
          <w:spacing w:val="-2"/>
        </w:rPr>
        <w:t>consideration)</w:t>
      </w:r>
    </w:p>
    <w:p w14:paraId="774650D7" w14:textId="77777777" w:rsidR="00BC24A8" w:rsidRDefault="00000000">
      <w:pPr>
        <w:pStyle w:val="ListParagraph"/>
        <w:numPr>
          <w:ilvl w:val="0"/>
          <w:numId w:val="163"/>
        </w:numPr>
        <w:tabs>
          <w:tab w:val="left" w:pos="683"/>
        </w:tabs>
        <w:ind w:right="281"/>
        <w:rPr>
          <w:i/>
        </w:rPr>
      </w:pPr>
      <w:r>
        <w:rPr>
          <w:i/>
        </w:rPr>
        <w:t xml:space="preserve">Supported MoF to develop and regulate performance-based allocation formulas for MSS in education, health, and infrastructure that will guide the provincial government’s use of DAU-SG </w:t>
      </w:r>
      <w:r>
        <w:rPr>
          <w:i/>
          <w:spacing w:val="-2"/>
        </w:rPr>
        <w:t>(IO1.1</w:t>
      </w:r>
      <w:hyperlink w:anchor="_bookmark59" w:history="1">
        <w:r w:rsidR="00BC24A8">
          <w:rPr>
            <w:i/>
            <w:spacing w:val="-2"/>
            <w:vertAlign w:val="superscript"/>
          </w:rPr>
          <w:t>19</w:t>
        </w:r>
      </w:hyperlink>
      <w:r>
        <w:rPr>
          <w:i/>
          <w:spacing w:val="-2"/>
        </w:rPr>
        <w:t>)</w:t>
      </w:r>
    </w:p>
    <w:p w14:paraId="5F983C3E" w14:textId="77777777" w:rsidR="00BC24A8" w:rsidRDefault="00000000">
      <w:pPr>
        <w:pStyle w:val="ListParagraph"/>
        <w:numPr>
          <w:ilvl w:val="0"/>
          <w:numId w:val="163"/>
        </w:numPr>
        <w:tabs>
          <w:tab w:val="left" w:pos="682"/>
        </w:tabs>
        <w:spacing w:before="1"/>
        <w:ind w:left="682" w:hanging="359"/>
        <w:rPr>
          <w:i/>
        </w:rPr>
      </w:pPr>
      <w:r>
        <w:rPr>
          <w:i/>
        </w:rPr>
        <w:t>Facilitated</w:t>
      </w:r>
      <w:r>
        <w:rPr>
          <w:i/>
          <w:spacing w:val="-6"/>
        </w:rPr>
        <w:t xml:space="preserve"> </w:t>
      </w:r>
      <w:r>
        <w:rPr>
          <w:i/>
        </w:rPr>
        <w:t>provincial</w:t>
      </w:r>
      <w:r>
        <w:rPr>
          <w:i/>
          <w:spacing w:val="-5"/>
        </w:rPr>
        <w:t xml:space="preserve"> </w:t>
      </w:r>
      <w:r>
        <w:rPr>
          <w:i/>
        </w:rPr>
        <w:t>input</w:t>
      </w:r>
      <w:r>
        <w:rPr>
          <w:i/>
          <w:spacing w:val="-4"/>
        </w:rPr>
        <w:t xml:space="preserve"> </w:t>
      </w:r>
      <w:r>
        <w:rPr>
          <w:i/>
        </w:rPr>
        <w:t>into</w:t>
      </w:r>
      <w:r>
        <w:rPr>
          <w:i/>
          <w:spacing w:val="-4"/>
        </w:rPr>
        <w:t xml:space="preserve"> </w:t>
      </w:r>
      <w:r>
        <w:rPr>
          <w:i/>
        </w:rPr>
        <w:t>the</w:t>
      </w:r>
      <w:r>
        <w:rPr>
          <w:i/>
          <w:spacing w:val="-7"/>
        </w:rPr>
        <w:t xml:space="preserve"> </w:t>
      </w:r>
      <w:r>
        <w:rPr>
          <w:i/>
        </w:rPr>
        <w:t>finalisation</w:t>
      </w:r>
      <w:r>
        <w:rPr>
          <w:i/>
          <w:spacing w:val="-5"/>
        </w:rPr>
        <w:t xml:space="preserve"> </w:t>
      </w:r>
      <w:r>
        <w:rPr>
          <w:i/>
        </w:rPr>
        <w:t>of</w:t>
      </w:r>
      <w:r>
        <w:rPr>
          <w:i/>
          <w:spacing w:val="-6"/>
        </w:rPr>
        <w:t xml:space="preserve"> </w:t>
      </w:r>
      <w:r>
        <w:rPr>
          <w:i/>
        </w:rPr>
        <w:t>national</w:t>
      </w:r>
      <w:r>
        <w:rPr>
          <w:i/>
          <w:spacing w:val="-5"/>
        </w:rPr>
        <w:t xml:space="preserve"> </w:t>
      </w:r>
      <w:r>
        <w:rPr>
          <w:i/>
        </w:rPr>
        <w:t>DAU-SG</w:t>
      </w:r>
      <w:r>
        <w:rPr>
          <w:i/>
          <w:spacing w:val="-3"/>
        </w:rPr>
        <w:t xml:space="preserve"> </w:t>
      </w:r>
      <w:r>
        <w:rPr>
          <w:i/>
          <w:spacing w:val="-2"/>
        </w:rPr>
        <w:t>regulations</w:t>
      </w:r>
    </w:p>
    <w:p w14:paraId="6E4C0557" w14:textId="77777777" w:rsidR="00BC24A8" w:rsidRDefault="00BC24A8">
      <w:pPr>
        <w:pStyle w:val="BodyText"/>
        <w:rPr>
          <w:i/>
          <w:sz w:val="20"/>
        </w:rPr>
      </w:pPr>
    </w:p>
    <w:p w14:paraId="7575CD3E" w14:textId="77777777" w:rsidR="00BC24A8" w:rsidRDefault="00BC24A8">
      <w:pPr>
        <w:pStyle w:val="BodyText"/>
        <w:rPr>
          <w:i/>
          <w:sz w:val="20"/>
        </w:rPr>
      </w:pPr>
    </w:p>
    <w:p w14:paraId="434FC06E" w14:textId="77777777" w:rsidR="00BC24A8" w:rsidRDefault="00000000">
      <w:pPr>
        <w:pStyle w:val="BodyText"/>
        <w:spacing w:before="238"/>
        <w:rPr>
          <w:i/>
          <w:sz w:val="20"/>
        </w:rPr>
      </w:pPr>
      <w:r>
        <w:rPr>
          <w:i/>
          <w:noProof/>
          <w:sz w:val="20"/>
        </w:rPr>
        <mc:AlternateContent>
          <mc:Choice Requires="wps">
            <w:drawing>
              <wp:anchor distT="0" distB="0" distL="0" distR="0" simplePos="0" relativeHeight="487594496" behindDoc="1" locked="0" layoutInCell="1" allowOverlap="1" wp14:anchorId="42649B56" wp14:editId="220105B9">
                <wp:simplePos x="0" y="0"/>
                <wp:positionH relativeFrom="page">
                  <wp:posOffset>900683</wp:posOffset>
                </wp:positionH>
                <wp:positionV relativeFrom="paragraph">
                  <wp:posOffset>321545</wp:posOffset>
                </wp:positionV>
                <wp:extent cx="1828800" cy="9525"/>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0C6D8C" id="Graphic 30" o:spid="_x0000_s1026" alt="&quot;&quot;" style="position:absolute;margin-left:70.9pt;margin-top:25.3pt;width:2in;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" path="m1828800,l,,,9144r1828800,l1828800,xe" fillcolor="black" stroked="f">
                <v:path arrowok="t"/>
                <w10:wrap type="topAndBottom" anchorx="page"/>
              </v:shape>
            </w:pict>
          </mc:Fallback>
        </mc:AlternateContent>
      </w:r>
    </w:p>
    <w:p w14:paraId="65960E01" w14:textId="77777777" w:rsidR="00BC24A8" w:rsidRDefault="00BC24A8">
      <w:pPr>
        <w:pStyle w:val="BodyText"/>
        <w:spacing w:before="105"/>
        <w:rPr>
          <w:i/>
          <w:sz w:val="16"/>
        </w:rPr>
      </w:pPr>
    </w:p>
    <w:p w14:paraId="48A43898" w14:textId="77777777" w:rsidR="00BC24A8" w:rsidRDefault="00000000">
      <w:pPr>
        <w:spacing w:before="1"/>
        <w:ind w:left="143" w:right="328" w:hanging="1"/>
        <w:rPr>
          <w:sz w:val="16"/>
        </w:rPr>
      </w:pPr>
      <w:bookmarkStart w:id="97" w:name="_bookmark58"/>
      <w:bookmarkEnd w:id="97"/>
      <w:r>
        <w:rPr>
          <w:color w:val="767070"/>
          <w:sz w:val="16"/>
          <w:vertAlign w:val="superscript"/>
        </w:rPr>
        <w:t>18</w:t>
      </w:r>
      <w:r>
        <w:rPr>
          <w:color w:val="767070"/>
          <w:spacing w:val="-4"/>
          <w:sz w:val="16"/>
        </w:rPr>
        <w:t xml:space="preserve"> </w:t>
      </w:r>
      <w:r>
        <w:rPr>
          <w:color w:val="767070"/>
          <w:sz w:val="16"/>
        </w:rPr>
        <w:t>In</w:t>
      </w:r>
      <w:r>
        <w:rPr>
          <w:color w:val="767070"/>
          <w:spacing w:val="-3"/>
          <w:sz w:val="16"/>
        </w:rPr>
        <w:t xml:space="preserve"> </w:t>
      </w:r>
      <w:r>
        <w:rPr>
          <w:color w:val="767070"/>
          <w:sz w:val="16"/>
        </w:rPr>
        <w:t>FY2024</w:t>
      </w:r>
      <w:r>
        <w:rPr>
          <w:color w:val="767070"/>
          <w:spacing w:val="-4"/>
          <w:sz w:val="16"/>
        </w:rPr>
        <w:t xml:space="preserve"> </w:t>
      </w:r>
      <w:r>
        <w:rPr>
          <w:color w:val="767070"/>
          <w:sz w:val="16"/>
        </w:rPr>
        <w:t>Kalimantan</w:t>
      </w:r>
      <w:r>
        <w:rPr>
          <w:color w:val="767070"/>
          <w:spacing w:val="-3"/>
          <w:sz w:val="16"/>
        </w:rPr>
        <w:t xml:space="preserve"> </w:t>
      </w:r>
      <w:r>
        <w:rPr>
          <w:color w:val="767070"/>
          <w:sz w:val="16"/>
        </w:rPr>
        <w:t>Utara</w:t>
      </w:r>
      <w:r>
        <w:rPr>
          <w:color w:val="767070"/>
          <w:spacing w:val="-3"/>
          <w:sz w:val="16"/>
        </w:rPr>
        <w:t xml:space="preserve"> </w:t>
      </w:r>
      <w:r>
        <w:rPr>
          <w:color w:val="767070"/>
          <w:sz w:val="16"/>
        </w:rPr>
        <w:t>education</w:t>
      </w:r>
      <w:r>
        <w:rPr>
          <w:color w:val="767070"/>
          <w:spacing w:val="-3"/>
          <w:sz w:val="16"/>
        </w:rPr>
        <w:t xml:space="preserve"> </w:t>
      </w:r>
      <w:r>
        <w:rPr>
          <w:color w:val="767070"/>
          <w:sz w:val="16"/>
        </w:rPr>
        <w:t>DAU</w:t>
      </w:r>
      <w:r>
        <w:rPr>
          <w:color w:val="767070"/>
          <w:spacing w:val="-5"/>
          <w:sz w:val="16"/>
        </w:rPr>
        <w:t xml:space="preserve"> </w:t>
      </w:r>
      <w:r>
        <w:rPr>
          <w:color w:val="767070"/>
          <w:sz w:val="16"/>
        </w:rPr>
        <w:t>increased</w:t>
      </w:r>
      <w:r>
        <w:rPr>
          <w:color w:val="767070"/>
          <w:spacing w:val="-3"/>
          <w:sz w:val="16"/>
        </w:rPr>
        <w:t xml:space="preserve"> </w:t>
      </w:r>
      <w:r>
        <w:rPr>
          <w:color w:val="767070"/>
          <w:sz w:val="16"/>
        </w:rPr>
        <w:t>by</w:t>
      </w:r>
      <w:r>
        <w:rPr>
          <w:color w:val="767070"/>
          <w:spacing w:val="-3"/>
          <w:sz w:val="16"/>
        </w:rPr>
        <w:t xml:space="preserve"> </w:t>
      </w:r>
      <w:r>
        <w:rPr>
          <w:color w:val="767070"/>
          <w:sz w:val="16"/>
        </w:rPr>
        <w:t>52%,</w:t>
      </w:r>
      <w:r>
        <w:rPr>
          <w:color w:val="767070"/>
          <w:spacing w:val="-5"/>
          <w:sz w:val="16"/>
        </w:rPr>
        <w:t xml:space="preserve"> </w:t>
      </w:r>
      <w:r>
        <w:rPr>
          <w:color w:val="767070"/>
          <w:sz w:val="16"/>
        </w:rPr>
        <w:t>while</w:t>
      </w:r>
      <w:r>
        <w:rPr>
          <w:color w:val="767070"/>
          <w:spacing w:val="-4"/>
          <w:sz w:val="16"/>
        </w:rPr>
        <w:t xml:space="preserve"> </w:t>
      </w:r>
      <w:r>
        <w:rPr>
          <w:color w:val="767070"/>
          <w:sz w:val="16"/>
        </w:rPr>
        <w:t>the</w:t>
      </w:r>
      <w:r>
        <w:rPr>
          <w:color w:val="767070"/>
          <w:spacing w:val="-4"/>
          <w:sz w:val="16"/>
        </w:rPr>
        <w:t xml:space="preserve"> </w:t>
      </w:r>
      <w:r>
        <w:rPr>
          <w:color w:val="767070"/>
          <w:sz w:val="16"/>
        </w:rPr>
        <w:t>number</w:t>
      </w:r>
      <w:r>
        <w:rPr>
          <w:color w:val="767070"/>
          <w:spacing w:val="-4"/>
          <w:sz w:val="16"/>
        </w:rPr>
        <w:t xml:space="preserve"> </w:t>
      </w:r>
      <w:r>
        <w:rPr>
          <w:color w:val="767070"/>
          <w:sz w:val="16"/>
        </w:rPr>
        <w:t>of</w:t>
      </w:r>
      <w:r>
        <w:rPr>
          <w:color w:val="767070"/>
          <w:spacing w:val="-4"/>
          <w:sz w:val="16"/>
        </w:rPr>
        <w:t xml:space="preserve"> </w:t>
      </w:r>
      <w:r>
        <w:rPr>
          <w:color w:val="767070"/>
          <w:sz w:val="16"/>
        </w:rPr>
        <w:t>sub-activities</w:t>
      </w:r>
      <w:r>
        <w:rPr>
          <w:color w:val="767070"/>
          <w:spacing w:val="-3"/>
          <w:sz w:val="16"/>
        </w:rPr>
        <w:t xml:space="preserve"> </w:t>
      </w:r>
      <w:r>
        <w:rPr>
          <w:color w:val="767070"/>
          <w:sz w:val="16"/>
        </w:rPr>
        <w:t>funded</w:t>
      </w:r>
      <w:r>
        <w:rPr>
          <w:color w:val="767070"/>
          <w:spacing w:val="-3"/>
          <w:sz w:val="16"/>
        </w:rPr>
        <w:t xml:space="preserve"> </w:t>
      </w:r>
      <w:r>
        <w:rPr>
          <w:color w:val="767070"/>
          <w:sz w:val="16"/>
        </w:rPr>
        <w:t>by</w:t>
      </w:r>
      <w:r>
        <w:rPr>
          <w:color w:val="767070"/>
          <w:spacing w:val="-5"/>
          <w:sz w:val="16"/>
        </w:rPr>
        <w:t xml:space="preserve"> </w:t>
      </w:r>
      <w:r>
        <w:rPr>
          <w:color w:val="767070"/>
          <w:sz w:val="16"/>
        </w:rPr>
        <w:t>DAU</w:t>
      </w:r>
      <w:r>
        <w:rPr>
          <w:color w:val="767070"/>
          <w:spacing w:val="-3"/>
          <w:sz w:val="16"/>
        </w:rPr>
        <w:t xml:space="preserve"> </w:t>
      </w:r>
      <w:r>
        <w:rPr>
          <w:color w:val="767070"/>
          <w:sz w:val="16"/>
        </w:rPr>
        <w:t>SG</w:t>
      </w:r>
      <w:r>
        <w:rPr>
          <w:color w:val="767070"/>
          <w:spacing w:val="-4"/>
          <w:sz w:val="16"/>
        </w:rPr>
        <w:t xml:space="preserve"> </w:t>
      </w:r>
      <w:r>
        <w:rPr>
          <w:color w:val="767070"/>
          <w:sz w:val="16"/>
        </w:rPr>
        <w:t>in</w:t>
      </w:r>
      <w:r>
        <w:rPr>
          <w:color w:val="767070"/>
          <w:spacing w:val="-3"/>
          <w:sz w:val="16"/>
        </w:rPr>
        <w:t xml:space="preserve"> </w:t>
      </w:r>
      <w:r>
        <w:rPr>
          <w:color w:val="767070"/>
          <w:sz w:val="16"/>
        </w:rPr>
        <w:t>the</w:t>
      </w:r>
      <w:r>
        <w:rPr>
          <w:color w:val="767070"/>
          <w:spacing w:val="-4"/>
          <w:sz w:val="16"/>
        </w:rPr>
        <w:t xml:space="preserve"> </w:t>
      </w:r>
      <w:r>
        <w:rPr>
          <w:color w:val="767070"/>
          <w:sz w:val="16"/>
        </w:rPr>
        <w:t>health</w:t>
      </w:r>
      <w:r>
        <w:rPr>
          <w:color w:val="767070"/>
          <w:spacing w:val="-3"/>
          <w:sz w:val="16"/>
        </w:rPr>
        <w:t xml:space="preserve"> </w:t>
      </w:r>
      <w:r>
        <w:rPr>
          <w:color w:val="767070"/>
          <w:sz w:val="16"/>
        </w:rPr>
        <w:t>sector</w:t>
      </w:r>
      <w:r>
        <w:rPr>
          <w:color w:val="767070"/>
          <w:spacing w:val="40"/>
          <w:sz w:val="16"/>
        </w:rPr>
        <w:t xml:space="preserve"> </w:t>
      </w:r>
      <w:r>
        <w:rPr>
          <w:color w:val="767070"/>
          <w:sz w:val="16"/>
        </w:rPr>
        <w:t>increased from 4 to 19, and in public works from 1 to 13.</w:t>
      </w:r>
    </w:p>
    <w:p w14:paraId="5F1BFF33" w14:textId="77777777" w:rsidR="00BC24A8" w:rsidRDefault="00000000">
      <w:pPr>
        <w:ind w:left="143" w:right="327"/>
        <w:rPr>
          <w:sz w:val="16"/>
        </w:rPr>
      </w:pPr>
      <w:bookmarkStart w:id="98" w:name="_bookmark59"/>
      <w:bookmarkEnd w:id="98"/>
      <w:r>
        <w:rPr>
          <w:color w:val="767070"/>
          <w:sz w:val="16"/>
          <w:vertAlign w:val="superscript"/>
        </w:rPr>
        <w:t>19</w:t>
      </w:r>
      <w:r>
        <w:rPr>
          <w:color w:val="767070"/>
          <w:sz w:val="16"/>
        </w:rPr>
        <w:t xml:space="preserve"> Provided technical advice on tying DAU to regional performance on SPM indicators — such as student-teacher ratios, immunisation</w:t>
      </w:r>
      <w:r>
        <w:rPr>
          <w:color w:val="767070"/>
          <w:spacing w:val="40"/>
          <w:sz w:val="16"/>
        </w:rPr>
        <w:t xml:space="preserve"> </w:t>
      </w:r>
      <w:r>
        <w:rPr>
          <w:color w:val="767070"/>
          <w:sz w:val="16"/>
        </w:rPr>
        <w:t>coverage,</w:t>
      </w:r>
      <w:r>
        <w:rPr>
          <w:color w:val="767070"/>
          <w:spacing w:val="-7"/>
          <w:sz w:val="16"/>
        </w:rPr>
        <w:t xml:space="preserve"> </w:t>
      </w:r>
      <w:r>
        <w:rPr>
          <w:color w:val="767070"/>
          <w:sz w:val="16"/>
        </w:rPr>
        <w:t>and</w:t>
      </w:r>
      <w:r>
        <w:rPr>
          <w:color w:val="767070"/>
          <w:spacing w:val="-6"/>
          <w:sz w:val="16"/>
        </w:rPr>
        <w:t xml:space="preserve"> </w:t>
      </w:r>
      <w:r>
        <w:rPr>
          <w:color w:val="767070"/>
          <w:sz w:val="16"/>
        </w:rPr>
        <w:t>road</w:t>
      </w:r>
      <w:r>
        <w:rPr>
          <w:color w:val="767070"/>
          <w:spacing w:val="-3"/>
          <w:sz w:val="16"/>
        </w:rPr>
        <w:t xml:space="preserve"> </w:t>
      </w:r>
      <w:r>
        <w:rPr>
          <w:color w:val="767070"/>
          <w:sz w:val="16"/>
        </w:rPr>
        <w:t>access.</w:t>
      </w:r>
      <w:r>
        <w:rPr>
          <w:color w:val="767070"/>
          <w:spacing w:val="-5"/>
          <w:sz w:val="16"/>
        </w:rPr>
        <w:t xml:space="preserve"> </w:t>
      </w:r>
      <w:r>
        <w:rPr>
          <w:color w:val="767070"/>
          <w:sz w:val="16"/>
        </w:rPr>
        <w:t>These</w:t>
      </w:r>
      <w:r>
        <w:rPr>
          <w:color w:val="767070"/>
          <w:spacing w:val="-4"/>
          <w:sz w:val="16"/>
        </w:rPr>
        <w:t xml:space="preserve"> </w:t>
      </w:r>
      <w:r>
        <w:rPr>
          <w:color w:val="767070"/>
          <w:sz w:val="16"/>
        </w:rPr>
        <w:t>formulas</w:t>
      </w:r>
      <w:r>
        <w:rPr>
          <w:color w:val="767070"/>
          <w:spacing w:val="-3"/>
          <w:sz w:val="16"/>
        </w:rPr>
        <w:t xml:space="preserve"> </w:t>
      </w:r>
      <w:r>
        <w:rPr>
          <w:color w:val="767070"/>
          <w:sz w:val="16"/>
        </w:rPr>
        <w:t>are</w:t>
      </w:r>
      <w:r>
        <w:rPr>
          <w:color w:val="767070"/>
          <w:spacing w:val="-4"/>
          <w:sz w:val="16"/>
        </w:rPr>
        <w:t xml:space="preserve"> </w:t>
      </w:r>
      <w:r>
        <w:rPr>
          <w:color w:val="767070"/>
          <w:sz w:val="16"/>
        </w:rPr>
        <w:t>embedded</w:t>
      </w:r>
      <w:r>
        <w:rPr>
          <w:color w:val="767070"/>
          <w:spacing w:val="-3"/>
          <w:sz w:val="16"/>
        </w:rPr>
        <w:t xml:space="preserve"> </w:t>
      </w:r>
      <w:r>
        <w:rPr>
          <w:color w:val="767070"/>
          <w:sz w:val="16"/>
        </w:rPr>
        <w:t>in</w:t>
      </w:r>
      <w:r>
        <w:rPr>
          <w:color w:val="767070"/>
          <w:spacing w:val="-3"/>
          <w:sz w:val="16"/>
        </w:rPr>
        <w:t xml:space="preserve"> </w:t>
      </w:r>
      <w:r>
        <w:rPr>
          <w:color w:val="767070"/>
          <w:sz w:val="16"/>
        </w:rPr>
        <w:t>PMK</w:t>
      </w:r>
      <w:r>
        <w:rPr>
          <w:color w:val="767070"/>
          <w:spacing w:val="-3"/>
          <w:sz w:val="16"/>
        </w:rPr>
        <w:t xml:space="preserve"> </w:t>
      </w:r>
      <w:r>
        <w:rPr>
          <w:color w:val="767070"/>
          <w:sz w:val="16"/>
        </w:rPr>
        <w:t>No.</w:t>
      </w:r>
      <w:r>
        <w:rPr>
          <w:color w:val="767070"/>
          <w:spacing w:val="-5"/>
          <w:sz w:val="16"/>
        </w:rPr>
        <w:t xml:space="preserve"> </w:t>
      </w:r>
      <w:r>
        <w:rPr>
          <w:color w:val="767070"/>
          <w:sz w:val="16"/>
        </w:rPr>
        <w:t>110/2023,</w:t>
      </w:r>
      <w:r>
        <w:rPr>
          <w:color w:val="767070"/>
          <w:spacing w:val="-5"/>
          <w:sz w:val="16"/>
        </w:rPr>
        <w:t xml:space="preserve"> </w:t>
      </w:r>
      <w:r>
        <w:rPr>
          <w:color w:val="767070"/>
          <w:sz w:val="16"/>
        </w:rPr>
        <w:t>which</w:t>
      </w:r>
      <w:r>
        <w:rPr>
          <w:color w:val="767070"/>
          <w:spacing w:val="-3"/>
          <w:sz w:val="16"/>
        </w:rPr>
        <w:t xml:space="preserve"> </w:t>
      </w:r>
      <w:r>
        <w:rPr>
          <w:color w:val="767070"/>
          <w:sz w:val="16"/>
        </w:rPr>
        <w:t>outlines</w:t>
      </w:r>
      <w:r>
        <w:rPr>
          <w:color w:val="767070"/>
          <w:spacing w:val="-3"/>
          <w:sz w:val="16"/>
        </w:rPr>
        <w:t xml:space="preserve"> </w:t>
      </w:r>
      <w:r>
        <w:rPr>
          <w:color w:val="767070"/>
          <w:sz w:val="16"/>
        </w:rPr>
        <w:t>technical</w:t>
      </w:r>
      <w:r>
        <w:rPr>
          <w:color w:val="767070"/>
          <w:spacing w:val="-3"/>
          <w:sz w:val="16"/>
        </w:rPr>
        <w:t xml:space="preserve"> </w:t>
      </w:r>
      <w:r>
        <w:rPr>
          <w:color w:val="767070"/>
          <w:sz w:val="16"/>
        </w:rPr>
        <w:t>criteria</w:t>
      </w:r>
      <w:r>
        <w:rPr>
          <w:color w:val="767070"/>
          <w:spacing w:val="-5"/>
          <w:sz w:val="16"/>
        </w:rPr>
        <w:t xml:space="preserve"> </w:t>
      </w:r>
      <w:r>
        <w:rPr>
          <w:color w:val="767070"/>
          <w:sz w:val="16"/>
        </w:rPr>
        <w:t>for</w:t>
      </w:r>
      <w:r>
        <w:rPr>
          <w:color w:val="767070"/>
          <w:spacing w:val="-4"/>
          <w:sz w:val="16"/>
        </w:rPr>
        <w:t xml:space="preserve"> </w:t>
      </w:r>
      <w:r>
        <w:rPr>
          <w:color w:val="767070"/>
          <w:sz w:val="16"/>
        </w:rPr>
        <w:t>DAU</w:t>
      </w:r>
      <w:r>
        <w:rPr>
          <w:color w:val="767070"/>
          <w:spacing w:val="-3"/>
          <w:sz w:val="16"/>
        </w:rPr>
        <w:t xml:space="preserve"> </w:t>
      </w:r>
      <w:r>
        <w:rPr>
          <w:color w:val="767070"/>
          <w:sz w:val="16"/>
        </w:rPr>
        <w:t>SG</w:t>
      </w:r>
      <w:r>
        <w:rPr>
          <w:color w:val="767070"/>
          <w:spacing w:val="-4"/>
          <w:sz w:val="16"/>
        </w:rPr>
        <w:t xml:space="preserve"> </w:t>
      </w:r>
      <w:r>
        <w:rPr>
          <w:color w:val="767070"/>
          <w:sz w:val="16"/>
        </w:rPr>
        <w:t>(Specific</w:t>
      </w:r>
      <w:r>
        <w:rPr>
          <w:color w:val="767070"/>
          <w:spacing w:val="-5"/>
          <w:sz w:val="16"/>
        </w:rPr>
        <w:t xml:space="preserve"> </w:t>
      </w:r>
      <w:r>
        <w:rPr>
          <w:color w:val="767070"/>
          <w:sz w:val="16"/>
        </w:rPr>
        <w:t>Grant)</w:t>
      </w:r>
      <w:r>
        <w:rPr>
          <w:color w:val="767070"/>
          <w:spacing w:val="40"/>
          <w:sz w:val="16"/>
        </w:rPr>
        <w:t xml:space="preserve"> </w:t>
      </w:r>
      <w:r>
        <w:rPr>
          <w:color w:val="767070"/>
          <w:sz w:val="16"/>
        </w:rPr>
        <w:t>components and the specific benchmarks provinces must meet (e.g. quarterly reporting via e-SPM, budget absorption rates) to unlock full</w:t>
      </w:r>
      <w:r>
        <w:rPr>
          <w:color w:val="767070"/>
          <w:spacing w:val="40"/>
          <w:sz w:val="16"/>
        </w:rPr>
        <w:t xml:space="preserve"> </w:t>
      </w:r>
      <w:r>
        <w:rPr>
          <w:color w:val="767070"/>
          <w:sz w:val="16"/>
        </w:rPr>
        <w:t>DAU SG disbursements (DLIs).</w:t>
      </w:r>
    </w:p>
    <w:p w14:paraId="501A3B84" w14:textId="77777777" w:rsidR="00BC24A8" w:rsidRDefault="00BC24A8">
      <w:pPr>
        <w:rPr>
          <w:sz w:val="16"/>
        </w:rPr>
        <w:sectPr w:rsidR="00BC24A8">
          <w:pgSz w:w="11910" w:h="16840"/>
          <w:pgMar w:top="1320" w:right="1133" w:bottom="1100" w:left="1275" w:header="0" w:footer="907" w:gutter="0"/>
          <w:cols w:space="720"/>
        </w:sectPr>
      </w:pPr>
    </w:p>
    <w:p w14:paraId="196A17B0" w14:textId="77777777" w:rsidR="00BC24A8" w:rsidRDefault="00000000">
      <w:pPr>
        <w:pStyle w:val="ListParagraph"/>
        <w:numPr>
          <w:ilvl w:val="0"/>
          <w:numId w:val="163"/>
        </w:numPr>
        <w:tabs>
          <w:tab w:val="left" w:pos="683"/>
        </w:tabs>
        <w:spacing w:before="79"/>
        <w:ind w:right="280" w:hanging="361"/>
        <w:jc w:val="left"/>
        <w:rPr>
          <w:i/>
        </w:rPr>
      </w:pPr>
      <w:r>
        <w:rPr>
          <w:i/>
        </w:rPr>
        <w:lastRenderedPageBreak/>
        <w:t>Successfully advocate for a</w:t>
      </w:r>
      <w:r>
        <w:rPr>
          <w:i/>
          <w:spacing w:val="-1"/>
        </w:rPr>
        <w:t xml:space="preserve"> </w:t>
      </w:r>
      <w:r>
        <w:rPr>
          <w:i/>
        </w:rPr>
        <w:t>more outcome-focused list</w:t>
      </w:r>
      <w:r>
        <w:rPr>
          <w:i/>
          <w:spacing w:val="-2"/>
        </w:rPr>
        <w:t xml:space="preserve"> </w:t>
      </w:r>
      <w:r>
        <w:rPr>
          <w:i/>
        </w:rPr>
        <w:t>of</w:t>
      </w:r>
      <w:r>
        <w:rPr>
          <w:i/>
          <w:spacing w:val="-1"/>
        </w:rPr>
        <w:t xml:space="preserve"> </w:t>
      </w:r>
      <w:r>
        <w:rPr>
          <w:i/>
        </w:rPr>
        <w:t>DAU-SG</w:t>
      </w:r>
      <w:r>
        <w:rPr>
          <w:i/>
          <w:spacing w:val="-1"/>
        </w:rPr>
        <w:t xml:space="preserve"> </w:t>
      </w:r>
      <w:r>
        <w:rPr>
          <w:i/>
        </w:rPr>
        <w:t>budget items, making it harder to spend DAU-SG money on non-service delivery purposes (IO1.1</w:t>
      </w:r>
      <w:hyperlink w:anchor="_bookmark61" w:history="1">
        <w:r w:rsidR="00BC24A8">
          <w:rPr>
            <w:i/>
            <w:vertAlign w:val="superscript"/>
          </w:rPr>
          <w:t>20</w:t>
        </w:r>
      </w:hyperlink>
      <w:r>
        <w:rPr>
          <w:i/>
        </w:rPr>
        <w:t>)</w:t>
      </w:r>
    </w:p>
    <w:p w14:paraId="161B8186" w14:textId="77777777" w:rsidR="00BC24A8" w:rsidRDefault="00000000">
      <w:pPr>
        <w:pStyle w:val="ListParagraph"/>
        <w:numPr>
          <w:ilvl w:val="0"/>
          <w:numId w:val="163"/>
        </w:numPr>
        <w:tabs>
          <w:tab w:val="left" w:pos="683"/>
        </w:tabs>
        <w:spacing w:line="279" w:lineRule="exact"/>
        <w:jc w:val="left"/>
        <w:rPr>
          <w:i/>
        </w:rPr>
      </w:pPr>
      <w:r>
        <w:rPr>
          <w:i/>
        </w:rPr>
        <w:t>Conducted</w:t>
      </w:r>
      <w:r>
        <w:rPr>
          <w:i/>
          <w:spacing w:val="-7"/>
        </w:rPr>
        <w:t xml:space="preserve"> </w:t>
      </w:r>
      <w:r>
        <w:rPr>
          <w:i/>
        </w:rPr>
        <w:t>targeted</w:t>
      </w:r>
      <w:r>
        <w:rPr>
          <w:i/>
          <w:spacing w:val="-5"/>
        </w:rPr>
        <w:t xml:space="preserve"> </w:t>
      </w:r>
      <w:r>
        <w:rPr>
          <w:i/>
        </w:rPr>
        <w:t>socialisation</w:t>
      </w:r>
      <w:r>
        <w:rPr>
          <w:i/>
          <w:spacing w:val="-7"/>
        </w:rPr>
        <w:t xml:space="preserve"> </w:t>
      </w:r>
      <w:r>
        <w:rPr>
          <w:i/>
        </w:rPr>
        <w:t>of</w:t>
      </w:r>
      <w:r>
        <w:rPr>
          <w:i/>
          <w:spacing w:val="-4"/>
        </w:rPr>
        <w:t xml:space="preserve"> </w:t>
      </w:r>
      <w:r>
        <w:rPr>
          <w:i/>
        </w:rPr>
        <w:t>revised</w:t>
      </w:r>
      <w:r>
        <w:rPr>
          <w:i/>
          <w:spacing w:val="-7"/>
        </w:rPr>
        <w:t xml:space="preserve"> </w:t>
      </w:r>
      <w:r>
        <w:rPr>
          <w:i/>
        </w:rPr>
        <w:t>regulations</w:t>
      </w:r>
      <w:r>
        <w:rPr>
          <w:i/>
          <w:spacing w:val="-7"/>
        </w:rPr>
        <w:t xml:space="preserve"> </w:t>
      </w:r>
      <w:r>
        <w:rPr>
          <w:i/>
        </w:rPr>
        <w:t>regarding</w:t>
      </w:r>
      <w:r>
        <w:rPr>
          <w:i/>
          <w:spacing w:val="-6"/>
        </w:rPr>
        <w:t xml:space="preserve"> </w:t>
      </w:r>
      <w:r>
        <w:rPr>
          <w:i/>
        </w:rPr>
        <w:t>the</w:t>
      </w:r>
      <w:r>
        <w:rPr>
          <w:i/>
          <w:spacing w:val="-8"/>
        </w:rPr>
        <w:t xml:space="preserve"> </w:t>
      </w:r>
      <w:r>
        <w:rPr>
          <w:i/>
        </w:rPr>
        <w:t>use</w:t>
      </w:r>
      <w:r>
        <w:rPr>
          <w:i/>
          <w:spacing w:val="-9"/>
        </w:rPr>
        <w:t xml:space="preserve"> </w:t>
      </w:r>
      <w:r>
        <w:rPr>
          <w:i/>
        </w:rPr>
        <w:t>of</w:t>
      </w:r>
      <w:r>
        <w:rPr>
          <w:i/>
          <w:spacing w:val="-4"/>
        </w:rPr>
        <w:t xml:space="preserve"> </w:t>
      </w:r>
      <w:r>
        <w:rPr>
          <w:i/>
        </w:rPr>
        <w:t>DAU-</w:t>
      </w:r>
      <w:r>
        <w:rPr>
          <w:i/>
          <w:spacing w:val="-2"/>
        </w:rPr>
        <w:t>SG.</w:t>
      </w:r>
      <w:hyperlink w:anchor="_bookmark62" w:history="1">
        <w:r w:rsidR="00BC24A8">
          <w:rPr>
            <w:i/>
            <w:spacing w:val="-2"/>
            <w:vertAlign w:val="superscript"/>
          </w:rPr>
          <w:t>21</w:t>
        </w:r>
      </w:hyperlink>
    </w:p>
    <w:p w14:paraId="3844A934" w14:textId="77777777" w:rsidR="00BC24A8" w:rsidRDefault="00BC24A8">
      <w:pPr>
        <w:pStyle w:val="BodyText"/>
        <w:spacing w:before="60"/>
        <w:rPr>
          <w:i/>
        </w:rPr>
      </w:pPr>
    </w:p>
    <w:p w14:paraId="3D1BFA38" w14:textId="77777777" w:rsidR="00BC24A8" w:rsidRDefault="00000000">
      <w:pPr>
        <w:pStyle w:val="BodyText"/>
        <w:spacing w:before="1" w:line="278" w:lineRule="auto"/>
        <w:ind w:left="143" w:right="281"/>
        <w:jc w:val="both"/>
      </w:pPr>
      <w:r>
        <w:t>On the basis of SKALA’s previously delivered technical support, the Central government has been able to undertake two refinements to the regulations governing DAU-SG that are intended to focus subnational budgets on MSS</w:t>
      </w:r>
      <w:r>
        <w:rPr>
          <w:spacing w:val="-4"/>
        </w:rPr>
        <w:t xml:space="preserve"> </w:t>
      </w:r>
      <w:r>
        <w:t>- MoF Regulation No. 110/2023 and No.102/2024 (IO1.5). National government</w:t>
      </w:r>
      <w:r>
        <w:rPr>
          <w:spacing w:val="-5"/>
        </w:rPr>
        <w:t xml:space="preserve"> </w:t>
      </w:r>
      <w:r>
        <w:t>partners</w:t>
      </w:r>
      <w:r>
        <w:rPr>
          <w:spacing w:val="-6"/>
        </w:rPr>
        <w:t xml:space="preserve"> </w:t>
      </w:r>
      <w:r>
        <w:t>acknowledged</w:t>
      </w:r>
      <w:r>
        <w:rPr>
          <w:spacing w:val="-4"/>
        </w:rPr>
        <w:t xml:space="preserve"> </w:t>
      </w:r>
      <w:r>
        <w:t>that</w:t>
      </w:r>
      <w:r>
        <w:rPr>
          <w:spacing w:val="-5"/>
        </w:rPr>
        <w:t xml:space="preserve"> </w:t>
      </w:r>
      <w:r>
        <w:t>the</w:t>
      </w:r>
      <w:r>
        <w:rPr>
          <w:spacing w:val="-6"/>
        </w:rPr>
        <w:t xml:space="preserve"> </w:t>
      </w:r>
      <w:r>
        <w:t>technical</w:t>
      </w:r>
      <w:r>
        <w:rPr>
          <w:spacing w:val="-7"/>
        </w:rPr>
        <w:t xml:space="preserve"> </w:t>
      </w:r>
      <w:r>
        <w:t>support</w:t>
      </w:r>
      <w:r>
        <w:rPr>
          <w:spacing w:val="-7"/>
        </w:rPr>
        <w:t xml:space="preserve"> </w:t>
      </w:r>
      <w:r>
        <w:t>and</w:t>
      </w:r>
      <w:r>
        <w:rPr>
          <w:spacing w:val="-7"/>
        </w:rPr>
        <w:t xml:space="preserve"> </w:t>
      </w:r>
      <w:r>
        <w:t>national</w:t>
      </w:r>
      <w:r>
        <w:rPr>
          <w:spacing w:val="-6"/>
        </w:rPr>
        <w:t xml:space="preserve"> </w:t>
      </w:r>
      <w:r>
        <w:t>and</w:t>
      </w:r>
      <w:r>
        <w:rPr>
          <w:spacing w:val="-7"/>
        </w:rPr>
        <w:t xml:space="preserve"> </w:t>
      </w:r>
      <w:r>
        <w:t>subnational</w:t>
      </w:r>
      <w:r>
        <w:rPr>
          <w:spacing w:val="-6"/>
        </w:rPr>
        <w:t xml:space="preserve"> </w:t>
      </w:r>
      <w:r>
        <w:t>liaison</w:t>
      </w:r>
      <w:r>
        <w:rPr>
          <w:spacing w:val="-7"/>
        </w:rPr>
        <w:t xml:space="preserve"> </w:t>
      </w:r>
      <w:r>
        <w:t>led by SKALA produced a stronger outcome.</w:t>
      </w:r>
    </w:p>
    <w:p w14:paraId="755B175F" w14:textId="77777777" w:rsidR="00BC24A8" w:rsidRDefault="00000000">
      <w:pPr>
        <w:pStyle w:val="BodyText"/>
        <w:spacing w:before="158" w:line="278" w:lineRule="auto"/>
        <w:ind w:left="143" w:right="280"/>
        <w:jc w:val="both"/>
      </w:pPr>
      <w:r>
        <w:t>A comparison</w:t>
      </w:r>
      <w:r>
        <w:rPr>
          <w:spacing w:val="-1"/>
        </w:rPr>
        <w:t xml:space="preserve"> </w:t>
      </w:r>
      <w:r>
        <w:t>of the regulations governing provincial use of DAU-SG shows that the number</w:t>
      </w:r>
      <w:r>
        <w:rPr>
          <w:spacing w:val="-1"/>
        </w:rPr>
        <w:t xml:space="preserve"> </w:t>
      </w:r>
      <w:r>
        <w:t xml:space="preserve">of budget categories available for provincial spending has decreased in response to the annually updated MoF </w:t>
      </w:r>
      <w:r>
        <w:rPr>
          <w:spacing w:val="-2"/>
        </w:rPr>
        <w:t>regulation.</w:t>
      </w:r>
      <w:r>
        <w:rPr>
          <w:spacing w:val="-6"/>
        </w:rPr>
        <w:t xml:space="preserve"> </w:t>
      </w:r>
      <w:r>
        <w:rPr>
          <w:spacing w:val="-2"/>
        </w:rPr>
        <w:t>MoF’s</w:t>
      </w:r>
      <w:r>
        <w:rPr>
          <w:spacing w:val="-3"/>
        </w:rPr>
        <w:t xml:space="preserve"> </w:t>
      </w:r>
      <w:r>
        <w:rPr>
          <w:spacing w:val="-2"/>
        </w:rPr>
        <w:t>strategy</w:t>
      </w:r>
      <w:r>
        <w:rPr>
          <w:spacing w:val="-3"/>
        </w:rPr>
        <w:t xml:space="preserve"> </w:t>
      </w:r>
      <w:r>
        <w:rPr>
          <w:spacing w:val="-2"/>
        </w:rPr>
        <w:t>is</w:t>
      </w:r>
      <w:r>
        <w:rPr>
          <w:spacing w:val="-6"/>
        </w:rPr>
        <w:t xml:space="preserve"> </w:t>
      </w:r>
      <w:r>
        <w:rPr>
          <w:spacing w:val="-2"/>
        </w:rPr>
        <w:t>to</w:t>
      </w:r>
      <w:r>
        <w:rPr>
          <w:spacing w:val="-4"/>
        </w:rPr>
        <w:t xml:space="preserve"> </w:t>
      </w:r>
      <w:r>
        <w:rPr>
          <w:spacing w:val="-2"/>
        </w:rPr>
        <w:t>gradually</w:t>
      </w:r>
      <w:r>
        <w:rPr>
          <w:spacing w:val="-6"/>
        </w:rPr>
        <w:t xml:space="preserve"> </w:t>
      </w:r>
      <w:r>
        <w:rPr>
          <w:spacing w:val="-2"/>
        </w:rPr>
        <w:t>reduce</w:t>
      </w:r>
      <w:r>
        <w:rPr>
          <w:spacing w:val="-6"/>
        </w:rPr>
        <w:t xml:space="preserve"> </w:t>
      </w:r>
      <w:r>
        <w:rPr>
          <w:spacing w:val="-2"/>
        </w:rPr>
        <w:t>the</w:t>
      </w:r>
      <w:r>
        <w:rPr>
          <w:spacing w:val="-6"/>
        </w:rPr>
        <w:t xml:space="preserve"> </w:t>
      </w:r>
      <w:r>
        <w:rPr>
          <w:spacing w:val="-2"/>
        </w:rPr>
        <w:t>number</w:t>
      </w:r>
      <w:r>
        <w:rPr>
          <w:spacing w:val="-3"/>
        </w:rPr>
        <w:t xml:space="preserve"> </w:t>
      </w:r>
      <w:r>
        <w:rPr>
          <w:spacing w:val="-2"/>
        </w:rPr>
        <w:t>of</w:t>
      </w:r>
      <w:r>
        <w:rPr>
          <w:spacing w:val="-8"/>
        </w:rPr>
        <w:t xml:space="preserve"> </w:t>
      </w:r>
      <w:r>
        <w:rPr>
          <w:spacing w:val="-2"/>
        </w:rPr>
        <w:t>non-basic</w:t>
      </w:r>
      <w:r>
        <w:rPr>
          <w:spacing w:val="-8"/>
        </w:rPr>
        <w:t xml:space="preserve"> </w:t>
      </w:r>
      <w:r>
        <w:rPr>
          <w:spacing w:val="-2"/>
        </w:rPr>
        <w:t>service</w:t>
      </w:r>
      <w:r>
        <w:rPr>
          <w:spacing w:val="-6"/>
        </w:rPr>
        <w:t xml:space="preserve"> </w:t>
      </w:r>
      <w:r>
        <w:rPr>
          <w:spacing w:val="-2"/>
        </w:rPr>
        <w:t>delivery-related</w:t>
      </w:r>
      <w:r>
        <w:rPr>
          <w:spacing w:val="-3"/>
        </w:rPr>
        <w:t xml:space="preserve"> </w:t>
      </w:r>
      <w:r>
        <w:rPr>
          <w:spacing w:val="-2"/>
        </w:rPr>
        <w:t xml:space="preserve">budget </w:t>
      </w:r>
      <w:r>
        <w:t>categories to ensure more targeted use of the DAU-SG.</w:t>
      </w:r>
    </w:p>
    <w:p w14:paraId="429CA055" w14:textId="77777777" w:rsidR="00BC24A8" w:rsidRDefault="00000000">
      <w:pPr>
        <w:pStyle w:val="BodyText"/>
        <w:spacing w:before="149"/>
        <w:rPr>
          <w:sz w:val="20"/>
        </w:rPr>
      </w:pPr>
      <w:r>
        <w:rPr>
          <w:noProof/>
          <w:sz w:val="20"/>
        </w:rPr>
        <mc:AlternateContent>
          <mc:Choice Requires="wpg">
            <w:drawing>
              <wp:anchor distT="0" distB="0" distL="0" distR="0" simplePos="0" relativeHeight="487595008" behindDoc="1" locked="0" layoutInCell="1" allowOverlap="1" wp14:anchorId="528DEBAB" wp14:editId="0F9F85BC">
                <wp:simplePos x="0" y="0"/>
                <wp:positionH relativeFrom="page">
                  <wp:posOffset>956310</wp:posOffset>
                </wp:positionH>
                <wp:positionV relativeFrom="paragraph">
                  <wp:posOffset>265044</wp:posOffset>
                </wp:positionV>
                <wp:extent cx="5664200" cy="1534795"/>
                <wp:effectExtent l="0" t="0" r="0" b="0"/>
                <wp:wrapTopAndBottom/>
                <wp:docPr id="31" name="Group 31" descr="We see the support from SKALA as very useful, especially when we can get direct input from local governments. This is important for future sustainability. We see that good coordination needs to be maintained, and it would even be better if the Ministry of Home Aﬀairs and BAPPENAS, in the preparation of the plan, were also involved.&#10;(Interview with the Ministry of Finance, May 19, 20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200" cy="1534795"/>
                          <a:chOff x="0" y="0"/>
                          <a:chExt cx="5664200" cy="1534795"/>
                        </a:xfrm>
                      </wpg:grpSpPr>
                      <wps:wsp>
                        <wps:cNvPr id="32" name="Graphic 32"/>
                        <wps:cNvSpPr/>
                        <wps:spPr>
                          <a:xfrm>
                            <a:off x="6350" y="158501"/>
                            <a:ext cx="5651500" cy="1231900"/>
                          </a:xfrm>
                          <a:custGeom>
                            <a:avLst/>
                            <a:gdLst/>
                            <a:ahLst/>
                            <a:cxnLst/>
                            <a:rect l="l" t="t" r="r" b="b"/>
                            <a:pathLst>
                              <a:path w="5651500" h="1231900">
                                <a:moveTo>
                                  <a:pt x="0" y="0"/>
                                </a:moveTo>
                                <a:lnTo>
                                  <a:pt x="5651499" y="0"/>
                                </a:lnTo>
                                <a:lnTo>
                                  <a:pt x="5651499" y="1231620"/>
                                </a:lnTo>
                                <a:lnTo>
                                  <a:pt x="0" y="1231620"/>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4" cstate="print"/>
                          <a:stretch>
                            <a:fillRect/>
                          </a:stretch>
                        </pic:blipFill>
                        <pic:spPr>
                          <a:xfrm>
                            <a:off x="69490" y="0"/>
                            <a:ext cx="223261" cy="205386"/>
                          </a:xfrm>
                          <a:prstGeom prst="rect">
                            <a:avLst/>
                          </a:prstGeom>
                        </pic:spPr>
                      </pic:pic>
                      <pic:pic xmlns:pic="http://schemas.openxmlformats.org/drawingml/2006/picture">
                        <pic:nvPicPr>
                          <pic:cNvPr id="34" name="Image 34"/>
                          <pic:cNvPicPr/>
                        </pic:nvPicPr>
                        <pic:blipFill>
                          <a:blip r:embed="rId15" cstate="print"/>
                          <a:stretch>
                            <a:fillRect/>
                          </a:stretch>
                        </pic:blipFill>
                        <pic:spPr>
                          <a:xfrm>
                            <a:off x="5354296" y="1329094"/>
                            <a:ext cx="223261" cy="205386"/>
                          </a:xfrm>
                          <a:prstGeom prst="rect">
                            <a:avLst/>
                          </a:prstGeom>
                        </pic:spPr>
                      </pic:pic>
                      <wps:wsp>
                        <wps:cNvPr id="35" name="Textbox 35"/>
                        <wps:cNvSpPr txBox="1"/>
                        <wps:spPr>
                          <a:xfrm>
                            <a:off x="0" y="0"/>
                            <a:ext cx="5664200" cy="1534795"/>
                          </a:xfrm>
                          <a:prstGeom prst="rect">
                            <a:avLst/>
                          </a:prstGeom>
                        </wps:spPr>
                        <wps:txbx>
                          <w:txbxContent>
                            <w:p w14:paraId="021ED24D" w14:textId="77777777" w:rsidR="00BC24A8" w:rsidRDefault="00BC24A8">
                              <w:pPr>
                                <w:spacing w:before="203"/>
                              </w:pPr>
                            </w:p>
                            <w:p w14:paraId="73769622" w14:textId="77777777" w:rsidR="00BC24A8" w:rsidRDefault="00000000">
                              <w:pPr>
                                <w:spacing w:line="290" w:lineRule="auto"/>
                                <w:ind w:left="308" w:right="302"/>
                                <w:jc w:val="both"/>
                                <w:rPr>
                                  <w:rFonts w:ascii="Times New Roman" w:hAnsi="Times New Roman"/>
                                  <w:b/>
                                  <w:i/>
                                </w:rPr>
                              </w:pPr>
                              <w:r>
                                <w:rPr>
                                  <w:rFonts w:ascii="Times New Roman" w:hAnsi="Times New Roman"/>
                                  <w:b/>
                                  <w:i/>
                                  <w:color w:val="17365A"/>
                                </w:rPr>
                                <w:t>We</w:t>
                              </w:r>
                              <w:r>
                                <w:rPr>
                                  <w:rFonts w:ascii="Times New Roman" w:hAnsi="Times New Roman"/>
                                  <w:b/>
                                  <w:i/>
                                  <w:color w:val="17365A"/>
                                  <w:spacing w:val="-9"/>
                                </w:rPr>
                                <w:t xml:space="preserve"> </w:t>
                              </w:r>
                              <w:r>
                                <w:rPr>
                                  <w:rFonts w:ascii="Times New Roman" w:hAnsi="Times New Roman"/>
                                  <w:b/>
                                  <w:i/>
                                  <w:color w:val="17365A"/>
                                </w:rPr>
                                <w:t>see</w:t>
                              </w:r>
                              <w:r>
                                <w:rPr>
                                  <w:rFonts w:ascii="Times New Roman" w:hAnsi="Times New Roman"/>
                                  <w:b/>
                                  <w:i/>
                                  <w:color w:val="17365A"/>
                                  <w:spacing w:val="-7"/>
                                </w:rPr>
                                <w:t xml:space="preserve"> </w:t>
                              </w:r>
                              <w:r>
                                <w:rPr>
                                  <w:rFonts w:ascii="Times New Roman" w:hAnsi="Times New Roman"/>
                                  <w:b/>
                                  <w:i/>
                                  <w:color w:val="17365A"/>
                                </w:rPr>
                                <w:t>the</w:t>
                              </w:r>
                              <w:r>
                                <w:rPr>
                                  <w:rFonts w:ascii="Times New Roman" w:hAnsi="Times New Roman"/>
                                  <w:b/>
                                  <w:i/>
                                  <w:color w:val="17365A"/>
                                  <w:spacing w:val="-9"/>
                                </w:rPr>
                                <w:t xml:space="preserve"> </w:t>
                              </w:r>
                              <w:r>
                                <w:rPr>
                                  <w:rFonts w:ascii="Times New Roman" w:hAnsi="Times New Roman"/>
                                  <w:b/>
                                  <w:i/>
                                  <w:color w:val="17365A"/>
                                </w:rPr>
                                <w:t>support</w:t>
                              </w:r>
                              <w:r>
                                <w:rPr>
                                  <w:rFonts w:ascii="Times New Roman" w:hAnsi="Times New Roman"/>
                                  <w:b/>
                                  <w:i/>
                                  <w:color w:val="17365A"/>
                                  <w:spacing w:val="-9"/>
                                </w:rPr>
                                <w:t xml:space="preserve"> </w:t>
                              </w:r>
                              <w:r>
                                <w:rPr>
                                  <w:rFonts w:ascii="Times New Roman" w:hAnsi="Times New Roman"/>
                                  <w:b/>
                                  <w:i/>
                                  <w:color w:val="17365A"/>
                                </w:rPr>
                                <w:t>from</w:t>
                              </w:r>
                              <w:r>
                                <w:rPr>
                                  <w:rFonts w:ascii="Times New Roman" w:hAnsi="Times New Roman"/>
                                  <w:b/>
                                  <w:i/>
                                  <w:color w:val="17365A"/>
                                  <w:spacing w:val="-8"/>
                                </w:rPr>
                                <w:t xml:space="preserve"> </w:t>
                              </w:r>
                              <w:r>
                                <w:rPr>
                                  <w:rFonts w:ascii="Times New Roman" w:hAnsi="Times New Roman"/>
                                  <w:b/>
                                  <w:i/>
                                  <w:color w:val="17365A"/>
                                </w:rPr>
                                <w:t>SKALA</w:t>
                              </w:r>
                              <w:r>
                                <w:rPr>
                                  <w:rFonts w:ascii="Times New Roman" w:hAnsi="Times New Roman"/>
                                  <w:b/>
                                  <w:i/>
                                  <w:color w:val="17365A"/>
                                  <w:spacing w:val="-8"/>
                                </w:rPr>
                                <w:t xml:space="preserve"> </w:t>
                              </w:r>
                              <w:r>
                                <w:rPr>
                                  <w:rFonts w:ascii="Times New Roman" w:hAnsi="Times New Roman"/>
                                  <w:b/>
                                  <w:i/>
                                  <w:color w:val="17365A"/>
                                </w:rPr>
                                <w:t>as</w:t>
                              </w:r>
                              <w:r>
                                <w:rPr>
                                  <w:rFonts w:ascii="Times New Roman" w:hAnsi="Times New Roman"/>
                                  <w:b/>
                                  <w:i/>
                                  <w:color w:val="17365A"/>
                                  <w:spacing w:val="-7"/>
                                </w:rPr>
                                <w:t xml:space="preserve"> </w:t>
                              </w:r>
                              <w:r>
                                <w:rPr>
                                  <w:rFonts w:ascii="Times New Roman" w:hAnsi="Times New Roman"/>
                                  <w:b/>
                                  <w:i/>
                                  <w:color w:val="17365A"/>
                                </w:rPr>
                                <w:t>very</w:t>
                              </w:r>
                              <w:r>
                                <w:rPr>
                                  <w:rFonts w:ascii="Times New Roman" w:hAnsi="Times New Roman"/>
                                  <w:b/>
                                  <w:i/>
                                  <w:color w:val="17365A"/>
                                  <w:spacing w:val="-9"/>
                                </w:rPr>
                                <w:t xml:space="preserve"> </w:t>
                              </w:r>
                              <w:r>
                                <w:rPr>
                                  <w:rFonts w:ascii="Times New Roman" w:hAnsi="Times New Roman"/>
                                  <w:b/>
                                  <w:i/>
                                  <w:color w:val="17365A"/>
                                </w:rPr>
                                <w:t>useful,</w:t>
                              </w:r>
                              <w:r>
                                <w:rPr>
                                  <w:rFonts w:ascii="Times New Roman" w:hAnsi="Times New Roman"/>
                                  <w:b/>
                                  <w:i/>
                                  <w:color w:val="17365A"/>
                                  <w:spacing w:val="-9"/>
                                </w:rPr>
                                <w:t xml:space="preserve"> </w:t>
                              </w:r>
                              <w:r>
                                <w:rPr>
                                  <w:rFonts w:ascii="Times New Roman" w:hAnsi="Times New Roman"/>
                                  <w:b/>
                                  <w:i/>
                                  <w:color w:val="17365A"/>
                                </w:rPr>
                                <w:t>especially</w:t>
                              </w:r>
                              <w:r>
                                <w:rPr>
                                  <w:rFonts w:ascii="Times New Roman" w:hAnsi="Times New Roman"/>
                                  <w:b/>
                                  <w:i/>
                                  <w:color w:val="17365A"/>
                                  <w:spacing w:val="-9"/>
                                </w:rPr>
                                <w:t xml:space="preserve"> </w:t>
                              </w:r>
                              <w:r>
                                <w:rPr>
                                  <w:rFonts w:ascii="Times New Roman" w:hAnsi="Times New Roman"/>
                                  <w:b/>
                                  <w:i/>
                                  <w:color w:val="17365A"/>
                                </w:rPr>
                                <w:t>when</w:t>
                              </w:r>
                              <w:r>
                                <w:rPr>
                                  <w:rFonts w:ascii="Times New Roman" w:hAnsi="Times New Roman"/>
                                  <w:b/>
                                  <w:i/>
                                  <w:color w:val="17365A"/>
                                  <w:spacing w:val="-7"/>
                                </w:rPr>
                                <w:t xml:space="preserve"> </w:t>
                              </w:r>
                              <w:r>
                                <w:rPr>
                                  <w:rFonts w:ascii="Times New Roman" w:hAnsi="Times New Roman"/>
                                  <w:b/>
                                  <w:i/>
                                  <w:color w:val="17365A"/>
                                </w:rPr>
                                <w:t>we</w:t>
                              </w:r>
                              <w:r>
                                <w:rPr>
                                  <w:rFonts w:ascii="Times New Roman" w:hAnsi="Times New Roman"/>
                                  <w:b/>
                                  <w:i/>
                                  <w:color w:val="17365A"/>
                                  <w:spacing w:val="-9"/>
                                </w:rPr>
                                <w:t xml:space="preserve"> </w:t>
                              </w:r>
                              <w:r>
                                <w:rPr>
                                  <w:rFonts w:ascii="Times New Roman" w:hAnsi="Times New Roman"/>
                                  <w:b/>
                                  <w:i/>
                                  <w:color w:val="17365A"/>
                                </w:rPr>
                                <w:t>can</w:t>
                              </w:r>
                              <w:r>
                                <w:rPr>
                                  <w:rFonts w:ascii="Times New Roman" w:hAnsi="Times New Roman"/>
                                  <w:b/>
                                  <w:i/>
                                  <w:color w:val="17365A"/>
                                  <w:spacing w:val="-7"/>
                                </w:rPr>
                                <w:t xml:space="preserve"> </w:t>
                              </w:r>
                              <w:r>
                                <w:rPr>
                                  <w:rFonts w:ascii="Times New Roman" w:hAnsi="Times New Roman"/>
                                  <w:b/>
                                  <w:i/>
                                  <w:color w:val="17365A"/>
                                </w:rPr>
                                <w:t>get</w:t>
                              </w:r>
                              <w:r>
                                <w:rPr>
                                  <w:rFonts w:ascii="Times New Roman" w:hAnsi="Times New Roman"/>
                                  <w:b/>
                                  <w:i/>
                                  <w:color w:val="17365A"/>
                                  <w:spacing w:val="-9"/>
                                </w:rPr>
                                <w:t xml:space="preserve"> </w:t>
                              </w:r>
                              <w:r>
                                <w:rPr>
                                  <w:rFonts w:ascii="Times New Roman" w:hAnsi="Times New Roman"/>
                                  <w:b/>
                                  <w:i/>
                                  <w:color w:val="17365A"/>
                                </w:rPr>
                                <w:t>direct</w:t>
                              </w:r>
                              <w:r>
                                <w:rPr>
                                  <w:rFonts w:ascii="Times New Roman" w:hAnsi="Times New Roman"/>
                                  <w:b/>
                                  <w:i/>
                                  <w:color w:val="17365A"/>
                                  <w:spacing w:val="-9"/>
                                </w:rPr>
                                <w:t xml:space="preserve"> </w:t>
                              </w:r>
                              <w:r>
                                <w:rPr>
                                  <w:rFonts w:ascii="Times New Roman" w:hAnsi="Times New Roman"/>
                                  <w:b/>
                                  <w:i/>
                                  <w:color w:val="17365A"/>
                                </w:rPr>
                                <w:t>input</w:t>
                              </w:r>
                              <w:r>
                                <w:rPr>
                                  <w:rFonts w:ascii="Times New Roman" w:hAnsi="Times New Roman"/>
                                  <w:b/>
                                  <w:i/>
                                  <w:color w:val="17365A"/>
                                  <w:spacing w:val="-9"/>
                                </w:rPr>
                                <w:t xml:space="preserve"> </w:t>
                              </w:r>
                              <w:r>
                                <w:rPr>
                                  <w:rFonts w:ascii="Times New Roman" w:hAnsi="Times New Roman"/>
                                  <w:b/>
                                  <w:i/>
                                  <w:color w:val="17365A"/>
                                </w:rPr>
                                <w:t>from local</w:t>
                              </w:r>
                              <w:r>
                                <w:rPr>
                                  <w:rFonts w:ascii="Times New Roman" w:hAnsi="Times New Roman"/>
                                  <w:b/>
                                  <w:i/>
                                  <w:color w:val="17365A"/>
                                  <w:spacing w:val="-10"/>
                                </w:rPr>
                                <w:t xml:space="preserve"> </w:t>
                              </w:r>
                              <w:r>
                                <w:rPr>
                                  <w:rFonts w:ascii="Times New Roman" w:hAnsi="Times New Roman"/>
                                  <w:b/>
                                  <w:i/>
                                  <w:color w:val="17365A"/>
                                </w:rPr>
                                <w:t>governments.</w:t>
                              </w:r>
                              <w:r>
                                <w:rPr>
                                  <w:rFonts w:ascii="Times New Roman" w:hAnsi="Times New Roman"/>
                                  <w:b/>
                                  <w:i/>
                                  <w:color w:val="17365A"/>
                                  <w:spacing w:val="-10"/>
                                </w:rPr>
                                <w:t xml:space="preserve"> </w:t>
                              </w:r>
                              <w:r>
                                <w:rPr>
                                  <w:rFonts w:ascii="Times New Roman" w:hAnsi="Times New Roman"/>
                                  <w:b/>
                                  <w:i/>
                                  <w:color w:val="17365A"/>
                                </w:rPr>
                                <w:t>This</w:t>
                              </w:r>
                              <w:r>
                                <w:rPr>
                                  <w:rFonts w:ascii="Times New Roman" w:hAnsi="Times New Roman"/>
                                  <w:b/>
                                  <w:i/>
                                  <w:color w:val="17365A"/>
                                  <w:spacing w:val="-8"/>
                                </w:rPr>
                                <w:t xml:space="preserve"> </w:t>
                              </w:r>
                              <w:r>
                                <w:rPr>
                                  <w:rFonts w:ascii="Times New Roman" w:hAnsi="Times New Roman"/>
                                  <w:b/>
                                  <w:i/>
                                  <w:color w:val="17365A"/>
                                </w:rPr>
                                <w:t>is</w:t>
                              </w:r>
                              <w:r>
                                <w:rPr>
                                  <w:rFonts w:ascii="Times New Roman" w:hAnsi="Times New Roman"/>
                                  <w:b/>
                                  <w:i/>
                                  <w:color w:val="17365A"/>
                                  <w:spacing w:val="-11"/>
                                </w:rPr>
                                <w:t xml:space="preserve"> </w:t>
                              </w:r>
                              <w:r>
                                <w:rPr>
                                  <w:rFonts w:ascii="Times New Roman" w:hAnsi="Times New Roman"/>
                                  <w:b/>
                                  <w:i/>
                                  <w:color w:val="17365A"/>
                                </w:rPr>
                                <w:t>important</w:t>
                              </w:r>
                              <w:r>
                                <w:rPr>
                                  <w:rFonts w:ascii="Times New Roman" w:hAnsi="Times New Roman"/>
                                  <w:b/>
                                  <w:i/>
                                  <w:color w:val="17365A"/>
                                  <w:spacing w:val="-10"/>
                                </w:rPr>
                                <w:t xml:space="preserve"> </w:t>
                              </w:r>
                              <w:r>
                                <w:rPr>
                                  <w:rFonts w:ascii="Times New Roman" w:hAnsi="Times New Roman"/>
                                  <w:b/>
                                  <w:i/>
                                  <w:color w:val="17365A"/>
                                </w:rPr>
                                <w:t>for</w:t>
                              </w:r>
                              <w:r>
                                <w:rPr>
                                  <w:rFonts w:ascii="Times New Roman" w:hAnsi="Times New Roman"/>
                                  <w:b/>
                                  <w:i/>
                                  <w:color w:val="17365A"/>
                                  <w:spacing w:val="-11"/>
                                </w:rPr>
                                <w:t xml:space="preserve"> </w:t>
                              </w:r>
                              <w:r>
                                <w:rPr>
                                  <w:rFonts w:ascii="Times New Roman" w:hAnsi="Times New Roman"/>
                                  <w:b/>
                                  <w:i/>
                                  <w:color w:val="17365A"/>
                                </w:rPr>
                                <w:t>future</w:t>
                              </w:r>
                              <w:r>
                                <w:rPr>
                                  <w:rFonts w:ascii="Times New Roman" w:hAnsi="Times New Roman"/>
                                  <w:b/>
                                  <w:i/>
                                  <w:color w:val="17365A"/>
                                  <w:spacing w:val="-10"/>
                                </w:rPr>
                                <w:t xml:space="preserve"> </w:t>
                              </w:r>
                              <w:r>
                                <w:rPr>
                                  <w:rFonts w:ascii="Times New Roman" w:hAnsi="Times New Roman"/>
                                  <w:b/>
                                  <w:i/>
                                  <w:color w:val="17365A"/>
                                </w:rPr>
                                <w:t>sustainability.</w:t>
                              </w:r>
                              <w:r>
                                <w:rPr>
                                  <w:rFonts w:ascii="Times New Roman" w:hAnsi="Times New Roman"/>
                                  <w:b/>
                                  <w:i/>
                                  <w:color w:val="17365A"/>
                                  <w:spacing w:val="-10"/>
                                </w:rPr>
                                <w:t xml:space="preserve"> </w:t>
                              </w:r>
                              <w:r>
                                <w:rPr>
                                  <w:rFonts w:ascii="Times New Roman" w:hAnsi="Times New Roman"/>
                                  <w:b/>
                                  <w:i/>
                                  <w:color w:val="17365A"/>
                                </w:rPr>
                                <w:t>We</w:t>
                              </w:r>
                              <w:r>
                                <w:rPr>
                                  <w:rFonts w:ascii="Times New Roman" w:hAnsi="Times New Roman"/>
                                  <w:b/>
                                  <w:i/>
                                  <w:color w:val="17365A"/>
                                  <w:spacing w:val="-10"/>
                                </w:rPr>
                                <w:t xml:space="preserve"> </w:t>
                              </w:r>
                              <w:r>
                                <w:rPr>
                                  <w:rFonts w:ascii="Times New Roman" w:hAnsi="Times New Roman"/>
                                  <w:b/>
                                  <w:i/>
                                  <w:color w:val="17365A"/>
                                </w:rPr>
                                <w:t>see</w:t>
                              </w:r>
                              <w:r>
                                <w:rPr>
                                  <w:rFonts w:ascii="Times New Roman" w:hAnsi="Times New Roman"/>
                                  <w:b/>
                                  <w:i/>
                                  <w:color w:val="17365A"/>
                                  <w:spacing w:val="-10"/>
                                </w:rPr>
                                <w:t xml:space="preserve"> </w:t>
                              </w:r>
                              <w:r>
                                <w:rPr>
                                  <w:rFonts w:ascii="Times New Roman" w:hAnsi="Times New Roman"/>
                                  <w:b/>
                                  <w:i/>
                                  <w:color w:val="17365A"/>
                                </w:rPr>
                                <w:t>that</w:t>
                              </w:r>
                              <w:r>
                                <w:rPr>
                                  <w:rFonts w:ascii="Times New Roman" w:hAnsi="Times New Roman"/>
                                  <w:b/>
                                  <w:i/>
                                  <w:color w:val="17365A"/>
                                  <w:spacing w:val="-10"/>
                                </w:rPr>
                                <w:t xml:space="preserve"> </w:t>
                              </w:r>
                              <w:r>
                                <w:rPr>
                                  <w:rFonts w:ascii="Times New Roman" w:hAnsi="Times New Roman"/>
                                  <w:b/>
                                  <w:i/>
                                  <w:color w:val="17365A"/>
                                </w:rPr>
                                <w:t>good</w:t>
                              </w:r>
                              <w:r>
                                <w:rPr>
                                  <w:rFonts w:ascii="Times New Roman" w:hAnsi="Times New Roman"/>
                                  <w:b/>
                                  <w:i/>
                                  <w:color w:val="17365A"/>
                                  <w:spacing w:val="-10"/>
                                </w:rPr>
                                <w:t xml:space="preserve"> </w:t>
                              </w:r>
                              <w:r>
                                <w:rPr>
                                  <w:rFonts w:ascii="Times New Roman" w:hAnsi="Times New Roman"/>
                                  <w:b/>
                                  <w:i/>
                                  <w:color w:val="17365A"/>
                                </w:rPr>
                                <w:t>coordination needs to be maintained, and it would even be better if the Ministry of Home Aﬀairs and BAPPENAS,</w:t>
                              </w:r>
                              <w:r>
                                <w:rPr>
                                  <w:rFonts w:ascii="Times New Roman" w:hAnsi="Times New Roman"/>
                                  <w:b/>
                                  <w:i/>
                                  <w:color w:val="17365A"/>
                                  <w:spacing w:val="-2"/>
                                </w:rPr>
                                <w:t xml:space="preserve"> </w:t>
                              </w:r>
                              <w:r>
                                <w:rPr>
                                  <w:rFonts w:ascii="Times New Roman" w:hAnsi="Times New Roman"/>
                                  <w:b/>
                                  <w:i/>
                                  <w:color w:val="17365A"/>
                                </w:rPr>
                                <w:t>in the</w:t>
                              </w:r>
                              <w:r>
                                <w:rPr>
                                  <w:rFonts w:ascii="Times New Roman" w:hAnsi="Times New Roman"/>
                                  <w:b/>
                                  <w:i/>
                                  <w:color w:val="17365A"/>
                                  <w:spacing w:val="-3"/>
                                </w:rPr>
                                <w:t xml:space="preserve"> </w:t>
                              </w:r>
                              <w:r>
                                <w:rPr>
                                  <w:rFonts w:ascii="Times New Roman" w:hAnsi="Times New Roman"/>
                                  <w:b/>
                                  <w:i/>
                                  <w:color w:val="17365A"/>
                                </w:rPr>
                                <w:t>preparation of</w:t>
                              </w:r>
                              <w:r>
                                <w:rPr>
                                  <w:rFonts w:ascii="Times New Roman" w:hAnsi="Times New Roman"/>
                                  <w:b/>
                                  <w:i/>
                                  <w:color w:val="17365A"/>
                                  <w:spacing w:val="-2"/>
                                </w:rPr>
                                <w:t xml:space="preserve"> </w:t>
                              </w:r>
                              <w:r>
                                <w:rPr>
                                  <w:rFonts w:ascii="Times New Roman" w:hAnsi="Times New Roman"/>
                                  <w:b/>
                                  <w:i/>
                                  <w:color w:val="17365A"/>
                                </w:rPr>
                                <w:t>the</w:t>
                              </w:r>
                              <w:r>
                                <w:rPr>
                                  <w:rFonts w:ascii="Times New Roman" w:hAnsi="Times New Roman"/>
                                  <w:b/>
                                  <w:i/>
                                  <w:color w:val="17365A"/>
                                  <w:spacing w:val="-3"/>
                                </w:rPr>
                                <w:t xml:space="preserve"> </w:t>
                              </w:r>
                              <w:r>
                                <w:rPr>
                                  <w:rFonts w:ascii="Times New Roman" w:hAnsi="Times New Roman"/>
                                  <w:b/>
                                  <w:i/>
                                  <w:color w:val="17365A"/>
                                </w:rPr>
                                <w:t>plan,</w:t>
                              </w:r>
                              <w:r>
                                <w:rPr>
                                  <w:rFonts w:ascii="Times New Roman" w:hAnsi="Times New Roman"/>
                                  <w:b/>
                                  <w:i/>
                                  <w:color w:val="17365A"/>
                                  <w:spacing w:val="-2"/>
                                </w:rPr>
                                <w:t xml:space="preserve"> </w:t>
                              </w:r>
                              <w:r>
                                <w:rPr>
                                  <w:rFonts w:ascii="Times New Roman" w:hAnsi="Times New Roman"/>
                                  <w:b/>
                                  <w:i/>
                                  <w:color w:val="17365A"/>
                                </w:rPr>
                                <w:t>were</w:t>
                              </w:r>
                              <w:r>
                                <w:rPr>
                                  <w:rFonts w:ascii="Times New Roman" w:hAnsi="Times New Roman"/>
                                  <w:b/>
                                  <w:i/>
                                  <w:color w:val="17365A"/>
                                  <w:spacing w:val="-3"/>
                                </w:rPr>
                                <w:t xml:space="preserve"> </w:t>
                              </w:r>
                              <w:r>
                                <w:rPr>
                                  <w:rFonts w:ascii="Times New Roman" w:hAnsi="Times New Roman"/>
                                  <w:b/>
                                  <w:i/>
                                  <w:color w:val="17365A"/>
                                </w:rPr>
                                <w:t>also</w:t>
                              </w:r>
                              <w:r>
                                <w:rPr>
                                  <w:rFonts w:ascii="Times New Roman" w:hAnsi="Times New Roman"/>
                                  <w:b/>
                                  <w:i/>
                                  <w:color w:val="17365A"/>
                                  <w:spacing w:val="-2"/>
                                </w:rPr>
                                <w:t xml:space="preserve"> </w:t>
                              </w:r>
                              <w:r>
                                <w:rPr>
                                  <w:rFonts w:ascii="Times New Roman" w:hAnsi="Times New Roman"/>
                                  <w:b/>
                                  <w:i/>
                                  <w:color w:val="17365A"/>
                                </w:rPr>
                                <w:t>involved.</w:t>
                              </w:r>
                            </w:p>
                            <w:p w14:paraId="276A7F1B" w14:textId="77777777" w:rsidR="00BC24A8" w:rsidRDefault="00000000">
                              <w:pPr>
                                <w:spacing w:line="198" w:lineRule="exact"/>
                                <w:ind w:left="308"/>
                                <w:jc w:val="both"/>
                                <w:rPr>
                                  <w:i/>
                                  <w:sz w:val="18"/>
                                </w:rPr>
                              </w:pPr>
                              <w:r>
                                <w:rPr>
                                  <w:i/>
                                  <w:color w:val="767070"/>
                                  <w:sz w:val="18"/>
                                </w:rPr>
                                <w:t>(Interview</w:t>
                              </w:r>
                              <w:r>
                                <w:rPr>
                                  <w:i/>
                                  <w:color w:val="767070"/>
                                  <w:spacing w:val="-2"/>
                                  <w:sz w:val="18"/>
                                </w:rPr>
                                <w:t xml:space="preserve"> </w:t>
                              </w:r>
                              <w:r>
                                <w:rPr>
                                  <w:i/>
                                  <w:color w:val="767070"/>
                                  <w:sz w:val="18"/>
                                </w:rPr>
                                <w:t>with</w:t>
                              </w:r>
                              <w:r>
                                <w:rPr>
                                  <w:i/>
                                  <w:color w:val="767070"/>
                                  <w:spacing w:val="-2"/>
                                  <w:sz w:val="18"/>
                                </w:rPr>
                                <w:t xml:space="preserve"> </w:t>
                              </w:r>
                              <w:r>
                                <w:rPr>
                                  <w:i/>
                                  <w:color w:val="767070"/>
                                  <w:sz w:val="18"/>
                                </w:rPr>
                                <w:t>the</w:t>
                              </w:r>
                              <w:r>
                                <w:rPr>
                                  <w:i/>
                                  <w:color w:val="767070"/>
                                  <w:spacing w:val="-4"/>
                                  <w:sz w:val="18"/>
                                </w:rPr>
                                <w:t xml:space="preserve"> </w:t>
                              </w:r>
                              <w:r>
                                <w:rPr>
                                  <w:i/>
                                  <w:color w:val="767070"/>
                                  <w:sz w:val="18"/>
                                </w:rPr>
                                <w:t>Ministry</w:t>
                              </w:r>
                              <w:r>
                                <w:rPr>
                                  <w:i/>
                                  <w:color w:val="767070"/>
                                  <w:spacing w:val="-1"/>
                                  <w:sz w:val="18"/>
                                </w:rPr>
                                <w:t xml:space="preserve"> </w:t>
                              </w:r>
                              <w:r>
                                <w:rPr>
                                  <w:i/>
                                  <w:color w:val="767070"/>
                                  <w:sz w:val="18"/>
                                </w:rPr>
                                <w:t>of</w:t>
                              </w:r>
                              <w:r>
                                <w:rPr>
                                  <w:i/>
                                  <w:color w:val="767070"/>
                                  <w:spacing w:val="-3"/>
                                  <w:sz w:val="18"/>
                                </w:rPr>
                                <w:t xml:space="preserve"> </w:t>
                              </w:r>
                              <w:r>
                                <w:rPr>
                                  <w:i/>
                                  <w:color w:val="767070"/>
                                  <w:sz w:val="18"/>
                                </w:rPr>
                                <w:t>Finance,</w:t>
                              </w:r>
                              <w:r>
                                <w:rPr>
                                  <w:i/>
                                  <w:color w:val="767070"/>
                                  <w:spacing w:val="-4"/>
                                  <w:sz w:val="18"/>
                                </w:rPr>
                                <w:t xml:space="preserve"> </w:t>
                              </w:r>
                              <w:r>
                                <w:rPr>
                                  <w:i/>
                                  <w:color w:val="767070"/>
                                  <w:sz w:val="18"/>
                                </w:rPr>
                                <w:t>May</w:t>
                              </w:r>
                              <w:r>
                                <w:rPr>
                                  <w:i/>
                                  <w:color w:val="767070"/>
                                  <w:spacing w:val="-1"/>
                                  <w:sz w:val="18"/>
                                </w:rPr>
                                <w:t xml:space="preserve"> </w:t>
                              </w:r>
                              <w:r>
                                <w:rPr>
                                  <w:i/>
                                  <w:color w:val="767070"/>
                                  <w:sz w:val="18"/>
                                </w:rPr>
                                <w:t>19,</w:t>
                              </w:r>
                              <w:r>
                                <w:rPr>
                                  <w:i/>
                                  <w:color w:val="767070"/>
                                  <w:spacing w:val="-3"/>
                                  <w:sz w:val="18"/>
                                </w:rPr>
                                <w:t xml:space="preserve"> </w:t>
                              </w:r>
                              <w:r>
                                <w:rPr>
                                  <w:i/>
                                  <w:color w:val="767070"/>
                                  <w:spacing w:val="-2"/>
                                  <w:sz w:val="18"/>
                                </w:rPr>
                                <w:t>2025)</w:t>
                              </w:r>
                            </w:p>
                          </w:txbxContent>
                        </wps:txbx>
                        <wps:bodyPr wrap="square" lIns="0" tIns="0" rIns="0" bIns="0" rtlCol="0">
                          <a:noAutofit/>
                        </wps:bodyPr>
                      </wps:wsp>
                    </wpg:wgp>
                  </a:graphicData>
                </a:graphic>
              </wp:anchor>
            </w:drawing>
          </mc:Choice>
          <mc:Fallback>
            <w:pict>
              <v:group w14:anchorId="528DEBAB" id="Group 31" o:spid="_x0000_s1026" alt="We see the support from SKALA as very useful, especially when we can get direct input from local governments. This is important for future sustainability. We see that good coordination needs to be maintained, and it would even be better if the Ministry of Home Aﬀairs and BAPPENAS, in the preparation of the plan, were also involved.&#10;(Interview with the Ministry of Finance, May 19, 2025)&#10;" style="position:absolute;margin-left:75.3pt;margin-top:20.85pt;width:446pt;height:120.85pt;z-index:-15721472;mso-wrap-distance-left:0;mso-wrap-distance-right:0;mso-position-horizontal-relative:page" coordsize="56642,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">
                <v:shape id="Graphic 32" o:spid="_x0000_s1027" style="position:absolute;left:63;top:1585;width:56515;height:12319;visibility:visible;mso-wrap-style:square;v-text-anchor:top" coordsize="56515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" path="m,l5651499,r,1231620l,1231620,,xe" filled="f" strokecolor="#17365a"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8" type="#_x0000_t75" style="position:absolute;left:694;width:2233;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">
                  <v:imagedata r:id="rId16" o:title=""/>
                </v:shape>
                <v:shape id="Image 34" o:spid="_x0000_s1029" type="#_x0000_t75" style="position:absolute;left:53542;top:13290;width:2233;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">
                  <v:imagedata r:id="rId17" o:title=""/>
                </v:shape>
                <v:shapetype id="_x0000_t202" coordsize="21600,21600" o:spt="202" path="m,l,21600r21600,l21600,xe">
                  <v:stroke joinstyle="miter"/>
                  <v:path gradientshapeok="t" o:connecttype="rect"/>
                </v:shapetype>
                <v:shape id="Textbox 35" o:spid="_x0000_s1030" type="#_x0000_t202" style="position:absolute;width:56642;height:1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21ED24D" w14:textId="77777777" w:rsidR="00BC24A8" w:rsidRDefault="00BC24A8">
                        <w:pPr>
                          <w:spacing w:before="203"/>
                        </w:pPr>
                      </w:p>
                      <w:p w14:paraId="73769622" w14:textId="77777777" w:rsidR="00BC24A8" w:rsidRDefault="00000000">
                        <w:pPr>
                          <w:spacing w:line="290" w:lineRule="auto"/>
                          <w:ind w:left="308" w:right="302"/>
                          <w:jc w:val="both"/>
                          <w:rPr>
                            <w:rFonts w:ascii="Times New Roman" w:hAnsi="Times New Roman"/>
                            <w:b/>
                            <w:i/>
                          </w:rPr>
                        </w:pPr>
                        <w:r>
                          <w:rPr>
                            <w:rFonts w:ascii="Times New Roman" w:hAnsi="Times New Roman"/>
                            <w:b/>
                            <w:i/>
                            <w:color w:val="17365A"/>
                          </w:rPr>
                          <w:t>We</w:t>
                        </w:r>
                        <w:r>
                          <w:rPr>
                            <w:rFonts w:ascii="Times New Roman" w:hAnsi="Times New Roman"/>
                            <w:b/>
                            <w:i/>
                            <w:color w:val="17365A"/>
                            <w:spacing w:val="-9"/>
                          </w:rPr>
                          <w:t xml:space="preserve"> </w:t>
                        </w:r>
                        <w:r>
                          <w:rPr>
                            <w:rFonts w:ascii="Times New Roman" w:hAnsi="Times New Roman"/>
                            <w:b/>
                            <w:i/>
                            <w:color w:val="17365A"/>
                          </w:rPr>
                          <w:t>see</w:t>
                        </w:r>
                        <w:r>
                          <w:rPr>
                            <w:rFonts w:ascii="Times New Roman" w:hAnsi="Times New Roman"/>
                            <w:b/>
                            <w:i/>
                            <w:color w:val="17365A"/>
                            <w:spacing w:val="-7"/>
                          </w:rPr>
                          <w:t xml:space="preserve"> </w:t>
                        </w:r>
                        <w:r>
                          <w:rPr>
                            <w:rFonts w:ascii="Times New Roman" w:hAnsi="Times New Roman"/>
                            <w:b/>
                            <w:i/>
                            <w:color w:val="17365A"/>
                          </w:rPr>
                          <w:t>the</w:t>
                        </w:r>
                        <w:r>
                          <w:rPr>
                            <w:rFonts w:ascii="Times New Roman" w:hAnsi="Times New Roman"/>
                            <w:b/>
                            <w:i/>
                            <w:color w:val="17365A"/>
                            <w:spacing w:val="-9"/>
                          </w:rPr>
                          <w:t xml:space="preserve"> </w:t>
                        </w:r>
                        <w:r>
                          <w:rPr>
                            <w:rFonts w:ascii="Times New Roman" w:hAnsi="Times New Roman"/>
                            <w:b/>
                            <w:i/>
                            <w:color w:val="17365A"/>
                          </w:rPr>
                          <w:t>support</w:t>
                        </w:r>
                        <w:r>
                          <w:rPr>
                            <w:rFonts w:ascii="Times New Roman" w:hAnsi="Times New Roman"/>
                            <w:b/>
                            <w:i/>
                            <w:color w:val="17365A"/>
                            <w:spacing w:val="-9"/>
                          </w:rPr>
                          <w:t xml:space="preserve"> </w:t>
                        </w:r>
                        <w:r>
                          <w:rPr>
                            <w:rFonts w:ascii="Times New Roman" w:hAnsi="Times New Roman"/>
                            <w:b/>
                            <w:i/>
                            <w:color w:val="17365A"/>
                          </w:rPr>
                          <w:t>from</w:t>
                        </w:r>
                        <w:r>
                          <w:rPr>
                            <w:rFonts w:ascii="Times New Roman" w:hAnsi="Times New Roman"/>
                            <w:b/>
                            <w:i/>
                            <w:color w:val="17365A"/>
                            <w:spacing w:val="-8"/>
                          </w:rPr>
                          <w:t xml:space="preserve"> </w:t>
                        </w:r>
                        <w:r>
                          <w:rPr>
                            <w:rFonts w:ascii="Times New Roman" w:hAnsi="Times New Roman"/>
                            <w:b/>
                            <w:i/>
                            <w:color w:val="17365A"/>
                          </w:rPr>
                          <w:t>SKALA</w:t>
                        </w:r>
                        <w:r>
                          <w:rPr>
                            <w:rFonts w:ascii="Times New Roman" w:hAnsi="Times New Roman"/>
                            <w:b/>
                            <w:i/>
                            <w:color w:val="17365A"/>
                            <w:spacing w:val="-8"/>
                          </w:rPr>
                          <w:t xml:space="preserve"> </w:t>
                        </w:r>
                        <w:r>
                          <w:rPr>
                            <w:rFonts w:ascii="Times New Roman" w:hAnsi="Times New Roman"/>
                            <w:b/>
                            <w:i/>
                            <w:color w:val="17365A"/>
                          </w:rPr>
                          <w:t>as</w:t>
                        </w:r>
                        <w:r>
                          <w:rPr>
                            <w:rFonts w:ascii="Times New Roman" w:hAnsi="Times New Roman"/>
                            <w:b/>
                            <w:i/>
                            <w:color w:val="17365A"/>
                            <w:spacing w:val="-7"/>
                          </w:rPr>
                          <w:t xml:space="preserve"> </w:t>
                        </w:r>
                        <w:r>
                          <w:rPr>
                            <w:rFonts w:ascii="Times New Roman" w:hAnsi="Times New Roman"/>
                            <w:b/>
                            <w:i/>
                            <w:color w:val="17365A"/>
                          </w:rPr>
                          <w:t>very</w:t>
                        </w:r>
                        <w:r>
                          <w:rPr>
                            <w:rFonts w:ascii="Times New Roman" w:hAnsi="Times New Roman"/>
                            <w:b/>
                            <w:i/>
                            <w:color w:val="17365A"/>
                            <w:spacing w:val="-9"/>
                          </w:rPr>
                          <w:t xml:space="preserve"> </w:t>
                        </w:r>
                        <w:r>
                          <w:rPr>
                            <w:rFonts w:ascii="Times New Roman" w:hAnsi="Times New Roman"/>
                            <w:b/>
                            <w:i/>
                            <w:color w:val="17365A"/>
                          </w:rPr>
                          <w:t>useful,</w:t>
                        </w:r>
                        <w:r>
                          <w:rPr>
                            <w:rFonts w:ascii="Times New Roman" w:hAnsi="Times New Roman"/>
                            <w:b/>
                            <w:i/>
                            <w:color w:val="17365A"/>
                            <w:spacing w:val="-9"/>
                          </w:rPr>
                          <w:t xml:space="preserve"> </w:t>
                        </w:r>
                        <w:r>
                          <w:rPr>
                            <w:rFonts w:ascii="Times New Roman" w:hAnsi="Times New Roman"/>
                            <w:b/>
                            <w:i/>
                            <w:color w:val="17365A"/>
                          </w:rPr>
                          <w:t>especially</w:t>
                        </w:r>
                        <w:r>
                          <w:rPr>
                            <w:rFonts w:ascii="Times New Roman" w:hAnsi="Times New Roman"/>
                            <w:b/>
                            <w:i/>
                            <w:color w:val="17365A"/>
                            <w:spacing w:val="-9"/>
                          </w:rPr>
                          <w:t xml:space="preserve"> </w:t>
                        </w:r>
                        <w:r>
                          <w:rPr>
                            <w:rFonts w:ascii="Times New Roman" w:hAnsi="Times New Roman"/>
                            <w:b/>
                            <w:i/>
                            <w:color w:val="17365A"/>
                          </w:rPr>
                          <w:t>when</w:t>
                        </w:r>
                        <w:r>
                          <w:rPr>
                            <w:rFonts w:ascii="Times New Roman" w:hAnsi="Times New Roman"/>
                            <w:b/>
                            <w:i/>
                            <w:color w:val="17365A"/>
                            <w:spacing w:val="-7"/>
                          </w:rPr>
                          <w:t xml:space="preserve"> </w:t>
                        </w:r>
                        <w:r>
                          <w:rPr>
                            <w:rFonts w:ascii="Times New Roman" w:hAnsi="Times New Roman"/>
                            <w:b/>
                            <w:i/>
                            <w:color w:val="17365A"/>
                          </w:rPr>
                          <w:t>we</w:t>
                        </w:r>
                        <w:r>
                          <w:rPr>
                            <w:rFonts w:ascii="Times New Roman" w:hAnsi="Times New Roman"/>
                            <w:b/>
                            <w:i/>
                            <w:color w:val="17365A"/>
                            <w:spacing w:val="-9"/>
                          </w:rPr>
                          <w:t xml:space="preserve"> </w:t>
                        </w:r>
                        <w:r>
                          <w:rPr>
                            <w:rFonts w:ascii="Times New Roman" w:hAnsi="Times New Roman"/>
                            <w:b/>
                            <w:i/>
                            <w:color w:val="17365A"/>
                          </w:rPr>
                          <w:t>can</w:t>
                        </w:r>
                        <w:r>
                          <w:rPr>
                            <w:rFonts w:ascii="Times New Roman" w:hAnsi="Times New Roman"/>
                            <w:b/>
                            <w:i/>
                            <w:color w:val="17365A"/>
                            <w:spacing w:val="-7"/>
                          </w:rPr>
                          <w:t xml:space="preserve"> </w:t>
                        </w:r>
                        <w:r>
                          <w:rPr>
                            <w:rFonts w:ascii="Times New Roman" w:hAnsi="Times New Roman"/>
                            <w:b/>
                            <w:i/>
                            <w:color w:val="17365A"/>
                          </w:rPr>
                          <w:t>get</w:t>
                        </w:r>
                        <w:r>
                          <w:rPr>
                            <w:rFonts w:ascii="Times New Roman" w:hAnsi="Times New Roman"/>
                            <w:b/>
                            <w:i/>
                            <w:color w:val="17365A"/>
                            <w:spacing w:val="-9"/>
                          </w:rPr>
                          <w:t xml:space="preserve"> </w:t>
                        </w:r>
                        <w:r>
                          <w:rPr>
                            <w:rFonts w:ascii="Times New Roman" w:hAnsi="Times New Roman"/>
                            <w:b/>
                            <w:i/>
                            <w:color w:val="17365A"/>
                          </w:rPr>
                          <w:t>direct</w:t>
                        </w:r>
                        <w:r>
                          <w:rPr>
                            <w:rFonts w:ascii="Times New Roman" w:hAnsi="Times New Roman"/>
                            <w:b/>
                            <w:i/>
                            <w:color w:val="17365A"/>
                            <w:spacing w:val="-9"/>
                          </w:rPr>
                          <w:t xml:space="preserve"> </w:t>
                        </w:r>
                        <w:r>
                          <w:rPr>
                            <w:rFonts w:ascii="Times New Roman" w:hAnsi="Times New Roman"/>
                            <w:b/>
                            <w:i/>
                            <w:color w:val="17365A"/>
                          </w:rPr>
                          <w:t>input</w:t>
                        </w:r>
                        <w:r>
                          <w:rPr>
                            <w:rFonts w:ascii="Times New Roman" w:hAnsi="Times New Roman"/>
                            <w:b/>
                            <w:i/>
                            <w:color w:val="17365A"/>
                            <w:spacing w:val="-9"/>
                          </w:rPr>
                          <w:t xml:space="preserve"> </w:t>
                        </w:r>
                        <w:r>
                          <w:rPr>
                            <w:rFonts w:ascii="Times New Roman" w:hAnsi="Times New Roman"/>
                            <w:b/>
                            <w:i/>
                            <w:color w:val="17365A"/>
                          </w:rPr>
                          <w:t>from local</w:t>
                        </w:r>
                        <w:r>
                          <w:rPr>
                            <w:rFonts w:ascii="Times New Roman" w:hAnsi="Times New Roman"/>
                            <w:b/>
                            <w:i/>
                            <w:color w:val="17365A"/>
                            <w:spacing w:val="-10"/>
                          </w:rPr>
                          <w:t xml:space="preserve"> </w:t>
                        </w:r>
                        <w:r>
                          <w:rPr>
                            <w:rFonts w:ascii="Times New Roman" w:hAnsi="Times New Roman"/>
                            <w:b/>
                            <w:i/>
                            <w:color w:val="17365A"/>
                          </w:rPr>
                          <w:t>governments.</w:t>
                        </w:r>
                        <w:r>
                          <w:rPr>
                            <w:rFonts w:ascii="Times New Roman" w:hAnsi="Times New Roman"/>
                            <w:b/>
                            <w:i/>
                            <w:color w:val="17365A"/>
                            <w:spacing w:val="-10"/>
                          </w:rPr>
                          <w:t xml:space="preserve"> </w:t>
                        </w:r>
                        <w:r>
                          <w:rPr>
                            <w:rFonts w:ascii="Times New Roman" w:hAnsi="Times New Roman"/>
                            <w:b/>
                            <w:i/>
                            <w:color w:val="17365A"/>
                          </w:rPr>
                          <w:t>This</w:t>
                        </w:r>
                        <w:r>
                          <w:rPr>
                            <w:rFonts w:ascii="Times New Roman" w:hAnsi="Times New Roman"/>
                            <w:b/>
                            <w:i/>
                            <w:color w:val="17365A"/>
                            <w:spacing w:val="-8"/>
                          </w:rPr>
                          <w:t xml:space="preserve"> </w:t>
                        </w:r>
                        <w:r>
                          <w:rPr>
                            <w:rFonts w:ascii="Times New Roman" w:hAnsi="Times New Roman"/>
                            <w:b/>
                            <w:i/>
                            <w:color w:val="17365A"/>
                          </w:rPr>
                          <w:t>is</w:t>
                        </w:r>
                        <w:r>
                          <w:rPr>
                            <w:rFonts w:ascii="Times New Roman" w:hAnsi="Times New Roman"/>
                            <w:b/>
                            <w:i/>
                            <w:color w:val="17365A"/>
                            <w:spacing w:val="-11"/>
                          </w:rPr>
                          <w:t xml:space="preserve"> </w:t>
                        </w:r>
                        <w:r>
                          <w:rPr>
                            <w:rFonts w:ascii="Times New Roman" w:hAnsi="Times New Roman"/>
                            <w:b/>
                            <w:i/>
                            <w:color w:val="17365A"/>
                          </w:rPr>
                          <w:t>important</w:t>
                        </w:r>
                        <w:r>
                          <w:rPr>
                            <w:rFonts w:ascii="Times New Roman" w:hAnsi="Times New Roman"/>
                            <w:b/>
                            <w:i/>
                            <w:color w:val="17365A"/>
                            <w:spacing w:val="-10"/>
                          </w:rPr>
                          <w:t xml:space="preserve"> </w:t>
                        </w:r>
                        <w:r>
                          <w:rPr>
                            <w:rFonts w:ascii="Times New Roman" w:hAnsi="Times New Roman"/>
                            <w:b/>
                            <w:i/>
                            <w:color w:val="17365A"/>
                          </w:rPr>
                          <w:t>for</w:t>
                        </w:r>
                        <w:r>
                          <w:rPr>
                            <w:rFonts w:ascii="Times New Roman" w:hAnsi="Times New Roman"/>
                            <w:b/>
                            <w:i/>
                            <w:color w:val="17365A"/>
                            <w:spacing w:val="-11"/>
                          </w:rPr>
                          <w:t xml:space="preserve"> </w:t>
                        </w:r>
                        <w:r>
                          <w:rPr>
                            <w:rFonts w:ascii="Times New Roman" w:hAnsi="Times New Roman"/>
                            <w:b/>
                            <w:i/>
                            <w:color w:val="17365A"/>
                          </w:rPr>
                          <w:t>future</w:t>
                        </w:r>
                        <w:r>
                          <w:rPr>
                            <w:rFonts w:ascii="Times New Roman" w:hAnsi="Times New Roman"/>
                            <w:b/>
                            <w:i/>
                            <w:color w:val="17365A"/>
                            <w:spacing w:val="-10"/>
                          </w:rPr>
                          <w:t xml:space="preserve"> </w:t>
                        </w:r>
                        <w:r>
                          <w:rPr>
                            <w:rFonts w:ascii="Times New Roman" w:hAnsi="Times New Roman"/>
                            <w:b/>
                            <w:i/>
                            <w:color w:val="17365A"/>
                          </w:rPr>
                          <w:t>sustainability.</w:t>
                        </w:r>
                        <w:r>
                          <w:rPr>
                            <w:rFonts w:ascii="Times New Roman" w:hAnsi="Times New Roman"/>
                            <w:b/>
                            <w:i/>
                            <w:color w:val="17365A"/>
                            <w:spacing w:val="-10"/>
                          </w:rPr>
                          <w:t xml:space="preserve"> </w:t>
                        </w:r>
                        <w:r>
                          <w:rPr>
                            <w:rFonts w:ascii="Times New Roman" w:hAnsi="Times New Roman"/>
                            <w:b/>
                            <w:i/>
                            <w:color w:val="17365A"/>
                          </w:rPr>
                          <w:t>We</w:t>
                        </w:r>
                        <w:r>
                          <w:rPr>
                            <w:rFonts w:ascii="Times New Roman" w:hAnsi="Times New Roman"/>
                            <w:b/>
                            <w:i/>
                            <w:color w:val="17365A"/>
                            <w:spacing w:val="-10"/>
                          </w:rPr>
                          <w:t xml:space="preserve"> </w:t>
                        </w:r>
                        <w:r>
                          <w:rPr>
                            <w:rFonts w:ascii="Times New Roman" w:hAnsi="Times New Roman"/>
                            <w:b/>
                            <w:i/>
                            <w:color w:val="17365A"/>
                          </w:rPr>
                          <w:t>see</w:t>
                        </w:r>
                        <w:r>
                          <w:rPr>
                            <w:rFonts w:ascii="Times New Roman" w:hAnsi="Times New Roman"/>
                            <w:b/>
                            <w:i/>
                            <w:color w:val="17365A"/>
                            <w:spacing w:val="-10"/>
                          </w:rPr>
                          <w:t xml:space="preserve"> </w:t>
                        </w:r>
                        <w:r>
                          <w:rPr>
                            <w:rFonts w:ascii="Times New Roman" w:hAnsi="Times New Roman"/>
                            <w:b/>
                            <w:i/>
                            <w:color w:val="17365A"/>
                          </w:rPr>
                          <w:t>that</w:t>
                        </w:r>
                        <w:r>
                          <w:rPr>
                            <w:rFonts w:ascii="Times New Roman" w:hAnsi="Times New Roman"/>
                            <w:b/>
                            <w:i/>
                            <w:color w:val="17365A"/>
                            <w:spacing w:val="-10"/>
                          </w:rPr>
                          <w:t xml:space="preserve"> </w:t>
                        </w:r>
                        <w:r>
                          <w:rPr>
                            <w:rFonts w:ascii="Times New Roman" w:hAnsi="Times New Roman"/>
                            <w:b/>
                            <w:i/>
                            <w:color w:val="17365A"/>
                          </w:rPr>
                          <w:t>good</w:t>
                        </w:r>
                        <w:r>
                          <w:rPr>
                            <w:rFonts w:ascii="Times New Roman" w:hAnsi="Times New Roman"/>
                            <w:b/>
                            <w:i/>
                            <w:color w:val="17365A"/>
                            <w:spacing w:val="-10"/>
                          </w:rPr>
                          <w:t xml:space="preserve"> </w:t>
                        </w:r>
                        <w:r>
                          <w:rPr>
                            <w:rFonts w:ascii="Times New Roman" w:hAnsi="Times New Roman"/>
                            <w:b/>
                            <w:i/>
                            <w:color w:val="17365A"/>
                          </w:rPr>
                          <w:t>coordination needs to be maintained, and it would even be better if the Ministry of Home Aﬀairs and BAPPENAS,</w:t>
                        </w:r>
                        <w:r>
                          <w:rPr>
                            <w:rFonts w:ascii="Times New Roman" w:hAnsi="Times New Roman"/>
                            <w:b/>
                            <w:i/>
                            <w:color w:val="17365A"/>
                            <w:spacing w:val="-2"/>
                          </w:rPr>
                          <w:t xml:space="preserve"> </w:t>
                        </w:r>
                        <w:r>
                          <w:rPr>
                            <w:rFonts w:ascii="Times New Roman" w:hAnsi="Times New Roman"/>
                            <w:b/>
                            <w:i/>
                            <w:color w:val="17365A"/>
                          </w:rPr>
                          <w:t>in the</w:t>
                        </w:r>
                        <w:r>
                          <w:rPr>
                            <w:rFonts w:ascii="Times New Roman" w:hAnsi="Times New Roman"/>
                            <w:b/>
                            <w:i/>
                            <w:color w:val="17365A"/>
                            <w:spacing w:val="-3"/>
                          </w:rPr>
                          <w:t xml:space="preserve"> </w:t>
                        </w:r>
                        <w:r>
                          <w:rPr>
                            <w:rFonts w:ascii="Times New Roman" w:hAnsi="Times New Roman"/>
                            <w:b/>
                            <w:i/>
                            <w:color w:val="17365A"/>
                          </w:rPr>
                          <w:t>preparation of</w:t>
                        </w:r>
                        <w:r>
                          <w:rPr>
                            <w:rFonts w:ascii="Times New Roman" w:hAnsi="Times New Roman"/>
                            <w:b/>
                            <w:i/>
                            <w:color w:val="17365A"/>
                            <w:spacing w:val="-2"/>
                          </w:rPr>
                          <w:t xml:space="preserve"> </w:t>
                        </w:r>
                        <w:r>
                          <w:rPr>
                            <w:rFonts w:ascii="Times New Roman" w:hAnsi="Times New Roman"/>
                            <w:b/>
                            <w:i/>
                            <w:color w:val="17365A"/>
                          </w:rPr>
                          <w:t>the</w:t>
                        </w:r>
                        <w:r>
                          <w:rPr>
                            <w:rFonts w:ascii="Times New Roman" w:hAnsi="Times New Roman"/>
                            <w:b/>
                            <w:i/>
                            <w:color w:val="17365A"/>
                            <w:spacing w:val="-3"/>
                          </w:rPr>
                          <w:t xml:space="preserve"> </w:t>
                        </w:r>
                        <w:r>
                          <w:rPr>
                            <w:rFonts w:ascii="Times New Roman" w:hAnsi="Times New Roman"/>
                            <w:b/>
                            <w:i/>
                            <w:color w:val="17365A"/>
                          </w:rPr>
                          <w:t>plan,</w:t>
                        </w:r>
                        <w:r>
                          <w:rPr>
                            <w:rFonts w:ascii="Times New Roman" w:hAnsi="Times New Roman"/>
                            <w:b/>
                            <w:i/>
                            <w:color w:val="17365A"/>
                            <w:spacing w:val="-2"/>
                          </w:rPr>
                          <w:t xml:space="preserve"> </w:t>
                        </w:r>
                        <w:r>
                          <w:rPr>
                            <w:rFonts w:ascii="Times New Roman" w:hAnsi="Times New Roman"/>
                            <w:b/>
                            <w:i/>
                            <w:color w:val="17365A"/>
                          </w:rPr>
                          <w:t>were</w:t>
                        </w:r>
                        <w:r>
                          <w:rPr>
                            <w:rFonts w:ascii="Times New Roman" w:hAnsi="Times New Roman"/>
                            <w:b/>
                            <w:i/>
                            <w:color w:val="17365A"/>
                            <w:spacing w:val="-3"/>
                          </w:rPr>
                          <w:t xml:space="preserve"> </w:t>
                        </w:r>
                        <w:r>
                          <w:rPr>
                            <w:rFonts w:ascii="Times New Roman" w:hAnsi="Times New Roman"/>
                            <w:b/>
                            <w:i/>
                            <w:color w:val="17365A"/>
                          </w:rPr>
                          <w:t>also</w:t>
                        </w:r>
                        <w:r>
                          <w:rPr>
                            <w:rFonts w:ascii="Times New Roman" w:hAnsi="Times New Roman"/>
                            <w:b/>
                            <w:i/>
                            <w:color w:val="17365A"/>
                            <w:spacing w:val="-2"/>
                          </w:rPr>
                          <w:t xml:space="preserve"> </w:t>
                        </w:r>
                        <w:r>
                          <w:rPr>
                            <w:rFonts w:ascii="Times New Roman" w:hAnsi="Times New Roman"/>
                            <w:b/>
                            <w:i/>
                            <w:color w:val="17365A"/>
                          </w:rPr>
                          <w:t>involved.</w:t>
                        </w:r>
                      </w:p>
                      <w:p w14:paraId="276A7F1B" w14:textId="77777777" w:rsidR="00BC24A8" w:rsidRDefault="00000000">
                        <w:pPr>
                          <w:spacing w:line="198" w:lineRule="exact"/>
                          <w:ind w:left="308"/>
                          <w:jc w:val="both"/>
                          <w:rPr>
                            <w:i/>
                            <w:sz w:val="18"/>
                          </w:rPr>
                        </w:pPr>
                        <w:r>
                          <w:rPr>
                            <w:i/>
                            <w:color w:val="767070"/>
                            <w:sz w:val="18"/>
                          </w:rPr>
                          <w:t>(Interview</w:t>
                        </w:r>
                        <w:r>
                          <w:rPr>
                            <w:i/>
                            <w:color w:val="767070"/>
                            <w:spacing w:val="-2"/>
                            <w:sz w:val="18"/>
                          </w:rPr>
                          <w:t xml:space="preserve"> </w:t>
                        </w:r>
                        <w:r>
                          <w:rPr>
                            <w:i/>
                            <w:color w:val="767070"/>
                            <w:sz w:val="18"/>
                          </w:rPr>
                          <w:t>with</w:t>
                        </w:r>
                        <w:r>
                          <w:rPr>
                            <w:i/>
                            <w:color w:val="767070"/>
                            <w:spacing w:val="-2"/>
                            <w:sz w:val="18"/>
                          </w:rPr>
                          <w:t xml:space="preserve"> </w:t>
                        </w:r>
                        <w:r>
                          <w:rPr>
                            <w:i/>
                            <w:color w:val="767070"/>
                            <w:sz w:val="18"/>
                          </w:rPr>
                          <w:t>the</w:t>
                        </w:r>
                        <w:r>
                          <w:rPr>
                            <w:i/>
                            <w:color w:val="767070"/>
                            <w:spacing w:val="-4"/>
                            <w:sz w:val="18"/>
                          </w:rPr>
                          <w:t xml:space="preserve"> </w:t>
                        </w:r>
                        <w:r>
                          <w:rPr>
                            <w:i/>
                            <w:color w:val="767070"/>
                            <w:sz w:val="18"/>
                          </w:rPr>
                          <w:t>Ministry</w:t>
                        </w:r>
                        <w:r>
                          <w:rPr>
                            <w:i/>
                            <w:color w:val="767070"/>
                            <w:spacing w:val="-1"/>
                            <w:sz w:val="18"/>
                          </w:rPr>
                          <w:t xml:space="preserve"> </w:t>
                        </w:r>
                        <w:r>
                          <w:rPr>
                            <w:i/>
                            <w:color w:val="767070"/>
                            <w:sz w:val="18"/>
                          </w:rPr>
                          <w:t>of</w:t>
                        </w:r>
                        <w:r>
                          <w:rPr>
                            <w:i/>
                            <w:color w:val="767070"/>
                            <w:spacing w:val="-3"/>
                            <w:sz w:val="18"/>
                          </w:rPr>
                          <w:t xml:space="preserve"> </w:t>
                        </w:r>
                        <w:r>
                          <w:rPr>
                            <w:i/>
                            <w:color w:val="767070"/>
                            <w:sz w:val="18"/>
                          </w:rPr>
                          <w:t>Finance,</w:t>
                        </w:r>
                        <w:r>
                          <w:rPr>
                            <w:i/>
                            <w:color w:val="767070"/>
                            <w:spacing w:val="-4"/>
                            <w:sz w:val="18"/>
                          </w:rPr>
                          <w:t xml:space="preserve"> </w:t>
                        </w:r>
                        <w:r>
                          <w:rPr>
                            <w:i/>
                            <w:color w:val="767070"/>
                            <w:sz w:val="18"/>
                          </w:rPr>
                          <w:t>May</w:t>
                        </w:r>
                        <w:r>
                          <w:rPr>
                            <w:i/>
                            <w:color w:val="767070"/>
                            <w:spacing w:val="-1"/>
                            <w:sz w:val="18"/>
                          </w:rPr>
                          <w:t xml:space="preserve"> </w:t>
                        </w:r>
                        <w:r>
                          <w:rPr>
                            <w:i/>
                            <w:color w:val="767070"/>
                            <w:sz w:val="18"/>
                          </w:rPr>
                          <w:t>19,</w:t>
                        </w:r>
                        <w:r>
                          <w:rPr>
                            <w:i/>
                            <w:color w:val="767070"/>
                            <w:spacing w:val="-3"/>
                            <w:sz w:val="18"/>
                          </w:rPr>
                          <w:t xml:space="preserve"> </w:t>
                        </w:r>
                        <w:r>
                          <w:rPr>
                            <w:i/>
                            <w:color w:val="767070"/>
                            <w:spacing w:val="-2"/>
                            <w:sz w:val="18"/>
                          </w:rPr>
                          <w:t>2025)</w:t>
                        </w:r>
                      </w:p>
                    </w:txbxContent>
                  </v:textbox>
                </v:shape>
                <w10:wrap type="topAndBottom" anchorx="page"/>
              </v:group>
            </w:pict>
          </mc:Fallback>
        </mc:AlternateContent>
      </w:r>
    </w:p>
    <w:p w14:paraId="0DBFAA6F" w14:textId="77777777" w:rsidR="00BC24A8" w:rsidRDefault="00BC24A8">
      <w:pPr>
        <w:pStyle w:val="BodyText"/>
        <w:spacing w:before="12"/>
      </w:pPr>
    </w:p>
    <w:p w14:paraId="0CFA17BA" w14:textId="77777777" w:rsidR="00BC24A8" w:rsidRDefault="00000000">
      <w:pPr>
        <w:pStyle w:val="Heading5"/>
        <w:jc w:val="both"/>
      </w:pPr>
      <w:bookmarkStart w:id="99" w:name="_bookmark60"/>
      <w:bookmarkEnd w:id="99"/>
      <w:r>
        <w:rPr>
          <w:color w:val="767070"/>
        </w:rPr>
        <w:t>Table</w:t>
      </w:r>
      <w:r>
        <w:rPr>
          <w:color w:val="767070"/>
          <w:spacing w:val="-10"/>
        </w:rPr>
        <w:t xml:space="preserve"> </w:t>
      </w:r>
      <w:r>
        <w:rPr>
          <w:color w:val="767070"/>
        </w:rPr>
        <w:t>1:</w:t>
      </w:r>
      <w:r>
        <w:rPr>
          <w:color w:val="767070"/>
          <w:spacing w:val="-9"/>
        </w:rPr>
        <w:t xml:space="preserve"> </w:t>
      </w:r>
      <w:r>
        <w:rPr>
          <w:color w:val="767070"/>
        </w:rPr>
        <w:t>Number</w:t>
      </w:r>
      <w:r>
        <w:rPr>
          <w:color w:val="767070"/>
          <w:spacing w:val="-6"/>
        </w:rPr>
        <w:t xml:space="preserve"> </w:t>
      </w:r>
      <w:r>
        <w:rPr>
          <w:color w:val="767070"/>
        </w:rPr>
        <w:t>of</w:t>
      </w:r>
      <w:r>
        <w:rPr>
          <w:color w:val="767070"/>
          <w:spacing w:val="-10"/>
        </w:rPr>
        <w:t xml:space="preserve"> </w:t>
      </w:r>
      <w:r>
        <w:rPr>
          <w:color w:val="767070"/>
        </w:rPr>
        <w:t>DAU-SG</w:t>
      </w:r>
      <w:r>
        <w:rPr>
          <w:color w:val="767070"/>
          <w:spacing w:val="-6"/>
        </w:rPr>
        <w:t xml:space="preserve"> </w:t>
      </w:r>
      <w:r>
        <w:rPr>
          <w:color w:val="767070"/>
        </w:rPr>
        <w:t>budget</w:t>
      </w:r>
      <w:r>
        <w:rPr>
          <w:color w:val="767070"/>
          <w:spacing w:val="-8"/>
        </w:rPr>
        <w:t xml:space="preserve"> </w:t>
      </w:r>
      <w:r>
        <w:rPr>
          <w:color w:val="767070"/>
        </w:rPr>
        <w:t>categories</w:t>
      </w:r>
      <w:r>
        <w:rPr>
          <w:color w:val="767070"/>
          <w:spacing w:val="-6"/>
        </w:rPr>
        <w:t xml:space="preserve"> </w:t>
      </w:r>
      <w:r>
        <w:rPr>
          <w:color w:val="767070"/>
        </w:rPr>
        <w:t>based</w:t>
      </w:r>
      <w:r>
        <w:rPr>
          <w:color w:val="767070"/>
          <w:spacing w:val="-9"/>
        </w:rPr>
        <w:t xml:space="preserve"> </w:t>
      </w:r>
      <w:r>
        <w:rPr>
          <w:color w:val="767070"/>
        </w:rPr>
        <w:t>on</w:t>
      </w:r>
      <w:r>
        <w:rPr>
          <w:color w:val="767070"/>
          <w:spacing w:val="-8"/>
        </w:rPr>
        <w:t xml:space="preserve"> </w:t>
      </w:r>
      <w:r>
        <w:rPr>
          <w:color w:val="767070"/>
        </w:rPr>
        <w:t>annual</w:t>
      </w:r>
      <w:r>
        <w:rPr>
          <w:color w:val="767070"/>
          <w:spacing w:val="-6"/>
        </w:rPr>
        <w:t xml:space="preserve"> </w:t>
      </w:r>
      <w:r>
        <w:rPr>
          <w:color w:val="767070"/>
        </w:rPr>
        <w:t>MoF</w:t>
      </w:r>
      <w:r>
        <w:rPr>
          <w:color w:val="767070"/>
          <w:spacing w:val="-6"/>
        </w:rPr>
        <w:t xml:space="preserve"> </w:t>
      </w:r>
      <w:r>
        <w:rPr>
          <w:color w:val="767070"/>
          <w:spacing w:val="-2"/>
        </w:rPr>
        <w:t>regulations</w:t>
      </w:r>
    </w:p>
    <w:p w14:paraId="716D0545" w14:textId="77777777" w:rsidR="00BC24A8" w:rsidRDefault="00BC24A8">
      <w:pPr>
        <w:pStyle w:val="BodyText"/>
        <w:spacing w:before="12"/>
        <w:rPr>
          <w:rFonts w:ascii="Calibri"/>
          <w:b/>
          <w:sz w:val="19"/>
        </w:rPr>
      </w:pPr>
    </w:p>
    <w:tbl>
      <w:tblPr>
        <w:tblW w:w="0" w:type="auto"/>
        <w:tblInd w:w="154" w:type="dxa"/>
        <w:tblLayout w:type="fixed"/>
        <w:tblCellMar>
          <w:left w:w="0" w:type="dxa"/>
          <w:right w:w="0" w:type="dxa"/>
        </w:tblCellMar>
        <w:tblLook w:val="01E0" w:firstRow="1" w:lastRow="1" w:firstColumn="1" w:lastColumn="1" w:noHBand="0" w:noVBand="0"/>
      </w:tblPr>
      <w:tblGrid>
        <w:gridCol w:w="2255"/>
        <w:gridCol w:w="2176"/>
        <w:gridCol w:w="2254"/>
        <w:gridCol w:w="2336"/>
      </w:tblGrid>
      <w:tr w:rsidR="00BC24A8" w14:paraId="30528A67" w14:textId="77777777">
        <w:trPr>
          <w:trHeight w:val="403"/>
        </w:trPr>
        <w:tc>
          <w:tcPr>
            <w:tcW w:w="9021" w:type="dxa"/>
            <w:gridSpan w:val="4"/>
            <w:shd w:val="clear" w:color="auto" w:fill="17365A"/>
          </w:tcPr>
          <w:p w14:paraId="7E702BF0" w14:textId="77777777" w:rsidR="00BC24A8" w:rsidRDefault="00000000">
            <w:pPr>
              <w:pStyle w:val="TableParagraph"/>
              <w:spacing w:before="64"/>
              <w:ind w:left="2362"/>
              <w:rPr>
                <w:sz w:val="20"/>
              </w:rPr>
            </w:pPr>
            <w:r>
              <w:rPr>
                <w:color w:val="FFFFFF"/>
                <w:sz w:val="20"/>
              </w:rPr>
              <w:t>Change</w:t>
            </w:r>
            <w:r>
              <w:rPr>
                <w:color w:val="FFFFFF"/>
                <w:spacing w:val="-5"/>
                <w:sz w:val="20"/>
              </w:rPr>
              <w:t xml:space="preserve"> </w:t>
            </w:r>
            <w:r>
              <w:rPr>
                <w:color w:val="FFFFFF"/>
                <w:sz w:val="20"/>
              </w:rPr>
              <w:t>in</w:t>
            </w:r>
            <w:r>
              <w:rPr>
                <w:color w:val="FFFFFF"/>
                <w:spacing w:val="-6"/>
                <w:sz w:val="20"/>
              </w:rPr>
              <w:t xml:space="preserve"> </w:t>
            </w:r>
            <w:r>
              <w:rPr>
                <w:color w:val="FFFFFF"/>
                <w:sz w:val="20"/>
              </w:rPr>
              <w:t>the</w:t>
            </w:r>
            <w:r>
              <w:rPr>
                <w:color w:val="FFFFFF"/>
                <w:spacing w:val="-7"/>
                <w:sz w:val="20"/>
              </w:rPr>
              <w:t xml:space="preserve"> </w:t>
            </w:r>
            <w:r>
              <w:rPr>
                <w:color w:val="FFFFFF"/>
                <w:sz w:val="20"/>
              </w:rPr>
              <w:t>number</w:t>
            </w:r>
            <w:r>
              <w:rPr>
                <w:color w:val="FFFFFF"/>
                <w:spacing w:val="-5"/>
                <w:sz w:val="20"/>
              </w:rPr>
              <w:t xml:space="preserve"> </w:t>
            </w:r>
            <w:r>
              <w:rPr>
                <w:color w:val="FFFFFF"/>
                <w:sz w:val="20"/>
              </w:rPr>
              <w:t>of</w:t>
            </w:r>
            <w:r>
              <w:rPr>
                <w:color w:val="FFFFFF"/>
                <w:spacing w:val="-6"/>
                <w:sz w:val="20"/>
              </w:rPr>
              <w:t xml:space="preserve"> </w:t>
            </w:r>
            <w:r>
              <w:rPr>
                <w:color w:val="FFFFFF"/>
                <w:sz w:val="20"/>
              </w:rPr>
              <w:t>activity</w:t>
            </w:r>
            <w:r>
              <w:rPr>
                <w:color w:val="FFFFFF"/>
                <w:spacing w:val="-6"/>
                <w:sz w:val="20"/>
              </w:rPr>
              <w:t xml:space="preserve"> </w:t>
            </w:r>
            <w:r>
              <w:rPr>
                <w:color w:val="FFFFFF"/>
                <w:sz w:val="20"/>
              </w:rPr>
              <w:t>budget</w:t>
            </w:r>
            <w:r>
              <w:rPr>
                <w:color w:val="FFFFFF"/>
                <w:spacing w:val="-4"/>
                <w:sz w:val="20"/>
              </w:rPr>
              <w:t xml:space="preserve"> </w:t>
            </w:r>
            <w:r>
              <w:rPr>
                <w:color w:val="FFFFFF"/>
                <w:sz w:val="20"/>
              </w:rPr>
              <w:t>codes</w:t>
            </w:r>
            <w:r>
              <w:rPr>
                <w:color w:val="FFFFFF"/>
                <w:spacing w:val="-7"/>
                <w:sz w:val="20"/>
              </w:rPr>
              <w:t xml:space="preserve"> </w:t>
            </w:r>
            <w:r>
              <w:rPr>
                <w:color w:val="FFFFFF"/>
                <w:sz w:val="20"/>
              </w:rPr>
              <w:t>based</w:t>
            </w:r>
            <w:r>
              <w:rPr>
                <w:color w:val="FFFFFF"/>
                <w:spacing w:val="-4"/>
                <w:sz w:val="20"/>
              </w:rPr>
              <w:t xml:space="preserve"> </w:t>
            </w:r>
            <w:r>
              <w:rPr>
                <w:color w:val="FFFFFF"/>
                <w:sz w:val="20"/>
              </w:rPr>
              <w:t>on</w:t>
            </w:r>
            <w:r>
              <w:rPr>
                <w:color w:val="FFFFFF"/>
                <w:spacing w:val="-7"/>
                <w:sz w:val="20"/>
              </w:rPr>
              <w:t xml:space="preserve"> </w:t>
            </w:r>
            <w:r>
              <w:rPr>
                <w:color w:val="FFFFFF"/>
                <w:sz w:val="20"/>
              </w:rPr>
              <w:t>regulatory</w:t>
            </w:r>
            <w:r>
              <w:rPr>
                <w:color w:val="FFFFFF"/>
                <w:spacing w:val="-5"/>
                <w:sz w:val="20"/>
              </w:rPr>
              <w:t xml:space="preserve"> </w:t>
            </w:r>
            <w:r>
              <w:rPr>
                <w:color w:val="FFFFFF"/>
                <w:spacing w:val="-2"/>
                <w:sz w:val="20"/>
              </w:rPr>
              <w:t>updates</w:t>
            </w:r>
          </w:p>
        </w:tc>
      </w:tr>
      <w:tr w:rsidR="00BC24A8" w14:paraId="22F485CB" w14:textId="77777777">
        <w:trPr>
          <w:trHeight w:val="254"/>
        </w:trPr>
        <w:tc>
          <w:tcPr>
            <w:tcW w:w="2255" w:type="dxa"/>
            <w:tcBorders>
              <w:bottom w:val="single" w:sz="4" w:space="0" w:color="BEBEBE"/>
            </w:tcBorders>
          </w:tcPr>
          <w:p w14:paraId="699460C4" w14:textId="77777777" w:rsidR="00BC24A8" w:rsidRDefault="00000000">
            <w:pPr>
              <w:pStyle w:val="TableParagraph"/>
              <w:spacing w:before="1"/>
              <w:ind w:left="109"/>
              <w:rPr>
                <w:sz w:val="18"/>
              </w:rPr>
            </w:pPr>
            <w:r>
              <w:rPr>
                <w:sz w:val="18"/>
              </w:rPr>
              <w:t>DAU</w:t>
            </w:r>
            <w:r>
              <w:rPr>
                <w:spacing w:val="-5"/>
                <w:sz w:val="18"/>
              </w:rPr>
              <w:t xml:space="preserve"> </w:t>
            </w:r>
            <w:r>
              <w:rPr>
                <w:sz w:val="18"/>
              </w:rPr>
              <w:t>SG</w:t>
            </w:r>
            <w:r>
              <w:rPr>
                <w:spacing w:val="-3"/>
                <w:sz w:val="18"/>
              </w:rPr>
              <w:t xml:space="preserve"> </w:t>
            </w:r>
            <w:r>
              <w:rPr>
                <w:spacing w:val="-2"/>
                <w:sz w:val="18"/>
              </w:rPr>
              <w:t>Sector</w:t>
            </w:r>
          </w:p>
        </w:tc>
        <w:tc>
          <w:tcPr>
            <w:tcW w:w="2176" w:type="dxa"/>
            <w:tcBorders>
              <w:bottom w:val="single" w:sz="4" w:space="0" w:color="BEBEBE"/>
            </w:tcBorders>
          </w:tcPr>
          <w:p w14:paraId="7C5126C0" w14:textId="77777777" w:rsidR="00BC24A8" w:rsidRDefault="00000000">
            <w:pPr>
              <w:pStyle w:val="TableParagraph"/>
              <w:spacing w:before="1"/>
              <w:ind w:left="107"/>
              <w:rPr>
                <w:sz w:val="18"/>
              </w:rPr>
            </w:pPr>
            <w:r>
              <w:rPr>
                <w:sz w:val="18"/>
              </w:rPr>
              <w:t>MoF</w:t>
            </w:r>
            <w:r>
              <w:rPr>
                <w:spacing w:val="-7"/>
                <w:sz w:val="18"/>
              </w:rPr>
              <w:t xml:space="preserve"> </w:t>
            </w:r>
            <w:r>
              <w:rPr>
                <w:sz w:val="18"/>
              </w:rPr>
              <w:t>Regulation</w:t>
            </w:r>
            <w:r>
              <w:rPr>
                <w:spacing w:val="-4"/>
                <w:sz w:val="18"/>
              </w:rPr>
              <w:t xml:space="preserve"> </w:t>
            </w:r>
            <w:r>
              <w:rPr>
                <w:spacing w:val="-2"/>
                <w:sz w:val="18"/>
              </w:rPr>
              <w:t>212/2022</w:t>
            </w:r>
          </w:p>
        </w:tc>
        <w:tc>
          <w:tcPr>
            <w:tcW w:w="2254" w:type="dxa"/>
            <w:tcBorders>
              <w:bottom w:val="single" w:sz="4" w:space="0" w:color="BEBEBE"/>
            </w:tcBorders>
          </w:tcPr>
          <w:p w14:paraId="50489500" w14:textId="77777777" w:rsidR="00BC24A8" w:rsidRDefault="00000000">
            <w:pPr>
              <w:pStyle w:val="TableParagraph"/>
              <w:spacing w:before="1"/>
              <w:ind w:left="185"/>
              <w:rPr>
                <w:sz w:val="18"/>
              </w:rPr>
            </w:pPr>
            <w:r>
              <w:rPr>
                <w:sz w:val="18"/>
              </w:rPr>
              <w:t>MoF</w:t>
            </w:r>
            <w:r>
              <w:rPr>
                <w:spacing w:val="-7"/>
                <w:sz w:val="18"/>
              </w:rPr>
              <w:t xml:space="preserve"> </w:t>
            </w:r>
            <w:r>
              <w:rPr>
                <w:sz w:val="18"/>
              </w:rPr>
              <w:t>Regulation</w:t>
            </w:r>
            <w:r>
              <w:rPr>
                <w:spacing w:val="-4"/>
                <w:sz w:val="18"/>
              </w:rPr>
              <w:t xml:space="preserve"> </w:t>
            </w:r>
            <w:r>
              <w:rPr>
                <w:spacing w:val="-2"/>
                <w:sz w:val="18"/>
              </w:rPr>
              <w:t>110/2023</w:t>
            </w:r>
          </w:p>
        </w:tc>
        <w:tc>
          <w:tcPr>
            <w:tcW w:w="2336" w:type="dxa"/>
            <w:tcBorders>
              <w:bottom w:val="single" w:sz="4" w:space="0" w:color="BEBEBE"/>
            </w:tcBorders>
          </w:tcPr>
          <w:p w14:paraId="0B890795" w14:textId="77777777" w:rsidR="00BC24A8" w:rsidRDefault="00000000">
            <w:pPr>
              <w:pStyle w:val="TableParagraph"/>
              <w:spacing w:before="1"/>
              <w:ind w:left="185"/>
              <w:rPr>
                <w:sz w:val="18"/>
              </w:rPr>
            </w:pPr>
            <w:r>
              <w:rPr>
                <w:sz w:val="18"/>
              </w:rPr>
              <w:t>MoF</w:t>
            </w:r>
            <w:r>
              <w:rPr>
                <w:spacing w:val="-7"/>
                <w:sz w:val="18"/>
              </w:rPr>
              <w:t xml:space="preserve"> </w:t>
            </w:r>
            <w:r>
              <w:rPr>
                <w:sz w:val="18"/>
              </w:rPr>
              <w:t>Regulation</w:t>
            </w:r>
            <w:r>
              <w:rPr>
                <w:spacing w:val="-4"/>
                <w:sz w:val="18"/>
              </w:rPr>
              <w:t xml:space="preserve"> </w:t>
            </w:r>
            <w:r>
              <w:rPr>
                <w:spacing w:val="-2"/>
                <w:sz w:val="18"/>
              </w:rPr>
              <w:t>102/2024</w:t>
            </w:r>
          </w:p>
        </w:tc>
      </w:tr>
      <w:tr w:rsidR="00BC24A8" w14:paraId="797CD17F" w14:textId="77777777">
        <w:trPr>
          <w:trHeight w:val="256"/>
        </w:trPr>
        <w:tc>
          <w:tcPr>
            <w:tcW w:w="2255" w:type="dxa"/>
            <w:tcBorders>
              <w:top w:val="single" w:sz="4" w:space="0" w:color="BEBEBE"/>
              <w:bottom w:val="single" w:sz="4" w:space="0" w:color="BEBEBE"/>
            </w:tcBorders>
          </w:tcPr>
          <w:p w14:paraId="19BD8C19" w14:textId="77777777" w:rsidR="00BC24A8" w:rsidRDefault="00000000">
            <w:pPr>
              <w:pStyle w:val="TableParagraph"/>
              <w:spacing w:before="3"/>
              <w:ind w:left="109"/>
              <w:rPr>
                <w:sz w:val="18"/>
              </w:rPr>
            </w:pPr>
            <w:r>
              <w:rPr>
                <w:spacing w:val="-2"/>
                <w:sz w:val="18"/>
              </w:rPr>
              <w:t>Education</w:t>
            </w:r>
          </w:p>
        </w:tc>
        <w:tc>
          <w:tcPr>
            <w:tcW w:w="2176" w:type="dxa"/>
            <w:tcBorders>
              <w:top w:val="single" w:sz="4" w:space="0" w:color="BEBEBE"/>
              <w:bottom w:val="single" w:sz="4" w:space="0" w:color="BEBEBE"/>
            </w:tcBorders>
          </w:tcPr>
          <w:p w14:paraId="17B45C46" w14:textId="77777777" w:rsidR="00BC24A8" w:rsidRDefault="00000000">
            <w:pPr>
              <w:pStyle w:val="TableParagraph"/>
              <w:spacing w:before="3"/>
              <w:ind w:left="107"/>
              <w:rPr>
                <w:sz w:val="18"/>
              </w:rPr>
            </w:pPr>
            <w:r>
              <w:rPr>
                <w:spacing w:val="-4"/>
                <w:sz w:val="18"/>
              </w:rPr>
              <w:t>1086</w:t>
            </w:r>
          </w:p>
        </w:tc>
        <w:tc>
          <w:tcPr>
            <w:tcW w:w="2254" w:type="dxa"/>
            <w:tcBorders>
              <w:top w:val="single" w:sz="4" w:space="0" w:color="BEBEBE"/>
              <w:bottom w:val="single" w:sz="4" w:space="0" w:color="BEBEBE"/>
            </w:tcBorders>
          </w:tcPr>
          <w:p w14:paraId="7D449DF3" w14:textId="77777777" w:rsidR="00BC24A8" w:rsidRDefault="00000000">
            <w:pPr>
              <w:pStyle w:val="TableParagraph"/>
              <w:spacing w:before="3"/>
              <w:ind w:left="185"/>
              <w:rPr>
                <w:sz w:val="18"/>
              </w:rPr>
            </w:pPr>
            <w:r>
              <w:rPr>
                <w:spacing w:val="-5"/>
                <w:sz w:val="18"/>
              </w:rPr>
              <w:t>977</w:t>
            </w:r>
          </w:p>
        </w:tc>
        <w:tc>
          <w:tcPr>
            <w:tcW w:w="2336" w:type="dxa"/>
            <w:tcBorders>
              <w:top w:val="single" w:sz="4" w:space="0" w:color="BEBEBE"/>
              <w:bottom w:val="single" w:sz="4" w:space="0" w:color="BEBEBE"/>
            </w:tcBorders>
          </w:tcPr>
          <w:p w14:paraId="4C6C8024" w14:textId="77777777" w:rsidR="00BC24A8" w:rsidRDefault="00000000">
            <w:pPr>
              <w:pStyle w:val="TableParagraph"/>
              <w:spacing w:before="3"/>
              <w:ind w:left="185"/>
              <w:rPr>
                <w:sz w:val="18"/>
              </w:rPr>
            </w:pPr>
            <w:r>
              <w:rPr>
                <w:spacing w:val="-5"/>
                <w:sz w:val="18"/>
              </w:rPr>
              <w:t>862</w:t>
            </w:r>
          </w:p>
        </w:tc>
      </w:tr>
      <w:tr w:rsidR="00BC24A8" w14:paraId="0A70B9C5" w14:textId="77777777">
        <w:trPr>
          <w:trHeight w:val="217"/>
        </w:trPr>
        <w:tc>
          <w:tcPr>
            <w:tcW w:w="2255" w:type="dxa"/>
            <w:tcBorders>
              <w:top w:val="single" w:sz="4" w:space="0" w:color="BEBEBE"/>
            </w:tcBorders>
          </w:tcPr>
          <w:p w14:paraId="447DEEF8" w14:textId="77777777" w:rsidR="00BC24A8" w:rsidRDefault="00000000">
            <w:pPr>
              <w:pStyle w:val="TableParagraph"/>
              <w:spacing w:before="1" w:line="196" w:lineRule="exact"/>
              <w:ind w:left="109"/>
              <w:rPr>
                <w:sz w:val="18"/>
              </w:rPr>
            </w:pPr>
            <w:r>
              <w:rPr>
                <w:spacing w:val="-2"/>
                <w:sz w:val="18"/>
              </w:rPr>
              <w:t>Health</w:t>
            </w:r>
          </w:p>
        </w:tc>
        <w:tc>
          <w:tcPr>
            <w:tcW w:w="2176" w:type="dxa"/>
            <w:tcBorders>
              <w:top w:val="single" w:sz="4" w:space="0" w:color="BEBEBE"/>
            </w:tcBorders>
          </w:tcPr>
          <w:p w14:paraId="2E45876C" w14:textId="77777777" w:rsidR="00BC24A8" w:rsidRDefault="00000000">
            <w:pPr>
              <w:pStyle w:val="TableParagraph"/>
              <w:spacing w:before="1" w:line="196" w:lineRule="exact"/>
              <w:ind w:left="107"/>
              <w:rPr>
                <w:sz w:val="18"/>
              </w:rPr>
            </w:pPr>
            <w:r>
              <w:rPr>
                <w:spacing w:val="-5"/>
                <w:sz w:val="18"/>
              </w:rPr>
              <w:t>375</w:t>
            </w:r>
          </w:p>
        </w:tc>
        <w:tc>
          <w:tcPr>
            <w:tcW w:w="2254" w:type="dxa"/>
            <w:tcBorders>
              <w:top w:val="single" w:sz="4" w:space="0" w:color="BEBEBE"/>
            </w:tcBorders>
          </w:tcPr>
          <w:p w14:paraId="3C690038" w14:textId="77777777" w:rsidR="00BC24A8" w:rsidRDefault="00000000">
            <w:pPr>
              <w:pStyle w:val="TableParagraph"/>
              <w:spacing w:before="1" w:line="196" w:lineRule="exact"/>
              <w:ind w:left="185"/>
              <w:rPr>
                <w:sz w:val="18"/>
              </w:rPr>
            </w:pPr>
            <w:r>
              <w:rPr>
                <w:spacing w:val="-5"/>
                <w:sz w:val="18"/>
              </w:rPr>
              <w:t>291</w:t>
            </w:r>
          </w:p>
        </w:tc>
        <w:tc>
          <w:tcPr>
            <w:tcW w:w="2336" w:type="dxa"/>
            <w:tcBorders>
              <w:top w:val="single" w:sz="4" w:space="0" w:color="BEBEBE"/>
            </w:tcBorders>
          </w:tcPr>
          <w:p w14:paraId="233A30D9" w14:textId="77777777" w:rsidR="00BC24A8" w:rsidRDefault="00000000">
            <w:pPr>
              <w:pStyle w:val="TableParagraph"/>
              <w:spacing w:before="1" w:line="196" w:lineRule="exact"/>
              <w:ind w:left="185"/>
              <w:rPr>
                <w:sz w:val="18"/>
              </w:rPr>
            </w:pPr>
            <w:r>
              <w:rPr>
                <w:spacing w:val="-5"/>
                <w:sz w:val="18"/>
              </w:rPr>
              <w:t>255</w:t>
            </w:r>
          </w:p>
        </w:tc>
      </w:tr>
    </w:tbl>
    <w:p w14:paraId="2193723E" w14:textId="77777777" w:rsidR="00BC24A8" w:rsidRDefault="00BC24A8">
      <w:pPr>
        <w:pStyle w:val="BodyText"/>
        <w:spacing w:before="1"/>
        <w:rPr>
          <w:rFonts w:ascii="Calibri"/>
          <w:b/>
          <w:sz w:val="3"/>
        </w:rPr>
      </w:pPr>
    </w:p>
    <w:tbl>
      <w:tblPr>
        <w:tblW w:w="0" w:type="auto"/>
        <w:tblInd w:w="136" w:type="dxa"/>
        <w:tblLayout w:type="fixed"/>
        <w:tblCellMar>
          <w:left w:w="0" w:type="dxa"/>
          <w:right w:w="0" w:type="dxa"/>
        </w:tblCellMar>
        <w:tblLook w:val="01E0" w:firstRow="1" w:lastRow="1" w:firstColumn="1" w:lastColumn="1" w:noHBand="0" w:noVBand="0"/>
      </w:tblPr>
      <w:tblGrid>
        <w:gridCol w:w="2272"/>
        <w:gridCol w:w="2253"/>
        <w:gridCol w:w="2254"/>
        <w:gridCol w:w="2273"/>
      </w:tblGrid>
      <w:tr w:rsidR="00BC24A8" w14:paraId="24818BF3" w14:textId="77777777">
        <w:trPr>
          <w:trHeight w:val="254"/>
        </w:trPr>
        <w:tc>
          <w:tcPr>
            <w:tcW w:w="2272" w:type="dxa"/>
            <w:tcBorders>
              <w:top w:val="single" w:sz="4" w:space="0" w:color="BEBEBE"/>
            </w:tcBorders>
          </w:tcPr>
          <w:p w14:paraId="3092666D" w14:textId="77777777" w:rsidR="00BC24A8" w:rsidRDefault="00000000">
            <w:pPr>
              <w:pStyle w:val="TableParagraph"/>
              <w:spacing w:before="1"/>
              <w:ind w:left="126"/>
              <w:rPr>
                <w:sz w:val="18"/>
              </w:rPr>
            </w:pPr>
            <w:r>
              <w:rPr>
                <w:sz w:val="18"/>
              </w:rPr>
              <w:t>Public</w:t>
            </w:r>
            <w:r>
              <w:rPr>
                <w:spacing w:val="-3"/>
                <w:sz w:val="18"/>
              </w:rPr>
              <w:t xml:space="preserve"> </w:t>
            </w:r>
            <w:r>
              <w:rPr>
                <w:spacing w:val="-2"/>
                <w:sz w:val="18"/>
              </w:rPr>
              <w:t>Works</w:t>
            </w:r>
          </w:p>
        </w:tc>
        <w:tc>
          <w:tcPr>
            <w:tcW w:w="2253" w:type="dxa"/>
            <w:tcBorders>
              <w:top w:val="single" w:sz="4" w:space="0" w:color="BEBEBE"/>
            </w:tcBorders>
          </w:tcPr>
          <w:p w14:paraId="7B703C62" w14:textId="77777777" w:rsidR="00BC24A8" w:rsidRDefault="00000000">
            <w:pPr>
              <w:pStyle w:val="TableParagraph"/>
              <w:spacing w:before="1"/>
              <w:ind w:left="108"/>
              <w:rPr>
                <w:sz w:val="18"/>
              </w:rPr>
            </w:pPr>
            <w:r>
              <w:rPr>
                <w:spacing w:val="-5"/>
                <w:sz w:val="18"/>
              </w:rPr>
              <w:t>383</w:t>
            </w:r>
          </w:p>
        </w:tc>
        <w:tc>
          <w:tcPr>
            <w:tcW w:w="2254" w:type="dxa"/>
            <w:tcBorders>
              <w:top w:val="single" w:sz="4" w:space="0" w:color="BEBEBE"/>
            </w:tcBorders>
          </w:tcPr>
          <w:p w14:paraId="1BC9852C" w14:textId="77777777" w:rsidR="00BC24A8" w:rsidRDefault="00000000">
            <w:pPr>
              <w:pStyle w:val="TableParagraph"/>
              <w:spacing w:before="1"/>
              <w:ind w:left="109"/>
              <w:rPr>
                <w:sz w:val="18"/>
              </w:rPr>
            </w:pPr>
            <w:r>
              <w:rPr>
                <w:spacing w:val="-5"/>
                <w:sz w:val="18"/>
              </w:rPr>
              <w:t>383</w:t>
            </w:r>
          </w:p>
        </w:tc>
        <w:tc>
          <w:tcPr>
            <w:tcW w:w="2273" w:type="dxa"/>
            <w:tcBorders>
              <w:top w:val="single" w:sz="4" w:space="0" w:color="BEBEBE"/>
            </w:tcBorders>
          </w:tcPr>
          <w:p w14:paraId="1D06AF58" w14:textId="77777777" w:rsidR="00BC24A8" w:rsidRDefault="00000000">
            <w:pPr>
              <w:pStyle w:val="TableParagraph"/>
              <w:spacing w:before="1"/>
              <w:ind w:left="108"/>
              <w:rPr>
                <w:sz w:val="18"/>
              </w:rPr>
            </w:pPr>
            <w:r>
              <w:rPr>
                <w:spacing w:val="-5"/>
                <w:sz w:val="18"/>
              </w:rPr>
              <w:t>346</w:t>
            </w:r>
          </w:p>
        </w:tc>
      </w:tr>
      <w:tr w:rsidR="00BC24A8" w14:paraId="5A5356B1" w14:textId="77777777">
        <w:trPr>
          <w:trHeight w:val="292"/>
        </w:trPr>
        <w:tc>
          <w:tcPr>
            <w:tcW w:w="2272" w:type="dxa"/>
            <w:tcBorders>
              <w:right w:val="single" w:sz="18" w:space="0" w:color="FFFFFF"/>
            </w:tcBorders>
            <w:shd w:val="clear" w:color="auto" w:fill="A7A9AC"/>
          </w:tcPr>
          <w:p w14:paraId="18E2BFF9" w14:textId="77777777" w:rsidR="00BC24A8" w:rsidRDefault="00000000">
            <w:pPr>
              <w:pStyle w:val="TableParagraph"/>
              <w:spacing w:before="20"/>
              <w:ind w:left="126"/>
              <w:rPr>
                <w:sz w:val="18"/>
              </w:rPr>
            </w:pPr>
            <w:r w:rsidRPr="00795364">
              <w:rPr>
                <w:color w:val="383838"/>
                <w:spacing w:val="-2"/>
                <w:sz w:val="18"/>
              </w:rPr>
              <w:t>Total</w:t>
            </w:r>
          </w:p>
        </w:tc>
        <w:tc>
          <w:tcPr>
            <w:tcW w:w="2253" w:type="dxa"/>
            <w:tcBorders>
              <w:left w:val="single" w:sz="18" w:space="0" w:color="FFFFFF"/>
              <w:right w:val="single" w:sz="18" w:space="0" w:color="FFFFFF"/>
            </w:tcBorders>
            <w:shd w:val="clear" w:color="auto" w:fill="A7A9AC"/>
          </w:tcPr>
          <w:p w14:paraId="4DEB6D00" w14:textId="77777777" w:rsidR="00BC24A8" w:rsidRDefault="00000000">
            <w:pPr>
              <w:pStyle w:val="TableParagraph"/>
              <w:spacing w:before="20"/>
              <w:ind w:left="86"/>
              <w:rPr>
                <w:sz w:val="18"/>
              </w:rPr>
            </w:pPr>
            <w:r w:rsidRPr="00795364">
              <w:rPr>
                <w:color w:val="000000"/>
                <w:spacing w:val="-2"/>
                <w:sz w:val="18"/>
              </w:rPr>
              <w:t>1,844</w:t>
            </w:r>
          </w:p>
        </w:tc>
        <w:tc>
          <w:tcPr>
            <w:tcW w:w="2254" w:type="dxa"/>
            <w:tcBorders>
              <w:left w:val="single" w:sz="18" w:space="0" w:color="FFFFFF"/>
              <w:right w:val="single" w:sz="24" w:space="0" w:color="FFFFFF"/>
            </w:tcBorders>
            <w:shd w:val="clear" w:color="auto" w:fill="A7A9AC"/>
          </w:tcPr>
          <w:p w14:paraId="5BC18605" w14:textId="77777777" w:rsidR="00BC24A8" w:rsidRDefault="00000000">
            <w:pPr>
              <w:pStyle w:val="TableParagraph"/>
              <w:spacing w:before="20"/>
              <w:ind w:left="86"/>
              <w:rPr>
                <w:sz w:val="18"/>
              </w:rPr>
            </w:pPr>
            <w:r w:rsidRPr="00795364">
              <w:rPr>
                <w:color w:val="000000"/>
                <w:spacing w:val="-2"/>
                <w:sz w:val="18"/>
              </w:rPr>
              <w:t>1,651</w:t>
            </w:r>
          </w:p>
        </w:tc>
        <w:tc>
          <w:tcPr>
            <w:tcW w:w="2273" w:type="dxa"/>
            <w:tcBorders>
              <w:left w:val="single" w:sz="24" w:space="0" w:color="FFFFFF"/>
            </w:tcBorders>
            <w:shd w:val="clear" w:color="auto" w:fill="A7A9AC"/>
          </w:tcPr>
          <w:p w14:paraId="2A3F52AC" w14:textId="77777777" w:rsidR="00BC24A8" w:rsidRDefault="00000000">
            <w:pPr>
              <w:pStyle w:val="TableParagraph"/>
              <w:spacing w:before="20"/>
              <w:ind w:left="78"/>
              <w:rPr>
                <w:sz w:val="18"/>
              </w:rPr>
            </w:pPr>
            <w:r w:rsidRPr="00795364">
              <w:rPr>
                <w:color w:val="000000"/>
                <w:spacing w:val="-2"/>
                <w:sz w:val="18"/>
              </w:rPr>
              <w:t>1,463</w:t>
            </w:r>
          </w:p>
        </w:tc>
      </w:tr>
    </w:tbl>
    <w:p w14:paraId="4A31A5B5" w14:textId="77777777" w:rsidR="00BC24A8" w:rsidRDefault="00BC24A8">
      <w:pPr>
        <w:pStyle w:val="BodyText"/>
        <w:spacing w:before="202"/>
        <w:rPr>
          <w:rFonts w:ascii="Calibri"/>
          <w:b/>
        </w:rPr>
      </w:pPr>
    </w:p>
    <w:p w14:paraId="6DAEEFB0" w14:textId="77777777" w:rsidR="00BC24A8" w:rsidRDefault="00000000">
      <w:pPr>
        <w:pStyle w:val="BodyText"/>
        <w:spacing w:line="278" w:lineRule="auto"/>
        <w:ind w:left="143" w:right="279"/>
        <w:jc w:val="both"/>
      </w:pPr>
      <w:r>
        <w:t>Outcome monitoring conducted this reporting period in six SKALA-partner provinces on the implementation of this regulatory mechanism in the 2025 provincial budget process reveals that the anticipated</w:t>
      </w:r>
      <w:r>
        <w:rPr>
          <w:spacing w:val="-13"/>
        </w:rPr>
        <w:t xml:space="preserve"> </w:t>
      </w:r>
      <w:r>
        <w:t>benefits</w:t>
      </w:r>
      <w:r>
        <w:rPr>
          <w:spacing w:val="-12"/>
        </w:rPr>
        <w:t xml:space="preserve"> </w:t>
      </w:r>
      <w:r>
        <w:t>of</w:t>
      </w:r>
      <w:r>
        <w:rPr>
          <w:spacing w:val="-13"/>
        </w:rPr>
        <w:t xml:space="preserve"> </w:t>
      </w:r>
      <w:r>
        <w:t>the</w:t>
      </w:r>
      <w:r>
        <w:rPr>
          <w:spacing w:val="-12"/>
        </w:rPr>
        <w:t xml:space="preserve"> </w:t>
      </w:r>
      <w:r>
        <w:t>updated</w:t>
      </w:r>
      <w:r>
        <w:rPr>
          <w:spacing w:val="-13"/>
        </w:rPr>
        <w:t xml:space="preserve"> </w:t>
      </w:r>
      <w:r>
        <w:t>regulation</w:t>
      </w:r>
      <w:r>
        <w:rPr>
          <w:spacing w:val="-12"/>
        </w:rPr>
        <w:t xml:space="preserve"> </w:t>
      </w:r>
      <w:r>
        <w:t>are</w:t>
      </w:r>
      <w:r>
        <w:rPr>
          <w:spacing w:val="-13"/>
        </w:rPr>
        <w:t xml:space="preserve"> </w:t>
      </w:r>
      <w:r>
        <w:t>yet</w:t>
      </w:r>
      <w:r>
        <w:rPr>
          <w:spacing w:val="-12"/>
        </w:rPr>
        <w:t xml:space="preserve"> </w:t>
      </w:r>
      <w:r>
        <w:t>to</w:t>
      </w:r>
      <w:r>
        <w:rPr>
          <w:spacing w:val="-12"/>
        </w:rPr>
        <w:t xml:space="preserve"> </w:t>
      </w:r>
      <w:r>
        <w:t>be</w:t>
      </w:r>
      <w:r>
        <w:rPr>
          <w:spacing w:val="-13"/>
        </w:rPr>
        <w:t xml:space="preserve"> </w:t>
      </w:r>
      <w:r>
        <w:t>realised.</w:t>
      </w:r>
      <w:r>
        <w:rPr>
          <w:spacing w:val="-12"/>
        </w:rPr>
        <w:t xml:space="preserve"> </w:t>
      </w:r>
      <w:r>
        <w:t>The</w:t>
      </w:r>
      <w:r>
        <w:rPr>
          <w:spacing w:val="-13"/>
        </w:rPr>
        <w:t xml:space="preserve"> </w:t>
      </w:r>
      <w:r>
        <w:t>delay</w:t>
      </w:r>
      <w:r>
        <w:rPr>
          <w:spacing w:val="-12"/>
        </w:rPr>
        <w:t xml:space="preserve"> </w:t>
      </w:r>
      <w:r>
        <w:t>in</w:t>
      </w:r>
      <w:r>
        <w:rPr>
          <w:spacing w:val="-13"/>
        </w:rPr>
        <w:t xml:space="preserve"> </w:t>
      </w:r>
      <w:r>
        <w:t>issuing</w:t>
      </w:r>
      <w:r>
        <w:rPr>
          <w:spacing w:val="-12"/>
        </w:rPr>
        <w:t xml:space="preserve"> </w:t>
      </w:r>
      <w:r>
        <w:t>MoF</w:t>
      </w:r>
      <w:r>
        <w:rPr>
          <w:spacing w:val="-12"/>
        </w:rPr>
        <w:t xml:space="preserve"> </w:t>
      </w:r>
      <w:r>
        <w:t>Regulation 102/2024 complicated 2025 provincial budgeting, as provinces had already used the older rules to complete</w:t>
      </w:r>
      <w:r>
        <w:rPr>
          <w:spacing w:val="-13"/>
        </w:rPr>
        <w:t xml:space="preserve"> </w:t>
      </w:r>
      <w:r>
        <w:t>the</w:t>
      </w:r>
      <w:r>
        <w:rPr>
          <w:spacing w:val="-12"/>
        </w:rPr>
        <w:t xml:space="preserve"> </w:t>
      </w:r>
      <w:r>
        <w:t>foundational</w:t>
      </w:r>
      <w:r>
        <w:rPr>
          <w:spacing w:val="-13"/>
        </w:rPr>
        <w:t xml:space="preserve"> </w:t>
      </w:r>
      <w:r>
        <w:t>planning</w:t>
      </w:r>
      <w:r>
        <w:rPr>
          <w:spacing w:val="-12"/>
        </w:rPr>
        <w:t xml:space="preserve"> </w:t>
      </w:r>
      <w:r>
        <w:t>documents.</w:t>
      </w:r>
      <w:r>
        <w:rPr>
          <w:spacing w:val="-13"/>
        </w:rPr>
        <w:t xml:space="preserve"> </w:t>
      </w:r>
      <w:r>
        <w:t>This</w:t>
      </w:r>
      <w:r>
        <w:rPr>
          <w:spacing w:val="-12"/>
        </w:rPr>
        <w:t xml:space="preserve"> </w:t>
      </w:r>
      <w:r>
        <w:t>caused</w:t>
      </w:r>
      <w:r>
        <w:rPr>
          <w:spacing w:val="-13"/>
        </w:rPr>
        <w:t xml:space="preserve"> </w:t>
      </w:r>
      <w:r>
        <w:t>confusion,</w:t>
      </w:r>
      <w:r>
        <w:rPr>
          <w:spacing w:val="-12"/>
        </w:rPr>
        <w:t xml:space="preserve"> </w:t>
      </w:r>
      <w:r>
        <w:t>forced</w:t>
      </w:r>
      <w:r>
        <w:rPr>
          <w:spacing w:val="-12"/>
        </w:rPr>
        <w:t xml:space="preserve"> </w:t>
      </w:r>
      <w:r>
        <w:t>last-minute</w:t>
      </w:r>
      <w:r>
        <w:rPr>
          <w:spacing w:val="-13"/>
        </w:rPr>
        <w:t xml:space="preserve"> </w:t>
      </w:r>
      <w:r>
        <w:t>changes,</w:t>
      </w:r>
      <w:r>
        <w:rPr>
          <w:spacing w:val="-12"/>
        </w:rPr>
        <w:t xml:space="preserve"> </w:t>
      </w:r>
      <w:r>
        <w:t xml:space="preserve">and </w:t>
      </w:r>
      <w:r>
        <w:rPr>
          <w:spacing w:val="-2"/>
        </w:rPr>
        <w:t>made</w:t>
      </w:r>
      <w:r>
        <w:rPr>
          <w:spacing w:val="-6"/>
        </w:rPr>
        <w:t xml:space="preserve"> </w:t>
      </w:r>
      <w:r>
        <w:rPr>
          <w:spacing w:val="-2"/>
        </w:rPr>
        <w:t>it</w:t>
      </w:r>
      <w:r>
        <w:rPr>
          <w:spacing w:val="-5"/>
        </w:rPr>
        <w:t xml:space="preserve"> </w:t>
      </w:r>
      <w:r>
        <w:rPr>
          <w:spacing w:val="-2"/>
        </w:rPr>
        <w:t>harder</w:t>
      </w:r>
      <w:r>
        <w:rPr>
          <w:spacing w:val="-7"/>
        </w:rPr>
        <w:t xml:space="preserve"> </w:t>
      </w:r>
      <w:r>
        <w:rPr>
          <w:spacing w:val="-2"/>
        </w:rPr>
        <w:t>for</w:t>
      </w:r>
      <w:r>
        <w:rPr>
          <w:spacing w:val="-7"/>
        </w:rPr>
        <w:t xml:space="preserve"> </w:t>
      </w:r>
      <w:r>
        <w:rPr>
          <w:spacing w:val="-2"/>
        </w:rPr>
        <w:t>provinces</w:t>
      </w:r>
      <w:r>
        <w:rPr>
          <w:spacing w:val="-3"/>
        </w:rPr>
        <w:t xml:space="preserve"> </w:t>
      </w:r>
      <w:r>
        <w:rPr>
          <w:spacing w:val="-2"/>
        </w:rPr>
        <w:t>to</w:t>
      </w:r>
      <w:r>
        <w:rPr>
          <w:spacing w:val="-5"/>
        </w:rPr>
        <w:t xml:space="preserve"> </w:t>
      </w:r>
      <w:r>
        <w:rPr>
          <w:spacing w:val="-2"/>
        </w:rPr>
        <w:t>align</w:t>
      </w:r>
      <w:r>
        <w:rPr>
          <w:spacing w:val="-7"/>
        </w:rPr>
        <w:t xml:space="preserve"> </w:t>
      </w:r>
      <w:r>
        <w:rPr>
          <w:spacing w:val="-2"/>
        </w:rPr>
        <w:t>budgets</w:t>
      </w:r>
      <w:r>
        <w:rPr>
          <w:spacing w:val="-3"/>
        </w:rPr>
        <w:t xml:space="preserve"> </w:t>
      </w:r>
      <w:r>
        <w:rPr>
          <w:spacing w:val="-2"/>
        </w:rPr>
        <w:t>with</w:t>
      </w:r>
      <w:r>
        <w:rPr>
          <w:spacing w:val="-7"/>
        </w:rPr>
        <w:t xml:space="preserve"> </w:t>
      </w:r>
      <w:r>
        <w:rPr>
          <w:spacing w:val="-2"/>
        </w:rPr>
        <w:t>intended</w:t>
      </w:r>
      <w:r>
        <w:rPr>
          <w:spacing w:val="-3"/>
        </w:rPr>
        <w:t xml:space="preserve"> </w:t>
      </w:r>
      <w:r>
        <w:rPr>
          <w:spacing w:val="-2"/>
        </w:rPr>
        <w:t>development</w:t>
      </w:r>
      <w:r>
        <w:rPr>
          <w:spacing w:val="-8"/>
        </w:rPr>
        <w:t xml:space="preserve"> </w:t>
      </w:r>
      <w:r>
        <w:rPr>
          <w:spacing w:val="-2"/>
        </w:rPr>
        <w:t>outcomes,</w:t>
      </w:r>
      <w:r>
        <w:rPr>
          <w:spacing w:val="-3"/>
        </w:rPr>
        <w:t xml:space="preserve"> </w:t>
      </w:r>
      <w:r>
        <w:rPr>
          <w:spacing w:val="-2"/>
        </w:rPr>
        <w:t>often</w:t>
      </w:r>
      <w:r>
        <w:rPr>
          <w:spacing w:val="-3"/>
        </w:rPr>
        <w:t xml:space="preserve"> </w:t>
      </w:r>
      <w:r>
        <w:rPr>
          <w:spacing w:val="-2"/>
        </w:rPr>
        <w:t>needing</w:t>
      </w:r>
      <w:r>
        <w:rPr>
          <w:spacing w:val="-8"/>
        </w:rPr>
        <w:t xml:space="preserve"> </w:t>
      </w:r>
      <w:r>
        <w:rPr>
          <w:spacing w:val="-2"/>
        </w:rPr>
        <w:t xml:space="preserve">quick </w:t>
      </w:r>
      <w:r>
        <w:t>pragmatic</w:t>
      </w:r>
      <w:r>
        <w:rPr>
          <w:spacing w:val="-13"/>
        </w:rPr>
        <w:t xml:space="preserve"> </w:t>
      </w:r>
      <w:r>
        <w:t>decisions</w:t>
      </w:r>
      <w:r>
        <w:rPr>
          <w:spacing w:val="-12"/>
        </w:rPr>
        <w:t xml:space="preserve"> </w:t>
      </w:r>
      <w:r>
        <w:t>rather</w:t>
      </w:r>
      <w:r>
        <w:rPr>
          <w:spacing w:val="-13"/>
        </w:rPr>
        <w:t xml:space="preserve"> </w:t>
      </w:r>
      <w:r>
        <w:t>than</w:t>
      </w:r>
      <w:r>
        <w:rPr>
          <w:spacing w:val="-12"/>
        </w:rPr>
        <w:t xml:space="preserve"> </w:t>
      </w:r>
      <w:r>
        <w:t>reflecting</w:t>
      </w:r>
      <w:r>
        <w:rPr>
          <w:spacing w:val="-13"/>
        </w:rPr>
        <w:t xml:space="preserve"> </w:t>
      </w:r>
      <w:r>
        <w:t>evidence-driven</w:t>
      </w:r>
      <w:r>
        <w:rPr>
          <w:spacing w:val="-12"/>
        </w:rPr>
        <w:t xml:space="preserve"> </w:t>
      </w:r>
      <w:r>
        <w:t>planning</w:t>
      </w:r>
      <w:r>
        <w:rPr>
          <w:spacing w:val="-13"/>
        </w:rPr>
        <w:t xml:space="preserve"> </w:t>
      </w:r>
      <w:r>
        <w:t>priorities.</w:t>
      </w:r>
      <w:r>
        <w:rPr>
          <w:spacing w:val="-12"/>
        </w:rPr>
        <w:t xml:space="preserve"> </w:t>
      </w:r>
      <w:r>
        <w:t>Interviews</w:t>
      </w:r>
      <w:r>
        <w:rPr>
          <w:spacing w:val="-12"/>
        </w:rPr>
        <w:t xml:space="preserve"> </w:t>
      </w:r>
      <w:r>
        <w:t>with</w:t>
      </w:r>
      <w:r>
        <w:rPr>
          <w:spacing w:val="-13"/>
        </w:rPr>
        <w:t xml:space="preserve"> </w:t>
      </w:r>
      <w:r>
        <w:t>provincial stakeholders</w:t>
      </w:r>
      <w:r>
        <w:rPr>
          <w:spacing w:val="-13"/>
        </w:rPr>
        <w:t xml:space="preserve"> </w:t>
      </w:r>
      <w:r>
        <w:t>indicate</w:t>
      </w:r>
      <w:r>
        <w:rPr>
          <w:spacing w:val="-12"/>
        </w:rPr>
        <w:t xml:space="preserve"> </w:t>
      </w:r>
      <w:r>
        <w:t>that</w:t>
      </w:r>
      <w:r>
        <w:rPr>
          <w:spacing w:val="-13"/>
        </w:rPr>
        <w:t xml:space="preserve"> </w:t>
      </w:r>
      <w:r>
        <w:t>the</w:t>
      </w:r>
      <w:r>
        <w:rPr>
          <w:spacing w:val="-12"/>
        </w:rPr>
        <w:t xml:space="preserve"> </w:t>
      </w:r>
      <w:r>
        <w:t>strategy</w:t>
      </w:r>
      <w:r>
        <w:rPr>
          <w:spacing w:val="-11"/>
        </w:rPr>
        <w:t xml:space="preserve"> </w:t>
      </w:r>
      <w:r>
        <w:t>of</w:t>
      </w:r>
      <w:r>
        <w:rPr>
          <w:spacing w:val="-13"/>
        </w:rPr>
        <w:t xml:space="preserve"> </w:t>
      </w:r>
      <w:r>
        <w:t>gradually</w:t>
      </w:r>
      <w:r>
        <w:rPr>
          <w:spacing w:val="-12"/>
        </w:rPr>
        <w:t xml:space="preserve"> </w:t>
      </w:r>
      <w:r>
        <w:t>reducing</w:t>
      </w:r>
      <w:r>
        <w:rPr>
          <w:spacing w:val="-12"/>
        </w:rPr>
        <w:t xml:space="preserve"> </w:t>
      </w:r>
      <w:r>
        <w:t>budget</w:t>
      </w:r>
      <w:r>
        <w:rPr>
          <w:spacing w:val="-12"/>
        </w:rPr>
        <w:t xml:space="preserve"> </w:t>
      </w:r>
      <w:r>
        <w:t>items</w:t>
      </w:r>
      <w:r>
        <w:rPr>
          <w:spacing w:val="-13"/>
        </w:rPr>
        <w:t xml:space="preserve"> </w:t>
      </w:r>
      <w:r>
        <w:t>to</w:t>
      </w:r>
      <w:r>
        <w:rPr>
          <w:spacing w:val="-12"/>
        </w:rPr>
        <w:t xml:space="preserve"> </w:t>
      </w:r>
      <w:r>
        <w:t>focus</w:t>
      </w:r>
      <w:r>
        <w:rPr>
          <w:spacing w:val="-12"/>
        </w:rPr>
        <w:t xml:space="preserve"> </w:t>
      </w:r>
      <w:r>
        <w:t>DAU-SG</w:t>
      </w:r>
      <w:r>
        <w:rPr>
          <w:spacing w:val="-13"/>
        </w:rPr>
        <w:t xml:space="preserve"> </w:t>
      </w:r>
      <w:r>
        <w:t>more</w:t>
      </w:r>
      <w:r>
        <w:rPr>
          <w:spacing w:val="-12"/>
        </w:rPr>
        <w:t xml:space="preserve"> </w:t>
      </w:r>
      <w:r>
        <w:t>strictly</w:t>
      </w:r>
    </w:p>
    <w:p w14:paraId="6B2E1218" w14:textId="77777777" w:rsidR="00BC24A8" w:rsidRDefault="00000000">
      <w:pPr>
        <w:pStyle w:val="BodyText"/>
        <w:spacing w:before="9"/>
        <w:rPr>
          <w:sz w:val="11"/>
        </w:rPr>
      </w:pPr>
      <w:r>
        <w:rPr>
          <w:noProof/>
          <w:sz w:val="11"/>
        </w:rPr>
        <mc:AlternateContent>
          <mc:Choice Requires="wps">
            <w:drawing>
              <wp:anchor distT="0" distB="0" distL="0" distR="0" simplePos="0" relativeHeight="487595520" behindDoc="1" locked="0" layoutInCell="1" allowOverlap="1" wp14:anchorId="1ECB5BFA" wp14:editId="75DA30D8">
                <wp:simplePos x="0" y="0"/>
                <wp:positionH relativeFrom="page">
                  <wp:posOffset>900683</wp:posOffset>
                </wp:positionH>
                <wp:positionV relativeFrom="paragraph">
                  <wp:posOffset>106703</wp:posOffset>
                </wp:positionV>
                <wp:extent cx="1828800" cy="9525"/>
                <wp:effectExtent l="0" t="0" r="0" b="0"/>
                <wp:wrapTopAndBottom/>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E490D7" id="Graphic 36" o:spid="_x0000_s1026" alt="&quot;&quot;" style="position:absolute;margin-left:70.9pt;margin-top:8.4pt;width:2in;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" path="m1828800,l,,,9143r1828800,l1828800,xe" fillcolor="black" stroked="f">
                <v:path arrowok="t"/>
                <w10:wrap type="topAndBottom" anchorx="page"/>
              </v:shape>
            </w:pict>
          </mc:Fallback>
        </mc:AlternateContent>
      </w:r>
    </w:p>
    <w:p w14:paraId="617916EE" w14:textId="77777777" w:rsidR="00BC24A8" w:rsidRDefault="00BC24A8">
      <w:pPr>
        <w:pStyle w:val="BodyText"/>
        <w:spacing w:before="108"/>
        <w:rPr>
          <w:sz w:val="16"/>
        </w:rPr>
      </w:pPr>
    </w:p>
    <w:p w14:paraId="7D719E2B" w14:textId="77777777" w:rsidR="00BC24A8" w:rsidRDefault="00000000">
      <w:pPr>
        <w:ind w:left="143" w:right="327"/>
        <w:rPr>
          <w:sz w:val="16"/>
        </w:rPr>
      </w:pPr>
      <w:bookmarkStart w:id="100" w:name="_bookmark61"/>
      <w:bookmarkEnd w:id="100"/>
      <w:r>
        <w:rPr>
          <w:color w:val="767070"/>
          <w:sz w:val="16"/>
          <w:vertAlign w:val="superscript"/>
        </w:rPr>
        <w:t>20</w:t>
      </w:r>
      <w:r>
        <w:rPr>
          <w:color w:val="767070"/>
          <w:spacing w:val="-4"/>
          <w:sz w:val="16"/>
        </w:rPr>
        <w:t xml:space="preserve"> </w:t>
      </w:r>
      <w:r>
        <w:rPr>
          <w:color w:val="767070"/>
          <w:sz w:val="16"/>
        </w:rPr>
        <w:t>Coordinated</w:t>
      </w:r>
      <w:r>
        <w:rPr>
          <w:color w:val="767070"/>
          <w:spacing w:val="-3"/>
          <w:sz w:val="16"/>
        </w:rPr>
        <w:t xml:space="preserve"> </w:t>
      </w:r>
      <w:r>
        <w:rPr>
          <w:color w:val="767070"/>
          <w:sz w:val="16"/>
        </w:rPr>
        <w:t>between</w:t>
      </w:r>
      <w:r>
        <w:rPr>
          <w:color w:val="767070"/>
          <w:spacing w:val="-6"/>
          <w:sz w:val="16"/>
        </w:rPr>
        <w:t xml:space="preserve"> </w:t>
      </w:r>
      <w:r>
        <w:rPr>
          <w:color w:val="767070"/>
          <w:sz w:val="16"/>
        </w:rPr>
        <w:t>MoF,</w:t>
      </w:r>
      <w:r>
        <w:rPr>
          <w:color w:val="767070"/>
          <w:spacing w:val="-5"/>
          <w:sz w:val="16"/>
        </w:rPr>
        <w:t xml:space="preserve"> </w:t>
      </w:r>
      <w:r>
        <w:rPr>
          <w:color w:val="767070"/>
          <w:sz w:val="16"/>
        </w:rPr>
        <w:t>MoHA,</w:t>
      </w:r>
      <w:r>
        <w:rPr>
          <w:color w:val="767070"/>
          <w:spacing w:val="-5"/>
          <w:sz w:val="16"/>
        </w:rPr>
        <w:t xml:space="preserve"> </w:t>
      </w:r>
      <w:r>
        <w:rPr>
          <w:color w:val="767070"/>
          <w:sz w:val="16"/>
        </w:rPr>
        <w:t>MoH,</w:t>
      </w:r>
      <w:r>
        <w:rPr>
          <w:color w:val="767070"/>
          <w:spacing w:val="-5"/>
          <w:sz w:val="16"/>
        </w:rPr>
        <w:t xml:space="preserve"> </w:t>
      </w:r>
      <w:r>
        <w:rPr>
          <w:color w:val="767070"/>
          <w:sz w:val="16"/>
        </w:rPr>
        <w:t>MoEC,</w:t>
      </w:r>
      <w:r>
        <w:rPr>
          <w:color w:val="767070"/>
          <w:spacing w:val="-5"/>
          <w:sz w:val="16"/>
        </w:rPr>
        <w:t xml:space="preserve"> </w:t>
      </w:r>
      <w:r>
        <w:rPr>
          <w:color w:val="767070"/>
          <w:sz w:val="16"/>
        </w:rPr>
        <w:t>and</w:t>
      </w:r>
      <w:r>
        <w:rPr>
          <w:color w:val="767070"/>
          <w:spacing w:val="-6"/>
          <w:sz w:val="16"/>
        </w:rPr>
        <w:t xml:space="preserve"> </w:t>
      </w:r>
      <w:r>
        <w:rPr>
          <w:color w:val="767070"/>
          <w:sz w:val="16"/>
        </w:rPr>
        <w:t>MoPW</w:t>
      </w:r>
      <w:r>
        <w:rPr>
          <w:color w:val="767070"/>
          <w:spacing w:val="-6"/>
          <w:sz w:val="16"/>
        </w:rPr>
        <w:t xml:space="preserve"> </w:t>
      </w:r>
      <w:r>
        <w:rPr>
          <w:color w:val="767070"/>
          <w:sz w:val="16"/>
        </w:rPr>
        <w:t>in</w:t>
      </w:r>
      <w:r>
        <w:rPr>
          <w:color w:val="767070"/>
          <w:spacing w:val="-3"/>
          <w:sz w:val="16"/>
        </w:rPr>
        <w:t xml:space="preserve"> </w:t>
      </w:r>
      <w:r>
        <w:rPr>
          <w:color w:val="767070"/>
          <w:sz w:val="16"/>
        </w:rPr>
        <w:t>developing</w:t>
      </w:r>
      <w:r>
        <w:rPr>
          <w:color w:val="767070"/>
          <w:spacing w:val="-5"/>
          <w:sz w:val="16"/>
        </w:rPr>
        <w:t xml:space="preserve"> </w:t>
      </w:r>
      <w:r>
        <w:rPr>
          <w:color w:val="767070"/>
          <w:sz w:val="16"/>
        </w:rPr>
        <w:t>MoF</w:t>
      </w:r>
      <w:r>
        <w:rPr>
          <w:color w:val="767070"/>
          <w:spacing w:val="-3"/>
          <w:sz w:val="16"/>
        </w:rPr>
        <w:t xml:space="preserve"> </w:t>
      </w:r>
      <w:r>
        <w:rPr>
          <w:color w:val="767070"/>
          <w:sz w:val="16"/>
        </w:rPr>
        <w:t>regulation</w:t>
      </w:r>
      <w:r>
        <w:rPr>
          <w:color w:val="767070"/>
          <w:spacing w:val="-6"/>
          <w:sz w:val="16"/>
        </w:rPr>
        <w:t xml:space="preserve"> </w:t>
      </w:r>
      <w:r>
        <w:rPr>
          <w:color w:val="767070"/>
          <w:sz w:val="16"/>
        </w:rPr>
        <w:t>102/2024</w:t>
      </w:r>
      <w:r>
        <w:rPr>
          <w:color w:val="767070"/>
          <w:spacing w:val="-4"/>
          <w:sz w:val="16"/>
        </w:rPr>
        <w:t xml:space="preserve"> </w:t>
      </w:r>
      <w:r>
        <w:rPr>
          <w:color w:val="767070"/>
          <w:sz w:val="16"/>
        </w:rPr>
        <w:t>on</w:t>
      </w:r>
      <w:r>
        <w:rPr>
          <w:color w:val="767070"/>
          <w:spacing w:val="-3"/>
          <w:sz w:val="16"/>
        </w:rPr>
        <w:t xml:space="preserve"> </w:t>
      </w:r>
      <w:r>
        <w:rPr>
          <w:color w:val="767070"/>
          <w:sz w:val="16"/>
        </w:rPr>
        <w:t>general</w:t>
      </w:r>
      <w:r>
        <w:rPr>
          <w:color w:val="767070"/>
          <w:spacing w:val="-6"/>
          <w:sz w:val="16"/>
        </w:rPr>
        <w:t xml:space="preserve"> </w:t>
      </w:r>
      <w:r>
        <w:rPr>
          <w:color w:val="767070"/>
          <w:sz w:val="16"/>
        </w:rPr>
        <w:t>allocation</w:t>
      </w:r>
      <w:r>
        <w:rPr>
          <w:color w:val="767070"/>
          <w:spacing w:val="-3"/>
          <w:sz w:val="16"/>
        </w:rPr>
        <w:t xml:space="preserve"> </w:t>
      </w:r>
      <w:r>
        <w:rPr>
          <w:color w:val="767070"/>
          <w:sz w:val="16"/>
        </w:rPr>
        <w:t>fund</w:t>
      </w:r>
      <w:r>
        <w:rPr>
          <w:color w:val="767070"/>
          <w:spacing w:val="-3"/>
          <w:sz w:val="16"/>
        </w:rPr>
        <w:t xml:space="preserve"> </w:t>
      </w:r>
      <w:r>
        <w:rPr>
          <w:color w:val="767070"/>
          <w:sz w:val="16"/>
        </w:rPr>
        <w:t>to</w:t>
      </w:r>
      <w:r>
        <w:rPr>
          <w:color w:val="767070"/>
          <w:spacing w:val="-4"/>
          <w:sz w:val="16"/>
        </w:rPr>
        <w:t xml:space="preserve"> </w:t>
      </w:r>
      <w:r>
        <w:rPr>
          <w:color w:val="767070"/>
          <w:sz w:val="16"/>
        </w:rPr>
        <w:t>link</w:t>
      </w:r>
      <w:r>
        <w:rPr>
          <w:color w:val="767070"/>
          <w:spacing w:val="-3"/>
          <w:sz w:val="16"/>
        </w:rPr>
        <w:t xml:space="preserve"> </w:t>
      </w:r>
      <w:r>
        <w:rPr>
          <w:color w:val="767070"/>
          <w:sz w:val="16"/>
        </w:rPr>
        <w:t>DAU</w:t>
      </w:r>
      <w:r>
        <w:rPr>
          <w:color w:val="767070"/>
          <w:spacing w:val="40"/>
          <w:sz w:val="16"/>
        </w:rPr>
        <w:t xml:space="preserve"> </w:t>
      </w:r>
      <w:r>
        <w:rPr>
          <w:color w:val="767070"/>
          <w:sz w:val="16"/>
        </w:rPr>
        <w:t>SG to sector priorities.</w:t>
      </w:r>
    </w:p>
    <w:p w14:paraId="0ACDE58A" w14:textId="77777777" w:rsidR="00BC24A8" w:rsidRDefault="00000000">
      <w:pPr>
        <w:ind w:left="143" w:right="328" w:hanging="1"/>
        <w:rPr>
          <w:sz w:val="16"/>
        </w:rPr>
      </w:pPr>
      <w:bookmarkStart w:id="101" w:name="_bookmark62"/>
      <w:bookmarkEnd w:id="101"/>
      <w:r>
        <w:rPr>
          <w:color w:val="767070"/>
          <w:sz w:val="16"/>
          <w:vertAlign w:val="superscript"/>
        </w:rPr>
        <w:t>21</w:t>
      </w:r>
      <w:r>
        <w:rPr>
          <w:color w:val="767070"/>
          <w:sz w:val="16"/>
        </w:rPr>
        <w:t>20</w:t>
      </w:r>
      <w:r>
        <w:rPr>
          <w:color w:val="767070"/>
          <w:spacing w:val="-6"/>
          <w:sz w:val="16"/>
        </w:rPr>
        <w:t xml:space="preserve"> </w:t>
      </w:r>
      <w:r>
        <w:rPr>
          <w:color w:val="767070"/>
          <w:sz w:val="16"/>
        </w:rPr>
        <w:t>people</w:t>
      </w:r>
      <w:r>
        <w:rPr>
          <w:color w:val="767070"/>
          <w:spacing w:val="-6"/>
          <w:sz w:val="16"/>
        </w:rPr>
        <w:t xml:space="preserve"> </w:t>
      </w:r>
      <w:r>
        <w:rPr>
          <w:color w:val="767070"/>
          <w:sz w:val="16"/>
        </w:rPr>
        <w:t>from</w:t>
      </w:r>
      <w:r>
        <w:rPr>
          <w:color w:val="767070"/>
          <w:spacing w:val="-6"/>
          <w:sz w:val="16"/>
        </w:rPr>
        <w:t xml:space="preserve"> </w:t>
      </w:r>
      <w:r>
        <w:rPr>
          <w:color w:val="767070"/>
          <w:sz w:val="16"/>
        </w:rPr>
        <w:t>8</w:t>
      </w:r>
      <w:r>
        <w:rPr>
          <w:color w:val="767070"/>
          <w:spacing w:val="-6"/>
          <w:sz w:val="16"/>
        </w:rPr>
        <w:t xml:space="preserve"> </w:t>
      </w:r>
      <w:r>
        <w:rPr>
          <w:color w:val="767070"/>
          <w:sz w:val="16"/>
        </w:rPr>
        <w:t>partner</w:t>
      </w:r>
      <w:r>
        <w:rPr>
          <w:color w:val="767070"/>
          <w:spacing w:val="-6"/>
          <w:sz w:val="16"/>
        </w:rPr>
        <w:t xml:space="preserve"> </w:t>
      </w:r>
      <w:r>
        <w:rPr>
          <w:color w:val="767070"/>
          <w:sz w:val="16"/>
        </w:rPr>
        <w:t>province</w:t>
      </w:r>
      <w:r>
        <w:rPr>
          <w:color w:val="767070"/>
          <w:spacing w:val="-6"/>
          <w:sz w:val="16"/>
        </w:rPr>
        <w:t xml:space="preserve"> </w:t>
      </w:r>
      <w:r>
        <w:rPr>
          <w:color w:val="767070"/>
          <w:sz w:val="16"/>
        </w:rPr>
        <w:t>(West</w:t>
      </w:r>
      <w:r>
        <w:rPr>
          <w:color w:val="767070"/>
          <w:spacing w:val="-6"/>
          <w:sz w:val="16"/>
        </w:rPr>
        <w:t xml:space="preserve"> </w:t>
      </w:r>
      <w:r>
        <w:rPr>
          <w:color w:val="767070"/>
          <w:sz w:val="16"/>
        </w:rPr>
        <w:t>Papua,</w:t>
      </w:r>
      <w:r>
        <w:rPr>
          <w:color w:val="767070"/>
          <w:spacing w:val="-6"/>
          <w:sz w:val="16"/>
        </w:rPr>
        <w:t xml:space="preserve"> </w:t>
      </w:r>
      <w:r>
        <w:rPr>
          <w:color w:val="767070"/>
          <w:sz w:val="16"/>
        </w:rPr>
        <w:t>Southwest</w:t>
      </w:r>
      <w:r>
        <w:rPr>
          <w:color w:val="767070"/>
          <w:spacing w:val="-6"/>
          <w:sz w:val="16"/>
        </w:rPr>
        <w:t xml:space="preserve"> </w:t>
      </w:r>
      <w:r>
        <w:rPr>
          <w:color w:val="767070"/>
          <w:sz w:val="16"/>
        </w:rPr>
        <w:t>Papua,</w:t>
      </w:r>
      <w:r>
        <w:rPr>
          <w:color w:val="767070"/>
          <w:spacing w:val="-6"/>
          <w:sz w:val="16"/>
        </w:rPr>
        <w:t xml:space="preserve"> </w:t>
      </w:r>
      <w:r>
        <w:rPr>
          <w:color w:val="767070"/>
          <w:sz w:val="16"/>
        </w:rPr>
        <w:t>Aceh,</w:t>
      </w:r>
      <w:r>
        <w:rPr>
          <w:color w:val="767070"/>
          <w:spacing w:val="-6"/>
          <w:sz w:val="16"/>
        </w:rPr>
        <w:t xml:space="preserve"> </w:t>
      </w:r>
      <w:r>
        <w:rPr>
          <w:color w:val="767070"/>
          <w:sz w:val="16"/>
        </w:rPr>
        <w:t>Gorontalo,</w:t>
      </w:r>
      <w:r>
        <w:rPr>
          <w:color w:val="767070"/>
          <w:spacing w:val="-6"/>
          <w:sz w:val="16"/>
        </w:rPr>
        <w:t xml:space="preserve"> </w:t>
      </w:r>
      <w:r>
        <w:rPr>
          <w:color w:val="767070"/>
          <w:sz w:val="16"/>
        </w:rPr>
        <w:t>NTT,</w:t>
      </w:r>
      <w:r>
        <w:rPr>
          <w:color w:val="767070"/>
          <w:spacing w:val="-6"/>
          <w:sz w:val="16"/>
        </w:rPr>
        <w:t xml:space="preserve"> </w:t>
      </w:r>
      <w:r>
        <w:rPr>
          <w:color w:val="767070"/>
          <w:sz w:val="16"/>
        </w:rPr>
        <w:t>NTB,</w:t>
      </w:r>
      <w:r>
        <w:rPr>
          <w:color w:val="767070"/>
          <w:spacing w:val="-8"/>
          <w:sz w:val="16"/>
        </w:rPr>
        <w:t xml:space="preserve"> </w:t>
      </w:r>
      <w:r>
        <w:rPr>
          <w:color w:val="767070"/>
          <w:sz w:val="16"/>
        </w:rPr>
        <w:t>Maluku,</w:t>
      </w:r>
      <w:r>
        <w:rPr>
          <w:color w:val="767070"/>
          <w:spacing w:val="-6"/>
          <w:sz w:val="16"/>
        </w:rPr>
        <w:t xml:space="preserve"> </w:t>
      </w:r>
      <w:r>
        <w:rPr>
          <w:color w:val="767070"/>
          <w:sz w:val="16"/>
        </w:rPr>
        <w:t>Kaltara)</w:t>
      </w:r>
      <w:r>
        <w:rPr>
          <w:color w:val="767070"/>
          <w:spacing w:val="-7"/>
          <w:sz w:val="16"/>
        </w:rPr>
        <w:t xml:space="preserve"> </w:t>
      </w:r>
      <w:r>
        <w:rPr>
          <w:color w:val="767070"/>
          <w:sz w:val="16"/>
        </w:rPr>
        <w:t>participated</w:t>
      </w:r>
      <w:r>
        <w:rPr>
          <w:color w:val="767070"/>
          <w:spacing w:val="-5"/>
          <w:sz w:val="16"/>
        </w:rPr>
        <w:t xml:space="preserve"> </w:t>
      </w:r>
      <w:r>
        <w:rPr>
          <w:color w:val="767070"/>
          <w:sz w:val="16"/>
        </w:rPr>
        <w:t>in</w:t>
      </w:r>
      <w:r>
        <w:rPr>
          <w:color w:val="767070"/>
          <w:spacing w:val="-5"/>
          <w:sz w:val="16"/>
        </w:rPr>
        <w:t xml:space="preserve"> </w:t>
      </w:r>
      <w:r>
        <w:rPr>
          <w:color w:val="767070"/>
          <w:sz w:val="16"/>
        </w:rPr>
        <w:t>the</w:t>
      </w:r>
      <w:r>
        <w:rPr>
          <w:color w:val="767070"/>
          <w:spacing w:val="40"/>
          <w:sz w:val="16"/>
        </w:rPr>
        <w:t xml:space="preserve"> </w:t>
      </w:r>
      <w:r>
        <w:rPr>
          <w:color w:val="767070"/>
          <w:sz w:val="16"/>
        </w:rPr>
        <w:t>Workshop on Strengthening the Implementation of Regulations and DAU Allocation Policies in March 2024 in Makassar.</w:t>
      </w:r>
    </w:p>
    <w:p w14:paraId="17EB93CF" w14:textId="77777777" w:rsidR="00BC24A8" w:rsidRDefault="00BC24A8">
      <w:pPr>
        <w:rPr>
          <w:sz w:val="16"/>
        </w:rPr>
        <w:sectPr w:rsidR="00BC24A8">
          <w:pgSz w:w="11910" w:h="16840"/>
          <w:pgMar w:top="1320" w:right="1133" w:bottom="1100" w:left="1275" w:header="0" w:footer="907" w:gutter="0"/>
          <w:cols w:space="720"/>
        </w:sectPr>
      </w:pPr>
    </w:p>
    <w:p w14:paraId="43923A46" w14:textId="77777777" w:rsidR="00BC24A8" w:rsidRDefault="00000000">
      <w:pPr>
        <w:pStyle w:val="BodyText"/>
        <w:spacing w:before="39" w:line="276" w:lineRule="auto"/>
        <w:ind w:left="143" w:right="280"/>
        <w:jc w:val="both"/>
      </w:pPr>
      <w:r>
        <w:lastRenderedPageBreak/>
        <w:t>on service delivery will only be effective if regulations are released on time and are harmonised with other planning guidance and online lodgement systems.</w:t>
      </w:r>
    </w:p>
    <w:p w14:paraId="5BD2739C" w14:textId="77777777" w:rsidR="00BC24A8" w:rsidRDefault="00000000">
      <w:pPr>
        <w:pStyle w:val="BodyText"/>
        <w:spacing w:before="165" w:line="278" w:lineRule="auto"/>
        <w:ind w:left="143" w:right="278"/>
        <w:jc w:val="both"/>
      </w:pPr>
      <w:r>
        <w:t>An examination of the implementation of performance-based DAU formula allocations through MoF Regulation</w:t>
      </w:r>
      <w:r>
        <w:rPr>
          <w:spacing w:val="-13"/>
        </w:rPr>
        <w:t xml:space="preserve"> </w:t>
      </w:r>
      <w:r>
        <w:t>110/2023</w:t>
      </w:r>
      <w:hyperlink w:anchor="_bookmark63" w:history="1">
        <w:r w:rsidR="00BC24A8">
          <w:rPr>
            <w:vertAlign w:val="superscript"/>
          </w:rPr>
          <w:t>22</w:t>
        </w:r>
      </w:hyperlink>
      <w:r>
        <w:rPr>
          <w:spacing w:val="-12"/>
        </w:rPr>
        <w:t xml:space="preserve"> </w:t>
      </w:r>
      <w:r>
        <w:t>shows</w:t>
      </w:r>
      <w:r>
        <w:rPr>
          <w:spacing w:val="-13"/>
        </w:rPr>
        <w:t xml:space="preserve"> </w:t>
      </w:r>
      <w:r>
        <w:t>that</w:t>
      </w:r>
      <w:r>
        <w:rPr>
          <w:spacing w:val="-12"/>
        </w:rPr>
        <w:t xml:space="preserve"> </w:t>
      </w:r>
      <w:r>
        <w:t>it</w:t>
      </w:r>
      <w:r>
        <w:rPr>
          <w:spacing w:val="-13"/>
        </w:rPr>
        <w:t xml:space="preserve"> </w:t>
      </w:r>
      <w:r>
        <w:t>is</w:t>
      </w:r>
      <w:r>
        <w:rPr>
          <w:spacing w:val="-12"/>
        </w:rPr>
        <w:t xml:space="preserve"> </w:t>
      </w:r>
      <w:r>
        <w:t>not</w:t>
      </w:r>
      <w:r>
        <w:rPr>
          <w:spacing w:val="-13"/>
        </w:rPr>
        <w:t xml:space="preserve"> </w:t>
      </w:r>
      <w:r>
        <w:t>yet</w:t>
      </w:r>
      <w:r>
        <w:rPr>
          <w:spacing w:val="-12"/>
        </w:rPr>
        <w:t xml:space="preserve"> </w:t>
      </w:r>
      <w:r>
        <w:t>possible</w:t>
      </w:r>
      <w:r>
        <w:rPr>
          <w:spacing w:val="-12"/>
        </w:rPr>
        <w:t xml:space="preserve"> </w:t>
      </w:r>
      <w:r>
        <w:t>to</w:t>
      </w:r>
      <w:r>
        <w:rPr>
          <w:spacing w:val="-13"/>
        </w:rPr>
        <w:t xml:space="preserve"> </w:t>
      </w:r>
      <w:r>
        <w:t>determine</w:t>
      </w:r>
      <w:r>
        <w:rPr>
          <w:spacing w:val="-12"/>
        </w:rPr>
        <w:t xml:space="preserve"> </w:t>
      </w:r>
      <w:r>
        <w:t>the</w:t>
      </w:r>
      <w:r>
        <w:rPr>
          <w:spacing w:val="-13"/>
        </w:rPr>
        <w:t xml:space="preserve"> </w:t>
      </w:r>
      <w:r>
        <w:t>effectiveness</w:t>
      </w:r>
      <w:r>
        <w:rPr>
          <w:spacing w:val="-12"/>
        </w:rPr>
        <w:t xml:space="preserve"> </w:t>
      </w:r>
      <w:r>
        <w:t>of</w:t>
      </w:r>
      <w:r>
        <w:rPr>
          <w:spacing w:val="-13"/>
        </w:rPr>
        <w:t xml:space="preserve"> </w:t>
      </w:r>
      <w:r>
        <w:t>this</w:t>
      </w:r>
      <w:r>
        <w:rPr>
          <w:spacing w:val="-12"/>
        </w:rPr>
        <w:t xml:space="preserve"> </w:t>
      </w:r>
      <w:r>
        <w:t>mechanism in</w:t>
      </w:r>
      <w:r>
        <w:rPr>
          <w:spacing w:val="-1"/>
        </w:rPr>
        <w:t xml:space="preserve"> </w:t>
      </w:r>
      <w:r>
        <w:t>incentivising</w:t>
      </w:r>
      <w:r>
        <w:rPr>
          <w:spacing w:val="-2"/>
        </w:rPr>
        <w:t xml:space="preserve"> </w:t>
      </w:r>
      <w:r>
        <w:t>MSS</w:t>
      </w:r>
      <w:r>
        <w:rPr>
          <w:spacing w:val="-1"/>
        </w:rPr>
        <w:t xml:space="preserve"> </w:t>
      </w:r>
      <w:r>
        <w:t>fulfilment. Three</w:t>
      </w:r>
      <w:r>
        <w:rPr>
          <w:spacing w:val="-3"/>
        </w:rPr>
        <w:t xml:space="preserve"> </w:t>
      </w:r>
      <w:r>
        <w:t>years of</w:t>
      </w:r>
      <w:r>
        <w:rPr>
          <w:spacing w:val="-3"/>
        </w:rPr>
        <w:t xml:space="preserve"> </w:t>
      </w:r>
      <w:r>
        <w:t>monitoring</w:t>
      </w:r>
      <w:r>
        <w:rPr>
          <w:spacing w:val="-2"/>
        </w:rPr>
        <w:t xml:space="preserve"> </w:t>
      </w:r>
      <w:r>
        <w:t>data</w:t>
      </w:r>
      <w:r>
        <w:rPr>
          <w:spacing w:val="-2"/>
        </w:rPr>
        <w:t xml:space="preserve"> </w:t>
      </w:r>
      <w:r>
        <w:t>(see</w:t>
      </w:r>
      <w:r>
        <w:rPr>
          <w:spacing w:val="-3"/>
        </w:rPr>
        <w:t xml:space="preserve"> </w:t>
      </w:r>
      <w:r>
        <w:t>Table</w:t>
      </w:r>
      <w:r>
        <w:rPr>
          <w:spacing w:val="-3"/>
        </w:rPr>
        <w:t xml:space="preserve"> </w:t>
      </w:r>
      <w:r>
        <w:t>10)</w:t>
      </w:r>
      <w:r>
        <w:rPr>
          <w:spacing w:val="-3"/>
        </w:rPr>
        <w:t xml:space="preserve"> </w:t>
      </w:r>
      <w:r>
        <w:t>show</w:t>
      </w:r>
      <w:r>
        <w:rPr>
          <w:spacing w:val="-2"/>
        </w:rPr>
        <w:t xml:space="preserve"> </w:t>
      </w:r>
      <w:r>
        <w:t>that</w:t>
      </w:r>
      <w:r>
        <w:rPr>
          <w:spacing w:val="-2"/>
        </w:rPr>
        <w:t xml:space="preserve"> </w:t>
      </w:r>
      <w:r>
        <w:t>the</w:t>
      </w:r>
      <w:r>
        <w:rPr>
          <w:spacing w:val="-3"/>
        </w:rPr>
        <w:t xml:space="preserve"> </w:t>
      </w:r>
      <w:r>
        <w:t xml:space="preserve">proportion of DAU Block Grant versus DAU Specific Grant fluctuates. However, the proportion of DAU SG stays between 11% and 30%, placing all SKALA-supported provinces in the MSS performance bands of </w:t>
      </w:r>
      <w:r>
        <w:rPr>
          <w:spacing w:val="-2"/>
        </w:rPr>
        <w:t>average-to-good</w:t>
      </w:r>
      <w:r>
        <w:rPr>
          <w:spacing w:val="-3"/>
        </w:rPr>
        <w:t xml:space="preserve"> </w:t>
      </w:r>
      <w:r>
        <w:rPr>
          <w:spacing w:val="-2"/>
        </w:rPr>
        <w:t>according</w:t>
      </w:r>
      <w:r>
        <w:rPr>
          <w:spacing w:val="-8"/>
        </w:rPr>
        <w:t xml:space="preserve"> </w:t>
      </w:r>
      <w:r>
        <w:rPr>
          <w:spacing w:val="-2"/>
        </w:rPr>
        <w:t>to</w:t>
      </w:r>
      <w:r>
        <w:rPr>
          <w:spacing w:val="-4"/>
        </w:rPr>
        <w:t xml:space="preserve"> </w:t>
      </w:r>
      <w:r>
        <w:rPr>
          <w:spacing w:val="-2"/>
        </w:rPr>
        <w:t>MoF’s</w:t>
      </w:r>
      <w:r>
        <w:rPr>
          <w:spacing w:val="-6"/>
        </w:rPr>
        <w:t xml:space="preserve"> </w:t>
      </w:r>
      <w:r>
        <w:rPr>
          <w:spacing w:val="-2"/>
        </w:rPr>
        <w:t>performance</w:t>
      </w:r>
      <w:r>
        <w:rPr>
          <w:spacing w:val="-6"/>
        </w:rPr>
        <w:t xml:space="preserve"> </w:t>
      </w:r>
      <w:r>
        <w:rPr>
          <w:spacing w:val="-2"/>
        </w:rPr>
        <w:t>rating.</w:t>
      </w:r>
      <w:hyperlink w:anchor="_bookmark64" w:history="1">
        <w:r w:rsidR="00BC24A8">
          <w:rPr>
            <w:spacing w:val="-2"/>
            <w:vertAlign w:val="superscript"/>
          </w:rPr>
          <w:t>23</w:t>
        </w:r>
      </w:hyperlink>
      <w:r>
        <w:rPr>
          <w:spacing w:val="-6"/>
        </w:rPr>
        <w:t xml:space="preserve"> </w:t>
      </w:r>
      <w:r>
        <w:rPr>
          <w:spacing w:val="-2"/>
        </w:rPr>
        <w:t>The</w:t>
      </w:r>
      <w:r>
        <w:rPr>
          <w:spacing w:val="-6"/>
        </w:rPr>
        <w:t xml:space="preserve"> </w:t>
      </w:r>
      <w:r>
        <w:rPr>
          <w:spacing w:val="-2"/>
        </w:rPr>
        <w:t>amount</w:t>
      </w:r>
      <w:r>
        <w:rPr>
          <w:spacing w:val="-4"/>
        </w:rPr>
        <w:t xml:space="preserve"> </w:t>
      </w:r>
      <w:r>
        <w:rPr>
          <w:spacing w:val="-2"/>
        </w:rPr>
        <w:t>of</w:t>
      </w:r>
      <w:r>
        <w:rPr>
          <w:spacing w:val="-6"/>
        </w:rPr>
        <w:t xml:space="preserve"> </w:t>
      </w:r>
      <w:r>
        <w:rPr>
          <w:spacing w:val="-2"/>
        </w:rPr>
        <w:t>the</w:t>
      </w:r>
      <w:r>
        <w:rPr>
          <w:spacing w:val="-6"/>
        </w:rPr>
        <w:t xml:space="preserve"> </w:t>
      </w:r>
      <w:r>
        <w:rPr>
          <w:spacing w:val="-2"/>
        </w:rPr>
        <w:t>DAU-SG</w:t>
      </w:r>
      <w:r>
        <w:rPr>
          <w:spacing w:val="-3"/>
        </w:rPr>
        <w:t xml:space="preserve"> </w:t>
      </w:r>
      <w:r>
        <w:rPr>
          <w:spacing w:val="-2"/>
        </w:rPr>
        <w:t>allocated</w:t>
      </w:r>
      <w:r>
        <w:rPr>
          <w:spacing w:val="-3"/>
        </w:rPr>
        <w:t xml:space="preserve"> </w:t>
      </w:r>
      <w:r>
        <w:rPr>
          <w:spacing w:val="-2"/>
        </w:rPr>
        <w:t>to</w:t>
      </w:r>
      <w:r>
        <w:rPr>
          <w:spacing w:val="-4"/>
        </w:rPr>
        <w:t xml:space="preserve"> </w:t>
      </w:r>
      <w:r>
        <w:rPr>
          <w:spacing w:val="-2"/>
        </w:rPr>
        <w:t xml:space="preserve">direct </w:t>
      </w:r>
      <w:r>
        <w:t>delivery of MSS also varies between provinces and across years. Gorontalo, Maluku and NTB show positive trends in both metrics, with less DAU-SG and increased allocations towards MSS over time (IO4.5). Kaltara and NTT have more varied performance and proportional MSS allocations. In Papuan provinces</w:t>
      </w:r>
      <w:r>
        <w:rPr>
          <w:spacing w:val="-8"/>
        </w:rPr>
        <w:t xml:space="preserve"> </w:t>
      </w:r>
      <w:r>
        <w:t>and</w:t>
      </w:r>
      <w:r>
        <w:rPr>
          <w:spacing w:val="-8"/>
        </w:rPr>
        <w:t xml:space="preserve"> </w:t>
      </w:r>
      <w:r>
        <w:t>Aceh,</w:t>
      </w:r>
      <w:r>
        <w:rPr>
          <w:spacing w:val="-7"/>
        </w:rPr>
        <w:t xml:space="preserve"> </w:t>
      </w:r>
      <w:r>
        <w:t>the</w:t>
      </w:r>
      <w:r>
        <w:rPr>
          <w:spacing w:val="-9"/>
        </w:rPr>
        <w:t xml:space="preserve"> </w:t>
      </w:r>
      <w:r>
        <w:t>metric</w:t>
      </w:r>
      <w:r>
        <w:rPr>
          <w:spacing w:val="-8"/>
        </w:rPr>
        <w:t xml:space="preserve"> </w:t>
      </w:r>
      <w:r>
        <w:t>of</w:t>
      </w:r>
      <w:r>
        <w:rPr>
          <w:spacing w:val="-9"/>
        </w:rPr>
        <w:t xml:space="preserve"> </w:t>
      </w:r>
      <w:r>
        <w:t>allocation</w:t>
      </w:r>
      <w:r>
        <w:rPr>
          <w:spacing w:val="-8"/>
        </w:rPr>
        <w:t xml:space="preserve"> </w:t>
      </w:r>
      <w:r>
        <w:t>to</w:t>
      </w:r>
      <w:r>
        <w:rPr>
          <w:spacing w:val="-8"/>
        </w:rPr>
        <w:t xml:space="preserve"> </w:t>
      </w:r>
      <w:r>
        <w:t>MSS</w:t>
      </w:r>
      <w:r>
        <w:rPr>
          <w:spacing w:val="-8"/>
        </w:rPr>
        <w:t xml:space="preserve"> </w:t>
      </w:r>
      <w:r>
        <w:t>is</w:t>
      </w:r>
      <w:r>
        <w:rPr>
          <w:spacing w:val="-8"/>
        </w:rPr>
        <w:t xml:space="preserve"> </w:t>
      </w:r>
      <w:r>
        <w:t>less</w:t>
      </w:r>
      <w:r>
        <w:rPr>
          <w:spacing w:val="-8"/>
        </w:rPr>
        <w:t xml:space="preserve"> </w:t>
      </w:r>
      <w:r>
        <w:t>meaningful</w:t>
      </w:r>
      <w:r>
        <w:rPr>
          <w:spacing w:val="-8"/>
        </w:rPr>
        <w:t xml:space="preserve"> </w:t>
      </w:r>
      <w:r>
        <w:t>as</w:t>
      </w:r>
      <w:r>
        <w:rPr>
          <w:spacing w:val="-8"/>
        </w:rPr>
        <w:t xml:space="preserve"> </w:t>
      </w:r>
      <w:r>
        <w:t>an</w:t>
      </w:r>
      <w:r>
        <w:rPr>
          <w:spacing w:val="-8"/>
        </w:rPr>
        <w:t xml:space="preserve"> </w:t>
      </w:r>
      <w:r>
        <w:t>indicator</w:t>
      </w:r>
      <w:r>
        <w:rPr>
          <w:spacing w:val="-8"/>
        </w:rPr>
        <w:t xml:space="preserve"> </w:t>
      </w:r>
      <w:r>
        <w:t>of</w:t>
      </w:r>
      <w:r>
        <w:rPr>
          <w:spacing w:val="-9"/>
        </w:rPr>
        <w:t xml:space="preserve"> </w:t>
      </w:r>
      <w:r>
        <w:t>commitment</w:t>
      </w:r>
      <w:r>
        <w:rPr>
          <w:spacing w:val="-8"/>
        </w:rPr>
        <w:t xml:space="preserve"> </w:t>
      </w:r>
      <w:r>
        <w:t>to MSS delivery, as the provinces can resource MSS through OTSUS funds as well, which may account for the comparatively low allocations for MSS. Across all provinces, the realisation rates of the MSS dedicated budget have been reasonably high, with the exception of the new provinces in Papuan provinces (see Table 10).</w:t>
      </w:r>
    </w:p>
    <w:p w14:paraId="33A9FBE4" w14:textId="77777777" w:rsidR="00BC24A8" w:rsidRDefault="00BC24A8">
      <w:pPr>
        <w:pStyle w:val="BodyText"/>
        <w:rPr>
          <w:sz w:val="20"/>
        </w:rPr>
      </w:pPr>
    </w:p>
    <w:p w14:paraId="1B3139F7" w14:textId="77777777" w:rsidR="00BC24A8" w:rsidRDefault="00BC24A8">
      <w:pPr>
        <w:pStyle w:val="BodyText"/>
        <w:rPr>
          <w:sz w:val="20"/>
        </w:rPr>
      </w:pPr>
    </w:p>
    <w:p w14:paraId="4A896DEE" w14:textId="77777777" w:rsidR="00BC24A8" w:rsidRDefault="00BC24A8">
      <w:pPr>
        <w:pStyle w:val="BodyText"/>
        <w:rPr>
          <w:sz w:val="20"/>
        </w:rPr>
      </w:pPr>
    </w:p>
    <w:p w14:paraId="154B1BF4" w14:textId="77777777" w:rsidR="00BC24A8" w:rsidRDefault="00BC24A8">
      <w:pPr>
        <w:pStyle w:val="BodyText"/>
        <w:rPr>
          <w:sz w:val="20"/>
        </w:rPr>
      </w:pPr>
    </w:p>
    <w:p w14:paraId="7D7C26F8" w14:textId="77777777" w:rsidR="00BC24A8" w:rsidRDefault="00BC24A8">
      <w:pPr>
        <w:pStyle w:val="BodyText"/>
        <w:rPr>
          <w:sz w:val="20"/>
        </w:rPr>
      </w:pPr>
    </w:p>
    <w:p w14:paraId="1EEFF54D" w14:textId="77777777" w:rsidR="00BC24A8" w:rsidRDefault="00BC24A8">
      <w:pPr>
        <w:pStyle w:val="BodyText"/>
        <w:rPr>
          <w:sz w:val="20"/>
        </w:rPr>
      </w:pPr>
    </w:p>
    <w:p w14:paraId="76A25287" w14:textId="77777777" w:rsidR="00BC24A8" w:rsidRDefault="00BC24A8">
      <w:pPr>
        <w:pStyle w:val="BodyText"/>
        <w:rPr>
          <w:sz w:val="20"/>
        </w:rPr>
      </w:pPr>
    </w:p>
    <w:p w14:paraId="4C44F0CA" w14:textId="77777777" w:rsidR="00BC24A8" w:rsidRDefault="00BC24A8">
      <w:pPr>
        <w:pStyle w:val="BodyText"/>
        <w:rPr>
          <w:sz w:val="20"/>
        </w:rPr>
      </w:pPr>
    </w:p>
    <w:p w14:paraId="0BD65705" w14:textId="77777777" w:rsidR="00BC24A8" w:rsidRDefault="00BC24A8">
      <w:pPr>
        <w:pStyle w:val="BodyText"/>
        <w:rPr>
          <w:sz w:val="20"/>
        </w:rPr>
      </w:pPr>
    </w:p>
    <w:p w14:paraId="38D501EE" w14:textId="77777777" w:rsidR="00BC24A8" w:rsidRDefault="00BC24A8">
      <w:pPr>
        <w:pStyle w:val="BodyText"/>
        <w:rPr>
          <w:sz w:val="20"/>
        </w:rPr>
      </w:pPr>
    </w:p>
    <w:p w14:paraId="5EB7DA41" w14:textId="77777777" w:rsidR="00BC24A8" w:rsidRDefault="00BC24A8">
      <w:pPr>
        <w:pStyle w:val="BodyText"/>
        <w:rPr>
          <w:sz w:val="20"/>
        </w:rPr>
      </w:pPr>
    </w:p>
    <w:p w14:paraId="4E3CE4CD" w14:textId="77777777" w:rsidR="00BC24A8" w:rsidRDefault="00BC24A8">
      <w:pPr>
        <w:pStyle w:val="BodyText"/>
        <w:rPr>
          <w:sz w:val="20"/>
        </w:rPr>
      </w:pPr>
    </w:p>
    <w:p w14:paraId="1122699D" w14:textId="77777777" w:rsidR="00BC24A8" w:rsidRDefault="00BC24A8">
      <w:pPr>
        <w:pStyle w:val="BodyText"/>
        <w:rPr>
          <w:sz w:val="20"/>
        </w:rPr>
      </w:pPr>
    </w:p>
    <w:p w14:paraId="703A570B" w14:textId="77777777" w:rsidR="00BC24A8" w:rsidRDefault="00BC24A8">
      <w:pPr>
        <w:pStyle w:val="BodyText"/>
        <w:rPr>
          <w:sz w:val="20"/>
        </w:rPr>
      </w:pPr>
    </w:p>
    <w:p w14:paraId="092A24E1" w14:textId="77777777" w:rsidR="00BC24A8" w:rsidRDefault="00BC24A8">
      <w:pPr>
        <w:pStyle w:val="BodyText"/>
        <w:rPr>
          <w:sz w:val="20"/>
        </w:rPr>
      </w:pPr>
    </w:p>
    <w:p w14:paraId="30D58429" w14:textId="77777777" w:rsidR="00BC24A8" w:rsidRDefault="00BC24A8">
      <w:pPr>
        <w:pStyle w:val="BodyText"/>
        <w:rPr>
          <w:sz w:val="20"/>
        </w:rPr>
      </w:pPr>
    </w:p>
    <w:p w14:paraId="0A3BEA1F" w14:textId="77777777" w:rsidR="00BC24A8" w:rsidRDefault="00BC24A8">
      <w:pPr>
        <w:pStyle w:val="BodyText"/>
        <w:rPr>
          <w:sz w:val="20"/>
        </w:rPr>
      </w:pPr>
    </w:p>
    <w:p w14:paraId="379156D8" w14:textId="77777777" w:rsidR="00BC24A8" w:rsidRDefault="00BC24A8">
      <w:pPr>
        <w:pStyle w:val="BodyText"/>
        <w:rPr>
          <w:sz w:val="20"/>
        </w:rPr>
      </w:pPr>
    </w:p>
    <w:p w14:paraId="5DBD5D0E" w14:textId="77777777" w:rsidR="00BC24A8" w:rsidRDefault="00BC24A8">
      <w:pPr>
        <w:pStyle w:val="BodyText"/>
        <w:rPr>
          <w:sz w:val="20"/>
        </w:rPr>
      </w:pPr>
    </w:p>
    <w:p w14:paraId="44A7D1F4" w14:textId="77777777" w:rsidR="00BC24A8" w:rsidRDefault="00BC24A8">
      <w:pPr>
        <w:pStyle w:val="BodyText"/>
        <w:rPr>
          <w:sz w:val="20"/>
        </w:rPr>
      </w:pPr>
    </w:p>
    <w:p w14:paraId="752E5EBF" w14:textId="77777777" w:rsidR="00BC24A8" w:rsidRDefault="00BC24A8">
      <w:pPr>
        <w:pStyle w:val="BodyText"/>
        <w:rPr>
          <w:sz w:val="20"/>
        </w:rPr>
      </w:pPr>
    </w:p>
    <w:p w14:paraId="0EF5AED0" w14:textId="77777777" w:rsidR="00BC24A8" w:rsidRDefault="00BC24A8">
      <w:pPr>
        <w:pStyle w:val="BodyText"/>
        <w:rPr>
          <w:sz w:val="20"/>
        </w:rPr>
      </w:pPr>
    </w:p>
    <w:p w14:paraId="02402AEC" w14:textId="77777777" w:rsidR="00BC24A8" w:rsidRDefault="00BC24A8">
      <w:pPr>
        <w:pStyle w:val="BodyText"/>
        <w:rPr>
          <w:sz w:val="20"/>
        </w:rPr>
      </w:pPr>
    </w:p>
    <w:p w14:paraId="72BB4C8A" w14:textId="77777777" w:rsidR="00BC24A8" w:rsidRDefault="00BC24A8">
      <w:pPr>
        <w:pStyle w:val="BodyText"/>
        <w:rPr>
          <w:sz w:val="20"/>
        </w:rPr>
      </w:pPr>
    </w:p>
    <w:p w14:paraId="16743BCE" w14:textId="77777777" w:rsidR="00BC24A8" w:rsidRDefault="00BC24A8">
      <w:pPr>
        <w:pStyle w:val="BodyText"/>
        <w:rPr>
          <w:sz w:val="20"/>
        </w:rPr>
      </w:pPr>
    </w:p>
    <w:p w14:paraId="04270703" w14:textId="77777777" w:rsidR="00BC24A8" w:rsidRDefault="00BC24A8">
      <w:pPr>
        <w:pStyle w:val="BodyText"/>
        <w:rPr>
          <w:sz w:val="20"/>
        </w:rPr>
      </w:pPr>
    </w:p>
    <w:p w14:paraId="6844A1E7" w14:textId="77777777" w:rsidR="00BC24A8" w:rsidRDefault="00BC24A8">
      <w:pPr>
        <w:pStyle w:val="BodyText"/>
        <w:rPr>
          <w:sz w:val="20"/>
        </w:rPr>
      </w:pPr>
    </w:p>
    <w:p w14:paraId="2C041461" w14:textId="77777777" w:rsidR="00BC24A8" w:rsidRDefault="00BC24A8">
      <w:pPr>
        <w:pStyle w:val="BodyText"/>
        <w:rPr>
          <w:sz w:val="20"/>
        </w:rPr>
      </w:pPr>
    </w:p>
    <w:p w14:paraId="338E9193" w14:textId="77777777" w:rsidR="00BC24A8" w:rsidRDefault="00000000">
      <w:pPr>
        <w:pStyle w:val="BodyText"/>
        <w:spacing w:before="177"/>
        <w:rPr>
          <w:sz w:val="20"/>
        </w:rPr>
      </w:pPr>
      <w:r>
        <w:rPr>
          <w:noProof/>
          <w:sz w:val="20"/>
        </w:rPr>
        <mc:AlternateContent>
          <mc:Choice Requires="wps">
            <w:drawing>
              <wp:anchor distT="0" distB="0" distL="0" distR="0" simplePos="0" relativeHeight="487596032" behindDoc="1" locked="0" layoutInCell="1" allowOverlap="1" wp14:anchorId="24A5FBEE" wp14:editId="4E90CD79">
                <wp:simplePos x="0" y="0"/>
                <wp:positionH relativeFrom="page">
                  <wp:posOffset>900683</wp:posOffset>
                </wp:positionH>
                <wp:positionV relativeFrom="paragraph">
                  <wp:posOffset>283120</wp:posOffset>
                </wp:positionV>
                <wp:extent cx="1828800" cy="9525"/>
                <wp:effectExtent l="0" t="0" r="0" b="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91FB71" id="Graphic 37" o:spid="_x0000_s1026" alt="&quot;&quot;" style="position:absolute;margin-left:70.9pt;margin-top:22.3pt;width:2in;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" path="m1828800,l,,,9143r1828800,l1828800,xe" fillcolor="black" stroked="f">
                <v:path arrowok="t"/>
                <w10:wrap type="topAndBottom" anchorx="page"/>
              </v:shape>
            </w:pict>
          </mc:Fallback>
        </mc:AlternateContent>
      </w:r>
    </w:p>
    <w:p w14:paraId="7F73810D" w14:textId="77777777" w:rsidR="00BC24A8" w:rsidRDefault="00BC24A8">
      <w:pPr>
        <w:pStyle w:val="BodyText"/>
        <w:spacing w:before="105"/>
        <w:rPr>
          <w:sz w:val="16"/>
        </w:rPr>
      </w:pPr>
    </w:p>
    <w:p w14:paraId="0D2AC8F6" w14:textId="77777777" w:rsidR="00BC24A8" w:rsidRDefault="00000000">
      <w:pPr>
        <w:spacing w:before="1"/>
        <w:ind w:left="143" w:right="327"/>
        <w:rPr>
          <w:sz w:val="16"/>
        </w:rPr>
      </w:pPr>
      <w:bookmarkStart w:id="102" w:name="_bookmark63"/>
      <w:bookmarkEnd w:id="102"/>
      <w:r>
        <w:rPr>
          <w:color w:val="767070"/>
          <w:sz w:val="16"/>
          <w:vertAlign w:val="superscript"/>
        </w:rPr>
        <w:t>22</w:t>
      </w:r>
      <w:r>
        <w:rPr>
          <w:color w:val="767070"/>
          <w:spacing w:val="-4"/>
          <w:sz w:val="16"/>
        </w:rPr>
        <w:t xml:space="preserve"> </w:t>
      </w:r>
      <w:r>
        <w:rPr>
          <w:color w:val="767070"/>
          <w:sz w:val="16"/>
        </w:rPr>
        <w:t>The</w:t>
      </w:r>
      <w:r>
        <w:rPr>
          <w:color w:val="767070"/>
          <w:spacing w:val="-4"/>
          <w:sz w:val="16"/>
        </w:rPr>
        <w:t xml:space="preserve"> </w:t>
      </w:r>
      <w:r>
        <w:rPr>
          <w:color w:val="767070"/>
          <w:sz w:val="16"/>
        </w:rPr>
        <w:t>higher</w:t>
      </w:r>
      <w:r>
        <w:rPr>
          <w:color w:val="767070"/>
          <w:spacing w:val="-4"/>
          <w:sz w:val="16"/>
        </w:rPr>
        <w:t xml:space="preserve"> </w:t>
      </w:r>
      <w:r>
        <w:rPr>
          <w:color w:val="767070"/>
          <w:sz w:val="16"/>
        </w:rPr>
        <w:t>MSS</w:t>
      </w:r>
      <w:r>
        <w:rPr>
          <w:color w:val="767070"/>
          <w:spacing w:val="-4"/>
          <w:sz w:val="16"/>
        </w:rPr>
        <w:t xml:space="preserve"> </w:t>
      </w:r>
      <w:r>
        <w:rPr>
          <w:color w:val="767070"/>
          <w:sz w:val="16"/>
        </w:rPr>
        <w:t>performance</w:t>
      </w:r>
      <w:r>
        <w:rPr>
          <w:color w:val="767070"/>
          <w:spacing w:val="-4"/>
          <w:sz w:val="16"/>
        </w:rPr>
        <w:t xml:space="preserve"> </w:t>
      </w:r>
      <w:r>
        <w:rPr>
          <w:color w:val="767070"/>
          <w:sz w:val="16"/>
        </w:rPr>
        <w:t>the</w:t>
      </w:r>
      <w:r>
        <w:rPr>
          <w:color w:val="767070"/>
          <w:spacing w:val="-4"/>
          <w:sz w:val="16"/>
        </w:rPr>
        <w:t xml:space="preserve"> </w:t>
      </w:r>
      <w:r>
        <w:rPr>
          <w:color w:val="767070"/>
          <w:sz w:val="16"/>
        </w:rPr>
        <w:t>lower</w:t>
      </w:r>
      <w:r>
        <w:rPr>
          <w:color w:val="767070"/>
          <w:spacing w:val="-4"/>
          <w:sz w:val="16"/>
        </w:rPr>
        <w:t xml:space="preserve"> </w:t>
      </w:r>
      <w:r>
        <w:rPr>
          <w:color w:val="767070"/>
          <w:sz w:val="16"/>
        </w:rPr>
        <w:t>DAU-SG</w:t>
      </w:r>
      <w:r>
        <w:rPr>
          <w:color w:val="767070"/>
          <w:spacing w:val="-4"/>
          <w:sz w:val="16"/>
        </w:rPr>
        <w:t xml:space="preserve"> </w:t>
      </w:r>
      <w:r>
        <w:rPr>
          <w:color w:val="767070"/>
          <w:sz w:val="16"/>
        </w:rPr>
        <w:t>proportion</w:t>
      </w:r>
      <w:r>
        <w:rPr>
          <w:color w:val="767070"/>
          <w:spacing w:val="-3"/>
          <w:sz w:val="16"/>
        </w:rPr>
        <w:t xml:space="preserve"> </w:t>
      </w:r>
      <w:r>
        <w:rPr>
          <w:color w:val="767070"/>
          <w:sz w:val="16"/>
        </w:rPr>
        <w:t>compared</w:t>
      </w:r>
      <w:r>
        <w:rPr>
          <w:color w:val="767070"/>
          <w:spacing w:val="-3"/>
          <w:sz w:val="16"/>
        </w:rPr>
        <w:t xml:space="preserve"> </w:t>
      </w:r>
      <w:r>
        <w:rPr>
          <w:color w:val="767070"/>
          <w:sz w:val="16"/>
        </w:rPr>
        <w:t>to</w:t>
      </w:r>
      <w:r>
        <w:rPr>
          <w:color w:val="767070"/>
          <w:spacing w:val="-3"/>
          <w:sz w:val="16"/>
        </w:rPr>
        <w:t xml:space="preserve"> </w:t>
      </w:r>
      <w:r>
        <w:rPr>
          <w:color w:val="767070"/>
          <w:sz w:val="16"/>
        </w:rPr>
        <w:t>DAU</w:t>
      </w:r>
      <w:r>
        <w:rPr>
          <w:color w:val="767070"/>
          <w:spacing w:val="-3"/>
          <w:sz w:val="16"/>
        </w:rPr>
        <w:t xml:space="preserve"> </w:t>
      </w:r>
      <w:r>
        <w:rPr>
          <w:color w:val="767070"/>
          <w:sz w:val="16"/>
        </w:rPr>
        <w:t>block</w:t>
      </w:r>
      <w:r>
        <w:rPr>
          <w:color w:val="767070"/>
          <w:spacing w:val="-3"/>
          <w:sz w:val="16"/>
        </w:rPr>
        <w:t xml:space="preserve"> </w:t>
      </w:r>
      <w:r>
        <w:rPr>
          <w:color w:val="767070"/>
          <w:sz w:val="16"/>
        </w:rPr>
        <w:t>grant.</w:t>
      </w:r>
      <w:r>
        <w:rPr>
          <w:color w:val="767070"/>
          <w:spacing w:val="-5"/>
          <w:sz w:val="16"/>
        </w:rPr>
        <w:t xml:space="preserve"> </w:t>
      </w:r>
      <w:r>
        <w:rPr>
          <w:color w:val="767070"/>
          <w:sz w:val="16"/>
        </w:rPr>
        <w:t>The</w:t>
      </w:r>
      <w:r>
        <w:rPr>
          <w:color w:val="767070"/>
          <w:spacing w:val="-4"/>
          <w:sz w:val="16"/>
        </w:rPr>
        <w:t xml:space="preserve"> </w:t>
      </w:r>
      <w:r>
        <w:rPr>
          <w:color w:val="767070"/>
          <w:sz w:val="16"/>
        </w:rPr>
        <w:t>lower</w:t>
      </w:r>
      <w:r>
        <w:rPr>
          <w:color w:val="767070"/>
          <w:spacing w:val="-4"/>
          <w:sz w:val="16"/>
        </w:rPr>
        <w:t xml:space="preserve"> </w:t>
      </w:r>
      <w:r>
        <w:rPr>
          <w:color w:val="767070"/>
          <w:sz w:val="16"/>
        </w:rPr>
        <w:t>MSS</w:t>
      </w:r>
      <w:r>
        <w:rPr>
          <w:color w:val="767070"/>
          <w:spacing w:val="-4"/>
          <w:sz w:val="16"/>
        </w:rPr>
        <w:t xml:space="preserve"> </w:t>
      </w:r>
      <w:r>
        <w:rPr>
          <w:color w:val="767070"/>
          <w:sz w:val="16"/>
        </w:rPr>
        <w:t>performance,</w:t>
      </w:r>
      <w:r>
        <w:rPr>
          <w:color w:val="767070"/>
          <w:spacing w:val="-5"/>
          <w:sz w:val="16"/>
        </w:rPr>
        <w:t xml:space="preserve"> </w:t>
      </w:r>
      <w:r>
        <w:rPr>
          <w:color w:val="767070"/>
          <w:sz w:val="16"/>
        </w:rPr>
        <w:t>the</w:t>
      </w:r>
      <w:r>
        <w:rPr>
          <w:color w:val="767070"/>
          <w:spacing w:val="-4"/>
          <w:sz w:val="16"/>
        </w:rPr>
        <w:t xml:space="preserve"> </w:t>
      </w:r>
      <w:r>
        <w:rPr>
          <w:color w:val="767070"/>
          <w:sz w:val="16"/>
        </w:rPr>
        <w:t>higher</w:t>
      </w:r>
      <w:r>
        <w:rPr>
          <w:color w:val="767070"/>
          <w:spacing w:val="-4"/>
          <w:sz w:val="16"/>
        </w:rPr>
        <w:t xml:space="preserve"> </w:t>
      </w:r>
      <w:r>
        <w:rPr>
          <w:color w:val="767070"/>
          <w:sz w:val="16"/>
        </w:rPr>
        <w:t>the</w:t>
      </w:r>
      <w:r>
        <w:rPr>
          <w:color w:val="767070"/>
          <w:spacing w:val="40"/>
          <w:sz w:val="16"/>
        </w:rPr>
        <w:t xml:space="preserve"> </w:t>
      </w:r>
      <w:r>
        <w:rPr>
          <w:color w:val="767070"/>
          <w:sz w:val="16"/>
        </w:rPr>
        <w:t>proportion of</w:t>
      </w:r>
      <w:r>
        <w:rPr>
          <w:color w:val="767070"/>
          <w:spacing w:val="-1"/>
          <w:sz w:val="16"/>
        </w:rPr>
        <w:t xml:space="preserve"> </w:t>
      </w:r>
      <w:r>
        <w:rPr>
          <w:color w:val="767070"/>
          <w:sz w:val="16"/>
        </w:rPr>
        <w:t>DAU-SG</w:t>
      </w:r>
      <w:r>
        <w:rPr>
          <w:color w:val="767070"/>
          <w:spacing w:val="-1"/>
          <w:sz w:val="16"/>
        </w:rPr>
        <w:t xml:space="preserve"> </w:t>
      </w:r>
      <w:r>
        <w:rPr>
          <w:color w:val="767070"/>
          <w:sz w:val="16"/>
        </w:rPr>
        <w:t>meaning</w:t>
      </w:r>
      <w:r>
        <w:rPr>
          <w:color w:val="767070"/>
          <w:spacing w:val="-2"/>
          <w:sz w:val="16"/>
        </w:rPr>
        <w:t xml:space="preserve"> </w:t>
      </w:r>
      <w:r>
        <w:rPr>
          <w:color w:val="767070"/>
          <w:sz w:val="16"/>
        </w:rPr>
        <w:t>that</w:t>
      </w:r>
      <w:r>
        <w:rPr>
          <w:color w:val="767070"/>
          <w:spacing w:val="-1"/>
          <w:sz w:val="16"/>
        </w:rPr>
        <w:t xml:space="preserve"> </w:t>
      </w:r>
      <w:r>
        <w:rPr>
          <w:color w:val="767070"/>
          <w:sz w:val="16"/>
        </w:rPr>
        <w:t>subnational governments have</w:t>
      </w:r>
      <w:r>
        <w:rPr>
          <w:color w:val="767070"/>
          <w:spacing w:val="-3"/>
          <w:sz w:val="16"/>
        </w:rPr>
        <w:t xml:space="preserve"> </w:t>
      </w:r>
      <w:r>
        <w:rPr>
          <w:color w:val="767070"/>
          <w:sz w:val="16"/>
        </w:rPr>
        <w:t>a more</w:t>
      </w:r>
      <w:r>
        <w:rPr>
          <w:color w:val="767070"/>
          <w:spacing w:val="-3"/>
          <w:sz w:val="16"/>
        </w:rPr>
        <w:t xml:space="preserve"> </w:t>
      </w:r>
      <w:r>
        <w:rPr>
          <w:color w:val="767070"/>
          <w:sz w:val="16"/>
        </w:rPr>
        <w:t>restrictions on their</w:t>
      </w:r>
      <w:r>
        <w:rPr>
          <w:color w:val="767070"/>
          <w:spacing w:val="-1"/>
          <w:sz w:val="16"/>
        </w:rPr>
        <w:t xml:space="preserve"> </w:t>
      </w:r>
      <w:r>
        <w:rPr>
          <w:color w:val="767070"/>
          <w:sz w:val="16"/>
        </w:rPr>
        <w:t>spending</w:t>
      </w:r>
      <w:r>
        <w:rPr>
          <w:color w:val="767070"/>
          <w:spacing w:val="-2"/>
          <w:sz w:val="16"/>
        </w:rPr>
        <w:t xml:space="preserve"> </w:t>
      </w:r>
      <w:r>
        <w:rPr>
          <w:color w:val="767070"/>
          <w:sz w:val="16"/>
        </w:rPr>
        <w:t>of</w:t>
      </w:r>
      <w:r>
        <w:rPr>
          <w:color w:val="767070"/>
          <w:spacing w:val="-1"/>
          <w:sz w:val="16"/>
        </w:rPr>
        <w:t xml:space="preserve"> </w:t>
      </w:r>
      <w:r>
        <w:rPr>
          <w:color w:val="767070"/>
          <w:sz w:val="16"/>
        </w:rPr>
        <w:t>this fiscal transfer</w:t>
      </w:r>
      <w:r>
        <w:rPr>
          <w:color w:val="767070"/>
          <w:spacing w:val="-1"/>
          <w:sz w:val="16"/>
        </w:rPr>
        <w:t xml:space="preserve"> </w:t>
      </w:r>
      <w:r>
        <w:rPr>
          <w:color w:val="767070"/>
          <w:sz w:val="16"/>
        </w:rPr>
        <w:t>category.</w:t>
      </w:r>
      <w:r>
        <w:rPr>
          <w:color w:val="767070"/>
          <w:spacing w:val="40"/>
          <w:sz w:val="16"/>
        </w:rPr>
        <w:t xml:space="preserve"> </w:t>
      </w:r>
      <w:r>
        <w:rPr>
          <w:color w:val="767070"/>
          <w:sz w:val="16"/>
        </w:rPr>
        <w:t>Provinces aim to have greater flexibility to use DAU for their purposes, so will theoretically aim to improve MSS performance.</w:t>
      </w:r>
    </w:p>
    <w:p w14:paraId="3D6C34F2" w14:textId="77777777" w:rsidR="00BC24A8" w:rsidRDefault="00000000">
      <w:pPr>
        <w:ind w:left="143" w:right="393"/>
        <w:rPr>
          <w:sz w:val="16"/>
        </w:rPr>
      </w:pPr>
      <w:bookmarkStart w:id="103" w:name="_bookmark64"/>
      <w:bookmarkEnd w:id="103"/>
      <w:r>
        <w:rPr>
          <w:color w:val="767070"/>
          <w:sz w:val="16"/>
          <w:vertAlign w:val="superscript"/>
        </w:rPr>
        <w:t>23</w:t>
      </w:r>
      <w:r>
        <w:rPr>
          <w:color w:val="767070"/>
          <w:spacing w:val="-4"/>
          <w:sz w:val="16"/>
        </w:rPr>
        <w:t xml:space="preserve"> </w:t>
      </w:r>
      <w:r>
        <w:rPr>
          <w:color w:val="767070"/>
          <w:sz w:val="16"/>
        </w:rPr>
        <w:t>Proportion</w:t>
      </w:r>
      <w:r>
        <w:rPr>
          <w:color w:val="767070"/>
          <w:spacing w:val="-6"/>
          <w:sz w:val="16"/>
        </w:rPr>
        <w:t xml:space="preserve"> </w:t>
      </w:r>
      <w:r>
        <w:rPr>
          <w:color w:val="767070"/>
          <w:sz w:val="16"/>
        </w:rPr>
        <w:t>of</w:t>
      </w:r>
      <w:r>
        <w:rPr>
          <w:color w:val="767070"/>
          <w:spacing w:val="-4"/>
          <w:sz w:val="16"/>
        </w:rPr>
        <w:t xml:space="preserve"> </w:t>
      </w:r>
      <w:r>
        <w:rPr>
          <w:color w:val="767070"/>
          <w:sz w:val="16"/>
        </w:rPr>
        <w:t>DAU</w:t>
      </w:r>
      <w:r>
        <w:rPr>
          <w:color w:val="767070"/>
          <w:spacing w:val="-3"/>
          <w:sz w:val="16"/>
        </w:rPr>
        <w:t xml:space="preserve"> </w:t>
      </w:r>
      <w:r>
        <w:rPr>
          <w:color w:val="767070"/>
          <w:sz w:val="16"/>
        </w:rPr>
        <w:t>SG</w:t>
      </w:r>
      <w:r>
        <w:rPr>
          <w:color w:val="767070"/>
          <w:spacing w:val="-4"/>
          <w:sz w:val="16"/>
        </w:rPr>
        <w:t xml:space="preserve"> </w:t>
      </w:r>
      <w:r>
        <w:rPr>
          <w:color w:val="767070"/>
          <w:sz w:val="16"/>
        </w:rPr>
        <w:t>depend</w:t>
      </w:r>
      <w:r>
        <w:rPr>
          <w:color w:val="767070"/>
          <w:spacing w:val="-3"/>
          <w:sz w:val="16"/>
        </w:rPr>
        <w:t xml:space="preserve"> </w:t>
      </w:r>
      <w:r>
        <w:rPr>
          <w:color w:val="767070"/>
          <w:sz w:val="16"/>
        </w:rPr>
        <w:t>on</w:t>
      </w:r>
      <w:r>
        <w:rPr>
          <w:color w:val="767070"/>
          <w:spacing w:val="-3"/>
          <w:sz w:val="16"/>
        </w:rPr>
        <w:t xml:space="preserve"> </w:t>
      </w:r>
      <w:r>
        <w:rPr>
          <w:color w:val="767070"/>
          <w:sz w:val="16"/>
        </w:rPr>
        <w:t>MSS</w:t>
      </w:r>
      <w:r>
        <w:rPr>
          <w:color w:val="767070"/>
          <w:spacing w:val="-4"/>
          <w:sz w:val="16"/>
        </w:rPr>
        <w:t xml:space="preserve"> </w:t>
      </w:r>
      <w:r>
        <w:rPr>
          <w:color w:val="767070"/>
          <w:sz w:val="16"/>
        </w:rPr>
        <w:t>Performance</w:t>
      </w:r>
      <w:r>
        <w:rPr>
          <w:color w:val="767070"/>
          <w:spacing w:val="-4"/>
          <w:sz w:val="16"/>
        </w:rPr>
        <w:t xml:space="preserve"> </w:t>
      </w:r>
      <w:r>
        <w:rPr>
          <w:color w:val="767070"/>
          <w:sz w:val="16"/>
        </w:rPr>
        <w:t>index,</w:t>
      </w:r>
      <w:r>
        <w:rPr>
          <w:color w:val="767070"/>
          <w:spacing w:val="-5"/>
          <w:sz w:val="16"/>
        </w:rPr>
        <w:t xml:space="preserve"> </w:t>
      </w:r>
      <w:r>
        <w:rPr>
          <w:color w:val="767070"/>
          <w:sz w:val="16"/>
        </w:rPr>
        <w:t>where</w:t>
      </w:r>
      <w:r>
        <w:rPr>
          <w:color w:val="767070"/>
          <w:spacing w:val="-4"/>
          <w:sz w:val="16"/>
        </w:rPr>
        <w:t xml:space="preserve"> </w:t>
      </w:r>
      <w:r>
        <w:rPr>
          <w:color w:val="767070"/>
          <w:sz w:val="16"/>
        </w:rPr>
        <w:t>categorised</w:t>
      </w:r>
      <w:r>
        <w:rPr>
          <w:color w:val="767070"/>
          <w:spacing w:val="-3"/>
          <w:sz w:val="16"/>
        </w:rPr>
        <w:t xml:space="preserve"> </w:t>
      </w:r>
      <w:r>
        <w:rPr>
          <w:color w:val="767070"/>
          <w:sz w:val="16"/>
        </w:rPr>
        <w:t>into</w:t>
      </w:r>
      <w:r>
        <w:rPr>
          <w:color w:val="767070"/>
          <w:spacing w:val="-3"/>
          <w:sz w:val="16"/>
        </w:rPr>
        <w:t xml:space="preserve"> </w:t>
      </w:r>
      <w:r>
        <w:rPr>
          <w:color w:val="767070"/>
          <w:sz w:val="16"/>
        </w:rPr>
        <w:t>5</w:t>
      </w:r>
      <w:r>
        <w:rPr>
          <w:color w:val="767070"/>
          <w:spacing w:val="-4"/>
          <w:sz w:val="16"/>
        </w:rPr>
        <w:t xml:space="preserve"> </w:t>
      </w:r>
      <w:r>
        <w:rPr>
          <w:color w:val="767070"/>
          <w:sz w:val="16"/>
        </w:rPr>
        <w:t>level:</w:t>
      </w:r>
      <w:r>
        <w:rPr>
          <w:color w:val="767070"/>
          <w:spacing w:val="-5"/>
          <w:sz w:val="16"/>
        </w:rPr>
        <w:t xml:space="preserve"> </w:t>
      </w:r>
      <w:r>
        <w:rPr>
          <w:color w:val="767070"/>
          <w:sz w:val="16"/>
        </w:rPr>
        <w:t>Very</w:t>
      </w:r>
      <w:r>
        <w:rPr>
          <w:color w:val="767070"/>
          <w:spacing w:val="-3"/>
          <w:sz w:val="16"/>
        </w:rPr>
        <w:t xml:space="preserve"> </w:t>
      </w:r>
      <w:r>
        <w:rPr>
          <w:color w:val="767070"/>
          <w:sz w:val="16"/>
        </w:rPr>
        <w:t>good</w:t>
      </w:r>
      <w:r>
        <w:rPr>
          <w:color w:val="767070"/>
          <w:spacing w:val="-3"/>
          <w:sz w:val="16"/>
        </w:rPr>
        <w:t xml:space="preserve"> </w:t>
      </w:r>
      <w:r>
        <w:rPr>
          <w:color w:val="767070"/>
          <w:sz w:val="16"/>
        </w:rPr>
        <w:t>(100)=</w:t>
      </w:r>
      <w:r>
        <w:rPr>
          <w:color w:val="767070"/>
          <w:spacing w:val="-5"/>
          <w:sz w:val="16"/>
        </w:rPr>
        <w:t xml:space="preserve"> </w:t>
      </w:r>
      <w:r>
        <w:rPr>
          <w:color w:val="767070"/>
          <w:sz w:val="16"/>
        </w:rPr>
        <w:t>DAU</w:t>
      </w:r>
      <w:r>
        <w:rPr>
          <w:color w:val="767070"/>
          <w:spacing w:val="-3"/>
          <w:sz w:val="16"/>
        </w:rPr>
        <w:t xml:space="preserve"> </w:t>
      </w:r>
      <w:r>
        <w:rPr>
          <w:color w:val="767070"/>
          <w:sz w:val="16"/>
        </w:rPr>
        <w:t>SG</w:t>
      </w:r>
      <w:r>
        <w:rPr>
          <w:color w:val="767070"/>
          <w:spacing w:val="-4"/>
          <w:sz w:val="16"/>
        </w:rPr>
        <w:t xml:space="preserve"> </w:t>
      </w:r>
      <w:r>
        <w:rPr>
          <w:color w:val="767070"/>
          <w:sz w:val="16"/>
        </w:rPr>
        <w:t>0%,</w:t>
      </w:r>
      <w:r>
        <w:rPr>
          <w:color w:val="767070"/>
          <w:spacing w:val="-5"/>
          <w:sz w:val="16"/>
        </w:rPr>
        <w:t xml:space="preserve"> </w:t>
      </w:r>
      <w:r>
        <w:rPr>
          <w:color w:val="767070"/>
          <w:sz w:val="16"/>
        </w:rPr>
        <w:t>Good</w:t>
      </w:r>
      <w:r>
        <w:rPr>
          <w:color w:val="767070"/>
          <w:spacing w:val="-3"/>
          <w:sz w:val="16"/>
        </w:rPr>
        <w:t xml:space="preserve"> </w:t>
      </w:r>
      <w:r>
        <w:rPr>
          <w:color w:val="767070"/>
          <w:sz w:val="16"/>
        </w:rPr>
        <w:t>(90-99)=</w:t>
      </w:r>
      <w:r>
        <w:rPr>
          <w:color w:val="767070"/>
          <w:spacing w:val="40"/>
          <w:sz w:val="16"/>
        </w:rPr>
        <w:t xml:space="preserve"> </w:t>
      </w:r>
      <w:r>
        <w:rPr>
          <w:color w:val="767070"/>
          <w:sz w:val="16"/>
        </w:rPr>
        <w:t>DAU SG 12.5%, Average (80-89)= DAU SG 25%, Low (70-79)= DAU SG 37.5%, Very Low (&lt;70)=DAU SG 50%</w:t>
      </w:r>
    </w:p>
    <w:p w14:paraId="7B380EDD" w14:textId="77777777" w:rsidR="00BC24A8" w:rsidRDefault="00BC24A8">
      <w:pPr>
        <w:rPr>
          <w:sz w:val="16"/>
        </w:rPr>
        <w:sectPr w:rsidR="00BC24A8">
          <w:pgSz w:w="11910" w:h="16840"/>
          <w:pgMar w:top="1360" w:right="1133" w:bottom="1100" w:left="1275" w:header="0" w:footer="907" w:gutter="0"/>
          <w:cols w:space="720"/>
        </w:sectPr>
      </w:pPr>
    </w:p>
    <w:p w14:paraId="309F2428" w14:textId="77777777" w:rsidR="00BC24A8" w:rsidRDefault="00000000">
      <w:pPr>
        <w:pStyle w:val="Heading5"/>
        <w:spacing w:before="71"/>
        <w:ind w:left="1"/>
      </w:pPr>
      <w:bookmarkStart w:id="104" w:name="_bookmark65"/>
      <w:bookmarkEnd w:id="104"/>
      <w:r>
        <w:rPr>
          <w:color w:val="767070"/>
        </w:rPr>
        <w:lastRenderedPageBreak/>
        <w:t>Table</w:t>
      </w:r>
      <w:r>
        <w:rPr>
          <w:color w:val="767070"/>
          <w:spacing w:val="36"/>
        </w:rPr>
        <w:t xml:space="preserve"> </w:t>
      </w:r>
      <w:r>
        <w:rPr>
          <w:color w:val="767070"/>
        </w:rPr>
        <w:t>2:</w:t>
      </w:r>
      <w:r>
        <w:rPr>
          <w:color w:val="767070"/>
          <w:spacing w:val="-6"/>
        </w:rPr>
        <w:t xml:space="preserve"> </w:t>
      </w:r>
      <w:r>
        <w:rPr>
          <w:color w:val="767070"/>
        </w:rPr>
        <w:t>Amount</w:t>
      </w:r>
      <w:r>
        <w:rPr>
          <w:color w:val="767070"/>
          <w:spacing w:val="-5"/>
        </w:rPr>
        <w:t xml:space="preserve"> </w:t>
      </w:r>
      <w:r>
        <w:rPr>
          <w:color w:val="767070"/>
        </w:rPr>
        <w:t>and</w:t>
      </w:r>
      <w:r>
        <w:rPr>
          <w:color w:val="767070"/>
          <w:spacing w:val="-6"/>
        </w:rPr>
        <w:t xml:space="preserve"> </w:t>
      </w:r>
      <w:r>
        <w:rPr>
          <w:color w:val="767070"/>
        </w:rPr>
        <w:t>proportion</w:t>
      </w:r>
      <w:r>
        <w:rPr>
          <w:color w:val="767070"/>
          <w:spacing w:val="-7"/>
        </w:rPr>
        <w:t xml:space="preserve"> </w:t>
      </w:r>
      <w:r>
        <w:rPr>
          <w:color w:val="767070"/>
        </w:rPr>
        <w:t>of</w:t>
      </w:r>
      <w:r>
        <w:rPr>
          <w:color w:val="767070"/>
          <w:spacing w:val="-5"/>
        </w:rPr>
        <w:t xml:space="preserve"> </w:t>
      </w:r>
      <w:r>
        <w:rPr>
          <w:color w:val="767070"/>
        </w:rPr>
        <w:t>DAU</w:t>
      </w:r>
      <w:r>
        <w:rPr>
          <w:color w:val="767070"/>
          <w:spacing w:val="-5"/>
        </w:rPr>
        <w:t xml:space="preserve"> </w:t>
      </w:r>
      <w:r>
        <w:rPr>
          <w:color w:val="767070"/>
        </w:rPr>
        <w:t>SG</w:t>
      </w:r>
      <w:r>
        <w:rPr>
          <w:color w:val="767070"/>
          <w:spacing w:val="-6"/>
        </w:rPr>
        <w:t xml:space="preserve"> </w:t>
      </w:r>
      <w:r>
        <w:rPr>
          <w:color w:val="767070"/>
        </w:rPr>
        <w:t>that</w:t>
      </w:r>
      <w:r>
        <w:rPr>
          <w:color w:val="767070"/>
          <w:spacing w:val="-7"/>
        </w:rPr>
        <w:t xml:space="preserve"> </w:t>
      </w:r>
      <w:r>
        <w:rPr>
          <w:color w:val="767070"/>
        </w:rPr>
        <w:t>are</w:t>
      </w:r>
      <w:r>
        <w:rPr>
          <w:color w:val="767070"/>
          <w:spacing w:val="-8"/>
        </w:rPr>
        <w:t xml:space="preserve"> </w:t>
      </w:r>
      <w:r>
        <w:rPr>
          <w:color w:val="767070"/>
        </w:rPr>
        <w:t>allocated</w:t>
      </w:r>
      <w:r>
        <w:rPr>
          <w:color w:val="767070"/>
          <w:spacing w:val="-7"/>
        </w:rPr>
        <w:t xml:space="preserve"> </w:t>
      </w:r>
      <w:r>
        <w:rPr>
          <w:color w:val="767070"/>
        </w:rPr>
        <w:t>for</w:t>
      </w:r>
      <w:r>
        <w:rPr>
          <w:color w:val="767070"/>
          <w:spacing w:val="-4"/>
        </w:rPr>
        <w:t xml:space="preserve"> </w:t>
      </w:r>
      <w:r>
        <w:rPr>
          <w:color w:val="767070"/>
        </w:rPr>
        <w:t>MSS</w:t>
      </w:r>
      <w:r>
        <w:rPr>
          <w:color w:val="767070"/>
          <w:spacing w:val="-6"/>
        </w:rPr>
        <w:t xml:space="preserve"> </w:t>
      </w:r>
      <w:r>
        <w:rPr>
          <w:color w:val="767070"/>
        </w:rPr>
        <w:t>2023</w:t>
      </w:r>
      <w:r>
        <w:rPr>
          <w:color w:val="767070"/>
          <w:spacing w:val="-7"/>
        </w:rPr>
        <w:t xml:space="preserve"> </w:t>
      </w:r>
      <w:r>
        <w:rPr>
          <w:color w:val="767070"/>
        </w:rPr>
        <w:t>–</w:t>
      </w:r>
      <w:r>
        <w:rPr>
          <w:color w:val="767070"/>
          <w:spacing w:val="-5"/>
        </w:rPr>
        <w:t xml:space="preserve"> </w:t>
      </w:r>
      <w:r>
        <w:rPr>
          <w:color w:val="767070"/>
        </w:rPr>
        <w:t>2025</w:t>
      </w:r>
      <w:r>
        <w:rPr>
          <w:color w:val="767070"/>
          <w:spacing w:val="-4"/>
        </w:rPr>
        <w:t xml:space="preserve"> </w:t>
      </w:r>
      <w:r>
        <w:rPr>
          <w:color w:val="767070"/>
        </w:rPr>
        <w:t>(health</w:t>
      </w:r>
      <w:r>
        <w:rPr>
          <w:color w:val="767070"/>
          <w:spacing w:val="-8"/>
        </w:rPr>
        <w:t xml:space="preserve"> </w:t>
      </w:r>
      <w:r>
        <w:rPr>
          <w:color w:val="767070"/>
        </w:rPr>
        <w:t>a</w:t>
      </w:r>
      <w:bookmarkStart w:id="105" w:name="_bookmark66"/>
      <w:bookmarkEnd w:id="105"/>
      <w:r>
        <w:rPr>
          <w:color w:val="767070"/>
        </w:rPr>
        <w:t>nd</w:t>
      </w:r>
      <w:r>
        <w:rPr>
          <w:color w:val="767070"/>
          <w:spacing w:val="-6"/>
        </w:rPr>
        <w:t xml:space="preserve"> </w:t>
      </w:r>
      <w:r>
        <w:rPr>
          <w:color w:val="767070"/>
        </w:rPr>
        <w:t>education</w:t>
      </w:r>
      <w:r>
        <w:rPr>
          <w:color w:val="767070"/>
          <w:spacing w:val="-8"/>
        </w:rPr>
        <w:t xml:space="preserve"> </w:t>
      </w:r>
      <w:r>
        <w:rPr>
          <w:color w:val="767070"/>
          <w:spacing w:val="-2"/>
        </w:rPr>
        <w:t>sector)</w:t>
      </w:r>
      <w:hyperlink w:anchor="_bookmark66" w:history="1">
        <w:r w:rsidR="00BC24A8">
          <w:rPr>
            <w:color w:val="767070"/>
            <w:spacing w:val="-2"/>
            <w:vertAlign w:val="superscript"/>
          </w:rPr>
          <w:t>24</w:t>
        </w:r>
      </w:hyperlink>
    </w:p>
    <w:p w14:paraId="643ACD59" w14:textId="77777777" w:rsidR="00BC24A8" w:rsidRDefault="00BC24A8">
      <w:pPr>
        <w:pStyle w:val="BodyText"/>
        <w:spacing w:before="54"/>
        <w:rPr>
          <w:rFonts w:ascii="Calibri"/>
          <w:b/>
          <w:sz w:val="20"/>
        </w:rPr>
      </w:pP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7"/>
        <w:gridCol w:w="1662"/>
        <w:gridCol w:w="832"/>
        <w:gridCol w:w="724"/>
        <w:gridCol w:w="884"/>
        <w:gridCol w:w="1676"/>
        <w:gridCol w:w="777"/>
        <w:gridCol w:w="777"/>
        <w:gridCol w:w="781"/>
        <w:gridCol w:w="1676"/>
        <w:gridCol w:w="778"/>
        <w:gridCol w:w="994"/>
        <w:gridCol w:w="996"/>
      </w:tblGrid>
      <w:tr w:rsidR="00BC24A8" w14:paraId="44DD3C09" w14:textId="77777777">
        <w:trPr>
          <w:trHeight w:val="311"/>
        </w:trPr>
        <w:tc>
          <w:tcPr>
            <w:tcW w:w="1117" w:type="dxa"/>
            <w:vMerge w:val="restart"/>
            <w:tcBorders>
              <w:bottom w:val="nil"/>
              <w:right w:val="single" w:sz="18" w:space="0" w:color="FFFFFF"/>
            </w:tcBorders>
            <w:shd w:val="clear" w:color="auto" w:fill="17365A"/>
          </w:tcPr>
          <w:p w14:paraId="3EE4BFBA" w14:textId="77777777" w:rsidR="00BC24A8" w:rsidRDefault="00BC24A8">
            <w:pPr>
              <w:pStyle w:val="TableParagraph"/>
              <w:rPr>
                <w:rFonts w:ascii="Calibri"/>
                <w:b/>
              </w:rPr>
            </w:pPr>
          </w:p>
          <w:p w14:paraId="689C07BA" w14:textId="77777777" w:rsidR="00BC24A8" w:rsidRDefault="00BC24A8">
            <w:pPr>
              <w:pStyle w:val="TableParagraph"/>
              <w:spacing w:before="182"/>
              <w:rPr>
                <w:rFonts w:ascii="Calibri"/>
                <w:b/>
              </w:rPr>
            </w:pPr>
          </w:p>
          <w:p w14:paraId="44E15D83" w14:textId="77777777" w:rsidR="00BC24A8" w:rsidRDefault="00000000">
            <w:pPr>
              <w:pStyle w:val="TableParagraph"/>
              <w:ind w:left="107"/>
              <w:rPr>
                <w:rFonts w:ascii="Calibri"/>
                <w:b/>
              </w:rPr>
            </w:pPr>
            <w:r>
              <w:rPr>
                <w:rFonts w:ascii="Calibri"/>
                <w:b/>
                <w:color w:val="FFFFFF"/>
                <w:spacing w:val="-2"/>
              </w:rPr>
              <w:t>Province</w:t>
            </w:r>
          </w:p>
        </w:tc>
        <w:tc>
          <w:tcPr>
            <w:tcW w:w="4102" w:type="dxa"/>
            <w:gridSpan w:val="4"/>
            <w:tcBorders>
              <w:left w:val="single" w:sz="18" w:space="0" w:color="FFFFFF"/>
              <w:bottom w:val="nil"/>
              <w:right w:val="single" w:sz="18" w:space="0" w:color="FFFFFF"/>
            </w:tcBorders>
            <w:shd w:val="clear" w:color="auto" w:fill="17365A"/>
          </w:tcPr>
          <w:p w14:paraId="14CD367F" w14:textId="77777777" w:rsidR="00BC24A8" w:rsidRDefault="00000000">
            <w:pPr>
              <w:pStyle w:val="TableParagraph"/>
              <w:spacing w:line="268" w:lineRule="exact"/>
              <w:jc w:val="center"/>
              <w:rPr>
                <w:rFonts w:ascii="Calibri"/>
                <w:b/>
              </w:rPr>
            </w:pPr>
            <w:r>
              <w:rPr>
                <w:rFonts w:ascii="Calibri"/>
                <w:b/>
                <w:color w:val="FFFFFF"/>
                <w:spacing w:val="-4"/>
              </w:rPr>
              <w:t>2023</w:t>
            </w:r>
          </w:p>
        </w:tc>
        <w:tc>
          <w:tcPr>
            <w:tcW w:w="4011" w:type="dxa"/>
            <w:gridSpan w:val="4"/>
            <w:tcBorders>
              <w:left w:val="single" w:sz="18" w:space="0" w:color="FFFFFF"/>
              <w:bottom w:val="nil"/>
              <w:right w:val="single" w:sz="18" w:space="0" w:color="FFFFFF"/>
            </w:tcBorders>
            <w:shd w:val="clear" w:color="auto" w:fill="17365A"/>
          </w:tcPr>
          <w:p w14:paraId="1FB059B1" w14:textId="77777777" w:rsidR="00BC24A8" w:rsidRDefault="00000000">
            <w:pPr>
              <w:pStyle w:val="TableParagraph"/>
              <w:spacing w:line="268" w:lineRule="exact"/>
              <w:ind w:left="6"/>
              <w:jc w:val="center"/>
              <w:rPr>
                <w:rFonts w:ascii="Calibri"/>
                <w:b/>
              </w:rPr>
            </w:pPr>
            <w:r>
              <w:rPr>
                <w:rFonts w:ascii="Calibri"/>
                <w:b/>
                <w:color w:val="FFFFFF"/>
                <w:spacing w:val="-4"/>
              </w:rPr>
              <w:t>2024</w:t>
            </w:r>
          </w:p>
        </w:tc>
        <w:tc>
          <w:tcPr>
            <w:tcW w:w="4444" w:type="dxa"/>
            <w:gridSpan w:val="4"/>
            <w:tcBorders>
              <w:left w:val="single" w:sz="18" w:space="0" w:color="FFFFFF"/>
              <w:bottom w:val="nil"/>
            </w:tcBorders>
            <w:shd w:val="clear" w:color="auto" w:fill="17365A"/>
          </w:tcPr>
          <w:p w14:paraId="4B6D8D94" w14:textId="77777777" w:rsidR="00BC24A8" w:rsidRDefault="00000000">
            <w:pPr>
              <w:pStyle w:val="TableParagraph"/>
              <w:spacing w:line="268" w:lineRule="exact"/>
              <w:ind w:right="1"/>
              <w:jc w:val="center"/>
              <w:rPr>
                <w:rFonts w:ascii="Calibri"/>
                <w:b/>
              </w:rPr>
            </w:pPr>
            <w:r>
              <w:rPr>
                <w:rFonts w:ascii="Calibri"/>
                <w:b/>
                <w:color w:val="FFFFFF"/>
                <w:spacing w:val="-4"/>
              </w:rPr>
              <w:t>2025</w:t>
            </w:r>
          </w:p>
        </w:tc>
      </w:tr>
      <w:tr w:rsidR="00BC24A8" w14:paraId="50A18AD6" w14:textId="77777777">
        <w:trPr>
          <w:trHeight w:val="1396"/>
        </w:trPr>
        <w:tc>
          <w:tcPr>
            <w:tcW w:w="1117" w:type="dxa"/>
            <w:vMerge/>
            <w:tcBorders>
              <w:top w:val="nil"/>
              <w:bottom w:val="nil"/>
              <w:right w:val="single" w:sz="18" w:space="0" w:color="FFFFFF"/>
            </w:tcBorders>
            <w:shd w:val="clear" w:color="auto" w:fill="17365A"/>
          </w:tcPr>
          <w:p w14:paraId="7654F3DE" w14:textId="77777777" w:rsidR="00BC24A8" w:rsidRDefault="00BC24A8">
            <w:pPr>
              <w:rPr>
                <w:sz w:val="2"/>
                <w:szCs w:val="2"/>
              </w:rPr>
            </w:pPr>
          </w:p>
        </w:tc>
        <w:tc>
          <w:tcPr>
            <w:tcW w:w="1662" w:type="dxa"/>
            <w:tcBorders>
              <w:top w:val="nil"/>
              <w:left w:val="single" w:sz="18" w:space="0" w:color="FFFFFF"/>
              <w:bottom w:val="nil"/>
              <w:right w:val="single" w:sz="18" w:space="0" w:color="FFFFFF"/>
            </w:tcBorders>
            <w:shd w:val="clear" w:color="auto" w:fill="17365A"/>
          </w:tcPr>
          <w:p w14:paraId="341C7A3E" w14:textId="77777777" w:rsidR="00BC24A8" w:rsidRDefault="00BC24A8">
            <w:pPr>
              <w:pStyle w:val="TableParagraph"/>
              <w:rPr>
                <w:rFonts w:ascii="Calibri"/>
                <w:b/>
              </w:rPr>
            </w:pPr>
          </w:p>
          <w:p w14:paraId="438A7A42" w14:textId="77777777" w:rsidR="00BC24A8" w:rsidRDefault="00BC24A8">
            <w:pPr>
              <w:pStyle w:val="TableParagraph"/>
              <w:spacing w:before="26"/>
              <w:rPr>
                <w:rFonts w:ascii="Calibri"/>
                <w:b/>
              </w:rPr>
            </w:pPr>
          </w:p>
          <w:p w14:paraId="328118BC" w14:textId="77777777" w:rsidR="00BC24A8" w:rsidRDefault="00000000">
            <w:pPr>
              <w:pStyle w:val="TableParagraph"/>
              <w:ind w:right="1"/>
              <w:jc w:val="center"/>
              <w:rPr>
                <w:rFonts w:ascii="Calibri"/>
                <w:b/>
              </w:rPr>
            </w:pPr>
            <w:r>
              <w:rPr>
                <w:rFonts w:ascii="Calibri"/>
                <w:b/>
                <w:color w:val="FFFFFF"/>
              </w:rPr>
              <w:t>DAU</w:t>
            </w:r>
            <w:r>
              <w:rPr>
                <w:rFonts w:ascii="Calibri"/>
                <w:b/>
                <w:color w:val="FFFFFF"/>
                <w:spacing w:val="-2"/>
              </w:rPr>
              <w:t xml:space="preserve"> </w:t>
            </w:r>
            <w:r>
              <w:rPr>
                <w:rFonts w:ascii="Calibri"/>
                <w:b/>
                <w:color w:val="FFFFFF"/>
              </w:rPr>
              <w:t xml:space="preserve">SG </w:t>
            </w:r>
            <w:r>
              <w:rPr>
                <w:rFonts w:ascii="Calibri"/>
                <w:b/>
                <w:color w:val="FFFFFF"/>
                <w:spacing w:val="-4"/>
              </w:rPr>
              <w:t>(IDR)</w:t>
            </w:r>
          </w:p>
        </w:tc>
        <w:tc>
          <w:tcPr>
            <w:tcW w:w="832" w:type="dxa"/>
            <w:tcBorders>
              <w:top w:val="nil"/>
              <w:left w:val="single" w:sz="18" w:space="0" w:color="FFFFFF"/>
              <w:bottom w:val="nil"/>
              <w:right w:val="single" w:sz="18" w:space="0" w:color="FFFFFF"/>
            </w:tcBorders>
            <w:shd w:val="clear" w:color="auto" w:fill="17365A"/>
          </w:tcPr>
          <w:p w14:paraId="1D9EA736" w14:textId="77777777" w:rsidR="00BC24A8" w:rsidRDefault="00BC24A8">
            <w:pPr>
              <w:pStyle w:val="TableParagraph"/>
              <w:spacing w:before="25"/>
              <w:rPr>
                <w:rFonts w:ascii="Calibri"/>
                <w:b/>
              </w:rPr>
            </w:pPr>
          </w:p>
          <w:p w14:paraId="6A817DF5" w14:textId="77777777" w:rsidR="00BC24A8" w:rsidRDefault="00000000">
            <w:pPr>
              <w:pStyle w:val="TableParagraph"/>
              <w:spacing w:before="1"/>
              <w:ind w:left="9" w:right="3"/>
              <w:jc w:val="center"/>
              <w:rPr>
                <w:rFonts w:ascii="Calibri"/>
                <w:b/>
              </w:rPr>
            </w:pPr>
            <w:r>
              <w:rPr>
                <w:rFonts w:ascii="Calibri"/>
                <w:b/>
                <w:color w:val="FFFFFF"/>
                <w:spacing w:val="-10"/>
              </w:rPr>
              <w:t>%</w:t>
            </w:r>
          </w:p>
          <w:p w14:paraId="04CA1AD1" w14:textId="77777777" w:rsidR="00BC24A8" w:rsidRDefault="00000000">
            <w:pPr>
              <w:pStyle w:val="TableParagraph"/>
              <w:ind w:left="9"/>
              <w:jc w:val="center"/>
              <w:rPr>
                <w:rFonts w:ascii="Calibri"/>
                <w:b/>
              </w:rPr>
            </w:pPr>
            <w:r>
              <w:rPr>
                <w:rFonts w:ascii="Calibri"/>
                <w:b/>
                <w:color w:val="FFFFFF"/>
                <w:spacing w:val="-4"/>
              </w:rPr>
              <w:t xml:space="preserve">from </w:t>
            </w:r>
            <w:r>
              <w:rPr>
                <w:rFonts w:ascii="Calibri"/>
                <w:b/>
                <w:color w:val="FFFFFF"/>
                <w:spacing w:val="-5"/>
              </w:rPr>
              <w:t>DAU</w:t>
            </w:r>
          </w:p>
        </w:tc>
        <w:tc>
          <w:tcPr>
            <w:tcW w:w="724" w:type="dxa"/>
            <w:tcBorders>
              <w:top w:val="nil"/>
              <w:left w:val="single" w:sz="18" w:space="0" w:color="FFFFFF"/>
              <w:bottom w:val="nil"/>
              <w:right w:val="single" w:sz="18" w:space="0" w:color="FFFFFF"/>
            </w:tcBorders>
            <w:shd w:val="clear" w:color="auto" w:fill="17365A"/>
          </w:tcPr>
          <w:p w14:paraId="58736C3C" w14:textId="77777777" w:rsidR="00BC24A8" w:rsidRDefault="00BC24A8">
            <w:pPr>
              <w:pStyle w:val="TableParagraph"/>
              <w:spacing w:before="160"/>
              <w:rPr>
                <w:rFonts w:ascii="Calibri"/>
                <w:b/>
              </w:rPr>
            </w:pPr>
          </w:p>
          <w:p w14:paraId="5F0C2F5C" w14:textId="77777777" w:rsidR="00BC24A8" w:rsidRDefault="00000000">
            <w:pPr>
              <w:pStyle w:val="TableParagraph"/>
              <w:ind w:left="141" w:right="93" w:hanging="39"/>
              <w:rPr>
                <w:rFonts w:ascii="Calibri"/>
                <w:b/>
              </w:rPr>
            </w:pPr>
            <w:r>
              <w:rPr>
                <w:rFonts w:ascii="Calibri"/>
                <w:b/>
                <w:color w:val="FFFFFF"/>
              </w:rPr>
              <w:t>%</w:t>
            </w:r>
            <w:r>
              <w:rPr>
                <w:rFonts w:ascii="Calibri"/>
                <w:b/>
                <w:color w:val="FFFFFF"/>
                <w:spacing w:val="-13"/>
              </w:rPr>
              <w:t xml:space="preserve"> </w:t>
            </w:r>
            <w:r>
              <w:rPr>
                <w:rFonts w:ascii="Calibri"/>
                <w:b/>
                <w:color w:val="FFFFFF"/>
              </w:rPr>
              <w:t xml:space="preserve">for </w:t>
            </w:r>
            <w:r>
              <w:rPr>
                <w:rFonts w:ascii="Calibri"/>
                <w:b/>
                <w:color w:val="FFFFFF"/>
                <w:spacing w:val="-5"/>
              </w:rPr>
              <w:t>MSS</w:t>
            </w:r>
          </w:p>
        </w:tc>
        <w:tc>
          <w:tcPr>
            <w:tcW w:w="884" w:type="dxa"/>
            <w:tcBorders>
              <w:top w:val="nil"/>
              <w:left w:val="single" w:sz="18" w:space="0" w:color="FFFFFF"/>
              <w:bottom w:val="nil"/>
              <w:right w:val="single" w:sz="18" w:space="0" w:color="FFFFFF"/>
            </w:tcBorders>
            <w:shd w:val="clear" w:color="auto" w:fill="17365A"/>
          </w:tcPr>
          <w:p w14:paraId="7181B609" w14:textId="77777777" w:rsidR="00BC24A8" w:rsidRDefault="00BC24A8">
            <w:pPr>
              <w:pStyle w:val="TableParagraph"/>
              <w:spacing w:before="160"/>
              <w:rPr>
                <w:rFonts w:ascii="Calibri"/>
                <w:b/>
              </w:rPr>
            </w:pPr>
          </w:p>
          <w:p w14:paraId="18315A67" w14:textId="77777777" w:rsidR="00BC24A8" w:rsidRDefault="00000000">
            <w:pPr>
              <w:pStyle w:val="TableParagraph"/>
              <w:ind w:left="6" w:right="1"/>
              <w:jc w:val="center"/>
              <w:rPr>
                <w:rFonts w:ascii="Calibri"/>
                <w:b/>
              </w:rPr>
            </w:pPr>
            <w:r>
              <w:rPr>
                <w:rFonts w:ascii="Calibri"/>
                <w:b/>
                <w:color w:val="FFFFFF"/>
                <w:spacing w:val="-10"/>
              </w:rPr>
              <w:t>%</w:t>
            </w:r>
          </w:p>
          <w:p w14:paraId="3865E0E2" w14:textId="77777777" w:rsidR="00BC24A8" w:rsidRDefault="00000000">
            <w:pPr>
              <w:pStyle w:val="TableParagraph"/>
              <w:ind w:left="6"/>
              <w:jc w:val="center"/>
              <w:rPr>
                <w:rFonts w:ascii="Calibri"/>
                <w:b/>
              </w:rPr>
            </w:pPr>
            <w:r>
              <w:rPr>
                <w:rFonts w:ascii="Calibri"/>
                <w:b/>
                <w:color w:val="FFFFFF"/>
                <w:spacing w:val="-2"/>
              </w:rPr>
              <w:t>Spent</w:t>
            </w:r>
          </w:p>
        </w:tc>
        <w:tc>
          <w:tcPr>
            <w:tcW w:w="1676" w:type="dxa"/>
            <w:tcBorders>
              <w:top w:val="nil"/>
              <w:left w:val="single" w:sz="18" w:space="0" w:color="FFFFFF"/>
              <w:bottom w:val="nil"/>
              <w:right w:val="single" w:sz="18" w:space="0" w:color="FFFFFF"/>
            </w:tcBorders>
            <w:shd w:val="clear" w:color="auto" w:fill="17365A"/>
          </w:tcPr>
          <w:p w14:paraId="3771122C" w14:textId="77777777" w:rsidR="00BC24A8" w:rsidRDefault="00BC24A8">
            <w:pPr>
              <w:pStyle w:val="TableParagraph"/>
              <w:rPr>
                <w:rFonts w:ascii="Calibri"/>
                <w:b/>
              </w:rPr>
            </w:pPr>
          </w:p>
          <w:p w14:paraId="07D2F42F" w14:textId="77777777" w:rsidR="00BC24A8" w:rsidRDefault="00BC24A8">
            <w:pPr>
              <w:pStyle w:val="TableParagraph"/>
              <w:spacing w:before="26"/>
              <w:rPr>
                <w:rFonts w:ascii="Calibri"/>
                <w:b/>
              </w:rPr>
            </w:pPr>
          </w:p>
          <w:p w14:paraId="42EE6C84" w14:textId="77777777" w:rsidR="00BC24A8" w:rsidRDefault="00000000">
            <w:pPr>
              <w:pStyle w:val="TableParagraph"/>
              <w:ind w:left="3"/>
              <w:jc w:val="center"/>
              <w:rPr>
                <w:rFonts w:ascii="Calibri"/>
                <w:b/>
              </w:rPr>
            </w:pPr>
            <w:r>
              <w:rPr>
                <w:rFonts w:ascii="Calibri"/>
                <w:b/>
                <w:color w:val="FFFFFF"/>
              </w:rPr>
              <w:t>DAU</w:t>
            </w:r>
            <w:r>
              <w:rPr>
                <w:rFonts w:ascii="Calibri"/>
                <w:b/>
                <w:color w:val="FFFFFF"/>
                <w:spacing w:val="-2"/>
              </w:rPr>
              <w:t xml:space="preserve"> </w:t>
            </w:r>
            <w:r>
              <w:rPr>
                <w:rFonts w:ascii="Calibri"/>
                <w:b/>
                <w:color w:val="FFFFFF"/>
              </w:rPr>
              <w:t xml:space="preserve">SG </w:t>
            </w:r>
            <w:r>
              <w:rPr>
                <w:rFonts w:ascii="Calibri"/>
                <w:b/>
                <w:color w:val="FFFFFF"/>
                <w:spacing w:val="-4"/>
              </w:rPr>
              <w:t>(IDR)</w:t>
            </w:r>
          </w:p>
        </w:tc>
        <w:tc>
          <w:tcPr>
            <w:tcW w:w="777" w:type="dxa"/>
            <w:tcBorders>
              <w:top w:val="nil"/>
              <w:left w:val="single" w:sz="18" w:space="0" w:color="FFFFFF"/>
              <w:bottom w:val="nil"/>
              <w:right w:val="single" w:sz="18" w:space="0" w:color="FFFFFF"/>
            </w:tcBorders>
            <w:shd w:val="clear" w:color="auto" w:fill="17365A"/>
          </w:tcPr>
          <w:p w14:paraId="4FC5DBB2" w14:textId="77777777" w:rsidR="00BC24A8" w:rsidRDefault="00BC24A8">
            <w:pPr>
              <w:pStyle w:val="TableParagraph"/>
              <w:spacing w:before="25"/>
              <w:rPr>
                <w:rFonts w:ascii="Calibri"/>
                <w:b/>
              </w:rPr>
            </w:pPr>
          </w:p>
          <w:p w14:paraId="748A0A09" w14:textId="77777777" w:rsidR="00BC24A8" w:rsidRDefault="00000000">
            <w:pPr>
              <w:pStyle w:val="TableParagraph"/>
              <w:spacing w:before="1"/>
              <w:ind w:left="7" w:right="4"/>
              <w:jc w:val="center"/>
              <w:rPr>
                <w:rFonts w:ascii="Calibri"/>
                <w:b/>
              </w:rPr>
            </w:pPr>
            <w:r>
              <w:rPr>
                <w:rFonts w:ascii="Calibri"/>
                <w:b/>
                <w:color w:val="FFFFFF"/>
                <w:spacing w:val="-10"/>
              </w:rPr>
              <w:t>%</w:t>
            </w:r>
          </w:p>
          <w:p w14:paraId="6EAFFB52" w14:textId="77777777" w:rsidR="00BC24A8" w:rsidRDefault="00000000">
            <w:pPr>
              <w:pStyle w:val="TableParagraph"/>
              <w:ind w:left="5" w:right="4"/>
              <w:jc w:val="center"/>
              <w:rPr>
                <w:rFonts w:ascii="Calibri"/>
                <w:b/>
              </w:rPr>
            </w:pPr>
            <w:r>
              <w:rPr>
                <w:rFonts w:ascii="Calibri"/>
                <w:b/>
                <w:color w:val="FFFFFF"/>
                <w:spacing w:val="-4"/>
              </w:rPr>
              <w:t xml:space="preserve">from </w:t>
            </w:r>
            <w:r>
              <w:rPr>
                <w:rFonts w:ascii="Calibri"/>
                <w:b/>
                <w:color w:val="FFFFFF"/>
                <w:spacing w:val="-5"/>
              </w:rPr>
              <w:t>DAU</w:t>
            </w:r>
          </w:p>
        </w:tc>
        <w:tc>
          <w:tcPr>
            <w:tcW w:w="777" w:type="dxa"/>
            <w:tcBorders>
              <w:top w:val="nil"/>
              <w:left w:val="single" w:sz="18" w:space="0" w:color="FFFFFF"/>
              <w:bottom w:val="nil"/>
              <w:right w:val="single" w:sz="18" w:space="0" w:color="FFFFFF"/>
            </w:tcBorders>
            <w:shd w:val="clear" w:color="auto" w:fill="17365A"/>
          </w:tcPr>
          <w:p w14:paraId="704962F6" w14:textId="77777777" w:rsidR="00BC24A8" w:rsidRDefault="00BC24A8">
            <w:pPr>
              <w:pStyle w:val="TableParagraph"/>
              <w:spacing w:before="160"/>
              <w:rPr>
                <w:rFonts w:ascii="Calibri"/>
                <w:b/>
              </w:rPr>
            </w:pPr>
          </w:p>
          <w:p w14:paraId="4A66600B" w14:textId="77777777" w:rsidR="00BC24A8" w:rsidRDefault="00000000">
            <w:pPr>
              <w:pStyle w:val="TableParagraph"/>
              <w:ind w:left="165" w:right="122" w:hanging="39"/>
              <w:rPr>
                <w:rFonts w:ascii="Calibri"/>
                <w:b/>
              </w:rPr>
            </w:pPr>
            <w:r>
              <w:rPr>
                <w:rFonts w:ascii="Calibri"/>
                <w:b/>
                <w:color w:val="FFFFFF"/>
              </w:rPr>
              <w:t>%</w:t>
            </w:r>
            <w:r>
              <w:rPr>
                <w:rFonts w:ascii="Calibri"/>
                <w:b/>
                <w:color w:val="FFFFFF"/>
                <w:spacing w:val="-13"/>
              </w:rPr>
              <w:t xml:space="preserve"> </w:t>
            </w:r>
            <w:r>
              <w:rPr>
                <w:rFonts w:ascii="Calibri"/>
                <w:b/>
                <w:color w:val="FFFFFF"/>
              </w:rPr>
              <w:t xml:space="preserve">for </w:t>
            </w:r>
            <w:r>
              <w:rPr>
                <w:rFonts w:ascii="Calibri"/>
                <w:b/>
                <w:color w:val="FFFFFF"/>
                <w:spacing w:val="-5"/>
              </w:rPr>
              <w:t>MSS</w:t>
            </w:r>
          </w:p>
        </w:tc>
        <w:tc>
          <w:tcPr>
            <w:tcW w:w="781" w:type="dxa"/>
            <w:tcBorders>
              <w:top w:val="nil"/>
              <w:left w:val="single" w:sz="18" w:space="0" w:color="FFFFFF"/>
              <w:bottom w:val="nil"/>
              <w:right w:val="single" w:sz="18" w:space="0" w:color="FFFFFF"/>
            </w:tcBorders>
            <w:shd w:val="clear" w:color="auto" w:fill="17365A"/>
          </w:tcPr>
          <w:p w14:paraId="547F5665" w14:textId="77777777" w:rsidR="00BC24A8" w:rsidRDefault="00BC24A8">
            <w:pPr>
              <w:pStyle w:val="TableParagraph"/>
              <w:spacing w:before="160"/>
              <w:rPr>
                <w:rFonts w:ascii="Calibri"/>
                <w:b/>
              </w:rPr>
            </w:pPr>
          </w:p>
          <w:p w14:paraId="342236B6" w14:textId="77777777" w:rsidR="00BC24A8" w:rsidRDefault="00000000">
            <w:pPr>
              <w:pStyle w:val="TableParagraph"/>
              <w:ind w:left="2" w:right="1"/>
              <w:jc w:val="center"/>
              <w:rPr>
                <w:rFonts w:ascii="Calibri"/>
                <w:b/>
              </w:rPr>
            </w:pPr>
            <w:r>
              <w:rPr>
                <w:rFonts w:ascii="Calibri"/>
                <w:b/>
                <w:color w:val="FFFFFF"/>
                <w:spacing w:val="-10"/>
              </w:rPr>
              <w:t>%</w:t>
            </w:r>
          </w:p>
          <w:p w14:paraId="1F99ABAD" w14:textId="77777777" w:rsidR="00BC24A8" w:rsidRDefault="00000000">
            <w:pPr>
              <w:pStyle w:val="TableParagraph"/>
              <w:ind w:left="1" w:right="2"/>
              <w:jc w:val="center"/>
              <w:rPr>
                <w:rFonts w:ascii="Calibri"/>
                <w:b/>
              </w:rPr>
            </w:pPr>
            <w:r>
              <w:rPr>
                <w:rFonts w:ascii="Calibri"/>
                <w:b/>
                <w:color w:val="FFFFFF"/>
                <w:spacing w:val="-2"/>
              </w:rPr>
              <w:t>Spent</w:t>
            </w:r>
          </w:p>
        </w:tc>
        <w:tc>
          <w:tcPr>
            <w:tcW w:w="1676" w:type="dxa"/>
            <w:tcBorders>
              <w:top w:val="nil"/>
              <w:left w:val="single" w:sz="18" w:space="0" w:color="FFFFFF"/>
              <w:bottom w:val="nil"/>
              <w:right w:val="single" w:sz="18" w:space="0" w:color="FFFFFF"/>
            </w:tcBorders>
            <w:shd w:val="clear" w:color="auto" w:fill="17365A"/>
          </w:tcPr>
          <w:p w14:paraId="655BD13B" w14:textId="77777777" w:rsidR="00BC24A8" w:rsidRDefault="00BC24A8">
            <w:pPr>
              <w:pStyle w:val="TableParagraph"/>
              <w:rPr>
                <w:rFonts w:ascii="Calibri"/>
                <w:b/>
              </w:rPr>
            </w:pPr>
          </w:p>
          <w:p w14:paraId="0E76A5EB" w14:textId="77777777" w:rsidR="00BC24A8" w:rsidRDefault="00BC24A8">
            <w:pPr>
              <w:pStyle w:val="TableParagraph"/>
              <w:spacing w:before="26"/>
              <w:rPr>
                <w:rFonts w:ascii="Calibri"/>
                <w:b/>
              </w:rPr>
            </w:pPr>
          </w:p>
          <w:p w14:paraId="78C7E7E8" w14:textId="77777777" w:rsidR="00BC24A8" w:rsidRDefault="00000000">
            <w:pPr>
              <w:pStyle w:val="TableParagraph"/>
              <w:ind w:left="3" w:right="3"/>
              <w:jc w:val="center"/>
              <w:rPr>
                <w:rFonts w:ascii="Calibri"/>
                <w:b/>
              </w:rPr>
            </w:pPr>
            <w:r>
              <w:rPr>
                <w:rFonts w:ascii="Calibri"/>
                <w:b/>
                <w:color w:val="FFFFFF"/>
              </w:rPr>
              <w:t>DAU</w:t>
            </w:r>
            <w:r>
              <w:rPr>
                <w:rFonts w:ascii="Calibri"/>
                <w:b/>
                <w:color w:val="FFFFFF"/>
                <w:spacing w:val="-2"/>
              </w:rPr>
              <w:t xml:space="preserve"> </w:t>
            </w:r>
            <w:r>
              <w:rPr>
                <w:rFonts w:ascii="Calibri"/>
                <w:b/>
                <w:color w:val="FFFFFF"/>
              </w:rPr>
              <w:t xml:space="preserve">SG </w:t>
            </w:r>
            <w:r>
              <w:rPr>
                <w:rFonts w:ascii="Calibri"/>
                <w:b/>
                <w:color w:val="FFFFFF"/>
                <w:spacing w:val="-4"/>
              </w:rPr>
              <w:t>(IDR)</w:t>
            </w:r>
          </w:p>
        </w:tc>
        <w:tc>
          <w:tcPr>
            <w:tcW w:w="778" w:type="dxa"/>
            <w:tcBorders>
              <w:top w:val="nil"/>
              <w:left w:val="single" w:sz="18" w:space="0" w:color="FFFFFF"/>
              <w:bottom w:val="nil"/>
              <w:right w:val="single" w:sz="18" w:space="0" w:color="FFFFFF"/>
            </w:tcBorders>
            <w:shd w:val="clear" w:color="auto" w:fill="17365A"/>
          </w:tcPr>
          <w:p w14:paraId="2818B0AF" w14:textId="77777777" w:rsidR="00BC24A8" w:rsidRDefault="00BC24A8">
            <w:pPr>
              <w:pStyle w:val="TableParagraph"/>
              <w:spacing w:before="25"/>
              <w:rPr>
                <w:rFonts w:ascii="Calibri"/>
                <w:b/>
              </w:rPr>
            </w:pPr>
          </w:p>
          <w:p w14:paraId="563EF7B9" w14:textId="77777777" w:rsidR="00BC24A8" w:rsidRDefault="00000000">
            <w:pPr>
              <w:pStyle w:val="TableParagraph"/>
              <w:spacing w:before="1"/>
              <w:ind w:left="5" w:right="6"/>
              <w:jc w:val="center"/>
              <w:rPr>
                <w:rFonts w:ascii="Calibri"/>
                <w:b/>
              </w:rPr>
            </w:pPr>
            <w:r>
              <w:rPr>
                <w:rFonts w:ascii="Calibri"/>
                <w:b/>
                <w:color w:val="FFFFFF"/>
                <w:spacing w:val="-10"/>
              </w:rPr>
              <w:t>%</w:t>
            </w:r>
          </w:p>
          <w:p w14:paraId="48B25F5B" w14:textId="77777777" w:rsidR="00BC24A8" w:rsidRDefault="00000000">
            <w:pPr>
              <w:pStyle w:val="TableParagraph"/>
              <w:ind w:right="6"/>
              <w:jc w:val="center"/>
              <w:rPr>
                <w:rFonts w:ascii="Calibri"/>
                <w:b/>
              </w:rPr>
            </w:pPr>
            <w:r>
              <w:rPr>
                <w:rFonts w:ascii="Calibri"/>
                <w:b/>
                <w:color w:val="FFFFFF"/>
                <w:spacing w:val="-4"/>
              </w:rPr>
              <w:t xml:space="preserve">from </w:t>
            </w:r>
            <w:r>
              <w:rPr>
                <w:rFonts w:ascii="Calibri"/>
                <w:b/>
                <w:color w:val="FFFFFF"/>
                <w:spacing w:val="-5"/>
              </w:rPr>
              <w:t>DAU</w:t>
            </w:r>
          </w:p>
        </w:tc>
        <w:tc>
          <w:tcPr>
            <w:tcW w:w="994" w:type="dxa"/>
            <w:tcBorders>
              <w:top w:val="nil"/>
              <w:left w:val="single" w:sz="18" w:space="0" w:color="FFFFFF"/>
              <w:bottom w:val="nil"/>
              <w:right w:val="single" w:sz="18" w:space="0" w:color="FFFFFF"/>
            </w:tcBorders>
            <w:shd w:val="clear" w:color="auto" w:fill="17365A"/>
          </w:tcPr>
          <w:p w14:paraId="7E00F627" w14:textId="77777777" w:rsidR="00BC24A8" w:rsidRDefault="00BC24A8">
            <w:pPr>
              <w:pStyle w:val="TableParagraph"/>
              <w:spacing w:before="160"/>
              <w:rPr>
                <w:rFonts w:ascii="Calibri"/>
                <w:b/>
              </w:rPr>
            </w:pPr>
          </w:p>
          <w:p w14:paraId="05F03D0B" w14:textId="77777777" w:rsidR="00BC24A8" w:rsidRDefault="00000000">
            <w:pPr>
              <w:pStyle w:val="TableParagraph"/>
              <w:ind w:left="271" w:right="233" w:hanging="39"/>
              <w:rPr>
                <w:rFonts w:ascii="Calibri"/>
                <w:b/>
              </w:rPr>
            </w:pPr>
            <w:r>
              <w:rPr>
                <w:rFonts w:ascii="Calibri"/>
                <w:b/>
                <w:color w:val="FFFFFF"/>
              </w:rPr>
              <w:t>%</w:t>
            </w:r>
            <w:r>
              <w:rPr>
                <w:rFonts w:ascii="Calibri"/>
                <w:b/>
                <w:color w:val="FFFFFF"/>
                <w:spacing w:val="-13"/>
              </w:rPr>
              <w:t xml:space="preserve"> </w:t>
            </w:r>
            <w:r>
              <w:rPr>
                <w:rFonts w:ascii="Calibri"/>
                <w:b/>
                <w:color w:val="FFFFFF"/>
              </w:rPr>
              <w:t xml:space="preserve">for </w:t>
            </w:r>
            <w:r>
              <w:rPr>
                <w:rFonts w:ascii="Calibri"/>
                <w:b/>
                <w:color w:val="FFFFFF"/>
                <w:spacing w:val="-5"/>
              </w:rPr>
              <w:t>MSS</w:t>
            </w:r>
          </w:p>
        </w:tc>
        <w:tc>
          <w:tcPr>
            <w:tcW w:w="996" w:type="dxa"/>
            <w:tcBorders>
              <w:top w:val="nil"/>
              <w:left w:val="single" w:sz="18" w:space="0" w:color="FFFFFF"/>
              <w:bottom w:val="nil"/>
            </w:tcBorders>
            <w:shd w:val="clear" w:color="auto" w:fill="17365A"/>
          </w:tcPr>
          <w:p w14:paraId="6C6280AC" w14:textId="77777777" w:rsidR="00BC24A8" w:rsidRDefault="00BC24A8">
            <w:pPr>
              <w:pStyle w:val="TableParagraph"/>
              <w:rPr>
                <w:rFonts w:ascii="Calibri"/>
                <w:b/>
              </w:rPr>
            </w:pPr>
          </w:p>
          <w:p w14:paraId="19EF30BC" w14:textId="77777777" w:rsidR="00BC24A8" w:rsidRDefault="00BC24A8">
            <w:pPr>
              <w:pStyle w:val="TableParagraph"/>
              <w:spacing w:before="26"/>
              <w:rPr>
                <w:rFonts w:ascii="Calibri"/>
                <w:b/>
              </w:rPr>
            </w:pPr>
          </w:p>
          <w:p w14:paraId="082D65A8" w14:textId="77777777" w:rsidR="00BC24A8" w:rsidRDefault="00000000">
            <w:pPr>
              <w:pStyle w:val="TableParagraph"/>
              <w:ind w:left="105"/>
              <w:rPr>
                <w:rFonts w:ascii="Calibri"/>
                <w:b/>
              </w:rPr>
            </w:pPr>
            <w:r>
              <w:rPr>
                <w:rFonts w:ascii="Calibri"/>
                <w:b/>
                <w:color w:val="FFFFFF"/>
              </w:rPr>
              <w:t xml:space="preserve">% </w:t>
            </w:r>
            <w:r>
              <w:rPr>
                <w:rFonts w:ascii="Calibri"/>
                <w:b/>
                <w:color w:val="FFFFFF"/>
                <w:spacing w:val="-2"/>
              </w:rPr>
              <w:t>Spent</w:t>
            </w:r>
          </w:p>
        </w:tc>
      </w:tr>
      <w:tr w:rsidR="00BC24A8" w14:paraId="31C721BB" w14:textId="77777777">
        <w:trPr>
          <w:trHeight w:val="362"/>
        </w:trPr>
        <w:tc>
          <w:tcPr>
            <w:tcW w:w="1117" w:type="dxa"/>
            <w:tcBorders>
              <w:top w:val="nil"/>
              <w:left w:val="nil"/>
              <w:bottom w:val="single" w:sz="4" w:space="0" w:color="BEBEBE"/>
              <w:right w:val="single" w:sz="18" w:space="0" w:color="FFFFFF"/>
            </w:tcBorders>
          </w:tcPr>
          <w:p w14:paraId="60582568" w14:textId="77777777" w:rsidR="00BC24A8" w:rsidRDefault="00000000">
            <w:pPr>
              <w:pStyle w:val="TableParagraph"/>
              <w:spacing w:before="61"/>
              <w:ind w:left="112"/>
              <w:rPr>
                <w:sz w:val="20"/>
              </w:rPr>
            </w:pPr>
            <w:r>
              <w:rPr>
                <w:spacing w:val="-4"/>
                <w:sz w:val="20"/>
              </w:rPr>
              <w:t>Aceh</w:t>
            </w:r>
          </w:p>
        </w:tc>
        <w:tc>
          <w:tcPr>
            <w:tcW w:w="1662" w:type="dxa"/>
            <w:tcBorders>
              <w:top w:val="nil"/>
              <w:left w:val="single" w:sz="18" w:space="0" w:color="FFFFFF"/>
              <w:bottom w:val="single" w:sz="4" w:space="0" w:color="BEBEBE"/>
              <w:right w:val="nil"/>
            </w:tcBorders>
          </w:tcPr>
          <w:p w14:paraId="309FF5AD" w14:textId="77777777" w:rsidR="00BC24A8" w:rsidRDefault="00000000">
            <w:pPr>
              <w:pStyle w:val="TableParagraph"/>
              <w:spacing w:before="61"/>
              <w:ind w:left="1" w:right="26"/>
              <w:jc w:val="center"/>
              <w:rPr>
                <w:sz w:val="20"/>
              </w:rPr>
            </w:pPr>
            <w:r>
              <w:rPr>
                <w:spacing w:val="-2"/>
                <w:sz w:val="20"/>
              </w:rPr>
              <w:t>576,766,482,000</w:t>
            </w:r>
          </w:p>
        </w:tc>
        <w:tc>
          <w:tcPr>
            <w:tcW w:w="832" w:type="dxa"/>
            <w:tcBorders>
              <w:top w:val="nil"/>
              <w:left w:val="nil"/>
              <w:bottom w:val="single" w:sz="4" w:space="0" w:color="BEBEBE"/>
              <w:right w:val="single" w:sz="18" w:space="0" w:color="FFFFFF"/>
            </w:tcBorders>
          </w:tcPr>
          <w:p w14:paraId="03A0C119" w14:textId="77777777" w:rsidR="00BC24A8" w:rsidRDefault="00000000">
            <w:pPr>
              <w:pStyle w:val="TableParagraph"/>
              <w:spacing w:before="61"/>
              <w:ind w:left="27"/>
              <w:jc w:val="center"/>
              <w:rPr>
                <w:sz w:val="20"/>
              </w:rPr>
            </w:pPr>
            <w:r>
              <w:rPr>
                <w:spacing w:val="-2"/>
                <w:sz w:val="20"/>
              </w:rPr>
              <w:t>28.6%</w:t>
            </w:r>
          </w:p>
        </w:tc>
        <w:tc>
          <w:tcPr>
            <w:tcW w:w="724" w:type="dxa"/>
            <w:tcBorders>
              <w:top w:val="nil"/>
              <w:left w:val="single" w:sz="18" w:space="0" w:color="FFFFFF"/>
              <w:bottom w:val="single" w:sz="4" w:space="0" w:color="BEBEBE"/>
              <w:right w:val="single" w:sz="18" w:space="0" w:color="FFFFFF"/>
            </w:tcBorders>
            <w:shd w:val="clear" w:color="auto" w:fill="E4F3F1"/>
          </w:tcPr>
          <w:p w14:paraId="491C87FD" w14:textId="77777777" w:rsidR="00BC24A8" w:rsidRDefault="00000000">
            <w:pPr>
              <w:pStyle w:val="TableParagraph"/>
              <w:spacing w:before="61"/>
              <w:ind w:left="4"/>
              <w:jc w:val="center"/>
              <w:rPr>
                <w:sz w:val="20"/>
              </w:rPr>
            </w:pPr>
            <w:r>
              <w:rPr>
                <w:spacing w:val="-2"/>
                <w:sz w:val="20"/>
              </w:rPr>
              <w:t>46.1%</w:t>
            </w:r>
          </w:p>
        </w:tc>
        <w:tc>
          <w:tcPr>
            <w:tcW w:w="884" w:type="dxa"/>
            <w:tcBorders>
              <w:top w:val="nil"/>
              <w:left w:val="single" w:sz="18" w:space="0" w:color="FFFFFF"/>
              <w:bottom w:val="single" w:sz="4" w:space="0" w:color="BEBEBE"/>
              <w:right w:val="nil"/>
            </w:tcBorders>
          </w:tcPr>
          <w:p w14:paraId="6699DFAE" w14:textId="77777777" w:rsidR="00BC24A8" w:rsidRDefault="00000000">
            <w:pPr>
              <w:pStyle w:val="TableParagraph"/>
              <w:spacing w:before="61"/>
              <w:ind w:left="176"/>
              <w:rPr>
                <w:sz w:val="20"/>
              </w:rPr>
            </w:pPr>
            <w:r>
              <w:rPr>
                <w:spacing w:val="-2"/>
                <w:sz w:val="20"/>
              </w:rPr>
              <w:t>89.2%</w:t>
            </w:r>
          </w:p>
        </w:tc>
        <w:tc>
          <w:tcPr>
            <w:tcW w:w="1676" w:type="dxa"/>
            <w:tcBorders>
              <w:top w:val="nil"/>
              <w:left w:val="nil"/>
              <w:bottom w:val="single" w:sz="4" w:space="0" w:color="BEBEBE"/>
              <w:right w:val="nil"/>
            </w:tcBorders>
          </w:tcPr>
          <w:p w14:paraId="38271032" w14:textId="77777777" w:rsidR="00BC24A8" w:rsidRDefault="00000000">
            <w:pPr>
              <w:pStyle w:val="TableParagraph"/>
              <w:spacing w:before="61"/>
              <w:ind w:left="3"/>
              <w:jc w:val="center"/>
              <w:rPr>
                <w:sz w:val="20"/>
              </w:rPr>
            </w:pPr>
            <w:r>
              <w:rPr>
                <w:spacing w:val="-2"/>
                <w:sz w:val="20"/>
              </w:rPr>
              <w:t>389,904,617,000</w:t>
            </w:r>
          </w:p>
        </w:tc>
        <w:tc>
          <w:tcPr>
            <w:tcW w:w="777" w:type="dxa"/>
            <w:tcBorders>
              <w:top w:val="nil"/>
              <w:left w:val="nil"/>
              <w:bottom w:val="single" w:sz="4" w:space="0" w:color="BEBEBE"/>
              <w:right w:val="single" w:sz="18" w:space="0" w:color="FFFFFF"/>
            </w:tcBorders>
          </w:tcPr>
          <w:p w14:paraId="4DA51CEA" w14:textId="77777777" w:rsidR="00BC24A8" w:rsidRDefault="00000000">
            <w:pPr>
              <w:pStyle w:val="TableParagraph"/>
              <w:spacing w:before="61"/>
              <w:ind w:left="20" w:right="1"/>
              <w:jc w:val="center"/>
              <w:rPr>
                <w:sz w:val="20"/>
              </w:rPr>
            </w:pPr>
            <w:r>
              <w:rPr>
                <w:spacing w:val="-2"/>
                <w:sz w:val="20"/>
              </w:rPr>
              <w:t>17.6%</w:t>
            </w:r>
          </w:p>
        </w:tc>
        <w:tc>
          <w:tcPr>
            <w:tcW w:w="777" w:type="dxa"/>
            <w:tcBorders>
              <w:top w:val="nil"/>
              <w:left w:val="single" w:sz="18" w:space="0" w:color="FFFFFF"/>
              <w:bottom w:val="single" w:sz="4" w:space="0" w:color="BEBEBE"/>
              <w:right w:val="single" w:sz="18" w:space="0" w:color="FFFFFF"/>
            </w:tcBorders>
            <w:shd w:val="clear" w:color="auto" w:fill="E4F3F1"/>
          </w:tcPr>
          <w:p w14:paraId="5253132D" w14:textId="77777777" w:rsidR="00BC24A8" w:rsidRDefault="00000000">
            <w:pPr>
              <w:pStyle w:val="TableParagraph"/>
              <w:spacing w:before="61"/>
              <w:ind w:left="3" w:right="4"/>
              <w:jc w:val="center"/>
              <w:rPr>
                <w:sz w:val="20"/>
              </w:rPr>
            </w:pPr>
            <w:r>
              <w:rPr>
                <w:spacing w:val="-5"/>
                <w:sz w:val="20"/>
              </w:rPr>
              <w:t>69%</w:t>
            </w:r>
          </w:p>
        </w:tc>
        <w:tc>
          <w:tcPr>
            <w:tcW w:w="781" w:type="dxa"/>
            <w:tcBorders>
              <w:top w:val="nil"/>
              <w:left w:val="single" w:sz="18" w:space="0" w:color="FFFFFF"/>
              <w:bottom w:val="single" w:sz="4" w:space="0" w:color="BEBEBE"/>
              <w:right w:val="nil"/>
            </w:tcBorders>
          </w:tcPr>
          <w:p w14:paraId="58137AD7" w14:textId="77777777" w:rsidR="00BC24A8" w:rsidRDefault="00000000">
            <w:pPr>
              <w:pStyle w:val="TableParagraph"/>
              <w:spacing w:before="61"/>
              <w:ind w:right="24"/>
              <w:jc w:val="center"/>
              <w:rPr>
                <w:sz w:val="20"/>
              </w:rPr>
            </w:pPr>
            <w:r>
              <w:rPr>
                <w:spacing w:val="-2"/>
                <w:sz w:val="20"/>
              </w:rPr>
              <w:t>99.1%</w:t>
            </w:r>
          </w:p>
        </w:tc>
        <w:tc>
          <w:tcPr>
            <w:tcW w:w="1676" w:type="dxa"/>
            <w:tcBorders>
              <w:top w:val="nil"/>
              <w:left w:val="nil"/>
              <w:bottom w:val="single" w:sz="4" w:space="0" w:color="BEBEBE"/>
              <w:right w:val="nil"/>
            </w:tcBorders>
          </w:tcPr>
          <w:p w14:paraId="7E5C6D9B" w14:textId="77777777" w:rsidR="00BC24A8" w:rsidRDefault="00000000">
            <w:pPr>
              <w:pStyle w:val="TableParagraph"/>
              <w:spacing w:before="61"/>
              <w:ind w:left="3" w:right="3"/>
              <w:jc w:val="center"/>
              <w:rPr>
                <w:sz w:val="20"/>
              </w:rPr>
            </w:pPr>
            <w:r>
              <w:rPr>
                <w:spacing w:val="-2"/>
                <w:sz w:val="20"/>
              </w:rPr>
              <w:t>529,518,273,000</w:t>
            </w:r>
          </w:p>
        </w:tc>
        <w:tc>
          <w:tcPr>
            <w:tcW w:w="778" w:type="dxa"/>
            <w:tcBorders>
              <w:top w:val="nil"/>
              <w:left w:val="nil"/>
              <w:bottom w:val="single" w:sz="4" w:space="0" w:color="BEBEBE"/>
              <w:right w:val="single" w:sz="18" w:space="0" w:color="FFFFFF"/>
            </w:tcBorders>
          </w:tcPr>
          <w:p w14:paraId="3AE5DBE7" w14:textId="77777777" w:rsidR="00BC24A8" w:rsidRDefault="00000000">
            <w:pPr>
              <w:pStyle w:val="TableParagraph"/>
              <w:spacing w:before="61"/>
              <w:ind w:left="13"/>
              <w:jc w:val="center"/>
              <w:rPr>
                <w:sz w:val="20"/>
              </w:rPr>
            </w:pPr>
            <w:r>
              <w:rPr>
                <w:spacing w:val="-2"/>
                <w:sz w:val="20"/>
              </w:rPr>
              <w:t>23.4%</w:t>
            </w:r>
          </w:p>
        </w:tc>
        <w:tc>
          <w:tcPr>
            <w:tcW w:w="994" w:type="dxa"/>
            <w:tcBorders>
              <w:top w:val="nil"/>
              <w:left w:val="single" w:sz="18" w:space="0" w:color="FFFFFF"/>
              <w:bottom w:val="single" w:sz="4" w:space="0" w:color="BEBEBE"/>
              <w:right w:val="single" w:sz="18" w:space="0" w:color="FFFFFF"/>
            </w:tcBorders>
            <w:shd w:val="clear" w:color="auto" w:fill="E4F3F1"/>
          </w:tcPr>
          <w:p w14:paraId="1F320BDB" w14:textId="77777777" w:rsidR="00BC24A8" w:rsidRDefault="00000000">
            <w:pPr>
              <w:pStyle w:val="TableParagraph"/>
              <w:spacing w:before="61"/>
              <w:ind w:right="8"/>
              <w:jc w:val="center"/>
              <w:rPr>
                <w:sz w:val="20"/>
              </w:rPr>
            </w:pPr>
            <w:r>
              <w:rPr>
                <w:spacing w:val="-2"/>
                <w:sz w:val="20"/>
              </w:rPr>
              <w:t>54.3%</w:t>
            </w:r>
          </w:p>
        </w:tc>
        <w:tc>
          <w:tcPr>
            <w:tcW w:w="996" w:type="dxa"/>
            <w:vMerge w:val="restart"/>
            <w:tcBorders>
              <w:top w:val="nil"/>
              <w:left w:val="single" w:sz="18" w:space="0" w:color="FFFFFF"/>
              <w:bottom w:val="single" w:sz="4" w:space="0" w:color="BEBEBE"/>
              <w:right w:val="nil"/>
            </w:tcBorders>
          </w:tcPr>
          <w:p w14:paraId="5DFD895A" w14:textId="77777777" w:rsidR="00BC24A8" w:rsidRDefault="00BC24A8">
            <w:pPr>
              <w:pStyle w:val="TableParagraph"/>
              <w:rPr>
                <w:rFonts w:ascii="Calibri"/>
                <w:b/>
                <w:sz w:val="20"/>
              </w:rPr>
            </w:pPr>
          </w:p>
          <w:p w14:paraId="628B35C2" w14:textId="77777777" w:rsidR="00BC24A8" w:rsidRDefault="00BC24A8">
            <w:pPr>
              <w:pStyle w:val="TableParagraph"/>
              <w:rPr>
                <w:rFonts w:ascii="Calibri"/>
                <w:b/>
                <w:sz w:val="20"/>
              </w:rPr>
            </w:pPr>
          </w:p>
          <w:p w14:paraId="119A3B2E" w14:textId="77777777" w:rsidR="00BC24A8" w:rsidRDefault="00BC24A8">
            <w:pPr>
              <w:pStyle w:val="TableParagraph"/>
              <w:rPr>
                <w:rFonts w:ascii="Calibri"/>
                <w:b/>
                <w:sz w:val="20"/>
              </w:rPr>
            </w:pPr>
          </w:p>
          <w:p w14:paraId="64DD162C" w14:textId="77777777" w:rsidR="00BC24A8" w:rsidRDefault="00BC24A8">
            <w:pPr>
              <w:pStyle w:val="TableParagraph"/>
              <w:rPr>
                <w:rFonts w:ascii="Calibri"/>
                <w:b/>
                <w:sz w:val="20"/>
              </w:rPr>
            </w:pPr>
          </w:p>
          <w:p w14:paraId="10A8743F" w14:textId="77777777" w:rsidR="00BC24A8" w:rsidRDefault="00BC24A8">
            <w:pPr>
              <w:pStyle w:val="TableParagraph"/>
              <w:rPr>
                <w:rFonts w:ascii="Calibri"/>
                <w:b/>
                <w:sz w:val="20"/>
              </w:rPr>
            </w:pPr>
          </w:p>
          <w:p w14:paraId="29805BB2" w14:textId="77777777" w:rsidR="00BC24A8" w:rsidRDefault="00BC24A8">
            <w:pPr>
              <w:pStyle w:val="TableParagraph"/>
              <w:rPr>
                <w:rFonts w:ascii="Calibri"/>
                <w:b/>
                <w:sz w:val="20"/>
              </w:rPr>
            </w:pPr>
          </w:p>
          <w:p w14:paraId="3C4A8817" w14:textId="77777777" w:rsidR="00BC24A8" w:rsidRDefault="00BC24A8">
            <w:pPr>
              <w:pStyle w:val="TableParagraph"/>
              <w:spacing w:before="157"/>
              <w:rPr>
                <w:rFonts w:ascii="Calibri"/>
                <w:b/>
                <w:sz w:val="20"/>
              </w:rPr>
            </w:pPr>
          </w:p>
          <w:p w14:paraId="1253BEB0" w14:textId="77777777" w:rsidR="00BC24A8" w:rsidRDefault="00000000">
            <w:pPr>
              <w:pStyle w:val="TableParagraph"/>
              <w:ind w:left="120" w:right="148" w:firstLine="5"/>
              <w:jc w:val="center"/>
              <w:rPr>
                <w:sz w:val="20"/>
              </w:rPr>
            </w:pPr>
            <w:r>
              <w:rPr>
                <w:sz w:val="20"/>
              </w:rPr>
              <w:t>Data</w:t>
            </w:r>
            <w:r>
              <w:rPr>
                <w:spacing w:val="-12"/>
                <w:sz w:val="20"/>
              </w:rPr>
              <w:t xml:space="preserve"> </w:t>
            </w:r>
            <w:r>
              <w:rPr>
                <w:sz w:val="20"/>
              </w:rPr>
              <w:t xml:space="preserve">are </w:t>
            </w:r>
            <w:r>
              <w:rPr>
                <w:spacing w:val="-4"/>
                <w:sz w:val="20"/>
              </w:rPr>
              <w:t xml:space="preserve">not </w:t>
            </w:r>
            <w:r>
              <w:rPr>
                <w:spacing w:val="-2"/>
                <w:sz w:val="20"/>
              </w:rPr>
              <w:t>available</w:t>
            </w:r>
          </w:p>
        </w:tc>
      </w:tr>
      <w:tr w:rsidR="00BC24A8" w14:paraId="05E23D78" w14:textId="77777777">
        <w:trPr>
          <w:trHeight w:val="364"/>
        </w:trPr>
        <w:tc>
          <w:tcPr>
            <w:tcW w:w="1117" w:type="dxa"/>
            <w:tcBorders>
              <w:top w:val="single" w:sz="4" w:space="0" w:color="BEBEBE"/>
              <w:left w:val="nil"/>
              <w:bottom w:val="single" w:sz="4" w:space="0" w:color="BEBEBE"/>
              <w:right w:val="single" w:sz="18" w:space="0" w:color="FFFFFF"/>
            </w:tcBorders>
          </w:tcPr>
          <w:p w14:paraId="3F65DAD3" w14:textId="77777777" w:rsidR="00BC24A8" w:rsidRDefault="00000000">
            <w:pPr>
              <w:pStyle w:val="TableParagraph"/>
              <w:spacing w:before="61"/>
              <w:ind w:left="112"/>
              <w:rPr>
                <w:sz w:val="20"/>
              </w:rPr>
            </w:pPr>
            <w:r>
              <w:rPr>
                <w:spacing w:val="-2"/>
                <w:sz w:val="20"/>
              </w:rPr>
              <w:t>Gorontalo</w:t>
            </w:r>
          </w:p>
        </w:tc>
        <w:tc>
          <w:tcPr>
            <w:tcW w:w="1662" w:type="dxa"/>
            <w:tcBorders>
              <w:top w:val="single" w:sz="4" w:space="0" w:color="BEBEBE"/>
              <w:left w:val="single" w:sz="18" w:space="0" w:color="FFFFFF"/>
              <w:bottom w:val="single" w:sz="4" w:space="0" w:color="BEBEBE"/>
              <w:right w:val="nil"/>
            </w:tcBorders>
          </w:tcPr>
          <w:p w14:paraId="4188ACF7" w14:textId="77777777" w:rsidR="00BC24A8" w:rsidRDefault="00000000">
            <w:pPr>
              <w:pStyle w:val="TableParagraph"/>
              <w:spacing w:before="61"/>
              <w:ind w:left="1" w:right="26"/>
              <w:jc w:val="center"/>
              <w:rPr>
                <w:sz w:val="20"/>
              </w:rPr>
            </w:pPr>
            <w:r>
              <w:rPr>
                <w:spacing w:val="-2"/>
                <w:sz w:val="20"/>
              </w:rPr>
              <w:t>315,856,768,000</w:t>
            </w:r>
          </w:p>
        </w:tc>
        <w:tc>
          <w:tcPr>
            <w:tcW w:w="832" w:type="dxa"/>
            <w:tcBorders>
              <w:top w:val="single" w:sz="4" w:space="0" w:color="BEBEBE"/>
              <w:left w:val="nil"/>
              <w:bottom w:val="single" w:sz="4" w:space="0" w:color="BEBEBE"/>
              <w:right w:val="single" w:sz="18" w:space="0" w:color="FFFFFF"/>
            </w:tcBorders>
          </w:tcPr>
          <w:p w14:paraId="3360512E" w14:textId="77777777" w:rsidR="00BC24A8" w:rsidRDefault="00000000">
            <w:pPr>
              <w:pStyle w:val="TableParagraph"/>
              <w:spacing w:before="61"/>
              <w:ind w:left="27"/>
              <w:jc w:val="center"/>
              <w:rPr>
                <w:sz w:val="20"/>
              </w:rPr>
            </w:pPr>
            <w:r>
              <w:rPr>
                <w:spacing w:val="-2"/>
                <w:sz w:val="20"/>
              </w:rPr>
              <w:t>32.4%</w:t>
            </w:r>
          </w:p>
        </w:tc>
        <w:tc>
          <w:tcPr>
            <w:tcW w:w="724" w:type="dxa"/>
            <w:tcBorders>
              <w:top w:val="single" w:sz="4" w:space="0" w:color="BEBEBE"/>
              <w:left w:val="single" w:sz="18" w:space="0" w:color="FFFFFF"/>
              <w:bottom w:val="single" w:sz="4" w:space="0" w:color="BEBEBE"/>
              <w:right w:val="single" w:sz="18" w:space="0" w:color="FFFFFF"/>
            </w:tcBorders>
            <w:shd w:val="clear" w:color="auto" w:fill="E4F3F1"/>
          </w:tcPr>
          <w:p w14:paraId="11171633" w14:textId="77777777" w:rsidR="00BC24A8" w:rsidRDefault="00000000">
            <w:pPr>
              <w:pStyle w:val="TableParagraph"/>
              <w:spacing w:before="61"/>
              <w:ind w:left="4" w:right="1"/>
              <w:jc w:val="center"/>
              <w:rPr>
                <w:rFonts w:ascii="Calibri"/>
                <w:b/>
                <w:sz w:val="20"/>
              </w:rPr>
            </w:pPr>
            <w:r>
              <w:rPr>
                <w:rFonts w:ascii="Calibri"/>
                <w:b/>
                <w:color w:val="17365A"/>
                <w:spacing w:val="-2"/>
                <w:sz w:val="20"/>
              </w:rPr>
              <w:t>65.0%</w:t>
            </w:r>
          </w:p>
        </w:tc>
        <w:tc>
          <w:tcPr>
            <w:tcW w:w="884" w:type="dxa"/>
            <w:tcBorders>
              <w:top w:val="single" w:sz="4" w:space="0" w:color="BEBEBE"/>
              <w:left w:val="single" w:sz="18" w:space="0" w:color="FFFFFF"/>
              <w:bottom w:val="single" w:sz="4" w:space="0" w:color="BEBEBE"/>
              <w:right w:val="nil"/>
            </w:tcBorders>
          </w:tcPr>
          <w:p w14:paraId="3DBB56C1" w14:textId="77777777" w:rsidR="00BC24A8" w:rsidRDefault="00000000">
            <w:pPr>
              <w:pStyle w:val="TableParagraph"/>
              <w:spacing w:before="61"/>
              <w:ind w:left="176"/>
              <w:rPr>
                <w:sz w:val="20"/>
              </w:rPr>
            </w:pPr>
            <w:r>
              <w:rPr>
                <w:spacing w:val="-2"/>
                <w:sz w:val="20"/>
              </w:rPr>
              <w:t>97.5%</w:t>
            </w:r>
          </w:p>
        </w:tc>
        <w:tc>
          <w:tcPr>
            <w:tcW w:w="1676" w:type="dxa"/>
            <w:tcBorders>
              <w:top w:val="single" w:sz="4" w:space="0" w:color="BEBEBE"/>
              <w:left w:val="nil"/>
              <w:bottom w:val="single" w:sz="4" w:space="0" w:color="BEBEBE"/>
              <w:right w:val="nil"/>
            </w:tcBorders>
          </w:tcPr>
          <w:p w14:paraId="56FBF4BE" w14:textId="77777777" w:rsidR="00BC24A8" w:rsidRDefault="00000000">
            <w:pPr>
              <w:pStyle w:val="TableParagraph"/>
              <w:spacing w:before="61"/>
              <w:ind w:left="3"/>
              <w:jc w:val="center"/>
              <w:rPr>
                <w:sz w:val="20"/>
              </w:rPr>
            </w:pPr>
            <w:r>
              <w:rPr>
                <w:spacing w:val="-2"/>
                <w:sz w:val="20"/>
              </w:rPr>
              <w:t>172,378,949,000</w:t>
            </w:r>
          </w:p>
        </w:tc>
        <w:tc>
          <w:tcPr>
            <w:tcW w:w="777" w:type="dxa"/>
            <w:tcBorders>
              <w:top w:val="single" w:sz="4" w:space="0" w:color="BEBEBE"/>
              <w:left w:val="nil"/>
              <w:bottom w:val="single" w:sz="4" w:space="0" w:color="BEBEBE"/>
              <w:right w:val="single" w:sz="18" w:space="0" w:color="FFFFFF"/>
            </w:tcBorders>
          </w:tcPr>
          <w:p w14:paraId="1AE8F391" w14:textId="77777777" w:rsidR="00BC24A8" w:rsidRDefault="00000000">
            <w:pPr>
              <w:pStyle w:val="TableParagraph"/>
              <w:spacing w:before="61"/>
              <w:ind w:left="20" w:right="1"/>
              <w:jc w:val="center"/>
              <w:rPr>
                <w:sz w:val="20"/>
              </w:rPr>
            </w:pPr>
            <w:r>
              <w:rPr>
                <w:spacing w:val="-2"/>
                <w:sz w:val="20"/>
              </w:rPr>
              <w:t>17.1%</w:t>
            </w:r>
          </w:p>
        </w:tc>
        <w:tc>
          <w:tcPr>
            <w:tcW w:w="777" w:type="dxa"/>
            <w:tcBorders>
              <w:top w:val="single" w:sz="4" w:space="0" w:color="BEBEBE"/>
              <w:left w:val="single" w:sz="18" w:space="0" w:color="FFFFFF"/>
              <w:bottom w:val="single" w:sz="4" w:space="0" w:color="BEBEBE"/>
              <w:right w:val="single" w:sz="18" w:space="0" w:color="FFFFFF"/>
            </w:tcBorders>
            <w:shd w:val="clear" w:color="auto" w:fill="E4F3F1"/>
          </w:tcPr>
          <w:p w14:paraId="75D4D3A5" w14:textId="77777777" w:rsidR="00BC24A8" w:rsidRDefault="00000000">
            <w:pPr>
              <w:pStyle w:val="TableParagraph"/>
              <w:spacing w:before="61"/>
              <w:ind w:left="3" w:right="7"/>
              <w:jc w:val="center"/>
              <w:rPr>
                <w:rFonts w:ascii="Calibri"/>
                <w:b/>
                <w:sz w:val="20"/>
              </w:rPr>
            </w:pPr>
            <w:r>
              <w:rPr>
                <w:rFonts w:ascii="Calibri"/>
                <w:b/>
                <w:color w:val="17365A"/>
                <w:spacing w:val="-2"/>
                <w:sz w:val="20"/>
              </w:rPr>
              <w:t>85.6%</w:t>
            </w:r>
          </w:p>
        </w:tc>
        <w:tc>
          <w:tcPr>
            <w:tcW w:w="781" w:type="dxa"/>
            <w:tcBorders>
              <w:top w:val="single" w:sz="4" w:space="0" w:color="BEBEBE"/>
              <w:left w:val="single" w:sz="18" w:space="0" w:color="FFFFFF"/>
              <w:bottom w:val="single" w:sz="4" w:space="0" w:color="BEBEBE"/>
              <w:right w:val="nil"/>
            </w:tcBorders>
          </w:tcPr>
          <w:p w14:paraId="00C85635" w14:textId="77777777" w:rsidR="00BC24A8" w:rsidRDefault="00000000">
            <w:pPr>
              <w:pStyle w:val="TableParagraph"/>
              <w:spacing w:before="61"/>
              <w:ind w:right="24"/>
              <w:jc w:val="center"/>
              <w:rPr>
                <w:sz w:val="20"/>
              </w:rPr>
            </w:pPr>
            <w:r>
              <w:rPr>
                <w:spacing w:val="-2"/>
                <w:sz w:val="20"/>
              </w:rPr>
              <w:t>89.7%</w:t>
            </w:r>
          </w:p>
        </w:tc>
        <w:tc>
          <w:tcPr>
            <w:tcW w:w="1676" w:type="dxa"/>
            <w:tcBorders>
              <w:top w:val="single" w:sz="4" w:space="0" w:color="BEBEBE"/>
              <w:left w:val="nil"/>
              <w:bottom w:val="single" w:sz="4" w:space="0" w:color="BEBEBE"/>
              <w:right w:val="nil"/>
            </w:tcBorders>
          </w:tcPr>
          <w:p w14:paraId="209FED12" w14:textId="77777777" w:rsidR="00BC24A8" w:rsidRDefault="00000000">
            <w:pPr>
              <w:pStyle w:val="TableParagraph"/>
              <w:spacing w:before="61"/>
              <w:ind w:left="3" w:right="3"/>
              <w:jc w:val="center"/>
              <w:rPr>
                <w:sz w:val="20"/>
              </w:rPr>
            </w:pPr>
            <w:r>
              <w:rPr>
                <w:spacing w:val="-2"/>
                <w:sz w:val="20"/>
              </w:rPr>
              <w:t>162,172,655,000</w:t>
            </w:r>
          </w:p>
        </w:tc>
        <w:tc>
          <w:tcPr>
            <w:tcW w:w="778" w:type="dxa"/>
            <w:tcBorders>
              <w:top w:val="single" w:sz="4" w:space="0" w:color="BEBEBE"/>
              <w:left w:val="nil"/>
              <w:bottom w:val="single" w:sz="4" w:space="0" w:color="BEBEBE"/>
              <w:right w:val="single" w:sz="18" w:space="0" w:color="FFFFFF"/>
            </w:tcBorders>
          </w:tcPr>
          <w:p w14:paraId="32569FC3" w14:textId="77777777" w:rsidR="00BC24A8" w:rsidRDefault="00000000">
            <w:pPr>
              <w:pStyle w:val="TableParagraph"/>
              <w:spacing w:before="61"/>
              <w:ind w:left="13"/>
              <w:jc w:val="center"/>
              <w:rPr>
                <w:sz w:val="20"/>
              </w:rPr>
            </w:pPr>
            <w:r>
              <w:rPr>
                <w:spacing w:val="-2"/>
                <w:sz w:val="20"/>
              </w:rPr>
              <w:t>15.7%</w:t>
            </w:r>
          </w:p>
        </w:tc>
        <w:tc>
          <w:tcPr>
            <w:tcW w:w="994" w:type="dxa"/>
            <w:tcBorders>
              <w:top w:val="single" w:sz="4" w:space="0" w:color="BEBEBE"/>
              <w:left w:val="single" w:sz="18" w:space="0" w:color="FFFFFF"/>
              <w:bottom w:val="single" w:sz="4" w:space="0" w:color="BEBEBE"/>
              <w:right w:val="single" w:sz="18" w:space="0" w:color="FFFFFF"/>
            </w:tcBorders>
            <w:shd w:val="clear" w:color="auto" w:fill="E4F3F1"/>
          </w:tcPr>
          <w:p w14:paraId="403BC11D" w14:textId="77777777" w:rsidR="00BC24A8" w:rsidRDefault="00000000">
            <w:pPr>
              <w:pStyle w:val="TableParagraph"/>
              <w:spacing w:before="61"/>
              <w:ind w:right="8"/>
              <w:jc w:val="center"/>
              <w:rPr>
                <w:rFonts w:ascii="Calibri"/>
                <w:b/>
                <w:sz w:val="20"/>
              </w:rPr>
            </w:pPr>
            <w:r>
              <w:rPr>
                <w:rFonts w:ascii="Calibri"/>
                <w:b/>
                <w:color w:val="17365A"/>
                <w:spacing w:val="-2"/>
                <w:sz w:val="20"/>
              </w:rPr>
              <w:t>81.4%</w:t>
            </w:r>
          </w:p>
        </w:tc>
        <w:tc>
          <w:tcPr>
            <w:tcW w:w="996" w:type="dxa"/>
            <w:vMerge/>
            <w:tcBorders>
              <w:top w:val="nil"/>
              <w:left w:val="single" w:sz="18" w:space="0" w:color="FFFFFF"/>
              <w:bottom w:val="single" w:sz="4" w:space="0" w:color="BEBEBE"/>
              <w:right w:val="nil"/>
            </w:tcBorders>
          </w:tcPr>
          <w:p w14:paraId="4F6C3962" w14:textId="77777777" w:rsidR="00BC24A8" w:rsidRDefault="00BC24A8">
            <w:pPr>
              <w:rPr>
                <w:sz w:val="2"/>
                <w:szCs w:val="2"/>
              </w:rPr>
            </w:pPr>
          </w:p>
        </w:tc>
      </w:tr>
      <w:tr w:rsidR="00BC24A8" w14:paraId="36B8BED5" w14:textId="77777777">
        <w:trPr>
          <w:trHeight w:val="364"/>
        </w:trPr>
        <w:tc>
          <w:tcPr>
            <w:tcW w:w="1117" w:type="dxa"/>
            <w:tcBorders>
              <w:top w:val="single" w:sz="4" w:space="0" w:color="BEBEBE"/>
              <w:left w:val="nil"/>
              <w:bottom w:val="single" w:sz="4" w:space="0" w:color="BEBEBE"/>
              <w:right w:val="single" w:sz="18" w:space="0" w:color="FFFFFF"/>
            </w:tcBorders>
          </w:tcPr>
          <w:p w14:paraId="535CE867" w14:textId="77777777" w:rsidR="00BC24A8" w:rsidRDefault="00000000">
            <w:pPr>
              <w:pStyle w:val="TableParagraph"/>
              <w:spacing w:before="61"/>
              <w:ind w:left="112"/>
              <w:rPr>
                <w:sz w:val="20"/>
              </w:rPr>
            </w:pPr>
            <w:r>
              <w:rPr>
                <w:spacing w:val="-2"/>
                <w:sz w:val="20"/>
              </w:rPr>
              <w:t>Kaltara</w:t>
            </w:r>
          </w:p>
        </w:tc>
        <w:tc>
          <w:tcPr>
            <w:tcW w:w="1662" w:type="dxa"/>
            <w:tcBorders>
              <w:top w:val="single" w:sz="4" w:space="0" w:color="BEBEBE"/>
              <w:left w:val="single" w:sz="18" w:space="0" w:color="FFFFFF"/>
              <w:bottom w:val="single" w:sz="4" w:space="0" w:color="BEBEBE"/>
              <w:right w:val="nil"/>
            </w:tcBorders>
          </w:tcPr>
          <w:p w14:paraId="2E4CA005" w14:textId="77777777" w:rsidR="00BC24A8" w:rsidRDefault="00000000">
            <w:pPr>
              <w:pStyle w:val="TableParagraph"/>
              <w:spacing w:before="61"/>
              <w:ind w:left="1" w:right="26"/>
              <w:jc w:val="center"/>
              <w:rPr>
                <w:sz w:val="20"/>
              </w:rPr>
            </w:pPr>
            <w:r>
              <w:rPr>
                <w:spacing w:val="-2"/>
                <w:sz w:val="20"/>
              </w:rPr>
              <w:t>250,365,040,000</w:t>
            </w:r>
          </w:p>
        </w:tc>
        <w:tc>
          <w:tcPr>
            <w:tcW w:w="832" w:type="dxa"/>
            <w:tcBorders>
              <w:top w:val="single" w:sz="4" w:space="0" w:color="BEBEBE"/>
              <w:left w:val="nil"/>
              <w:bottom w:val="single" w:sz="4" w:space="0" w:color="BEBEBE"/>
              <w:right w:val="single" w:sz="18" w:space="0" w:color="FFFFFF"/>
            </w:tcBorders>
          </w:tcPr>
          <w:p w14:paraId="4CA3A92C" w14:textId="77777777" w:rsidR="00BC24A8" w:rsidRDefault="00000000">
            <w:pPr>
              <w:pStyle w:val="TableParagraph"/>
              <w:spacing w:before="61"/>
              <w:ind w:left="27"/>
              <w:jc w:val="center"/>
              <w:rPr>
                <w:sz w:val="20"/>
              </w:rPr>
            </w:pPr>
            <w:r>
              <w:rPr>
                <w:spacing w:val="-2"/>
                <w:sz w:val="20"/>
              </w:rPr>
              <w:t>22.4%</w:t>
            </w:r>
          </w:p>
        </w:tc>
        <w:tc>
          <w:tcPr>
            <w:tcW w:w="724" w:type="dxa"/>
            <w:tcBorders>
              <w:top w:val="single" w:sz="4" w:space="0" w:color="BEBEBE"/>
              <w:left w:val="single" w:sz="18" w:space="0" w:color="FFFFFF"/>
              <w:bottom w:val="single" w:sz="4" w:space="0" w:color="BEBEBE"/>
              <w:right w:val="single" w:sz="18" w:space="0" w:color="FFFFFF"/>
            </w:tcBorders>
            <w:shd w:val="clear" w:color="auto" w:fill="E4F3F1"/>
          </w:tcPr>
          <w:p w14:paraId="3D9DD028" w14:textId="77777777" w:rsidR="00BC24A8" w:rsidRDefault="00000000">
            <w:pPr>
              <w:pStyle w:val="TableParagraph"/>
              <w:spacing w:before="61"/>
              <w:ind w:left="4"/>
              <w:jc w:val="center"/>
              <w:rPr>
                <w:sz w:val="20"/>
              </w:rPr>
            </w:pPr>
            <w:r>
              <w:rPr>
                <w:spacing w:val="-2"/>
                <w:sz w:val="20"/>
              </w:rPr>
              <w:t>40.1%</w:t>
            </w:r>
          </w:p>
        </w:tc>
        <w:tc>
          <w:tcPr>
            <w:tcW w:w="884" w:type="dxa"/>
            <w:tcBorders>
              <w:top w:val="single" w:sz="4" w:space="0" w:color="BEBEBE"/>
              <w:left w:val="single" w:sz="18" w:space="0" w:color="FFFFFF"/>
              <w:bottom w:val="single" w:sz="4" w:space="0" w:color="BEBEBE"/>
              <w:right w:val="nil"/>
            </w:tcBorders>
          </w:tcPr>
          <w:p w14:paraId="6A4759D5" w14:textId="77777777" w:rsidR="00BC24A8" w:rsidRDefault="00000000">
            <w:pPr>
              <w:pStyle w:val="TableParagraph"/>
              <w:spacing w:before="61"/>
              <w:ind w:left="176"/>
              <w:rPr>
                <w:sz w:val="20"/>
              </w:rPr>
            </w:pPr>
            <w:r>
              <w:rPr>
                <w:spacing w:val="-2"/>
                <w:sz w:val="20"/>
              </w:rPr>
              <w:t>94.3%</w:t>
            </w:r>
          </w:p>
        </w:tc>
        <w:tc>
          <w:tcPr>
            <w:tcW w:w="1676" w:type="dxa"/>
            <w:tcBorders>
              <w:top w:val="single" w:sz="4" w:space="0" w:color="BEBEBE"/>
              <w:left w:val="nil"/>
              <w:bottom w:val="single" w:sz="4" w:space="0" w:color="BEBEBE"/>
              <w:right w:val="nil"/>
            </w:tcBorders>
          </w:tcPr>
          <w:p w14:paraId="4E4E2F46" w14:textId="77777777" w:rsidR="00BC24A8" w:rsidRDefault="00000000">
            <w:pPr>
              <w:pStyle w:val="TableParagraph"/>
              <w:spacing w:before="61"/>
              <w:ind w:left="3"/>
              <w:jc w:val="center"/>
              <w:rPr>
                <w:sz w:val="20"/>
              </w:rPr>
            </w:pPr>
            <w:r>
              <w:rPr>
                <w:spacing w:val="-2"/>
                <w:sz w:val="20"/>
              </w:rPr>
              <w:t>235,190,992,000</w:t>
            </w:r>
          </w:p>
        </w:tc>
        <w:tc>
          <w:tcPr>
            <w:tcW w:w="777" w:type="dxa"/>
            <w:tcBorders>
              <w:top w:val="single" w:sz="4" w:space="0" w:color="BEBEBE"/>
              <w:left w:val="nil"/>
              <w:bottom w:val="single" w:sz="4" w:space="0" w:color="BEBEBE"/>
              <w:right w:val="single" w:sz="18" w:space="0" w:color="FFFFFF"/>
            </w:tcBorders>
          </w:tcPr>
          <w:p w14:paraId="287863AD" w14:textId="77777777" w:rsidR="00BC24A8" w:rsidRDefault="00000000">
            <w:pPr>
              <w:pStyle w:val="TableParagraph"/>
              <w:spacing w:before="61"/>
              <w:ind w:left="20" w:right="1"/>
              <w:jc w:val="center"/>
              <w:rPr>
                <w:sz w:val="20"/>
              </w:rPr>
            </w:pPr>
            <w:r>
              <w:rPr>
                <w:spacing w:val="-2"/>
                <w:sz w:val="20"/>
              </w:rPr>
              <w:t>20.4%</w:t>
            </w:r>
          </w:p>
        </w:tc>
        <w:tc>
          <w:tcPr>
            <w:tcW w:w="777" w:type="dxa"/>
            <w:tcBorders>
              <w:top w:val="single" w:sz="4" w:space="0" w:color="BEBEBE"/>
              <w:left w:val="single" w:sz="18" w:space="0" w:color="FFFFFF"/>
              <w:bottom w:val="single" w:sz="4" w:space="0" w:color="BEBEBE"/>
              <w:right w:val="single" w:sz="18" w:space="0" w:color="FFFFFF"/>
            </w:tcBorders>
            <w:shd w:val="clear" w:color="auto" w:fill="E4F3F1"/>
          </w:tcPr>
          <w:p w14:paraId="2D94B61F" w14:textId="77777777" w:rsidR="00BC24A8" w:rsidRDefault="00000000">
            <w:pPr>
              <w:pStyle w:val="TableParagraph"/>
              <w:spacing w:before="61"/>
              <w:ind w:left="3" w:right="6"/>
              <w:jc w:val="center"/>
              <w:rPr>
                <w:sz w:val="20"/>
              </w:rPr>
            </w:pPr>
            <w:r>
              <w:rPr>
                <w:spacing w:val="-2"/>
                <w:sz w:val="20"/>
              </w:rPr>
              <w:t>53.9%</w:t>
            </w:r>
          </w:p>
        </w:tc>
        <w:tc>
          <w:tcPr>
            <w:tcW w:w="781" w:type="dxa"/>
            <w:tcBorders>
              <w:top w:val="single" w:sz="4" w:space="0" w:color="BEBEBE"/>
              <w:left w:val="single" w:sz="18" w:space="0" w:color="FFFFFF"/>
              <w:bottom w:val="single" w:sz="4" w:space="0" w:color="BEBEBE"/>
              <w:right w:val="nil"/>
            </w:tcBorders>
          </w:tcPr>
          <w:p w14:paraId="3D1B87AC" w14:textId="77777777" w:rsidR="00BC24A8" w:rsidRDefault="00000000">
            <w:pPr>
              <w:pStyle w:val="TableParagraph"/>
              <w:spacing w:before="61"/>
              <w:ind w:right="24"/>
              <w:jc w:val="center"/>
              <w:rPr>
                <w:sz w:val="20"/>
              </w:rPr>
            </w:pPr>
            <w:r>
              <w:rPr>
                <w:spacing w:val="-2"/>
                <w:sz w:val="20"/>
              </w:rPr>
              <w:t>92.9%</w:t>
            </w:r>
          </w:p>
        </w:tc>
        <w:tc>
          <w:tcPr>
            <w:tcW w:w="1676" w:type="dxa"/>
            <w:tcBorders>
              <w:top w:val="single" w:sz="4" w:space="0" w:color="BEBEBE"/>
              <w:left w:val="nil"/>
              <w:bottom w:val="single" w:sz="4" w:space="0" w:color="BEBEBE"/>
              <w:right w:val="nil"/>
            </w:tcBorders>
          </w:tcPr>
          <w:p w14:paraId="6430A51A" w14:textId="77777777" w:rsidR="00BC24A8" w:rsidRDefault="00000000">
            <w:pPr>
              <w:pStyle w:val="TableParagraph"/>
              <w:spacing w:before="61"/>
              <w:ind w:left="3" w:right="3"/>
              <w:jc w:val="center"/>
              <w:rPr>
                <w:sz w:val="20"/>
              </w:rPr>
            </w:pPr>
            <w:r>
              <w:rPr>
                <w:spacing w:val="-2"/>
                <w:sz w:val="20"/>
              </w:rPr>
              <w:t>265,712,374,000</w:t>
            </w:r>
          </w:p>
        </w:tc>
        <w:tc>
          <w:tcPr>
            <w:tcW w:w="778" w:type="dxa"/>
            <w:tcBorders>
              <w:top w:val="single" w:sz="4" w:space="0" w:color="BEBEBE"/>
              <w:left w:val="nil"/>
              <w:bottom w:val="single" w:sz="4" w:space="0" w:color="BEBEBE"/>
              <w:right w:val="single" w:sz="18" w:space="0" w:color="FFFFFF"/>
            </w:tcBorders>
          </w:tcPr>
          <w:p w14:paraId="393ACB8F" w14:textId="77777777" w:rsidR="00BC24A8" w:rsidRDefault="00000000">
            <w:pPr>
              <w:pStyle w:val="TableParagraph"/>
              <w:spacing w:before="61"/>
              <w:ind w:left="13"/>
              <w:jc w:val="center"/>
              <w:rPr>
                <w:sz w:val="20"/>
              </w:rPr>
            </w:pPr>
            <w:r>
              <w:rPr>
                <w:spacing w:val="-2"/>
                <w:sz w:val="20"/>
              </w:rPr>
              <w:t>22.4%</w:t>
            </w:r>
          </w:p>
        </w:tc>
        <w:tc>
          <w:tcPr>
            <w:tcW w:w="994" w:type="dxa"/>
            <w:tcBorders>
              <w:top w:val="single" w:sz="4" w:space="0" w:color="BEBEBE"/>
              <w:left w:val="single" w:sz="18" w:space="0" w:color="FFFFFF"/>
              <w:bottom w:val="single" w:sz="4" w:space="0" w:color="BEBEBE"/>
              <w:right w:val="single" w:sz="18" w:space="0" w:color="FFFFFF"/>
            </w:tcBorders>
            <w:shd w:val="clear" w:color="auto" w:fill="E4F3F1"/>
          </w:tcPr>
          <w:p w14:paraId="1FA0031E" w14:textId="77777777" w:rsidR="00BC24A8" w:rsidRDefault="00000000">
            <w:pPr>
              <w:pStyle w:val="TableParagraph"/>
              <w:spacing w:before="61"/>
              <w:ind w:right="8"/>
              <w:jc w:val="center"/>
              <w:rPr>
                <w:sz w:val="20"/>
              </w:rPr>
            </w:pPr>
            <w:r>
              <w:rPr>
                <w:spacing w:val="-2"/>
                <w:sz w:val="20"/>
              </w:rPr>
              <w:t>29.6%</w:t>
            </w:r>
          </w:p>
        </w:tc>
        <w:tc>
          <w:tcPr>
            <w:tcW w:w="996" w:type="dxa"/>
            <w:vMerge/>
            <w:tcBorders>
              <w:top w:val="nil"/>
              <w:left w:val="single" w:sz="18" w:space="0" w:color="FFFFFF"/>
              <w:bottom w:val="single" w:sz="4" w:space="0" w:color="BEBEBE"/>
              <w:right w:val="nil"/>
            </w:tcBorders>
          </w:tcPr>
          <w:p w14:paraId="58A46B64" w14:textId="77777777" w:rsidR="00BC24A8" w:rsidRDefault="00BC24A8">
            <w:pPr>
              <w:rPr>
                <w:sz w:val="2"/>
                <w:szCs w:val="2"/>
              </w:rPr>
            </w:pPr>
          </w:p>
        </w:tc>
      </w:tr>
      <w:tr w:rsidR="00BC24A8" w14:paraId="5FC1C980" w14:textId="77777777">
        <w:trPr>
          <w:trHeight w:val="364"/>
        </w:trPr>
        <w:tc>
          <w:tcPr>
            <w:tcW w:w="1117" w:type="dxa"/>
            <w:tcBorders>
              <w:top w:val="single" w:sz="4" w:space="0" w:color="BEBEBE"/>
              <w:left w:val="nil"/>
              <w:bottom w:val="single" w:sz="4" w:space="0" w:color="BEBEBE"/>
              <w:right w:val="single" w:sz="18" w:space="0" w:color="FFFFFF"/>
            </w:tcBorders>
          </w:tcPr>
          <w:p w14:paraId="687DD39C" w14:textId="77777777" w:rsidR="00BC24A8" w:rsidRDefault="00000000">
            <w:pPr>
              <w:pStyle w:val="TableParagraph"/>
              <w:spacing w:before="61"/>
              <w:ind w:left="112"/>
              <w:rPr>
                <w:sz w:val="20"/>
              </w:rPr>
            </w:pPr>
            <w:r>
              <w:rPr>
                <w:spacing w:val="-2"/>
                <w:sz w:val="20"/>
              </w:rPr>
              <w:t>Maluku</w:t>
            </w:r>
          </w:p>
        </w:tc>
        <w:tc>
          <w:tcPr>
            <w:tcW w:w="1662" w:type="dxa"/>
            <w:tcBorders>
              <w:top w:val="single" w:sz="4" w:space="0" w:color="BEBEBE"/>
              <w:left w:val="single" w:sz="18" w:space="0" w:color="FFFFFF"/>
              <w:bottom w:val="single" w:sz="4" w:space="0" w:color="BEBEBE"/>
              <w:right w:val="nil"/>
            </w:tcBorders>
          </w:tcPr>
          <w:p w14:paraId="3E2BE688" w14:textId="77777777" w:rsidR="00BC24A8" w:rsidRDefault="00000000">
            <w:pPr>
              <w:pStyle w:val="TableParagraph"/>
              <w:spacing w:before="61"/>
              <w:ind w:left="1" w:right="26"/>
              <w:jc w:val="center"/>
              <w:rPr>
                <w:sz w:val="20"/>
              </w:rPr>
            </w:pPr>
            <w:r>
              <w:rPr>
                <w:spacing w:val="-2"/>
                <w:sz w:val="20"/>
              </w:rPr>
              <w:t>454,492,999,000</w:t>
            </w:r>
          </w:p>
        </w:tc>
        <w:tc>
          <w:tcPr>
            <w:tcW w:w="832" w:type="dxa"/>
            <w:tcBorders>
              <w:top w:val="single" w:sz="4" w:space="0" w:color="BEBEBE"/>
              <w:left w:val="nil"/>
              <w:bottom w:val="single" w:sz="4" w:space="0" w:color="BEBEBE"/>
              <w:right w:val="single" w:sz="18" w:space="0" w:color="FFFFFF"/>
            </w:tcBorders>
          </w:tcPr>
          <w:p w14:paraId="3537C799" w14:textId="77777777" w:rsidR="00BC24A8" w:rsidRDefault="00000000">
            <w:pPr>
              <w:pStyle w:val="TableParagraph"/>
              <w:spacing w:before="61"/>
              <w:ind w:left="27"/>
              <w:jc w:val="center"/>
              <w:rPr>
                <w:sz w:val="20"/>
              </w:rPr>
            </w:pPr>
            <w:r>
              <w:rPr>
                <w:spacing w:val="-2"/>
                <w:sz w:val="20"/>
              </w:rPr>
              <w:t>28.8%</w:t>
            </w:r>
          </w:p>
        </w:tc>
        <w:tc>
          <w:tcPr>
            <w:tcW w:w="724" w:type="dxa"/>
            <w:tcBorders>
              <w:top w:val="single" w:sz="4" w:space="0" w:color="BEBEBE"/>
              <w:left w:val="single" w:sz="18" w:space="0" w:color="FFFFFF"/>
              <w:bottom w:val="single" w:sz="4" w:space="0" w:color="BEBEBE"/>
              <w:right w:val="single" w:sz="18" w:space="0" w:color="FFFFFF"/>
            </w:tcBorders>
            <w:shd w:val="clear" w:color="auto" w:fill="E4F3F1"/>
          </w:tcPr>
          <w:p w14:paraId="37F10A68" w14:textId="77777777" w:rsidR="00BC24A8" w:rsidRDefault="00000000">
            <w:pPr>
              <w:pStyle w:val="TableParagraph"/>
              <w:spacing w:before="61"/>
              <w:ind w:left="4"/>
              <w:jc w:val="center"/>
              <w:rPr>
                <w:sz w:val="20"/>
              </w:rPr>
            </w:pPr>
            <w:r>
              <w:rPr>
                <w:spacing w:val="-2"/>
                <w:sz w:val="20"/>
              </w:rPr>
              <w:t>59.2%</w:t>
            </w:r>
          </w:p>
        </w:tc>
        <w:tc>
          <w:tcPr>
            <w:tcW w:w="884" w:type="dxa"/>
            <w:tcBorders>
              <w:top w:val="single" w:sz="4" w:space="0" w:color="BEBEBE"/>
              <w:left w:val="single" w:sz="18" w:space="0" w:color="FFFFFF"/>
              <w:bottom w:val="single" w:sz="4" w:space="0" w:color="BEBEBE"/>
              <w:right w:val="nil"/>
            </w:tcBorders>
          </w:tcPr>
          <w:p w14:paraId="3528F8BF" w14:textId="77777777" w:rsidR="00BC24A8" w:rsidRDefault="00000000">
            <w:pPr>
              <w:pStyle w:val="TableParagraph"/>
              <w:spacing w:before="61"/>
              <w:ind w:left="176"/>
              <w:rPr>
                <w:sz w:val="20"/>
              </w:rPr>
            </w:pPr>
            <w:r>
              <w:rPr>
                <w:spacing w:val="-2"/>
                <w:sz w:val="20"/>
              </w:rPr>
              <w:t>68.9%</w:t>
            </w:r>
          </w:p>
        </w:tc>
        <w:tc>
          <w:tcPr>
            <w:tcW w:w="1676" w:type="dxa"/>
            <w:tcBorders>
              <w:top w:val="single" w:sz="4" w:space="0" w:color="BEBEBE"/>
              <w:left w:val="nil"/>
              <w:bottom w:val="single" w:sz="4" w:space="0" w:color="BEBEBE"/>
              <w:right w:val="nil"/>
            </w:tcBorders>
          </w:tcPr>
          <w:p w14:paraId="7FDB7D5E" w14:textId="77777777" w:rsidR="00BC24A8" w:rsidRDefault="00000000">
            <w:pPr>
              <w:pStyle w:val="TableParagraph"/>
              <w:spacing w:before="61"/>
              <w:ind w:left="3"/>
              <w:jc w:val="center"/>
              <w:rPr>
                <w:sz w:val="20"/>
              </w:rPr>
            </w:pPr>
            <w:r>
              <w:rPr>
                <w:spacing w:val="-2"/>
                <w:sz w:val="20"/>
              </w:rPr>
              <w:t>271,630,274,000</w:t>
            </w:r>
          </w:p>
        </w:tc>
        <w:tc>
          <w:tcPr>
            <w:tcW w:w="777" w:type="dxa"/>
            <w:tcBorders>
              <w:top w:val="single" w:sz="4" w:space="0" w:color="BEBEBE"/>
              <w:left w:val="nil"/>
              <w:bottom w:val="single" w:sz="4" w:space="0" w:color="BEBEBE"/>
              <w:right w:val="single" w:sz="18" w:space="0" w:color="FFFFFF"/>
            </w:tcBorders>
          </w:tcPr>
          <w:p w14:paraId="22657204" w14:textId="77777777" w:rsidR="00BC24A8" w:rsidRDefault="00000000">
            <w:pPr>
              <w:pStyle w:val="TableParagraph"/>
              <w:spacing w:before="61"/>
              <w:ind w:left="20" w:right="1"/>
              <w:jc w:val="center"/>
              <w:rPr>
                <w:sz w:val="20"/>
              </w:rPr>
            </w:pPr>
            <w:r>
              <w:rPr>
                <w:spacing w:val="-2"/>
                <w:sz w:val="20"/>
              </w:rPr>
              <w:t>16.6%</w:t>
            </w:r>
          </w:p>
        </w:tc>
        <w:tc>
          <w:tcPr>
            <w:tcW w:w="777" w:type="dxa"/>
            <w:tcBorders>
              <w:top w:val="single" w:sz="4" w:space="0" w:color="BEBEBE"/>
              <w:left w:val="single" w:sz="18" w:space="0" w:color="FFFFFF"/>
              <w:bottom w:val="single" w:sz="4" w:space="0" w:color="BEBEBE"/>
              <w:right w:val="single" w:sz="18" w:space="0" w:color="FFFFFF"/>
            </w:tcBorders>
            <w:shd w:val="clear" w:color="auto" w:fill="E4F3F1"/>
          </w:tcPr>
          <w:p w14:paraId="28D3C877" w14:textId="77777777" w:rsidR="00BC24A8" w:rsidRDefault="00000000">
            <w:pPr>
              <w:pStyle w:val="TableParagraph"/>
              <w:spacing w:before="61"/>
              <w:ind w:left="3" w:right="6"/>
              <w:jc w:val="center"/>
              <w:rPr>
                <w:sz w:val="20"/>
              </w:rPr>
            </w:pPr>
            <w:r>
              <w:rPr>
                <w:spacing w:val="-2"/>
                <w:sz w:val="20"/>
              </w:rPr>
              <w:t>67.7%</w:t>
            </w:r>
          </w:p>
        </w:tc>
        <w:tc>
          <w:tcPr>
            <w:tcW w:w="781" w:type="dxa"/>
            <w:tcBorders>
              <w:top w:val="single" w:sz="4" w:space="0" w:color="BEBEBE"/>
              <w:left w:val="single" w:sz="18" w:space="0" w:color="FFFFFF"/>
              <w:bottom w:val="single" w:sz="4" w:space="0" w:color="BEBEBE"/>
              <w:right w:val="nil"/>
            </w:tcBorders>
          </w:tcPr>
          <w:p w14:paraId="5FBE3BDE" w14:textId="77777777" w:rsidR="00BC24A8" w:rsidRDefault="00000000">
            <w:pPr>
              <w:pStyle w:val="TableParagraph"/>
              <w:spacing w:before="61"/>
              <w:ind w:right="24"/>
              <w:jc w:val="center"/>
              <w:rPr>
                <w:sz w:val="20"/>
              </w:rPr>
            </w:pPr>
            <w:r>
              <w:rPr>
                <w:spacing w:val="-2"/>
                <w:sz w:val="20"/>
              </w:rPr>
              <w:t>81.9%</w:t>
            </w:r>
          </w:p>
        </w:tc>
        <w:tc>
          <w:tcPr>
            <w:tcW w:w="1676" w:type="dxa"/>
            <w:tcBorders>
              <w:top w:val="single" w:sz="4" w:space="0" w:color="BEBEBE"/>
              <w:left w:val="nil"/>
              <w:bottom w:val="single" w:sz="4" w:space="0" w:color="BEBEBE"/>
              <w:right w:val="nil"/>
            </w:tcBorders>
          </w:tcPr>
          <w:p w14:paraId="200BAE29" w14:textId="77777777" w:rsidR="00BC24A8" w:rsidRDefault="00000000">
            <w:pPr>
              <w:pStyle w:val="TableParagraph"/>
              <w:spacing w:before="61"/>
              <w:ind w:left="3" w:right="3"/>
              <w:jc w:val="center"/>
              <w:rPr>
                <w:sz w:val="20"/>
              </w:rPr>
            </w:pPr>
            <w:r>
              <w:rPr>
                <w:spacing w:val="-2"/>
                <w:sz w:val="20"/>
              </w:rPr>
              <w:t>358,955,636,000</w:t>
            </w:r>
          </w:p>
        </w:tc>
        <w:tc>
          <w:tcPr>
            <w:tcW w:w="778" w:type="dxa"/>
            <w:tcBorders>
              <w:top w:val="single" w:sz="4" w:space="0" w:color="BEBEBE"/>
              <w:left w:val="nil"/>
              <w:bottom w:val="single" w:sz="4" w:space="0" w:color="BEBEBE"/>
              <w:right w:val="single" w:sz="18" w:space="0" w:color="FFFFFF"/>
            </w:tcBorders>
          </w:tcPr>
          <w:p w14:paraId="7B250DB1" w14:textId="77777777" w:rsidR="00BC24A8" w:rsidRDefault="00000000">
            <w:pPr>
              <w:pStyle w:val="TableParagraph"/>
              <w:spacing w:before="61"/>
              <w:ind w:left="13"/>
              <w:jc w:val="center"/>
              <w:rPr>
                <w:sz w:val="20"/>
              </w:rPr>
            </w:pPr>
            <w:r>
              <w:rPr>
                <w:spacing w:val="-2"/>
                <w:sz w:val="20"/>
              </w:rPr>
              <w:t>21.5%</w:t>
            </w:r>
          </w:p>
        </w:tc>
        <w:tc>
          <w:tcPr>
            <w:tcW w:w="994" w:type="dxa"/>
            <w:tcBorders>
              <w:top w:val="single" w:sz="4" w:space="0" w:color="BEBEBE"/>
              <w:left w:val="single" w:sz="18" w:space="0" w:color="FFFFFF"/>
              <w:bottom w:val="single" w:sz="4" w:space="0" w:color="BEBEBE"/>
              <w:right w:val="single" w:sz="18" w:space="0" w:color="FFFFFF"/>
            </w:tcBorders>
            <w:shd w:val="clear" w:color="auto" w:fill="E4F3F1"/>
          </w:tcPr>
          <w:p w14:paraId="578B4559" w14:textId="77777777" w:rsidR="00BC24A8" w:rsidRDefault="00000000">
            <w:pPr>
              <w:pStyle w:val="TableParagraph"/>
              <w:spacing w:before="61"/>
              <w:ind w:right="8"/>
              <w:jc w:val="center"/>
              <w:rPr>
                <w:sz w:val="20"/>
              </w:rPr>
            </w:pPr>
            <w:r>
              <w:rPr>
                <w:spacing w:val="-2"/>
                <w:sz w:val="20"/>
              </w:rPr>
              <w:t>71.1%</w:t>
            </w:r>
          </w:p>
        </w:tc>
        <w:tc>
          <w:tcPr>
            <w:tcW w:w="996" w:type="dxa"/>
            <w:vMerge/>
            <w:tcBorders>
              <w:top w:val="nil"/>
              <w:left w:val="single" w:sz="18" w:space="0" w:color="FFFFFF"/>
              <w:bottom w:val="single" w:sz="4" w:space="0" w:color="BEBEBE"/>
              <w:right w:val="nil"/>
            </w:tcBorders>
          </w:tcPr>
          <w:p w14:paraId="14F03F87" w14:textId="77777777" w:rsidR="00BC24A8" w:rsidRDefault="00BC24A8">
            <w:pPr>
              <w:rPr>
                <w:sz w:val="2"/>
                <w:szCs w:val="2"/>
              </w:rPr>
            </w:pPr>
          </w:p>
        </w:tc>
      </w:tr>
      <w:tr w:rsidR="00BC24A8" w14:paraId="413CCFF5" w14:textId="77777777">
        <w:trPr>
          <w:trHeight w:val="364"/>
        </w:trPr>
        <w:tc>
          <w:tcPr>
            <w:tcW w:w="1117" w:type="dxa"/>
            <w:tcBorders>
              <w:top w:val="single" w:sz="4" w:space="0" w:color="BEBEBE"/>
              <w:left w:val="nil"/>
              <w:bottom w:val="single" w:sz="4" w:space="0" w:color="BEBEBE"/>
              <w:right w:val="single" w:sz="18" w:space="0" w:color="FFFFFF"/>
            </w:tcBorders>
          </w:tcPr>
          <w:p w14:paraId="285C1AD4" w14:textId="77777777" w:rsidR="00BC24A8" w:rsidRDefault="00000000">
            <w:pPr>
              <w:pStyle w:val="TableParagraph"/>
              <w:spacing w:before="61"/>
              <w:ind w:left="112"/>
              <w:rPr>
                <w:sz w:val="20"/>
              </w:rPr>
            </w:pPr>
            <w:r>
              <w:rPr>
                <w:spacing w:val="-5"/>
                <w:sz w:val="20"/>
              </w:rPr>
              <w:t>NTB</w:t>
            </w:r>
          </w:p>
        </w:tc>
        <w:tc>
          <w:tcPr>
            <w:tcW w:w="1662" w:type="dxa"/>
            <w:tcBorders>
              <w:top w:val="single" w:sz="4" w:space="0" w:color="BEBEBE"/>
              <w:left w:val="single" w:sz="18" w:space="0" w:color="FFFFFF"/>
              <w:bottom w:val="single" w:sz="4" w:space="0" w:color="BEBEBE"/>
              <w:right w:val="nil"/>
            </w:tcBorders>
          </w:tcPr>
          <w:p w14:paraId="707DFCFF" w14:textId="77777777" w:rsidR="00BC24A8" w:rsidRDefault="00000000">
            <w:pPr>
              <w:pStyle w:val="TableParagraph"/>
              <w:spacing w:before="61"/>
              <w:ind w:left="1" w:right="26"/>
              <w:jc w:val="center"/>
              <w:rPr>
                <w:sz w:val="20"/>
              </w:rPr>
            </w:pPr>
            <w:r>
              <w:rPr>
                <w:spacing w:val="-2"/>
                <w:sz w:val="20"/>
              </w:rPr>
              <w:t>407,682,596,000</w:t>
            </w:r>
          </w:p>
        </w:tc>
        <w:tc>
          <w:tcPr>
            <w:tcW w:w="832" w:type="dxa"/>
            <w:tcBorders>
              <w:top w:val="single" w:sz="4" w:space="0" w:color="BEBEBE"/>
              <w:left w:val="nil"/>
              <w:bottom w:val="single" w:sz="4" w:space="0" w:color="BEBEBE"/>
              <w:right w:val="single" w:sz="18" w:space="0" w:color="FFFFFF"/>
            </w:tcBorders>
          </w:tcPr>
          <w:p w14:paraId="2C5FB581" w14:textId="77777777" w:rsidR="00BC24A8" w:rsidRDefault="00000000">
            <w:pPr>
              <w:pStyle w:val="TableParagraph"/>
              <w:spacing w:before="61"/>
              <w:ind w:left="27"/>
              <w:jc w:val="center"/>
              <w:rPr>
                <w:sz w:val="20"/>
              </w:rPr>
            </w:pPr>
            <w:r>
              <w:rPr>
                <w:spacing w:val="-2"/>
                <w:sz w:val="20"/>
              </w:rPr>
              <w:t>25.5%</w:t>
            </w:r>
          </w:p>
        </w:tc>
        <w:tc>
          <w:tcPr>
            <w:tcW w:w="724" w:type="dxa"/>
            <w:tcBorders>
              <w:top w:val="single" w:sz="4" w:space="0" w:color="BEBEBE"/>
              <w:left w:val="single" w:sz="18" w:space="0" w:color="FFFFFF"/>
              <w:bottom w:val="single" w:sz="4" w:space="0" w:color="BEBEBE"/>
              <w:right w:val="single" w:sz="18" w:space="0" w:color="FFFFFF"/>
            </w:tcBorders>
            <w:shd w:val="clear" w:color="auto" w:fill="E4F3F1"/>
          </w:tcPr>
          <w:p w14:paraId="6EC2DADF" w14:textId="77777777" w:rsidR="00BC24A8" w:rsidRDefault="00000000">
            <w:pPr>
              <w:pStyle w:val="TableParagraph"/>
              <w:spacing w:before="61"/>
              <w:ind w:left="4"/>
              <w:jc w:val="center"/>
              <w:rPr>
                <w:sz w:val="20"/>
              </w:rPr>
            </w:pPr>
            <w:r>
              <w:rPr>
                <w:spacing w:val="-2"/>
                <w:sz w:val="20"/>
              </w:rPr>
              <w:t>55.4%</w:t>
            </w:r>
          </w:p>
        </w:tc>
        <w:tc>
          <w:tcPr>
            <w:tcW w:w="884" w:type="dxa"/>
            <w:tcBorders>
              <w:top w:val="single" w:sz="4" w:space="0" w:color="BEBEBE"/>
              <w:left w:val="single" w:sz="18" w:space="0" w:color="FFFFFF"/>
              <w:bottom w:val="single" w:sz="4" w:space="0" w:color="BEBEBE"/>
              <w:right w:val="nil"/>
            </w:tcBorders>
          </w:tcPr>
          <w:p w14:paraId="44538204" w14:textId="77777777" w:rsidR="00BC24A8" w:rsidRDefault="00000000">
            <w:pPr>
              <w:pStyle w:val="TableParagraph"/>
              <w:spacing w:before="61"/>
              <w:ind w:left="176"/>
              <w:rPr>
                <w:sz w:val="20"/>
              </w:rPr>
            </w:pPr>
            <w:r>
              <w:rPr>
                <w:spacing w:val="-2"/>
                <w:sz w:val="20"/>
              </w:rPr>
              <w:t>99.4%</w:t>
            </w:r>
          </w:p>
        </w:tc>
        <w:tc>
          <w:tcPr>
            <w:tcW w:w="1676" w:type="dxa"/>
            <w:tcBorders>
              <w:top w:val="single" w:sz="4" w:space="0" w:color="BEBEBE"/>
              <w:left w:val="nil"/>
              <w:bottom w:val="single" w:sz="4" w:space="0" w:color="BEBEBE"/>
              <w:right w:val="nil"/>
            </w:tcBorders>
          </w:tcPr>
          <w:p w14:paraId="52AFA799" w14:textId="77777777" w:rsidR="00BC24A8" w:rsidRDefault="00000000">
            <w:pPr>
              <w:pStyle w:val="TableParagraph"/>
              <w:spacing w:before="61"/>
              <w:ind w:left="3"/>
              <w:jc w:val="center"/>
              <w:rPr>
                <w:sz w:val="20"/>
              </w:rPr>
            </w:pPr>
            <w:r>
              <w:rPr>
                <w:spacing w:val="-2"/>
                <w:sz w:val="20"/>
              </w:rPr>
              <w:t>232,767,825,000</w:t>
            </w:r>
          </w:p>
        </w:tc>
        <w:tc>
          <w:tcPr>
            <w:tcW w:w="777" w:type="dxa"/>
            <w:tcBorders>
              <w:top w:val="single" w:sz="4" w:space="0" w:color="BEBEBE"/>
              <w:left w:val="nil"/>
              <w:bottom w:val="single" w:sz="4" w:space="0" w:color="BEBEBE"/>
              <w:right w:val="single" w:sz="18" w:space="0" w:color="FFFFFF"/>
            </w:tcBorders>
          </w:tcPr>
          <w:p w14:paraId="37BD71BF" w14:textId="77777777" w:rsidR="00BC24A8" w:rsidRDefault="00000000">
            <w:pPr>
              <w:pStyle w:val="TableParagraph"/>
              <w:spacing w:before="61"/>
              <w:ind w:left="20" w:right="1"/>
              <w:jc w:val="center"/>
              <w:rPr>
                <w:sz w:val="20"/>
              </w:rPr>
            </w:pPr>
            <w:r>
              <w:rPr>
                <w:spacing w:val="-2"/>
                <w:sz w:val="20"/>
              </w:rPr>
              <w:t>13.5%</w:t>
            </w:r>
          </w:p>
        </w:tc>
        <w:tc>
          <w:tcPr>
            <w:tcW w:w="777" w:type="dxa"/>
            <w:tcBorders>
              <w:top w:val="single" w:sz="4" w:space="0" w:color="BEBEBE"/>
              <w:left w:val="single" w:sz="18" w:space="0" w:color="FFFFFF"/>
              <w:bottom w:val="single" w:sz="4" w:space="0" w:color="BEBEBE"/>
              <w:right w:val="single" w:sz="18" w:space="0" w:color="FFFFFF"/>
            </w:tcBorders>
            <w:shd w:val="clear" w:color="auto" w:fill="E4F3F1"/>
          </w:tcPr>
          <w:p w14:paraId="79C18C11" w14:textId="77777777" w:rsidR="00BC24A8" w:rsidRDefault="00000000">
            <w:pPr>
              <w:pStyle w:val="TableParagraph"/>
              <w:spacing w:before="61"/>
              <w:ind w:left="3" w:right="6"/>
              <w:jc w:val="center"/>
              <w:rPr>
                <w:sz w:val="20"/>
              </w:rPr>
            </w:pPr>
            <w:r>
              <w:rPr>
                <w:spacing w:val="-2"/>
                <w:sz w:val="20"/>
              </w:rPr>
              <w:t>69.7%</w:t>
            </w:r>
          </w:p>
        </w:tc>
        <w:tc>
          <w:tcPr>
            <w:tcW w:w="781" w:type="dxa"/>
            <w:tcBorders>
              <w:top w:val="single" w:sz="4" w:space="0" w:color="BEBEBE"/>
              <w:left w:val="single" w:sz="18" w:space="0" w:color="FFFFFF"/>
              <w:bottom w:val="single" w:sz="4" w:space="0" w:color="BEBEBE"/>
              <w:right w:val="nil"/>
            </w:tcBorders>
          </w:tcPr>
          <w:p w14:paraId="112766A8" w14:textId="77777777" w:rsidR="00BC24A8" w:rsidRDefault="00000000">
            <w:pPr>
              <w:pStyle w:val="TableParagraph"/>
              <w:spacing w:before="61"/>
              <w:ind w:right="24"/>
              <w:jc w:val="center"/>
              <w:rPr>
                <w:rFonts w:ascii="Calibri"/>
                <w:b/>
                <w:sz w:val="20"/>
              </w:rPr>
            </w:pPr>
            <w:r>
              <w:rPr>
                <w:rFonts w:ascii="Calibri"/>
                <w:b/>
                <w:color w:val="17365A"/>
                <w:spacing w:val="-2"/>
                <w:sz w:val="20"/>
              </w:rPr>
              <w:t>96.9%</w:t>
            </w:r>
          </w:p>
        </w:tc>
        <w:tc>
          <w:tcPr>
            <w:tcW w:w="1676" w:type="dxa"/>
            <w:tcBorders>
              <w:top w:val="single" w:sz="4" w:space="0" w:color="BEBEBE"/>
              <w:left w:val="nil"/>
              <w:bottom w:val="single" w:sz="4" w:space="0" w:color="BEBEBE"/>
              <w:right w:val="nil"/>
            </w:tcBorders>
          </w:tcPr>
          <w:p w14:paraId="2F9A05E3" w14:textId="77777777" w:rsidR="00BC24A8" w:rsidRDefault="00000000">
            <w:pPr>
              <w:pStyle w:val="TableParagraph"/>
              <w:spacing w:before="61"/>
              <w:ind w:left="3" w:right="3"/>
              <w:jc w:val="center"/>
              <w:rPr>
                <w:sz w:val="20"/>
              </w:rPr>
            </w:pPr>
            <w:r>
              <w:rPr>
                <w:spacing w:val="-2"/>
                <w:sz w:val="20"/>
              </w:rPr>
              <w:t>239,798,953,000</w:t>
            </w:r>
          </w:p>
        </w:tc>
        <w:tc>
          <w:tcPr>
            <w:tcW w:w="778" w:type="dxa"/>
            <w:tcBorders>
              <w:top w:val="single" w:sz="4" w:space="0" w:color="BEBEBE"/>
              <w:left w:val="nil"/>
              <w:bottom w:val="single" w:sz="4" w:space="0" w:color="BEBEBE"/>
              <w:right w:val="single" w:sz="18" w:space="0" w:color="FFFFFF"/>
            </w:tcBorders>
          </w:tcPr>
          <w:p w14:paraId="42E09A8D" w14:textId="77777777" w:rsidR="00BC24A8" w:rsidRDefault="00000000">
            <w:pPr>
              <w:pStyle w:val="TableParagraph"/>
              <w:spacing w:before="61"/>
              <w:ind w:left="13"/>
              <w:jc w:val="center"/>
              <w:rPr>
                <w:sz w:val="20"/>
              </w:rPr>
            </w:pPr>
            <w:r>
              <w:rPr>
                <w:spacing w:val="-2"/>
                <w:sz w:val="20"/>
              </w:rPr>
              <w:t>13.0%</w:t>
            </w:r>
          </w:p>
        </w:tc>
        <w:tc>
          <w:tcPr>
            <w:tcW w:w="994" w:type="dxa"/>
            <w:tcBorders>
              <w:top w:val="single" w:sz="4" w:space="0" w:color="BEBEBE"/>
              <w:left w:val="single" w:sz="18" w:space="0" w:color="FFFFFF"/>
              <w:bottom w:val="single" w:sz="4" w:space="0" w:color="BEBEBE"/>
              <w:right w:val="single" w:sz="18" w:space="0" w:color="FFFFFF"/>
            </w:tcBorders>
            <w:shd w:val="clear" w:color="auto" w:fill="E4F3F1"/>
          </w:tcPr>
          <w:p w14:paraId="3D95D8D5" w14:textId="77777777" w:rsidR="00BC24A8" w:rsidRDefault="00000000">
            <w:pPr>
              <w:pStyle w:val="TableParagraph"/>
              <w:spacing w:before="61"/>
              <w:ind w:right="8"/>
              <w:jc w:val="center"/>
              <w:rPr>
                <w:rFonts w:ascii="Calibri"/>
                <w:b/>
                <w:sz w:val="20"/>
              </w:rPr>
            </w:pPr>
            <w:r>
              <w:rPr>
                <w:rFonts w:ascii="Calibri"/>
                <w:b/>
                <w:color w:val="17365A"/>
                <w:spacing w:val="-2"/>
                <w:sz w:val="20"/>
              </w:rPr>
              <w:t>88.5%</w:t>
            </w:r>
          </w:p>
        </w:tc>
        <w:tc>
          <w:tcPr>
            <w:tcW w:w="996" w:type="dxa"/>
            <w:vMerge/>
            <w:tcBorders>
              <w:top w:val="nil"/>
              <w:left w:val="single" w:sz="18" w:space="0" w:color="FFFFFF"/>
              <w:bottom w:val="single" w:sz="4" w:space="0" w:color="BEBEBE"/>
              <w:right w:val="nil"/>
            </w:tcBorders>
          </w:tcPr>
          <w:p w14:paraId="38AC3367" w14:textId="77777777" w:rsidR="00BC24A8" w:rsidRDefault="00BC24A8">
            <w:pPr>
              <w:rPr>
                <w:sz w:val="2"/>
                <w:szCs w:val="2"/>
              </w:rPr>
            </w:pPr>
          </w:p>
        </w:tc>
      </w:tr>
      <w:tr w:rsidR="00BC24A8" w14:paraId="68226738" w14:textId="77777777">
        <w:trPr>
          <w:trHeight w:val="364"/>
        </w:trPr>
        <w:tc>
          <w:tcPr>
            <w:tcW w:w="1117" w:type="dxa"/>
            <w:tcBorders>
              <w:top w:val="single" w:sz="4" w:space="0" w:color="BEBEBE"/>
              <w:left w:val="nil"/>
              <w:bottom w:val="single" w:sz="4" w:space="0" w:color="BEBEBE"/>
              <w:right w:val="single" w:sz="18" w:space="0" w:color="FFFFFF"/>
            </w:tcBorders>
          </w:tcPr>
          <w:p w14:paraId="5502C62A" w14:textId="77777777" w:rsidR="00BC24A8" w:rsidRDefault="00000000">
            <w:pPr>
              <w:pStyle w:val="TableParagraph"/>
              <w:spacing w:before="61"/>
              <w:ind w:left="112"/>
              <w:rPr>
                <w:sz w:val="20"/>
              </w:rPr>
            </w:pPr>
            <w:r>
              <w:rPr>
                <w:spacing w:val="-5"/>
                <w:sz w:val="20"/>
              </w:rPr>
              <w:t>NTT</w:t>
            </w:r>
          </w:p>
        </w:tc>
        <w:tc>
          <w:tcPr>
            <w:tcW w:w="1662" w:type="dxa"/>
            <w:tcBorders>
              <w:top w:val="single" w:sz="4" w:space="0" w:color="BEBEBE"/>
              <w:left w:val="single" w:sz="18" w:space="0" w:color="FFFFFF"/>
              <w:bottom w:val="single" w:sz="4" w:space="0" w:color="BEBEBE"/>
              <w:right w:val="nil"/>
            </w:tcBorders>
          </w:tcPr>
          <w:p w14:paraId="66792321" w14:textId="77777777" w:rsidR="00BC24A8" w:rsidRDefault="00000000">
            <w:pPr>
              <w:pStyle w:val="TableParagraph"/>
              <w:spacing w:before="61"/>
              <w:ind w:left="1" w:right="26"/>
              <w:jc w:val="center"/>
              <w:rPr>
                <w:sz w:val="20"/>
              </w:rPr>
            </w:pPr>
            <w:r>
              <w:rPr>
                <w:spacing w:val="-2"/>
                <w:sz w:val="20"/>
              </w:rPr>
              <w:t>485,168,877,000</w:t>
            </w:r>
          </w:p>
        </w:tc>
        <w:tc>
          <w:tcPr>
            <w:tcW w:w="832" w:type="dxa"/>
            <w:tcBorders>
              <w:top w:val="single" w:sz="4" w:space="0" w:color="BEBEBE"/>
              <w:left w:val="nil"/>
              <w:bottom w:val="single" w:sz="4" w:space="0" w:color="BEBEBE"/>
              <w:right w:val="single" w:sz="18" w:space="0" w:color="FFFFFF"/>
            </w:tcBorders>
          </w:tcPr>
          <w:p w14:paraId="50459C14" w14:textId="77777777" w:rsidR="00BC24A8" w:rsidRDefault="00000000">
            <w:pPr>
              <w:pStyle w:val="TableParagraph"/>
              <w:spacing w:before="61"/>
              <w:ind w:left="27"/>
              <w:jc w:val="center"/>
              <w:rPr>
                <w:sz w:val="20"/>
              </w:rPr>
            </w:pPr>
            <w:r>
              <w:rPr>
                <w:spacing w:val="-2"/>
                <w:sz w:val="20"/>
              </w:rPr>
              <w:t>26.1%</w:t>
            </w:r>
          </w:p>
        </w:tc>
        <w:tc>
          <w:tcPr>
            <w:tcW w:w="724" w:type="dxa"/>
            <w:tcBorders>
              <w:top w:val="single" w:sz="4" w:space="0" w:color="BEBEBE"/>
              <w:left w:val="single" w:sz="18" w:space="0" w:color="FFFFFF"/>
              <w:bottom w:val="single" w:sz="4" w:space="0" w:color="BEBEBE"/>
              <w:right w:val="single" w:sz="18" w:space="0" w:color="FFFFFF"/>
            </w:tcBorders>
            <w:shd w:val="clear" w:color="auto" w:fill="E4F3F1"/>
          </w:tcPr>
          <w:p w14:paraId="1981851B" w14:textId="77777777" w:rsidR="00BC24A8" w:rsidRDefault="00000000">
            <w:pPr>
              <w:pStyle w:val="TableParagraph"/>
              <w:spacing w:before="61"/>
              <w:ind w:left="4"/>
              <w:jc w:val="center"/>
              <w:rPr>
                <w:sz w:val="20"/>
              </w:rPr>
            </w:pPr>
            <w:r>
              <w:rPr>
                <w:spacing w:val="-2"/>
                <w:sz w:val="20"/>
              </w:rPr>
              <w:t>82.8%</w:t>
            </w:r>
          </w:p>
        </w:tc>
        <w:tc>
          <w:tcPr>
            <w:tcW w:w="884" w:type="dxa"/>
            <w:tcBorders>
              <w:top w:val="single" w:sz="4" w:space="0" w:color="BEBEBE"/>
              <w:left w:val="single" w:sz="18" w:space="0" w:color="FFFFFF"/>
              <w:bottom w:val="single" w:sz="4" w:space="0" w:color="BEBEBE"/>
              <w:right w:val="nil"/>
            </w:tcBorders>
          </w:tcPr>
          <w:p w14:paraId="18DC2E7C" w14:textId="77777777" w:rsidR="00BC24A8" w:rsidRDefault="00000000">
            <w:pPr>
              <w:pStyle w:val="TableParagraph"/>
              <w:spacing w:before="61"/>
              <w:ind w:left="176"/>
              <w:rPr>
                <w:sz w:val="20"/>
              </w:rPr>
            </w:pPr>
            <w:r>
              <w:rPr>
                <w:spacing w:val="-2"/>
                <w:sz w:val="20"/>
              </w:rPr>
              <w:t>90.9%</w:t>
            </w:r>
          </w:p>
        </w:tc>
        <w:tc>
          <w:tcPr>
            <w:tcW w:w="1676" w:type="dxa"/>
            <w:tcBorders>
              <w:top w:val="single" w:sz="4" w:space="0" w:color="BEBEBE"/>
              <w:left w:val="nil"/>
              <w:bottom w:val="single" w:sz="4" w:space="0" w:color="BEBEBE"/>
              <w:right w:val="nil"/>
            </w:tcBorders>
          </w:tcPr>
          <w:p w14:paraId="51EFFE13" w14:textId="77777777" w:rsidR="00BC24A8" w:rsidRDefault="00000000">
            <w:pPr>
              <w:pStyle w:val="TableParagraph"/>
              <w:spacing w:before="61"/>
              <w:ind w:left="3"/>
              <w:jc w:val="center"/>
              <w:rPr>
                <w:sz w:val="20"/>
              </w:rPr>
            </w:pPr>
            <w:r>
              <w:rPr>
                <w:spacing w:val="-2"/>
                <w:sz w:val="20"/>
              </w:rPr>
              <w:t>326,160,071,000</w:t>
            </w:r>
          </w:p>
        </w:tc>
        <w:tc>
          <w:tcPr>
            <w:tcW w:w="777" w:type="dxa"/>
            <w:tcBorders>
              <w:top w:val="single" w:sz="4" w:space="0" w:color="BEBEBE"/>
              <w:left w:val="nil"/>
              <w:bottom w:val="single" w:sz="4" w:space="0" w:color="BEBEBE"/>
              <w:right w:val="single" w:sz="18" w:space="0" w:color="FFFFFF"/>
            </w:tcBorders>
          </w:tcPr>
          <w:p w14:paraId="7EF2ED20" w14:textId="77777777" w:rsidR="00BC24A8" w:rsidRDefault="00000000">
            <w:pPr>
              <w:pStyle w:val="TableParagraph"/>
              <w:spacing w:before="61"/>
              <w:ind w:left="20" w:right="1"/>
              <w:jc w:val="center"/>
              <w:rPr>
                <w:sz w:val="20"/>
              </w:rPr>
            </w:pPr>
            <w:r>
              <w:rPr>
                <w:spacing w:val="-2"/>
                <w:sz w:val="20"/>
              </w:rPr>
              <w:t>16.4%</w:t>
            </w:r>
          </w:p>
        </w:tc>
        <w:tc>
          <w:tcPr>
            <w:tcW w:w="777" w:type="dxa"/>
            <w:tcBorders>
              <w:top w:val="single" w:sz="4" w:space="0" w:color="BEBEBE"/>
              <w:left w:val="single" w:sz="18" w:space="0" w:color="FFFFFF"/>
              <w:bottom w:val="single" w:sz="4" w:space="0" w:color="BEBEBE"/>
              <w:right w:val="single" w:sz="18" w:space="0" w:color="FFFFFF"/>
            </w:tcBorders>
            <w:shd w:val="clear" w:color="auto" w:fill="E4F3F1"/>
          </w:tcPr>
          <w:p w14:paraId="487FD6BE" w14:textId="77777777" w:rsidR="00BC24A8" w:rsidRDefault="00000000">
            <w:pPr>
              <w:pStyle w:val="TableParagraph"/>
              <w:spacing w:before="61"/>
              <w:ind w:left="3" w:right="6"/>
              <w:jc w:val="center"/>
              <w:rPr>
                <w:sz w:val="20"/>
              </w:rPr>
            </w:pPr>
            <w:r>
              <w:rPr>
                <w:spacing w:val="-2"/>
                <w:sz w:val="20"/>
              </w:rPr>
              <w:t>73.2%</w:t>
            </w:r>
          </w:p>
        </w:tc>
        <w:tc>
          <w:tcPr>
            <w:tcW w:w="781" w:type="dxa"/>
            <w:tcBorders>
              <w:top w:val="single" w:sz="4" w:space="0" w:color="BEBEBE"/>
              <w:left w:val="single" w:sz="18" w:space="0" w:color="FFFFFF"/>
              <w:bottom w:val="single" w:sz="4" w:space="0" w:color="BEBEBE"/>
              <w:right w:val="nil"/>
            </w:tcBorders>
          </w:tcPr>
          <w:p w14:paraId="6B5E0313" w14:textId="77777777" w:rsidR="00BC24A8" w:rsidRDefault="00000000">
            <w:pPr>
              <w:pStyle w:val="TableParagraph"/>
              <w:spacing w:before="61"/>
              <w:ind w:right="24"/>
              <w:jc w:val="center"/>
              <w:rPr>
                <w:sz w:val="20"/>
              </w:rPr>
            </w:pPr>
            <w:r>
              <w:rPr>
                <w:spacing w:val="-2"/>
                <w:sz w:val="20"/>
              </w:rPr>
              <w:t>89.3%</w:t>
            </w:r>
          </w:p>
        </w:tc>
        <w:tc>
          <w:tcPr>
            <w:tcW w:w="1676" w:type="dxa"/>
            <w:tcBorders>
              <w:top w:val="single" w:sz="4" w:space="0" w:color="BEBEBE"/>
              <w:left w:val="nil"/>
              <w:bottom w:val="single" w:sz="4" w:space="0" w:color="BEBEBE"/>
              <w:right w:val="nil"/>
            </w:tcBorders>
          </w:tcPr>
          <w:p w14:paraId="10A8D7C2" w14:textId="77777777" w:rsidR="00BC24A8" w:rsidRDefault="00000000">
            <w:pPr>
              <w:pStyle w:val="TableParagraph"/>
              <w:spacing w:before="61"/>
              <w:ind w:left="3" w:right="3"/>
              <w:jc w:val="center"/>
              <w:rPr>
                <w:sz w:val="20"/>
              </w:rPr>
            </w:pPr>
            <w:r>
              <w:rPr>
                <w:spacing w:val="-2"/>
                <w:sz w:val="20"/>
              </w:rPr>
              <w:t>589,180,787,000</w:t>
            </w:r>
          </w:p>
        </w:tc>
        <w:tc>
          <w:tcPr>
            <w:tcW w:w="778" w:type="dxa"/>
            <w:tcBorders>
              <w:top w:val="single" w:sz="4" w:space="0" w:color="BEBEBE"/>
              <w:left w:val="nil"/>
              <w:bottom w:val="single" w:sz="4" w:space="0" w:color="BEBEBE"/>
              <w:right w:val="single" w:sz="18" w:space="0" w:color="FFFFFF"/>
            </w:tcBorders>
          </w:tcPr>
          <w:p w14:paraId="3869D7A9" w14:textId="77777777" w:rsidR="00BC24A8" w:rsidRDefault="00000000">
            <w:pPr>
              <w:pStyle w:val="TableParagraph"/>
              <w:spacing w:before="61"/>
              <w:ind w:left="13"/>
              <w:jc w:val="center"/>
              <w:rPr>
                <w:sz w:val="20"/>
              </w:rPr>
            </w:pPr>
            <w:r>
              <w:rPr>
                <w:spacing w:val="-2"/>
                <w:sz w:val="20"/>
              </w:rPr>
              <w:t>27.6%</w:t>
            </w:r>
          </w:p>
        </w:tc>
        <w:tc>
          <w:tcPr>
            <w:tcW w:w="994" w:type="dxa"/>
            <w:tcBorders>
              <w:top w:val="single" w:sz="4" w:space="0" w:color="BEBEBE"/>
              <w:left w:val="single" w:sz="18" w:space="0" w:color="FFFFFF"/>
              <w:bottom w:val="single" w:sz="4" w:space="0" w:color="BEBEBE"/>
              <w:right w:val="single" w:sz="18" w:space="0" w:color="FFFFFF"/>
            </w:tcBorders>
            <w:shd w:val="clear" w:color="auto" w:fill="E4F3F1"/>
          </w:tcPr>
          <w:p w14:paraId="4F835259" w14:textId="77777777" w:rsidR="00BC24A8" w:rsidRDefault="00000000">
            <w:pPr>
              <w:pStyle w:val="TableParagraph"/>
              <w:spacing w:before="61"/>
              <w:ind w:right="8"/>
              <w:jc w:val="center"/>
              <w:rPr>
                <w:sz w:val="20"/>
              </w:rPr>
            </w:pPr>
            <w:r>
              <w:rPr>
                <w:spacing w:val="-2"/>
                <w:sz w:val="20"/>
              </w:rPr>
              <w:t>51.3%</w:t>
            </w:r>
          </w:p>
        </w:tc>
        <w:tc>
          <w:tcPr>
            <w:tcW w:w="996" w:type="dxa"/>
            <w:vMerge/>
            <w:tcBorders>
              <w:top w:val="nil"/>
              <w:left w:val="single" w:sz="18" w:space="0" w:color="FFFFFF"/>
              <w:bottom w:val="single" w:sz="4" w:space="0" w:color="BEBEBE"/>
              <w:right w:val="nil"/>
            </w:tcBorders>
          </w:tcPr>
          <w:p w14:paraId="7BFB0602" w14:textId="77777777" w:rsidR="00BC24A8" w:rsidRDefault="00BC24A8">
            <w:pPr>
              <w:rPr>
                <w:sz w:val="2"/>
                <w:szCs w:val="2"/>
              </w:rPr>
            </w:pPr>
          </w:p>
        </w:tc>
      </w:tr>
      <w:tr w:rsidR="00BC24A8" w14:paraId="6FF7CF5D" w14:textId="77777777">
        <w:trPr>
          <w:trHeight w:val="364"/>
        </w:trPr>
        <w:tc>
          <w:tcPr>
            <w:tcW w:w="1117" w:type="dxa"/>
            <w:tcBorders>
              <w:top w:val="single" w:sz="4" w:space="0" w:color="BEBEBE"/>
              <w:left w:val="nil"/>
              <w:bottom w:val="single" w:sz="4" w:space="0" w:color="BEBEBE"/>
              <w:right w:val="single" w:sz="18" w:space="0" w:color="FFFFFF"/>
            </w:tcBorders>
          </w:tcPr>
          <w:p w14:paraId="0ADED026" w14:textId="77777777" w:rsidR="00BC24A8" w:rsidRDefault="00000000">
            <w:pPr>
              <w:pStyle w:val="TableParagraph"/>
              <w:spacing w:before="61"/>
              <w:ind w:left="112"/>
              <w:rPr>
                <w:sz w:val="20"/>
              </w:rPr>
            </w:pPr>
            <w:r>
              <w:rPr>
                <w:spacing w:val="-2"/>
                <w:sz w:val="20"/>
              </w:rPr>
              <w:t>Papua</w:t>
            </w:r>
          </w:p>
        </w:tc>
        <w:tc>
          <w:tcPr>
            <w:tcW w:w="1662" w:type="dxa"/>
            <w:tcBorders>
              <w:top w:val="single" w:sz="4" w:space="0" w:color="BEBEBE"/>
              <w:left w:val="single" w:sz="18" w:space="0" w:color="FFFFFF"/>
              <w:bottom w:val="single" w:sz="4" w:space="0" w:color="BEBEBE"/>
              <w:right w:val="nil"/>
            </w:tcBorders>
          </w:tcPr>
          <w:p w14:paraId="20E3FE80" w14:textId="77777777" w:rsidR="00BC24A8" w:rsidRDefault="00000000">
            <w:pPr>
              <w:pStyle w:val="TableParagraph"/>
              <w:spacing w:before="61"/>
              <w:ind w:left="1" w:right="26"/>
              <w:jc w:val="center"/>
              <w:rPr>
                <w:sz w:val="20"/>
              </w:rPr>
            </w:pPr>
            <w:r>
              <w:rPr>
                <w:spacing w:val="-2"/>
                <w:sz w:val="20"/>
              </w:rPr>
              <w:t>151,139,667,000</w:t>
            </w:r>
          </w:p>
        </w:tc>
        <w:tc>
          <w:tcPr>
            <w:tcW w:w="832" w:type="dxa"/>
            <w:tcBorders>
              <w:top w:val="single" w:sz="4" w:space="0" w:color="BEBEBE"/>
              <w:left w:val="nil"/>
              <w:bottom w:val="single" w:sz="4" w:space="0" w:color="BEBEBE"/>
              <w:right w:val="single" w:sz="18" w:space="0" w:color="FFFFFF"/>
            </w:tcBorders>
          </w:tcPr>
          <w:p w14:paraId="65A72CEB" w14:textId="77777777" w:rsidR="00BC24A8" w:rsidRDefault="00000000">
            <w:pPr>
              <w:pStyle w:val="TableParagraph"/>
              <w:spacing w:before="61"/>
              <w:ind w:left="27"/>
              <w:jc w:val="center"/>
              <w:rPr>
                <w:sz w:val="20"/>
              </w:rPr>
            </w:pPr>
            <w:r>
              <w:rPr>
                <w:spacing w:val="-2"/>
                <w:sz w:val="20"/>
              </w:rPr>
              <w:t>18.3%</w:t>
            </w:r>
          </w:p>
        </w:tc>
        <w:tc>
          <w:tcPr>
            <w:tcW w:w="724" w:type="dxa"/>
            <w:tcBorders>
              <w:top w:val="single" w:sz="4" w:space="0" w:color="BEBEBE"/>
              <w:left w:val="single" w:sz="18" w:space="0" w:color="FFFFFF"/>
              <w:bottom w:val="single" w:sz="4" w:space="0" w:color="BEBEBE"/>
              <w:right w:val="single" w:sz="18" w:space="0" w:color="FFFFFF"/>
            </w:tcBorders>
            <w:shd w:val="clear" w:color="auto" w:fill="E4F3F1"/>
          </w:tcPr>
          <w:p w14:paraId="59732AF5" w14:textId="77777777" w:rsidR="00BC24A8" w:rsidRDefault="00000000">
            <w:pPr>
              <w:pStyle w:val="TableParagraph"/>
              <w:spacing w:before="61"/>
              <w:ind w:left="4"/>
              <w:jc w:val="center"/>
              <w:rPr>
                <w:sz w:val="20"/>
              </w:rPr>
            </w:pPr>
            <w:r>
              <w:rPr>
                <w:spacing w:val="-2"/>
                <w:sz w:val="20"/>
              </w:rPr>
              <w:t>57.7%</w:t>
            </w:r>
          </w:p>
        </w:tc>
        <w:tc>
          <w:tcPr>
            <w:tcW w:w="884" w:type="dxa"/>
            <w:tcBorders>
              <w:top w:val="single" w:sz="4" w:space="0" w:color="BEBEBE"/>
              <w:left w:val="single" w:sz="18" w:space="0" w:color="FFFFFF"/>
              <w:bottom w:val="single" w:sz="4" w:space="0" w:color="BEBEBE"/>
              <w:right w:val="nil"/>
            </w:tcBorders>
          </w:tcPr>
          <w:p w14:paraId="3243CEF3" w14:textId="77777777" w:rsidR="00BC24A8" w:rsidRDefault="00000000">
            <w:pPr>
              <w:pStyle w:val="TableParagraph"/>
              <w:spacing w:before="61"/>
              <w:ind w:left="125"/>
              <w:rPr>
                <w:sz w:val="20"/>
              </w:rPr>
            </w:pPr>
            <w:r>
              <w:rPr>
                <w:spacing w:val="-2"/>
                <w:sz w:val="20"/>
              </w:rPr>
              <w:t>100.0%</w:t>
            </w:r>
          </w:p>
        </w:tc>
        <w:tc>
          <w:tcPr>
            <w:tcW w:w="1676" w:type="dxa"/>
            <w:tcBorders>
              <w:top w:val="single" w:sz="4" w:space="0" w:color="BEBEBE"/>
              <w:left w:val="nil"/>
              <w:bottom w:val="single" w:sz="4" w:space="0" w:color="BEBEBE"/>
              <w:right w:val="nil"/>
            </w:tcBorders>
          </w:tcPr>
          <w:p w14:paraId="6E6700DD" w14:textId="77777777" w:rsidR="00BC24A8" w:rsidRDefault="00000000">
            <w:pPr>
              <w:pStyle w:val="TableParagraph"/>
              <w:spacing w:before="61"/>
              <w:ind w:left="3"/>
              <w:jc w:val="center"/>
              <w:rPr>
                <w:sz w:val="20"/>
              </w:rPr>
            </w:pPr>
            <w:r>
              <w:rPr>
                <w:spacing w:val="-2"/>
                <w:sz w:val="20"/>
              </w:rPr>
              <w:t>80,788,838,000</w:t>
            </w:r>
          </w:p>
        </w:tc>
        <w:tc>
          <w:tcPr>
            <w:tcW w:w="777" w:type="dxa"/>
            <w:tcBorders>
              <w:top w:val="single" w:sz="4" w:space="0" w:color="BEBEBE"/>
              <w:left w:val="nil"/>
              <w:bottom w:val="single" w:sz="4" w:space="0" w:color="BEBEBE"/>
              <w:right w:val="single" w:sz="18" w:space="0" w:color="FFFFFF"/>
            </w:tcBorders>
          </w:tcPr>
          <w:p w14:paraId="00990E28" w14:textId="77777777" w:rsidR="00BC24A8" w:rsidRDefault="00000000">
            <w:pPr>
              <w:pStyle w:val="TableParagraph"/>
              <w:spacing w:before="61"/>
              <w:ind w:left="20" w:right="1"/>
              <w:jc w:val="center"/>
              <w:rPr>
                <w:sz w:val="20"/>
              </w:rPr>
            </w:pPr>
            <w:r>
              <w:rPr>
                <w:spacing w:val="-2"/>
                <w:sz w:val="20"/>
              </w:rPr>
              <w:t>10.4%</w:t>
            </w:r>
          </w:p>
        </w:tc>
        <w:tc>
          <w:tcPr>
            <w:tcW w:w="777" w:type="dxa"/>
            <w:tcBorders>
              <w:top w:val="single" w:sz="4" w:space="0" w:color="BEBEBE"/>
              <w:left w:val="single" w:sz="18" w:space="0" w:color="FFFFFF"/>
              <w:bottom w:val="single" w:sz="4" w:space="0" w:color="BEBEBE"/>
              <w:right w:val="single" w:sz="18" w:space="0" w:color="FFFFFF"/>
            </w:tcBorders>
            <w:shd w:val="clear" w:color="auto" w:fill="E4F3F1"/>
          </w:tcPr>
          <w:p w14:paraId="0AC0CF5B" w14:textId="77777777" w:rsidR="00BC24A8" w:rsidRDefault="00000000">
            <w:pPr>
              <w:pStyle w:val="TableParagraph"/>
              <w:spacing w:before="61"/>
              <w:ind w:left="3" w:right="6"/>
              <w:jc w:val="center"/>
              <w:rPr>
                <w:sz w:val="20"/>
              </w:rPr>
            </w:pPr>
            <w:r>
              <w:rPr>
                <w:spacing w:val="-2"/>
                <w:sz w:val="20"/>
              </w:rPr>
              <w:t>33.6%</w:t>
            </w:r>
          </w:p>
        </w:tc>
        <w:tc>
          <w:tcPr>
            <w:tcW w:w="781" w:type="dxa"/>
            <w:tcBorders>
              <w:top w:val="single" w:sz="4" w:space="0" w:color="BEBEBE"/>
              <w:left w:val="single" w:sz="18" w:space="0" w:color="FFFFFF"/>
              <w:bottom w:val="single" w:sz="4" w:space="0" w:color="BEBEBE"/>
              <w:right w:val="nil"/>
            </w:tcBorders>
          </w:tcPr>
          <w:p w14:paraId="21DF79BA" w14:textId="77777777" w:rsidR="00BC24A8" w:rsidRDefault="00000000">
            <w:pPr>
              <w:pStyle w:val="TableParagraph"/>
              <w:spacing w:before="61"/>
              <w:ind w:right="24"/>
              <w:jc w:val="center"/>
              <w:rPr>
                <w:sz w:val="20"/>
              </w:rPr>
            </w:pPr>
            <w:r>
              <w:rPr>
                <w:spacing w:val="-2"/>
                <w:sz w:val="20"/>
              </w:rPr>
              <w:t>75.9%</w:t>
            </w:r>
          </w:p>
        </w:tc>
        <w:tc>
          <w:tcPr>
            <w:tcW w:w="1676" w:type="dxa"/>
            <w:tcBorders>
              <w:top w:val="single" w:sz="4" w:space="0" w:color="BEBEBE"/>
              <w:left w:val="nil"/>
              <w:bottom w:val="single" w:sz="4" w:space="0" w:color="BEBEBE"/>
              <w:right w:val="nil"/>
            </w:tcBorders>
          </w:tcPr>
          <w:p w14:paraId="154DA53C" w14:textId="77777777" w:rsidR="00BC24A8" w:rsidRDefault="00000000">
            <w:pPr>
              <w:pStyle w:val="TableParagraph"/>
              <w:spacing w:before="61"/>
              <w:ind w:left="3" w:right="3"/>
              <w:jc w:val="center"/>
              <w:rPr>
                <w:sz w:val="20"/>
              </w:rPr>
            </w:pPr>
            <w:r>
              <w:rPr>
                <w:spacing w:val="-2"/>
                <w:sz w:val="20"/>
              </w:rPr>
              <w:t>211,098,082,000</w:t>
            </w:r>
          </w:p>
        </w:tc>
        <w:tc>
          <w:tcPr>
            <w:tcW w:w="778" w:type="dxa"/>
            <w:tcBorders>
              <w:top w:val="single" w:sz="4" w:space="0" w:color="BEBEBE"/>
              <w:left w:val="nil"/>
              <w:bottom w:val="single" w:sz="4" w:space="0" w:color="BEBEBE"/>
              <w:right w:val="single" w:sz="18" w:space="0" w:color="FFFFFF"/>
            </w:tcBorders>
          </w:tcPr>
          <w:p w14:paraId="5EC8A3A8" w14:textId="77777777" w:rsidR="00BC24A8" w:rsidRDefault="00000000">
            <w:pPr>
              <w:pStyle w:val="TableParagraph"/>
              <w:spacing w:before="61"/>
              <w:ind w:left="13"/>
              <w:jc w:val="center"/>
              <w:rPr>
                <w:sz w:val="20"/>
              </w:rPr>
            </w:pPr>
            <w:r>
              <w:rPr>
                <w:spacing w:val="-2"/>
                <w:sz w:val="20"/>
              </w:rPr>
              <w:t>26.4%</w:t>
            </w:r>
          </w:p>
        </w:tc>
        <w:tc>
          <w:tcPr>
            <w:tcW w:w="994" w:type="dxa"/>
            <w:vMerge w:val="restart"/>
            <w:tcBorders>
              <w:top w:val="single" w:sz="4" w:space="0" w:color="BEBEBE"/>
              <w:left w:val="single" w:sz="18" w:space="0" w:color="FFFFFF"/>
              <w:bottom w:val="single" w:sz="4" w:space="0" w:color="BEBEBE"/>
              <w:right w:val="single" w:sz="18" w:space="0" w:color="FFFFFF"/>
            </w:tcBorders>
            <w:shd w:val="clear" w:color="auto" w:fill="E4F3F1"/>
          </w:tcPr>
          <w:p w14:paraId="523B56B5" w14:textId="77777777" w:rsidR="00BC24A8" w:rsidRDefault="00BC24A8">
            <w:pPr>
              <w:pStyle w:val="TableParagraph"/>
              <w:rPr>
                <w:rFonts w:ascii="Calibri"/>
                <w:b/>
                <w:sz w:val="20"/>
              </w:rPr>
            </w:pPr>
          </w:p>
          <w:p w14:paraId="497A4AD9" w14:textId="77777777" w:rsidR="00BC24A8" w:rsidRDefault="00BC24A8">
            <w:pPr>
              <w:pStyle w:val="TableParagraph"/>
              <w:rPr>
                <w:rFonts w:ascii="Calibri"/>
                <w:b/>
                <w:sz w:val="20"/>
              </w:rPr>
            </w:pPr>
          </w:p>
          <w:p w14:paraId="739652A7" w14:textId="77777777" w:rsidR="00BC24A8" w:rsidRDefault="00BC24A8">
            <w:pPr>
              <w:pStyle w:val="TableParagraph"/>
              <w:spacing w:before="10"/>
              <w:rPr>
                <w:rFonts w:ascii="Calibri"/>
                <w:b/>
                <w:sz w:val="20"/>
              </w:rPr>
            </w:pPr>
          </w:p>
          <w:p w14:paraId="68EDB91E" w14:textId="77777777" w:rsidR="00BC24A8" w:rsidRDefault="00000000">
            <w:pPr>
              <w:pStyle w:val="TableParagraph"/>
              <w:ind w:left="118" w:right="126" w:firstLine="5"/>
              <w:jc w:val="center"/>
              <w:rPr>
                <w:sz w:val="20"/>
              </w:rPr>
            </w:pPr>
            <w:r>
              <w:rPr>
                <w:sz w:val="20"/>
              </w:rPr>
              <w:t>Data</w:t>
            </w:r>
            <w:r>
              <w:rPr>
                <w:spacing w:val="-12"/>
                <w:sz w:val="20"/>
              </w:rPr>
              <w:t xml:space="preserve"> </w:t>
            </w:r>
            <w:r>
              <w:rPr>
                <w:sz w:val="20"/>
              </w:rPr>
              <w:t xml:space="preserve">are </w:t>
            </w:r>
            <w:r>
              <w:rPr>
                <w:spacing w:val="-4"/>
                <w:sz w:val="20"/>
              </w:rPr>
              <w:t xml:space="preserve">not </w:t>
            </w:r>
            <w:r>
              <w:rPr>
                <w:spacing w:val="-2"/>
                <w:sz w:val="20"/>
              </w:rPr>
              <w:t>available</w:t>
            </w:r>
          </w:p>
        </w:tc>
        <w:tc>
          <w:tcPr>
            <w:tcW w:w="996" w:type="dxa"/>
            <w:vMerge/>
            <w:tcBorders>
              <w:top w:val="nil"/>
              <w:left w:val="single" w:sz="18" w:space="0" w:color="FFFFFF"/>
              <w:bottom w:val="single" w:sz="4" w:space="0" w:color="BEBEBE"/>
              <w:right w:val="nil"/>
            </w:tcBorders>
          </w:tcPr>
          <w:p w14:paraId="02E395D5" w14:textId="77777777" w:rsidR="00BC24A8" w:rsidRDefault="00BC24A8">
            <w:pPr>
              <w:rPr>
                <w:sz w:val="2"/>
                <w:szCs w:val="2"/>
              </w:rPr>
            </w:pPr>
          </w:p>
        </w:tc>
      </w:tr>
      <w:tr w:rsidR="00BC24A8" w14:paraId="6EAB9DCC" w14:textId="77777777">
        <w:trPr>
          <w:trHeight w:val="606"/>
        </w:trPr>
        <w:tc>
          <w:tcPr>
            <w:tcW w:w="1117" w:type="dxa"/>
            <w:tcBorders>
              <w:top w:val="single" w:sz="4" w:space="0" w:color="BEBEBE"/>
              <w:left w:val="nil"/>
              <w:bottom w:val="single" w:sz="4" w:space="0" w:color="BEBEBE"/>
              <w:right w:val="single" w:sz="18" w:space="0" w:color="FFFFFF"/>
            </w:tcBorders>
          </w:tcPr>
          <w:p w14:paraId="10DB0B77" w14:textId="77777777" w:rsidR="00BC24A8" w:rsidRDefault="00000000">
            <w:pPr>
              <w:pStyle w:val="TableParagraph"/>
              <w:spacing w:before="61"/>
              <w:ind w:left="112"/>
              <w:rPr>
                <w:sz w:val="20"/>
              </w:rPr>
            </w:pPr>
            <w:r>
              <w:rPr>
                <w:spacing w:val="-2"/>
                <w:sz w:val="20"/>
              </w:rPr>
              <w:t>Papua</w:t>
            </w:r>
          </w:p>
          <w:p w14:paraId="3E539532" w14:textId="77777777" w:rsidR="00BC24A8" w:rsidRDefault="00000000">
            <w:pPr>
              <w:pStyle w:val="TableParagraph"/>
              <w:spacing w:before="1"/>
              <w:ind w:left="112"/>
              <w:rPr>
                <w:sz w:val="20"/>
              </w:rPr>
            </w:pPr>
            <w:r>
              <w:rPr>
                <w:spacing w:val="-2"/>
                <w:sz w:val="20"/>
              </w:rPr>
              <w:t>Barat</w:t>
            </w:r>
          </w:p>
        </w:tc>
        <w:tc>
          <w:tcPr>
            <w:tcW w:w="1662" w:type="dxa"/>
            <w:tcBorders>
              <w:top w:val="single" w:sz="4" w:space="0" w:color="BEBEBE"/>
              <w:left w:val="single" w:sz="18" w:space="0" w:color="FFFFFF"/>
              <w:bottom w:val="single" w:sz="4" w:space="0" w:color="BEBEBE"/>
              <w:right w:val="nil"/>
            </w:tcBorders>
          </w:tcPr>
          <w:p w14:paraId="278F6526" w14:textId="77777777" w:rsidR="00BC24A8" w:rsidRDefault="00000000">
            <w:pPr>
              <w:pStyle w:val="TableParagraph"/>
              <w:spacing w:before="184"/>
              <w:ind w:left="1" w:right="26"/>
              <w:jc w:val="center"/>
              <w:rPr>
                <w:sz w:val="20"/>
              </w:rPr>
            </w:pPr>
            <w:r>
              <w:rPr>
                <w:spacing w:val="-2"/>
                <w:sz w:val="20"/>
              </w:rPr>
              <w:t>386,495,733,000</w:t>
            </w:r>
          </w:p>
        </w:tc>
        <w:tc>
          <w:tcPr>
            <w:tcW w:w="832" w:type="dxa"/>
            <w:tcBorders>
              <w:top w:val="single" w:sz="4" w:space="0" w:color="BEBEBE"/>
              <w:left w:val="nil"/>
              <w:bottom w:val="single" w:sz="4" w:space="0" w:color="BEBEBE"/>
              <w:right w:val="single" w:sz="18" w:space="0" w:color="FFFFFF"/>
            </w:tcBorders>
          </w:tcPr>
          <w:p w14:paraId="43282F4E" w14:textId="77777777" w:rsidR="00BC24A8" w:rsidRDefault="00000000">
            <w:pPr>
              <w:pStyle w:val="TableParagraph"/>
              <w:spacing w:before="184"/>
              <w:ind w:left="27"/>
              <w:jc w:val="center"/>
              <w:rPr>
                <w:sz w:val="20"/>
              </w:rPr>
            </w:pPr>
            <w:r>
              <w:rPr>
                <w:spacing w:val="-2"/>
                <w:sz w:val="20"/>
              </w:rPr>
              <w:t>30.7%</w:t>
            </w:r>
          </w:p>
        </w:tc>
        <w:tc>
          <w:tcPr>
            <w:tcW w:w="724" w:type="dxa"/>
            <w:tcBorders>
              <w:top w:val="single" w:sz="4" w:space="0" w:color="BEBEBE"/>
              <w:left w:val="single" w:sz="18" w:space="0" w:color="FFFFFF"/>
              <w:bottom w:val="single" w:sz="4" w:space="0" w:color="BEBEBE"/>
              <w:right w:val="single" w:sz="18" w:space="0" w:color="FFFFFF"/>
            </w:tcBorders>
            <w:shd w:val="clear" w:color="auto" w:fill="E4F3F1"/>
          </w:tcPr>
          <w:p w14:paraId="77ABAEA1" w14:textId="77777777" w:rsidR="00BC24A8" w:rsidRDefault="00000000">
            <w:pPr>
              <w:pStyle w:val="TableParagraph"/>
              <w:spacing w:before="183"/>
              <w:ind w:left="4"/>
              <w:jc w:val="center"/>
              <w:rPr>
                <w:sz w:val="20"/>
              </w:rPr>
            </w:pPr>
            <w:r>
              <w:rPr>
                <w:spacing w:val="-2"/>
                <w:sz w:val="20"/>
              </w:rPr>
              <w:t>14.3%</w:t>
            </w:r>
          </w:p>
        </w:tc>
        <w:tc>
          <w:tcPr>
            <w:tcW w:w="884" w:type="dxa"/>
            <w:tcBorders>
              <w:top w:val="single" w:sz="4" w:space="0" w:color="BEBEBE"/>
              <w:left w:val="single" w:sz="18" w:space="0" w:color="FFFFFF"/>
              <w:bottom w:val="single" w:sz="4" w:space="0" w:color="BEBEBE"/>
              <w:right w:val="nil"/>
            </w:tcBorders>
          </w:tcPr>
          <w:p w14:paraId="10575AE4" w14:textId="77777777" w:rsidR="00BC24A8" w:rsidRDefault="00000000">
            <w:pPr>
              <w:pStyle w:val="TableParagraph"/>
              <w:spacing w:before="183"/>
              <w:ind w:left="176"/>
              <w:rPr>
                <w:sz w:val="20"/>
              </w:rPr>
            </w:pPr>
            <w:r>
              <w:rPr>
                <w:spacing w:val="-2"/>
                <w:sz w:val="20"/>
              </w:rPr>
              <w:t>93.6%</w:t>
            </w:r>
          </w:p>
        </w:tc>
        <w:tc>
          <w:tcPr>
            <w:tcW w:w="1676" w:type="dxa"/>
            <w:tcBorders>
              <w:top w:val="single" w:sz="4" w:space="0" w:color="BEBEBE"/>
              <w:left w:val="nil"/>
              <w:bottom w:val="single" w:sz="4" w:space="0" w:color="BEBEBE"/>
              <w:right w:val="nil"/>
            </w:tcBorders>
          </w:tcPr>
          <w:p w14:paraId="02468ECF" w14:textId="77777777" w:rsidR="00BC24A8" w:rsidRDefault="00000000">
            <w:pPr>
              <w:pStyle w:val="TableParagraph"/>
              <w:spacing w:before="183"/>
              <w:ind w:left="3"/>
              <w:jc w:val="center"/>
              <w:rPr>
                <w:sz w:val="20"/>
              </w:rPr>
            </w:pPr>
            <w:r>
              <w:rPr>
                <w:spacing w:val="-2"/>
                <w:sz w:val="20"/>
              </w:rPr>
              <w:t>107,422,502,000</w:t>
            </w:r>
          </w:p>
        </w:tc>
        <w:tc>
          <w:tcPr>
            <w:tcW w:w="777" w:type="dxa"/>
            <w:tcBorders>
              <w:top w:val="single" w:sz="4" w:space="0" w:color="BEBEBE"/>
              <w:left w:val="nil"/>
              <w:bottom w:val="single" w:sz="4" w:space="0" w:color="BEBEBE"/>
              <w:right w:val="single" w:sz="18" w:space="0" w:color="FFFFFF"/>
            </w:tcBorders>
          </w:tcPr>
          <w:p w14:paraId="67E15498" w14:textId="77777777" w:rsidR="00BC24A8" w:rsidRDefault="00000000">
            <w:pPr>
              <w:pStyle w:val="TableParagraph"/>
              <w:spacing w:before="183"/>
              <w:ind w:left="20" w:right="1"/>
              <w:jc w:val="center"/>
              <w:rPr>
                <w:sz w:val="20"/>
              </w:rPr>
            </w:pPr>
            <w:r>
              <w:rPr>
                <w:spacing w:val="-2"/>
                <w:sz w:val="20"/>
              </w:rPr>
              <w:t>18.6%</w:t>
            </w:r>
          </w:p>
        </w:tc>
        <w:tc>
          <w:tcPr>
            <w:tcW w:w="777" w:type="dxa"/>
            <w:tcBorders>
              <w:top w:val="single" w:sz="4" w:space="0" w:color="BEBEBE"/>
              <w:left w:val="single" w:sz="18" w:space="0" w:color="FFFFFF"/>
              <w:bottom w:val="single" w:sz="4" w:space="0" w:color="BEBEBE"/>
              <w:right w:val="single" w:sz="18" w:space="0" w:color="FFFFFF"/>
            </w:tcBorders>
            <w:shd w:val="clear" w:color="auto" w:fill="E4F3F1"/>
          </w:tcPr>
          <w:p w14:paraId="4A772A4E" w14:textId="77777777" w:rsidR="00BC24A8" w:rsidRDefault="00000000">
            <w:pPr>
              <w:pStyle w:val="TableParagraph"/>
              <w:spacing w:before="183"/>
              <w:ind w:left="3" w:right="6"/>
              <w:jc w:val="center"/>
              <w:rPr>
                <w:sz w:val="20"/>
              </w:rPr>
            </w:pPr>
            <w:r>
              <w:rPr>
                <w:spacing w:val="-2"/>
                <w:sz w:val="20"/>
              </w:rPr>
              <w:t>13.9%</w:t>
            </w:r>
          </w:p>
        </w:tc>
        <w:tc>
          <w:tcPr>
            <w:tcW w:w="781" w:type="dxa"/>
            <w:tcBorders>
              <w:top w:val="single" w:sz="4" w:space="0" w:color="BEBEBE"/>
              <w:left w:val="single" w:sz="18" w:space="0" w:color="FFFFFF"/>
              <w:bottom w:val="single" w:sz="4" w:space="0" w:color="BEBEBE"/>
              <w:right w:val="nil"/>
            </w:tcBorders>
          </w:tcPr>
          <w:p w14:paraId="589ED012" w14:textId="77777777" w:rsidR="00BC24A8" w:rsidRDefault="00000000">
            <w:pPr>
              <w:pStyle w:val="TableParagraph"/>
              <w:spacing w:before="183"/>
              <w:ind w:right="24"/>
              <w:jc w:val="center"/>
              <w:rPr>
                <w:sz w:val="20"/>
              </w:rPr>
            </w:pPr>
            <w:r>
              <w:rPr>
                <w:spacing w:val="-2"/>
                <w:sz w:val="20"/>
              </w:rPr>
              <w:t>89.8%</w:t>
            </w:r>
          </w:p>
        </w:tc>
        <w:tc>
          <w:tcPr>
            <w:tcW w:w="1676" w:type="dxa"/>
            <w:tcBorders>
              <w:top w:val="single" w:sz="4" w:space="0" w:color="BEBEBE"/>
              <w:left w:val="nil"/>
              <w:bottom w:val="single" w:sz="4" w:space="0" w:color="BEBEBE"/>
              <w:right w:val="nil"/>
            </w:tcBorders>
          </w:tcPr>
          <w:p w14:paraId="5FA1254B" w14:textId="77777777" w:rsidR="00BC24A8" w:rsidRDefault="00000000">
            <w:pPr>
              <w:pStyle w:val="TableParagraph"/>
              <w:spacing w:before="183"/>
              <w:ind w:left="3" w:right="3"/>
              <w:jc w:val="center"/>
              <w:rPr>
                <w:sz w:val="20"/>
              </w:rPr>
            </w:pPr>
            <w:r>
              <w:rPr>
                <w:spacing w:val="-2"/>
                <w:sz w:val="20"/>
              </w:rPr>
              <w:t>195,125,915,000</w:t>
            </w:r>
          </w:p>
        </w:tc>
        <w:tc>
          <w:tcPr>
            <w:tcW w:w="778" w:type="dxa"/>
            <w:tcBorders>
              <w:top w:val="single" w:sz="4" w:space="0" w:color="BEBEBE"/>
              <w:left w:val="nil"/>
              <w:bottom w:val="single" w:sz="4" w:space="0" w:color="BEBEBE"/>
              <w:right w:val="single" w:sz="18" w:space="0" w:color="FFFFFF"/>
            </w:tcBorders>
          </w:tcPr>
          <w:p w14:paraId="44209785" w14:textId="77777777" w:rsidR="00BC24A8" w:rsidRDefault="00000000">
            <w:pPr>
              <w:pStyle w:val="TableParagraph"/>
              <w:spacing w:before="183"/>
              <w:ind w:left="13"/>
              <w:jc w:val="center"/>
              <w:rPr>
                <w:sz w:val="20"/>
              </w:rPr>
            </w:pPr>
            <w:r>
              <w:rPr>
                <w:spacing w:val="-2"/>
                <w:sz w:val="20"/>
              </w:rPr>
              <w:t>30.0%</w:t>
            </w:r>
          </w:p>
        </w:tc>
        <w:tc>
          <w:tcPr>
            <w:tcW w:w="994" w:type="dxa"/>
            <w:vMerge/>
            <w:tcBorders>
              <w:top w:val="nil"/>
              <w:left w:val="single" w:sz="18" w:space="0" w:color="FFFFFF"/>
              <w:bottom w:val="single" w:sz="4" w:space="0" w:color="BEBEBE"/>
              <w:right w:val="single" w:sz="18" w:space="0" w:color="FFFFFF"/>
            </w:tcBorders>
            <w:shd w:val="clear" w:color="auto" w:fill="E4F3F1"/>
          </w:tcPr>
          <w:p w14:paraId="3161AB06" w14:textId="77777777" w:rsidR="00BC24A8" w:rsidRDefault="00BC24A8">
            <w:pPr>
              <w:rPr>
                <w:sz w:val="2"/>
                <w:szCs w:val="2"/>
              </w:rPr>
            </w:pPr>
          </w:p>
        </w:tc>
        <w:tc>
          <w:tcPr>
            <w:tcW w:w="996" w:type="dxa"/>
            <w:vMerge/>
            <w:tcBorders>
              <w:top w:val="nil"/>
              <w:left w:val="single" w:sz="18" w:space="0" w:color="FFFFFF"/>
              <w:bottom w:val="single" w:sz="4" w:space="0" w:color="BEBEBE"/>
              <w:right w:val="nil"/>
            </w:tcBorders>
          </w:tcPr>
          <w:p w14:paraId="0AEAD9A1" w14:textId="77777777" w:rsidR="00BC24A8" w:rsidRDefault="00BC24A8">
            <w:pPr>
              <w:rPr>
                <w:sz w:val="2"/>
                <w:szCs w:val="2"/>
              </w:rPr>
            </w:pPr>
          </w:p>
        </w:tc>
      </w:tr>
      <w:tr w:rsidR="00BC24A8" w14:paraId="7C84F3DD" w14:textId="77777777">
        <w:trPr>
          <w:trHeight w:val="609"/>
        </w:trPr>
        <w:tc>
          <w:tcPr>
            <w:tcW w:w="1117" w:type="dxa"/>
            <w:tcBorders>
              <w:top w:val="single" w:sz="4" w:space="0" w:color="BEBEBE"/>
              <w:left w:val="nil"/>
              <w:bottom w:val="single" w:sz="4" w:space="0" w:color="BEBEBE"/>
              <w:right w:val="single" w:sz="18" w:space="0" w:color="FFFFFF"/>
            </w:tcBorders>
          </w:tcPr>
          <w:p w14:paraId="48D190AC" w14:textId="77777777" w:rsidR="00BC24A8" w:rsidRDefault="00000000">
            <w:pPr>
              <w:pStyle w:val="TableParagraph"/>
              <w:spacing w:before="61"/>
              <w:ind w:left="112" w:right="101"/>
              <w:rPr>
                <w:sz w:val="20"/>
              </w:rPr>
            </w:pPr>
            <w:r>
              <w:rPr>
                <w:spacing w:val="-2"/>
                <w:sz w:val="20"/>
              </w:rPr>
              <w:t xml:space="preserve">Papua </w:t>
            </w:r>
            <w:r>
              <w:rPr>
                <w:sz w:val="20"/>
              </w:rPr>
              <w:t>Barat</w:t>
            </w:r>
            <w:r>
              <w:rPr>
                <w:spacing w:val="-12"/>
                <w:sz w:val="20"/>
              </w:rPr>
              <w:t xml:space="preserve"> </w:t>
            </w:r>
            <w:r>
              <w:rPr>
                <w:sz w:val="20"/>
              </w:rPr>
              <w:t>Daya</w:t>
            </w:r>
          </w:p>
        </w:tc>
        <w:tc>
          <w:tcPr>
            <w:tcW w:w="3218" w:type="dxa"/>
            <w:gridSpan w:val="3"/>
            <w:tcBorders>
              <w:top w:val="single" w:sz="4" w:space="0" w:color="BEBEBE"/>
              <w:left w:val="single" w:sz="18" w:space="0" w:color="FFFFFF"/>
              <w:bottom w:val="single" w:sz="4" w:space="0" w:color="BEBEBE"/>
              <w:right w:val="single" w:sz="18" w:space="0" w:color="FFFFFF"/>
            </w:tcBorders>
            <w:shd w:val="clear" w:color="auto" w:fill="E4F3F1"/>
          </w:tcPr>
          <w:p w14:paraId="2AA7F02D" w14:textId="77777777" w:rsidR="00BC24A8" w:rsidRDefault="00000000">
            <w:pPr>
              <w:pStyle w:val="TableParagraph"/>
              <w:spacing w:before="183"/>
              <w:ind w:left="708"/>
              <w:rPr>
                <w:sz w:val="20"/>
              </w:rPr>
            </w:pPr>
            <w:r>
              <w:rPr>
                <w:sz w:val="20"/>
              </w:rPr>
              <w:t>Data</w:t>
            </w:r>
            <w:r>
              <w:rPr>
                <w:spacing w:val="-5"/>
                <w:sz w:val="20"/>
              </w:rPr>
              <w:t xml:space="preserve"> </w:t>
            </w:r>
            <w:r>
              <w:rPr>
                <w:sz w:val="20"/>
              </w:rPr>
              <w:t>are</w:t>
            </w:r>
            <w:r>
              <w:rPr>
                <w:spacing w:val="-4"/>
                <w:sz w:val="20"/>
              </w:rPr>
              <w:t xml:space="preserve"> </w:t>
            </w:r>
            <w:r>
              <w:rPr>
                <w:sz w:val="20"/>
              </w:rPr>
              <w:t>not</w:t>
            </w:r>
            <w:r>
              <w:rPr>
                <w:spacing w:val="-6"/>
                <w:sz w:val="20"/>
              </w:rPr>
              <w:t xml:space="preserve"> </w:t>
            </w:r>
            <w:r>
              <w:rPr>
                <w:spacing w:val="-2"/>
                <w:sz w:val="20"/>
              </w:rPr>
              <w:t>available</w:t>
            </w:r>
          </w:p>
        </w:tc>
        <w:tc>
          <w:tcPr>
            <w:tcW w:w="884" w:type="dxa"/>
            <w:tcBorders>
              <w:top w:val="single" w:sz="4" w:space="0" w:color="BEBEBE"/>
              <w:left w:val="single" w:sz="18" w:space="0" w:color="FFFFFF"/>
              <w:bottom w:val="single" w:sz="4" w:space="0" w:color="BEBEBE"/>
              <w:right w:val="nil"/>
            </w:tcBorders>
          </w:tcPr>
          <w:p w14:paraId="07B5B216" w14:textId="77777777" w:rsidR="00BC24A8" w:rsidRDefault="00000000">
            <w:pPr>
              <w:pStyle w:val="TableParagraph"/>
              <w:spacing w:before="183"/>
              <w:ind w:left="176"/>
              <w:rPr>
                <w:sz w:val="20"/>
              </w:rPr>
            </w:pPr>
            <w:r>
              <w:rPr>
                <w:spacing w:val="-2"/>
                <w:sz w:val="20"/>
              </w:rPr>
              <w:t>37.2%</w:t>
            </w:r>
          </w:p>
        </w:tc>
        <w:tc>
          <w:tcPr>
            <w:tcW w:w="1676" w:type="dxa"/>
            <w:tcBorders>
              <w:top w:val="single" w:sz="4" w:space="0" w:color="BEBEBE"/>
              <w:left w:val="nil"/>
              <w:bottom w:val="single" w:sz="4" w:space="0" w:color="BEBEBE"/>
              <w:right w:val="nil"/>
            </w:tcBorders>
          </w:tcPr>
          <w:p w14:paraId="607DB142" w14:textId="77777777" w:rsidR="00BC24A8" w:rsidRDefault="00000000">
            <w:pPr>
              <w:pStyle w:val="TableParagraph"/>
              <w:spacing w:before="183"/>
              <w:ind w:left="3"/>
              <w:jc w:val="center"/>
              <w:rPr>
                <w:sz w:val="20"/>
              </w:rPr>
            </w:pPr>
            <w:r>
              <w:rPr>
                <w:spacing w:val="-2"/>
                <w:sz w:val="20"/>
              </w:rPr>
              <w:t>88,028,025,000</w:t>
            </w:r>
          </w:p>
        </w:tc>
        <w:tc>
          <w:tcPr>
            <w:tcW w:w="777" w:type="dxa"/>
            <w:tcBorders>
              <w:top w:val="single" w:sz="4" w:space="0" w:color="BEBEBE"/>
              <w:left w:val="nil"/>
              <w:bottom w:val="single" w:sz="4" w:space="0" w:color="BEBEBE"/>
              <w:right w:val="single" w:sz="18" w:space="0" w:color="FFFFFF"/>
            </w:tcBorders>
          </w:tcPr>
          <w:p w14:paraId="510624D1" w14:textId="77777777" w:rsidR="00BC24A8" w:rsidRDefault="00000000">
            <w:pPr>
              <w:pStyle w:val="TableParagraph"/>
              <w:spacing w:before="183"/>
              <w:ind w:left="20"/>
              <w:jc w:val="center"/>
              <w:rPr>
                <w:sz w:val="20"/>
              </w:rPr>
            </w:pPr>
            <w:r>
              <w:rPr>
                <w:spacing w:val="-2"/>
                <w:sz w:val="20"/>
              </w:rPr>
              <w:t>14.7%</w:t>
            </w:r>
          </w:p>
        </w:tc>
        <w:tc>
          <w:tcPr>
            <w:tcW w:w="777" w:type="dxa"/>
            <w:tcBorders>
              <w:top w:val="single" w:sz="4" w:space="0" w:color="BEBEBE"/>
              <w:left w:val="single" w:sz="18" w:space="0" w:color="FFFFFF"/>
              <w:bottom w:val="single" w:sz="4" w:space="0" w:color="BEBEBE"/>
              <w:right w:val="single" w:sz="18" w:space="0" w:color="FFFFFF"/>
            </w:tcBorders>
            <w:shd w:val="clear" w:color="auto" w:fill="E4F3F1"/>
          </w:tcPr>
          <w:p w14:paraId="73BF38B8" w14:textId="77777777" w:rsidR="00BC24A8" w:rsidRDefault="00000000">
            <w:pPr>
              <w:pStyle w:val="TableParagraph"/>
              <w:spacing w:before="183"/>
              <w:ind w:left="3" w:right="6"/>
              <w:jc w:val="center"/>
              <w:rPr>
                <w:sz w:val="20"/>
              </w:rPr>
            </w:pPr>
            <w:r>
              <w:rPr>
                <w:spacing w:val="-2"/>
                <w:sz w:val="20"/>
              </w:rPr>
              <w:t>34.3%</w:t>
            </w:r>
          </w:p>
        </w:tc>
        <w:tc>
          <w:tcPr>
            <w:tcW w:w="781" w:type="dxa"/>
            <w:tcBorders>
              <w:top w:val="single" w:sz="4" w:space="0" w:color="BEBEBE"/>
              <w:left w:val="single" w:sz="18" w:space="0" w:color="FFFFFF"/>
              <w:bottom w:val="single" w:sz="4" w:space="0" w:color="BEBEBE"/>
              <w:right w:val="nil"/>
            </w:tcBorders>
          </w:tcPr>
          <w:p w14:paraId="09EFE009" w14:textId="77777777" w:rsidR="00BC24A8" w:rsidRDefault="00000000">
            <w:pPr>
              <w:pStyle w:val="TableParagraph"/>
              <w:spacing w:before="183"/>
              <w:ind w:right="24"/>
              <w:jc w:val="center"/>
              <w:rPr>
                <w:sz w:val="20"/>
              </w:rPr>
            </w:pPr>
            <w:r>
              <w:rPr>
                <w:spacing w:val="-2"/>
                <w:sz w:val="20"/>
              </w:rPr>
              <w:t>43.6%</w:t>
            </w:r>
          </w:p>
        </w:tc>
        <w:tc>
          <w:tcPr>
            <w:tcW w:w="1676" w:type="dxa"/>
            <w:tcBorders>
              <w:top w:val="single" w:sz="4" w:space="0" w:color="BEBEBE"/>
              <w:left w:val="nil"/>
              <w:bottom w:val="single" w:sz="4" w:space="0" w:color="BEBEBE"/>
              <w:right w:val="nil"/>
            </w:tcBorders>
          </w:tcPr>
          <w:p w14:paraId="5272700B" w14:textId="77777777" w:rsidR="00BC24A8" w:rsidRDefault="00000000">
            <w:pPr>
              <w:pStyle w:val="TableParagraph"/>
              <w:spacing w:before="183"/>
              <w:ind w:left="3" w:right="3"/>
              <w:jc w:val="center"/>
              <w:rPr>
                <w:sz w:val="20"/>
              </w:rPr>
            </w:pPr>
            <w:r>
              <w:rPr>
                <w:spacing w:val="-2"/>
                <w:sz w:val="20"/>
              </w:rPr>
              <w:t>154,588,848,000</w:t>
            </w:r>
          </w:p>
        </w:tc>
        <w:tc>
          <w:tcPr>
            <w:tcW w:w="778" w:type="dxa"/>
            <w:tcBorders>
              <w:top w:val="single" w:sz="4" w:space="0" w:color="BEBEBE"/>
              <w:left w:val="nil"/>
              <w:bottom w:val="single" w:sz="4" w:space="0" w:color="BEBEBE"/>
              <w:right w:val="single" w:sz="18" w:space="0" w:color="FFFFFF"/>
            </w:tcBorders>
          </w:tcPr>
          <w:p w14:paraId="0B41275F" w14:textId="77777777" w:rsidR="00BC24A8" w:rsidRDefault="00000000">
            <w:pPr>
              <w:pStyle w:val="TableParagraph"/>
              <w:spacing w:before="183"/>
              <w:ind w:left="13"/>
              <w:jc w:val="center"/>
              <w:rPr>
                <w:sz w:val="20"/>
              </w:rPr>
            </w:pPr>
            <w:r>
              <w:rPr>
                <w:spacing w:val="-2"/>
                <w:sz w:val="20"/>
              </w:rPr>
              <w:t>25.2%</w:t>
            </w:r>
          </w:p>
        </w:tc>
        <w:tc>
          <w:tcPr>
            <w:tcW w:w="994" w:type="dxa"/>
            <w:vMerge/>
            <w:tcBorders>
              <w:top w:val="nil"/>
              <w:left w:val="single" w:sz="18" w:space="0" w:color="FFFFFF"/>
              <w:bottom w:val="single" w:sz="4" w:space="0" w:color="BEBEBE"/>
              <w:right w:val="single" w:sz="18" w:space="0" w:color="FFFFFF"/>
            </w:tcBorders>
            <w:shd w:val="clear" w:color="auto" w:fill="E4F3F1"/>
          </w:tcPr>
          <w:p w14:paraId="5D902507" w14:textId="77777777" w:rsidR="00BC24A8" w:rsidRDefault="00BC24A8">
            <w:pPr>
              <w:rPr>
                <w:sz w:val="2"/>
                <w:szCs w:val="2"/>
              </w:rPr>
            </w:pPr>
          </w:p>
        </w:tc>
        <w:tc>
          <w:tcPr>
            <w:tcW w:w="996" w:type="dxa"/>
            <w:vMerge/>
            <w:tcBorders>
              <w:top w:val="nil"/>
              <w:left w:val="single" w:sz="18" w:space="0" w:color="FFFFFF"/>
              <w:bottom w:val="single" w:sz="4" w:space="0" w:color="BEBEBE"/>
              <w:right w:val="nil"/>
            </w:tcBorders>
          </w:tcPr>
          <w:p w14:paraId="7DE95C40" w14:textId="77777777" w:rsidR="00BC24A8" w:rsidRDefault="00BC24A8">
            <w:pPr>
              <w:rPr>
                <w:sz w:val="2"/>
                <w:szCs w:val="2"/>
              </w:rPr>
            </w:pPr>
          </w:p>
        </w:tc>
      </w:tr>
      <w:tr w:rsidR="00BC24A8" w14:paraId="2BA55314" w14:textId="77777777">
        <w:trPr>
          <w:trHeight w:val="609"/>
        </w:trPr>
        <w:tc>
          <w:tcPr>
            <w:tcW w:w="1117" w:type="dxa"/>
            <w:tcBorders>
              <w:top w:val="single" w:sz="4" w:space="0" w:color="BEBEBE"/>
              <w:left w:val="nil"/>
              <w:bottom w:val="single" w:sz="4" w:space="0" w:color="BEBEBE"/>
              <w:right w:val="single" w:sz="18" w:space="0" w:color="FFFFFF"/>
            </w:tcBorders>
          </w:tcPr>
          <w:p w14:paraId="138C65CA" w14:textId="77777777" w:rsidR="00BC24A8" w:rsidRDefault="00000000">
            <w:pPr>
              <w:pStyle w:val="TableParagraph"/>
              <w:spacing w:before="61"/>
              <w:ind w:left="112" w:right="391"/>
              <w:rPr>
                <w:sz w:val="20"/>
              </w:rPr>
            </w:pPr>
            <w:r>
              <w:rPr>
                <w:spacing w:val="-2"/>
                <w:sz w:val="20"/>
              </w:rPr>
              <w:t>Papua Selatan</w:t>
            </w:r>
          </w:p>
        </w:tc>
        <w:tc>
          <w:tcPr>
            <w:tcW w:w="1662" w:type="dxa"/>
            <w:tcBorders>
              <w:top w:val="single" w:sz="4" w:space="0" w:color="BEBEBE"/>
              <w:left w:val="single" w:sz="18" w:space="0" w:color="FFFFFF"/>
              <w:bottom w:val="single" w:sz="4" w:space="0" w:color="BEBEBE"/>
              <w:right w:val="nil"/>
            </w:tcBorders>
          </w:tcPr>
          <w:p w14:paraId="0C29BDA5" w14:textId="77777777" w:rsidR="00BC24A8" w:rsidRDefault="00000000">
            <w:pPr>
              <w:pStyle w:val="TableParagraph"/>
              <w:spacing w:before="184"/>
              <w:ind w:right="26"/>
              <w:jc w:val="center"/>
              <w:rPr>
                <w:sz w:val="20"/>
              </w:rPr>
            </w:pPr>
            <w:r>
              <w:rPr>
                <w:spacing w:val="-2"/>
                <w:sz w:val="20"/>
              </w:rPr>
              <w:t>90,462,195,000</w:t>
            </w:r>
          </w:p>
        </w:tc>
        <w:tc>
          <w:tcPr>
            <w:tcW w:w="832" w:type="dxa"/>
            <w:tcBorders>
              <w:top w:val="single" w:sz="4" w:space="0" w:color="BEBEBE"/>
              <w:left w:val="nil"/>
              <w:bottom w:val="single" w:sz="4" w:space="0" w:color="BEBEBE"/>
              <w:right w:val="nil"/>
            </w:tcBorders>
          </w:tcPr>
          <w:p w14:paraId="385D0C74" w14:textId="77777777" w:rsidR="00BC24A8" w:rsidRDefault="00000000">
            <w:pPr>
              <w:pStyle w:val="TableParagraph"/>
              <w:spacing w:before="184"/>
              <w:ind w:left="5"/>
              <w:jc w:val="center"/>
              <w:rPr>
                <w:sz w:val="20"/>
              </w:rPr>
            </w:pPr>
            <w:r>
              <w:rPr>
                <w:spacing w:val="-2"/>
                <w:sz w:val="20"/>
              </w:rPr>
              <w:t>18.3%</w:t>
            </w:r>
          </w:p>
        </w:tc>
        <w:tc>
          <w:tcPr>
            <w:tcW w:w="724" w:type="dxa"/>
            <w:tcBorders>
              <w:top w:val="single" w:sz="4" w:space="0" w:color="BEBEBE"/>
              <w:left w:val="nil"/>
              <w:bottom w:val="single" w:sz="4" w:space="0" w:color="BEBEBE"/>
              <w:right w:val="single" w:sz="18" w:space="0" w:color="FFFFFF"/>
            </w:tcBorders>
            <w:shd w:val="clear" w:color="auto" w:fill="E4F3F1"/>
          </w:tcPr>
          <w:p w14:paraId="64B389BE" w14:textId="77777777" w:rsidR="00BC24A8" w:rsidRDefault="00000000">
            <w:pPr>
              <w:pStyle w:val="TableParagraph"/>
              <w:spacing w:before="183"/>
              <w:ind w:left="26"/>
              <w:jc w:val="center"/>
              <w:rPr>
                <w:sz w:val="20"/>
              </w:rPr>
            </w:pPr>
            <w:r>
              <w:rPr>
                <w:spacing w:val="-2"/>
                <w:sz w:val="20"/>
              </w:rPr>
              <w:t>57.7%</w:t>
            </w:r>
          </w:p>
        </w:tc>
        <w:tc>
          <w:tcPr>
            <w:tcW w:w="884" w:type="dxa"/>
            <w:tcBorders>
              <w:top w:val="single" w:sz="4" w:space="0" w:color="BEBEBE"/>
              <w:left w:val="single" w:sz="18" w:space="0" w:color="FFFFFF"/>
              <w:bottom w:val="single" w:sz="4" w:space="0" w:color="BEBEBE"/>
              <w:right w:val="nil"/>
            </w:tcBorders>
          </w:tcPr>
          <w:p w14:paraId="56B8226D" w14:textId="77777777" w:rsidR="00BC24A8" w:rsidRDefault="00000000">
            <w:pPr>
              <w:pStyle w:val="TableParagraph"/>
              <w:spacing w:before="183"/>
              <w:ind w:left="176"/>
              <w:rPr>
                <w:sz w:val="20"/>
              </w:rPr>
            </w:pPr>
            <w:r>
              <w:rPr>
                <w:spacing w:val="-2"/>
                <w:sz w:val="20"/>
              </w:rPr>
              <w:t>69.0%</w:t>
            </w:r>
          </w:p>
        </w:tc>
        <w:tc>
          <w:tcPr>
            <w:tcW w:w="1676" w:type="dxa"/>
            <w:tcBorders>
              <w:top w:val="single" w:sz="4" w:space="0" w:color="BEBEBE"/>
              <w:left w:val="nil"/>
              <w:bottom w:val="single" w:sz="4" w:space="0" w:color="BEBEBE"/>
              <w:right w:val="nil"/>
            </w:tcBorders>
          </w:tcPr>
          <w:p w14:paraId="710D98B8" w14:textId="77777777" w:rsidR="00BC24A8" w:rsidRDefault="00000000">
            <w:pPr>
              <w:pStyle w:val="TableParagraph"/>
              <w:spacing w:before="183"/>
              <w:ind w:left="3"/>
              <w:jc w:val="center"/>
              <w:rPr>
                <w:sz w:val="20"/>
              </w:rPr>
            </w:pPr>
            <w:r>
              <w:rPr>
                <w:spacing w:val="-2"/>
                <w:sz w:val="20"/>
              </w:rPr>
              <w:t>57,729,714,000</w:t>
            </w:r>
          </w:p>
        </w:tc>
        <w:tc>
          <w:tcPr>
            <w:tcW w:w="777" w:type="dxa"/>
            <w:tcBorders>
              <w:top w:val="single" w:sz="4" w:space="0" w:color="BEBEBE"/>
              <w:left w:val="nil"/>
              <w:bottom w:val="single" w:sz="4" w:space="0" w:color="BEBEBE"/>
              <w:right w:val="single" w:sz="18" w:space="0" w:color="FFFFFF"/>
            </w:tcBorders>
          </w:tcPr>
          <w:p w14:paraId="31A8C4FA" w14:textId="77777777" w:rsidR="00BC24A8" w:rsidRDefault="00000000">
            <w:pPr>
              <w:pStyle w:val="TableParagraph"/>
              <w:spacing w:before="183"/>
              <w:ind w:left="20" w:right="1"/>
              <w:jc w:val="center"/>
              <w:rPr>
                <w:sz w:val="20"/>
              </w:rPr>
            </w:pPr>
            <w:r>
              <w:rPr>
                <w:spacing w:val="-2"/>
                <w:sz w:val="20"/>
              </w:rPr>
              <w:t>12.2%</w:t>
            </w:r>
          </w:p>
        </w:tc>
        <w:tc>
          <w:tcPr>
            <w:tcW w:w="777" w:type="dxa"/>
            <w:tcBorders>
              <w:top w:val="single" w:sz="4" w:space="0" w:color="BEBEBE"/>
              <w:left w:val="single" w:sz="18" w:space="0" w:color="FFFFFF"/>
              <w:bottom w:val="single" w:sz="4" w:space="0" w:color="BEBEBE"/>
              <w:right w:val="single" w:sz="18" w:space="0" w:color="FFFFFF"/>
            </w:tcBorders>
            <w:shd w:val="clear" w:color="auto" w:fill="E4F3F1"/>
          </w:tcPr>
          <w:p w14:paraId="329987A8" w14:textId="77777777" w:rsidR="00BC24A8" w:rsidRDefault="00000000">
            <w:pPr>
              <w:pStyle w:val="TableParagraph"/>
              <w:spacing w:before="183"/>
              <w:ind w:left="3" w:right="6"/>
              <w:jc w:val="center"/>
              <w:rPr>
                <w:sz w:val="20"/>
              </w:rPr>
            </w:pPr>
            <w:r>
              <w:rPr>
                <w:spacing w:val="-2"/>
                <w:sz w:val="20"/>
              </w:rPr>
              <w:t>32.7%</w:t>
            </w:r>
          </w:p>
        </w:tc>
        <w:tc>
          <w:tcPr>
            <w:tcW w:w="781" w:type="dxa"/>
            <w:tcBorders>
              <w:top w:val="single" w:sz="4" w:space="0" w:color="BEBEBE"/>
              <w:left w:val="single" w:sz="18" w:space="0" w:color="FFFFFF"/>
              <w:bottom w:val="single" w:sz="4" w:space="0" w:color="BEBEBE"/>
              <w:right w:val="nil"/>
            </w:tcBorders>
          </w:tcPr>
          <w:p w14:paraId="46F613E5" w14:textId="77777777" w:rsidR="00BC24A8" w:rsidRDefault="00000000">
            <w:pPr>
              <w:pStyle w:val="TableParagraph"/>
              <w:spacing w:before="183"/>
              <w:ind w:right="24"/>
              <w:jc w:val="center"/>
              <w:rPr>
                <w:sz w:val="20"/>
              </w:rPr>
            </w:pPr>
            <w:r>
              <w:rPr>
                <w:spacing w:val="-2"/>
                <w:sz w:val="20"/>
              </w:rPr>
              <w:t>66.6%</w:t>
            </w:r>
          </w:p>
        </w:tc>
        <w:tc>
          <w:tcPr>
            <w:tcW w:w="1676" w:type="dxa"/>
            <w:tcBorders>
              <w:top w:val="single" w:sz="4" w:space="0" w:color="BEBEBE"/>
              <w:left w:val="nil"/>
              <w:bottom w:val="single" w:sz="4" w:space="0" w:color="BEBEBE"/>
              <w:right w:val="nil"/>
            </w:tcBorders>
          </w:tcPr>
          <w:p w14:paraId="69660631" w14:textId="77777777" w:rsidR="00BC24A8" w:rsidRDefault="00000000">
            <w:pPr>
              <w:pStyle w:val="TableParagraph"/>
              <w:spacing w:before="183"/>
              <w:ind w:left="3" w:right="3"/>
              <w:jc w:val="center"/>
              <w:rPr>
                <w:sz w:val="20"/>
              </w:rPr>
            </w:pPr>
            <w:r>
              <w:rPr>
                <w:spacing w:val="-2"/>
                <w:sz w:val="20"/>
              </w:rPr>
              <w:t>94,806,198,000</w:t>
            </w:r>
          </w:p>
        </w:tc>
        <w:tc>
          <w:tcPr>
            <w:tcW w:w="778" w:type="dxa"/>
            <w:tcBorders>
              <w:top w:val="single" w:sz="4" w:space="0" w:color="BEBEBE"/>
              <w:left w:val="nil"/>
              <w:bottom w:val="single" w:sz="4" w:space="0" w:color="BEBEBE"/>
              <w:right w:val="single" w:sz="18" w:space="0" w:color="FFFFFF"/>
            </w:tcBorders>
          </w:tcPr>
          <w:p w14:paraId="0A086304" w14:textId="77777777" w:rsidR="00BC24A8" w:rsidRDefault="00000000">
            <w:pPr>
              <w:pStyle w:val="TableParagraph"/>
              <w:spacing w:before="183"/>
              <w:ind w:left="13"/>
              <w:jc w:val="center"/>
              <w:rPr>
                <w:sz w:val="20"/>
              </w:rPr>
            </w:pPr>
            <w:r>
              <w:rPr>
                <w:spacing w:val="-2"/>
                <w:sz w:val="20"/>
              </w:rPr>
              <w:t>20.0%</w:t>
            </w:r>
          </w:p>
        </w:tc>
        <w:tc>
          <w:tcPr>
            <w:tcW w:w="994" w:type="dxa"/>
            <w:vMerge/>
            <w:tcBorders>
              <w:top w:val="nil"/>
              <w:left w:val="single" w:sz="18" w:space="0" w:color="FFFFFF"/>
              <w:bottom w:val="single" w:sz="4" w:space="0" w:color="BEBEBE"/>
              <w:right w:val="single" w:sz="18" w:space="0" w:color="FFFFFF"/>
            </w:tcBorders>
            <w:shd w:val="clear" w:color="auto" w:fill="E4F3F1"/>
          </w:tcPr>
          <w:p w14:paraId="7ECB426D" w14:textId="77777777" w:rsidR="00BC24A8" w:rsidRDefault="00BC24A8">
            <w:pPr>
              <w:rPr>
                <w:sz w:val="2"/>
                <w:szCs w:val="2"/>
              </w:rPr>
            </w:pPr>
          </w:p>
        </w:tc>
        <w:tc>
          <w:tcPr>
            <w:tcW w:w="996" w:type="dxa"/>
            <w:vMerge/>
            <w:tcBorders>
              <w:top w:val="nil"/>
              <w:left w:val="single" w:sz="18" w:space="0" w:color="FFFFFF"/>
              <w:bottom w:val="single" w:sz="4" w:space="0" w:color="BEBEBE"/>
              <w:right w:val="nil"/>
            </w:tcBorders>
          </w:tcPr>
          <w:p w14:paraId="56C055B8" w14:textId="77777777" w:rsidR="00BC24A8" w:rsidRDefault="00BC24A8">
            <w:pPr>
              <w:rPr>
                <w:sz w:val="2"/>
                <w:szCs w:val="2"/>
              </w:rPr>
            </w:pPr>
          </w:p>
        </w:tc>
      </w:tr>
    </w:tbl>
    <w:p w14:paraId="0070FAF0" w14:textId="77777777" w:rsidR="00BC24A8" w:rsidRDefault="00BC24A8">
      <w:pPr>
        <w:pStyle w:val="BodyText"/>
        <w:rPr>
          <w:rFonts w:ascii="Calibri"/>
          <w:b/>
          <w:sz w:val="20"/>
        </w:rPr>
      </w:pPr>
    </w:p>
    <w:p w14:paraId="09578668" w14:textId="77777777" w:rsidR="00BC24A8" w:rsidRDefault="00BC24A8">
      <w:pPr>
        <w:pStyle w:val="BodyText"/>
        <w:rPr>
          <w:rFonts w:ascii="Calibri"/>
          <w:b/>
          <w:sz w:val="20"/>
        </w:rPr>
      </w:pPr>
    </w:p>
    <w:p w14:paraId="7DCC069D" w14:textId="77777777" w:rsidR="00BC24A8" w:rsidRDefault="00BC24A8">
      <w:pPr>
        <w:pStyle w:val="BodyText"/>
        <w:rPr>
          <w:rFonts w:ascii="Calibri"/>
          <w:b/>
          <w:sz w:val="20"/>
        </w:rPr>
      </w:pPr>
    </w:p>
    <w:p w14:paraId="1726C1A4" w14:textId="77777777" w:rsidR="00BC24A8" w:rsidRDefault="00BC24A8">
      <w:pPr>
        <w:pStyle w:val="BodyText"/>
        <w:rPr>
          <w:rFonts w:ascii="Calibri"/>
          <w:b/>
          <w:sz w:val="20"/>
        </w:rPr>
      </w:pPr>
    </w:p>
    <w:p w14:paraId="44DF718A" w14:textId="77777777" w:rsidR="00BC24A8" w:rsidRDefault="00BC24A8">
      <w:pPr>
        <w:pStyle w:val="BodyText"/>
        <w:rPr>
          <w:rFonts w:ascii="Calibri"/>
          <w:b/>
          <w:sz w:val="20"/>
        </w:rPr>
      </w:pPr>
    </w:p>
    <w:p w14:paraId="4B13A77B" w14:textId="77777777" w:rsidR="00BC24A8" w:rsidRDefault="00BC24A8">
      <w:pPr>
        <w:pStyle w:val="BodyText"/>
        <w:rPr>
          <w:rFonts w:ascii="Calibri"/>
          <w:b/>
          <w:sz w:val="20"/>
        </w:rPr>
      </w:pPr>
    </w:p>
    <w:p w14:paraId="4C0CE62F" w14:textId="77777777" w:rsidR="00BC24A8" w:rsidRDefault="00000000">
      <w:pPr>
        <w:pStyle w:val="BodyText"/>
        <w:spacing w:before="69"/>
        <w:rPr>
          <w:rFonts w:ascii="Calibri"/>
          <w:b/>
          <w:sz w:val="20"/>
        </w:rPr>
      </w:pPr>
      <w:r>
        <w:rPr>
          <w:rFonts w:ascii="Calibri"/>
          <w:b/>
          <w:noProof/>
          <w:sz w:val="20"/>
        </w:rPr>
        <mc:AlternateContent>
          <mc:Choice Requires="wps">
            <w:drawing>
              <wp:anchor distT="0" distB="0" distL="0" distR="0" simplePos="0" relativeHeight="487596544" behindDoc="1" locked="0" layoutInCell="1" allowOverlap="1" wp14:anchorId="3F936076" wp14:editId="180C0F8B">
                <wp:simplePos x="0" y="0"/>
                <wp:positionH relativeFrom="page">
                  <wp:posOffset>1080516</wp:posOffset>
                </wp:positionH>
                <wp:positionV relativeFrom="paragraph">
                  <wp:posOffset>214475</wp:posOffset>
                </wp:positionV>
                <wp:extent cx="1828800" cy="9525"/>
                <wp:effectExtent l="0" t="0" r="0" b="0"/>
                <wp:wrapTopAndBottom/>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6EA31A" id="Graphic 46" o:spid="_x0000_s1026" alt="&quot;&quot;" style="position:absolute;margin-left:85.1pt;margin-top:16.9pt;width:2in;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" path="m1828800,l,,,9144r1828800,l1828800,xe" fillcolor="black" stroked="f">
                <v:path arrowok="t"/>
                <w10:wrap type="topAndBottom" anchorx="page"/>
              </v:shape>
            </w:pict>
          </mc:Fallback>
        </mc:AlternateContent>
      </w:r>
    </w:p>
    <w:p w14:paraId="25E78460" w14:textId="77777777" w:rsidR="00BC24A8" w:rsidRDefault="00BC24A8">
      <w:pPr>
        <w:pStyle w:val="BodyText"/>
        <w:spacing w:before="35"/>
        <w:rPr>
          <w:rFonts w:ascii="Calibri"/>
          <w:b/>
        </w:rPr>
      </w:pPr>
    </w:p>
    <w:p w14:paraId="3DCE0E8C" w14:textId="77777777" w:rsidR="00BC24A8" w:rsidRDefault="00000000">
      <w:pPr>
        <w:ind w:left="1"/>
        <w:rPr>
          <w:sz w:val="16"/>
        </w:rPr>
      </w:pPr>
      <w:r>
        <w:rPr>
          <w:color w:val="767070"/>
          <w:sz w:val="16"/>
          <w:vertAlign w:val="superscript"/>
        </w:rPr>
        <w:t>24</w:t>
      </w:r>
      <w:r>
        <w:rPr>
          <w:color w:val="767070"/>
          <w:spacing w:val="-6"/>
          <w:sz w:val="16"/>
        </w:rPr>
        <w:t xml:space="preserve"> </w:t>
      </w:r>
      <w:r>
        <w:rPr>
          <w:color w:val="767070"/>
          <w:sz w:val="16"/>
        </w:rPr>
        <w:t>Source:</w:t>
      </w:r>
      <w:r>
        <w:rPr>
          <w:color w:val="767070"/>
          <w:spacing w:val="-4"/>
          <w:sz w:val="16"/>
        </w:rPr>
        <w:t xml:space="preserve"> </w:t>
      </w:r>
      <w:r>
        <w:rPr>
          <w:color w:val="767070"/>
          <w:sz w:val="16"/>
        </w:rPr>
        <w:t>SIKD,</w:t>
      </w:r>
      <w:r>
        <w:rPr>
          <w:color w:val="767070"/>
          <w:spacing w:val="-6"/>
          <w:sz w:val="16"/>
        </w:rPr>
        <w:t xml:space="preserve"> </w:t>
      </w:r>
      <w:r>
        <w:rPr>
          <w:color w:val="767070"/>
          <w:sz w:val="16"/>
        </w:rPr>
        <w:t>cut</w:t>
      </w:r>
      <w:r>
        <w:rPr>
          <w:color w:val="767070"/>
          <w:spacing w:val="-5"/>
          <w:sz w:val="16"/>
        </w:rPr>
        <w:t xml:space="preserve"> </w:t>
      </w:r>
      <w:r>
        <w:rPr>
          <w:color w:val="767070"/>
          <w:sz w:val="16"/>
        </w:rPr>
        <w:t>off</w:t>
      </w:r>
      <w:r>
        <w:rPr>
          <w:color w:val="767070"/>
          <w:spacing w:val="-6"/>
          <w:sz w:val="16"/>
        </w:rPr>
        <w:t xml:space="preserve"> </w:t>
      </w:r>
      <w:r>
        <w:rPr>
          <w:color w:val="767070"/>
          <w:sz w:val="16"/>
        </w:rPr>
        <w:t>by</w:t>
      </w:r>
      <w:r>
        <w:rPr>
          <w:color w:val="767070"/>
          <w:spacing w:val="-4"/>
          <w:sz w:val="16"/>
        </w:rPr>
        <w:t xml:space="preserve"> </w:t>
      </w:r>
      <w:r>
        <w:rPr>
          <w:color w:val="767070"/>
          <w:sz w:val="16"/>
        </w:rPr>
        <w:t>21</w:t>
      </w:r>
      <w:r>
        <w:rPr>
          <w:color w:val="767070"/>
          <w:spacing w:val="-7"/>
          <w:sz w:val="16"/>
        </w:rPr>
        <w:t xml:space="preserve"> </w:t>
      </w:r>
      <w:r>
        <w:rPr>
          <w:color w:val="767070"/>
          <w:sz w:val="16"/>
        </w:rPr>
        <w:t>May</w:t>
      </w:r>
      <w:r>
        <w:rPr>
          <w:color w:val="767070"/>
          <w:spacing w:val="-5"/>
          <w:sz w:val="16"/>
        </w:rPr>
        <w:t xml:space="preserve"> </w:t>
      </w:r>
      <w:r>
        <w:rPr>
          <w:color w:val="767070"/>
          <w:sz w:val="16"/>
        </w:rPr>
        <w:t>2025</w:t>
      </w:r>
      <w:r>
        <w:rPr>
          <w:color w:val="767070"/>
          <w:spacing w:val="-6"/>
          <w:sz w:val="16"/>
        </w:rPr>
        <w:t xml:space="preserve"> </w:t>
      </w:r>
      <w:r>
        <w:rPr>
          <w:color w:val="767070"/>
          <w:sz w:val="16"/>
        </w:rPr>
        <w:t>(N/A:</w:t>
      </w:r>
      <w:r>
        <w:rPr>
          <w:color w:val="767070"/>
          <w:spacing w:val="-7"/>
          <w:sz w:val="16"/>
        </w:rPr>
        <w:t xml:space="preserve"> </w:t>
      </w:r>
      <w:r>
        <w:rPr>
          <w:color w:val="767070"/>
          <w:sz w:val="16"/>
        </w:rPr>
        <w:t>data</w:t>
      </w:r>
      <w:r>
        <w:rPr>
          <w:color w:val="767070"/>
          <w:spacing w:val="-6"/>
          <w:sz w:val="16"/>
        </w:rPr>
        <w:t xml:space="preserve"> </w:t>
      </w:r>
      <w:r>
        <w:rPr>
          <w:color w:val="767070"/>
          <w:sz w:val="16"/>
        </w:rPr>
        <w:t>not</w:t>
      </w:r>
      <w:r>
        <w:rPr>
          <w:color w:val="767070"/>
          <w:spacing w:val="-5"/>
          <w:sz w:val="16"/>
        </w:rPr>
        <w:t xml:space="preserve"> </w:t>
      </w:r>
      <w:r>
        <w:rPr>
          <w:color w:val="767070"/>
          <w:sz w:val="16"/>
        </w:rPr>
        <w:t>available</w:t>
      </w:r>
      <w:r>
        <w:rPr>
          <w:color w:val="767070"/>
          <w:spacing w:val="-5"/>
          <w:sz w:val="16"/>
        </w:rPr>
        <w:t xml:space="preserve"> </w:t>
      </w:r>
      <w:r>
        <w:rPr>
          <w:color w:val="767070"/>
          <w:sz w:val="16"/>
        </w:rPr>
        <w:t>due</w:t>
      </w:r>
      <w:r>
        <w:rPr>
          <w:color w:val="767070"/>
          <w:spacing w:val="-5"/>
          <w:sz w:val="16"/>
        </w:rPr>
        <w:t xml:space="preserve"> </w:t>
      </w:r>
      <w:r>
        <w:rPr>
          <w:color w:val="767070"/>
          <w:sz w:val="16"/>
        </w:rPr>
        <w:t>to</w:t>
      </w:r>
      <w:r>
        <w:rPr>
          <w:color w:val="767070"/>
          <w:spacing w:val="-4"/>
          <w:sz w:val="16"/>
        </w:rPr>
        <w:t xml:space="preserve"> </w:t>
      </w:r>
      <w:r>
        <w:rPr>
          <w:color w:val="767070"/>
          <w:sz w:val="16"/>
        </w:rPr>
        <w:t>Province</w:t>
      </w:r>
      <w:r>
        <w:rPr>
          <w:color w:val="767070"/>
          <w:spacing w:val="-5"/>
          <w:sz w:val="16"/>
        </w:rPr>
        <w:t xml:space="preserve"> </w:t>
      </w:r>
      <w:r>
        <w:rPr>
          <w:color w:val="767070"/>
          <w:sz w:val="16"/>
        </w:rPr>
        <w:t>has</w:t>
      </w:r>
      <w:r>
        <w:rPr>
          <w:color w:val="767070"/>
          <w:spacing w:val="-5"/>
          <w:sz w:val="16"/>
        </w:rPr>
        <w:t xml:space="preserve"> </w:t>
      </w:r>
      <w:r>
        <w:rPr>
          <w:color w:val="767070"/>
          <w:sz w:val="16"/>
        </w:rPr>
        <w:t>not</w:t>
      </w:r>
      <w:r>
        <w:rPr>
          <w:color w:val="767070"/>
          <w:spacing w:val="-7"/>
          <w:sz w:val="16"/>
        </w:rPr>
        <w:t xml:space="preserve"> </w:t>
      </w:r>
      <w:r>
        <w:rPr>
          <w:color w:val="767070"/>
          <w:sz w:val="16"/>
        </w:rPr>
        <w:t>submitted</w:t>
      </w:r>
      <w:r>
        <w:rPr>
          <w:color w:val="767070"/>
          <w:spacing w:val="-4"/>
          <w:sz w:val="16"/>
        </w:rPr>
        <w:t xml:space="preserve"> </w:t>
      </w:r>
      <w:r>
        <w:rPr>
          <w:color w:val="767070"/>
          <w:sz w:val="16"/>
        </w:rPr>
        <w:t>their</w:t>
      </w:r>
      <w:r>
        <w:rPr>
          <w:color w:val="767070"/>
          <w:spacing w:val="-5"/>
          <w:sz w:val="16"/>
        </w:rPr>
        <w:t xml:space="preserve"> </w:t>
      </w:r>
      <w:r>
        <w:rPr>
          <w:color w:val="767070"/>
          <w:sz w:val="16"/>
        </w:rPr>
        <w:t>DAU</w:t>
      </w:r>
      <w:r>
        <w:rPr>
          <w:color w:val="767070"/>
          <w:spacing w:val="-4"/>
          <w:sz w:val="16"/>
        </w:rPr>
        <w:t xml:space="preserve"> </w:t>
      </w:r>
      <w:r>
        <w:rPr>
          <w:color w:val="767070"/>
          <w:sz w:val="16"/>
        </w:rPr>
        <w:t>SG</w:t>
      </w:r>
      <w:r>
        <w:rPr>
          <w:color w:val="767070"/>
          <w:spacing w:val="-7"/>
          <w:sz w:val="16"/>
        </w:rPr>
        <w:t xml:space="preserve"> </w:t>
      </w:r>
      <w:r>
        <w:rPr>
          <w:color w:val="767070"/>
          <w:sz w:val="16"/>
        </w:rPr>
        <w:t>use</w:t>
      </w:r>
      <w:r>
        <w:rPr>
          <w:color w:val="767070"/>
          <w:spacing w:val="-5"/>
          <w:sz w:val="16"/>
        </w:rPr>
        <w:t xml:space="preserve"> </w:t>
      </w:r>
      <w:r>
        <w:rPr>
          <w:color w:val="767070"/>
          <w:sz w:val="16"/>
        </w:rPr>
        <w:t>for</w:t>
      </w:r>
      <w:r>
        <w:rPr>
          <w:color w:val="767070"/>
          <w:spacing w:val="-6"/>
          <w:sz w:val="16"/>
        </w:rPr>
        <w:t xml:space="preserve"> </w:t>
      </w:r>
      <w:r>
        <w:rPr>
          <w:color w:val="767070"/>
          <w:sz w:val="16"/>
        </w:rPr>
        <w:t>2025,</w:t>
      </w:r>
      <w:r>
        <w:rPr>
          <w:color w:val="767070"/>
          <w:spacing w:val="-6"/>
          <w:sz w:val="16"/>
        </w:rPr>
        <w:t xml:space="preserve"> </w:t>
      </w:r>
      <w:r>
        <w:rPr>
          <w:color w:val="767070"/>
          <w:sz w:val="16"/>
        </w:rPr>
        <w:t>especially</w:t>
      </w:r>
      <w:r>
        <w:rPr>
          <w:color w:val="767070"/>
          <w:spacing w:val="-4"/>
          <w:sz w:val="16"/>
        </w:rPr>
        <w:t xml:space="preserve"> </w:t>
      </w:r>
      <w:r>
        <w:rPr>
          <w:color w:val="767070"/>
          <w:sz w:val="16"/>
        </w:rPr>
        <w:t>for</w:t>
      </w:r>
      <w:r>
        <w:rPr>
          <w:color w:val="767070"/>
          <w:spacing w:val="-5"/>
          <w:sz w:val="16"/>
        </w:rPr>
        <w:t xml:space="preserve"> </w:t>
      </w:r>
      <w:r>
        <w:rPr>
          <w:color w:val="767070"/>
          <w:sz w:val="16"/>
        </w:rPr>
        <w:t>health</w:t>
      </w:r>
      <w:r>
        <w:rPr>
          <w:color w:val="767070"/>
          <w:spacing w:val="-7"/>
          <w:sz w:val="16"/>
        </w:rPr>
        <w:t xml:space="preserve"> </w:t>
      </w:r>
      <w:r>
        <w:rPr>
          <w:color w:val="767070"/>
          <w:sz w:val="16"/>
        </w:rPr>
        <w:t>and</w:t>
      </w:r>
      <w:r>
        <w:rPr>
          <w:color w:val="767070"/>
          <w:spacing w:val="-4"/>
          <w:sz w:val="16"/>
        </w:rPr>
        <w:t xml:space="preserve"> </w:t>
      </w:r>
      <w:r>
        <w:rPr>
          <w:color w:val="767070"/>
          <w:sz w:val="16"/>
        </w:rPr>
        <w:t>education</w:t>
      </w:r>
      <w:r>
        <w:rPr>
          <w:color w:val="767070"/>
          <w:spacing w:val="-4"/>
          <w:sz w:val="16"/>
        </w:rPr>
        <w:t xml:space="preserve"> </w:t>
      </w:r>
      <w:r>
        <w:rPr>
          <w:color w:val="767070"/>
          <w:spacing w:val="-2"/>
          <w:sz w:val="16"/>
        </w:rPr>
        <w:t>sector.</w:t>
      </w:r>
    </w:p>
    <w:p w14:paraId="2510E920" w14:textId="77777777" w:rsidR="00BC24A8" w:rsidRDefault="00BC24A8">
      <w:pPr>
        <w:rPr>
          <w:sz w:val="16"/>
        </w:rPr>
        <w:sectPr w:rsidR="00BC24A8">
          <w:footerReference w:type="default" r:id="rId18"/>
          <w:pgSz w:w="16840" w:h="11910" w:orient="landscape"/>
          <w:pgMar w:top="1340" w:right="1417" w:bottom="1100" w:left="1700" w:header="0" w:footer="907" w:gutter="0"/>
          <w:cols w:space="720"/>
        </w:sectPr>
      </w:pPr>
    </w:p>
    <w:p w14:paraId="14CC496B" w14:textId="77777777" w:rsidR="00BC24A8" w:rsidRDefault="00000000">
      <w:pPr>
        <w:pStyle w:val="BodyText"/>
        <w:spacing w:before="39" w:line="278" w:lineRule="auto"/>
        <w:ind w:left="143" w:right="560"/>
        <w:jc w:val="both"/>
      </w:pPr>
      <w:r>
        <w:lastRenderedPageBreak/>
        <w:t>While this data indicates that SKALA-supported provinces overall are steady performers in relation to MSS, with room for improvement, detailed analysis of DAU-SG allocations outside of MoHA suggests that</w:t>
      </w:r>
      <w:r>
        <w:rPr>
          <w:spacing w:val="-1"/>
        </w:rPr>
        <w:t xml:space="preserve"> </w:t>
      </w:r>
      <w:r>
        <w:t>this situation</w:t>
      </w:r>
      <w:r>
        <w:rPr>
          <w:spacing w:val="-2"/>
        </w:rPr>
        <w:t xml:space="preserve"> </w:t>
      </w:r>
      <w:r>
        <w:t>may be</w:t>
      </w:r>
      <w:r>
        <w:rPr>
          <w:spacing w:val="-1"/>
        </w:rPr>
        <w:t xml:space="preserve"> </w:t>
      </w:r>
      <w:r>
        <w:t>less positive</w:t>
      </w:r>
      <w:r>
        <w:rPr>
          <w:spacing w:val="-1"/>
        </w:rPr>
        <w:t xml:space="preserve"> </w:t>
      </w:r>
      <w:r>
        <w:t>than it</w:t>
      </w:r>
      <w:r>
        <w:rPr>
          <w:spacing w:val="-1"/>
        </w:rPr>
        <w:t xml:space="preserve"> </w:t>
      </w:r>
      <w:r>
        <w:t>appears. BAPPENAS’s analysis shows that</w:t>
      </w:r>
      <w:r>
        <w:rPr>
          <w:spacing w:val="-1"/>
        </w:rPr>
        <w:t xml:space="preserve"> </w:t>
      </w:r>
      <w:r>
        <w:t>the</w:t>
      </w:r>
      <w:r>
        <w:rPr>
          <w:spacing w:val="-1"/>
        </w:rPr>
        <w:t xml:space="preserve"> </w:t>
      </w:r>
      <w:r>
        <w:t>proportion of</w:t>
      </w:r>
      <w:r>
        <w:rPr>
          <w:spacing w:val="-7"/>
        </w:rPr>
        <w:t xml:space="preserve"> </w:t>
      </w:r>
      <w:r>
        <w:t>DAU</w:t>
      </w:r>
      <w:r>
        <w:rPr>
          <w:spacing w:val="-7"/>
        </w:rPr>
        <w:t xml:space="preserve"> </w:t>
      </w:r>
      <w:r>
        <w:t>SG</w:t>
      </w:r>
      <w:r>
        <w:rPr>
          <w:spacing w:val="-6"/>
        </w:rPr>
        <w:t xml:space="preserve"> </w:t>
      </w:r>
      <w:r>
        <w:t>nationally</w:t>
      </w:r>
      <w:r>
        <w:rPr>
          <w:spacing w:val="-5"/>
        </w:rPr>
        <w:t xml:space="preserve"> </w:t>
      </w:r>
      <w:r>
        <w:t>that</w:t>
      </w:r>
      <w:r>
        <w:rPr>
          <w:spacing w:val="-7"/>
        </w:rPr>
        <w:t xml:space="preserve"> </w:t>
      </w:r>
      <w:r>
        <w:t>directly</w:t>
      </w:r>
      <w:r>
        <w:rPr>
          <w:spacing w:val="-5"/>
        </w:rPr>
        <w:t xml:space="preserve"> </w:t>
      </w:r>
      <w:r>
        <w:t>contributed</w:t>
      </w:r>
      <w:r>
        <w:rPr>
          <w:spacing w:val="-6"/>
        </w:rPr>
        <w:t xml:space="preserve"> </w:t>
      </w:r>
      <w:r>
        <w:t>to</w:t>
      </w:r>
      <w:r>
        <w:rPr>
          <w:spacing w:val="-6"/>
        </w:rPr>
        <w:t xml:space="preserve"> </w:t>
      </w:r>
      <w:r>
        <w:t>MSS</w:t>
      </w:r>
      <w:r>
        <w:rPr>
          <w:spacing w:val="-5"/>
        </w:rPr>
        <w:t xml:space="preserve"> </w:t>
      </w:r>
      <w:r>
        <w:t>in</w:t>
      </w:r>
      <w:r>
        <w:rPr>
          <w:spacing w:val="-8"/>
        </w:rPr>
        <w:t xml:space="preserve"> </w:t>
      </w:r>
      <w:r>
        <w:t>education,</w:t>
      </w:r>
      <w:r>
        <w:rPr>
          <w:spacing w:val="-7"/>
        </w:rPr>
        <w:t xml:space="preserve"> </w:t>
      </w:r>
      <w:r>
        <w:t>health,</w:t>
      </w:r>
      <w:r>
        <w:rPr>
          <w:spacing w:val="-5"/>
        </w:rPr>
        <w:t xml:space="preserve"> </w:t>
      </w:r>
      <w:r>
        <w:t>and</w:t>
      </w:r>
      <w:r>
        <w:rPr>
          <w:spacing w:val="-8"/>
        </w:rPr>
        <w:t xml:space="preserve"> </w:t>
      </w:r>
      <w:r>
        <w:t>Public</w:t>
      </w:r>
      <w:r>
        <w:rPr>
          <w:spacing w:val="-7"/>
        </w:rPr>
        <w:t xml:space="preserve"> </w:t>
      </w:r>
      <w:r>
        <w:t>Works</w:t>
      </w:r>
      <w:r>
        <w:rPr>
          <w:spacing w:val="-5"/>
        </w:rPr>
        <w:t xml:space="preserve"> </w:t>
      </w:r>
      <w:r>
        <w:t>is</w:t>
      </w:r>
      <w:r>
        <w:rPr>
          <w:spacing w:val="-5"/>
        </w:rPr>
        <w:t xml:space="preserve"> </w:t>
      </w:r>
      <w:r>
        <w:t>only</w:t>
      </w:r>
      <w:r>
        <w:rPr>
          <w:spacing w:val="-8"/>
        </w:rPr>
        <w:t xml:space="preserve"> </w:t>
      </w:r>
      <w:r>
        <w:t>5%, 5%, and 18%, respectively</w:t>
      </w:r>
      <w:hyperlink w:anchor="_bookmark67" w:history="1">
        <w:r w:rsidR="00BC24A8">
          <w:rPr>
            <w:vertAlign w:val="superscript"/>
          </w:rPr>
          <w:t>25</w:t>
        </w:r>
      </w:hyperlink>
      <w:r>
        <w:rPr>
          <w:color w:val="6F2F9F"/>
        </w:rPr>
        <w:t xml:space="preserve">. </w:t>
      </w:r>
      <w:r>
        <w:t>Inconsistent methodologies for tagging direct versus indirect service expenditure may contribute to the varying provincial performance assessments. The relatively recent introduction</w:t>
      </w:r>
      <w:r>
        <w:rPr>
          <w:spacing w:val="-10"/>
        </w:rPr>
        <w:t xml:space="preserve"> </w:t>
      </w:r>
      <w:r>
        <w:t>of</w:t>
      </w:r>
      <w:r>
        <w:rPr>
          <w:spacing w:val="-12"/>
        </w:rPr>
        <w:t xml:space="preserve"> </w:t>
      </w:r>
      <w:r>
        <w:t>regulation</w:t>
      </w:r>
      <w:r>
        <w:rPr>
          <w:spacing w:val="-10"/>
        </w:rPr>
        <w:t xml:space="preserve"> </w:t>
      </w:r>
      <w:r>
        <w:t>and</w:t>
      </w:r>
      <w:r>
        <w:rPr>
          <w:spacing w:val="-10"/>
        </w:rPr>
        <w:t xml:space="preserve"> </w:t>
      </w:r>
      <w:r>
        <w:t>limited</w:t>
      </w:r>
      <w:r>
        <w:rPr>
          <w:spacing w:val="-10"/>
        </w:rPr>
        <w:t xml:space="preserve"> </w:t>
      </w:r>
      <w:r>
        <w:t>provincial</w:t>
      </w:r>
      <w:r>
        <w:rPr>
          <w:spacing w:val="-11"/>
        </w:rPr>
        <w:t xml:space="preserve"> </w:t>
      </w:r>
      <w:r>
        <w:t>socialisation</w:t>
      </w:r>
      <w:r>
        <w:rPr>
          <w:spacing w:val="-10"/>
        </w:rPr>
        <w:t xml:space="preserve"> </w:t>
      </w:r>
      <w:r>
        <w:t>of</w:t>
      </w:r>
      <w:r>
        <w:rPr>
          <w:spacing w:val="-12"/>
        </w:rPr>
        <w:t xml:space="preserve"> </w:t>
      </w:r>
      <w:r>
        <w:t>its</w:t>
      </w:r>
      <w:r>
        <w:rPr>
          <w:spacing w:val="-10"/>
        </w:rPr>
        <w:t xml:space="preserve"> </w:t>
      </w:r>
      <w:r>
        <w:t>implications,</w:t>
      </w:r>
      <w:r>
        <w:rPr>
          <w:spacing w:val="-9"/>
        </w:rPr>
        <w:t xml:space="preserve"> </w:t>
      </w:r>
      <w:r>
        <w:t>along</w:t>
      </w:r>
      <w:r>
        <w:rPr>
          <w:spacing w:val="-11"/>
        </w:rPr>
        <w:t xml:space="preserve"> </w:t>
      </w:r>
      <w:r>
        <w:t>with</w:t>
      </w:r>
      <w:r>
        <w:rPr>
          <w:spacing w:val="-10"/>
        </w:rPr>
        <w:t xml:space="preserve"> </w:t>
      </w:r>
      <w:r>
        <w:t>confounding variables such as administrative and policy flux, variability in data quality, as well as inconsistent approaches to planning and reporting on MSS, makes it hard to assess the effect of these regulatory reforms.</w:t>
      </w:r>
      <w:r>
        <w:rPr>
          <w:spacing w:val="-2"/>
        </w:rPr>
        <w:t xml:space="preserve"> </w:t>
      </w:r>
      <w:r>
        <w:t>To</w:t>
      </w:r>
      <w:r>
        <w:rPr>
          <w:spacing w:val="-3"/>
        </w:rPr>
        <w:t xml:space="preserve"> </w:t>
      </w:r>
      <w:r>
        <w:t>ensure</w:t>
      </w:r>
      <w:r>
        <w:rPr>
          <w:spacing w:val="-2"/>
        </w:rPr>
        <w:t xml:space="preserve"> </w:t>
      </w:r>
      <w:r>
        <w:t>the</w:t>
      </w:r>
      <w:r>
        <w:rPr>
          <w:spacing w:val="-5"/>
        </w:rPr>
        <w:t xml:space="preserve"> </w:t>
      </w:r>
      <w:r>
        <w:t>potential</w:t>
      </w:r>
      <w:r>
        <w:rPr>
          <w:spacing w:val="-2"/>
        </w:rPr>
        <w:t xml:space="preserve"> </w:t>
      </w:r>
      <w:r>
        <w:t>value</w:t>
      </w:r>
      <w:r>
        <w:rPr>
          <w:spacing w:val="-2"/>
        </w:rPr>
        <w:t xml:space="preserve"> </w:t>
      </w:r>
      <w:r>
        <w:t>is</w:t>
      </w:r>
      <w:r>
        <w:rPr>
          <w:spacing w:val="-2"/>
        </w:rPr>
        <w:t xml:space="preserve"> </w:t>
      </w:r>
      <w:r>
        <w:t>delivered,</w:t>
      </w:r>
      <w:r>
        <w:rPr>
          <w:spacing w:val="-2"/>
        </w:rPr>
        <w:t xml:space="preserve"> </w:t>
      </w:r>
      <w:r>
        <w:t>more</w:t>
      </w:r>
      <w:r>
        <w:rPr>
          <w:spacing w:val="-2"/>
        </w:rPr>
        <w:t xml:space="preserve"> </w:t>
      </w:r>
      <w:r>
        <w:t>guidance</w:t>
      </w:r>
      <w:r>
        <w:rPr>
          <w:spacing w:val="-2"/>
        </w:rPr>
        <w:t xml:space="preserve"> </w:t>
      </w:r>
      <w:r>
        <w:t>and</w:t>
      </w:r>
      <w:r>
        <w:rPr>
          <w:spacing w:val="-1"/>
        </w:rPr>
        <w:t xml:space="preserve"> </w:t>
      </w:r>
      <w:r>
        <w:t>clarification</w:t>
      </w:r>
      <w:r>
        <w:rPr>
          <w:spacing w:val="-1"/>
        </w:rPr>
        <w:t xml:space="preserve"> </w:t>
      </w:r>
      <w:r>
        <w:t>on</w:t>
      </w:r>
      <w:r>
        <w:rPr>
          <w:spacing w:val="-1"/>
        </w:rPr>
        <w:t xml:space="preserve"> </w:t>
      </w:r>
      <w:r>
        <w:t>the</w:t>
      </w:r>
      <w:r>
        <w:rPr>
          <w:spacing w:val="-2"/>
        </w:rPr>
        <w:t xml:space="preserve"> </w:t>
      </w:r>
      <w:r>
        <w:t>use</w:t>
      </w:r>
      <w:r>
        <w:rPr>
          <w:spacing w:val="-2"/>
        </w:rPr>
        <w:t xml:space="preserve"> </w:t>
      </w:r>
      <w:r>
        <w:t>of</w:t>
      </w:r>
      <w:r>
        <w:rPr>
          <w:spacing w:val="-5"/>
        </w:rPr>
        <w:t xml:space="preserve"> </w:t>
      </w:r>
      <w:r>
        <w:t>DAU- SG are needed.</w:t>
      </w:r>
    </w:p>
    <w:p w14:paraId="7C294AB6" w14:textId="77777777" w:rsidR="00BC24A8" w:rsidRDefault="00000000">
      <w:pPr>
        <w:pStyle w:val="BodyText"/>
        <w:spacing w:before="154" w:line="278" w:lineRule="auto"/>
        <w:ind w:left="143" w:right="562"/>
        <w:jc w:val="both"/>
      </w:pPr>
      <w:r>
        <w:t>Based on</w:t>
      </w:r>
      <w:r>
        <w:rPr>
          <w:spacing w:val="-2"/>
        </w:rPr>
        <w:t xml:space="preserve"> </w:t>
      </w:r>
      <w:r>
        <w:t>SKALA outcome</w:t>
      </w:r>
      <w:r>
        <w:rPr>
          <w:spacing w:val="-4"/>
        </w:rPr>
        <w:t xml:space="preserve"> </w:t>
      </w:r>
      <w:r>
        <w:t>monitoring, a</w:t>
      </w:r>
      <w:r>
        <w:rPr>
          <w:spacing w:val="-4"/>
        </w:rPr>
        <w:t xml:space="preserve"> </w:t>
      </w:r>
      <w:r>
        <w:t>number of</w:t>
      </w:r>
      <w:r>
        <w:rPr>
          <w:spacing w:val="-2"/>
        </w:rPr>
        <w:t xml:space="preserve"> </w:t>
      </w:r>
      <w:r>
        <w:t>challenges remain in optimising</w:t>
      </w:r>
      <w:r>
        <w:rPr>
          <w:spacing w:val="-1"/>
        </w:rPr>
        <w:t xml:space="preserve"> </w:t>
      </w:r>
      <w:r>
        <w:t>the</w:t>
      </w:r>
      <w:r>
        <w:rPr>
          <w:spacing w:val="-2"/>
        </w:rPr>
        <w:t xml:space="preserve"> </w:t>
      </w:r>
      <w:r>
        <w:t>use</w:t>
      </w:r>
      <w:r>
        <w:rPr>
          <w:spacing w:val="-2"/>
        </w:rPr>
        <w:t xml:space="preserve"> </w:t>
      </w:r>
      <w:r>
        <w:t>of</w:t>
      </w:r>
      <w:r>
        <w:rPr>
          <w:spacing w:val="-2"/>
        </w:rPr>
        <w:t xml:space="preserve"> </w:t>
      </w:r>
      <w:r>
        <w:t xml:space="preserve">DAU-SG, </w:t>
      </w:r>
      <w:r>
        <w:rPr>
          <w:spacing w:val="-2"/>
        </w:rPr>
        <w:t>including:</w:t>
      </w:r>
    </w:p>
    <w:p w14:paraId="572414D6" w14:textId="77777777" w:rsidR="00BC24A8" w:rsidRDefault="00000000">
      <w:pPr>
        <w:pStyle w:val="ListParagraph"/>
        <w:numPr>
          <w:ilvl w:val="0"/>
          <w:numId w:val="162"/>
        </w:numPr>
        <w:tabs>
          <w:tab w:val="left" w:pos="683"/>
        </w:tabs>
        <w:spacing w:before="160"/>
        <w:ind w:right="564"/>
      </w:pPr>
      <w:r>
        <w:t>Misaligned personnel planning and budgets: DAU-SG allows up to 25% to cover salaries and benefits,</w:t>
      </w:r>
      <w:r>
        <w:rPr>
          <w:spacing w:val="-12"/>
        </w:rPr>
        <w:t xml:space="preserve"> </w:t>
      </w:r>
      <w:r>
        <w:t>but</w:t>
      </w:r>
      <w:r>
        <w:rPr>
          <w:spacing w:val="-12"/>
        </w:rPr>
        <w:t xml:space="preserve"> </w:t>
      </w:r>
      <w:r>
        <w:t>when</w:t>
      </w:r>
      <w:r>
        <w:rPr>
          <w:spacing w:val="-13"/>
        </w:rPr>
        <w:t xml:space="preserve"> </w:t>
      </w:r>
      <w:r>
        <w:t>staffing</w:t>
      </w:r>
      <w:r>
        <w:rPr>
          <w:spacing w:val="-12"/>
        </w:rPr>
        <w:t xml:space="preserve"> </w:t>
      </w:r>
      <w:r>
        <w:t>is</w:t>
      </w:r>
      <w:r>
        <w:rPr>
          <w:spacing w:val="-10"/>
        </w:rPr>
        <w:t xml:space="preserve"> </w:t>
      </w:r>
      <w:r>
        <w:t>not</w:t>
      </w:r>
      <w:r>
        <w:rPr>
          <w:spacing w:val="-13"/>
        </w:rPr>
        <w:t xml:space="preserve"> </w:t>
      </w:r>
      <w:r>
        <w:t>based</w:t>
      </w:r>
      <w:r>
        <w:rPr>
          <w:spacing w:val="-11"/>
        </w:rPr>
        <w:t xml:space="preserve"> </w:t>
      </w:r>
      <w:r>
        <w:t>on</w:t>
      </w:r>
      <w:r>
        <w:rPr>
          <w:spacing w:val="-11"/>
        </w:rPr>
        <w:t xml:space="preserve"> </w:t>
      </w:r>
      <w:r>
        <w:t>actual</w:t>
      </w:r>
      <w:r>
        <w:rPr>
          <w:spacing w:val="-12"/>
        </w:rPr>
        <w:t xml:space="preserve"> </w:t>
      </w:r>
      <w:r>
        <w:t>service</w:t>
      </w:r>
      <w:r>
        <w:rPr>
          <w:spacing w:val="-10"/>
        </w:rPr>
        <w:t xml:space="preserve"> </w:t>
      </w:r>
      <w:r>
        <w:t>needs,</w:t>
      </w:r>
      <w:r>
        <w:rPr>
          <w:spacing w:val="-10"/>
        </w:rPr>
        <w:t xml:space="preserve"> </w:t>
      </w:r>
      <w:r>
        <w:t>it</w:t>
      </w:r>
      <w:r>
        <w:rPr>
          <w:spacing w:val="-12"/>
        </w:rPr>
        <w:t xml:space="preserve"> </w:t>
      </w:r>
      <w:r>
        <w:t>leads</w:t>
      </w:r>
      <w:r>
        <w:rPr>
          <w:spacing w:val="-10"/>
        </w:rPr>
        <w:t xml:space="preserve"> </w:t>
      </w:r>
      <w:r>
        <w:t>to</w:t>
      </w:r>
      <w:r>
        <w:rPr>
          <w:spacing w:val="-11"/>
        </w:rPr>
        <w:t xml:space="preserve"> </w:t>
      </w:r>
      <w:r>
        <w:t>inefficient</w:t>
      </w:r>
      <w:r>
        <w:rPr>
          <w:spacing w:val="-12"/>
        </w:rPr>
        <w:t xml:space="preserve"> </w:t>
      </w:r>
      <w:r>
        <w:t>use</w:t>
      </w:r>
      <w:r>
        <w:rPr>
          <w:spacing w:val="-10"/>
        </w:rPr>
        <w:t xml:space="preserve"> </w:t>
      </w:r>
      <w:r>
        <w:t>of</w:t>
      </w:r>
      <w:r>
        <w:rPr>
          <w:spacing w:val="-13"/>
        </w:rPr>
        <w:t xml:space="preserve"> </w:t>
      </w:r>
      <w:r>
        <w:t>funds.</w:t>
      </w:r>
    </w:p>
    <w:p w14:paraId="1E40452A" w14:textId="77777777" w:rsidR="00BC24A8" w:rsidRDefault="00000000">
      <w:pPr>
        <w:pStyle w:val="ListParagraph"/>
        <w:numPr>
          <w:ilvl w:val="0"/>
          <w:numId w:val="162"/>
        </w:numPr>
        <w:tabs>
          <w:tab w:val="left" w:pos="683"/>
        </w:tabs>
        <w:spacing w:before="3" w:line="237" w:lineRule="auto"/>
        <w:ind w:right="563"/>
      </w:pPr>
      <w:r>
        <w:t>Use</w:t>
      </w:r>
      <w:r>
        <w:rPr>
          <w:spacing w:val="-11"/>
        </w:rPr>
        <w:t xml:space="preserve"> </w:t>
      </w:r>
      <w:r>
        <w:t>for</w:t>
      </w:r>
      <w:r>
        <w:rPr>
          <w:spacing w:val="-9"/>
        </w:rPr>
        <w:t xml:space="preserve"> </w:t>
      </w:r>
      <w:r>
        <w:t>loan</w:t>
      </w:r>
      <w:r>
        <w:rPr>
          <w:spacing w:val="-12"/>
        </w:rPr>
        <w:t xml:space="preserve"> </w:t>
      </w:r>
      <w:r>
        <w:t>repayments:</w:t>
      </w:r>
      <w:r>
        <w:rPr>
          <w:spacing w:val="-12"/>
        </w:rPr>
        <w:t xml:space="preserve"> </w:t>
      </w:r>
      <w:r>
        <w:t>DAU-SG</w:t>
      </w:r>
      <w:r>
        <w:rPr>
          <w:spacing w:val="-9"/>
        </w:rPr>
        <w:t xml:space="preserve"> </w:t>
      </w:r>
      <w:r>
        <w:t>can</w:t>
      </w:r>
      <w:r>
        <w:rPr>
          <w:spacing w:val="-9"/>
        </w:rPr>
        <w:t xml:space="preserve"> </w:t>
      </w:r>
      <w:r>
        <w:t>be</w:t>
      </w:r>
      <w:r>
        <w:rPr>
          <w:spacing w:val="-11"/>
        </w:rPr>
        <w:t xml:space="preserve"> </w:t>
      </w:r>
      <w:r>
        <w:t>diverted</w:t>
      </w:r>
      <w:r>
        <w:rPr>
          <w:spacing w:val="-9"/>
        </w:rPr>
        <w:t xml:space="preserve"> </w:t>
      </w:r>
      <w:r>
        <w:t>to</w:t>
      </w:r>
      <w:r>
        <w:rPr>
          <w:spacing w:val="-12"/>
        </w:rPr>
        <w:t xml:space="preserve"> </w:t>
      </w:r>
      <w:r>
        <w:t>repay</w:t>
      </w:r>
      <w:r>
        <w:rPr>
          <w:spacing w:val="-11"/>
        </w:rPr>
        <w:t xml:space="preserve"> </w:t>
      </w:r>
      <w:r>
        <w:t>regional</w:t>
      </w:r>
      <w:r>
        <w:rPr>
          <w:spacing w:val="-11"/>
        </w:rPr>
        <w:t xml:space="preserve"> </w:t>
      </w:r>
      <w:r>
        <w:t>infrastructure</w:t>
      </w:r>
      <w:r>
        <w:rPr>
          <w:spacing w:val="-9"/>
        </w:rPr>
        <w:t xml:space="preserve"> </w:t>
      </w:r>
      <w:r>
        <w:t>loans,</w:t>
      </w:r>
      <w:r>
        <w:rPr>
          <w:spacing w:val="-9"/>
        </w:rPr>
        <w:t xml:space="preserve"> </w:t>
      </w:r>
      <w:r>
        <w:t>reducing funds available for current service delivery.</w:t>
      </w:r>
    </w:p>
    <w:p w14:paraId="22AA138F" w14:textId="77777777" w:rsidR="00BC24A8" w:rsidRDefault="00000000">
      <w:pPr>
        <w:pStyle w:val="ListParagraph"/>
        <w:numPr>
          <w:ilvl w:val="0"/>
          <w:numId w:val="162"/>
        </w:numPr>
        <w:tabs>
          <w:tab w:val="left" w:pos="683"/>
        </w:tabs>
        <w:spacing w:before="1"/>
        <w:ind w:right="562"/>
      </w:pPr>
      <w:r>
        <w:t>Inconsistencies in budget regulation guidance: The budget guidance issued</w:t>
      </w:r>
      <w:r>
        <w:rPr>
          <w:spacing w:val="-1"/>
        </w:rPr>
        <w:t xml:space="preserve"> </w:t>
      </w:r>
      <w:r>
        <w:t>by</w:t>
      </w:r>
      <w:r>
        <w:rPr>
          <w:spacing w:val="-1"/>
        </w:rPr>
        <w:t xml:space="preserve"> </w:t>
      </w:r>
      <w:r>
        <w:t>MoF and MoH</w:t>
      </w:r>
      <w:r>
        <w:rPr>
          <w:spacing w:val="-2"/>
        </w:rPr>
        <w:t xml:space="preserve"> </w:t>
      </w:r>
      <w:r>
        <w:t>for allocating</w:t>
      </w:r>
      <w:r>
        <w:rPr>
          <w:spacing w:val="-13"/>
        </w:rPr>
        <w:t xml:space="preserve"> </w:t>
      </w:r>
      <w:r>
        <w:t>and</w:t>
      </w:r>
      <w:r>
        <w:rPr>
          <w:spacing w:val="-11"/>
        </w:rPr>
        <w:t xml:space="preserve"> </w:t>
      </w:r>
      <w:r>
        <w:t>tracking</w:t>
      </w:r>
      <w:r>
        <w:rPr>
          <w:spacing w:val="-13"/>
        </w:rPr>
        <w:t xml:space="preserve"> </w:t>
      </w:r>
      <w:r>
        <w:t>DAU-SG</w:t>
      </w:r>
      <w:r>
        <w:rPr>
          <w:spacing w:val="-12"/>
        </w:rPr>
        <w:t xml:space="preserve"> </w:t>
      </w:r>
      <w:r>
        <w:t>budgets</w:t>
      </w:r>
      <w:r>
        <w:rPr>
          <w:spacing w:val="-12"/>
        </w:rPr>
        <w:t xml:space="preserve"> </w:t>
      </w:r>
      <w:r>
        <w:t>for</w:t>
      </w:r>
      <w:r>
        <w:rPr>
          <w:spacing w:val="-13"/>
        </w:rPr>
        <w:t xml:space="preserve"> </w:t>
      </w:r>
      <w:r>
        <w:t>MSS</w:t>
      </w:r>
      <w:r>
        <w:rPr>
          <w:spacing w:val="-10"/>
        </w:rPr>
        <w:t xml:space="preserve"> </w:t>
      </w:r>
      <w:r>
        <w:t>are</w:t>
      </w:r>
      <w:r>
        <w:rPr>
          <w:spacing w:val="-10"/>
        </w:rPr>
        <w:t xml:space="preserve"> </w:t>
      </w:r>
      <w:r>
        <w:t>not</w:t>
      </w:r>
      <w:r>
        <w:rPr>
          <w:spacing w:val="-13"/>
        </w:rPr>
        <w:t xml:space="preserve"> </w:t>
      </w:r>
      <w:r>
        <w:t>fully</w:t>
      </w:r>
      <w:r>
        <w:rPr>
          <w:spacing w:val="-12"/>
        </w:rPr>
        <w:t xml:space="preserve"> </w:t>
      </w:r>
      <w:r>
        <w:t>aligned.</w:t>
      </w:r>
      <w:r>
        <w:rPr>
          <w:spacing w:val="-13"/>
        </w:rPr>
        <w:t xml:space="preserve"> </w:t>
      </w:r>
      <w:r>
        <w:t>This</w:t>
      </w:r>
      <w:r>
        <w:rPr>
          <w:spacing w:val="-9"/>
        </w:rPr>
        <w:t xml:space="preserve"> </w:t>
      </w:r>
      <w:r>
        <w:t>misalignment</w:t>
      </w:r>
      <w:r>
        <w:rPr>
          <w:spacing w:val="-12"/>
        </w:rPr>
        <w:t xml:space="preserve"> </w:t>
      </w:r>
      <w:r>
        <w:t>can</w:t>
      </w:r>
      <w:r>
        <w:rPr>
          <w:spacing w:val="-13"/>
        </w:rPr>
        <w:t xml:space="preserve"> </w:t>
      </w:r>
      <w:r>
        <w:t>mean that although transfer funds for MSS are available, the legal authority to implement many activities is missing at the regional level.</w:t>
      </w:r>
    </w:p>
    <w:p w14:paraId="71BD0A5F" w14:textId="77777777" w:rsidR="00BC24A8" w:rsidRDefault="00000000">
      <w:pPr>
        <w:pStyle w:val="ListParagraph"/>
        <w:numPr>
          <w:ilvl w:val="0"/>
          <w:numId w:val="162"/>
        </w:numPr>
        <w:tabs>
          <w:tab w:val="left" w:pos="681"/>
          <w:tab w:val="left" w:pos="683"/>
        </w:tabs>
        <w:spacing w:before="2"/>
        <w:ind w:right="560" w:hanging="361"/>
      </w:pPr>
      <w:r>
        <w:t>Local leadership priorities override MSS: Governors, regents, and sector heads often redirect DAU-SG based on political or institutional interests, not service delivery needs.</w:t>
      </w:r>
    </w:p>
    <w:p w14:paraId="7C43CBE7" w14:textId="77777777" w:rsidR="00BC24A8" w:rsidRDefault="00000000">
      <w:pPr>
        <w:pStyle w:val="ListParagraph"/>
        <w:numPr>
          <w:ilvl w:val="0"/>
          <w:numId w:val="162"/>
        </w:numPr>
        <w:tabs>
          <w:tab w:val="left" w:pos="683"/>
        </w:tabs>
        <w:ind w:right="560"/>
      </w:pPr>
      <w:r>
        <w:t>Confusion over eligible sectors:</w:t>
      </w:r>
      <w:r>
        <w:rPr>
          <w:spacing w:val="-1"/>
        </w:rPr>
        <w:t xml:space="preserve"> </w:t>
      </w:r>
      <w:r>
        <w:t>The MoF</w:t>
      </w:r>
      <w:r>
        <w:rPr>
          <w:spacing w:val="-2"/>
        </w:rPr>
        <w:t xml:space="preserve"> </w:t>
      </w:r>
      <w:r>
        <w:t>sees all basic</w:t>
      </w:r>
      <w:r>
        <w:rPr>
          <w:spacing w:val="-1"/>
        </w:rPr>
        <w:t xml:space="preserve"> </w:t>
      </w:r>
      <w:r>
        <w:t>service sectors as eligible for DAU-SG, but many local governments believe only health, education, and public works can access it - limiting multisectoral use.</w:t>
      </w:r>
    </w:p>
    <w:p w14:paraId="4FF2649D" w14:textId="77777777" w:rsidR="00BC24A8" w:rsidRDefault="00000000">
      <w:pPr>
        <w:pStyle w:val="ListParagraph"/>
        <w:numPr>
          <w:ilvl w:val="0"/>
          <w:numId w:val="162"/>
        </w:numPr>
        <w:tabs>
          <w:tab w:val="left" w:pos="690"/>
        </w:tabs>
        <w:ind w:left="690" w:right="562"/>
      </w:pPr>
      <w:r>
        <w:t>Administrative burden: the complexity of the reporting and accountability system creates an administrative burden that newer provinces, especially, have difficulty with, which potentially leads to delayed distribution and suboptimal use of the fiscal transfer category.</w:t>
      </w:r>
    </w:p>
    <w:p w14:paraId="210AB314" w14:textId="77777777" w:rsidR="00BC24A8" w:rsidRDefault="00000000">
      <w:pPr>
        <w:pStyle w:val="BodyText"/>
        <w:spacing w:before="158" w:line="278" w:lineRule="auto"/>
        <w:ind w:left="143" w:right="562"/>
        <w:jc w:val="both"/>
      </w:pPr>
      <w:r>
        <w:t>In</w:t>
      </w:r>
      <w:r>
        <w:rPr>
          <w:spacing w:val="-2"/>
        </w:rPr>
        <w:t xml:space="preserve"> </w:t>
      </w:r>
      <w:r>
        <w:t>2025,</w:t>
      </w:r>
      <w:r>
        <w:rPr>
          <w:spacing w:val="-1"/>
        </w:rPr>
        <w:t xml:space="preserve"> </w:t>
      </w:r>
      <w:r>
        <w:t>the</w:t>
      </w:r>
      <w:r>
        <w:rPr>
          <w:spacing w:val="-3"/>
        </w:rPr>
        <w:t xml:space="preserve"> </w:t>
      </w:r>
      <w:r>
        <w:t>central</w:t>
      </w:r>
      <w:r>
        <w:rPr>
          <w:spacing w:val="-4"/>
        </w:rPr>
        <w:t xml:space="preserve"> </w:t>
      </w:r>
      <w:r>
        <w:t>government</w:t>
      </w:r>
      <w:r>
        <w:rPr>
          <w:spacing w:val="-3"/>
        </w:rPr>
        <w:t xml:space="preserve"> </w:t>
      </w:r>
      <w:r>
        <w:t>also</w:t>
      </w:r>
      <w:r>
        <w:rPr>
          <w:spacing w:val="-2"/>
        </w:rPr>
        <w:t xml:space="preserve"> </w:t>
      </w:r>
      <w:r>
        <w:t>removed</w:t>
      </w:r>
      <w:r>
        <w:rPr>
          <w:spacing w:val="-4"/>
        </w:rPr>
        <w:t xml:space="preserve"> </w:t>
      </w:r>
      <w:r>
        <w:t>infrastructure</w:t>
      </w:r>
      <w:r>
        <w:rPr>
          <w:spacing w:val="-3"/>
        </w:rPr>
        <w:t xml:space="preserve"> </w:t>
      </w:r>
      <w:r>
        <w:t>allocations</w:t>
      </w:r>
      <w:r>
        <w:rPr>
          <w:spacing w:val="-1"/>
        </w:rPr>
        <w:t xml:space="preserve"> </w:t>
      </w:r>
      <w:r>
        <w:t>for</w:t>
      </w:r>
      <w:r>
        <w:rPr>
          <w:spacing w:val="-1"/>
        </w:rPr>
        <w:t xml:space="preserve"> </w:t>
      </w:r>
      <w:r>
        <w:t>all</w:t>
      </w:r>
      <w:r>
        <w:rPr>
          <w:spacing w:val="-3"/>
        </w:rPr>
        <w:t xml:space="preserve"> </w:t>
      </w:r>
      <w:r>
        <w:t>provinces</w:t>
      </w:r>
      <w:r>
        <w:rPr>
          <w:spacing w:val="-1"/>
        </w:rPr>
        <w:t xml:space="preserve"> </w:t>
      </w:r>
      <w:r>
        <w:t>from</w:t>
      </w:r>
      <w:r>
        <w:rPr>
          <w:spacing w:val="-4"/>
        </w:rPr>
        <w:t xml:space="preserve"> </w:t>
      </w:r>
      <w:r>
        <w:t>DAU-SG – preferring to centrally manage budgets for this purpose. This means provinces will now have no earmarked</w:t>
      </w:r>
      <w:r>
        <w:rPr>
          <w:spacing w:val="-10"/>
        </w:rPr>
        <w:t xml:space="preserve"> </w:t>
      </w:r>
      <w:r>
        <w:t>DAU-SG</w:t>
      </w:r>
      <w:r>
        <w:rPr>
          <w:spacing w:val="-10"/>
        </w:rPr>
        <w:t xml:space="preserve"> </w:t>
      </w:r>
      <w:r>
        <w:t>to</w:t>
      </w:r>
      <w:r>
        <w:rPr>
          <w:spacing w:val="-11"/>
        </w:rPr>
        <w:t xml:space="preserve"> </w:t>
      </w:r>
      <w:r>
        <w:t>meet</w:t>
      </w:r>
      <w:r>
        <w:rPr>
          <w:spacing w:val="-11"/>
        </w:rPr>
        <w:t xml:space="preserve"> </w:t>
      </w:r>
      <w:r>
        <w:t>infrastructure-related</w:t>
      </w:r>
      <w:r>
        <w:rPr>
          <w:spacing w:val="-8"/>
        </w:rPr>
        <w:t xml:space="preserve"> </w:t>
      </w:r>
      <w:r>
        <w:t>MSS</w:t>
      </w:r>
      <w:r>
        <w:rPr>
          <w:spacing w:val="-12"/>
        </w:rPr>
        <w:t xml:space="preserve"> </w:t>
      </w:r>
      <w:r>
        <w:t>targets</w:t>
      </w:r>
      <w:r>
        <w:rPr>
          <w:spacing w:val="-7"/>
        </w:rPr>
        <w:t xml:space="preserve"> </w:t>
      </w:r>
      <w:r>
        <w:t>and</w:t>
      </w:r>
      <w:r>
        <w:rPr>
          <w:spacing w:val="-10"/>
        </w:rPr>
        <w:t xml:space="preserve"> </w:t>
      </w:r>
      <w:r>
        <w:t>will</w:t>
      </w:r>
      <w:r>
        <w:rPr>
          <w:spacing w:val="-11"/>
        </w:rPr>
        <w:t xml:space="preserve"> </w:t>
      </w:r>
      <w:r>
        <w:t>need</w:t>
      </w:r>
      <w:r>
        <w:rPr>
          <w:spacing w:val="-8"/>
        </w:rPr>
        <w:t xml:space="preserve"> </w:t>
      </w:r>
      <w:r>
        <w:t>to</w:t>
      </w:r>
      <w:r>
        <w:rPr>
          <w:spacing w:val="-11"/>
        </w:rPr>
        <w:t xml:space="preserve"> </w:t>
      </w:r>
      <w:r>
        <w:t>support</w:t>
      </w:r>
      <w:r>
        <w:rPr>
          <w:spacing w:val="-11"/>
        </w:rPr>
        <w:t xml:space="preserve"> </w:t>
      </w:r>
      <w:r>
        <w:t>achievement</w:t>
      </w:r>
      <w:r>
        <w:rPr>
          <w:spacing w:val="-11"/>
        </w:rPr>
        <w:t xml:space="preserve"> </w:t>
      </w:r>
      <w:r>
        <w:t>of these targets from other transfer categories, seek alternative financing or rely on centrally managed infrastructure budgets to address local service delivery gaps.</w:t>
      </w:r>
    </w:p>
    <w:p w14:paraId="3284CA27" w14:textId="77777777" w:rsidR="00BC24A8" w:rsidRDefault="00000000">
      <w:pPr>
        <w:spacing w:before="120"/>
        <w:ind w:left="143"/>
        <w:jc w:val="both"/>
        <w:rPr>
          <w:rFonts w:ascii="Calibri"/>
          <w:b/>
          <w:sz w:val="24"/>
        </w:rPr>
      </w:pPr>
      <w:bookmarkStart w:id="106" w:name="Recommended_SKALA_focus_for_2025_-_26"/>
      <w:bookmarkEnd w:id="106"/>
      <w:r w:rsidRPr="00795364">
        <w:rPr>
          <w:rFonts w:ascii="Calibri"/>
          <w:b/>
          <w:color w:val="008279"/>
          <w:sz w:val="24"/>
        </w:rPr>
        <w:t>Recommended</w:t>
      </w:r>
      <w:r w:rsidRPr="00795364">
        <w:rPr>
          <w:rFonts w:ascii="Calibri"/>
          <w:b/>
          <w:color w:val="008279"/>
          <w:spacing w:val="-4"/>
          <w:sz w:val="24"/>
        </w:rPr>
        <w:t xml:space="preserve"> </w:t>
      </w:r>
      <w:r w:rsidRPr="00795364">
        <w:rPr>
          <w:rFonts w:ascii="Calibri"/>
          <w:b/>
          <w:color w:val="008279"/>
          <w:sz w:val="24"/>
        </w:rPr>
        <w:t>SKALA</w:t>
      </w:r>
      <w:r w:rsidRPr="00795364">
        <w:rPr>
          <w:rFonts w:ascii="Calibri"/>
          <w:b/>
          <w:color w:val="008279"/>
          <w:spacing w:val="-4"/>
          <w:sz w:val="24"/>
        </w:rPr>
        <w:t xml:space="preserve"> </w:t>
      </w:r>
      <w:r w:rsidRPr="00795364">
        <w:rPr>
          <w:rFonts w:ascii="Calibri"/>
          <w:b/>
          <w:color w:val="008279"/>
          <w:sz w:val="24"/>
        </w:rPr>
        <w:t>focus</w:t>
      </w:r>
      <w:r w:rsidRPr="00795364">
        <w:rPr>
          <w:rFonts w:ascii="Calibri"/>
          <w:b/>
          <w:color w:val="008279"/>
          <w:spacing w:val="-4"/>
          <w:sz w:val="24"/>
        </w:rPr>
        <w:t xml:space="preserve"> </w:t>
      </w:r>
      <w:r w:rsidRPr="00795364">
        <w:rPr>
          <w:rFonts w:ascii="Calibri"/>
          <w:b/>
          <w:color w:val="008279"/>
          <w:sz w:val="24"/>
        </w:rPr>
        <w:t>for</w:t>
      </w:r>
      <w:r w:rsidRPr="00795364">
        <w:rPr>
          <w:rFonts w:ascii="Calibri"/>
          <w:b/>
          <w:color w:val="008279"/>
          <w:spacing w:val="-2"/>
          <w:sz w:val="24"/>
        </w:rPr>
        <w:t xml:space="preserve"> </w:t>
      </w:r>
      <w:r w:rsidRPr="00795364">
        <w:rPr>
          <w:rFonts w:ascii="Calibri"/>
          <w:b/>
          <w:color w:val="008279"/>
          <w:sz w:val="24"/>
        </w:rPr>
        <w:t>2025</w:t>
      </w:r>
      <w:r w:rsidRPr="00795364">
        <w:rPr>
          <w:rFonts w:ascii="Calibri"/>
          <w:b/>
          <w:color w:val="008279"/>
          <w:spacing w:val="-6"/>
          <w:sz w:val="24"/>
        </w:rPr>
        <w:t xml:space="preserve"> </w:t>
      </w:r>
      <w:r w:rsidRPr="00795364">
        <w:rPr>
          <w:rFonts w:ascii="Calibri"/>
          <w:b/>
          <w:color w:val="008279"/>
          <w:sz w:val="24"/>
        </w:rPr>
        <w:t>-</w:t>
      </w:r>
      <w:r w:rsidRPr="00795364">
        <w:rPr>
          <w:rFonts w:ascii="Calibri"/>
          <w:b/>
          <w:color w:val="008279"/>
          <w:spacing w:val="-6"/>
          <w:sz w:val="24"/>
        </w:rPr>
        <w:t xml:space="preserve"> </w:t>
      </w:r>
      <w:r w:rsidRPr="00795364">
        <w:rPr>
          <w:rFonts w:ascii="Calibri"/>
          <w:b/>
          <w:color w:val="008279"/>
          <w:spacing w:val="-5"/>
          <w:sz w:val="24"/>
        </w:rPr>
        <w:t>26</w:t>
      </w:r>
    </w:p>
    <w:p w14:paraId="2B4C0360" w14:textId="77777777" w:rsidR="00BC24A8" w:rsidRDefault="00000000">
      <w:pPr>
        <w:pStyle w:val="BodyText"/>
        <w:spacing w:before="120" w:line="278" w:lineRule="auto"/>
        <w:ind w:left="143" w:right="563"/>
        <w:jc w:val="both"/>
      </w:pPr>
      <w:r>
        <w:t>While DAU SG may still be a useful fiscal instrument to improve basic service delivery and to reduce regional disparities, it will only be</w:t>
      </w:r>
      <w:r>
        <w:rPr>
          <w:spacing w:val="-1"/>
        </w:rPr>
        <w:t xml:space="preserve"> </w:t>
      </w:r>
      <w:r>
        <w:t>effective if guidelines regarding its use are clearer and the technical, administrative</w:t>
      </w:r>
      <w:r>
        <w:rPr>
          <w:spacing w:val="-8"/>
        </w:rPr>
        <w:t xml:space="preserve"> </w:t>
      </w:r>
      <w:r>
        <w:t>and</w:t>
      </w:r>
      <w:r>
        <w:rPr>
          <w:spacing w:val="-6"/>
        </w:rPr>
        <w:t xml:space="preserve"> </w:t>
      </w:r>
      <w:r>
        <w:t>management</w:t>
      </w:r>
      <w:r>
        <w:rPr>
          <w:spacing w:val="-7"/>
        </w:rPr>
        <w:t xml:space="preserve"> </w:t>
      </w:r>
      <w:r>
        <w:t>capacities</w:t>
      </w:r>
      <w:r>
        <w:rPr>
          <w:spacing w:val="-5"/>
        </w:rPr>
        <w:t xml:space="preserve"> </w:t>
      </w:r>
      <w:r>
        <w:t>among</w:t>
      </w:r>
      <w:r>
        <w:rPr>
          <w:spacing w:val="-9"/>
        </w:rPr>
        <w:t xml:space="preserve"> </w:t>
      </w:r>
      <w:r>
        <w:t>subnational</w:t>
      </w:r>
      <w:r>
        <w:rPr>
          <w:spacing w:val="-7"/>
        </w:rPr>
        <w:t xml:space="preserve"> </w:t>
      </w:r>
      <w:r>
        <w:t>personnel</w:t>
      </w:r>
      <w:r>
        <w:rPr>
          <w:spacing w:val="-7"/>
        </w:rPr>
        <w:t xml:space="preserve"> </w:t>
      </w:r>
      <w:r>
        <w:t>are</w:t>
      </w:r>
      <w:r>
        <w:rPr>
          <w:spacing w:val="-8"/>
        </w:rPr>
        <w:t xml:space="preserve"> </w:t>
      </w:r>
      <w:r>
        <w:t>improved.</w:t>
      </w:r>
      <w:r>
        <w:rPr>
          <w:spacing w:val="-5"/>
        </w:rPr>
        <w:t xml:space="preserve"> </w:t>
      </w:r>
      <w:r>
        <w:t>To</w:t>
      </w:r>
      <w:r>
        <w:rPr>
          <w:spacing w:val="-6"/>
        </w:rPr>
        <w:t xml:space="preserve"> </w:t>
      </w:r>
      <w:r>
        <w:t>consolidate</w:t>
      </w:r>
    </w:p>
    <w:p w14:paraId="1E2A3F1C" w14:textId="77777777" w:rsidR="00BC24A8" w:rsidRDefault="00BC24A8">
      <w:pPr>
        <w:pStyle w:val="BodyText"/>
        <w:rPr>
          <w:sz w:val="20"/>
        </w:rPr>
      </w:pPr>
    </w:p>
    <w:p w14:paraId="55C3E8B7" w14:textId="77777777" w:rsidR="00BC24A8" w:rsidRDefault="00BC24A8">
      <w:pPr>
        <w:pStyle w:val="BodyText"/>
        <w:rPr>
          <w:sz w:val="20"/>
        </w:rPr>
      </w:pPr>
    </w:p>
    <w:p w14:paraId="57C3A2A0" w14:textId="77777777" w:rsidR="00BC24A8" w:rsidRDefault="00000000">
      <w:pPr>
        <w:pStyle w:val="BodyText"/>
        <w:spacing w:before="145"/>
        <w:rPr>
          <w:sz w:val="20"/>
        </w:rPr>
      </w:pPr>
      <w:r>
        <w:rPr>
          <w:noProof/>
          <w:sz w:val="20"/>
        </w:rPr>
        <mc:AlternateContent>
          <mc:Choice Requires="wps">
            <w:drawing>
              <wp:anchor distT="0" distB="0" distL="0" distR="0" simplePos="0" relativeHeight="487597056" behindDoc="1" locked="0" layoutInCell="1" allowOverlap="1" wp14:anchorId="57F4232E" wp14:editId="6C73176B">
                <wp:simplePos x="0" y="0"/>
                <wp:positionH relativeFrom="page">
                  <wp:posOffset>900683</wp:posOffset>
                </wp:positionH>
                <wp:positionV relativeFrom="paragraph">
                  <wp:posOffset>262896</wp:posOffset>
                </wp:positionV>
                <wp:extent cx="1828800" cy="9525"/>
                <wp:effectExtent l="0" t="0" r="0" b="0"/>
                <wp:wrapTopAndBottom/>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A21178" id="Graphic 55" o:spid="_x0000_s1026" alt="&quot;&quot;" style="position:absolute;margin-left:70.9pt;margin-top:20.7pt;width:2in;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" path="m1828800,l,,,9144r1828800,l1828800,xe" fillcolor="black" stroked="f">
                <v:path arrowok="t"/>
                <w10:wrap type="topAndBottom" anchorx="page"/>
              </v:shape>
            </w:pict>
          </mc:Fallback>
        </mc:AlternateContent>
      </w:r>
    </w:p>
    <w:p w14:paraId="0742AE6B" w14:textId="77777777" w:rsidR="00BC24A8" w:rsidRDefault="00BC24A8">
      <w:pPr>
        <w:pStyle w:val="BodyText"/>
        <w:spacing w:before="105"/>
        <w:rPr>
          <w:sz w:val="16"/>
        </w:rPr>
      </w:pPr>
    </w:p>
    <w:p w14:paraId="2429EDA1" w14:textId="77777777" w:rsidR="00BC24A8" w:rsidRDefault="00000000">
      <w:pPr>
        <w:spacing w:before="1"/>
        <w:ind w:left="143" w:right="648"/>
        <w:rPr>
          <w:sz w:val="16"/>
        </w:rPr>
      </w:pPr>
      <w:bookmarkStart w:id="107" w:name="_bookmark67"/>
      <w:bookmarkEnd w:id="107"/>
      <w:r>
        <w:rPr>
          <w:color w:val="767070"/>
          <w:sz w:val="16"/>
          <w:vertAlign w:val="superscript"/>
        </w:rPr>
        <w:t>25</w:t>
      </w:r>
      <w:r>
        <w:rPr>
          <w:color w:val="767070"/>
          <w:sz w:val="16"/>
        </w:rPr>
        <w:t xml:space="preserve"> Drawn from BAPPENAS Evaluation of 2024 MSS Achievement using DAU SG transfer- presented at POKJA 1.</w:t>
      </w:r>
      <w:r>
        <w:rPr>
          <w:color w:val="767070"/>
          <w:spacing w:val="-1"/>
          <w:sz w:val="16"/>
        </w:rPr>
        <w:t xml:space="preserve"> </w:t>
      </w:r>
      <w:r>
        <w:rPr>
          <w:color w:val="767070"/>
          <w:sz w:val="16"/>
        </w:rPr>
        <w:t>Data showed that the</w:t>
      </w:r>
      <w:r>
        <w:rPr>
          <w:color w:val="767070"/>
          <w:spacing w:val="40"/>
          <w:sz w:val="16"/>
        </w:rPr>
        <w:t xml:space="preserve"> </w:t>
      </w:r>
      <w:r>
        <w:rPr>
          <w:color w:val="767070"/>
          <w:sz w:val="16"/>
        </w:rPr>
        <w:t>remaining</w:t>
      </w:r>
      <w:r>
        <w:rPr>
          <w:color w:val="767070"/>
          <w:spacing w:val="-6"/>
          <w:sz w:val="16"/>
        </w:rPr>
        <w:t xml:space="preserve"> </w:t>
      </w:r>
      <w:r>
        <w:rPr>
          <w:color w:val="767070"/>
          <w:sz w:val="16"/>
        </w:rPr>
        <w:t>activities</w:t>
      </w:r>
      <w:r>
        <w:rPr>
          <w:color w:val="767070"/>
          <w:spacing w:val="-2"/>
          <w:sz w:val="16"/>
        </w:rPr>
        <w:t xml:space="preserve"> </w:t>
      </w:r>
      <w:r>
        <w:rPr>
          <w:color w:val="767070"/>
          <w:sz w:val="16"/>
        </w:rPr>
        <w:t>are</w:t>
      </w:r>
      <w:r>
        <w:rPr>
          <w:color w:val="767070"/>
          <w:spacing w:val="-3"/>
          <w:sz w:val="16"/>
        </w:rPr>
        <w:t xml:space="preserve"> </w:t>
      </w:r>
      <w:r>
        <w:rPr>
          <w:color w:val="767070"/>
          <w:sz w:val="16"/>
        </w:rPr>
        <w:t>considered</w:t>
      </w:r>
      <w:r>
        <w:rPr>
          <w:color w:val="767070"/>
          <w:spacing w:val="-2"/>
          <w:sz w:val="16"/>
        </w:rPr>
        <w:t xml:space="preserve"> </w:t>
      </w:r>
      <w:r>
        <w:rPr>
          <w:color w:val="767070"/>
          <w:sz w:val="16"/>
        </w:rPr>
        <w:t>not</w:t>
      </w:r>
      <w:r>
        <w:rPr>
          <w:color w:val="767070"/>
          <w:spacing w:val="-3"/>
          <w:sz w:val="16"/>
        </w:rPr>
        <w:t xml:space="preserve"> </w:t>
      </w:r>
      <w:r>
        <w:rPr>
          <w:color w:val="767070"/>
          <w:sz w:val="16"/>
        </w:rPr>
        <w:t>to</w:t>
      </w:r>
      <w:r>
        <w:rPr>
          <w:color w:val="767070"/>
          <w:spacing w:val="-2"/>
          <w:sz w:val="16"/>
        </w:rPr>
        <w:t xml:space="preserve"> </w:t>
      </w:r>
      <w:r>
        <w:rPr>
          <w:color w:val="767070"/>
          <w:sz w:val="16"/>
        </w:rPr>
        <w:t>have</w:t>
      </w:r>
      <w:r>
        <w:rPr>
          <w:color w:val="767070"/>
          <w:spacing w:val="-3"/>
          <w:sz w:val="16"/>
        </w:rPr>
        <w:t xml:space="preserve"> </w:t>
      </w:r>
      <w:r>
        <w:rPr>
          <w:color w:val="767070"/>
          <w:sz w:val="16"/>
        </w:rPr>
        <w:t>a</w:t>
      </w:r>
      <w:r>
        <w:rPr>
          <w:color w:val="767070"/>
          <w:spacing w:val="-2"/>
          <w:sz w:val="16"/>
        </w:rPr>
        <w:t xml:space="preserve"> </w:t>
      </w:r>
      <w:r>
        <w:rPr>
          <w:color w:val="767070"/>
          <w:sz w:val="16"/>
        </w:rPr>
        <w:t>direct</w:t>
      </w:r>
      <w:r>
        <w:rPr>
          <w:color w:val="767070"/>
          <w:spacing w:val="-3"/>
          <w:sz w:val="16"/>
        </w:rPr>
        <w:t xml:space="preserve"> </w:t>
      </w:r>
      <w:r>
        <w:rPr>
          <w:color w:val="767070"/>
          <w:sz w:val="16"/>
        </w:rPr>
        <w:t>contribution</w:t>
      </w:r>
      <w:r>
        <w:rPr>
          <w:color w:val="767070"/>
          <w:spacing w:val="-2"/>
          <w:sz w:val="16"/>
        </w:rPr>
        <w:t xml:space="preserve"> </w:t>
      </w:r>
      <w:r>
        <w:rPr>
          <w:color w:val="767070"/>
          <w:sz w:val="16"/>
        </w:rPr>
        <w:t>to</w:t>
      </w:r>
      <w:r>
        <w:rPr>
          <w:color w:val="767070"/>
          <w:spacing w:val="-5"/>
          <w:sz w:val="16"/>
        </w:rPr>
        <w:t xml:space="preserve"> </w:t>
      </w:r>
      <w:r>
        <w:rPr>
          <w:color w:val="767070"/>
          <w:sz w:val="16"/>
        </w:rPr>
        <w:t>MSS</w:t>
      </w:r>
      <w:r>
        <w:rPr>
          <w:color w:val="767070"/>
          <w:spacing w:val="-3"/>
          <w:sz w:val="16"/>
        </w:rPr>
        <w:t xml:space="preserve"> </w:t>
      </w:r>
      <w:r>
        <w:rPr>
          <w:color w:val="767070"/>
          <w:sz w:val="16"/>
        </w:rPr>
        <w:t>achievement,</w:t>
      </w:r>
      <w:r>
        <w:rPr>
          <w:color w:val="767070"/>
          <w:spacing w:val="-4"/>
          <w:sz w:val="16"/>
        </w:rPr>
        <w:t xml:space="preserve"> </w:t>
      </w:r>
      <w:r>
        <w:rPr>
          <w:color w:val="767070"/>
          <w:sz w:val="16"/>
        </w:rPr>
        <w:t>being</w:t>
      </w:r>
      <w:r>
        <w:rPr>
          <w:color w:val="767070"/>
          <w:spacing w:val="-4"/>
          <w:sz w:val="16"/>
        </w:rPr>
        <w:t xml:space="preserve"> </w:t>
      </w:r>
      <w:r>
        <w:rPr>
          <w:color w:val="767070"/>
          <w:sz w:val="16"/>
        </w:rPr>
        <w:t>spent</w:t>
      </w:r>
      <w:r>
        <w:rPr>
          <w:color w:val="767070"/>
          <w:spacing w:val="-3"/>
          <w:sz w:val="16"/>
        </w:rPr>
        <w:t xml:space="preserve"> </w:t>
      </w:r>
      <w:r>
        <w:rPr>
          <w:color w:val="767070"/>
          <w:sz w:val="16"/>
        </w:rPr>
        <w:t>on</w:t>
      </w:r>
      <w:r>
        <w:rPr>
          <w:color w:val="767070"/>
          <w:spacing w:val="-2"/>
          <w:sz w:val="16"/>
        </w:rPr>
        <w:t xml:space="preserve"> </w:t>
      </w:r>
      <w:r>
        <w:rPr>
          <w:color w:val="767070"/>
          <w:sz w:val="16"/>
        </w:rPr>
        <w:t>museum</w:t>
      </w:r>
      <w:r>
        <w:rPr>
          <w:color w:val="767070"/>
          <w:spacing w:val="-5"/>
          <w:sz w:val="16"/>
        </w:rPr>
        <w:t xml:space="preserve"> </w:t>
      </w:r>
      <w:r>
        <w:rPr>
          <w:color w:val="767070"/>
          <w:sz w:val="16"/>
        </w:rPr>
        <w:t>management,</w:t>
      </w:r>
      <w:r>
        <w:rPr>
          <w:color w:val="767070"/>
          <w:spacing w:val="-4"/>
          <w:sz w:val="16"/>
        </w:rPr>
        <w:t xml:space="preserve"> </w:t>
      </w:r>
      <w:r>
        <w:rPr>
          <w:color w:val="767070"/>
          <w:sz w:val="16"/>
        </w:rPr>
        <w:t>sport</w:t>
      </w:r>
      <w:r>
        <w:rPr>
          <w:color w:val="767070"/>
          <w:spacing w:val="-5"/>
          <w:sz w:val="16"/>
        </w:rPr>
        <w:t xml:space="preserve"> </w:t>
      </w:r>
      <w:r>
        <w:rPr>
          <w:color w:val="767070"/>
          <w:sz w:val="16"/>
        </w:rPr>
        <w:t>and</w:t>
      </w:r>
      <w:r>
        <w:rPr>
          <w:color w:val="767070"/>
          <w:spacing w:val="40"/>
          <w:sz w:val="16"/>
        </w:rPr>
        <w:t xml:space="preserve"> </w:t>
      </w:r>
      <w:r>
        <w:rPr>
          <w:color w:val="767070"/>
          <w:sz w:val="16"/>
        </w:rPr>
        <w:t>recreation facilities, library management, cultural preserving, etc.</w:t>
      </w:r>
    </w:p>
    <w:p w14:paraId="778DFA26" w14:textId="77777777" w:rsidR="00BC24A8" w:rsidRDefault="00BC24A8">
      <w:pPr>
        <w:rPr>
          <w:sz w:val="16"/>
        </w:rPr>
        <w:sectPr w:rsidR="00BC24A8">
          <w:footerReference w:type="default" r:id="rId19"/>
          <w:pgSz w:w="11910" w:h="16840"/>
          <w:pgMar w:top="1360" w:right="850" w:bottom="1100" w:left="1275" w:header="0" w:footer="907" w:gutter="0"/>
          <w:pgNumType w:start="42"/>
          <w:cols w:space="720"/>
        </w:sectPr>
      </w:pPr>
    </w:p>
    <w:p w14:paraId="1CC27AA5" w14:textId="77777777" w:rsidR="00BC24A8" w:rsidRDefault="00000000">
      <w:pPr>
        <w:pStyle w:val="BodyText"/>
        <w:spacing w:before="39" w:line="276" w:lineRule="auto"/>
        <w:ind w:left="143" w:right="563"/>
        <w:jc w:val="both"/>
      </w:pPr>
      <w:r>
        <w:lastRenderedPageBreak/>
        <w:t>the</w:t>
      </w:r>
      <w:r>
        <w:rPr>
          <w:spacing w:val="-7"/>
        </w:rPr>
        <w:t xml:space="preserve"> </w:t>
      </w:r>
      <w:r>
        <w:t>methodological</w:t>
      </w:r>
      <w:r>
        <w:rPr>
          <w:spacing w:val="-6"/>
        </w:rPr>
        <w:t xml:space="preserve"> </w:t>
      </w:r>
      <w:r>
        <w:t>contributions</w:t>
      </w:r>
      <w:r>
        <w:rPr>
          <w:spacing w:val="-5"/>
        </w:rPr>
        <w:t xml:space="preserve"> </w:t>
      </w:r>
      <w:r>
        <w:t>of</w:t>
      </w:r>
      <w:r>
        <w:rPr>
          <w:spacing w:val="-7"/>
        </w:rPr>
        <w:t xml:space="preserve"> </w:t>
      </w:r>
      <w:r>
        <w:t>SKALA’s</w:t>
      </w:r>
      <w:r>
        <w:rPr>
          <w:spacing w:val="-5"/>
        </w:rPr>
        <w:t xml:space="preserve"> </w:t>
      </w:r>
      <w:r>
        <w:t>TA</w:t>
      </w:r>
      <w:r>
        <w:rPr>
          <w:spacing w:val="-5"/>
        </w:rPr>
        <w:t xml:space="preserve"> </w:t>
      </w:r>
      <w:r>
        <w:t>and</w:t>
      </w:r>
      <w:r>
        <w:rPr>
          <w:spacing w:val="-5"/>
        </w:rPr>
        <w:t xml:space="preserve"> </w:t>
      </w:r>
      <w:r>
        <w:t>facilitation</w:t>
      </w:r>
      <w:r>
        <w:rPr>
          <w:spacing w:val="-5"/>
        </w:rPr>
        <w:t xml:space="preserve"> </w:t>
      </w:r>
      <w:r>
        <w:t>work</w:t>
      </w:r>
      <w:r>
        <w:rPr>
          <w:spacing w:val="-7"/>
        </w:rPr>
        <w:t xml:space="preserve"> </w:t>
      </w:r>
      <w:r>
        <w:t>so</w:t>
      </w:r>
      <w:r>
        <w:rPr>
          <w:spacing w:val="-5"/>
        </w:rPr>
        <w:t xml:space="preserve"> </w:t>
      </w:r>
      <w:r>
        <w:t>far,</w:t>
      </w:r>
      <w:r>
        <w:rPr>
          <w:spacing w:val="-5"/>
        </w:rPr>
        <w:t xml:space="preserve"> </w:t>
      </w:r>
      <w:r>
        <w:t>it</w:t>
      </w:r>
      <w:r>
        <w:rPr>
          <w:spacing w:val="-6"/>
        </w:rPr>
        <w:t xml:space="preserve"> </w:t>
      </w:r>
      <w:r>
        <w:t>is</w:t>
      </w:r>
      <w:r>
        <w:rPr>
          <w:spacing w:val="-5"/>
        </w:rPr>
        <w:t xml:space="preserve"> </w:t>
      </w:r>
      <w:r>
        <w:t>recommended</w:t>
      </w:r>
      <w:r>
        <w:rPr>
          <w:spacing w:val="-5"/>
        </w:rPr>
        <w:t xml:space="preserve"> </w:t>
      </w:r>
      <w:r>
        <w:t>that</w:t>
      </w:r>
      <w:r>
        <w:rPr>
          <w:spacing w:val="-6"/>
        </w:rPr>
        <w:t xml:space="preserve"> </w:t>
      </w:r>
      <w:r>
        <w:t xml:space="preserve">the </w:t>
      </w:r>
      <w:r>
        <w:rPr>
          <w:spacing w:val="-2"/>
        </w:rPr>
        <w:t>program:</w:t>
      </w:r>
    </w:p>
    <w:p w14:paraId="6BE7C2B6" w14:textId="77777777" w:rsidR="00BC24A8" w:rsidRDefault="00000000">
      <w:pPr>
        <w:pStyle w:val="ListParagraph"/>
        <w:numPr>
          <w:ilvl w:val="0"/>
          <w:numId w:val="161"/>
        </w:numPr>
        <w:tabs>
          <w:tab w:val="left" w:pos="681"/>
          <w:tab w:val="left" w:pos="683"/>
        </w:tabs>
        <w:spacing w:before="165" w:line="256" w:lineRule="auto"/>
        <w:ind w:right="564"/>
        <w:jc w:val="both"/>
      </w:pPr>
      <w:r>
        <w:t>Advocate</w:t>
      </w:r>
      <w:r>
        <w:rPr>
          <w:spacing w:val="-3"/>
        </w:rPr>
        <w:t xml:space="preserve"> </w:t>
      </w:r>
      <w:r>
        <w:t>for</w:t>
      </w:r>
      <w:r>
        <w:rPr>
          <w:spacing w:val="-4"/>
        </w:rPr>
        <w:t xml:space="preserve"> </w:t>
      </w:r>
      <w:r>
        <w:t>subnational</w:t>
      </w:r>
      <w:r>
        <w:rPr>
          <w:spacing w:val="-5"/>
        </w:rPr>
        <w:t xml:space="preserve"> </w:t>
      </w:r>
      <w:r>
        <w:t>governments</w:t>
      </w:r>
      <w:r>
        <w:rPr>
          <w:spacing w:val="-1"/>
        </w:rPr>
        <w:t xml:space="preserve"> </w:t>
      </w:r>
      <w:r>
        <w:t>to</w:t>
      </w:r>
      <w:r>
        <w:rPr>
          <w:spacing w:val="-2"/>
        </w:rPr>
        <w:t xml:space="preserve"> </w:t>
      </w:r>
      <w:r>
        <w:t>allocate</w:t>
      </w:r>
      <w:r>
        <w:rPr>
          <w:spacing w:val="-3"/>
        </w:rPr>
        <w:t xml:space="preserve"> </w:t>
      </w:r>
      <w:r>
        <w:t>DAU-SG</w:t>
      </w:r>
      <w:r>
        <w:rPr>
          <w:spacing w:val="-1"/>
        </w:rPr>
        <w:t xml:space="preserve"> </w:t>
      </w:r>
      <w:r>
        <w:t>to</w:t>
      </w:r>
      <w:r>
        <w:rPr>
          <w:spacing w:val="-4"/>
        </w:rPr>
        <w:t xml:space="preserve"> </w:t>
      </w:r>
      <w:r>
        <w:t>activities</w:t>
      </w:r>
      <w:r>
        <w:rPr>
          <w:spacing w:val="-1"/>
        </w:rPr>
        <w:t xml:space="preserve"> </w:t>
      </w:r>
      <w:r>
        <w:t>that</w:t>
      </w:r>
      <w:r>
        <w:rPr>
          <w:spacing w:val="-3"/>
        </w:rPr>
        <w:t xml:space="preserve"> </w:t>
      </w:r>
      <w:r>
        <w:t>directly</w:t>
      </w:r>
      <w:r>
        <w:rPr>
          <w:spacing w:val="-1"/>
        </w:rPr>
        <w:t xml:space="preserve"> </w:t>
      </w:r>
      <w:r>
        <w:t>support</w:t>
      </w:r>
      <w:r>
        <w:rPr>
          <w:spacing w:val="-5"/>
        </w:rPr>
        <w:t xml:space="preserve"> </w:t>
      </w:r>
      <w:r>
        <w:t>MSS delivery, rather than indirect or administrative functions.</w:t>
      </w:r>
    </w:p>
    <w:p w14:paraId="3525B7DB" w14:textId="77777777" w:rsidR="00BC24A8" w:rsidRDefault="00000000">
      <w:pPr>
        <w:pStyle w:val="ListParagraph"/>
        <w:numPr>
          <w:ilvl w:val="0"/>
          <w:numId w:val="161"/>
        </w:numPr>
        <w:tabs>
          <w:tab w:val="left" w:pos="681"/>
          <w:tab w:val="left" w:pos="683"/>
        </w:tabs>
        <w:spacing w:before="3" w:line="259" w:lineRule="auto"/>
        <w:ind w:right="563"/>
        <w:jc w:val="both"/>
      </w:pPr>
      <w:r>
        <w:t>Consider developing and promoting a clear tagging framework that classifies DAU-SG budget allocations based on their relevance to MSS.</w:t>
      </w:r>
    </w:p>
    <w:p w14:paraId="030B0A3B" w14:textId="77777777" w:rsidR="00BC24A8" w:rsidRDefault="00000000">
      <w:pPr>
        <w:pStyle w:val="ListParagraph"/>
        <w:numPr>
          <w:ilvl w:val="0"/>
          <w:numId w:val="161"/>
        </w:numPr>
        <w:tabs>
          <w:tab w:val="left" w:pos="681"/>
          <w:tab w:val="left" w:pos="683"/>
        </w:tabs>
        <w:spacing w:before="1" w:line="259" w:lineRule="auto"/>
        <w:ind w:right="563"/>
        <w:jc w:val="both"/>
      </w:pPr>
      <w:r>
        <w:t>Advocate accelerating refinement of the DAU-SG budget categories to reduce inefficiencies, confusion</w:t>
      </w:r>
      <w:r>
        <w:rPr>
          <w:spacing w:val="-4"/>
        </w:rPr>
        <w:t xml:space="preserve"> </w:t>
      </w:r>
      <w:r>
        <w:t>or</w:t>
      </w:r>
      <w:r>
        <w:rPr>
          <w:spacing w:val="-7"/>
        </w:rPr>
        <w:t xml:space="preserve"> </w:t>
      </w:r>
      <w:r>
        <w:t>misalignment</w:t>
      </w:r>
      <w:r>
        <w:rPr>
          <w:spacing w:val="-8"/>
        </w:rPr>
        <w:t xml:space="preserve"> </w:t>
      </w:r>
      <w:r>
        <w:t>between</w:t>
      </w:r>
      <w:r>
        <w:rPr>
          <w:spacing w:val="-4"/>
        </w:rPr>
        <w:t xml:space="preserve"> </w:t>
      </w:r>
      <w:r>
        <w:t>policy</w:t>
      </w:r>
      <w:r>
        <w:rPr>
          <w:spacing w:val="-4"/>
        </w:rPr>
        <w:t xml:space="preserve"> </w:t>
      </w:r>
      <w:r>
        <w:t>intent</w:t>
      </w:r>
      <w:r>
        <w:rPr>
          <w:spacing w:val="-5"/>
        </w:rPr>
        <w:t xml:space="preserve"> </w:t>
      </w:r>
      <w:r>
        <w:t>and</w:t>
      </w:r>
      <w:r>
        <w:rPr>
          <w:spacing w:val="-7"/>
        </w:rPr>
        <w:t xml:space="preserve"> </w:t>
      </w:r>
      <w:r>
        <w:t>budget</w:t>
      </w:r>
      <w:r>
        <w:rPr>
          <w:spacing w:val="-5"/>
        </w:rPr>
        <w:t xml:space="preserve"> </w:t>
      </w:r>
      <w:r>
        <w:t>execution</w:t>
      </w:r>
      <w:r>
        <w:rPr>
          <w:spacing w:val="-7"/>
        </w:rPr>
        <w:t xml:space="preserve"> </w:t>
      </w:r>
      <w:r>
        <w:t>due</w:t>
      </w:r>
      <w:r>
        <w:rPr>
          <w:spacing w:val="-8"/>
        </w:rPr>
        <w:t xml:space="preserve"> </w:t>
      </w:r>
      <w:r>
        <w:t>to</w:t>
      </w:r>
      <w:r>
        <w:rPr>
          <w:spacing w:val="-5"/>
        </w:rPr>
        <w:t xml:space="preserve"> </w:t>
      </w:r>
      <w:r>
        <w:t>annual</w:t>
      </w:r>
      <w:r>
        <w:rPr>
          <w:spacing w:val="-6"/>
        </w:rPr>
        <w:t xml:space="preserve"> </w:t>
      </w:r>
      <w:r>
        <w:t>updates</w:t>
      </w:r>
      <w:r>
        <w:rPr>
          <w:spacing w:val="-4"/>
        </w:rPr>
        <w:t xml:space="preserve"> </w:t>
      </w:r>
      <w:r>
        <w:t>of budget items.</w:t>
      </w:r>
    </w:p>
    <w:p w14:paraId="5994195A" w14:textId="77777777" w:rsidR="00BC24A8" w:rsidRDefault="00000000">
      <w:pPr>
        <w:pStyle w:val="ListParagraph"/>
        <w:numPr>
          <w:ilvl w:val="0"/>
          <w:numId w:val="161"/>
        </w:numPr>
        <w:tabs>
          <w:tab w:val="left" w:pos="681"/>
          <w:tab w:val="left" w:pos="683"/>
        </w:tabs>
        <w:spacing w:line="259" w:lineRule="auto"/>
        <w:ind w:right="566"/>
        <w:jc w:val="both"/>
      </w:pPr>
      <w:r>
        <w:t>Encourage</w:t>
      </w:r>
      <w:r>
        <w:rPr>
          <w:spacing w:val="-4"/>
        </w:rPr>
        <w:t xml:space="preserve"> </w:t>
      </w:r>
      <w:r>
        <w:t>the</w:t>
      </w:r>
      <w:r>
        <w:rPr>
          <w:spacing w:val="-4"/>
        </w:rPr>
        <w:t xml:space="preserve"> </w:t>
      </w:r>
      <w:r>
        <w:t>MoF</w:t>
      </w:r>
      <w:r>
        <w:rPr>
          <w:spacing w:val="-4"/>
        </w:rPr>
        <w:t xml:space="preserve"> </w:t>
      </w:r>
      <w:r>
        <w:t>and</w:t>
      </w:r>
      <w:r>
        <w:rPr>
          <w:spacing w:val="-3"/>
        </w:rPr>
        <w:t xml:space="preserve"> </w:t>
      </w:r>
      <w:r>
        <w:t>MoHA</w:t>
      </w:r>
      <w:r>
        <w:rPr>
          <w:spacing w:val="-3"/>
        </w:rPr>
        <w:t xml:space="preserve"> </w:t>
      </w:r>
      <w:r>
        <w:t>to</w:t>
      </w:r>
      <w:r>
        <w:rPr>
          <w:spacing w:val="-3"/>
        </w:rPr>
        <w:t xml:space="preserve"> </w:t>
      </w:r>
      <w:r>
        <w:t>provide</w:t>
      </w:r>
      <w:r>
        <w:rPr>
          <w:spacing w:val="-4"/>
        </w:rPr>
        <w:t xml:space="preserve"> </w:t>
      </w:r>
      <w:r>
        <w:t>joint</w:t>
      </w:r>
      <w:r>
        <w:rPr>
          <w:spacing w:val="-3"/>
        </w:rPr>
        <w:t xml:space="preserve"> </w:t>
      </w:r>
      <w:r>
        <w:t>guidance</w:t>
      </w:r>
      <w:r>
        <w:rPr>
          <w:spacing w:val="-4"/>
        </w:rPr>
        <w:t xml:space="preserve"> </w:t>
      </w:r>
      <w:r>
        <w:t>that</w:t>
      </w:r>
      <w:r>
        <w:rPr>
          <w:spacing w:val="-3"/>
        </w:rPr>
        <w:t xml:space="preserve"> </w:t>
      </w:r>
      <w:r>
        <w:t>clarifies</w:t>
      </w:r>
      <w:r>
        <w:rPr>
          <w:spacing w:val="-3"/>
        </w:rPr>
        <w:t xml:space="preserve"> </w:t>
      </w:r>
      <w:r>
        <w:t>the</w:t>
      </w:r>
      <w:r>
        <w:rPr>
          <w:spacing w:val="-4"/>
        </w:rPr>
        <w:t xml:space="preserve"> </w:t>
      </w:r>
      <w:r>
        <w:t>eligibility</w:t>
      </w:r>
      <w:r>
        <w:rPr>
          <w:spacing w:val="-3"/>
        </w:rPr>
        <w:t xml:space="preserve"> </w:t>
      </w:r>
      <w:r>
        <w:t>to</w:t>
      </w:r>
      <w:r>
        <w:rPr>
          <w:spacing w:val="-3"/>
        </w:rPr>
        <w:t xml:space="preserve"> </w:t>
      </w:r>
      <w:r>
        <w:t>access</w:t>
      </w:r>
      <w:r>
        <w:rPr>
          <w:spacing w:val="-3"/>
        </w:rPr>
        <w:t xml:space="preserve"> </w:t>
      </w:r>
      <w:r>
        <w:t>and utilise DAU-SG for MSS.</w:t>
      </w:r>
    </w:p>
    <w:p w14:paraId="219D7A13" w14:textId="77777777" w:rsidR="00BC24A8" w:rsidRDefault="00000000">
      <w:pPr>
        <w:pStyle w:val="ListParagraph"/>
        <w:numPr>
          <w:ilvl w:val="0"/>
          <w:numId w:val="161"/>
        </w:numPr>
        <w:tabs>
          <w:tab w:val="left" w:pos="680"/>
          <w:tab w:val="left" w:pos="682"/>
        </w:tabs>
        <w:spacing w:line="259" w:lineRule="auto"/>
        <w:ind w:left="682" w:right="562"/>
        <w:jc w:val="both"/>
      </w:pPr>
      <w:r>
        <w:t xml:space="preserve">Conduct targeted outreach to governors, regents, and sectoral heads to raise awareness of the strategic importance of MSS fulfilment and how DAU-SG can be effectively used to meet those </w:t>
      </w:r>
      <w:r>
        <w:rPr>
          <w:spacing w:val="-2"/>
        </w:rPr>
        <w:t>standards.</w:t>
      </w:r>
    </w:p>
    <w:p w14:paraId="3160F65B" w14:textId="77777777" w:rsidR="00BC24A8" w:rsidRDefault="00BC24A8">
      <w:pPr>
        <w:pStyle w:val="BodyText"/>
        <w:spacing w:before="62"/>
      </w:pPr>
    </w:p>
    <w:p w14:paraId="6FD7D786" w14:textId="77777777" w:rsidR="00BC24A8" w:rsidRDefault="00000000">
      <w:pPr>
        <w:pStyle w:val="Heading4"/>
        <w:spacing w:before="1"/>
        <w:jc w:val="both"/>
      </w:pPr>
      <w:bookmarkStart w:id="108" w:name="Special_Autonomy_(OTSUS)_Funds"/>
      <w:bookmarkStart w:id="109" w:name="_bookmark68"/>
      <w:bookmarkEnd w:id="108"/>
      <w:bookmarkEnd w:id="109"/>
      <w:r>
        <w:rPr>
          <w:color w:val="17365A"/>
          <w:spacing w:val="-2"/>
        </w:rPr>
        <w:t>Special</w:t>
      </w:r>
      <w:r>
        <w:rPr>
          <w:color w:val="17365A"/>
          <w:spacing w:val="-28"/>
        </w:rPr>
        <w:t xml:space="preserve"> </w:t>
      </w:r>
      <w:r>
        <w:rPr>
          <w:color w:val="17365A"/>
          <w:spacing w:val="-2"/>
        </w:rPr>
        <w:t>Autonomy</w:t>
      </w:r>
      <w:r>
        <w:rPr>
          <w:color w:val="17365A"/>
          <w:spacing w:val="-26"/>
        </w:rPr>
        <w:t xml:space="preserve"> </w:t>
      </w:r>
      <w:r>
        <w:rPr>
          <w:color w:val="17365A"/>
          <w:spacing w:val="-2"/>
        </w:rPr>
        <w:t>(OTSUS)</w:t>
      </w:r>
      <w:r>
        <w:rPr>
          <w:color w:val="17365A"/>
          <w:spacing w:val="-26"/>
        </w:rPr>
        <w:t xml:space="preserve"> </w:t>
      </w:r>
      <w:r>
        <w:rPr>
          <w:color w:val="17365A"/>
          <w:spacing w:val="-4"/>
        </w:rPr>
        <w:t>Funds</w:t>
      </w:r>
    </w:p>
    <w:p w14:paraId="4674210C" w14:textId="77777777" w:rsidR="00BC24A8" w:rsidRDefault="00000000">
      <w:pPr>
        <w:pStyle w:val="BodyText"/>
        <w:spacing w:before="254" w:line="278" w:lineRule="auto"/>
        <w:ind w:left="143" w:right="562"/>
        <w:jc w:val="both"/>
      </w:pPr>
      <w:r>
        <w:t>Under the fiscal transfer laws, Special Autonomy Funds (OTSUS) aim to promote equality among provinces by addressing specific needs and disparities in special autonomy regions. The regulations governing the use of these funds are complex, still evolving, and lack clarity regarding roles and accountability between</w:t>
      </w:r>
      <w:r>
        <w:rPr>
          <w:spacing w:val="-1"/>
        </w:rPr>
        <w:t xml:space="preserve"> </w:t>
      </w:r>
      <w:r>
        <w:t>levels of</w:t>
      </w:r>
      <w:r>
        <w:rPr>
          <w:spacing w:val="-2"/>
        </w:rPr>
        <w:t xml:space="preserve"> </w:t>
      </w:r>
      <w:r>
        <w:t>government.</w:t>
      </w:r>
      <w:r>
        <w:rPr>
          <w:spacing w:val="-2"/>
        </w:rPr>
        <w:t xml:space="preserve"> </w:t>
      </w:r>
      <w:r>
        <w:t>Knowledge</w:t>
      </w:r>
      <w:r>
        <w:rPr>
          <w:spacing w:val="-2"/>
        </w:rPr>
        <w:t xml:space="preserve"> </w:t>
      </w:r>
      <w:r>
        <w:t>and</w:t>
      </w:r>
      <w:r>
        <w:rPr>
          <w:spacing w:val="-1"/>
        </w:rPr>
        <w:t xml:space="preserve"> </w:t>
      </w:r>
      <w:r>
        <w:t>capacity to</w:t>
      </w:r>
      <w:r>
        <w:rPr>
          <w:spacing w:val="-3"/>
        </w:rPr>
        <w:t xml:space="preserve"> </w:t>
      </w:r>
      <w:r>
        <w:t>comply</w:t>
      </w:r>
      <w:r>
        <w:rPr>
          <w:spacing w:val="-2"/>
        </w:rPr>
        <w:t xml:space="preserve"> </w:t>
      </w:r>
      <w:r>
        <w:t>with</w:t>
      </w:r>
      <w:r>
        <w:rPr>
          <w:spacing w:val="-1"/>
        </w:rPr>
        <w:t xml:space="preserve"> </w:t>
      </w:r>
      <w:r>
        <w:t>governance</w:t>
      </w:r>
      <w:r>
        <w:rPr>
          <w:spacing w:val="-2"/>
        </w:rPr>
        <w:t xml:space="preserve"> </w:t>
      </w:r>
      <w:r>
        <w:t xml:space="preserve">and </w:t>
      </w:r>
      <w:r>
        <w:rPr>
          <w:spacing w:val="-2"/>
        </w:rPr>
        <w:t>administration</w:t>
      </w:r>
      <w:r>
        <w:rPr>
          <w:spacing w:val="-4"/>
        </w:rPr>
        <w:t xml:space="preserve"> </w:t>
      </w:r>
      <w:r>
        <w:rPr>
          <w:spacing w:val="-2"/>
        </w:rPr>
        <w:t>requirements</w:t>
      </w:r>
      <w:r>
        <w:rPr>
          <w:spacing w:val="-4"/>
        </w:rPr>
        <w:t xml:space="preserve"> </w:t>
      </w:r>
      <w:r>
        <w:rPr>
          <w:spacing w:val="-2"/>
        </w:rPr>
        <w:t>are</w:t>
      </w:r>
      <w:r>
        <w:rPr>
          <w:spacing w:val="-7"/>
        </w:rPr>
        <w:t xml:space="preserve"> </w:t>
      </w:r>
      <w:r>
        <w:rPr>
          <w:spacing w:val="-2"/>
        </w:rPr>
        <w:t>particularly</w:t>
      </w:r>
      <w:r>
        <w:rPr>
          <w:spacing w:val="-4"/>
        </w:rPr>
        <w:t xml:space="preserve"> </w:t>
      </w:r>
      <w:r>
        <w:rPr>
          <w:spacing w:val="-2"/>
        </w:rPr>
        <w:t>low</w:t>
      </w:r>
      <w:r>
        <w:rPr>
          <w:spacing w:val="-6"/>
        </w:rPr>
        <w:t xml:space="preserve"> </w:t>
      </w:r>
      <w:r>
        <w:rPr>
          <w:spacing w:val="-2"/>
        </w:rPr>
        <w:t>in</w:t>
      </w:r>
      <w:r>
        <w:rPr>
          <w:spacing w:val="-4"/>
        </w:rPr>
        <w:t xml:space="preserve"> </w:t>
      </w:r>
      <w:r>
        <w:rPr>
          <w:spacing w:val="-2"/>
        </w:rPr>
        <w:t>Papuan</w:t>
      </w:r>
      <w:r>
        <w:rPr>
          <w:spacing w:val="-4"/>
        </w:rPr>
        <w:t xml:space="preserve"> </w:t>
      </w:r>
      <w:r>
        <w:rPr>
          <w:spacing w:val="-2"/>
        </w:rPr>
        <w:t>provinces.</w:t>
      </w:r>
      <w:r>
        <w:rPr>
          <w:spacing w:val="-4"/>
        </w:rPr>
        <w:t xml:space="preserve"> </w:t>
      </w:r>
      <w:r>
        <w:rPr>
          <w:spacing w:val="-2"/>
        </w:rPr>
        <w:t>Cumulatively,</w:t>
      </w:r>
      <w:r>
        <w:rPr>
          <w:spacing w:val="-4"/>
        </w:rPr>
        <w:t xml:space="preserve"> </w:t>
      </w:r>
      <w:r>
        <w:rPr>
          <w:spacing w:val="-2"/>
        </w:rPr>
        <w:t>this</w:t>
      </w:r>
      <w:r>
        <w:rPr>
          <w:spacing w:val="-7"/>
        </w:rPr>
        <w:t xml:space="preserve"> </w:t>
      </w:r>
      <w:r>
        <w:rPr>
          <w:spacing w:val="-2"/>
        </w:rPr>
        <w:t>leads</w:t>
      </w:r>
      <w:r>
        <w:rPr>
          <w:spacing w:val="-4"/>
        </w:rPr>
        <w:t xml:space="preserve"> </w:t>
      </w:r>
      <w:r>
        <w:rPr>
          <w:spacing w:val="-2"/>
        </w:rPr>
        <w:t>to</w:t>
      </w:r>
      <w:r>
        <w:rPr>
          <w:spacing w:val="-6"/>
        </w:rPr>
        <w:t xml:space="preserve"> </w:t>
      </w:r>
      <w:r>
        <w:rPr>
          <w:spacing w:val="-2"/>
        </w:rPr>
        <w:t xml:space="preserve">delayed </w:t>
      </w:r>
      <w:r>
        <w:t>transfers, poor utilisation of transferred OTSUS funds and a missed opportunity to improve equitable access to services in Papuan provinces and less developed areas of Aceh.</w:t>
      </w:r>
    </w:p>
    <w:p w14:paraId="70249C74" w14:textId="77777777" w:rsidR="00BC24A8" w:rsidRDefault="00000000">
      <w:pPr>
        <w:spacing w:before="157"/>
        <w:ind w:left="143"/>
        <w:jc w:val="both"/>
        <w:rPr>
          <w:i/>
        </w:rPr>
      </w:pPr>
      <w:r>
        <w:rPr>
          <w:i/>
        </w:rPr>
        <w:t>To</w:t>
      </w:r>
      <w:r>
        <w:rPr>
          <w:i/>
          <w:spacing w:val="-8"/>
        </w:rPr>
        <w:t xml:space="preserve"> </w:t>
      </w:r>
      <w:r>
        <w:rPr>
          <w:i/>
        </w:rPr>
        <w:t>support</w:t>
      </w:r>
      <w:r>
        <w:rPr>
          <w:i/>
          <w:spacing w:val="-8"/>
        </w:rPr>
        <w:t xml:space="preserve"> </w:t>
      </w:r>
      <w:r>
        <w:rPr>
          <w:i/>
        </w:rPr>
        <w:t>improved</w:t>
      </w:r>
      <w:r>
        <w:rPr>
          <w:i/>
          <w:spacing w:val="-9"/>
        </w:rPr>
        <w:t xml:space="preserve"> </w:t>
      </w:r>
      <w:r>
        <w:rPr>
          <w:i/>
        </w:rPr>
        <w:t>administration</w:t>
      </w:r>
      <w:r>
        <w:rPr>
          <w:i/>
          <w:spacing w:val="-9"/>
        </w:rPr>
        <w:t xml:space="preserve"> </w:t>
      </w:r>
      <w:r>
        <w:rPr>
          <w:i/>
        </w:rPr>
        <w:t>of</w:t>
      </w:r>
      <w:r>
        <w:rPr>
          <w:i/>
          <w:spacing w:val="-9"/>
        </w:rPr>
        <w:t xml:space="preserve"> </w:t>
      </w:r>
      <w:r>
        <w:rPr>
          <w:i/>
        </w:rPr>
        <w:t>OTSUS</w:t>
      </w:r>
      <w:r>
        <w:rPr>
          <w:i/>
          <w:spacing w:val="-8"/>
        </w:rPr>
        <w:t xml:space="preserve"> </w:t>
      </w:r>
      <w:r>
        <w:rPr>
          <w:i/>
        </w:rPr>
        <w:t>in</w:t>
      </w:r>
      <w:r>
        <w:rPr>
          <w:i/>
          <w:spacing w:val="-9"/>
        </w:rPr>
        <w:t xml:space="preserve"> </w:t>
      </w:r>
      <w:r>
        <w:rPr>
          <w:i/>
        </w:rPr>
        <w:t>Aceh</w:t>
      </w:r>
      <w:r>
        <w:rPr>
          <w:i/>
          <w:spacing w:val="-9"/>
        </w:rPr>
        <w:t xml:space="preserve"> </w:t>
      </w:r>
      <w:r>
        <w:rPr>
          <w:i/>
        </w:rPr>
        <w:t>and</w:t>
      </w:r>
      <w:r>
        <w:rPr>
          <w:i/>
          <w:spacing w:val="-8"/>
        </w:rPr>
        <w:t xml:space="preserve"> </w:t>
      </w:r>
      <w:r>
        <w:rPr>
          <w:i/>
        </w:rPr>
        <w:t>Papua,</w:t>
      </w:r>
      <w:r>
        <w:rPr>
          <w:i/>
          <w:spacing w:val="-8"/>
        </w:rPr>
        <w:t xml:space="preserve"> </w:t>
      </w:r>
      <w:r>
        <w:rPr>
          <w:i/>
        </w:rPr>
        <w:t>previously</w:t>
      </w:r>
      <w:r>
        <w:rPr>
          <w:i/>
          <w:spacing w:val="-8"/>
        </w:rPr>
        <w:t xml:space="preserve"> </w:t>
      </w:r>
      <w:r>
        <w:rPr>
          <w:i/>
          <w:spacing w:val="-2"/>
        </w:rPr>
        <w:t>SKALA:</w:t>
      </w:r>
    </w:p>
    <w:p w14:paraId="4792F8D7" w14:textId="77777777" w:rsidR="00BC24A8" w:rsidRDefault="00000000">
      <w:pPr>
        <w:pStyle w:val="ListParagraph"/>
        <w:numPr>
          <w:ilvl w:val="1"/>
          <w:numId w:val="161"/>
        </w:numPr>
        <w:tabs>
          <w:tab w:val="left" w:pos="683"/>
        </w:tabs>
        <w:spacing w:before="202"/>
        <w:ind w:right="564"/>
        <w:jc w:val="left"/>
        <w:rPr>
          <w:i/>
        </w:rPr>
      </w:pPr>
      <w:r>
        <w:rPr>
          <w:i/>
        </w:rPr>
        <w:t>Supported</w:t>
      </w:r>
      <w:r>
        <w:rPr>
          <w:i/>
          <w:spacing w:val="40"/>
        </w:rPr>
        <w:t xml:space="preserve"> </w:t>
      </w:r>
      <w:r>
        <w:rPr>
          <w:i/>
        </w:rPr>
        <w:t>the</w:t>
      </w:r>
      <w:r>
        <w:rPr>
          <w:i/>
          <w:spacing w:val="40"/>
        </w:rPr>
        <w:t xml:space="preserve"> </w:t>
      </w:r>
      <w:r>
        <w:rPr>
          <w:i/>
        </w:rPr>
        <w:t>issuance</w:t>
      </w:r>
      <w:r>
        <w:rPr>
          <w:i/>
          <w:spacing w:val="40"/>
        </w:rPr>
        <w:t xml:space="preserve"> </w:t>
      </w:r>
      <w:r>
        <w:rPr>
          <w:i/>
        </w:rPr>
        <w:t>and</w:t>
      </w:r>
      <w:r>
        <w:rPr>
          <w:i/>
          <w:spacing w:val="40"/>
        </w:rPr>
        <w:t xml:space="preserve"> </w:t>
      </w:r>
      <w:r>
        <w:rPr>
          <w:i/>
        </w:rPr>
        <w:t>socialisation</w:t>
      </w:r>
      <w:r>
        <w:rPr>
          <w:i/>
          <w:spacing w:val="40"/>
        </w:rPr>
        <w:t xml:space="preserve"> </w:t>
      </w:r>
      <w:r>
        <w:rPr>
          <w:i/>
        </w:rPr>
        <w:t>of</w:t>
      </w:r>
      <w:r>
        <w:rPr>
          <w:i/>
          <w:spacing w:val="40"/>
        </w:rPr>
        <w:t xml:space="preserve"> </w:t>
      </w:r>
      <w:r>
        <w:rPr>
          <w:i/>
        </w:rPr>
        <w:t>a</w:t>
      </w:r>
      <w:r>
        <w:rPr>
          <w:i/>
          <w:spacing w:val="40"/>
        </w:rPr>
        <w:t xml:space="preserve"> </w:t>
      </w:r>
      <w:r>
        <w:rPr>
          <w:i/>
        </w:rPr>
        <w:t>revised</w:t>
      </w:r>
      <w:r>
        <w:rPr>
          <w:i/>
          <w:spacing w:val="40"/>
        </w:rPr>
        <w:t xml:space="preserve"> </w:t>
      </w:r>
      <w:r>
        <w:rPr>
          <w:i/>
        </w:rPr>
        <w:t>MoF</w:t>
      </w:r>
      <w:r>
        <w:rPr>
          <w:i/>
          <w:spacing w:val="40"/>
        </w:rPr>
        <w:t xml:space="preserve"> </w:t>
      </w:r>
      <w:r>
        <w:rPr>
          <w:i/>
        </w:rPr>
        <w:t>national</w:t>
      </w:r>
      <w:r>
        <w:rPr>
          <w:i/>
          <w:spacing w:val="40"/>
        </w:rPr>
        <w:t xml:space="preserve"> </w:t>
      </w:r>
      <w:r>
        <w:rPr>
          <w:i/>
        </w:rPr>
        <w:t>OTSUS</w:t>
      </w:r>
      <w:r>
        <w:rPr>
          <w:i/>
          <w:spacing w:val="40"/>
        </w:rPr>
        <w:t xml:space="preserve"> </w:t>
      </w:r>
      <w:r>
        <w:rPr>
          <w:i/>
        </w:rPr>
        <w:t>guideline</w:t>
      </w:r>
      <w:r>
        <w:rPr>
          <w:i/>
          <w:spacing w:val="40"/>
        </w:rPr>
        <w:t xml:space="preserve"> </w:t>
      </w:r>
      <w:r>
        <w:rPr>
          <w:i/>
        </w:rPr>
        <w:t>(PMK 33/2024), simplifying processes and aiming to improve</w:t>
      </w:r>
      <w:r>
        <w:rPr>
          <w:i/>
          <w:spacing w:val="-4"/>
        </w:rPr>
        <w:t xml:space="preserve"> </w:t>
      </w:r>
      <w:r>
        <w:rPr>
          <w:i/>
        </w:rPr>
        <w:t>planning and reporting quality (national).</w:t>
      </w:r>
    </w:p>
    <w:p w14:paraId="6C611CC1" w14:textId="77777777" w:rsidR="00BC24A8" w:rsidRDefault="00000000">
      <w:pPr>
        <w:pStyle w:val="ListParagraph"/>
        <w:numPr>
          <w:ilvl w:val="1"/>
          <w:numId w:val="161"/>
        </w:numPr>
        <w:tabs>
          <w:tab w:val="left" w:pos="683"/>
        </w:tabs>
        <w:ind w:right="563" w:hanging="360"/>
        <w:jc w:val="left"/>
        <w:rPr>
          <w:i/>
        </w:rPr>
      </w:pPr>
      <w:r>
        <w:rPr>
          <w:i/>
        </w:rPr>
        <w:t>Facilitated</w:t>
      </w:r>
      <w:r>
        <w:rPr>
          <w:i/>
          <w:spacing w:val="-11"/>
        </w:rPr>
        <w:t xml:space="preserve"> </w:t>
      </w:r>
      <w:r>
        <w:rPr>
          <w:i/>
        </w:rPr>
        <w:t>a</w:t>
      </w:r>
      <w:r>
        <w:rPr>
          <w:i/>
          <w:spacing w:val="-11"/>
        </w:rPr>
        <w:t xml:space="preserve"> </w:t>
      </w:r>
      <w:r>
        <w:rPr>
          <w:i/>
        </w:rPr>
        <w:t>joint</w:t>
      </w:r>
      <w:r>
        <w:rPr>
          <w:i/>
          <w:spacing w:val="-12"/>
        </w:rPr>
        <w:t xml:space="preserve"> </w:t>
      </w:r>
      <w:r>
        <w:rPr>
          <w:i/>
        </w:rPr>
        <w:t>MoF,</w:t>
      </w:r>
      <w:r>
        <w:rPr>
          <w:i/>
          <w:spacing w:val="-11"/>
        </w:rPr>
        <w:t xml:space="preserve"> </w:t>
      </w:r>
      <w:r>
        <w:rPr>
          <w:i/>
        </w:rPr>
        <w:t>MoHA</w:t>
      </w:r>
      <w:r>
        <w:rPr>
          <w:i/>
          <w:spacing w:val="-11"/>
        </w:rPr>
        <w:t xml:space="preserve"> </w:t>
      </w:r>
      <w:r>
        <w:rPr>
          <w:i/>
        </w:rPr>
        <w:t>and</w:t>
      </w:r>
      <w:r>
        <w:rPr>
          <w:i/>
          <w:spacing w:val="-9"/>
        </w:rPr>
        <w:t xml:space="preserve"> </w:t>
      </w:r>
      <w:r>
        <w:rPr>
          <w:i/>
        </w:rPr>
        <w:t>BAPPENASOTSUS</w:t>
      </w:r>
      <w:r>
        <w:rPr>
          <w:i/>
          <w:spacing w:val="-12"/>
        </w:rPr>
        <w:t xml:space="preserve"> </w:t>
      </w:r>
      <w:r>
        <w:rPr>
          <w:i/>
        </w:rPr>
        <w:t>M&amp;E</w:t>
      </w:r>
      <w:r>
        <w:rPr>
          <w:i/>
          <w:spacing w:val="-9"/>
        </w:rPr>
        <w:t xml:space="preserve"> </w:t>
      </w:r>
      <w:r>
        <w:rPr>
          <w:i/>
        </w:rPr>
        <w:t>mission</w:t>
      </w:r>
      <w:r>
        <w:rPr>
          <w:i/>
          <w:spacing w:val="-11"/>
        </w:rPr>
        <w:t xml:space="preserve"> </w:t>
      </w:r>
      <w:r>
        <w:rPr>
          <w:i/>
        </w:rPr>
        <w:t>to</w:t>
      </w:r>
      <w:r>
        <w:rPr>
          <w:i/>
          <w:spacing w:val="-13"/>
        </w:rPr>
        <w:t xml:space="preserve"> </w:t>
      </w:r>
      <w:r>
        <w:rPr>
          <w:i/>
        </w:rPr>
        <w:t>build</w:t>
      </w:r>
      <w:r>
        <w:rPr>
          <w:i/>
          <w:spacing w:val="-11"/>
        </w:rPr>
        <w:t xml:space="preserve"> </w:t>
      </w:r>
      <w:r>
        <w:rPr>
          <w:i/>
        </w:rPr>
        <w:t>a</w:t>
      </w:r>
      <w:r>
        <w:rPr>
          <w:i/>
          <w:spacing w:val="-11"/>
        </w:rPr>
        <w:t xml:space="preserve"> </w:t>
      </w:r>
      <w:r>
        <w:rPr>
          <w:i/>
        </w:rPr>
        <w:t>shared</w:t>
      </w:r>
      <w:r>
        <w:rPr>
          <w:i/>
          <w:spacing w:val="-11"/>
        </w:rPr>
        <w:t xml:space="preserve"> </w:t>
      </w:r>
      <w:r>
        <w:rPr>
          <w:i/>
        </w:rPr>
        <w:t>understanding of remaining interministerial coordination issues</w:t>
      </w:r>
    </w:p>
    <w:p w14:paraId="64991158" w14:textId="77777777" w:rsidR="00BC24A8" w:rsidRDefault="00000000">
      <w:pPr>
        <w:pStyle w:val="ListParagraph"/>
        <w:numPr>
          <w:ilvl w:val="1"/>
          <w:numId w:val="161"/>
        </w:numPr>
        <w:tabs>
          <w:tab w:val="left" w:pos="683"/>
        </w:tabs>
        <w:ind w:right="564"/>
        <w:jc w:val="left"/>
        <w:rPr>
          <w:i/>
        </w:rPr>
      </w:pPr>
      <w:r>
        <w:rPr>
          <w:i/>
        </w:rPr>
        <w:t>Supported BAPPENAS to develop a guideline for inclusive participatory OTSUS planning (issued</w:t>
      </w:r>
      <w:r>
        <w:rPr>
          <w:i/>
          <w:spacing w:val="40"/>
        </w:rPr>
        <w:t xml:space="preserve"> </w:t>
      </w:r>
      <w:r>
        <w:rPr>
          <w:i/>
        </w:rPr>
        <w:t>May 2025 - Permen/PPN/BAPPENAS 1/2025)</w:t>
      </w:r>
    </w:p>
    <w:p w14:paraId="5F3B5946" w14:textId="77777777" w:rsidR="00BC24A8" w:rsidRDefault="00000000">
      <w:pPr>
        <w:pStyle w:val="ListParagraph"/>
        <w:numPr>
          <w:ilvl w:val="1"/>
          <w:numId w:val="161"/>
        </w:numPr>
        <w:tabs>
          <w:tab w:val="left" w:pos="683"/>
        </w:tabs>
        <w:ind w:hanging="360"/>
        <w:jc w:val="left"/>
        <w:rPr>
          <w:i/>
        </w:rPr>
      </w:pPr>
      <w:r>
        <w:rPr>
          <w:i/>
        </w:rPr>
        <w:t xml:space="preserve">In </w:t>
      </w:r>
      <w:r>
        <w:rPr>
          <w:i/>
          <w:spacing w:val="-4"/>
        </w:rPr>
        <w:t>Aceh</w:t>
      </w:r>
    </w:p>
    <w:p w14:paraId="02DCB963" w14:textId="77777777" w:rsidR="00BC24A8" w:rsidRDefault="00000000">
      <w:pPr>
        <w:pStyle w:val="ListParagraph"/>
        <w:numPr>
          <w:ilvl w:val="2"/>
          <w:numId w:val="161"/>
        </w:numPr>
        <w:tabs>
          <w:tab w:val="left" w:pos="1042"/>
        </w:tabs>
        <w:spacing w:before="60" w:line="268" w:lineRule="exact"/>
        <w:ind w:left="1042" w:hanging="359"/>
        <w:rPr>
          <w:i/>
        </w:rPr>
      </w:pPr>
      <w:r>
        <w:rPr>
          <w:i/>
        </w:rPr>
        <w:t>supported</w:t>
      </w:r>
      <w:r>
        <w:rPr>
          <w:i/>
          <w:spacing w:val="-6"/>
        </w:rPr>
        <w:t xml:space="preserve"> </w:t>
      </w:r>
      <w:r>
        <w:rPr>
          <w:i/>
        </w:rPr>
        <w:t>timely</w:t>
      </w:r>
      <w:r>
        <w:rPr>
          <w:i/>
          <w:spacing w:val="-6"/>
        </w:rPr>
        <w:t xml:space="preserve"> </w:t>
      </w:r>
      <w:r>
        <w:rPr>
          <w:i/>
        </w:rPr>
        <w:t>and</w:t>
      </w:r>
      <w:r>
        <w:rPr>
          <w:i/>
          <w:spacing w:val="-6"/>
        </w:rPr>
        <w:t xml:space="preserve"> </w:t>
      </w:r>
      <w:r>
        <w:rPr>
          <w:i/>
        </w:rPr>
        <w:t>compliant</w:t>
      </w:r>
      <w:r>
        <w:rPr>
          <w:i/>
          <w:spacing w:val="-7"/>
        </w:rPr>
        <w:t xml:space="preserve"> </w:t>
      </w:r>
      <w:r>
        <w:rPr>
          <w:i/>
        </w:rPr>
        <w:t>submission</w:t>
      </w:r>
      <w:r>
        <w:rPr>
          <w:i/>
          <w:spacing w:val="-4"/>
        </w:rPr>
        <w:t xml:space="preserve"> </w:t>
      </w:r>
      <w:r>
        <w:rPr>
          <w:i/>
        </w:rPr>
        <w:t>of</w:t>
      </w:r>
      <w:r>
        <w:rPr>
          <w:i/>
          <w:spacing w:val="-5"/>
        </w:rPr>
        <w:t xml:space="preserve"> </w:t>
      </w:r>
      <w:r>
        <w:rPr>
          <w:i/>
        </w:rPr>
        <w:t>OTSUS</w:t>
      </w:r>
      <w:r>
        <w:rPr>
          <w:i/>
          <w:spacing w:val="-7"/>
        </w:rPr>
        <w:t xml:space="preserve"> </w:t>
      </w:r>
      <w:r>
        <w:rPr>
          <w:i/>
        </w:rPr>
        <w:t>plans</w:t>
      </w:r>
      <w:r>
        <w:rPr>
          <w:i/>
          <w:spacing w:val="-5"/>
        </w:rPr>
        <w:t xml:space="preserve"> </w:t>
      </w:r>
      <w:r>
        <w:rPr>
          <w:i/>
        </w:rPr>
        <w:t>(2023,</w:t>
      </w:r>
      <w:r>
        <w:rPr>
          <w:i/>
          <w:spacing w:val="-5"/>
        </w:rPr>
        <w:t xml:space="preserve"> </w:t>
      </w:r>
      <w:r>
        <w:rPr>
          <w:i/>
          <w:spacing w:val="-2"/>
        </w:rPr>
        <w:t>2024)</w:t>
      </w:r>
    </w:p>
    <w:p w14:paraId="68C0AE1B" w14:textId="77777777" w:rsidR="00BC24A8" w:rsidRDefault="00000000">
      <w:pPr>
        <w:pStyle w:val="ListParagraph"/>
        <w:numPr>
          <w:ilvl w:val="2"/>
          <w:numId w:val="161"/>
        </w:numPr>
        <w:tabs>
          <w:tab w:val="left" w:pos="1043"/>
        </w:tabs>
        <w:ind w:right="563"/>
        <w:rPr>
          <w:i/>
        </w:rPr>
      </w:pPr>
      <w:r>
        <w:rPr>
          <w:i/>
        </w:rPr>
        <w:t>consolidated</w:t>
      </w:r>
      <w:r>
        <w:rPr>
          <w:i/>
          <w:spacing w:val="-4"/>
        </w:rPr>
        <w:t xml:space="preserve"> </w:t>
      </w:r>
      <w:r>
        <w:rPr>
          <w:i/>
        </w:rPr>
        <w:t>existing</w:t>
      </w:r>
      <w:r>
        <w:rPr>
          <w:i/>
          <w:spacing w:val="-4"/>
        </w:rPr>
        <w:t xml:space="preserve"> </w:t>
      </w:r>
      <w:r>
        <w:rPr>
          <w:i/>
        </w:rPr>
        <w:t>knowledge</w:t>
      </w:r>
      <w:r>
        <w:rPr>
          <w:i/>
          <w:spacing w:val="-6"/>
        </w:rPr>
        <w:t xml:space="preserve"> </w:t>
      </w:r>
      <w:r>
        <w:rPr>
          <w:i/>
        </w:rPr>
        <w:t>related</w:t>
      </w:r>
      <w:r>
        <w:rPr>
          <w:i/>
          <w:spacing w:val="-4"/>
        </w:rPr>
        <w:t xml:space="preserve"> </w:t>
      </w:r>
      <w:r>
        <w:rPr>
          <w:i/>
        </w:rPr>
        <w:t>to</w:t>
      </w:r>
      <w:r>
        <w:rPr>
          <w:i/>
          <w:spacing w:val="-4"/>
        </w:rPr>
        <w:t xml:space="preserve"> </w:t>
      </w:r>
      <w:r>
        <w:rPr>
          <w:i/>
        </w:rPr>
        <w:t>existing</w:t>
      </w:r>
      <w:r>
        <w:rPr>
          <w:i/>
          <w:spacing w:val="-7"/>
        </w:rPr>
        <w:t xml:space="preserve"> </w:t>
      </w:r>
      <w:r>
        <w:rPr>
          <w:i/>
        </w:rPr>
        <w:t>OTSUS</w:t>
      </w:r>
      <w:r>
        <w:rPr>
          <w:i/>
          <w:spacing w:val="-8"/>
        </w:rPr>
        <w:t xml:space="preserve"> </w:t>
      </w:r>
      <w:r>
        <w:rPr>
          <w:i/>
        </w:rPr>
        <w:t>arrangements</w:t>
      </w:r>
      <w:r>
        <w:rPr>
          <w:i/>
          <w:spacing w:val="-4"/>
        </w:rPr>
        <w:t xml:space="preserve"> </w:t>
      </w:r>
      <w:r>
        <w:rPr>
          <w:i/>
        </w:rPr>
        <w:t>to</w:t>
      </w:r>
      <w:r>
        <w:rPr>
          <w:i/>
          <w:spacing w:val="-4"/>
        </w:rPr>
        <w:t xml:space="preserve"> </w:t>
      </w:r>
      <w:r>
        <w:rPr>
          <w:i/>
        </w:rPr>
        <w:t>inform</w:t>
      </w:r>
      <w:r>
        <w:rPr>
          <w:i/>
          <w:spacing w:val="-8"/>
        </w:rPr>
        <w:t xml:space="preserve"> </w:t>
      </w:r>
      <w:r>
        <w:rPr>
          <w:i/>
        </w:rPr>
        <w:t>the</w:t>
      </w:r>
      <w:r>
        <w:rPr>
          <w:i/>
          <w:spacing w:val="-6"/>
        </w:rPr>
        <w:t xml:space="preserve"> </w:t>
      </w:r>
      <w:r>
        <w:rPr>
          <w:i/>
        </w:rPr>
        <w:t>future of regional autonomy laws (current laws will expire in 2027)</w:t>
      </w:r>
    </w:p>
    <w:p w14:paraId="42E422EB" w14:textId="77777777" w:rsidR="00BC24A8" w:rsidRDefault="00000000">
      <w:pPr>
        <w:pStyle w:val="ListParagraph"/>
        <w:numPr>
          <w:ilvl w:val="1"/>
          <w:numId w:val="161"/>
        </w:numPr>
        <w:tabs>
          <w:tab w:val="left" w:pos="683"/>
        </w:tabs>
        <w:spacing w:before="59"/>
        <w:ind w:hanging="360"/>
        <w:jc w:val="left"/>
        <w:rPr>
          <w:i/>
        </w:rPr>
      </w:pPr>
      <w:r>
        <w:rPr>
          <w:i/>
        </w:rPr>
        <w:t>In</w:t>
      </w:r>
      <w:r>
        <w:rPr>
          <w:i/>
          <w:spacing w:val="-4"/>
        </w:rPr>
        <w:t xml:space="preserve"> </w:t>
      </w:r>
      <w:r>
        <w:rPr>
          <w:i/>
        </w:rPr>
        <w:t>Papuan</w:t>
      </w:r>
      <w:r>
        <w:rPr>
          <w:i/>
          <w:spacing w:val="-1"/>
        </w:rPr>
        <w:t xml:space="preserve"> </w:t>
      </w:r>
      <w:r>
        <w:rPr>
          <w:i/>
          <w:spacing w:val="-2"/>
        </w:rPr>
        <w:t>provinces:</w:t>
      </w:r>
    </w:p>
    <w:p w14:paraId="451C6B6F" w14:textId="77777777" w:rsidR="00BC24A8" w:rsidRDefault="00000000">
      <w:pPr>
        <w:pStyle w:val="ListParagraph"/>
        <w:numPr>
          <w:ilvl w:val="2"/>
          <w:numId w:val="161"/>
        </w:numPr>
        <w:tabs>
          <w:tab w:val="left" w:pos="1042"/>
        </w:tabs>
        <w:spacing w:before="61"/>
        <w:ind w:left="1042" w:hanging="359"/>
        <w:rPr>
          <w:i/>
        </w:rPr>
      </w:pPr>
      <w:r>
        <w:rPr>
          <w:i/>
        </w:rPr>
        <w:t>Assisted</w:t>
      </w:r>
      <w:r>
        <w:rPr>
          <w:i/>
          <w:spacing w:val="-7"/>
        </w:rPr>
        <w:t xml:space="preserve"> </w:t>
      </w:r>
      <w:r>
        <w:rPr>
          <w:i/>
        </w:rPr>
        <w:t>42</w:t>
      </w:r>
      <w:r>
        <w:rPr>
          <w:i/>
          <w:spacing w:val="-6"/>
        </w:rPr>
        <w:t xml:space="preserve"> </w:t>
      </w:r>
      <w:r>
        <w:rPr>
          <w:i/>
        </w:rPr>
        <w:t>districts</w:t>
      </w:r>
      <w:r>
        <w:rPr>
          <w:i/>
          <w:spacing w:val="-6"/>
        </w:rPr>
        <w:t xml:space="preserve"> </w:t>
      </w:r>
      <w:r>
        <w:rPr>
          <w:i/>
        </w:rPr>
        <w:t>in</w:t>
      </w:r>
      <w:r>
        <w:rPr>
          <w:i/>
          <w:spacing w:val="-6"/>
        </w:rPr>
        <w:t xml:space="preserve"> </w:t>
      </w:r>
      <w:r>
        <w:rPr>
          <w:i/>
        </w:rPr>
        <w:t>submitting</w:t>
      </w:r>
      <w:r>
        <w:rPr>
          <w:i/>
          <w:spacing w:val="-5"/>
        </w:rPr>
        <w:t xml:space="preserve"> </w:t>
      </w:r>
      <w:r>
        <w:rPr>
          <w:i/>
        </w:rPr>
        <w:t>compliant</w:t>
      </w:r>
      <w:r>
        <w:rPr>
          <w:i/>
          <w:spacing w:val="-8"/>
        </w:rPr>
        <w:t xml:space="preserve"> </w:t>
      </w:r>
      <w:r>
        <w:rPr>
          <w:i/>
        </w:rPr>
        <w:t>planning</w:t>
      </w:r>
      <w:r>
        <w:rPr>
          <w:i/>
          <w:spacing w:val="-6"/>
        </w:rPr>
        <w:t xml:space="preserve"> </w:t>
      </w:r>
      <w:r>
        <w:rPr>
          <w:i/>
        </w:rPr>
        <w:t>and</w:t>
      </w:r>
      <w:r>
        <w:rPr>
          <w:i/>
          <w:spacing w:val="-4"/>
        </w:rPr>
        <w:t xml:space="preserve"> </w:t>
      </w:r>
      <w:r>
        <w:rPr>
          <w:i/>
        </w:rPr>
        <w:t>reporting</w:t>
      </w:r>
      <w:r>
        <w:rPr>
          <w:i/>
          <w:spacing w:val="-6"/>
        </w:rPr>
        <w:t xml:space="preserve"> </w:t>
      </w:r>
      <w:r>
        <w:rPr>
          <w:i/>
        </w:rPr>
        <w:t>documents</w:t>
      </w:r>
      <w:r>
        <w:rPr>
          <w:i/>
          <w:spacing w:val="-6"/>
        </w:rPr>
        <w:t xml:space="preserve"> </w:t>
      </w:r>
      <w:r>
        <w:rPr>
          <w:i/>
          <w:spacing w:val="-2"/>
        </w:rPr>
        <w:t>(2024)</w:t>
      </w:r>
    </w:p>
    <w:p w14:paraId="6E5267E6" w14:textId="77777777" w:rsidR="00BC24A8" w:rsidRDefault="00000000">
      <w:pPr>
        <w:pStyle w:val="ListParagraph"/>
        <w:numPr>
          <w:ilvl w:val="2"/>
          <w:numId w:val="161"/>
        </w:numPr>
        <w:tabs>
          <w:tab w:val="left" w:pos="1043"/>
        </w:tabs>
        <w:ind w:right="560"/>
        <w:rPr>
          <w:i/>
        </w:rPr>
      </w:pPr>
      <w:r>
        <w:rPr>
          <w:i/>
        </w:rPr>
        <w:t>Trained</w:t>
      </w:r>
      <w:r>
        <w:rPr>
          <w:i/>
          <w:spacing w:val="-13"/>
        </w:rPr>
        <w:t xml:space="preserve"> </w:t>
      </w:r>
      <w:r>
        <w:rPr>
          <w:i/>
        </w:rPr>
        <w:t>136</w:t>
      </w:r>
      <w:r>
        <w:rPr>
          <w:i/>
          <w:spacing w:val="-12"/>
        </w:rPr>
        <w:t xml:space="preserve"> </w:t>
      </w:r>
      <w:r>
        <w:rPr>
          <w:i/>
        </w:rPr>
        <w:t>officials</w:t>
      </w:r>
      <w:r>
        <w:rPr>
          <w:i/>
          <w:spacing w:val="-13"/>
        </w:rPr>
        <w:t xml:space="preserve"> </w:t>
      </w:r>
      <w:r>
        <w:rPr>
          <w:i/>
        </w:rPr>
        <w:t>on</w:t>
      </w:r>
      <w:r>
        <w:rPr>
          <w:i/>
          <w:spacing w:val="-12"/>
        </w:rPr>
        <w:t xml:space="preserve"> </w:t>
      </w:r>
      <w:r>
        <w:rPr>
          <w:i/>
        </w:rPr>
        <w:t>using</w:t>
      </w:r>
      <w:r>
        <w:rPr>
          <w:i/>
          <w:spacing w:val="-13"/>
        </w:rPr>
        <w:t xml:space="preserve"> </w:t>
      </w:r>
      <w:r>
        <w:rPr>
          <w:i/>
        </w:rPr>
        <w:t>the</w:t>
      </w:r>
      <w:r>
        <w:rPr>
          <w:i/>
          <w:spacing w:val="-12"/>
        </w:rPr>
        <w:t xml:space="preserve"> </w:t>
      </w:r>
      <w:r>
        <w:rPr>
          <w:i/>
        </w:rPr>
        <w:t>SIPPP</w:t>
      </w:r>
      <w:r>
        <w:rPr>
          <w:i/>
          <w:spacing w:val="-13"/>
        </w:rPr>
        <w:t xml:space="preserve"> </w:t>
      </w:r>
      <w:r>
        <w:rPr>
          <w:i/>
        </w:rPr>
        <w:t>system</w:t>
      </w:r>
      <w:r>
        <w:rPr>
          <w:i/>
          <w:spacing w:val="-12"/>
        </w:rPr>
        <w:t xml:space="preserve"> </w:t>
      </w:r>
      <w:r>
        <w:rPr>
          <w:i/>
        </w:rPr>
        <w:t>for</w:t>
      </w:r>
      <w:r>
        <w:rPr>
          <w:i/>
          <w:spacing w:val="-12"/>
        </w:rPr>
        <w:t xml:space="preserve"> </w:t>
      </w:r>
      <w:r>
        <w:rPr>
          <w:i/>
        </w:rPr>
        <w:t>integrated</w:t>
      </w:r>
      <w:r>
        <w:rPr>
          <w:i/>
          <w:spacing w:val="-13"/>
        </w:rPr>
        <w:t xml:space="preserve"> </w:t>
      </w:r>
      <w:r>
        <w:rPr>
          <w:i/>
        </w:rPr>
        <w:t>planning</w:t>
      </w:r>
      <w:r>
        <w:rPr>
          <w:i/>
          <w:spacing w:val="-12"/>
        </w:rPr>
        <w:t xml:space="preserve"> </w:t>
      </w:r>
      <w:r>
        <w:rPr>
          <w:i/>
        </w:rPr>
        <w:t>and</w:t>
      </w:r>
      <w:r>
        <w:rPr>
          <w:i/>
          <w:spacing w:val="-13"/>
        </w:rPr>
        <w:t xml:space="preserve"> </w:t>
      </w:r>
      <w:r>
        <w:rPr>
          <w:i/>
        </w:rPr>
        <w:t>budgeting</w:t>
      </w:r>
      <w:r>
        <w:rPr>
          <w:i/>
          <w:spacing w:val="-12"/>
        </w:rPr>
        <w:t xml:space="preserve"> </w:t>
      </w:r>
      <w:r>
        <w:rPr>
          <w:i/>
        </w:rPr>
        <w:t>in</w:t>
      </w:r>
      <w:r>
        <w:rPr>
          <w:i/>
          <w:spacing w:val="-13"/>
        </w:rPr>
        <w:t xml:space="preserve"> </w:t>
      </w:r>
      <w:r>
        <w:rPr>
          <w:i/>
        </w:rPr>
        <w:t xml:space="preserve">Papua </w:t>
      </w:r>
      <w:r>
        <w:rPr>
          <w:i/>
          <w:spacing w:val="-2"/>
        </w:rPr>
        <w:t>provinces.</w:t>
      </w:r>
    </w:p>
    <w:p w14:paraId="6A68D5F1" w14:textId="77777777" w:rsidR="00BC24A8" w:rsidRDefault="00000000">
      <w:pPr>
        <w:pStyle w:val="ListParagraph"/>
        <w:numPr>
          <w:ilvl w:val="2"/>
          <w:numId w:val="161"/>
        </w:numPr>
        <w:tabs>
          <w:tab w:val="left" w:pos="1043"/>
        </w:tabs>
        <w:ind w:right="563"/>
        <w:rPr>
          <w:i/>
        </w:rPr>
      </w:pPr>
      <w:r>
        <w:rPr>
          <w:i/>
        </w:rPr>
        <w:t>Supported 309 officials from six provinces (M218, F:91) to complete and lodge OTSUS plans, with additional follow-up support delivered to 739 participants (M:53, F:20) in Papua Barat Daya and 119 (M:89, F:30) in Papua Pegunungan</w:t>
      </w:r>
    </w:p>
    <w:p w14:paraId="52E47443" w14:textId="77777777" w:rsidR="00BC24A8" w:rsidRDefault="00000000">
      <w:pPr>
        <w:pStyle w:val="ListParagraph"/>
        <w:numPr>
          <w:ilvl w:val="2"/>
          <w:numId w:val="161"/>
        </w:numPr>
        <w:tabs>
          <w:tab w:val="left" w:pos="1043"/>
        </w:tabs>
        <w:ind w:right="563"/>
        <w:rPr>
          <w:i/>
        </w:rPr>
      </w:pPr>
      <w:r>
        <w:rPr>
          <w:i/>
        </w:rPr>
        <w:t>Established</w:t>
      </w:r>
      <w:r>
        <w:rPr>
          <w:i/>
          <w:spacing w:val="-13"/>
        </w:rPr>
        <w:t xml:space="preserve"> </w:t>
      </w:r>
      <w:r>
        <w:rPr>
          <w:i/>
        </w:rPr>
        <w:t>a</w:t>
      </w:r>
      <w:r>
        <w:rPr>
          <w:i/>
          <w:spacing w:val="-12"/>
        </w:rPr>
        <w:t xml:space="preserve"> </w:t>
      </w:r>
      <w:r>
        <w:rPr>
          <w:i/>
        </w:rPr>
        <w:t>Papua-based</w:t>
      </w:r>
      <w:r>
        <w:rPr>
          <w:i/>
          <w:spacing w:val="-13"/>
        </w:rPr>
        <w:t xml:space="preserve"> </w:t>
      </w:r>
      <w:r>
        <w:rPr>
          <w:i/>
        </w:rPr>
        <w:t>OTSUS</w:t>
      </w:r>
      <w:r>
        <w:rPr>
          <w:i/>
          <w:spacing w:val="-12"/>
        </w:rPr>
        <w:t xml:space="preserve"> </w:t>
      </w:r>
      <w:r>
        <w:rPr>
          <w:i/>
        </w:rPr>
        <w:t>Working</w:t>
      </w:r>
      <w:r>
        <w:rPr>
          <w:i/>
          <w:spacing w:val="-13"/>
        </w:rPr>
        <w:t xml:space="preserve"> </w:t>
      </w:r>
      <w:r>
        <w:rPr>
          <w:i/>
        </w:rPr>
        <w:t>Group</w:t>
      </w:r>
      <w:r>
        <w:rPr>
          <w:i/>
          <w:spacing w:val="-12"/>
        </w:rPr>
        <w:t xml:space="preserve"> </w:t>
      </w:r>
      <w:r>
        <w:rPr>
          <w:i/>
        </w:rPr>
        <w:t>to</w:t>
      </w:r>
      <w:r>
        <w:rPr>
          <w:i/>
          <w:spacing w:val="-13"/>
        </w:rPr>
        <w:t xml:space="preserve"> </w:t>
      </w:r>
      <w:r>
        <w:rPr>
          <w:i/>
        </w:rPr>
        <w:t>broker</w:t>
      </w:r>
      <w:r>
        <w:rPr>
          <w:i/>
          <w:spacing w:val="-12"/>
        </w:rPr>
        <w:t xml:space="preserve"> </w:t>
      </w:r>
      <w:r>
        <w:rPr>
          <w:i/>
        </w:rPr>
        <w:t>knowledge</w:t>
      </w:r>
      <w:r>
        <w:rPr>
          <w:i/>
          <w:spacing w:val="-12"/>
        </w:rPr>
        <w:t xml:space="preserve"> </w:t>
      </w:r>
      <w:r>
        <w:rPr>
          <w:i/>
        </w:rPr>
        <w:t>and</w:t>
      </w:r>
      <w:r>
        <w:rPr>
          <w:i/>
          <w:spacing w:val="-12"/>
        </w:rPr>
        <w:t xml:space="preserve"> </w:t>
      </w:r>
      <w:r>
        <w:rPr>
          <w:i/>
        </w:rPr>
        <w:t>information</w:t>
      </w:r>
      <w:r>
        <w:rPr>
          <w:i/>
          <w:spacing w:val="-12"/>
        </w:rPr>
        <w:t xml:space="preserve"> </w:t>
      </w:r>
      <w:r>
        <w:rPr>
          <w:i/>
        </w:rPr>
        <w:t>to</w:t>
      </w:r>
      <w:r>
        <w:rPr>
          <w:i/>
          <w:spacing w:val="-9"/>
        </w:rPr>
        <w:t xml:space="preserve"> </w:t>
      </w:r>
      <w:r>
        <w:rPr>
          <w:i/>
        </w:rPr>
        <w:t>the districts to improve OTSUS management while delivering significant savings in Central travel</w:t>
      </w:r>
    </w:p>
    <w:p w14:paraId="214D15E5" w14:textId="77777777" w:rsidR="00BC24A8" w:rsidRDefault="00BC24A8">
      <w:pPr>
        <w:pStyle w:val="ListParagraph"/>
        <w:rPr>
          <w:i/>
        </w:rPr>
        <w:sectPr w:rsidR="00BC24A8">
          <w:pgSz w:w="11910" w:h="16840"/>
          <w:pgMar w:top="1360" w:right="850" w:bottom="1100" w:left="1275" w:header="0" w:footer="907" w:gutter="0"/>
          <w:cols w:space="720"/>
        </w:sectPr>
      </w:pPr>
    </w:p>
    <w:p w14:paraId="254DA6B8" w14:textId="77777777" w:rsidR="00BC24A8" w:rsidRDefault="00000000">
      <w:pPr>
        <w:pStyle w:val="ListParagraph"/>
        <w:numPr>
          <w:ilvl w:val="2"/>
          <w:numId w:val="161"/>
        </w:numPr>
        <w:tabs>
          <w:tab w:val="left" w:pos="1043"/>
        </w:tabs>
        <w:spacing w:before="39"/>
        <w:ind w:right="564"/>
        <w:jc w:val="left"/>
        <w:rPr>
          <w:i/>
        </w:rPr>
      </w:pPr>
      <w:r>
        <w:rPr>
          <w:i/>
        </w:rPr>
        <w:lastRenderedPageBreak/>
        <w:t>Provided monitoring support for the disbursement of the social protection PAITUA program, benefiting elderly recipients in Papua Barat Daya</w:t>
      </w:r>
    </w:p>
    <w:p w14:paraId="2F01A0FC" w14:textId="77777777" w:rsidR="00BC24A8" w:rsidRDefault="00BC24A8">
      <w:pPr>
        <w:pStyle w:val="BodyText"/>
        <w:spacing w:before="262"/>
        <w:rPr>
          <w:i/>
        </w:rPr>
      </w:pPr>
    </w:p>
    <w:p w14:paraId="6C89A99A" w14:textId="77777777" w:rsidR="00BC24A8" w:rsidRDefault="00000000">
      <w:pPr>
        <w:pStyle w:val="BodyText"/>
        <w:spacing w:line="278" w:lineRule="auto"/>
        <w:ind w:left="143" w:right="561"/>
        <w:jc w:val="both"/>
      </w:pPr>
      <w:r>
        <w:t>Qualitative</w:t>
      </w:r>
      <w:r>
        <w:rPr>
          <w:spacing w:val="-8"/>
        </w:rPr>
        <w:t xml:space="preserve"> </w:t>
      </w:r>
      <w:r>
        <w:t>data</w:t>
      </w:r>
      <w:r>
        <w:rPr>
          <w:spacing w:val="-8"/>
        </w:rPr>
        <w:t xml:space="preserve"> </w:t>
      </w:r>
      <w:r>
        <w:t>collection</w:t>
      </w:r>
      <w:r>
        <w:rPr>
          <w:spacing w:val="-9"/>
        </w:rPr>
        <w:t xml:space="preserve"> </w:t>
      </w:r>
      <w:r>
        <w:t>with</w:t>
      </w:r>
      <w:r>
        <w:rPr>
          <w:spacing w:val="-7"/>
        </w:rPr>
        <w:t xml:space="preserve"> </w:t>
      </w:r>
      <w:r>
        <w:t>SKALA</w:t>
      </w:r>
      <w:r>
        <w:rPr>
          <w:spacing w:val="-7"/>
        </w:rPr>
        <w:t xml:space="preserve"> </w:t>
      </w:r>
      <w:r>
        <w:t>partners</w:t>
      </w:r>
      <w:r>
        <w:rPr>
          <w:spacing w:val="-6"/>
        </w:rPr>
        <w:t xml:space="preserve"> </w:t>
      </w:r>
      <w:r>
        <w:t>in</w:t>
      </w:r>
      <w:r>
        <w:rPr>
          <w:spacing w:val="-9"/>
        </w:rPr>
        <w:t xml:space="preserve"> </w:t>
      </w:r>
      <w:r>
        <w:t>Papuan</w:t>
      </w:r>
      <w:r>
        <w:rPr>
          <w:spacing w:val="-7"/>
        </w:rPr>
        <w:t xml:space="preserve"> </w:t>
      </w:r>
      <w:r>
        <w:t>provinces</w:t>
      </w:r>
      <w:r>
        <w:rPr>
          <w:spacing w:val="-6"/>
        </w:rPr>
        <w:t xml:space="preserve"> </w:t>
      </w:r>
      <w:r>
        <w:t>and</w:t>
      </w:r>
      <w:r>
        <w:rPr>
          <w:spacing w:val="-7"/>
        </w:rPr>
        <w:t xml:space="preserve"> </w:t>
      </w:r>
      <w:r>
        <w:t>Aceh</w:t>
      </w:r>
      <w:r>
        <w:rPr>
          <w:spacing w:val="-7"/>
        </w:rPr>
        <w:t xml:space="preserve"> </w:t>
      </w:r>
      <w:r>
        <w:t>indicates</w:t>
      </w:r>
      <w:r>
        <w:rPr>
          <w:spacing w:val="-6"/>
        </w:rPr>
        <w:t xml:space="preserve"> </w:t>
      </w:r>
      <w:r>
        <w:t>that</w:t>
      </w:r>
      <w:r>
        <w:rPr>
          <w:spacing w:val="-8"/>
        </w:rPr>
        <w:t xml:space="preserve"> </w:t>
      </w:r>
      <w:r>
        <w:t>with</w:t>
      </w:r>
      <w:r>
        <w:rPr>
          <w:spacing w:val="-7"/>
        </w:rPr>
        <w:t xml:space="preserve"> </w:t>
      </w:r>
      <w:r>
        <w:t>SKALA support, there has been an increased partner understanding of the need to prioritise OTSUS funds for the</w:t>
      </w:r>
      <w:r>
        <w:rPr>
          <w:spacing w:val="-4"/>
        </w:rPr>
        <w:t xml:space="preserve"> </w:t>
      </w:r>
      <w:r>
        <w:t>delivery</w:t>
      </w:r>
      <w:r>
        <w:rPr>
          <w:spacing w:val="-4"/>
        </w:rPr>
        <w:t xml:space="preserve"> </w:t>
      </w:r>
      <w:r>
        <w:t>of</w:t>
      </w:r>
      <w:r>
        <w:rPr>
          <w:spacing w:val="-4"/>
        </w:rPr>
        <w:t xml:space="preserve"> </w:t>
      </w:r>
      <w:r>
        <w:t>MSS</w:t>
      </w:r>
      <w:r>
        <w:rPr>
          <w:spacing w:val="-4"/>
        </w:rPr>
        <w:t xml:space="preserve"> </w:t>
      </w:r>
      <w:r>
        <w:t>and</w:t>
      </w:r>
      <w:r>
        <w:rPr>
          <w:spacing w:val="-4"/>
        </w:rPr>
        <w:t xml:space="preserve"> </w:t>
      </w:r>
      <w:r>
        <w:t>GEDSI</w:t>
      </w:r>
      <w:r>
        <w:rPr>
          <w:spacing w:val="-4"/>
        </w:rPr>
        <w:t xml:space="preserve"> </w:t>
      </w:r>
      <w:r>
        <w:t>responsive</w:t>
      </w:r>
      <w:r>
        <w:rPr>
          <w:spacing w:val="-4"/>
        </w:rPr>
        <w:t xml:space="preserve"> </w:t>
      </w:r>
      <w:r>
        <w:t>program</w:t>
      </w:r>
      <w:r>
        <w:rPr>
          <w:spacing w:val="-4"/>
        </w:rPr>
        <w:t xml:space="preserve"> </w:t>
      </w:r>
      <w:r>
        <w:t>activities.</w:t>
      </w:r>
      <w:hyperlink w:anchor="_bookmark70" w:history="1">
        <w:r w:rsidR="00BC24A8">
          <w:rPr>
            <w:vertAlign w:val="superscript"/>
          </w:rPr>
          <w:t>26</w:t>
        </w:r>
      </w:hyperlink>
      <w:r>
        <w:rPr>
          <w:spacing w:val="-3"/>
        </w:rPr>
        <w:t xml:space="preserve"> </w:t>
      </w:r>
      <w:r>
        <w:t>This</w:t>
      </w:r>
      <w:r>
        <w:rPr>
          <w:spacing w:val="-1"/>
        </w:rPr>
        <w:t xml:space="preserve"> </w:t>
      </w:r>
      <w:r>
        <w:t>indicates</w:t>
      </w:r>
      <w:r>
        <w:rPr>
          <w:spacing w:val="-1"/>
        </w:rPr>
        <w:t xml:space="preserve"> </w:t>
      </w:r>
      <w:r>
        <w:t>that</w:t>
      </w:r>
      <w:r>
        <w:rPr>
          <w:spacing w:val="-3"/>
        </w:rPr>
        <w:t xml:space="preserve"> </w:t>
      </w:r>
      <w:r>
        <w:t>the</w:t>
      </w:r>
      <w:r>
        <w:rPr>
          <w:spacing w:val="-4"/>
        </w:rPr>
        <w:t xml:space="preserve"> </w:t>
      </w:r>
      <w:r>
        <w:t>foundations</w:t>
      </w:r>
      <w:r>
        <w:rPr>
          <w:spacing w:val="-4"/>
        </w:rPr>
        <w:t xml:space="preserve"> </w:t>
      </w:r>
      <w:r>
        <w:t>exist in</w:t>
      </w:r>
      <w:r>
        <w:rPr>
          <w:spacing w:val="-9"/>
        </w:rPr>
        <w:t xml:space="preserve"> </w:t>
      </w:r>
      <w:r>
        <w:t>OTSUS</w:t>
      </w:r>
      <w:r>
        <w:rPr>
          <w:spacing w:val="-9"/>
        </w:rPr>
        <w:t xml:space="preserve"> </w:t>
      </w:r>
      <w:r>
        <w:t>regions</w:t>
      </w:r>
      <w:r>
        <w:rPr>
          <w:spacing w:val="-9"/>
        </w:rPr>
        <w:t xml:space="preserve"> </w:t>
      </w:r>
      <w:r>
        <w:t>to</w:t>
      </w:r>
      <w:r>
        <w:rPr>
          <w:spacing w:val="-10"/>
        </w:rPr>
        <w:t xml:space="preserve"> </w:t>
      </w:r>
      <w:r>
        <w:t>manage</w:t>
      </w:r>
      <w:r>
        <w:rPr>
          <w:spacing w:val="-11"/>
        </w:rPr>
        <w:t xml:space="preserve"> </w:t>
      </w:r>
      <w:r>
        <w:t>their</w:t>
      </w:r>
      <w:r>
        <w:rPr>
          <w:spacing w:val="-9"/>
        </w:rPr>
        <w:t xml:space="preserve"> </w:t>
      </w:r>
      <w:r>
        <w:t>budgets</w:t>
      </w:r>
      <w:r>
        <w:rPr>
          <w:spacing w:val="-9"/>
        </w:rPr>
        <w:t xml:space="preserve"> </w:t>
      </w:r>
      <w:r>
        <w:t>to</w:t>
      </w:r>
      <w:r>
        <w:rPr>
          <w:spacing w:val="-10"/>
        </w:rPr>
        <w:t xml:space="preserve"> </w:t>
      </w:r>
      <w:r>
        <w:t>provide</w:t>
      </w:r>
      <w:r>
        <w:rPr>
          <w:spacing w:val="-11"/>
        </w:rPr>
        <w:t xml:space="preserve"> </w:t>
      </w:r>
      <w:r>
        <w:t>basic</w:t>
      </w:r>
      <w:r>
        <w:rPr>
          <w:spacing w:val="-10"/>
        </w:rPr>
        <w:t xml:space="preserve"> </w:t>
      </w:r>
      <w:r>
        <w:t>services,</w:t>
      </w:r>
      <w:r>
        <w:rPr>
          <w:spacing w:val="-8"/>
        </w:rPr>
        <w:t xml:space="preserve"> </w:t>
      </w:r>
      <w:r>
        <w:t>if</w:t>
      </w:r>
      <w:r>
        <w:rPr>
          <w:spacing w:val="-11"/>
        </w:rPr>
        <w:t xml:space="preserve"> </w:t>
      </w:r>
      <w:r>
        <w:t>appropriately</w:t>
      </w:r>
      <w:r>
        <w:rPr>
          <w:spacing w:val="-9"/>
        </w:rPr>
        <w:t xml:space="preserve"> </w:t>
      </w:r>
      <w:r>
        <w:t>enabled</w:t>
      </w:r>
      <w:r>
        <w:rPr>
          <w:spacing w:val="-9"/>
        </w:rPr>
        <w:t xml:space="preserve"> </w:t>
      </w:r>
      <w:r>
        <w:t>by</w:t>
      </w:r>
      <w:r>
        <w:rPr>
          <w:spacing w:val="-9"/>
        </w:rPr>
        <w:t xml:space="preserve"> </w:t>
      </w:r>
      <w:r>
        <w:t>systems and regulations. The 2025 OTSUS work planning and budgeting process in Aceh and Papuan provinces was conducted in line with the SKALA-supported MoF Regulation (PMK 33/2024). This new regulation aimed to improve all elements of OTSUS fund management, including the planning, transfer process, fund utilisation and reporting. As illustrated in Table 14, revisions were designed to deliver outcome- oriented, aligned</w:t>
      </w:r>
      <w:hyperlink w:anchor="_bookmark71" w:history="1">
        <w:r w:rsidR="00BC24A8">
          <w:rPr>
            <w:vertAlign w:val="superscript"/>
          </w:rPr>
          <w:t>27</w:t>
        </w:r>
      </w:hyperlink>
      <w:r>
        <w:t xml:space="preserve"> planning and more effective fund utilisation by requiring additional information on the intended outcomes, intended beneficiaries and contributions to provincial plans and national priorities. The regulation also prohibits the use of OTSUS funds for salary and honorarium payments, except for health personnel and teachers, as well as for routine operational and administrative costs, facilities procurements, and unrelated travel costs.</w:t>
      </w:r>
    </w:p>
    <w:p w14:paraId="783C72C7" w14:textId="77777777" w:rsidR="00BC24A8" w:rsidRDefault="00BC24A8">
      <w:pPr>
        <w:pStyle w:val="BodyText"/>
        <w:spacing w:before="196"/>
      </w:pPr>
    </w:p>
    <w:p w14:paraId="420C239F" w14:textId="77777777" w:rsidR="00BC24A8" w:rsidRDefault="00000000">
      <w:pPr>
        <w:pStyle w:val="Heading5"/>
        <w:jc w:val="both"/>
      </w:pPr>
      <w:bookmarkStart w:id="110" w:name="_bookmark69"/>
      <w:bookmarkEnd w:id="110"/>
      <w:r>
        <w:rPr>
          <w:color w:val="767070"/>
        </w:rPr>
        <w:t>Table</w:t>
      </w:r>
      <w:r>
        <w:rPr>
          <w:color w:val="767070"/>
          <w:spacing w:val="-10"/>
        </w:rPr>
        <w:t xml:space="preserve"> </w:t>
      </w:r>
      <w:r>
        <w:rPr>
          <w:color w:val="767070"/>
        </w:rPr>
        <w:t>3:</w:t>
      </w:r>
      <w:r>
        <w:rPr>
          <w:color w:val="767070"/>
          <w:spacing w:val="-11"/>
        </w:rPr>
        <w:t xml:space="preserve"> </w:t>
      </w:r>
      <w:r>
        <w:rPr>
          <w:color w:val="767070"/>
        </w:rPr>
        <w:t>Comparison</w:t>
      </w:r>
      <w:r>
        <w:rPr>
          <w:color w:val="767070"/>
          <w:spacing w:val="-10"/>
        </w:rPr>
        <w:t xml:space="preserve"> </w:t>
      </w:r>
      <w:r>
        <w:rPr>
          <w:color w:val="767070"/>
        </w:rPr>
        <w:t>of</w:t>
      </w:r>
      <w:r>
        <w:rPr>
          <w:color w:val="767070"/>
          <w:spacing w:val="-9"/>
        </w:rPr>
        <w:t xml:space="preserve"> </w:t>
      </w:r>
      <w:r>
        <w:rPr>
          <w:color w:val="767070"/>
        </w:rPr>
        <w:t>required</w:t>
      </w:r>
      <w:r>
        <w:rPr>
          <w:color w:val="767070"/>
          <w:spacing w:val="-9"/>
        </w:rPr>
        <w:t xml:space="preserve"> </w:t>
      </w:r>
      <w:r>
        <w:rPr>
          <w:color w:val="767070"/>
        </w:rPr>
        <w:t>planning</w:t>
      </w:r>
      <w:r>
        <w:rPr>
          <w:color w:val="767070"/>
          <w:spacing w:val="-10"/>
        </w:rPr>
        <w:t xml:space="preserve"> </w:t>
      </w:r>
      <w:r>
        <w:rPr>
          <w:color w:val="767070"/>
        </w:rPr>
        <w:t>information</w:t>
      </w:r>
      <w:r>
        <w:rPr>
          <w:color w:val="767070"/>
          <w:spacing w:val="-11"/>
        </w:rPr>
        <w:t xml:space="preserve"> </w:t>
      </w:r>
      <w:r>
        <w:rPr>
          <w:color w:val="767070"/>
        </w:rPr>
        <w:t>pre-</w:t>
      </w:r>
      <w:r>
        <w:rPr>
          <w:color w:val="767070"/>
          <w:spacing w:val="-9"/>
        </w:rPr>
        <w:t xml:space="preserve"> </w:t>
      </w:r>
      <w:r>
        <w:rPr>
          <w:color w:val="767070"/>
        </w:rPr>
        <w:t>and</w:t>
      </w:r>
      <w:r>
        <w:rPr>
          <w:color w:val="767070"/>
          <w:spacing w:val="-10"/>
        </w:rPr>
        <w:t xml:space="preserve"> </w:t>
      </w:r>
      <w:r>
        <w:rPr>
          <w:color w:val="767070"/>
        </w:rPr>
        <w:t>post-MoF</w:t>
      </w:r>
      <w:r>
        <w:rPr>
          <w:color w:val="767070"/>
          <w:spacing w:val="-8"/>
        </w:rPr>
        <w:t xml:space="preserve"> </w:t>
      </w:r>
      <w:r>
        <w:rPr>
          <w:color w:val="767070"/>
        </w:rPr>
        <w:t>regulation</w:t>
      </w:r>
      <w:r>
        <w:rPr>
          <w:color w:val="767070"/>
          <w:spacing w:val="-10"/>
        </w:rPr>
        <w:t xml:space="preserve"> </w:t>
      </w:r>
      <w:r>
        <w:rPr>
          <w:color w:val="767070"/>
          <w:spacing w:val="-2"/>
        </w:rPr>
        <w:t>revision</w:t>
      </w:r>
    </w:p>
    <w:p w14:paraId="66BF50D1" w14:textId="77777777" w:rsidR="00BC24A8" w:rsidRDefault="00BC24A8">
      <w:pPr>
        <w:pStyle w:val="BodyText"/>
        <w:spacing w:before="7"/>
        <w:rPr>
          <w:rFonts w:ascii="Calibri"/>
          <w:b/>
          <w:sz w:val="19"/>
        </w:rPr>
      </w:pPr>
    </w:p>
    <w:tbl>
      <w:tblPr>
        <w:tblW w:w="0" w:type="auto"/>
        <w:tblInd w:w="148" w:type="dxa"/>
        <w:tblLayout w:type="fixed"/>
        <w:tblCellMar>
          <w:left w:w="0" w:type="dxa"/>
          <w:right w:w="0" w:type="dxa"/>
        </w:tblCellMar>
        <w:tblLook w:val="01E0" w:firstRow="1" w:lastRow="1" w:firstColumn="1" w:lastColumn="1" w:noHBand="0" w:noVBand="0"/>
      </w:tblPr>
      <w:tblGrid>
        <w:gridCol w:w="3355"/>
        <w:gridCol w:w="5669"/>
      </w:tblGrid>
      <w:tr w:rsidR="00BC24A8" w14:paraId="1ABDCD15" w14:textId="77777777">
        <w:trPr>
          <w:trHeight w:val="660"/>
        </w:trPr>
        <w:tc>
          <w:tcPr>
            <w:tcW w:w="3355" w:type="dxa"/>
            <w:tcBorders>
              <w:left w:val="single" w:sz="4" w:space="0" w:color="00ACA3"/>
            </w:tcBorders>
            <w:shd w:val="clear" w:color="auto" w:fill="17365A"/>
          </w:tcPr>
          <w:p w14:paraId="548C5BC2" w14:textId="77777777" w:rsidR="00BC24A8" w:rsidRDefault="00000000">
            <w:pPr>
              <w:pStyle w:val="TableParagraph"/>
              <w:spacing w:before="88"/>
              <w:ind w:left="115" w:right="122"/>
              <w:rPr>
                <w:sz w:val="20"/>
              </w:rPr>
            </w:pPr>
            <w:r>
              <w:rPr>
                <w:color w:val="FFFFFF"/>
                <w:sz w:val="20"/>
              </w:rPr>
              <w:t>Planning</w:t>
            </w:r>
            <w:r>
              <w:rPr>
                <w:color w:val="FFFFFF"/>
                <w:spacing w:val="40"/>
                <w:sz w:val="20"/>
              </w:rPr>
              <w:t xml:space="preserve"> </w:t>
            </w:r>
            <w:r>
              <w:rPr>
                <w:color w:val="FFFFFF"/>
                <w:sz w:val="20"/>
              </w:rPr>
              <w:t>information</w:t>
            </w:r>
            <w:r>
              <w:rPr>
                <w:color w:val="FFFFFF"/>
                <w:spacing w:val="40"/>
                <w:sz w:val="20"/>
              </w:rPr>
              <w:t xml:space="preserve"> </w:t>
            </w:r>
            <w:r>
              <w:rPr>
                <w:color w:val="FFFFFF"/>
                <w:sz w:val="20"/>
              </w:rPr>
              <w:t>required</w:t>
            </w:r>
            <w:r>
              <w:rPr>
                <w:color w:val="FFFFFF"/>
                <w:spacing w:val="40"/>
                <w:sz w:val="20"/>
              </w:rPr>
              <w:t xml:space="preserve"> </w:t>
            </w:r>
            <w:r>
              <w:rPr>
                <w:color w:val="FFFFFF"/>
                <w:sz w:val="20"/>
              </w:rPr>
              <w:t>based on previous MoF regulations</w:t>
            </w:r>
            <w:hyperlink w:anchor="_bookmark72" w:history="1">
              <w:r w:rsidR="00BC24A8">
                <w:rPr>
                  <w:color w:val="FFFFFF"/>
                  <w:sz w:val="20"/>
                  <w:vertAlign w:val="superscript"/>
                </w:rPr>
                <w:t>28</w:t>
              </w:r>
            </w:hyperlink>
          </w:p>
        </w:tc>
        <w:tc>
          <w:tcPr>
            <w:tcW w:w="5669" w:type="dxa"/>
            <w:tcBorders>
              <w:right w:val="single" w:sz="4" w:space="0" w:color="00ACA3"/>
            </w:tcBorders>
            <w:shd w:val="clear" w:color="auto" w:fill="17365A"/>
          </w:tcPr>
          <w:p w14:paraId="27A908A8" w14:textId="77777777" w:rsidR="00BC24A8" w:rsidRDefault="00000000">
            <w:pPr>
              <w:pStyle w:val="TableParagraph"/>
              <w:spacing w:before="88"/>
              <w:ind w:left="89" w:right="98"/>
              <w:rPr>
                <w:sz w:val="20"/>
              </w:rPr>
            </w:pPr>
            <w:r>
              <w:rPr>
                <w:color w:val="FFFFFF"/>
                <w:sz w:val="20"/>
              </w:rPr>
              <w:t>Planning</w:t>
            </w:r>
            <w:r>
              <w:rPr>
                <w:color w:val="FFFFFF"/>
                <w:spacing w:val="80"/>
                <w:sz w:val="20"/>
              </w:rPr>
              <w:t xml:space="preserve"> </w:t>
            </w:r>
            <w:r>
              <w:rPr>
                <w:color w:val="FFFFFF"/>
                <w:sz w:val="20"/>
              </w:rPr>
              <w:t>information</w:t>
            </w:r>
            <w:r>
              <w:rPr>
                <w:color w:val="FFFFFF"/>
                <w:spacing w:val="80"/>
                <w:sz w:val="20"/>
              </w:rPr>
              <w:t xml:space="preserve"> </w:t>
            </w:r>
            <w:r>
              <w:rPr>
                <w:color w:val="FFFFFF"/>
                <w:sz w:val="20"/>
              </w:rPr>
              <w:t>required</w:t>
            </w:r>
            <w:r>
              <w:rPr>
                <w:color w:val="FFFFFF"/>
                <w:spacing w:val="80"/>
                <w:sz w:val="20"/>
              </w:rPr>
              <w:t xml:space="preserve"> </w:t>
            </w:r>
            <w:r>
              <w:rPr>
                <w:color w:val="FFFFFF"/>
                <w:sz w:val="20"/>
              </w:rPr>
              <w:t>by</w:t>
            </w:r>
            <w:r>
              <w:rPr>
                <w:color w:val="FFFFFF"/>
                <w:spacing w:val="80"/>
                <w:sz w:val="20"/>
              </w:rPr>
              <w:t xml:space="preserve"> </w:t>
            </w:r>
            <w:r>
              <w:rPr>
                <w:color w:val="FFFFFF"/>
                <w:sz w:val="20"/>
              </w:rPr>
              <w:t>the</w:t>
            </w:r>
            <w:r>
              <w:rPr>
                <w:color w:val="FFFFFF"/>
                <w:spacing w:val="80"/>
                <w:sz w:val="20"/>
              </w:rPr>
              <w:t xml:space="preserve"> </w:t>
            </w:r>
            <w:r>
              <w:rPr>
                <w:color w:val="FFFFFF"/>
                <w:sz w:val="20"/>
              </w:rPr>
              <w:t>SKALA-supported</w:t>
            </w:r>
            <w:r>
              <w:rPr>
                <w:color w:val="FFFFFF"/>
                <w:spacing w:val="80"/>
                <w:sz w:val="20"/>
              </w:rPr>
              <w:t xml:space="preserve"> </w:t>
            </w:r>
            <w:r>
              <w:rPr>
                <w:color w:val="FFFFFF"/>
                <w:sz w:val="20"/>
              </w:rPr>
              <w:t xml:space="preserve">MoF </w:t>
            </w:r>
            <w:r>
              <w:rPr>
                <w:color w:val="FFFFFF"/>
                <w:spacing w:val="-2"/>
                <w:sz w:val="20"/>
              </w:rPr>
              <w:t>regulation</w:t>
            </w:r>
            <w:hyperlink w:anchor="_bookmark73" w:history="1">
              <w:r w:rsidR="00BC24A8">
                <w:rPr>
                  <w:color w:val="FFFFFF"/>
                  <w:spacing w:val="-2"/>
                  <w:sz w:val="20"/>
                  <w:vertAlign w:val="superscript"/>
                </w:rPr>
                <w:t>29</w:t>
              </w:r>
            </w:hyperlink>
          </w:p>
        </w:tc>
      </w:tr>
      <w:tr w:rsidR="00BC24A8" w14:paraId="047F246B" w14:textId="77777777">
        <w:trPr>
          <w:trHeight w:val="4413"/>
        </w:trPr>
        <w:tc>
          <w:tcPr>
            <w:tcW w:w="3355" w:type="dxa"/>
            <w:tcBorders>
              <w:bottom w:val="single" w:sz="4" w:space="0" w:color="BEBEBE"/>
            </w:tcBorders>
          </w:tcPr>
          <w:p w14:paraId="7E714D02" w14:textId="77777777" w:rsidR="00BC24A8" w:rsidRDefault="00000000">
            <w:pPr>
              <w:pStyle w:val="TableParagraph"/>
              <w:numPr>
                <w:ilvl w:val="0"/>
                <w:numId w:val="160"/>
              </w:numPr>
              <w:tabs>
                <w:tab w:val="left" w:pos="280"/>
              </w:tabs>
              <w:spacing w:before="88"/>
              <w:ind w:hanging="160"/>
              <w:rPr>
                <w:sz w:val="18"/>
              </w:rPr>
            </w:pPr>
            <w:r>
              <w:rPr>
                <w:sz w:val="18"/>
              </w:rPr>
              <w:t>Description</w:t>
            </w:r>
            <w:r>
              <w:rPr>
                <w:spacing w:val="-4"/>
                <w:sz w:val="18"/>
              </w:rPr>
              <w:t xml:space="preserve"> </w:t>
            </w:r>
            <w:r>
              <w:rPr>
                <w:sz w:val="18"/>
              </w:rPr>
              <w:t>of</w:t>
            </w:r>
            <w:r>
              <w:rPr>
                <w:spacing w:val="-4"/>
                <w:sz w:val="18"/>
              </w:rPr>
              <w:t xml:space="preserve"> </w:t>
            </w:r>
            <w:r>
              <w:rPr>
                <w:spacing w:val="-2"/>
                <w:sz w:val="18"/>
              </w:rPr>
              <w:t>activity</w:t>
            </w:r>
          </w:p>
          <w:p w14:paraId="5BA43046" w14:textId="77777777" w:rsidR="00BC24A8" w:rsidRDefault="00000000">
            <w:pPr>
              <w:pStyle w:val="TableParagraph"/>
              <w:numPr>
                <w:ilvl w:val="0"/>
                <w:numId w:val="160"/>
              </w:numPr>
              <w:tabs>
                <w:tab w:val="left" w:pos="280"/>
              </w:tabs>
              <w:spacing w:before="1" w:line="219" w:lineRule="exact"/>
              <w:ind w:hanging="160"/>
              <w:rPr>
                <w:sz w:val="18"/>
              </w:rPr>
            </w:pPr>
            <w:r>
              <w:rPr>
                <w:sz w:val="18"/>
              </w:rPr>
              <w:t>Output</w:t>
            </w:r>
            <w:r>
              <w:rPr>
                <w:spacing w:val="-2"/>
                <w:sz w:val="18"/>
              </w:rPr>
              <w:t xml:space="preserve"> indicator</w:t>
            </w:r>
          </w:p>
          <w:p w14:paraId="44DCD2A8" w14:textId="77777777" w:rsidR="00BC24A8" w:rsidRDefault="00000000">
            <w:pPr>
              <w:pStyle w:val="TableParagraph"/>
              <w:numPr>
                <w:ilvl w:val="0"/>
                <w:numId w:val="160"/>
              </w:numPr>
              <w:tabs>
                <w:tab w:val="left" w:pos="280"/>
              </w:tabs>
              <w:spacing w:line="219" w:lineRule="exact"/>
              <w:ind w:hanging="160"/>
              <w:rPr>
                <w:sz w:val="18"/>
              </w:rPr>
            </w:pPr>
            <w:r>
              <w:rPr>
                <w:sz w:val="18"/>
              </w:rPr>
              <w:t>Output</w:t>
            </w:r>
            <w:r>
              <w:rPr>
                <w:spacing w:val="-3"/>
                <w:sz w:val="18"/>
              </w:rPr>
              <w:t xml:space="preserve"> </w:t>
            </w:r>
            <w:r>
              <w:rPr>
                <w:sz w:val="18"/>
              </w:rPr>
              <w:t>target,</w:t>
            </w:r>
            <w:r>
              <w:rPr>
                <w:spacing w:val="-4"/>
                <w:sz w:val="18"/>
              </w:rPr>
              <w:t xml:space="preserve"> </w:t>
            </w:r>
            <w:r>
              <w:rPr>
                <w:sz w:val="18"/>
              </w:rPr>
              <w:t>e.g.</w:t>
            </w:r>
            <w:r>
              <w:rPr>
                <w:spacing w:val="-4"/>
                <w:sz w:val="18"/>
              </w:rPr>
              <w:t xml:space="preserve"> </w:t>
            </w:r>
            <w:r>
              <w:rPr>
                <w:sz w:val="18"/>
              </w:rPr>
              <w:t>number</w:t>
            </w:r>
            <w:r>
              <w:rPr>
                <w:spacing w:val="-3"/>
                <w:sz w:val="18"/>
              </w:rPr>
              <w:t xml:space="preserve"> </w:t>
            </w:r>
            <w:r>
              <w:rPr>
                <w:sz w:val="18"/>
              </w:rPr>
              <w:t>of</w:t>
            </w:r>
            <w:r>
              <w:rPr>
                <w:spacing w:val="-3"/>
                <w:sz w:val="18"/>
              </w:rPr>
              <w:t xml:space="preserve"> </w:t>
            </w:r>
            <w:r>
              <w:rPr>
                <w:spacing w:val="-2"/>
                <w:sz w:val="18"/>
              </w:rPr>
              <w:t>units</w:t>
            </w:r>
          </w:p>
          <w:p w14:paraId="668A6014" w14:textId="77777777" w:rsidR="00BC24A8" w:rsidRDefault="00000000">
            <w:pPr>
              <w:pStyle w:val="TableParagraph"/>
              <w:numPr>
                <w:ilvl w:val="0"/>
                <w:numId w:val="160"/>
              </w:numPr>
              <w:tabs>
                <w:tab w:val="left" w:pos="280"/>
              </w:tabs>
              <w:spacing w:before="1" w:line="219" w:lineRule="exact"/>
              <w:ind w:hanging="160"/>
              <w:rPr>
                <w:sz w:val="18"/>
              </w:rPr>
            </w:pPr>
            <w:r>
              <w:rPr>
                <w:sz w:val="18"/>
              </w:rPr>
              <w:t>Budget</w:t>
            </w:r>
            <w:r>
              <w:rPr>
                <w:spacing w:val="-2"/>
                <w:sz w:val="18"/>
              </w:rPr>
              <w:t xml:space="preserve"> ceiling</w:t>
            </w:r>
          </w:p>
          <w:p w14:paraId="6594D26E" w14:textId="77777777" w:rsidR="00BC24A8" w:rsidRDefault="00000000">
            <w:pPr>
              <w:pStyle w:val="TableParagraph"/>
              <w:numPr>
                <w:ilvl w:val="0"/>
                <w:numId w:val="160"/>
              </w:numPr>
              <w:tabs>
                <w:tab w:val="left" w:pos="280"/>
              </w:tabs>
              <w:spacing w:line="219" w:lineRule="exact"/>
              <w:ind w:hanging="160"/>
              <w:rPr>
                <w:sz w:val="18"/>
              </w:rPr>
            </w:pPr>
            <w:r>
              <w:rPr>
                <w:sz w:val="18"/>
              </w:rPr>
              <w:t>Locus</w:t>
            </w:r>
            <w:r>
              <w:rPr>
                <w:spacing w:val="-5"/>
                <w:sz w:val="18"/>
              </w:rPr>
              <w:t xml:space="preserve"> </w:t>
            </w:r>
            <w:r>
              <w:rPr>
                <w:sz w:val="18"/>
              </w:rPr>
              <w:t>of</w:t>
            </w:r>
            <w:r>
              <w:rPr>
                <w:spacing w:val="-2"/>
                <w:sz w:val="18"/>
              </w:rPr>
              <w:t xml:space="preserve"> activity</w:t>
            </w:r>
          </w:p>
          <w:p w14:paraId="1959A6C5" w14:textId="77777777" w:rsidR="00BC24A8" w:rsidRDefault="00000000">
            <w:pPr>
              <w:pStyle w:val="TableParagraph"/>
              <w:numPr>
                <w:ilvl w:val="0"/>
                <w:numId w:val="160"/>
              </w:numPr>
              <w:tabs>
                <w:tab w:val="left" w:pos="280"/>
              </w:tabs>
              <w:spacing w:before="1" w:line="219" w:lineRule="exact"/>
              <w:ind w:hanging="160"/>
              <w:rPr>
                <w:sz w:val="18"/>
              </w:rPr>
            </w:pPr>
            <w:r>
              <w:rPr>
                <w:spacing w:val="-2"/>
                <w:sz w:val="18"/>
              </w:rPr>
              <w:t>Location</w:t>
            </w:r>
          </w:p>
          <w:p w14:paraId="1F5FA11F" w14:textId="77777777" w:rsidR="00BC24A8" w:rsidRDefault="00000000">
            <w:pPr>
              <w:pStyle w:val="TableParagraph"/>
              <w:numPr>
                <w:ilvl w:val="0"/>
                <w:numId w:val="160"/>
              </w:numPr>
              <w:tabs>
                <w:tab w:val="left" w:pos="280"/>
              </w:tabs>
              <w:spacing w:line="219" w:lineRule="exact"/>
              <w:ind w:hanging="160"/>
              <w:rPr>
                <w:sz w:val="18"/>
              </w:rPr>
            </w:pPr>
            <w:r>
              <w:rPr>
                <w:sz w:val="18"/>
              </w:rPr>
              <w:t>Responsible</w:t>
            </w:r>
            <w:r>
              <w:rPr>
                <w:spacing w:val="-7"/>
                <w:sz w:val="18"/>
              </w:rPr>
              <w:t xml:space="preserve"> </w:t>
            </w:r>
            <w:r>
              <w:rPr>
                <w:sz w:val="18"/>
              </w:rPr>
              <w:t>government</w:t>
            </w:r>
            <w:r>
              <w:rPr>
                <w:spacing w:val="-5"/>
                <w:sz w:val="18"/>
              </w:rPr>
              <w:t xml:space="preserve"> </w:t>
            </w:r>
            <w:r>
              <w:rPr>
                <w:sz w:val="18"/>
              </w:rPr>
              <w:t>working</w:t>
            </w:r>
            <w:r>
              <w:rPr>
                <w:spacing w:val="-8"/>
                <w:sz w:val="18"/>
              </w:rPr>
              <w:t xml:space="preserve"> </w:t>
            </w:r>
            <w:r>
              <w:rPr>
                <w:spacing w:val="-4"/>
                <w:sz w:val="18"/>
              </w:rPr>
              <w:t>unit</w:t>
            </w:r>
          </w:p>
          <w:p w14:paraId="32B4D5AA" w14:textId="77777777" w:rsidR="00BC24A8" w:rsidRDefault="00000000">
            <w:pPr>
              <w:pStyle w:val="TableParagraph"/>
              <w:numPr>
                <w:ilvl w:val="0"/>
                <w:numId w:val="160"/>
              </w:numPr>
              <w:tabs>
                <w:tab w:val="left" w:pos="280"/>
              </w:tabs>
              <w:spacing w:before="1"/>
              <w:ind w:hanging="160"/>
              <w:rPr>
                <w:sz w:val="18"/>
              </w:rPr>
            </w:pPr>
            <w:r>
              <w:rPr>
                <w:sz w:val="18"/>
              </w:rPr>
              <w:t>Activity</w:t>
            </w:r>
            <w:r>
              <w:rPr>
                <w:spacing w:val="-2"/>
                <w:sz w:val="18"/>
              </w:rPr>
              <w:t xml:space="preserve"> schedule/timeline</w:t>
            </w:r>
          </w:p>
        </w:tc>
        <w:tc>
          <w:tcPr>
            <w:tcW w:w="5669" w:type="dxa"/>
            <w:tcBorders>
              <w:bottom w:val="single" w:sz="4" w:space="0" w:color="BEBEBE"/>
            </w:tcBorders>
          </w:tcPr>
          <w:p w14:paraId="5E75A576" w14:textId="77777777" w:rsidR="00BC24A8" w:rsidRDefault="00000000">
            <w:pPr>
              <w:pStyle w:val="TableParagraph"/>
              <w:numPr>
                <w:ilvl w:val="0"/>
                <w:numId w:val="159"/>
              </w:numPr>
              <w:tabs>
                <w:tab w:val="left" w:pos="249"/>
              </w:tabs>
              <w:spacing w:before="88"/>
              <w:ind w:left="249" w:hanging="160"/>
              <w:rPr>
                <w:sz w:val="18"/>
              </w:rPr>
            </w:pPr>
            <w:r>
              <w:rPr>
                <w:sz w:val="18"/>
              </w:rPr>
              <w:t>Description</w:t>
            </w:r>
            <w:r>
              <w:rPr>
                <w:spacing w:val="-4"/>
                <w:sz w:val="18"/>
              </w:rPr>
              <w:t xml:space="preserve"> </w:t>
            </w:r>
            <w:r>
              <w:rPr>
                <w:sz w:val="18"/>
              </w:rPr>
              <w:t>of</w:t>
            </w:r>
            <w:r>
              <w:rPr>
                <w:spacing w:val="-4"/>
                <w:sz w:val="18"/>
              </w:rPr>
              <w:t xml:space="preserve"> </w:t>
            </w:r>
            <w:r>
              <w:rPr>
                <w:spacing w:val="-2"/>
                <w:sz w:val="18"/>
              </w:rPr>
              <w:t>activity</w:t>
            </w:r>
          </w:p>
          <w:p w14:paraId="62597D60" w14:textId="77777777" w:rsidR="00BC24A8" w:rsidRDefault="00000000">
            <w:pPr>
              <w:pStyle w:val="TableParagraph"/>
              <w:numPr>
                <w:ilvl w:val="0"/>
                <w:numId w:val="159"/>
              </w:numPr>
              <w:tabs>
                <w:tab w:val="left" w:pos="249"/>
              </w:tabs>
              <w:spacing w:before="1" w:line="219" w:lineRule="exact"/>
              <w:ind w:left="249" w:hanging="160"/>
              <w:rPr>
                <w:sz w:val="18"/>
              </w:rPr>
            </w:pPr>
            <w:r>
              <w:rPr>
                <w:sz w:val="18"/>
              </w:rPr>
              <w:t>Output</w:t>
            </w:r>
            <w:r>
              <w:rPr>
                <w:spacing w:val="-2"/>
                <w:sz w:val="18"/>
              </w:rPr>
              <w:t xml:space="preserve"> indicator</w:t>
            </w:r>
          </w:p>
          <w:p w14:paraId="1E2BC017" w14:textId="77777777" w:rsidR="00BC24A8" w:rsidRDefault="00000000">
            <w:pPr>
              <w:pStyle w:val="TableParagraph"/>
              <w:numPr>
                <w:ilvl w:val="0"/>
                <w:numId w:val="159"/>
              </w:numPr>
              <w:tabs>
                <w:tab w:val="left" w:pos="249"/>
              </w:tabs>
              <w:spacing w:line="219" w:lineRule="exact"/>
              <w:ind w:left="249" w:hanging="160"/>
              <w:rPr>
                <w:sz w:val="18"/>
              </w:rPr>
            </w:pPr>
            <w:r>
              <w:rPr>
                <w:sz w:val="18"/>
              </w:rPr>
              <w:t>Output</w:t>
            </w:r>
            <w:r>
              <w:rPr>
                <w:spacing w:val="-3"/>
                <w:sz w:val="18"/>
              </w:rPr>
              <w:t xml:space="preserve"> </w:t>
            </w:r>
            <w:r>
              <w:rPr>
                <w:sz w:val="18"/>
              </w:rPr>
              <w:t>target,</w:t>
            </w:r>
            <w:r>
              <w:rPr>
                <w:spacing w:val="-4"/>
                <w:sz w:val="18"/>
              </w:rPr>
              <w:t xml:space="preserve"> </w:t>
            </w:r>
            <w:r>
              <w:rPr>
                <w:sz w:val="18"/>
              </w:rPr>
              <w:t>e.g.</w:t>
            </w:r>
            <w:r>
              <w:rPr>
                <w:spacing w:val="-4"/>
                <w:sz w:val="18"/>
              </w:rPr>
              <w:t xml:space="preserve"> </w:t>
            </w:r>
            <w:r>
              <w:rPr>
                <w:sz w:val="18"/>
              </w:rPr>
              <w:t>number</w:t>
            </w:r>
            <w:r>
              <w:rPr>
                <w:spacing w:val="-3"/>
                <w:sz w:val="18"/>
              </w:rPr>
              <w:t xml:space="preserve"> </w:t>
            </w:r>
            <w:r>
              <w:rPr>
                <w:sz w:val="18"/>
              </w:rPr>
              <w:t>of</w:t>
            </w:r>
            <w:r>
              <w:rPr>
                <w:spacing w:val="-3"/>
                <w:sz w:val="18"/>
              </w:rPr>
              <w:t xml:space="preserve"> </w:t>
            </w:r>
            <w:r>
              <w:rPr>
                <w:spacing w:val="-2"/>
                <w:sz w:val="18"/>
              </w:rPr>
              <w:t>units</w:t>
            </w:r>
          </w:p>
          <w:p w14:paraId="0F7501A2" w14:textId="77777777" w:rsidR="00BC24A8" w:rsidRDefault="00000000">
            <w:pPr>
              <w:pStyle w:val="TableParagraph"/>
              <w:numPr>
                <w:ilvl w:val="0"/>
                <w:numId w:val="159"/>
              </w:numPr>
              <w:tabs>
                <w:tab w:val="left" w:pos="249"/>
              </w:tabs>
              <w:spacing w:before="1" w:line="219" w:lineRule="exact"/>
              <w:ind w:left="249" w:hanging="160"/>
              <w:rPr>
                <w:sz w:val="18"/>
              </w:rPr>
            </w:pPr>
            <w:r>
              <w:rPr>
                <w:sz w:val="18"/>
              </w:rPr>
              <w:t>Budget</w:t>
            </w:r>
            <w:r>
              <w:rPr>
                <w:spacing w:val="-2"/>
                <w:sz w:val="18"/>
              </w:rPr>
              <w:t xml:space="preserve"> ceiling</w:t>
            </w:r>
          </w:p>
          <w:p w14:paraId="16CC5E13" w14:textId="77777777" w:rsidR="00BC24A8" w:rsidRDefault="00000000">
            <w:pPr>
              <w:pStyle w:val="TableParagraph"/>
              <w:numPr>
                <w:ilvl w:val="0"/>
                <w:numId w:val="159"/>
              </w:numPr>
              <w:tabs>
                <w:tab w:val="left" w:pos="249"/>
              </w:tabs>
              <w:spacing w:line="219" w:lineRule="exact"/>
              <w:ind w:left="249" w:hanging="160"/>
              <w:rPr>
                <w:sz w:val="18"/>
              </w:rPr>
            </w:pPr>
            <w:r>
              <w:rPr>
                <w:sz w:val="18"/>
              </w:rPr>
              <w:t>Locus</w:t>
            </w:r>
            <w:r>
              <w:rPr>
                <w:spacing w:val="-5"/>
                <w:sz w:val="18"/>
              </w:rPr>
              <w:t xml:space="preserve"> </w:t>
            </w:r>
            <w:r>
              <w:rPr>
                <w:sz w:val="18"/>
              </w:rPr>
              <w:t>of</w:t>
            </w:r>
            <w:r>
              <w:rPr>
                <w:spacing w:val="-2"/>
                <w:sz w:val="18"/>
              </w:rPr>
              <w:t xml:space="preserve"> activity</w:t>
            </w:r>
          </w:p>
          <w:p w14:paraId="3941B78D" w14:textId="77777777" w:rsidR="00BC24A8" w:rsidRDefault="00000000">
            <w:pPr>
              <w:pStyle w:val="TableParagraph"/>
              <w:numPr>
                <w:ilvl w:val="0"/>
                <w:numId w:val="159"/>
              </w:numPr>
              <w:tabs>
                <w:tab w:val="left" w:pos="249"/>
              </w:tabs>
              <w:spacing w:before="1" w:line="219" w:lineRule="exact"/>
              <w:ind w:left="249" w:hanging="160"/>
              <w:rPr>
                <w:sz w:val="18"/>
              </w:rPr>
            </w:pPr>
            <w:r>
              <w:rPr>
                <w:spacing w:val="-2"/>
                <w:sz w:val="18"/>
              </w:rPr>
              <w:t>Location</w:t>
            </w:r>
          </w:p>
          <w:p w14:paraId="292B5BFD" w14:textId="77777777" w:rsidR="00BC24A8" w:rsidRDefault="00000000">
            <w:pPr>
              <w:pStyle w:val="TableParagraph"/>
              <w:numPr>
                <w:ilvl w:val="0"/>
                <w:numId w:val="159"/>
              </w:numPr>
              <w:tabs>
                <w:tab w:val="left" w:pos="249"/>
              </w:tabs>
              <w:spacing w:line="219" w:lineRule="exact"/>
              <w:ind w:left="249" w:hanging="160"/>
              <w:rPr>
                <w:sz w:val="18"/>
              </w:rPr>
            </w:pPr>
            <w:r>
              <w:rPr>
                <w:sz w:val="18"/>
              </w:rPr>
              <w:t>Responsible</w:t>
            </w:r>
            <w:r>
              <w:rPr>
                <w:spacing w:val="-7"/>
                <w:sz w:val="18"/>
              </w:rPr>
              <w:t xml:space="preserve"> </w:t>
            </w:r>
            <w:r>
              <w:rPr>
                <w:sz w:val="18"/>
              </w:rPr>
              <w:t>government</w:t>
            </w:r>
            <w:r>
              <w:rPr>
                <w:spacing w:val="-5"/>
                <w:sz w:val="18"/>
              </w:rPr>
              <w:t xml:space="preserve"> </w:t>
            </w:r>
            <w:r>
              <w:rPr>
                <w:sz w:val="18"/>
              </w:rPr>
              <w:t>working</w:t>
            </w:r>
            <w:r>
              <w:rPr>
                <w:spacing w:val="-8"/>
                <w:sz w:val="18"/>
              </w:rPr>
              <w:t xml:space="preserve"> </w:t>
            </w:r>
            <w:r>
              <w:rPr>
                <w:spacing w:val="-4"/>
                <w:sz w:val="18"/>
              </w:rPr>
              <w:t>unit</w:t>
            </w:r>
          </w:p>
          <w:p w14:paraId="7F74C27C" w14:textId="77777777" w:rsidR="00BC24A8" w:rsidRDefault="00000000">
            <w:pPr>
              <w:pStyle w:val="TableParagraph"/>
              <w:numPr>
                <w:ilvl w:val="0"/>
                <w:numId w:val="159"/>
              </w:numPr>
              <w:tabs>
                <w:tab w:val="left" w:pos="239"/>
              </w:tabs>
              <w:spacing w:before="1"/>
              <w:ind w:left="239" w:hanging="150"/>
              <w:rPr>
                <w:sz w:val="18"/>
              </w:rPr>
            </w:pPr>
            <w:r>
              <w:rPr>
                <w:sz w:val="18"/>
              </w:rPr>
              <w:t>Activity</w:t>
            </w:r>
            <w:r>
              <w:rPr>
                <w:spacing w:val="-2"/>
                <w:sz w:val="18"/>
              </w:rPr>
              <w:t xml:space="preserve"> schedule/timeline</w:t>
            </w:r>
          </w:p>
          <w:p w14:paraId="3D561D7C" w14:textId="77777777" w:rsidR="00BC24A8" w:rsidRDefault="00000000">
            <w:pPr>
              <w:pStyle w:val="TableParagraph"/>
              <w:numPr>
                <w:ilvl w:val="0"/>
                <w:numId w:val="159"/>
              </w:numPr>
              <w:tabs>
                <w:tab w:val="left" w:pos="239"/>
              </w:tabs>
              <w:spacing w:before="1" w:line="219" w:lineRule="exact"/>
              <w:ind w:left="239" w:hanging="150"/>
              <w:rPr>
                <w:sz w:val="18"/>
              </w:rPr>
            </w:pPr>
            <w:r>
              <w:rPr>
                <w:spacing w:val="-4"/>
                <w:sz w:val="18"/>
              </w:rPr>
              <w:t>Targeted</w:t>
            </w:r>
            <w:r>
              <w:rPr>
                <w:spacing w:val="7"/>
                <w:sz w:val="18"/>
              </w:rPr>
              <w:t xml:space="preserve"> </w:t>
            </w:r>
            <w:r>
              <w:rPr>
                <w:spacing w:val="-2"/>
                <w:sz w:val="18"/>
              </w:rPr>
              <w:t>outcome</w:t>
            </w:r>
          </w:p>
          <w:p w14:paraId="2BB6036D" w14:textId="77777777" w:rsidR="00BC24A8" w:rsidRDefault="00000000">
            <w:pPr>
              <w:pStyle w:val="TableParagraph"/>
              <w:numPr>
                <w:ilvl w:val="0"/>
                <w:numId w:val="159"/>
              </w:numPr>
              <w:tabs>
                <w:tab w:val="left" w:pos="239"/>
              </w:tabs>
              <w:spacing w:line="219" w:lineRule="exact"/>
              <w:ind w:left="239" w:hanging="150"/>
              <w:rPr>
                <w:position w:val="5"/>
                <w:sz w:val="12"/>
              </w:rPr>
            </w:pPr>
            <w:r>
              <w:rPr>
                <w:sz w:val="18"/>
              </w:rPr>
              <w:t>Description</w:t>
            </w:r>
            <w:r>
              <w:rPr>
                <w:spacing w:val="-5"/>
                <w:sz w:val="18"/>
              </w:rPr>
              <w:t xml:space="preserve"> </w:t>
            </w:r>
            <w:r>
              <w:rPr>
                <w:sz w:val="18"/>
              </w:rPr>
              <w:t>of</w:t>
            </w:r>
            <w:r>
              <w:rPr>
                <w:spacing w:val="-5"/>
                <w:sz w:val="18"/>
              </w:rPr>
              <w:t xml:space="preserve"> </w:t>
            </w:r>
            <w:r>
              <w:rPr>
                <w:sz w:val="18"/>
              </w:rPr>
              <w:t>aligned</w:t>
            </w:r>
            <w:r>
              <w:rPr>
                <w:spacing w:val="-5"/>
                <w:sz w:val="18"/>
              </w:rPr>
              <w:t xml:space="preserve"> </w:t>
            </w:r>
            <w:r>
              <w:rPr>
                <w:sz w:val="18"/>
              </w:rPr>
              <w:t>sectoral</w:t>
            </w:r>
            <w:r>
              <w:rPr>
                <w:spacing w:val="-3"/>
                <w:sz w:val="18"/>
              </w:rPr>
              <w:t xml:space="preserve"> </w:t>
            </w:r>
            <w:r>
              <w:rPr>
                <w:spacing w:val="-2"/>
                <w:sz w:val="18"/>
              </w:rPr>
              <w:t>program</w:t>
            </w:r>
            <w:hyperlink w:anchor="_bookmark74" w:history="1">
              <w:r w:rsidR="00BC24A8">
                <w:rPr>
                  <w:spacing w:val="-2"/>
                  <w:position w:val="5"/>
                  <w:sz w:val="12"/>
                </w:rPr>
                <w:t>30</w:t>
              </w:r>
            </w:hyperlink>
          </w:p>
          <w:p w14:paraId="00AE3D3A" w14:textId="77777777" w:rsidR="00BC24A8" w:rsidRDefault="00000000">
            <w:pPr>
              <w:pStyle w:val="TableParagraph"/>
              <w:numPr>
                <w:ilvl w:val="0"/>
                <w:numId w:val="159"/>
              </w:numPr>
              <w:tabs>
                <w:tab w:val="left" w:pos="239"/>
              </w:tabs>
              <w:spacing w:before="1" w:line="219" w:lineRule="exact"/>
              <w:ind w:left="239" w:hanging="150"/>
              <w:rPr>
                <w:sz w:val="18"/>
              </w:rPr>
            </w:pPr>
            <w:r>
              <w:rPr>
                <w:spacing w:val="-2"/>
                <w:sz w:val="18"/>
              </w:rPr>
              <w:t>Targeted strategic</w:t>
            </w:r>
            <w:r>
              <w:rPr>
                <w:spacing w:val="-1"/>
                <w:sz w:val="18"/>
              </w:rPr>
              <w:t xml:space="preserve"> </w:t>
            </w:r>
            <w:r>
              <w:rPr>
                <w:spacing w:val="-2"/>
                <w:sz w:val="18"/>
              </w:rPr>
              <w:t>output</w:t>
            </w:r>
          </w:p>
          <w:p w14:paraId="376F7844" w14:textId="77777777" w:rsidR="00BC24A8" w:rsidRDefault="00000000">
            <w:pPr>
              <w:pStyle w:val="TableParagraph"/>
              <w:numPr>
                <w:ilvl w:val="0"/>
                <w:numId w:val="159"/>
              </w:numPr>
              <w:tabs>
                <w:tab w:val="left" w:pos="239"/>
              </w:tabs>
              <w:spacing w:line="219" w:lineRule="exact"/>
              <w:ind w:left="239" w:hanging="150"/>
              <w:rPr>
                <w:sz w:val="18"/>
              </w:rPr>
            </w:pPr>
            <w:r>
              <w:rPr>
                <w:sz w:val="18"/>
              </w:rPr>
              <w:t>Key</w:t>
            </w:r>
            <w:r>
              <w:rPr>
                <w:spacing w:val="-4"/>
                <w:sz w:val="18"/>
              </w:rPr>
              <w:t xml:space="preserve"> </w:t>
            </w:r>
            <w:r>
              <w:rPr>
                <w:sz w:val="18"/>
              </w:rPr>
              <w:t>(a</w:t>
            </w:r>
            <w:r>
              <w:rPr>
                <w:spacing w:val="-5"/>
                <w:sz w:val="18"/>
              </w:rPr>
              <w:t xml:space="preserve"> </w:t>
            </w:r>
            <w:r>
              <w:rPr>
                <w:sz w:val="18"/>
              </w:rPr>
              <w:t>more</w:t>
            </w:r>
            <w:r>
              <w:rPr>
                <w:spacing w:val="-4"/>
                <w:sz w:val="18"/>
              </w:rPr>
              <w:t xml:space="preserve"> </w:t>
            </w:r>
            <w:r>
              <w:rPr>
                <w:sz w:val="18"/>
              </w:rPr>
              <w:t>detailed)</w:t>
            </w:r>
            <w:r>
              <w:rPr>
                <w:spacing w:val="-4"/>
                <w:sz w:val="18"/>
              </w:rPr>
              <w:t xml:space="preserve"> </w:t>
            </w:r>
            <w:r>
              <w:rPr>
                <w:spacing w:val="-2"/>
                <w:sz w:val="18"/>
              </w:rPr>
              <w:t>activity</w:t>
            </w:r>
          </w:p>
          <w:p w14:paraId="4A65AA43" w14:textId="77777777" w:rsidR="00BC24A8" w:rsidRDefault="00000000">
            <w:pPr>
              <w:pStyle w:val="TableParagraph"/>
              <w:numPr>
                <w:ilvl w:val="0"/>
                <w:numId w:val="159"/>
              </w:numPr>
              <w:tabs>
                <w:tab w:val="left" w:pos="238"/>
                <w:tab w:val="left" w:pos="240"/>
              </w:tabs>
              <w:spacing w:before="1"/>
              <w:ind w:right="779" w:hanging="152"/>
              <w:rPr>
                <w:sz w:val="18"/>
              </w:rPr>
            </w:pPr>
            <w:r>
              <w:rPr>
                <w:sz w:val="18"/>
              </w:rPr>
              <w:t>Description</w:t>
            </w:r>
            <w:r>
              <w:rPr>
                <w:spacing w:val="-5"/>
                <w:sz w:val="18"/>
              </w:rPr>
              <w:t xml:space="preserve"> </w:t>
            </w:r>
            <w:r>
              <w:rPr>
                <w:sz w:val="18"/>
              </w:rPr>
              <w:t>of</w:t>
            </w:r>
            <w:r>
              <w:rPr>
                <w:spacing w:val="-6"/>
                <w:sz w:val="18"/>
              </w:rPr>
              <w:t xml:space="preserve"> </w:t>
            </w:r>
            <w:r>
              <w:rPr>
                <w:sz w:val="18"/>
              </w:rPr>
              <w:t>funding</w:t>
            </w:r>
            <w:r>
              <w:rPr>
                <w:spacing w:val="-6"/>
                <w:sz w:val="18"/>
              </w:rPr>
              <w:t xml:space="preserve"> </w:t>
            </w:r>
            <w:r>
              <w:rPr>
                <w:sz w:val="18"/>
              </w:rPr>
              <w:t>source</w:t>
            </w:r>
            <w:r>
              <w:rPr>
                <w:spacing w:val="-5"/>
                <w:sz w:val="18"/>
              </w:rPr>
              <w:t xml:space="preserve"> </w:t>
            </w:r>
            <w:r>
              <w:rPr>
                <w:sz w:val="18"/>
              </w:rPr>
              <w:t>(e.g.</w:t>
            </w:r>
            <w:r>
              <w:rPr>
                <w:spacing w:val="-6"/>
                <w:sz w:val="18"/>
              </w:rPr>
              <w:t xml:space="preserve"> </w:t>
            </w:r>
            <w:r>
              <w:rPr>
                <w:sz w:val="18"/>
              </w:rPr>
              <w:t>in</w:t>
            </w:r>
            <w:r>
              <w:rPr>
                <w:spacing w:val="-5"/>
                <w:sz w:val="18"/>
              </w:rPr>
              <w:t xml:space="preserve"> </w:t>
            </w:r>
            <w:r>
              <w:rPr>
                <w:sz w:val="18"/>
              </w:rPr>
              <w:t>addition</w:t>
            </w:r>
            <w:r>
              <w:rPr>
                <w:spacing w:val="-5"/>
                <w:sz w:val="18"/>
              </w:rPr>
              <w:t xml:space="preserve"> </w:t>
            </w:r>
            <w:r>
              <w:rPr>
                <w:sz w:val="18"/>
              </w:rPr>
              <w:t>to</w:t>
            </w:r>
            <w:r>
              <w:rPr>
                <w:spacing w:val="-6"/>
                <w:sz w:val="18"/>
              </w:rPr>
              <w:t xml:space="preserve"> </w:t>
            </w:r>
            <w:r>
              <w:rPr>
                <w:sz w:val="18"/>
              </w:rPr>
              <w:t>OTSUS</w:t>
            </w:r>
            <w:r>
              <w:rPr>
                <w:spacing w:val="-5"/>
                <w:sz w:val="18"/>
              </w:rPr>
              <w:t xml:space="preserve"> </w:t>
            </w:r>
            <w:r>
              <w:rPr>
                <w:sz w:val="18"/>
              </w:rPr>
              <w:t>Fund,</w:t>
            </w:r>
            <w:r>
              <w:rPr>
                <w:spacing w:val="-6"/>
                <w:sz w:val="18"/>
              </w:rPr>
              <w:t xml:space="preserve"> </w:t>
            </w:r>
            <w:r>
              <w:rPr>
                <w:sz w:val="18"/>
              </w:rPr>
              <w:t>to stimulate spending mix)</w:t>
            </w:r>
          </w:p>
          <w:p w14:paraId="39419E50" w14:textId="77777777" w:rsidR="00BC24A8" w:rsidRDefault="00000000">
            <w:pPr>
              <w:pStyle w:val="TableParagraph"/>
              <w:numPr>
                <w:ilvl w:val="0"/>
                <w:numId w:val="159"/>
              </w:numPr>
              <w:tabs>
                <w:tab w:val="left" w:pos="239"/>
              </w:tabs>
              <w:spacing w:line="219" w:lineRule="exact"/>
              <w:ind w:left="239" w:hanging="150"/>
              <w:rPr>
                <w:sz w:val="18"/>
              </w:rPr>
            </w:pPr>
            <w:r>
              <w:rPr>
                <w:sz w:val="18"/>
              </w:rPr>
              <w:t>Description</w:t>
            </w:r>
            <w:r>
              <w:rPr>
                <w:spacing w:val="-4"/>
                <w:sz w:val="18"/>
              </w:rPr>
              <w:t xml:space="preserve"> </w:t>
            </w:r>
            <w:r>
              <w:rPr>
                <w:sz w:val="18"/>
              </w:rPr>
              <w:t>of</w:t>
            </w:r>
            <w:r>
              <w:rPr>
                <w:spacing w:val="-4"/>
                <w:sz w:val="18"/>
              </w:rPr>
              <w:t xml:space="preserve"> </w:t>
            </w:r>
            <w:r>
              <w:rPr>
                <w:sz w:val="18"/>
              </w:rPr>
              <w:t>how</w:t>
            </w:r>
            <w:r>
              <w:rPr>
                <w:spacing w:val="-4"/>
                <w:sz w:val="18"/>
              </w:rPr>
              <w:t xml:space="preserve"> </w:t>
            </w:r>
            <w:r>
              <w:rPr>
                <w:sz w:val="18"/>
              </w:rPr>
              <w:t>this</w:t>
            </w:r>
            <w:r>
              <w:rPr>
                <w:spacing w:val="-3"/>
                <w:sz w:val="18"/>
              </w:rPr>
              <w:t xml:space="preserve"> </w:t>
            </w:r>
            <w:r>
              <w:rPr>
                <w:sz w:val="18"/>
              </w:rPr>
              <w:t>activity</w:t>
            </w:r>
            <w:r>
              <w:rPr>
                <w:spacing w:val="-4"/>
                <w:sz w:val="18"/>
              </w:rPr>
              <w:t xml:space="preserve"> </w:t>
            </w:r>
            <w:r>
              <w:rPr>
                <w:sz w:val="18"/>
              </w:rPr>
              <w:t>contributes</w:t>
            </w:r>
            <w:r>
              <w:rPr>
                <w:spacing w:val="-3"/>
                <w:sz w:val="18"/>
              </w:rPr>
              <w:t xml:space="preserve"> </w:t>
            </w:r>
            <w:r>
              <w:rPr>
                <w:sz w:val="18"/>
              </w:rPr>
              <w:t>to</w:t>
            </w:r>
            <w:r>
              <w:rPr>
                <w:spacing w:val="-4"/>
                <w:sz w:val="18"/>
              </w:rPr>
              <w:t xml:space="preserve"> </w:t>
            </w:r>
            <w:r>
              <w:rPr>
                <w:sz w:val="18"/>
              </w:rPr>
              <w:t>public</w:t>
            </w:r>
            <w:r>
              <w:rPr>
                <w:spacing w:val="-3"/>
                <w:sz w:val="18"/>
              </w:rPr>
              <w:t xml:space="preserve"> </w:t>
            </w:r>
            <w:r>
              <w:rPr>
                <w:spacing w:val="-2"/>
                <w:sz w:val="18"/>
              </w:rPr>
              <w:t>service</w:t>
            </w:r>
          </w:p>
          <w:p w14:paraId="256331F7" w14:textId="77777777" w:rsidR="00BC24A8" w:rsidRDefault="00000000">
            <w:pPr>
              <w:pStyle w:val="TableParagraph"/>
              <w:numPr>
                <w:ilvl w:val="0"/>
                <w:numId w:val="159"/>
              </w:numPr>
              <w:tabs>
                <w:tab w:val="left" w:pos="239"/>
              </w:tabs>
              <w:spacing w:line="219" w:lineRule="exact"/>
              <w:ind w:left="239" w:hanging="150"/>
              <w:rPr>
                <w:sz w:val="18"/>
              </w:rPr>
            </w:pPr>
            <w:r>
              <w:rPr>
                <w:sz w:val="18"/>
              </w:rPr>
              <w:t>Beneficiaries</w:t>
            </w:r>
            <w:r>
              <w:rPr>
                <w:spacing w:val="-4"/>
                <w:sz w:val="18"/>
              </w:rPr>
              <w:t xml:space="preserve"> </w:t>
            </w:r>
            <w:r>
              <w:rPr>
                <w:sz w:val="18"/>
              </w:rPr>
              <w:t>(number</w:t>
            </w:r>
            <w:r>
              <w:rPr>
                <w:spacing w:val="-3"/>
                <w:sz w:val="18"/>
              </w:rPr>
              <w:t xml:space="preserve"> </w:t>
            </w:r>
            <w:r>
              <w:rPr>
                <w:sz w:val="18"/>
              </w:rPr>
              <w:t>of</w:t>
            </w:r>
            <w:r>
              <w:rPr>
                <w:spacing w:val="-4"/>
                <w:sz w:val="18"/>
              </w:rPr>
              <w:t xml:space="preserve"> </w:t>
            </w:r>
            <w:r>
              <w:rPr>
                <w:sz w:val="18"/>
              </w:rPr>
              <w:t>Indigenous</w:t>
            </w:r>
            <w:r>
              <w:rPr>
                <w:spacing w:val="-3"/>
                <w:sz w:val="18"/>
              </w:rPr>
              <w:t xml:space="preserve"> </w:t>
            </w:r>
            <w:r>
              <w:rPr>
                <w:sz w:val="18"/>
              </w:rPr>
              <w:t>and</w:t>
            </w:r>
            <w:r>
              <w:rPr>
                <w:spacing w:val="-3"/>
                <w:sz w:val="18"/>
              </w:rPr>
              <w:t xml:space="preserve"> </w:t>
            </w:r>
            <w:r>
              <w:rPr>
                <w:sz w:val="18"/>
              </w:rPr>
              <w:t>non-Indigenous</w:t>
            </w:r>
            <w:r>
              <w:rPr>
                <w:spacing w:val="-3"/>
                <w:sz w:val="18"/>
              </w:rPr>
              <w:t xml:space="preserve"> </w:t>
            </w:r>
            <w:r>
              <w:rPr>
                <w:spacing w:val="-2"/>
                <w:sz w:val="18"/>
              </w:rPr>
              <w:t>Papuans)</w:t>
            </w:r>
          </w:p>
          <w:p w14:paraId="69808E78" w14:textId="77777777" w:rsidR="00BC24A8" w:rsidRDefault="00000000">
            <w:pPr>
              <w:pStyle w:val="TableParagraph"/>
              <w:numPr>
                <w:ilvl w:val="0"/>
                <w:numId w:val="159"/>
              </w:numPr>
              <w:tabs>
                <w:tab w:val="left" w:pos="239"/>
              </w:tabs>
              <w:spacing w:before="2" w:line="219" w:lineRule="exact"/>
              <w:ind w:left="239" w:hanging="150"/>
              <w:rPr>
                <w:sz w:val="18"/>
              </w:rPr>
            </w:pPr>
            <w:r>
              <w:rPr>
                <w:sz w:val="18"/>
              </w:rPr>
              <w:t>Tagging</w:t>
            </w:r>
            <w:r>
              <w:rPr>
                <w:spacing w:val="-11"/>
                <w:sz w:val="18"/>
              </w:rPr>
              <w:t xml:space="preserve"> </w:t>
            </w:r>
            <w:r>
              <w:rPr>
                <w:sz w:val="18"/>
              </w:rPr>
              <w:t>to</w:t>
            </w:r>
            <w:r>
              <w:rPr>
                <w:spacing w:val="-9"/>
                <w:sz w:val="18"/>
              </w:rPr>
              <w:t xml:space="preserve"> </w:t>
            </w:r>
            <w:r>
              <w:rPr>
                <w:sz w:val="18"/>
              </w:rPr>
              <w:t>provincial</w:t>
            </w:r>
            <w:r>
              <w:rPr>
                <w:spacing w:val="-8"/>
                <w:sz w:val="18"/>
              </w:rPr>
              <w:t xml:space="preserve"> </w:t>
            </w:r>
            <w:r>
              <w:rPr>
                <w:sz w:val="18"/>
              </w:rPr>
              <w:t>strategic</w:t>
            </w:r>
            <w:r>
              <w:rPr>
                <w:spacing w:val="-10"/>
                <w:sz w:val="18"/>
              </w:rPr>
              <w:t xml:space="preserve"> </w:t>
            </w:r>
            <w:r>
              <w:rPr>
                <w:spacing w:val="-2"/>
                <w:sz w:val="18"/>
              </w:rPr>
              <w:t>programs</w:t>
            </w:r>
          </w:p>
          <w:p w14:paraId="03E68536" w14:textId="77777777" w:rsidR="00BC24A8" w:rsidRDefault="00000000">
            <w:pPr>
              <w:pStyle w:val="TableParagraph"/>
              <w:numPr>
                <w:ilvl w:val="0"/>
                <w:numId w:val="159"/>
              </w:numPr>
              <w:tabs>
                <w:tab w:val="left" w:pos="239"/>
              </w:tabs>
              <w:spacing w:line="219" w:lineRule="exact"/>
              <w:ind w:left="239" w:hanging="150"/>
              <w:rPr>
                <w:sz w:val="18"/>
              </w:rPr>
            </w:pPr>
            <w:r>
              <w:rPr>
                <w:sz w:val="18"/>
              </w:rPr>
              <w:t>Tagging</w:t>
            </w:r>
            <w:r>
              <w:rPr>
                <w:spacing w:val="-6"/>
                <w:sz w:val="18"/>
              </w:rPr>
              <w:t xml:space="preserve"> </w:t>
            </w:r>
            <w:r>
              <w:rPr>
                <w:sz w:val="18"/>
              </w:rPr>
              <w:t>to</w:t>
            </w:r>
            <w:r>
              <w:rPr>
                <w:spacing w:val="-6"/>
                <w:sz w:val="18"/>
              </w:rPr>
              <w:t xml:space="preserve"> </w:t>
            </w:r>
            <w:r>
              <w:rPr>
                <w:sz w:val="18"/>
              </w:rPr>
              <w:t>other</w:t>
            </w:r>
            <w:r>
              <w:rPr>
                <w:spacing w:val="-5"/>
                <w:sz w:val="18"/>
              </w:rPr>
              <w:t xml:space="preserve"> </w:t>
            </w:r>
            <w:r>
              <w:rPr>
                <w:sz w:val="18"/>
              </w:rPr>
              <w:t>funding</w:t>
            </w:r>
            <w:r>
              <w:rPr>
                <w:spacing w:val="-5"/>
                <w:sz w:val="18"/>
              </w:rPr>
              <w:t xml:space="preserve"> </w:t>
            </w:r>
            <w:r>
              <w:rPr>
                <w:spacing w:val="-2"/>
                <w:sz w:val="18"/>
              </w:rPr>
              <w:t>sources</w:t>
            </w:r>
          </w:p>
          <w:p w14:paraId="3D912682" w14:textId="77777777" w:rsidR="00BC24A8" w:rsidRDefault="00000000">
            <w:pPr>
              <w:pStyle w:val="TableParagraph"/>
              <w:numPr>
                <w:ilvl w:val="0"/>
                <w:numId w:val="159"/>
              </w:numPr>
              <w:tabs>
                <w:tab w:val="left" w:pos="239"/>
              </w:tabs>
              <w:spacing w:before="1"/>
              <w:ind w:left="239" w:hanging="150"/>
              <w:rPr>
                <w:sz w:val="18"/>
              </w:rPr>
            </w:pPr>
            <w:r>
              <w:rPr>
                <w:sz w:val="18"/>
              </w:rPr>
              <w:t>Tagging</w:t>
            </w:r>
            <w:r>
              <w:rPr>
                <w:spacing w:val="-5"/>
                <w:sz w:val="18"/>
              </w:rPr>
              <w:t xml:space="preserve"> </w:t>
            </w:r>
            <w:r>
              <w:rPr>
                <w:sz w:val="18"/>
              </w:rPr>
              <w:t>to</w:t>
            </w:r>
            <w:r>
              <w:rPr>
                <w:spacing w:val="-4"/>
                <w:sz w:val="18"/>
              </w:rPr>
              <w:t xml:space="preserve"> </w:t>
            </w:r>
            <w:r>
              <w:rPr>
                <w:sz w:val="18"/>
              </w:rPr>
              <w:t>a</w:t>
            </w:r>
            <w:r>
              <w:rPr>
                <w:spacing w:val="-4"/>
                <w:sz w:val="18"/>
              </w:rPr>
              <w:t xml:space="preserve"> </w:t>
            </w:r>
            <w:r>
              <w:rPr>
                <w:sz w:val="18"/>
              </w:rPr>
              <w:t>multiyear</w:t>
            </w:r>
            <w:r>
              <w:rPr>
                <w:spacing w:val="-3"/>
                <w:sz w:val="18"/>
              </w:rPr>
              <w:t xml:space="preserve"> </w:t>
            </w:r>
            <w:r>
              <w:rPr>
                <w:sz w:val="18"/>
              </w:rPr>
              <w:t>plan</w:t>
            </w:r>
            <w:r>
              <w:rPr>
                <w:spacing w:val="-4"/>
                <w:sz w:val="18"/>
              </w:rPr>
              <w:t xml:space="preserve"> </w:t>
            </w:r>
            <w:r>
              <w:rPr>
                <w:sz w:val="18"/>
              </w:rPr>
              <w:t>such</w:t>
            </w:r>
            <w:r>
              <w:rPr>
                <w:spacing w:val="-3"/>
                <w:sz w:val="18"/>
              </w:rPr>
              <w:t xml:space="preserve"> </w:t>
            </w:r>
            <w:r>
              <w:rPr>
                <w:sz w:val="18"/>
              </w:rPr>
              <w:t>as</w:t>
            </w:r>
            <w:r>
              <w:rPr>
                <w:spacing w:val="-3"/>
                <w:sz w:val="18"/>
              </w:rPr>
              <w:t xml:space="preserve"> </w:t>
            </w:r>
            <w:r>
              <w:rPr>
                <w:sz w:val="18"/>
              </w:rPr>
              <w:t>RIPPP</w:t>
            </w:r>
            <w:r>
              <w:rPr>
                <w:spacing w:val="-4"/>
                <w:sz w:val="18"/>
              </w:rPr>
              <w:t xml:space="preserve"> </w:t>
            </w:r>
            <w:r>
              <w:rPr>
                <w:sz w:val="18"/>
              </w:rPr>
              <w:t>and</w:t>
            </w:r>
            <w:r>
              <w:rPr>
                <w:spacing w:val="-3"/>
                <w:sz w:val="18"/>
              </w:rPr>
              <w:t xml:space="preserve"> </w:t>
            </w:r>
            <w:r>
              <w:rPr>
                <w:spacing w:val="-2"/>
                <w:sz w:val="18"/>
              </w:rPr>
              <w:t>RAPPP.</w:t>
            </w:r>
          </w:p>
        </w:tc>
      </w:tr>
    </w:tbl>
    <w:p w14:paraId="1CA4D286" w14:textId="77777777" w:rsidR="00BC24A8" w:rsidRDefault="00000000">
      <w:pPr>
        <w:pStyle w:val="BodyText"/>
        <w:spacing w:before="202"/>
        <w:rPr>
          <w:rFonts w:ascii="Calibri"/>
          <w:b/>
          <w:sz w:val="20"/>
        </w:rPr>
      </w:pPr>
      <w:r>
        <w:rPr>
          <w:rFonts w:ascii="Calibri"/>
          <w:b/>
          <w:noProof/>
          <w:sz w:val="20"/>
        </w:rPr>
        <mc:AlternateContent>
          <mc:Choice Requires="wps">
            <w:drawing>
              <wp:anchor distT="0" distB="0" distL="0" distR="0" simplePos="0" relativeHeight="487597568" behindDoc="1" locked="0" layoutInCell="1" allowOverlap="1" wp14:anchorId="4BF99203" wp14:editId="1656431C">
                <wp:simplePos x="0" y="0"/>
                <wp:positionH relativeFrom="page">
                  <wp:posOffset>900683</wp:posOffset>
                </wp:positionH>
                <wp:positionV relativeFrom="paragraph">
                  <wp:posOffset>298837</wp:posOffset>
                </wp:positionV>
                <wp:extent cx="1828800" cy="9525"/>
                <wp:effectExtent l="0" t="0" r="0" b="0"/>
                <wp:wrapTopAndBottom/>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0C98BD" id="Graphic 56" o:spid="_x0000_s1026" alt="&quot;&quot;" style="position:absolute;margin-left:70.9pt;margin-top:23.55pt;width:2in;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" path="m1828800,l,,,9143r1828800,l1828800,xe" fillcolor="black" stroked="f">
                <v:path arrowok="t"/>
                <w10:wrap type="topAndBottom" anchorx="page"/>
              </v:shape>
            </w:pict>
          </mc:Fallback>
        </mc:AlternateContent>
      </w:r>
    </w:p>
    <w:p w14:paraId="7A2D1440" w14:textId="77777777" w:rsidR="00BC24A8" w:rsidRDefault="00BC24A8">
      <w:pPr>
        <w:pStyle w:val="BodyText"/>
        <w:spacing w:before="35"/>
        <w:rPr>
          <w:rFonts w:ascii="Calibri"/>
          <w:b/>
        </w:rPr>
      </w:pPr>
    </w:p>
    <w:p w14:paraId="2E6ED695" w14:textId="77777777" w:rsidR="00BC24A8" w:rsidRDefault="00000000">
      <w:pPr>
        <w:spacing w:line="195" w:lineRule="exact"/>
        <w:ind w:left="143"/>
        <w:rPr>
          <w:sz w:val="16"/>
        </w:rPr>
      </w:pPr>
      <w:bookmarkStart w:id="111" w:name="_bookmark70"/>
      <w:bookmarkEnd w:id="111"/>
      <w:r>
        <w:rPr>
          <w:color w:val="767070"/>
          <w:sz w:val="16"/>
          <w:vertAlign w:val="superscript"/>
        </w:rPr>
        <w:t>26</w:t>
      </w:r>
      <w:r>
        <w:rPr>
          <w:color w:val="767070"/>
          <w:spacing w:val="-7"/>
          <w:sz w:val="16"/>
        </w:rPr>
        <w:t xml:space="preserve"> </w:t>
      </w:r>
      <w:r>
        <w:rPr>
          <w:color w:val="767070"/>
          <w:sz w:val="16"/>
        </w:rPr>
        <w:t>Three</w:t>
      </w:r>
      <w:r>
        <w:rPr>
          <w:color w:val="767070"/>
          <w:spacing w:val="-6"/>
          <w:sz w:val="16"/>
        </w:rPr>
        <w:t xml:space="preserve"> </w:t>
      </w:r>
      <w:r>
        <w:rPr>
          <w:color w:val="767070"/>
          <w:sz w:val="16"/>
        </w:rPr>
        <w:t>provinces</w:t>
      </w:r>
      <w:r>
        <w:rPr>
          <w:color w:val="767070"/>
          <w:spacing w:val="-6"/>
          <w:sz w:val="16"/>
        </w:rPr>
        <w:t xml:space="preserve"> </w:t>
      </w:r>
      <w:r>
        <w:rPr>
          <w:color w:val="767070"/>
          <w:sz w:val="16"/>
        </w:rPr>
        <w:t>visited</w:t>
      </w:r>
      <w:r>
        <w:rPr>
          <w:color w:val="767070"/>
          <w:spacing w:val="-5"/>
          <w:sz w:val="16"/>
        </w:rPr>
        <w:t xml:space="preserve"> </w:t>
      </w:r>
      <w:r>
        <w:rPr>
          <w:color w:val="767070"/>
          <w:sz w:val="16"/>
        </w:rPr>
        <w:t>for</w:t>
      </w:r>
      <w:r>
        <w:rPr>
          <w:color w:val="767070"/>
          <w:spacing w:val="-7"/>
          <w:sz w:val="16"/>
        </w:rPr>
        <w:t xml:space="preserve"> </w:t>
      </w:r>
      <w:r>
        <w:rPr>
          <w:color w:val="767070"/>
          <w:sz w:val="16"/>
        </w:rPr>
        <w:t>data</w:t>
      </w:r>
      <w:r>
        <w:rPr>
          <w:color w:val="767070"/>
          <w:spacing w:val="-5"/>
          <w:sz w:val="16"/>
        </w:rPr>
        <w:t xml:space="preserve"> </w:t>
      </w:r>
      <w:r>
        <w:rPr>
          <w:color w:val="767070"/>
          <w:spacing w:val="-2"/>
          <w:sz w:val="16"/>
        </w:rPr>
        <w:t>collection</w:t>
      </w:r>
    </w:p>
    <w:p w14:paraId="6D2AEB5E" w14:textId="77777777" w:rsidR="00BC24A8" w:rsidRDefault="00000000">
      <w:pPr>
        <w:spacing w:line="194" w:lineRule="exact"/>
        <w:ind w:left="143"/>
        <w:rPr>
          <w:sz w:val="16"/>
        </w:rPr>
      </w:pPr>
      <w:bookmarkStart w:id="112" w:name="_bookmark71"/>
      <w:bookmarkEnd w:id="112"/>
      <w:r>
        <w:rPr>
          <w:color w:val="767070"/>
          <w:sz w:val="16"/>
          <w:vertAlign w:val="superscript"/>
        </w:rPr>
        <w:t>27</w:t>
      </w:r>
      <w:r>
        <w:rPr>
          <w:color w:val="767070"/>
          <w:spacing w:val="-7"/>
          <w:sz w:val="16"/>
        </w:rPr>
        <w:t xml:space="preserve"> </w:t>
      </w:r>
      <w:r>
        <w:rPr>
          <w:color w:val="767070"/>
          <w:sz w:val="16"/>
        </w:rPr>
        <w:t>OTSUS</w:t>
      </w:r>
      <w:r>
        <w:rPr>
          <w:color w:val="767070"/>
          <w:spacing w:val="-6"/>
          <w:sz w:val="16"/>
        </w:rPr>
        <w:t xml:space="preserve"> </w:t>
      </w:r>
      <w:r>
        <w:rPr>
          <w:color w:val="767070"/>
          <w:sz w:val="16"/>
        </w:rPr>
        <w:t>management</w:t>
      </w:r>
      <w:r>
        <w:rPr>
          <w:color w:val="767070"/>
          <w:spacing w:val="-7"/>
          <w:sz w:val="16"/>
        </w:rPr>
        <w:t xml:space="preserve"> </w:t>
      </w:r>
      <w:r>
        <w:rPr>
          <w:color w:val="767070"/>
          <w:sz w:val="16"/>
        </w:rPr>
        <w:t>funds</w:t>
      </w:r>
      <w:r>
        <w:rPr>
          <w:color w:val="767070"/>
          <w:spacing w:val="-8"/>
          <w:sz w:val="16"/>
        </w:rPr>
        <w:t xml:space="preserve"> </w:t>
      </w:r>
      <w:r>
        <w:rPr>
          <w:color w:val="767070"/>
          <w:sz w:val="16"/>
        </w:rPr>
        <w:t>now</w:t>
      </w:r>
      <w:r>
        <w:rPr>
          <w:color w:val="767070"/>
          <w:spacing w:val="-5"/>
          <w:sz w:val="16"/>
        </w:rPr>
        <w:t xml:space="preserve"> </w:t>
      </w:r>
      <w:r>
        <w:rPr>
          <w:color w:val="767070"/>
          <w:sz w:val="16"/>
        </w:rPr>
        <w:t>need</w:t>
      </w:r>
      <w:r>
        <w:rPr>
          <w:color w:val="767070"/>
          <w:spacing w:val="-8"/>
          <w:sz w:val="16"/>
        </w:rPr>
        <w:t xml:space="preserve"> </w:t>
      </w:r>
      <w:r>
        <w:rPr>
          <w:color w:val="767070"/>
          <w:sz w:val="16"/>
        </w:rPr>
        <w:t>to</w:t>
      </w:r>
      <w:r>
        <w:rPr>
          <w:color w:val="767070"/>
          <w:spacing w:val="-7"/>
          <w:sz w:val="16"/>
        </w:rPr>
        <w:t xml:space="preserve"> </w:t>
      </w:r>
      <w:r>
        <w:rPr>
          <w:color w:val="767070"/>
          <w:sz w:val="16"/>
        </w:rPr>
        <w:t>tag</w:t>
      </w:r>
      <w:r>
        <w:rPr>
          <w:color w:val="767070"/>
          <w:spacing w:val="-7"/>
          <w:sz w:val="16"/>
        </w:rPr>
        <w:t xml:space="preserve"> </w:t>
      </w:r>
      <w:r>
        <w:rPr>
          <w:color w:val="767070"/>
          <w:sz w:val="16"/>
        </w:rPr>
        <w:t>alignment</w:t>
      </w:r>
      <w:r>
        <w:rPr>
          <w:color w:val="767070"/>
          <w:spacing w:val="-6"/>
          <w:sz w:val="16"/>
        </w:rPr>
        <w:t xml:space="preserve"> </w:t>
      </w:r>
      <w:r>
        <w:rPr>
          <w:color w:val="767070"/>
          <w:sz w:val="16"/>
        </w:rPr>
        <w:t>with</w:t>
      </w:r>
      <w:r>
        <w:rPr>
          <w:color w:val="767070"/>
          <w:spacing w:val="-6"/>
          <w:sz w:val="16"/>
        </w:rPr>
        <w:t xml:space="preserve"> </w:t>
      </w:r>
      <w:r>
        <w:rPr>
          <w:color w:val="767070"/>
          <w:sz w:val="16"/>
        </w:rPr>
        <w:t>higher</w:t>
      </w:r>
      <w:r>
        <w:rPr>
          <w:color w:val="767070"/>
          <w:spacing w:val="-6"/>
          <w:sz w:val="16"/>
        </w:rPr>
        <w:t xml:space="preserve"> </w:t>
      </w:r>
      <w:r>
        <w:rPr>
          <w:color w:val="767070"/>
          <w:sz w:val="16"/>
        </w:rPr>
        <w:t>level</w:t>
      </w:r>
      <w:r>
        <w:rPr>
          <w:color w:val="767070"/>
          <w:spacing w:val="-6"/>
          <w:sz w:val="16"/>
        </w:rPr>
        <w:t xml:space="preserve"> </w:t>
      </w:r>
      <w:r>
        <w:rPr>
          <w:color w:val="767070"/>
          <w:sz w:val="16"/>
        </w:rPr>
        <w:t>plan</w:t>
      </w:r>
      <w:r>
        <w:rPr>
          <w:color w:val="767070"/>
          <w:spacing w:val="-6"/>
          <w:sz w:val="16"/>
        </w:rPr>
        <w:t xml:space="preserve"> </w:t>
      </w:r>
      <w:r>
        <w:rPr>
          <w:color w:val="767070"/>
          <w:sz w:val="16"/>
        </w:rPr>
        <w:t>such</w:t>
      </w:r>
      <w:r>
        <w:rPr>
          <w:color w:val="767070"/>
          <w:spacing w:val="-5"/>
          <w:sz w:val="16"/>
        </w:rPr>
        <w:t xml:space="preserve"> </w:t>
      </w:r>
      <w:r>
        <w:rPr>
          <w:color w:val="767070"/>
          <w:sz w:val="16"/>
        </w:rPr>
        <w:t>as</w:t>
      </w:r>
      <w:r>
        <w:rPr>
          <w:color w:val="767070"/>
          <w:spacing w:val="-6"/>
          <w:sz w:val="16"/>
        </w:rPr>
        <w:t xml:space="preserve"> </w:t>
      </w:r>
      <w:r>
        <w:rPr>
          <w:color w:val="767070"/>
          <w:sz w:val="16"/>
        </w:rPr>
        <w:t>RIPPP,</w:t>
      </w:r>
      <w:r>
        <w:rPr>
          <w:color w:val="767070"/>
          <w:spacing w:val="-7"/>
          <w:sz w:val="16"/>
        </w:rPr>
        <w:t xml:space="preserve"> </w:t>
      </w:r>
      <w:r>
        <w:rPr>
          <w:color w:val="767070"/>
          <w:sz w:val="16"/>
        </w:rPr>
        <w:t>RAPPP</w:t>
      </w:r>
      <w:r>
        <w:rPr>
          <w:color w:val="767070"/>
          <w:spacing w:val="-8"/>
          <w:sz w:val="16"/>
        </w:rPr>
        <w:t xml:space="preserve"> </w:t>
      </w:r>
      <w:r>
        <w:rPr>
          <w:color w:val="767070"/>
          <w:sz w:val="16"/>
        </w:rPr>
        <w:t>and</w:t>
      </w:r>
      <w:r>
        <w:rPr>
          <w:color w:val="767070"/>
          <w:spacing w:val="-6"/>
          <w:sz w:val="16"/>
        </w:rPr>
        <w:t xml:space="preserve"> </w:t>
      </w:r>
      <w:r>
        <w:rPr>
          <w:color w:val="767070"/>
          <w:sz w:val="16"/>
        </w:rPr>
        <w:t>strategic</w:t>
      </w:r>
      <w:r>
        <w:rPr>
          <w:color w:val="767070"/>
          <w:spacing w:val="-7"/>
          <w:sz w:val="16"/>
        </w:rPr>
        <w:t xml:space="preserve"> </w:t>
      </w:r>
      <w:r>
        <w:rPr>
          <w:color w:val="767070"/>
          <w:sz w:val="16"/>
        </w:rPr>
        <w:t>national</w:t>
      </w:r>
      <w:r>
        <w:rPr>
          <w:color w:val="767070"/>
          <w:spacing w:val="-5"/>
          <w:sz w:val="16"/>
        </w:rPr>
        <w:t xml:space="preserve"> </w:t>
      </w:r>
      <w:r>
        <w:rPr>
          <w:color w:val="767070"/>
          <w:spacing w:val="-2"/>
          <w:sz w:val="16"/>
        </w:rPr>
        <w:t>programs</w:t>
      </w:r>
    </w:p>
    <w:p w14:paraId="22945BCD" w14:textId="77777777" w:rsidR="00BC24A8" w:rsidRDefault="00000000">
      <w:pPr>
        <w:spacing w:line="195" w:lineRule="exact"/>
        <w:ind w:left="143"/>
        <w:rPr>
          <w:sz w:val="16"/>
        </w:rPr>
      </w:pPr>
      <w:bookmarkStart w:id="113" w:name="_bookmark72"/>
      <w:bookmarkEnd w:id="113"/>
      <w:r>
        <w:rPr>
          <w:color w:val="767070"/>
          <w:sz w:val="16"/>
          <w:vertAlign w:val="superscript"/>
        </w:rPr>
        <w:t>28</w:t>
      </w:r>
      <w:r>
        <w:rPr>
          <w:color w:val="767070"/>
          <w:spacing w:val="-2"/>
          <w:sz w:val="16"/>
        </w:rPr>
        <w:t xml:space="preserve"> </w:t>
      </w:r>
      <w:r>
        <w:rPr>
          <w:color w:val="767070"/>
          <w:sz w:val="16"/>
        </w:rPr>
        <w:t>PMK</w:t>
      </w:r>
      <w:r>
        <w:rPr>
          <w:color w:val="767070"/>
          <w:spacing w:val="-2"/>
          <w:sz w:val="16"/>
        </w:rPr>
        <w:t xml:space="preserve"> </w:t>
      </w:r>
      <w:r>
        <w:rPr>
          <w:color w:val="767070"/>
          <w:sz w:val="16"/>
        </w:rPr>
        <w:t>76</w:t>
      </w:r>
      <w:r>
        <w:rPr>
          <w:color w:val="767070"/>
          <w:spacing w:val="-3"/>
          <w:sz w:val="16"/>
        </w:rPr>
        <w:t xml:space="preserve"> </w:t>
      </w:r>
      <w:r>
        <w:rPr>
          <w:color w:val="767070"/>
          <w:sz w:val="16"/>
        </w:rPr>
        <w:t>18/2023</w:t>
      </w:r>
      <w:r>
        <w:rPr>
          <w:color w:val="767070"/>
          <w:spacing w:val="-4"/>
          <w:sz w:val="16"/>
        </w:rPr>
        <w:t xml:space="preserve"> </w:t>
      </w:r>
      <w:r>
        <w:rPr>
          <w:color w:val="767070"/>
          <w:sz w:val="16"/>
        </w:rPr>
        <w:t>and</w:t>
      </w:r>
      <w:r>
        <w:rPr>
          <w:color w:val="767070"/>
          <w:spacing w:val="-1"/>
          <w:sz w:val="16"/>
        </w:rPr>
        <w:t xml:space="preserve"> </w:t>
      </w:r>
      <w:r>
        <w:rPr>
          <w:color w:val="767070"/>
          <w:sz w:val="16"/>
        </w:rPr>
        <w:t>PMK</w:t>
      </w:r>
      <w:r>
        <w:rPr>
          <w:color w:val="767070"/>
          <w:spacing w:val="-1"/>
          <w:sz w:val="16"/>
        </w:rPr>
        <w:t xml:space="preserve"> </w:t>
      </w:r>
      <w:r>
        <w:rPr>
          <w:color w:val="767070"/>
          <w:spacing w:val="-2"/>
          <w:sz w:val="16"/>
        </w:rPr>
        <w:t>76/2022</w:t>
      </w:r>
    </w:p>
    <w:p w14:paraId="30929B9E" w14:textId="77777777" w:rsidR="00BC24A8" w:rsidRDefault="00000000">
      <w:pPr>
        <w:spacing w:before="1" w:line="195" w:lineRule="exact"/>
        <w:ind w:left="143"/>
        <w:rPr>
          <w:sz w:val="16"/>
        </w:rPr>
      </w:pPr>
      <w:bookmarkStart w:id="114" w:name="_bookmark73"/>
      <w:bookmarkEnd w:id="114"/>
      <w:r>
        <w:rPr>
          <w:color w:val="767070"/>
          <w:sz w:val="16"/>
          <w:vertAlign w:val="superscript"/>
        </w:rPr>
        <w:t>29</w:t>
      </w:r>
      <w:r>
        <w:rPr>
          <w:color w:val="767070"/>
          <w:spacing w:val="-2"/>
          <w:sz w:val="16"/>
        </w:rPr>
        <w:t xml:space="preserve"> </w:t>
      </w:r>
      <w:r>
        <w:rPr>
          <w:color w:val="767070"/>
          <w:sz w:val="16"/>
        </w:rPr>
        <w:t xml:space="preserve">PMK </w:t>
      </w:r>
      <w:r>
        <w:rPr>
          <w:color w:val="767070"/>
          <w:spacing w:val="-2"/>
          <w:sz w:val="16"/>
        </w:rPr>
        <w:t>33/2024</w:t>
      </w:r>
    </w:p>
    <w:p w14:paraId="0368D591" w14:textId="77777777" w:rsidR="00BC24A8" w:rsidRDefault="00000000">
      <w:pPr>
        <w:ind w:left="143" w:right="648"/>
        <w:rPr>
          <w:sz w:val="16"/>
        </w:rPr>
      </w:pPr>
      <w:bookmarkStart w:id="115" w:name="_bookmark74"/>
      <w:bookmarkEnd w:id="115"/>
      <w:r>
        <w:rPr>
          <w:color w:val="767070"/>
          <w:sz w:val="16"/>
          <w:vertAlign w:val="superscript"/>
        </w:rPr>
        <w:t>30</w:t>
      </w:r>
      <w:r>
        <w:rPr>
          <w:color w:val="767070"/>
          <w:spacing w:val="-1"/>
          <w:sz w:val="16"/>
        </w:rPr>
        <w:t xml:space="preserve"> </w:t>
      </w:r>
      <w:r>
        <w:rPr>
          <w:color w:val="767070"/>
          <w:sz w:val="16"/>
        </w:rPr>
        <w:t>Proposed</w:t>
      </w:r>
      <w:r>
        <w:rPr>
          <w:color w:val="767070"/>
          <w:spacing w:val="-3"/>
          <w:sz w:val="16"/>
        </w:rPr>
        <w:t xml:space="preserve"> </w:t>
      </w:r>
      <w:r>
        <w:rPr>
          <w:color w:val="767070"/>
          <w:sz w:val="16"/>
        </w:rPr>
        <w:t>OTSUS</w:t>
      </w:r>
      <w:r>
        <w:rPr>
          <w:color w:val="767070"/>
          <w:spacing w:val="-4"/>
          <w:sz w:val="16"/>
        </w:rPr>
        <w:t xml:space="preserve"> </w:t>
      </w:r>
      <w:r>
        <w:rPr>
          <w:color w:val="767070"/>
          <w:sz w:val="16"/>
        </w:rPr>
        <w:t>activities must</w:t>
      </w:r>
      <w:r>
        <w:rPr>
          <w:color w:val="767070"/>
          <w:spacing w:val="-3"/>
          <w:sz w:val="16"/>
        </w:rPr>
        <w:t xml:space="preserve"> </w:t>
      </w:r>
      <w:r>
        <w:rPr>
          <w:color w:val="767070"/>
          <w:sz w:val="16"/>
        </w:rPr>
        <w:t>align</w:t>
      </w:r>
      <w:r>
        <w:rPr>
          <w:color w:val="767070"/>
          <w:spacing w:val="-3"/>
          <w:sz w:val="16"/>
        </w:rPr>
        <w:t xml:space="preserve"> </w:t>
      </w:r>
      <w:r>
        <w:rPr>
          <w:color w:val="767070"/>
          <w:sz w:val="16"/>
        </w:rPr>
        <w:t>with strategic</w:t>
      </w:r>
      <w:r>
        <w:rPr>
          <w:color w:val="767070"/>
          <w:spacing w:val="-2"/>
          <w:sz w:val="16"/>
        </w:rPr>
        <w:t xml:space="preserve"> </w:t>
      </w:r>
      <w:r>
        <w:rPr>
          <w:color w:val="767070"/>
          <w:sz w:val="16"/>
        </w:rPr>
        <w:t>sector</w:t>
      </w:r>
      <w:r>
        <w:rPr>
          <w:color w:val="767070"/>
          <w:spacing w:val="-1"/>
          <w:sz w:val="16"/>
        </w:rPr>
        <w:t xml:space="preserve"> </w:t>
      </w:r>
      <w:r>
        <w:rPr>
          <w:color w:val="767070"/>
          <w:sz w:val="16"/>
        </w:rPr>
        <w:t>programs such as</w:t>
      </w:r>
      <w:r>
        <w:rPr>
          <w:color w:val="767070"/>
          <w:spacing w:val="-3"/>
          <w:sz w:val="16"/>
        </w:rPr>
        <w:t xml:space="preserve"> </w:t>
      </w:r>
      <w:r>
        <w:rPr>
          <w:color w:val="767070"/>
          <w:sz w:val="16"/>
        </w:rPr>
        <w:t>education (e.g.</w:t>
      </w:r>
      <w:r>
        <w:rPr>
          <w:color w:val="767070"/>
          <w:spacing w:val="-2"/>
          <w:sz w:val="16"/>
        </w:rPr>
        <w:t xml:space="preserve"> </w:t>
      </w:r>
      <w:r>
        <w:rPr>
          <w:color w:val="767070"/>
          <w:sz w:val="16"/>
        </w:rPr>
        <w:t>school</w:t>
      </w:r>
      <w:r>
        <w:rPr>
          <w:color w:val="767070"/>
          <w:spacing w:val="-3"/>
          <w:sz w:val="16"/>
        </w:rPr>
        <w:t xml:space="preserve"> </w:t>
      </w:r>
      <w:r>
        <w:rPr>
          <w:color w:val="767070"/>
          <w:sz w:val="16"/>
        </w:rPr>
        <w:t>access,</w:t>
      </w:r>
      <w:r>
        <w:rPr>
          <w:color w:val="767070"/>
          <w:spacing w:val="-2"/>
          <w:sz w:val="16"/>
        </w:rPr>
        <w:t xml:space="preserve"> </w:t>
      </w:r>
      <w:r>
        <w:rPr>
          <w:color w:val="767070"/>
          <w:sz w:val="16"/>
        </w:rPr>
        <w:t>teacher</w:t>
      </w:r>
      <w:r>
        <w:rPr>
          <w:color w:val="767070"/>
          <w:spacing w:val="-1"/>
          <w:sz w:val="16"/>
        </w:rPr>
        <w:t xml:space="preserve"> </w:t>
      </w:r>
      <w:r>
        <w:rPr>
          <w:color w:val="767070"/>
          <w:sz w:val="16"/>
        </w:rPr>
        <w:t>deployment),</w:t>
      </w:r>
      <w:r>
        <w:rPr>
          <w:color w:val="767070"/>
          <w:spacing w:val="-2"/>
          <w:sz w:val="16"/>
        </w:rPr>
        <w:t xml:space="preserve"> </w:t>
      </w:r>
      <w:r>
        <w:rPr>
          <w:color w:val="767070"/>
          <w:sz w:val="16"/>
        </w:rPr>
        <w:t>health</w:t>
      </w:r>
      <w:r>
        <w:rPr>
          <w:color w:val="767070"/>
          <w:spacing w:val="40"/>
          <w:sz w:val="16"/>
        </w:rPr>
        <w:t xml:space="preserve"> </w:t>
      </w:r>
      <w:r>
        <w:rPr>
          <w:color w:val="767070"/>
          <w:sz w:val="16"/>
        </w:rPr>
        <w:t>(e.g. maternal care, indigenous health services), infrastructure (e.g. rural connectivity, clean water), economic empowerment (e.g. local</w:t>
      </w:r>
      <w:r>
        <w:rPr>
          <w:color w:val="767070"/>
          <w:spacing w:val="40"/>
          <w:sz w:val="16"/>
        </w:rPr>
        <w:t xml:space="preserve"> </w:t>
      </w:r>
      <w:r>
        <w:rPr>
          <w:color w:val="767070"/>
          <w:sz w:val="16"/>
        </w:rPr>
        <w:t>entrepreneurship,</w:t>
      </w:r>
      <w:r>
        <w:rPr>
          <w:color w:val="767070"/>
          <w:spacing w:val="-6"/>
          <w:sz w:val="16"/>
        </w:rPr>
        <w:t xml:space="preserve"> </w:t>
      </w:r>
      <w:r>
        <w:rPr>
          <w:color w:val="767070"/>
          <w:sz w:val="16"/>
        </w:rPr>
        <w:t>agriculture)</w:t>
      </w:r>
      <w:r>
        <w:rPr>
          <w:color w:val="767070"/>
          <w:spacing w:val="-7"/>
          <w:sz w:val="16"/>
        </w:rPr>
        <w:t xml:space="preserve"> </w:t>
      </w:r>
      <w:r>
        <w:rPr>
          <w:color w:val="767070"/>
          <w:sz w:val="16"/>
        </w:rPr>
        <w:t>and</w:t>
      </w:r>
      <w:r>
        <w:rPr>
          <w:color w:val="767070"/>
          <w:spacing w:val="-4"/>
          <w:sz w:val="16"/>
        </w:rPr>
        <w:t xml:space="preserve"> </w:t>
      </w:r>
      <w:r>
        <w:rPr>
          <w:color w:val="767070"/>
          <w:sz w:val="16"/>
        </w:rPr>
        <w:t>cultural</w:t>
      </w:r>
      <w:r>
        <w:rPr>
          <w:color w:val="767070"/>
          <w:spacing w:val="-4"/>
          <w:sz w:val="16"/>
        </w:rPr>
        <w:t xml:space="preserve"> </w:t>
      </w:r>
      <w:r>
        <w:rPr>
          <w:color w:val="767070"/>
          <w:sz w:val="16"/>
        </w:rPr>
        <w:t>and</w:t>
      </w:r>
      <w:r>
        <w:rPr>
          <w:color w:val="767070"/>
          <w:spacing w:val="-4"/>
          <w:sz w:val="16"/>
        </w:rPr>
        <w:t xml:space="preserve"> </w:t>
      </w:r>
      <w:r>
        <w:rPr>
          <w:color w:val="767070"/>
          <w:sz w:val="16"/>
        </w:rPr>
        <w:t>social</w:t>
      </w:r>
      <w:r>
        <w:rPr>
          <w:color w:val="767070"/>
          <w:spacing w:val="-4"/>
          <w:sz w:val="16"/>
        </w:rPr>
        <w:t xml:space="preserve"> </w:t>
      </w:r>
      <w:r>
        <w:rPr>
          <w:color w:val="767070"/>
          <w:sz w:val="16"/>
        </w:rPr>
        <w:t>inclusion,</w:t>
      </w:r>
      <w:r>
        <w:rPr>
          <w:color w:val="767070"/>
          <w:spacing w:val="-6"/>
          <w:sz w:val="16"/>
        </w:rPr>
        <w:t xml:space="preserve"> </w:t>
      </w:r>
      <w:r>
        <w:rPr>
          <w:color w:val="767070"/>
          <w:sz w:val="16"/>
        </w:rPr>
        <w:t>especially</w:t>
      </w:r>
      <w:r>
        <w:rPr>
          <w:color w:val="767070"/>
          <w:spacing w:val="-4"/>
          <w:sz w:val="16"/>
        </w:rPr>
        <w:t xml:space="preserve"> </w:t>
      </w:r>
      <w:r>
        <w:rPr>
          <w:color w:val="767070"/>
          <w:sz w:val="16"/>
        </w:rPr>
        <w:t>for</w:t>
      </w:r>
      <w:r>
        <w:rPr>
          <w:color w:val="767070"/>
          <w:spacing w:val="-5"/>
          <w:sz w:val="16"/>
        </w:rPr>
        <w:t xml:space="preserve"> </w:t>
      </w:r>
      <w:r>
        <w:rPr>
          <w:color w:val="767070"/>
          <w:sz w:val="16"/>
        </w:rPr>
        <w:t>Indigenous</w:t>
      </w:r>
      <w:r>
        <w:rPr>
          <w:color w:val="767070"/>
          <w:spacing w:val="-7"/>
          <w:sz w:val="16"/>
        </w:rPr>
        <w:t xml:space="preserve"> </w:t>
      </w:r>
      <w:r>
        <w:rPr>
          <w:color w:val="767070"/>
          <w:sz w:val="16"/>
        </w:rPr>
        <w:t>Papuans).</w:t>
      </w:r>
      <w:r>
        <w:rPr>
          <w:color w:val="767070"/>
          <w:spacing w:val="-6"/>
          <w:sz w:val="16"/>
        </w:rPr>
        <w:t xml:space="preserve"> </w:t>
      </w:r>
      <w:r>
        <w:rPr>
          <w:color w:val="767070"/>
          <w:sz w:val="16"/>
        </w:rPr>
        <w:t>The</w:t>
      </w:r>
      <w:r>
        <w:rPr>
          <w:color w:val="767070"/>
          <w:spacing w:val="-5"/>
          <w:sz w:val="16"/>
        </w:rPr>
        <w:t xml:space="preserve"> </w:t>
      </w:r>
      <w:r>
        <w:rPr>
          <w:color w:val="767070"/>
          <w:sz w:val="16"/>
        </w:rPr>
        <w:t>requirement</w:t>
      </w:r>
      <w:r>
        <w:rPr>
          <w:color w:val="767070"/>
          <w:spacing w:val="-5"/>
          <w:sz w:val="16"/>
        </w:rPr>
        <w:t xml:space="preserve"> </w:t>
      </w:r>
      <w:r>
        <w:rPr>
          <w:color w:val="767070"/>
          <w:sz w:val="16"/>
        </w:rPr>
        <w:t>ensures</w:t>
      </w:r>
      <w:r>
        <w:rPr>
          <w:color w:val="767070"/>
          <w:spacing w:val="-7"/>
          <w:sz w:val="16"/>
        </w:rPr>
        <w:t xml:space="preserve"> </w:t>
      </w:r>
      <w:r>
        <w:rPr>
          <w:color w:val="767070"/>
          <w:sz w:val="16"/>
        </w:rPr>
        <w:t>OTSUS</w:t>
      </w:r>
      <w:r>
        <w:rPr>
          <w:color w:val="767070"/>
          <w:spacing w:val="-5"/>
          <w:sz w:val="16"/>
        </w:rPr>
        <w:t xml:space="preserve"> </w:t>
      </w:r>
      <w:r>
        <w:rPr>
          <w:color w:val="767070"/>
          <w:sz w:val="16"/>
        </w:rPr>
        <w:t>funds</w:t>
      </w:r>
      <w:r>
        <w:rPr>
          <w:color w:val="767070"/>
          <w:spacing w:val="40"/>
          <w:sz w:val="16"/>
        </w:rPr>
        <w:t xml:space="preserve"> </w:t>
      </w:r>
      <w:r>
        <w:rPr>
          <w:color w:val="767070"/>
          <w:sz w:val="16"/>
        </w:rPr>
        <w:t>are tied to clearly defined, measurable programs that align with regional development priorities and national standards, strengthening</w:t>
      </w:r>
      <w:r>
        <w:rPr>
          <w:color w:val="767070"/>
          <w:spacing w:val="40"/>
          <w:sz w:val="16"/>
        </w:rPr>
        <w:t xml:space="preserve"> </w:t>
      </w:r>
      <w:r>
        <w:rPr>
          <w:color w:val="767070"/>
          <w:sz w:val="16"/>
        </w:rPr>
        <w:t>transparency and accountability.</w:t>
      </w:r>
    </w:p>
    <w:p w14:paraId="67D5D4FE" w14:textId="77777777" w:rsidR="00BC24A8" w:rsidRDefault="00BC24A8">
      <w:pPr>
        <w:rPr>
          <w:sz w:val="16"/>
        </w:rPr>
        <w:sectPr w:rsidR="00BC24A8">
          <w:pgSz w:w="11910" w:h="16840"/>
          <w:pgMar w:top="1360" w:right="850" w:bottom="1100" w:left="1275" w:header="0" w:footer="907" w:gutter="0"/>
          <w:cols w:space="720"/>
        </w:sectPr>
      </w:pPr>
    </w:p>
    <w:p w14:paraId="115912C1" w14:textId="77777777" w:rsidR="00BC24A8" w:rsidRDefault="00000000">
      <w:pPr>
        <w:pStyle w:val="BodyText"/>
        <w:spacing w:before="39" w:line="278" w:lineRule="auto"/>
        <w:ind w:left="143" w:right="564"/>
        <w:jc w:val="both"/>
      </w:pPr>
      <w:r>
        <w:lastRenderedPageBreak/>
        <w:t>As this was the first attempt to implement the revised regulation, despite the SKALA-supported socialisation,</w:t>
      </w:r>
      <w:r>
        <w:rPr>
          <w:spacing w:val="-13"/>
        </w:rPr>
        <w:t xml:space="preserve"> </w:t>
      </w:r>
      <w:r>
        <w:t>some</w:t>
      </w:r>
      <w:r>
        <w:rPr>
          <w:spacing w:val="-12"/>
        </w:rPr>
        <w:t xml:space="preserve"> </w:t>
      </w:r>
      <w:r>
        <w:t>provinces</w:t>
      </w:r>
      <w:r>
        <w:rPr>
          <w:spacing w:val="-13"/>
        </w:rPr>
        <w:t xml:space="preserve"> </w:t>
      </w:r>
      <w:r>
        <w:t>did</w:t>
      </w:r>
      <w:r>
        <w:rPr>
          <w:spacing w:val="-12"/>
        </w:rPr>
        <w:t xml:space="preserve"> </w:t>
      </w:r>
      <w:r>
        <w:t>experience</w:t>
      </w:r>
      <w:r>
        <w:rPr>
          <w:spacing w:val="-13"/>
        </w:rPr>
        <w:t xml:space="preserve"> </w:t>
      </w:r>
      <w:r>
        <w:t>significant</w:t>
      </w:r>
      <w:r>
        <w:rPr>
          <w:spacing w:val="-12"/>
        </w:rPr>
        <w:t xml:space="preserve"> </w:t>
      </w:r>
      <w:r>
        <w:t>challenges</w:t>
      </w:r>
      <w:r>
        <w:rPr>
          <w:spacing w:val="-13"/>
        </w:rPr>
        <w:t xml:space="preserve"> </w:t>
      </w:r>
      <w:r>
        <w:t>in</w:t>
      </w:r>
      <w:r>
        <w:rPr>
          <w:spacing w:val="-12"/>
        </w:rPr>
        <w:t xml:space="preserve"> </w:t>
      </w:r>
      <w:r>
        <w:t>fulfilling</w:t>
      </w:r>
      <w:r>
        <w:rPr>
          <w:spacing w:val="-12"/>
        </w:rPr>
        <w:t xml:space="preserve"> </w:t>
      </w:r>
      <w:r>
        <w:t>the</w:t>
      </w:r>
      <w:r>
        <w:rPr>
          <w:spacing w:val="-13"/>
        </w:rPr>
        <w:t xml:space="preserve"> </w:t>
      </w:r>
      <w:r>
        <w:t>new</w:t>
      </w:r>
      <w:r>
        <w:rPr>
          <w:spacing w:val="-12"/>
        </w:rPr>
        <w:t xml:space="preserve"> </w:t>
      </w:r>
      <w:r>
        <w:t>requirements</w:t>
      </w:r>
      <w:r>
        <w:rPr>
          <w:spacing w:val="-13"/>
        </w:rPr>
        <w:t xml:space="preserve"> </w:t>
      </w:r>
      <w:r>
        <w:t>and submitting</w:t>
      </w:r>
      <w:r>
        <w:rPr>
          <w:spacing w:val="-9"/>
        </w:rPr>
        <w:t xml:space="preserve"> </w:t>
      </w:r>
      <w:r>
        <w:t>OTSUS</w:t>
      </w:r>
      <w:r>
        <w:rPr>
          <w:spacing w:val="-5"/>
        </w:rPr>
        <w:t xml:space="preserve"> </w:t>
      </w:r>
      <w:r>
        <w:t>plans</w:t>
      </w:r>
      <w:r>
        <w:rPr>
          <w:spacing w:val="-5"/>
        </w:rPr>
        <w:t xml:space="preserve"> </w:t>
      </w:r>
      <w:r>
        <w:t>on</w:t>
      </w:r>
      <w:r>
        <w:rPr>
          <w:spacing w:val="-8"/>
        </w:rPr>
        <w:t xml:space="preserve"> </w:t>
      </w:r>
      <w:r>
        <w:t>time.</w:t>
      </w:r>
      <w:r>
        <w:rPr>
          <w:spacing w:val="-5"/>
        </w:rPr>
        <w:t xml:space="preserve"> </w:t>
      </w:r>
      <w:r>
        <w:t>As</w:t>
      </w:r>
      <w:r>
        <w:rPr>
          <w:spacing w:val="-5"/>
        </w:rPr>
        <w:t xml:space="preserve"> </w:t>
      </w:r>
      <w:r>
        <w:t>of</w:t>
      </w:r>
      <w:r>
        <w:rPr>
          <w:spacing w:val="-7"/>
        </w:rPr>
        <w:t xml:space="preserve"> </w:t>
      </w:r>
      <w:r>
        <w:t>June</w:t>
      </w:r>
      <w:r>
        <w:rPr>
          <w:spacing w:val="-7"/>
        </w:rPr>
        <w:t xml:space="preserve"> </w:t>
      </w:r>
      <w:r>
        <w:t>30,</w:t>
      </w:r>
      <w:r>
        <w:rPr>
          <w:spacing w:val="-5"/>
        </w:rPr>
        <w:t xml:space="preserve"> </w:t>
      </w:r>
      <w:r>
        <w:t>all</w:t>
      </w:r>
      <w:r>
        <w:rPr>
          <w:spacing w:val="-7"/>
        </w:rPr>
        <w:t xml:space="preserve"> </w:t>
      </w:r>
      <w:r>
        <w:t>Papuan</w:t>
      </w:r>
      <w:r>
        <w:rPr>
          <w:spacing w:val="-6"/>
        </w:rPr>
        <w:t xml:space="preserve"> </w:t>
      </w:r>
      <w:r>
        <w:t>provinces</w:t>
      </w:r>
      <w:r>
        <w:rPr>
          <w:spacing w:val="-5"/>
        </w:rPr>
        <w:t xml:space="preserve"> </w:t>
      </w:r>
      <w:r>
        <w:t>have</w:t>
      </w:r>
      <w:r>
        <w:rPr>
          <w:spacing w:val="-7"/>
        </w:rPr>
        <w:t xml:space="preserve"> </w:t>
      </w:r>
      <w:r>
        <w:t>yet</w:t>
      </w:r>
      <w:r>
        <w:rPr>
          <w:spacing w:val="-7"/>
        </w:rPr>
        <w:t xml:space="preserve"> </w:t>
      </w:r>
      <w:r>
        <w:t>to</w:t>
      </w:r>
      <w:r>
        <w:rPr>
          <w:spacing w:val="-6"/>
        </w:rPr>
        <w:t xml:space="preserve"> </w:t>
      </w:r>
      <w:r>
        <w:t>submit</w:t>
      </w:r>
      <w:r>
        <w:rPr>
          <w:spacing w:val="-7"/>
        </w:rPr>
        <w:t xml:space="preserve"> </w:t>
      </w:r>
      <w:r>
        <w:t>their</w:t>
      </w:r>
      <w:r>
        <w:rPr>
          <w:spacing w:val="-6"/>
        </w:rPr>
        <w:t xml:space="preserve"> </w:t>
      </w:r>
      <w:r>
        <w:t>plans,</w:t>
      </w:r>
      <w:r>
        <w:rPr>
          <w:spacing w:val="-5"/>
        </w:rPr>
        <w:t xml:space="preserve"> </w:t>
      </w:r>
      <w:r>
        <w:t>and timely submittal in Aceh is down compared to the previous year (IO4.6).</w:t>
      </w:r>
    </w:p>
    <w:p w14:paraId="213140F8" w14:textId="77777777" w:rsidR="00BC24A8" w:rsidRDefault="00000000">
      <w:pPr>
        <w:pStyle w:val="BodyText"/>
        <w:spacing w:before="158" w:line="278" w:lineRule="auto"/>
        <w:ind w:left="143" w:right="564"/>
        <w:jc w:val="both"/>
      </w:pPr>
      <w:r>
        <w:t xml:space="preserve">Stakeholder feedback found that provinces experienced challenges in data availability and quality, planning officials had limited understanding of program logic, and there was poor alignment between </w:t>
      </w:r>
      <w:r>
        <w:rPr>
          <w:spacing w:val="-2"/>
        </w:rPr>
        <w:t>OTSUS</w:t>
      </w:r>
      <w:r>
        <w:rPr>
          <w:spacing w:val="-3"/>
        </w:rPr>
        <w:t xml:space="preserve"> </w:t>
      </w:r>
      <w:r>
        <w:rPr>
          <w:spacing w:val="-2"/>
        </w:rPr>
        <w:t>planning</w:t>
      </w:r>
      <w:r>
        <w:rPr>
          <w:spacing w:val="-4"/>
        </w:rPr>
        <w:t xml:space="preserve"> </w:t>
      </w:r>
      <w:r>
        <w:rPr>
          <w:spacing w:val="-2"/>
        </w:rPr>
        <w:t>systems</w:t>
      </w:r>
      <w:r>
        <w:rPr>
          <w:spacing w:val="-3"/>
        </w:rPr>
        <w:t xml:space="preserve"> </w:t>
      </w:r>
      <w:r>
        <w:rPr>
          <w:spacing w:val="-2"/>
        </w:rPr>
        <w:t>and other</w:t>
      </w:r>
      <w:r>
        <w:rPr>
          <w:spacing w:val="-3"/>
        </w:rPr>
        <w:t xml:space="preserve"> </w:t>
      </w:r>
      <w:r>
        <w:rPr>
          <w:spacing w:val="-2"/>
        </w:rPr>
        <w:t>provincial</w:t>
      </w:r>
      <w:r>
        <w:rPr>
          <w:spacing w:val="-5"/>
        </w:rPr>
        <w:t xml:space="preserve"> </w:t>
      </w:r>
      <w:r>
        <w:rPr>
          <w:spacing w:val="-2"/>
        </w:rPr>
        <w:t>planning</w:t>
      </w:r>
      <w:r>
        <w:rPr>
          <w:spacing w:val="-8"/>
        </w:rPr>
        <w:t xml:space="preserve"> </w:t>
      </w:r>
      <w:r>
        <w:rPr>
          <w:spacing w:val="-2"/>
        </w:rPr>
        <w:t>and</w:t>
      </w:r>
      <w:r>
        <w:rPr>
          <w:spacing w:val="-3"/>
        </w:rPr>
        <w:t xml:space="preserve"> </w:t>
      </w:r>
      <w:r>
        <w:rPr>
          <w:spacing w:val="-2"/>
        </w:rPr>
        <w:t>budgeting</w:t>
      </w:r>
      <w:r>
        <w:rPr>
          <w:spacing w:val="-4"/>
        </w:rPr>
        <w:t xml:space="preserve"> </w:t>
      </w:r>
      <w:r>
        <w:rPr>
          <w:spacing w:val="-2"/>
        </w:rPr>
        <w:t>systems.</w:t>
      </w:r>
      <w:r>
        <w:rPr>
          <w:spacing w:val="-3"/>
        </w:rPr>
        <w:t xml:space="preserve"> </w:t>
      </w:r>
      <w:r>
        <w:rPr>
          <w:spacing w:val="-2"/>
        </w:rPr>
        <w:t>These</w:t>
      </w:r>
      <w:r>
        <w:rPr>
          <w:spacing w:val="-3"/>
        </w:rPr>
        <w:t xml:space="preserve"> </w:t>
      </w:r>
      <w:r>
        <w:rPr>
          <w:spacing w:val="-2"/>
        </w:rPr>
        <w:t>issues</w:t>
      </w:r>
      <w:r>
        <w:rPr>
          <w:spacing w:val="-3"/>
        </w:rPr>
        <w:t xml:space="preserve"> </w:t>
      </w:r>
      <w:r>
        <w:rPr>
          <w:spacing w:val="-2"/>
        </w:rPr>
        <w:t>were</w:t>
      </w:r>
      <w:r>
        <w:rPr>
          <w:spacing w:val="-3"/>
        </w:rPr>
        <w:t xml:space="preserve"> </w:t>
      </w:r>
      <w:r>
        <w:rPr>
          <w:spacing w:val="-2"/>
        </w:rPr>
        <w:t xml:space="preserve">further </w:t>
      </w:r>
      <w:r>
        <w:t>compounded by overlapping review processes from multiple national ministries, causing delays and confusion in the planning cycle.</w:t>
      </w:r>
    </w:p>
    <w:p w14:paraId="79962F2D" w14:textId="77777777" w:rsidR="00BC24A8" w:rsidRDefault="00000000">
      <w:pPr>
        <w:pStyle w:val="BodyText"/>
        <w:spacing w:before="158" w:line="278" w:lineRule="auto"/>
        <w:ind w:left="143" w:right="561"/>
        <w:jc w:val="both"/>
      </w:pPr>
      <w:r>
        <w:t>The</w:t>
      </w:r>
      <w:r>
        <w:rPr>
          <w:spacing w:val="-2"/>
        </w:rPr>
        <w:t xml:space="preserve"> </w:t>
      </w:r>
      <w:r>
        <w:t>effectiveness</w:t>
      </w:r>
      <w:r>
        <w:rPr>
          <w:spacing w:val="-2"/>
        </w:rPr>
        <w:t xml:space="preserve"> </w:t>
      </w:r>
      <w:r>
        <w:t>of</w:t>
      </w:r>
      <w:r>
        <w:rPr>
          <w:spacing w:val="-2"/>
        </w:rPr>
        <w:t xml:space="preserve"> </w:t>
      </w:r>
      <w:r>
        <w:t>the</w:t>
      </w:r>
      <w:r>
        <w:rPr>
          <w:spacing w:val="-2"/>
        </w:rPr>
        <w:t xml:space="preserve"> </w:t>
      </w:r>
      <w:r>
        <w:t>regulatory revisions aimed</w:t>
      </w:r>
      <w:r>
        <w:rPr>
          <w:spacing w:val="-3"/>
        </w:rPr>
        <w:t xml:space="preserve"> </w:t>
      </w:r>
      <w:r>
        <w:t>at</w:t>
      </w:r>
      <w:r>
        <w:rPr>
          <w:spacing w:val="-4"/>
        </w:rPr>
        <w:t xml:space="preserve"> </w:t>
      </w:r>
      <w:r>
        <w:t>facilitating</w:t>
      </w:r>
      <w:r>
        <w:rPr>
          <w:spacing w:val="-1"/>
        </w:rPr>
        <w:t xml:space="preserve"> </w:t>
      </w:r>
      <w:r>
        <w:t>more</w:t>
      </w:r>
      <w:r>
        <w:rPr>
          <w:spacing w:val="-2"/>
        </w:rPr>
        <w:t xml:space="preserve"> </w:t>
      </w:r>
      <w:r>
        <w:t>efficient</w:t>
      </w:r>
      <w:r>
        <w:rPr>
          <w:spacing w:val="-1"/>
        </w:rPr>
        <w:t xml:space="preserve"> </w:t>
      </w:r>
      <w:r>
        <w:t>transfer</w:t>
      </w:r>
      <w:r>
        <w:rPr>
          <w:spacing w:val="-2"/>
        </w:rPr>
        <w:t xml:space="preserve"> </w:t>
      </w:r>
      <w:r>
        <w:t>processes</w:t>
      </w:r>
      <w:r>
        <w:rPr>
          <w:spacing w:val="-2"/>
        </w:rPr>
        <w:t xml:space="preserve"> </w:t>
      </w:r>
      <w:r>
        <w:t>and higher quality reporting on the use of funds will need to be monitored as these stages of the revised process are implemented.</w:t>
      </w:r>
    </w:p>
    <w:p w14:paraId="119CBD53" w14:textId="77777777" w:rsidR="00BC24A8" w:rsidRDefault="00000000">
      <w:pPr>
        <w:pStyle w:val="BodyText"/>
        <w:spacing w:before="157" w:line="278" w:lineRule="auto"/>
        <w:ind w:left="143" w:right="561"/>
        <w:jc w:val="both"/>
      </w:pPr>
      <w:r>
        <w:t>At this stage of the regulation’s implementation, however, available transfer data and qualitative data collected from affected stakeholders suggest that the proposed staged disbursement of funds throughout the financial year</w:t>
      </w:r>
      <w:hyperlink w:anchor="_bookmark75" w:history="1">
        <w:r w:rsidR="00BC24A8">
          <w:rPr>
            <w:vertAlign w:val="superscript"/>
          </w:rPr>
          <w:t>31</w:t>
        </w:r>
      </w:hyperlink>
      <w:r>
        <w:t xml:space="preserve"> is likely to be effective in high-performing provinces and districts. Still, they will lead to ineffective and inefficient spending, as well as other low-performing areas.</w:t>
      </w:r>
    </w:p>
    <w:p w14:paraId="4517C2E3" w14:textId="77777777" w:rsidR="00BC24A8" w:rsidRDefault="00000000">
      <w:pPr>
        <w:spacing w:before="120"/>
        <w:ind w:left="143"/>
        <w:jc w:val="both"/>
        <w:rPr>
          <w:rFonts w:ascii="Calibri"/>
          <w:b/>
          <w:sz w:val="24"/>
        </w:rPr>
      </w:pPr>
      <w:bookmarkStart w:id="116" w:name="Recommended_SKALA_focus_for_2025_-_2026"/>
      <w:bookmarkEnd w:id="116"/>
      <w:r w:rsidRPr="00795364">
        <w:rPr>
          <w:rFonts w:ascii="Calibri"/>
          <w:b/>
          <w:color w:val="008279"/>
          <w:sz w:val="24"/>
        </w:rPr>
        <w:t>Recommended</w:t>
      </w:r>
      <w:r w:rsidRPr="00795364">
        <w:rPr>
          <w:rFonts w:ascii="Calibri"/>
          <w:b/>
          <w:color w:val="008279"/>
          <w:spacing w:val="-4"/>
          <w:sz w:val="24"/>
        </w:rPr>
        <w:t xml:space="preserve"> </w:t>
      </w:r>
      <w:r w:rsidRPr="00795364">
        <w:rPr>
          <w:rFonts w:ascii="Calibri"/>
          <w:b/>
          <w:color w:val="008279"/>
          <w:sz w:val="24"/>
        </w:rPr>
        <w:t>SKALA</w:t>
      </w:r>
      <w:r w:rsidRPr="00795364">
        <w:rPr>
          <w:rFonts w:ascii="Calibri"/>
          <w:b/>
          <w:color w:val="008279"/>
          <w:spacing w:val="-4"/>
          <w:sz w:val="24"/>
        </w:rPr>
        <w:t xml:space="preserve"> </w:t>
      </w:r>
      <w:r w:rsidRPr="00795364">
        <w:rPr>
          <w:rFonts w:ascii="Calibri"/>
          <w:b/>
          <w:color w:val="008279"/>
          <w:sz w:val="24"/>
        </w:rPr>
        <w:t>focus</w:t>
      </w:r>
      <w:r w:rsidRPr="00795364">
        <w:rPr>
          <w:rFonts w:ascii="Calibri"/>
          <w:b/>
          <w:color w:val="008279"/>
          <w:spacing w:val="-4"/>
          <w:sz w:val="24"/>
        </w:rPr>
        <w:t xml:space="preserve"> </w:t>
      </w:r>
      <w:r w:rsidRPr="00795364">
        <w:rPr>
          <w:rFonts w:ascii="Calibri"/>
          <w:b/>
          <w:color w:val="008279"/>
          <w:sz w:val="24"/>
        </w:rPr>
        <w:t>for</w:t>
      </w:r>
      <w:r w:rsidRPr="00795364">
        <w:rPr>
          <w:rFonts w:ascii="Calibri"/>
          <w:b/>
          <w:color w:val="008279"/>
          <w:spacing w:val="-2"/>
          <w:sz w:val="24"/>
        </w:rPr>
        <w:t xml:space="preserve"> </w:t>
      </w:r>
      <w:r w:rsidRPr="00795364">
        <w:rPr>
          <w:rFonts w:ascii="Calibri"/>
          <w:b/>
          <w:color w:val="008279"/>
          <w:sz w:val="24"/>
        </w:rPr>
        <w:t>2025</w:t>
      </w:r>
      <w:r w:rsidRPr="00795364">
        <w:rPr>
          <w:rFonts w:ascii="Calibri"/>
          <w:b/>
          <w:color w:val="008279"/>
          <w:spacing w:val="-6"/>
          <w:sz w:val="24"/>
        </w:rPr>
        <w:t xml:space="preserve"> </w:t>
      </w:r>
      <w:r w:rsidRPr="00795364">
        <w:rPr>
          <w:rFonts w:ascii="Calibri"/>
          <w:b/>
          <w:color w:val="008279"/>
          <w:sz w:val="24"/>
        </w:rPr>
        <w:t>-</w:t>
      </w:r>
      <w:r w:rsidRPr="00795364">
        <w:rPr>
          <w:rFonts w:ascii="Calibri"/>
          <w:b/>
          <w:color w:val="008279"/>
          <w:spacing w:val="-6"/>
          <w:sz w:val="24"/>
        </w:rPr>
        <w:t xml:space="preserve"> </w:t>
      </w:r>
      <w:r w:rsidRPr="00795364">
        <w:rPr>
          <w:rFonts w:ascii="Calibri"/>
          <w:b/>
          <w:color w:val="008279"/>
          <w:spacing w:val="-4"/>
          <w:sz w:val="24"/>
        </w:rPr>
        <w:t>2026</w:t>
      </w:r>
    </w:p>
    <w:p w14:paraId="3B9C5EF9" w14:textId="77777777" w:rsidR="00BC24A8" w:rsidRDefault="00000000">
      <w:pPr>
        <w:pStyle w:val="BodyText"/>
        <w:spacing w:before="120" w:line="276" w:lineRule="auto"/>
        <w:ind w:left="143" w:right="564"/>
        <w:jc w:val="both"/>
      </w:pPr>
      <w:r>
        <w:t>Based on available evidence, and with additional resources allocated for Papua region, in the final 18 months of the program, it would be valuable for SKALA to focus at the subnational level on:</w:t>
      </w:r>
    </w:p>
    <w:p w14:paraId="78F44E7F" w14:textId="77777777" w:rsidR="00BC24A8" w:rsidRDefault="00000000">
      <w:pPr>
        <w:pStyle w:val="ListParagraph"/>
        <w:numPr>
          <w:ilvl w:val="1"/>
          <w:numId w:val="161"/>
        </w:numPr>
        <w:tabs>
          <w:tab w:val="left" w:pos="683"/>
        </w:tabs>
        <w:spacing w:before="163"/>
        <w:ind w:right="560"/>
        <w:jc w:val="left"/>
      </w:pPr>
      <w:r>
        <w:t>Supporting</w:t>
      </w:r>
      <w:r>
        <w:rPr>
          <w:spacing w:val="-13"/>
        </w:rPr>
        <w:t xml:space="preserve"> </w:t>
      </w:r>
      <w:r>
        <w:t>local</w:t>
      </w:r>
      <w:r>
        <w:rPr>
          <w:spacing w:val="-12"/>
        </w:rPr>
        <w:t xml:space="preserve"> </w:t>
      </w:r>
      <w:r>
        <w:t>leadership</w:t>
      </w:r>
      <w:r>
        <w:rPr>
          <w:spacing w:val="-13"/>
        </w:rPr>
        <w:t xml:space="preserve"> </w:t>
      </w:r>
      <w:r>
        <w:t>(heads</w:t>
      </w:r>
      <w:r>
        <w:rPr>
          <w:spacing w:val="-12"/>
        </w:rPr>
        <w:t xml:space="preserve"> </w:t>
      </w:r>
      <w:r>
        <w:t>of</w:t>
      </w:r>
      <w:r>
        <w:rPr>
          <w:spacing w:val="-13"/>
        </w:rPr>
        <w:t xml:space="preserve"> </w:t>
      </w:r>
      <w:r>
        <w:t>sectors</w:t>
      </w:r>
      <w:r>
        <w:rPr>
          <w:spacing w:val="-9"/>
        </w:rPr>
        <w:t xml:space="preserve"> </w:t>
      </w:r>
      <w:r>
        <w:t>and</w:t>
      </w:r>
      <w:r>
        <w:rPr>
          <w:spacing w:val="-11"/>
        </w:rPr>
        <w:t xml:space="preserve"> </w:t>
      </w:r>
      <w:r>
        <w:t>Bappeda)</w:t>
      </w:r>
      <w:r>
        <w:rPr>
          <w:spacing w:val="-10"/>
        </w:rPr>
        <w:t xml:space="preserve"> </w:t>
      </w:r>
      <w:r>
        <w:t>to</w:t>
      </w:r>
      <w:r>
        <w:rPr>
          <w:spacing w:val="-11"/>
        </w:rPr>
        <w:t xml:space="preserve"> </w:t>
      </w:r>
      <w:r>
        <w:t>effectively</w:t>
      </w:r>
      <w:r>
        <w:rPr>
          <w:spacing w:val="-10"/>
        </w:rPr>
        <w:t xml:space="preserve"> </w:t>
      </w:r>
      <w:r>
        <w:t>manage</w:t>
      </w:r>
      <w:r>
        <w:rPr>
          <w:spacing w:val="-13"/>
        </w:rPr>
        <w:t xml:space="preserve"> </w:t>
      </w:r>
      <w:r>
        <w:t>OTSUS</w:t>
      </w:r>
      <w:r>
        <w:rPr>
          <w:spacing w:val="-12"/>
        </w:rPr>
        <w:t xml:space="preserve"> </w:t>
      </w:r>
      <w:r>
        <w:t>planning in line with national guidance – particularly in developing programs using OTSUS funds</w:t>
      </w:r>
    </w:p>
    <w:p w14:paraId="4F744862" w14:textId="77777777" w:rsidR="00BC24A8" w:rsidRDefault="00000000">
      <w:pPr>
        <w:pStyle w:val="ListParagraph"/>
        <w:numPr>
          <w:ilvl w:val="1"/>
          <w:numId w:val="161"/>
        </w:numPr>
        <w:tabs>
          <w:tab w:val="left" w:pos="683"/>
        </w:tabs>
        <w:ind w:right="565" w:hanging="360"/>
        <w:jc w:val="left"/>
      </w:pPr>
      <w:r>
        <w:t>Increasing</w:t>
      </w:r>
      <w:r>
        <w:rPr>
          <w:spacing w:val="39"/>
        </w:rPr>
        <w:t xml:space="preserve"> </w:t>
      </w:r>
      <w:r>
        <w:t>data</w:t>
      </w:r>
      <w:r>
        <w:rPr>
          <w:spacing w:val="39"/>
        </w:rPr>
        <w:t xml:space="preserve"> </w:t>
      </w:r>
      <w:r>
        <w:t>availability,</w:t>
      </w:r>
      <w:r>
        <w:rPr>
          <w:spacing w:val="40"/>
        </w:rPr>
        <w:t xml:space="preserve"> </w:t>
      </w:r>
      <w:r>
        <w:t>analytical</w:t>
      </w:r>
      <w:r>
        <w:rPr>
          <w:spacing w:val="39"/>
        </w:rPr>
        <w:t xml:space="preserve"> </w:t>
      </w:r>
      <w:r>
        <w:t>capacity</w:t>
      </w:r>
      <w:r>
        <w:rPr>
          <w:spacing w:val="40"/>
        </w:rPr>
        <w:t xml:space="preserve"> </w:t>
      </w:r>
      <w:r>
        <w:t>and</w:t>
      </w:r>
      <w:r>
        <w:rPr>
          <w:spacing w:val="40"/>
        </w:rPr>
        <w:t xml:space="preserve"> </w:t>
      </w:r>
      <w:r>
        <w:t>application</w:t>
      </w:r>
      <w:r>
        <w:rPr>
          <w:spacing w:val="40"/>
        </w:rPr>
        <w:t xml:space="preserve"> </w:t>
      </w:r>
      <w:r>
        <w:t>of</w:t>
      </w:r>
      <w:r>
        <w:rPr>
          <w:spacing w:val="38"/>
        </w:rPr>
        <w:t xml:space="preserve"> </w:t>
      </w:r>
      <w:r>
        <w:t>data-driven</w:t>
      </w:r>
      <w:r>
        <w:rPr>
          <w:spacing w:val="40"/>
        </w:rPr>
        <w:t xml:space="preserve"> </w:t>
      </w:r>
      <w:r>
        <w:t>insights</w:t>
      </w:r>
      <w:r>
        <w:rPr>
          <w:spacing w:val="40"/>
        </w:rPr>
        <w:t xml:space="preserve"> </w:t>
      </w:r>
      <w:r>
        <w:t>to</w:t>
      </w:r>
      <w:r>
        <w:rPr>
          <w:spacing w:val="40"/>
        </w:rPr>
        <w:t xml:space="preserve"> </w:t>
      </w:r>
      <w:r>
        <w:t>the planning process in order to target the needs of vulnerable populations</w:t>
      </w:r>
    </w:p>
    <w:p w14:paraId="3B09C752" w14:textId="77777777" w:rsidR="00BC24A8" w:rsidRDefault="00BC24A8">
      <w:pPr>
        <w:pStyle w:val="BodyText"/>
        <w:spacing w:before="61"/>
      </w:pPr>
    </w:p>
    <w:p w14:paraId="013067F7" w14:textId="77777777" w:rsidR="00BC24A8" w:rsidRDefault="00000000">
      <w:pPr>
        <w:pStyle w:val="BodyText"/>
        <w:ind w:left="143"/>
        <w:jc w:val="both"/>
      </w:pPr>
      <w:r>
        <w:t>At</w:t>
      </w:r>
      <w:r>
        <w:rPr>
          <w:spacing w:val="-6"/>
        </w:rPr>
        <w:t xml:space="preserve"> </w:t>
      </w:r>
      <w:r>
        <w:t>the</w:t>
      </w:r>
      <w:r>
        <w:rPr>
          <w:spacing w:val="-7"/>
        </w:rPr>
        <w:t xml:space="preserve"> </w:t>
      </w:r>
      <w:r>
        <w:t>national</w:t>
      </w:r>
      <w:r>
        <w:rPr>
          <w:spacing w:val="-6"/>
        </w:rPr>
        <w:t xml:space="preserve"> </w:t>
      </w:r>
      <w:r>
        <w:t>level,</w:t>
      </w:r>
      <w:r>
        <w:rPr>
          <w:spacing w:val="-7"/>
        </w:rPr>
        <w:t xml:space="preserve"> </w:t>
      </w:r>
      <w:r>
        <w:t>SKALA</w:t>
      </w:r>
      <w:r>
        <w:rPr>
          <w:spacing w:val="-7"/>
        </w:rPr>
        <w:t xml:space="preserve"> </w:t>
      </w:r>
      <w:r>
        <w:t>should</w:t>
      </w:r>
      <w:r>
        <w:rPr>
          <w:spacing w:val="-5"/>
        </w:rPr>
        <w:t xml:space="preserve"> </w:t>
      </w:r>
      <w:r>
        <w:t>focus</w:t>
      </w:r>
      <w:r>
        <w:rPr>
          <w:spacing w:val="-7"/>
        </w:rPr>
        <w:t xml:space="preserve"> </w:t>
      </w:r>
      <w:r>
        <w:rPr>
          <w:spacing w:val="-5"/>
        </w:rPr>
        <w:t>on:</w:t>
      </w:r>
    </w:p>
    <w:p w14:paraId="391113AC" w14:textId="77777777" w:rsidR="00BC24A8" w:rsidRDefault="00000000">
      <w:pPr>
        <w:pStyle w:val="ListParagraph"/>
        <w:numPr>
          <w:ilvl w:val="1"/>
          <w:numId w:val="161"/>
        </w:numPr>
        <w:tabs>
          <w:tab w:val="left" w:pos="683"/>
        </w:tabs>
        <w:spacing w:before="202"/>
        <w:ind w:right="563"/>
        <w:jc w:val="left"/>
      </w:pPr>
      <w:r>
        <w:t>Accelerating</w:t>
      </w:r>
      <w:r>
        <w:rPr>
          <w:spacing w:val="80"/>
        </w:rPr>
        <w:t xml:space="preserve"> </w:t>
      </w:r>
      <w:r>
        <w:t>interoperability</w:t>
      </w:r>
      <w:r>
        <w:rPr>
          <w:spacing w:val="80"/>
        </w:rPr>
        <w:t xml:space="preserve"> </w:t>
      </w:r>
      <w:r>
        <w:t>between</w:t>
      </w:r>
      <w:r>
        <w:rPr>
          <w:spacing w:val="80"/>
        </w:rPr>
        <w:t xml:space="preserve"> </w:t>
      </w:r>
      <w:r>
        <w:t>online</w:t>
      </w:r>
      <w:r>
        <w:rPr>
          <w:spacing w:val="80"/>
        </w:rPr>
        <w:t xml:space="preserve"> </w:t>
      </w:r>
      <w:r>
        <w:t>planning,</w:t>
      </w:r>
      <w:r>
        <w:rPr>
          <w:spacing w:val="80"/>
        </w:rPr>
        <w:t xml:space="preserve"> </w:t>
      </w:r>
      <w:r>
        <w:t>budgeting</w:t>
      </w:r>
      <w:r>
        <w:rPr>
          <w:spacing w:val="80"/>
        </w:rPr>
        <w:t xml:space="preserve"> </w:t>
      </w:r>
      <w:r>
        <w:t>and</w:t>
      </w:r>
      <w:r>
        <w:rPr>
          <w:spacing w:val="80"/>
        </w:rPr>
        <w:t xml:space="preserve"> </w:t>
      </w:r>
      <w:r>
        <w:t>data</w:t>
      </w:r>
      <w:r>
        <w:rPr>
          <w:spacing w:val="80"/>
        </w:rPr>
        <w:t xml:space="preserve"> </w:t>
      </w:r>
      <w:r>
        <w:t>management systems</w:t>
      </w:r>
      <w:hyperlink w:anchor="_bookmark76" w:history="1">
        <w:r w:rsidR="00BC24A8">
          <w:rPr>
            <w:vertAlign w:val="superscript"/>
          </w:rPr>
          <w:t>32</w:t>
        </w:r>
      </w:hyperlink>
      <w:r>
        <w:t xml:space="preserve"> to ease the subnational administrative burden.</w:t>
      </w:r>
    </w:p>
    <w:p w14:paraId="5F2C7604" w14:textId="77777777" w:rsidR="00BC24A8" w:rsidRDefault="00000000">
      <w:pPr>
        <w:pStyle w:val="ListParagraph"/>
        <w:numPr>
          <w:ilvl w:val="1"/>
          <w:numId w:val="161"/>
        </w:numPr>
        <w:tabs>
          <w:tab w:val="left" w:pos="683"/>
        </w:tabs>
        <w:spacing w:before="1"/>
        <w:ind w:right="562"/>
        <w:jc w:val="left"/>
      </w:pPr>
      <w:r>
        <w:t>Support the development of mechanisms that will facilitate easier adjustments to OTSUS plans between the projected budget and actual budget.</w:t>
      </w:r>
    </w:p>
    <w:p w14:paraId="47B8562A" w14:textId="77777777" w:rsidR="00BC24A8" w:rsidRDefault="00000000">
      <w:pPr>
        <w:pStyle w:val="ListParagraph"/>
        <w:numPr>
          <w:ilvl w:val="1"/>
          <w:numId w:val="161"/>
        </w:numPr>
        <w:tabs>
          <w:tab w:val="left" w:pos="683"/>
        </w:tabs>
        <w:ind w:right="564"/>
        <w:jc w:val="left"/>
      </w:pPr>
      <w:r>
        <w:t>Support</w:t>
      </w:r>
      <w:r>
        <w:rPr>
          <w:spacing w:val="40"/>
        </w:rPr>
        <w:t xml:space="preserve"> </w:t>
      </w:r>
      <w:r>
        <w:t>cross-learning</w:t>
      </w:r>
      <w:r>
        <w:rPr>
          <w:spacing w:val="38"/>
        </w:rPr>
        <w:t xml:space="preserve"> </w:t>
      </w:r>
      <w:r>
        <w:t>between</w:t>
      </w:r>
      <w:r>
        <w:rPr>
          <w:spacing w:val="40"/>
        </w:rPr>
        <w:t xml:space="preserve"> </w:t>
      </w:r>
      <w:r>
        <w:t>OTSUS</w:t>
      </w:r>
      <w:r>
        <w:rPr>
          <w:spacing w:val="39"/>
        </w:rPr>
        <w:t xml:space="preserve"> </w:t>
      </w:r>
      <w:r>
        <w:t>and</w:t>
      </w:r>
      <w:r>
        <w:rPr>
          <w:spacing w:val="39"/>
        </w:rPr>
        <w:t xml:space="preserve"> </w:t>
      </w:r>
      <w:r>
        <w:t>other</w:t>
      </w:r>
      <w:r>
        <w:rPr>
          <w:spacing w:val="39"/>
        </w:rPr>
        <w:t xml:space="preserve"> </w:t>
      </w:r>
      <w:r>
        <w:t>fiscal</w:t>
      </w:r>
      <w:r>
        <w:rPr>
          <w:spacing w:val="40"/>
        </w:rPr>
        <w:t xml:space="preserve"> </w:t>
      </w:r>
      <w:r>
        <w:t>allocation</w:t>
      </w:r>
      <w:r>
        <w:rPr>
          <w:spacing w:val="40"/>
        </w:rPr>
        <w:t xml:space="preserve"> </w:t>
      </w:r>
      <w:r>
        <w:t>categories</w:t>
      </w:r>
      <w:r>
        <w:rPr>
          <w:spacing w:val="39"/>
        </w:rPr>
        <w:t xml:space="preserve"> </w:t>
      </w:r>
      <w:r>
        <w:t>(i.e.</w:t>
      </w:r>
      <w:r>
        <w:rPr>
          <w:spacing w:val="40"/>
        </w:rPr>
        <w:t xml:space="preserve"> </w:t>
      </w:r>
      <w:r>
        <w:t>DAK)</w:t>
      </w:r>
      <w:r>
        <w:rPr>
          <w:spacing w:val="40"/>
        </w:rPr>
        <w:t xml:space="preserve"> </w:t>
      </w:r>
      <w:r>
        <w:t>with smoother administrative processes.</w:t>
      </w:r>
    </w:p>
    <w:p w14:paraId="05CE5384" w14:textId="77777777" w:rsidR="00BC24A8" w:rsidRDefault="00BC24A8">
      <w:pPr>
        <w:pStyle w:val="BodyText"/>
        <w:rPr>
          <w:sz w:val="20"/>
        </w:rPr>
      </w:pPr>
    </w:p>
    <w:p w14:paraId="5766A2A7" w14:textId="77777777" w:rsidR="00BC24A8" w:rsidRDefault="00BC24A8">
      <w:pPr>
        <w:pStyle w:val="BodyText"/>
        <w:rPr>
          <w:sz w:val="20"/>
        </w:rPr>
      </w:pPr>
    </w:p>
    <w:p w14:paraId="177AC73F" w14:textId="77777777" w:rsidR="00BC24A8" w:rsidRDefault="00BC24A8">
      <w:pPr>
        <w:pStyle w:val="BodyText"/>
        <w:rPr>
          <w:sz w:val="20"/>
        </w:rPr>
      </w:pPr>
    </w:p>
    <w:p w14:paraId="5C3A88E9" w14:textId="77777777" w:rsidR="00BC24A8" w:rsidRDefault="00BC24A8">
      <w:pPr>
        <w:pStyle w:val="BodyText"/>
        <w:rPr>
          <w:sz w:val="20"/>
        </w:rPr>
      </w:pPr>
    </w:p>
    <w:p w14:paraId="4CA3485B" w14:textId="77777777" w:rsidR="00BC24A8" w:rsidRDefault="00BC24A8">
      <w:pPr>
        <w:pStyle w:val="BodyText"/>
        <w:rPr>
          <w:sz w:val="20"/>
        </w:rPr>
      </w:pPr>
    </w:p>
    <w:p w14:paraId="2F1BB29C" w14:textId="77777777" w:rsidR="00BC24A8" w:rsidRDefault="00BC24A8">
      <w:pPr>
        <w:pStyle w:val="BodyText"/>
        <w:rPr>
          <w:sz w:val="20"/>
        </w:rPr>
      </w:pPr>
    </w:p>
    <w:p w14:paraId="549FE58F" w14:textId="77777777" w:rsidR="00BC24A8" w:rsidRDefault="00BC24A8">
      <w:pPr>
        <w:pStyle w:val="BodyText"/>
        <w:rPr>
          <w:sz w:val="20"/>
        </w:rPr>
      </w:pPr>
    </w:p>
    <w:p w14:paraId="15368574" w14:textId="77777777" w:rsidR="00BC24A8" w:rsidRDefault="00BC24A8">
      <w:pPr>
        <w:pStyle w:val="BodyText"/>
        <w:rPr>
          <w:sz w:val="20"/>
        </w:rPr>
      </w:pPr>
    </w:p>
    <w:p w14:paraId="67AA7932" w14:textId="77777777" w:rsidR="00BC24A8" w:rsidRDefault="00000000">
      <w:pPr>
        <w:pStyle w:val="BodyText"/>
        <w:spacing w:before="82"/>
        <w:rPr>
          <w:sz w:val="20"/>
        </w:rPr>
      </w:pPr>
      <w:r>
        <w:rPr>
          <w:noProof/>
          <w:sz w:val="20"/>
        </w:rPr>
        <mc:AlternateContent>
          <mc:Choice Requires="wps">
            <w:drawing>
              <wp:anchor distT="0" distB="0" distL="0" distR="0" simplePos="0" relativeHeight="487598080" behindDoc="1" locked="0" layoutInCell="1" allowOverlap="1" wp14:anchorId="3D24C47B" wp14:editId="0659378E">
                <wp:simplePos x="0" y="0"/>
                <wp:positionH relativeFrom="page">
                  <wp:posOffset>900683</wp:posOffset>
                </wp:positionH>
                <wp:positionV relativeFrom="paragraph">
                  <wp:posOffset>222792</wp:posOffset>
                </wp:positionV>
                <wp:extent cx="1828800" cy="9525"/>
                <wp:effectExtent l="0" t="0" r="0" b="0"/>
                <wp:wrapTopAndBottom/>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270D13" id="Graphic 57" o:spid="_x0000_s1026" alt="&quot;&quot;" style="position:absolute;margin-left:70.9pt;margin-top:17.55pt;width:2in;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" path="m1828800,l,,,9143r1828800,l1828800,xe" fillcolor="black" stroked="f">
                <v:path arrowok="t"/>
                <w10:wrap type="topAndBottom" anchorx="page"/>
              </v:shape>
            </w:pict>
          </mc:Fallback>
        </mc:AlternateContent>
      </w:r>
    </w:p>
    <w:p w14:paraId="11F86D00" w14:textId="77777777" w:rsidR="00BC24A8" w:rsidRDefault="00BC24A8">
      <w:pPr>
        <w:pStyle w:val="BodyText"/>
        <w:spacing w:before="108"/>
        <w:rPr>
          <w:sz w:val="16"/>
        </w:rPr>
      </w:pPr>
    </w:p>
    <w:p w14:paraId="027A59D1" w14:textId="77777777" w:rsidR="00BC24A8" w:rsidRDefault="00000000">
      <w:pPr>
        <w:ind w:left="143" w:right="648"/>
        <w:rPr>
          <w:sz w:val="16"/>
        </w:rPr>
      </w:pPr>
      <w:bookmarkStart w:id="117" w:name="_bookmark75"/>
      <w:bookmarkEnd w:id="117"/>
      <w:r>
        <w:rPr>
          <w:color w:val="767070"/>
          <w:sz w:val="16"/>
          <w:vertAlign w:val="superscript"/>
        </w:rPr>
        <w:t>31</w:t>
      </w:r>
      <w:r>
        <w:rPr>
          <w:color w:val="767070"/>
          <w:sz w:val="16"/>
        </w:rPr>
        <w:t xml:space="preserve"> The regulation requires that OTSUS funds be transferred in three tranches annually: in April, June and November.</w:t>
      </w:r>
      <w:r>
        <w:rPr>
          <w:color w:val="767070"/>
          <w:spacing w:val="-1"/>
          <w:sz w:val="16"/>
        </w:rPr>
        <w:t xml:space="preserve"> </w:t>
      </w:r>
      <w:r>
        <w:rPr>
          <w:color w:val="767070"/>
          <w:sz w:val="16"/>
        </w:rPr>
        <w:t>Regardless of the</w:t>
      </w:r>
      <w:r>
        <w:rPr>
          <w:color w:val="767070"/>
          <w:spacing w:val="40"/>
          <w:sz w:val="16"/>
        </w:rPr>
        <w:t xml:space="preserve"> </w:t>
      </w:r>
      <w:r>
        <w:rPr>
          <w:color w:val="767070"/>
          <w:sz w:val="16"/>
        </w:rPr>
        <w:t>provinces</w:t>
      </w:r>
      <w:r>
        <w:rPr>
          <w:color w:val="767070"/>
          <w:spacing w:val="-4"/>
          <w:sz w:val="16"/>
        </w:rPr>
        <w:t xml:space="preserve"> </w:t>
      </w:r>
      <w:r>
        <w:rPr>
          <w:color w:val="767070"/>
          <w:sz w:val="16"/>
        </w:rPr>
        <w:t>ability</w:t>
      </w:r>
      <w:r>
        <w:rPr>
          <w:color w:val="767070"/>
          <w:spacing w:val="-4"/>
          <w:sz w:val="16"/>
        </w:rPr>
        <w:t xml:space="preserve"> </w:t>
      </w:r>
      <w:r>
        <w:rPr>
          <w:color w:val="767070"/>
          <w:sz w:val="16"/>
        </w:rPr>
        <w:t>to</w:t>
      </w:r>
      <w:r>
        <w:rPr>
          <w:color w:val="767070"/>
          <w:spacing w:val="-5"/>
          <w:sz w:val="16"/>
        </w:rPr>
        <w:t xml:space="preserve"> </w:t>
      </w:r>
      <w:r>
        <w:rPr>
          <w:color w:val="767070"/>
          <w:sz w:val="16"/>
        </w:rPr>
        <w:t>fully</w:t>
      </w:r>
      <w:r>
        <w:rPr>
          <w:color w:val="767070"/>
          <w:spacing w:val="-6"/>
          <w:sz w:val="16"/>
        </w:rPr>
        <w:t xml:space="preserve"> </w:t>
      </w:r>
      <w:r>
        <w:rPr>
          <w:color w:val="767070"/>
          <w:sz w:val="16"/>
        </w:rPr>
        <w:t>disburse</w:t>
      </w:r>
      <w:r>
        <w:rPr>
          <w:color w:val="767070"/>
          <w:spacing w:val="-5"/>
          <w:sz w:val="16"/>
        </w:rPr>
        <w:t xml:space="preserve"> </w:t>
      </w:r>
      <w:r>
        <w:rPr>
          <w:color w:val="767070"/>
          <w:sz w:val="16"/>
        </w:rPr>
        <w:t>funds</w:t>
      </w:r>
      <w:r>
        <w:rPr>
          <w:color w:val="767070"/>
          <w:spacing w:val="-4"/>
          <w:sz w:val="16"/>
        </w:rPr>
        <w:t xml:space="preserve"> </w:t>
      </w:r>
      <w:r>
        <w:rPr>
          <w:color w:val="767070"/>
          <w:sz w:val="16"/>
        </w:rPr>
        <w:t>previously</w:t>
      </w:r>
      <w:r>
        <w:rPr>
          <w:color w:val="767070"/>
          <w:spacing w:val="-4"/>
          <w:sz w:val="16"/>
        </w:rPr>
        <w:t xml:space="preserve"> </w:t>
      </w:r>
      <w:r>
        <w:rPr>
          <w:color w:val="767070"/>
          <w:sz w:val="16"/>
        </w:rPr>
        <w:t>transferred,</w:t>
      </w:r>
      <w:r>
        <w:rPr>
          <w:color w:val="767070"/>
          <w:spacing w:val="-6"/>
          <w:sz w:val="16"/>
        </w:rPr>
        <w:t xml:space="preserve"> </w:t>
      </w:r>
      <w:r>
        <w:rPr>
          <w:color w:val="767070"/>
          <w:sz w:val="16"/>
        </w:rPr>
        <w:t>all</w:t>
      </w:r>
      <w:r>
        <w:rPr>
          <w:color w:val="767070"/>
          <w:spacing w:val="-7"/>
          <w:sz w:val="16"/>
        </w:rPr>
        <w:t xml:space="preserve"> </w:t>
      </w:r>
      <w:r>
        <w:rPr>
          <w:color w:val="767070"/>
          <w:sz w:val="16"/>
        </w:rPr>
        <w:t>allocated</w:t>
      </w:r>
      <w:r>
        <w:rPr>
          <w:color w:val="767070"/>
          <w:spacing w:val="-7"/>
          <w:sz w:val="16"/>
        </w:rPr>
        <w:t xml:space="preserve"> </w:t>
      </w:r>
      <w:r>
        <w:rPr>
          <w:color w:val="767070"/>
          <w:sz w:val="16"/>
        </w:rPr>
        <w:t>OTSUS</w:t>
      </w:r>
      <w:r>
        <w:rPr>
          <w:color w:val="767070"/>
          <w:spacing w:val="-5"/>
          <w:sz w:val="16"/>
        </w:rPr>
        <w:t xml:space="preserve"> </w:t>
      </w:r>
      <w:r>
        <w:rPr>
          <w:color w:val="767070"/>
          <w:sz w:val="16"/>
        </w:rPr>
        <w:t>funds</w:t>
      </w:r>
      <w:r>
        <w:rPr>
          <w:color w:val="767070"/>
          <w:spacing w:val="-4"/>
          <w:sz w:val="16"/>
        </w:rPr>
        <w:t xml:space="preserve"> </w:t>
      </w:r>
      <w:r>
        <w:rPr>
          <w:color w:val="767070"/>
          <w:sz w:val="16"/>
        </w:rPr>
        <w:t>will</w:t>
      </w:r>
      <w:r>
        <w:rPr>
          <w:color w:val="767070"/>
          <w:spacing w:val="-4"/>
          <w:sz w:val="16"/>
        </w:rPr>
        <w:t xml:space="preserve"> </w:t>
      </w:r>
      <w:r>
        <w:rPr>
          <w:color w:val="767070"/>
          <w:sz w:val="16"/>
        </w:rPr>
        <w:t>be</w:t>
      </w:r>
      <w:r>
        <w:rPr>
          <w:color w:val="767070"/>
          <w:spacing w:val="-5"/>
          <w:sz w:val="16"/>
        </w:rPr>
        <w:t xml:space="preserve"> </w:t>
      </w:r>
      <w:r>
        <w:rPr>
          <w:color w:val="767070"/>
          <w:sz w:val="16"/>
        </w:rPr>
        <w:t>fully</w:t>
      </w:r>
      <w:r>
        <w:rPr>
          <w:color w:val="767070"/>
          <w:spacing w:val="-4"/>
          <w:sz w:val="16"/>
        </w:rPr>
        <w:t xml:space="preserve"> </w:t>
      </w:r>
      <w:r>
        <w:rPr>
          <w:color w:val="767070"/>
          <w:sz w:val="16"/>
        </w:rPr>
        <w:t>transferred</w:t>
      </w:r>
      <w:r>
        <w:rPr>
          <w:color w:val="767070"/>
          <w:spacing w:val="-4"/>
          <w:sz w:val="16"/>
        </w:rPr>
        <w:t xml:space="preserve"> </w:t>
      </w:r>
      <w:r>
        <w:rPr>
          <w:color w:val="767070"/>
          <w:sz w:val="16"/>
        </w:rPr>
        <w:t>7</w:t>
      </w:r>
      <w:r>
        <w:rPr>
          <w:color w:val="767070"/>
          <w:spacing w:val="-7"/>
          <w:sz w:val="16"/>
        </w:rPr>
        <w:t xml:space="preserve"> </w:t>
      </w:r>
      <w:r>
        <w:rPr>
          <w:color w:val="767070"/>
          <w:sz w:val="16"/>
        </w:rPr>
        <w:t>days</w:t>
      </w:r>
      <w:r>
        <w:rPr>
          <w:color w:val="767070"/>
          <w:spacing w:val="-4"/>
          <w:sz w:val="16"/>
        </w:rPr>
        <w:t xml:space="preserve"> </w:t>
      </w:r>
      <w:r>
        <w:rPr>
          <w:color w:val="767070"/>
          <w:sz w:val="16"/>
        </w:rPr>
        <w:t>before</w:t>
      </w:r>
      <w:r>
        <w:rPr>
          <w:color w:val="767070"/>
          <w:spacing w:val="-5"/>
          <w:sz w:val="16"/>
        </w:rPr>
        <w:t xml:space="preserve"> </w:t>
      </w:r>
      <w:r>
        <w:rPr>
          <w:color w:val="767070"/>
          <w:sz w:val="16"/>
        </w:rPr>
        <w:t>the</w:t>
      </w:r>
      <w:r>
        <w:rPr>
          <w:color w:val="767070"/>
          <w:spacing w:val="-5"/>
          <w:sz w:val="16"/>
        </w:rPr>
        <w:t xml:space="preserve"> </w:t>
      </w:r>
      <w:r>
        <w:rPr>
          <w:color w:val="767070"/>
          <w:sz w:val="16"/>
        </w:rPr>
        <w:t>end</w:t>
      </w:r>
      <w:r>
        <w:rPr>
          <w:color w:val="767070"/>
          <w:spacing w:val="-4"/>
          <w:sz w:val="16"/>
        </w:rPr>
        <w:t xml:space="preserve"> </w:t>
      </w:r>
      <w:r>
        <w:rPr>
          <w:color w:val="767070"/>
          <w:sz w:val="16"/>
        </w:rPr>
        <w:t>of</w:t>
      </w:r>
      <w:r>
        <w:rPr>
          <w:color w:val="767070"/>
          <w:spacing w:val="-5"/>
          <w:sz w:val="16"/>
        </w:rPr>
        <w:t xml:space="preserve"> </w:t>
      </w:r>
      <w:r>
        <w:rPr>
          <w:color w:val="767070"/>
          <w:sz w:val="16"/>
        </w:rPr>
        <w:t>the</w:t>
      </w:r>
      <w:r>
        <w:rPr>
          <w:color w:val="767070"/>
          <w:spacing w:val="40"/>
          <w:sz w:val="16"/>
        </w:rPr>
        <w:t xml:space="preserve"> </w:t>
      </w:r>
      <w:r>
        <w:rPr>
          <w:color w:val="767070"/>
          <w:sz w:val="16"/>
        </w:rPr>
        <w:t>calendar</w:t>
      </w:r>
      <w:r>
        <w:rPr>
          <w:color w:val="767070"/>
          <w:spacing w:val="-7"/>
          <w:sz w:val="16"/>
        </w:rPr>
        <w:t xml:space="preserve"> </w:t>
      </w:r>
      <w:r>
        <w:rPr>
          <w:color w:val="767070"/>
          <w:sz w:val="16"/>
        </w:rPr>
        <w:t>year.</w:t>
      </w:r>
    </w:p>
    <w:p w14:paraId="2AD45EF9" w14:textId="77777777" w:rsidR="00BC24A8" w:rsidRDefault="00000000">
      <w:pPr>
        <w:spacing w:line="195" w:lineRule="exact"/>
        <w:ind w:left="143"/>
        <w:rPr>
          <w:sz w:val="16"/>
        </w:rPr>
      </w:pPr>
      <w:bookmarkStart w:id="118" w:name="_bookmark76"/>
      <w:bookmarkEnd w:id="118"/>
      <w:r>
        <w:rPr>
          <w:color w:val="767070"/>
          <w:spacing w:val="-2"/>
          <w:sz w:val="16"/>
          <w:vertAlign w:val="superscript"/>
        </w:rPr>
        <w:t>32</w:t>
      </w:r>
      <w:r>
        <w:rPr>
          <w:color w:val="767070"/>
          <w:spacing w:val="-2"/>
          <w:sz w:val="16"/>
        </w:rPr>
        <w:t xml:space="preserve"> SIPPP, SIKD</w:t>
      </w:r>
      <w:r>
        <w:rPr>
          <w:color w:val="767070"/>
          <w:sz w:val="16"/>
        </w:rPr>
        <w:t xml:space="preserve"> </w:t>
      </w:r>
      <w:r>
        <w:rPr>
          <w:color w:val="767070"/>
          <w:spacing w:val="-2"/>
          <w:sz w:val="16"/>
        </w:rPr>
        <w:t>OTSUS</w:t>
      </w:r>
      <w:r>
        <w:rPr>
          <w:color w:val="767070"/>
          <w:spacing w:val="-1"/>
          <w:sz w:val="16"/>
        </w:rPr>
        <w:t xml:space="preserve"> </w:t>
      </w:r>
      <w:r>
        <w:rPr>
          <w:color w:val="767070"/>
          <w:spacing w:val="-5"/>
          <w:sz w:val="16"/>
        </w:rPr>
        <w:t>and</w:t>
      </w:r>
    </w:p>
    <w:p w14:paraId="304C4B34" w14:textId="77777777" w:rsidR="00BC24A8" w:rsidRDefault="00BC24A8">
      <w:pPr>
        <w:spacing w:line="195" w:lineRule="exact"/>
        <w:rPr>
          <w:sz w:val="16"/>
        </w:rPr>
        <w:sectPr w:rsidR="00BC24A8">
          <w:pgSz w:w="11910" w:h="16840"/>
          <w:pgMar w:top="1360" w:right="850" w:bottom="1100" w:left="1275" w:header="0" w:footer="907" w:gutter="0"/>
          <w:cols w:space="720"/>
        </w:sectPr>
      </w:pPr>
    </w:p>
    <w:p w14:paraId="79EDE513" w14:textId="77777777" w:rsidR="00BC24A8" w:rsidRDefault="00000000">
      <w:pPr>
        <w:pStyle w:val="Heading2"/>
        <w:spacing w:before="81" w:line="290" w:lineRule="auto"/>
        <w:ind w:right="662" w:hanging="1"/>
      </w:pPr>
      <w:bookmarkStart w:id="119" w:name="Annex_2_-_SKALA_supported_Papuan_provinc"/>
      <w:bookmarkStart w:id="120" w:name="_bookmark77"/>
      <w:bookmarkEnd w:id="119"/>
      <w:bookmarkEnd w:id="120"/>
      <w:r>
        <w:rPr>
          <w:color w:val="163558"/>
          <w:spacing w:val="-4"/>
        </w:rPr>
        <w:lastRenderedPageBreak/>
        <w:t>Annex</w:t>
      </w:r>
      <w:r>
        <w:rPr>
          <w:color w:val="163558"/>
          <w:spacing w:val="-39"/>
        </w:rPr>
        <w:t xml:space="preserve"> </w:t>
      </w:r>
      <w:r>
        <w:rPr>
          <w:color w:val="163558"/>
          <w:spacing w:val="-4"/>
        </w:rPr>
        <w:t>2</w:t>
      </w:r>
      <w:r>
        <w:rPr>
          <w:color w:val="163558"/>
          <w:spacing w:val="-38"/>
        </w:rPr>
        <w:t xml:space="preserve"> </w:t>
      </w:r>
      <w:r>
        <w:rPr>
          <w:color w:val="163558"/>
          <w:spacing w:val="-4"/>
        </w:rPr>
        <w:t>-</w:t>
      </w:r>
      <w:r>
        <w:rPr>
          <w:color w:val="163558"/>
          <w:spacing w:val="-37"/>
        </w:rPr>
        <w:t xml:space="preserve"> </w:t>
      </w:r>
      <w:r>
        <w:rPr>
          <w:color w:val="163558"/>
          <w:spacing w:val="-4"/>
        </w:rPr>
        <w:t>SKALA</w:t>
      </w:r>
      <w:r>
        <w:rPr>
          <w:color w:val="163558"/>
          <w:spacing w:val="-36"/>
        </w:rPr>
        <w:t xml:space="preserve"> </w:t>
      </w:r>
      <w:r>
        <w:rPr>
          <w:color w:val="163558"/>
          <w:spacing w:val="-4"/>
        </w:rPr>
        <w:t>supported</w:t>
      </w:r>
      <w:r>
        <w:rPr>
          <w:color w:val="163558"/>
          <w:spacing w:val="-37"/>
        </w:rPr>
        <w:t xml:space="preserve"> </w:t>
      </w:r>
      <w:r>
        <w:rPr>
          <w:color w:val="163558"/>
          <w:spacing w:val="-4"/>
        </w:rPr>
        <w:t>Papuan</w:t>
      </w:r>
      <w:r>
        <w:rPr>
          <w:color w:val="163558"/>
          <w:spacing w:val="-39"/>
        </w:rPr>
        <w:t xml:space="preserve"> </w:t>
      </w:r>
      <w:r>
        <w:rPr>
          <w:color w:val="163558"/>
          <w:spacing w:val="-4"/>
        </w:rPr>
        <w:t xml:space="preserve">province </w:t>
      </w:r>
      <w:r>
        <w:rPr>
          <w:color w:val="163558"/>
        </w:rPr>
        <w:t>program improvements</w:t>
      </w:r>
    </w:p>
    <w:p w14:paraId="367A0C47" w14:textId="77777777" w:rsidR="00BC24A8" w:rsidRDefault="00000000">
      <w:pPr>
        <w:pStyle w:val="BodyText"/>
        <w:spacing w:before="244" w:line="278" w:lineRule="auto"/>
        <w:ind w:left="143" w:right="562"/>
        <w:jc w:val="both"/>
      </w:pPr>
      <w:r>
        <w:t>During</w:t>
      </w:r>
      <w:r>
        <w:rPr>
          <w:spacing w:val="-2"/>
        </w:rPr>
        <w:t xml:space="preserve"> </w:t>
      </w:r>
      <w:r>
        <w:t>the</w:t>
      </w:r>
      <w:r>
        <w:rPr>
          <w:spacing w:val="-1"/>
        </w:rPr>
        <w:t xml:space="preserve"> </w:t>
      </w:r>
      <w:r>
        <w:t>current</w:t>
      </w:r>
      <w:r>
        <w:rPr>
          <w:spacing w:val="-1"/>
        </w:rPr>
        <w:t xml:space="preserve"> </w:t>
      </w:r>
      <w:r>
        <w:t>reporting period,</w:t>
      </w:r>
      <w:r>
        <w:rPr>
          <w:spacing w:val="-1"/>
        </w:rPr>
        <w:t xml:space="preserve"> </w:t>
      </w:r>
      <w:r>
        <w:t>SKALA continued</w:t>
      </w:r>
      <w:r>
        <w:rPr>
          <w:spacing w:val="-2"/>
        </w:rPr>
        <w:t xml:space="preserve"> </w:t>
      </w:r>
      <w:r>
        <w:t>to build</w:t>
      </w:r>
      <w:r>
        <w:rPr>
          <w:spacing w:val="-2"/>
        </w:rPr>
        <w:t xml:space="preserve"> </w:t>
      </w:r>
      <w:r>
        <w:t>capacity in</w:t>
      </w:r>
      <w:r>
        <w:rPr>
          <w:spacing w:val="-2"/>
        </w:rPr>
        <w:t xml:space="preserve"> </w:t>
      </w:r>
      <w:r>
        <w:t>Papuan</w:t>
      </w:r>
      <w:r>
        <w:rPr>
          <w:spacing w:val="-3"/>
        </w:rPr>
        <w:t xml:space="preserve"> </w:t>
      </w:r>
      <w:r>
        <w:t>provinces</w:t>
      </w:r>
      <w:r>
        <w:rPr>
          <w:spacing w:val="-1"/>
        </w:rPr>
        <w:t xml:space="preserve"> </w:t>
      </w:r>
      <w:r>
        <w:t>to</w:t>
      </w:r>
      <w:r>
        <w:rPr>
          <w:spacing w:val="-2"/>
        </w:rPr>
        <w:t xml:space="preserve"> </w:t>
      </w:r>
      <w:r>
        <w:t>plan for and use OTSUS funds in line with national guidelines. SKALA supported the socialisation of the new national participatory OTSUS planning guidance</w:t>
      </w:r>
      <w:hyperlink w:anchor="_bookmark79" w:history="1">
        <w:r w:rsidR="00BC24A8">
          <w:rPr>
            <w:vertAlign w:val="superscript"/>
          </w:rPr>
          <w:t>33</w:t>
        </w:r>
      </w:hyperlink>
      <w:r>
        <w:t xml:space="preserve"> to 152 (M:113 &amp; F:39) personnel</w:t>
      </w:r>
      <w:r>
        <w:rPr>
          <w:spacing w:val="-1"/>
        </w:rPr>
        <w:t xml:space="preserve"> </w:t>
      </w:r>
      <w:r>
        <w:t>from all six Papuan provinces</w:t>
      </w:r>
      <w:hyperlink w:anchor="_bookmark80" w:history="1">
        <w:r w:rsidR="00BC24A8">
          <w:rPr>
            <w:vertAlign w:val="superscript"/>
          </w:rPr>
          <w:t>34</w:t>
        </w:r>
      </w:hyperlink>
      <w:r>
        <w:t xml:space="preserve">. While this guideline has not been used for the 2026 OTSUS annual plan, this socialisation was an important way to promote dialogue between subnational and national agencies on its future </w:t>
      </w:r>
      <w:r>
        <w:rPr>
          <w:spacing w:val="-2"/>
        </w:rPr>
        <w:t>implementation.</w:t>
      </w:r>
    </w:p>
    <w:p w14:paraId="0335DBBC" w14:textId="77777777" w:rsidR="00BC24A8" w:rsidRDefault="00000000">
      <w:pPr>
        <w:pStyle w:val="BodyText"/>
        <w:spacing w:before="159" w:line="278" w:lineRule="auto"/>
        <w:ind w:left="143" w:right="562"/>
        <w:jc w:val="both"/>
      </w:pPr>
      <w:r>
        <w:rPr>
          <w:spacing w:val="-2"/>
        </w:rPr>
        <w:t>This reporting period,</w:t>
      </w:r>
      <w:r>
        <w:rPr>
          <w:spacing w:val="-3"/>
        </w:rPr>
        <w:t xml:space="preserve"> </w:t>
      </w:r>
      <w:r>
        <w:rPr>
          <w:spacing w:val="-2"/>
        </w:rPr>
        <w:t>SKALA also</w:t>
      </w:r>
      <w:r>
        <w:rPr>
          <w:spacing w:val="-4"/>
        </w:rPr>
        <w:t xml:space="preserve"> </w:t>
      </w:r>
      <w:r>
        <w:rPr>
          <w:spacing w:val="-2"/>
        </w:rPr>
        <w:t>supported</w:t>
      </w:r>
      <w:r>
        <w:rPr>
          <w:spacing w:val="-3"/>
        </w:rPr>
        <w:t xml:space="preserve"> </w:t>
      </w:r>
      <w:r>
        <w:rPr>
          <w:spacing w:val="-2"/>
        </w:rPr>
        <w:t>Papuan provinces to</w:t>
      </w:r>
      <w:r>
        <w:rPr>
          <w:spacing w:val="-4"/>
        </w:rPr>
        <w:t xml:space="preserve"> </w:t>
      </w:r>
      <w:r>
        <w:rPr>
          <w:spacing w:val="-2"/>
        </w:rPr>
        <w:t>develop</w:t>
      </w:r>
      <w:r>
        <w:rPr>
          <w:spacing w:val="-3"/>
        </w:rPr>
        <w:t xml:space="preserve"> </w:t>
      </w:r>
      <w:r>
        <w:rPr>
          <w:spacing w:val="-2"/>
        </w:rPr>
        <w:t>enabling</w:t>
      </w:r>
      <w:r>
        <w:rPr>
          <w:spacing w:val="-4"/>
        </w:rPr>
        <w:t xml:space="preserve"> </w:t>
      </w:r>
      <w:r>
        <w:rPr>
          <w:spacing w:val="-2"/>
        </w:rPr>
        <w:t>systems and</w:t>
      </w:r>
      <w:r>
        <w:rPr>
          <w:spacing w:val="-3"/>
        </w:rPr>
        <w:t xml:space="preserve"> </w:t>
      </w:r>
      <w:r>
        <w:rPr>
          <w:spacing w:val="-2"/>
        </w:rPr>
        <w:t xml:space="preserve">strategic </w:t>
      </w:r>
      <w:r>
        <w:t>programs funded by OTSUS- including programs focused on social protection programs, free school programs, and village data systems expansion. By supporting the planning process of these specific programs, SKALA aims to demonstrate how to effectively design and govern OTSUS-funded programs. By supporting applied program governance quality, SKALA hopes process and practice lessons can be replicated</w:t>
      </w:r>
      <w:r>
        <w:rPr>
          <w:spacing w:val="-8"/>
        </w:rPr>
        <w:t xml:space="preserve"> </w:t>
      </w:r>
      <w:r>
        <w:t>across</w:t>
      </w:r>
      <w:r>
        <w:rPr>
          <w:spacing w:val="-10"/>
        </w:rPr>
        <w:t xml:space="preserve"> </w:t>
      </w:r>
      <w:r>
        <w:t>other</w:t>
      </w:r>
      <w:r>
        <w:rPr>
          <w:spacing w:val="-10"/>
        </w:rPr>
        <w:t xml:space="preserve"> </w:t>
      </w:r>
      <w:r>
        <w:t>programs</w:t>
      </w:r>
      <w:r>
        <w:rPr>
          <w:spacing w:val="-10"/>
        </w:rPr>
        <w:t xml:space="preserve"> </w:t>
      </w:r>
      <w:r>
        <w:t>in</w:t>
      </w:r>
      <w:r>
        <w:rPr>
          <w:spacing w:val="-10"/>
        </w:rPr>
        <w:t xml:space="preserve"> </w:t>
      </w:r>
      <w:r>
        <w:t>Papuan</w:t>
      </w:r>
      <w:r>
        <w:rPr>
          <w:spacing w:val="-10"/>
        </w:rPr>
        <w:t xml:space="preserve"> </w:t>
      </w:r>
      <w:r>
        <w:t>provinces.</w:t>
      </w:r>
      <w:r>
        <w:rPr>
          <w:spacing w:val="-11"/>
        </w:rPr>
        <w:t xml:space="preserve"> </w:t>
      </w:r>
      <w:r>
        <w:t>By</w:t>
      </w:r>
      <w:r>
        <w:rPr>
          <w:spacing w:val="-10"/>
        </w:rPr>
        <w:t xml:space="preserve"> </w:t>
      </w:r>
      <w:r>
        <w:t>supporting</w:t>
      </w:r>
      <w:r>
        <w:rPr>
          <w:spacing w:val="-10"/>
        </w:rPr>
        <w:t xml:space="preserve"> </w:t>
      </w:r>
      <w:r>
        <w:t>this,</w:t>
      </w:r>
      <w:r>
        <w:rPr>
          <w:spacing w:val="-7"/>
        </w:rPr>
        <w:t xml:space="preserve"> </w:t>
      </w:r>
      <w:r>
        <w:t>it</w:t>
      </w:r>
      <w:r>
        <w:rPr>
          <w:spacing w:val="-10"/>
        </w:rPr>
        <w:t xml:space="preserve"> </w:t>
      </w:r>
      <w:r>
        <w:t>is</w:t>
      </w:r>
      <w:r>
        <w:rPr>
          <w:spacing w:val="-10"/>
        </w:rPr>
        <w:t xml:space="preserve"> </w:t>
      </w:r>
      <w:r>
        <w:t>expected</w:t>
      </w:r>
      <w:r>
        <w:rPr>
          <w:spacing w:val="-8"/>
        </w:rPr>
        <w:t xml:space="preserve"> </w:t>
      </w:r>
      <w:r>
        <w:t>to</w:t>
      </w:r>
      <w:r>
        <w:rPr>
          <w:spacing w:val="-8"/>
        </w:rPr>
        <w:t xml:space="preserve"> </w:t>
      </w:r>
      <w:r>
        <w:t>contribute</w:t>
      </w:r>
      <w:r>
        <w:rPr>
          <w:spacing w:val="-9"/>
        </w:rPr>
        <w:t xml:space="preserve"> </w:t>
      </w:r>
      <w:r>
        <w:t>to better</w:t>
      </w:r>
      <w:r>
        <w:rPr>
          <w:spacing w:val="-6"/>
        </w:rPr>
        <w:t xml:space="preserve"> </w:t>
      </w:r>
      <w:r>
        <w:t>use</w:t>
      </w:r>
      <w:r>
        <w:rPr>
          <w:spacing w:val="-7"/>
        </w:rPr>
        <w:t xml:space="preserve"> </w:t>
      </w:r>
      <w:r>
        <w:t>of</w:t>
      </w:r>
      <w:r>
        <w:rPr>
          <w:spacing w:val="-7"/>
        </w:rPr>
        <w:t xml:space="preserve"> </w:t>
      </w:r>
      <w:r>
        <w:t>the</w:t>
      </w:r>
      <w:r>
        <w:rPr>
          <w:spacing w:val="-7"/>
        </w:rPr>
        <w:t xml:space="preserve"> </w:t>
      </w:r>
      <w:r>
        <w:t>OTSUS</w:t>
      </w:r>
      <w:r>
        <w:rPr>
          <w:spacing w:val="-6"/>
        </w:rPr>
        <w:t xml:space="preserve"> </w:t>
      </w:r>
      <w:r>
        <w:t>fund.</w:t>
      </w:r>
      <w:r>
        <w:rPr>
          <w:spacing w:val="-6"/>
        </w:rPr>
        <w:t xml:space="preserve"> </w:t>
      </w:r>
      <w:r>
        <w:t>The</w:t>
      </w:r>
      <w:r>
        <w:rPr>
          <w:spacing w:val="-7"/>
        </w:rPr>
        <w:t xml:space="preserve"> </w:t>
      </w:r>
      <w:r>
        <w:t>supported</w:t>
      </w:r>
      <w:r>
        <w:rPr>
          <w:spacing w:val="-6"/>
        </w:rPr>
        <w:t xml:space="preserve"> </w:t>
      </w:r>
      <w:r>
        <w:t>initiatives</w:t>
      </w:r>
      <w:r>
        <w:rPr>
          <w:spacing w:val="-7"/>
        </w:rPr>
        <w:t xml:space="preserve"> </w:t>
      </w:r>
      <w:r>
        <w:t>are</w:t>
      </w:r>
      <w:r>
        <w:rPr>
          <w:spacing w:val="-7"/>
        </w:rPr>
        <w:t xml:space="preserve"> </w:t>
      </w:r>
      <w:r>
        <w:t>summarised</w:t>
      </w:r>
      <w:r>
        <w:rPr>
          <w:spacing w:val="-6"/>
        </w:rPr>
        <w:t xml:space="preserve"> </w:t>
      </w:r>
      <w:r>
        <w:t>in</w:t>
      </w:r>
      <w:r>
        <w:rPr>
          <w:spacing w:val="-6"/>
        </w:rPr>
        <w:t xml:space="preserve"> </w:t>
      </w:r>
      <w:r>
        <w:t>Table</w:t>
      </w:r>
      <w:r>
        <w:rPr>
          <w:spacing w:val="-7"/>
        </w:rPr>
        <w:t xml:space="preserve"> </w:t>
      </w:r>
      <w:r>
        <w:t>12.</w:t>
      </w:r>
      <w:r>
        <w:rPr>
          <w:spacing w:val="-6"/>
        </w:rPr>
        <w:t xml:space="preserve"> </w:t>
      </w:r>
      <w:r>
        <w:t>SKALA</w:t>
      </w:r>
      <w:r>
        <w:rPr>
          <w:spacing w:val="-6"/>
        </w:rPr>
        <w:t xml:space="preserve"> </w:t>
      </w:r>
      <w:r>
        <w:t>TA</w:t>
      </w:r>
      <w:r>
        <w:rPr>
          <w:spacing w:val="-6"/>
        </w:rPr>
        <w:t xml:space="preserve"> </w:t>
      </w:r>
      <w:r>
        <w:t>provided technical support for the design, regulations and management procedures for these programs.</w:t>
      </w:r>
    </w:p>
    <w:p w14:paraId="443B69E7" w14:textId="77777777" w:rsidR="00BC24A8" w:rsidRDefault="00BC24A8">
      <w:pPr>
        <w:pStyle w:val="BodyText"/>
        <w:spacing w:before="198"/>
      </w:pPr>
    </w:p>
    <w:p w14:paraId="365A9C03" w14:textId="77777777" w:rsidR="00BC24A8" w:rsidRDefault="00000000">
      <w:pPr>
        <w:pStyle w:val="Heading5"/>
      </w:pPr>
      <w:bookmarkStart w:id="121" w:name="_bookmark78"/>
      <w:bookmarkEnd w:id="121"/>
      <w:r>
        <w:rPr>
          <w:color w:val="767070"/>
        </w:rPr>
        <w:t>Table</w:t>
      </w:r>
      <w:r>
        <w:rPr>
          <w:color w:val="767070"/>
          <w:spacing w:val="-5"/>
        </w:rPr>
        <w:t xml:space="preserve"> </w:t>
      </w:r>
      <w:r>
        <w:rPr>
          <w:color w:val="767070"/>
        </w:rPr>
        <w:t>4:</w:t>
      </w:r>
      <w:r>
        <w:rPr>
          <w:color w:val="767070"/>
          <w:spacing w:val="-3"/>
        </w:rPr>
        <w:t xml:space="preserve"> </w:t>
      </w:r>
      <w:r>
        <w:rPr>
          <w:color w:val="767070"/>
        </w:rPr>
        <w:t>OTSUS-funded</w:t>
      </w:r>
      <w:r>
        <w:rPr>
          <w:color w:val="767070"/>
          <w:spacing w:val="-2"/>
        </w:rPr>
        <w:t xml:space="preserve"> </w:t>
      </w:r>
      <w:r>
        <w:rPr>
          <w:color w:val="767070"/>
        </w:rPr>
        <w:t>systems</w:t>
      </w:r>
      <w:r>
        <w:rPr>
          <w:color w:val="767070"/>
          <w:spacing w:val="-1"/>
        </w:rPr>
        <w:t xml:space="preserve"> </w:t>
      </w:r>
      <w:r>
        <w:rPr>
          <w:color w:val="767070"/>
        </w:rPr>
        <w:t>and</w:t>
      </w:r>
      <w:r>
        <w:rPr>
          <w:color w:val="767070"/>
          <w:spacing w:val="-3"/>
        </w:rPr>
        <w:t xml:space="preserve"> </w:t>
      </w:r>
      <w:r>
        <w:rPr>
          <w:color w:val="767070"/>
        </w:rPr>
        <w:t>strategic</w:t>
      </w:r>
      <w:r>
        <w:rPr>
          <w:color w:val="767070"/>
          <w:spacing w:val="-3"/>
        </w:rPr>
        <w:t xml:space="preserve"> </w:t>
      </w:r>
      <w:r>
        <w:rPr>
          <w:color w:val="767070"/>
        </w:rPr>
        <w:t>programs</w:t>
      </w:r>
      <w:r>
        <w:rPr>
          <w:color w:val="767070"/>
          <w:spacing w:val="-1"/>
        </w:rPr>
        <w:t xml:space="preserve"> </w:t>
      </w:r>
      <w:r>
        <w:rPr>
          <w:color w:val="767070"/>
        </w:rPr>
        <w:t>in</w:t>
      </w:r>
      <w:r>
        <w:rPr>
          <w:color w:val="767070"/>
          <w:spacing w:val="-2"/>
        </w:rPr>
        <w:t xml:space="preserve"> </w:t>
      </w:r>
      <w:r>
        <w:rPr>
          <w:color w:val="767070"/>
        </w:rPr>
        <w:t>Papuan</w:t>
      </w:r>
      <w:r>
        <w:rPr>
          <w:color w:val="767070"/>
          <w:spacing w:val="-3"/>
        </w:rPr>
        <w:t xml:space="preserve"> </w:t>
      </w:r>
      <w:r>
        <w:rPr>
          <w:color w:val="767070"/>
        </w:rPr>
        <w:t>provinces</w:t>
      </w:r>
      <w:r>
        <w:rPr>
          <w:color w:val="767070"/>
          <w:spacing w:val="-1"/>
        </w:rPr>
        <w:t xml:space="preserve"> </w:t>
      </w:r>
      <w:r>
        <w:rPr>
          <w:color w:val="767070"/>
        </w:rPr>
        <w:t>developed</w:t>
      </w:r>
      <w:r>
        <w:rPr>
          <w:color w:val="767070"/>
          <w:spacing w:val="-2"/>
        </w:rPr>
        <w:t xml:space="preserve"> </w:t>
      </w:r>
      <w:r>
        <w:rPr>
          <w:color w:val="767070"/>
        </w:rPr>
        <w:t>with</w:t>
      </w:r>
      <w:r>
        <w:rPr>
          <w:color w:val="767070"/>
          <w:spacing w:val="-2"/>
        </w:rPr>
        <w:t xml:space="preserve"> SKALA</w:t>
      </w:r>
    </w:p>
    <w:p w14:paraId="4D1FE872" w14:textId="77777777" w:rsidR="00BC24A8" w:rsidRDefault="00000000">
      <w:pPr>
        <w:spacing w:before="1"/>
        <w:ind w:left="143"/>
        <w:rPr>
          <w:rFonts w:ascii="Calibri"/>
          <w:b/>
        </w:rPr>
      </w:pPr>
      <w:r>
        <w:rPr>
          <w:rFonts w:ascii="Calibri"/>
          <w:b/>
          <w:color w:val="767070"/>
          <w:spacing w:val="-2"/>
        </w:rPr>
        <w:t>support.</w:t>
      </w:r>
    </w:p>
    <w:p w14:paraId="5C253095" w14:textId="77777777" w:rsidR="00BC24A8" w:rsidRDefault="00BC24A8">
      <w:pPr>
        <w:pStyle w:val="BodyText"/>
        <w:spacing w:before="6" w:after="1"/>
        <w:rPr>
          <w:rFonts w:ascii="Calibri"/>
          <w:b/>
          <w:sz w:val="19"/>
        </w:rPr>
      </w:pPr>
    </w:p>
    <w:tbl>
      <w:tblPr>
        <w:tblW w:w="0" w:type="auto"/>
        <w:tblInd w:w="148" w:type="dxa"/>
        <w:tblLayout w:type="fixed"/>
        <w:tblCellMar>
          <w:left w:w="0" w:type="dxa"/>
          <w:right w:w="0" w:type="dxa"/>
        </w:tblCellMar>
        <w:tblLook w:val="01E0" w:firstRow="1" w:lastRow="1" w:firstColumn="1" w:lastColumn="1" w:noHBand="0" w:noVBand="0"/>
      </w:tblPr>
      <w:tblGrid>
        <w:gridCol w:w="2796"/>
        <w:gridCol w:w="948"/>
        <w:gridCol w:w="1518"/>
        <w:gridCol w:w="1002"/>
        <w:gridCol w:w="977"/>
        <w:gridCol w:w="963"/>
        <w:gridCol w:w="982"/>
      </w:tblGrid>
      <w:tr w:rsidR="00BC24A8" w14:paraId="48AC0D82" w14:textId="77777777">
        <w:trPr>
          <w:trHeight w:val="570"/>
        </w:trPr>
        <w:tc>
          <w:tcPr>
            <w:tcW w:w="2796" w:type="dxa"/>
            <w:vMerge w:val="restart"/>
            <w:tcBorders>
              <w:left w:val="single" w:sz="4" w:space="0" w:color="00ACA3"/>
              <w:right w:val="single" w:sz="18" w:space="0" w:color="FFFFFF"/>
            </w:tcBorders>
            <w:shd w:val="clear" w:color="auto" w:fill="17365A"/>
          </w:tcPr>
          <w:p w14:paraId="19C5B5CC" w14:textId="77777777" w:rsidR="00BC24A8" w:rsidRDefault="00BC24A8">
            <w:pPr>
              <w:pStyle w:val="TableParagraph"/>
              <w:rPr>
                <w:rFonts w:ascii="Calibri"/>
                <w:b/>
                <w:sz w:val="20"/>
              </w:rPr>
            </w:pPr>
          </w:p>
          <w:p w14:paraId="50DC1BA4" w14:textId="77777777" w:rsidR="00BC24A8" w:rsidRDefault="00BC24A8">
            <w:pPr>
              <w:pStyle w:val="TableParagraph"/>
              <w:spacing w:before="154"/>
              <w:rPr>
                <w:rFonts w:ascii="Calibri"/>
                <w:b/>
                <w:sz w:val="20"/>
              </w:rPr>
            </w:pPr>
          </w:p>
          <w:p w14:paraId="271D35D3" w14:textId="77777777" w:rsidR="00BC24A8" w:rsidRDefault="00000000">
            <w:pPr>
              <w:pStyle w:val="TableParagraph"/>
              <w:ind w:left="335"/>
              <w:rPr>
                <w:sz w:val="20"/>
              </w:rPr>
            </w:pPr>
            <w:r>
              <w:rPr>
                <w:color w:val="FFFFFF"/>
                <w:spacing w:val="-2"/>
                <w:sz w:val="20"/>
              </w:rPr>
              <w:t>Strategic</w:t>
            </w:r>
            <w:r>
              <w:rPr>
                <w:color w:val="FFFFFF"/>
                <w:spacing w:val="-1"/>
                <w:sz w:val="20"/>
              </w:rPr>
              <w:t xml:space="preserve"> </w:t>
            </w:r>
            <w:r>
              <w:rPr>
                <w:color w:val="FFFFFF"/>
                <w:spacing w:val="-2"/>
                <w:sz w:val="20"/>
              </w:rPr>
              <w:t>Program</w:t>
            </w:r>
            <w:r>
              <w:rPr>
                <w:color w:val="FFFFFF"/>
                <w:spacing w:val="4"/>
                <w:sz w:val="20"/>
              </w:rPr>
              <w:t xml:space="preserve"> </w:t>
            </w:r>
            <w:r>
              <w:rPr>
                <w:color w:val="FFFFFF"/>
                <w:spacing w:val="-2"/>
                <w:sz w:val="20"/>
              </w:rPr>
              <w:t>Priorities</w:t>
            </w:r>
          </w:p>
        </w:tc>
        <w:tc>
          <w:tcPr>
            <w:tcW w:w="948" w:type="dxa"/>
            <w:vMerge w:val="restart"/>
            <w:tcBorders>
              <w:left w:val="single" w:sz="18" w:space="0" w:color="FFFFFF"/>
              <w:right w:val="single" w:sz="18" w:space="0" w:color="FFFFFF"/>
            </w:tcBorders>
            <w:shd w:val="clear" w:color="auto" w:fill="17365A"/>
          </w:tcPr>
          <w:p w14:paraId="26A6B1ED" w14:textId="77777777" w:rsidR="00BC24A8" w:rsidRDefault="00BC24A8">
            <w:pPr>
              <w:pStyle w:val="TableParagraph"/>
              <w:rPr>
                <w:rFonts w:ascii="Calibri"/>
                <w:b/>
                <w:sz w:val="20"/>
              </w:rPr>
            </w:pPr>
          </w:p>
          <w:p w14:paraId="64049581" w14:textId="77777777" w:rsidR="00BC24A8" w:rsidRDefault="00BC24A8">
            <w:pPr>
              <w:pStyle w:val="TableParagraph"/>
              <w:spacing w:before="154"/>
              <w:rPr>
                <w:rFonts w:ascii="Calibri"/>
                <w:b/>
                <w:sz w:val="20"/>
              </w:rPr>
            </w:pPr>
          </w:p>
          <w:p w14:paraId="1EE86FD9" w14:textId="77777777" w:rsidR="00BC24A8" w:rsidRDefault="00000000">
            <w:pPr>
              <w:pStyle w:val="TableParagraph"/>
              <w:ind w:left="109"/>
              <w:rPr>
                <w:sz w:val="20"/>
              </w:rPr>
            </w:pPr>
            <w:r>
              <w:rPr>
                <w:color w:val="FFFFFF"/>
                <w:spacing w:val="-2"/>
                <w:sz w:val="20"/>
              </w:rPr>
              <w:t>Province</w:t>
            </w:r>
          </w:p>
        </w:tc>
        <w:tc>
          <w:tcPr>
            <w:tcW w:w="1518" w:type="dxa"/>
            <w:vMerge w:val="restart"/>
            <w:tcBorders>
              <w:left w:val="single" w:sz="18" w:space="0" w:color="FFFFFF"/>
              <w:right w:val="single" w:sz="18" w:space="0" w:color="FFFFFF"/>
            </w:tcBorders>
            <w:shd w:val="clear" w:color="auto" w:fill="17365A"/>
          </w:tcPr>
          <w:p w14:paraId="5617A695" w14:textId="77777777" w:rsidR="00BC24A8" w:rsidRDefault="00BC24A8">
            <w:pPr>
              <w:pStyle w:val="TableParagraph"/>
              <w:rPr>
                <w:rFonts w:ascii="Calibri"/>
                <w:b/>
                <w:sz w:val="20"/>
              </w:rPr>
            </w:pPr>
          </w:p>
          <w:p w14:paraId="645E784B" w14:textId="77777777" w:rsidR="00BC24A8" w:rsidRDefault="00BC24A8">
            <w:pPr>
              <w:pStyle w:val="TableParagraph"/>
              <w:spacing w:before="154"/>
              <w:rPr>
                <w:rFonts w:ascii="Calibri"/>
                <w:b/>
                <w:sz w:val="20"/>
              </w:rPr>
            </w:pPr>
          </w:p>
          <w:p w14:paraId="1739D11B" w14:textId="77777777" w:rsidR="00BC24A8" w:rsidRDefault="00000000">
            <w:pPr>
              <w:pStyle w:val="TableParagraph"/>
              <w:ind w:left="123"/>
              <w:rPr>
                <w:sz w:val="20"/>
              </w:rPr>
            </w:pPr>
            <w:r>
              <w:rPr>
                <w:color w:val="FFFFFF"/>
                <w:spacing w:val="-2"/>
                <w:sz w:val="20"/>
              </w:rPr>
              <w:t>Progress</w:t>
            </w:r>
            <w:r>
              <w:rPr>
                <w:color w:val="FFFFFF"/>
                <w:spacing w:val="2"/>
                <w:sz w:val="20"/>
              </w:rPr>
              <w:t xml:space="preserve"> </w:t>
            </w:r>
            <w:r>
              <w:rPr>
                <w:color w:val="FFFFFF"/>
                <w:spacing w:val="-2"/>
                <w:sz w:val="20"/>
              </w:rPr>
              <w:t>Status</w:t>
            </w:r>
          </w:p>
        </w:tc>
        <w:tc>
          <w:tcPr>
            <w:tcW w:w="3924" w:type="dxa"/>
            <w:gridSpan w:val="4"/>
            <w:tcBorders>
              <w:left w:val="single" w:sz="18" w:space="0" w:color="FFFFFF"/>
              <w:bottom w:val="single" w:sz="18" w:space="0" w:color="FFFFFF"/>
              <w:right w:val="single" w:sz="4" w:space="0" w:color="00ACA3"/>
            </w:tcBorders>
            <w:shd w:val="clear" w:color="auto" w:fill="17365A"/>
          </w:tcPr>
          <w:p w14:paraId="2017B5F4" w14:textId="77777777" w:rsidR="00BC24A8" w:rsidRDefault="00000000">
            <w:pPr>
              <w:pStyle w:val="TableParagraph"/>
              <w:spacing w:before="73" w:line="216" w:lineRule="auto"/>
              <w:ind w:left="1869" w:right="46" w:hanging="1774"/>
              <w:rPr>
                <w:sz w:val="20"/>
              </w:rPr>
            </w:pPr>
            <w:r>
              <w:rPr>
                <w:color w:val="FFFFFF"/>
                <w:sz w:val="20"/>
              </w:rPr>
              <w:t>SKALA</w:t>
            </w:r>
            <w:r>
              <w:rPr>
                <w:color w:val="FFFFFF"/>
                <w:spacing w:val="-11"/>
                <w:sz w:val="20"/>
              </w:rPr>
              <w:t xml:space="preserve"> </w:t>
            </w:r>
            <w:r>
              <w:rPr>
                <w:color w:val="FFFFFF"/>
                <w:sz w:val="20"/>
              </w:rPr>
              <w:t>facilitate</w:t>
            </w:r>
            <w:r>
              <w:rPr>
                <w:color w:val="FFFFFF"/>
                <w:spacing w:val="-11"/>
                <w:sz w:val="20"/>
              </w:rPr>
              <w:t xml:space="preserve"> </w:t>
            </w:r>
            <w:r>
              <w:rPr>
                <w:color w:val="FFFFFF"/>
                <w:sz w:val="20"/>
              </w:rPr>
              <w:t>and</w:t>
            </w:r>
            <w:r>
              <w:rPr>
                <w:color w:val="FFFFFF"/>
                <w:spacing w:val="-11"/>
                <w:sz w:val="20"/>
              </w:rPr>
              <w:t xml:space="preserve"> </w:t>
            </w:r>
            <w:r>
              <w:rPr>
                <w:color w:val="FFFFFF"/>
                <w:sz w:val="20"/>
              </w:rPr>
              <w:t>provides</w:t>
            </w:r>
            <w:r>
              <w:rPr>
                <w:color w:val="FFFFFF"/>
                <w:spacing w:val="-11"/>
                <w:sz w:val="20"/>
              </w:rPr>
              <w:t xml:space="preserve"> </w:t>
            </w:r>
            <w:r>
              <w:rPr>
                <w:color w:val="FFFFFF"/>
                <w:sz w:val="20"/>
              </w:rPr>
              <w:t>technical</w:t>
            </w:r>
            <w:r>
              <w:rPr>
                <w:color w:val="FFFFFF"/>
                <w:spacing w:val="-11"/>
                <w:sz w:val="20"/>
              </w:rPr>
              <w:t xml:space="preserve"> </w:t>
            </w:r>
            <w:r>
              <w:rPr>
                <w:color w:val="FFFFFF"/>
                <w:sz w:val="20"/>
              </w:rPr>
              <w:t xml:space="preserve">support </w:t>
            </w:r>
            <w:r>
              <w:rPr>
                <w:color w:val="FFFFFF"/>
                <w:spacing w:val="-4"/>
                <w:sz w:val="20"/>
              </w:rPr>
              <w:t>in:</w:t>
            </w:r>
          </w:p>
        </w:tc>
      </w:tr>
      <w:tr w:rsidR="00BC24A8" w14:paraId="3A1A1992" w14:textId="77777777">
        <w:trPr>
          <w:trHeight w:val="911"/>
        </w:trPr>
        <w:tc>
          <w:tcPr>
            <w:tcW w:w="2796" w:type="dxa"/>
            <w:vMerge/>
            <w:tcBorders>
              <w:top w:val="nil"/>
              <w:left w:val="single" w:sz="4" w:space="0" w:color="00ACA3"/>
              <w:right w:val="single" w:sz="18" w:space="0" w:color="FFFFFF"/>
            </w:tcBorders>
            <w:shd w:val="clear" w:color="auto" w:fill="17365A"/>
          </w:tcPr>
          <w:p w14:paraId="0B8F1317" w14:textId="77777777" w:rsidR="00BC24A8" w:rsidRDefault="00BC24A8">
            <w:pPr>
              <w:rPr>
                <w:sz w:val="2"/>
                <w:szCs w:val="2"/>
              </w:rPr>
            </w:pPr>
          </w:p>
        </w:tc>
        <w:tc>
          <w:tcPr>
            <w:tcW w:w="948" w:type="dxa"/>
            <w:vMerge/>
            <w:tcBorders>
              <w:top w:val="nil"/>
              <w:left w:val="single" w:sz="18" w:space="0" w:color="FFFFFF"/>
              <w:right w:val="single" w:sz="18" w:space="0" w:color="FFFFFF"/>
            </w:tcBorders>
            <w:shd w:val="clear" w:color="auto" w:fill="17365A"/>
          </w:tcPr>
          <w:p w14:paraId="0ADC0B30" w14:textId="77777777" w:rsidR="00BC24A8" w:rsidRDefault="00BC24A8">
            <w:pPr>
              <w:rPr>
                <w:sz w:val="2"/>
                <w:szCs w:val="2"/>
              </w:rPr>
            </w:pPr>
          </w:p>
        </w:tc>
        <w:tc>
          <w:tcPr>
            <w:tcW w:w="1518" w:type="dxa"/>
            <w:vMerge/>
            <w:tcBorders>
              <w:top w:val="nil"/>
              <w:left w:val="single" w:sz="18" w:space="0" w:color="FFFFFF"/>
              <w:right w:val="single" w:sz="18" w:space="0" w:color="FFFFFF"/>
            </w:tcBorders>
            <w:shd w:val="clear" w:color="auto" w:fill="17365A"/>
          </w:tcPr>
          <w:p w14:paraId="36A5DBE6" w14:textId="77777777" w:rsidR="00BC24A8" w:rsidRDefault="00BC24A8">
            <w:pPr>
              <w:rPr>
                <w:sz w:val="2"/>
                <w:szCs w:val="2"/>
              </w:rPr>
            </w:pPr>
          </w:p>
        </w:tc>
        <w:tc>
          <w:tcPr>
            <w:tcW w:w="1002" w:type="dxa"/>
            <w:tcBorders>
              <w:top w:val="single" w:sz="18" w:space="0" w:color="FFFFFF"/>
              <w:left w:val="single" w:sz="18" w:space="0" w:color="FFFFFF"/>
              <w:right w:val="single" w:sz="18" w:space="0" w:color="FFFFFF"/>
            </w:tcBorders>
            <w:shd w:val="clear" w:color="auto" w:fill="17365A"/>
          </w:tcPr>
          <w:p w14:paraId="13F1C785" w14:textId="77777777" w:rsidR="00BC24A8" w:rsidRDefault="00000000">
            <w:pPr>
              <w:pStyle w:val="TableParagraph"/>
              <w:spacing w:before="243" w:line="216" w:lineRule="auto"/>
              <w:ind w:left="206" w:right="137" w:hanging="70"/>
              <w:rPr>
                <w:sz w:val="20"/>
              </w:rPr>
            </w:pPr>
            <w:r>
              <w:rPr>
                <w:color w:val="FFFFFF"/>
                <w:spacing w:val="-4"/>
                <w:sz w:val="20"/>
              </w:rPr>
              <w:t xml:space="preserve">Program </w:t>
            </w:r>
            <w:r>
              <w:rPr>
                <w:color w:val="FFFFFF"/>
                <w:spacing w:val="-2"/>
                <w:sz w:val="20"/>
              </w:rPr>
              <w:t>Design</w:t>
            </w:r>
          </w:p>
        </w:tc>
        <w:tc>
          <w:tcPr>
            <w:tcW w:w="977" w:type="dxa"/>
            <w:tcBorders>
              <w:top w:val="single" w:sz="18" w:space="0" w:color="FFFFFF"/>
              <w:left w:val="single" w:sz="18" w:space="0" w:color="FFFFFF"/>
              <w:right w:val="single" w:sz="18" w:space="0" w:color="FFFFFF"/>
            </w:tcBorders>
            <w:shd w:val="clear" w:color="auto" w:fill="17365A"/>
          </w:tcPr>
          <w:p w14:paraId="3D7FFF4D" w14:textId="77777777" w:rsidR="00BC24A8" w:rsidRDefault="00000000">
            <w:pPr>
              <w:pStyle w:val="TableParagraph"/>
              <w:spacing w:before="243" w:line="216" w:lineRule="auto"/>
              <w:ind w:left="61" w:right="52" w:firstLine="139"/>
              <w:rPr>
                <w:sz w:val="20"/>
              </w:rPr>
            </w:pPr>
            <w:r>
              <w:rPr>
                <w:color w:val="FFFFFF"/>
                <w:spacing w:val="-2"/>
                <w:sz w:val="20"/>
              </w:rPr>
              <w:t>Policy/ regulation</w:t>
            </w:r>
          </w:p>
        </w:tc>
        <w:tc>
          <w:tcPr>
            <w:tcW w:w="963" w:type="dxa"/>
            <w:tcBorders>
              <w:top w:val="single" w:sz="18" w:space="0" w:color="FFFFFF"/>
              <w:left w:val="single" w:sz="18" w:space="0" w:color="FFFFFF"/>
              <w:right w:val="single" w:sz="18" w:space="0" w:color="FFFFFF"/>
            </w:tcBorders>
            <w:shd w:val="clear" w:color="auto" w:fill="17365A"/>
          </w:tcPr>
          <w:p w14:paraId="7271F979" w14:textId="77777777" w:rsidR="00BC24A8" w:rsidRDefault="00000000">
            <w:pPr>
              <w:pStyle w:val="TableParagraph"/>
              <w:spacing w:before="243" w:line="216" w:lineRule="auto"/>
              <w:ind w:left="298" w:right="86" w:hanging="207"/>
              <w:rPr>
                <w:sz w:val="20"/>
              </w:rPr>
            </w:pPr>
            <w:r>
              <w:rPr>
                <w:color w:val="FFFFFF"/>
                <w:spacing w:val="-4"/>
                <w:sz w:val="20"/>
              </w:rPr>
              <w:t>Technical SOP</w:t>
            </w:r>
          </w:p>
        </w:tc>
        <w:tc>
          <w:tcPr>
            <w:tcW w:w="982" w:type="dxa"/>
            <w:tcBorders>
              <w:top w:val="single" w:sz="18" w:space="0" w:color="FFFFFF"/>
              <w:left w:val="single" w:sz="18" w:space="0" w:color="FFFFFF"/>
              <w:right w:val="single" w:sz="4" w:space="0" w:color="00ACA3"/>
            </w:tcBorders>
            <w:shd w:val="clear" w:color="auto" w:fill="17365A"/>
          </w:tcPr>
          <w:p w14:paraId="197C8242" w14:textId="77777777" w:rsidR="00BC24A8" w:rsidRDefault="00BC24A8">
            <w:pPr>
              <w:pStyle w:val="TableParagraph"/>
              <w:spacing w:before="90"/>
              <w:rPr>
                <w:rFonts w:ascii="Calibri"/>
                <w:b/>
                <w:sz w:val="20"/>
              </w:rPr>
            </w:pPr>
          </w:p>
          <w:p w14:paraId="589DD5A6" w14:textId="77777777" w:rsidR="00BC24A8" w:rsidRDefault="00000000">
            <w:pPr>
              <w:pStyle w:val="TableParagraph"/>
              <w:ind w:left="5"/>
              <w:jc w:val="center"/>
              <w:rPr>
                <w:sz w:val="20"/>
              </w:rPr>
            </w:pPr>
            <w:r>
              <w:rPr>
                <w:color w:val="FFFFFF"/>
                <w:spacing w:val="-2"/>
                <w:sz w:val="20"/>
              </w:rPr>
              <w:t>Advocacy</w:t>
            </w:r>
          </w:p>
        </w:tc>
      </w:tr>
      <w:tr w:rsidR="00BC24A8" w14:paraId="58E19ED4" w14:textId="77777777">
        <w:trPr>
          <w:trHeight w:val="604"/>
        </w:trPr>
        <w:tc>
          <w:tcPr>
            <w:tcW w:w="2796" w:type="dxa"/>
            <w:tcBorders>
              <w:bottom w:val="single" w:sz="4" w:space="0" w:color="BEBEBE"/>
            </w:tcBorders>
          </w:tcPr>
          <w:p w14:paraId="1653CED5" w14:textId="77777777" w:rsidR="00BC24A8" w:rsidRDefault="00000000">
            <w:pPr>
              <w:pStyle w:val="TableParagraph"/>
              <w:spacing w:before="77" w:line="218" w:lineRule="auto"/>
              <w:ind w:left="180"/>
              <w:rPr>
                <w:sz w:val="18"/>
              </w:rPr>
            </w:pPr>
            <w:r>
              <w:rPr>
                <w:sz w:val="18"/>
              </w:rPr>
              <w:t>Free School Program and the first 1000 days of birth</w:t>
            </w:r>
          </w:p>
        </w:tc>
        <w:tc>
          <w:tcPr>
            <w:tcW w:w="948" w:type="dxa"/>
            <w:tcBorders>
              <w:bottom w:val="single" w:sz="4" w:space="0" w:color="BEBEBE"/>
            </w:tcBorders>
          </w:tcPr>
          <w:p w14:paraId="28327E39" w14:textId="77777777" w:rsidR="00BC24A8" w:rsidRDefault="00000000">
            <w:pPr>
              <w:pStyle w:val="TableParagraph"/>
              <w:spacing w:before="152"/>
              <w:ind w:left="2" w:right="1"/>
              <w:jc w:val="center"/>
              <w:rPr>
                <w:sz w:val="18"/>
              </w:rPr>
            </w:pPr>
            <w:r>
              <w:rPr>
                <w:spacing w:val="-5"/>
                <w:sz w:val="18"/>
              </w:rPr>
              <w:t>PBD</w:t>
            </w:r>
          </w:p>
        </w:tc>
        <w:tc>
          <w:tcPr>
            <w:tcW w:w="1518" w:type="dxa"/>
            <w:tcBorders>
              <w:bottom w:val="single" w:sz="4" w:space="0" w:color="BEBEBE"/>
            </w:tcBorders>
          </w:tcPr>
          <w:p w14:paraId="34211711" w14:textId="77777777" w:rsidR="00BC24A8" w:rsidRDefault="00000000">
            <w:pPr>
              <w:pStyle w:val="TableParagraph"/>
              <w:spacing w:before="162"/>
              <w:ind w:left="3" w:right="6"/>
              <w:jc w:val="center"/>
              <w:rPr>
                <w:sz w:val="18"/>
              </w:rPr>
            </w:pPr>
            <w:r>
              <w:rPr>
                <w:spacing w:val="-2"/>
                <w:sz w:val="18"/>
              </w:rPr>
              <w:t>On-Process</w:t>
            </w:r>
          </w:p>
        </w:tc>
        <w:tc>
          <w:tcPr>
            <w:tcW w:w="1002" w:type="dxa"/>
            <w:tcBorders>
              <w:bottom w:val="single" w:sz="4" w:space="0" w:color="BEBEBE"/>
            </w:tcBorders>
          </w:tcPr>
          <w:p w14:paraId="747EB027" w14:textId="77777777" w:rsidR="00BC24A8" w:rsidRDefault="00000000">
            <w:pPr>
              <w:pStyle w:val="TableParagraph"/>
              <w:spacing w:before="89"/>
              <w:ind w:right="3"/>
              <w:jc w:val="center"/>
              <w:rPr>
                <w:rFonts w:ascii="Segoe UI Symbol" w:hAnsi="Segoe UI Symbol"/>
                <w:sz w:val="18"/>
              </w:rPr>
            </w:pPr>
            <w:r>
              <w:rPr>
                <w:rFonts w:ascii="Segoe UI Symbol" w:hAnsi="Segoe UI Symbol"/>
                <w:spacing w:val="-10"/>
                <w:sz w:val="18"/>
              </w:rPr>
              <w:t>✓</w:t>
            </w:r>
          </w:p>
        </w:tc>
        <w:tc>
          <w:tcPr>
            <w:tcW w:w="977" w:type="dxa"/>
            <w:tcBorders>
              <w:bottom w:val="single" w:sz="4" w:space="0" w:color="BEBEBE"/>
            </w:tcBorders>
          </w:tcPr>
          <w:p w14:paraId="3B38C539" w14:textId="77777777" w:rsidR="00BC24A8" w:rsidRDefault="00000000">
            <w:pPr>
              <w:pStyle w:val="TableParagraph"/>
              <w:spacing w:before="89"/>
              <w:ind w:left="7"/>
              <w:jc w:val="center"/>
              <w:rPr>
                <w:rFonts w:ascii="Segoe UI Symbol" w:hAnsi="Segoe UI Symbol"/>
                <w:sz w:val="18"/>
              </w:rPr>
            </w:pPr>
            <w:r>
              <w:rPr>
                <w:rFonts w:ascii="Segoe UI Symbol" w:hAnsi="Segoe UI Symbol"/>
                <w:spacing w:val="-10"/>
                <w:sz w:val="18"/>
              </w:rPr>
              <w:t>✓</w:t>
            </w:r>
          </w:p>
        </w:tc>
        <w:tc>
          <w:tcPr>
            <w:tcW w:w="963" w:type="dxa"/>
            <w:tcBorders>
              <w:bottom w:val="single" w:sz="4" w:space="0" w:color="BEBEBE"/>
            </w:tcBorders>
          </w:tcPr>
          <w:p w14:paraId="0BF2FBB2" w14:textId="77777777" w:rsidR="00BC24A8" w:rsidRDefault="00BC24A8">
            <w:pPr>
              <w:pStyle w:val="TableParagraph"/>
              <w:rPr>
                <w:rFonts w:ascii="Times New Roman"/>
                <w:sz w:val="20"/>
              </w:rPr>
            </w:pPr>
          </w:p>
        </w:tc>
        <w:tc>
          <w:tcPr>
            <w:tcW w:w="982" w:type="dxa"/>
            <w:tcBorders>
              <w:bottom w:val="single" w:sz="4" w:space="0" w:color="BEBEBE"/>
            </w:tcBorders>
          </w:tcPr>
          <w:p w14:paraId="03AE82EE" w14:textId="77777777" w:rsidR="00BC24A8" w:rsidRDefault="00000000">
            <w:pPr>
              <w:pStyle w:val="TableParagraph"/>
              <w:spacing w:before="89"/>
              <w:ind w:left="5"/>
              <w:jc w:val="center"/>
              <w:rPr>
                <w:rFonts w:ascii="Segoe UI Symbol" w:hAnsi="Segoe UI Symbol"/>
                <w:sz w:val="18"/>
              </w:rPr>
            </w:pPr>
            <w:r>
              <w:rPr>
                <w:rFonts w:ascii="Segoe UI Symbol" w:hAnsi="Segoe UI Symbol"/>
                <w:spacing w:val="-10"/>
                <w:sz w:val="18"/>
              </w:rPr>
              <w:t>✓</w:t>
            </w:r>
          </w:p>
        </w:tc>
      </w:tr>
      <w:tr w:rsidR="00BC24A8" w14:paraId="533CB7F7" w14:textId="77777777">
        <w:trPr>
          <w:trHeight w:val="448"/>
        </w:trPr>
        <w:tc>
          <w:tcPr>
            <w:tcW w:w="2796" w:type="dxa"/>
            <w:tcBorders>
              <w:top w:val="single" w:sz="4" w:space="0" w:color="BEBEBE"/>
              <w:bottom w:val="single" w:sz="4" w:space="0" w:color="BEBEBE"/>
            </w:tcBorders>
          </w:tcPr>
          <w:p w14:paraId="629717F6" w14:textId="77777777" w:rsidR="00BC24A8" w:rsidRDefault="00000000">
            <w:pPr>
              <w:pStyle w:val="TableParagraph"/>
              <w:spacing w:before="83"/>
              <w:ind w:left="180"/>
              <w:rPr>
                <w:sz w:val="18"/>
              </w:rPr>
            </w:pPr>
            <w:r>
              <w:rPr>
                <w:sz w:val="18"/>
              </w:rPr>
              <w:t>Village</w:t>
            </w:r>
            <w:r>
              <w:rPr>
                <w:spacing w:val="-8"/>
                <w:sz w:val="18"/>
              </w:rPr>
              <w:t xml:space="preserve"> </w:t>
            </w:r>
            <w:r>
              <w:rPr>
                <w:sz w:val="18"/>
              </w:rPr>
              <w:t>Information</w:t>
            </w:r>
            <w:r>
              <w:rPr>
                <w:spacing w:val="-7"/>
                <w:sz w:val="18"/>
              </w:rPr>
              <w:t xml:space="preserve"> </w:t>
            </w:r>
            <w:r>
              <w:rPr>
                <w:sz w:val="18"/>
              </w:rPr>
              <w:t>System-</w:t>
            </w:r>
            <w:r>
              <w:rPr>
                <w:spacing w:val="-7"/>
                <w:sz w:val="18"/>
              </w:rPr>
              <w:t xml:space="preserve"> </w:t>
            </w:r>
            <w:r>
              <w:rPr>
                <w:spacing w:val="-2"/>
                <w:sz w:val="18"/>
              </w:rPr>
              <w:t>SAIK+</w:t>
            </w:r>
          </w:p>
        </w:tc>
        <w:tc>
          <w:tcPr>
            <w:tcW w:w="948" w:type="dxa"/>
            <w:tcBorders>
              <w:top w:val="single" w:sz="4" w:space="0" w:color="BEBEBE"/>
              <w:bottom w:val="single" w:sz="4" w:space="0" w:color="BEBEBE"/>
            </w:tcBorders>
          </w:tcPr>
          <w:p w14:paraId="597F1640" w14:textId="77777777" w:rsidR="00BC24A8" w:rsidRDefault="00000000">
            <w:pPr>
              <w:pStyle w:val="TableParagraph"/>
              <w:spacing w:before="135"/>
              <w:ind w:left="2"/>
              <w:jc w:val="center"/>
              <w:rPr>
                <w:sz w:val="18"/>
              </w:rPr>
            </w:pPr>
            <w:r>
              <w:rPr>
                <w:spacing w:val="-5"/>
                <w:sz w:val="18"/>
              </w:rPr>
              <w:t>PB</w:t>
            </w:r>
          </w:p>
        </w:tc>
        <w:tc>
          <w:tcPr>
            <w:tcW w:w="1518" w:type="dxa"/>
            <w:tcBorders>
              <w:top w:val="single" w:sz="4" w:space="0" w:color="BEBEBE"/>
              <w:bottom w:val="single" w:sz="4" w:space="0" w:color="BEBEBE"/>
            </w:tcBorders>
          </w:tcPr>
          <w:p w14:paraId="7B8585F0" w14:textId="77777777" w:rsidR="00BC24A8" w:rsidRDefault="00000000">
            <w:pPr>
              <w:pStyle w:val="TableParagraph"/>
              <w:spacing w:before="83"/>
              <w:ind w:left="3" w:right="6"/>
              <w:jc w:val="center"/>
              <w:rPr>
                <w:sz w:val="18"/>
              </w:rPr>
            </w:pPr>
            <w:r>
              <w:rPr>
                <w:spacing w:val="-2"/>
                <w:sz w:val="18"/>
              </w:rPr>
              <w:t>On-Process</w:t>
            </w:r>
          </w:p>
        </w:tc>
        <w:tc>
          <w:tcPr>
            <w:tcW w:w="1002" w:type="dxa"/>
            <w:tcBorders>
              <w:top w:val="single" w:sz="4" w:space="0" w:color="BEBEBE"/>
              <w:bottom w:val="single" w:sz="4" w:space="0" w:color="BEBEBE"/>
            </w:tcBorders>
          </w:tcPr>
          <w:p w14:paraId="4C704F95" w14:textId="77777777" w:rsidR="00BC24A8" w:rsidRDefault="00000000">
            <w:pPr>
              <w:pStyle w:val="TableParagraph"/>
              <w:spacing w:before="12"/>
              <w:ind w:right="3"/>
              <w:jc w:val="center"/>
              <w:rPr>
                <w:rFonts w:ascii="Segoe UI Symbol" w:hAnsi="Segoe UI Symbol"/>
                <w:sz w:val="18"/>
              </w:rPr>
            </w:pPr>
            <w:r>
              <w:rPr>
                <w:rFonts w:ascii="Segoe UI Symbol" w:hAnsi="Segoe UI Symbol"/>
                <w:spacing w:val="-10"/>
                <w:sz w:val="18"/>
              </w:rPr>
              <w:t>✓</w:t>
            </w:r>
          </w:p>
        </w:tc>
        <w:tc>
          <w:tcPr>
            <w:tcW w:w="977" w:type="dxa"/>
            <w:tcBorders>
              <w:top w:val="single" w:sz="4" w:space="0" w:color="BEBEBE"/>
              <w:bottom w:val="single" w:sz="4" w:space="0" w:color="BEBEBE"/>
            </w:tcBorders>
          </w:tcPr>
          <w:p w14:paraId="0BA9E9AA" w14:textId="77777777" w:rsidR="00BC24A8" w:rsidRDefault="00000000">
            <w:pPr>
              <w:pStyle w:val="TableParagraph"/>
              <w:spacing w:before="12"/>
              <w:ind w:left="7"/>
              <w:jc w:val="center"/>
              <w:rPr>
                <w:rFonts w:ascii="Segoe UI Symbol" w:hAnsi="Segoe UI Symbol"/>
                <w:sz w:val="18"/>
              </w:rPr>
            </w:pPr>
            <w:r>
              <w:rPr>
                <w:rFonts w:ascii="Segoe UI Symbol" w:hAnsi="Segoe UI Symbol"/>
                <w:spacing w:val="-10"/>
                <w:sz w:val="18"/>
              </w:rPr>
              <w:t>✓</w:t>
            </w:r>
          </w:p>
        </w:tc>
        <w:tc>
          <w:tcPr>
            <w:tcW w:w="963" w:type="dxa"/>
            <w:tcBorders>
              <w:top w:val="single" w:sz="4" w:space="0" w:color="BEBEBE"/>
              <w:bottom w:val="single" w:sz="4" w:space="0" w:color="BEBEBE"/>
            </w:tcBorders>
          </w:tcPr>
          <w:p w14:paraId="1075CCC4" w14:textId="77777777" w:rsidR="00BC24A8" w:rsidRDefault="00BC24A8">
            <w:pPr>
              <w:pStyle w:val="TableParagraph"/>
              <w:rPr>
                <w:rFonts w:ascii="Times New Roman"/>
                <w:sz w:val="20"/>
              </w:rPr>
            </w:pPr>
          </w:p>
        </w:tc>
        <w:tc>
          <w:tcPr>
            <w:tcW w:w="982" w:type="dxa"/>
            <w:tcBorders>
              <w:top w:val="single" w:sz="4" w:space="0" w:color="BEBEBE"/>
              <w:bottom w:val="single" w:sz="4" w:space="0" w:color="BEBEBE"/>
            </w:tcBorders>
          </w:tcPr>
          <w:p w14:paraId="123D42EA" w14:textId="77777777" w:rsidR="00BC24A8" w:rsidRDefault="00000000">
            <w:pPr>
              <w:pStyle w:val="TableParagraph"/>
              <w:spacing w:before="12"/>
              <w:ind w:left="5"/>
              <w:jc w:val="center"/>
              <w:rPr>
                <w:rFonts w:ascii="Segoe UI Symbol" w:hAnsi="Segoe UI Symbol"/>
                <w:sz w:val="18"/>
              </w:rPr>
            </w:pPr>
            <w:r>
              <w:rPr>
                <w:rFonts w:ascii="Segoe UI Symbol" w:hAnsi="Segoe UI Symbol"/>
                <w:spacing w:val="-10"/>
                <w:sz w:val="18"/>
              </w:rPr>
              <w:t>✓</w:t>
            </w:r>
          </w:p>
        </w:tc>
      </w:tr>
      <w:tr w:rsidR="00BC24A8" w14:paraId="6BC781E3" w14:textId="77777777">
        <w:trPr>
          <w:trHeight w:val="467"/>
        </w:trPr>
        <w:tc>
          <w:tcPr>
            <w:tcW w:w="2796" w:type="dxa"/>
            <w:tcBorders>
              <w:top w:val="single" w:sz="4" w:space="0" w:color="BEBEBE"/>
              <w:bottom w:val="single" w:sz="4" w:space="0" w:color="BEBEBE"/>
            </w:tcBorders>
          </w:tcPr>
          <w:p w14:paraId="5B6A57F8" w14:textId="77777777" w:rsidR="00BC24A8" w:rsidRDefault="00000000">
            <w:pPr>
              <w:pStyle w:val="TableParagraph"/>
              <w:tabs>
                <w:tab w:val="left" w:pos="1243"/>
              </w:tabs>
              <w:spacing w:before="11" w:line="216" w:lineRule="auto"/>
              <w:ind w:left="180" w:right="139"/>
              <w:rPr>
                <w:sz w:val="18"/>
              </w:rPr>
            </w:pPr>
            <w:r>
              <w:rPr>
                <w:spacing w:val="-2"/>
                <w:sz w:val="18"/>
              </w:rPr>
              <w:t>Program</w:t>
            </w:r>
            <w:r>
              <w:rPr>
                <w:sz w:val="18"/>
              </w:rPr>
              <w:tab/>
            </w:r>
            <w:r>
              <w:rPr>
                <w:spacing w:val="-2"/>
                <w:sz w:val="18"/>
              </w:rPr>
              <w:t>Pendidikan/Sekolah</w:t>
            </w:r>
            <w:r>
              <w:rPr>
                <w:sz w:val="18"/>
              </w:rPr>
              <w:t xml:space="preserve"> </w:t>
            </w:r>
            <w:r>
              <w:rPr>
                <w:spacing w:val="-2"/>
                <w:sz w:val="18"/>
              </w:rPr>
              <w:t>Gratis</w:t>
            </w:r>
          </w:p>
        </w:tc>
        <w:tc>
          <w:tcPr>
            <w:tcW w:w="948" w:type="dxa"/>
            <w:tcBorders>
              <w:top w:val="single" w:sz="4" w:space="0" w:color="BEBEBE"/>
              <w:bottom w:val="single" w:sz="4" w:space="0" w:color="BEBEBE"/>
            </w:tcBorders>
          </w:tcPr>
          <w:p w14:paraId="19BDABC0" w14:textId="77777777" w:rsidR="00BC24A8" w:rsidRDefault="00000000">
            <w:pPr>
              <w:pStyle w:val="TableParagraph"/>
              <w:spacing w:before="83"/>
              <w:ind w:left="2" w:right="2"/>
              <w:jc w:val="center"/>
              <w:rPr>
                <w:sz w:val="18"/>
              </w:rPr>
            </w:pPr>
            <w:r>
              <w:rPr>
                <w:spacing w:val="-5"/>
                <w:sz w:val="18"/>
              </w:rPr>
              <w:t>PBD</w:t>
            </w:r>
          </w:p>
        </w:tc>
        <w:tc>
          <w:tcPr>
            <w:tcW w:w="1518" w:type="dxa"/>
            <w:tcBorders>
              <w:top w:val="single" w:sz="4" w:space="0" w:color="BEBEBE"/>
              <w:bottom w:val="single" w:sz="4" w:space="0" w:color="BEBEBE"/>
            </w:tcBorders>
          </w:tcPr>
          <w:p w14:paraId="1C729262" w14:textId="77777777" w:rsidR="00BC24A8" w:rsidRDefault="00000000">
            <w:pPr>
              <w:pStyle w:val="TableParagraph"/>
              <w:spacing w:before="92"/>
              <w:ind w:right="6"/>
              <w:jc w:val="center"/>
              <w:rPr>
                <w:sz w:val="18"/>
              </w:rPr>
            </w:pPr>
            <w:r>
              <w:rPr>
                <w:sz w:val="18"/>
              </w:rPr>
              <w:t>On-</w:t>
            </w:r>
            <w:r>
              <w:rPr>
                <w:spacing w:val="-4"/>
                <w:sz w:val="18"/>
              </w:rPr>
              <w:t xml:space="preserve"> </w:t>
            </w:r>
            <w:r>
              <w:rPr>
                <w:spacing w:val="-2"/>
                <w:sz w:val="18"/>
              </w:rPr>
              <w:t>Process</w:t>
            </w:r>
          </w:p>
        </w:tc>
        <w:tc>
          <w:tcPr>
            <w:tcW w:w="1002" w:type="dxa"/>
            <w:tcBorders>
              <w:top w:val="single" w:sz="4" w:space="0" w:color="BEBEBE"/>
              <w:bottom w:val="single" w:sz="4" w:space="0" w:color="BEBEBE"/>
            </w:tcBorders>
          </w:tcPr>
          <w:p w14:paraId="726684D4" w14:textId="77777777" w:rsidR="00BC24A8" w:rsidRDefault="00000000">
            <w:pPr>
              <w:pStyle w:val="TableParagraph"/>
              <w:spacing w:before="21"/>
              <w:ind w:right="3"/>
              <w:jc w:val="center"/>
              <w:rPr>
                <w:rFonts w:ascii="Segoe UI Symbol" w:hAnsi="Segoe UI Symbol"/>
                <w:sz w:val="18"/>
              </w:rPr>
            </w:pPr>
            <w:r>
              <w:rPr>
                <w:rFonts w:ascii="Segoe UI Symbol" w:hAnsi="Segoe UI Symbol"/>
                <w:spacing w:val="-10"/>
                <w:sz w:val="18"/>
              </w:rPr>
              <w:t>✓</w:t>
            </w:r>
          </w:p>
        </w:tc>
        <w:tc>
          <w:tcPr>
            <w:tcW w:w="977" w:type="dxa"/>
            <w:tcBorders>
              <w:top w:val="single" w:sz="4" w:space="0" w:color="BEBEBE"/>
              <w:bottom w:val="single" w:sz="4" w:space="0" w:color="BEBEBE"/>
            </w:tcBorders>
          </w:tcPr>
          <w:p w14:paraId="6202A0F0" w14:textId="77777777" w:rsidR="00BC24A8" w:rsidRDefault="00000000">
            <w:pPr>
              <w:pStyle w:val="TableParagraph"/>
              <w:spacing w:before="21"/>
              <w:ind w:left="7"/>
              <w:jc w:val="center"/>
              <w:rPr>
                <w:rFonts w:ascii="Segoe UI Symbol" w:hAnsi="Segoe UI Symbol"/>
                <w:sz w:val="18"/>
              </w:rPr>
            </w:pPr>
            <w:r>
              <w:rPr>
                <w:rFonts w:ascii="Segoe UI Symbol" w:hAnsi="Segoe UI Symbol"/>
                <w:spacing w:val="-10"/>
                <w:sz w:val="18"/>
              </w:rPr>
              <w:t>✓</w:t>
            </w:r>
          </w:p>
        </w:tc>
        <w:tc>
          <w:tcPr>
            <w:tcW w:w="963" w:type="dxa"/>
            <w:tcBorders>
              <w:top w:val="single" w:sz="4" w:space="0" w:color="BEBEBE"/>
              <w:bottom w:val="single" w:sz="4" w:space="0" w:color="BEBEBE"/>
            </w:tcBorders>
          </w:tcPr>
          <w:p w14:paraId="19E514FF" w14:textId="77777777" w:rsidR="00BC24A8" w:rsidRDefault="00BC24A8">
            <w:pPr>
              <w:pStyle w:val="TableParagraph"/>
              <w:rPr>
                <w:rFonts w:ascii="Times New Roman"/>
                <w:sz w:val="20"/>
              </w:rPr>
            </w:pPr>
          </w:p>
        </w:tc>
        <w:tc>
          <w:tcPr>
            <w:tcW w:w="982" w:type="dxa"/>
            <w:tcBorders>
              <w:top w:val="single" w:sz="4" w:space="0" w:color="BEBEBE"/>
              <w:bottom w:val="single" w:sz="4" w:space="0" w:color="BEBEBE"/>
            </w:tcBorders>
          </w:tcPr>
          <w:p w14:paraId="04632D24" w14:textId="77777777" w:rsidR="00BC24A8" w:rsidRDefault="00000000">
            <w:pPr>
              <w:pStyle w:val="TableParagraph"/>
              <w:spacing w:before="21"/>
              <w:ind w:left="5"/>
              <w:jc w:val="center"/>
              <w:rPr>
                <w:rFonts w:ascii="Segoe UI Symbol" w:hAnsi="Segoe UI Symbol"/>
                <w:sz w:val="18"/>
              </w:rPr>
            </w:pPr>
            <w:r>
              <w:rPr>
                <w:rFonts w:ascii="Segoe UI Symbol" w:hAnsi="Segoe UI Symbol"/>
                <w:spacing w:val="-10"/>
                <w:sz w:val="18"/>
              </w:rPr>
              <w:t>✓</w:t>
            </w:r>
          </w:p>
        </w:tc>
      </w:tr>
      <w:tr w:rsidR="00BC24A8" w14:paraId="69C58E86" w14:textId="77777777">
        <w:trPr>
          <w:trHeight w:val="448"/>
        </w:trPr>
        <w:tc>
          <w:tcPr>
            <w:tcW w:w="2796" w:type="dxa"/>
            <w:tcBorders>
              <w:top w:val="single" w:sz="4" w:space="0" w:color="BEBEBE"/>
              <w:bottom w:val="single" w:sz="4" w:space="0" w:color="BEBEBE"/>
            </w:tcBorders>
          </w:tcPr>
          <w:p w14:paraId="5FCECA10" w14:textId="77777777" w:rsidR="00BC24A8" w:rsidRDefault="00000000">
            <w:pPr>
              <w:pStyle w:val="TableParagraph"/>
              <w:spacing w:before="83"/>
              <w:ind w:left="180"/>
              <w:rPr>
                <w:sz w:val="18"/>
              </w:rPr>
            </w:pPr>
            <w:r>
              <w:rPr>
                <w:sz w:val="18"/>
              </w:rPr>
              <w:t>Ha</w:t>
            </w:r>
            <w:r>
              <w:rPr>
                <w:spacing w:val="-3"/>
                <w:sz w:val="18"/>
              </w:rPr>
              <w:t xml:space="preserve"> </w:t>
            </w:r>
            <w:r>
              <w:rPr>
                <w:sz w:val="18"/>
              </w:rPr>
              <w:t>Anim</w:t>
            </w:r>
            <w:r>
              <w:rPr>
                <w:spacing w:val="-2"/>
                <w:sz w:val="18"/>
              </w:rPr>
              <w:t xml:space="preserve"> </w:t>
            </w:r>
            <w:r>
              <w:rPr>
                <w:sz w:val="18"/>
              </w:rPr>
              <w:t>Golden</w:t>
            </w:r>
            <w:r>
              <w:rPr>
                <w:spacing w:val="-1"/>
                <w:sz w:val="18"/>
              </w:rPr>
              <w:t xml:space="preserve"> </w:t>
            </w:r>
            <w:r>
              <w:rPr>
                <w:spacing w:val="-2"/>
                <w:sz w:val="18"/>
              </w:rPr>
              <w:t>Generation</w:t>
            </w:r>
          </w:p>
        </w:tc>
        <w:tc>
          <w:tcPr>
            <w:tcW w:w="948" w:type="dxa"/>
            <w:tcBorders>
              <w:top w:val="single" w:sz="4" w:space="0" w:color="BEBEBE"/>
              <w:bottom w:val="single" w:sz="4" w:space="0" w:color="BEBEBE"/>
            </w:tcBorders>
          </w:tcPr>
          <w:p w14:paraId="1B2AB788" w14:textId="77777777" w:rsidR="00BC24A8" w:rsidRDefault="00000000">
            <w:pPr>
              <w:pStyle w:val="TableParagraph"/>
              <w:spacing w:before="135"/>
              <w:ind w:left="2"/>
              <w:jc w:val="center"/>
              <w:rPr>
                <w:sz w:val="18"/>
              </w:rPr>
            </w:pPr>
            <w:r>
              <w:rPr>
                <w:spacing w:val="-5"/>
                <w:sz w:val="18"/>
              </w:rPr>
              <w:t>PS</w:t>
            </w:r>
          </w:p>
        </w:tc>
        <w:tc>
          <w:tcPr>
            <w:tcW w:w="1518" w:type="dxa"/>
            <w:tcBorders>
              <w:top w:val="single" w:sz="4" w:space="0" w:color="BEBEBE"/>
              <w:bottom w:val="single" w:sz="4" w:space="0" w:color="BEBEBE"/>
            </w:tcBorders>
          </w:tcPr>
          <w:p w14:paraId="50CFAF93" w14:textId="77777777" w:rsidR="00BC24A8" w:rsidRDefault="00000000">
            <w:pPr>
              <w:pStyle w:val="TableParagraph"/>
              <w:spacing w:before="83"/>
              <w:ind w:right="6"/>
              <w:jc w:val="center"/>
              <w:rPr>
                <w:sz w:val="18"/>
              </w:rPr>
            </w:pPr>
            <w:r>
              <w:rPr>
                <w:sz w:val="18"/>
              </w:rPr>
              <w:t>On-</w:t>
            </w:r>
            <w:r>
              <w:rPr>
                <w:spacing w:val="-4"/>
                <w:sz w:val="18"/>
              </w:rPr>
              <w:t xml:space="preserve"> </w:t>
            </w:r>
            <w:r>
              <w:rPr>
                <w:spacing w:val="-2"/>
                <w:sz w:val="18"/>
              </w:rPr>
              <w:t>Process</w:t>
            </w:r>
          </w:p>
        </w:tc>
        <w:tc>
          <w:tcPr>
            <w:tcW w:w="1002" w:type="dxa"/>
            <w:tcBorders>
              <w:top w:val="single" w:sz="4" w:space="0" w:color="BEBEBE"/>
              <w:bottom w:val="single" w:sz="4" w:space="0" w:color="BEBEBE"/>
            </w:tcBorders>
          </w:tcPr>
          <w:p w14:paraId="4A8F8C11" w14:textId="77777777" w:rsidR="00BC24A8" w:rsidRDefault="00000000">
            <w:pPr>
              <w:pStyle w:val="TableParagraph"/>
              <w:spacing w:before="12"/>
              <w:ind w:right="3"/>
              <w:jc w:val="center"/>
              <w:rPr>
                <w:rFonts w:ascii="Segoe UI Symbol" w:hAnsi="Segoe UI Symbol"/>
                <w:sz w:val="18"/>
              </w:rPr>
            </w:pPr>
            <w:r>
              <w:rPr>
                <w:rFonts w:ascii="Segoe UI Symbol" w:hAnsi="Segoe UI Symbol"/>
                <w:spacing w:val="-10"/>
                <w:sz w:val="18"/>
              </w:rPr>
              <w:t>✓</w:t>
            </w:r>
          </w:p>
        </w:tc>
        <w:tc>
          <w:tcPr>
            <w:tcW w:w="977" w:type="dxa"/>
            <w:tcBorders>
              <w:top w:val="single" w:sz="4" w:space="0" w:color="BEBEBE"/>
              <w:bottom w:val="single" w:sz="4" w:space="0" w:color="BEBEBE"/>
            </w:tcBorders>
          </w:tcPr>
          <w:p w14:paraId="7FFD5711" w14:textId="77777777" w:rsidR="00BC24A8" w:rsidRDefault="00000000">
            <w:pPr>
              <w:pStyle w:val="TableParagraph"/>
              <w:spacing w:before="12"/>
              <w:ind w:left="7"/>
              <w:jc w:val="center"/>
              <w:rPr>
                <w:rFonts w:ascii="Segoe UI Symbol" w:hAnsi="Segoe UI Symbol"/>
                <w:sz w:val="18"/>
              </w:rPr>
            </w:pPr>
            <w:r>
              <w:rPr>
                <w:rFonts w:ascii="Segoe UI Symbol" w:hAnsi="Segoe UI Symbol"/>
                <w:spacing w:val="-10"/>
                <w:sz w:val="18"/>
              </w:rPr>
              <w:t>✓</w:t>
            </w:r>
          </w:p>
        </w:tc>
        <w:tc>
          <w:tcPr>
            <w:tcW w:w="963" w:type="dxa"/>
            <w:tcBorders>
              <w:top w:val="single" w:sz="4" w:space="0" w:color="BEBEBE"/>
              <w:bottom w:val="single" w:sz="4" w:space="0" w:color="BEBEBE"/>
            </w:tcBorders>
          </w:tcPr>
          <w:p w14:paraId="350220C9" w14:textId="77777777" w:rsidR="00BC24A8" w:rsidRDefault="00BC24A8">
            <w:pPr>
              <w:pStyle w:val="TableParagraph"/>
              <w:rPr>
                <w:rFonts w:ascii="Times New Roman"/>
                <w:sz w:val="20"/>
              </w:rPr>
            </w:pPr>
          </w:p>
        </w:tc>
        <w:tc>
          <w:tcPr>
            <w:tcW w:w="982" w:type="dxa"/>
            <w:tcBorders>
              <w:top w:val="single" w:sz="4" w:space="0" w:color="BEBEBE"/>
              <w:bottom w:val="single" w:sz="4" w:space="0" w:color="BEBEBE"/>
            </w:tcBorders>
          </w:tcPr>
          <w:p w14:paraId="2DB0915E" w14:textId="77777777" w:rsidR="00BC24A8" w:rsidRDefault="00000000">
            <w:pPr>
              <w:pStyle w:val="TableParagraph"/>
              <w:spacing w:before="12"/>
              <w:ind w:left="5"/>
              <w:jc w:val="center"/>
              <w:rPr>
                <w:rFonts w:ascii="Segoe UI Symbol" w:hAnsi="Segoe UI Symbol"/>
                <w:sz w:val="18"/>
              </w:rPr>
            </w:pPr>
            <w:r>
              <w:rPr>
                <w:rFonts w:ascii="Segoe UI Symbol" w:hAnsi="Segoe UI Symbol"/>
                <w:spacing w:val="-10"/>
                <w:sz w:val="18"/>
              </w:rPr>
              <w:t>✓</w:t>
            </w:r>
          </w:p>
        </w:tc>
      </w:tr>
      <w:tr w:rsidR="00BC24A8" w14:paraId="08B3B8A3" w14:textId="77777777">
        <w:trPr>
          <w:trHeight w:val="448"/>
        </w:trPr>
        <w:tc>
          <w:tcPr>
            <w:tcW w:w="2796" w:type="dxa"/>
            <w:tcBorders>
              <w:top w:val="single" w:sz="4" w:space="0" w:color="BEBEBE"/>
              <w:bottom w:val="single" w:sz="4" w:space="0" w:color="BEBEBE"/>
            </w:tcBorders>
          </w:tcPr>
          <w:p w14:paraId="5AF9A08A" w14:textId="77777777" w:rsidR="00BC24A8" w:rsidRDefault="00000000">
            <w:pPr>
              <w:pStyle w:val="TableParagraph"/>
              <w:spacing w:before="83"/>
              <w:ind w:left="180"/>
              <w:rPr>
                <w:sz w:val="18"/>
              </w:rPr>
            </w:pPr>
            <w:r>
              <w:rPr>
                <w:sz w:val="18"/>
              </w:rPr>
              <w:t>Free</w:t>
            </w:r>
            <w:r>
              <w:rPr>
                <w:spacing w:val="-9"/>
                <w:sz w:val="18"/>
              </w:rPr>
              <w:t xml:space="preserve"> </w:t>
            </w:r>
            <w:r>
              <w:rPr>
                <w:sz w:val="18"/>
              </w:rPr>
              <w:t>Education/School</w:t>
            </w:r>
            <w:r>
              <w:rPr>
                <w:spacing w:val="-8"/>
                <w:sz w:val="18"/>
              </w:rPr>
              <w:t xml:space="preserve"> </w:t>
            </w:r>
            <w:r>
              <w:rPr>
                <w:spacing w:val="-2"/>
                <w:sz w:val="18"/>
              </w:rPr>
              <w:t>Programs</w:t>
            </w:r>
          </w:p>
        </w:tc>
        <w:tc>
          <w:tcPr>
            <w:tcW w:w="948" w:type="dxa"/>
            <w:tcBorders>
              <w:top w:val="single" w:sz="4" w:space="0" w:color="BEBEBE"/>
              <w:bottom w:val="single" w:sz="4" w:space="0" w:color="BEBEBE"/>
            </w:tcBorders>
          </w:tcPr>
          <w:p w14:paraId="3590C39F" w14:textId="77777777" w:rsidR="00BC24A8" w:rsidRDefault="00000000">
            <w:pPr>
              <w:pStyle w:val="TableParagraph"/>
              <w:spacing w:before="135"/>
              <w:ind w:left="2"/>
              <w:jc w:val="center"/>
              <w:rPr>
                <w:sz w:val="18"/>
              </w:rPr>
            </w:pPr>
            <w:r>
              <w:rPr>
                <w:spacing w:val="-5"/>
                <w:sz w:val="18"/>
              </w:rPr>
              <w:t>PS</w:t>
            </w:r>
          </w:p>
        </w:tc>
        <w:tc>
          <w:tcPr>
            <w:tcW w:w="1518" w:type="dxa"/>
            <w:tcBorders>
              <w:top w:val="single" w:sz="4" w:space="0" w:color="BEBEBE"/>
              <w:bottom w:val="single" w:sz="4" w:space="0" w:color="BEBEBE"/>
            </w:tcBorders>
          </w:tcPr>
          <w:p w14:paraId="0DAD7D69" w14:textId="77777777" w:rsidR="00BC24A8" w:rsidRDefault="00000000">
            <w:pPr>
              <w:pStyle w:val="TableParagraph"/>
              <w:spacing w:before="83"/>
              <w:ind w:right="6"/>
              <w:jc w:val="center"/>
              <w:rPr>
                <w:sz w:val="18"/>
              </w:rPr>
            </w:pPr>
            <w:r>
              <w:rPr>
                <w:sz w:val="18"/>
              </w:rPr>
              <w:t>On-</w:t>
            </w:r>
            <w:r>
              <w:rPr>
                <w:spacing w:val="-4"/>
                <w:sz w:val="18"/>
              </w:rPr>
              <w:t xml:space="preserve"> </w:t>
            </w:r>
            <w:r>
              <w:rPr>
                <w:spacing w:val="-2"/>
                <w:sz w:val="18"/>
              </w:rPr>
              <w:t>Process</w:t>
            </w:r>
          </w:p>
        </w:tc>
        <w:tc>
          <w:tcPr>
            <w:tcW w:w="1002" w:type="dxa"/>
            <w:tcBorders>
              <w:top w:val="single" w:sz="4" w:space="0" w:color="BEBEBE"/>
              <w:bottom w:val="single" w:sz="4" w:space="0" w:color="BEBEBE"/>
            </w:tcBorders>
          </w:tcPr>
          <w:p w14:paraId="53B0E608" w14:textId="77777777" w:rsidR="00BC24A8" w:rsidRDefault="00000000">
            <w:pPr>
              <w:pStyle w:val="TableParagraph"/>
              <w:spacing w:before="12"/>
              <w:ind w:right="3"/>
              <w:jc w:val="center"/>
              <w:rPr>
                <w:rFonts w:ascii="Segoe UI Symbol" w:hAnsi="Segoe UI Symbol"/>
                <w:sz w:val="18"/>
              </w:rPr>
            </w:pPr>
            <w:r>
              <w:rPr>
                <w:rFonts w:ascii="Segoe UI Symbol" w:hAnsi="Segoe UI Symbol"/>
                <w:spacing w:val="-10"/>
                <w:sz w:val="18"/>
              </w:rPr>
              <w:t>✓</w:t>
            </w:r>
          </w:p>
        </w:tc>
        <w:tc>
          <w:tcPr>
            <w:tcW w:w="977" w:type="dxa"/>
            <w:tcBorders>
              <w:top w:val="single" w:sz="4" w:space="0" w:color="BEBEBE"/>
              <w:bottom w:val="single" w:sz="4" w:space="0" w:color="BEBEBE"/>
            </w:tcBorders>
          </w:tcPr>
          <w:p w14:paraId="4475A649" w14:textId="77777777" w:rsidR="00BC24A8" w:rsidRDefault="00000000">
            <w:pPr>
              <w:pStyle w:val="TableParagraph"/>
              <w:spacing w:before="12"/>
              <w:ind w:left="7"/>
              <w:jc w:val="center"/>
              <w:rPr>
                <w:rFonts w:ascii="Segoe UI Symbol" w:hAnsi="Segoe UI Symbol"/>
                <w:sz w:val="18"/>
              </w:rPr>
            </w:pPr>
            <w:r>
              <w:rPr>
                <w:rFonts w:ascii="Segoe UI Symbol" w:hAnsi="Segoe UI Symbol"/>
                <w:spacing w:val="-10"/>
                <w:sz w:val="18"/>
              </w:rPr>
              <w:t>✓</w:t>
            </w:r>
          </w:p>
        </w:tc>
        <w:tc>
          <w:tcPr>
            <w:tcW w:w="963" w:type="dxa"/>
            <w:tcBorders>
              <w:top w:val="single" w:sz="4" w:space="0" w:color="BEBEBE"/>
              <w:bottom w:val="single" w:sz="4" w:space="0" w:color="BEBEBE"/>
            </w:tcBorders>
          </w:tcPr>
          <w:p w14:paraId="70790F24" w14:textId="77777777" w:rsidR="00BC24A8" w:rsidRDefault="00BC24A8">
            <w:pPr>
              <w:pStyle w:val="TableParagraph"/>
              <w:rPr>
                <w:rFonts w:ascii="Times New Roman"/>
                <w:sz w:val="20"/>
              </w:rPr>
            </w:pPr>
          </w:p>
        </w:tc>
        <w:tc>
          <w:tcPr>
            <w:tcW w:w="982" w:type="dxa"/>
            <w:tcBorders>
              <w:top w:val="single" w:sz="4" w:space="0" w:color="BEBEBE"/>
              <w:bottom w:val="single" w:sz="4" w:space="0" w:color="BEBEBE"/>
            </w:tcBorders>
          </w:tcPr>
          <w:p w14:paraId="6F46C300" w14:textId="77777777" w:rsidR="00BC24A8" w:rsidRDefault="00000000">
            <w:pPr>
              <w:pStyle w:val="TableParagraph"/>
              <w:spacing w:before="12"/>
              <w:ind w:left="5"/>
              <w:jc w:val="center"/>
              <w:rPr>
                <w:rFonts w:ascii="Segoe UI Symbol" w:hAnsi="Segoe UI Symbol"/>
                <w:sz w:val="18"/>
              </w:rPr>
            </w:pPr>
            <w:r>
              <w:rPr>
                <w:rFonts w:ascii="Segoe UI Symbol" w:hAnsi="Segoe UI Symbol"/>
                <w:spacing w:val="-10"/>
                <w:sz w:val="18"/>
              </w:rPr>
              <w:t>✓</w:t>
            </w:r>
          </w:p>
        </w:tc>
      </w:tr>
      <w:tr w:rsidR="00BC24A8" w14:paraId="5039517F" w14:textId="77777777">
        <w:trPr>
          <w:trHeight w:val="465"/>
        </w:trPr>
        <w:tc>
          <w:tcPr>
            <w:tcW w:w="2796" w:type="dxa"/>
            <w:tcBorders>
              <w:top w:val="single" w:sz="4" w:space="0" w:color="BEBEBE"/>
              <w:bottom w:val="single" w:sz="4" w:space="0" w:color="BEBEBE"/>
            </w:tcBorders>
          </w:tcPr>
          <w:p w14:paraId="71BEEC66" w14:textId="77777777" w:rsidR="00BC24A8" w:rsidRDefault="00000000">
            <w:pPr>
              <w:pStyle w:val="TableParagraph"/>
              <w:spacing w:before="92"/>
              <w:ind w:left="180"/>
              <w:rPr>
                <w:sz w:val="18"/>
              </w:rPr>
            </w:pPr>
            <w:r>
              <w:rPr>
                <w:spacing w:val="-2"/>
                <w:sz w:val="18"/>
              </w:rPr>
              <w:t>Village</w:t>
            </w:r>
            <w:r>
              <w:rPr>
                <w:spacing w:val="4"/>
                <w:sz w:val="18"/>
              </w:rPr>
              <w:t xml:space="preserve"> </w:t>
            </w:r>
            <w:r>
              <w:rPr>
                <w:spacing w:val="-2"/>
                <w:sz w:val="18"/>
              </w:rPr>
              <w:t>Information</w:t>
            </w:r>
            <w:r>
              <w:rPr>
                <w:spacing w:val="5"/>
                <w:sz w:val="18"/>
              </w:rPr>
              <w:t xml:space="preserve"> </w:t>
            </w:r>
            <w:r>
              <w:rPr>
                <w:spacing w:val="-2"/>
                <w:sz w:val="18"/>
              </w:rPr>
              <w:t>System-</w:t>
            </w:r>
            <w:r>
              <w:rPr>
                <w:spacing w:val="5"/>
                <w:sz w:val="18"/>
              </w:rPr>
              <w:t xml:space="preserve"> </w:t>
            </w:r>
            <w:r>
              <w:rPr>
                <w:spacing w:val="-2"/>
                <w:sz w:val="18"/>
              </w:rPr>
              <w:t>SIRIOS</w:t>
            </w:r>
          </w:p>
        </w:tc>
        <w:tc>
          <w:tcPr>
            <w:tcW w:w="948" w:type="dxa"/>
            <w:tcBorders>
              <w:top w:val="single" w:sz="4" w:space="0" w:color="BEBEBE"/>
              <w:bottom w:val="single" w:sz="4" w:space="0" w:color="BEBEBE"/>
            </w:tcBorders>
          </w:tcPr>
          <w:p w14:paraId="4480052F" w14:textId="77777777" w:rsidR="00BC24A8" w:rsidRDefault="00000000">
            <w:pPr>
              <w:pStyle w:val="TableParagraph"/>
              <w:spacing w:before="152"/>
              <w:ind w:left="2"/>
              <w:jc w:val="center"/>
              <w:rPr>
                <w:sz w:val="18"/>
              </w:rPr>
            </w:pPr>
            <w:r>
              <w:rPr>
                <w:spacing w:val="-5"/>
                <w:sz w:val="18"/>
              </w:rPr>
              <w:t>PS</w:t>
            </w:r>
          </w:p>
        </w:tc>
        <w:tc>
          <w:tcPr>
            <w:tcW w:w="1518" w:type="dxa"/>
            <w:tcBorders>
              <w:top w:val="single" w:sz="4" w:space="0" w:color="BEBEBE"/>
              <w:bottom w:val="single" w:sz="4" w:space="0" w:color="BEBEBE"/>
            </w:tcBorders>
            <w:shd w:val="clear" w:color="auto" w:fill="C4E4E1"/>
          </w:tcPr>
          <w:p w14:paraId="7E53A6ED" w14:textId="77777777" w:rsidR="00BC24A8" w:rsidRDefault="00000000">
            <w:pPr>
              <w:pStyle w:val="TableParagraph"/>
              <w:spacing w:before="11" w:line="216" w:lineRule="auto"/>
              <w:ind w:left="180" w:firstLine="266"/>
              <w:rPr>
                <w:sz w:val="18"/>
              </w:rPr>
            </w:pPr>
            <w:r>
              <w:rPr>
                <w:sz w:val="18"/>
              </w:rPr>
              <w:t xml:space="preserve">Roll out/ </w:t>
            </w:r>
            <w:r>
              <w:rPr>
                <w:spacing w:val="-2"/>
                <w:sz w:val="18"/>
              </w:rPr>
              <w:t>implementation</w:t>
            </w:r>
          </w:p>
        </w:tc>
        <w:tc>
          <w:tcPr>
            <w:tcW w:w="1002" w:type="dxa"/>
            <w:tcBorders>
              <w:top w:val="single" w:sz="4" w:space="0" w:color="BEBEBE"/>
              <w:bottom w:val="single" w:sz="4" w:space="0" w:color="BEBEBE"/>
            </w:tcBorders>
          </w:tcPr>
          <w:p w14:paraId="6A37BD8B" w14:textId="77777777" w:rsidR="00BC24A8" w:rsidRDefault="00000000">
            <w:pPr>
              <w:pStyle w:val="TableParagraph"/>
              <w:spacing w:before="19"/>
              <w:ind w:right="3"/>
              <w:jc w:val="center"/>
              <w:rPr>
                <w:rFonts w:ascii="Segoe UI Symbol" w:hAnsi="Segoe UI Symbol"/>
                <w:sz w:val="18"/>
              </w:rPr>
            </w:pPr>
            <w:r>
              <w:rPr>
                <w:rFonts w:ascii="Segoe UI Symbol" w:hAnsi="Segoe UI Symbol"/>
                <w:spacing w:val="-10"/>
                <w:sz w:val="18"/>
              </w:rPr>
              <w:t>✓</w:t>
            </w:r>
          </w:p>
        </w:tc>
        <w:tc>
          <w:tcPr>
            <w:tcW w:w="977" w:type="dxa"/>
            <w:tcBorders>
              <w:top w:val="single" w:sz="4" w:space="0" w:color="BEBEBE"/>
              <w:bottom w:val="single" w:sz="4" w:space="0" w:color="BEBEBE"/>
            </w:tcBorders>
          </w:tcPr>
          <w:p w14:paraId="776F699D" w14:textId="77777777" w:rsidR="00BC24A8" w:rsidRDefault="00000000">
            <w:pPr>
              <w:pStyle w:val="TableParagraph"/>
              <w:spacing w:before="19"/>
              <w:ind w:left="7"/>
              <w:jc w:val="center"/>
              <w:rPr>
                <w:rFonts w:ascii="Segoe UI Symbol" w:hAnsi="Segoe UI Symbol"/>
                <w:sz w:val="18"/>
              </w:rPr>
            </w:pPr>
            <w:r>
              <w:rPr>
                <w:rFonts w:ascii="Segoe UI Symbol" w:hAnsi="Segoe UI Symbol"/>
                <w:spacing w:val="-10"/>
                <w:sz w:val="18"/>
              </w:rPr>
              <w:t>✓</w:t>
            </w:r>
          </w:p>
        </w:tc>
        <w:tc>
          <w:tcPr>
            <w:tcW w:w="963" w:type="dxa"/>
            <w:tcBorders>
              <w:top w:val="single" w:sz="4" w:space="0" w:color="BEBEBE"/>
              <w:bottom w:val="single" w:sz="4" w:space="0" w:color="BEBEBE"/>
            </w:tcBorders>
          </w:tcPr>
          <w:p w14:paraId="0833B05D" w14:textId="77777777" w:rsidR="00BC24A8" w:rsidRDefault="00000000">
            <w:pPr>
              <w:pStyle w:val="TableParagraph"/>
              <w:spacing w:before="19"/>
              <w:ind w:left="6"/>
              <w:jc w:val="center"/>
              <w:rPr>
                <w:rFonts w:ascii="Segoe UI Symbol" w:hAnsi="Segoe UI Symbol"/>
                <w:sz w:val="18"/>
              </w:rPr>
            </w:pPr>
            <w:r>
              <w:rPr>
                <w:rFonts w:ascii="Segoe UI Symbol" w:hAnsi="Segoe UI Symbol"/>
                <w:spacing w:val="-10"/>
                <w:sz w:val="18"/>
              </w:rPr>
              <w:t>✓</w:t>
            </w:r>
          </w:p>
        </w:tc>
        <w:tc>
          <w:tcPr>
            <w:tcW w:w="982" w:type="dxa"/>
            <w:tcBorders>
              <w:top w:val="single" w:sz="4" w:space="0" w:color="BEBEBE"/>
              <w:bottom w:val="single" w:sz="4" w:space="0" w:color="BEBEBE"/>
            </w:tcBorders>
          </w:tcPr>
          <w:p w14:paraId="42018ADE" w14:textId="77777777" w:rsidR="00BC24A8" w:rsidRDefault="00000000">
            <w:pPr>
              <w:pStyle w:val="TableParagraph"/>
              <w:spacing w:before="19"/>
              <w:ind w:left="5"/>
              <w:jc w:val="center"/>
              <w:rPr>
                <w:rFonts w:ascii="Segoe UI Symbol" w:hAnsi="Segoe UI Symbol"/>
                <w:sz w:val="18"/>
              </w:rPr>
            </w:pPr>
            <w:r>
              <w:rPr>
                <w:rFonts w:ascii="Segoe UI Symbol" w:hAnsi="Segoe UI Symbol"/>
                <w:spacing w:val="-10"/>
                <w:sz w:val="18"/>
              </w:rPr>
              <w:t>✓</w:t>
            </w:r>
          </w:p>
        </w:tc>
      </w:tr>
      <w:tr w:rsidR="00BC24A8" w14:paraId="5FEE4662" w14:textId="77777777">
        <w:trPr>
          <w:trHeight w:val="450"/>
        </w:trPr>
        <w:tc>
          <w:tcPr>
            <w:tcW w:w="2796" w:type="dxa"/>
            <w:tcBorders>
              <w:top w:val="single" w:sz="4" w:space="0" w:color="BEBEBE"/>
              <w:bottom w:val="single" w:sz="4" w:space="0" w:color="BEBEBE"/>
            </w:tcBorders>
          </w:tcPr>
          <w:p w14:paraId="41F84FBA" w14:textId="77777777" w:rsidR="00BC24A8" w:rsidRDefault="00000000">
            <w:pPr>
              <w:pStyle w:val="TableParagraph"/>
              <w:spacing w:before="85"/>
              <w:ind w:left="180"/>
              <w:rPr>
                <w:sz w:val="18"/>
              </w:rPr>
            </w:pPr>
            <w:r>
              <w:rPr>
                <w:sz w:val="18"/>
              </w:rPr>
              <w:t>SIOPADA</w:t>
            </w:r>
            <w:r>
              <w:rPr>
                <w:spacing w:val="-10"/>
                <w:sz w:val="18"/>
              </w:rPr>
              <w:t xml:space="preserve"> </w:t>
            </w:r>
            <w:r>
              <w:rPr>
                <w:sz w:val="18"/>
              </w:rPr>
              <w:t>(SAIK</w:t>
            </w:r>
            <w:r>
              <w:rPr>
                <w:spacing w:val="-7"/>
                <w:sz w:val="18"/>
              </w:rPr>
              <w:t xml:space="preserve"> </w:t>
            </w:r>
            <w:r>
              <w:rPr>
                <w:sz w:val="18"/>
              </w:rPr>
              <w:t>Papua</w:t>
            </w:r>
            <w:r>
              <w:rPr>
                <w:spacing w:val="-9"/>
                <w:sz w:val="18"/>
              </w:rPr>
              <w:t xml:space="preserve"> </w:t>
            </w:r>
            <w:r>
              <w:rPr>
                <w:sz w:val="18"/>
              </w:rPr>
              <w:t>Barat</w:t>
            </w:r>
            <w:r>
              <w:rPr>
                <w:spacing w:val="-8"/>
                <w:sz w:val="18"/>
              </w:rPr>
              <w:t xml:space="preserve"> </w:t>
            </w:r>
            <w:r>
              <w:rPr>
                <w:spacing w:val="-4"/>
                <w:sz w:val="18"/>
              </w:rPr>
              <w:t>Daya)</w:t>
            </w:r>
          </w:p>
        </w:tc>
        <w:tc>
          <w:tcPr>
            <w:tcW w:w="948" w:type="dxa"/>
            <w:tcBorders>
              <w:top w:val="single" w:sz="4" w:space="0" w:color="BEBEBE"/>
              <w:bottom w:val="single" w:sz="4" w:space="0" w:color="BEBEBE"/>
            </w:tcBorders>
          </w:tcPr>
          <w:p w14:paraId="6E175D32" w14:textId="77777777" w:rsidR="00BC24A8" w:rsidRDefault="00000000">
            <w:pPr>
              <w:pStyle w:val="TableParagraph"/>
              <w:spacing w:before="75"/>
              <w:ind w:left="2" w:right="1"/>
              <w:jc w:val="center"/>
              <w:rPr>
                <w:sz w:val="18"/>
              </w:rPr>
            </w:pPr>
            <w:r>
              <w:rPr>
                <w:spacing w:val="-5"/>
                <w:sz w:val="18"/>
              </w:rPr>
              <w:t>PBD</w:t>
            </w:r>
          </w:p>
        </w:tc>
        <w:tc>
          <w:tcPr>
            <w:tcW w:w="1518" w:type="dxa"/>
            <w:tcBorders>
              <w:top w:val="single" w:sz="4" w:space="0" w:color="BEBEBE"/>
              <w:bottom w:val="single" w:sz="4" w:space="0" w:color="BEBEBE"/>
            </w:tcBorders>
          </w:tcPr>
          <w:p w14:paraId="115F4413" w14:textId="77777777" w:rsidR="00BC24A8" w:rsidRDefault="00000000">
            <w:pPr>
              <w:pStyle w:val="TableParagraph"/>
              <w:spacing w:before="85"/>
              <w:ind w:right="6"/>
              <w:jc w:val="center"/>
              <w:rPr>
                <w:sz w:val="18"/>
              </w:rPr>
            </w:pPr>
            <w:r>
              <w:rPr>
                <w:sz w:val="18"/>
              </w:rPr>
              <w:t>On-</w:t>
            </w:r>
            <w:r>
              <w:rPr>
                <w:spacing w:val="-4"/>
                <w:sz w:val="18"/>
              </w:rPr>
              <w:t xml:space="preserve"> </w:t>
            </w:r>
            <w:r>
              <w:rPr>
                <w:spacing w:val="-2"/>
                <w:sz w:val="18"/>
              </w:rPr>
              <w:t>Process</w:t>
            </w:r>
          </w:p>
        </w:tc>
        <w:tc>
          <w:tcPr>
            <w:tcW w:w="1002" w:type="dxa"/>
            <w:tcBorders>
              <w:top w:val="single" w:sz="4" w:space="0" w:color="BEBEBE"/>
              <w:bottom w:val="single" w:sz="4" w:space="0" w:color="BEBEBE"/>
            </w:tcBorders>
          </w:tcPr>
          <w:p w14:paraId="0EC33897" w14:textId="77777777" w:rsidR="00BC24A8" w:rsidRDefault="00000000">
            <w:pPr>
              <w:pStyle w:val="TableParagraph"/>
              <w:spacing w:before="12"/>
              <w:ind w:right="3"/>
              <w:jc w:val="center"/>
              <w:rPr>
                <w:rFonts w:ascii="Segoe UI Symbol" w:hAnsi="Segoe UI Symbol"/>
                <w:sz w:val="18"/>
              </w:rPr>
            </w:pPr>
            <w:r>
              <w:rPr>
                <w:rFonts w:ascii="Segoe UI Symbol" w:hAnsi="Segoe UI Symbol"/>
                <w:spacing w:val="-10"/>
                <w:sz w:val="18"/>
              </w:rPr>
              <w:t>✓</w:t>
            </w:r>
          </w:p>
        </w:tc>
        <w:tc>
          <w:tcPr>
            <w:tcW w:w="977" w:type="dxa"/>
            <w:tcBorders>
              <w:top w:val="single" w:sz="4" w:space="0" w:color="BEBEBE"/>
              <w:bottom w:val="single" w:sz="4" w:space="0" w:color="BEBEBE"/>
            </w:tcBorders>
          </w:tcPr>
          <w:p w14:paraId="725EA85B" w14:textId="77777777" w:rsidR="00BC24A8" w:rsidRDefault="00000000">
            <w:pPr>
              <w:pStyle w:val="TableParagraph"/>
              <w:spacing w:before="12"/>
              <w:ind w:left="7"/>
              <w:jc w:val="center"/>
              <w:rPr>
                <w:rFonts w:ascii="Segoe UI Symbol" w:hAnsi="Segoe UI Symbol"/>
                <w:sz w:val="18"/>
              </w:rPr>
            </w:pPr>
            <w:r>
              <w:rPr>
                <w:rFonts w:ascii="Segoe UI Symbol" w:hAnsi="Segoe UI Symbol"/>
                <w:spacing w:val="-10"/>
                <w:sz w:val="18"/>
              </w:rPr>
              <w:t>✓</w:t>
            </w:r>
          </w:p>
        </w:tc>
        <w:tc>
          <w:tcPr>
            <w:tcW w:w="963" w:type="dxa"/>
            <w:tcBorders>
              <w:top w:val="single" w:sz="4" w:space="0" w:color="BEBEBE"/>
              <w:bottom w:val="single" w:sz="4" w:space="0" w:color="BEBEBE"/>
            </w:tcBorders>
          </w:tcPr>
          <w:p w14:paraId="346DB168" w14:textId="77777777" w:rsidR="00BC24A8" w:rsidRDefault="00BC24A8">
            <w:pPr>
              <w:pStyle w:val="TableParagraph"/>
              <w:rPr>
                <w:rFonts w:ascii="Times New Roman"/>
                <w:sz w:val="20"/>
              </w:rPr>
            </w:pPr>
          </w:p>
        </w:tc>
        <w:tc>
          <w:tcPr>
            <w:tcW w:w="982" w:type="dxa"/>
            <w:tcBorders>
              <w:top w:val="single" w:sz="4" w:space="0" w:color="BEBEBE"/>
              <w:bottom w:val="single" w:sz="4" w:space="0" w:color="BEBEBE"/>
            </w:tcBorders>
          </w:tcPr>
          <w:p w14:paraId="6F3BB07B" w14:textId="77777777" w:rsidR="00BC24A8" w:rsidRDefault="00000000">
            <w:pPr>
              <w:pStyle w:val="TableParagraph"/>
              <w:spacing w:before="12"/>
              <w:ind w:left="5"/>
              <w:jc w:val="center"/>
              <w:rPr>
                <w:rFonts w:ascii="Segoe UI Symbol" w:hAnsi="Segoe UI Symbol"/>
                <w:sz w:val="18"/>
              </w:rPr>
            </w:pPr>
            <w:r>
              <w:rPr>
                <w:rFonts w:ascii="Segoe UI Symbol" w:hAnsi="Segoe UI Symbol"/>
                <w:spacing w:val="-10"/>
                <w:sz w:val="18"/>
              </w:rPr>
              <w:t>✓</w:t>
            </w:r>
          </w:p>
        </w:tc>
      </w:tr>
    </w:tbl>
    <w:p w14:paraId="530F066D" w14:textId="77777777" w:rsidR="00BC24A8" w:rsidRDefault="00BC24A8">
      <w:pPr>
        <w:pStyle w:val="BodyText"/>
        <w:rPr>
          <w:rFonts w:ascii="Calibri"/>
          <w:b/>
          <w:sz w:val="20"/>
        </w:rPr>
      </w:pPr>
    </w:p>
    <w:p w14:paraId="027661DD" w14:textId="77777777" w:rsidR="00BC24A8" w:rsidRDefault="00000000">
      <w:pPr>
        <w:pStyle w:val="BodyText"/>
        <w:spacing w:before="48"/>
        <w:rPr>
          <w:rFonts w:ascii="Calibri"/>
          <w:b/>
          <w:sz w:val="20"/>
        </w:rPr>
      </w:pPr>
      <w:r>
        <w:rPr>
          <w:rFonts w:ascii="Calibri"/>
          <w:b/>
          <w:noProof/>
          <w:sz w:val="20"/>
        </w:rPr>
        <mc:AlternateContent>
          <mc:Choice Requires="wps">
            <w:drawing>
              <wp:anchor distT="0" distB="0" distL="0" distR="0" simplePos="0" relativeHeight="487598592" behindDoc="1" locked="0" layoutInCell="1" allowOverlap="1" wp14:anchorId="7A58CE06" wp14:editId="27B506C6">
                <wp:simplePos x="0" y="0"/>
                <wp:positionH relativeFrom="page">
                  <wp:posOffset>900683</wp:posOffset>
                </wp:positionH>
                <wp:positionV relativeFrom="paragraph">
                  <wp:posOffset>200824</wp:posOffset>
                </wp:positionV>
                <wp:extent cx="1828800" cy="9525"/>
                <wp:effectExtent l="0" t="0" r="0" b="0"/>
                <wp:wrapTopAndBottom/>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9C9964" id="Graphic 58" o:spid="_x0000_s1026" alt="&quot;&quot;" style="position:absolute;margin-left:70.9pt;margin-top:15.8pt;width:2in;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" path="m1828800,l,,,9143r1828800,l1828800,xe" fillcolor="black" stroked="f">
                <v:path arrowok="t"/>
                <w10:wrap type="topAndBottom" anchorx="page"/>
              </v:shape>
            </w:pict>
          </mc:Fallback>
        </mc:AlternateContent>
      </w:r>
    </w:p>
    <w:p w14:paraId="1294FBBB" w14:textId="77777777" w:rsidR="00BC24A8" w:rsidRDefault="00BC24A8">
      <w:pPr>
        <w:pStyle w:val="BodyText"/>
        <w:spacing w:before="35"/>
        <w:rPr>
          <w:rFonts w:ascii="Calibri"/>
          <w:b/>
        </w:rPr>
      </w:pPr>
    </w:p>
    <w:p w14:paraId="788A015C" w14:textId="77777777" w:rsidR="00BC24A8" w:rsidRDefault="00000000">
      <w:pPr>
        <w:spacing w:line="195" w:lineRule="exact"/>
        <w:ind w:left="143"/>
        <w:jc w:val="both"/>
        <w:rPr>
          <w:sz w:val="16"/>
        </w:rPr>
      </w:pPr>
      <w:bookmarkStart w:id="122" w:name="_bookmark79"/>
      <w:bookmarkEnd w:id="122"/>
      <w:r>
        <w:rPr>
          <w:color w:val="767070"/>
          <w:spacing w:val="-2"/>
          <w:sz w:val="16"/>
          <w:vertAlign w:val="superscript"/>
        </w:rPr>
        <w:t>33</w:t>
      </w:r>
      <w:r>
        <w:rPr>
          <w:color w:val="767070"/>
          <w:spacing w:val="10"/>
          <w:sz w:val="16"/>
        </w:rPr>
        <w:t xml:space="preserve"> </w:t>
      </w:r>
      <w:r>
        <w:rPr>
          <w:color w:val="767070"/>
          <w:spacing w:val="-2"/>
          <w:sz w:val="16"/>
        </w:rPr>
        <w:t>Permen/PPN/Bappenas</w:t>
      </w:r>
      <w:r>
        <w:rPr>
          <w:color w:val="767070"/>
          <w:spacing w:val="12"/>
          <w:sz w:val="16"/>
        </w:rPr>
        <w:t xml:space="preserve"> </w:t>
      </w:r>
      <w:r>
        <w:rPr>
          <w:color w:val="767070"/>
          <w:spacing w:val="-2"/>
          <w:sz w:val="16"/>
        </w:rPr>
        <w:t>1/2025</w:t>
      </w:r>
    </w:p>
    <w:p w14:paraId="616321C1" w14:textId="77777777" w:rsidR="00BC24A8" w:rsidRDefault="00000000">
      <w:pPr>
        <w:ind w:left="143" w:right="1008"/>
        <w:jc w:val="both"/>
        <w:rPr>
          <w:sz w:val="16"/>
        </w:rPr>
      </w:pPr>
      <w:bookmarkStart w:id="123" w:name="_bookmark80"/>
      <w:bookmarkEnd w:id="123"/>
      <w:r>
        <w:rPr>
          <w:color w:val="767070"/>
          <w:sz w:val="16"/>
          <w:vertAlign w:val="superscript"/>
        </w:rPr>
        <w:t>34</w:t>
      </w:r>
      <w:r>
        <w:rPr>
          <w:color w:val="767070"/>
          <w:spacing w:val="-4"/>
          <w:sz w:val="16"/>
        </w:rPr>
        <w:t xml:space="preserve"> </w:t>
      </w:r>
      <w:r>
        <w:rPr>
          <w:color w:val="767070"/>
          <w:sz w:val="16"/>
        </w:rPr>
        <w:t>133</w:t>
      </w:r>
      <w:r>
        <w:rPr>
          <w:color w:val="767070"/>
          <w:spacing w:val="-4"/>
          <w:sz w:val="16"/>
        </w:rPr>
        <w:t xml:space="preserve"> </w:t>
      </w:r>
      <w:r>
        <w:rPr>
          <w:color w:val="767070"/>
          <w:sz w:val="16"/>
        </w:rPr>
        <w:t>people</w:t>
      </w:r>
      <w:r>
        <w:rPr>
          <w:color w:val="767070"/>
          <w:spacing w:val="-4"/>
          <w:sz w:val="16"/>
        </w:rPr>
        <w:t xml:space="preserve"> </w:t>
      </w:r>
      <w:r>
        <w:rPr>
          <w:color w:val="767070"/>
          <w:sz w:val="16"/>
        </w:rPr>
        <w:t>Badan</w:t>
      </w:r>
      <w:r>
        <w:rPr>
          <w:color w:val="767070"/>
          <w:spacing w:val="-5"/>
          <w:sz w:val="16"/>
        </w:rPr>
        <w:t xml:space="preserve"> </w:t>
      </w:r>
      <w:r>
        <w:rPr>
          <w:color w:val="767070"/>
          <w:sz w:val="16"/>
        </w:rPr>
        <w:t>Perencanaan</w:t>
      </w:r>
      <w:r>
        <w:rPr>
          <w:color w:val="767070"/>
          <w:spacing w:val="-3"/>
          <w:sz w:val="16"/>
        </w:rPr>
        <w:t xml:space="preserve"> </w:t>
      </w:r>
      <w:r>
        <w:rPr>
          <w:color w:val="767070"/>
          <w:sz w:val="16"/>
        </w:rPr>
        <w:t>Pembangunan</w:t>
      </w:r>
      <w:r>
        <w:rPr>
          <w:color w:val="767070"/>
          <w:spacing w:val="-3"/>
          <w:sz w:val="16"/>
        </w:rPr>
        <w:t xml:space="preserve"> </w:t>
      </w:r>
      <w:r>
        <w:rPr>
          <w:color w:val="767070"/>
          <w:sz w:val="16"/>
        </w:rPr>
        <w:t>Daerah</w:t>
      </w:r>
      <w:r>
        <w:rPr>
          <w:color w:val="767070"/>
          <w:spacing w:val="-3"/>
          <w:sz w:val="16"/>
        </w:rPr>
        <w:t xml:space="preserve"> </w:t>
      </w:r>
      <w:r>
        <w:rPr>
          <w:color w:val="767070"/>
          <w:sz w:val="16"/>
        </w:rPr>
        <w:t>(Bappeda)</w:t>
      </w:r>
      <w:r>
        <w:rPr>
          <w:color w:val="767070"/>
          <w:spacing w:val="-4"/>
          <w:sz w:val="16"/>
        </w:rPr>
        <w:t xml:space="preserve"> </w:t>
      </w:r>
      <w:r>
        <w:rPr>
          <w:color w:val="767070"/>
          <w:sz w:val="16"/>
        </w:rPr>
        <w:t>or</w:t>
      </w:r>
      <w:r>
        <w:rPr>
          <w:color w:val="767070"/>
          <w:spacing w:val="-4"/>
          <w:sz w:val="16"/>
        </w:rPr>
        <w:t xml:space="preserve"> </w:t>
      </w:r>
      <w:r>
        <w:rPr>
          <w:color w:val="767070"/>
          <w:sz w:val="16"/>
        </w:rPr>
        <w:t>the</w:t>
      </w:r>
      <w:r>
        <w:rPr>
          <w:color w:val="767070"/>
          <w:spacing w:val="-4"/>
          <w:sz w:val="16"/>
        </w:rPr>
        <w:t xml:space="preserve"> </w:t>
      </w:r>
      <w:r>
        <w:rPr>
          <w:color w:val="767070"/>
          <w:sz w:val="16"/>
        </w:rPr>
        <w:t>Regional</w:t>
      </w:r>
      <w:r>
        <w:rPr>
          <w:color w:val="767070"/>
          <w:spacing w:val="-3"/>
          <w:sz w:val="16"/>
        </w:rPr>
        <w:t xml:space="preserve"> </w:t>
      </w:r>
      <w:r>
        <w:rPr>
          <w:color w:val="767070"/>
          <w:sz w:val="16"/>
        </w:rPr>
        <w:t>Development</w:t>
      </w:r>
      <w:r>
        <w:rPr>
          <w:color w:val="767070"/>
          <w:spacing w:val="-4"/>
          <w:sz w:val="16"/>
        </w:rPr>
        <w:t xml:space="preserve"> </w:t>
      </w:r>
      <w:r>
        <w:rPr>
          <w:color w:val="767070"/>
          <w:sz w:val="16"/>
        </w:rPr>
        <w:t>Planning</w:t>
      </w:r>
      <w:r>
        <w:rPr>
          <w:color w:val="767070"/>
          <w:spacing w:val="-6"/>
          <w:sz w:val="16"/>
        </w:rPr>
        <w:t xml:space="preserve"> </w:t>
      </w:r>
      <w:r>
        <w:rPr>
          <w:color w:val="767070"/>
          <w:sz w:val="16"/>
        </w:rPr>
        <w:t>Agency</w:t>
      </w:r>
      <w:r>
        <w:rPr>
          <w:color w:val="767070"/>
          <w:spacing w:val="-3"/>
          <w:sz w:val="16"/>
        </w:rPr>
        <w:t xml:space="preserve"> </w:t>
      </w:r>
      <w:r>
        <w:rPr>
          <w:color w:val="767070"/>
          <w:sz w:val="16"/>
        </w:rPr>
        <w:t>and</w:t>
      </w:r>
      <w:r>
        <w:rPr>
          <w:color w:val="767070"/>
          <w:spacing w:val="-3"/>
          <w:sz w:val="16"/>
        </w:rPr>
        <w:t xml:space="preserve"> </w:t>
      </w:r>
      <w:r>
        <w:rPr>
          <w:color w:val="767070"/>
          <w:sz w:val="16"/>
        </w:rPr>
        <w:t>19</w:t>
      </w:r>
      <w:r>
        <w:rPr>
          <w:color w:val="767070"/>
          <w:spacing w:val="-5"/>
          <w:sz w:val="16"/>
        </w:rPr>
        <w:t xml:space="preserve"> </w:t>
      </w:r>
      <w:r>
        <w:rPr>
          <w:color w:val="767070"/>
          <w:sz w:val="16"/>
        </w:rPr>
        <w:t>people</w:t>
      </w:r>
      <w:r>
        <w:rPr>
          <w:color w:val="767070"/>
          <w:spacing w:val="-4"/>
          <w:sz w:val="16"/>
        </w:rPr>
        <w:t xml:space="preserve"> </w:t>
      </w:r>
      <w:r>
        <w:rPr>
          <w:color w:val="767070"/>
          <w:sz w:val="16"/>
        </w:rPr>
        <w:t>from</w:t>
      </w:r>
      <w:r>
        <w:rPr>
          <w:color w:val="767070"/>
          <w:spacing w:val="40"/>
          <w:sz w:val="16"/>
        </w:rPr>
        <w:t xml:space="preserve"> </w:t>
      </w:r>
      <w:r>
        <w:rPr>
          <w:color w:val="767070"/>
          <w:sz w:val="16"/>
        </w:rPr>
        <w:t>Badan</w:t>
      </w:r>
      <w:r>
        <w:rPr>
          <w:color w:val="767070"/>
          <w:spacing w:val="-7"/>
          <w:sz w:val="16"/>
        </w:rPr>
        <w:t xml:space="preserve"> </w:t>
      </w:r>
      <w:r>
        <w:rPr>
          <w:color w:val="767070"/>
          <w:sz w:val="16"/>
        </w:rPr>
        <w:t>Pengarah</w:t>
      </w:r>
      <w:r>
        <w:rPr>
          <w:color w:val="767070"/>
          <w:spacing w:val="-7"/>
          <w:sz w:val="16"/>
        </w:rPr>
        <w:t xml:space="preserve"> </w:t>
      </w:r>
      <w:r>
        <w:rPr>
          <w:color w:val="767070"/>
          <w:sz w:val="16"/>
        </w:rPr>
        <w:t>Percepatan</w:t>
      </w:r>
      <w:r>
        <w:rPr>
          <w:color w:val="767070"/>
          <w:spacing w:val="-7"/>
          <w:sz w:val="16"/>
        </w:rPr>
        <w:t xml:space="preserve"> </w:t>
      </w:r>
      <w:r>
        <w:rPr>
          <w:color w:val="767070"/>
          <w:sz w:val="16"/>
        </w:rPr>
        <w:t>Pembangunan</w:t>
      </w:r>
      <w:r>
        <w:rPr>
          <w:color w:val="767070"/>
          <w:spacing w:val="-4"/>
          <w:sz w:val="16"/>
        </w:rPr>
        <w:t xml:space="preserve"> </w:t>
      </w:r>
      <w:r>
        <w:rPr>
          <w:color w:val="767070"/>
          <w:sz w:val="16"/>
        </w:rPr>
        <w:t>Otonomi</w:t>
      </w:r>
      <w:r>
        <w:rPr>
          <w:color w:val="767070"/>
          <w:spacing w:val="-4"/>
          <w:sz w:val="16"/>
        </w:rPr>
        <w:t xml:space="preserve"> </w:t>
      </w:r>
      <w:r>
        <w:rPr>
          <w:color w:val="767070"/>
          <w:sz w:val="16"/>
        </w:rPr>
        <w:t>Khusus</w:t>
      </w:r>
      <w:r>
        <w:rPr>
          <w:color w:val="767070"/>
          <w:spacing w:val="-4"/>
          <w:sz w:val="16"/>
        </w:rPr>
        <w:t xml:space="preserve"> </w:t>
      </w:r>
      <w:r>
        <w:rPr>
          <w:color w:val="767070"/>
          <w:sz w:val="16"/>
        </w:rPr>
        <w:t>Papua</w:t>
      </w:r>
      <w:r>
        <w:rPr>
          <w:color w:val="767070"/>
          <w:spacing w:val="-4"/>
          <w:sz w:val="16"/>
        </w:rPr>
        <w:t xml:space="preserve"> </w:t>
      </w:r>
      <w:r>
        <w:rPr>
          <w:color w:val="767070"/>
          <w:sz w:val="16"/>
        </w:rPr>
        <w:t>(BP3OKP)</w:t>
      </w:r>
      <w:r>
        <w:rPr>
          <w:color w:val="767070"/>
          <w:spacing w:val="-5"/>
          <w:sz w:val="16"/>
        </w:rPr>
        <w:t xml:space="preserve"> </w:t>
      </w:r>
      <w:r>
        <w:rPr>
          <w:color w:val="767070"/>
          <w:sz w:val="16"/>
        </w:rPr>
        <w:t>or</w:t>
      </w:r>
      <w:r>
        <w:rPr>
          <w:color w:val="767070"/>
          <w:spacing w:val="-5"/>
          <w:sz w:val="16"/>
        </w:rPr>
        <w:t xml:space="preserve"> </w:t>
      </w:r>
      <w:r>
        <w:rPr>
          <w:color w:val="767070"/>
          <w:sz w:val="16"/>
        </w:rPr>
        <w:t>the</w:t>
      </w:r>
      <w:r>
        <w:rPr>
          <w:color w:val="767070"/>
          <w:spacing w:val="-5"/>
          <w:sz w:val="16"/>
        </w:rPr>
        <w:t xml:space="preserve"> </w:t>
      </w:r>
      <w:r>
        <w:rPr>
          <w:color w:val="767070"/>
          <w:sz w:val="16"/>
        </w:rPr>
        <w:t>Steering</w:t>
      </w:r>
      <w:r>
        <w:rPr>
          <w:color w:val="767070"/>
          <w:spacing w:val="-6"/>
          <w:sz w:val="16"/>
        </w:rPr>
        <w:t xml:space="preserve"> </w:t>
      </w:r>
      <w:r>
        <w:rPr>
          <w:color w:val="767070"/>
          <w:sz w:val="16"/>
        </w:rPr>
        <w:t>Committee</w:t>
      </w:r>
      <w:r>
        <w:rPr>
          <w:color w:val="767070"/>
          <w:spacing w:val="-5"/>
          <w:sz w:val="16"/>
        </w:rPr>
        <w:t xml:space="preserve"> </w:t>
      </w:r>
      <w:r>
        <w:rPr>
          <w:color w:val="767070"/>
          <w:sz w:val="16"/>
        </w:rPr>
        <w:t>for</w:t>
      </w:r>
      <w:r>
        <w:rPr>
          <w:color w:val="767070"/>
          <w:spacing w:val="-5"/>
          <w:sz w:val="16"/>
        </w:rPr>
        <w:t xml:space="preserve"> </w:t>
      </w:r>
      <w:r>
        <w:rPr>
          <w:color w:val="767070"/>
          <w:sz w:val="16"/>
        </w:rPr>
        <w:t>the</w:t>
      </w:r>
      <w:r>
        <w:rPr>
          <w:color w:val="767070"/>
          <w:spacing w:val="-5"/>
          <w:sz w:val="16"/>
        </w:rPr>
        <w:t xml:space="preserve"> </w:t>
      </w:r>
      <w:r>
        <w:rPr>
          <w:color w:val="767070"/>
          <w:sz w:val="16"/>
        </w:rPr>
        <w:t>Acceleration</w:t>
      </w:r>
      <w:r>
        <w:rPr>
          <w:color w:val="767070"/>
          <w:spacing w:val="-4"/>
          <w:sz w:val="16"/>
        </w:rPr>
        <w:t xml:space="preserve"> </w:t>
      </w:r>
      <w:r>
        <w:rPr>
          <w:color w:val="767070"/>
          <w:sz w:val="16"/>
        </w:rPr>
        <w:t>of</w:t>
      </w:r>
      <w:r>
        <w:rPr>
          <w:color w:val="767070"/>
          <w:spacing w:val="-5"/>
          <w:sz w:val="16"/>
        </w:rPr>
        <w:t xml:space="preserve"> </w:t>
      </w:r>
      <w:r>
        <w:rPr>
          <w:color w:val="767070"/>
          <w:sz w:val="16"/>
        </w:rPr>
        <w:t>Special</w:t>
      </w:r>
      <w:r>
        <w:rPr>
          <w:color w:val="767070"/>
          <w:spacing w:val="40"/>
          <w:sz w:val="16"/>
        </w:rPr>
        <w:t xml:space="preserve"> </w:t>
      </w:r>
      <w:r>
        <w:rPr>
          <w:color w:val="767070"/>
          <w:sz w:val="16"/>
        </w:rPr>
        <w:t>Autonomy Development in Papua</w:t>
      </w:r>
    </w:p>
    <w:p w14:paraId="3312C25B" w14:textId="77777777" w:rsidR="00BC24A8" w:rsidRDefault="00BC24A8">
      <w:pPr>
        <w:jc w:val="both"/>
        <w:rPr>
          <w:sz w:val="16"/>
        </w:rPr>
        <w:sectPr w:rsidR="00BC24A8">
          <w:pgSz w:w="11910" w:h="16840"/>
          <w:pgMar w:top="1320" w:right="850" w:bottom="1100" w:left="1275" w:header="0" w:footer="907" w:gutter="0"/>
          <w:cols w:space="720"/>
        </w:sectPr>
      </w:pPr>
    </w:p>
    <w:p w14:paraId="71B6DD58" w14:textId="77777777" w:rsidR="00BC24A8" w:rsidRDefault="00000000">
      <w:pPr>
        <w:pStyle w:val="BodyText"/>
        <w:spacing w:before="29" w:line="278" w:lineRule="auto"/>
        <w:ind w:left="143" w:right="563"/>
        <w:jc w:val="both"/>
      </w:pPr>
      <w:r>
        <w:lastRenderedPageBreak/>
        <w:t xml:space="preserve">SKALA secretariat support for the PAITUA Program, a targeted cash transfer scheme to support the </w:t>
      </w:r>
      <w:r>
        <w:rPr>
          <w:spacing w:val="-2"/>
        </w:rPr>
        <w:t>elderly,</w:t>
      </w:r>
      <w:r>
        <w:rPr>
          <w:spacing w:val="-5"/>
        </w:rPr>
        <w:t xml:space="preserve"> </w:t>
      </w:r>
      <w:r>
        <w:rPr>
          <w:spacing w:val="-2"/>
        </w:rPr>
        <w:t>in</w:t>
      </w:r>
      <w:r>
        <w:rPr>
          <w:spacing w:val="-5"/>
        </w:rPr>
        <w:t xml:space="preserve"> </w:t>
      </w:r>
      <w:r>
        <w:rPr>
          <w:spacing w:val="-2"/>
        </w:rPr>
        <w:t>Papua</w:t>
      </w:r>
      <w:r>
        <w:rPr>
          <w:spacing w:val="-7"/>
        </w:rPr>
        <w:t xml:space="preserve"> </w:t>
      </w:r>
      <w:r>
        <w:rPr>
          <w:spacing w:val="-2"/>
        </w:rPr>
        <w:t>Barat</w:t>
      </w:r>
      <w:r>
        <w:rPr>
          <w:spacing w:val="-6"/>
        </w:rPr>
        <w:t xml:space="preserve"> </w:t>
      </w:r>
      <w:r>
        <w:rPr>
          <w:spacing w:val="-2"/>
        </w:rPr>
        <w:t>Daya</w:t>
      </w:r>
      <w:r>
        <w:rPr>
          <w:spacing w:val="-10"/>
        </w:rPr>
        <w:t xml:space="preserve"> </w:t>
      </w:r>
      <w:r>
        <w:rPr>
          <w:spacing w:val="-2"/>
        </w:rPr>
        <w:t>has</w:t>
      </w:r>
      <w:r>
        <w:rPr>
          <w:spacing w:val="-5"/>
        </w:rPr>
        <w:t xml:space="preserve"> </w:t>
      </w:r>
      <w:r>
        <w:rPr>
          <w:spacing w:val="-2"/>
        </w:rPr>
        <w:t>concluded.</w:t>
      </w:r>
      <w:r>
        <w:rPr>
          <w:spacing w:val="-5"/>
        </w:rPr>
        <w:t xml:space="preserve"> </w:t>
      </w:r>
      <w:r>
        <w:rPr>
          <w:spacing w:val="-2"/>
        </w:rPr>
        <w:t>The</w:t>
      </w:r>
      <w:r>
        <w:rPr>
          <w:spacing w:val="-7"/>
        </w:rPr>
        <w:t xml:space="preserve"> </w:t>
      </w:r>
      <w:r>
        <w:rPr>
          <w:spacing w:val="-2"/>
        </w:rPr>
        <w:t>Province</w:t>
      </w:r>
      <w:r>
        <w:rPr>
          <w:spacing w:val="-7"/>
        </w:rPr>
        <w:t xml:space="preserve"> </w:t>
      </w:r>
      <w:r>
        <w:rPr>
          <w:spacing w:val="-2"/>
        </w:rPr>
        <w:t>is</w:t>
      </w:r>
      <w:r>
        <w:rPr>
          <w:spacing w:val="-5"/>
        </w:rPr>
        <w:t xml:space="preserve"> </w:t>
      </w:r>
      <w:r>
        <w:rPr>
          <w:spacing w:val="-2"/>
        </w:rPr>
        <w:t>applying</w:t>
      </w:r>
      <w:r>
        <w:rPr>
          <w:spacing w:val="-10"/>
        </w:rPr>
        <w:t xml:space="preserve"> </w:t>
      </w:r>
      <w:r>
        <w:rPr>
          <w:spacing w:val="-2"/>
        </w:rPr>
        <w:t>lessons</w:t>
      </w:r>
      <w:r>
        <w:rPr>
          <w:spacing w:val="-5"/>
        </w:rPr>
        <w:t xml:space="preserve"> </w:t>
      </w:r>
      <w:r>
        <w:rPr>
          <w:spacing w:val="-2"/>
        </w:rPr>
        <w:t>from</w:t>
      </w:r>
      <w:r>
        <w:rPr>
          <w:spacing w:val="-5"/>
        </w:rPr>
        <w:t xml:space="preserve"> </w:t>
      </w:r>
      <w:r>
        <w:rPr>
          <w:spacing w:val="-2"/>
        </w:rPr>
        <w:t>previous</w:t>
      </w:r>
      <w:r>
        <w:rPr>
          <w:spacing w:val="-5"/>
        </w:rPr>
        <w:t xml:space="preserve"> </w:t>
      </w:r>
      <w:r>
        <w:rPr>
          <w:spacing w:val="-2"/>
        </w:rPr>
        <w:t>financial</w:t>
      </w:r>
      <w:r>
        <w:rPr>
          <w:spacing w:val="-7"/>
        </w:rPr>
        <w:t xml:space="preserve"> </w:t>
      </w:r>
      <w:r>
        <w:rPr>
          <w:spacing w:val="-2"/>
        </w:rPr>
        <w:t xml:space="preserve">years </w:t>
      </w:r>
      <w:r>
        <w:t>to disburse the remaining dedicated funds during this reporting period.</w:t>
      </w:r>
    </w:p>
    <w:p w14:paraId="0F567354" w14:textId="77777777" w:rsidR="00BC24A8" w:rsidRDefault="00000000">
      <w:pPr>
        <w:pStyle w:val="BodyText"/>
        <w:spacing w:before="159" w:line="278" w:lineRule="auto"/>
        <w:ind w:left="143" w:right="563"/>
        <w:jc w:val="both"/>
      </w:pPr>
      <w:r>
        <w:t>This</w:t>
      </w:r>
      <w:r>
        <w:rPr>
          <w:spacing w:val="-7"/>
        </w:rPr>
        <w:t xml:space="preserve"> </w:t>
      </w:r>
      <w:r>
        <w:t>semester</w:t>
      </w:r>
      <w:r>
        <w:rPr>
          <w:spacing w:val="-7"/>
        </w:rPr>
        <w:t xml:space="preserve"> </w:t>
      </w:r>
      <w:r>
        <w:t>Kota</w:t>
      </w:r>
      <w:r>
        <w:rPr>
          <w:spacing w:val="-10"/>
        </w:rPr>
        <w:t xml:space="preserve"> </w:t>
      </w:r>
      <w:r>
        <w:t>Sorong</w:t>
      </w:r>
      <w:r>
        <w:rPr>
          <w:spacing w:val="-10"/>
        </w:rPr>
        <w:t xml:space="preserve"> </w:t>
      </w:r>
      <w:r>
        <w:t>government</w:t>
      </w:r>
      <w:r>
        <w:rPr>
          <w:spacing w:val="-8"/>
        </w:rPr>
        <w:t xml:space="preserve"> </w:t>
      </w:r>
      <w:r>
        <w:t>decided</w:t>
      </w:r>
      <w:r>
        <w:rPr>
          <w:spacing w:val="-7"/>
        </w:rPr>
        <w:t xml:space="preserve"> </w:t>
      </w:r>
      <w:r>
        <w:t>to</w:t>
      </w:r>
      <w:r>
        <w:rPr>
          <w:spacing w:val="-8"/>
        </w:rPr>
        <w:t xml:space="preserve"> </w:t>
      </w:r>
      <w:r>
        <w:t>focus</w:t>
      </w:r>
      <w:r>
        <w:rPr>
          <w:spacing w:val="-7"/>
        </w:rPr>
        <w:t xml:space="preserve"> </w:t>
      </w:r>
      <w:r>
        <w:t>on</w:t>
      </w:r>
      <w:r>
        <w:rPr>
          <w:spacing w:val="-10"/>
        </w:rPr>
        <w:t xml:space="preserve"> </w:t>
      </w:r>
      <w:r>
        <w:t>PAITUA</w:t>
      </w:r>
      <w:r>
        <w:rPr>
          <w:spacing w:val="-8"/>
        </w:rPr>
        <w:t xml:space="preserve"> </w:t>
      </w:r>
      <w:r>
        <w:t>for</w:t>
      </w:r>
      <w:r>
        <w:rPr>
          <w:spacing w:val="-7"/>
        </w:rPr>
        <w:t xml:space="preserve"> </w:t>
      </w:r>
      <w:r>
        <w:t>indigenous</w:t>
      </w:r>
      <w:r>
        <w:rPr>
          <w:spacing w:val="-7"/>
        </w:rPr>
        <w:t xml:space="preserve"> </w:t>
      </w:r>
      <w:r>
        <w:t>Papuan</w:t>
      </w:r>
      <w:r>
        <w:rPr>
          <w:spacing w:val="-7"/>
        </w:rPr>
        <w:t xml:space="preserve"> </w:t>
      </w:r>
      <w:r>
        <w:t>elderly</w:t>
      </w:r>
      <w:r>
        <w:rPr>
          <w:spacing w:val="-7"/>
        </w:rPr>
        <w:t xml:space="preserve"> </w:t>
      </w:r>
      <w:r>
        <w:t>only, significantly reducing the target beneficiaries, while in other districts, the number of PAITUA beneficiaries remained steady, with only Raja Ampat experiencing a significant increase.</w:t>
      </w:r>
      <w:hyperlink w:anchor="_bookmark82" w:history="1">
        <w:r w:rsidR="00BC24A8">
          <w:rPr>
            <w:vertAlign w:val="superscript"/>
          </w:rPr>
          <w:t>35</w:t>
        </w:r>
      </w:hyperlink>
      <w:r>
        <w:t xml:space="preserve"> The distribution</w:t>
      </w:r>
      <w:r>
        <w:rPr>
          <w:spacing w:val="-13"/>
        </w:rPr>
        <w:t xml:space="preserve"> </w:t>
      </w:r>
      <w:r>
        <w:t>process</w:t>
      </w:r>
      <w:r>
        <w:rPr>
          <w:spacing w:val="-12"/>
        </w:rPr>
        <w:t xml:space="preserve"> </w:t>
      </w:r>
      <w:r>
        <w:t>was</w:t>
      </w:r>
      <w:r>
        <w:rPr>
          <w:spacing w:val="-13"/>
        </w:rPr>
        <w:t xml:space="preserve"> </w:t>
      </w:r>
      <w:r>
        <w:t>expedited</w:t>
      </w:r>
      <w:r>
        <w:rPr>
          <w:spacing w:val="-12"/>
        </w:rPr>
        <w:t xml:space="preserve"> </w:t>
      </w:r>
      <w:r>
        <w:t>as</w:t>
      </w:r>
      <w:r>
        <w:rPr>
          <w:spacing w:val="-13"/>
        </w:rPr>
        <w:t xml:space="preserve"> </w:t>
      </w:r>
      <w:r>
        <w:t>the</w:t>
      </w:r>
      <w:r>
        <w:rPr>
          <w:spacing w:val="-12"/>
        </w:rPr>
        <w:t xml:space="preserve"> </w:t>
      </w:r>
      <w:r>
        <w:t>beneficiaries</w:t>
      </w:r>
      <w:r>
        <w:rPr>
          <w:spacing w:val="-13"/>
        </w:rPr>
        <w:t xml:space="preserve"> </w:t>
      </w:r>
      <w:r>
        <w:t>already</w:t>
      </w:r>
      <w:r>
        <w:rPr>
          <w:spacing w:val="-12"/>
        </w:rPr>
        <w:t xml:space="preserve"> </w:t>
      </w:r>
      <w:r>
        <w:t>have</w:t>
      </w:r>
      <w:r>
        <w:rPr>
          <w:spacing w:val="-12"/>
        </w:rPr>
        <w:t xml:space="preserve"> </w:t>
      </w:r>
      <w:r>
        <w:t>bank</w:t>
      </w:r>
      <w:r>
        <w:rPr>
          <w:spacing w:val="-13"/>
        </w:rPr>
        <w:t xml:space="preserve"> </w:t>
      </w:r>
      <w:r>
        <w:t>accounts,</w:t>
      </w:r>
      <w:r>
        <w:rPr>
          <w:spacing w:val="-12"/>
        </w:rPr>
        <w:t xml:space="preserve"> </w:t>
      </w:r>
      <w:r>
        <w:t>and</w:t>
      </w:r>
      <w:r>
        <w:rPr>
          <w:spacing w:val="-13"/>
        </w:rPr>
        <w:t xml:space="preserve"> </w:t>
      </w:r>
      <w:r>
        <w:t>the</w:t>
      </w:r>
      <w:r>
        <w:rPr>
          <w:spacing w:val="-12"/>
        </w:rPr>
        <w:t xml:space="preserve"> </w:t>
      </w:r>
      <w:r>
        <w:t>Bank</w:t>
      </w:r>
      <w:r>
        <w:rPr>
          <w:spacing w:val="-13"/>
        </w:rPr>
        <w:t xml:space="preserve"> </w:t>
      </w:r>
      <w:r>
        <w:t>Rakyat Indonesia could simply transfer the money to the beneficiaries. By May 2025, 84.55% of targeted beneficiaries</w:t>
      </w:r>
      <w:r>
        <w:rPr>
          <w:spacing w:val="-9"/>
        </w:rPr>
        <w:t xml:space="preserve"> </w:t>
      </w:r>
      <w:r>
        <w:t>had</w:t>
      </w:r>
      <w:r>
        <w:rPr>
          <w:spacing w:val="-9"/>
        </w:rPr>
        <w:t xml:space="preserve"> </w:t>
      </w:r>
      <w:r>
        <w:t>received</w:t>
      </w:r>
      <w:r>
        <w:rPr>
          <w:spacing w:val="-9"/>
        </w:rPr>
        <w:t xml:space="preserve"> </w:t>
      </w:r>
      <w:r>
        <w:t>IDR</w:t>
      </w:r>
      <w:r>
        <w:rPr>
          <w:spacing w:val="-10"/>
        </w:rPr>
        <w:t xml:space="preserve"> </w:t>
      </w:r>
      <w:r>
        <w:t>3</w:t>
      </w:r>
      <w:r>
        <w:rPr>
          <w:spacing w:val="-11"/>
        </w:rPr>
        <w:t xml:space="preserve"> </w:t>
      </w:r>
      <w:r>
        <w:t>million,</w:t>
      </w:r>
      <w:r>
        <w:rPr>
          <w:spacing w:val="-9"/>
        </w:rPr>
        <w:t xml:space="preserve"> </w:t>
      </w:r>
      <w:r>
        <w:t>except</w:t>
      </w:r>
      <w:r>
        <w:rPr>
          <w:spacing w:val="-10"/>
        </w:rPr>
        <w:t xml:space="preserve"> </w:t>
      </w:r>
      <w:r>
        <w:t>in</w:t>
      </w:r>
      <w:r>
        <w:rPr>
          <w:spacing w:val="-12"/>
        </w:rPr>
        <w:t xml:space="preserve"> </w:t>
      </w:r>
      <w:r>
        <w:t>Sorong</w:t>
      </w:r>
      <w:r>
        <w:rPr>
          <w:spacing w:val="-10"/>
        </w:rPr>
        <w:t xml:space="preserve"> </w:t>
      </w:r>
      <w:r>
        <w:t>Selatan,</w:t>
      </w:r>
      <w:r>
        <w:rPr>
          <w:spacing w:val="-11"/>
        </w:rPr>
        <w:t xml:space="preserve"> </w:t>
      </w:r>
      <w:r>
        <w:t>where</w:t>
      </w:r>
      <w:r>
        <w:rPr>
          <w:spacing w:val="-11"/>
        </w:rPr>
        <w:t xml:space="preserve"> </w:t>
      </w:r>
      <w:r>
        <w:t>beneficiaries</w:t>
      </w:r>
      <w:r>
        <w:rPr>
          <w:spacing w:val="-9"/>
        </w:rPr>
        <w:t xml:space="preserve"> </w:t>
      </w:r>
      <w:r>
        <w:t>received</w:t>
      </w:r>
      <w:r>
        <w:rPr>
          <w:spacing w:val="-9"/>
        </w:rPr>
        <w:t xml:space="preserve"> </w:t>
      </w:r>
      <w:r>
        <w:t>only</w:t>
      </w:r>
      <w:r>
        <w:rPr>
          <w:spacing w:val="-9"/>
        </w:rPr>
        <w:t xml:space="preserve"> </w:t>
      </w:r>
      <w:r>
        <w:t>IDR</w:t>
      </w:r>
    </w:p>
    <w:p w14:paraId="029328D3" w14:textId="77777777" w:rsidR="00BC24A8" w:rsidRDefault="00000000">
      <w:pPr>
        <w:pStyle w:val="BodyText"/>
        <w:spacing w:line="267" w:lineRule="exact"/>
        <w:ind w:left="143"/>
        <w:jc w:val="both"/>
      </w:pPr>
      <w:r>
        <w:t>1.800.000</w:t>
      </w:r>
      <w:r>
        <w:rPr>
          <w:spacing w:val="-7"/>
        </w:rPr>
        <w:t xml:space="preserve"> </w:t>
      </w:r>
      <w:r>
        <w:t>due</w:t>
      </w:r>
      <w:r>
        <w:rPr>
          <w:spacing w:val="-7"/>
        </w:rPr>
        <w:t xml:space="preserve"> </w:t>
      </w:r>
      <w:r>
        <w:t>to</w:t>
      </w:r>
      <w:r>
        <w:rPr>
          <w:spacing w:val="-7"/>
        </w:rPr>
        <w:t xml:space="preserve"> </w:t>
      </w:r>
      <w:r>
        <w:t>limited</w:t>
      </w:r>
      <w:r>
        <w:rPr>
          <w:spacing w:val="-5"/>
        </w:rPr>
        <w:t xml:space="preserve"> </w:t>
      </w:r>
      <w:r>
        <w:t>budget</w:t>
      </w:r>
      <w:r>
        <w:rPr>
          <w:spacing w:val="-6"/>
        </w:rPr>
        <w:t xml:space="preserve"> </w:t>
      </w:r>
      <w:r>
        <w:t>allocation</w:t>
      </w:r>
      <w:r>
        <w:rPr>
          <w:spacing w:val="-5"/>
        </w:rPr>
        <w:t xml:space="preserve"> </w:t>
      </w:r>
      <w:r>
        <w:t>from</w:t>
      </w:r>
      <w:r>
        <w:rPr>
          <w:spacing w:val="-8"/>
        </w:rPr>
        <w:t xml:space="preserve"> </w:t>
      </w:r>
      <w:r>
        <w:t>the</w:t>
      </w:r>
      <w:r>
        <w:rPr>
          <w:spacing w:val="-7"/>
        </w:rPr>
        <w:t xml:space="preserve"> </w:t>
      </w:r>
      <w:r>
        <w:rPr>
          <w:spacing w:val="-2"/>
        </w:rPr>
        <w:t>district.</w:t>
      </w:r>
    </w:p>
    <w:p w14:paraId="6291C8D1" w14:textId="77777777" w:rsidR="00BC24A8" w:rsidRDefault="00BC24A8">
      <w:pPr>
        <w:pStyle w:val="BodyText"/>
        <w:spacing w:before="245"/>
      </w:pPr>
    </w:p>
    <w:p w14:paraId="0DD1F38A" w14:textId="77777777" w:rsidR="00BC24A8" w:rsidRDefault="00000000">
      <w:pPr>
        <w:pStyle w:val="Heading5"/>
        <w:jc w:val="both"/>
      </w:pPr>
      <w:bookmarkStart w:id="124" w:name="_bookmark81"/>
      <w:bookmarkEnd w:id="124"/>
      <w:r>
        <w:rPr>
          <w:color w:val="44536A"/>
        </w:rPr>
        <w:t>Table</w:t>
      </w:r>
      <w:r>
        <w:rPr>
          <w:color w:val="44536A"/>
          <w:spacing w:val="-13"/>
        </w:rPr>
        <w:t xml:space="preserve"> </w:t>
      </w:r>
      <w:r>
        <w:rPr>
          <w:color w:val="44536A"/>
        </w:rPr>
        <w:t>5:</w:t>
      </w:r>
      <w:r>
        <w:rPr>
          <w:color w:val="44536A"/>
          <w:spacing w:val="-12"/>
        </w:rPr>
        <w:t xml:space="preserve"> </w:t>
      </w:r>
      <w:r>
        <w:rPr>
          <w:color w:val="44536A"/>
        </w:rPr>
        <w:t>Table</w:t>
      </w:r>
      <w:r>
        <w:rPr>
          <w:color w:val="44536A"/>
          <w:spacing w:val="-13"/>
        </w:rPr>
        <w:t xml:space="preserve"> </w:t>
      </w:r>
      <w:r>
        <w:rPr>
          <w:color w:val="44536A"/>
        </w:rPr>
        <w:t>PAITUA</w:t>
      </w:r>
      <w:r>
        <w:rPr>
          <w:color w:val="44536A"/>
          <w:spacing w:val="-12"/>
        </w:rPr>
        <w:t xml:space="preserve"> </w:t>
      </w:r>
      <w:r>
        <w:rPr>
          <w:color w:val="44536A"/>
        </w:rPr>
        <w:t>Program</w:t>
      </w:r>
      <w:r>
        <w:rPr>
          <w:color w:val="44536A"/>
          <w:spacing w:val="-12"/>
        </w:rPr>
        <w:t xml:space="preserve"> </w:t>
      </w:r>
      <w:r>
        <w:rPr>
          <w:color w:val="44536A"/>
        </w:rPr>
        <w:t>Distribution</w:t>
      </w:r>
      <w:r>
        <w:rPr>
          <w:color w:val="44536A"/>
          <w:spacing w:val="-13"/>
        </w:rPr>
        <w:t xml:space="preserve"> </w:t>
      </w:r>
      <w:r>
        <w:rPr>
          <w:color w:val="44536A"/>
        </w:rPr>
        <w:t>as</w:t>
      </w:r>
      <w:r>
        <w:rPr>
          <w:color w:val="44536A"/>
          <w:spacing w:val="-10"/>
        </w:rPr>
        <w:t xml:space="preserve"> </w:t>
      </w:r>
      <w:r>
        <w:rPr>
          <w:color w:val="44536A"/>
        </w:rPr>
        <w:t>of</w:t>
      </w:r>
      <w:r>
        <w:rPr>
          <w:color w:val="44536A"/>
          <w:spacing w:val="-12"/>
        </w:rPr>
        <w:t xml:space="preserve"> </w:t>
      </w:r>
      <w:r>
        <w:rPr>
          <w:color w:val="44536A"/>
        </w:rPr>
        <w:t>May</w:t>
      </w:r>
      <w:r>
        <w:rPr>
          <w:color w:val="44536A"/>
          <w:spacing w:val="-12"/>
        </w:rPr>
        <w:t xml:space="preserve"> </w:t>
      </w:r>
      <w:r>
        <w:rPr>
          <w:color w:val="44536A"/>
          <w:spacing w:val="-4"/>
        </w:rPr>
        <w:t>2025</w:t>
      </w:r>
    </w:p>
    <w:p w14:paraId="4A78B80B" w14:textId="77777777" w:rsidR="00BC24A8" w:rsidRDefault="00BC24A8">
      <w:pPr>
        <w:pStyle w:val="BodyText"/>
        <w:spacing w:before="7"/>
        <w:rPr>
          <w:rFonts w:ascii="Calibri"/>
          <w:b/>
          <w:sz w:val="19"/>
        </w:rPr>
      </w:pPr>
    </w:p>
    <w:tbl>
      <w:tblPr>
        <w:tblW w:w="0" w:type="auto"/>
        <w:tblInd w:w="152" w:type="dxa"/>
        <w:tblLayout w:type="fixed"/>
        <w:tblCellMar>
          <w:left w:w="0" w:type="dxa"/>
          <w:right w:w="0" w:type="dxa"/>
        </w:tblCellMar>
        <w:tblLook w:val="01E0" w:firstRow="1" w:lastRow="1" w:firstColumn="1" w:lastColumn="1" w:noHBand="0" w:noVBand="0"/>
      </w:tblPr>
      <w:tblGrid>
        <w:gridCol w:w="1619"/>
        <w:gridCol w:w="1711"/>
        <w:gridCol w:w="1889"/>
        <w:gridCol w:w="2071"/>
        <w:gridCol w:w="1532"/>
      </w:tblGrid>
      <w:tr w:rsidR="00BC24A8" w14:paraId="3FBB57D4" w14:textId="77777777">
        <w:trPr>
          <w:trHeight w:val="885"/>
        </w:trPr>
        <w:tc>
          <w:tcPr>
            <w:tcW w:w="1619" w:type="dxa"/>
            <w:tcBorders>
              <w:left w:val="single" w:sz="4" w:space="0" w:color="00ACA3"/>
              <w:right w:val="single" w:sz="18" w:space="0" w:color="FFFFFF"/>
            </w:tcBorders>
            <w:shd w:val="clear" w:color="auto" w:fill="17365A"/>
          </w:tcPr>
          <w:p w14:paraId="14395FB5" w14:textId="77777777" w:rsidR="00BC24A8" w:rsidRDefault="00BC24A8">
            <w:pPr>
              <w:pStyle w:val="TableParagraph"/>
              <w:spacing w:before="71"/>
              <w:rPr>
                <w:rFonts w:ascii="Calibri"/>
                <w:b/>
                <w:sz w:val="20"/>
              </w:rPr>
            </w:pPr>
          </w:p>
          <w:p w14:paraId="781950D5" w14:textId="77777777" w:rsidR="00BC24A8" w:rsidRDefault="00000000">
            <w:pPr>
              <w:pStyle w:val="TableParagraph"/>
              <w:spacing w:before="1"/>
              <w:ind w:left="111"/>
              <w:rPr>
                <w:sz w:val="20"/>
              </w:rPr>
            </w:pPr>
            <w:r>
              <w:rPr>
                <w:color w:val="FFFFFF"/>
                <w:spacing w:val="-2"/>
                <w:sz w:val="20"/>
              </w:rPr>
              <w:t>District/Cities</w:t>
            </w:r>
          </w:p>
        </w:tc>
        <w:tc>
          <w:tcPr>
            <w:tcW w:w="1711" w:type="dxa"/>
            <w:tcBorders>
              <w:left w:val="single" w:sz="18" w:space="0" w:color="FFFFFF"/>
              <w:right w:val="single" w:sz="18" w:space="0" w:color="FFFFFF"/>
            </w:tcBorders>
            <w:shd w:val="clear" w:color="auto" w:fill="17365A"/>
          </w:tcPr>
          <w:p w14:paraId="7E3EF06A" w14:textId="77777777" w:rsidR="00BC24A8" w:rsidRDefault="00000000">
            <w:pPr>
              <w:pStyle w:val="TableParagraph"/>
              <w:spacing w:before="114" w:line="216" w:lineRule="auto"/>
              <w:ind w:left="219" w:right="211" w:firstLine="1"/>
              <w:jc w:val="center"/>
              <w:rPr>
                <w:sz w:val="20"/>
              </w:rPr>
            </w:pPr>
            <w:r>
              <w:rPr>
                <w:color w:val="FFFFFF"/>
                <w:spacing w:val="-2"/>
                <w:sz w:val="20"/>
              </w:rPr>
              <w:t xml:space="preserve">Target </w:t>
            </w:r>
            <w:r>
              <w:rPr>
                <w:color w:val="FFFFFF"/>
                <w:sz w:val="20"/>
              </w:rPr>
              <w:t>beneficiaries</w:t>
            </w:r>
            <w:r>
              <w:rPr>
                <w:color w:val="FFFFFF"/>
                <w:spacing w:val="-12"/>
                <w:sz w:val="20"/>
              </w:rPr>
              <w:t xml:space="preserve"> </w:t>
            </w:r>
            <w:r>
              <w:rPr>
                <w:color w:val="FFFFFF"/>
                <w:sz w:val="20"/>
              </w:rPr>
              <w:t xml:space="preserve">of </w:t>
            </w:r>
            <w:r>
              <w:rPr>
                <w:color w:val="FFFFFF"/>
                <w:spacing w:val="-2"/>
                <w:sz w:val="20"/>
              </w:rPr>
              <w:t>PAITUA</w:t>
            </w:r>
          </w:p>
        </w:tc>
        <w:tc>
          <w:tcPr>
            <w:tcW w:w="1889" w:type="dxa"/>
            <w:tcBorders>
              <w:left w:val="single" w:sz="18" w:space="0" w:color="FFFFFF"/>
              <w:right w:val="single" w:sz="18" w:space="0" w:color="FFFFFF"/>
            </w:tcBorders>
            <w:shd w:val="clear" w:color="auto" w:fill="17365A"/>
          </w:tcPr>
          <w:p w14:paraId="4F9A0838" w14:textId="77777777" w:rsidR="00BC24A8" w:rsidRDefault="00000000">
            <w:pPr>
              <w:pStyle w:val="TableParagraph"/>
              <w:spacing w:before="114" w:line="216" w:lineRule="auto"/>
              <w:ind w:left="215" w:right="210" w:firstLine="1"/>
              <w:jc w:val="center"/>
              <w:rPr>
                <w:sz w:val="20"/>
              </w:rPr>
            </w:pPr>
            <w:r>
              <w:rPr>
                <w:color w:val="FFFFFF"/>
                <w:sz w:val="20"/>
              </w:rPr>
              <w:t>Number of beneficiaries</w:t>
            </w:r>
            <w:r>
              <w:rPr>
                <w:color w:val="FFFFFF"/>
                <w:spacing w:val="-12"/>
                <w:sz w:val="20"/>
              </w:rPr>
              <w:t xml:space="preserve"> </w:t>
            </w:r>
            <w:r>
              <w:rPr>
                <w:color w:val="FFFFFF"/>
                <w:sz w:val="20"/>
              </w:rPr>
              <w:t>who received PAITUA</w:t>
            </w:r>
          </w:p>
        </w:tc>
        <w:tc>
          <w:tcPr>
            <w:tcW w:w="2071" w:type="dxa"/>
            <w:tcBorders>
              <w:left w:val="single" w:sz="18" w:space="0" w:color="FFFFFF"/>
              <w:right w:val="single" w:sz="18" w:space="0" w:color="FFFFFF"/>
            </w:tcBorders>
            <w:shd w:val="clear" w:color="auto" w:fill="17365A"/>
          </w:tcPr>
          <w:p w14:paraId="633A33F8" w14:textId="77777777" w:rsidR="00BC24A8" w:rsidRDefault="00000000">
            <w:pPr>
              <w:pStyle w:val="TableParagraph"/>
              <w:spacing w:before="114" w:line="216" w:lineRule="auto"/>
              <w:ind w:left="159" w:right="150" w:hanging="4"/>
              <w:jc w:val="center"/>
              <w:rPr>
                <w:sz w:val="20"/>
              </w:rPr>
            </w:pPr>
            <w:r>
              <w:rPr>
                <w:color w:val="FFFFFF"/>
                <w:sz w:val="20"/>
              </w:rPr>
              <w:t>Number of beneficiaries</w:t>
            </w:r>
            <w:r>
              <w:rPr>
                <w:color w:val="FFFFFF"/>
                <w:spacing w:val="-12"/>
                <w:sz w:val="20"/>
              </w:rPr>
              <w:t xml:space="preserve"> </w:t>
            </w:r>
            <w:r>
              <w:rPr>
                <w:color w:val="FFFFFF"/>
                <w:sz w:val="20"/>
              </w:rPr>
              <w:t>who</w:t>
            </w:r>
            <w:r>
              <w:rPr>
                <w:color w:val="FFFFFF"/>
                <w:spacing w:val="-11"/>
                <w:sz w:val="20"/>
              </w:rPr>
              <w:t xml:space="preserve"> </w:t>
            </w:r>
            <w:r>
              <w:rPr>
                <w:color w:val="FFFFFF"/>
                <w:sz w:val="20"/>
              </w:rPr>
              <w:t>did not receive PAITUA</w:t>
            </w:r>
          </w:p>
        </w:tc>
        <w:tc>
          <w:tcPr>
            <w:tcW w:w="1532" w:type="dxa"/>
            <w:tcBorders>
              <w:left w:val="single" w:sz="18" w:space="0" w:color="FFFFFF"/>
              <w:right w:val="single" w:sz="4" w:space="0" w:color="00ACA3"/>
            </w:tcBorders>
            <w:shd w:val="clear" w:color="auto" w:fill="17365A"/>
          </w:tcPr>
          <w:p w14:paraId="4AE892F3" w14:textId="77777777" w:rsidR="00BC24A8" w:rsidRDefault="00000000">
            <w:pPr>
              <w:pStyle w:val="TableParagraph"/>
              <w:spacing w:before="205" w:line="232" w:lineRule="exact"/>
              <w:ind w:right="13"/>
              <w:jc w:val="center"/>
              <w:rPr>
                <w:sz w:val="20"/>
              </w:rPr>
            </w:pPr>
            <w:r>
              <w:rPr>
                <w:color w:val="FFFFFF"/>
                <w:spacing w:val="-2"/>
                <w:sz w:val="20"/>
              </w:rPr>
              <w:t>Distribution</w:t>
            </w:r>
          </w:p>
          <w:p w14:paraId="575A56A8" w14:textId="77777777" w:rsidR="00BC24A8" w:rsidRDefault="00000000">
            <w:pPr>
              <w:pStyle w:val="TableParagraph"/>
              <w:spacing w:line="232" w:lineRule="exact"/>
              <w:ind w:right="13"/>
              <w:jc w:val="center"/>
              <w:rPr>
                <w:sz w:val="20"/>
              </w:rPr>
            </w:pPr>
            <w:r>
              <w:rPr>
                <w:color w:val="FFFFFF"/>
                <w:spacing w:val="-4"/>
                <w:sz w:val="20"/>
              </w:rPr>
              <w:t>rate</w:t>
            </w:r>
          </w:p>
        </w:tc>
      </w:tr>
      <w:tr w:rsidR="00BC24A8" w14:paraId="2C6ED91A" w14:textId="77777777">
        <w:trPr>
          <w:trHeight w:val="290"/>
        </w:trPr>
        <w:tc>
          <w:tcPr>
            <w:tcW w:w="1619" w:type="dxa"/>
            <w:tcBorders>
              <w:bottom w:val="single" w:sz="4" w:space="0" w:color="BEBEBE"/>
            </w:tcBorders>
          </w:tcPr>
          <w:p w14:paraId="11252FF8" w14:textId="77777777" w:rsidR="00BC24A8" w:rsidRDefault="00000000">
            <w:pPr>
              <w:pStyle w:val="TableParagraph"/>
              <w:spacing w:before="35"/>
              <w:ind w:left="116"/>
              <w:rPr>
                <w:sz w:val="18"/>
              </w:rPr>
            </w:pPr>
            <w:r>
              <w:rPr>
                <w:spacing w:val="-2"/>
                <w:sz w:val="18"/>
              </w:rPr>
              <w:t>Sorong</w:t>
            </w:r>
          </w:p>
        </w:tc>
        <w:tc>
          <w:tcPr>
            <w:tcW w:w="1711" w:type="dxa"/>
            <w:tcBorders>
              <w:bottom w:val="single" w:sz="4" w:space="0" w:color="BEBEBE"/>
            </w:tcBorders>
          </w:tcPr>
          <w:p w14:paraId="5AADE94D" w14:textId="77777777" w:rsidR="00BC24A8" w:rsidRDefault="00000000">
            <w:pPr>
              <w:pStyle w:val="TableParagraph"/>
              <w:spacing w:before="35"/>
              <w:ind w:left="9" w:right="2"/>
              <w:jc w:val="center"/>
              <w:rPr>
                <w:sz w:val="18"/>
              </w:rPr>
            </w:pPr>
            <w:r>
              <w:rPr>
                <w:spacing w:val="-4"/>
                <w:sz w:val="18"/>
              </w:rPr>
              <w:t>1485</w:t>
            </w:r>
          </w:p>
        </w:tc>
        <w:tc>
          <w:tcPr>
            <w:tcW w:w="1889" w:type="dxa"/>
            <w:tcBorders>
              <w:bottom w:val="single" w:sz="4" w:space="0" w:color="BEBEBE"/>
            </w:tcBorders>
          </w:tcPr>
          <w:p w14:paraId="5CDC0F41" w14:textId="77777777" w:rsidR="00BC24A8" w:rsidRDefault="00000000">
            <w:pPr>
              <w:pStyle w:val="TableParagraph"/>
              <w:spacing w:before="35"/>
              <w:ind w:left="6" w:right="4"/>
              <w:jc w:val="center"/>
              <w:rPr>
                <w:sz w:val="18"/>
              </w:rPr>
            </w:pPr>
            <w:r>
              <w:rPr>
                <w:spacing w:val="-4"/>
                <w:sz w:val="18"/>
              </w:rPr>
              <w:t>1362</w:t>
            </w:r>
          </w:p>
        </w:tc>
        <w:tc>
          <w:tcPr>
            <w:tcW w:w="2071" w:type="dxa"/>
            <w:tcBorders>
              <w:bottom w:val="single" w:sz="4" w:space="0" w:color="BEBEBE"/>
            </w:tcBorders>
          </w:tcPr>
          <w:p w14:paraId="01421A1E" w14:textId="77777777" w:rsidR="00BC24A8" w:rsidRDefault="00000000">
            <w:pPr>
              <w:pStyle w:val="TableParagraph"/>
              <w:spacing w:before="35"/>
              <w:ind w:left="9" w:right="2"/>
              <w:jc w:val="center"/>
              <w:rPr>
                <w:sz w:val="18"/>
              </w:rPr>
            </w:pPr>
            <w:r>
              <w:rPr>
                <w:spacing w:val="-5"/>
                <w:sz w:val="18"/>
              </w:rPr>
              <w:t>123</w:t>
            </w:r>
          </w:p>
        </w:tc>
        <w:tc>
          <w:tcPr>
            <w:tcW w:w="1532" w:type="dxa"/>
            <w:tcBorders>
              <w:bottom w:val="single" w:sz="4" w:space="0" w:color="BEBEBE"/>
            </w:tcBorders>
          </w:tcPr>
          <w:p w14:paraId="5FF09AC8" w14:textId="77777777" w:rsidR="00BC24A8" w:rsidRDefault="00000000">
            <w:pPr>
              <w:pStyle w:val="TableParagraph"/>
              <w:spacing w:before="35"/>
              <w:ind w:left="2"/>
              <w:jc w:val="center"/>
              <w:rPr>
                <w:sz w:val="18"/>
              </w:rPr>
            </w:pPr>
            <w:r>
              <w:rPr>
                <w:spacing w:val="-2"/>
                <w:sz w:val="18"/>
              </w:rPr>
              <w:t>91,72%</w:t>
            </w:r>
          </w:p>
        </w:tc>
      </w:tr>
      <w:tr w:rsidR="00BC24A8" w14:paraId="48AECFCF" w14:textId="77777777">
        <w:trPr>
          <w:trHeight w:val="289"/>
        </w:trPr>
        <w:tc>
          <w:tcPr>
            <w:tcW w:w="1619" w:type="dxa"/>
            <w:tcBorders>
              <w:top w:val="single" w:sz="4" w:space="0" w:color="BEBEBE"/>
              <w:bottom w:val="single" w:sz="4" w:space="0" w:color="BEBEBE"/>
            </w:tcBorders>
          </w:tcPr>
          <w:p w14:paraId="338B95B6" w14:textId="77777777" w:rsidR="00BC24A8" w:rsidRDefault="00000000">
            <w:pPr>
              <w:pStyle w:val="TableParagraph"/>
              <w:spacing w:before="35"/>
              <w:ind w:left="116"/>
              <w:rPr>
                <w:sz w:val="18"/>
              </w:rPr>
            </w:pPr>
            <w:r>
              <w:rPr>
                <w:sz w:val="18"/>
              </w:rPr>
              <w:t>Sorong</w:t>
            </w:r>
            <w:r>
              <w:rPr>
                <w:spacing w:val="-5"/>
                <w:sz w:val="18"/>
              </w:rPr>
              <w:t xml:space="preserve"> </w:t>
            </w:r>
            <w:r>
              <w:rPr>
                <w:spacing w:val="-2"/>
                <w:sz w:val="18"/>
              </w:rPr>
              <w:t>Selatan</w:t>
            </w:r>
          </w:p>
        </w:tc>
        <w:tc>
          <w:tcPr>
            <w:tcW w:w="1711" w:type="dxa"/>
            <w:tcBorders>
              <w:top w:val="single" w:sz="4" w:space="0" w:color="BEBEBE"/>
              <w:bottom w:val="single" w:sz="4" w:space="0" w:color="BEBEBE"/>
            </w:tcBorders>
          </w:tcPr>
          <w:p w14:paraId="0CFB23BD" w14:textId="77777777" w:rsidR="00BC24A8" w:rsidRDefault="00000000">
            <w:pPr>
              <w:pStyle w:val="TableParagraph"/>
              <w:spacing w:before="35"/>
              <w:ind w:left="9" w:right="2"/>
              <w:jc w:val="center"/>
              <w:rPr>
                <w:sz w:val="18"/>
              </w:rPr>
            </w:pPr>
            <w:r>
              <w:rPr>
                <w:spacing w:val="-4"/>
                <w:sz w:val="18"/>
              </w:rPr>
              <w:t>1470</w:t>
            </w:r>
          </w:p>
        </w:tc>
        <w:tc>
          <w:tcPr>
            <w:tcW w:w="1889" w:type="dxa"/>
            <w:tcBorders>
              <w:top w:val="single" w:sz="4" w:space="0" w:color="BEBEBE"/>
              <w:bottom w:val="single" w:sz="4" w:space="0" w:color="BEBEBE"/>
            </w:tcBorders>
          </w:tcPr>
          <w:p w14:paraId="1996BB1E" w14:textId="77777777" w:rsidR="00BC24A8" w:rsidRDefault="00000000">
            <w:pPr>
              <w:pStyle w:val="TableParagraph"/>
              <w:spacing w:before="35"/>
              <w:ind w:left="6" w:right="4"/>
              <w:jc w:val="center"/>
              <w:rPr>
                <w:sz w:val="18"/>
              </w:rPr>
            </w:pPr>
            <w:r>
              <w:rPr>
                <w:spacing w:val="-4"/>
                <w:sz w:val="18"/>
              </w:rPr>
              <w:t>1161</w:t>
            </w:r>
          </w:p>
        </w:tc>
        <w:tc>
          <w:tcPr>
            <w:tcW w:w="2071" w:type="dxa"/>
            <w:tcBorders>
              <w:top w:val="single" w:sz="4" w:space="0" w:color="BEBEBE"/>
              <w:bottom w:val="single" w:sz="4" w:space="0" w:color="BEBEBE"/>
            </w:tcBorders>
          </w:tcPr>
          <w:p w14:paraId="46951CE1" w14:textId="77777777" w:rsidR="00BC24A8" w:rsidRDefault="00000000">
            <w:pPr>
              <w:pStyle w:val="TableParagraph"/>
              <w:spacing w:before="35"/>
              <w:ind w:left="9" w:right="2"/>
              <w:jc w:val="center"/>
              <w:rPr>
                <w:sz w:val="18"/>
              </w:rPr>
            </w:pPr>
            <w:r>
              <w:rPr>
                <w:spacing w:val="-5"/>
                <w:sz w:val="18"/>
              </w:rPr>
              <w:t>309</w:t>
            </w:r>
          </w:p>
        </w:tc>
        <w:tc>
          <w:tcPr>
            <w:tcW w:w="1532" w:type="dxa"/>
            <w:tcBorders>
              <w:top w:val="single" w:sz="4" w:space="0" w:color="BEBEBE"/>
              <w:bottom w:val="single" w:sz="4" w:space="0" w:color="BEBEBE"/>
            </w:tcBorders>
          </w:tcPr>
          <w:p w14:paraId="6181B94E" w14:textId="77777777" w:rsidR="00BC24A8" w:rsidRDefault="00000000">
            <w:pPr>
              <w:pStyle w:val="TableParagraph"/>
              <w:spacing w:before="35"/>
              <w:ind w:left="2"/>
              <w:jc w:val="center"/>
              <w:rPr>
                <w:sz w:val="18"/>
              </w:rPr>
            </w:pPr>
            <w:r>
              <w:rPr>
                <w:spacing w:val="-2"/>
                <w:sz w:val="18"/>
              </w:rPr>
              <w:t>78,98%</w:t>
            </w:r>
          </w:p>
        </w:tc>
      </w:tr>
      <w:tr w:rsidR="00BC24A8" w14:paraId="2DE43622" w14:textId="77777777">
        <w:trPr>
          <w:trHeight w:val="290"/>
        </w:trPr>
        <w:tc>
          <w:tcPr>
            <w:tcW w:w="1619" w:type="dxa"/>
            <w:tcBorders>
              <w:top w:val="single" w:sz="4" w:space="0" w:color="BEBEBE"/>
              <w:bottom w:val="single" w:sz="4" w:space="0" w:color="BEBEBE"/>
            </w:tcBorders>
          </w:tcPr>
          <w:p w14:paraId="7567164E" w14:textId="77777777" w:rsidR="00BC24A8" w:rsidRDefault="00000000">
            <w:pPr>
              <w:pStyle w:val="TableParagraph"/>
              <w:spacing w:before="35"/>
              <w:ind w:left="116"/>
              <w:rPr>
                <w:sz w:val="18"/>
              </w:rPr>
            </w:pPr>
            <w:r>
              <w:rPr>
                <w:spacing w:val="-2"/>
                <w:sz w:val="18"/>
              </w:rPr>
              <w:t>Maybrat</w:t>
            </w:r>
          </w:p>
        </w:tc>
        <w:tc>
          <w:tcPr>
            <w:tcW w:w="1711" w:type="dxa"/>
            <w:tcBorders>
              <w:top w:val="single" w:sz="4" w:space="0" w:color="BEBEBE"/>
              <w:bottom w:val="single" w:sz="4" w:space="0" w:color="BEBEBE"/>
            </w:tcBorders>
          </w:tcPr>
          <w:p w14:paraId="0ECFB3F0" w14:textId="77777777" w:rsidR="00BC24A8" w:rsidRDefault="00000000">
            <w:pPr>
              <w:pStyle w:val="TableParagraph"/>
              <w:spacing w:before="35"/>
              <w:ind w:left="9" w:right="2"/>
              <w:jc w:val="center"/>
              <w:rPr>
                <w:sz w:val="18"/>
              </w:rPr>
            </w:pPr>
            <w:r>
              <w:rPr>
                <w:spacing w:val="-5"/>
                <w:sz w:val="18"/>
              </w:rPr>
              <w:t>863</w:t>
            </w:r>
          </w:p>
        </w:tc>
        <w:tc>
          <w:tcPr>
            <w:tcW w:w="1889" w:type="dxa"/>
            <w:tcBorders>
              <w:top w:val="single" w:sz="4" w:space="0" w:color="BEBEBE"/>
              <w:bottom w:val="single" w:sz="4" w:space="0" w:color="BEBEBE"/>
            </w:tcBorders>
          </w:tcPr>
          <w:p w14:paraId="5136AC91" w14:textId="77777777" w:rsidR="00BC24A8" w:rsidRDefault="00000000">
            <w:pPr>
              <w:pStyle w:val="TableParagraph"/>
              <w:spacing w:before="35"/>
              <w:ind w:left="6" w:right="4"/>
              <w:jc w:val="center"/>
              <w:rPr>
                <w:sz w:val="18"/>
              </w:rPr>
            </w:pPr>
            <w:r>
              <w:rPr>
                <w:spacing w:val="-5"/>
                <w:sz w:val="18"/>
              </w:rPr>
              <w:t>767</w:t>
            </w:r>
          </w:p>
        </w:tc>
        <w:tc>
          <w:tcPr>
            <w:tcW w:w="2071" w:type="dxa"/>
            <w:tcBorders>
              <w:top w:val="single" w:sz="4" w:space="0" w:color="BEBEBE"/>
              <w:bottom w:val="single" w:sz="4" w:space="0" w:color="BEBEBE"/>
            </w:tcBorders>
          </w:tcPr>
          <w:p w14:paraId="39872139" w14:textId="77777777" w:rsidR="00BC24A8" w:rsidRDefault="00000000">
            <w:pPr>
              <w:pStyle w:val="TableParagraph"/>
              <w:spacing w:before="35"/>
              <w:ind w:left="9" w:right="2"/>
              <w:jc w:val="center"/>
              <w:rPr>
                <w:sz w:val="18"/>
              </w:rPr>
            </w:pPr>
            <w:r>
              <w:rPr>
                <w:spacing w:val="-5"/>
                <w:sz w:val="18"/>
              </w:rPr>
              <w:t>96</w:t>
            </w:r>
          </w:p>
        </w:tc>
        <w:tc>
          <w:tcPr>
            <w:tcW w:w="1532" w:type="dxa"/>
            <w:tcBorders>
              <w:top w:val="single" w:sz="4" w:space="0" w:color="BEBEBE"/>
              <w:bottom w:val="single" w:sz="4" w:space="0" w:color="BEBEBE"/>
            </w:tcBorders>
          </w:tcPr>
          <w:p w14:paraId="10126CCA" w14:textId="77777777" w:rsidR="00BC24A8" w:rsidRDefault="00000000">
            <w:pPr>
              <w:pStyle w:val="TableParagraph"/>
              <w:spacing w:before="35"/>
              <w:ind w:left="2"/>
              <w:jc w:val="center"/>
              <w:rPr>
                <w:sz w:val="18"/>
              </w:rPr>
            </w:pPr>
            <w:r>
              <w:rPr>
                <w:spacing w:val="-2"/>
                <w:sz w:val="18"/>
              </w:rPr>
              <w:t>88,88%</w:t>
            </w:r>
          </w:p>
        </w:tc>
      </w:tr>
      <w:tr w:rsidR="00BC24A8" w14:paraId="04BBB45D" w14:textId="77777777">
        <w:trPr>
          <w:trHeight w:val="290"/>
        </w:trPr>
        <w:tc>
          <w:tcPr>
            <w:tcW w:w="1619" w:type="dxa"/>
            <w:tcBorders>
              <w:top w:val="single" w:sz="4" w:space="0" w:color="BEBEBE"/>
              <w:bottom w:val="single" w:sz="4" w:space="0" w:color="BEBEBE"/>
            </w:tcBorders>
          </w:tcPr>
          <w:p w14:paraId="26FD8B66" w14:textId="77777777" w:rsidR="00BC24A8" w:rsidRDefault="00000000">
            <w:pPr>
              <w:pStyle w:val="TableParagraph"/>
              <w:spacing w:before="35"/>
              <w:ind w:left="116"/>
              <w:rPr>
                <w:sz w:val="18"/>
              </w:rPr>
            </w:pPr>
            <w:r>
              <w:rPr>
                <w:spacing w:val="-2"/>
                <w:sz w:val="18"/>
              </w:rPr>
              <w:t>Tambrauw</w:t>
            </w:r>
          </w:p>
        </w:tc>
        <w:tc>
          <w:tcPr>
            <w:tcW w:w="1711" w:type="dxa"/>
            <w:tcBorders>
              <w:top w:val="single" w:sz="4" w:space="0" w:color="BEBEBE"/>
              <w:bottom w:val="single" w:sz="4" w:space="0" w:color="BEBEBE"/>
            </w:tcBorders>
          </w:tcPr>
          <w:p w14:paraId="67D981BF" w14:textId="77777777" w:rsidR="00BC24A8" w:rsidRDefault="00000000">
            <w:pPr>
              <w:pStyle w:val="TableParagraph"/>
              <w:spacing w:before="35"/>
              <w:ind w:left="9" w:right="2"/>
              <w:jc w:val="center"/>
              <w:rPr>
                <w:sz w:val="18"/>
              </w:rPr>
            </w:pPr>
            <w:r>
              <w:rPr>
                <w:spacing w:val="-5"/>
                <w:sz w:val="18"/>
              </w:rPr>
              <w:t>580</w:t>
            </w:r>
          </w:p>
        </w:tc>
        <w:tc>
          <w:tcPr>
            <w:tcW w:w="1889" w:type="dxa"/>
            <w:tcBorders>
              <w:top w:val="single" w:sz="4" w:space="0" w:color="BEBEBE"/>
              <w:bottom w:val="single" w:sz="4" w:space="0" w:color="BEBEBE"/>
            </w:tcBorders>
          </w:tcPr>
          <w:p w14:paraId="1E537759" w14:textId="77777777" w:rsidR="00BC24A8" w:rsidRDefault="00000000">
            <w:pPr>
              <w:pStyle w:val="TableParagraph"/>
              <w:spacing w:before="35"/>
              <w:ind w:left="6" w:right="4"/>
              <w:jc w:val="center"/>
              <w:rPr>
                <w:sz w:val="18"/>
              </w:rPr>
            </w:pPr>
            <w:r>
              <w:rPr>
                <w:spacing w:val="-5"/>
                <w:sz w:val="18"/>
              </w:rPr>
              <w:t>454</w:t>
            </w:r>
          </w:p>
        </w:tc>
        <w:tc>
          <w:tcPr>
            <w:tcW w:w="2071" w:type="dxa"/>
            <w:tcBorders>
              <w:top w:val="single" w:sz="4" w:space="0" w:color="BEBEBE"/>
              <w:bottom w:val="single" w:sz="4" w:space="0" w:color="BEBEBE"/>
            </w:tcBorders>
          </w:tcPr>
          <w:p w14:paraId="03164796" w14:textId="77777777" w:rsidR="00BC24A8" w:rsidRDefault="00000000">
            <w:pPr>
              <w:pStyle w:val="TableParagraph"/>
              <w:spacing w:before="35"/>
              <w:ind w:left="9" w:right="2"/>
              <w:jc w:val="center"/>
              <w:rPr>
                <w:sz w:val="18"/>
              </w:rPr>
            </w:pPr>
            <w:r>
              <w:rPr>
                <w:spacing w:val="-5"/>
                <w:sz w:val="18"/>
              </w:rPr>
              <w:t>126</w:t>
            </w:r>
          </w:p>
        </w:tc>
        <w:tc>
          <w:tcPr>
            <w:tcW w:w="1532" w:type="dxa"/>
            <w:tcBorders>
              <w:top w:val="single" w:sz="4" w:space="0" w:color="BEBEBE"/>
              <w:bottom w:val="single" w:sz="4" w:space="0" w:color="BEBEBE"/>
            </w:tcBorders>
          </w:tcPr>
          <w:p w14:paraId="08C4E617" w14:textId="77777777" w:rsidR="00BC24A8" w:rsidRDefault="00000000">
            <w:pPr>
              <w:pStyle w:val="TableParagraph"/>
              <w:spacing w:before="35"/>
              <w:ind w:left="2"/>
              <w:jc w:val="center"/>
              <w:rPr>
                <w:sz w:val="18"/>
              </w:rPr>
            </w:pPr>
            <w:r>
              <w:rPr>
                <w:spacing w:val="-2"/>
                <w:sz w:val="18"/>
              </w:rPr>
              <w:t>78,28%</w:t>
            </w:r>
          </w:p>
        </w:tc>
      </w:tr>
      <w:tr w:rsidR="00BC24A8" w14:paraId="13C450F6" w14:textId="77777777">
        <w:trPr>
          <w:trHeight w:val="289"/>
        </w:trPr>
        <w:tc>
          <w:tcPr>
            <w:tcW w:w="1619" w:type="dxa"/>
            <w:tcBorders>
              <w:top w:val="single" w:sz="4" w:space="0" w:color="BEBEBE"/>
              <w:bottom w:val="single" w:sz="4" w:space="0" w:color="BEBEBE"/>
            </w:tcBorders>
          </w:tcPr>
          <w:p w14:paraId="3002FA24" w14:textId="77777777" w:rsidR="00BC24A8" w:rsidRDefault="00000000">
            <w:pPr>
              <w:pStyle w:val="TableParagraph"/>
              <w:spacing w:before="35"/>
              <w:ind w:left="116"/>
              <w:rPr>
                <w:sz w:val="18"/>
              </w:rPr>
            </w:pPr>
            <w:r>
              <w:rPr>
                <w:sz w:val="18"/>
              </w:rPr>
              <w:t>Raja</w:t>
            </w:r>
            <w:r>
              <w:rPr>
                <w:spacing w:val="-5"/>
                <w:sz w:val="18"/>
              </w:rPr>
              <w:t xml:space="preserve"> </w:t>
            </w:r>
            <w:r>
              <w:rPr>
                <w:spacing w:val="-2"/>
                <w:sz w:val="18"/>
              </w:rPr>
              <w:t>Ampat</w:t>
            </w:r>
          </w:p>
        </w:tc>
        <w:tc>
          <w:tcPr>
            <w:tcW w:w="1711" w:type="dxa"/>
            <w:tcBorders>
              <w:top w:val="single" w:sz="4" w:space="0" w:color="BEBEBE"/>
              <w:bottom w:val="single" w:sz="4" w:space="0" w:color="BEBEBE"/>
            </w:tcBorders>
          </w:tcPr>
          <w:p w14:paraId="7D4301A8" w14:textId="77777777" w:rsidR="00BC24A8" w:rsidRDefault="00000000">
            <w:pPr>
              <w:pStyle w:val="TableParagraph"/>
              <w:spacing w:before="35"/>
              <w:ind w:left="9" w:right="2"/>
              <w:jc w:val="center"/>
              <w:rPr>
                <w:sz w:val="18"/>
              </w:rPr>
            </w:pPr>
            <w:r>
              <w:rPr>
                <w:spacing w:val="-4"/>
                <w:sz w:val="18"/>
              </w:rPr>
              <w:t>2189</w:t>
            </w:r>
          </w:p>
        </w:tc>
        <w:tc>
          <w:tcPr>
            <w:tcW w:w="1889" w:type="dxa"/>
            <w:tcBorders>
              <w:top w:val="single" w:sz="4" w:space="0" w:color="BEBEBE"/>
              <w:bottom w:val="single" w:sz="4" w:space="0" w:color="BEBEBE"/>
            </w:tcBorders>
          </w:tcPr>
          <w:p w14:paraId="0EA38764" w14:textId="77777777" w:rsidR="00BC24A8" w:rsidRDefault="00000000">
            <w:pPr>
              <w:pStyle w:val="TableParagraph"/>
              <w:spacing w:before="35"/>
              <w:ind w:left="6" w:right="4"/>
              <w:jc w:val="center"/>
              <w:rPr>
                <w:sz w:val="18"/>
              </w:rPr>
            </w:pPr>
            <w:r>
              <w:rPr>
                <w:spacing w:val="-4"/>
                <w:sz w:val="18"/>
              </w:rPr>
              <w:t>1699</w:t>
            </w:r>
          </w:p>
        </w:tc>
        <w:tc>
          <w:tcPr>
            <w:tcW w:w="2071" w:type="dxa"/>
            <w:tcBorders>
              <w:top w:val="single" w:sz="4" w:space="0" w:color="BEBEBE"/>
              <w:bottom w:val="single" w:sz="4" w:space="0" w:color="BEBEBE"/>
            </w:tcBorders>
          </w:tcPr>
          <w:p w14:paraId="328DB676" w14:textId="77777777" w:rsidR="00BC24A8" w:rsidRDefault="00000000">
            <w:pPr>
              <w:pStyle w:val="TableParagraph"/>
              <w:spacing w:before="35"/>
              <w:ind w:left="9" w:right="2"/>
              <w:jc w:val="center"/>
              <w:rPr>
                <w:sz w:val="18"/>
              </w:rPr>
            </w:pPr>
            <w:r>
              <w:rPr>
                <w:spacing w:val="-5"/>
                <w:sz w:val="18"/>
              </w:rPr>
              <w:t>490</w:t>
            </w:r>
          </w:p>
        </w:tc>
        <w:tc>
          <w:tcPr>
            <w:tcW w:w="1532" w:type="dxa"/>
            <w:tcBorders>
              <w:top w:val="single" w:sz="4" w:space="0" w:color="BEBEBE"/>
              <w:bottom w:val="single" w:sz="4" w:space="0" w:color="BEBEBE"/>
            </w:tcBorders>
          </w:tcPr>
          <w:p w14:paraId="019D8A03" w14:textId="77777777" w:rsidR="00BC24A8" w:rsidRDefault="00000000">
            <w:pPr>
              <w:pStyle w:val="TableParagraph"/>
              <w:spacing w:before="35"/>
              <w:ind w:left="2"/>
              <w:jc w:val="center"/>
              <w:rPr>
                <w:sz w:val="18"/>
              </w:rPr>
            </w:pPr>
            <w:r>
              <w:rPr>
                <w:spacing w:val="-2"/>
                <w:sz w:val="18"/>
              </w:rPr>
              <w:t>77,62%</w:t>
            </w:r>
          </w:p>
        </w:tc>
      </w:tr>
      <w:tr w:rsidR="00BC24A8" w14:paraId="5A07050A" w14:textId="77777777">
        <w:trPr>
          <w:trHeight w:val="290"/>
        </w:trPr>
        <w:tc>
          <w:tcPr>
            <w:tcW w:w="1619" w:type="dxa"/>
            <w:tcBorders>
              <w:top w:val="single" w:sz="4" w:space="0" w:color="BEBEBE"/>
            </w:tcBorders>
          </w:tcPr>
          <w:p w14:paraId="6D62A5DD" w14:textId="77777777" w:rsidR="00BC24A8" w:rsidRDefault="00000000">
            <w:pPr>
              <w:pStyle w:val="TableParagraph"/>
              <w:spacing w:before="35"/>
              <w:ind w:left="116"/>
              <w:rPr>
                <w:sz w:val="18"/>
              </w:rPr>
            </w:pPr>
            <w:r>
              <w:rPr>
                <w:sz w:val="18"/>
              </w:rPr>
              <w:t>Kota</w:t>
            </w:r>
            <w:r>
              <w:rPr>
                <w:spacing w:val="-4"/>
                <w:sz w:val="18"/>
              </w:rPr>
              <w:t xml:space="preserve"> </w:t>
            </w:r>
            <w:r>
              <w:rPr>
                <w:spacing w:val="-2"/>
                <w:sz w:val="18"/>
              </w:rPr>
              <w:t>Sorong</w:t>
            </w:r>
          </w:p>
        </w:tc>
        <w:tc>
          <w:tcPr>
            <w:tcW w:w="1711" w:type="dxa"/>
            <w:tcBorders>
              <w:top w:val="single" w:sz="4" w:space="0" w:color="BEBEBE"/>
            </w:tcBorders>
          </w:tcPr>
          <w:p w14:paraId="7C81F2F9" w14:textId="77777777" w:rsidR="00BC24A8" w:rsidRDefault="00000000">
            <w:pPr>
              <w:pStyle w:val="TableParagraph"/>
              <w:spacing w:before="35"/>
              <w:ind w:left="9" w:right="2"/>
              <w:jc w:val="center"/>
              <w:rPr>
                <w:sz w:val="18"/>
              </w:rPr>
            </w:pPr>
            <w:r>
              <w:rPr>
                <w:spacing w:val="-4"/>
                <w:sz w:val="18"/>
              </w:rPr>
              <w:t>2080</w:t>
            </w:r>
          </w:p>
        </w:tc>
        <w:tc>
          <w:tcPr>
            <w:tcW w:w="1889" w:type="dxa"/>
            <w:tcBorders>
              <w:top w:val="single" w:sz="4" w:space="0" w:color="BEBEBE"/>
            </w:tcBorders>
          </w:tcPr>
          <w:p w14:paraId="20534168" w14:textId="77777777" w:rsidR="00BC24A8" w:rsidRDefault="00000000">
            <w:pPr>
              <w:pStyle w:val="TableParagraph"/>
              <w:spacing w:before="35"/>
              <w:ind w:left="6" w:right="4"/>
              <w:jc w:val="center"/>
              <w:rPr>
                <w:sz w:val="18"/>
              </w:rPr>
            </w:pPr>
            <w:r>
              <w:rPr>
                <w:spacing w:val="-4"/>
                <w:sz w:val="18"/>
              </w:rPr>
              <w:t>1885</w:t>
            </w:r>
          </w:p>
        </w:tc>
        <w:tc>
          <w:tcPr>
            <w:tcW w:w="2071" w:type="dxa"/>
            <w:tcBorders>
              <w:top w:val="single" w:sz="4" w:space="0" w:color="BEBEBE"/>
            </w:tcBorders>
          </w:tcPr>
          <w:p w14:paraId="3500EB81" w14:textId="77777777" w:rsidR="00BC24A8" w:rsidRDefault="00000000">
            <w:pPr>
              <w:pStyle w:val="TableParagraph"/>
              <w:spacing w:before="35"/>
              <w:ind w:left="9" w:right="2"/>
              <w:jc w:val="center"/>
              <w:rPr>
                <w:sz w:val="18"/>
              </w:rPr>
            </w:pPr>
            <w:r>
              <w:rPr>
                <w:spacing w:val="-5"/>
                <w:sz w:val="18"/>
              </w:rPr>
              <w:t>195</w:t>
            </w:r>
          </w:p>
        </w:tc>
        <w:tc>
          <w:tcPr>
            <w:tcW w:w="1532" w:type="dxa"/>
            <w:tcBorders>
              <w:top w:val="single" w:sz="4" w:space="0" w:color="BEBEBE"/>
            </w:tcBorders>
          </w:tcPr>
          <w:p w14:paraId="7F577A98" w14:textId="77777777" w:rsidR="00BC24A8" w:rsidRDefault="00000000">
            <w:pPr>
              <w:pStyle w:val="TableParagraph"/>
              <w:spacing w:before="35"/>
              <w:ind w:left="2"/>
              <w:jc w:val="center"/>
              <w:rPr>
                <w:sz w:val="18"/>
              </w:rPr>
            </w:pPr>
            <w:r>
              <w:rPr>
                <w:spacing w:val="-2"/>
                <w:sz w:val="18"/>
              </w:rPr>
              <w:t>90,63%</w:t>
            </w:r>
          </w:p>
        </w:tc>
      </w:tr>
      <w:tr w:rsidR="00BC24A8" w14:paraId="02A25CC4" w14:textId="77777777">
        <w:trPr>
          <w:trHeight w:val="287"/>
        </w:trPr>
        <w:tc>
          <w:tcPr>
            <w:tcW w:w="1619" w:type="dxa"/>
            <w:shd w:val="clear" w:color="auto" w:fill="A7A9AC"/>
          </w:tcPr>
          <w:p w14:paraId="5A593928" w14:textId="77777777" w:rsidR="00BC24A8" w:rsidRDefault="00000000">
            <w:pPr>
              <w:pStyle w:val="TableParagraph"/>
              <w:spacing w:before="35"/>
              <w:ind w:left="116"/>
              <w:rPr>
                <w:sz w:val="18"/>
              </w:rPr>
            </w:pPr>
            <w:r w:rsidRPr="00795364">
              <w:rPr>
                <w:color w:val="000000"/>
                <w:sz w:val="18"/>
              </w:rPr>
              <w:t>Total</w:t>
            </w:r>
            <w:r w:rsidRPr="00795364">
              <w:rPr>
                <w:color w:val="000000"/>
                <w:spacing w:val="-4"/>
                <w:sz w:val="18"/>
              </w:rPr>
              <w:t xml:space="preserve"> </w:t>
            </w:r>
            <w:r w:rsidRPr="00795364">
              <w:rPr>
                <w:color w:val="000000"/>
                <w:spacing w:val="-2"/>
                <w:sz w:val="18"/>
              </w:rPr>
              <w:t>Province</w:t>
            </w:r>
          </w:p>
        </w:tc>
        <w:tc>
          <w:tcPr>
            <w:tcW w:w="1711" w:type="dxa"/>
            <w:tcBorders>
              <w:bottom w:val="single" w:sz="4" w:space="0" w:color="A7A9AC"/>
              <w:right w:val="single" w:sz="24" w:space="0" w:color="FFFFFF"/>
            </w:tcBorders>
            <w:shd w:val="clear" w:color="auto" w:fill="A7A9AC"/>
          </w:tcPr>
          <w:p w14:paraId="2BF29C48" w14:textId="77777777" w:rsidR="00BC24A8" w:rsidRDefault="00000000">
            <w:pPr>
              <w:pStyle w:val="TableParagraph"/>
              <w:spacing w:before="35"/>
              <w:ind w:left="37"/>
              <w:jc w:val="center"/>
              <w:rPr>
                <w:sz w:val="18"/>
              </w:rPr>
            </w:pPr>
            <w:r w:rsidRPr="00795364">
              <w:rPr>
                <w:spacing w:val="-4"/>
                <w:sz w:val="18"/>
              </w:rPr>
              <w:t>8667</w:t>
            </w:r>
          </w:p>
        </w:tc>
        <w:tc>
          <w:tcPr>
            <w:tcW w:w="1889" w:type="dxa"/>
            <w:tcBorders>
              <w:left w:val="single" w:sz="24" w:space="0" w:color="FFFFFF"/>
              <w:bottom w:val="single" w:sz="4" w:space="0" w:color="A7A9AC"/>
              <w:right w:val="single" w:sz="18" w:space="0" w:color="FFFFFF"/>
            </w:tcBorders>
            <w:shd w:val="clear" w:color="auto" w:fill="A7A9AC"/>
          </w:tcPr>
          <w:p w14:paraId="15624D73" w14:textId="77777777" w:rsidR="00BC24A8" w:rsidRDefault="00000000">
            <w:pPr>
              <w:pStyle w:val="TableParagraph"/>
              <w:spacing w:before="35"/>
              <w:ind w:right="3"/>
              <w:jc w:val="center"/>
              <w:rPr>
                <w:sz w:val="18"/>
              </w:rPr>
            </w:pPr>
            <w:r w:rsidRPr="00795364">
              <w:rPr>
                <w:color w:val="000000"/>
                <w:spacing w:val="-4"/>
                <w:sz w:val="18"/>
              </w:rPr>
              <w:t>7328</w:t>
            </w:r>
          </w:p>
        </w:tc>
        <w:tc>
          <w:tcPr>
            <w:tcW w:w="2071" w:type="dxa"/>
            <w:tcBorders>
              <w:left w:val="single" w:sz="18" w:space="0" w:color="FFFFFF"/>
              <w:bottom w:val="single" w:sz="4" w:space="0" w:color="A7A9AC"/>
              <w:right w:val="single" w:sz="24" w:space="0" w:color="FFFFFF"/>
            </w:tcBorders>
            <w:shd w:val="clear" w:color="auto" w:fill="A7A9AC"/>
          </w:tcPr>
          <w:p w14:paraId="7741FFB4" w14:textId="77777777" w:rsidR="00BC24A8" w:rsidRDefault="00000000">
            <w:pPr>
              <w:pStyle w:val="TableParagraph"/>
              <w:spacing w:before="35"/>
              <w:ind w:left="14"/>
              <w:jc w:val="center"/>
              <w:rPr>
                <w:sz w:val="18"/>
              </w:rPr>
            </w:pPr>
            <w:r w:rsidRPr="00795364">
              <w:rPr>
                <w:color w:val="000000"/>
                <w:spacing w:val="-4"/>
                <w:sz w:val="18"/>
              </w:rPr>
              <w:t>1339</w:t>
            </w:r>
          </w:p>
        </w:tc>
        <w:tc>
          <w:tcPr>
            <w:tcW w:w="1532" w:type="dxa"/>
            <w:tcBorders>
              <w:left w:val="single" w:sz="24" w:space="0" w:color="FFFFFF"/>
              <w:bottom w:val="single" w:sz="4" w:space="0" w:color="A7A9AC"/>
            </w:tcBorders>
            <w:shd w:val="clear" w:color="auto" w:fill="A7A9AC"/>
          </w:tcPr>
          <w:p w14:paraId="39FB8ECF" w14:textId="77777777" w:rsidR="00BC24A8" w:rsidRDefault="00000000">
            <w:pPr>
              <w:pStyle w:val="TableParagraph"/>
              <w:spacing w:before="35"/>
              <w:ind w:right="28"/>
              <w:jc w:val="center"/>
              <w:rPr>
                <w:sz w:val="18"/>
              </w:rPr>
            </w:pPr>
            <w:r w:rsidRPr="00795364">
              <w:rPr>
                <w:color w:val="000000"/>
                <w:spacing w:val="-2"/>
                <w:sz w:val="18"/>
              </w:rPr>
              <w:t>84.55%</w:t>
            </w:r>
          </w:p>
        </w:tc>
      </w:tr>
    </w:tbl>
    <w:p w14:paraId="29CD7C35" w14:textId="77777777" w:rsidR="00BC24A8" w:rsidRDefault="00BC24A8">
      <w:pPr>
        <w:pStyle w:val="BodyText"/>
        <w:spacing w:before="209"/>
        <w:rPr>
          <w:rFonts w:ascii="Calibri"/>
          <w:b/>
        </w:rPr>
      </w:pPr>
    </w:p>
    <w:p w14:paraId="4B22CF27" w14:textId="77777777" w:rsidR="00BC24A8" w:rsidRDefault="00000000">
      <w:pPr>
        <w:pStyle w:val="BodyText"/>
        <w:spacing w:line="278" w:lineRule="auto"/>
        <w:ind w:left="143" w:right="564" w:hanging="1"/>
        <w:jc w:val="both"/>
      </w:pPr>
      <w:r>
        <w:t>As provincial budgetary support for the</w:t>
      </w:r>
      <w:r>
        <w:rPr>
          <w:spacing w:val="-1"/>
        </w:rPr>
        <w:t xml:space="preserve"> </w:t>
      </w:r>
      <w:r>
        <w:t>PAITUA program will not continue</w:t>
      </w:r>
      <w:r>
        <w:rPr>
          <w:spacing w:val="-1"/>
        </w:rPr>
        <w:t xml:space="preserve"> </w:t>
      </w:r>
      <w:r>
        <w:t>beyond this financial year</w:t>
      </w:r>
      <w:hyperlink w:anchor="_bookmark83" w:history="1">
        <w:r w:rsidR="00BC24A8">
          <w:rPr>
            <w:vertAlign w:val="superscript"/>
          </w:rPr>
          <w:t>36</w:t>
        </w:r>
      </w:hyperlink>
      <w:r>
        <w:t>, SKALA will consolidate lessons on the use of the modality, the optimal governance arrangements, and advise partners on appropriate do-no-harm measures as the province progresses new priorities.</w:t>
      </w:r>
    </w:p>
    <w:p w14:paraId="1171EA1B" w14:textId="77777777" w:rsidR="00BC24A8" w:rsidRDefault="00BC24A8">
      <w:pPr>
        <w:pStyle w:val="BodyText"/>
        <w:rPr>
          <w:sz w:val="20"/>
        </w:rPr>
      </w:pPr>
    </w:p>
    <w:p w14:paraId="5A2EC69A" w14:textId="77777777" w:rsidR="00BC24A8" w:rsidRDefault="00BC24A8">
      <w:pPr>
        <w:pStyle w:val="BodyText"/>
        <w:rPr>
          <w:sz w:val="20"/>
        </w:rPr>
      </w:pPr>
    </w:p>
    <w:p w14:paraId="4F85F602" w14:textId="77777777" w:rsidR="00BC24A8" w:rsidRDefault="00BC24A8">
      <w:pPr>
        <w:pStyle w:val="BodyText"/>
        <w:rPr>
          <w:sz w:val="20"/>
        </w:rPr>
      </w:pPr>
    </w:p>
    <w:p w14:paraId="613B926D" w14:textId="77777777" w:rsidR="00BC24A8" w:rsidRDefault="00BC24A8">
      <w:pPr>
        <w:pStyle w:val="BodyText"/>
        <w:rPr>
          <w:sz w:val="20"/>
        </w:rPr>
      </w:pPr>
    </w:p>
    <w:p w14:paraId="456D486C" w14:textId="77777777" w:rsidR="00BC24A8" w:rsidRDefault="00BC24A8">
      <w:pPr>
        <w:pStyle w:val="BodyText"/>
        <w:rPr>
          <w:sz w:val="20"/>
        </w:rPr>
      </w:pPr>
    </w:p>
    <w:p w14:paraId="0C80357F" w14:textId="77777777" w:rsidR="00BC24A8" w:rsidRDefault="00BC24A8">
      <w:pPr>
        <w:pStyle w:val="BodyText"/>
        <w:rPr>
          <w:sz w:val="20"/>
        </w:rPr>
      </w:pPr>
    </w:p>
    <w:p w14:paraId="2D910FF2" w14:textId="77777777" w:rsidR="00BC24A8" w:rsidRDefault="00BC24A8">
      <w:pPr>
        <w:pStyle w:val="BodyText"/>
        <w:rPr>
          <w:sz w:val="20"/>
        </w:rPr>
      </w:pPr>
    </w:p>
    <w:p w14:paraId="311D8358" w14:textId="77777777" w:rsidR="00BC24A8" w:rsidRDefault="00BC24A8">
      <w:pPr>
        <w:pStyle w:val="BodyText"/>
        <w:rPr>
          <w:sz w:val="20"/>
        </w:rPr>
      </w:pPr>
    </w:p>
    <w:p w14:paraId="544484EF" w14:textId="77777777" w:rsidR="00BC24A8" w:rsidRDefault="00BC24A8">
      <w:pPr>
        <w:pStyle w:val="BodyText"/>
        <w:rPr>
          <w:sz w:val="20"/>
        </w:rPr>
      </w:pPr>
    </w:p>
    <w:p w14:paraId="63ACA6FA" w14:textId="77777777" w:rsidR="00BC24A8" w:rsidRDefault="00BC24A8">
      <w:pPr>
        <w:pStyle w:val="BodyText"/>
        <w:rPr>
          <w:sz w:val="20"/>
        </w:rPr>
      </w:pPr>
    </w:p>
    <w:p w14:paraId="718EC312" w14:textId="77777777" w:rsidR="00BC24A8" w:rsidRDefault="00BC24A8">
      <w:pPr>
        <w:pStyle w:val="BodyText"/>
        <w:rPr>
          <w:sz w:val="20"/>
        </w:rPr>
      </w:pPr>
    </w:p>
    <w:p w14:paraId="0CDE8C38" w14:textId="77777777" w:rsidR="00BC24A8" w:rsidRDefault="00BC24A8">
      <w:pPr>
        <w:pStyle w:val="BodyText"/>
        <w:rPr>
          <w:sz w:val="20"/>
        </w:rPr>
      </w:pPr>
    </w:p>
    <w:p w14:paraId="50B5EB6D" w14:textId="77777777" w:rsidR="00BC24A8" w:rsidRDefault="00BC24A8">
      <w:pPr>
        <w:pStyle w:val="BodyText"/>
        <w:rPr>
          <w:sz w:val="20"/>
        </w:rPr>
      </w:pPr>
    </w:p>
    <w:p w14:paraId="6E159F71" w14:textId="77777777" w:rsidR="00BC24A8" w:rsidRDefault="00BC24A8">
      <w:pPr>
        <w:pStyle w:val="BodyText"/>
        <w:rPr>
          <w:sz w:val="20"/>
        </w:rPr>
      </w:pPr>
    </w:p>
    <w:p w14:paraId="4E92B300" w14:textId="77777777" w:rsidR="00BC24A8" w:rsidRDefault="00000000">
      <w:pPr>
        <w:pStyle w:val="BodyText"/>
        <w:spacing w:before="187"/>
        <w:rPr>
          <w:sz w:val="20"/>
        </w:rPr>
      </w:pPr>
      <w:r>
        <w:rPr>
          <w:noProof/>
          <w:sz w:val="20"/>
        </w:rPr>
        <mc:AlternateContent>
          <mc:Choice Requires="wps">
            <w:drawing>
              <wp:anchor distT="0" distB="0" distL="0" distR="0" simplePos="0" relativeHeight="487599104" behindDoc="1" locked="0" layoutInCell="1" allowOverlap="1" wp14:anchorId="50F94EE6" wp14:editId="66D198A5">
                <wp:simplePos x="0" y="0"/>
                <wp:positionH relativeFrom="page">
                  <wp:posOffset>900683</wp:posOffset>
                </wp:positionH>
                <wp:positionV relativeFrom="paragraph">
                  <wp:posOffset>289513</wp:posOffset>
                </wp:positionV>
                <wp:extent cx="1828800" cy="9525"/>
                <wp:effectExtent l="0" t="0" r="0" b="0"/>
                <wp:wrapTopAndBottom/>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DECB1" id="Graphic 59" o:spid="_x0000_s1026" alt="&quot;&quot;" style="position:absolute;margin-left:70.9pt;margin-top:22.8pt;width:2in;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" path="m1828800,l,,,9144r1828800,l1828800,xe" fillcolor="black" stroked="f">
                <v:path arrowok="t"/>
                <w10:wrap type="topAndBottom" anchorx="page"/>
              </v:shape>
            </w:pict>
          </mc:Fallback>
        </mc:AlternateContent>
      </w:r>
    </w:p>
    <w:p w14:paraId="6CE9F810" w14:textId="77777777" w:rsidR="00BC24A8" w:rsidRDefault="00BC24A8">
      <w:pPr>
        <w:pStyle w:val="BodyText"/>
        <w:spacing w:before="105"/>
        <w:rPr>
          <w:sz w:val="16"/>
        </w:rPr>
      </w:pPr>
    </w:p>
    <w:p w14:paraId="66DE81AF" w14:textId="77777777" w:rsidR="00BC24A8" w:rsidRDefault="00000000">
      <w:pPr>
        <w:spacing w:before="1"/>
        <w:ind w:left="143" w:right="662"/>
        <w:rPr>
          <w:sz w:val="16"/>
        </w:rPr>
      </w:pPr>
      <w:bookmarkStart w:id="125" w:name="_bookmark82"/>
      <w:bookmarkEnd w:id="125"/>
      <w:r>
        <w:rPr>
          <w:color w:val="767070"/>
          <w:sz w:val="16"/>
          <w:vertAlign w:val="superscript"/>
        </w:rPr>
        <w:t>35</w:t>
      </w:r>
      <w:r>
        <w:rPr>
          <w:color w:val="767070"/>
          <w:sz w:val="16"/>
        </w:rPr>
        <w:t>Down</w:t>
      </w:r>
      <w:r>
        <w:rPr>
          <w:color w:val="767070"/>
          <w:spacing w:val="-2"/>
          <w:sz w:val="16"/>
        </w:rPr>
        <w:t xml:space="preserve"> </w:t>
      </w:r>
      <w:r>
        <w:rPr>
          <w:color w:val="767070"/>
          <w:sz w:val="16"/>
        </w:rPr>
        <w:t>by</w:t>
      </w:r>
      <w:r>
        <w:rPr>
          <w:color w:val="767070"/>
          <w:spacing w:val="-2"/>
          <w:sz w:val="16"/>
        </w:rPr>
        <w:t xml:space="preserve"> </w:t>
      </w:r>
      <w:r>
        <w:rPr>
          <w:color w:val="767070"/>
          <w:sz w:val="16"/>
        </w:rPr>
        <w:t>70%</w:t>
      </w:r>
      <w:r>
        <w:rPr>
          <w:color w:val="767070"/>
          <w:spacing w:val="-4"/>
          <w:sz w:val="16"/>
        </w:rPr>
        <w:t xml:space="preserve"> </w:t>
      </w:r>
      <w:r>
        <w:rPr>
          <w:color w:val="767070"/>
          <w:sz w:val="16"/>
        </w:rPr>
        <w:t>from</w:t>
      </w:r>
      <w:r>
        <w:rPr>
          <w:color w:val="767070"/>
          <w:spacing w:val="-3"/>
          <w:sz w:val="16"/>
        </w:rPr>
        <w:t xml:space="preserve"> </w:t>
      </w:r>
      <w:r>
        <w:rPr>
          <w:color w:val="767070"/>
          <w:sz w:val="16"/>
        </w:rPr>
        <w:t>6988</w:t>
      </w:r>
      <w:r>
        <w:rPr>
          <w:color w:val="767070"/>
          <w:spacing w:val="-3"/>
          <w:sz w:val="16"/>
        </w:rPr>
        <w:t xml:space="preserve"> </w:t>
      </w:r>
      <w:r>
        <w:rPr>
          <w:color w:val="767070"/>
          <w:sz w:val="16"/>
        </w:rPr>
        <w:t>in</w:t>
      </w:r>
      <w:r>
        <w:rPr>
          <w:color w:val="767070"/>
          <w:spacing w:val="-5"/>
          <w:sz w:val="16"/>
        </w:rPr>
        <w:t xml:space="preserve"> </w:t>
      </w:r>
      <w:r>
        <w:rPr>
          <w:color w:val="767070"/>
          <w:sz w:val="16"/>
        </w:rPr>
        <w:t>2024</w:t>
      </w:r>
      <w:r>
        <w:rPr>
          <w:color w:val="767070"/>
          <w:spacing w:val="-5"/>
          <w:sz w:val="16"/>
        </w:rPr>
        <w:t xml:space="preserve"> </w:t>
      </w:r>
      <w:r>
        <w:rPr>
          <w:color w:val="767070"/>
          <w:sz w:val="16"/>
        </w:rPr>
        <w:t>year</w:t>
      </w:r>
      <w:r>
        <w:rPr>
          <w:color w:val="767070"/>
          <w:spacing w:val="-5"/>
          <w:sz w:val="16"/>
        </w:rPr>
        <w:t xml:space="preserve"> </w:t>
      </w:r>
      <w:r>
        <w:rPr>
          <w:color w:val="767070"/>
          <w:sz w:val="16"/>
        </w:rPr>
        <w:t>to</w:t>
      </w:r>
      <w:r>
        <w:rPr>
          <w:color w:val="767070"/>
          <w:spacing w:val="-3"/>
          <w:sz w:val="16"/>
        </w:rPr>
        <w:t xml:space="preserve"> </w:t>
      </w:r>
      <w:r>
        <w:rPr>
          <w:color w:val="767070"/>
          <w:sz w:val="16"/>
        </w:rPr>
        <w:t>2080</w:t>
      </w:r>
      <w:r>
        <w:rPr>
          <w:color w:val="767070"/>
          <w:spacing w:val="-3"/>
          <w:sz w:val="16"/>
        </w:rPr>
        <w:t xml:space="preserve"> </w:t>
      </w:r>
      <w:r>
        <w:rPr>
          <w:color w:val="767070"/>
          <w:sz w:val="16"/>
        </w:rPr>
        <w:t>in</w:t>
      </w:r>
      <w:r>
        <w:rPr>
          <w:color w:val="767070"/>
          <w:spacing w:val="-2"/>
          <w:sz w:val="16"/>
        </w:rPr>
        <w:t xml:space="preserve"> </w:t>
      </w:r>
      <w:r>
        <w:rPr>
          <w:color w:val="767070"/>
          <w:sz w:val="16"/>
        </w:rPr>
        <w:t>2025</w:t>
      </w:r>
      <w:r>
        <w:rPr>
          <w:color w:val="767070"/>
          <w:spacing w:val="-3"/>
          <w:sz w:val="16"/>
        </w:rPr>
        <w:t xml:space="preserve"> </w:t>
      </w:r>
      <w:r>
        <w:rPr>
          <w:color w:val="767070"/>
          <w:sz w:val="16"/>
        </w:rPr>
        <w:t>–</w:t>
      </w:r>
      <w:r>
        <w:rPr>
          <w:color w:val="767070"/>
          <w:spacing w:val="-3"/>
          <w:sz w:val="16"/>
        </w:rPr>
        <w:t xml:space="preserve"> </w:t>
      </w:r>
      <w:r>
        <w:rPr>
          <w:color w:val="767070"/>
          <w:sz w:val="16"/>
        </w:rPr>
        <w:t>a</w:t>
      </w:r>
      <w:r>
        <w:rPr>
          <w:color w:val="767070"/>
          <w:spacing w:val="-2"/>
          <w:sz w:val="16"/>
        </w:rPr>
        <w:t xml:space="preserve"> </w:t>
      </w:r>
      <w:r>
        <w:rPr>
          <w:color w:val="767070"/>
          <w:sz w:val="16"/>
        </w:rPr>
        <w:t>reduction</w:t>
      </w:r>
      <w:r>
        <w:rPr>
          <w:color w:val="767070"/>
          <w:spacing w:val="-2"/>
          <w:sz w:val="16"/>
        </w:rPr>
        <w:t xml:space="preserve"> </w:t>
      </w:r>
      <w:r>
        <w:rPr>
          <w:color w:val="767070"/>
          <w:sz w:val="16"/>
        </w:rPr>
        <w:t>of</w:t>
      </w:r>
      <w:r>
        <w:rPr>
          <w:color w:val="767070"/>
          <w:spacing w:val="-5"/>
          <w:sz w:val="16"/>
        </w:rPr>
        <w:t xml:space="preserve"> </w:t>
      </w:r>
      <w:r>
        <w:rPr>
          <w:color w:val="767070"/>
          <w:sz w:val="16"/>
        </w:rPr>
        <w:t>4,886</w:t>
      </w:r>
      <w:r>
        <w:rPr>
          <w:color w:val="767070"/>
          <w:spacing w:val="-3"/>
          <w:sz w:val="16"/>
        </w:rPr>
        <w:t xml:space="preserve"> </w:t>
      </w:r>
      <w:r>
        <w:rPr>
          <w:color w:val="767070"/>
          <w:sz w:val="16"/>
        </w:rPr>
        <w:t>beneficiaries</w:t>
      </w:r>
      <w:r>
        <w:rPr>
          <w:color w:val="767070"/>
          <w:spacing w:val="-5"/>
          <w:sz w:val="16"/>
        </w:rPr>
        <w:t xml:space="preserve"> </w:t>
      </w:r>
      <w:r>
        <w:rPr>
          <w:color w:val="767070"/>
          <w:sz w:val="16"/>
        </w:rPr>
        <w:t>in</w:t>
      </w:r>
      <w:r>
        <w:rPr>
          <w:color w:val="767070"/>
          <w:spacing w:val="-2"/>
          <w:sz w:val="16"/>
        </w:rPr>
        <w:t xml:space="preserve"> </w:t>
      </w:r>
      <w:r>
        <w:rPr>
          <w:color w:val="767070"/>
          <w:sz w:val="16"/>
        </w:rPr>
        <w:t>Koto</w:t>
      </w:r>
      <w:r>
        <w:rPr>
          <w:color w:val="767070"/>
          <w:spacing w:val="-2"/>
          <w:sz w:val="16"/>
        </w:rPr>
        <w:t xml:space="preserve"> </w:t>
      </w:r>
      <w:r>
        <w:rPr>
          <w:color w:val="767070"/>
          <w:sz w:val="16"/>
        </w:rPr>
        <w:t>Sorong.</w:t>
      </w:r>
      <w:r>
        <w:rPr>
          <w:color w:val="767070"/>
          <w:spacing w:val="-4"/>
          <w:sz w:val="16"/>
        </w:rPr>
        <w:t xml:space="preserve"> </w:t>
      </w:r>
      <w:r>
        <w:rPr>
          <w:color w:val="767070"/>
          <w:sz w:val="16"/>
        </w:rPr>
        <w:t>Increases</w:t>
      </w:r>
      <w:r>
        <w:rPr>
          <w:color w:val="767070"/>
          <w:spacing w:val="-2"/>
          <w:sz w:val="16"/>
        </w:rPr>
        <w:t xml:space="preserve"> </w:t>
      </w:r>
      <w:r>
        <w:rPr>
          <w:color w:val="767070"/>
          <w:sz w:val="16"/>
        </w:rPr>
        <w:t>in</w:t>
      </w:r>
      <w:r>
        <w:rPr>
          <w:color w:val="767070"/>
          <w:spacing w:val="-2"/>
          <w:sz w:val="16"/>
        </w:rPr>
        <w:t xml:space="preserve"> </w:t>
      </w:r>
      <w:r>
        <w:rPr>
          <w:color w:val="767070"/>
          <w:sz w:val="16"/>
        </w:rPr>
        <w:t>Sorong</w:t>
      </w:r>
      <w:r>
        <w:rPr>
          <w:color w:val="767070"/>
          <w:spacing w:val="-4"/>
          <w:sz w:val="16"/>
        </w:rPr>
        <w:t xml:space="preserve"> </w:t>
      </w:r>
      <w:r>
        <w:rPr>
          <w:color w:val="767070"/>
          <w:sz w:val="16"/>
        </w:rPr>
        <w:t>Selatan</w:t>
      </w:r>
      <w:r>
        <w:rPr>
          <w:color w:val="767070"/>
          <w:spacing w:val="-2"/>
          <w:sz w:val="16"/>
        </w:rPr>
        <w:t xml:space="preserve"> </w:t>
      </w:r>
      <w:r>
        <w:rPr>
          <w:color w:val="767070"/>
          <w:sz w:val="16"/>
        </w:rPr>
        <w:t>(48</w:t>
      </w:r>
      <w:r>
        <w:rPr>
          <w:color w:val="767070"/>
          <w:spacing w:val="40"/>
          <w:sz w:val="16"/>
        </w:rPr>
        <w:t xml:space="preserve"> </w:t>
      </w:r>
      <w:r>
        <w:rPr>
          <w:color w:val="767070"/>
          <w:sz w:val="16"/>
        </w:rPr>
        <w:t>ppl), Maybrat (32 ppl), and Raja Ampat (234 ppl)</w:t>
      </w:r>
    </w:p>
    <w:p w14:paraId="01220ACB" w14:textId="77777777" w:rsidR="00BC24A8" w:rsidRDefault="00000000">
      <w:pPr>
        <w:ind w:left="143"/>
        <w:rPr>
          <w:sz w:val="16"/>
        </w:rPr>
      </w:pPr>
      <w:bookmarkStart w:id="126" w:name="_bookmark83"/>
      <w:bookmarkEnd w:id="126"/>
      <w:r>
        <w:rPr>
          <w:color w:val="767070"/>
          <w:sz w:val="16"/>
          <w:vertAlign w:val="superscript"/>
        </w:rPr>
        <w:t>36</w:t>
      </w:r>
      <w:r>
        <w:rPr>
          <w:color w:val="767070"/>
          <w:spacing w:val="-6"/>
          <w:sz w:val="16"/>
        </w:rPr>
        <w:t xml:space="preserve"> </w:t>
      </w:r>
      <w:r>
        <w:rPr>
          <w:color w:val="767070"/>
          <w:sz w:val="16"/>
        </w:rPr>
        <w:t>The</w:t>
      </w:r>
      <w:r>
        <w:rPr>
          <w:color w:val="767070"/>
          <w:spacing w:val="-6"/>
          <w:sz w:val="16"/>
        </w:rPr>
        <w:t xml:space="preserve"> </w:t>
      </w:r>
      <w:r>
        <w:rPr>
          <w:color w:val="767070"/>
          <w:sz w:val="16"/>
        </w:rPr>
        <w:t>new</w:t>
      </w:r>
      <w:r>
        <w:rPr>
          <w:color w:val="767070"/>
          <w:spacing w:val="-5"/>
          <w:sz w:val="16"/>
        </w:rPr>
        <w:t xml:space="preserve"> </w:t>
      </w:r>
      <w:r>
        <w:rPr>
          <w:color w:val="767070"/>
          <w:sz w:val="16"/>
        </w:rPr>
        <w:t>provincial</w:t>
      </w:r>
      <w:r>
        <w:rPr>
          <w:color w:val="767070"/>
          <w:spacing w:val="-5"/>
          <w:sz w:val="16"/>
        </w:rPr>
        <w:t xml:space="preserve"> </w:t>
      </w:r>
      <w:r>
        <w:rPr>
          <w:color w:val="767070"/>
          <w:sz w:val="16"/>
        </w:rPr>
        <w:t>administration</w:t>
      </w:r>
      <w:r>
        <w:rPr>
          <w:color w:val="767070"/>
          <w:spacing w:val="-5"/>
          <w:sz w:val="16"/>
        </w:rPr>
        <w:t xml:space="preserve"> </w:t>
      </w:r>
      <w:r>
        <w:rPr>
          <w:color w:val="767070"/>
          <w:sz w:val="16"/>
        </w:rPr>
        <w:t>will</w:t>
      </w:r>
      <w:r>
        <w:rPr>
          <w:color w:val="767070"/>
          <w:spacing w:val="-5"/>
          <w:sz w:val="16"/>
        </w:rPr>
        <w:t xml:space="preserve"> </w:t>
      </w:r>
      <w:r>
        <w:rPr>
          <w:color w:val="767070"/>
          <w:sz w:val="16"/>
        </w:rPr>
        <w:t>focus</w:t>
      </w:r>
      <w:r>
        <w:rPr>
          <w:color w:val="767070"/>
          <w:spacing w:val="-5"/>
          <w:sz w:val="16"/>
        </w:rPr>
        <w:t xml:space="preserve"> </w:t>
      </w:r>
      <w:r>
        <w:rPr>
          <w:color w:val="767070"/>
          <w:sz w:val="16"/>
        </w:rPr>
        <w:t>on</w:t>
      </w:r>
      <w:r>
        <w:rPr>
          <w:color w:val="767070"/>
          <w:spacing w:val="-5"/>
          <w:sz w:val="16"/>
        </w:rPr>
        <w:t xml:space="preserve"> </w:t>
      </w:r>
      <w:r>
        <w:rPr>
          <w:color w:val="767070"/>
          <w:sz w:val="16"/>
        </w:rPr>
        <w:t>maternal</w:t>
      </w:r>
      <w:r>
        <w:rPr>
          <w:color w:val="767070"/>
          <w:spacing w:val="-8"/>
          <w:sz w:val="16"/>
        </w:rPr>
        <w:t xml:space="preserve"> </w:t>
      </w:r>
      <w:r>
        <w:rPr>
          <w:color w:val="767070"/>
          <w:sz w:val="16"/>
        </w:rPr>
        <w:t>and</w:t>
      </w:r>
      <w:r>
        <w:rPr>
          <w:color w:val="767070"/>
          <w:spacing w:val="-5"/>
          <w:sz w:val="16"/>
        </w:rPr>
        <w:t xml:space="preserve"> </w:t>
      </w:r>
      <w:r>
        <w:rPr>
          <w:color w:val="767070"/>
          <w:sz w:val="16"/>
        </w:rPr>
        <w:t>child</w:t>
      </w:r>
      <w:r>
        <w:rPr>
          <w:color w:val="767070"/>
          <w:spacing w:val="-5"/>
          <w:sz w:val="16"/>
        </w:rPr>
        <w:t xml:space="preserve"> </w:t>
      </w:r>
      <w:r>
        <w:rPr>
          <w:color w:val="767070"/>
          <w:sz w:val="16"/>
        </w:rPr>
        <w:t>health</w:t>
      </w:r>
      <w:r>
        <w:rPr>
          <w:color w:val="767070"/>
          <w:spacing w:val="-5"/>
          <w:sz w:val="16"/>
        </w:rPr>
        <w:t xml:space="preserve"> </w:t>
      </w:r>
      <w:r>
        <w:rPr>
          <w:color w:val="767070"/>
          <w:sz w:val="16"/>
        </w:rPr>
        <w:t>instead</w:t>
      </w:r>
      <w:r>
        <w:rPr>
          <w:color w:val="767070"/>
          <w:spacing w:val="-5"/>
          <w:sz w:val="16"/>
        </w:rPr>
        <w:t xml:space="preserve"> </w:t>
      </w:r>
      <w:r>
        <w:rPr>
          <w:color w:val="767070"/>
          <w:sz w:val="16"/>
        </w:rPr>
        <w:t>of</w:t>
      </w:r>
      <w:r>
        <w:rPr>
          <w:color w:val="767070"/>
          <w:spacing w:val="-5"/>
          <w:sz w:val="16"/>
        </w:rPr>
        <w:t xml:space="preserve"> </w:t>
      </w:r>
      <w:r>
        <w:rPr>
          <w:color w:val="767070"/>
          <w:spacing w:val="-2"/>
          <w:sz w:val="16"/>
        </w:rPr>
        <w:t>elderly.</w:t>
      </w:r>
    </w:p>
    <w:p w14:paraId="1204B6A9" w14:textId="77777777" w:rsidR="00BC24A8" w:rsidRDefault="00BC24A8">
      <w:pPr>
        <w:rPr>
          <w:sz w:val="16"/>
        </w:rPr>
        <w:sectPr w:rsidR="00BC24A8">
          <w:pgSz w:w="11910" w:h="16840"/>
          <w:pgMar w:top="1680" w:right="850" w:bottom="1100" w:left="1275" w:header="0" w:footer="907" w:gutter="0"/>
          <w:cols w:space="720"/>
        </w:sectPr>
      </w:pPr>
    </w:p>
    <w:p w14:paraId="59E02B9D" w14:textId="77777777" w:rsidR="00BC24A8" w:rsidRDefault="00000000">
      <w:pPr>
        <w:pStyle w:val="Heading2"/>
      </w:pPr>
      <w:bookmarkStart w:id="127" w:name="Annex_3:_Indicator_Tracking_Matrix"/>
      <w:bookmarkStart w:id="128" w:name="_bookmark84"/>
      <w:bookmarkEnd w:id="127"/>
      <w:bookmarkEnd w:id="128"/>
      <w:r>
        <w:rPr>
          <w:color w:val="163558"/>
          <w:spacing w:val="-10"/>
        </w:rPr>
        <w:lastRenderedPageBreak/>
        <w:t>Annex</w:t>
      </w:r>
      <w:r>
        <w:rPr>
          <w:color w:val="163558"/>
          <w:spacing w:val="-34"/>
        </w:rPr>
        <w:t xml:space="preserve"> </w:t>
      </w:r>
      <w:r>
        <w:rPr>
          <w:color w:val="163558"/>
          <w:spacing w:val="-10"/>
        </w:rPr>
        <w:t>3:</w:t>
      </w:r>
      <w:r>
        <w:rPr>
          <w:color w:val="163558"/>
          <w:spacing w:val="-32"/>
        </w:rPr>
        <w:t xml:space="preserve"> </w:t>
      </w:r>
      <w:r>
        <w:rPr>
          <w:color w:val="163558"/>
          <w:spacing w:val="-10"/>
        </w:rPr>
        <w:t>Indicator</w:t>
      </w:r>
      <w:r>
        <w:rPr>
          <w:color w:val="163558"/>
          <w:spacing w:val="-30"/>
        </w:rPr>
        <w:t xml:space="preserve"> </w:t>
      </w:r>
      <w:r>
        <w:rPr>
          <w:color w:val="163558"/>
          <w:spacing w:val="-10"/>
        </w:rPr>
        <w:t>Tracking</w:t>
      </w:r>
      <w:r>
        <w:rPr>
          <w:color w:val="163558"/>
          <w:spacing w:val="-34"/>
        </w:rPr>
        <w:t xml:space="preserve"> </w:t>
      </w:r>
      <w:r>
        <w:rPr>
          <w:color w:val="163558"/>
          <w:spacing w:val="-10"/>
        </w:rPr>
        <w:t>Matrix</w:t>
      </w:r>
    </w:p>
    <w:p w14:paraId="07F6108D" w14:textId="77777777" w:rsidR="00BC24A8" w:rsidRDefault="00BC24A8">
      <w:pPr>
        <w:pStyle w:val="BodyText"/>
        <w:spacing w:before="103"/>
        <w:rPr>
          <w:rFonts w:ascii="Trebuchet MS"/>
          <w:b/>
          <w:sz w:val="20"/>
        </w:rPr>
      </w:pPr>
    </w:p>
    <w:tbl>
      <w:tblPr>
        <w:tblW w:w="0" w:type="auto"/>
        <w:tblInd w:w="143" w:type="dxa"/>
        <w:tblLayout w:type="fixed"/>
        <w:tblCellMar>
          <w:left w:w="0" w:type="dxa"/>
          <w:right w:w="0" w:type="dxa"/>
        </w:tblCellMar>
        <w:tblLook w:val="01E0" w:firstRow="1" w:lastRow="1" w:firstColumn="1" w:lastColumn="1" w:noHBand="0" w:noVBand="0"/>
      </w:tblPr>
      <w:tblGrid>
        <w:gridCol w:w="1627"/>
        <w:gridCol w:w="1440"/>
        <w:gridCol w:w="1260"/>
        <w:gridCol w:w="1350"/>
        <w:gridCol w:w="1350"/>
        <w:gridCol w:w="2071"/>
      </w:tblGrid>
      <w:tr w:rsidR="00BC24A8" w14:paraId="3804163F" w14:textId="77777777">
        <w:trPr>
          <w:trHeight w:val="765"/>
        </w:trPr>
        <w:tc>
          <w:tcPr>
            <w:tcW w:w="1627" w:type="dxa"/>
            <w:tcBorders>
              <w:right w:val="single" w:sz="18" w:space="0" w:color="FFFFFF"/>
            </w:tcBorders>
            <w:shd w:val="clear" w:color="auto" w:fill="17365A"/>
          </w:tcPr>
          <w:p w14:paraId="05E5993D" w14:textId="77777777" w:rsidR="00BC24A8" w:rsidRDefault="00BC24A8">
            <w:pPr>
              <w:pStyle w:val="TableParagraph"/>
              <w:spacing w:before="23"/>
              <w:rPr>
                <w:rFonts w:ascii="Trebuchet MS"/>
                <w:b/>
                <w:sz w:val="20"/>
              </w:rPr>
            </w:pPr>
          </w:p>
          <w:p w14:paraId="54346C7C" w14:textId="77777777" w:rsidR="00BC24A8" w:rsidRDefault="00000000">
            <w:pPr>
              <w:pStyle w:val="TableParagraph"/>
              <w:ind w:left="115"/>
              <w:rPr>
                <w:rFonts w:ascii="Calibri"/>
                <w:b/>
                <w:sz w:val="20"/>
              </w:rPr>
            </w:pPr>
            <w:r>
              <w:rPr>
                <w:rFonts w:ascii="Calibri"/>
                <w:b/>
                <w:color w:val="FFFFFF"/>
                <w:spacing w:val="-2"/>
                <w:sz w:val="20"/>
              </w:rPr>
              <w:t>Indicators</w:t>
            </w:r>
          </w:p>
        </w:tc>
        <w:tc>
          <w:tcPr>
            <w:tcW w:w="1440" w:type="dxa"/>
            <w:tcBorders>
              <w:left w:val="single" w:sz="18" w:space="0" w:color="FFFFFF"/>
              <w:right w:val="single" w:sz="18" w:space="0" w:color="FFFFFF"/>
            </w:tcBorders>
            <w:shd w:val="clear" w:color="auto" w:fill="17365A"/>
          </w:tcPr>
          <w:p w14:paraId="7A32BB24" w14:textId="77777777" w:rsidR="00BC24A8" w:rsidRDefault="00000000">
            <w:pPr>
              <w:pStyle w:val="TableParagraph"/>
              <w:spacing w:before="145" w:line="231" w:lineRule="exact"/>
              <w:ind w:left="3" w:right="2"/>
              <w:jc w:val="center"/>
              <w:rPr>
                <w:rFonts w:ascii="Calibri"/>
                <w:b/>
                <w:sz w:val="20"/>
              </w:rPr>
            </w:pPr>
            <w:r>
              <w:rPr>
                <w:rFonts w:ascii="Calibri"/>
                <w:b/>
                <w:color w:val="FFFFFF"/>
                <w:sz w:val="20"/>
              </w:rPr>
              <w:t>Achieved</w:t>
            </w:r>
            <w:r>
              <w:rPr>
                <w:rFonts w:ascii="Calibri"/>
                <w:b/>
                <w:color w:val="FFFFFF"/>
                <w:spacing w:val="-11"/>
                <w:sz w:val="20"/>
              </w:rPr>
              <w:t xml:space="preserve"> </w:t>
            </w:r>
            <w:r>
              <w:rPr>
                <w:rFonts w:ascii="Calibri"/>
                <w:b/>
                <w:color w:val="FFFFFF"/>
                <w:spacing w:val="-2"/>
                <w:sz w:val="20"/>
              </w:rPr>
              <w:t>until</w:t>
            </w:r>
          </w:p>
          <w:p w14:paraId="07425C14" w14:textId="77777777" w:rsidR="00BC24A8" w:rsidRDefault="00000000">
            <w:pPr>
              <w:pStyle w:val="TableParagraph"/>
              <w:spacing w:line="231" w:lineRule="exact"/>
              <w:ind w:left="1" w:right="3"/>
              <w:jc w:val="center"/>
              <w:rPr>
                <w:rFonts w:ascii="Calibri"/>
                <w:b/>
                <w:sz w:val="20"/>
              </w:rPr>
            </w:pPr>
            <w:r>
              <w:rPr>
                <w:rFonts w:ascii="Calibri"/>
                <w:b/>
                <w:color w:val="FFFFFF"/>
                <w:sz w:val="20"/>
              </w:rPr>
              <w:t>Dec</w:t>
            </w:r>
            <w:r>
              <w:rPr>
                <w:rFonts w:ascii="Calibri"/>
                <w:b/>
                <w:color w:val="FFFFFF"/>
                <w:spacing w:val="-4"/>
                <w:sz w:val="20"/>
              </w:rPr>
              <w:t xml:space="preserve"> 2024</w:t>
            </w:r>
          </w:p>
        </w:tc>
        <w:tc>
          <w:tcPr>
            <w:tcW w:w="1260" w:type="dxa"/>
            <w:tcBorders>
              <w:left w:val="single" w:sz="18" w:space="0" w:color="FFFFFF"/>
              <w:right w:val="single" w:sz="18" w:space="0" w:color="FFFFFF"/>
            </w:tcBorders>
            <w:shd w:val="clear" w:color="auto" w:fill="17365A"/>
          </w:tcPr>
          <w:p w14:paraId="17D31275" w14:textId="77777777" w:rsidR="00BC24A8" w:rsidRDefault="00000000">
            <w:pPr>
              <w:pStyle w:val="TableParagraph"/>
              <w:spacing w:before="54" w:line="216" w:lineRule="auto"/>
              <w:ind w:left="126" w:right="125"/>
              <w:jc w:val="center"/>
              <w:rPr>
                <w:rFonts w:ascii="Calibri"/>
                <w:b/>
                <w:sz w:val="20"/>
              </w:rPr>
            </w:pPr>
            <w:r>
              <w:rPr>
                <w:rFonts w:ascii="Calibri"/>
                <w:b/>
                <w:color w:val="FFFFFF"/>
                <w:spacing w:val="-2"/>
                <w:sz w:val="20"/>
              </w:rPr>
              <w:t>Achieved</w:t>
            </w:r>
            <w:r>
              <w:rPr>
                <w:rFonts w:ascii="Calibri"/>
                <w:b/>
                <w:color w:val="FFFFFF"/>
                <w:spacing w:val="-10"/>
                <w:sz w:val="20"/>
              </w:rPr>
              <w:t xml:space="preserve"> </w:t>
            </w:r>
            <w:r>
              <w:rPr>
                <w:rFonts w:ascii="Calibri"/>
                <w:b/>
                <w:color w:val="FFFFFF"/>
                <w:spacing w:val="-2"/>
                <w:sz w:val="20"/>
              </w:rPr>
              <w:t xml:space="preserve">in Jan-Jun </w:t>
            </w:r>
            <w:r>
              <w:rPr>
                <w:rFonts w:ascii="Calibri"/>
                <w:b/>
                <w:color w:val="FFFFFF"/>
                <w:spacing w:val="-4"/>
                <w:sz w:val="20"/>
              </w:rPr>
              <w:t>2025</w:t>
            </w:r>
          </w:p>
        </w:tc>
        <w:tc>
          <w:tcPr>
            <w:tcW w:w="1350" w:type="dxa"/>
            <w:tcBorders>
              <w:left w:val="single" w:sz="18" w:space="0" w:color="FFFFFF"/>
              <w:right w:val="single" w:sz="24" w:space="0" w:color="FFFFFF"/>
            </w:tcBorders>
            <w:shd w:val="clear" w:color="auto" w:fill="17365A"/>
          </w:tcPr>
          <w:p w14:paraId="1777C5E8" w14:textId="77777777" w:rsidR="00BC24A8" w:rsidRDefault="00000000">
            <w:pPr>
              <w:pStyle w:val="TableParagraph"/>
              <w:spacing w:before="166" w:line="213" w:lineRule="auto"/>
              <w:ind w:left="119" w:right="113" w:firstLine="76"/>
              <w:rPr>
                <w:rFonts w:ascii="Calibri"/>
                <w:b/>
                <w:sz w:val="20"/>
              </w:rPr>
            </w:pPr>
            <w:r>
              <w:rPr>
                <w:rFonts w:ascii="Calibri"/>
                <w:b/>
                <w:color w:val="FFFFFF"/>
                <w:sz w:val="20"/>
              </w:rPr>
              <w:t>In progress Jan-Jun</w:t>
            </w:r>
            <w:r>
              <w:rPr>
                <w:rFonts w:ascii="Calibri"/>
                <w:b/>
                <w:color w:val="FFFFFF"/>
                <w:spacing w:val="-7"/>
                <w:sz w:val="20"/>
              </w:rPr>
              <w:t xml:space="preserve"> </w:t>
            </w:r>
            <w:r>
              <w:rPr>
                <w:rFonts w:ascii="Calibri"/>
                <w:b/>
                <w:color w:val="FFFFFF"/>
                <w:spacing w:val="-4"/>
                <w:sz w:val="20"/>
              </w:rPr>
              <w:t>2025</w:t>
            </w:r>
          </w:p>
        </w:tc>
        <w:tc>
          <w:tcPr>
            <w:tcW w:w="1350" w:type="dxa"/>
            <w:tcBorders>
              <w:left w:val="single" w:sz="24" w:space="0" w:color="FFFFFF"/>
              <w:right w:val="single" w:sz="18" w:space="0" w:color="FFFFFF"/>
            </w:tcBorders>
            <w:shd w:val="clear" w:color="auto" w:fill="17365A"/>
          </w:tcPr>
          <w:p w14:paraId="68F01FFC" w14:textId="77777777" w:rsidR="00BC24A8" w:rsidRDefault="00000000">
            <w:pPr>
              <w:pStyle w:val="TableParagraph"/>
              <w:spacing w:before="54" w:line="216" w:lineRule="auto"/>
              <w:ind w:left="113" w:right="126"/>
              <w:jc w:val="center"/>
              <w:rPr>
                <w:rFonts w:ascii="Calibri"/>
                <w:b/>
                <w:sz w:val="20"/>
              </w:rPr>
            </w:pPr>
            <w:r>
              <w:rPr>
                <w:rFonts w:ascii="Calibri"/>
                <w:b/>
                <w:color w:val="FFFFFF"/>
                <w:spacing w:val="-2"/>
                <w:sz w:val="20"/>
              </w:rPr>
              <w:t xml:space="preserve">Achieved </w:t>
            </w:r>
            <w:r>
              <w:rPr>
                <w:rFonts w:ascii="Calibri"/>
                <w:b/>
                <w:color w:val="FFFFFF"/>
                <w:sz w:val="20"/>
              </w:rPr>
              <w:t xml:space="preserve">until Jun </w:t>
            </w:r>
            <w:r>
              <w:rPr>
                <w:rFonts w:ascii="Calibri"/>
                <w:b/>
                <w:color w:val="FFFFFF"/>
                <w:spacing w:val="-4"/>
                <w:sz w:val="20"/>
              </w:rPr>
              <w:t>2025</w:t>
            </w:r>
          </w:p>
        </w:tc>
        <w:tc>
          <w:tcPr>
            <w:tcW w:w="2071" w:type="dxa"/>
            <w:tcBorders>
              <w:left w:val="single" w:sz="18" w:space="0" w:color="FFFFFF"/>
            </w:tcBorders>
            <w:shd w:val="clear" w:color="auto" w:fill="17365A"/>
          </w:tcPr>
          <w:p w14:paraId="5F07E40E" w14:textId="77777777" w:rsidR="00BC24A8" w:rsidRDefault="00BC24A8">
            <w:pPr>
              <w:pStyle w:val="TableParagraph"/>
              <w:spacing w:before="23"/>
              <w:rPr>
                <w:rFonts w:ascii="Trebuchet MS"/>
                <w:b/>
                <w:sz w:val="20"/>
              </w:rPr>
            </w:pPr>
          </w:p>
          <w:p w14:paraId="4CC4E14D" w14:textId="77777777" w:rsidR="00BC24A8" w:rsidRDefault="00000000">
            <w:pPr>
              <w:pStyle w:val="TableParagraph"/>
              <w:ind w:left="85"/>
              <w:rPr>
                <w:rFonts w:ascii="Calibri"/>
                <w:b/>
                <w:sz w:val="20"/>
              </w:rPr>
            </w:pPr>
            <w:r>
              <w:rPr>
                <w:rFonts w:ascii="Calibri"/>
                <w:b/>
                <w:color w:val="FFFFFF"/>
                <w:spacing w:val="-2"/>
                <w:sz w:val="20"/>
              </w:rPr>
              <w:t>Indicator</w:t>
            </w:r>
            <w:r>
              <w:rPr>
                <w:rFonts w:ascii="Calibri"/>
                <w:b/>
                <w:color w:val="FFFFFF"/>
                <w:spacing w:val="4"/>
                <w:sz w:val="20"/>
              </w:rPr>
              <w:t xml:space="preserve"> </w:t>
            </w:r>
            <w:r>
              <w:rPr>
                <w:rFonts w:ascii="Calibri"/>
                <w:b/>
                <w:color w:val="FFFFFF"/>
                <w:spacing w:val="-2"/>
                <w:sz w:val="20"/>
              </w:rPr>
              <w:t>Description</w:t>
            </w:r>
          </w:p>
        </w:tc>
      </w:tr>
      <w:tr w:rsidR="00BC24A8" w14:paraId="4E46E5D4" w14:textId="77777777">
        <w:trPr>
          <w:trHeight w:val="5944"/>
        </w:trPr>
        <w:tc>
          <w:tcPr>
            <w:tcW w:w="1627" w:type="dxa"/>
            <w:tcBorders>
              <w:bottom w:val="single" w:sz="4" w:space="0" w:color="BEBEBE"/>
            </w:tcBorders>
          </w:tcPr>
          <w:p w14:paraId="0FD64F79" w14:textId="77777777" w:rsidR="00BC24A8" w:rsidRDefault="00000000">
            <w:pPr>
              <w:pStyle w:val="TableParagraph"/>
              <w:spacing w:before="61"/>
              <w:ind w:left="115" w:right="122"/>
              <w:rPr>
                <w:sz w:val="18"/>
              </w:rPr>
            </w:pPr>
            <w:r>
              <w:rPr>
                <w:sz w:val="18"/>
              </w:rPr>
              <w:t xml:space="preserve">IO 1.1. Improved coordination and </w:t>
            </w:r>
            <w:r>
              <w:rPr>
                <w:spacing w:val="-2"/>
                <w:sz w:val="18"/>
              </w:rPr>
              <w:t>collaboration</w:t>
            </w:r>
            <w:r>
              <w:rPr>
                <w:sz w:val="18"/>
              </w:rPr>
              <w:t xml:space="preserve"> among</w:t>
            </w:r>
            <w:r>
              <w:rPr>
                <w:spacing w:val="-2"/>
                <w:sz w:val="18"/>
              </w:rPr>
              <w:t xml:space="preserve"> </w:t>
            </w:r>
            <w:r>
              <w:rPr>
                <w:sz w:val="18"/>
              </w:rPr>
              <w:t>key ministries to improve</w:t>
            </w:r>
            <w:r>
              <w:rPr>
                <w:spacing w:val="-11"/>
                <w:sz w:val="18"/>
              </w:rPr>
              <w:t xml:space="preserve"> </w:t>
            </w:r>
            <w:r>
              <w:rPr>
                <w:sz w:val="18"/>
              </w:rPr>
              <w:t>TKD</w:t>
            </w:r>
            <w:r>
              <w:rPr>
                <w:spacing w:val="-10"/>
                <w:sz w:val="18"/>
              </w:rPr>
              <w:t xml:space="preserve"> </w:t>
            </w:r>
            <w:r>
              <w:rPr>
                <w:sz w:val="18"/>
              </w:rPr>
              <w:t>(fiscal transfer)</w:t>
            </w:r>
            <w:r>
              <w:rPr>
                <w:spacing w:val="-11"/>
                <w:sz w:val="18"/>
              </w:rPr>
              <w:t xml:space="preserve"> </w:t>
            </w:r>
            <w:r>
              <w:rPr>
                <w:sz w:val="18"/>
              </w:rPr>
              <w:t>policies</w:t>
            </w:r>
            <w:r>
              <w:rPr>
                <w:spacing w:val="-10"/>
                <w:sz w:val="18"/>
              </w:rPr>
              <w:t xml:space="preserve"> </w:t>
            </w:r>
            <w:r>
              <w:rPr>
                <w:sz w:val="18"/>
              </w:rPr>
              <w:t>in support of</w:t>
            </w:r>
            <w:r>
              <w:rPr>
                <w:spacing w:val="40"/>
                <w:sz w:val="18"/>
              </w:rPr>
              <w:t xml:space="preserve"> </w:t>
            </w:r>
            <w:r>
              <w:rPr>
                <w:sz w:val="18"/>
              </w:rPr>
              <w:t>inclusive service delivery,</w:t>
            </w:r>
            <w:r>
              <w:rPr>
                <w:spacing w:val="-2"/>
                <w:sz w:val="18"/>
              </w:rPr>
              <w:t xml:space="preserve"> </w:t>
            </w:r>
            <w:r>
              <w:rPr>
                <w:sz w:val="18"/>
              </w:rPr>
              <w:t>informed by subnational government,</w:t>
            </w:r>
            <w:r>
              <w:rPr>
                <w:spacing w:val="-2"/>
                <w:sz w:val="18"/>
              </w:rPr>
              <w:t xml:space="preserve"> </w:t>
            </w:r>
            <w:r>
              <w:rPr>
                <w:sz w:val="18"/>
              </w:rPr>
              <w:t>with SKALA</w:t>
            </w:r>
            <w:r>
              <w:rPr>
                <w:spacing w:val="-2"/>
                <w:sz w:val="18"/>
              </w:rPr>
              <w:t xml:space="preserve"> </w:t>
            </w:r>
            <w:r>
              <w:rPr>
                <w:sz w:val="18"/>
              </w:rPr>
              <w:t>support.</w:t>
            </w:r>
          </w:p>
        </w:tc>
        <w:tc>
          <w:tcPr>
            <w:tcW w:w="1440" w:type="dxa"/>
            <w:tcBorders>
              <w:bottom w:val="single" w:sz="4" w:space="0" w:color="BEBEBE"/>
            </w:tcBorders>
          </w:tcPr>
          <w:p w14:paraId="2BB38D9B" w14:textId="77777777" w:rsidR="00BC24A8" w:rsidRDefault="00000000">
            <w:pPr>
              <w:pStyle w:val="TableParagraph"/>
              <w:spacing w:before="66"/>
              <w:ind w:left="108"/>
              <w:rPr>
                <w:sz w:val="18"/>
              </w:rPr>
            </w:pPr>
            <w:r>
              <w:rPr>
                <w:sz w:val="18"/>
              </w:rPr>
              <w:t xml:space="preserve">5 </w:t>
            </w:r>
            <w:r>
              <w:rPr>
                <w:spacing w:val="-2"/>
                <w:sz w:val="18"/>
              </w:rPr>
              <w:t>showcases</w:t>
            </w:r>
          </w:p>
        </w:tc>
        <w:tc>
          <w:tcPr>
            <w:tcW w:w="1260" w:type="dxa"/>
            <w:tcBorders>
              <w:bottom w:val="single" w:sz="4" w:space="0" w:color="BEBEBE"/>
            </w:tcBorders>
          </w:tcPr>
          <w:p w14:paraId="224C3313" w14:textId="77777777" w:rsidR="00BC24A8" w:rsidRDefault="00000000">
            <w:pPr>
              <w:pStyle w:val="TableParagraph"/>
              <w:spacing w:before="66"/>
              <w:ind w:left="108"/>
              <w:rPr>
                <w:sz w:val="18"/>
              </w:rPr>
            </w:pPr>
            <w:r>
              <w:rPr>
                <w:sz w:val="18"/>
              </w:rPr>
              <w:t xml:space="preserve">4 </w:t>
            </w:r>
            <w:r>
              <w:rPr>
                <w:spacing w:val="-2"/>
                <w:sz w:val="18"/>
              </w:rPr>
              <w:t>showcases</w:t>
            </w:r>
          </w:p>
        </w:tc>
        <w:tc>
          <w:tcPr>
            <w:tcW w:w="1350" w:type="dxa"/>
            <w:tcBorders>
              <w:bottom w:val="single" w:sz="4" w:space="0" w:color="BEBEBE"/>
            </w:tcBorders>
          </w:tcPr>
          <w:p w14:paraId="6050297B" w14:textId="77777777" w:rsidR="00BC24A8" w:rsidRDefault="00000000">
            <w:pPr>
              <w:pStyle w:val="TableParagraph"/>
              <w:spacing w:before="66"/>
              <w:ind w:left="108"/>
              <w:rPr>
                <w:sz w:val="18"/>
              </w:rPr>
            </w:pPr>
            <w:r>
              <w:rPr>
                <w:sz w:val="18"/>
              </w:rPr>
              <w:t xml:space="preserve">2 </w:t>
            </w:r>
            <w:r>
              <w:rPr>
                <w:spacing w:val="-2"/>
                <w:sz w:val="18"/>
              </w:rPr>
              <w:t>showcases</w:t>
            </w:r>
          </w:p>
        </w:tc>
        <w:tc>
          <w:tcPr>
            <w:tcW w:w="1350" w:type="dxa"/>
            <w:tcBorders>
              <w:bottom w:val="single" w:sz="4" w:space="0" w:color="BEBEBE"/>
            </w:tcBorders>
          </w:tcPr>
          <w:p w14:paraId="7E543BC1" w14:textId="77777777" w:rsidR="00BC24A8" w:rsidRDefault="00000000">
            <w:pPr>
              <w:pStyle w:val="TableParagraph"/>
              <w:spacing w:before="66"/>
              <w:ind w:left="107"/>
              <w:rPr>
                <w:sz w:val="18"/>
              </w:rPr>
            </w:pPr>
            <w:r>
              <w:rPr>
                <w:sz w:val="18"/>
              </w:rPr>
              <w:t xml:space="preserve">9 </w:t>
            </w:r>
            <w:r>
              <w:rPr>
                <w:spacing w:val="-2"/>
                <w:sz w:val="18"/>
              </w:rPr>
              <w:t>showcases</w:t>
            </w:r>
          </w:p>
        </w:tc>
        <w:tc>
          <w:tcPr>
            <w:tcW w:w="2071" w:type="dxa"/>
            <w:tcBorders>
              <w:bottom w:val="single" w:sz="4" w:space="0" w:color="BEBEBE"/>
            </w:tcBorders>
          </w:tcPr>
          <w:p w14:paraId="008566C9" w14:textId="77777777" w:rsidR="00BC24A8" w:rsidRDefault="00000000">
            <w:pPr>
              <w:pStyle w:val="TableParagraph"/>
              <w:spacing w:before="112"/>
              <w:ind w:left="271" w:right="135" w:hanging="164"/>
              <w:rPr>
                <w:i/>
                <w:sz w:val="18"/>
              </w:rPr>
            </w:pPr>
            <w:r>
              <w:rPr>
                <w:i/>
                <w:sz w:val="18"/>
              </w:rPr>
              <w:t>SKALA facilitated collaboration between MoF,</w:t>
            </w:r>
            <w:r>
              <w:rPr>
                <w:i/>
                <w:spacing w:val="-2"/>
                <w:sz w:val="18"/>
              </w:rPr>
              <w:t xml:space="preserve"> </w:t>
            </w:r>
            <w:r>
              <w:rPr>
                <w:i/>
                <w:sz w:val="18"/>
              </w:rPr>
              <w:t>Bappenas, MOHA,</w:t>
            </w:r>
            <w:r>
              <w:rPr>
                <w:i/>
                <w:spacing w:val="-11"/>
                <w:sz w:val="18"/>
              </w:rPr>
              <w:t xml:space="preserve"> </w:t>
            </w:r>
            <w:r>
              <w:rPr>
                <w:i/>
                <w:sz w:val="18"/>
              </w:rPr>
              <w:t>and</w:t>
            </w:r>
            <w:r>
              <w:rPr>
                <w:i/>
                <w:spacing w:val="-10"/>
                <w:sz w:val="18"/>
              </w:rPr>
              <w:t xml:space="preserve"> </w:t>
            </w:r>
            <w:r>
              <w:rPr>
                <w:i/>
                <w:sz w:val="18"/>
              </w:rPr>
              <w:t>Ministry</w:t>
            </w:r>
            <w:r>
              <w:rPr>
                <w:i/>
                <w:spacing w:val="-10"/>
                <w:sz w:val="18"/>
              </w:rPr>
              <w:t xml:space="preserve"> </w:t>
            </w:r>
            <w:r>
              <w:rPr>
                <w:i/>
                <w:sz w:val="18"/>
              </w:rPr>
              <w:t>of Education to improve fiscal transfer mechanism,</w:t>
            </w:r>
            <w:r>
              <w:rPr>
                <w:i/>
                <w:spacing w:val="-2"/>
                <w:sz w:val="18"/>
              </w:rPr>
              <w:t xml:space="preserve"> </w:t>
            </w:r>
            <w:r>
              <w:rPr>
                <w:i/>
                <w:sz w:val="18"/>
              </w:rPr>
              <w:t xml:space="preserve">for </w:t>
            </w:r>
            <w:r>
              <w:rPr>
                <w:i/>
                <w:spacing w:val="-2"/>
                <w:sz w:val="18"/>
              </w:rPr>
              <w:t>example:</w:t>
            </w:r>
          </w:p>
          <w:p w14:paraId="18C4D050" w14:textId="77777777" w:rsidR="00BC24A8" w:rsidRDefault="00000000">
            <w:pPr>
              <w:pStyle w:val="TableParagraph"/>
              <w:numPr>
                <w:ilvl w:val="0"/>
                <w:numId w:val="158"/>
              </w:numPr>
              <w:tabs>
                <w:tab w:val="left" w:pos="451"/>
              </w:tabs>
              <w:spacing w:before="61"/>
              <w:ind w:right="138"/>
              <w:rPr>
                <w:sz w:val="18"/>
              </w:rPr>
            </w:pPr>
            <w:r>
              <w:rPr>
                <w:sz w:val="18"/>
              </w:rPr>
              <w:t>The</w:t>
            </w:r>
            <w:r>
              <w:rPr>
                <w:spacing w:val="-11"/>
                <w:sz w:val="18"/>
              </w:rPr>
              <w:t xml:space="preserve"> </w:t>
            </w:r>
            <w:r>
              <w:rPr>
                <w:sz w:val="18"/>
              </w:rPr>
              <w:t>use</w:t>
            </w:r>
            <w:r>
              <w:rPr>
                <w:spacing w:val="-10"/>
                <w:sz w:val="18"/>
              </w:rPr>
              <w:t xml:space="preserve"> </w:t>
            </w:r>
            <w:r>
              <w:rPr>
                <w:sz w:val="18"/>
              </w:rPr>
              <w:t>of</w:t>
            </w:r>
            <w:r>
              <w:rPr>
                <w:spacing w:val="-10"/>
                <w:sz w:val="18"/>
              </w:rPr>
              <w:t xml:space="preserve"> </w:t>
            </w:r>
            <w:r>
              <w:rPr>
                <w:sz w:val="18"/>
              </w:rPr>
              <w:t>analytical work to inform policy around regional</w:t>
            </w:r>
            <w:r>
              <w:rPr>
                <w:spacing w:val="-11"/>
                <w:sz w:val="18"/>
              </w:rPr>
              <w:t xml:space="preserve"> </w:t>
            </w:r>
            <w:r>
              <w:rPr>
                <w:sz w:val="18"/>
              </w:rPr>
              <w:t>grant</w:t>
            </w:r>
            <w:r>
              <w:rPr>
                <w:spacing w:val="-10"/>
                <w:sz w:val="18"/>
              </w:rPr>
              <w:t xml:space="preserve"> </w:t>
            </w:r>
            <w:r>
              <w:rPr>
                <w:sz w:val="18"/>
              </w:rPr>
              <w:t>(Dana Bagi Hasil).</w:t>
            </w:r>
          </w:p>
          <w:p w14:paraId="517855BE" w14:textId="77777777" w:rsidR="00BC24A8" w:rsidRDefault="00000000">
            <w:pPr>
              <w:pStyle w:val="TableParagraph"/>
              <w:numPr>
                <w:ilvl w:val="0"/>
                <w:numId w:val="158"/>
              </w:numPr>
              <w:tabs>
                <w:tab w:val="left" w:pos="451"/>
              </w:tabs>
              <w:ind w:right="216"/>
              <w:jc w:val="both"/>
              <w:rPr>
                <w:sz w:val="18"/>
              </w:rPr>
            </w:pPr>
            <w:r>
              <w:rPr>
                <w:sz w:val="18"/>
              </w:rPr>
              <w:t>Evaluation</w:t>
            </w:r>
            <w:r>
              <w:rPr>
                <w:spacing w:val="-11"/>
                <w:sz w:val="18"/>
              </w:rPr>
              <w:t xml:space="preserve"> </w:t>
            </w:r>
            <w:r>
              <w:rPr>
                <w:sz w:val="18"/>
              </w:rPr>
              <w:t>towards DAU</w:t>
            </w:r>
            <w:r>
              <w:rPr>
                <w:spacing w:val="-11"/>
                <w:sz w:val="18"/>
              </w:rPr>
              <w:t xml:space="preserve"> </w:t>
            </w:r>
            <w:r>
              <w:rPr>
                <w:sz w:val="18"/>
              </w:rPr>
              <w:t>earmarked</w:t>
            </w:r>
            <w:r>
              <w:rPr>
                <w:spacing w:val="-10"/>
                <w:sz w:val="18"/>
              </w:rPr>
              <w:t xml:space="preserve"> </w:t>
            </w:r>
            <w:r>
              <w:rPr>
                <w:sz w:val="18"/>
              </w:rPr>
              <w:t>for education sector.</w:t>
            </w:r>
          </w:p>
          <w:p w14:paraId="107E46B6" w14:textId="77777777" w:rsidR="00BC24A8" w:rsidRDefault="00000000">
            <w:pPr>
              <w:pStyle w:val="TableParagraph"/>
              <w:numPr>
                <w:ilvl w:val="0"/>
                <w:numId w:val="158"/>
              </w:numPr>
              <w:tabs>
                <w:tab w:val="left" w:pos="451"/>
              </w:tabs>
              <w:ind w:right="117"/>
              <w:rPr>
                <w:sz w:val="18"/>
              </w:rPr>
            </w:pPr>
            <w:r>
              <w:rPr>
                <w:sz w:val="18"/>
              </w:rPr>
              <w:t>Teacher</w:t>
            </w:r>
            <w:r>
              <w:rPr>
                <w:spacing w:val="-11"/>
                <w:sz w:val="18"/>
              </w:rPr>
              <w:t xml:space="preserve"> </w:t>
            </w:r>
            <w:r>
              <w:rPr>
                <w:sz w:val="18"/>
              </w:rPr>
              <w:t>allowance</w:t>
            </w:r>
            <w:r>
              <w:rPr>
                <w:spacing w:val="-10"/>
                <w:sz w:val="18"/>
              </w:rPr>
              <w:t xml:space="preserve"> </w:t>
            </w:r>
            <w:r>
              <w:rPr>
                <w:sz w:val="18"/>
              </w:rPr>
              <w:t>is directly</w:t>
            </w:r>
            <w:r>
              <w:rPr>
                <w:spacing w:val="-6"/>
                <w:sz w:val="18"/>
              </w:rPr>
              <w:t xml:space="preserve"> </w:t>
            </w:r>
            <w:r>
              <w:rPr>
                <w:sz w:val="18"/>
              </w:rPr>
              <w:t>transferred from national level to</w:t>
            </w:r>
            <w:r>
              <w:rPr>
                <w:spacing w:val="-11"/>
                <w:sz w:val="18"/>
              </w:rPr>
              <w:t xml:space="preserve"> </w:t>
            </w:r>
            <w:r>
              <w:rPr>
                <w:sz w:val="18"/>
              </w:rPr>
              <w:t>teacher</w:t>
            </w:r>
            <w:r>
              <w:rPr>
                <w:spacing w:val="-10"/>
                <w:sz w:val="18"/>
              </w:rPr>
              <w:t xml:space="preserve"> </w:t>
            </w:r>
            <w:r>
              <w:rPr>
                <w:sz w:val="18"/>
              </w:rPr>
              <w:t xml:space="preserve">individual </w:t>
            </w:r>
            <w:r>
              <w:rPr>
                <w:spacing w:val="-2"/>
                <w:sz w:val="18"/>
              </w:rPr>
              <w:t>account.</w:t>
            </w:r>
          </w:p>
          <w:p w14:paraId="576B6678" w14:textId="77777777" w:rsidR="00BC24A8" w:rsidRDefault="00000000">
            <w:pPr>
              <w:pStyle w:val="TableParagraph"/>
              <w:numPr>
                <w:ilvl w:val="0"/>
                <w:numId w:val="158"/>
              </w:numPr>
              <w:tabs>
                <w:tab w:val="left" w:pos="451"/>
              </w:tabs>
              <w:ind w:right="246"/>
              <w:rPr>
                <w:sz w:val="18"/>
              </w:rPr>
            </w:pPr>
            <w:r>
              <w:rPr>
                <w:sz w:val="18"/>
              </w:rPr>
              <w:t>Improved MSS performance</w:t>
            </w:r>
            <w:r>
              <w:rPr>
                <w:spacing w:val="-11"/>
                <w:sz w:val="18"/>
              </w:rPr>
              <w:t xml:space="preserve"> </w:t>
            </w:r>
            <w:r>
              <w:rPr>
                <w:sz w:val="18"/>
              </w:rPr>
              <w:t xml:space="preserve">index to inform DAU </w:t>
            </w:r>
            <w:r>
              <w:rPr>
                <w:spacing w:val="-2"/>
                <w:sz w:val="18"/>
              </w:rPr>
              <w:t>earmarked</w:t>
            </w:r>
            <w:r>
              <w:rPr>
                <w:sz w:val="18"/>
              </w:rPr>
              <w:t xml:space="preserve"> </w:t>
            </w:r>
            <w:r>
              <w:rPr>
                <w:spacing w:val="-2"/>
                <w:sz w:val="18"/>
              </w:rPr>
              <w:t>formulation.</w:t>
            </w:r>
          </w:p>
        </w:tc>
      </w:tr>
      <w:tr w:rsidR="00BC24A8" w14:paraId="6CF58E32" w14:textId="77777777">
        <w:trPr>
          <w:trHeight w:val="2476"/>
        </w:trPr>
        <w:tc>
          <w:tcPr>
            <w:tcW w:w="1627" w:type="dxa"/>
            <w:tcBorders>
              <w:top w:val="single" w:sz="4" w:space="0" w:color="BEBEBE"/>
              <w:bottom w:val="single" w:sz="4" w:space="0" w:color="BEBEBE"/>
            </w:tcBorders>
          </w:tcPr>
          <w:p w14:paraId="10EBE6DC" w14:textId="77777777" w:rsidR="00BC24A8" w:rsidRDefault="00000000">
            <w:pPr>
              <w:pStyle w:val="TableParagraph"/>
              <w:spacing w:before="61"/>
              <w:ind w:left="115" w:right="162"/>
              <w:rPr>
                <w:sz w:val="18"/>
              </w:rPr>
            </w:pPr>
            <w:r>
              <w:rPr>
                <w:sz w:val="18"/>
              </w:rPr>
              <w:t>IO</w:t>
            </w:r>
            <w:r>
              <w:rPr>
                <w:spacing w:val="-11"/>
                <w:sz w:val="18"/>
              </w:rPr>
              <w:t xml:space="preserve"> </w:t>
            </w:r>
            <w:r>
              <w:rPr>
                <w:sz w:val="18"/>
              </w:rPr>
              <w:t>1.2.</w:t>
            </w:r>
            <w:r>
              <w:rPr>
                <w:spacing w:val="-10"/>
                <w:sz w:val="18"/>
              </w:rPr>
              <w:t xml:space="preserve"> </w:t>
            </w:r>
            <w:r>
              <w:rPr>
                <w:sz w:val="18"/>
              </w:rPr>
              <w:t>Number</w:t>
            </w:r>
            <w:r>
              <w:rPr>
                <w:spacing w:val="-10"/>
                <w:sz w:val="18"/>
              </w:rPr>
              <w:t xml:space="preserve"> </w:t>
            </w:r>
            <w:r>
              <w:rPr>
                <w:sz w:val="18"/>
              </w:rPr>
              <w:t xml:space="preserve">of </w:t>
            </w:r>
            <w:r>
              <w:rPr>
                <w:spacing w:val="-2"/>
                <w:sz w:val="18"/>
              </w:rPr>
              <w:t>regulations,</w:t>
            </w:r>
            <w:r>
              <w:rPr>
                <w:sz w:val="18"/>
              </w:rPr>
              <w:t xml:space="preserve"> policies or guidelines</w:t>
            </w:r>
            <w:r>
              <w:rPr>
                <w:spacing w:val="-6"/>
                <w:sz w:val="18"/>
              </w:rPr>
              <w:t xml:space="preserve"> </w:t>
            </w:r>
            <w:r>
              <w:rPr>
                <w:sz w:val="18"/>
              </w:rPr>
              <w:t xml:space="preserve">issued by the national government to </w:t>
            </w:r>
            <w:r>
              <w:rPr>
                <w:spacing w:val="-2"/>
                <w:sz w:val="18"/>
              </w:rPr>
              <w:t>support</w:t>
            </w:r>
            <w:r>
              <w:rPr>
                <w:sz w:val="18"/>
              </w:rPr>
              <w:t xml:space="preserve"> </w:t>
            </w:r>
            <w:r>
              <w:rPr>
                <w:spacing w:val="-2"/>
                <w:sz w:val="18"/>
              </w:rPr>
              <w:t>subnational</w:t>
            </w:r>
            <w:r>
              <w:rPr>
                <w:sz w:val="18"/>
              </w:rPr>
              <w:t xml:space="preserve"> </w:t>
            </w:r>
            <w:r>
              <w:rPr>
                <w:spacing w:val="-2"/>
                <w:sz w:val="18"/>
              </w:rPr>
              <w:t>revenue</w:t>
            </w:r>
            <w:r>
              <w:rPr>
                <w:sz w:val="18"/>
              </w:rPr>
              <w:t xml:space="preserve"> generation with</w:t>
            </w:r>
          </w:p>
          <w:p w14:paraId="45044E87" w14:textId="77777777" w:rsidR="00BC24A8" w:rsidRDefault="00000000">
            <w:pPr>
              <w:pStyle w:val="TableParagraph"/>
              <w:spacing w:line="198" w:lineRule="exact"/>
              <w:ind w:left="115"/>
              <w:rPr>
                <w:sz w:val="18"/>
              </w:rPr>
            </w:pPr>
            <w:r>
              <w:rPr>
                <w:sz w:val="18"/>
              </w:rPr>
              <w:t>SKALA</w:t>
            </w:r>
            <w:r>
              <w:rPr>
                <w:spacing w:val="-6"/>
                <w:sz w:val="18"/>
              </w:rPr>
              <w:t xml:space="preserve"> </w:t>
            </w:r>
            <w:r>
              <w:rPr>
                <w:spacing w:val="-2"/>
                <w:sz w:val="18"/>
              </w:rPr>
              <w:t>support</w:t>
            </w:r>
          </w:p>
        </w:tc>
        <w:tc>
          <w:tcPr>
            <w:tcW w:w="1440" w:type="dxa"/>
            <w:tcBorders>
              <w:top w:val="single" w:sz="4" w:space="0" w:color="BEBEBE"/>
              <w:bottom w:val="single" w:sz="4" w:space="0" w:color="BEBEBE"/>
            </w:tcBorders>
          </w:tcPr>
          <w:p w14:paraId="51456B42" w14:textId="77777777" w:rsidR="00BC24A8" w:rsidRDefault="00000000">
            <w:pPr>
              <w:pStyle w:val="TableParagraph"/>
              <w:spacing w:before="66"/>
              <w:ind w:left="108"/>
              <w:rPr>
                <w:sz w:val="18"/>
              </w:rPr>
            </w:pPr>
            <w:r>
              <w:rPr>
                <w:spacing w:val="-10"/>
                <w:sz w:val="18"/>
              </w:rPr>
              <w:t>6</w:t>
            </w:r>
          </w:p>
          <w:p w14:paraId="6F309120" w14:textId="77777777" w:rsidR="00BC24A8" w:rsidRDefault="00000000">
            <w:pPr>
              <w:pStyle w:val="TableParagraph"/>
              <w:spacing w:before="1" w:line="219" w:lineRule="exact"/>
              <w:ind w:left="108"/>
              <w:rPr>
                <w:sz w:val="18"/>
              </w:rPr>
            </w:pPr>
            <w:r>
              <w:rPr>
                <w:sz w:val="18"/>
              </w:rPr>
              <w:t>(4</w:t>
            </w:r>
            <w:r>
              <w:rPr>
                <w:spacing w:val="-2"/>
                <w:sz w:val="18"/>
              </w:rPr>
              <w:t xml:space="preserve"> </w:t>
            </w:r>
            <w:r>
              <w:rPr>
                <w:sz w:val="18"/>
              </w:rPr>
              <w:t>regulation,</w:t>
            </w:r>
            <w:r>
              <w:rPr>
                <w:spacing w:val="-2"/>
                <w:sz w:val="18"/>
              </w:rPr>
              <w:t xml:space="preserve"> </w:t>
            </w:r>
            <w:r>
              <w:rPr>
                <w:spacing w:val="-10"/>
                <w:sz w:val="18"/>
              </w:rPr>
              <w:t>1</w:t>
            </w:r>
          </w:p>
          <w:p w14:paraId="353C63C6" w14:textId="77777777" w:rsidR="00BC24A8" w:rsidRDefault="00000000">
            <w:pPr>
              <w:pStyle w:val="TableParagraph"/>
              <w:spacing w:line="219" w:lineRule="exact"/>
              <w:ind w:left="108"/>
              <w:rPr>
                <w:sz w:val="18"/>
              </w:rPr>
            </w:pPr>
            <w:r>
              <w:rPr>
                <w:sz w:val="18"/>
              </w:rPr>
              <w:t>MoU,</w:t>
            </w:r>
            <w:r>
              <w:rPr>
                <w:spacing w:val="-5"/>
                <w:sz w:val="18"/>
              </w:rPr>
              <w:t xml:space="preserve"> </w:t>
            </w:r>
            <w:r>
              <w:rPr>
                <w:spacing w:val="-10"/>
                <w:sz w:val="18"/>
              </w:rPr>
              <w:t>1</w:t>
            </w:r>
          </w:p>
          <w:p w14:paraId="68CC732D" w14:textId="77777777" w:rsidR="00BC24A8" w:rsidRDefault="00000000">
            <w:pPr>
              <w:pStyle w:val="TableParagraph"/>
              <w:spacing w:before="1"/>
              <w:ind w:left="108"/>
              <w:rPr>
                <w:sz w:val="18"/>
              </w:rPr>
            </w:pPr>
            <w:r>
              <w:rPr>
                <w:spacing w:val="-2"/>
                <w:sz w:val="18"/>
              </w:rPr>
              <w:t>guideline)</w:t>
            </w:r>
          </w:p>
        </w:tc>
        <w:tc>
          <w:tcPr>
            <w:tcW w:w="1260" w:type="dxa"/>
            <w:tcBorders>
              <w:top w:val="single" w:sz="4" w:space="0" w:color="BEBEBE"/>
              <w:bottom w:val="single" w:sz="4" w:space="0" w:color="BEBEBE"/>
            </w:tcBorders>
          </w:tcPr>
          <w:p w14:paraId="066B73CC" w14:textId="77777777" w:rsidR="00BC24A8" w:rsidRDefault="00000000">
            <w:pPr>
              <w:pStyle w:val="TableParagraph"/>
              <w:spacing w:before="66"/>
              <w:ind w:left="108"/>
              <w:rPr>
                <w:sz w:val="18"/>
              </w:rPr>
            </w:pPr>
            <w:r>
              <w:rPr>
                <w:sz w:val="18"/>
              </w:rPr>
              <w:t xml:space="preserve">1 </w:t>
            </w:r>
            <w:r>
              <w:rPr>
                <w:spacing w:val="-2"/>
                <w:sz w:val="18"/>
              </w:rPr>
              <w:t>regulation</w:t>
            </w:r>
          </w:p>
        </w:tc>
        <w:tc>
          <w:tcPr>
            <w:tcW w:w="1350" w:type="dxa"/>
            <w:tcBorders>
              <w:top w:val="single" w:sz="4" w:space="0" w:color="BEBEBE"/>
              <w:bottom w:val="single" w:sz="4" w:space="0" w:color="BEBEBE"/>
            </w:tcBorders>
          </w:tcPr>
          <w:p w14:paraId="6346028B" w14:textId="77777777" w:rsidR="00BC24A8" w:rsidRDefault="00000000">
            <w:pPr>
              <w:pStyle w:val="TableParagraph"/>
              <w:spacing w:before="66"/>
              <w:ind w:left="108"/>
              <w:rPr>
                <w:sz w:val="18"/>
              </w:rPr>
            </w:pPr>
            <w:r>
              <w:rPr>
                <w:sz w:val="18"/>
              </w:rPr>
              <w:t xml:space="preserve">Not </w:t>
            </w:r>
            <w:r>
              <w:rPr>
                <w:spacing w:val="-2"/>
                <w:sz w:val="18"/>
              </w:rPr>
              <w:t>applicable</w:t>
            </w:r>
          </w:p>
        </w:tc>
        <w:tc>
          <w:tcPr>
            <w:tcW w:w="1350" w:type="dxa"/>
            <w:tcBorders>
              <w:top w:val="single" w:sz="4" w:space="0" w:color="BEBEBE"/>
              <w:bottom w:val="single" w:sz="4" w:space="0" w:color="BEBEBE"/>
            </w:tcBorders>
          </w:tcPr>
          <w:p w14:paraId="0FDC797F" w14:textId="77777777" w:rsidR="00BC24A8" w:rsidRDefault="00000000">
            <w:pPr>
              <w:pStyle w:val="TableParagraph"/>
              <w:spacing w:before="66"/>
              <w:ind w:left="107"/>
              <w:rPr>
                <w:sz w:val="18"/>
              </w:rPr>
            </w:pPr>
            <w:r>
              <w:rPr>
                <w:spacing w:val="-10"/>
                <w:sz w:val="18"/>
              </w:rPr>
              <w:t>7</w:t>
            </w:r>
          </w:p>
          <w:p w14:paraId="182DBF4D" w14:textId="77777777" w:rsidR="00BC24A8" w:rsidRDefault="00000000">
            <w:pPr>
              <w:pStyle w:val="TableParagraph"/>
              <w:spacing w:before="1" w:line="219" w:lineRule="exact"/>
              <w:ind w:left="147"/>
              <w:rPr>
                <w:sz w:val="18"/>
              </w:rPr>
            </w:pPr>
            <w:r>
              <w:rPr>
                <w:sz w:val="18"/>
              </w:rPr>
              <w:t>(5</w:t>
            </w:r>
            <w:r>
              <w:rPr>
                <w:spacing w:val="-1"/>
                <w:sz w:val="18"/>
              </w:rPr>
              <w:t xml:space="preserve"> </w:t>
            </w:r>
            <w:r>
              <w:rPr>
                <w:spacing w:val="-2"/>
                <w:sz w:val="18"/>
              </w:rPr>
              <w:t>regulation,</w:t>
            </w:r>
          </w:p>
          <w:p w14:paraId="2E10AF5C" w14:textId="77777777" w:rsidR="00BC24A8" w:rsidRDefault="00000000">
            <w:pPr>
              <w:pStyle w:val="TableParagraph"/>
              <w:spacing w:line="219" w:lineRule="exact"/>
              <w:ind w:left="107"/>
              <w:rPr>
                <w:sz w:val="18"/>
              </w:rPr>
            </w:pPr>
            <w:r>
              <w:rPr>
                <w:sz w:val="18"/>
              </w:rPr>
              <w:t>1</w:t>
            </w:r>
            <w:r>
              <w:rPr>
                <w:spacing w:val="-2"/>
                <w:sz w:val="18"/>
              </w:rPr>
              <w:t xml:space="preserve"> </w:t>
            </w:r>
            <w:r>
              <w:rPr>
                <w:sz w:val="18"/>
              </w:rPr>
              <w:t>MoU,</w:t>
            </w:r>
            <w:r>
              <w:rPr>
                <w:spacing w:val="-1"/>
                <w:sz w:val="18"/>
              </w:rPr>
              <w:t xml:space="preserve"> </w:t>
            </w:r>
            <w:r>
              <w:rPr>
                <w:spacing w:val="-10"/>
                <w:sz w:val="18"/>
              </w:rPr>
              <w:t>1</w:t>
            </w:r>
          </w:p>
          <w:p w14:paraId="512433B6" w14:textId="77777777" w:rsidR="00BC24A8" w:rsidRDefault="00000000">
            <w:pPr>
              <w:pStyle w:val="TableParagraph"/>
              <w:spacing w:before="1"/>
              <w:ind w:left="107"/>
              <w:rPr>
                <w:sz w:val="18"/>
              </w:rPr>
            </w:pPr>
            <w:r>
              <w:rPr>
                <w:spacing w:val="-2"/>
                <w:sz w:val="18"/>
              </w:rPr>
              <w:t>guideline)</w:t>
            </w:r>
          </w:p>
        </w:tc>
        <w:tc>
          <w:tcPr>
            <w:tcW w:w="2071" w:type="dxa"/>
            <w:tcBorders>
              <w:top w:val="single" w:sz="4" w:space="0" w:color="BEBEBE"/>
              <w:bottom w:val="single" w:sz="4" w:space="0" w:color="BEBEBE"/>
            </w:tcBorders>
          </w:tcPr>
          <w:p w14:paraId="74E0BE68" w14:textId="77777777" w:rsidR="00BC24A8" w:rsidRDefault="00000000">
            <w:pPr>
              <w:pStyle w:val="TableParagraph"/>
              <w:numPr>
                <w:ilvl w:val="0"/>
                <w:numId w:val="157"/>
              </w:numPr>
              <w:tabs>
                <w:tab w:val="left" w:pos="278"/>
              </w:tabs>
              <w:spacing w:before="66"/>
              <w:ind w:right="194"/>
              <w:rPr>
                <w:sz w:val="18"/>
              </w:rPr>
            </w:pPr>
            <w:r>
              <w:rPr>
                <w:sz w:val="18"/>
              </w:rPr>
              <w:t>MOF</w:t>
            </w:r>
            <w:r>
              <w:rPr>
                <w:spacing w:val="-11"/>
                <w:sz w:val="18"/>
              </w:rPr>
              <w:t xml:space="preserve"> </w:t>
            </w:r>
            <w:r>
              <w:rPr>
                <w:sz w:val="18"/>
              </w:rPr>
              <w:t>Regulation</w:t>
            </w:r>
            <w:r>
              <w:rPr>
                <w:spacing w:val="-10"/>
                <w:sz w:val="18"/>
              </w:rPr>
              <w:t xml:space="preserve"> </w:t>
            </w:r>
            <w:r>
              <w:rPr>
                <w:sz w:val="18"/>
              </w:rPr>
              <w:t xml:space="preserve">(PMK 7/2025) on guideline for regional tax inspection and </w:t>
            </w:r>
            <w:r>
              <w:rPr>
                <w:spacing w:val="-2"/>
                <w:sz w:val="18"/>
              </w:rPr>
              <w:t>collection.</w:t>
            </w:r>
          </w:p>
        </w:tc>
      </w:tr>
      <w:tr w:rsidR="00BC24A8" w14:paraId="01613258" w14:textId="77777777">
        <w:trPr>
          <w:trHeight w:val="3575"/>
        </w:trPr>
        <w:tc>
          <w:tcPr>
            <w:tcW w:w="1627" w:type="dxa"/>
            <w:tcBorders>
              <w:top w:val="single" w:sz="4" w:space="0" w:color="BEBEBE"/>
              <w:bottom w:val="single" w:sz="4" w:space="0" w:color="BEBEBE"/>
            </w:tcBorders>
          </w:tcPr>
          <w:p w14:paraId="235CFC17" w14:textId="77777777" w:rsidR="00BC24A8" w:rsidRDefault="00000000">
            <w:pPr>
              <w:pStyle w:val="TableParagraph"/>
              <w:spacing w:before="61"/>
              <w:ind w:left="115" w:right="162"/>
              <w:rPr>
                <w:sz w:val="18"/>
              </w:rPr>
            </w:pPr>
            <w:r>
              <w:rPr>
                <w:sz w:val="18"/>
              </w:rPr>
              <w:t>IO</w:t>
            </w:r>
            <w:r>
              <w:rPr>
                <w:spacing w:val="-11"/>
                <w:sz w:val="18"/>
              </w:rPr>
              <w:t xml:space="preserve"> </w:t>
            </w:r>
            <w:r>
              <w:rPr>
                <w:sz w:val="18"/>
              </w:rPr>
              <w:t>1.3.</w:t>
            </w:r>
            <w:r>
              <w:rPr>
                <w:spacing w:val="-10"/>
                <w:sz w:val="18"/>
              </w:rPr>
              <w:t xml:space="preserve"> </w:t>
            </w:r>
            <w:r>
              <w:rPr>
                <w:sz w:val="18"/>
              </w:rPr>
              <w:t>Number</w:t>
            </w:r>
            <w:r>
              <w:rPr>
                <w:spacing w:val="-10"/>
                <w:sz w:val="18"/>
              </w:rPr>
              <w:t xml:space="preserve"> </w:t>
            </w:r>
            <w:r>
              <w:rPr>
                <w:sz w:val="18"/>
              </w:rPr>
              <w:t xml:space="preserve">of issues raised by national or </w:t>
            </w:r>
            <w:r>
              <w:rPr>
                <w:spacing w:val="-2"/>
                <w:sz w:val="18"/>
              </w:rPr>
              <w:t>subnational</w:t>
            </w:r>
            <w:r>
              <w:rPr>
                <w:sz w:val="18"/>
              </w:rPr>
              <w:t xml:space="preserve"> </w:t>
            </w:r>
            <w:r>
              <w:rPr>
                <w:spacing w:val="-2"/>
                <w:sz w:val="18"/>
              </w:rPr>
              <w:t>stakeholders</w:t>
            </w:r>
            <w:r>
              <w:rPr>
                <w:sz w:val="18"/>
              </w:rPr>
              <w:t xml:space="preserve"> around PFM addressed or resolved with SKALA</w:t>
            </w:r>
            <w:r>
              <w:rPr>
                <w:spacing w:val="-2"/>
                <w:sz w:val="18"/>
              </w:rPr>
              <w:t xml:space="preserve"> </w:t>
            </w:r>
            <w:r>
              <w:rPr>
                <w:sz w:val="18"/>
              </w:rPr>
              <w:t>support.</w:t>
            </w:r>
          </w:p>
        </w:tc>
        <w:tc>
          <w:tcPr>
            <w:tcW w:w="1440" w:type="dxa"/>
            <w:tcBorders>
              <w:top w:val="single" w:sz="4" w:space="0" w:color="BEBEBE"/>
              <w:bottom w:val="single" w:sz="4" w:space="0" w:color="BEBEBE"/>
            </w:tcBorders>
          </w:tcPr>
          <w:p w14:paraId="413FD5CC" w14:textId="77777777" w:rsidR="00BC24A8" w:rsidRDefault="00000000">
            <w:pPr>
              <w:pStyle w:val="TableParagraph"/>
              <w:spacing w:before="66"/>
              <w:ind w:left="108"/>
              <w:rPr>
                <w:sz w:val="18"/>
              </w:rPr>
            </w:pPr>
            <w:r>
              <w:rPr>
                <w:sz w:val="18"/>
              </w:rPr>
              <w:t xml:space="preserve">7 </w:t>
            </w:r>
            <w:r>
              <w:rPr>
                <w:spacing w:val="-2"/>
                <w:sz w:val="18"/>
              </w:rPr>
              <w:t>issues</w:t>
            </w:r>
          </w:p>
        </w:tc>
        <w:tc>
          <w:tcPr>
            <w:tcW w:w="1260" w:type="dxa"/>
            <w:tcBorders>
              <w:top w:val="single" w:sz="4" w:space="0" w:color="BEBEBE"/>
              <w:bottom w:val="single" w:sz="4" w:space="0" w:color="BEBEBE"/>
            </w:tcBorders>
          </w:tcPr>
          <w:p w14:paraId="48F9CBF9" w14:textId="77777777" w:rsidR="00BC24A8" w:rsidRDefault="00000000">
            <w:pPr>
              <w:pStyle w:val="TableParagraph"/>
              <w:spacing w:before="66"/>
              <w:ind w:left="108"/>
              <w:rPr>
                <w:sz w:val="18"/>
              </w:rPr>
            </w:pPr>
            <w:r>
              <w:rPr>
                <w:sz w:val="18"/>
              </w:rPr>
              <w:t xml:space="preserve">4 </w:t>
            </w:r>
            <w:r>
              <w:rPr>
                <w:spacing w:val="-2"/>
                <w:sz w:val="18"/>
              </w:rPr>
              <w:t>issues</w:t>
            </w:r>
          </w:p>
        </w:tc>
        <w:tc>
          <w:tcPr>
            <w:tcW w:w="1350" w:type="dxa"/>
            <w:tcBorders>
              <w:top w:val="single" w:sz="4" w:space="0" w:color="BEBEBE"/>
              <w:bottom w:val="single" w:sz="4" w:space="0" w:color="BEBEBE"/>
            </w:tcBorders>
          </w:tcPr>
          <w:p w14:paraId="3212F9A2" w14:textId="77777777" w:rsidR="00BC24A8" w:rsidRDefault="00000000">
            <w:pPr>
              <w:pStyle w:val="TableParagraph"/>
              <w:spacing w:before="66"/>
              <w:ind w:left="108"/>
              <w:rPr>
                <w:sz w:val="18"/>
              </w:rPr>
            </w:pPr>
            <w:r>
              <w:rPr>
                <w:sz w:val="18"/>
              </w:rPr>
              <w:t xml:space="preserve">Not </w:t>
            </w:r>
            <w:r>
              <w:rPr>
                <w:spacing w:val="-2"/>
                <w:sz w:val="18"/>
              </w:rPr>
              <w:t>applicable</w:t>
            </w:r>
          </w:p>
        </w:tc>
        <w:tc>
          <w:tcPr>
            <w:tcW w:w="1350" w:type="dxa"/>
            <w:tcBorders>
              <w:top w:val="single" w:sz="4" w:space="0" w:color="BEBEBE"/>
              <w:bottom w:val="single" w:sz="4" w:space="0" w:color="BEBEBE"/>
            </w:tcBorders>
          </w:tcPr>
          <w:p w14:paraId="1CFF7E17" w14:textId="77777777" w:rsidR="00BC24A8" w:rsidRDefault="00000000">
            <w:pPr>
              <w:pStyle w:val="TableParagraph"/>
              <w:spacing w:before="68"/>
              <w:ind w:left="107"/>
              <w:rPr>
                <w:sz w:val="18"/>
              </w:rPr>
            </w:pPr>
            <w:r>
              <w:rPr>
                <w:sz w:val="18"/>
              </w:rPr>
              <w:t xml:space="preserve">11 </w:t>
            </w:r>
            <w:r>
              <w:rPr>
                <w:spacing w:val="-2"/>
                <w:sz w:val="18"/>
              </w:rPr>
              <w:t>issues</w:t>
            </w:r>
          </w:p>
        </w:tc>
        <w:tc>
          <w:tcPr>
            <w:tcW w:w="2071" w:type="dxa"/>
            <w:tcBorders>
              <w:top w:val="single" w:sz="4" w:space="0" w:color="BEBEBE"/>
              <w:bottom w:val="single" w:sz="4" w:space="0" w:color="BEBEBE"/>
            </w:tcBorders>
          </w:tcPr>
          <w:p w14:paraId="109501B7" w14:textId="77777777" w:rsidR="00BC24A8" w:rsidRDefault="00000000">
            <w:pPr>
              <w:pStyle w:val="TableParagraph"/>
              <w:numPr>
                <w:ilvl w:val="0"/>
                <w:numId w:val="156"/>
              </w:numPr>
              <w:tabs>
                <w:tab w:val="left" w:pos="278"/>
              </w:tabs>
              <w:spacing w:before="1"/>
              <w:ind w:right="194"/>
              <w:jc w:val="both"/>
              <w:rPr>
                <w:sz w:val="18"/>
              </w:rPr>
            </w:pPr>
            <w:r>
              <w:rPr>
                <w:sz w:val="18"/>
              </w:rPr>
              <w:t>Issues related to PFM that</w:t>
            </w:r>
            <w:r>
              <w:rPr>
                <w:spacing w:val="-11"/>
                <w:sz w:val="18"/>
              </w:rPr>
              <w:t xml:space="preserve"> </w:t>
            </w:r>
            <w:r>
              <w:rPr>
                <w:sz w:val="18"/>
              </w:rPr>
              <w:t>have</w:t>
            </w:r>
            <w:r>
              <w:rPr>
                <w:spacing w:val="-10"/>
                <w:sz w:val="18"/>
              </w:rPr>
              <w:t xml:space="preserve"> </w:t>
            </w:r>
            <w:r>
              <w:rPr>
                <w:sz w:val="18"/>
              </w:rPr>
              <w:t>been</w:t>
            </w:r>
            <w:r>
              <w:rPr>
                <w:spacing w:val="-10"/>
                <w:sz w:val="18"/>
              </w:rPr>
              <w:t xml:space="preserve"> </w:t>
            </w:r>
            <w:r>
              <w:rPr>
                <w:sz w:val="18"/>
              </w:rPr>
              <w:t>solved this semester:</w:t>
            </w:r>
          </w:p>
          <w:p w14:paraId="3F6F764A" w14:textId="77777777" w:rsidR="00BC24A8" w:rsidRDefault="00000000">
            <w:pPr>
              <w:pStyle w:val="TableParagraph"/>
              <w:numPr>
                <w:ilvl w:val="1"/>
                <w:numId w:val="156"/>
              </w:numPr>
              <w:tabs>
                <w:tab w:val="left" w:pos="451"/>
              </w:tabs>
              <w:spacing w:before="61"/>
              <w:ind w:right="185"/>
              <w:rPr>
                <w:sz w:val="18"/>
              </w:rPr>
            </w:pPr>
            <w:r>
              <w:rPr>
                <w:sz w:val="18"/>
              </w:rPr>
              <w:t>Challenges</w:t>
            </w:r>
            <w:r>
              <w:rPr>
                <w:spacing w:val="-11"/>
                <w:sz w:val="18"/>
              </w:rPr>
              <w:t xml:space="preserve"> </w:t>
            </w:r>
            <w:r>
              <w:rPr>
                <w:sz w:val="18"/>
              </w:rPr>
              <w:t>faced</w:t>
            </w:r>
            <w:r>
              <w:rPr>
                <w:spacing w:val="-10"/>
                <w:sz w:val="18"/>
              </w:rPr>
              <w:t xml:space="preserve"> </w:t>
            </w:r>
            <w:r>
              <w:rPr>
                <w:sz w:val="18"/>
              </w:rPr>
              <w:t>by subnational level regarding</w:t>
            </w:r>
            <w:r>
              <w:rPr>
                <w:spacing w:val="-2"/>
                <w:sz w:val="18"/>
              </w:rPr>
              <w:t xml:space="preserve"> </w:t>
            </w:r>
            <w:r>
              <w:rPr>
                <w:sz w:val="18"/>
              </w:rPr>
              <w:t>tax personnel</w:t>
            </w:r>
            <w:r>
              <w:rPr>
                <w:spacing w:val="-8"/>
                <w:sz w:val="18"/>
              </w:rPr>
              <w:t xml:space="preserve"> </w:t>
            </w:r>
            <w:r>
              <w:rPr>
                <w:sz w:val="18"/>
              </w:rPr>
              <w:t>capacity. This is addressed through PMK 7/2025 which regulate capacity building,</w:t>
            </w:r>
            <w:r>
              <w:rPr>
                <w:spacing w:val="-2"/>
                <w:sz w:val="18"/>
              </w:rPr>
              <w:t xml:space="preserve"> </w:t>
            </w:r>
            <w:r>
              <w:rPr>
                <w:sz w:val="18"/>
              </w:rPr>
              <w:t>training, and</w:t>
            </w:r>
            <w:r>
              <w:rPr>
                <w:spacing w:val="-11"/>
                <w:sz w:val="18"/>
              </w:rPr>
              <w:t xml:space="preserve"> </w:t>
            </w:r>
            <w:r>
              <w:rPr>
                <w:sz w:val="18"/>
              </w:rPr>
              <w:t>certification</w:t>
            </w:r>
            <w:r>
              <w:rPr>
                <w:spacing w:val="-10"/>
                <w:sz w:val="18"/>
              </w:rPr>
              <w:t xml:space="preserve"> </w:t>
            </w:r>
            <w:r>
              <w:rPr>
                <w:sz w:val="18"/>
              </w:rPr>
              <w:t>for tax</w:t>
            </w:r>
            <w:r>
              <w:rPr>
                <w:spacing w:val="-2"/>
                <w:sz w:val="18"/>
              </w:rPr>
              <w:t xml:space="preserve"> </w:t>
            </w:r>
            <w:r>
              <w:rPr>
                <w:sz w:val="18"/>
              </w:rPr>
              <w:t>personnel.</w:t>
            </w:r>
          </w:p>
          <w:p w14:paraId="3219C030" w14:textId="77777777" w:rsidR="00BC24A8" w:rsidRDefault="00000000">
            <w:pPr>
              <w:pStyle w:val="TableParagraph"/>
              <w:numPr>
                <w:ilvl w:val="1"/>
                <w:numId w:val="156"/>
              </w:numPr>
              <w:tabs>
                <w:tab w:val="left" w:pos="450"/>
              </w:tabs>
              <w:spacing w:line="219" w:lineRule="exact"/>
              <w:ind w:left="450" w:hanging="179"/>
              <w:rPr>
                <w:sz w:val="18"/>
              </w:rPr>
            </w:pPr>
            <w:r>
              <w:rPr>
                <w:sz w:val="18"/>
              </w:rPr>
              <w:t>The</w:t>
            </w:r>
            <w:r>
              <w:rPr>
                <w:spacing w:val="-3"/>
                <w:sz w:val="18"/>
              </w:rPr>
              <w:t xml:space="preserve"> </w:t>
            </w:r>
            <w:r>
              <w:rPr>
                <w:sz w:val="18"/>
              </w:rPr>
              <w:t>capacity</w:t>
            </w:r>
            <w:r>
              <w:rPr>
                <w:spacing w:val="-1"/>
                <w:sz w:val="18"/>
              </w:rPr>
              <w:t xml:space="preserve"> </w:t>
            </w:r>
            <w:r>
              <w:rPr>
                <w:spacing w:val="-5"/>
                <w:sz w:val="18"/>
              </w:rPr>
              <w:t>of</w:t>
            </w:r>
          </w:p>
          <w:p w14:paraId="20EEB9F8" w14:textId="77777777" w:rsidR="00BC24A8" w:rsidRDefault="00000000">
            <w:pPr>
              <w:pStyle w:val="TableParagraph"/>
              <w:spacing w:line="199" w:lineRule="exact"/>
              <w:ind w:left="451"/>
              <w:rPr>
                <w:sz w:val="18"/>
              </w:rPr>
            </w:pPr>
            <w:r>
              <w:rPr>
                <w:sz w:val="18"/>
              </w:rPr>
              <w:t>provincial</w:t>
            </w:r>
            <w:r>
              <w:rPr>
                <w:spacing w:val="-3"/>
                <w:sz w:val="18"/>
              </w:rPr>
              <w:t xml:space="preserve"> </w:t>
            </w:r>
            <w:r>
              <w:rPr>
                <w:sz w:val="18"/>
              </w:rPr>
              <w:t>level</w:t>
            </w:r>
            <w:r>
              <w:rPr>
                <w:spacing w:val="1"/>
                <w:sz w:val="18"/>
              </w:rPr>
              <w:t xml:space="preserve"> </w:t>
            </w:r>
            <w:r>
              <w:rPr>
                <w:spacing w:val="-5"/>
                <w:sz w:val="18"/>
              </w:rPr>
              <w:t>to</w:t>
            </w:r>
          </w:p>
        </w:tc>
      </w:tr>
    </w:tbl>
    <w:p w14:paraId="08D505E1" w14:textId="77777777" w:rsidR="00BC24A8" w:rsidRDefault="00BC24A8">
      <w:pPr>
        <w:pStyle w:val="TableParagraph"/>
        <w:spacing w:line="199" w:lineRule="exact"/>
        <w:rPr>
          <w:sz w:val="18"/>
        </w:rPr>
        <w:sectPr w:rsidR="00BC24A8">
          <w:pgSz w:w="11910" w:h="16840"/>
          <w:pgMar w:top="1320" w:right="850" w:bottom="1100" w:left="1275" w:header="0" w:footer="907" w:gutter="0"/>
          <w:cols w:space="720"/>
        </w:sectPr>
      </w:pPr>
    </w:p>
    <w:tbl>
      <w:tblPr>
        <w:tblW w:w="0" w:type="auto"/>
        <w:tblInd w:w="136" w:type="dxa"/>
        <w:tblLayout w:type="fixed"/>
        <w:tblCellMar>
          <w:left w:w="0" w:type="dxa"/>
          <w:right w:w="0" w:type="dxa"/>
        </w:tblCellMar>
        <w:tblLook w:val="01E0" w:firstRow="1" w:lastRow="1" w:firstColumn="1" w:lastColumn="1" w:noHBand="0" w:noVBand="0"/>
      </w:tblPr>
      <w:tblGrid>
        <w:gridCol w:w="1615"/>
        <w:gridCol w:w="1284"/>
        <w:gridCol w:w="1350"/>
        <w:gridCol w:w="1146"/>
        <w:gridCol w:w="1538"/>
        <w:gridCol w:w="2172"/>
      </w:tblGrid>
      <w:tr w:rsidR="00BC24A8" w14:paraId="63407918" w14:textId="77777777">
        <w:trPr>
          <w:trHeight w:val="5992"/>
        </w:trPr>
        <w:tc>
          <w:tcPr>
            <w:tcW w:w="1615" w:type="dxa"/>
            <w:tcBorders>
              <w:top w:val="single" w:sz="4" w:space="0" w:color="BEBEBE"/>
              <w:bottom w:val="single" w:sz="4" w:space="0" w:color="BEBEBE"/>
            </w:tcBorders>
          </w:tcPr>
          <w:p w14:paraId="6F4F4D25" w14:textId="77777777" w:rsidR="00BC24A8" w:rsidRDefault="00BC24A8">
            <w:pPr>
              <w:pStyle w:val="TableParagraph"/>
              <w:rPr>
                <w:rFonts w:ascii="Times New Roman"/>
                <w:sz w:val="16"/>
              </w:rPr>
            </w:pPr>
          </w:p>
        </w:tc>
        <w:tc>
          <w:tcPr>
            <w:tcW w:w="1284" w:type="dxa"/>
            <w:tcBorders>
              <w:top w:val="single" w:sz="4" w:space="0" w:color="BEBEBE"/>
              <w:bottom w:val="single" w:sz="4" w:space="0" w:color="BEBEBE"/>
            </w:tcBorders>
          </w:tcPr>
          <w:p w14:paraId="504F89ED" w14:textId="77777777" w:rsidR="00BC24A8" w:rsidRDefault="00BC24A8">
            <w:pPr>
              <w:pStyle w:val="TableParagraph"/>
              <w:rPr>
                <w:rFonts w:ascii="Times New Roman"/>
                <w:sz w:val="16"/>
              </w:rPr>
            </w:pPr>
          </w:p>
        </w:tc>
        <w:tc>
          <w:tcPr>
            <w:tcW w:w="1350" w:type="dxa"/>
            <w:tcBorders>
              <w:top w:val="single" w:sz="4" w:space="0" w:color="BEBEBE"/>
              <w:bottom w:val="single" w:sz="4" w:space="0" w:color="BEBEBE"/>
            </w:tcBorders>
          </w:tcPr>
          <w:p w14:paraId="166B2689" w14:textId="77777777" w:rsidR="00BC24A8" w:rsidRDefault="00BC24A8">
            <w:pPr>
              <w:pStyle w:val="TableParagraph"/>
              <w:rPr>
                <w:rFonts w:ascii="Times New Roman"/>
                <w:sz w:val="16"/>
              </w:rPr>
            </w:pPr>
          </w:p>
        </w:tc>
        <w:tc>
          <w:tcPr>
            <w:tcW w:w="1146" w:type="dxa"/>
            <w:tcBorders>
              <w:top w:val="single" w:sz="4" w:space="0" w:color="BEBEBE"/>
              <w:bottom w:val="single" w:sz="4" w:space="0" w:color="BEBEBE"/>
            </w:tcBorders>
          </w:tcPr>
          <w:p w14:paraId="27B21CA7" w14:textId="77777777" w:rsidR="00BC24A8" w:rsidRDefault="00BC24A8">
            <w:pPr>
              <w:pStyle w:val="TableParagraph"/>
              <w:rPr>
                <w:rFonts w:ascii="Times New Roman"/>
                <w:sz w:val="16"/>
              </w:rPr>
            </w:pPr>
          </w:p>
        </w:tc>
        <w:tc>
          <w:tcPr>
            <w:tcW w:w="1538" w:type="dxa"/>
            <w:tcBorders>
              <w:top w:val="single" w:sz="4" w:space="0" w:color="BEBEBE"/>
              <w:bottom w:val="single" w:sz="4" w:space="0" w:color="BEBEBE"/>
            </w:tcBorders>
          </w:tcPr>
          <w:p w14:paraId="7702060F" w14:textId="77777777" w:rsidR="00BC24A8" w:rsidRDefault="00BC24A8">
            <w:pPr>
              <w:pStyle w:val="TableParagraph"/>
              <w:rPr>
                <w:rFonts w:ascii="Times New Roman"/>
                <w:sz w:val="16"/>
              </w:rPr>
            </w:pPr>
          </w:p>
        </w:tc>
        <w:tc>
          <w:tcPr>
            <w:tcW w:w="2172" w:type="dxa"/>
            <w:tcBorders>
              <w:top w:val="single" w:sz="4" w:space="0" w:color="BEBEBE"/>
              <w:bottom w:val="single" w:sz="4" w:space="0" w:color="BEBEBE"/>
            </w:tcBorders>
          </w:tcPr>
          <w:p w14:paraId="23AF7406" w14:textId="77777777" w:rsidR="00BC24A8" w:rsidRDefault="00000000">
            <w:pPr>
              <w:pStyle w:val="TableParagraph"/>
              <w:spacing w:before="1"/>
              <w:ind w:left="552" w:right="124"/>
              <w:rPr>
                <w:sz w:val="18"/>
              </w:rPr>
            </w:pPr>
            <w:r>
              <w:rPr>
                <w:sz w:val="18"/>
              </w:rPr>
              <w:t>ensure</w:t>
            </w:r>
            <w:r>
              <w:rPr>
                <w:spacing w:val="-2"/>
                <w:sz w:val="18"/>
              </w:rPr>
              <w:t xml:space="preserve"> </w:t>
            </w:r>
            <w:r>
              <w:rPr>
                <w:sz w:val="18"/>
              </w:rPr>
              <w:t>synergy between national macro</w:t>
            </w:r>
            <w:r>
              <w:rPr>
                <w:spacing w:val="-11"/>
                <w:sz w:val="18"/>
              </w:rPr>
              <w:t xml:space="preserve"> </w:t>
            </w:r>
            <w:r>
              <w:rPr>
                <w:sz w:val="18"/>
              </w:rPr>
              <w:t>economy</w:t>
            </w:r>
            <w:r>
              <w:rPr>
                <w:spacing w:val="-10"/>
                <w:sz w:val="18"/>
              </w:rPr>
              <w:t xml:space="preserve"> </w:t>
            </w:r>
            <w:r>
              <w:rPr>
                <w:sz w:val="18"/>
              </w:rPr>
              <w:t>and fiscal policy and regional budget policy.</w:t>
            </w:r>
            <w:r>
              <w:rPr>
                <w:spacing w:val="-11"/>
                <w:sz w:val="18"/>
              </w:rPr>
              <w:t xml:space="preserve"> </w:t>
            </w:r>
            <w:r>
              <w:rPr>
                <w:sz w:val="18"/>
              </w:rPr>
              <w:t>This</w:t>
            </w:r>
            <w:r>
              <w:rPr>
                <w:spacing w:val="-10"/>
                <w:sz w:val="18"/>
              </w:rPr>
              <w:t xml:space="preserve"> </w:t>
            </w:r>
            <w:r>
              <w:rPr>
                <w:sz w:val="18"/>
              </w:rPr>
              <w:t>has</w:t>
            </w:r>
            <w:r>
              <w:rPr>
                <w:spacing w:val="-10"/>
                <w:sz w:val="18"/>
              </w:rPr>
              <w:t xml:space="preserve"> </w:t>
            </w:r>
            <w:r>
              <w:rPr>
                <w:sz w:val="18"/>
              </w:rPr>
              <w:t>been addressed through share cost training and certification of provincial</w:t>
            </w:r>
            <w:r>
              <w:rPr>
                <w:spacing w:val="-11"/>
                <w:sz w:val="18"/>
              </w:rPr>
              <w:t xml:space="preserve"> </w:t>
            </w:r>
            <w:r>
              <w:rPr>
                <w:sz w:val="18"/>
              </w:rPr>
              <w:t>personnel to</w:t>
            </w:r>
            <w:r>
              <w:rPr>
                <w:spacing w:val="-2"/>
                <w:sz w:val="18"/>
              </w:rPr>
              <w:t xml:space="preserve"> </w:t>
            </w:r>
            <w:r>
              <w:rPr>
                <w:sz w:val="18"/>
              </w:rPr>
              <w:t xml:space="preserve">conduct </w:t>
            </w:r>
            <w:r>
              <w:rPr>
                <w:i/>
                <w:sz w:val="18"/>
              </w:rPr>
              <w:t>Korbinwas</w:t>
            </w:r>
            <w:r>
              <w:rPr>
                <w:i/>
                <w:spacing w:val="-2"/>
                <w:sz w:val="18"/>
              </w:rPr>
              <w:t xml:space="preserve"> </w:t>
            </w:r>
            <w:r>
              <w:rPr>
                <w:sz w:val="18"/>
              </w:rPr>
              <w:t xml:space="preserve">to </w:t>
            </w:r>
            <w:r>
              <w:rPr>
                <w:spacing w:val="-2"/>
                <w:sz w:val="18"/>
              </w:rPr>
              <w:t>districts/cities.</w:t>
            </w:r>
          </w:p>
          <w:p w14:paraId="1D02C659" w14:textId="77777777" w:rsidR="00BC24A8" w:rsidRDefault="00000000">
            <w:pPr>
              <w:pStyle w:val="TableParagraph"/>
              <w:ind w:left="552" w:right="161" w:hanging="180"/>
              <w:rPr>
                <w:sz w:val="18"/>
              </w:rPr>
            </w:pPr>
            <w:r>
              <w:rPr>
                <w:sz w:val="18"/>
              </w:rPr>
              <w:t>c.</w:t>
            </w:r>
            <w:r>
              <w:rPr>
                <w:spacing w:val="29"/>
                <w:sz w:val="18"/>
              </w:rPr>
              <w:t xml:space="preserve"> </w:t>
            </w:r>
            <w:r>
              <w:rPr>
                <w:sz w:val="18"/>
              </w:rPr>
              <w:t>Issue around DAU SG formulation; SKALA</w:t>
            </w:r>
            <w:r>
              <w:rPr>
                <w:spacing w:val="-2"/>
                <w:sz w:val="18"/>
              </w:rPr>
              <w:t xml:space="preserve"> </w:t>
            </w:r>
            <w:r>
              <w:rPr>
                <w:sz w:val="18"/>
              </w:rPr>
              <w:t>supported the calculation of MSS Performance Index for 2024, in health,</w:t>
            </w:r>
            <w:r>
              <w:rPr>
                <w:spacing w:val="-2"/>
                <w:sz w:val="18"/>
              </w:rPr>
              <w:t xml:space="preserve"> </w:t>
            </w:r>
            <w:r>
              <w:rPr>
                <w:sz w:val="18"/>
              </w:rPr>
              <w:t>education, and</w:t>
            </w:r>
            <w:r>
              <w:rPr>
                <w:spacing w:val="-1"/>
                <w:sz w:val="18"/>
              </w:rPr>
              <w:t xml:space="preserve"> </w:t>
            </w:r>
            <w:r>
              <w:rPr>
                <w:spacing w:val="-2"/>
                <w:sz w:val="18"/>
              </w:rPr>
              <w:t>infrastructure.</w:t>
            </w:r>
          </w:p>
          <w:p w14:paraId="0E8018B4" w14:textId="77777777" w:rsidR="00BC24A8" w:rsidRDefault="00000000">
            <w:pPr>
              <w:pStyle w:val="TableParagraph"/>
              <w:ind w:left="552" w:right="123" w:hanging="180"/>
              <w:rPr>
                <w:sz w:val="18"/>
              </w:rPr>
            </w:pPr>
            <w:r>
              <w:rPr>
                <w:sz w:val="18"/>
              </w:rPr>
              <w:t>d. Issue on chart account</w:t>
            </w:r>
            <w:r>
              <w:rPr>
                <w:spacing w:val="-11"/>
                <w:sz w:val="18"/>
              </w:rPr>
              <w:t xml:space="preserve"> </w:t>
            </w:r>
            <w:r>
              <w:rPr>
                <w:sz w:val="18"/>
              </w:rPr>
              <w:t>synergy</w:t>
            </w:r>
            <w:r>
              <w:rPr>
                <w:spacing w:val="-10"/>
                <w:sz w:val="18"/>
              </w:rPr>
              <w:t xml:space="preserve"> </w:t>
            </w:r>
            <w:r>
              <w:rPr>
                <w:sz w:val="18"/>
              </w:rPr>
              <w:t xml:space="preserve">has been regulated in the recent MOF Regulation (PMK </w:t>
            </w:r>
            <w:r>
              <w:rPr>
                <w:spacing w:val="-2"/>
                <w:sz w:val="18"/>
              </w:rPr>
              <w:t>42/2025)</w:t>
            </w:r>
          </w:p>
        </w:tc>
      </w:tr>
      <w:tr w:rsidR="00BC24A8" w14:paraId="1FC3438D" w14:textId="77777777">
        <w:trPr>
          <w:trHeight w:val="3801"/>
        </w:trPr>
        <w:tc>
          <w:tcPr>
            <w:tcW w:w="1615" w:type="dxa"/>
            <w:tcBorders>
              <w:top w:val="single" w:sz="4" w:space="0" w:color="BEBEBE"/>
              <w:bottom w:val="single" w:sz="4" w:space="0" w:color="BEBEBE"/>
            </w:tcBorders>
          </w:tcPr>
          <w:p w14:paraId="3B728767" w14:textId="77777777" w:rsidR="00BC24A8" w:rsidRDefault="00000000">
            <w:pPr>
              <w:pStyle w:val="TableParagraph"/>
              <w:spacing w:before="61"/>
              <w:ind w:left="122" w:right="142"/>
              <w:rPr>
                <w:sz w:val="18"/>
              </w:rPr>
            </w:pPr>
            <w:r>
              <w:rPr>
                <w:sz w:val="18"/>
              </w:rPr>
              <w:t>IO</w:t>
            </w:r>
            <w:r>
              <w:rPr>
                <w:spacing w:val="-11"/>
                <w:sz w:val="18"/>
              </w:rPr>
              <w:t xml:space="preserve"> </w:t>
            </w:r>
            <w:r>
              <w:rPr>
                <w:sz w:val="18"/>
              </w:rPr>
              <w:t>1.4.</w:t>
            </w:r>
            <w:r>
              <w:rPr>
                <w:spacing w:val="-10"/>
                <w:sz w:val="18"/>
              </w:rPr>
              <w:t xml:space="preserve"> </w:t>
            </w:r>
            <w:r>
              <w:rPr>
                <w:sz w:val="18"/>
              </w:rPr>
              <w:t>Number</w:t>
            </w:r>
            <w:r>
              <w:rPr>
                <w:spacing w:val="-10"/>
                <w:sz w:val="18"/>
              </w:rPr>
              <w:t xml:space="preserve"> </w:t>
            </w:r>
            <w:r>
              <w:rPr>
                <w:sz w:val="18"/>
              </w:rPr>
              <w:t xml:space="preserve">of </w:t>
            </w:r>
            <w:r>
              <w:rPr>
                <w:spacing w:val="-2"/>
                <w:sz w:val="18"/>
              </w:rPr>
              <w:t>regulations,</w:t>
            </w:r>
            <w:r>
              <w:rPr>
                <w:sz w:val="18"/>
              </w:rPr>
              <w:t xml:space="preserve"> policies or guidelines</w:t>
            </w:r>
            <w:r>
              <w:rPr>
                <w:spacing w:val="-6"/>
                <w:sz w:val="18"/>
              </w:rPr>
              <w:t xml:space="preserve"> </w:t>
            </w:r>
            <w:r>
              <w:rPr>
                <w:sz w:val="18"/>
              </w:rPr>
              <w:t>issued by the national government to improve</w:t>
            </w:r>
            <w:r>
              <w:rPr>
                <w:spacing w:val="-2"/>
                <w:sz w:val="18"/>
              </w:rPr>
              <w:t xml:space="preserve"> </w:t>
            </w:r>
            <w:r>
              <w:rPr>
                <w:sz w:val="18"/>
              </w:rPr>
              <w:t xml:space="preserve">the management of </w:t>
            </w:r>
            <w:r>
              <w:rPr>
                <w:spacing w:val="-2"/>
                <w:sz w:val="18"/>
              </w:rPr>
              <w:t>autonomous</w:t>
            </w:r>
            <w:r>
              <w:rPr>
                <w:sz w:val="18"/>
              </w:rPr>
              <w:t xml:space="preserve"> regions funding (OTSUS funding) with SKALA </w:t>
            </w:r>
            <w:r>
              <w:rPr>
                <w:spacing w:val="-2"/>
                <w:sz w:val="18"/>
              </w:rPr>
              <w:t>support.</w:t>
            </w:r>
          </w:p>
        </w:tc>
        <w:tc>
          <w:tcPr>
            <w:tcW w:w="1284" w:type="dxa"/>
            <w:tcBorders>
              <w:top w:val="single" w:sz="4" w:space="0" w:color="BEBEBE"/>
              <w:bottom w:val="single" w:sz="4" w:space="0" w:color="BEBEBE"/>
            </w:tcBorders>
          </w:tcPr>
          <w:p w14:paraId="33C153A9" w14:textId="77777777" w:rsidR="00BC24A8" w:rsidRDefault="00000000">
            <w:pPr>
              <w:pStyle w:val="TableParagraph"/>
              <w:spacing w:before="66"/>
              <w:ind w:left="127"/>
              <w:rPr>
                <w:sz w:val="18"/>
              </w:rPr>
            </w:pPr>
            <w:r>
              <w:rPr>
                <w:sz w:val="18"/>
              </w:rPr>
              <w:t xml:space="preserve">1 </w:t>
            </w:r>
            <w:r>
              <w:rPr>
                <w:spacing w:val="-2"/>
                <w:sz w:val="18"/>
              </w:rPr>
              <w:t>regulation</w:t>
            </w:r>
          </w:p>
        </w:tc>
        <w:tc>
          <w:tcPr>
            <w:tcW w:w="1350" w:type="dxa"/>
            <w:tcBorders>
              <w:top w:val="single" w:sz="4" w:space="0" w:color="BEBEBE"/>
              <w:bottom w:val="single" w:sz="4" w:space="0" w:color="BEBEBE"/>
            </w:tcBorders>
          </w:tcPr>
          <w:p w14:paraId="1AB33AB0" w14:textId="77777777" w:rsidR="00BC24A8" w:rsidRDefault="00000000">
            <w:pPr>
              <w:pStyle w:val="TableParagraph"/>
              <w:spacing w:before="66"/>
              <w:ind w:left="283"/>
              <w:rPr>
                <w:sz w:val="18"/>
              </w:rPr>
            </w:pPr>
            <w:r>
              <w:rPr>
                <w:sz w:val="18"/>
              </w:rPr>
              <w:t xml:space="preserve">1 </w:t>
            </w:r>
            <w:r>
              <w:rPr>
                <w:spacing w:val="-2"/>
                <w:sz w:val="18"/>
              </w:rPr>
              <w:t>regulation</w:t>
            </w:r>
          </w:p>
        </w:tc>
        <w:tc>
          <w:tcPr>
            <w:tcW w:w="1146" w:type="dxa"/>
            <w:tcBorders>
              <w:top w:val="single" w:sz="4" w:space="0" w:color="BEBEBE"/>
              <w:bottom w:val="single" w:sz="4" w:space="0" w:color="BEBEBE"/>
            </w:tcBorders>
          </w:tcPr>
          <w:p w14:paraId="68DF1F91" w14:textId="77777777" w:rsidR="00BC24A8" w:rsidRDefault="00000000">
            <w:pPr>
              <w:pStyle w:val="TableParagraph"/>
              <w:spacing w:before="66"/>
              <w:ind w:left="193"/>
              <w:rPr>
                <w:sz w:val="18"/>
              </w:rPr>
            </w:pPr>
            <w:r>
              <w:rPr>
                <w:sz w:val="18"/>
              </w:rPr>
              <w:t>1</w:t>
            </w:r>
            <w:r>
              <w:rPr>
                <w:spacing w:val="-2"/>
                <w:sz w:val="18"/>
              </w:rPr>
              <w:t xml:space="preserve"> policy</w:t>
            </w:r>
          </w:p>
        </w:tc>
        <w:tc>
          <w:tcPr>
            <w:tcW w:w="1538" w:type="dxa"/>
            <w:tcBorders>
              <w:top w:val="single" w:sz="4" w:space="0" w:color="BEBEBE"/>
              <w:bottom w:val="single" w:sz="4" w:space="0" w:color="BEBEBE"/>
            </w:tcBorders>
          </w:tcPr>
          <w:p w14:paraId="52CAEF44" w14:textId="77777777" w:rsidR="00BC24A8" w:rsidRDefault="00000000">
            <w:pPr>
              <w:pStyle w:val="TableParagraph"/>
              <w:spacing w:before="66"/>
              <w:ind w:left="396"/>
              <w:rPr>
                <w:sz w:val="18"/>
              </w:rPr>
            </w:pPr>
            <w:r>
              <w:rPr>
                <w:sz w:val="18"/>
              </w:rPr>
              <w:t xml:space="preserve">2 </w:t>
            </w:r>
            <w:r>
              <w:rPr>
                <w:spacing w:val="-2"/>
                <w:sz w:val="18"/>
              </w:rPr>
              <w:t>regulations</w:t>
            </w:r>
          </w:p>
        </w:tc>
        <w:tc>
          <w:tcPr>
            <w:tcW w:w="2172" w:type="dxa"/>
            <w:tcBorders>
              <w:top w:val="single" w:sz="4" w:space="0" w:color="BEBEBE"/>
              <w:bottom w:val="single" w:sz="4" w:space="0" w:color="BEBEBE"/>
            </w:tcBorders>
          </w:tcPr>
          <w:p w14:paraId="4E49EBA1" w14:textId="77777777" w:rsidR="00BC24A8" w:rsidRDefault="00000000">
            <w:pPr>
              <w:pStyle w:val="TableParagraph"/>
              <w:numPr>
                <w:ilvl w:val="0"/>
                <w:numId w:val="155"/>
              </w:numPr>
              <w:tabs>
                <w:tab w:val="left" w:pos="379"/>
              </w:tabs>
              <w:spacing w:before="126"/>
              <w:ind w:right="110"/>
              <w:rPr>
                <w:sz w:val="18"/>
              </w:rPr>
            </w:pPr>
            <w:r>
              <w:rPr>
                <w:sz w:val="18"/>
              </w:rPr>
              <w:t>Permen Bappenas 1/2025 on Otsus Planning</w:t>
            </w:r>
            <w:r>
              <w:rPr>
                <w:spacing w:val="-2"/>
                <w:sz w:val="18"/>
              </w:rPr>
              <w:t xml:space="preserve"> </w:t>
            </w:r>
            <w:r>
              <w:rPr>
                <w:sz w:val="18"/>
              </w:rPr>
              <w:t>Provinces (Musrenbang)</w:t>
            </w:r>
            <w:r>
              <w:rPr>
                <w:spacing w:val="-11"/>
                <w:sz w:val="18"/>
              </w:rPr>
              <w:t xml:space="preserve"> </w:t>
            </w:r>
            <w:r>
              <w:rPr>
                <w:sz w:val="18"/>
              </w:rPr>
              <w:t>in</w:t>
            </w:r>
            <w:r>
              <w:rPr>
                <w:spacing w:val="-10"/>
                <w:sz w:val="18"/>
              </w:rPr>
              <w:t xml:space="preserve"> </w:t>
            </w:r>
            <w:r>
              <w:rPr>
                <w:sz w:val="18"/>
              </w:rPr>
              <w:t xml:space="preserve">Tanah </w:t>
            </w:r>
            <w:r>
              <w:rPr>
                <w:spacing w:val="-2"/>
                <w:sz w:val="18"/>
              </w:rPr>
              <w:t>Papua</w:t>
            </w:r>
          </w:p>
          <w:p w14:paraId="04E156DC" w14:textId="77777777" w:rsidR="00BC24A8" w:rsidRDefault="00000000">
            <w:pPr>
              <w:pStyle w:val="TableParagraph"/>
              <w:spacing w:before="60"/>
              <w:ind w:left="372"/>
              <w:rPr>
                <w:sz w:val="18"/>
              </w:rPr>
            </w:pPr>
            <w:r>
              <w:rPr>
                <w:sz w:val="18"/>
              </w:rPr>
              <w:t>On</w:t>
            </w:r>
            <w:r>
              <w:rPr>
                <w:spacing w:val="-1"/>
                <w:sz w:val="18"/>
              </w:rPr>
              <w:t xml:space="preserve"> </w:t>
            </w:r>
            <w:r>
              <w:rPr>
                <w:spacing w:val="-2"/>
                <w:sz w:val="18"/>
              </w:rPr>
              <w:t>progress:</w:t>
            </w:r>
          </w:p>
          <w:p w14:paraId="53CDE174" w14:textId="77777777" w:rsidR="00BC24A8" w:rsidRDefault="00000000">
            <w:pPr>
              <w:pStyle w:val="TableParagraph"/>
              <w:numPr>
                <w:ilvl w:val="1"/>
                <w:numId w:val="155"/>
              </w:numPr>
              <w:tabs>
                <w:tab w:val="left" w:pos="552"/>
              </w:tabs>
              <w:spacing w:before="59"/>
              <w:ind w:right="107"/>
              <w:rPr>
                <w:sz w:val="18"/>
              </w:rPr>
            </w:pPr>
            <w:r>
              <w:rPr>
                <w:sz w:val="18"/>
              </w:rPr>
              <w:t xml:space="preserve">Drafted Bappenas </w:t>
            </w:r>
            <w:r>
              <w:rPr>
                <w:spacing w:val="-2"/>
                <w:sz w:val="18"/>
              </w:rPr>
              <w:t>Ministerial</w:t>
            </w:r>
            <w:r>
              <w:rPr>
                <w:sz w:val="18"/>
              </w:rPr>
              <w:t xml:space="preserve"> Regulation</w:t>
            </w:r>
            <w:r>
              <w:rPr>
                <w:spacing w:val="-11"/>
                <w:sz w:val="18"/>
              </w:rPr>
              <w:t xml:space="preserve"> </w:t>
            </w:r>
            <w:r>
              <w:rPr>
                <w:sz w:val="18"/>
              </w:rPr>
              <w:t xml:space="preserve">regarding the National Action Plan for the Acceleration of </w:t>
            </w:r>
            <w:r>
              <w:rPr>
                <w:spacing w:val="-2"/>
                <w:sz w:val="18"/>
              </w:rPr>
              <w:t>Papuan</w:t>
            </w:r>
            <w:r>
              <w:rPr>
                <w:spacing w:val="40"/>
                <w:sz w:val="18"/>
              </w:rPr>
              <w:t xml:space="preserve"> </w:t>
            </w:r>
            <w:r>
              <w:rPr>
                <w:sz w:val="18"/>
              </w:rPr>
              <w:t>Development 2025-</w:t>
            </w:r>
          </w:p>
          <w:p w14:paraId="1C4F0D70" w14:textId="77777777" w:rsidR="00BC24A8" w:rsidRDefault="00000000">
            <w:pPr>
              <w:pStyle w:val="TableParagraph"/>
              <w:spacing w:before="2"/>
              <w:ind w:left="552" w:right="161"/>
              <w:rPr>
                <w:sz w:val="18"/>
              </w:rPr>
            </w:pPr>
            <w:r>
              <w:rPr>
                <w:sz w:val="18"/>
              </w:rPr>
              <w:t>2029</w:t>
            </w:r>
            <w:r>
              <w:rPr>
                <w:spacing w:val="-11"/>
                <w:sz w:val="18"/>
              </w:rPr>
              <w:t xml:space="preserve"> </w:t>
            </w:r>
            <w:r>
              <w:rPr>
                <w:sz w:val="18"/>
              </w:rPr>
              <w:t>is</w:t>
            </w:r>
            <w:r>
              <w:rPr>
                <w:spacing w:val="-10"/>
                <w:sz w:val="18"/>
              </w:rPr>
              <w:t xml:space="preserve"> </w:t>
            </w:r>
            <w:r>
              <w:rPr>
                <w:sz w:val="18"/>
              </w:rPr>
              <w:t xml:space="preserve">under </w:t>
            </w:r>
            <w:r>
              <w:rPr>
                <w:spacing w:val="-2"/>
                <w:sz w:val="18"/>
              </w:rPr>
              <w:t>reviewed.</w:t>
            </w:r>
          </w:p>
        </w:tc>
      </w:tr>
      <w:tr w:rsidR="00BC24A8" w14:paraId="39B7BD27" w14:textId="77777777">
        <w:trPr>
          <w:trHeight w:val="3796"/>
        </w:trPr>
        <w:tc>
          <w:tcPr>
            <w:tcW w:w="1615" w:type="dxa"/>
            <w:tcBorders>
              <w:top w:val="single" w:sz="4" w:space="0" w:color="BEBEBE"/>
              <w:bottom w:val="single" w:sz="4" w:space="0" w:color="BEBEBE"/>
            </w:tcBorders>
          </w:tcPr>
          <w:p w14:paraId="2103451A" w14:textId="77777777" w:rsidR="00BC24A8" w:rsidRDefault="00000000">
            <w:pPr>
              <w:pStyle w:val="TableParagraph"/>
              <w:spacing w:before="61"/>
              <w:ind w:left="122" w:right="125"/>
              <w:rPr>
                <w:sz w:val="18"/>
              </w:rPr>
            </w:pPr>
            <w:r>
              <w:rPr>
                <w:sz w:val="18"/>
              </w:rPr>
              <w:t xml:space="preserve">IO 1.5. Number of improved policies, </w:t>
            </w:r>
            <w:r>
              <w:rPr>
                <w:spacing w:val="-2"/>
                <w:sz w:val="18"/>
              </w:rPr>
              <w:t>guidelines,</w:t>
            </w:r>
            <w:r>
              <w:rPr>
                <w:spacing w:val="40"/>
                <w:sz w:val="18"/>
              </w:rPr>
              <w:t xml:space="preserve"> </w:t>
            </w:r>
            <w:r>
              <w:rPr>
                <w:sz w:val="18"/>
              </w:rPr>
              <w:t>capacity building materials</w:t>
            </w:r>
            <w:r>
              <w:rPr>
                <w:spacing w:val="-11"/>
                <w:sz w:val="18"/>
              </w:rPr>
              <w:t xml:space="preserve"> </w:t>
            </w:r>
            <w:r>
              <w:rPr>
                <w:sz w:val="18"/>
              </w:rPr>
              <w:t>issued</w:t>
            </w:r>
            <w:r>
              <w:rPr>
                <w:spacing w:val="-10"/>
                <w:sz w:val="18"/>
              </w:rPr>
              <w:t xml:space="preserve"> </w:t>
            </w:r>
            <w:r>
              <w:rPr>
                <w:sz w:val="18"/>
              </w:rPr>
              <w:t xml:space="preserve">or used by the </w:t>
            </w:r>
            <w:r>
              <w:rPr>
                <w:spacing w:val="-2"/>
                <w:sz w:val="18"/>
              </w:rPr>
              <w:t>national</w:t>
            </w:r>
            <w:r>
              <w:rPr>
                <w:sz w:val="18"/>
              </w:rPr>
              <w:t xml:space="preserve"> government,</w:t>
            </w:r>
            <w:r>
              <w:rPr>
                <w:spacing w:val="-2"/>
                <w:sz w:val="18"/>
              </w:rPr>
              <w:t xml:space="preserve"> </w:t>
            </w:r>
            <w:r>
              <w:rPr>
                <w:sz w:val="18"/>
              </w:rPr>
              <w:t xml:space="preserve">with SKALA support, to strengthen MSS </w:t>
            </w:r>
            <w:r>
              <w:rPr>
                <w:spacing w:val="-2"/>
                <w:sz w:val="18"/>
              </w:rPr>
              <w:t>planning,</w:t>
            </w:r>
            <w:r>
              <w:rPr>
                <w:sz w:val="18"/>
              </w:rPr>
              <w:t xml:space="preserve"> </w:t>
            </w:r>
            <w:r>
              <w:rPr>
                <w:spacing w:val="-2"/>
                <w:sz w:val="18"/>
              </w:rPr>
              <w:t>budgeting,</w:t>
            </w:r>
            <w:r>
              <w:rPr>
                <w:sz w:val="18"/>
              </w:rPr>
              <w:t xml:space="preserve"> </w:t>
            </w:r>
            <w:r>
              <w:rPr>
                <w:spacing w:val="-2"/>
                <w:sz w:val="18"/>
              </w:rPr>
              <w:t>implementation,</w:t>
            </w:r>
            <w:r>
              <w:rPr>
                <w:sz w:val="18"/>
              </w:rPr>
              <w:t xml:space="preserve"> evaluation at subnational level, with SKALA</w:t>
            </w:r>
          </w:p>
          <w:p w14:paraId="157EB7DC" w14:textId="77777777" w:rsidR="00BC24A8" w:rsidRDefault="00000000">
            <w:pPr>
              <w:pStyle w:val="TableParagraph"/>
              <w:spacing w:line="199" w:lineRule="exact"/>
              <w:ind w:left="122"/>
              <w:rPr>
                <w:sz w:val="18"/>
              </w:rPr>
            </w:pPr>
            <w:r>
              <w:rPr>
                <w:spacing w:val="-2"/>
                <w:sz w:val="18"/>
              </w:rPr>
              <w:t>support.</w:t>
            </w:r>
          </w:p>
        </w:tc>
        <w:tc>
          <w:tcPr>
            <w:tcW w:w="1284" w:type="dxa"/>
            <w:tcBorders>
              <w:top w:val="single" w:sz="4" w:space="0" w:color="BEBEBE"/>
              <w:bottom w:val="single" w:sz="4" w:space="0" w:color="BEBEBE"/>
            </w:tcBorders>
          </w:tcPr>
          <w:p w14:paraId="39603C5A" w14:textId="77777777" w:rsidR="00BC24A8" w:rsidRDefault="00000000">
            <w:pPr>
              <w:pStyle w:val="TableParagraph"/>
              <w:spacing w:before="66"/>
              <w:ind w:left="127"/>
              <w:rPr>
                <w:sz w:val="18"/>
              </w:rPr>
            </w:pPr>
            <w:r>
              <w:rPr>
                <w:sz w:val="18"/>
              </w:rPr>
              <w:t xml:space="preserve">4 </w:t>
            </w:r>
            <w:r>
              <w:rPr>
                <w:spacing w:val="-2"/>
                <w:sz w:val="18"/>
              </w:rPr>
              <w:t>policies</w:t>
            </w:r>
          </w:p>
        </w:tc>
        <w:tc>
          <w:tcPr>
            <w:tcW w:w="1350" w:type="dxa"/>
            <w:tcBorders>
              <w:top w:val="single" w:sz="4" w:space="0" w:color="BEBEBE"/>
              <w:bottom w:val="single" w:sz="4" w:space="0" w:color="BEBEBE"/>
            </w:tcBorders>
          </w:tcPr>
          <w:p w14:paraId="3BF822D6" w14:textId="77777777" w:rsidR="00BC24A8" w:rsidRDefault="00000000">
            <w:pPr>
              <w:pStyle w:val="TableParagraph"/>
              <w:spacing w:before="66"/>
              <w:ind w:left="283"/>
              <w:rPr>
                <w:sz w:val="18"/>
              </w:rPr>
            </w:pPr>
            <w:r>
              <w:rPr>
                <w:sz w:val="18"/>
              </w:rPr>
              <w:t>1</w:t>
            </w:r>
            <w:r>
              <w:rPr>
                <w:spacing w:val="-2"/>
                <w:sz w:val="18"/>
              </w:rPr>
              <w:t xml:space="preserve"> policy</w:t>
            </w:r>
          </w:p>
        </w:tc>
        <w:tc>
          <w:tcPr>
            <w:tcW w:w="1146" w:type="dxa"/>
            <w:tcBorders>
              <w:top w:val="single" w:sz="4" w:space="0" w:color="BEBEBE"/>
              <w:bottom w:val="single" w:sz="4" w:space="0" w:color="BEBEBE"/>
            </w:tcBorders>
          </w:tcPr>
          <w:p w14:paraId="395D32ED" w14:textId="77777777" w:rsidR="00BC24A8" w:rsidRDefault="00000000">
            <w:pPr>
              <w:pStyle w:val="TableParagraph"/>
              <w:spacing w:before="66"/>
              <w:ind w:left="193"/>
              <w:rPr>
                <w:sz w:val="18"/>
              </w:rPr>
            </w:pPr>
            <w:r>
              <w:rPr>
                <w:sz w:val="18"/>
              </w:rPr>
              <w:t>1</w:t>
            </w:r>
            <w:r>
              <w:rPr>
                <w:spacing w:val="-2"/>
                <w:sz w:val="18"/>
              </w:rPr>
              <w:t xml:space="preserve"> policy</w:t>
            </w:r>
          </w:p>
        </w:tc>
        <w:tc>
          <w:tcPr>
            <w:tcW w:w="1538" w:type="dxa"/>
            <w:tcBorders>
              <w:top w:val="single" w:sz="4" w:space="0" w:color="BEBEBE"/>
              <w:bottom w:val="single" w:sz="4" w:space="0" w:color="BEBEBE"/>
            </w:tcBorders>
          </w:tcPr>
          <w:p w14:paraId="47777701" w14:textId="77777777" w:rsidR="00BC24A8" w:rsidRDefault="00000000">
            <w:pPr>
              <w:pStyle w:val="TableParagraph"/>
              <w:spacing w:before="66"/>
              <w:ind w:left="396"/>
              <w:rPr>
                <w:sz w:val="18"/>
              </w:rPr>
            </w:pPr>
            <w:r>
              <w:rPr>
                <w:sz w:val="18"/>
              </w:rPr>
              <w:t xml:space="preserve">5 </w:t>
            </w:r>
            <w:r>
              <w:rPr>
                <w:spacing w:val="-2"/>
                <w:sz w:val="18"/>
              </w:rPr>
              <w:t>policies</w:t>
            </w:r>
          </w:p>
        </w:tc>
        <w:tc>
          <w:tcPr>
            <w:tcW w:w="2172" w:type="dxa"/>
            <w:tcBorders>
              <w:top w:val="single" w:sz="4" w:space="0" w:color="BEBEBE"/>
              <w:bottom w:val="single" w:sz="4" w:space="0" w:color="BEBEBE"/>
            </w:tcBorders>
          </w:tcPr>
          <w:p w14:paraId="4D1D3116" w14:textId="77777777" w:rsidR="00BC24A8" w:rsidRDefault="00000000">
            <w:pPr>
              <w:pStyle w:val="TableParagraph"/>
              <w:numPr>
                <w:ilvl w:val="0"/>
                <w:numId w:val="154"/>
              </w:numPr>
              <w:tabs>
                <w:tab w:val="left" w:pos="379"/>
              </w:tabs>
              <w:spacing w:before="66"/>
              <w:ind w:right="205"/>
              <w:rPr>
                <w:sz w:val="18"/>
              </w:rPr>
            </w:pPr>
            <w:r>
              <w:rPr>
                <w:sz w:val="18"/>
              </w:rPr>
              <w:t>Minister of Home Affairs</w:t>
            </w:r>
            <w:r>
              <w:rPr>
                <w:spacing w:val="-11"/>
                <w:sz w:val="18"/>
              </w:rPr>
              <w:t xml:space="preserve"> </w:t>
            </w:r>
            <w:r>
              <w:rPr>
                <w:sz w:val="18"/>
              </w:rPr>
              <w:t>Instruction</w:t>
            </w:r>
            <w:r>
              <w:rPr>
                <w:spacing w:val="-10"/>
                <w:sz w:val="18"/>
              </w:rPr>
              <w:t xml:space="preserve"> </w:t>
            </w:r>
            <w:r>
              <w:rPr>
                <w:sz w:val="18"/>
              </w:rPr>
              <w:t>No. 2/2024 on guidelines for preparing the regional midterm development plan (RPJMD 2025-2029)</w:t>
            </w:r>
          </w:p>
          <w:p w14:paraId="73F0FD05" w14:textId="77777777" w:rsidR="00BC24A8" w:rsidRDefault="00000000">
            <w:pPr>
              <w:pStyle w:val="TableParagraph"/>
              <w:ind w:left="379" w:right="161"/>
              <w:rPr>
                <w:sz w:val="18"/>
              </w:rPr>
            </w:pPr>
            <w:r>
              <w:rPr>
                <w:sz w:val="18"/>
              </w:rPr>
              <w:t>and</w:t>
            </w:r>
            <w:r>
              <w:rPr>
                <w:spacing w:val="-11"/>
                <w:sz w:val="18"/>
              </w:rPr>
              <w:t xml:space="preserve"> </w:t>
            </w:r>
            <w:r>
              <w:rPr>
                <w:sz w:val="18"/>
              </w:rPr>
              <w:t>Sectoral</w:t>
            </w:r>
            <w:r>
              <w:rPr>
                <w:spacing w:val="-10"/>
                <w:sz w:val="18"/>
              </w:rPr>
              <w:t xml:space="preserve"> </w:t>
            </w:r>
            <w:r>
              <w:rPr>
                <w:sz w:val="18"/>
              </w:rPr>
              <w:t>Strategic Plan 2025-2029.</w:t>
            </w:r>
          </w:p>
          <w:p w14:paraId="7F279575" w14:textId="77777777" w:rsidR="00BC24A8" w:rsidRDefault="00000000">
            <w:pPr>
              <w:pStyle w:val="TableParagraph"/>
              <w:spacing w:before="60"/>
              <w:ind w:left="372"/>
              <w:rPr>
                <w:sz w:val="18"/>
              </w:rPr>
            </w:pPr>
            <w:r>
              <w:rPr>
                <w:sz w:val="18"/>
              </w:rPr>
              <w:t>On</w:t>
            </w:r>
            <w:r>
              <w:rPr>
                <w:spacing w:val="-1"/>
                <w:sz w:val="18"/>
              </w:rPr>
              <w:t xml:space="preserve"> </w:t>
            </w:r>
            <w:r>
              <w:rPr>
                <w:spacing w:val="-2"/>
                <w:sz w:val="18"/>
              </w:rPr>
              <w:t>progress:</w:t>
            </w:r>
          </w:p>
          <w:p w14:paraId="2C9DB865" w14:textId="77777777" w:rsidR="00BC24A8" w:rsidRDefault="00000000">
            <w:pPr>
              <w:pStyle w:val="TableParagraph"/>
              <w:numPr>
                <w:ilvl w:val="1"/>
                <w:numId w:val="154"/>
              </w:numPr>
              <w:tabs>
                <w:tab w:val="left" w:pos="552"/>
              </w:tabs>
              <w:spacing w:before="61"/>
              <w:ind w:right="743"/>
              <w:rPr>
                <w:sz w:val="18"/>
              </w:rPr>
            </w:pPr>
            <w:r>
              <w:rPr>
                <w:sz w:val="18"/>
              </w:rPr>
              <w:t>MSS</w:t>
            </w:r>
            <w:r>
              <w:rPr>
                <w:spacing w:val="-11"/>
                <w:sz w:val="18"/>
              </w:rPr>
              <w:t xml:space="preserve"> </w:t>
            </w:r>
            <w:r>
              <w:rPr>
                <w:sz w:val="18"/>
              </w:rPr>
              <w:t xml:space="preserve">costing </w:t>
            </w:r>
            <w:r>
              <w:rPr>
                <w:spacing w:val="-2"/>
                <w:sz w:val="18"/>
              </w:rPr>
              <w:t>guidelines.</w:t>
            </w:r>
          </w:p>
        </w:tc>
      </w:tr>
    </w:tbl>
    <w:p w14:paraId="58E05F6D" w14:textId="77777777" w:rsidR="00BC24A8" w:rsidRDefault="00BC24A8">
      <w:pPr>
        <w:pStyle w:val="TableParagraph"/>
        <w:rPr>
          <w:sz w:val="18"/>
        </w:rPr>
        <w:sectPr w:rsidR="00BC24A8">
          <w:type w:val="continuous"/>
          <w:pgSz w:w="11910" w:h="16840"/>
          <w:pgMar w:top="1380" w:right="850" w:bottom="1100" w:left="1275" w:header="0" w:footer="907" w:gutter="0"/>
          <w:cols w:space="720"/>
        </w:sectPr>
      </w:pPr>
    </w:p>
    <w:p w14:paraId="32B9C5C5" w14:textId="77777777" w:rsidR="00BC24A8" w:rsidRDefault="00BC24A8">
      <w:pPr>
        <w:pStyle w:val="BodyText"/>
        <w:spacing w:before="1"/>
        <w:rPr>
          <w:rFonts w:ascii="Trebuchet MS"/>
          <w:b/>
          <w:sz w:val="2"/>
        </w:rPr>
      </w:pPr>
    </w:p>
    <w:tbl>
      <w:tblPr>
        <w:tblW w:w="0" w:type="auto"/>
        <w:tblInd w:w="136" w:type="dxa"/>
        <w:tblLayout w:type="fixed"/>
        <w:tblCellMar>
          <w:left w:w="0" w:type="dxa"/>
          <w:right w:w="0" w:type="dxa"/>
        </w:tblCellMar>
        <w:tblLook w:val="01E0" w:firstRow="1" w:lastRow="1" w:firstColumn="1" w:lastColumn="1" w:noHBand="0" w:noVBand="0"/>
      </w:tblPr>
      <w:tblGrid>
        <w:gridCol w:w="1616"/>
        <w:gridCol w:w="1283"/>
        <w:gridCol w:w="1365"/>
        <w:gridCol w:w="1375"/>
        <w:gridCol w:w="1346"/>
        <w:gridCol w:w="2119"/>
      </w:tblGrid>
      <w:tr w:rsidR="00BC24A8" w14:paraId="5CB91ADC" w14:textId="77777777">
        <w:trPr>
          <w:trHeight w:val="5027"/>
        </w:trPr>
        <w:tc>
          <w:tcPr>
            <w:tcW w:w="1616" w:type="dxa"/>
            <w:tcBorders>
              <w:top w:val="single" w:sz="4" w:space="0" w:color="BEBEBE"/>
            </w:tcBorders>
          </w:tcPr>
          <w:p w14:paraId="1BE4E2FF" w14:textId="77777777" w:rsidR="00BC24A8" w:rsidRDefault="00000000">
            <w:pPr>
              <w:pStyle w:val="TableParagraph"/>
              <w:spacing w:before="61"/>
              <w:ind w:left="122" w:right="123"/>
              <w:rPr>
                <w:sz w:val="18"/>
              </w:rPr>
            </w:pPr>
            <w:r>
              <w:rPr>
                <w:sz w:val="18"/>
              </w:rPr>
              <w:t xml:space="preserve">IO 2.1. Number of </w:t>
            </w:r>
            <w:r>
              <w:rPr>
                <w:spacing w:val="-2"/>
                <w:sz w:val="18"/>
              </w:rPr>
              <w:t>improved</w:t>
            </w:r>
            <w:r>
              <w:rPr>
                <w:sz w:val="18"/>
              </w:rPr>
              <w:t xml:space="preserve"> </w:t>
            </w:r>
            <w:r>
              <w:rPr>
                <w:spacing w:val="-2"/>
                <w:sz w:val="18"/>
              </w:rPr>
              <w:t>regulations,</w:t>
            </w:r>
            <w:r>
              <w:rPr>
                <w:sz w:val="18"/>
              </w:rPr>
              <w:t xml:space="preserve"> policies or guidelines on data governance and use in subnational planning</w:t>
            </w:r>
            <w:r>
              <w:rPr>
                <w:spacing w:val="-2"/>
                <w:sz w:val="18"/>
              </w:rPr>
              <w:t xml:space="preserve"> </w:t>
            </w:r>
            <w:r>
              <w:rPr>
                <w:sz w:val="18"/>
              </w:rPr>
              <w:t>and budgeting of basic service</w:t>
            </w:r>
            <w:r>
              <w:rPr>
                <w:spacing w:val="-11"/>
                <w:sz w:val="18"/>
              </w:rPr>
              <w:t xml:space="preserve"> </w:t>
            </w:r>
            <w:r>
              <w:rPr>
                <w:sz w:val="18"/>
              </w:rPr>
              <w:t>delivery</w:t>
            </w:r>
            <w:r>
              <w:rPr>
                <w:spacing w:val="-10"/>
                <w:sz w:val="18"/>
              </w:rPr>
              <w:t xml:space="preserve"> </w:t>
            </w:r>
            <w:r>
              <w:rPr>
                <w:sz w:val="18"/>
              </w:rPr>
              <w:t>for all citizens, with SKALA</w:t>
            </w:r>
            <w:r>
              <w:rPr>
                <w:spacing w:val="-2"/>
                <w:sz w:val="18"/>
              </w:rPr>
              <w:t xml:space="preserve"> </w:t>
            </w:r>
            <w:r>
              <w:rPr>
                <w:sz w:val="18"/>
              </w:rPr>
              <w:t>support</w:t>
            </w:r>
          </w:p>
        </w:tc>
        <w:tc>
          <w:tcPr>
            <w:tcW w:w="1283" w:type="dxa"/>
            <w:tcBorders>
              <w:top w:val="single" w:sz="4" w:space="0" w:color="BEBEBE"/>
            </w:tcBorders>
          </w:tcPr>
          <w:p w14:paraId="36E50E9A" w14:textId="77777777" w:rsidR="00BC24A8" w:rsidRDefault="00000000">
            <w:pPr>
              <w:pStyle w:val="TableParagraph"/>
              <w:spacing w:before="66"/>
              <w:ind w:left="126"/>
              <w:rPr>
                <w:sz w:val="18"/>
              </w:rPr>
            </w:pPr>
            <w:r>
              <w:rPr>
                <w:sz w:val="18"/>
              </w:rPr>
              <w:t xml:space="preserve">1 </w:t>
            </w:r>
            <w:r>
              <w:rPr>
                <w:spacing w:val="-2"/>
                <w:sz w:val="18"/>
              </w:rPr>
              <w:t>regulation</w:t>
            </w:r>
          </w:p>
        </w:tc>
        <w:tc>
          <w:tcPr>
            <w:tcW w:w="1365" w:type="dxa"/>
            <w:tcBorders>
              <w:top w:val="single" w:sz="4" w:space="0" w:color="BEBEBE"/>
            </w:tcBorders>
          </w:tcPr>
          <w:p w14:paraId="0C6E0C1B" w14:textId="77777777" w:rsidR="00BC24A8" w:rsidRDefault="00000000">
            <w:pPr>
              <w:pStyle w:val="TableParagraph"/>
              <w:spacing w:before="66"/>
              <w:ind w:left="283"/>
              <w:rPr>
                <w:sz w:val="18"/>
              </w:rPr>
            </w:pPr>
            <w:r>
              <w:rPr>
                <w:sz w:val="18"/>
              </w:rPr>
              <w:t xml:space="preserve">9 </w:t>
            </w:r>
            <w:r>
              <w:rPr>
                <w:spacing w:val="-2"/>
                <w:sz w:val="18"/>
              </w:rPr>
              <w:t>policies</w:t>
            </w:r>
          </w:p>
        </w:tc>
        <w:tc>
          <w:tcPr>
            <w:tcW w:w="1375" w:type="dxa"/>
            <w:tcBorders>
              <w:top w:val="single" w:sz="4" w:space="0" w:color="BEBEBE"/>
            </w:tcBorders>
          </w:tcPr>
          <w:p w14:paraId="74D31955" w14:textId="77777777" w:rsidR="00BC24A8" w:rsidRDefault="00000000">
            <w:pPr>
              <w:pStyle w:val="TableParagraph"/>
              <w:spacing w:before="66"/>
              <w:ind w:left="178"/>
              <w:rPr>
                <w:sz w:val="18"/>
              </w:rPr>
            </w:pPr>
            <w:r>
              <w:rPr>
                <w:sz w:val="18"/>
              </w:rPr>
              <w:t xml:space="preserve">1 </w:t>
            </w:r>
            <w:r>
              <w:rPr>
                <w:spacing w:val="-2"/>
                <w:sz w:val="18"/>
              </w:rPr>
              <w:t>regulation</w:t>
            </w:r>
          </w:p>
        </w:tc>
        <w:tc>
          <w:tcPr>
            <w:tcW w:w="1346" w:type="dxa"/>
            <w:tcBorders>
              <w:top w:val="single" w:sz="4" w:space="0" w:color="BEBEBE"/>
            </w:tcBorders>
          </w:tcPr>
          <w:p w14:paraId="617FD48D" w14:textId="77777777" w:rsidR="00BC24A8" w:rsidRDefault="00000000">
            <w:pPr>
              <w:pStyle w:val="TableParagraph"/>
              <w:spacing w:before="66"/>
              <w:ind w:left="152"/>
              <w:rPr>
                <w:sz w:val="18"/>
              </w:rPr>
            </w:pPr>
            <w:r>
              <w:rPr>
                <w:sz w:val="18"/>
              </w:rPr>
              <w:t>1</w:t>
            </w:r>
            <w:r>
              <w:rPr>
                <w:spacing w:val="-11"/>
                <w:sz w:val="18"/>
              </w:rPr>
              <w:t xml:space="preserve"> </w:t>
            </w:r>
            <w:r>
              <w:rPr>
                <w:sz w:val="18"/>
              </w:rPr>
              <w:t>regulation,</w:t>
            </w:r>
            <w:r>
              <w:rPr>
                <w:spacing w:val="-10"/>
                <w:sz w:val="18"/>
              </w:rPr>
              <w:t xml:space="preserve"> </w:t>
            </w:r>
            <w:r>
              <w:rPr>
                <w:sz w:val="18"/>
              </w:rPr>
              <w:t xml:space="preserve">9 </w:t>
            </w:r>
            <w:r>
              <w:rPr>
                <w:spacing w:val="-2"/>
                <w:sz w:val="18"/>
              </w:rPr>
              <w:t>policies</w:t>
            </w:r>
          </w:p>
        </w:tc>
        <w:tc>
          <w:tcPr>
            <w:tcW w:w="2119" w:type="dxa"/>
            <w:tcBorders>
              <w:top w:val="single" w:sz="4" w:space="0" w:color="BEBEBE"/>
            </w:tcBorders>
          </w:tcPr>
          <w:p w14:paraId="000A1D0A" w14:textId="77777777" w:rsidR="00BC24A8" w:rsidRDefault="00000000">
            <w:pPr>
              <w:pStyle w:val="TableParagraph"/>
              <w:spacing w:before="66"/>
              <w:ind w:left="157"/>
              <w:rPr>
                <w:sz w:val="18"/>
              </w:rPr>
            </w:pPr>
            <w:r>
              <w:rPr>
                <w:spacing w:val="-2"/>
                <w:sz w:val="18"/>
              </w:rPr>
              <w:t>Achieved:</w:t>
            </w:r>
          </w:p>
          <w:p w14:paraId="1F08A6C2" w14:textId="77777777" w:rsidR="00BC24A8" w:rsidRDefault="00000000">
            <w:pPr>
              <w:pStyle w:val="TableParagraph"/>
              <w:numPr>
                <w:ilvl w:val="0"/>
                <w:numId w:val="153"/>
              </w:numPr>
              <w:tabs>
                <w:tab w:val="left" w:pos="409"/>
              </w:tabs>
              <w:spacing w:before="1"/>
              <w:ind w:right="500"/>
              <w:rPr>
                <w:sz w:val="18"/>
              </w:rPr>
            </w:pPr>
            <w:r>
              <w:rPr>
                <w:sz w:val="18"/>
              </w:rPr>
              <w:t>Grand</w:t>
            </w:r>
            <w:r>
              <w:rPr>
                <w:spacing w:val="-11"/>
                <w:sz w:val="18"/>
              </w:rPr>
              <w:t xml:space="preserve"> </w:t>
            </w:r>
            <w:r>
              <w:rPr>
                <w:sz w:val="18"/>
              </w:rPr>
              <w:t>design</w:t>
            </w:r>
            <w:r>
              <w:rPr>
                <w:spacing w:val="-10"/>
                <w:sz w:val="18"/>
              </w:rPr>
              <w:t xml:space="preserve"> </w:t>
            </w:r>
            <w:r>
              <w:rPr>
                <w:sz w:val="18"/>
              </w:rPr>
              <w:t xml:space="preserve">for </w:t>
            </w:r>
            <w:r>
              <w:rPr>
                <w:spacing w:val="-2"/>
                <w:sz w:val="18"/>
              </w:rPr>
              <w:t>SDPDN</w:t>
            </w:r>
          </w:p>
          <w:p w14:paraId="29F214B4" w14:textId="77777777" w:rsidR="00BC24A8" w:rsidRDefault="00000000">
            <w:pPr>
              <w:pStyle w:val="TableParagraph"/>
              <w:numPr>
                <w:ilvl w:val="0"/>
                <w:numId w:val="153"/>
              </w:numPr>
              <w:tabs>
                <w:tab w:val="left" w:pos="408"/>
              </w:tabs>
              <w:spacing w:line="219" w:lineRule="exact"/>
              <w:ind w:left="408" w:hanging="251"/>
              <w:rPr>
                <w:sz w:val="18"/>
              </w:rPr>
            </w:pPr>
            <w:r>
              <w:rPr>
                <w:sz w:val="18"/>
              </w:rPr>
              <w:t>SOP</w:t>
            </w:r>
            <w:r>
              <w:rPr>
                <w:spacing w:val="-3"/>
                <w:sz w:val="18"/>
              </w:rPr>
              <w:t xml:space="preserve"> </w:t>
            </w:r>
            <w:r>
              <w:rPr>
                <w:sz w:val="18"/>
              </w:rPr>
              <w:t>for</w:t>
            </w:r>
            <w:r>
              <w:rPr>
                <w:spacing w:val="-1"/>
                <w:sz w:val="18"/>
              </w:rPr>
              <w:t xml:space="preserve"> </w:t>
            </w:r>
            <w:r>
              <w:rPr>
                <w:sz w:val="18"/>
              </w:rPr>
              <w:t>data</w:t>
            </w:r>
            <w:r>
              <w:rPr>
                <w:spacing w:val="-2"/>
                <w:sz w:val="18"/>
              </w:rPr>
              <w:t xml:space="preserve"> planning</w:t>
            </w:r>
          </w:p>
          <w:p w14:paraId="471115A8" w14:textId="77777777" w:rsidR="00BC24A8" w:rsidRDefault="00000000">
            <w:pPr>
              <w:pStyle w:val="TableParagraph"/>
              <w:numPr>
                <w:ilvl w:val="0"/>
                <w:numId w:val="153"/>
              </w:numPr>
              <w:tabs>
                <w:tab w:val="left" w:pos="409"/>
              </w:tabs>
              <w:ind w:right="804"/>
              <w:rPr>
                <w:sz w:val="18"/>
              </w:rPr>
            </w:pPr>
            <w:r>
              <w:rPr>
                <w:sz w:val="18"/>
              </w:rPr>
              <w:t>SOP</w:t>
            </w:r>
            <w:r>
              <w:rPr>
                <w:spacing w:val="-11"/>
                <w:sz w:val="18"/>
              </w:rPr>
              <w:t xml:space="preserve"> </w:t>
            </w:r>
            <w:r>
              <w:rPr>
                <w:sz w:val="18"/>
              </w:rPr>
              <w:t>for</w:t>
            </w:r>
            <w:r>
              <w:rPr>
                <w:spacing w:val="-10"/>
                <w:sz w:val="18"/>
              </w:rPr>
              <w:t xml:space="preserve"> </w:t>
            </w:r>
            <w:r>
              <w:rPr>
                <w:sz w:val="18"/>
              </w:rPr>
              <w:t xml:space="preserve">data </w:t>
            </w:r>
            <w:r>
              <w:rPr>
                <w:spacing w:val="-2"/>
                <w:sz w:val="18"/>
              </w:rPr>
              <w:t>collection</w:t>
            </w:r>
          </w:p>
          <w:p w14:paraId="7578A6D1" w14:textId="77777777" w:rsidR="00BC24A8" w:rsidRDefault="00000000">
            <w:pPr>
              <w:pStyle w:val="TableParagraph"/>
              <w:numPr>
                <w:ilvl w:val="0"/>
                <w:numId w:val="153"/>
              </w:numPr>
              <w:tabs>
                <w:tab w:val="left" w:pos="409"/>
              </w:tabs>
              <w:ind w:right="582"/>
              <w:rPr>
                <w:sz w:val="18"/>
              </w:rPr>
            </w:pPr>
            <w:r>
              <w:rPr>
                <w:sz w:val="18"/>
              </w:rPr>
              <w:t>SOP for data verification</w:t>
            </w:r>
            <w:r>
              <w:rPr>
                <w:spacing w:val="-11"/>
                <w:sz w:val="18"/>
              </w:rPr>
              <w:t xml:space="preserve"> </w:t>
            </w:r>
            <w:r>
              <w:rPr>
                <w:sz w:val="18"/>
              </w:rPr>
              <w:t xml:space="preserve">and </w:t>
            </w:r>
            <w:r>
              <w:rPr>
                <w:spacing w:val="-2"/>
                <w:sz w:val="18"/>
              </w:rPr>
              <w:t>validation</w:t>
            </w:r>
          </w:p>
          <w:p w14:paraId="30A4A97F" w14:textId="77777777" w:rsidR="00BC24A8" w:rsidRDefault="00000000">
            <w:pPr>
              <w:pStyle w:val="TableParagraph"/>
              <w:numPr>
                <w:ilvl w:val="0"/>
                <w:numId w:val="153"/>
              </w:numPr>
              <w:tabs>
                <w:tab w:val="left" w:pos="409"/>
              </w:tabs>
              <w:ind w:right="306"/>
              <w:rPr>
                <w:sz w:val="18"/>
              </w:rPr>
            </w:pPr>
            <w:r>
              <w:rPr>
                <w:sz w:val="18"/>
              </w:rPr>
              <w:t xml:space="preserve">SOP for data </w:t>
            </w:r>
            <w:r>
              <w:rPr>
                <w:spacing w:val="-2"/>
                <w:sz w:val="18"/>
              </w:rPr>
              <w:t>sharing/publication</w:t>
            </w:r>
          </w:p>
          <w:p w14:paraId="3807337F" w14:textId="77777777" w:rsidR="00BC24A8" w:rsidRDefault="00000000">
            <w:pPr>
              <w:pStyle w:val="TableParagraph"/>
              <w:numPr>
                <w:ilvl w:val="0"/>
                <w:numId w:val="153"/>
              </w:numPr>
              <w:tabs>
                <w:tab w:val="left" w:pos="409"/>
              </w:tabs>
              <w:ind w:right="253"/>
              <w:rPr>
                <w:sz w:val="18"/>
              </w:rPr>
            </w:pPr>
            <w:r>
              <w:rPr>
                <w:sz w:val="18"/>
              </w:rPr>
              <w:t>Technical</w:t>
            </w:r>
            <w:r>
              <w:rPr>
                <w:spacing w:val="-11"/>
                <w:sz w:val="18"/>
              </w:rPr>
              <w:t xml:space="preserve"> </w:t>
            </w:r>
            <w:r>
              <w:rPr>
                <w:sz w:val="18"/>
              </w:rPr>
              <w:t xml:space="preserve">guidelines for SDPDN data </w:t>
            </w:r>
            <w:r>
              <w:rPr>
                <w:spacing w:val="-2"/>
                <w:sz w:val="18"/>
              </w:rPr>
              <w:t>coverage</w:t>
            </w:r>
          </w:p>
          <w:p w14:paraId="074F581F" w14:textId="77777777" w:rsidR="00BC24A8" w:rsidRDefault="00000000">
            <w:pPr>
              <w:pStyle w:val="TableParagraph"/>
              <w:numPr>
                <w:ilvl w:val="0"/>
                <w:numId w:val="153"/>
              </w:numPr>
              <w:tabs>
                <w:tab w:val="left" w:pos="409"/>
              </w:tabs>
              <w:ind w:right="253"/>
              <w:rPr>
                <w:sz w:val="18"/>
              </w:rPr>
            </w:pPr>
            <w:r>
              <w:rPr>
                <w:sz w:val="18"/>
              </w:rPr>
              <w:t>Technical</w:t>
            </w:r>
            <w:r>
              <w:rPr>
                <w:spacing w:val="-11"/>
                <w:sz w:val="18"/>
              </w:rPr>
              <w:t xml:space="preserve"> </w:t>
            </w:r>
            <w:r>
              <w:rPr>
                <w:sz w:val="18"/>
              </w:rPr>
              <w:t>guidelines for data forum</w:t>
            </w:r>
          </w:p>
          <w:p w14:paraId="09F44D98" w14:textId="77777777" w:rsidR="00BC24A8" w:rsidRDefault="00000000">
            <w:pPr>
              <w:pStyle w:val="TableParagraph"/>
              <w:numPr>
                <w:ilvl w:val="0"/>
                <w:numId w:val="153"/>
              </w:numPr>
              <w:tabs>
                <w:tab w:val="left" w:pos="409"/>
              </w:tabs>
              <w:ind w:right="219"/>
              <w:jc w:val="both"/>
              <w:rPr>
                <w:sz w:val="18"/>
              </w:rPr>
            </w:pPr>
            <w:r>
              <w:rPr>
                <w:sz w:val="18"/>
              </w:rPr>
              <w:t>Technical</w:t>
            </w:r>
            <w:r>
              <w:rPr>
                <w:spacing w:val="-2"/>
                <w:sz w:val="18"/>
              </w:rPr>
              <w:t xml:space="preserve"> </w:t>
            </w:r>
            <w:r>
              <w:rPr>
                <w:sz w:val="18"/>
              </w:rPr>
              <w:t>guidelines for</w:t>
            </w:r>
            <w:r>
              <w:rPr>
                <w:spacing w:val="-11"/>
                <w:sz w:val="18"/>
              </w:rPr>
              <w:t xml:space="preserve"> </w:t>
            </w:r>
            <w:r>
              <w:rPr>
                <w:sz w:val="18"/>
              </w:rPr>
              <w:t>coordination</w:t>
            </w:r>
            <w:r>
              <w:rPr>
                <w:spacing w:val="-10"/>
                <w:sz w:val="18"/>
              </w:rPr>
              <w:t xml:space="preserve"> </w:t>
            </w:r>
            <w:r>
              <w:rPr>
                <w:sz w:val="18"/>
              </w:rPr>
              <w:t xml:space="preserve">and </w:t>
            </w:r>
            <w:r>
              <w:rPr>
                <w:spacing w:val="-2"/>
                <w:sz w:val="18"/>
              </w:rPr>
              <w:t>oversight</w:t>
            </w:r>
          </w:p>
          <w:p w14:paraId="7C5179C3" w14:textId="77777777" w:rsidR="00BC24A8" w:rsidRDefault="00000000">
            <w:pPr>
              <w:pStyle w:val="TableParagraph"/>
              <w:numPr>
                <w:ilvl w:val="0"/>
                <w:numId w:val="153"/>
              </w:numPr>
              <w:tabs>
                <w:tab w:val="left" w:pos="409"/>
              </w:tabs>
              <w:spacing w:before="1"/>
              <w:ind w:right="253"/>
              <w:rPr>
                <w:sz w:val="18"/>
              </w:rPr>
            </w:pPr>
            <w:r>
              <w:rPr>
                <w:sz w:val="18"/>
              </w:rPr>
              <w:t>Technical</w:t>
            </w:r>
            <w:r>
              <w:rPr>
                <w:spacing w:val="-11"/>
                <w:sz w:val="18"/>
              </w:rPr>
              <w:t xml:space="preserve"> </w:t>
            </w:r>
            <w:r>
              <w:rPr>
                <w:sz w:val="18"/>
              </w:rPr>
              <w:t xml:space="preserve">guidelines for data </w:t>
            </w:r>
            <w:r>
              <w:rPr>
                <w:spacing w:val="-2"/>
                <w:sz w:val="18"/>
              </w:rPr>
              <w:t>sharing/publication</w:t>
            </w:r>
          </w:p>
        </w:tc>
      </w:tr>
      <w:tr w:rsidR="00BC24A8" w14:paraId="4E3E2D26" w14:textId="77777777">
        <w:trPr>
          <w:trHeight w:val="341"/>
        </w:trPr>
        <w:tc>
          <w:tcPr>
            <w:tcW w:w="1616" w:type="dxa"/>
          </w:tcPr>
          <w:p w14:paraId="44484EDA" w14:textId="77777777" w:rsidR="00BC24A8" w:rsidRDefault="00BC24A8">
            <w:pPr>
              <w:pStyle w:val="TableParagraph"/>
              <w:rPr>
                <w:rFonts w:ascii="Times New Roman"/>
                <w:sz w:val="16"/>
              </w:rPr>
            </w:pPr>
          </w:p>
        </w:tc>
        <w:tc>
          <w:tcPr>
            <w:tcW w:w="1283" w:type="dxa"/>
          </w:tcPr>
          <w:p w14:paraId="2505CE60" w14:textId="77777777" w:rsidR="00BC24A8" w:rsidRDefault="00BC24A8">
            <w:pPr>
              <w:pStyle w:val="TableParagraph"/>
              <w:rPr>
                <w:rFonts w:ascii="Times New Roman"/>
                <w:sz w:val="16"/>
              </w:rPr>
            </w:pPr>
          </w:p>
        </w:tc>
        <w:tc>
          <w:tcPr>
            <w:tcW w:w="1365" w:type="dxa"/>
          </w:tcPr>
          <w:p w14:paraId="6ACAEFCC" w14:textId="77777777" w:rsidR="00BC24A8" w:rsidRDefault="00BC24A8">
            <w:pPr>
              <w:pStyle w:val="TableParagraph"/>
              <w:rPr>
                <w:rFonts w:ascii="Times New Roman"/>
                <w:sz w:val="16"/>
              </w:rPr>
            </w:pPr>
          </w:p>
        </w:tc>
        <w:tc>
          <w:tcPr>
            <w:tcW w:w="1375" w:type="dxa"/>
          </w:tcPr>
          <w:p w14:paraId="065E446C" w14:textId="77777777" w:rsidR="00BC24A8" w:rsidRDefault="00BC24A8">
            <w:pPr>
              <w:pStyle w:val="TableParagraph"/>
              <w:rPr>
                <w:rFonts w:ascii="Times New Roman"/>
                <w:sz w:val="16"/>
              </w:rPr>
            </w:pPr>
          </w:p>
        </w:tc>
        <w:tc>
          <w:tcPr>
            <w:tcW w:w="1346" w:type="dxa"/>
          </w:tcPr>
          <w:p w14:paraId="69739882" w14:textId="77777777" w:rsidR="00BC24A8" w:rsidRDefault="00BC24A8">
            <w:pPr>
              <w:pStyle w:val="TableParagraph"/>
              <w:rPr>
                <w:rFonts w:ascii="Times New Roman"/>
                <w:sz w:val="16"/>
              </w:rPr>
            </w:pPr>
          </w:p>
        </w:tc>
        <w:tc>
          <w:tcPr>
            <w:tcW w:w="2119" w:type="dxa"/>
          </w:tcPr>
          <w:p w14:paraId="12AE92B0" w14:textId="77777777" w:rsidR="00BC24A8" w:rsidRDefault="00000000">
            <w:pPr>
              <w:pStyle w:val="TableParagraph"/>
              <w:spacing w:before="93"/>
              <w:ind w:left="157"/>
              <w:rPr>
                <w:sz w:val="18"/>
              </w:rPr>
            </w:pPr>
            <w:r>
              <w:rPr>
                <w:sz w:val="18"/>
              </w:rPr>
              <w:t>On</w:t>
            </w:r>
            <w:r>
              <w:rPr>
                <w:spacing w:val="-1"/>
                <w:sz w:val="18"/>
              </w:rPr>
              <w:t xml:space="preserve"> </w:t>
            </w:r>
            <w:r>
              <w:rPr>
                <w:spacing w:val="-2"/>
                <w:sz w:val="18"/>
              </w:rPr>
              <w:t>progress:</w:t>
            </w:r>
          </w:p>
        </w:tc>
      </w:tr>
      <w:tr w:rsidR="00BC24A8" w14:paraId="31F826F4" w14:textId="77777777">
        <w:trPr>
          <w:trHeight w:val="728"/>
        </w:trPr>
        <w:tc>
          <w:tcPr>
            <w:tcW w:w="1616" w:type="dxa"/>
            <w:tcBorders>
              <w:bottom w:val="single" w:sz="4" w:space="0" w:color="BEBEBE"/>
            </w:tcBorders>
          </w:tcPr>
          <w:p w14:paraId="4256E205" w14:textId="77777777" w:rsidR="00BC24A8" w:rsidRDefault="00BC24A8">
            <w:pPr>
              <w:pStyle w:val="TableParagraph"/>
              <w:rPr>
                <w:rFonts w:ascii="Times New Roman"/>
                <w:sz w:val="16"/>
              </w:rPr>
            </w:pPr>
          </w:p>
        </w:tc>
        <w:tc>
          <w:tcPr>
            <w:tcW w:w="1283" w:type="dxa"/>
            <w:tcBorders>
              <w:bottom w:val="single" w:sz="4" w:space="0" w:color="BEBEBE"/>
            </w:tcBorders>
          </w:tcPr>
          <w:p w14:paraId="1A29C424" w14:textId="77777777" w:rsidR="00BC24A8" w:rsidRDefault="00BC24A8">
            <w:pPr>
              <w:pStyle w:val="TableParagraph"/>
              <w:rPr>
                <w:rFonts w:ascii="Times New Roman"/>
                <w:sz w:val="16"/>
              </w:rPr>
            </w:pPr>
          </w:p>
        </w:tc>
        <w:tc>
          <w:tcPr>
            <w:tcW w:w="1365" w:type="dxa"/>
            <w:tcBorders>
              <w:bottom w:val="single" w:sz="4" w:space="0" w:color="BEBEBE"/>
            </w:tcBorders>
          </w:tcPr>
          <w:p w14:paraId="4F566940" w14:textId="77777777" w:rsidR="00BC24A8" w:rsidRDefault="00BC24A8">
            <w:pPr>
              <w:pStyle w:val="TableParagraph"/>
              <w:rPr>
                <w:rFonts w:ascii="Times New Roman"/>
                <w:sz w:val="16"/>
              </w:rPr>
            </w:pPr>
          </w:p>
        </w:tc>
        <w:tc>
          <w:tcPr>
            <w:tcW w:w="1375" w:type="dxa"/>
            <w:tcBorders>
              <w:bottom w:val="single" w:sz="4" w:space="0" w:color="BEBEBE"/>
            </w:tcBorders>
          </w:tcPr>
          <w:p w14:paraId="4110A3BA" w14:textId="77777777" w:rsidR="00BC24A8" w:rsidRDefault="00BC24A8">
            <w:pPr>
              <w:pStyle w:val="TableParagraph"/>
              <w:rPr>
                <w:rFonts w:ascii="Times New Roman"/>
                <w:sz w:val="16"/>
              </w:rPr>
            </w:pPr>
          </w:p>
        </w:tc>
        <w:tc>
          <w:tcPr>
            <w:tcW w:w="1346" w:type="dxa"/>
            <w:tcBorders>
              <w:bottom w:val="single" w:sz="4" w:space="0" w:color="BEBEBE"/>
            </w:tcBorders>
          </w:tcPr>
          <w:p w14:paraId="3665EA7E" w14:textId="77777777" w:rsidR="00BC24A8" w:rsidRDefault="00BC24A8">
            <w:pPr>
              <w:pStyle w:val="TableParagraph"/>
              <w:rPr>
                <w:rFonts w:ascii="Times New Roman"/>
                <w:sz w:val="16"/>
              </w:rPr>
            </w:pPr>
          </w:p>
        </w:tc>
        <w:tc>
          <w:tcPr>
            <w:tcW w:w="2119" w:type="dxa"/>
            <w:tcBorders>
              <w:bottom w:val="single" w:sz="4" w:space="0" w:color="BEBEBE"/>
            </w:tcBorders>
          </w:tcPr>
          <w:p w14:paraId="7EE1A808" w14:textId="77777777" w:rsidR="00BC24A8" w:rsidRDefault="00000000">
            <w:pPr>
              <w:pStyle w:val="TableParagraph"/>
              <w:numPr>
                <w:ilvl w:val="0"/>
                <w:numId w:val="152"/>
              </w:numPr>
              <w:tabs>
                <w:tab w:val="left" w:pos="327"/>
              </w:tabs>
              <w:spacing w:before="30"/>
              <w:ind w:right="114"/>
              <w:rPr>
                <w:sz w:val="18"/>
              </w:rPr>
            </w:pPr>
            <w:r>
              <w:rPr>
                <w:sz w:val="18"/>
              </w:rPr>
              <w:t>Draft</w:t>
            </w:r>
            <w:r>
              <w:rPr>
                <w:spacing w:val="-11"/>
                <w:sz w:val="18"/>
              </w:rPr>
              <w:t xml:space="preserve"> </w:t>
            </w:r>
            <w:r>
              <w:rPr>
                <w:sz w:val="18"/>
              </w:rPr>
              <w:t>MOHA</w:t>
            </w:r>
            <w:r>
              <w:rPr>
                <w:spacing w:val="-10"/>
                <w:sz w:val="18"/>
              </w:rPr>
              <w:t xml:space="preserve"> </w:t>
            </w:r>
            <w:r>
              <w:rPr>
                <w:sz w:val="18"/>
              </w:rPr>
              <w:t>Decree</w:t>
            </w:r>
            <w:r>
              <w:rPr>
                <w:spacing w:val="-10"/>
                <w:sz w:val="18"/>
              </w:rPr>
              <w:t xml:space="preserve"> </w:t>
            </w:r>
            <w:r>
              <w:rPr>
                <w:sz w:val="18"/>
              </w:rPr>
              <w:t xml:space="preserve">on SDPDN is under </w:t>
            </w:r>
            <w:r>
              <w:rPr>
                <w:spacing w:val="-2"/>
                <w:sz w:val="18"/>
              </w:rPr>
              <w:t>reviewed</w:t>
            </w:r>
          </w:p>
        </w:tc>
      </w:tr>
      <w:tr w:rsidR="00BC24A8" w14:paraId="29276D9A" w14:textId="77777777">
        <w:trPr>
          <w:trHeight w:val="295"/>
        </w:trPr>
        <w:tc>
          <w:tcPr>
            <w:tcW w:w="1616" w:type="dxa"/>
            <w:tcBorders>
              <w:top w:val="single" w:sz="4" w:space="0" w:color="BEBEBE"/>
            </w:tcBorders>
          </w:tcPr>
          <w:p w14:paraId="17FB35C9" w14:textId="77777777" w:rsidR="00BC24A8" w:rsidRDefault="00000000">
            <w:pPr>
              <w:pStyle w:val="TableParagraph"/>
              <w:spacing w:before="61" w:line="214" w:lineRule="exact"/>
              <w:ind w:left="122"/>
              <w:rPr>
                <w:sz w:val="18"/>
              </w:rPr>
            </w:pPr>
            <w:r>
              <w:rPr>
                <w:sz w:val="18"/>
              </w:rPr>
              <w:t>IO</w:t>
            </w:r>
            <w:r>
              <w:rPr>
                <w:spacing w:val="-5"/>
                <w:sz w:val="18"/>
              </w:rPr>
              <w:t xml:space="preserve"> </w:t>
            </w:r>
            <w:r>
              <w:rPr>
                <w:sz w:val="18"/>
              </w:rPr>
              <w:t>2.2.</w:t>
            </w:r>
            <w:r>
              <w:rPr>
                <w:spacing w:val="-3"/>
                <w:sz w:val="18"/>
              </w:rPr>
              <w:t xml:space="preserve"> </w:t>
            </w:r>
            <w:r>
              <w:rPr>
                <w:spacing w:val="-2"/>
                <w:sz w:val="18"/>
              </w:rPr>
              <w:t>Improved</w:t>
            </w:r>
          </w:p>
        </w:tc>
        <w:tc>
          <w:tcPr>
            <w:tcW w:w="1283" w:type="dxa"/>
            <w:tcBorders>
              <w:top w:val="single" w:sz="4" w:space="0" w:color="BEBEBE"/>
            </w:tcBorders>
          </w:tcPr>
          <w:p w14:paraId="1B4B1D04" w14:textId="77777777" w:rsidR="00BC24A8" w:rsidRDefault="00000000">
            <w:pPr>
              <w:pStyle w:val="TableParagraph"/>
              <w:spacing w:before="66" w:line="209" w:lineRule="exact"/>
              <w:ind w:left="126"/>
              <w:rPr>
                <w:sz w:val="18"/>
              </w:rPr>
            </w:pPr>
            <w:r>
              <w:rPr>
                <w:sz w:val="18"/>
              </w:rPr>
              <w:t xml:space="preserve">6 </w:t>
            </w:r>
            <w:r>
              <w:rPr>
                <w:spacing w:val="-2"/>
                <w:sz w:val="18"/>
              </w:rPr>
              <w:t>systems</w:t>
            </w:r>
          </w:p>
        </w:tc>
        <w:tc>
          <w:tcPr>
            <w:tcW w:w="1365" w:type="dxa"/>
            <w:tcBorders>
              <w:top w:val="single" w:sz="4" w:space="0" w:color="BEBEBE"/>
            </w:tcBorders>
          </w:tcPr>
          <w:p w14:paraId="2BA4D063" w14:textId="77777777" w:rsidR="00BC24A8" w:rsidRDefault="00000000">
            <w:pPr>
              <w:pStyle w:val="TableParagraph"/>
              <w:spacing w:before="66" w:line="209" w:lineRule="exact"/>
              <w:ind w:left="283"/>
              <w:rPr>
                <w:sz w:val="18"/>
              </w:rPr>
            </w:pPr>
            <w:r>
              <w:rPr>
                <w:sz w:val="18"/>
              </w:rPr>
              <w:t xml:space="preserve">2 </w:t>
            </w:r>
            <w:r>
              <w:rPr>
                <w:spacing w:val="-2"/>
                <w:sz w:val="18"/>
              </w:rPr>
              <w:t>systems</w:t>
            </w:r>
          </w:p>
        </w:tc>
        <w:tc>
          <w:tcPr>
            <w:tcW w:w="1375" w:type="dxa"/>
            <w:tcBorders>
              <w:top w:val="single" w:sz="4" w:space="0" w:color="BEBEBE"/>
            </w:tcBorders>
          </w:tcPr>
          <w:p w14:paraId="6CDB26B3" w14:textId="77777777" w:rsidR="00BC24A8" w:rsidRDefault="00000000">
            <w:pPr>
              <w:pStyle w:val="TableParagraph"/>
              <w:spacing w:before="66" w:line="209" w:lineRule="exact"/>
              <w:ind w:left="178"/>
              <w:rPr>
                <w:sz w:val="18"/>
              </w:rPr>
            </w:pPr>
            <w:r>
              <w:rPr>
                <w:sz w:val="18"/>
              </w:rPr>
              <w:t xml:space="preserve">4 </w:t>
            </w:r>
            <w:r>
              <w:rPr>
                <w:spacing w:val="-2"/>
                <w:sz w:val="18"/>
              </w:rPr>
              <w:t>systems</w:t>
            </w:r>
          </w:p>
        </w:tc>
        <w:tc>
          <w:tcPr>
            <w:tcW w:w="1346" w:type="dxa"/>
            <w:tcBorders>
              <w:top w:val="single" w:sz="4" w:space="0" w:color="BEBEBE"/>
            </w:tcBorders>
          </w:tcPr>
          <w:p w14:paraId="2E689ED5" w14:textId="77777777" w:rsidR="00BC24A8" w:rsidRDefault="00000000">
            <w:pPr>
              <w:pStyle w:val="TableParagraph"/>
              <w:spacing w:before="68" w:line="207" w:lineRule="exact"/>
              <w:ind w:left="152"/>
              <w:rPr>
                <w:sz w:val="18"/>
              </w:rPr>
            </w:pPr>
            <w:r>
              <w:rPr>
                <w:sz w:val="18"/>
              </w:rPr>
              <w:t xml:space="preserve">6 </w:t>
            </w:r>
            <w:r>
              <w:rPr>
                <w:spacing w:val="-2"/>
                <w:sz w:val="18"/>
              </w:rPr>
              <w:t>systems</w:t>
            </w:r>
          </w:p>
        </w:tc>
        <w:tc>
          <w:tcPr>
            <w:tcW w:w="2119" w:type="dxa"/>
            <w:vMerge w:val="restart"/>
            <w:tcBorders>
              <w:top w:val="single" w:sz="4" w:space="0" w:color="BEBEBE"/>
              <w:bottom w:val="single" w:sz="4" w:space="0" w:color="BEBEBE"/>
            </w:tcBorders>
          </w:tcPr>
          <w:p w14:paraId="7EA22A51" w14:textId="77777777" w:rsidR="00BC24A8" w:rsidRDefault="00000000">
            <w:pPr>
              <w:pStyle w:val="TableParagraph"/>
              <w:numPr>
                <w:ilvl w:val="0"/>
                <w:numId w:val="151"/>
              </w:numPr>
              <w:tabs>
                <w:tab w:val="left" w:pos="327"/>
              </w:tabs>
              <w:spacing w:before="1"/>
              <w:ind w:right="309"/>
              <w:rPr>
                <w:sz w:val="18"/>
              </w:rPr>
            </w:pPr>
            <w:r>
              <w:rPr>
                <w:sz w:val="18"/>
              </w:rPr>
              <w:t>Spending</w:t>
            </w:r>
            <w:r>
              <w:rPr>
                <w:spacing w:val="-2"/>
                <w:sz w:val="18"/>
              </w:rPr>
              <w:t xml:space="preserve"> </w:t>
            </w:r>
            <w:r>
              <w:rPr>
                <w:sz w:val="18"/>
              </w:rPr>
              <w:t>analysis</w:t>
            </w:r>
            <w:r>
              <w:rPr>
                <w:spacing w:val="-1"/>
                <w:sz w:val="18"/>
              </w:rPr>
              <w:t xml:space="preserve"> </w:t>
            </w:r>
            <w:r>
              <w:rPr>
                <w:sz w:val="18"/>
              </w:rPr>
              <w:t>in SEPAKAT</w:t>
            </w:r>
            <w:r>
              <w:rPr>
                <w:spacing w:val="-11"/>
                <w:sz w:val="18"/>
              </w:rPr>
              <w:t xml:space="preserve"> </w:t>
            </w:r>
            <w:r>
              <w:rPr>
                <w:sz w:val="18"/>
              </w:rPr>
              <w:t>as</w:t>
            </w:r>
            <w:r>
              <w:rPr>
                <w:spacing w:val="-10"/>
                <w:sz w:val="18"/>
              </w:rPr>
              <w:t xml:space="preserve"> </w:t>
            </w:r>
            <w:r>
              <w:rPr>
                <w:sz w:val="18"/>
              </w:rPr>
              <w:t>result</w:t>
            </w:r>
            <w:r>
              <w:rPr>
                <w:spacing w:val="-10"/>
                <w:sz w:val="18"/>
              </w:rPr>
              <w:t xml:space="preserve"> </w:t>
            </w:r>
            <w:r>
              <w:rPr>
                <w:sz w:val="18"/>
              </w:rPr>
              <w:t>of shared information from</w:t>
            </w:r>
            <w:r>
              <w:rPr>
                <w:spacing w:val="-2"/>
                <w:sz w:val="18"/>
              </w:rPr>
              <w:t xml:space="preserve"> </w:t>
            </w:r>
            <w:r>
              <w:rPr>
                <w:sz w:val="18"/>
              </w:rPr>
              <w:t>SIKD</w:t>
            </w:r>
          </w:p>
          <w:p w14:paraId="2E3E5692" w14:textId="77777777" w:rsidR="00BC24A8" w:rsidRDefault="00000000">
            <w:pPr>
              <w:pStyle w:val="TableParagraph"/>
              <w:numPr>
                <w:ilvl w:val="0"/>
                <w:numId w:val="151"/>
              </w:numPr>
              <w:tabs>
                <w:tab w:val="left" w:pos="327"/>
              </w:tabs>
              <w:ind w:right="315"/>
              <w:jc w:val="both"/>
              <w:rPr>
                <w:sz w:val="18"/>
              </w:rPr>
            </w:pPr>
            <w:r>
              <w:rPr>
                <w:sz w:val="18"/>
              </w:rPr>
              <w:t>Climate</w:t>
            </w:r>
            <w:r>
              <w:rPr>
                <w:spacing w:val="-11"/>
                <w:sz w:val="18"/>
              </w:rPr>
              <w:t xml:space="preserve"> </w:t>
            </w:r>
            <w:r>
              <w:rPr>
                <w:sz w:val="18"/>
              </w:rPr>
              <w:t>and</w:t>
            </w:r>
            <w:r>
              <w:rPr>
                <w:spacing w:val="-10"/>
                <w:sz w:val="18"/>
              </w:rPr>
              <w:t xml:space="preserve"> </w:t>
            </w:r>
            <w:r>
              <w:rPr>
                <w:sz w:val="18"/>
              </w:rPr>
              <w:t>disaster related</w:t>
            </w:r>
            <w:r>
              <w:rPr>
                <w:spacing w:val="-11"/>
                <w:sz w:val="18"/>
              </w:rPr>
              <w:t xml:space="preserve"> </w:t>
            </w:r>
            <w:r>
              <w:rPr>
                <w:sz w:val="18"/>
              </w:rPr>
              <w:t>vulnerability analysis in SEPAKAT</w:t>
            </w:r>
          </w:p>
          <w:p w14:paraId="288BDD4E" w14:textId="77777777" w:rsidR="00BC24A8" w:rsidRDefault="00000000">
            <w:pPr>
              <w:pStyle w:val="TableParagraph"/>
              <w:numPr>
                <w:ilvl w:val="0"/>
                <w:numId w:val="151"/>
              </w:numPr>
              <w:tabs>
                <w:tab w:val="left" w:pos="327"/>
              </w:tabs>
              <w:ind w:right="224"/>
              <w:rPr>
                <w:sz w:val="18"/>
              </w:rPr>
            </w:pPr>
            <w:r>
              <w:rPr>
                <w:sz w:val="18"/>
              </w:rPr>
              <w:t>SIPD's ability to tag sub-activities</w:t>
            </w:r>
            <w:r>
              <w:rPr>
                <w:spacing w:val="-11"/>
                <w:sz w:val="18"/>
              </w:rPr>
              <w:t xml:space="preserve"> </w:t>
            </w:r>
            <w:r>
              <w:rPr>
                <w:sz w:val="18"/>
              </w:rPr>
              <w:t>that</w:t>
            </w:r>
            <w:r>
              <w:rPr>
                <w:spacing w:val="-10"/>
                <w:sz w:val="18"/>
              </w:rPr>
              <w:t xml:space="preserve"> </w:t>
            </w:r>
            <w:r>
              <w:rPr>
                <w:sz w:val="18"/>
              </w:rPr>
              <w:t>are responsive to PUG using GBT guidelines</w:t>
            </w:r>
          </w:p>
          <w:p w14:paraId="18B5D101" w14:textId="77777777" w:rsidR="00BC24A8" w:rsidRDefault="00000000">
            <w:pPr>
              <w:pStyle w:val="TableParagraph"/>
              <w:numPr>
                <w:ilvl w:val="0"/>
                <w:numId w:val="151"/>
              </w:numPr>
              <w:tabs>
                <w:tab w:val="left" w:pos="327"/>
              </w:tabs>
              <w:ind w:right="296"/>
              <w:rPr>
                <w:sz w:val="18"/>
              </w:rPr>
            </w:pPr>
            <w:r>
              <w:rPr>
                <w:sz w:val="18"/>
              </w:rPr>
              <w:t>SIKD's ability to analyse budget realization that is responsive to PUG using</w:t>
            </w:r>
            <w:r>
              <w:rPr>
                <w:spacing w:val="-11"/>
                <w:sz w:val="18"/>
              </w:rPr>
              <w:t xml:space="preserve"> </w:t>
            </w:r>
            <w:r>
              <w:rPr>
                <w:sz w:val="18"/>
              </w:rPr>
              <w:t>GBT</w:t>
            </w:r>
            <w:r>
              <w:rPr>
                <w:spacing w:val="-10"/>
                <w:sz w:val="18"/>
              </w:rPr>
              <w:t xml:space="preserve"> </w:t>
            </w:r>
            <w:r>
              <w:rPr>
                <w:sz w:val="18"/>
              </w:rPr>
              <w:t>guidelines</w:t>
            </w:r>
          </w:p>
          <w:p w14:paraId="121FDAC6" w14:textId="77777777" w:rsidR="00BC24A8" w:rsidRDefault="00000000">
            <w:pPr>
              <w:pStyle w:val="TableParagraph"/>
              <w:numPr>
                <w:ilvl w:val="0"/>
                <w:numId w:val="151"/>
              </w:numPr>
              <w:tabs>
                <w:tab w:val="left" w:pos="327"/>
              </w:tabs>
              <w:ind w:right="153"/>
              <w:rPr>
                <w:sz w:val="18"/>
              </w:rPr>
            </w:pPr>
            <w:r>
              <w:rPr>
                <w:sz w:val="18"/>
              </w:rPr>
              <w:t>SIKD of Special Autonomy</w:t>
            </w:r>
            <w:r>
              <w:rPr>
                <w:spacing w:val="-11"/>
                <w:sz w:val="18"/>
              </w:rPr>
              <w:t xml:space="preserve"> </w:t>
            </w:r>
            <w:r>
              <w:rPr>
                <w:sz w:val="18"/>
              </w:rPr>
              <w:t>of</w:t>
            </w:r>
            <w:r>
              <w:rPr>
                <w:spacing w:val="-10"/>
                <w:sz w:val="18"/>
              </w:rPr>
              <w:t xml:space="preserve"> </w:t>
            </w:r>
            <w:r>
              <w:rPr>
                <w:sz w:val="18"/>
              </w:rPr>
              <w:t>Aceh</w:t>
            </w:r>
            <w:r>
              <w:rPr>
                <w:spacing w:val="-10"/>
                <w:sz w:val="18"/>
              </w:rPr>
              <w:t xml:space="preserve"> </w:t>
            </w:r>
            <w:r>
              <w:rPr>
                <w:sz w:val="18"/>
              </w:rPr>
              <w:t xml:space="preserve">still on progress of </w:t>
            </w:r>
            <w:r>
              <w:rPr>
                <w:spacing w:val="-2"/>
                <w:sz w:val="18"/>
              </w:rPr>
              <w:t>development</w:t>
            </w:r>
          </w:p>
          <w:p w14:paraId="6B189560" w14:textId="77777777" w:rsidR="00BC24A8" w:rsidRDefault="00000000">
            <w:pPr>
              <w:pStyle w:val="TableParagraph"/>
              <w:numPr>
                <w:ilvl w:val="0"/>
                <w:numId w:val="151"/>
              </w:numPr>
              <w:tabs>
                <w:tab w:val="left" w:pos="327"/>
              </w:tabs>
              <w:ind w:right="243"/>
              <w:rPr>
                <w:sz w:val="18"/>
              </w:rPr>
            </w:pPr>
            <w:r>
              <w:rPr>
                <w:sz w:val="18"/>
              </w:rPr>
              <w:t>Sinerfis</w:t>
            </w:r>
            <w:r>
              <w:rPr>
                <w:spacing w:val="-11"/>
                <w:sz w:val="18"/>
              </w:rPr>
              <w:t xml:space="preserve"> </w:t>
            </w:r>
            <w:r>
              <w:rPr>
                <w:sz w:val="18"/>
              </w:rPr>
              <w:t>application</w:t>
            </w:r>
            <w:r>
              <w:rPr>
                <w:spacing w:val="-10"/>
                <w:sz w:val="18"/>
              </w:rPr>
              <w:t xml:space="preserve"> </w:t>
            </w:r>
            <w:r>
              <w:rPr>
                <w:sz w:val="18"/>
              </w:rPr>
              <w:t xml:space="preserve">in SIKD (fiscal synergy </w:t>
            </w:r>
            <w:r>
              <w:rPr>
                <w:spacing w:val="-2"/>
                <w:sz w:val="18"/>
              </w:rPr>
              <w:t>apps)</w:t>
            </w:r>
          </w:p>
        </w:tc>
      </w:tr>
      <w:tr w:rsidR="00BC24A8" w14:paraId="2EA64A45" w14:textId="77777777">
        <w:trPr>
          <w:trHeight w:val="206"/>
        </w:trPr>
        <w:tc>
          <w:tcPr>
            <w:tcW w:w="1616" w:type="dxa"/>
          </w:tcPr>
          <w:p w14:paraId="68A46BCF" w14:textId="77777777" w:rsidR="00BC24A8" w:rsidRDefault="00000000">
            <w:pPr>
              <w:pStyle w:val="TableParagraph"/>
              <w:spacing w:line="186" w:lineRule="exact"/>
              <w:ind w:left="122"/>
              <w:rPr>
                <w:sz w:val="18"/>
              </w:rPr>
            </w:pPr>
            <w:r>
              <w:rPr>
                <w:sz w:val="18"/>
              </w:rPr>
              <w:t>analytical</w:t>
            </w:r>
            <w:r>
              <w:rPr>
                <w:spacing w:val="-3"/>
                <w:sz w:val="18"/>
              </w:rPr>
              <w:t xml:space="preserve"> </w:t>
            </w:r>
            <w:r>
              <w:rPr>
                <w:spacing w:val="-2"/>
                <w:sz w:val="18"/>
              </w:rPr>
              <w:t>capacity</w:t>
            </w:r>
          </w:p>
        </w:tc>
        <w:tc>
          <w:tcPr>
            <w:tcW w:w="1283" w:type="dxa"/>
          </w:tcPr>
          <w:p w14:paraId="06C8CD41" w14:textId="77777777" w:rsidR="00BC24A8" w:rsidRDefault="00BC24A8">
            <w:pPr>
              <w:pStyle w:val="TableParagraph"/>
              <w:rPr>
                <w:rFonts w:ascii="Times New Roman"/>
                <w:sz w:val="14"/>
              </w:rPr>
            </w:pPr>
          </w:p>
        </w:tc>
        <w:tc>
          <w:tcPr>
            <w:tcW w:w="1365" w:type="dxa"/>
          </w:tcPr>
          <w:p w14:paraId="6076DD0D" w14:textId="77777777" w:rsidR="00BC24A8" w:rsidRDefault="00BC24A8">
            <w:pPr>
              <w:pStyle w:val="TableParagraph"/>
              <w:rPr>
                <w:rFonts w:ascii="Times New Roman"/>
                <w:sz w:val="14"/>
              </w:rPr>
            </w:pPr>
          </w:p>
        </w:tc>
        <w:tc>
          <w:tcPr>
            <w:tcW w:w="1375" w:type="dxa"/>
          </w:tcPr>
          <w:p w14:paraId="4B0B1C88" w14:textId="77777777" w:rsidR="00BC24A8" w:rsidRDefault="00BC24A8">
            <w:pPr>
              <w:pStyle w:val="TableParagraph"/>
              <w:rPr>
                <w:rFonts w:ascii="Times New Roman"/>
                <w:sz w:val="14"/>
              </w:rPr>
            </w:pPr>
          </w:p>
        </w:tc>
        <w:tc>
          <w:tcPr>
            <w:tcW w:w="1346" w:type="dxa"/>
          </w:tcPr>
          <w:p w14:paraId="04525AF6" w14:textId="77777777" w:rsidR="00BC24A8" w:rsidRDefault="00BC24A8">
            <w:pPr>
              <w:pStyle w:val="TableParagraph"/>
              <w:rPr>
                <w:rFonts w:ascii="Times New Roman"/>
                <w:sz w:val="14"/>
              </w:rPr>
            </w:pPr>
          </w:p>
        </w:tc>
        <w:tc>
          <w:tcPr>
            <w:tcW w:w="2119" w:type="dxa"/>
            <w:vMerge/>
            <w:tcBorders>
              <w:top w:val="nil"/>
              <w:bottom w:val="single" w:sz="4" w:space="0" w:color="BEBEBE"/>
            </w:tcBorders>
          </w:tcPr>
          <w:p w14:paraId="667842C4" w14:textId="77777777" w:rsidR="00BC24A8" w:rsidRDefault="00BC24A8">
            <w:pPr>
              <w:rPr>
                <w:sz w:val="2"/>
                <w:szCs w:val="2"/>
              </w:rPr>
            </w:pPr>
          </w:p>
        </w:tc>
      </w:tr>
      <w:tr w:rsidR="00BC24A8" w14:paraId="2B66C8E1" w14:textId="77777777">
        <w:trPr>
          <w:trHeight w:val="209"/>
        </w:trPr>
        <w:tc>
          <w:tcPr>
            <w:tcW w:w="1616" w:type="dxa"/>
          </w:tcPr>
          <w:p w14:paraId="3C7C1694" w14:textId="77777777" w:rsidR="00BC24A8" w:rsidRDefault="00000000">
            <w:pPr>
              <w:pStyle w:val="TableParagraph"/>
              <w:spacing w:line="190" w:lineRule="exact"/>
              <w:ind w:left="122"/>
              <w:rPr>
                <w:sz w:val="18"/>
              </w:rPr>
            </w:pPr>
            <w:r>
              <w:rPr>
                <w:sz w:val="18"/>
              </w:rPr>
              <w:t>of</w:t>
            </w:r>
            <w:r>
              <w:rPr>
                <w:spacing w:val="-2"/>
                <w:sz w:val="18"/>
              </w:rPr>
              <w:t xml:space="preserve"> identified</w:t>
            </w:r>
          </w:p>
        </w:tc>
        <w:tc>
          <w:tcPr>
            <w:tcW w:w="1283" w:type="dxa"/>
          </w:tcPr>
          <w:p w14:paraId="7F7AF99D" w14:textId="77777777" w:rsidR="00BC24A8" w:rsidRDefault="00BC24A8">
            <w:pPr>
              <w:pStyle w:val="TableParagraph"/>
              <w:rPr>
                <w:rFonts w:ascii="Times New Roman"/>
                <w:sz w:val="14"/>
              </w:rPr>
            </w:pPr>
          </w:p>
        </w:tc>
        <w:tc>
          <w:tcPr>
            <w:tcW w:w="1365" w:type="dxa"/>
          </w:tcPr>
          <w:p w14:paraId="2BC6F1AD" w14:textId="77777777" w:rsidR="00BC24A8" w:rsidRDefault="00BC24A8">
            <w:pPr>
              <w:pStyle w:val="TableParagraph"/>
              <w:rPr>
                <w:rFonts w:ascii="Times New Roman"/>
                <w:sz w:val="14"/>
              </w:rPr>
            </w:pPr>
          </w:p>
        </w:tc>
        <w:tc>
          <w:tcPr>
            <w:tcW w:w="1375" w:type="dxa"/>
          </w:tcPr>
          <w:p w14:paraId="0A323438" w14:textId="77777777" w:rsidR="00BC24A8" w:rsidRDefault="00BC24A8">
            <w:pPr>
              <w:pStyle w:val="TableParagraph"/>
              <w:rPr>
                <w:rFonts w:ascii="Times New Roman"/>
                <w:sz w:val="14"/>
              </w:rPr>
            </w:pPr>
          </w:p>
        </w:tc>
        <w:tc>
          <w:tcPr>
            <w:tcW w:w="1346" w:type="dxa"/>
          </w:tcPr>
          <w:p w14:paraId="430A0EED" w14:textId="77777777" w:rsidR="00BC24A8" w:rsidRDefault="00BC24A8">
            <w:pPr>
              <w:pStyle w:val="TableParagraph"/>
              <w:rPr>
                <w:rFonts w:ascii="Times New Roman"/>
                <w:sz w:val="14"/>
              </w:rPr>
            </w:pPr>
          </w:p>
        </w:tc>
        <w:tc>
          <w:tcPr>
            <w:tcW w:w="2119" w:type="dxa"/>
            <w:vMerge/>
            <w:tcBorders>
              <w:top w:val="nil"/>
              <w:bottom w:val="single" w:sz="4" w:space="0" w:color="BEBEBE"/>
            </w:tcBorders>
          </w:tcPr>
          <w:p w14:paraId="73EB77FB" w14:textId="77777777" w:rsidR="00BC24A8" w:rsidRDefault="00BC24A8">
            <w:pPr>
              <w:rPr>
                <w:sz w:val="2"/>
                <w:szCs w:val="2"/>
              </w:rPr>
            </w:pPr>
          </w:p>
        </w:tc>
      </w:tr>
      <w:tr w:rsidR="00BC24A8" w14:paraId="00F9A773" w14:textId="77777777">
        <w:trPr>
          <w:trHeight w:val="209"/>
        </w:trPr>
        <w:tc>
          <w:tcPr>
            <w:tcW w:w="1616" w:type="dxa"/>
          </w:tcPr>
          <w:p w14:paraId="21351A69" w14:textId="77777777" w:rsidR="00BC24A8" w:rsidRDefault="00000000">
            <w:pPr>
              <w:pStyle w:val="TableParagraph"/>
              <w:spacing w:line="190" w:lineRule="exact"/>
              <w:ind w:left="122"/>
              <w:rPr>
                <w:sz w:val="18"/>
              </w:rPr>
            </w:pPr>
            <w:r>
              <w:rPr>
                <w:spacing w:val="-2"/>
                <w:sz w:val="18"/>
              </w:rPr>
              <w:t>information</w:t>
            </w:r>
          </w:p>
        </w:tc>
        <w:tc>
          <w:tcPr>
            <w:tcW w:w="1283" w:type="dxa"/>
          </w:tcPr>
          <w:p w14:paraId="0D42EA3E" w14:textId="77777777" w:rsidR="00BC24A8" w:rsidRDefault="00BC24A8">
            <w:pPr>
              <w:pStyle w:val="TableParagraph"/>
              <w:rPr>
                <w:rFonts w:ascii="Times New Roman"/>
                <w:sz w:val="14"/>
              </w:rPr>
            </w:pPr>
          </w:p>
        </w:tc>
        <w:tc>
          <w:tcPr>
            <w:tcW w:w="1365" w:type="dxa"/>
          </w:tcPr>
          <w:p w14:paraId="5B20F38F" w14:textId="77777777" w:rsidR="00BC24A8" w:rsidRDefault="00BC24A8">
            <w:pPr>
              <w:pStyle w:val="TableParagraph"/>
              <w:rPr>
                <w:rFonts w:ascii="Times New Roman"/>
                <w:sz w:val="14"/>
              </w:rPr>
            </w:pPr>
          </w:p>
        </w:tc>
        <w:tc>
          <w:tcPr>
            <w:tcW w:w="1375" w:type="dxa"/>
          </w:tcPr>
          <w:p w14:paraId="1A2CA724" w14:textId="77777777" w:rsidR="00BC24A8" w:rsidRDefault="00BC24A8">
            <w:pPr>
              <w:pStyle w:val="TableParagraph"/>
              <w:rPr>
                <w:rFonts w:ascii="Times New Roman"/>
                <w:sz w:val="14"/>
              </w:rPr>
            </w:pPr>
          </w:p>
        </w:tc>
        <w:tc>
          <w:tcPr>
            <w:tcW w:w="1346" w:type="dxa"/>
          </w:tcPr>
          <w:p w14:paraId="3E14E306" w14:textId="77777777" w:rsidR="00BC24A8" w:rsidRDefault="00BC24A8">
            <w:pPr>
              <w:pStyle w:val="TableParagraph"/>
              <w:rPr>
                <w:rFonts w:ascii="Times New Roman"/>
                <w:sz w:val="14"/>
              </w:rPr>
            </w:pPr>
          </w:p>
        </w:tc>
        <w:tc>
          <w:tcPr>
            <w:tcW w:w="2119" w:type="dxa"/>
            <w:vMerge/>
            <w:tcBorders>
              <w:top w:val="nil"/>
              <w:bottom w:val="single" w:sz="4" w:space="0" w:color="BEBEBE"/>
            </w:tcBorders>
          </w:tcPr>
          <w:p w14:paraId="425639F1" w14:textId="77777777" w:rsidR="00BC24A8" w:rsidRDefault="00BC24A8">
            <w:pPr>
              <w:rPr>
                <w:sz w:val="2"/>
                <w:szCs w:val="2"/>
              </w:rPr>
            </w:pPr>
          </w:p>
        </w:tc>
      </w:tr>
      <w:tr w:rsidR="00BC24A8" w14:paraId="23610DDA" w14:textId="77777777">
        <w:trPr>
          <w:trHeight w:val="210"/>
        </w:trPr>
        <w:tc>
          <w:tcPr>
            <w:tcW w:w="1616" w:type="dxa"/>
          </w:tcPr>
          <w:p w14:paraId="0499928A" w14:textId="77777777" w:rsidR="00BC24A8" w:rsidRDefault="00000000">
            <w:pPr>
              <w:pStyle w:val="TableParagraph"/>
              <w:spacing w:line="191" w:lineRule="exact"/>
              <w:ind w:left="122"/>
              <w:rPr>
                <w:sz w:val="18"/>
              </w:rPr>
            </w:pPr>
            <w:r>
              <w:rPr>
                <w:sz w:val="18"/>
              </w:rPr>
              <w:t>system(s)</w:t>
            </w:r>
            <w:r>
              <w:rPr>
                <w:spacing w:val="-6"/>
                <w:sz w:val="18"/>
              </w:rPr>
              <w:t xml:space="preserve"> </w:t>
            </w:r>
            <w:r>
              <w:rPr>
                <w:spacing w:val="-5"/>
                <w:sz w:val="18"/>
              </w:rPr>
              <w:t>to</w:t>
            </w:r>
          </w:p>
        </w:tc>
        <w:tc>
          <w:tcPr>
            <w:tcW w:w="1283" w:type="dxa"/>
          </w:tcPr>
          <w:p w14:paraId="12976E9C" w14:textId="77777777" w:rsidR="00BC24A8" w:rsidRDefault="00BC24A8">
            <w:pPr>
              <w:pStyle w:val="TableParagraph"/>
              <w:rPr>
                <w:rFonts w:ascii="Times New Roman"/>
                <w:sz w:val="14"/>
              </w:rPr>
            </w:pPr>
          </w:p>
        </w:tc>
        <w:tc>
          <w:tcPr>
            <w:tcW w:w="1365" w:type="dxa"/>
          </w:tcPr>
          <w:p w14:paraId="567B17AB" w14:textId="77777777" w:rsidR="00BC24A8" w:rsidRDefault="00BC24A8">
            <w:pPr>
              <w:pStyle w:val="TableParagraph"/>
              <w:rPr>
                <w:rFonts w:ascii="Times New Roman"/>
                <w:sz w:val="14"/>
              </w:rPr>
            </w:pPr>
          </w:p>
        </w:tc>
        <w:tc>
          <w:tcPr>
            <w:tcW w:w="1375" w:type="dxa"/>
          </w:tcPr>
          <w:p w14:paraId="4B47D025" w14:textId="77777777" w:rsidR="00BC24A8" w:rsidRDefault="00BC24A8">
            <w:pPr>
              <w:pStyle w:val="TableParagraph"/>
              <w:rPr>
                <w:rFonts w:ascii="Times New Roman"/>
                <w:sz w:val="14"/>
              </w:rPr>
            </w:pPr>
          </w:p>
        </w:tc>
        <w:tc>
          <w:tcPr>
            <w:tcW w:w="1346" w:type="dxa"/>
          </w:tcPr>
          <w:p w14:paraId="1D09035F" w14:textId="77777777" w:rsidR="00BC24A8" w:rsidRDefault="00BC24A8">
            <w:pPr>
              <w:pStyle w:val="TableParagraph"/>
              <w:rPr>
                <w:rFonts w:ascii="Times New Roman"/>
                <w:sz w:val="14"/>
              </w:rPr>
            </w:pPr>
          </w:p>
        </w:tc>
        <w:tc>
          <w:tcPr>
            <w:tcW w:w="2119" w:type="dxa"/>
            <w:vMerge/>
            <w:tcBorders>
              <w:top w:val="nil"/>
              <w:bottom w:val="single" w:sz="4" w:space="0" w:color="BEBEBE"/>
            </w:tcBorders>
          </w:tcPr>
          <w:p w14:paraId="7DD30483" w14:textId="77777777" w:rsidR="00BC24A8" w:rsidRDefault="00BC24A8">
            <w:pPr>
              <w:rPr>
                <w:sz w:val="2"/>
                <w:szCs w:val="2"/>
              </w:rPr>
            </w:pPr>
          </w:p>
        </w:tc>
      </w:tr>
      <w:tr w:rsidR="00BC24A8" w14:paraId="62477604" w14:textId="77777777">
        <w:trPr>
          <w:trHeight w:val="209"/>
        </w:trPr>
        <w:tc>
          <w:tcPr>
            <w:tcW w:w="1616" w:type="dxa"/>
          </w:tcPr>
          <w:p w14:paraId="5D5D2C33" w14:textId="77777777" w:rsidR="00BC24A8" w:rsidRDefault="00000000">
            <w:pPr>
              <w:pStyle w:val="TableParagraph"/>
              <w:spacing w:line="190" w:lineRule="exact"/>
              <w:ind w:left="122"/>
              <w:rPr>
                <w:sz w:val="18"/>
              </w:rPr>
            </w:pPr>
            <w:r>
              <w:rPr>
                <w:spacing w:val="-2"/>
                <w:sz w:val="18"/>
              </w:rPr>
              <w:t>support</w:t>
            </w:r>
          </w:p>
        </w:tc>
        <w:tc>
          <w:tcPr>
            <w:tcW w:w="1283" w:type="dxa"/>
          </w:tcPr>
          <w:p w14:paraId="5A758FB8" w14:textId="77777777" w:rsidR="00BC24A8" w:rsidRDefault="00BC24A8">
            <w:pPr>
              <w:pStyle w:val="TableParagraph"/>
              <w:rPr>
                <w:rFonts w:ascii="Times New Roman"/>
                <w:sz w:val="14"/>
              </w:rPr>
            </w:pPr>
          </w:p>
        </w:tc>
        <w:tc>
          <w:tcPr>
            <w:tcW w:w="1365" w:type="dxa"/>
          </w:tcPr>
          <w:p w14:paraId="6B1774F6" w14:textId="77777777" w:rsidR="00BC24A8" w:rsidRDefault="00BC24A8">
            <w:pPr>
              <w:pStyle w:val="TableParagraph"/>
              <w:rPr>
                <w:rFonts w:ascii="Times New Roman"/>
                <w:sz w:val="14"/>
              </w:rPr>
            </w:pPr>
          </w:p>
        </w:tc>
        <w:tc>
          <w:tcPr>
            <w:tcW w:w="1375" w:type="dxa"/>
          </w:tcPr>
          <w:p w14:paraId="7DEEE984" w14:textId="77777777" w:rsidR="00BC24A8" w:rsidRDefault="00BC24A8">
            <w:pPr>
              <w:pStyle w:val="TableParagraph"/>
              <w:rPr>
                <w:rFonts w:ascii="Times New Roman"/>
                <w:sz w:val="14"/>
              </w:rPr>
            </w:pPr>
          </w:p>
        </w:tc>
        <w:tc>
          <w:tcPr>
            <w:tcW w:w="1346" w:type="dxa"/>
          </w:tcPr>
          <w:p w14:paraId="51815960" w14:textId="77777777" w:rsidR="00BC24A8" w:rsidRDefault="00BC24A8">
            <w:pPr>
              <w:pStyle w:val="TableParagraph"/>
              <w:rPr>
                <w:rFonts w:ascii="Times New Roman"/>
                <w:sz w:val="14"/>
              </w:rPr>
            </w:pPr>
          </w:p>
        </w:tc>
        <w:tc>
          <w:tcPr>
            <w:tcW w:w="2119" w:type="dxa"/>
            <w:vMerge/>
            <w:tcBorders>
              <w:top w:val="nil"/>
              <w:bottom w:val="single" w:sz="4" w:space="0" w:color="BEBEBE"/>
            </w:tcBorders>
          </w:tcPr>
          <w:p w14:paraId="6A4E8B6B" w14:textId="77777777" w:rsidR="00BC24A8" w:rsidRDefault="00BC24A8">
            <w:pPr>
              <w:rPr>
                <w:sz w:val="2"/>
                <w:szCs w:val="2"/>
              </w:rPr>
            </w:pPr>
          </w:p>
        </w:tc>
      </w:tr>
      <w:tr w:rsidR="00BC24A8" w14:paraId="678A697F" w14:textId="77777777">
        <w:trPr>
          <w:trHeight w:val="209"/>
        </w:trPr>
        <w:tc>
          <w:tcPr>
            <w:tcW w:w="1616" w:type="dxa"/>
          </w:tcPr>
          <w:p w14:paraId="6A8751BD" w14:textId="77777777" w:rsidR="00BC24A8" w:rsidRDefault="00000000">
            <w:pPr>
              <w:pStyle w:val="TableParagraph"/>
              <w:spacing w:line="190" w:lineRule="exact"/>
              <w:ind w:left="122"/>
              <w:rPr>
                <w:sz w:val="18"/>
              </w:rPr>
            </w:pPr>
            <w:r>
              <w:rPr>
                <w:spacing w:val="-2"/>
                <w:sz w:val="18"/>
              </w:rPr>
              <w:t>subnational</w:t>
            </w:r>
          </w:p>
        </w:tc>
        <w:tc>
          <w:tcPr>
            <w:tcW w:w="1283" w:type="dxa"/>
          </w:tcPr>
          <w:p w14:paraId="6457BB24" w14:textId="77777777" w:rsidR="00BC24A8" w:rsidRDefault="00BC24A8">
            <w:pPr>
              <w:pStyle w:val="TableParagraph"/>
              <w:rPr>
                <w:rFonts w:ascii="Times New Roman"/>
                <w:sz w:val="14"/>
              </w:rPr>
            </w:pPr>
          </w:p>
        </w:tc>
        <w:tc>
          <w:tcPr>
            <w:tcW w:w="1365" w:type="dxa"/>
          </w:tcPr>
          <w:p w14:paraId="14B33B1C" w14:textId="77777777" w:rsidR="00BC24A8" w:rsidRDefault="00BC24A8">
            <w:pPr>
              <w:pStyle w:val="TableParagraph"/>
              <w:rPr>
                <w:rFonts w:ascii="Times New Roman"/>
                <w:sz w:val="14"/>
              </w:rPr>
            </w:pPr>
          </w:p>
        </w:tc>
        <w:tc>
          <w:tcPr>
            <w:tcW w:w="1375" w:type="dxa"/>
          </w:tcPr>
          <w:p w14:paraId="3AEF4B48" w14:textId="77777777" w:rsidR="00BC24A8" w:rsidRDefault="00BC24A8">
            <w:pPr>
              <w:pStyle w:val="TableParagraph"/>
              <w:rPr>
                <w:rFonts w:ascii="Times New Roman"/>
                <w:sz w:val="14"/>
              </w:rPr>
            </w:pPr>
          </w:p>
        </w:tc>
        <w:tc>
          <w:tcPr>
            <w:tcW w:w="1346" w:type="dxa"/>
          </w:tcPr>
          <w:p w14:paraId="0927E625" w14:textId="77777777" w:rsidR="00BC24A8" w:rsidRDefault="00BC24A8">
            <w:pPr>
              <w:pStyle w:val="TableParagraph"/>
              <w:rPr>
                <w:rFonts w:ascii="Times New Roman"/>
                <w:sz w:val="14"/>
              </w:rPr>
            </w:pPr>
          </w:p>
        </w:tc>
        <w:tc>
          <w:tcPr>
            <w:tcW w:w="2119" w:type="dxa"/>
            <w:vMerge/>
            <w:tcBorders>
              <w:top w:val="nil"/>
              <w:bottom w:val="single" w:sz="4" w:space="0" w:color="BEBEBE"/>
            </w:tcBorders>
          </w:tcPr>
          <w:p w14:paraId="5AB4DCE0" w14:textId="77777777" w:rsidR="00BC24A8" w:rsidRDefault="00BC24A8">
            <w:pPr>
              <w:rPr>
                <w:sz w:val="2"/>
                <w:szCs w:val="2"/>
              </w:rPr>
            </w:pPr>
          </w:p>
        </w:tc>
      </w:tr>
      <w:tr w:rsidR="00BC24A8" w14:paraId="7EA41F27" w14:textId="77777777">
        <w:trPr>
          <w:trHeight w:val="209"/>
        </w:trPr>
        <w:tc>
          <w:tcPr>
            <w:tcW w:w="1616" w:type="dxa"/>
          </w:tcPr>
          <w:p w14:paraId="43FE0B19" w14:textId="77777777" w:rsidR="00BC24A8" w:rsidRDefault="00000000">
            <w:pPr>
              <w:pStyle w:val="TableParagraph"/>
              <w:spacing w:line="190" w:lineRule="exact"/>
              <w:ind w:left="122"/>
              <w:rPr>
                <w:sz w:val="18"/>
              </w:rPr>
            </w:pPr>
            <w:r>
              <w:rPr>
                <w:spacing w:val="-2"/>
                <w:sz w:val="18"/>
              </w:rPr>
              <w:t>governments</w:t>
            </w:r>
          </w:p>
        </w:tc>
        <w:tc>
          <w:tcPr>
            <w:tcW w:w="1283" w:type="dxa"/>
          </w:tcPr>
          <w:p w14:paraId="03FC8F62" w14:textId="77777777" w:rsidR="00BC24A8" w:rsidRDefault="00BC24A8">
            <w:pPr>
              <w:pStyle w:val="TableParagraph"/>
              <w:rPr>
                <w:rFonts w:ascii="Times New Roman"/>
                <w:sz w:val="14"/>
              </w:rPr>
            </w:pPr>
          </w:p>
        </w:tc>
        <w:tc>
          <w:tcPr>
            <w:tcW w:w="1365" w:type="dxa"/>
          </w:tcPr>
          <w:p w14:paraId="0B155927" w14:textId="77777777" w:rsidR="00BC24A8" w:rsidRDefault="00BC24A8">
            <w:pPr>
              <w:pStyle w:val="TableParagraph"/>
              <w:rPr>
                <w:rFonts w:ascii="Times New Roman"/>
                <w:sz w:val="14"/>
              </w:rPr>
            </w:pPr>
          </w:p>
        </w:tc>
        <w:tc>
          <w:tcPr>
            <w:tcW w:w="1375" w:type="dxa"/>
          </w:tcPr>
          <w:p w14:paraId="4D09E9A2" w14:textId="77777777" w:rsidR="00BC24A8" w:rsidRDefault="00BC24A8">
            <w:pPr>
              <w:pStyle w:val="TableParagraph"/>
              <w:rPr>
                <w:rFonts w:ascii="Times New Roman"/>
                <w:sz w:val="14"/>
              </w:rPr>
            </w:pPr>
          </w:p>
        </w:tc>
        <w:tc>
          <w:tcPr>
            <w:tcW w:w="1346" w:type="dxa"/>
          </w:tcPr>
          <w:p w14:paraId="1054DC19" w14:textId="77777777" w:rsidR="00BC24A8" w:rsidRDefault="00BC24A8">
            <w:pPr>
              <w:pStyle w:val="TableParagraph"/>
              <w:rPr>
                <w:rFonts w:ascii="Times New Roman"/>
                <w:sz w:val="14"/>
              </w:rPr>
            </w:pPr>
          </w:p>
        </w:tc>
        <w:tc>
          <w:tcPr>
            <w:tcW w:w="2119" w:type="dxa"/>
            <w:vMerge/>
            <w:tcBorders>
              <w:top w:val="nil"/>
              <w:bottom w:val="single" w:sz="4" w:space="0" w:color="BEBEBE"/>
            </w:tcBorders>
          </w:tcPr>
          <w:p w14:paraId="228C624E" w14:textId="77777777" w:rsidR="00BC24A8" w:rsidRDefault="00BC24A8">
            <w:pPr>
              <w:rPr>
                <w:sz w:val="2"/>
                <w:szCs w:val="2"/>
              </w:rPr>
            </w:pPr>
          </w:p>
        </w:tc>
      </w:tr>
      <w:tr w:rsidR="00BC24A8" w14:paraId="5D4A30BA" w14:textId="77777777">
        <w:trPr>
          <w:trHeight w:val="209"/>
        </w:trPr>
        <w:tc>
          <w:tcPr>
            <w:tcW w:w="1616" w:type="dxa"/>
          </w:tcPr>
          <w:p w14:paraId="794C0CAE" w14:textId="77777777" w:rsidR="00BC24A8" w:rsidRDefault="00000000">
            <w:pPr>
              <w:pStyle w:val="TableParagraph"/>
              <w:spacing w:line="190" w:lineRule="exact"/>
              <w:ind w:left="122"/>
              <w:rPr>
                <w:sz w:val="18"/>
              </w:rPr>
            </w:pPr>
            <w:r>
              <w:rPr>
                <w:sz w:val="18"/>
              </w:rPr>
              <w:t xml:space="preserve">planning </w:t>
            </w:r>
            <w:r>
              <w:rPr>
                <w:spacing w:val="-5"/>
                <w:sz w:val="18"/>
              </w:rPr>
              <w:t>and</w:t>
            </w:r>
          </w:p>
        </w:tc>
        <w:tc>
          <w:tcPr>
            <w:tcW w:w="1283" w:type="dxa"/>
          </w:tcPr>
          <w:p w14:paraId="758F769A" w14:textId="77777777" w:rsidR="00BC24A8" w:rsidRDefault="00BC24A8">
            <w:pPr>
              <w:pStyle w:val="TableParagraph"/>
              <w:rPr>
                <w:rFonts w:ascii="Times New Roman"/>
                <w:sz w:val="14"/>
              </w:rPr>
            </w:pPr>
          </w:p>
        </w:tc>
        <w:tc>
          <w:tcPr>
            <w:tcW w:w="1365" w:type="dxa"/>
          </w:tcPr>
          <w:p w14:paraId="1BC5FAD8" w14:textId="77777777" w:rsidR="00BC24A8" w:rsidRDefault="00BC24A8">
            <w:pPr>
              <w:pStyle w:val="TableParagraph"/>
              <w:rPr>
                <w:rFonts w:ascii="Times New Roman"/>
                <w:sz w:val="14"/>
              </w:rPr>
            </w:pPr>
          </w:p>
        </w:tc>
        <w:tc>
          <w:tcPr>
            <w:tcW w:w="1375" w:type="dxa"/>
          </w:tcPr>
          <w:p w14:paraId="1534DE8D" w14:textId="77777777" w:rsidR="00BC24A8" w:rsidRDefault="00BC24A8">
            <w:pPr>
              <w:pStyle w:val="TableParagraph"/>
              <w:rPr>
                <w:rFonts w:ascii="Times New Roman"/>
                <w:sz w:val="14"/>
              </w:rPr>
            </w:pPr>
          </w:p>
        </w:tc>
        <w:tc>
          <w:tcPr>
            <w:tcW w:w="1346" w:type="dxa"/>
          </w:tcPr>
          <w:p w14:paraId="284A95E6" w14:textId="77777777" w:rsidR="00BC24A8" w:rsidRDefault="00BC24A8">
            <w:pPr>
              <w:pStyle w:val="TableParagraph"/>
              <w:rPr>
                <w:rFonts w:ascii="Times New Roman"/>
                <w:sz w:val="14"/>
              </w:rPr>
            </w:pPr>
          </w:p>
        </w:tc>
        <w:tc>
          <w:tcPr>
            <w:tcW w:w="2119" w:type="dxa"/>
            <w:vMerge/>
            <w:tcBorders>
              <w:top w:val="nil"/>
              <w:bottom w:val="single" w:sz="4" w:space="0" w:color="BEBEBE"/>
            </w:tcBorders>
          </w:tcPr>
          <w:p w14:paraId="506567C1" w14:textId="77777777" w:rsidR="00BC24A8" w:rsidRDefault="00BC24A8">
            <w:pPr>
              <w:rPr>
                <w:sz w:val="2"/>
                <w:szCs w:val="2"/>
              </w:rPr>
            </w:pPr>
          </w:p>
        </w:tc>
      </w:tr>
      <w:tr w:rsidR="00BC24A8" w14:paraId="0776A4E8" w14:textId="77777777">
        <w:trPr>
          <w:trHeight w:val="209"/>
        </w:trPr>
        <w:tc>
          <w:tcPr>
            <w:tcW w:w="1616" w:type="dxa"/>
          </w:tcPr>
          <w:p w14:paraId="023C32B4" w14:textId="77777777" w:rsidR="00BC24A8" w:rsidRDefault="00000000">
            <w:pPr>
              <w:pStyle w:val="TableParagraph"/>
              <w:spacing w:line="190" w:lineRule="exact"/>
              <w:ind w:left="122"/>
              <w:rPr>
                <w:sz w:val="18"/>
              </w:rPr>
            </w:pPr>
            <w:r>
              <w:rPr>
                <w:sz w:val="18"/>
              </w:rPr>
              <w:t>budgeting</w:t>
            </w:r>
            <w:r>
              <w:rPr>
                <w:spacing w:val="-2"/>
                <w:sz w:val="18"/>
              </w:rPr>
              <w:t xml:space="preserve"> </w:t>
            </w:r>
            <w:r>
              <w:rPr>
                <w:sz w:val="18"/>
              </w:rPr>
              <w:t>of</w:t>
            </w:r>
            <w:r>
              <w:rPr>
                <w:spacing w:val="-2"/>
                <w:sz w:val="18"/>
              </w:rPr>
              <w:t xml:space="preserve"> basic</w:t>
            </w:r>
          </w:p>
        </w:tc>
        <w:tc>
          <w:tcPr>
            <w:tcW w:w="1283" w:type="dxa"/>
          </w:tcPr>
          <w:p w14:paraId="5A71E2C7" w14:textId="77777777" w:rsidR="00BC24A8" w:rsidRDefault="00BC24A8">
            <w:pPr>
              <w:pStyle w:val="TableParagraph"/>
              <w:rPr>
                <w:rFonts w:ascii="Times New Roman"/>
                <w:sz w:val="14"/>
              </w:rPr>
            </w:pPr>
          </w:p>
        </w:tc>
        <w:tc>
          <w:tcPr>
            <w:tcW w:w="1365" w:type="dxa"/>
          </w:tcPr>
          <w:p w14:paraId="5E15DFC2" w14:textId="77777777" w:rsidR="00BC24A8" w:rsidRDefault="00BC24A8">
            <w:pPr>
              <w:pStyle w:val="TableParagraph"/>
              <w:rPr>
                <w:rFonts w:ascii="Times New Roman"/>
                <w:sz w:val="14"/>
              </w:rPr>
            </w:pPr>
          </w:p>
        </w:tc>
        <w:tc>
          <w:tcPr>
            <w:tcW w:w="1375" w:type="dxa"/>
          </w:tcPr>
          <w:p w14:paraId="083602CD" w14:textId="77777777" w:rsidR="00BC24A8" w:rsidRDefault="00BC24A8">
            <w:pPr>
              <w:pStyle w:val="TableParagraph"/>
              <w:rPr>
                <w:rFonts w:ascii="Times New Roman"/>
                <w:sz w:val="14"/>
              </w:rPr>
            </w:pPr>
          </w:p>
        </w:tc>
        <w:tc>
          <w:tcPr>
            <w:tcW w:w="1346" w:type="dxa"/>
          </w:tcPr>
          <w:p w14:paraId="1B16267A" w14:textId="77777777" w:rsidR="00BC24A8" w:rsidRDefault="00BC24A8">
            <w:pPr>
              <w:pStyle w:val="TableParagraph"/>
              <w:rPr>
                <w:rFonts w:ascii="Times New Roman"/>
                <w:sz w:val="14"/>
              </w:rPr>
            </w:pPr>
          </w:p>
        </w:tc>
        <w:tc>
          <w:tcPr>
            <w:tcW w:w="2119" w:type="dxa"/>
            <w:vMerge/>
            <w:tcBorders>
              <w:top w:val="nil"/>
              <w:bottom w:val="single" w:sz="4" w:space="0" w:color="BEBEBE"/>
            </w:tcBorders>
          </w:tcPr>
          <w:p w14:paraId="3BCECC0B" w14:textId="77777777" w:rsidR="00BC24A8" w:rsidRDefault="00BC24A8">
            <w:pPr>
              <w:rPr>
                <w:sz w:val="2"/>
                <w:szCs w:val="2"/>
              </w:rPr>
            </w:pPr>
          </w:p>
        </w:tc>
      </w:tr>
      <w:tr w:rsidR="00BC24A8" w14:paraId="496C6A65" w14:textId="77777777">
        <w:trPr>
          <w:trHeight w:val="209"/>
        </w:trPr>
        <w:tc>
          <w:tcPr>
            <w:tcW w:w="1616" w:type="dxa"/>
          </w:tcPr>
          <w:p w14:paraId="6DA102C3" w14:textId="77777777" w:rsidR="00BC24A8" w:rsidRDefault="00000000">
            <w:pPr>
              <w:pStyle w:val="TableParagraph"/>
              <w:spacing w:line="190" w:lineRule="exact"/>
              <w:ind w:left="122"/>
              <w:rPr>
                <w:sz w:val="18"/>
              </w:rPr>
            </w:pPr>
            <w:r>
              <w:rPr>
                <w:sz w:val="18"/>
              </w:rPr>
              <w:t>service</w:t>
            </w:r>
            <w:r>
              <w:rPr>
                <w:spacing w:val="-2"/>
                <w:sz w:val="18"/>
              </w:rPr>
              <w:t xml:space="preserve"> </w:t>
            </w:r>
            <w:r>
              <w:rPr>
                <w:sz w:val="18"/>
              </w:rPr>
              <w:t>delivery</w:t>
            </w:r>
            <w:r>
              <w:rPr>
                <w:spacing w:val="-2"/>
                <w:sz w:val="18"/>
              </w:rPr>
              <w:t xml:space="preserve"> </w:t>
            </w:r>
            <w:r>
              <w:rPr>
                <w:spacing w:val="-5"/>
                <w:sz w:val="18"/>
              </w:rPr>
              <w:t>for</w:t>
            </w:r>
          </w:p>
        </w:tc>
        <w:tc>
          <w:tcPr>
            <w:tcW w:w="1283" w:type="dxa"/>
          </w:tcPr>
          <w:p w14:paraId="54F3F2AB" w14:textId="77777777" w:rsidR="00BC24A8" w:rsidRDefault="00BC24A8">
            <w:pPr>
              <w:pStyle w:val="TableParagraph"/>
              <w:rPr>
                <w:rFonts w:ascii="Times New Roman"/>
                <w:sz w:val="14"/>
              </w:rPr>
            </w:pPr>
          </w:p>
        </w:tc>
        <w:tc>
          <w:tcPr>
            <w:tcW w:w="1365" w:type="dxa"/>
          </w:tcPr>
          <w:p w14:paraId="2DB15F77" w14:textId="77777777" w:rsidR="00BC24A8" w:rsidRDefault="00BC24A8">
            <w:pPr>
              <w:pStyle w:val="TableParagraph"/>
              <w:rPr>
                <w:rFonts w:ascii="Times New Roman"/>
                <w:sz w:val="14"/>
              </w:rPr>
            </w:pPr>
          </w:p>
        </w:tc>
        <w:tc>
          <w:tcPr>
            <w:tcW w:w="1375" w:type="dxa"/>
          </w:tcPr>
          <w:p w14:paraId="08A82DCD" w14:textId="77777777" w:rsidR="00BC24A8" w:rsidRDefault="00BC24A8">
            <w:pPr>
              <w:pStyle w:val="TableParagraph"/>
              <w:rPr>
                <w:rFonts w:ascii="Times New Roman"/>
                <w:sz w:val="14"/>
              </w:rPr>
            </w:pPr>
          </w:p>
        </w:tc>
        <w:tc>
          <w:tcPr>
            <w:tcW w:w="1346" w:type="dxa"/>
          </w:tcPr>
          <w:p w14:paraId="36F1D595" w14:textId="77777777" w:rsidR="00BC24A8" w:rsidRDefault="00BC24A8">
            <w:pPr>
              <w:pStyle w:val="TableParagraph"/>
              <w:rPr>
                <w:rFonts w:ascii="Times New Roman"/>
                <w:sz w:val="14"/>
              </w:rPr>
            </w:pPr>
          </w:p>
        </w:tc>
        <w:tc>
          <w:tcPr>
            <w:tcW w:w="2119" w:type="dxa"/>
            <w:vMerge/>
            <w:tcBorders>
              <w:top w:val="nil"/>
              <w:bottom w:val="single" w:sz="4" w:space="0" w:color="BEBEBE"/>
            </w:tcBorders>
          </w:tcPr>
          <w:p w14:paraId="769B933C" w14:textId="77777777" w:rsidR="00BC24A8" w:rsidRDefault="00BC24A8">
            <w:pPr>
              <w:rPr>
                <w:sz w:val="2"/>
                <w:szCs w:val="2"/>
              </w:rPr>
            </w:pPr>
          </w:p>
        </w:tc>
      </w:tr>
      <w:tr w:rsidR="00BC24A8" w14:paraId="6A7CD92C" w14:textId="77777777">
        <w:trPr>
          <w:trHeight w:val="209"/>
        </w:trPr>
        <w:tc>
          <w:tcPr>
            <w:tcW w:w="1616" w:type="dxa"/>
          </w:tcPr>
          <w:p w14:paraId="5F3A796F" w14:textId="77777777" w:rsidR="00BC24A8" w:rsidRDefault="00000000">
            <w:pPr>
              <w:pStyle w:val="TableParagraph"/>
              <w:spacing w:line="190" w:lineRule="exact"/>
              <w:ind w:left="122"/>
              <w:rPr>
                <w:sz w:val="18"/>
              </w:rPr>
            </w:pPr>
            <w:r>
              <w:rPr>
                <w:sz w:val="18"/>
              </w:rPr>
              <w:t>all</w:t>
            </w:r>
            <w:r>
              <w:rPr>
                <w:spacing w:val="-2"/>
                <w:sz w:val="18"/>
              </w:rPr>
              <w:t xml:space="preserve"> </w:t>
            </w:r>
            <w:r>
              <w:rPr>
                <w:sz w:val="18"/>
              </w:rPr>
              <w:t>citizens,</w:t>
            </w:r>
            <w:r>
              <w:rPr>
                <w:spacing w:val="-1"/>
                <w:sz w:val="18"/>
              </w:rPr>
              <w:t xml:space="preserve"> </w:t>
            </w:r>
            <w:r>
              <w:rPr>
                <w:spacing w:val="-4"/>
                <w:sz w:val="18"/>
              </w:rPr>
              <w:t>with</w:t>
            </w:r>
          </w:p>
        </w:tc>
        <w:tc>
          <w:tcPr>
            <w:tcW w:w="1283" w:type="dxa"/>
          </w:tcPr>
          <w:p w14:paraId="615181DF" w14:textId="77777777" w:rsidR="00BC24A8" w:rsidRDefault="00BC24A8">
            <w:pPr>
              <w:pStyle w:val="TableParagraph"/>
              <w:rPr>
                <w:rFonts w:ascii="Times New Roman"/>
                <w:sz w:val="14"/>
              </w:rPr>
            </w:pPr>
          </w:p>
        </w:tc>
        <w:tc>
          <w:tcPr>
            <w:tcW w:w="1365" w:type="dxa"/>
          </w:tcPr>
          <w:p w14:paraId="0EF02D18" w14:textId="77777777" w:rsidR="00BC24A8" w:rsidRDefault="00BC24A8">
            <w:pPr>
              <w:pStyle w:val="TableParagraph"/>
              <w:rPr>
                <w:rFonts w:ascii="Times New Roman"/>
                <w:sz w:val="14"/>
              </w:rPr>
            </w:pPr>
          </w:p>
        </w:tc>
        <w:tc>
          <w:tcPr>
            <w:tcW w:w="1375" w:type="dxa"/>
          </w:tcPr>
          <w:p w14:paraId="2EFEA678" w14:textId="77777777" w:rsidR="00BC24A8" w:rsidRDefault="00BC24A8">
            <w:pPr>
              <w:pStyle w:val="TableParagraph"/>
              <w:rPr>
                <w:rFonts w:ascii="Times New Roman"/>
                <w:sz w:val="14"/>
              </w:rPr>
            </w:pPr>
          </w:p>
        </w:tc>
        <w:tc>
          <w:tcPr>
            <w:tcW w:w="1346" w:type="dxa"/>
          </w:tcPr>
          <w:p w14:paraId="7A451EA2" w14:textId="77777777" w:rsidR="00BC24A8" w:rsidRDefault="00BC24A8">
            <w:pPr>
              <w:pStyle w:val="TableParagraph"/>
              <w:rPr>
                <w:rFonts w:ascii="Times New Roman"/>
                <w:sz w:val="14"/>
              </w:rPr>
            </w:pPr>
          </w:p>
        </w:tc>
        <w:tc>
          <w:tcPr>
            <w:tcW w:w="2119" w:type="dxa"/>
            <w:vMerge/>
            <w:tcBorders>
              <w:top w:val="nil"/>
              <w:bottom w:val="single" w:sz="4" w:space="0" w:color="BEBEBE"/>
            </w:tcBorders>
          </w:tcPr>
          <w:p w14:paraId="48B53346" w14:textId="77777777" w:rsidR="00BC24A8" w:rsidRDefault="00BC24A8">
            <w:pPr>
              <w:rPr>
                <w:sz w:val="2"/>
                <w:szCs w:val="2"/>
              </w:rPr>
            </w:pPr>
          </w:p>
        </w:tc>
      </w:tr>
      <w:tr w:rsidR="00BC24A8" w14:paraId="5E21850A" w14:textId="77777777">
        <w:trPr>
          <w:trHeight w:val="2376"/>
        </w:trPr>
        <w:tc>
          <w:tcPr>
            <w:tcW w:w="1616" w:type="dxa"/>
            <w:tcBorders>
              <w:bottom w:val="single" w:sz="4" w:space="0" w:color="BEBEBE"/>
            </w:tcBorders>
          </w:tcPr>
          <w:p w14:paraId="52A45788" w14:textId="77777777" w:rsidR="00BC24A8" w:rsidRDefault="00000000">
            <w:pPr>
              <w:pStyle w:val="TableParagraph"/>
              <w:spacing w:line="198" w:lineRule="exact"/>
              <w:ind w:left="122"/>
              <w:rPr>
                <w:sz w:val="18"/>
              </w:rPr>
            </w:pPr>
            <w:r>
              <w:rPr>
                <w:sz w:val="18"/>
              </w:rPr>
              <w:t>SKALA</w:t>
            </w:r>
            <w:r>
              <w:rPr>
                <w:spacing w:val="-4"/>
                <w:sz w:val="18"/>
              </w:rPr>
              <w:t xml:space="preserve"> </w:t>
            </w:r>
            <w:r>
              <w:rPr>
                <w:spacing w:val="-2"/>
                <w:sz w:val="18"/>
              </w:rPr>
              <w:t>support.</w:t>
            </w:r>
          </w:p>
        </w:tc>
        <w:tc>
          <w:tcPr>
            <w:tcW w:w="1283" w:type="dxa"/>
            <w:tcBorders>
              <w:bottom w:val="single" w:sz="4" w:space="0" w:color="BEBEBE"/>
            </w:tcBorders>
          </w:tcPr>
          <w:p w14:paraId="05BEE17D" w14:textId="77777777" w:rsidR="00BC24A8" w:rsidRDefault="00BC24A8">
            <w:pPr>
              <w:pStyle w:val="TableParagraph"/>
              <w:rPr>
                <w:rFonts w:ascii="Times New Roman"/>
                <w:sz w:val="16"/>
              </w:rPr>
            </w:pPr>
          </w:p>
        </w:tc>
        <w:tc>
          <w:tcPr>
            <w:tcW w:w="1365" w:type="dxa"/>
            <w:tcBorders>
              <w:bottom w:val="single" w:sz="4" w:space="0" w:color="BEBEBE"/>
            </w:tcBorders>
          </w:tcPr>
          <w:p w14:paraId="06DD2D2A" w14:textId="77777777" w:rsidR="00BC24A8" w:rsidRDefault="00BC24A8">
            <w:pPr>
              <w:pStyle w:val="TableParagraph"/>
              <w:rPr>
                <w:rFonts w:ascii="Times New Roman"/>
                <w:sz w:val="16"/>
              </w:rPr>
            </w:pPr>
          </w:p>
        </w:tc>
        <w:tc>
          <w:tcPr>
            <w:tcW w:w="1375" w:type="dxa"/>
            <w:tcBorders>
              <w:bottom w:val="single" w:sz="4" w:space="0" w:color="BEBEBE"/>
            </w:tcBorders>
          </w:tcPr>
          <w:p w14:paraId="6E1A52F0" w14:textId="77777777" w:rsidR="00BC24A8" w:rsidRDefault="00BC24A8">
            <w:pPr>
              <w:pStyle w:val="TableParagraph"/>
              <w:rPr>
                <w:rFonts w:ascii="Times New Roman"/>
                <w:sz w:val="16"/>
              </w:rPr>
            </w:pPr>
          </w:p>
        </w:tc>
        <w:tc>
          <w:tcPr>
            <w:tcW w:w="1346" w:type="dxa"/>
            <w:tcBorders>
              <w:bottom w:val="single" w:sz="4" w:space="0" w:color="BEBEBE"/>
            </w:tcBorders>
          </w:tcPr>
          <w:p w14:paraId="02ECA140" w14:textId="77777777" w:rsidR="00BC24A8" w:rsidRDefault="00BC24A8">
            <w:pPr>
              <w:pStyle w:val="TableParagraph"/>
              <w:rPr>
                <w:rFonts w:ascii="Times New Roman"/>
                <w:sz w:val="16"/>
              </w:rPr>
            </w:pPr>
          </w:p>
        </w:tc>
        <w:tc>
          <w:tcPr>
            <w:tcW w:w="2119" w:type="dxa"/>
            <w:vMerge/>
            <w:tcBorders>
              <w:top w:val="nil"/>
              <w:bottom w:val="single" w:sz="4" w:space="0" w:color="BEBEBE"/>
            </w:tcBorders>
          </w:tcPr>
          <w:p w14:paraId="4AF2C2A1" w14:textId="77777777" w:rsidR="00BC24A8" w:rsidRDefault="00BC24A8">
            <w:pPr>
              <w:rPr>
                <w:sz w:val="2"/>
                <w:szCs w:val="2"/>
              </w:rPr>
            </w:pPr>
          </w:p>
        </w:tc>
      </w:tr>
      <w:tr w:rsidR="00BC24A8" w14:paraId="06B7560D" w14:textId="77777777">
        <w:trPr>
          <w:trHeight w:val="299"/>
        </w:trPr>
        <w:tc>
          <w:tcPr>
            <w:tcW w:w="1616" w:type="dxa"/>
            <w:tcBorders>
              <w:top w:val="single" w:sz="4" w:space="0" w:color="BEBEBE"/>
            </w:tcBorders>
          </w:tcPr>
          <w:p w14:paraId="46F9A65A" w14:textId="77777777" w:rsidR="00BC24A8" w:rsidRDefault="00000000">
            <w:pPr>
              <w:pStyle w:val="TableParagraph"/>
              <w:spacing w:before="59"/>
              <w:ind w:left="122"/>
              <w:rPr>
                <w:sz w:val="18"/>
              </w:rPr>
            </w:pPr>
            <w:r>
              <w:rPr>
                <w:sz w:val="18"/>
              </w:rPr>
              <w:t>IO</w:t>
            </w:r>
            <w:r>
              <w:rPr>
                <w:spacing w:val="-5"/>
                <w:sz w:val="18"/>
              </w:rPr>
              <w:t xml:space="preserve"> </w:t>
            </w:r>
            <w:r>
              <w:rPr>
                <w:sz w:val="18"/>
              </w:rPr>
              <w:t>2.3.</w:t>
            </w:r>
            <w:r>
              <w:rPr>
                <w:spacing w:val="-3"/>
                <w:sz w:val="18"/>
              </w:rPr>
              <w:t xml:space="preserve"> </w:t>
            </w:r>
            <w:r>
              <w:rPr>
                <w:spacing w:val="-2"/>
                <w:sz w:val="18"/>
              </w:rPr>
              <w:t>Financial</w:t>
            </w:r>
          </w:p>
        </w:tc>
        <w:tc>
          <w:tcPr>
            <w:tcW w:w="1283" w:type="dxa"/>
            <w:tcBorders>
              <w:top w:val="single" w:sz="4" w:space="0" w:color="BEBEBE"/>
            </w:tcBorders>
          </w:tcPr>
          <w:p w14:paraId="726F9CBD" w14:textId="77777777" w:rsidR="00BC24A8" w:rsidRDefault="00000000">
            <w:pPr>
              <w:pStyle w:val="TableParagraph"/>
              <w:spacing w:before="66" w:line="213" w:lineRule="exact"/>
              <w:ind w:left="126"/>
              <w:rPr>
                <w:sz w:val="18"/>
              </w:rPr>
            </w:pPr>
            <w:r>
              <w:rPr>
                <w:sz w:val="18"/>
              </w:rPr>
              <w:t xml:space="preserve">1 </w:t>
            </w:r>
            <w:r>
              <w:rPr>
                <w:spacing w:val="-2"/>
                <w:sz w:val="18"/>
              </w:rPr>
              <w:t>showcase</w:t>
            </w:r>
          </w:p>
        </w:tc>
        <w:tc>
          <w:tcPr>
            <w:tcW w:w="1365" w:type="dxa"/>
            <w:tcBorders>
              <w:top w:val="single" w:sz="4" w:space="0" w:color="BEBEBE"/>
            </w:tcBorders>
          </w:tcPr>
          <w:p w14:paraId="3EDCFAE4" w14:textId="77777777" w:rsidR="00BC24A8" w:rsidRDefault="00000000">
            <w:pPr>
              <w:pStyle w:val="TableParagraph"/>
              <w:spacing w:before="66" w:line="213" w:lineRule="exact"/>
              <w:ind w:left="283"/>
              <w:rPr>
                <w:sz w:val="18"/>
              </w:rPr>
            </w:pPr>
            <w:r>
              <w:rPr>
                <w:sz w:val="18"/>
              </w:rPr>
              <w:t>No</w:t>
            </w:r>
            <w:r>
              <w:rPr>
                <w:spacing w:val="-3"/>
                <w:sz w:val="18"/>
              </w:rPr>
              <w:t xml:space="preserve"> </w:t>
            </w:r>
            <w:r>
              <w:rPr>
                <w:spacing w:val="-2"/>
                <w:sz w:val="18"/>
              </w:rPr>
              <w:t>evidence</w:t>
            </w:r>
          </w:p>
        </w:tc>
        <w:tc>
          <w:tcPr>
            <w:tcW w:w="1375" w:type="dxa"/>
            <w:tcBorders>
              <w:top w:val="single" w:sz="4" w:space="0" w:color="BEBEBE"/>
            </w:tcBorders>
          </w:tcPr>
          <w:p w14:paraId="3E91DCF6" w14:textId="77777777" w:rsidR="00BC24A8" w:rsidRDefault="00000000">
            <w:pPr>
              <w:pStyle w:val="TableParagraph"/>
              <w:spacing w:before="66" w:line="213" w:lineRule="exact"/>
              <w:ind w:left="178"/>
              <w:rPr>
                <w:sz w:val="18"/>
              </w:rPr>
            </w:pPr>
            <w:r>
              <w:rPr>
                <w:sz w:val="18"/>
              </w:rPr>
              <w:t xml:space="preserve">Not </w:t>
            </w:r>
            <w:r>
              <w:rPr>
                <w:spacing w:val="-2"/>
                <w:sz w:val="18"/>
              </w:rPr>
              <w:t>applicable</w:t>
            </w:r>
          </w:p>
        </w:tc>
        <w:tc>
          <w:tcPr>
            <w:tcW w:w="1346" w:type="dxa"/>
            <w:tcBorders>
              <w:top w:val="single" w:sz="4" w:space="0" w:color="BEBEBE"/>
            </w:tcBorders>
          </w:tcPr>
          <w:p w14:paraId="7CD6A4ED" w14:textId="77777777" w:rsidR="00BC24A8" w:rsidRDefault="00000000">
            <w:pPr>
              <w:pStyle w:val="TableParagraph"/>
              <w:spacing w:before="66" w:line="213" w:lineRule="exact"/>
              <w:ind w:left="152"/>
              <w:rPr>
                <w:sz w:val="18"/>
              </w:rPr>
            </w:pPr>
            <w:r>
              <w:rPr>
                <w:sz w:val="18"/>
              </w:rPr>
              <w:t xml:space="preserve">1 </w:t>
            </w:r>
            <w:r>
              <w:rPr>
                <w:spacing w:val="-2"/>
                <w:sz w:val="18"/>
              </w:rPr>
              <w:t>showcase</w:t>
            </w:r>
          </w:p>
        </w:tc>
        <w:tc>
          <w:tcPr>
            <w:tcW w:w="2119" w:type="dxa"/>
            <w:tcBorders>
              <w:top w:val="single" w:sz="4" w:space="0" w:color="BEBEBE"/>
            </w:tcBorders>
          </w:tcPr>
          <w:p w14:paraId="518216F3" w14:textId="77777777" w:rsidR="00BC24A8" w:rsidRDefault="00000000">
            <w:pPr>
              <w:pStyle w:val="TableParagraph"/>
              <w:spacing w:before="66" w:line="213" w:lineRule="exact"/>
              <w:ind w:left="157"/>
              <w:rPr>
                <w:sz w:val="18"/>
              </w:rPr>
            </w:pPr>
            <w:r>
              <w:rPr>
                <w:sz w:val="18"/>
              </w:rPr>
              <w:t>No</w:t>
            </w:r>
            <w:r>
              <w:rPr>
                <w:spacing w:val="-2"/>
                <w:sz w:val="18"/>
              </w:rPr>
              <w:t xml:space="preserve"> </w:t>
            </w:r>
            <w:r>
              <w:rPr>
                <w:sz w:val="18"/>
              </w:rPr>
              <w:t>update.</w:t>
            </w:r>
            <w:r>
              <w:rPr>
                <w:spacing w:val="-2"/>
                <w:sz w:val="18"/>
              </w:rPr>
              <w:t xml:space="preserve"> </w:t>
            </w:r>
            <w:r>
              <w:rPr>
                <w:sz w:val="18"/>
              </w:rPr>
              <w:t xml:space="preserve">Evidence </w:t>
            </w:r>
            <w:r>
              <w:rPr>
                <w:spacing w:val="-5"/>
                <w:sz w:val="18"/>
              </w:rPr>
              <w:t>on</w:t>
            </w:r>
          </w:p>
        </w:tc>
      </w:tr>
      <w:tr w:rsidR="00BC24A8" w14:paraId="3DEFF34E" w14:textId="77777777">
        <w:trPr>
          <w:trHeight w:val="218"/>
        </w:trPr>
        <w:tc>
          <w:tcPr>
            <w:tcW w:w="1616" w:type="dxa"/>
          </w:tcPr>
          <w:p w14:paraId="426CE82B" w14:textId="77777777" w:rsidR="00BC24A8" w:rsidRDefault="00000000">
            <w:pPr>
              <w:pStyle w:val="TableParagraph"/>
              <w:spacing w:line="198" w:lineRule="exact"/>
              <w:ind w:left="122"/>
              <w:rPr>
                <w:sz w:val="18"/>
              </w:rPr>
            </w:pPr>
            <w:r>
              <w:rPr>
                <w:sz w:val="18"/>
              </w:rPr>
              <w:t>data</w:t>
            </w:r>
            <w:r>
              <w:rPr>
                <w:spacing w:val="-3"/>
                <w:sz w:val="18"/>
              </w:rPr>
              <w:t xml:space="preserve"> </w:t>
            </w:r>
            <w:r>
              <w:rPr>
                <w:sz w:val="18"/>
              </w:rPr>
              <w:t>improved</w:t>
            </w:r>
            <w:r>
              <w:rPr>
                <w:spacing w:val="-1"/>
                <w:sz w:val="18"/>
              </w:rPr>
              <w:t xml:space="preserve"> </w:t>
            </w:r>
            <w:r>
              <w:rPr>
                <w:spacing w:val="-5"/>
                <w:sz w:val="18"/>
              </w:rPr>
              <w:t>for</w:t>
            </w:r>
          </w:p>
        </w:tc>
        <w:tc>
          <w:tcPr>
            <w:tcW w:w="1283" w:type="dxa"/>
          </w:tcPr>
          <w:p w14:paraId="6713A358" w14:textId="77777777" w:rsidR="00BC24A8" w:rsidRDefault="00BC24A8">
            <w:pPr>
              <w:pStyle w:val="TableParagraph"/>
              <w:rPr>
                <w:rFonts w:ascii="Times New Roman"/>
                <w:sz w:val="14"/>
              </w:rPr>
            </w:pPr>
          </w:p>
        </w:tc>
        <w:tc>
          <w:tcPr>
            <w:tcW w:w="1365" w:type="dxa"/>
          </w:tcPr>
          <w:p w14:paraId="776E4C1E" w14:textId="77777777" w:rsidR="00BC24A8" w:rsidRDefault="00000000">
            <w:pPr>
              <w:pStyle w:val="TableParagraph"/>
              <w:spacing w:line="198" w:lineRule="exact"/>
              <w:ind w:left="283"/>
              <w:rPr>
                <w:sz w:val="18"/>
              </w:rPr>
            </w:pPr>
            <w:r>
              <w:rPr>
                <w:sz w:val="18"/>
              </w:rPr>
              <w:t>available</w:t>
            </w:r>
            <w:r>
              <w:rPr>
                <w:spacing w:val="-1"/>
                <w:sz w:val="18"/>
              </w:rPr>
              <w:t xml:space="preserve"> </w:t>
            </w:r>
            <w:r>
              <w:rPr>
                <w:spacing w:val="-5"/>
                <w:sz w:val="18"/>
              </w:rPr>
              <w:t>yet</w:t>
            </w:r>
          </w:p>
        </w:tc>
        <w:tc>
          <w:tcPr>
            <w:tcW w:w="1375" w:type="dxa"/>
          </w:tcPr>
          <w:p w14:paraId="5D6B2357" w14:textId="77777777" w:rsidR="00BC24A8" w:rsidRDefault="00BC24A8">
            <w:pPr>
              <w:pStyle w:val="TableParagraph"/>
              <w:rPr>
                <w:rFonts w:ascii="Times New Roman"/>
                <w:sz w:val="14"/>
              </w:rPr>
            </w:pPr>
          </w:p>
        </w:tc>
        <w:tc>
          <w:tcPr>
            <w:tcW w:w="1346" w:type="dxa"/>
          </w:tcPr>
          <w:p w14:paraId="7237B7F7" w14:textId="77777777" w:rsidR="00BC24A8" w:rsidRDefault="00BC24A8">
            <w:pPr>
              <w:pStyle w:val="TableParagraph"/>
              <w:rPr>
                <w:rFonts w:ascii="Times New Roman"/>
                <w:sz w:val="14"/>
              </w:rPr>
            </w:pPr>
          </w:p>
        </w:tc>
        <w:tc>
          <w:tcPr>
            <w:tcW w:w="2119" w:type="dxa"/>
          </w:tcPr>
          <w:p w14:paraId="5E996621" w14:textId="77777777" w:rsidR="00BC24A8" w:rsidRDefault="00000000">
            <w:pPr>
              <w:pStyle w:val="TableParagraph"/>
              <w:spacing w:line="198" w:lineRule="exact"/>
              <w:ind w:left="157"/>
              <w:rPr>
                <w:sz w:val="18"/>
              </w:rPr>
            </w:pPr>
            <w:r>
              <w:rPr>
                <w:sz w:val="18"/>
              </w:rPr>
              <w:t>this</w:t>
            </w:r>
            <w:r>
              <w:rPr>
                <w:spacing w:val="-1"/>
                <w:sz w:val="18"/>
              </w:rPr>
              <w:t xml:space="preserve"> </w:t>
            </w:r>
            <w:r>
              <w:rPr>
                <w:sz w:val="18"/>
              </w:rPr>
              <w:t>will</w:t>
            </w:r>
            <w:r>
              <w:rPr>
                <w:spacing w:val="1"/>
                <w:sz w:val="18"/>
              </w:rPr>
              <w:t xml:space="preserve"> </w:t>
            </w:r>
            <w:r>
              <w:rPr>
                <w:sz w:val="18"/>
              </w:rPr>
              <w:t xml:space="preserve">be available </w:t>
            </w:r>
            <w:r>
              <w:rPr>
                <w:spacing w:val="-4"/>
                <w:sz w:val="18"/>
              </w:rPr>
              <w:t>once</w:t>
            </w:r>
          </w:p>
        </w:tc>
      </w:tr>
      <w:tr w:rsidR="00BC24A8" w14:paraId="01A721A8" w14:textId="77777777">
        <w:trPr>
          <w:trHeight w:val="220"/>
        </w:trPr>
        <w:tc>
          <w:tcPr>
            <w:tcW w:w="1616" w:type="dxa"/>
          </w:tcPr>
          <w:p w14:paraId="3955BFB8" w14:textId="77777777" w:rsidR="00BC24A8" w:rsidRDefault="00000000">
            <w:pPr>
              <w:pStyle w:val="TableParagraph"/>
              <w:spacing w:line="200" w:lineRule="exact"/>
              <w:ind w:left="122"/>
              <w:rPr>
                <w:sz w:val="18"/>
              </w:rPr>
            </w:pPr>
            <w:r>
              <w:rPr>
                <w:sz w:val="18"/>
              </w:rPr>
              <w:t>use in</w:t>
            </w:r>
            <w:r>
              <w:rPr>
                <w:spacing w:val="1"/>
                <w:sz w:val="18"/>
              </w:rPr>
              <w:t xml:space="preserve"> </w:t>
            </w:r>
            <w:r>
              <w:rPr>
                <w:spacing w:val="-5"/>
                <w:sz w:val="18"/>
              </w:rPr>
              <w:t>the</w:t>
            </w:r>
          </w:p>
        </w:tc>
        <w:tc>
          <w:tcPr>
            <w:tcW w:w="1283" w:type="dxa"/>
          </w:tcPr>
          <w:p w14:paraId="29A8BB27" w14:textId="77777777" w:rsidR="00BC24A8" w:rsidRDefault="00BC24A8">
            <w:pPr>
              <w:pStyle w:val="TableParagraph"/>
              <w:rPr>
                <w:rFonts w:ascii="Times New Roman"/>
                <w:sz w:val="14"/>
              </w:rPr>
            </w:pPr>
          </w:p>
        </w:tc>
        <w:tc>
          <w:tcPr>
            <w:tcW w:w="1365" w:type="dxa"/>
          </w:tcPr>
          <w:p w14:paraId="4920A1AE" w14:textId="77777777" w:rsidR="00BC24A8" w:rsidRDefault="00BC24A8">
            <w:pPr>
              <w:pStyle w:val="TableParagraph"/>
              <w:rPr>
                <w:rFonts w:ascii="Times New Roman"/>
                <w:sz w:val="14"/>
              </w:rPr>
            </w:pPr>
          </w:p>
        </w:tc>
        <w:tc>
          <w:tcPr>
            <w:tcW w:w="1375" w:type="dxa"/>
          </w:tcPr>
          <w:p w14:paraId="03E77A3D" w14:textId="77777777" w:rsidR="00BC24A8" w:rsidRDefault="00BC24A8">
            <w:pPr>
              <w:pStyle w:val="TableParagraph"/>
              <w:rPr>
                <w:rFonts w:ascii="Times New Roman"/>
                <w:sz w:val="14"/>
              </w:rPr>
            </w:pPr>
          </w:p>
        </w:tc>
        <w:tc>
          <w:tcPr>
            <w:tcW w:w="1346" w:type="dxa"/>
          </w:tcPr>
          <w:p w14:paraId="62492A75" w14:textId="77777777" w:rsidR="00BC24A8" w:rsidRDefault="00BC24A8">
            <w:pPr>
              <w:pStyle w:val="TableParagraph"/>
              <w:rPr>
                <w:rFonts w:ascii="Times New Roman"/>
                <w:sz w:val="14"/>
              </w:rPr>
            </w:pPr>
          </w:p>
        </w:tc>
        <w:tc>
          <w:tcPr>
            <w:tcW w:w="2119" w:type="dxa"/>
          </w:tcPr>
          <w:p w14:paraId="2BEEC277" w14:textId="77777777" w:rsidR="00BC24A8" w:rsidRDefault="00000000">
            <w:pPr>
              <w:pStyle w:val="TableParagraph"/>
              <w:spacing w:line="201" w:lineRule="exact"/>
              <w:ind w:left="157"/>
              <w:rPr>
                <w:sz w:val="18"/>
              </w:rPr>
            </w:pPr>
            <w:r>
              <w:rPr>
                <w:sz w:val="18"/>
              </w:rPr>
              <w:t>the</w:t>
            </w:r>
            <w:r>
              <w:rPr>
                <w:spacing w:val="-2"/>
                <w:sz w:val="18"/>
              </w:rPr>
              <w:t xml:space="preserve"> </w:t>
            </w:r>
            <w:r>
              <w:rPr>
                <w:sz w:val="18"/>
              </w:rPr>
              <w:t xml:space="preserve">regional </w:t>
            </w:r>
            <w:r>
              <w:rPr>
                <w:spacing w:val="-2"/>
                <w:sz w:val="18"/>
              </w:rPr>
              <w:t>transfer</w:t>
            </w:r>
          </w:p>
        </w:tc>
      </w:tr>
      <w:tr w:rsidR="00BC24A8" w14:paraId="4852293D" w14:textId="77777777">
        <w:trPr>
          <w:trHeight w:val="219"/>
        </w:trPr>
        <w:tc>
          <w:tcPr>
            <w:tcW w:w="1616" w:type="dxa"/>
          </w:tcPr>
          <w:p w14:paraId="03C2D605" w14:textId="77777777" w:rsidR="00BC24A8" w:rsidRDefault="00000000">
            <w:pPr>
              <w:pStyle w:val="TableParagraph"/>
              <w:spacing w:line="200" w:lineRule="exact"/>
              <w:ind w:left="122"/>
              <w:rPr>
                <w:sz w:val="18"/>
              </w:rPr>
            </w:pPr>
            <w:r>
              <w:rPr>
                <w:sz w:val="18"/>
              </w:rPr>
              <w:t xml:space="preserve">calculation </w:t>
            </w:r>
            <w:r>
              <w:rPr>
                <w:spacing w:val="-5"/>
                <w:sz w:val="18"/>
              </w:rPr>
              <w:t>of</w:t>
            </w:r>
          </w:p>
        </w:tc>
        <w:tc>
          <w:tcPr>
            <w:tcW w:w="1283" w:type="dxa"/>
          </w:tcPr>
          <w:p w14:paraId="649922D5" w14:textId="77777777" w:rsidR="00BC24A8" w:rsidRDefault="00BC24A8">
            <w:pPr>
              <w:pStyle w:val="TableParagraph"/>
              <w:rPr>
                <w:rFonts w:ascii="Times New Roman"/>
                <w:sz w:val="14"/>
              </w:rPr>
            </w:pPr>
          </w:p>
        </w:tc>
        <w:tc>
          <w:tcPr>
            <w:tcW w:w="1365" w:type="dxa"/>
          </w:tcPr>
          <w:p w14:paraId="61DA205F" w14:textId="77777777" w:rsidR="00BC24A8" w:rsidRDefault="00BC24A8">
            <w:pPr>
              <w:pStyle w:val="TableParagraph"/>
              <w:rPr>
                <w:rFonts w:ascii="Times New Roman"/>
                <w:sz w:val="14"/>
              </w:rPr>
            </w:pPr>
          </w:p>
        </w:tc>
        <w:tc>
          <w:tcPr>
            <w:tcW w:w="1375" w:type="dxa"/>
          </w:tcPr>
          <w:p w14:paraId="0818D90C" w14:textId="77777777" w:rsidR="00BC24A8" w:rsidRDefault="00BC24A8">
            <w:pPr>
              <w:pStyle w:val="TableParagraph"/>
              <w:rPr>
                <w:rFonts w:ascii="Times New Roman"/>
                <w:sz w:val="14"/>
              </w:rPr>
            </w:pPr>
          </w:p>
        </w:tc>
        <w:tc>
          <w:tcPr>
            <w:tcW w:w="1346" w:type="dxa"/>
          </w:tcPr>
          <w:p w14:paraId="3C4B507D" w14:textId="77777777" w:rsidR="00BC24A8" w:rsidRDefault="00BC24A8">
            <w:pPr>
              <w:pStyle w:val="TableParagraph"/>
              <w:rPr>
                <w:rFonts w:ascii="Times New Roman"/>
                <w:sz w:val="14"/>
              </w:rPr>
            </w:pPr>
          </w:p>
        </w:tc>
        <w:tc>
          <w:tcPr>
            <w:tcW w:w="2119" w:type="dxa"/>
          </w:tcPr>
          <w:p w14:paraId="305BAEEB" w14:textId="77777777" w:rsidR="00BC24A8" w:rsidRDefault="00000000">
            <w:pPr>
              <w:pStyle w:val="TableParagraph"/>
              <w:spacing w:line="200" w:lineRule="exact"/>
              <w:ind w:left="157"/>
              <w:rPr>
                <w:sz w:val="18"/>
              </w:rPr>
            </w:pPr>
            <w:r>
              <w:rPr>
                <w:sz w:val="18"/>
              </w:rPr>
              <w:t>process</w:t>
            </w:r>
            <w:r>
              <w:rPr>
                <w:spacing w:val="-2"/>
                <w:sz w:val="18"/>
              </w:rPr>
              <w:t xml:space="preserve"> </w:t>
            </w:r>
            <w:r>
              <w:rPr>
                <w:sz w:val="18"/>
              </w:rPr>
              <w:t>for</w:t>
            </w:r>
            <w:r>
              <w:rPr>
                <w:spacing w:val="-1"/>
                <w:sz w:val="18"/>
              </w:rPr>
              <w:t xml:space="preserve"> </w:t>
            </w:r>
            <w:r>
              <w:rPr>
                <w:sz w:val="18"/>
              </w:rPr>
              <w:t>2026</w:t>
            </w:r>
            <w:r>
              <w:rPr>
                <w:spacing w:val="-2"/>
                <w:sz w:val="18"/>
              </w:rPr>
              <w:t xml:space="preserve"> </w:t>
            </w:r>
            <w:r>
              <w:rPr>
                <w:spacing w:val="-5"/>
                <w:sz w:val="18"/>
              </w:rPr>
              <w:t>has</w:t>
            </w:r>
          </w:p>
        </w:tc>
      </w:tr>
      <w:tr w:rsidR="00BC24A8" w14:paraId="25313D56" w14:textId="77777777">
        <w:trPr>
          <w:trHeight w:val="219"/>
        </w:trPr>
        <w:tc>
          <w:tcPr>
            <w:tcW w:w="1616" w:type="dxa"/>
          </w:tcPr>
          <w:p w14:paraId="1304E806" w14:textId="77777777" w:rsidR="00BC24A8" w:rsidRDefault="00000000">
            <w:pPr>
              <w:pStyle w:val="TableParagraph"/>
              <w:spacing w:line="200" w:lineRule="exact"/>
              <w:ind w:left="122"/>
              <w:rPr>
                <w:sz w:val="18"/>
              </w:rPr>
            </w:pPr>
            <w:r>
              <w:rPr>
                <w:sz w:val="18"/>
              </w:rPr>
              <w:t>formulas</w:t>
            </w:r>
            <w:r>
              <w:rPr>
                <w:spacing w:val="-3"/>
                <w:sz w:val="18"/>
              </w:rPr>
              <w:t xml:space="preserve"> </w:t>
            </w:r>
            <w:r>
              <w:rPr>
                <w:sz w:val="18"/>
              </w:rPr>
              <w:t>used</w:t>
            </w:r>
            <w:r>
              <w:rPr>
                <w:spacing w:val="-2"/>
                <w:sz w:val="18"/>
              </w:rPr>
              <w:t xml:space="preserve"> </w:t>
            </w:r>
            <w:r>
              <w:rPr>
                <w:spacing w:val="-5"/>
                <w:sz w:val="18"/>
              </w:rPr>
              <w:t>for</w:t>
            </w:r>
          </w:p>
        </w:tc>
        <w:tc>
          <w:tcPr>
            <w:tcW w:w="1283" w:type="dxa"/>
          </w:tcPr>
          <w:p w14:paraId="3E45E002" w14:textId="77777777" w:rsidR="00BC24A8" w:rsidRDefault="00BC24A8">
            <w:pPr>
              <w:pStyle w:val="TableParagraph"/>
              <w:rPr>
                <w:rFonts w:ascii="Times New Roman"/>
                <w:sz w:val="14"/>
              </w:rPr>
            </w:pPr>
          </w:p>
        </w:tc>
        <w:tc>
          <w:tcPr>
            <w:tcW w:w="1365" w:type="dxa"/>
          </w:tcPr>
          <w:p w14:paraId="19AF7E8D" w14:textId="77777777" w:rsidR="00BC24A8" w:rsidRDefault="00BC24A8">
            <w:pPr>
              <w:pStyle w:val="TableParagraph"/>
              <w:rPr>
                <w:rFonts w:ascii="Times New Roman"/>
                <w:sz w:val="14"/>
              </w:rPr>
            </w:pPr>
          </w:p>
        </w:tc>
        <w:tc>
          <w:tcPr>
            <w:tcW w:w="1375" w:type="dxa"/>
          </w:tcPr>
          <w:p w14:paraId="7C96A82F" w14:textId="77777777" w:rsidR="00BC24A8" w:rsidRDefault="00BC24A8">
            <w:pPr>
              <w:pStyle w:val="TableParagraph"/>
              <w:rPr>
                <w:rFonts w:ascii="Times New Roman"/>
                <w:sz w:val="14"/>
              </w:rPr>
            </w:pPr>
          </w:p>
        </w:tc>
        <w:tc>
          <w:tcPr>
            <w:tcW w:w="1346" w:type="dxa"/>
          </w:tcPr>
          <w:p w14:paraId="3ABEFF6C" w14:textId="77777777" w:rsidR="00BC24A8" w:rsidRDefault="00BC24A8">
            <w:pPr>
              <w:pStyle w:val="TableParagraph"/>
              <w:rPr>
                <w:rFonts w:ascii="Times New Roman"/>
                <w:sz w:val="14"/>
              </w:rPr>
            </w:pPr>
          </w:p>
        </w:tc>
        <w:tc>
          <w:tcPr>
            <w:tcW w:w="2119" w:type="dxa"/>
          </w:tcPr>
          <w:p w14:paraId="4C599EE3" w14:textId="77777777" w:rsidR="00BC24A8" w:rsidRDefault="00000000">
            <w:pPr>
              <w:pStyle w:val="TableParagraph"/>
              <w:spacing w:line="200" w:lineRule="exact"/>
              <w:ind w:left="157"/>
              <w:rPr>
                <w:sz w:val="18"/>
              </w:rPr>
            </w:pPr>
            <w:r>
              <w:rPr>
                <w:sz w:val="18"/>
              </w:rPr>
              <w:t>been</w:t>
            </w:r>
            <w:r>
              <w:rPr>
                <w:spacing w:val="-2"/>
                <w:sz w:val="18"/>
              </w:rPr>
              <w:t xml:space="preserve"> </w:t>
            </w:r>
            <w:r>
              <w:rPr>
                <w:sz w:val="18"/>
              </w:rPr>
              <w:t>completed</w:t>
            </w:r>
            <w:r>
              <w:rPr>
                <w:spacing w:val="-2"/>
                <w:sz w:val="18"/>
              </w:rPr>
              <w:t xml:space="preserve"> </w:t>
            </w:r>
            <w:r>
              <w:rPr>
                <w:sz w:val="18"/>
              </w:rPr>
              <w:t>by</w:t>
            </w:r>
            <w:r>
              <w:rPr>
                <w:spacing w:val="-1"/>
                <w:sz w:val="18"/>
              </w:rPr>
              <w:t xml:space="preserve"> </w:t>
            </w:r>
            <w:r>
              <w:rPr>
                <w:spacing w:val="-5"/>
                <w:sz w:val="18"/>
              </w:rPr>
              <w:t>the</w:t>
            </w:r>
          </w:p>
        </w:tc>
      </w:tr>
      <w:tr w:rsidR="00BC24A8" w14:paraId="7B5D07F4" w14:textId="77777777">
        <w:trPr>
          <w:trHeight w:val="220"/>
        </w:trPr>
        <w:tc>
          <w:tcPr>
            <w:tcW w:w="1616" w:type="dxa"/>
          </w:tcPr>
          <w:p w14:paraId="6D0AE208" w14:textId="77777777" w:rsidR="00BC24A8" w:rsidRDefault="00000000">
            <w:pPr>
              <w:pStyle w:val="TableParagraph"/>
              <w:spacing w:line="200" w:lineRule="exact"/>
              <w:ind w:left="122"/>
              <w:rPr>
                <w:sz w:val="18"/>
              </w:rPr>
            </w:pPr>
            <w:r>
              <w:rPr>
                <w:sz w:val="18"/>
              </w:rPr>
              <w:t>regional</w:t>
            </w:r>
            <w:r>
              <w:rPr>
                <w:spacing w:val="-2"/>
                <w:sz w:val="18"/>
              </w:rPr>
              <w:t xml:space="preserve"> transfers,</w:t>
            </w:r>
          </w:p>
        </w:tc>
        <w:tc>
          <w:tcPr>
            <w:tcW w:w="1283" w:type="dxa"/>
          </w:tcPr>
          <w:p w14:paraId="558E4C49" w14:textId="77777777" w:rsidR="00BC24A8" w:rsidRDefault="00BC24A8">
            <w:pPr>
              <w:pStyle w:val="TableParagraph"/>
              <w:rPr>
                <w:rFonts w:ascii="Times New Roman"/>
                <w:sz w:val="14"/>
              </w:rPr>
            </w:pPr>
          </w:p>
        </w:tc>
        <w:tc>
          <w:tcPr>
            <w:tcW w:w="1365" w:type="dxa"/>
          </w:tcPr>
          <w:p w14:paraId="4F115E44" w14:textId="77777777" w:rsidR="00BC24A8" w:rsidRDefault="00BC24A8">
            <w:pPr>
              <w:pStyle w:val="TableParagraph"/>
              <w:rPr>
                <w:rFonts w:ascii="Times New Roman"/>
                <w:sz w:val="14"/>
              </w:rPr>
            </w:pPr>
          </w:p>
        </w:tc>
        <w:tc>
          <w:tcPr>
            <w:tcW w:w="1375" w:type="dxa"/>
          </w:tcPr>
          <w:p w14:paraId="685A370F" w14:textId="77777777" w:rsidR="00BC24A8" w:rsidRDefault="00BC24A8">
            <w:pPr>
              <w:pStyle w:val="TableParagraph"/>
              <w:rPr>
                <w:rFonts w:ascii="Times New Roman"/>
                <w:sz w:val="14"/>
              </w:rPr>
            </w:pPr>
          </w:p>
        </w:tc>
        <w:tc>
          <w:tcPr>
            <w:tcW w:w="1346" w:type="dxa"/>
          </w:tcPr>
          <w:p w14:paraId="67FF2AEA" w14:textId="77777777" w:rsidR="00BC24A8" w:rsidRDefault="00BC24A8">
            <w:pPr>
              <w:pStyle w:val="TableParagraph"/>
              <w:rPr>
                <w:rFonts w:ascii="Times New Roman"/>
                <w:sz w:val="14"/>
              </w:rPr>
            </w:pPr>
          </w:p>
        </w:tc>
        <w:tc>
          <w:tcPr>
            <w:tcW w:w="2119" w:type="dxa"/>
          </w:tcPr>
          <w:p w14:paraId="431E4580" w14:textId="77777777" w:rsidR="00BC24A8" w:rsidRDefault="00000000">
            <w:pPr>
              <w:pStyle w:val="TableParagraph"/>
              <w:spacing w:line="201" w:lineRule="exact"/>
              <w:ind w:left="157"/>
              <w:rPr>
                <w:sz w:val="18"/>
              </w:rPr>
            </w:pPr>
            <w:r>
              <w:rPr>
                <w:sz w:val="18"/>
              </w:rPr>
              <w:t>end</w:t>
            </w:r>
            <w:r>
              <w:rPr>
                <w:spacing w:val="-3"/>
                <w:sz w:val="18"/>
              </w:rPr>
              <w:t xml:space="preserve"> </w:t>
            </w:r>
            <w:r>
              <w:rPr>
                <w:sz w:val="18"/>
              </w:rPr>
              <w:t>of</w:t>
            </w:r>
            <w:r>
              <w:rPr>
                <w:spacing w:val="-1"/>
                <w:sz w:val="18"/>
              </w:rPr>
              <w:t xml:space="preserve"> </w:t>
            </w:r>
            <w:r>
              <w:rPr>
                <w:sz w:val="18"/>
              </w:rPr>
              <w:t xml:space="preserve">this </w:t>
            </w:r>
            <w:r>
              <w:rPr>
                <w:spacing w:val="-2"/>
                <w:sz w:val="18"/>
              </w:rPr>
              <w:t>year.</w:t>
            </w:r>
          </w:p>
        </w:tc>
      </w:tr>
      <w:tr w:rsidR="00BC24A8" w14:paraId="46C35416" w14:textId="77777777">
        <w:trPr>
          <w:trHeight w:val="215"/>
        </w:trPr>
        <w:tc>
          <w:tcPr>
            <w:tcW w:w="1616" w:type="dxa"/>
          </w:tcPr>
          <w:p w14:paraId="3B070E48" w14:textId="77777777" w:rsidR="00BC24A8" w:rsidRDefault="00000000">
            <w:pPr>
              <w:pStyle w:val="TableParagraph"/>
              <w:spacing w:line="196" w:lineRule="exact"/>
              <w:ind w:left="122"/>
              <w:rPr>
                <w:sz w:val="18"/>
              </w:rPr>
            </w:pPr>
            <w:r>
              <w:rPr>
                <w:sz w:val="18"/>
              </w:rPr>
              <w:t xml:space="preserve">with </w:t>
            </w:r>
            <w:r>
              <w:rPr>
                <w:spacing w:val="-2"/>
                <w:sz w:val="18"/>
              </w:rPr>
              <w:t>SKALA</w:t>
            </w:r>
          </w:p>
        </w:tc>
        <w:tc>
          <w:tcPr>
            <w:tcW w:w="1283" w:type="dxa"/>
          </w:tcPr>
          <w:p w14:paraId="18BBB6B3" w14:textId="77777777" w:rsidR="00BC24A8" w:rsidRDefault="00BC24A8">
            <w:pPr>
              <w:pStyle w:val="TableParagraph"/>
              <w:rPr>
                <w:rFonts w:ascii="Times New Roman"/>
                <w:sz w:val="14"/>
              </w:rPr>
            </w:pPr>
          </w:p>
        </w:tc>
        <w:tc>
          <w:tcPr>
            <w:tcW w:w="1365" w:type="dxa"/>
          </w:tcPr>
          <w:p w14:paraId="745CC2FF" w14:textId="77777777" w:rsidR="00BC24A8" w:rsidRDefault="00BC24A8">
            <w:pPr>
              <w:pStyle w:val="TableParagraph"/>
              <w:rPr>
                <w:rFonts w:ascii="Times New Roman"/>
                <w:sz w:val="14"/>
              </w:rPr>
            </w:pPr>
          </w:p>
        </w:tc>
        <w:tc>
          <w:tcPr>
            <w:tcW w:w="1375" w:type="dxa"/>
          </w:tcPr>
          <w:p w14:paraId="25B1A5E7" w14:textId="77777777" w:rsidR="00BC24A8" w:rsidRDefault="00BC24A8">
            <w:pPr>
              <w:pStyle w:val="TableParagraph"/>
              <w:rPr>
                <w:rFonts w:ascii="Times New Roman"/>
                <w:sz w:val="14"/>
              </w:rPr>
            </w:pPr>
          </w:p>
        </w:tc>
        <w:tc>
          <w:tcPr>
            <w:tcW w:w="1346" w:type="dxa"/>
          </w:tcPr>
          <w:p w14:paraId="2B364CBC" w14:textId="77777777" w:rsidR="00BC24A8" w:rsidRDefault="00BC24A8">
            <w:pPr>
              <w:pStyle w:val="TableParagraph"/>
              <w:rPr>
                <w:rFonts w:ascii="Times New Roman"/>
                <w:sz w:val="14"/>
              </w:rPr>
            </w:pPr>
          </w:p>
        </w:tc>
        <w:tc>
          <w:tcPr>
            <w:tcW w:w="2119" w:type="dxa"/>
          </w:tcPr>
          <w:p w14:paraId="5D2A9C84" w14:textId="77777777" w:rsidR="00BC24A8" w:rsidRDefault="00BC24A8">
            <w:pPr>
              <w:pStyle w:val="TableParagraph"/>
              <w:rPr>
                <w:rFonts w:ascii="Times New Roman"/>
                <w:sz w:val="14"/>
              </w:rPr>
            </w:pPr>
          </w:p>
        </w:tc>
      </w:tr>
      <w:tr w:rsidR="00BC24A8" w14:paraId="769BF1AC" w14:textId="77777777">
        <w:trPr>
          <w:trHeight w:val="201"/>
        </w:trPr>
        <w:tc>
          <w:tcPr>
            <w:tcW w:w="1616" w:type="dxa"/>
            <w:tcBorders>
              <w:bottom w:val="single" w:sz="4" w:space="0" w:color="BEBEBE"/>
            </w:tcBorders>
          </w:tcPr>
          <w:p w14:paraId="4E7DAB8E" w14:textId="77777777" w:rsidR="00BC24A8" w:rsidRDefault="00000000">
            <w:pPr>
              <w:pStyle w:val="TableParagraph"/>
              <w:spacing w:line="182" w:lineRule="exact"/>
              <w:ind w:left="122"/>
              <w:rPr>
                <w:sz w:val="18"/>
              </w:rPr>
            </w:pPr>
            <w:r>
              <w:rPr>
                <w:spacing w:val="-2"/>
                <w:sz w:val="18"/>
              </w:rPr>
              <w:t>support.</w:t>
            </w:r>
          </w:p>
        </w:tc>
        <w:tc>
          <w:tcPr>
            <w:tcW w:w="1283" w:type="dxa"/>
            <w:tcBorders>
              <w:bottom w:val="single" w:sz="4" w:space="0" w:color="BEBEBE"/>
            </w:tcBorders>
          </w:tcPr>
          <w:p w14:paraId="462B3F14" w14:textId="77777777" w:rsidR="00BC24A8" w:rsidRDefault="00BC24A8">
            <w:pPr>
              <w:pStyle w:val="TableParagraph"/>
              <w:rPr>
                <w:rFonts w:ascii="Times New Roman"/>
                <w:sz w:val="14"/>
              </w:rPr>
            </w:pPr>
          </w:p>
        </w:tc>
        <w:tc>
          <w:tcPr>
            <w:tcW w:w="1365" w:type="dxa"/>
            <w:tcBorders>
              <w:bottom w:val="single" w:sz="4" w:space="0" w:color="BEBEBE"/>
            </w:tcBorders>
          </w:tcPr>
          <w:p w14:paraId="041FA99A" w14:textId="77777777" w:rsidR="00BC24A8" w:rsidRDefault="00BC24A8">
            <w:pPr>
              <w:pStyle w:val="TableParagraph"/>
              <w:rPr>
                <w:rFonts w:ascii="Times New Roman"/>
                <w:sz w:val="14"/>
              </w:rPr>
            </w:pPr>
          </w:p>
        </w:tc>
        <w:tc>
          <w:tcPr>
            <w:tcW w:w="1375" w:type="dxa"/>
            <w:tcBorders>
              <w:bottom w:val="single" w:sz="4" w:space="0" w:color="BEBEBE"/>
            </w:tcBorders>
          </w:tcPr>
          <w:p w14:paraId="4DBA296C" w14:textId="77777777" w:rsidR="00BC24A8" w:rsidRDefault="00BC24A8">
            <w:pPr>
              <w:pStyle w:val="TableParagraph"/>
              <w:rPr>
                <w:rFonts w:ascii="Times New Roman"/>
                <w:sz w:val="14"/>
              </w:rPr>
            </w:pPr>
          </w:p>
        </w:tc>
        <w:tc>
          <w:tcPr>
            <w:tcW w:w="1346" w:type="dxa"/>
            <w:tcBorders>
              <w:bottom w:val="single" w:sz="4" w:space="0" w:color="BEBEBE"/>
            </w:tcBorders>
          </w:tcPr>
          <w:p w14:paraId="79D40213" w14:textId="77777777" w:rsidR="00BC24A8" w:rsidRDefault="00BC24A8">
            <w:pPr>
              <w:pStyle w:val="TableParagraph"/>
              <w:rPr>
                <w:rFonts w:ascii="Times New Roman"/>
                <w:sz w:val="14"/>
              </w:rPr>
            </w:pPr>
          </w:p>
        </w:tc>
        <w:tc>
          <w:tcPr>
            <w:tcW w:w="2119" w:type="dxa"/>
            <w:tcBorders>
              <w:bottom w:val="single" w:sz="4" w:space="0" w:color="BEBEBE"/>
            </w:tcBorders>
          </w:tcPr>
          <w:p w14:paraId="55609E0B" w14:textId="77777777" w:rsidR="00BC24A8" w:rsidRDefault="00BC24A8">
            <w:pPr>
              <w:pStyle w:val="TableParagraph"/>
              <w:rPr>
                <w:rFonts w:ascii="Times New Roman"/>
                <w:sz w:val="14"/>
              </w:rPr>
            </w:pPr>
          </w:p>
        </w:tc>
      </w:tr>
      <w:tr w:rsidR="00BC24A8" w14:paraId="239D1593" w14:textId="77777777">
        <w:trPr>
          <w:trHeight w:val="566"/>
        </w:trPr>
        <w:tc>
          <w:tcPr>
            <w:tcW w:w="1616" w:type="dxa"/>
            <w:tcBorders>
              <w:top w:val="single" w:sz="4" w:space="0" w:color="BEBEBE"/>
              <w:bottom w:val="single" w:sz="4" w:space="0" w:color="BEBEBE"/>
            </w:tcBorders>
          </w:tcPr>
          <w:p w14:paraId="57933FFB" w14:textId="77777777" w:rsidR="00BC24A8" w:rsidRDefault="00000000">
            <w:pPr>
              <w:pStyle w:val="TableParagraph"/>
              <w:spacing w:before="61"/>
              <w:ind w:left="122"/>
              <w:rPr>
                <w:sz w:val="18"/>
              </w:rPr>
            </w:pPr>
            <w:r>
              <w:rPr>
                <w:sz w:val="18"/>
              </w:rPr>
              <w:t>IO</w:t>
            </w:r>
            <w:r>
              <w:rPr>
                <w:spacing w:val="-11"/>
                <w:sz w:val="18"/>
              </w:rPr>
              <w:t xml:space="preserve"> </w:t>
            </w:r>
            <w:r>
              <w:rPr>
                <w:sz w:val="18"/>
              </w:rPr>
              <w:t>2.4.</w:t>
            </w:r>
            <w:r>
              <w:rPr>
                <w:spacing w:val="-10"/>
                <w:sz w:val="18"/>
              </w:rPr>
              <w:t xml:space="preserve"> </w:t>
            </w:r>
            <w:r>
              <w:rPr>
                <w:sz w:val="18"/>
              </w:rPr>
              <w:t>Extent</w:t>
            </w:r>
            <w:r>
              <w:rPr>
                <w:spacing w:val="-10"/>
                <w:sz w:val="18"/>
              </w:rPr>
              <w:t xml:space="preserve"> </w:t>
            </w:r>
            <w:r>
              <w:rPr>
                <w:sz w:val="18"/>
              </w:rPr>
              <w:t>of integration of</w:t>
            </w:r>
          </w:p>
        </w:tc>
        <w:tc>
          <w:tcPr>
            <w:tcW w:w="1283" w:type="dxa"/>
            <w:tcBorders>
              <w:top w:val="single" w:sz="4" w:space="0" w:color="BEBEBE"/>
              <w:bottom w:val="single" w:sz="4" w:space="0" w:color="BEBEBE"/>
            </w:tcBorders>
          </w:tcPr>
          <w:p w14:paraId="470A5A9F" w14:textId="77777777" w:rsidR="00BC24A8" w:rsidRDefault="00000000">
            <w:pPr>
              <w:pStyle w:val="TableParagraph"/>
              <w:spacing w:before="66"/>
              <w:ind w:left="126"/>
              <w:rPr>
                <w:sz w:val="18"/>
              </w:rPr>
            </w:pPr>
            <w:r>
              <w:rPr>
                <w:spacing w:val="-10"/>
                <w:sz w:val="18"/>
              </w:rPr>
              <w:t>0</w:t>
            </w:r>
          </w:p>
        </w:tc>
        <w:tc>
          <w:tcPr>
            <w:tcW w:w="1365" w:type="dxa"/>
            <w:tcBorders>
              <w:top w:val="single" w:sz="4" w:space="0" w:color="BEBEBE"/>
              <w:bottom w:val="single" w:sz="4" w:space="0" w:color="BEBEBE"/>
            </w:tcBorders>
          </w:tcPr>
          <w:p w14:paraId="734368D0" w14:textId="77777777" w:rsidR="00BC24A8" w:rsidRDefault="00000000">
            <w:pPr>
              <w:pStyle w:val="TableParagraph"/>
              <w:spacing w:before="66"/>
              <w:ind w:left="283"/>
              <w:rPr>
                <w:sz w:val="18"/>
              </w:rPr>
            </w:pPr>
            <w:r>
              <w:rPr>
                <w:spacing w:val="-10"/>
                <w:sz w:val="18"/>
              </w:rPr>
              <w:t>0</w:t>
            </w:r>
          </w:p>
        </w:tc>
        <w:tc>
          <w:tcPr>
            <w:tcW w:w="1375" w:type="dxa"/>
            <w:tcBorders>
              <w:top w:val="single" w:sz="4" w:space="0" w:color="BEBEBE"/>
              <w:bottom w:val="single" w:sz="4" w:space="0" w:color="BEBEBE"/>
            </w:tcBorders>
          </w:tcPr>
          <w:p w14:paraId="7C18F8B5" w14:textId="77777777" w:rsidR="00BC24A8" w:rsidRDefault="00BC24A8">
            <w:pPr>
              <w:pStyle w:val="TableParagraph"/>
              <w:rPr>
                <w:rFonts w:ascii="Times New Roman"/>
                <w:sz w:val="16"/>
              </w:rPr>
            </w:pPr>
          </w:p>
        </w:tc>
        <w:tc>
          <w:tcPr>
            <w:tcW w:w="1346" w:type="dxa"/>
            <w:tcBorders>
              <w:top w:val="single" w:sz="4" w:space="0" w:color="BEBEBE"/>
              <w:bottom w:val="single" w:sz="4" w:space="0" w:color="BEBEBE"/>
            </w:tcBorders>
          </w:tcPr>
          <w:p w14:paraId="650A2F6A" w14:textId="77777777" w:rsidR="00BC24A8" w:rsidRDefault="00000000">
            <w:pPr>
              <w:pStyle w:val="TableParagraph"/>
              <w:spacing w:before="66"/>
              <w:ind w:left="152"/>
              <w:rPr>
                <w:sz w:val="18"/>
              </w:rPr>
            </w:pPr>
            <w:r>
              <w:rPr>
                <w:spacing w:val="-10"/>
                <w:sz w:val="18"/>
              </w:rPr>
              <w:t>0</w:t>
            </w:r>
          </w:p>
        </w:tc>
        <w:tc>
          <w:tcPr>
            <w:tcW w:w="2119" w:type="dxa"/>
            <w:tcBorders>
              <w:top w:val="single" w:sz="4" w:space="0" w:color="BEBEBE"/>
              <w:bottom w:val="single" w:sz="4" w:space="0" w:color="BEBEBE"/>
            </w:tcBorders>
          </w:tcPr>
          <w:p w14:paraId="52C9D27E" w14:textId="77777777" w:rsidR="00BC24A8" w:rsidRDefault="00000000">
            <w:pPr>
              <w:pStyle w:val="TableParagraph"/>
              <w:spacing w:before="66"/>
              <w:ind w:left="157"/>
              <w:rPr>
                <w:sz w:val="18"/>
              </w:rPr>
            </w:pPr>
            <w:r>
              <w:rPr>
                <w:sz w:val="18"/>
              </w:rPr>
              <w:t>System</w:t>
            </w:r>
            <w:r>
              <w:rPr>
                <w:spacing w:val="-11"/>
                <w:sz w:val="18"/>
              </w:rPr>
              <w:t xml:space="preserve"> </w:t>
            </w:r>
            <w:r>
              <w:rPr>
                <w:sz w:val="18"/>
              </w:rPr>
              <w:t>integration</w:t>
            </w:r>
            <w:r>
              <w:rPr>
                <w:spacing w:val="-10"/>
                <w:sz w:val="18"/>
              </w:rPr>
              <w:t xml:space="preserve"> </w:t>
            </w:r>
            <w:r>
              <w:rPr>
                <w:sz w:val="18"/>
              </w:rPr>
              <w:t>is</w:t>
            </w:r>
            <w:r>
              <w:rPr>
                <w:spacing w:val="-10"/>
                <w:sz w:val="18"/>
              </w:rPr>
              <w:t xml:space="preserve"> </w:t>
            </w:r>
            <w:r>
              <w:rPr>
                <w:sz w:val="18"/>
              </w:rPr>
              <w:t xml:space="preserve">still </w:t>
            </w:r>
            <w:r>
              <w:rPr>
                <w:spacing w:val="-2"/>
                <w:sz w:val="18"/>
              </w:rPr>
              <w:t>progressing:</w:t>
            </w:r>
          </w:p>
        </w:tc>
      </w:tr>
    </w:tbl>
    <w:p w14:paraId="5C516E29" w14:textId="77777777" w:rsidR="00BC24A8" w:rsidRDefault="00BC24A8">
      <w:pPr>
        <w:pStyle w:val="TableParagraph"/>
        <w:rPr>
          <w:sz w:val="18"/>
        </w:rPr>
        <w:sectPr w:rsidR="00BC24A8">
          <w:pgSz w:w="11910" w:h="16840"/>
          <w:pgMar w:top="1380" w:right="850" w:bottom="1100" w:left="1275" w:header="0" w:footer="907" w:gutter="0"/>
          <w:cols w:space="720"/>
        </w:sectPr>
      </w:pPr>
    </w:p>
    <w:tbl>
      <w:tblPr>
        <w:tblW w:w="0" w:type="auto"/>
        <w:tblInd w:w="136" w:type="dxa"/>
        <w:tblLayout w:type="fixed"/>
        <w:tblCellMar>
          <w:left w:w="0" w:type="dxa"/>
          <w:right w:w="0" w:type="dxa"/>
        </w:tblCellMar>
        <w:tblLook w:val="01E0" w:firstRow="1" w:lastRow="1" w:firstColumn="1" w:lastColumn="1" w:noHBand="0" w:noVBand="0"/>
      </w:tblPr>
      <w:tblGrid>
        <w:gridCol w:w="1634"/>
        <w:gridCol w:w="1428"/>
        <w:gridCol w:w="1259"/>
        <w:gridCol w:w="1337"/>
        <w:gridCol w:w="1344"/>
        <w:gridCol w:w="2099"/>
      </w:tblGrid>
      <w:tr w:rsidR="00BC24A8" w14:paraId="56F13F48" w14:textId="77777777">
        <w:trPr>
          <w:trHeight w:val="1317"/>
        </w:trPr>
        <w:tc>
          <w:tcPr>
            <w:tcW w:w="1634" w:type="dxa"/>
            <w:tcBorders>
              <w:top w:val="single" w:sz="4" w:space="0" w:color="BEBEBE"/>
              <w:bottom w:val="single" w:sz="4" w:space="0" w:color="BEBEBE"/>
            </w:tcBorders>
          </w:tcPr>
          <w:p w14:paraId="3AFBF8DB" w14:textId="77777777" w:rsidR="00BC24A8" w:rsidRDefault="00000000">
            <w:pPr>
              <w:pStyle w:val="TableParagraph"/>
              <w:spacing w:before="1"/>
              <w:ind w:left="122" w:right="159"/>
              <w:rPr>
                <w:sz w:val="18"/>
              </w:rPr>
            </w:pPr>
            <w:r>
              <w:rPr>
                <w:sz w:val="18"/>
              </w:rPr>
              <w:lastRenderedPageBreak/>
              <w:t>analytical tools into</w:t>
            </w:r>
            <w:r>
              <w:rPr>
                <w:spacing w:val="-11"/>
                <w:sz w:val="18"/>
              </w:rPr>
              <w:t xml:space="preserve"> </w:t>
            </w:r>
            <w:r>
              <w:rPr>
                <w:sz w:val="18"/>
              </w:rPr>
              <w:t>the</w:t>
            </w:r>
            <w:r>
              <w:rPr>
                <w:spacing w:val="-10"/>
                <w:sz w:val="18"/>
              </w:rPr>
              <w:t xml:space="preserve"> </w:t>
            </w:r>
            <w:r>
              <w:rPr>
                <w:sz w:val="18"/>
              </w:rPr>
              <w:t>process</w:t>
            </w:r>
            <w:r>
              <w:rPr>
                <w:spacing w:val="-10"/>
                <w:sz w:val="18"/>
              </w:rPr>
              <w:t xml:space="preserve"> </w:t>
            </w:r>
            <w:r>
              <w:rPr>
                <w:sz w:val="18"/>
              </w:rPr>
              <w:t xml:space="preserve">of </w:t>
            </w:r>
            <w:r>
              <w:rPr>
                <w:spacing w:val="-2"/>
                <w:sz w:val="18"/>
              </w:rPr>
              <w:t>planning</w:t>
            </w:r>
            <w:r>
              <w:rPr>
                <w:spacing w:val="40"/>
                <w:sz w:val="18"/>
              </w:rPr>
              <w:t xml:space="preserve"> </w:t>
            </w:r>
            <w:r>
              <w:rPr>
                <w:spacing w:val="-2"/>
                <w:sz w:val="18"/>
              </w:rPr>
              <w:t>document</w:t>
            </w:r>
            <w:r>
              <w:rPr>
                <w:sz w:val="18"/>
              </w:rPr>
              <w:t xml:space="preserve"> preparation,</w:t>
            </w:r>
            <w:r>
              <w:rPr>
                <w:spacing w:val="-2"/>
                <w:sz w:val="18"/>
              </w:rPr>
              <w:t xml:space="preserve"> </w:t>
            </w:r>
            <w:r>
              <w:rPr>
                <w:sz w:val="18"/>
              </w:rPr>
              <w:t>with</w:t>
            </w:r>
          </w:p>
          <w:p w14:paraId="6F86BADA" w14:textId="77777777" w:rsidR="00BC24A8" w:rsidRDefault="00000000">
            <w:pPr>
              <w:pStyle w:val="TableParagraph"/>
              <w:spacing w:line="197" w:lineRule="exact"/>
              <w:ind w:left="122"/>
              <w:rPr>
                <w:sz w:val="18"/>
              </w:rPr>
            </w:pPr>
            <w:r>
              <w:rPr>
                <w:sz w:val="18"/>
              </w:rPr>
              <w:t>SKALA</w:t>
            </w:r>
            <w:r>
              <w:rPr>
                <w:spacing w:val="-4"/>
                <w:sz w:val="18"/>
              </w:rPr>
              <w:t xml:space="preserve"> </w:t>
            </w:r>
            <w:r>
              <w:rPr>
                <w:spacing w:val="-2"/>
                <w:sz w:val="18"/>
              </w:rPr>
              <w:t>support.</w:t>
            </w:r>
          </w:p>
        </w:tc>
        <w:tc>
          <w:tcPr>
            <w:tcW w:w="1428" w:type="dxa"/>
            <w:tcBorders>
              <w:top w:val="single" w:sz="4" w:space="0" w:color="BEBEBE"/>
              <w:bottom w:val="single" w:sz="4" w:space="0" w:color="BEBEBE"/>
            </w:tcBorders>
          </w:tcPr>
          <w:p w14:paraId="1EBB4079" w14:textId="77777777" w:rsidR="00BC24A8" w:rsidRDefault="00BC24A8">
            <w:pPr>
              <w:pStyle w:val="TableParagraph"/>
              <w:rPr>
                <w:rFonts w:ascii="Times New Roman"/>
                <w:sz w:val="16"/>
              </w:rPr>
            </w:pPr>
          </w:p>
        </w:tc>
        <w:tc>
          <w:tcPr>
            <w:tcW w:w="1259" w:type="dxa"/>
            <w:tcBorders>
              <w:top w:val="single" w:sz="4" w:space="0" w:color="BEBEBE"/>
              <w:bottom w:val="single" w:sz="4" w:space="0" w:color="BEBEBE"/>
            </w:tcBorders>
          </w:tcPr>
          <w:p w14:paraId="10A51E6D" w14:textId="77777777" w:rsidR="00BC24A8" w:rsidRDefault="00BC24A8">
            <w:pPr>
              <w:pStyle w:val="TableParagraph"/>
              <w:rPr>
                <w:rFonts w:ascii="Times New Roman"/>
                <w:sz w:val="16"/>
              </w:rPr>
            </w:pPr>
          </w:p>
        </w:tc>
        <w:tc>
          <w:tcPr>
            <w:tcW w:w="1337" w:type="dxa"/>
            <w:tcBorders>
              <w:top w:val="single" w:sz="4" w:space="0" w:color="BEBEBE"/>
              <w:bottom w:val="single" w:sz="4" w:space="0" w:color="BEBEBE"/>
            </w:tcBorders>
          </w:tcPr>
          <w:p w14:paraId="298D057B" w14:textId="77777777" w:rsidR="00BC24A8" w:rsidRDefault="00000000">
            <w:pPr>
              <w:pStyle w:val="TableParagraph"/>
              <w:spacing w:before="1"/>
              <w:ind w:left="121" w:right="119"/>
              <w:rPr>
                <w:sz w:val="18"/>
              </w:rPr>
            </w:pPr>
            <w:r>
              <w:rPr>
                <w:sz w:val="18"/>
              </w:rPr>
              <w:t>4 systems integration</w:t>
            </w:r>
            <w:r>
              <w:rPr>
                <w:spacing w:val="-11"/>
                <w:sz w:val="18"/>
              </w:rPr>
              <w:t xml:space="preserve"> </w:t>
            </w:r>
            <w:r>
              <w:rPr>
                <w:sz w:val="18"/>
              </w:rPr>
              <w:t>has been initiated</w:t>
            </w:r>
          </w:p>
        </w:tc>
        <w:tc>
          <w:tcPr>
            <w:tcW w:w="1344" w:type="dxa"/>
            <w:tcBorders>
              <w:top w:val="single" w:sz="4" w:space="0" w:color="BEBEBE"/>
              <w:bottom w:val="single" w:sz="4" w:space="0" w:color="BEBEBE"/>
            </w:tcBorders>
          </w:tcPr>
          <w:p w14:paraId="2217F6E8" w14:textId="77777777" w:rsidR="00BC24A8" w:rsidRDefault="00BC24A8">
            <w:pPr>
              <w:pStyle w:val="TableParagraph"/>
              <w:rPr>
                <w:rFonts w:ascii="Times New Roman"/>
                <w:sz w:val="16"/>
              </w:rPr>
            </w:pPr>
          </w:p>
        </w:tc>
        <w:tc>
          <w:tcPr>
            <w:tcW w:w="2099" w:type="dxa"/>
            <w:tcBorders>
              <w:top w:val="single" w:sz="4" w:space="0" w:color="BEBEBE"/>
              <w:bottom w:val="single" w:sz="4" w:space="0" w:color="BEBEBE"/>
            </w:tcBorders>
          </w:tcPr>
          <w:p w14:paraId="0C67F71B" w14:textId="77777777" w:rsidR="00BC24A8" w:rsidRDefault="00000000">
            <w:pPr>
              <w:pStyle w:val="TableParagraph"/>
              <w:numPr>
                <w:ilvl w:val="0"/>
                <w:numId w:val="150"/>
              </w:numPr>
              <w:tabs>
                <w:tab w:val="left" w:pos="310"/>
              </w:tabs>
              <w:spacing w:before="1" w:line="219" w:lineRule="exact"/>
              <w:rPr>
                <w:sz w:val="18"/>
              </w:rPr>
            </w:pPr>
            <w:r>
              <w:rPr>
                <w:sz w:val="18"/>
              </w:rPr>
              <w:t>SIPD</w:t>
            </w:r>
            <w:r>
              <w:rPr>
                <w:spacing w:val="-3"/>
                <w:sz w:val="18"/>
              </w:rPr>
              <w:t xml:space="preserve"> </w:t>
            </w:r>
            <w:r>
              <w:rPr>
                <w:sz w:val="18"/>
              </w:rPr>
              <w:t>Hub</w:t>
            </w:r>
            <w:r>
              <w:rPr>
                <w:spacing w:val="-1"/>
                <w:sz w:val="18"/>
              </w:rPr>
              <w:t xml:space="preserve"> </w:t>
            </w:r>
            <w:r>
              <w:rPr>
                <w:sz w:val="18"/>
              </w:rPr>
              <w:t>–</w:t>
            </w:r>
            <w:r>
              <w:rPr>
                <w:spacing w:val="-2"/>
                <w:sz w:val="18"/>
              </w:rPr>
              <w:t xml:space="preserve"> SEPAKAT</w:t>
            </w:r>
          </w:p>
          <w:p w14:paraId="0B7F6B9A" w14:textId="77777777" w:rsidR="00BC24A8" w:rsidRDefault="00000000">
            <w:pPr>
              <w:pStyle w:val="TableParagraph"/>
              <w:numPr>
                <w:ilvl w:val="0"/>
                <w:numId w:val="150"/>
              </w:numPr>
              <w:tabs>
                <w:tab w:val="left" w:pos="310"/>
              </w:tabs>
              <w:spacing w:line="219" w:lineRule="exact"/>
              <w:rPr>
                <w:sz w:val="18"/>
              </w:rPr>
            </w:pPr>
            <w:r>
              <w:rPr>
                <w:sz w:val="18"/>
              </w:rPr>
              <w:t xml:space="preserve">SIKD- </w:t>
            </w:r>
            <w:r>
              <w:rPr>
                <w:spacing w:val="-2"/>
                <w:sz w:val="18"/>
              </w:rPr>
              <w:t>SEPAKAT</w:t>
            </w:r>
          </w:p>
          <w:p w14:paraId="324FAD8A" w14:textId="77777777" w:rsidR="00BC24A8" w:rsidRDefault="00000000">
            <w:pPr>
              <w:pStyle w:val="TableParagraph"/>
              <w:numPr>
                <w:ilvl w:val="0"/>
                <w:numId w:val="150"/>
              </w:numPr>
              <w:tabs>
                <w:tab w:val="left" w:pos="310"/>
              </w:tabs>
              <w:spacing w:before="1" w:line="219" w:lineRule="exact"/>
              <w:rPr>
                <w:sz w:val="18"/>
              </w:rPr>
            </w:pPr>
            <w:r>
              <w:rPr>
                <w:spacing w:val="-2"/>
                <w:sz w:val="18"/>
              </w:rPr>
              <w:t>SIKD-SIPD-SEPAKAT</w:t>
            </w:r>
          </w:p>
          <w:p w14:paraId="35C1629F" w14:textId="77777777" w:rsidR="00BC24A8" w:rsidRDefault="00000000">
            <w:pPr>
              <w:pStyle w:val="TableParagraph"/>
              <w:numPr>
                <w:ilvl w:val="0"/>
                <w:numId w:val="150"/>
              </w:numPr>
              <w:tabs>
                <w:tab w:val="left" w:pos="310"/>
              </w:tabs>
              <w:spacing w:line="219" w:lineRule="exact"/>
              <w:rPr>
                <w:sz w:val="18"/>
              </w:rPr>
            </w:pPr>
            <w:r>
              <w:rPr>
                <w:sz w:val="18"/>
              </w:rPr>
              <w:t>SIPPP</w:t>
            </w:r>
            <w:r>
              <w:rPr>
                <w:spacing w:val="-3"/>
                <w:sz w:val="18"/>
              </w:rPr>
              <w:t xml:space="preserve"> </w:t>
            </w:r>
            <w:r>
              <w:rPr>
                <w:sz w:val="18"/>
              </w:rPr>
              <w:t>-</w:t>
            </w:r>
            <w:r>
              <w:rPr>
                <w:spacing w:val="-1"/>
                <w:sz w:val="18"/>
              </w:rPr>
              <w:t xml:space="preserve"> </w:t>
            </w:r>
            <w:r>
              <w:rPr>
                <w:sz w:val="18"/>
              </w:rPr>
              <w:t>SIPD -</w:t>
            </w:r>
            <w:r>
              <w:rPr>
                <w:spacing w:val="-1"/>
                <w:sz w:val="18"/>
              </w:rPr>
              <w:t xml:space="preserve"> </w:t>
            </w:r>
            <w:r>
              <w:rPr>
                <w:spacing w:val="-2"/>
                <w:sz w:val="18"/>
              </w:rPr>
              <w:t>SEPAKAT</w:t>
            </w:r>
          </w:p>
        </w:tc>
      </w:tr>
      <w:tr w:rsidR="00BC24A8" w14:paraId="715F02AB" w14:textId="77777777">
        <w:trPr>
          <w:trHeight w:val="3241"/>
        </w:trPr>
        <w:tc>
          <w:tcPr>
            <w:tcW w:w="1634" w:type="dxa"/>
            <w:tcBorders>
              <w:top w:val="single" w:sz="4" w:space="0" w:color="BEBEBE"/>
              <w:bottom w:val="single" w:sz="4" w:space="0" w:color="BEBEBE"/>
            </w:tcBorders>
          </w:tcPr>
          <w:p w14:paraId="00159EFA" w14:textId="77777777" w:rsidR="00BC24A8" w:rsidRDefault="00000000">
            <w:pPr>
              <w:pStyle w:val="TableParagraph"/>
              <w:spacing w:before="61"/>
              <w:ind w:left="122" w:right="113"/>
              <w:rPr>
                <w:sz w:val="18"/>
              </w:rPr>
            </w:pPr>
            <w:r>
              <w:rPr>
                <w:sz w:val="18"/>
              </w:rPr>
              <w:t>IO 3.1. Number of national</w:t>
            </w:r>
            <w:r>
              <w:rPr>
                <w:spacing w:val="-11"/>
                <w:sz w:val="18"/>
              </w:rPr>
              <w:t xml:space="preserve"> </w:t>
            </w:r>
            <w:r>
              <w:rPr>
                <w:sz w:val="18"/>
              </w:rPr>
              <w:t>processes, policies, tools and guidance</w:t>
            </w:r>
            <w:r>
              <w:rPr>
                <w:spacing w:val="-11"/>
                <w:sz w:val="18"/>
              </w:rPr>
              <w:t xml:space="preserve"> </w:t>
            </w:r>
            <w:r>
              <w:rPr>
                <w:sz w:val="18"/>
              </w:rPr>
              <w:t>that</w:t>
            </w:r>
            <w:r>
              <w:rPr>
                <w:spacing w:val="-10"/>
                <w:sz w:val="18"/>
              </w:rPr>
              <w:t xml:space="preserve"> </w:t>
            </w:r>
            <w:r>
              <w:rPr>
                <w:sz w:val="18"/>
              </w:rPr>
              <w:t>have used GEDSI evidence and analysis to inform their</w:t>
            </w:r>
            <w:r>
              <w:rPr>
                <w:spacing w:val="-11"/>
                <w:sz w:val="18"/>
              </w:rPr>
              <w:t xml:space="preserve"> </w:t>
            </w:r>
            <w:r>
              <w:rPr>
                <w:sz w:val="18"/>
              </w:rPr>
              <w:t xml:space="preserve">development, with SKALA </w:t>
            </w:r>
            <w:r>
              <w:rPr>
                <w:spacing w:val="-2"/>
                <w:sz w:val="18"/>
              </w:rPr>
              <w:t>support.</w:t>
            </w:r>
          </w:p>
        </w:tc>
        <w:tc>
          <w:tcPr>
            <w:tcW w:w="1428" w:type="dxa"/>
            <w:tcBorders>
              <w:top w:val="single" w:sz="4" w:space="0" w:color="BEBEBE"/>
              <w:bottom w:val="single" w:sz="4" w:space="0" w:color="BEBEBE"/>
            </w:tcBorders>
          </w:tcPr>
          <w:p w14:paraId="58808CEC" w14:textId="77777777" w:rsidR="00BC24A8" w:rsidRDefault="00000000">
            <w:pPr>
              <w:pStyle w:val="TableParagraph"/>
              <w:spacing w:before="68"/>
              <w:ind w:left="108"/>
              <w:rPr>
                <w:sz w:val="18"/>
              </w:rPr>
            </w:pPr>
            <w:r>
              <w:rPr>
                <w:sz w:val="18"/>
              </w:rPr>
              <w:t xml:space="preserve">3 </w:t>
            </w:r>
            <w:r>
              <w:rPr>
                <w:spacing w:val="-2"/>
                <w:sz w:val="18"/>
              </w:rPr>
              <w:t>policies</w:t>
            </w:r>
          </w:p>
        </w:tc>
        <w:tc>
          <w:tcPr>
            <w:tcW w:w="1259" w:type="dxa"/>
            <w:tcBorders>
              <w:top w:val="single" w:sz="4" w:space="0" w:color="BEBEBE"/>
              <w:bottom w:val="single" w:sz="4" w:space="0" w:color="BEBEBE"/>
            </w:tcBorders>
          </w:tcPr>
          <w:p w14:paraId="56AB2B1A" w14:textId="77777777" w:rsidR="00BC24A8" w:rsidRDefault="00000000">
            <w:pPr>
              <w:pStyle w:val="TableParagraph"/>
              <w:spacing w:before="68"/>
              <w:ind w:left="120"/>
              <w:rPr>
                <w:sz w:val="18"/>
              </w:rPr>
            </w:pPr>
            <w:r>
              <w:rPr>
                <w:spacing w:val="-10"/>
                <w:sz w:val="18"/>
              </w:rPr>
              <w:t>0</w:t>
            </w:r>
          </w:p>
        </w:tc>
        <w:tc>
          <w:tcPr>
            <w:tcW w:w="1337" w:type="dxa"/>
            <w:tcBorders>
              <w:top w:val="single" w:sz="4" w:space="0" w:color="BEBEBE"/>
              <w:bottom w:val="single" w:sz="4" w:space="0" w:color="BEBEBE"/>
            </w:tcBorders>
          </w:tcPr>
          <w:p w14:paraId="7FA16519" w14:textId="77777777" w:rsidR="00BC24A8" w:rsidRDefault="00000000">
            <w:pPr>
              <w:pStyle w:val="TableParagraph"/>
              <w:spacing w:before="68"/>
              <w:ind w:left="121"/>
              <w:rPr>
                <w:sz w:val="18"/>
              </w:rPr>
            </w:pPr>
            <w:r>
              <w:rPr>
                <w:sz w:val="18"/>
              </w:rPr>
              <w:t xml:space="preserve">4 </w:t>
            </w:r>
            <w:r>
              <w:rPr>
                <w:spacing w:val="-2"/>
                <w:sz w:val="18"/>
              </w:rPr>
              <w:t>policies</w:t>
            </w:r>
          </w:p>
        </w:tc>
        <w:tc>
          <w:tcPr>
            <w:tcW w:w="1344" w:type="dxa"/>
            <w:tcBorders>
              <w:top w:val="single" w:sz="4" w:space="0" w:color="BEBEBE"/>
              <w:bottom w:val="single" w:sz="4" w:space="0" w:color="BEBEBE"/>
            </w:tcBorders>
          </w:tcPr>
          <w:p w14:paraId="6DB07C6C" w14:textId="77777777" w:rsidR="00BC24A8" w:rsidRDefault="00000000">
            <w:pPr>
              <w:pStyle w:val="TableParagraph"/>
              <w:spacing w:before="68"/>
              <w:ind w:left="133"/>
              <w:rPr>
                <w:sz w:val="18"/>
              </w:rPr>
            </w:pPr>
            <w:r>
              <w:rPr>
                <w:sz w:val="18"/>
              </w:rPr>
              <w:t xml:space="preserve">3 </w:t>
            </w:r>
            <w:r>
              <w:rPr>
                <w:spacing w:val="-2"/>
                <w:sz w:val="18"/>
              </w:rPr>
              <w:t>policies</w:t>
            </w:r>
          </w:p>
        </w:tc>
        <w:tc>
          <w:tcPr>
            <w:tcW w:w="2099" w:type="dxa"/>
            <w:tcBorders>
              <w:top w:val="single" w:sz="4" w:space="0" w:color="BEBEBE"/>
              <w:bottom w:val="single" w:sz="4" w:space="0" w:color="BEBEBE"/>
            </w:tcBorders>
          </w:tcPr>
          <w:p w14:paraId="26A21D51" w14:textId="77777777" w:rsidR="00BC24A8" w:rsidRDefault="00000000">
            <w:pPr>
              <w:pStyle w:val="TableParagraph"/>
              <w:spacing w:before="68"/>
              <w:ind w:left="140"/>
              <w:rPr>
                <w:sz w:val="18"/>
              </w:rPr>
            </w:pPr>
            <w:r>
              <w:rPr>
                <w:sz w:val="18"/>
              </w:rPr>
              <w:t>On</w:t>
            </w:r>
            <w:r>
              <w:rPr>
                <w:spacing w:val="-1"/>
                <w:sz w:val="18"/>
              </w:rPr>
              <w:t xml:space="preserve"> </w:t>
            </w:r>
            <w:r>
              <w:rPr>
                <w:spacing w:val="-2"/>
                <w:sz w:val="18"/>
              </w:rPr>
              <w:t>progress:</w:t>
            </w:r>
          </w:p>
          <w:p w14:paraId="344B7D6D" w14:textId="77777777" w:rsidR="00BC24A8" w:rsidRDefault="00000000">
            <w:pPr>
              <w:pStyle w:val="TableParagraph"/>
              <w:numPr>
                <w:ilvl w:val="0"/>
                <w:numId w:val="149"/>
              </w:numPr>
              <w:tabs>
                <w:tab w:val="left" w:pos="310"/>
              </w:tabs>
              <w:spacing w:before="59"/>
              <w:ind w:right="302"/>
              <w:rPr>
                <w:sz w:val="18"/>
              </w:rPr>
            </w:pPr>
            <w:r>
              <w:rPr>
                <w:sz w:val="18"/>
              </w:rPr>
              <w:t>Draft of National Action Plan for Disability</w:t>
            </w:r>
            <w:r>
              <w:rPr>
                <w:spacing w:val="-11"/>
                <w:sz w:val="18"/>
              </w:rPr>
              <w:t xml:space="preserve"> </w:t>
            </w:r>
            <w:r>
              <w:rPr>
                <w:sz w:val="18"/>
              </w:rPr>
              <w:t>2025-2029</w:t>
            </w:r>
          </w:p>
          <w:p w14:paraId="4F177FA3" w14:textId="77777777" w:rsidR="00BC24A8" w:rsidRDefault="00000000">
            <w:pPr>
              <w:pStyle w:val="TableParagraph"/>
              <w:numPr>
                <w:ilvl w:val="0"/>
                <w:numId w:val="149"/>
              </w:numPr>
              <w:tabs>
                <w:tab w:val="left" w:pos="310"/>
              </w:tabs>
              <w:spacing w:before="1"/>
              <w:ind w:right="317"/>
              <w:rPr>
                <w:sz w:val="18"/>
              </w:rPr>
            </w:pPr>
            <w:r>
              <w:rPr>
                <w:sz w:val="18"/>
              </w:rPr>
              <w:t>Draft regulation for national</w:t>
            </w:r>
            <w:r>
              <w:rPr>
                <w:spacing w:val="-11"/>
                <w:sz w:val="18"/>
              </w:rPr>
              <w:t xml:space="preserve"> </w:t>
            </w:r>
            <w:r>
              <w:rPr>
                <w:sz w:val="18"/>
              </w:rPr>
              <w:t>strategy</w:t>
            </w:r>
            <w:r>
              <w:rPr>
                <w:spacing w:val="-10"/>
                <w:sz w:val="18"/>
              </w:rPr>
              <w:t xml:space="preserve"> </w:t>
            </w:r>
            <w:r>
              <w:rPr>
                <w:sz w:val="18"/>
              </w:rPr>
              <w:t>for elderly</w:t>
            </w:r>
            <w:r>
              <w:rPr>
                <w:spacing w:val="-2"/>
                <w:sz w:val="18"/>
              </w:rPr>
              <w:t xml:space="preserve"> </w:t>
            </w:r>
            <w:r>
              <w:rPr>
                <w:sz w:val="18"/>
              </w:rPr>
              <w:t>program</w:t>
            </w:r>
          </w:p>
          <w:p w14:paraId="53885D2A" w14:textId="77777777" w:rsidR="00BC24A8" w:rsidRDefault="00000000">
            <w:pPr>
              <w:pStyle w:val="TableParagraph"/>
              <w:numPr>
                <w:ilvl w:val="0"/>
                <w:numId w:val="149"/>
              </w:numPr>
              <w:tabs>
                <w:tab w:val="left" w:pos="310"/>
              </w:tabs>
              <w:ind w:right="212"/>
              <w:rPr>
                <w:sz w:val="18"/>
              </w:rPr>
            </w:pPr>
            <w:r>
              <w:rPr>
                <w:sz w:val="18"/>
              </w:rPr>
              <w:t>Draft guideline for public</w:t>
            </w:r>
            <w:r>
              <w:rPr>
                <w:spacing w:val="-11"/>
                <w:sz w:val="18"/>
              </w:rPr>
              <w:t xml:space="preserve"> </w:t>
            </w:r>
            <w:r>
              <w:rPr>
                <w:sz w:val="18"/>
              </w:rPr>
              <w:t>participation</w:t>
            </w:r>
            <w:r>
              <w:rPr>
                <w:spacing w:val="-10"/>
                <w:sz w:val="18"/>
              </w:rPr>
              <w:t xml:space="preserve"> </w:t>
            </w:r>
            <w:r>
              <w:rPr>
                <w:sz w:val="18"/>
              </w:rPr>
              <w:t xml:space="preserve">in government policy </w:t>
            </w:r>
            <w:r>
              <w:rPr>
                <w:spacing w:val="-2"/>
                <w:sz w:val="18"/>
              </w:rPr>
              <w:t>process</w:t>
            </w:r>
          </w:p>
          <w:p w14:paraId="316B0301" w14:textId="77777777" w:rsidR="00BC24A8" w:rsidRDefault="00000000">
            <w:pPr>
              <w:pStyle w:val="TableParagraph"/>
              <w:numPr>
                <w:ilvl w:val="0"/>
                <w:numId w:val="149"/>
              </w:numPr>
              <w:tabs>
                <w:tab w:val="left" w:pos="310"/>
              </w:tabs>
              <w:ind w:right="322"/>
              <w:rPr>
                <w:sz w:val="18"/>
              </w:rPr>
            </w:pPr>
            <w:r>
              <w:rPr>
                <w:sz w:val="18"/>
              </w:rPr>
              <w:t>Draft</w:t>
            </w:r>
            <w:r>
              <w:rPr>
                <w:spacing w:val="-11"/>
                <w:sz w:val="18"/>
              </w:rPr>
              <w:t xml:space="preserve"> </w:t>
            </w:r>
            <w:r>
              <w:rPr>
                <w:sz w:val="18"/>
              </w:rPr>
              <w:t>national</w:t>
            </w:r>
            <w:r>
              <w:rPr>
                <w:spacing w:val="-10"/>
                <w:sz w:val="18"/>
              </w:rPr>
              <w:t xml:space="preserve"> </w:t>
            </w:r>
            <w:r>
              <w:rPr>
                <w:sz w:val="18"/>
              </w:rPr>
              <w:t xml:space="preserve">policy for gender </w:t>
            </w:r>
            <w:r>
              <w:rPr>
                <w:spacing w:val="-2"/>
                <w:sz w:val="18"/>
              </w:rPr>
              <w:t>mainstreaming</w:t>
            </w:r>
          </w:p>
        </w:tc>
      </w:tr>
      <w:tr w:rsidR="00BC24A8" w14:paraId="161F0BBE" w14:textId="77777777">
        <w:trPr>
          <w:trHeight w:val="2543"/>
        </w:trPr>
        <w:tc>
          <w:tcPr>
            <w:tcW w:w="1634" w:type="dxa"/>
            <w:tcBorders>
              <w:top w:val="single" w:sz="4" w:space="0" w:color="BEBEBE"/>
              <w:bottom w:val="single" w:sz="4" w:space="0" w:color="BEBEBE"/>
            </w:tcBorders>
          </w:tcPr>
          <w:p w14:paraId="64F65AFF" w14:textId="77777777" w:rsidR="00BC24A8" w:rsidRDefault="00000000">
            <w:pPr>
              <w:pStyle w:val="TableParagraph"/>
              <w:spacing w:before="61"/>
              <w:ind w:left="122" w:right="105"/>
              <w:rPr>
                <w:sz w:val="18"/>
              </w:rPr>
            </w:pPr>
            <w:r>
              <w:rPr>
                <w:sz w:val="18"/>
              </w:rPr>
              <w:t>IO 3.2.</w:t>
            </w:r>
            <w:r>
              <w:rPr>
                <w:spacing w:val="40"/>
                <w:sz w:val="18"/>
              </w:rPr>
              <w:t xml:space="preserve"> </w:t>
            </w:r>
            <w:r>
              <w:rPr>
                <w:sz w:val="18"/>
              </w:rPr>
              <w:t>Number of improved</w:t>
            </w:r>
            <w:r>
              <w:rPr>
                <w:spacing w:val="-11"/>
                <w:sz w:val="18"/>
              </w:rPr>
              <w:t xml:space="preserve"> </w:t>
            </w:r>
            <w:r>
              <w:rPr>
                <w:sz w:val="18"/>
              </w:rPr>
              <w:t>tools</w:t>
            </w:r>
            <w:r>
              <w:rPr>
                <w:spacing w:val="-10"/>
                <w:sz w:val="18"/>
              </w:rPr>
              <w:t xml:space="preserve"> </w:t>
            </w:r>
            <w:r>
              <w:rPr>
                <w:sz w:val="18"/>
              </w:rPr>
              <w:t xml:space="preserve">and </w:t>
            </w:r>
            <w:r>
              <w:rPr>
                <w:spacing w:val="-2"/>
                <w:sz w:val="18"/>
              </w:rPr>
              <w:t>guidance</w:t>
            </w:r>
            <w:r>
              <w:rPr>
                <w:spacing w:val="40"/>
                <w:sz w:val="18"/>
              </w:rPr>
              <w:t xml:space="preserve"> </w:t>
            </w:r>
            <w:r>
              <w:rPr>
                <w:spacing w:val="-2"/>
                <w:sz w:val="18"/>
              </w:rPr>
              <w:t>supporting</w:t>
            </w:r>
            <w:r>
              <w:rPr>
                <w:sz w:val="18"/>
              </w:rPr>
              <w:t xml:space="preserve"> </w:t>
            </w:r>
            <w:r>
              <w:rPr>
                <w:spacing w:val="-2"/>
                <w:sz w:val="18"/>
              </w:rPr>
              <w:t>subnational</w:t>
            </w:r>
            <w:r>
              <w:rPr>
                <w:sz w:val="18"/>
              </w:rPr>
              <w:t xml:space="preserve"> governments to undertake and use GEDSI analysis in planning</w:t>
            </w:r>
            <w:r>
              <w:rPr>
                <w:spacing w:val="-2"/>
                <w:sz w:val="18"/>
              </w:rPr>
              <w:t xml:space="preserve"> </w:t>
            </w:r>
            <w:r>
              <w:rPr>
                <w:sz w:val="18"/>
              </w:rPr>
              <w:t>and budgeting,</w:t>
            </w:r>
            <w:r>
              <w:rPr>
                <w:spacing w:val="-2"/>
                <w:sz w:val="18"/>
              </w:rPr>
              <w:t xml:space="preserve"> </w:t>
            </w:r>
            <w:r>
              <w:rPr>
                <w:sz w:val="18"/>
              </w:rPr>
              <w:t>with SKALA</w:t>
            </w:r>
            <w:r>
              <w:rPr>
                <w:spacing w:val="-2"/>
                <w:sz w:val="18"/>
              </w:rPr>
              <w:t xml:space="preserve"> </w:t>
            </w:r>
            <w:r>
              <w:rPr>
                <w:sz w:val="18"/>
              </w:rPr>
              <w:t>support.</w:t>
            </w:r>
          </w:p>
        </w:tc>
        <w:tc>
          <w:tcPr>
            <w:tcW w:w="1428" w:type="dxa"/>
            <w:tcBorders>
              <w:top w:val="single" w:sz="4" w:space="0" w:color="BEBEBE"/>
              <w:bottom w:val="single" w:sz="4" w:space="0" w:color="BEBEBE"/>
            </w:tcBorders>
          </w:tcPr>
          <w:p w14:paraId="5A0DD2A9" w14:textId="77777777" w:rsidR="00BC24A8" w:rsidRDefault="00000000">
            <w:pPr>
              <w:pStyle w:val="TableParagraph"/>
              <w:spacing w:before="68"/>
              <w:ind w:left="108"/>
              <w:rPr>
                <w:sz w:val="18"/>
              </w:rPr>
            </w:pPr>
            <w:r>
              <w:rPr>
                <w:sz w:val="18"/>
              </w:rPr>
              <w:t xml:space="preserve">3 </w:t>
            </w:r>
            <w:r>
              <w:rPr>
                <w:spacing w:val="-2"/>
                <w:sz w:val="18"/>
              </w:rPr>
              <w:t>guidelines</w:t>
            </w:r>
          </w:p>
        </w:tc>
        <w:tc>
          <w:tcPr>
            <w:tcW w:w="1259" w:type="dxa"/>
            <w:tcBorders>
              <w:top w:val="single" w:sz="4" w:space="0" w:color="BEBEBE"/>
              <w:bottom w:val="single" w:sz="4" w:space="0" w:color="BEBEBE"/>
            </w:tcBorders>
          </w:tcPr>
          <w:p w14:paraId="5F57780E" w14:textId="77777777" w:rsidR="00BC24A8" w:rsidRDefault="00000000">
            <w:pPr>
              <w:pStyle w:val="TableParagraph"/>
              <w:spacing w:before="68"/>
              <w:ind w:left="120"/>
              <w:rPr>
                <w:sz w:val="18"/>
              </w:rPr>
            </w:pPr>
            <w:r>
              <w:rPr>
                <w:spacing w:val="-10"/>
                <w:sz w:val="18"/>
              </w:rPr>
              <w:t>0</w:t>
            </w:r>
          </w:p>
        </w:tc>
        <w:tc>
          <w:tcPr>
            <w:tcW w:w="1337" w:type="dxa"/>
            <w:tcBorders>
              <w:top w:val="single" w:sz="4" w:space="0" w:color="BEBEBE"/>
              <w:bottom w:val="single" w:sz="4" w:space="0" w:color="BEBEBE"/>
            </w:tcBorders>
          </w:tcPr>
          <w:p w14:paraId="39A5A90C" w14:textId="77777777" w:rsidR="00BC24A8" w:rsidRDefault="00000000">
            <w:pPr>
              <w:pStyle w:val="TableParagraph"/>
              <w:spacing w:before="68"/>
              <w:ind w:left="121"/>
              <w:rPr>
                <w:sz w:val="18"/>
              </w:rPr>
            </w:pPr>
            <w:r>
              <w:rPr>
                <w:sz w:val="18"/>
              </w:rPr>
              <w:t xml:space="preserve">Not </w:t>
            </w:r>
            <w:r>
              <w:rPr>
                <w:spacing w:val="-2"/>
                <w:sz w:val="18"/>
              </w:rPr>
              <w:t>applicable</w:t>
            </w:r>
          </w:p>
        </w:tc>
        <w:tc>
          <w:tcPr>
            <w:tcW w:w="1344" w:type="dxa"/>
            <w:tcBorders>
              <w:top w:val="single" w:sz="4" w:space="0" w:color="BEBEBE"/>
              <w:bottom w:val="single" w:sz="4" w:space="0" w:color="BEBEBE"/>
            </w:tcBorders>
          </w:tcPr>
          <w:p w14:paraId="235303C8" w14:textId="77777777" w:rsidR="00BC24A8" w:rsidRDefault="00000000">
            <w:pPr>
              <w:pStyle w:val="TableParagraph"/>
              <w:spacing w:before="68"/>
              <w:ind w:left="133"/>
              <w:rPr>
                <w:sz w:val="18"/>
              </w:rPr>
            </w:pPr>
            <w:r>
              <w:rPr>
                <w:sz w:val="18"/>
              </w:rPr>
              <w:t xml:space="preserve">3 </w:t>
            </w:r>
            <w:r>
              <w:rPr>
                <w:spacing w:val="-2"/>
                <w:sz w:val="18"/>
              </w:rPr>
              <w:t>guidelines</w:t>
            </w:r>
          </w:p>
        </w:tc>
        <w:tc>
          <w:tcPr>
            <w:tcW w:w="2099" w:type="dxa"/>
            <w:tcBorders>
              <w:top w:val="single" w:sz="4" w:space="0" w:color="BEBEBE"/>
              <w:bottom w:val="single" w:sz="4" w:space="0" w:color="BEBEBE"/>
            </w:tcBorders>
          </w:tcPr>
          <w:p w14:paraId="42C4E201" w14:textId="77777777" w:rsidR="00BC24A8" w:rsidRDefault="00000000">
            <w:pPr>
              <w:pStyle w:val="TableParagraph"/>
              <w:spacing w:before="68"/>
              <w:ind w:left="140"/>
              <w:rPr>
                <w:sz w:val="18"/>
              </w:rPr>
            </w:pPr>
            <w:r>
              <w:rPr>
                <w:sz w:val="18"/>
              </w:rPr>
              <w:t>No</w:t>
            </w:r>
            <w:r>
              <w:rPr>
                <w:spacing w:val="-2"/>
                <w:sz w:val="18"/>
              </w:rPr>
              <w:t xml:space="preserve"> </w:t>
            </w:r>
            <w:r>
              <w:rPr>
                <w:sz w:val="18"/>
              </w:rPr>
              <w:t>new</w:t>
            </w:r>
            <w:r>
              <w:rPr>
                <w:spacing w:val="-1"/>
                <w:sz w:val="18"/>
              </w:rPr>
              <w:t xml:space="preserve"> </w:t>
            </w:r>
            <w:r>
              <w:rPr>
                <w:spacing w:val="-2"/>
                <w:sz w:val="18"/>
              </w:rPr>
              <w:t>tools.</w:t>
            </w:r>
          </w:p>
        </w:tc>
      </w:tr>
      <w:tr w:rsidR="00BC24A8" w14:paraId="44CBED8A" w14:textId="77777777">
        <w:trPr>
          <w:trHeight w:val="2154"/>
        </w:trPr>
        <w:tc>
          <w:tcPr>
            <w:tcW w:w="1634" w:type="dxa"/>
            <w:tcBorders>
              <w:top w:val="single" w:sz="4" w:space="0" w:color="BEBEBE"/>
              <w:bottom w:val="single" w:sz="4" w:space="0" w:color="BEBEBE"/>
            </w:tcBorders>
          </w:tcPr>
          <w:p w14:paraId="40124786" w14:textId="77777777" w:rsidR="00BC24A8" w:rsidRDefault="00000000">
            <w:pPr>
              <w:pStyle w:val="TableParagraph"/>
              <w:spacing w:before="61"/>
              <w:ind w:left="122" w:right="126"/>
              <w:rPr>
                <w:sz w:val="18"/>
              </w:rPr>
            </w:pPr>
            <w:r>
              <w:rPr>
                <w:sz w:val="18"/>
              </w:rPr>
              <w:t>IO 3.3.</w:t>
            </w:r>
            <w:r>
              <w:rPr>
                <w:spacing w:val="40"/>
                <w:sz w:val="18"/>
              </w:rPr>
              <w:t xml:space="preserve"> </w:t>
            </w:r>
            <w:r>
              <w:rPr>
                <w:sz w:val="18"/>
              </w:rPr>
              <w:t>Extent to which subnational nomenclature has been expanded with SKALA</w:t>
            </w:r>
            <w:r>
              <w:rPr>
                <w:spacing w:val="40"/>
                <w:sz w:val="18"/>
              </w:rPr>
              <w:t xml:space="preserve"> </w:t>
            </w:r>
            <w:r>
              <w:rPr>
                <w:sz w:val="18"/>
              </w:rPr>
              <w:t>support to more fully</w:t>
            </w:r>
            <w:r>
              <w:rPr>
                <w:spacing w:val="-11"/>
                <w:sz w:val="18"/>
              </w:rPr>
              <w:t xml:space="preserve"> </w:t>
            </w:r>
            <w:r>
              <w:rPr>
                <w:sz w:val="18"/>
              </w:rPr>
              <w:t>capture</w:t>
            </w:r>
            <w:r>
              <w:rPr>
                <w:spacing w:val="-10"/>
                <w:sz w:val="18"/>
              </w:rPr>
              <w:t xml:space="preserve"> </w:t>
            </w:r>
            <w:r>
              <w:rPr>
                <w:sz w:val="18"/>
              </w:rPr>
              <w:t>GEDSI issues in planning and budgeting.</w:t>
            </w:r>
          </w:p>
        </w:tc>
        <w:tc>
          <w:tcPr>
            <w:tcW w:w="1428" w:type="dxa"/>
            <w:tcBorders>
              <w:top w:val="single" w:sz="4" w:space="0" w:color="BEBEBE"/>
              <w:bottom w:val="single" w:sz="4" w:space="0" w:color="BEBEBE"/>
            </w:tcBorders>
          </w:tcPr>
          <w:p w14:paraId="184EAECF" w14:textId="77777777" w:rsidR="00BC24A8" w:rsidRDefault="00000000">
            <w:pPr>
              <w:pStyle w:val="TableParagraph"/>
              <w:spacing w:before="66"/>
              <w:ind w:left="108" w:right="116"/>
              <w:rPr>
                <w:sz w:val="18"/>
              </w:rPr>
            </w:pPr>
            <w:r>
              <w:rPr>
                <w:sz w:val="18"/>
              </w:rPr>
              <w:t xml:space="preserve">On progress to </w:t>
            </w:r>
            <w:r>
              <w:rPr>
                <w:spacing w:val="-2"/>
                <w:sz w:val="18"/>
              </w:rPr>
              <w:t>accommodate</w:t>
            </w:r>
            <w:r>
              <w:rPr>
                <w:spacing w:val="40"/>
                <w:sz w:val="18"/>
              </w:rPr>
              <w:t xml:space="preserve"> </w:t>
            </w:r>
            <w:r>
              <w:rPr>
                <w:sz w:val="18"/>
              </w:rPr>
              <w:t>81</w:t>
            </w:r>
            <w:r>
              <w:rPr>
                <w:spacing w:val="-9"/>
                <w:sz w:val="18"/>
              </w:rPr>
              <w:t xml:space="preserve"> </w:t>
            </w:r>
            <w:r>
              <w:rPr>
                <w:sz w:val="18"/>
              </w:rPr>
              <w:t>revised</w:t>
            </w:r>
            <w:r>
              <w:rPr>
                <w:spacing w:val="-9"/>
                <w:sz w:val="18"/>
              </w:rPr>
              <w:t xml:space="preserve"> </w:t>
            </w:r>
            <w:r>
              <w:rPr>
                <w:sz w:val="18"/>
              </w:rPr>
              <w:t>and</w:t>
            </w:r>
            <w:r>
              <w:rPr>
                <w:spacing w:val="-9"/>
                <w:sz w:val="18"/>
              </w:rPr>
              <w:t xml:space="preserve"> </w:t>
            </w:r>
            <w:r>
              <w:rPr>
                <w:sz w:val="18"/>
              </w:rPr>
              <w:t>5 additional</w:t>
            </w:r>
            <w:r>
              <w:rPr>
                <w:spacing w:val="-11"/>
                <w:sz w:val="18"/>
              </w:rPr>
              <w:t xml:space="preserve"> </w:t>
            </w:r>
            <w:r>
              <w:rPr>
                <w:sz w:val="18"/>
              </w:rPr>
              <w:t xml:space="preserve">GEDSI </w:t>
            </w:r>
            <w:r>
              <w:rPr>
                <w:spacing w:val="-2"/>
                <w:sz w:val="18"/>
              </w:rPr>
              <w:t>nomenclatures</w:t>
            </w:r>
          </w:p>
        </w:tc>
        <w:tc>
          <w:tcPr>
            <w:tcW w:w="1259" w:type="dxa"/>
            <w:tcBorders>
              <w:top w:val="single" w:sz="4" w:space="0" w:color="BEBEBE"/>
              <w:bottom w:val="single" w:sz="4" w:space="0" w:color="BEBEBE"/>
            </w:tcBorders>
          </w:tcPr>
          <w:p w14:paraId="1D94E77C" w14:textId="77777777" w:rsidR="00BC24A8" w:rsidRDefault="00000000">
            <w:pPr>
              <w:pStyle w:val="TableParagraph"/>
              <w:spacing w:before="66"/>
              <w:ind w:left="120"/>
              <w:rPr>
                <w:sz w:val="18"/>
              </w:rPr>
            </w:pPr>
            <w:r>
              <w:rPr>
                <w:spacing w:val="-10"/>
                <w:sz w:val="18"/>
              </w:rPr>
              <w:t>0</w:t>
            </w:r>
          </w:p>
        </w:tc>
        <w:tc>
          <w:tcPr>
            <w:tcW w:w="1337" w:type="dxa"/>
            <w:tcBorders>
              <w:top w:val="single" w:sz="4" w:space="0" w:color="BEBEBE"/>
              <w:bottom w:val="single" w:sz="4" w:space="0" w:color="BEBEBE"/>
            </w:tcBorders>
          </w:tcPr>
          <w:p w14:paraId="748140EF" w14:textId="77777777" w:rsidR="00BC24A8" w:rsidRDefault="00000000">
            <w:pPr>
              <w:pStyle w:val="TableParagraph"/>
              <w:spacing w:before="66"/>
              <w:ind w:left="121" w:right="142"/>
              <w:jc w:val="both"/>
              <w:rPr>
                <w:sz w:val="18"/>
              </w:rPr>
            </w:pPr>
            <w:r>
              <w:rPr>
                <w:sz w:val="18"/>
              </w:rPr>
              <w:t>On</w:t>
            </w:r>
            <w:r>
              <w:rPr>
                <w:spacing w:val="-11"/>
                <w:sz w:val="18"/>
              </w:rPr>
              <w:t xml:space="preserve"> </w:t>
            </w:r>
            <w:r>
              <w:rPr>
                <w:sz w:val="18"/>
              </w:rPr>
              <w:t>progress</w:t>
            </w:r>
            <w:r>
              <w:rPr>
                <w:spacing w:val="-10"/>
                <w:sz w:val="18"/>
              </w:rPr>
              <w:t xml:space="preserve"> </w:t>
            </w:r>
            <w:r>
              <w:rPr>
                <w:sz w:val="18"/>
              </w:rPr>
              <w:t xml:space="preserve">to </w:t>
            </w:r>
            <w:r>
              <w:rPr>
                <w:spacing w:val="-2"/>
                <w:sz w:val="18"/>
              </w:rPr>
              <w:t>accommodate</w:t>
            </w:r>
            <w:r>
              <w:rPr>
                <w:sz w:val="18"/>
              </w:rPr>
              <w:t xml:space="preserve"> 81</w:t>
            </w:r>
            <w:r>
              <w:rPr>
                <w:spacing w:val="-3"/>
                <w:sz w:val="18"/>
              </w:rPr>
              <w:t xml:space="preserve"> </w:t>
            </w:r>
            <w:r>
              <w:rPr>
                <w:sz w:val="18"/>
              </w:rPr>
              <w:t>revised</w:t>
            </w:r>
            <w:r>
              <w:rPr>
                <w:spacing w:val="-1"/>
                <w:sz w:val="18"/>
              </w:rPr>
              <w:t xml:space="preserve"> </w:t>
            </w:r>
            <w:r>
              <w:rPr>
                <w:spacing w:val="-5"/>
                <w:sz w:val="18"/>
              </w:rPr>
              <w:t>and</w:t>
            </w:r>
          </w:p>
          <w:p w14:paraId="1DA4F634" w14:textId="77777777" w:rsidR="00BC24A8" w:rsidRDefault="00000000">
            <w:pPr>
              <w:pStyle w:val="TableParagraph"/>
              <w:spacing w:before="1"/>
              <w:ind w:left="121" w:right="357"/>
              <w:jc w:val="both"/>
              <w:rPr>
                <w:sz w:val="18"/>
              </w:rPr>
            </w:pPr>
            <w:r>
              <w:rPr>
                <w:sz w:val="18"/>
              </w:rPr>
              <w:t>5</w:t>
            </w:r>
            <w:r>
              <w:rPr>
                <w:spacing w:val="-11"/>
                <w:sz w:val="18"/>
              </w:rPr>
              <w:t xml:space="preserve"> </w:t>
            </w:r>
            <w:r>
              <w:rPr>
                <w:sz w:val="18"/>
              </w:rPr>
              <w:t xml:space="preserve">additional </w:t>
            </w:r>
            <w:r>
              <w:rPr>
                <w:spacing w:val="-2"/>
                <w:sz w:val="18"/>
              </w:rPr>
              <w:t>GEDSI</w:t>
            </w:r>
          </w:p>
          <w:p w14:paraId="5C85F996" w14:textId="77777777" w:rsidR="00BC24A8" w:rsidRDefault="00000000">
            <w:pPr>
              <w:pStyle w:val="TableParagraph"/>
              <w:spacing w:line="219" w:lineRule="exact"/>
              <w:ind w:left="121"/>
              <w:rPr>
                <w:sz w:val="18"/>
              </w:rPr>
            </w:pPr>
            <w:r>
              <w:rPr>
                <w:spacing w:val="-2"/>
                <w:sz w:val="18"/>
              </w:rPr>
              <w:t>nomenclatures</w:t>
            </w:r>
          </w:p>
        </w:tc>
        <w:tc>
          <w:tcPr>
            <w:tcW w:w="1344" w:type="dxa"/>
            <w:tcBorders>
              <w:top w:val="single" w:sz="4" w:space="0" w:color="BEBEBE"/>
              <w:bottom w:val="single" w:sz="4" w:space="0" w:color="BEBEBE"/>
            </w:tcBorders>
          </w:tcPr>
          <w:p w14:paraId="1AC4E163" w14:textId="77777777" w:rsidR="00BC24A8" w:rsidRDefault="00000000">
            <w:pPr>
              <w:pStyle w:val="TableParagraph"/>
              <w:spacing w:before="66"/>
              <w:ind w:left="133" w:right="137"/>
              <w:jc w:val="both"/>
              <w:rPr>
                <w:sz w:val="18"/>
              </w:rPr>
            </w:pPr>
            <w:r>
              <w:rPr>
                <w:sz w:val="18"/>
              </w:rPr>
              <w:t>On</w:t>
            </w:r>
            <w:r>
              <w:rPr>
                <w:spacing w:val="-11"/>
                <w:sz w:val="18"/>
              </w:rPr>
              <w:t xml:space="preserve"> </w:t>
            </w:r>
            <w:r>
              <w:rPr>
                <w:sz w:val="18"/>
              </w:rPr>
              <w:t>progress</w:t>
            </w:r>
            <w:r>
              <w:rPr>
                <w:spacing w:val="-10"/>
                <w:sz w:val="18"/>
              </w:rPr>
              <w:t xml:space="preserve"> </w:t>
            </w:r>
            <w:r>
              <w:rPr>
                <w:sz w:val="18"/>
              </w:rPr>
              <w:t xml:space="preserve">to </w:t>
            </w:r>
            <w:r>
              <w:rPr>
                <w:spacing w:val="-2"/>
                <w:sz w:val="18"/>
              </w:rPr>
              <w:t>accommodate</w:t>
            </w:r>
            <w:r>
              <w:rPr>
                <w:sz w:val="18"/>
              </w:rPr>
              <w:t xml:space="preserve"> 81</w:t>
            </w:r>
            <w:r>
              <w:rPr>
                <w:spacing w:val="-3"/>
                <w:sz w:val="18"/>
              </w:rPr>
              <w:t xml:space="preserve"> </w:t>
            </w:r>
            <w:r>
              <w:rPr>
                <w:sz w:val="18"/>
              </w:rPr>
              <w:t>revised</w:t>
            </w:r>
            <w:r>
              <w:rPr>
                <w:spacing w:val="-1"/>
                <w:sz w:val="18"/>
              </w:rPr>
              <w:t xml:space="preserve"> </w:t>
            </w:r>
            <w:r>
              <w:rPr>
                <w:spacing w:val="-5"/>
                <w:sz w:val="18"/>
              </w:rPr>
              <w:t>and</w:t>
            </w:r>
          </w:p>
          <w:p w14:paraId="0E074A0A" w14:textId="77777777" w:rsidR="00BC24A8" w:rsidRDefault="00000000">
            <w:pPr>
              <w:pStyle w:val="TableParagraph"/>
              <w:spacing w:before="1"/>
              <w:ind w:left="133" w:right="353"/>
              <w:jc w:val="both"/>
              <w:rPr>
                <w:sz w:val="18"/>
              </w:rPr>
            </w:pPr>
            <w:r>
              <w:rPr>
                <w:sz w:val="18"/>
              </w:rPr>
              <w:t>5</w:t>
            </w:r>
            <w:r>
              <w:rPr>
                <w:spacing w:val="-11"/>
                <w:sz w:val="18"/>
              </w:rPr>
              <w:t xml:space="preserve"> </w:t>
            </w:r>
            <w:r>
              <w:rPr>
                <w:sz w:val="18"/>
              </w:rPr>
              <w:t xml:space="preserve">additional </w:t>
            </w:r>
            <w:r>
              <w:rPr>
                <w:spacing w:val="-2"/>
                <w:sz w:val="18"/>
              </w:rPr>
              <w:t>GEDSI</w:t>
            </w:r>
          </w:p>
          <w:p w14:paraId="48B02884" w14:textId="77777777" w:rsidR="00BC24A8" w:rsidRDefault="00000000">
            <w:pPr>
              <w:pStyle w:val="TableParagraph"/>
              <w:spacing w:line="219" w:lineRule="exact"/>
              <w:ind w:left="133"/>
              <w:rPr>
                <w:sz w:val="18"/>
              </w:rPr>
            </w:pPr>
            <w:r>
              <w:rPr>
                <w:spacing w:val="-2"/>
                <w:sz w:val="18"/>
              </w:rPr>
              <w:t>nomenclatures</w:t>
            </w:r>
          </w:p>
        </w:tc>
        <w:tc>
          <w:tcPr>
            <w:tcW w:w="2099" w:type="dxa"/>
            <w:tcBorders>
              <w:top w:val="single" w:sz="4" w:space="0" w:color="BEBEBE"/>
              <w:bottom w:val="single" w:sz="4" w:space="0" w:color="BEBEBE"/>
            </w:tcBorders>
          </w:tcPr>
          <w:p w14:paraId="290F235A" w14:textId="77777777" w:rsidR="00BC24A8" w:rsidRDefault="00000000">
            <w:pPr>
              <w:pStyle w:val="TableParagraph"/>
              <w:spacing w:before="66"/>
              <w:ind w:left="140" w:right="101"/>
              <w:rPr>
                <w:sz w:val="18"/>
              </w:rPr>
            </w:pPr>
            <w:r>
              <w:rPr>
                <w:sz w:val="18"/>
              </w:rPr>
              <w:t>This</w:t>
            </w:r>
            <w:r>
              <w:rPr>
                <w:spacing w:val="-9"/>
                <w:sz w:val="18"/>
              </w:rPr>
              <w:t xml:space="preserve"> </w:t>
            </w:r>
            <w:r>
              <w:rPr>
                <w:sz w:val="18"/>
              </w:rPr>
              <w:t>is</w:t>
            </w:r>
            <w:r>
              <w:rPr>
                <w:spacing w:val="-9"/>
                <w:sz w:val="18"/>
              </w:rPr>
              <w:t xml:space="preserve"> </w:t>
            </w:r>
            <w:r>
              <w:rPr>
                <w:sz w:val="18"/>
              </w:rPr>
              <w:t>still</w:t>
            </w:r>
            <w:r>
              <w:rPr>
                <w:spacing w:val="-9"/>
                <w:sz w:val="18"/>
              </w:rPr>
              <w:t xml:space="preserve"> </w:t>
            </w:r>
            <w:r>
              <w:rPr>
                <w:sz w:val="18"/>
              </w:rPr>
              <w:t>being</w:t>
            </w:r>
            <w:r>
              <w:rPr>
                <w:spacing w:val="-10"/>
                <w:sz w:val="18"/>
              </w:rPr>
              <w:t xml:space="preserve"> </w:t>
            </w:r>
            <w:r>
              <w:rPr>
                <w:sz w:val="18"/>
              </w:rPr>
              <w:t xml:space="preserve">followed up in MoHA and Bappenas by developing indicators and sub activities for people with </w:t>
            </w:r>
            <w:r>
              <w:rPr>
                <w:spacing w:val="-2"/>
                <w:sz w:val="18"/>
              </w:rPr>
              <w:t>disabilities.</w:t>
            </w:r>
          </w:p>
        </w:tc>
      </w:tr>
      <w:tr w:rsidR="00BC24A8" w14:paraId="7935227A" w14:textId="77777777">
        <w:trPr>
          <w:trHeight w:val="1444"/>
        </w:trPr>
        <w:tc>
          <w:tcPr>
            <w:tcW w:w="1634" w:type="dxa"/>
            <w:tcBorders>
              <w:top w:val="single" w:sz="4" w:space="0" w:color="BEBEBE"/>
              <w:bottom w:val="single" w:sz="4" w:space="0" w:color="BEBEBE"/>
            </w:tcBorders>
          </w:tcPr>
          <w:p w14:paraId="5E64A9A9" w14:textId="77777777" w:rsidR="00BC24A8" w:rsidRDefault="00000000">
            <w:pPr>
              <w:pStyle w:val="TableParagraph"/>
              <w:spacing w:before="59"/>
              <w:ind w:left="122" w:right="113"/>
              <w:rPr>
                <w:sz w:val="18"/>
              </w:rPr>
            </w:pPr>
            <w:r>
              <w:rPr>
                <w:sz w:val="18"/>
              </w:rPr>
              <w:t>IO</w:t>
            </w:r>
            <w:r>
              <w:rPr>
                <w:spacing w:val="-7"/>
                <w:sz w:val="18"/>
              </w:rPr>
              <w:t xml:space="preserve"> </w:t>
            </w:r>
            <w:r>
              <w:rPr>
                <w:sz w:val="18"/>
              </w:rPr>
              <w:t>3.4.</w:t>
            </w:r>
            <w:r>
              <w:rPr>
                <w:spacing w:val="-7"/>
                <w:sz w:val="18"/>
              </w:rPr>
              <w:t xml:space="preserve"> </w:t>
            </w:r>
            <w:r>
              <w:rPr>
                <w:sz w:val="18"/>
              </w:rPr>
              <w:t>Adaptation of a model of integrated service delivery for the elderly</w:t>
            </w:r>
            <w:r>
              <w:rPr>
                <w:spacing w:val="-11"/>
                <w:sz w:val="18"/>
              </w:rPr>
              <w:t xml:space="preserve"> </w:t>
            </w:r>
            <w:r>
              <w:rPr>
                <w:sz w:val="18"/>
              </w:rPr>
              <w:t>with</w:t>
            </w:r>
            <w:r>
              <w:rPr>
                <w:spacing w:val="-10"/>
                <w:sz w:val="18"/>
              </w:rPr>
              <w:t xml:space="preserve"> </w:t>
            </w:r>
            <w:r>
              <w:rPr>
                <w:sz w:val="18"/>
              </w:rPr>
              <w:t xml:space="preserve">SKALA </w:t>
            </w:r>
            <w:r>
              <w:rPr>
                <w:spacing w:val="-2"/>
                <w:sz w:val="18"/>
              </w:rPr>
              <w:t>support.</w:t>
            </w:r>
          </w:p>
        </w:tc>
        <w:tc>
          <w:tcPr>
            <w:tcW w:w="1428" w:type="dxa"/>
            <w:tcBorders>
              <w:top w:val="single" w:sz="4" w:space="0" w:color="BEBEBE"/>
              <w:bottom w:val="single" w:sz="4" w:space="0" w:color="BEBEBE"/>
            </w:tcBorders>
          </w:tcPr>
          <w:p w14:paraId="56CDB320" w14:textId="77777777" w:rsidR="00BC24A8" w:rsidRDefault="00000000">
            <w:pPr>
              <w:pStyle w:val="TableParagraph"/>
              <w:spacing w:before="66"/>
              <w:ind w:left="108"/>
              <w:rPr>
                <w:sz w:val="18"/>
              </w:rPr>
            </w:pPr>
            <w:r>
              <w:rPr>
                <w:spacing w:val="-10"/>
                <w:sz w:val="18"/>
              </w:rPr>
              <w:t>0</w:t>
            </w:r>
          </w:p>
        </w:tc>
        <w:tc>
          <w:tcPr>
            <w:tcW w:w="1259" w:type="dxa"/>
            <w:tcBorders>
              <w:top w:val="single" w:sz="4" w:space="0" w:color="BEBEBE"/>
              <w:bottom w:val="single" w:sz="4" w:space="0" w:color="BEBEBE"/>
            </w:tcBorders>
          </w:tcPr>
          <w:p w14:paraId="2C5DC0B2" w14:textId="77777777" w:rsidR="00BC24A8" w:rsidRDefault="00000000">
            <w:pPr>
              <w:pStyle w:val="TableParagraph"/>
              <w:spacing w:before="66"/>
              <w:ind w:left="120"/>
              <w:rPr>
                <w:sz w:val="18"/>
              </w:rPr>
            </w:pPr>
            <w:r>
              <w:rPr>
                <w:spacing w:val="-10"/>
                <w:sz w:val="18"/>
              </w:rPr>
              <w:t>0</w:t>
            </w:r>
          </w:p>
        </w:tc>
        <w:tc>
          <w:tcPr>
            <w:tcW w:w="1337" w:type="dxa"/>
            <w:tcBorders>
              <w:top w:val="single" w:sz="4" w:space="0" w:color="BEBEBE"/>
              <w:bottom w:val="single" w:sz="4" w:space="0" w:color="BEBEBE"/>
            </w:tcBorders>
          </w:tcPr>
          <w:p w14:paraId="23B63FFD" w14:textId="77777777" w:rsidR="00BC24A8" w:rsidRDefault="00000000">
            <w:pPr>
              <w:pStyle w:val="TableParagraph"/>
              <w:spacing w:before="66"/>
              <w:ind w:left="121" w:right="569"/>
              <w:rPr>
                <w:sz w:val="18"/>
              </w:rPr>
            </w:pPr>
            <w:r>
              <w:rPr>
                <w:sz w:val="18"/>
              </w:rPr>
              <w:t xml:space="preserve">1 model </w:t>
            </w:r>
            <w:r>
              <w:rPr>
                <w:spacing w:val="-2"/>
                <w:sz w:val="18"/>
              </w:rPr>
              <w:t>adaption</w:t>
            </w:r>
          </w:p>
        </w:tc>
        <w:tc>
          <w:tcPr>
            <w:tcW w:w="1344" w:type="dxa"/>
            <w:tcBorders>
              <w:top w:val="single" w:sz="4" w:space="0" w:color="BEBEBE"/>
              <w:bottom w:val="single" w:sz="4" w:space="0" w:color="BEBEBE"/>
            </w:tcBorders>
          </w:tcPr>
          <w:p w14:paraId="21C17FCA" w14:textId="77777777" w:rsidR="00BC24A8" w:rsidRDefault="00000000">
            <w:pPr>
              <w:pStyle w:val="TableParagraph"/>
              <w:spacing w:before="66"/>
              <w:ind w:left="133"/>
              <w:rPr>
                <w:sz w:val="18"/>
              </w:rPr>
            </w:pPr>
            <w:r>
              <w:rPr>
                <w:spacing w:val="-10"/>
                <w:sz w:val="18"/>
              </w:rPr>
              <w:t>0</w:t>
            </w:r>
          </w:p>
        </w:tc>
        <w:tc>
          <w:tcPr>
            <w:tcW w:w="2099" w:type="dxa"/>
            <w:tcBorders>
              <w:top w:val="single" w:sz="4" w:space="0" w:color="BEBEBE"/>
              <w:bottom w:val="single" w:sz="4" w:space="0" w:color="BEBEBE"/>
            </w:tcBorders>
          </w:tcPr>
          <w:p w14:paraId="175028AD" w14:textId="77777777" w:rsidR="00BC24A8" w:rsidRDefault="00000000">
            <w:pPr>
              <w:pStyle w:val="TableParagraph"/>
              <w:spacing w:before="66"/>
              <w:ind w:left="140" w:right="101"/>
              <w:rPr>
                <w:sz w:val="18"/>
              </w:rPr>
            </w:pPr>
            <w:r>
              <w:rPr>
                <w:sz w:val="18"/>
              </w:rPr>
              <w:t>Bappenas collaborates with</w:t>
            </w:r>
            <w:r>
              <w:rPr>
                <w:spacing w:val="-9"/>
                <w:sz w:val="18"/>
              </w:rPr>
              <w:t xml:space="preserve"> </w:t>
            </w:r>
            <w:r>
              <w:rPr>
                <w:sz w:val="18"/>
              </w:rPr>
              <w:t>SKALA</w:t>
            </w:r>
            <w:r>
              <w:rPr>
                <w:spacing w:val="-10"/>
                <w:sz w:val="18"/>
              </w:rPr>
              <w:t xml:space="preserve"> </w:t>
            </w:r>
            <w:r>
              <w:rPr>
                <w:sz w:val="18"/>
              </w:rPr>
              <w:t>still</w:t>
            </w:r>
            <w:r>
              <w:rPr>
                <w:spacing w:val="-10"/>
                <w:sz w:val="18"/>
              </w:rPr>
              <w:t xml:space="preserve"> </w:t>
            </w:r>
            <w:r>
              <w:rPr>
                <w:sz w:val="18"/>
              </w:rPr>
              <w:t>follow</w:t>
            </w:r>
            <w:r>
              <w:rPr>
                <w:spacing w:val="-10"/>
                <w:sz w:val="18"/>
              </w:rPr>
              <w:t xml:space="preserve"> </w:t>
            </w:r>
            <w:r>
              <w:rPr>
                <w:sz w:val="18"/>
              </w:rPr>
              <w:t>up the draft Presidential Regulation for the integrated Elderly Strategic Plan.</w:t>
            </w:r>
          </w:p>
        </w:tc>
      </w:tr>
      <w:tr w:rsidR="00BC24A8" w14:paraId="0B285CBB" w14:textId="77777777">
        <w:trPr>
          <w:trHeight w:val="2543"/>
        </w:trPr>
        <w:tc>
          <w:tcPr>
            <w:tcW w:w="1634" w:type="dxa"/>
            <w:tcBorders>
              <w:top w:val="single" w:sz="4" w:space="0" w:color="BEBEBE"/>
              <w:bottom w:val="single" w:sz="4" w:space="0" w:color="BEBEBE"/>
            </w:tcBorders>
          </w:tcPr>
          <w:p w14:paraId="067893EA" w14:textId="77777777" w:rsidR="00BC24A8" w:rsidRDefault="00000000">
            <w:pPr>
              <w:pStyle w:val="TableParagraph"/>
              <w:spacing w:before="59"/>
              <w:ind w:left="122" w:right="181"/>
              <w:rPr>
                <w:sz w:val="18"/>
              </w:rPr>
            </w:pPr>
            <w:r>
              <w:rPr>
                <w:sz w:val="18"/>
              </w:rPr>
              <w:t>IO</w:t>
            </w:r>
            <w:r>
              <w:rPr>
                <w:spacing w:val="-5"/>
                <w:sz w:val="18"/>
              </w:rPr>
              <w:t xml:space="preserve"> </w:t>
            </w:r>
            <w:r>
              <w:rPr>
                <w:sz w:val="18"/>
              </w:rPr>
              <w:t>4.1.</w:t>
            </w:r>
            <w:r>
              <w:rPr>
                <w:spacing w:val="-5"/>
                <w:sz w:val="18"/>
              </w:rPr>
              <w:t xml:space="preserve"> </w:t>
            </w:r>
            <w:r>
              <w:rPr>
                <w:sz w:val="18"/>
              </w:rPr>
              <w:t>Number</w:t>
            </w:r>
            <w:r>
              <w:rPr>
                <w:spacing w:val="-4"/>
                <w:sz w:val="18"/>
              </w:rPr>
              <w:t xml:space="preserve"> </w:t>
            </w:r>
            <w:r>
              <w:rPr>
                <w:sz w:val="18"/>
              </w:rPr>
              <w:t>of provinces with local regulations, policies or guidelines</w:t>
            </w:r>
            <w:r>
              <w:rPr>
                <w:spacing w:val="-6"/>
                <w:sz w:val="18"/>
              </w:rPr>
              <w:t xml:space="preserve"> </w:t>
            </w:r>
            <w:r>
              <w:rPr>
                <w:sz w:val="18"/>
              </w:rPr>
              <w:t>to optimise</w:t>
            </w:r>
            <w:r>
              <w:rPr>
                <w:spacing w:val="-2"/>
                <w:sz w:val="18"/>
              </w:rPr>
              <w:t xml:space="preserve"> </w:t>
            </w:r>
            <w:r>
              <w:rPr>
                <w:sz w:val="18"/>
              </w:rPr>
              <w:t>local revenue/PAD</w:t>
            </w:r>
            <w:r>
              <w:rPr>
                <w:spacing w:val="-11"/>
                <w:sz w:val="18"/>
              </w:rPr>
              <w:t xml:space="preserve"> </w:t>
            </w:r>
            <w:r>
              <w:rPr>
                <w:sz w:val="18"/>
              </w:rPr>
              <w:t>with SKALA</w:t>
            </w:r>
            <w:r>
              <w:rPr>
                <w:spacing w:val="-2"/>
                <w:sz w:val="18"/>
              </w:rPr>
              <w:t xml:space="preserve"> </w:t>
            </w:r>
            <w:r>
              <w:rPr>
                <w:sz w:val="18"/>
              </w:rPr>
              <w:t>support</w:t>
            </w:r>
          </w:p>
        </w:tc>
        <w:tc>
          <w:tcPr>
            <w:tcW w:w="1428" w:type="dxa"/>
            <w:tcBorders>
              <w:top w:val="single" w:sz="4" w:space="0" w:color="BEBEBE"/>
              <w:bottom w:val="single" w:sz="4" w:space="0" w:color="BEBEBE"/>
            </w:tcBorders>
          </w:tcPr>
          <w:p w14:paraId="5ACF3992" w14:textId="77777777" w:rsidR="00BC24A8" w:rsidRDefault="00000000">
            <w:pPr>
              <w:pStyle w:val="TableParagraph"/>
              <w:spacing w:before="66" w:line="219" w:lineRule="exact"/>
              <w:ind w:left="108"/>
              <w:rPr>
                <w:sz w:val="18"/>
              </w:rPr>
            </w:pPr>
            <w:r>
              <w:rPr>
                <w:sz w:val="18"/>
              </w:rPr>
              <w:t>6</w:t>
            </w:r>
            <w:r>
              <w:rPr>
                <w:spacing w:val="-2"/>
                <w:sz w:val="18"/>
              </w:rPr>
              <w:t xml:space="preserve"> provinces</w:t>
            </w:r>
          </w:p>
          <w:p w14:paraId="5AE06D67" w14:textId="77777777" w:rsidR="00BC24A8" w:rsidRDefault="00000000">
            <w:pPr>
              <w:pStyle w:val="TableParagraph"/>
              <w:spacing w:line="219" w:lineRule="exact"/>
              <w:ind w:left="108"/>
              <w:rPr>
                <w:sz w:val="18"/>
              </w:rPr>
            </w:pPr>
            <w:r>
              <w:rPr>
                <w:sz w:val="18"/>
              </w:rPr>
              <w:t>(6</w:t>
            </w:r>
            <w:r>
              <w:rPr>
                <w:spacing w:val="-1"/>
                <w:sz w:val="18"/>
              </w:rPr>
              <w:t xml:space="preserve"> </w:t>
            </w:r>
            <w:r>
              <w:rPr>
                <w:spacing w:val="-2"/>
                <w:sz w:val="18"/>
              </w:rPr>
              <w:t>Regional</w:t>
            </w:r>
          </w:p>
          <w:p w14:paraId="6ED200AD" w14:textId="77777777" w:rsidR="00BC24A8" w:rsidRDefault="00000000">
            <w:pPr>
              <w:pStyle w:val="TableParagraph"/>
              <w:spacing w:before="1"/>
              <w:ind w:left="108" w:right="361"/>
              <w:rPr>
                <w:sz w:val="18"/>
              </w:rPr>
            </w:pPr>
            <w:r>
              <w:rPr>
                <w:sz w:val="18"/>
              </w:rPr>
              <w:t>Regulation,</w:t>
            </w:r>
            <w:r>
              <w:rPr>
                <w:spacing w:val="-11"/>
                <w:sz w:val="18"/>
              </w:rPr>
              <w:t xml:space="preserve"> </w:t>
            </w:r>
            <w:r>
              <w:rPr>
                <w:sz w:val="18"/>
              </w:rPr>
              <w:t xml:space="preserve">7 </w:t>
            </w:r>
            <w:r>
              <w:rPr>
                <w:spacing w:val="-2"/>
                <w:sz w:val="18"/>
              </w:rPr>
              <w:t>Governor</w:t>
            </w:r>
            <w:r>
              <w:rPr>
                <w:sz w:val="18"/>
              </w:rPr>
              <w:t xml:space="preserve"> Regulation,</w:t>
            </w:r>
            <w:r>
              <w:rPr>
                <w:spacing w:val="-11"/>
                <w:sz w:val="18"/>
              </w:rPr>
              <w:t xml:space="preserve"> </w:t>
            </w:r>
            <w:r>
              <w:rPr>
                <w:sz w:val="18"/>
              </w:rPr>
              <w:t xml:space="preserve">3 </w:t>
            </w:r>
            <w:r>
              <w:rPr>
                <w:spacing w:val="-4"/>
                <w:sz w:val="18"/>
              </w:rPr>
              <w:t>SOP)</w:t>
            </w:r>
          </w:p>
        </w:tc>
        <w:tc>
          <w:tcPr>
            <w:tcW w:w="1259" w:type="dxa"/>
            <w:tcBorders>
              <w:top w:val="single" w:sz="4" w:space="0" w:color="BEBEBE"/>
              <w:bottom w:val="single" w:sz="4" w:space="0" w:color="BEBEBE"/>
            </w:tcBorders>
          </w:tcPr>
          <w:p w14:paraId="0970DB25" w14:textId="77777777" w:rsidR="00BC24A8" w:rsidRDefault="00000000">
            <w:pPr>
              <w:pStyle w:val="TableParagraph"/>
              <w:spacing w:before="66" w:line="219" w:lineRule="exact"/>
              <w:ind w:left="120"/>
              <w:rPr>
                <w:sz w:val="18"/>
              </w:rPr>
            </w:pPr>
            <w:r>
              <w:rPr>
                <w:sz w:val="18"/>
              </w:rPr>
              <w:t>6</w:t>
            </w:r>
            <w:r>
              <w:rPr>
                <w:spacing w:val="-2"/>
                <w:sz w:val="18"/>
              </w:rPr>
              <w:t xml:space="preserve"> provinces</w:t>
            </w:r>
          </w:p>
          <w:p w14:paraId="4993DC4E" w14:textId="77777777" w:rsidR="00BC24A8" w:rsidRDefault="00000000">
            <w:pPr>
              <w:pStyle w:val="TableParagraph"/>
              <w:spacing w:line="219" w:lineRule="exact"/>
              <w:ind w:left="120"/>
              <w:rPr>
                <w:sz w:val="18"/>
              </w:rPr>
            </w:pPr>
            <w:r>
              <w:rPr>
                <w:sz w:val="18"/>
              </w:rPr>
              <w:t>(1</w:t>
            </w:r>
            <w:r>
              <w:rPr>
                <w:spacing w:val="-1"/>
                <w:sz w:val="18"/>
              </w:rPr>
              <w:t xml:space="preserve"> </w:t>
            </w:r>
            <w:r>
              <w:rPr>
                <w:spacing w:val="-2"/>
                <w:sz w:val="18"/>
              </w:rPr>
              <w:t>Regional</w:t>
            </w:r>
          </w:p>
          <w:p w14:paraId="48776936" w14:textId="77777777" w:rsidR="00BC24A8" w:rsidRDefault="00000000">
            <w:pPr>
              <w:pStyle w:val="TableParagraph"/>
              <w:spacing w:before="1"/>
              <w:ind w:left="120" w:right="111"/>
              <w:rPr>
                <w:sz w:val="18"/>
              </w:rPr>
            </w:pPr>
            <w:r>
              <w:rPr>
                <w:sz w:val="18"/>
              </w:rPr>
              <w:t>Regulation,</w:t>
            </w:r>
            <w:r>
              <w:rPr>
                <w:spacing w:val="-2"/>
                <w:sz w:val="18"/>
              </w:rPr>
              <w:t xml:space="preserve"> </w:t>
            </w:r>
            <w:r>
              <w:rPr>
                <w:sz w:val="18"/>
              </w:rPr>
              <w:t xml:space="preserve">2 </w:t>
            </w:r>
            <w:r>
              <w:rPr>
                <w:spacing w:val="-2"/>
                <w:sz w:val="18"/>
              </w:rPr>
              <w:t>Governor</w:t>
            </w:r>
            <w:r>
              <w:rPr>
                <w:sz w:val="18"/>
              </w:rPr>
              <w:t xml:space="preserve"> Regulations,</w:t>
            </w:r>
            <w:r>
              <w:rPr>
                <w:spacing w:val="-11"/>
                <w:sz w:val="18"/>
              </w:rPr>
              <w:t xml:space="preserve"> </w:t>
            </w:r>
            <w:r>
              <w:rPr>
                <w:sz w:val="18"/>
              </w:rPr>
              <w:t xml:space="preserve">2 </w:t>
            </w:r>
            <w:r>
              <w:rPr>
                <w:spacing w:val="-2"/>
                <w:sz w:val="18"/>
              </w:rPr>
              <w:t>Bappenda</w:t>
            </w:r>
            <w:r>
              <w:rPr>
                <w:sz w:val="18"/>
              </w:rPr>
              <w:t xml:space="preserve"> Regulations,</w:t>
            </w:r>
            <w:r>
              <w:rPr>
                <w:spacing w:val="-11"/>
                <w:sz w:val="18"/>
              </w:rPr>
              <w:t xml:space="preserve"> </w:t>
            </w:r>
            <w:r>
              <w:rPr>
                <w:sz w:val="18"/>
              </w:rPr>
              <w:t>1</w:t>
            </w:r>
          </w:p>
          <w:p w14:paraId="280C2465" w14:textId="77777777" w:rsidR="00BC24A8" w:rsidRDefault="00000000">
            <w:pPr>
              <w:pStyle w:val="TableParagraph"/>
              <w:ind w:left="120" w:right="439"/>
              <w:rPr>
                <w:sz w:val="18"/>
              </w:rPr>
            </w:pPr>
            <w:r>
              <w:rPr>
                <w:sz w:val="18"/>
              </w:rPr>
              <w:t>Decree,</w:t>
            </w:r>
            <w:r>
              <w:rPr>
                <w:spacing w:val="-11"/>
                <w:sz w:val="18"/>
              </w:rPr>
              <w:t xml:space="preserve"> </w:t>
            </w:r>
            <w:r>
              <w:rPr>
                <w:sz w:val="18"/>
              </w:rPr>
              <w:t xml:space="preserve">4 </w:t>
            </w:r>
            <w:r>
              <w:rPr>
                <w:spacing w:val="-4"/>
                <w:sz w:val="18"/>
              </w:rPr>
              <w:t>MoU)</w:t>
            </w:r>
          </w:p>
        </w:tc>
        <w:tc>
          <w:tcPr>
            <w:tcW w:w="1337" w:type="dxa"/>
            <w:tcBorders>
              <w:top w:val="single" w:sz="4" w:space="0" w:color="BEBEBE"/>
              <w:bottom w:val="single" w:sz="4" w:space="0" w:color="BEBEBE"/>
            </w:tcBorders>
          </w:tcPr>
          <w:p w14:paraId="74DD001E" w14:textId="77777777" w:rsidR="00BC24A8" w:rsidRDefault="00000000">
            <w:pPr>
              <w:pStyle w:val="TableParagraph"/>
              <w:spacing w:before="66"/>
              <w:ind w:left="121"/>
              <w:rPr>
                <w:sz w:val="18"/>
              </w:rPr>
            </w:pPr>
            <w:r>
              <w:rPr>
                <w:sz w:val="18"/>
              </w:rPr>
              <w:t>4</w:t>
            </w:r>
            <w:r>
              <w:rPr>
                <w:spacing w:val="-2"/>
                <w:sz w:val="18"/>
              </w:rPr>
              <w:t xml:space="preserve"> provinces</w:t>
            </w:r>
          </w:p>
        </w:tc>
        <w:tc>
          <w:tcPr>
            <w:tcW w:w="1344" w:type="dxa"/>
            <w:tcBorders>
              <w:top w:val="single" w:sz="4" w:space="0" w:color="BEBEBE"/>
              <w:bottom w:val="single" w:sz="4" w:space="0" w:color="BEBEBE"/>
            </w:tcBorders>
          </w:tcPr>
          <w:p w14:paraId="5D5A7F66" w14:textId="77777777" w:rsidR="00BC24A8" w:rsidRDefault="00000000">
            <w:pPr>
              <w:pStyle w:val="TableParagraph"/>
              <w:spacing w:before="66" w:line="219" w:lineRule="exact"/>
              <w:ind w:left="133"/>
              <w:rPr>
                <w:sz w:val="18"/>
              </w:rPr>
            </w:pPr>
            <w:r>
              <w:rPr>
                <w:sz w:val="18"/>
              </w:rPr>
              <w:t>6</w:t>
            </w:r>
            <w:r>
              <w:rPr>
                <w:spacing w:val="-2"/>
                <w:sz w:val="18"/>
              </w:rPr>
              <w:t xml:space="preserve"> provinces</w:t>
            </w:r>
          </w:p>
          <w:p w14:paraId="73D659AC" w14:textId="77777777" w:rsidR="00BC24A8" w:rsidRDefault="00000000">
            <w:pPr>
              <w:pStyle w:val="TableParagraph"/>
              <w:spacing w:line="219" w:lineRule="exact"/>
              <w:ind w:left="133"/>
              <w:rPr>
                <w:sz w:val="18"/>
              </w:rPr>
            </w:pPr>
            <w:r>
              <w:rPr>
                <w:sz w:val="18"/>
              </w:rPr>
              <w:t>(7</w:t>
            </w:r>
            <w:r>
              <w:rPr>
                <w:spacing w:val="-1"/>
                <w:sz w:val="18"/>
              </w:rPr>
              <w:t xml:space="preserve"> </w:t>
            </w:r>
            <w:r>
              <w:rPr>
                <w:spacing w:val="-2"/>
                <w:sz w:val="18"/>
              </w:rPr>
              <w:t>Regional</w:t>
            </w:r>
          </w:p>
          <w:p w14:paraId="013B11BA" w14:textId="77777777" w:rsidR="00BC24A8" w:rsidRDefault="00000000">
            <w:pPr>
              <w:pStyle w:val="TableParagraph"/>
              <w:spacing w:before="1"/>
              <w:ind w:left="133" w:right="183"/>
              <w:rPr>
                <w:sz w:val="18"/>
              </w:rPr>
            </w:pPr>
            <w:r>
              <w:rPr>
                <w:sz w:val="18"/>
              </w:rPr>
              <w:t>Regulation,</w:t>
            </w:r>
            <w:r>
              <w:rPr>
                <w:spacing w:val="-2"/>
                <w:sz w:val="18"/>
              </w:rPr>
              <w:t xml:space="preserve"> </w:t>
            </w:r>
            <w:r>
              <w:rPr>
                <w:sz w:val="18"/>
              </w:rPr>
              <w:t xml:space="preserve">9 </w:t>
            </w:r>
            <w:r>
              <w:rPr>
                <w:spacing w:val="-2"/>
                <w:sz w:val="18"/>
              </w:rPr>
              <w:t>Governor</w:t>
            </w:r>
            <w:r>
              <w:rPr>
                <w:sz w:val="18"/>
              </w:rPr>
              <w:t xml:space="preserve"> Regulations,</w:t>
            </w:r>
            <w:r>
              <w:rPr>
                <w:spacing w:val="-11"/>
                <w:sz w:val="18"/>
              </w:rPr>
              <w:t xml:space="preserve"> </w:t>
            </w:r>
            <w:r>
              <w:rPr>
                <w:sz w:val="18"/>
              </w:rPr>
              <w:t xml:space="preserve">2 </w:t>
            </w:r>
            <w:r>
              <w:rPr>
                <w:spacing w:val="-2"/>
                <w:sz w:val="18"/>
              </w:rPr>
              <w:t>Bappenda</w:t>
            </w:r>
            <w:r>
              <w:rPr>
                <w:sz w:val="18"/>
              </w:rPr>
              <w:t xml:space="preserve"> Regulations,</w:t>
            </w:r>
            <w:r>
              <w:rPr>
                <w:spacing w:val="-11"/>
                <w:sz w:val="18"/>
              </w:rPr>
              <w:t xml:space="preserve"> </w:t>
            </w:r>
            <w:r>
              <w:rPr>
                <w:sz w:val="18"/>
              </w:rPr>
              <w:t>1</w:t>
            </w:r>
          </w:p>
          <w:p w14:paraId="5223B1F5" w14:textId="77777777" w:rsidR="00BC24A8" w:rsidRDefault="00000000">
            <w:pPr>
              <w:pStyle w:val="TableParagraph"/>
              <w:spacing w:line="219" w:lineRule="exact"/>
              <w:ind w:left="133"/>
              <w:rPr>
                <w:sz w:val="18"/>
              </w:rPr>
            </w:pPr>
            <w:r>
              <w:rPr>
                <w:sz w:val="18"/>
              </w:rPr>
              <w:t>Decree,</w:t>
            </w:r>
            <w:r>
              <w:rPr>
                <w:spacing w:val="-5"/>
                <w:sz w:val="18"/>
              </w:rPr>
              <w:t xml:space="preserve"> </w:t>
            </w:r>
            <w:r>
              <w:rPr>
                <w:spacing w:val="-10"/>
                <w:sz w:val="18"/>
              </w:rPr>
              <w:t>4</w:t>
            </w:r>
          </w:p>
          <w:p w14:paraId="3E6EF659" w14:textId="77777777" w:rsidR="00BC24A8" w:rsidRDefault="00000000">
            <w:pPr>
              <w:pStyle w:val="TableParagraph"/>
              <w:spacing w:line="219" w:lineRule="exact"/>
              <w:ind w:left="133"/>
              <w:rPr>
                <w:sz w:val="18"/>
              </w:rPr>
            </w:pPr>
            <w:r>
              <w:rPr>
                <w:sz w:val="18"/>
              </w:rPr>
              <w:t>MoU,</w:t>
            </w:r>
            <w:r>
              <w:rPr>
                <w:spacing w:val="-2"/>
                <w:sz w:val="18"/>
              </w:rPr>
              <w:t xml:space="preserve"> </w:t>
            </w:r>
            <w:r>
              <w:rPr>
                <w:sz w:val="18"/>
              </w:rPr>
              <w:t>3</w:t>
            </w:r>
            <w:r>
              <w:rPr>
                <w:spacing w:val="-1"/>
                <w:sz w:val="18"/>
              </w:rPr>
              <w:t xml:space="preserve"> </w:t>
            </w:r>
            <w:r>
              <w:rPr>
                <w:spacing w:val="-4"/>
                <w:sz w:val="18"/>
              </w:rPr>
              <w:t>SOP)</w:t>
            </w:r>
          </w:p>
        </w:tc>
        <w:tc>
          <w:tcPr>
            <w:tcW w:w="2099" w:type="dxa"/>
            <w:tcBorders>
              <w:top w:val="single" w:sz="4" w:space="0" w:color="BEBEBE"/>
              <w:bottom w:val="single" w:sz="4" w:space="0" w:color="BEBEBE"/>
            </w:tcBorders>
          </w:tcPr>
          <w:p w14:paraId="41ED7A51" w14:textId="77777777" w:rsidR="00BC24A8" w:rsidRDefault="00000000">
            <w:pPr>
              <w:pStyle w:val="TableParagraph"/>
              <w:spacing w:before="66"/>
              <w:ind w:left="140"/>
              <w:rPr>
                <w:sz w:val="18"/>
              </w:rPr>
            </w:pPr>
            <w:r>
              <w:rPr>
                <w:sz w:val="18"/>
              </w:rPr>
              <w:t>All of</w:t>
            </w:r>
            <w:r>
              <w:rPr>
                <w:spacing w:val="-2"/>
                <w:sz w:val="18"/>
              </w:rPr>
              <w:t xml:space="preserve"> </w:t>
            </w:r>
            <w:r>
              <w:rPr>
                <w:sz w:val="18"/>
              </w:rPr>
              <w:t>the</w:t>
            </w:r>
            <w:r>
              <w:rPr>
                <w:spacing w:val="-1"/>
                <w:sz w:val="18"/>
              </w:rPr>
              <w:t xml:space="preserve"> </w:t>
            </w:r>
            <w:r>
              <w:rPr>
                <w:sz w:val="18"/>
              </w:rPr>
              <w:t>SKALA</w:t>
            </w:r>
            <w:r>
              <w:rPr>
                <w:spacing w:val="-2"/>
                <w:sz w:val="18"/>
              </w:rPr>
              <w:t xml:space="preserve"> </w:t>
            </w:r>
            <w:r>
              <w:rPr>
                <w:sz w:val="18"/>
              </w:rPr>
              <w:t>partner provinces</w:t>
            </w:r>
            <w:r>
              <w:rPr>
                <w:spacing w:val="-11"/>
                <w:sz w:val="18"/>
              </w:rPr>
              <w:t xml:space="preserve"> </w:t>
            </w:r>
            <w:r>
              <w:rPr>
                <w:sz w:val="18"/>
              </w:rPr>
              <w:t>(except</w:t>
            </w:r>
            <w:r>
              <w:rPr>
                <w:spacing w:val="-10"/>
                <w:sz w:val="18"/>
              </w:rPr>
              <w:t xml:space="preserve"> </w:t>
            </w:r>
            <w:r>
              <w:rPr>
                <w:sz w:val="18"/>
              </w:rPr>
              <w:t>Tanah Papua)</w:t>
            </w:r>
            <w:r>
              <w:rPr>
                <w:spacing w:val="-10"/>
                <w:sz w:val="18"/>
              </w:rPr>
              <w:t xml:space="preserve"> </w:t>
            </w:r>
            <w:r>
              <w:rPr>
                <w:sz w:val="18"/>
              </w:rPr>
              <w:t>are</w:t>
            </w:r>
            <w:r>
              <w:rPr>
                <w:spacing w:val="-10"/>
                <w:sz w:val="18"/>
              </w:rPr>
              <w:t xml:space="preserve"> </w:t>
            </w:r>
            <w:r>
              <w:rPr>
                <w:sz w:val="18"/>
              </w:rPr>
              <w:t>continuously working</w:t>
            </w:r>
            <w:r>
              <w:rPr>
                <w:spacing w:val="-8"/>
                <w:sz w:val="18"/>
              </w:rPr>
              <w:t xml:space="preserve"> </w:t>
            </w:r>
            <w:r>
              <w:rPr>
                <w:sz w:val="18"/>
              </w:rPr>
              <w:t>on</w:t>
            </w:r>
            <w:r>
              <w:rPr>
                <w:spacing w:val="-7"/>
                <w:sz w:val="18"/>
              </w:rPr>
              <w:t xml:space="preserve"> </w:t>
            </w:r>
            <w:r>
              <w:rPr>
                <w:sz w:val="18"/>
              </w:rPr>
              <w:t>various</w:t>
            </w:r>
            <w:r>
              <w:rPr>
                <w:spacing w:val="-7"/>
                <w:sz w:val="18"/>
              </w:rPr>
              <w:t xml:space="preserve"> </w:t>
            </w:r>
            <w:r>
              <w:rPr>
                <w:sz w:val="18"/>
              </w:rPr>
              <w:t>local regulation</w:t>
            </w:r>
            <w:r>
              <w:rPr>
                <w:spacing w:val="-11"/>
                <w:sz w:val="18"/>
              </w:rPr>
              <w:t xml:space="preserve"> </w:t>
            </w:r>
            <w:r>
              <w:rPr>
                <w:sz w:val="18"/>
              </w:rPr>
              <w:t>to</w:t>
            </w:r>
            <w:r>
              <w:rPr>
                <w:spacing w:val="-10"/>
                <w:sz w:val="18"/>
              </w:rPr>
              <w:t xml:space="preserve"> </w:t>
            </w:r>
            <w:r>
              <w:rPr>
                <w:sz w:val="18"/>
              </w:rPr>
              <w:t>implement the previously issued regulations (Perda, Perkada) for example:</w:t>
            </w:r>
          </w:p>
          <w:p w14:paraId="4E7A41ED" w14:textId="77777777" w:rsidR="00BC24A8" w:rsidRDefault="00000000">
            <w:pPr>
              <w:pStyle w:val="TableParagraph"/>
              <w:numPr>
                <w:ilvl w:val="0"/>
                <w:numId w:val="148"/>
              </w:numPr>
              <w:tabs>
                <w:tab w:val="left" w:pos="310"/>
              </w:tabs>
              <w:spacing w:before="59"/>
              <w:ind w:right="250"/>
              <w:rPr>
                <w:sz w:val="18"/>
              </w:rPr>
            </w:pPr>
            <w:r>
              <w:rPr>
                <w:sz w:val="18"/>
              </w:rPr>
              <w:t>Gorontalo &amp; Maluku issued</w:t>
            </w:r>
            <w:r>
              <w:rPr>
                <w:spacing w:val="-4"/>
                <w:sz w:val="18"/>
              </w:rPr>
              <w:t xml:space="preserve"> </w:t>
            </w:r>
            <w:r>
              <w:rPr>
                <w:sz w:val="18"/>
              </w:rPr>
              <w:t>Regional</w:t>
            </w:r>
            <w:r>
              <w:rPr>
                <w:spacing w:val="-1"/>
                <w:sz w:val="18"/>
              </w:rPr>
              <w:t xml:space="preserve"> </w:t>
            </w:r>
            <w:r>
              <w:rPr>
                <w:spacing w:val="-4"/>
                <w:sz w:val="18"/>
              </w:rPr>
              <w:t>Head</w:t>
            </w:r>
          </w:p>
          <w:p w14:paraId="43400C65" w14:textId="77777777" w:rsidR="00BC24A8" w:rsidRDefault="00000000">
            <w:pPr>
              <w:pStyle w:val="TableParagraph"/>
              <w:spacing w:line="201" w:lineRule="exact"/>
              <w:ind w:left="310"/>
              <w:rPr>
                <w:sz w:val="18"/>
              </w:rPr>
            </w:pPr>
            <w:r>
              <w:rPr>
                <w:sz w:val="18"/>
              </w:rPr>
              <w:t>Regulations</w:t>
            </w:r>
            <w:r>
              <w:rPr>
                <w:spacing w:val="-2"/>
                <w:sz w:val="18"/>
              </w:rPr>
              <w:t xml:space="preserve"> (Perkada)</w:t>
            </w:r>
          </w:p>
        </w:tc>
      </w:tr>
    </w:tbl>
    <w:p w14:paraId="267A23D6" w14:textId="77777777" w:rsidR="00BC24A8" w:rsidRDefault="00BC24A8">
      <w:pPr>
        <w:pStyle w:val="TableParagraph"/>
        <w:spacing w:line="201" w:lineRule="exact"/>
        <w:rPr>
          <w:sz w:val="18"/>
        </w:rPr>
        <w:sectPr w:rsidR="00BC24A8">
          <w:type w:val="continuous"/>
          <w:pgSz w:w="11910" w:h="16840"/>
          <w:pgMar w:top="1380" w:right="850" w:bottom="1100" w:left="1275" w:header="0" w:footer="907" w:gutter="0"/>
          <w:cols w:space="720"/>
        </w:sectPr>
      </w:pPr>
    </w:p>
    <w:tbl>
      <w:tblPr>
        <w:tblW w:w="0" w:type="auto"/>
        <w:tblInd w:w="136" w:type="dxa"/>
        <w:tblLayout w:type="fixed"/>
        <w:tblCellMar>
          <w:left w:w="0" w:type="dxa"/>
          <w:right w:w="0" w:type="dxa"/>
        </w:tblCellMar>
        <w:tblLook w:val="01E0" w:firstRow="1" w:lastRow="1" w:firstColumn="1" w:lastColumn="1" w:noHBand="0" w:noVBand="0"/>
      </w:tblPr>
      <w:tblGrid>
        <w:gridCol w:w="1596"/>
        <w:gridCol w:w="1318"/>
        <w:gridCol w:w="1350"/>
        <w:gridCol w:w="1313"/>
        <w:gridCol w:w="1341"/>
        <w:gridCol w:w="2187"/>
      </w:tblGrid>
      <w:tr w:rsidR="00BC24A8" w14:paraId="311B1BFD" w14:textId="77777777">
        <w:trPr>
          <w:trHeight w:val="6630"/>
        </w:trPr>
        <w:tc>
          <w:tcPr>
            <w:tcW w:w="1596" w:type="dxa"/>
            <w:tcBorders>
              <w:top w:val="single" w:sz="4" w:space="0" w:color="BEBEBE"/>
              <w:bottom w:val="single" w:sz="4" w:space="0" w:color="BEBEBE"/>
            </w:tcBorders>
          </w:tcPr>
          <w:p w14:paraId="36BDA188" w14:textId="77777777" w:rsidR="00BC24A8" w:rsidRDefault="00BC24A8">
            <w:pPr>
              <w:pStyle w:val="TableParagraph"/>
              <w:rPr>
                <w:rFonts w:ascii="Times New Roman"/>
                <w:sz w:val="16"/>
              </w:rPr>
            </w:pPr>
          </w:p>
        </w:tc>
        <w:tc>
          <w:tcPr>
            <w:tcW w:w="1318" w:type="dxa"/>
            <w:tcBorders>
              <w:top w:val="single" w:sz="4" w:space="0" w:color="BEBEBE"/>
              <w:bottom w:val="single" w:sz="4" w:space="0" w:color="BEBEBE"/>
            </w:tcBorders>
          </w:tcPr>
          <w:p w14:paraId="23EAC19D" w14:textId="77777777" w:rsidR="00BC24A8" w:rsidRDefault="00BC24A8">
            <w:pPr>
              <w:pStyle w:val="TableParagraph"/>
              <w:rPr>
                <w:rFonts w:ascii="Times New Roman"/>
                <w:sz w:val="16"/>
              </w:rPr>
            </w:pPr>
          </w:p>
        </w:tc>
        <w:tc>
          <w:tcPr>
            <w:tcW w:w="1350" w:type="dxa"/>
            <w:tcBorders>
              <w:top w:val="single" w:sz="4" w:space="0" w:color="BEBEBE"/>
              <w:bottom w:val="single" w:sz="4" w:space="0" w:color="BEBEBE"/>
            </w:tcBorders>
          </w:tcPr>
          <w:p w14:paraId="00126A66" w14:textId="77777777" w:rsidR="00BC24A8" w:rsidRDefault="00BC24A8">
            <w:pPr>
              <w:pStyle w:val="TableParagraph"/>
              <w:rPr>
                <w:rFonts w:ascii="Times New Roman"/>
                <w:sz w:val="16"/>
              </w:rPr>
            </w:pPr>
          </w:p>
        </w:tc>
        <w:tc>
          <w:tcPr>
            <w:tcW w:w="1313" w:type="dxa"/>
            <w:tcBorders>
              <w:top w:val="single" w:sz="4" w:space="0" w:color="BEBEBE"/>
              <w:bottom w:val="single" w:sz="4" w:space="0" w:color="BEBEBE"/>
            </w:tcBorders>
          </w:tcPr>
          <w:p w14:paraId="5D886DAC" w14:textId="77777777" w:rsidR="00BC24A8" w:rsidRDefault="00BC24A8">
            <w:pPr>
              <w:pStyle w:val="TableParagraph"/>
              <w:rPr>
                <w:rFonts w:ascii="Times New Roman"/>
                <w:sz w:val="16"/>
              </w:rPr>
            </w:pPr>
          </w:p>
        </w:tc>
        <w:tc>
          <w:tcPr>
            <w:tcW w:w="1341" w:type="dxa"/>
            <w:tcBorders>
              <w:top w:val="single" w:sz="4" w:space="0" w:color="BEBEBE"/>
              <w:bottom w:val="single" w:sz="4" w:space="0" w:color="BEBEBE"/>
            </w:tcBorders>
          </w:tcPr>
          <w:p w14:paraId="55E4362D" w14:textId="77777777" w:rsidR="00BC24A8" w:rsidRDefault="00BC24A8">
            <w:pPr>
              <w:pStyle w:val="TableParagraph"/>
              <w:rPr>
                <w:rFonts w:ascii="Times New Roman"/>
                <w:sz w:val="16"/>
              </w:rPr>
            </w:pPr>
          </w:p>
        </w:tc>
        <w:tc>
          <w:tcPr>
            <w:tcW w:w="2187" w:type="dxa"/>
            <w:tcBorders>
              <w:top w:val="single" w:sz="4" w:space="0" w:color="BEBEBE"/>
              <w:bottom w:val="single" w:sz="4" w:space="0" w:color="BEBEBE"/>
            </w:tcBorders>
          </w:tcPr>
          <w:p w14:paraId="2EFF49E5" w14:textId="77777777" w:rsidR="00BC24A8" w:rsidRDefault="00000000">
            <w:pPr>
              <w:pStyle w:val="TableParagraph"/>
              <w:spacing w:before="1"/>
              <w:ind w:left="394" w:right="40"/>
              <w:rPr>
                <w:sz w:val="18"/>
              </w:rPr>
            </w:pPr>
            <w:r>
              <w:rPr>
                <w:sz w:val="18"/>
              </w:rPr>
              <w:t>on</w:t>
            </w:r>
            <w:r>
              <w:rPr>
                <w:spacing w:val="-11"/>
                <w:sz w:val="18"/>
              </w:rPr>
              <w:t xml:space="preserve"> </w:t>
            </w:r>
            <w:r>
              <w:rPr>
                <w:sz w:val="18"/>
              </w:rPr>
              <w:t>Regional</w:t>
            </w:r>
            <w:r>
              <w:rPr>
                <w:spacing w:val="-10"/>
                <w:sz w:val="18"/>
              </w:rPr>
              <w:t xml:space="preserve"> </w:t>
            </w:r>
            <w:r>
              <w:rPr>
                <w:sz w:val="18"/>
              </w:rPr>
              <w:t>Original Revenue (PDRD).</w:t>
            </w:r>
          </w:p>
          <w:p w14:paraId="12C29F1A" w14:textId="77777777" w:rsidR="00BC24A8" w:rsidRDefault="00000000">
            <w:pPr>
              <w:pStyle w:val="TableParagraph"/>
              <w:numPr>
                <w:ilvl w:val="0"/>
                <w:numId w:val="147"/>
              </w:numPr>
              <w:tabs>
                <w:tab w:val="left" w:pos="394"/>
              </w:tabs>
              <w:ind w:right="196"/>
              <w:rPr>
                <w:sz w:val="18"/>
              </w:rPr>
            </w:pPr>
            <w:r>
              <w:rPr>
                <w:sz w:val="18"/>
              </w:rPr>
              <w:t>NTB issued a Bappenda</w:t>
            </w:r>
            <w:r>
              <w:rPr>
                <w:spacing w:val="-2"/>
                <w:sz w:val="18"/>
              </w:rPr>
              <w:t xml:space="preserve"> </w:t>
            </w:r>
            <w:r>
              <w:rPr>
                <w:sz w:val="18"/>
              </w:rPr>
              <w:t>Regulation to regulate motor vehicle tax (PKB) incentives</w:t>
            </w:r>
            <w:r>
              <w:rPr>
                <w:spacing w:val="-11"/>
                <w:sz w:val="18"/>
              </w:rPr>
              <w:t xml:space="preserve"> </w:t>
            </w:r>
            <w:r>
              <w:rPr>
                <w:sz w:val="18"/>
              </w:rPr>
              <w:t>for</w:t>
            </w:r>
            <w:r>
              <w:rPr>
                <w:spacing w:val="-10"/>
                <w:sz w:val="18"/>
              </w:rPr>
              <w:t xml:space="preserve"> </w:t>
            </w:r>
            <w:r>
              <w:rPr>
                <w:sz w:val="18"/>
              </w:rPr>
              <w:t>persons with disabilities.</w:t>
            </w:r>
          </w:p>
          <w:p w14:paraId="4F5E51CE" w14:textId="77777777" w:rsidR="00BC24A8" w:rsidRDefault="00000000">
            <w:pPr>
              <w:pStyle w:val="TableParagraph"/>
              <w:numPr>
                <w:ilvl w:val="0"/>
                <w:numId w:val="147"/>
              </w:numPr>
              <w:tabs>
                <w:tab w:val="left" w:pos="394"/>
              </w:tabs>
              <w:ind w:right="119"/>
              <w:rPr>
                <w:sz w:val="18"/>
              </w:rPr>
            </w:pPr>
            <w:r>
              <w:rPr>
                <w:sz w:val="18"/>
              </w:rPr>
              <w:t>Aceh</w:t>
            </w:r>
            <w:r>
              <w:rPr>
                <w:spacing w:val="-9"/>
                <w:sz w:val="18"/>
              </w:rPr>
              <w:t xml:space="preserve"> </w:t>
            </w:r>
            <w:r>
              <w:rPr>
                <w:sz w:val="18"/>
              </w:rPr>
              <w:t>issued</w:t>
            </w:r>
            <w:r>
              <w:rPr>
                <w:spacing w:val="-9"/>
                <w:sz w:val="18"/>
              </w:rPr>
              <w:t xml:space="preserve"> </w:t>
            </w:r>
            <w:r>
              <w:rPr>
                <w:sz w:val="18"/>
              </w:rPr>
              <w:t>a</w:t>
            </w:r>
            <w:r>
              <w:rPr>
                <w:spacing w:val="-10"/>
                <w:sz w:val="18"/>
              </w:rPr>
              <w:t xml:space="preserve"> </w:t>
            </w:r>
            <w:r>
              <w:rPr>
                <w:sz w:val="18"/>
              </w:rPr>
              <w:t>Perda</w:t>
            </w:r>
            <w:r>
              <w:rPr>
                <w:spacing w:val="-10"/>
                <w:sz w:val="18"/>
              </w:rPr>
              <w:t xml:space="preserve"> </w:t>
            </w:r>
            <w:r>
              <w:rPr>
                <w:sz w:val="18"/>
              </w:rPr>
              <w:t>on the Special Autonomy Fund (DAD) and a Governor Decree (Kepgub) on tax reduction for persons with disabilities.</w:t>
            </w:r>
          </w:p>
          <w:p w14:paraId="70752FDD" w14:textId="77777777" w:rsidR="00BC24A8" w:rsidRDefault="00000000">
            <w:pPr>
              <w:pStyle w:val="TableParagraph"/>
              <w:numPr>
                <w:ilvl w:val="0"/>
                <w:numId w:val="147"/>
              </w:numPr>
              <w:tabs>
                <w:tab w:val="left" w:pos="394"/>
              </w:tabs>
              <w:ind w:right="218"/>
              <w:rPr>
                <w:sz w:val="18"/>
              </w:rPr>
            </w:pPr>
            <w:r>
              <w:rPr>
                <w:sz w:val="18"/>
              </w:rPr>
              <w:t xml:space="preserve">NTB, NTT, Gorontalo, and Maluku issued </w:t>
            </w:r>
            <w:r>
              <w:rPr>
                <w:spacing w:val="-2"/>
                <w:sz w:val="18"/>
              </w:rPr>
              <w:t>Cooperation</w:t>
            </w:r>
            <w:r>
              <w:rPr>
                <w:sz w:val="18"/>
              </w:rPr>
              <w:t xml:space="preserve"> Agreements (PKS) between provinces and</w:t>
            </w:r>
            <w:r>
              <w:rPr>
                <w:spacing w:val="-11"/>
                <w:sz w:val="18"/>
              </w:rPr>
              <w:t xml:space="preserve"> </w:t>
            </w:r>
            <w:r>
              <w:rPr>
                <w:sz w:val="18"/>
              </w:rPr>
              <w:t>districts/cities</w:t>
            </w:r>
            <w:r>
              <w:rPr>
                <w:spacing w:val="-10"/>
                <w:sz w:val="18"/>
              </w:rPr>
              <w:t xml:space="preserve"> </w:t>
            </w:r>
            <w:r>
              <w:rPr>
                <w:sz w:val="18"/>
              </w:rPr>
              <w:t xml:space="preserve">for revenue sharing </w:t>
            </w:r>
            <w:r>
              <w:rPr>
                <w:spacing w:val="-2"/>
                <w:sz w:val="18"/>
              </w:rPr>
              <w:t>(opsen).</w:t>
            </w:r>
          </w:p>
          <w:p w14:paraId="5ABA1DEE" w14:textId="77777777" w:rsidR="00BC24A8" w:rsidRDefault="00000000">
            <w:pPr>
              <w:pStyle w:val="TableParagraph"/>
              <w:numPr>
                <w:ilvl w:val="0"/>
                <w:numId w:val="147"/>
              </w:numPr>
              <w:tabs>
                <w:tab w:val="left" w:pos="394"/>
              </w:tabs>
              <w:ind w:right="134"/>
              <w:rPr>
                <w:sz w:val="18"/>
              </w:rPr>
            </w:pPr>
            <w:r>
              <w:rPr>
                <w:sz w:val="18"/>
              </w:rPr>
              <w:t>Kaltara issued a Bappenda</w:t>
            </w:r>
            <w:r>
              <w:rPr>
                <w:spacing w:val="-2"/>
                <w:sz w:val="18"/>
              </w:rPr>
              <w:t xml:space="preserve"> </w:t>
            </w:r>
            <w:r>
              <w:rPr>
                <w:sz w:val="18"/>
              </w:rPr>
              <w:t>Regulation on</w:t>
            </w:r>
            <w:r>
              <w:rPr>
                <w:spacing w:val="-11"/>
                <w:sz w:val="18"/>
              </w:rPr>
              <w:t xml:space="preserve"> </w:t>
            </w:r>
            <w:r>
              <w:rPr>
                <w:sz w:val="18"/>
              </w:rPr>
              <w:t>technical</w:t>
            </w:r>
            <w:r>
              <w:rPr>
                <w:spacing w:val="-10"/>
                <w:sz w:val="18"/>
              </w:rPr>
              <w:t xml:space="preserve"> </w:t>
            </w:r>
            <w:r>
              <w:rPr>
                <w:sz w:val="18"/>
              </w:rPr>
              <w:t>guidelines for revenue sharing (opsen)</w:t>
            </w:r>
            <w:r>
              <w:rPr>
                <w:spacing w:val="-8"/>
                <w:sz w:val="18"/>
              </w:rPr>
              <w:t xml:space="preserve"> </w:t>
            </w:r>
            <w:r>
              <w:rPr>
                <w:sz w:val="18"/>
              </w:rPr>
              <w:t>and</w:t>
            </w:r>
            <w:r>
              <w:rPr>
                <w:spacing w:val="-7"/>
                <w:sz w:val="18"/>
              </w:rPr>
              <w:t xml:space="preserve"> </w:t>
            </w:r>
            <w:r>
              <w:rPr>
                <w:sz w:val="18"/>
              </w:rPr>
              <w:t xml:space="preserve">increasing regional revenue </w:t>
            </w:r>
            <w:r>
              <w:rPr>
                <w:spacing w:val="-2"/>
                <w:sz w:val="18"/>
              </w:rPr>
              <w:t>(PDRD).</w:t>
            </w:r>
          </w:p>
        </w:tc>
      </w:tr>
      <w:tr w:rsidR="00BC24A8" w14:paraId="34644405" w14:textId="77777777">
        <w:trPr>
          <w:trHeight w:val="3421"/>
        </w:trPr>
        <w:tc>
          <w:tcPr>
            <w:tcW w:w="1596" w:type="dxa"/>
            <w:tcBorders>
              <w:top w:val="single" w:sz="4" w:space="0" w:color="BEBEBE"/>
              <w:bottom w:val="single" w:sz="4" w:space="0" w:color="BEBEBE"/>
            </w:tcBorders>
          </w:tcPr>
          <w:p w14:paraId="780D7B4B" w14:textId="77777777" w:rsidR="00BC24A8" w:rsidRDefault="00000000">
            <w:pPr>
              <w:pStyle w:val="TableParagraph"/>
              <w:spacing w:before="61"/>
              <w:ind w:left="122" w:right="52"/>
              <w:rPr>
                <w:sz w:val="18"/>
              </w:rPr>
            </w:pPr>
            <w:r>
              <w:rPr>
                <w:sz w:val="18"/>
              </w:rPr>
              <w:t>IO</w:t>
            </w:r>
            <w:r>
              <w:rPr>
                <w:spacing w:val="-11"/>
                <w:sz w:val="18"/>
              </w:rPr>
              <w:t xml:space="preserve"> </w:t>
            </w:r>
            <w:r>
              <w:rPr>
                <w:sz w:val="18"/>
              </w:rPr>
              <w:t>4.2.</w:t>
            </w:r>
            <w:r>
              <w:rPr>
                <w:spacing w:val="-10"/>
                <w:sz w:val="18"/>
              </w:rPr>
              <w:t xml:space="preserve"> </w:t>
            </w:r>
            <w:r>
              <w:rPr>
                <w:sz w:val="18"/>
              </w:rPr>
              <w:t>Improved data use in MSS planning,</w:t>
            </w:r>
            <w:r>
              <w:rPr>
                <w:spacing w:val="-2"/>
                <w:sz w:val="18"/>
              </w:rPr>
              <w:t xml:space="preserve"> </w:t>
            </w:r>
            <w:r>
              <w:rPr>
                <w:sz w:val="18"/>
              </w:rPr>
              <w:t>with SKALA</w:t>
            </w:r>
            <w:r>
              <w:rPr>
                <w:spacing w:val="-2"/>
                <w:sz w:val="18"/>
              </w:rPr>
              <w:t xml:space="preserve"> </w:t>
            </w:r>
            <w:r>
              <w:rPr>
                <w:sz w:val="18"/>
              </w:rPr>
              <w:t>support.</w:t>
            </w:r>
          </w:p>
        </w:tc>
        <w:tc>
          <w:tcPr>
            <w:tcW w:w="1318" w:type="dxa"/>
            <w:tcBorders>
              <w:top w:val="single" w:sz="4" w:space="0" w:color="BEBEBE"/>
              <w:bottom w:val="single" w:sz="4" w:space="0" w:color="BEBEBE"/>
            </w:tcBorders>
          </w:tcPr>
          <w:p w14:paraId="383FE9E7" w14:textId="77777777" w:rsidR="00BC24A8" w:rsidRDefault="00000000">
            <w:pPr>
              <w:pStyle w:val="TableParagraph"/>
              <w:spacing w:before="66"/>
              <w:ind w:left="146" w:right="264"/>
              <w:rPr>
                <w:sz w:val="18"/>
              </w:rPr>
            </w:pPr>
            <w:r>
              <w:rPr>
                <w:sz w:val="18"/>
              </w:rPr>
              <w:t>No</w:t>
            </w:r>
            <w:r>
              <w:rPr>
                <w:spacing w:val="-11"/>
                <w:sz w:val="18"/>
              </w:rPr>
              <w:t xml:space="preserve"> </w:t>
            </w:r>
            <w:r>
              <w:rPr>
                <w:sz w:val="18"/>
              </w:rPr>
              <w:t>evidence available</w:t>
            </w:r>
            <w:r>
              <w:rPr>
                <w:spacing w:val="-1"/>
                <w:sz w:val="18"/>
              </w:rPr>
              <w:t xml:space="preserve"> </w:t>
            </w:r>
            <w:r>
              <w:rPr>
                <w:spacing w:val="-5"/>
                <w:sz w:val="18"/>
              </w:rPr>
              <w:t>yet</w:t>
            </w:r>
          </w:p>
        </w:tc>
        <w:tc>
          <w:tcPr>
            <w:tcW w:w="1350" w:type="dxa"/>
            <w:tcBorders>
              <w:top w:val="single" w:sz="4" w:space="0" w:color="BEBEBE"/>
              <w:bottom w:val="single" w:sz="4" w:space="0" w:color="BEBEBE"/>
            </w:tcBorders>
          </w:tcPr>
          <w:p w14:paraId="06FD0DED" w14:textId="77777777" w:rsidR="00BC24A8" w:rsidRDefault="00000000">
            <w:pPr>
              <w:pStyle w:val="TableParagraph"/>
              <w:spacing w:before="66"/>
              <w:ind w:left="268" w:right="174"/>
              <w:rPr>
                <w:sz w:val="18"/>
              </w:rPr>
            </w:pPr>
            <w:r>
              <w:rPr>
                <w:sz w:val="18"/>
              </w:rPr>
              <w:t>No</w:t>
            </w:r>
            <w:r>
              <w:rPr>
                <w:spacing w:val="-11"/>
                <w:sz w:val="18"/>
              </w:rPr>
              <w:t xml:space="preserve"> </w:t>
            </w:r>
            <w:r>
              <w:rPr>
                <w:sz w:val="18"/>
              </w:rPr>
              <w:t>evidence available</w:t>
            </w:r>
            <w:r>
              <w:rPr>
                <w:spacing w:val="-1"/>
                <w:sz w:val="18"/>
              </w:rPr>
              <w:t xml:space="preserve"> </w:t>
            </w:r>
            <w:r>
              <w:rPr>
                <w:spacing w:val="-5"/>
                <w:sz w:val="18"/>
              </w:rPr>
              <w:t>yet</w:t>
            </w:r>
          </w:p>
        </w:tc>
        <w:tc>
          <w:tcPr>
            <w:tcW w:w="1313" w:type="dxa"/>
            <w:tcBorders>
              <w:top w:val="single" w:sz="4" w:space="0" w:color="BEBEBE"/>
              <w:bottom w:val="single" w:sz="4" w:space="0" w:color="BEBEBE"/>
            </w:tcBorders>
          </w:tcPr>
          <w:p w14:paraId="350BE9C2" w14:textId="77777777" w:rsidR="00BC24A8" w:rsidRDefault="00000000">
            <w:pPr>
              <w:pStyle w:val="TableParagraph"/>
              <w:spacing w:before="66"/>
              <w:ind w:left="91" w:right="123"/>
              <w:jc w:val="center"/>
              <w:rPr>
                <w:sz w:val="18"/>
              </w:rPr>
            </w:pPr>
            <w:r>
              <w:rPr>
                <w:sz w:val="18"/>
              </w:rPr>
              <w:t>10</w:t>
            </w:r>
            <w:r>
              <w:rPr>
                <w:spacing w:val="-1"/>
                <w:sz w:val="18"/>
              </w:rPr>
              <w:t xml:space="preserve"> </w:t>
            </w:r>
            <w:r>
              <w:rPr>
                <w:spacing w:val="-2"/>
                <w:sz w:val="18"/>
              </w:rPr>
              <w:t>provinces</w:t>
            </w:r>
          </w:p>
        </w:tc>
        <w:tc>
          <w:tcPr>
            <w:tcW w:w="1341" w:type="dxa"/>
            <w:tcBorders>
              <w:top w:val="single" w:sz="4" w:space="0" w:color="BEBEBE"/>
              <w:bottom w:val="single" w:sz="4" w:space="0" w:color="BEBEBE"/>
            </w:tcBorders>
          </w:tcPr>
          <w:p w14:paraId="251374D8" w14:textId="77777777" w:rsidR="00BC24A8" w:rsidRDefault="00000000">
            <w:pPr>
              <w:pStyle w:val="TableParagraph"/>
              <w:spacing w:before="66"/>
              <w:ind w:left="214" w:right="219"/>
              <w:rPr>
                <w:sz w:val="18"/>
              </w:rPr>
            </w:pPr>
            <w:r>
              <w:rPr>
                <w:sz w:val="18"/>
              </w:rPr>
              <w:t>No</w:t>
            </w:r>
            <w:r>
              <w:rPr>
                <w:spacing w:val="-11"/>
                <w:sz w:val="18"/>
              </w:rPr>
              <w:t xml:space="preserve"> </w:t>
            </w:r>
            <w:r>
              <w:rPr>
                <w:sz w:val="18"/>
              </w:rPr>
              <w:t>evidence available</w:t>
            </w:r>
            <w:r>
              <w:rPr>
                <w:spacing w:val="-1"/>
                <w:sz w:val="18"/>
              </w:rPr>
              <w:t xml:space="preserve"> </w:t>
            </w:r>
            <w:r>
              <w:rPr>
                <w:spacing w:val="-5"/>
                <w:sz w:val="18"/>
              </w:rPr>
              <w:t>yet</w:t>
            </w:r>
          </w:p>
        </w:tc>
        <w:tc>
          <w:tcPr>
            <w:tcW w:w="2187" w:type="dxa"/>
            <w:tcBorders>
              <w:top w:val="single" w:sz="4" w:space="0" w:color="BEBEBE"/>
              <w:bottom w:val="single" w:sz="4" w:space="0" w:color="BEBEBE"/>
            </w:tcBorders>
          </w:tcPr>
          <w:p w14:paraId="7676533D" w14:textId="77777777" w:rsidR="00BC24A8" w:rsidRDefault="00000000">
            <w:pPr>
              <w:pStyle w:val="TableParagraph"/>
              <w:spacing w:before="66"/>
              <w:ind w:left="224" w:right="111"/>
              <w:rPr>
                <w:sz w:val="18"/>
              </w:rPr>
            </w:pPr>
            <w:r>
              <w:rPr>
                <w:sz w:val="18"/>
              </w:rPr>
              <w:t>Despite increasing data availability, there is insufficient evidence to indicate improved data quality</w:t>
            </w:r>
            <w:r>
              <w:rPr>
                <w:spacing w:val="-5"/>
                <w:sz w:val="18"/>
              </w:rPr>
              <w:t xml:space="preserve"> </w:t>
            </w:r>
            <w:r>
              <w:rPr>
                <w:sz w:val="18"/>
              </w:rPr>
              <w:t>and</w:t>
            </w:r>
            <w:r>
              <w:rPr>
                <w:spacing w:val="-5"/>
                <w:sz w:val="18"/>
              </w:rPr>
              <w:t xml:space="preserve"> </w:t>
            </w:r>
            <w:r>
              <w:rPr>
                <w:sz w:val="18"/>
              </w:rPr>
              <w:t>its</w:t>
            </w:r>
            <w:r>
              <w:rPr>
                <w:spacing w:val="-5"/>
                <w:sz w:val="18"/>
              </w:rPr>
              <w:t xml:space="preserve"> </w:t>
            </w:r>
            <w:r>
              <w:rPr>
                <w:sz w:val="18"/>
              </w:rPr>
              <w:t>use</w:t>
            </w:r>
            <w:r>
              <w:rPr>
                <w:spacing w:val="-6"/>
                <w:sz w:val="18"/>
              </w:rPr>
              <w:t xml:space="preserve"> </w:t>
            </w:r>
            <w:r>
              <w:rPr>
                <w:sz w:val="18"/>
              </w:rPr>
              <w:t>in</w:t>
            </w:r>
            <w:r>
              <w:rPr>
                <w:spacing w:val="-5"/>
                <w:sz w:val="18"/>
              </w:rPr>
              <w:t xml:space="preserve"> </w:t>
            </w:r>
            <w:r>
              <w:rPr>
                <w:sz w:val="18"/>
              </w:rPr>
              <w:t>MSS planning. For example, provinces are still using estimated</w:t>
            </w:r>
            <w:r>
              <w:rPr>
                <w:spacing w:val="-11"/>
                <w:sz w:val="18"/>
              </w:rPr>
              <w:t xml:space="preserve"> </w:t>
            </w:r>
            <w:r>
              <w:rPr>
                <w:sz w:val="18"/>
              </w:rPr>
              <w:t>data</w:t>
            </w:r>
            <w:r>
              <w:rPr>
                <w:spacing w:val="-10"/>
                <w:sz w:val="18"/>
              </w:rPr>
              <w:t xml:space="preserve"> </w:t>
            </w:r>
            <w:r>
              <w:rPr>
                <w:sz w:val="18"/>
              </w:rPr>
              <w:t>instead</w:t>
            </w:r>
            <w:r>
              <w:rPr>
                <w:spacing w:val="-10"/>
                <w:sz w:val="18"/>
              </w:rPr>
              <w:t xml:space="preserve"> </w:t>
            </w:r>
            <w:r>
              <w:rPr>
                <w:sz w:val="18"/>
              </w:rPr>
              <w:t>of real and updated data in MSS Action Plan and annual</w:t>
            </w:r>
            <w:r>
              <w:rPr>
                <w:spacing w:val="-6"/>
                <w:sz w:val="18"/>
              </w:rPr>
              <w:t xml:space="preserve"> </w:t>
            </w:r>
            <w:r>
              <w:rPr>
                <w:sz w:val="18"/>
              </w:rPr>
              <w:t>targeting</w:t>
            </w:r>
            <w:r>
              <w:rPr>
                <w:spacing w:val="-8"/>
                <w:sz w:val="18"/>
              </w:rPr>
              <w:t xml:space="preserve"> </w:t>
            </w:r>
            <w:r>
              <w:rPr>
                <w:sz w:val="18"/>
              </w:rPr>
              <w:t>process. Some provinces used Regsosek data to compliment sectoral</w:t>
            </w:r>
            <w:r>
              <w:rPr>
                <w:spacing w:val="40"/>
                <w:sz w:val="18"/>
              </w:rPr>
              <w:t xml:space="preserve"> </w:t>
            </w:r>
            <w:r>
              <w:rPr>
                <w:spacing w:val="-2"/>
                <w:sz w:val="18"/>
              </w:rPr>
              <w:t>data.</w:t>
            </w:r>
          </w:p>
        </w:tc>
      </w:tr>
      <w:tr w:rsidR="00BC24A8" w14:paraId="6C009CB9" w14:textId="77777777">
        <w:trPr>
          <w:trHeight w:val="1883"/>
        </w:trPr>
        <w:tc>
          <w:tcPr>
            <w:tcW w:w="1596" w:type="dxa"/>
            <w:tcBorders>
              <w:top w:val="single" w:sz="4" w:space="0" w:color="BEBEBE"/>
              <w:bottom w:val="single" w:sz="4" w:space="0" w:color="BEBEBE"/>
            </w:tcBorders>
          </w:tcPr>
          <w:p w14:paraId="05924D36" w14:textId="77777777" w:rsidR="00BC24A8" w:rsidRDefault="00000000">
            <w:pPr>
              <w:pStyle w:val="TableParagraph"/>
              <w:spacing w:before="61"/>
              <w:ind w:left="122" w:right="52"/>
              <w:rPr>
                <w:sz w:val="18"/>
              </w:rPr>
            </w:pPr>
            <w:r>
              <w:rPr>
                <w:sz w:val="18"/>
              </w:rPr>
              <w:t>IO 4.3. Improved costing of MSS needs,</w:t>
            </w:r>
            <w:r>
              <w:rPr>
                <w:spacing w:val="-11"/>
                <w:sz w:val="18"/>
              </w:rPr>
              <w:t xml:space="preserve"> </w:t>
            </w:r>
            <w:r>
              <w:rPr>
                <w:sz w:val="18"/>
              </w:rPr>
              <w:t>with</w:t>
            </w:r>
            <w:r>
              <w:rPr>
                <w:spacing w:val="-10"/>
                <w:sz w:val="18"/>
              </w:rPr>
              <w:t xml:space="preserve"> </w:t>
            </w:r>
            <w:r>
              <w:rPr>
                <w:sz w:val="18"/>
              </w:rPr>
              <w:t xml:space="preserve">SKALA </w:t>
            </w:r>
            <w:r>
              <w:rPr>
                <w:spacing w:val="-2"/>
                <w:sz w:val="18"/>
              </w:rPr>
              <w:t>support.</w:t>
            </w:r>
          </w:p>
        </w:tc>
        <w:tc>
          <w:tcPr>
            <w:tcW w:w="1318" w:type="dxa"/>
            <w:tcBorders>
              <w:top w:val="single" w:sz="4" w:space="0" w:color="BEBEBE"/>
              <w:bottom w:val="single" w:sz="4" w:space="0" w:color="BEBEBE"/>
            </w:tcBorders>
          </w:tcPr>
          <w:p w14:paraId="58A8B87A" w14:textId="77777777" w:rsidR="00BC24A8" w:rsidRDefault="00000000">
            <w:pPr>
              <w:pStyle w:val="TableParagraph"/>
              <w:spacing w:before="66"/>
              <w:ind w:left="146" w:right="264"/>
              <w:rPr>
                <w:sz w:val="18"/>
              </w:rPr>
            </w:pPr>
            <w:r>
              <w:rPr>
                <w:sz w:val="18"/>
              </w:rPr>
              <w:t>No</w:t>
            </w:r>
            <w:r>
              <w:rPr>
                <w:spacing w:val="-11"/>
                <w:sz w:val="18"/>
              </w:rPr>
              <w:t xml:space="preserve"> </w:t>
            </w:r>
            <w:r>
              <w:rPr>
                <w:sz w:val="18"/>
              </w:rPr>
              <w:t>evidence available</w:t>
            </w:r>
            <w:r>
              <w:rPr>
                <w:spacing w:val="-1"/>
                <w:sz w:val="18"/>
              </w:rPr>
              <w:t xml:space="preserve"> </w:t>
            </w:r>
            <w:r>
              <w:rPr>
                <w:spacing w:val="-5"/>
                <w:sz w:val="18"/>
              </w:rPr>
              <w:t>yet</w:t>
            </w:r>
          </w:p>
        </w:tc>
        <w:tc>
          <w:tcPr>
            <w:tcW w:w="1350" w:type="dxa"/>
            <w:tcBorders>
              <w:top w:val="single" w:sz="4" w:space="0" w:color="BEBEBE"/>
              <w:bottom w:val="single" w:sz="4" w:space="0" w:color="BEBEBE"/>
            </w:tcBorders>
          </w:tcPr>
          <w:p w14:paraId="5BBA126F" w14:textId="77777777" w:rsidR="00BC24A8" w:rsidRDefault="00000000">
            <w:pPr>
              <w:pStyle w:val="TableParagraph"/>
              <w:spacing w:before="66"/>
              <w:ind w:left="268" w:right="174"/>
              <w:rPr>
                <w:sz w:val="18"/>
              </w:rPr>
            </w:pPr>
            <w:r>
              <w:rPr>
                <w:sz w:val="18"/>
              </w:rPr>
              <w:t>No</w:t>
            </w:r>
            <w:r>
              <w:rPr>
                <w:spacing w:val="-11"/>
                <w:sz w:val="18"/>
              </w:rPr>
              <w:t xml:space="preserve"> </w:t>
            </w:r>
            <w:r>
              <w:rPr>
                <w:sz w:val="18"/>
              </w:rPr>
              <w:t>evidence available</w:t>
            </w:r>
            <w:r>
              <w:rPr>
                <w:spacing w:val="-1"/>
                <w:sz w:val="18"/>
              </w:rPr>
              <w:t xml:space="preserve"> </w:t>
            </w:r>
            <w:r>
              <w:rPr>
                <w:spacing w:val="-5"/>
                <w:sz w:val="18"/>
              </w:rPr>
              <w:t>yet</w:t>
            </w:r>
          </w:p>
        </w:tc>
        <w:tc>
          <w:tcPr>
            <w:tcW w:w="1313" w:type="dxa"/>
            <w:tcBorders>
              <w:top w:val="single" w:sz="4" w:space="0" w:color="BEBEBE"/>
              <w:bottom w:val="single" w:sz="4" w:space="0" w:color="BEBEBE"/>
            </w:tcBorders>
          </w:tcPr>
          <w:p w14:paraId="0C621EAB" w14:textId="77777777" w:rsidR="00BC24A8" w:rsidRDefault="00000000">
            <w:pPr>
              <w:pStyle w:val="TableParagraph"/>
              <w:spacing w:before="66"/>
              <w:ind w:right="123"/>
              <w:jc w:val="center"/>
              <w:rPr>
                <w:sz w:val="18"/>
              </w:rPr>
            </w:pPr>
            <w:r>
              <w:rPr>
                <w:sz w:val="18"/>
              </w:rPr>
              <w:t>4</w:t>
            </w:r>
            <w:r>
              <w:rPr>
                <w:spacing w:val="-2"/>
                <w:sz w:val="18"/>
              </w:rPr>
              <w:t xml:space="preserve"> provinces</w:t>
            </w:r>
          </w:p>
        </w:tc>
        <w:tc>
          <w:tcPr>
            <w:tcW w:w="1341" w:type="dxa"/>
            <w:tcBorders>
              <w:top w:val="single" w:sz="4" w:space="0" w:color="BEBEBE"/>
              <w:bottom w:val="single" w:sz="4" w:space="0" w:color="BEBEBE"/>
            </w:tcBorders>
          </w:tcPr>
          <w:p w14:paraId="2B3F40A4" w14:textId="77777777" w:rsidR="00BC24A8" w:rsidRDefault="00000000">
            <w:pPr>
              <w:pStyle w:val="TableParagraph"/>
              <w:spacing w:before="66"/>
              <w:ind w:left="214"/>
              <w:rPr>
                <w:sz w:val="18"/>
              </w:rPr>
            </w:pPr>
            <w:r>
              <w:rPr>
                <w:sz w:val="18"/>
              </w:rPr>
              <w:t>4</w:t>
            </w:r>
            <w:r>
              <w:rPr>
                <w:spacing w:val="-2"/>
                <w:sz w:val="18"/>
              </w:rPr>
              <w:t xml:space="preserve"> provinces</w:t>
            </w:r>
          </w:p>
        </w:tc>
        <w:tc>
          <w:tcPr>
            <w:tcW w:w="2187" w:type="dxa"/>
            <w:tcBorders>
              <w:top w:val="single" w:sz="4" w:space="0" w:color="BEBEBE"/>
              <w:bottom w:val="single" w:sz="4" w:space="0" w:color="BEBEBE"/>
            </w:tcBorders>
          </w:tcPr>
          <w:p w14:paraId="349FA819" w14:textId="77777777" w:rsidR="00BC24A8" w:rsidRDefault="00000000">
            <w:pPr>
              <w:pStyle w:val="TableParagraph"/>
              <w:spacing w:before="66"/>
              <w:ind w:left="224" w:right="40"/>
              <w:rPr>
                <w:sz w:val="18"/>
              </w:rPr>
            </w:pPr>
            <w:r>
              <w:rPr>
                <w:sz w:val="18"/>
              </w:rPr>
              <w:t>MoHA is currently finalising</w:t>
            </w:r>
            <w:r>
              <w:rPr>
                <w:spacing w:val="-11"/>
                <w:sz w:val="18"/>
              </w:rPr>
              <w:t xml:space="preserve"> </w:t>
            </w:r>
            <w:r>
              <w:rPr>
                <w:sz w:val="18"/>
              </w:rPr>
              <w:t>the</w:t>
            </w:r>
            <w:r>
              <w:rPr>
                <w:spacing w:val="-10"/>
                <w:sz w:val="18"/>
              </w:rPr>
              <w:t xml:space="preserve"> </w:t>
            </w:r>
            <w:r>
              <w:rPr>
                <w:sz w:val="18"/>
              </w:rPr>
              <w:t>MSS</w:t>
            </w:r>
            <w:r>
              <w:rPr>
                <w:spacing w:val="-10"/>
                <w:sz w:val="18"/>
              </w:rPr>
              <w:t xml:space="preserve"> </w:t>
            </w:r>
            <w:r>
              <w:rPr>
                <w:sz w:val="18"/>
              </w:rPr>
              <w:t xml:space="preserve">Costing guideline and calculator. Meanwhile, 4 provinces (Aceh, Kaltara, NTB, Maluku) improving the costing mechanism and </w:t>
            </w:r>
            <w:r>
              <w:rPr>
                <w:spacing w:val="-2"/>
                <w:sz w:val="18"/>
              </w:rPr>
              <w:t>instruments.</w:t>
            </w:r>
          </w:p>
        </w:tc>
      </w:tr>
      <w:tr w:rsidR="00BC24A8" w14:paraId="2A3C674A" w14:textId="77777777">
        <w:trPr>
          <w:trHeight w:val="1598"/>
        </w:trPr>
        <w:tc>
          <w:tcPr>
            <w:tcW w:w="1596" w:type="dxa"/>
            <w:tcBorders>
              <w:top w:val="single" w:sz="4" w:space="0" w:color="BEBEBE"/>
              <w:bottom w:val="single" w:sz="4" w:space="0" w:color="BEBEBE"/>
            </w:tcBorders>
          </w:tcPr>
          <w:p w14:paraId="6E8956A5" w14:textId="77777777" w:rsidR="00BC24A8" w:rsidRDefault="00000000">
            <w:pPr>
              <w:pStyle w:val="TableParagraph"/>
              <w:spacing w:before="61" w:line="219" w:lineRule="exact"/>
              <w:ind w:left="122"/>
              <w:rPr>
                <w:sz w:val="18"/>
              </w:rPr>
            </w:pPr>
            <w:r>
              <w:rPr>
                <w:sz w:val="18"/>
              </w:rPr>
              <w:t>IO</w:t>
            </w:r>
            <w:r>
              <w:rPr>
                <w:spacing w:val="-4"/>
                <w:sz w:val="18"/>
              </w:rPr>
              <w:t xml:space="preserve"> 4.4.</w:t>
            </w:r>
          </w:p>
          <w:p w14:paraId="25CDF872" w14:textId="77777777" w:rsidR="00BC24A8" w:rsidRDefault="00000000">
            <w:pPr>
              <w:pStyle w:val="TableParagraph"/>
              <w:ind w:left="122" w:right="52"/>
              <w:rPr>
                <w:sz w:val="18"/>
              </w:rPr>
            </w:pPr>
            <w:r>
              <w:rPr>
                <w:sz w:val="18"/>
              </w:rPr>
              <w:t>Incorporation of MSS action plan into</w:t>
            </w:r>
            <w:r>
              <w:rPr>
                <w:spacing w:val="-11"/>
                <w:sz w:val="18"/>
              </w:rPr>
              <w:t xml:space="preserve"> </w:t>
            </w:r>
            <w:r>
              <w:rPr>
                <w:sz w:val="18"/>
              </w:rPr>
              <w:t>planning</w:t>
            </w:r>
            <w:r>
              <w:rPr>
                <w:spacing w:val="-10"/>
                <w:sz w:val="18"/>
              </w:rPr>
              <w:t xml:space="preserve"> </w:t>
            </w:r>
            <w:r>
              <w:rPr>
                <w:sz w:val="18"/>
              </w:rPr>
              <w:t xml:space="preserve">and </w:t>
            </w:r>
            <w:r>
              <w:rPr>
                <w:spacing w:val="-2"/>
                <w:sz w:val="18"/>
              </w:rPr>
              <w:t>budgeting</w:t>
            </w:r>
            <w:r>
              <w:rPr>
                <w:sz w:val="18"/>
              </w:rPr>
              <w:t xml:space="preserve"> documents,</w:t>
            </w:r>
            <w:r>
              <w:rPr>
                <w:spacing w:val="-2"/>
                <w:sz w:val="18"/>
              </w:rPr>
              <w:t xml:space="preserve"> </w:t>
            </w:r>
            <w:r>
              <w:rPr>
                <w:sz w:val="18"/>
              </w:rPr>
              <w:t>with</w:t>
            </w:r>
          </w:p>
          <w:p w14:paraId="69C0F4AB" w14:textId="77777777" w:rsidR="00BC24A8" w:rsidRDefault="00000000">
            <w:pPr>
              <w:pStyle w:val="TableParagraph"/>
              <w:spacing w:line="199" w:lineRule="exact"/>
              <w:ind w:left="122"/>
              <w:rPr>
                <w:sz w:val="18"/>
              </w:rPr>
            </w:pPr>
            <w:r>
              <w:rPr>
                <w:sz w:val="18"/>
              </w:rPr>
              <w:t>SKALA</w:t>
            </w:r>
            <w:r>
              <w:rPr>
                <w:spacing w:val="-4"/>
                <w:sz w:val="18"/>
              </w:rPr>
              <w:t xml:space="preserve"> </w:t>
            </w:r>
            <w:r>
              <w:rPr>
                <w:spacing w:val="-2"/>
                <w:sz w:val="18"/>
              </w:rPr>
              <w:t>support.</w:t>
            </w:r>
          </w:p>
        </w:tc>
        <w:tc>
          <w:tcPr>
            <w:tcW w:w="1318" w:type="dxa"/>
            <w:tcBorders>
              <w:top w:val="single" w:sz="4" w:space="0" w:color="BEBEBE"/>
              <w:bottom w:val="single" w:sz="4" w:space="0" w:color="BEBEBE"/>
            </w:tcBorders>
          </w:tcPr>
          <w:p w14:paraId="2A773A5C" w14:textId="77777777" w:rsidR="00BC24A8" w:rsidRDefault="00000000">
            <w:pPr>
              <w:pStyle w:val="TableParagraph"/>
              <w:spacing w:before="66"/>
              <w:ind w:left="146" w:right="264"/>
              <w:rPr>
                <w:sz w:val="18"/>
              </w:rPr>
            </w:pPr>
            <w:r>
              <w:rPr>
                <w:sz w:val="18"/>
              </w:rPr>
              <w:t>No</w:t>
            </w:r>
            <w:r>
              <w:rPr>
                <w:spacing w:val="-11"/>
                <w:sz w:val="18"/>
              </w:rPr>
              <w:t xml:space="preserve"> </w:t>
            </w:r>
            <w:r>
              <w:rPr>
                <w:sz w:val="18"/>
              </w:rPr>
              <w:t>evidence available</w:t>
            </w:r>
            <w:r>
              <w:rPr>
                <w:spacing w:val="-1"/>
                <w:sz w:val="18"/>
              </w:rPr>
              <w:t xml:space="preserve"> </w:t>
            </w:r>
            <w:r>
              <w:rPr>
                <w:spacing w:val="-5"/>
                <w:sz w:val="18"/>
              </w:rPr>
              <w:t>yet</w:t>
            </w:r>
          </w:p>
        </w:tc>
        <w:tc>
          <w:tcPr>
            <w:tcW w:w="1350" w:type="dxa"/>
            <w:tcBorders>
              <w:top w:val="single" w:sz="4" w:space="0" w:color="BEBEBE"/>
              <w:bottom w:val="single" w:sz="4" w:space="0" w:color="BEBEBE"/>
            </w:tcBorders>
          </w:tcPr>
          <w:p w14:paraId="3B06A706" w14:textId="77777777" w:rsidR="00BC24A8" w:rsidRDefault="00000000">
            <w:pPr>
              <w:pStyle w:val="TableParagraph"/>
              <w:spacing w:before="66"/>
              <w:ind w:left="268" w:right="174"/>
              <w:rPr>
                <w:sz w:val="18"/>
              </w:rPr>
            </w:pPr>
            <w:r>
              <w:rPr>
                <w:sz w:val="18"/>
              </w:rPr>
              <w:t>No</w:t>
            </w:r>
            <w:r>
              <w:rPr>
                <w:spacing w:val="-11"/>
                <w:sz w:val="18"/>
              </w:rPr>
              <w:t xml:space="preserve"> </w:t>
            </w:r>
            <w:r>
              <w:rPr>
                <w:sz w:val="18"/>
              </w:rPr>
              <w:t>evidence available</w:t>
            </w:r>
            <w:r>
              <w:rPr>
                <w:spacing w:val="-1"/>
                <w:sz w:val="18"/>
              </w:rPr>
              <w:t xml:space="preserve"> </w:t>
            </w:r>
            <w:r>
              <w:rPr>
                <w:spacing w:val="-5"/>
                <w:sz w:val="18"/>
              </w:rPr>
              <w:t>yet</w:t>
            </w:r>
          </w:p>
        </w:tc>
        <w:tc>
          <w:tcPr>
            <w:tcW w:w="1313" w:type="dxa"/>
            <w:tcBorders>
              <w:top w:val="single" w:sz="4" w:space="0" w:color="BEBEBE"/>
              <w:bottom w:val="single" w:sz="4" w:space="0" w:color="BEBEBE"/>
            </w:tcBorders>
          </w:tcPr>
          <w:p w14:paraId="09427596" w14:textId="77777777" w:rsidR="00BC24A8" w:rsidRDefault="00000000">
            <w:pPr>
              <w:pStyle w:val="TableParagraph"/>
              <w:spacing w:before="66"/>
              <w:ind w:right="123"/>
              <w:jc w:val="center"/>
              <w:rPr>
                <w:sz w:val="18"/>
              </w:rPr>
            </w:pPr>
            <w:r>
              <w:rPr>
                <w:sz w:val="18"/>
              </w:rPr>
              <w:t>5</w:t>
            </w:r>
            <w:r>
              <w:rPr>
                <w:spacing w:val="-2"/>
                <w:sz w:val="18"/>
              </w:rPr>
              <w:t xml:space="preserve"> provinces</w:t>
            </w:r>
          </w:p>
        </w:tc>
        <w:tc>
          <w:tcPr>
            <w:tcW w:w="1341" w:type="dxa"/>
            <w:tcBorders>
              <w:top w:val="single" w:sz="4" w:space="0" w:color="BEBEBE"/>
              <w:bottom w:val="single" w:sz="4" w:space="0" w:color="BEBEBE"/>
            </w:tcBorders>
          </w:tcPr>
          <w:p w14:paraId="55A5BE41" w14:textId="77777777" w:rsidR="00BC24A8" w:rsidRDefault="00000000">
            <w:pPr>
              <w:pStyle w:val="TableParagraph"/>
              <w:spacing w:before="66"/>
              <w:ind w:left="214" w:right="219"/>
              <w:rPr>
                <w:sz w:val="18"/>
              </w:rPr>
            </w:pPr>
            <w:r>
              <w:rPr>
                <w:sz w:val="18"/>
              </w:rPr>
              <w:t>No</w:t>
            </w:r>
            <w:r>
              <w:rPr>
                <w:spacing w:val="-11"/>
                <w:sz w:val="18"/>
              </w:rPr>
              <w:t xml:space="preserve"> </w:t>
            </w:r>
            <w:r>
              <w:rPr>
                <w:sz w:val="18"/>
              </w:rPr>
              <w:t>evidence available</w:t>
            </w:r>
            <w:r>
              <w:rPr>
                <w:spacing w:val="-1"/>
                <w:sz w:val="18"/>
              </w:rPr>
              <w:t xml:space="preserve"> </w:t>
            </w:r>
            <w:r>
              <w:rPr>
                <w:spacing w:val="-5"/>
                <w:sz w:val="18"/>
              </w:rPr>
              <w:t>yet</w:t>
            </w:r>
          </w:p>
        </w:tc>
        <w:tc>
          <w:tcPr>
            <w:tcW w:w="2187" w:type="dxa"/>
            <w:tcBorders>
              <w:top w:val="single" w:sz="4" w:space="0" w:color="BEBEBE"/>
              <w:bottom w:val="single" w:sz="4" w:space="0" w:color="BEBEBE"/>
            </w:tcBorders>
          </w:tcPr>
          <w:p w14:paraId="52809762" w14:textId="77777777" w:rsidR="00BC24A8" w:rsidRDefault="00000000">
            <w:pPr>
              <w:pStyle w:val="TableParagraph"/>
              <w:spacing w:before="66"/>
              <w:ind w:left="224" w:right="120"/>
              <w:rPr>
                <w:sz w:val="18"/>
              </w:rPr>
            </w:pPr>
            <w:r>
              <w:rPr>
                <w:sz w:val="18"/>
              </w:rPr>
              <w:t>Four provinces (NTT,</w:t>
            </w:r>
            <w:r>
              <w:rPr>
                <w:spacing w:val="40"/>
                <w:sz w:val="18"/>
              </w:rPr>
              <w:t xml:space="preserve"> </w:t>
            </w:r>
            <w:r>
              <w:rPr>
                <w:sz w:val="18"/>
              </w:rPr>
              <w:t>NTB, Kaltara, Maluku) have</w:t>
            </w:r>
            <w:r>
              <w:rPr>
                <w:spacing w:val="-10"/>
                <w:sz w:val="18"/>
              </w:rPr>
              <w:t xml:space="preserve"> </w:t>
            </w:r>
            <w:r>
              <w:rPr>
                <w:sz w:val="18"/>
              </w:rPr>
              <w:t>the</w:t>
            </w:r>
            <w:r>
              <w:rPr>
                <w:spacing w:val="-10"/>
                <w:sz w:val="18"/>
              </w:rPr>
              <w:t xml:space="preserve"> </w:t>
            </w:r>
            <w:r>
              <w:rPr>
                <w:sz w:val="18"/>
              </w:rPr>
              <w:t>final</w:t>
            </w:r>
            <w:r>
              <w:rPr>
                <w:spacing w:val="-9"/>
                <w:sz w:val="18"/>
              </w:rPr>
              <w:t xml:space="preserve"> </w:t>
            </w:r>
            <w:r>
              <w:rPr>
                <w:sz w:val="18"/>
              </w:rPr>
              <w:t>MSS</w:t>
            </w:r>
            <w:r>
              <w:rPr>
                <w:spacing w:val="-10"/>
                <w:sz w:val="18"/>
              </w:rPr>
              <w:t xml:space="preserve"> </w:t>
            </w:r>
            <w:r>
              <w:rPr>
                <w:sz w:val="18"/>
              </w:rPr>
              <w:t>Action Plan, while one is still a draft (Gorontalo). They are incorporating MSS</w:t>
            </w:r>
          </w:p>
        </w:tc>
      </w:tr>
    </w:tbl>
    <w:p w14:paraId="6A534FCE" w14:textId="77777777" w:rsidR="00BC24A8" w:rsidRDefault="00BC24A8">
      <w:pPr>
        <w:pStyle w:val="TableParagraph"/>
        <w:rPr>
          <w:sz w:val="18"/>
        </w:rPr>
        <w:sectPr w:rsidR="00BC24A8">
          <w:type w:val="continuous"/>
          <w:pgSz w:w="11910" w:h="16840"/>
          <w:pgMar w:top="1380" w:right="850" w:bottom="1100" w:left="1275" w:header="0" w:footer="907" w:gutter="0"/>
          <w:cols w:space="720"/>
        </w:sectPr>
      </w:pPr>
    </w:p>
    <w:p w14:paraId="19298E72" w14:textId="77777777" w:rsidR="00BC24A8" w:rsidRDefault="00BC24A8">
      <w:pPr>
        <w:pStyle w:val="BodyText"/>
        <w:spacing w:before="5"/>
        <w:rPr>
          <w:rFonts w:ascii="Trebuchet MS"/>
          <w:b/>
          <w:sz w:val="3"/>
        </w:rPr>
      </w:pPr>
    </w:p>
    <w:p w14:paraId="6A4A6183" w14:textId="77777777" w:rsidR="00BC24A8" w:rsidRDefault="00000000">
      <w:pPr>
        <w:pStyle w:val="BodyText"/>
        <w:spacing w:line="20" w:lineRule="exact"/>
        <w:ind w:left="143"/>
        <w:rPr>
          <w:rFonts w:ascii="Trebuchet MS"/>
          <w:sz w:val="2"/>
        </w:rPr>
      </w:pPr>
      <w:r>
        <w:rPr>
          <w:rFonts w:ascii="Trebuchet MS"/>
          <w:noProof/>
          <w:sz w:val="2"/>
        </w:rPr>
        <mc:AlternateContent>
          <mc:Choice Requires="wpg">
            <w:drawing>
              <wp:inline distT="0" distB="0" distL="0" distR="0" wp14:anchorId="584A20F8" wp14:editId="11D9CD0F">
                <wp:extent cx="5773420" cy="6350"/>
                <wp:effectExtent l="0" t="0" r="0" b="0"/>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6350"/>
                          <a:chOff x="0" y="0"/>
                          <a:chExt cx="5773420" cy="6350"/>
                        </a:xfrm>
                      </wpg:grpSpPr>
                      <wps:wsp>
                        <wps:cNvPr id="61" name="Graphic 61"/>
                        <wps:cNvSpPr/>
                        <wps:spPr>
                          <a:xfrm>
                            <a:off x="0" y="0"/>
                            <a:ext cx="5773420" cy="6350"/>
                          </a:xfrm>
                          <a:custGeom>
                            <a:avLst/>
                            <a:gdLst/>
                            <a:ahLst/>
                            <a:cxnLst/>
                            <a:rect l="l" t="t" r="r" b="b"/>
                            <a:pathLst>
                              <a:path w="5773420" h="6350">
                                <a:moveTo>
                                  <a:pt x="1034783" y="0"/>
                                </a:moveTo>
                                <a:lnTo>
                                  <a:pt x="1028700" y="0"/>
                                </a:lnTo>
                                <a:lnTo>
                                  <a:pt x="0" y="0"/>
                                </a:lnTo>
                                <a:lnTo>
                                  <a:pt x="0" y="6108"/>
                                </a:lnTo>
                                <a:lnTo>
                                  <a:pt x="1028700" y="6108"/>
                                </a:lnTo>
                                <a:lnTo>
                                  <a:pt x="1034783" y="6108"/>
                                </a:lnTo>
                                <a:lnTo>
                                  <a:pt x="1034783" y="0"/>
                                </a:lnTo>
                                <a:close/>
                              </a:path>
                              <a:path w="5773420" h="6350">
                                <a:moveTo>
                                  <a:pt x="1949183" y="0"/>
                                </a:moveTo>
                                <a:lnTo>
                                  <a:pt x="1943100" y="0"/>
                                </a:lnTo>
                                <a:lnTo>
                                  <a:pt x="1034796" y="0"/>
                                </a:lnTo>
                                <a:lnTo>
                                  <a:pt x="1034796" y="6108"/>
                                </a:lnTo>
                                <a:lnTo>
                                  <a:pt x="1943100" y="6108"/>
                                </a:lnTo>
                                <a:lnTo>
                                  <a:pt x="1949183" y="6108"/>
                                </a:lnTo>
                                <a:lnTo>
                                  <a:pt x="1949183" y="0"/>
                                </a:lnTo>
                                <a:close/>
                              </a:path>
                              <a:path w="5773420" h="6350">
                                <a:moveTo>
                                  <a:pt x="4457687" y="0"/>
                                </a:moveTo>
                                <a:lnTo>
                                  <a:pt x="4457687" y="0"/>
                                </a:lnTo>
                                <a:lnTo>
                                  <a:pt x="1949196" y="0"/>
                                </a:lnTo>
                                <a:lnTo>
                                  <a:pt x="1949196" y="6108"/>
                                </a:lnTo>
                                <a:lnTo>
                                  <a:pt x="4457687" y="6108"/>
                                </a:lnTo>
                                <a:lnTo>
                                  <a:pt x="4457687" y="0"/>
                                </a:lnTo>
                                <a:close/>
                              </a:path>
                              <a:path w="5773420" h="6350">
                                <a:moveTo>
                                  <a:pt x="5772924" y="0"/>
                                </a:moveTo>
                                <a:lnTo>
                                  <a:pt x="4463796" y="0"/>
                                </a:lnTo>
                                <a:lnTo>
                                  <a:pt x="4457700" y="0"/>
                                </a:lnTo>
                                <a:lnTo>
                                  <a:pt x="4457700" y="6108"/>
                                </a:lnTo>
                                <a:lnTo>
                                  <a:pt x="4463796" y="6108"/>
                                </a:lnTo>
                                <a:lnTo>
                                  <a:pt x="5772924" y="6108"/>
                                </a:lnTo>
                                <a:lnTo>
                                  <a:pt x="5772924" y="0"/>
                                </a:lnTo>
                                <a:close/>
                              </a:path>
                            </a:pathLst>
                          </a:custGeom>
                          <a:solidFill>
                            <a:srgbClr val="BEBEBE"/>
                          </a:solidFill>
                        </wps:spPr>
                        <wps:bodyPr wrap="square" lIns="0" tIns="0" rIns="0" bIns="0" rtlCol="0">
                          <a:prstTxWarp prst="textNoShape">
                            <a:avLst/>
                          </a:prstTxWarp>
                          <a:noAutofit/>
                        </wps:bodyPr>
                      </wps:wsp>
                    </wpg:wgp>
                  </a:graphicData>
                </a:graphic>
              </wp:inline>
            </w:drawing>
          </mc:Choice>
          <mc:Fallback>
            <w:pict>
              <v:group w14:anchorId="70305A61" id="Group 60" o:spid="_x0000_s1026" alt="&quot;&quot;" style="width:454.6pt;height:.5pt;mso-position-horizontal-relative:char;mso-position-vertical-relative:line" coordsize="577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">
                <v:shape id="Graphic 61" o:spid="_x0000_s1027" style="position:absolute;width:57734;height:63;visibility:visible;mso-wrap-style:square;v-text-anchor:top" coordsize="57734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" path="m1034783,r-6083,l,,,6108r1028700,l1034783,6108r,-6108xem1949183,r-6083,l1034796,r,6108l1943100,6108r6083,l1949183,xem4457687,r,l1949196,r,6108l4457687,6108r,-6108xem5772924,l4463796,r-6096,l4457700,6108r6096,l5772924,6108r,-6108xe" fillcolor="#bebebe" stroked="f">
                  <v:path arrowok="t"/>
                </v:shape>
                <w10:anchorlock/>
              </v:group>
            </w:pict>
          </mc:Fallback>
        </mc:AlternateContent>
      </w:r>
    </w:p>
    <w:p w14:paraId="428BBDF9" w14:textId="77777777" w:rsidR="00BC24A8" w:rsidRDefault="00000000">
      <w:pPr>
        <w:spacing w:after="50"/>
        <w:ind w:left="7271" w:right="648"/>
        <w:rPr>
          <w:sz w:val="18"/>
        </w:rPr>
      </w:pPr>
      <w:r>
        <w:rPr>
          <w:sz w:val="18"/>
        </w:rPr>
        <w:t>Action</w:t>
      </w:r>
      <w:r>
        <w:rPr>
          <w:spacing w:val="-11"/>
          <w:sz w:val="18"/>
        </w:rPr>
        <w:t xml:space="preserve"> </w:t>
      </w:r>
      <w:r>
        <w:rPr>
          <w:sz w:val="18"/>
        </w:rPr>
        <w:t>Plan</w:t>
      </w:r>
      <w:r>
        <w:rPr>
          <w:spacing w:val="-10"/>
          <w:sz w:val="18"/>
        </w:rPr>
        <w:t xml:space="preserve"> </w:t>
      </w:r>
      <w:r>
        <w:rPr>
          <w:sz w:val="18"/>
        </w:rPr>
        <w:t>into</w:t>
      </w:r>
      <w:r>
        <w:rPr>
          <w:spacing w:val="-10"/>
          <w:sz w:val="18"/>
        </w:rPr>
        <w:t xml:space="preserve"> </w:t>
      </w:r>
      <w:r>
        <w:rPr>
          <w:sz w:val="18"/>
        </w:rPr>
        <w:t>2026 RKPD and RPJMD.</w:t>
      </w:r>
    </w:p>
    <w:tbl>
      <w:tblPr>
        <w:tblW w:w="0" w:type="auto"/>
        <w:tblInd w:w="143" w:type="dxa"/>
        <w:tblLayout w:type="fixed"/>
        <w:tblCellMar>
          <w:left w:w="0" w:type="dxa"/>
          <w:right w:w="0" w:type="dxa"/>
        </w:tblCellMar>
        <w:tblLook w:val="01E0" w:firstRow="1" w:lastRow="1" w:firstColumn="1" w:lastColumn="1" w:noHBand="0" w:noVBand="0"/>
      </w:tblPr>
      <w:tblGrid>
        <w:gridCol w:w="1621"/>
        <w:gridCol w:w="1249"/>
        <w:gridCol w:w="1350"/>
        <w:gridCol w:w="1392"/>
        <w:gridCol w:w="1258"/>
        <w:gridCol w:w="2229"/>
      </w:tblGrid>
      <w:tr w:rsidR="00BC24A8" w14:paraId="74D83CBC" w14:textId="77777777">
        <w:trPr>
          <w:trHeight w:val="2543"/>
        </w:trPr>
        <w:tc>
          <w:tcPr>
            <w:tcW w:w="1621" w:type="dxa"/>
            <w:tcBorders>
              <w:top w:val="single" w:sz="4" w:space="0" w:color="BEBEBE"/>
              <w:bottom w:val="single" w:sz="4" w:space="0" w:color="BEBEBE"/>
            </w:tcBorders>
          </w:tcPr>
          <w:p w14:paraId="0603DC11" w14:textId="77777777" w:rsidR="00BC24A8" w:rsidRDefault="00000000">
            <w:pPr>
              <w:pStyle w:val="TableParagraph"/>
              <w:spacing w:before="61"/>
              <w:ind w:left="115" w:right="162"/>
              <w:rPr>
                <w:sz w:val="18"/>
              </w:rPr>
            </w:pPr>
            <w:r>
              <w:rPr>
                <w:sz w:val="18"/>
              </w:rPr>
              <w:t>IO</w:t>
            </w:r>
            <w:r>
              <w:rPr>
                <w:spacing w:val="-7"/>
                <w:sz w:val="18"/>
              </w:rPr>
              <w:t xml:space="preserve"> </w:t>
            </w:r>
            <w:r>
              <w:rPr>
                <w:sz w:val="18"/>
              </w:rPr>
              <w:t>4.5.</w:t>
            </w:r>
            <w:r>
              <w:rPr>
                <w:spacing w:val="-7"/>
                <w:sz w:val="18"/>
              </w:rPr>
              <w:t xml:space="preserve"> </w:t>
            </w:r>
            <w:r>
              <w:rPr>
                <w:sz w:val="18"/>
              </w:rPr>
              <w:t>Planning</w:t>
            </w:r>
            <w:r>
              <w:rPr>
                <w:spacing w:val="-7"/>
                <w:sz w:val="18"/>
              </w:rPr>
              <w:t xml:space="preserve"> </w:t>
            </w:r>
            <w:r>
              <w:rPr>
                <w:sz w:val="18"/>
              </w:rPr>
              <w:t>of fiscal transfers (TKD)</w:t>
            </w:r>
            <w:r>
              <w:rPr>
                <w:spacing w:val="-2"/>
                <w:sz w:val="18"/>
              </w:rPr>
              <w:t xml:space="preserve"> </w:t>
            </w:r>
            <w:r>
              <w:rPr>
                <w:sz w:val="18"/>
              </w:rPr>
              <w:t>optimised for delivery of basic</w:t>
            </w:r>
            <w:r>
              <w:rPr>
                <w:spacing w:val="-11"/>
                <w:sz w:val="18"/>
              </w:rPr>
              <w:t xml:space="preserve"> </w:t>
            </w:r>
            <w:r>
              <w:rPr>
                <w:sz w:val="18"/>
              </w:rPr>
              <w:t>services</w:t>
            </w:r>
            <w:r>
              <w:rPr>
                <w:spacing w:val="-10"/>
                <w:sz w:val="18"/>
              </w:rPr>
              <w:t xml:space="preserve"> </w:t>
            </w:r>
            <w:r>
              <w:rPr>
                <w:sz w:val="18"/>
              </w:rPr>
              <w:t>with SKALA</w:t>
            </w:r>
            <w:r>
              <w:rPr>
                <w:spacing w:val="-2"/>
                <w:sz w:val="18"/>
              </w:rPr>
              <w:t xml:space="preserve"> </w:t>
            </w:r>
            <w:r>
              <w:rPr>
                <w:sz w:val="18"/>
              </w:rPr>
              <w:t>support.</w:t>
            </w:r>
          </w:p>
        </w:tc>
        <w:tc>
          <w:tcPr>
            <w:tcW w:w="1249" w:type="dxa"/>
            <w:tcBorders>
              <w:top w:val="single" w:sz="4" w:space="0" w:color="BEBEBE"/>
              <w:bottom w:val="single" w:sz="4" w:space="0" w:color="BEBEBE"/>
            </w:tcBorders>
          </w:tcPr>
          <w:p w14:paraId="5D1E2D26" w14:textId="77777777" w:rsidR="00BC24A8" w:rsidRDefault="00000000">
            <w:pPr>
              <w:pStyle w:val="TableParagraph"/>
              <w:spacing w:before="66"/>
              <w:ind w:left="114"/>
              <w:rPr>
                <w:sz w:val="18"/>
              </w:rPr>
            </w:pPr>
            <w:r>
              <w:rPr>
                <w:sz w:val="18"/>
              </w:rPr>
              <w:t xml:space="preserve">1 </w:t>
            </w:r>
            <w:r>
              <w:rPr>
                <w:spacing w:val="-2"/>
                <w:sz w:val="18"/>
              </w:rPr>
              <w:t>province</w:t>
            </w:r>
          </w:p>
        </w:tc>
        <w:tc>
          <w:tcPr>
            <w:tcW w:w="1350" w:type="dxa"/>
            <w:tcBorders>
              <w:top w:val="single" w:sz="4" w:space="0" w:color="BEBEBE"/>
              <w:bottom w:val="single" w:sz="4" w:space="0" w:color="BEBEBE"/>
            </w:tcBorders>
          </w:tcPr>
          <w:p w14:paraId="69B6F4C0" w14:textId="77777777" w:rsidR="00BC24A8" w:rsidRDefault="00000000">
            <w:pPr>
              <w:pStyle w:val="TableParagraph"/>
              <w:spacing w:before="66"/>
              <w:ind w:left="305"/>
              <w:rPr>
                <w:sz w:val="18"/>
              </w:rPr>
            </w:pPr>
            <w:r>
              <w:rPr>
                <w:sz w:val="18"/>
              </w:rPr>
              <w:t>2</w:t>
            </w:r>
            <w:r>
              <w:rPr>
                <w:spacing w:val="-2"/>
                <w:sz w:val="18"/>
              </w:rPr>
              <w:t xml:space="preserve"> provinces</w:t>
            </w:r>
          </w:p>
        </w:tc>
        <w:tc>
          <w:tcPr>
            <w:tcW w:w="1392" w:type="dxa"/>
            <w:tcBorders>
              <w:top w:val="single" w:sz="4" w:space="0" w:color="BEBEBE"/>
              <w:bottom w:val="single" w:sz="4" w:space="0" w:color="BEBEBE"/>
            </w:tcBorders>
          </w:tcPr>
          <w:p w14:paraId="2AD863CF" w14:textId="77777777" w:rsidR="00BC24A8" w:rsidRDefault="00000000">
            <w:pPr>
              <w:pStyle w:val="TableParagraph"/>
              <w:spacing w:before="66"/>
              <w:ind w:left="215"/>
              <w:rPr>
                <w:sz w:val="18"/>
              </w:rPr>
            </w:pPr>
            <w:r>
              <w:rPr>
                <w:sz w:val="18"/>
              </w:rPr>
              <w:t>7</w:t>
            </w:r>
            <w:r>
              <w:rPr>
                <w:spacing w:val="-2"/>
                <w:sz w:val="18"/>
              </w:rPr>
              <w:t xml:space="preserve"> provinces</w:t>
            </w:r>
          </w:p>
        </w:tc>
        <w:tc>
          <w:tcPr>
            <w:tcW w:w="1258" w:type="dxa"/>
            <w:tcBorders>
              <w:top w:val="single" w:sz="4" w:space="0" w:color="BEBEBE"/>
              <w:bottom w:val="single" w:sz="4" w:space="0" w:color="BEBEBE"/>
            </w:tcBorders>
          </w:tcPr>
          <w:p w14:paraId="4A79D1EB" w14:textId="77777777" w:rsidR="00BC24A8" w:rsidRDefault="00000000">
            <w:pPr>
              <w:pStyle w:val="TableParagraph"/>
              <w:spacing w:before="66"/>
              <w:ind w:left="172"/>
              <w:rPr>
                <w:sz w:val="18"/>
              </w:rPr>
            </w:pPr>
            <w:r>
              <w:rPr>
                <w:sz w:val="18"/>
              </w:rPr>
              <w:t>3</w:t>
            </w:r>
            <w:r>
              <w:rPr>
                <w:spacing w:val="-2"/>
                <w:sz w:val="18"/>
              </w:rPr>
              <w:t xml:space="preserve"> provinces</w:t>
            </w:r>
          </w:p>
        </w:tc>
        <w:tc>
          <w:tcPr>
            <w:tcW w:w="2229" w:type="dxa"/>
            <w:tcBorders>
              <w:top w:val="single" w:sz="4" w:space="0" w:color="BEBEBE"/>
              <w:bottom w:val="single" w:sz="4" w:space="0" w:color="BEBEBE"/>
            </w:tcBorders>
          </w:tcPr>
          <w:p w14:paraId="3E76F66B" w14:textId="77777777" w:rsidR="00BC24A8" w:rsidRDefault="00000000">
            <w:pPr>
              <w:pStyle w:val="TableParagraph"/>
              <w:spacing w:before="66"/>
              <w:ind w:left="265" w:right="109"/>
              <w:rPr>
                <w:sz w:val="18"/>
              </w:rPr>
            </w:pPr>
            <w:r>
              <w:rPr>
                <w:sz w:val="18"/>
              </w:rPr>
              <w:t>Data</w:t>
            </w:r>
            <w:r>
              <w:rPr>
                <w:spacing w:val="-4"/>
                <w:sz w:val="18"/>
              </w:rPr>
              <w:t xml:space="preserve"> </w:t>
            </w:r>
            <w:r>
              <w:rPr>
                <w:sz w:val="18"/>
              </w:rPr>
              <w:t>collection</w:t>
            </w:r>
            <w:r>
              <w:rPr>
                <w:spacing w:val="-3"/>
                <w:sz w:val="18"/>
              </w:rPr>
              <w:t xml:space="preserve"> </w:t>
            </w:r>
            <w:r>
              <w:rPr>
                <w:sz w:val="18"/>
              </w:rPr>
              <w:t>regarding the use of DAU Earmarked (SG) for 2023 to 2025 in six provinces showed that the proportion</w:t>
            </w:r>
            <w:r>
              <w:rPr>
                <w:spacing w:val="-4"/>
                <w:sz w:val="18"/>
              </w:rPr>
              <w:t xml:space="preserve"> </w:t>
            </w:r>
            <w:r>
              <w:rPr>
                <w:sz w:val="18"/>
              </w:rPr>
              <w:t>of</w:t>
            </w:r>
            <w:r>
              <w:rPr>
                <w:spacing w:val="-5"/>
                <w:sz w:val="18"/>
              </w:rPr>
              <w:t xml:space="preserve"> </w:t>
            </w:r>
            <w:r>
              <w:rPr>
                <w:sz w:val="18"/>
              </w:rPr>
              <w:t>DAU</w:t>
            </w:r>
            <w:r>
              <w:rPr>
                <w:spacing w:val="-4"/>
                <w:sz w:val="18"/>
              </w:rPr>
              <w:t xml:space="preserve"> </w:t>
            </w:r>
            <w:r>
              <w:rPr>
                <w:sz w:val="18"/>
              </w:rPr>
              <w:t>SG</w:t>
            </w:r>
            <w:r>
              <w:rPr>
                <w:spacing w:val="-4"/>
                <w:sz w:val="18"/>
              </w:rPr>
              <w:t xml:space="preserve"> </w:t>
            </w:r>
            <w:r>
              <w:rPr>
                <w:sz w:val="18"/>
              </w:rPr>
              <w:t>for MSS</w:t>
            </w:r>
            <w:r>
              <w:rPr>
                <w:spacing w:val="-10"/>
                <w:sz w:val="18"/>
              </w:rPr>
              <w:t xml:space="preserve"> </w:t>
            </w:r>
            <w:r>
              <w:rPr>
                <w:sz w:val="18"/>
              </w:rPr>
              <w:t>where</w:t>
            </w:r>
            <w:r>
              <w:rPr>
                <w:spacing w:val="-10"/>
                <w:sz w:val="18"/>
              </w:rPr>
              <w:t xml:space="preserve"> </w:t>
            </w:r>
            <w:r>
              <w:rPr>
                <w:sz w:val="18"/>
              </w:rPr>
              <w:t>flux,</w:t>
            </w:r>
            <w:r>
              <w:rPr>
                <w:spacing w:val="-11"/>
                <w:sz w:val="18"/>
              </w:rPr>
              <w:t xml:space="preserve"> </w:t>
            </w:r>
            <w:r>
              <w:rPr>
                <w:sz w:val="18"/>
              </w:rPr>
              <w:t>only</w:t>
            </w:r>
            <w:r>
              <w:rPr>
                <w:spacing w:val="-9"/>
                <w:sz w:val="18"/>
              </w:rPr>
              <w:t xml:space="preserve"> </w:t>
            </w:r>
            <w:r>
              <w:rPr>
                <w:sz w:val="18"/>
              </w:rPr>
              <w:t xml:space="preserve">NTB and Maluku have consistently increased their DAU SG for </w:t>
            </w:r>
            <w:r>
              <w:rPr>
                <w:spacing w:val="-2"/>
                <w:sz w:val="18"/>
              </w:rPr>
              <w:t>education.</w:t>
            </w:r>
          </w:p>
        </w:tc>
      </w:tr>
      <w:tr w:rsidR="00BC24A8" w14:paraId="59C433C1" w14:textId="77777777">
        <w:trPr>
          <w:trHeight w:val="3640"/>
        </w:trPr>
        <w:tc>
          <w:tcPr>
            <w:tcW w:w="1621" w:type="dxa"/>
            <w:tcBorders>
              <w:top w:val="single" w:sz="4" w:space="0" w:color="BEBEBE"/>
              <w:bottom w:val="single" w:sz="4" w:space="0" w:color="BEBEBE"/>
            </w:tcBorders>
          </w:tcPr>
          <w:p w14:paraId="269EFEA5" w14:textId="77777777" w:rsidR="00BC24A8" w:rsidRDefault="00000000">
            <w:pPr>
              <w:pStyle w:val="TableParagraph"/>
              <w:spacing w:before="61"/>
              <w:ind w:left="115" w:right="162"/>
              <w:rPr>
                <w:sz w:val="18"/>
              </w:rPr>
            </w:pPr>
            <w:r>
              <w:rPr>
                <w:sz w:val="18"/>
              </w:rPr>
              <w:t>IO</w:t>
            </w:r>
            <w:r>
              <w:rPr>
                <w:spacing w:val="-11"/>
                <w:sz w:val="18"/>
              </w:rPr>
              <w:t xml:space="preserve"> </w:t>
            </w:r>
            <w:r>
              <w:rPr>
                <w:sz w:val="18"/>
              </w:rPr>
              <w:t>4.6.</w:t>
            </w:r>
            <w:r>
              <w:rPr>
                <w:spacing w:val="-10"/>
                <w:sz w:val="18"/>
              </w:rPr>
              <w:t xml:space="preserve"> </w:t>
            </w:r>
            <w:r>
              <w:rPr>
                <w:sz w:val="18"/>
              </w:rPr>
              <w:t>Number</w:t>
            </w:r>
            <w:r>
              <w:rPr>
                <w:spacing w:val="-10"/>
                <w:sz w:val="18"/>
              </w:rPr>
              <w:t xml:space="preserve"> </w:t>
            </w:r>
            <w:r>
              <w:rPr>
                <w:sz w:val="18"/>
              </w:rPr>
              <w:t>of OTSUS provinces with on-time planning</w:t>
            </w:r>
            <w:r>
              <w:rPr>
                <w:spacing w:val="-2"/>
                <w:sz w:val="18"/>
              </w:rPr>
              <w:t xml:space="preserve"> </w:t>
            </w:r>
            <w:r>
              <w:rPr>
                <w:sz w:val="18"/>
              </w:rPr>
              <w:t xml:space="preserve">and </w:t>
            </w:r>
            <w:r>
              <w:rPr>
                <w:spacing w:val="-2"/>
                <w:sz w:val="18"/>
              </w:rPr>
              <w:t>budgeting</w:t>
            </w:r>
            <w:r>
              <w:rPr>
                <w:sz w:val="18"/>
              </w:rPr>
              <w:t xml:space="preserve"> </w:t>
            </w:r>
            <w:r>
              <w:rPr>
                <w:spacing w:val="-2"/>
                <w:sz w:val="18"/>
              </w:rPr>
              <w:t>documents</w:t>
            </w:r>
          </w:p>
        </w:tc>
        <w:tc>
          <w:tcPr>
            <w:tcW w:w="1249" w:type="dxa"/>
            <w:tcBorders>
              <w:top w:val="single" w:sz="4" w:space="0" w:color="BEBEBE"/>
              <w:bottom w:val="single" w:sz="4" w:space="0" w:color="BEBEBE"/>
            </w:tcBorders>
          </w:tcPr>
          <w:p w14:paraId="3C9BCDA5" w14:textId="77777777" w:rsidR="00BC24A8" w:rsidRDefault="00000000">
            <w:pPr>
              <w:pStyle w:val="TableParagraph"/>
              <w:spacing w:before="66"/>
              <w:ind w:left="114"/>
              <w:rPr>
                <w:sz w:val="18"/>
              </w:rPr>
            </w:pPr>
            <w:r>
              <w:rPr>
                <w:sz w:val="18"/>
              </w:rPr>
              <w:t>2</w:t>
            </w:r>
            <w:r>
              <w:rPr>
                <w:spacing w:val="-2"/>
                <w:sz w:val="18"/>
              </w:rPr>
              <w:t xml:space="preserve"> provinces</w:t>
            </w:r>
          </w:p>
        </w:tc>
        <w:tc>
          <w:tcPr>
            <w:tcW w:w="1350" w:type="dxa"/>
            <w:tcBorders>
              <w:top w:val="single" w:sz="4" w:space="0" w:color="BEBEBE"/>
              <w:bottom w:val="single" w:sz="4" w:space="0" w:color="BEBEBE"/>
            </w:tcBorders>
          </w:tcPr>
          <w:p w14:paraId="402CF447" w14:textId="77777777" w:rsidR="00BC24A8" w:rsidRDefault="00000000">
            <w:pPr>
              <w:pStyle w:val="TableParagraph"/>
              <w:spacing w:before="66"/>
              <w:ind w:left="305"/>
              <w:rPr>
                <w:sz w:val="18"/>
              </w:rPr>
            </w:pPr>
            <w:r>
              <w:rPr>
                <w:spacing w:val="-10"/>
                <w:sz w:val="18"/>
              </w:rPr>
              <w:t>0</w:t>
            </w:r>
          </w:p>
        </w:tc>
        <w:tc>
          <w:tcPr>
            <w:tcW w:w="1392" w:type="dxa"/>
            <w:tcBorders>
              <w:top w:val="single" w:sz="4" w:space="0" w:color="BEBEBE"/>
              <w:bottom w:val="single" w:sz="4" w:space="0" w:color="BEBEBE"/>
            </w:tcBorders>
          </w:tcPr>
          <w:p w14:paraId="17A4309F" w14:textId="77777777" w:rsidR="00BC24A8" w:rsidRDefault="00000000">
            <w:pPr>
              <w:pStyle w:val="TableParagraph"/>
              <w:spacing w:before="66"/>
              <w:ind w:left="215"/>
              <w:rPr>
                <w:sz w:val="18"/>
              </w:rPr>
            </w:pPr>
            <w:r>
              <w:rPr>
                <w:sz w:val="18"/>
              </w:rPr>
              <w:t>6</w:t>
            </w:r>
            <w:r>
              <w:rPr>
                <w:spacing w:val="-11"/>
                <w:sz w:val="18"/>
              </w:rPr>
              <w:t xml:space="preserve"> </w:t>
            </w:r>
            <w:r>
              <w:rPr>
                <w:sz w:val="18"/>
              </w:rPr>
              <w:t>provinces</w:t>
            </w:r>
            <w:r>
              <w:rPr>
                <w:spacing w:val="-10"/>
                <w:sz w:val="18"/>
              </w:rPr>
              <w:t xml:space="preserve"> </w:t>
            </w:r>
            <w:r>
              <w:rPr>
                <w:sz w:val="18"/>
              </w:rPr>
              <w:t>in Tanah Papua</w:t>
            </w:r>
          </w:p>
        </w:tc>
        <w:tc>
          <w:tcPr>
            <w:tcW w:w="1258" w:type="dxa"/>
            <w:tcBorders>
              <w:top w:val="single" w:sz="4" w:space="0" w:color="BEBEBE"/>
              <w:bottom w:val="single" w:sz="4" w:space="0" w:color="BEBEBE"/>
            </w:tcBorders>
          </w:tcPr>
          <w:p w14:paraId="10E9FBA9" w14:textId="77777777" w:rsidR="00BC24A8" w:rsidRDefault="00000000">
            <w:pPr>
              <w:pStyle w:val="TableParagraph"/>
              <w:spacing w:before="66"/>
              <w:ind w:left="172"/>
              <w:rPr>
                <w:sz w:val="18"/>
              </w:rPr>
            </w:pPr>
            <w:r>
              <w:rPr>
                <w:sz w:val="18"/>
              </w:rPr>
              <w:t>2</w:t>
            </w:r>
            <w:r>
              <w:rPr>
                <w:spacing w:val="-2"/>
                <w:sz w:val="18"/>
              </w:rPr>
              <w:t xml:space="preserve"> provinces</w:t>
            </w:r>
          </w:p>
        </w:tc>
        <w:tc>
          <w:tcPr>
            <w:tcW w:w="2229" w:type="dxa"/>
            <w:tcBorders>
              <w:top w:val="single" w:sz="4" w:space="0" w:color="BEBEBE"/>
              <w:bottom w:val="single" w:sz="4" w:space="0" w:color="BEBEBE"/>
            </w:tcBorders>
          </w:tcPr>
          <w:p w14:paraId="7B684933" w14:textId="77777777" w:rsidR="00BC24A8" w:rsidRDefault="00000000">
            <w:pPr>
              <w:pStyle w:val="TableParagraph"/>
              <w:spacing w:before="66"/>
              <w:ind w:left="265" w:right="151"/>
              <w:rPr>
                <w:sz w:val="18"/>
              </w:rPr>
            </w:pPr>
            <w:r>
              <w:rPr>
                <w:sz w:val="18"/>
              </w:rPr>
              <w:t>The</w:t>
            </w:r>
            <w:r>
              <w:rPr>
                <w:spacing w:val="-9"/>
                <w:sz w:val="18"/>
              </w:rPr>
              <w:t xml:space="preserve"> </w:t>
            </w:r>
            <w:r>
              <w:rPr>
                <w:sz w:val="18"/>
              </w:rPr>
              <w:t>2025</w:t>
            </w:r>
            <w:r>
              <w:rPr>
                <w:spacing w:val="-9"/>
                <w:sz w:val="18"/>
              </w:rPr>
              <w:t xml:space="preserve"> </w:t>
            </w:r>
            <w:r>
              <w:rPr>
                <w:sz w:val="18"/>
              </w:rPr>
              <w:t>RAP</w:t>
            </w:r>
            <w:r>
              <w:rPr>
                <w:spacing w:val="-10"/>
                <w:sz w:val="18"/>
              </w:rPr>
              <w:t xml:space="preserve"> </w:t>
            </w:r>
            <w:r>
              <w:rPr>
                <w:sz w:val="18"/>
              </w:rPr>
              <w:t>start</w:t>
            </w:r>
            <w:r>
              <w:rPr>
                <w:spacing w:val="-9"/>
                <w:sz w:val="18"/>
              </w:rPr>
              <w:t xml:space="preserve"> </w:t>
            </w:r>
            <w:r>
              <w:rPr>
                <w:sz w:val="18"/>
              </w:rPr>
              <w:t>using the new Otsus MoF Regulation (PMK 33/2024) and it creates new challenges in Otsus planning process which resulted in none of the province</w:t>
            </w:r>
            <w:r>
              <w:rPr>
                <w:spacing w:val="-11"/>
                <w:sz w:val="18"/>
              </w:rPr>
              <w:t xml:space="preserve"> </w:t>
            </w:r>
            <w:r>
              <w:rPr>
                <w:sz w:val="18"/>
              </w:rPr>
              <w:t>have</w:t>
            </w:r>
            <w:r>
              <w:rPr>
                <w:spacing w:val="-10"/>
                <w:sz w:val="18"/>
              </w:rPr>
              <w:t xml:space="preserve"> </w:t>
            </w:r>
            <w:r>
              <w:rPr>
                <w:sz w:val="18"/>
              </w:rPr>
              <w:t>submitted their planning and budget timely.</w:t>
            </w:r>
          </w:p>
          <w:p w14:paraId="6ACD1C51" w14:textId="77777777" w:rsidR="00BC24A8" w:rsidRDefault="00000000">
            <w:pPr>
              <w:pStyle w:val="TableParagraph"/>
              <w:spacing w:before="219"/>
              <w:ind w:left="265" w:right="109"/>
              <w:rPr>
                <w:sz w:val="18"/>
              </w:rPr>
            </w:pPr>
            <w:r>
              <w:rPr>
                <w:sz w:val="18"/>
              </w:rPr>
              <w:t>Papua</w:t>
            </w:r>
            <w:r>
              <w:rPr>
                <w:spacing w:val="-11"/>
                <w:sz w:val="18"/>
              </w:rPr>
              <w:t xml:space="preserve"> </w:t>
            </w:r>
            <w:r>
              <w:rPr>
                <w:sz w:val="18"/>
              </w:rPr>
              <w:t>Tengah</w:t>
            </w:r>
            <w:r>
              <w:rPr>
                <w:spacing w:val="-10"/>
                <w:sz w:val="18"/>
              </w:rPr>
              <w:t xml:space="preserve"> </w:t>
            </w:r>
            <w:r>
              <w:rPr>
                <w:sz w:val="18"/>
              </w:rPr>
              <w:t>submitted their</w:t>
            </w:r>
            <w:r>
              <w:rPr>
                <w:spacing w:val="-11"/>
                <w:sz w:val="18"/>
              </w:rPr>
              <w:t xml:space="preserve"> </w:t>
            </w:r>
            <w:r>
              <w:rPr>
                <w:sz w:val="18"/>
              </w:rPr>
              <w:t>2023</w:t>
            </w:r>
            <w:r>
              <w:rPr>
                <w:spacing w:val="-10"/>
                <w:sz w:val="18"/>
              </w:rPr>
              <w:t xml:space="preserve"> </w:t>
            </w:r>
            <w:r>
              <w:rPr>
                <w:sz w:val="18"/>
              </w:rPr>
              <w:t>RAP</w:t>
            </w:r>
            <w:r>
              <w:rPr>
                <w:spacing w:val="-10"/>
                <w:sz w:val="18"/>
              </w:rPr>
              <w:t xml:space="preserve"> </w:t>
            </w:r>
            <w:r>
              <w:rPr>
                <w:sz w:val="18"/>
              </w:rPr>
              <w:t xml:space="preserve">(reported in Jan-Jun 2024) and so did Aceh for 2024 Otsus </w:t>
            </w:r>
            <w:r>
              <w:rPr>
                <w:spacing w:val="-2"/>
                <w:sz w:val="18"/>
              </w:rPr>
              <w:t>Plan.</w:t>
            </w:r>
          </w:p>
        </w:tc>
      </w:tr>
      <w:tr w:rsidR="00BC24A8" w14:paraId="4D6ADD86" w14:textId="77777777">
        <w:trPr>
          <w:trHeight w:val="3280"/>
        </w:trPr>
        <w:tc>
          <w:tcPr>
            <w:tcW w:w="1621" w:type="dxa"/>
            <w:tcBorders>
              <w:top w:val="single" w:sz="4" w:space="0" w:color="BEBEBE"/>
              <w:bottom w:val="single" w:sz="4" w:space="0" w:color="BEBEBE"/>
            </w:tcBorders>
          </w:tcPr>
          <w:p w14:paraId="57025558" w14:textId="77777777" w:rsidR="00BC24A8" w:rsidRDefault="00000000">
            <w:pPr>
              <w:pStyle w:val="TableParagraph"/>
              <w:spacing w:before="61"/>
              <w:ind w:left="115" w:right="115"/>
              <w:rPr>
                <w:sz w:val="18"/>
              </w:rPr>
            </w:pPr>
            <w:r>
              <w:rPr>
                <w:sz w:val="18"/>
              </w:rPr>
              <w:t xml:space="preserve">IO 4.7. Number of </w:t>
            </w:r>
            <w:r>
              <w:rPr>
                <w:spacing w:val="-2"/>
                <w:sz w:val="18"/>
              </w:rPr>
              <w:t>provinces</w:t>
            </w:r>
            <w:r>
              <w:rPr>
                <w:spacing w:val="80"/>
                <w:sz w:val="18"/>
              </w:rPr>
              <w:t xml:space="preserve"> </w:t>
            </w:r>
            <w:r>
              <w:rPr>
                <w:spacing w:val="-2"/>
                <w:sz w:val="18"/>
              </w:rPr>
              <w:t>providing</w:t>
            </w:r>
            <w:r>
              <w:rPr>
                <w:spacing w:val="40"/>
                <w:sz w:val="18"/>
              </w:rPr>
              <w:t xml:space="preserve"> </w:t>
            </w:r>
            <w:r>
              <w:rPr>
                <w:sz w:val="18"/>
              </w:rPr>
              <w:t>improved</w:t>
            </w:r>
            <w:r>
              <w:rPr>
                <w:spacing w:val="-11"/>
                <w:sz w:val="18"/>
              </w:rPr>
              <w:t xml:space="preserve"> </w:t>
            </w:r>
            <w:r>
              <w:rPr>
                <w:sz w:val="18"/>
              </w:rPr>
              <w:t>technical assistance</w:t>
            </w:r>
            <w:r>
              <w:rPr>
                <w:spacing w:val="-2"/>
                <w:sz w:val="18"/>
              </w:rPr>
              <w:t xml:space="preserve"> </w:t>
            </w:r>
            <w:r>
              <w:rPr>
                <w:sz w:val="18"/>
              </w:rPr>
              <w:t xml:space="preserve">to </w:t>
            </w:r>
            <w:r>
              <w:rPr>
                <w:spacing w:val="-2"/>
                <w:sz w:val="18"/>
              </w:rPr>
              <w:t>district/city</w:t>
            </w:r>
            <w:r>
              <w:rPr>
                <w:sz w:val="18"/>
              </w:rPr>
              <w:t xml:space="preserve"> governments on the preparation </w:t>
            </w:r>
            <w:r>
              <w:rPr>
                <w:spacing w:val="-4"/>
                <w:sz w:val="18"/>
              </w:rPr>
              <w:t>and</w:t>
            </w:r>
            <w:r>
              <w:rPr>
                <w:sz w:val="18"/>
              </w:rPr>
              <w:t xml:space="preserve"> implementation of planning</w:t>
            </w:r>
            <w:r>
              <w:rPr>
                <w:spacing w:val="-2"/>
                <w:sz w:val="18"/>
              </w:rPr>
              <w:t xml:space="preserve"> </w:t>
            </w:r>
            <w:r>
              <w:rPr>
                <w:sz w:val="18"/>
              </w:rPr>
              <w:t xml:space="preserve">and </w:t>
            </w:r>
            <w:r>
              <w:rPr>
                <w:spacing w:val="-2"/>
                <w:sz w:val="18"/>
              </w:rPr>
              <w:t>budgeting</w:t>
            </w:r>
            <w:r>
              <w:rPr>
                <w:sz w:val="18"/>
              </w:rPr>
              <w:t xml:space="preserve"> documents with SKALA</w:t>
            </w:r>
            <w:r>
              <w:rPr>
                <w:spacing w:val="-2"/>
                <w:sz w:val="18"/>
              </w:rPr>
              <w:t xml:space="preserve"> </w:t>
            </w:r>
            <w:r>
              <w:rPr>
                <w:sz w:val="18"/>
              </w:rPr>
              <w:t>support.</w:t>
            </w:r>
          </w:p>
        </w:tc>
        <w:tc>
          <w:tcPr>
            <w:tcW w:w="1249" w:type="dxa"/>
            <w:tcBorders>
              <w:top w:val="single" w:sz="4" w:space="0" w:color="BEBEBE"/>
              <w:bottom w:val="single" w:sz="4" w:space="0" w:color="BEBEBE"/>
            </w:tcBorders>
          </w:tcPr>
          <w:p w14:paraId="0F90EFD5" w14:textId="77777777" w:rsidR="00BC24A8" w:rsidRDefault="00000000">
            <w:pPr>
              <w:pStyle w:val="TableParagraph"/>
              <w:spacing w:before="66"/>
              <w:ind w:left="114"/>
              <w:rPr>
                <w:sz w:val="18"/>
              </w:rPr>
            </w:pPr>
            <w:r>
              <w:rPr>
                <w:sz w:val="18"/>
              </w:rPr>
              <w:t>3</w:t>
            </w:r>
            <w:r>
              <w:rPr>
                <w:spacing w:val="-2"/>
                <w:sz w:val="18"/>
              </w:rPr>
              <w:t xml:space="preserve"> provinces</w:t>
            </w:r>
          </w:p>
        </w:tc>
        <w:tc>
          <w:tcPr>
            <w:tcW w:w="1350" w:type="dxa"/>
            <w:tcBorders>
              <w:top w:val="single" w:sz="4" w:space="0" w:color="BEBEBE"/>
              <w:bottom w:val="single" w:sz="4" w:space="0" w:color="BEBEBE"/>
            </w:tcBorders>
          </w:tcPr>
          <w:p w14:paraId="464D7035" w14:textId="77777777" w:rsidR="00BC24A8" w:rsidRDefault="00000000">
            <w:pPr>
              <w:pStyle w:val="TableParagraph"/>
              <w:spacing w:before="66"/>
              <w:ind w:left="305"/>
              <w:rPr>
                <w:sz w:val="18"/>
              </w:rPr>
            </w:pPr>
            <w:r>
              <w:rPr>
                <w:sz w:val="18"/>
              </w:rPr>
              <w:t>3</w:t>
            </w:r>
            <w:r>
              <w:rPr>
                <w:spacing w:val="-2"/>
                <w:sz w:val="18"/>
              </w:rPr>
              <w:t xml:space="preserve"> provinces</w:t>
            </w:r>
          </w:p>
        </w:tc>
        <w:tc>
          <w:tcPr>
            <w:tcW w:w="1392" w:type="dxa"/>
            <w:tcBorders>
              <w:top w:val="single" w:sz="4" w:space="0" w:color="BEBEBE"/>
              <w:bottom w:val="single" w:sz="4" w:space="0" w:color="BEBEBE"/>
            </w:tcBorders>
          </w:tcPr>
          <w:p w14:paraId="23D67314" w14:textId="77777777" w:rsidR="00BC24A8" w:rsidRDefault="00000000">
            <w:pPr>
              <w:pStyle w:val="TableParagraph"/>
              <w:spacing w:before="66"/>
              <w:ind w:left="215"/>
              <w:rPr>
                <w:sz w:val="18"/>
              </w:rPr>
            </w:pPr>
            <w:r>
              <w:rPr>
                <w:sz w:val="18"/>
              </w:rPr>
              <w:t>4</w:t>
            </w:r>
            <w:r>
              <w:rPr>
                <w:spacing w:val="-2"/>
                <w:sz w:val="18"/>
              </w:rPr>
              <w:t xml:space="preserve"> provinces</w:t>
            </w:r>
          </w:p>
        </w:tc>
        <w:tc>
          <w:tcPr>
            <w:tcW w:w="1258" w:type="dxa"/>
            <w:tcBorders>
              <w:top w:val="single" w:sz="4" w:space="0" w:color="BEBEBE"/>
              <w:bottom w:val="single" w:sz="4" w:space="0" w:color="BEBEBE"/>
            </w:tcBorders>
          </w:tcPr>
          <w:p w14:paraId="7509873A" w14:textId="77777777" w:rsidR="00BC24A8" w:rsidRDefault="00000000">
            <w:pPr>
              <w:pStyle w:val="TableParagraph"/>
              <w:spacing w:before="66"/>
              <w:ind w:left="172"/>
              <w:rPr>
                <w:sz w:val="18"/>
              </w:rPr>
            </w:pPr>
            <w:r>
              <w:rPr>
                <w:sz w:val="18"/>
              </w:rPr>
              <w:t>6</w:t>
            </w:r>
            <w:r>
              <w:rPr>
                <w:spacing w:val="-2"/>
                <w:sz w:val="18"/>
              </w:rPr>
              <w:t xml:space="preserve"> provinces</w:t>
            </w:r>
          </w:p>
        </w:tc>
        <w:tc>
          <w:tcPr>
            <w:tcW w:w="2229" w:type="dxa"/>
            <w:tcBorders>
              <w:top w:val="single" w:sz="4" w:space="0" w:color="BEBEBE"/>
              <w:bottom w:val="single" w:sz="4" w:space="0" w:color="BEBEBE"/>
            </w:tcBorders>
          </w:tcPr>
          <w:p w14:paraId="0995A86C" w14:textId="77777777" w:rsidR="00BC24A8" w:rsidRDefault="00000000">
            <w:pPr>
              <w:pStyle w:val="TableParagraph"/>
              <w:spacing w:before="66"/>
              <w:ind w:left="265" w:right="109"/>
              <w:rPr>
                <w:sz w:val="18"/>
              </w:rPr>
            </w:pPr>
            <w:r>
              <w:rPr>
                <w:sz w:val="18"/>
              </w:rPr>
              <w:t>In</w:t>
            </w:r>
            <w:r>
              <w:rPr>
                <w:spacing w:val="-11"/>
                <w:sz w:val="18"/>
              </w:rPr>
              <w:t xml:space="preserve"> </w:t>
            </w:r>
            <w:r>
              <w:rPr>
                <w:sz w:val="18"/>
              </w:rPr>
              <w:t>the</w:t>
            </w:r>
            <w:r>
              <w:rPr>
                <w:spacing w:val="-10"/>
                <w:sz w:val="18"/>
              </w:rPr>
              <w:t xml:space="preserve"> </w:t>
            </w:r>
            <w:r>
              <w:rPr>
                <w:sz w:val="18"/>
              </w:rPr>
              <w:t>previous</w:t>
            </w:r>
            <w:r>
              <w:rPr>
                <w:spacing w:val="-10"/>
                <w:sz w:val="18"/>
              </w:rPr>
              <w:t xml:space="preserve"> </w:t>
            </w:r>
            <w:r>
              <w:rPr>
                <w:sz w:val="18"/>
              </w:rPr>
              <w:t xml:space="preserve">semester, NTB, NTT, Gorontalo provincial Bappeda team provided assistance to align district/city RPJPD. This semester, Kaltara, Aceh, Papua conducted MSS monitoring and supervision to </w:t>
            </w:r>
            <w:r>
              <w:rPr>
                <w:spacing w:val="-2"/>
                <w:sz w:val="18"/>
              </w:rPr>
              <w:t>districts/cities.</w:t>
            </w:r>
          </w:p>
        </w:tc>
      </w:tr>
      <w:tr w:rsidR="00BC24A8" w14:paraId="1D0B2068" w14:textId="77777777">
        <w:trPr>
          <w:trHeight w:val="3515"/>
        </w:trPr>
        <w:tc>
          <w:tcPr>
            <w:tcW w:w="1621" w:type="dxa"/>
            <w:tcBorders>
              <w:top w:val="single" w:sz="4" w:space="0" w:color="BEBEBE"/>
              <w:bottom w:val="single" w:sz="4" w:space="0" w:color="BEBEBE"/>
            </w:tcBorders>
          </w:tcPr>
          <w:p w14:paraId="17C1308E" w14:textId="77777777" w:rsidR="00BC24A8" w:rsidRDefault="00000000">
            <w:pPr>
              <w:pStyle w:val="TableParagraph"/>
              <w:spacing w:before="59"/>
              <w:ind w:left="115" w:right="107"/>
              <w:rPr>
                <w:sz w:val="18"/>
              </w:rPr>
            </w:pPr>
            <w:r>
              <w:rPr>
                <w:sz w:val="18"/>
              </w:rPr>
              <w:t>IO 5.1. Number of provinces with improved</w:t>
            </w:r>
            <w:r>
              <w:rPr>
                <w:spacing w:val="-11"/>
                <w:sz w:val="18"/>
              </w:rPr>
              <w:t xml:space="preserve"> </w:t>
            </w:r>
            <w:r>
              <w:rPr>
                <w:sz w:val="18"/>
              </w:rPr>
              <w:t xml:space="preserve">targeting data for planning and budgeting, including for MSS, with SKALA </w:t>
            </w:r>
            <w:r>
              <w:rPr>
                <w:spacing w:val="-2"/>
                <w:sz w:val="18"/>
              </w:rPr>
              <w:t>support.</w:t>
            </w:r>
          </w:p>
        </w:tc>
        <w:tc>
          <w:tcPr>
            <w:tcW w:w="1249" w:type="dxa"/>
            <w:tcBorders>
              <w:top w:val="single" w:sz="4" w:space="0" w:color="BEBEBE"/>
              <w:bottom w:val="single" w:sz="4" w:space="0" w:color="BEBEBE"/>
            </w:tcBorders>
          </w:tcPr>
          <w:p w14:paraId="69706703" w14:textId="77777777" w:rsidR="00BC24A8" w:rsidRDefault="00000000">
            <w:pPr>
              <w:pStyle w:val="TableParagraph"/>
              <w:spacing w:before="66"/>
              <w:ind w:left="114"/>
              <w:rPr>
                <w:sz w:val="18"/>
              </w:rPr>
            </w:pPr>
            <w:r>
              <w:rPr>
                <w:sz w:val="18"/>
              </w:rPr>
              <w:t>3</w:t>
            </w:r>
            <w:r>
              <w:rPr>
                <w:spacing w:val="-2"/>
                <w:sz w:val="18"/>
              </w:rPr>
              <w:t xml:space="preserve"> provinces</w:t>
            </w:r>
          </w:p>
        </w:tc>
        <w:tc>
          <w:tcPr>
            <w:tcW w:w="1350" w:type="dxa"/>
            <w:tcBorders>
              <w:top w:val="single" w:sz="4" w:space="0" w:color="BEBEBE"/>
              <w:bottom w:val="single" w:sz="4" w:space="0" w:color="BEBEBE"/>
            </w:tcBorders>
          </w:tcPr>
          <w:p w14:paraId="182CDD78" w14:textId="77777777" w:rsidR="00BC24A8" w:rsidRDefault="00000000">
            <w:pPr>
              <w:pStyle w:val="TableParagraph"/>
              <w:spacing w:before="66"/>
              <w:ind w:left="305"/>
              <w:rPr>
                <w:sz w:val="18"/>
              </w:rPr>
            </w:pPr>
            <w:r>
              <w:rPr>
                <w:sz w:val="18"/>
              </w:rPr>
              <w:t>7</w:t>
            </w:r>
            <w:r>
              <w:rPr>
                <w:spacing w:val="-2"/>
                <w:sz w:val="18"/>
              </w:rPr>
              <w:t xml:space="preserve"> provinces</w:t>
            </w:r>
          </w:p>
        </w:tc>
        <w:tc>
          <w:tcPr>
            <w:tcW w:w="1392" w:type="dxa"/>
            <w:tcBorders>
              <w:top w:val="single" w:sz="4" w:space="0" w:color="BEBEBE"/>
              <w:bottom w:val="single" w:sz="4" w:space="0" w:color="BEBEBE"/>
            </w:tcBorders>
          </w:tcPr>
          <w:p w14:paraId="0C391658" w14:textId="77777777" w:rsidR="00BC24A8" w:rsidRDefault="00000000">
            <w:pPr>
              <w:pStyle w:val="TableParagraph"/>
              <w:spacing w:before="66"/>
              <w:ind w:left="215"/>
              <w:rPr>
                <w:sz w:val="18"/>
              </w:rPr>
            </w:pPr>
            <w:r>
              <w:rPr>
                <w:sz w:val="18"/>
              </w:rPr>
              <w:t>3</w:t>
            </w:r>
            <w:r>
              <w:rPr>
                <w:spacing w:val="-2"/>
                <w:sz w:val="18"/>
              </w:rPr>
              <w:t xml:space="preserve"> provinces</w:t>
            </w:r>
          </w:p>
        </w:tc>
        <w:tc>
          <w:tcPr>
            <w:tcW w:w="1258" w:type="dxa"/>
            <w:tcBorders>
              <w:top w:val="single" w:sz="4" w:space="0" w:color="BEBEBE"/>
              <w:bottom w:val="single" w:sz="4" w:space="0" w:color="BEBEBE"/>
            </w:tcBorders>
          </w:tcPr>
          <w:p w14:paraId="051AE7F8" w14:textId="77777777" w:rsidR="00BC24A8" w:rsidRDefault="00000000">
            <w:pPr>
              <w:pStyle w:val="TableParagraph"/>
              <w:spacing w:before="66"/>
              <w:ind w:left="172"/>
              <w:rPr>
                <w:sz w:val="18"/>
              </w:rPr>
            </w:pPr>
            <w:r>
              <w:rPr>
                <w:sz w:val="18"/>
              </w:rPr>
              <w:t>7</w:t>
            </w:r>
            <w:r>
              <w:rPr>
                <w:spacing w:val="-2"/>
                <w:sz w:val="18"/>
              </w:rPr>
              <w:t xml:space="preserve"> provinces</w:t>
            </w:r>
          </w:p>
        </w:tc>
        <w:tc>
          <w:tcPr>
            <w:tcW w:w="2229" w:type="dxa"/>
            <w:tcBorders>
              <w:top w:val="single" w:sz="4" w:space="0" w:color="BEBEBE"/>
              <w:bottom w:val="single" w:sz="4" w:space="0" w:color="BEBEBE"/>
            </w:tcBorders>
          </w:tcPr>
          <w:p w14:paraId="7441B8D5" w14:textId="77777777" w:rsidR="00BC24A8" w:rsidRDefault="00000000">
            <w:pPr>
              <w:pStyle w:val="TableParagraph"/>
              <w:numPr>
                <w:ilvl w:val="0"/>
                <w:numId w:val="146"/>
              </w:numPr>
              <w:tabs>
                <w:tab w:val="left" w:pos="435"/>
              </w:tabs>
              <w:ind w:right="108"/>
              <w:rPr>
                <w:sz w:val="18"/>
              </w:rPr>
            </w:pPr>
            <w:r>
              <w:rPr>
                <w:sz w:val="18"/>
              </w:rPr>
              <w:t>Maluku: SEPAKAT analysis on access to drinking water in Ambon City was used for 2026 SPM</w:t>
            </w:r>
            <w:r>
              <w:rPr>
                <w:spacing w:val="-1"/>
                <w:sz w:val="18"/>
              </w:rPr>
              <w:t xml:space="preserve"> </w:t>
            </w:r>
            <w:r>
              <w:rPr>
                <w:sz w:val="18"/>
              </w:rPr>
              <w:t>planning and</w:t>
            </w:r>
            <w:r>
              <w:rPr>
                <w:spacing w:val="-11"/>
                <w:sz w:val="18"/>
              </w:rPr>
              <w:t xml:space="preserve"> </w:t>
            </w:r>
            <w:r>
              <w:rPr>
                <w:sz w:val="18"/>
              </w:rPr>
              <w:t>to</w:t>
            </w:r>
            <w:r>
              <w:rPr>
                <w:spacing w:val="-10"/>
                <w:sz w:val="18"/>
              </w:rPr>
              <w:t xml:space="preserve"> </w:t>
            </w:r>
            <w:r>
              <w:rPr>
                <w:sz w:val="18"/>
              </w:rPr>
              <w:t>identify</w:t>
            </w:r>
            <w:r>
              <w:rPr>
                <w:spacing w:val="-10"/>
                <w:sz w:val="18"/>
              </w:rPr>
              <w:t xml:space="preserve"> </w:t>
            </w:r>
            <w:r>
              <w:rPr>
                <w:sz w:val="18"/>
              </w:rPr>
              <w:t>drinking water needs for the RISPAM</w:t>
            </w:r>
            <w:r>
              <w:rPr>
                <w:spacing w:val="-2"/>
                <w:sz w:val="18"/>
              </w:rPr>
              <w:t xml:space="preserve"> </w:t>
            </w:r>
            <w:r>
              <w:rPr>
                <w:sz w:val="18"/>
              </w:rPr>
              <w:t>document (Public Works Office).</w:t>
            </w:r>
          </w:p>
          <w:p w14:paraId="185CB5DF" w14:textId="77777777" w:rsidR="00BC24A8" w:rsidRDefault="00000000">
            <w:pPr>
              <w:pStyle w:val="TableParagraph"/>
              <w:numPr>
                <w:ilvl w:val="0"/>
                <w:numId w:val="146"/>
              </w:numPr>
              <w:tabs>
                <w:tab w:val="left" w:pos="435"/>
              </w:tabs>
              <w:ind w:right="163"/>
              <w:rPr>
                <w:sz w:val="18"/>
              </w:rPr>
            </w:pPr>
            <w:r>
              <w:rPr>
                <w:sz w:val="18"/>
              </w:rPr>
              <w:t>Kaltara:</w:t>
            </w:r>
            <w:r>
              <w:rPr>
                <w:spacing w:val="-11"/>
                <w:sz w:val="18"/>
              </w:rPr>
              <w:t xml:space="preserve"> </w:t>
            </w:r>
            <w:r>
              <w:rPr>
                <w:sz w:val="18"/>
              </w:rPr>
              <w:t>Regsosek</w:t>
            </w:r>
            <w:r>
              <w:rPr>
                <w:spacing w:val="-10"/>
                <w:sz w:val="18"/>
              </w:rPr>
              <w:t xml:space="preserve"> </w:t>
            </w:r>
            <w:r>
              <w:rPr>
                <w:sz w:val="18"/>
              </w:rPr>
              <w:t>data is used for the preparation of the draft RPJMD 2025–</w:t>
            </w:r>
          </w:p>
          <w:p w14:paraId="37B9F478" w14:textId="77777777" w:rsidR="00BC24A8" w:rsidRDefault="00000000">
            <w:pPr>
              <w:pStyle w:val="TableParagraph"/>
              <w:spacing w:before="1"/>
              <w:ind w:left="435" w:right="109"/>
              <w:rPr>
                <w:sz w:val="18"/>
              </w:rPr>
            </w:pPr>
            <w:r>
              <w:rPr>
                <w:sz w:val="18"/>
              </w:rPr>
              <w:t>2029, the Regional Action</w:t>
            </w:r>
            <w:r>
              <w:rPr>
                <w:spacing w:val="-11"/>
                <w:sz w:val="18"/>
              </w:rPr>
              <w:t xml:space="preserve"> </w:t>
            </w:r>
            <w:r>
              <w:rPr>
                <w:sz w:val="18"/>
              </w:rPr>
              <w:t>Plans</w:t>
            </w:r>
            <w:r>
              <w:rPr>
                <w:spacing w:val="-10"/>
                <w:sz w:val="18"/>
              </w:rPr>
              <w:t xml:space="preserve"> </w:t>
            </w:r>
            <w:r>
              <w:rPr>
                <w:sz w:val="18"/>
              </w:rPr>
              <w:t>(RAD)</w:t>
            </w:r>
            <w:r>
              <w:rPr>
                <w:spacing w:val="-10"/>
                <w:sz w:val="18"/>
              </w:rPr>
              <w:t xml:space="preserve"> </w:t>
            </w:r>
            <w:r>
              <w:rPr>
                <w:sz w:val="18"/>
              </w:rPr>
              <w:t>for</w:t>
            </w:r>
          </w:p>
          <w:p w14:paraId="73E46BDE" w14:textId="77777777" w:rsidR="00BC24A8" w:rsidRDefault="00000000">
            <w:pPr>
              <w:pStyle w:val="TableParagraph"/>
              <w:spacing w:line="199" w:lineRule="exact"/>
              <w:ind w:left="435"/>
              <w:rPr>
                <w:sz w:val="18"/>
              </w:rPr>
            </w:pPr>
            <w:r>
              <w:rPr>
                <w:sz w:val="18"/>
              </w:rPr>
              <w:t>Out-of-School</w:t>
            </w:r>
            <w:r>
              <w:rPr>
                <w:spacing w:val="-7"/>
                <w:sz w:val="18"/>
              </w:rPr>
              <w:t xml:space="preserve"> </w:t>
            </w:r>
            <w:r>
              <w:rPr>
                <w:spacing w:val="-2"/>
                <w:sz w:val="18"/>
              </w:rPr>
              <w:t>Children</w:t>
            </w:r>
          </w:p>
        </w:tc>
      </w:tr>
    </w:tbl>
    <w:p w14:paraId="4EE6F9E4" w14:textId="77777777" w:rsidR="00BC24A8" w:rsidRDefault="00BC24A8">
      <w:pPr>
        <w:pStyle w:val="TableParagraph"/>
        <w:spacing w:line="199" w:lineRule="exact"/>
        <w:rPr>
          <w:sz w:val="18"/>
        </w:rPr>
        <w:sectPr w:rsidR="00BC24A8">
          <w:pgSz w:w="11910" w:h="16840"/>
          <w:pgMar w:top="1360" w:right="850" w:bottom="1100" w:left="1275" w:header="0" w:footer="907" w:gutter="0"/>
          <w:cols w:space="720"/>
        </w:sectPr>
      </w:pPr>
    </w:p>
    <w:tbl>
      <w:tblPr>
        <w:tblW w:w="0" w:type="auto"/>
        <w:tblInd w:w="136" w:type="dxa"/>
        <w:tblLayout w:type="fixed"/>
        <w:tblCellMar>
          <w:left w:w="0" w:type="dxa"/>
          <w:right w:w="0" w:type="dxa"/>
        </w:tblCellMar>
        <w:tblLook w:val="01E0" w:firstRow="1" w:lastRow="1" w:firstColumn="1" w:lastColumn="1" w:noHBand="0" w:noVBand="0"/>
      </w:tblPr>
      <w:tblGrid>
        <w:gridCol w:w="1609"/>
        <w:gridCol w:w="900"/>
        <w:gridCol w:w="1351"/>
        <w:gridCol w:w="1675"/>
        <w:gridCol w:w="981"/>
        <w:gridCol w:w="2594"/>
      </w:tblGrid>
      <w:tr w:rsidR="00BC24A8" w14:paraId="5BC16118" w14:textId="77777777">
        <w:trPr>
          <w:trHeight w:val="7730"/>
        </w:trPr>
        <w:tc>
          <w:tcPr>
            <w:tcW w:w="1609" w:type="dxa"/>
            <w:tcBorders>
              <w:top w:val="single" w:sz="4" w:space="0" w:color="BEBEBE"/>
              <w:bottom w:val="single" w:sz="4" w:space="0" w:color="BEBEBE"/>
            </w:tcBorders>
          </w:tcPr>
          <w:p w14:paraId="0E0D7DF1" w14:textId="77777777" w:rsidR="00BC24A8" w:rsidRDefault="00BC24A8">
            <w:pPr>
              <w:pStyle w:val="TableParagraph"/>
              <w:rPr>
                <w:rFonts w:ascii="Times New Roman"/>
                <w:sz w:val="16"/>
              </w:rPr>
            </w:pPr>
          </w:p>
        </w:tc>
        <w:tc>
          <w:tcPr>
            <w:tcW w:w="900" w:type="dxa"/>
            <w:tcBorders>
              <w:top w:val="single" w:sz="4" w:space="0" w:color="BEBEBE"/>
              <w:bottom w:val="single" w:sz="4" w:space="0" w:color="BEBEBE"/>
            </w:tcBorders>
          </w:tcPr>
          <w:p w14:paraId="36A53F6C" w14:textId="77777777" w:rsidR="00BC24A8" w:rsidRDefault="00BC24A8">
            <w:pPr>
              <w:pStyle w:val="TableParagraph"/>
              <w:rPr>
                <w:rFonts w:ascii="Times New Roman"/>
                <w:sz w:val="16"/>
              </w:rPr>
            </w:pPr>
          </w:p>
        </w:tc>
        <w:tc>
          <w:tcPr>
            <w:tcW w:w="1351" w:type="dxa"/>
            <w:tcBorders>
              <w:top w:val="single" w:sz="4" w:space="0" w:color="BEBEBE"/>
              <w:bottom w:val="single" w:sz="4" w:space="0" w:color="BEBEBE"/>
            </w:tcBorders>
          </w:tcPr>
          <w:p w14:paraId="7C7EE6E6" w14:textId="77777777" w:rsidR="00BC24A8" w:rsidRDefault="00BC24A8">
            <w:pPr>
              <w:pStyle w:val="TableParagraph"/>
              <w:rPr>
                <w:rFonts w:ascii="Times New Roman"/>
                <w:sz w:val="16"/>
              </w:rPr>
            </w:pPr>
          </w:p>
        </w:tc>
        <w:tc>
          <w:tcPr>
            <w:tcW w:w="1675" w:type="dxa"/>
            <w:tcBorders>
              <w:top w:val="single" w:sz="4" w:space="0" w:color="BEBEBE"/>
              <w:bottom w:val="single" w:sz="4" w:space="0" w:color="BEBEBE"/>
            </w:tcBorders>
          </w:tcPr>
          <w:p w14:paraId="2B6D0F80" w14:textId="77777777" w:rsidR="00BC24A8" w:rsidRDefault="00BC24A8">
            <w:pPr>
              <w:pStyle w:val="TableParagraph"/>
              <w:rPr>
                <w:rFonts w:ascii="Times New Roman"/>
                <w:sz w:val="16"/>
              </w:rPr>
            </w:pPr>
          </w:p>
        </w:tc>
        <w:tc>
          <w:tcPr>
            <w:tcW w:w="981" w:type="dxa"/>
            <w:tcBorders>
              <w:top w:val="single" w:sz="4" w:space="0" w:color="BEBEBE"/>
              <w:bottom w:val="single" w:sz="4" w:space="0" w:color="BEBEBE"/>
            </w:tcBorders>
          </w:tcPr>
          <w:p w14:paraId="11F8646A" w14:textId="77777777" w:rsidR="00BC24A8" w:rsidRDefault="00BC24A8">
            <w:pPr>
              <w:pStyle w:val="TableParagraph"/>
              <w:rPr>
                <w:rFonts w:ascii="Times New Roman"/>
                <w:sz w:val="16"/>
              </w:rPr>
            </w:pPr>
          </w:p>
        </w:tc>
        <w:tc>
          <w:tcPr>
            <w:tcW w:w="2594" w:type="dxa"/>
            <w:tcBorders>
              <w:top w:val="single" w:sz="4" w:space="0" w:color="BEBEBE"/>
              <w:bottom w:val="single" w:sz="4" w:space="0" w:color="BEBEBE"/>
            </w:tcBorders>
          </w:tcPr>
          <w:p w14:paraId="0130F1DB" w14:textId="77777777" w:rsidR="00BC24A8" w:rsidRDefault="00000000">
            <w:pPr>
              <w:pStyle w:val="TableParagraph"/>
              <w:spacing w:before="1"/>
              <w:ind w:left="796" w:right="163"/>
              <w:rPr>
                <w:sz w:val="18"/>
              </w:rPr>
            </w:pPr>
            <w:r>
              <w:rPr>
                <w:sz w:val="18"/>
              </w:rPr>
              <w:t>(ATS) and for Persons with Disabilities, the Regional Poverty Reduction</w:t>
            </w:r>
            <w:r>
              <w:rPr>
                <w:spacing w:val="-11"/>
                <w:sz w:val="18"/>
              </w:rPr>
              <w:t xml:space="preserve"> </w:t>
            </w:r>
            <w:r>
              <w:rPr>
                <w:sz w:val="18"/>
              </w:rPr>
              <w:t>Plan</w:t>
            </w:r>
            <w:r>
              <w:rPr>
                <w:spacing w:val="-10"/>
                <w:sz w:val="18"/>
              </w:rPr>
              <w:t xml:space="preserve"> </w:t>
            </w:r>
            <w:r>
              <w:rPr>
                <w:sz w:val="18"/>
              </w:rPr>
              <w:t>(RPKD) 2025–2029,</w:t>
            </w:r>
            <w:r>
              <w:rPr>
                <w:spacing w:val="-2"/>
                <w:sz w:val="18"/>
              </w:rPr>
              <w:t xml:space="preserve"> </w:t>
            </w:r>
            <w:r>
              <w:rPr>
                <w:sz w:val="18"/>
              </w:rPr>
              <w:t>SPM</w:t>
            </w:r>
          </w:p>
          <w:p w14:paraId="4DBB0CA4" w14:textId="77777777" w:rsidR="00BC24A8" w:rsidRDefault="00000000">
            <w:pPr>
              <w:pStyle w:val="TableParagraph"/>
              <w:ind w:left="796" w:right="163"/>
              <w:rPr>
                <w:sz w:val="18"/>
              </w:rPr>
            </w:pPr>
            <w:r>
              <w:rPr>
                <w:sz w:val="18"/>
              </w:rPr>
              <w:t>program</w:t>
            </w:r>
            <w:r>
              <w:rPr>
                <w:spacing w:val="-11"/>
                <w:sz w:val="18"/>
              </w:rPr>
              <w:t xml:space="preserve"> </w:t>
            </w:r>
            <w:r>
              <w:rPr>
                <w:sz w:val="18"/>
              </w:rPr>
              <w:t>targets,</w:t>
            </w:r>
            <w:r>
              <w:rPr>
                <w:spacing w:val="-10"/>
                <w:sz w:val="18"/>
              </w:rPr>
              <w:t xml:space="preserve"> </w:t>
            </w:r>
            <w:r>
              <w:rPr>
                <w:sz w:val="18"/>
              </w:rPr>
              <w:t>the SADAR BENUANTA</w:t>
            </w:r>
          </w:p>
          <w:p w14:paraId="1BE0BE42" w14:textId="77777777" w:rsidR="00BC24A8" w:rsidRDefault="00000000">
            <w:pPr>
              <w:pStyle w:val="TableParagraph"/>
              <w:ind w:left="796" w:right="204"/>
              <w:rPr>
                <w:sz w:val="18"/>
              </w:rPr>
            </w:pPr>
            <w:r>
              <w:rPr>
                <w:sz w:val="18"/>
              </w:rPr>
              <w:t>program, and BPJS Employment</w:t>
            </w:r>
            <w:r>
              <w:rPr>
                <w:spacing w:val="-11"/>
                <w:sz w:val="18"/>
              </w:rPr>
              <w:t xml:space="preserve"> </w:t>
            </w:r>
            <w:r>
              <w:rPr>
                <w:sz w:val="18"/>
              </w:rPr>
              <w:t>program targeting</w:t>
            </w:r>
            <w:r>
              <w:rPr>
                <w:spacing w:val="-2"/>
                <w:sz w:val="18"/>
              </w:rPr>
              <w:t xml:space="preserve"> </w:t>
            </w:r>
            <w:r>
              <w:rPr>
                <w:sz w:val="18"/>
              </w:rPr>
              <w:t xml:space="preserve">(in conjunction with </w:t>
            </w:r>
            <w:r>
              <w:rPr>
                <w:spacing w:val="-2"/>
                <w:sz w:val="18"/>
              </w:rPr>
              <w:t>P3KE).</w:t>
            </w:r>
          </w:p>
          <w:p w14:paraId="17EF9E47" w14:textId="77777777" w:rsidR="00BC24A8" w:rsidRDefault="00000000">
            <w:pPr>
              <w:pStyle w:val="TableParagraph"/>
              <w:numPr>
                <w:ilvl w:val="0"/>
                <w:numId w:val="145"/>
              </w:numPr>
              <w:tabs>
                <w:tab w:val="left" w:pos="796"/>
              </w:tabs>
              <w:ind w:right="109"/>
              <w:rPr>
                <w:sz w:val="18"/>
              </w:rPr>
            </w:pPr>
            <w:r>
              <w:rPr>
                <w:sz w:val="18"/>
              </w:rPr>
              <w:t>Gorontalo:</w:t>
            </w:r>
            <w:r>
              <w:rPr>
                <w:spacing w:val="-2"/>
                <w:sz w:val="18"/>
              </w:rPr>
              <w:t xml:space="preserve"> </w:t>
            </w:r>
            <w:r>
              <w:rPr>
                <w:sz w:val="18"/>
              </w:rPr>
              <w:t>Macro</w:t>
            </w:r>
            <w:r>
              <w:rPr>
                <w:spacing w:val="-3"/>
                <w:sz w:val="18"/>
              </w:rPr>
              <w:t xml:space="preserve"> </w:t>
            </w:r>
            <w:r>
              <w:rPr>
                <w:sz w:val="18"/>
              </w:rPr>
              <w:t>data and Regsosek analysis were used as supporting data in the development of the Palm</w:t>
            </w:r>
            <w:r>
              <w:rPr>
                <w:spacing w:val="-11"/>
                <w:sz w:val="18"/>
              </w:rPr>
              <w:t xml:space="preserve"> </w:t>
            </w:r>
            <w:r>
              <w:rPr>
                <w:sz w:val="18"/>
              </w:rPr>
              <w:t>Oil</w:t>
            </w:r>
            <w:r>
              <w:rPr>
                <w:spacing w:val="-10"/>
                <w:sz w:val="18"/>
              </w:rPr>
              <w:t xml:space="preserve"> </w:t>
            </w:r>
            <w:r>
              <w:rPr>
                <w:sz w:val="18"/>
              </w:rPr>
              <w:t>RAD,</w:t>
            </w:r>
            <w:r>
              <w:rPr>
                <w:spacing w:val="-10"/>
                <w:sz w:val="18"/>
              </w:rPr>
              <w:t xml:space="preserve"> </w:t>
            </w:r>
            <w:r>
              <w:rPr>
                <w:sz w:val="18"/>
              </w:rPr>
              <w:t>Disability RAD, SPM RAD,</w:t>
            </w:r>
            <w:r>
              <w:rPr>
                <w:spacing w:val="40"/>
                <w:sz w:val="18"/>
              </w:rPr>
              <w:t xml:space="preserve"> </w:t>
            </w:r>
            <w:r>
              <w:rPr>
                <w:sz w:val="18"/>
              </w:rPr>
              <w:t>RPJMD, and RKPD.</w:t>
            </w:r>
          </w:p>
          <w:p w14:paraId="5E97DB63" w14:textId="77777777" w:rsidR="00BC24A8" w:rsidRDefault="00000000">
            <w:pPr>
              <w:pStyle w:val="TableParagraph"/>
              <w:numPr>
                <w:ilvl w:val="0"/>
                <w:numId w:val="145"/>
              </w:numPr>
              <w:tabs>
                <w:tab w:val="left" w:pos="796"/>
              </w:tabs>
              <w:ind w:right="223"/>
              <w:rPr>
                <w:sz w:val="18"/>
              </w:rPr>
            </w:pPr>
            <w:r>
              <w:rPr>
                <w:sz w:val="18"/>
              </w:rPr>
              <w:t>Papua:</w:t>
            </w:r>
            <w:r>
              <w:rPr>
                <w:spacing w:val="-11"/>
                <w:sz w:val="18"/>
              </w:rPr>
              <w:t xml:space="preserve"> </w:t>
            </w:r>
            <w:r>
              <w:rPr>
                <w:sz w:val="18"/>
              </w:rPr>
              <w:t>Regsosek</w:t>
            </w:r>
            <w:r>
              <w:rPr>
                <w:spacing w:val="-10"/>
                <w:sz w:val="18"/>
              </w:rPr>
              <w:t xml:space="preserve"> </w:t>
            </w:r>
            <w:r>
              <w:rPr>
                <w:sz w:val="18"/>
              </w:rPr>
              <w:t xml:space="preserve">data was used to identify key issues and </w:t>
            </w:r>
            <w:r>
              <w:rPr>
                <w:spacing w:val="-2"/>
                <w:sz w:val="18"/>
              </w:rPr>
              <w:t>formulate</w:t>
            </w:r>
            <w:r>
              <w:rPr>
                <w:sz w:val="18"/>
              </w:rPr>
              <w:t xml:space="preserve"> recommendations</w:t>
            </w:r>
            <w:r>
              <w:rPr>
                <w:spacing w:val="-11"/>
                <w:sz w:val="18"/>
              </w:rPr>
              <w:t xml:space="preserve"> </w:t>
            </w:r>
            <w:r>
              <w:rPr>
                <w:sz w:val="18"/>
              </w:rPr>
              <w:t>for the technocratic RPJMD of Papua.</w:t>
            </w:r>
          </w:p>
          <w:p w14:paraId="02C85DC1" w14:textId="77777777" w:rsidR="00BC24A8" w:rsidRDefault="00000000">
            <w:pPr>
              <w:pStyle w:val="TableParagraph"/>
              <w:numPr>
                <w:ilvl w:val="0"/>
                <w:numId w:val="145"/>
              </w:numPr>
              <w:tabs>
                <w:tab w:val="left" w:pos="796"/>
              </w:tabs>
              <w:ind w:right="190"/>
              <w:rPr>
                <w:sz w:val="18"/>
              </w:rPr>
            </w:pPr>
            <w:r>
              <w:rPr>
                <w:sz w:val="18"/>
              </w:rPr>
              <w:t>NTT: Regsosek data was used for determining</w:t>
            </w:r>
            <w:r>
              <w:rPr>
                <w:spacing w:val="-2"/>
                <w:sz w:val="18"/>
              </w:rPr>
              <w:t xml:space="preserve"> </w:t>
            </w:r>
            <w:r>
              <w:rPr>
                <w:sz w:val="18"/>
              </w:rPr>
              <w:t>social assistance and in the district development document</w:t>
            </w:r>
            <w:r>
              <w:rPr>
                <w:spacing w:val="-11"/>
                <w:sz w:val="18"/>
              </w:rPr>
              <w:t xml:space="preserve"> </w:t>
            </w:r>
            <w:r>
              <w:rPr>
                <w:sz w:val="18"/>
              </w:rPr>
              <w:t>(Dokren)</w:t>
            </w:r>
            <w:r>
              <w:rPr>
                <w:spacing w:val="-10"/>
                <w:sz w:val="18"/>
              </w:rPr>
              <w:t xml:space="preserve"> </w:t>
            </w:r>
            <w:r>
              <w:rPr>
                <w:sz w:val="18"/>
              </w:rPr>
              <w:t xml:space="preserve">of Southwest Sumba </w:t>
            </w:r>
            <w:r>
              <w:rPr>
                <w:spacing w:val="-2"/>
                <w:sz w:val="18"/>
              </w:rPr>
              <w:t>(SBD).</w:t>
            </w:r>
          </w:p>
        </w:tc>
      </w:tr>
      <w:tr w:rsidR="00BC24A8" w14:paraId="0E049F07" w14:textId="77777777">
        <w:trPr>
          <w:trHeight w:val="1598"/>
        </w:trPr>
        <w:tc>
          <w:tcPr>
            <w:tcW w:w="1609" w:type="dxa"/>
            <w:tcBorders>
              <w:top w:val="single" w:sz="4" w:space="0" w:color="BEBEBE"/>
              <w:bottom w:val="single" w:sz="4" w:space="0" w:color="BEBEBE"/>
            </w:tcBorders>
          </w:tcPr>
          <w:p w14:paraId="24B6C777" w14:textId="77777777" w:rsidR="00BC24A8" w:rsidRDefault="00000000">
            <w:pPr>
              <w:pStyle w:val="TableParagraph"/>
              <w:spacing w:before="61"/>
              <w:ind w:left="122" w:right="126"/>
              <w:rPr>
                <w:sz w:val="18"/>
              </w:rPr>
            </w:pPr>
            <w:r>
              <w:rPr>
                <w:sz w:val="18"/>
              </w:rPr>
              <w:t>IO</w:t>
            </w:r>
            <w:r>
              <w:rPr>
                <w:spacing w:val="-11"/>
                <w:sz w:val="18"/>
              </w:rPr>
              <w:t xml:space="preserve"> </w:t>
            </w:r>
            <w:r>
              <w:rPr>
                <w:sz w:val="18"/>
              </w:rPr>
              <w:t>5.2.</w:t>
            </w:r>
            <w:r>
              <w:rPr>
                <w:spacing w:val="-10"/>
                <w:sz w:val="18"/>
              </w:rPr>
              <w:t xml:space="preserve"> </w:t>
            </w:r>
            <w:r>
              <w:rPr>
                <w:sz w:val="18"/>
              </w:rPr>
              <w:t>Number</w:t>
            </w:r>
            <w:r>
              <w:rPr>
                <w:spacing w:val="-10"/>
                <w:sz w:val="18"/>
              </w:rPr>
              <w:t xml:space="preserve"> </w:t>
            </w:r>
            <w:r>
              <w:rPr>
                <w:sz w:val="18"/>
              </w:rPr>
              <w:t>of provinces with improved service delivery data for MSS</w:t>
            </w:r>
            <w:r>
              <w:rPr>
                <w:spacing w:val="-11"/>
                <w:sz w:val="18"/>
              </w:rPr>
              <w:t xml:space="preserve"> </w:t>
            </w:r>
            <w:r>
              <w:rPr>
                <w:sz w:val="18"/>
              </w:rPr>
              <w:t>planning</w:t>
            </w:r>
            <w:r>
              <w:rPr>
                <w:spacing w:val="-10"/>
                <w:sz w:val="18"/>
              </w:rPr>
              <w:t xml:space="preserve"> </w:t>
            </w:r>
            <w:r>
              <w:rPr>
                <w:sz w:val="18"/>
              </w:rPr>
              <w:t>and budgeting</w:t>
            </w:r>
            <w:r>
              <w:rPr>
                <w:spacing w:val="-2"/>
                <w:sz w:val="18"/>
              </w:rPr>
              <w:t xml:space="preserve"> </w:t>
            </w:r>
            <w:r>
              <w:rPr>
                <w:sz w:val="18"/>
              </w:rPr>
              <w:t>with</w:t>
            </w:r>
          </w:p>
          <w:p w14:paraId="130EE05F" w14:textId="77777777" w:rsidR="00BC24A8" w:rsidRDefault="00000000">
            <w:pPr>
              <w:pStyle w:val="TableParagraph"/>
              <w:spacing w:line="198" w:lineRule="exact"/>
              <w:ind w:left="122"/>
              <w:rPr>
                <w:sz w:val="18"/>
              </w:rPr>
            </w:pPr>
            <w:r>
              <w:rPr>
                <w:sz w:val="18"/>
              </w:rPr>
              <w:t>SKALA</w:t>
            </w:r>
            <w:r>
              <w:rPr>
                <w:spacing w:val="-4"/>
                <w:sz w:val="18"/>
              </w:rPr>
              <w:t xml:space="preserve"> </w:t>
            </w:r>
            <w:r>
              <w:rPr>
                <w:spacing w:val="-2"/>
                <w:sz w:val="18"/>
              </w:rPr>
              <w:t>support.</w:t>
            </w:r>
          </w:p>
        </w:tc>
        <w:tc>
          <w:tcPr>
            <w:tcW w:w="900" w:type="dxa"/>
            <w:tcBorders>
              <w:top w:val="single" w:sz="4" w:space="0" w:color="BEBEBE"/>
              <w:bottom w:val="single" w:sz="4" w:space="0" w:color="BEBEBE"/>
            </w:tcBorders>
          </w:tcPr>
          <w:p w14:paraId="3CC26292" w14:textId="77777777" w:rsidR="00BC24A8" w:rsidRDefault="00000000">
            <w:pPr>
              <w:pStyle w:val="TableParagraph"/>
              <w:spacing w:before="1"/>
              <w:ind w:left="133"/>
              <w:rPr>
                <w:sz w:val="18"/>
              </w:rPr>
            </w:pPr>
            <w:r>
              <w:rPr>
                <w:spacing w:val="-10"/>
                <w:sz w:val="18"/>
              </w:rPr>
              <w:t>0</w:t>
            </w:r>
          </w:p>
        </w:tc>
        <w:tc>
          <w:tcPr>
            <w:tcW w:w="1351" w:type="dxa"/>
            <w:tcBorders>
              <w:top w:val="single" w:sz="4" w:space="0" w:color="BEBEBE"/>
              <w:bottom w:val="single" w:sz="4" w:space="0" w:color="BEBEBE"/>
            </w:tcBorders>
          </w:tcPr>
          <w:p w14:paraId="084C4E83" w14:textId="77777777" w:rsidR="00BC24A8" w:rsidRDefault="00000000">
            <w:pPr>
              <w:pStyle w:val="TableParagraph"/>
              <w:spacing w:before="1"/>
              <w:ind w:left="92" w:right="5"/>
              <w:jc w:val="center"/>
              <w:rPr>
                <w:sz w:val="18"/>
              </w:rPr>
            </w:pPr>
            <w:r>
              <w:rPr>
                <w:spacing w:val="-10"/>
                <w:sz w:val="18"/>
              </w:rPr>
              <w:t>0</w:t>
            </w:r>
          </w:p>
        </w:tc>
        <w:tc>
          <w:tcPr>
            <w:tcW w:w="1675" w:type="dxa"/>
            <w:tcBorders>
              <w:top w:val="single" w:sz="4" w:space="0" w:color="BEBEBE"/>
              <w:bottom w:val="single" w:sz="4" w:space="0" w:color="BEBEBE"/>
            </w:tcBorders>
          </w:tcPr>
          <w:p w14:paraId="726CB866" w14:textId="77777777" w:rsidR="00BC24A8" w:rsidRDefault="00000000">
            <w:pPr>
              <w:pStyle w:val="TableParagraph"/>
              <w:spacing w:before="1"/>
              <w:ind w:right="260"/>
              <w:jc w:val="right"/>
              <w:rPr>
                <w:sz w:val="18"/>
              </w:rPr>
            </w:pPr>
            <w:r>
              <w:rPr>
                <w:sz w:val="18"/>
              </w:rPr>
              <w:t>7</w:t>
            </w:r>
            <w:r>
              <w:rPr>
                <w:spacing w:val="-2"/>
                <w:sz w:val="18"/>
              </w:rPr>
              <w:t xml:space="preserve"> provinces</w:t>
            </w:r>
          </w:p>
        </w:tc>
        <w:tc>
          <w:tcPr>
            <w:tcW w:w="981" w:type="dxa"/>
            <w:tcBorders>
              <w:top w:val="single" w:sz="4" w:space="0" w:color="BEBEBE"/>
              <w:bottom w:val="single" w:sz="4" w:space="0" w:color="BEBEBE"/>
            </w:tcBorders>
          </w:tcPr>
          <w:p w14:paraId="4FEB25D4" w14:textId="77777777" w:rsidR="00BC24A8" w:rsidRDefault="00000000">
            <w:pPr>
              <w:pStyle w:val="TableParagraph"/>
              <w:spacing w:before="1"/>
              <w:ind w:left="256"/>
              <w:rPr>
                <w:sz w:val="18"/>
              </w:rPr>
            </w:pPr>
            <w:r>
              <w:rPr>
                <w:spacing w:val="-10"/>
                <w:sz w:val="18"/>
              </w:rPr>
              <w:t>0</w:t>
            </w:r>
          </w:p>
        </w:tc>
        <w:tc>
          <w:tcPr>
            <w:tcW w:w="2594" w:type="dxa"/>
            <w:tcBorders>
              <w:top w:val="single" w:sz="4" w:space="0" w:color="BEBEBE"/>
              <w:bottom w:val="single" w:sz="4" w:space="0" w:color="BEBEBE"/>
            </w:tcBorders>
          </w:tcPr>
          <w:p w14:paraId="0B170AC3" w14:textId="77777777" w:rsidR="00BC24A8" w:rsidRDefault="00000000">
            <w:pPr>
              <w:pStyle w:val="TableParagraph"/>
              <w:spacing w:before="1"/>
              <w:ind w:left="626" w:right="163"/>
              <w:rPr>
                <w:sz w:val="18"/>
              </w:rPr>
            </w:pPr>
            <w:r>
              <w:rPr>
                <w:sz w:val="18"/>
              </w:rPr>
              <w:t>Seven provinces have shown progress in improving</w:t>
            </w:r>
            <w:r>
              <w:rPr>
                <w:spacing w:val="-2"/>
                <w:sz w:val="18"/>
              </w:rPr>
              <w:t xml:space="preserve"> </w:t>
            </w:r>
            <w:r>
              <w:rPr>
                <w:sz w:val="18"/>
              </w:rPr>
              <w:t>service delivery data by developing</w:t>
            </w:r>
            <w:r>
              <w:rPr>
                <w:spacing w:val="-11"/>
                <w:sz w:val="18"/>
              </w:rPr>
              <w:t xml:space="preserve"> </w:t>
            </w:r>
            <w:r>
              <w:rPr>
                <w:sz w:val="18"/>
              </w:rPr>
              <w:t>the</w:t>
            </w:r>
            <w:r>
              <w:rPr>
                <w:spacing w:val="-10"/>
                <w:sz w:val="18"/>
              </w:rPr>
              <w:t xml:space="preserve"> </w:t>
            </w:r>
            <w:r>
              <w:rPr>
                <w:sz w:val="18"/>
              </w:rPr>
              <w:t>data</w:t>
            </w:r>
            <w:r>
              <w:rPr>
                <w:spacing w:val="-10"/>
                <w:sz w:val="18"/>
              </w:rPr>
              <w:t xml:space="preserve"> </w:t>
            </w:r>
            <w:r>
              <w:rPr>
                <w:sz w:val="18"/>
              </w:rPr>
              <w:t>list and collecting its data.</w:t>
            </w:r>
          </w:p>
        </w:tc>
      </w:tr>
      <w:tr w:rsidR="00BC24A8" w14:paraId="5A8CE830" w14:textId="77777777">
        <w:trPr>
          <w:trHeight w:val="3796"/>
        </w:trPr>
        <w:tc>
          <w:tcPr>
            <w:tcW w:w="1609" w:type="dxa"/>
            <w:tcBorders>
              <w:top w:val="single" w:sz="4" w:space="0" w:color="BEBEBE"/>
              <w:bottom w:val="single" w:sz="4" w:space="0" w:color="BEBEBE"/>
            </w:tcBorders>
          </w:tcPr>
          <w:p w14:paraId="62558E42" w14:textId="77777777" w:rsidR="00BC24A8" w:rsidRDefault="00000000">
            <w:pPr>
              <w:pStyle w:val="TableParagraph"/>
              <w:spacing w:before="61" w:line="219" w:lineRule="exact"/>
              <w:ind w:left="122"/>
              <w:rPr>
                <w:sz w:val="18"/>
              </w:rPr>
            </w:pPr>
            <w:r>
              <w:rPr>
                <w:sz w:val="18"/>
              </w:rPr>
              <w:t>IO</w:t>
            </w:r>
            <w:r>
              <w:rPr>
                <w:spacing w:val="-4"/>
                <w:sz w:val="18"/>
              </w:rPr>
              <w:t xml:space="preserve"> 5.3.</w:t>
            </w:r>
          </w:p>
          <w:p w14:paraId="073F5518" w14:textId="77777777" w:rsidR="00BC24A8" w:rsidRDefault="00000000">
            <w:pPr>
              <w:pStyle w:val="TableParagraph"/>
              <w:ind w:left="122" w:right="126"/>
              <w:rPr>
                <w:sz w:val="18"/>
              </w:rPr>
            </w:pPr>
            <w:r>
              <w:rPr>
                <w:sz w:val="18"/>
              </w:rPr>
              <w:t>Implementation</w:t>
            </w:r>
            <w:r>
              <w:rPr>
                <w:spacing w:val="-11"/>
                <w:sz w:val="18"/>
              </w:rPr>
              <w:t xml:space="preserve"> </w:t>
            </w:r>
            <w:r>
              <w:rPr>
                <w:sz w:val="18"/>
              </w:rPr>
              <w:t>of One Data with SKALA</w:t>
            </w:r>
            <w:r>
              <w:rPr>
                <w:spacing w:val="-2"/>
                <w:sz w:val="18"/>
              </w:rPr>
              <w:t xml:space="preserve"> </w:t>
            </w:r>
            <w:r>
              <w:rPr>
                <w:sz w:val="18"/>
              </w:rPr>
              <w:t xml:space="preserve">support. (number of </w:t>
            </w:r>
            <w:r>
              <w:rPr>
                <w:spacing w:val="-2"/>
                <w:sz w:val="18"/>
              </w:rPr>
              <w:t>provinces</w:t>
            </w:r>
            <w:r>
              <w:rPr>
                <w:sz w:val="18"/>
              </w:rPr>
              <w:t xml:space="preserve"> </w:t>
            </w:r>
            <w:r>
              <w:rPr>
                <w:spacing w:val="-2"/>
                <w:sz w:val="18"/>
              </w:rPr>
              <w:t>implementing</w:t>
            </w:r>
            <w:r>
              <w:rPr>
                <w:sz w:val="18"/>
              </w:rPr>
              <w:t xml:space="preserve"> Regional</w:t>
            </w:r>
            <w:r>
              <w:rPr>
                <w:spacing w:val="-11"/>
                <w:sz w:val="18"/>
              </w:rPr>
              <w:t xml:space="preserve"> </w:t>
            </w:r>
            <w:r>
              <w:rPr>
                <w:sz w:val="18"/>
              </w:rPr>
              <w:t>One</w:t>
            </w:r>
            <w:r>
              <w:rPr>
                <w:spacing w:val="-10"/>
                <w:sz w:val="18"/>
              </w:rPr>
              <w:t xml:space="preserve"> </w:t>
            </w:r>
            <w:r>
              <w:rPr>
                <w:sz w:val="18"/>
              </w:rPr>
              <w:t xml:space="preserve">Data </w:t>
            </w:r>
            <w:r>
              <w:rPr>
                <w:spacing w:val="-2"/>
                <w:sz w:val="18"/>
              </w:rPr>
              <w:t>policy)</w:t>
            </w:r>
          </w:p>
        </w:tc>
        <w:tc>
          <w:tcPr>
            <w:tcW w:w="900" w:type="dxa"/>
            <w:tcBorders>
              <w:top w:val="single" w:sz="4" w:space="0" w:color="BEBEBE"/>
              <w:bottom w:val="single" w:sz="4" w:space="0" w:color="BEBEBE"/>
            </w:tcBorders>
          </w:tcPr>
          <w:p w14:paraId="23B02867" w14:textId="77777777" w:rsidR="00BC24A8" w:rsidRDefault="00000000">
            <w:pPr>
              <w:pStyle w:val="TableParagraph"/>
              <w:spacing w:before="1"/>
              <w:ind w:left="133"/>
              <w:rPr>
                <w:sz w:val="18"/>
              </w:rPr>
            </w:pPr>
            <w:r>
              <w:rPr>
                <w:spacing w:val="-10"/>
                <w:sz w:val="18"/>
              </w:rPr>
              <w:t>0</w:t>
            </w:r>
          </w:p>
        </w:tc>
        <w:tc>
          <w:tcPr>
            <w:tcW w:w="1351" w:type="dxa"/>
            <w:tcBorders>
              <w:top w:val="single" w:sz="4" w:space="0" w:color="BEBEBE"/>
              <w:bottom w:val="single" w:sz="4" w:space="0" w:color="BEBEBE"/>
            </w:tcBorders>
          </w:tcPr>
          <w:p w14:paraId="380AB11D" w14:textId="77777777" w:rsidR="00BC24A8" w:rsidRDefault="00000000">
            <w:pPr>
              <w:pStyle w:val="TableParagraph"/>
              <w:spacing w:before="1"/>
              <w:ind w:left="92" w:right="5"/>
              <w:jc w:val="center"/>
              <w:rPr>
                <w:sz w:val="18"/>
              </w:rPr>
            </w:pPr>
            <w:r>
              <w:rPr>
                <w:spacing w:val="-10"/>
                <w:sz w:val="18"/>
              </w:rPr>
              <w:t>0</w:t>
            </w:r>
          </w:p>
        </w:tc>
        <w:tc>
          <w:tcPr>
            <w:tcW w:w="1675" w:type="dxa"/>
            <w:tcBorders>
              <w:top w:val="single" w:sz="4" w:space="0" w:color="BEBEBE"/>
              <w:bottom w:val="single" w:sz="4" w:space="0" w:color="BEBEBE"/>
            </w:tcBorders>
          </w:tcPr>
          <w:p w14:paraId="0D397A22" w14:textId="77777777" w:rsidR="00BC24A8" w:rsidRDefault="00000000">
            <w:pPr>
              <w:pStyle w:val="TableParagraph"/>
              <w:spacing w:before="1"/>
              <w:ind w:right="260"/>
              <w:jc w:val="right"/>
              <w:rPr>
                <w:sz w:val="18"/>
              </w:rPr>
            </w:pPr>
            <w:r>
              <w:rPr>
                <w:sz w:val="18"/>
              </w:rPr>
              <w:t>9</w:t>
            </w:r>
            <w:r>
              <w:rPr>
                <w:spacing w:val="-2"/>
                <w:sz w:val="18"/>
              </w:rPr>
              <w:t xml:space="preserve"> provinces</w:t>
            </w:r>
          </w:p>
        </w:tc>
        <w:tc>
          <w:tcPr>
            <w:tcW w:w="981" w:type="dxa"/>
            <w:tcBorders>
              <w:top w:val="single" w:sz="4" w:space="0" w:color="BEBEBE"/>
              <w:bottom w:val="single" w:sz="4" w:space="0" w:color="BEBEBE"/>
            </w:tcBorders>
          </w:tcPr>
          <w:p w14:paraId="710F2099" w14:textId="77777777" w:rsidR="00BC24A8" w:rsidRDefault="00000000">
            <w:pPr>
              <w:pStyle w:val="TableParagraph"/>
              <w:spacing w:before="1"/>
              <w:ind w:left="256"/>
              <w:rPr>
                <w:sz w:val="18"/>
              </w:rPr>
            </w:pPr>
            <w:r>
              <w:rPr>
                <w:spacing w:val="-10"/>
                <w:sz w:val="18"/>
              </w:rPr>
              <w:t>0</w:t>
            </w:r>
          </w:p>
        </w:tc>
        <w:tc>
          <w:tcPr>
            <w:tcW w:w="2594" w:type="dxa"/>
            <w:tcBorders>
              <w:top w:val="single" w:sz="4" w:space="0" w:color="BEBEBE"/>
              <w:bottom w:val="single" w:sz="4" w:space="0" w:color="BEBEBE"/>
            </w:tcBorders>
          </w:tcPr>
          <w:p w14:paraId="6C627AE6" w14:textId="77777777" w:rsidR="00BC24A8" w:rsidRDefault="00000000">
            <w:pPr>
              <w:pStyle w:val="TableParagraph"/>
              <w:spacing w:before="1"/>
              <w:ind w:left="626" w:right="163"/>
              <w:rPr>
                <w:sz w:val="18"/>
              </w:rPr>
            </w:pPr>
            <w:r>
              <w:rPr>
                <w:sz w:val="18"/>
              </w:rPr>
              <w:t>Nine</w:t>
            </w:r>
            <w:r>
              <w:rPr>
                <w:spacing w:val="-11"/>
                <w:sz w:val="18"/>
              </w:rPr>
              <w:t xml:space="preserve"> </w:t>
            </w:r>
            <w:r>
              <w:rPr>
                <w:sz w:val="18"/>
              </w:rPr>
              <w:t>provinces</w:t>
            </w:r>
            <w:r>
              <w:rPr>
                <w:spacing w:val="-10"/>
                <w:sz w:val="18"/>
              </w:rPr>
              <w:t xml:space="preserve"> </w:t>
            </w:r>
            <w:r>
              <w:rPr>
                <w:sz w:val="18"/>
              </w:rPr>
              <w:t xml:space="preserve">partially </w:t>
            </w:r>
            <w:r>
              <w:rPr>
                <w:spacing w:val="-2"/>
                <w:sz w:val="18"/>
              </w:rPr>
              <w:t>implemented.</w:t>
            </w:r>
          </w:p>
          <w:p w14:paraId="1911CA5C" w14:textId="77777777" w:rsidR="00BC24A8" w:rsidRDefault="00000000">
            <w:pPr>
              <w:pStyle w:val="TableParagraph"/>
              <w:ind w:left="626" w:right="163"/>
              <w:rPr>
                <w:sz w:val="18"/>
              </w:rPr>
            </w:pPr>
            <w:r>
              <w:rPr>
                <w:sz w:val="18"/>
              </w:rPr>
              <w:t>Implementation</w:t>
            </w:r>
            <w:r>
              <w:rPr>
                <w:spacing w:val="-11"/>
                <w:sz w:val="18"/>
              </w:rPr>
              <w:t xml:space="preserve"> </w:t>
            </w:r>
            <w:r>
              <w:rPr>
                <w:sz w:val="18"/>
              </w:rPr>
              <w:t>remains partial. Progress on improving</w:t>
            </w:r>
            <w:r>
              <w:rPr>
                <w:spacing w:val="-2"/>
                <w:sz w:val="18"/>
              </w:rPr>
              <w:t xml:space="preserve"> </w:t>
            </w:r>
            <w:r>
              <w:rPr>
                <w:sz w:val="18"/>
              </w:rPr>
              <w:t>data availability and quality includes: One Data policies</w:t>
            </w:r>
            <w:r>
              <w:rPr>
                <w:spacing w:val="-3"/>
                <w:sz w:val="18"/>
              </w:rPr>
              <w:t xml:space="preserve"> </w:t>
            </w:r>
            <w:r>
              <w:rPr>
                <w:sz w:val="18"/>
              </w:rPr>
              <w:t>and</w:t>
            </w:r>
            <w:r>
              <w:rPr>
                <w:spacing w:val="-3"/>
                <w:sz w:val="18"/>
              </w:rPr>
              <w:t xml:space="preserve"> </w:t>
            </w:r>
            <w:r>
              <w:rPr>
                <w:sz w:val="18"/>
              </w:rPr>
              <w:t>action</w:t>
            </w:r>
            <w:r>
              <w:rPr>
                <w:spacing w:val="-3"/>
                <w:sz w:val="18"/>
              </w:rPr>
              <w:t xml:space="preserve"> </w:t>
            </w:r>
            <w:r>
              <w:rPr>
                <w:sz w:val="18"/>
              </w:rPr>
              <w:t>plans (8 provinces), One Data portals (7 provinces), One Data forums (policies and regular meetings) (9 provinces), Data</w:t>
            </w:r>
            <w:r>
              <w:rPr>
                <w:spacing w:val="-11"/>
                <w:sz w:val="18"/>
              </w:rPr>
              <w:t xml:space="preserve"> </w:t>
            </w:r>
            <w:r>
              <w:rPr>
                <w:sz w:val="18"/>
              </w:rPr>
              <w:t>lists,</w:t>
            </w:r>
            <w:r>
              <w:rPr>
                <w:spacing w:val="-10"/>
                <w:sz w:val="18"/>
              </w:rPr>
              <w:t xml:space="preserve"> </w:t>
            </w:r>
            <w:r>
              <w:rPr>
                <w:sz w:val="18"/>
              </w:rPr>
              <w:t>metadata,</w:t>
            </w:r>
            <w:r>
              <w:rPr>
                <w:spacing w:val="-10"/>
                <w:sz w:val="18"/>
              </w:rPr>
              <w:t xml:space="preserve"> </w:t>
            </w:r>
            <w:r>
              <w:rPr>
                <w:sz w:val="18"/>
              </w:rPr>
              <w:t xml:space="preserve">and standards (8 provinces), One data budget (4 </w:t>
            </w:r>
            <w:r>
              <w:rPr>
                <w:spacing w:val="-2"/>
                <w:sz w:val="18"/>
              </w:rPr>
              <w:t>provinces).</w:t>
            </w:r>
          </w:p>
        </w:tc>
      </w:tr>
    </w:tbl>
    <w:p w14:paraId="6AB45F30" w14:textId="77777777" w:rsidR="00BC24A8" w:rsidRDefault="00BC24A8">
      <w:pPr>
        <w:pStyle w:val="TableParagraph"/>
        <w:rPr>
          <w:sz w:val="18"/>
        </w:rPr>
        <w:sectPr w:rsidR="00BC24A8">
          <w:type w:val="continuous"/>
          <w:pgSz w:w="11910" w:h="16840"/>
          <w:pgMar w:top="1380" w:right="850" w:bottom="1100" w:left="1275" w:header="0" w:footer="907" w:gutter="0"/>
          <w:cols w:space="720"/>
        </w:sectPr>
      </w:pPr>
    </w:p>
    <w:p w14:paraId="24B4A7E7" w14:textId="77777777" w:rsidR="00BC24A8" w:rsidRDefault="00BC24A8">
      <w:pPr>
        <w:pStyle w:val="BodyText"/>
        <w:rPr>
          <w:sz w:val="2"/>
        </w:rPr>
      </w:pPr>
    </w:p>
    <w:tbl>
      <w:tblPr>
        <w:tblW w:w="0" w:type="auto"/>
        <w:tblInd w:w="143" w:type="dxa"/>
        <w:tblLayout w:type="fixed"/>
        <w:tblCellMar>
          <w:left w:w="0" w:type="dxa"/>
          <w:right w:w="0" w:type="dxa"/>
        </w:tblCellMar>
        <w:tblLook w:val="01E0" w:firstRow="1" w:lastRow="1" w:firstColumn="1" w:lastColumn="1" w:noHBand="0" w:noVBand="0"/>
      </w:tblPr>
      <w:tblGrid>
        <w:gridCol w:w="1611"/>
        <w:gridCol w:w="1424"/>
        <w:gridCol w:w="1272"/>
        <w:gridCol w:w="1356"/>
        <w:gridCol w:w="1350"/>
        <w:gridCol w:w="2085"/>
      </w:tblGrid>
      <w:tr w:rsidR="00BC24A8" w14:paraId="5E18C5EE" w14:textId="77777777">
        <w:trPr>
          <w:trHeight w:val="2181"/>
        </w:trPr>
        <w:tc>
          <w:tcPr>
            <w:tcW w:w="1611" w:type="dxa"/>
            <w:tcBorders>
              <w:top w:val="single" w:sz="4" w:space="0" w:color="BEBEBE"/>
              <w:bottom w:val="single" w:sz="4" w:space="0" w:color="BEBEBE"/>
            </w:tcBorders>
          </w:tcPr>
          <w:p w14:paraId="419A1F3C" w14:textId="77777777" w:rsidR="00BC24A8" w:rsidRDefault="00000000">
            <w:pPr>
              <w:pStyle w:val="TableParagraph"/>
              <w:spacing w:before="61"/>
              <w:ind w:left="115" w:right="37"/>
              <w:rPr>
                <w:sz w:val="18"/>
              </w:rPr>
            </w:pPr>
            <w:r>
              <w:rPr>
                <w:sz w:val="18"/>
              </w:rPr>
              <w:t xml:space="preserve">IO 6.1. Number of analytical inputs provided to </w:t>
            </w:r>
            <w:r>
              <w:rPr>
                <w:spacing w:val="-2"/>
                <w:sz w:val="18"/>
              </w:rPr>
              <w:t>subnational</w:t>
            </w:r>
            <w:r>
              <w:rPr>
                <w:sz w:val="18"/>
              </w:rPr>
              <w:t xml:space="preserve"> </w:t>
            </w:r>
            <w:r>
              <w:rPr>
                <w:spacing w:val="-2"/>
                <w:sz w:val="18"/>
              </w:rPr>
              <w:t>government</w:t>
            </w:r>
            <w:r>
              <w:rPr>
                <w:sz w:val="18"/>
              </w:rPr>
              <w:t xml:space="preserve"> leadership</w:t>
            </w:r>
            <w:r>
              <w:rPr>
                <w:spacing w:val="-10"/>
                <w:sz w:val="18"/>
              </w:rPr>
              <w:t xml:space="preserve"> </w:t>
            </w:r>
            <w:r>
              <w:rPr>
                <w:sz w:val="18"/>
              </w:rPr>
              <w:t>on</w:t>
            </w:r>
            <w:r>
              <w:rPr>
                <w:spacing w:val="-10"/>
                <w:sz w:val="18"/>
              </w:rPr>
              <w:t xml:space="preserve"> </w:t>
            </w:r>
            <w:r>
              <w:rPr>
                <w:sz w:val="18"/>
              </w:rPr>
              <w:t>local service</w:t>
            </w:r>
            <w:r>
              <w:rPr>
                <w:spacing w:val="-11"/>
                <w:sz w:val="18"/>
              </w:rPr>
              <w:t xml:space="preserve"> </w:t>
            </w:r>
            <w:r>
              <w:rPr>
                <w:sz w:val="18"/>
              </w:rPr>
              <w:t>delivery,</w:t>
            </w:r>
            <w:r>
              <w:rPr>
                <w:spacing w:val="-10"/>
                <w:sz w:val="18"/>
              </w:rPr>
              <w:t xml:space="preserve"> </w:t>
            </w:r>
            <w:r>
              <w:rPr>
                <w:sz w:val="18"/>
              </w:rPr>
              <w:t>by province,</w:t>
            </w:r>
            <w:r>
              <w:rPr>
                <w:spacing w:val="-2"/>
                <w:sz w:val="18"/>
              </w:rPr>
              <w:t xml:space="preserve"> </w:t>
            </w:r>
            <w:r>
              <w:rPr>
                <w:sz w:val="18"/>
              </w:rPr>
              <w:t>with SKALA</w:t>
            </w:r>
            <w:r>
              <w:rPr>
                <w:spacing w:val="-2"/>
                <w:sz w:val="18"/>
              </w:rPr>
              <w:t xml:space="preserve"> </w:t>
            </w:r>
            <w:r>
              <w:rPr>
                <w:sz w:val="18"/>
              </w:rPr>
              <w:t>support</w:t>
            </w:r>
          </w:p>
        </w:tc>
        <w:tc>
          <w:tcPr>
            <w:tcW w:w="1424" w:type="dxa"/>
            <w:tcBorders>
              <w:top w:val="single" w:sz="4" w:space="0" w:color="BEBEBE"/>
              <w:bottom w:val="single" w:sz="4" w:space="0" w:color="BEBEBE"/>
            </w:tcBorders>
          </w:tcPr>
          <w:p w14:paraId="50AD243A" w14:textId="77777777" w:rsidR="00BC24A8" w:rsidRDefault="00000000">
            <w:pPr>
              <w:pStyle w:val="TableParagraph"/>
              <w:spacing w:before="66"/>
              <w:ind w:left="124" w:right="360"/>
              <w:rPr>
                <w:sz w:val="18"/>
              </w:rPr>
            </w:pPr>
            <w:r>
              <w:rPr>
                <w:sz w:val="18"/>
              </w:rPr>
              <w:t>22</w:t>
            </w:r>
            <w:r>
              <w:rPr>
                <w:spacing w:val="-11"/>
                <w:sz w:val="18"/>
              </w:rPr>
              <w:t xml:space="preserve"> </w:t>
            </w:r>
            <w:r>
              <w:rPr>
                <w:sz w:val="18"/>
              </w:rPr>
              <w:t>products/ policy brief</w:t>
            </w:r>
          </w:p>
        </w:tc>
        <w:tc>
          <w:tcPr>
            <w:tcW w:w="1272" w:type="dxa"/>
            <w:tcBorders>
              <w:top w:val="single" w:sz="4" w:space="0" w:color="BEBEBE"/>
              <w:bottom w:val="single" w:sz="4" w:space="0" w:color="BEBEBE"/>
            </w:tcBorders>
          </w:tcPr>
          <w:p w14:paraId="1D53A056" w14:textId="77777777" w:rsidR="00BC24A8" w:rsidRDefault="00000000">
            <w:pPr>
              <w:pStyle w:val="TableParagraph"/>
              <w:spacing w:before="66"/>
              <w:ind w:left="140" w:right="169"/>
              <w:rPr>
                <w:sz w:val="18"/>
              </w:rPr>
            </w:pPr>
            <w:r>
              <w:rPr>
                <w:sz w:val="18"/>
              </w:rPr>
              <w:t>24 policy briefs have been</w:t>
            </w:r>
            <w:r>
              <w:rPr>
                <w:spacing w:val="-11"/>
                <w:sz w:val="18"/>
              </w:rPr>
              <w:t xml:space="preserve"> </w:t>
            </w:r>
            <w:r>
              <w:rPr>
                <w:sz w:val="18"/>
              </w:rPr>
              <w:t xml:space="preserve">handed over to </w:t>
            </w:r>
            <w:r>
              <w:rPr>
                <w:spacing w:val="-2"/>
                <w:sz w:val="18"/>
              </w:rPr>
              <w:t>government</w:t>
            </w:r>
          </w:p>
        </w:tc>
        <w:tc>
          <w:tcPr>
            <w:tcW w:w="1356" w:type="dxa"/>
            <w:tcBorders>
              <w:top w:val="single" w:sz="4" w:space="0" w:color="BEBEBE"/>
              <w:bottom w:val="single" w:sz="4" w:space="0" w:color="BEBEBE"/>
            </w:tcBorders>
          </w:tcPr>
          <w:p w14:paraId="2C3ABFDC" w14:textId="77777777" w:rsidR="00BC24A8" w:rsidRDefault="00000000">
            <w:pPr>
              <w:pStyle w:val="TableParagraph"/>
              <w:spacing w:before="66"/>
              <w:ind w:left="128"/>
              <w:rPr>
                <w:sz w:val="18"/>
              </w:rPr>
            </w:pPr>
            <w:r>
              <w:rPr>
                <w:sz w:val="18"/>
              </w:rPr>
              <w:t>63</w:t>
            </w:r>
            <w:r>
              <w:rPr>
                <w:spacing w:val="-11"/>
                <w:sz w:val="18"/>
              </w:rPr>
              <w:t xml:space="preserve"> </w:t>
            </w:r>
            <w:r>
              <w:rPr>
                <w:sz w:val="18"/>
              </w:rPr>
              <w:t>policy</w:t>
            </w:r>
            <w:r>
              <w:rPr>
                <w:spacing w:val="-10"/>
                <w:sz w:val="18"/>
              </w:rPr>
              <w:t xml:space="preserve"> </w:t>
            </w:r>
            <w:r>
              <w:rPr>
                <w:sz w:val="18"/>
              </w:rPr>
              <w:t>briefs are</w:t>
            </w:r>
            <w:r>
              <w:rPr>
                <w:spacing w:val="-11"/>
                <w:sz w:val="18"/>
              </w:rPr>
              <w:t xml:space="preserve"> </w:t>
            </w:r>
            <w:r>
              <w:rPr>
                <w:sz w:val="18"/>
              </w:rPr>
              <w:t>available</w:t>
            </w:r>
            <w:r>
              <w:rPr>
                <w:spacing w:val="-10"/>
                <w:sz w:val="18"/>
              </w:rPr>
              <w:t xml:space="preserve"> </w:t>
            </w:r>
            <w:r>
              <w:rPr>
                <w:sz w:val="18"/>
              </w:rPr>
              <w:t xml:space="preserve">to share with the </w:t>
            </w:r>
            <w:r>
              <w:rPr>
                <w:spacing w:val="-2"/>
                <w:sz w:val="18"/>
              </w:rPr>
              <w:t>government</w:t>
            </w:r>
          </w:p>
        </w:tc>
        <w:tc>
          <w:tcPr>
            <w:tcW w:w="1350" w:type="dxa"/>
            <w:tcBorders>
              <w:top w:val="single" w:sz="4" w:space="0" w:color="BEBEBE"/>
              <w:bottom w:val="single" w:sz="4" w:space="0" w:color="BEBEBE"/>
            </w:tcBorders>
          </w:tcPr>
          <w:p w14:paraId="64DF32BC" w14:textId="77777777" w:rsidR="00BC24A8" w:rsidRDefault="00000000">
            <w:pPr>
              <w:pStyle w:val="TableParagraph"/>
              <w:spacing w:before="66"/>
              <w:ind w:left="120"/>
              <w:rPr>
                <w:sz w:val="18"/>
              </w:rPr>
            </w:pPr>
            <w:r>
              <w:rPr>
                <w:sz w:val="18"/>
              </w:rPr>
              <w:t>46</w:t>
            </w:r>
            <w:r>
              <w:rPr>
                <w:spacing w:val="-11"/>
                <w:sz w:val="18"/>
              </w:rPr>
              <w:t xml:space="preserve"> </w:t>
            </w:r>
            <w:r>
              <w:rPr>
                <w:sz w:val="18"/>
              </w:rPr>
              <w:t>policy</w:t>
            </w:r>
            <w:r>
              <w:rPr>
                <w:spacing w:val="-10"/>
                <w:sz w:val="18"/>
              </w:rPr>
              <w:t xml:space="preserve"> </w:t>
            </w:r>
            <w:r>
              <w:rPr>
                <w:sz w:val="18"/>
              </w:rPr>
              <w:t>briefs have been handed</w:t>
            </w:r>
            <w:r>
              <w:rPr>
                <w:spacing w:val="-11"/>
                <w:sz w:val="18"/>
              </w:rPr>
              <w:t xml:space="preserve"> </w:t>
            </w:r>
            <w:r>
              <w:rPr>
                <w:sz w:val="18"/>
              </w:rPr>
              <w:t>over</w:t>
            </w:r>
            <w:r>
              <w:rPr>
                <w:spacing w:val="-10"/>
                <w:sz w:val="18"/>
              </w:rPr>
              <w:t xml:space="preserve"> </w:t>
            </w:r>
            <w:r>
              <w:rPr>
                <w:sz w:val="18"/>
              </w:rPr>
              <w:t xml:space="preserve">to </w:t>
            </w:r>
            <w:r>
              <w:rPr>
                <w:spacing w:val="-2"/>
                <w:sz w:val="18"/>
              </w:rPr>
              <w:t>government</w:t>
            </w:r>
          </w:p>
        </w:tc>
        <w:tc>
          <w:tcPr>
            <w:tcW w:w="2085" w:type="dxa"/>
            <w:tcBorders>
              <w:top w:val="single" w:sz="4" w:space="0" w:color="BEBEBE"/>
              <w:bottom w:val="single" w:sz="4" w:space="0" w:color="BEBEBE"/>
            </w:tcBorders>
          </w:tcPr>
          <w:p w14:paraId="61AA5200" w14:textId="77777777" w:rsidR="00BC24A8" w:rsidRDefault="00000000">
            <w:pPr>
              <w:pStyle w:val="TableParagraph"/>
              <w:spacing w:before="66"/>
              <w:ind w:left="122" w:right="70"/>
              <w:rPr>
                <w:sz w:val="18"/>
              </w:rPr>
            </w:pPr>
            <w:r>
              <w:rPr>
                <w:sz w:val="18"/>
              </w:rPr>
              <w:t>Twenty-four</w:t>
            </w:r>
            <w:r>
              <w:rPr>
                <w:spacing w:val="-11"/>
                <w:sz w:val="18"/>
              </w:rPr>
              <w:t xml:space="preserve"> </w:t>
            </w:r>
            <w:r>
              <w:rPr>
                <w:sz w:val="18"/>
              </w:rPr>
              <w:t>policy</w:t>
            </w:r>
            <w:r>
              <w:rPr>
                <w:spacing w:val="-10"/>
                <w:sz w:val="18"/>
              </w:rPr>
              <w:t xml:space="preserve"> </w:t>
            </w:r>
            <w:r>
              <w:rPr>
                <w:sz w:val="18"/>
              </w:rPr>
              <w:t>briefs (from Aceh, Kaltara, and Maluku—21 OPDs, 1 university,</w:t>
            </w:r>
            <w:r>
              <w:rPr>
                <w:spacing w:val="-11"/>
                <w:sz w:val="18"/>
              </w:rPr>
              <w:t xml:space="preserve"> </w:t>
            </w:r>
            <w:r>
              <w:rPr>
                <w:sz w:val="18"/>
              </w:rPr>
              <w:t>2</w:t>
            </w:r>
            <w:r>
              <w:rPr>
                <w:spacing w:val="-10"/>
                <w:sz w:val="18"/>
              </w:rPr>
              <w:t xml:space="preserve"> </w:t>
            </w:r>
            <w:r>
              <w:rPr>
                <w:sz w:val="18"/>
              </w:rPr>
              <w:t>from</w:t>
            </w:r>
            <w:r>
              <w:rPr>
                <w:spacing w:val="-10"/>
                <w:sz w:val="18"/>
              </w:rPr>
              <w:t xml:space="preserve"> </w:t>
            </w:r>
            <w:r>
              <w:rPr>
                <w:sz w:val="18"/>
              </w:rPr>
              <w:t xml:space="preserve">SKALA) were submitted to the Regional Secretary, Deputy Governor, OPD heads, and university </w:t>
            </w:r>
            <w:r>
              <w:rPr>
                <w:spacing w:val="-2"/>
                <w:sz w:val="18"/>
              </w:rPr>
              <w:t>rectors.</w:t>
            </w:r>
          </w:p>
        </w:tc>
      </w:tr>
      <w:tr w:rsidR="00BC24A8" w14:paraId="6FE14F0D" w14:textId="77777777">
        <w:trPr>
          <w:trHeight w:val="299"/>
        </w:trPr>
        <w:tc>
          <w:tcPr>
            <w:tcW w:w="1611" w:type="dxa"/>
            <w:tcBorders>
              <w:top w:val="single" w:sz="4" w:space="0" w:color="BEBEBE"/>
            </w:tcBorders>
          </w:tcPr>
          <w:p w14:paraId="776E25EE" w14:textId="77777777" w:rsidR="00BC24A8" w:rsidRDefault="00000000">
            <w:pPr>
              <w:pStyle w:val="TableParagraph"/>
              <w:spacing w:before="59"/>
              <w:ind w:left="115"/>
              <w:rPr>
                <w:sz w:val="18"/>
              </w:rPr>
            </w:pPr>
            <w:r>
              <w:rPr>
                <w:sz w:val="18"/>
              </w:rPr>
              <w:t>IO</w:t>
            </w:r>
            <w:r>
              <w:rPr>
                <w:spacing w:val="-3"/>
                <w:sz w:val="18"/>
              </w:rPr>
              <w:t xml:space="preserve"> </w:t>
            </w:r>
            <w:r>
              <w:rPr>
                <w:sz w:val="18"/>
              </w:rPr>
              <w:t>7.1.</w:t>
            </w:r>
            <w:r>
              <w:rPr>
                <w:spacing w:val="-3"/>
                <w:sz w:val="18"/>
              </w:rPr>
              <w:t xml:space="preserve"> </w:t>
            </w:r>
            <w:r>
              <w:rPr>
                <w:sz w:val="18"/>
              </w:rPr>
              <w:t>Number</w:t>
            </w:r>
            <w:r>
              <w:rPr>
                <w:spacing w:val="-2"/>
                <w:sz w:val="18"/>
              </w:rPr>
              <w:t xml:space="preserve"> </w:t>
            </w:r>
            <w:r>
              <w:rPr>
                <w:spacing w:val="-5"/>
                <w:sz w:val="18"/>
              </w:rPr>
              <w:t>of</w:t>
            </w:r>
          </w:p>
        </w:tc>
        <w:tc>
          <w:tcPr>
            <w:tcW w:w="1424" w:type="dxa"/>
            <w:tcBorders>
              <w:top w:val="single" w:sz="4" w:space="0" w:color="BEBEBE"/>
            </w:tcBorders>
          </w:tcPr>
          <w:p w14:paraId="57B21FEF" w14:textId="77777777" w:rsidR="00BC24A8" w:rsidRDefault="00000000">
            <w:pPr>
              <w:pStyle w:val="TableParagraph"/>
              <w:spacing w:before="66" w:line="213" w:lineRule="exact"/>
              <w:ind w:left="124"/>
              <w:rPr>
                <w:sz w:val="18"/>
              </w:rPr>
            </w:pPr>
            <w:r>
              <w:rPr>
                <w:sz w:val="18"/>
              </w:rPr>
              <w:t>9</w:t>
            </w:r>
            <w:r>
              <w:rPr>
                <w:spacing w:val="-2"/>
                <w:sz w:val="18"/>
              </w:rPr>
              <w:t xml:space="preserve"> provinces</w:t>
            </w:r>
          </w:p>
        </w:tc>
        <w:tc>
          <w:tcPr>
            <w:tcW w:w="1272" w:type="dxa"/>
            <w:tcBorders>
              <w:top w:val="single" w:sz="4" w:space="0" w:color="BEBEBE"/>
            </w:tcBorders>
          </w:tcPr>
          <w:p w14:paraId="677FF30E" w14:textId="77777777" w:rsidR="00BC24A8" w:rsidRDefault="00000000">
            <w:pPr>
              <w:pStyle w:val="TableParagraph"/>
              <w:spacing w:before="66" w:line="213" w:lineRule="exact"/>
              <w:ind w:left="140"/>
              <w:rPr>
                <w:sz w:val="18"/>
              </w:rPr>
            </w:pPr>
            <w:r>
              <w:rPr>
                <w:sz w:val="18"/>
              </w:rPr>
              <w:t>9</w:t>
            </w:r>
            <w:r>
              <w:rPr>
                <w:spacing w:val="-2"/>
                <w:sz w:val="18"/>
              </w:rPr>
              <w:t xml:space="preserve"> provinces</w:t>
            </w:r>
          </w:p>
        </w:tc>
        <w:tc>
          <w:tcPr>
            <w:tcW w:w="1356" w:type="dxa"/>
            <w:tcBorders>
              <w:top w:val="single" w:sz="4" w:space="0" w:color="BEBEBE"/>
            </w:tcBorders>
          </w:tcPr>
          <w:p w14:paraId="329C5B1F" w14:textId="77777777" w:rsidR="00BC24A8" w:rsidRDefault="00000000">
            <w:pPr>
              <w:pStyle w:val="TableParagraph"/>
              <w:spacing w:before="66" w:line="213" w:lineRule="exact"/>
              <w:ind w:left="128"/>
              <w:rPr>
                <w:sz w:val="18"/>
              </w:rPr>
            </w:pPr>
            <w:r>
              <w:rPr>
                <w:sz w:val="18"/>
              </w:rPr>
              <w:t xml:space="preserve">1 </w:t>
            </w:r>
            <w:r>
              <w:rPr>
                <w:spacing w:val="-2"/>
                <w:sz w:val="18"/>
              </w:rPr>
              <w:t>province</w:t>
            </w:r>
          </w:p>
        </w:tc>
        <w:tc>
          <w:tcPr>
            <w:tcW w:w="1350" w:type="dxa"/>
            <w:tcBorders>
              <w:top w:val="single" w:sz="4" w:space="0" w:color="BEBEBE"/>
            </w:tcBorders>
          </w:tcPr>
          <w:p w14:paraId="3360717B" w14:textId="77777777" w:rsidR="00BC24A8" w:rsidRDefault="00000000">
            <w:pPr>
              <w:pStyle w:val="TableParagraph"/>
              <w:spacing w:before="66" w:line="213" w:lineRule="exact"/>
              <w:ind w:left="120"/>
              <w:rPr>
                <w:sz w:val="18"/>
              </w:rPr>
            </w:pPr>
            <w:r>
              <w:rPr>
                <w:sz w:val="18"/>
              </w:rPr>
              <w:t>9</w:t>
            </w:r>
            <w:r>
              <w:rPr>
                <w:spacing w:val="-2"/>
                <w:sz w:val="18"/>
              </w:rPr>
              <w:t xml:space="preserve"> provinces</w:t>
            </w:r>
          </w:p>
        </w:tc>
        <w:tc>
          <w:tcPr>
            <w:tcW w:w="2085" w:type="dxa"/>
            <w:tcBorders>
              <w:top w:val="single" w:sz="4" w:space="0" w:color="BEBEBE"/>
            </w:tcBorders>
          </w:tcPr>
          <w:p w14:paraId="15EE3E86" w14:textId="77777777" w:rsidR="00BC24A8" w:rsidRDefault="00000000">
            <w:pPr>
              <w:pStyle w:val="TableParagraph"/>
              <w:spacing w:before="66" w:line="213" w:lineRule="exact"/>
              <w:ind w:left="122"/>
              <w:rPr>
                <w:sz w:val="18"/>
              </w:rPr>
            </w:pPr>
            <w:r>
              <w:rPr>
                <w:sz w:val="18"/>
              </w:rPr>
              <w:t>9</w:t>
            </w:r>
            <w:r>
              <w:rPr>
                <w:spacing w:val="-1"/>
                <w:sz w:val="18"/>
              </w:rPr>
              <w:t xml:space="preserve"> </w:t>
            </w:r>
            <w:r>
              <w:rPr>
                <w:sz w:val="18"/>
              </w:rPr>
              <w:t xml:space="preserve">provinces use </w:t>
            </w:r>
            <w:r>
              <w:rPr>
                <w:spacing w:val="-2"/>
                <w:sz w:val="18"/>
              </w:rPr>
              <w:t>GEDSI</w:t>
            </w:r>
          </w:p>
        </w:tc>
      </w:tr>
      <w:tr w:rsidR="00BC24A8" w14:paraId="0E58F979" w14:textId="77777777">
        <w:trPr>
          <w:trHeight w:val="219"/>
        </w:trPr>
        <w:tc>
          <w:tcPr>
            <w:tcW w:w="1611" w:type="dxa"/>
          </w:tcPr>
          <w:p w14:paraId="31A2A4A7" w14:textId="77777777" w:rsidR="00BC24A8" w:rsidRDefault="00000000">
            <w:pPr>
              <w:pStyle w:val="TableParagraph"/>
              <w:spacing w:line="200" w:lineRule="exact"/>
              <w:ind w:left="115"/>
              <w:rPr>
                <w:sz w:val="18"/>
              </w:rPr>
            </w:pPr>
            <w:r>
              <w:rPr>
                <w:sz w:val="18"/>
              </w:rPr>
              <w:t>provinces</w:t>
            </w:r>
            <w:r>
              <w:rPr>
                <w:spacing w:val="-1"/>
                <w:sz w:val="18"/>
              </w:rPr>
              <w:t xml:space="preserve"> </w:t>
            </w:r>
            <w:r>
              <w:rPr>
                <w:sz w:val="18"/>
              </w:rPr>
              <w:t xml:space="preserve">that </w:t>
            </w:r>
            <w:r>
              <w:rPr>
                <w:spacing w:val="-5"/>
                <w:sz w:val="18"/>
              </w:rPr>
              <w:t>use</w:t>
            </w:r>
          </w:p>
        </w:tc>
        <w:tc>
          <w:tcPr>
            <w:tcW w:w="1424" w:type="dxa"/>
          </w:tcPr>
          <w:p w14:paraId="4793691E" w14:textId="77777777" w:rsidR="00BC24A8" w:rsidRDefault="00BC24A8">
            <w:pPr>
              <w:pStyle w:val="TableParagraph"/>
              <w:rPr>
                <w:rFonts w:ascii="Times New Roman"/>
                <w:sz w:val="14"/>
              </w:rPr>
            </w:pPr>
          </w:p>
        </w:tc>
        <w:tc>
          <w:tcPr>
            <w:tcW w:w="1272" w:type="dxa"/>
          </w:tcPr>
          <w:p w14:paraId="7D34848D" w14:textId="77777777" w:rsidR="00BC24A8" w:rsidRDefault="00BC24A8">
            <w:pPr>
              <w:pStyle w:val="TableParagraph"/>
              <w:rPr>
                <w:rFonts w:ascii="Times New Roman"/>
                <w:sz w:val="14"/>
              </w:rPr>
            </w:pPr>
          </w:p>
        </w:tc>
        <w:tc>
          <w:tcPr>
            <w:tcW w:w="1356" w:type="dxa"/>
          </w:tcPr>
          <w:p w14:paraId="62CE2190" w14:textId="77777777" w:rsidR="00BC24A8" w:rsidRDefault="00000000">
            <w:pPr>
              <w:pStyle w:val="TableParagraph"/>
              <w:spacing w:line="200" w:lineRule="exact"/>
              <w:ind w:left="128"/>
              <w:rPr>
                <w:sz w:val="18"/>
              </w:rPr>
            </w:pPr>
            <w:r>
              <w:rPr>
                <w:spacing w:val="-2"/>
                <w:sz w:val="18"/>
              </w:rPr>
              <w:t>(PBD)</w:t>
            </w:r>
          </w:p>
        </w:tc>
        <w:tc>
          <w:tcPr>
            <w:tcW w:w="1350" w:type="dxa"/>
          </w:tcPr>
          <w:p w14:paraId="18EA7365" w14:textId="77777777" w:rsidR="00BC24A8" w:rsidRDefault="00BC24A8">
            <w:pPr>
              <w:pStyle w:val="TableParagraph"/>
              <w:rPr>
                <w:rFonts w:ascii="Times New Roman"/>
                <w:sz w:val="14"/>
              </w:rPr>
            </w:pPr>
          </w:p>
        </w:tc>
        <w:tc>
          <w:tcPr>
            <w:tcW w:w="2085" w:type="dxa"/>
          </w:tcPr>
          <w:p w14:paraId="7559BA9C" w14:textId="77777777" w:rsidR="00BC24A8" w:rsidRDefault="00000000">
            <w:pPr>
              <w:pStyle w:val="TableParagraph"/>
              <w:spacing w:line="200" w:lineRule="exact"/>
              <w:ind w:left="122"/>
              <w:rPr>
                <w:sz w:val="18"/>
              </w:rPr>
            </w:pPr>
            <w:r>
              <w:rPr>
                <w:sz w:val="18"/>
              </w:rPr>
              <w:t>analysis</w:t>
            </w:r>
            <w:r>
              <w:rPr>
                <w:spacing w:val="-1"/>
                <w:sz w:val="18"/>
              </w:rPr>
              <w:t xml:space="preserve"> </w:t>
            </w:r>
            <w:r>
              <w:rPr>
                <w:sz w:val="18"/>
              </w:rPr>
              <w:t xml:space="preserve">in </w:t>
            </w:r>
            <w:r>
              <w:rPr>
                <w:spacing w:val="-2"/>
                <w:sz w:val="18"/>
              </w:rPr>
              <w:t>planning</w:t>
            </w:r>
          </w:p>
        </w:tc>
      </w:tr>
      <w:tr w:rsidR="00BC24A8" w14:paraId="12A76B2C" w14:textId="77777777">
        <w:trPr>
          <w:trHeight w:val="219"/>
        </w:trPr>
        <w:tc>
          <w:tcPr>
            <w:tcW w:w="1611" w:type="dxa"/>
          </w:tcPr>
          <w:p w14:paraId="066741BF" w14:textId="77777777" w:rsidR="00BC24A8" w:rsidRDefault="00000000">
            <w:pPr>
              <w:pStyle w:val="TableParagraph"/>
              <w:spacing w:line="200" w:lineRule="exact"/>
              <w:ind w:left="115"/>
              <w:rPr>
                <w:sz w:val="18"/>
              </w:rPr>
            </w:pPr>
            <w:r>
              <w:rPr>
                <w:sz w:val="18"/>
              </w:rPr>
              <w:t>gender</w:t>
            </w:r>
            <w:r>
              <w:rPr>
                <w:spacing w:val="-5"/>
                <w:sz w:val="18"/>
              </w:rPr>
              <w:t xml:space="preserve"> and</w:t>
            </w:r>
          </w:p>
        </w:tc>
        <w:tc>
          <w:tcPr>
            <w:tcW w:w="1424" w:type="dxa"/>
          </w:tcPr>
          <w:p w14:paraId="4251E4FF" w14:textId="77777777" w:rsidR="00BC24A8" w:rsidRDefault="00BC24A8">
            <w:pPr>
              <w:pStyle w:val="TableParagraph"/>
              <w:rPr>
                <w:rFonts w:ascii="Times New Roman"/>
                <w:sz w:val="14"/>
              </w:rPr>
            </w:pPr>
          </w:p>
        </w:tc>
        <w:tc>
          <w:tcPr>
            <w:tcW w:w="1272" w:type="dxa"/>
          </w:tcPr>
          <w:p w14:paraId="5ACAF5B5" w14:textId="77777777" w:rsidR="00BC24A8" w:rsidRDefault="00BC24A8">
            <w:pPr>
              <w:pStyle w:val="TableParagraph"/>
              <w:rPr>
                <w:rFonts w:ascii="Times New Roman"/>
                <w:sz w:val="14"/>
              </w:rPr>
            </w:pPr>
          </w:p>
        </w:tc>
        <w:tc>
          <w:tcPr>
            <w:tcW w:w="1356" w:type="dxa"/>
          </w:tcPr>
          <w:p w14:paraId="37411040" w14:textId="77777777" w:rsidR="00BC24A8" w:rsidRDefault="00BC24A8">
            <w:pPr>
              <w:pStyle w:val="TableParagraph"/>
              <w:rPr>
                <w:rFonts w:ascii="Times New Roman"/>
                <w:sz w:val="14"/>
              </w:rPr>
            </w:pPr>
          </w:p>
        </w:tc>
        <w:tc>
          <w:tcPr>
            <w:tcW w:w="1350" w:type="dxa"/>
          </w:tcPr>
          <w:p w14:paraId="56192584" w14:textId="77777777" w:rsidR="00BC24A8" w:rsidRDefault="00BC24A8">
            <w:pPr>
              <w:pStyle w:val="TableParagraph"/>
              <w:rPr>
                <w:rFonts w:ascii="Times New Roman"/>
                <w:sz w:val="14"/>
              </w:rPr>
            </w:pPr>
          </w:p>
        </w:tc>
        <w:tc>
          <w:tcPr>
            <w:tcW w:w="2085" w:type="dxa"/>
          </w:tcPr>
          <w:p w14:paraId="1DC1109F" w14:textId="77777777" w:rsidR="00BC24A8" w:rsidRDefault="00000000">
            <w:pPr>
              <w:pStyle w:val="TableParagraph"/>
              <w:spacing w:line="200" w:lineRule="exact"/>
              <w:ind w:left="122"/>
              <w:rPr>
                <w:sz w:val="18"/>
              </w:rPr>
            </w:pPr>
            <w:r>
              <w:rPr>
                <w:sz w:val="18"/>
              </w:rPr>
              <w:t>documents</w:t>
            </w:r>
            <w:r>
              <w:rPr>
                <w:spacing w:val="-3"/>
                <w:sz w:val="18"/>
              </w:rPr>
              <w:t xml:space="preserve"> </w:t>
            </w:r>
            <w:r>
              <w:rPr>
                <w:spacing w:val="-2"/>
                <w:sz w:val="18"/>
              </w:rPr>
              <w:t>through</w:t>
            </w:r>
          </w:p>
        </w:tc>
      </w:tr>
      <w:tr w:rsidR="00BC24A8" w14:paraId="675FD5F4" w14:textId="77777777">
        <w:trPr>
          <w:trHeight w:val="220"/>
        </w:trPr>
        <w:tc>
          <w:tcPr>
            <w:tcW w:w="1611" w:type="dxa"/>
          </w:tcPr>
          <w:p w14:paraId="3BC72E6F" w14:textId="77777777" w:rsidR="00BC24A8" w:rsidRDefault="00000000">
            <w:pPr>
              <w:pStyle w:val="TableParagraph"/>
              <w:spacing w:line="200" w:lineRule="exact"/>
              <w:ind w:left="115"/>
              <w:rPr>
                <w:sz w:val="18"/>
              </w:rPr>
            </w:pPr>
            <w:r>
              <w:rPr>
                <w:sz w:val="18"/>
              </w:rPr>
              <w:t>disability</w:t>
            </w:r>
            <w:r>
              <w:rPr>
                <w:spacing w:val="-3"/>
                <w:sz w:val="18"/>
              </w:rPr>
              <w:t xml:space="preserve"> </w:t>
            </w:r>
            <w:r>
              <w:rPr>
                <w:spacing w:val="-2"/>
                <w:sz w:val="18"/>
              </w:rPr>
              <w:t>evidence</w:t>
            </w:r>
          </w:p>
        </w:tc>
        <w:tc>
          <w:tcPr>
            <w:tcW w:w="1424" w:type="dxa"/>
          </w:tcPr>
          <w:p w14:paraId="634D1BAF" w14:textId="77777777" w:rsidR="00BC24A8" w:rsidRDefault="00BC24A8">
            <w:pPr>
              <w:pStyle w:val="TableParagraph"/>
              <w:rPr>
                <w:rFonts w:ascii="Times New Roman"/>
                <w:sz w:val="14"/>
              </w:rPr>
            </w:pPr>
          </w:p>
        </w:tc>
        <w:tc>
          <w:tcPr>
            <w:tcW w:w="1272" w:type="dxa"/>
          </w:tcPr>
          <w:p w14:paraId="202BEDBB" w14:textId="77777777" w:rsidR="00BC24A8" w:rsidRDefault="00BC24A8">
            <w:pPr>
              <w:pStyle w:val="TableParagraph"/>
              <w:rPr>
                <w:rFonts w:ascii="Times New Roman"/>
                <w:sz w:val="14"/>
              </w:rPr>
            </w:pPr>
          </w:p>
        </w:tc>
        <w:tc>
          <w:tcPr>
            <w:tcW w:w="1356" w:type="dxa"/>
          </w:tcPr>
          <w:p w14:paraId="504BDAA7" w14:textId="77777777" w:rsidR="00BC24A8" w:rsidRDefault="00BC24A8">
            <w:pPr>
              <w:pStyle w:val="TableParagraph"/>
              <w:rPr>
                <w:rFonts w:ascii="Times New Roman"/>
                <w:sz w:val="14"/>
              </w:rPr>
            </w:pPr>
          </w:p>
        </w:tc>
        <w:tc>
          <w:tcPr>
            <w:tcW w:w="1350" w:type="dxa"/>
          </w:tcPr>
          <w:p w14:paraId="09100998" w14:textId="77777777" w:rsidR="00BC24A8" w:rsidRDefault="00BC24A8">
            <w:pPr>
              <w:pStyle w:val="TableParagraph"/>
              <w:rPr>
                <w:rFonts w:ascii="Times New Roman"/>
                <w:sz w:val="14"/>
              </w:rPr>
            </w:pPr>
          </w:p>
        </w:tc>
        <w:tc>
          <w:tcPr>
            <w:tcW w:w="2085" w:type="dxa"/>
          </w:tcPr>
          <w:p w14:paraId="474CC64A" w14:textId="77777777" w:rsidR="00BC24A8" w:rsidRDefault="00000000">
            <w:pPr>
              <w:pStyle w:val="TableParagraph"/>
              <w:spacing w:line="201" w:lineRule="exact"/>
              <w:ind w:left="122"/>
              <w:rPr>
                <w:sz w:val="18"/>
              </w:rPr>
            </w:pPr>
            <w:r>
              <w:rPr>
                <w:sz w:val="18"/>
              </w:rPr>
              <w:t>GAB/GBS,</w:t>
            </w:r>
            <w:r>
              <w:rPr>
                <w:spacing w:val="-7"/>
                <w:sz w:val="18"/>
              </w:rPr>
              <w:t xml:space="preserve"> </w:t>
            </w:r>
            <w:r>
              <w:rPr>
                <w:spacing w:val="-2"/>
                <w:sz w:val="18"/>
              </w:rPr>
              <w:t>SEPAKAT-</w:t>
            </w:r>
          </w:p>
        </w:tc>
      </w:tr>
      <w:tr w:rsidR="00BC24A8" w14:paraId="766B555B" w14:textId="77777777">
        <w:trPr>
          <w:trHeight w:val="218"/>
        </w:trPr>
        <w:tc>
          <w:tcPr>
            <w:tcW w:w="1611" w:type="dxa"/>
          </w:tcPr>
          <w:p w14:paraId="629FE002" w14:textId="77777777" w:rsidR="00BC24A8" w:rsidRDefault="00000000">
            <w:pPr>
              <w:pStyle w:val="TableParagraph"/>
              <w:spacing w:line="198" w:lineRule="exact"/>
              <w:ind w:left="115"/>
              <w:rPr>
                <w:sz w:val="18"/>
              </w:rPr>
            </w:pPr>
            <w:r>
              <w:rPr>
                <w:sz w:val="18"/>
              </w:rPr>
              <w:t>and</w:t>
            </w:r>
            <w:r>
              <w:rPr>
                <w:spacing w:val="-4"/>
                <w:sz w:val="18"/>
              </w:rPr>
              <w:t xml:space="preserve"> </w:t>
            </w:r>
            <w:r>
              <w:rPr>
                <w:sz w:val="18"/>
              </w:rPr>
              <w:t>analysis</w:t>
            </w:r>
            <w:r>
              <w:rPr>
                <w:spacing w:val="-1"/>
                <w:sz w:val="18"/>
              </w:rPr>
              <w:t xml:space="preserve"> </w:t>
            </w:r>
            <w:r>
              <w:rPr>
                <w:spacing w:val="-5"/>
                <w:sz w:val="18"/>
              </w:rPr>
              <w:t>in</w:t>
            </w:r>
          </w:p>
        </w:tc>
        <w:tc>
          <w:tcPr>
            <w:tcW w:w="1424" w:type="dxa"/>
          </w:tcPr>
          <w:p w14:paraId="2A619BEC" w14:textId="77777777" w:rsidR="00BC24A8" w:rsidRDefault="00BC24A8">
            <w:pPr>
              <w:pStyle w:val="TableParagraph"/>
              <w:rPr>
                <w:rFonts w:ascii="Times New Roman"/>
                <w:sz w:val="14"/>
              </w:rPr>
            </w:pPr>
          </w:p>
        </w:tc>
        <w:tc>
          <w:tcPr>
            <w:tcW w:w="1272" w:type="dxa"/>
          </w:tcPr>
          <w:p w14:paraId="7DA7757C" w14:textId="77777777" w:rsidR="00BC24A8" w:rsidRDefault="00BC24A8">
            <w:pPr>
              <w:pStyle w:val="TableParagraph"/>
              <w:rPr>
                <w:rFonts w:ascii="Times New Roman"/>
                <w:sz w:val="14"/>
              </w:rPr>
            </w:pPr>
          </w:p>
        </w:tc>
        <w:tc>
          <w:tcPr>
            <w:tcW w:w="1356" w:type="dxa"/>
          </w:tcPr>
          <w:p w14:paraId="1C532490" w14:textId="77777777" w:rsidR="00BC24A8" w:rsidRDefault="00BC24A8">
            <w:pPr>
              <w:pStyle w:val="TableParagraph"/>
              <w:rPr>
                <w:rFonts w:ascii="Times New Roman"/>
                <w:sz w:val="14"/>
              </w:rPr>
            </w:pPr>
          </w:p>
        </w:tc>
        <w:tc>
          <w:tcPr>
            <w:tcW w:w="1350" w:type="dxa"/>
          </w:tcPr>
          <w:p w14:paraId="3CAE6E5F" w14:textId="77777777" w:rsidR="00BC24A8" w:rsidRDefault="00BC24A8">
            <w:pPr>
              <w:pStyle w:val="TableParagraph"/>
              <w:rPr>
                <w:rFonts w:ascii="Times New Roman"/>
                <w:sz w:val="14"/>
              </w:rPr>
            </w:pPr>
          </w:p>
        </w:tc>
        <w:tc>
          <w:tcPr>
            <w:tcW w:w="2085" w:type="dxa"/>
          </w:tcPr>
          <w:p w14:paraId="0ACD05FC" w14:textId="77777777" w:rsidR="00BC24A8" w:rsidRDefault="00000000">
            <w:pPr>
              <w:pStyle w:val="TableParagraph"/>
              <w:spacing w:line="198" w:lineRule="exact"/>
              <w:ind w:left="122"/>
              <w:rPr>
                <w:sz w:val="18"/>
              </w:rPr>
            </w:pPr>
            <w:r>
              <w:rPr>
                <w:sz w:val="18"/>
              </w:rPr>
              <w:t>Regsosek</w:t>
            </w:r>
            <w:r>
              <w:rPr>
                <w:spacing w:val="-5"/>
                <w:sz w:val="18"/>
              </w:rPr>
              <w:t xml:space="preserve"> </w:t>
            </w:r>
            <w:r>
              <w:rPr>
                <w:sz w:val="18"/>
              </w:rPr>
              <w:t>analysis,</w:t>
            </w:r>
            <w:r>
              <w:rPr>
                <w:spacing w:val="-4"/>
                <w:sz w:val="18"/>
              </w:rPr>
              <w:t xml:space="preserve"> </w:t>
            </w:r>
            <w:r>
              <w:rPr>
                <w:spacing w:val="-2"/>
                <w:sz w:val="18"/>
              </w:rPr>
              <w:t>except</w:t>
            </w:r>
          </w:p>
        </w:tc>
      </w:tr>
      <w:tr w:rsidR="00BC24A8" w14:paraId="55DD2C36" w14:textId="77777777">
        <w:trPr>
          <w:trHeight w:val="220"/>
        </w:trPr>
        <w:tc>
          <w:tcPr>
            <w:tcW w:w="1611" w:type="dxa"/>
          </w:tcPr>
          <w:p w14:paraId="0EB688D6" w14:textId="77777777" w:rsidR="00BC24A8" w:rsidRDefault="00000000">
            <w:pPr>
              <w:pStyle w:val="TableParagraph"/>
              <w:spacing w:line="200" w:lineRule="exact"/>
              <w:ind w:left="115"/>
              <w:rPr>
                <w:sz w:val="18"/>
              </w:rPr>
            </w:pPr>
            <w:r>
              <w:rPr>
                <w:sz w:val="18"/>
              </w:rPr>
              <w:t xml:space="preserve">planning </w:t>
            </w:r>
            <w:r>
              <w:rPr>
                <w:spacing w:val="-5"/>
                <w:sz w:val="18"/>
              </w:rPr>
              <w:t>and</w:t>
            </w:r>
          </w:p>
        </w:tc>
        <w:tc>
          <w:tcPr>
            <w:tcW w:w="1424" w:type="dxa"/>
          </w:tcPr>
          <w:p w14:paraId="0BAC2820" w14:textId="77777777" w:rsidR="00BC24A8" w:rsidRDefault="00BC24A8">
            <w:pPr>
              <w:pStyle w:val="TableParagraph"/>
              <w:rPr>
                <w:rFonts w:ascii="Times New Roman"/>
                <w:sz w:val="14"/>
              </w:rPr>
            </w:pPr>
          </w:p>
        </w:tc>
        <w:tc>
          <w:tcPr>
            <w:tcW w:w="1272" w:type="dxa"/>
          </w:tcPr>
          <w:p w14:paraId="668C17CF" w14:textId="77777777" w:rsidR="00BC24A8" w:rsidRDefault="00BC24A8">
            <w:pPr>
              <w:pStyle w:val="TableParagraph"/>
              <w:rPr>
                <w:rFonts w:ascii="Times New Roman"/>
                <w:sz w:val="14"/>
              </w:rPr>
            </w:pPr>
          </w:p>
        </w:tc>
        <w:tc>
          <w:tcPr>
            <w:tcW w:w="1356" w:type="dxa"/>
          </w:tcPr>
          <w:p w14:paraId="277A4548" w14:textId="77777777" w:rsidR="00BC24A8" w:rsidRDefault="00BC24A8">
            <w:pPr>
              <w:pStyle w:val="TableParagraph"/>
              <w:rPr>
                <w:rFonts w:ascii="Times New Roman"/>
                <w:sz w:val="14"/>
              </w:rPr>
            </w:pPr>
          </w:p>
        </w:tc>
        <w:tc>
          <w:tcPr>
            <w:tcW w:w="1350" w:type="dxa"/>
          </w:tcPr>
          <w:p w14:paraId="18C08FE9" w14:textId="77777777" w:rsidR="00BC24A8" w:rsidRDefault="00BC24A8">
            <w:pPr>
              <w:pStyle w:val="TableParagraph"/>
              <w:rPr>
                <w:rFonts w:ascii="Times New Roman"/>
                <w:sz w:val="14"/>
              </w:rPr>
            </w:pPr>
          </w:p>
        </w:tc>
        <w:tc>
          <w:tcPr>
            <w:tcW w:w="2085" w:type="dxa"/>
          </w:tcPr>
          <w:p w14:paraId="2E5D8C54" w14:textId="77777777" w:rsidR="00BC24A8" w:rsidRDefault="00000000">
            <w:pPr>
              <w:pStyle w:val="TableParagraph"/>
              <w:spacing w:line="201" w:lineRule="exact"/>
              <w:ind w:left="122"/>
              <w:rPr>
                <w:sz w:val="18"/>
              </w:rPr>
            </w:pPr>
            <w:r>
              <w:rPr>
                <w:sz w:val="18"/>
              </w:rPr>
              <w:t>for</w:t>
            </w:r>
            <w:r>
              <w:rPr>
                <w:spacing w:val="-4"/>
                <w:sz w:val="18"/>
              </w:rPr>
              <w:t xml:space="preserve"> </w:t>
            </w:r>
            <w:r>
              <w:rPr>
                <w:sz w:val="18"/>
              </w:rPr>
              <w:t>Papua</w:t>
            </w:r>
            <w:r>
              <w:rPr>
                <w:spacing w:val="-3"/>
                <w:sz w:val="18"/>
              </w:rPr>
              <w:t xml:space="preserve"> </w:t>
            </w:r>
            <w:r>
              <w:rPr>
                <w:sz w:val="18"/>
              </w:rPr>
              <w:t>Barat</w:t>
            </w:r>
            <w:r>
              <w:rPr>
                <w:spacing w:val="-1"/>
                <w:sz w:val="18"/>
              </w:rPr>
              <w:t xml:space="preserve"> </w:t>
            </w:r>
            <w:r>
              <w:rPr>
                <w:spacing w:val="-4"/>
                <w:sz w:val="18"/>
              </w:rPr>
              <w:t>Daya</w:t>
            </w:r>
          </w:p>
        </w:tc>
      </w:tr>
      <w:tr w:rsidR="00BC24A8" w14:paraId="26E2BDDC" w14:textId="77777777">
        <w:trPr>
          <w:trHeight w:val="218"/>
        </w:trPr>
        <w:tc>
          <w:tcPr>
            <w:tcW w:w="1611" w:type="dxa"/>
          </w:tcPr>
          <w:p w14:paraId="20F5E837" w14:textId="77777777" w:rsidR="00BC24A8" w:rsidRDefault="00000000">
            <w:pPr>
              <w:pStyle w:val="TableParagraph"/>
              <w:spacing w:line="198" w:lineRule="exact"/>
              <w:ind w:left="115"/>
              <w:rPr>
                <w:sz w:val="18"/>
              </w:rPr>
            </w:pPr>
            <w:r>
              <w:rPr>
                <w:sz w:val="18"/>
              </w:rPr>
              <w:t>budgeting,</w:t>
            </w:r>
            <w:r>
              <w:rPr>
                <w:spacing w:val="-3"/>
                <w:sz w:val="18"/>
              </w:rPr>
              <w:t xml:space="preserve"> </w:t>
            </w:r>
            <w:r>
              <w:rPr>
                <w:spacing w:val="-4"/>
                <w:sz w:val="18"/>
              </w:rPr>
              <w:t>with</w:t>
            </w:r>
          </w:p>
        </w:tc>
        <w:tc>
          <w:tcPr>
            <w:tcW w:w="1424" w:type="dxa"/>
          </w:tcPr>
          <w:p w14:paraId="14DA3C3B" w14:textId="77777777" w:rsidR="00BC24A8" w:rsidRDefault="00BC24A8">
            <w:pPr>
              <w:pStyle w:val="TableParagraph"/>
              <w:rPr>
                <w:rFonts w:ascii="Times New Roman"/>
                <w:sz w:val="14"/>
              </w:rPr>
            </w:pPr>
          </w:p>
        </w:tc>
        <w:tc>
          <w:tcPr>
            <w:tcW w:w="1272" w:type="dxa"/>
          </w:tcPr>
          <w:p w14:paraId="13456A65" w14:textId="77777777" w:rsidR="00BC24A8" w:rsidRDefault="00BC24A8">
            <w:pPr>
              <w:pStyle w:val="TableParagraph"/>
              <w:rPr>
                <w:rFonts w:ascii="Times New Roman"/>
                <w:sz w:val="14"/>
              </w:rPr>
            </w:pPr>
          </w:p>
        </w:tc>
        <w:tc>
          <w:tcPr>
            <w:tcW w:w="1356" w:type="dxa"/>
          </w:tcPr>
          <w:p w14:paraId="690F58B1" w14:textId="77777777" w:rsidR="00BC24A8" w:rsidRDefault="00BC24A8">
            <w:pPr>
              <w:pStyle w:val="TableParagraph"/>
              <w:rPr>
                <w:rFonts w:ascii="Times New Roman"/>
                <w:sz w:val="14"/>
              </w:rPr>
            </w:pPr>
          </w:p>
        </w:tc>
        <w:tc>
          <w:tcPr>
            <w:tcW w:w="1350" w:type="dxa"/>
          </w:tcPr>
          <w:p w14:paraId="0CCA5A64" w14:textId="77777777" w:rsidR="00BC24A8" w:rsidRDefault="00BC24A8">
            <w:pPr>
              <w:pStyle w:val="TableParagraph"/>
              <w:rPr>
                <w:rFonts w:ascii="Times New Roman"/>
                <w:sz w:val="14"/>
              </w:rPr>
            </w:pPr>
          </w:p>
        </w:tc>
        <w:tc>
          <w:tcPr>
            <w:tcW w:w="2085" w:type="dxa"/>
          </w:tcPr>
          <w:p w14:paraId="49FA6ADF" w14:textId="77777777" w:rsidR="00BC24A8" w:rsidRDefault="00000000">
            <w:pPr>
              <w:pStyle w:val="TableParagraph"/>
              <w:spacing w:line="198" w:lineRule="exact"/>
              <w:ind w:left="122"/>
              <w:rPr>
                <w:sz w:val="18"/>
              </w:rPr>
            </w:pPr>
            <w:r>
              <w:rPr>
                <w:sz w:val="18"/>
              </w:rPr>
              <w:t>which</w:t>
            </w:r>
            <w:r>
              <w:rPr>
                <w:spacing w:val="-1"/>
                <w:sz w:val="18"/>
              </w:rPr>
              <w:t xml:space="preserve"> </w:t>
            </w:r>
            <w:r>
              <w:rPr>
                <w:sz w:val="18"/>
              </w:rPr>
              <w:t>is taking</w:t>
            </w:r>
            <w:r>
              <w:rPr>
                <w:spacing w:val="-1"/>
                <w:sz w:val="18"/>
              </w:rPr>
              <w:t xml:space="preserve"> </w:t>
            </w:r>
            <w:r>
              <w:rPr>
                <w:sz w:val="18"/>
              </w:rPr>
              <w:t xml:space="preserve">care </w:t>
            </w:r>
            <w:r>
              <w:rPr>
                <w:spacing w:val="-5"/>
                <w:sz w:val="18"/>
              </w:rPr>
              <w:t>of</w:t>
            </w:r>
          </w:p>
        </w:tc>
      </w:tr>
      <w:tr w:rsidR="00BC24A8" w14:paraId="2D8EB498" w14:textId="77777777">
        <w:trPr>
          <w:trHeight w:val="223"/>
        </w:trPr>
        <w:tc>
          <w:tcPr>
            <w:tcW w:w="1611" w:type="dxa"/>
          </w:tcPr>
          <w:p w14:paraId="639A7A62" w14:textId="77777777" w:rsidR="00BC24A8" w:rsidRDefault="00000000">
            <w:pPr>
              <w:pStyle w:val="TableParagraph"/>
              <w:spacing w:line="200" w:lineRule="exact"/>
              <w:ind w:left="115"/>
              <w:rPr>
                <w:sz w:val="18"/>
              </w:rPr>
            </w:pPr>
            <w:r>
              <w:rPr>
                <w:sz w:val="18"/>
              </w:rPr>
              <w:t>SKALA</w:t>
            </w:r>
            <w:r>
              <w:rPr>
                <w:spacing w:val="-4"/>
                <w:sz w:val="18"/>
              </w:rPr>
              <w:t xml:space="preserve"> </w:t>
            </w:r>
            <w:r>
              <w:rPr>
                <w:spacing w:val="-2"/>
                <w:sz w:val="18"/>
              </w:rPr>
              <w:t>support.</w:t>
            </w:r>
          </w:p>
        </w:tc>
        <w:tc>
          <w:tcPr>
            <w:tcW w:w="1424" w:type="dxa"/>
          </w:tcPr>
          <w:p w14:paraId="3855FD29" w14:textId="77777777" w:rsidR="00BC24A8" w:rsidRDefault="00BC24A8">
            <w:pPr>
              <w:pStyle w:val="TableParagraph"/>
              <w:rPr>
                <w:rFonts w:ascii="Times New Roman"/>
                <w:sz w:val="14"/>
              </w:rPr>
            </w:pPr>
          </w:p>
        </w:tc>
        <w:tc>
          <w:tcPr>
            <w:tcW w:w="1272" w:type="dxa"/>
          </w:tcPr>
          <w:p w14:paraId="55DDD586" w14:textId="77777777" w:rsidR="00BC24A8" w:rsidRDefault="00BC24A8">
            <w:pPr>
              <w:pStyle w:val="TableParagraph"/>
              <w:rPr>
                <w:rFonts w:ascii="Times New Roman"/>
                <w:sz w:val="14"/>
              </w:rPr>
            </w:pPr>
          </w:p>
        </w:tc>
        <w:tc>
          <w:tcPr>
            <w:tcW w:w="1356" w:type="dxa"/>
          </w:tcPr>
          <w:p w14:paraId="3A556865" w14:textId="77777777" w:rsidR="00BC24A8" w:rsidRDefault="00BC24A8">
            <w:pPr>
              <w:pStyle w:val="TableParagraph"/>
              <w:rPr>
                <w:rFonts w:ascii="Times New Roman"/>
                <w:sz w:val="14"/>
              </w:rPr>
            </w:pPr>
          </w:p>
        </w:tc>
        <w:tc>
          <w:tcPr>
            <w:tcW w:w="1350" w:type="dxa"/>
          </w:tcPr>
          <w:p w14:paraId="7992C80D" w14:textId="77777777" w:rsidR="00BC24A8" w:rsidRDefault="00BC24A8">
            <w:pPr>
              <w:pStyle w:val="TableParagraph"/>
              <w:rPr>
                <w:rFonts w:ascii="Times New Roman"/>
                <w:sz w:val="14"/>
              </w:rPr>
            </w:pPr>
          </w:p>
        </w:tc>
        <w:tc>
          <w:tcPr>
            <w:tcW w:w="2085" w:type="dxa"/>
          </w:tcPr>
          <w:p w14:paraId="0F118101" w14:textId="77777777" w:rsidR="00BC24A8" w:rsidRDefault="00000000">
            <w:pPr>
              <w:pStyle w:val="TableParagraph"/>
              <w:spacing w:line="203" w:lineRule="exact"/>
              <w:ind w:left="122"/>
              <w:rPr>
                <w:sz w:val="18"/>
              </w:rPr>
            </w:pPr>
            <w:r>
              <w:rPr>
                <w:sz w:val="18"/>
              </w:rPr>
              <w:t>Regsosek</w:t>
            </w:r>
            <w:r>
              <w:rPr>
                <w:spacing w:val="-4"/>
                <w:sz w:val="18"/>
              </w:rPr>
              <w:t xml:space="preserve"> </w:t>
            </w:r>
            <w:r>
              <w:rPr>
                <w:sz w:val="18"/>
              </w:rPr>
              <w:t>access</w:t>
            </w:r>
            <w:r>
              <w:rPr>
                <w:spacing w:val="-3"/>
                <w:sz w:val="18"/>
              </w:rPr>
              <w:t xml:space="preserve"> </w:t>
            </w:r>
            <w:r>
              <w:rPr>
                <w:spacing w:val="-2"/>
                <w:sz w:val="18"/>
              </w:rPr>
              <w:t>rights.</w:t>
            </w:r>
          </w:p>
        </w:tc>
      </w:tr>
      <w:tr w:rsidR="00BC24A8" w14:paraId="2FBB425A" w14:textId="77777777">
        <w:trPr>
          <w:trHeight w:val="219"/>
        </w:trPr>
        <w:tc>
          <w:tcPr>
            <w:tcW w:w="1611" w:type="dxa"/>
          </w:tcPr>
          <w:p w14:paraId="56B2EBA8" w14:textId="77777777" w:rsidR="00BC24A8" w:rsidRDefault="00BC24A8">
            <w:pPr>
              <w:pStyle w:val="TableParagraph"/>
              <w:rPr>
                <w:rFonts w:ascii="Times New Roman"/>
                <w:sz w:val="14"/>
              </w:rPr>
            </w:pPr>
          </w:p>
        </w:tc>
        <w:tc>
          <w:tcPr>
            <w:tcW w:w="1424" w:type="dxa"/>
          </w:tcPr>
          <w:p w14:paraId="29076DF7" w14:textId="77777777" w:rsidR="00BC24A8" w:rsidRDefault="00BC24A8">
            <w:pPr>
              <w:pStyle w:val="TableParagraph"/>
              <w:rPr>
                <w:rFonts w:ascii="Times New Roman"/>
                <w:sz w:val="14"/>
              </w:rPr>
            </w:pPr>
          </w:p>
        </w:tc>
        <w:tc>
          <w:tcPr>
            <w:tcW w:w="1272" w:type="dxa"/>
          </w:tcPr>
          <w:p w14:paraId="1D125FB8" w14:textId="77777777" w:rsidR="00BC24A8" w:rsidRDefault="00BC24A8">
            <w:pPr>
              <w:pStyle w:val="TableParagraph"/>
              <w:rPr>
                <w:rFonts w:ascii="Times New Roman"/>
                <w:sz w:val="14"/>
              </w:rPr>
            </w:pPr>
          </w:p>
        </w:tc>
        <w:tc>
          <w:tcPr>
            <w:tcW w:w="1356" w:type="dxa"/>
          </w:tcPr>
          <w:p w14:paraId="64EED827" w14:textId="77777777" w:rsidR="00BC24A8" w:rsidRDefault="00BC24A8">
            <w:pPr>
              <w:pStyle w:val="TableParagraph"/>
              <w:rPr>
                <w:rFonts w:ascii="Times New Roman"/>
                <w:sz w:val="14"/>
              </w:rPr>
            </w:pPr>
          </w:p>
        </w:tc>
        <w:tc>
          <w:tcPr>
            <w:tcW w:w="1350" w:type="dxa"/>
          </w:tcPr>
          <w:p w14:paraId="39E746DB" w14:textId="77777777" w:rsidR="00BC24A8" w:rsidRDefault="00BC24A8">
            <w:pPr>
              <w:pStyle w:val="TableParagraph"/>
              <w:rPr>
                <w:rFonts w:ascii="Times New Roman"/>
                <w:sz w:val="14"/>
              </w:rPr>
            </w:pPr>
          </w:p>
        </w:tc>
        <w:tc>
          <w:tcPr>
            <w:tcW w:w="2085" w:type="dxa"/>
          </w:tcPr>
          <w:p w14:paraId="78960E9B" w14:textId="77777777" w:rsidR="00BC24A8" w:rsidRDefault="00000000">
            <w:pPr>
              <w:pStyle w:val="TableParagraph"/>
              <w:spacing w:line="200" w:lineRule="exact"/>
              <w:ind w:left="122"/>
              <w:rPr>
                <w:sz w:val="18"/>
              </w:rPr>
            </w:pPr>
            <w:r>
              <w:rPr>
                <w:sz w:val="18"/>
              </w:rPr>
              <w:t>These</w:t>
            </w:r>
            <w:r>
              <w:rPr>
                <w:spacing w:val="-2"/>
                <w:sz w:val="18"/>
              </w:rPr>
              <w:t xml:space="preserve"> </w:t>
            </w:r>
            <w:r>
              <w:rPr>
                <w:sz w:val="18"/>
              </w:rPr>
              <w:t>results</w:t>
            </w:r>
            <w:r>
              <w:rPr>
                <w:spacing w:val="-1"/>
                <w:sz w:val="18"/>
              </w:rPr>
              <w:t xml:space="preserve"> </w:t>
            </w:r>
            <w:r>
              <w:rPr>
                <w:sz w:val="18"/>
              </w:rPr>
              <w:t xml:space="preserve">will </w:t>
            </w:r>
            <w:r>
              <w:rPr>
                <w:spacing w:val="-5"/>
                <w:sz w:val="18"/>
              </w:rPr>
              <w:t>be</w:t>
            </w:r>
          </w:p>
        </w:tc>
      </w:tr>
      <w:tr w:rsidR="00BC24A8" w14:paraId="5A3D0AFE" w14:textId="77777777">
        <w:trPr>
          <w:trHeight w:val="219"/>
        </w:trPr>
        <w:tc>
          <w:tcPr>
            <w:tcW w:w="1611" w:type="dxa"/>
          </w:tcPr>
          <w:p w14:paraId="3DED3BDB" w14:textId="77777777" w:rsidR="00BC24A8" w:rsidRDefault="00BC24A8">
            <w:pPr>
              <w:pStyle w:val="TableParagraph"/>
              <w:rPr>
                <w:rFonts w:ascii="Times New Roman"/>
                <w:sz w:val="14"/>
              </w:rPr>
            </w:pPr>
          </w:p>
        </w:tc>
        <w:tc>
          <w:tcPr>
            <w:tcW w:w="1424" w:type="dxa"/>
          </w:tcPr>
          <w:p w14:paraId="511E0D22" w14:textId="77777777" w:rsidR="00BC24A8" w:rsidRDefault="00BC24A8">
            <w:pPr>
              <w:pStyle w:val="TableParagraph"/>
              <w:rPr>
                <w:rFonts w:ascii="Times New Roman"/>
                <w:sz w:val="14"/>
              </w:rPr>
            </w:pPr>
          </w:p>
        </w:tc>
        <w:tc>
          <w:tcPr>
            <w:tcW w:w="1272" w:type="dxa"/>
          </w:tcPr>
          <w:p w14:paraId="08EAC39F" w14:textId="77777777" w:rsidR="00BC24A8" w:rsidRDefault="00BC24A8">
            <w:pPr>
              <w:pStyle w:val="TableParagraph"/>
              <w:rPr>
                <w:rFonts w:ascii="Times New Roman"/>
                <w:sz w:val="14"/>
              </w:rPr>
            </w:pPr>
          </w:p>
        </w:tc>
        <w:tc>
          <w:tcPr>
            <w:tcW w:w="1356" w:type="dxa"/>
          </w:tcPr>
          <w:p w14:paraId="315F5E50" w14:textId="77777777" w:rsidR="00BC24A8" w:rsidRDefault="00BC24A8">
            <w:pPr>
              <w:pStyle w:val="TableParagraph"/>
              <w:rPr>
                <w:rFonts w:ascii="Times New Roman"/>
                <w:sz w:val="14"/>
              </w:rPr>
            </w:pPr>
          </w:p>
        </w:tc>
        <w:tc>
          <w:tcPr>
            <w:tcW w:w="1350" w:type="dxa"/>
          </w:tcPr>
          <w:p w14:paraId="32B1FBB4" w14:textId="77777777" w:rsidR="00BC24A8" w:rsidRDefault="00BC24A8">
            <w:pPr>
              <w:pStyle w:val="TableParagraph"/>
              <w:rPr>
                <w:rFonts w:ascii="Times New Roman"/>
                <w:sz w:val="14"/>
              </w:rPr>
            </w:pPr>
          </w:p>
        </w:tc>
        <w:tc>
          <w:tcPr>
            <w:tcW w:w="2085" w:type="dxa"/>
          </w:tcPr>
          <w:p w14:paraId="7111FDA8" w14:textId="77777777" w:rsidR="00BC24A8" w:rsidRDefault="00000000">
            <w:pPr>
              <w:pStyle w:val="TableParagraph"/>
              <w:spacing w:line="200" w:lineRule="exact"/>
              <w:ind w:left="122"/>
              <w:rPr>
                <w:sz w:val="18"/>
              </w:rPr>
            </w:pPr>
            <w:r>
              <w:rPr>
                <w:sz w:val="18"/>
              </w:rPr>
              <w:t xml:space="preserve">verified in the </w:t>
            </w:r>
            <w:r>
              <w:rPr>
                <w:spacing w:val="-4"/>
                <w:sz w:val="18"/>
              </w:rPr>
              <w:t>next</w:t>
            </w:r>
          </w:p>
        </w:tc>
      </w:tr>
      <w:tr w:rsidR="00BC24A8" w14:paraId="4647AC1C" w14:textId="77777777">
        <w:trPr>
          <w:trHeight w:val="219"/>
        </w:trPr>
        <w:tc>
          <w:tcPr>
            <w:tcW w:w="1611" w:type="dxa"/>
          </w:tcPr>
          <w:p w14:paraId="72DBA0F1" w14:textId="77777777" w:rsidR="00BC24A8" w:rsidRDefault="00BC24A8">
            <w:pPr>
              <w:pStyle w:val="TableParagraph"/>
              <w:rPr>
                <w:rFonts w:ascii="Times New Roman"/>
                <w:sz w:val="14"/>
              </w:rPr>
            </w:pPr>
          </w:p>
        </w:tc>
        <w:tc>
          <w:tcPr>
            <w:tcW w:w="1424" w:type="dxa"/>
          </w:tcPr>
          <w:p w14:paraId="6EBA2240" w14:textId="77777777" w:rsidR="00BC24A8" w:rsidRDefault="00BC24A8">
            <w:pPr>
              <w:pStyle w:val="TableParagraph"/>
              <w:rPr>
                <w:rFonts w:ascii="Times New Roman"/>
                <w:sz w:val="14"/>
              </w:rPr>
            </w:pPr>
          </w:p>
        </w:tc>
        <w:tc>
          <w:tcPr>
            <w:tcW w:w="1272" w:type="dxa"/>
          </w:tcPr>
          <w:p w14:paraId="75C0F63F" w14:textId="77777777" w:rsidR="00BC24A8" w:rsidRDefault="00BC24A8">
            <w:pPr>
              <w:pStyle w:val="TableParagraph"/>
              <w:rPr>
                <w:rFonts w:ascii="Times New Roman"/>
                <w:sz w:val="14"/>
              </w:rPr>
            </w:pPr>
          </w:p>
        </w:tc>
        <w:tc>
          <w:tcPr>
            <w:tcW w:w="1356" w:type="dxa"/>
          </w:tcPr>
          <w:p w14:paraId="06B3B89D" w14:textId="77777777" w:rsidR="00BC24A8" w:rsidRDefault="00BC24A8">
            <w:pPr>
              <w:pStyle w:val="TableParagraph"/>
              <w:rPr>
                <w:rFonts w:ascii="Times New Roman"/>
                <w:sz w:val="14"/>
              </w:rPr>
            </w:pPr>
          </w:p>
        </w:tc>
        <w:tc>
          <w:tcPr>
            <w:tcW w:w="1350" w:type="dxa"/>
          </w:tcPr>
          <w:p w14:paraId="37BE1DE7" w14:textId="77777777" w:rsidR="00BC24A8" w:rsidRDefault="00BC24A8">
            <w:pPr>
              <w:pStyle w:val="TableParagraph"/>
              <w:rPr>
                <w:rFonts w:ascii="Times New Roman"/>
                <w:sz w:val="14"/>
              </w:rPr>
            </w:pPr>
          </w:p>
        </w:tc>
        <w:tc>
          <w:tcPr>
            <w:tcW w:w="2085" w:type="dxa"/>
          </w:tcPr>
          <w:p w14:paraId="138DE99B" w14:textId="77777777" w:rsidR="00BC24A8" w:rsidRDefault="00000000">
            <w:pPr>
              <w:pStyle w:val="TableParagraph"/>
              <w:spacing w:line="200" w:lineRule="exact"/>
              <w:ind w:left="122"/>
              <w:rPr>
                <w:sz w:val="18"/>
              </w:rPr>
            </w:pPr>
            <w:r>
              <w:rPr>
                <w:sz w:val="18"/>
              </w:rPr>
              <w:t>semester,</w:t>
            </w:r>
            <w:r>
              <w:rPr>
                <w:spacing w:val="-4"/>
                <w:sz w:val="18"/>
              </w:rPr>
              <w:t xml:space="preserve"> </w:t>
            </w:r>
            <w:r>
              <w:rPr>
                <w:sz w:val="18"/>
              </w:rPr>
              <w:t>as</w:t>
            </w:r>
            <w:r>
              <w:rPr>
                <w:spacing w:val="-2"/>
                <w:sz w:val="18"/>
              </w:rPr>
              <w:t xml:space="preserve"> </w:t>
            </w:r>
            <w:r>
              <w:rPr>
                <w:spacing w:val="-5"/>
                <w:sz w:val="18"/>
              </w:rPr>
              <w:t>the</w:t>
            </w:r>
          </w:p>
        </w:tc>
      </w:tr>
      <w:tr w:rsidR="00BC24A8" w14:paraId="644D8EE7" w14:textId="77777777">
        <w:trPr>
          <w:trHeight w:val="220"/>
        </w:trPr>
        <w:tc>
          <w:tcPr>
            <w:tcW w:w="1611" w:type="dxa"/>
          </w:tcPr>
          <w:p w14:paraId="46A28EFB" w14:textId="77777777" w:rsidR="00BC24A8" w:rsidRDefault="00BC24A8">
            <w:pPr>
              <w:pStyle w:val="TableParagraph"/>
              <w:rPr>
                <w:rFonts w:ascii="Times New Roman"/>
                <w:sz w:val="14"/>
              </w:rPr>
            </w:pPr>
          </w:p>
        </w:tc>
        <w:tc>
          <w:tcPr>
            <w:tcW w:w="1424" w:type="dxa"/>
          </w:tcPr>
          <w:p w14:paraId="655400BC" w14:textId="77777777" w:rsidR="00BC24A8" w:rsidRDefault="00BC24A8">
            <w:pPr>
              <w:pStyle w:val="TableParagraph"/>
              <w:rPr>
                <w:rFonts w:ascii="Times New Roman"/>
                <w:sz w:val="14"/>
              </w:rPr>
            </w:pPr>
          </w:p>
        </w:tc>
        <w:tc>
          <w:tcPr>
            <w:tcW w:w="1272" w:type="dxa"/>
          </w:tcPr>
          <w:p w14:paraId="62AD060F" w14:textId="77777777" w:rsidR="00BC24A8" w:rsidRDefault="00BC24A8">
            <w:pPr>
              <w:pStyle w:val="TableParagraph"/>
              <w:rPr>
                <w:rFonts w:ascii="Times New Roman"/>
                <w:sz w:val="14"/>
              </w:rPr>
            </w:pPr>
          </w:p>
        </w:tc>
        <w:tc>
          <w:tcPr>
            <w:tcW w:w="1356" w:type="dxa"/>
          </w:tcPr>
          <w:p w14:paraId="22CE5E85" w14:textId="77777777" w:rsidR="00BC24A8" w:rsidRDefault="00BC24A8">
            <w:pPr>
              <w:pStyle w:val="TableParagraph"/>
              <w:rPr>
                <w:rFonts w:ascii="Times New Roman"/>
                <w:sz w:val="14"/>
              </w:rPr>
            </w:pPr>
          </w:p>
        </w:tc>
        <w:tc>
          <w:tcPr>
            <w:tcW w:w="1350" w:type="dxa"/>
          </w:tcPr>
          <w:p w14:paraId="620CCB76" w14:textId="77777777" w:rsidR="00BC24A8" w:rsidRDefault="00BC24A8">
            <w:pPr>
              <w:pStyle w:val="TableParagraph"/>
              <w:rPr>
                <w:rFonts w:ascii="Times New Roman"/>
                <w:sz w:val="14"/>
              </w:rPr>
            </w:pPr>
          </w:p>
        </w:tc>
        <w:tc>
          <w:tcPr>
            <w:tcW w:w="2085" w:type="dxa"/>
          </w:tcPr>
          <w:p w14:paraId="1FE66215" w14:textId="77777777" w:rsidR="00BC24A8" w:rsidRDefault="00000000">
            <w:pPr>
              <w:pStyle w:val="TableParagraph"/>
              <w:spacing w:line="201" w:lineRule="exact"/>
              <w:ind w:left="122"/>
              <w:rPr>
                <w:sz w:val="18"/>
              </w:rPr>
            </w:pPr>
            <w:r>
              <w:rPr>
                <w:sz w:val="18"/>
              </w:rPr>
              <w:t xml:space="preserve">planning </w:t>
            </w:r>
            <w:r>
              <w:rPr>
                <w:spacing w:val="-2"/>
                <w:sz w:val="18"/>
              </w:rPr>
              <w:t>documents</w:t>
            </w:r>
          </w:p>
        </w:tc>
      </w:tr>
      <w:tr w:rsidR="00BC24A8" w14:paraId="2653DE4C" w14:textId="77777777">
        <w:trPr>
          <w:trHeight w:val="220"/>
        </w:trPr>
        <w:tc>
          <w:tcPr>
            <w:tcW w:w="1611" w:type="dxa"/>
          </w:tcPr>
          <w:p w14:paraId="0E701481" w14:textId="77777777" w:rsidR="00BC24A8" w:rsidRDefault="00BC24A8">
            <w:pPr>
              <w:pStyle w:val="TableParagraph"/>
              <w:rPr>
                <w:rFonts w:ascii="Times New Roman"/>
                <w:sz w:val="14"/>
              </w:rPr>
            </w:pPr>
          </w:p>
        </w:tc>
        <w:tc>
          <w:tcPr>
            <w:tcW w:w="1424" w:type="dxa"/>
          </w:tcPr>
          <w:p w14:paraId="7CCF5181" w14:textId="77777777" w:rsidR="00BC24A8" w:rsidRDefault="00BC24A8">
            <w:pPr>
              <w:pStyle w:val="TableParagraph"/>
              <w:rPr>
                <w:rFonts w:ascii="Times New Roman"/>
                <w:sz w:val="14"/>
              </w:rPr>
            </w:pPr>
          </w:p>
        </w:tc>
        <w:tc>
          <w:tcPr>
            <w:tcW w:w="1272" w:type="dxa"/>
          </w:tcPr>
          <w:p w14:paraId="3876CE5B" w14:textId="77777777" w:rsidR="00BC24A8" w:rsidRDefault="00BC24A8">
            <w:pPr>
              <w:pStyle w:val="TableParagraph"/>
              <w:rPr>
                <w:rFonts w:ascii="Times New Roman"/>
                <w:sz w:val="14"/>
              </w:rPr>
            </w:pPr>
          </w:p>
        </w:tc>
        <w:tc>
          <w:tcPr>
            <w:tcW w:w="1356" w:type="dxa"/>
          </w:tcPr>
          <w:p w14:paraId="40D742B7" w14:textId="77777777" w:rsidR="00BC24A8" w:rsidRDefault="00BC24A8">
            <w:pPr>
              <w:pStyle w:val="TableParagraph"/>
              <w:rPr>
                <w:rFonts w:ascii="Times New Roman"/>
                <w:sz w:val="14"/>
              </w:rPr>
            </w:pPr>
          </w:p>
        </w:tc>
        <w:tc>
          <w:tcPr>
            <w:tcW w:w="1350" w:type="dxa"/>
          </w:tcPr>
          <w:p w14:paraId="1D272F2A" w14:textId="77777777" w:rsidR="00BC24A8" w:rsidRDefault="00BC24A8">
            <w:pPr>
              <w:pStyle w:val="TableParagraph"/>
              <w:rPr>
                <w:rFonts w:ascii="Times New Roman"/>
                <w:sz w:val="14"/>
              </w:rPr>
            </w:pPr>
          </w:p>
        </w:tc>
        <w:tc>
          <w:tcPr>
            <w:tcW w:w="2085" w:type="dxa"/>
          </w:tcPr>
          <w:p w14:paraId="03491915" w14:textId="77777777" w:rsidR="00BC24A8" w:rsidRDefault="00000000">
            <w:pPr>
              <w:pStyle w:val="TableParagraph"/>
              <w:spacing w:line="201" w:lineRule="exact"/>
              <w:ind w:left="122"/>
              <w:rPr>
                <w:sz w:val="18"/>
              </w:rPr>
            </w:pPr>
            <w:r>
              <w:rPr>
                <w:sz w:val="18"/>
              </w:rPr>
              <w:t>(RPJMD,</w:t>
            </w:r>
            <w:r>
              <w:rPr>
                <w:spacing w:val="-5"/>
                <w:sz w:val="18"/>
              </w:rPr>
              <w:t xml:space="preserve"> </w:t>
            </w:r>
            <w:r>
              <w:rPr>
                <w:sz w:val="18"/>
              </w:rPr>
              <w:t>RKPD</w:t>
            </w:r>
            <w:r>
              <w:rPr>
                <w:spacing w:val="-1"/>
                <w:sz w:val="18"/>
              </w:rPr>
              <w:t xml:space="preserve"> </w:t>
            </w:r>
            <w:r>
              <w:rPr>
                <w:sz w:val="18"/>
              </w:rPr>
              <w:t>2026)</w:t>
            </w:r>
            <w:r>
              <w:rPr>
                <w:spacing w:val="-2"/>
                <w:sz w:val="18"/>
              </w:rPr>
              <w:t xml:space="preserve"> </w:t>
            </w:r>
            <w:r>
              <w:rPr>
                <w:spacing w:val="-5"/>
                <w:sz w:val="18"/>
              </w:rPr>
              <w:t>are</w:t>
            </w:r>
          </w:p>
        </w:tc>
      </w:tr>
      <w:tr w:rsidR="00BC24A8" w14:paraId="4124977E" w14:textId="77777777">
        <w:trPr>
          <w:trHeight w:val="260"/>
        </w:trPr>
        <w:tc>
          <w:tcPr>
            <w:tcW w:w="1611" w:type="dxa"/>
            <w:tcBorders>
              <w:bottom w:val="single" w:sz="4" w:space="0" w:color="BEBEBE"/>
            </w:tcBorders>
          </w:tcPr>
          <w:p w14:paraId="7A83CEC4" w14:textId="77777777" w:rsidR="00BC24A8" w:rsidRDefault="00BC24A8">
            <w:pPr>
              <w:pStyle w:val="TableParagraph"/>
              <w:rPr>
                <w:rFonts w:ascii="Times New Roman"/>
                <w:sz w:val="16"/>
              </w:rPr>
            </w:pPr>
          </w:p>
        </w:tc>
        <w:tc>
          <w:tcPr>
            <w:tcW w:w="1424" w:type="dxa"/>
            <w:tcBorders>
              <w:bottom w:val="single" w:sz="4" w:space="0" w:color="BEBEBE"/>
            </w:tcBorders>
          </w:tcPr>
          <w:p w14:paraId="2DA03F26" w14:textId="77777777" w:rsidR="00BC24A8" w:rsidRDefault="00BC24A8">
            <w:pPr>
              <w:pStyle w:val="TableParagraph"/>
              <w:rPr>
                <w:rFonts w:ascii="Times New Roman"/>
                <w:sz w:val="16"/>
              </w:rPr>
            </w:pPr>
          </w:p>
        </w:tc>
        <w:tc>
          <w:tcPr>
            <w:tcW w:w="1272" w:type="dxa"/>
            <w:tcBorders>
              <w:bottom w:val="single" w:sz="4" w:space="0" w:color="BEBEBE"/>
            </w:tcBorders>
          </w:tcPr>
          <w:p w14:paraId="77A357B6" w14:textId="77777777" w:rsidR="00BC24A8" w:rsidRDefault="00BC24A8">
            <w:pPr>
              <w:pStyle w:val="TableParagraph"/>
              <w:rPr>
                <w:rFonts w:ascii="Times New Roman"/>
                <w:sz w:val="16"/>
              </w:rPr>
            </w:pPr>
          </w:p>
        </w:tc>
        <w:tc>
          <w:tcPr>
            <w:tcW w:w="1356" w:type="dxa"/>
            <w:tcBorders>
              <w:bottom w:val="single" w:sz="4" w:space="0" w:color="BEBEBE"/>
            </w:tcBorders>
          </w:tcPr>
          <w:p w14:paraId="5068E930" w14:textId="77777777" w:rsidR="00BC24A8" w:rsidRDefault="00BC24A8">
            <w:pPr>
              <w:pStyle w:val="TableParagraph"/>
              <w:rPr>
                <w:rFonts w:ascii="Times New Roman"/>
                <w:sz w:val="16"/>
              </w:rPr>
            </w:pPr>
          </w:p>
        </w:tc>
        <w:tc>
          <w:tcPr>
            <w:tcW w:w="1350" w:type="dxa"/>
            <w:tcBorders>
              <w:bottom w:val="single" w:sz="4" w:space="0" w:color="BEBEBE"/>
            </w:tcBorders>
          </w:tcPr>
          <w:p w14:paraId="63C6AAE1" w14:textId="77777777" w:rsidR="00BC24A8" w:rsidRDefault="00BC24A8">
            <w:pPr>
              <w:pStyle w:val="TableParagraph"/>
              <w:rPr>
                <w:rFonts w:ascii="Times New Roman"/>
                <w:sz w:val="16"/>
              </w:rPr>
            </w:pPr>
          </w:p>
        </w:tc>
        <w:tc>
          <w:tcPr>
            <w:tcW w:w="2085" w:type="dxa"/>
            <w:tcBorders>
              <w:bottom w:val="single" w:sz="4" w:space="0" w:color="BEBEBE"/>
            </w:tcBorders>
          </w:tcPr>
          <w:p w14:paraId="57966EC6" w14:textId="77777777" w:rsidR="00BC24A8" w:rsidRDefault="00000000">
            <w:pPr>
              <w:pStyle w:val="TableParagraph"/>
              <w:spacing w:line="204" w:lineRule="exact"/>
              <w:ind w:left="122"/>
              <w:rPr>
                <w:sz w:val="18"/>
              </w:rPr>
            </w:pPr>
            <w:r>
              <w:rPr>
                <w:sz w:val="18"/>
              </w:rPr>
              <w:t>not</w:t>
            </w:r>
            <w:r>
              <w:rPr>
                <w:spacing w:val="-3"/>
                <w:sz w:val="18"/>
              </w:rPr>
              <w:t xml:space="preserve"> </w:t>
            </w:r>
            <w:r>
              <w:rPr>
                <w:sz w:val="18"/>
              </w:rPr>
              <w:t xml:space="preserve">yet </w:t>
            </w:r>
            <w:r>
              <w:rPr>
                <w:spacing w:val="-2"/>
                <w:sz w:val="18"/>
              </w:rPr>
              <w:t>finalized.</w:t>
            </w:r>
          </w:p>
        </w:tc>
      </w:tr>
      <w:tr w:rsidR="00BC24A8" w14:paraId="66E0AD85" w14:textId="77777777">
        <w:trPr>
          <w:trHeight w:val="299"/>
        </w:trPr>
        <w:tc>
          <w:tcPr>
            <w:tcW w:w="1611" w:type="dxa"/>
            <w:tcBorders>
              <w:top w:val="single" w:sz="4" w:space="0" w:color="BEBEBE"/>
            </w:tcBorders>
          </w:tcPr>
          <w:p w14:paraId="33D49664" w14:textId="77777777" w:rsidR="00BC24A8" w:rsidRDefault="00000000">
            <w:pPr>
              <w:pStyle w:val="TableParagraph"/>
              <w:spacing w:before="61" w:line="218" w:lineRule="exact"/>
              <w:ind w:left="115"/>
              <w:rPr>
                <w:sz w:val="18"/>
              </w:rPr>
            </w:pPr>
            <w:r>
              <w:rPr>
                <w:sz w:val="18"/>
              </w:rPr>
              <w:t>IO</w:t>
            </w:r>
            <w:r>
              <w:rPr>
                <w:spacing w:val="-3"/>
                <w:sz w:val="18"/>
              </w:rPr>
              <w:t xml:space="preserve"> </w:t>
            </w:r>
            <w:r>
              <w:rPr>
                <w:sz w:val="18"/>
              </w:rPr>
              <w:t>7.2.</w:t>
            </w:r>
            <w:r>
              <w:rPr>
                <w:spacing w:val="-3"/>
                <w:sz w:val="18"/>
              </w:rPr>
              <w:t xml:space="preserve"> </w:t>
            </w:r>
            <w:r>
              <w:rPr>
                <w:sz w:val="18"/>
              </w:rPr>
              <w:t>Number</w:t>
            </w:r>
            <w:r>
              <w:rPr>
                <w:spacing w:val="-2"/>
                <w:sz w:val="18"/>
              </w:rPr>
              <w:t xml:space="preserve"> </w:t>
            </w:r>
            <w:r>
              <w:rPr>
                <w:spacing w:val="-5"/>
                <w:sz w:val="18"/>
              </w:rPr>
              <w:t>of</w:t>
            </w:r>
          </w:p>
        </w:tc>
        <w:tc>
          <w:tcPr>
            <w:tcW w:w="1424" w:type="dxa"/>
            <w:tcBorders>
              <w:top w:val="single" w:sz="4" w:space="0" w:color="BEBEBE"/>
            </w:tcBorders>
          </w:tcPr>
          <w:p w14:paraId="7D9A3717" w14:textId="77777777" w:rsidR="00BC24A8" w:rsidRDefault="00000000">
            <w:pPr>
              <w:pStyle w:val="TableParagraph"/>
              <w:spacing w:before="66" w:line="213" w:lineRule="exact"/>
              <w:ind w:left="124"/>
              <w:rPr>
                <w:sz w:val="18"/>
              </w:rPr>
            </w:pPr>
            <w:r>
              <w:rPr>
                <w:spacing w:val="-10"/>
                <w:sz w:val="18"/>
              </w:rPr>
              <w:t>0</w:t>
            </w:r>
          </w:p>
        </w:tc>
        <w:tc>
          <w:tcPr>
            <w:tcW w:w="1272" w:type="dxa"/>
            <w:tcBorders>
              <w:top w:val="single" w:sz="4" w:space="0" w:color="BEBEBE"/>
            </w:tcBorders>
          </w:tcPr>
          <w:p w14:paraId="20407979" w14:textId="77777777" w:rsidR="00BC24A8" w:rsidRDefault="00000000">
            <w:pPr>
              <w:pStyle w:val="TableParagraph"/>
              <w:spacing w:before="66" w:line="213" w:lineRule="exact"/>
              <w:ind w:left="140"/>
              <w:rPr>
                <w:sz w:val="18"/>
              </w:rPr>
            </w:pPr>
            <w:r>
              <w:rPr>
                <w:sz w:val="18"/>
              </w:rPr>
              <w:t>2</w:t>
            </w:r>
            <w:r>
              <w:rPr>
                <w:spacing w:val="-2"/>
                <w:sz w:val="18"/>
              </w:rPr>
              <w:t xml:space="preserve"> provinces</w:t>
            </w:r>
          </w:p>
        </w:tc>
        <w:tc>
          <w:tcPr>
            <w:tcW w:w="1356" w:type="dxa"/>
            <w:tcBorders>
              <w:top w:val="single" w:sz="4" w:space="0" w:color="BEBEBE"/>
            </w:tcBorders>
          </w:tcPr>
          <w:p w14:paraId="6480E435" w14:textId="77777777" w:rsidR="00BC24A8" w:rsidRDefault="00000000">
            <w:pPr>
              <w:pStyle w:val="TableParagraph"/>
              <w:spacing w:before="66" w:line="213" w:lineRule="exact"/>
              <w:ind w:left="128"/>
              <w:rPr>
                <w:sz w:val="18"/>
              </w:rPr>
            </w:pPr>
            <w:r>
              <w:rPr>
                <w:sz w:val="18"/>
              </w:rPr>
              <w:t>4</w:t>
            </w:r>
            <w:r>
              <w:rPr>
                <w:spacing w:val="-2"/>
                <w:sz w:val="18"/>
              </w:rPr>
              <w:t xml:space="preserve"> provinces</w:t>
            </w:r>
          </w:p>
        </w:tc>
        <w:tc>
          <w:tcPr>
            <w:tcW w:w="1350" w:type="dxa"/>
            <w:tcBorders>
              <w:top w:val="single" w:sz="4" w:space="0" w:color="BEBEBE"/>
            </w:tcBorders>
          </w:tcPr>
          <w:p w14:paraId="3FBFA982" w14:textId="77777777" w:rsidR="00BC24A8" w:rsidRDefault="00000000">
            <w:pPr>
              <w:pStyle w:val="TableParagraph"/>
              <w:spacing w:before="66" w:line="213" w:lineRule="exact"/>
              <w:ind w:left="120"/>
              <w:rPr>
                <w:sz w:val="18"/>
              </w:rPr>
            </w:pPr>
            <w:r>
              <w:rPr>
                <w:sz w:val="18"/>
              </w:rPr>
              <w:t>2</w:t>
            </w:r>
            <w:r>
              <w:rPr>
                <w:spacing w:val="-2"/>
                <w:sz w:val="18"/>
              </w:rPr>
              <w:t xml:space="preserve"> provinces</w:t>
            </w:r>
          </w:p>
        </w:tc>
        <w:tc>
          <w:tcPr>
            <w:tcW w:w="2085" w:type="dxa"/>
            <w:tcBorders>
              <w:top w:val="single" w:sz="4" w:space="0" w:color="BEBEBE"/>
            </w:tcBorders>
          </w:tcPr>
          <w:p w14:paraId="36D6BB6A" w14:textId="77777777" w:rsidR="00BC24A8" w:rsidRDefault="00000000">
            <w:pPr>
              <w:pStyle w:val="TableParagraph"/>
              <w:spacing w:before="66" w:line="213" w:lineRule="exact"/>
              <w:ind w:left="122"/>
              <w:rPr>
                <w:sz w:val="18"/>
              </w:rPr>
            </w:pPr>
            <w:r>
              <w:rPr>
                <w:sz w:val="18"/>
              </w:rPr>
              <w:t>Aceh</w:t>
            </w:r>
            <w:r>
              <w:rPr>
                <w:spacing w:val="-4"/>
                <w:sz w:val="18"/>
              </w:rPr>
              <w:t xml:space="preserve"> </w:t>
            </w:r>
            <w:r>
              <w:rPr>
                <w:sz w:val="18"/>
              </w:rPr>
              <w:t>and</w:t>
            </w:r>
            <w:r>
              <w:rPr>
                <w:spacing w:val="-1"/>
                <w:sz w:val="18"/>
              </w:rPr>
              <w:t xml:space="preserve"> </w:t>
            </w:r>
            <w:r>
              <w:rPr>
                <w:sz w:val="18"/>
              </w:rPr>
              <w:t>NTT</w:t>
            </w:r>
            <w:r>
              <w:rPr>
                <w:spacing w:val="-2"/>
                <w:sz w:val="18"/>
              </w:rPr>
              <w:t xml:space="preserve"> </w:t>
            </w:r>
            <w:r>
              <w:rPr>
                <w:spacing w:val="-4"/>
                <w:sz w:val="18"/>
              </w:rPr>
              <w:t>have</w:t>
            </w:r>
          </w:p>
        </w:tc>
      </w:tr>
      <w:tr w:rsidR="00BC24A8" w14:paraId="0D85497B" w14:textId="77777777">
        <w:trPr>
          <w:trHeight w:val="220"/>
        </w:trPr>
        <w:tc>
          <w:tcPr>
            <w:tcW w:w="1611" w:type="dxa"/>
          </w:tcPr>
          <w:p w14:paraId="546DA341" w14:textId="77777777" w:rsidR="00BC24A8" w:rsidRDefault="00000000">
            <w:pPr>
              <w:pStyle w:val="TableParagraph"/>
              <w:spacing w:line="200" w:lineRule="exact"/>
              <w:ind w:left="115"/>
              <w:rPr>
                <w:sz w:val="18"/>
              </w:rPr>
            </w:pPr>
            <w:r>
              <w:rPr>
                <w:spacing w:val="-2"/>
                <w:sz w:val="18"/>
              </w:rPr>
              <w:t>provincial</w:t>
            </w:r>
          </w:p>
        </w:tc>
        <w:tc>
          <w:tcPr>
            <w:tcW w:w="1424" w:type="dxa"/>
          </w:tcPr>
          <w:p w14:paraId="0D1CC996" w14:textId="77777777" w:rsidR="00BC24A8" w:rsidRDefault="00BC24A8">
            <w:pPr>
              <w:pStyle w:val="TableParagraph"/>
              <w:rPr>
                <w:rFonts w:ascii="Times New Roman"/>
                <w:sz w:val="14"/>
              </w:rPr>
            </w:pPr>
          </w:p>
        </w:tc>
        <w:tc>
          <w:tcPr>
            <w:tcW w:w="1272" w:type="dxa"/>
          </w:tcPr>
          <w:p w14:paraId="246E3238" w14:textId="77777777" w:rsidR="00BC24A8" w:rsidRDefault="00BC24A8">
            <w:pPr>
              <w:pStyle w:val="TableParagraph"/>
              <w:rPr>
                <w:rFonts w:ascii="Times New Roman"/>
                <w:sz w:val="14"/>
              </w:rPr>
            </w:pPr>
          </w:p>
        </w:tc>
        <w:tc>
          <w:tcPr>
            <w:tcW w:w="1356" w:type="dxa"/>
          </w:tcPr>
          <w:p w14:paraId="3289670F" w14:textId="77777777" w:rsidR="00BC24A8" w:rsidRDefault="00BC24A8">
            <w:pPr>
              <w:pStyle w:val="TableParagraph"/>
              <w:rPr>
                <w:rFonts w:ascii="Times New Roman"/>
                <w:sz w:val="14"/>
              </w:rPr>
            </w:pPr>
          </w:p>
        </w:tc>
        <w:tc>
          <w:tcPr>
            <w:tcW w:w="1350" w:type="dxa"/>
          </w:tcPr>
          <w:p w14:paraId="5C4386AF" w14:textId="77777777" w:rsidR="00BC24A8" w:rsidRDefault="00BC24A8">
            <w:pPr>
              <w:pStyle w:val="TableParagraph"/>
              <w:rPr>
                <w:rFonts w:ascii="Times New Roman"/>
                <w:sz w:val="14"/>
              </w:rPr>
            </w:pPr>
          </w:p>
        </w:tc>
        <w:tc>
          <w:tcPr>
            <w:tcW w:w="2085" w:type="dxa"/>
          </w:tcPr>
          <w:p w14:paraId="2592D86B" w14:textId="77777777" w:rsidR="00BC24A8" w:rsidRDefault="00000000">
            <w:pPr>
              <w:pStyle w:val="TableParagraph"/>
              <w:spacing w:line="201" w:lineRule="exact"/>
              <w:ind w:left="122"/>
              <w:rPr>
                <w:sz w:val="18"/>
              </w:rPr>
            </w:pPr>
            <w:r>
              <w:rPr>
                <w:sz w:val="18"/>
              </w:rPr>
              <w:t>ratified</w:t>
            </w:r>
            <w:r>
              <w:rPr>
                <w:spacing w:val="-1"/>
                <w:sz w:val="18"/>
              </w:rPr>
              <w:t xml:space="preserve"> </w:t>
            </w:r>
            <w:r>
              <w:rPr>
                <w:sz w:val="18"/>
              </w:rPr>
              <w:t>and</w:t>
            </w:r>
            <w:r>
              <w:rPr>
                <w:spacing w:val="-1"/>
                <w:sz w:val="18"/>
              </w:rPr>
              <w:t xml:space="preserve"> </w:t>
            </w:r>
            <w:r>
              <w:rPr>
                <w:spacing w:val="-2"/>
                <w:sz w:val="18"/>
              </w:rPr>
              <w:t>implemented</w:t>
            </w:r>
          </w:p>
        </w:tc>
      </w:tr>
      <w:tr w:rsidR="00BC24A8" w14:paraId="2DC96C06" w14:textId="77777777">
        <w:trPr>
          <w:trHeight w:val="218"/>
        </w:trPr>
        <w:tc>
          <w:tcPr>
            <w:tcW w:w="1611" w:type="dxa"/>
          </w:tcPr>
          <w:p w14:paraId="4D60A789" w14:textId="77777777" w:rsidR="00BC24A8" w:rsidRDefault="00000000">
            <w:pPr>
              <w:pStyle w:val="TableParagraph"/>
              <w:spacing w:line="198" w:lineRule="exact"/>
              <w:ind w:left="115"/>
              <w:rPr>
                <w:sz w:val="18"/>
              </w:rPr>
            </w:pPr>
            <w:r>
              <w:rPr>
                <w:sz w:val="18"/>
              </w:rPr>
              <w:t>governments</w:t>
            </w:r>
            <w:r>
              <w:rPr>
                <w:spacing w:val="-7"/>
                <w:sz w:val="18"/>
              </w:rPr>
              <w:t xml:space="preserve"> </w:t>
            </w:r>
            <w:r>
              <w:rPr>
                <w:spacing w:val="-4"/>
                <w:sz w:val="18"/>
              </w:rPr>
              <w:t>that</w:t>
            </w:r>
          </w:p>
        </w:tc>
        <w:tc>
          <w:tcPr>
            <w:tcW w:w="1424" w:type="dxa"/>
          </w:tcPr>
          <w:p w14:paraId="100800EC" w14:textId="77777777" w:rsidR="00BC24A8" w:rsidRDefault="00BC24A8">
            <w:pPr>
              <w:pStyle w:val="TableParagraph"/>
              <w:rPr>
                <w:rFonts w:ascii="Times New Roman"/>
                <w:sz w:val="14"/>
              </w:rPr>
            </w:pPr>
          </w:p>
        </w:tc>
        <w:tc>
          <w:tcPr>
            <w:tcW w:w="1272" w:type="dxa"/>
          </w:tcPr>
          <w:p w14:paraId="1E182285" w14:textId="77777777" w:rsidR="00BC24A8" w:rsidRDefault="00BC24A8">
            <w:pPr>
              <w:pStyle w:val="TableParagraph"/>
              <w:rPr>
                <w:rFonts w:ascii="Times New Roman"/>
                <w:sz w:val="14"/>
              </w:rPr>
            </w:pPr>
          </w:p>
        </w:tc>
        <w:tc>
          <w:tcPr>
            <w:tcW w:w="1356" w:type="dxa"/>
          </w:tcPr>
          <w:p w14:paraId="1EF1186B" w14:textId="77777777" w:rsidR="00BC24A8" w:rsidRDefault="00BC24A8">
            <w:pPr>
              <w:pStyle w:val="TableParagraph"/>
              <w:rPr>
                <w:rFonts w:ascii="Times New Roman"/>
                <w:sz w:val="14"/>
              </w:rPr>
            </w:pPr>
          </w:p>
        </w:tc>
        <w:tc>
          <w:tcPr>
            <w:tcW w:w="1350" w:type="dxa"/>
          </w:tcPr>
          <w:p w14:paraId="22427B05" w14:textId="77777777" w:rsidR="00BC24A8" w:rsidRDefault="00BC24A8">
            <w:pPr>
              <w:pStyle w:val="TableParagraph"/>
              <w:rPr>
                <w:rFonts w:ascii="Times New Roman"/>
                <w:sz w:val="14"/>
              </w:rPr>
            </w:pPr>
          </w:p>
        </w:tc>
        <w:tc>
          <w:tcPr>
            <w:tcW w:w="2085" w:type="dxa"/>
          </w:tcPr>
          <w:p w14:paraId="6B76207E" w14:textId="77777777" w:rsidR="00BC24A8" w:rsidRDefault="00000000">
            <w:pPr>
              <w:pStyle w:val="TableParagraph"/>
              <w:spacing w:line="198" w:lineRule="exact"/>
              <w:ind w:left="122"/>
              <w:rPr>
                <w:sz w:val="18"/>
              </w:rPr>
            </w:pPr>
            <w:r>
              <w:rPr>
                <w:sz w:val="18"/>
              </w:rPr>
              <w:t>the</w:t>
            </w:r>
            <w:r>
              <w:rPr>
                <w:spacing w:val="-1"/>
                <w:sz w:val="18"/>
              </w:rPr>
              <w:t xml:space="preserve"> </w:t>
            </w:r>
            <w:r>
              <w:rPr>
                <w:sz w:val="18"/>
              </w:rPr>
              <w:t>RAD</w:t>
            </w:r>
            <w:r>
              <w:rPr>
                <w:spacing w:val="1"/>
                <w:sz w:val="18"/>
              </w:rPr>
              <w:t xml:space="preserve"> </w:t>
            </w:r>
            <w:r>
              <w:rPr>
                <w:sz w:val="18"/>
              </w:rPr>
              <w:t>PD.</w:t>
            </w:r>
            <w:r>
              <w:rPr>
                <w:spacing w:val="-1"/>
                <w:sz w:val="18"/>
              </w:rPr>
              <w:t xml:space="preserve"> </w:t>
            </w:r>
            <w:r>
              <w:rPr>
                <w:spacing w:val="-2"/>
                <w:sz w:val="18"/>
              </w:rPr>
              <w:t>Meanwhile,</w:t>
            </w:r>
          </w:p>
        </w:tc>
      </w:tr>
      <w:tr w:rsidR="00BC24A8" w14:paraId="5ECC92C0" w14:textId="77777777">
        <w:trPr>
          <w:trHeight w:val="220"/>
        </w:trPr>
        <w:tc>
          <w:tcPr>
            <w:tcW w:w="1611" w:type="dxa"/>
          </w:tcPr>
          <w:p w14:paraId="2341EB89" w14:textId="77777777" w:rsidR="00BC24A8" w:rsidRDefault="00000000">
            <w:pPr>
              <w:pStyle w:val="TableParagraph"/>
              <w:spacing w:line="200" w:lineRule="exact"/>
              <w:ind w:left="115"/>
              <w:rPr>
                <w:sz w:val="18"/>
              </w:rPr>
            </w:pPr>
            <w:r>
              <w:rPr>
                <w:sz w:val="18"/>
              </w:rPr>
              <w:t>produce</w:t>
            </w:r>
            <w:r>
              <w:rPr>
                <w:spacing w:val="-3"/>
                <w:sz w:val="18"/>
              </w:rPr>
              <w:t xml:space="preserve"> </w:t>
            </w:r>
            <w:r>
              <w:rPr>
                <w:sz w:val="18"/>
              </w:rPr>
              <w:t>and</w:t>
            </w:r>
            <w:r>
              <w:rPr>
                <w:spacing w:val="-1"/>
                <w:sz w:val="18"/>
              </w:rPr>
              <w:t xml:space="preserve"> </w:t>
            </w:r>
            <w:r>
              <w:rPr>
                <w:spacing w:val="-4"/>
                <w:sz w:val="18"/>
              </w:rPr>
              <w:t>fund</w:t>
            </w:r>
          </w:p>
        </w:tc>
        <w:tc>
          <w:tcPr>
            <w:tcW w:w="1424" w:type="dxa"/>
          </w:tcPr>
          <w:p w14:paraId="32F5B9F1" w14:textId="77777777" w:rsidR="00BC24A8" w:rsidRDefault="00BC24A8">
            <w:pPr>
              <w:pStyle w:val="TableParagraph"/>
              <w:rPr>
                <w:rFonts w:ascii="Times New Roman"/>
                <w:sz w:val="14"/>
              </w:rPr>
            </w:pPr>
          </w:p>
        </w:tc>
        <w:tc>
          <w:tcPr>
            <w:tcW w:w="1272" w:type="dxa"/>
          </w:tcPr>
          <w:p w14:paraId="17EB1DDB" w14:textId="77777777" w:rsidR="00BC24A8" w:rsidRDefault="00BC24A8">
            <w:pPr>
              <w:pStyle w:val="TableParagraph"/>
              <w:rPr>
                <w:rFonts w:ascii="Times New Roman"/>
                <w:sz w:val="14"/>
              </w:rPr>
            </w:pPr>
          </w:p>
        </w:tc>
        <w:tc>
          <w:tcPr>
            <w:tcW w:w="1356" w:type="dxa"/>
          </w:tcPr>
          <w:p w14:paraId="31E52317" w14:textId="77777777" w:rsidR="00BC24A8" w:rsidRDefault="00BC24A8">
            <w:pPr>
              <w:pStyle w:val="TableParagraph"/>
              <w:rPr>
                <w:rFonts w:ascii="Times New Roman"/>
                <w:sz w:val="14"/>
              </w:rPr>
            </w:pPr>
          </w:p>
        </w:tc>
        <w:tc>
          <w:tcPr>
            <w:tcW w:w="1350" w:type="dxa"/>
          </w:tcPr>
          <w:p w14:paraId="3E7FFC9A" w14:textId="77777777" w:rsidR="00BC24A8" w:rsidRDefault="00BC24A8">
            <w:pPr>
              <w:pStyle w:val="TableParagraph"/>
              <w:rPr>
                <w:rFonts w:ascii="Times New Roman"/>
                <w:sz w:val="14"/>
              </w:rPr>
            </w:pPr>
          </w:p>
        </w:tc>
        <w:tc>
          <w:tcPr>
            <w:tcW w:w="2085" w:type="dxa"/>
          </w:tcPr>
          <w:p w14:paraId="4F0A7237" w14:textId="77777777" w:rsidR="00BC24A8" w:rsidRDefault="00000000">
            <w:pPr>
              <w:pStyle w:val="TableParagraph"/>
              <w:spacing w:line="201" w:lineRule="exact"/>
              <w:ind w:left="122"/>
              <w:rPr>
                <w:sz w:val="18"/>
              </w:rPr>
            </w:pPr>
            <w:r>
              <w:rPr>
                <w:sz w:val="18"/>
              </w:rPr>
              <w:t>4</w:t>
            </w:r>
            <w:r>
              <w:rPr>
                <w:spacing w:val="-3"/>
                <w:sz w:val="18"/>
              </w:rPr>
              <w:t xml:space="preserve"> </w:t>
            </w:r>
            <w:r>
              <w:rPr>
                <w:sz w:val="18"/>
              </w:rPr>
              <w:t xml:space="preserve">provinces </w:t>
            </w:r>
            <w:r>
              <w:rPr>
                <w:spacing w:val="-2"/>
                <w:sz w:val="18"/>
              </w:rPr>
              <w:t>(NTB,</w:t>
            </w:r>
          </w:p>
        </w:tc>
      </w:tr>
      <w:tr w:rsidR="00BC24A8" w14:paraId="0B9D4A42" w14:textId="77777777">
        <w:trPr>
          <w:trHeight w:val="220"/>
        </w:trPr>
        <w:tc>
          <w:tcPr>
            <w:tcW w:w="1611" w:type="dxa"/>
          </w:tcPr>
          <w:p w14:paraId="6926C9BB" w14:textId="77777777" w:rsidR="00BC24A8" w:rsidRDefault="00000000">
            <w:pPr>
              <w:pStyle w:val="TableParagraph"/>
              <w:spacing w:line="200" w:lineRule="exact"/>
              <w:ind w:left="115"/>
              <w:rPr>
                <w:sz w:val="18"/>
              </w:rPr>
            </w:pPr>
            <w:r>
              <w:rPr>
                <w:sz w:val="18"/>
              </w:rPr>
              <w:t>action</w:t>
            </w:r>
            <w:r>
              <w:rPr>
                <w:spacing w:val="-1"/>
                <w:sz w:val="18"/>
              </w:rPr>
              <w:t xml:space="preserve"> </w:t>
            </w:r>
            <w:r>
              <w:rPr>
                <w:sz w:val="18"/>
              </w:rPr>
              <w:t xml:space="preserve">plans </w:t>
            </w:r>
            <w:r>
              <w:rPr>
                <w:spacing w:val="-5"/>
                <w:sz w:val="18"/>
              </w:rPr>
              <w:t>for</w:t>
            </w:r>
          </w:p>
        </w:tc>
        <w:tc>
          <w:tcPr>
            <w:tcW w:w="1424" w:type="dxa"/>
          </w:tcPr>
          <w:p w14:paraId="1016000D" w14:textId="77777777" w:rsidR="00BC24A8" w:rsidRDefault="00BC24A8">
            <w:pPr>
              <w:pStyle w:val="TableParagraph"/>
              <w:rPr>
                <w:rFonts w:ascii="Times New Roman"/>
                <w:sz w:val="14"/>
              </w:rPr>
            </w:pPr>
          </w:p>
        </w:tc>
        <w:tc>
          <w:tcPr>
            <w:tcW w:w="1272" w:type="dxa"/>
          </w:tcPr>
          <w:p w14:paraId="370CA287" w14:textId="77777777" w:rsidR="00BC24A8" w:rsidRDefault="00BC24A8">
            <w:pPr>
              <w:pStyle w:val="TableParagraph"/>
              <w:rPr>
                <w:rFonts w:ascii="Times New Roman"/>
                <w:sz w:val="14"/>
              </w:rPr>
            </w:pPr>
          </w:p>
        </w:tc>
        <w:tc>
          <w:tcPr>
            <w:tcW w:w="1356" w:type="dxa"/>
          </w:tcPr>
          <w:p w14:paraId="7AC3EA88" w14:textId="77777777" w:rsidR="00BC24A8" w:rsidRDefault="00BC24A8">
            <w:pPr>
              <w:pStyle w:val="TableParagraph"/>
              <w:rPr>
                <w:rFonts w:ascii="Times New Roman"/>
                <w:sz w:val="14"/>
              </w:rPr>
            </w:pPr>
          </w:p>
        </w:tc>
        <w:tc>
          <w:tcPr>
            <w:tcW w:w="1350" w:type="dxa"/>
          </w:tcPr>
          <w:p w14:paraId="49096D46" w14:textId="77777777" w:rsidR="00BC24A8" w:rsidRDefault="00BC24A8">
            <w:pPr>
              <w:pStyle w:val="TableParagraph"/>
              <w:rPr>
                <w:rFonts w:ascii="Times New Roman"/>
                <w:sz w:val="14"/>
              </w:rPr>
            </w:pPr>
          </w:p>
        </w:tc>
        <w:tc>
          <w:tcPr>
            <w:tcW w:w="2085" w:type="dxa"/>
          </w:tcPr>
          <w:p w14:paraId="09B1F8AA" w14:textId="77777777" w:rsidR="00BC24A8" w:rsidRDefault="00000000">
            <w:pPr>
              <w:pStyle w:val="TableParagraph"/>
              <w:spacing w:line="201" w:lineRule="exact"/>
              <w:ind w:left="122"/>
              <w:rPr>
                <w:sz w:val="18"/>
              </w:rPr>
            </w:pPr>
            <w:r>
              <w:rPr>
                <w:sz w:val="18"/>
              </w:rPr>
              <w:t>Kaltara,</w:t>
            </w:r>
            <w:r>
              <w:rPr>
                <w:spacing w:val="-3"/>
                <w:sz w:val="18"/>
              </w:rPr>
              <w:t xml:space="preserve"> </w:t>
            </w:r>
            <w:r>
              <w:rPr>
                <w:spacing w:val="-2"/>
                <w:sz w:val="18"/>
              </w:rPr>
              <w:t>Gorontalo,</w:t>
            </w:r>
          </w:p>
        </w:tc>
      </w:tr>
      <w:tr w:rsidR="00BC24A8" w14:paraId="354EA12D" w14:textId="77777777">
        <w:trPr>
          <w:trHeight w:val="218"/>
        </w:trPr>
        <w:tc>
          <w:tcPr>
            <w:tcW w:w="1611" w:type="dxa"/>
          </w:tcPr>
          <w:p w14:paraId="2C3677CE" w14:textId="77777777" w:rsidR="00BC24A8" w:rsidRDefault="00000000">
            <w:pPr>
              <w:pStyle w:val="TableParagraph"/>
              <w:spacing w:line="198" w:lineRule="exact"/>
              <w:ind w:left="115"/>
              <w:rPr>
                <w:sz w:val="18"/>
              </w:rPr>
            </w:pPr>
            <w:r>
              <w:rPr>
                <w:sz w:val="18"/>
              </w:rPr>
              <w:t>people</w:t>
            </w:r>
            <w:r>
              <w:rPr>
                <w:spacing w:val="-3"/>
                <w:sz w:val="18"/>
              </w:rPr>
              <w:t xml:space="preserve"> </w:t>
            </w:r>
            <w:r>
              <w:rPr>
                <w:spacing w:val="-4"/>
                <w:sz w:val="18"/>
              </w:rPr>
              <w:t>with</w:t>
            </w:r>
          </w:p>
        </w:tc>
        <w:tc>
          <w:tcPr>
            <w:tcW w:w="1424" w:type="dxa"/>
          </w:tcPr>
          <w:p w14:paraId="409EEBA8" w14:textId="77777777" w:rsidR="00BC24A8" w:rsidRDefault="00BC24A8">
            <w:pPr>
              <w:pStyle w:val="TableParagraph"/>
              <w:rPr>
                <w:rFonts w:ascii="Times New Roman"/>
                <w:sz w:val="14"/>
              </w:rPr>
            </w:pPr>
          </w:p>
        </w:tc>
        <w:tc>
          <w:tcPr>
            <w:tcW w:w="1272" w:type="dxa"/>
          </w:tcPr>
          <w:p w14:paraId="2BC3735C" w14:textId="77777777" w:rsidR="00BC24A8" w:rsidRDefault="00BC24A8">
            <w:pPr>
              <w:pStyle w:val="TableParagraph"/>
              <w:rPr>
                <w:rFonts w:ascii="Times New Roman"/>
                <w:sz w:val="14"/>
              </w:rPr>
            </w:pPr>
          </w:p>
        </w:tc>
        <w:tc>
          <w:tcPr>
            <w:tcW w:w="1356" w:type="dxa"/>
          </w:tcPr>
          <w:p w14:paraId="042D5669" w14:textId="77777777" w:rsidR="00BC24A8" w:rsidRDefault="00BC24A8">
            <w:pPr>
              <w:pStyle w:val="TableParagraph"/>
              <w:rPr>
                <w:rFonts w:ascii="Times New Roman"/>
                <w:sz w:val="14"/>
              </w:rPr>
            </w:pPr>
          </w:p>
        </w:tc>
        <w:tc>
          <w:tcPr>
            <w:tcW w:w="1350" w:type="dxa"/>
          </w:tcPr>
          <w:p w14:paraId="5A58A048" w14:textId="77777777" w:rsidR="00BC24A8" w:rsidRDefault="00BC24A8">
            <w:pPr>
              <w:pStyle w:val="TableParagraph"/>
              <w:rPr>
                <w:rFonts w:ascii="Times New Roman"/>
                <w:sz w:val="14"/>
              </w:rPr>
            </w:pPr>
          </w:p>
        </w:tc>
        <w:tc>
          <w:tcPr>
            <w:tcW w:w="2085" w:type="dxa"/>
          </w:tcPr>
          <w:p w14:paraId="1509D575" w14:textId="77777777" w:rsidR="00BC24A8" w:rsidRDefault="00000000">
            <w:pPr>
              <w:pStyle w:val="TableParagraph"/>
              <w:spacing w:line="198" w:lineRule="exact"/>
              <w:ind w:left="122"/>
              <w:rPr>
                <w:sz w:val="18"/>
              </w:rPr>
            </w:pPr>
            <w:r>
              <w:rPr>
                <w:sz w:val="18"/>
              </w:rPr>
              <w:t>Maluku)</w:t>
            </w:r>
            <w:r>
              <w:rPr>
                <w:spacing w:val="-5"/>
                <w:sz w:val="18"/>
              </w:rPr>
              <w:t xml:space="preserve"> </w:t>
            </w:r>
            <w:r>
              <w:rPr>
                <w:sz w:val="18"/>
              </w:rPr>
              <w:t>are</w:t>
            </w:r>
            <w:r>
              <w:rPr>
                <w:spacing w:val="-1"/>
                <w:sz w:val="18"/>
              </w:rPr>
              <w:t xml:space="preserve"> </w:t>
            </w:r>
            <w:r>
              <w:rPr>
                <w:spacing w:val="-2"/>
                <w:sz w:val="18"/>
              </w:rPr>
              <w:t>developing</w:t>
            </w:r>
          </w:p>
        </w:tc>
      </w:tr>
      <w:tr w:rsidR="00BC24A8" w14:paraId="17C256B1" w14:textId="77777777">
        <w:trPr>
          <w:trHeight w:val="220"/>
        </w:trPr>
        <w:tc>
          <w:tcPr>
            <w:tcW w:w="1611" w:type="dxa"/>
          </w:tcPr>
          <w:p w14:paraId="248A139D" w14:textId="77777777" w:rsidR="00BC24A8" w:rsidRDefault="00000000">
            <w:pPr>
              <w:pStyle w:val="TableParagraph"/>
              <w:spacing w:line="200" w:lineRule="exact"/>
              <w:ind w:left="115"/>
              <w:rPr>
                <w:sz w:val="18"/>
              </w:rPr>
            </w:pPr>
            <w:r>
              <w:rPr>
                <w:sz w:val="18"/>
              </w:rPr>
              <w:t>disabilities,</w:t>
            </w:r>
            <w:r>
              <w:rPr>
                <w:spacing w:val="-2"/>
                <w:sz w:val="18"/>
              </w:rPr>
              <w:t xml:space="preserve"> </w:t>
            </w:r>
            <w:r>
              <w:rPr>
                <w:spacing w:val="-4"/>
                <w:sz w:val="18"/>
              </w:rPr>
              <w:t>with</w:t>
            </w:r>
          </w:p>
        </w:tc>
        <w:tc>
          <w:tcPr>
            <w:tcW w:w="1424" w:type="dxa"/>
          </w:tcPr>
          <w:p w14:paraId="601F46D3" w14:textId="77777777" w:rsidR="00BC24A8" w:rsidRDefault="00BC24A8">
            <w:pPr>
              <w:pStyle w:val="TableParagraph"/>
              <w:rPr>
                <w:rFonts w:ascii="Times New Roman"/>
                <w:sz w:val="14"/>
              </w:rPr>
            </w:pPr>
          </w:p>
        </w:tc>
        <w:tc>
          <w:tcPr>
            <w:tcW w:w="1272" w:type="dxa"/>
          </w:tcPr>
          <w:p w14:paraId="2AECEFDC" w14:textId="77777777" w:rsidR="00BC24A8" w:rsidRDefault="00BC24A8">
            <w:pPr>
              <w:pStyle w:val="TableParagraph"/>
              <w:rPr>
                <w:rFonts w:ascii="Times New Roman"/>
                <w:sz w:val="14"/>
              </w:rPr>
            </w:pPr>
          </w:p>
        </w:tc>
        <w:tc>
          <w:tcPr>
            <w:tcW w:w="1356" w:type="dxa"/>
          </w:tcPr>
          <w:p w14:paraId="5EBA9147" w14:textId="77777777" w:rsidR="00BC24A8" w:rsidRDefault="00BC24A8">
            <w:pPr>
              <w:pStyle w:val="TableParagraph"/>
              <w:rPr>
                <w:rFonts w:ascii="Times New Roman"/>
                <w:sz w:val="14"/>
              </w:rPr>
            </w:pPr>
          </w:p>
        </w:tc>
        <w:tc>
          <w:tcPr>
            <w:tcW w:w="1350" w:type="dxa"/>
          </w:tcPr>
          <w:p w14:paraId="36644023" w14:textId="77777777" w:rsidR="00BC24A8" w:rsidRDefault="00BC24A8">
            <w:pPr>
              <w:pStyle w:val="TableParagraph"/>
              <w:rPr>
                <w:rFonts w:ascii="Times New Roman"/>
                <w:sz w:val="14"/>
              </w:rPr>
            </w:pPr>
          </w:p>
        </w:tc>
        <w:tc>
          <w:tcPr>
            <w:tcW w:w="2085" w:type="dxa"/>
          </w:tcPr>
          <w:p w14:paraId="3EFD5568" w14:textId="77777777" w:rsidR="00BC24A8" w:rsidRDefault="00000000">
            <w:pPr>
              <w:pStyle w:val="TableParagraph"/>
              <w:spacing w:line="201" w:lineRule="exact"/>
              <w:ind w:left="122"/>
              <w:rPr>
                <w:sz w:val="18"/>
              </w:rPr>
            </w:pPr>
            <w:r>
              <w:rPr>
                <w:sz w:val="18"/>
              </w:rPr>
              <w:t xml:space="preserve">RAD </w:t>
            </w:r>
            <w:r>
              <w:rPr>
                <w:spacing w:val="-5"/>
                <w:sz w:val="18"/>
              </w:rPr>
              <w:t>PD.</w:t>
            </w:r>
          </w:p>
        </w:tc>
      </w:tr>
      <w:tr w:rsidR="00BC24A8" w14:paraId="4A379238" w14:textId="77777777">
        <w:trPr>
          <w:trHeight w:val="283"/>
        </w:trPr>
        <w:tc>
          <w:tcPr>
            <w:tcW w:w="1611" w:type="dxa"/>
            <w:tcBorders>
              <w:bottom w:val="single" w:sz="4" w:space="0" w:color="BEBEBE"/>
            </w:tcBorders>
          </w:tcPr>
          <w:p w14:paraId="15848AF6" w14:textId="77777777" w:rsidR="00BC24A8" w:rsidRDefault="00000000">
            <w:pPr>
              <w:pStyle w:val="TableParagraph"/>
              <w:spacing w:line="200" w:lineRule="exact"/>
              <w:ind w:left="115"/>
              <w:rPr>
                <w:sz w:val="18"/>
              </w:rPr>
            </w:pPr>
            <w:r>
              <w:rPr>
                <w:sz w:val="18"/>
              </w:rPr>
              <w:t>SKALA</w:t>
            </w:r>
            <w:r>
              <w:rPr>
                <w:spacing w:val="-4"/>
                <w:sz w:val="18"/>
              </w:rPr>
              <w:t xml:space="preserve"> </w:t>
            </w:r>
            <w:r>
              <w:rPr>
                <w:spacing w:val="-2"/>
                <w:sz w:val="18"/>
              </w:rPr>
              <w:t>support.</w:t>
            </w:r>
          </w:p>
        </w:tc>
        <w:tc>
          <w:tcPr>
            <w:tcW w:w="1424" w:type="dxa"/>
            <w:tcBorders>
              <w:bottom w:val="single" w:sz="4" w:space="0" w:color="BEBEBE"/>
            </w:tcBorders>
          </w:tcPr>
          <w:p w14:paraId="18D3BDDC" w14:textId="77777777" w:rsidR="00BC24A8" w:rsidRDefault="00BC24A8">
            <w:pPr>
              <w:pStyle w:val="TableParagraph"/>
              <w:rPr>
                <w:rFonts w:ascii="Times New Roman"/>
                <w:sz w:val="16"/>
              </w:rPr>
            </w:pPr>
          </w:p>
        </w:tc>
        <w:tc>
          <w:tcPr>
            <w:tcW w:w="1272" w:type="dxa"/>
            <w:tcBorders>
              <w:bottom w:val="single" w:sz="4" w:space="0" w:color="BEBEBE"/>
            </w:tcBorders>
          </w:tcPr>
          <w:p w14:paraId="0E276722" w14:textId="77777777" w:rsidR="00BC24A8" w:rsidRDefault="00BC24A8">
            <w:pPr>
              <w:pStyle w:val="TableParagraph"/>
              <w:rPr>
                <w:rFonts w:ascii="Times New Roman"/>
                <w:sz w:val="16"/>
              </w:rPr>
            </w:pPr>
          </w:p>
        </w:tc>
        <w:tc>
          <w:tcPr>
            <w:tcW w:w="1356" w:type="dxa"/>
            <w:tcBorders>
              <w:bottom w:val="single" w:sz="4" w:space="0" w:color="BEBEBE"/>
            </w:tcBorders>
          </w:tcPr>
          <w:p w14:paraId="18AC3E66" w14:textId="77777777" w:rsidR="00BC24A8" w:rsidRDefault="00BC24A8">
            <w:pPr>
              <w:pStyle w:val="TableParagraph"/>
              <w:rPr>
                <w:rFonts w:ascii="Times New Roman"/>
                <w:sz w:val="16"/>
              </w:rPr>
            </w:pPr>
          </w:p>
        </w:tc>
        <w:tc>
          <w:tcPr>
            <w:tcW w:w="1350" w:type="dxa"/>
            <w:tcBorders>
              <w:bottom w:val="single" w:sz="4" w:space="0" w:color="BEBEBE"/>
            </w:tcBorders>
          </w:tcPr>
          <w:p w14:paraId="22E287A1" w14:textId="77777777" w:rsidR="00BC24A8" w:rsidRDefault="00BC24A8">
            <w:pPr>
              <w:pStyle w:val="TableParagraph"/>
              <w:rPr>
                <w:rFonts w:ascii="Times New Roman"/>
                <w:sz w:val="16"/>
              </w:rPr>
            </w:pPr>
          </w:p>
        </w:tc>
        <w:tc>
          <w:tcPr>
            <w:tcW w:w="2085" w:type="dxa"/>
            <w:tcBorders>
              <w:bottom w:val="single" w:sz="4" w:space="0" w:color="BEBEBE"/>
            </w:tcBorders>
          </w:tcPr>
          <w:p w14:paraId="6779E448" w14:textId="77777777" w:rsidR="00BC24A8" w:rsidRDefault="00BC24A8">
            <w:pPr>
              <w:pStyle w:val="TableParagraph"/>
              <w:rPr>
                <w:rFonts w:ascii="Times New Roman"/>
                <w:sz w:val="16"/>
              </w:rPr>
            </w:pPr>
          </w:p>
        </w:tc>
      </w:tr>
      <w:tr w:rsidR="00BC24A8" w14:paraId="72B999AA" w14:textId="77777777">
        <w:trPr>
          <w:trHeight w:val="299"/>
        </w:trPr>
        <w:tc>
          <w:tcPr>
            <w:tcW w:w="1611" w:type="dxa"/>
            <w:tcBorders>
              <w:top w:val="single" w:sz="4" w:space="0" w:color="BEBEBE"/>
            </w:tcBorders>
          </w:tcPr>
          <w:p w14:paraId="50F1560B" w14:textId="77777777" w:rsidR="00BC24A8" w:rsidRDefault="00000000">
            <w:pPr>
              <w:pStyle w:val="TableParagraph"/>
              <w:spacing w:before="61" w:line="218" w:lineRule="exact"/>
              <w:ind w:left="115"/>
              <w:rPr>
                <w:sz w:val="18"/>
              </w:rPr>
            </w:pPr>
            <w:r>
              <w:rPr>
                <w:sz w:val="18"/>
              </w:rPr>
              <w:t>IO</w:t>
            </w:r>
            <w:r>
              <w:rPr>
                <w:spacing w:val="-3"/>
                <w:sz w:val="18"/>
              </w:rPr>
              <w:t xml:space="preserve"> </w:t>
            </w:r>
            <w:r>
              <w:rPr>
                <w:sz w:val="18"/>
              </w:rPr>
              <w:t>7.3.</w:t>
            </w:r>
            <w:r>
              <w:rPr>
                <w:spacing w:val="-3"/>
                <w:sz w:val="18"/>
              </w:rPr>
              <w:t xml:space="preserve"> </w:t>
            </w:r>
            <w:r>
              <w:rPr>
                <w:sz w:val="18"/>
              </w:rPr>
              <w:t>Number</w:t>
            </w:r>
            <w:r>
              <w:rPr>
                <w:spacing w:val="-2"/>
                <w:sz w:val="18"/>
              </w:rPr>
              <w:t xml:space="preserve"> </w:t>
            </w:r>
            <w:r>
              <w:rPr>
                <w:spacing w:val="-5"/>
                <w:sz w:val="18"/>
              </w:rPr>
              <w:t>of</w:t>
            </w:r>
          </w:p>
        </w:tc>
        <w:tc>
          <w:tcPr>
            <w:tcW w:w="1424" w:type="dxa"/>
            <w:tcBorders>
              <w:top w:val="single" w:sz="4" w:space="0" w:color="BEBEBE"/>
            </w:tcBorders>
          </w:tcPr>
          <w:p w14:paraId="557ECCD2" w14:textId="77777777" w:rsidR="00BC24A8" w:rsidRDefault="00000000">
            <w:pPr>
              <w:pStyle w:val="TableParagraph"/>
              <w:spacing w:before="66" w:line="213" w:lineRule="exact"/>
              <w:ind w:left="124"/>
              <w:rPr>
                <w:sz w:val="18"/>
              </w:rPr>
            </w:pPr>
            <w:r>
              <w:rPr>
                <w:spacing w:val="-10"/>
                <w:sz w:val="18"/>
              </w:rPr>
              <w:t>0</w:t>
            </w:r>
          </w:p>
        </w:tc>
        <w:tc>
          <w:tcPr>
            <w:tcW w:w="1272" w:type="dxa"/>
            <w:tcBorders>
              <w:top w:val="single" w:sz="4" w:space="0" w:color="BEBEBE"/>
            </w:tcBorders>
          </w:tcPr>
          <w:p w14:paraId="7C84728C" w14:textId="77777777" w:rsidR="00BC24A8" w:rsidRDefault="00000000">
            <w:pPr>
              <w:pStyle w:val="TableParagraph"/>
              <w:spacing w:before="66" w:line="213" w:lineRule="exact"/>
              <w:ind w:left="140"/>
              <w:rPr>
                <w:sz w:val="18"/>
              </w:rPr>
            </w:pPr>
            <w:r>
              <w:rPr>
                <w:sz w:val="18"/>
              </w:rPr>
              <w:t>5</w:t>
            </w:r>
            <w:r>
              <w:rPr>
                <w:spacing w:val="-2"/>
                <w:sz w:val="18"/>
              </w:rPr>
              <w:t xml:space="preserve"> provinces</w:t>
            </w:r>
          </w:p>
        </w:tc>
        <w:tc>
          <w:tcPr>
            <w:tcW w:w="1356" w:type="dxa"/>
            <w:tcBorders>
              <w:top w:val="single" w:sz="4" w:space="0" w:color="BEBEBE"/>
            </w:tcBorders>
          </w:tcPr>
          <w:p w14:paraId="002B5209" w14:textId="77777777" w:rsidR="00BC24A8" w:rsidRDefault="00000000">
            <w:pPr>
              <w:pStyle w:val="TableParagraph"/>
              <w:spacing w:before="66" w:line="213" w:lineRule="exact"/>
              <w:ind w:left="128"/>
              <w:rPr>
                <w:sz w:val="18"/>
              </w:rPr>
            </w:pPr>
            <w:r>
              <w:rPr>
                <w:spacing w:val="-10"/>
                <w:sz w:val="18"/>
              </w:rPr>
              <w:t>0</w:t>
            </w:r>
          </w:p>
        </w:tc>
        <w:tc>
          <w:tcPr>
            <w:tcW w:w="1350" w:type="dxa"/>
            <w:tcBorders>
              <w:top w:val="single" w:sz="4" w:space="0" w:color="BEBEBE"/>
            </w:tcBorders>
          </w:tcPr>
          <w:p w14:paraId="18F6C969" w14:textId="77777777" w:rsidR="00BC24A8" w:rsidRDefault="00000000">
            <w:pPr>
              <w:pStyle w:val="TableParagraph"/>
              <w:spacing w:before="66" w:line="213" w:lineRule="exact"/>
              <w:ind w:left="120"/>
              <w:rPr>
                <w:sz w:val="18"/>
              </w:rPr>
            </w:pPr>
            <w:r>
              <w:rPr>
                <w:sz w:val="18"/>
              </w:rPr>
              <w:t>5</w:t>
            </w:r>
            <w:r>
              <w:rPr>
                <w:spacing w:val="-2"/>
                <w:sz w:val="18"/>
              </w:rPr>
              <w:t xml:space="preserve"> provinces</w:t>
            </w:r>
          </w:p>
        </w:tc>
        <w:tc>
          <w:tcPr>
            <w:tcW w:w="2085" w:type="dxa"/>
            <w:tcBorders>
              <w:top w:val="single" w:sz="4" w:space="0" w:color="BEBEBE"/>
            </w:tcBorders>
          </w:tcPr>
          <w:p w14:paraId="4E998614" w14:textId="77777777" w:rsidR="00BC24A8" w:rsidRDefault="00000000">
            <w:pPr>
              <w:pStyle w:val="TableParagraph"/>
              <w:spacing w:before="66" w:line="213" w:lineRule="exact"/>
              <w:ind w:left="122"/>
              <w:rPr>
                <w:sz w:val="18"/>
              </w:rPr>
            </w:pPr>
            <w:r>
              <w:rPr>
                <w:sz w:val="18"/>
              </w:rPr>
              <w:t>NTB,</w:t>
            </w:r>
            <w:r>
              <w:rPr>
                <w:spacing w:val="-5"/>
                <w:sz w:val="18"/>
              </w:rPr>
              <w:t xml:space="preserve"> </w:t>
            </w:r>
            <w:r>
              <w:rPr>
                <w:sz w:val="18"/>
              </w:rPr>
              <w:t>NTT,</w:t>
            </w:r>
            <w:r>
              <w:rPr>
                <w:spacing w:val="-3"/>
                <w:sz w:val="18"/>
              </w:rPr>
              <w:t xml:space="preserve"> </w:t>
            </w:r>
            <w:r>
              <w:rPr>
                <w:spacing w:val="-2"/>
                <w:sz w:val="18"/>
              </w:rPr>
              <w:t>Kaltara,</w:t>
            </w:r>
          </w:p>
        </w:tc>
      </w:tr>
      <w:tr w:rsidR="00BC24A8" w14:paraId="168944AC" w14:textId="77777777">
        <w:trPr>
          <w:trHeight w:val="220"/>
        </w:trPr>
        <w:tc>
          <w:tcPr>
            <w:tcW w:w="1611" w:type="dxa"/>
          </w:tcPr>
          <w:p w14:paraId="55491075" w14:textId="77777777" w:rsidR="00BC24A8" w:rsidRDefault="00000000">
            <w:pPr>
              <w:pStyle w:val="TableParagraph"/>
              <w:spacing w:line="200" w:lineRule="exact"/>
              <w:ind w:left="115"/>
              <w:rPr>
                <w:sz w:val="18"/>
              </w:rPr>
            </w:pPr>
            <w:r>
              <w:rPr>
                <w:spacing w:val="-2"/>
                <w:sz w:val="18"/>
              </w:rPr>
              <w:t>provinical</w:t>
            </w:r>
          </w:p>
        </w:tc>
        <w:tc>
          <w:tcPr>
            <w:tcW w:w="1424" w:type="dxa"/>
          </w:tcPr>
          <w:p w14:paraId="6F094286" w14:textId="77777777" w:rsidR="00BC24A8" w:rsidRDefault="00BC24A8">
            <w:pPr>
              <w:pStyle w:val="TableParagraph"/>
              <w:rPr>
                <w:rFonts w:ascii="Times New Roman"/>
                <w:sz w:val="14"/>
              </w:rPr>
            </w:pPr>
          </w:p>
        </w:tc>
        <w:tc>
          <w:tcPr>
            <w:tcW w:w="1272" w:type="dxa"/>
          </w:tcPr>
          <w:p w14:paraId="514A0FB5" w14:textId="77777777" w:rsidR="00BC24A8" w:rsidRDefault="00BC24A8">
            <w:pPr>
              <w:pStyle w:val="TableParagraph"/>
              <w:rPr>
                <w:rFonts w:ascii="Times New Roman"/>
                <w:sz w:val="14"/>
              </w:rPr>
            </w:pPr>
          </w:p>
        </w:tc>
        <w:tc>
          <w:tcPr>
            <w:tcW w:w="1356" w:type="dxa"/>
          </w:tcPr>
          <w:p w14:paraId="21496481" w14:textId="77777777" w:rsidR="00BC24A8" w:rsidRDefault="00BC24A8">
            <w:pPr>
              <w:pStyle w:val="TableParagraph"/>
              <w:rPr>
                <w:rFonts w:ascii="Times New Roman"/>
                <w:sz w:val="14"/>
              </w:rPr>
            </w:pPr>
          </w:p>
        </w:tc>
        <w:tc>
          <w:tcPr>
            <w:tcW w:w="1350" w:type="dxa"/>
          </w:tcPr>
          <w:p w14:paraId="17A162DC" w14:textId="77777777" w:rsidR="00BC24A8" w:rsidRDefault="00BC24A8">
            <w:pPr>
              <w:pStyle w:val="TableParagraph"/>
              <w:rPr>
                <w:rFonts w:ascii="Times New Roman"/>
                <w:sz w:val="14"/>
              </w:rPr>
            </w:pPr>
          </w:p>
        </w:tc>
        <w:tc>
          <w:tcPr>
            <w:tcW w:w="2085" w:type="dxa"/>
          </w:tcPr>
          <w:p w14:paraId="255A5C07" w14:textId="77777777" w:rsidR="00BC24A8" w:rsidRDefault="00000000">
            <w:pPr>
              <w:pStyle w:val="TableParagraph"/>
              <w:spacing w:line="201" w:lineRule="exact"/>
              <w:ind w:left="122"/>
              <w:rPr>
                <w:sz w:val="18"/>
              </w:rPr>
            </w:pPr>
            <w:r>
              <w:rPr>
                <w:sz w:val="18"/>
              </w:rPr>
              <w:t>Gorontalo,</w:t>
            </w:r>
            <w:r>
              <w:rPr>
                <w:spacing w:val="-4"/>
                <w:sz w:val="18"/>
              </w:rPr>
              <w:t xml:space="preserve"> </w:t>
            </w:r>
            <w:r>
              <w:rPr>
                <w:sz w:val="18"/>
              </w:rPr>
              <w:t>and</w:t>
            </w:r>
            <w:r>
              <w:rPr>
                <w:spacing w:val="-2"/>
                <w:sz w:val="18"/>
              </w:rPr>
              <w:t xml:space="preserve"> Maluku</w:t>
            </w:r>
          </w:p>
        </w:tc>
      </w:tr>
      <w:tr w:rsidR="00BC24A8" w14:paraId="51B7E0B8" w14:textId="77777777">
        <w:trPr>
          <w:trHeight w:val="218"/>
        </w:trPr>
        <w:tc>
          <w:tcPr>
            <w:tcW w:w="1611" w:type="dxa"/>
          </w:tcPr>
          <w:p w14:paraId="2B1C42F1" w14:textId="77777777" w:rsidR="00BC24A8" w:rsidRDefault="00000000">
            <w:pPr>
              <w:pStyle w:val="TableParagraph"/>
              <w:spacing w:line="198" w:lineRule="exact"/>
              <w:ind w:left="115"/>
              <w:rPr>
                <w:sz w:val="18"/>
              </w:rPr>
            </w:pPr>
            <w:r>
              <w:rPr>
                <w:sz w:val="18"/>
              </w:rPr>
              <w:t>governments</w:t>
            </w:r>
            <w:r>
              <w:rPr>
                <w:spacing w:val="-7"/>
                <w:sz w:val="18"/>
              </w:rPr>
              <w:t xml:space="preserve"> </w:t>
            </w:r>
            <w:r>
              <w:rPr>
                <w:spacing w:val="-4"/>
                <w:sz w:val="18"/>
              </w:rPr>
              <w:t>that</w:t>
            </w:r>
          </w:p>
        </w:tc>
        <w:tc>
          <w:tcPr>
            <w:tcW w:w="1424" w:type="dxa"/>
          </w:tcPr>
          <w:p w14:paraId="7640E3D3" w14:textId="77777777" w:rsidR="00BC24A8" w:rsidRDefault="00BC24A8">
            <w:pPr>
              <w:pStyle w:val="TableParagraph"/>
              <w:rPr>
                <w:rFonts w:ascii="Times New Roman"/>
                <w:sz w:val="14"/>
              </w:rPr>
            </w:pPr>
          </w:p>
        </w:tc>
        <w:tc>
          <w:tcPr>
            <w:tcW w:w="1272" w:type="dxa"/>
          </w:tcPr>
          <w:p w14:paraId="32711269" w14:textId="77777777" w:rsidR="00BC24A8" w:rsidRDefault="00BC24A8">
            <w:pPr>
              <w:pStyle w:val="TableParagraph"/>
              <w:rPr>
                <w:rFonts w:ascii="Times New Roman"/>
                <w:sz w:val="14"/>
              </w:rPr>
            </w:pPr>
          </w:p>
        </w:tc>
        <w:tc>
          <w:tcPr>
            <w:tcW w:w="1356" w:type="dxa"/>
          </w:tcPr>
          <w:p w14:paraId="36DC0A41" w14:textId="77777777" w:rsidR="00BC24A8" w:rsidRDefault="00BC24A8">
            <w:pPr>
              <w:pStyle w:val="TableParagraph"/>
              <w:rPr>
                <w:rFonts w:ascii="Times New Roman"/>
                <w:sz w:val="14"/>
              </w:rPr>
            </w:pPr>
          </w:p>
        </w:tc>
        <w:tc>
          <w:tcPr>
            <w:tcW w:w="1350" w:type="dxa"/>
          </w:tcPr>
          <w:p w14:paraId="32823DB9" w14:textId="77777777" w:rsidR="00BC24A8" w:rsidRDefault="00BC24A8">
            <w:pPr>
              <w:pStyle w:val="TableParagraph"/>
              <w:rPr>
                <w:rFonts w:ascii="Times New Roman"/>
                <w:sz w:val="14"/>
              </w:rPr>
            </w:pPr>
          </w:p>
        </w:tc>
        <w:tc>
          <w:tcPr>
            <w:tcW w:w="2085" w:type="dxa"/>
          </w:tcPr>
          <w:p w14:paraId="4986C171" w14:textId="77777777" w:rsidR="00BC24A8" w:rsidRDefault="00000000">
            <w:pPr>
              <w:pStyle w:val="TableParagraph"/>
              <w:spacing w:line="198" w:lineRule="exact"/>
              <w:ind w:left="122"/>
              <w:rPr>
                <w:sz w:val="18"/>
              </w:rPr>
            </w:pPr>
            <w:r>
              <w:rPr>
                <w:sz w:val="18"/>
              </w:rPr>
              <w:t>have</w:t>
            </w:r>
            <w:r>
              <w:rPr>
                <w:spacing w:val="-2"/>
                <w:sz w:val="18"/>
              </w:rPr>
              <w:t xml:space="preserve"> </w:t>
            </w:r>
            <w:r>
              <w:rPr>
                <w:sz w:val="18"/>
              </w:rPr>
              <w:t>conducted</w:t>
            </w:r>
            <w:r>
              <w:rPr>
                <w:spacing w:val="-1"/>
                <w:sz w:val="18"/>
              </w:rPr>
              <w:t xml:space="preserve"> </w:t>
            </w:r>
            <w:r>
              <w:rPr>
                <w:spacing w:val="-2"/>
                <w:sz w:val="18"/>
              </w:rPr>
              <w:t>Inclusive</w:t>
            </w:r>
          </w:p>
        </w:tc>
      </w:tr>
      <w:tr w:rsidR="00BC24A8" w14:paraId="08BDC96B" w14:textId="77777777">
        <w:trPr>
          <w:trHeight w:val="220"/>
        </w:trPr>
        <w:tc>
          <w:tcPr>
            <w:tcW w:w="1611" w:type="dxa"/>
          </w:tcPr>
          <w:p w14:paraId="1634D66D" w14:textId="77777777" w:rsidR="00BC24A8" w:rsidRDefault="00000000">
            <w:pPr>
              <w:pStyle w:val="TableParagraph"/>
              <w:spacing w:line="200" w:lineRule="exact"/>
              <w:ind w:left="115"/>
              <w:rPr>
                <w:sz w:val="18"/>
              </w:rPr>
            </w:pPr>
            <w:r>
              <w:rPr>
                <w:sz w:val="18"/>
              </w:rPr>
              <w:t>facilitate</w:t>
            </w:r>
            <w:r>
              <w:rPr>
                <w:spacing w:val="-1"/>
                <w:sz w:val="18"/>
              </w:rPr>
              <w:t xml:space="preserve"> </w:t>
            </w:r>
            <w:r>
              <w:rPr>
                <w:spacing w:val="-2"/>
                <w:sz w:val="18"/>
              </w:rPr>
              <w:t>thematic</w:t>
            </w:r>
          </w:p>
        </w:tc>
        <w:tc>
          <w:tcPr>
            <w:tcW w:w="1424" w:type="dxa"/>
          </w:tcPr>
          <w:p w14:paraId="0412D670" w14:textId="77777777" w:rsidR="00BC24A8" w:rsidRDefault="00BC24A8">
            <w:pPr>
              <w:pStyle w:val="TableParagraph"/>
              <w:rPr>
                <w:rFonts w:ascii="Times New Roman"/>
                <w:sz w:val="14"/>
              </w:rPr>
            </w:pPr>
          </w:p>
        </w:tc>
        <w:tc>
          <w:tcPr>
            <w:tcW w:w="1272" w:type="dxa"/>
          </w:tcPr>
          <w:p w14:paraId="61B93B10" w14:textId="77777777" w:rsidR="00BC24A8" w:rsidRDefault="00BC24A8">
            <w:pPr>
              <w:pStyle w:val="TableParagraph"/>
              <w:rPr>
                <w:rFonts w:ascii="Times New Roman"/>
                <w:sz w:val="14"/>
              </w:rPr>
            </w:pPr>
          </w:p>
        </w:tc>
        <w:tc>
          <w:tcPr>
            <w:tcW w:w="1356" w:type="dxa"/>
          </w:tcPr>
          <w:p w14:paraId="1A1BAD61" w14:textId="77777777" w:rsidR="00BC24A8" w:rsidRDefault="00BC24A8">
            <w:pPr>
              <w:pStyle w:val="TableParagraph"/>
              <w:rPr>
                <w:rFonts w:ascii="Times New Roman"/>
                <w:sz w:val="14"/>
              </w:rPr>
            </w:pPr>
          </w:p>
        </w:tc>
        <w:tc>
          <w:tcPr>
            <w:tcW w:w="1350" w:type="dxa"/>
          </w:tcPr>
          <w:p w14:paraId="32D7308A" w14:textId="77777777" w:rsidR="00BC24A8" w:rsidRDefault="00BC24A8">
            <w:pPr>
              <w:pStyle w:val="TableParagraph"/>
              <w:rPr>
                <w:rFonts w:ascii="Times New Roman"/>
                <w:sz w:val="14"/>
              </w:rPr>
            </w:pPr>
          </w:p>
        </w:tc>
        <w:tc>
          <w:tcPr>
            <w:tcW w:w="2085" w:type="dxa"/>
          </w:tcPr>
          <w:p w14:paraId="046DF0DC" w14:textId="77777777" w:rsidR="00BC24A8" w:rsidRDefault="00000000">
            <w:pPr>
              <w:pStyle w:val="TableParagraph"/>
              <w:spacing w:line="201" w:lineRule="exact"/>
              <w:ind w:left="122"/>
              <w:rPr>
                <w:sz w:val="18"/>
              </w:rPr>
            </w:pPr>
            <w:r>
              <w:rPr>
                <w:spacing w:val="-2"/>
                <w:sz w:val="18"/>
              </w:rPr>
              <w:t>Musrenbang</w:t>
            </w:r>
          </w:p>
        </w:tc>
      </w:tr>
      <w:tr w:rsidR="00BC24A8" w14:paraId="592660BF" w14:textId="77777777">
        <w:trPr>
          <w:trHeight w:val="218"/>
        </w:trPr>
        <w:tc>
          <w:tcPr>
            <w:tcW w:w="1611" w:type="dxa"/>
          </w:tcPr>
          <w:p w14:paraId="73E4C8C3" w14:textId="77777777" w:rsidR="00BC24A8" w:rsidRDefault="00000000">
            <w:pPr>
              <w:pStyle w:val="TableParagraph"/>
              <w:spacing w:line="198" w:lineRule="exact"/>
              <w:ind w:left="115"/>
              <w:rPr>
                <w:sz w:val="18"/>
              </w:rPr>
            </w:pPr>
            <w:r>
              <w:rPr>
                <w:sz w:val="18"/>
              </w:rPr>
              <w:t>discussions</w:t>
            </w:r>
            <w:r>
              <w:rPr>
                <w:spacing w:val="-3"/>
                <w:sz w:val="18"/>
              </w:rPr>
              <w:t xml:space="preserve"> </w:t>
            </w:r>
            <w:r>
              <w:rPr>
                <w:sz w:val="18"/>
              </w:rPr>
              <w:t>as</w:t>
            </w:r>
            <w:r>
              <w:rPr>
                <w:spacing w:val="-1"/>
                <w:sz w:val="18"/>
              </w:rPr>
              <w:t xml:space="preserve"> </w:t>
            </w:r>
            <w:r>
              <w:rPr>
                <w:spacing w:val="-4"/>
                <w:sz w:val="18"/>
              </w:rPr>
              <w:t>part</w:t>
            </w:r>
          </w:p>
        </w:tc>
        <w:tc>
          <w:tcPr>
            <w:tcW w:w="1424" w:type="dxa"/>
          </w:tcPr>
          <w:p w14:paraId="2AF6D834" w14:textId="77777777" w:rsidR="00BC24A8" w:rsidRDefault="00BC24A8">
            <w:pPr>
              <w:pStyle w:val="TableParagraph"/>
              <w:rPr>
                <w:rFonts w:ascii="Times New Roman"/>
                <w:sz w:val="14"/>
              </w:rPr>
            </w:pPr>
          </w:p>
        </w:tc>
        <w:tc>
          <w:tcPr>
            <w:tcW w:w="1272" w:type="dxa"/>
          </w:tcPr>
          <w:p w14:paraId="5AD10401" w14:textId="77777777" w:rsidR="00BC24A8" w:rsidRDefault="00BC24A8">
            <w:pPr>
              <w:pStyle w:val="TableParagraph"/>
              <w:rPr>
                <w:rFonts w:ascii="Times New Roman"/>
                <w:sz w:val="14"/>
              </w:rPr>
            </w:pPr>
          </w:p>
        </w:tc>
        <w:tc>
          <w:tcPr>
            <w:tcW w:w="1356" w:type="dxa"/>
          </w:tcPr>
          <w:p w14:paraId="1F936E49" w14:textId="77777777" w:rsidR="00BC24A8" w:rsidRDefault="00BC24A8">
            <w:pPr>
              <w:pStyle w:val="TableParagraph"/>
              <w:rPr>
                <w:rFonts w:ascii="Times New Roman"/>
                <w:sz w:val="14"/>
              </w:rPr>
            </w:pPr>
          </w:p>
        </w:tc>
        <w:tc>
          <w:tcPr>
            <w:tcW w:w="1350" w:type="dxa"/>
          </w:tcPr>
          <w:p w14:paraId="75FAAAC7" w14:textId="77777777" w:rsidR="00BC24A8" w:rsidRDefault="00BC24A8">
            <w:pPr>
              <w:pStyle w:val="TableParagraph"/>
              <w:rPr>
                <w:rFonts w:ascii="Times New Roman"/>
                <w:sz w:val="14"/>
              </w:rPr>
            </w:pPr>
          </w:p>
        </w:tc>
        <w:tc>
          <w:tcPr>
            <w:tcW w:w="2085" w:type="dxa"/>
          </w:tcPr>
          <w:p w14:paraId="2C768057" w14:textId="77777777" w:rsidR="00BC24A8" w:rsidRDefault="00000000">
            <w:pPr>
              <w:pStyle w:val="TableParagraph"/>
              <w:spacing w:line="198" w:lineRule="exact"/>
              <w:ind w:left="122"/>
              <w:rPr>
                <w:sz w:val="18"/>
              </w:rPr>
            </w:pPr>
            <w:r>
              <w:rPr>
                <w:sz w:val="18"/>
              </w:rPr>
              <w:t>(development</w:t>
            </w:r>
            <w:r>
              <w:rPr>
                <w:spacing w:val="-4"/>
                <w:sz w:val="18"/>
              </w:rPr>
              <w:t xml:space="preserve"> </w:t>
            </w:r>
            <w:r>
              <w:rPr>
                <w:spacing w:val="-2"/>
                <w:sz w:val="18"/>
              </w:rPr>
              <w:t>planning</w:t>
            </w:r>
          </w:p>
        </w:tc>
      </w:tr>
      <w:tr w:rsidR="00BC24A8" w14:paraId="6F923299" w14:textId="77777777">
        <w:trPr>
          <w:trHeight w:val="220"/>
        </w:trPr>
        <w:tc>
          <w:tcPr>
            <w:tcW w:w="1611" w:type="dxa"/>
          </w:tcPr>
          <w:p w14:paraId="305A62BE" w14:textId="77777777" w:rsidR="00BC24A8" w:rsidRDefault="00000000">
            <w:pPr>
              <w:pStyle w:val="TableParagraph"/>
              <w:spacing w:line="200" w:lineRule="exact"/>
              <w:ind w:left="115"/>
              <w:rPr>
                <w:sz w:val="18"/>
              </w:rPr>
            </w:pPr>
            <w:r>
              <w:rPr>
                <w:sz w:val="18"/>
              </w:rPr>
              <w:t>of</w:t>
            </w:r>
            <w:r>
              <w:rPr>
                <w:spacing w:val="-2"/>
                <w:sz w:val="18"/>
              </w:rPr>
              <w:t xml:space="preserve"> </w:t>
            </w:r>
            <w:r>
              <w:rPr>
                <w:sz w:val="18"/>
              </w:rPr>
              <w:t>a</w:t>
            </w:r>
            <w:r>
              <w:rPr>
                <w:spacing w:val="-2"/>
                <w:sz w:val="18"/>
              </w:rPr>
              <w:t xml:space="preserve"> </w:t>
            </w:r>
            <w:r>
              <w:rPr>
                <w:sz w:val="18"/>
              </w:rPr>
              <w:t>more</w:t>
            </w:r>
            <w:r>
              <w:rPr>
                <w:spacing w:val="-1"/>
                <w:sz w:val="18"/>
              </w:rPr>
              <w:t xml:space="preserve"> </w:t>
            </w:r>
            <w:r>
              <w:rPr>
                <w:spacing w:val="-2"/>
                <w:sz w:val="18"/>
              </w:rPr>
              <w:t>inclusive</w:t>
            </w:r>
          </w:p>
        </w:tc>
        <w:tc>
          <w:tcPr>
            <w:tcW w:w="1424" w:type="dxa"/>
          </w:tcPr>
          <w:p w14:paraId="168AE752" w14:textId="77777777" w:rsidR="00BC24A8" w:rsidRDefault="00BC24A8">
            <w:pPr>
              <w:pStyle w:val="TableParagraph"/>
              <w:rPr>
                <w:rFonts w:ascii="Times New Roman"/>
                <w:sz w:val="14"/>
              </w:rPr>
            </w:pPr>
          </w:p>
        </w:tc>
        <w:tc>
          <w:tcPr>
            <w:tcW w:w="1272" w:type="dxa"/>
          </w:tcPr>
          <w:p w14:paraId="69D8F586" w14:textId="77777777" w:rsidR="00BC24A8" w:rsidRDefault="00BC24A8">
            <w:pPr>
              <w:pStyle w:val="TableParagraph"/>
              <w:rPr>
                <w:rFonts w:ascii="Times New Roman"/>
                <w:sz w:val="14"/>
              </w:rPr>
            </w:pPr>
          </w:p>
        </w:tc>
        <w:tc>
          <w:tcPr>
            <w:tcW w:w="1356" w:type="dxa"/>
          </w:tcPr>
          <w:p w14:paraId="4350137C" w14:textId="77777777" w:rsidR="00BC24A8" w:rsidRDefault="00BC24A8">
            <w:pPr>
              <w:pStyle w:val="TableParagraph"/>
              <w:rPr>
                <w:rFonts w:ascii="Times New Roman"/>
                <w:sz w:val="14"/>
              </w:rPr>
            </w:pPr>
          </w:p>
        </w:tc>
        <w:tc>
          <w:tcPr>
            <w:tcW w:w="1350" w:type="dxa"/>
          </w:tcPr>
          <w:p w14:paraId="720854E9" w14:textId="77777777" w:rsidR="00BC24A8" w:rsidRDefault="00BC24A8">
            <w:pPr>
              <w:pStyle w:val="TableParagraph"/>
              <w:rPr>
                <w:rFonts w:ascii="Times New Roman"/>
                <w:sz w:val="14"/>
              </w:rPr>
            </w:pPr>
          </w:p>
        </w:tc>
        <w:tc>
          <w:tcPr>
            <w:tcW w:w="2085" w:type="dxa"/>
          </w:tcPr>
          <w:p w14:paraId="44AE58D1" w14:textId="77777777" w:rsidR="00BC24A8" w:rsidRDefault="00000000">
            <w:pPr>
              <w:pStyle w:val="TableParagraph"/>
              <w:spacing w:line="201" w:lineRule="exact"/>
              <w:ind w:left="122"/>
              <w:rPr>
                <w:sz w:val="18"/>
              </w:rPr>
            </w:pPr>
            <w:r>
              <w:rPr>
                <w:spacing w:val="-2"/>
                <w:sz w:val="18"/>
              </w:rPr>
              <w:t>forums).</w:t>
            </w:r>
          </w:p>
        </w:tc>
      </w:tr>
      <w:tr w:rsidR="00BC24A8" w14:paraId="6E165742" w14:textId="77777777">
        <w:trPr>
          <w:trHeight w:val="215"/>
        </w:trPr>
        <w:tc>
          <w:tcPr>
            <w:tcW w:w="1611" w:type="dxa"/>
          </w:tcPr>
          <w:p w14:paraId="56AC0E44" w14:textId="77777777" w:rsidR="00BC24A8" w:rsidRDefault="00000000">
            <w:pPr>
              <w:pStyle w:val="TableParagraph"/>
              <w:spacing w:line="196" w:lineRule="exact"/>
              <w:ind w:left="115"/>
              <w:rPr>
                <w:sz w:val="18"/>
              </w:rPr>
            </w:pPr>
            <w:r>
              <w:rPr>
                <w:sz w:val="18"/>
              </w:rPr>
              <w:t xml:space="preserve">planning </w:t>
            </w:r>
            <w:r>
              <w:rPr>
                <w:spacing w:val="-5"/>
                <w:sz w:val="18"/>
              </w:rPr>
              <w:t>and</w:t>
            </w:r>
          </w:p>
        </w:tc>
        <w:tc>
          <w:tcPr>
            <w:tcW w:w="1424" w:type="dxa"/>
          </w:tcPr>
          <w:p w14:paraId="21AC3C1E" w14:textId="77777777" w:rsidR="00BC24A8" w:rsidRDefault="00BC24A8">
            <w:pPr>
              <w:pStyle w:val="TableParagraph"/>
              <w:rPr>
                <w:rFonts w:ascii="Times New Roman"/>
                <w:sz w:val="14"/>
              </w:rPr>
            </w:pPr>
          </w:p>
        </w:tc>
        <w:tc>
          <w:tcPr>
            <w:tcW w:w="1272" w:type="dxa"/>
          </w:tcPr>
          <w:p w14:paraId="678B1693" w14:textId="77777777" w:rsidR="00BC24A8" w:rsidRDefault="00BC24A8">
            <w:pPr>
              <w:pStyle w:val="TableParagraph"/>
              <w:rPr>
                <w:rFonts w:ascii="Times New Roman"/>
                <w:sz w:val="14"/>
              </w:rPr>
            </w:pPr>
          </w:p>
        </w:tc>
        <w:tc>
          <w:tcPr>
            <w:tcW w:w="1356" w:type="dxa"/>
          </w:tcPr>
          <w:p w14:paraId="5DEDF0C6" w14:textId="77777777" w:rsidR="00BC24A8" w:rsidRDefault="00BC24A8">
            <w:pPr>
              <w:pStyle w:val="TableParagraph"/>
              <w:rPr>
                <w:rFonts w:ascii="Times New Roman"/>
                <w:sz w:val="14"/>
              </w:rPr>
            </w:pPr>
          </w:p>
        </w:tc>
        <w:tc>
          <w:tcPr>
            <w:tcW w:w="1350" w:type="dxa"/>
          </w:tcPr>
          <w:p w14:paraId="0C3AC0F0" w14:textId="77777777" w:rsidR="00BC24A8" w:rsidRDefault="00BC24A8">
            <w:pPr>
              <w:pStyle w:val="TableParagraph"/>
              <w:rPr>
                <w:rFonts w:ascii="Times New Roman"/>
                <w:sz w:val="14"/>
              </w:rPr>
            </w:pPr>
          </w:p>
        </w:tc>
        <w:tc>
          <w:tcPr>
            <w:tcW w:w="2085" w:type="dxa"/>
          </w:tcPr>
          <w:p w14:paraId="450864F8" w14:textId="77777777" w:rsidR="00BC24A8" w:rsidRDefault="00BC24A8">
            <w:pPr>
              <w:pStyle w:val="TableParagraph"/>
              <w:rPr>
                <w:rFonts w:ascii="Times New Roman"/>
                <w:sz w:val="14"/>
              </w:rPr>
            </w:pPr>
          </w:p>
        </w:tc>
      </w:tr>
      <w:tr w:rsidR="00BC24A8" w14:paraId="2BFA8FC3" w14:textId="77777777">
        <w:trPr>
          <w:trHeight w:val="219"/>
        </w:trPr>
        <w:tc>
          <w:tcPr>
            <w:tcW w:w="1611" w:type="dxa"/>
          </w:tcPr>
          <w:p w14:paraId="6A1E5EA8" w14:textId="77777777" w:rsidR="00BC24A8" w:rsidRDefault="00000000">
            <w:pPr>
              <w:pStyle w:val="TableParagraph"/>
              <w:spacing w:line="200" w:lineRule="exact"/>
              <w:ind w:left="115"/>
              <w:rPr>
                <w:sz w:val="18"/>
              </w:rPr>
            </w:pPr>
            <w:r>
              <w:rPr>
                <w:sz w:val="18"/>
              </w:rPr>
              <w:t>budgeting</w:t>
            </w:r>
            <w:r>
              <w:rPr>
                <w:spacing w:val="-2"/>
                <w:sz w:val="18"/>
              </w:rPr>
              <w:t xml:space="preserve"> process,</w:t>
            </w:r>
          </w:p>
        </w:tc>
        <w:tc>
          <w:tcPr>
            <w:tcW w:w="1424" w:type="dxa"/>
          </w:tcPr>
          <w:p w14:paraId="2A225196" w14:textId="77777777" w:rsidR="00BC24A8" w:rsidRDefault="00BC24A8">
            <w:pPr>
              <w:pStyle w:val="TableParagraph"/>
              <w:rPr>
                <w:rFonts w:ascii="Times New Roman"/>
                <w:sz w:val="14"/>
              </w:rPr>
            </w:pPr>
          </w:p>
        </w:tc>
        <w:tc>
          <w:tcPr>
            <w:tcW w:w="1272" w:type="dxa"/>
          </w:tcPr>
          <w:p w14:paraId="01A0B951" w14:textId="77777777" w:rsidR="00BC24A8" w:rsidRDefault="00BC24A8">
            <w:pPr>
              <w:pStyle w:val="TableParagraph"/>
              <w:rPr>
                <w:rFonts w:ascii="Times New Roman"/>
                <w:sz w:val="14"/>
              </w:rPr>
            </w:pPr>
          </w:p>
        </w:tc>
        <w:tc>
          <w:tcPr>
            <w:tcW w:w="1356" w:type="dxa"/>
          </w:tcPr>
          <w:p w14:paraId="0DF21964" w14:textId="77777777" w:rsidR="00BC24A8" w:rsidRDefault="00BC24A8">
            <w:pPr>
              <w:pStyle w:val="TableParagraph"/>
              <w:rPr>
                <w:rFonts w:ascii="Times New Roman"/>
                <w:sz w:val="14"/>
              </w:rPr>
            </w:pPr>
          </w:p>
        </w:tc>
        <w:tc>
          <w:tcPr>
            <w:tcW w:w="1350" w:type="dxa"/>
          </w:tcPr>
          <w:p w14:paraId="1BC4D751" w14:textId="77777777" w:rsidR="00BC24A8" w:rsidRDefault="00BC24A8">
            <w:pPr>
              <w:pStyle w:val="TableParagraph"/>
              <w:rPr>
                <w:rFonts w:ascii="Times New Roman"/>
                <w:sz w:val="14"/>
              </w:rPr>
            </w:pPr>
          </w:p>
        </w:tc>
        <w:tc>
          <w:tcPr>
            <w:tcW w:w="2085" w:type="dxa"/>
          </w:tcPr>
          <w:p w14:paraId="6984F010" w14:textId="77777777" w:rsidR="00BC24A8" w:rsidRDefault="00BC24A8">
            <w:pPr>
              <w:pStyle w:val="TableParagraph"/>
              <w:rPr>
                <w:rFonts w:ascii="Times New Roman"/>
                <w:sz w:val="14"/>
              </w:rPr>
            </w:pPr>
          </w:p>
        </w:tc>
      </w:tr>
      <w:tr w:rsidR="00BC24A8" w14:paraId="76A270A6" w14:textId="77777777">
        <w:trPr>
          <w:trHeight w:val="219"/>
        </w:trPr>
        <w:tc>
          <w:tcPr>
            <w:tcW w:w="1611" w:type="dxa"/>
          </w:tcPr>
          <w:p w14:paraId="4669E3E3" w14:textId="77777777" w:rsidR="00BC24A8" w:rsidRDefault="00000000">
            <w:pPr>
              <w:pStyle w:val="TableParagraph"/>
              <w:spacing w:line="200" w:lineRule="exact"/>
              <w:ind w:left="115"/>
              <w:rPr>
                <w:sz w:val="18"/>
              </w:rPr>
            </w:pPr>
            <w:r>
              <w:rPr>
                <w:sz w:val="18"/>
              </w:rPr>
              <w:t xml:space="preserve">with </w:t>
            </w:r>
            <w:r>
              <w:rPr>
                <w:spacing w:val="-2"/>
                <w:sz w:val="18"/>
              </w:rPr>
              <w:t>SKALA</w:t>
            </w:r>
          </w:p>
        </w:tc>
        <w:tc>
          <w:tcPr>
            <w:tcW w:w="1424" w:type="dxa"/>
          </w:tcPr>
          <w:p w14:paraId="67585035" w14:textId="77777777" w:rsidR="00BC24A8" w:rsidRDefault="00BC24A8">
            <w:pPr>
              <w:pStyle w:val="TableParagraph"/>
              <w:rPr>
                <w:rFonts w:ascii="Times New Roman"/>
                <w:sz w:val="14"/>
              </w:rPr>
            </w:pPr>
          </w:p>
        </w:tc>
        <w:tc>
          <w:tcPr>
            <w:tcW w:w="1272" w:type="dxa"/>
          </w:tcPr>
          <w:p w14:paraId="4209EBCD" w14:textId="77777777" w:rsidR="00BC24A8" w:rsidRDefault="00BC24A8">
            <w:pPr>
              <w:pStyle w:val="TableParagraph"/>
              <w:rPr>
                <w:rFonts w:ascii="Times New Roman"/>
                <w:sz w:val="14"/>
              </w:rPr>
            </w:pPr>
          </w:p>
        </w:tc>
        <w:tc>
          <w:tcPr>
            <w:tcW w:w="1356" w:type="dxa"/>
          </w:tcPr>
          <w:p w14:paraId="11A7FC8E" w14:textId="77777777" w:rsidR="00BC24A8" w:rsidRDefault="00BC24A8">
            <w:pPr>
              <w:pStyle w:val="TableParagraph"/>
              <w:rPr>
                <w:rFonts w:ascii="Times New Roman"/>
                <w:sz w:val="14"/>
              </w:rPr>
            </w:pPr>
          </w:p>
        </w:tc>
        <w:tc>
          <w:tcPr>
            <w:tcW w:w="1350" w:type="dxa"/>
          </w:tcPr>
          <w:p w14:paraId="74908855" w14:textId="77777777" w:rsidR="00BC24A8" w:rsidRDefault="00BC24A8">
            <w:pPr>
              <w:pStyle w:val="TableParagraph"/>
              <w:rPr>
                <w:rFonts w:ascii="Times New Roman"/>
                <w:sz w:val="14"/>
              </w:rPr>
            </w:pPr>
          </w:p>
        </w:tc>
        <w:tc>
          <w:tcPr>
            <w:tcW w:w="2085" w:type="dxa"/>
          </w:tcPr>
          <w:p w14:paraId="67CB2049" w14:textId="77777777" w:rsidR="00BC24A8" w:rsidRDefault="00BC24A8">
            <w:pPr>
              <w:pStyle w:val="TableParagraph"/>
              <w:rPr>
                <w:rFonts w:ascii="Times New Roman"/>
                <w:sz w:val="14"/>
              </w:rPr>
            </w:pPr>
          </w:p>
        </w:tc>
      </w:tr>
      <w:tr w:rsidR="00BC24A8" w14:paraId="50068E4E" w14:textId="77777777">
        <w:trPr>
          <w:trHeight w:val="201"/>
        </w:trPr>
        <w:tc>
          <w:tcPr>
            <w:tcW w:w="1611" w:type="dxa"/>
            <w:tcBorders>
              <w:bottom w:val="single" w:sz="4" w:space="0" w:color="BEBEBE"/>
            </w:tcBorders>
          </w:tcPr>
          <w:p w14:paraId="50C8923B" w14:textId="77777777" w:rsidR="00BC24A8" w:rsidRDefault="00000000">
            <w:pPr>
              <w:pStyle w:val="TableParagraph"/>
              <w:spacing w:line="182" w:lineRule="exact"/>
              <w:ind w:left="115"/>
              <w:rPr>
                <w:sz w:val="18"/>
              </w:rPr>
            </w:pPr>
            <w:r>
              <w:rPr>
                <w:spacing w:val="-2"/>
                <w:sz w:val="18"/>
              </w:rPr>
              <w:t>support.</w:t>
            </w:r>
          </w:p>
        </w:tc>
        <w:tc>
          <w:tcPr>
            <w:tcW w:w="1424" w:type="dxa"/>
            <w:tcBorders>
              <w:bottom w:val="single" w:sz="4" w:space="0" w:color="BEBEBE"/>
            </w:tcBorders>
          </w:tcPr>
          <w:p w14:paraId="399EBA13" w14:textId="77777777" w:rsidR="00BC24A8" w:rsidRDefault="00BC24A8">
            <w:pPr>
              <w:pStyle w:val="TableParagraph"/>
              <w:rPr>
                <w:rFonts w:ascii="Times New Roman"/>
                <w:sz w:val="14"/>
              </w:rPr>
            </w:pPr>
          </w:p>
        </w:tc>
        <w:tc>
          <w:tcPr>
            <w:tcW w:w="1272" w:type="dxa"/>
            <w:tcBorders>
              <w:bottom w:val="single" w:sz="4" w:space="0" w:color="BEBEBE"/>
            </w:tcBorders>
          </w:tcPr>
          <w:p w14:paraId="1955402C" w14:textId="77777777" w:rsidR="00BC24A8" w:rsidRDefault="00BC24A8">
            <w:pPr>
              <w:pStyle w:val="TableParagraph"/>
              <w:rPr>
                <w:rFonts w:ascii="Times New Roman"/>
                <w:sz w:val="14"/>
              </w:rPr>
            </w:pPr>
          </w:p>
        </w:tc>
        <w:tc>
          <w:tcPr>
            <w:tcW w:w="1356" w:type="dxa"/>
            <w:tcBorders>
              <w:bottom w:val="single" w:sz="4" w:space="0" w:color="BEBEBE"/>
            </w:tcBorders>
          </w:tcPr>
          <w:p w14:paraId="768BA695" w14:textId="77777777" w:rsidR="00BC24A8" w:rsidRDefault="00BC24A8">
            <w:pPr>
              <w:pStyle w:val="TableParagraph"/>
              <w:rPr>
                <w:rFonts w:ascii="Times New Roman"/>
                <w:sz w:val="14"/>
              </w:rPr>
            </w:pPr>
          </w:p>
        </w:tc>
        <w:tc>
          <w:tcPr>
            <w:tcW w:w="1350" w:type="dxa"/>
            <w:tcBorders>
              <w:bottom w:val="single" w:sz="4" w:space="0" w:color="BEBEBE"/>
            </w:tcBorders>
          </w:tcPr>
          <w:p w14:paraId="668290B9" w14:textId="77777777" w:rsidR="00BC24A8" w:rsidRDefault="00BC24A8">
            <w:pPr>
              <w:pStyle w:val="TableParagraph"/>
              <w:rPr>
                <w:rFonts w:ascii="Times New Roman"/>
                <w:sz w:val="14"/>
              </w:rPr>
            </w:pPr>
          </w:p>
        </w:tc>
        <w:tc>
          <w:tcPr>
            <w:tcW w:w="2085" w:type="dxa"/>
            <w:tcBorders>
              <w:bottom w:val="single" w:sz="4" w:space="0" w:color="BEBEBE"/>
            </w:tcBorders>
          </w:tcPr>
          <w:p w14:paraId="39F6E6F1" w14:textId="77777777" w:rsidR="00BC24A8" w:rsidRDefault="00BC24A8">
            <w:pPr>
              <w:pStyle w:val="TableParagraph"/>
              <w:rPr>
                <w:rFonts w:ascii="Times New Roman"/>
                <w:sz w:val="14"/>
              </w:rPr>
            </w:pPr>
          </w:p>
        </w:tc>
      </w:tr>
      <w:tr w:rsidR="00BC24A8" w14:paraId="07EC5C76" w14:textId="77777777">
        <w:trPr>
          <w:trHeight w:val="301"/>
        </w:trPr>
        <w:tc>
          <w:tcPr>
            <w:tcW w:w="1611" w:type="dxa"/>
            <w:tcBorders>
              <w:top w:val="single" w:sz="4" w:space="0" w:color="BEBEBE"/>
            </w:tcBorders>
          </w:tcPr>
          <w:p w14:paraId="268E2F9D" w14:textId="77777777" w:rsidR="00BC24A8" w:rsidRDefault="00000000">
            <w:pPr>
              <w:pStyle w:val="TableParagraph"/>
              <w:spacing w:before="61"/>
              <w:ind w:left="115"/>
              <w:rPr>
                <w:sz w:val="18"/>
              </w:rPr>
            </w:pPr>
            <w:r>
              <w:rPr>
                <w:sz w:val="18"/>
              </w:rPr>
              <w:t>IO</w:t>
            </w:r>
            <w:r>
              <w:rPr>
                <w:spacing w:val="-3"/>
                <w:sz w:val="18"/>
              </w:rPr>
              <w:t xml:space="preserve"> </w:t>
            </w:r>
            <w:r>
              <w:rPr>
                <w:sz w:val="18"/>
              </w:rPr>
              <w:t>8.1.</w:t>
            </w:r>
            <w:r>
              <w:rPr>
                <w:spacing w:val="-3"/>
                <w:sz w:val="18"/>
              </w:rPr>
              <w:t xml:space="preserve"> </w:t>
            </w:r>
            <w:r>
              <w:rPr>
                <w:sz w:val="18"/>
              </w:rPr>
              <w:t>Number</w:t>
            </w:r>
            <w:r>
              <w:rPr>
                <w:spacing w:val="-2"/>
                <w:sz w:val="18"/>
              </w:rPr>
              <w:t xml:space="preserve"> </w:t>
            </w:r>
            <w:r>
              <w:rPr>
                <w:spacing w:val="-5"/>
                <w:sz w:val="18"/>
              </w:rPr>
              <w:t>of</w:t>
            </w:r>
          </w:p>
        </w:tc>
        <w:tc>
          <w:tcPr>
            <w:tcW w:w="1424" w:type="dxa"/>
            <w:tcBorders>
              <w:top w:val="single" w:sz="4" w:space="0" w:color="BEBEBE"/>
            </w:tcBorders>
          </w:tcPr>
          <w:p w14:paraId="37C55561" w14:textId="77777777" w:rsidR="00BC24A8" w:rsidRDefault="00000000">
            <w:pPr>
              <w:pStyle w:val="TableParagraph"/>
              <w:spacing w:before="68" w:line="213" w:lineRule="exact"/>
              <w:ind w:left="124"/>
              <w:rPr>
                <w:sz w:val="18"/>
              </w:rPr>
            </w:pPr>
            <w:r>
              <w:rPr>
                <w:sz w:val="18"/>
              </w:rPr>
              <w:t>25</w:t>
            </w:r>
            <w:r>
              <w:rPr>
                <w:spacing w:val="-1"/>
                <w:sz w:val="18"/>
              </w:rPr>
              <w:t xml:space="preserve"> </w:t>
            </w:r>
            <w:r>
              <w:rPr>
                <w:spacing w:val="-2"/>
                <w:sz w:val="18"/>
              </w:rPr>
              <w:t>products/</w:t>
            </w:r>
          </w:p>
        </w:tc>
        <w:tc>
          <w:tcPr>
            <w:tcW w:w="1272" w:type="dxa"/>
            <w:tcBorders>
              <w:top w:val="single" w:sz="4" w:space="0" w:color="BEBEBE"/>
            </w:tcBorders>
          </w:tcPr>
          <w:p w14:paraId="28693EAF" w14:textId="77777777" w:rsidR="00BC24A8" w:rsidRDefault="00000000">
            <w:pPr>
              <w:pStyle w:val="TableParagraph"/>
              <w:spacing w:before="68" w:line="213" w:lineRule="exact"/>
              <w:ind w:left="140"/>
              <w:rPr>
                <w:sz w:val="18"/>
              </w:rPr>
            </w:pPr>
            <w:r>
              <w:rPr>
                <w:sz w:val="18"/>
              </w:rPr>
              <w:t>2</w:t>
            </w:r>
            <w:r>
              <w:rPr>
                <w:spacing w:val="-2"/>
                <w:sz w:val="18"/>
              </w:rPr>
              <w:t xml:space="preserve"> </w:t>
            </w:r>
            <w:r>
              <w:rPr>
                <w:sz w:val="18"/>
              </w:rPr>
              <w:t>policy</w:t>
            </w:r>
            <w:r>
              <w:rPr>
                <w:spacing w:val="1"/>
                <w:sz w:val="18"/>
              </w:rPr>
              <w:t xml:space="preserve"> </w:t>
            </w:r>
            <w:r>
              <w:rPr>
                <w:spacing w:val="-2"/>
                <w:sz w:val="18"/>
              </w:rPr>
              <w:t>briefs</w:t>
            </w:r>
          </w:p>
        </w:tc>
        <w:tc>
          <w:tcPr>
            <w:tcW w:w="1356" w:type="dxa"/>
            <w:tcBorders>
              <w:top w:val="single" w:sz="4" w:space="0" w:color="BEBEBE"/>
            </w:tcBorders>
          </w:tcPr>
          <w:p w14:paraId="68968E3F" w14:textId="77777777" w:rsidR="00BC24A8" w:rsidRDefault="00000000">
            <w:pPr>
              <w:pStyle w:val="TableParagraph"/>
              <w:spacing w:before="68" w:line="213" w:lineRule="exact"/>
              <w:ind w:left="128"/>
              <w:rPr>
                <w:sz w:val="18"/>
              </w:rPr>
            </w:pPr>
            <w:r>
              <w:rPr>
                <w:sz w:val="18"/>
              </w:rPr>
              <w:t>777</w:t>
            </w:r>
            <w:r>
              <w:rPr>
                <w:spacing w:val="-1"/>
                <w:sz w:val="18"/>
              </w:rPr>
              <w:t xml:space="preserve"> </w:t>
            </w:r>
            <w:r>
              <w:rPr>
                <w:sz w:val="18"/>
              </w:rPr>
              <w:t>set</w:t>
            </w:r>
            <w:r>
              <w:rPr>
                <w:spacing w:val="-1"/>
                <w:sz w:val="18"/>
              </w:rPr>
              <w:t xml:space="preserve"> </w:t>
            </w:r>
            <w:r>
              <w:rPr>
                <w:spacing w:val="-5"/>
                <w:sz w:val="18"/>
              </w:rPr>
              <w:t>of</w:t>
            </w:r>
          </w:p>
        </w:tc>
        <w:tc>
          <w:tcPr>
            <w:tcW w:w="1350" w:type="dxa"/>
            <w:tcBorders>
              <w:top w:val="single" w:sz="4" w:space="0" w:color="BEBEBE"/>
            </w:tcBorders>
          </w:tcPr>
          <w:p w14:paraId="72DBFC72" w14:textId="77777777" w:rsidR="00BC24A8" w:rsidRDefault="00000000">
            <w:pPr>
              <w:pStyle w:val="TableParagraph"/>
              <w:spacing w:before="68" w:line="213" w:lineRule="exact"/>
              <w:ind w:left="120"/>
              <w:rPr>
                <w:sz w:val="18"/>
              </w:rPr>
            </w:pPr>
            <w:r>
              <w:rPr>
                <w:sz w:val="18"/>
              </w:rPr>
              <w:t>2</w:t>
            </w:r>
            <w:r>
              <w:rPr>
                <w:spacing w:val="-2"/>
                <w:sz w:val="18"/>
              </w:rPr>
              <w:t xml:space="preserve"> </w:t>
            </w:r>
            <w:r>
              <w:rPr>
                <w:sz w:val="18"/>
              </w:rPr>
              <w:t>policy</w:t>
            </w:r>
            <w:r>
              <w:rPr>
                <w:spacing w:val="1"/>
                <w:sz w:val="18"/>
              </w:rPr>
              <w:t xml:space="preserve"> </w:t>
            </w:r>
            <w:r>
              <w:rPr>
                <w:spacing w:val="-2"/>
                <w:sz w:val="18"/>
              </w:rPr>
              <w:t>briefs</w:t>
            </w:r>
          </w:p>
        </w:tc>
        <w:tc>
          <w:tcPr>
            <w:tcW w:w="2085" w:type="dxa"/>
            <w:tcBorders>
              <w:top w:val="single" w:sz="4" w:space="0" w:color="BEBEBE"/>
            </w:tcBorders>
          </w:tcPr>
          <w:p w14:paraId="7C70A163" w14:textId="77777777" w:rsidR="00BC24A8" w:rsidRDefault="00000000">
            <w:pPr>
              <w:pStyle w:val="TableParagraph"/>
              <w:spacing w:before="68" w:line="213" w:lineRule="exact"/>
              <w:ind w:left="122"/>
              <w:rPr>
                <w:sz w:val="18"/>
              </w:rPr>
            </w:pPr>
            <w:r>
              <w:rPr>
                <w:sz w:val="18"/>
              </w:rPr>
              <w:t>While</w:t>
            </w:r>
            <w:r>
              <w:rPr>
                <w:spacing w:val="-3"/>
                <w:sz w:val="18"/>
              </w:rPr>
              <w:t xml:space="preserve"> </w:t>
            </w:r>
            <w:r>
              <w:rPr>
                <w:sz w:val="18"/>
              </w:rPr>
              <w:t xml:space="preserve">this </w:t>
            </w:r>
            <w:r>
              <w:rPr>
                <w:spacing w:val="-2"/>
                <w:sz w:val="18"/>
              </w:rPr>
              <w:t>indicator</w:t>
            </w:r>
          </w:p>
        </w:tc>
      </w:tr>
      <w:tr w:rsidR="00BC24A8" w14:paraId="3D29C78E" w14:textId="77777777">
        <w:trPr>
          <w:trHeight w:val="218"/>
        </w:trPr>
        <w:tc>
          <w:tcPr>
            <w:tcW w:w="1611" w:type="dxa"/>
          </w:tcPr>
          <w:p w14:paraId="11A3DA56" w14:textId="77777777" w:rsidR="00BC24A8" w:rsidRDefault="00000000">
            <w:pPr>
              <w:pStyle w:val="TableParagraph"/>
              <w:spacing w:line="198" w:lineRule="exact"/>
              <w:ind w:left="115"/>
              <w:rPr>
                <w:sz w:val="18"/>
              </w:rPr>
            </w:pPr>
            <w:r>
              <w:rPr>
                <w:sz w:val="18"/>
              </w:rPr>
              <w:t>analytical</w:t>
            </w:r>
            <w:r>
              <w:rPr>
                <w:spacing w:val="-3"/>
                <w:sz w:val="18"/>
              </w:rPr>
              <w:t xml:space="preserve"> </w:t>
            </w:r>
            <w:r>
              <w:rPr>
                <w:spacing w:val="-2"/>
                <w:sz w:val="18"/>
              </w:rPr>
              <w:t>inputs</w:t>
            </w:r>
          </w:p>
        </w:tc>
        <w:tc>
          <w:tcPr>
            <w:tcW w:w="1424" w:type="dxa"/>
          </w:tcPr>
          <w:p w14:paraId="55FBC2F3" w14:textId="77777777" w:rsidR="00BC24A8" w:rsidRDefault="00000000">
            <w:pPr>
              <w:pStyle w:val="TableParagraph"/>
              <w:spacing w:line="198" w:lineRule="exact"/>
              <w:ind w:left="124"/>
              <w:rPr>
                <w:sz w:val="18"/>
              </w:rPr>
            </w:pPr>
            <w:r>
              <w:rPr>
                <w:spacing w:val="-2"/>
                <w:sz w:val="18"/>
              </w:rPr>
              <w:t>recommendatio</w:t>
            </w:r>
          </w:p>
        </w:tc>
        <w:tc>
          <w:tcPr>
            <w:tcW w:w="1272" w:type="dxa"/>
          </w:tcPr>
          <w:p w14:paraId="3672B679" w14:textId="77777777" w:rsidR="00BC24A8" w:rsidRDefault="00000000">
            <w:pPr>
              <w:pStyle w:val="TableParagraph"/>
              <w:spacing w:line="198" w:lineRule="exact"/>
              <w:ind w:left="140"/>
              <w:rPr>
                <w:sz w:val="18"/>
              </w:rPr>
            </w:pPr>
            <w:r>
              <w:rPr>
                <w:sz w:val="18"/>
              </w:rPr>
              <w:t xml:space="preserve">by </w:t>
            </w:r>
            <w:r>
              <w:rPr>
                <w:spacing w:val="-4"/>
                <w:sz w:val="18"/>
              </w:rPr>
              <w:t>CSOs</w:t>
            </w:r>
          </w:p>
        </w:tc>
        <w:tc>
          <w:tcPr>
            <w:tcW w:w="1356" w:type="dxa"/>
          </w:tcPr>
          <w:p w14:paraId="69CF23C2" w14:textId="77777777" w:rsidR="00BC24A8" w:rsidRDefault="00000000">
            <w:pPr>
              <w:pStyle w:val="TableParagraph"/>
              <w:spacing w:line="198" w:lineRule="exact"/>
              <w:ind w:left="128"/>
              <w:rPr>
                <w:sz w:val="18"/>
              </w:rPr>
            </w:pPr>
            <w:r>
              <w:rPr>
                <w:spacing w:val="-2"/>
                <w:sz w:val="18"/>
              </w:rPr>
              <w:t>recommendati</w:t>
            </w:r>
          </w:p>
        </w:tc>
        <w:tc>
          <w:tcPr>
            <w:tcW w:w="1350" w:type="dxa"/>
          </w:tcPr>
          <w:p w14:paraId="4A9BC795" w14:textId="77777777" w:rsidR="00BC24A8" w:rsidRDefault="00000000">
            <w:pPr>
              <w:pStyle w:val="TableParagraph"/>
              <w:spacing w:line="198" w:lineRule="exact"/>
              <w:ind w:left="120"/>
              <w:rPr>
                <w:sz w:val="18"/>
              </w:rPr>
            </w:pPr>
            <w:r>
              <w:rPr>
                <w:sz w:val="18"/>
              </w:rPr>
              <w:t xml:space="preserve">by </w:t>
            </w:r>
            <w:r>
              <w:rPr>
                <w:spacing w:val="-4"/>
                <w:sz w:val="18"/>
              </w:rPr>
              <w:t>CSOs</w:t>
            </w:r>
          </w:p>
        </w:tc>
        <w:tc>
          <w:tcPr>
            <w:tcW w:w="2085" w:type="dxa"/>
          </w:tcPr>
          <w:p w14:paraId="55446D81" w14:textId="77777777" w:rsidR="00BC24A8" w:rsidRDefault="00000000">
            <w:pPr>
              <w:pStyle w:val="TableParagraph"/>
              <w:spacing w:line="198" w:lineRule="exact"/>
              <w:ind w:left="122"/>
              <w:rPr>
                <w:sz w:val="18"/>
              </w:rPr>
            </w:pPr>
            <w:r>
              <w:rPr>
                <w:sz w:val="18"/>
              </w:rPr>
              <w:t>specifically</w:t>
            </w:r>
            <w:r>
              <w:rPr>
                <w:spacing w:val="-1"/>
                <w:sz w:val="18"/>
              </w:rPr>
              <w:t xml:space="preserve"> </w:t>
            </w:r>
            <w:r>
              <w:rPr>
                <w:spacing w:val="-2"/>
                <w:sz w:val="18"/>
              </w:rPr>
              <w:t>mentions</w:t>
            </w:r>
          </w:p>
        </w:tc>
      </w:tr>
      <w:tr w:rsidR="00BC24A8" w14:paraId="5ADED851" w14:textId="77777777">
        <w:trPr>
          <w:trHeight w:val="220"/>
        </w:trPr>
        <w:tc>
          <w:tcPr>
            <w:tcW w:w="1611" w:type="dxa"/>
          </w:tcPr>
          <w:p w14:paraId="06D95653" w14:textId="77777777" w:rsidR="00BC24A8" w:rsidRDefault="00000000">
            <w:pPr>
              <w:pStyle w:val="TableParagraph"/>
              <w:spacing w:line="200" w:lineRule="exact"/>
              <w:ind w:left="115"/>
              <w:rPr>
                <w:sz w:val="18"/>
              </w:rPr>
            </w:pPr>
            <w:r>
              <w:rPr>
                <w:sz w:val="18"/>
              </w:rPr>
              <w:t>provided</w:t>
            </w:r>
            <w:r>
              <w:rPr>
                <w:spacing w:val="-1"/>
                <w:sz w:val="18"/>
              </w:rPr>
              <w:t xml:space="preserve"> </w:t>
            </w:r>
            <w:r>
              <w:rPr>
                <w:sz w:val="18"/>
              </w:rPr>
              <w:t>by</w:t>
            </w:r>
            <w:r>
              <w:rPr>
                <w:spacing w:val="-1"/>
                <w:sz w:val="18"/>
              </w:rPr>
              <w:t xml:space="preserve"> </w:t>
            </w:r>
            <w:r>
              <w:rPr>
                <w:spacing w:val="-5"/>
                <w:sz w:val="18"/>
              </w:rPr>
              <w:t>CSO</w:t>
            </w:r>
          </w:p>
        </w:tc>
        <w:tc>
          <w:tcPr>
            <w:tcW w:w="1424" w:type="dxa"/>
          </w:tcPr>
          <w:p w14:paraId="5AD1696B" w14:textId="77777777" w:rsidR="00BC24A8" w:rsidRDefault="00000000">
            <w:pPr>
              <w:pStyle w:val="TableParagraph"/>
              <w:spacing w:line="201" w:lineRule="exact"/>
              <w:ind w:left="124"/>
              <w:rPr>
                <w:sz w:val="18"/>
              </w:rPr>
            </w:pPr>
            <w:r>
              <w:rPr>
                <w:sz w:val="18"/>
              </w:rPr>
              <w:t>ns</w:t>
            </w:r>
            <w:r>
              <w:rPr>
                <w:spacing w:val="-2"/>
                <w:sz w:val="18"/>
              </w:rPr>
              <w:t xml:space="preserve"> </w:t>
            </w:r>
            <w:r>
              <w:rPr>
                <w:sz w:val="18"/>
              </w:rPr>
              <w:t xml:space="preserve">by </w:t>
            </w:r>
            <w:r>
              <w:rPr>
                <w:spacing w:val="-4"/>
                <w:sz w:val="18"/>
              </w:rPr>
              <w:t>CSOs</w:t>
            </w:r>
          </w:p>
        </w:tc>
        <w:tc>
          <w:tcPr>
            <w:tcW w:w="1272" w:type="dxa"/>
          </w:tcPr>
          <w:p w14:paraId="2EC621B6" w14:textId="77777777" w:rsidR="00BC24A8" w:rsidRDefault="00BC24A8">
            <w:pPr>
              <w:pStyle w:val="TableParagraph"/>
              <w:rPr>
                <w:rFonts w:ascii="Times New Roman"/>
                <w:sz w:val="14"/>
              </w:rPr>
            </w:pPr>
          </w:p>
        </w:tc>
        <w:tc>
          <w:tcPr>
            <w:tcW w:w="1356" w:type="dxa"/>
          </w:tcPr>
          <w:p w14:paraId="020815EB" w14:textId="77777777" w:rsidR="00BC24A8" w:rsidRDefault="00000000">
            <w:pPr>
              <w:pStyle w:val="TableParagraph"/>
              <w:spacing w:line="201" w:lineRule="exact"/>
              <w:ind w:left="128"/>
              <w:rPr>
                <w:sz w:val="18"/>
              </w:rPr>
            </w:pPr>
            <w:r>
              <w:rPr>
                <w:sz w:val="18"/>
              </w:rPr>
              <w:t>ons</w:t>
            </w:r>
            <w:r>
              <w:rPr>
                <w:spacing w:val="-3"/>
                <w:sz w:val="18"/>
              </w:rPr>
              <w:t xml:space="preserve"> </w:t>
            </w:r>
            <w:r>
              <w:rPr>
                <w:sz w:val="18"/>
              </w:rPr>
              <w:t xml:space="preserve">by </w:t>
            </w:r>
            <w:r>
              <w:rPr>
                <w:spacing w:val="-4"/>
                <w:sz w:val="18"/>
              </w:rPr>
              <w:t>CSOs</w:t>
            </w:r>
          </w:p>
        </w:tc>
        <w:tc>
          <w:tcPr>
            <w:tcW w:w="1350" w:type="dxa"/>
          </w:tcPr>
          <w:p w14:paraId="0B3D80D6" w14:textId="77777777" w:rsidR="00BC24A8" w:rsidRDefault="00BC24A8">
            <w:pPr>
              <w:pStyle w:val="TableParagraph"/>
              <w:rPr>
                <w:rFonts w:ascii="Times New Roman"/>
                <w:sz w:val="14"/>
              </w:rPr>
            </w:pPr>
          </w:p>
        </w:tc>
        <w:tc>
          <w:tcPr>
            <w:tcW w:w="2085" w:type="dxa"/>
          </w:tcPr>
          <w:p w14:paraId="51844884" w14:textId="77777777" w:rsidR="00BC24A8" w:rsidRDefault="00000000">
            <w:pPr>
              <w:pStyle w:val="TableParagraph"/>
              <w:spacing w:line="201" w:lineRule="exact"/>
              <w:ind w:left="122"/>
              <w:rPr>
                <w:sz w:val="18"/>
              </w:rPr>
            </w:pPr>
            <w:r>
              <w:rPr>
                <w:sz w:val="18"/>
              </w:rPr>
              <w:t>analytical</w:t>
            </w:r>
            <w:r>
              <w:rPr>
                <w:spacing w:val="-1"/>
                <w:sz w:val="18"/>
              </w:rPr>
              <w:t xml:space="preserve"> </w:t>
            </w:r>
            <w:r>
              <w:rPr>
                <w:sz w:val="18"/>
              </w:rPr>
              <w:t>input,</w:t>
            </w:r>
            <w:r>
              <w:rPr>
                <w:spacing w:val="37"/>
                <w:sz w:val="18"/>
              </w:rPr>
              <w:t xml:space="preserve"> </w:t>
            </w:r>
            <w:r>
              <w:rPr>
                <w:spacing w:val="-5"/>
                <w:sz w:val="18"/>
              </w:rPr>
              <w:t>the</w:t>
            </w:r>
          </w:p>
        </w:tc>
      </w:tr>
      <w:tr w:rsidR="00BC24A8" w14:paraId="7153AD77" w14:textId="77777777">
        <w:trPr>
          <w:trHeight w:val="218"/>
        </w:trPr>
        <w:tc>
          <w:tcPr>
            <w:tcW w:w="1611" w:type="dxa"/>
          </w:tcPr>
          <w:p w14:paraId="321D8D51" w14:textId="77777777" w:rsidR="00BC24A8" w:rsidRDefault="00000000">
            <w:pPr>
              <w:pStyle w:val="TableParagraph"/>
              <w:spacing w:line="198" w:lineRule="exact"/>
              <w:ind w:left="115"/>
              <w:rPr>
                <w:sz w:val="18"/>
              </w:rPr>
            </w:pPr>
            <w:r>
              <w:rPr>
                <w:sz w:val="18"/>
              </w:rPr>
              <w:t>networks</w:t>
            </w:r>
            <w:r>
              <w:rPr>
                <w:spacing w:val="-4"/>
                <w:sz w:val="18"/>
              </w:rPr>
              <w:t xml:space="preserve"> </w:t>
            </w:r>
            <w:r>
              <w:rPr>
                <w:spacing w:val="-5"/>
                <w:sz w:val="18"/>
              </w:rPr>
              <w:t>to</w:t>
            </w:r>
          </w:p>
        </w:tc>
        <w:tc>
          <w:tcPr>
            <w:tcW w:w="1424" w:type="dxa"/>
          </w:tcPr>
          <w:p w14:paraId="32C339DD" w14:textId="77777777" w:rsidR="00BC24A8" w:rsidRDefault="00BC24A8">
            <w:pPr>
              <w:pStyle w:val="TableParagraph"/>
              <w:rPr>
                <w:rFonts w:ascii="Times New Roman"/>
                <w:sz w:val="14"/>
              </w:rPr>
            </w:pPr>
          </w:p>
        </w:tc>
        <w:tc>
          <w:tcPr>
            <w:tcW w:w="1272" w:type="dxa"/>
          </w:tcPr>
          <w:p w14:paraId="068F9A2C" w14:textId="77777777" w:rsidR="00BC24A8" w:rsidRDefault="00BC24A8">
            <w:pPr>
              <w:pStyle w:val="TableParagraph"/>
              <w:rPr>
                <w:rFonts w:ascii="Times New Roman"/>
                <w:sz w:val="14"/>
              </w:rPr>
            </w:pPr>
          </w:p>
        </w:tc>
        <w:tc>
          <w:tcPr>
            <w:tcW w:w="1356" w:type="dxa"/>
          </w:tcPr>
          <w:p w14:paraId="4E1A3704" w14:textId="77777777" w:rsidR="00BC24A8" w:rsidRDefault="00BC24A8">
            <w:pPr>
              <w:pStyle w:val="TableParagraph"/>
              <w:rPr>
                <w:rFonts w:ascii="Times New Roman"/>
                <w:sz w:val="14"/>
              </w:rPr>
            </w:pPr>
          </w:p>
        </w:tc>
        <w:tc>
          <w:tcPr>
            <w:tcW w:w="1350" w:type="dxa"/>
          </w:tcPr>
          <w:p w14:paraId="5EBD74A9" w14:textId="77777777" w:rsidR="00BC24A8" w:rsidRDefault="00BC24A8">
            <w:pPr>
              <w:pStyle w:val="TableParagraph"/>
              <w:rPr>
                <w:rFonts w:ascii="Times New Roman"/>
                <w:sz w:val="14"/>
              </w:rPr>
            </w:pPr>
          </w:p>
        </w:tc>
        <w:tc>
          <w:tcPr>
            <w:tcW w:w="2085" w:type="dxa"/>
          </w:tcPr>
          <w:p w14:paraId="253159ED" w14:textId="77777777" w:rsidR="00BC24A8" w:rsidRDefault="00000000">
            <w:pPr>
              <w:pStyle w:val="TableParagraph"/>
              <w:spacing w:line="198" w:lineRule="exact"/>
              <w:ind w:left="122"/>
              <w:rPr>
                <w:sz w:val="18"/>
              </w:rPr>
            </w:pPr>
            <w:r>
              <w:rPr>
                <w:sz w:val="18"/>
              </w:rPr>
              <w:t>strengthening</w:t>
            </w:r>
            <w:r>
              <w:rPr>
                <w:spacing w:val="-3"/>
                <w:sz w:val="18"/>
              </w:rPr>
              <w:t xml:space="preserve"> </w:t>
            </w:r>
            <w:r>
              <w:rPr>
                <w:sz w:val="18"/>
              </w:rPr>
              <w:t>of</w:t>
            </w:r>
            <w:r>
              <w:rPr>
                <w:spacing w:val="-2"/>
                <w:sz w:val="18"/>
              </w:rPr>
              <w:t xml:space="preserve"> </w:t>
            </w:r>
            <w:r>
              <w:rPr>
                <w:spacing w:val="-5"/>
                <w:sz w:val="18"/>
              </w:rPr>
              <w:t>CSO</w:t>
            </w:r>
          </w:p>
        </w:tc>
      </w:tr>
      <w:tr w:rsidR="00BC24A8" w14:paraId="42F3DE9D" w14:textId="77777777">
        <w:trPr>
          <w:trHeight w:val="220"/>
        </w:trPr>
        <w:tc>
          <w:tcPr>
            <w:tcW w:w="1611" w:type="dxa"/>
          </w:tcPr>
          <w:p w14:paraId="32329C4D" w14:textId="77777777" w:rsidR="00BC24A8" w:rsidRDefault="00000000">
            <w:pPr>
              <w:pStyle w:val="TableParagraph"/>
              <w:spacing w:line="200" w:lineRule="exact"/>
              <w:ind w:left="115"/>
              <w:rPr>
                <w:sz w:val="18"/>
              </w:rPr>
            </w:pPr>
            <w:r>
              <w:rPr>
                <w:sz w:val="18"/>
              </w:rPr>
              <w:t xml:space="preserve">planning </w:t>
            </w:r>
            <w:r>
              <w:rPr>
                <w:spacing w:val="-5"/>
                <w:sz w:val="18"/>
              </w:rPr>
              <w:t>and</w:t>
            </w:r>
          </w:p>
        </w:tc>
        <w:tc>
          <w:tcPr>
            <w:tcW w:w="1424" w:type="dxa"/>
          </w:tcPr>
          <w:p w14:paraId="5AA3095E" w14:textId="77777777" w:rsidR="00BC24A8" w:rsidRDefault="00BC24A8">
            <w:pPr>
              <w:pStyle w:val="TableParagraph"/>
              <w:rPr>
                <w:rFonts w:ascii="Times New Roman"/>
                <w:sz w:val="14"/>
              </w:rPr>
            </w:pPr>
          </w:p>
        </w:tc>
        <w:tc>
          <w:tcPr>
            <w:tcW w:w="1272" w:type="dxa"/>
          </w:tcPr>
          <w:p w14:paraId="3BAB3B5B" w14:textId="77777777" w:rsidR="00BC24A8" w:rsidRDefault="00BC24A8">
            <w:pPr>
              <w:pStyle w:val="TableParagraph"/>
              <w:rPr>
                <w:rFonts w:ascii="Times New Roman"/>
                <w:sz w:val="14"/>
              </w:rPr>
            </w:pPr>
          </w:p>
        </w:tc>
        <w:tc>
          <w:tcPr>
            <w:tcW w:w="1356" w:type="dxa"/>
          </w:tcPr>
          <w:p w14:paraId="3310F497" w14:textId="77777777" w:rsidR="00BC24A8" w:rsidRDefault="00BC24A8">
            <w:pPr>
              <w:pStyle w:val="TableParagraph"/>
              <w:rPr>
                <w:rFonts w:ascii="Times New Roman"/>
                <w:sz w:val="14"/>
              </w:rPr>
            </w:pPr>
          </w:p>
        </w:tc>
        <w:tc>
          <w:tcPr>
            <w:tcW w:w="1350" w:type="dxa"/>
          </w:tcPr>
          <w:p w14:paraId="2C84193A" w14:textId="77777777" w:rsidR="00BC24A8" w:rsidRDefault="00BC24A8">
            <w:pPr>
              <w:pStyle w:val="TableParagraph"/>
              <w:rPr>
                <w:rFonts w:ascii="Times New Roman"/>
                <w:sz w:val="14"/>
              </w:rPr>
            </w:pPr>
          </w:p>
        </w:tc>
        <w:tc>
          <w:tcPr>
            <w:tcW w:w="2085" w:type="dxa"/>
          </w:tcPr>
          <w:p w14:paraId="62C88DC6" w14:textId="77777777" w:rsidR="00BC24A8" w:rsidRDefault="00000000">
            <w:pPr>
              <w:pStyle w:val="TableParagraph"/>
              <w:spacing w:line="201" w:lineRule="exact"/>
              <w:ind w:left="122"/>
              <w:rPr>
                <w:sz w:val="18"/>
              </w:rPr>
            </w:pPr>
            <w:r>
              <w:rPr>
                <w:sz w:val="18"/>
              </w:rPr>
              <w:t>capacity</w:t>
            </w:r>
            <w:r>
              <w:rPr>
                <w:spacing w:val="-2"/>
                <w:sz w:val="18"/>
              </w:rPr>
              <w:t xml:space="preserve"> </w:t>
            </w:r>
            <w:r>
              <w:rPr>
                <w:sz w:val="18"/>
              </w:rPr>
              <w:t xml:space="preserve">is </w:t>
            </w:r>
            <w:r>
              <w:rPr>
                <w:spacing w:val="-2"/>
                <w:sz w:val="18"/>
              </w:rPr>
              <w:t>still</w:t>
            </w:r>
          </w:p>
        </w:tc>
      </w:tr>
      <w:tr w:rsidR="00BC24A8" w14:paraId="1C53B2E3" w14:textId="77777777">
        <w:trPr>
          <w:trHeight w:val="219"/>
        </w:trPr>
        <w:tc>
          <w:tcPr>
            <w:tcW w:w="1611" w:type="dxa"/>
          </w:tcPr>
          <w:p w14:paraId="20B00647" w14:textId="77777777" w:rsidR="00BC24A8" w:rsidRDefault="00000000">
            <w:pPr>
              <w:pStyle w:val="TableParagraph"/>
              <w:spacing w:line="200" w:lineRule="exact"/>
              <w:ind w:left="115"/>
              <w:rPr>
                <w:sz w:val="18"/>
              </w:rPr>
            </w:pPr>
            <w:r>
              <w:rPr>
                <w:sz w:val="18"/>
              </w:rPr>
              <w:t>budgeting</w:t>
            </w:r>
            <w:r>
              <w:rPr>
                <w:spacing w:val="-2"/>
                <w:sz w:val="18"/>
              </w:rPr>
              <w:t xml:space="preserve"> process,</w:t>
            </w:r>
          </w:p>
        </w:tc>
        <w:tc>
          <w:tcPr>
            <w:tcW w:w="1424" w:type="dxa"/>
          </w:tcPr>
          <w:p w14:paraId="1BED9215" w14:textId="77777777" w:rsidR="00BC24A8" w:rsidRDefault="00BC24A8">
            <w:pPr>
              <w:pStyle w:val="TableParagraph"/>
              <w:rPr>
                <w:rFonts w:ascii="Times New Roman"/>
                <w:sz w:val="14"/>
              </w:rPr>
            </w:pPr>
          </w:p>
        </w:tc>
        <w:tc>
          <w:tcPr>
            <w:tcW w:w="1272" w:type="dxa"/>
          </w:tcPr>
          <w:p w14:paraId="040A03A1" w14:textId="77777777" w:rsidR="00BC24A8" w:rsidRDefault="00BC24A8">
            <w:pPr>
              <w:pStyle w:val="TableParagraph"/>
              <w:rPr>
                <w:rFonts w:ascii="Times New Roman"/>
                <w:sz w:val="14"/>
              </w:rPr>
            </w:pPr>
          </w:p>
        </w:tc>
        <w:tc>
          <w:tcPr>
            <w:tcW w:w="1356" w:type="dxa"/>
          </w:tcPr>
          <w:p w14:paraId="0F39DC5B" w14:textId="77777777" w:rsidR="00BC24A8" w:rsidRDefault="00BC24A8">
            <w:pPr>
              <w:pStyle w:val="TableParagraph"/>
              <w:rPr>
                <w:rFonts w:ascii="Times New Roman"/>
                <w:sz w:val="14"/>
              </w:rPr>
            </w:pPr>
          </w:p>
        </w:tc>
        <w:tc>
          <w:tcPr>
            <w:tcW w:w="1350" w:type="dxa"/>
          </w:tcPr>
          <w:p w14:paraId="39C7509F" w14:textId="77777777" w:rsidR="00BC24A8" w:rsidRDefault="00BC24A8">
            <w:pPr>
              <w:pStyle w:val="TableParagraph"/>
              <w:rPr>
                <w:rFonts w:ascii="Times New Roman"/>
                <w:sz w:val="14"/>
              </w:rPr>
            </w:pPr>
          </w:p>
        </w:tc>
        <w:tc>
          <w:tcPr>
            <w:tcW w:w="2085" w:type="dxa"/>
          </w:tcPr>
          <w:p w14:paraId="2E6CBB21" w14:textId="77777777" w:rsidR="00BC24A8" w:rsidRDefault="00000000">
            <w:pPr>
              <w:pStyle w:val="TableParagraph"/>
              <w:spacing w:line="200" w:lineRule="exact"/>
              <w:ind w:left="122"/>
              <w:rPr>
                <w:sz w:val="18"/>
              </w:rPr>
            </w:pPr>
            <w:r>
              <w:rPr>
                <w:sz w:val="18"/>
              </w:rPr>
              <w:t>underway.Reported</w:t>
            </w:r>
            <w:r>
              <w:rPr>
                <w:spacing w:val="-8"/>
                <w:sz w:val="18"/>
              </w:rPr>
              <w:t xml:space="preserve"> </w:t>
            </w:r>
            <w:r>
              <w:rPr>
                <w:spacing w:val="-5"/>
                <w:sz w:val="18"/>
              </w:rPr>
              <w:t>are</w:t>
            </w:r>
          </w:p>
        </w:tc>
      </w:tr>
      <w:tr w:rsidR="00BC24A8" w14:paraId="4CF852F2" w14:textId="77777777">
        <w:trPr>
          <w:trHeight w:val="219"/>
        </w:trPr>
        <w:tc>
          <w:tcPr>
            <w:tcW w:w="1611" w:type="dxa"/>
          </w:tcPr>
          <w:p w14:paraId="52027665" w14:textId="77777777" w:rsidR="00BC24A8" w:rsidRDefault="00000000">
            <w:pPr>
              <w:pStyle w:val="TableParagraph"/>
              <w:spacing w:line="200" w:lineRule="exact"/>
              <w:ind w:left="115"/>
              <w:rPr>
                <w:sz w:val="18"/>
              </w:rPr>
            </w:pPr>
            <w:r>
              <w:rPr>
                <w:sz w:val="18"/>
              </w:rPr>
              <w:t>by</w:t>
            </w:r>
            <w:r>
              <w:rPr>
                <w:spacing w:val="-3"/>
                <w:sz w:val="18"/>
              </w:rPr>
              <w:t xml:space="preserve"> </w:t>
            </w:r>
            <w:r>
              <w:rPr>
                <w:sz w:val="18"/>
              </w:rPr>
              <w:t>province,</w:t>
            </w:r>
            <w:r>
              <w:rPr>
                <w:spacing w:val="-1"/>
                <w:sz w:val="18"/>
              </w:rPr>
              <w:t xml:space="preserve"> </w:t>
            </w:r>
            <w:r>
              <w:rPr>
                <w:spacing w:val="-4"/>
                <w:sz w:val="18"/>
              </w:rPr>
              <w:t>with</w:t>
            </w:r>
          </w:p>
        </w:tc>
        <w:tc>
          <w:tcPr>
            <w:tcW w:w="1424" w:type="dxa"/>
          </w:tcPr>
          <w:p w14:paraId="4384E8EB" w14:textId="77777777" w:rsidR="00BC24A8" w:rsidRDefault="00BC24A8">
            <w:pPr>
              <w:pStyle w:val="TableParagraph"/>
              <w:rPr>
                <w:rFonts w:ascii="Times New Roman"/>
                <w:sz w:val="14"/>
              </w:rPr>
            </w:pPr>
          </w:p>
        </w:tc>
        <w:tc>
          <w:tcPr>
            <w:tcW w:w="1272" w:type="dxa"/>
          </w:tcPr>
          <w:p w14:paraId="5CE84C3F" w14:textId="77777777" w:rsidR="00BC24A8" w:rsidRDefault="00BC24A8">
            <w:pPr>
              <w:pStyle w:val="TableParagraph"/>
              <w:rPr>
                <w:rFonts w:ascii="Times New Roman"/>
                <w:sz w:val="14"/>
              </w:rPr>
            </w:pPr>
          </w:p>
        </w:tc>
        <w:tc>
          <w:tcPr>
            <w:tcW w:w="1356" w:type="dxa"/>
          </w:tcPr>
          <w:p w14:paraId="56C1F4A9" w14:textId="77777777" w:rsidR="00BC24A8" w:rsidRDefault="00BC24A8">
            <w:pPr>
              <w:pStyle w:val="TableParagraph"/>
              <w:rPr>
                <w:rFonts w:ascii="Times New Roman"/>
                <w:sz w:val="14"/>
              </w:rPr>
            </w:pPr>
          </w:p>
        </w:tc>
        <w:tc>
          <w:tcPr>
            <w:tcW w:w="1350" w:type="dxa"/>
          </w:tcPr>
          <w:p w14:paraId="69D3E72F" w14:textId="77777777" w:rsidR="00BC24A8" w:rsidRDefault="00BC24A8">
            <w:pPr>
              <w:pStyle w:val="TableParagraph"/>
              <w:rPr>
                <w:rFonts w:ascii="Times New Roman"/>
                <w:sz w:val="14"/>
              </w:rPr>
            </w:pPr>
          </w:p>
        </w:tc>
        <w:tc>
          <w:tcPr>
            <w:tcW w:w="2085" w:type="dxa"/>
          </w:tcPr>
          <w:p w14:paraId="0158F695" w14:textId="77777777" w:rsidR="00BC24A8" w:rsidRDefault="00000000">
            <w:pPr>
              <w:pStyle w:val="TableParagraph"/>
              <w:spacing w:line="200" w:lineRule="exact"/>
              <w:ind w:left="122"/>
              <w:rPr>
                <w:sz w:val="18"/>
              </w:rPr>
            </w:pPr>
            <w:r>
              <w:rPr>
                <w:sz w:val="18"/>
              </w:rPr>
              <w:t xml:space="preserve">the </w:t>
            </w:r>
            <w:r>
              <w:rPr>
                <w:spacing w:val="-2"/>
                <w:sz w:val="18"/>
              </w:rPr>
              <w:t>recommendation</w:t>
            </w:r>
          </w:p>
        </w:tc>
      </w:tr>
      <w:tr w:rsidR="00BC24A8" w14:paraId="3BAAFA79" w14:textId="77777777">
        <w:trPr>
          <w:trHeight w:val="223"/>
        </w:trPr>
        <w:tc>
          <w:tcPr>
            <w:tcW w:w="1611" w:type="dxa"/>
          </w:tcPr>
          <w:p w14:paraId="6D92FD2E" w14:textId="77777777" w:rsidR="00BC24A8" w:rsidRDefault="00000000">
            <w:pPr>
              <w:pStyle w:val="TableParagraph"/>
              <w:spacing w:line="200" w:lineRule="exact"/>
              <w:ind w:left="115"/>
              <w:rPr>
                <w:sz w:val="18"/>
              </w:rPr>
            </w:pPr>
            <w:r>
              <w:rPr>
                <w:sz w:val="18"/>
              </w:rPr>
              <w:t>SKALA</w:t>
            </w:r>
            <w:r>
              <w:rPr>
                <w:spacing w:val="-4"/>
                <w:sz w:val="18"/>
              </w:rPr>
              <w:t xml:space="preserve"> </w:t>
            </w:r>
            <w:r>
              <w:rPr>
                <w:spacing w:val="-2"/>
                <w:sz w:val="18"/>
              </w:rPr>
              <w:t>support.</w:t>
            </w:r>
          </w:p>
        </w:tc>
        <w:tc>
          <w:tcPr>
            <w:tcW w:w="1424" w:type="dxa"/>
          </w:tcPr>
          <w:p w14:paraId="3B07CF43" w14:textId="77777777" w:rsidR="00BC24A8" w:rsidRDefault="00BC24A8">
            <w:pPr>
              <w:pStyle w:val="TableParagraph"/>
              <w:rPr>
                <w:rFonts w:ascii="Times New Roman"/>
                <w:sz w:val="14"/>
              </w:rPr>
            </w:pPr>
          </w:p>
        </w:tc>
        <w:tc>
          <w:tcPr>
            <w:tcW w:w="1272" w:type="dxa"/>
          </w:tcPr>
          <w:p w14:paraId="35A7196D" w14:textId="77777777" w:rsidR="00BC24A8" w:rsidRDefault="00BC24A8">
            <w:pPr>
              <w:pStyle w:val="TableParagraph"/>
              <w:rPr>
                <w:rFonts w:ascii="Times New Roman"/>
                <w:sz w:val="14"/>
              </w:rPr>
            </w:pPr>
          </w:p>
        </w:tc>
        <w:tc>
          <w:tcPr>
            <w:tcW w:w="1356" w:type="dxa"/>
          </w:tcPr>
          <w:p w14:paraId="66874D80" w14:textId="77777777" w:rsidR="00BC24A8" w:rsidRDefault="00BC24A8">
            <w:pPr>
              <w:pStyle w:val="TableParagraph"/>
              <w:rPr>
                <w:rFonts w:ascii="Times New Roman"/>
                <w:sz w:val="14"/>
              </w:rPr>
            </w:pPr>
          </w:p>
        </w:tc>
        <w:tc>
          <w:tcPr>
            <w:tcW w:w="1350" w:type="dxa"/>
          </w:tcPr>
          <w:p w14:paraId="6FB51EB5" w14:textId="77777777" w:rsidR="00BC24A8" w:rsidRDefault="00BC24A8">
            <w:pPr>
              <w:pStyle w:val="TableParagraph"/>
              <w:rPr>
                <w:rFonts w:ascii="Times New Roman"/>
                <w:sz w:val="14"/>
              </w:rPr>
            </w:pPr>
          </w:p>
        </w:tc>
        <w:tc>
          <w:tcPr>
            <w:tcW w:w="2085" w:type="dxa"/>
          </w:tcPr>
          <w:p w14:paraId="12680596" w14:textId="77777777" w:rsidR="00BC24A8" w:rsidRDefault="00000000">
            <w:pPr>
              <w:pStyle w:val="TableParagraph"/>
              <w:spacing w:line="203" w:lineRule="exact"/>
              <w:ind w:left="122"/>
              <w:rPr>
                <w:sz w:val="18"/>
              </w:rPr>
            </w:pPr>
            <w:r>
              <w:rPr>
                <w:sz w:val="18"/>
              </w:rPr>
              <w:t>from</w:t>
            </w:r>
            <w:r>
              <w:rPr>
                <w:spacing w:val="-3"/>
                <w:sz w:val="18"/>
              </w:rPr>
              <w:t xml:space="preserve"> </w:t>
            </w:r>
            <w:r>
              <w:rPr>
                <w:sz w:val="18"/>
              </w:rPr>
              <w:t>CSOs</w:t>
            </w:r>
            <w:r>
              <w:rPr>
                <w:spacing w:val="-2"/>
                <w:sz w:val="18"/>
              </w:rPr>
              <w:t xml:space="preserve"> </w:t>
            </w:r>
            <w:r>
              <w:rPr>
                <w:sz w:val="18"/>
              </w:rPr>
              <w:t>and</w:t>
            </w:r>
            <w:r>
              <w:rPr>
                <w:spacing w:val="-2"/>
                <w:sz w:val="18"/>
              </w:rPr>
              <w:t xml:space="preserve"> </w:t>
            </w:r>
            <w:r>
              <w:rPr>
                <w:sz w:val="18"/>
              </w:rPr>
              <w:t>OPDIS</w:t>
            </w:r>
            <w:r>
              <w:rPr>
                <w:spacing w:val="-1"/>
                <w:sz w:val="18"/>
              </w:rPr>
              <w:t xml:space="preserve"> </w:t>
            </w:r>
            <w:r>
              <w:rPr>
                <w:spacing w:val="-5"/>
                <w:sz w:val="18"/>
              </w:rPr>
              <w:t>in</w:t>
            </w:r>
          </w:p>
        </w:tc>
      </w:tr>
      <w:tr w:rsidR="00BC24A8" w14:paraId="1FF91871" w14:textId="77777777">
        <w:trPr>
          <w:trHeight w:val="219"/>
        </w:trPr>
        <w:tc>
          <w:tcPr>
            <w:tcW w:w="1611" w:type="dxa"/>
          </w:tcPr>
          <w:p w14:paraId="2957C987" w14:textId="77777777" w:rsidR="00BC24A8" w:rsidRDefault="00BC24A8">
            <w:pPr>
              <w:pStyle w:val="TableParagraph"/>
              <w:rPr>
                <w:rFonts w:ascii="Times New Roman"/>
                <w:sz w:val="14"/>
              </w:rPr>
            </w:pPr>
          </w:p>
        </w:tc>
        <w:tc>
          <w:tcPr>
            <w:tcW w:w="1424" w:type="dxa"/>
          </w:tcPr>
          <w:p w14:paraId="27DB0428" w14:textId="77777777" w:rsidR="00BC24A8" w:rsidRDefault="00BC24A8">
            <w:pPr>
              <w:pStyle w:val="TableParagraph"/>
              <w:rPr>
                <w:rFonts w:ascii="Times New Roman"/>
                <w:sz w:val="14"/>
              </w:rPr>
            </w:pPr>
          </w:p>
        </w:tc>
        <w:tc>
          <w:tcPr>
            <w:tcW w:w="1272" w:type="dxa"/>
          </w:tcPr>
          <w:p w14:paraId="183B2A48" w14:textId="77777777" w:rsidR="00BC24A8" w:rsidRDefault="00BC24A8">
            <w:pPr>
              <w:pStyle w:val="TableParagraph"/>
              <w:rPr>
                <w:rFonts w:ascii="Times New Roman"/>
                <w:sz w:val="14"/>
              </w:rPr>
            </w:pPr>
          </w:p>
        </w:tc>
        <w:tc>
          <w:tcPr>
            <w:tcW w:w="1356" w:type="dxa"/>
          </w:tcPr>
          <w:p w14:paraId="30D1C507" w14:textId="77777777" w:rsidR="00BC24A8" w:rsidRDefault="00BC24A8">
            <w:pPr>
              <w:pStyle w:val="TableParagraph"/>
              <w:rPr>
                <w:rFonts w:ascii="Times New Roman"/>
                <w:sz w:val="14"/>
              </w:rPr>
            </w:pPr>
          </w:p>
        </w:tc>
        <w:tc>
          <w:tcPr>
            <w:tcW w:w="1350" w:type="dxa"/>
          </w:tcPr>
          <w:p w14:paraId="7A807235" w14:textId="77777777" w:rsidR="00BC24A8" w:rsidRDefault="00BC24A8">
            <w:pPr>
              <w:pStyle w:val="TableParagraph"/>
              <w:rPr>
                <w:rFonts w:ascii="Times New Roman"/>
                <w:sz w:val="14"/>
              </w:rPr>
            </w:pPr>
          </w:p>
        </w:tc>
        <w:tc>
          <w:tcPr>
            <w:tcW w:w="2085" w:type="dxa"/>
          </w:tcPr>
          <w:p w14:paraId="2CAA6533" w14:textId="77777777" w:rsidR="00BC24A8" w:rsidRDefault="00000000">
            <w:pPr>
              <w:pStyle w:val="TableParagraph"/>
              <w:spacing w:line="200" w:lineRule="exact"/>
              <w:ind w:left="122"/>
              <w:rPr>
                <w:sz w:val="18"/>
              </w:rPr>
            </w:pPr>
            <w:r>
              <w:rPr>
                <w:spacing w:val="-2"/>
                <w:sz w:val="18"/>
              </w:rPr>
              <w:t>Thematic/Inclusive</w:t>
            </w:r>
          </w:p>
        </w:tc>
      </w:tr>
      <w:tr w:rsidR="00BC24A8" w14:paraId="63425FB8" w14:textId="77777777">
        <w:trPr>
          <w:trHeight w:val="219"/>
        </w:trPr>
        <w:tc>
          <w:tcPr>
            <w:tcW w:w="1611" w:type="dxa"/>
          </w:tcPr>
          <w:p w14:paraId="322B6265" w14:textId="77777777" w:rsidR="00BC24A8" w:rsidRDefault="00BC24A8">
            <w:pPr>
              <w:pStyle w:val="TableParagraph"/>
              <w:rPr>
                <w:rFonts w:ascii="Times New Roman"/>
                <w:sz w:val="14"/>
              </w:rPr>
            </w:pPr>
          </w:p>
        </w:tc>
        <w:tc>
          <w:tcPr>
            <w:tcW w:w="1424" w:type="dxa"/>
          </w:tcPr>
          <w:p w14:paraId="456A9123" w14:textId="77777777" w:rsidR="00BC24A8" w:rsidRDefault="00BC24A8">
            <w:pPr>
              <w:pStyle w:val="TableParagraph"/>
              <w:rPr>
                <w:rFonts w:ascii="Times New Roman"/>
                <w:sz w:val="14"/>
              </w:rPr>
            </w:pPr>
          </w:p>
        </w:tc>
        <w:tc>
          <w:tcPr>
            <w:tcW w:w="1272" w:type="dxa"/>
          </w:tcPr>
          <w:p w14:paraId="244EBA64" w14:textId="77777777" w:rsidR="00BC24A8" w:rsidRDefault="00BC24A8">
            <w:pPr>
              <w:pStyle w:val="TableParagraph"/>
              <w:rPr>
                <w:rFonts w:ascii="Times New Roman"/>
                <w:sz w:val="14"/>
              </w:rPr>
            </w:pPr>
          </w:p>
        </w:tc>
        <w:tc>
          <w:tcPr>
            <w:tcW w:w="1356" w:type="dxa"/>
          </w:tcPr>
          <w:p w14:paraId="7B515D86" w14:textId="77777777" w:rsidR="00BC24A8" w:rsidRDefault="00BC24A8">
            <w:pPr>
              <w:pStyle w:val="TableParagraph"/>
              <w:rPr>
                <w:rFonts w:ascii="Times New Roman"/>
                <w:sz w:val="14"/>
              </w:rPr>
            </w:pPr>
          </w:p>
        </w:tc>
        <w:tc>
          <w:tcPr>
            <w:tcW w:w="1350" w:type="dxa"/>
          </w:tcPr>
          <w:p w14:paraId="7B7DDDA7" w14:textId="77777777" w:rsidR="00BC24A8" w:rsidRDefault="00BC24A8">
            <w:pPr>
              <w:pStyle w:val="TableParagraph"/>
              <w:rPr>
                <w:rFonts w:ascii="Times New Roman"/>
                <w:sz w:val="14"/>
              </w:rPr>
            </w:pPr>
          </w:p>
        </w:tc>
        <w:tc>
          <w:tcPr>
            <w:tcW w:w="2085" w:type="dxa"/>
          </w:tcPr>
          <w:p w14:paraId="26AD592A" w14:textId="77777777" w:rsidR="00BC24A8" w:rsidRDefault="00000000">
            <w:pPr>
              <w:pStyle w:val="TableParagraph"/>
              <w:spacing w:line="200" w:lineRule="exact"/>
              <w:ind w:left="122"/>
              <w:rPr>
                <w:sz w:val="18"/>
              </w:rPr>
            </w:pPr>
            <w:r>
              <w:rPr>
                <w:sz w:val="18"/>
              </w:rPr>
              <w:t>Musrenbang</w:t>
            </w:r>
            <w:r>
              <w:rPr>
                <w:spacing w:val="-4"/>
                <w:sz w:val="18"/>
              </w:rPr>
              <w:t xml:space="preserve"> </w:t>
            </w:r>
            <w:r>
              <w:rPr>
                <w:spacing w:val="-2"/>
                <w:sz w:val="18"/>
              </w:rPr>
              <w:t>process</w:t>
            </w:r>
          </w:p>
        </w:tc>
      </w:tr>
      <w:tr w:rsidR="00BC24A8" w14:paraId="484D6D49" w14:textId="77777777">
        <w:trPr>
          <w:trHeight w:val="219"/>
        </w:trPr>
        <w:tc>
          <w:tcPr>
            <w:tcW w:w="1611" w:type="dxa"/>
          </w:tcPr>
          <w:p w14:paraId="045F1048" w14:textId="77777777" w:rsidR="00BC24A8" w:rsidRDefault="00BC24A8">
            <w:pPr>
              <w:pStyle w:val="TableParagraph"/>
              <w:rPr>
                <w:rFonts w:ascii="Times New Roman"/>
                <w:sz w:val="14"/>
              </w:rPr>
            </w:pPr>
          </w:p>
        </w:tc>
        <w:tc>
          <w:tcPr>
            <w:tcW w:w="1424" w:type="dxa"/>
          </w:tcPr>
          <w:p w14:paraId="4E0045FD" w14:textId="77777777" w:rsidR="00BC24A8" w:rsidRDefault="00BC24A8">
            <w:pPr>
              <w:pStyle w:val="TableParagraph"/>
              <w:rPr>
                <w:rFonts w:ascii="Times New Roman"/>
                <w:sz w:val="14"/>
              </w:rPr>
            </w:pPr>
          </w:p>
        </w:tc>
        <w:tc>
          <w:tcPr>
            <w:tcW w:w="1272" w:type="dxa"/>
          </w:tcPr>
          <w:p w14:paraId="7B89DEB6" w14:textId="77777777" w:rsidR="00BC24A8" w:rsidRDefault="00BC24A8">
            <w:pPr>
              <w:pStyle w:val="TableParagraph"/>
              <w:rPr>
                <w:rFonts w:ascii="Times New Roman"/>
                <w:sz w:val="14"/>
              </w:rPr>
            </w:pPr>
          </w:p>
        </w:tc>
        <w:tc>
          <w:tcPr>
            <w:tcW w:w="1356" w:type="dxa"/>
          </w:tcPr>
          <w:p w14:paraId="7331EA38" w14:textId="77777777" w:rsidR="00BC24A8" w:rsidRDefault="00BC24A8">
            <w:pPr>
              <w:pStyle w:val="TableParagraph"/>
              <w:rPr>
                <w:rFonts w:ascii="Times New Roman"/>
                <w:sz w:val="14"/>
              </w:rPr>
            </w:pPr>
          </w:p>
        </w:tc>
        <w:tc>
          <w:tcPr>
            <w:tcW w:w="1350" w:type="dxa"/>
          </w:tcPr>
          <w:p w14:paraId="5CF35B28" w14:textId="77777777" w:rsidR="00BC24A8" w:rsidRDefault="00BC24A8">
            <w:pPr>
              <w:pStyle w:val="TableParagraph"/>
              <w:rPr>
                <w:rFonts w:ascii="Times New Roman"/>
                <w:sz w:val="14"/>
              </w:rPr>
            </w:pPr>
          </w:p>
        </w:tc>
        <w:tc>
          <w:tcPr>
            <w:tcW w:w="2085" w:type="dxa"/>
          </w:tcPr>
          <w:p w14:paraId="7EFCEE43" w14:textId="77777777" w:rsidR="00BC24A8" w:rsidRDefault="00000000">
            <w:pPr>
              <w:pStyle w:val="TableParagraph"/>
              <w:spacing w:line="200" w:lineRule="exact"/>
              <w:ind w:left="122"/>
              <w:rPr>
                <w:sz w:val="18"/>
              </w:rPr>
            </w:pPr>
            <w:r>
              <w:rPr>
                <w:sz w:val="18"/>
              </w:rPr>
              <w:t>(777</w:t>
            </w:r>
            <w:r>
              <w:rPr>
                <w:spacing w:val="-3"/>
                <w:sz w:val="18"/>
              </w:rPr>
              <w:t xml:space="preserve"> </w:t>
            </w:r>
            <w:r>
              <w:rPr>
                <w:spacing w:val="-2"/>
                <w:sz w:val="18"/>
              </w:rPr>
              <w:t>recommendations).</w:t>
            </w:r>
          </w:p>
        </w:tc>
      </w:tr>
      <w:tr w:rsidR="00BC24A8" w14:paraId="56E384E1" w14:textId="77777777">
        <w:trPr>
          <w:trHeight w:val="219"/>
        </w:trPr>
        <w:tc>
          <w:tcPr>
            <w:tcW w:w="1611" w:type="dxa"/>
          </w:tcPr>
          <w:p w14:paraId="5D66678E" w14:textId="77777777" w:rsidR="00BC24A8" w:rsidRDefault="00BC24A8">
            <w:pPr>
              <w:pStyle w:val="TableParagraph"/>
              <w:rPr>
                <w:rFonts w:ascii="Times New Roman"/>
                <w:sz w:val="14"/>
              </w:rPr>
            </w:pPr>
          </w:p>
        </w:tc>
        <w:tc>
          <w:tcPr>
            <w:tcW w:w="1424" w:type="dxa"/>
          </w:tcPr>
          <w:p w14:paraId="3C9F8ADA" w14:textId="77777777" w:rsidR="00BC24A8" w:rsidRDefault="00BC24A8">
            <w:pPr>
              <w:pStyle w:val="TableParagraph"/>
              <w:rPr>
                <w:rFonts w:ascii="Times New Roman"/>
                <w:sz w:val="14"/>
              </w:rPr>
            </w:pPr>
          </w:p>
        </w:tc>
        <w:tc>
          <w:tcPr>
            <w:tcW w:w="1272" w:type="dxa"/>
          </w:tcPr>
          <w:p w14:paraId="4F9EA5FC" w14:textId="77777777" w:rsidR="00BC24A8" w:rsidRDefault="00BC24A8">
            <w:pPr>
              <w:pStyle w:val="TableParagraph"/>
              <w:rPr>
                <w:rFonts w:ascii="Times New Roman"/>
                <w:sz w:val="14"/>
              </w:rPr>
            </w:pPr>
          </w:p>
        </w:tc>
        <w:tc>
          <w:tcPr>
            <w:tcW w:w="1356" w:type="dxa"/>
          </w:tcPr>
          <w:p w14:paraId="145297C1" w14:textId="77777777" w:rsidR="00BC24A8" w:rsidRDefault="00BC24A8">
            <w:pPr>
              <w:pStyle w:val="TableParagraph"/>
              <w:rPr>
                <w:rFonts w:ascii="Times New Roman"/>
                <w:sz w:val="14"/>
              </w:rPr>
            </w:pPr>
          </w:p>
        </w:tc>
        <w:tc>
          <w:tcPr>
            <w:tcW w:w="1350" w:type="dxa"/>
          </w:tcPr>
          <w:p w14:paraId="3F948D79" w14:textId="77777777" w:rsidR="00BC24A8" w:rsidRDefault="00BC24A8">
            <w:pPr>
              <w:pStyle w:val="TableParagraph"/>
              <w:rPr>
                <w:rFonts w:ascii="Times New Roman"/>
                <w:sz w:val="14"/>
              </w:rPr>
            </w:pPr>
          </w:p>
        </w:tc>
        <w:tc>
          <w:tcPr>
            <w:tcW w:w="2085" w:type="dxa"/>
          </w:tcPr>
          <w:p w14:paraId="410423F0" w14:textId="77777777" w:rsidR="00BC24A8" w:rsidRDefault="00000000">
            <w:pPr>
              <w:pStyle w:val="TableParagraph"/>
              <w:spacing w:line="200" w:lineRule="exact"/>
              <w:ind w:left="122"/>
              <w:rPr>
                <w:sz w:val="18"/>
              </w:rPr>
            </w:pPr>
            <w:r>
              <w:rPr>
                <w:sz w:val="18"/>
              </w:rPr>
              <w:t>Meanwhile,</w:t>
            </w:r>
            <w:r>
              <w:rPr>
                <w:spacing w:val="-3"/>
                <w:sz w:val="18"/>
              </w:rPr>
              <w:t xml:space="preserve"> </w:t>
            </w:r>
            <w:r>
              <w:rPr>
                <w:sz w:val="18"/>
              </w:rPr>
              <w:t>there</w:t>
            </w:r>
            <w:r>
              <w:rPr>
                <w:spacing w:val="-3"/>
                <w:sz w:val="18"/>
              </w:rPr>
              <w:t xml:space="preserve"> </w:t>
            </w:r>
            <w:r>
              <w:rPr>
                <w:spacing w:val="-5"/>
                <w:sz w:val="18"/>
              </w:rPr>
              <w:t>are</w:t>
            </w:r>
          </w:p>
        </w:tc>
      </w:tr>
      <w:tr w:rsidR="00BC24A8" w14:paraId="0A22F795" w14:textId="77777777">
        <w:trPr>
          <w:trHeight w:val="219"/>
        </w:trPr>
        <w:tc>
          <w:tcPr>
            <w:tcW w:w="1611" w:type="dxa"/>
          </w:tcPr>
          <w:p w14:paraId="716D8BA5" w14:textId="77777777" w:rsidR="00BC24A8" w:rsidRDefault="00BC24A8">
            <w:pPr>
              <w:pStyle w:val="TableParagraph"/>
              <w:rPr>
                <w:rFonts w:ascii="Times New Roman"/>
                <w:sz w:val="14"/>
              </w:rPr>
            </w:pPr>
          </w:p>
        </w:tc>
        <w:tc>
          <w:tcPr>
            <w:tcW w:w="1424" w:type="dxa"/>
          </w:tcPr>
          <w:p w14:paraId="129325F7" w14:textId="77777777" w:rsidR="00BC24A8" w:rsidRDefault="00BC24A8">
            <w:pPr>
              <w:pStyle w:val="TableParagraph"/>
              <w:rPr>
                <w:rFonts w:ascii="Times New Roman"/>
                <w:sz w:val="14"/>
              </w:rPr>
            </w:pPr>
          </w:p>
        </w:tc>
        <w:tc>
          <w:tcPr>
            <w:tcW w:w="1272" w:type="dxa"/>
          </w:tcPr>
          <w:p w14:paraId="3224334C" w14:textId="77777777" w:rsidR="00BC24A8" w:rsidRDefault="00BC24A8">
            <w:pPr>
              <w:pStyle w:val="TableParagraph"/>
              <w:rPr>
                <w:rFonts w:ascii="Times New Roman"/>
                <w:sz w:val="14"/>
              </w:rPr>
            </w:pPr>
          </w:p>
        </w:tc>
        <w:tc>
          <w:tcPr>
            <w:tcW w:w="1356" w:type="dxa"/>
          </w:tcPr>
          <w:p w14:paraId="31D0B7C9" w14:textId="77777777" w:rsidR="00BC24A8" w:rsidRDefault="00BC24A8">
            <w:pPr>
              <w:pStyle w:val="TableParagraph"/>
              <w:rPr>
                <w:rFonts w:ascii="Times New Roman"/>
                <w:sz w:val="14"/>
              </w:rPr>
            </w:pPr>
          </w:p>
        </w:tc>
        <w:tc>
          <w:tcPr>
            <w:tcW w:w="1350" w:type="dxa"/>
          </w:tcPr>
          <w:p w14:paraId="2F27774E" w14:textId="77777777" w:rsidR="00BC24A8" w:rsidRDefault="00BC24A8">
            <w:pPr>
              <w:pStyle w:val="TableParagraph"/>
              <w:rPr>
                <w:rFonts w:ascii="Times New Roman"/>
                <w:sz w:val="14"/>
              </w:rPr>
            </w:pPr>
          </w:p>
        </w:tc>
        <w:tc>
          <w:tcPr>
            <w:tcW w:w="2085" w:type="dxa"/>
          </w:tcPr>
          <w:p w14:paraId="1818CAA6" w14:textId="77777777" w:rsidR="00BC24A8" w:rsidRDefault="00000000">
            <w:pPr>
              <w:pStyle w:val="TableParagraph"/>
              <w:spacing w:line="200" w:lineRule="exact"/>
              <w:ind w:left="122"/>
              <w:rPr>
                <w:sz w:val="18"/>
              </w:rPr>
            </w:pPr>
            <w:r>
              <w:rPr>
                <w:sz w:val="18"/>
              </w:rPr>
              <w:t>two</w:t>
            </w:r>
            <w:r>
              <w:rPr>
                <w:spacing w:val="-2"/>
                <w:sz w:val="18"/>
              </w:rPr>
              <w:t xml:space="preserve"> </w:t>
            </w:r>
            <w:r>
              <w:rPr>
                <w:sz w:val="18"/>
              </w:rPr>
              <w:t>CSOs</w:t>
            </w:r>
            <w:r>
              <w:rPr>
                <w:spacing w:val="-1"/>
                <w:sz w:val="18"/>
              </w:rPr>
              <w:t xml:space="preserve"> </w:t>
            </w:r>
            <w:r>
              <w:rPr>
                <w:sz w:val="18"/>
              </w:rPr>
              <w:t xml:space="preserve">in </w:t>
            </w:r>
            <w:r>
              <w:rPr>
                <w:spacing w:val="-2"/>
                <w:sz w:val="18"/>
              </w:rPr>
              <w:t>Gorontalo</w:t>
            </w:r>
          </w:p>
        </w:tc>
      </w:tr>
      <w:tr w:rsidR="00BC24A8" w14:paraId="74C2FC47" w14:textId="77777777">
        <w:trPr>
          <w:trHeight w:val="219"/>
        </w:trPr>
        <w:tc>
          <w:tcPr>
            <w:tcW w:w="1611" w:type="dxa"/>
          </w:tcPr>
          <w:p w14:paraId="7A80C839" w14:textId="77777777" w:rsidR="00BC24A8" w:rsidRDefault="00BC24A8">
            <w:pPr>
              <w:pStyle w:val="TableParagraph"/>
              <w:rPr>
                <w:rFonts w:ascii="Times New Roman"/>
                <w:sz w:val="14"/>
              </w:rPr>
            </w:pPr>
          </w:p>
        </w:tc>
        <w:tc>
          <w:tcPr>
            <w:tcW w:w="1424" w:type="dxa"/>
          </w:tcPr>
          <w:p w14:paraId="398E1C48" w14:textId="77777777" w:rsidR="00BC24A8" w:rsidRDefault="00BC24A8">
            <w:pPr>
              <w:pStyle w:val="TableParagraph"/>
              <w:rPr>
                <w:rFonts w:ascii="Times New Roman"/>
                <w:sz w:val="14"/>
              </w:rPr>
            </w:pPr>
          </w:p>
        </w:tc>
        <w:tc>
          <w:tcPr>
            <w:tcW w:w="1272" w:type="dxa"/>
          </w:tcPr>
          <w:p w14:paraId="1BDFCD73" w14:textId="77777777" w:rsidR="00BC24A8" w:rsidRDefault="00BC24A8">
            <w:pPr>
              <w:pStyle w:val="TableParagraph"/>
              <w:rPr>
                <w:rFonts w:ascii="Times New Roman"/>
                <w:sz w:val="14"/>
              </w:rPr>
            </w:pPr>
          </w:p>
        </w:tc>
        <w:tc>
          <w:tcPr>
            <w:tcW w:w="1356" w:type="dxa"/>
          </w:tcPr>
          <w:p w14:paraId="73D97FB4" w14:textId="77777777" w:rsidR="00BC24A8" w:rsidRDefault="00BC24A8">
            <w:pPr>
              <w:pStyle w:val="TableParagraph"/>
              <w:rPr>
                <w:rFonts w:ascii="Times New Roman"/>
                <w:sz w:val="14"/>
              </w:rPr>
            </w:pPr>
          </w:p>
        </w:tc>
        <w:tc>
          <w:tcPr>
            <w:tcW w:w="1350" w:type="dxa"/>
          </w:tcPr>
          <w:p w14:paraId="7A050ECE" w14:textId="77777777" w:rsidR="00BC24A8" w:rsidRDefault="00BC24A8">
            <w:pPr>
              <w:pStyle w:val="TableParagraph"/>
              <w:rPr>
                <w:rFonts w:ascii="Times New Roman"/>
                <w:sz w:val="14"/>
              </w:rPr>
            </w:pPr>
          </w:p>
        </w:tc>
        <w:tc>
          <w:tcPr>
            <w:tcW w:w="2085" w:type="dxa"/>
          </w:tcPr>
          <w:p w14:paraId="2F15DCC3" w14:textId="77777777" w:rsidR="00BC24A8" w:rsidRDefault="00000000">
            <w:pPr>
              <w:pStyle w:val="TableParagraph"/>
              <w:spacing w:line="200" w:lineRule="exact"/>
              <w:ind w:left="122"/>
              <w:rPr>
                <w:sz w:val="18"/>
              </w:rPr>
            </w:pPr>
            <w:r>
              <w:rPr>
                <w:sz w:val="18"/>
              </w:rPr>
              <w:t>developed</w:t>
            </w:r>
            <w:r>
              <w:rPr>
                <w:spacing w:val="-1"/>
                <w:sz w:val="18"/>
              </w:rPr>
              <w:t xml:space="preserve"> </w:t>
            </w:r>
            <w:r>
              <w:rPr>
                <w:sz w:val="18"/>
              </w:rPr>
              <w:t>policy</w:t>
            </w:r>
            <w:r>
              <w:rPr>
                <w:spacing w:val="-1"/>
                <w:sz w:val="18"/>
              </w:rPr>
              <w:t xml:space="preserve"> </w:t>
            </w:r>
            <w:r>
              <w:rPr>
                <w:spacing w:val="-2"/>
                <w:sz w:val="18"/>
              </w:rPr>
              <w:t>briefs</w:t>
            </w:r>
          </w:p>
        </w:tc>
      </w:tr>
      <w:tr w:rsidR="00BC24A8" w14:paraId="05016332" w14:textId="77777777">
        <w:trPr>
          <w:trHeight w:val="219"/>
        </w:trPr>
        <w:tc>
          <w:tcPr>
            <w:tcW w:w="1611" w:type="dxa"/>
          </w:tcPr>
          <w:p w14:paraId="77552F05" w14:textId="77777777" w:rsidR="00BC24A8" w:rsidRDefault="00BC24A8">
            <w:pPr>
              <w:pStyle w:val="TableParagraph"/>
              <w:rPr>
                <w:rFonts w:ascii="Times New Roman"/>
                <w:sz w:val="14"/>
              </w:rPr>
            </w:pPr>
          </w:p>
        </w:tc>
        <w:tc>
          <w:tcPr>
            <w:tcW w:w="1424" w:type="dxa"/>
          </w:tcPr>
          <w:p w14:paraId="19F9BD24" w14:textId="77777777" w:rsidR="00BC24A8" w:rsidRDefault="00BC24A8">
            <w:pPr>
              <w:pStyle w:val="TableParagraph"/>
              <w:rPr>
                <w:rFonts w:ascii="Times New Roman"/>
                <w:sz w:val="14"/>
              </w:rPr>
            </w:pPr>
          </w:p>
        </w:tc>
        <w:tc>
          <w:tcPr>
            <w:tcW w:w="1272" w:type="dxa"/>
          </w:tcPr>
          <w:p w14:paraId="1CD9DE54" w14:textId="77777777" w:rsidR="00BC24A8" w:rsidRDefault="00BC24A8">
            <w:pPr>
              <w:pStyle w:val="TableParagraph"/>
              <w:rPr>
                <w:rFonts w:ascii="Times New Roman"/>
                <w:sz w:val="14"/>
              </w:rPr>
            </w:pPr>
          </w:p>
        </w:tc>
        <w:tc>
          <w:tcPr>
            <w:tcW w:w="1356" w:type="dxa"/>
          </w:tcPr>
          <w:p w14:paraId="6D330498" w14:textId="77777777" w:rsidR="00BC24A8" w:rsidRDefault="00BC24A8">
            <w:pPr>
              <w:pStyle w:val="TableParagraph"/>
              <w:rPr>
                <w:rFonts w:ascii="Times New Roman"/>
                <w:sz w:val="14"/>
              </w:rPr>
            </w:pPr>
          </w:p>
        </w:tc>
        <w:tc>
          <w:tcPr>
            <w:tcW w:w="1350" w:type="dxa"/>
          </w:tcPr>
          <w:p w14:paraId="59443161" w14:textId="77777777" w:rsidR="00BC24A8" w:rsidRDefault="00BC24A8">
            <w:pPr>
              <w:pStyle w:val="TableParagraph"/>
              <w:rPr>
                <w:rFonts w:ascii="Times New Roman"/>
                <w:sz w:val="14"/>
              </w:rPr>
            </w:pPr>
          </w:p>
        </w:tc>
        <w:tc>
          <w:tcPr>
            <w:tcW w:w="2085" w:type="dxa"/>
          </w:tcPr>
          <w:p w14:paraId="28274150" w14:textId="77777777" w:rsidR="00BC24A8" w:rsidRDefault="00000000">
            <w:pPr>
              <w:pStyle w:val="TableParagraph"/>
              <w:spacing w:line="200" w:lineRule="exact"/>
              <w:ind w:left="122"/>
              <w:rPr>
                <w:sz w:val="18"/>
              </w:rPr>
            </w:pPr>
            <w:r>
              <w:rPr>
                <w:sz w:val="18"/>
              </w:rPr>
              <w:t>to</w:t>
            </w:r>
            <w:r>
              <w:rPr>
                <w:spacing w:val="-2"/>
                <w:sz w:val="18"/>
              </w:rPr>
              <w:t xml:space="preserve"> </w:t>
            </w:r>
            <w:r>
              <w:rPr>
                <w:sz w:val="18"/>
              </w:rPr>
              <w:t>submit</w:t>
            </w:r>
            <w:r>
              <w:rPr>
                <w:spacing w:val="1"/>
                <w:sz w:val="18"/>
              </w:rPr>
              <w:t xml:space="preserve"> </w:t>
            </w:r>
            <w:r>
              <w:rPr>
                <w:sz w:val="18"/>
              </w:rPr>
              <w:t>to</w:t>
            </w:r>
            <w:r>
              <w:rPr>
                <w:spacing w:val="-2"/>
                <w:sz w:val="18"/>
              </w:rPr>
              <w:t xml:space="preserve"> </w:t>
            </w:r>
            <w:r>
              <w:rPr>
                <w:sz w:val="18"/>
              </w:rPr>
              <w:t xml:space="preserve">the </w:t>
            </w:r>
            <w:r>
              <w:rPr>
                <w:spacing w:val="-2"/>
                <w:sz w:val="18"/>
              </w:rPr>
              <w:t>Regional</w:t>
            </w:r>
          </w:p>
        </w:tc>
      </w:tr>
      <w:tr w:rsidR="00BC24A8" w14:paraId="45AB56A7" w14:textId="77777777">
        <w:trPr>
          <w:trHeight w:val="567"/>
        </w:trPr>
        <w:tc>
          <w:tcPr>
            <w:tcW w:w="1611" w:type="dxa"/>
            <w:tcBorders>
              <w:bottom w:val="single" w:sz="4" w:space="0" w:color="BEBEBE"/>
            </w:tcBorders>
          </w:tcPr>
          <w:p w14:paraId="2147336F" w14:textId="77777777" w:rsidR="00BC24A8" w:rsidRDefault="00BC24A8">
            <w:pPr>
              <w:pStyle w:val="TableParagraph"/>
              <w:rPr>
                <w:rFonts w:ascii="Times New Roman"/>
                <w:sz w:val="16"/>
              </w:rPr>
            </w:pPr>
          </w:p>
        </w:tc>
        <w:tc>
          <w:tcPr>
            <w:tcW w:w="1424" w:type="dxa"/>
            <w:tcBorders>
              <w:bottom w:val="single" w:sz="4" w:space="0" w:color="BEBEBE"/>
            </w:tcBorders>
          </w:tcPr>
          <w:p w14:paraId="438CDAA1" w14:textId="77777777" w:rsidR="00BC24A8" w:rsidRDefault="00BC24A8">
            <w:pPr>
              <w:pStyle w:val="TableParagraph"/>
              <w:rPr>
                <w:rFonts w:ascii="Times New Roman"/>
                <w:sz w:val="16"/>
              </w:rPr>
            </w:pPr>
          </w:p>
        </w:tc>
        <w:tc>
          <w:tcPr>
            <w:tcW w:w="1272" w:type="dxa"/>
            <w:tcBorders>
              <w:bottom w:val="single" w:sz="4" w:space="0" w:color="BEBEBE"/>
            </w:tcBorders>
          </w:tcPr>
          <w:p w14:paraId="0DAC19E6" w14:textId="77777777" w:rsidR="00BC24A8" w:rsidRDefault="00BC24A8">
            <w:pPr>
              <w:pStyle w:val="TableParagraph"/>
              <w:rPr>
                <w:rFonts w:ascii="Times New Roman"/>
                <w:sz w:val="16"/>
              </w:rPr>
            </w:pPr>
          </w:p>
        </w:tc>
        <w:tc>
          <w:tcPr>
            <w:tcW w:w="1356" w:type="dxa"/>
            <w:tcBorders>
              <w:bottom w:val="single" w:sz="4" w:space="0" w:color="BEBEBE"/>
            </w:tcBorders>
          </w:tcPr>
          <w:p w14:paraId="1E6A4401" w14:textId="77777777" w:rsidR="00BC24A8" w:rsidRDefault="00BC24A8">
            <w:pPr>
              <w:pStyle w:val="TableParagraph"/>
              <w:rPr>
                <w:rFonts w:ascii="Times New Roman"/>
                <w:sz w:val="16"/>
              </w:rPr>
            </w:pPr>
          </w:p>
        </w:tc>
        <w:tc>
          <w:tcPr>
            <w:tcW w:w="1350" w:type="dxa"/>
            <w:tcBorders>
              <w:bottom w:val="single" w:sz="4" w:space="0" w:color="BEBEBE"/>
            </w:tcBorders>
          </w:tcPr>
          <w:p w14:paraId="6DBF9DB9" w14:textId="77777777" w:rsidR="00BC24A8" w:rsidRDefault="00BC24A8">
            <w:pPr>
              <w:pStyle w:val="TableParagraph"/>
              <w:rPr>
                <w:rFonts w:ascii="Times New Roman"/>
                <w:sz w:val="16"/>
              </w:rPr>
            </w:pPr>
          </w:p>
        </w:tc>
        <w:tc>
          <w:tcPr>
            <w:tcW w:w="2085" w:type="dxa"/>
            <w:tcBorders>
              <w:bottom w:val="single" w:sz="4" w:space="0" w:color="BEBEBE"/>
            </w:tcBorders>
          </w:tcPr>
          <w:p w14:paraId="6B12A75C" w14:textId="77777777" w:rsidR="00BC24A8" w:rsidRDefault="00000000">
            <w:pPr>
              <w:pStyle w:val="TableParagraph"/>
              <w:spacing w:line="204" w:lineRule="exact"/>
              <w:ind w:left="122"/>
              <w:rPr>
                <w:sz w:val="18"/>
              </w:rPr>
            </w:pPr>
            <w:r>
              <w:rPr>
                <w:sz w:val="18"/>
              </w:rPr>
              <w:t>Secretary</w:t>
            </w:r>
            <w:r>
              <w:rPr>
                <w:spacing w:val="-4"/>
                <w:sz w:val="18"/>
              </w:rPr>
              <w:t xml:space="preserve"> </w:t>
            </w:r>
            <w:r>
              <w:rPr>
                <w:spacing w:val="-2"/>
                <w:sz w:val="18"/>
              </w:rPr>
              <w:t>(Sekda).</w:t>
            </w:r>
          </w:p>
        </w:tc>
      </w:tr>
    </w:tbl>
    <w:p w14:paraId="5928239A" w14:textId="77777777" w:rsidR="00BC24A8" w:rsidRDefault="00BC24A8">
      <w:pPr>
        <w:pStyle w:val="TableParagraph"/>
        <w:spacing w:line="204" w:lineRule="exact"/>
        <w:rPr>
          <w:sz w:val="18"/>
        </w:rPr>
        <w:sectPr w:rsidR="00BC24A8">
          <w:pgSz w:w="11910" w:h="16840"/>
          <w:pgMar w:top="1380" w:right="850" w:bottom="1100" w:left="1275" w:header="0" w:footer="907" w:gutter="0"/>
          <w:cols w:space="720"/>
        </w:sectPr>
      </w:pPr>
    </w:p>
    <w:tbl>
      <w:tblPr>
        <w:tblW w:w="0" w:type="auto"/>
        <w:tblInd w:w="143" w:type="dxa"/>
        <w:tblLayout w:type="fixed"/>
        <w:tblCellMar>
          <w:left w:w="0" w:type="dxa"/>
          <w:right w:w="0" w:type="dxa"/>
        </w:tblCellMar>
        <w:tblLook w:val="01E0" w:firstRow="1" w:lastRow="1" w:firstColumn="1" w:lastColumn="1" w:noHBand="0" w:noVBand="0"/>
      </w:tblPr>
      <w:tblGrid>
        <w:gridCol w:w="1582"/>
        <w:gridCol w:w="1317"/>
        <w:gridCol w:w="1305"/>
        <w:gridCol w:w="953"/>
        <w:gridCol w:w="1747"/>
        <w:gridCol w:w="2196"/>
      </w:tblGrid>
      <w:tr w:rsidR="00BC24A8" w14:paraId="42F08593" w14:textId="77777777">
        <w:trPr>
          <w:trHeight w:val="2762"/>
        </w:trPr>
        <w:tc>
          <w:tcPr>
            <w:tcW w:w="1582" w:type="dxa"/>
            <w:tcBorders>
              <w:top w:val="single" w:sz="4" w:space="0" w:color="BEBEBE"/>
              <w:bottom w:val="single" w:sz="4" w:space="0" w:color="BEBEBE"/>
            </w:tcBorders>
          </w:tcPr>
          <w:p w14:paraId="73EAAA1A" w14:textId="77777777" w:rsidR="00BC24A8" w:rsidRDefault="00000000">
            <w:pPr>
              <w:pStyle w:val="TableParagraph"/>
              <w:spacing w:before="61"/>
              <w:ind w:left="115" w:right="138"/>
              <w:rPr>
                <w:sz w:val="18"/>
              </w:rPr>
            </w:pPr>
            <w:r>
              <w:rPr>
                <w:sz w:val="18"/>
              </w:rPr>
              <w:lastRenderedPageBreak/>
              <w:t>IO</w:t>
            </w:r>
            <w:r>
              <w:rPr>
                <w:spacing w:val="-11"/>
                <w:sz w:val="18"/>
              </w:rPr>
              <w:t xml:space="preserve"> </w:t>
            </w:r>
            <w:r>
              <w:rPr>
                <w:sz w:val="18"/>
              </w:rPr>
              <w:t>8.2.</w:t>
            </w:r>
            <w:r>
              <w:rPr>
                <w:spacing w:val="-10"/>
                <w:sz w:val="18"/>
              </w:rPr>
              <w:t xml:space="preserve"> </w:t>
            </w:r>
            <w:r>
              <w:rPr>
                <w:sz w:val="18"/>
              </w:rPr>
              <w:t>Number</w:t>
            </w:r>
            <w:r>
              <w:rPr>
                <w:spacing w:val="-10"/>
                <w:sz w:val="18"/>
              </w:rPr>
              <w:t xml:space="preserve"> </w:t>
            </w:r>
            <w:r>
              <w:rPr>
                <w:sz w:val="18"/>
              </w:rPr>
              <w:t>of CSO</w:t>
            </w:r>
            <w:r>
              <w:rPr>
                <w:spacing w:val="-2"/>
                <w:sz w:val="18"/>
              </w:rPr>
              <w:t xml:space="preserve"> </w:t>
            </w:r>
            <w:r>
              <w:rPr>
                <w:sz w:val="18"/>
              </w:rPr>
              <w:t xml:space="preserve">networks strengthened by </w:t>
            </w:r>
            <w:r>
              <w:rPr>
                <w:spacing w:val="-2"/>
                <w:sz w:val="18"/>
              </w:rPr>
              <w:t>SKALA</w:t>
            </w:r>
          </w:p>
        </w:tc>
        <w:tc>
          <w:tcPr>
            <w:tcW w:w="1317" w:type="dxa"/>
            <w:tcBorders>
              <w:top w:val="single" w:sz="4" w:space="0" w:color="BEBEBE"/>
              <w:bottom w:val="single" w:sz="4" w:space="0" w:color="BEBEBE"/>
            </w:tcBorders>
          </w:tcPr>
          <w:p w14:paraId="0C8C9B83" w14:textId="77777777" w:rsidR="00BC24A8" w:rsidRDefault="00000000">
            <w:pPr>
              <w:pStyle w:val="TableParagraph"/>
              <w:spacing w:before="66"/>
              <w:ind w:left="153"/>
              <w:rPr>
                <w:sz w:val="18"/>
              </w:rPr>
            </w:pPr>
            <w:r>
              <w:rPr>
                <w:sz w:val="18"/>
              </w:rPr>
              <w:t xml:space="preserve">51 </w:t>
            </w:r>
            <w:r>
              <w:rPr>
                <w:spacing w:val="-4"/>
                <w:sz w:val="18"/>
              </w:rPr>
              <w:t>CSOs</w:t>
            </w:r>
          </w:p>
          <w:p w14:paraId="0936B202" w14:textId="77777777" w:rsidR="00BC24A8" w:rsidRDefault="00000000">
            <w:pPr>
              <w:pStyle w:val="TableParagraph"/>
              <w:spacing w:before="1"/>
              <w:ind w:left="153"/>
              <w:rPr>
                <w:sz w:val="18"/>
              </w:rPr>
            </w:pPr>
            <w:r>
              <w:rPr>
                <w:spacing w:val="-2"/>
                <w:sz w:val="18"/>
              </w:rPr>
              <w:t>engaged</w:t>
            </w:r>
          </w:p>
        </w:tc>
        <w:tc>
          <w:tcPr>
            <w:tcW w:w="1305" w:type="dxa"/>
            <w:tcBorders>
              <w:top w:val="single" w:sz="4" w:space="0" w:color="BEBEBE"/>
              <w:bottom w:val="single" w:sz="4" w:space="0" w:color="BEBEBE"/>
            </w:tcBorders>
          </w:tcPr>
          <w:p w14:paraId="125799CC" w14:textId="77777777" w:rsidR="00BC24A8" w:rsidRDefault="00000000">
            <w:pPr>
              <w:pStyle w:val="TableParagraph"/>
              <w:spacing w:before="66"/>
              <w:ind w:left="276"/>
              <w:rPr>
                <w:sz w:val="18"/>
              </w:rPr>
            </w:pPr>
            <w:r>
              <w:rPr>
                <w:sz w:val="18"/>
              </w:rPr>
              <w:t xml:space="preserve">71 </w:t>
            </w:r>
            <w:r>
              <w:rPr>
                <w:spacing w:val="-4"/>
                <w:sz w:val="18"/>
              </w:rPr>
              <w:t>CSOs</w:t>
            </w:r>
          </w:p>
          <w:p w14:paraId="45B3DAE3" w14:textId="77777777" w:rsidR="00BC24A8" w:rsidRDefault="00000000">
            <w:pPr>
              <w:pStyle w:val="TableParagraph"/>
              <w:spacing w:before="1"/>
              <w:ind w:left="276"/>
              <w:rPr>
                <w:sz w:val="18"/>
              </w:rPr>
            </w:pPr>
            <w:r>
              <w:rPr>
                <w:spacing w:val="-2"/>
                <w:sz w:val="18"/>
              </w:rPr>
              <w:t>(including</w:t>
            </w:r>
            <w:r>
              <w:rPr>
                <w:sz w:val="18"/>
              </w:rPr>
              <w:t xml:space="preserve"> </w:t>
            </w:r>
            <w:r>
              <w:rPr>
                <w:spacing w:val="-2"/>
                <w:sz w:val="18"/>
              </w:rPr>
              <w:t>OPDIS)</w:t>
            </w:r>
          </w:p>
        </w:tc>
        <w:tc>
          <w:tcPr>
            <w:tcW w:w="953" w:type="dxa"/>
            <w:tcBorders>
              <w:top w:val="single" w:sz="4" w:space="0" w:color="BEBEBE"/>
              <w:bottom w:val="single" w:sz="4" w:space="0" w:color="BEBEBE"/>
            </w:tcBorders>
          </w:tcPr>
          <w:p w14:paraId="1FE0FDA6" w14:textId="77777777" w:rsidR="00BC24A8" w:rsidRDefault="00000000">
            <w:pPr>
              <w:pStyle w:val="TableParagraph"/>
              <w:spacing w:before="66"/>
              <w:ind w:left="231"/>
              <w:rPr>
                <w:sz w:val="18"/>
              </w:rPr>
            </w:pPr>
            <w:r>
              <w:rPr>
                <w:spacing w:val="-10"/>
                <w:sz w:val="18"/>
              </w:rPr>
              <w:t>0</w:t>
            </w:r>
          </w:p>
        </w:tc>
        <w:tc>
          <w:tcPr>
            <w:tcW w:w="1747" w:type="dxa"/>
            <w:tcBorders>
              <w:top w:val="single" w:sz="4" w:space="0" w:color="BEBEBE"/>
              <w:bottom w:val="single" w:sz="4" w:space="0" w:color="BEBEBE"/>
            </w:tcBorders>
          </w:tcPr>
          <w:p w14:paraId="156F9236" w14:textId="77777777" w:rsidR="00BC24A8" w:rsidRDefault="00000000">
            <w:pPr>
              <w:pStyle w:val="TableParagraph"/>
              <w:spacing w:before="66"/>
              <w:ind w:left="627"/>
              <w:rPr>
                <w:sz w:val="18"/>
              </w:rPr>
            </w:pPr>
            <w:r>
              <w:rPr>
                <w:sz w:val="18"/>
              </w:rPr>
              <w:t xml:space="preserve">71 </w:t>
            </w:r>
            <w:r>
              <w:rPr>
                <w:spacing w:val="-4"/>
                <w:sz w:val="18"/>
              </w:rPr>
              <w:t>CSOs</w:t>
            </w:r>
          </w:p>
          <w:p w14:paraId="7448F157" w14:textId="77777777" w:rsidR="00BC24A8" w:rsidRDefault="00000000">
            <w:pPr>
              <w:pStyle w:val="TableParagraph"/>
              <w:spacing w:before="1"/>
              <w:ind w:left="627"/>
              <w:rPr>
                <w:sz w:val="18"/>
              </w:rPr>
            </w:pPr>
            <w:r>
              <w:rPr>
                <w:spacing w:val="-2"/>
                <w:sz w:val="18"/>
              </w:rPr>
              <w:t>(including</w:t>
            </w:r>
            <w:r>
              <w:rPr>
                <w:sz w:val="18"/>
              </w:rPr>
              <w:t xml:space="preserve"> </w:t>
            </w:r>
            <w:r>
              <w:rPr>
                <w:spacing w:val="-2"/>
                <w:sz w:val="18"/>
              </w:rPr>
              <w:t>OPDIS)</w:t>
            </w:r>
          </w:p>
        </w:tc>
        <w:tc>
          <w:tcPr>
            <w:tcW w:w="2196" w:type="dxa"/>
            <w:tcBorders>
              <w:top w:val="single" w:sz="4" w:space="0" w:color="BEBEBE"/>
              <w:bottom w:val="single" w:sz="4" w:space="0" w:color="BEBEBE"/>
            </w:tcBorders>
          </w:tcPr>
          <w:p w14:paraId="2D5F7AA3" w14:textId="77777777" w:rsidR="00BC24A8" w:rsidRDefault="00000000">
            <w:pPr>
              <w:pStyle w:val="TableParagraph"/>
              <w:spacing w:before="66"/>
              <w:ind w:left="231" w:right="128"/>
              <w:rPr>
                <w:sz w:val="18"/>
              </w:rPr>
            </w:pPr>
            <w:r>
              <w:rPr>
                <w:sz w:val="18"/>
              </w:rPr>
              <w:t>71 CSOs,</w:t>
            </w:r>
            <w:r>
              <w:rPr>
                <w:spacing w:val="-1"/>
                <w:sz w:val="18"/>
              </w:rPr>
              <w:t xml:space="preserve"> </w:t>
            </w:r>
            <w:r>
              <w:rPr>
                <w:sz w:val="18"/>
              </w:rPr>
              <w:t>including</w:t>
            </w:r>
            <w:r>
              <w:rPr>
                <w:spacing w:val="-1"/>
                <w:sz w:val="18"/>
              </w:rPr>
              <w:t xml:space="preserve"> </w:t>
            </w:r>
            <w:r>
              <w:rPr>
                <w:sz w:val="18"/>
              </w:rPr>
              <w:t>OPDIS from 10 provinces, received</w:t>
            </w:r>
            <w:r>
              <w:rPr>
                <w:spacing w:val="-3"/>
                <w:sz w:val="18"/>
              </w:rPr>
              <w:t xml:space="preserve"> </w:t>
            </w:r>
            <w:r>
              <w:rPr>
                <w:sz w:val="18"/>
              </w:rPr>
              <w:t>various</w:t>
            </w:r>
            <w:r>
              <w:rPr>
                <w:spacing w:val="-3"/>
                <w:sz w:val="18"/>
              </w:rPr>
              <w:t xml:space="preserve"> </w:t>
            </w:r>
            <w:r>
              <w:rPr>
                <w:sz w:val="18"/>
              </w:rPr>
              <w:t>capacity building from SKALA. On the other hand, 3 provinces that already have JMS (NTB, Kaltara, Gorontalo)</w:t>
            </w:r>
            <w:r>
              <w:rPr>
                <w:spacing w:val="-2"/>
                <w:sz w:val="18"/>
              </w:rPr>
              <w:t xml:space="preserve"> </w:t>
            </w:r>
            <w:r>
              <w:rPr>
                <w:sz w:val="18"/>
              </w:rPr>
              <w:t>have</w:t>
            </w:r>
            <w:r>
              <w:rPr>
                <w:spacing w:val="40"/>
                <w:sz w:val="18"/>
              </w:rPr>
              <w:t xml:space="preserve"> </w:t>
            </w:r>
            <w:r>
              <w:rPr>
                <w:sz w:val="18"/>
              </w:rPr>
              <w:t>provided technical guidance</w:t>
            </w:r>
            <w:r>
              <w:rPr>
                <w:spacing w:val="-11"/>
                <w:sz w:val="18"/>
              </w:rPr>
              <w:t xml:space="preserve"> </w:t>
            </w:r>
            <w:r>
              <w:rPr>
                <w:sz w:val="18"/>
              </w:rPr>
              <w:t>on</w:t>
            </w:r>
            <w:r>
              <w:rPr>
                <w:spacing w:val="-10"/>
                <w:sz w:val="18"/>
              </w:rPr>
              <w:t xml:space="preserve"> </w:t>
            </w:r>
            <w:r>
              <w:rPr>
                <w:sz w:val="18"/>
              </w:rPr>
              <w:t>data</w:t>
            </w:r>
            <w:r>
              <w:rPr>
                <w:spacing w:val="-10"/>
                <w:sz w:val="18"/>
              </w:rPr>
              <w:t xml:space="preserve"> </w:t>
            </w:r>
            <w:r>
              <w:rPr>
                <w:sz w:val="18"/>
              </w:rPr>
              <w:t>analysis for JMS. This number is evolving over time.</w:t>
            </w:r>
          </w:p>
        </w:tc>
      </w:tr>
      <w:tr w:rsidR="00BC24A8" w14:paraId="1FFC6D8D" w14:textId="77777777">
        <w:trPr>
          <w:trHeight w:val="2560"/>
        </w:trPr>
        <w:tc>
          <w:tcPr>
            <w:tcW w:w="1582" w:type="dxa"/>
            <w:tcBorders>
              <w:top w:val="single" w:sz="4" w:space="0" w:color="BEBEBE"/>
              <w:bottom w:val="single" w:sz="4" w:space="0" w:color="BEBEBE"/>
            </w:tcBorders>
          </w:tcPr>
          <w:p w14:paraId="20412162" w14:textId="77777777" w:rsidR="00BC24A8" w:rsidRDefault="00000000">
            <w:pPr>
              <w:pStyle w:val="TableParagraph"/>
              <w:spacing w:before="61"/>
              <w:ind w:left="115" w:right="138"/>
              <w:rPr>
                <w:sz w:val="18"/>
              </w:rPr>
            </w:pPr>
            <w:r>
              <w:rPr>
                <w:sz w:val="18"/>
              </w:rPr>
              <w:t>IO</w:t>
            </w:r>
            <w:r>
              <w:rPr>
                <w:spacing w:val="-7"/>
                <w:sz w:val="18"/>
              </w:rPr>
              <w:t xml:space="preserve"> </w:t>
            </w:r>
            <w:r>
              <w:rPr>
                <w:sz w:val="18"/>
              </w:rPr>
              <w:t>9.1.</w:t>
            </w:r>
            <w:r>
              <w:rPr>
                <w:spacing w:val="-7"/>
                <w:sz w:val="18"/>
              </w:rPr>
              <w:t xml:space="preserve"> </w:t>
            </w:r>
            <w:r>
              <w:rPr>
                <w:sz w:val="18"/>
              </w:rPr>
              <w:t>Increase</w:t>
            </w:r>
            <w:r>
              <w:rPr>
                <w:spacing w:val="-7"/>
                <w:sz w:val="18"/>
              </w:rPr>
              <w:t xml:space="preserve"> </w:t>
            </w:r>
            <w:r>
              <w:rPr>
                <w:sz w:val="18"/>
              </w:rPr>
              <w:t>in percentage</w:t>
            </w:r>
            <w:r>
              <w:rPr>
                <w:spacing w:val="-8"/>
                <w:sz w:val="18"/>
              </w:rPr>
              <w:t xml:space="preserve"> </w:t>
            </w:r>
            <w:r>
              <w:rPr>
                <w:sz w:val="18"/>
              </w:rPr>
              <w:t>of</w:t>
            </w:r>
            <w:r>
              <w:rPr>
                <w:spacing w:val="-9"/>
                <w:sz w:val="18"/>
              </w:rPr>
              <w:t xml:space="preserve"> </w:t>
            </w:r>
            <w:r>
              <w:rPr>
                <w:sz w:val="18"/>
              </w:rPr>
              <w:t xml:space="preserve">the </w:t>
            </w:r>
            <w:r>
              <w:rPr>
                <w:spacing w:val="-2"/>
                <w:sz w:val="18"/>
              </w:rPr>
              <w:t>population</w:t>
            </w:r>
            <w:r>
              <w:rPr>
                <w:sz w:val="18"/>
              </w:rPr>
              <w:t xml:space="preserve"> covered by local </w:t>
            </w:r>
            <w:r>
              <w:rPr>
                <w:spacing w:val="-2"/>
                <w:sz w:val="18"/>
              </w:rPr>
              <w:t>information</w:t>
            </w:r>
            <w:r>
              <w:rPr>
                <w:sz w:val="18"/>
              </w:rPr>
              <w:t xml:space="preserve"> systems that </w:t>
            </w:r>
            <w:r>
              <w:rPr>
                <w:spacing w:val="-2"/>
                <w:sz w:val="18"/>
              </w:rPr>
              <w:t>capture</w:t>
            </w:r>
            <w:r>
              <w:rPr>
                <w:sz w:val="18"/>
              </w:rPr>
              <w:t xml:space="preserve"> information</w:t>
            </w:r>
            <w:r>
              <w:rPr>
                <w:spacing w:val="-7"/>
                <w:sz w:val="18"/>
              </w:rPr>
              <w:t xml:space="preserve"> </w:t>
            </w:r>
            <w:r>
              <w:rPr>
                <w:sz w:val="18"/>
              </w:rPr>
              <w:t>on</w:t>
            </w:r>
            <w:r>
              <w:rPr>
                <w:spacing w:val="-7"/>
                <w:sz w:val="18"/>
              </w:rPr>
              <w:t xml:space="preserve"> </w:t>
            </w:r>
            <w:r>
              <w:rPr>
                <w:sz w:val="18"/>
              </w:rPr>
              <w:t>all individuals with SKALA</w:t>
            </w:r>
            <w:r>
              <w:rPr>
                <w:spacing w:val="-11"/>
                <w:sz w:val="18"/>
              </w:rPr>
              <w:t xml:space="preserve"> </w:t>
            </w:r>
            <w:r>
              <w:rPr>
                <w:sz w:val="18"/>
              </w:rPr>
              <w:t>support,</w:t>
            </w:r>
            <w:r>
              <w:rPr>
                <w:spacing w:val="-10"/>
                <w:sz w:val="18"/>
              </w:rPr>
              <w:t xml:space="preserve"> </w:t>
            </w:r>
            <w:r>
              <w:rPr>
                <w:sz w:val="18"/>
              </w:rPr>
              <w:t xml:space="preserve">by </w:t>
            </w:r>
            <w:r>
              <w:rPr>
                <w:spacing w:val="-2"/>
                <w:sz w:val="18"/>
              </w:rPr>
              <w:t>province</w:t>
            </w:r>
          </w:p>
        </w:tc>
        <w:tc>
          <w:tcPr>
            <w:tcW w:w="1317" w:type="dxa"/>
            <w:tcBorders>
              <w:top w:val="single" w:sz="4" w:space="0" w:color="BEBEBE"/>
              <w:bottom w:val="single" w:sz="4" w:space="0" w:color="BEBEBE"/>
            </w:tcBorders>
          </w:tcPr>
          <w:p w14:paraId="7DAA834A" w14:textId="77777777" w:rsidR="00BC24A8" w:rsidRDefault="00000000">
            <w:pPr>
              <w:pStyle w:val="TableParagraph"/>
              <w:spacing w:before="66"/>
              <w:ind w:left="153"/>
              <w:rPr>
                <w:sz w:val="18"/>
              </w:rPr>
            </w:pPr>
            <w:r>
              <w:rPr>
                <w:sz w:val="18"/>
              </w:rPr>
              <w:t>15%</w:t>
            </w:r>
            <w:r>
              <w:rPr>
                <w:spacing w:val="-3"/>
                <w:sz w:val="18"/>
              </w:rPr>
              <w:t xml:space="preserve"> </w:t>
            </w:r>
            <w:r>
              <w:rPr>
                <w:sz w:val="18"/>
              </w:rPr>
              <w:t xml:space="preserve">in </w:t>
            </w:r>
            <w:r>
              <w:rPr>
                <w:spacing w:val="-4"/>
                <w:sz w:val="18"/>
              </w:rPr>
              <w:t>Aceh</w:t>
            </w:r>
          </w:p>
        </w:tc>
        <w:tc>
          <w:tcPr>
            <w:tcW w:w="1305" w:type="dxa"/>
            <w:tcBorders>
              <w:top w:val="single" w:sz="4" w:space="0" w:color="BEBEBE"/>
              <w:bottom w:val="single" w:sz="4" w:space="0" w:color="BEBEBE"/>
            </w:tcBorders>
          </w:tcPr>
          <w:p w14:paraId="117BB428" w14:textId="77777777" w:rsidR="00BC24A8" w:rsidRDefault="00000000">
            <w:pPr>
              <w:pStyle w:val="TableParagraph"/>
              <w:spacing w:before="66"/>
              <w:ind w:left="276"/>
              <w:rPr>
                <w:sz w:val="18"/>
              </w:rPr>
            </w:pPr>
            <w:r>
              <w:rPr>
                <w:sz w:val="18"/>
              </w:rPr>
              <w:t>4%</w:t>
            </w:r>
            <w:r>
              <w:rPr>
                <w:spacing w:val="-2"/>
                <w:sz w:val="18"/>
              </w:rPr>
              <w:t xml:space="preserve"> </w:t>
            </w:r>
            <w:r>
              <w:rPr>
                <w:sz w:val="18"/>
              </w:rPr>
              <w:t xml:space="preserve">in </w:t>
            </w:r>
            <w:r>
              <w:rPr>
                <w:spacing w:val="-4"/>
                <w:sz w:val="18"/>
              </w:rPr>
              <w:t>Aceh</w:t>
            </w:r>
          </w:p>
        </w:tc>
        <w:tc>
          <w:tcPr>
            <w:tcW w:w="953" w:type="dxa"/>
            <w:tcBorders>
              <w:top w:val="single" w:sz="4" w:space="0" w:color="BEBEBE"/>
              <w:bottom w:val="single" w:sz="4" w:space="0" w:color="BEBEBE"/>
            </w:tcBorders>
          </w:tcPr>
          <w:p w14:paraId="51BB2930" w14:textId="77777777" w:rsidR="00BC24A8" w:rsidRDefault="00000000">
            <w:pPr>
              <w:pStyle w:val="TableParagraph"/>
              <w:spacing w:before="66"/>
              <w:ind w:left="231"/>
              <w:rPr>
                <w:sz w:val="18"/>
              </w:rPr>
            </w:pPr>
            <w:r>
              <w:rPr>
                <w:spacing w:val="-10"/>
                <w:sz w:val="18"/>
              </w:rPr>
              <w:t>0</w:t>
            </w:r>
          </w:p>
        </w:tc>
        <w:tc>
          <w:tcPr>
            <w:tcW w:w="1747" w:type="dxa"/>
            <w:tcBorders>
              <w:top w:val="single" w:sz="4" w:space="0" w:color="BEBEBE"/>
              <w:bottom w:val="single" w:sz="4" w:space="0" w:color="BEBEBE"/>
            </w:tcBorders>
          </w:tcPr>
          <w:p w14:paraId="1427FB4B" w14:textId="77777777" w:rsidR="00BC24A8" w:rsidRDefault="00000000">
            <w:pPr>
              <w:pStyle w:val="TableParagraph"/>
              <w:spacing w:before="66"/>
              <w:ind w:left="627"/>
              <w:rPr>
                <w:sz w:val="18"/>
              </w:rPr>
            </w:pPr>
            <w:r>
              <w:rPr>
                <w:sz w:val="18"/>
              </w:rPr>
              <w:t>19%</w:t>
            </w:r>
            <w:r>
              <w:rPr>
                <w:spacing w:val="-3"/>
                <w:sz w:val="18"/>
              </w:rPr>
              <w:t xml:space="preserve"> </w:t>
            </w:r>
            <w:r>
              <w:rPr>
                <w:sz w:val="18"/>
              </w:rPr>
              <w:t xml:space="preserve">in </w:t>
            </w:r>
            <w:r>
              <w:rPr>
                <w:spacing w:val="-4"/>
                <w:sz w:val="18"/>
              </w:rPr>
              <w:t>Aceh</w:t>
            </w:r>
          </w:p>
        </w:tc>
        <w:tc>
          <w:tcPr>
            <w:tcW w:w="2196" w:type="dxa"/>
            <w:tcBorders>
              <w:top w:val="single" w:sz="4" w:space="0" w:color="BEBEBE"/>
              <w:bottom w:val="single" w:sz="4" w:space="0" w:color="BEBEBE"/>
            </w:tcBorders>
          </w:tcPr>
          <w:p w14:paraId="5CE03274" w14:textId="77777777" w:rsidR="00BC24A8" w:rsidRDefault="00000000">
            <w:pPr>
              <w:pStyle w:val="TableParagraph"/>
              <w:spacing w:before="66"/>
              <w:ind w:left="231" w:right="123"/>
              <w:rPr>
                <w:sz w:val="18"/>
              </w:rPr>
            </w:pPr>
            <w:r>
              <w:rPr>
                <w:sz w:val="18"/>
              </w:rPr>
              <w:t>The</w:t>
            </w:r>
            <w:r>
              <w:rPr>
                <w:spacing w:val="-3"/>
                <w:sz w:val="18"/>
              </w:rPr>
              <w:t xml:space="preserve"> </w:t>
            </w:r>
            <w:r>
              <w:rPr>
                <w:sz w:val="18"/>
              </w:rPr>
              <w:t>population</w:t>
            </w:r>
            <w:r>
              <w:rPr>
                <w:spacing w:val="-3"/>
                <w:sz w:val="18"/>
              </w:rPr>
              <w:t xml:space="preserve"> </w:t>
            </w:r>
            <w:r>
              <w:rPr>
                <w:sz w:val="18"/>
              </w:rPr>
              <w:t>coverage at</w:t>
            </w:r>
            <w:r>
              <w:rPr>
                <w:spacing w:val="-9"/>
                <w:sz w:val="18"/>
              </w:rPr>
              <w:t xml:space="preserve"> </w:t>
            </w:r>
            <w:r>
              <w:rPr>
                <w:sz w:val="18"/>
              </w:rPr>
              <w:t>SIGAP</w:t>
            </w:r>
            <w:r>
              <w:rPr>
                <w:spacing w:val="-11"/>
                <w:sz w:val="18"/>
              </w:rPr>
              <w:t xml:space="preserve"> </w:t>
            </w:r>
            <w:r>
              <w:rPr>
                <w:sz w:val="18"/>
              </w:rPr>
              <w:t>increased</w:t>
            </w:r>
            <w:r>
              <w:rPr>
                <w:spacing w:val="-9"/>
                <w:sz w:val="18"/>
              </w:rPr>
              <w:t xml:space="preserve"> </w:t>
            </w:r>
            <w:r>
              <w:rPr>
                <w:sz w:val="18"/>
              </w:rPr>
              <w:t>by</w:t>
            </w:r>
            <w:r>
              <w:rPr>
                <w:spacing w:val="-10"/>
                <w:sz w:val="18"/>
              </w:rPr>
              <w:t xml:space="preserve"> </w:t>
            </w:r>
            <w:r>
              <w:rPr>
                <w:sz w:val="18"/>
              </w:rPr>
              <w:t>4% from</w:t>
            </w:r>
            <w:r>
              <w:rPr>
                <w:spacing w:val="-2"/>
                <w:sz w:val="18"/>
              </w:rPr>
              <w:t xml:space="preserve"> </w:t>
            </w:r>
            <w:r>
              <w:rPr>
                <w:sz w:val="18"/>
              </w:rPr>
              <w:t>last</w:t>
            </w:r>
            <w:r>
              <w:rPr>
                <w:spacing w:val="-1"/>
                <w:sz w:val="18"/>
              </w:rPr>
              <w:t xml:space="preserve"> </w:t>
            </w:r>
            <w:r>
              <w:rPr>
                <w:sz w:val="18"/>
              </w:rPr>
              <w:t>semester,</w:t>
            </w:r>
            <w:r>
              <w:rPr>
                <w:spacing w:val="-2"/>
                <w:sz w:val="18"/>
              </w:rPr>
              <w:t xml:space="preserve"> </w:t>
            </w:r>
            <w:r>
              <w:rPr>
                <w:sz w:val="18"/>
              </w:rPr>
              <w:t>from 47% to</w:t>
            </w:r>
            <w:r>
              <w:rPr>
                <w:spacing w:val="-1"/>
                <w:sz w:val="18"/>
              </w:rPr>
              <w:t xml:space="preserve"> </w:t>
            </w:r>
            <w:r>
              <w:rPr>
                <w:sz w:val="18"/>
              </w:rPr>
              <w:t>51%.</w:t>
            </w:r>
            <w:r>
              <w:rPr>
                <w:spacing w:val="-1"/>
                <w:sz w:val="18"/>
              </w:rPr>
              <w:t xml:space="preserve"> </w:t>
            </w:r>
            <w:r>
              <w:rPr>
                <w:sz w:val="18"/>
              </w:rPr>
              <w:t>Meanwhile, the coverage of SIO Papua and SAIK+ Papua Barat remained unchanged,</w:t>
            </w:r>
            <w:r>
              <w:rPr>
                <w:spacing w:val="-6"/>
                <w:sz w:val="18"/>
              </w:rPr>
              <w:t xml:space="preserve"> </w:t>
            </w:r>
            <w:r>
              <w:rPr>
                <w:sz w:val="18"/>
              </w:rPr>
              <w:t>remaining</w:t>
            </w:r>
            <w:r>
              <w:rPr>
                <w:spacing w:val="-6"/>
                <w:sz w:val="18"/>
              </w:rPr>
              <w:t xml:space="preserve"> </w:t>
            </w:r>
            <w:r>
              <w:rPr>
                <w:sz w:val="18"/>
              </w:rPr>
              <w:t>at 7% and 42%.</w:t>
            </w:r>
          </w:p>
        </w:tc>
      </w:tr>
    </w:tbl>
    <w:p w14:paraId="320372CB" w14:textId="77777777" w:rsidR="00BC24A8" w:rsidRDefault="00BC24A8">
      <w:pPr>
        <w:pStyle w:val="TableParagraph"/>
        <w:rPr>
          <w:sz w:val="18"/>
        </w:rPr>
        <w:sectPr w:rsidR="00BC24A8">
          <w:type w:val="continuous"/>
          <w:pgSz w:w="11910" w:h="16840"/>
          <w:pgMar w:top="1380" w:right="850" w:bottom="1100" w:left="1275" w:header="0" w:footer="907" w:gutter="0"/>
          <w:cols w:space="720"/>
        </w:sectPr>
      </w:pPr>
    </w:p>
    <w:p w14:paraId="4957B4E8" w14:textId="77777777" w:rsidR="00BC24A8" w:rsidRDefault="00000000">
      <w:pPr>
        <w:pStyle w:val="Heading2"/>
      </w:pPr>
      <w:bookmarkStart w:id="129" w:name="Annex_4:_Partnerships_and_Collaborations"/>
      <w:bookmarkStart w:id="130" w:name="_bookmark85"/>
      <w:bookmarkEnd w:id="129"/>
      <w:bookmarkEnd w:id="130"/>
      <w:r>
        <w:rPr>
          <w:color w:val="163558"/>
          <w:spacing w:val="-6"/>
        </w:rPr>
        <w:lastRenderedPageBreak/>
        <w:t>Annex</w:t>
      </w:r>
      <w:r>
        <w:rPr>
          <w:color w:val="163558"/>
          <w:spacing w:val="-39"/>
        </w:rPr>
        <w:t xml:space="preserve"> </w:t>
      </w:r>
      <w:r>
        <w:rPr>
          <w:color w:val="163558"/>
          <w:spacing w:val="-6"/>
        </w:rPr>
        <w:t>4:</w:t>
      </w:r>
      <w:r>
        <w:rPr>
          <w:color w:val="163558"/>
          <w:spacing w:val="-38"/>
        </w:rPr>
        <w:t xml:space="preserve"> </w:t>
      </w:r>
      <w:r>
        <w:rPr>
          <w:color w:val="163558"/>
          <w:spacing w:val="-6"/>
        </w:rPr>
        <w:t>Partnerships</w:t>
      </w:r>
      <w:r>
        <w:rPr>
          <w:color w:val="163558"/>
          <w:spacing w:val="-39"/>
        </w:rPr>
        <w:t xml:space="preserve"> </w:t>
      </w:r>
      <w:r>
        <w:rPr>
          <w:color w:val="163558"/>
          <w:spacing w:val="-6"/>
        </w:rPr>
        <w:t>and</w:t>
      </w:r>
      <w:r>
        <w:rPr>
          <w:color w:val="163558"/>
          <w:spacing w:val="-42"/>
        </w:rPr>
        <w:t xml:space="preserve"> </w:t>
      </w:r>
      <w:r>
        <w:rPr>
          <w:color w:val="163558"/>
          <w:spacing w:val="-6"/>
        </w:rPr>
        <w:t>Collaborations</w:t>
      </w:r>
    </w:p>
    <w:p w14:paraId="44C3F5FB" w14:textId="77777777" w:rsidR="00BC24A8" w:rsidRDefault="00000000">
      <w:pPr>
        <w:pStyle w:val="Heading5"/>
        <w:spacing w:before="340"/>
      </w:pPr>
      <w:bookmarkStart w:id="131" w:name="_bookmark86"/>
      <w:bookmarkEnd w:id="131"/>
      <w:r>
        <w:rPr>
          <w:color w:val="767070"/>
        </w:rPr>
        <w:t>Table</w:t>
      </w:r>
      <w:r>
        <w:rPr>
          <w:color w:val="767070"/>
          <w:spacing w:val="-12"/>
        </w:rPr>
        <w:t xml:space="preserve"> </w:t>
      </w:r>
      <w:r>
        <w:rPr>
          <w:color w:val="767070"/>
        </w:rPr>
        <w:t>6:</w:t>
      </w:r>
      <w:r>
        <w:rPr>
          <w:color w:val="767070"/>
          <w:spacing w:val="-12"/>
        </w:rPr>
        <w:t xml:space="preserve"> </w:t>
      </w:r>
      <w:r>
        <w:rPr>
          <w:color w:val="767070"/>
        </w:rPr>
        <w:t>Engagement</w:t>
      </w:r>
      <w:r>
        <w:rPr>
          <w:color w:val="767070"/>
          <w:spacing w:val="-11"/>
        </w:rPr>
        <w:t xml:space="preserve"> </w:t>
      </w:r>
      <w:r>
        <w:rPr>
          <w:color w:val="767070"/>
        </w:rPr>
        <w:t>with</w:t>
      </w:r>
      <w:r>
        <w:rPr>
          <w:color w:val="767070"/>
          <w:spacing w:val="-11"/>
        </w:rPr>
        <w:t xml:space="preserve"> </w:t>
      </w:r>
      <w:r>
        <w:rPr>
          <w:color w:val="767070"/>
        </w:rPr>
        <w:t>Indonesian</w:t>
      </w:r>
      <w:r>
        <w:rPr>
          <w:color w:val="767070"/>
          <w:spacing w:val="-10"/>
        </w:rPr>
        <w:t xml:space="preserve"> </w:t>
      </w:r>
      <w:r>
        <w:rPr>
          <w:color w:val="767070"/>
        </w:rPr>
        <w:t>government</w:t>
      </w:r>
      <w:r>
        <w:rPr>
          <w:color w:val="767070"/>
          <w:spacing w:val="-9"/>
        </w:rPr>
        <w:t xml:space="preserve"> </w:t>
      </w:r>
      <w:r>
        <w:rPr>
          <w:color w:val="767070"/>
          <w:spacing w:val="-2"/>
        </w:rPr>
        <w:t>partners</w:t>
      </w:r>
    </w:p>
    <w:p w14:paraId="2CC085E3" w14:textId="77777777" w:rsidR="00BC24A8" w:rsidRDefault="00BC24A8">
      <w:pPr>
        <w:pStyle w:val="BodyText"/>
        <w:spacing w:before="9" w:after="1"/>
        <w:rPr>
          <w:rFonts w:ascii="Calibri"/>
          <w:b/>
          <w:sz w:val="14"/>
        </w:rPr>
      </w:pPr>
    </w:p>
    <w:tbl>
      <w:tblPr>
        <w:tblW w:w="0" w:type="auto"/>
        <w:tblInd w:w="1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458"/>
        <w:gridCol w:w="8611"/>
      </w:tblGrid>
      <w:tr w:rsidR="00BC24A8" w14:paraId="2ACC3961" w14:textId="77777777">
        <w:trPr>
          <w:trHeight w:val="602"/>
        </w:trPr>
        <w:tc>
          <w:tcPr>
            <w:tcW w:w="458" w:type="dxa"/>
            <w:tcBorders>
              <w:top w:val="nil"/>
              <w:left w:val="nil"/>
              <w:bottom w:val="nil"/>
            </w:tcBorders>
            <w:shd w:val="clear" w:color="auto" w:fill="17365A"/>
          </w:tcPr>
          <w:p w14:paraId="70DD17EC" w14:textId="77777777" w:rsidR="00BC24A8" w:rsidRDefault="00000000">
            <w:pPr>
              <w:pStyle w:val="TableParagraph"/>
              <w:spacing w:before="78"/>
              <w:ind w:left="79"/>
              <w:rPr>
                <w:rFonts w:ascii="Calibri"/>
                <w:b/>
                <w:sz w:val="20"/>
              </w:rPr>
            </w:pPr>
            <w:r>
              <w:rPr>
                <w:rFonts w:ascii="Calibri"/>
                <w:b/>
                <w:color w:val="FFFFFF"/>
                <w:spacing w:val="-5"/>
                <w:sz w:val="20"/>
              </w:rPr>
              <w:t>No.</w:t>
            </w:r>
          </w:p>
        </w:tc>
        <w:tc>
          <w:tcPr>
            <w:tcW w:w="8611" w:type="dxa"/>
            <w:tcBorders>
              <w:top w:val="nil"/>
              <w:bottom w:val="nil"/>
              <w:right w:val="nil"/>
            </w:tcBorders>
            <w:shd w:val="clear" w:color="auto" w:fill="17365A"/>
          </w:tcPr>
          <w:p w14:paraId="6CEBBD5B" w14:textId="77777777" w:rsidR="00BC24A8" w:rsidRDefault="00000000">
            <w:pPr>
              <w:pStyle w:val="TableParagraph"/>
              <w:spacing w:before="78"/>
              <w:ind w:left="225"/>
              <w:rPr>
                <w:rFonts w:ascii="Calibri"/>
                <w:b/>
                <w:sz w:val="20"/>
              </w:rPr>
            </w:pPr>
            <w:r>
              <w:rPr>
                <w:rFonts w:ascii="Calibri"/>
                <w:b/>
                <w:color w:val="FFFFFF"/>
                <w:spacing w:val="-2"/>
                <w:sz w:val="20"/>
              </w:rPr>
              <w:t>Engagement</w:t>
            </w:r>
            <w:r>
              <w:rPr>
                <w:rFonts w:ascii="Calibri"/>
                <w:b/>
                <w:color w:val="FFFFFF"/>
                <w:spacing w:val="5"/>
                <w:sz w:val="20"/>
              </w:rPr>
              <w:t xml:space="preserve"> </w:t>
            </w:r>
            <w:r>
              <w:rPr>
                <w:rFonts w:ascii="Calibri"/>
                <w:b/>
                <w:color w:val="FFFFFF"/>
                <w:spacing w:val="-2"/>
                <w:sz w:val="20"/>
              </w:rPr>
              <w:t>with</w:t>
            </w:r>
            <w:r>
              <w:rPr>
                <w:rFonts w:ascii="Calibri"/>
                <w:b/>
                <w:color w:val="FFFFFF"/>
                <w:spacing w:val="6"/>
                <w:sz w:val="20"/>
              </w:rPr>
              <w:t xml:space="preserve"> </w:t>
            </w:r>
            <w:r>
              <w:rPr>
                <w:rFonts w:ascii="Calibri"/>
                <w:b/>
                <w:color w:val="FFFFFF"/>
                <w:spacing w:val="-2"/>
                <w:sz w:val="20"/>
              </w:rPr>
              <w:t>Indonesian</w:t>
            </w:r>
            <w:r>
              <w:rPr>
                <w:rFonts w:ascii="Calibri"/>
                <w:b/>
                <w:color w:val="FFFFFF"/>
                <w:spacing w:val="6"/>
                <w:sz w:val="20"/>
              </w:rPr>
              <w:t xml:space="preserve"> </w:t>
            </w:r>
            <w:r>
              <w:rPr>
                <w:rFonts w:ascii="Calibri"/>
                <w:b/>
                <w:color w:val="FFFFFF"/>
                <w:spacing w:val="-2"/>
                <w:sz w:val="20"/>
              </w:rPr>
              <w:t>government</w:t>
            </w:r>
            <w:r>
              <w:rPr>
                <w:rFonts w:ascii="Calibri"/>
                <w:b/>
                <w:color w:val="FFFFFF"/>
                <w:spacing w:val="3"/>
                <w:sz w:val="20"/>
              </w:rPr>
              <w:t xml:space="preserve"> </w:t>
            </w:r>
            <w:r>
              <w:rPr>
                <w:rFonts w:ascii="Calibri"/>
                <w:b/>
                <w:color w:val="FFFFFF"/>
                <w:spacing w:val="-2"/>
                <w:sz w:val="20"/>
              </w:rPr>
              <w:t>partners</w:t>
            </w:r>
          </w:p>
        </w:tc>
      </w:tr>
      <w:tr w:rsidR="00BC24A8" w14:paraId="761F87D9" w14:textId="77777777">
        <w:trPr>
          <w:trHeight w:val="2375"/>
        </w:trPr>
        <w:tc>
          <w:tcPr>
            <w:tcW w:w="458" w:type="dxa"/>
            <w:tcBorders>
              <w:top w:val="nil"/>
              <w:left w:val="nil"/>
              <w:bottom w:val="single" w:sz="18" w:space="0" w:color="D9D9D9"/>
              <w:right w:val="single" w:sz="18" w:space="0" w:color="D9D9D9"/>
            </w:tcBorders>
          </w:tcPr>
          <w:p w14:paraId="77C218AC" w14:textId="77777777" w:rsidR="00BC24A8" w:rsidRDefault="00000000">
            <w:pPr>
              <w:pStyle w:val="TableParagraph"/>
              <w:spacing w:before="80"/>
              <w:ind w:left="79"/>
              <w:rPr>
                <w:sz w:val="18"/>
              </w:rPr>
            </w:pPr>
            <w:r>
              <w:rPr>
                <w:spacing w:val="-10"/>
                <w:sz w:val="18"/>
              </w:rPr>
              <w:t>1</w:t>
            </w:r>
          </w:p>
        </w:tc>
        <w:tc>
          <w:tcPr>
            <w:tcW w:w="8611" w:type="dxa"/>
            <w:tcBorders>
              <w:top w:val="nil"/>
              <w:left w:val="single" w:sz="18" w:space="0" w:color="D9D9D9"/>
              <w:bottom w:val="single" w:sz="18" w:space="0" w:color="D9D9D9"/>
              <w:right w:val="nil"/>
            </w:tcBorders>
          </w:tcPr>
          <w:p w14:paraId="6C3987E7" w14:textId="77777777" w:rsidR="00BC24A8" w:rsidRDefault="00000000">
            <w:pPr>
              <w:pStyle w:val="TableParagraph"/>
              <w:spacing w:before="80" w:line="268" w:lineRule="auto"/>
              <w:ind w:left="225" w:right="275" w:firstLine="40"/>
              <w:jc w:val="both"/>
              <w:rPr>
                <w:sz w:val="18"/>
              </w:rPr>
            </w:pPr>
            <w:r>
              <w:rPr>
                <w:sz w:val="18"/>
              </w:rPr>
              <w:t>Rules-Oriented Partnerships:</w:t>
            </w:r>
            <w:r>
              <w:rPr>
                <w:spacing w:val="-3"/>
                <w:sz w:val="18"/>
              </w:rPr>
              <w:t xml:space="preserve"> </w:t>
            </w:r>
            <w:r>
              <w:rPr>
                <w:sz w:val="18"/>
              </w:rPr>
              <w:t>SKALA has strengthened its influence on national policy frameworks through evidence-based</w:t>
            </w:r>
            <w:r>
              <w:rPr>
                <w:spacing w:val="-11"/>
                <w:sz w:val="18"/>
              </w:rPr>
              <w:t xml:space="preserve"> </w:t>
            </w:r>
            <w:r>
              <w:rPr>
                <w:sz w:val="18"/>
              </w:rPr>
              <w:t>inputs,</w:t>
            </w:r>
            <w:r>
              <w:rPr>
                <w:spacing w:val="-10"/>
                <w:sz w:val="18"/>
              </w:rPr>
              <w:t xml:space="preserve"> </w:t>
            </w:r>
            <w:r>
              <w:rPr>
                <w:sz w:val="18"/>
              </w:rPr>
              <w:t>including</w:t>
            </w:r>
            <w:r>
              <w:rPr>
                <w:spacing w:val="-10"/>
                <w:sz w:val="18"/>
              </w:rPr>
              <w:t xml:space="preserve"> </w:t>
            </w:r>
            <w:r>
              <w:rPr>
                <w:sz w:val="18"/>
              </w:rPr>
              <w:t>BAS</w:t>
            </w:r>
            <w:r>
              <w:rPr>
                <w:spacing w:val="-10"/>
                <w:sz w:val="18"/>
              </w:rPr>
              <w:t xml:space="preserve"> </w:t>
            </w:r>
            <w:r>
              <w:rPr>
                <w:sz w:val="18"/>
              </w:rPr>
              <w:t>harmonisation,</w:t>
            </w:r>
            <w:r>
              <w:rPr>
                <w:spacing w:val="-10"/>
                <w:sz w:val="18"/>
              </w:rPr>
              <w:t xml:space="preserve"> </w:t>
            </w:r>
            <w:r>
              <w:rPr>
                <w:sz w:val="18"/>
              </w:rPr>
              <w:t>SPM</w:t>
            </w:r>
            <w:r>
              <w:rPr>
                <w:spacing w:val="-11"/>
                <w:sz w:val="18"/>
              </w:rPr>
              <w:t xml:space="preserve"> </w:t>
            </w:r>
            <w:r>
              <w:rPr>
                <w:sz w:val="18"/>
              </w:rPr>
              <w:t>financing</w:t>
            </w:r>
            <w:r>
              <w:rPr>
                <w:spacing w:val="-10"/>
                <w:sz w:val="18"/>
              </w:rPr>
              <w:t xml:space="preserve"> </w:t>
            </w:r>
            <w:r>
              <w:rPr>
                <w:sz w:val="18"/>
              </w:rPr>
              <w:t>via</w:t>
            </w:r>
            <w:r>
              <w:rPr>
                <w:spacing w:val="-10"/>
                <w:sz w:val="18"/>
              </w:rPr>
              <w:t xml:space="preserve"> </w:t>
            </w:r>
            <w:r>
              <w:rPr>
                <w:sz w:val="18"/>
              </w:rPr>
              <w:t>DAU</w:t>
            </w:r>
            <w:r>
              <w:rPr>
                <w:spacing w:val="-10"/>
                <w:sz w:val="18"/>
              </w:rPr>
              <w:t xml:space="preserve"> </w:t>
            </w:r>
            <w:r>
              <w:rPr>
                <w:sz w:val="18"/>
              </w:rPr>
              <w:t>SG,</w:t>
            </w:r>
            <w:r>
              <w:rPr>
                <w:spacing w:val="-10"/>
                <w:sz w:val="18"/>
              </w:rPr>
              <w:t xml:space="preserve"> </w:t>
            </w:r>
            <w:r>
              <w:rPr>
                <w:sz w:val="18"/>
              </w:rPr>
              <w:t>regional</w:t>
            </w:r>
            <w:r>
              <w:rPr>
                <w:spacing w:val="-10"/>
                <w:sz w:val="18"/>
              </w:rPr>
              <w:t xml:space="preserve"> </w:t>
            </w:r>
            <w:r>
              <w:rPr>
                <w:sz w:val="18"/>
              </w:rPr>
              <w:t>planning</w:t>
            </w:r>
            <w:r>
              <w:rPr>
                <w:spacing w:val="-11"/>
                <w:sz w:val="18"/>
              </w:rPr>
              <w:t xml:space="preserve"> </w:t>
            </w:r>
            <w:r>
              <w:rPr>
                <w:sz w:val="18"/>
              </w:rPr>
              <w:t>and</w:t>
            </w:r>
            <w:r>
              <w:rPr>
                <w:spacing w:val="-10"/>
                <w:sz w:val="18"/>
              </w:rPr>
              <w:t xml:space="preserve"> </w:t>
            </w:r>
            <w:r>
              <w:rPr>
                <w:sz w:val="18"/>
              </w:rPr>
              <w:t xml:space="preserve">budgeting, </w:t>
            </w:r>
            <w:r>
              <w:rPr>
                <w:spacing w:val="-2"/>
                <w:sz w:val="18"/>
              </w:rPr>
              <w:t>Satu Data institutionalisation, and</w:t>
            </w:r>
            <w:r>
              <w:rPr>
                <w:spacing w:val="-3"/>
                <w:sz w:val="18"/>
              </w:rPr>
              <w:t xml:space="preserve"> </w:t>
            </w:r>
            <w:r>
              <w:rPr>
                <w:spacing w:val="-2"/>
                <w:sz w:val="18"/>
              </w:rPr>
              <w:t>GEDSI integration. Progress varies—some reforms advance quickly, while others</w:t>
            </w:r>
            <w:r>
              <w:rPr>
                <w:sz w:val="18"/>
              </w:rPr>
              <w:t xml:space="preserve"> are</w:t>
            </w:r>
            <w:r>
              <w:rPr>
                <w:spacing w:val="-2"/>
                <w:sz w:val="18"/>
              </w:rPr>
              <w:t xml:space="preserve"> </w:t>
            </w:r>
            <w:r>
              <w:rPr>
                <w:sz w:val="18"/>
              </w:rPr>
              <w:t>slowed</w:t>
            </w:r>
            <w:r>
              <w:rPr>
                <w:spacing w:val="-4"/>
                <w:sz w:val="18"/>
              </w:rPr>
              <w:t xml:space="preserve"> </w:t>
            </w:r>
            <w:r>
              <w:rPr>
                <w:sz w:val="18"/>
              </w:rPr>
              <w:t>by</w:t>
            </w:r>
            <w:r>
              <w:rPr>
                <w:spacing w:val="-4"/>
                <w:sz w:val="18"/>
              </w:rPr>
              <w:t xml:space="preserve"> </w:t>
            </w:r>
            <w:r>
              <w:rPr>
                <w:sz w:val="18"/>
              </w:rPr>
              <w:t>institutional</w:t>
            </w:r>
            <w:r>
              <w:rPr>
                <w:spacing w:val="-3"/>
                <w:sz w:val="18"/>
              </w:rPr>
              <w:t xml:space="preserve"> </w:t>
            </w:r>
            <w:r>
              <w:rPr>
                <w:sz w:val="18"/>
              </w:rPr>
              <w:t>mandates</w:t>
            </w:r>
            <w:r>
              <w:rPr>
                <w:spacing w:val="-2"/>
                <w:sz w:val="18"/>
              </w:rPr>
              <w:t xml:space="preserve"> </w:t>
            </w:r>
            <w:r>
              <w:rPr>
                <w:sz w:val="18"/>
              </w:rPr>
              <w:t>and</w:t>
            </w:r>
            <w:r>
              <w:rPr>
                <w:spacing w:val="-2"/>
                <w:sz w:val="18"/>
              </w:rPr>
              <w:t xml:space="preserve"> </w:t>
            </w:r>
            <w:r>
              <w:rPr>
                <w:sz w:val="18"/>
              </w:rPr>
              <w:t>shifting</w:t>
            </w:r>
            <w:r>
              <w:rPr>
                <w:spacing w:val="-4"/>
                <w:sz w:val="18"/>
              </w:rPr>
              <w:t xml:space="preserve"> </w:t>
            </w:r>
            <w:r>
              <w:rPr>
                <w:sz w:val="18"/>
              </w:rPr>
              <w:t>priorities.</w:t>
            </w:r>
            <w:r>
              <w:rPr>
                <w:spacing w:val="-2"/>
                <w:sz w:val="18"/>
              </w:rPr>
              <w:t xml:space="preserve"> </w:t>
            </w:r>
            <w:r>
              <w:rPr>
                <w:sz w:val="18"/>
              </w:rPr>
              <w:t>Continued</w:t>
            </w:r>
            <w:r>
              <w:rPr>
                <w:spacing w:val="-2"/>
                <w:sz w:val="18"/>
              </w:rPr>
              <w:t xml:space="preserve"> </w:t>
            </w:r>
            <w:r>
              <w:rPr>
                <w:sz w:val="18"/>
              </w:rPr>
              <w:t>advocacy</w:t>
            </w:r>
            <w:r>
              <w:rPr>
                <w:spacing w:val="-2"/>
                <w:sz w:val="18"/>
              </w:rPr>
              <w:t xml:space="preserve"> </w:t>
            </w:r>
            <w:r>
              <w:rPr>
                <w:sz w:val="18"/>
              </w:rPr>
              <w:t>and</w:t>
            </w:r>
            <w:r>
              <w:rPr>
                <w:spacing w:val="-2"/>
                <w:sz w:val="18"/>
              </w:rPr>
              <w:t xml:space="preserve"> </w:t>
            </w:r>
            <w:r>
              <w:rPr>
                <w:sz w:val="18"/>
              </w:rPr>
              <w:t>adaptive</w:t>
            </w:r>
            <w:r>
              <w:rPr>
                <w:spacing w:val="-2"/>
                <w:sz w:val="18"/>
              </w:rPr>
              <w:t xml:space="preserve"> </w:t>
            </w:r>
            <w:r>
              <w:rPr>
                <w:sz w:val="18"/>
              </w:rPr>
              <w:t>engagement</w:t>
            </w:r>
            <w:r>
              <w:rPr>
                <w:spacing w:val="-1"/>
                <w:sz w:val="18"/>
              </w:rPr>
              <w:t xml:space="preserve"> </w:t>
            </w:r>
            <w:r>
              <w:rPr>
                <w:sz w:val="18"/>
              </w:rPr>
              <w:t>with new leadership remain essential. For AWP 2025–2026, SKALA emphasises cross-ministerial collaboration with MoHA, MoF, and BAPPENAS to advance inclusive planning and budgeting. By aligning its work plan with government</w:t>
            </w:r>
            <w:r>
              <w:rPr>
                <w:spacing w:val="-8"/>
                <w:sz w:val="18"/>
              </w:rPr>
              <w:t xml:space="preserve"> </w:t>
            </w:r>
            <w:r>
              <w:rPr>
                <w:sz w:val="18"/>
              </w:rPr>
              <w:t>cycles,</w:t>
            </w:r>
            <w:r>
              <w:rPr>
                <w:spacing w:val="-10"/>
                <w:sz w:val="18"/>
              </w:rPr>
              <w:t xml:space="preserve"> </w:t>
            </w:r>
            <w:r>
              <w:rPr>
                <w:sz w:val="18"/>
              </w:rPr>
              <w:t>SKALA</w:t>
            </w:r>
            <w:r>
              <w:rPr>
                <w:spacing w:val="-8"/>
                <w:sz w:val="18"/>
              </w:rPr>
              <w:t xml:space="preserve"> </w:t>
            </w:r>
            <w:r>
              <w:rPr>
                <w:sz w:val="18"/>
              </w:rPr>
              <w:t>reinforces</w:t>
            </w:r>
            <w:r>
              <w:rPr>
                <w:spacing w:val="-9"/>
                <w:sz w:val="18"/>
              </w:rPr>
              <w:t xml:space="preserve"> </w:t>
            </w:r>
            <w:r>
              <w:rPr>
                <w:sz w:val="18"/>
              </w:rPr>
              <w:t>ownership,</w:t>
            </w:r>
            <w:r>
              <w:rPr>
                <w:spacing w:val="-10"/>
                <w:sz w:val="18"/>
              </w:rPr>
              <w:t xml:space="preserve"> </w:t>
            </w:r>
            <w:r>
              <w:rPr>
                <w:sz w:val="18"/>
              </w:rPr>
              <w:t>accountability,</w:t>
            </w:r>
            <w:r>
              <w:rPr>
                <w:spacing w:val="-10"/>
                <w:sz w:val="18"/>
              </w:rPr>
              <w:t xml:space="preserve"> </w:t>
            </w:r>
            <w:r>
              <w:rPr>
                <w:sz w:val="18"/>
              </w:rPr>
              <w:t>and</w:t>
            </w:r>
            <w:r>
              <w:rPr>
                <w:spacing w:val="-9"/>
                <w:sz w:val="18"/>
              </w:rPr>
              <w:t xml:space="preserve"> </w:t>
            </w:r>
            <w:r>
              <w:rPr>
                <w:sz w:val="18"/>
              </w:rPr>
              <w:t>sustainability.</w:t>
            </w:r>
            <w:r>
              <w:rPr>
                <w:spacing w:val="-10"/>
                <w:sz w:val="18"/>
              </w:rPr>
              <w:t xml:space="preserve"> </w:t>
            </w:r>
            <w:r>
              <w:rPr>
                <w:sz w:val="18"/>
              </w:rPr>
              <w:t>Endorsement</w:t>
            </w:r>
            <w:r>
              <w:rPr>
                <w:spacing w:val="-8"/>
                <w:sz w:val="18"/>
              </w:rPr>
              <w:t xml:space="preserve"> </w:t>
            </w:r>
            <w:r>
              <w:rPr>
                <w:sz w:val="18"/>
              </w:rPr>
              <w:t>of</w:t>
            </w:r>
            <w:r>
              <w:rPr>
                <w:spacing w:val="-8"/>
                <w:sz w:val="18"/>
              </w:rPr>
              <w:t xml:space="preserve"> </w:t>
            </w:r>
            <w:r>
              <w:rPr>
                <w:sz w:val="18"/>
              </w:rPr>
              <w:t>the</w:t>
            </w:r>
            <w:r>
              <w:rPr>
                <w:spacing w:val="-9"/>
                <w:sz w:val="18"/>
              </w:rPr>
              <w:t xml:space="preserve"> </w:t>
            </w:r>
            <w:r>
              <w:rPr>
                <w:sz w:val="18"/>
              </w:rPr>
              <w:t>AWP</w:t>
            </w:r>
            <w:r>
              <w:rPr>
                <w:spacing w:val="-7"/>
                <w:sz w:val="18"/>
              </w:rPr>
              <w:t xml:space="preserve"> </w:t>
            </w:r>
            <w:r>
              <w:rPr>
                <w:sz w:val="18"/>
              </w:rPr>
              <w:t>was delayed due to a temporary slowdown under the TC Chair, but outputs remain substantial despite reduced numbers, with some risks of dispersion and administrative burden.</w:t>
            </w:r>
          </w:p>
        </w:tc>
      </w:tr>
      <w:tr w:rsidR="00BC24A8" w14:paraId="6F66F0F0" w14:textId="77777777">
        <w:trPr>
          <w:trHeight w:val="1637"/>
        </w:trPr>
        <w:tc>
          <w:tcPr>
            <w:tcW w:w="458" w:type="dxa"/>
            <w:tcBorders>
              <w:top w:val="single" w:sz="18" w:space="0" w:color="D9D9D9"/>
              <w:left w:val="nil"/>
              <w:bottom w:val="single" w:sz="18" w:space="0" w:color="D9D9D9"/>
              <w:right w:val="single" w:sz="18" w:space="0" w:color="D9D9D9"/>
            </w:tcBorders>
          </w:tcPr>
          <w:p w14:paraId="32AB956E" w14:textId="77777777" w:rsidR="00BC24A8" w:rsidRDefault="00000000">
            <w:pPr>
              <w:pStyle w:val="TableParagraph"/>
              <w:spacing w:before="82"/>
              <w:ind w:left="79"/>
              <w:rPr>
                <w:sz w:val="18"/>
              </w:rPr>
            </w:pPr>
            <w:r>
              <w:rPr>
                <w:spacing w:val="-10"/>
                <w:sz w:val="18"/>
              </w:rPr>
              <w:t>2</w:t>
            </w:r>
          </w:p>
        </w:tc>
        <w:tc>
          <w:tcPr>
            <w:tcW w:w="8611" w:type="dxa"/>
            <w:tcBorders>
              <w:top w:val="single" w:sz="18" w:space="0" w:color="D9D9D9"/>
              <w:left w:val="single" w:sz="18" w:space="0" w:color="D9D9D9"/>
              <w:bottom w:val="single" w:sz="18" w:space="0" w:color="D9D9D9"/>
              <w:right w:val="nil"/>
            </w:tcBorders>
          </w:tcPr>
          <w:p w14:paraId="7B9071B4" w14:textId="77777777" w:rsidR="00BC24A8" w:rsidRDefault="00000000">
            <w:pPr>
              <w:pStyle w:val="TableParagraph"/>
              <w:spacing w:before="82" w:line="268" w:lineRule="auto"/>
              <w:ind w:left="225" w:right="274"/>
              <w:jc w:val="both"/>
              <w:rPr>
                <w:sz w:val="18"/>
              </w:rPr>
            </w:pPr>
            <w:r>
              <w:rPr>
                <w:sz w:val="18"/>
              </w:rPr>
              <w:t>Task-Oriented Partnerships: SKALA’s AWP 2025–2026 at the subnational level integrates proposals from local governments, each endorsed by central ministries to ensure alignment with national agendas. The strategy focuses on quick wins and visible outputs—such as large-scale ASN training, thematic</w:t>
            </w:r>
            <w:r>
              <w:rPr>
                <w:spacing w:val="-2"/>
                <w:sz w:val="18"/>
              </w:rPr>
              <w:t xml:space="preserve"> </w:t>
            </w:r>
            <w:r>
              <w:rPr>
                <w:i/>
                <w:sz w:val="18"/>
              </w:rPr>
              <w:t>musrenbang</w:t>
            </w:r>
            <w:r>
              <w:rPr>
                <w:sz w:val="18"/>
              </w:rPr>
              <w:t xml:space="preserve">, and GEDSI/SPM integration—while accelerating document preparation and data use in planning. This approach </w:t>
            </w:r>
            <w:r>
              <w:rPr>
                <w:spacing w:val="-2"/>
                <w:sz w:val="18"/>
              </w:rPr>
              <w:t>strengthens central–local linkages but faces risks if delivery is prioritised over long-term institutional adoption and</w:t>
            </w:r>
            <w:r>
              <w:rPr>
                <w:sz w:val="18"/>
              </w:rPr>
              <w:t xml:space="preserve"> provincial ownership.</w:t>
            </w:r>
          </w:p>
        </w:tc>
      </w:tr>
      <w:tr w:rsidR="00BC24A8" w14:paraId="3308459F" w14:textId="77777777">
        <w:trPr>
          <w:trHeight w:val="1637"/>
        </w:trPr>
        <w:tc>
          <w:tcPr>
            <w:tcW w:w="458" w:type="dxa"/>
            <w:tcBorders>
              <w:top w:val="single" w:sz="18" w:space="0" w:color="D9D9D9"/>
              <w:left w:val="nil"/>
              <w:bottom w:val="single" w:sz="18" w:space="0" w:color="D9D9D9"/>
              <w:right w:val="single" w:sz="18" w:space="0" w:color="D9D9D9"/>
            </w:tcBorders>
          </w:tcPr>
          <w:p w14:paraId="5B360C6A" w14:textId="77777777" w:rsidR="00BC24A8" w:rsidRDefault="00000000">
            <w:pPr>
              <w:pStyle w:val="TableParagraph"/>
              <w:spacing w:before="82"/>
              <w:ind w:left="79"/>
              <w:rPr>
                <w:sz w:val="18"/>
              </w:rPr>
            </w:pPr>
            <w:r>
              <w:rPr>
                <w:spacing w:val="-10"/>
                <w:sz w:val="18"/>
              </w:rPr>
              <w:t>3</w:t>
            </w:r>
          </w:p>
        </w:tc>
        <w:tc>
          <w:tcPr>
            <w:tcW w:w="8611" w:type="dxa"/>
            <w:tcBorders>
              <w:top w:val="single" w:sz="18" w:space="0" w:color="D9D9D9"/>
              <w:left w:val="single" w:sz="18" w:space="0" w:color="D9D9D9"/>
              <w:bottom w:val="single" w:sz="18" w:space="0" w:color="D9D9D9"/>
              <w:right w:val="nil"/>
            </w:tcBorders>
          </w:tcPr>
          <w:p w14:paraId="438727A2" w14:textId="77777777" w:rsidR="00BC24A8" w:rsidRDefault="00000000">
            <w:pPr>
              <w:pStyle w:val="TableParagraph"/>
              <w:spacing w:before="82" w:line="268" w:lineRule="auto"/>
              <w:ind w:left="225" w:right="275" w:firstLine="40"/>
              <w:jc w:val="both"/>
              <w:rPr>
                <w:sz w:val="18"/>
              </w:rPr>
            </w:pPr>
            <w:r>
              <w:rPr>
                <w:sz w:val="18"/>
              </w:rPr>
              <w:t>Innovation-Oriented Partnerships:</w:t>
            </w:r>
            <w:r>
              <w:rPr>
                <w:spacing w:val="-1"/>
                <w:sz w:val="18"/>
              </w:rPr>
              <w:t xml:space="preserve"> </w:t>
            </w:r>
            <w:r>
              <w:rPr>
                <w:sz w:val="18"/>
              </w:rPr>
              <w:t>SKALA has piloted innovative approaches such as GEDSI-responsive fiscal incentives, the</w:t>
            </w:r>
            <w:r>
              <w:rPr>
                <w:spacing w:val="-1"/>
                <w:sz w:val="18"/>
              </w:rPr>
              <w:t xml:space="preserve"> </w:t>
            </w:r>
            <w:r>
              <w:rPr>
                <w:i/>
                <w:sz w:val="18"/>
              </w:rPr>
              <w:t>Beter with DJPK</w:t>
            </w:r>
            <w:r>
              <w:rPr>
                <w:i/>
                <w:spacing w:val="-1"/>
                <w:sz w:val="18"/>
              </w:rPr>
              <w:t xml:space="preserve"> </w:t>
            </w:r>
            <w:r>
              <w:rPr>
                <w:sz w:val="18"/>
              </w:rPr>
              <w:t>capacity-building tools, interoperability of planning systems, and the establishment</w:t>
            </w:r>
            <w:r>
              <w:rPr>
                <w:spacing w:val="-11"/>
                <w:sz w:val="18"/>
              </w:rPr>
              <w:t xml:space="preserve"> </w:t>
            </w:r>
            <w:r>
              <w:rPr>
                <w:sz w:val="18"/>
              </w:rPr>
              <w:t>of</w:t>
            </w:r>
            <w:r>
              <w:rPr>
                <w:spacing w:val="-10"/>
                <w:sz w:val="18"/>
              </w:rPr>
              <w:t xml:space="preserve"> </w:t>
            </w:r>
            <w:r>
              <w:rPr>
                <w:i/>
                <w:sz w:val="18"/>
              </w:rPr>
              <w:t>Forum</w:t>
            </w:r>
            <w:r>
              <w:rPr>
                <w:i/>
                <w:spacing w:val="-10"/>
                <w:sz w:val="18"/>
              </w:rPr>
              <w:t xml:space="preserve"> </w:t>
            </w:r>
            <w:r>
              <w:rPr>
                <w:i/>
                <w:sz w:val="18"/>
              </w:rPr>
              <w:t>Satu</w:t>
            </w:r>
            <w:r>
              <w:rPr>
                <w:i/>
                <w:spacing w:val="-10"/>
                <w:sz w:val="18"/>
              </w:rPr>
              <w:t xml:space="preserve"> </w:t>
            </w:r>
            <w:r>
              <w:rPr>
                <w:i/>
                <w:sz w:val="18"/>
              </w:rPr>
              <w:t>Data</w:t>
            </w:r>
            <w:r>
              <w:rPr>
                <w:i/>
                <w:spacing w:val="-7"/>
                <w:sz w:val="18"/>
              </w:rPr>
              <w:t xml:space="preserve"> </w:t>
            </w:r>
            <w:r>
              <w:rPr>
                <w:sz w:val="18"/>
              </w:rPr>
              <w:t>in</w:t>
            </w:r>
            <w:r>
              <w:rPr>
                <w:spacing w:val="-11"/>
                <w:sz w:val="18"/>
              </w:rPr>
              <w:t xml:space="preserve"> </w:t>
            </w:r>
            <w:r>
              <w:rPr>
                <w:sz w:val="18"/>
              </w:rPr>
              <w:t>five</w:t>
            </w:r>
            <w:r>
              <w:rPr>
                <w:spacing w:val="-10"/>
                <w:sz w:val="18"/>
              </w:rPr>
              <w:t xml:space="preserve"> </w:t>
            </w:r>
            <w:r>
              <w:rPr>
                <w:sz w:val="18"/>
              </w:rPr>
              <w:t>provinces.</w:t>
            </w:r>
            <w:r>
              <w:rPr>
                <w:spacing w:val="-10"/>
                <w:sz w:val="18"/>
              </w:rPr>
              <w:t xml:space="preserve"> </w:t>
            </w:r>
            <w:r>
              <w:rPr>
                <w:sz w:val="18"/>
              </w:rPr>
              <w:t>Collaboration</w:t>
            </w:r>
            <w:r>
              <w:rPr>
                <w:spacing w:val="-10"/>
                <w:sz w:val="18"/>
              </w:rPr>
              <w:t xml:space="preserve"> </w:t>
            </w:r>
            <w:r>
              <w:rPr>
                <w:sz w:val="18"/>
              </w:rPr>
              <w:t>with</w:t>
            </w:r>
            <w:r>
              <w:rPr>
                <w:spacing w:val="-10"/>
                <w:sz w:val="18"/>
              </w:rPr>
              <w:t xml:space="preserve"> </w:t>
            </w:r>
            <w:r>
              <w:rPr>
                <w:sz w:val="18"/>
              </w:rPr>
              <w:t>UN</w:t>
            </w:r>
            <w:r>
              <w:rPr>
                <w:spacing w:val="-11"/>
                <w:sz w:val="18"/>
              </w:rPr>
              <w:t xml:space="preserve"> </w:t>
            </w:r>
            <w:r>
              <w:rPr>
                <w:sz w:val="18"/>
              </w:rPr>
              <w:t>Global</w:t>
            </w:r>
            <w:r>
              <w:rPr>
                <w:spacing w:val="-10"/>
                <w:sz w:val="18"/>
              </w:rPr>
              <w:t xml:space="preserve"> </w:t>
            </w:r>
            <w:r>
              <w:rPr>
                <w:sz w:val="18"/>
              </w:rPr>
              <w:t>Pulse</w:t>
            </w:r>
            <w:r>
              <w:rPr>
                <w:spacing w:val="-10"/>
                <w:sz w:val="18"/>
              </w:rPr>
              <w:t xml:space="preserve"> </w:t>
            </w:r>
            <w:r>
              <w:rPr>
                <w:sz w:val="18"/>
              </w:rPr>
              <w:t>Asia</w:t>
            </w:r>
            <w:r>
              <w:rPr>
                <w:spacing w:val="-10"/>
                <w:sz w:val="18"/>
              </w:rPr>
              <w:t xml:space="preserve"> </w:t>
            </w:r>
            <w:r>
              <w:rPr>
                <w:sz w:val="18"/>
              </w:rPr>
              <w:t>Pacific</w:t>
            </w:r>
            <w:r>
              <w:rPr>
                <w:spacing w:val="-10"/>
                <w:sz w:val="18"/>
              </w:rPr>
              <w:t xml:space="preserve"> </w:t>
            </w:r>
            <w:r>
              <w:rPr>
                <w:sz w:val="18"/>
              </w:rPr>
              <w:t>also</w:t>
            </w:r>
            <w:r>
              <w:rPr>
                <w:spacing w:val="-10"/>
                <w:sz w:val="18"/>
              </w:rPr>
              <w:t xml:space="preserve"> </w:t>
            </w:r>
            <w:r>
              <w:rPr>
                <w:sz w:val="18"/>
              </w:rPr>
              <w:t>produced a study on the impact of sea level rise on basic services in NTB using data-driven vulnerability mapping. These initiatives strengthened collaboration among ministries, provinces, and CSOs, though scaling up and institutionalisation remain challenges during the 2024–2025 political transition.</w:t>
            </w:r>
          </w:p>
        </w:tc>
      </w:tr>
      <w:tr w:rsidR="00BC24A8" w14:paraId="74369DA1" w14:textId="77777777">
        <w:trPr>
          <w:trHeight w:val="1639"/>
        </w:trPr>
        <w:tc>
          <w:tcPr>
            <w:tcW w:w="458" w:type="dxa"/>
            <w:tcBorders>
              <w:top w:val="single" w:sz="18" w:space="0" w:color="D9D9D9"/>
              <w:left w:val="nil"/>
              <w:bottom w:val="single" w:sz="18" w:space="0" w:color="D9D9D9"/>
              <w:right w:val="single" w:sz="18" w:space="0" w:color="D9D9D9"/>
            </w:tcBorders>
          </w:tcPr>
          <w:p w14:paraId="5F63C172" w14:textId="77777777" w:rsidR="00BC24A8" w:rsidRDefault="00000000">
            <w:pPr>
              <w:pStyle w:val="TableParagraph"/>
              <w:spacing w:before="82"/>
              <w:ind w:left="79"/>
              <w:rPr>
                <w:sz w:val="18"/>
              </w:rPr>
            </w:pPr>
            <w:r>
              <w:rPr>
                <w:spacing w:val="-10"/>
                <w:sz w:val="18"/>
              </w:rPr>
              <w:t>4</w:t>
            </w:r>
          </w:p>
        </w:tc>
        <w:tc>
          <w:tcPr>
            <w:tcW w:w="8611" w:type="dxa"/>
            <w:tcBorders>
              <w:top w:val="single" w:sz="18" w:space="0" w:color="D9D9D9"/>
              <w:left w:val="single" w:sz="18" w:space="0" w:color="D9D9D9"/>
              <w:bottom w:val="single" w:sz="18" w:space="0" w:color="D9D9D9"/>
              <w:right w:val="nil"/>
            </w:tcBorders>
          </w:tcPr>
          <w:p w14:paraId="110126B5" w14:textId="77777777" w:rsidR="00BC24A8" w:rsidRDefault="00000000">
            <w:pPr>
              <w:pStyle w:val="TableParagraph"/>
              <w:spacing w:before="82" w:line="268" w:lineRule="auto"/>
              <w:ind w:left="225" w:right="275"/>
              <w:jc w:val="both"/>
              <w:rPr>
                <w:sz w:val="18"/>
              </w:rPr>
            </w:pPr>
            <w:r>
              <w:rPr>
                <w:spacing w:val="-2"/>
                <w:sz w:val="18"/>
              </w:rPr>
              <w:t>Accountability-Oriented Partnerships:</w:t>
            </w:r>
            <w:r>
              <w:rPr>
                <w:spacing w:val="14"/>
                <w:sz w:val="18"/>
              </w:rPr>
              <w:t xml:space="preserve"> </w:t>
            </w:r>
            <w:r>
              <w:rPr>
                <w:spacing w:val="-2"/>
                <w:sz w:val="18"/>
              </w:rPr>
              <w:t>Through its governance structure—comprising the SC, TC, Pokja, and PPC—</w:t>
            </w:r>
            <w:r>
              <w:rPr>
                <w:sz w:val="18"/>
              </w:rPr>
              <w:t xml:space="preserve"> and</w:t>
            </w:r>
            <w:r>
              <w:rPr>
                <w:spacing w:val="-5"/>
                <w:sz w:val="18"/>
              </w:rPr>
              <w:t xml:space="preserve"> </w:t>
            </w:r>
            <w:r>
              <w:rPr>
                <w:sz w:val="18"/>
              </w:rPr>
              <w:t>regular</w:t>
            </w:r>
            <w:r>
              <w:rPr>
                <w:spacing w:val="-5"/>
                <w:sz w:val="18"/>
              </w:rPr>
              <w:t xml:space="preserve"> </w:t>
            </w:r>
            <w:r>
              <w:rPr>
                <w:sz w:val="18"/>
              </w:rPr>
              <w:t>reporting</w:t>
            </w:r>
            <w:r>
              <w:rPr>
                <w:spacing w:val="-5"/>
                <w:sz w:val="18"/>
              </w:rPr>
              <w:t xml:space="preserve"> </w:t>
            </w:r>
            <w:r>
              <w:rPr>
                <w:sz w:val="18"/>
              </w:rPr>
              <w:t>cycles</w:t>
            </w:r>
            <w:r>
              <w:rPr>
                <w:spacing w:val="-5"/>
                <w:sz w:val="18"/>
              </w:rPr>
              <w:t xml:space="preserve"> </w:t>
            </w:r>
            <w:r>
              <w:rPr>
                <w:sz w:val="18"/>
              </w:rPr>
              <w:t>(BAST,</w:t>
            </w:r>
            <w:r>
              <w:rPr>
                <w:spacing w:val="-5"/>
                <w:sz w:val="18"/>
              </w:rPr>
              <w:t xml:space="preserve"> </w:t>
            </w:r>
            <w:r>
              <w:rPr>
                <w:sz w:val="18"/>
              </w:rPr>
              <w:t>VAT,</w:t>
            </w:r>
            <w:r>
              <w:rPr>
                <w:spacing w:val="-5"/>
                <w:sz w:val="18"/>
              </w:rPr>
              <w:t xml:space="preserve"> </w:t>
            </w:r>
            <w:r>
              <w:rPr>
                <w:sz w:val="18"/>
              </w:rPr>
              <w:t>PHLN,</w:t>
            </w:r>
            <w:r>
              <w:rPr>
                <w:spacing w:val="-5"/>
                <w:sz w:val="18"/>
              </w:rPr>
              <w:t xml:space="preserve"> </w:t>
            </w:r>
            <w:r>
              <w:rPr>
                <w:sz w:val="18"/>
              </w:rPr>
              <w:t>and</w:t>
            </w:r>
            <w:r>
              <w:rPr>
                <w:spacing w:val="-5"/>
                <w:sz w:val="18"/>
              </w:rPr>
              <w:t xml:space="preserve"> </w:t>
            </w:r>
            <w:r>
              <w:rPr>
                <w:sz w:val="18"/>
              </w:rPr>
              <w:t>six-monthly</w:t>
            </w:r>
            <w:r>
              <w:rPr>
                <w:spacing w:val="-5"/>
                <w:sz w:val="18"/>
              </w:rPr>
              <w:t xml:space="preserve"> </w:t>
            </w:r>
            <w:r>
              <w:rPr>
                <w:sz w:val="18"/>
              </w:rPr>
              <w:t>reports),</w:t>
            </w:r>
            <w:r>
              <w:rPr>
                <w:spacing w:val="-5"/>
                <w:sz w:val="18"/>
              </w:rPr>
              <w:t xml:space="preserve"> </w:t>
            </w:r>
            <w:r>
              <w:rPr>
                <w:sz w:val="18"/>
              </w:rPr>
              <w:t>SKALA</w:t>
            </w:r>
            <w:r>
              <w:rPr>
                <w:spacing w:val="-5"/>
                <w:sz w:val="18"/>
              </w:rPr>
              <w:t xml:space="preserve"> </w:t>
            </w:r>
            <w:r>
              <w:rPr>
                <w:sz w:val="18"/>
              </w:rPr>
              <w:t>has</w:t>
            </w:r>
            <w:r>
              <w:rPr>
                <w:spacing w:val="-5"/>
                <w:sz w:val="18"/>
              </w:rPr>
              <w:t xml:space="preserve"> </w:t>
            </w:r>
            <w:r>
              <w:rPr>
                <w:sz w:val="18"/>
              </w:rPr>
              <w:t>maintained</w:t>
            </w:r>
            <w:r>
              <w:rPr>
                <w:spacing w:val="-5"/>
                <w:sz w:val="18"/>
              </w:rPr>
              <w:t xml:space="preserve"> </w:t>
            </w:r>
            <w:r>
              <w:rPr>
                <w:sz w:val="18"/>
              </w:rPr>
              <w:t>compliance,</w:t>
            </w:r>
            <w:r>
              <w:rPr>
                <w:spacing w:val="-5"/>
                <w:sz w:val="18"/>
              </w:rPr>
              <w:t xml:space="preserve"> </w:t>
            </w:r>
            <w:r>
              <w:rPr>
                <w:sz w:val="18"/>
              </w:rPr>
              <w:t xml:space="preserve">role clarity, and alignment among DFAT, GoI, and provincial partners. Current forums focus on the AWP 2025–2026 adjustment process, ensuring transparency and mutual accountability. However, differing interpretations of accountability and limited provincial feedback loops highlight the need to strengthen vertical accountability </w:t>
            </w:r>
            <w:r>
              <w:rPr>
                <w:spacing w:val="-2"/>
                <w:sz w:val="18"/>
              </w:rPr>
              <w:t>mechanisms.</w:t>
            </w:r>
          </w:p>
        </w:tc>
      </w:tr>
    </w:tbl>
    <w:p w14:paraId="6E4A2C50" w14:textId="77777777" w:rsidR="00BC24A8" w:rsidRDefault="00BC24A8">
      <w:pPr>
        <w:pStyle w:val="TableParagraph"/>
        <w:spacing w:line="268" w:lineRule="auto"/>
        <w:jc w:val="both"/>
        <w:rPr>
          <w:sz w:val="18"/>
        </w:rPr>
        <w:sectPr w:rsidR="00BC24A8">
          <w:pgSz w:w="11910" w:h="16840"/>
          <w:pgMar w:top="1320" w:right="850" w:bottom="1100" w:left="1275" w:header="0" w:footer="907" w:gutter="0"/>
          <w:cols w:space="720"/>
        </w:sectPr>
      </w:pPr>
    </w:p>
    <w:p w14:paraId="2E92D899" w14:textId="77777777" w:rsidR="00BC24A8" w:rsidRDefault="00000000">
      <w:pPr>
        <w:spacing w:before="39"/>
        <w:ind w:left="143"/>
        <w:rPr>
          <w:rFonts w:ascii="Calibri"/>
          <w:b/>
        </w:rPr>
      </w:pPr>
      <w:bookmarkStart w:id="132" w:name="_bookmark87"/>
      <w:bookmarkEnd w:id="132"/>
      <w:r>
        <w:rPr>
          <w:rFonts w:ascii="Calibri"/>
          <w:b/>
          <w:color w:val="767070"/>
        </w:rPr>
        <w:lastRenderedPageBreak/>
        <w:t>Table</w:t>
      </w:r>
      <w:r>
        <w:rPr>
          <w:rFonts w:ascii="Calibri"/>
          <w:b/>
          <w:color w:val="767070"/>
          <w:spacing w:val="-15"/>
        </w:rPr>
        <w:t xml:space="preserve"> </w:t>
      </w:r>
      <w:r>
        <w:rPr>
          <w:rFonts w:ascii="Calibri"/>
          <w:b/>
          <w:color w:val="767070"/>
        </w:rPr>
        <w:t>7:</w:t>
      </w:r>
      <w:r>
        <w:rPr>
          <w:rFonts w:ascii="Calibri"/>
          <w:b/>
          <w:color w:val="767070"/>
          <w:spacing w:val="-12"/>
        </w:rPr>
        <w:t xml:space="preserve"> </w:t>
      </w:r>
      <w:r>
        <w:rPr>
          <w:rFonts w:ascii="Calibri"/>
          <w:b/>
          <w:color w:val="767070"/>
        </w:rPr>
        <w:t>Engagement</w:t>
      </w:r>
      <w:r>
        <w:rPr>
          <w:rFonts w:ascii="Calibri"/>
          <w:b/>
          <w:color w:val="767070"/>
          <w:spacing w:val="-13"/>
        </w:rPr>
        <w:t xml:space="preserve"> </w:t>
      </w:r>
      <w:r>
        <w:rPr>
          <w:rFonts w:ascii="Calibri"/>
          <w:b/>
          <w:color w:val="767070"/>
        </w:rPr>
        <w:t>with</w:t>
      </w:r>
      <w:r>
        <w:rPr>
          <w:rFonts w:ascii="Calibri"/>
          <w:b/>
          <w:color w:val="767070"/>
          <w:spacing w:val="-12"/>
        </w:rPr>
        <w:t xml:space="preserve"> </w:t>
      </w:r>
      <w:r>
        <w:rPr>
          <w:rFonts w:ascii="Calibri"/>
          <w:b/>
          <w:color w:val="767070"/>
        </w:rPr>
        <w:t>other</w:t>
      </w:r>
      <w:r>
        <w:rPr>
          <w:rFonts w:ascii="Calibri"/>
          <w:b/>
          <w:color w:val="767070"/>
          <w:spacing w:val="-13"/>
        </w:rPr>
        <w:t xml:space="preserve"> </w:t>
      </w:r>
      <w:r>
        <w:rPr>
          <w:rFonts w:ascii="Calibri"/>
          <w:b/>
          <w:color w:val="767070"/>
        </w:rPr>
        <w:t>DFAT</w:t>
      </w:r>
      <w:r>
        <w:rPr>
          <w:rFonts w:ascii="Calibri"/>
          <w:b/>
          <w:color w:val="767070"/>
          <w:spacing w:val="-12"/>
        </w:rPr>
        <w:t xml:space="preserve"> </w:t>
      </w:r>
      <w:r>
        <w:rPr>
          <w:rFonts w:ascii="Calibri"/>
          <w:b/>
          <w:color w:val="767070"/>
        </w:rPr>
        <w:t>programs,</w:t>
      </w:r>
      <w:r>
        <w:rPr>
          <w:rFonts w:ascii="Calibri"/>
          <w:b/>
          <w:color w:val="767070"/>
          <w:spacing w:val="-11"/>
        </w:rPr>
        <w:t xml:space="preserve"> </w:t>
      </w:r>
      <w:r>
        <w:rPr>
          <w:rFonts w:ascii="Calibri"/>
          <w:b/>
          <w:color w:val="767070"/>
        </w:rPr>
        <w:t>other</w:t>
      </w:r>
      <w:r>
        <w:rPr>
          <w:rFonts w:ascii="Calibri"/>
          <w:b/>
          <w:color w:val="767070"/>
          <w:spacing w:val="-11"/>
        </w:rPr>
        <w:t xml:space="preserve"> </w:t>
      </w:r>
      <w:r>
        <w:rPr>
          <w:rFonts w:ascii="Calibri"/>
          <w:b/>
          <w:color w:val="767070"/>
        </w:rPr>
        <w:t>development</w:t>
      </w:r>
      <w:r>
        <w:rPr>
          <w:rFonts w:ascii="Calibri"/>
          <w:b/>
          <w:color w:val="767070"/>
          <w:spacing w:val="-12"/>
        </w:rPr>
        <w:t xml:space="preserve"> </w:t>
      </w:r>
      <w:r>
        <w:rPr>
          <w:rFonts w:ascii="Calibri"/>
          <w:b/>
          <w:color w:val="767070"/>
        </w:rPr>
        <w:t>partners,</w:t>
      </w:r>
      <w:r>
        <w:rPr>
          <w:rFonts w:ascii="Calibri"/>
          <w:b/>
          <w:color w:val="767070"/>
          <w:spacing w:val="-11"/>
        </w:rPr>
        <w:t xml:space="preserve"> </w:t>
      </w:r>
      <w:r>
        <w:rPr>
          <w:rFonts w:ascii="Calibri"/>
          <w:b/>
          <w:color w:val="767070"/>
        </w:rPr>
        <w:t>private</w:t>
      </w:r>
      <w:r>
        <w:rPr>
          <w:rFonts w:ascii="Calibri"/>
          <w:b/>
          <w:color w:val="767070"/>
          <w:spacing w:val="-12"/>
        </w:rPr>
        <w:t xml:space="preserve"> </w:t>
      </w:r>
      <w:r>
        <w:rPr>
          <w:rFonts w:ascii="Calibri"/>
          <w:b/>
          <w:color w:val="767070"/>
          <w:spacing w:val="-2"/>
        </w:rPr>
        <w:t>sector</w:t>
      </w:r>
    </w:p>
    <w:p w14:paraId="528C2FD6" w14:textId="77777777" w:rsidR="00BC24A8" w:rsidRDefault="00BC24A8">
      <w:pPr>
        <w:pStyle w:val="BodyText"/>
        <w:spacing w:before="7" w:after="1"/>
        <w:rPr>
          <w:rFonts w:ascii="Calibri"/>
          <w:b/>
          <w:sz w:val="14"/>
        </w:rPr>
      </w:pPr>
    </w:p>
    <w:tbl>
      <w:tblPr>
        <w:tblW w:w="0" w:type="auto"/>
        <w:tblInd w:w="150" w:type="dxa"/>
        <w:tblLayout w:type="fixed"/>
        <w:tblCellMar>
          <w:left w:w="0" w:type="dxa"/>
          <w:right w:w="0" w:type="dxa"/>
        </w:tblCellMar>
        <w:tblLook w:val="01E0" w:firstRow="1" w:lastRow="1" w:firstColumn="1" w:lastColumn="1" w:noHBand="0" w:noVBand="0"/>
      </w:tblPr>
      <w:tblGrid>
        <w:gridCol w:w="1620"/>
        <w:gridCol w:w="1559"/>
        <w:gridCol w:w="3466"/>
        <w:gridCol w:w="2356"/>
      </w:tblGrid>
      <w:tr w:rsidR="00BC24A8" w14:paraId="6C473555" w14:textId="77777777">
        <w:trPr>
          <w:trHeight w:val="724"/>
        </w:trPr>
        <w:tc>
          <w:tcPr>
            <w:tcW w:w="1620" w:type="dxa"/>
            <w:tcBorders>
              <w:right w:val="single" w:sz="18" w:space="0" w:color="FFFFFF"/>
            </w:tcBorders>
            <w:shd w:val="clear" w:color="auto" w:fill="17365A"/>
          </w:tcPr>
          <w:p w14:paraId="6713FECE" w14:textId="77777777" w:rsidR="00BC24A8" w:rsidRDefault="00000000">
            <w:pPr>
              <w:pStyle w:val="TableParagraph"/>
              <w:spacing w:before="1"/>
              <w:ind w:left="23" w:right="22"/>
              <w:jc w:val="center"/>
              <w:rPr>
                <w:rFonts w:ascii="Calibri"/>
                <w:b/>
                <w:sz w:val="20"/>
              </w:rPr>
            </w:pPr>
            <w:r>
              <w:rPr>
                <w:rFonts w:ascii="Calibri"/>
                <w:b/>
                <w:color w:val="FFFFFF"/>
                <w:sz w:val="20"/>
              </w:rPr>
              <w:t>Partner</w:t>
            </w:r>
            <w:r>
              <w:rPr>
                <w:rFonts w:ascii="Calibri"/>
                <w:b/>
                <w:color w:val="FFFFFF"/>
                <w:spacing w:val="-9"/>
                <w:sz w:val="20"/>
              </w:rPr>
              <w:t xml:space="preserve"> </w:t>
            </w:r>
            <w:r>
              <w:rPr>
                <w:rFonts w:ascii="Calibri"/>
                <w:b/>
                <w:color w:val="FFFFFF"/>
                <w:spacing w:val="-2"/>
                <w:sz w:val="20"/>
              </w:rPr>
              <w:t>program/</w:t>
            </w:r>
          </w:p>
          <w:p w14:paraId="05230B6B" w14:textId="77777777" w:rsidR="00BC24A8" w:rsidRDefault="00000000">
            <w:pPr>
              <w:pStyle w:val="TableParagraph"/>
              <w:spacing w:before="37"/>
              <w:ind w:left="22" w:right="22"/>
              <w:jc w:val="center"/>
              <w:rPr>
                <w:rFonts w:ascii="Calibri"/>
                <w:b/>
                <w:sz w:val="20"/>
              </w:rPr>
            </w:pPr>
            <w:r>
              <w:rPr>
                <w:rFonts w:ascii="Calibri"/>
                <w:b/>
                <w:color w:val="FFFFFF"/>
                <w:spacing w:val="-2"/>
                <w:sz w:val="20"/>
              </w:rPr>
              <w:t>organisation</w:t>
            </w:r>
          </w:p>
        </w:tc>
        <w:tc>
          <w:tcPr>
            <w:tcW w:w="1559" w:type="dxa"/>
            <w:tcBorders>
              <w:left w:val="single" w:sz="18" w:space="0" w:color="FFFFFF"/>
              <w:right w:val="single" w:sz="24" w:space="0" w:color="FFFFFF"/>
            </w:tcBorders>
            <w:shd w:val="clear" w:color="auto" w:fill="17365A"/>
          </w:tcPr>
          <w:p w14:paraId="2C79AE89" w14:textId="77777777" w:rsidR="00BC24A8" w:rsidRDefault="00000000">
            <w:pPr>
              <w:pStyle w:val="TableParagraph"/>
              <w:spacing w:before="140"/>
              <w:ind w:left="140"/>
              <w:rPr>
                <w:rFonts w:ascii="Calibri"/>
                <w:b/>
                <w:sz w:val="20"/>
              </w:rPr>
            </w:pPr>
            <w:r>
              <w:rPr>
                <w:rFonts w:ascii="Calibri"/>
                <w:b/>
                <w:color w:val="FFFFFF"/>
                <w:spacing w:val="-2"/>
                <w:sz w:val="20"/>
              </w:rPr>
              <w:t>Location/focus</w:t>
            </w:r>
          </w:p>
        </w:tc>
        <w:tc>
          <w:tcPr>
            <w:tcW w:w="3466" w:type="dxa"/>
            <w:tcBorders>
              <w:left w:val="single" w:sz="24" w:space="0" w:color="FFFFFF"/>
              <w:right w:val="single" w:sz="24" w:space="0" w:color="FFFFFF"/>
            </w:tcBorders>
            <w:shd w:val="clear" w:color="auto" w:fill="17365A"/>
          </w:tcPr>
          <w:p w14:paraId="53298D1E" w14:textId="77777777" w:rsidR="00BC24A8" w:rsidRDefault="00000000">
            <w:pPr>
              <w:pStyle w:val="TableParagraph"/>
              <w:spacing w:before="140"/>
              <w:ind w:left="794"/>
              <w:rPr>
                <w:rFonts w:ascii="Calibri"/>
                <w:b/>
                <w:sz w:val="20"/>
              </w:rPr>
            </w:pPr>
            <w:r>
              <w:rPr>
                <w:rFonts w:ascii="Calibri"/>
                <w:b/>
                <w:color w:val="FFFFFF"/>
                <w:sz w:val="20"/>
              </w:rPr>
              <w:t>What</w:t>
            </w:r>
            <w:r>
              <w:rPr>
                <w:rFonts w:ascii="Calibri"/>
                <w:b/>
                <w:color w:val="FFFFFF"/>
                <w:spacing w:val="-6"/>
                <w:sz w:val="20"/>
              </w:rPr>
              <w:t xml:space="preserve"> </w:t>
            </w:r>
            <w:r>
              <w:rPr>
                <w:rFonts w:ascii="Calibri"/>
                <w:b/>
                <w:color w:val="FFFFFF"/>
                <w:sz w:val="20"/>
              </w:rPr>
              <w:t>we</w:t>
            </w:r>
            <w:r>
              <w:rPr>
                <w:rFonts w:ascii="Calibri"/>
                <w:b/>
                <w:color w:val="FFFFFF"/>
                <w:spacing w:val="-5"/>
                <w:sz w:val="20"/>
              </w:rPr>
              <w:t xml:space="preserve"> </w:t>
            </w:r>
            <w:r>
              <w:rPr>
                <w:rFonts w:ascii="Calibri"/>
                <w:b/>
                <w:color w:val="FFFFFF"/>
                <w:sz w:val="20"/>
              </w:rPr>
              <w:t>did</w:t>
            </w:r>
            <w:r>
              <w:rPr>
                <w:rFonts w:ascii="Calibri"/>
                <w:b/>
                <w:color w:val="FFFFFF"/>
                <w:spacing w:val="-4"/>
                <w:sz w:val="20"/>
              </w:rPr>
              <w:t xml:space="preserve"> </w:t>
            </w:r>
            <w:r>
              <w:rPr>
                <w:rFonts w:ascii="Calibri"/>
                <w:b/>
                <w:color w:val="FFFFFF"/>
                <w:spacing w:val="-2"/>
                <w:sz w:val="20"/>
              </w:rPr>
              <w:t>together</w:t>
            </w:r>
          </w:p>
        </w:tc>
        <w:tc>
          <w:tcPr>
            <w:tcW w:w="2356" w:type="dxa"/>
            <w:tcBorders>
              <w:left w:val="single" w:sz="24" w:space="0" w:color="FFFFFF"/>
            </w:tcBorders>
            <w:shd w:val="clear" w:color="auto" w:fill="17365A"/>
          </w:tcPr>
          <w:p w14:paraId="7C179F72" w14:textId="77777777" w:rsidR="00BC24A8" w:rsidRDefault="00000000">
            <w:pPr>
              <w:pStyle w:val="TableParagraph"/>
              <w:spacing w:before="1"/>
              <w:ind w:right="6"/>
              <w:jc w:val="center"/>
              <w:rPr>
                <w:rFonts w:ascii="Calibri"/>
                <w:b/>
                <w:sz w:val="20"/>
              </w:rPr>
            </w:pPr>
            <w:r>
              <w:rPr>
                <w:rFonts w:ascii="Calibri"/>
                <w:b/>
                <w:color w:val="FFFFFF"/>
                <w:spacing w:val="-2"/>
                <w:sz w:val="20"/>
              </w:rPr>
              <w:t>Result/evidence</w:t>
            </w:r>
            <w:r>
              <w:rPr>
                <w:rFonts w:ascii="Calibri"/>
                <w:b/>
                <w:color w:val="FFFFFF"/>
                <w:spacing w:val="7"/>
                <w:sz w:val="20"/>
              </w:rPr>
              <w:t xml:space="preserve"> </w:t>
            </w:r>
            <w:r>
              <w:rPr>
                <w:rFonts w:ascii="Calibri"/>
                <w:b/>
                <w:color w:val="FFFFFF"/>
                <w:spacing w:val="-4"/>
                <w:sz w:val="20"/>
              </w:rPr>
              <w:t>this</w:t>
            </w:r>
          </w:p>
          <w:p w14:paraId="314CD9AB" w14:textId="77777777" w:rsidR="00BC24A8" w:rsidRDefault="00000000">
            <w:pPr>
              <w:pStyle w:val="TableParagraph"/>
              <w:spacing w:before="37"/>
              <w:ind w:left="1" w:right="6"/>
              <w:jc w:val="center"/>
              <w:rPr>
                <w:rFonts w:ascii="Calibri"/>
                <w:b/>
                <w:sz w:val="20"/>
              </w:rPr>
            </w:pPr>
            <w:r>
              <w:rPr>
                <w:rFonts w:ascii="Calibri"/>
                <w:b/>
                <w:color w:val="FFFFFF"/>
                <w:spacing w:val="-2"/>
                <w:sz w:val="20"/>
              </w:rPr>
              <w:t>period</w:t>
            </w:r>
          </w:p>
        </w:tc>
      </w:tr>
      <w:tr w:rsidR="00BC24A8" w14:paraId="6565CD0A" w14:textId="77777777">
        <w:trPr>
          <w:trHeight w:val="923"/>
        </w:trPr>
        <w:tc>
          <w:tcPr>
            <w:tcW w:w="1620" w:type="dxa"/>
            <w:tcBorders>
              <w:bottom w:val="single" w:sz="18" w:space="0" w:color="D9D9D9"/>
            </w:tcBorders>
          </w:tcPr>
          <w:p w14:paraId="02D5F146" w14:textId="77777777" w:rsidR="00BC24A8" w:rsidRDefault="00000000">
            <w:pPr>
              <w:pStyle w:val="TableParagraph"/>
              <w:spacing w:before="1" w:line="278" w:lineRule="auto"/>
              <w:ind w:right="55"/>
              <w:rPr>
                <w:sz w:val="18"/>
              </w:rPr>
            </w:pPr>
            <w:r>
              <w:rPr>
                <w:spacing w:val="-2"/>
                <w:sz w:val="18"/>
              </w:rPr>
              <w:t>INKLUSI</w:t>
            </w:r>
            <w:r>
              <w:rPr>
                <w:spacing w:val="-9"/>
                <w:sz w:val="18"/>
              </w:rPr>
              <w:t xml:space="preserve"> </w:t>
            </w:r>
            <w:r>
              <w:rPr>
                <w:spacing w:val="-2"/>
                <w:sz w:val="18"/>
              </w:rPr>
              <w:t>&amp;</w:t>
            </w:r>
            <w:r>
              <w:rPr>
                <w:spacing w:val="-8"/>
                <w:sz w:val="18"/>
              </w:rPr>
              <w:t xml:space="preserve"> </w:t>
            </w:r>
            <w:r>
              <w:rPr>
                <w:spacing w:val="-2"/>
                <w:sz w:val="18"/>
              </w:rPr>
              <w:t>AIPJ2</w:t>
            </w:r>
            <w:r>
              <w:rPr>
                <w:sz w:val="18"/>
              </w:rPr>
              <w:t xml:space="preserve"> </w:t>
            </w:r>
            <w:r>
              <w:rPr>
                <w:spacing w:val="-2"/>
                <w:sz w:val="18"/>
              </w:rPr>
              <w:t>(DFAT)</w:t>
            </w:r>
          </w:p>
        </w:tc>
        <w:tc>
          <w:tcPr>
            <w:tcW w:w="1559" w:type="dxa"/>
            <w:tcBorders>
              <w:bottom w:val="single" w:sz="18" w:space="0" w:color="D9D9D9"/>
            </w:tcBorders>
          </w:tcPr>
          <w:p w14:paraId="6495B36A" w14:textId="77777777" w:rsidR="00BC24A8" w:rsidRDefault="00000000">
            <w:pPr>
              <w:pStyle w:val="TableParagraph"/>
              <w:spacing w:before="1" w:line="278" w:lineRule="auto"/>
              <w:ind w:left="-1"/>
              <w:rPr>
                <w:sz w:val="18"/>
              </w:rPr>
            </w:pPr>
            <w:r>
              <w:rPr>
                <w:spacing w:val="-2"/>
                <w:sz w:val="18"/>
              </w:rPr>
              <w:t>Aceh</w:t>
            </w:r>
            <w:r>
              <w:rPr>
                <w:spacing w:val="-9"/>
                <w:sz w:val="18"/>
              </w:rPr>
              <w:t xml:space="preserve"> </w:t>
            </w:r>
            <w:r>
              <w:rPr>
                <w:spacing w:val="-2"/>
                <w:sz w:val="18"/>
              </w:rPr>
              <w:t>–</w:t>
            </w:r>
            <w:r>
              <w:rPr>
                <w:spacing w:val="-8"/>
                <w:sz w:val="18"/>
              </w:rPr>
              <w:t xml:space="preserve"> </w:t>
            </w:r>
            <w:r>
              <w:rPr>
                <w:spacing w:val="-2"/>
                <w:sz w:val="18"/>
              </w:rPr>
              <w:t>Women’s</w:t>
            </w:r>
            <w:r>
              <w:rPr>
                <w:sz w:val="18"/>
              </w:rPr>
              <w:t xml:space="preserve"> </w:t>
            </w:r>
            <w:r>
              <w:rPr>
                <w:spacing w:val="-2"/>
                <w:sz w:val="18"/>
              </w:rPr>
              <w:t>protection</w:t>
            </w:r>
          </w:p>
        </w:tc>
        <w:tc>
          <w:tcPr>
            <w:tcW w:w="3466" w:type="dxa"/>
            <w:tcBorders>
              <w:bottom w:val="single" w:sz="18" w:space="0" w:color="D9D9D9"/>
            </w:tcBorders>
          </w:tcPr>
          <w:p w14:paraId="5E10D10F" w14:textId="77777777" w:rsidR="00BC24A8" w:rsidRDefault="00000000">
            <w:pPr>
              <w:pStyle w:val="TableParagraph"/>
              <w:spacing w:before="1" w:line="278" w:lineRule="auto"/>
              <w:rPr>
                <w:sz w:val="18"/>
              </w:rPr>
            </w:pPr>
            <w:r>
              <w:rPr>
                <w:sz w:val="18"/>
              </w:rPr>
              <w:t>Joint</w:t>
            </w:r>
            <w:r>
              <w:rPr>
                <w:spacing w:val="-11"/>
                <w:sz w:val="18"/>
              </w:rPr>
              <w:t xml:space="preserve"> </w:t>
            </w:r>
            <w:r>
              <w:rPr>
                <w:sz w:val="18"/>
              </w:rPr>
              <w:t>technical/process</w:t>
            </w:r>
            <w:r>
              <w:rPr>
                <w:spacing w:val="-10"/>
                <w:sz w:val="18"/>
              </w:rPr>
              <w:t xml:space="preserve"> </w:t>
            </w:r>
            <w:r>
              <w:rPr>
                <w:sz w:val="18"/>
              </w:rPr>
              <w:t>assistance</w:t>
            </w:r>
            <w:r>
              <w:rPr>
                <w:spacing w:val="-10"/>
                <w:sz w:val="18"/>
              </w:rPr>
              <w:t xml:space="preserve"> </w:t>
            </w:r>
            <w:r>
              <w:rPr>
                <w:sz w:val="18"/>
              </w:rPr>
              <w:t>to</w:t>
            </w:r>
            <w:r>
              <w:rPr>
                <w:spacing w:val="-10"/>
                <w:sz w:val="18"/>
              </w:rPr>
              <w:t xml:space="preserve"> </w:t>
            </w:r>
            <w:r>
              <w:rPr>
                <w:sz w:val="18"/>
              </w:rPr>
              <w:t>draft</w:t>
            </w:r>
            <w:r>
              <w:rPr>
                <w:spacing w:val="-10"/>
                <w:sz w:val="18"/>
              </w:rPr>
              <w:t xml:space="preserve"> </w:t>
            </w:r>
            <w:r>
              <w:rPr>
                <w:sz w:val="18"/>
              </w:rPr>
              <w:t xml:space="preserve">and pass the Qanun on Protection of Women’s </w:t>
            </w:r>
            <w:r>
              <w:rPr>
                <w:spacing w:val="-2"/>
                <w:sz w:val="18"/>
              </w:rPr>
              <w:t>Rights.</w:t>
            </w:r>
          </w:p>
        </w:tc>
        <w:tc>
          <w:tcPr>
            <w:tcW w:w="2356" w:type="dxa"/>
            <w:tcBorders>
              <w:bottom w:val="single" w:sz="18" w:space="0" w:color="D9D9D9"/>
            </w:tcBorders>
          </w:tcPr>
          <w:p w14:paraId="46311E57" w14:textId="77777777" w:rsidR="00BC24A8" w:rsidRDefault="00000000">
            <w:pPr>
              <w:pStyle w:val="TableParagraph"/>
              <w:spacing w:before="1" w:line="278" w:lineRule="auto"/>
              <w:ind w:right="295"/>
              <w:rPr>
                <w:sz w:val="18"/>
              </w:rPr>
            </w:pPr>
            <w:r>
              <w:rPr>
                <w:sz w:val="18"/>
              </w:rPr>
              <w:t>Qanun</w:t>
            </w:r>
            <w:r>
              <w:rPr>
                <w:spacing w:val="-11"/>
                <w:sz w:val="18"/>
              </w:rPr>
              <w:t xml:space="preserve"> </w:t>
            </w:r>
            <w:r>
              <w:rPr>
                <w:sz w:val="18"/>
              </w:rPr>
              <w:t>enacted;</w:t>
            </w:r>
            <w:r>
              <w:rPr>
                <w:spacing w:val="-10"/>
                <w:sz w:val="18"/>
              </w:rPr>
              <w:t xml:space="preserve"> </w:t>
            </w:r>
            <w:r>
              <w:rPr>
                <w:sz w:val="18"/>
              </w:rPr>
              <w:t>strengthens gender mainstreaming and women’s protection.</w:t>
            </w:r>
          </w:p>
        </w:tc>
      </w:tr>
      <w:tr w:rsidR="00BC24A8" w14:paraId="6D2FB70D" w14:textId="77777777">
        <w:trPr>
          <w:trHeight w:val="256"/>
        </w:trPr>
        <w:tc>
          <w:tcPr>
            <w:tcW w:w="1620" w:type="dxa"/>
            <w:tcBorders>
              <w:top w:val="single" w:sz="18" w:space="0" w:color="D9D9D9"/>
            </w:tcBorders>
          </w:tcPr>
          <w:p w14:paraId="0D77E5E2" w14:textId="77777777" w:rsidR="00BC24A8" w:rsidRDefault="00000000">
            <w:pPr>
              <w:pStyle w:val="TableParagraph"/>
              <w:spacing w:before="3"/>
              <w:rPr>
                <w:sz w:val="18"/>
              </w:rPr>
            </w:pPr>
            <w:r>
              <w:rPr>
                <w:sz w:val="18"/>
              </w:rPr>
              <w:t>INKLUSI</w:t>
            </w:r>
            <w:r>
              <w:rPr>
                <w:spacing w:val="-6"/>
                <w:sz w:val="18"/>
              </w:rPr>
              <w:t xml:space="preserve"> </w:t>
            </w:r>
            <w:r>
              <w:rPr>
                <w:spacing w:val="-2"/>
                <w:sz w:val="18"/>
              </w:rPr>
              <w:t>(DFAT)</w:t>
            </w:r>
          </w:p>
        </w:tc>
        <w:tc>
          <w:tcPr>
            <w:tcW w:w="1559" w:type="dxa"/>
            <w:tcBorders>
              <w:top w:val="single" w:sz="18" w:space="0" w:color="D9D9D9"/>
            </w:tcBorders>
          </w:tcPr>
          <w:p w14:paraId="4BBABC22" w14:textId="77777777" w:rsidR="00BC24A8" w:rsidRDefault="00000000">
            <w:pPr>
              <w:pStyle w:val="TableParagraph"/>
              <w:spacing w:before="3"/>
              <w:ind w:left="-1"/>
              <w:rPr>
                <w:sz w:val="18"/>
              </w:rPr>
            </w:pPr>
            <w:r>
              <w:rPr>
                <w:sz w:val="18"/>
              </w:rPr>
              <w:t>NTT</w:t>
            </w:r>
            <w:r>
              <w:rPr>
                <w:spacing w:val="-3"/>
                <w:sz w:val="18"/>
              </w:rPr>
              <w:t xml:space="preserve"> </w:t>
            </w:r>
            <w:r>
              <w:rPr>
                <w:sz w:val="18"/>
              </w:rPr>
              <w:t xml:space="preserve">– </w:t>
            </w:r>
            <w:r>
              <w:rPr>
                <w:spacing w:val="-2"/>
                <w:sz w:val="18"/>
              </w:rPr>
              <w:t>Disability</w:t>
            </w:r>
          </w:p>
        </w:tc>
        <w:tc>
          <w:tcPr>
            <w:tcW w:w="3466" w:type="dxa"/>
            <w:tcBorders>
              <w:top w:val="single" w:sz="18" w:space="0" w:color="D9D9D9"/>
            </w:tcBorders>
          </w:tcPr>
          <w:p w14:paraId="55D0448F" w14:textId="77777777" w:rsidR="00BC24A8" w:rsidRDefault="00000000">
            <w:pPr>
              <w:pStyle w:val="TableParagraph"/>
              <w:spacing w:before="3"/>
              <w:rPr>
                <w:sz w:val="18"/>
              </w:rPr>
            </w:pPr>
            <w:r>
              <w:rPr>
                <w:sz w:val="18"/>
              </w:rPr>
              <w:t>Co-led</w:t>
            </w:r>
            <w:r>
              <w:rPr>
                <w:spacing w:val="-4"/>
                <w:sz w:val="18"/>
              </w:rPr>
              <w:t xml:space="preserve"> </w:t>
            </w:r>
            <w:r>
              <w:rPr>
                <w:sz w:val="18"/>
              </w:rPr>
              <w:t>development</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Provincial</w:t>
            </w:r>
            <w:r>
              <w:rPr>
                <w:spacing w:val="-3"/>
                <w:sz w:val="18"/>
              </w:rPr>
              <w:t xml:space="preserve"> </w:t>
            </w:r>
            <w:r>
              <w:rPr>
                <w:sz w:val="18"/>
              </w:rPr>
              <w:t>RAD</w:t>
            </w:r>
            <w:r>
              <w:rPr>
                <w:spacing w:val="-2"/>
                <w:sz w:val="18"/>
              </w:rPr>
              <w:t xml:space="preserve"> </w:t>
            </w:r>
            <w:r>
              <w:rPr>
                <w:spacing w:val="-5"/>
                <w:sz w:val="18"/>
              </w:rPr>
              <w:t>PD</w:t>
            </w:r>
          </w:p>
        </w:tc>
        <w:tc>
          <w:tcPr>
            <w:tcW w:w="2356" w:type="dxa"/>
            <w:tcBorders>
              <w:top w:val="single" w:sz="18" w:space="0" w:color="D9D9D9"/>
            </w:tcBorders>
          </w:tcPr>
          <w:p w14:paraId="31E3047B" w14:textId="77777777" w:rsidR="00BC24A8" w:rsidRDefault="00000000">
            <w:pPr>
              <w:pStyle w:val="TableParagraph"/>
              <w:spacing w:before="3"/>
              <w:rPr>
                <w:sz w:val="18"/>
              </w:rPr>
            </w:pPr>
            <w:r>
              <w:rPr>
                <w:sz w:val="18"/>
              </w:rPr>
              <w:t>RAD</w:t>
            </w:r>
            <w:r>
              <w:rPr>
                <w:spacing w:val="-2"/>
                <w:sz w:val="18"/>
              </w:rPr>
              <w:t xml:space="preserve"> </w:t>
            </w:r>
            <w:r>
              <w:rPr>
                <w:sz w:val="18"/>
              </w:rPr>
              <w:t>PD</w:t>
            </w:r>
            <w:r>
              <w:rPr>
                <w:spacing w:val="-1"/>
                <w:sz w:val="18"/>
              </w:rPr>
              <w:t xml:space="preserve"> </w:t>
            </w:r>
            <w:r>
              <w:rPr>
                <w:sz w:val="18"/>
              </w:rPr>
              <w:t>completed;</w:t>
            </w:r>
            <w:r>
              <w:rPr>
                <w:spacing w:val="-3"/>
                <w:sz w:val="18"/>
              </w:rPr>
              <w:t xml:space="preserve"> </w:t>
            </w:r>
            <w:r>
              <w:rPr>
                <w:sz w:val="18"/>
              </w:rPr>
              <w:t>one</w:t>
            </w:r>
            <w:r>
              <w:rPr>
                <w:spacing w:val="-2"/>
                <w:sz w:val="18"/>
              </w:rPr>
              <w:t xml:space="preserve"> </w:t>
            </w:r>
            <w:r>
              <w:rPr>
                <w:sz w:val="18"/>
              </w:rPr>
              <w:t>of</w:t>
            </w:r>
            <w:r>
              <w:rPr>
                <w:spacing w:val="-3"/>
                <w:sz w:val="18"/>
              </w:rPr>
              <w:t xml:space="preserve"> </w:t>
            </w:r>
            <w:r>
              <w:rPr>
                <w:spacing w:val="-4"/>
                <w:sz w:val="18"/>
              </w:rPr>
              <w:t>only</w:t>
            </w:r>
          </w:p>
        </w:tc>
      </w:tr>
      <w:tr w:rsidR="00BC24A8" w14:paraId="0837212C" w14:textId="77777777">
        <w:trPr>
          <w:trHeight w:val="254"/>
        </w:trPr>
        <w:tc>
          <w:tcPr>
            <w:tcW w:w="1620" w:type="dxa"/>
          </w:tcPr>
          <w:p w14:paraId="5A8E5BCB" w14:textId="77777777" w:rsidR="00BC24A8" w:rsidRDefault="00BC24A8">
            <w:pPr>
              <w:pStyle w:val="TableParagraph"/>
              <w:rPr>
                <w:rFonts w:ascii="Times New Roman"/>
                <w:sz w:val="18"/>
              </w:rPr>
            </w:pPr>
          </w:p>
        </w:tc>
        <w:tc>
          <w:tcPr>
            <w:tcW w:w="1559" w:type="dxa"/>
          </w:tcPr>
          <w:p w14:paraId="22644E25" w14:textId="77777777" w:rsidR="00BC24A8" w:rsidRDefault="00000000">
            <w:pPr>
              <w:pStyle w:val="TableParagraph"/>
              <w:spacing w:before="1"/>
              <w:ind w:left="-1"/>
              <w:rPr>
                <w:sz w:val="18"/>
              </w:rPr>
            </w:pPr>
            <w:r>
              <w:rPr>
                <w:spacing w:val="-2"/>
                <w:sz w:val="18"/>
              </w:rPr>
              <w:t>inclusion</w:t>
            </w:r>
          </w:p>
        </w:tc>
        <w:tc>
          <w:tcPr>
            <w:tcW w:w="3466" w:type="dxa"/>
          </w:tcPr>
          <w:p w14:paraId="7D169B48" w14:textId="77777777" w:rsidR="00BC24A8" w:rsidRDefault="00000000">
            <w:pPr>
              <w:pStyle w:val="TableParagraph"/>
              <w:spacing w:before="1"/>
              <w:rPr>
                <w:sz w:val="18"/>
              </w:rPr>
            </w:pPr>
            <w:r>
              <w:rPr>
                <w:sz w:val="18"/>
              </w:rPr>
              <w:t>2024–2026;</w:t>
            </w:r>
            <w:r>
              <w:rPr>
                <w:spacing w:val="-5"/>
                <w:sz w:val="18"/>
              </w:rPr>
              <w:t xml:space="preserve"> </w:t>
            </w:r>
            <w:r>
              <w:rPr>
                <w:sz w:val="18"/>
              </w:rPr>
              <w:t>SKALA</w:t>
            </w:r>
            <w:r>
              <w:rPr>
                <w:spacing w:val="-6"/>
                <w:sz w:val="18"/>
              </w:rPr>
              <w:t xml:space="preserve"> </w:t>
            </w:r>
            <w:r>
              <w:rPr>
                <w:sz w:val="18"/>
              </w:rPr>
              <w:t>provided</w:t>
            </w:r>
            <w:r>
              <w:rPr>
                <w:spacing w:val="-4"/>
                <w:sz w:val="18"/>
              </w:rPr>
              <w:t xml:space="preserve"> </w:t>
            </w:r>
            <w:r>
              <w:rPr>
                <w:spacing w:val="-2"/>
                <w:sz w:val="18"/>
              </w:rPr>
              <w:t>technical</w:t>
            </w:r>
          </w:p>
        </w:tc>
        <w:tc>
          <w:tcPr>
            <w:tcW w:w="2356" w:type="dxa"/>
          </w:tcPr>
          <w:p w14:paraId="6750220C" w14:textId="77777777" w:rsidR="00BC24A8" w:rsidRDefault="00000000">
            <w:pPr>
              <w:pStyle w:val="TableParagraph"/>
              <w:spacing w:before="1"/>
              <w:rPr>
                <w:sz w:val="18"/>
              </w:rPr>
            </w:pPr>
            <w:r>
              <w:rPr>
                <w:sz w:val="18"/>
              </w:rPr>
              <w:t>five</w:t>
            </w:r>
            <w:r>
              <w:rPr>
                <w:spacing w:val="-7"/>
                <w:sz w:val="18"/>
              </w:rPr>
              <w:t xml:space="preserve"> </w:t>
            </w:r>
            <w:r>
              <w:rPr>
                <w:sz w:val="18"/>
              </w:rPr>
              <w:t>provinces</w:t>
            </w:r>
            <w:r>
              <w:rPr>
                <w:spacing w:val="-6"/>
                <w:sz w:val="18"/>
              </w:rPr>
              <w:t xml:space="preserve"> </w:t>
            </w:r>
            <w:r>
              <w:rPr>
                <w:sz w:val="18"/>
              </w:rPr>
              <w:t>nationally—now</w:t>
            </w:r>
            <w:r>
              <w:rPr>
                <w:spacing w:val="-6"/>
                <w:sz w:val="18"/>
              </w:rPr>
              <w:t xml:space="preserve"> </w:t>
            </w:r>
            <w:r>
              <w:rPr>
                <w:spacing w:val="-10"/>
                <w:sz w:val="18"/>
              </w:rPr>
              <w:t>a</w:t>
            </w:r>
          </w:p>
        </w:tc>
      </w:tr>
      <w:tr w:rsidR="00BC24A8" w14:paraId="61D9970D" w14:textId="77777777">
        <w:trPr>
          <w:trHeight w:val="254"/>
        </w:trPr>
        <w:tc>
          <w:tcPr>
            <w:tcW w:w="1620" w:type="dxa"/>
          </w:tcPr>
          <w:p w14:paraId="46003D4C" w14:textId="77777777" w:rsidR="00BC24A8" w:rsidRDefault="00BC24A8">
            <w:pPr>
              <w:pStyle w:val="TableParagraph"/>
              <w:rPr>
                <w:rFonts w:ascii="Times New Roman"/>
                <w:sz w:val="18"/>
              </w:rPr>
            </w:pPr>
          </w:p>
        </w:tc>
        <w:tc>
          <w:tcPr>
            <w:tcW w:w="1559" w:type="dxa"/>
          </w:tcPr>
          <w:p w14:paraId="123C5BD0" w14:textId="77777777" w:rsidR="00BC24A8" w:rsidRDefault="00BC24A8">
            <w:pPr>
              <w:pStyle w:val="TableParagraph"/>
              <w:rPr>
                <w:rFonts w:ascii="Times New Roman"/>
                <w:sz w:val="18"/>
              </w:rPr>
            </w:pPr>
          </w:p>
        </w:tc>
        <w:tc>
          <w:tcPr>
            <w:tcW w:w="3466" w:type="dxa"/>
          </w:tcPr>
          <w:p w14:paraId="309AEDD1" w14:textId="77777777" w:rsidR="00BC24A8" w:rsidRDefault="00000000">
            <w:pPr>
              <w:pStyle w:val="TableParagraph"/>
              <w:spacing w:before="1"/>
              <w:rPr>
                <w:sz w:val="18"/>
              </w:rPr>
            </w:pPr>
            <w:r>
              <w:rPr>
                <w:spacing w:val="-2"/>
                <w:sz w:val="18"/>
              </w:rPr>
              <w:t>guidance,</w:t>
            </w:r>
            <w:r>
              <w:rPr>
                <w:spacing w:val="18"/>
                <w:sz w:val="18"/>
              </w:rPr>
              <w:t xml:space="preserve"> </w:t>
            </w:r>
            <w:r>
              <w:rPr>
                <w:spacing w:val="-2"/>
                <w:sz w:val="18"/>
              </w:rPr>
              <w:t>facilitation,</w:t>
            </w:r>
            <w:r>
              <w:rPr>
                <w:spacing w:val="19"/>
                <w:sz w:val="18"/>
              </w:rPr>
              <w:t xml:space="preserve"> </w:t>
            </w:r>
            <w:r>
              <w:rPr>
                <w:spacing w:val="-2"/>
                <w:sz w:val="18"/>
              </w:rPr>
              <w:t>capacity-building,</w:t>
            </w:r>
          </w:p>
        </w:tc>
        <w:tc>
          <w:tcPr>
            <w:tcW w:w="2356" w:type="dxa"/>
          </w:tcPr>
          <w:p w14:paraId="42A227B1" w14:textId="77777777" w:rsidR="00BC24A8" w:rsidRDefault="00000000">
            <w:pPr>
              <w:pStyle w:val="TableParagraph"/>
              <w:spacing w:before="1"/>
              <w:rPr>
                <w:sz w:val="18"/>
              </w:rPr>
            </w:pPr>
            <w:r>
              <w:rPr>
                <w:sz w:val="18"/>
              </w:rPr>
              <w:t>learning</w:t>
            </w:r>
            <w:r>
              <w:rPr>
                <w:spacing w:val="-5"/>
                <w:sz w:val="18"/>
              </w:rPr>
              <w:t xml:space="preserve"> </w:t>
            </w:r>
            <w:r>
              <w:rPr>
                <w:sz w:val="18"/>
              </w:rPr>
              <w:t>case</w:t>
            </w:r>
            <w:r>
              <w:rPr>
                <w:spacing w:val="-3"/>
                <w:sz w:val="18"/>
              </w:rPr>
              <w:t xml:space="preserve"> </w:t>
            </w:r>
            <w:r>
              <w:rPr>
                <w:sz w:val="18"/>
              </w:rPr>
              <w:t>for</w:t>
            </w:r>
            <w:r>
              <w:rPr>
                <w:spacing w:val="-3"/>
                <w:sz w:val="18"/>
              </w:rPr>
              <w:t xml:space="preserve"> </w:t>
            </w:r>
            <w:r>
              <w:rPr>
                <w:spacing w:val="-2"/>
                <w:sz w:val="18"/>
              </w:rPr>
              <w:t>others.</w:t>
            </w:r>
          </w:p>
        </w:tc>
      </w:tr>
      <w:tr w:rsidR="00BC24A8" w14:paraId="63EBC374" w14:textId="77777777">
        <w:trPr>
          <w:trHeight w:val="254"/>
        </w:trPr>
        <w:tc>
          <w:tcPr>
            <w:tcW w:w="1620" w:type="dxa"/>
          </w:tcPr>
          <w:p w14:paraId="7384C12F" w14:textId="77777777" w:rsidR="00BC24A8" w:rsidRDefault="00BC24A8">
            <w:pPr>
              <w:pStyle w:val="TableParagraph"/>
              <w:rPr>
                <w:rFonts w:ascii="Times New Roman"/>
                <w:sz w:val="18"/>
              </w:rPr>
            </w:pPr>
          </w:p>
        </w:tc>
        <w:tc>
          <w:tcPr>
            <w:tcW w:w="1559" w:type="dxa"/>
          </w:tcPr>
          <w:p w14:paraId="46F424C1" w14:textId="77777777" w:rsidR="00BC24A8" w:rsidRDefault="00BC24A8">
            <w:pPr>
              <w:pStyle w:val="TableParagraph"/>
              <w:rPr>
                <w:rFonts w:ascii="Times New Roman"/>
                <w:sz w:val="18"/>
              </w:rPr>
            </w:pPr>
          </w:p>
        </w:tc>
        <w:tc>
          <w:tcPr>
            <w:tcW w:w="3466" w:type="dxa"/>
          </w:tcPr>
          <w:p w14:paraId="1F32E38C" w14:textId="77777777" w:rsidR="00BC24A8" w:rsidRDefault="00000000">
            <w:pPr>
              <w:pStyle w:val="TableParagraph"/>
              <w:spacing w:before="1"/>
              <w:rPr>
                <w:sz w:val="18"/>
              </w:rPr>
            </w:pPr>
            <w:r>
              <w:rPr>
                <w:sz w:val="18"/>
              </w:rPr>
              <w:t>brokering,</w:t>
            </w:r>
            <w:r>
              <w:rPr>
                <w:spacing w:val="-10"/>
                <w:sz w:val="18"/>
              </w:rPr>
              <w:t xml:space="preserve"> </w:t>
            </w:r>
            <w:r>
              <w:rPr>
                <w:sz w:val="18"/>
              </w:rPr>
              <w:t>and</w:t>
            </w:r>
            <w:r>
              <w:rPr>
                <w:spacing w:val="-8"/>
                <w:sz w:val="18"/>
              </w:rPr>
              <w:t xml:space="preserve"> </w:t>
            </w:r>
            <w:r>
              <w:rPr>
                <w:sz w:val="18"/>
              </w:rPr>
              <w:t>advocacy,</w:t>
            </w:r>
            <w:r>
              <w:rPr>
                <w:spacing w:val="-7"/>
                <w:sz w:val="18"/>
              </w:rPr>
              <w:t xml:space="preserve"> </w:t>
            </w:r>
            <w:r>
              <w:rPr>
                <w:sz w:val="18"/>
              </w:rPr>
              <w:t>aligning</w:t>
            </w:r>
            <w:r>
              <w:rPr>
                <w:spacing w:val="-9"/>
                <w:sz w:val="18"/>
              </w:rPr>
              <w:t xml:space="preserve"> </w:t>
            </w:r>
            <w:r>
              <w:rPr>
                <w:spacing w:val="-4"/>
                <w:sz w:val="18"/>
              </w:rPr>
              <w:t>with</w:t>
            </w:r>
          </w:p>
        </w:tc>
        <w:tc>
          <w:tcPr>
            <w:tcW w:w="2356" w:type="dxa"/>
          </w:tcPr>
          <w:p w14:paraId="7E5026C1" w14:textId="77777777" w:rsidR="00BC24A8" w:rsidRDefault="00BC24A8">
            <w:pPr>
              <w:pStyle w:val="TableParagraph"/>
              <w:rPr>
                <w:rFonts w:ascii="Times New Roman"/>
                <w:sz w:val="18"/>
              </w:rPr>
            </w:pPr>
          </w:p>
        </w:tc>
      </w:tr>
      <w:tr w:rsidR="00BC24A8" w14:paraId="36D887D2" w14:textId="77777777">
        <w:trPr>
          <w:trHeight w:val="413"/>
        </w:trPr>
        <w:tc>
          <w:tcPr>
            <w:tcW w:w="1620" w:type="dxa"/>
            <w:tcBorders>
              <w:bottom w:val="single" w:sz="18" w:space="0" w:color="D9D9D9"/>
            </w:tcBorders>
          </w:tcPr>
          <w:p w14:paraId="66B63765" w14:textId="77777777" w:rsidR="00BC24A8" w:rsidRDefault="00BC24A8">
            <w:pPr>
              <w:pStyle w:val="TableParagraph"/>
              <w:rPr>
                <w:rFonts w:ascii="Times New Roman"/>
                <w:sz w:val="18"/>
              </w:rPr>
            </w:pPr>
          </w:p>
        </w:tc>
        <w:tc>
          <w:tcPr>
            <w:tcW w:w="1559" w:type="dxa"/>
            <w:tcBorders>
              <w:bottom w:val="single" w:sz="18" w:space="0" w:color="D9D9D9"/>
            </w:tcBorders>
          </w:tcPr>
          <w:p w14:paraId="7777FA00" w14:textId="77777777" w:rsidR="00BC24A8" w:rsidRDefault="00BC24A8">
            <w:pPr>
              <w:pStyle w:val="TableParagraph"/>
              <w:rPr>
                <w:rFonts w:ascii="Times New Roman"/>
                <w:sz w:val="18"/>
              </w:rPr>
            </w:pPr>
          </w:p>
        </w:tc>
        <w:tc>
          <w:tcPr>
            <w:tcW w:w="3466" w:type="dxa"/>
            <w:tcBorders>
              <w:bottom w:val="single" w:sz="18" w:space="0" w:color="D9D9D9"/>
            </w:tcBorders>
          </w:tcPr>
          <w:p w14:paraId="50BEC9CF" w14:textId="77777777" w:rsidR="00BC24A8" w:rsidRDefault="00000000">
            <w:pPr>
              <w:pStyle w:val="TableParagraph"/>
              <w:spacing w:before="1"/>
              <w:rPr>
                <w:sz w:val="18"/>
              </w:rPr>
            </w:pPr>
            <w:r>
              <w:rPr>
                <w:spacing w:val="-2"/>
                <w:sz w:val="18"/>
              </w:rPr>
              <w:t>BAPPENAS.</w:t>
            </w:r>
          </w:p>
        </w:tc>
        <w:tc>
          <w:tcPr>
            <w:tcW w:w="2356" w:type="dxa"/>
            <w:tcBorders>
              <w:bottom w:val="single" w:sz="18" w:space="0" w:color="D9D9D9"/>
            </w:tcBorders>
          </w:tcPr>
          <w:p w14:paraId="4250F51F" w14:textId="77777777" w:rsidR="00BC24A8" w:rsidRDefault="00BC24A8">
            <w:pPr>
              <w:pStyle w:val="TableParagraph"/>
              <w:rPr>
                <w:rFonts w:ascii="Times New Roman"/>
                <w:sz w:val="18"/>
              </w:rPr>
            </w:pPr>
          </w:p>
        </w:tc>
      </w:tr>
      <w:tr w:rsidR="00BC24A8" w14:paraId="6EAE9070" w14:textId="77777777">
        <w:trPr>
          <w:trHeight w:val="256"/>
        </w:trPr>
        <w:tc>
          <w:tcPr>
            <w:tcW w:w="1620" w:type="dxa"/>
            <w:tcBorders>
              <w:top w:val="single" w:sz="18" w:space="0" w:color="D9D9D9"/>
            </w:tcBorders>
          </w:tcPr>
          <w:p w14:paraId="2BDF49CC" w14:textId="77777777" w:rsidR="00BC24A8" w:rsidRDefault="00000000">
            <w:pPr>
              <w:pStyle w:val="TableParagraph"/>
              <w:spacing w:before="3"/>
              <w:rPr>
                <w:sz w:val="18"/>
              </w:rPr>
            </w:pPr>
            <w:r>
              <w:rPr>
                <w:sz w:val="18"/>
              </w:rPr>
              <w:t>The</w:t>
            </w:r>
            <w:r>
              <w:rPr>
                <w:spacing w:val="-2"/>
                <w:sz w:val="18"/>
              </w:rPr>
              <w:t xml:space="preserve"> </w:t>
            </w:r>
            <w:r>
              <w:rPr>
                <w:sz w:val="18"/>
              </w:rPr>
              <w:t>Asia</w:t>
            </w:r>
            <w:r>
              <w:rPr>
                <w:spacing w:val="-1"/>
                <w:sz w:val="18"/>
              </w:rPr>
              <w:t xml:space="preserve"> </w:t>
            </w:r>
            <w:r>
              <w:rPr>
                <w:spacing w:val="-2"/>
                <w:sz w:val="18"/>
              </w:rPr>
              <w:t>Foundation</w:t>
            </w:r>
          </w:p>
        </w:tc>
        <w:tc>
          <w:tcPr>
            <w:tcW w:w="1559" w:type="dxa"/>
            <w:tcBorders>
              <w:top w:val="single" w:sz="18" w:space="0" w:color="D9D9D9"/>
            </w:tcBorders>
          </w:tcPr>
          <w:p w14:paraId="301EEE07" w14:textId="77777777" w:rsidR="00BC24A8" w:rsidRDefault="00000000">
            <w:pPr>
              <w:pStyle w:val="TableParagraph"/>
              <w:spacing w:before="3"/>
              <w:ind w:left="-1"/>
              <w:rPr>
                <w:sz w:val="18"/>
              </w:rPr>
            </w:pPr>
            <w:r>
              <w:rPr>
                <w:sz w:val="18"/>
              </w:rPr>
              <w:t>Papua</w:t>
            </w:r>
            <w:r>
              <w:rPr>
                <w:spacing w:val="-6"/>
                <w:sz w:val="18"/>
              </w:rPr>
              <w:t xml:space="preserve"> </w:t>
            </w:r>
            <w:r>
              <w:rPr>
                <w:sz w:val="18"/>
              </w:rPr>
              <w:t>Selatan</w:t>
            </w:r>
            <w:r>
              <w:rPr>
                <w:spacing w:val="-5"/>
                <w:sz w:val="18"/>
              </w:rPr>
              <w:t xml:space="preserve"> </w:t>
            </w:r>
            <w:r>
              <w:rPr>
                <w:spacing w:val="-10"/>
                <w:sz w:val="18"/>
              </w:rPr>
              <w:t>–</w:t>
            </w:r>
          </w:p>
        </w:tc>
        <w:tc>
          <w:tcPr>
            <w:tcW w:w="3466" w:type="dxa"/>
            <w:tcBorders>
              <w:top w:val="single" w:sz="18" w:space="0" w:color="D9D9D9"/>
            </w:tcBorders>
          </w:tcPr>
          <w:p w14:paraId="2D9E50FF" w14:textId="77777777" w:rsidR="00BC24A8" w:rsidRDefault="00000000">
            <w:pPr>
              <w:pStyle w:val="TableParagraph"/>
              <w:spacing w:before="3"/>
              <w:rPr>
                <w:sz w:val="18"/>
              </w:rPr>
            </w:pPr>
            <w:r>
              <w:rPr>
                <w:spacing w:val="-2"/>
                <w:sz w:val="18"/>
              </w:rPr>
              <w:t>Worked</w:t>
            </w:r>
            <w:r>
              <w:rPr>
                <w:sz w:val="18"/>
              </w:rPr>
              <w:t xml:space="preserve"> </w:t>
            </w:r>
            <w:r>
              <w:rPr>
                <w:spacing w:val="-2"/>
                <w:sz w:val="18"/>
              </w:rPr>
              <w:t>through</w:t>
            </w:r>
            <w:r>
              <w:rPr>
                <w:sz w:val="18"/>
              </w:rPr>
              <w:t xml:space="preserve"> </w:t>
            </w:r>
            <w:r>
              <w:rPr>
                <w:spacing w:val="-2"/>
                <w:sz w:val="18"/>
              </w:rPr>
              <w:t>TAF’s</w:t>
            </w:r>
            <w:r>
              <w:rPr>
                <w:sz w:val="18"/>
              </w:rPr>
              <w:t xml:space="preserve"> </w:t>
            </w:r>
            <w:r>
              <w:rPr>
                <w:spacing w:val="-2"/>
                <w:sz w:val="18"/>
              </w:rPr>
              <w:t>CSO</w:t>
            </w:r>
            <w:r>
              <w:rPr>
                <w:spacing w:val="-1"/>
                <w:sz w:val="18"/>
              </w:rPr>
              <w:t xml:space="preserve"> </w:t>
            </w:r>
            <w:r>
              <w:rPr>
                <w:spacing w:val="-2"/>
                <w:sz w:val="18"/>
              </w:rPr>
              <w:t>network</w:t>
            </w:r>
            <w:r>
              <w:rPr>
                <w:sz w:val="18"/>
              </w:rPr>
              <w:t xml:space="preserve"> </w:t>
            </w:r>
            <w:r>
              <w:rPr>
                <w:spacing w:val="-2"/>
                <w:sz w:val="18"/>
              </w:rPr>
              <w:t>to</w:t>
            </w:r>
            <w:r>
              <w:rPr>
                <w:spacing w:val="-1"/>
                <w:sz w:val="18"/>
              </w:rPr>
              <w:t xml:space="preserve"> </w:t>
            </w:r>
            <w:r>
              <w:rPr>
                <w:spacing w:val="-2"/>
                <w:sz w:val="18"/>
              </w:rPr>
              <w:t>integrate</w:t>
            </w:r>
          </w:p>
        </w:tc>
        <w:tc>
          <w:tcPr>
            <w:tcW w:w="2356" w:type="dxa"/>
            <w:tcBorders>
              <w:top w:val="single" w:sz="18" w:space="0" w:color="D9D9D9"/>
            </w:tcBorders>
          </w:tcPr>
          <w:p w14:paraId="2D9600EF" w14:textId="77777777" w:rsidR="00BC24A8" w:rsidRDefault="00000000">
            <w:pPr>
              <w:pStyle w:val="TableParagraph"/>
              <w:spacing w:before="3"/>
              <w:rPr>
                <w:sz w:val="18"/>
              </w:rPr>
            </w:pPr>
            <w:r>
              <w:rPr>
                <w:sz w:val="18"/>
              </w:rPr>
              <w:t>CSO</w:t>
            </w:r>
            <w:r>
              <w:rPr>
                <w:spacing w:val="-6"/>
                <w:sz w:val="18"/>
              </w:rPr>
              <w:t xml:space="preserve"> </w:t>
            </w:r>
            <w:r>
              <w:rPr>
                <w:sz w:val="18"/>
              </w:rPr>
              <w:t>inputs</w:t>
            </w:r>
            <w:r>
              <w:rPr>
                <w:spacing w:val="-4"/>
                <w:sz w:val="18"/>
              </w:rPr>
              <w:t xml:space="preserve"> </w:t>
            </w:r>
            <w:r>
              <w:rPr>
                <w:sz w:val="18"/>
              </w:rPr>
              <w:t>incorporated</w:t>
            </w:r>
            <w:r>
              <w:rPr>
                <w:spacing w:val="-7"/>
                <w:sz w:val="18"/>
              </w:rPr>
              <w:t xml:space="preserve"> </w:t>
            </w:r>
            <w:r>
              <w:rPr>
                <w:spacing w:val="-4"/>
                <w:sz w:val="18"/>
              </w:rPr>
              <w:t>into</w:t>
            </w:r>
          </w:p>
        </w:tc>
      </w:tr>
      <w:tr w:rsidR="00BC24A8" w14:paraId="48215322" w14:textId="77777777">
        <w:trPr>
          <w:trHeight w:val="254"/>
        </w:trPr>
        <w:tc>
          <w:tcPr>
            <w:tcW w:w="1620" w:type="dxa"/>
          </w:tcPr>
          <w:p w14:paraId="39E7FAB2" w14:textId="77777777" w:rsidR="00BC24A8" w:rsidRDefault="00000000">
            <w:pPr>
              <w:pStyle w:val="TableParagraph"/>
              <w:spacing w:before="1"/>
              <w:rPr>
                <w:sz w:val="18"/>
              </w:rPr>
            </w:pPr>
            <w:r>
              <w:rPr>
                <w:spacing w:val="-2"/>
                <w:sz w:val="18"/>
              </w:rPr>
              <w:t>(TAF)</w:t>
            </w:r>
          </w:p>
        </w:tc>
        <w:tc>
          <w:tcPr>
            <w:tcW w:w="1559" w:type="dxa"/>
          </w:tcPr>
          <w:p w14:paraId="1389489F" w14:textId="77777777" w:rsidR="00BC24A8" w:rsidRDefault="00000000">
            <w:pPr>
              <w:pStyle w:val="TableParagraph"/>
              <w:spacing w:before="1"/>
              <w:ind w:left="-1"/>
              <w:rPr>
                <w:sz w:val="18"/>
              </w:rPr>
            </w:pPr>
            <w:r>
              <w:rPr>
                <w:spacing w:val="-2"/>
                <w:sz w:val="18"/>
              </w:rPr>
              <w:t>RPJMD</w:t>
            </w:r>
            <w:r>
              <w:rPr>
                <w:spacing w:val="-5"/>
                <w:sz w:val="18"/>
              </w:rPr>
              <w:t xml:space="preserve"> </w:t>
            </w:r>
            <w:r>
              <w:rPr>
                <w:spacing w:val="-2"/>
                <w:sz w:val="18"/>
              </w:rPr>
              <w:t>participation</w:t>
            </w:r>
          </w:p>
        </w:tc>
        <w:tc>
          <w:tcPr>
            <w:tcW w:w="3466" w:type="dxa"/>
          </w:tcPr>
          <w:p w14:paraId="14B3B9F5" w14:textId="77777777" w:rsidR="00BC24A8" w:rsidRDefault="00000000">
            <w:pPr>
              <w:pStyle w:val="TableParagraph"/>
              <w:spacing w:before="1"/>
              <w:rPr>
                <w:sz w:val="18"/>
              </w:rPr>
            </w:pPr>
            <w:r>
              <w:rPr>
                <w:sz w:val="18"/>
              </w:rPr>
              <w:t>evidence-based</w:t>
            </w:r>
            <w:r>
              <w:rPr>
                <w:spacing w:val="-7"/>
                <w:sz w:val="18"/>
              </w:rPr>
              <w:t xml:space="preserve"> </w:t>
            </w:r>
            <w:r>
              <w:rPr>
                <w:sz w:val="18"/>
              </w:rPr>
              <w:t>CSO</w:t>
            </w:r>
            <w:r>
              <w:rPr>
                <w:spacing w:val="-7"/>
                <w:sz w:val="18"/>
              </w:rPr>
              <w:t xml:space="preserve"> </w:t>
            </w:r>
            <w:r>
              <w:rPr>
                <w:sz w:val="18"/>
              </w:rPr>
              <w:t>recommendations</w:t>
            </w:r>
            <w:r>
              <w:rPr>
                <w:spacing w:val="-7"/>
                <w:sz w:val="18"/>
              </w:rPr>
              <w:t xml:space="preserve"> </w:t>
            </w:r>
            <w:r>
              <w:rPr>
                <w:spacing w:val="-4"/>
                <w:sz w:val="18"/>
              </w:rPr>
              <w:t>into</w:t>
            </w:r>
          </w:p>
        </w:tc>
        <w:tc>
          <w:tcPr>
            <w:tcW w:w="2356" w:type="dxa"/>
          </w:tcPr>
          <w:p w14:paraId="4DF19656" w14:textId="77777777" w:rsidR="00BC24A8" w:rsidRDefault="00000000">
            <w:pPr>
              <w:pStyle w:val="TableParagraph"/>
              <w:spacing w:before="1"/>
              <w:rPr>
                <w:sz w:val="18"/>
              </w:rPr>
            </w:pPr>
            <w:r>
              <w:rPr>
                <w:sz w:val="18"/>
              </w:rPr>
              <w:t xml:space="preserve">the planning </w:t>
            </w:r>
            <w:r>
              <w:rPr>
                <w:spacing w:val="-2"/>
                <w:sz w:val="18"/>
              </w:rPr>
              <w:t>architecture;</w:t>
            </w:r>
          </w:p>
        </w:tc>
      </w:tr>
      <w:tr w:rsidR="00BC24A8" w14:paraId="5102F86A" w14:textId="77777777">
        <w:trPr>
          <w:trHeight w:val="254"/>
        </w:trPr>
        <w:tc>
          <w:tcPr>
            <w:tcW w:w="1620" w:type="dxa"/>
          </w:tcPr>
          <w:p w14:paraId="417F1CCA" w14:textId="77777777" w:rsidR="00BC24A8" w:rsidRDefault="00BC24A8">
            <w:pPr>
              <w:pStyle w:val="TableParagraph"/>
              <w:rPr>
                <w:rFonts w:ascii="Times New Roman"/>
                <w:sz w:val="18"/>
              </w:rPr>
            </w:pPr>
          </w:p>
        </w:tc>
        <w:tc>
          <w:tcPr>
            <w:tcW w:w="1559" w:type="dxa"/>
          </w:tcPr>
          <w:p w14:paraId="44803844" w14:textId="77777777" w:rsidR="00BC24A8" w:rsidRDefault="00BC24A8">
            <w:pPr>
              <w:pStyle w:val="TableParagraph"/>
              <w:rPr>
                <w:rFonts w:ascii="Times New Roman"/>
                <w:sz w:val="18"/>
              </w:rPr>
            </w:pPr>
          </w:p>
        </w:tc>
        <w:tc>
          <w:tcPr>
            <w:tcW w:w="3466" w:type="dxa"/>
          </w:tcPr>
          <w:p w14:paraId="05FB5C1A" w14:textId="77777777" w:rsidR="00BC24A8" w:rsidRDefault="00000000">
            <w:pPr>
              <w:pStyle w:val="TableParagraph"/>
              <w:spacing w:before="1"/>
              <w:rPr>
                <w:sz w:val="18"/>
              </w:rPr>
            </w:pPr>
            <w:r>
              <w:rPr>
                <w:sz w:val="18"/>
              </w:rPr>
              <w:t>RPJMD</w:t>
            </w:r>
            <w:r>
              <w:rPr>
                <w:spacing w:val="-6"/>
                <w:sz w:val="18"/>
              </w:rPr>
              <w:t xml:space="preserve"> </w:t>
            </w:r>
            <w:r>
              <w:rPr>
                <w:sz w:val="18"/>
              </w:rPr>
              <w:t>processes;</w:t>
            </w:r>
            <w:r>
              <w:rPr>
                <w:spacing w:val="-6"/>
                <w:sz w:val="18"/>
              </w:rPr>
              <w:t xml:space="preserve"> </w:t>
            </w:r>
            <w:r>
              <w:rPr>
                <w:sz w:val="18"/>
              </w:rPr>
              <w:t>clear</w:t>
            </w:r>
            <w:r>
              <w:rPr>
                <w:spacing w:val="-6"/>
                <w:sz w:val="18"/>
              </w:rPr>
              <w:t xml:space="preserve"> </w:t>
            </w:r>
            <w:r>
              <w:rPr>
                <w:sz w:val="18"/>
              </w:rPr>
              <w:t>division</w:t>
            </w:r>
            <w:r>
              <w:rPr>
                <w:spacing w:val="-6"/>
                <w:sz w:val="18"/>
              </w:rPr>
              <w:t xml:space="preserve"> </w:t>
            </w:r>
            <w:r>
              <w:rPr>
                <w:sz w:val="18"/>
              </w:rPr>
              <w:t>of</w:t>
            </w:r>
            <w:r>
              <w:rPr>
                <w:spacing w:val="-7"/>
                <w:sz w:val="18"/>
              </w:rPr>
              <w:t xml:space="preserve"> </w:t>
            </w:r>
            <w:r>
              <w:rPr>
                <w:sz w:val="18"/>
              </w:rPr>
              <w:t>roles</w:t>
            </w:r>
            <w:r>
              <w:rPr>
                <w:spacing w:val="-6"/>
                <w:sz w:val="18"/>
              </w:rPr>
              <w:t xml:space="preserve"> </w:t>
            </w:r>
            <w:r>
              <w:rPr>
                <w:spacing w:val="-4"/>
                <w:sz w:val="18"/>
              </w:rPr>
              <w:t>(TAF–</w:t>
            </w:r>
          </w:p>
        </w:tc>
        <w:tc>
          <w:tcPr>
            <w:tcW w:w="2356" w:type="dxa"/>
          </w:tcPr>
          <w:p w14:paraId="17090B4B" w14:textId="77777777" w:rsidR="00BC24A8" w:rsidRDefault="00000000">
            <w:pPr>
              <w:pStyle w:val="TableParagraph"/>
              <w:spacing w:before="1"/>
              <w:rPr>
                <w:sz w:val="18"/>
              </w:rPr>
            </w:pPr>
            <w:r>
              <w:rPr>
                <w:spacing w:val="-2"/>
                <w:sz w:val="18"/>
              </w:rPr>
              <w:t>collaboration</w:t>
            </w:r>
            <w:r>
              <w:rPr>
                <w:spacing w:val="13"/>
                <w:sz w:val="18"/>
              </w:rPr>
              <w:t xml:space="preserve"> </w:t>
            </w:r>
            <w:r>
              <w:rPr>
                <w:spacing w:val="-4"/>
                <w:sz w:val="18"/>
              </w:rPr>
              <w:t>model</w:t>
            </w:r>
          </w:p>
        </w:tc>
      </w:tr>
      <w:tr w:rsidR="00BC24A8" w14:paraId="2A7A7A50" w14:textId="77777777">
        <w:trPr>
          <w:trHeight w:val="411"/>
        </w:trPr>
        <w:tc>
          <w:tcPr>
            <w:tcW w:w="1620" w:type="dxa"/>
            <w:tcBorders>
              <w:bottom w:val="single" w:sz="18" w:space="0" w:color="D9D9D9"/>
            </w:tcBorders>
          </w:tcPr>
          <w:p w14:paraId="7A00CEE0" w14:textId="77777777" w:rsidR="00BC24A8" w:rsidRDefault="00BC24A8">
            <w:pPr>
              <w:pStyle w:val="TableParagraph"/>
              <w:rPr>
                <w:rFonts w:ascii="Times New Roman"/>
                <w:sz w:val="18"/>
              </w:rPr>
            </w:pPr>
          </w:p>
        </w:tc>
        <w:tc>
          <w:tcPr>
            <w:tcW w:w="1559" w:type="dxa"/>
            <w:tcBorders>
              <w:bottom w:val="single" w:sz="18" w:space="0" w:color="D9D9D9"/>
            </w:tcBorders>
          </w:tcPr>
          <w:p w14:paraId="0C0D5573" w14:textId="77777777" w:rsidR="00BC24A8" w:rsidRDefault="00BC24A8">
            <w:pPr>
              <w:pStyle w:val="TableParagraph"/>
              <w:rPr>
                <w:rFonts w:ascii="Times New Roman"/>
                <w:sz w:val="18"/>
              </w:rPr>
            </w:pPr>
          </w:p>
        </w:tc>
        <w:tc>
          <w:tcPr>
            <w:tcW w:w="3466" w:type="dxa"/>
            <w:tcBorders>
              <w:bottom w:val="single" w:sz="18" w:space="0" w:color="D9D9D9"/>
            </w:tcBorders>
          </w:tcPr>
          <w:p w14:paraId="7693C9CE" w14:textId="77777777" w:rsidR="00BC24A8" w:rsidRDefault="00000000">
            <w:pPr>
              <w:pStyle w:val="TableParagraph"/>
              <w:spacing w:before="1"/>
              <w:rPr>
                <w:sz w:val="18"/>
              </w:rPr>
            </w:pPr>
            <w:r>
              <w:rPr>
                <w:sz w:val="18"/>
              </w:rPr>
              <w:t>CSO;</w:t>
            </w:r>
            <w:r>
              <w:rPr>
                <w:spacing w:val="-2"/>
                <w:sz w:val="18"/>
              </w:rPr>
              <w:t xml:space="preserve"> SKALA–government).</w:t>
            </w:r>
          </w:p>
        </w:tc>
        <w:tc>
          <w:tcPr>
            <w:tcW w:w="2356" w:type="dxa"/>
            <w:tcBorders>
              <w:bottom w:val="single" w:sz="18" w:space="0" w:color="D9D9D9"/>
            </w:tcBorders>
          </w:tcPr>
          <w:p w14:paraId="1EB1EA69" w14:textId="77777777" w:rsidR="00BC24A8" w:rsidRDefault="00000000">
            <w:pPr>
              <w:pStyle w:val="TableParagraph"/>
              <w:spacing w:before="1"/>
              <w:rPr>
                <w:sz w:val="18"/>
              </w:rPr>
            </w:pPr>
            <w:r>
              <w:rPr>
                <w:sz w:val="18"/>
              </w:rPr>
              <w:t>documented</w:t>
            </w:r>
            <w:r>
              <w:rPr>
                <w:spacing w:val="-5"/>
                <w:sz w:val="18"/>
              </w:rPr>
              <w:t xml:space="preserve"> </w:t>
            </w:r>
            <w:r>
              <w:rPr>
                <w:sz w:val="18"/>
              </w:rPr>
              <w:t>as</w:t>
            </w:r>
            <w:r>
              <w:rPr>
                <w:spacing w:val="-4"/>
                <w:sz w:val="18"/>
              </w:rPr>
              <w:t xml:space="preserve"> </w:t>
            </w:r>
            <w:r>
              <w:rPr>
                <w:sz w:val="18"/>
              </w:rPr>
              <w:t>good</w:t>
            </w:r>
            <w:r>
              <w:rPr>
                <w:spacing w:val="-4"/>
                <w:sz w:val="18"/>
              </w:rPr>
              <w:t xml:space="preserve"> </w:t>
            </w:r>
            <w:r>
              <w:rPr>
                <w:spacing w:val="-2"/>
                <w:sz w:val="18"/>
              </w:rPr>
              <w:t>practice.</w:t>
            </w:r>
          </w:p>
        </w:tc>
      </w:tr>
      <w:tr w:rsidR="00BC24A8" w14:paraId="03903A6E" w14:textId="77777777">
        <w:trPr>
          <w:trHeight w:val="256"/>
        </w:trPr>
        <w:tc>
          <w:tcPr>
            <w:tcW w:w="1620" w:type="dxa"/>
            <w:tcBorders>
              <w:top w:val="single" w:sz="18" w:space="0" w:color="D9D9D9"/>
            </w:tcBorders>
          </w:tcPr>
          <w:p w14:paraId="37B3236F" w14:textId="77777777" w:rsidR="00BC24A8" w:rsidRDefault="00000000">
            <w:pPr>
              <w:pStyle w:val="TableParagraph"/>
              <w:spacing w:before="3"/>
              <w:rPr>
                <w:sz w:val="18"/>
              </w:rPr>
            </w:pPr>
            <w:r>
              <w:rPr>
                <w:spacing w:val="-4"/>
                <w:sz w:val="18"/>
              </w:rPr>
              <w:t>KIAT</w:t>
            </w:r>
            <w:r>
              <w:rPr>
                <w:spacing w:val="-2"/>
                <w:sz w:val="18"/>
              </w:rPr>
              <w:t xml:space="preserve"> (DFAT)</w:t>
            </w:r>
          </w:p>
        </w:tc>
        <w:tc>
          <w:tcPr>
            <w:tcW w:w="1559" w:type="dxa"/>
            <w:tcBorders>
              <w:top w:val="single" w:sz="18" w:space="0" w:color="D9D9D9"/>
            </w:tcBorders>
          </w:tcPr>
          <w:p w14:paraId="6E632107" w14:textId="77777777" w:rsidR="00BC24A8" w:rsidRDefault="00000000">
            <w:pPr>
              <w:pStyle w:val="TableParagraph"/>
              <w:spacing w:before="3"/>
              <w:ind w:left="-1"/>
              <w:rPr>
                <w:sz w:val="18"/>
              </w:rPr>
            </w:pPr>
            <w:r>
              <w:rPr>
                <w:spacing w:val="-2"/>
                <w:sz w:val="18"/>
              </w:rPr>
              <w:t>Portfolio-wide</w:t>
            </w:r>
            <w:r>
              <w:rPr>
                <w:spacing w:val="8"/>
                <w:sz w:val="18"/>
              </w:rPr>
              <w:t xml:space="preserve"> </w:t>
            </w:r>
            <w:r>
              <w:rPr>
                <w:spacing w:val="-10"/>
                <w:sz w:val="18"/>
              </w:rPr>
              <w:t>–</w:t>
            </w:r>
          </w:p>
        </w:tc>
        <w:tc>
          <w:tcPr>
            <w:tcW w:w="3466" w:type="dxa"/>
            <w:tcBorders>
              <w:top w:val="single" w:sz="18" w:space="0" w:color="D9D9D9"/>
            </w:tcBorders>
          </w:tcPr>
          <w:p w14:paraId="6BF70339" w14:textId="77777777" w:rsidR="00BC24A8" w:rsidRDefault="00000000">
            <w:pPr>
              <w:pStyle w:val="TableParagraph"/>
              <w:spacing w:before="3"/>
              <w:rPr>
                <w:sz w:val="18"/>
              </w:rPr>
            </w:pPr>
            <w:r>
              <w:rPr>
                <w:sz w:val="18"/>
              </w:rPr>
              <w:t>Opened</w:t>
            </w:r>
            <w:r>
              <w:rPr>
                <w:spacing w:val="-7"/>
                <w:sz w:val="18"/>
              </w:rPr>
              <w:t xml:space="preserve"> </w:t>
            </w:r>
            <w:r>
              <w:rPr>
                <w:sz w:val="18"/>
              </w:rPr>
              <w:t>PERA</w:t>
            </w:r>
            <w:r>
              <w:rPr>
                <w:spacing w:val="-7"/>
                <w:sz w:val="18"/>
              </w:rPr>
              <w:t xml:space="preserve"> </w:t>
            </w:r>
            <w:r>
              <w:rPr>
                <w:sz w:val="18"/>
              </w:rPr>
              <w:t>dataset</w:t>
            </w:r>
            <w:r>
              <w:rPr>
                <w:spacing w:val="-5"/>
                <w:sz w:val="18"/>
              </w:rPr>
              <w:t xml:space="preserve"> </w:t>
            </w:r>
            <w:r>
              <w:rPr>
                <w:sz w:val="18"/>
              </w:rPr>
              <w:t>access</w:t>
            </w:r>
            <w:r>
              <w:rPr>
                <w:spacing w:val="-8"/>
                <w:sz w:val="18"/>
              </w:rPr>
              <w:t xml:space="preserve"> </w:t>
            </w:r>
            <w:r>
              <w:rPr>
                <w:sz w:val="18"/>
              </w:rPr>
              <w:t>for</w:t>
            </w:r>
            <w:r>
              <w:rPr>
                <w:spacing w:val="-7"/>
                <w:sz w:val="18"/>
              </w:rPr>
              <w:t xml:space="preserve"> </w:t>
            </w:r>
            <w:r>
              <w:rPr>
                <w:sz w:val="18"/>
              </w:rPr>
              <w:t>KIAT</w:t>
            </w:r>
            <w:r>
              <w:rPr>
                <w:spacing w:val="-6"/>
                <w:sz w:val="18"/>
              </w:rPr>
              <w:t xml:space="preserve"> </w:t>
            </w:r>
            <w:r>
              <w:rPr>
                <w:spacing w:val="-5"/>
                <w:sz w:val="18"/>
              </w:rPr>
              <w:t>to</w:t>
            </w:r>
          </w:p>
        </w:tc>
        <w:tc>
          <w:tcPr>
            <w:tcW w:w="2356" w:type="dxa"/>
            <w:tcBorders>
              <w:top w:val="single" w:sz="18" w:space="0" w:color="D9D9D9"/>
            </w:tcBorders>
          </w:tcPr>
          <w:p w14:paraId="7E43A14E" w14:textId="77777777" w:rsidR="00BC24A8" w:rsidRDefault="00000000">
            <w:pPr>
              <w:pStyle w:val="TableParagraph"/>
              <w:spacing w:before="3"/>
              <w:rPr>
                <w:sz w:val="18"/>
              </w:rPr>
            </w:pPr>
            <w:r>
              <w:rPr>
                <w:spacing w:val="-2"/>
                <w:sz w:val="18"/>
              </w:rPr>
              <w:t>Cross-program</w:t>
            </w:r>
            <w:r>
              <w:rPr>
                <w:spacing w:val="7"/>
                <w:sz w:val="18"/>
              </w:rPr>
              <w:t xml:space="preserve"> </w:t>
            </w:r>
            <w:r>
              <w:rPr>
                <w:spacing w:val="-2"/>
                <w:sz w:val="18"/>
              </w:rPr>
              <w:t>data</w:t>
            </w:r>
            <w:r>
              <w:rPr>
                <w:spacing w:val="7"/>
                <w:sz w:val="18"/>
              </w:rPr>
              <w:t xml:space="preserve"> </w:t>
            </w:r>
            <w:r>
              <w:rPr>
                <w:spacing w:val="-2"/>
                <w:sz w:val="18"/>
              </w:rPr>
              <w:t>re-</w:t>
            </w:r>
            <w:r>
              <w:rPr>
                <w:spacing w:val="-5"/>
                <w:sz w:val="18"/>
              </w:rPr>
              <w:t>use</w:t>
            </w:r>
          </w:p>
        </w:tc>
      </w:tr>
      <w:tr w:rsidR="00BC24A8" w14:paraId="3469410A" w14:textId="77777777">
        <w:trPr>
          <w:trHeight w:val="254"/>
        </w:trPr>
        <w:tc>
          <w:tcPr>
            <w:tcW w:w="1620" w:type="dxa"/>
          </w:tcPr>
          <w:p w14:paraId="4F1E42A3" w14:textId="77777777" w:rsidR="00BC24A8" w:rsidRDefault="00BC24A8">
            <w:pPr>
              <w:pStyle w:val="TableParagraph"/>
              <w:rPr>
                <w:rFonts w:ascii="Times New Roman"/>
                <w:sz w:val="18"/>
              </w:rPr>
            </w:pPr>
          </w:p>
        </w:tc>
        <w:tc>
          <w:tcPr>
            <w:tcW w:w="1559" w:type="dxa"/>
          </w:tcPr>
          <w:p w14:paraId="56EF354A" w14:textId="77777777" w:rsidR="00BC24A8" w:rsidRDefault="00000000">
            <w:pPr>
              <w:pStyle w:val="TableParagraph"/>
              <w:spacing w:before="1"/>
              <w:ind w:left="-1"/>
              <w:rPr>
                <w:sz w:val="18"/>
              </w:rPr>
            </w:pPr>
            <w:r>
              <w:rPr>
                <w:spacing w:val="-2"/>
                <w:sz w:val="18"/>
              </w:rPr>
              <w:t>Infrastructure</w:t>
            </w:r>
          </w:p>
        </w:tc>
        <w:tc>
          <w:tcPr>
            <w:tcW w:w="3466" w:type="dxa"/>
          </w:tcPr>
          <w:p w14:paraId="31DC3C10" w14:textId="77777777" w:rsidR="00BC24A8" w:rsidRDefault="00000000">
            <w:pPr>
              <w:pStyle w:val="TableParagraph"/>
              <w:spacing w:before="1"/>
              <w:rPr>
                <w:sz w:val="18"/>
              </w:rPr>
            </w:pPr>
            <w:r>
              <w:rPr>
                <w:sz w:val="18"/>
              </w:rPr>
              <w:t>accelerate</w:t>
            </w:r>
            <w:r>
              <w:rPr>
                <w:spacing w:val="-7"/>
                <w:sz w:val="18"/>
              </w:rPr>
              <w:t xml:space="preserve"> </w:t>
            </w:r>
            <w:r>
              <w:rPr>
                <w:sz w:val="18"/>
              </w:rPr>
              <w:t>infrastructure</w:t>
            </w:r>
            <w:r>
              <w:rPr>
                <w:spacing w:val="-7"/>
                <w:sz w:val="18"/>
              </w:rPr>
              <w:t xml:space="preserve"> </w:t>
            </w:r>
            <w:r>
              <w:rPr>
                <w:sz w:val="18"/>
              </w:rPr>
              <w:t>analysis</w:t>
            </w:r>
            <w:r>
              <w:rPr>
                <w:spacing w:val="-9"/>
                <w:sz w:val="18"/>
              </w:rPr>
              <w:t xml:space="preserve"> </w:t>
            </w:r>
            <w:r>
              <w:rPr>
                <w:sz w:val="18"/>
              </w:rPr>
              <w:t>using</w:t>
            </w:r>
            <w:r>
              <w:rPr>
                <w:spacing w:val="-7"/>
                <w:sz w:val="18"/>
              </w:rPr>
              <w:t xml:space="preserve"> </w:t>
            </w:r>
            <w:r>
              <w:rPr>
                <w:spacing w:val="-2"/>
                <w:sz w:val="18"/>
              </w:rPr>
              <w:t>SKALA’s</w:t>
            </w:r>
          </w:p>
        </w:tc>
        <w:tc>
          <w:tcPr>
            <w:tcW w:w="2356" w:type="dxa"/>
          </w:tcPr>
          <w:p w14:paraId="68F90608" w14:textId="77777777" w:rsidR="00BC24A8" w:rsidRDefault="00000000">
            <w:pPr>
              <w:pStyle w:val="TableParagraph"/>
              <w:spacing w:before="1"/>
              <w:rPr>
                <w:sz w:val="18"/>
              </w:rPr>
            </w:pPr>
            <w:r>
              <w:rPr>
                <w:sz w:val="18"/>
              </w:rPr>
              <w:t>agreed,</w:t>
            </w:r>
            <w:r>
              <w:rPr>
                <w:spacing w:val="-8"/>
                <w:sz w:val="18"/>
              </w:rPr>
              <w:t xml:space="preserve"> </w:t>
            </w:r>
            <w:r>
              <w:rPr>
                <w:spacing w:val="-2"/>
                <w:sz w:val="18"/>
              </w:rPr>
              <w:t>demonstrating</w:t>
            </w:r>
          </w:p>
        </w:tc>
      </w:tr>
      <w:tr w:rsidR="00BC24A8" w14:paraId="584B8FF8" w14:textId="77777777">
        <w:trPr>
          <w:trHeight w:val="413"/>
        </w:trPr>
        <w:tc>
          <w:tcPr>
            <w:tcW w:w="1620" w:type="dxa"/>
            <w:tcBorders>
              <w:bottom w:val="single" w:sz="18" w:space="0" w:color="D9D9D9"/>
            </w:tcBorders>
          </w:tcPr>
          <w:p w14:paraId="44F0F832" w14:textId="77777777" w:rsidR="00BC24A8" w:rsidRDefault="00BC24A8">
            <w:pPr>
              <w:pStyle w:val="TableParagraph"/>
              <w:rPr>
                <w:rFonts w:ascii="Times New Roman"/>
                <w:sz w:val="18"/>
              </w:rPr>
            </w:pPr>
          </w:p>
        </w:tc>
        <w:tc>
          <w:tcPr>
            <w:tcW w:w="1559" w:type="dxa"/>
            <w:tcBorders>
              <w:bottom w:val="single" w:sz="18" w:space="0" w:color="D9D9D9"/>
            </w:tcBorders>
          </w:tcPr>
          <w:p w14:paraId="6B6E6EA7" w14:textId="77777777" w:rsidR="00BC24A8" w:rsidRDefault="00000000">
            <w:pPr>
              <w:pStyle w:val="TableParagraph"/>
              <w:spacing w:before="1"/>
              <w:ind w:left="-1"/>
              <w:rPr>
                <w:sz w:val="18"/>
              </w:rPr>
            </w:pPr>
            <w:r>
              <w:rPr>
                <w:spacing w:val="-2"/>
                <w:sz w:val="18"/>
              </w:rPr>
              <w:t>analytics</w:t>
            </w:r>
          </w:p>
        </w:tc>
        <w:tc>
          <w:tcPr>
            <w:tcW w:w="3466" w:type="dxa"/>
            <w:tcBorders>
              <w:bottom w:val="single" w:sz="18" w:space="0" w:color="D9D9D9"/>
            </w:tcBorders>
          </w:tcPr>
          <w:p w14:paraId="0697EA5E" w14:textId="77777777" w:rsidR="00BC24A8" w:rsidRDefault="00000000">
            <w:pPr>
              <w:pStyle w:val="TableParagraph"/>
              <w:spacing w:before="1"/>
              <w:rPr>
                <w:sz w:val="18"/>
              </w:rPr>
            </w:pPr>
            <w:r>
              <w:rPr>
                <w:spacing w:val="-2"/>
                <w:sz w:val="18"/>
              </w:rPr>
              <w:t>research.</w:t>
            </w:r>
          </w:p>
        </w:tc>
        <w:tc>
          <w:tcPr>
            <w:tcW w:w="2356" w:type="dxa"/>
            <w:tcBorders>
              <w:bottom w:val="single" w:sz="18" w:space="0" w:color="D9D9D9"/>
            </w:tcBorders>
          </w:tcPr>
          <w:p w14:paraId="0D06C8A1" w14:textId="77777777" w:rsidR="00BC24A8" w:rsidRDefault="00000000">
            <w:pPr>
              <w:pStyle w:val="TableParagraph"/>
              <w:spacing w:before="1"/>
              <w:rPr>
                <w:sz w:val="18"/>
              </w:rPr>
            </w:pPr>
            <w:r>
              <w:rPr>
                <w:spacing w:val="-2"/>
                <w:sz w:val="18"/>
              </w:rPr>
              <w:t>portfolio-level</w:t>
            </w:r>
            <w:r>
              <w:rPr>
                <w:spacing w:val="15"/>
                <w:sz w:val="18"/>
              </w:rPr>
              <w:t xml:space="preserve"> </w:t>
            </w:r>
            <w:r>
              <w:rPr>
                <w:spacing w:val="-2"/>
                <w:sz w:val="18"/>
              </w:rPr>
              <w:t>efficiency.</w:t>
            </w:r>
          </w:p>
        </w:tc>
      </w:tr>
      <w:tr w:rsidR="00BC24A8" w14:paraId="05D0E4B2" w14:textId="77777777">
        <w:trPr>
          <w:trHeight w:val="256"/>
        </w:trPr>
        <w:tc>
          <w:tcPr>
            <w:tcW w:w="1620" w:type="dxa"/>
            <w:tcBorders>
              <w:top w:val="single" w:sz="18" w:space="0" w:color="D9D9D9"/>
            </w:tcBorders>
          </w:tcPr>
          <w:p w14:paraId="65DF01DF" w14:textId="77777777" w:rsidR="00BC24A8" w:rsidRDefault="00000000">
            <w:pPr>
              <w:pStyle w:val="TableParagraph"/>
              <w:spacing w:before="3"/>
              <w:rPr>
                <w:sz w:val="18"/>
              </w:rPr>
            </w:pPr>
            <w:r>
              <w:rPr>
                <w:sz w:val="18"/>
              </w:rPr>
              <w:t>UN</w:t>
            </w:r>
            <w:r>
              <w:rPr>
                <w:spacing w:val="-4"/>
                <w:sz w:val="18"/>
              </w:rPr>
              <w:t xml:space="preserve"> </w:t>
            </w:r>
            <w:r>
              <w:rPr>
                <w:sz w:val="18"/>
              </w:rPr>
              <w:t>Global Pulse</w:t>
            </w:r>
            <w:r>
              <w:rPr>
                <w:spacing w:val="-1"/>
                <w:sz w:val="18"/>
              </w:rPr>
              <w:t xml:space="preserve"> </w:t>
            </w:r>
            <w:r>
              <w:rPr>
                <w:spacing w:val="-4"/>
                <w:sz w:val="18"/>
              </w:rPr>
              <w:t>(UN)</w:t>
            </w:r>
          </w:p>
        </w:tc>
        <w:tc>
          <w:tcPr>
            <w:tcW w:w="1559" w:type="dxa"/>
            <w:tcBorders>
              <w:top w:val="single" w:sz="18" w:space="0" w:color="D9D9D9"/>
            </w:tcBorders>
          </w:tcPr>
          <w:p w14:paraId="3757AD9E" w14:textId="77777777" w:rsidR="00BC24A8" w:rsidRDefault="00000000">
            <w:pPr>
              <w:pStyle w:val="TableParagraph"/>
              <w:spacing w:before="3"/>
              <w:ind w:left="-1"/>
              <w:rPr>
                <w:sz w:val="18"/>
              </w:rPr>
            </w:pPr>
            <w:r>
              <w:rPr>
                <w:sz w:val="18"/>
              </w:rPr>
              <w:t>5</w:t>
            </w:r>
            <w:r>
              <w:rPr>
                <w:spacing w:val="-3"/>
                <w:sz w:val="18"/>
              </w:rPr>
              <w:t xml:space="preserve"> </w:t>
            </w:r>
            <w:r>
              <w:rPr>
                <w:sz w:val="18"/>
              </w:rPr>
              <w:t>provinces</w:t>
            </w:r>
            <w:r>
              <w:rPr>
                <w:spacing w:val="-2"/>
                <w:sz w:val="18"/>
              </w:rPr>
              <w:t xml:space="preserve"> </w:t>
            </w:r>
            <w:r>
              <w:rPr>
                <w:sz w:val="18"/>
              </w:rPr>
              <w:t>–</w:t>
            </w:r>
            <w:r>
              <w:rPr>
                <w:spacing w:val="-2"/>
                <w:sz w:val="18"/>
              </w:rPr>
              <w:t xml:space="preserve"> </w:t>
            </w:r>
            <w:r>
              <w:rPr>
                <w:spacing w:val="-4"/>
                <w:sz w:val="18"/>
              </w:rPr>
              <w:t>Sea-</w:t>
            </w:r>
          </w:p>
        </w:tc>
        <w:tc>
          <w:tcPr>
            <w:tcW w:w="3466" w:type="dxa"/>
            <w:tcBorders>
              <w:top w:val="single" w:sz="18" w:space="0" w:color="D9D9D9"/>
            </w:tcBorders>
          </w:tcPr>
          <w:p w14:paraId="39AC4590" w14:textId="77777777" w:rsidR="00BC24A8" w:rsidRDefault="00000000">
            <w:pPr>
              <w:pStyle w:val="TableParagraph"/>
              <w:spacing w:before="3"/>
              <w:rPr>
                <w:sz w:val="18"/>
              </w:rPr>
            </w:pPr>
            <w:r>
              <w:rPr>
                <w:sz w:val="18"/>
              </w:rPr>
              <w:t>Planned</w:t>
            </w:r>
            <w:r>
              <w:rPr>
                <w:spacing w:val="-7"/>
                <w:sz w:val="18"/>
              </w:rPr>
              <w:t xml:space="preserve"> </w:t>
            </w:r>
            <w:r>
              <w:rPr>
                <w:sz w:val="18"/>
              </w:rPr>
              <w:t>collaboration</w:t>
            </w:r>
            <w:r>
              <w:rPr>
                <w:spacing w:val="-7"/>
                <w:sz w:val="18"/>
              </w:rPr>
              <w:t xml:space="preserve"> </w:t>
            </w:r>
            <w:r>
              <w:rPr>
                <w:sz w:val="18"/>
              </w:rPr>
              <w:t>to</w:t>
            </w:r>
            <w:r>
              <w:rPr>
                <w:spacing w:val="-8"/>
                <w:sz w:val="18"/>
              </w:rPr>
              <w:t xml:space="preserve"> </w:t>
            </w:r>
            <w:r>
              <w:rPr>
                <w:sz w:val="18"/>
              </w:rPr>
              <w:t>model</w:t>
            </w:r>
            <w:r>
              <w:rPr>
                <w:spacing w:val="-6"/>
                <w:sz w:val="18"/>
              </w:rPr>
              <w:t xml:space="preserve"> </w:t>
            </w:r>
            <w:r>
              <w:rPr>
                <w:sz w:val="18"/>
              </w:rPr>
              <w:t>sea-level-</w:t>
            </w:r>
            <w:r>
              <w:rPr>
                <w:spacing w:val="-4"/>
                <w:sz w:val="18"/>
              </w:rPr>
              <w:t>rise</w:t>
            </w:r>
          </w:p>
        </w:tc>
        <w:tc>
          <w:tcPr>
            <w:tcW w:w="2356" w:type="dxa"/>
            <w:tcBorders>
              <w:top w:val="single" w:sz="18" w:space="0" w:color="D9D9D9"/>
            </w:tcBorders>
          </w:tcPr>
          <w:p w14:paraId="20F583E0" w14:textId="77777777" w:rsidR="00BC24A8" w:rsidRDefault="00000000">
            <w:pPr>
              <w:pStyle w:val="TableParagraph"/>
              <w:spacing w:before="3"/>
              <w:rPr>
                <w:sz w:val="18"/>
              </w:rPr>
            </w:pPr>
            <w:r>
              <w:rPr>
                <w:sz w:val="18"/>
              </w:rPr>
              <w:t>Joint</w:t>
            </w:r>
            <w:r>
              <w:rPr>
                <w:spacing w:val="-5"/>
                <w:sz w:val="18"/>
              </w:rPr>
              <w:t xml:space="preserve"> </w:t>
            </w:r>
            <w:r>
              <w:rPr>
                <w:sz w:val="18"/>
              </w:rPr>
              <w:t>rapid</w:t>
            </w:r>
            <w:r>
              <w:rPr>
                <w:spacing w:val="-5"/>
                <w:sz w:val="18"/>
              </w:rPr>
              <w:t xml:space="preserve"> </w:t>
            </w:r>
            <w:r>
              <w:rPr>
                <w:spacing w:val="-2"/>
                <w:sz w:val="18"/>
              </w:rPr>
              <w:t>assessments</w:t>
            </w:r>
          </w:p>
        </w:tc>
      </w:tr>
      <w:tr w:rsidR="00BC24A8" w14:paraId="487A6CC9" w14:textId="77777777">
        <w:trPr>
          <w:trHeight w:val="254"/>
        </w:trPr>
        <w:tc>
          <w:tcPr>
            <w:tcW w:w="1620" w:type="dxa"/>
          </w:tcPr>
          <w:p w14:paraId="39E23C9B" w14:textId="77777777" w:rsidR="00BC24A8" w:rsidRDefault="00BC24A8">
            <w:pPr>
              <w:pStyle w:val="TableParagraph"/>
              <w:rPr>
                <w:rFonts w:ascii="Times New Roman"/>
                <w:sz w:val="18"/>
              </w:rPr>
            </w:pPr>
          </w:p>
        </w:tc>
        <w:tc>
          <w:tcPr>
            <w:tcW w:w="1559" w:type="dxa"/>
          </w:tcPr>
          <w:p w14:paraId="373BEC23" w14:textId="77777777" w:rsidR="00BC24A8" w:rsidRDefault="00000000">
            <w:pPr>
              <w:pStyle w:val="TableParagraph"/>
              <w:spacing w:before="1"/>
              <w:ind w:left="-1"/>
              <w:rPr>
                <w:sz w:val="18"/>
              </w:rPr>
            </w:pPr>
            <w:r>
              <w:rPr>
                <w:sz w:val="18"/>
              </w:rPr>
              <w:t>level-rise</w:t>
            </w:r>
            <w:r>
              <w:rPr>
                <w:spacing w:val="-8"/>
                <w:sz w:val="18"/>
              </w:rPr>
              <w:t xml:space="preserve"> </w:t>
            </w:r>
            <w:r>
              <w:rPr>
                <w:spacing w:val="-4"/>
                <w:sz w:val="18"/>
              </w:rPr>
              <w:t>risk</w:t>
            </w:r>
          </w:p>
        </w:tc>
        <w:tc>
          <w:tcPr>
            <w:tcW w:w="3466" w:type="dxa"/>
          </w:tcPr>
          <w:p w14:paraId="10DECECA" w14:textId="77777777" w:rsidR="00BC24A8" w:rsidRDefault="00000000">
            <w:pPr>
              <w:pStyle w:val="TableParagraph"/>
              <w:spacing w:before="1"/>
              <w:rPr>
                <w:sz w:val="18"/>
              </w:rPr>
            </w:pPr>
            <w:r>
              <w:rPr>
                <w:sz w:val="18"/>
              </w:rPr>
              <w:t>impacts</w:t>
            </w:r>
            <w:r>
              <w:rPr>
                <w:spacing w:val="-2"/>
                <w:sz w:val="18"/>
              </w:rPr>
              <w:t xml:space="preserve"> </w:t>
            </w:r>
            <w:r>
              <w:rPr>
                <w:sz w:val="18"/>
              </w:rPr>
              <w:t>on</w:t>
            </w:r>
            <w:r>
              <w:rPr>
                <w:spacing w:val="-1"/>
                <w:sz w:val="18"/>
              </w:rPr>
              <w:t xml:space="preserve"> </w:t>
            </w:r>
            <w:r>
              <w:rPr>
                <w:sz w:val="18"/>
              </w:rPr>
              <w:t>basic</w:t>
            </w:r>
            <w:r>
              <w:rPr>
                <w:spacing w:val="-2"/>
                <w:sz w:val="18"/>
              </w:rPr>
              <w:t xml:space="preserve"> </w:t>
            </w:r>
            <w:r>
              <w:rPr>
                <w:sz w:val="18"/>
              </w:rPr>
              <w:t>services</w:t>
            </w:r>
            <w:r>
              <w:rPr>
                <w:spacing w:val="-1"/>
                <w:sz w:val="18"/>
              </w:rPr>
              <w:t xml:space="preserve"> </w:t>
            </w:r>
            <w:r>
              <w:rPr>
                <w:sz w:val="18"/>
              </w:rPr>
              <w:t>and</w:t>
            </w:r>
            <w:r>
              <w:rPr>
                <w:spacing w:val="-2"/>
                <w:sz w:val="18"/>
              </w:rPr>
              <w:t xml:space="preserve"> </w:t>
            </w:r>
            <w:r>
              <w:rPr>
                <w:sz w:val="18"/>
              </w:rPr>
              <w:t xml:space="preserve">host </w:t>
            </w:r>
            <w:r>
              <w:rPr>
                <w:spacing w:val="-2"/>
                <w:sz w:val="18"/>
              </w:rPr>
              <w:t>provincial</w:t>
            </w:r>
          </w:p>
        </w:tc>
        <w:tc>
          <w:tcPr>
            <w:tcW w:w="2356" w:type="dxa"/>
          </w:tcPr>
          <w:p w14:paraId="4EAFC737" w14:textId="77777777" w:rsidR="00BC24A8" w:rsidRDefault="00000000">
            <w:pPr>
              <w:pStyle w:val="TableParagraph"/>
              <w:spacing w:before="1"/>
              <w:rPr>
                <w:sz w:val="18"/>
              </w:rPr>
            </w:pPr>
            <w:r>
              <w:rPr>
                <w:sz w:val="18"/>
              </w:rPr>
              <w:t>scheduled</w:t>
            </w:r>
            <w:r>
              <w:rPr>
                <w:spacing w:val="-1"/>
                <w:sz w:val="18"/>
              </w:rPr>
              <w:t xml:space="preserve"> </w:t>
            </w:r>
            <w:r>
              <w:rPr>
                <w:sz w:val="18"/>
              </w:rPr>
              <w:t>as</w:t>
            </w:r>
            <w:r>
              <w:rPr>
                <w:spacing w:val="-1"/>
                <w:sz w:val="18"/>
              </w:rPr>
              <w:t xml:space="preserve"> </w:t>
            </w:r>
            <w:r>
              <w:rPr>
                <w:sz w:val="18"/>
              </w:rPr>
              <w:t>part</w:t>
            </w:r>
            <w:r>
              <w:rPr>
                <w:spacing w:val="-1"/>
                <w:sz w:val="18"/>
              </w:rPr>
              <w:t xml:space="preserve"> </w:t>
            </w:r>
            <w:r>
              <w:rPr>
                <w:sz w:val="18"/>
              </w:rPr>
              <w:t>of</w:t>
            </w:r>
            <w:r>
              <w:rPr>
                <w:spacing w:val="-1"/>
                <w:sz w:val="18"/>
              </w:rPr>
              <w:t xml:space="preserve"> </w:t>
            </w:r>
            <w:r>
              <w:rPr>
                <w:spacing w:val="-2"/>
                <w:sz w:val="18"/>
              </w:rPr>
              <w:t>SKALA’s</w:t>
            </w:r>
          </w:p>
        </w:tc>
      </w:tr>
      <w:tr w:rsidR="00BC24A8" w14:paraId="71186BF9" w14:textId="77777777">
        <w:trPr>
          <w:trHeight w:val="413"/>
        </w:trPr>
        <w:tc>
          <w:tcPr>
            <w:tcW w:w="1620" w:type="dxa"/>
            <w:tcBorders>
              <w:bottom w:val="single" w:sz="18" w:space="0" w:color="D9D9D9"/>
            </w:tcBorders>
          </w:tcPr>
          <w:p w14:paraId="1BAC32C3" w14:textId="77777777" w:rsidR="00BC24A8" w:rsidRDefault="00BC24A8">
            <w:pPr>
              <w:pStyle w:val="TableParagraph"/>
              <w:rPr>
                <w:rFonts w:ascii="Times New Roman"/>
                <w:sz w:val="18"/>
              </w:rPr>
            </w:pPr>
          </w:p>
        </w:tc>
        <w:tc>
          <w:tcPr>
            <w:tcW w:w="1559" w:type="dxa"/>
            <w:tcBorders>
              <w:bottom w:val="single" w:sz="18" w:space="0" w:color="D9D9D9"/>
            </w:tcBorders>
          </w:tcPr>
          <w:p w14:paraId="38243137" w14:textId="77777777" w:rsidR="00BC24A8" w:rsidRDefault="00BC24A8">
            <w:pPr>
              <w:pStyle w:val="TableParagraph"/>
              <w:rPr>
                <w:rFonts w:ascii="Times New Roman"/>
                <w:sz w:val="18"/>
              </w:rPr>
            </w:pPr>
          </w:p>
        </w:tc>
        <w:tc>
          <w:tcPr>
            <w:tcW w:w="3466" w:type="dxa"/>
            <w:tcBorders>
              <w:bottom w:val="single" w:sz="18" w:space="0" w:color="D9D9D9"/>
            </w:tcBorders>
          </w:tcPr>
          <w:p w14:paraId="5F80E4AB" w14:textId="77777777" w:rsidR="00BC24A8" w:rsidRDefault="00000000">
            <w:pPr>
              <w:pStyle w:val="TableParagraph"/>
              <w:spacing w:before="1"/>
              <w:rPr>
                <w:sz w:val="18"/>
              </w:rPr>
            </w:pPr>
            <w:r>
              <w:rPr>
                <w:spacing w:val="-2"/>
                <w:sz w:val="18"/>
              </w:rPr>
              <w:t>workshops.</w:t>
            </w:r>
          </w:p>
        </w:tc>
        <w:tc>
          <w:tcPr>
            <w:tcW w:w="2356" w:type="dxa"/>
            <w:tcBorders>
              <w:bottom w:val="single" w:sz="18" w:space="0" w:color="D9D9D9"/>
            </w:tcBorders>
          </w:tcPr>
          <w:p w14:paraId="6ED15E38" w14:textId="77777777" w:rsidR="00BC24A8" w:rsidRDefault="00000000">
            <w:pPr>
              <w:pStyle w:val="TableParagraph"/>
              <w:spacing w:before="1"/>
              <w:rPr>
                <w:sz w:val="18"/>
              </w:rPr>
            </w:pPr>
            <w:r>
              <w:rPr>
                <w:spacing w:val="-2"/>
                <w:sz w:val="18"/>
              </w:rPr>
              <w:t>Climate</w:t>
            </w:r>
            <w:r>
              <w:rPr>
                <w:spacing w:val="6"/>
                <w:sz w:val="18"/>
              </w:rPr>
              <w:t xml:space="preserve"> </w:t>
            </w:r>
            <w:r>
              <w:rPr>
                <w:spacing w:val="-2"/>
                <w:sz w:val="18"/>
              </w:rPr>
              <w:t>Integration</w:t>
            </w:r>
            <w:r>
              <w:rPr>
                <w:spacing w:val="8"/>
                <w:sz w:val="18"/>
              </w:rPr>
              <w:t xml:space="preserve"> </w:t>
            </w:r>
            <w:r>
              <w:rPr>
                <w:spacing w:val="-4"/>
                <w:sz w:val="18"/>
              </w:rPr>
              <w:t>Plan.</w:t>
            </w:r>
          </w:p>
        </w:tc>
      </w:tr>
    </w:tbl>
    <w:p w14:paraId="50F3235F" w14:textId="77777777" w:rsidR="00BC24A8" w:rsidRDefault="00BC24A8">
      <w:pPr>
        <w:pStyle w:val="TableParagraph"/>
        <w:rPr>
          <w:sz w:val="18"/>
        </w:rPr>
        <w:sectPr w:rsidR="00BC24A8">
          <w:pgSz w:w="11910" w:h="16840"/>
          <w:pgMar w:top="1360" w:right="850" w:bottom="1100" w:left="1275" w:header="0" w:footer="907" w:gutter="0"/>
          <w:cols w:space="720"/>
        </w:sectPr>
      </w:pPr>
    </w:p>
    <w:p w14:paraId="1AA0CD5A" w14:textId="77777777" w:rsidR="00BC24A8" w:rsidRDefault="00000000">
      <w:pPr>
        <w:spacing w:before="30"/>
        <w:ind w:left="143"/>
        <w:rPr>
          <w:sz w:val="18"/>
        </w:rPr>
      </w:pPr>
      <w:r>
        <w:rPr>
          <w:sz w:val="18"/>
        </w:rPr>
        <w:t>LPEM-UI</w:t>
      </w:r>
      <w:r>
        <w:rPr>
          <w:spacing w:val="-5"/>
          <w:sz w:val="18"/>
        </w:rPr>
        <w:t xml:space="preserve"> </w:t>
      </w:r>
      <w:r>
        <w:rPr>
          <w:spacing w:val="-2"/>
          <w:sz w:val="18"/>
        </w:rPr>
        <w:t>(University</w:t>
      </w:r>
    </w:p>
    <w:p w14:paraId="25F2C75E" w14:textId="77777777" w:rsidR="00BC24A8" w:rsidRDefault="00000000">
      <w:pPr>
        <w:spacing w:before="30"/>
        <w:ind w:left="143"/>
        <w:rPr>
          <w:sz w:val="18"/>
        </w:rPr>
      </w:pPr>
      <w:r>
        <w:br w:type="column"/>
      </w:r>
      <w:r>
        <w:rPr>
          <w:sz w:val="18"/>
        </w:rPr>
        <w:t>8</w:t>
      </w:r>
      <w:r>
        <w:rPr>
          <w:spacing w:val="-3"/>
          <w:sz w:val="18"/>
        </w:rPr>
        <w:t xml:space="preserve"> </w:t>
      </w:r>
      <w:r>
        <w:rPr>
          <w:sz w:val="18"/>
        </w:rPr>
        <w:t>provinces</w:t>
      </w:r>
      <w:r>
        <w:rPr>
          <w:spacing w:val="-2"/>
          <w:sz w:val="18"/>
        </w:rPr>
        <w:t xml:space="preserve"> </w:t>
      </w:r>
      <w:r>
        <w:rPr>
          <w:sz w:val="18"/>
        </w:rPr>
        <w:t>–</w:t>
      </w:r>
      <w:r>
        <w:rPr>
          <w:spacing w:val="-2"/>
          <w:sz w:val="18"/>
        </w:rPr>
        <w:t xml:space="preserve"> </w:t>
      </w:r>
      <w:r>
        <w:rPr>
          <w:spacing w:val="-4"/>
          <w:sz w:val="18"/>
        </w:rPr>
        <w:t>PERA</w:t>
      </w:r>
    </w:p>
    <w:p w14:paraId="6DD73A89" w14:textId="77777777" w:rsidR="00BC24A8" w:rsidRDefault="00000000">
      <w:pPr>
        <w:spacing w:before="30"/>
        <w:ind w:left="143"/>
        <w:rPr>
          <w:sz w:val="18"/>
        </w:rPr>
      </w:pPr>
      <w:r>
        <w:br w:type="column"/>
      </w:r>
      <w:r>
        <w:rPr>
          <w:sz w:val="18"/>
        </w:rPr>
        <w:t>Co-produced</w:t>
      </w:r>
      <w:r>
        <w:rPr>
          <w:spacing w:val="-4"/>
          <w:sz w:val="18"/>
        </w:rPr>
        <w:t xml:space="preserve"> </w:t>
      </w:r>
      <w:r>
        <w:rPr>
          <w:sz w:val="18"/>
        </w:rPr>
        <w:t>PERA</w:t>
      </w:r>
      <w:r>
        <w:rPr>
          <w:spacing w:val="-5"/>
          <w:sz w:val="18"/>
        </w:rPr>
        <w:t xml:space="preserve"> </w:t>
      </w:r>
      <w:r>
        <w:rPr>
          <w:sz w:val="18"/>
        </w:rPr>
        <w:t>analysis</w:t>
      </w:r>
      <w:r>
        <w:rPr>
          <w:spacing w:val="-4"/>
          <w:sz w:val="18"/>
        </w:rPr>
        <w:t xml:space="preserve"> </w:t>
      </w:r>
      <w:r>
        <w:rPr>
          <w:sz w:val="18"/>
        </w:rPr>
        <w:t>highlighting</w:t>
      </w:r>
      <w:r>
        <w:rPr>
          <w:spacing w:val="-4"/>
          <w:sz w:val="18"/>
        </w:rPr>
        <w:t xml:space="preserve"> </w:t>
      </w:r>
      <w:r>
        <w:rPr>
          <w:sz w:val="18"/>
        </w:rPr>
        <w:t>climate-Findings</w:t>
      </w:r>
      <w:r>
        <w:rPr>
          <w:spacing w:val="-4"/>
          <w:sz w:val="18"/>
        </w:rPr>
        <w:t xml:space="preserve"> </w:t>
      </w:r>
      <w:r>
        <w:rPr>
          <w:sz w:val="18"/>
        </w:rPr>
        <w:t>to</w:t>
      </w:r>
      <w:r>
        <w:rPr>
          <w:spacing w:val="-5"/>
          <w:sz w:val="18"/>
        </w:rPr>
        <w:t xml:space="preserve"> </w:t>
      </w:r>
      <w:r>
        <w:rPr>
          <w:sz w:val="18"/>
        </w:rPr>
        <w:t>shape</w:t>
      </w:r>
      <w:r>
        <w:rPr>
          <w:spacing w:val="-3"/>
          <w:sz w:val="18"/>
        </w:rPr>
        <w:t xml:space="preserve"> </w:t>
      </w:r>
      <w:r>
        <w:rPr>
          <w:spacing w:val="-2"/>
          <w:sz w:val="18"/>
        </w:rPr>
        <w:t>capacity</w:t>
      </w:r>
    </w:p>
    <w:p w14:paraId="74ED8E5B" w14:textId="77777777" w:rsidR="00BC24A8" w:rsidRDefault="00BC24A8">
      <w:pPr>
        <w:rPr>
          <w:sz w:val="18"/>
        </w:rPr>
        <w:sectPr w:rsidR="00BC24A8">
          <w:type w:val="continuous"/>
          <w:pgSz w:w="11910" w:h="16840"/>
          <w:pgMar w:top="1920" w:right="850" w:bottom="280" w:left="1275" w:header="0" w:footer="907" w:gutter="0"/>
          <w:cols w:num="3" w:space="720" w:equalWidth="0">
            <w:col w:w="1579" w:space="41"/>
            <w:col w:w="1517" w:space="43"/>
            <w:col w:w="6605"/>
          </w:cols>
        </w:sectPr>
      </w:pPr>
    </w:p>
    <w:p w14:paraId="587B2B2C" w14:textId="77777777" w:rsidR="00BC24A8" w:rsidRDefault="00000000">
      <w:pPr>
        <w:spacing w:before="35"/>
        <w:ind w:left="143"/>
        <w:rPr>
          <w:sz w:val="18"/>
        </w:rPr>
      </w:pPr>
      <w:r>
        <w:rPr>
          <w:sz w:val="18"/>
        </w:rPr>
        <w:t>of</w:t>
      </w:r>
      <w:r>
        <w:rPr>
          <w:spacing w:val="-4"/>
          <w:sz w:val="18"/>
        </w:rPr>
        <w:t xml:space="preserve"> </w:t>
      </w:r>
      <w:r>
        <w:rPr>
          <w:spacing w:val="-2"/>
          <w:sz w:val="18"/>
        </w:rPr>
        <w:t>Indonesia)</w:t>
      </w:r>
    </w:p>
    <w:p w14:paraId="08342967" w14:textId="77777777" w:rsidR="00BC24A8" w:rsidRDefault="00000000">
      <w:pPr>
        <w:spacing w:before="35"/>
        <w:ind w:left="143"/>
        <w:rPr>
          <w:sz w:val="18"/>
        </w:rPr>
      </w:pPr>
      <w:r>
        <w:br w:type="column"/>
      </w:r>
      <w:r>
        <w:rPr>
          <w:spacing w:val="-2"/>
          <w:sz w:val="18"/>
        </w:rPr>
        <w:t>research</w:t>
      </w:r>
    </w:p>
    <w:p w14:paraId="542515E8" w14:textId="77777777" w:rsidR="00BC24A8" w:rsidRDefault="00000000">
      <w:pPr>
        <w:spacing w:before="35"/>
        <w:ind w:left="143"/>
        <w:rPr>
          <w:sz w:val="18"/>
        </w:rPr>
      </w:pPr>
      <w:r>
        <w:br w:type="column"/>
      </w:r>
      <w:r>
        <w:rPr>
          <w:sz w:val="18"/>
        </w:rPr>
        <w:t>relevant</w:t>
      </w:r>
      <w:r>
        <w:rPr>
          <w:spacing w:val="-6"/>
          <w:sz w:val="18"/>
        </w:rPr>
        <w:t xml:space="preserve"> </w:t>
      </w:r>
      <w:r>
        <w:rPr>
          <w:sz w:val="18"/>
        </w:rPr>
        <w:t>vulnerabilities</w:t>
      </w:r>
      <w:r>
        <w:rPr>
          <w:spacing w:val="-7"/>
          <w:sz w:val="18"/>
        </w:rPr>
        <w:t xml:space="preserve"> </w:t>
      </w:r>
      <w:r>
        <w:rPr>
          <w:sz w:val="18"/>
        </w:rPr>
        <w:t>and</w:t>
      </w:r>
      <w:r>
        <w:rPr>
          <w:spacing w:val="-7"/>
          <w:sz w:val="18"/>
        </w:rPr>
        <w:t xml:space="preserve"> </w:t>
      </w:r>
      <w:r>
        <w:rPr>
          <w:sz w:val="18"/>
        </w:rPr>
        <w:t>fiscal</w:t>
      </w:r>
      <w:r>
        <w:rPr>
          <w:spacing w:val="-8"/>
          <w:sz w:val="18"/>
        </w:rPr>
        <w:t xml:space="preserve"> </w:t>
      </w:r>
      <w:r>
        <w:rPr>
          <w:spacing w:val="-2"/>
          <w:sz w:val="18"/>
        </w:rPr>
        <w:t>implications.</w:t>
      </w:r>
    </w:p>
    <w:p w14:paraId="2DC635AE" w14:textId="77777777" w:rsidR="00BC24A8" w:rsidRDefault="00000000">
      <w:pPr>
        <w:spacing w:before="35" w:line="278" w:lineRule="auto"/>
        <w:ind w:left="119" w:right="965"/>
        <w:rPr>
          <w:sz w:val="18"/>
        </w:rPr>
      </w:pPr>
      <w:r>
        <w:br w:type="column"/>
      </w:r>
      <w:r>
        <w:rPr>
          <w:sz w:val="18"/>
        </w:rPr>
        <w:t>building</w:t>
      </w:r>
      <w:r>
        <w:rPr>
          <w:spacing w:val="-11"/>
          <w:sz w:val="18"/>
        </w:rPr>
        <w:t xml:space="preserve"> </w:t>
      </w:r>
      <w:r>
        <w:rPr>
          <w:sz w:val="18"/>
        </w:rPr>
        <w:t>for</w:t>
      </w:r>
      <w:r>
        <w:rPr>
          <w:spacing w:val="-10"/>
          <w:sz w:val="18"/>
        </w:rPr>
        <w:t xml:space="preserve"> </w:t>
      </w:r>
      <w:r>
        <w:rPr>
          <w:sz w:val="18"/>
        </w:rPr>
        <w:t>climate-resilient planning and budgeting.</w:t>
      </w:r>
    </w:p>
    <w:p w14:paraId="28062A3B" w14:textId="77777777" w:rsidR="00BC24A8" w:rsidRDefault="00BC24A8">
      <w:pPr>
        <w:spacing w:line="278" w:lineRule="auto"/>
        <w:rPr>
          <w:sz w:val="18"/>
        </w:rPr>
        <w:sectPr w:rsidR="00BC24A8">
          <w:type w:val="continuous"/>
          <w:pgSz w:w="11910" w:h="16840"/>
          <w:pgMar w:top="1920" w:right="850" w:bottom="280" w:left="1275" w:header="0" w:footer="907" w:gutter="0"/>
          <w:cols w:num="4" w:space="720" w:equalWidth="0">
            <w:col w:w="1126" w:space="494"/>
            <w:col w:w="805" w:space="755"/>
            <w:col w:w="3450" w:space="40"/>
            <w:col w:w="3115"/>
          </w:cols>
        </w:sectPr>
      </w:pPr>
    </w:p>
    <w:p w14:paraId="0F8EE0FE" w14:textId="77777777" w:rsidR="00BC24A8" w:rsidRDefault="00BC24A8">
      <w:pPr>
        <w:pStyle w:val="BodyText"/>
        <w:spacing w:before="11" w:after="1"/>
        <w:rPr>
          <w:sz w:val="12"/>
        </w:rPr>
      </w:pPr>
    </w:p>
    <w:p w14:paraId="775A35A7" w14:textId="77777777" w:rsidR="00BC24A8" w:rsidRDefault="00000000">
      <w:pPr>
        <w:pStyle w:val="BodyText"/>
        <w:spacing w:line="43" w:lineRule="exact"/>
        <w:ind w:left="143"/>
        <w:rPr>
          <w:sz w:val="4"/>
        </w:rPr>
      </w:pPr>
      <w:r>
        <w:rPr>
          <w:noProof/>
          <w:sz w:val="4"/>
        </w:rPr>
        <mc:AlternateContent>
          <mc:Choice Requires="wpg">
            <w:drawing>
              <wp:inline distT="0" distB="0" distL="0" distR="0" wp14:anchorId="58E80839" wp14:editId="6B9C6721">
                <wp:extent cx="5715000" cy="27940"/>
                <wp:effectExtent l="0" t="0" r="0" b="0"/>
                <wp:docPr id="6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27940"/>
                          <a:chOff x="0" y="0"/>
                          <a:chExt cx="5715000" cy="27940"/>
                        </a:xfrm>
                      </wpg:grpSpPr>
                      <wps:wsp>
                        <wps:cNvPr id="63" name="Graphic 63"/>
                        <wps:cNvSpPr/>
                        <wps:spPr>
                          <a:xfrm>
                            <a:off x="0" y="0"/>
                            <a:ext cx="5715000" cy="27940"/>
                          </a:xfrm>
                          <a:custGeom>
                            <a:avLst/>
                            <a:gdLst/>
                            <a:ahLst/>
                            <a:cxnLst/>
                            <a:rect l="l" t="t" r="r" b="b"/>
                            <a:pathLst>
                              <a:path w="5715000" h="27940">
                                <a:moveTo>
                                  <a:pt x="1056119" y="0"/>
                                </a:moveTo>
                                <a:lnTo>
                                  <a:pt x="1028700" y="0"/>
                                </a:lnTo>
                                <a:lnTo>
                                  <a:pt x="0" y="0"/>
                                </a:lnTo>
                                <a:lnTo>
                                  <a:pt x="0" y="27432"/>
                                </a:lnTo>
                                <a:lnTo>
                                  <a:pt x="1028700" y="27432"/>
                                </a:lnTo>
                                <a:lnTo>
                                  <a:pt x="1056119" y="27432"/>
                                </a:lnTo>
                                <a:lnTo>
                                  <a:pt x="1056119" y="0"/>
                                </a:lnTo>
                                <a:close/>
                              </a:path>
                              <a:path w="5715000" h="27940">
                                <a:moveTo>
                                  <a:pt x="2046719" y="0"/>
                                </a:moveTo>
                                <a:lnTo>
                                  <a:pt x="2019300" y="0"/>
                                </a:lnTo>
                                <a:lnTo>
                                  <a:pt x="1056132" y="0"/>
                                </a:lnTo>
                                <a:lnTo>
                                  <a:pt x="1056132" y="27432"/>
                                </a:lnTo>
                                <a:lnTo>
                                  <a:pt x="2019300" y="27432"/>
                                </a:lnTo>
                                <a:lnTo>
                                  <a:pt x="2046719" y="27432"/>
                                </a:lnTo>
                                <a:lnTo>
                                  <a:pt x="2046719" y="0"/>
                                </a:lnTo>
                                <a:close/>
                              </a:path>
                              <a:path w="5715000" h="27940">
                                <a:moveTo>
                                  <a:pt x="5715000" y="0"/>
                                </a:moveTo>
                                <a:lnTo>
                                  <a:pt x="4247388" y="0"/>
                                </a:lnTo>
                                <a:lnTo>
                                  <a:pt x="4219956" y="0"/>
                                </a:lnTo>
                                <a:lnTo>
                                  <a:pt x="2046732" y="0"/>
                                </a:lnTo>
                                <a:lnTo>
                                  <a:pt x="2046732" y="27432"/>
                                </a:lnTo>
                                <a:lnTo>
                                  <a:pt x="4219956" y="27432"/>
                                </a:lnTo>
                                <a:lnTo>
                                  <a:pt x="4247388" y="27432"/>
                                </a:lnTo>
                                <a:lnTo>
                                  <a:pt x="5715000" y="27432"/>
                                </a:lnTo>
                                <a:lnTo>
                                  <a:pt x="571500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1464AF9D" id="Group 62" o:spid="_x0000_s1026" alt="&quot;&quot;" style="width:450pt;height:2.2pt;mso-position-horizontal-relative:char;mso-position-vertical-relative:line" coordsize="5715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">
                <v:shape id="Graphic 63" o:spid="_x0000_s1027" style="position:absolute;width:57150;height:279;visibility:visible;mso-wrap-style:square;v-text-anchor:top" coordsize="57150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" path="m1056119,r-27419,l,,,27432r1028700,l1056119,27432r,-27432xem2046719,r-27419,l1056132,r,27432l2019300,27432r27419,l2046719,xem5715000,l4247388,r-27432,l2046732,r,27432l4219956,27432r27432,l5715000,27432r,-27432xe" fillcolor="#d9d9d9" stroked="f">
                  <v:path arrowok="t"/>
                </v:shape>
                <w10:anchorlock/>
              </v:group>
            </w:pict>
          </mc:Fallback>
        </mc:AlternateContent>
      </w:r>
    </w:p>
    <w:p w14:paraId="5AC94F83" w14:textId="77777777" w:rsidR="00BC24A8" w:rsidRDefault="00BC24A8">
      <w:pPr>
        <w:pStyle w:val="BodyText"/>
        <w:spacing w:line="43" w:lineRule="exact"/>
        <w:rPr>
          <w:sz w:val="4"/>
        </w:rPr>
        <w:sectPr w:rsidR="00BC24A8">
          <w:type w:val="continuous"/>
          <w:pgSz w:w="11910" w:h="16840"/>
          <w:pgMar w:top="1920" w:right="850" w:bottom="280" w:left="1275" w:header="0" w:footer="907" w:gutter="0"/>
          <w:cols w:space="720"/>
        </w:sectPr>
      </w:pPr>
    </w:p>
    <w:p w14:paraId="77FC3A90" w14:textId="77777777" w:rsidR="00BC24A8" w:rsidRDefault="00000000">
      <w:pPr>
        <w:spacing w:before="4"/>
        <w:ind w:left="143"/>
        <w:rPr>
          <w:sz w:val="18"/>
        </w:rPr>
      </w:pPr>
      <w:r>
        <w:rPr>
          <w:sz w:val="18"/>
        </w:rPr>
        <w:t>INKLUSI</w:t>
      </w:r>
      <w:r>
        <w:rPr>
          <w:spacing w:val="-5"/>
          <w:sz w:val="18"/>
        </w:rPr>
        <w:t xml:space="preserve"> </w:t>
      </w:r>
      <w:r>
        <w:rPr>
          <w:sz w:val="18"/>
        </w:rPr>
        <w:t>(PEKKA)</w:t>
      </w:r>
      <w:r>
        <w:rPr>
          <w:spacing w:val="-5"/>
          <w:sz w:val="18"/>
        </w:rPr>
        <w:t xml:space="preserve"> </w:t>
      </w:r>
      <w:r>
        <w:rPr>
          <w:spacing w:val="-10"/>
          <w:sz w:val="18"/>
        </w:rPr>
        <w:t>&amp;</w:t>
      </w:r>
    </w:p>
    <w:p w14:paraId="225FAEAF" w14:textId="77777777" w:rsidR="00BC24A8" w:rsidRDefault="00000000">
      <w:pPr>
        <w:spacing w:before="4"/>
        <w:ind w:left="143"/>
        <w:rPr>
          <w:sz w:val="18"/>
        </w:rPr>
      </w:pPr>
      <w:r>
        <w:br w:type="column"/>
      </w:r>
      <w:r>
        <w:rPr>
          <w:sz w:val="18"/>
        </w:rPr>
        <w:t>North</w:t>
      </w:r>
      <w:r>
        <w:rPr>
          <w:spacing w:val="-7"/>
          <w:sz w:val="18"/>
        </w:rPr>
        <w:t xml:space="preserve"> </w:t>
      </w:r>
      <w:r>
        <w:rPr>
          <w:sz w:val="18"/>
        </w:rPr>
        <w:t>Kalimantan</w:t>
      </w:r>
      <w:r>
        <w:rPr>
          <w:spacing w:val="-7"/>
          <w:sz w:val="18"/>
        </w:rPr>
        <w:t xml:space="preserve"> </w:t>
      </w:r>
      <w:r>
        <w:rPr>
          <w:spacing w:val="-10"/>
          <w:sz w:val="18"/>
        </w:rPr>
        <w:t>–</w:t>
      </w:r>
    </w:p>
    <w:p w14:paraId="4BBD3987" w14:textId="77777777" w:rsidR="00BC24A8" w:rsidRDefault="00000000">
      <w:pPr>
        <w:spacing w:before="4"/>
        <w:ind w:left="119"/>
        <w:rPr>
          <w:sz w:val="18"/>
        </w:rPr>
      </w:pPr>
      <w:r>
        <w:br w:type="column"/>
      </w:r>
      <w:r>
        <w:rPr>
          <w:spacing w:val="-2"/>
          <w:sz w:val="18"/>
        </w:rPr>
        <w:t>Multi-stakeholder</w:t>
      </w:r>
      <w:r>
        <w:rPr>
          <w:spacing w:val="5"/>
          <w:sz w:val="18"/>
        </w:rPr>
        <w:t xml:space="preserve"> </w:t>
      </w:r>
      <w:r>
        <w:rPr>
          <w:spacing w:val="-2"/>
          <w:sz w:val="18"/>
        </w:rPr>
        <w:t>coordination</w:t>
      </w:r>
      <w:r>
        <w:rPr>
          <w:spacing w:val="8"/>
          <w:sz w:val="18"/>
        </w:rPr>
        <w:t xml:space="preserve"> </w:t>
      </w:r>
      <w:r>
        <w:rPr>
          <w:spacing w:val="-2"/>
          <w:sz w:val="18"/>
        </w:rPr>
        <w:t>team</w:t>
      </w:r>
      <w:r>
        <w:rPr>
          <w:spacing w:val="7"/>
          <w:sz w:val="18"/>
        </w:rPr>
        <w:t xml:space="preserve"> </w:t>
      </w:r>
      <w:r>
        <w:rPr>
          <w:spacing w:val="-2"/>
          <w:sz w:val="18"/>
        </w:rPr>
        <w:t>for</w:t>
      </w:r>
      <w:r>
        <w:rPr>
          <w:spacing w:val="9"/>
          <w:sz w:val="18"/>
        </w:rPr>
        <w:t xml:space="preserve"> </w:t>
      </w:r>
      <w:r>
        <w:rPr>
          <w:spacing w:val="-4"/>
          <w:sz w:val="18"/>
        </w:rPr>
        <w:t>RAD-</w:t>
      </w:r>
    </w:p>
    <w:p w14:paraId="3554D499" w14:textId="77777777" w:rsidR="00BC24A8" w:rsidRDefault="00000000">
      <w:pPr>
        <w:spacing w:before="4"/>
        <w:ind w:left="125"/>
        <w:rPr>
          <w:sz w:val="18"/>
        </w:rPr>
      </w:pPr>
      <w:r>
        <w:br w:type="column"/>
      </w:r>
      <w:r>
        <w:rPr>
          <w:sz w:val="18"/>
        </w:rPr>
        <w:t>RAD-PD</w:t>
      </w:r>
      <w:r>
        <w:rPr>
          <w:spacing w:val="-4"/>
          <w:sz w:val="18"/>
        </w:rPr>
        <w:t xml:space="preserve"> </w:t>
      </w:r>
      <w:r>
        <w:rPr>
          <w:sz w:val="18"/>
        </w:rPr>
        <w:t>team</w:t>
      </w:r>
      <w:r>
        <w:rPr>
          <w:spacing w:val="-4"/>
          <w:sz w:val="18"/>
        </w:rPr>
        <w:t xml:space="preserve"> </w:t>
      </w:r>
      <w:r>
        <w:rPr>
          <w:sz w:val="18"/>
        </w:rPr>
        <w:t>established;</w:t>
      </w:r>
      <w:r>
        <w:rPr>
          <w:spacing w:val="-4"/>
          <w:sz w:val="18"/>
        </w:rPr>
        <w:t xml:space="preserve"> draft</w:t>
      </w:r>
    </w:p>
    <w:p w14:paraId="126CC248" w14:textId="77777777" w:rsidR="00BC24A8" w:rsidRDefault="00BC24A8">
      <w:pPr>
        <w:rPr>
          <w:sz w:val="18"/>
        </w:rPr>
        <w:sectPr w:rsidR="00BC24A8">
          <w:type w:val="continuous"/>
          <w:pgSz w:w="11910" w:h="16840"/>
          <w:pgMar w:top="1920" w:right="850" w:bottom="280" w:left="1275" w:header="0" w:footer="907" w:gutter="0"/>
          <w:cols w:num="4" w:space="720" w:equalWidth="0">
            <w:col w:w="1516" w:space="104"/>
            <w:col w:w="1544" w:space="40"/>
            <w:col w:w="3420" w:space="39"/>
            <w:col w:w="3122"/>
          </w:cols>
        </w:sectPr>
      </w:pPr>
    </w:p>
    <w:p w14:paraId="71660FAE" w14:textId="77777777" w:rsidR="00BC24A8" w:rsidRDefault="00000000">
      <w:pPr>
        <w:spacing w:before="34"/>
        <w:ind w:left="143"/>
        <w:rPr>
          <w:sz w:val="18"/>
        </w:rPr>
      </w:pPr>
      <w:r>
        <w:rPr>
          <w:spacing w:val="-2"/>
          <w:sz w:val="18"/>
        </w:rPr>
        <w:t>INOVASI</w:t>
      </w:r>
      <w:r>
        <w:rPr>
          <w:spacing w:val="-7"/>
          <w:sz w:val="18"/>
        </w:rPr>
        <w:t xml:space="preserve"> </w:t>
      </w:r>
      <w:r>
        <w:rPr>
          <w:spacing w:val="-2"/>
          <w:sz w:val="18"/>
        </w:rPr>
        <w:t>(DFAT)</w:t>
      </w:r>
      <w:r>
        <w:rPr>
          <w:spacing w:val="-7"/>
          <w:sz w:val="18"/>
        </w:rPr>
        <w:t xml:space="preserve"> </w:t>
      </w:r>
      <w:r>
        <w:rPr>
          <w:spacing w:val="-10"/>
          <w:sz w:val="18"/>
        </w:rPr>
        <w:t>+</w:t>
      </w:r>
    </w:p>
    <w:p w14:paraId="73748A02" w14:textId="77777777" w:rsidR="00BC24A8" w:rsidRDefault="00000000">
      <w:pPr>
        <w:spacing w:before="35"/>
        <w:ind w:left="143"/>
        <w:rPr>
          <w:sz w:val="18"/>
        </w:rPr>
      </w:pPr>
      <w:r>
        <w:rPr>
          <w:sz w:val="18"/>
        </w:rPr>
        <w:t>private</w:t>
      </w:r>
      <w:r>
        <w:rPr>
          <w:spacing w:val="-8"/>
          <w:sz w:val="18"/>
        </w:rPr>
        <w:t xml:space="preserve"> </w:t>
      </w:r>
      <w:r>
        <w:rPr>
          <w:spacing w:val="-2"/>
          <w:sz w:val="18"/>
        </w:rPr>
        <w:t>sector</w:t>
      </w:r>
    </w:p>
    <w:p w14:paraId="58DF5C0C" w14:textId="77777777" w:rsidR="00BC24A8" w:rsidRDefault="00000000">
      <w:pPr>
        <w:spacing w:before="34"/>
        <w:ind w:left="143"/>
        <w:rPr>
          <w:sz w:val="18"/>
        </w:rPr>
      </w:pPr>
      <w:r>
        <w:br w:type="column"/>
      </w:r>
      <w:r>
        <w:rPr>
          <w:sz w:val="18"/>
        </w:rPr>
        <w:t>Disability</w:t>
      </w:r>
      <w:r>
        <w:rPr>
          <w:spacing w:val="-4"/>
          <w:sz w:val="18"/>
        </w:rPr>
        <w:t xml:space="preserve"> </w:t>
      </w:r>
      <w:r>
        <w:rPr>
          <w:sz w:val="18"/>
        </w:rPr>
        <w:t>action</w:t>
      </w:r>
      <w:r>
        <w:rPr>
          <w:spacing w:val="-4"/>
          <w:sz w:val="18"/>
        </w:rPr>
        <w:t xml:space="preserve"> </w:t>
      </w:r>
      <w:r>
        <w:rPr>
          <w:sz w:val="18"/>
        </w:rPr>
        <w:t>plan</w:t>
      </w:r>
      <w:r>
        <w:rPr>
          <w:spacing w:val="17"/>
          <w:sz w:val="18"/>
        </w:rPr>
        <w:t xml:space="preserve"> </w:t>
      </w:r>
      <w:r>
        <w:rPr>
          <w:sz w:val="18"/>
        </w:rPr>
        <w:t>PD</w:t>
      </w:r>
      <w:r>
        <w:rPr>
          <w:spacing w:val="-3"/>
          <w:sz w:val="18"/>
        </w:rPr>
        <w:t xml:space="preserve"> </w:t>
      </w:r>
      <w:r>
        <w:rPr>
          <w:sz w:val="18"/>
        </w:rPr>
        <w:t>implementation</w:t>
      </w:r>
      <w:r>
        <w:rPr>
          <w:spacing w:val="-3"/>
          <w:sz w:val="18"/>
        </w:rPr>
        <w:t xml:space="preserve"> </w:t>
      </w:r>
      <w:r>
        <w:rPr>
          <w:sz w:val="18"/>
        </w:rPr>
        <w:t>formed</w:t>
      </w:r>
      <w:r>
        <w:rPr>
          <w:spacing w:val="-4"/>
          <w:sz w:val="18"/>
        </w:rPr>
        <w:t xml:space="preserve"> </w:t>
      </w:r>
      <w:r>
        <w:rPr>
          <w:sz w:val="18"/>
        </w:rPr>
        <w:t>with</w:t>
      </w:r>
      <w:r>
        <w:rPr>
          <w:spacing w:val="-6"/>
          <w:sz w:val="18"/>
        </w:rPr>
        <w:t xml:space="preserve"> </w:t>
      </w:r>
      <w:r>
        <w:rPr>
          <w:spacing w:val="-2"/>
          <w:sz w:val="18"/>
        </w:rPr>
        <w:t>CSOs/DPOs,</w:t>
      </w:r>
    </w:p>
    <w:p w14:paraId="0BDB12CD" w14:textId="77777777" w:rsidR="00BC24A8" w:rsidRDefault="00000000">
      <w:pPr>
        <w:spacing w:before="35"/>
        <w:ind w:left="1703"/>
        <w:rPr>
          <w:sz w:val="18"/>
        </w:rPr>
      </w:pPr>
      <w:r>
        <w:rPr>
          <w:sz w:val="18"/>
        </w:rPr>
        <w:t>INKLUSI</w:t>
      </w:r>
      <w:r>
        <w:rPr>
          <w:spacing w:val="-7"/>
          <w:sz w:val="18"/>
        </w:rPr>
        <w:t xml:space="preserve"> </w:t>
      </w:r>
      <w:r>
        <w:rPr>
          <w:sz w:val="18"/>
        </w:rPr>
        <w:t>(PEKKA),</w:t>
      </w:r>
      <w:r>
        <w:rPr>
          <w:spacing w:val="-7"/>
          <w:sz w:val="18"/>
        </w:rPr>
        <w:t xml:space="preserve"> </w:t>
      </w:r>
      <w:r>
        <w:rPr>
          <w:sz w:val="18"/>
        </w:rPr>
        <w:t>INOVASI,</w:t>
      </w:r>
      <w:r>
        <w:rPr>
          <w:spacing w:val="-5"/>
          <w:sz w:val="18"/>
        </w:rPr>
        <w:t xml:space="preserve"> </w:t>
      </w:r>
      <w:r>
        <w:rPr>
          <w:sz w:val="18"/>
        </w:rPr>
        <w:t>and</w:t>
      </w:r>
      <w:r>
        <w:rPr>
          <w:spacing w:val="-5"/>
          <w:sz w:val="18"/>
        </w:rPr>
        <w:t xml:space="preserve"> two</w:t>
      </w:r>
    </w:p>
    <w:p w14:paraId="6E6CFF29" w14:textId="77777777" w:rsidR="00BC24A8" w:rsidRDefault="00000000">
      <w:pPr>
        <w:spacing w:before="35"/>
        <w:ind w:left="1703"/>
        <w:rPr>
          <w:sz w:val="18"/>
        </w:rPr>
      </w:pPr>
      <w:r>
        <w:rPr>
          <w:spacing w:val="-2"/>
          <w:sz w:val="18"/>
        </w:rPr>
        <w:t>companies.</w:t>
      </w:r>
    </w:p>
    <w:p w14:paraId="6685CD0A" w14:textId="77777777" w:rsidR="00BC24A8" w:rsidRDefault="00000000">
      <w:pPr>
        <w:spacing w:before="34" w:line="278" w:lineRule="auto"/>
        <w:ind w:left="143" w:right="1108"/>
        <w:rPr>
          <w:sz w:val="18"/>
        </w:rPr>
      </w:pPr>
      <w:r>
        <w:br w:type="column"/>
      </w:r>
      <w:r>
        <w:rPr>
          <w:sz w:val="18"/>
        </w:rPr>
        <w:t>under</w:t>
      </w:r>
      <w:r>
        <w:rPr>
          <w:spacing w:val="-11"/>
          <w:sz w:val="18"/>
        </w:rPr>
        <w:t xml:space="preserve"> </w:t>
      </w:r>
      <w:r>
        <w:rPr>
          <w:sz w:val="18"/>
        </w:rPr>
        <w:t>harmonisation</w:t>
      </w:r>
      <w:r>
        <w:rPr>
          <w:spacing w:val="-10"/>
          <w:sz w:val="18"/>
        </w:rPr>
        <w:t xml:space="preserve"> </w:t>
      </w:r>
      <w:r>
        <w:rPr>
          <w:sz w:val="18"/>
        </w:rPr>
        <w:t xml:space="preserve">with </w:t>
      </w:r>
      <w:r>
        <w:rPr>
          <w:spacing w:val="-2"/>
          <w:sz w:val="18"/>
        </w:rPr>
        <w:t>MoLHR.</w:t>
      </w:r>
    </w:p>
    <w:p w14:paraId="3617F04B" w14:textId="77777777" w:rsidR="00BC24A8" w:rsidRDefault="00BC24A8">
      <w:pPr>
        <w:spacing w:line="278" w:lineRule="auto"/>
        <w:rPr>
          <w:sz w:val="18"/>
        </w:rPr>
        <w:sectPr w:rsidR="00BC24A8">
          <w:type w:val="continuous"/>
          <w:pgSz w:w="11910" w:h="16840"/>
          <w:pgMar w:top="1920" w:right="850" w:bottom="280" w:left="1275" w:header="0" w:footer="907" w:gutter="0"/>
          <w:cols w:num="3" w:space="720" w:equalWidth="0">
            <w:col w:w="1411" w:space="209"/>
            <w:col w:w="4971" w:space="55"/>
            <w:col w:w="3139"/>
          </w:cols>
        </w:sectPr>
      </w:pPr>
    </w:p>
    <w:p w14:paraId="4F6A4A28" w14:textId="77777777" w:rsidR="00BC24A8" w:rsidRDefault="00BC24A8">
      <w:pPr>
        <w:pStyle w:val="BodyText"/>
        <w:spacing w:before="10" w:after="1"/>
        <w:rPr>
          <w:sz w:val="15"/>
        </w:rPr>
      </w:pPr>
    </w:p>
    <w:p w14:paraId="3BABC35D" w14:textId="77777777" w:rsidR="00BC24A8" w:rsidRDefault="00000000">
      <w:pPr>
        <w:pStyle w:val="BodyText"/>
        <w:spacing w:line="43" w:lineRule="exact"/>
        <w:ind w:left="143"/>
        <w:rPr>
          <w:sz w:val="4"/>
        </w:rPr>
      </w:pPr>
      <w:r>
        <w:rPr>
          <w:noProof/>
          <w:sz w:val="4"/>
        </w:rPr>
        <mc:AlternateContent>
          <mc:Choice Requires="wpg">
            <w:drawing>
              <wp:inline distT="0" distB="0" distL="0" distR="0" wp14:anchorId="332E8486" wp14:editId="6A2D3D0B">
                <wp:extent cx="5715000" cy="27940"/>
                <wp:effectExtent l="0" t="0" r="0" b="0"/>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27940"/>
                          <a:chOff x="0" y="0"/>
                          <a:chExt cx="5715000" cy="27940"/>
                        </a:xfrm>
                      </wpg:grpSpPr>
                      <wps:wsp>
                        <wps:cNvPr id="65" name="Graphic 65"/>
                        <wps:cNvSpPr/>
                        <wps:spPr>
                          <a:xfrm>
                            <a:off x="0" y="0"/>
                            <a:ext cx="5715000" cy="27940"/>
                          </a:xfrm>
                          <a:custGeom>
                            <a:avLst/>
                            <a:gdLst/>
                            <a:ahLst/>
                            <a:cxnLst/>
                            <a:rect l="l" t="t" r="r" b="b"/>
                            <a:pathLst>
                              <a:path w="5715000" h="27940">
                                <a:moveTo>
                                  <a:pt x="1056119" y="0"/>
                                </a:moveTo>
                                <a:lnTo>
                                  <a:pt x="1028700" y="0"/>
                                </a:lnTo>
                                <a:lnTo>
                                  <a:pt x="0" y="0"/>
                                </a:lnTo>
                                <a:lnTo>
                                  <a:pt x="0" y="27432"/>
                                </a:lnTo>
                                <a:lnTo>
                                  <a:pt x="1028700" y="27432"/>
                                </a:lnTo>
                                <a:lnTo>
                                  <a:pt x="1056119" y="27432"/>
                                </a:lnTo>
                                <a:lnTo>
                                  <a:pt x="1056119" y="0"/>
                                </a:lnTo>
                                <a:close/>
                              </a:path>
                              <a:path w="5715000" h="27940">
                                <a:moveTo>
                                  <a:pt x="2046719" y="0"/>
                                </a:moveTo>
                                <a:lnTo>
                                  <a:pt x="2019300" y="0"/>
                                </a:lnTo>
                                <a:lnTo>
                                  <a:pt x="1056132" y="0"/>
                                </a:lnTo>
                                <a:lnTo>
                                  <a:pt x="1056132" y="27432"/>
                                </a:lnTo>
                                <a:lnTo>
                                  <a:pt x="2019300" y="27432"/>
                                </a:lnTo>
                                <a:lnTo>
                                  <a:pt x="2046719" y="27432"/>
                                </a:lnTo>
                                <a:lnTo>
                                  <a:pt x="2046719" y="0"/>
                                </a:lnTo>
                                <a:close/>
                              </a:path>
                              <a:path w="5715000" h="27940">
                                <a:moveTo>
                                  <a:pt x="5715000" y="0"/>
                                </a:moveTo>
                                <a:lnTo>
                                  <a:pt x="4247388" y="0"/>
                                </a:lnTo>
                                <a:lnTo>
                                  <a:pt x="4219956" y="0"/>
                                </a:lnTo>
                                <a:lnTo>
                                  <a:pt x="2046732" y="0"/>
                                </a:lnTo>
                                <a:lnTo>
                                  <a:pt x="2046732" y="27432"/>
                                </a:lnTo>
                                <a:lnTo>
                                  <a:pt x="4219956" y="27432"/>
                                </a:lnTo>
                                <a:lnTo>
                                  <a:pt x="4247388" y="27432"/>
                                </a:lnTo>
                                <a:lnTo>
                                  <a:pt x="5715000" y="27432"/>
                                </a:lnTo>
                                <a:lnTo>
                                  <a:pt x="571500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50684B00" id="Group 64" o:spid="_x0000_s1026" alt="&quot;&quot;" style="width:450pt;height:2.2pt;mso-position-horizontal-relative:char;mso-position-vertical-relative:line" coordsize="5715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">
                <v:shape id="Graphic 65" o:spid="_x0000_s1027" style="position:absolute;width:57150;height:279;visibility:visible;mso-wrap-style:square;v-text-anchor:top" coordsize="57150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" path="m1056119,r-27419,l,,,27432r1028700,l1056119,27432r,-27432xem2046719,r-27419,l1056132,r,27432l2019300,27432r27419,l2046719,xem5715000,l4247388,r-27432,l2046732,r,27432l4219956,27432r27432,l5715000,27432r,-27432xe" fillcolor="#d9d9d9" stroked="f">
                  <v:path arrowok="t"/>
                </v:shape>
                <w10:anchorlock/>
              </v:group>
            </w:pict>
          </mc:Fallback>
        </mc:AlternateContent>
      </w:r>
    </w:p>
    <w:p w14:paraId="477290AA" w14:textId="77777777" w:rsidR="00BC24A8" w:rsidRDefault="00BC24A8">
      <w:pPr>
        <w:pStyle w:val="BodyText"/>
        <w:spacing w:line="43" w:lineRule="exact"/>
        <w:rPr>
          <w:sz w:val="4"/>
        </w:rPr>
        <w:sectPr w:rsidR="00BC24A8">
          <w:type w:val="continuous"/>
          <w:pgSz w:w="11910" w:h="16840"/>
          <w:pgMar w:top="1920" w:right="850" w:bottom="280" w:left="1275" w:header="0" w:footer="907" w:gutter="0"/>
          <w:cols w:space="720"/>
        </w:sectPr>
      </w:pPr>
    </w:p>
    <w:p w14:paraId="1124A759" w14:textId="77777777" w:rsidR="00BC24A8" w:rsidRDefault="00000000">
      <w:pPr>
        <w:spacing w:before="4"/>
        <w:ind w:left="143"/>
        <w:rPr>
          <w:sz w:val="18"/>
        </w:rPr>
      </w:pPr>
      <w:r>
        <w:rPr>
          <w:spacing w:val="-2"/>
          <w:sz w:val="18"/>
        </w:rPr>
        <w:t>Yayasan</w:t>
      </w:r>
      <w:r>
        <w:rPr>
          <w:spacing w:val="-8"/>
          <w:sz w:val="18"/>
        </w:rPr>
        <w:t xml:space="preserve"> </w:t>
      </w:r>
      <w:r>
        <w:rPr>
          <w:spacing w:val="-2"/>
          <w:sz w:val="18"/>
        </w:rPr>
        <w:t>JERAT</w:t>
      </w:r>
      <w:r>
        <w:rPr>
          <w:spacing w:val="-7"/>
          <w:sz w:val="18"/>
        </w:rPr>
        <w:t xml:space="preserve"> </w:t>
      </w:r>
      <w:r>
        <w:rPr>
          <w:spacing w:val="-12"/>
          <w:sz w:val="18"/>
        </w:rPr>
        <w:t>&amp;</w:t>
      </w:r>
    </w:p>
    <w:p w14:paraId="4634AFCA" w14:textId="77777777" w:rsidR="00BC24A8" w:rsidRDefault="00000000">
      <w:pPr>
        <w:spacing w:before="4"/>
        <w:ind w:left="143"/>
        <w:rPr>
          <w:sz w:val="18"/>
        </w:rPr>
      </w:pPr>
      <w:r>
        <w:br w:type="column"/>
      </w:r>
      <w:r>
        <w:rPr>
          <w:sz w:val="18"/>
        </w:rPr>
        <w:t>Merauke</w:t>
      </w:r>
      <w:r>
        <w:rPr>
          <w:spacing w:val="-7"/>
          <w:sz w:val="18"/>
        </w:rPr>
        <w:t xml:space="preserve"> </w:t>
      </w:r>
      <w:r>
        <w:rPr>
          <w:sz w:val="18"/>
        </w:rPr>
        <w:t>–</w:t>
      </w:r>
      <w:r>
        <w:rPr>
          <w:spacing w:val="-6"/>
          <w:sz w:val="18"/>
        </w:rPr>
        <w:t xml:space="preserve"> </w:t>
      </w:r>
      <w:r>
        <w:rPr>
          <w:sz w:val="18"/>
        </w:rPr>
        <w:t>OAP</w:t>
      </w:r>
      <w:r>
        <w:rPr>
          <w:spacing w:val="-6"/>
          <w:sz w:val="18"/>
        </w:rPr>
        <w:t xml:space="preserve"> </w:t>
      </w:r>
      <w:r>
        <w:rPr>
          <w:sz w:val="18"/>
        </w:rPr>
        <w:t>data</w:t>
      </w:r>
      <w:r>
        <w:rPr>
          <w:spacing w:val="28"/>
          <w:sz w:val="18"/>
        </w:rPr>
        <w:t xml:space="preserve"> </w:t>
      </w:r>
      <w:r>
        <w:rPr>
          <w:sz w:val="18"/>
        </w:rPr>
        <w:t>Supported</w:t>
      </w:r>
      <w:r>
        <w:rPr>
          <w:spacing w:val="-5"/>
          <w:sz w:val="18"/>
        </w:rPr>
        <w:t xml:space="preserve"> </w:t>
      </w:r>
      <w:r>
        <w:rPr>
          <w:sz w:val="18"/>
        </w:rPr>
        <w:t>systematic</w:t>
      </w:r>
      <w:r>
        <w:rPr>
          <w:spacing w:val="-6"/>
          <w:sz w:val="18"/>
        </w:rPr>
        <w:t xml:space="preserve"> </w:t>
      </w:r>
      <w:r>
        <w:rPr>
          <w:sz w:val="18"/>
        </w:rPr>
        <w:t>OAP</w:t>
      </w:r>
      <w:r>
        <w:rPr>
          <w:spacing w:val="-6"/>
          <w:sz w:val="18"/>
        </w:rPr>
        <w:t xml:space="preserve"> </w:t>
      </w:r>
      <w:r>
        <w:rPr>
          <w:sz w:val="18"/>
        </w:rPr>
        <w:t>data</w:t>
      </w:r>
      <w:r>
        <w:rPr>
          <w:spacing w:val="-6"/>
          <w:sz w:val="18"/>
        </w:rPr>
        <w:t xml:space="preserve"> </w:t>
      </w:r>
      <w:r>
        <w:rPr>
          <w:sz w:val="18"/>
        </w:rPr>
        <w:t>collection</w:t>
      </w:r>
      <w:r>
        <w:rPr>
          <w:spacing w:val="-5"/>
          <w:sz w:val="18"/>
        </w:rPr>
        <w:t xml:space="preserve"> and</w:t>
      </w:r>
    </w:p>
    <w:p w14:paraId="6E48A389" w14:textId="77777777" w:rsidR="00BC24A8" w:rsidRDefault="00000000">
      <w:pPr>
        <w:spacing w:before="4"/>
        <w:ind w:left="108"/>
        <w:rPr>
          <w:sz w:val="18"/>
        </w:rPr>
      </w:pPr>
      <w:r>
        <w:br w:type="column"/>
      </w:r>
      <w:r>
        <w:rPr>
          <w:sz w:val="18"/>
        </w:rPr>
        <w:t>District-wide</w:t>
      </w:r>
      <w:r>
        <w:rPr>
          <w:spacing w:val="-10"/>
          <w:sz w:val="18"/>
        </w:rPr>
        <w:t xml:space="preserve"> </w:t>
      </w:r>
      <w:r>
        <w:rPr>
          <w:sz w:val="18"/>
        </w:rPr>
        <w:t>OAP</w:t>
      </w:r>
      <w:r>
        <w:rPr>
          <w:spacing w:val="-7"/>
          <w:sz w:val="18"/>
        </w:rPr>
        <w:t xml:space="preserve"> </w:t>
      </w:r>
      <w:r>
        <w:rPr>
          <w:spacing w:val="-4"/>
          <w:sz w:val="18"/>
        </w:rPr>
        <w:t>data</w:t>
      </w:r>
    </w:p>
    <w:p w14:paraId="73B69FB9" w14:textId="77777777" w:rsidR="00BC24A8" w:rsidRDefault="00BC24A8">
      <w:pPr>
        <w:rPr>
          <w:sz w:val="18"/>
        </w:rPr>
        <w:sectPr w:rsidR="00BC24A8">
          <w:type w:val="continuous"/>
          <w:pgSz w:w="11910" w:h="16840"/>
          <w:pgMar w:top="1920" w:right="850" w:bottom="280" w:left="1275" w:header="0" w:footer="907" w:gutter="0"/>
          <w:cols w:num="3" w:space="720" w:equalWidth="0">
            <w:col w:w="1363" w:space="257"/>
            <w:col w:w="5021" w:space="40"/>
            <w:col w:w="3104"/>
          </w:cols>
        </w:sectPr>
      </w:pPr>
    </w:p>
    <w:p w14:paraId="401A7E35" w14:textId="77777777" w:rsidR="00BC24A8" w:rsidRDefault="00000000">
      <w:pPr>
        <w:spacing w:before="34" w:line="278" w:lineRule="auto"/>
        <w:ind w:left="143"/>
        <w:rPr>
          <w:sz w:val="18"/>
        </w:rPr>
      </w:pPr>
      <w:r>
        <w:rPr>
          <w:spacing w:val="-2"/>
          <w:sz w:val="18"/>
        </w:rPr>
        <w:t>Musamus</w:t>
      </w:r>
      <w:r>
        <w:rPr>
          <w:spacing w:val="-9"/>
          <w:sz w:val="18"/>
        </w:rPr>
        <w:t xml:space="preserve"> </w:t>
      </w:r>
      <w:r>
        <w:rPr>
          <w:spacing w:val="-2"/>
          <w:sz w:val="18"/>
        </w:rPr>
        <w:t>University</w:t>
      </w:r>
      <w:r>
        <w:rPr>
          <w:sz w:val="18"/>
        </w:rPr>
        <w:t xml:space="preserve"> (local partners)</w:t>
      </w:r>
    </w:p>
    <w:p w14:paraId="536896C9" w14:textId="77777777" w:rsidR="00BC24A8" w:rsidRDefault="00000000">
      <w:pPr>
        <w:spacing w:before="34"/>
        <w:ind w:left="113"/>
        <w:rPr>
          <w:sz w:val="18"/>
        </w:rPr>
      </w:pPr>
      <w:r>
        <w:br w:type="column"/>
      </w:r>
      <w:r>
        <w:rPr>
          <w:spacing w:val="-2"/>
          <w:sz w:val="18"/>
        </w:rPr>
        <w:t>(SIRIOS)</w:t>
      </w:r>
    </w:p>
    <w:p w14:paraId="6E6D8D8F" w14:textId="77777777" w:rsidR="00BC24A8" w:rsidRDefault="00000000">
      <w:pPr>
        <w:spacing w:before="34" w:line="278" w:lineRule="auto"/>
        <w:ind w:left="143" w:right="38"/>
        <w:rPr>
          <w:sz w:val="18"/>
        </w:rPr>
      </w:pPr>
      <w:r>
        <w:br w:type="column"/>
      </w:r>
      <w:r>
        <w:rPr>
          <w:sz w:val="18"/>
        </w:rPr>
        <w:t>operator</w:t>
      </w:r>
      <w:r>
        <w:rPr>
          <w:spacing w:val="-11"/>
          <w:sz w:val="18"/>
        </w:rPr>
        <w:t xml:space="preserve"> </w:t>
      </w:r>
      <w:r>
        <w:rPr>
          <w:sz w:val="18"/>
        </w:rPr>
        <w:t>training;</w:t>
      </w:r>
      <w:r>
        <w:rPr>
          <w:spacing w:val="-10"/>
          <w:sz w:val="18"/>
        </w:rPr>
        <w:t xml:space="preserve"> </w:t>
      </w:r>
      <w:r>
        <w:rPr>
          <w:sz w:val="18"/>
        </w:rPr>
        <w:t>integrated</w:t>
      </w:r>
      <w:r>
        <w:rPr>
          <w:spacing w:val="-10"/>
          <w:sz w:val="18"/>
        </w:rPr>
        <w:t xml:space="preserve"> </w:t>
      </w:r>
      <w:r>
        <w:rPr>
          <w:sz w:val="18"/>
        </w:rPr>
        <w:t>data</w:t>
      </w:r>
      <w:r>
        <w:rPr>
          <w:spacing w:val="-10"/>
          <w:sz w:val="18"/>
        </w:rPr>
        <w:t xml:space="preserve"> </w:t>
      </w:r>
      <w:r>
        <w:rPr>
          <w:sz w:val="18"/>
        </w:rPr>
        <w:t>to</w:t>
      </w:r>
      <w:r>
        <w:rPr>
          <w:spacing w:val="-10"/>
          <w:sz w:val="18"/>
        </w:rPr>
        <w:t xml:space="preserve"> </w:t>
      </w:r>
      <w:r>
        <w:rPr>
          <w:sz w:val="18"/>
        </w:rPr>
        <w:t xml:space="preserve">inform </w:t>
      </w:r>
      <w:r>
        <w:rPr>
          <w:spacing w:val="-2"/>
          <w:sz w:val="18"/>
        </w:rPr>
        <w:t>planning/budgeting.</w:t>
      </w:r>
    </w:p>
    <w:p w14:paraId="7BDCA068" w14:textId="77777777" w:rsidR="00BC24A8" w:rsidRDefault="00000000">
      <w:pPr>
        <w:spacing w:before="34" w:line="278" w:lineRule="auto"/>
        <w:ind w:left="143" w:right="847"/>
        <w:rPr>
          <w:sz w:val="18"/>
        </w:rPr>
      </w:pPr>
      <w:r>
        <w:br w:type="column"/>
      </w:r>
      <w:r>
        <w:rPr>
          <w:sz w:val="18"/>
        </w:rPr>
        <w:t>collection</w:t>
      </w:r>
      <w:r>
        <w:rPr>
          <w:spacing w:val="-11"/>
          <w:sz w:val="18"/>
        </w:rPr>
        <w:t xml:space="preserve"> </w:t>
      </w:r>
      <w:r>
        <w:rPr>
          <w:sz w:val="18"/>
        </w:rPr>
        <w:t>initiated</w:t>
      </w:r>
      <w:r>
        <w:rPr>
          <w:spacing w:val="-10"/>
          <w:sz w:val="18"/>
        </w:rPr>
        <w:t xml:space="preserve"> </w:t>
      </w:r>
      <w:r>
        <w:rPr>
          <w:sz w:val="18"/>
        </w:rPr>
        <w:t>with</w:t>
      </w:r>
      <w:r>
        <w:rPr>
          <w:spacing w:val="-10"/>
          <w:sz w:val="18"/>
        </w:rPr>
        <w:t xml:space="preserve"> </w:t>
      </w:r>
      <w:r>
        <w:rPr>
          <w:sz w:val="18"/>
        </w:rPr>
        <w:t xml:space="preserve">Otsus funds; SIRIOS populated for </w:t>
      </w:r>
      <w:r>
        <w:rPr>
          <w:spacing w:val="-4"/>
          <w:sz w:val="18"/>
        </w:rPr>
        <w:t>use.</w:t>
      </w:r>
    </w:p>
    <w:p w14:paraId="5A02A08E" w14:textId="77777777" w:rsidR="00BC24A8" w:rsidRDefault="00BC24A8">
      <w:pPr>
        <w:spacing w:line="278" w:lineRule="auto"/>
        <w:rPr>
          <w:sz w:val="18"/>
        </w:rPr>
        <w:sectPr w:rsidR="00BC24A8">
          <w:type w:val="continuous"/>
          <w:pgSz w:w="11910" w:h="16840"/>
          <w:pgMar w:top="1920" w:right="850" w:bottom="280" w:left="1275" w:header="0" w:footer="907" w:gutter="0"/>
          <w:cols w:num="4" w:space="720" w:equalWidth="0">
            <w:col w:w="1611" w:space="40"/>
            <w:col w:w="724" w:space="805"/>
            <w:col w:w="3314" w:space="151"/>
            <w:col w:w="3140"/>
          </w:cols>
        </w:sectPr>
      </w:pPr>
    </w:p>
    <w:p w14:paraId="31D63B48" w14:textId="77777777" w:rsidR="00BC24A8" w:rsidRDefault="00BC24A8">
      <w:pPr>
        <w:pStyle w:val="BodyText"/>
        <w:spacing w:before="12"/>
        <w:rPr>
          <w:sz w:val="12"/>
        </w:rPr>
      </w:pPr>
    </w:p>
    <w:p w14:paraId="02AD0EE1" w14:textId="77777777" w:rsidR="00BC24A8" w:rsidRDefault="00000000">
      <w:pPr>
        <w:pStyle w:val="BodyText"/>
        <w:spacing w:line="43" w:lineRule="exact"/>
        <w:ind w:left="129"/>
        <w:rPr>
          <w:sz w:val="4"/>
        </w:rPr>
      </w:pPr>
      <w:r>
        <w:rPr>
          <w:noProof/>
          <w:sz w:val="4"/>
        </w:rPr>
        <mc:AlternateContent>
          <mc:Choice Requires="wpg">
            <w:drawing>
              <wp:inline distT="0" distB="0" distL="0" distR="0" wp14:anchorId="5A6DD09E" wp14:editId="648BCA1A">
                <wp:extent cx="5724525" cy="27940"/>
                <wp:effectExtent l="0" t="0" r="0" b="0"/>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27940"/>
                          <a:chOff x="0" y="0"/>
                          <a:chExt cx="5724525" cy="27940"/>
                        </a:xfrm>
                      </wpg:grpSpPr>
                      <wps:wsp>
                        <wps:cNvPr id="67" name="Graphic 67"/>
                        <wps:cNvSpPr/>
                        <wps:spPr>
                          <a:xfrm>
                            <a:off x="0" y="0"/>
                            <a:ext cx="5724525" cy="27940"/>
                          </a:xfrm>
                          <a:custGeom>
                            <a:avLst/>
                            <a:gdLst/>
                            <a:ahLst/>
                            <a:cxnLst/>
                            <a:rect l="l" t="t" r="r" b="b"/>
                            <a:pathLst>
                              <a:path w="5724525" h="27940">
                                <a:moveTo>
                                  <a:pt x="1056119" y="0"/>
                                </a:moveTo>
                                <a:lnTo>
                                  <a:pt x="1037844" y="0"/>
                                </a:lnTo>
                                <a:lnTo>
                                  <a:pt x="1028700" y="0"/>
                                </a:lnTo>
                                <a:lnTo>
                                  <a:pt x="0" y="0"/>
                                </a:lnTo>
                                <a:lnTo>
                                  <a:pt x="0" y="27444"/>
                                </a:lnTo>
                                <a:lnTo>
                                  <a:pt x="1028700" y="27444"/>
                                </a:lnTo>
                                <a:lnTo>
                                  <a:pt x="1037844" y="27444"/>
                                </a:lnTo>
                                <a:lnTo>
                                  <a:pt x="1056119" y="27444"/>
                                </a:lnTo>
                                <a:lnTo>
                                  <a:pt x="1056119" y="0"/>
                                </a:lnTo>
                                <a:close/>
                              </a:path>
                              <a:path w="5724525" h="27940">
                                <a:moveTo>
                                  <a:pt x="2046719" y="0"/>
                                </a:moveTo>
                                <a:lnTo>
                                  <a:pt x="2028444" y="0"/>
                                </a:lnTo>
                                <a:lnTo>
                                  <a:pt x="2019300" y="0"/>
                                </a:lnTo>
                                <a:lnTo>
                                  <a:pt x="1056132" y="0"/>
                                </a:lnTo>
                                <a:lnTo>
                                  <a:pt x="1056132" y="27444"/>
                                </a:lnTo>
                                <a:lnTo>
                                  <a:pt x="2019300" y="27444"/>
                                </a:lnTo>
                                <a:lnTo>
                                  <a:pt x="2028444" y="27444"/>
                                </a:lnTo>
                                <a:lnTo>
                                  <a:pt x="2046719" y="27444"/>
                                </a:lnTo>
                                <a:lnTo>
                                  <a:pt x="2046719" y="0"/>
                                </a:lnTo>
                                <a:close/>
                              </a:path>
                              <a:path w="5724525" h="27940">
                                <a:moveTo>
                                  <a:pt x="5724131" y="0"/>
                                </a:moveTo>
                                <a:lnTo>
                                  <a:pt x="4247388" y="0"/>
                                </a:lnTo>
                                <a:lnTo>
                                  <a:pt x="4229100" y="0"/>
                                </a:lnTo>
                                <a:lnTo>
                                  <a:pt x="4219956" y="0"/>
                                </a:lnTo>
                                <a:lnTo>
                                  <a:pt x="2046732" y="0"/>
                                </a:lnTo>
                                <a:lnTo>
                                  <a:pt x="2046732" y="27444"/>
                                </a:lnTo>
                                <a:lnTo>
                                  <a:pt x="4219956" y="27444"/>
                                </a:lnTo>
                                <a:lnTo>
                                  <a:pt x="4229100" y="27444"/>
                                </a:lnTo>
                                <a:lnTo>
                                  <a:pt x="4247388" y="27444"/>
                                </a:lnTo>
                                <a:lnTo>
                                  <a:pt x="5724131" y="27444"/>
                                </a:lnTo>
                                <a:lnTo>
                                  <a:pt x="5724131"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14452579" id="Group 66" o:spid="_x0000_s1026" alt="&quot;&quot;" style="width:450.75pt;height:2.2pt;mso-position-horizontal-relative:char;mso-position-vertical-relative:line" coordsize="5724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">
                <v:shape id="Graphic 67" o:spid="_x0000_s1027" style="position:absolute;width:57245;height:279;visibility:visible;mso-wrap-style:square;v-text-anchor:top" coordsize="572452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" path="m1056119,r-18275,l1028700,,,,,27444r1028700,l1037844,27444r18275,l1056119,xem2046719,r-18275,l2019300,,1056132,r,27444l2019300,27444r9144,l2046719,27444r,-27444xem5724131,l4247388,r-18288,l4219956,,2046732,r,27444l4219956,27444r9144,l4247388,27444r1476743,l5724131,xe" fillcolor="#d9d9d9" stroked="f">
                  <v:path arrowok="t"/>
                </v:shape>
                <w10:anchorlock/>
              </v:group>
            </w:pict>
          </mc:Fallback>
        </mc:AlternateContent>
      </w:r>
    </w:p>
    <w:p w14:paraId="4420796C" w14:textId="77777777" w:rsidR="00BC24A8" w:rsidRDefault="00BC24A8">
      <w:pPr>
        <w:pStyle w:val="BodyText"/>
        <w:spacing w:line="43" w:lineRule="exact"/>
        <w:rPr>
          <w:sz w:val="4"/>
        </w:rPr>
        <w:sectPr w:rsidR="00BC24A8">
          <w:type w:val="continuous"/>
          <w:pgSz w:w="11910" w:h="16840"/>
          <w:pgMar w:top="1920" w:right="850" w:bottom="280" w:left="1275" w:header="0" w:footer="907" w:gutter="0"/>
          <w:cols w:space="720"/>
        </w:sectPr>
      </w:pPr>
    </w:p>
    <w:p w14:paraId="2CDEFA1B" w14:textId="77777777" w:rsidR="00BC24A8" w:rsidRDefault="00000000">
      <w:pPr>
        <w:pStyle w:val="Heading2"/>
      </w:pPr>
      <w:bookmarkStart w:id="133" w:name="Annex_5:_Relevant_Documents"/>
      <w:bookmarkStart w:id="134" w:name="_bookmark88"/>
      <w:bookmarkEnd w:id="133"/>
      <w:bookmarkEnd w:id="134"/>
      <w:r>
        <w:rPr>
          <w:color w:val="163558"/>
          <w:spacing w:val="-10"/>
        </w:rPr>
        <w:lastRenderedPageBreak/>
        <w:t>Annex</w:t>
      </w:r>
      <w:r>
        <w:rPr>
          <w:color w:val="163558"/>
          <w:spacing w:val="-41"/>
        </w:rPr>
        <w:t xml:space="preserve"> </w:t>
      </w:r>
      <w:r>
        <w:rPr>
          <w:color w:val="163558"/>
          <w:spacing w:val="-10"/>
        </w:rPr>
        <w:t>5:</w:t>
      </w:r>
      <w:r>
        <w:rPr>
          <w:color w:val="163558"/>
          <w:spacing w:val="-40"/>
        </w:rPr>
        <w:t xml:space="preserve"> </w:t>
      </w:r>
      <w:r>
        <w:rPr>
          <w:color w:val="163558"/>
          <w:spacing w:val="-10"/>
        </w:rPr>
        <w:t>Relevant</w:t>
      </w:r>
      <w:r>
        <w:rPr>
          <w:color w:val="163558"/>
          <w:spacing w:val="-40"/>
        </w:rPr>
        <w:t xml:space="preserve"> </w:t>
      </w:r>
      <w:r>
        <w:rPr>
          <w:color w:val="163558"/>
          <w:spacing w:val="-10"/>
        </w:rPr>
        <w:t>Documents</w:t>
      </w:r>
    </w:p>
    <w:p w14:paraId="012DAE70" w14:textId="77777777" w:rsidR="00BC24A8" w:rsidRDefault="00000000">
      <w:pPr>
        <w:spacing w:before="339" w:after="20"/>
        <w:ind w:left="143"/>
        <w:rPr>
          <w:rFonts w:ascii="Trebuchet MS"/>
          <w:b/>
          <w:sz w:val="28"/>
        </w:rPr>
      </w:pPr>
      <w:r>
        <w:rPr>
          <w:rFonts w:ascii="Trebuchet MS"/>
          <w:b/>
          <w:color w:val="137D87"/>
          <w:spacing w:val="-10"/>
          <w:sz w:val="28"/>
        </w:rPr>
        <w:t>SKALA</w:t>
      </w:r>
      <w:r>
        <w:rPr>
          <w:rFonts w:ascii="Trebuchet MS"/>
          <w:b/>
          <w:color w:val="137D87"/>
          <w:spacing w:val="-47"/>
          <w:sz w:val="28"/>
        </w:rPr>
        <w:t xml:space="preserve"> </w:t>
      </w:r>
      <w:r>
        <w:rPr>
          <w:rFonts w:ascii="Trebuchet MS"/>
          <w:b/>
          <w:color w:val="137D87"/>
          <w:spacing w:val="-10"/>
          <w:sz w:val="28"/>
        </w:rPr>
        <w:t>Policy</w:t>
      </w:r>
      <w:r>
        <w:rPr>
          <w:rFonts w:ascii="Trebuchet MS"/>
          <w:b/>
          <w:color w:val="137D87"/>
          <w:spacing w:val="-47"/>
          <w:sz w:val="28"/>
        </w:rPr>
        <w:t xml:space="preserve"> </w:t>
      </w:r>
      <w:r>
        <w:rPr>
          <w:rFonts w:ascii="Trebuchet MS"/>
          <w:b/>
          <w:color w:val="137D87"/>
          <w:spacing w:val="-10"/>
          <w:sz w:val="28"/>
        </w:rPr>
        <w:t>and</w:t>
      </w:r>
      <w:r>
        <w:rPr>
          <w:rFonts w:ascii="Trebuchet MS"/>
          <w:b/>
          <w:color w:val="137D87"/>
          <w:spacing w:val="-44"/>
          <w:sz w:val="28"/>
        </w:rPr>
        <w:t xml:space="preserve"> </w:t>
      </w:r>
      <w:r>
        <w:rPr>
          <w:rFonts w:ascii="Trebuchet MS"/>
          <w:b/>
          <w:color w:val="137D87"/>
          <w:spacing w:val="-10"/>
          <w:sz w:val="28"/>
        </w:rPr>
        <w:t>Regulation</w:t>
      </w:r>
      <w:r>
        <w:rPr>
          <w:rFonts w:ascii="Trebuchet MS"/>
          <w:b/>
          <w:color w:val="137D87"/>
          <w:spacing w:val="-47"/>
          <w:sz w:val="28"/>
        </w:rPr>
        <w:t xml:space="preserve"> </w:t>
      </w:r>
      <w:r>
        <w:rPr>
          <w:rFonts w:ascii="Trebuchet MS"/>
          <w:b/>
          <w:color w:val="137D87"/>
          <w:spacing w:val="-10"/>
          <w:sz w:val="28"/>
        </w:rPr>
        <w:t>Contributions</w:t>
      </w: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7760"/>
        <w:gridCol w:w="1275"/>
      </w:tblGrid>
      <w:tr w:rsidR="00BC24A8" w14:paraId="25BB590D" w14:textId="77777777">
        <w:trPr>
          <w:trHeight w:val="407"/>
        </w:trPr>
        <w:tc>
          <w:tcPr>
            <w:tcW w:w="490" w:type="dxa"/>
            <w:tcBorders>
              <w:bottom w:val="single" w:sz="4" w:space="0" w:color="A6A6A6"/>
              <w:right w:val="single" w:sz="18" w:space="0" w:color="F1F1F1"/>
            </w:tcBorders>
            <w:shd w:val="clear" w:color="auto" w:fill="17365A"/>
          </w:tcPr>
          <w:p w14:paraId="50899CE2" w14:textId="77777777" w:rsidR="00BC24A8" w:rsidRDefault="00000000">
            <w:pPr>
              <w:pStyle w:val="TableParagraph"/>
              <w:spacing w:before="83"/>
              <w:ind w:left="26"/>
              <w:jc w:val="center"/>
              <w:rPr>
                <w:rFonts w:ascii="Calibri"/>
                <w:b/>
                <w:sz w:val="20"/>
              </w:rPr>
            </w:pPr>
            <w:r>
              <w:rPr>
                <w:rFonts w:ascii="Calibri"/>
                <w:b/>
                <w:color w:val="FFFFFF"/>
                <w:spacing w:val="-5"/>
                <w:sz w:val="20"/>
              </w:rPr>
              <w:t>No</w:t>
            </w:r>
          </w:p>
        </w:tc>
        <w:tc>
          <w:tcPr>
            <w:tcW w:w="7760" w:type="dxa"/>
            <w:tcBorders>
              <w:left w:val="single" w:sz="18" w:space="0" w:color="F1F1F1"/>
              <w:bottom w:val="single" w:sz="4" w:space="0" w:color="A6A6A6"/>
              <w:right w:val="single" w:sz="18" w:space="0" w:color="F1F1F1"/>
            </w:tcBorders>
            <w:shd w:val="clear" w:color="auto" w:fill="17365A"/>
          </w:tcPr>
          <w:p w14:paraId="4A546BA9" w14:textId="77777777" w:rsidR="00BC24A8" w:rsidRDefault="00000000">
            <w:pPr>
              <w:pStyle w:val="TableParagraph"/>
              <w:spacing w:before="83"/>
              <w:ind w:left="5"/>
              <w:jc w:val="center"/>
              <w:rPr>
                <w:rFonts w:ascii="Calibri"/>
                <w:b/>
                <w:sz w:val="20"/>
              </w:rPr>
            </w:pPr>
            <w:r>
              <w:rPr>
                <w:rFonts w:ascii="Calibri"/>
                <w:b/>
                <w:color w:val="FFFFFF"/>
                <w:sz w:val="20"/>
              </w:rPr>
              <w:t>Document</w:t>
            </w:r>
            <w:r>
              <w:rPr>
                <w:rFonts w:ascii="Calibri"/>
                <w:b/>
                <w:color w:val="FFFFFF"/>
                <w:spacing w:val="-7"/>
                <w:sz w:val="20"/>
              </w:rPr>
              <w:t xml:space="preserve"> </w:t>
            </w:r>
            <w:r>
              <w:rPr>
                <w:rFonts w:ascii="Calibri"/>
                <w:b/>
                <w:color w:val="FFFFFF"/>
                <w:spacing w:val="-2"/>
                <w:sz w:val="20"/>
              </w:rPr>
              <w:t>Title</w:t>
            </w:r>
          </w:p>
        </w:tc>
        <w:tc>
          <w:tcPr>
            <w:tcW w:w="1275" w:type="dxa"/>
            <w:tcBorders>
              <w:left w:val="single" w:sz="18" w:space="0" w:color="F1F1F1"/>
              <w:bottom w:val="single" w:sz="4" w:space="0" w:color="A6A6A6"/>
            </w:tcBorders>
            <w:shd w:val="clear" w:color="auto" w:fill="17365A"/>
          </w:tcPr>
          <w:p w14:paraId="23B3045E" w14:textId="77777777" w:rsidR="00BC24A8" w:rsidRDefault="00000000">
            <w:pPr>
              <w:pStyle w:val="TableParagraph"/>
              <w:spacing w:before="83"/>
              <w:ind w:right="8"/>
              <w:jc w:val="center"/>
              <w:rPr>
                <w:rFonts w:ascii="Calibri"/>
                <w:b/>
                <w:sz w:val="20"/>
              </w:rPr>
            </w:pPr>
            <w:r>
              <w:rPr>
                <w:rFonts w:ascii="Calibri"/>
                <w:b/>
                <w:color w:val="FFFFFF"/>
                <w:spacing w:val="-4"/>
                <w:sz w:val="20"/>
              </w:rPr>
              <w:t>Area</w:t>
            </w:r>
          </w:p>
        </w:tc>
      </w:tr>
      <w:tr w:rsidR="00BC24A8" w14:paraId="41F0E786" w14:textId="77777777">
        <w:trPr>
          <w:trHeight w:val="239"/>
        </w:trPr>
        <w:tc>
          <w:tcPr>
            <w:tcW w:w="490" w:type="dxa"/>
            <w:tcBorders>
              <w:top w:val="single" w:sz="4" w:space="0" w:color="A6A6A6"/>
              <w:left w:val="single" w:sz="4" w:space="0" w:color="A6A6A6"/>
              <w:bottom w:val="single" w:sz="4" w:space="0" w:color="A6A6A6"/>
              <w:right w:val="single" w:sz="18" w:space="0" w:color="F1F1F1"/>
            </w:tcBorders>
          </w:tcPr>
          <w:p w14:paraId="1F540577" w14:textId="77777777" w:rsidR="00BC24A8" w:rsidRDefault="00000000">
            <w:pPr>
              <w:pStyle w:val="TableParagraph"/>
              <w:spacing w:line="219" w:lineRule="exact"/>
              <w:ind w:left="26" w:right="179"/>
              <w:jc w:val="center"/>
              <w:rPr>
                <w:sz w:val="18"/>
              </w:rPr>
            </w:pPr>
            <w:r>
              <w:rPr>
                <w:spacing w:val="-10"/>
                <w:sz w:val="18"/>
              </w:rPr>
              <w:t>1</w:t>
            </w:r>
          </w:p>
        </w:tc>
        <w:tc>
          <w:tcPr>
            <w:tcW w:w="7760" w:type="dxa"/>
            <w:tcBorders>
              <w:top w:val="single" w:sz="4" w:space="0" w:color="A6A6A6"/>
              <w:left w:val="single" w:sz="18" w:space="0" w:color="F1F1F1"/>
              <w:bottom w:val="single" w:sz="4" w:space="0" w:color="A6A6A6"/>
              <w:right w:val="single" w:sz="4" w:space="0" w:color="A6A6A6"/>
            </w:tcBorders>
          </w:tcPr>
          <w:p w14:paraId="7562737B" w14:textId="77777777" w:rsidR="00BC24A8" w:rsidRDefault="00000000">
            <w:pPr>
              <w:pStyle w:val="TableParagraph"/>
              <w:spacing w:line="219" w:lineRule="exact"/>
              <w:ind w:left="89"/>
              <w:rPr>
                <w:sz w:val="18"/>
              </w:rPr>
            </w:pPr>
            <w:r>
              <w:rPr>
                <w:sz w:val="18"/>
              </w:rPr>
              <w:t>Ministry</w:t>
            </w:r>
            <w:r>
              <w:rPr>
                <w:spacing w:val="-4"/>
                <w:sz w:val="18"/>
              </w:rPr>
              <w:t xml:space="preserve"> </w:t>
            </w:r>
            <w:r>
              <w:rPr>
                <w:sz w:val="18"/>
              </w:rPr>
              <w:t>of</w:t>
            </w:r>
            <w:r>
              <w:rPr>
                <w:spacing w:val="-3"/>
                <w:sz w:val="18"/>
              </w:rPr>
              <w:t xml:space="preserve"> </w:t>
            </w:r>
            <w:r>
              <w:rPr>
                <w:sz w:val="18"/>
              </w:rPr>
              <w:t>Home</w:t>
            </w:r>
            <w:r>
              <w:rPr>
                <w:spacing w:val="-2"/>
                <w:sz w:val="18"/>
              </w:rPr>
              <w:t xml:space="preserve"> </w:t>
            </w:r>
            <w:r>
              <w:rPr>
                <w:sz w:val="18"/>
              </w:rPr>
              <w:t>Affairs</w:t>
            </w:r>
            <w:r>
              <w:rPr>
                <w:spacing w:val="-2"/>
                <w:sz w:val="18"/>
              </w:rPr>
              <w:t xml:space="preserve"> </w:t>
            </w:r>
            <w:r>
              <w:rPr>
                <w:sz w:val="18"/>
              </w:rPr>
              <w:t>Regulation</w:t>
            </w:r>
            <w:r>
              <w:rPr>
                <w:spacing w:val="-2"/>
                <w:sz w:val="18"/>
              </w:rPr>
              <w:t xml:space="preserve"> </w:t>
            </w:r>
            <w:r>
              <w:rPr>
                <w:sz w:val="18"/>
              </w:rPr>
              <w:t>(Permendagri)</w:t>
            </w:r>
            <w:r>
              <w:rPr>
                <w:spacing w:val="-3"/>
                <w:sz w:val="18"/>
              </w:rPr>
              <w:t xml:space="preserve"> </w:t>
            </w:r>
            <w:r>
              <w:rPr>
                <w:sz w:val="18"/>
              </w:rPr>
              <w:t>No.</w:t>
            </w:r>
            <w:r>
              <w:rPr>
                <w:spacing w:val="-2"/>
                <w:sz w:val="18"/>
              </w:rPr>
              <w:t xml:space="preserve"> </w:t>
            </w:r>
            <w:r>
              <w:rPr>
                <w:sz w:val="18"/>
              </w:rPr>
              <w:t>5/2024</w:t>
            </w:r>
            <w:r>
              <w:rPr>
                <w:spacing w:val="-2"/>
                <w:sz w:val="18"/>
              </w:rPr>
              <w:t xml:space="preserve"> </w:t>
            </w:r>
            <w:r>
              <w:rPr>
                <w:sz w:val="18"/>
              </w:rPr>
              <w:t>on One</w:t>
            </w:r>
            <w:r>
              <w:rPr>
                <w:spacing w:val="-2"/>
                <w:sz w:val="18"/>
              </w:rPr>
              <w:t xml:space="preserve"> </w:t>
            </w:r>
            <w:r>
              <w:rPr>
                <w:sz w:val="18"/>
              </w:rPr>
              <w:t>Data</w:t>
            </w:r>
            <w:r>
              <w:rPr>
                <w:spacing w:val="-3"/>
                <w:sz w:val="18"/>
              </w:rPr>
              <w:t xml:space="preserve"> </w:t>
            </w:r>
            <w:r>
              <w:rPr>
                <w:sz w:val="18"/>
              </w:rPr>
              <w:t>for</w:t>
            </w:r>
            <w:r>
              <w:rPr>
                <w:spacing w:val="-2"/>
                <w:sz w:val="18"/>
              </w:rPr>
              <w:t xml:space="preserve"> </w:t>
            </w:r>
            <w:r>
              <w:rPr>
                <w:sz w:val="18"/>
              </w:rPr>
              <w:t>Domestic</w:t>
            </w:r>
            <w:r>
              <w:rPr>
                <w:spacing w:val="-1"/>
                <w:sz w:val="18"/>
              </w:rPr>
              <w:t xml:space="preserve"> </w:t>
            </w:r>
            <w:r>
              <w:rPr>
                <w:spacing w:val="-2"/>
                <w:sz w:val="18"/>
              </w:rPr>
              <w:t>Governance</w:t>
            </w:r>
          </w:p>
        </w:tc>
        <w:tc>
          <w:tcPr>
            <w:tcW w:w="1275" w:type="dxa"/>
            <w:tcBorders>
              <w:top w:val="single" w:sz="4" w:space="0" w:color="A6A6A6"/>
              <w:left w:val="single" w:sz="4" w:space="0" w:color="A6A6A6"/>
              <w:bottom w:val="single" w:sz="4" w:space="0" w:color="A6A6A6"/>
              <w:right w:val="single" w:sz="4" w:space="0" w:color="A6A6A6"/>
            </w:tcBorders>
          </w:tcPr>
          <w:p w14:paraId="5CF519F0" w14:textId="77777777" w:rsidR="00BC24A8" w:rsidRDefault="00000000">
            <w:pPr>
              <w:pStyle w:val="TableParagraph"/>
              <w:spacing w:line="219" w:lineRule="exact"/>
              <w:ind w:left="106"/>
              <w:rPr>
                <w:sz w:val="18"/>
              </w:rPr>
            </w:pPr>
            <w:r>
              <w:rPr>
                <w:spacing w:val="-2"/>
                <w:sz w:val="18"/>
              </w:rPr>
              <w:t>Jakarta</w:t>
            </w:r>
          </w:p>
        </w:tc>
      </w:tr>
      <w:tr w:rsidR="00BC24A8" w14:paraId="537DBECB"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51EEE9A1" w14:textId="77777777" w:rsidR="00BC24A8" w:rsidRDefault="00000000">
            <w:pPr>
              <w:pStyle w:val="TableParagraph"/>
              <w:spacing w:before="1"/>
              <w:ind w:right="171"/>
              <w:jc w:val="center"/>
              <w:rPr>
                <w:sz w:val="18"/>
              </w:rPr>
            </w:pPr>
            <w:r>
              <w:rPr>
                <w:spacing w:val="-10"/>
                <w:sz w:val="18"/>
              </w:rPr>
              <w:t>2</w:t>
            </w:r>
          </w:p>
        </w:tc>
        <w:tc>
          <w:tcPr>
            <w:tcW w:w="7760" w:type="dxa"/>
            <w:tcBorders>
              <w:top w:val="single" w:sz="4" w:space="0" w:color="A6A6A6"/>
              <w:left w:val="single" w:sz="4" w:space="0" w:color="A6A6A6"/>
              <w:bottom w:val="single" w:sz="4" w:space="0" w:color="A6A6A6"/>
              <w:right w:val="single" w:sz="4" w:space="0" w:color="A6A6A6"/>
            </w:tcBorders>
          </w:tcPr>
          <w:p w14:paraId="5585992F" w14:textId="77777777" w:rsidR="00BC24A8" w:rsidRDefault="00000000">
            <w:pPr>
              <w:pStyle w:val="TableParagraph"/>
              <w:spacing w:before="1"/>
              <w:ind w:left="107" w:right="122"/>
              <w:rPr>
                <w:sz w:val="18"/>
              </w:rPr>
            </w:pPr>
            <w:r>
              <w:rPr>
                <w:sz w:val="18"/>
              </w:rPr>
              <w:t>Revision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Circular</w:t>
            </w:r>
            <w:r>
              <w:rPr>
                <w:spacing w:val="-3"/>
                <w:sz w:val="18"/>
              </w:rPr>
              <w:t xml:space="preserve"> </w:t>
            </w:r>
            <w:r>
              <w:rPr>
                <w:sz w:val="18"/>
              </w:rPr>
              <w:t>Letter</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Minister</w:t>
            </w:r>
            <w:r>
              <w:rPr>
                <w:spacing w:val="-3"/>
                <w:sz w:val="18"/>
              </w:rPr>
              <w:t xml:space="preserve"> </w:t>
            </w:r>
            <w:r>
              <w:rPr>
                <w:sz w:val="18"/>
              </w:rPr>
              <w:t>of</w:t>
            </w:r>
            <w:r>
              <w:rPr>
                <w:spacing w:val="-4"/>
                <w:sz w:val="18"/>
              </w:rPr>
              <w:t xml:space="preserve"> </w:t>
            </w:r>
            <w:r>
              <w:rPr>
                <w:sz w:val="18"/>
              </w:rPr>
              <w:t>National</w:t>
            </w:r>
            <w:r>
              <w:rPr>
                <w:spacing w:val="-5"/>
                <w:sz w:val="18"/>
              </w:rPr>
              <w:t xml:space="preserve"> </w:t>
            </w:r>
            <w:r>
              <w:rPr>
                <w:sz w:val="18"/>
              </w:rPr>
              <w:t>Development</w:t>
            </w:r>
            <w:r>
              <w:rPr>
                <w:spacing w:val="-2"/>
                <w:sz w:val="18"/>
              </w:rPr>
              <w:t xml:space="preserve"> </w:t>
            </w:r>
            <w:r>
              <w:rPr>
                <w:sz w:val="18"/>
              </w:rPr>
              <w:t>Planning/Bappenas</w:t>
            </w:r>
            <w:r>
              <w:rPr>
                <w:spacing w:val="-3"/>
                <w:sz w:val="18"/>
              </w:rPr>
              <w:t xml:space="preserve"> </w:t>
            </w:r>
            <w:r>
              <w:rPr>
                <w:sz w:val="18"/>
              </w:rPr>
              <w:t>No.</w:t>
            </w:r>
            <w:r>
              <w:rPr>
                <w:spacing w:val="-4"/>
                <w:sz w:val="18"/>
              </w:rPr>
              <w:t xml:space="preserve"> </w:t>
            </w:r>
            <w:r>
              <w:rPr>
                <w:sz w:val="18"/>
              </w:rPr>
              <w:t>8/2023 on Procedures for Dissemination and Utilization of the Socio-Economic Registration Data</w:t>
            </w:r>
          </w:p>
        </w:tc>
        <w:tc>
          <w:tcPr>
            <w:tcW w:w="1275" w:type="dxa"/>
            <w:tcBorders>
              <w:top w:val="single" w:sz="4" w:space="0" w:color="A6A6A6"/>
              <w:left w:val="single" w:sz="4" w:space="0" w:color="A6A6A6"/>
              <w:bottom w:val="single" w:sz="4" w:space="0" w:color="A6A6A6"/>
              <w:right w:val="single" w:sz="4" w:space="0" w:color="A6A6A6"/>
            </w:tcBorders>
          </w:tcPr>
          <w:p w14:paraId="015275CC" w14:textId="77777777" w:rsidR="00BC24A8" w:rsidRDefault="00000000">
            <w:pPr>
              <w:pStyle w:val="TableParagraph"/>
              <w:spacing w:before="1"/>
              <w:ind w:left="106"/>
              <w:rPr>
                <w:sz w:val="18"/>
              </w:rPr>
            </w:pPr>
            <w:r>
              <w:rPr>
                <w:spacing w:val="-2"/>
                <w:sz w:val="18"/>
              </w:rPr>
              <w:t>Jakarta</w:t>
            </w:r>
          </w:p>
        </w:tc>
      </w:tr>
      <w:tr w:rsidR="00BC24A8" w14:paraId="25A7B6A1"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1A0D479E" w14:textId="77777777" w:rsidR="00BC24A8" w:rsidRDefault="00000000">
            <w:pPr>
              <w:pStyle w:val="TableParagraph"/>
              <w:spacing w:before="1"/>
              <w:ind w:right="171"/>
              <w:jc w:val="center"/>
              <w:rPr>
                <w:sz w:val="18"/>
              </w:rPr>
            </w:pPr>
            <w:r>
              <w:rPr>
                <w:spacing w:val="-10"/>
                <w:sz w:val="18"/>
              </w:rPr>
              <w:t>3</w:t>
            </w:r>
          </w:p>
        </w:tc>
        <w:tc>
          <w:tcPr>
            <w:tcW w:w="7760" w:type="dxa"/>
            <w:tcBorders>
              <w:top w:val="single" w:sz="4" w:space="0" w:color="A6A6A6"/>
              <w:left w:val="single" w:sz="4" w:space="0" w:color="A6A6A6"/>
              <w:bottom w:val="single" w:sz="4" w:space="0" w:color="A6A6A6"/>
              <w:right w:val="single" w:sz="4" w:space="0" w:color="A6A6A6"/>
            </w:tcBorders>
          </w:tcPr>
          <w:p w14:paraId="0A813D7C" w14:textId="77777777" w:rsidR="00BC24A8" w:rsidRDefault="00000000">
            <w:pPr>
              <w:pStyle w:val="TableParagraph"/>
              <w:spacing w:before="1" w:line="219" w:lineRule="exact"/>
              <w:ind w:left="107"/>
              <w:rPr>
                <w:sz w:val="18"/>
              </w:rPr>
            </w:pPr>
            <w:r>
              <w:rPr>
                <w:sz w:val="18"/>
              </w:rPr>
              <w:t>Minister</w:t>
            </w:r>
            <w:r>
              <w:rPr>
                <w:spacing w:val="-4"/>
                <w:sz w:val="18"/>
              </w:rPr>
              <w:t xml:space="preserve"> </w:t>
            </w:r>
            <w:r>
              <w:rPr>
                <w:sz w:val="18"/>
              </w:rPr>
              <w:t>of</w:t>
            </w:r>
            <w:r>
              <w:rPr>
                <w:spacing w:val="-3"/>
                <w:sz w:val="18"/>
              </w:rPr>
              <w:t xml:space="preserve"> </w:t>
            </w:r>
            <w:r>
              <w:rPr>
                <w:sz w:val="18"/>
              </w:rPr>
              <w:t>Home</w:t>
            </w:r>
            <w:r>
              <w:rPr>
                <w:spacing w:val="-2"/>
                <w:sz w:val="18"/>
              </w:rPr>
              <w:t xml:space="preserve"> </w:t>
            </w:r>
            <w:r>
              <w:rPr>
                <w:sz w:val="18"/>
              </w:rPr>
              <w:t>Affairs</w:t>
            </w:r>
            <w:r>
              <w:rPr>
                <w:spacing w:val="-2"/>
                <w:sz w:val="18"/>
              </w:rPr>
              <w:t xml:space="preserve"> </w:t>
            </w:r>
            <w:r>
              <w:rPr>
                <w:sz w:val="18"/>
              </w:rPr>
              <w:t>Decree</w:t>
            </w:r>
            <w:r>
              <w:rPr>
                <w:spacing w:val="-2"/>
                <w:sz w:val="18"/>
              </w:rPr>
              <w:t xml:space="preserve"> </w:t>
            </w:r>
            <w:r>
              <w:rPr>
                <w:sz w:val="18"/>
              </w:rPr>
              <w:t>on</w:t>
            </w:r>
            <w:r>
              <w:rPr>
                <w:spacing w:val="-2"/>
                <w:sz w:val="18"/>
              </w:rPr>
              <w:t xml:space="preserve"> </w:t>
            </w:r>
            <w:r>
              <w:rPr>
                <w:sz w:val="18"/>
              </w:rPr>
              <w:t>the</w:t>
            </w:r>
            <w:r>
              <w:rPr>
                <w:spacing w:val="-1"/>
                <w:sz w:val="18"/>
              </w:rPr>
              <w:t xml:space="preserve"> </w:t>
            </w:r>
            <w:r>
              <w:rPr>
                <w:sz w:val="18"/>
              </w:rPr>
              <w:t>Grand</w:t>
            </w:r>
            <w:r>
              <w:rPr>
                <w:spacing w:val="-2"/>
                <w:sz w:val="18"/>
              </w:rPr>
              <w:t xml:space="preserve"> </w:t>
            </w:r>
            <w:r>
              <w:rPr>
                <w:sz w:val="18"/>
              </w:rPr>
              <w:t>Design</w:t>
            </w:r>
            <w:r>
              <w:rPr>
                <w:spacing w:val="-2"/>
                <w:sz w:val="18"/>
              </w:rPr>
              <w:t xml:space="preserve"> </w:t>
            </w:r>
            <w:r>
              <w:rPr>
                <w:sz w:val="18"/>
              </w:rPr>
              <w:t>and</w:t>
            </w:r>
            <w:r>
              <w:rPr>
                <w:spacing w:val="-2"/>
                <w:sz w:val="18"/>
              </w:rPr>
              <w:t xml:space="preserve"> </w:t>
            </w:r>
            <w:r>
              <w:rPr>
                <w:sz w:val="18"/>
              </w:rPr>
              <w:t>Technical</w:t>
            </w:r>
            <w:r>
              <w:rPr>
                <w:spacing w:val="-1"/>
                <w:sz w:val="18"/>
              </w:rPr>
              <w:t xml:space="preserve"> </w:t>
            </w:r>
            <w:r>
              <w:rPr>
                <w:sz w:val="18"/>
              </w:rPr>
              <w:t>Guidelines/Instructions</w:t>
            </w:r>
            <w:r>
              <w:rPr>
                <w:spacing w:val="-2"/>
                <w:sz w:val="18"/>
              </w:rPr>
              <w:t xml:space="preserve"> </w:t>
            </w:r>
            <w:r>
              <w:rPr>
                <w:sz w:val="18"/>
              </w:rPr>
              <w:t>for</w:t>
            </w:r>
            <w:r>
              <w:rPr>
                <w:spacing w:val="-1"/>
                <w:sz w:val="18"/>
              </w:rPr>
              <w:t xml:space="preserve"> </w:t>
            </w:r>
            <w:r>
              <w:rPr>
                <w:spacing w:val="-5"/>
                <w:sz w:val="18"/>
              </w:rPr>
              <w:t>One</w:t>
            </w:r>
          </w:p>
          <w:p w14:paraId="1B2083A8" w14:textId="77777777" w:rsidR="00BC24A8" w:rsidRDefault="00000000">
            <w:pPr>
              <w:pStyle w:val="TableParagraph"/>
              <w:spacing w:line="199" w:lineRule="exact"/>
              <w:ind w:left="107"/>
              <w:rPr>
                <w:sz w:val="18"/>
              </w:rPr>
            </w:pPr>
            <w:r>
              <w:rPr>
                <w:sz w:val="18"/>
              </w:rPr>
              <w:t>Data</w:t>
            </w:r>
            <w:r>
              <w:rPr>
                <w:spacing w:val="-3"/>
                <w:sz w:val="18"/>
              </w:rPr>
              <w:t xml:space="preserve"> </w:t>
            </w:r>
            <w:r>
              <w:rPr>
                <w:sz w:val="18"/>
              </w:rPr>
              <w:t>of</w:t>
            </w:r>
            <w:r>
              <w:rPr>
                <w:spacing w:val="-2"/>
                <w:sz w:val="18"/>
              </w:rPr>
              <w:t xml:space="preserve"> </w:t>
            </w:r>
            <w:r>
              <w:rPr>
                <w:sz w:val="18"/>
              </w:rPr>
              <w:t>Domestic</w:t>
            </w:r>
            <w:r>
              <w:rPr>
                <w:spacing w:val="-2"/>
                <w:sz w:val="18"/>
              </w:rPr>
              <w:t xml:space="preserve"> </w:t>
            </w:r>
            <w:r>
              <w:rPr>
                <w:sz w:val="18"/>
              </w:rPr>
              <w:t>Governance</w:t>
            </w:r>
            <w:r>
              <w:rPr>
                <w:spacing w:val="-1"/>
                <w:sz w:val="18"/>
              </w:rPr>
              <w:t xml:space="preserve"> </w:t>
            </w:r>
            <w:r>
              <w:rPr>
                <w:spacing w:val="-2"/>
                <w:sz w:val="18"/>
              </w:rPr>
              <w:t>(SDPDN)</w:t>
            </w:r>
          </w:p>
        </w:tc>
        <w:tc>
          <w:tcPr>
            <w:tcW w:w="1275" w:type="dxa"/>
            <w:tcBorders>
              <w:top w:val="single" w:sz="4" w:space="0" w:color="A6A6A6"/>
              <w:left w:val="single" w:sz="4" w:space="0" w:color="A6A6A6"/>
              <w:bottom w:val="single" w:sz="4" w:space="0" w:color="A6A6A6"/>
              <w:right w:val="single" w:sz="4" w:space="0" w:color="A6A6A6"/>
            </w:tcBorders>
          </w:tcPr>
          <w:p w14:paraId="4967940E" w14:textId="77777777" w:rsidR="00BC24A8" w:rsidRDefault="00000000">
            <w:pPr>
              <w:pStyle w:val="TableParagraph"/>
              <w:spacing w:before="1"/>
              <w:ind w:left="106"/>
              <w:rPr>
                <w:sz w:val="18"/>
              </w:rPr>
            </w:pPr>
            <w:r>
              <w:rPr>
                <w:spacing w:val="-2"/>
                <w:sz w:val="18"/>
              </w:rPr>
              <w:t>Jakarta</w:t>
            </w:r>
          </w:p>
        </w:tc>
      </w:tr>
      <w:tr w:rsidR="00BC24A8" w14:paraId="4A76A3B6"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2E15F44A" w14:textId="77777777" w:rsidR="00BC24A8" w:rsidRDefault="00000000">
            <w:pPr>
              <w:pStyle w:val="TableParagraph"/>
              <w:spacing w:before="1" w:line="218" w:lineRule="exact"/>
              <w:ind w:right="171"/>
              <w:jc w:val="center"/>
              <w:rPr>
                <w:sz w:val="18"/>
              </w:rPr>
            </w:pPr>
            <w:r>
              <w:rPr>
                <w:spacing w:val="-10"/>
                <w:sz w:val="18"/>
              </w:rPr>
              <w:t>4</w:t>
            </w:r>
          </w:p>
        </w:tc>
        <w:tc>
          <w:tcPr>
            <w:tcW w:w="7760" w:type="dxa"/>
            <w:tcBorders>
              <w:top w:val="single" w:sz="4" w:space="0" w:color="A6A6A6"/>
              <w:left w:val="single" w:sz="4" w:space="0" w:color="A6A6A6"/>
              <w:bottom w:val="single" w:sz="4" w:space="0" w:color="A6A6A6"/>
              <w:right w:val="single" w:sz="4" w:space="0" w:color="A6A6A6"/>
            </w:tcBorders>
          </w:tcPr>
          <w:p w14:paraId="1B497E65" w14:textId="77777777" w:rsidR="00BC24A8" w:rsidRDefault="00000000">
            <w:pPr>
              <w:pStyle w:val="TableParagraph"/>
              <w:spacing w:before="1" w:line="218" w:lineRule="exact"/>
              <w:ind w:left="107"/>
              <w:rPr>
                <w:sz w:val="18"/>
              </w:rPr>
            </w:pPr>
            <w:r>
              <w:rPr>
                <w:sz w:val="18"/>
              </w:rPr>
              <w:t>Draft</w:t>
            </w:r>
            <w:r>
              <w:rPr>
                <w:spacing w:val="-2"/>
                <w:sz w:val="18"/>
              </w:rPr>
              <w:t xml:space="preserve"> </w:t>
            </w:r>
            <w:r>
              <w:rPr>
                <w:sz w:val="18"/>
              </w:rPr>
              <w:t>Presidential</w:t>
            </w:r>
            <w:r>
              <w:rPr>
                <w:spacing w:val="-1"/>
                <w:sz w:val="18"/>
              </w:rPr>
              <w:t xml:space="preserve"> </w:t>
            </w:r>
            <w:r>
              <w:rPr>
                <w:sz w:val="18"/>
              </w:rPr>
              <w:t>Regulation</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National</w:t>
            </w:r>
            <w:r>
              <w:rPr>
                <w:spacing w:val="-1"/>
                <w:sz w:val="18"/>
              </w:rPr>
              <w:t xml:space="preserve"> </w:t>
            </w:r>
            <w:r>
              <w:rPr>
                <w:sz w:val="18"/>
              </w:rPr>
              <w:t>Strategy</w:t>
            </w:r>
            <w:r>
              <w:rPr>
                <w:spacing w:val="-3"/>
                <w:sz w:val="18"/>
              </w:rPr>
              <w:t xml:space="preserve"> </w:t>
            </w:r>
            <w:r>
              <w:rPr>
                <w:sz w:val="18"/>
              </w:rPr>
              <w:t>for</w:t>
            </w:r>
            <w:r>
              <w:rPr>
                <w:spacing w:val="-2"/>
                <w:sz w:val="18"/>
              </w:rPr>
              <w:t xml:space="preserve"> </w:t>
            </w:r>
            <w:r>
              <w:rPr>
                <w:sz w:val="18"/>
              </w:rPr>
              <w:t>Gender</w:t>
            </w:r>
            <w:r>
              <w:rPr>
                <w:spacing w:val="-4"/>
                <w:sz w:val="18"/>
              </w:rPr>
              <w:t xml:space="preserve"> </w:t>
            </w:r>
            <w:r>
              <w:rPr>
                <w:spacing w:val="-2"/>
                <w:sz w:val="18"/>
              </w:rPr>
              <w:t>Mainstreaming</w:t>
            </w:r>
          </w:p>
        </w:tc>
        <w:tc>
          <w:tcPr>
            <w:tcW w:w="1275" w:type="dxa"/>
            <w:tcBorders>
              <w:top w:val="single" w:sz="4" w:space="0" w:color="A6A6A6"/>
              <w:left w:val="single" w:sz="4" w:space="0" w:color="A6A6A6"/>
              <w:bottom w:val="single" w:sz="4" w:space="0" w:color="A6A6A6"/>
              <w:right w:val="single" w:sz="4" w:space="0" w:color="A6A6A6"/>
            </w:tcBorders>
          </w:tcPr>
          <w:p w14:paraId="6D82B56A" w14:textId="77777777" w:rsidR="00BC24A8" w:rsidRDefault="00000000">
            <w:pPr>
              <w:pStyle w:val="TableParagraph"/>
              <w:spacing w:before="1" w:line="218" w:lineRule="exact"/>
              <w:ind w:left="106"/>
              <w:rPr>
                <w:sz w:val="18"/>
              </w:rPr>
            </w:pPr>
            <w:r>
              <w:rPr>
                <w:spacing w:val="-2"/>
                <w:sz w:val="18"/>
              </w:rPr>
              <w:t>Jakarta</w:t>
            </w:r>
          </w:p>
        </w:tc>
      </w:tr>
      <w:tr w:rsidR="00BC24A8" w14:paraId="0C1A807D" w14:textId="77777777">
        <w:trPr>
          <w:trHeight w:val="242"/>
        </w:trPr>
        <w:tc>
          <w:tcPr>
            <w:tcW w:w="490" w:type="dxa"/>
            <w:tcBorders>
              <w:top w:val="single" w:sz="4" w:space="0" w:color="A6A6A6"/>
              <w:left w:val="single" w:sz="4" w:space="0" w:color="A6A6A6"/>
              <w:bottom w:val="single" w:sz="4" w:space="0" w:color="A6A6A6"/>
              <w:right w:val="single" w:sz="4" w:space="0" w:color="A6A6A6"/>
            </w:tcBorders>
          </w:tcPr>
          <w:p w14:paraId="44734EDD" w14:textId="77777777" w:rsidR="00BC24A8" w:rsidRDefault="00000000">
            <w:pPr>
              <w:pStyle w:val="TableParagraph"/>
              <w:spacing w:before="1"/>
              <w:ind w:right="171"/>
              <w:jc w:val="center"/>
              <w:rPr>
                <w:sz w:val="18"/>
              </w:rPr>
            </w:pPr>
            <w:r>
              <w:rPr>
                <w:spacing w:val="-10"/>
                <w:sz w:val="18"/>
              </w:rPr>
              <w:t>5</w:t>
            </w:r>
          </w:p>
        </w:tc>
        <w:tc>
          <w:tcPr>
            <w:tcW w:w="7760" w:type="dxa"/>
            <w:tcBorders>
              <w:top w:val="single" w:sz="4" w:space="0" w:color="A6A6A6"/>
              <w:left w:val="single" w:sz="4" w:space="0" w:color="A6A6A6"/>
              <w:bottom w:val="single" w:sz="4" w:space="0" w:color="A6A6A6"/>
              <w:right w:val="single" w:sz="4" w:space="0" w:color="A6A6A6"/>
            </w:tcBorders>
          </w:tcPr>
          <w:p w14:paraId="16A554A5" w14:textId="77777777" w:rsidR="00BC24A8" w:rsidRDefault="00000000">
            <w:pPr>
              <w:pStyle w:val="TableParagraph"/>
              <w:spacing w:before="1"/>
              <w:ind w:left="107"/>
              <w:rPr>
                <w:sz w:val="18"/>
              </w:rPr>
            </w:pPr>
            <w:r>
              <w:rPr>
                <w:sz w:val="18"/>
              </w:rPr>
              <w:t>Draft</w:t>
            </w:r>
            <w:r>
              <w:rPr>
                <w:spacing w:val="-2"/>
                <w:sz w:val="18"/>
              </w:rPr>
              <w:t xml:space="preserve"> </w:t>
            </w:r>
            <w:r>
              <w:rPr>
                <w:sz w:val="18"/>
              </w:rPr>
              <w:t>Presidential</w:t>
            </w:r>
            <w:r>
              <w:rPr>
                <w:spacing w:val="-1"/>
                <w:sz w:val="18"/>
              </w:rPr>
              <w:t xml:space="preserve"> </w:t>
            </w:r>
            <w:r>
              <w:rPr>
                <w:sz w:val="18"/>
              </w:rPr>
              <w:t>Regulation</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National</w:t>
            </w:r>
            <w:r>
              <w:rPr>
                <w:spacing w:val="-1"/>
                <w:sz w:val="18"/>
              </w:rPr>
              <w:t xml:space="preserve"> </w:t>
            </w:r>
            <w:r>
              <w:rPr>
                <w:sz w:val="18"/>
              </w:rPr>
              <w:t>Strategy</w:t>
            </w:r>
            <w:r>
              <w:rPr>
                <w:spacing w:val="-2"/>
                <w:sz w:val="18"/>
              </w:rPr>
              <w:t xml:space="preserve"> </w:t>
            </w:r>
            <w:r>
              <w:rPr>
                <w:sz w:val="18"/>
              </w:rPr>
              <w:t>on</w:t>
            </w:r>
            <w:r>
              <w:rPr>
                <w:spacing w:val="-2"/>
                <w:sz w:val="18"/>
              </w:rPr>
              <w:t xml:space="preserve"> </w:t>
            </w:r>
            <w:r>
              <w:rPr>
                <w:spacing w:val="-4"/>
                <w:sz w:val="18"/>
              </w:rPr>
              <w:t>Aging</w:t>
            </w:r>
          </w:p>
        </w:tc>
        <w:tc>
          <w:tcPr>
            <w:tcW w:w="1275" w:type="dxa"/>
            <w:tcBorders>
              <w:top w:val="single" w:sz="4" w:space="0" w:color="A6A6A6"/>
              <w:left w:val="single" w:sz="4" w:space="0" w:color="A6A6A6"/>
              <w:bottom w:val="single" w:sz="4" w:space="0" w:color="A6A6A6"/>
              <w:right w:val="single" w:sz="4" w:space="0" w:color="A6A6A6"/>
            </w:tcBorders>
          </w:tcPr>
          <w:p w14:paraId="5FAD080B" w14:textId="77777777" w:rsidR="00BC24A8" w:rsidRDefault="00000000">
            <w:pPr>
              <w:pStyle w:val="TableParagraph"/>
              <w:spacing w:before="1"/>
              <w:ind w:left="106"/>
              <w:rPr>
                <w:sz w:val="18"/>
              </w:rPr>
            </w:pPr>
            <w:r>
              <w:rPr>
                <w:spacing w:val="-2"/>
                <w:sz w:val="18"/>
              </w:rPr>
              <w:t>Jakarta</w:t>
            </w:r>
          </w:p>
        </w:tc>
      </w:tr>
      <w:tr w:rsidR="00BC24A8" w14:paraId="1C24B68D"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6FC003DD" w14:textId="77777777" w:rsidR="00BC24A8" w:rsidRDefault="00000000">
            <w:pPr>
              <w:pStyle w:val="TableParagraph"/>
              <w:spacing w:line="219" w:lineRule="exact"/>
              <w:ind w:right="171"/>
              <w:jc w:val="center"/>
              <w:rPr>
                <w:sz w:val="18"/>
              </w:rPr>
            </w:pPr>
            <w:r>
              <w:rPr>
                <w:spacing w:val="-10"/>
                <w:sz w:val="18"/>
              </w:rPr>
              <w:t>6</w:t>
            </w:r>
          </w:p>
        </w:tc>
        <w:tc>
          <w:tcPr>
            <w:tcW w:w="7760" w:type="dxa"/>
            <w:tcBorders>
              <w:top w:val="single" w:sz="4" w:space="0" w:color="A6A6A6"/>
              <w:left w:val="single" w:sz="4" w:space="0" w:color="A6A6A6"/>
              <w:bottom w:val="single" w:sz="4" w:space="0" w:color="A6A6A6"/>
              <w:right w:val="single" w:sz="4" w:space="0" w:color="A6A6A6"/>
            </w:tcBorders>
          </w:tcPr>
          <w:p w14:paraId="346127ED" w14:textId="77777777" w:rsidR="00BC24A8" w:rsidRDefault="00000000">
            <w:pPr>
              <w:pStyle w:val="TableParagraph"/>
              <w:spacing w:line="219" w:lineRule="exact"/>
              <w:ind w:left="107"/>
              <w:rPr>
                <w:sz w:val="18"/>
              </w:rPr>
            </w:pPr>
            <w:r>
              <w:rPr>
                <w:sz w:val="18"/>
              </w:rPr>
              <w:t>Draft</w:t>
            </w:r>
            <w:r>
              <w:rPr>
                <w:spacing w:val="-4"/>
                <w:sz w:val="18"/>
              </w:rPr>
              <w:t xml:space="preserve"> </w:t>
            </w:r>
            <w:r>
              <w:rPr>
                <w:sz w:val="18"/>
              </w:rPr>
              <w:t>Bappenas</w:t>
            </w:r>
            <w:r>
              <w:rPr>
                <w:spacing w:val="-2"/>
                <w:sz w:val="18"/>
              </w:rPr>
              <w:t xml:space="preserve"> </w:t>
            </w:r>
            <w:r>
              <w:rPr>
                <w:sz w:val="18"/>
              </w:rPr>
              <w:t>Ministerial</w:t>
            </w:r>
            <w:r>
              <w:rPr>
                <w:spacing w:val="-1"/>
                <w:sz w:val="18"/>
              </w:rPr>
              <w:t xml:space="preserve"> </w:t>
            </w:r>
            <w:r>
              <w:rPr>
                <w:sz w:val="18"/>
              </w:rPr>
              <w:t>Regulation</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National</w:t>
            </w:r>
            <w:r>
              <w:rPr>
                <w:spacing w:val="-1"/>
                <w:sz w:val="18"/>
              </w:rPr>
              <w:t xml:space="preserve"> </w:t>
            </w:r>
            <w:r>
              <w:rPr>
                <w:sz w:val="18"/>
              </w:rPr>
              <w:t>Action</w:t>
            </w:r>
            <w:r>
              <w:rPr>
                <w:spacing w:val="-2"/>
                <w:sz w:val="18"/>
              </w:rPr>
              <w:t xml:space="preserve"> </w:t>
            </w:r>
            <w:r>
              <w:rPr>
                <w:sz w:val="18"/>
              </w:rPr>
              <w:t>Plan</w:t>
            </w:r>
            <w:r>
              <w:rPr>
                <w:spacing w:val="-2"/>
                <w:sz w:val="18"/>
              </w:rPr>
              <w:t xml:space="preserve"> </w:t>
            </w:r>
            <w:r>
              <w:rPr>
                <w:sz w:val="18"/>
              </w:rPr>
              <w:t>for</w:t>
            </w:r>
            <w:r>
              <w:rPr>
                <w:spacing w:val="-2"/>
                <w:sz w:val="18"/>
              </w:rPr>
              <w:t xml:space="preserve"> </w:t>
            </w:r>
            <w:r>
              <w:rPr>
                <w:sz w:val="18"/>
              </w:rPr>
              <w:t>Persons</w:t>
            </w:r>
            <w:r>
              <w:rPr>
                <w:spacing w:val="-2"/>
                <w:sz w:val="18"/>
              </w:rPr>
              <w:t xml:space="preserve"> </w:t>
            </w:r>
            <w:r>
              <w:rPr>
                <w:sz w:val="18"/>
              </w:rPr>
              <w:t>with</w:t>
            </w:r>
            <w:r>
              <w:rPr>
                <w:spacing w:val="-2"/>
                <w:sz w:val="18"/>
              </w:rPr>
              <w:t xml:space="preserve"> Disabilities</w:t>
            </w:r>
          </w:p>
        </w:tc>
        <w:tc>
          <w:tcPr>
            <w:tcW w:w="1275" w:type="dxa"/>
            <w:tcBorders>
              <w:top w:val="single" w:sz="4" w:space="0" w:color="A6A6A6"/>
              <w:left w:val="single" w:sz="4" w:space="0" w:color="A6A6A6"/>
              <w:bottom w:val="single" w:sz="4" w:space="0" w:color="A6A6A6"/>
              <w:right w:val="single" w:sz="4" w:space="0" w:color="A6A6A6"/>
            </w:tcBorders>
          </w:tcPr>
          <w:p w14:paraId="0E4585A5" w14:textId="77777777" w:rsidR="00BC24A8" w:rsidRDefault="00000000">
            <w:pPr>
              <w:pStyle w:val="TableParagraph"/>
              <w:spacing w:line="219" w:lineRule="exact"/>
              <w:ind w:left="106"/>
              <w:rPr>
                <w:sz w:val="18"/>
              </w:rPr>
            </w:pPr>
            <w:r>
              <w:rPr>
                <w:spacing w:val="-2"/>
                <w:sz w:val="18"/>
              </w:rPr>
              <w:t>Jakarta</w:t>
            </w:r>
          </w:p>
        </w:tc>
      </w:tr>
      <w:tr w:rsidR="00BC24A8" w14:paraId="4D0240C2"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477C0E1F" w14:textId="77777777" w:rsidR="00BC24A8" w:rsidRDefault="00000000">
            <w:pPr>
              <w:pStyle w:val="TableParagraph"/>
              <w:spacing w:line="219" w:lineRule="exact"/>
              <w:ind w:right="171"/>
              <w:jc w:val="center"/>
              <w:rPr>
                <w:sz w:val="18"/>
              </w:rPr>
            </w:pPr>
            <w:r>
              <w:rPr>
                <w:spacing w:val="-10"/>
                <w:sz w:val="18"/>
              </w:rPr>
              <w:t>7</w:t>
            </w:r>
          </w:p>
        </w:tc>
        <w:tc>
          <w:tcPr>
            <w:tcW w:w="7760" w:type="dxa"/>
            <w:tcBorders>
              <w:top w:val="single" w:sz="4" w:space="0" w:color="A6A6A6"/>
              <w:left w:val="single" w:sz="4" w:space="0" w:color="A6A6A6"/>
              <w:bottom w:val="single" w:sz="4" w:space="0" w:color="A6A6A6"/>
              <w:right w:val="single" w:sz="4" w:space="0" w:color="A6A6A6"/>
            </w:tcBorders>
          </w:tcPr>
          <w:p w14:paraId="7D369F5D" w14:textId="77777777" w:rsidR="00BC24A8" w:rsidRDefault="00000000">
            <w:pPr>
              <w:pStyle w:val="TableParagraph"/>
              <w:spacing w:line="219" w:lineRule="exact"/>
              <w:ind w:left="107"/>
              <w:rPr>
                <w:sz w:val="18"/>
              </w:rPr>
            </w:pPr>
            <w:r>
              <w:rPr>
                <w:sz w:val="18"/>
              </w:rPr>
              <w:t>Minister</w:t>
            </w:r>
            <w:r>
              <w:rPr>
                <w:spacing w:val="-4"/>
                <w:sz w:val="18"/>
              </w:rPr>
              <w:t xml:space="preserve"> </w:t>
            </w:r>
            <w:r>
              <w:rPr>
                <w:sz w:val="18"/>
              </w:rPr>
              <w:t>of</w:t>
            </w:r>
            <w:r>
              <w:rPr>
                <w:spacing w:val="-3"/>
                <w:sz w:val="18"/>
              </w:rPr>
              <w:t xml:space="preserve"> </w:t>
            </w:r>
            <w:r>
              <w:rPr>
                <w:sz w:val="18"/>
              </w:rPr>
              <w:t>Finance</w:t>
            </w:r>
            <w:r>
              <w:rPr>
                <w:spacing w:val="-1"/>
                <w:sz w:val="18"/>
              </w:rPr>
              <w:t xml:space="preserve"> </w:t>
            </w:r>
            <w:r>
              <w:rPr>
                <w:sz w:val="18"/>
              </w:rPr>
              <w:t>Regulation</w:t>
            </w:r>
            <w:r>
              <w:rPr>
                <w:spacing w:val="-2"/>
                <w:sz w:val="18"/>
              </w:rPr>
              <w:t xml:space="preserve"> </w:t>
            </w:r>
            <w:r>
              <w:rPr>
                <w:sz w:val="18"/>
              </w:rPr>
              <w:t>No.</w:t>
            </w:r>
            <w:r>
              <w:rPr>
                <w:spacing w:val="-2"/>
                <w:sz w:val="18"/>
              </w:rPr>
              <w:t xml:space="preserve"> </w:t>
            </w:r>
            <w:r>
              <w:rPr>
                <w:sz w:val="18"/>
              </w:rPr>
              <w:t>42</w:t>
            </w:r>
            <w:r>
              <w:rPr>
                <w:spacing w:val="-2"/>
                <w:sz w:val="18"/>
              </w:rPr>
              <w:t xml:space="preserve"> </w:t>
            </w:r>
            <w:r>
              <w:rPr>
                <w:sz w:val="18"/>
              </w:rPr>
              <w:t>of</w:t>
            </w:r>
            <w:r>
              <w:rPr>
                <w:spacing w:val="-2"/>
                <w:sz w:val="18"/>
              </w:rPr>
              <w:t xml:space="preserve"> </w:t>
            </w:r>
            <w:r>
              <w:rPr>
                <w:sz w:val="18"/>
              </w:rPr>
              <w:t>2025</w:t>
            </w:r>
            <w:r>
              <w:rPr>
                <w:spacing w:val="-2"/>
                <w:sz w:val="18"/>
              </w:rPr>
              <w:t xml:space="preserve"> </w:t>
            </w:r>
            <w:r>
              <w:rPr>
                <w:sz w:val="18"/>
              </w:rPr>
              <w:t>on</w:t>
            </w:r>
            <w:r>
              <w:rPr>
                <w:spacing w:val="-1"/>
                <w:sz w:val="18"/>
              </w:rPr>
              <w:t xml:space="preserve"> </w:t>
            </w:r>
            <w:r>
              <w:rPr>
                <w:sz w:val="18"/>
              </w:rPr>
              <w:t>the</w:t>
            </w:r>
            <w:r>
              <w:rPr>
                <w:spacing w:val="-2"/>
                <w:sz w:val="18"/>
              </w:rPr>
              <w:t xml:space="preserve"> </w:t>
            </w:r>
            <w:r>
              <w:rPr>
                <w:sz w:val="18"/>
              </w:rPr>
              <w:t>Standard</w:t>
            </w:r>
            <w:r>
              <w:rPr>
                <w:spacing w:val="-1"/>
                <w:sz w:val="18"/>
              </w:rPr>
              <w:t xml:space="preserve"> </w:t>
            </w:r>
            <w:r>
              <w:rPr>
                <w:sz w:val="18"/>
              </w:rPr>
              <w:t>Chart</w:t>
            </w:r>
            <w:r>
              <w:rPr>
                <w:spacing w:val="-1"/>
                <w:sz w:val="18"/>
              </w:rPr>
              <w:t xml:space="preserve"> </w:t>
            </w:r>
            <w:r>
              <w:rPr>
                <w:sz w:val="18"/>
              </w:rPr>
              <w:t>of</w:t>
            </w:r>
            <w:r>
              <w:rPr>
                <w:spacing w:val="-2"/>
                <w:sz w:val="18"/>
              </w:rPr>
              <w:t xml:space="preserve"> </w:t>
            </w:r>
            <w:r>
              <w:rPr>
                <w:sz w:val="18"/>
              </w:rPr>
              <w:t>Accounts</w:t>
            </w:r>
            <w:r>
              <w:rPr>
                <w:spacing w:val="-2"/>
                <w:sz w:val="18"/>
              </w:rPr>
              <w:t xml:space="preserve"> </w:t>
            </w:r>
            <w:r>
              <w:rPr>
                <w:sz w:val="18"/>
              </w:rPr>
              <w:t>for</w:t>
            </w:r>
            <w:r>
              <w:rPr>
                <w:spacing w:val="-1"/>
                <w:sz w:val="18"/>
              </w:rPr>
              <w:t xml:space="preserve"> </w:t>
            </w:r>
            <w:r>
              <w:rPr>
                <w:sz w:val="18"/>
              </w:rPr>
              <w:t>Central</w:t>
            </w:r>
            <w:r>
              <w:rPr>
                <w:spacing w:val="-1"/>
                <w:sz w:val="18"/>
              </w:rPr>
              <w:t xml:space="preserve"> </w:t>
            </w:r>
            <w:r>
              <w:rPr>
                <w:sz w:val="18"/>
              </w:rPr>
              <w:t>and</w:t>
            </w:r>
            <w:r>
              <w:rPr>
                <w:spacing w:val="-1"/>
                <w:sz w:val="18"/>
              </w:rPr>
              <w:t xml:space="preserve"> </w:t>
            </w:r>
            <w:r>
              <w:rPr>
                <w:spacing w:val="-2"/>
                <w:sz w:val="18"/>
              </w:rPr>
              <w:t>Local</w:t>
            </w:r>
          </w:p>
          <w:p w14:paraId="338CA667" w14:textId="77777777" w:rsidR="00BC24A8" w:rsidRDefault="00000000">
            <w:pPr>
              <w:pStyle w:val="TableParagraph"/>
              <w:spacing w:before="1" w:line="199" w:lineRule="exact"/>
              <w:ind w:left="107"/>
              <w:rPr>
                <w:sz w:val="18"/>
              </w:rPr>
            </w:pPr>
            <w:r>
              <w:rPr>
                <w:spacing w:val="-2"/>
                <w:sz w:val="18"/>
              </w:rPr>
              <w:t>Governments</w:t>
            </w:r>
          </w:p>
        </w:tc>
        <w:tc>
          <w:tcPr>
            <w:tcW w:w="1275" w:type="dxa"/>
            <w:tcBorders>
              <w:top w:val="single" w:sz="4" w:space="0" w:color="A6A6A6"/>
              <w:left w:val="single" w:sz="4" w:space="0" w:color="A6A6A6"/>
              <w:bottom w:val="single" w:sz="4" w:space="0" w:color="A6A6A6"/>
              <w:right w:val="single" w:sz="4" w:space="0" w:color="A6A6A6"/>
            </w:tcBorders>
          </w:tcPr>
          <w:p w14:paraId="35D87B62" w14:textId="77777777" w:rsidR="00BC24A8" w:rsidRDefault="00000000">
            <w:pPr>
              <w:pStyle w:val="TableParagraph"/>
              <w:spacing w:line="219" w:lineRule="exact"/>
              <w:ind w:left="106"/>
              <w:rPr>
                <w:sz w:val="18"/>
              </w:rPr>
            </w:pPr>
            <w:r>
              <w:rPr>
                <w:spacing w:val="-2"/>
                <w:sz w:val="18"/>
              </w:rPr>
              <w:t>Jakarta</w:t>
            </w:r>
          </w:p>
        </w:tc>
      </w:tr>
      <w:tr w:rsidR="00BC24A8" w14:paraId="22373BEA"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6A7B2A5D" w14:textId="77777777" w:rsidR="00BC24A8" w:rsidRDefault="00000000">
            <w:pPr>
              <w:pStyle w:val="TableParagraph"/>
              <w:spacing w:before="1" w:line="218" w:lineRule="exact"/>
              <w:ind w:right="171"/>
              <w:jc w:val="center"/>
              <w:rPr>
                <w:sz w:val="18"/>
              </w:rPr>
            </w:pPr>
            <w:r>
              <w:rPr>
                <w:spacing w:val="-10"/>
                <w:sz w:val="18"/>
              </w:rPr>
              <w:t>8</w:t>
            </w:r>
          </w:p>
        </w:tc>
        <w:tc>
          <w:tcPr>
            <w:tcW w:w="7760" w:type="dxa"/>
            <w:tcBorders>
              <w:top w:val="single" w:sz="4" w:space="0" w:color="A6A6A6"/>
              <w:left w:val="single" w:sz="4" w:space="0" w:color="A6A6A6"/>
              <w:bottom w:val="single" w:sz="4" w:space="0" w:color="A6A6A6"/>
              <w:right w:val="single" w:sz="4" w:space="0" w:color="A6A6A6"/>
            </w:tcBorders>
          </w:tcPr>
          <w:p w14:paraId="12153477" w14:textId="77777777" w:rsidR="00BC24A8" w:rsidRDefault="00000000">
            <w:pPr>
              <w:pStyle w:val="TableParagraph"/>
              <w:spacing w:before="1" w:line="218" w:lineRule="exact"/>
              <w:ind w:left="107"/>
              <w:rPr>
                <w:sz w:val="18"/>
              </w:rPr>
            </w:pPr>
            <w:r>
              <w:rPr>
                <w:sz w:val="18"/>
              </w:rPr>
              <w:t>Minister</w:t>
            </w:r>
            <w:r>
              <w:rPr>
                <w:spacing w:val="-2"/>
                <w:sz w:val="18"/>
              </w:rPr>
              <w:t xml:space="preserve"> </w:t>
            </w:r>
            <w:r>
              <w:rPr>
                <w:sz w:val="18"/>
              </w:rPr>
              <w:t>of</w:t>
            </w:r>
            <w:r>
              <w:rPr>
                <w:spacing w:val="-2"/>
                <w:sz w:val="18"/>
              </w:rPr>
              <w:t xml:space="preserve"> </w:t>
            </w:r>
            <w:r>
              <w:rPr>
                <w:sz w:val="18"/>
              </w:rPr>
              <w:t>Finance</w:t>
            </w:r>
            <w:r>
              <w:rPr>
                <w:spacing w:val="-2"/>
                <w:sz w:val="18"/>
              </w:rPr>
              <w:t xml:space="preserve"> </w:t>
            </w:r>
            <w:r>
              <w:rPr>
                <w:sz w:val="18"/>
              </w:rPr>
              <w:t>Decree</w:t>
            </w:r>
            <w:r>
              <w:rPr>
                <w:spacing w:val="-1"/>
                <w:sz w:val="18"/>
              </w:rPr>
              <w:t xml:space="preserve"> </w:t>
            </w:r>
            <w:r>
              <w:rPr>
                <w:sz w:val="18"/>
              </w:rPr>
              <w:t>on</w:t>
            </w:r>
            <w:r>
              <w:rPr>
                <w:spacing w:val="-1"/>
                <w:sz w:val="18"/>
              </w:rPr>
              <w:t xml:space="preserve"> </w:t>
            </w:r>
            <w:r>
              <w:rPr>
                <w:sz w:val="18"/>
              </w:rPr>
              <w:t>the</w:t>
            </w:r>
            <w:r>
              <w:rPr>
                <w:spacing w:val="-2"/>
                <w:sz w:val="18"/>
              </w:rPr>
              <w:t xml:space="preserve"> </w:t>
            </w:r>
            <w:r>
              <w:rPr>
                <w:sz w:val="18"/>
              </w:rPr>
              <w:t>Infrastructure</w:t>
            </w:r>
            <w:r>
              <w:rPr>
                <w:spacing w:val="-1"/>
                <w:sz w:val="18"/>
              </w:rPr>
              <w:t xml:space="preserve"> </w:t>
            </w:r>
            <w:r>
              <w:rPr>
                <w:sz w:val="18"/>
              </w:rPr>
              <w:t>Spending</w:t>
            </w:r>
            <w:r>
              <w:rPr>
                <w:spacing w:val="-2"/>
                <w:sz w:val="18"/>
              </w:rPr>
              <w:t xml:space="preserve"> </w:t>
            </w:r>
            <w:r>
              <w:rPr>
                <w:spacing w:val="-4"/>
                <w:sz w:val="18"/>
              </w:rPr>
              <w:t>Model</w:t>
            </w:r>
          </w:p>
        </w:tc>
        <w:tc>
          <w:tcPr>
            <w:tcW w:w="1275" w:type="dxa"/>
            <w:tcBorders>
              <w:top w:val="single" w:sz="4" w:space="0" w:color="A6A6A6"/>
              <w:left w:val="single" w:sz="4" w:space="0" w:color="A6A6A6"/>
              <w:bottom w:val="single" w:sz="4" w:space="0" w:color="A6A6A6"/>
              <w:right w:val="single" w:sz="4" w:space="0" w:color="A6A6A6"/>
            </w:tcBorders>
          </w:tcPr>
          <w:p w14:paraId="528A6450" w14:textId="77777777" w:rsidR="00BC24A8" w:rsidRDefault="00000000">
            <w:pPr>
              <w:pStyle w:val="TableParagraph"/>
              <w:spacing w:before="1" w:line="218" w:lineRule="exact"/>
              <w:ind w:left="106"/>
              <w:rPr>
                <w:sz w:val="18"/>
              </w:rPr>
            </w:pPr>
            <w:r>
              <w:rPr>
                <w:spacing w:val="-2"/>
                <w:sz w:val="18"/>
              </w:rPr>
              <w:t>Jakarta</w:t>
            </w:r>
          </w:p>
        </w:tc>
      </w:tr>
      <w:tr w:rsidR="00BC24A8" w14:paraId="109FA4A0"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3C02343C" w14:textId="77777777" w:rsidR="00BC24A8" w:rsidRDefault="00000000">
            <w:pPr>
              <w:pStyle w:val="TableParagraph"/>
              <w:spacing w:before="1"/>
              <w:ind w:right="171"/>
              <w:jc w:val="center"/>
              <w:rPr>
                <w:sz w:val="18"/>
              </w:rPr>
            </w:pPr>
            <w:r>
              <w:rPr>
                <w:spacing w:val="-10"/>
                <w:sz w:val="18"/>
              </w:rPr>
              <w:t>9</w:t>
            </w:r>
          </w:p>
        </w:tc>
        <w:tc>
          <w:tcPr>
            <w:tcW w:w="7760" w:type="dxa"/>
            <w:tcBorders>
              <w:top w:val="single" w:sz="4" w:space="0" w:color="A6A6A6"/>
              <w:left w:val="single" w:sz="4" w:space="0" w:color="A6A6A6"/>
              <w:bottom w:val="single" w:sz="4" w:space="0" w:color="A6A6A6"/>
              <w:right w:val="single" w:sz="4" w:space="0" w:color="A6A6A6"/>
            </w:tcBorders>
          </w:tcPr>
          <w:p w14:paraId="3B9AAC6D" w14:textId="77777777" w:rsidR="00BC24A8" w:rsidRDefault="00000000">
            <w:pPr>
              <w:pStyle w:val="TableParagraph"/>
              <w:spacing w:before="1" w:line="219" w:lineRule="exact"/>
              <w:ind w:left="107"/>
              <w:rPr>
                <w:sz w:val="18"/>
              </w:rPr>
            </w:pPr>
            <w:r>
              <w:rPr>
                <w:sz w:val="18"/>
              </w:rPr>
              <w:t>Minister</w:t>
            </w:r>
            <w:r>
              <w:rPr>
                <w:spacing w:val="-5"/>
                <w:sz w:val="18"/>
              </w:rPr>
              <w:t xml:space="preserve"> </w:t>
            </w:r>
            <w:r>
              <w:rPr>
                <w:sz w:val="18"/>
              </w:rPr>
              <w:t>of</w:t>
            </w:r>
            <w:r>
              <w:rPr>
                <w:spacing w:val="-4"/>
                <w:sz w:val="18"/>
              </w:rPr>
              <w:t xml:space="preserve"> </w:t>
            </w:r>
            <w:r>
              <w:rPr>
                <w:sz w:val="18"/>
              </w:rPr>
              <w:t>Finance</w:t>
            </w:r>
            <w:r>
              <w:rPr>
                <w:spacing w:val="-2"/>
                <w:sz w:val="18"/>
              </w:rPr>
              <w:t xml:space="preserve"> </w:t>
            </w:r>
            <w:r>
              <w:rPr>
                <w:sz w:val="18"/>
              </w:rPr>
              <w:t>Regulation</w:t>
            </w:r>
            <w:r>
              <w:rPr>
                <w:spacing w:val="-3"/>
                <w:sz w:val="18"/>
              </w:rPr>
              <w:t xml:space="preserve"> </w:t>
            </w:r>
            <w:r>
              <w:rPr>
                <w:sz w:val="18"/>
              </w:rPr>
              <w:t>No.</w:t>
            </w:r>
            <w:r>
              <w:rPr>
                <w:spacing w:val="-4"/>
                <w:sz w:val="18"/>
              </w:rPr>
              <w:t xml:space="preserve"> </w:t>
            </w:r>
            <w:r>
              <w:rPr>
                <w:sz w:val="18"/>
              </w:rPr>
              <w:t>64/2024</w:t>
            </w:r>
            <w:r>
              <w:rPr>
                <w:spacing w:val="-2"/>
                <w:sz w:val="18"/>
              </w:rPr>
              <w:t xml:space="preserve"> </w:t>
            </w:r>
            <w:r>
              <w:rPr>
                <w:sz w:val="18"/>
              </w:rPr>
              <w:t>on</w:t>
            </w:r>
            <w:r>
              <w:rPr>
                <w:spacing w:val="-3"/>
                <w:sz w:val="18"/>
              </w:rPr>
              <w:t xml:space="preserve"> </w:t>
            </w:r>
            <w:r>
              <w:rPr>
                <w:sz w:val="18"/>
              </w:rPr>
              <w:t>Procedures</w:t>
            </w:r>
            <w:r>
              <w:rPr>
                <w:spacing w:val="-3"/>
                <w:sz w:val="18"/>
              </w:rPr>
              <w:t xml:space="preserve"> </w:t>
            </w:r>
            <w:r>
              <w:rPr>
                <w:sz w:val="18"/>
              </w:rPr>
              <w:t>for</w:t>
            </w:r>
            <w:r>
              <w:rPr>
                <w:spacing w:val="-2"/>
                <w:sz w:val="18"/>
              </w:rPr>
              <w:t xml:space="preserve"> </w:t>
            </w:r>
            <w:r>
              <w:rPr>
                <w:sz w:val="18"/>
              </w:rPr>
              <w:t>Establishment</w:t>
            </w:r>
            <w:r>
              <w:rPr>
                <w:spacing w:val="-2"/>
                <w:sz w:val="18"/>
              </w:rPr>
              <w:t xml:space="preserve"> </w:t>
            </w:r>
            <w:r>
              <w:rPr>
                <w:sz w:val="18"/>
              </w:rPr>
              <w:t>and</w:t>
            </w:r>
            <w:r>
              <w:rPr>
                <w:spacing w:val="-3"/>
                <w:sz w:val="18"/>
              </w:rPr>
              <w:t xml:space="preserve"> </w:t>
            </w:r>
            <w:r>
              <w:rPr>
                <w:sz w:val="18"/>
              </w:rPr>
              <w:t>Management</w:t>
            </w:r>
            <w:r>
              <w:rPr>
                <w:spacing w:val="-1"/>
                <w:sz w:val="18"/>
              </w:rPr>
              <w:t xml:space="preserve"> </w:t>
            </w:r>
            <w:r>
              <w:rPr>
                <w:spacing w:val="-5"/>
                <w:sz w:val="18"/>
              </w:rPr>
              <w:t>of</w:t>
            </w:r>
          </w:p>
          <w:p w14:paraId="37D5A824" w14:textId="77777777" w:rsidR="00BC24A8" w:rsidRDefault="00000000">
            <w:pPr>
              <w:pStyle w:val="TableParagraph"/>
              <w:spacing w:line="199" w:lineRule="exact"/>
              <w:ind w:left="107"/>
              <w:rPr>
                <w:sz w:val="18"/>
              </w:rPr>
            </w:pPr>
            <w:r>
              <w:rPr>
                <w:sz w:val="18"/>
              </w:rPr>
              <w:t>Regional</w:t>
            </w:r>
            <w:r>
              <w:rPr>
                <w:spacing w:val="-3"/>
                <w:sz w:val="18"/>
              </w:rPr>
              <w:t xml:space="preserve"> </w:t>
            </w:r>
            <w:r>
              <w:rPr>
                <w:sz w:val="18"/>
              </w:rPr>
              <w:t>Endowment</w:t>
            </w:r>
            <w:r>
              <w:rPr>
                <w:spacing w:val="-2"/>
                <w:sz w:val="18"/>
              </w:rPr>
              <w:t xml:space="preserve"> Funds</w:t>
            </w:r>
          </w:p>
        </w:tc>
        <w:tc>
          <w:tcPr>
            <w:tcW w:w="1275" w:type="dxa"/>
            <w:tcBorders>
              <w:top w:val="single" w:sz="4" w:space="0" w:color="A6A6A6"/>
              <w:left w:val="single" w:sz="4" w:space="0" w:color="A6A6A6"/>
              <w:bottom w:val="single" w:sz="4" w:space="0" w:color="A6A6A6"/>
              <w:right w:val="single" w:sz="4" w:space="0" w:color="A6A6A6"/>
            </w:tcBorders>
          </w:tcPr>
          <w:p w14:paraId="1AA03F0D" w14:textId="77777777" w:rsidR="00BC24A8" w:rsidRDefault="00000000">
            <w:pPr>
              <w:pStyle w:val="TableParagraph"/>
              <w:spacing w:before="1"/>
              <w:ind w:left="106"/>
              <w:rPr>
                <w:sz w:val="18"/>
              </w:rPr>
            </w:pPr>
            <w:r>
              <w:rPr>
                <w:spacing w:val="-2"/>
                <w:sz w:val="18"/>
              </w:rPr>
              <w:t>Jakarta</w:t>
            </w:r>
          </w:p>
        </w:tc>
      </w:tr>
      <w:tr w:rsidR="00BC24A8" w14:paraId="649ABF63" w14:textId="77777777">
        <w:trPr>
          <w:trHeight w:val="482"/>
        </w:trPr>
        <w:tc>
          <w:tcPr>
            <w:tcW w:w="490" w:type="dxa"/>
            <w:tcBorders>
              <w:top w:val="single" w:sz="4" w:space="0" w:color="A6A6A6"/>
              <w:left w:val="single" w:sz="4" w:space="0" w:color="A6A6A6"/>
              <w:bottom w:val="single" w:sz="4" w:space="0" w:color="A6A6A6"/>
              <w:right w:val="single" w:sz="4" w:space="0" w:color="A6A6A6"/>
            </w:tcBorders>
          </w:tcPr>
          <w:p w14:paraId="577B4BDD" w14:textId="77777777" w:rsidR="00BC24A8" w:rsidRDefault="00000000">
            <w:pPr>
              <w:pStyle w:val="TableParagraph"/>
              <w:spacing w:before="1"/>
              <w:ind w:left="92" w:right="171"/>
              <w:jc w:val="center"/>
              <w:rPr>
                <w:sz w:val="18"/>
              </w:rPr>
            </w:pPr>
            <w:r>
              <w:rPr>
                <w:spacing w:val="-5"/>
                <w:sz w:val="18"/>
              </w:rPr>
              <w:t>10</w:t>
            </w:r>
          </w:p>
        </w:tc>
        <w:tc>
          <w:tcPr>
            <w:tcW w:w="7760" w:type="dxa"/>
            <w:tcBorders>
              <w:top w:val="single" w:sz="4" w:space="0" w:color="A6A6A6"/>
              <w:left w:val="single" w:sz="4" w:space="0" w:color="A6A6A6"/>
              <w:bottom w:val="single" w:sz="4" w:space="0" w:color="A6A6A6"/>
              <w:right w:val="single" w:sz="4" w:space="0" w:color="A6A6A6"/>
            </w:tcBorders>
          </w:tcPr>
          <w:p w14:paraId="301A50E7" w14:textId="77777777" w:rsidR="00BC24A8" w:rsidRDefault="00000000">
            <w:pPr>
              <w:pStyle w:val="TableParagraph"/>
              <w:spacing w:before="1"/>
              <w:ind w:left="107" w:right="122"/>
              <w:rPr>
                <w:sz w:val="18"/>
              </w:rPr>
            </w:pPr>
            <w:r>
              <w:rPr>
                <w:sz w:val="18"/>
              </w:rPr>
              <w:t>Minister</w:t>
            </w:r>
            <w:r>
              <w:rPr>
                <w:spacing w:val="-3"/>
                <w:sz w:val="18"/>
              </w:rPr>
              <w:t xml:space="preserve"> </w:t>
            </w:r>
            <w:r>
              <w:rPr>
                <w:sz w:val="18"/>
              </w:rPr>
              <w:t>of</w:t>
            </w:r>
            <w:r>
              <w:rPr>
                <w:spacing w:val="-4"/>
                <w:sz w:val="18"/>
              </w:rPr>
              <w:t xml:space="preserve"> </w:t>
            </w:r>
            <w:r>
              <w:rPr>
                <w:sz w:val="18"/>
              </w:rPr>
              <w:t>Finance</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108/2024</w:t>
            </w:r>
            <w:r>
              <w:rPr>
                <w:spacing w:val="-3"/>
                <w:sz w:val="18"/>
              </w:rPr>
              <w:t xml:space="preserve"> </w:t>
            </w:r>
            <w:r>
              <w:rPr>
                <w:sz w:val="18"/>
              </w:rPr>
              <w:t>on</w:t>
            </w:r>
            <w:r>
              <w:rPr>
                <w:spacing w:val="-3"/>
                <w:sz w:val="18"/>
              </w:rPr>
              <w:t xml:space="preserve"> </w:t>
            </w:r>
            <w:r>
              <w:rPr>
                <w:sz w:val="18"/>
              </w:rPr>
              <w:t>Allocation,</w:t>
            </w:r>
            <w:r>
              <w:rPr>
                <w:spacing w:val="-4"/>
                <w:sz w:val="18"/>
              </w:rPr>
              <w:t xml:space="preserve"> </w:t>
            </w:r>
            <w:r>
              <w:rPr>
                <w:sz w:val="18"/>
              </w:rPr>
              <w:t>Use,</w:t>
            </w:r>
            <w:r>
              <w:rPr>
                <w:spacing w:val="-4"/>
                <w:sz w:val="18"/>
              </w:rPr>
              <w:t xml:space="preserve"> </w:t>
            </w:r>
            <w:r>
              <w:rPr>
                <w:sz w:val="18"/>
              </w:rPr>
              <w:t>and</w:t>
            </w:r>
            <w:r>
              <w:rPr>
                <w:spacing w:val="-3"/>
                <w:sz w:val="18"/>
              </w:rPr>
              <w:t xml:space="preserve"> </w:t>
            </w:r>
            <w:r>
              <w:rPr>
                <w:sz w:val="18"/>
              </w:rPr>
              <w:t>Distribution</w:t>
            </w:r>
            <w:r>
              <w:rPr>
                <w:spacing w:val="-3"/>
                <w:sz w:val="18"/>
              </w:rPr>
              <w:t xml:space="preserve"> </w:t>
            </w:r>
            <w:r>
              <w:rPr>
                <w:sz w:val="18"/>
              </w:rPr>
              <w:t>of</w:t>
            </w:r>
            <w:r>
              <w:rPr>
                <w:spacing w:val="-4"/>
                <w:sz w:val="18"/>
              </w:rPr>
              <w:t xml:space="preserve"> </w:t>
            </w:r>
            <w:r>
              <w:rPr>
                <w:sz w:val="18"/>
              </w:rPr>
              <w:t>Village</w:t>
            </w:r>
            <w:r>
              <w:rPr>
                <w:spacing w:val="-3"/>
                <w:sz w:val="18"/>
              </w:rPr>
              <w:t xml:space="preserve"> </w:t>
            </w:r>
            <w:r>
              <w:rPr>
                <w:sz w:val="18"/>
              </w:rPr>
              <w:t>Funds</w:t>
            </w:r>
            <w:r>
              <w:rPr>
                <w:spacing w:val="-3"/>
                <w:sz w:val="18"/>
              </w:rPr>
              <w:t xml:space="preserve"> </w:t>
            </w:r>
            <w:r>
              <w:rPr>
                <w:sz w:val="18"/>
              </w:rPr>
              <w:t>for Fiscal Year 2025.</w:t>
            </w:r>
          </w:p>
        </w:tc>
        <w:tc>
          <w:tcPr>
            <w:tcW w:w="1275" w:type="dxa"/>
            <w:tcBorders>
              <w:top w:val="single" w:sz="4" w:space="0" w:color="A6A6A6"/>
              <w:left w:val="single" w:sz="4" w:space="0" w:color="A6A6A6"/>
              <w:bottom w:val="single" w:sz="4" w:space="0" w:color="A6A6A6"/>
              <w:right w:val="single" w:sz="4" w:space="0" w:color="A6A6A6"/>
            </w:tcBorders>
          </w:tcPr>
          <w:p w14:paraId="7C9E6BCE" w14:textId="77777777" w:rsidR="00BC24A8" w:rsidRDefault="00000000">
            <w:pPr>
              <w:pStyle w:val="TableParagraph"/>
              <w:spacing w:before="1"/>
              <w:ind w:left="106"/>
              <w:rPr>
                <w:sz w:val="18"/>
              </w:rPr>
            </w:pPr>
            <w:r>
              <w:rPr>
                <w:spacing w:val="-2"/>
                <w:sz w:val="18"/>
              </w:rPr>
              <w:t>Jakarta</w:t>
            </w:r>
          </w:p>
        </w:tc>
      </w:tr>
      <w:tr w:rsidR="00BC24A8" w14:paraId="35FAEFB5"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1FAD150E" w14:textId="77777777" w:rsidR="00BC24A8" w:rsidRDefault="00000000">
            <w:pPr>
              <w:pStyle w:val="TableParagraph"/>
              <w:spacing w:line="219" w:lineRule="exact"/>
              <w:ind w:left="92" w:right="171"/>
              <w:jc w:val="center"/>
              <w:rPr>
                <w:sz w:val="18"/>
              </w:rPr>
            </w:pPr>
            <w:r>
              <w:rPr>
                <w:spacing w:val="-5"/>
                <w:sz w:val="18"/>
              </w:rPr>
              <w:t>11</w:t>
            </w:r>
          </w:p>
        </w:tc>
        <w:tc>
          <w:tcPr>
            <w:tcW w:w="7760" w:type="dxa"/>
            <w:tcBorders>
              <w:top w:val="single" w:sz="4" w:space="0" w:color="A6A6A6"/>
              <w:left w:val="single" w:sz="4" w:space="0" w:color="A6A6A6"/>
              <w:bottom w:val="single" w:sz="4" w:space="0" w:color="A6A6A6"/>
              <w:right w:val="single" w:sz="4" w:space="0" w:color="A6A6A6"/>
            </w:tcBorders>
          </w:tcPr>
          <w:p w14:paraId="4E0D76A1" w14:textId="77777777" w:rsidR="00BC24A8" w:rsidRDefault="00000000">
            <w:pPr>
              <w:pStyle w:val="TableParagraph"/>
              <w:ind w:left="107" w:right="122"/>
              <w:rPr>
                <w:sz w:val="18"/>
              </w:rPr>
            </w:pPr>
            <w:r>
              <w:rPr>
                <w:sz w:val="18"/>
              </w:rPr>
              <w:t>Minister</w:t>
            </w:r>
            <w:r>
              <w:rPr>
                <w:spacing w:val="-4"/>
                <w:sz w:val="18"/>
              </w:rPr>
              <w:t xml:space="preserve"> </w:t>
            </w:r>
            <w:r>
              <w:rPr>
                <w:sz w:val="18"/>
              </w:rPr>
              <w:t>of</w:t>
            </w:r>
            <w:r>
              <w:rPr>
                <w:spacing w:val="-4"/>
                <w:sz w:val="18"/>
              </w:rPr>
              <w:t xml:space="preserve"> </w:t>
            </w:r>
            <w:r>
              <w:rPr>
                <w:sz w:val="18"/>
              </w:rPr>
              <w:t>Finance</w:t>
            </w:r>
            <w:r>
              <w:rPr>
                <w:spacing w:val="-4"/>
                <w:sz w:val="18"/>
              </w:rPr>
              <w:t xml:space="preserve"> </w:t>
            </w:r>
            <w:r>
              <w:rPr>
                <w:sz w:val="18"/>
              </w:rPr>
              <w:t>Regulation</w:t>
            </w:r>
            <w:r>
              <w:rPr>
                <w:spacing w:val="-4"/>
                <w:sz w:val="18"/>
              </w:rPr>
              <w:t xml:space="preserve"> </w:t>
            </w:r>
            <w:r>
              <w:rPr>
                <w:sz w:val="18"/>
              </w:rPr>
              <w:t>No.</w:t>
            </w:r>
            <w:r>
              <w:rPr>
                <w:spacing w:val="-4"/>
                <w:sz w:val="18"/>
              </w:rPr>
              <w:t xml:space="preserve"> </w:t>
            </w:r>
            <w:r>
              <w:rPr>
                <w:sz w:val="18"/>
              </w:rPr>
              <w:t>102/2024</w:t>
            </w:r>
            <w:r>
              <w:rPr>
                <w:spacing w:val="-4"/>
                <w:sz w:val="18"/>
              </w:rPr>
              <w:t xml:space="preserve"> </w:t>
            </w:r>
            <w:r>
              <w:rPr>
                <w:sz w:val="18"/>
              </w:rPr>
              <w:t>Amending</w:t>
            </w:r>
            <w:r>
              <w:rPr>
                <w:spacing w:val="-4"/>
                <w:sz w:val="18"/>
              </w:rPr>
              <w:t xml:space="preserve"> </w:t>
            </w:r>
            <w:r>
              <w:rPr>
                <w:sz w:val="18"/>
              </w:rPr>
              <w:t>Regulation</w:t>
            </w:r>
            <w:r>
              <w:rPr>
                <w:spacing w:val="-4"/>
                <w:sz w:val="18"/>
              </w:rPr>
              <w:t xml:space="preserve"> </w:t>
            </w:r>
            <w:r>
              <w:rPr>
                <w:sz w:val="18"/>
              </w:rPr>
              <w:t>No.</w:t>
            </w:r>
            <w:r>
              <w:rPr>
                <w:spacing w:val="-4"/>
                <w:sz w:val="18"/>
              </w:rPr>
              <w:t xml:space="preserve"> </w:t>
            </w:r>
            <w:r>
              <w:rPr>
                <w:sz w:val="18"/>
              </w:rPr>
              <w:t>110/2023</w:t>
            </w:r>
            <w:r>
              <w:rPr>
                <w:spacing w:val="-4"/>
                <w:sz w:val="18"/>
              </w:rPr>
              <w:t xml:space="preserve"> </w:t>
            </w:r>
            <w:r>
              <w:rPr>
                <w:sz w:val="18"/>
              </w:rPr>
              <w:t>on</w:t>
            </w:r>
            <w:r>
              <w:rPr>
                <w:spacing w:val="-4"/>
                <w:sz w:val="18"/>
              </w:rPr>
              <w:t xml:space="preserve"> </w:t>
            </w:r>
            <w:r>
              <w:rPr>
                <w:sz w:val="18"/>
              </w:rPr>
              <w:t>Regional Performance Indicators and Technical Guidelines for Earmarked General Allocation Funds</w:t>
            </w:r>
          </w:p>
        </w:tc>
        <w:tc>
          <w:tcPr>
            <w:tcW w:w="1275" w:type="dxa"/>
            <w:tcBorders>
              <w:top w:val="single" w:sz="4" w:space="0" w:color="A6A6A6"/>
              <w:left w:val="single" w:sz="4" w:space="0" w:color="A6A6A6"/>
              <w:bottom w:val="single" w:sz="4" w:space="0" w:color="A6A6A6"/>
              <w:right w:val="single" w:sz="4" w:space="0" w:color="A6A6A6"/>
            </w:tcBorders>
          </w:tcPr>
          <w:p w14:paraId="758CCF55" w14:textId="77777777" w:rsidR="00BC24A8" w:rsidRDefault="00000000">
            <w:pPr>
              <w:pStyle w:val="TableParagraph"/>
              <w:spacing w:line="219" w:lineRule="exact"/>
              <w:ind w:left="106"/>
              <w:rPr>
                <w:sz w:val="18"/>
              </w:rPr>
            </w:pPr>
            <w:r>
              <w:rPr>
                <w:spacing w:val="-2"/>
                <w:sz w:val="18"/>
              </w:rPr>
              <w:t>Jakarta</w:t>
            </w:r>
          </w:p>
        </w:tc>
      </w:tr>
      <w:tr w:rsidR="00BC24A8" w14:paraId="2210D86F"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76CAC818" w14:textId="77777777" w:rsidR="00BC24A8" w:rsidRDefault="00000000">
            <w:pPr>
              <w:pStyle w:val="TableParagraph"/>
              <w:spacing w:before="1"/>
              <w:ind w:left="92" w:right="171"/>
              <w:jc w:val="center"/>
              <w:rPr>
                <w:sz w:val="18"/>
              </w:rPr>
            </w:pPr>
            <w:r>
              <w:rPr>
                <w:spacing w:val="-5"/>
                <w:sz w:val="18"/>
              </w:rPr>
              <w:t>12</w:t>
            </w:r>
          </w:p>
        </w:tc>
        <w:tc>
          <w:tcPr>
            <w:tcW w:w="7760" w:type="dxa"/>
            <w:tcBorders>
              <w:top w:val="single" w:sz="4" w:space="0" w:color="A6A6A6"/>
              <w:left w:val="single" w:sz="4" w:space="0" w:color="A6A6A6"/>
              <w:bottom w:val="single" w:sz="4" w:space="0" w:color="A6A6A6"/>
              <w:right w:val="single" w:sz="4" w:space="0" w:color="A6A6A6"/>
            </w:tcBorders>
          </w:tcPr>
          <w:p w14:paraId="5C6B3CA6" w14:textId="77777777" w:rsidR="00BC24A8" w:rsidRDefault="00000000">
            <w:pPr>
              <w:pStyle w:val="TableParagraph"/>
              <w:spacing w:before="1" w:line="219" w:lineRule="exact"/>
              <w:ind w:left="107"/>
              <w:rPr>
                <w:sz w:val="18"/>
              </w:rPr>
            </w:pPr>
            <w:r>
              <w:rPr>
                <w:sz w:val="18"/>
              </w:rPr>
              <w:t>Minister</w:t>
            </w:r>
            <w:r>
              <w:rPr>
                <w:spacing w:val="-4"/>
                <w:sz w:val="18"/>
              </w:rPr>
              <w:t xml:space="preserve"> </w:t>
            </w:r>
            <w:r>
              <w:rPr>
                <w:sz w:val="18"/>
              </w:rPr>
              <w:t>of</w:t>
            </w:r>
            <w:r>
              <w:rPr>
                <w:spacing w:val="-2"/>
                <w:sz w:val="18"/>
              </w:rPr>
              <w:t xml:space="preserve"> </w:t>
            </w:r>
            <w:r>
              <w:rPr>
                <w:sz w:val="18"/>
              </w:rPr>
              <w:t>Finance</w:t>
            </w:r>
            <w:r>
              <w:rPr>
                <w:spacing w:val="-2"/>
                <w:sz w:val="18"/>
              </w:rPr>
              <w:t xml:space="preserve"> </w:t>
            </w:r>
            <w:r>
              <w:rPr>
                <w:sz w:val="18"/>
              </w:rPr>
              <w:t>Regulation</w:t>
            </w:r>
            <w:r>
              <w:rPr>
                <w:spacing w:val="-1"/>
                <w:sz w:val="18"/>
              </w:rPr>
              <w:t xml:space="preserve"> </w:t>
            </w:r>
            <w:r>
              <w:rPr>
                <w:sz w:val="18"/>
              </w:rPr>
              <w:t>No.</w:t>
            </w:r>
            <w:r>
              <w:rPr>
                <w:spacing w:val="-3"/>
                <w:sz w:val="18"/>
              </w:rPr>
              <w:t xml:space="preserve"> </w:t>
            </w:r>
            <w:r>
              <w:rPr>
                <w:sz w:val="18"/>
              </w:rPr>
              <w:t>67/2024</w:t>
            </w:r>
            <w:r>
              <w:rPr>
                <w:spacing w:val="-1"/>
                <w:sz w:val="18"/>
              </w:rPr>
              <w:t xml:space="preserve"> </w:t>
            </w:r>
            <w:r>
              <w:rPr>
                <w:sz w:val="18"/>
              </w:rPr>
              <w:t>on</w:t>
            </w:r>
            <w:r>
              <w:rPr>
                <w:spacing w:val="-1"/>
                <w:sz w:val="18"/>
              </w:rPr>
              <w:t xml:space="preserve"> </w:t>
            </w:r>
            <w:r>
              <w:rPr>
                <w:sz w:val="18"/>
              </w:rPr>
              <w:t>the</w:t>
            </w:r>
            <w:r>
              <w:rPr>
                <w:spacing w:val="-2"/>
                <w:sz w:val="18"/>
              </w:rPr>
              <w:t xml:space="preserve"> </w:t>
            </w:r>
            <w:r>
              <w:rPr>
                <w:sz w:val="18"/>
              </w:rPr>
              <w:t>Management of</w:t>
            </w:r>
            <w:r>
              <w:rPr>
                <w:spacing w:val="-3"/>
                <w:sz w:val="18"/>
              </w:rPr>
              <w:t xml:space="preserve"> </w:t>
            </w:r>
            <w:r>
              <w:rPr>
                <w:sz w:val="18"/>
              </w:rPr>
              <w:t>Revenue</w:t>
            </w:r>
            <w:r>
              <w:rPr>
                <w:spacing w:val="-1"/>
                <w:sz w:val="18"/>
              </w:rPr>
              <w:t xml:space="preserve"> </w:t>
            </w:r>
            <w:r>
              <w:rPr>
                <w:sz w:val="18"/>
              </w:rPr>
              <w:t>Sharing</w:t>
            </w:r>
            <w:r>
              <w:rPr>
                <w:spacing w:val="-3"/>
                <w:sz w:val="18"/>
              </w:rPr>
              <w:t xml:space="preserve"> </w:t>
            </w:r>
            <w:r>
              <w:rPr>
                <w:sz w:val="18"/>
              </w:rPr>
              <w:t>Funds</w:t>
            </w:r>
            <w:r>
              <w:rPr>
                <w:spacing w:val="-1"/>
                <w:sz w:val="18"/>
              </w:rPr>
              <w:t xml:space="preserve"> </w:t>
            </w:r>
            <w:r>
              <w:rPr>
                <w:sz w:val="18"/>
              </w:rPr>
              <w:t>and</w:t>
            </w:r>
            <w:r>
              <w:rPr>
                <w:spacing w:val="-1"/>
                <w:sz w:val="18"/>
              </w:rPr>
              <w:t xml:space="preserve"> </w:t>
            </w:r>
            <w:r>
              <w:rPr>
                <w:spacing w:val="-2"/>
                <w:sz w:val="18"/>
              </w:rPr>
              <w:t>General</w:t>
            </w:r>
          </w:p>
          <w:p w14:paraId="190296EE" w14:textId="77777777" w:rsidR="00BC24A8" w:rsidRDefault="00000000">
            <w:pPr>
              <w:pStyle w:val="TableParagraph"/>
              <w:spacing w:line="199" w:lineRule="exact"/>
              <w:ind w:left="107"/>
              <w:rPr>
                <w:sz w:val="18"/>
              </w:rPr>
            </w:pPr>
            <w:r>
              <w:rPr>
                <w:sz w:val="18"/>
              </w:rPr>
              <w:t>Allocation</w:t>
            </w:r>
            <w:r>
              <w:rPr>
                <w:spacing w:val="-4"/>
                <w:sz w:val="18"/>
              </w:rPr>
              <w:t xml:space="preserve"> </w:t>
            </w:r>
            <w:r>
              <w:rPr>
                <w:spacing w:val="-2"/>
                <w:sz w:val="18"/>
              </w:rPr>
              <w:t>Funds</w:t>
            </w:r>
          </w:p>
        </w:tc>
        <w:tc>
          <w:tcPr>
            <w:tcW w:w="1275" w:type="dxa"/>
            <w:tcBorders>
              <w:top w:val="single" w:sz="4" w:space="0" w:color="A6A6A6"/>
              <w:left w:val="single" w:sz="4" w:space="0" w:color="A6A6A6"/>
              <w:bottom w:val="single" w:sz="4" w:space="0" w:color="A6A6A6"/>
              <w:right w:val="single" w:sz="4" w:space="0" w:color="A6A6A6"/>
            </w:tcBorders>
          </w:tcPr>
          <w:p w14:paraId="1364EE26" w14:textId="77777777" w:rsidR="00BC24A8" w:rsidRDefault="00000000">
            <w:pPr>
              <w:pStyle w:val="TableParagraph"/>
              <w:spacing w:before="1"/>
              <w:ind w:left="106"/>
              <w:rPr>
                <w:sz w:val="18"/>
              </w:rPr>
            </w:pPr>
            <w:r>
              <w:rPr>
                <w:spacing w:val="-2"/>
                <w:sz w:val="18"/>
              </w:rPr>
              <w:t>Jakarta</w:t>
            </w:r>
          </w:p>
        </w:tc>
      </w:tr>
      <w:tr w:rsidR="00BC24A8" w14:paraId="09743455"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7B4BEFBD" w14:textId="77777777" w:rsidR="00BC24A8" w:rsidRDefault="00000000">
            <w:pPr>
              <w:pStyle w:val="TableParagraph"/>
              <w:spacing w:before="1"/>
              <w:ind w:left="92" w:right="171"/>
              <w:jc w:val="center"/>
              <w:rPr>
                <w:sz w:val="18"/>
              </w:rPr>
            </w:pPr>
            <w:r>
              <w:rPr>
                <w:spacing w:val="-5"/>
                <w:sz w:val="18"/>
              </w:rPr>
              <w:t>13</w:t>
            </w:r>
          </w:p>
        </w:tc>
        <w:tc>
          <w:tcPr>
            <w:tcW w:w="7760" w:type="dxa"/>
            <w:tcBorders>
              <w:top w:val="single" w:sz="4" w:space="0" w:color="A6A6A6"/>
              <w:left w:val="single" w:sz="4" w:space="0" w:color="A6A6A6"/>
              <w:bottom w:val="single" w:sz="4" w:space="0" w:color="A6A6A6"/>
              <w:right w:val="single" w:sz="4" w:space="0" w:color="A6A6A6"/>
            </w:tcBorders>
          </w:tcPr>
          <w:p w14:paraId="2B392890" w14:textId="77777777" w:rsidR="00BC24A8" w:rsidRDefault="00000000">
            <w:pPr>
              <w:pStyle w:val="TableParagraph"/>
              <w:spacing w:before="1"/>
              <w:ind w:left="107" w:right="122"/>
              <w:rPr>
                <w:sz w:val="18"/>
              </w:rPr>
            </w:pPr>
            <w:r>
              <w:rPr>
                <w:sz w:val="18"/>
              </w:rPr>
              <w:t>Minister</w:t>
            </w:r>
            <w:r>
              <w:rPr>
                <w:spacing w:val="-3"/>
                <w:sz w:val="18"/>
              </w:rPr>
              <w:t xml:space="preserve"> </w:t>
            </w:r>
            <w:r>
              <w:rPr>
                <w:sz w:val="18"/>
              </w:rPr>
              <w:t>of</w:t>
            </w:r>
            <w:r>
              <w:rPr>
                <w:spacing w:val="-4"/>
                <w:sz w:val="18"/>
              </w:rPr>
              <w:t xml:space="preserve"> </w:t>
            </w:r>
            <w:r>
              <w:rPr>
                <w:sz w:val="18"/>
              </w:rPr>
              <w:t>Finance</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24/2024</w:t>
            </w:r>
            <w:r>
              <w:rPr>
                <w:spacing w:val="-3"/>
                <w:sz w:val="18"/>
              </w:rPr>
              <w:t xml:space="preserve"> </w:t>
            </w:r>
            <w:r>
              <w:rPr>
                <w:sz w:val="18"/>
              </w:rPr>
              <w:t>on</w:t>
            </w:r>
            <w:r>
              <w:rPr>
                <w:spacing w:val="-3"/>
                <w:sz w:val="18"/>
              </w:rPr>
              <w:t xml:space="preserve"> </w:t>
            </w:r>
            <w:r>
              <w:rPr>
                <w:sz w:val="18"/>
              </w:rPr>
              <w:t>Procedures</w:t>
            </w:r>
            <w:r>
              <w:rPr>
                <w:spacing w:val="-3"/>
                <w:sz w:val="18"/>
              </w:rPr>
              <w:t xml:space="preserve"> </w:t>
            </w:r>
            <w:r>
              <w:rPr>
                <w:sz w:val="18"/>
              </w:rPr>
              <w:t>for</w:t>
            </w:r>
            <w:r>
              <w:rPr>
                <w:spacing w:val="-3"/>
                <w:sz w:val="18"/>
              </w:rPr>
              <w:t xml:space="preserve"> </w:t>
            </w:r>
            <w:r>
              <w:rPr>
                <w:sz w:val="18"/>
              </w:rPr>
              <w:t>Delaying</w:t>
            </w:r>
            <w:r>
              <w:rPr>
                <w:spacing w:val="-4"/>
                <w:sz w:val="18"/>
              </w:rPr>
              <w:t xml:space="preserve"> </w:t>
            </w:r>
            <w:r>
              <w:rPr>
                <w:sz w:val="18"/>
              </w:rPr>
              <w:t>and/or</w:t>
            </w:r>
            <w:r>
              <w:rPr>
                <w:spacing w:val="-3"/>
                <w:sz w:val="18"/>
              </w:rPr>
              <w:t xml:space="preserve"> </w:t>
            </w:r>
            <w:r>
              <w:rPr>
                <w:sz w:val="18"/>
              </w:rPr>
              <w:t>Deductiong</w:t>
            </w:r>
            <w:r>
              <w:rPr>
                <w:spacing w:val="-4"/>
                <w:sz w:val="18"/>
              </w:rPr>
              <w:t xml:space="preserve"> </w:t>
            </w:r>
            <w:r>
              <w:rPr>
                <w:sz w:val="18"/>
              </w:rPr>
              <w:t>the</w:t>
            </w:r>
            <w:r>
              <w:rPr>
                <w:spacing w:val="-3"/>
                <w:sz w:val="18"/>
              </w:rPr>
              <w:t xml:space="preserve"> </w:t>
            </w:r>
            <w:r>
              <w:rPr>
                <w:sz w:val="18"/>
              </w:rPr>
              <w:t>Transfer of Funds to Regions due to Mandatory Spending Compliance in Regional Budgets</w:t>
            </w:r>
          </w:p>
        </w:tc>
        <w:tc>
          <w:tcPr>
            <w:tcW w:w="1275" w:type="dxa"/>
            <w:tcBorders>
              <w:top w:val="single" w:sz="4" w:space="0" w:color="A6A6A6"/>
              <w:left w:val="single" w:sz="4" w:space="0" w:color="A6A6A6"/>
              <w:bottom w:val="single" w:sz="4" w:space="0" w:color="A6A6A6"/>
              <w:right w:val="single" w:sz="4" w:space="0" w:color="A6A6A6"/>
            </w:tcBorders>
          </w:tcPr>
          <w:p w14:paraId="4AD5DC60" w14:textId="77777777" w:rsidR="00BC24A8" w:rsidRDefault="00000000">
            <w:pPr>
              <w:pStyle w:val="TableParagraph"/>
              <w:spacing w:before="1"/>
              <w:ind w:left="106"/>
              <w:rPr>
                <w:sz w:val="18"/>
              </w:rPr>
            </w:pPr>
            <w:r>
              <w:rPr>
                <w:spacing w:val="-2"/>
                <w:sz w:val="18"/>
              </w:rPr>
              <w:t>Jakarta</w:t>
            </w:r>
          </w:p>
        </w:tc>
      </w:tr>
      <w:tr w:rsidR="00BC24A8" w14:paraId="324D934C"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4A08521B" w14:textId="77777777" w:rsidR="00BC24A8" w:rsidRDefault="00000000">
            <w:pPr>
              <w:pStyle w:val="TableParagraph"/>
              <w:spacing w:before="1" w:line="218" w:lineRule="exact"/>
              <w:ind w:left="92" w:right="171"/>
              <w:jc w:val="center"/>
              <w:rPr>
                <w:sz w:val="18"/>
              </w:rPr>
            </w:pPr>
            <w:r>
              <w:rPr>
                <w:spacing w:val="-5"/>
                <w:sz w:val="18"/>
              </w:rPr>
              <w:t>14</w:t>
            </w:r>
          </w:p>
        </w:tc>
        <w:tc>
          <w:tcPr>
            <w:tcW w:w="7760" w:type="dxa"/>
            <w:tcBorders>
              <w:top w:val="single" w:sz="4" w:space="0" w:color="A6A6A6"/>
              <w:left w:val="single" w:sz="4" w:space="0" w:color="A6A6A6"/>
              <w:bottom w:val="single" w:sz="4" w:space="0" w:color="A6A6A6"/>
              <w:right w:val="single" w:sz="4" w:space="0" w:color="A6A6A6"/>
            </w:tcBorders>
          </w:tcPr>
          <w:p w14:paraId="3C42BC9C" w14:textId="77777777" w:rsidR="00BC24A8" w:rsidRDefault="00000000">
            <w:pPr>
              <w:pStyle w:val="TableParagraph"/>
              <w:spacing w:before="1" w:line="218" w:lineRule="exact"/>
              <w:ind w:left="107"/>
              <w:rPr>
                <w:sz w:val="18"/>
              </w:rPr>
            </w:pPr>
            <w:r>
              <w:rPr>
                <w:sz w:val="18"/>
              </w:rPr>
              <w:t>Bappenas</w:t>
            </w:r>
            <w:r>
              <w:rPr>
                <w:spacing w:val="-5"/>
                <w:sz w:val="18"/>
              </w:rPr>
              <w:t xml:space="preserve"> </w:t>
            </w:r>
            <w:r>
              <w:rPr>
                <w:sz w:val="18"/>
              </w:rPr>
              <w:t>Regulation</w:t>
            </w:r>
            <w:r>
              <w:rPr>
                <w:spacing w:val="-3"/>
                <w:sz w:val="18"/>
              </w:rPr>
              <w:t xml:space="preserve"> </w:t>
            </w:r>
            <w:r>
              <w:rPr>
                <w:sz w:val="18"/>
              </w:rPr>
              <w:t>No.</w:t>
            </w:r>
            <w:r>
              <w:rPr>
                <w:spacing w:val="-3"/>
                <w:sz w:val="18"/>
              </w:rPr>
              <w:t xml:space="preserve"> </w:t>
            </w:r>
            <w:r>
              <w:rPr>
                <w:sz w:val="18"/>
              </w:rPr>
              <w:t>1/2025</w:t>
            </w:r>
            <w:r>
              <w:rPr>
                <w:spacing w:val="-3"/>
                <w:sz w:val="18"/>
              </w:rPr>
              <w:t xml:space="preserve"> </w:t>
            </w:r>
            <w:r>
              <w:rPr>
                <w:sz w:val="18"/>
              </w:rPr>
              <w:t>on</w:t>
            </w:r>
            <w:r>
              <w:rPr>
                <w:spacing w:val="-3"/>
                <w:sz w:val="18"/>
              </w:rPr>
              <w:t xml:space="preserve"> </w:t>
            </w:r>
            <w:r>
              <w:rPr>
                <w:sz w:val="18"/>
              </w:rPr>
              <w:t>Development</w:t>
            </w:r>
            <w:r>
              <w:rPr>
                <w:spacing w:val="-1"/>
                <w:sz w:val="18"/>
              </w:rPr>
              <w:t xml:space="preserve"> </w:t>
            </w:r>
            <w:r>
              <w:rPr>
                <w:sz w:val="18"/>
              </w:rPr>
              <w:t>Planning</w:t>
            </w:r>
            <w:r>
              <w:rPr>
                <w:spacing w:val="-6"/>
                <w:sz w:val="18"/>
              </w:rPr>
              <w:t xml:space="preserve"> </w:t>
            </w:r>
            <w:r>
              <w:rPr>
                <w:sz w:val="18"/>
              </w:rPr>
              <w:t>Deliberations</w:t>
            </w:r>
            <w:r>
              <w:rPr>
                <w:spacing w:val="-2"/>
                <w:sz w:val="18"/>
              </w:rPr>
              <w:t xml:space="preserve"> </w:t>
            </w:r>
            <w:r>
              <w:rPr>
                <w:sz w:val="18"/>
              </w:rPr>
              <w:t>for</w:t>
            </w:r>
            <w:r>
              <w:rPr>
                <w:spacing w:val="-3"/>
                <w:sz w:val="18"/>
              </w:rPr>
              <w:t xml:space="preserve"> </w:t>
            </w:r>
            <w:r>
              <w:rPr>
                <w:sz w:val="18"/>
              </w:rPr>
              <w:t>Papua’s</w:t>
            </w:r>
            <w:r>
              <w:rPr>
                <w:spacing w:val="-3"/>
                <w:sz w:val="18"/>
              </w:rPr>
              <w:t xml:space="preserve"> </w:t>
            </w:r>
            <w:r>
              <w:rPr>
                <w:sz w:val="18"/>
              </w:rPr>
              <w:t>Special</w:t>
            </w:r>
            <w:r>
              <w:rPr>
                <w:spacing w:val="-1"/>
                <w:sz w:val="18"/>
              </w:rPr>
              <w:t xml:space="preserve"> </w:t>
            </w:r>
            <w:r>
              <w:rPr>
                <w:spacing w:val="-2"/>
                <w:sz w:val="18"/>
              </w:rPr>
              <w:t>Autonomy</w:t>
            </w:r>
          </w:p>
        </w:tc>
        <w:tc>
          <w:tcPr>
            <w:tcW w:w="1275" w:type="dxa"/>
            <w:tcBorders>
              <w:top w:val="single" w:sz="4" w:space="0" w:color="A6A6A6"/>
              <w:left w:val="single" w:sz="4" w:space="0" w:color="A6A6A6"/>
              <w:bottom w:val="single" w:sz="4" w:space="0" w:color="A6A6A6"/>
              <w:right w:val="single" w:sz="4" w:space="0" w:color="A6A6A6"/>
            </w:tcBorders>
          </w:tcPr>
          <w:p w14:paraId="674A8E9A" w14:textId="77777777" w:rsidR="00BC24A8" w:rsidRDefault="00000000">
            <w:pPr>
              <w:pStyle w:val="TableParagraph"/>
              <w:spacing w:before="1" w:line="218" w:lineRule="exact"/>
              <w:ind w:left="106"/>
              <w:rPr>
                <w:sz w:val="18"/>
              </w:rPr>
            </w:pPr>
            <w:r>
              <w:rPr>
                <w:spacing w:val="-2"/>
                <w:sz w:val="18"/>
              </w:rPr>
              <w:t>Jakarta</w:t>
            </w:r>
          </w:p>
        </w:tc>
      </w:tr>
      <w:tr w:rsidR="00BC24A8" w14:paraId="7350EA40"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65188CEB" w14:textId="77777777" w:rsidR="00BC24A8" w:rsidRDefault="00000000">
            <w:pPr>
              <w:pStyle w:val="TableParagraph"/>
              <w:spacing w:before="1"/>
              <w:ind w:left="92" w:right="171"/>
              <w:jc w:val="center"/>
              <w:rPr>
                <w:sz w:val="18"/>
              </w:rPr>
            </w:pPr>
            <w:r>
              <w:rPr>
                <w:spacing w:val="-5"/>
                <w:sz w:val="18"/>
              </w:rPr>
              <w:t>15</w:t>
            </w:r>
          </w:p>
        </w:tc>
        <w:tc>
          <w:tcPr>
            <w:tcW w:w="7760" w:type="dxa"/>
            <w:tcBorders>
              <w:top w:val="single" w:sz="4" w:space="0" w:color="A6A6A6"/>
              <w:left w:val="single" w:sz="4" w:space="0" w:color="A6A6A6"/>
              <w:bottom w:val="single" w:sz="4" w:space="0" w:color="A6A6A6"/>
              <w:right w:val="single" w:sz="4" w:space="0" w:color="A6A6A6"/>
            </w:tcBorders>
          </w:tcPr>
          <w:p w14:paraId="79E30A0E" w14:textId="77777777" w:rsidR="00BC24A8" w:rsidRDefault="00000000">
            <w:pPr>
              <w:pStyle w:val="TableParagraph"/>
              <w:spacing w:line="220" w:lineRule="atLeast"/>
              <w:ind w:left="107" w:right="122"/>
              <w:rPr>
                <w:sz w:val="18"/>
              </w:rPr>
            </w:pPr>
            <w:r>
              <w:rPr>
                <w:sz w:val="18"/>
              </w:rPr>
              <w:t>Minister</w:t>
            </w:r>
            <w:r>
              <w:rPr>
                <w:spacing w:val="-3"/>
                <w:sz w:val="18"/>
              </w:rPr>
              <w:t xml:space="preserve"> </w:t>
            </w:r>
            <w:r>
              <w:rPr>
                <w:sz w:val="18"/>
              </w:rPr>
              <w:t>of</w:t>
            </w:r>
            <w:r>
              <w:rPr>
                <w:spacing w:val="-4"/>
                <w:sz w:val="18"/>
              </w:rPr>
              <w:t xml:space="preserve"> </w:t>
            </w:r>
            <w:r>
              <w:rPr>
                <w:sz w:val="18"/>
              </w:rPr>
              <w:t>Finance</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85/2024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Assessment</w:t>
            </w:r>
            <w:r>
              <w:rPr>
                <w:spacing w:val="-2"/>
                <w:sz w:val="18"/>
              </w:rPr>
              <w:t xml:space="preserve"> </w:t>
            </w:r>
            <w:r>
              <w:rPr>
                <w:sz w:val="18"/>
              </w:rPr>
              <w:t>of</w:t>
            </w:r>
            <w:r>
              <w:rPr>
                <w:spacing w:val="-2"/>
                <w:sz w:val="18"/>
              </w:rPr>
              <w:t xml:space="preserve"> </w:t>
            </w:r>
            <w:r>
              <w:rPr>
                <w:sz w:val="18"/>
              </w:rPr>
              <w:t>Rural</w:t>
            </w:r>
            <w:r>
              <w:rPr>
                <w:spacing w:val="-2"/>
                <w:sz w:val="18"/>
              </w:rPr>
              <w:t xml:space="preserve"> </w:t>
            </w:r>
            <w:r>
              <w:rPr>
                <w:sz w:val="18"/>
              </w:rPr>
              <w:t>and</w:t>
            </w:r>
            <w:r>
              <w:rPr>
                <w:spacing w:val="-3"/>
                <w:sz w:val="18"/>
              </w:rPr>
              <w:t xml:space="preserve"> </w:t>
            </w:r>
            <w:r>
              <w:rPr>
                <w:sz w:val="18"/>
              </w:rPr>
              <w:t>Urban</w:t>
            </w:r>
            <w:r>
              <w:rPr>
                <w:spacing w:val="-3"/>
                <w:sz w:val="18"/>
              </w:rPr>
              <w:t xml:space="preserve"> </w:t>
            </w:r>
            <w:r>
              <w:rPr>
                <w:sz w:val="18"/>
              </w:rPr>
              <w:t>Land</w:t>
            </w:r>
            <w:r>
              <w:rPr>
                <w:spacing w:val="-3"/>
                <w:sz w:val="18"/>
              </w:rPr>
              <w:t xml:space="preserve"> </w:t>
            </w:r>
            <w:r>
              <w:rPr>
                <w:sz w:val="18"/>
              </w:rPr>
              <w:t>and</w:t>
            </w:r>
            <w:r>
              <w:rPr>
                <w:spacing w:val="-3"/>
                <w:sz w:val="18"/>
              </w:rPr>
              <w:t xml:space="preserve"> </w:t>
            </w:r>
            <w:r>
              <w:rPr>
                <w:sz w:val="18"/>
              </w:rPr>
              <w:t xml:space="preserve">Building </w:t>
            </w:r>
            <w:r>
              <w:rPr>
                <w:spacing w:val="-2"/>
                <w:sz w:val="18"/>
              </w:rPr>
              <w:t>Taxes</w:t>
            </w:r>
          </w:p>
        </w:tc>
        <w:tc>
          <w:tcPr>
            <w:tcW w:w="1275" w:type="dxa"/>
            <w:tcBorders>
              <w:top w:val="single" w:sz="4" w:space="0" w:color="A6A6A6"/>
              <w:left w:val="single" w:sz="4" w:space="0" w:color="A6A6A6"/>
              <w:bottom w:val="single" w:sz="4" w:space="0" w:color="A6A6A6"/>
              <w:right w:val="single" w:sz="4" w:space="0" w:color="A6A6A6"/>
            </w:tcBorders>
          </w:tcPr>
          <w:p w14:paraId="1605B080" w14:textId="77777777" w:rsidR="00BC24A8" w:rsidRDefault="00000000">
            <w:pPr>
              <w:pStyle w:val="TableParagraph"/>
              <w:spacing w:before="1"/>
              <w:ind w:left="106"/>
              <w:rPr>
                <w:sz w:val="18"/>
              </w:rPr>
            </w:pPr>
            <w:r>
              <w:rPr>
                <w:spacing w:val="-2"/>
                <w:sz w:val="18"/>
              </w:rPr>
              <w:t>Jakarta</w:t>
            </w:r>
          </w:p>
        </w:tc>
      </w:tr>
      <w:tr w:rsidR="00BC24A8" w14:paraId="56C5B7D7" w14:textId="77777777">
        <w:trPr>
          <w:trHeight w:val="659"/>
        </w:trPr>
        <w:tc>
          <w:tcPr>
            <w:tcW w:w="490" w:type="dxa"/>
            <w:tcBorders>
              <w:top w:val="single" w:sz="4" w:space="0" w:color="A6A6A6"/>
              <w:left w:val="single" w:sz="4" w:space="0" w:color="A6A6A6"/>
              <w:bottom w:val="single" w:sz="4" w:space="0" w:color="A6A6A6"/>
              <w:right w:val="single" w:sz="4" w:space="0" w:color="A6A6A6"/>
            </w:tcBorders>
          </w:tcPr>
          <w:p w14:paraId="02378B98" w14:textId="77777777" w:rsidR="00BC24A8" w:rsidRDefault="00000000">
            <w:pPr>
              <w:pStyle w:val="TableParagraph"/>
              <w:spacing w:line="219" w:lineRule="exact"/>
              <w:ind w:left="92" w:right="171"/>
              <w:jc w:val="center"/>
              <w:rPr>
                <w:sz w:val="18"/>
              </w:rPr>
            </w:pPr>
            <w:r>
              <w:rPr>
                <w:spacing w:val="-5"/>
                <w:sz w:val="18"/>
              </w:rPr>
              <w:t>16</w:t>
            </w:r>
          </w:p>
        </w:tc>
        <w:tc>
          <w:tcPr>
            <w:tcW w:w="7760" w:type="dxa"/>
            <w:tcBorders>
              <w:top w:val="single" w:sz="4" w:space="0" w:color="A6A6A6"/>
              <w:left w:val="single" w:sz="4" w:space="0" w:color="A6A6A6"/>
              <w:bottom w:val="single" w:sz="4" w:space="0" w:color="A6A6A6"/>
              <w:right w:val="single" w:sz="4" w:space="0" w:color="A6A6A6"/>
            </w:tcBorders>
          </w:tcPr>
          <w:p w14:paraId="27F300E4" w14:textId="77777777" w:rsidR="00BC24A8" w:rsidRDefault="00000000">
            <w:pPr>
              <w:pStyle w:val="TableParagraph"/>
              <w:spacing w:line="219" w:lineRule="exact"/>
              <w:ind w:left="107"/>
              <w:rPr>
                <w:sz w:val="18"/>
              </w:rPr>
            </w:pPr>
            <w:r>
              <w:rPr>
                <w:sz w:val="18"/>
              </w:rPr>
              <w:t>Minister</w:t>
            </w:r>
            <w:r>
              <w:rPr>
                <w:spacing w:val="-3"/>
                <w:sz w:val="18"/>
              </w:rPr>
              <w:t xml:space="preserve"> </w:t>
            </w:r>
            <w:r>
              <w:rPr>
                <w:sz w:val="18"/>
              </w:rPr>
              <w:t>of</w:t>
            </w:r>
            <w:r>
              <w:rPr>
                <w:spacing w:val="-4"/>
                <w:sz w:val="18"/>
              </w:rPr>
              <w:t xml:space="preserve"> </w:t>
            </w:r>
            <w:r>
              <w:rPr>
                <w:sz w:val="18"/>
              </w:rPr>
              <w:t>Finance</w:t>
            </w:r>
            <w:r>
              <w:rPr>
                <w:spacing w:val="-2"/>
                <w:sz w:val="18"/>
              </w:rPr>
              <w:t xml:space="preserve"> </w:t>
            </w:r>
            <w:r>
              <w:rPr>
                <w:sz w:val="18"/>
              </w:rPr>
              <w:t>Decree</w:t>
            </w:r>
            <w:r>
              <w:rPr>
                <w:spacing w:val="-3"/>
                <w:sz w:val="18"/>
              </w:rPr>
              <w:t xml:space="preserve"> </w:t>
            </w:r>
            <w:r>
              <w:rPr>
                <w:sz w:val="18"/>
              </w:rPr>
              <w:t>No.</w:t>
            </w:r>
            <w:r>
              <w:rPr>
                <w:spacing w:val="-3"/>
                <w:sz w:val="18"/>
              </w:rPr>
              <w:t xml:space="preserve"> </w:t>
            </w:r>
            <w:r>
              <w:rPr>
                <w:sz w:val="18"/>
              </w:rPr>
              <w:t>42/KM.7/2024</w:t>
            </w:r>
            <w:r>
              <w:rPr>
                <w:spacing w:val="-3"/>
                <w:sz w:val="18"/>
              </w:rPr>
              <w:t xml:space="preserve"> </w:t>
            </w:r>
            <w:r>
              <w:rPr>
                <w:sz w:val="18"/>
              </w:rPr>
              <w:t>Amending</w:t>
            </w:r>
            <w:r>
              <w:rPr>
                <w:spacing w:val="-4"/>
                <w:sz w:val="18"/>
              </w:rPr>
              <w:t xml:space="preserve"> </w:t>
            </w:r>
            <w:r>
              <w:rPr>
                <w:sz w:val="18"/>
              </w:rPr>
              <w:t>Decree</w:t>
            </w:r>
            <w:r>
              <w:rPr>
                <w:spacing w:val="-2"/>
                <w:sz w:val="18"/>
              </w:rPr>
              <w:t xml:space="preserve"> </w:t>
            </w:r>
            <w:r>
              <w:rPr>
                <w:sz w:val="18"/>
              </w:rPr>
              <w:t>No.</w:t>
            </w:r>
            <w:r>
              <w:rPr>
                <w:spacing w:val="-4"/>
                <w:sz w:val="18"/>
              </w:rPr>
              <w:t xml:space="preserve"> </w:t>
            </w:r>
            <w:r>
              <w:rPr>
                <w:sz w:val="18"/>
              </w:rPr>
              <w:t>22/KM.7/2024</w:t>
            </w:r>
            <w:r>
              <w:rPr>
                <w:spacing w:val="-2"/>
                <w:sz w:val="18"/>
              </w:rPr>
              <w:t xml:space="preserve"> </w:t>
            </w:r>
            <w:r>
              <w:rPr>
                <w:sz w:val="18"/>
              </w:rPr>
              <w:t>on</w:t>
            </w:r>
            <w:r>
              <w:rPr>
                <w:spacing w:val="-3"/>
                <w:sz w:val="18"/>
              </w:rPr>
              <w:t xml:space="preserve"> </w:t>
            </w:r>
            <w:r>
              <w:rPr>
                <w:sz w:val="18"/>
              </w:rPr>
              <w:t>the</w:t>
            </w:r>
            <w:r>
              <w:rPr>
                <w:spacing w:val="-3"/>
                <w:sz w:val="18"/>
              </w:rPr>
              <w:t xml:space="preserve"> </w:t>
            </w:r>
            <w:r>
              <w:rPr>
                <w:sz w:val="18"/>
              </w:rPr>
              <w:t xml:space="preserve">Tagging </w:t>
            </w:r>
            <w:r>
              <w:rPr>
                <w:spacing w:val="-5"/>
                <w:sz w:val="18"/>
              </w:rPr>
              <w:t>of</w:t>
            </w:r>
          </w:p>
          <w:p w14:paraId="3075E6ED" w14:textId="77777777" w:rsidR="00BC24A8" w:rsidRDefault="00000000">
            <w:pPr>
              <w:pStyle w:val="TableParagraph"/>
              <w:spacing w:line="220" w:lineRule="atLeast"/>
              <w:ind w:left="107" w:right="122"/>
              <w:rPr>
                <w:sz w:val="18"/>
              </w:rPr>
            </w:pPr>
            <w:r>
              <w:rPr>
                <w:sz w:val="18"/>
              </w:rPr>
              <w:t>Regional</w:t>
            </w:r>
            <w:r>
              <w:rPr>
                <w:spacing w:val="-3"/>
                <w:sz w:val="18"/>
              </w:rPr>
              <w:t xml:space="preserve"> </w:t>
            </w:r>
            <w:r>
              <w:rPr>
                <w:sz w:val="18"/>
              </w:rPr>
              <w:t>Expenditures</w:t>
            </w:r>
            <w:r>
              <w:rPr>
                <w:spacing w:val="-4"/>
                <w:sz w:val="18"/>
              </w:rPr>
              <w:t xml:space="preserve"> </w:t>
            </w:r>
            <w:r>
              <w:rPr>
                <w:sz w:val="18"/>
              </w:rPr>
              <w:t>from</w:t>
            </w:r>
            <w:r>
              <w:rPr>
                <w:spacing w:val="-5"/>
                <w:sz w:val="18"/>
              </w:rPr>
              <w:t xml:space="preserve"> </w:t>
            </w:r>
            <w:r>
              <w:rPr>
                <w:sz w:val="18"/>
              </w:rPr>
              <w:t>Earmarked</w:t>
            </w:r>
            <w:r>
              <w:rPr>
                <w:spacing w:val="-4"/>
                <w:sz w:val="18"/>
              </w:rPr>
              <w:t xml:space="preserve"> </w:t>
            </w:r>
            <w:r>
              <w:rPr>
                <w:sz w:val="18"/>
              </w:rPr>
              <w:t>Local</w:t>
            </w:r>
            <w:r>
              <w:rPr>
                <w:spacing w:val="-3"/>
                <w:sz w:val="18"/>
              </w:rPr>
              <w:t xml:space="preserve"> </w:t>
            </w:r>
            <w:r>
              <w:rPr>
                <w:sz w:val="18"/>
              </w:rPr>
              <w:t>Tax</w:t>
            </w:r>
            <w:r>
              <w:rPr>
                <w:spacing w:val="-5"/>
                <w:sz w:val="18"/>
              </w:rPr>
              <w:t xml:space="preserve"> </w:t>
            </w:r>
            <w:r>
              <w:rPr>
                <w:sz w:val="18"/>
              </w:rPr>
              <w:t>Revenues</w:t>
            </w:r>
            <w:r>
              <w:rPr>
                <w:spacing w:val="-2"/>
                <w:sz w:val="18"/>
              </w:rPr>
              <w:t xml:space="preserve"> </w:t>
            </w:r>
            <w:r>
              <w:rPr>
                <w:sz w:val="18"/>
              </w:rPr>
              <w:t>for</w:t>
            </w:r>
            <w:r>
              <w:rPr>
                <w:spacing w:val="-4"/>
                <w:sz w:val="18"/>
              </w:rPr>
              <w:t xml:space="preserve"> </w:t>
            </w:r>
            <w:r>
              <w:rPr>
                <w:sz w:val="18"/>
              </w:rPr>
              <w:t>Evaluating</w:t>
            </w:r>
            <w:r>
              <w:rPr>
                <w:spacing w:val="-5"/>
                <w:sz w:val="18"/>
              </w:rPr>
              <w:t xml:space="preserve"> </w:t>
            </w:r>
            <w:r>
              <w:rPr>
                <w:sz w:val="18"/>
              </w:rPr>
              <w:t>Compliance</w:t>
            </w:r>
            <w:r>
              <w:rPr>
                <w:spacing w:val="-4"/>
                <w:sz w:val="18"/>
              </w:rPr>
              <w:t xml:space="preserve"> </w:t>
            </w:r>
            <w:r>
              <w:rPr>
                <w:sz w:val="18"/>
              </w:rPr>
              <w:t>with</w:t>
            </w:r>
            <w:r>
              <w:rPr>
                <w:spacing w:val="-4"/>
                <w:sz w:val="18"/>
              </w:rPr>
              <w:t xml:space="preserve"> </w:t>
            </w:r>
            <w:r>
              <w:rPr>
                <w:sz w:val="18"/>
              </w:rPr>
              <w:t>Mandatory Spending</w:t>
            </w:r>
            <w:r>
              <w:rPr>
                <w:spacing w:val="-2"/>
                <w:sz w:val="18"/>
              </w:rPr>
              <w:t xml:space="preserve"> </w:t>
            </w:r>
            <w:r>
              <w:rPr>
                <w:sz w:val="18"/>
              </w:rPr>
              <w:t>Requirements</w:t>
            </w:r>
          </w:p>
        </w:tc>
        <w:tc>
          <w:tcPr>
            <w:tcW w:w="1275" w:type="dxa"/>
            <w:tcBorders>
              <w:top w:val="single" w:sz="4" w:space="0" w:color="A6A6A6"/>
              <w:left w:val="single" w:sz="4" w:space="0" w:color="A6A6A6"/>
              <w:bottom w:val="single" w:sz="4" w:space="0" w:color="A6A6A6"/>
              <w:right w:val="single" w:sz="4" w:space="0" w:color="A6A6A6"/>
            </w:tcBorders>
          </w:tcPr>
          <w:p w14:paraId="3628D024" w14:textId="77777777" w:rsidR="00BC24A8" w:rsidRDefault="00000000">
            <w:pPr>
              <w:pStyle w:val="TableParagraph"/>
              <w:spacing w:line="219" w:lineRule="exact"/>
              <w:ind w:left="106"/>
              <w:rPr>
                <w:sz w:val="18"/>
              </w:rPr>
            </w:pPr>
            <w:r>
              <w:rPr>
                <w:spacing w:val="-2"/>
                <w:sz w:val="18"/>
              </w:rPr>
              <w:t>Jakarta</w:t>
            </w:r>
          </w:p>
        </w:tc>
      </w:tr>
      <w:tr w:rsidR="00BC24A8" w14:paraId="18690346"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7A2A86DF" w14:textId="77777777" w:rsidR="00BC24A8" w:rsidRDefault="00BC24A8">
            <w:pPr>
              <w:pStyle w:val="TableParagraph"/>
              <w:rPr>
                <w:rFonts w:ascii="Times New Roman"/>
                <w:sz w:val="18"/>
              </w:rPr>
            </w:pPr>
          </w:p>
        </w:tc>
        <w:tc>
          <w:tcPr>
            <w:tcW w:w="7760" w:type="dxa"/>
            <w:tcBorders>
              <w:top w:val="single" w:sz="4" w:space="0" w:color="A6A6A6"/>
              <w:left w:val="single" w:sz="4" w:space="0" w:color="A6A6A6"/>
              <w:bottom w:val="single" w:sz="4" w:space="0" w:color="A6A6A6"/>
              <w:right w:val="single" w:sz="4" w:space="0" w:color="A6A6A6"/>
            </w:tcBorders>
          </w:tcPr>
          <w:p w14:paraId="4C851C10" w14:textId="77777777" w:rsidR="00BC24A8" w:rsidRDefault="00000000">
            <w:pPr>
              <w:pStyle w:val="TableParagraph"/>
              <w:spacing w:line="219" w:lineRule="exact"/>
              <w:ind w:left="107"/>
              <w:rPr>
                <w:sz w:val="18"/>
              </w:rPr>
            </w:pPr>
            <w:r>
              <w:rPr>
                <w:sz w:val="18"/>
              </w:rPr>
              <w:t>Minister</w:t>
            </w:r>
            <w:r>
              <w:rPr>
                <w:spacing w:val="-4"/>
                <w:sz w:val="18"/>
              </w:rPr>
              <w:t xml:space="preserve"> </w:t>
            </w:r>
            <w:r>
              <w:rPr>
                <w:sz w:val="18"/>
              </w:rPr>
              <w:t>of</w:t>
            </w:r>
            <w:r>
              <w:rPr>
                <w:spacing w:val="-3"/>
                <w:sz w:val="18"/>
              </w:rPr>
              <w:t xml:space="preserve"> </w:t>
            </w:r>
            <w:r>
              <w:rPr>
                <w:sz w:val="18"/>
              </w:rPr>
              <w:t>Finance</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33/2024</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Management</w:t>
            </w:r>
            <w:r>
              <w:rPr>
                <w:spacing w:val="-1"/>
                <w:sz w:val="18"/>
              </w:rPr>
              <w:t xml:space="preserve"> </w:t>
            </w:r>
            <w:r>
              <w:rPr>
                <w:sz w:val="18"/>
              </w:rPr>
              <w:t>of</w:t>
            </w:r>
            <w:r>
              <w:rPr>
                <w:spacing w:val="-2"/>
                <w:sz w:val="18"/>
              </w:rPr>
              <w:t xml:space="preserve"> </w:t>
            </w:r>
            <w:r>
              <w:rPr>
                <w:sz w:val="18"/>
              </w:rPr>
              <w:t>Transfers</w:t>
            </w:r>
            <w:r>
              <w:rPr>
                <w:spacing w:val="-2"/>
                <w:sz w:val="18"/>
              </w:rPr>
              <w:t xml:space="preserve"> </w:t>
            </w:r>
            <w:r>
              <w:rPr>
                <w:sz w:val="18"/>
              </w:rPr>
              <w:t>to</w:t>
            </w:r>
            <w:r>
              <w:rPr>
                <w:spacing w:val="-3"/>
                <w:sz w:val="18"/>
              </w:rPr>
              <w:t xml:space="preserve"> </w:t>
            </w:r>
            <w:r>
              <w:rPr>
                <w:sz w:val="18"/>
              </w:rPr>
              <w:t>Regions</w:t>
            </w:r>
            <w:r>
              <w:rPr>
                <w:spacing w:val="-2"/>
                <w:sz w:val="18"/>
              </w:rPr>
              <w:t xml:space="preserve"> </w:t>
            </w:r>
            <w:r>
              <w:rPr>
                <w:sz w:val="18"/>
              </w:rPr>
              <w:t>under</w:t>
            </w:r>
            <w:r>
              <w:rPr>
                <w:spacing w:val="-1"/>
                <w:sz w:val="18"/>
              </w:rPr>
              <w:t xml:space="preserve"> </w:t>
            </w:r>
            <w:r>
              <w:rPr>
                <w:spacing w:val="-5"/>
                <w:sz w:val="18"/>
              </w:rPr>
              <w:t>the</w:t>
            </w:r>
          </w:p>
          <w:p w14:paraId="29925FD1" w14:textId="77777777" w:rsidR="00BC24A8" w:rsidRDefault="00000000">
            <w:pPr>
              <w:pStyle w:val="TableParagraph"/>
              <w:spacing w:before="1" w:line="199" w:lineRule="exact"/>
              <w:ind w:left="107"/>
              <w:rPr>
                <w:sz w:val="18"/>
              </w:rPr>
            </w:pPr>
            <w:r>
              <w:rPr>
                <w:sz w:val="18"/>
              </w:rPr>
              <w:t>Special</w:t>
            </w:r>
            <w:r>
              <w:rPr>
                <w:spacing w:val="-2"/>
                <w:sz w:val="18"/>
              </w:rPr>
              <w:t xml:space="preserve"> </w:t>
            </w:r>
            <w:r>
              <w:rPr>
                <w:sz w:val="18"/>
              </w:rPr>
              <w:t>Autonomy</w:t>
            </w:r>
            <w:r>
              <w:rPr>
                <w:spacing w:val="-2"/>
                <w:sz w:val="18"/>
              </w:rPr>
              <w:t xml:space="preserve"> Framework</w:t>
            </w:r>
          </w:p>
        </w:tc>
        <w:tc>
          <w:tcPr>
            <w:tcW w:w="1275" w:type="dxa"/>
            <w:tcBorders>
              <w:top w:val="single" w:sz="4" w:space="0" w:color="A6A6A6"/>
              <w:left w:val="single" w:sz="4" w:space="0" w:color="A6A6A6"/>
              <w:bottom w:val="single" w:sz="4" w:space="0" w:color="A6A6A6"/>
              <w:right w:val="single" w:sz="4" w:space="0" w:color="A6A6A6"/>
            </w:tcBorders>
          </w:tcPr>
          <w:p w14:paraId="6F728BC5" w14:textId="77777777" w:rsidR="00BC24A8" w:rsidRDefault="00000000">
            <w:pPr>
              <w:pStyle w:val="TableParagraph"/>
              <w:spacing w:line="219" w:lineRule="exact"/>
              <w:ind w:left="106"/>
              <w:rPr>
                <w:sz w:val="18"/>
              </w:rPr>
            </w:pPr>
            <w:r>
              <w:rPr>
                <w:spacing w:val="-2"/>
                <w:sz w:val="18"/>
              </w:rPr>
              <w:t>Jakarta</w:t>
            </w:r>
          </w:p>
        </w:tc>
      </w:tr>
      <w:tr w:rsidR="00BC24A8" w14:paraId="379FA8A0"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0FAF4DE7" w14:textId="77777777" w:rsidR="00BC24A8" w:rsidRDefault="00000000">
            <w:pPr>
              <w:pStyle w:val="TableParagraph"/>
              <w:spacing w:before="1"/>
              <w:ind w:left="92" w:right="171"/>
              <w:jc w:val="center"/>
              <w:rPr>
                <w:sz w:val="18"/>
              </w:rPr>
            </w:pPr>
            <w:r>
              <w:rPr>
                <w:spacing w:val="-5"/>
                <w:sz w:val="18"/>
              </w:rPr>
              <w:t>17</w:t>
            </w:r>
          </w:p>
        </w:tc>
        <w:tc>
          <w:tcPr>
            <w:tcW w:w="7760" w:type="dxa"/>
            <w:tcBorders>
              <w:top w:val="single" w:sz="4" w:space="0" w:color="A6A6A6"/>
              <w:left w:val="single" w:sz="4" w:space="0" w:color="A6A6A6"/>
              <w:bottom w:val="single" w:sz="4" w:space="0" w:color="A6A6A6"/>
              <w:right w:val="single" w:sz="4" w:space="0" w:color="A6A6A6"/>
            </w:tcBorders>
          </w:tcPr>
          <w:p w14:paraId="534C569B" w14:textId="77777777" w:rsidR="00BC24A8" w:rsidRDefault="00000000">
            <w:pPr>
              <w:pStyle w:val="TableParagraph"/>
              <w:spacing w:before="1" w:line="219" w:lineRule="exact"/>
              <w:ind w:left="107"/>
              <w:rPr>
                <w:sz w:val="18"/>
              </w:rPr>
            </w:pPr>
            <w:r>
              <w:rPr>
                <w:sz w:val="18"/>
              </w:rPr>
              <w:t>Ministry</w:t>
            </w:r>
            <w:r>
              <w:rPr>
                <w:spacing w:val="-5"/>
                <w:sz w:val="18"/>
              </w:rPr>
              <w:t xml:space="preserve"> </w:t>
            </w:r>
            <w:r>
              <w:rPr>
                <w:sz w:val="18"/>
              </w:rPr>
              <w:t>of</w:t>
            </w:r>
            <w:r>
              <w:rPr>
                <w:spacing w:val="-3"/>
                <w:sz w:val="18"/>
              </w:rPr>
              <w:t xml:space="preserve"> </w:t>
            </w:r>
            <w:r>
              <w:rPr>
                <w:sz w:val="18"/>
              </w:rPr>
              <w:t>Home</w:t>
            </w:r>
            <w:r>
              <w:rPr>
                <w:spacing w:val="-2"/>
                <w:sz w:val="18"/>
              </w:rPr>
              <w:t xml:space="preserve"> </w:t>
            </w:r>
            <w:r>
              <w:rPr>
                <w:sz w:val="18"/>
              </w:rPr>
              <w:t>Affairs</w:t>
            </w:r>
            <w:r>
              <w:rPr>
                <w:spacing w:val="-2"/>
                <w:sz w:val="18"/>
              </w:rPr>
              <w:t xml:space="preserve"> </w:t>
            </w:r>
            <w:r>
              <w:rPr>
                <w:sz w:val="18"/>
              </w:rPr>
              <w:t>Regulation</w:t>
            </w:r>
            <w:r>
              <w:rPr>
                <w:spacing w:val="-2"/>
                <w:sz w:val="18"/>
              </w:rPr>
              <w:t xml:space="preserve"> </w:t>
            </w:r>
            <w:r>
              <w:rPr>
                <w:sz w:val="18"/>
              </w:rPr>
              <w:t>No.</w:t>
            </w:r>
            <w:r>
              <w:rPr>
                <w:spacing w:val="-3"/>
                <w:sz w:val="18"/>
              </w:rPr>
              <w:t xml:space="preserve"> </w:t>
            </w:r>
            <w:r>
              <w:rPr>
                <w:sz w:val="18"/>
              </w:rPr>
              <w:t>12/2024</w:t>
            </w:r>
            <w:r>
              <w:rPr>
                <w:spacing w:val="-2"/>
                <w:sz w:val="18"/>
              </w:rPr>
              <w:t xml:space="preserve"> </w:t>
            </w:r>
            <w:r>
              <w:rPr>
                <w:sz w:val="18"/>
              </w:rPr>
              <w:t>on</w:t>
            </w:r>
            <w:r>
              <w:rPr>
                <w:spacing w:val="-2"/>
                <w:sz w:val="18"/>
              </w:rPr>
              <w:t xml:space="preserve"> </w:t>
            </w:r>
            <w:r>
              <w:rPr>
                <w:sz w:val="18"/>
              </w:rPr>
              <w:t>Guidelines</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Preparation</w:t>
            </w:r>
            <w:r>
              <w:rPr>
                <w:spacing w:val="-2"/>
                <w:sz w:val="18"/>
              </w:rPr>
              <w:t xml:space="preserve"> </w:t>
            </w:r>
            <w:r>
              <w:rPr>
                <w:sz w:val="18"/>
              </w:rPr>
              <w:t>of</w:t>
            </w:r>
            <w:r>
              <w:rPr>
                <w:spacing w:val="-3"/>
                <w:sz w:val="18"/>
              </w:rPr>
              <w:t xml:space="preserve"> </w:t>
            </w:r>
            <w:r>
              <w:rPr>
                <w:sz w:val="18"/>
              </w:rPr>
              <w:t>Local</w:t>
            </w:r>
            <w:r>
              <w:rPr>
                <w:spacing w:val="-1"/>
                <w:sz w:val="18"/>
              </w:rPr>
              <w:t xml:space="preserve"> </w:t>
            </w:r>
            <w:r>
              <w:rPr>
                <w:spacing w:val="-2"/>
                <w:sz w:val="18"/>
              </w:rPr>
              <w:t>Government</w:t>
            </w:r>
          </w:p>
          <w:p w14:paraId="32A36149" w14:textId="77777777" w:rsidR="00BC24A8" w:rsidRDefault="00000000">
            <w:pPr>
              <w:pStyle w:val="TableParagraph"/>
              <w:spacing w:line="199" w:lineRule="exact"/>
              <w:ind w:left="107"/>
              <w:rPr>
                <w:sz w:val="18"/>
              </w:rPr>
            </w:pPr>
            <w:r>
              <w:rPr>
                <w:sz w:val="18"/>
              </w:rPr>
              <w:t>Work</w:t>
            </w:r>
            <w:r>
              <w:rPr>
                <w:spacing w:val="-3"/>
                <w:sz w:val="18"/>
              </w:rPr>
              <w:t xml:space="preserve"> </w:t>
            </w:r>
            <w:r>
              <w:rPr>
                <w:sz w:val="18"/>
              </w:rPr>
              <w:t>Plans</w:t>
            </w:r>
            <w:r>
              <w:rPr>
                <w:spacing w:val="-2"/>
                <w:sz w:val="18"/>
              </w:rPr>
              <w:t xml:space="preserve"> </w:t>
            </w:r>
            <w:r>
              <w:rPr>
                <w:sz w:val="18"/>
              </w:rPr>
              <w:t>for</w:t>
            </w:r>
            <w:r>
              <w:rPr>
                <w:spacing w:val="-1"/>
                <w:sz w:val="18"/>
              </w:rPr>
              <w:t xml:space="preserve"> </w:t>
            </w:r>
            <w:r>
              <w:rPr>
                <w:spacing w:val="-4"/>
                <w:sz w:val="18"/>
              </w:rPr>
              <w:t>2025</w:t>
            </w:r>
          </w:p>
        </w:tc>
        <w:tc>
          <w:tcPr>
            <w:tcW w:w="1275" w:type="dxa"/>
            <w:tcBorders>
              <w:top w:val="single" w:sz="4" w:space="0" w:color="A6A6A6"/>
              <w:left w:val="single" w:sz="4" w:space="0" w:color="A6A6A6"/>
              <w:bottom w:val="single" w:sz="4" w:space="0" w:color="A6A6A6"/>
              <w:right w:val="single" w:sz="4" w:space="0" w:color="A6A6A6"/>
            </w:tcBorders>
          </w:tcPr>
          <w:p w14:paraId="40D7F35A" w14:textId="77777777" w:rsidR="00BC24A8" w:rsidRDefault="00000000">
            <w:pPr>
              <w:pStyle w:val="TableParagraph"/>
              <w:spacing w:before="1"/>
              <w:ind w:left="106"/>
              <w:rPr>
                <w:sz w:val="18"/>
              </w:rPr>
            </w:pPr>
            <w:r>
              <w:rPr>
                <w:spacing w:val="-2"/>
                <w:sz w:val="18"/>
              </w:rPr>
              <w:t>Jakarta</w:t>
            </w:r>
          </w:p>
        </w:tc>
      </w:tr>
      <w:tr w:rsidR="00BC24A8" w14:paraId="4E808F49"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0314CF4E" w14:textId="77777777" w:rsidR="00BC24A8" w:rsidRDefault="00000000">
            <w:pPr>
              <w:pStyle w:val="TableParagraph"/>
              <w:spacing w:before="1"/>
              <w:ind w:left="92" w:right="171"/>
              <w:jc w:val="center"/>
              <w:rPr>
                <w:sz w:val="18"/>
              </w:rPr>
            </w:pPr>
            <w:r>
              <w:rPr>
                <w:spacing w:val="-5"/>
                <w:sz w:val="18"/>
              </w:rPr>
              <w:t>18</w:t>
            </w:r>
          </w:p>
        </w:tc>
        <w:tc>
          <w:tcPr>
            <w:tcW w:w="7760" w:type="dxa"/>
            <w:tcBorders>
              <w:top w:val="single" w:sz="4" w:space="0" w:color="A6A6A6"/>
              <w:left w:val="single" w:sz="4" w:space="0" w:color="A6A6A6"/>
              <w:bottom w:val="single" w:sz="4" w:space="0" w:color="A6A6A6"/>
              <w:right w:val="single" w:sz="4" w:space="0" w:color="A6A6A6"/>
            </w:tcBorders>
          </w:tcPr>
          <w:p w14:paraId="50619A42" w14:textId="77777777" w:rsidR="00BC24A8" w:rsidRDefault="00000000">
            <w:pPr>
              <w:pStyle w:val="TableParagraph"/>
              <w:spacing w:before="1" w:line="219" w:lineRule="exact"/>
              <w:ind w:left="107"/>
              <w:rPr>
                <w:sz w:val="18"/>
              </w:rPr>
            </w:pPr>
            <w:r>
              <w:rPr>
                <w:sz w:val="18"/>
              </w:rPr>
              <w:t>Ministry</w:t>
            </w:r>
            <w:r>
              <w:rPr>
                <w:spacing w:val="-4"/>
                <w:sz w:val="18"/>
              </w:rPr>
              <w:t xml:space="preserve"> </w:t>
            </w:r>
            <w:r>
              <w:rPr>
                <w:sz w:val="18"/>
              </w:rPr>
              <w:t>of</w:t>
            </w:r>
            <w:r>
              <w:rPr>
                <w:spacing w:val="-3"/>
                <w:sz w:val="18"/>
              </w:rPr>
              <w:t xml:space="preserve"> </w:t>
            </w:r>
            <w:r>
              <w:rPr>
                <w:sz w:val="18"/>
              </w:rPr>
              <w:t>Home</w:t>
            </w:r>
            <w:r>
              <w:rPr>
                <w:spacing w:val="-2"/>
                <w:sz w:val="18"/>
              </w:rPr>
              <w:t xml:space="preserve"> </w:t>
            </w:r>
            <w:r>
              <w:rPr>
                <w:sz w:val="18"/>
              </w:rPr>
              <w:t>Affairs</w:t>
            </w:r>
            <w:r>
              <w:rPr>
                <w:spacing w:val="-2"/>
                <w:sz w:val="18"/>
              </w:rPr>
              <w:t xml:space="preserve"> </w:t>
            </w:r>
            <w:r>
              <w:rPr>
                <w:sz w:val="18"/>
              </w:rPr>
              <w:t>Regulation</w:t>
            </w:r>
            <w:r>
              <w:rPr>
                <w:spacing w:val="-1"/>
                <w:sz w:val="18"/>
              </w:rPr>
              <w:t xml:space="preserve"> </w:t>
            </w:r>
            <w:r>
              <w:rPr>
                <w:sz w:val="18"/>
              </w:rPr>
              <w:t>No.</w:t>
            </w:r>
            <w:r>
              <w:rPr>
                <w:spacing w:val="-3"/>
                <w:sz w:val="18"/>
              </w:rPr>
              <w:t xml:space="preserve"> </w:t>
            </w:r>
            <w:r>
              <w:rPr>
                <w:sz w:val="18"/>
              </w:rPr>
              <w:t>15/2024</w:t>
            </w:r>
            <w:r>
              <w:rPr>
                <w:spacing w:val="-2"/>
                <w:sz w:val="18"/>
              </w:rPr>
              <w:t xml:space="preserve"> </w:t>
            </w:r>
            <w:r>
              <w:rPr>
                <w:sz w:val="18"/>
              </w:rPr>
              <w:t>on</w:t>
            </w:r>
            <w:r>
              <w:rPr>
                <w:spacing w:val="-2"/>
                <w:sz w:val="18"/>
              </w:rPr>
              <w:t xml:space="preserve"> </w:t>
            </w:r>
            <w:r>
              <w:rPr>
                <w:sz w:val="18"/>
              </w:rPr>
              <w:t>Guidelines</w:t>
            </w:r>
            <w:r>
              <w:rPr>
                <w:spacing w:val="-2"/>
                <w:sz w:val="18"/>
              </w:rPr>
              <w:t xml:space="preserve"> </w:t>
            </w:r>
            <w:r>
              <w:rPr>
                <w:sz w:val="18"/>
              </w:rPr>
              <w:t>for</w:t>
            </w:r>
            <w:r>
              <w:rPr>
                <w:spacing w:val="-1"/>
                <w:sz w:val="18"/>
              </w:rPr>
              <w:t xml:space="preserve"> </w:t>
            </w:r>
            <w:r>
              <w:rPr>
                <w:sz w:val="18"/>
              </w:rPr>
              <w:t>the</w:t>
            </w:r>
            <w:r>
              <w:rPr>
                <w:spacing w:val="-2"/>
                <w:sz w:val="18"/>
              </w:rPr>
              <w:t xml:space="preserve"> </w:t>
            </w:r>
            <w:r>
              <w:rPr>
                <w:sz w:val="18"/>
              </w:rPr>
              <w:t>Preparation</w:t>
            </w:r>
            <w:r>
              <w:rPr>
                <w:spacing w:val="-2"/>
                <w:sz w:val="18"/>
              </w:rPr>
              <w:t xml:space="preserve"> </w:t>
            </w:r>
            <w:r>
              <w:rPr>
                <w:sz w:val="18"/>
              </w:rPr>
              <w:t>of</w:t>
            </w:r>
            <w:r>
              <w:rPr>
                <w:spacing w:val="-3"/>
                <w:sz w:val="18"/>
              </w:rPr>
              <w:t xml:space="preserve"> </w:t>
            </w:r>
            <w:r>
              <w:rPr>
                <w:sz w:val="18"/>
              </w:rPr>
              <w:t>the</w:t>
            </w:r>
            <w:r>
              <w:rPr>
                <w:spacing w:val="-1"/>
                <w:sz w:val="18"/>
              </w:rPr>
              <w:t xml:space="preserve"> </w:t>
            </w:r>
            <w:r>
              <w:rPr>
                <w:spacing w:val="-2"/>
                <w:sz w:val="18"/>
              </w:rPr>
              <w:t>Regional</w:t>
            </w:r>
          </w:p>
          <w:p w14:paraId="4B67B54A" w14:textId="77777777" w:rsidR="00BC24A8" w:rsidRDefault="00000000">
            <w:pPr>
              <w:pStyle w:val="TableParagraph"/>
              <w:spacing w:line="199" w:lineRule="exact"/>
              <w:ind w:left="107"/>
              <w:rPr>
                <w:sz w:val="18"/>
              </w:rPr>
            </w:pPr>
            <w:r>
              <w:rPr>
                <w:sz w:val="18"/>
              </w:rPr>
              <w:t>Budget</w:t>
            </w:r>
            <w:r>
              <w:rPr>
                <w:spacing w:val="-3"/>
                <w:sz w:val="18"/>
              </w:rPr>
              <w:t xml:space="preserve"> </w:t>
            </w:r>
            <w:r>
              <w:rPr>
                <w:sz w:val="18"/>
              </w:rPr>
              <w:t>for</w:t>
            </w:r>
            <w:r>
              <w:rPr>
                <w:spacing w:val="-2"/>
                <w:sz w:val="18"/>
              </w:rPr>
              <w:t xml:space="preserve"> </w:t>
            </w:r>
            <w:r>
              <w:rPr>
                <w:sz w:val="18"/>
              </w:rPr>
              <w:t>Fiscal</w:t>
            </w:r>
            <w:r>
              <w:rPr>
                <w:spacing w:val="-1"/>
                <w:sz w:val="18"/>
              </w:rPr>
              <w:t xml:space="preserve"> </w:t>
            </w:r>
            <w:r>
              <w:rPr>
                <w:sz w:val="18"/>
              </w:rPr>
              <w:t>Year</w:t>
            </w:r>
            <w:r>
              <w:rPr>
                <w:spacing w:val="-1"/>
                <w:sz w:val="18"/>
              </w:rPr>
              <w:t xml:space="preserve"> </w:t>
            </w:r>
            <w:r>
              <w:rPr>
                <w:spacing w:val="-4"/>
                <w:sz w:val="18"/>
              </w:rPr>
              <w:t>2025</w:t>
            </w:r>
          </w:p>
        </w:tc>
        <w:tc>
          <w:tcPr>
            <w:tcW w:w="1275" w:type="dxa"/>
            <w:tcBorders>
              <w:top w:val="single" w:sz="4" w:space="0" w:color="A6A6A6"/>
              <w:left w:val="single" w:sz="4" w:space="0" w:color="A6A6A6"/>
              <w:bottom w:val="single" w:sz="4" w:space="0" w:color="A6A6A6"/>
              <w:right w:val="single" w:sz="4" w:space="0" w:color="A6A6A6"/>
            </w:tcBorders>
          </w:tcPr>
          <w:p w14:paraId="64A2A428" w14:textId="77777777" w:rsidR="00BC24A8" w:rsidRDefault="00000000">
            <w:pPr>
              <w:pStyle w:val="TableParagraph"/>
              <w:spacing w:before="1"/>
              <w:ind w:left="106"/>
              <w:rPr>
                <w:sz w:val="18"/>
              </w:rPr>
            </w:pPr>
            <w:r>
              <w:rPr>
                <w:spacing w:val="-2"/>
                <w:sz w:val="18"/>
              </w:rPr>
              <w:t>Jakarta</w:t>
            </w:r>
          </w:p>
        </w:tc>
      </w:tr>
      <w:tr w:rsidR="00BC24A8" w14:paraId="16EF0B36" w14:textId="77777777">
        <w:trPr>
          <w:trHeight w:val="719"/>
        </w:trPr>
        <w:tc>
          <w:tcPr>
            <w:tcW w:w="490" w:type="dxa"/>
            <w:tcBorders>
              <w:top w:val="single" w:sz="4" w:space="0" w:color="A6A6A6"/>
              <w:left w:val="single" w:sz="4" w:space="0" w:color="A6A6A6"/>
              <w:bottom w:val="single" w:sz="4" w:space="0" w:color="A6A6A6"/>
              <w:right w:val="single" w:sz="4" w:space="0" w:color="A6A6A6"/>
            </w:tcBorders>
          </w:tcPr>
          <w:p w14:paraId="3505CDEB" w14:textId="77777777" w:rsidR="00BC24A8" w:rsidRDefault="00000000">
            <w:pPr>
              <w:pStyle w:val="TableParagraph"/>
              <w:spacing w:before="1"/>
              <w:ind w:left="92" w:right="171"/>
              <w:jc w:val="center"/>
              <w:rPr>
                <w:sz w:val="18"/>
              </w:rPr>
            </w:pPr>
            <w:r>
              <w:rPr>
                <w:spacing w:val="-5"/>
                <w:sz w:val="18"/>
              </w:rPr>
              <w:t>19</w:t>
            </w:r>
          </w:p>
        </w:tc>
        <w:tc>
          <w:tcPr>
            <w:tcW w:w="7760" w:type="dxa"/>
            <w:tcBorders>
              <w:top w:val="single" w:sz="4" w:space="0" w:color="A6A6A6"/>
              <w:left w:val="single" w:sz="4" w:space="0" w:color="A6A6A6"/>
              <w:bottom w:val="single" w:sz="4" w:space="0" w:color="A6A6A6"/>
              <w:right w:val="single" w:sz="4" w:space="0" w:color="A6A6A6"/>
            </w:tcBorders>
          </w:tcPr>
          <w:p w14:paraId="3AB98783" w14:textId="77777777" w:rsidR="00BC24A8" w:rsidRDefault="00000000">
            <w:pPr>
              <w:pStyle w:val="TableParagraph"/>
              <w:spacing w:before="1"/>
              <w:ind w:left="107" w:right="782"/>
              <w:jc w:val="both"/>
              <w:rPr>
                <w:sz w:val="18"/>
              </w:rPr>
            </w:pPr>
            <w:r>
              <w:rPr>
                <w:sz w:val="18"/>
              </w:rPr>
              <w:t>Minister of Home Affairs Decree No. 900/2024 on the Second Amendment to Decree No. 050- 5889/2021</w:t>
            </w:r>
            <w:r>
              <w:rPr>
                <w:spacing w:val="-4"/>
                <w:sz w:val="18"/>
              </w:rPr>
              <w:t xml:space="preserve"> </w:t>
            </w:r>
            <w:r>
              <w:rPr>
                <w:sz w:val="18"/>
              </w:rPr>
              <w:t>concerning</w:t>
            </w:r>
            <w:r>
              <w:rPr>
                <w:spacing w:val="-5"/>
                <w:sz w:val="18"/>
              </w:rPr>
              <w:t xml:space="preserve"> </w:t>
            </w:r>
            <w:r>
              <w:rPr>
                <w:sz w:val="18"/>
              </w:rPr>
              <w:t>Verification,</w:t>
            </w:r>
            <w:r>
              <w:rPr>
                <w:spacing w:val="-5"/>
                <w:sz w:val="18"/>
              </w:rPr>
              <w:t xml:space="preserve"> </w:t>
            </w:r>
            <w:r>
              <w:rPr>
                <w:sz w:val="18"/>
              </w:rPr>
              <w:t>Validation,</w:t>
            </w:r>
            <w:r>
              <w:rPr>
                <w:spacing w:val="-5"/>
                <w:sz w:val="18"/>
              </w:rPr>
              <w:t xml:space="preserve"> </w:t>
            </w:r>
            <w:r>
              <w:rPr>
                <w:sz w:val="18"/>
              </w:rPr>
              <w:t>and</w:t>
            </w:r>
            <w:r>
              <w:rPr>
                <w:spacing w:val="-4"/>
                <w:sz w:val="18"/>
              </w:rPr>
              <w:t xml:space="preserve"> </w:t>
            </w:r>
            <w:r>
              <w:rPr>
                <w:sz w:val="18"/>
              </w:rPr>
              <w:t>Inventory</w:t>
            </w:r>
            <w:r>
              <w:rPr>
                <w:spacing w:val="-4"/>
                <w:sz w:val="18"/>
              </w:rPr>
              <w:t xml:space="preserve"> </w:t>
            </w:r>
            <w:r>
              <w:rPr>
                <w:sz w:val="18"/>
              </w:rPr>
              <w:t>Results</w:t>
            </w:r>
            <w:r>
              <w:rPr>
                <w:spacing w:val="-4"/>
                <w:sz w:val="18"/>
              </w:rPr>
              <w:t xml:space="preserve"> </w:t>
            </w:r>
            <w:r>
              <w:rPr>
                <w:sz w:val="18"/>
              </w:rPr>
              <w:t>of</w:t>
            </w:r>
            <w:r>
              <w:rPr>
                <w:spacing w:val="-5"/>
                <w:sz w:val="18"/>
              </w:rPr>
              <w:t xml:space="preserve"> </w:t>
            </w:r>
            <w:r>
              <w:rPr>
                <w:sz w:val="18"/>
              </w:rPr>
              <w:t>Updated</w:t>
            </w:r>
            <w:r>
              <w:rPr>
                <w:spacing w:val="-4"/>
                <w:sz w:val="18"/>
              </w:rPr>
              <w:t xml:space="preserve"> </w:t>
            </w:r>
            <w:r>
              <w:rPr>
                <w:sz w:val="18"/>
              </w:rPr>
              <w:t>Classification, Codifications, and Nomenclatures for Regional Development Planning and Finance.</w:t>
            </w:r>
          </w:p>
        </w:tc>
        <w:tc>
          <w:tcPr>
            <w:tcW w:w="1275" w:type="dxa"/>
            <w:tcBorders>
              <w:top w:val="single" w:sz="4" w:space="0" w:color="A6A6A6"/>
              <w:left w:val="single" w:sz="4" w:space="0" w:color="A6A6A6"/>
              <w:bottom w:val="single" w:sz="4" w:space="0" w:color="A6A6A6"/>
              <w:right w:val="single" w:sz="4" w:space="0" w:color="A6A6A6"/>
            </w:tcBorders>
          </w:tcPr>
          <w:p w14:paraId="7A908FF1" w14:textId="77777777" w:rsidR="00BC24A8" w:rsidRDefault="00000000">
            <w:pPr>
              <w:pStyle w:val="TableParagraph"/>
              <w:spacing w:before="1"/>
              <w:ind w:left="106"/>
              <w:rPr>
                <w:sz w:val="18"/>
              </w:rPr>
            </w:pPr>
            <w:r>
              <w:rPr>
                <w:spacing w:val="-2"/>
                <w:sz w:val="18"/>
              </w:rPr>
              <w:t>Jakarta</w:t>
            </w:r>
          </w:p>
        </w:tc>
      </w:tr>
      <w:tr w:rsidR="00BC24A8" w14:paraId="32ACB22A" w14:textId="77777777">
        <w:trPr>
          <w:trHeight w:val="482"/>
        </w:trPr>
        <w:tc>
          <w:tcPr>
            <w:tcW w:w="490" w:type="dxa"/>
            <w:tcBorders>
              <w:top w:val="single" w:sz="4" w:space="0" w:color="A6A6A6"/>
              <w:left w:val="single" w:sz="4" w:space="0" w:color="A6A6A6"/>
              <w:bottom w:val="single" w:sz="4" w:space="0" w:color="A6A6A6"/>
              <w:right w:val="single" w:sz="4" w:space="0" w:color="A6A6A6"/>
            </w:tcBorders>
          </w:tcPr>
          <w:p w14:paraId="6B8DD76E" w14:textId="77777777" w:rsidR="00BC24A8" w:rsidRDefault="00000000">
            <w:pPr>
              <w:pStyle w:val="TableParagraph"/>
              <w:spacing w:before="1"/>
              <w:ind w:left="92" w:right="171"/>
              <w:jc w:val="center"/>
              <w:rPr>
                <w:sz w:val="18"/>
              </w:rPr>
            </w:pPr>
            <w:r>
              <w:rPr>
                <w:spacing w:val="-5"/>
                <w:sz w:val="18"/>
              </w:rPr>
              <w:t>20</w:t>
            </w:r>
          </w:p>
        </w:tc>
        <w:tc>
          <w:tcPr>
            <w:tcW w:w="7760" w:type="dxa"/>
            <w:tcBorders>
              <w:top w:val="single" w:sz="4" w:space="0" w:color="A6A6A6"/>
              <w:left w:val="single" w:sz="4" w:space="0" w:color="A6A6A6"/>
              <w:bottom w:val="single" w:sz="4" w:space="0" w:color="A6A6A6"/>
              <w:right w:val="single" w:sz="4" w:space="0" w:color="A6A6A6"/>
            </w:tcBorders>
          </w:tcPr>
          <w:p w14:paraId="3B8E755F" w14:textId="77777777" w:rsidR="00BC24A8" w:rsidRDefault="00000000">
            <w:pPr>
              <w:pStyle w:val="TableParagraph"/>
              <w:spacing w:before="1"/>
              <w:ind w:left="107" w:right="122"/>
              <w:rPr>
                <w:sz w:val="18"/>
              </w:rPr>
            </w:pPr>
            <w:r>
              <w:rPr>
                <w:sz w:val="18"/>
              </w:rPr>
              <w:t>Minister</w:t>
            </w:r>
            <w:r>
              <w:rPr>
                <w:spacing w:val="-3"/>
                <w:sz w:val="18"/>
              </w:rPr>
              <w:t xml:space="preserve"> </w:t>
            </w:r>
            <w:r>
              <w:rPr>
                <w:sz w:val="18"/>
              </w:rPr>
              <w:t>of</w:t>
            </w:r>
            <w:r>
              <w:rPr>
                <w:spacing w:val="-4"/>
                <w:sz w:val="18"/>
              </w:rPr>
              <w:t xml:space="preserve"> </w:t>
            </w:r>
            <w:r>
              <w:rPr>
                <w:sz w:val="18"/>
              </w:rPr>
              <w:t>Home</w:t>
            </w:r>
            <w:r>
              <w:rPr>
                <w:spacing w:val="-3"/>
                <w:sz w:val="18"/>
              </w:rPr>
              <w:t xml:space="preserve"> </w:t>
            </w:r>
            <w:r>
              <w:rPr>
                <w:sz w:val="18"/>
              </w:rPr>
              <w:t>Affairs</w:t>
            </w:r>
            <w:r>
              <w:rPr>
                <w:spacing w:val="-3"/>
                <w:sz w:val="18"/>
              </w:rPr>
              <w:t xml:space="preserve"> </w:t>
            </w:r>
            <w:r>
              <w:rPr>
                <w:sz w:val="18"/>
              </w:rPr>
              <w:t>Instruction</w:t>
            </w:r>
            <w:r>
              <w:rPr>
                <w:spacing w:val="-3"/>
                <w:sz w:val="18"/>
              </w:rPr>
              <w:t xml:space="preserve"> </w:t>
            </w:r>
            <w:r>
              <w:rPr>
                <w:sz w:val="18"/>
              </w:rPr>
              <w:t>No.</w:t>
            </w:r>
            <w:r>
              <w:rPr>
                <w:spacing w:val="-4"/>
                <w:sz w:val="18"/>
              </w:rPr>
              <w:t xml:space="preserve"> </w:t>
            </w:r>
            <w:r>
              <w:rPr>
                <w:sz w:val="18"/>
              </w:rPr>
              <w:t>2/2024</w:t>
            </w:r>
            <w:r>
              <w:rPr>
                <w:spacing w:val="-3"/>
                <w:sz w:val="18"/>
              </w:rPr>
              <w:t xml:space="preserve"> </w:t>
            </w:r>
            <w:r>
              <w:rPr>
                <w:sz w:val="18"/>
              </w:rPr>
              <w:t>on</w:t>
            </w:r>
            <w:r>
              <w:rPr>
                <w:spacing w:val="-3"/>
                <w:sz w:val="18"/>
              </w:rPr>
              <w:t xml:space="preserve"> </w:t>
            </w:r>
            <w:r>
              <w:rPr>
                <w:sz w:val="18"/>
              </w:rPr>
              <w:t>Guidelines</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Preparation</w:t>
            </w:r>
            <w:r>
              <w:rPr>
                <w:spacing w:val="-3"/>
                <w:sz w:val="18"/>
              </w:rPr>
              <w:t xml:space="preserve"> </w:t>
            </w:r>
            <w:r>
              <w:rPr>
                <w:sz w:val="18"/>
              </w:rPr>
              <w:t>of</w:t>
            </w:r>
            <w:r>
              <w:rPr>
                <w:spacing w:val="-4"/>
                <w:sz w:val="18"/>
              </w:rPr>
              <w:t xml:space="preserve"> </w:t>
            </w:r>
            <w:r>
              <w:rPr>
                <w:sz w:val="18"/>
              </w:rPr>
              <w:t>Regional</w:t>
            </w:r>
            <w:r>
              <w:rPr>
                <w:spacing w:val="-2"/>
                <w:sz w:val="18"/>
              </w:rPr>
              <w:t xml:space="preserve"> </w:t>
            </w:r>
            <w:r>
              <w:rPr>
                <w:sz w:val="18"/>
              </w:rPr>
              <w:t>Medium- Term Development Plans and Strategic Plans for Regional Apparatuses for 2025-2029.</w:t>
            </w:r>
          </w:p>
        </w:tc>
        <w:tc>
          <w:tcPr>
            <w:tcW w:w="1275" w:type="dxa"/>
            <w:tcBorders>
              <w:top w:val="single" w:sz="4" w:space="0" w:color="A6A6A6"/>
              <w:left w:val="single" w:sz="4" w:space="0" w:color="A6A6A6"/>
              <w:bottom w:val="single" w:sz="4" w:space="0" w:color="A6A6A6"/>
              <w:right w:val="single" w:sz="4" w:space="0" w:color="A6A6A6"/>
            </w:tcBorders>
          </w:tcPr>
          <w:p w14:paraId="63399241" w14:textId="77777777" w:rsidR="00BC24A8" w:rsidRDefault="00000000">
            <w:pPr>
              <w:pStyle w:val="TableParagraph"/>
              <w:spacing w:before="1"/>
              <w:ind w:left="106"/>
              <w:rPr>
                <w:sz w:val="18"/>
              </w:rPr>
            </w:pPr>
            <w:r>
              <w:rPr>
                <w:spacing w:val="-2"/>
                <w:sz w:val="18"/>
              </w:rPr>
              <w:t>Jakarta</w:t>
            </w:r>
          </w:p>
        </w:tc>
      </w:tr>
      <w:tr w:rsidR="00BC24A8" w14:paraId="02D565B1"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263BB3FA" w14:textId="77777777" w:rsidR="00BC24A8" w:rsidRDefault="00000000">
            <w:pPr>
              <w:pStyle w:val="TableParagraph"/>
              <w:spacing w:line="219" w:lineRule="exact"/>
              <w:ind w:left="92" w:right="171"/>
              <w:jc w:val="center"/>
              <w:rPr>
                <w:sz w:val="18"/>
              </w:rPr>
            </w:pPr>
            <w:r>
              <w:rPr>
                <w:spacing w:val="-5"/>
                <w:sz w:val="18"/>
              </w:rPr>
              <w:t>21</w:t>
            </w:r>
          </w:p>
        </w:tc>
        <w:tc>
          <w:tcPr>
            <w:tcW w:w="7760" w:type="dxa"/>
            <w:tcBorders>
              <w:top w:val="single" w:sz="4" w:space="0" w:color="A6A6A6"/>
              <w:left w:val="single" w:sz="4" w:space="0" w:color="A6A6A6"/>
              <w:bottom w:val="single" w:sz="4" w:space="0" w:color="A6A6A6"/>
              <w:right w:val="single" w:sz="4" w:space="0" w:color="A6A6A6"/>
            </w:tcBorders>
          </w:tcPr>
          <w:p w14:paraId="5B743292" w14:textId="77777777" w:rsidR="00BC24A8" w:rsidRDefault="00000000">
            <w:pPr>
              <w:pStyle w:val="TableParagraph"/>
              <w:ind w:left="107" w:right="122"/>
              <w:rPr>
                <w:sz w:val="18"/>
              </w:rPr>
            </w:pPr>
            <w:r>
              <w:rPr>
                <w:sz w:val="18"/>
              </w:rPr>
              <w:t>Circular</w:t>
            </w:r>
            <w:r>
              <w:rPr>
                <w:spacing w:val="-2"/>
                <w:sz w:val="18"/>
              </w:rPr>
              <w:t xml:space="preserve"> </w:t>
            </w:r>
            <w:r>
              <w:rPr>
                <w:sz w:val="18"/>
              </w:rPr>
              <w:t>Letter</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Minister</w:t>
            </w:r>
            <w:r>
              <w:rPr>
                <w:spacing w:val="-2"/>
                <w:sz w:val="18"/>
              </w:rPr>
              <w:t xml:space="preserve"> </w:t>
            </w:r>
            <w:r>
              <w:rPr>
                <w:sz w:val="18"/>
              </w:rPr>
              <w:t>of</w:t>
            </w:r>
            <w:r>
              <w:rPr>
                <w:spacing w:val="-6"/>
                <w:sz w:val="18"/>
              </w:rPr>
              <w:t xml:space="preserve"> </w:t>
            </w:r>
            <w:r>
              <w:rPr>
                <w:sz w:val="18"/>
              </w:rPr>
              <w:t>Home</w:t>
            </w:r>
            <w:r>
              <w:rPr>
                <w:spacing w:val="-2"/>
                <w:sz w:val="18"/>
              </w:rPr>
              <w:t xml:space="preserve"> </w:t>
            </w:r>
            <w:r>
              <w:rPr>
                <w:sz w:val="18"/>
              </w:rPr>
              <w:t>Affairs</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Implementation</w:t>
            </w:r>
            <w:r>
              <w:rPr>
                <w:spacing w:val="-2"/>
                <w:sz w:val="18"/>
              </w:rPr>
              <w:t xml:space="preserve"> </w:t>
            </w:r>
            <w:r>
              <w:rPr>
                <w:sz w:val="18"/>
              </w:rPr>
              <w:t>of</w:t>
            </w:r>
            <w:r>
              <w:rPr>
                <w:spacing w:val="-3"/>
                <w:sz w:val="18"/>
              </w:rPr>
              <w:t xml:space="preserve"> </w:t>
            </w:r>
            <w:r>
              <w:rPr>
                <w:sz w:val="18"/>
              </w:rPr>
              <w:t>Minimum</w:t>
            </w:r>
            <w:r>
              <w:rPr>
                <w:spacing w:val="-3"/>
                <w:sz w:val="18"/>
              </w:rPr>
              <w:t xml:space="preserve"> </w:t>
            </w:r>
            <w:r>
              <w:rPr>
                <w:sz w:val="18"/>
              </w:rPr>
              <w:t>Service</w:t>
            </w:r>
            <w:r>
              <w:rPr>
                <w:spacing w:val="-2"/>
                <w:sz w:val="18"/>
              </w:rPr>
              <w:t xml:space="preserve"> </w:t>
            </w:r>
            <w:r>
              <w:rPr>
                <w:sz w:val="18"/>
              </w:rPr>
              <w:t>Standards</w:t>
            </w:r>
            <w:r>
              <w:rPr>
                <w:spacing w:val="-2"/>
                <w:sz w:val="18"/>
              </w:rPr>
              <w:t xml:space="preserve"> </w:t>
            </w:r>
            <w:r>
              <w:rPr>
                <w:sz w:val="18"/>
              </w:rPr>
              <w:t xml:space="preserve">in </w:t>
            </w:r>
            <w:r>
              <w:rPr>
                <w:spacing w:val="-2"/>
                <w:sz w:val="18"/>
              </w:rPr>
              <w:t>Regions</w:t>
            </w:r>
          </w:p>
        </w:tc>
        <w:tc>
          <w:tcPr>
            <w:tcW w:w="1275" w:type="dxa"/>
            <w:tcBorders>
              <w:top w:val="single" w:sz="4" w:space="0" w:color="A6A6A6"/>
              <w:left w:val="single" w:sz="4" w:space="0" w:color="A6A6A6"/>
              <w:bottom w:val="single" w:sz="4" w:space="0" w:color="A6A6A6"/>
              <w:right w:val="single" w:sz="4" w:space="0" w:color="A6A6A6"/>
            </w:tcBorders>
          </w:tcPr>
          <w:p w14:paraId="13C4E016" w14:textId="77777777" w:rsidR="00BC24A8" w:rsidRDefault="00000000">
            <w:pPr>
              <w:pStyle w:val="TableParagraph"/>
              <w:spacing w:line="219" w:lineRule="exact"/>
              <w:ind w:left="106"/>
              <w:rPr>
                <w:sz w:val="18"/>
              </w:rPr>
            </w:pPr>
            <w:r>
              <w:rPr>
                <w:spacing w:val="-2"/>
                <w:sz w:val="18"/>
              </w:rPr>
              <w:t>Jakarta</w:t>
            </w:r>
          </w:p>
        </w:tc>
      </w:tr>
      <w:tr w:rsidR="00BC24A8" w14:paraId="5E88D397"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4FAAE588" w14:textId="77777777" w:rsidR="00BC24A8" w:rsidRDefault="00000000">
            <w:pPr>
              <w:pStyle w:val="TableParagraph"/>
              <w:spacing w:before="1" w:line="218" w:lineRule="exact"/>
              <w:ind w:left="92" w:right="171"/>
              <w:jc w:val="center"/>
              <w:rPr>
                <w:sz w:val="18"/>
              </w:rPr>
            </w:pPr>
            <w:r>
              <w:rPr>
                <w:spacing w:val="-5"/>
                <w:sz w:val="18"/>
              </w:rPr>
              <w:t>22</w:t>
            </w:r>
          </w:p>
        </w:tc>
        <w:tc>
          <w:tcPr>
            <w:tcW w:w="7760" w:type="dxa"/>
            <w:tcBorders>
              <w:top w:val="single" w:sz="4" w:space="0" w:color="A6A6A6"/>
              <w:left w:val="single" w:sz="4" w:space="0" w:color="A6A6A6"/>
              <w:bottom w:val="single" w:sz="4" w:space="0" w:color="A6A6A6"/>
              <w:right w:val="single" w:sz="4" w:space="0" w:color="A6A6A6"/>
            </w:tcBorders>
          </w:tcPr>
          <w:p w14:paraId="6A346F05" w14:textId="77777777" w:rsidR="00BC24A8" w:rsidRDefault="00000000">
            <w:pPr>
              <w:pStyle w:val="TableParagraph"/>
              <w:spacing w:before="11" w:line="209" w:lineRule="exact"/>
              <w:ind w:left="107"/>
              <w:rPr>
                <w:sz w:val="18"/>
              </w:rPr>
            </w:pPr>
            <w:r>
              <w:rPr>
                <w:sz w:val="18"/>
              </w:rPr>
              <w:t>Minister</w:t>
            </w:r>
            <w:r>
              <w:rPr>
                <w:spacing w:val="-5"/>
                <w:sz w:val="18"/>
              </w:rPr>
              <w:t xml:space="preserve"> </w:t>
            </w:r>
            <w:r>
              <w:rPr>
                <w:sz w:val="18"/>
              </w:rPr>
              <w:t>of</w:t>
            </w:r>
            <w:r>
              <w:rPr>
                <w:spacing w:val="-3"/>
                <w:sz w:val="18"/>
              </w:rPr>
              <w:t xml:space="preserve"> </w:t>
            </w:r>
            <w:r>
              <w:rPr>
                <w:sz w:val="18"/>
              </w:rPr>
              <w:t>Finance</w:t>
            </w:r>
            <w:r>
              <w:rPr>
                <w:spacing w:val="-2"/>
                <w:sz w:val="18"/>
              </w:rPr>
              <w:t xml:space="preserve"> </w:t>
            </w:r>
            <w:r>
              <w:rPr>
                <w:sz w:val="18"/>
              </w:rPr>
              <w:t>Regulation</w:t>
            </w:r>
            <w:r>
              <w:rPr>
                <w:spacing w:val="-2"/>
                <w:sz w:val="18"/>
              </w:rPr>
              <w:t xml:space="preserve"> </w:t>
            </w:r>
            <w:r>
              <w:rPr>
                <w:sz w:val="18"/>
              </w:rPr>
              <w:t>No.</w:t>
            </w:r>
            <w:r>
              <w:rPr>
                <w:spacing w:val="-3"/>
                <w:sz w:val="18"/>
              </w:rPr>
              <w:t xml:space="preserve"> </w:t>
            </w:r>
            <w:r>
              <w:rPr>
                <w:sz w:val="18"/>
              </w:rPr>
              <w:t>84/2024</w:t>
            </w:r>
            <w:r>
              <w:rPr>
                <w:spacing w:val="-2"/>
                <w:sz w:val="18"/>
              </w:rPr>
              <w:t xml:space="preserve"> </w:t>
            </w:r>
            <w:r>
              <w:rPr>
                <w:sz w:val="18"/>
              </w:rPr>
              <w:t>on</w:t>
            </w:r>
            <w:r>
              <w:rPr>
                <w:spacing w:val="-2"/>
                <w:sz w:val="18"/>
              </w:rPr>
              <w:t xml:space="preserve"> </w:t>
            </w:r>
            <w:r>
              <w:rPr>
                <w:sz w:val="18"/>
              </w:rPr>
              <w:t>Synergy</w:t>
            </w:r>
            <w:r>
              <w:rPr>
                <w:spacing w:val="-3"/>
                <w:sz w:val="18"/>
              </w:rPr>
              <w:t xml:space="preserve"> </w:t>
            </w:r>
            <w:r>
              <w:rPr>
                <w:sz w:val="18"/>
              </w:rPr>
              <w:t>in</w:t>
            </w:r>
            <w:r>
              <w:rPr>
                <w:spacing w:val="-2"/>
                <w:sz w:val="18"/>
              </w:rPr>
              <w:t xml:space="preserve"> </w:t>
            </w:r>
            <w:r>
              <w:rPr>
                <w:sz w:val="18"/>
              </w:rPr>
              <w:t>Local</w:t>
            </w:r>
            <w:r>
              <w:rPr>
                <w:spacing w:val="-1"/>
                <w:sz w:val="18"/>
              </w:rPr>
              <w:t xml:space="preserve"> </w:t>
            </w:r>
            <w:r>
              <w:rPr>
                <w:sz w:val="18"/>
              </w:rPr>
              <w:t>Government</w:t>
            </w:r>
            <w:r>
              <w:rPr>
                <w:spacing w:val="-1"/>
                <w:sz w:val="18"/>
              </w:rPr>
              <w:t xml:space="preserve"> </w:t>
            </w:r>
            <w:r>
              <w:rPr>
                <w:spacing w:val="-2"/>
                <w:sz w:val="18"/>
              </w:rPr>
              <w:t>Financing</w:t>
            </w:r>
          </w:p>
        </w:tc>
        <w:tc>
          <w:tcPr>
            <w:tcW w:w="1275" w:type="dxa"/>
            <w:tcBorders>
              <w:top w:val="single" w:sz="4" w:space="0" w:color="A6A6A6"/>
              <w:left w:val="single" w:sz="4" w:space="0" w:color="A6A6A6"/>
              <w:bottom w:val="single" w:sz="4" w:space="0" w:color="A6A6A6"/>
              <w:right w:val="single" w:sz="4" w:space="0" w:color="A6A6A6"/>
            </w:tcBorders>
          </w:tcPr>
          <w:p w14:paraId="7893F0C6" w14:textId="77777777" w:rsidR="00BC24A8" w:rsidRDefault="00000000">
            <w:pPr>
              <w:pStyle w:val="TableParagraph"/>
              <w:spacing w:before="11" w:line="209" w:lineRule="exact"/>
              <w:ind w:left="106"/>
              <w:rPr>
                <w:sz w:val="18"/>
              </w:rPr>
            </w:pPr>
            <w:r>
              <w:rPr>
                <w:spacing w:val="-2"/>
                <w:sz w:val="18"/>
              </w:rPr>
              <w:t>Jakarta</w:t>
            </w:r>
          </w:p>
        </w:tc>
      </w:tr>
      <w:tr w:rsidR="00BC24A8" w14:paraId="6DEBC483" w14:textId="77777777">
        <w:trPr>
          <w:trHeight w:val="719"/>
        </w:trPr>
        <w:tc>
          <w:tcPr>
            <w:tcW w:w="490" w:type="dxa"/>
            <w:tcBorders>
              <w:top w:val="single" w:sz="4" w:space="0" w:color="A6A6A6"/>
              <w:left w:val="single" w:sz="4" w:space="0" w:color="A6A6A6"/>
              <w:bottom w:val="single" w:sz="4" w:space="0" w:color="A6A6A6"/>
              <w:right w:val="single" w:sz="4" w:space="0" w:color="A6A6A6"/>
            </w:tcBorders>
          </w:tcPr>
          <w:p w14:paraId="422A24D7" w14:textId="77777777" w:rsidR="00BC24A8" w:rsidRDefault="00000000">
            <w:pPr>
              <w:pStyle w:val="TableParagraph"/>
              <w:spacing w:before="1"/>
              <w:ind w:left="92" w:right="171"/>
              <w:jc w:val="center"/>
              <w:rPr>
                <w:sz w:val="18"/>
              </w:rPr>
            </w:pPr>
            <w:r>
              <w:rPr>
                <w:spacing w:val="-5"/>
                <w:sz w:val="18"/>
              </w:rPr>
              <w:t>23</w:t>
            </w:r>
          </w:p>
        </w:tc>
        <w:tc>
          <w:tcPr>
            <w:tcW w:w="7760" w:type="dxa"/>
            <w:tcBorders>
              <w:top w:val="single" w:sz="4" w:space="0" w:color="A6A6A6"/>
              <w:left w:val="single" w:sz="4" w:space="0" w:color="A6A6A6"/>
              <w:bottom w:val="single" w:sz="4" w:space="0" w:color="A6A6A6"/>
              <w:right w:val="single" w:sz="4" w:space="0" w:color="A6A6A6"/>
            </w:tcBorders>
          </w:tcPr>
          <w:p w14:paraId="65D435E7" w14:textId="77777777" w:rsidR="00BC24A8" w:rsidRDefault="00000000">
            <w:pPr>
              <w:pStyle w:val="TableParagraph"/>
              <w:spacing w:before="1"/>
              <w:ind w:left="107" w:right="122"/>
              <w:rPr>
                <w:sz w:val="18"/>
              </w:rPr>
            </w:pPr>
            <w:r>
              <w:rPr>
                <w:sz w:val="18"/>
              </w:rPr>
              <w:t>Minister</w:t>
            </w:r>
            <w:r>
              <w:rPr>
                <w:spacing w:val="-3"/>
                <w:sz w:val="18"/>
              </w:rPr>
              <w:t xml:space="preserve"> </w:t>
            </w:r>
            <w:r>
              <w:rPr>
                <w:sz w:val="18"/>
              </w:rPr>
              <w:t>of</w:t>
            </w:r>
            <w:r>
              <w:rPr>
                <w:spacing w:val="-4"/>
                <w:sz w:val="18"/>
              </w:rPr>
              <w:t xml:space="preserve"> </w:t>
            </w:r>
            <w:r>
              <w:rPr>
                <w:sz w:val="18"/>
              </w:rPr>
              <w:t>Finance</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101/2024</w:t>
            </w:r>
            <w:r>
              <w:rPr>
                <w:spacing w:val="-3"/>
                <w:sz w:val="18"/>
              </w:rPr>
              <w:t xml:space="preserve"> </w:t>
            </w:r>
            <w:r>
              <w:rPr>
                <w:sz w:val="18"/>
              </w:rPr>
              <w:t>on</w:t>
            </w:r>
            <w:r>
              <w:rPr>
                <w:spacing w:val="-3"/>
                <w:sz w:val="18"/>
              </w:rPr>
              <w:t xml:space="preserve"> </w:t>
            </w:r>
            <w:r>
              <w:rPr>
                <w:sz w:val="18"/>
              </w:rPr>
              <w:t>Procedures</w:t>
            </w:r>
            <w:r>
              <w:rPr>
                <w:spacing w:val="-3"/>
                <w:sz w:val="18"/>
              </w:rPr>
              <w:t xml:space="preserve"> </w:t>
            </w:r>
            <w:r>
              <w:rPr>
                <w:sz w:val="18"/>
              </w:rPr>
              <w:t>for</w:t>
            </w:r>
            <w:r>
              <w:rPr>
                <w:spacing w:val="-3"/>
                <w:sz w:val="18"/>
              </w:rPr>
              <w:t xml:space="preserve"> </w:t>
            </w:r>
            <w:r>
              <w:rPr>
                <w:sz w:val="18"/>
              </w:rPr>
              <w:t>Assessing</w:t>
            </w:r>
            <w:r>
              <w:rPr>
                <w:spacing w:val="-4"/>
                <w:sz w:val="18"/>
              </w:rPr>
              <w:t xml:space="preserve"> </w:t>
            </w:r>
            <w:r>
              <w:rPr>
                <w:sz w:val="18"/>
              </w:rPr>
              <w:t>the</w:t>
            </w:r>
            <w:r>
              <w:rPr>
                <w:spacing w:val="-3"/>
                <w:sz w:val="18"/>
              </w:rPr>
              <w:t xml:space="preserve"> </w:t>
            </w:r>
            <w:r>
              <w:rPr>
                <w:sz w:val="18"/>
              </w:rPr>
              <w:t>Alignment</w:t>
            </w:r>
            <w:r>
              <w:rPr>
                <w:spacing w:val="-2"/>
                <w:sz w:val="18"/>
              </w:rPr>
              <w:t xml:space="preserve"> </w:t>
            </w:r>
            <w:r>
              <w:rPr>
                <w:sz w:val="18"/>
              </w:rPr>
              <w:t>of</w:t>
            </w:r>
            <w:r>
              <w:rPr>
                <w:spacing w:val="-4"/>
                <w:sz w:val="18"/>
              </w:rPr>
              <w:t xml:space="preserve"> </w:t>
            </w:r>
            <w:r>
              <w:rPr>
                <w:sz w:val="18"/>
              </w:rPr>
              <w:t>the</w:t>
            </w:r>
            <w:r>
              <w:rPr>
                <w:spacing w:val="-5"/>
                <w:sz w:val="18"/>
              </w:rPr>
              <w:t xml:space="preserve"> </w:t>
            </w:r>
            <w:r>
              <w:rPr>
                <w:sz w:val="18"/>
              </w:rPr>
              <w:t>Draft General Policy on the Regional Budget and the Draft Priority and Temporary Budget Ceiling with</w:t>
            </w:r>
            <w:r>
              <w:rPr>
                <w:spacing w:val="-2"/>
                <w:sz w:val="18"/>
              </w:rPr>
              <w:t xml:space="preserve"> </w:t>
            </w:r>
            <w:r>
              <w:rPr>
                <w:sz w:val="18"/>
              </w:rPr>
              <w:t>the Macroeconomic Framework and the Principles of Fiscal Policy</w:t>
            </w:r>
          </w:p>
        </w:tc>
        <w:tc>
          <w:tcPr>
            <w:tcW w:w="1275" w:type="dxa"/>
            <w:tcBorders>
              <w:top w:val="single" w:sz="4" w:space="0" w:color="A6A6A6"/>
              <w:left w:val="single" w:sz="4" w:space="0" w:color="A6A6A6"/>
              <w:bottom w:val="single" w:sz="4" w:space="0" w:color="A6A6A6"/>
              <w:right w:val="single" w:sz="4" w:space="0" w:color="A6A6A6"/>
            </w:tcBorders>
          </w:tcPr>
          <w:p w14:paraId="1924CB0B" w14:textId="77777777" w:rsidR="00BC24A8" w:rsidRDefault="00BC24A8">
            <w:pPr>
              <w:pStyle w:val="TableParagraph"/>
              <w:spacing w:before="41"/>
              <w:rPr>
                <w:rFonts w:ascii="Trebuchet MS"/>
                <w:b/>
                <w:sz w:val="18"/>
              </w:rPr>
            </w:pPr>
          </w:p>
          <w:p w14:paraId="338E1C98" w14:textId="77777777" w:rsidR="00BC24A8" w:rsidRDefault="00000000">
            <w:pPr>
              <w:pStyle w:val="TableParagraph"/>
              <w:spacing w:before="1"/>
              <w:ind w:left="106"/>
              <w:rPr>
                <w:sz w:val="18"/>
              </w:rPr>
            </w:pPr>
            <w:r>
              <w:rPr>
                <w:spacing w:val="-2"/>
                <w:sz w:val="18"/>
              </w:rPr>
              <w:t>Jakarta</w:t>
            </w:r>
          </w:p>
        </w:tc>
      </w:tr>
      <w:tr w:rsidR="00BC24A8" w14:paraId="5B17D8E1"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08DED8DE" w14:textId="77777777" w:rsidR="00BC24A8" w:rsidRDefault="00000000">
            <w:pPr>
              <w:pStyle w:val="TableParagraph"/>
              <w:spacing w:before="1"/>
              <w:ind w:left="92" w:right="171"/>
              <w:jc w:val="center"/>
              <w:rPr>
                <w:sz w:val="18"/>
              </w:rPr>
            </w:pPr>
            <w:r>
              <w:rPr>
                <w:spacing w:val="-5"/>
                <w:sz w:val="18"/>
              </w:rPr>
              <w:t>24</w:t>
            </w:r>
          </w:p>
        </w:tc>
        <w:tc>
          <w:tcPr>
            <w:tcW w:w="7760" w:type="dxa"/>
            <w:tcBorders>
              <w:top w:val="single" w:sz="4" w:space="0" w:color="A6A6A6"/>
              <w:left w:val="single" w:sz="4" w:space="0" w:color="A6A6A6"/>
              <w:bottom w:val="single" w:sz="4" w:space="0" w:color="A6A6A6"/>
              <w:right w:val="single" w:sz="4" w:space="0" w:color="A6A6A6"/>
            </w:tcBorders>
          </w:tcPr>
          <w:p w14:paraId="6832791D" w14:textId="77777777" w:rsidR="00BC24A8" w:rsidRDefault="00000000">
            <w:pPr>
              <w:pStyle w:val="TableParagraph"/>
              <w:spacing w:before="19" w:line="220" w:lineRule="atLeast"/>
              <w:ind w:left="107" w:right="122"/>
              <w:rPr>
                <w:sz w:val="18"/>
              </w:rPr>
            </w:pPr>
            <w:r>
              <w:rPr>
                <w:sz w:val="18"/>
              </w:rPr>
              <w:t>Minister</w:t>
            </w:r>
            <w:r>
              <w:rPr>
                <w:spacing w:val="-3"/>
                <w:sz w:val="18"/>
              </w:rPr>
              <w:t xml:space="preserve"> </w:t>
            </w:r>
            <w:r>
              <w:rPr>
                <w:sz w:val="18"/>
              </w:rPr>
              <w:t>of</w:t>
            </w:r>
            <w:r>
              <w:rPr>
                <w:spacing w:val="-4"/>
                <w:sz w:val="18"/>
              </w:rPr>
              <w:t xml:space="preserve"> </w:t>
            </w:r>
            <w:r>
              <w:rPr>
                <w:sz w:val="18"/>
              </w:rPr>
              <w:t>Finance</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140/2024</w:t>
            </w:r>
            <w:r>
              <w:rPr>
                <w:spacing w:val="-3"/>
                <w:sz w:val="18"/>
              </w:rPr>
              <w:t xml:space="preserve"> </w:t>
            </w:r>
            <w:r>
              <w:rPr>
                <w:sz w:val="18"/>
              </w:rPr>
              <w:t>on</w:t>
            </w:r>
            <w:r>
              <w:rPr>
                <w:spacing w:val="-3"/>
                <w:sz w:val="18"/>
              </w:rPr>
              <w:t xml:space="preserve"> </w:t>
            </w:r>
            <w:r>
              <w:rPr>
                <w:sz w:val="18"/>
              </w:rPr>
              <w:t>Monitoring</w:t>
            </w:r>
            <w:r>
              <w:rPr>
                <w:spacing w:val="-4"/>
                <w:sz w:val="18"/>
              </w:rPr>
              <w:t xml:space="preserve"> </w:t>
            </w:r>
            <w:r>
              <w:rPr>
                <w:sz w:val="18"/>
              </w:rPr>
              <w:t>and</w:t>
            </w:r>
            <w:r>
              <w:rPr>
                <w:spacing w:val="-3"/>
                <w:sz w:val="18"/>
              </w:rPr>
              <w:t xml:space="preserve"> </w:t>
            </w:r>
            <w:r>
              <w:rPr>
                <w:sz w:val="18"/>
              </w:rPr>
              <w:t>Evaluation</w:t>
            </w:r>
            <w:r>
              <w:rPr>
                <w:spacing w:val="-3"/>
                <w:sz w:val="18"/>
              </w:rPr>
              <w:t xml:space="preserve"> </w:t>
            </w:r>
            <w:r>
              <w:rPr>
                <w:sz w:val="18"/>
              </w:rPr>
              <w:t>of</w:t>
            </w:r>
            <w:r>
              <w:rPr>
                <w:spacing w:val="-4"/>
                <w:sz w:val="18"/>
              </w:rPr>
              <w:t xml:space="preserve"> </w:t>
            </w:r>
            <w:r>
              <w:rPr>
                <w:sz w:val="18"/>
              </w:rPr>
              <w:t>Decentralization</w:t>
            </w:r>
            <w:r>
              <w:rPr>
                <w:spacing w:val="-3"/>
                <w:sz w:val="18"/>
              </w:rPr>
              <w:t xml:space="preserve"> </w:t>
            </w:r>
            <w:r>
              <w:rPr>
                <w:sz w:val="18"/>
              </w:rPr>
              <w:t xml:space="preserve">Funding </w:t>
            </w:r>
            <w:r>
              <w:rPr>
                <w:spacing w:val="-2"/>
                <w:sz w:val="18"/>
              </w:rPr>
              <w:t>Implementation</w:t>
            </w:r>
          </w:p>
        </w:tc>
        <w:tc>
          <w:tcPr>
            <w:tcW w:w="1275" w:type="dxa"/>
            <w:tcBorders>
              <w:top w:val="single" w:sz="4" w:space="0" w:color="A6A6A6"/>
              <w:left w:val="single" w:sz="4" w:space="0" w:color="A6A6A6"/>
              <w:bottom w:val="single" w:sz="4" w:space="0" w:color="A6A6A6"/>
              <w:right w:val="single" w:sz="4" w:space="0" w:color="A6A6A6"/>
            </w:tcBorders>
          </w:tcPr>
          <w:p w14:paraId="735D3DC6" w14:textId="77777777" w:rsidR="00BC24A8" w:rsidRDefault="00000000">
            <w:pPr>
              <w:pStyle w:val="TableParagraph"/>
              <w:spacing w:before="131"/>
              <w:ind w:left="106"/>
              <w:rPr>
                <w:sz w:val="18"/>
              </w:rPr>
            </w:pPr>
            <w:r>
              <w:rPr>
                <w:spacing w:val="-2"/>
                <w:sz w:val="18"/>
              </w:rPr>
              <w:t>Jakarta</w:t>
            </w:r>
          </w:p>
        </w:tc>
      </w:tr>
      <w:tr w:rsidR="00BC24A8" w14:paraId="49805E1C"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3CE804A2" w14:textId="77777777" w:rsidR="00BC24A8" w:rsidRDefault="00000000">
            <w:pPr>
              <w:pStyle w:val="TableParagraph"/>
              <w:spacing w:before="1" w:line="218" w:lineRule="exact"/>
              <w:ind w:left="92" w:right="171"/>
              <w:jc w:val="center"/>
              <w:rPr>
                <w:sz w:val="18"/>
              </w:rPr>
            </w:pPr>
            <w:r>
              <w:rPr>
                <w:spacing w:val="-5"/>
                <w:sz w:val="18"/>
              </w:rPr>
              <w:t>25</w:t>
            </w:r>
          </w:p>
        </w:tc>
        <w:tc>
          <w:tcPr>
            <w:tcW w:w="7760" w:type="dxa"/>
            <w:tcBorders>
              <w:top w:val="single" w:sz="4" w:space="0" w:color="A6A6A6"/>
              <w:left w:val="single" w:sz="4" w:space="0" w:color="A6A6A6"/>
              <w:bottom w:val="single" w:sz="4" w:space="0" w:color="A6A6A6"/>
              <w:right w:val="single" w:sz="4" w:space="0" w:color="A6A6A6"/>
            </w:tcBorders>
          </w:tcPr>
          <w:p w14:paraId="2C068CF9" w14:textId="77777777" w:rsidR="00BC24A8" w:rsidRDefault="00000000">
            <w:pPr>
              <w:pStyle w:val="TableParagraph"/>
              <w:spacing w:before="1" w:line="218" w:lineRule="exact"/>
              <w:ind w:left="107"/>
              <w:rPr>
                <w:sz w:val="18"/>
              </w:rPr>
            </w:pPr>
            <w:r>
              <w:rPr>
                <w:sz w:val="18"/>
              </w:rPr>
              <w:t>Minister</w:t>
            </w:r>
            <w:r>
              <w:rPr>
                <w:spacing w:val="-4"/>
                <w:sz w:val="18"/>
              </w:rPr>
              <w:t xml:space="preserve"> </w:t>
            </w:r>
            <w:r>
              <w:rPr>
                <w:sz w:val="18"/>
              </w:rPr>
              <w:t>of</w:t>
            </w:r>
            <w:r>
              <w:rPr>
                <w:spacing w:val="-3"/>
                <w:sz w:val="18"/>
              </w:rPr>
              <w:t xml:space="preserve"> </w:t>
            </w:r>
            <w:r>
              <w:rPr>
                <w:sz w:val="18"/>
              </w:rPr>
              <w:t>Finance</w:t>
            </w:r>
            <w:r>
              <w:rPr>
                <w:spacing w:val="-2"/>
                <w:sz w:val="18"/>
              </w:rPr>
              <w:t xml:space="preserve"> </w:t>
            </w:r>
            <w:r>
              <w:rPr>
                <w:sz w:val="18"/>
              </w:rPr>
              <w:t>Regulation</w:t>
            </w:r>
            <w:r>
              <w:rPr>
                <w:spacing w:val="-2"/>
                <w:sz w:val="18"/>
              </w:rPr>
              <w:t xml:space="preserve"> </w:t>
            </w:r>
            <w:r>
              <w:rPr>
                <w:sz w:val="18"/>
              </w:rPr>
              <w:t>No.7/2025</w:t>
            </w:r>
            <w:r>
              <w:rPr>
                <w:spacing w:val="-2"/>
                <w:sz w:val="18"/>
              </w:rPr>
              <w:t xml:space="preserve"> </w:t>
            </w:r>
            <w:r>
              <w:rPr>
                <w:sz w:val="18"/>
              </w:rPr>
              <w:t>on</w:t>
            </w:r>
            <w:r>
              <w:rPr>
                <w:spacing w:val="-2"/>
                <w:sz w:val="18"/>
              </w:rPr>
              <w:t xml:space="preserve"> </w:t>
            </w:r>
            <w:r>
              <w:rPr>
                <w:sz w:val="18"/>
              </w:rPr>
              <w:t>Guidelines</w:t>
            </w:r>
            <w:r>
              <w:rPr>
                <w:spacing w:val="-2"/>
                <w:sz w:val="18"/>
              </w:rPr>
              <w:t xml:space="preserve"> </w:t>
            </w:r>
            <w:r>
              <w:rPr>
                <w:sz w:val="18"/>
              </w:rPr>
              <w:t>for</w:t>
            </w:r>
            <w:r>
              <w:rPr>
                <w:spacing w:val="-2"/>
                <w:sz w:val="18"/>
              </w:rPr>
              <w:t xml:space="preserve"> </w:t>
            </w:r>
            <w:r>
              <w:rPr>
                <w:sz w:val="18"/>
              </w:rPr>
              <w:t>Regional</w:t>
            </w:r>
            <w:r>
              <w:rPr>
                <w:spacing w:val="-2"/>
                <w:sz w:val="18"/>
              </w:rPr>
              <w:t xml:space="preserve"> </w:t>
            </w:r>
            <w:r>
              <w:rPr>
                <w:sz w:val="18"/>
              </w:rPr>
              <w:t>Tax</w:t>
            </w:r>
            <w:r>
              <w:rPr>
                <w:spacing w:val="-2"/>
                <w:sz w:val="18"/>
              </w:rPr>
              <w:t xml:space="preserve"> </w:t>
            </w:r>
            <w:r>
              <w:rPr>
                <w:sz w:val="18"/>
              </w:rPr>
              <w:t>Audits</w:t>
            </w:r>
            <w:r>
              <w:rPr>
                <w:spacing w:val="-2"/>
                <w:sz w:val="18"/>
              </w:rPr>
              <w:t xml:space="preserve"> </w:t>
            </w:r>
            <w:r>
              <w:rPr>
                <w:sz w:val="18"/>
              </w:rPr>
              <w:t>and</w:t>
            </w:r>
            <w:r>
              <w:rPr>
                <w:spacing w:val="-2"/>
                <w:sz w:val="18"/>
              </w:rPr>
              <w:t xml:space="preserve"> Collections</w:t>
            </w:r>
          </w:p>
        </w:tc>
        <w:tc>
          <w:tcPr>
            <w:tcW w:w="1275" w:type="dxa"/>
            <w:tcBorders>
              <w:top w:val="single" w:sz="4" w:space="0" w:color="A6A6A6"/>
              <w:left w:val="single" w:sz="4" w:space="0" w:color="A6A6A6"/>
              <w:bottom w:val="single" w:sz="4" w:space="0" w:color="A6A6A6"/>
              <w:right w:val="single" w:sz="4" w:space="0" w:color="A6A6A6"/>
            </w:tcBorders>
          </w:tcPr>
          <w:p w14:paraId="125B094C" w14:textId="77777777" w:rsidR="00BC24A8" w:rsidRDefault="00000000">
            <w:pPr>
              <w:pStyle w:val="TableParagraph"/>
              <w:spacing w:before="11" w:line="209" w:lineRule="exact"/>
              <w:ind w:left="106"/>
              <w:rPr>
                <w:sz w:val="18"/>
              </w:rPr>
            </w:pPr>
            <w:r>
              <w:rPr>
                <w:spacing w:val="-2"/>
                <w:sz w:val="18"/>
              </w:rPr>
              <w:t>Jakarta</w:t>
            </w:r>
          </w:p>
        </w:tc>
      </w:tr>
      <w:tr w:rsidR="00BC24A8" w14:paraId="17E30DA0"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5CA7262C" w14:textId="77777777" w:rsidR="00BC24A8" w:rsidRDefault="00000000">
            <w:pPr>
              <w:pStyle w:val="TableParagraph"/>
              <w:spacing w:before="1"/>
              <w:ind w:left="92" w:right="171"/>
              <w:jc w:val="center"/>
              <w:rPr>
                <w:sz w:val="18"/>
              </w:rPr>
            </w:pPr>
            <w:r>
              <w:rPr>
                <w:spacing w:val="-5"/>
                <w:sz w:val="18"/>
              </w:rPr>
              <w:t>26</w:t>
            </w:r>
          </w:p>
        </w:tc>
        <w:tc>
          <w:tcPr>
            <w:tcW w:w="7760" w:type="dxa"/>
            <w:tcBorders>
              <w:top w:val="single" w:sz="4" w:space="0" w:color="A6A6A6"/>
              <w:left w:val="single" w:sz="4" w:space="0" w:color="A6A6A6"/>
              <w:bottom w:val="single" w:sz="4" w:space="0" w:color="A6A6A6"/>
              <w:right w:val="single" w:sz="4" w:space="0" w:color="A6A6A6"/>
            </w:tcBorders>
          </w:tcPr>
          <w:p w14:paraId="13704333" w14:textId="77777777" w:rsidR="00BC24A8" w:rsidRDefault="00000000">
            <w:pPr>
              <w:pStyle w:val="TableParagraph"/>
              <w:spacing w:line="220" w:lineRule="atLeast"/>
              <w:ind w:left="107" w:right="122"/>
              <w:rPr>
                <w:sz w:val="18"/>
              </w:rPr>
            </w:pPr>
            <w:r>
              <w:rPr>
                <w:sz w:val="18"/>
              </w:rPr>
              <w:t>Minister</w:t>
            </w:r>
            <w:r>
              <w:rPr>
                <w:spacing w:val="-3"/>
                <w:sz w:val="18"/>
              </w:rPr>
              <w:t xml:space="preserve"> </w:t>
            </w:r>
            <w:r>
              <w:rPr>
                <w:sz w:val="18"/>
              </w:rPr>
              <w:t>of</w:t>
            </w:r>
            <w:r>
              <w:rPr>
                <w:spacing w:val="-4"/>
                <w:sz w:val="18"/>
              </w:rPr>
              <w:t xml:space="preserve"> </w:t>
            </w:r>
            <w:r>
              <w:rPr>
                <w:sz w:val="18"/>
              </w:rPr>
              <w:t>Finance</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108/2024</w:t>
            </w:r>
            <w:r>
              <w:rPr>
                <w:spacing w:val="-3"/>
                <w:sz w:val="18"/>
              </w:rPr>
              <w:t xml:space="preserve"> </w:t>
            </w:r>
            <w:r>
              <w:rPr>
                <w:sz w:val="18"/>
              </w:rPr>
              <w:t>on</w:t>
            </w:r>
            <w:r>
              <w:rPr>
                <w:spacing w:val="-3"/>
                <w:sz w:val="18"/>
              </w:rPr>
              <w:t xml:space="preserve"> </w:t>
            </w:r>
            <w:r>
              <w:rPr>
                <w:sz w:val="18"/>
              </w:rPr>
              <w:t>Allocation,</w:t>
            </w:r>
            <w:r>
              <w:rPr>
                <w:spacing w:val="-4"/>
                <w:sz w:val="18"/>
              </w:rPr>
              <w:t xml:space="preserve"> </w:t>
            </w:r>
            <w:r>
              <w:rPr>
                <w:sz w:val="18"/>
              </w:rPr>
              <w:t>Use,</w:t>
            </w:r>
            <w:r>
              <w:rPr>
                <w:spacing w:val="-4"/>
                <w:sz w:val="18"/>
              </w:rPr>
              <w:t xml:space="preserve"> </w:t>
            </w:r>
            <w:r>
              <w:rPr>
                <w:sz w:val="18"/>
              </w:rPr>
              <w:t>and</w:t>
            </w:r>
            <w:r>
              <w:rPr>
                <w:spacing w:val="-3"/>
                <w:sz w:val="18"/>
              </w:rPr>
              <w:t xml:space="preserve"> </w:t>
            </w:r>
            <w:r>
              <w:rPr>
                <w:sz w:val="18"/>
              </w:rPr>
              <w:t>Distribution</w:t>
            </w:r>
            <w:r>
              <w:rPr>
                <w:spacing w:val="-3"/>
                <w:sz w:val="18"/>
              </w:rPr>
              <w:t xml:space="preserve"> </w:t>
            </w:r>
            <w:r>
              <w:rPr>
                <w:sz w:val="18"/>
              </w:rPr>
              <w:t>of</w:t>
            </w:r>
            <w:r>
              <w:rPr>
                <w:spacing w:val="-4"/>
                <w:sz w:val="18"/>
              </w:rPr>
              <w:t xml:space="preserve"> </w:t>
            </w:r>
            <w:r>
              <w:rPr>
                <w:sz w:val="18"/>
              </w:rPr>
              <w:t>Village</w:t>
            </w:r>
            <w:r>
              <w:rPr>
                <w:spacing w:val="-3"/>
                <w:sz w:val="18"/>
              </w:rPr>
              <w:t xml:space="preserve"> </w:t>
            </w:r>
            <w:r>
              <w:rPr>
                <w:sz w:val="18"/>
              </w:rPr>
              <w:t>Funds</w:t>
            </w:r>
            <w:r>
              <w:rPr>
                <w:spacing w:val="-3"/>
                <w:sz w:val="18"/>
              </w:rPr>
              <w:t xml:space="preserve"> </w:t>
            </w:r>
            <w:r>
              <w:rPr>
                <w:sz w:val="18"/>
              </w:rPr>
              <w:t>for Fiscal Year 2025</w:t>
            </w:r>
          </w:p>
        </w:tc>
        <w:tc>
          <w:tcPr>
            <w:tcW w:w="1275" w:type="dxa"/>
            <w:tcBorders>
              <w:top w:val="single" w:sz="4" w:space="0" w:color="A6A6A6"/>
              <w:left w:val="single" w:sz="4" w:space="0" w:color="A6A6A6"/>
              <w:bottom w:val="single" w:sz="4" w:space="0" w:color="A6A6A6"/>
              <w:right w:val="single" w:sz="4" w:space="0" w:color="A6A6A6"/>
            </w:tcBorders>
          </w:tcPr>
          <w:p w14:paraId="54CEAD81" w14:textId="77777777" w:rsidR="00BC24A8" w:rsidRDefault="00000000">
            <w:pPr>
              <w:pStyle w:val="TableParagraph"/>
              <w:spacing w:before="111"/>
              <w:ind w:left="106"/>
              <w:rPr>
                <w:sz w:val="18"/>
              </w:rPr>
            </w:pPr>
            <w:r>
              <w:rPr>
                <w:spacing w:val="-2"/>
                <w:sz w:val="18"/>
              </w:rPr>
              <w:t>Jakarta</w:t>
            </w:r>
          </w:p>
        </w:tc>
      </w:tr>
      <w:tr w:rsidR="00BC24A8" w14:paraId="7C1BCC32"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7C8E6BD8" w14:textId="77777777" w:rsidR="00BC24A8" w:rsidRDefault="00000000">
            <w:pPr>
              <w:pStyle w:val="TableParagraph"/>
              <w:spacing w:line="219" w:lineRule="exact"/>
              <w:ind w:left="92" w:right="171"/>
              <w:jc w:val="center"/>
              <w:rPr>
                <w:sz w:val="18"/>
              </w:rPr>
            </w:pPr>
            <w:r>
              <w:rPr>
                <w:spacing w:val="-5"/>
                <w:sz w:val="18"/>
              </w:rPr>
              <w:t>27</w:t>
            </w:r>
          </w:p>
        </w:tc>
        <w:tc>
          <w:tcPr>
            <w:tcW w:w="7760" w:type="dxa"/>
            <w:tcBorders>
              <w:top w:val="single" w:sz="4" w:space="0" w:color="A6A6A6"/>
              <w:left w:val="single" w:sz="4" w:space="0" w:color="A6A6A6"/>
              <w:bottom w:val="single" w:sz="4" w:space="0" w:color="A6A6A6"/>
              <w:right w:val="single" w:sz="4" w:space="0" w:color="A6A6A6"/>
            </w:tcBorders>
          </w:tcPr>
          <w:p w14:paraId="7ECC2A90" w14:textId="77777777" w:rsidR="00BC24A8" w:rsidRDefault="00000000">
            <w:pPr>
              <w:pStyle w:val="TableParagraph"/>
              <w:spacing w:line="219" w:lineRule="exact"/>
              <w:ind w:left="107"/>
              <w:rPr>
                <w:sz w:val="18"/>
              </w:rPr>
            </w:pPr>
            <w:r>
              <w:rPr>
                <w:sz w:val="18"/>
              </w:rPr>
              <w:t>Bappenas</w:t>
            </w:r>
            <w:r>
              <w:rPr>
                <w:spacing w:val="-4"/>
                <w:sz w:val="18"/>
              </w:rPr>
              <w:t xml:space="preserve"> </w:t>
            </w:r>
            <w:r>
              <w:rPr>
                <w:sz w:val="18"/>
              </w:rPr>
              <w:t>Regulation</w:t>
            </w:r>
            <w:r>
              <w:rPr>
                <w:spacing w:val="-1"/>
                <w:sz w:val="18"/>
              </w:rPr>
              <w:t xml:space="preserve"> </w:t>
            </w:r>
            <w:r>
              <w:rPr>
                <w:sz w:val="18"/>
              </w:rPr>
              <w:t>No.</w:t>
            </w:r>
            <w:r>
              <w:rPr>
                <w:spacing w:val="-3"/>
                <w:sz w:val="18"/>
              </w:rPr>
              <w:t xml:space="preserve"> </w:t>
            </w:r>
            <w:r>
              <w:rPr>
                <w:sz w:val="18"/>
              </w:rPr>
              <w:t>7/2025</w:t>
            </w:r>
            <w:r>
              <w:rPr>
                <w:spacing w:val="-1"/>
                <w:sz w:val="18"/>
              </w:rPr>
              <w:t xml:space="preserve"> </w:t>
            </w:r>
            <w:r>
              <w:rPr>
                <w:sz w:val="18"/>
              </w:rPr>
              <w:t>on</w:t>
            </w:r>
            <w:r>
              <w:rPr>
                <w:spacing w:val="-1"/>
                <w:sz w:val="18"/>
              </w:rPr>
              <w:t xml:space="preserve"> </w:t>
            </w:r>
            <w:r>
              <w:rPr>
                <w:sz w:val="18"/>
              </w:rPr>
              <w:t>Guidelines</w:t>
            </w:r>
            <w:r>
              <w:rPr>
                <w:spacing w:val="-2"/>
                <w:sz w:val="18"/>
              </w:rPr>
              <w:t xml:space="preserve"> </w:t>
            </w:r>
            <w:r>
              <w:rPr>
                <w:sz w:val="18"/>
              </w:rPr>
              <w:t>for</w:t>
            </w:r>
            <w:r>
              <w:rPr>
                <w:spacing w:val="-1"/>
                <w:sz w:val="18"/>
              </w:rPr>
              <w:t xml:space="preserve"> </w:t>
            </w:r>
            <w:r>
              <w:rPr>
                <w:sz w:val="18"/>
              </w:rPr>
              <w:t>Sharing</w:t>
            </w:r>
            <w:r>
              <w:rPr>
                <w:spacing w:val="-2"/>
                <w:sz w:val="18"/>
              </w:rPr>
              <w:t xml:space="preserve"> </w:t>
            </w:r>
            <w:r>
              <w:rPr>
                <w:sz w:val="18"/>
              </w:rPr>
              <w:t>and</w:t>
            </w:r>
            <w:r>
              <w:rPr>
                <w:spacing w:val="-2"/>
                <w:sz w:val="18"/>
              </w:rPr>
              <w:t xml:space="preserve"> </w:t>
            </w:r>
            <w:r>
              <w:rPr>
                <w:sz w:val="18"/>
              </w:rPr>
              <w:t>Use</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National Single</w:t>
            </w:r>
            <w:r>
              <w:rPr>
                <w:spacing w:val="-1"/>
                <w:sz w:val="18"/>
              </w:rPr>
              <w:t xml:space="preserve"> </w:t>
            </w:r>
            <w:r>
              <w:rPr>
                <w:spacing w:val="-2"/>
                <w:sz w:val="18"/>
              </w:rPr>
              <w:t>Socio-</w:t>
            </w:r>
          </w:p>
          <w:p w14:paraId="7989C222" w14:textId="77777777" w:rsidR="00BC24A8" w:rsidRDefault="00000000">
            <w:pPr>
              <w:pStyle w:val="TableParagraph"/>
              <w:spacing w:before="1" w:line="199" w:lineRule="exact"/>
              <w:ind w:left="107"/>
              <w:rPr>
                <w:sz w:val="18"/>
              </w:rPr>
            </w:pPr>
            <w:r>
              <w:rPr>
                <w:sz w:val="18"/>
              </w:rPr>
              <w:t>Economic</w:t>
            </w:r>
            <w:r>
              <w:rPr>
                <w:spacing w:val="-2"/>
                <w:sz w:val="18"/>
              </w:rPr>
              <w:t xml:space="preserve"> </w:t>
            </w:r>
            <w:r>
              <w:rPr>
                <w:sz w:val="18"/>
              </w:rPr>
              <w:t>Data</w:t>
            </w:r>
            <w:r>
              <w:rPr>
                <w:spacing w:val="-1"/>
                <w:sz w:val="18"/>
              </w:rPr>
              <w:t xml:space="preserve"> </w:t>
            </w:r>
            <w:r>
              <w:rPr>
                <w:spacing w:val="-2"/>
                <w:sz w:val="18"/>
              </w:rPr>
              <w:t>(DTSEN)</w:t>
            </w:r>
          </w:p>
        </w:tc>
        <w:tc>
          <w:tcPr>
            <w:tcW w:w="1275" w:type="dxa"/>
            <w:tcBorders>
              <w:top w:val="single" w:sz="4" w:space="0" w:color="A6A6A6"/>
              <w:left w:val="single" w:sz="4" w:space="0" w:color="A6A6A6"/>
              <w:bottom w:val="single" w:sz="4" w:space="0" w:color="A6A6A6"/>
              <w:right w:val="single" w:sz="4" w:space="0" w:color="A6A6A6"/>
            </w:tcBorders>
          </w:tcPr>
          <w:p w14:paraId="34E97AE1" w14:textId="77777777" w:rsidR="00BC24A8" w:rsidRDefault="00000000">
            <w:pPr>
              <w:pStyle w:val="TableParagraph"/>
              <w:spacing w:line="219" w:lineRule="exact"/>
              <w:ind w:left="106"/>
              <w:rPr>
                <w:sz w:val="18"/>
              </w:rPr>
            </w:pPr>
            <w:r>
              <w:rPr>
                <w:spacing w:val="-2"/>
                <w:sz w:val="18"/>
              </w:rPr>
              <w:t>Jakarta</w:t>
            </w:r>
          </w:p>
        </w:tc>
      </w:tr>
    </w:tbl>
    <w:p w14:paraId="51759EC9" w14:textId="77777777" w:rsidR="00BC24A8" w:rsidRDefault="00BC24A8">
      <w:pPr>
        <w:pStyle w:val="TableParagraph"/>
        <w:spacing w:line="219" w:lineRule="exact"/>
        <w:rPr>
          <w:sz w:val="18"/>
        </w:rPr>
        <w:sectPr w:rsidR="00BC24A8">
          <w:pgSz w:w="11910" w:h="16840"/>
          <w:pgMar w:top="1320" w:right="850" w:bottom="1625" w:left="1275" w:header="0" w:footer="907"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7760"/>
        <w:gridCol w:w="1275"/>
      </w:tblGrid>
      <w:tr w:rsidR="00BC24A8" w14:paraId="4ADD6A9E" w14:textId="77777777">
        <w:trPr>
          <w:trHeight w:val="407"/>
        </w:trPr>
        <w:tc>
          <w:tcPr>
            <w:tcW w:w="490" w:type="dxa"/>
            <w:tcBorders>
              <w:bottom w:val="single" w:sz="4" w:space="0" w:color="A6A6A6"/>
              <w:right w:val="single" w:sz="18" w:space="0" w:color="F1F1F1"/>
            </w:tcBorders>
            <w:shd w:val="clear" w:color="auto" w:fill="17365A"/>
          </w:tcPr>
          <w:p w14:paraId="28597257" w14:textId="77777777" w:rsidR="00BC24A8" w:rsidRDefault="00000000">
            <w:pPr>
              <w:pStyle w:val="TableParagraph"/>
              <w:spacing w:before="83"/>
              <w:ind w:left="26"/>
              <w:jc w:val="center"/>
              <w:rPr>
                <w:rFonts w:ascii="Calibri"/>
                <w:b/>
                <w:sz w:val="20"/>
              </w:rPr>
            </w:pPr>
            <w:r>
              <w:rPr>
                <w:rFonts w:ascii="Calibri"/>
                <w:b/>
                <w:color w:val="FFFFFF"/>
                <w:spacing w:val="-5"/>
                <w:sz w:val="20"/>
              </w:rPr>
              <w:lastRenderedPageBreak/>
              <w:t>No</w:t>
            </w:r>
          </w:p>
        </w:tc>
        <w:tc>
          <w:tcPr>
            <w:tcW w:w="7760" w:type="dxa"/>
            <w:tcBorders>
              <w:left w:val="single" w:sz="18" w:space="0" w:color="F1F1F1"/>
              <w:bottom w:val="single" w:sz="4" w:space="0" w:color="A6A6A6"/>
              <w:right w:val="single" w:sz="18" w:space="0" w:color="F1F1F1"/>
            </w:tcBorders>
            <w:shd w:val="clear" w:color="auto" w:fill="17365A"/>
          </w:tcPr>
          <w:p w14:paraId="0A844DF9" w14:textId="77777777" w:rsidR="00BC24A8" w:rsidRDefault="00000000">
            <w:pPr>
              <w:pStyle w:val="TableParagraph"/>
              <w:spacing w:before="83"/>
              <w:ind w:left="5"/>
              <w:jc w:val="center"/>
              <w:rPr>
                <w:rFonts w:ascii="Calibri"/>
                <w:b/>
                <w:sz w:val="20"/>
              </w:rPr>
            </w:pPr>
            <w:r>
              <w:rPr>
                <w:rFonts w:ascii="Calibri"/>
                <w:b/>
                <w:color w:val="FFFFFF"/>
                <w:sz w:val="20"/>
              </w:rPr>
              <w:t>Document</w:t>
            </w:r>
            <w:r>
              <w:rPr>
                <w:rFonts w:ascii="Calibri"/>
                <w:b/>
                <w:color w:val="FFFFFF"/>
                <w:spacing w:val="-7"/>
                <w:sz w:val="20"/>
              </w:rPr>
              <w:t xml:space="preserve"> </w:t>
            </w:r>
            <w:r>
              <w:rPr>
                <w:rFonts w:ascii="Calibri"/>
                <w:b/>
                <w:color w:val="FFFFFF"/>
                <w:spacing w:val="-2"/>
                <w:sz w:val="20"/>
              </w:rPr>
              <w:t>Title</w:t>
            </w:r>
          </w:p>
        </w:tc>
        <w:tc>
          <w:tcPr>
            <w:tcW w:w="1275" w:type="dxa"/>
            <w:tcBorders>
              <w:left w:val="single" w:sz="18" w:space="0" w:color="F1F1F1"/>
              <w:bottom w:val="single" w:sz="4" w:space="0" w:color="A6A6A6"/>
            </w:tcBorders>
            <w:shd w:val="clear" w:color="auto" w:fill="17365A"/>
          </w:tcPr>
          <w:p w14:paraId="10AFFF2F" w14:textId="77777777" w:rsidR="00BC24A8" w:rsidRDefault="00000000">
            <w:pPr>
              <w:pStyle w:val="TableParagraph"/>
              <w:spacing w:before="83"/>
              <w:ind w:right="8"/>
              <w:jc w:val="center"/>
              <w:rPr>
                <w:rFonts w:ascii="Calibri"/>
                <w:b/>
                <w:sz w:val="20"/>
              </w:rPr>
            </w:pPr>
            <w:r>
              <w:rPr>
                <w:rFonts w:ascii="Calibri"/>
                <w:b/>
                <w:color w:val="FFFFFF"/>
                <w:spacing w:val="-4"/>
                <w:sz w:val="20"/>
              </w:rPr>
              <w:t>Area</w:t>
            </w:r>
          </w:p>
        </w:tc>
      </w:tr>
      <w:tr w:rsidR="00BC24A8" w14:paraId="131E7039"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2B50003F" w14:textId="77777777" w:rsidR="00BC24A8" w:rsidRDefault="00000000">
            <w:pPr>
              <w:pStyle w:val="TableParagraph"/>
              <w:spacing w:line="219" w:lineRule="exact"/>
              <w:ind w:left="92" w:right="171"/>
              <w:jc w:val="center"/>
              <w:rPr>
                <w:sz w:val="18"/>
              </w:rPr>
            </w:pPr>
            <w:r>
              <w:rPr>
                <w:spacing w:val="-5"/>
                <w:sz w:val="18"/>
              </w:rPr>
              <w:t>28</w:t>
            </w:r>
          </w:p>
        </w:tc>
        <w:tc>
          <w:tcPr>
            <w:tcW w:w="7760" w:type="dxa"/>
            <w:tcBorders>
              <w:top w:val="single" w:sz="4" w:space="0" w:color="A6A6A6"/>
              <w:left w:val="single" w:sz="4" w:space="0" w:color="A6A6A6"/>
              <w:bottom w:val="single" w:sz="4" w:space="0" w:color="A6A6A6"/>
              <w:right w:val="single" w:sz="4" w:space="0" w:color="A6A6A6"/>
            </w:tcBorders>
          </w:tcPr>
          <w:p w14:paraId="37264A5A" w14:textId="77777777" w:rsidR="00BC24A8" w:rsidRDefault="00000000">
            <w:pPr>
              <w:pStyle w:val="TableParagraph"/>
              <w:spacing w:line="219" w:lineRule="exact"/>
              <w:ind w:left="107"/>
              <w:rPr>
                <w:sz w:val="18"/>
              </w:rPr>
            </w:pPr>
            <w:r>
              <w:rPr>
                <w:sz w:val="18"/>
              </w:rPr>
              <w:t>Ministry</w:t>
            </w:r>
            <w:r>
              <w:rPr>
                <w:spacing w:val="-4"/>
                <w:sz w:val="18"/>
              </w:rPr>
              <w:t xml:space="preserve"> </w:t>
            </w:r>
            <w:r>
              <w:rPr>
                <w:sz w:val="18"/>
              </w:rPr>
              <w:t>of</w:t>
            </w:r>
            <w:r>
              <w:rPr>
                <w:spacing w:val="-3"/>
                <w:sz w:val="18"/>
              </w:rPr>
              <w:t xml:space="preserve"> </w:t>
            </w:r>
            <w:r>
              <w:rPr>
                <w:sz w:val="18"/>
              </w:rPr>
              <w:t>Home</w:t>
            </w:r>
            <w:r>
              <w:rPr>
                <w:spacing w:val="-2"/>
                <w:sz w:val="18"/>
              </w:rPr>
              <w:t xml:space="preserve"> </w:t>
            </w:r>
            <w:r>
              <w:rPr>
                <w:sz w:val="18"/>
              </w:rPr>
              <w:t>Affairs</w:t>
            </w:r>
            <w:r>
              <w:rPr>
                <w:spacing w:val="-2"/>
                <w:sz w:val="18"/>
              </w:rPr>
              <w:t xml:space="preserve"> </w:t>
            </w:r>
            <w:r>
              <w:rPr>
                <w:sz w:val="18"/>
              </w:rPr>
              <w:t>Regulation</w:t>
            </w:r>
            <w:r>
              <w:rPr>
                <w:spacing w:val="-2"/>
                <w:sz w:val="18"/>
              </w:rPr>
              <w:t xml:space="preserve"> </w:t>
            </w:r>
            <w:r>
              <w:rPr>
                <w:sz w:val="18"/>
              </w:rPr>
              <w:t>No.</w:t>
            </w:r>
            <w:r>
              <w:rPr>
                <w:spacing w:val="-3"/>
                <w:sz w:val="18"/>
              </w:rPr>
              <w:t xml:space="preserve"> </w:t>
            </w:r>
            <w:r>
              <w:rPr>
                <w:sz w:val="18"/>
              </w:rPr>
              <w:t>10/2025</w:t>
            </w:r>
            <w:r>
              <w:rPr>
                <w:spacing w:val="-2"/>
                <w:sz w:val="18"/>
              </w:rPr>
              <w:t xml:space="preserve"> </w:t>
            </w:r>
            <w:r>
              <w:rPr>
                <w:sz w:val="18"/>
              </w:rPr>
              <w:t>on</w:t>
            </w:r>
            <w:r>
              <w:rPr>
                <w:spacing w:val="-2"/>
                <w:sz w:val="18"/>
              </w:rPr>
              <w:t xml:space="preserve"> </w:t>
            </w:r>
            <w:r>
              <w:rPr>
                <w:sz w:val="18"/>
              </w:rPr>
              <w:t>Guidelines</w:t>
            </w:r>
            <w:r>
              <w:rPr>
                <w:spacing w:val="-2"/>
                <w:sz w:val="18"/>
              </w:rPr>
              <w:t xml:space="preserve"> </w:t>
            </w:r>
            <w:r>
              <w:rPr>
                <w:sz w:val="18"/>
              </w:rPr>
              <w:t>for</w:t>
            </w:r>
            <w:r>
              <w:rPr>
                <w:spacing w:val="-2"/>
                <w:sz w:val="18"/>
              </w:rPr>
              <w:t xml:space="preserve"> </w:t>
            </w:r>
            <w:r>
              <w:rPr>
                <w:sz w:val="18"/>
              </w:rPr>
              <w:t>Preparing</w:t>
            </w:r>
            <w:r>
              <w:rPr>
                <w:spacing w:val="-3"/>
                <w:sz w:val="18"/>
              </w:rPr>
              <w:t xml:space="preserve"> </w:t>
            </w:r>
            <w:r>
              <w:rPr>
                <w:sz w:val="18"/>
              </w:rPr>
              <w:t>the</w:t>
            </w:r>
            <w:r>
              <w:rPr>
                <w:spacing w:val="-2"/>
                <w:sz w:val="18"/>
              </w:rPr>
              <w:t xml:space="preserve"> </w:t>
            </w:r>
            <w:r>
              <w:rPr>
                <w:sz w:val="18"/>
              </w:rPr>
              <w:t>2026</w:t>
            </w:r>
            <w:r>
              <w:rPr>
                <w:spacing w:val="-1"/>
                <w:sz w:val="18"/>
              </w:rPr>
              <w:t xml:space="preserve"> </w:t>
            </w:r>
            <w:r>
              <w:rPr>
                <w:spacing w:val="-2"/>
                <w:sz w:val="18"/>
              </w:rPr>
              <w:t>Regional</w:t>
            </w:r>
          </w:p>
          <w:p w14:paraId="52FF33E3" w14:textId="77777777" w:rsidR="00BC24A8" w:rsidRDefault="00000000">
            <w:pPr>
              <w:pStyle w:val="TableParagraph"/>
              <w:spacing w:before="1" w:line="199" w:lineRule="exact"/>
              <w:ind w:left="107"/>
              <w:rPr>
                <w:sz w:val="18"/>
              </w:rPr>
            </w:pPr>
            <w:r>
              <w:rPr>
                <w:sz w:val="18"/>
              </w:rPr>
              <w:t>Government</w:t>
            </w:r>
            <w:r>
              <w:rPr>
                <w:spacing w:val="-3"/>
                <w:sz w:val="18"/>
              </w:rPr>
              <w:t xml:space="preserve"> </w:t>
            </w:r>
            <w:r>
              <w:rPr>
                <w:sz w:val="18"/>
              </w:rPr>
              <w:t>Work</w:t>
            </w:r>
            <w:r>
              <w:rPr>
                <w:spacing w:val="-4"/>
                <w:sz w:val="18"/>
              </w:rPr>
              <w:t xml:space="preserve"> </w:t>
            </w:r>
            <w:r>
              <w:rPr>
                <w:sz w:val="18"/>
              </w:rPr>
              <w:t>Plan</w:t>
            </w:r>
            <w:r>
              <w:rPr>
                <w:spacing w:val="-2"/>
                <w:sz w:val="18"/>
              </w:rPr>
              <w:t xml:space="preserve"> (RKPD)</w:t>
            </w:r>
          </w:p>
        </w:tc>
        <w:tc>
          <w:tcPr>
            <w:tcW w:w="1275" w:type="dxa"/>
            <w:tcBorders>
              <w:top w:val="single" w:sz="4" w:space="0" w:color="A6A6A6"/>
              <w:left w:val="single" w:sz="4" w:space="0" w:color="A6A6A6"/>
              <w:bottom w:val="single" w:sz="4" w:space="0" w:color="A6A6A6"/>
              <w:right w:val="single" w:sz="4" w:space="0" w:color="A6A6A6"/>
            </w:tcBorders>
          </w:tcPr>
          <w:p w14:paraId="23767976" w14:textId="77777777" w:rsidR="00BC24A8" w:rsidRDefault="00000000">
            <w:pPr>
              <w:pStyle w:val="TableParagraph"/>
              <w:spacing w:before="109"/>
              <w:ind w:left="106"/>
              <w:rPr>
                <w:sz w:val="18"/>
              </w:rPr>
            </w:pPr>
            <w:r>
              <w:rPr>
                <w:spacing w:val="-2"/>
                <w:sz w:val="18"/>
              </w:rPr>
              <w:t>Jakarta</w:t>
            </w:r>
          </w:p>
        </w:tc>
      </w:tr>
      <w:tr w:rsidR="00BC24A8" w14:paraId="60D5540C" w14:textId="77777777">
        <w:trPr>
          <w:trHeight w:val="220"/>
        </w:trPr>
        <w:tc>
          <w:tcPr>
            <w:tcW w:w="490" w:type="dxa"/>
            <w:tcBorders>
              <w:top w:val="single" w:sz="4" w:space="0" w:color="A6A6A6"/>
              <w:left w:val="single" w:sz="4" w:space="0" w:color="A6A6A6"/>
              <w:bottom w:val="single" w:sz="4" w:space="0" w:color="A6A6A6"/>
              <w:right w:val="single" w:sz="4" w:space="0" w:color="A6A6A6"/>
            </w:tcBorders>
          </w:tcPr>
          <w:p w14:paraId="11C3F1B5" w14:textId="77777777" w:rsidR="00BC24A8" w:rsidRDefault="00000000">
            <w:pPr>
              <w:pStyle w:val="TableParagraph"/>
              <w:spacing w:before="1" w:line="199" w:lineRule="exact"/>
              <w:ind w:left="92" w:right="171"/>
              <w:jc w:val="center"/>
              <w:rPr>
                <w:sz w:val="18"/>
              </w:rPr>
            </w:pPr>
            <w:r>
              <w:rPr>
                <w:spacing w:val="-5"/>
                <w:sz w:val="18"/>
              </w:rPr>
              <w:t>29</w:t>
            </w:r>
          </w:p>
        </w:tc>
        <w:tc>
          <w:tcPr>
            <w:tcW w:w="7760" w:type="dxa"/>
            <w:tcBorders>
              <w:top w:val="single" w:sz="4" w:space="0" w:color="A6A6A6"/>
              <w:left w:val="single" w:sz="4" w:space="0" w:color="A6A6A6"/>
              <w:bottom w:val="single" w:sz="4" w:space="0" w:color="A6A6A6"/>
              <w:right w:val="single" w:sz="4" w:space="0" w:color="A6A6A6"/>
            </w:tcBorders>
          </w:tcPr>
          <w:p w14:paraId="251C6CAB" w14:textId="77777777" w:rsidR="00BC24A8" w:rsidRDefault="00000000">
            <w:pPr>
              <w:pStyle w:val="TableParagraph"/>
              <w:spacing w:before="1" w:line="199" w:lineRule="exact"/>
              <w:ind w:left="107"/>
              <w:rPr>
                <w:sz w:val="18"/>
              </w:rPr>
            </w:pPr>
            <w:r>
              <w:rPr>
                <w:sz w:val="18"/>
              </w:rPr>
              <w:t>Aceh</w:t>
            </w:r>
            <w:r>
              <w:rPr>
                <w:spacing w:val="-3"/>
                <w:sz w:val="18"/>
              </w:rPr>
              <w:t xml:space="preserve"> </w:t>
            </w:r>
            <w:r>
              <w:rPr>
                <w:sz w:val="18"/>
              </w:rPr>
              <w:t>Governor</w:t>
            </w:r>
            <w:r>
              <w:rPr>
                <w:spacing w:val="-2"/>
                <w:sz w:val="18"/>
              </w:rPr>
              <w:t xml:space="preserve"> </w:t>
            </w:r>
            <w:r>
              <w:rPr>
                <w:sz w:val="18"/>
              </w:rPr>
              <w:t>Decree</w:t>
            </w:r>
            <w:r>
              <w:rPr>
                <w:spacing w:val="-3"/>
                <w:sz w:val="18"/>
              </w:rPr>
              <w:t xml:space="preserve"> </w:t>
            </w:r>
            <w:r>
              <w:rPr>
                <w:sz w:val="18"/>
              </w:rPr>
              <w:t>No.</w:t>
            </w:r>
            <w:r>
              <w:rPr>
                <w:spacing w:val="-3"/>
                <w:sz w:val="18"/>
              </w:rPr>
              <w:t xml:space="preserve"> </w:t>
            </w:r>
            <w:r>
              <w:rPr>
                <w:sz w:val="18"/>
              </w:rPr>
              <w:t>500/14/953/2024</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Establishment</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2024</w:t>
            </w:r>
            <w:r>
              <w:rPr>
                <w:spacing w:val="-3"/>
                <w:sz w:val="18"/>
              </w:rPr>
              <w:t xml:space="preserve"> </w:t>
            </w:r>
            <w:r>
              <w:rPr>
                <w:sz w:val="18"/>
              </w:rPr>
              <w:t>Aceh</w:t>
            </w:r>
            <w:r>
              <w:rPr>
                <w:spacing w:val="-2"/>
                <w:sz w:val="18"/>
              </w:rPr>
              <w:t xml:space="preserve"> </w:t>
            </w:r>
            <w:r>
              <w:rPr>
                <w:sz w:val="18"/>
              </w:rPr>
              <w:t>Data</w:t>
            </w:r>
            <w:r>
              <w:rPr>
                <w:spacing w:val="-3"/>
                <w:sz w:val="18"/>
              </w:rPr>
              <w:t xml:space="preserve"> </w:t>
            </w:r>
            <w:r>
              <w:rPr>
                <w:spacing w:val="-4"/>
                <w:sz w:val="18"/>
              </w:rPr>
              <w:t>List</w:t>
            </w:r>
          </w:p>
        </w:tc>
        <w:tc>
          <w:tcPr>
            <w:tcW w:w="1275" w:type="dxa"/>
            <w:tcBorders>
              <w:top w:val="single" w:sz="4" w:space="0" w:color="A6A6A6"/>
              <w:left w:val="single" w:sz="4" w:space="0" w:color="A6A6A6"/>
              <w:bottom w:val="single" w:sz="4" w:space="0" w:color="A6A6A6"/>
              <w:right w:val="single" w:sz="4" w:space="0" w:color="A6A6A6"/>
            </w:tcBorders>
          </w:tcPr>
          <w:p w14:paraId="4E81B3A3" w14:textId="77777777" w:rsidR="00BC24A8" w:rsidRDefault="00000000">
            <w:pPr>
              <w:pStyle w:val="TableParagraph"/>
              <w:spacing w:before="1" w:line="199" w:lineRule="exact"/>
              <w:ind w:left="106"/>
              <w:rPr>
                <w:sz w:val="18"/>
              </w:rPr>
            </w:pPr>
            <w:r>
              <w:rPr>
                <w:spacing w:val="-4"/>
                <w:sz w:val="18"/>
              </w:rPr>
              <w:t>Aceh</w:t>
            </w:r>
          </w:p>
        </w:tc>
      </w:tr>
      <w:tr w:rsidR="00BC24A8" w14:paraId="51E6D25F"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73063669" w14:textId="77777777" w:rsidR="00BC24A8" w:rsidRDefault="00000000">
            <w:pPr>
              <w:pStyle w:val="TableParagraph"/>
              <w:spacing w:line="219" w:lineRule="exact"/>
              <w:ind w:left="92" w:right="171"/>
              <w:jc w:val="center"/>
              <w:rPr>
                <w:sz w:val="18"/>
              </w:rPr>
            </w:pPr>
            <w:r>
              <w:rPr>
                <w:spacing w:val="-5"/>
                <w:sz w:val="18"/>
              </w:rPr>
              <w:t>30</w:t>
            </w:r>
          </w:p>
        </w:tc>
        <w:tc>
          <w:tcPr>
            <w:tcW w:w="7760" w:type="dxa"/>
            <w:tcBorders>
              <w:top w:val="single" w:sz="4" w:space="0" w:color="A6A6A6"/>
              <w:left w:val="single" w:sz="4" w:space="0" w:color="A6A6A6"/>
              <w:bottom w:val="single" w:sz="4" w:space="0" w:color="A6A6A6"/>
              <w:right w:val="single" w:sz="4" w:space="0" w:color="A6A6A6"/>
            </w:tcBorders>
          </w:tcPr>
          <w:p w14:paraId="5062431E" w14:textId="77777777" w:rsidR="00BC24A8" w:rsidRDefault="00000000">
            <w:pPr>
              <w:pStyle w:val="TableParagraph"/>
              <w:spacing w:line="219" w:lineRule="exact"/>
              <w:ind w:left="107"/>
              <w:rPr>
                <w:sz w:val="18"/>
              </w:rPr>
            </w:pPr>
            <w:r>
              <w:rPr>
                <w:sz w:val="18"/>
              </w:rPr>
              <w:t>Governor</w:t>
            </w:r>
            <w:r>
              <w:rPr>
                <w:spacing w:val="-3"/>
                <w:sz w:val="18"/>
              </w:rPr>
              <w:t xml:space="preserve"> </w:t>
            </w:r>
            <w:r>
              <w:rPr>
                <w:sz w:val="18"/>
              </w:rPr>
              <w:t>Instruction</w:t>
            </w:r>
            <w:r>
              <w:rPr>
                <w:spacing w:val="-2"/>
                <w:sz w:val="18"/>
              </w:rPr>
              <w:t xml:space="preserve"> </w:t>
            </w:r>
            <w:r>
              <w:rPr>
                <w:sz w:val="18"/>
              </w:rPr>
              <w:t>Letter</w:t>
            </w:r>
            <w:r>
              <w:rPr>
                <w:spacing w:val="-4"/>
                <w:sz w:val="18"/>
              </w:rPr>
              <w:t xml:space="preserve"> </w:t>
            </w:r>
            <w:r>
              <w:rPr>
                <w:sz w:val="18"/>
              </w:rPr>
              <w:t>No.</w:t>
            </w:r>
            <w:r>
              <w:rPr>
                <w:spacing w:val="-3"/>
                <w:sz w:val="18"/>
              </w:rPr>
              <w:t xml:space="preserve"> </w:t>
            </w:r>
            <w:r>
              <w:rPr>
                <w:sz w:val="18"/>
              </w:rPr>
              <w:t>400.10/493</w:t>
            </w:r>
            <w:r>
              <w:rPr>
                <w:spacing w:val="-3"/>
                <w:sz w:val="18"/>
              </w:rPr>
              <w:t xml:space="preserve"> </w:t>
            </w:r>
            <w:r>
              <w:rPr>
                <w:sz w:val="18"/>
              </w:rPr>
              <w:t>of</w:t>
            </w:r>
            <w:r>
              <w:rPr>
                <w:spacing w:val="-3"/>
                <w:sz w:val="18"/>
              </w:rPr>
              <w:t xml:space="preserve"> </w:t>
            </w:r>
            <w:r>
              <w:rPr>
                <w:sz w:val="18"/>
              </w:rPr>
              <w:t>2024</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Implementation</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SIGAP</w:t>
            </w:r>
            <w:r>
              <w:rPr>
                <w:spacing w:val="-3"/>
                <w:sz w:val="18"/>
              </w:rPr>
              <w:t xml:space="preserve"> </w:t>
            </w:r>
            <w:r>
              <w:rPr>
                <w:sz w:val="18"/>
              </w:rPr>
              <w:t>Application</w:t>
            </w:r>
            <w:r>
              <w:rPr>
                <w:spacing w:val="-5"/>
                <w:sz w:val="18"/>
              </w:rPr>
              <w:t xml:space="preserve"> for</w:t>
            </w:r>
          </w:p>
          <w:p w14:paraId="64B5C22B" w14:textId="77777777" w:rsidR="00BC24A8" w:rsidRDefault="00000000">
            <w:pPr>
              <w:pStyle w:val="TableParagraph"/>
              <w:spacing w:before="1" w:line="199" w:lineRule="exact"/>
              <w:ind w:left="107"/>
              <w:rPr>
                <w:sz w:val="18"/>
              </w:rPr>
            </w:pPr>
            <w:r>
              <w:rPr>
                <w:sz w:val="18"/>
              </w:rPr>
              <w:t>Mayors/Regents</w:t>
            </w:r>
            <w:r>
              <w:rPr>
                <w:spacing w:val="-8"/>
                <w:sz w:val="18"/>
              </w:rPr>
              <w:t xml:space="preserve"> </w:t>
            </w:r>
            <w:r>
              <w:rPr>
                <w:sz w:val="18"/>
              </w:rPr>
              <w:t>across</w:t>
            </w:r>
            <w:r>
              <w:rPr>
                <w:spacing w:val="-6"/>
                <w:sz w:val="18"/>
              </w:rPr>
              <w:t xml:space="preserve"> </w:t>
            </w:r>
            <w:r>
              <w:rPr>
                <w:spacing w:val="-4"/>
                <w:sz w:val="18"/>
              </w:rPr>
              <w:t>Aceh</w:t>
            </w:r>
          </w:p>
        </w:tc>
        <w:tc>
          <w:tcPr>
            <w:tcW w:w="1275" w:type="dxa"/>
            <w:tcBorders>
              <w:top w:val="single" w:sz="4" w:space="0" w:color="A6A6A6"/>
              <w:left w:val="single" w:sz="4" w:space="0" w:color="A6A6A6"/>
              <w:bottom w:val="single" w:sz="4" w:space="0" w:color="A6A6A6"/>
              <w:right w:val="single" w:sz="4" w:space="0" w:color="A6A6A6"/>
            </w:tcBorders>
          </w:tcPr>
          <w:p w14:paraId="2BE6D785" w14:textId="77777777" w:rsidR="00BC24A8" w:rsidRDefault="00000000">
            <w:pPr>
              <w:pStyle w:val="TableParagraph"/>
              <w:spacing w:line="219" w:lineRule="exact"/>
              <w:ind w:left="106"/>
              <w:rPr>
                <w:sz w:val="18"/>
              </w:rPr>
            </w:pPr>
            <w:r>
              <w:rPr>
                <w:spacing w:val="-4"/>
                <w:sz w:val="18"/>
              </w:rPr>
              <w:t>Aceh</w:t>
            </w:r>
          </w:p>
        </w:tc>
      </w:tr>
      <w:tr w:rsidR="00BC24A8" w14:paraId="72A315FE"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1F21642D" w14:textId="77777777" w:rsidR="00BC24A8" w:rsidRDefault="00000000">
            <w:pPr>
              <w:pStyle w:val="TableParagraph"/>
              <w:spacing w:before="1"/>
              <w:ind w:left="92" w:right="171"/>
              <w:jc w:val="center"/>
              <w:rPr>
                <w:sz w:val="18"/>
              </w:rPr>
            </w:pPr>
            <w:r>
              <w:rPr>
                <w:spacing w:val="-5"/>
                <w:sz w:val="18"/>
              </w:rPr>
              <w:t>31</w:t>
            </w:r>
          </w:p>
        </w:tc>
        <w:tc>
          <w:tcPr>
            <w:tcW w:w="7760" w:type="dxa"/>
            <w:tcBorders>
              <w:top w:val="single" w:sz="4" w:space="0" w:color="A6A6A6"/>
              <w:left w:val="single" w:sz="4" w:space="0" w:color="A6A6A6"/>
              <w:bottom w:val="single" w:sz="4" w:space="0" w:color="A6A6A6"/>
              <w:right w:val="single" w:sz="4" w:space="0" w:color="A6A6A6"/>
            </w:tcBorders>
          </w:tcPr>
          <w:p w14:paraId="5F0CC7C5" w14:textId="77777777" w:rsidR="00BC24A8" w:rsidRDefault="00000000">
            <w:pPr>
              <w:pStyle w:val="TableParagraph"/>
              <w:spacing w:before="1" w:line="219" w:lineRule="exact"/>
              <w:ind w:left="107"/>
              <w:rPr>
                <w:sz w:val="18"/>
              </w:rPr>
            </w:pPr>
            <w:r>
              <w:rPr>
                <w:sz w:val="18"/>
              </w:rPr>
              <w:t>Governor</w:t>
            </w:r>
            <w:r>
              <w:rPr>
                <w:spacing w:val="-5"/>
                <w:sz w:val="18"/>
              </w:rPr>
              <w:t xml:space="preserve"> </w:t>
            </w:r>
            <w:r>
              <w:rPr>
                <w:sz w:val="18"/>
              </w:rPr>
              <w:t>Decree</w:t>
            </w:r>
            <w:r>
              <w:rPr>
                <w:spacing w:val="-2"/>
                <w:sz w:val="18"/>
              </w:rPr>
              <w:t xml:space="preserve"> </w:t>
            </w:r>
            <w:r>
              <w:rPr>
                <w:sz w:val="18"/>
              </w:rPr>
              <w:t>No.</w:t>
            </w:r>
            <w:r>
              <w:rPr>
                <w:spacing w:val="-3"/>
                <w:sz w:val="18"/>
              </w:rPr>
              <w:t xml:space="preserve"> </w:t>
            </w:r>
            <w:r>
              <w:rPr>
                <w:sz w:val="18"/>
              </w:rPr>
              <w:t>100.3/136/2024</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Team</w:t>
            </w:r>
            <w:r>
              <w:rPr>
                <w:spacing w:val="-4"/>
                <w:sz w:val="18"/>
              </w:rPr>
              <w:t xml:space="preserve"> </w:t>
            </w:r>
            <w:r>
              <w:rPr>
                <w:sz w:val="18"/>
              </w:rPr>
              <w:t>for</w:t>
            </w:r>
            <w:r>
              <w:rPr>
                <w:spacing w:val="-2"/>
                <w:sz w:val="18"/>
              </w:rPr>
              <w:t xml:space="preserve"> </w:t>
            </w:r>
            <w:r>
              <w:rPr>
                <w:sz w:val="18"/>
              </w:rPr>
              <w:t>Discussion</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Draft</w:t>
            </w:r>
            <w:r>
              <w:rPr>
                <w:spacing w:val="-1"/>
                <w:sz w:val="18"/>
              </w:rPr>
              <w:t xml:space="preserve"> </w:t>
            </w:r>
            <w:r>
              <w:rPr>
                <w:sz w:val="18"/>
              </w:rPr>
              <w:t>Governor</w:t>
            </w:r>
            <w:r>
              <w:rPr>
                <w:spacing w:val="-2"/>
                <w:sz w:val="18"/>
              </w:rPr>
              <w:t xml:space="preserve"> </w:t>
            </w:r>
            <w:r>
              <w:rPr>
                <w:sz w:val="18"/>
              </w:rPr>
              <w:t>Regulation</w:t>
            </w:r>
            <w:r>
              <w:rPr>
                <w:spacing w:val="-5"/>
                <w:sz w:val="18"/>
              </w:rPr>
              <w:t xml:space="preserve"> on</w:t>
            </w:r>
          </w:p>
          <w:p w14:paraId="0858BDF7" w14:textId="77777777" w:rsidR="00BC24A8" w:rsidRDefault="00000000">
            <w:pPr>
              <w:pStyle w:val="TableParagraph"/>
              <w:spacing w:line="199" w:lineRule="exact"/>
              <w:ind w:left="107"/>
              <w:rPr>
                <w:sz w:val="18"/>
              </w:rPr>
            </w:pPr>
            <w:r>
              <w:rPr>
                <w:sz w:val="18"/>
              </w:rPr>
              <w:t>Interoperability</w:t>
            </w:r>
            <w:r>
              <w:rPr>
                <w:spacing w:val="-6"/>
                <w:sz w:val="18"/>
              </w:rPr>
              <w:t xml:space="preserve"> </w:t>
            </w:r>
            <w:r>
              <w:rPr>
                <w:spacing w:val="-2"/>
                <w:sz w:val="18"/>
              </w:rPr>
              <w:t>Guidelines</w:t>
            </w:r>
          </w:p>
        </w:tc>
        <w:tc>
          <w:tcPr>
            <w:tcW w:w="1275" w:type="dxa"/>
            <w:tcBorders>
              <w:top w:val="single" w:sz="4" w:space="0" w:color="A6A6A6"/>
              <w:left w:val="single" w:sz="4" w:space="0" w:color="A6A6A6"/>
              <w:bottom w:val="single" w:sz="4" w:space="0" w:color="A6A6A6"/>
              <w:right w:val="single" w:sz="4" w:space="0" w:color="A6A6A6"/>
            </w:tcBorders>
          </w:tcPr>
          <w:p w14:paraId="4F7C67B3" w14:textId="77777777" w:rsidR="00BC24A8" w:rsidRDefault="00000000">
            <w:pPr>
              <w:pStyle w:val="TableParagraph"/>
              <w:spacing w:before="1"/>
              <w:ind w:left="106"/>
              <w:rPr>
                <w:sz w:val="18"/>
              </w:rPr>
            </w:pPr>
            <w:r>
              <w:rPr>
                <w:spacing w:val="-4"/>
                <w:sz w:val="18"/>
              </w:rPr>
              <w:t>Aceh</w:t>
            </w:r>
          </w:p>
        </w:tc>
      </w:tr>
      <w:tr w:rsidR="00BC24A8" w14:paraId="59695E7A"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758F948D" w14:textId="77777777" w:rsidR="00BC24A8" w:rsidRDefault="00000000">
            <w:pPr>
              <w:pStyle w:val="TableParagraph"/>
              <w:spacing w:before="1" w:line="218" w:lineRule="exact"/>
              <w:ind w:left="92" w:right="171"/>
              <w:jc w:val="center"/>
              <w:rPr>
                <w:sz w:val="18"/>
              </w:rPr>
            </w:pPr>
            <w:r>
              <w:rPr>
                <w:spacing w:val="-5"/>
                <w:sz w:val="18"/>
              </w:rPr>
              <w:t>32</w:t>
            </w:r>
          </w:p>
        </w:tc>
        <w:tc>
          <w:tcPr>
            <w:tcW w:w="7760" w:type="dxa"/>
            <w:tcBorders>
              <w:top w:val="single" w:sz="4" w:space="0" w:color="A6A6A6"/>
              <w:left w:val="single" w:sz="4" w:space="0" w:color="A6A6A6"/>
              <w:bottom w:val="single" w:sz="4" w:space="0" w:color="A6A6A6"/>
              <w:right w:val="single" w:sz="4" w:space="0" w:color="A6A6A6"/>
            </w:tcBorders>
          </w:tcPr>
          <w:p w14:paraId="2042D8FD" w14:textId="77777777" w:rsidR="00BC24A8" w:rsidRDefault="00000000">
            <w:pPr>
              <w:pStyle w:val="TableParagraph"/>
              <w:spacing w:before="1" w:line="218" w:lineRule="exact"/>
              <w:ind w:left="107"/>
              <w:rPr>
                <w:sz w:val="18"/>
              </w:rPr>
            </w:pPr>
            <w:r>
              <w:rPr>
                <w:sz w:val="18"/>
              </w:rPr>
              <w:t>Draft</w:t>
            </w:r>
            <w:r>
              <w:rPr>
                <w:spacing w:val="-4"/>
                <w:sz w:val="18"/>
              </w:rPr>
              <w:t xml:space="preserve"> </w:t>
            </w:r>
            <w:r>
              <w:rPr>
                <w:sz w:val="18"/>
              </w:rPr>
              <w:t>Governor</w:t>
            </w:r>
            <w:r>
              <w:rPr>
                <w:spacing w:val="-2"/>
                <w:sz w:val="18"/>
              </w:rPr>
              <w:t xml:space="preserve"> </w:t>
            </w:r>
            <w:r>
              <w:rPr>
                <w:sz w:val="18"/>
              </w:rPr>
              <w:t>Regulation</w:t>
            </w:r>
            <w:r>
              <w:rPr>
                <w:spacing w:val="-2"/>
                <w:sz w:val="18"/>
              </w:rPr>
              <w:t xml:space="preserve"> </w:t>
            </w:r>
            <w:r>
              <w:rPr>
                <w:sz w:val="18"/>
              </w:rPr>
              <w:t>on</w:t>
            </w:r>
            <w:r>
              <w:rPr>
                <w:spacing w:val="-2"/>
                <w:sz w:val="18"/>
              </w:rPr>
              <w:t xml:space="preserve"> </w:t>
            </w:r>
            <w:r>
              <w:rPr>
                <w:sz w:val="18"/>
              </w:rPr>
              <w:t>the</w:t>
            </w:r>
            <w:r>
              <w:rPr>
                <w:spacing w:val="-4"/>
                <w:sz w:val="18"/>
              </w:rPr>
              <w:t xml:space="preserve"> </w:t>
            </w:r>
            <w:r>
              <w:rPr>
                <w:sz w:val="18"/>
              </w:rPr>
              <w:t>Aceh</w:t>
            </w:r>
            <w:r>
              <w:rPr>
                <w:spacing w:val="-2"/>
                <w:sz w:val="18"/>
              </w:rPr>
              <w:t xml:space="preserve"> </w:t>
            </w:r>
            <w:r>
              <w:rPr>
                <w:sz w:val="18"/>
              </w:rPr>
              <w:t>One</w:t>
            </w:r>
            <w:r>
              <w:rPr>
                <w:spacing w:val="-2"/>
                <w:sz w:val="18"/>
              </w:rPr>
              <w:t xml:space="preserve"> </w:t>
            </w:r>
            <w:r>
              <w:rPr>
                <w:sz w:val="18"/>
              </w:rPr>
              <w:t>Data</w:t>
            </w:r>
            <w:r>
              <w:rPr>
                <w:spacing w:val="-3"/>
                <w:sz w:val="18"/>
              </w:rPr>
              <w:t xml:space="preserve"> </w:t>
            </w:r>
            <w:r>
              <w:rPr>
                <w:sz w:val="18"/>
              </w:rPr>
              <w:t>Action</w:t>
            </w:r>
            <w:r>
              <w:rPr>
                <w:spacing w:val="-2"/>
                <w:sz w:val="18"/>
              </w:rPr>
              <w:t xml:space="preserve"> </w:t>
            </w:r>
            <w:r>
              <w:rPr>
                <w:sz w:val="18"/>
              </w:rPr>
              <w:t>Plan</w:t>
            </w:r>
            <w:r>
              <w:rPr>
                <w:spacing w:val="-2"/>
                <w:sz w:val="18"/>
              </w:rPr>
              <w:t xml:space="preserve"> </w:t>
            </w:r>
            <w:r>
              <w:rPr>
                <w:sz w:val="18"/>
              </w:rPr>
              <w:t>2025-</w:t>
            </w:r>
            <w:r>
              <w:rPr>
                <w:spacing w:val="-4"/>
                <w:sz w:val="18"/>
              </w:rPr>
              <w:t>2029</w:t>
            </w:r>
          </w:p>
        </w:tc>
        <w:tc>
          <w:tcPr>
            <w:tcW w:w="1275" w:type="dxa"/>
            <w:tcBorders>
              <w:top w:val="single" w:sz="4" w:space="0" w:color="A6A6A6"/>
              <w:left w:val="single" w:sz="4" w:space="0" w:color="A6A6A6"/>
              <w:bottom w:val="single" w:sz="4" w:space="0" w:color="A6A6A6"/>
              <w:right w:val="single" w:sz="4" w:space="0" w:color="A6A6A6"/>
            </w:tcBorders>
          </w:tcPr>
          <w:p w14:paraId="3F8B2DD0" w14:textId="77777777" w:rsidR="00BC24A8" w:rsidRDefault="00000000">
            <w:pPr>
              <w:pStyle w:val="TableParagraph"/>
              <w:spacing w:before="1" w:line="218" w:lineRule="exact"/>
              <w:ind w:left="106"/>
              <w:rPr>
                <w:sz w:val="18"/>
              </w:rPr>
            </w:pPr>
            <w:r>
              <w:rPr>
                <w:spacing w:val="-4"/>
                <w:sz w:val="18"/>
              </w:rPr>
              <w:t>Aceh</w:t>
            </w:r>
          </w:p>
        </w:tc>
      </w:tr>
      <w:tr w:rsidR="00BC24A8" w14:paraId="3356A928"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3A5A46F6" w14:textId="77777777" w:rsidR="00BC24A8" w:rsidRDefault="00000000">
            <w:pPr>
              <w:pStyle w:val="TableParagraph"/>
              <w:spacing w:before="1" w:line="218" w:lineRule="exact"/>
              <w:ind w:left="92" w:right="171"/>
              <w:jc w:val="center"/>
              <w:rPr>
                <w:sz w:val="18"/>
              </w:rPr>
            </w:pPr>
            <w:r>
              <w:rPr>
                <w:spacing w:val="-5"/>
                <w:sz w:val="18"/>
              </w:rPr>
              <w:t>33</w:t>
            </w:r>
          </w:p>
        </w:tc>
        <w:tc>
          <w:tcPr>
            <w:tcW w:w="7760" w:type="dxa"/>
            <w:tcBorders>
              <w:top w:val="single" w:sz="4" w:space="0" w:color="A6A6A6"/>
              <w:left w:val="single" w:sz="4" w:space="0" w:color="A6A6A6"/>
              <w:bottom w:val="single" w:sz="4" w:space="0" w:color="A6A6A6"/>
              <w:right w:val="single" w:sz="4" w:space="0" w:color="A6A6A6"/>
            </w:tcBorders>
          </w:tcPr>
          <w:p w14:paraId="346120A3" w14:textId="77777777" w:rsidR="00BC24A8" w:rsidRDefault="00000000">
            <w:pPr>
              <w:pStyle w:val="TableParagraph"/>
              <w:spacing w:before="1" w:line="218" w:lineRule="exact"/>
              <w:ind w:left="107"/>
              <w:rPr>
                <w:sz w:val="18"/>
              </w:rPr>
            </w:pPr>
            <w:r>
              <w:rPr>
                <w:sz w:val="18"/>
              </w:rPr>
              <w:t>Governor</w:t>
            </w:r>
            <w:r>
              <w:rPr>
                <w:spacing w:val="-2"/>
                <w:sz w:val="18"/>
              </w:rPr>
              <w:t xml:space="preserve"> </w:t>
            </w:r>
            <w:r>
              <w:rPr>
                <w:sz w:val="18"/>
              </w:rPr>
              <w:t>Regulation</w:t>
            </w:r>
            <w:r>
              <w:rPr>
                <w:spacing w:val="-2"/>
                <w:sz w:val="18"/>
              </w:rPr>
              <w:t xml:space="preserve"> </w:t>
            </w:r>
            <w:r>
              <w:rPr>
                <w:sz w:val="18"/>
              </w:rPr>
              <w:t>on</w:t>
            </w:r>
            <w:r>
              <w:rPr>
                <w:spacing w:val="-2"/>
                <w:sz w:val="18"/>
              </w:rPr>
              <w:t xml:space="preserve"> </w:t>
            </w:r>
            <w:r>
              <w:rPr>
                <w:sz w:val="18"/>
              </w:rPr>
              <w:t>Data</w:t>
            </w:r>
            <w:r>
              <w:rPr>
                <w:spacing w:val="-2"/>
                <w:sz w:val="18"/>
              </w:rPr>
              <w:t xml:space="preserve"> Interoperability</w:t>
            </w:r>
          </w:p>
        </w:tc>
        <w:tc>
          <w:tcPr>
            <w:tcW w:w="1275" w:type="dxa"/>
            <w:tcBorders>
              <w:top w:val="single" w:sz="4" w:space="0" w:color="A6A6A6"/>
              <w:left w:val="single" w:sz="4" w:space="0" w:color="A6A6A6"/>
              <w:bottom w:val="single" w:sz="4" w:space="0" w:color="A6A6A6"/>
              <w:right w:val="single" w:sz="4" w:space="0" w:color="A6A6A6"/>
            </w:tcBorders>
          </w:tcPr>
          <w:p w14:paraId="0D2DDBD1" w14:textId="77777777" w:rsidR="00BC24A8" w:rsidRDefault="00000000">
            <w:pPr>
              <w:pStyle w:val="TableParagraph"/>
              <w:spacing w:before="1" w:line="218" w:lineRule="exact"/>
              <w:ind w:left="106"/>
              <w:rPr>
                <w:sz w:val="18"/>
              </w:rPr>
            </w:pPr>
            <w:r>
              <w:rPr>
                <w:spacing w:val="-4"/>
                <w:sz w:val="18"/>
              </w:rPr>
              <w:t>Aceh</w:t>
            </w:r>
          </w:p>
        </w:tc>
      </w:tr>
      <w:tr w:rsidR="00BC24A8" w14:paraId="7421F0FF" w14:textId="77777777">
        <w:trPr>
          <w:trHeight w:val="242"/>
        </w:trPr>
        <w:tc>
          <w:tcPr>
            <w:tcW w:w="490" w:type="dxa"/>
            <w:tcBorders>
              <w:top w:val="single" w:sz="4" w:space="0" w:color="A6A6A6"/>
              <w:left w:val="single" w:sz="4" w:space="0" w:color="A6A6A6"/>
              <w:bottom w:val="single" w:sz="4" w:space="0" w:color="A6A6A6"/>
              <w:right w:val="single" w:sz="4" w:space="0" w:color="A6A6A6"/>
            </w:tcBorders>
          </w:tcPr>
          <w:p w14:paraId="1EA44145" w14:textId="77777777" w:rsidR="00BC24A8" w:rsidRDefault="00000000">
            <w:pPr>
              <w:pStyle w:val="TableParagraph"/>
              <w:spacing w:before="1"/>
              <w:ind w:left="92" w:right="171"/>
              <w:jc w:val="center"/>
              <w:rPr>
                <w:sz w:val="18"/>
              </w:rPr>
            </w:pPr>
            <w:r>
              <w:rPr>
                <w:spacing w:val="-5"/>
                <w:sz w:val="18"/>
              </w:rPr>
              <w:t>34</w:t>
            </w:r>
          </w:p>
        </w:tc>
        <w:tc>
          <w:tcPr>
            <w:tcW w:w="7760" w:type="dxa"/>
            <w:tcBorders>
              <w:top w:val="single" w:sz="4" w:space="0" w:color="A6A6A6"/>
              <w:left w:val="single" w:sz="4" w:space="0" w:color="A6A6A6"/>
              <w:bottom w:val="single" w:sz="4" w:space="0" w:color="A6A6A6"/>
              <w:right w:val="single" w:sz="4" w:space="0" w:color="A6A6A6"/>
            </w:tcBorders>
          </w:tcPr>
          <w:p w14:paraId="1E68B076" w14:textId="77777777" w:rsidR="00BC24A8" w:rsidRDefault="00000000">
            <w:pPr>
              <w:pStyle w:val="TableParagraph"/>
              <w:spacing w:before="1"/>
              <w:ind w:left="107"/>
              <w:rPr>
                <w:sz w:val="18"/>
              </w:rPr>
            </w:pPr>
            <w:r>
              <w:rPr>
                <w:sz w:val="18"/>
              </w:rPr>
              <w:t>Governor</w:t>
            </w:r>
            <w:r>
              <w:rPr>
                <w:spacing w:val="-3"/>
                <w:sz w:val="18"/>
              </w:rPr>
              <w:t xml:space="preserve"> </w:t>
            </w:r>
            <w:r>
              <w:rPr>
                <w:sz w:val="18"/>
              </w:rPr>
              <w:t>Regulation</w:t>
            </w:r>
            <w:r>
              <w:rPr>
                <w:spacing w:val="-2"/>
                <w:sz w:val="18"/>
              </w:rPr>
              <w:t xml:space="preserve"> </w:t>
            </w:r>
            <w:r>
              <w:rPr>
                <w:sz w:val="18"/>
              </w:rPr>
              <w:t>on</w:t>
            </w:r>
            <w:r>
              <w:rPr>
                <w:spacing w:val="-3"/>
                <w:sz w:val="18"/>
              </w:rPr>
              <w:t xml:space="preserve"> </w:t>
            </w:r>
            <w:r>
              <w:rPr>
                <w:sz w:val="18"/>
              </w:rPr>
              <w:t>Amendments</w:t>
            </w:r>
            <w:r>
              <w:rPr>
                <w:spacing w:val="-2"/>
                <w:sz w:val="18"/>
              </w:rPr>
              <w:t xml:space="preserve"> </w:t>
            </w:r>
            <w:r>
              <w:rPr>
                <w:sz w:val="18"/>
              </w:rPr>
              <w:t>to</w:t>
            </w:r>
            <w:r>
              <w:rPr>
                <w:spacing w:val="-4"/>
                <w:sz w:val="18"/>
              </w:rPr>
              <w:t xml:space="preserve"> </w:t>
            </w:r>
            <w:r>
              <w:rPr>
                <w:sz w:val="18"/>
              </w:rPr>
              <w:t>the</w:t>
            </w:r>
            <w:r>
              <w:rPr>
                <w:spacing w:val="-2"/>
                <w:sz w:val="18"/>
              </w:rPr>
              <w:t xml:space="preserve"> </w:t>
            </w:r>
            <w:r>
              <w:rPr>
                <w:sz w:val="18"/>
              </w:rPr>
              <w:t>Implementation</w:t>
            </w:r>
            <w:r>
              <w:rPr>
                <w:spacing w:val="-3"/>
                <w:sz w:val="18"/>
              </w:rPr>
              <w:t xml:space="preserve"> </w:t>
            </w:r>
            <w:r>
              <w:rPr>
                <w:sz w:val="18"/>
              </w:rPr>
              <w:t>of</w:t>
            </w:r>
            <w:r>
              <w:rPr>
                <w:spacing w:val="-3"/>
                <w:sz w:val="18"/>
              </w:rPr>
              <w:t xml:space="preserve"> </w:t>
            </w:r>
            <w:r>
              <w:rPr>
                <w:sz w:val="18"/>
              </w:rPr>
              <w:t>One</w:t>
            </w:r>
            <w:r>
              <w:rPr>
                <w:spacing w:val="-2"/>
                <w:sz w:val="18"/>
              </w:rPr>
              <w:t xml:space="preserve"> </w:t>
            </w:r>
            <w:r>
              <w:rPr>
                <w:spacing w:val="-4"/>
                <w:sz w:val="18"/>
              </w:rPr>
              <w:t>Data</w:t>
            </w:r>
          </w:p>
        </w:tc>
        <w:tc>
          <w:tcPr>
            <w:tcW w:w="1275" w:type="dxa"/>
            <w:tcBorders>
              <w:top w:val="single" w:sz="4" w:space="0" w:color="A6A6A6"/>
              <w:left w:val="single" w:sz="4" w:space="0" w:color="A6A6A6"/>
              <w:bottom w:val="single" w:sz="4" w:space="0" w:color="A6A6A6"/>
              <w:right w:val="single" w:sz="4" w:space="0" w:color="A6A6A6"/>
            </w:tcBorders>
          </w:tcPr>
          <w:p w14:paraId="314661C8" w14:textId="77777777" w:rsidR="00BC24A8" w:rsidRDefault="00000000">
            <w:pPr>
              <w:pStyle w:val="TableParagraph"/>
              <w:spacing w:before="1"/>
              <w:ind w:left="106"/>
              <w:rPr>
                <w:sz w:val="18"/>
              </w:rPr>
            </w:pPr>
            <w:r>
              <w:rPr>
                <w:spacing w:val="-4"/>
                <w:sz w:val="18"/>
              </w:rPr>
              <w:t>Aceh</w:t>
            </w:r>
          </w:p>
        </w:tc>
      </w:tr>
      <w:tr w:rsidR="00BC24A8" w14:paraId="204F1118" w14:textId="77777777">
        <w:trPr>
          <w:trHeight w:val="217"/>
        </w:trPr>
        <w:tc>
          <w:tcPr>
            <w:tcW w:w="490" w:type="dxa"/>
            <w:tcBorders>
              <w:top w:val="single" w:sz="4" w:space="0" w:color="A6A6A6"/>
              <w:left w:val="single" w:sz="4" w:space="0" w:color="A6A6A6"/>
              <w:bottom w:val="single" w:sz="4" w:space="0" w:color="A6A6A6"/>
              <w:right w:val="single" w:sz="4" w:space="0" w:color="A6A6A6"/>
            </w:tcBorders>
          </w:tcPr>
          <w:p w14:paraId="55276171" w14:textId="77777777" w:rsidR="00BC24A8" w:rsidRDefault="00000000">
            <w:pPr>
              <w:pStyle w:val="TableParagraph"/>
              <w:spacing w:line="198" w:lineRule="exact"/>
              <w:ind w:left="92" w:right="171"/>
              <w:jc w:val="center"/>
              <w:rPr>
                <w:sz w:val="18"/>
              </w:rPr>
            </w:pPr>
            <w:r>
              <w:rPr>
                <w:spacing w:val="-5"/>
                <w:sz w:val="18"/>
              </w:rPr>
              <w:t>35</w:t>
            </w:r>
          </w:p>
        </w:tc>
        <w:tc>
          <w:tcPr>
            <w:tcW w:w="7760" w:type="dxa"/>
            <w:tcBorders>
              <w:top w:val="single" w:sz="4" w:space="0" w:color="A6A6A6"/>
              <w:left w:val="single" w:sz="4" w:space="0" w:color="A6A6A6"/>
              <w:bottom w:val="single" w:sz="4" w:space="0" w:color="A6A6A6"/>
              <w:right w:val="single" w:sz="4" w:space="0" w:color="A6A6A6"/>
            </w:tcBorders>
          </w:tcPr>
          <w:p w14:paraId="62D22129" w14:textId="77777777" w:rsidR="00BC24A8" w:rsidRDefault="00000000">
            <w:pPr>
              <w:pStyle w:val="TableParagraph"/>
              <w:spacing w:line="198" w:lineRule="exact"/>
              <w:ind w:left="107"/>
              <w:rPr>
                <w:sz w:val="18"/>
              </w:rPr>
            </w:pPr>
            <w:r>
              <w:rPr>
                <w:sz w:val="18"/>
              </w:rPr>
              <w:t>Governor</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53/2023</w:t>
            </w:r>
            <w:r>
              <w:rPr>
                <w:spacing w:val="-3"/>
                <w:sz w:val="18"/>
              </w:rPr>
              <w:t xml:space="preserve"> </w:t>
            </w:r>
            <w:r>
              <w:rPr>
                <w:sz w:val="18"/>
              </w:rPr>
              <w:t>on</w:t>
            </w:r>
            <w:r>
              <w:rPr>
                <w:spacing w:val="-3"/>
                <w:sz w:val="18"/>
              </w:rPr>
              <w:t xml:space="preserve"> </w:t>
            </w:r>
            <w:r>
              <w:rPr>
                <w:sz w:val="18"/>
              </w:rPr>
              <w:t>RAD</w:t>
            </w:r>
            <w:r>
              <w:rPr>
                <w:spacing w:val="-2"/>
                <w:sz w:val="18"/>
              </w:rPr>
              <w:t xml:space="preserve"> </w:t>
            </w:r>
            <w:r>
              <w:rPr>
                <w:sz w:val="18"/>
              </w:rPr>
              <w:t>PD</w:t>
            </w:r>
            <w:r>
              <w:rPr>
                <w:spacing w:val="-1"/>
                <w:sz w:val="18"/>
              </w:rPr>
              <w:t xml:space="preserve"> </w:t>
            </w:r>
            <w:r>
              <w:rPr>
                <w:sz w:val="18"/>
              </w:rPr>
              <w:t>2024-</w:t>
            </w:r>
            <w:r>
              <w:rPr>
                <w:spacing w:val="-4"/>
                <w:sz w:val="18"/>
              </w:rPr>
              <w:t>2029</w:t>
            </w:r>
          </w:p>
        </w:tc>
        <w:tc>
          <w:tcPr>
            <w:tcW w:w="1275" w:type="dxa"/>
            <w:tcBorders>
              <w:top w:val="single" w:sz="4" w:space="0" w:color="A6A6A6"/>
              <w:left w:val="single" w:sz="4" w:space="0" w:color="A6A6A6"/>
              <w:bottom w:val="single" w:sz="4" w:space="0" w:color="A6A6A6"/>
              <w:right w:val="single" w:sz="4" w:space="0" w:color="A6A6A6"/>
            </w:tcBorders>
          </w:tcPr>
          <w:p w14:paraId="324F1E6D" w14:textId="77777777" w:rsidR="00BC24A8" w:rsidRDefault="00000000">
            <w:pPr>
              <w:pStyle w:val="TableParagraph"/>
              <w:spacing w:line="198" w:lineRule="exact"/>
              <w:ind w:left="106"/>
              <w:rPr>
                <w:sz w:val="18"/>
              </w:rPr>
            </w:pPr>
            <w:r>
              <w:rPr>
                <w:spacing w:val="-4"/>
                <w:sz w:val="18"/>
              </w:rPr>
              <w:t>Aceh</w:t>
            </w:r>
          </w:p>
        </w:tc>
      </w:tr>
      <w:tr w:rsidR="00BC24A8" w14:paraId="381413BC"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144F82DD" w14:textId="77777777" w:rsidR="00BC24A8" w:rsidRDefault="00000000">
            <w:pPr>
              <w:pStyle w:val="TableParagraph"/>
              <w:spacing w:before="1"/>
              <w:ind w:left="92" w:right="171"/>
              <w:jc w:val="center"/>
              <w:rPr>
                <w:sz w:val="18"/>
              </w:rPr>
            </w:pPr>
            <w:r>
              <w:rPr>
                <w:spacing w:val="-5"/>
                <w:sz w:val="18"/>
              </w:rPr>
              <w:t>36</w:t>
            </w:r>
          </w:p>
        </w:tc>
        <w:tc>
          <w:tcPr>
            <w:tcW w:w="7760" w:type="dxa"/>
            <w:tcBorders>
              <w:top w:val="single" w:sz="4" w:space="0" w:color="A6A6A6"/>
              <w:left w:val="single" w:sz="4" w:space="0" w:color="A6A6A6"/>
              <w:bottom w:val="single" w:sz="4" w:space="0" w:color="A6A6A6"/>
              <w:right w:val="single" w:sz="4" w:space="0" w:color="A6A6A6"/>
            </w:tcBorders>
          </w:tcPr>
          <w:p w14:paraId="495C1427" w14:textId="77777777" w:rsidR="00BC24A8" w:rsidRDefault="00000000">
            <w:pPr>
              <w:pStyle w:val="TableParagraph"/>
              <w:spacing w:line="220" w:lineRule="atLeast"/>
              <w:ind w:left="107" w:right="122"/>
              <w:rPr>
                <w:sz w:val="18"/>
              </w:rPr>
            </w:pPr>
            <w:r>
              <w:rPr>
                <w:sz w:val="18"/>
              </w:rPr>
              <w:t>Aceh</w:t>
            </w:r>
            <w:r>
              <w:rPr>
                <w:spacing w:val="-3"/>
                <w:sz w:val="18"/>
              </w:rPr>
              <w:t xml:space="preserve"> </w:t>
            </w: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100.3.2/164/2024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5"/>
                <w:sz w:val="18"/>
              </w:rPr>
              <w:t xml:space="preserve"> </w:t>
            </w:r>
            <w:r>
              <w:rPr>
                <w:sz w:val="18"/>
              </w:rPr>
              <w:t>of</w:t>
            </w:r>
            <w:r>
              <w:rPr>
                <w:spacing w:val="-4"/>
                <w:sz w:val="18"/>
              </w:rPr>
              <w:t xml:space="preserve"> </w:t>
            </w:r>
            <w:r>
              <w:rPr>
                <w:sz w:val="18"/>
              </w:rPr>
              <w:t>the</w:t>
            </w:r>
            <w:r>
              <w:rPr>
                <w:spacing w:val="-3"/>
                <w:sz w:val="18"/>
              </w:rPr>
              <w:t xml:space="preserve"> </w:t>
            </w:r>
            <w:r>
              <w:rPr>
                <w:sz w:val="18"/>
              </w:rPr>
              <w:t>Assistance</w:t>
            </w:r>
            <w:r>
              <w:rPr>
                <w:spacing w:val="-3"/>
                <w:sz w:val="18"/>
              </w:rPr>
              <w:t xml:space="preserve"> </w:t>
            </w:r>
            <w:r>
              <w:rPr>
                <w:sz w:val="18"/>
              </w:rPr>
              <w:t>Team</w:t>
            </w:r>
            <w:r>
              <w:rPr>
                <w:spacing w:val="-4"/>
                <w:sz w:val="18"/>
              </w:rPr>
              <w:t xml:space="preserve"> </w:t>
            </w:r>
            <w:r>
              <w:rPr>
                <w:sz w:val="18"/>
              </w:rPr>
              <w:t>for</w:t>
            </w:r>
            <w:r>
              <w:rPr>
                <w:spacing w:val="-3"/>
                <w:sz w:val="18"/>
              </w:rPr>
              <w:t xml:space="preserve"> </w:t>
            </w:r>
            <w:r>
              <w:rPr>
                <w:sz w:val="18"/>
              </w:rPr>
              <w:t>the</w:t>
            </w:r>
            <w:r>
              <w:rPr>
                <w:spacing w:val="-3"/>
                <w:sz w:val="18"/>
              </w:rPr>
              <w:t xml:space="preserve"> </w:t>
            </w:r>
            <w:r>
              <w:rPr>
                <w:sz w:val="18"/>
              </w:rPr>
              <w:t>Draft Aceh Qanun on Women’s Empowerment and Protection</w:t>
            </w:r>
          </w:p>
        </w:tc>
        <w:tc>
          <w:tcPr>
            <w:tcW w:w="1275" w:type="dxa"/>
            <w:tcBorders>
              <w:top w:val="single" w:sz="4" w:space="0" w:color="A6A6A6"/>
              <w:left w:val="single" w:sz="4" w:space="0" w:color="A6A6A6"/>
              <w:bottom w:val="single" w:sz="4" w:space="0" w:color="A6A6A6"/>
              <w:right w:val="single" w:sz="4" w:space="0" w:color="A6A6A6"/>
            </w:tcBorders>
          </w:tcPr>
          <w:p w14:paraId="6C7DFB06" w14:textId="77777777" w:rsidR="00BC24A8" w:rsidRDefault="00000000">
            <w:pPr>
              <w:pStyle w:val="TableParagraph"/>
              <w:spacing w:before="1"/>
              <w:ind w:left="106"/>
              <w:rPr>
                <w:sz w:val="18"/>
              </w:rPr>
            </w:pPr>
            <w:r>
              <w:rPr>
                <w:spacing w:val="-4"/>
                <w:sz w:val="18"/>
              </w:rPr>
              <w:t>Aceh</w:t>
            </w:r>
          </w:p>
        </w:tc>
      </w:tr>
      <w:tr w:rsidR="00BC24A8" w14:paraId="401AD04F"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7545E531" w14:textId="77777777" w:rsidR="00BC24A8" w:rsidRDefault="00000000">
            <w:pPr>
              <w:pStyle w:val="TableParagraph"/>
              <w:spacing w:line="219" w:lineRule="exact"/>
              <w:ind w:left="92" w:right="171"/>
              <w:jc w:val="center"/>
              <w:rPr>
                <w:sz w:val="18"/>
              </w:rPr>
            </w:pPr>
            <w:r>
              <w:rPr>
                <w:spacing w:val="-5"/>
                <w:sz w:val="18"/>
              </w:rPr>
              <w:t>37</w:t>
            </w:r>
          </w:p>
        </w:tc>
        <w:tc>
          <w:tcPr>
            <w:tcW w:w="7760" w:type="dxa"/>
            <w:tcBorders>
              <w:top w:val="single" w:sz="4" w:space="0" w:color="A6A6A6"/>
              <w:left w:val="single" w:sz="4" w:space="0" w:color="A6A6A6"/>
              <w:bottom w:val="single" w:sz="4" w:space="0" w:color="A6A6A6"/>
              <w:right w:val="single" w:sz="4" w:space="0" w:color="A6A6A6"/>
            </w:tcBorders>
          </w:tcPr>
          <w:p w14:paraId="15767719"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Decree</w:t>
            </w:r>
            <w:r>
              <w:rPr>
                <w:spacing w:val="-2"/>
                <w:sz w:val="18"/>
              </w:rPr>
              <w:t xml:space="preserve"> </w:t>
            </w:r>
            <w:r>
              <w:rPr>
                <w:sz w:val="18"/>
              </w:rPr>
              <w:t>No.</w:t>
            </w:r>
            <w:r>
              <w:rPr>
                <w:spacing w:val="-3"/>
                <w:sz w:val="18"/>
              </w:rPr>
              <w:t xml:space="preserve"> </w:t>
            </w:r>
            <w:r>
              <w:rPr>
                <w:sz w:val="18"/>
              </w:rPr>
              <w:t>100.3.2/166/2024</w:t>
            </w:r>
            <w:r>
              <w:rPr>
                <w:spacing w:val="-3"/>
                <w:sz w:val="18"/>
              </w:rPr>
              <w:t xml:space="preserve"> </w:t>
            </w:r>
            <w:r>
              <w:rPr>
                <w:sz w:val="18"/>
              </w:rPr>
              <w:t>on</w:t>
            </w:r>
            <w:r>
              <w:rPr>
                <w:spacing w:val="-2"/>
                <w:sz w:val="18"/>
              </w:rPr>
              <w:t xml:space="preserve"> </w:t>
            </w:r>
            <w:r>
              <w:rPr>
                <w:sz w:val="18"/>
              </w:rPr>
              <w:t>the</w:t>
            </w:r>
            <w:r>
              <w:rPr>
                <w:spacing w:val="-2"/>
                <w:sz w:val="18"/>
              </w:rPr>
              <w:t xml:space="preserve"> </w:t>
            </w:r>
            <w:r>
              <w:rPr>
                <w:sz w:val="18"/>
              </w:rPr>
              <w:t>Establishment</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Assistance</w:t>
            </w:r>
            <w:r>
              <w:rPr>
                <w:spacing w:val="-3"/>
                <w:sz w:val="18"/>
              </w:rPr>
              <w:t xml:space="preserve"> </w:t>
            </w:r>
            <w:r>
              <w:rPr>
                <w:sz w:val="18"/>
              </w:rPr>
              <w:t>Team</w:t>
            </w:r>
            <w:r>
              <w:rPr>
                <w:spacing w:val="-3"/>
                <w:sz w:val="18"/>
              </w:rPr>
              <w:t xml:space="preserve"> </w:t>
            </w:r>
            <w:r>
              <w:rPr>
                <w:sz w:val="18"/>
              </w:rPr>
              <w:t>for</w:t>
            </w:r>
            <w:r>
              <w:rPr>
                <w:spacing w:val="-2"/>
                <w:sz w:val="18"/>
              </w:rPr>
              <w:t xml:space="preserve"> </w:t>
            </w:r>
            <w:r>
              <w:rPr>
                <w:sz w:val="18"/>
              </w:rPr>
              <w:t>the</w:t>
            </w:r>
            <w:r>
              <w:rPr>
                <w:spacing w:val="-2"/>
                <w:sz w:val="18"/>
              </w:rPr>
              <w:t xml:space="preserve"> Draft</w:t>
            </w:r>
          </w:p>
          <w:p w14:paraId="7CC3BBF1" w14:textId="77777777" w:rsidR="00BC24A8" w:rsidRDefault="00000000">
            <w:pPr>
              <w:pStyle w:val="TableParagraph"/>
              <w:spacing w:before="1" w:line="199" w:lineRule="exact"/>
              <w:ind w:left="107"/>
              <w:rPr>
                <w:sz w:val="18"/>
              </w:rPr>
            </w:pPr>
            <w:r>
              <w:rPr>
                <w:sz w:val="18"/>
              </w:rPr>
              <w:t>Qanun</w:t>
            </w:r>
            <w:r>
              <w:rPr>
                <w:spacing w:val="-2"/>
                <w:sz w:val="18"/>
              </w:rPr>
              <w:t xml:space="preserve"> </w:t>
            </w:r>
            <w:r>
              <w:rPr>
                <w:sz w:val="18"/>
              </w:rPr>
              <w:t>on</w:t>
            </w:r>
            <w:r>
              <w:rPr>
                <w:spacing w:val="-1"/>
                <w:sz w:val="18"/>
              </w:rPr>
              <w:t xml:space="preserve"> </w:t>
            </w:r>
            <w:r>
              <w:rPr>
                <w:sz w:val="18"/>
              </w:rPr>
              <w:t>the</w:t>
            </w:r>
            <w:r>
              <w:rPr>
                <w:spacing w:val="-2"/>
                <w:sz w:val="18"/>
              </w:rPr>
              <w:t xml:space="preserve"> </w:t>
            </w:r>
            <w:r>
              <w:rPr>
                <w:sz w:val="18"/>
              </w:rPr>
              <w:t>Fulfillment</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Rights</w:t>
            </w:r>
            <w:r>
              <w:rPr>
                <w:spacing w:val="-1"/>
                <w:sz w:val="18"/>
              </w:rPr>
              <w:t xml:space="preserve"> </w:t>
            </w:r>
            <w:r>
              <w:rPr>
                <w:sz w:val="18"/>
              </w:rPr>
              <w:t>of</w:t>
            </w:r>
            <w:r>
              <w:rPr>
                <w:spacing w:val="-2"/>
                <w:sz w:val="18"/>
              </w:rPr>
              <w:t xml:space="preserve"> </w:t>
            </w:r>
            <w:r>
              <w:rPr>
                <w:sz w:val="18"/>
              </w:rPr>
              <w:t>Persons</w:t>
            </w:r>
            <w:r>
              <w:rPr>
                <w:spacing w:val="-2"/>
                <w:sz w:val="18"/>
              </w:rPr>
              <w:t xml:space="preserve"> </w:t>
            </w:r>
            <w:r>
              <w:rPr>
                <w:sz w:val="18"/>
              </w:rPr>
              <w:t>with</w:t>
            </w:r>
            <w:r>
              <w:rPr>
                <w:spacing w:val="-1"/>
                <w:sz w:val="18"/>
              </w:rPr>
              <w:t xml:space="preserve"> </w:t>
            </w:r>
            <w:r>
              <w:rPr>
                <w:spacing w:val="-2"/>
                <w:sz w:val="18"/>
              </w:rPr>
              <w:t>Disabilities</w:t>
            </w:r>
          </w:p>
        </w:tc>
        <w:tc>
          <w:tcPr>
            <w:tcW w:w="1275" w:type="dxa"/>
            <w:tcBorders>
              <w:top w:val="single" w:sz="4" w:space="0" w:color="A6A6A6"/>
              <w:left w:val="single" w:sz="4" w:space="0" w:color="A6A6A6"/>
              <w:bottom w:val="single" w:sz="4" w:space="0" w:color="A6A6A6"/>
              <w:right w:val="single" w:sz="4" w:space="0" w:color="A6A6A6"/>
            </w:tcBorders>
          </w:tcPr>
          <w:p w14:paraId="7C0DFFCA" w14:textId="77777777" w:rsidR="00BC24A8" w:rsidRDefault="00000000">
            <w:pPr>
              <w:pStyle w:val="TableParagraph"/>
              <w:spacing w:line="219" w:lineRule="exact"/>
              <w:ind w:left="106"/>
              <w:rPr>
                <w:sz w:val="18"/>
              </w:rPr>
            </w:pPr>
            <w:r>
              <w:rPr>
                <w:spacing w:val="-4"/>
                <w:sz w:val="18"/>
              </w:rPr>
              <w:t>Aceh</w:t>
            </w:r>
          </w:p>
        </w:tc>
      </w:tr>
      <w:tr w:rsidR="00BC24A8" w14:paraId="575C47E1"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5FB63E24" w14:textId="77777777" w:rsidR="00BC24A8" w:rsidRDefault="00000000">
            <w:pPr>
              <w:pStyle w:val="TableParagraph"/>
              <w:spacing w:before="1" w:line="218" w:lineRule="exact"/>
              <w:ind w:left="92" w:right="171"/>
              <w:jc w:val="center"/>
              <w:rPr>
                <w:sz w:val="18"/>
              </w:rPr>
            </w:pPr>
            <w:r>
              <w:rPr>
                <w:spacing w:val="-5"/>
                <w:sz w:val="18"/>
              </w:rPr>
              <w:t>38</w:t>
            </w:r>
          </w:p>
        </w:tc>
        <w:tc>
          <w:tcPr>
            <w:tcW w:w="7760" w:type="dxa"/>
            <w:tcBorders>
              <w:top w:val="single" w:sz="4" w:space="0" w:color="A6A6A6"/>
              <w:left w:val="single" w:sz="4" w:space="0" w:color="A6A6A6"/>
              <w:bottom w:val="single" w:sz="4" w:space="0" w:color="A6A6A6"/>
              <w:right w:val="single" w:sz="4" w:space="0" w:color="A6A6A6"/>
            </w:tcBorders>
          </w:tcPr>
          <w:p w14:paraId="6D7AC3F1" w14:textId="77777777" w:rsidR="00BC24A8" w:rsidRDefault="00000000">
            <w:pPr>
              <w:pStyle w:val="TableParagraph"/>
              <w:spacing w:before="1" w:line="218" w:lineRule="exact"/>
              <w:ind w:left="107"/>
              <w:rPr>
                <w:sz w:val="18"/>
              </w:rPr>
            </w:pPr>
            <w:r>
              <w:rPr>
                <w:sz w:val="18"/>
              </w:rPr>
              <w:t>Aceh</w:t>
            </w:r>
            <w:r>
              <w:rPr>
                <w:spacing w:val="-5"/>
                <w:sz w:val="18"/>
              </w:rPr>
              <w:t xml:space="preserve"> </w:t>
            </w:r>
            <w:r>
              <w:rPr>
                <w:sz w:val="18"/>
              </w:rPr>
              <w:t>Qanun</w:t>
            </w:r>
            <w:r>
              <w:rPr>
                <w:spacing w:val="-2"/>
                <w:sz w:val="18"/>
              </w:rPr>
              <w:t xml:space="preserve"> </w:t>
            </w:r>
            <w:r>
              <w:rPr>
                <w:sz w:val="18"/>
              </w:rPr>
              <w:t>No.</w:t>
            </w:r>
            <w:r>
              <w:rPr>
                <w:spacing w:val="-3"/>
                <w:sz w:val="18"/>
              </w:rPr>
              <w:t xml:space="preserve"> </w:t>
            </w:r>
            <w:r>
              <w:rPr>
                <w:sz w:val="18"/>
              </w:rPr>
              <w:t>4/2025</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Protection</w:t>
            </w:r>
            <w:r>
              <w:rPr>
                <w:spacing w:val="-2"/>
                <w:sz w:val="18"/>
              </w:rPr>
              <w:t xml:space="preserve"> </w:t>
            </w:r>
            <w:r>
              <w:rPr>
                <w:sz w:val="18"/>
              </w:rPr>
              <w:t>of</w:t>
            </w:r>
            <w:r>
              <w:rPr>
                <w:spacing w:val="-3"/>
                <w:sz w:val="18"/>
              </w:rPr>
              <w:t xml:space="preserve"> </w:t>
            </w:r>
            <w:r>
              <w:rPr>
                <w:sz w:val="18"/>
              </w:rPr>
              <w:t>Women’s</w:t>
            </w:r>
            <w:r>
              <w:rPr>
                <w:spacing w:val="-2"/>
                <w:sz w:val="18"/>
              </w:rPr>
              <w:t xml:space="preserve"> Rights</w:t>
            </w:r>
          </w:p>
        </w:tc>
        <w:tc>
          <w:tcPr>
            <w:tcW w:w="1275" w:type="dxa"/>
            <w:tcBorders>
              <w:top w:val="single" w:sz="4" w:space="0" w:color="A6A6A6"/>
              <w:left w:val="single" w:sz="4" w:space="0" w:color="A6A6A6"/>
              <w:bottom w:val="single" w:sz="4" w:space="0" w:color="A6A6A6"/>
              <w:right w:val="single" w:sz="4" w:space="0" w:color="A6A6A6"/>
            </w:tcBorders>
          </w:tcPr>
          <w:p w14:paraId="19BBDEBA" w14:textId="77777777" w:rsidR="00BC24A8" w:rsidRDefault="00000000">
            <w:pPr>
              <w:pStyle w:val="TableParagraph"/>
              <w:spacing w:before="1" w:line="218" w:lineRule="exact"/>
              <w:ind w:left="106"/>
              <w:rPr>
                <w:sz w:val="18"/>
              </w:rPr>
            </w:pPr>
            <w:r>
              <w:rPr>
                <w:spacing w:val="-4"/>
                <w:sz w:val="18"/>
              </w:rPr>
              <w:t>Aceh</w:t>
            </w:r>
          </w:p>
        </w:tc>
      </w:tr>
      <w:tr w:rsidR="00BC24A8" w14:paraId="7579488E"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0A3E796E" w14:textId="77777777" w:rsidR="00BC24A8" w:rsidRDefault="00000000">
            <w:pPr>
              <w:pStyle w:val="TableParagraph"/>
              <w:spacing w:before="1" w:line="218" w:lineRule="exact"/>
              <w:ind w:left="92" w:right="171"/>
              <w:jc w:val="center"/>
              <w:rPr>
                <w:sz w:val="18"/>
              </w:rPr>
            </w:pPr>
            <w:r>
              <w:rPr>
                <w:spacing w:val="-5"/>
                <w:sz w:val="18"/>
              </w:rPr>
              <w:t>39</w:t>
            </w:r>
          </w:p>
        </w:tc>
        <w:tc>
          <w:tcPr>
            <w:tcW w:w="7760" w:type="dxa"/>
            <w:tcBorders>
              <w:top w:val="single" w:sz="4" w:space="0" w:color="A6A6A6"/>
              <w:left w:val="single" w:sz="4" w:space="0" w:color="A6A6A6"/>
              <w:bottom w:val="single" w:sz="4" w:space="0" w:color="A6A6A6"/>
              <w:right w:val="single" w:sz="4" w:space="0" w:color="A6A6A6"/>
            </w:tcBorders>
          </w:tcPr>
          <w:p w14:paraId="19C519A6" w14:textId="77777777" w:rsidR="00BC24A8" w:rsidRDefault="00000000">
            <w:pPr>
              <w:pStyle w:val="TableParagraph"/>
              <w:spacing w:before="1" w:line="218" w:lineRule="exact"/>
              <w:ind w:left="107"/>
              <w:rPr>
                <w:sz w:val="18"/>
              </w:rPr>
            </w:pPr>
            <w:r>
              <w:rPr>
                <w:sz w:val="18"/>
              </w:rPr>
              <w:t>Regional</w:t>
            </w:r>
            <w:r>
              <w:rPr>
                <w:spacing w:val="-3"/>
                <w:sz w:val="18"/>
              </w:rPr>
              <w:t xml:space="preserve"> </w:t>
            </w:r>
            <w:r>
              <w:rPr>
                <w:sz w:val="18"/>
              </w:rPr>
              <w:t>Regulation/Qanun</w:t>
            </w:r>
            <w:r>
              <w:rPr>
                <w:spacing w:val="-2"/>
                <w:sz w:val="18"/>
              </w:rPr>
              <w:t xml:space="preserve"> </w:t>
            </w:r>
            <w:r>
              <w:rPr>
                <w:sz w:val="18"/>
              </w:rPr>
              <w:t>No.</w:t>
            </w:r>
            <w:r>
              <w:rPr>
                <w:spacing w:val="-3"/>
                <w:sz w:val="18"/>
              </w:rPr>
              <w:t xml:space="preserve"> </w:t>
            </w:r>
            <w:r>
              <w:rPr>
                <w:sz w:val="18"/>
              </w:rPr>
              <w:t>2/2025</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Fulfillment</w:t>
            </w:r>
            <w:r>
              <w:rPr>
                <w:spacing w:val="-1"/>
                <w:sz w:val="18"/>
              </w:rPr>
              <w:t xml:space="preserve"> </w:t>
            </w:r>
            <w:r>
              <w:rPr>
                <w:sz w:val="18"/>
              </w:rPr>
              <w:t>of</w:t>
            </w:r>
            <w:r>
              <w:rPr>
                <w:spacing w:val="-3"/>
                <w:sz w:val="18"/>
              </w:rPr>
              <w:t xml:space="preserve"> </w:t>
            </w:r>
            <w:r>
              <w:rPr>
                <w:sz w:val="18"/>
              </w:rPr>
              <w:t>the</w:t>
            </w:r>
            <w:r>
              <w:rPr>
                <w:spacing w:val="-2"/>
                <w:sz w:val="18"/>
              </w:rPr>
              <w:t xml:space="preserve"> </w:t>
            </w:r>
            <w:r>
              <w:rPr>
                <w:sz w:val="18"/>
              </w:rPr>
              <w:t>Rights</w:t>
            </w:r>
            <w:r>
              <w:rPr>
                <w:spacing w:val="-2"/>
                <w:sz w:val="18"/>
              </w:rPr>
              <w:t xml:space="preserve"> </w:t>
            </w:r>
            <w:r>
              <w:rPr>
                <w:sz w:val="18"/>
              </w:rPr>
              <w:t>of</w:t>
            </w:r>
            <w:r>
              <w:rPr>
                <w:spacing w:val="-3"/>
                <w:sz w:val="18"/>
              </w:rPr>
              <w:t xml:space="preserve"> </w:t>
            </w:r>
            <w:r>
              <w:rPr>
                <w:sz w:val="18"/>
              </w:rPr>
              <w:t>Persons</w:t>
            </w:r>
            <w:r>
              <w:rPr>
                <w:spacing w:val="-2"/>
                <w:sz w:val="18"/>
              </w:rPr>
              <w:t xml:space="preserve"> </w:t>
            </w:r>
            <w:r>
              <w:rPr>
                <w:sz w:val="18"/>
              </w:rPr>
              <w:t>with</w:t>
            </w:r>
            <w:r>
              <w:rPr>
                <w:spacing w:val="-1"/>
                <w:sz w:val="18"/>
              </w:rPr>
              <w:t xml:space="preserve"> </w:t>
            </w:r>
            <w:r>
              <w:rPr>
                <w:spacing w:val="-2"/>
                <w:sz w:val="18"/>
              </w:rPr>
              <w:t>Disabilities</w:t>
            </w:r>
          </w:p>
        </w:tc>
        <w:tc>
          <w:tcPr>
            <w:tcW w:w="1275" w:type="dxa"/>
            <w:tcBorders>
              <w:top w:val="single" w:sz="4" w:space="0" w:color="A6A6A6"/>
              <w:left w:val="single" w:sz="4" w:space="0" w:color="A6A6A6"/>
              <w:bottom w:val="single" w:sz="4" w:space="0" w:color="A6A6A6"/>
              <w:right w:val="single" w:sz="4" w:space="0" w:color="A6A6A6"/>
            </w:tcBorders>
          </w:tcPr>
          <w:p w14:paraId="3975C0FC" w14:textId="77777777" w:rsidR="00BC24A8" w:rsidRDefault="00000000">
            <w:pPr>
              <w:pStyle w:val="TableParagraph"/>
              <w:spacing w:before="1" w:line="218" w:lineRule="exact"/>
              <w:ind w:left="106"/>
              <w:rPr>
                <w:sz w:val="18"/>
              </w:rPr>
            </w:pPr>
            <w:r>
              <w:rPr>
                <w:spacing w:val="-4"/>
                <w:sz w:val="18"/>
              </w:rPr>
              <w:t>Aceh</w:t>
            </w:r>
          </w:p>
        </w:tc>
      </w:tr>
      <w:tr w:rsidR="00BC24A8" w14:paraId="503280F1"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48E15497" w14:textId="77777777" w:rsidR="00BC24A8" w:rsidRDefault="00000000">
            <w:pPr>
              <w:pStyle w:val="TableParagraph"/>
              <w:spacing w:before="1" w:line="218" w:lineRule="exact"/>
              <w:ind w:left="92" w:right="171"/>
              <w:jc w:val="center"/>
              <w:rPr>
                <w:sz w:val="18"/>
              </w:rPr>
            </w:pPr>
            <w:r>
              <w:rPr>
                <w:spacing w:val="-5"/>
                <w:sz w:val="18"/>
              </w:rPr>
              <w:t>40</w:t>
            </w:r>
          </w:p>
        </w:tc>
        <w:tc>
          <w:tcPr>
            <w:tcW w:w="7760" w:type="dxa"/>
            <w:tcBorders>
              <w:top w:val="single" w:sz="4" w:space="0" w:color="A6A6A6"/>
              <w:left w:val="single" w:sz="4" w:space="0" w:color="A6A6A6"/>
              <w:bottom w:val="single" w:sz="4" w:space="0" w:color="A6A6A6"/>
              <w:right w:val="single" w:sz="4" w:space="0" w:color="A6A6A6"/>
            </w:tcBorders>
          </w:tcPr>
          <w:p w14:paraId="0776F901" w14:textId="77777777" w:rsidR="00BC24A8" w:rsidRDefault="00000000">
            <w:pPr>
              <w:pStyle w:val="TableParagraph"/>
              <w:spacing w:before="1" w:line="218" w:lineRule="exact"/>
              <w:ind w:left="107"/>
              <w:rPr>
                <w:sz w:val="18"/>
              </w:rPr>
            </w:pPr>
            <w:r>
              <w:rPr>
                <w:sz w:val="18"/>
              </w:rPr>
              <w:t>Aceh</w:t>
            </w:r>
            <w:r>
              <w:rPr>
                <w:spacing w:val="-5"/>
                <w:sz w:val="18"/>
              </w:rPr>
              <w:t xml:space="preserve"> </w:t>
            </w:r>
            <w:r>
              <w:rPr>
                <w:sz w:val="18"/>
              </w:rPr>
              <w:t>Governor</w:t>
            </w:r>
            <w:r>
              <w:rPr>
                <w:spacing w:val="-2"/>
                <w:sz w:val="18"/>
              </w:rPr>
              <w:t xml:space="preserve"> </w:t>
            </w:r>
            <w:r>
              <w:rPr>
                <w:sz w:val="18"/>
              </w:rPr>
              <w:t>Regulation</w:t>
            </w:r>
            <w:r>
              <w:rPr>
                <w:spacing w:val="-3"/>
                <w:sz w:val="18"/>
              </w:rPr>
              <w:t xml:space="preserve"> </w:t>
            </w:r>
            <w:r>
              <w:rPr>
                <w:sz w:val="18"/>
              </w:rPr>
              <w:t>No.</w:t>
            </w:r>
            <w:r>
              <w:rPr>
                <w:spacing w:val="-3"/>
                <w:sz w:val="18"/>
              </w:rPr>
              <w:t xml:space="preserve"> </w:t>
            </w:r>
            <w:r>
              <w:rPr>
                <w:sz w:val="18"/>
              </w:rPr>
              <w:t>12/2025</w:t>
            </w:r>
            <w:r>
              <w:rPr>
                <w:spacing w:val="-2"/>
                <w:sz w:val="18"/>
              </w:rPr>
              <w:t xml:space="preserve"> </w:t>
            </w:r>
            <w:r>
              <w:rPr>
                <w:sz w:val="18"/>
              </w:rPr>
              <w:t>on</w:t>
            </w:r>
            <w:r>
              <w:rPr>
                <w:spacing w:val="-2"/>
                <w:sz w:val="18"/>
              </w:rPr>
              <w:t xml:space="preserve"> </w:t>
            </w:r>
            <w:r>
              <w:rPr>
                <w:sz w:val="18"/>
              </w:rPr>
              <w:t>Community</w:t>
            </w:r>
            <w:r>
              <w:rPr>
                <w:spacing w:val="-3"/>
                <w:sz w:val="18"/>
              </w:rPr>
              <w:t xml:space="preserve"> </w:t>
            </w:r>
            <w:r>
              <w:rPr>
                <w:sz w:val="18"/>
              </w:rPr>
              <w:t>Participation</w:t>
            </w:r>
            <w:r>
              <w:rPr>
                <w:spacing w:val="-2"/>
                <w:sz w:val="18"/>
              </w:rPr>
              <w:t xml:space="preserve"> </w:t>
            </w:r>
            <w:r>
              <w:rPr>
                <w:sz w:val="18"/>
              </w:rPr>
              <w:t>in</w:t>
            </w:r>
            <w:r>
              <w:rPr>
                <w:spacing w:val="-2"/>
                <w:sz w:val="18"/>
              </w:rPr>
              <w:t xml:space="preserve"> Development</w:t>
            </w:r>
          </w:p>
        </w:tc>
        <w:tc>
          <w:tcPr>
            <w:tcW w:w="1275" w:type="dxa"/>
            <w:tcBorders>
              <w:top w:val="single" w:sz="4" w:space="0" w:color="A6A6A6"/>
              <w:left w:val="single" w:sz="4" w:space="0" w:color="A6A6A6"/>
              <w:bottom w:val="single" w:sz="4" w:space="0" w:color="A6A6A6"/>
              <w:right w:val="single" w:sz="4" w:space="0" w:color="A6A6A6"/>
            </w:tcBorders>
          </w:tcPr>
          <w:p w14:paraId="7A3B4E29" w14:textId="77777777" w:rsidR="00BC24A8" w:rsidRDefault="00000000">
            <w:pPr>
              <w:pStyle w:val="TableParagraph"/>
              <w:spacing w:before="1" w:line="218" w:lineRule="exact"/>
              <w:ind w:left="106"/>
              <w:rPr>
                <w:sz w:val="18"/>
              </w:rPr>
            </w:pPr>
            <w:r>
              <w:rPr>
                <w:spacing w:val="-4"/>
                <w:sz w:val="18"/>
              </w:rPr>
              <w:t>Aceh</w:t>
            </w:r>
          </w:p>
        </w:tc>
      </w:tr>
      <w:tr w:rsidR="00BC24A8" w14:paraId="38FFCC18" w14:textId="77777777">
        <w:trPr>
          <w:trHeight w:val="242"/>
        </w:trPr>
        <w:tc>
          <w:tcPr>
            <w:tcW w:w="490" w:type="dxa"/>
            <w:tcBorders>
              <w:top w:val="single" w:sz="4" w:space="0" w:color="A6A6A6"/>
              <w:left w:val="single" w:sz="4" w:space="0" w:color="A6A6A6"/>
              <w:bottom w:val="single" w:sz="4" w:space="0" w:color="A6A6A6"/>
              <w:right w:val="single" w:sz="4" w:space="0" w:color="A6A6A6"/>
            </w:tcBorders>
          </w:tcPr>
          <w:p w14:paraId="3C8975BE" w14:textId="77777777" w:rsidR="00BC24A8" w:rsidRDefault="00000000">
            <w:pPr>
              <w:pStyle w:val="TableParagraph"/>
              <w:spacing w:before="1"/>
              <w:ind w:left="92" w:right="171"/>
              <w:jc w:val="center"/>
              <w:rPr>
                <w:sz w:val="18"/>
              </w:rPr>
            </w:pPr>
            <w:r>
              <w:rPr>
                <w:spacing w:val="-5"/>
                <w:sz w:val="18"/>
              </w:rPr>
              <w:t>41</w:t>
            </w:r>
          </w:p>
        </w:tc>
        <w:tc>
          <w:tcPr>
            <w:tcW w:w="7760" w:type="dxa"/>
            <w:tcBorders>
              <w:top w:val="single" w:sz="4" w:space="0" w:color="A6A6A6"/>
              <w:left w:val="single" w:sz="4" w:space="0" w:color="A6A6A6"/>
              <w:bottom w:val="single" w:sz="4" w:space="0" w:color="A6A6A6"/>
              <w:right w:val="single" w:sz="4" w:space="0" w:color="A6A6A6"/>
            </w:tcBorders>
          </w:tcPr>
          <w:p w14:paraId="0076CBD9" w14:textId="77777777" w:rsidR="00BC24A8" w:rsidRDefault="00000000">
            <w:pPr>
              <w:pStyle w:val="TableParagraph"/>
              <w:spacing w:before="1"/>
              <w:ind w:left="107"/>
              <w:rPr>
                <w:sz w:val="18"/>
              </w:rPr>
            </w:pPr>
            <w:r>
              <w:rPr>
                <w:sz w:val="18"/>
              </w:rPr>
              <w:t>Regional</w:t>
            </w:r>
            <w:r>
              <w:rPr>
                <w:spacing w:val="-4"/>
                <w:sz w:val="18"/>
              </w:rPr>
              <w:t xml:space="preserve"> </w:t>
            </w:r>
            <w:r>
              <w:rPr>
                <w:sz w:val="18"/>
              </w:rPr>
              <w:t>Regulation/Qanun</w:t>
            </w:r>
            <w:r>
              <w:rPr>
                <w:spacing w:val="-3"/>
                <w:sz w:val="18"/>
              </w:rPr>
              <w:t xml:space="preserve"> </w:t>
            </w:r>
            <w:r>
              <w:rPr>
                <w:sz w:val="18"/>
              </w:rPr>
              <w:t>No.</w:t>
            </w:r>
            <w:r>
              <w:rPr>
                <w:spacing w:val="-3"/>
                <w:sz w:val="18"/>
              </w:rPr>
              <w:t xml:space="preserve"> </w:t>
            </w:r>
            <w:r>
              <w:rPr>
                <w:sz w:val="18"/>
              </w:rPr>
              <w:t>4/2024</w:t>
            </w:r>
            <w:r>
              <w:rPr>
                <w:spacing w:val="-3"/>
                <w:sz w:val="18"/>
              </w:rPr>
              <w:t xml:space="preserve"> </w:t>
            </w:r>
            <w:r>
              <w:rPr>
                <w:sz w:val="18"/>
              </w:rPr>
              <w:t>on</w:t>
            </w:r>
            <w:r>
              <w:rPr>
                <w:spacing w:val="-3"/>
                <w:sz w:val="18"/>
              </w:rPr>
              <w:t xml:space="preserve"> </w:t>
            </w:r>
            <w:r>
              <w:rPr>
                <w:sz w:val="18"/>
              </w:rPr>
              <w:t>Regional</w:t>
            </w:r>
            <w:r>
              <w:rPr>
                <w:spacing w:val="-2"/>
                <w:sz w:val="18"/>
              </w:rPr>
              <w:t xml:space="preserve"> </w:t>
            </w:r>
            <w:r>
              <w:rPr>
                <w:sz w:val="18"/>
              </w:rPr>
              <w:t>Taxes</w:t>
            </w:r>
            <w:r>
              <w:rPr>
                <w:spacing w:val="-2"/>
                <w:sz w:val="18"/>
              </w:rPr>
              <w:t xml:space="preserve"> </w:t>
            </w:r>
            <w:r>
              <w:rPr>
                <w:sz w:val="18"/>
              </w:rPr>
              <w:t>and</w:t>
            </w:r>
            <w:r>
              <w:rPr>
                <w:spacing w:val="-3"/>
                <w:sz w:val="18"/>
              </w:rPr>
              <w:t xml:space="preserve"> </w:t>
            </w:r>
            <w:r>
              <w:rPr>
                <w:sz w:val="18"/>
              </w:rPr>
              <w:t>Levies</w:t>
            </w:r>
            <w:r>
              <w:rPr>
                <w:spacing w:val="-2"/>
                <w:sz w:val="18"/>
              </w:rPr>
              <w:t xml:space="preserve"> (PDRD)</w:t>
            </w:r>
          </w:p>
        </w:tc>
        <w:tc>
          <w:tcPr>
            <w:tcW w:w="1275" w:type="dxa"/>
            <w:tcBorders>
              <w:top w:val="single" w:sz="4" w:space="0" w:color="A6A6A6"/>
              <w:left w:val="single" w:sz="4" w:space="0" w:color="A6A6A6"/>
              <w:bottom w:val="single" w:sz="4" w:space="0" w:color="A6A6A6"/>
              <w:right w:val="single" w:sz="4" w:space="0" w:color="A6A6A6"/>
            </w:tcBorders>
          </w:tcPr>
          <w:p w14:paraId="687704CB" w14:textId="77777777" w:rsidR="00BC24A8" w:rsidRDefault="00000000">
            <w:pPr>
              <w:pStyle w:val="TableParagraph"/>
              <w:spacing w:before="1"/>
              <w:ind w:left="106"/>
              <w:rPr>
                <w:sz w:val="18"/>
              </w:rPr>
            </w:pPr>
            <w:r>
              <w:rPr>
                <w:spacing w:val="-4"/>
                <w:sz w:val="18"/>
              </w:rPr>
              <w:t>Aceh</w:t>
            </w:r>
          </w:p>
        </w:tc>
      </w:tr>
      <w:tr w:rsidR="00BC24A8" w14:paraId="79243237"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48458CAF" w14:textId="77777777" w:rsidR="00BC24A8" w:rsidRDefault="00000000">
            <w:pPr>
              <w:pStyle w:val="TableParagraph"/>
              <w:spacing w:line="219" w:lineRule="exact"/>
              <w:ind w:left="92" w:right="171"/>
              <w:jc w:val="center"/>
              <w:rPr>
                <w:sz w:val="18"/>
              </w:rPr>
            </w:pPr>
            <w:r>
              <w:rPr>
                <w:spacing w:val="-5"/>
                <w:sz w:val="18"/>
              </w:rPr>
              <w:t>42</w:t>
            </w:r>
          </w:p>
        </w:tc>
        <w:tc>
          <w:tcPr>
            <w:tcW w:w="7760" w:type="dxa"/>
            <w:tcBorders>
              <w:top w:val="single" w:sz="4" w:space="0" w:color="A6A6A6"/>
              <w:left w:val="single" w:sz="4" w:space="0" w:color="A6A6A6"/>
              <w:bottom w:val="single" w:sz="4" w:space="0" w:color="A6A6A6"/>
              <w:right w:val="single" w:sz="4" w:space="0" w:color="A6A6A6"/>
            </w:tcBorders>
          </w:tcPr>
          <w:p w14:paraId="2F32F8DB" w14:textId="77777777" w:rsidR="00BC24A8" w:rsidRDefault="00000000">
            <w:pPr>
              <w:pStyle w:val="TableParagraph"/>
              <w:spacing w:line="219" w:lineRule="exact"/>
              <w:ind w:left="107"/>
              <w:rPr>
                <w:sz w:val="18"/>
              </w:rPr>
            </w:pPr>
            <w:r>
              <w:rPr>
                <w:sz w:val="18"/>
              </w:rPr>
              <w:t>Aceh</w:t>
            </w:r>
            <w:r>
              <w:rPr>
                <w:spacing w:val="-5"/>
                <w:sz w:val="18"/>
              </w:rPr>
              <w:t xml:space="preserve"> </w:t>
            </w:r>
            <w:r>
              <w:rPr>
                <w:sz w:val="18"/>
              </w:rPr>
              <w:t>Qanun</w:t>
            </w:r>
            <w:r>
              <w:rPr>
                <w:spacing w:val="-2"/>
                <w:sz w:val="18"/>
              </w:rPr>
              <w:t xml:space="preserve"> </w:t>
            </w:r>
            <w:r>
              <w:rPr>
                <w:sz w:val="18"/>
              </w:rPr>
              <w:t>No.</w:t>
            </w:r>
            <w:r>
              <w:rPr>
                <w:spacing w:val="-4"/>
                <w:sz w:val="18"/>
              </w:rPr>
              <w:t xml:space="preserve"> </w:t>
            </w:r>
            <w:r>
              <w:rPr>
                <w:sz w:val="18"/>
              </w:rPr>
              <w:t>8/2025</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Regional</w:t>
            </w:r>
            <w:r>
              <w:rPr>
                <w:spacing w:val="-2"/>
                <w:sz w:val="18"/>
              </w:rPr>
              <w:t xml:space="preserve"> </w:t>
            </w:r>
            <w:r>
              <w:rPr>
                <w:sz w:val="18"/>
              </w:rPr>
              <w:t>Long-Term</w:t>
            </w:r>
            <w:r>
              <w:rPr>
                <w:spacing w:val="-3"/>
                <w:sz w:val="18"/>
              </w:rPr>
              <w:t xml:space="preserve"> </w:t>
            </w:r>
            <w:r>
              <w:rPr>
                <w:sz w:val="18"/>
              </w:rPr>
              <w:t>Development</w:t>
            </w:r>
            <w:r>
              <w:rPr>
                <w:spacing w:val="-3"/>
                <w:sz w:val="18"/>
              </w:rPr>
              <w:t xml:space="preserve"> </w:t>
            </w:r>
            <w:r>
              <w:rPr>
                <w:sz w:val="18"/>
              </w:rPr>
              <w:t>Plan</w:t>
            </w:r>
            <w:r>
              <w:rPr>
                <w:spacing w:val="-2"/>
                <w:sz w:val="18"/>
              </w:rPr>
              <w:t xml:space="preserve"> </w:t>
            </w:r>
            <w:r>
              <w:rPr>
                <w:sz w:val="18"/>
              </w:rPr>
              <w:t>(RPJPA)</w:t>
            </w:r>
            <w:r>
              <w:rPr>
                <w:spacing w:val="-4"/>
                <w:sz w:val="18"/>
              </w:rPr>
              <w:t xml:space="preserve"> </w:t>
            </w:r>
            <w:r>
              <w:rPr>
                <w:sz w:val="18"/>
              </w:rPr>
              <w:t>2025-2045</w:t>
            </w:r>
            <w:r>
              <w:rPr>
                <w:spacing w:val="-2"/>
                <w:sz w:val="18"/>
              </w:rPr>
              <w:t xml:space="preserve"> </w:t>
            </w:r>
            <w:r>
              <w:rPr>
                <w:sz w:val="18"/>
              </w:rPr>
              <w:t>of</w:t>
            </w:r>
            <w:r>
              <w:rPr>
                <w:spacing w:val="-3"/>
                <w:sz w:val="18"/>
              </w:rPr>
              <w:t xml:space="preserve"> </w:t>
            </w:r>
            <w:r>
              <w:rPr>
                <w:spacing w:val="-4"/>
                <w:sz w:val="18"/>
              </w:rPr>
              <w:t>Aceh</w:t>
            </w:r>
          </w:p>
          <w:p w14:paraId="5181B6E2" w14:textId="77777777" w:rsidR="00BC24A8" w:rsidRDefault="00000000">
            <w:pPr>
              <w:pStyle w:val="TableParagraph"/>
              <w:spacing w:before="1" w:line="199" w:lineRule="exact"/>
              <w:ind w:left="107"/>
              <w:rPr>
                <w:sz w:val="18"/>
              </w:rPr>
            </w:pP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7851E752" w14:textId="77777777" w:rsidR="00BC24A8" w:rsidRDefault="00000000">
            <w:pPr>
              <w:pStyle w:val="TableParagraph"/>
              <w:spacing w:line="219" w:lineRule="exact"/>
              <w:ind w:left="106"/>
              <w:rPr>
                <w:sz w:val="18"/>
              </w:rPr>
            </w:pPr>
            <w:r>
              <w:rPr>
                <w:spacing w:val="-4"/>
                <w:sz w:val="18"/>
              </w:rPr>
              <w:t>Aceh</w:t>
            </w:r>
          </w:p>
        </w:tc>
      </w:tr>
      <w:tr w:rsidR="00BC24A8" w14:paraId="257C4999"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7CA76AE0" w14:textId="77777777" w:rsidR="00BC24A8" w:rsidRDefault="00000000">
            <w:pPr>
              <w:pStyle w:val="TableParagraph"/>
              <w:spacing w:before="1"/>
              <w:ind w:left="92" w:right="171"/>
              <w:jc w:val="center"/>
              <w:rPr>
                <w:sz w:val="18"/>
              </w:rPr>
            </w:pPr>
            <w:r>
              <w:rPr>
                <w:spacing w:val="-5"/>
                <w:sz w:val="18"/>
              </w:rPr>
              <w:t>43</w:t>
            </w:r>
          </w:p>
        </w:tc>
        <w:tc>
          <w:tcPr>
            <w:tcW w:w="7760" w:type="dxa"/>
            <w:tcBorders>
              <w:top w:val="single" w:sz="4" w:space="0" w:color="A6A6A6"/>
              <w:left w:val="single" w:sz="4" w:space="0" w:color="A6A6A6"/>
              <w:bottom w:val="single" w:sz="4" w:space="0" w:color="A6A6A6"/>
              <w:right w:val="single" w:sz="4" w:space="0" w:color="A6A6A6"/>
            </w:tcBorders>
          </w:tcPr>
          <w:p w14:paraId="3DBC202A" w14:textId="77777777" w:rsidR="00BC24A8" w:rsidRDefault="00000000">
            <w:pPr>
              <w:pStyle w:val="TableParagraph"/>
              <w:spacing w:before="1" w:line="219" w:lineRule="exact"/>
              <w:ind w:left="107"/>
              <w:rPr>
                <w:sz w:val="18"/>
              </w:rPr>
            </w:pPr>
            <w:r>
              <w:rPr>
                <w:sz w:val="18"/>
              </w:rPr>
              <w:t>Governor</w:t>
            </w:r>
            <w:r>
              <w:rPr>
                <w:spacing w:val="-5"/>
                <w:sz w:val="18"/>
              </w:rPr>
              <w:t xml:space="preserve"> </w:t>
            </w:r>
            <w:r>
              <w:rPr>
                <w:sz w:val="18"/>
              </w:rPr>
              <w:t>Regulation</w:t>
            </w:r>
            <w:r>
              <w:rPr>
                <w:spacing w:val="-2"/>
                <w:sz w:val="18"/>
              </w:rPr>
              <w:t xml:space="preserve"> </w:t>
            </w:r>
            <w:r>
              <w:rPr>
                <w:sz w:val="18"/>
              </w:rPr>
              <w:t>No.</w:t>
            </w:r>
            <w:r>
              <w:rPr>
                <w:spacing w:val="-4"/>
                <w:sz w:val="18"/>
              </w:rPr>
              <w:t xml:space="preserve"> </w:t>
            </w:r>
            <w:r>
              <w:rPr>
                <w:sz w:val="18"/>
              </w:rPr>
              <w:t>34/2024</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Implementation</w:t>
            </w:r>
            <w:r>
              <w:rPr>
                <w:spacing w:val="-3"/>
                <w:sz w:val="18"/>
              </w:rPr>
              <w:t xml:space="preserve"> </w:t>
            </w:r>
            <w:r>
              <w:rPr>
                <w:sz w:val="18"/>
              </w:rPr>
              <w:t>Guideline</w:t>
            </w:r>
            <w:r>
              <w:rPr>
                <w:spacing w:val="-5"/>
                <w:sz w:val="18"/>
              </w:rPr>
              <w:t xml:space="preserve"> </w:t>
            </w:r>
            <w:r>
              <w:rPr>
                <w:sz w:val="18"/>
              </w:rPr>
              <w:t>for</w:t>
            </w:r>
            <w:r>
              <w:rPr>
                <w:spacing w:val="-3"/>
                <w:sz w:val="18"/>
              </w:rPr>
              <w:t xml:space="preserve"> </w:t>
            </w:r>
            <w:r>
              <w:rPr>
                <w:sz w:val="18"/>
              </w:rPr>
              <w:t>Aceh</w:t>
            </w:r>
            <w:r>
              <w:rPr>
                <w:spacing w:val="-2"/>
                <w:sz w:val="18"/>
              </w:rPr>
              <w:t xml:space="preserve"> </w:t>
            </w:r>
            <w:r>
              <w:rPr>
                <w:sz w:val="18"/>
              </w:rPr>
              <w:t>Qanun</w:t>
            </w:r>
            <w:r>
              <w:rPr>
                <w:spacing w:val="-3"/>
                <w:sz w:val="18"/>
              </w:rPr>
              <w:t xml:space="preserve"> </w:t>
            </w:r>
            <w:r>
              <w:rPr>
                <w:sz w:val="18"/>
              </w:rPr>
              <w:t>No.</w:t>
            </w:r>
            <w:r>
              <w:rPr>
                <w:spacing w:val="-3"/>
                <w:sz w:val="18"/>
              </w:rPr>
              <w:t xml:space="preserve"> </w:t>
            </w:r>
            <w:r>
              <w:rPr>
                <w:sz w:val="18"/>
              </w:rPr>
              <w:t>4/2024</w:t>
            </w:r>
            <w:r>
              <w:rPr>
                <w:spacing w:val="-2"/>
                <w:sz w:val="18"/>
              </w:rPr>
              <w:t xml:space="preserve"> </w:t>
            </w:r>
            <w:r>
              <w:rPr>
                <w:spacing w:val="-5"/>
                <w:sz w:val="18"/>
              </w:rPr>
              <w:t>on</w:t>
            </w:r>
          </w:p>
          <w:p w14:paraId="752AD0C8" w14:textId="77777777" w:rsidR="00BC24A8" w:rsidRDefault="00000000">
            <w:pPr>
              <w:pStyle w:val="TableParagraph"/>
              <w:spacing w:line="199" w:lineRule="exact"/>
              <w:ind w:left="107"/>
              <w:rPr>
                <w:sz w:val="18"/>
              </w:rPr>
            </w:pPr>
            <w:r>
              <w:rPr>
                <w:spacing w:val="-4"/>
                <w:sz w:val="18"/>
              </w:rPr>
              <w:t>PDRD</w:t>
            </w:r>
          </w:p>
        </w:tc>
        <w:tc>
          <w:tcPr>
            <w:tcW w:w="1275" w:type="dxa"/>
            <w:tcBorders>
              <w:top w:val="single" w:sz="4" w:space="0" w:color="A6A6A6"/>
              <w:left w:val="single" w:sz="4" w:space="0" w:color="A6A6A6"/>
              <w:bottom w:val="single" w:sz="4" w:space="0" w:color="A6A6A6"/>
              <w:right w:val="single" w:sz="4" w:space="0" w:color="A6A6A6"/>
            </w:tcBorders>
          </w:tcPr>
          <w:p w14:paraId="06988D95" w14:textId="77777777" w:rsidR="00BC24A8" w:rsidRDefault="00000000">
            <w:pPr>
              <w:pStyle w:val="TableParagraph"/>
              <w:spacing w:before="1"/>
              <w:ind w:left="106"/>
              <w:rPr>
                <w:sz w:val="18"/>
              </w:rPr>
            </w:pPr>
            <w:r>
              <w:rPr>
                <w:spacing w:val="-4"/>
                <w:sz w:val="18"/>
              </w:rPr>
              <w:t>Aceh</w:t>
            </w:r>
          </w:p>
        </w:tc>
      </w:tr>
      <w:tr w:rsidR="00BC24A8" w14:paraId="3D085E85" w14:textId="77777777">
        <w:trPr>
          <w:trHeight w:val="220"/>
        </w:trPr>
        <w:tc>
          <w:tcPr>
            <w:tcW w:w="490" w:type="dxa"/>
            <w:tcBorders>
              <w:top w:val="single" w:sz="4" w:space="0" w:color="A6A6A6"/>
              <w:left w:val="single" w:sz="4" w:space="0" w:color="A6A6A6"/>
              <w:bottom w:val="single" w:sz="4" w:space="0" w:color="A6A6A6"/>
              <w:right w:val="single" w:sz="4" w:space="0" w:color="A6A6A6"/>
            </w:tcBorders>
          </w:tcPr>
          <w:p w14:paraId="2C203C76" w14:textId="77777777" w:rsidR="00BC24A8" w:rsidRDefault="00000000">
            <w:pPr>
              <w:pStyle w:val="TableParagraph"/>
              <w:spacing w:before="1" w:line="199" w:lineRule="exact"/>
              <w:ind w:left="92" w:right="171"/>
              <w:jc w:val="center"/>
              <w:rPr>
                <w:sz w:val="18"/>
              </w:rPr>
            </w:pPr>
            <w:r>
              <w:rPr>
                <w:spacing w:val="-5"/>
                <w:sz w:val="18"/>
              </w:rPr>
              <w:t>44</w:t>
            </w:r>
          </w:p>
        </w:tc>
        <w:tc>
          <w:tcPr>
            <w:tcW w:w="7760" w:type="dxa"/>
            <w:tcBorders>
              <w:top w:val="single" w:sz="4" w:space="0" w:color="A6A6A6"/>
              <w:left w:val="single" w:sz="4" w:space="0" w:color="A6A6A6"/>
              <w:bottom w:val="single" w:sz="4" w:space="0" w:color="A6A6A6"/>
              <w:right w:val="single" w:sz="4" w:space="0" w:color="A6A6A6"/>
            </w:tcBorders>
          </w:tcPr>
          <w:p w14:paraId="6BBC5873" w14:textId="77777777" w:rsidR="00BC24A8" w:rsidRDefault="00000000">
            <w:pPr>
              <w:pStyle w:val="TableParagraph"/>
              <w:spacing w:before="1" w:line="199" w:lineRule="exact"/>
              <w:ind w:left="107"/>
              <w:rPr>
                <w:sz w:val="18"/>
              </w:rPr>
            </w:pPr>
            <w:r>
              <w:rPr>
                <w:sz w:val="18"/>
              </w:rPr>
              <w:t>Aceh</w:t>
            </w:r>
            <w:r>
              <w:rPr>
                <w:spacing w:val="-2"/>
                <w:sz w:val="18"/>
              </w:rPr>
              <w:t xml:space="preserve"> </w:t>
            </w:r>
            <w:r>
              <w:rPr>
                <w:sz w:val="18"/>
              </w:rPr>
              <w:t>Qanun</w:t>
            </w:r>
            <w:r>
              <w:rPr>
                <w:spacing w:val="-2"/>
                <w:sz w:val="18"/>
              </w:rPr>
              <w:t xml:space="preserve"> </w:t>
            </w:r>
            <w:r>
              <w:rPr>
                <w:sz w:val="18"/>
              </w:rPr>
              <w:t>No.</w:t>
            </w:r>
            <w:r>
              <w:rPr>
                <w:spacing w:val="-2"/>
                <w:sz w:val="18"/>
              </w:rPr>
              <w:t xml:space="preserve"> </w:t>
            </w:r>
            <w:r>
              <w:rPr>
                <w:sz w:val="18"/>
              </w:rPr>
              <w:t>6/2025</w:t>
            </w:r>
            <w:r>
              <w:rPr>
                <w:spacing w:val="-2"/>
                <w:sz w:val="18"/>
              </w:rPr>
              <w:t xml:space="preserve"> </w:t>
            </w:r>
            <w:r>
              <w:rPr>
                <w:sz w:val="18"/>
              </w:rPr>
              <w:t>on</w:t>
            </w:r>
            <w:r>
              <w:rPr>
                <w:spacing w:val="-2"/>
                <w:sz w:val="18"/>
              </w:rPr>
              <w:t xml:space="preserve"> </w:t>
            </w:r>
            <w:r>
              <w:rPr>
                <w:sz w:val="18"/>
              </w:rPr>
              <w:t>the</w:t>
            </w:r>
            <w:r>
              <w:rPr>
                <w:spacing w:val="-1"/>
                <w:sz w:val="18"/>
              </w:rPr>
              <w:t xml:space="preserve"> </w:t>
            </w:r>
            <w:r>
              <w:rPr>
                <w:sz w:val="18"/>
              </w:rPr>
              <w:t>Aceh</w:t>
            </w:r>
            <w:r>
              <w:rPr>
                <w:spacing w:val="-2"/>
                <w:sz w:val="18"/>
              </w:rPr>
              <w:t xml:space="preserve"> </w:t>
            </w:r>
            <w:r>
              <w:rPr>
                <w:sz w:val="18"/>
              </w:rPr>
              <w:t>Education</w:t>
            </w:r>
            <w:r>
              <w:rPr>
                <w:spacing w:val="-2"/>
                <w:sz w:val="18"/>
              </w:rPr>
              <w:t xml:space="preserve"> </w:t>
            </w:r>
            <w:r>
              <w:rPr>
                <w:sz w:val="18"/>
              </w:rPr>
              <w:t xml:space="preserve">Endowment </w:t>
            </w:r>
            <w:r>
              <w:rPr>
                <w:spacing w:val="-4"/>
                <w:sz w:val="18"/>
              </w:rPr>
              <w:t>Fund</w:t>
            </w:r>
          </w:p>
        </w:tc>
        <w:tc>
          <w:tcPr>
            <w:tcW w:w="1275" w:type="dxa"/>
            <w:tcBorders>
              <w:top w:val="single" w:sz="4" w:space="0" w:color="A6A6A6"/>
              <w:left w:val="single" w:sz="4" w:space="0" w:color="A6A6A6"/>
              <w:bottom w:val="single" w:sz="4" w:space="0" w:color="A6A6A6"/>
              <w:right w:val="single" w:sz="4" w:space="0" w:color="A6A6A6"/>
            </w:tcBorders>
          </w:tcPr>
          <w:p w14:paraId="339A2EF6" w14:textId="77777777" w:rsidR="00BC24A8" w:rsidRDefault="00000000">
            <w:pPr>
              <w:pStyle w:val="TableParagraph"/>
              <w:spacing w:before="1" w:line="199" w:lineRule="exact"/>
              <w:ind w:left="106"/>
              <w:rPr>
                <w:sz w:val="18"/>
              </w:rPr>
            </w:pPr>
            <w:r>
              <w:rPr>
                <w:spacing w:val="-4"/>
                <w:sz w:val="18"/>
              </w:rPr>
              <w:t>Aceh</w:t>
            </w:r>
          </w:p>
        </w:tc>
      </w:tr>
      <w:tr w:rsidR="00BC24A8" w14:paraId="4F16C168" w14:textId="77777777">
        <w:trPr>
          <w:trHeight w:val="659"/>
        </w:trPr>
        <w:tc>
          <w:tcPr>
            <w:tcW w:w="490" w:type="dxa"/>
            <w:tcBorders>
              <w:top w:val="single" w:sz="4" w:space="0" w:color="A6A6A6"/>
              <w:left w:val="single" w:sz="4" w:space="0" w:color="A6A6A6"/>
              <w:bottom w:val="single" w:sz="4" w:space="0" w:color="A6A6A6"/>
              <w:right w:val="single" w:sz="4" w:space="0" w:color="A6A6A6"/>
            </w:tcBorders>
          </w:tcPr>
          <w:p w14:paraId="051EF547" w14:textId="77777777" w:rsidR="00BC24A8" w:rsidRDefault="00000000">
            <w:pPr>
              <w:pStyle w:val="TableParagraph"/>
              <w:spacing w:before="1"/>
              <w:ind w:left="92" w:right="171"/>
              <w:jc w:val="center"/>
              <w:rPr>
                <w:sz w:val="18"/>
              </w:rPr>
            </w:pPr>
            <w:r>
              <w:rPr>
                <w:spacing w:val="-5"/>
                <w:sz w:val="18"/>
              </w:rPr>
              <w:t>45</w:t>
            </w:r>
          </w:p>
        </w:tc>
        <w:tc>
          <w:tcPr>
            <w:tcW w:w="7760" w:type="dxa"/>
            <w:tcBorders>
              <w:top w:val="single" w:sz="4" w:space="0" w:color="A6A6A6"/>
              <w:left w:val="single" w:sz="4" w:space="0" w:color="A6A6A6"/>
              <w:bottom w:val="single" w:sz="4" w:space="0" w:color="A6A6A6"/>
              <w:right w:val="single" w:sz="4" w:space="0" w:color="A6A6A6"/>
            </w:tcBorders>
          </w:tcPr>
          <w:p w14:paraId="0FB459EC" w14:textId="77777777" w:rsidR="00BC24A8" w:rsidRDefault="00000000">
            <w:pPr>
              <w:pStyle w:val="TableParagraph"/>
              <w:spacing w:before="1"/>
              <w:ind w:left="107" w:right="122"/>
              <w:rPr>
                <w:sz w:val="18"/>
              </w:rPr>
            </w:pPr>
            <w:r>
              <w:rPr>
                <w:sz w:val="18"/>
              </w:rPr>
              <w:t>Aceh</w:t>
            </w:r>
            <w:r>
              <w:rPr>
                <w:spacing w:val="-3"/>
                <w:sz w:val="18"/>
              </w:rPr>
              <w:t xml:space="preserve"> </w:t>
            </w: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900.1.13.1/789/2025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Determination</w:t>
            </w:r>
            <w:r>
              <w:rPr>
                <w:spacing w:val="-3"/>
                <w:sz w:val="18"/>
              </w:rPr>
              <w:t xml:space="preserve"> </w:t>
            </w:r>
            <w:r>
              <w:rPr>
                <w:sz w:val="18"/>
              </w:rPr>
              <w:t>of</w:t>
            </w:r>
            <w:r>
              <w:rPr>
                <w:spacing w:val="-4"/>
                <w:sz w:val="18"/>
              </w:rPr>
              <w:t xml:space="preserve"> </w:t>
            </w:r>
            <w:r>
              <w:rPr>
                <w:sz w:val="18"/>
              </w:rPr>
              <w:t>Principal</w:t>
            </w:r>
            <w:r>
              <w:rPr>
                <w:spacing w:val="-2"/>
                <w:sz w:val="18"/>
              </w:rPr>
              <w:t xml:space="preserve"> </w:t>
            </w:r>
            <w:r>
              <w:rPr>
                <w:sz w:val="18"/>
              </w:rPr>
              <w:t>Tax</w:t>
            </w:r>
            <w:r>
              <w:rPr>
                <w:spacing w:val="-4"/>
                <w:sz w:val="18"/>
              </w:rPr>
              <w:t xml:space="preserve"> </w:t>
            </w:r>
            <w:r>
              <w:rPr>
                <w:sz w:val="18"/>
              </w:rPr>
              <w:t>Reduction</w:t>
            </w:r>
            <w:r>
              <w:rPr>
                <w:spacing w:val="-3"/>
                <w:sz w:val="18"/>
              </w:rPr>
              <w:t xml:space="preserve"> </w:t>
            </w:r>
            <w:r>
              <w:rPr>
                <w:sz w:val="18"/>
              </w:rPr>
              <w:t>and Administrative Sanctions for Motor Vehicle Tax for Taxpayers with Special Needs/Persons with</w:t>
            </w:r>
          </w:p>
          <w:p w14:paraId="14EA5DE5" w14:textId="77777777" w:rsidR="00BC24A8" w:rsidRDefault="00000000">
            <w:pPr>
              <w:pStyle w:val="TableParagraph"/>
              <w:spacing w:line="199" w:lineRule="exact"/>
              <w:ind w:left="107"/>
              <w:rPr>
                <w:sz w:val="18"/>
              </w:rPr>
            </w:pPr>
            <w:r>
              <w:rPr>
                <w:spacing w:val="-2"/>
                <w:sz w:val="18"/>
              </w:rPr>
              <w:t>Disabilities</w:t>
            </w:r>
          </w:p>
        </w:tc>
        <w:tc>
          <w:tcPr>
            <w:tcW w:w="1275" w:type="dxa"/>
            <w:tcBorders>
              <w:top w:val="single" w:sz="4" w:space="0" w:color="A6A6A6"/>
              <w:left w:val="single" w:sz="4" w:space="0" w:color="A6A6A6"/>
              <w:bottom w:val="single" w:sz="4" w:space="0" w:color="A6A6A6"/>
              <w:right w:val="single" w:sz="4" w:space="0" w:color="A6A6A6"/>
            </w:tcBorders>
          </w:tcPr>
          <w:p w14:paraId="7E20E5A4" w14:textId="77777777" w:rsidR="00BC24A8" w:rsidRDefault="00000000">
            <w:pPr>
              <w:pStyle w:val="TableParagraph"/>
              <w:spacing w:before="1"/>
              <w:ind w:left="106"/>
              <w:rPr>
                <w:sz w:val="18"/>
              </w:rPr>
            </w:pPr>
            <w:r>
              <w:rPr>
                <w:spacing w:val="-4"/>
                <w:sz w:val="18"/>
              </w:rPr>
              <w:t>Aceh</w:t>
            </w:r>
          </w:p>
        </w:tc>
      </w:tr>
      <w:tr w:rsidR="00BC24A8" w14:paraId="292AEE1C"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3706A44C" w14:textId="77777777" w:rsidR="00BC24A8" w:rsidRDefault="00000000">
            <w:pPr>
              <w:pStyle w:val="TableParagraph"/>
              <w:spacing w:line="219" w:lineRule="exact"/>
              <w:ind w:left="92" w:right="171"/>
              <w:jc w:val="center"/>
              <w:rPr>
                <w:sz w:val="18"/>
              </w:rPr>
            </w:pPr>
            <w:r>
              <w:rPr>
                <w:spacing w:val="-5"/>
                <w:sz w:val="18"/>
              </w:rPr>
              <w:t>46</w:t>
            </w:r>
          </w:p>
        </w:tc>
        <w:tc>
          <w:tcPr>
            <w:tcW w:w="7760" w:type="dxa"/>
            <w:tcBorders>
              <w:top w:val="single" w:sz="4" w:space="0" w:color="A6A6A6"/>
              <w:left w:val="single" w:sz="4" w:space="0" w:color="A6A6A6"/>
              <w:bottom w:val="single" w:sz="4" w:space="0" w:color="A6A6A6"/>
              <w:right w:val="single" w:sz="4" w:space="0" w:color="A6A6A6"/>
            </w:tcBorders>
          </w:tcPr>
          <w:p w14:paraId="14D9D892"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Decree</w:t>
            </w:r>
            <w:r>
              <w:rPr>
                <w:spacing w:val="-2"/>
                <w:sz w:val="18"/>
              </w:rPr>
              <w:t xml:space="preserve"> </w:t>
            </w:r>
            <w:r>
              <w:rPr>
                <w:sz w:val="18"/>
              </w:rPr>
              <w:t>No.</w:t>
            </w:r>
            <w:r>
              <w:rPr>
                <w:spacing w:val="-3"/>
                <w:sz w:val="18"/>
              </w:rPr>
              <w:t xml:space="preserve"> </w:t>
            </w:r>
            <w:r>
              <w:rPr>
                <w:sz w:val="18"/>
              </w:rPr>
              <w:t>100.1.2/666/2024</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Establishment</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Minimum</w:t>
            </w:r>
            <w:r>
              <w:rPr>
                <w:spacing w:val="-3"/>
                <w:sz w:val="18"/>
              </w:rPr>
              <w:t xml:space="preserve"> </w:t>
            </w:r>
            <w:r>
              <w:rPr>
                <w:sz w:val="18"/>
              </w:rPr>
              <w:t>Service</w:t>
            </w:r>
            <w:r>
              <w:rPr>
                <w:spacing w:val="-2"/>
                <w:sz w:val="18"/>
              </w:rPr>
              <w:t xml:space="preserve"> </w:t>
            </w:r>
            <w:r>
              <w:rPr>
                <w:sz w:val="18"/>
              </w:rPr>
              <w:t>Standards</w:t>
            </w:r>
            <w:r>
              <w:rPr>
                <w:spacing w:val="-2"/>
                <w:sz w:val="18"/>
              </w:rPr>
              <w:t xml:space="preserve"> (MSS)</w:t>
            </w:r>
          </w:p>
          <w:p w14:paraId="04560E2B" w14:textId="77777777" w:rsidR="00BC24A8" w:rsidRDefault="00000000">
            <w:pPr>
              <w:pStyle w:val="TableParagraph"/>
              <w:spacing w:before="1" w:line="199" w:lineRule="exact"/>
              <w:ind w:left="107"/>
              <w:rPr>
                <w:sz w:val="18"/>
              </w:rPr>
            </w:pPr>
            <w:r>
              <w:rPr>
                <w:sz w:val="18"/>
              </w:rPr>
              <w:t>Implementation</w:t>
            </w:r>
            <w:r>
              <w:rPr>
                <w:spacing w:val="-3"/>
                <w:sz w:val="18"/>
              </w:rPr>
              <w:t xml:space="preserve"> </w:t>
            </w:r>
            <w:r>
              <w:rPr>
                <w:sz w:val="18"/>
              </w:rPr>
              <w:t>Team</w:t>
            </w:r>
            <w:r>
              <w:rPr>
                <w:spacing w:val="-3"/>
                <w:sz w:val="18"/>
              </w:rPr>
              <w:t xml:space="preserve"> </w:t>
            </w:r>
            <w:r>
              <w:rPr>
                <w:sz w:val="18"/>
              </w:rPr>
              <w:t>in</w:t>
            </w:r>
            <w:r>
              <w:rPr>
                <w:spacing w:val="-2"/>
                <w:sz w:val="18"/>
              </w:rPr>
              <w:t xml:space="preserve"> </w:t>
            </w:r>
            <w:r>
              <w:rPr>
                <w:spacing w:val="-4"/>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746A32C7" w14:textId="77777777" w:rsidR="00BC24A8" w:rsidRDefault="00000000">
            <w:pPr>
              <w:pStyle w:val="TableParagraph"/>
              <w:spacing w:line="219" w:lineRule="exact"/>
              <w:ind w:left="106"/>
              <w:rPr>
                <w:sz w:val="18"/>
              </w:rPr>
            </w:pPr>
            <w:r>
              <w:rPr>
                <w:spacing w:val="-4"/>
                <w:sz w:val="18"/>
              </w:rPr>
              <w:t>Aceh</w:t>
            </w:r>
          </w:p>
        </w:tc>
      </w:tr>
      <w:tr w:rsidR="00BC24A8" w14:paraId="7F6277B0"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6EFD7EB6" w14:textId="77777777" w:rsidR="00BC24A8" w:rsidRDefault="00BC24A8">
            <w:pPr>
              <w:pStyle w:val="TableParagraph"/>
              <w:rPr>
                <w:rFonts w:ascii="Times New Roman"/>
                <w:sz w:val="16"/>
              </w:rPr>
            </w:pPr>
          </w:p>
        </w:tc>
        <w:tc>
          <w:tcPr>
            <w:tcW w:w="7760" w:type="dxa"/>
            <w:tcBorders>
              <w:top w:val="single" w:sz="4" w:space="0" w:color="A6A6A6"/>
              <w:left w:val="single" w:sz="4" w:space="0" w:color="A6A6A6"/>
              <w:bottom w:val="single" w:sz="4" w:space="0" w:color="A6A6A6"/>
              <w:right w:val="single" w:sz="4" w:space="0" w:color="A6A6A6"/>
            </w:tcBorders>
          </w:tcPr>
          <w:p w14:paraId="0DF30475" w14:textId="77777777" w:rsidR="00BC24A8" w:rsidRDefault="00000000">
            <w:pPr>
              <w:pStyle w:val="TableParagraph"/>
              <w:spacing w:before="1" w:line="219" w:lineRule="exact"/>
              <w:ind w:left="107"/>
              <w:rPr>
                <w:sz w:val="18"/>
              </w:rPr>
            </w:pPr>
            <w:r>
              <w:rPr>
                <w:sz w:val="18"/>
              </w:rPr>
              <w:t>Governor</w:t>
            </w:r>
            <w:r>
              <w:rPr>
                <w:spacing w:val="-6"/>
                <w:sz w:val="18"/>
              </w:rPr>
              <w:t xml:space="preserve"> </w:t>
            </w:r>
            <w:r>
              <w:rPr>
                <w:sz w:val="18"/>
              </w:rPr>
              <w:t>Decree</w:t>
            </w:r>
            <w:r>
              <w:rPr>
                <w:spacing w:val="-3"/>
                <w:sz w:val="18"/>
              </w:rPr>
              <w:t xml:space="preserve"> </w:t>
            </w:r>
            <w:r>
              <w:rPr>
                <w:sz w:val="18"/>
              </w:rPr>
              <w:t>No.</w:t>
            </w:r>
            <w:r>
              <w:rPr>
                <w:spacing w:val="-4"/>
                <w:sz w:val="18"/>
              </w:rPr>
              <w:t xml:space="preserve"> </w:t>
            </w:r>
            <w:r>
              <w:rPr>
                <w:sz w:val="18"/>
              </w:rPr>
              <w:t>050/750/2023</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2"/>
                <w:sz w:val="18"/>
              </w:rPr>
              <w:t xml:space="preserve"> </w:t>
            </w:r>
            <w:r>
              <w:rPr>
                <w:sz w:val="18"/>
              </w:rPr>
              <w:t>of</w:t>
            </w:r>
            <w:r>
              <w:rPr>
                <w:spacing w:val="-4"/>
                <w:sz w:val="18"/>
              </w:rPr>
              <w:t xml:space="preserve"> </w:t>
            </w:r>
            <w:r>
              <w:rPr>
                <w:sz w:val="18"/>
              </w:rPr>
              <w:t>MSS</w:t>
            </w:r>
            <w:r>
              <w:rPr>
                <w:spacing w:val="-3"/>
                <w:sz w:val="18"/>
              </w:rPr>
              <w:t xml:space="preserve"> </w:t>
            </w:r>
            <w:r>
              <w:rPr>
                <w:sz w:val="18"/>
              </w:rPr>
              <w:t>Integration</w:t>
            </w:r>
            <w:r>
              <w:rPr>
                <w:spacing w:val="-3"/>
                <w:sz w:val="18"/>
              </w:rPr>
              <w:t xml:space="preserve"> </w:t>
            </w:r>
            <w:r>
              <w:rPr>
                <w:sz w:val="18"/>
              </w:rPr>
              <w:t>Coordination</w:t>
            </w:r>
            <w:r>
              <w:rPr>
                <w:spacing w:val="-3"/>
                <w:sz w:val="18"/>
              </w:rPr>
              <w:t xml:space="preserve"> </w:t>
            </w:r>
            <w:r>
              <w:rPr>
                <w:sz w:val="18"/>
              </w:rPr>
              <w:t>Team</w:t>
            </w:r>
            <w:r>
              <w:rPr>
                <w:spacing w:val="-4"/>
                <w:sz w:val="18"/>
              </w:rPr>
              <w:t xml:space="preserve"> </w:t>
            </w:r>
            <w:r>
              <w:rPr>
                <w:spacing w:val="-5"/>
                <w:sz w:val="18"/>
              </w:rPr>
              <w:t>in</w:t>
            </w:r>
          </w:p>
          <w:p w14:paraId="3EFEA531" w14:textId="77777777" w:rsidR="00BC24A8" w:rsidRDefault="00000000">
            <w:pPr>
              <w:pStyle w:val="TableParagraph"/>
              <w:spacing w:line="199" w:lineRule="exact"/>
              <w:ind w:left="107"/>
              <w:rPr>
                <w:sz w:val="18"/>
              </w:rPr>
            </w:pPr>
            <w:r>
              <w:rPr>
                <w:spacing w:val="-4"/>
                <w:sz w:val="18"/>
              </w:rPr>
              <w:t>2023</w:t>
            </w:r>
          </w:p>
        </w:tc>
        <w:tc>
          <w:tcPr>
            <w:tcW w:w="1275" w:type="dxa"/>
            <w:tcBorders>
              <w:top w:val="single" w:sz="4" w:space="0" w:color="A6A6A6"/>
              <w:left w:val="single" w:sz="4" w:space="0" w:color="A6A6A6"/>
              <w:bottom w:val="single" w:sz="4" w:space="0" w:color="A6A6A6"/>
              <w:right w:val="single" w:sz="4" w:space="0" w:color="A6A6A6"/>
            </w:tcBorders>
          </w:tcPr>
          <w:p w14:paraId="4A14147A" w14:textId="77777777" w:rsidR="00BC24A8" w:rsidRDefault="00000000">
            <w:pPr>
              <w:pStyle w:val="TableParagraph"/>
              <w:spacing w:before="1"/>
              <w:ind w:left="106"/>
              <w:rPr>
                <w:sz w:val="18"/>
              </w:rPr>
            </w:pPr>
            <w:r>
              <w:rPr>
                <w:spacing w:val="-4"/>
                <w:sz w:val="18"/>
              </w:rPr>
              <w:t>Aceh</w:t>
            </w:r>
          </w:p>
        </w:tc>
      </w:tr>
      <w:tr w:rsidR="00BC24A8" w14:paraId="776BF162"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7F96A64D" w14:textId="77777777" w:rsidR="00BC24A8" w:rsidRDefault="00000000">
            <w:pPr>
              <w:pStyle w:val="TableParagraph"/>
              <w:spacing w:before="1"/>
              <w:ind w:left="92" w:right="171"/>
              <w:jc w:val="center"/>
              <w:rPr>
                <w:sz w:val="18"/>
              </w:rPr>
            </w:pPr>
            <w:r>
              <w:rPr>
                <w:spacing w:val="-5"/>
                <w:sz w:val="18"/>
              </w:rPr>
              <w:t>47</w:t>
            </w:r>
          </w:p>
        </w:tc>
        <w:tc>
          <w:tcPr>
            <w:tcW w:w="7760" w:type="dxa"/>
            <w:tcBorders>
              <w:top w:val="single" w:sz="4" w:space="0" w:color="A6A6A6"/>
              <w:left w:val="single" w:sz="4" w:space="0" w:color="A6A6A6"/>
              <w:bottom w:val="single" w:sz="4" w:space="0" w:color="A6A6A6"/>
              <w:right w:val="single" w:sz="4" w:space="0" w:color="A6A6A6"/>
            </w:tcBorders>
          </w:tcPr>
          <w:p w14:paraId="5176D27B" w14:textId="77777777" w:rsidR="00BC24A8" w:rsidRDefault="00000000">
            <w:pPr>
              <w:pStyle w:val="TableParagraph"/>
              <w:spacing w:before="1"/>
              <w:ind w:left="107" w:right="122"/>
              <w:rPr>
                <w:sz w:val="18"/>
              </w:rPr>
            </w:pP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146/17/V/2025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Appointment</w:t>
            </w:r>
            <w:r>
              <w:rPr>
                <w:spacing w:val="-2"/>
                <w:sz w:val="18"/>
              </w:rPr>
              <w:t xml:space="preserve"> </w:t>
            </w:r>
            <w:r>
              <w:rPr>
                <w:sz w:val="18"/>
              </w:rPr>
              <w:t>of</w:t>
            </w:r>
            <w:r>
              <w:rPr>
                <w:spacing w:val="-4"/>
                <w:sz w:val="18"/>
              </w:rPr>
              <w:t xml:space="preserve"> </w:t>
            </w:r>
            <w:r>
              <w:rPr>
                <w:sz w:val="18"/>
              </w:rPr>
              <w:t>Supporting</w:t>
            </w:r>
            <w:r>
              <w:rPr>
                <w:spacing w:val="-4"/>
                <w:sz w:val="18"/>
              </w:rPr>
              <w:t xml:space="preserve"> </w:t>
            </w:r>
            <w:r>
              <w:rPr>
                <w:sz w:val="18"/>
              </w:rPr>
              <w:t>Data</w:t>
            </w:r>
            <w:r>
              <w:rPr>
                <w:spacing w:val="-4"/>
                <w:sz w:val="18"/>
              </w:rPr>
              <w:t xml:space="preserve"> </w:t>
            </w:r>
            <w:r>
              <w:rPr>
                <w:sz w:val="18"/>
              </w:rPr>
              <w:t>Custodians</w:t>
            </w:r>
            <w:r>
              <w:rPr>
                <w:spacing w:val="-3"/>
                <w:sz w:val="18"/>
              </w:rPr>
              <w:t xml:space="preserve"> </w:t>
            </w:r>
            <w:r>
              <w:rPr>
                <w:sz w:val="18"/>
              </w:rPr>
              <w:t>and</w:t>
            </w:r>
            <w:r>
              <w:rPr>
                <w:spacing w:val="-3"/>
                <w:sz w:val="18"/>
              </w:rPr>
              <w:t xml:space="preserve"> </w:t>
            </w:r>
            <w:r>
              <w:rPr>
                <w:sz w:val="18"/>
              </w:rPr>
              <w:t>Sectoral Data Management Teams within the Provincial Government Agencies of Gorontalo in 2025</w:t>
            </w:r>
          </w:p>
        </w:tc>
        <w:tc>
          <w:tcPr>
            <w:tcW w:w="1275" w:type="dxa"/>
            <w:tcBorders>
              <w:top w:val="single" w:sz="4" w:space="0" w:color="A6A6A6"/>
              <w:left w:val="single" w:sz="4" w:space="0" w:color="A6A6A6"/>
              <w:bottom w:val="single" w:sz="4" w:space="0" w:color="A6A6A6"/>
              <w:right w:val="single" w:sz="4" w:space="0" w:color="A6A6A6"/>
            </w:tcBorders>
          </w:tcPr>
          <w:p w14:paraId="567591EC" w14:textId="77777777" w:rsidR="00BC24A8" w:rsidRDefault="00000000">
            <w:pPr>
              <w:pStyle w:val="TableParagraph"/>
              <w:spacing w:before="1"/>
              <w:ind w:left="106"/>
              <w:rPr>
                <w:sz w:val="18"/>
              </w:rPr>
            </w:pPr>
            <w:r>
              <w:rPr>
                <w:spacing w:val="-2"/>
                <w:sz w:val="18"/>
              </w:rPr>
              <w:t>Gorontalo</w:t>
            </w:r>
          </w:p>
        </w:tc>
      </w:tr>
      <w:tr w:rsidR="00BC24A8" w14:paraId="07F76CB5"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031836F7" w14:textId="77777777" w:rsidR="00BC24A8" w:rsidRDefault="00000000">
            <w:pPr>
              <w:pStyle w:val="TableParagraph"/>
              <w:spacing w:before="1"/>
              <w:ind w:left="92" w:right="171"/>
              <w:jc w:val="center"/>
              <w:rPr>
                <w:sz w:val="18"/>
              </w:rPr>
            </w:pPr>
            <w:r>
              <w:rPr>
                <w:spacing w:val="-5"/>
                <w:sz w:val="18"/>
              </w:rPr>
              <w:t>48</w:t>
            </w:r>
          </w:p>
        </w:tc>
        <w:tc>
          <w:tcPr>
            <w:tcW w:w="7760" w:type="dxa"/>
            <w:tcBorders>
              <w:top w:val="single" w:sz="4" w:space="0" w:color="A6A6A6"/>
              <w:left w:val="single" w:sz="4" w:space="0" w:color="A6A6A6"/>
              <w:bottom w:val="single" w:sz="4" w:space="0" w:color="A6A6A6"/>
              <w:right w:val="single" w:sz="4" w:space="0" w:color="A6A6A6"/>
            </w:tcBorders>
          </w:tcPr>
          <w:p w14:paraId="530146AB" w14:textId="77777777" w:rsidR="00BC24A8" w:rsidRDefault="00000000">
            <w:pPr>
              <w:pStyle w:val="TableParagraph"/>
              <w:spacing w:line="220" w:lineRule="atLeast"/>
              <w:ind w:left="107" w:right="180"/>
              <w:rPr>
                <w:sz w:val="18"/>
              </w:rPr>
            </w:pP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173/17/V/2024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Regional</w:t>
            </w:r>
            <w:r>
              <w:rPr>
                <w:spacing w:val="-2"/>
                <w:sz w:val="18"/>
              </w:rPr>
              <w:t xml:space="preserve"> </w:t>
            </w:r>
            <w:r>
              <w:rPr>
                <w:sz w:val="18"/>
              </w:rPr>
              <w:t>Data</w:t>
            </w:r>
            <w:r>
              <w:rPr>
                <w:spacing w:val="-4"/>
                <w:sz w:val="18"/>
              </w:rPr>
              <w:t xml:space="preserve"> </w:t>
            </w:r>
            <w:r>
              <w:rPr>
                <w:sz w:val="18"/>
              </w:rPr>
              <w:t>List</w:t>
            </w:r>
            <w:r>
              <w:rPr>
                <w:spacing w:val="-2"/>
                <w:sz w:val="18"/>
              </w:rPr>
              <w:t xml:space="preserve"> </w:t>
            </w:r>
            <w:r>
              <w:rPr>
                <w:sz w:val="18"/>
              </w:rPr>
              <w:t>for</w:t>
            </w:r>
            <w:r>
              <w:rPr>
                <w:spacing w:val="-5"/>
                <w:sz w:val="18"/>
              </w:rPr>
              <w:t xml:space="preserve"> </w:t>
            </w:r>
            <w:r>
              <w:rPr>
                <w:sz w:val="18"/>
              </w:rPr>
              <w:t>Regional</w:t>
            </w:r>
            <w:r>
              <w:rPr>
                <w:spacing w:val="-2"/>
                <w:sz w:val="18"/>
              </w:rPr>
              <w:t xml:space="preserve"> </w:t>
            </w:r>
            <w:r>
              <w:rPr>
                <w:sz w:val="18"/>
              </w:rPr>
              <w:t>Development</w:t>
            </w:r>
            <w:r>
              <w:rPr>
                <w:spacing w:val="-2"/>
                <w:sz w:val="18"/>
              </w:rPr>
              <w:t xml:space="preserve"> </w:t>
            </w:r>
            <w:r>
              <w:rPr>
                <w:sz w:val="18"/>
              </w:rPr>
              <w:t>Planning</w:t>
            </w:r>
            <w:r>
              <w:rPr>
                <w:spacing w:val="-4"/>
                <w:sz w:val="18"/>
              </w:rPr>
              <w:t xml:space="preserve"> </w:t>
            </w:r>
            <w:r>
              <w:rPr>
                <w:sz w:val="18"/>
              </w:rPr>
              <w:t>of the Gorontalo Provincial Government in 2024</w:t>
            </w:r>
          </w:p>
        </w:tc>
        <w:tc>
          <w:tcPr>
            <w:tcW w:w="1275" w:type="dxa"/>
            <w:tcBorders>
              <w:top w:val="single" w:sz="4" w:space="0" w:color="A6A6A6"/>
              <w:left w:val="single" w:sz="4" w:space="0" w:color="A6A6A6"/>
              <w:bottom w:val="single" w:sz="4" w:space="0" w:color="A6A6A6"/>
              <w:right w:val="single" w:sz="4" w:space="0" w:color="A6A6A6"/>
            </w:tcBorders>
          </w:tcPr>
          <w:p w14:paraId="7300FD04" w14:textId="77777777" w:rsidR="00BC24A8" w:rsidRDefault="00000000">
            <w:pPr>
              <w:pStyle w:val="TableParagraph"/>
              <w:spacing w:before="1"/>
              <w:ind w:left="106"/>
              <w:rPr>
                <w:sz w:val="18"/>
              </w:rPr>
            </w:pPr>
            <w:r>
              <w:rPr>
                <w:spacing w:val="-2"/>
                <w:sz w:val="18"/>
              </w:rPr>
              <w:t>Gorontalo</w:t>
            </w:r>
          </w:p>
        </w:tc>
      </w:tr>
      <w:tr w:rsidR="00BC24A8" w14:paraId="1079B326"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3A11FEBF" w14:textId="77777777" w:rsidR="00BC24A8" w:rsidRDefault="00000000">
            <w:pPr>
              <w:pStyle w:val="TableParagraph"/>
              <w:spacing w:line="219" w:lineRule="exact"/>
              <w:ind w:left="92" w:right="171"/>
              <w:jc w:val="center"/>
              <w:rPr>
                <w:sz w:val="18"/>
              </w:rPr>
            </w:pPr>
            <w:r>
              <w:rPr>
                <w:spacing w:val="-5"/>
                <w:sz w:val="18"/>
              </w:rPr>
              <w:t>49</w:t>
            </w:r>
          </w:p>
        </w:tc>
        <w:tc>
          <w:tcPr>
            <w:tcW w:w="7760" w:type="dxa"/>
            <w:tcBorders>
              <w:top w:val="single" w:sz="4" w:space="0" w:color="A6A6A6"/>
              <w:left w:val="single" w:sz="4" w:space="0" w:color="A6A6A6"/>
              <w:bottom w:val="single" w:sz="4" w:space="0" w:color="A6A6A6"/>
              <w:right w:val="single" w:sz="4" w:space="0" w:color="A6A6A6"/>
            </w:tcBorders>
          </w:tcPr>
          <w:p w14:paraId="5F66B88E" w14:textId="77777777" w:rsidR="00BC24A8" w:rsidRDefault="00000000">
            <w:pPr>
              <w:pStyle w:val="TableParagraph"/>
              <w:ind w:left="107" w:right="122"/>
              <w:rPr>
                <w:sz w:val="18"/>
              </w:rPr>
            </w:pPr>
            <w:r>
              <w:rPr>
                <w:sz w:val="18"/>
              </w:rPr>
              <w:t>Governor</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29/2024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Implementation</w:t>
            </w:r>
            <w:r>
              <w:rPr>
                <w:spacing w:val="-3"/>
                <w:sz w:val="18"/>
              </w:rPr>
              <w:t xml:space="preserve"> </w:t>
            </w:r>
            <w:r>
              <w:rPr>
                <w:sz w:val="18"/>
              </w:rPr>
              <w:t>of</w:t>
            </w:r>
            <w:r>
              <w:rPr>
                <w:spacing w:val="-4"/>
                <w:sz w:val="18"/>
              </w:rPr>
              <w:t xml:space="preserve"> </w:t>
            </w:r>
            <w:r>
              <w:rPr>
                <w:sz w:val="18"/>
              </w:rPr>
              <w:t>Sectoral</w:t>
            </w:r>
            <w:r>
              <w:rPr>
                <w:spacing w:val="-2"/>
                <w:sz w:val="18"/>
              </w:rPr>
              <w:t xml:space="preserve"> </w:t>
            </w:r>
            <w:r>
              <w:rPr>
                <w:sz w:val="18"/>
              </w:rPr>
              <w:t>Statistics</w:t>
            </w:r>
            <w:r>
              <w:rPr>
                <w:spacing w:val="-3"/>
                <w:sz w:val="18"/>
              </w:rPr>
              <w:t xml:space="preserve"> </w:t>
            </w:r>
            <w:r>
              <w:rPr>
                <w:sz w:val="18"/>
              </w:rPr>
              <w:t>within</w:t>
            </w:r>
            <w:r>
              <w:rPr>
                <w:spacing w:val="-3"/>
                <w:sz w:val="18"/>
              </w:rPr>
              <w:t xml:space="preserve"> </w:t>
            </w:r>
            <w:r>
              <w:rPr>
                <w:sz w:val="18"/>
              </w:rPr>
              <w:t>the</w:t>
            </w:r>
            <w:r>
              <w:rPr>
                <w:spacing w:val="-3"/>
                <w:sz w:val="18"/>
              </w:rPr>
              <w:t xml:space="preserve"> </w:t>
            </w:r>
            <w:r>
              <w:rPr>
                <w:sz w:val="18"/>
              </w:rPr>
              <w:t xml:space="preserve">Regional </w:t>
            </w:r>
            <w:r>
              <w:rPr>
                <w:spacing w:val="-2"/>
                <w:sz w:val="18"/>
              </w:rPr>
              <w:t>Government</w:t>
            </w:r>
          </w:p>
        </w:tc>
        <w:tc>
          <w:tcPr>
            <w:tcW w:w="1275" w:type="dxa"/>
            <w:tcBorders>
              <w:top w:val="single" w:sz="4" w:space="0" w:color="A6A6A6"/>
              <w:left w:val="single" w:sz="4" w:space="0" w:color="A6A6A6"/>
              <w:bottom w:val="single" w:sz="4" w:space="0" w:color="A6A6A6"/>
              <w:right w:val="single" w:sz="4" w:space="0" w:color="A6A6A6"/>
            </w:tcBorders>
          </w:tcPr>
          <w:p w14:paraId="02C31142" w14:textId="77777777" w:rsidR="00BC24A8" w:rsidRDefault="00000000">
            <w:pPr>
              <w:pStyle w:val="TableParagraph"/>
              <w:spacing w:line="219" w:lineRule="exact"/>
              <w:ind w:left="106"/>
              <w:rPr>
                <w:sz w:val="18"/>
              </w:rPr>
            </w:pPr>
            <w:r>
              <w:rPr>
                <w:spacing w:val="-2"/>
                <w:sz w:val="18"/>
              </w:rPr>
              <w:t>Gorontalo</w:t>
            </w:r>
          </w:p>
        </w:tc>
      </w:tr>
      <w:tr w:rsidR="00BC24A8" w14:paraId="7D970398"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27DA65B1" w14:textId="77777777" w:rsidR="00BC24A8" w:rsidRDefault="00000000">
            <w:pPr>
              <w:pStyle w:val="TableParagraph"/>
              <w:spacing w:before="1"/>
              <w:ind w:left="92" w:right="171"/>
              <w:jc w:val="center"/>
              <w:rPr>
                <w:sz w:val="18"/>
              </w:rPr>
            </w:pPr>
            <w:r>
              <w:rPr>
                <w:spacing w:val="-5"/>
                <w:sz w:val="18"/>
              </w:rPr>
              <w:t>50</w:t>
            </w:r>
          </w:p>
        </w:tc>
        <w:tc>
          <w:tcPr>
            <w:tcW w:w="7760" w:type="dxa"/>
            <w:tcBorders>
              <w:top w:val="single" w:sz="4" w:space="0" w:color="A6A6A6"/>
              <w:left w:val="single" w:sz="4" w:space="0" w:color="A6A6A6"/>
              <w:bottom w:val="single" w:sz="4" w:space="0" w:color="A6A6A6"/>
              <w:right w:val="single" w:sz="4" w:space="0" w:color="A6A6A6"/>
            </w:tcBorders>
          </w:tcPr>
          <w:p w14:paraId="007BFA37" w14:textId="77777777" w:rsidR="00BC24A8" w:rsidRDefault="00000000">
            <w:pPr>
              <w:pStyle w:val="TableParagraph"/>
              <w:spacing w:before="1"/>
              <w:ind w:left="107" w:right="122"/>
              <w:rPr>
                <w:sz w:val="18"/>
              </w:rPr>
            </w:pPr>
            <w:r>
              <w:rPr>
                <w:sz w:val="18"/>
              </w:rPr>
              <w:t>Village</w:t>
            </w:r>
            <w:r>
              <w:rPr>
                <w:spacing w:val="-3"/>
                <w:sz w:val="18"/>
              </w:rPr>
              <w:t xml:space="preserve"> </w:t>
            </w:r>
            <w:r>
              <w:rPr>
                <w:sz w:val="18"/>
              </w:rPr>
              <w:t>Head</w:t>
            </w:r>
            <w:r>
              <w:rPr>
                <w:spacing w:val="-3"/>
                <w:sz w:val="18"/>
              </w:rPr>
              <w:t xml:space="preserve"> </w:t>
            </w:r>
            <w:r>
              <w:rPr>
                <w:sz w:val="18"/>
              </w:rPr>
              <w:t>Decree</w:t>
            </w:r>
            <w:r>
              <w:rPr>
                <w:spacing w:val="-3"/>
                <w:sz w:val="18"/>
              </w:rPr>
              <w:t xml:space="preserve"> </w:t>
            </w:r>
            <w:r>
              <w:rPr>
                <w:sz w:val="18"/>
              </w:rPr>
              <w:t>of</w:t>
            </w:r>
            <w:r>
              <w:rPr>
                <w:spacing w:val="-4"/>
                <w:sz w:val="18"/>
              </w:rPr>
              <w:t xml:space="preserve"> </w:t>
            </w:r>
            <w:r>
              <w:rPr>
                <w:sz w:val="18"/>
              </w:rPr>
              <w:t>Dutohe</w:t>
            </w:r>
            <w:r>
              <w:rPr>
                <w:spacing w:val="-3"/>
                <w:sz w:val="18"/>
              </w:rPr>
              <w:t xml:space="preserve"> </w:t>
            </w:r>
            <w:r>
              <w:rPr>
                <w:sz w:val="18"/>
              </w:rPr>
              <w:t>No.</w:t>
            </w:r>
            <w:r>
              <w:rPr>
                <w:spacing w:val="-4"/>
                <w:sz w:val="18"/>
              </w:rPr>
              <w:t xml:space="preserve"> </w:t>
            </w:r>
            <w:r>
              <w:rPr>
                <w:sz w:val="18"/>
              </w:rPr>
              <w:t>35/2024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5"/>
                <w:sz w:val="18"/>
              </w:rPr>
              <w:t xml:space="preserve"> </w:t>
            </w:r>
            <w:r>
              <w:rPr>
                <w:sz w:val="18"/>
              </w:rPr>
              <w:t>of</w:t>
            </w:r>
            <w:r>
              <w:rPr>
                <w:spacing w:val="-4"/>
                <w:sz w:val="18"/>
              </w:rPr>
              <w:t xml:space="preserve"> </w:t>
            </w:r>
            <w:r>
              <w:rPr>
                <w:sz w:val="18"/>
              </w:rPr>
              <w:t>the</w:t>
            </w:r>
            <w:r>
              <w:rPr>
                <w:spacing w:val="-3"/>
                <w:sz w:val="18"/>
              </w:rPr>
              <w:t xml:space="preserve"> </w:t>
            </w:r>
            <w:r>
              <w:rPr>
                <w:sz w:val="18"/>
              </w:rPr>
              <w:t>Integrated</w:t>
            </w:r>
            <w:r>
              <w:rPr>
                <w:spacing w:val="-3"/>
                <w:sz w:val="18"/>
              </w:rPr>
              <w:t xml:space="preserve"> </w:t>
            </w:r>
            <w:r>
              <w:rPr>
                <w:sz w:val="18"/>
              </w:rPr>
              <w:t>Data</w:t>
            </w:r>
            <w:r>
              <w:rPr>
                <w:spacing w:val="-4"/>
                <w:sz w:val="18"/>
              </w:rPr>
              <w:t xml:space="preserve"> </w:t>
            </w:r>
            <w:r>
              <w:rPr>
                <w:sz w:val="18"/>
              </w:rPr>
              <w:t>Updating</w:t>
            </w:r>
            <w:r>
              <w:rPr>
                <w:spacing w:val="-4"/>
                <w:sz w:val="18"/>
              </w:rPr>
              <w:t xml:space="preserve"> </w:t>
            </w:r>
            <w:r>
              <w:rPr>
                <w:sz w:val="18"/>
              </w:rPr>
              <w:t>Task Force through the Gorontalo One Data (GSD) Platform</w:t>
            </w:r>
          </w:p>
        </w:tc>
        <w:tc>
          <w:tcPr>
            <w:tcW w:w="1275" w:type="dxa"/>
            <w:tcBorders>
              <w:top w:val="single" w:sz="4" w:space="0" w:color="A6A6A6"/>
              <w:left w:val="single" w:sz="4" w:space="0" w:color="A6A6A6"/>
              <w:bottom w:val="single" w:sz="4" w:space="0" w:color="A6A6A6"/>
              <w:right w:val="single" w:sz="4" w:space="0" w:color="A6A6A6"/>
            </w:tcBorders>
          </w:tcPr>
          <w:p w14:paraId="2F3ACB53" w14:textId="77777777" w:rsidR="00BC24A8" w:rsidRDefault="00000000">
            <w:pPr>
              <w:pStyle w:val="TableParagraph"/>
              <w:spacing w:before="1"/>
              <w:ind w:left="106"/>
              <w:rPr>
                <w:sz w:val="18"/>
              </w:rPr>
            </w:pPr>
            <w:r>
              <w:rPr>
                <w:spacing w:val="-2"/>
                <w:sz w:val="18"/>
              </w:rPr>
              <w:t>Gorontalo</w:t>
            </w:r>
          </w:p>
        </w:tc>
      </w:tr>
      <w:tr w:rsidR="00BC24A8" w14:paraId="70299191"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2571DEC3" w14:textId="77777777" w:rsidR="00BC24A8" w:rsidRDefault="00000000">
            <w:pPr>
              <w:pStyle w:val="TableParagraph"/>
              <w:spacing w:before="1"/>
              <w:ind w:left="92" w:right="171"/>
              <w:jc w:val="center"/>
              <w:rPr>
                <w:sz w:val="18"/>
              </w:rPr>
            </w:pPr>
            <w:r>
              <w:rPr>
                <w:spacing w:val="-5"/>
                <w:sz w:val="18"/>
              </w:rPr>
              <w:t>51</w:t>
            </w:r>
          </w:p>
        </w:tc>
        <w:tc>
          <w:tcPr>
            <w:tcW w:w="7760" w:type="dxa"/>
            <w:tcBorders>
              <w:top w:val="single" w:sz="4" w:space="0" w:color="A6A6A6"/>
              <w:left w:val="single" w:sz="4" w:space="0" w:color="A6A6A6"/>
              <w:bottom w:val="single" w:sz="4" w:space="0" w:color="A6A6A6"/>
              <w:right w:val="single" w:sz="4" w:space="0" w:color="A6A6A6"/>
            </w:tcBorders>
          </w:tcPr>
          <w:p w14:paraId="1C7B965D" w14:textId="77777777" w:rsidR="00BC24A8" w:rsidRDefault="00000000">
            <w:pPr>
              <w:pStyle w:val="TableParagraph"/>
              <w:spacing w:before="1"/>
              <w:ind w:left="107" w:right="122"/>
              <w:rPr>
                <w:sz w:val="18"/>
              </w:rPr>
            </w:pPr>
            <w:r>
              <w:rPr>
                <w:sz w:val="18"/>
              </w:rPr>
              <w:t>Village</w:t>
            </w:r>
            <w:r>
              <w:rPr>
                <w:spacing w:val="-3"/>
                <w:sz w:val="18"/>
              </w:rPr>
              <w:t xml:space="preserve"> </w:t>
            </w:r>
            <w:r>
              <w:rPr>
                <w:sz w:val="18"/>
              </w:rPr>
              <w:t>Head</w:t>
            </w:r>
            <w:r>
              <w:rPr>
                <w:spacing w:val="-3"/>
                <w:sz w:val="18"/>
              </w:rPr>
              <w:t xml:space="preserve"> </w:t>
            </w:r>
            <w:r>
              <w:rPr>
                <w:sz w:val="18"/>
              </w:rPr>
              <w:t>Decree</w:t>
            </w:r>
            <w:r>
              <w:rPr>
                <w:spacing w:val="-3"/>
                <w:sz w:val="18"/>
              </w:rPr>
              <w:t xml:space="preserve"> </w:t>
            </w:r>
            <w:r>
              <w:rPr>
                <w:sz w:val="18"/>
              </w:rPr>
              <w:t>of</w:t>
            </w:r>
            <w:r>
              <w:rPr>
                <w:spacing w:val="-4"/>
                <w:sz w:val="18"/>
              </w:rPr>
              <w:t xml:space="preserve"> </w:t>
            </w:r>
            <w:r>
              <w:rPr>
                <w:sz w:val="18"/>
              </w:rPr>
              <w:t>Talulobutu</w:t>
            </w:r>
            <w:r>
              <w:rPr>
                <w:spacing w:val="-3"/>
                <w:sz w:val="18"/>
              </w:rPr>
              <w:t xml:space="preserve"> </w:t>
            </w:r>
            <w:r>
              <w:rPr>
                <w:sz w:val="18"/>
              </w:rPr>
              <w:t>No.</w:t>
            </w:r>
            <w:r>
              <w:rPr>
                <w:spacing w:val="-4"/>
                <w:sz w:val="18"/>
              </w:rPr>
              <w:t xml:space="preserve"> </w:t>
            </w:r>
            <w:r>
              <w:rPr>
                <w:sz w:val="18"/>
              </w:rPr>
              <w:t>50/2024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Integrated</w:t>
            </w:r>
            <w:r>
              <w:rPr>
                <w:spacing w:val="-3"/>
                <w:sz w:val="18"/>
              </w:rPr>
              <w:t xml:space="preserve"> </w:t>
            </w:r>
            <w:r>
              <w:rPr>
                <w:sz w:val="18"/>
              </w:rPr>
              <w:t>Data</w:t>
            </w:r>
            <w:r>
              <w:rPr>
                <w:spacing w:val="-4"/>
                <w:sz w:val="18"/>
              </w:rPr>
              <w:t xml:space="preserve"> </w:t>
            </w:r>
            <w:r>
              <w:rPr>
                <w:sz w:val="18"/>
              </w:rPr>
              <w:t>Updating Task Force through the Gorontalo One Data (GSD) Platform</w:t>
            </w:r>
          </w:p>
        </w:tc>
        <w:tc>
          <w:tcPr>
            <w:tcW w:w="1275" w:type="dxa"/>
            <w:tcBorders>
              <w:top w:val="single" w:sz="4" w:space="0" w:color="A6A6A6"/>
              <w:left w:val="single" w:sz="4" w:space="0" w:color="A6A6A6"/>
              <w:bottom w:val="single" w:sz="4" w:space="0" w:color="A6A6A6"/>
              <w:right w:val="single" w:sz="4" w:space="0" w:color="A6A6A6"/>
            </w:tcBorders>
          </w:tcPr>
          <w:p w14:paraId="4C44381D" w14:textId="77777777" w:rsidR="00BC24A8" w:rsidRDefault="00000000">
            <w:pPr>
              <w:pStyle w:val="TableParagraph"/>
              <w:spacing w:before="1"/>
              <w:ind w:left="106"/>
              <w:rPr>
                <w:sz w:val="18"/>
              </w:rPr>
            </w:pPr>
            <w:r>
              <w:rPr>
                <w:spacing w:val="-2"/>
                <w:sz w:val="18"/>
              </w:rPr>
              <w:t>Gorontalo</w:t>
            </w:r>
          </w:p>
        </w:tc>
      </w:tr>
      <w:tr w:rsidR="00BC24A8" w14:paraId="3DC87E47"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05C24A23" w14:textId="77777777" w:rsidR="00BC24A8" w:rsidRDefault="00000000">
            <w:pPr>
              <w:pStyle w:val="TableParagraph"/>
              <w:spacing w:before="1"/>
              <w:ind w:left="92" w:right="171"/>
              <w:jc w:val="center"/>
              <w:rPr>
                <w:sz w:val="18"/>
              </w:rPr>
            </w:pPr>
            <w:r>
              <w:rPr>
                <w:spacing w:val="-5"/>
                <w:sz w:val="18"/>
              </w:rPr>
              <w:t>52</w:t>
            </w:r>
          </w:p>
        </w:tc>
        <w:tc>
          <w:tcPr>
            <w:tcW w:w="7760" w:type="dxa"/>
            <w:tcBorders>
              <w:top w:val="single" w:sz="4" w:space="0" w:color="A6A6A6"/>
              <w:left w:val="single" w:sz="4" w:space="0" w:color="A6A6A6"/>
              <w:bottom w:val="single" w:sz="4" w:space="0" w:color="A6A6A6"/>
              <w:right w:val="single" w:sz="4" w:space="0" w:color="A6A6A6"/>
            </w:tcBorders>
          </w:tcPr>
          <w:p w14:paraId="09A2C7E8" w14:textId="77777777" w:rsidR="00BC24A8" w:rsidRDefault="00000000">
            <w:pPr>
              <w:pStyle w:val="TableParagraph"/>
              <w:spacing w:before="1"/>
              <w:ind w:left="107" w:right="122"/>
              <w:rPr>
                <w:sz w:val="18"/>
              </w:rPr>
            </w:pPr>
            <w:r>
              <w:rPr>
                <w:sz w:val="18"/>
              </w:rPr>
              <w:t>Village</w:t>
            </w:r>
            <w:r>
              <w:rPr>
                <w:spacing w:val="-3"/>
                <w:sz w:val="18"/>
              </w:rPr>
              <w:t xml:space="preserve"> </w:t>
            </w:r>
            <w:r>
              <w:rPr>
                <w:sz w:val="18"/>
              </w:rPr>
              <w:t>Head</w:t>
            </w:r>
            <w:r>
              <w:rPr>
                <w:spacing w:val="-3"/>
                <w:sz w:val="18"/>
              </w:rPr>
              <w:t xml:space="preserve"> </w:t>
            </w:r>
            <w:r>
              <w:rPr>
                <w:sz w:val="18"/>
              </w:rPr>
              <w:t>Decree</w:t>
            </w:r>
            <w:r>
              <w:rPr>
                <w:spacing w:val="-3"/>
                <w:sz w:val="18"/>
              </w:rPr>
              <w:t xml:space="preserve"> </w:t>
            </w:r>
            <w:r>
              <w:rPr>
                <w:sz w:val="18"/>
              </w:rPr>
              <w:t>of</w:t>
            </w:r>
            <w:r>
              <w:rPr>
                <w:spacing w:val="-4"/>
                <w:sz w:val="18"/>
              </w:rPr>
              <w:t xml:space="preserve"> </w:t>
            </w:r>
            <w:r>
              <w:rPr>
                <w:sz w:val="18"/>
              </w:rPr>
              <w:t>Iloheluma</w:t>
            </w:r>
            <w:r>
              <w:rPr>
                <w:spacing w:val="-4"/>
                <w:sz w:val="18"/>
              </w:rPr>
              <w:t xml:space="preserve"> </w:t>
            </w:r>
            <w:r>
              <w:rPr>
                <w:sz w:val="18"/>
              </w:rPr>
              <w:t>No.</w:t>
            </w:r>
            <w:r>
              <w:rPr>
                <w:spacing w:val="-4"/>
                <w:sz w:val="18"/>
              </w:rPr>
              <w:t xml:space="preserve"> </w:t>
            </w:r>
            <w:r>
              <w:rPr>
                <w:sz w:val="18"/>
              </w:rPr>
              <w:t>33/2024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Integrated</w:t>
            </w:r>
            <w:r>
              <w:rPr>
                <w:spacing w:val="-3"/>
                <w:sz w:val="18"/>
              </w:rPr>
              <w:t xml:space="preserve"> </w:t>
            </w:r>
            <w:r>
              <w:rPr>
                <w:sz w:val="18"/>
              </w:rPr>
              <w:t>Data</w:t>
            </w:r>
            <w:r>
              <w:rPr>
                <w:spacing w:val="-4"/>
                <w:sz w:val="18"/>
              </w:rPr>
              <w:t xml:space="preserve"> </w:t>
            </w:r>
            <w:r>
              <w:rPr>
                <w:sz w:val="18"/>
              </w:rPr>
              <w:t>Updating Task Force through the Gorontalo One Data (GSD) Platform</w:t>
            </w:r>
          </w:p>
        </w:tc>
        <w:tc>
          <w:tcPr>
            <w:tcW w:w="1275" w:type="dxa"/>
            <w:tcBorders>
              <w:top w:val="single" w:sz="4" w:space="0" w:color="A6A6A6"/>
              <w:left w:val="single" w:sz="4" w:space="0" w:color="A6A6A6"/>
              <w:bottom w:val="single" w:sz="4" w:space="0" w:color="A6A6A6"/>
              <w:right w:val="single" w:sz="4" w:space="0" w:color="A6A6A6"/>
            </w:tcBorders>
          </w:tcPr>
          <w:p w14:paraId="44DBC2AF" w14:textId="77777777" w:rsidR="00BC24A8" w:rsidRDefault="00000000">
            <w:pPr>
              <w:pStyle w:val="TableParagraph"/>
              <w:spacing w:before="1"/>
              <w:ind w:left="106"/>
              <w:rPr>
                <w:sz w:val="18"/>
              </w:rPr>
            </w:pPr>
            <w:r>
              <w:rPr>
                <w:spacing w:val="-2"/>
                <w:sz w:val="18"/>
              </w:rPr>
              <w:t>Gorontalo</w:t>
            </w:r>
          </w:p>
        </w:tc>
      </w:tr>
      <w:tr w:rsidR="00BC24A8" w14:paraId="594B77D9"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4FA1474E" w14:textId="77777777" w:rsidR="00BC24A8" w:rsidRDefault="00000000">
            <w:pPr>
              <w:pStyle w:val="TableParagraph"/>
              <w:spacing w:before="1"/>
              <w:ind w:left="92" w:right="171"/>
              <w:jc w:val="center"/>
              <w:rPr>
                <w:sz w:val="18"/>
              </w:rPr>
            </w:pPr>
            <w:r>
              <w:rPr>
                <w:spacing w:val="-5"/>
                <w:sz w:val="18"/>
              </w:rPr>
              <w:t>53</w:t>
            </w:r>
          </w:p>
        </w:tc>
        <w:tc>
          <w:tcPr>
            <w:tcW w:w="7760" w:type="dxa"/>
            <w:tcBorders>
              <w:top w:val="single" w:sz="4" w:space="0" w:color="A6A6A6"/>
              <w:left w:val="single" w:sz="4" w:space="0" w:color="A6A6A6"/>
              <w:bottom w:val="single" w:sz="4" w:space="0" w:color="A6A6A6"/>
              <w:right w:val="single" w:sz="4" w:space="0" w:color="A6A6A6"/>
            </w:tcBorders>
          </w:tcPr>
          <w:p w14:paraId="7939492F" w14:textId="77777777" w:rsidR="00BC24A8" w:rsidRDefault="00000000">
            <w:pPr>
              <w:pStyle w:val="TableParagraph"/>
              <w:spacing w:before="1"/>
              <w:ind w:left="107" w:right="122"/>
              <w:rPr>
                <w:sz w:val="18"/>
              </w:rPr>
            </w:pPr>
            <w:r>
              <w:rPr>
                <w:sz w:val="18"/>
              </w:rPr>
              <w:t>Village</w:t>
            </w:r>
            <w:r>
              <w:rPr>
                <w:spacing w:val="-2"/>
                <w:sz w:val="18"/>
              </w:rPr>
              <w:t xml:space="preserve"> </w:t>
            </w:r>
            <w:r>
              <w:rPr>
                <w:sz w:val="18"/>
              </w:rPr>
              <w:t>Head</w:t>
            </w:r>
            <w:r>
              <w:rPr>
                <w:spacing w:val="-2"/>
                <w:sz w:val="18"/>
              </w:rPr>
              <w:t xml:space="preserve"> </w:t>
            </w:r>
            <w:r>
              <w:rPr>
                <w:sz w:val="18"/>
              </w:rPr>
              <w:t>Decree</w:t>
            </w:r>
            <w:r>
              <w:rPr>
                <w:spacing w:val="-2"/>
                <w:sz w:val="18"/>
              </w:rPr>
              <w:t xml:space="preserve"> </w:t>
            </w:r>
            <w:r>
              <w:rPr>
                <w:sz w:val="18"/>
              </w:rPr>
              <w:t>of</w:t>
            </w:r>
            <w:r>
              <w:rPr>
                <w:spacing w:val="-3"/>
                <w:sz w:val="18"/>
              </w:rPr>
              <w:t xml:space="preserve"> </w:t>
            </w:r>
            <w:r>
              <w:rPr>
                <w:sz w:val="18"/>
              </w:rPr>
              <w:t>Bubeya</w:t>
            </w:r>
            <w:r>
              <w:rPr>
                <w:spacing w:val="-3"/>
                <w:sz w:val="18"/>
              </w:rPr>
              <w:t xml:space="preserve"> </w:t>
            </w:r>
            <w:r>
              <w:rPr>
                <w:sz w:val="18"/>
              </w:rPr>
              <w:t>No.</w:t>
            </w:r>
            <w:r>
              <w:rPr>
                <w:spacing w:val="-3"/>
                <w:sz w:val="18"/>
              </w:rPr>
              <w:t xml:space="preserve"> </w:t>
            </w:r>
            <w:r>
              <w:rPr>
                <w:sz w:val="18"/>
              </w:rPr>
              <w:t>35/2024</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Establishment</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Integrated</w:t>
            </w:r>
            <w:r>
              <w:rPr>
                <w:spacing w:val="-2"/>
                <w:sz w:val="18"/>
              </w:rPr>
              <w:t xml:space="preserve"> </w:t>
            </w:r>
            <w:r>
              <w:rPr>
                <w:sz w:val="18"/>
              </w:rPr>
              <w:t>Data</w:t>
            </w:r>
            <w:r>
              <w:rPr>
                <w:spacing w:val="-3"/>
                <w:sz w:val="18"/>
              </w:rPr>
              <w:t xml:space="preserve"> </w:t>
            </w:r>
            <w:r>
              <w:rPr>
                <w:sz w:val="18"/>
              </w:rPr>
              <w:t>Updating</w:t>
            </w:r>
            <w:r>
              <w:rPr>
                <w:spacing w:val="-3"/>
                <w:sz w:val="18"/>
              </w:rPr>
              <w:t xml:space="preserve"> </w:t>
            </w:r>
            <w:r>
              <w:rPr>
                <w:sz w:val="18"/>
              </w:rPr>
              <w:t>Task Force through the Gorontalo One Data (GSD) Platform</w:t>
            </w:r>
          </w:p>
        </w:tc>
        <w:tc>
          <w:tcPr>
            <w:tcW w:w="1275" w:type="dxa"/>
            <w:tcBorders>
              <w:top w:val="single" w:sz="4" w:space="0" w:color="A6A6A6"/>
              <w:left w:val="single" w:sz="4" w:space="0" w:color="A6A6A6"/>
              <w:bottom w:val="single" w:sz="4" w:space="0" w:color="A6A6A6"/>
              <w:right w:val="single" w:sz="4" w:space="0" w:color="A6A6A6"/>
            </w:tcBorders>
          </w:tcPr>
          <w:p w14:paraId="25B985B7" w14:textId="77777777" w:rsidR="00BC24A8" w:rsidRDefault="00000000">
            <w:pPr>
              <w:pStyle w:val="TableParagraph"/>
              <w:spacing w:before="1"/>
              <w:ind w:left="106"/>
              <w:rPr>
                <w:sz w:val="18"/>
              </w:rPr>
            </w:pPr>
            <w:r>
              <w:rPr>
                <w:spacing w:val="-2"/>
                <w:sz w:val="18"/>
              </w:rPr>
              <w:t>Gorontalo</w:t>
            </w:r>
          </w:p>
        </w:tc>
      </w:tr>
      <w:tr w:rsidR="00BC24A8" w14:paraId="544B7FAA"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3F41ACC7" w14:textId="77777777" w:rsidR="00BC24A8" w:rsidRDefault="00000000">
            <w:pPr>
              <w:pStyle w:val="TableParagraph"/>
              <w:spacing w:before="1"/>
              <w:ind w:left="92" w:right="171"/>
              <w:jc w:val="center"/>
              <w:rPr>
                <w:sz w:val="18"/>
              </w:rPr>
            </w:pPr>
            <w:r>
              <w:rPr>
                <w:spacing w:val="-5"/>
                <w:sz w:val="18"/>
              </w:rPr>
              <w:t>54</w:t>
            </w:r>
          </w:p>
        </w:tc>
        <w:tc>
          <w:tcPr>
            <w:tcW w:w="7760" w:type="dxa"/>
            <w:tcBorders>
              <w:top w:val="single" w:sz="4" w:space="0" w:color="A6A6A6"/>
              <w:left w:val="single" w:sz="4" w:space="0" w:color="A6A6A6"/>
              <w:bottom w:val="single" w:sz="4" w:space="0" w:color="A6A6A6"/>
              <w:right w:val="single" w:sz="4" w:space="0" w:color="A6A6A6"/>
            </w:tcBorders>
          </w:tcPr>
          <w:p w14:paraId="558E2C2D" w14:textId="77777777" w:rsidR="00BC24A8" w:rsidRDefault="00000000">
            <w:pPr>
              <w:pStyle w:val="TableParagraph"/>
              <w:spacing w:line="220" w:lineRule="atLeast"/>
              <w:ind w:left="107" w:right="122"/>
              <w:rPr>
                <w:sz w:val="18"/>
              </w:rPr>
            </w:pPr>
            <w:r>
              <w:rPr>
                <w:sz w:val="18"/>
              </w:rPr>
              <w:t>Village</w:t>
            </w:r>
            <w:r>
              <w:rPr>
                <w:spacing w:val="-3"/>
                <w:sz w:val="18"/>
              </w:rPr>
              <w:t xml:space="preserve"> </w:t>
            </w:r>
            <w:r>
              <w:rPr>
                <w:sz w:val="18"/>
              </w:rPr>
              <w:t>Head</w:t>
            </w:r>
            <w:r>
              <w:rPr>
                <w:spacing w:val="-3"/>
                <w:sz w:val="18"/>
              </w:rPr>
              <w:t xml:space="preserve"> </w:t>
            </w:r>
            <w:r>
              <w:rPr>
                <w:sz w:val="18"/>
              </w:rPr>
              <w:t>Decree</w:t>
            </w:r>
            <w:r>
              <w:rPr>
                <w:spacing w:val="-3"/>
                <w:sz w:val="18"/>
              </w:rPr>
              <w:t xml:space="preserve"> </w:t>
            </w:r>
            <w:r>
              <w:rPr>
                <w:sz w:val="18"/>
              </w:rPr>
              <w:t>of</w:t>
            </w:r>
            <w:r>
              <w:rPr>
                <w:spacing w:val="-4"/>
                <w:sz w:val="18"/>
              </w:rPr>
              <w:t xml:space="preserve"> </w:t>
            </w:r>
            <w:r>
              <w:rPr>
                <w:sz w:val="18"/>
              </w:rPr>
              <w:t>Lamahu</w:t>
            </w:r>
            <w:r>
              <w:rPr>
                <w:spacing w:val="-3"/>
                <w:sz w:val="18"/>
              </w:rPr>
              <w:t xml:space="preserve"> </w:t>
            </w:r>
            <w:r>
              <w:rPr>
                <w:sz w:val="18"/>
              </w:rPr>
              <w:t>No.</w:t>
            </w:r>
            <w:r>
              <w:rPr>
                <w:spacing w:val="-4"/>
                <w:sz w:val="18"/>
              </w:rPr>
              <w:t xml:space="preserve"> </w:t>
            </w:r>
            <w:r>
              <w:rPr>
                <w:sz w:val="18"/>
              </w:rPr>
              <w:t>42/2024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5"/>
                <w:sz w:val="18"/>
              </w:rPr>
              <w:t xml:space="preserve"> </w:t>
            </w:r>
            <w:r>
              <w:rPr>
                <w:sz w:val="18"/>
              </w:rPr>
              <w:t>of</w:t>
            </w:r>
            <w:r>
              <w:rPr>
                <w:spacing w:val="-4"/>
                <w:sz w:val="18"/>
              </w:rPr>
              <w:t xml:space="preserve"> </w:t>
            </w:r>
            <w:r>
              <w:rPr>
                <w:sz w:val="18"/>
              </w:rPr>
              <w:t>the</w:t>
            </w:r>
            <w:r>
              <w:rPr>
                <w:spacing w:val="-3"/>
                <w:sz w:val="18"/>
              </w:rPr>
              <w:t xml:space="preserve"> </w:t>
            </w:r>
            <w:r>
              <w:rPr>
                <w:sz w:val="18"/>
              </w:rPr>
              <w:t>Integrated</w:t>
            </w:r>
            <w:r>
              <w:rPr>
                <w:spacing w:val="-3"/>
                <w:sz w:val="18"/>
              </w:rPr>
              <w:t xml:space="preserve"> </w:t>
            </w:r>
            <w:r>
              <w:rPr>
                <w:sz w:val="18"/>
              </w:rPr>
              <w:t>Data</w:t>
            </w:r>
            <w:r>
              <w:rPr>
                <w:spacing w:val="-4"/>
                <w:sz w:val="18"/>
              </w:rPr>
              <w:t xml:space="preserve"> </w:t>
            </w:r>
            <w:r>
              <w:rPr>
                <w:sz w:val="18"/>
              </w:rPr>
              <w:t>Updating</w:t>
            </w:r>
            <w:r>
              <w:rPr>
                <w:spacing w:val="-4"/>
                <w:sz w:val="18"/>
              </w:rPr>
              <w:t xml:space="preserve"> </w:t>
            </w:r>
            <w:r>
              <w:rPr>
                <w:sz w:val="18"/>
              </w:rPr>
              <w:t>Task Force through the Gorontalo One Data (GSD) Platform</w:t>
            </w:r>
          </w:p>
        </w:tc>
        <w:tc>
          <w:tcPr>
            <w:tcW w:w="1275" w:type="dxa"/>
            <w:tcBorders>
              <w:top w:val="single" w:sz="4" w:space="0" w:color="A6A6A6"/>
              <w:left w:val="single" w:sz="4" w:space="0" w:color="A6A6A6"/>
              <w:bottom w:val="single" w:sz="4" w:space="0" w:color="A6A6A6"/>
              <w:right w:val="single" w:sz="4" w:space="0" w:color="A6A6A6"/>
            </w:tcBorders>
          </w:tcPr>
          <w:p w14:paraId="4A41AB0A" w14:textId="77777777" w:rsidR="00BC24A8" w:rsidRDefault="00000000">
            <w:pPr>
              <w:pStyle w:val="TableParagraph"/>
              <w:spacing w:before="1"/>
              <w:ind w:left="106"/>
              <w:rPr>
                <w:sz w:val="18"/>
              </w:rPr>
            </w:pPr>
            <w:r>
              <w:rPr>
                <w:spacing w:val="-2"/>
                <w:sz w:val="18"/>
              </w:rPr>
              <w:t>Gorontalo</w:t>
            </w:r>
          </w:p>
        </w:tc>
      </w:tr>
      <w:tr w:rsidR="00BC24A8" w14:paraId="6F5DFBC6" w14:textId="77777777">
        <w:trPr>
          <w:trHeight w:val="217"/>
        </w:trPr>
        <w:tc>
          <w:tcPr>
            <w:tcW w:w="490" w:type="dxa"/>
            <w:tcBorders>
              <w:top w:val="single" w:sz="4" w:space="0" w:color="A6A6A6"/>
              <w:left w:val="single" w:sz="4" w:space="0" w:color="A6A6A6"/>
              <w:bottom w:val="single" w:sz="4" w:space="0" w:color="A6A6A6"/>
              <w:right w:val="single" w:sz="4" w:space="0" w:color="A6A6A6"/>
            </w:tcBorders>
          </w:tcPr>
          <w:p w14:paraId="6F6D7F36" w14:textId="77777777" w:rsidR="00BC24A8" w:rsidRDefault="00BC24A8">
            <w:pPr>
              <w:pStyle w:val="TableParagraph"/>
              <w:rPr>
                <w:rFonts w:ascii="Times New Roman"/>
                <w:sz w:val="14"/>
              </w:rPr>
            </w:pPr>
          </w:p>
        </w:tc>
        <w:tc>
          <w:tcPr>
            <w:tcW w:w="7760" w:type="dxa"/>
            <w:tcBorders>
              <w:top w:val="single" w:sz="4" w:space="0" w:color="A6A6A6"/>
              <w:left w:val="single" w:sz="4" w:space="0" w:color="A6A6A6"/>
              <w:bottom w:val="single" w:sz="4" w:space="0" w:color="A6A6A6"/>
              <w:right w:val="single" w:sz="4" w:space="0" w:color="A6A6A6"/>
            </w:tcBorders>
          </w:tcPr>
          <w:p w14:paraId="56B62E61" w14:textId="77777777" w:rsidR="00BC24A8" w:rsidRDefault="00000000">
            <w:pPr>
              <w:pStyle w:val="TableParagraph"/>
              <w:spacing w:line="198" w:lineRule="exact"/>
              <w:ind w:left="107"/>
              <w:rPr>
                <w:sz w:val="18"/>
              </w:rPr>
            </w:pPr>
            <w:r>
              <w:rPr>
                <w:sz w:val="18"/>
              </w:rPr>
              <w:t>Draft</w:t>
            </w:r>
            <w:r>
              <w:rPr>
                <w:spacing w:val="-3"/>
                <w:sz w:val="18"/>
              </w:rPr>
              <w:t xml:space="preserve"> </w:t>
            </w:r>
            <w:r>
              <w:rPr>
                <w:sz w:val="18"/>
              </w:rPr>
              <w:t>Governor</w:t>
            </w:r>
            <w:r>
              <w:rPr>
                <w:spacing w:val="-2"/>
                <w:sz w:val="18"/>
              </w:rPr>
              <w:t xml:space="preserve"> </w:t>
            </w:r>
            <w:r>
              <w:rPr>
                <w:sz w:val="18"/>
              </w:rPr>
              <w:t>Regulation</w:t>
            </w:r>
            <w:r>
              <w:rPr>
                <w:spacing w:val="-2"/>
                <w:sz w:val="18"/>
              </w:rPr>
              <w:t xml:space="preserve"> </w:t>
            </w:r>
            <w:r>
              <w:rPr>
                <w:sz w:val="18"/>
              </w:rPr>
              <w:t>on</w:t>
            </w:r>
            <w:r>
              <w:rPr>
                <w:spacing w:val="-1"/>
                <w:sz w:val="18"/>
              </w:rPr>
              <w:t xml:space="preserve"> </w:t>
            </w:r>
            <w:r>
              <w:rPr>
                <w:sz w:val="18"/>
              </w:rPr>
              <w:t>the</w:t>
            </w:r>
            <w:r>
              <w:rPr>
                <w:spacing w:val="-5"/>
                <w:sz w:val="18"/>
              </w:rPr>
              <w:t xml:space="preserve"> </w:t>
            </w:r>
            <w:r>
              <w:rPr>
                <w:sz w:val="18"/>
              </w:rPr>
              <w:t>One</w:t>
            </w:r>
            <w:r>
              <w:rPr>
                <w:spacing w:val="-2"/>
                <w:sz w:val="18"/>
              </w:rPr>
              <w:t xml:space="preserve"> </w:t>
            </w:r>
            <w:r>
              <w:rPr>
                <w:sz w:val="18"/>
              </w:rPr>
              <w:t>Data</w:t>
            </w:r>
            <w:r>
              <w:rPr>
                <w:spacing w:val="-2"/>
                <w:sz w:val="18"/>
              </w:rPr>
              <w:t xml:space="preserve"> </w:t>
            </w:r>
            <w:r>
              <w:rPr>
                <w:sz w:val="18"/>
              </w:rPr>
              <w:t>Indonesia</w:t>
            </w:r>
            <w:r>
              <w:rPr>
                <w:spacing w:val="-3"/>
                <w:sz w:val="18"/>
              </w:rPr>
              <w:t xml:space="preserve"> </w:t>
            </w:r>
            <w:r>
              <w:rPr>
                <w:sz w:val="18"/>
              </w:rPr>
              <w:t>Action</w:t>
            </w:r>
            <w:r>
              <w:rPr>
                <w:spacing w:val="-2"/>
                <w:sz w:val="18"/>
              </w:rPr>
              <w:t xml:space="preserve"> </w:t>
            </w:r>
            <w:r>
              <w:rPr>
                <w:sz w:val="18"/>
              </w:rPr>
              <w:t>Plan</w:t>
            </w:r>
            <w:r>
              <w:rPr>
                <w:spacing w:val="-1"/>
                <w:sz w:val="18"/>
              </w:rPr>
              <w:t xml:space="preserve"> </w:t>
            </w:r>
            <w:r>
              <w:rPr>
                <w:sz w:val="18"/>
              </w:rPr>
              <w:t>of</w:t>
            </w:r>
            <w:r>
              <w:rPr>
                <w:spacing w:val="-3"/>
                <w:sz w:val="18"/>
              </w:rPr>
              <w:t xml:space="preserve"> </w:t>
            </w:r>
            <w:r>
              <w:rPr>
                <w:sz w:val="18"/>
              </w:rPr>
              <w:t>Gorontalo</w:t>
            </w:r>
            <w:r>
              <w:rPr>
                <w:spacing w:val="-2"/>
                <w:sz w:val="18"/>
              </w:rPr>
              <w:t xml:space="preserve"> Province</w:t>
            </w:r>
          </w:p>
        </w:tc>
        <w:tc>
          <w:tcPr>
            <w:tcW w:w="1275" w:type="dxa"/>
            <w:tcBorders>
              <w:top w:val="single" w:sz="4" w:space="0" w:color="A6A6A6"/>
              <w:left w:val="single" w:sz="4" w:space="0" w:color="A6A6A6"/>
              <w:bottom w:val="single" w:sz="4" w:space="0" w:color="A6A6A6"/>
              <w:right w:val="single" w:sz="4" w:space="0" w:color="A6A6A6"/>
            </w:tcBorders>
          </w:tcPr>
          <w:p w14:paraId="261E3181" w14:textId="77777777" w:rsidR="00BC24A8" w:rsidRDefault="00000000">
            <w:pPr>
              <w:pStyle w:val="TableParagraph"/>
              <w:spacing w:line="198" w:lineRule="exact"/>
              <w:ind w:left="106"/>
              <w:rPr>
                <w:sz w:val="18"/>
              </w:rPr>
            </w:pPr>
            <w:r>
              <w:rPr>
                <w:spacing w:val="-2"/>
                <w:sz w:val="18"/>
              </w:rPr>
              <w:t>Gorontalo</w:t>
            </w:r>
          </w:p>
        </w:tc>
      </w:tr>
      <w:tr w:rsidR="00BC24A8" w14:paraId="01BB79EA"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0390D9F0" w14:textId="77777777" w:rsidR="00BC24A8" w:rsidRDefault="00000000">
            <w:pPr>
              <w:pStyle w:val="TableParagraph"/>
              <w:spacing w:before="1"/>
              <w:ind w:left="92" w:right="171"/>
              <w:jc w:val="center"/>
              <w:rPr>
                <w:sz w:val="18"/>
              </w:rPr>
            </w:pPr>
            <w:r>
              <w:rPr>
                <w:spacing w:val="-5"/>
                <w:sz w:val="18"/>
              </w:rPr>
              <w:t>55</w:t>
            </w:r>
          </w:p>
        </w:tc>
        <w:tc>
          <w:tcPr>
            <w:tcW w:w="7760" w:type="dxa"/>
            <w:tcBorders>
              <w:top w:val="single" w:sz="4" w:space="0" w:color="A6A6A6"/>
              <w:left w:val="single" w:sz="4" w:space="0" w:color="A6A6A6"/>
              <w:bottom w:val="single" w:sz="4" w:space="0" w:color="A6A6A6"/>
              <w:right w:val="single" w:sz="4" w:space="0" w:color="A6A6A6"/>
            </w:tcBorders>
          </w:tcPr>
          <w:p w14:paraId="67057B2A" w14:textId="77777777" w:rsidR="00BC24A8" w:rsidRDefault="00000000">
            <w:pPr>
              <w:pStyle w:val="TableParagraph"/>
              <w:spacing w:line="220" w:lineRule="atLeast"/>
              <w:ind w:left="107" w:right="122"/>
              <w:rPr>
                <w:sz w:val="18"/>
              </w:rPr>
            </w:pP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255/28/VIII/2025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Implementation</w:t>
            </w:r>
            <w:r>
              <w:rPr>
                <w:spacing w:val="-3"/>
                <w:sz w:val="18"/>
              </w:rPr>
              <w:t xml:space="preserve"> </w:t>
            </w:r>
            <w:r>
              <w:rPr>
                <w:sz w:val="18"/>
              </w:rPr>
              <w:t>Team</w:t>
            </w:r>
            <w:r>
              <w:rPr>
                <w:spacing w:val="-4"/>
                <w:sz w:val="18"/>
              </w:rPr>
              <w:t xml:space="preserve"> </w:t>
            </w:r>
            <w:r>
              <w:rPr>
                <w:sz w:val="18"/>
              </w:rPr>
              <w:t>for</w:t>
            </w:r>
            <w:r>
              <w:rPr>
                <w:spacing w:val="-3"/>
                <w:sz w:val="18"/>
              </w:rPr>
              <w:t xml:space="preserve"> </w:t>
            </w:r>
            <w:r>
              <w:rPr>
                <w:sz w:val="18"/>
              </w:rPr>
              <w:t>the Inclusive Gorontalo Dulohupa Forum of Gorontalo Province 2025-2029</w:t>
            </w:r>
          </w:p>
        </w:tc>
        <w:tc>
          <w:tcPr>
            <w:tcW w:w="1275" w:type="dxa"/>
            <w:tcBorders>
              <w:top w:val="single" w:sz="4" w:space="0" w:color="A6A6A6"/>
              <w:left w:val="single" w:sz="4" w:space="0" w:color="A6A6A6"/>
              <w:bottom w:val="single" w:sz="4" w:space="0" w:color="A6A6A6"/>
              <w:right w:val="single" w:sz="4" w:space="0" w:color="A6A6A6"/>
            </w:tcBorders>
          </w:tcPr>
          <w:p w14:paraId="5852F630" w14:textId="77777777" w:rsidR="00BC24A8" w:rsidRDefault="00000000">
            <w:pPr>
              <w:pStyle w:val="TableParagraph"/>
              <w:spacing w:before="1"/>
              <w:ind w:left="106"/>
              <w:rPr>
                <w:sz w:val="18"/>
              </w:rPr>
            </w:pPr>
            <w:r>
              <w:rPr>
                <w:spacing w:val="-2"/>
                <w:sz w:val="18"/>
              </w:rPr>
              <w:t>Gorontalo</w:t>
            </w:r>
          </w:p>
        </w:tc>
      </w:tr>
      <w:tr w:rsidR="00BC24A8" w14:paraId="358D9166"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1040BDC2" w14:textId="77777777" w:rsidR="00BC24A8" w:rsidRDefault="00000000">
            <w:pPr>
              <w:pStyle w:val="TableParagraph"/>
              <w:spacing w:line="219" w:lineRule="exact"/>
              <w:ind w:left="92" w:right="171"/>
              <w:jc w:val="center"/>
              <w:rPr>
                <w:sz w:val="18"/>
              </w:rPr>
            </w:pPr>
            <w:r>
              <w:rPr>
                <w:spacing w:val="-5"/>
                <w:sz w:val="18"/>
              </w:rPr>
              <w:t>56</w:t>
            </w:r>
          </w:p>
        </w:tc>
        <w:tc>
          <w:tcPr>
            <w:tcW w:w="7760" w:type="dxa"/>
            <w:tcBorders>
              <w:top w:val="single" w:sz="4" w:space="0" w:color="A6A6A6"/>
              <w:left w:val="single" w:sz="4" w:space="0" w:color="A6A6A6"/>
              <w:bottom w:val="single" w:sz="4" w:space="0" w:color="A6A6A6"/>
              <w:right w:val="single" w:sz="4" w:space="0" w:color="A6A6A6"/>
            </w:tcBorders>
          </w:tcPr>
          <w:p w14:paraId="1EBC745A"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Decree</w:t>
            </w:r>
            <w:r>
              <w:rPr>
                <w:spacing w:val="-2"/>
                <w:sz w:val="18"/>
              </w:rPr>
              <w:t xml:space="preserve"> </w:t>
            </w:r>
            <w:r>
              <w:rPr>
                <w:sz w:val="18"/>
              </w:rPr>
              <w:t>No.</w:t>
            </w:r>
            <w:r>
              <w:rPr>
                <w:spacing w:val="-4"/>
                <w:sz w:val="18"/>
              </w:rPr>
              <w:t xml:space="preserve"> </w:t>
            </w:r>
            <w:r>
              <w:rPr>
                <w:sz w:val="18"/>
              </w:rPr>
              <w:t>448/2024</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Establishment</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Facilitator</w:t>
            </w:r>
            <w:r>
              <w:rPr>
                <w:spacing w:val="-3"/>
                <w:sz w:val="18"/>
              </w:rPr>
              <w:t xml:space="preserve"> </w:t>
            </w:r>
            <w:r>
              <w:rPr>
                <w:sz w:val="18"/>
              </w:rPr>
              <w:t>Team</w:t>
            </w:r>
            <w:r>
              <w:rPr>
                <w:spacing w:val="-3"/>
                <w:sz w:val="18"/>
              </w:rPr>
              <w:t xml:space="preserve"> </w:t>
            </w:r>
            <w:r>
              <w:rPr>
                <w:sz w:val="18"/>
              </w:rPr>
              <w:t>for</w:t>
            </w:r>
            <w:r>
              <w:rPr>
                <w:spacing w:val="-3"/>
                <w:sz w:val="18"/>
              </w:rPr>
              <w:t xml:space="preserve"> </w:t>
            </w:r>
            <w:r>
              <w:rPr>
                <w:sz w:val="18"/>
              </w:rPr>
              <w:t>the</w:t>
            </w:r>
            <w:r>
              <w:rPr>
                <w:spacing w:val="-2"/>
                <w:sz w:val="18"/>
              </w:rPr>
              <w:t xml:space="preserve"> </w:t>
            </w:r>
            <w:r>
              <w:rPr>
                <w:sz w:val="18"/>
              </w:rPr>
              <w:t>Development</w:t>
            </w:r>
            <w:r>
              <w:rPr>
                <w:spacing w:val="-1"/>
                <w:sz w:val="18"/>
              </w:rPr>
              <w:t xml:space="preserve"> </w:t>
            </w:r>
            <w:r>
              <w:rPr>
                <w:spacing w:val="-5"/>
                <w:sz w:val="18"/>
              </w:rPr>
              <w:t>of</w:t>
            </w:r>
          </w:p>
          <w:p w14:paraId="3EC86601" w14:textId="77777777" w:rsidR="00BC24A8" w:rsidRDefault="00000000">
            <w:pPr>
              <w:pStyle w:val="TableParagraph"/>
              <w:spacing w:before="1" w:line="199" w:lineRule="exact"/>
              <w:ind w:left="107"/>
              <w:rPr>
                <w:sz w:val="18"/>
              </w:rPr>
            </w:pPr>
            <w:r>
              <w:rPr>
                <w:sz w:val="18"/>
              </w:rPr>
              <w:t>RAD</w:t>
            </w:r>
            <w:r>
              <w:rPr>
                <w:spacing w:val="-1"/>
                <w:sz w:val="18"/>
              </w:rPr>
              <w:t xml:space="preserve"> </w:t>
            </w:r>
            <w:r>
              <w:rPr>
                <w:sz w:val="18"/>
              </w:rPr>
              <w:t>PD</w:t>
            </w:r>
            <w:r>
              <w:rPr>
                <w:spacing w:val="-1"/>
                <w:sz w:val="18"/>
              </w:rPr>
              <w:t xml:space="preserve"> </w:t>
            </w:r>
            <w:r>
              <w:rPr>
                <w:sz w:val="18"/>
              </w:rPr>
              <w:t>of</w:t>
            </w:r>
            <w:r>
              <w:rPr>
                <w:spacing w:val="-2"/>
                <w:sz w:val="18"/>
              </w:rPr>
              <w:t xml:space="preserve"> </w:t>
            </w:r>
            <w:r>
              <w:rPr>
                <w:sz w:val="18"/>
              </w:rPr>
              <w:t>Gorontalo</w:t>
            </w:r>
            <w:r>
              <w:rPr>
                <w:spacing w:val="-2"/>
                <w:sz w:val="18"/>
              </w:rPr>
              <w:t xml:space="preserve"> Province</w:t>
            </w:r>
          </w:p>
        </w:tc>
        <w:tc>
          <w:tcPr>
            <w:tcW w:w="1275" w:type="dxa"/>
            <w:tcBorders>
              <w:top w:val="single" w:sz="4" w:space="0" w:color="A6A6A6"/>
              <w:left w:val="single" w:sz="4" w:space="0" w:color="A6A6A6"/>
              <w:bottom w:val="single" w:sz="4" w:space="0" w:color="A6A6A6"/>
              <w:right w:val="single" w:sz="4" w:space="0" w:color="A6A6A6"/>
            </w:tcBorders>
          </w:tcPr>
          <w:p w14:paraId="28FE0EE1" w14:textId="77777777" w:rsidR="00BC24A8" w:rsidRDefault="00000000">
            <w:pPr>
              <w:pStyle w:val="TableParagraph"/>
              <w:spacing w:line="219" w:lineRule="exact"/>
              <w:ind w:left="106"/>
              <w:rPr>
                <w:sz w:val="18"/>
              </w:rPr>
            </w:pPr>
            <w:r>
              <w:rPr>
                <w:spacing w:val="-2"/>
                <w:sz w:val="18"/>
              </w:rPr>
              <w:t>Gorontalo</w:t>
            </w:r>
          </w:p>
        </w:tc>
      </w:tr>
      <w:tr w:rsidR="00BC24A8" w14:paraId="3CEB6CB7" w14:textId="77777777">
        <w:trPr>
          <w:trHeight w:val="659"/>
        </w:trPr>
        <w:tc>
          <w:tcPr>
            <w:tcW w:w="490" w:type="dxa"/>
            <w:tcBorders>
              <w:top w:val="single" w:sz="4" w:space="0" w:color="A6A6A6"/>
              <w:left w:val="single" w:sz="4" w:space="0" w:color="A6A6A6"/>
              <w:bottom w:val="single" w:sz="4" w:space="0" w:color="A6A6A6"/>
              <w:right w:val="single" w:sz="4" w:space="0" w:color="A6A6A6"/>
            </w:tcBorders>
          </w:tcPr>
          <w:p w14:paraId="130FD0B9" w14:textId="77777777" w:rsidR="00BC24A8" w:rsidRDefault="00000000">
            <w:pPr>
              <w:pStyle w:val="TableParagraph"/>
              <w:spacing w:before="1"/>
              <w:ind w:left="92" w:right="171"/>
              <w:jc w:val="center"/>
              <w:rPr>
                <w:sz w:val="18"/>
              </w:rPr>
            </w:pPr>
            <w:r>
              <w:rPr>
                <w:spacing w:val="-5"/>
                <w:sz w:val="18"/>
              </w:rPr>
              <w:t>57</w:t>
            </w:r>
          </w:p>
        </w:tc>
        <w:tc>
          <w:tcPr>
            <w:tcW w:w="7760" w:type="dxa"/>
            <w:tcBorders>
              <w:top w:val="single" w:sz="4" w:space="0" w:color="A6A6A6"/>
              <w:left w:val="single" w:sz="4" w:space="0" w:color="A6A6A6"/>
              <w:bottom w:val="single" w:sz="4" w:space="0" w:color="A6A6A6"/>
              <w:right w:val="single" w:sz="4" w:space="0" w:color="A6A6A6"/>
            </w:tcBorders>
          </w:tcPr>
          <w:p w14:paraId="60C6F470" w14:textId="77777777" w:rsidR="00BC24A8" w:rsidRDefault="00000000">
            <w:pPr>
              <w:pStyle w:val="TableParagraph"/>
              <w:spacing w:before="1"/>
              <w:ind w:left="107"/>
              <w:rPr>
                <w:sz w:val="18"/>
              </w:rPr>
            </w:pP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473/28/XI/2024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Coordination</w:t>
            </w:r>
            <w:r>
              <w:rPr>
                <w:spacing w:val="-3"/>
                <w:sz w:val="18"/>
              </w:rPr>
              <w:t xml:space="preserve"> </w:t>
            </w:r>
            <w:r>
              <w:rPr>
                <w:sz w:val="18"/>
              </w:rPr>
              <w:t>Team</w:t>
            </w:r>
            <w:r>
              <w:rPr>
                <w:spacing w:val="-4"/>
                <w:sz w:val="18"/>
              </w:rPr>
              <w:t xml:space="preserve"> </w:t>
            </w:r>
            <w:r>
              <w:rPr>
                <w:sz w:val="18"/>
              </w:rPr>
              <w:t>for</w:t>
            </w:r>
            <w:r>
              <w:rPr>
                <w:spacing w:val="-3"/>
                <w:sz w:val="18"/>
              </w:rPr>
              <w:t xml:space="preserve"> </w:t>
            </w:r>
            <w:r>
              <w:rPr>
                <w:sz w:val="18"/>
              </w:rPr>
              <w:t>the</w:t>
            </w:r>
            <w:r>
              <w:rPr>
                <w:spacing w:val="-3"/>
                <w:sz w:val="18"/>
              </w:rPr>
              <w:t xml:space="preserve"> </w:t>
            </w:r>
            <w:r>
              <w:rPr>
                <w:sz w:val="18"/>
              </w:rPr>
              <w:t>Implementation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Regional Action Plan on the Respect, Protection, and Fulfillment of the Rights of Persons with Disabilities in</w:t>
            </w:r>
          </w:p>
          <w:p w14:paraId="4B9C6579" w14:textId="77777777" w:rsidR="00BC24A8" w:rsidRDefault="00000000">
            <w:pPr>
              <w:pStyle w:val="TableParagraph"/>
              <w:spacing w:line="199" w:lineRule="exact"/>
              <w:ind w:left="107"/>
              <w:rPr>
                <w:sz w:val="18"/>
              </w:rPr>
            </w:pPr>
            <w:r>
              <w:rPr>
                <w:sz w:val="18"/>
              </w:rPr>
              <w:t>Gorontalo</w:t>
            </w:r>
            <w:r>
              <w:rPr>
                <w:spacing w:val="-4"/>
                <w:sz w:val="18"/>
              </w:rPr>
              <w:t xml:space="preserve"> </w:t>
            </w: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49EDA54E" w14:textId="77777777" w:rsidR="00BC24A8" w:rsidRDefault="00000000">
            <w:pPr>
              <w:pStyle w:val="TableParagraph"/>
              <w:spacing w:before="1"/>
              <w:ind w:left="106"/>
              <w:rPr>
                <w:sz w:val="18"/>
              </w:rPr>
            </w:pPr>
            <w:r>
              <w:rPr>
                <w:spacing w:val="-2"/>
                <w:sz w:val="18"/>
              </w:rPr>
              <w:t>Gorontalo</w:t>
            </w:r>
          </w:p>
        </w:tc>
      </w:tr>
      <w:tr w:rsidR="00BC24A8" w14:paraId="50009B38"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2EB677FB" w14:textId="77777777" w:rsidR="00BC24A8" w:rsidRDefault="00000000">
            <w:pPr>
              <w:pStyle w:val="TableParagraph"/>
              <w:spacing w:before="1"/>
              <w:ind w:left="92" w:right="171"/>
              <w:jc w:val="center"/>
              <w:rPr>
                <w:sz w:val="18"/>
              </w:rPr>
            </w:pPr>
            <w:r>
              <w:rPr>
                <w:spacing w:val="-5"/>
                <w:sz w:val="18"/>
              </w:rPr>
              <w:t>58</w:t>
            </w:r>
          </w:p>
        </w:tc>
        <w:tc>
          <w:tcPr>
            <w:tcW w:w="7760" w:type="dxa"/>
            <w:tcBorders>
              <w:top w:val="single" w:sz="4" w:space="0" w:color="A6A6A6"/>
              <w:left w:val="single" w:sz="4" w:space="0" w:color="A6A6A6"/>
              <w:bottom w:val="single" w:sz="4" w:space="0" w:color="A6A6A6"/>
              <w:right w:val="single" w:sz="4" w:space="0" w:color="A6A6A6"/>
            </w:tcBorders>
          </w:tcPr>
          <w:p w14:paraId="2925A74F" w14:textId="77777777" w:rsidR="00BC24A8" w:rsidRDefault="00000000">
            <w:pPr>
              <w:pStyle w:val="TableParagraph"/>
              <w:spacing w:before="1"/>
              <w:ind w:left="107" w:right="122"/>
              <w:rPr>
                <w:sz w:val="18"/>
              </w:rPr>
            </w:pP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310/33/VIII/2024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Gender</w:t>
            </w:r>
            <w:r>
              <w:rPr>
                <w:spacing w:val="-3"/>
                <w:sz w:val="18"/>
              </w:rPr>
              <w:t xml:space="preserve"> </w:t>
            </w:r>
            <w:r>
              <w:rPr>
                <w:sz w:val="18"/>
              </w:rPr>
              <w:t>Mainstreaming</w:t>
            </w:r>
            <w:r>
              <w:rPr>
                <w:spacing w:val="-4"/>
                <w:sz w:val="18"/>
              </w:rPr>
              <w:t xml:space="preserve"> </w:t>
            </w:r>
            <w:r>
              <w:rPr>
                <w:sz w:val="18"/>
              </w:rPr>
              <w:t>Working Group in Gorontalo Province</w:t>
            </w:r>
          </w:p>
        </w:tc>
        <w:tc>
          <w:tcPr>
            <w:tcW w:w="1275" w:type="dxa"/>
            <w:tcBorders>
              <w:top w:val="single" w:sz="4" w:space="0" w:color="A6A6A6"/>
              <w:left w:val="single" w:sz="4" w:space="0" w:color="A6A6A6"/>
              <w:bottom w:val="single" w:sz="4" w:space="0" w:color="A6A6A6"/>
              <w:right w:val="single" w:sz="4" w:space="0" w:color="A6A6A6"/>
            </w:tcBorders>
          </w:tcPr>
          <w:p w14:paraId="24905459" w14:textId="77777777" w:rsidR="00BC24A8" w:rsidRDefault="00000000">
            <w:pPr>
              <w:pStyle w:val="TableParagraph"/>
              <w:spacing w:before="1"/>
              <w:ind w:left="106"/>
              <w:rPr>
                <w:sz w:val="18"/>
              </w:rPr>
            </w:pPr>
            <w:r>
              <w:rPr>
                <w:spacing w:val="-2"/>
                <w:sz w:val="18"/>
              </w:rPr>
              <w:t>Gorontalo</w:t>
            </w:r>
          </w:p>
        </w:tc>
      </w:tr>
    </w:tbl>
    <w:p w14:paraId="424F98B9" w14:textId="77777777" w:rsidR="00BC24A8" w:rsidRDefault="00BC24A8">
      <w:pPr>
        <w:pStyle w:val="TableParagraph"/>
        <w:rPr>
          <w:sz w:val="18"/>
        </w:rPr>
        <w:sectPr w:rsidR="00BC24A8">
          <w:type w:val="continuous"/>
          <w:pgSz w:w="11910" w:h="16840"/>
          <w:pgMar w:top="1380" w:right="850" w:bottom="1569" w:left="1275" w:header="0" w:footer="907"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7760"/>
        <w:gridCol w:w="1275"/>
      </w:tblGrid>
      <w:tr w:rsidR="00BC24A8" w14:paraId="673620E5" w14:textId="77777777">
        <w:trPr>
          <w:trHeight w:val="407"/>
        </w:trPr>
        <w:tc>
          <w:tcPr>
            <w:tcW w:w="490" w:type="dxa"/>
            <w:tcBorders>
              <w:bottom w:val="single" w:sz="4" w:space="0" w:color="A6A6A6"/>
              <w:right w:val="single" w:sz="18" w:space="0" w:color="F1F1F1"/>
            </w:tcBorders>
            <w:shd w:val="clear" w:color="auto" w:fill="17365A"/>
          </w:tcPr>
          <w:p w14:paraId="02A2C1D5" w14:textId="77777777" w:rsidR="00BC24A8" w:rsidRDefault="00000000">
            <w:pPr>
              <w:pStyle w:val="TableParagraph"/>
              <w:spacing w:before="83"/>
              <w:ind w:left="26"/>
              <w:jc w:val="center"/>
              <w:rPr>
                <w:rFonts w:ascii="Calibri"/>
                <w:b/>
                <w:sz w:val="20"/>
              </w:rPr>
            </w:pPr>
            <w:r>
              <w:rPr>
                <w:rFonts w:ascii="Calibri"/>
                <w:b/>
                <w:color w:val="FFFFFF"/>
                <w:spacing w:val="-5"/>
                <w:sz w:val="20"/>
              </w:rPr>
              <w:lastRenderedPageBreak/>
              <w:t>No</w:t>
            </w:r>
          </w:p>
        </w:tc>
        <w:tc>
          <w:tcPr>
            <w:tcW w:w="7760" w:type="dxa"/>
            <w:tcBorders>
              <w:left w:val="single" w:sz="18" w:space="0" w:color="F1F1F1"/>
              <w:bottom w:val="single" w:sz="4" w:space="0" w:color="A6A6A6"/>
              <w:right w:val="single" w:sz="18" w:space="0" w:color="F1F1F1"/>
            </w:tcBorders>
            <w:shd w:val="clear" w:color="auto" w:fill="17365A"/>
          </w:tcPr>
          <w:p w14:paraId="38F2CCF0" w14:textId="77777777" w:rsidR="00BC24A8" w:rsidRDefault="00000000">
            <w:pPr>
              <w:pStyle w:val="TableParagraph"/>
              <w:spacing w:before="83"/>
              <w:ind w:left="5"/>
              <w:jc w:val="center"/>
              <w:rPr>
                <w:rFonts w:ascii="Calibri"/>
                <w:b/>
                <w:sz w:val="20"/>
              </w:rPr>
            </w:pPr>
            <w:r>
              <w:rPr>
                <w:rFonts w:ascii="Calibri"/>
                <w:b/>
                <w:color w:val="FFFFFF"/>
                <w:sz w:val="20"/>
              </w:rPr>
              <w:t>Document</w:t>
            </w:r>
            <w:r>
              <w:rPr>
                <w:rFonts w:ascii="Calibri"/>
                <w:b/>
                <w:color w:val="FFFFFF"/>
                <w:spacing w:val="-7"/>
                <w:sz w:val="20"/>
              </w:rPr>
              <w:t xml:space="preserve"> </w:t>
            </w:r>
            <w:r>
              <w:rPr>
                <w:rFonts w:ascii="Calibri"/>
                <w:b/>
                <w:color w:val="FFFFFF"/>
                <w:spacing w:val="-2"/>
                <w:sz w:val="20"/>
              </w:rPr>
              <w:t>Title</w:t>
            </w:r>
          </w:p>
        </w:tc>
        <w:tc>
          <w:tcPr>
            <w:tcW w:w="1275" w:type="dxa"/>
            <w:tcBorders>
              <w:left w:val="single" w:sz="18" w:space="0" w:color="F1F1F1"/>
              <w:bottom w:val="single" w:sz="4" w:space="0" w:color="A6A6A6"/>
            </w:tcBorders>
            <w:shd w:val="clear" w:color="auto" w:fill="17365A"/>
          </w:tcPr>
          <w:p w14:paraId="55ACF4BF" w14:textId="77777777" w:rsidR="00BC24A8" w:rsidRDefault="00000000">
            <w:pPr>
              <w:pStyle w:val="TableParagraph"/>
              <w:spacing w:before="83"/>
              <w:ind w:right="8"/>
              <w:jc w:val="center"/>
              <w:rPr>
                <w:rFonts w:ascii="Calibri"/>
                <w:b/>
                <w:sz w:val="20"/>
              </w:rPr>
            </w:pPr>
            <w:r>
              <w:rPr>
                <w:rFonts w:ascii="Calibri"/>
                <w:b/>
                <w:color w:val="FFFFFF"/>
                <w:spacing w:val="-4"/>
                <w:sz w:val="20"/>
              </w:rPr>
              <w:t>Area</w:t>
            </w:r>
          </w:p>
        </w:tc>
      </w:tr>
      <w:tr w:rsidR="00BC24A8" w14:paraId="1AEA6A1E"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2298E568" w14:textId="77777777" w:rsidR="00BC24A8" w:rsidRDefault="00000000">
            <w:pPr>
              <w:pStyle w:val="TableParagraph"/>
              <w:spacing w:line="219" w:lineRule="exact"/>
              <w:ind w:left="92" w:right="171"/>
              <w:jc w:val="center"/>
              <w:rPr>
                <w:sz w:val="18"/>
              </w:rPr>
            </w:pPr>
            <w:r>
              <w:rPr>
                <w:spacing w:val="-5"/>
                <w:sz w:val="18"/>
              </w:rPr>
              <w:t>59</w:t>
            </w:r>
          </w:p>
        </w:tc>
        <w:tc>
          <w:tcPr>
            <w:tcW w:w="7760" w:type="dxa"/>
            <w:tcBorders>
              <w:top w:val="single" w:sz="4" w:space="0" w:color="A6A6A6"/>
              <w:left w:val="single" w:sz="4" w:space="0" w:color="A6A6A6"/>
              <w:bottom w:val="single" w:sz="4" w:space="0" w:color="A6A6A6"/>
              <w:right w:val="single" w:sz="4" w:space="0" w:color="A6A6A6"/>
            </w:tcBorders>
          </w:tcPr>
          <w:p w14:paraId="5EA5960E" w14:textId="77777777" w:rsidR="00BC24A8" w:rsidRDefault="00000000">
            <w:pPr>
              <w:pStyle w:val="TableParagraph"/>
              <w:spacing w:line="219" w:lineRule="exact"/>
              <w:ind w:left="107"/>
              <w:rPr>
                <w:sz w:val="18"/>
              </w:rPr>
            </w:pPr>
            <w:r>
              <w:rPr>
                <w:sz w:val="18"/>
              </w:rPr>
              <w:t>Governor</w:t>
            </w:r>
            <w:r>
              <w:rPr>
                <w:spacing w:val="-3"/>
                <w:sz w:val="18"/>
              </w:rPr>
              <w:t xml:space="preserve"> </w:t>
            </w:r>
            <w:r>
              <w:rPr>
                <w:sz w:val="18"/>
              </w:rPr>
              <w:t>Decree</w:t>
            </w:r>
            <w:r>
              <w:rPr>
                <w:spacing w:val="-3"/>
                <w:sz w:val="18"/>
              </w:rPr>
              <w:t xml:space="preserve"> </w:t>
            </w:r>
            <w:r>
              <w:rPr>
                <w:sz w:val="18"/>
              </w:rPr>
              <w:t>No.</w:t>
            </w:r>
            <w:r>
              <w:rPr>
                <w:spacing w:val="-3"/>
                <w:sz w:val="18"/>
              </w:rPr>
              <w:t xml:space="preserve"> </w:t>
            </w:r>
            <w:r>
              <w:rPr>
                <w:sz w:val="18"/>
              </w:rPr>
              <w:t>265/33/VII/2024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1"/>
                <w:sz w:val="18"/>
              </w:rPr>
              <w:t xml:space="preserve"> </w:t>
            </w:r>
            <w:r>
              <w:rPr>
                <w:sz w:val="18"/>
              </w:rPr>
              <w:t>of</w:t>
            </w:r>
            <w:r>
              <w:rPr>
                <w:spacing w:val="-4"/>
                <w:sz w:val="18"/>
              </w:rPr>
              <w:t xml:space="preserve"> </w:t>
            </w:r>
            <w:r>
              <w:rPr>
                <w:sz w:val="18"/>
              </w:rPr>
              <w:t>the</w:t>
            </w:r>
            <w:r>
              <w:rPr>
                <w:spacing w:val="-5"/>
                <w:sz w:val="18"/>
              </w:rPr>
              <w:t xml:space="preserve"> </w:t>
            </w:r>
            <w:r>
              <w:rPr>
                <w:sz w:val="18"/>
              </w:rPr>
              <w:t>Technical</w:t>
            </w:r>
            <w:r>
              <w:rPr>
                <w:spacing w:val="-2"/>
                <w:sz w:val="18"/>
              </w:rPr>
              <w:t xml:space="preserve"> </w:t>
            </w:r>
            <w:r>
              <w:rPr>
                <w:sz w:val="18"/>
              </w:rPr>
              <w:t>Team</w:t>
            </w:r>
            <w:r>
              <w:rPr>
                <w:spacing w:val="-4"/>
                <w:sz w:val="18"/>
              </w:rPr>
              <w:t xml:space="preserve"> </w:t>
            </w:r>
            <w:r>
              <w:rPr>
                <w:sz w:val="18"/>
              </w:rPr>
              <w:t>for</w:t>
            </w:r>
            <w:r>
              <w:rPr>
                <w:spacing w:val="-2"/>
                <w:sz w:val="18"/>
              </w:rPr>
              <w:t xml:space="preserve"> Gender</w:t>
            </w:r>
          </w:p>
          <w:p w14:paraId="117A77AC" w14:textId="77777777" w:rsidR="00BC24A8" w:rsidRDefault="00000000">
            <w:pPr>
              <w:pStyle w:val="TableParagraph"/>
              <w:spacing w:before="1" w:line="199" w:lineRule="exact"/>
              <w:ind w:left="107"/>
              <w:rPr>
                <w:sz w:val="18"/>
              </w:rPr>
            </w:pPr>
            <w:r>
              <w:rPr>
                <w:sz w:val="18"/>
              </w:rPr>
              <w:t>Mainstreaming</w:t>
            </w:r>
            <w:r>
              <w:rPr>
                <w:spacing w:val="-4"/>
                <w:sz w:val="18"/>
              </w:rPr>
              <w:t xml:space="preserve"> </w:t>
            </w:r>
            <w:r>
              <w:rPr>
                <w:sz w:val="18"/>
              </w:rPr>
              <w:t>within</w:t>
            </w:r>
            <w:r>
              <w:rPr>
                <w:spacing w:val="-2"/>
                <w:sz w:val="18"/>
              </w:rPr>
              <w:t xml:space="preserve"> </w:t>
            </w:r>
            <w:r>
              <w:rPr>
                <w:sz w:val="18"/>
              </w:rPr>
              <w:t>the</w:t>
            </w:r>
            <w:r>
              <w:rPr>
                <w:spacing w:val="-2"/>
                <w:sz w:val="18"/>
              </w:rPr>
              <w:t xml:space="preserve"> </w:t>
            </w:r>
            <w:r>
              <w:rPr>
                <w:sz w:val="18"/>
              </w:rPr>
              <w:t>Gorontalo</w:t>
            </w:r>
            <w:r>
              <w:rPr>
                <w:spacing w:val="-3"/>
                <w:sz w:val="18"/>
              </w:rPr>
              <w:t xml:space="preserve"> </w:t>
            </w:r>
            <w:r>
              <w:rPr>
                <w:sz w:val="18"/>
              </w:rPr>
              <w:t>Provincial</w:t>
            </w:r>
            <w:r>
              <w:rPr>
                <w:spacing w:val="-1"/>
                <w:sz w:val="18"/>
              </w:rPr>
              <w:t xml:space="preserve"> </w:t>
            </w:r>
            <w:r>
              <w:rPr>
                <w:sz w:val="18"/>
              </w:rPr>
              <w:t>Government</w:t>
            </w:r>
            <w:r>
              <w:rPr>
                <w:spacing w:val="-4"/>
                <w:sz w:val="18"/>
              </w:rPr>
              <w:t xml:space="preserve"> </w:t>
            </w:r>
            <w:r>
              <w:rPr>
                <w:sz w:val="18"/>
              </w:rPr>
              <w:t>in</w:t>
            </w:r>
            <w:r>
              <w:rPr>
                <w:spacing w:val="-2"/>
                <w:sz w:val="18"/>
              </w:rPr>
              <w:t xml:space="preserve"> </w:t>
            </w:r>
            <w:r>
              <w:rPr>
                <w:spacing w:val="-4"/>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224DBA22" w14:textId="77777777" w:rsidR="00BC24A8" w:rsidRDefault="00000000">
            <w:pPr>
              <w:pStyle w:val="TableParagraph"/>
              <w:spacing w:line="219" w:lineRule="exact"/>
              <w:ind w:left="106"/>
              <w:rPr>
                <w:sz w:val="18"/>
              </w:rPr>
            </w:pPr>
            <w:r>
              <w:rPr>
                <w:spacing w:val="-2"/>
                <w:sz w:val="18"/>
              </w:rPr>
              <w:t>Gorontalo</w:t>
            </w:r>
          </w:p>
        </w:tc>
      </w:tr>
      <w:tr w:rsidR="00BC24A8" w14:paraId="28F52D4B"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2DF5CA7B" w14:textId="77777777" w:rsidR="00BC24A8" w:rsidRDefault="00000000">
            <w:pPr>
              <w:pStyle w:val="TableParagraph"/>
              <w:spacing w:before="1" w:line="218" w:lineRule="exact"/>
              <w:ind w:left="92" w:right="171"/>
              <w:jc w:val="center"/>
              <w:rPr>
                <w:sz w:val="18"/>
              </w:rPr>
            </w:pPr>
            <w:r>
              <w:rPr>
                <w:spacing w:val="-5"/>
                <w:sz w:val="18"/>
              </w:rPr>
              <w:t>60</w:t>
            </w:r>
          </w:p>
        </w:tc>
        <w:tc>
          <w:tcPr>
            <w:tcW w:w="7760" w:type="dxa"/>
            <w:tcBorders>
              <w:top w:val="single" w:sz="4" w:space="0" w:color="A6A6A6"/>
              <w:left w:val="single" w:sz="4" w:space="0" w:color="A6A6A6"/>
              <w:bottom w:val="single" w:sz="4" w:space="0" w:color="A6A6A6"/>
              <w:right w:val="single" w:sz="4" w:space="0" w:color="A6A6A6"/>
            </w:tcBorders>
          </w:tcPr>
          <w:p w14:paraId="49659265" w14:textId="77777777" w:rsidR="00BC24A8" w:rsidRDefault="00000000">
            <w:pPr>
              <w:pStyle w:val="TableParagraph"/>
              <w:spacing w:before="1" w:line="218" w:lineRule="exact"/>
              <w:ind w:left="107"/>
              <w:rPr>
                <w:sz w:val="18"/>
              </w:rPr>
            </w:pPr>
            <w:r>
              <w:rPr>
                <w:sz w:val="18"/>
              </w:rPr>
              <w:t>Regional</w:t>
            </w:r>
            <w:r>
              <w:rPr>
                <w:spacing w:val="-2"/>
                <w:sz w:val="18"/>
              </w:rPr>
              <w:t xml:space="preserve"> </w:t>
            </w:r>
            <w:r>
              <w:rPr>
                <w:sz w:val="18"/>
              </w:rPr>
              <w:t>Regulation</w:t>
            </w:r>
            <w:r>
              <w:rPr>
                <w:spacing w:val="-2"/>
                <w:sz w:val="18"/>
              </w:rPr>
              <w:t xml:space="preserve"> </w:t>
            </w:r>
            <w:r>
              <w:rPr>
                <w:sz w:val="18"/>
              </w:rPr>
              <w:t>No.</w:t>
            </w:r>
            <w:r>
              <w:rPr>
                <w:spacing w:val="-3"/>
                <w:sz w:val="18"/>
              </w:rPr>
              <w:t xml:space="preserve"> </w:t>
            </w:r>
            <w:r>
              <w:rPr>
                <w:sz w:val="18"/>
              </w:rPr>
              <w:t>1/2024</w:t>
            </w:r>
            <w:r>
              <w:rPr>
                <w:spacing w:val="-3"/>
                <w:sz w:val="18"/>
              </w:rPr>
              <w:t xml:space="preserve"> </w:t>
            </w:r>
            <w:r>
              <w:rPr>
                <w:sz w:val="18"/>
              </w:rPr>
              <w:t>on</w:t>
            </w:r>
            <w:r>
              <w:rPr>
                <w:spacing w:val="-2"/>
                <w:sz w:val="18"/>
              </w:rPr>
              <w:t xml:space="preserve"> </w:t>
            </w:r>
            <w:r>
              <w:rPr>
                <w:sz w:val="18"/>
              </w:rPr>
              <w:t>PDRD</w:t>
            </w:r>
            <w:r>
              <w:rPr>
                <w:spacing w:val="-1"/>
                <w:sz w:val="18"/>
              </w:rPr>
              <w:t xml:space="preserve"> </w:t>
            </w:r>
            <w:r>
              <w:rPr>
                <w:sz w:val="18"/>
              </w:rPr>
              <w:t>of</w:t>
            </w:r>
            <w:r>
              <w:rPr>
                <w:spacing w:val="-3"/>
                <w:sz w:val="18"/>
              </w:rPr>
              <w:t xml:space="preserve"> </w:t>
            </w:r>
            <w:r>
              <w:rPr>
                <w:sz w:val="18"/>
              </w:rPr>
              <w:t>Gorontalo</w:t>
            </w:r>
            <w:r>
              <w:rPr>
                <w:spacing w:val="-3"/>
                <w:sz w:val="18"/>
              </w:rPr>
              <w:t xml:space="preserve"> </w:t>
            </w: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58AE11FE" w14:textId="77777777" w:rsidR="00BC24A8" w:rsidRDefault="00000000">
            <w:pPr>
              <w:pStyle w:val="TableParagraph"/>
              <w:spacing w:before="1" w:line="218" w:lineRule="exact"/>
              <w:ind w:left="106"/>
              <w:rPr>
                <w:sz w:val="18"/>
              </w:rPr>
            </w:pPr>
            <w:r>
              <w:rPr>
                <w:spacing w:val="-2"/>
                <w:sz w:val="18"/>
              </w:rPr>
              <w:t>Gorontalo</w:t>
            </w:r>
          </w:p>
        </w:tc>
      </w:tr>
      <w:tr w:rsidR="00BC24A8" w14:paraId="00D1DD9A"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60D75EED" w14:textId="77777777" w:rsidR="00BC24A8" w:rsidRDefault="00000000">
            <w:pPr>
              <w:pStyle w:val="TableParagraph"/>
              <w:spacing w:before="1" w:line="218" w:lineRule="exact"/>
              <w:ind w:left="92" w:right="171"/>
              <w:jc w:val="center"/>
              <w:rPr>
                <w:sz w:val="18"/>
              </w:rPr>
            </w:pPr>
            <w:r>
              <w:rPr>
                <w:spacing w:val="-5"/>
                <w:sz w:val="18"/>
              </w:rPr>
              <w:t>61</w:t>
            </w:r>
          </w:p>
        </w:tc>
        <w:tc>
          <w:tcPr>
            <w:tcW w:w="7760" w:type="dxa"/>
            <w:tcBorders>
              <w:top w:val="single" w:sz="4" w:space="0" w:color="A6A6A6"/>
              <w:left w:val="single" w:sz="4" w:space="0" w:color="A6A6A6"/>
              <w:bottom w:val="single" w:sz="4" w:space="0" w:color="A6A6A6"/>
              <w:right w:val="single" w:sz="4" w:space="0" w:color="A6A6A6"/>
            </w:tcBorders>
          </w:tcPr>
          <w:p w14:paraId="41618B48" w14:textId="77777777" w:rsidR="00BC24A8" w:rsidRDefault="00000000">
            <w:pPr>
              <w:pStyle w:val="TableParagraph"/>
              <w:spacing w:before="1" w:line="218" w:lineRule="exact"/>
              <w:ind w:left="107"/>
              <w:rPr>
                <w:sz w:val="18"/>
              </w:rPr>
            </w:pPr>
            <w:r>
              <w:rPr>
                <w:sz w:val="18"/>
              </w:rPr>
              <w:t>Regional</w:t>
            </w:r>
            <w:r>
              <w:rPr>
                <w:spacing w:val="-4"/>
                <w:sz w:val="18"/>
              </w:rPr>
              <w:t xml:space="preserve"> </w:t>
            </w:r>
            <w:r>
              <w:rPr>
                <w:sz w:val="18"/>
              </w:rPr>
              <w:t>Regulation</w:t>
            </w:r>
            <w:r>
              <w:rPr>
                <w:spacing w:val="-2"/>
                <w:sz w:val="18"/>
              </w:rPr>
              <w:t xml:space="preserve"> </w:t>
            </w:r>
            <w:r>
              <w:rPr>
                <w:sz w:val="18"/>
              </w:rPr>
              <w:t>No.</w:t>
            </w:r>
            <w:r>
              <w:rPr>
                <w:spacing w:val="-3"/>
                <w:sz w:val="18"/>
              </w:rPr>
              <w:t xml:space="preserve"> </w:t>
            </w:r>
            <w:r>
              <w:rPr>
                <w:sz w:val="18"/>
              </w:rPr>
              <w:t>24/2024</w:t>
            </w:r>
            <w:r>
              <w:rPr>
                <w:spacing w:val="-6"/>
                <w:sz w:val="18"/>
              </w:rPr>
              <w:t xml:space="preserve"> </w:t>
            </w:r>
            <w:r>
              <w:rPr>
                <w:sz w:val="18"/>
              </w:rPr>
              <w:t>on</w:t>
            </w:r>
            <w:r>
              <w:rPr>
                <w:spacing w:val="-2"/>
                <w:sz w:val="18"/>
              </w:rPr>
              <w:t xml:space="preserve"> </w:t>
            </w:r>
            <w:r>
              <w:rPr>
                <w:sz w:val="18"/>
              </w:rPr>
              <w:t>RAD</w:t>
            </w:r>
            <w:r>
              <w:rPr>
                <w:spacing w:val="-1"/>
                <w:sz w:val="18"/>
              </w:rPr>
              <w:t xml:space="preserve"> </w:t>
            </w:r>
            <w:r>
              <w:rPr>
                <w:sz w:val="18"/>
              </w:rPr>
              <w:t>for</w:t>
            </w:r>
            <w:r>
              <w:rPr>
                <w:spacing w:val="-3"/>
                <w:sz w:val="18"/>
              </w:rPr>
              <w:t xml:space="preserve"> </w:t>
            </w:r>
            <w:r>
              <w:rPr>
                <w:sz w:val="18"/>
              </w:rPr>
              <w:t>Sustainable</w:t>
            </w:r>
            <w:r>
              <w:rPr>
                <w:spacing w:val="-2"/>
                <w:sz w:val="18"/>
              </w:rPr>
              <w:t xml:space="preserve"> </w:t>
            </w:r>
            <w:r>
              <w:rPr>
                <w:sz w:val="18"/>
              </w:rPr>
              <w:t>Palm</w:t>
            </w:r>
            <w:r>
              <w:rPr>
                <w:spacing w:val="-3"/>
                <w:sz w:val="18"/>
              </w:rPr>
              <w:t xml:space="preserve"> </w:t>
            </w:r>
            <w:r>
              <w:rPr>
                <w:sz w:val="18"/>
              </w:rPr>
              <w:t>Oil</w:t>
            </w:r>
            <w:r>
              <w:rPr>
                <w:spacing w:val="-2"/>
                <w:sz w:val="18"/>
              </w:rPr>
              <w:t xml:space="preserve"> </w:t>
            </w:r>
            <w:r>
              <w:rPr>
                <w:sz w:val="18"/>
              </w:rPr>
              <w:t>2024-2026</w:t>
            </w:r>
            <w:r>
              <w:rPr>
                <w:spacing w:val="-2"/>
                <w:sz w:val="18"/>
              </w:rPr>
              <w:t xml:space="preserve"> </w:t>
            </w:r>
            <w:r>
              <w:rPr>
                <w:sz w:val="18"/>
              </w:rPr>
              <w:t>of</w:t>
            </w:r>
            <w:r>
              <w:rPr>
                <w:spacing w:val="-3"/>
                <w:sz w:val="18"/>
              </w:rPr>
              <w:t xml:space="preserve"> </w:t>
            </w:r>
            <w:r>
              <w:rPr>
                <w:sz w:val="18"/>
              </w:rPr>
              <w:t>Gorontalo</w:t>
            </w:r>
            <w:r>
              <w:rPr>
                <w:spacing w:val="-3"/>
                <w:sz w:val="18"/>
              </w:rPr>
              <w:t xml:space="preserve"> </w:t>
            </w: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5629132F" w14:textId="77777777" w:rsidR="00BC24A8" w:rsidRDefault="00000000">
            <w:pPr>
              <w:pStyle w:val="TableParagraph"/>
              <w:spacing w:before="1" w:line="218" w:lineRule="exact"/>
              <w:ind w:left="106"/>
              <w:rPr>
                <w:sz w:val="18"/>
              </w:rPr>
            </w:pPr>
            <w:r>
              <w:rPr>
                <w:spacing w:val="-2"/>
                <w:sz w:val="18"/>
              </w:rPr>
              <w:t>Gorontalo</w:t>
            </w:r>
          </w:p>
        </w:tc>
      </w:tr>
      <w:tr w:rsidR="00BC24A8" w14:paraId="11DE50D8"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0E2F032A" w14:textId="77777777" w:rsidR="00BC24A8" w:rsidRDefault="00000000">
            <w:pPr>
              <w:pStyle w:val="TableParagraph"/>
              <w:spacing w:before="1"/>
              <w:ind w:left="92" w:right="171"/>
              <w:jc w:val="center"/>
              <w:rPr>
                <w:sz w:val="18"/>
              </w:rPr>
            </w:pPr>
            <w:r>
              <w:rPr>
                <w:spacing w:val="-5"/>
                <w:sz w:val="18"/>
              </w:rPr>
              <w:t>62</w:t>
            </w:r>
          </w:p>
        </w:tc>
        <w:tc>
          <w:tcPr>
            <w:tcW w:w="7760" w:type="dxa"/>
            <w:tcBorders>
              <w:top w:val="single" w:sz="4" w:space="0" w:color="A6A6A6"/>
              <w:left w:val="single" w:sz="4" w:space="0" w:color="A6A6A6"/>
              <w:bottom w:val="single" w:sz="4" w:space="0" w:color="A6A6A6"/>
              <w:right w:val="single" w:sz="4" w:space="0" w:color="A6A6A6"/>
            </w:tcBorders>
          </w:tcPr>
          <w:p w14:paraId="3C9907CC" w14:textId="77777777" w:rsidR="00BC24A8" w:rsidRDefault="00000000">
            <w:pPr>
              <w:pStyle w:val="TableParagraph"/>
              <w:spacing w:before="1" w:line="219" w:lineRule="exact"/>
              <w:ind w:left="107"/>
              <w:rPr>
                <w:sz w:val="18"/>
              </w:rPr>
            </w:pPr>
            <w:r>
              <w:rPr>
                <w:sz w:val="18"/>
              </w:rPr>
              <w:t>Governor</w:t>
            </w:r>
            <w:r>
              <w:rPr>
                <w:spacing w:val="-3"/>
                <w:sz w:val="18"/>
              </w:rPr>
              <w:t xml:space="preserve"> </w:t>
            </w:r>
            <w:r>
              <w:rPr>
                <w:sz w:val="18"/>
              </w:rPr>
              <w:t>Regulation</w:t>
            </w:r>
            <w:r>
              <w:rPr>
                <w:spacing w:val="-2"/>
                <w:sz w:val="18"/>
              </w:rPr>
              <w:t xml:space="preserve"> </w:t>
            </w:r>
            <w:r>
              <w:rPr>
                <w:sz w:val="18"/>
              </w:rPr>
              <w:t>No.</w:t>
            </w:r>
            <w:r>
              <w:rPr>
                <w:spacing w:val="-3"/>
                <w:sz w:val="18"/>
              </w:rPr>
              <w:t xml:space="preserve"> </w:t>
            </w:r>
            <w:r>
              <w:rPr>
                <w:sz w:val="18"/>
              </w:rPr>
              <w:t>35/2024</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Implementation</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Regional</w:t>
            </w:r>
            <w:r>
              <w:rPr>
                <w:spacing w:val="-1"/>
                <w:sz w:val="18"/>
              </w:rPr>
              <w:t xml:space="preserve"> </w:t>
            </w:r>
            <w:r>
              <w:rPr>
                <w:sz w:val="18"/>
              </w:rPr>
              <w:t>Regulation</w:t>
            </w:r>
            <w:r>
              <w:rPr>
                <w:spacing w:val="-2"/>
                <w:sz w:val="18"/>
              </w:rPr>
              <w:t xml:space="preserve"> </w:t>
            </w:r>
            <w:r>
              <w:rPr>
                <w:sz w:val="18"/>
              </w:rPr>
              <w:t>on</w:t>
            </w:r>
            <w:r>
              <w:rPr>
                <w:spacing w:val="-2"/>
                <w:sz w:val="18"/>
              </w:rPr>
              <w:t xml:space="preserve"> </w:t>
            </w:r>
            <w:r>
              <w:rPr>
                <w:sz w:val="18"/>
              </w:rPr>
              <w:t>PDRD</w:t>
            </w:r>
            <w:r>
              <w:rPr>
                <w:spacing w:val="-1"/>
                <w:sz w:val="18"/>
              </w:rPr>
              <w:t xml:space="preserve"> </w:t>
            </w:r>
            <w:r>
              <w:rPr>
                <w:spacing w:val="-5"/>
                <w:sz w:val="18"/>
              </w:rPr>
              <w:t>of</w:t>
            </w:r>
          </w:p>
          <w:p w14:paraId="55CD0286" w14:textId="77777777" w:rsidR="00BC24A8" w:rsidRDefault="00000000">
            <w:pPr>
              <w:pStyle w:val="TableParagraph"/>
              <w:spacing w:line="199" w:lineRule="exact"/>
              <w:ind w:left="107"/>
              <w:rPr>
                <w:sz w:val="18"/>
              </w:rPr>
            </w:pPr>
            <w:r>
              <w:rPr>
                <w:sz w:val="18"/>
              </w:rPr>
              <w:t>Gorontalo</w:t>
            </w:r>
            <w:r>
              <w:rPr>
                <w:spacing w:val="-4"/>
                <w:sz w:val="18"/>
              </w:rPr>
              <w:t xml:space="preserve"> </w:t>
            </w: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34E6B5EF" w14:textId="77777777" w:rsidR="00BC24A8" w:rsidRDefault="00000000">
            <w:pPr>
              <w:pStyle w:val="TableParagraph"/>
              <w:spacing w:before="1"/>
              <w:ind w:left="106"/>
              <w:rPr>
                <w:sz w:val="18"/>
              </w:rPr>
            </w:pPr>
            <w:r>
              <w:rPr>
                <w:spacing w:val="-2"/>
                <w:sz w:val="18"/>
              </w:rPr>
              <w:t>Gorontalo</w:t>
            </w:r>
          </w:p>
        </w:tc>
      </w:tr>
      <w:tr w:rsidR="00BC24A8" w14:paraId="298E6C64"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18D018BB" w14:textId="77777777" w:rsidR="00BC24A8" w:rsidRDefault="00000000">
            <w:pPr>
              <w:pStyle w:val="TableParagraph"/>
              <w:spacing w:before="1"/>
              <w:ind w:left="92" w:right="171"/>
              <w:jc w:val="center"/>
              <w:rPr>
                <w:sz w:val="18"/>
              </w:rPr>
            </w:pPr>
            <w:r>
              <w:rPr>
                <w:spacing w:val="-5"/>
                <w:sz w:val="18"/>
              </w:rPr>
              <w:t>63</w:t>
            </w:r>
          </w:p>
        </w:tc>
        <w:tc>
          <w:tcPr>
            <w:tcW w:w="7760" w:type="dxa"/>
            <w:tcBorders>
              <w:top w:val="single" w:sz="4" w:space="0" w:color="A6A6A6"/>
              <w:left w:val="single" w:sz="4" w:space="0" w:color="A6A6A6"/>
              <w:bottom w:val="single" w:sz="4" w:space="0" w:color="A6A6A6"/>
              <w:right w:val="single" w:sz="4" w:space="0" w:color="A6A6A6"/>
            </w:tcBorders>
          </w:tcPr>
          <w:p w14:paraId="0251827F" w14:textId="77777777" w:rsidR="00BC24A8" w:rsidRDefault="00000000">
            <w:pPr>
              <w:pStyle w:val="TableParagraph"/>
              <w:spacing w:line="220" w:lineRule="atLeast"/>
              <w:ind w:left="107" w:right="122"/>
              <w:rPr>
                <w:sz w:val="18"/>
              </w:rPr>
            </w:pPr>
            <w:r>
              <w:rPr>
                <w:sz w:val="18"/>
              </w:rPr>
              <w:t>Cooperation</w:t>
            </w:r>
            <w:r>
              <w:rPr>
                <w:spacing w:val="-3"/>
                <w:sz w:val="18"/>
              </w:rPr>
              <w:t xml:space="preserve"> </w:t>
            </w:r>
            <w:r>
              <w:rPr>
                <w:sz w:val="18"/>
              </w:rPr>
              <w:t>Agreement</w:t>
            </w:r>
            <w:r>
              <w:rPr>
                <w:spacing w:val="-2"/>
                <w:sz w:val="18"/>
              </w:rPr>
              <w:t xml:space="preserve"> </w:t>
            </w:r>
            <w:r>
              <w:rPr>
                <w:sz w:val="18"/>
              </w:rPr>
              <w:t>(PKS)</w:t>
            </w:r>
            <w:r>
              <w:rPr>
                <w:spacing w:val="-4"/>
                <w:sz w:val="18"/>
              </w:rPr>
              <w:t xml:space="preserve"> </w:t>
            </w:r>
            <w:r>
              <w:rPr>
                <w:sz w:val="18"/>
              </w:rPr>
              <w:t>dated</w:t>
            </w:r>
            <w:r>
              <w:rPr>
                <w:spacing w:val="-3"/>
                <w:sz w:val="18"/>
              </w:rPr>
              <w:t xml:space="preserve"> </w:t>
            </w:r>
            <w:r>
              <w:rPr>
                <w:sz w:val="18"/>
              </w:rPr>
              <w:t>20/11/2024</w:t>
            </w:r>
            <w:r>
              <w:rPr>
                <w:spacing w:val="-3"/>
                <w:sz w:val="18"/>
              </w:rPr>
              <w:t xml:space="preserve"> </w:t>
            </w:r>
            <w:r>
              <w:rPr>
                <w:sz w:val="18"/>
              </w:rPr>
              <w:t>between</w:t>
            </w:r>
            <w:r>
              <w:rPr>
                <w:spacing w:val="-3"/>
                <w:sz w:val="18"/>
              </w:rPr>
              <w:t xml:space="preserve"> </w:t>
            </w:r>
            <w:r>
              <w:rPr>
                <w:sz w:val="18"/>
              </w:rPr>
              <w:t>Gorontalo</w:t>
            </w:r>
            <w:r>
              <w:rPr>
                <w:spacing w:val="-4"/>
                <w:sz w:val="18"/>
              </w:rPr>
              <w:t xml:space="preserve"> </w:t>
            </w:r>
            <w:r>
              <w:rPr>
                <w:sz w:val="18"/>
              </w:rPr>
              <w:t>Province</w:t>
            </w:r>
            <w:r>
              <w:rPr>
                <w:spacing w:val="-3"/>
                <w:sz w:val="18"/>
              </w:rPr>
              <w:t xml:space="preserve"> </w:t>
            </w:r>
            <w:r>
              <w:rPr>
                <w:sz w:val="18"/>
              </w:rPr>
              <w:t>and</w:t>
            </w:r>
            <w:r>
              <w:rPr>
                <w:spacing w:val="-3"/>
                <w:sz w:val="18"/>
              </w:rPr>
              <w:t xml:space="preserve"> </w:t>
            </w:r>
            <w:r>
              <w:rPr>
                <w:sz w:val="18"/>
              </w:rPr>
              <w:t>Gorontalo</w:t>
            </w:r>
            <w:r>
              <w:rPr>
                <w:spacing w:val="-4"/>
                <w:sz w:val="18"/>
              </w:rPr>
              <w:t xml:space="preserve"> </w:t>
            </w:r>
            <w:r>
              <w:rPr>
                <w:sz w:val="18"/>
              </w:rPr>
              <w:t>City</w:t>
            </w:r>
            <w:r>
              <w:rPr>
                <w:spacing w:val="-3"/>
                <w:sz w:val="18"/>
              </w:rPr>
              <w:t xml:space="preserve"> </w:t>
            </w:r>
            <w:r>
              <w:rPr>
                <w:sz w:val="18"/>
              </w:rPr>
              <w:t>on Cooperation for the Optimization of Tax Collection and Synergy in Optional Levy Collection</w:t>
            </w:r>
          </w:p>
        </w:tc>
        <w:tc>
          <w:tcPr>
            <w:tcW w:w="1275" w:type="dxa"/>
            <w:tcBorders>
              <w:top w:val="single" w:sz="4" w:space="0" w:color="A6A6A6"/>
              <w:left w:val="single" w:sz="4" w:space="0" w:color="A6A6A6"/>
              <w:bottom w:val="single" w:sz="4" w:space="0" w:color="A6A6A6"/>
              <w:right w:val="single" w:sz="4" w:space="0" w:color="A6A6A6"/>
            </w:tcBorders>
          </w:tcPr>
          <w:p w14:paraId="0C07FD55" w14:textId="77777777" w:rsidR="00BC24A8" w:rsidRDefault="00000000">
            <w:pPr>
              <w:pStyle w:val="TableParagraph"/>
              <w:spacing w:before="1"/>
              <w:ind w:left="106"/>
              <w:rPr>
                <w:sz w:val="18"/>
              </w:rPr>
            </w:pPr>
            <w:r>
              <w:rPr>
                <w:spacing w:val="-2"/>
                <w:sz w:val="18"/>
              </w:rPr>
              <w:t>Gorontalo</w:t>
            </w:r>
          </w:p>
        </w:tc>
      </w:tr>
      <w:tr w:rsidR="00BC24A8" w14:paraId="25AECED2"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57E0FFE0" w14:textId="77777777" w:rsidR="00BC24A8" w:rsidRDefault="00000000">
            <w:pPr>
              <w:pStyle w:val="TableParagraph"/>
              <w:spacing w:line="219" w:lineRule="exact"/>
              <w:ind w:left="92" w:right="171"/>
              <w:jc w:val="center"/>
              <w:rPr>
                <w:sz w:val="18"/>
              </w:rPr>
            </w:pPr>
            <w:r>
              <w:rPr>
                <w:spacing w:val="-5"/>
                <w:sz w:val="18"/>
              </w:rPr>
              <w:t>64</w:t>
            </w:r>
          </w:p>
        </w:tc>
        <w:tc>
          <w:tcPr>
            <w:tcW w:w="7760" w:type="dxa"/>
            <w:tcBorders>
              <w:top w:val="single" w:sz="4" w:space="0" w:color="A6A6A6"/>
              <w:left w:val="single" w:sz="4" w:space="0" w:color="A6A6A6"/>
              <w:bottom w:val="single" w:sz="4" w:space="0" w:color="A6A6A6"/>
              <w:right w:val="single" w:sz="4" w:space="0" w:color="A6A6A6"/>
            </w:tcBorders>
          </w:tcPr>
          <w:p w14:paraId="6DC510DF"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Decree</w:t>
            </w:r>
            <w:r>
              <w:rPr>
                <w:spacing w:val="-2"/>
                <w:sz w:val="18"/>
              </w:rPr>
              <w:t xml:space="preserve"> </w:t>
            </w:r>
            <w:r>
              <w:rPr>
                <w:sz w:val="18"/>
              </w:rPr>
              <w:t>No.</w:t>
            </w:r>
            <w:r>
              <w:rPr>
                <w:spacing w:val="-3"/>
                <w:sz w:val="18"/>
              </w:rPr>
              <w:t xml:space="preserve"> </w:t>
            </w:r>
            <w:r>
              <w:rPr>
                <w:sz w:val="18"/>
              </w:rPr>
              <w:t>235/1/VI/2024</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Establishment</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Task</w:t>
            </w:r>
            <w:r>
              <w:rPr>
                <w:spacing w:val="-2"/>
                <w:sz w:val="18"/>
              </w:rPr>
              <w:t xml:space="preserve"> </w:t>
            </w:r>
            <w:r>
              <w:rPr>
                <w:sz w:val="18"/>
              </w:rPr>
              <w:t>Force</w:t>
            </w:r>
            <w:r>
              <w:rPr>
                <w:spacing w:val="-2"/>
                <w:sz w:val="18"/>
              </w:rPr>
              <w:t xml:space="preserve"> </w:t>
            </w:r>
            <w:r>
              <w:rPr>
                <w:sz w:val="18"/>
              </w:rPr>
              <w:t>to</w:t>
            </w:r>
            <w:r>
              <w:rPr>
                <w:spacing w:val="-3"/>
                <w:sz w:val="18"/>
              </w:rPr>
              <w:t xml:space="preserve"> </w:t>
            </w:r>
            <w:r>
              <w:rPr>
                <w:sz w:val="18"/>
              </w:rPr>
              <w:t>Accelerate</w:t>
            </w:r>
            <w:r>
              <w:rPr>
                <w:spacing w:val="-2"/>
                <w:sz w:val="18"/>
              </w:rPr>
              <w:t xml:space="preserve"> </w:t>
            </w:r>
            <w:r>
              <w:rPr>
                <w:spacing w:val="-5"/>
                <w:sz w:val="18"/>
              </w:rPr>
              <w:t>the</w:t>
            </w:r>
          </w:p>
          <w:p w14:paraId="3C253119" w14:textId="77777777" w:rsidR="00BC24A8" w:rsidRDefault="00000000">
            <w:pPr>
              <w:pStyle w:val="TableParagraph"/>
              <w:spacing w:before="1" w:line="199" w:lineRule="exact"/>
              <w:ind w:left="107"/>
              <w:rPr>
                <w:sz w:val="18"/>
              </w:rPr>
            </w:pPr>
            <w:r>
              <w:rPr>
                <w:sz w:val="18"/>
              </w:rPr>
              <w:t>Implementation</w:t>
            </w:r>
            <w:r>
              <w:rPr>
                <w:spacing w:val="-4"/>
                <w:sz w:val="18"/>
              </w:rPr>
              <w:t xml:space="preserve"> </w:t>
            </w:r>
            <w:r>
              <w:rPr>
                <w:sz w:val="18"/>
              </w:rPr>
              <w:t>of</w:t>
            </w:r>
            <w:r>
              <w:rPr>
                <w:spacing w:val="-3"/>
                <w:sz w:val="18"/>
              </w:rPr>
              <w:t xml:space="preserve"> </w:t>
            </w:r>
            <w:r>
              <w:rPr>
                <w:sz w:val="18"/>
              </w:rPr>
              <w:t>MSS</w:t>
            </w:r>
            <w:r>
              <w:rPr>
                <w:spacing w:val="-2"/>
                <w:sz w:val="18"/>
              </w:rPr>
              <w:t xml:space="preserve"> </w:t>
            </w:r>
            <w:r>
              <w:rPr>
                <w:sz w:val="18"/>
              </w:rPr>
              <w:t>in</w:t>
            </w:r>
            <w:r>
              <w:rPr>
                <w:spacing w:val="-2"/>
                <w:sz w:val="18"/>
              </w:rPr>
              <w:t xml:space="preserve"> </w:t>
            </w:r>
            <w:r>
              <w:rPr>
                <w:sz w:val="18"/>
              </w:rPr>
              <w:t>Gorontalo</w:t>
            </w:r>
            <w:r>
              <w:rPr>
                <w:spacing w:val="-2"/>
                <w:sz w:val="18"/>
              </w:rPr>
              <w:t xml:space="preserve"> Province</w:t>
            </w:r>
          </w:p>
        </w:tc>
        <w:tc>
          <w:tcPr>
            <w:tcW w:w="1275" w:type="dxa"/>
            <w:tcBorders>
              <w:top w:val="single" w:sz="4" w:space="0" w:color="A6A6A6"/>
              <w:left w:val="single" w:sz="4" w:space="0" w:color="A6A6A6"/>
              <w:bottom w:val="single" w:sz="4" w:space="0" w:color="A6A6A6"/>
              <w:right w:val="single" w:sz="4" w:space="0" w:color="A6A6A6"/>
            </w:tcBorders>
          </w:tcPr>
          <w:p w14:paraId="79D9701C" w14:textId="77777777" w:rsidR="00BC24A8" w:rsidRDefault="00000000">
            <w:pPr>
              <w:pStyle w:val="TableParagraph"/>
              <w:spacing w:line="219" w:lineRule="exact"/>
              <w:ind w:left="106"/>
              <w:rPr>
                <w:sz w:val="18"/>
              </w:rPr>
            </w:pPr>
            <w:r>
              <w:rPr>
                <w:spacing w:val="-2"/>
                <w:sz w:val="18"/>
              </w:rPr>
              <w:t>Gorontalo</w:t>
            </w:r>
          </w:p>
        </w:tc>
      </w:tr>
      <w:tr w:rsidR="00BC24A8" w14:paraId="28C1800A"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3E411074" w14:textId="77777777" w:rsidR="00BC24A8" w:rsidRDefault="00000000">
            <w:pPr>
              <w:pStyle w:val="TableParagraph"/>
              <w:spacing w:before="1"/>
              <w:ind w:left="92" w:right="171"/>
              <w:jc w:val="center"/>
              <w:rPr>
                <w:sz w:val="18"/>
              </w:rPr>
            </w:pPr>
            <w:r>
              <w:rPr>
                <w:spacing w:val="-5"/>
                <w:sz w:val="18"/>
              </w:rPr>
              <w:t>65</w:t>
            </w:r>
          </w:p>
        </w:tc>
        <w:tc>
          <w:tcPr>
            <w:tcW w:w="7760" w:type="dxa"/>
            <w:tcBorders>
              <w:top w:val="single" w:sz="4" w:space="0" w:color="A6A6A6"/>
              <w:left w:val="single" w:sz="4" w:space="0" w:color="A6A6A6"/>
              <w:bottom w:val="single" w:sz="4" w:space="0" w:color="A6A6A6"/>
              <w:right w:val="single" w:sz="4" w:space="0" w:color="A6A6A6"/>
            </w:tcBorders>
          </w:tcPr>
          <w:p w14:paraId="6120F487" w14:textId="77777777" w:rsidR="00BC24A8" w:rsidRDefault="00000000">
            <w:pPr>
              <w:pStyle w:val="TableParagraph"/>
              <w:spacing w:before="1" w:line="219" w:lineRule="exact"/>
              <w:ind w:left="107"/>
              <w:rPr>
                <w:sz w:val="18"/>
              </w:rPr>
            </w:pPr>
            <w:r>
              <w:rPr>
                <w:sz w:val="18"/>
              </w:rPr>
              <w:t>Regional</w:t>
            </w:r>
            <w:r>
              <w:rPr>
                <w:spacing w:val="-4"/>
                <w:sz w:val="18"/>
              </w:rPr>
              <w:t xml:space="preserve"> </w:t>
            </w:r>
            <w:r>
              <w:rPr>
                <w:sz w:val="18"/>
              </w:rPr>
              <w:t>Regulation</w:t>
            </w:r>
            <w:r>
              <w:rPr>
                <w:spacing w:val="-3"/>
                <w:sz w:val="18"/>
              </w:rPr>
              <w:t xml:space="preserve"> </w:t>
            </w:r>
            <w:r>
              <w:rPr>
                <w:sz w:val="18"/>
              </w:rPr>
              <w:t>No.</w:t>
            </w:r>
            <w:r>
              <w:rPr>
                <w:spacing w:val="-3"/>
                <w:sz w:val="18"/>
              </w:rPr>
              <w:t xml:space="preserve"> </w:t>
            </w:r>
            <w:r>
              <w:rPr>
                <w:sz w:val="18"/>
              </w:rPr>
              <w:t>4/2024</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Regional</w:t>
            </w:r>
            <w:r>
              <w:rPr>
                <w:spacing w:val="-1"/>
                <w:sz w:val="18"/>
              </w:rPr>
              <w:t xml:space="preserve"> </w:t>
            </w:r>
            <w:r>
              <w:rPr>
                <w:sz w:val="18"/>
              </w:rPr>
              <w:t>Long-Term</w:t>
            </w:r>
            <w:r>
              <w:rPr>
                <w:spacing w:val="-4"/>
                <w:sz w:val="18"/>
              </w:rPr>
              <w:t xml:space="preserve"> </w:t>
            </w:r>
            <w:r>
              <w:rPr>
                <w:sz w:val="18"/>
              </w:rPr>
              <w:t>Development</w:t>
            </w:r>
            <w:r>
              <w:rPr>
                <w:spacing w:val="-2"/>
                <w:sz w:val="18"/>
              </w:rPr>
              <w:t xml:space="preserve"> </w:t>
            </w:r>
            <w:r>
              <w:rPr>
                <w:sz w:val="18"/>
              </w:rPr>
              <w:t>Plan</w:t>
            </w:r>
            <w:r>
              <w:rPr>
                <w:spacing w:val="-3"/>
                <w:sz w:val="18"/>
              </w:rPr>
              <w:t xml:space="preserve"> </w:t>
            </w:r>
            <w:r>
              <w:rPr>
                <w:sz w:val="18"/>
              </w:rPr>
              <w:t>of</w:t>
            </w:r>
            <w:r>
              <w:rPr>
                <w:spacing w:val="-3"/>
                <w:sz w:val="18"/>
              </w:rPr>
              <w:t xml:space="preserve"> </w:t>
            </w:r>
            <w:r>
              <w:rPr>
                <w:sz w:val="18"/>
              </w:rPr>
              <w:t>Gorontalo</w:t>
            </w:r>
            <w:r>
              <w:rPr>
                <w:spacing w:val="-3"/>
                <w:sz w:val="18"/>
              </w:rPr>
              <w:t xml:space="preserve"> </w:t>
            </w:r>
            <w:r>
              <w:rPr>
                <w:spacing w:val="-2"/>
                <w:sz w:val="18"/>
              </w:rPr>
              <w:t>Province</w:t>
            </w:r>
          </w:p>
          <w:p w14:paraId="4851B656" w14:textId="77777777" w:rsidR="00BC24A8" w:rsidRDefault="00000000">
            <w:pPr>
              <w:pStyle w:val="TableParagraph"/>
              <w:spacing w:line="199" w:lineRule="exact"/>
              <w:ind w:left="107"/>
              <w:rPr>
                <w:sz w:val="18"/>
              </w:rPr>
            </w:pPr>
            <w:r>
              <w:rPr>
                <w:spacing w:val="-2"/>
                <w:sz w:val="18"/>
              </w:rPr>
              <w:t>2025-</w:t>
            </w:r>
            <w:r>
              <w:rPr>
                <w:spacing w:val="-4"/>
                <w:sz w:val="18"/>
              </w:rPr>
              <w:t>2029</w:t>
            </w:r>
          </w:p>
        </w:tc>
        <w:tc>
          <w:tcPr>
            <w:tcW w:w="1275" w:type="dxa"/>
            <w:tcBorders>
              <w:top w:val="single" w:sz="4" w:space="0" w:color="A6A6A6"/>
              <w:left w:val="single" w:sz="4" w:space="0" w:color="A6A6A6"/>
              <w:bottom w:val="single" w:sz="4" w:space="0" w:color="A6A6A6"/>
              <w:right w:val="single" w:sz="4" w:space="0" w:color="A6A6A6"/>
            </w:tcBorders>
          </w:tcPr>
          <w:p w14:paraId="01CCCC2D" w14:textId="77777777" w:rsidR="00BC24A8" w:rsidRDefault="00000000">
            <w:pPr>
              <w:pStyle w:val="TableParagraph"/>
              <w:spacing w:before="1"/>
              <w:ind w:left="106"/>
              <w:rPr>
                <w:sz w:val="18"/>
              </w:rPr>
            </w:pPr>
            <w:r>
              <w:rPr>
                <w:spacing w:val="-2"/>
                <w:sz w:val="18"/>
              </w:rPr>
              <w:t>Gorontalo</w:t>
            </w:r>
          </w:p>
        </w:tc>
      </w:tr>
      <w:tr w:rsidR="00BC24A8" w14:paraId="2D1F2D80"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2259C120" w14:textId="77777777" w:rsidR="00BC24A8" w:rsidRDefault="00000000">
            <w:pPr>
              <w:pStyle w:val="TableParagraph"/>
              <w:spacing w:before="1" w:line="218" w:lineRule="exact"/>
              <w:ind w:left="92" w:right="171"/>
              <w:jc w:val="center"/>
              <w:rPr>
                <w:sz w:val="18"/>
              </w:rPr>
            </w:pPr>
            <w:r>
              <w:rPr>
                <w:spacing w:val="-5"/>
                <w:sz w:val="18"/>
              </w:rPr>
              <w:t>66</w:t>
            </w:r>
          </w:p>
        </w:tc>
        <w:tc>
          <w:tcPr>
            <w:tcW w:w="7760" w:type="dxa"/>
            <w:tcBorders>
              <w:top w:val="single" w:sz="4" w:space="0" w:color="A6A6A6"/>
              <w:left w:val="single" w:sz="4" w:space="0" w:color="A6A6A6"/>
              <w:bottom w:val="single" w:sz="4" w:space="0" w:color="A6A6A6"/>
              <w:right w:val="single" w:sz="4" w:space="0" w:color="A6A6A6"/>
            </w:tcBorders>
          </w:tcPr>
          <w:p w14:paraId="6852A9A9" w14:textId="77777777" w:rsidR="00BC24A8" w:rsidRDefault="00000000">
            <w:pPr>
              <w:pStyle w:val="TableParagraph"/>
              <w:spacing w:before="1" w:line="218" w:lineRule="exact"/>
              <w:ind w:left="107"/>
              <w:rPr>
                <w:sz w:val="18"/>
              </w:rPr>
            </w:pPr>
            <w:r>
              <w:rPr>
                <w:sz w:val="18"/>
              </w:rPr>
              <w:t>Governor</w:t>
            </w:r>
            <w:r>
              <w:rPr>
                <w:spacing w:val="-3"/>
                <w:sz w:val="18"/>
              </w:rPr>
              <w:t xml:space="preserve"> </w:t>
            </w:r>
            <w:r>
              <w:rPr>
                <w:sz w:val="18"/>
              </w:rPr>
              <w:t>Regulation</w:t>
            </w:r>
            <w:r>
              <w:rPr>
                <w:spacing w:val="-3"/>
                <w:sz w:val="18"/>
              </w:rPr>
              <w:t xml:space="preserve"> </w:t>
            </w:r>
            <w:r>
              <w:rPr>
                <w:sz w:val="18"/>
              </w:rPr>
              <w:t>No.</w:t>
            </w:r>
            <w:r>
              <w:rPr>
                <w:spacing w:val="-3"/>
                <w:sz w:val="18"/>
              </w:rPr>
              <w:t xml:space="preserve"> </w:t>
            </w:r>
            <w:r>
              <w:rPr>
                <w:sz w:val="18"/>
              </w:rPr>
              <w:t>9/2024</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2025</w:t>
            </w:r>
            <w:r>
              <w:rPr>
                <w:spacing w:val="-3"/>
                <w:sz w:val="18"/>
              </w:rPr>
              <w:t xml:space="preserve"> </w:t>
            </w:r>
            <w:r>
              <w:rPr>
                <w:sz w:val="18"/>
              </w:rPr>
              <w:t>Regional</w:t>
            </w:r>
            <w:r>
              <w:rPr>
                <w:spacing w:val="-1"/>
                <w:sz w:val="18"/>
              </w:rPr>
              <w:t xml:space="preserve"> </w:t>
            </w:r>
            <w:r>
              <w:rPr>
                <w:sz w:val="18"/>
              </w:rPr>
              <w:t>Government</w:t>
            </w:r>
            <w:r>
              <w:rPr>
                <w:spacing w:val="-2"/>
                <w:sz w:val="18"/>
              </w:rPr>
              <w:t xml:space="preserve"> </w:t>
            </w:r>
            <w:r>
              <w:rPr>
                <w:sz w:val="18"/>
              </w:rPr>
              <w:t>Work</w:t>
            </w:r>
            <w:r>
              <w:rPr>
                <w:spacing w:val="-2"/>
                <w:sz w:val="18"/>
              </w:rPr>
              <w:t xml:space="preserve"> </w:t>
            </w:r>
            <w:r>
              <w:rPr>
                <w:spacing w:val="-4"/>
                <w:sz w:val="18"/>
              </w:rPr>
              <w:t>Plan</w:t>
            </w:r>
          </w:p>
        </w:tc>
        <w:tc>
          <w:tcPr>
            <w:tcW w:w="1275" w:type="dxa"/>
            <w:tcBorders>
              <w:top w:val="single" w:sz="4" w:space="0" w:color="A6A6A6"/>
              <w:left w:val="single" w:sz="4" w:space="0" w:color="A6A6A6"/>
              <w:bottom w:val="single" w:sz="4" w:space="0" w:color="A6A6A6"/>
              <w:right w:val="single" w:sz="4" w:space="0" w:color="A6A6A6"/>
            </w:tcBorders>
          </w:tcPr>
          <w:p w14:paraId="4643ABB6" w14:textId="77777777" w:rsidR="00BC24A8" w:rsidRDefault="00000000">
            <w:pPr>
              <w:pStyle w:val="TableParagraph"/>
              <w:spacing w:before="1" w:line="218" w:lineRule="exact"/>
              <w:ind w:left="106"/>
              <w:rPr>
                <w:sz w:val="18"/>
              </w:rPr>
            </w:pPr>
            <w:r>
              <w:rPr>
                <w:spacing w:val="-2"/>
                <w:sz w:val="18"/>
              </w:rPr>
              <w:t>Gorontalo</w:t>
            </w:r>
          </w:p>
        </w:tc>
      </w:tr>
      <w:tr w:rsidR="00BC24A8" w14:paraId="51E742BE"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20214CD0" w14:textId="77777777" w:rsidR="00BC24A8" w:rsidRDefault="00000000">
            <w:pPr>
              <w:pStyle w:val="TableParagraph"/>
              <w:spacing w:before="1"/>
              <w:ind w:left="92" w:right="171"/>
              <w:jc w:val="center"/>
              <w:rPr>
                <w:sz w:val="18"/>
              </w:rPr>
            </w:pPr>
            <w:r>
              <w:rPr>
                <w:spacing w:val="-5"/>
                <w:sz w:val="18"/>
              </w:rPr>
              <w:t>67</w:t>
            </w:r>
          </w:p>
        </w:tc>
        <w:tc>
          <w:tcPr>
            <w:tcW w:w="7760" w:type="dxa"/>
            <w:tcBorders>
              <w:top w:val="single" w:sz="4" w:space="0" w:color="A6A6A6"/>
              <w:left w:val="single" w:sz="4" w:space="0" w:color="A6A6A6"/>
              <w:bottom w:val="single" w:sz="4" w:space="0" w:color="A6A6A6"/>
              <w:right w:val="single" w:sz="4" w:space="0" w:color="A6A6A6"/>
            </w:tcBorders>
          </w:tcPr>
          <w:p w14:paraId="388C7BB7" w14:textId="77777777" w:rsidR="00BC24A8" w:rsidRDefault="00000000">
            <w:pPr>
              <w:pStyle w:val="TableParagraph"/>
              <w:spacing w:line="220" w:lineRule="atLeast"/>
              <w:ind w:left="107" w:right="122"/>
              <w:rPr>
                <w:sz w:val="18"/>
              </w:rPr>
            </w:pPr>
            <w:r>
              <w:rPr>
                <w:sz w:val="18"/>
              </w:rPr>
              <w:t>Bappeda</w:t>
            </w:r>
            <w:r>
              <w:rPr>
                <w:spacing w:val="-4"/>
                <w:sz w:val="18"/>
              </w:rPr>
              <w:t xml:space="preserve"> </w:t>
            </w:r>
            <w:r>
              <w:rPr>
                <w:sz w:val="18"/>
              </w:rPr>
              <w:t>SOP</w:t>
            </w:r>
            <w:r>
              <w:rPr>
                <w:spacing w:val="-4"/>
                <w:sz w:val="18"/>
              </w:rPr>
              <w:t xml:space="preserve"> </w:t>
            </w:r>
            <w:r>
              <w:rPr>
                <w:sz w:val="18"/>
              </w:rPr>
              <w:t>No.</w:t>
            </w:r>
            <w:r>
              <w:rPr>
                <w:spacing w:val="-4"/>
                <w:sz w:val="18"/>
              </w:rPr>
              <w:t xml:space="preserve"> </w:t>
            </w:r>
            <w:r>
              <w:rPr>
                <w:sz w:val="18"/>
              </w:rPr>
              <w:t>SOP/017/VAPP-4.IT/2024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Standard</w:t>
            </w:r>
            <w:r>
              <w:rPr>
                <w:spacing w:val="-3"/>
                <w:sz w:val="18"/>
              </w:rPr>
              <w:t xml:space="preserve"> </w:t>
            </w:r>
            <w:r>
              <w:rPr>
                <w:sz w:val="18"/>
              </w:rPr>
              <w:t>Operating</w:t>
            </w:r>
            <w:r>
              <w:rPr>
                <w:spacing w:val="-4"/>
                <w:sz w:val="18"/>
              </w:rPr>
              <w:t xml:space="preserve"> </w:t>
            </w:r>
            <w:r>
              <w:rPr>
                <w:sz w:val="18"/>
              </w:rPr>
              <w:t>Procedure</w:t>
            </w:r>
            <w:r>
              <w:rPr>
                <w:spacing w:val="-3"/>
                <w:sz w:val="18"/>
              </w:rPr>
              <w:t xml:space="preserve"> </w:t>
            </w:r>
            <w:r>
              <w:rPr>
                <w:sz w:val="18"/>
              </w:rPr>
              <w:t>for</w:t>
            </w:r>
            <w:r>
              <w:rPr>
                <w:spacing w:val="-3"/>
                <w:sz w:val="18"/>
              </w:rPr>
              <w:t xml:space="preserve"> </w:t>
            </w:r>
            <w:r>
              <w:rPr>
                <w:sz w:val="18"/>
              </w:rPr>
              <w:t>One</w:t>
            </w:r>
            <w:r>
              <w:rPr>
                <w:spacing w:val="-3"/>
                <w:sz w:val="18"/>
              </w:rPr>
              <w:t xml:space="preserve"> </w:t>
            </w:r>
            <w:r>
              <w:rPr>
                <w:sz w:val="18"/>
              </w:rPr>
              <w:t>Data</w:t>
            </w:r>
            <w:r>
              <w:rPr>
                <w:spacing w:val="-4"/>
                <w:sz w:val="18"/>
              </w:rPr>
              <w:t xml:space="preserve"> </w:t>
            </w:r>
            <w:r>
              <w:rPr>
                <w:sz w:val="18"/>
              </w:rPr>
              <w:t>Planning of North Kalimantan Province</w:t>
            </w:r>
          </w:p>
        </w:tc>
        <w:tc>
          <w:tcPr>
            <w:tcW w:w="1275" w:type="dxa"/>
            <w:tcBorders>
              <w:top w:val="single" w:sz="4" w:space="0" w:color="A6A6A6"/>
              <w:left w:val="single" w:sz="4" w:space="0" w:color="A6A6A6"/>
              <w:bottom w:val="single" w:sz="4" w:space="0" w:color="A6A6A6"/>
              <w:right w:val="single" w:sz="4" w:space="0" w:color="A6A6A6"/>
            </w:tcBorders>
          </w:tcPr>
          <w:p w14:paraId="0072DF25" w14:textId="77777777" w:rsidR="00BC24A8" w:rsidRDefault="00000000">
            <w:pPr>
              <w:pStyle w:val="TableParagraph"/>
              <w:spacing w:before="1"/>
              <w:ind w:left="106"/>
              <w:rPr>
                <w:sz w:val="18"/>
              </w:rPr>
            </w:pPr>
            <w:r>
              <w:rPr>
                <w:spacing w:val="-2"/>
                <w:sz w:val="18"/>
              </w:rPr>
              <w:t>Kaltara</w:t>
            </w:r>
          </w:p>
        </w:tc>
      </w:tr>
      <w:tr w:rsidR="00BC24A8" w14:paraId="12975E8F"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2FF8449F" w14:textId="77777777" w:rsidR="00BC24A8" w:rsidRDefault="00000000">
            <w:pPr>
              <w:pStyle w:val="TableParagraph"/>
              <w:spacing w:line="219" w:lineRule="exact"/>
              <w:ind w:left="92" w:right="171"/>
              <w:jc w:val="center"/>
              <w:rPr>
                <w:sz w:val="18"/>
              </w:rPr>
            </w:pPr>
            <w:r>
              <w:rPr>
                <w:spacing w:val="-5"/>
                <w:sz w:val="18"/>
              </w:rPr>
              <w:t>68</w:t>
            </w:r>
          </w:p>
        </w:tc>
        <w:tc>
          <w:tcPr>
            <w:tcW w:w="7760" w:type="dxa"/>
            <w:tcBorders>
              <w:top w:val="single" w:sz="4" w:space="0" w:color="A6A6A6"/>
              <w:left w:val="single" w:sz="4" w:space="0" w:color="A6A6A6"/>
              <w:bottom w:val="single" w:sz="4" w:space="0" w:color="A6A6A6"/>
              <w:right w:val="single" w:sz="4" w:space="0" w:color="A6A6A6"/>
            </w:tcBorders>
          </w:tcPr>
          <w:p w14:paraId="626D65A5" w14:textId="77777777" w:rsidR="00BC24A8" w:rsidRDefault="00000000">
            <w:pPr>
              <w:pStyle w:val="TableParagraph"/>
              <w:spacing w:line="219" w:lineRule="exact"/>
              <w:ind w:left="107"/>
              <w:rPr>
                <w:sz w:val="18"/>
              </w:rPr>
            </w:pPr>
            <w:r>
              <w:rPr>
                <w:sz w:val="18"/>
              </w:rPr>
              <w:t>Governor</w:t>
            </w:r>
            <w:r>
              <w:rPr>
                <w:spacing w:val="-6"/>
                <w:sz w:val="18"/>
              </w:rPr>
              <w:t xml:space="preserve"> </w:t>
            </w:r>
            <w:r>
              <w:rPr>
                <w:sz w:val="18"/>
              </w:rPr>
              <w:t>Circular</w:t>
            </w:r>
            <w:r>
              <w:rPr>
                <w:spacing w:val="-3"/>
                <w:sz w:val="18"/>
              </w:rPr>
              <w:t xml:space="preserve"> </w:t>
            </w:r>
            <w:r>
              <w:rPr>
                <w:sz w:val="18"/>
              </w:rPr>
              <w:t>Letter</w:t>
            </w:r>
            <w:r>
              <w:rPr>
                <w:spacing w:val="-3"/>
                <w:sz w:val="18"/>
              </w:rPr>
              <w:t xml:space="preserve"> </w:t>
            </w:r>
            <w:r>
              <w:rPr>
                <w:sz w:val="18"/>
              </w:rPr>
              <w:t>No.</w:t>
            </w:r>
            <w:r>
              <w:rPr>
                <w:spacing w:val="-4"/>
                <w:sz w:val="18"/>
              </w:rPr>
              <w:t xml:space="preserve"> </w:t>
            </w:r>
            <w:r>
              <w:rPr>
                <w:sz w:val="18"/>
              </w:rPr>
              <w:t>000.9.6.1/3259/BAPP-LIT/GUB</w:t>
            </w:r>
            <w:r>
              <w:rPr>
                <w:spacing w:val="-4"/>
                <w:sz w:val="18"/>
              </w:rPr>
              <w:t xml:space="preserve"> </w:t>
            </w:r>
            <w:r>
              <w:rPr>
                <w:sz w:val="18"/>
              </w:rPr>
              <w:t>on</w:t>
            </w:r>
            <w:r>
              <w:rPr>
                <w:spacing w:val="-4"/>
                <w:sz w:val="18"/>
              </w:rPr>
              <w:t xml:space="preserve"> </w:t>
            </w:r>
            <w:r>
              <w:rPr>
                <w:sz w:val="18"/>
              </w:rPr>
              <w:t>the</w:t>
            </w:r>
            <w:r>
              <w:rPr>
                <w:spacing w:val="-3"/>
                <w:sz w:val="18"/>
              </w:rPr>
              <w:t xml:space="preserve"> </w:t>
            </w:r>
            <w:r>
              <w:rPr>
                <w:sz w:val="18"/>
              </w:rPr>
              <w:t>Utilization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Social</w:t>
            </w:r>
            <w:r>
              <w:rPr>
                <w:spacing w:val="-2"/>
                <w:sz w:val="18"/>
              </w:rPr>
              <w:t xml:space="preserve"> </w:t>
            </w:r>
            <w:r>
              <w:rPr>
                <w:spacing w:val="-5"/>
                <w:sz w:val="18"/>
              </w:rPr>
              <w:t>and</w:t>
            </w:r>
          </w:p>
          <w:p w14:paraId="19E15BA3" w14:textId="77777777" w:rsidR="00BC24A8" w:rsidRDefault="00000000">
            <w:pPr>
              <w:pStyle w:val="TableParagraph"/>
              <w:spacing w:before="1" w:line="199" w:lineRule="exact"/>
              <w:ind w:left="107"/>
              <w:rPr>
                <w:sz w:val="18"/>
              </w:rPr>
            </w:pPr>
            <w:r>
              <w:rPr>
                <w:sz w:val="18"/>
              </w:rPr>
              <w:t>Economic</w:t>
            </w:r>
            <w:r>
              <w:rPr>
                <w:spacing w:val="-4"/>
                <w:sz w:val="18"/>
              </w:rPr>
              <w:t xml:space="preserve"> </w:t>
            </w:r>
            <w:r>
              <w:rPr>
                <w:sz w:val="18"/>
              </w:rPr>
              <w:t>Registration</w:t>
            </w:r>
            <w:r>
              <w:rPr>
                <w:spacing w:val="-3"/>
                <w:sz w:val="18"/>
              </w:rPr>
              <w:t xml:space="preserve"> </w:t>
            </w:r>
            <w:r>
              <w:rPr>
                <w:sz w:val="18"/>
              </w:rPr>
              <w:t>(Regsosek)</w:t>
            </w:r>
            <w:r>
              <w:rPr>
                <w:spacing w:val="-4"/>
                <w:sz w:val="18"/>
              </w:rPr>
              <w:t xml:space="preserve"> </w:t>
            </w:r>
            <w:r>
              <w:rPr>
                <w:sz w:val="18"/>
              </w:rPr>
              <w:t>for</w:t>
            </w:r>
            <w:r>
              <w:rPr>
                <w:spacing w:val="-3"/>
                <w:sz w:val="18"/>
              </w:rPr>
              <w:t xml:space="preserve"> </w:t>
            </w:r>
            <w:r>
              <w:rPr>
                <w:sz w:val="18"/>
              </w:rPr>
              <w:t>the</w:t>
            </w:r>
            <w:r>
              <w:rPr>
                <w:spacing w:val="-3"/>
                <w:sz w:val="18"/>
              </w:rPr>
              <w:t xml:space="preserve"> </w:t>
            </w: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758536E1" w14:textId="77777777" w:rsidR="00BC24A8" w:rsidRDefault="00000000">
            <w:pPr>
              <w:pStyle w:val="TableParagraph"/>
              <w:spacing w:line="219" w:lineRule="exact"/>
              <w:ind w:left="106"/>
              <w:rPr>
                <w:sz w:val="18"/>
              </w:rPr>
            </w:pPr>
            <w:r>
              <w:rPr>
                <w:spacing w:val="-2"/>
                <w:sz w:val="18"/>
              </w:rPr>
              <w:t>Kaltara</w:t>
            </w:r>
          </w:p>
        </w:tc>
      </w:tr>
      <w:tr w:rsidR="00BC24A8" w14:paraId="64933E18"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54136180" w14:textId="77777777" w:rsidR="00BC24A8" w:rsidRDefault="00000000">
            <w:pPr>
              <w:pStyle w:val="TableParagraph"/>
              <w:spacing w:before="1"/>
              <w:ind w:left="92" w:right="171"/>
              <w:jc w:val="center"/>
              <w:rPr>
                <w:sz w:val="18"/>
              </w:rPr>
            </w:pPr>
            <w:r>
              <w:rPr>
                <w:spacing w:val="-5"/>
                <w:sz w:val="18"/>
              </w:rPr>
              <w:t>69</w:t>
            </w:r>
          </w:p>
        </w:tc>
        <w:tc>
          <w:tcPr>
            <w:tcW w:w="7760" w:type="dxa"/>
            <w:tcBorders>
              <w:top w:val="single" w:sz="4" w:space="0" w:color="A6A6A6"/>
              <w:left w:val="single" w:sz="4" w:space="0" w:color="A6A6A6"/>
              <w:bottom w:val="single" w:sz="4" w:space="0" w:color="A6A6A6"/>
              <w:right w:val="single" w:sz="4" w:space="0" w:color="A6A6A6"/>
            </w:tcBorders>
          </w:tcPr>
          <w:p w14:paraId="06904545" w14:textId="77777777" w:rsidR="00BC24A8" w:rsidRDefault="00000000">
            <w:pPr>
              <w:pStyle w:val="TableParagraph"/>
              <w:spacing w:before="1" w:line="219" w:lineRule="exact"/>
              <w:ind w:left="107"/>
              <w:rPr>
                <w:sz w:val="18"/>
              </w:rPr>
            </w:pPr>
            <w:r>
              <w:rPr>
                <w:sz w:val="18"/>
              </w:rPr>
              <w:t>Governor</w:t>
            </w:r>
            <w:r>
              <w:rPr>
                <w:spacing w:val="-6"/>
                <w:sz w:val="18"/>
              </w:rPr>
              <w:t xml:space="preserve"> </w:t>
            </w:r>
            <w:r>
              <w:rPr>
                <w:sz w:val="18"/>
              </w:rPr>
              <w:t>Circular</w:t>
            </w:r>
            <w:r>
              <w:rPr>
                <w:spacing w:val="-3"/>
                <w:sz w:val="18"/>
              </w:rPr>
              <w:t xml:space="preserve"> </w:t>
            </w:r>
            <w:r>
              <w:rPr>
                <w:sz w:val="18"/>
              </w:rPr>
              <w:t>Letter</w:t>
            </w:r>
            <w:r>
              <w:rPr>
                <w:spacing w:val="-4"/>
                <w:sz w:val="18"/>
              </w:rPr>
              <w:t xml:space="preserve"> </w:t>
            </w:r>
            <w:r>
              <w:rPr>
                <w:sz w:val="18"/>
              </w:rPr>
              <w:t>No.</w:t>
            </w:r>
            <w:r>
              <w:rPr>
                <w:spacing w:val="-4"/>
                <w:sz w:val="18"/>
              </w:rPr>
              <w:t xml:space="preserve"> </w:t>
            </w:r>
            <w:r>
              <w:rPr>
                <w:sz w:val="18"/>
              </w:rPr>
              <w:t>400.10.2/5694/DPMD/GUB</w:t>
            </w:r>
            <w:r>
              <w:rPr>
                <w:spacing w:val="-4"/>
                <w:sz w:val="18"/>
              </w:rPr>
              <w:t xml:space="preserve"> </w:t>
            </w:r>
            <w:r>
              <w:rPr>
                <w:sz w:val="18"/>
              </w:rPr>
              <w:t>on</w:t>
            </w:r>
            <w:r>
              <w:rPr>
                <w:spacing w:val="-3"/>
                <w:sz w:val="18"/>
              </w:rPr>
              <w:t xml:space="preserve"> </w:t>
            </w:r>
            <w:r>
              <w:rPr>
                <w:sz w:val="18"/>
              </w:rPr>
              <w:t>the</w:t>
            </w:r>
            <w:r>
              <w:rPr>
                <w:spacing w:val="-5"/>
                <w:sz w:val="18"/>
              </w:rPr>
              <w:t xml:space="preserve"> </w:t>
            </w:r>
            <w:r>
              <w:rPr>
                <w:sz w:val="18"/>
              </w:rPr>
              <w:t>Development</w:t>
            </w:r>
            <w:r>
              <w:rPr>
                <w:spacing w:val="-3"/>
                <w:sz w:val="18"/>
              </w:rPr>
              <w:t xml:space="preserve"> </w:t>
            </w:r>
            <w:r>
              <w:rPr>
                <w:sz w:val="18"/>
              </w:rPr>
              <w:t>of</w:t>
            </w:r>
            <w:r>
              <w:rPr>
                <w:spacing w:val="-4"/>
                <w:sz w:val="18"/>
              </w:rPr>
              <w:t xml:space="preserve"> </w:t>
            </w:r>
            <w:r>
              <w:rPr>
                <w:sz w:val="18"/>
              </w:rPr>
              <w:t>Village</w:t>
            </w:r>
            <w:r>
              <w:rPr>
                <w:spacing w:val="-4"/>
                <w:sz w:val="18"/>
              </w:rPr>
              <w:t xml:space="preserve"> </w:t>
            </w:r>
            <w:r>
              <w:rPr>
                <w:spacing w:val="-2"/>
                <w:sz w:val="18"/>
              </w:rPr>
              <w:t>Information</w:t>
            </w:r>
          </w:p>
          <w:p w14:paraId="67BE0C68" w14:textId="77777777" w:rsidR="00BC24A8" w:rsidRDefault="00000000">
            <w:pPr>
              <w:pStyle w:val="TableParagraph"/>
              <w:spacing w:line="199" w:lineRule="exact"/>
              <w:ind w:left="107"/>
              <w:rPr>
                <w:sz w:val="18"/>
              </w:rPr>
            </w:pPr>
            <w:r>
              <w:rPr>
                <w:sz w:val="18"/>
              </w:rPr>
              <w:t>System</w:t>
            </w:r>
            <w:r>
              <w:rPr>
                <w:spacing w:val="-5"/>
                <w:sz w:val="18"/>
              </w:rPr>
              <w:t xml:space="preserve"> </w:t>
            </w:r>
            <w:r>
              <w:rPr>
                <w:spacing w:val="-2"/>
                <w:sz w:val="18"/>
              </w:rPr>
              <w:t>(SID)</w:t>
            </w:r>
          </w:p>
        </w:tc>
        <w:tc>
          <w:tcPr>
            <w:tcW w:w="1275" w:type="dxa"/>
            <w:tcBorders>
              <w:top w:val="single" w:sz="4" w:space="0" w:color="A6A6A6"/>
              <w:left w:val="single" w:sz="4" w:space="0" w:color="A6A6A6"/>
              <w:bottom w:val="single" w:sz="4" w:space="0" w:color="A6A6A6"/>
              <w:right w:val="single" w:sz="4" w:space="0" w:color="A6A6A6"/>
            </w:tcBorders>
          </w:tcPr>
          <w:p w14:paraId="00EECF4C" w14:textId="77777777" w:rsidR="00BC24A8" w:rsidRDefault="00000000">
            <w:pPr>
              <w:pStyle w:val="TableParagraph"/>
              <w:spacing w:before="1"/>
              <w:ind w:left="106"/>
              <w:rPr>
                <w:sz w:val="18"/>
              </w:rPr>
            </w:pPr>
            <w:r>
              <w:rPr>
                <w:spacing w:val="-2"/>
                <w:sz w:val="18"/>
              </w:rPr>
              <w:t>Kaltara</w:t>
            </w:r>
          </w:p>
        </w:tc>
      </w:tr>
      <w:tr w:rsidR="00BC24A8" w14:paraId="20B712A2"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7FC2145B" w14:textId="77777777" w:rsidR="00BC24A8" w:rsidRDefault="00000000">
            <w:pPr>
              <w:pStyle w:val="TableParagraph"/>
              <w:spacing w:before="1" w:line="218" w:lineRule="exact"/>
              <w:ind w:left="92" w:right="171"/>
              <w:jc w:val="center"/>
              <w:rPr>
                <w:sz w:val="18"/>
              </w:rPr>
            </w:pPr>
            <w:r>
              <w:rPr>
                <w:spacing w:val="-5"/>
                <w:sz w:val="18"/>
              </w:rPr>
              <w:t>70</w:t>
            </w:r>
          </w:p>
        </w:tc>
        <w:tc>
          <w:tcPr>
            <w:tcW w:w="7760" w:type="dxa"/>
            <w:tcBorders>
              <w:top w:val="single" w:sz="4" w:space="0" w:color="A6A6A6"/>
              <w:left w:val="single" w:sz="4" w:space="0" w:color="A6A6A6"/>
              <w:bottom w:val="single" w:sz="4" w:space="0" w:color="A6A6A6"/>
              <w:right w:val="single" w:sz="4" w:space="0" w:color="A6A6A6"/>
            </w:tcBorders>
          </w:tcPr>
          <w:p w14:paraId="5393D31B" w14:textId="77777777" w:rsidR="00BC24A8" w:rsidRDefault="00000000">
            <w:pPr>
              <w:pStyle w:val="TableParagraph"/>
              <w:spacing w:before="1" w:line="218" w:lineRule="exact"/>
              <w:ind w:left="107"/>
              <w:rPr>
                <w:sz w:val="18"/>
              </w:rPr>
            </w:pPr>
            <w:r>
              <w:rPr>
                <w:sz w:val="18"/>
              </w:rPr>
              <w:t>Governor</w:t>
            </w:r>
            <w:r>
              <w:rPr>
                <w:spacing w:val="-4"/>
                <w:sz w:val="18"/>
              </w:rPr>
              <w:t xml:space="preserve"> </w:t>
            </w:r>
            <w:r>
              <w:rPr>
                <w:sz w:val="18"/>
              </w:rPr>
              <w:t>Decree</w:t>
            </w:r>
            <w:r>
              <w:rPr>
                <w:spacing w:val="-3"/>
                <w:sz w:val="18"/>
              </w:rPr>
              <w:t xml:space="preserve"> </w:t>
            </w:r>
            <w:r>
              <w:rPr>
                <w:sz w:val="18"/>
              </w:rPr>
              <w:t>No.</w:t>
            </w:r>
            <w:r>
              <w:rPr>
                <w:spacing w:val="-3"/>
                <w:sz w:val="18"/>
              </w:rPr>
              <w:t xml:space="preserve"> </w:t>
            </w:r>
            <w:r>
              <w:rPr>
                <w:sz w:val="18"/>
              </w:rPr>
              <w:t>100.3.3.1/220/2024</w:t>
            </w:r>
            <w:r>
              <w:rPr>
                <w:spacing w:val="-1"/>
                <w:sz w:val="18"/>
              </w:rPr>
              <w:t xml:space="preserve"> </w:t>
            </w:r>
            <w:r>
              <w:rPr>
                <w:sz w:val="18"/>
              </w:rPr>
              <w:t>on</w:t>
            </w:r>
            <w:r>
              <w:rPr>
                <w:spacing w:val="-2"/>
                <w:sz w:val="18"/>
              </w:rPr>
              <w:t xml:space="preserve"> </w:t>
            </w:r>
            <w:r>
              <w:rPr>
                <w:sz w:val="18"/>
              </w:rPr>
              <w:t>the</w:t>
            </w:r>
            <w:r>
              <w:rPr>
                <w:spacing w:val="-3"/>
                <w:sz w:val="18"/>
              </w:rPr>
              <w:t xml:space="preserve"> </w:t>
            </w:r>
            <w:r>
              <w:rPr>
                <w:sz w:val="18"/>
              </w:rPr>
              <w:t>2025</w:t>
            </w:r>
            <w:r>
              <w:rPr>
                <w:spacing w:val="-2"/>
                <w:sz w:val="18"/>
              </w:rPr>
              <w:t xml:space="preserve"> </w:t>
            </w:r>
            <w:r>
              <w:rPr>
                <w:sz w:val="18"/>
              </w:rPr>
              <w:t>Data</w:t>
            </w:r>
            <w:r>
              <w:rPr>
                <w:spacing w:val="-2"/>
                <w:sz w:val="18"/>
              </w:rPr>
              <w:t xml:space="preserve"> </w:t>
            </w:r>
            <w:r>
              <w:rPr>
                <w:sz w:val="18"/>
              </w:rPr>
              <w:t>List</w:t>
            </w:r>
            <w:r>
              <w:rPr>
                <w:spacing w:val="-2"/>
                <w:sz w:val="18"/>
              </w:rPr>
              <w:t xml:space="preserve"> </w:t>
            </w:r>
            <w:r>
              <w:rPr>
                <w:sz w:val="18"/>
              </w:rPr>
              <w:t>of</w:t>
            </w:r>
            <w:r>
              <w:rPr>
                <w:spacing w:val="-3"/>
                <w:sz w:val="18"/>
              </w:rPr>
              <w:t xml:space="preserve"> </w:t>
            </w:r>
            <w:r>
              <w:rPr>
                <w:sz w:val="18"/>
              </w:rPr>
              <w:t>Kaltara</w:t>
            </w:r>
            <w:r>
              <w:rPr>
                <w:spacing w:val="-2"/>
                <w:sz w:val="18"/>
              </w:rPr>
              <w:t xml:space="preserve"> Province</w:t>
            </w:r>
          </w:p>
        </w:tc>
        <w:tc>
          <w:tcPr>
            <w:tcW w:w="1275" w:type="dxa"/>
            <w:tcBorders>
              <w:top w:val="single" w:sz="4" w:space="0" w:color="A6A6A6"/>
              <w:left w:val="single" w:sz="4" w:space="0" w:color="A6A6A6"/>
              <w:bottom w:val="single" w:sz="4" w:space="0" w:color="A6A6A6"/>
              <w:right w:val="single" w:sz="4" w:space="0" w:color="A6A6A6"/>
            </w:tcBorders>
          </w:tcPr>
          <w:p w14:paraId="691689F3" w14:textId="77777777" w:rsidR="00BC24A8" w:rsidRDefault="00000000">
            <w:pPr>
              <w:pStyle w:val="TableParagraph"/>
              <w:spacing w:before="1" w:line="218" w:lineRule="exact"/>
              <w:ind w:left="106"/>
              <w:rPr>
                <w:sz w:val="18"/>
              </w:rPr>
            </w:pPr>
            <w:r>
              <w:rPr>
                <w:spacing w:val="-2"/>
                <w:sz w:val="18"/>
              </w:rPr>
              <w:t>Kaltara</w:t>
            </w:r>
          </w:p>
        </w:tc>
      </w:tr>
      <w:tr w:rsidR="00BC24A8" w14:paraId="46F8AA0D"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2A52A526" w14:textId="77777777" w:rsidR="00BC24A8" w:rsidRDefault="00000000">
            <w:pPr>
              <w:pStyle w:val="TableParagraph"/>
              <w:spacing w:before="1"/>
              <w:ind w:left="92" w:right="171"/>
              <w:jc w:val="center"/>
              <w:rPr>
                <w:sz w:val="18"/>
              </w:rPr>
            </w:pPr>
            <w:r>
              <w:rPr>
                <w:spacing w:val="-5"/>
                <w:sz w:val="18"/>
              </w:rPr>
              <w:t>71</w:t>
            </w:r>
          </w:p>
        </w:tc>
        <w:tc>
          <w:tcPr>
            <w:tcW w:w="7760" w:type="dxa"/>
            <w:tcBorders>
              <w:top w:val="single" w:sz="4" w:space="0" w:color="A6A6A6"/>
              <w:left w:val="single" w:sz="4" w:space="0" w:color="A6A6A6"/>
              <w:bottom w:val="single" w:sz="4" w:space="0" w:color="A6A6A6"/>
              <w:right w:val="single" w:sz="4" w:space="0" w:color="A6A6A6"/>
            </w:tcBorders>
          </w:tcPr>
          <w:p w14:paraId="3F96638B" w14:textId="77777777" w:rsidR="00BC24A8" w:rsidRDefault="00000000">
            <w:pPr>
              <w:pStyle w:val="TableParagraph"/>
              <w:spacing w:line="220" w:lineRule="atLeast"/>
              <w:ind w:left="107" w:right="122"/>
              <w:rPr>
                <w:sz w:val="18"/>
              </w:rPr>
            </w:pPr>
            <w:r>
              <w:rPr>
                <w:sz w:val="18"/>
              </w:rPr>
              <w:t>Governor</w:t>
            </w:r>
            <w:r>
              <w:rPr>
                <w:spacing w:val="-4"/>
                <w:sz w:val="18"/>
              </w:rPr>
              <w:t xml:space="preserve"> </w:t>
            </w:r>
            <w:r>
              <w:rPr>
                <w:sz w:val="18"/>
              </w:rPr>
              <w:t>Circular</w:t>
            </w:r>
            <w:r>
              <w:rPr>
                <w:spacing w:val="-4"/>
                <w:sz w:val="18"/>
              </w:rPr>
              <w:t xml:space="preserve"> </w:t>
            </w:r>
            <w:r>
              <w:rPr>
                <w:sz w:val="18"/>
              </w:rPr>
              <w:t>Letter</w:t>
            </w:r>
            <w:r>
              <w:rPr>
                <w:spacing w:val="-4"/>
                <w:sz w:val="18"/>
              </w:rPr>
              <w:t xml:space="preserve"> </w:t>
            </w:r>
            <w:r>
              <w:rPr>
                <w:sz w:val="18"/>
              </w:rPr>
              <w:t>No.</w:t>
            </w:r>
            <w:r>
              <w:rPr>
                <w:spacing w:val="-5"/>
                <w:sz w:val="18"/>
              </w:rPr>
              <w:t xml:space="preserve"> </w:t>
            </w:r>
            <w:r>
              <w:rPr>
                <w:sz w:val="18"/>
              </w:rPr>
              <w:t>000.9.6.1/3530/BAPP-LIT/GUB</w:t>
            </w:r>
            <w:r>
              <w:rPr>
                <w:spacing w:val="-5"/>
                <w:sz w:val="18"/>
              </w:rPr>
              <w:t xml:space="preserve"> </w:t>
            </w:r>
            <w:r>
              <w:rPr>
                <w:sz w:val="18"/>
              </w:rPr>
              <w:t>on</w:t>
            </w:r>
            <w:r>
              <w:rPr>
                <w:spacing w:val="-4"/>
                <w:sz w:val="18"/>
              </w:rPr>
              <w:t xml:space="preserve"> </w:t>
            </w:r>
            <w:r>
              <w:rPr>
                <w:sz w:val="18"/>
              </w:rPr>
              <w:t>the</w:t>
            </w:r>
            <w:r>
              <w:rPr>
                <w:spacing w:val="-5"/>
                <w:sz w:val="18"/>
              </w:rPr>
              <w:t xml:space="preserve"> </w:t>
            </w:r>
            <w:r>
              <w:rPr>
                <w:sz w:val="18"/>
              </w:rPr>
              <w:t>Utilization</w:t>
            </w:r>
            <w:r>
              <w:rPr>
                <w:spacing w:val="-4"/>
                <w:sz w:val="18"/>
              </w:rPr>
              <w:t xml:space="preserve"> </w:t>
            </w:r>
            <w:r>
              <w:rPr>
                <w:sz w:val="18"/>
              </w:rPr>
              <w:t>of</w:t>
            </w:r>
            <w:r>
              <w:rPr>
                <w:spacing w:val="-5"/>
                <w:sz w:val="18"/>
              </w:rPr>
              <w:t xml:space="preserve"> </w:t>
            </w:r>
            <w:r>
              <w:rPr>
                <w:sz w:val="18"/>
              </w:rPr>
              <w:t>Regsosek</w:t>
            </w:r>
            <w:r>
              <w:rPr>
                <w:spacing w:val="-5"/>
                <w:sz w:val="18"/>
              </w:rPr>
              <w:t xml:space="preserve"> </w:t>
            </w:r>
            <w:r>
              <w:rPr>
                <w:sz w:val="18"/>
              </w:rPr>
              <w:t xml:space="preserve">for </w:t>
            </w:r>
            <w:r>
              <w:rPr>
                <w:spacing w:val="-2"/>
                <w:sz w:val="18"/>
              </w:rPr>
              <w:t>Regencies/Cities</w:t>
            </w:r>
          </w:p>
        </w:tc>
        <w:tc>
          <w:tcPr>
            <w:tcW w:w="1275" w:type="dxa"/>
            <w:tcBorders>
              <w:top w:val="single" w:sz="4" w:space="0" w:color="A6A6A6"/>
              <w:left w:val="single" w:sz="4" w:space="0" w:color="A6A6A6"/>
              <w:bottom w:val="single" w:sz="4" w:space="0" w:color="A6A6A6"/>
              <w:right w:val="single" w:sz="4" w:space="0" w:color="A6A6A6"/>
            </w:tcBorders>
          </w:tcPr>
          <w:p w14:paraId="0775A2F1" w14:textId="77777777" w:rsidR="00BC24A8" w:rsidRDefault="00000000">
            <w:pPr>
              <w:pStyle w:val="TableParagraph"/>
              <w:spacing w:before="1"/>
              <w:ind w:left="106"/>
              <w:rPr>
                <w:sz w:val="18"/>
              </w:rPr>
            </w:pPr>
            <w:r>
              <w:rPr>
                <w:spacing w:val="-2"/>
                <w:sz w:val="18"/>
              </w:rPr>
              <w:t>Kaltara</w:t>
            </w:r>
          </w:p>
        </w:tc>
      </w:tr>
      <w:tr w:rsidR="00BC24A8" w14:paraId="07BC08B5"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4CA09EE5" w14:textId="77777777" w:rsidR="00BC24A8" w:rsidRDefault="00000000">
            <w:pPr>
              <w:pStyle w:val="TableParagraph"/>
              <w:spacing w:line="219" w:lineRule="exact"/>
              <w:ind w:left="92" w:right="171"/>
              <w:jc w:val="center"/>
              <w:rPr>
                <w:sz w:val="18"/>
              </w:rPr>
            </w:pPr>
            <w:r>
              <w:rPr>
                <w:spacing w:val="-5"/>
                <w:sz w:val="18"/>
              </w:rPr>
              <w:t>72</w:t>
            </w:r>
          </w:p>
        </w:tc>
        <w:tc>
          <w:tcPr>
            <w:tcW w:w="7760" w:type="dxa"/>
            <w:tcBorders>
              <w:top w:val="single" w:sz="4" w:space="0" w:color="A6A6A6"/>
              <w:left w:val="single" w:sz="4" w:space="0" w:color="A6A6A6"/>
              <w:bottom w:val="single" w:sz="4" w:space="0" w:color="A6A6A6"/>
              <w:right w:val="single" w:sz="4" w:space="0" w:color="A6A6A6"/>
            </w:tcBorders>
          </w:tcPr>
          <w:p w14:paraId="48FC9FCB" w14:textId="77777777" w:rsidR="00BC24A8" w:rsidRDefault="00000000">
            <w:pPr>
              <w:pStyle w:val="TableParagraph"/>
              <w:spacing w:line="219" w:lineRule="exact"/>
              <w:ind w:left="107"/>
              <w:rPr>
                <w:sz w:val="18"/>
              </w:rPr>
            </w:pPr>
            <w:r>
              <w:rPr>
                <w:sz w:val="18"/>
              </w:rPr>
              <w:t>Bappeda</w:t>
            </w:r>
            <w:r>
              <w:rPr>
                <w:spacing w:val="-4"/>
                <w:sz w:val="18"/>
              </w:rPr>
              <w:t xml:space="preserve"> </w:t>
            </w:r>
            <w:r>
              <w:rPr>
                <w:sz w:val="18"/>
              </w:rPr>
              <w:t>SOP</w:t>
            </w:r>
            <w:r>
              <w:rPr>
                <w:spacing w:val="-3"/>
                <w:sz w:val="18"/>
              </w:rPr>
              <w:t xml:space="preserve"> </w:t>
            </w:r>
            <w:r>
              <w:rPr>
                <w:sz w:val="18"/>
              </w:rPr>
              <w:t>No.</w:t>
            </w:r>
            <w:r>
              <w:rPr>
                <w:spacing w:val="-4"/>
                <w:sz w:val="18"/>
              </w:rPr>
              <w:t xml:space="preserve"> </w:t>
            </w:r>
            <w:r>
              <w:rPr>
                <w:sz w:val="18"/>
              </w:rPr>
              <w:t>SOP/018/BAPP-LIT/2024</w:t>
            </w:r>
            <w:r>
              <w:rPr>
                <w:spacing w:val="-2"/>
                <w:sz w:val="18"/>
              </w:rPr>
              <w:t xml:space="preserve"> </w:t>
            </w:r>
            <w:r>
              <w:rPr>
                <w:sz w:val="18"/>
              </w:rPr>
              <w:t>on</w:t>
            </w:r>
            <w:r>
              <w:rPr>
                <w:spacing w:val="-3"/>
                <w:sz w:val="18"/>
              </w:rPr>
              <w:t xml:space="preserve"> </w:t>
            </w:r>
            <w:r>
              <w:rPr>
                <w:sz w:val="18"/>
              </w:rPr>
              <w:t>Data</w:t>
            </w:r>
            <w:r>
              <w:rPr>
                <w:spacing w:val="-3"/>
                <w:sz w:val="18"/>
              </w:rPr>
              <w:t xml:space="preserve"> </w:t>
            </w:r>
            <w:r>
              <w:rPr>
                <w:sz w:val="18"/>
              </w:rPr>
              <w:t>Collection</w:t>
            </w:r>
            <w:r>
              <w:rPr>
                <w:spacing w:val="-3"/>
                <w:sz w:val="18"/>
              </w:rPr>
              <w:t xml:space="preserve"> </w:t>
            </w:r>
            <w:r>
              <w:rPr>
                <w:sz w:val="18"/>
              </w:rPr>
              <w:t>under</w:t>
            </w:r>
            <w:r>
              <w:rPr>
                <w:spacing w:val="-2"/>
                <w:sz w:val="18"/>
              </w:rPr>
              <w:t xml:space="preserve"> </w:t>
            </w:r>
            <w:r>
              <w:rPr>
                <w:sz w:val="18"/>
              </w:rPr>
              <w:t>the</w:t>
            </w:r>
            <w:r>
              <w:rPr>
                <w:spacing w:val="-3"/>
                <w:sz w:val="18"/>
              </w:rPr>
              <w:t xml:space="preserve"> </w:t>
            </w:r>
            <w:r>
              <w:rPr>
                <w:sz w:val="18"/>
              </w:rPr>
              <w:t>Kaltara</w:t>
            </w:r>
            <w:r>
              <w:rPr>
                <w:spacing w:val="-3"/>
                <w:sz w:val="18"/>
              </w:rPr>
              <w:t xml:space="preserve"> </w:t>
            </w:r>
            <w:r>
              <w:rPr>
                <w:sz w:val="18"/>
              </w:rPr>
              <w:t>Provincial</w:t>
            </w:r>
            <w:r>
              <w:rPr>
                <w:spacing w:val="-2"/>
                <w:sz w:val="18"/>
              </w:rPr>
              <w:t xml:space="preserve"> </w:t>
            </w:r>
            <w:r>
              <w:rPr>
                <w:sz w:val="18"/>
              </w:rPr>
              <w:t>One</w:t>
            </w:r>
            <w:r>
              <w:rPr>
                <w:spacing w:val="-2"/>
                <w:sz w:val="18"/>
              </w:rPr>
              <w:t xml:space="preserve"> </w:t>
            </w:r>
            <w:r>
              <w:rPr>
                <w:spacing w:val="-4"/>
                <w:sz w:val="18"/>
              </w:rPr>
              <w:t>Data</w:t>
            </w:r>
          </w:p>
          <w:p w14:paraId="1E8AF81A" w14:textId="77777777" w:rsidR="00BC24A8" w:rsidRDefault="00000000">
            <w:pPr>
              <w:pStyle w:val="TableParagraph"/>
              <w:spacing w:before="1" w:line="199" w:lineRule="exact"/>
              <w:ind w:left="107"/>
              <w:rPr>
                <w:sz w:val="18"/>
              </w:rPr>
            </w:pPr>
            <w:r>
              <w:rPr>
                <w:spacing w:val="-2"/>
                <w:sz w:val="18"/>
              </w:rPr>
              <w:t>Framework</w:t>
            </w:r>
          </w:p>
        </w:tc>
        <w:tc>
          <w:tcPr>
            <w:tcW w:w="1275" w:type="dxa"/>
            <w:tcBorders>
              <w:top w:val="single" w:sz="4" w:space="0" w:color="A6A6A6"/>
              <w:left w:val="single" w:sz="4" w:space="0" w:color="A6A6A6"/>
              <w:bottom w:val="single" w:sz="4" w:space="0" w:color="A6A6A6"/>
              <w:right w:val="single" w:sz="4" w:space="0" w:color="A6A6A6"/>
            </w:tcBorders>
          </w:tcPr>
          <w:p w14:paraId="545CD09D" w14:textId="77777777" w:rsidR="00BC24A8" w:rsidRDefault="00000000">
            <w:pPr>
              <w:pStyle w:val="TableParagraph"/>
              <w:spacing w:line="219" w:lineRule="exact"/>
              <w:ind w:left="106"/>
              <w:rPr>
                <w:sz w:val="18"/>
              </w:rPr>
            </w:pPr>
            <w:r>
              <w:rPr>
                <w:spacing w:val="-2"/>
                <w:sz w:val="18"/>
              </w:rPr>
              <w:t>Kaltara</w:t>
            </w:r>
          </w:p>
        </w:tc>
      </w:tr>
      <w:tr w:rsidR="00BC24A8" w14:paraId="128590B5"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53A6A9EC" w14:textId="77777777" w:rsidR="00BC24A8" w:rsidRDefault="00000000">
            <w:pPr>
              <w:pStyle w:val="TableParagraph"/>
              <w:spacing w:before="1"/>
              <w:ind w:left="92" w:right="171"/>
              <w:jc w:val="center"/>
              <w:rPr>
                <w:sz w:val="18"/>
              </w:rPr>
            </w:pPr>
            <w:r>
              <w:rPr>
                <w:spacing w:val="-5"/>
                <w:sz w:val="18"/>
              </w:rPr>
              <w:t>73</w:t>
            </w:r>
          </w:p>
        </w:tc>
        <w:tc>
          <w:tcPr>
            <w:tcW w:w="7760" w:type="dxa"/>
            <w:tcBorders>
              <w:top w:val="single" w:sz="4" w:space="0" w:color="A6A6A6"/>
              <w:left w:val="single" w:sz="4" w:space="0" w:color="A6A6A6"/>
              <w:bottom w:val="single" w:sz="4" w:space="0" w:color="A6A6A6"/>
              <w:right w:val="single" w:sz="4" w:space="0" w:color="A6A6A6"/>
            </w:tcBorders>
          </w:tcPr>
          <w:p w14:paraId="3BD195FB" w14:textId="77777777" w:rsidR="00BC24A8" w:rsidRDefault="00000000">
            <w:pPr>
              <w:pStyle w:val="TableParagraph"/>
              <w:spacing w:before="1" w:line="219" w:lineRule="exact"/>
              <w:ind w:left="107"/>
              <w:rPr>
                <w:sz w:val="18"/>
              </w:rPr>
            </w:pPr>
            <w:r>
              <w:rPr>
                <w:sz w:val="18"/>
              </w:rPr>
              <w:t>Bappeda</w:t>
            </w:r>
            <w:r>
              <w:rPr>
                <w:spacing w:val="-4"/>
                <w:sz w:val="18"/>
              </w:rPr>
              <w:t xml:space="preserve"> </w:t>
            </w:r>
            <w:r>
              <w:rPr>
                <w:sz w:val="18"/>
              </w:rPr>
              <w:t>SOP</w:t>
            </w:r>
            <w:r>
              <w:rPr>
                <w:spacing w:val="-3"/>
                <w:sz w:val="18"/>
              </w:rPr>
              <w:t xml:space="preserve"> </w:t>
            </w:r>
            <w:r>
              <w:rPr>
                <w:sz w:val="18"/>
              </w:rPr>
              <w:t>No.</w:t>
            </w:r>
            <w:r>
              <w:rPr>
                <w:spacing w:val="-4"/>
                <w:sz w:val="18"/>
              </w:rPr>
              <w:t xml:space="preserve"> </w:t>
            </w:r>
            <w:r>
              <w:rPr>
                <w:sz w:val="18"/>
              </w:rPr>
              <w:t>SOP/019/BAPP-LIT/2024</w:t>
            </w:r>
            <w:r>
              <w:rPr>
                <w:spacing w:val="-2"/>
                <w:sz w:val="18"/>
              </w:rPr>
              <w:t xml:space="preserve"> </w:t>
            </w:r>
            <w:r>
              <w:rPr>
                <w:sz w:val="18"/>
              </w:rPr>
              <w:t>on</w:t>
            </w:r>
            <w:r>
              <w:rPr>
                <w:spacing w:val="-3"/>
                <w:sz w:val="18"/>
              </w:rPr>
              <w:t xml:space="preserve"> </w:t>
            </w:r>
            <w:r>
              <w:rPr>
                <w:sz w:val="18"/>
              </w:rPr>
              <w:t>Data</w:t>
            </w:r>
            <w:r>
              <w:rPr>
                <w:spacing w:val="-3"/>
                <w:sz w:val="18"/>
              </w:rPr>
              <w:t xml:space="preserve"> </w:t>
            </w:r>
            <w:r>
              <w:rPr>
                <w:sz w:val="18"/>
              </w:rPr>
              <w:t>Verification</w:t>
            </w:r>
            <w:r>
              <w:rPr>
                <w:spacing w:val="-3"/>
                <w:sz w:val="18"/>
              </w:rPr>
              <w:t xml:space="preserve"> </w:t>
            </w:r>
            <w:r>
              <w:rPr>
                <w:sz w:val="18"/>
              </w:rPr>
              <w:t>under</w:t>
            </w:r>
            <w:r>
              <w:rPr>
                <w:spacing w:val="-2"/>
                <w:sz w:val="18"/>
              </w:rPr>
              <w:t xml:space="preserve"> </w:t>
            </w:r>
            <w:r>
              <w:rPr>
                <w:sz w:val="18"/>
              </w:rPr>
              <w:t>the</w:t>
            </w:r>
            <w:r>
              <w:rPr>
                <w:spacing w:val="-3"/>
                <w:sz w:val="18"/>
              </w:rPr>
              <w:t xml:space="preserve"> </w:t>
            </w:r>
            <w:r>
              <w:rPr>
                <w:sz w:val="18"/>
              </w:rPr>
              <w:t>Kaltara</w:t>
            </w:r>
            <w:r>
              <w:rPr>
                <w:spacing w:val="-3"/>
                <w:sz w:val="18"/>
              </w:rPr>
              <w:t xml:space="preserve"> </w:t>
            </w:r>
            <w:r>
              <w:rPr>
                <w:sz w:val="18"/>
              </w:rPr>
              <w:t>Provincial</w:t>
            </w:r>
            <w:r>
              <w:rPr>
                <w:spacing w:val="-2"/>
                <w:sz w:val="18"/>
              </w:rPr>
              <w:t xml:space="preserve"> </w:t>
            </w:r>
            <w:r>
              <w:rPr>
                <w:sz w:val="18"/>
              </w:rPr>
              <w:t>One</w:t>
            </w:r>
            <w:r>
              <w:rPr>
                <w:spacing w:val="-2"/>
                <w:sz w:val="18"/>
              </w:rPr>
              <w:t xml:space="preserve"> </w:t>
            </w:r>
            <w:r>
              <w:rPr>
                <w:spacing w:val="-4"/>
                <w:sz w:val="18"/>
              </w:rPr>
              <w:t>Data</w:t>
            </w:r>
          </w:p>
          <w:p w14:paraId="72739074" w14:textId="77777777" w:rsidR="00BC24A8" w:rsidRDefault="00000000">
            <w:pPr>
              <w:pStyle w:val="TableParagraph"/>
              <w:spacing w:line="199" w:lineRule="exact"/>
              <w:ind w:left="107"/>
              <w:rPr>
                <w:sz w:val="18"/>
              </w:rPr>
            </w:pPr>
            <w:r>
              <w:rPr>
                <w:spacing w:val="-2"/>
                <w:sz w:val="18"/>
              </w:rPr>
              <w:t>Framework</w:t>
            </w:r>
          </w:p>
        </w:tc>
        <w:tc>
          <w:tcPr>
            <w:tcW w:w="1275" w:type="dxa"/>
            <w:tcBorders>
              <w:top w:val="single" w:sz="4" w:space="0" w:color="A6A6A6"/>
              <w:left w:val="single" w:sz="4" w:space="0" w:color="A6A6A6"/>
              <w:bottom w:val="single" w:sz="4" w:space="0" w:color="A6A6A6"/>
              <w:right w:val="single" w:sz="4" w:space="0" w:color="A6A6A6"/>
            </w:tcBorders>
          </w:tcPr>
          <w:p w14:paraId="56799CEA" w14:textId="77777777" w:rsidR="00BC24A8" w:rsidRDefault="00000000">
            <w:pPr>
              <w:pStyle w:val="TableParagraph"/>
              <w:spacing w:before="1"/>
              <w:ind w:left="106"/>
              <w:rPr>
                <w:sz w:val="18"/>
              </w:rPr>
            </w:pPr>
            <w:r>
              <w:rPr>
                <w:spacing w:val="-2"/>
                <w:sz w:val="18"/>
              </w:rPr>
              <w:t>Kaltara</w:t>
            </w:r>
          </w:p>
        </w:tc>
      </w:tr>
      <w:tr w:rsidR="00BC24A8" w14:paraId="7F30C8BF"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290D1F1C" w14:textId="77777777" w:rsidR="00BC24A8" w:rsidRDefault="00000000">
            <w:pPr>
              <w:pStyle w:val="TableParagraph"/>
              <w:spacing w:before="1"/>
              <w:ind w:left="92" w:right="171"/>
              <w:jc w:val="center"/>
              <w:rPr>
                <w:sz w:val="18"/>
              </w:rPr>
            </w:pPr>
            <w:r>
              <w:rPr>
                <w:spacing w:val="-5"/>
                <w:sz w:val="18"/>
              </w:rPr>
              <w:t>74</w:t>
            </w:r>
          </w:p>
        </w:tc>
        <w:tc>
          <w:tcPr>
            <w:tcW w:w="7760" w:type="dxa"/>
            <w:tcBorders>
              <w:top w:val="single" w:sz="4" w:space="0" w:color="A6A6A6"/>
              <w:left w:val="single" w:sz="4" w:space="0" w:color="A6A6A6"/>
              <w:bottom w:val="single" w:sz="4" w:space="0" w:color="A6A6A6"/>
              <w:right w:val="single" w:sz="4" w:space="0" w:color="A6A6A6"/>
            </w:tcBorders>
          </w:tcPr>
          <w:p w14:paraId="776F4737" w14:textId="77777777" w:rsidR="00BC24A8" w:rsidRDefault="00000000">
            <w:pPr>
              <w:pStyle w:val="TableParagraph"/>
              <w:spacing w:line="220" w:lineRule="atLeast"/>
              <w:ind w:left="107" w:right="122"/>
              <w:rPr>
                <w:sz w:val="18"/>
              </w:rPr>
            </w:pPr>
            <w:r>
              <w:rPr>
                <w:sz w:val="18"/>
              </w:rPr>
              <w:t>SOP</w:t>
            </w:r>
            <w:r>
              <w:rPr>
                <w:spacing w:val="-4"/>
                <w:sz w:val="18"/>
              </w:rPr>
              <w:t xml:space="preserve"> </w:t>
            </w:r>
            <w:r>
              <w:rPr>
                <w:sz w:val="18"/>
              </w:rPr>
              <w:t>Bappeda</w:t>
            </w:r>
            <w:r>
              <w:rPr>
                <w:spacing w:val="-4"/>
                <w:sz w:val="18"/>
              </w:rPr>
              <w:t xml:space="preserve"> </w:t>
            </w:r>
            <w:r>
              <w:rPr>
                <w:sz w:val="18"/>
              </w:rPr>
              <w:t>No.</w:t>
            </w:r>
            <w:r>
              <w:rPr>
                <w:spacing w:val="-4"/>
                <w:sz w:val="18"/>
              </w:rPr>
              <w:t xml:space="preserve"> </w:t>
            </w:r>
            <w:r>
              <w:rPr>
                <w:sz w:val="18"/>
              </w:rPr>
              <w:t>SOP/020/BAPP-LIT/2024</w:t>
            </w:r>
            <w:r>
              <w:rPr>
                <w:spacing w:val="-3"/>
                <w:sz w:val="18"/>
              </w:rPr>
              <w:t xml:space="preserve"> </w:t>
            </w:r>
            <w:r>
              <w:rPr>
                <w:sz w:val="18"/>
              </w:rPr>
              <w:t>on</w:t>
            </w:r>
            <w:r>
              <w:rPr>
                <w:spacing w:val="-3"/>
                <w:sz w:val="18"/>
              </w:rPr>
              <w:t xml:space="preserve"> </w:t>
            </w:r>
            <w:r>
              <w:rPr>
                <w:sz w:val="18"/>
              </w:rPr>
              <w:t>Data</w:t>
            </w:r>
            <w:r>
              <w:rPr>
                <w:spacing w:val="-4"/>
                <w:sz w:val="18"/>
              </w:rPr>
              <w:t xml:space="preserve"> </w:t>
            </w:r>
            <w:r>
              <w:rPr>
                <w:sz w:val="18"/>
              </w:rPr>
              <w:t>Dissemination</w:t>
            </w:r>
            <w:r>
              <w:rPr>
                <w:spacing w:val="-3"/>
                <w:sz w:val="18"/>
              </w:rPr>
              <w:t xml:space="preserve"> </w:t>
            </w:r>
            <w:r>
              <w:rPr>
                <w:sz w:val="18"/>
              </w:rPr>
              <w:t>under</w:t>
            </w:r>
            <w:r>
              <w:rPr>
                <w:spacing w:val="-3"/>
                <w:sz w:val="18"/>
              </w:rPr>
              <w:t xml:space="preserve"> </w:t>
            </w:r>
            <w:r>
              <w:rPr>
                <w:sz w:val="18"/>
              </w:rPr>
              <w:t>the</w:t>
            </w:r>
            <w:r>
              <w:rPr>
                <w:spacing w:val="-3"/>
                <w:sz w:val="18"/>
              </w:rPr>
              <w:t xml:space="preserve"> </w:t>
            </w:r>
            <w:r>
              <w:rPr>
                <w:sz w:val="18"/>
              </w:rPr>
              <w:t>Kaltara</w:t>
            </w:r>
            <w:r>
              <w:rPr>
                <w:spacing w:val="-4"/>
                <w:sz w:val="18"/>
              </w:rPr>
              <w:t xml:space="preserve"> </w:t>
            </w:r>
            <w:r>
              <w:rPr>
                <w:sz w:val="18"/>
              </w:rPr>
              <w:t>Provincial</w:t>
            </w:r>
            <w:r>
              <w:rPr>
                <w:spacing w:val="-2"/>
                <w:sz w:val="18"/>
              </w:rPr>
              <w:t xml:space="preserve"> </w:t>
            </w:r>
            <w:r>
              <w:rPr>
                <w:sz w:val="18"/>
              </w:rPr>
              <w:t>One</w:t>
            </w:r>
            <w:r>
              <w:rPr>
                <w:spacing w:val="-3"/>
                <w:sz w:val="18"/>
              </w:rPr>
              <w:t xml:space="preserve"> </w:t>
            </w:r>
            <w:r>
              <w:rPr>
                <w:sz w:val="18"/>
              </w:rPr>
              <w:t xml:space="preserve">Data </w:t>
            </w:r>
            <w:r>
              <w:rPr>
                <w:spacing w:val="-2"/>
                <w:sz w:val="18"/>
              </w:rPr>
              <w:t>Framework</w:t>
            </w:r>
          </w:p>
        </w:tc>
        <w:tc>
          <w:tcPr>
            <w:tcW w:w="1275" w:type="dxa"/>
            <w:tcBorders>
              <w:top w:val="single" w:sz="4" w:space="0" w:color="A6A6A6"/>
              <w:left w:val="single" w:sz="4" w:space="0" w:color="A6A6A6"/>
              <w:bottom w:val="single" w:sz="4" w:space="0" w:color="A6A6A6"/>
              <w:right w:val="single" w:sz="4" w:space="0" w:color="A6A6A6"/>
            </w:tcBorders>
          </w:tcPr>
          <w:p w14:paraId="030C0537" w14:textId="77777777" w:rsidR="00BC24A8" w:rsidRDefault="00000000">
            <w:pPr>
              <w:pStyle w:val="TableParagraph"/>
              <w:spacing w:before="1"/>
              <w:ind w:left="106"/>
              <w:rPr>
                <w:sz w:val="18"/>
              </w:rPr>
            </w:pPr>
            <w:r>
              <w:rPr>
                <w:spacing w:val="-2"/>
                <w:sz w:val="18"/>
              </w:rPr>
              <w:t>Kaltara</w:t>
            </w:r>
          </w:p>
        </w:tc>
      </w:tr>
      <w:tr w:rsidR="00BC24A8" w14:paraId="063259EB"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0D924951" w14:textId="77777777" w:rsidR="00BC24A8" w:rsidRDefault="00000000">
            <w:pPr>
              <w:pStyle w:val="TableParagraph"/>
              <w:spacing w:line="219" w:lineRule="exact"/>
              <w:ind w:left="92" w:right="171"/>
              <w:jc w:val="center"/>
              <w:rPr>
                <w:sz w:val="18"/>
              </w:rPr>
            </w:pPr>
            <w:r>
              <w:rPr>
                <w:spacing w:val="-5"/>
                <w:sz w:val="18"/>
              </w:rPr>
              <w:t>75</w:t>
            </w:r>
          </w:p>
        </w:tc>
        <w:tc>
          <w:tcPr>
            <w:tcW w:w="7760" w:type="dxa"/>
            <w:tcBorders>
              <w:top w:val="single" w:sz="4" w:space="0" w:color="A6A6A6"/>
              <w:left w:val="single" w:sz="4" w:space="0" w:color="A6A6A6"/>
              <w:bottom w:val="single" w:sz="4" w:space="0" w:color="A6A6A6"/>
              <w:right w:val="single" w:sz="4" w:space="0" w:color="A6A6A6"/>
            </w:tcBorders>
          </w:tcPr>
          <w:p w14:paraId="401371A2" w14:textId="77777777" w:rsidR="00BC24A8" w:rsidRDefault="00000000">
            <w:pPr>
              <w:pStyle w:val="TableParagraph"/>
              <w:spacing w:line="219" w:lineRule="exact"/>
              <w:ind w:left="107"/>
              <w:rPr>
                <w:sz w:val="18"/>
              </w:rPr>
            </w:pPr>
            <w:r>
              <w:rPr>
                <w:sz w:val="18"/>
              </w:rPr>
              <w:t>SOP</w:t>
            </w:r>
            <w:r>
              <w:rPr>
                <w:spacing w:val="-4"/>
                <w:sz w:val="18"/>
              </w:rPr>
              <w:t xml:space="preserve"> </w:t>
            </w:r>
            <w:r>
              <w:rPr>
                <w:sz w:val="18"/>
              </w:rPr>
              <w:t>Bappeda</w:t>
            </w:r>
            <w:r>
              <w:rPr>
                <w:spacing w:val="-3"/>
                <w:sz w:val="18"/>
              </w:rPr>
              <w:t xml:space="preserve"> </w:t>
            </w:r>
            <w:r>
              <w:rPr>
                <w:sz w:val="18"/>
              </w:rPr>
              <w:t>No.</w:t>
            </w:r>
            <w:r>
              <w:rPr>
                <w:spacing w:val="-3"/>
                <w:sz w:val="18"/>
              </w:rPr>
              <w:t xml:space="preserve"> </w:t>
            </w:r>
            <w:r>
              <w:rPr>
                <w:sz w:val="18"/>
              </w:rPr>
              <w:t>SOP/021/BAPP-LIT/2024</w:t>
            </w:r>
            <w:r>
              <w:rPr>
                <w:spacing w:val="-2"/>
                <w:sz w:val="18"/>
              </w:rPr>
              <w:t xml:space="preserve"> </w:t>
            </w:r>
            <w:r>
              <w:rPr>
                <w:sz w:val="18"/>
              </w:rPr>
              <w:t>on</w:t>
            </w:r>
            <w:r>
              <w:rPr>
                <w:spacing w:val="-3"/>
                <w:sz w:val="18"/>
              </w:rPr>
              <w:t xml:space="preserve"> </w:t>
            </w:r>
            <w:r>
              <w:rPr>
                <w:sz w:val="18"/>
              </w:rPr>
              <w:t>Data</w:t>
            </w:r>
            <w:r>
              <w:rPr>
                <w:spacing w:val="-3"/>
                <w:sz w:val="18"/>
              </w:rPr>
              <w:t xml:space="preserve"> </w:t>
            </w:r>
            <w:r>
              <w:rPr>
                <w:sz w:val="18"/>
              </w:rPr>
              <w:t>Access</w:t>
            </w:r>
            <w:r>
              <w:rPr>
                <w:spacing w:val="-2"/>
                <w:sz w:val="18"/>
              </w:rPr>
              <w:t xml:space="preserve"> </w:t>
            </w:r>
            <w:r>
              <w:rPr>
                <w:sz w:val="18"/>
              </w:rPr>
              <w:t>Rights</w:t>
            </w:r>
            <w:r>
              <w:rPr>
                <w:spacing w:val="-2"/>
                <w:sz w:val="18"/>
              </w:rPr>
              <w:t xml:space="preserve"> </w:t>
            </w:r>
            <w:r>
              <w:rPr>
                <w:sz w:val="18"/>
              </w:rPr>
              <w:t>under</w:t>
            </w:r>
            <w:r>
              <w:rPr>
                <w:spacing w:val="-2"/>
                <w:sz w:val="18"/>
              </w:rPr>
              <w:t xml:space="preserve"> </w:t>
            </w:r>
            <w:r>
              <w:rPr>
                <w:sz w:val="18"/>
              </w:rPr>
              <w:t>the</w:t>
            </w:r>
            <w:r>
              <w:rPr>
                <w:spacing w:val="-3"/>
                <w:sz w:val="18"/>
              </w:rPr>
              <w:t xml:space="preserve"> </w:t>
            </w:r>
            <w:r>
              <w:rPr>
                <w:sz w:val="18"/>
              </w:rPr>
              <w:t>Kaltara</w:t>
            </w:r>
            <w:r>
              <w:rPr>
                <w:spacing w:val="-3"/>
                <w:sz w:val="18"/>
              </w:rPr>
              <w:t xml:space="preserve"> </w:t>
            </w:r>
            <w:r>
              <w:rPr>
                <w:sz w:val="18"/>
              </w:rPr>
              <w:t>Provincial</w:t>
            </w:r>
            <w:r>
              <w:rPr>
                <w:spacing w:val="-1"/>
                <w:sz w:val="18"/>
              </w:rPr>
              <w:t xml:space="preserve"> </w:t>
            </w:r>
            <w:r>
              <w:rPr>
                <w:sz w:val="18"/>
              </w:rPr>
              <w:t>One</w:t>
            </w:r>
            <w:r>
              <w:rPr>
                <w:spacing w:val="-2"/>
                <w:sz w:val="18"/>
              </w:rPr>
              <w:t xml:space="preserve"> </w:t>
            </w:r>
            <w:r>
              <w:rPr>
                <w:spacing w:val="-4"/>
                <w:sz w:val="18"/>
              </w:rPr>
              <w:t>Data</w:t>
            </w:r>
          </w:p>
          <w:p w14:paraId="44FB1916" w14:textId="77777777" w:rsidR="00BC24A8" w:rsidRDefault="00000000">
            <w:pPr>
              <w:pStyle w:val="TableParagraph"/>
              <w:spacing w:before="1" w:line="199" w:lineRule="exact"/>
              <w:ind w:left="107"/>
              <w:rPr>
                <w:sz w:val="18"/>
              </w:rPr>
            </w:pPr>
            <w:r>
              <w:rPr>
                <w:spacing w:val="-2"/>
                <w:sz w:val="18"/>
              </w:rPr>
              <w:t>Framework</w:t>
            </w:r>
          </w:p>
        </w:tc>
        <w:tc>
          <w:tcPr>
            <w:tcW w:w="1275" w:type="dxa"/>
            <w:tcBorders>
              <w:top w:val="single" w:sz="4" w:space="0" w:color="A6A6A6"/>
              <w:left w:val="single" w:sz="4" w:space="0" w:color="A6A6A6"/>
              <w:bottom w:val="single" w:sz="4" w:space="0" w:color="A6A6A6"/>
              <w:right w:val="single" w:sz="4" w:space="0" w:color="A6A6A6"/>
            </w:tcBorders>
          </w:tcPr>
          <w:p w14:paraId="6FFE3489" w14:textId="77777777" w:rsidR="00BC24A8" w:rsidRDefault="00000000">
            <w:pPr>
              <w:pStyle w:val="TableParagraph"/>
              <w:spacing w:line="219" w:lineRule="exact"/>
              <w:ind w:left="106"/>
              <w:rPr>
                <w:sz w:val="18"/>
              </w:rPr>
            </w:pPr>
            <w:r>
              <w:rPr>
                <w:spacing w:val="-2"/>
                <w:sz w:val="18"/>
              </w:rPr>
              <w:t>Kaltara</w:t>
            </w:r>
          </w:p>
        </w:tc>
      </w:tr>
      <w:tr w:rsidR="00BC24A8" w14:paraId="228F78D0"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54B04072" w14:textId="77777777" w:rsidR="00BC24A8" w:rsidRDefault="00000000">
            <w:pPr>
              <w:pStyle w:val="TableParagraph"/>
              <w:spacing w:before="1"/>
              <w:ind w:left="92" w:right="171"/>
              <w:jc w:val="center"/>
              <w:rPr>
                <w:sz w:val="18"/>
              </w:rPr>
            </w:pPr>
            <w:r>
              <w:rPr>
                <w:spacing w:val="-5"/>
                <w:sz w:val="18"/>
              </w:rPr>
              <w:t>76</w:t>
            </w:r>
          </w:p>
        </w:tc>
        <w:tc>
          <w:tcPr>
            <w:tcW w:w="7760" w:type="dxa"/>
            <w:tcBorders>
              <w:top w:val="single" w:sz="4" w:space="0" w:color="A6A6A6"/>
              <w:left w:val="single" w:sz="4" w:space="0" w:color="A6A6A6"/>
              <w:bottom w:val="single" w:sz="4" w:space="0" w:color="A6A6A6"/>
              <w:right w:val="single" w:sz="4" w:space="0" w:color="A6A6A6"/>
            </w:tcBorders>
          </w:tcPr>
          <w:p w14:paraId="08A53879" w14:textId="77777777" w:rsidR="00BC24A8" w:rsidRDefault="00000000">
            <w:pPr>
              <w:pStyle w:val="TableParagraph"/>
              <w:spacing w:before="1" w:line="219" w:lineRule="exact"/>
              <w:ind w:left="107"/>
              <w:rPr>
                <w:sz w:val="18"/>
              </w:rPr>
            </w:pPr>
            <w:r>
              <w:rPr>
                <w:sz w:val="18"/>
              </w:rPr>
              <w:t>North</w:t>
            </w:r>
            <w:r>
              <w:rPr>
                <w:spacing w:val="-4"/>
                <w:sz w:val="18"/>
              </w:rPr>
              <w:t xml:space="preserve"> </w:t>
            </w:r>
            <w:r>
              <w:rPr>
                <w:sz w:val="18"/>
              </w:rPr>
              <w:t>Kalimantan</w:t>
            </w:r>
            <w:r>
              <w:rPr>
                <w:spacing w:val="-3"/>
                <w:sz w:val="18"/>
              </w:rPr>
              <w:t xml:space="preserve"> </w:t>
            </w:r>
            <w:r>
              <w:rPr>
                <w:sz w:val="18"/>
              </w:rPr>
              <w:t>(Kaltara)</w:t>
            </w:r>
            <w:r>
              <w:rPr>
                <w:spacing w:val="-2"/>
                <w:sz w:val="18"/>
              </w:rPr>
              <w:t xml:space="preserve"> </w:t>
            </w:r>
            <w:r>
              <w:rPr>
                <w:sz w:val="18"/>
              </w:rPr>
              <w:t>Governor</w:t>
            </w:r>
            <w:r>
              <w:rPr>
                <w:spacing w:val="-2"/>
                <w:sz w:val="18"/>
              </w:rPr>
              <w:t xml:space="preserve"> </w:t>
            </w:r>
            <w:r>
              <w:rPr>
                <w:sz w:val="18"/>
              </w:rPr>
              <w:t>Decree</w:t>
            </w:r>
            <w:r>
              <w:rPr>
                <w:spacing w:val="-2"/>
                <w:sz w:val="18"/>
              </w:rPr>
              <w:t xml:space="preserve"> </w:t>
            </w:r>
            <w:r>
              <w:rPr>
                <w:sz w:val="18"/>
              </w:rPr>
              <w:t>No.</w:t>
            </w:r>
            <w:r>
              <w:rPr>
                <w:spacing w:val="-3"/>
                <w:sz w:val="18"/>
              </w:rPr>
              <w:t xml:space="preserve"> </w:t>
            </w:r>
            <w:r>
              <w:rPr>
                <w:sz w:val="18"/>
              </w:rPr>
              <w:t>100.3.3.1</w:t>
            </w:r>
            <w:r>
              <w:rPr>
                <w:spacing w:val="-2"/>
                <w:sz w:val="18"/>
              </w:rPr>
              <w:t xml:space="preserve"> </w:t>
            </w:r>
            <w:r>
              <w:rPr>
                <w:sz w:val="18"/>
              </w:rPr>
              <w:t>of</w:t>
            </w:r>
            <w:r>
              <w:rPr>
                <w:spacing w:val="-3"/>
                <w:sz w:val="18"/>
              </w:rPr>
              <w:t xml:space="preserve"> </w:t>
            </w:r>
            <w:r>
              <w:rPr>
                <w:sz w:val="18"/>
              </w:rPr>
              <w:t>2024 on</w:t>
            </w:r>
            <w:r>
              <w:rPr>
                <w:spacing w:val="-3"/>
                <w:sz w:val="18"/>
              </w:rPr>
              <w:t xml:space="preserve"> </w:t>
            </w:r>
            <w:r>
              <w:rPr>
                <w:sz w:val="18"/>
              </w:rPr>
              <w:t>the</w:t>
            </w:r>
            <w:r>
              <w:rPr>
                <w:spacing w:val="-2"/>
                <w:sz w:val="18"/>
              </w:rPr>
              <w:t xml:space="preserve"> </w:t>
            </w:r>
            <w:r>
              <w:rPr>
                <w:sz w:val="18"/>
              </w:rPr>
              <w:t>2025</w:t>
            </w:r>
            <w:r>
              <w:rPr>
                <w:spacing w:val="-2"/>
                <w:sz w:val="18"/>
              </w:rPr>
              <w:t xml:space="preserve"> </w:t>
            </w:r>
            <w:r>
              <w:rPr>
                <w:sz w:val="18"/>
              </w:rPr>
              <w:t>Data</w:t>
            </w:r>
            <w:r>
              <w:rPr>
                <w:spacing w:val="-2"/>
                <w:sz w:val="18"/>
              </w:rPr>
              <w:t xml:space="preserve"> </w:t>
            </w:r>
            <w:r>
              <w:rPr>
                <w:sz w:val="18"/>
              </w:rPr>
              <w:t>List</w:t>
            </w:r>
            <w:r>
              <w:rPr>
                <w:spacing w:val="-2"/>
                <w:sz w:val="18"/>
              </w:rPr>
              <w:t xml:space="preserve"> </w:t>
            </w:r>
            <w:r>
              <w:rPr>
                <w:sz w:val="18"/>
              </w:rPr>
              <w:t>of</w:t>
            </w:r>
            <w:r>
              <w:rPr>
                <w:spacing w:val="-2"/>
                <w:sz w:val="18"/>
              </w:rPr>
              <w:t xml:space="preserve"> Kaltara</w:t>
            </w:r>
          </w:p>
          <w:p w14:paraId="45743261" w14:textId="77777777" w:rsidR="00BC24A8" w:rsidRDefault="00000000">
            <w:pPr>
              <w:pStyle w:val="TableParagraph"/>
              <w:spacing w:line="199" w:lineRule="exact"/>
              <w:ind w:left="107"/>
              <w:rPr>
                <w:sz w:val="18"/>
              </w:rPr>
            </w:pP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15BD8477" w14:textId="77777777" w:rsidR="00BC24A8" w:rsidRDefault="00000000">
            <w:pPr>
              <w:pStyle w:val="TableParagraph"/>
              <w:spacing w:before="1"/>
              <w:ind w:left="106"/>
              <w:rPr>
                <w:sz w:val="18"/>
              </w:rPr>
            </w:pPr>
            <w:r>
              <w:rPr>
                <w:spacing w:val="-2"/>
                <w:sz w:val="18"/>
              </w:rPr>
              <w:t>Kaltara</w:t>
            </w:r>
          </w:p>
        </w:tc>
      </w:tr>
      <w:tr w:rsidR="00BC24A8" w14:paraId="231D1227"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751A8426" w14:textId="77777777" w:rsidR="00BC24A8" w:rsidRDefault="00000000">
            <w:pPr>
              <w:pStyle w:val="TableParagraph"/>
              <w:spacing w:before="1" w:line="218" w:lineRule="exact"/>
              <w:ind w:left="92" w:right="171"/>
              <w:jc w:val="center"/>
              <w:rPr>
                <w:sz w:val="18"/>
              </w:rPr>
            </w:pPr>
            <w:r>
              <w:rPr>
                <w:spacing w:val="-5"/>
                <w:sz w:val="18"/>
              </w:rPr>
              <w:t>77</w:t>
            </w:r>
          </w:p>
        </w:tc>
        <w:tc>
          <w:tcPr>
            <w:tcW w:w="7760" w:type="dxa"/>
            <w:tcBorders>
              <w:top w:val="single" w:sz="4" w:space="0" w:color="A6A6A6"/>
              <w:left w:val="single" w:sz="4" w:space="0" w:color="A6A6A6"/>
              <w:bottom w:val="single" w:sz="4" w:space="0" w:color="A6A6A6"/>
              <w:right w:val="single" w:sz="4" w:space="0" w:color="A6A6A6"/>
            </w:tcBorders>
          </w:tcPr>
          <w:p w14:paraId="154C95AD" w14:textId="77777777" w:rsidR="00BC24A8" w:rsidRDefault="00000000">
            <w:pPr>
              <w:pStyle w:val="TableParagraph"/>
              <w:spacing w:before="1" w:line="218" w:lineRule="exact"/>
              <w:ind w:left="107"/>
              <w:rPr>
                <w:sz w:val="18"/>
              </w:rPr>
            </w:pPr>
            <w:r>
              <w:rPr>
                <w:sz w:val="18"/>
              </w:rPr>
              <w:t>Governor</w:t>
            </w:r>
            <w:r>
              <w:rPr>
                <w:spacing w:val="-3"/>
                <w:sz w:val="18"/>
              </w:rPr>
              <w:t xml:space="preserve"> </w:t>
            </w:r>
            <w:r>
              <w:rPr>
                <w:sz w:val="18"/>
              </w:rPr>
              <w:t>Decree</w:t>
            </w:r>
            <w:r>
              <w:rPr>
                <w:spacing w:val="-2"/>
                <w:sz w:val="18"/>
              </w:rPr>
              <w:t xml:space="preserve"> </w:t>
            </w:r>
            <w:r>
              <w:rPr>
                <w:sz w:val="18"/>
              </w:rPr>
              <w:t>No.</w:t>
            </w:r>
            <w:r>
              <w:rPr>
                <w:spacing w:val="-3"/>
                <w:sz w:val="18"/>
              </w:rPr>
              <w:t xml:space="preserve"> </w:t>
            </w:r>
            <w:r>
              <w:rPr>
                <w:sz w:val="18"/>
              </w:rPr>
              <w:t>188/2023</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Kaltara</w:t>
            </w:r>
            <w:r>
              <w:rPr>
                <w:spacing w:val="-3"/>
                <w:sz w:val="18"/>
              </w:rPr>
              <w:t xml:space="preserve"> </w:t>
            </w:r>
            <w:r>
              <w:rPr>
                <w:sz w:val="18"/>
              </w:rPr>
              <w:t>Provincial</w:t>
            </w:r>
            <w:r>
              <w:rPr>
                <w:spacing w:val="-1"/>
                <w:sz w:val="18"/>
              </w:rPr>
              <w:t xml:space="preserve"> </w:t>
            </w:r>
            <w:r>
              <w:rPr>
                <w:sz w:val="18"/>
              </w:rPr>
              <w:t>One</w:t>
            </w:r>
            <w:r>
              <w:rPr>
                <w:spacing w:val="-2"/>
                <w:sz w:val="18"/>
              </w:rPr>
              <w:t xml:space="preserve"> </w:t>
            </w:r>
            <w:r>
              <w:rPr>
                <w:sz w:val="18"/>
              </w:rPr>
              <w:t>Data</w:t>
            </w:r>
            <w:r>
              <w:rPr>
                <w:spacing w:val="-6"/>
                <w:sz w:val="18"/>
              </w:rPr>
              <w:t xml:space="preserve"> </w:t>
            </w:r>
            <w:r>
              <w:rPr>
                <w:sz w:val="18"/>
              </w:rPr>
              <w:t>Indonesia</w:t>
            </w:r>
            <w:r>
              <w:rPr>
                <w:spacing w:val="-3"/>
                <w:sz w:val="18"/>
              </w:rPr>
              <w:t xml:space="preserve"> </w:t>
            </w:r>
            <w:r>
              <w:rPr>
                <w:sz w:val="18"/>
              </w:rPr>
              <w:t>Action</w:t>
            </w:r>
            <w:r>
              <w:rPr>
                <w:spacing w:val="-2"/>
                <w:sz w:val="18"/>
              </w:rPr>
              <w:t xml:space="preserve"> </w:t>
            </w:r>
            <w:r>
              <w:rPr>
                <w:sz w:val="18"/>
              </w:rPr>
              <w:t>Plan</w:t>
            </w:r>
            <w:r>
              <w:rPr>
                <w:spacing w:val="-2"/>
                <w:sz w:val="18"/>
              </w:rPr>
              <w:t xml:space="preserve"> </w:t>
            </w:r>
            <w:r>
              <w:rPr>
                <w:sz w:val="18"/>
              </w:rPr>
              <w:t>2023-</w:t>
            </w:r>
            <w:r>
              <w:rPr>
                <w:spacing w:val="-4"/>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3616C8AB" w14:textId="77777777" w:rsidR="00BC24A8" w:rsidRDefault="00000000">
            <w:pPr>
              <w:pStyle w:val="TableParagraph"/>
              <w:spacing w:before="1" w:line="218" w:lineRule="exact"/>
              <w:ind w:left="106"/>
              <w:rPr>
                <w:sz w:val="18"/>
              </w:rPr>
            </w:pPr>
            <w:r>
              <w:rPr>
                <w:spacing w:val="-2"/>
                <w:sz w:val="18"/>
              </w:rPr>
              <w:t>Kaltara</w:t>
            </w:r>
          </w:p>
        </w:tc>
      </w:tr>
      <w:tr w:rsidR="00BC24A8" w14:paraId="232FE87D"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2D4E2754" w14:textId="77777777" w:rsidR="00BC24A8" w:rsidRDefault="00000000">
            <w:pPr>
              <w:pStyle w:val="TableParagraph"/>
              <w:spacing w:before="1"/>
              <w:ind w:left="92" w:right="171"/>
              <w:jc w:val="center"/>
              <w:rPr>
                <w:sz w:val="18"/>
              </w:rPr>
            </w:pPr>
            <w:r>
              <w:rPr>
                <w:spacing w:val="-5"/>
                <w:sz w:val="18"/>
              </w:rPr>
              <w:t>78</w:t>
            </w:r>
          </w:p>
        </w:tc>
        <w:tc>
          <w:tcPr>
            <w:tcW w:w="7760" w:type="dxa"/>
            <w:tcBorders>
              <w:top w:val="single" w:sz="4" w:space="0" w:color="A6A6A6"/>
              <w:left w:val="single" w:sz="4" w:space="0" w:color="A6A6A6"/>
              <w:bottom w:val="single" w:sz="4" w:space="0" w:color="A6A6A6"/>
              <w:right w:val="single" w:sz="4" w:space="0" w:color="A6A6A6"/>
            </w:tcBorders>
          </w:tcPr>
          <w:p w14:paraId="2A478E18" w14:textId="77777777" w:rsidR="00BC24A8" w:rsidRDefault="00000000">
            <w:pPr>
              <w:pStyle w:val="TableParagraph"/>
              <w:spacing w:before="1" w:line="219" w:lineRule="exact"/>
              <w:ind w:left="107"/>
              <w:rPr>
                <w:sz w:val="18"/>
              </w:rPr>
            </w:pPr>
            <w:r>
              <w:rPr>
                <w:sz w:val="18"/>
              </w:rPr>
              <w:t>North</w:t>
            </w:r>
            <w:r>
              <w:rPr>
                <w:spacing w:val="-6"/>
                <w:sz w:val="18"/>
              </w:rPr>
              <w:t xml:space="preserve"> </w:t>
            </w:r>
            <w:r>
              <w:rPr>
                <w:sz w:val="18"/>
              </w:rPr>
              <w:t>Kalimantan</w:t>
            </w:r>
            <w:r>
              <w:rPr>
                <w:spacing w:val="-3"/>
                <w:sz w:val="18"/>
              </w:rPr>
              <w:t xml:space="preserve"> </w:t>
            </w: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100.3.3.1-173-2025</w:t>
            </w:r>
            <w:r>
              <w:rPr>
                <w:spacing w:val="-3"/>
                <w:sz w:val="18"/>
              </w:rPr>
              <w:t xml:space="preserve"> </w:t>
            </w:r>
            <w:r>
              <w:rPr>
                <w:sz w:val="18"/>
              </w:rPr>
              <w:t>on</w:t>
            </w:r>
            <w:r>
              <w:rPr>
                <w:spacing w:val="-3"/>
                <w:sz w:val="18"/>
              </w:rPr>
              <w:t xml:space="preserve"> </w:t>
            </w:r>
            <w:r>
              <w:rPr>
                <w:sz w:val="18"/>
              </w:rPr>
              <w:t>the</w:t>
            </w:r>
            <w:r>
              <w:rPr>
                <w:spacing w:val="-4"/>
                <w:sz w:val="18"/>
              </w:rPr>
              <w:t xml:space="preserve"> </w:t>
            </w:r>
            <w:r>
              <w:rPr>
                <w:sz w:val="18"/>
              </w:rPr>
              <w:t>Organizing</w:t>
            </w:r>
            <w:r>
              <w:rPr>
                <w:spacing w:val="-3"/>
                <w:sz w:val="18"/>
              </w:rPr>
              <w:t xml:space="preserve"> </w:t>
            </w:r>
            <w:r>
              <w:rPr>
                <w:sz w:val="18"/>
              </w:rPr>
              <w:t>Committee</w:t>
            </w:r>
            <w:r>
              <w:rPr>
                <w:spacing w:val="-3"/>
                <w:sz w:val="18"/>
              </w:rPr>
              <w:t xml:space="preserve"> </w:t>
            </w:r>
            <w:r>
              <w:rPr>
                <w:sz w:val="18"/>
              </w:rPr>
              <w:t>for</w:t>
            </w:r>
            <w:r>
              <w:rPr>
                <w:spacing w:val="-3"/>
                <w:sz w:val="18"/>
              </w:rPr>
              <w:t xml:space="preserve"> </w:t>
            </w:r>
            <w:r>
              <w:rPr>
                <w:spacing w:val="-2"/>
                <w:sz w:val="18"/>
              </w:rPr>
              <w:t>North</w:t>
            </w:r>
          </w:p>
          <w:p w14:paraId="1622FAA0" w14:textId="77777777" w:rsidR="00BC24A8" w:rsidRDefault="00000000">
            <w:pPr>
              <w:pStyle w:val="TableParagraph"/>
              <w:spacing w:line="199" w:lineRule="exact"/>
              <w:ind w:left="107"/>
              <w:rPr>
                <w:sz w:val="18"/>
              </w:rPr>
            </w:pPr>
            <w:r>
              <w:rPr>
                <w:sz w:val="18"/>
              </w:rPr>
              <w:t>Kalimantan</w:t>
            </w:r>
            <w:r>
              <w:rPr>
                <w:spacing w:val="-2"/>
                <w:sz w:val="18"/>
              </w:rPr>
              <w:t xml:space="preserve"> </w:t>
            </w:r>
            <w:r>
              <w:rPr>
                <w:sz w:val="18"/>
              </w:rPr>
              <w:t>Regional</w:t>
            </w:r>
            <w:r>
              <w:rPr>
                <w:spacing w:val="-1"/>
                <w:sz w:val="18"/>
              </w:rPr>
              <w:t xml:space="preserve"> </w:t>
            </w:r>
            <w:r>
              <w:rPr>
                <w:sz w:val="18"/>
              </w:rPr>
              <w:t>One</w:t>
            </w:r>
            <w:r>
              <w:rPr>
                <w:spacing w:val="-2"/>
                <w:sz w:val="18"/>
              </w:rPr>
              <w:t xml:space="preserve"> </w:t>
            </w:r>
            <w:r>
              <w:rPr>
                <w:sz w:val="18"/>
              </w:rPr>
              <w:t>Data</w:t>
            </w:r>
            <w:r>
              <w:rPr>
                <w:spacing w:val="-2"/>
                <w:sz w:val="18"/>
              </w:rPr>
              <w:t xml:space="preserve"> Implementation</w:t>
            </w:r>
          </w:p>
        </w:tc>
        <w:tc>
          <w:tcPr>
            <w:tcW w:w="1275" w:type="dxa"/>
            <w:tcBorders>
              <w:top w:val="single" w:sz="4" w:space="0" w:color="A6A6A6"/>
              <w:left w:val="single" w:sz="4" w:space="0" w:color="A6A6A6"/>
              <w:bottom w:val="single" w:sz="4" w:space="0" w:color="A6A6A6"/>
              <w:right w:val="single" w:sz="4" w:space="0" w:color="A6A6A6"/>
            </w:tcBorders>
          </w:tcPr>
          <w:p w14:paraId="56F57FAD" w14:textId="77777777" w:rsidR="00BC24A8" w:rsidRDefault="00000000">
            <w:pPr>
              <w:pStyle w:val="TableParagraph"/>
              <w:spacing w:before="1"/>
              <w:ind w:left="106"/>
              <w:rPr>
                <w:sz w:val="18"/>
              </w:rPr>
            </w:pPr>
            <w:r>
              <w:rPr>
                <w:spacing w:val="-2"/>
                <w:sz w:val="18"/>
              </w:rPr>
              <w:t>Kaltara</w:t>
            </w:r>
          </w:p>
        </w:tc>
      </w:tr>
      <w:tr w:rsidR="00BC24A8" w14:paraId="456D515A" w14:textId="77777777">
        <w:trPr>
          <w:trHeight w:val="242"/>
        </w:trPr>
        <w:tc>
          <w:tcPr>
            <w:tcW w:w="490" w:type="dxa"/>
            <w:tcBorders>
              <w:top w:val="single" w:sz="4" w:space="0" w:color="A6A6A6"/>
              <w:left w:val="single" w:sz="4" w:space="0" w:color="A6A6A6"/>
              <w:bottom w:val="single" w:sz="4" w:space="0" w:color="A6A6A6"/>
              <w:right w:val="single" w:sz="4" w:space="0" w:color="A6A6A6"/>
            </w:tcBorders>
          </w:tcPr>
          <w:p w14:paraId="7FF6D8AD" w14:textId="77777777" w:rsidR="00BC24A8" w:rsidRDefault="00000000">
            <w:pPr>
              <w:pStyle w:val="TableParagraph"/>
              <w:spacing w:before="1"/>
              <w:ind w:left="92" w:right="171"/>
              <w:jc w:val="center"/>
              <w:rPr>
                <w:sz w:val="18"/>
              </w:rPr>
            </w:pPr>
            <w:r>
              <w:rPr>
                <w:spacing w:val="-5"/>
                <w:sz w:val="18"/>
              </w:rPr>
              <w:t>79</w:t>
            </w:r>
          </w:p>
        </w:tc>
        <w:tc>
          <w:tcPr>
            <w:tcW w:w="7760" w:type="dxa"/>
            <w:tcBorders>
              <w:top w:val="single" w:sz="4" w:space="0" w:color="A6A6A6"/>
              <w:left w:val="single" w:sz="4" w:space="0" w:color="A6A6A6"/>
              <w:bottom w:val="single" w:sz="4" w:space="0" w:color="A6A6A6"/>
              <w:right w:val="single" w:sz="4" w:space="0" w:color="A6A6A6"/>
            </w:tcBorders>
          </w:tcPr>
          <w:p w14:paraId="3BE359D0" w14:textId="77777777" w:rsidR="00BC24A8" w:rsidRDefault="00000000">
            <w:pPr>
              <w:pStyle w:val="TableParagraph"/>
              <w:spacing w:before="1"/>
              <w:ind w:left="107"/>
              <w:rPr>
                <w:sz w:val="18"/>
              </w:rPr>
            </w:pPr>
            <w:r>
              <w:rPr>
                <w:sz w:val="18"/>
              </w:rPr>
              <w:t>Revised</w:t>
            </w:r>
            <w:r>
              <w:rPr>
                <w:spacing w:val="-2"/>
                <w:sz w:val="18"/>
              </w:rPr>
              <w:t xml:space="preserve"> </w:t>
            </w:r>
            <w:r>
              <w:rPr>
                <w:sz w:val="18"/>
              </w:rPr>
              <w:t>Regional One</w:t>
            </w:r>
            <w:r>
              <w:rPr>
                <w:spacing w:val="-2"/>
                <w:sz w:val="18"/>
              </w:rPr>
              <w:t xml:space="preserve"> </w:t>
            </w:r>
            <w:r>
              <w:rPr>
                <w:sz w:val="18"/>
              </w:rPr>
              <w:t>Data</w:t>
            </w:r>
            <w:r>
              <w:rPr>
                <w:spacing w:val="-2"/>
                <w:sz w:val="18"/>
              </w:rPr>
              <w:t xml:space="preserve"> </w:t>
            </w:r>
            <w:r>
              <w:rPr>
                <w:sz w:val="18"/>
              </w:rPr>
              <w:t>Action</w:t>
            </w:r>
            <w:r>
              <w:rPr>
                <w:spacing w:val="-4"/>
                <w:sz w:val="18"/>
              </w:rPr>
              <w:t xml:space="preserve"> </w:t>
            </w:r>
            <w:r>
              <w:rPr>
                <w:sz w:val="18"/>
              </w:rPr>
              <w:t>Plan</w:t>
            </w:r>
            <w:r>
              <w:rPr>
                <w:spacing w:val="-2"/>
                <w:sz w:val="18"/>
              </w:rPr>
              <w:t xml:space="preserve"> </w:t>
            </w:r>
            <w:r>
              <w:rPr>
                <w:sz w:val="18"/>
              </w:rPr>
              <w:t>of</w:t>
            </w:r>
            <w:r>
              <w:rPr>
                <w:spacing w:val="-2"/>
                <w:sz w:val="18"/>
              </w:rPr>
              <w:t xml:space="preserve"> </w:t>
            </w:r>
            <w:r>
              <w:rPr>
                <w:sz w:val="18"/>
              </w:rPr>
              <w:t>North</w:t>
            </w:r>
            <w:r>
              <w:rPr>
                <w:spacing w:val="-1"/>
                <w:sz w:val="18"/>
              </w:rPr>
              <w:t xml:space="preserve"> </w:t>
            </w:r>
            <w:r>
              <w:rPr>
                <w:spacing w:val="-2"/>
                <w:sz w:val="18"/>
              </w:rPr>
              <w:t>Kalimantan</w:t>
            </w:r>
          </w:p>
        </w:tc>
        <w:tc>
          <w:tcPr>
            <w:tcW w:w="1275" w:type="dxa"/>
            <w:tcBorders>
              <w:top w:val="single" w:sz="4" w:space="0" w:color="A6A6A6"/>
              <w:left w:val="single" w:sz="4" w:space="0" w:color="A6A6A6"/>
              <w:bottom w:val="single" w:sz="4" w:space="0" w:color="A6A6A6"/>
              <w:right w:val="single" w:sz="4" w:space="0" w:color="A6A6A6"/>
            </w:tcBorders>
          </w:tcPr>
          <w:p w14:paraId="1BF948DF" w14:textId="77777777" w:rsidR="00BC24A8" w:rsidRDefault="00000000">
            <w:pPr>
              <w:pStyle w:val="TableParagraph"/>
              <w:spacing w:before="1"/>
              <w:ind w:left="106"/>
              <w:rPr>
                <w:sz w:val="18"/>
              </w:rPr>
            </w:pPr>
            <w:r>
              <w:rPr>
                <w:spacing w:val="-2"/>
                <w:sz w:val="18"/>
              </w:rPr>
              <w:t>Kaltara</w:t>
            </w:r>
          </w:p>
        </w:tc>
      </w:tr>
      <w:tr w:rsidR="00BC24A8" w14:paraId="4D212241" w14:textId="77777777">
        <w:trPr>
          <w:trHeight w:val="217"/>
        </w:trPr>
        <w:tc>
          <w:tcPr>
            <w:tcW w:w="490" w:type="dxa"/>
            <w:tcBorders>
              <w:top w:val="single" w:sz="4" w:space="0" w:color="A6A6A6"/>
              <w:left w:val="single" w:sz="4" w:space="0" w:color="A6A6A6"/>
              <w:bottom w:val="single" w:sz="4" w:space="0" w:color="A6A6A6"/>
              <w:right w:val="single" w:sz="4" w:space="0" w:color="A6A6A6"/>
            </w:tcBorders>
          </w:tcPr>
          <w:p w14:paraId="0DD6C855" w14:textId="77777777" w:rsidR="00BC24A8" w:rsidRDefault="00000000">
            <w:pPr>
              <w:pStyle w:val="TableParagraph"/>
              <w:spacing w:line="198" w:lineRule="exact"/>
              <w:ind w:left="92" w:right="171"/>
              <w:jc w:val="center"/>
              <w:rPr>
                <w:sz w:val="18"/>
              </w:rPr>
            </w:pPr>
            <w:r>
              <w:rPr>
                <w:spacing w:val="-5"/>
                <w:sz w:val="18"/>
              </w:rPr>
              <w:t>80</w:t>
            </w:r>
          </w:p>
        </w:tc>
        <w:tc>
          <w:tcPr>
            <w:tcW w:w="7760" w:type="dxa"/>
            <w:tcBorders>
              <w:top w:val="single" w:sz="4" w:space="0" w:color="A6A6A6"/>
              <w:left w:val="single" w:sz="4" w:space="0" w:color="A6A6A6"/>
              <w:bottom w:val="single" w:sz="4" w:space="0" w:color="A6A6A6"/>
              <w:right w:val="single" w:sz="4" w:space="0" w:color="A6A6A6"/>
            </w:tcBorders>
          </w:tcPr>
          <w:p w14:paraId="03D0282B" w14:textId="77777777" w:rsidR="00BC24A8" w:rsidRDefault="00000000">
            <w:pPr>
              <w:pStyle w:val="TableParagraph"/>
              <w:spacing w:line="198" w:lineRule="exact"/>
              <w:ind w:left="107"/>
              <w:rPr>
                <w:sz w:val="18"/>
              </w:rPr>
            </w:pPr>
            <w:r>
              <w:rPr>
                <w:sz w:val="18"/>
              </w:rPr>
              <w:t>Governor</w:t>
            </w:r>
            <w:r>
              <w:rPr>
                <w:spacing w:val="-5"/>
                <w:sz w:val="18"/>
              </w:rPr>
              <w:t xml:space="preserve"> </w:t>
            </w:r>
            <w:r>
              <w:rPr>
                <w:sz w:val="18"/>
              </w:rPr>
              <w:t>Decree</w:t>
            </w:r>
            <w:r>
              <w:rPr>
                <w:spacing w:val="-3"/>
                <w:sz w:val="18"/>
              </w:rPr>
              <w:t xml:space="preserve"> </w:t>
            </w:r>
            <w:r>
              <w:rPr>
                <w:sz w:val="18"/>
              </w:rPr>
              <w:t>No.</w:t>
            </w:r>
            <w:r>
              <w:rPr>
                <w:spacing w:val="-3"/>
                <w:sz w:val="18"/>
              </w:rPr>
              <w:t xml:space="preserve"> </w:t>
            </w:r>
            <w:r>
              <w:rPr>
                <w:sz w:val="18"/>
              </w:rPr>
              <w:t>188.44/K.409/2024</w:t>
            </w:r>
            <w:r>
              <w:rPr>
                <w:spacing w:val="-3"/>
                <w:sz w:val="18"/>
              </w:rPr>
              <w:t xml:space="preserve"> </w:t>
            </w:r>
            <w:r>
              <w:rPr>
                <w:sz w:val="18"/>
              </w:rPr>
              <w:t>on</w:t>
            </w:r>
            <w:r>
              <w:rPr>
                <w:spacing w:val="-3"/>
                <w:sz w:val="18"/>
              </w:rPr>
              <w:t xml:space="preserve"> </w:t>
            </w:r>
            <w:r>
              <w:rPr>
                <w:sz w:val="18"/>
              </w:rPr>
              <w:t>the</w:t>
            </w:r>
            <w:r>
              <w:rPr>
                <w:spacing w:val="-2"/>
                <w:sz w:val="18"/>
              </w:rPr>
              <w:t xml:space="preserve"> </w:t>
            </w:r>
            <w:r>
              <w:rPr>
                <w:sz w:val="18"/>
              </w:rPr>
              <w:t>Coordination</w:t>
            </w:r>
            <w:r>
              <w:rPr>
                <w:spacing w:val="-3"/>
                <w:sz w:val="18"/>
              </w:rPr>
              <w:t xml:space="preserve"> </w:t>
            </w:r>
            <w:r>
              <w:rPr>
                <w:sz w:val="18"/>
              </w:rPr>
              <w:t>Team</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Implementation</w:t>
            </w:r>
            <w:r>
              <w:rPr>
                <w:spacing w:val="-2"/>
                <w:sz w:val="18"/>
              </w:rPr>
              <w:t xml:space="preserve"> </w:t>
            </w:r>
            <w:r>
              <w:rPr>
                <w:sz w:val="18"/>
              </w:rPr>
              <w:t>of</w:t>
            </w:r>
            <w:r>
              <w:rPr>
                <w:spacing w:val="-4"/>
                <w:sz w:val="18"/>
              </w:rPr>
              <w:t xml:space="preserve"> </w:t>
            </w:r>
            <w:r>
              <w:rPr>
                <w:sz w:val="18"/>
              </w:rPr>
              <w:t>RAD</w:t>
            </w:r>
            <w:r>
              <w:rPr>
                <w:spacing w:val="-1"/>
                <w:sz w:val="18"/>
              </w:rPr>
              <w:t xml:space="preserve"> </w:t>
            </w:r>
            <w:r>
              <w:rPr>
                <w:spacing w:val="-5"/>
                <w:sz w:val="18"/>
              </w:rPr>
              <w:t>PD</w:t>
            </w:r>
          </w:p>
        </w:tc>
        <w:tc>
          <w:tcPr>
            <w:tcW w:w="1275" w:type="dxa"/>
            <w:tcBorders>
              <w:top w:val="single" w:sz="4" w:space="0" w:color="A6A6A6"/>
              <w:left w:val="single" w:sz="4" w:space="0" w:color="A6A6A6"/>
              <w:bottom w:val="single" w:sz="4" w:space="0" w:color="A6A6A6"/>
              <w:right w:val="single" w:sz="4" w:space="0" w:color="A6A6A6"/>
            </w:tcBorders>
          </w:tcPr>
          <w:p w14:paraId="63A1B171" w14:textId="77777777" w:rsidR="00BC24A8" w:rsidRDefault="00000000">
            <w:pPr>
              <w:pStyle w:val="TableParagraph"/>
              <w:spacing w:line="198" w:lineRule="exact"/>
              <w:ind w:left="106"/>
              <w:rPr>
                <w:sz w:val="18"/>
              </w:rPr>
            </w:pPr>
            <w:r>
              <w:rPr>
                <w:spacing w:val="-2"/>
                <w:sz w:val="18"/>
              </w:rPr>
              <w:t>Kaltara</w:t>
            </w:r>
          </w:p>
        </w:tc>
      </w:tr>
      <w:tr w:rsidR="00BC24A8" w14:paraId="3C50B9B9" w14:textId="77777777">
        <w:trPr>
          <w:trHeight w:val="482"/>
        </w:trPr>
        <w:tc>
          <w:tcPr>
            <w:tcW w:w="490" w:type="dxa"/>
            <w:tcBorders>
              <w:top w:val="single" w:sz="4" w:space="0" w:color="A6A6A6"/>
              <w:left w:val="single" w:sz="4" w:space="0" w:color="A6A6A6"/>
              <w:bottom w:val="single" w:sz="4" w:space="0" w:color="A6A6A6"/>
              <w:right w:val="single" w:sz="4" w:space="0" w:color="A6A6A6"/>
            </w:tcBorders>
          </w:tcPr>
          <w:p w14:paraId="0B2BE82A" w14:textId="77777777" w:rsidR="00BC24A8" w:rsidRDefault="00000000">
            <w:pPr>
              <w:pStyle w:val="TableParagraph"/>
              <w:spacing w:before="1"/>
              <w:ind w:left="92" w:right="171"/>
              <w:jc w:val="center"/>
              <w:rPr>
                <w:sz w:val="18"/>
              </w:rPr>
            </w:pPr>
            <w:r>
              <w:rPr>
                <w:spacing w:val="-5"/>
                <w:sz w:val="18"/>
              </w:rPr>
              <w:t>81</w:t>
            </w:r>
          </w:p>
        </w:tc>
        <w:tc>
          <w:tcPr>
            <w:tcW w:w="7760" w:type="dxa"/>
            <w:tcBorders>
              <w:top w:val="single" w:sz="4" w:space="0" w:color="A6A6A6"/>
              <w:left w:val="single" w:sz="4" w:space="0" w:color="A6A6A6"/>
              <w:bottom w:val="single" w:sz="4" w:space="0" w:color="A6A6A6"/>
              <w:right w:val="single" w:sz="4" w:space="0" w:color="A6A6A6"/>
            </w:tcBorders>
          </w:tcPr>
          <w:p w14:paraId="2E7650DA" w14:textId="77777777" w:rsidR="00BC24A8" w:rsidRDefault="00000000">
            <w:pPr>
              <w:pStyle w:val="TableParagraph"/>
              <w:spacing w:before="1"/>
              <w:ind w:left="107" w:right="122"/>
              <w:rPr>
                <w:sz w:val="18"/>
              </w:rPr>
            </w:pPr>
            <w:r>
              <w:rPr>
                <w:sz w:val="18"/>
              </w:rPr>
              <w:t>Regional</w:t>
            </w:r>
            <w:r>
              <w:rPr>
                <w:spacing w:val="-2"/>
                <w:sz w:val="18"/>
              </w:rPr>
              <w:t xml:space="preserve"> </w:t>
            </w:r>
            <w:r>
              <w:rPr>
                <w:sz w:val="18"/>
              </w:rPr>
              <w:t>Regulation</w:t>
            </w:r>
            <w:r>
              <w:rPr>
                <w:spacing w:val="-3"/>
                <w:sz w:val="18"/>
              </w:rPr>
              <w:t xml:space="preserve"> </w:t>
            </w:r>
            <w:r>
              <w:rPr>
                <w:sz w:val="18"/>
              </w:rPr>
              <w:t>No.</w:t>
            </w:r>
            <w:r>
              <w:rPr>
                <w:spacing w:val="-4"/>
                <w:sz w:val="18"/>
              </w:rPr>
              <w:t xml:space="preserve"> </w:t>
            </w:r>
            <w:r>
              <w:rPr>
                <w:sz w:val="18"/>
              </w:rPr>
              <w:t>17/2024</w:t>
            </w:r>
            <w:r>
              <w:rPr>
                <w:spacing w:val="-5"/>
                <w:sz w:val="18"/>
              </w:rPr>
              <w:t xml:space="preserve"> </w:t>
            </w:r>
            <w:r>
              <w:rPr>
                <w:sz w:val="18"/>
              </w:rPr>
              <w:t>on</w:t>
            </w:r>
            <w:r>
              <w:rPr>
                <w:spacing w:val="-3"/>
                <w:sz w:val="18"/>
              </w:rPr>
              <w:t xml:space="preserve"> </w:t>
            </w:r>
            <w:r>
              <w:rPr>
                <w:sz w:val="18"/>
              </w:rPr>
              <w:t>the</w:t>
            </w:r>
            <w:r>
              <w:rPr>
                <w:spacing w:val="-3"/>
                <w:sz w:val="18"/>
              </w:rPr>
              <w:t xml:space="preserve"> </w:t>
            </w:r>
            <w:r>
              <w:rPr>
                <w:sz w:val="18"/>
              </w:rPr>
              <w:t>Respect,</w:t>
            </w:r>
            <w:r>
              <w:rPr>
                <w:spacing w:val="-4"/>
                <w:sz w:val="18"/>
              </w:rPr>
              <w:t xml:space="preserve"> </w:t>
            </w:r>
            <w:r>
              <w:rPr>
                <w:sz w:val="18"/>
              </w:rPr>
              <w:t>Protection,</w:t>
            </w:r>
            <w:r>
              <w:rPr>
                <w:spacing w:val="-4"/>
                <w:sz w:val="18"/>
              </w:rPr>
              <w:t xml:space="preserve"> </w:t>
            </w:r>
            <w:r>
              <w:rPr>
                <w:sz w:val="18"/>
              </w:rPr>
              <w:t>and</w:t>
            </w:r>
            <w:r>
              <w:rPr>
                <w:spacing w:val="-3"/>
                <w:sz w:val="18"/>
              </w:rPr>
              <w:t xml:space="preserve"> </w:t>
            </w:r>
            <w:r>
              <w:rPr>
                <w:sz w:val="18"/>
              </w:rPr>
              <w:t>Fulfillment</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Rights</w:t>
            </w:r>
            <w:r>
              <w:rPr>
                <w:spacing w:val="-3"/>
                <w:sz w:val="18"/>
              </w:rPr>
              <w:t xml:space="preserve"> </w:t>
            </w:r>
            <w:r>
              <w:rPr>
                <w:sz w:val="18"/>
              </w:rPr>
              <w:t>of</w:t>
            </w:r>
            <w:r>
              <w:rPr>
                <w:spacing w:val="-4"/>
                <w:sz w:val="18"/>
              </w:rPr>
              <w:t xml:space="preserve"> </w:t>
            </w:r>
            <w:r>
              <w:rPr>
                <w:sz w:val="18"/>
              </w:rPr>
              <w:t>Persons with Disabilities in North Kalimantan</w:t>
            </w:r>
          </w:p>
        </w:tc>
        <w:tc>
          <w:tcPr>
            <w:tcW w:w="1275" w:type="dxa"/>
            <w:tcBorders>
              <w:top w:val="single" w:sz="4" w:space="0" w:color="A6A6A6"/>
              <w:left w:val="single" w:sz="4" w:space="0" w:color="A6A6A6"/>
              <w:bottom w:val="single" w:sz="4" w:space="0" w:color="A6A6A6"/>
              <w:right w:val="single" w:sz="4" w:space="0" w:color="A6A6A6"/>
            </w:tcBorders>
          </w:tcPr>
          <w:p w14:paraId="0C087A83" w14:textId="77777777" w:rsidR="00BC24A8" w:rsidRDefault="00000000">
            <w:pPr>
              <w:pStyle w:val="TableParagraph"/>
              <w:spacing w:before="1"/>
              <w:ind w:left="106"/>
              <w:rPr>
                <w:sz w:val="18"/>
              </w:rPr>
            </w:pPr>
            <w:r>
              <w:rPr>
                <w:spacing w:val="-2"/>
                <w:sz w:val="18"/>
              </w:rPr>
              <w:t>Kaltara</w:t>
            </w:r>
          </w:p>
        </w:tc>
      </w:tr>
      <w:tr w:rsidR="00BC24A8" w14:paraId="467BC546"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7FF1C8A4" w14:textId="77777777" w:rsidR="00BC24A8" w:rsidRDefault="00000000">
            <w:pPr>
              <w:pStyle w:val="TableParagraph"/>
              <w:spacing w:line="219" w:lineRule="exact"/>
              <w:ind w:left="92" w:right="171"/>
              <w:jc w:val="center"/>
              <w:rPr>
                <w:sz w:val="18"/>
              </w:rPr>
            </w:pPr>
            <w:r>
              <w:rPr>
                <w:spacing w:val="-5"/>
                <w:sz w:val="18"/>
              </w:rPr>
              <w:t>82</w:t>
            </w:r>
          </w:p>
        </w:tc>
        <w:tc>
          <w:tcPr>
            <w:tcW w:w="7760" w:type="dxa"/>
            <w:tcBorders>
              <w:top w:val="single" w:sz="4" w:space="0" w:color="A6A6A6"/>
              <w:left w:val="single" w:sz="4" w:space="0" w:color="A6A6A6"/>
              <w:bottom w:val="single" w:sz="4" w:space="0" w:color="A6A6A6"/>
              <w:right w:val="single" w:sz="4" w:space="0" w:color="A6A6A6"/>
            </w:tcBorders>
          </w:tcPr>
          <w:p w14:paraId="79AB44FE" w14:textId="77777777" w:rsidR="00BC24A8" w:rsidRDefault="00000000">
            <w:pPr>
              <w:pStyle w:val="TableParagraph"/>
              <w:ind w:left="107" w:right="122"/>
              <w:rPr>
                <w:sz w:val="18"/>
              </w:rPr>
            </w:pPr>
            <w:r>
              <w:rPr>
                <w:sz w:val="18"/>
              </w:rPr>
              <w:t>Governor</w:t>
            </w:r>
            <w:r>
              <w:rPr>
                <w:spacing w:val="-4"/>
                <w:sz w:val="18"/>
              </w:rPr>
              <w:t xml:space="preserve"> </w:t>
            </w:r>
            <w:r>
              <w:rPr>
                <w:sz w:val="18"/>
              </w:rPr>
              <w:t>Instruction</w:t>
            </w:r>
            <w:r>
              <w:rPr>
                <w:spacing w:val="-4"/>
                <w:sz w:val="18"/>
              </w:rPr>
              <w:t xml:space="preserve"> </w:t>
            </w:r>
            <w:r>
              <w:rPr>
                <w:sz w:val="18"/>
              </w:rPr>
              <w:t>No.</w:t>
            </w:r>
            <w:r>
              <w:rPr>
                <w:spacing w:val="-5"/>
                <w:sz w:val="18"/>
              </w:rPr>
              <w:t xml:space="preserve"> </w:t>
            </w:r>
            <w:r>
              <w:rPr>
                <w:sz w:val="18"/>
              </w:rPr>
              <w:t>000.7.2.2/0033/BAPP-LIT/GUB</w:t>
            </w:r>
            <w:r>
              <w:rPr>
                <w:spacing w:val="-5"/>
                <w:sz w:val="18"/>
              </w:rPr>
              <w:t xml:space="preserve"> </w:t>
            </w:r>
            <w:r>
              <w:rPr>
                <w:sz w:val="18"/>
              </w:rPr>
              <w:t>on</w:t>
            </w:r>
            <w:r>
              <w:rPr>
                <w:spacing w:val="-4"/>
                <w:sz w:val="18"/>
              </w:rPr>
              <w:t xml:space="preserve"> </w:t>
            </w:r>
            <w:r>
              <w:rPr>
                <w:sz w:val="18"/>
              </w:rPr>
              <w:t>Planning,</w:t>
            </w:r>
            <w:r>
              <w:rPr>
                <w:spacing w:val="-5"/>
                <w:sz w:val="18"/>
              </w:rPr>
              <w:t xml:space="preserve"> </w:t>
            </w:r>
            <w:r>
              <w:rPr>
                <w:sz w:val="18"/>
              </w:rPr>
              <w:t>Budgeting,</w:t>
            </w:r>
            <w:r>
              <w:rPr>
                <w:spacing w:val="-5"/>
                <w:sz w:val="18"/>
              </w:rPr>
              <w:t xml:space="preserve"> </w:t>
            </w:r>
            <w:r>
              <w:rPr>
                <w:sz w:val="18"/>
              </w:rPr>
              <w:t>and</w:t>
            </w:r>
            <w:r>
              <w:rPr>
                <w:spacing w:val="-4"/>
                <w:sz w:val="18"/>
              </w:rPr>
              <w:t xml:space="preserve"> </w:t>
            </w:r>
            <w:r>
              <w:rPr>
                <w:sz w:val="18"/>
              </w:rPr>
              <w:t>Program</w:t>
            </w:r>
            <w:r>
              <w:rPr>
                <w:spacing w:val="-5"/>
                <w:sz w:val="18"/>
              </w:rPr>
              <w:t xml:space="preserve"> </w:t>
            </w:r>
            <w:r>
              <w:rPr>
                <w:sz w:val="18"/>
              </w:rPr>
              <w:t>Priorities for Persons with Disabilities in the Region</w:t>
            </w:r>
          </w:p>
        </w:tc>
        <w:tc>
          <w:tcPr>
            <w:tcW w:w="1275" w:type="dxa"/>
            <w:tcBorders>
              <w:top w:val="single" w:sz="4" w:space="0" w:color="A6A6A6"/>
              <w:left w:val="single" w:sz="4" w:space="0" w:color="A6A6A6"/>
              <w:bottom w:val="single" w:sz="4" w:space="0" w:color="A6A6A6"/>
              <w:right w:val="single" w:sz="4" w:space="0" w:color="A6A6A6"/>
            </w:tcBorders>
          </w:tcPr>
          <w:p w14:paraId="3A82C992" w14:textId="77777777" w:rsidR="00BC24A8" w:rsidRDefault="00000000">
            <w:pPr>
              <w:pStyle w:val="TableParagraph"/>
              <w:spacing w:line="219" w:lineRule="exact"/>
              <w:ind w:left="106"/>
              <w:rPr>
                <w:sz w:val="18"/>
              </w:rPr>
            </w:pPr>
            <w:r>
              <w:rPr>
                <w:spacing w:val="-2"/>
                <w:sz w:val="18"/>
              </w:rPr>
              <w:t>Kaltara</w:t>
            </w:r>
          </w:p>
        </w:tc>
      </w:tr>
      <w:tr w:rsidR="00BC24A8" w14:paraId="6786A591"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154BE31A" w14:textId="77777777" w:rsidR="00BC24A8" w:rsidRDefault="00000000">
            <w:pPr>
              <w:pStyle w:val="TableParagraph"/>
              <w:spacing w:line="219" w:lineRule="exact"/>
              <w:ind w:left="92" w:right="171"/>
              <w:jc w:val="center"/>
              <w:rPr>
                <w:sz w:val="18"/>
              </w:rPr>
            </w:pPr>
            <w:r>
              <w:rPr>
                <w:spacing w:val="-5"/>
                <w:sz w:val="18"/>
              </w:rPr>
              <w:t>83</w:t>
            </w:r>
          </w:p>
        </w:tc>
        <w:tc>
          <w:tcPr>
            <w:tcW w:w="7760" w:type="dxa"/>
            <w:tcBorders>
              <w:top w:val="single" w:sz="4" w:space="0" w:color="A6A6A6"/>
              <w:left w:val="single" w:sz="4" w:space="0" w:color="A6A6A6"/>
              <w:bottom w:val="single" w:sz="4" w:space="0" w:color="A6A6A6"/>
              <w:right w:val="single" w:sz="4" w:space="0" w:color="A6A6A6"/>
            </w:tcBorders>
          </w:tcPr>
          <w:p w14:paraId="1B5419AA" w14:textId="77777777" w:rsidR="00BC24A8" w:rsidRDefault="00000000">
            <w:pPr>
              <w:pStyle w:val="TableParagraph"/>
              <w:spacing w:line="219" w:lineRule="exact"/>
              <w:ind w:left="107"/>
              <w:rPr>
                <w:sz w:val="18"/>
              </w:rPr>
            </w:pPr>
            <w:r>
              <w:rPr>
                <w:sz w:val="18"/>
              </w:rPr>
              <w:t>Bappeda</w:t>
            </w:r>
            <w:r>
              <w:rPr>
                <w:spacing w:val="-7"/>
                <w:sz w:val="18"/>
              </w:rPr>
              <w:t xml:space="preserve"> </w:t>
            </w:r>
            <w:r>
              <w:rPr>
                <w:sz w:val="18"/>
              </w:rPr>
              <w:t>and</w:t>
            </w:r>
            <w:r>
              <w:rPr>
                <w:spacing w:val="-3"/>
                <w:sz w:val="18"/>
              </w:rPr>
              <w:t xml:space="preserve"> </w:t>
            </w:r>
            <w:r>
              <w:rPr>
                <w:sz w:val="18"/>
              </w:rPr>
              <w:t>Reseach</w:t>
            </w:r>
            <w:r>
              <w:rPr>
                <w:spacing w:val="-4"/>
                <w:sz w:val="18"/>
              </w:rPr>
              <w:t xml:space="preserve"> </w:t>
            </w:r>
            <w:r>
              <w:rPr>
                <w:sz w:val="18"/>
              </w:rPr>
              <w:t>&amp;</w:t>
            </w:r>
            <w:r>
              <w:rPr>
                <w:spacing w:val="-4"/>
                <w:sz w:val="18"/>
              </w:rPr>
              <w:t xml:space="preserve"> </w:t>
            </w:r>
            <w:r>
              <w:rPr>
                <w:sz w:val="18"/>
              </w:rPr>
              <w:t>Development</w:t>
            </w:r>
            <w:r>
              <w:rPr>
                <w:spacing w:val="-2"/>
                <w:sz w:val="18"/>
              </w:rPr>
              <w:t xml:space="preserve"> </w:t>
            </w:r>
            <w:r>
              <w:rPr>
                <w:sz w:val="18"/>
              </w:rPr>
              <w:t>Agency</w:t>
            </w:r>
            <w:r>
              <w:rPr>
                <w:spacing w:val="-4"/>
                <w:sz w:val="18"/>
              </w:rPr>
              <w:t xml:space="preserve"> </w:t>
            </w:r>
            <w:r>
              <w:rPr>
                <w:sz w:val="18"/>
              </w:rPr>
              <w:t>Head</w:t>
            </w:r>
            <w:r>
              <w:rPr>
                <w:spacing w:val="-3"/>
                <w:sz w:val="18"/>
              </w:rPr>
              <w:t xml:space="preserve"> </w:t>
            </w:r>
            <w:r>
              <w:rPr>
                <w:sz w:val="18"/>
              </w:rPr>
              <w:t>Decree</w:t>
            </w:r>
            <w:r>
              <w:rPr>
                <w:spacing w:val="-4"/>
                <w:sz w:val="18"/>
              </w:rPr>
              <w:t xml:space="preserve"> </w:t>
            </w:r>
            <w:r>
              <w:rPr>
                <w:sz w:val="18"/>
              </w:rPr>
              <w:t>No.</w:t>
            </w:r>
            <w:r>
              <w:rPr>
                <w:spacing w:val="-4"/>
                <w:sz w:val="18"/>
              </w:rPr>
              <w:t xml:space="preserve"> </w:t>
            </w:r>
            <w:r>
              <w:rPr>
                <w:sz w:val="18"/>
              </w:rPr>
              <w:t>100.3/444/BAPP-LIT.3/III/2025</w:t>
            </w:r>
            <w:r>
              <w:rPr>
                <w:spacing w:val="-3"/>
                <w:sz w:val="18"/>
              </w:rPr>
              <w:t xml:space="preserve"> </w:t>
            </w:r>
            <w:r>
              <w:rPr>
                <w:spacing w:val="-5"/>
                <w:sz w:val="18"/>
              </w:rPr>
              <w:t>on</w:t>
            </w:r>
          </w:p>
          <w:p w14:paraId="04695199" w14:textId="77777777" w:rsidR="00BC24A8" w:rsidRDefault="00000000">
            <w:pPr>
              <w:pStyle w:val="TableParagraph"/>
              <w:spacing w:before="1" w:line="199" w:lineRule="exact"/>
              <w:ind w:left="107"/>
              <w:rPr>
                <w:sz w:val="18"/>
              </w:rPr>
            </w:pPr>
            <w:r>
              <w:rPr>
                <w:sz w:val="18"/>
              </w:rPr>
              <w:t>Technical</w:t>
            </w:r>
            <w:r>
              <w:rPr>
                <w:spacing w:val="-3"/>
                <w:sz w:val="18"/>
              </w:rPr>
              <w:t xml:space="preserve"> </w:t>
            </w:r>
            <w:r>
              <w:rPr>
                <w:sz w:val="18"/>
              </w:rPr>
              <w:t>Guidelines</w:t>
            </w:r>
            <w:r>
              <w:rPr>
                <w:spacing w:val="-2"/>
                <w:sz w:val="18"/>
              </w:rPr>
              <w:t xml:space="preserve"> </w:t>
            </w:r>
            <w:r>
              <w:rPr>
                <w:sz w:val="18"/>
              </w:rPr>
              <w:t>for</w:t>
            </w:r>
            <w:r>
              <w:rPr>
                <w:spacing w:val="-1"/>
                <w:sz w:val="18"/>
              </w:rPr>
              <w:t xml:space="preserve"> </w:t>
            </w:r>
            <w:r>
              <w:rPr>
                <w:sz w:val="18"/>
              </w:rPr>
              <w:t>the</w:t>
            </w:r>
            <w:r>
              <w:rPr>
                <w:spacing w:val="-2"/>
                <w:sz w:val="18"/>
              </w:rPr>
              <w:t xml:space="preserve"> </w:t>
            </w:r>
            <w:r>
              <w:rPr>
                <w:sz w:val="18"/>
              </w:rPr>
              <w:t>Inclusive</w:t>
            </w:r>
            <w:r>
              <w:rPr>
                <w:spacing w:val="-2"/>
                <w:sz w:val="18"/>
              </w:rPr>
              <w:t xml:space="preserve"> </w:t>
            </w:r>
            <w:r>
              <w:rPr>
                <w:sz w:val="18"/>
              </w:rPr>
              <w:t>Aspiration</w:t>
            </w:r>
            <w:r>
              <w:rPr>
                <w:spacing w:val="-4"/>
                <w:sz w:val="18"/>
              </w:rPr>
              <w:t xml:space="preserve"> </w:t>
            </w:r>
            <w:r>
              <w:rPr>
                <w:sz w:val="18"/>
              </w:rPr>
              <w:t>Forum</w:t>
            </w:r>
            <w:r>
              <w:rPr>
                <w:spacing w:val="-3"/>
                <w:sz w:val="18"/>
              </w:rPr>
              <w:t xml:space="preserve"> </w:t>
            </w:r>
            <w:r>
              <w:rPr>
                <w:sz w:val="18"/>
              </w:rPr>
              <w:t>“MENTARI</w:t>
            </w:r>
            <w:r>
              <w:rPr>
                <w:spacing w:val="-2"/>
                <w:sz w:val="18"/>
              </w:rPr>
              <w:t xml:space="preserve"> KALTARA”</w:t>
            </w:r>
          </w:p>
        </w:tc>
        <w:tc>
          <w:tcPr>
            <w:tcW w:w="1275" w:type="dxa"/>
            <w:tcBorders>
              <w:top w:val="single" w:sz="4" w:space="0" w:color="A6A6A6"/>
              <w:left w:val="single" w:sz="4" w:space="0" w:color="A6A6A6"/>
              <w:bottom w:val="single" w:sz="4" w:space="0" w:color="A6A6A6"/>
              <w:right w:val="single" w:sz="4" w:space="0" w:color="A6A6A6"/>
            </w:tcBorders>
          </w:tcPr>
          <w:p w14:paraId="576C0EF5" w14:textId="77777777" w:rsidR="00BC24A8" w:rsidRDefault="00000000">
            <w:pPr>
              <w:pStyle w:val="TableParagraph"/>
              <w:spacing w:line="219" w:lineRule="exact"/>
              <w:ind w:left="106"/>
              <w:rPr>
                <w:sz w:val="18"/>
              </w:rPr>
            </w:pPr>
            <w:r>
              <w:rPr>
                <w:spacing w:val="-2"/>
                <w:sz w:val="18"/>
              </w:rPr>
              <w:t>Kaltara</w:t>
            </w:r>
          </w:p>
        </w:tc>
      </w:tr>
      <w:tr w:rsidR="00BC24A8" w14:paraId="079099B8"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338AA057" w14:textId="77777777" w:rsidR="00BC24A8" w:rsidRDefault="00000000">
            <w:pPr>
              <w:pStyle w:val="TableParagraph"/>
              <w:spacing w:before="1"/>
              <w:ind w:left="92" w:right="171"/>
              <w:jc w:val="center"/>
              <w:rPr>
                <w:sz w:val="18"/>
              </w:rPr>
            </w:pPr>
            <w:r>
              <w:rPr>
                <w:spacing w:val="-5"/>
                <w:sz w:val="18"/>
              </w:rPr>
              <w:t>84</w:t>
            </w:r>
          </w:p>
        </w:tc>
        <w:tc>
          <w:tcPr>
            <w:tcW w:w="7760" w:type="dxa"/>
            <w:tcBorders>
              <w:top w:val="single" w:sz="4" w:space="0" w:color="A6A6A6"/>
              <w:left w:val="single" w:sz="4" w:space="0" w:color="A6A6A6"/>
              <w:bottom w:val="single" w:sz="4" w:space="0" w:color="A6A6A6"/>
              <w:right w:val="single" w:sz="4" w:space="0" w:color="A6A6A6"/>
            </w:tcBorders>
          </w:tcPr>
          <w:p w14:paraId="6835FC53" w14:textId="77777777" w:rsidR="00BC24A8" w:rsidRDefault="00000000">
            <w:pPr>
              <w:pStyle w:val="TableParagraph"/>
              <w:spacing w:before="1" w:line="219" w:lineRule="exact"/>
              <w:ind w:left="107"/>
              <w:rPr>
                <w:sz w:val="18"/>
              </w:rPr>
            </w:pPr>
            <w:r>
              <w:rPr>
                <w:sz w:val="18"/>
              </w:rPr>
              <w:t>Kaltara</w:t>
            </w:r>
            <w:r>
              <w:rPr>
                <w:spacing w:val="-4"/>
                <w:sz w:val="18"/>
              </w:rPr>
              <w:t xml:space="preserve"> </w:t>
            </w:r>
            <w:r>
              <w:rPr>
                <w:sz w:val="18"/>
              </w:rPr>
              <w:t>Governor</w:t>
            </w:r>
            <w:r>
              <w:rPr>
                <w:spacing w:val="-3"/>
                <w:sz w:val="18"/>
              </w:rPr>
              <w:t xml:space="preserve"> </w:t>
            </w:r>
            <w:r>
              <w:rPr>
                <w:sz w:val="18"/>
              </w:rPr>
              <w:t>Decree</w:t>
            </w:r>
            <w:r>
              <w:rPr>
                <w:spacing w:val="-3"/>
                <w:sz w:val="18"/>
              </w:rPr>
              <w:t xml:space="preserve"> </w:t>
            </w:r>
            <w:r>
              <w:rPr>
                <w:sz w:val="18"/>
              </w:rPr>
              <w:t>No.</w:t>
            </w:r>
            <w:r>
              <w:rPr>
                <w:spacing w:val="-3"/>
                <w:sz w:val="18"/>
              </w:rPr>
              <w:t xml:space="preserve"> </w:t>
            </w:r>
            <w:r>
              <w:rPr>
                <w:sz w:val="18"/>
              </w:rPr>
              <w:t>100.3.3.1/232/2025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Drafting</w:t>
            </w:r>
            <w:r>
              <w:rPr>
                <w:spacing w:val="-3"/>
                <w:sz w:val="18"/>
              </w:rPr>
              <w:t xml:space="preserve"> </w:t>
            </w:r>
            <w:r>
              <w:rPr>
                <w:sz w:val="18"/>
              </w:rPr>
              <w:t>Team</w:t>
            </w:r>
            <w:r>
              <w:rPr>
                <w:spacing w:val="-4"/>
                <w:sz w:val="18"/>
              </w:rPr>
              <w:t xml:space="preserve"> </w:t>
            </w:r>
            <w:r>
              <w:rPr>
                <w:sz w:val="18"/>
              </w:rPr>
              <w:t>for</w:t>
            </w:r>
            <w:r>
              <w:rPr>
                <w:spacing w:val="-3"/>
                <w:sz w:val="18"/>
              </w:rPr>
              <w:t xml:space="preserve"> </w:t>
            </w:r>
            <w:r>
              <w:rPr>
                <w:sz w:val="18"/>
              </w:rPr>
              <w:t>the</w:t>
            </w:r>
            <w:r>
              <w:rPr>
                <w:spacing w:val="-3"/>
                <w:sz w:val="18"/>
              </w:rPr>
              <w:t xml:space="preserve"> </w:t>
            </w:r>
            <w:r>
              <w:rPr>
                <w:sz w:val="18"/>
              </w:rPr>
              <w:t>Regional</w:t>
            </w:r>
            <w:r>
              <w:rPr>
                <w:spacing w:val="-1"/>
                <w:sz w:val="18"/>
              </w:rPr>
              <w:t xml:space="preserve"> </w:t>
            </w:r>
            <w:r>
              <w:rPr>
                <w:spacing w:val="-4"/>
                <w:sz w:val="18"/>
              </w:rPr>
              <w:t>Head</w:t>
            </w:r>
          </w:p>
          <w:p w14:paraId="7A1DEA5E" w14:textId="77777777" w:rsidR="00BC24A8" w:rsidRDefault="00000000">
            <w:pPr>
              <w:pStyle w:val="TableParagraph"/>
              <w:spacing w:line="199" w:lineRule="exact"/>
              <w:ind w:left="107"/>
              <w:rPr>
                <w:sz w:val="18"/>
              </w:rPr>
            </w:pPr>
            <w:r>
              <w:rPr>
                <w:sz w:val="18"/>
              </w:rPr>
              <w:t>Regulation</w:t>
            </w:r>
            <w:r>
              <w:rPr>
                <w:spacing w:val="-2"/>
                <w:sz w:val="18"/>
              </w:rPr>
              <w:t xml:space="preserve"> </w:t>
            </w:r>
            <w:r>
              <w:rPr>
                <w:sz w:val="18"/>
              </w:rPr>
              <w:t>on</w:t>
            </w:r>
            <w:r>
              <w:rPr>
                <w:spacing w:val="-1"/>
                <w:sz w:val="18"/>
              </w:rPr>
              <w:t xml:space="preserve"> </w:t>
            </w:r>
            <w:r>
              <w:rPr>
                <w:spacing w:val="-2"/>
                <w:sz w:val="18"/>
              </w:rPr>
              <w:t>Disability</w:t>
            </w:r>
          </w:p>
        </w:tc>
        <w:tc>
          <w:tcPr>
            <w:tcW w:w="1275" w:type="dxa"/>
            <w:tcBorders>
              <w:top w:val="single" w:sz="4" w:space="0" w:color="A6A6A6"/>
              <w:left w:val="single" w:sz="4" w:space="0" w:color="A6A6A6"/>
              <w:bottom w:val="single" w:sz="4" w:space="0" w:color="A6A6A6"/>
              <w:right w:val="single" w:sz="4" w:space="0" w:color="A6A6A6"/>
            </w:tcBorders>
          </w:tcPr>
          <w:p w14:paraId="68B51FC4" w14:textId="77777777" w:rsidR="00BC24A8" w:rsidRDefault="00000000">
            <w:pPr>
              <w:pStyle w:val="TableParagraph"/>
              <w:spacing w:before="1"/>
              <w:ind w:left="106"/>
              <w:rPr>
                <w:sz w:val="18"/>
              </w:rPr>
            </w:pPr>
            <w:r>
              <w:rPr>
                <w:spacing w:val="-2"/>
                <w:sz w:val="18"/>
              </w:rPr>
              <w:t>Kaltara</w:t>
            </w:r>
          </w:p>
        </w:tc>
      </w:tr>
      <w:tr w:rsidR="00BC24A8" w14:paraId="3EDF26CD"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5165D074" w14:textId="77777777" w:rsidR="00BC24A8" w:rsidRDefault="00000000">
            <w:pPr>
              <w:pStyle w:val="TableParagraph"/>
              <w:spacing w:before="1" w:line="218" w:lineRule="exact"/>
              <w:ind w:left="92" w:right="171"/>
              <w:jc w:val="center"/>
              <w:rPr>
                <w:sz w:val="18"/>
              </w:rPr>
            </w:pPr>
            <w:r>
              <w:rPr>
                <w:spacing w:val="-5"/>
                <w:sz w:val="18"/>
              </w:rPr>
              <w:t>85</w:t>
            </w:r>
          </w:p>
        </w:tc>
        <w:tc>
          <w:tcPr>
            <w:tcW w:w="7760" w:type="dxa"/>
            <w:tcBorders>
              <w:top w:val="single" w:sz="4" w:space="0" w:color="A6A6A6"/>
              <w:left w:val="single" w:sz="4" w:space="0" w:color="A6A6A6"/>
              <w:bottom w:val="single" w:sz="4" w:space="0" w:color="A6A6A6"/>
              <w:right w:val="single" w:sz="4" w:space="0" w:color="A6A6A6"/>
            </w:tcBorders>
          </w:tcPr>
          <w:p w14:paraId="49FADD36" w14:textId="77777777" w:rsidR="00BC24A8" w:rsidRDefault="00000000">
            <w:pPr>
              <w:pStyle w:val="TableParagraph"/>
              <w:spacing w:before="1" w:line="218" w:lineRule="exact"/>
              <w:ind w:left="107"/>
              <w:rPr>
                <w:sz w:val="18"/>
              </w:rPr>
            </w:pPr>
            <w:r>
              <w:rPr>
                <w:sz w:val="18"/>
              </w:rPr>
              <w:t>Draft</w:t>
            </w:r>
            <w:r>
              <w:rPr>
                <w:spacing w:val="-2"/>
                <w:sz w:val="18"/>
              </w:rPr>
              <w:t xml:space="preserve"> </w:t>
            </w:r>
            <w:r>
              <w:rPr>
                <w:sz w:val="18"/>
              </w:rPr>
              <w:t>Regional</w:t>
            </w:r>
            <w:r>
              <w:rPr>
                <w:spacing w:val="-1"/>
                <w:sz w:val="18"/>
              </w:rPr>
              <w:t xml:space="preserve"> </w:t>
            </w:r>
            <w:r>
              <w:rPr>
                <w:sz w:val="18"/>
              </w:rPr>
              <w:t>Regulation</w:t>
            </w:r>
            <w:r>
              <w:rPr>
                <w:spacing w:val="-2"/>
                <w:sz w:val="18"/>
              </w:rPr>
              <w:t xml:space="preserve"> </w:t>
            </w:r>
            <w:r>
              <w:rPr>
                <w:sz w:val="18"/>
              </w:rPr>
              <w:t>on</w:t>
            </w:r>
            <w:r>
              <w:rPr>
                <w:spacing w:val="-3"/>
                <w:sz w:val="18"/>
              </w:rPr>
              <w:t xml:space="preserve"> </w:t>
            </w:r>
            <w:r>
              <w:rPr>
                <w:sz w:val="18"/>
              </w:rPr>
              <w:t>Gender</w:t>
            </w:r>
            <w:r>
              <w:rPr>
                <w:spacing w:val="-2"/>
                <w:sz w:val="18"/>
              </w:rPr>
              <w:t xml:space="preserve"> </w:t>
            </w:r>
            <w:r>
              <w:rPr>
                <w:sz w:val="18"/>
              </w:rPr>
              <w:t>Mainstreaming</w:t>
            </w:r>
            <w:r>
              <w:rPr>
                <w:spacing w:val="-3"/>
                <w:sz w:val="18"/>
              </w:rPr>
              <w:t xml:space="preserve"> </w:t>
            </w:r>
            <w:r>
              <w:rPr>
                <w:sz w:val="18"/>
              </w:rPr>
              <w:t>of</w:t>
            </w:r>
            <w:r>
              <w:rPr>
                <w:spacing w:val="-3"/>
                <w:sz w:val="18"/>
              </w:rPr>
              <w:t xml:space="preserve"> </w:t>
            </w:r>
            <w:r>
              <w:rPr>
                <w:sz w:val="18"/>
              </w:rPr>
              <w:t>North</w:t>
            </w:r>
            <w:r>
              <w:rPr>
                <w:spacing w:val="-2"/>
                <w:sz w:val="18"/>
              </w:rPr>
              <w:t xml:space="preserve"> Kalimantan</w:t>
            </w:r>
          </w:p>
        </w:tc>
        <w:tc>
          <w:tcPr>
            <w:tcW w:w="1275" w:type="dxa"/>
            <w:tcBorders>
              <w:top w:val="single" w:sz="4" w:space="0" w:color="A6A6A6"/>
              <w:left w:val="single" w:sz="4" w:space="0" w:color="A6A6A6"/>
              <w:bottom w:val="single" w:sz="4" w:space="0" w:color="A6A6A6"/>
              <w:right w:val="single" w:sz="4" w:space="0" w:color="A6A6A6"/>
            </w:tcBorders>
          </w:tcPr>
          <w:p w14:paraId="3805501C" w14:textId="77777777" w:rsidR="00BC24A8" w:rsidRDefault="00000000">
            <w:pPr>
              <w:pStyle w:val="TableParagraph"/>
              <w:spacing w:before="1" w:line="218" w:lineRule="exact"/>
              <w:ind w:left="106"/>
              <w:rPr>
                <w:sz w:val="18"/>
              </w:rPr>
            </w:pPr>
            <w:r>
              <w:rPr>
                <w:spacing w:val="-2"/>
                <w:sz w:val="18"/>
              </w:rPr>
              <w:t>Kaltara</w:t>
            </w:r>
          </w:p>
        </w:tc>
      </w:tr>
      <w:tr w:rsidR="00BC24A8" w14:paraId="3D188748" w14:textId="77777777">
        <w:trPr>
          <w:trHeight w:val="241"/>
        </w:trPr>
        <w:tc>
          <w:tcPr>
            <w:tcW w:w="490" w:type="dxa"/>
            <w:tcBorders>
              <w:top w:val="single" w:sz="4" w:space="0" w:color="A6A6A6"/>
              <w:left w:val="single" w:sz="4" w:space="0" w:color="A6A6A6"/>
              <w:bottom w:val="single" w:sz="4" w:space="0" w:color="A6A6A6"/>
              <w:right w:val="single" w:sz="4" w:space="0" w:color="A6A6A6"/>
            </w:tcBorders>
          </w:tcPr>
          <w:p w14:paraId="11E05E24" w14:textId="77777777" w:rsidR="00BC24A8" w:rsidRDefault="00000000">
            <w:pPr>
              <w:pStyle w:val="TableParagraph"/>
              <w:spacing w:before="1"/>
              <w:ind w:left="92" w:right="171"/>
              <w:jc w:val="center"/>
              <w:rPr>
                <w:sz w:val="18"/>
              </w:rPr>
            </w:pPr>
            <w:r>
              <w:rPr>
                <w:spacing w:val="-5"/>
                <w:sz w:val="18"/>
              </w:rPr>
              <w:t>86</w:t>
            </w:r>
          </w:p>
        </w:tc>
        <w:tc>
          <w:tcPr>
            <w:tcW w:w="7760" w:type="dxa"/>
            <w:tcBorders>
              <w:top w:val="single" w:sz="4" w:space="0" w:color="A6A6A6"/>
              <w:left w:val="single" w:sz="4" w:space="0" w:color="A6A6A6"/>
              <w:bottom w:val="single" w:sz="4" w:space="0" w:color="A6A6A6"/>
              <w:right w:val="single" w:sz="4" w:space="0" w:color="A6A6A6"/>
            </w:tcBorders>
          </w:tcPr>
          <w:p w14:paraId="6788527C" w14:textId="77777777" w:rsidR="00BC24A8" w:rsidRDefault="00000000">
            <w:pPr>
              <w:pStyle w:val="TableParagraph"/>
              <w:spacing w:before="1"/>
              <w:ind w:left="107"/>
              <w:rPr>
                <w:sz w:val="18"/>
              </w:rPr>
            </w:pPr>
            <w:r>
              <w:rPr>
                <w:sz w:val="18"/>
              </w:rPr>
              <w:t>Draft</w:t>
            </w:r>
            <w:r>
              <w:rPr>
                <w:spacing w:val="-2"/>
                <w:sz w:val="18"/>
              </w:rPr>
              <w:t xml:space="preserve"> </w:t>
            </w:r>
            <w:r>
              <w:rPr>
                <w:sz w:val="18"/>
              </w:rPr>
              <w:t>RAD</w:t>
            </w:r>
            <w:r>
              <w:rPr>
                <w:spacing w:val="-2"/>
                <w:sz w:val="18"/>
              </w:rPr>
              <w:t xml:space="preserve"> </w:t>
            </w:r>
            <w:r>
              <w:rPr>
                <w:sz w:val="18"/>
              </w:rPr>
              <w:t>PD</w:t>
            </w:r>
            <w:r>
              <w:rPr>
                <w:spacing w:val="-2"/>
                <w:sz w:val="18"/>
              </w:rPr>
              <w:t xml:space="preserve"> </w:t>
            </w:r>
            <w:r>
              <w:rPr>
                <w:sz w:val="18"/>
              </w:rPr>
              <w:t>2025-2029</w:t>
            </w:r>
            <w:r>
              <w:rPr>
                <w:spacing w:val="-3"/>
                <w:sz w:val="18"/>
              </w:rPr>
              <w:t xml:space="preserve"> </w:t>
            </w:r>
            <w:r>
              <w:rPr>
                <w:sz w:val="18"/>
              </w:rPr>
              <w:t>North</w:t>
            </w:r>
            <w:r>
              <w:rPr>
                <w:spacing w:val="-2"/>
                <w:sz w:val="18"/>
              </w:rPr>
              <w:t xml:space="preserve"> Kalimantan</w:t>
            </w:r>
          </w:p>
        </w:tc>
        <w:tc>
          <w:tcPr>
            <w:tcW w:w="1275" w:type="dxa"/>
            <w:tcBorders>
              <w:top w:val="single" w:sz="4" w:space="0" w:color="A6A6A6"/>
              <w:left w:val="single" w:sz="4" w:space="0" w:color="A6A6A6"/>
              <w:bottom w:val="single" w:sz="4" w:space="0" w:color="A6A6A6"/>
              <w:right w:val="single" w:sz="4" w:space="0" w:color="A6A6A6"/>
            </w:tcBorders>
          </w:tcPr>
          <w:p w14:paraId="73D13CDB" w14:textId="77777777" w:rsidR="00BC24A8" w:rsidRDefault="00000000">
            <w:pPr>
              <w:pStyle w:val="TableParagraph"/>
              <w:spacing w:before="1"/>
              <w:ind w:left="106"/>
              <w:rPr>
                <w:sz w:val="18"/>
              </w:rPr>
            </w:pPr>
            <w:r>
              <w:rPr>
                <w:spacing w:val="-2"/>
                <w:sz w:val="18"/>
              </w:rPr>
              <w:t>Kaltara</w:t>
            </w:r>
          </w:p>
        </w:tc>
      </w:tr>
      <w:tr w:rsidR="00BC24A8" w14:paraId="099C3D25"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710ABA62" w14:textId="77777777" w:rsidR="00BC24A8" w:rsidRDefault="00000000">
            <w:pPr>
              <w:pStyle w:val="TableParagraph"/>
              <w:spacing w:line="219" w:lineRule="exact"/>
              <w:ind w:left="92" w:right="171"/>
              <w:jc w:val="center"/>
              <w:rPr>
                <w:sz w:val="18"/>
              </w:rPr>
            </w:pPr>
            <w:r>
              <w:rPr>
                <w:spacing w:val="-5"/>
                <w:sz w:val="18"/>
              </w:rPr>
              <w:t>87</w:t>
            </w:r>
          </w:p>
        </w:tc>
        <w:tc>
          <w:tcPr>
            <w:tcW w:w="7760" w:type="dxa"/>
            <w:tcBorders>
              <w:top w:val="single" w:sz="4" w:space="0" w:color="A6A6A6"/>
              <w:left w:val="single" w:sz="4" w:space="0" w:color="A6A6A6"/>
              <w:bottom w:val="single" w:sz="4" w:space="0" w:color="A6A6A6"/>
              <w:right w:val="single" w:sz="4" w:space="0" w:color="A6A6A6"/>
            </w:tcBorders>
          </w:tcPr>
          <w:p w14:paraId="439D2AA7" w14:textId="77777777" w:rsidR="00BC24A8" w:rsidRDefault="00000000">
            <w:pPr>
              <w:pStyle w:val="TableParagraph"/>
              <w:spacing w:line="219" w:lineRule="exact"/>
              <w:ind w:left="107"/>
              <w:rPr>
                <w:sz w:val="18"/>
              </w:rPr>
            </w:pPr>
            <w:r>
              <w:rPr>
                <w:sz w:val="18"/>
              </w:rPr>
              <w:t>Regional</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1/2024</w:t>
            </w:r>
            <w:r>
              <w:rPr>
                <w:spacing w:val="-2"/>
                <w:sz w:val="18"/>
              </w:rPr>
              <w:t xml:space="preserve"> </w:t>
            </w:r>
            <w:r>
              <w:rPr>
                <w:sz w:val="18"/>
              </w:rPr>
              <w:t>on</w:t>
            </w:r>
            <w:r>
              <w:rPr>
                <w:spacing w:val="-2"/>
                <w:sz w:val="18"/>
              </w:rPr>
              <w:t xml:space="preserve"> </w:t>
            </w:r>
            <w:r>
              <w:rPr>
                <w:sz w:val="18"/>
              </w:rPr>
              <w:t>PDRD</w:t>
            </w:r>
            <w:r>
              <w:rPr>
                <w:spacing w:val="-2"/>
                <w:sz w:val="18"/>
              </w:rPr>
              <w:t xml:space="preserve"> </w:t>
            </w:r>
            <w:r>
              <w:rPr>
                <w:sz w:val="18"/>
              </w:rPr>
              <w:t>of</w:t>
            </w:r>
            <w:r>
              <w:rPr>
                <w:spacing w:val="-2"/>
                <w:sz w:val="18"/>
              </w:rPr>
              <w:t xml:space="preserve"> </w:t>
            </w:r>
            <w:r>
              <w:rPr>
                <w:sz w:val="18"/>
              </w:rPr>
              <w:t>North</w:t>
            </w:r>
            <w:r>
              <w:rPr>
                <w:spacing w:val="-2"/>
                <w:sz w:val="18"/>
              </w:rPr>
              <w:t xml:space="preserve"> Kalimantan</w:t>
            </w:r>
          </w:p>
        </w:tc>
        <w:tc>
          <w:tcPr>
            <w:tcW w:w="1275" w:type="dxa"/>
            <w:tcBorders>
              <w:top w:val="single" w:sz="4" w:space="0" w:color="A6A6A6"/>
              <w:left w:val="single" w:sz="4" w:space="0" w:color="A6A6A6"/>
              <w:bottom w:val="single" w:sz="4" w:space="0" w:color="A6A6A6"/>
              <w:right w:val="single" w:sz="4" w:space="0" w:color="A6A6A6"/>
            </w:tcBorders>
          </w:tcPr>
          <w:p w14:paraId="7F7A159E" w14:textId="77777777" w:rsidR="00BC24A8" w:rsidRDefault="00000000">
            <w:pPr>
              <w:pStyle w:val="TableParagraph"/>
              <w:spacing w:line="219" w:lineRule="exact"/>
              <w:ind w:left="106"/>
              <w:rPr>
                <w:sz w:val="18"/>
              </w:rPr>
            </w:pPr>
            <w:r>
              <w:rPr>
                <w:spacing w:val="-2"/>
                <w:sz w:val="18"/>
              </w:rPr>
              <w:t>Kaltara</w:t>
            </w:r>
          </w:p>
        </w:tc>
      </w:tr>
      <w:tr w:rsidR="00BC24A8" w14:paraId="6B050BDA"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49E279E6" w14:textId="77777777" w:rsidR="00BC24A8" w:rsidRDefault="00000000">
            <w:pPr>
              <w:pStyle w:val="TableParagraph"/>
              <w:spacing w:line="219" w:lineRule="exact"/>
              <w:ind w:left="92" w:right="171"/>
              <w:jc w:val="center"/>
              <w:rPr>
                <w:sz w:val="18"/>
              </w:rPr>
            </w:pPr>
            <w:r>
              <w:rPr>
                <w:spacing w:val="-5"/>
                <w:sz w:val="18"/>
              </w:rPr>
              <w:t>88</w:t>
            </w:r>
          </w:p>
        </w:tc>
        <w:tc>
          <w:tcPr>
            <w:tcW w:w="7760" w:type="dxa"/>
            <w:tcBorders>
              <w:top w:val="single" w:sz="4" w:space="0" w:color="A6A6A6"/>
              <w:left w:val="single" w:sz="4" w:space="0" w:color="A6A6A6"/>
              <w:bottom w:val="single" w:sz="4" w:space="0" w:color="A6A6A6"/>
              <w:right w:val="single" w:sz="4" w:space="0" w:color="A6A6A6"/>
            </w:tcBorders>
          </w:tcPr>
          <w:p w14:paraId="106B5502" w14:textId="77777777" w:rsidR="00BC24A8" w:rsidRDefault="00000000">
            <w:pPr>
              <w:pStyle w:val="TableParagraph"/>
              <w:spacing w:line="219" w:lineRule="exact"/>
              <w:ind w:left="107"/>
              <w:rPr>
                <w:sz w:val="18"/>
              </w:rPr>
            </w:pPr>
            <w:r>
              <w:rPr>
                <w:sz w:val="18"/>
              </w:rPr>
              <w:t>Governor</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25/2024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Implementation</w:t>
            </w:r>
            <w:r>
              <w:rPr>
                <w:spacing w:val="-3"/>
                <w:sz w:val="18"/>
              </w:rPr>
              <w:t xml:space="preserve"> </w:t>
            </w:r>
            <w:r>
              <w:rPr>
                <w:sz w:val="18"/>
              </w:rPr>
              <w:t>Guidelines</w:t>
            </w:r>
            <w:r>
              <w:rPr>
                <w:spacing w:val="-3"/>
                <w:sz w:val="18"/>
              </w:rPr>
              <w:t xml:space="preserve"> </w:t>
            </w:r>
            <w:r>
              <w:rPr>
                <w:sz w:val="18"/>
              </w:rPr>
              <w:t>for</w:t>
            </w:r>
            <w:r>
              <w:rPr>
                <w:spacing w:val="-2"/>
                <w:sz w:val="18"/>
              </w:rPr>
              <w:t xml:space="preserve"> </w:t>
            </w:r>
            <w:r>
              <w:rPr>
                <w:spacing w:val="-4"/>
                <w:sz w:val="18"/>
              </w:rPr>
              <w:t>PDRD</w:t>
            </w:r>
          </w:p>
        </w:tc>
        <w:tc>
          <w:tcPr>
            <w:tcW w:w="1275" w:type="dxa"/>
            <w:tcBorders>
              <w:top w:val="single" w:sz="4" w:space="0" w:color="A6A6A6"/>
              <w:left w:val="single" w:sz="4" w:space="0" w:color="A6A6A6"/>
              <w:bottom w:val="single" w:sz="4" w:space="0" w:color="A6A6A6"/>
              <w:right w:val="single" w:sz="4" w:space="0" w:color="A6A6A6"/>
            </w:tcBorders>
          </w:tcPr>
          <w:p w14:paraId="00A8E926" w14:textId="77777777" w:rsidR="00BC24A8" w:rsidRDefault="00000000">
            <w:pPr>
              <w:pStyle w:val="TableParagraph"/>
              <w:spacing w:line="219" w:lineRule="exact"/>
              <w:ind w:left="106"/>
              <w:rPr>
                <w:sz w:val="18"/>
              </w:rPr>
            </w:pPr>
            <w:r>
              <w:rPr>
                <w:spacing w:val="-2"/>
                <w:sz w:val="18"/>
              </w:rPr>
              <w:t>Kaltara</w:t>
            </w:r>
          </w:p>
        </w:tc>
      </w:tr>
      <w:tr w:rsidR="00BC24A8" w14:paraId="591B6633"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3BA49B1D" w14:textId="77777777" w:rsidR="00BC24A8" w:rsidRDefault="00000000">
            <w:pPr>
              <w:pStyle w:val="TableParagraph"/>
              <w:spacing w:before="1"/>
              <w:ind w:left="92" w:right="171"/>
              <w:jc w:val="center"/>
              <w:rPr>
                <w:sz w:val="18"/>
              </w:rPr>
            </w:pPr>
            <w:r>
              <w:rPr>
                <w:spacing w:val="-5"/>
                <w:sz w:val="18"/>
              </w:rPr>
              <w:t>89</w:t>
            </w:r>
          </w:p>
        </w:tc>
        <w:tc>
          <w:tcPr>
            <w:tcW w:w="7760" w:type="dxa"/>
            <w:tcBorders>
              <w:top w:val="single" w:sz="4" w:space="0" w:color="A6A6A6"/>
              <w:left w:val="single" w:sz="4" w:space="0" w:color="A6A6A6"/>
              <w:bottom w:val="single" w:sz="4" w:space="0" w:color="A6A6A6"/>
              <w:right w:val="single" w:sz="4" w:space="0" w:color="A6A6A6"/>
            </w:tcBorders>
          </w:tcPr>
          <w:p w14:paraId="34DF82B9" w14:textId="77777777" w:rsidR="00BC24A8" w:rsidRDefault="00000000">
            <w:pPr>
              <w:pStyle w:val="TableParagraph"/>
              <w:spacing w:before="1" w:line="219" w:lineRule="exact"/>
              <w:ind w:left="107"/>
              <w:rPr>
                <w:sz w:val="18"/>
              </w:rPr>
            </w:pPr>
            <w:r>
              <w:rPr>
                <w:sz w:val="18"/>
              </w:rPr>
              <w:t>Kaltara</w:t>
            </w:r>
            <w:r>
              <w:rPr>
                <w:spacing w:val="-5"/>
                <w:sz w:val="18"/>
              </w:rPr>
              <w:t xml:space="preserve"> </w:t>
            </w:r>
            <w:r>
              <w:rPr>
                <w:sz w:val="18"/>
              </w:rPr>
              <w:t>Governor</w:t>
            </w:r>
            <w:r>
              <w:rPr>
                <w:spacing w:val="-2"/>
                <w:sz w:val="18"/>
              </w:rPr>
              <w:t xml:space="preserve"> </w:t>
            </w:r>
            <w:r>
              <w:rPr>
                <w:sz w:val="18"/>
              </w:rPr>
              <w:t>Regulation</w:t>
            </w:r>
            <w:r>
              <w:rPr>
                <w:spacing w:val="-2"/>
                <w:sz w:val="18"/>
              </w:rPr>
              <w:t xml:space="preserve"> </w:t>
            </w:r>
            <w:r>
              <w:rPr>
                <w:sz w:val="18"/>
              </w:rPr>
              <w:t>No.</w:t>
            </w:r>
            <w:r>
              <w:rPr>
                <w:spacing w:val="-6"/>
                <w:sz w:val="18"/>
              </w:rPr>
              <w:t xml:space="preserve"> </w:t>
            </w:r>
            <w:r>
              <w:rPr>
                <w:sz w:val="18"/>
              </w:rPr>
              <w:t>40/2024</w:t>
            </w:r>
            <w:r>
              <w:rPr>
                <w:spacing w:val="-2"/>
                <w:sz w:val="18"/>
              </w:rPr>
              <w:t xml:space="preserve"> </w:t>
            </w:r>
            <w:r>
              <w:rPr>
                <w:sz w:val="18"/>
              </w:rPr>
              <w:t>on</w:t>
            </w:r>
            <w:r>
              <w:rPr>
                <w:spacing w:val="-2"/>
                <w:sz w:val="18"/>
              </w:rPr>
              <w:t xml:space="preserve"> </w:t>
            </w:r>
            <w:r>
              <w:rPr>
                <w:sz w:val="18"/>
              </w:rPr>
              <w:t>Calculation</w:t>
            </w:r>
            <w:r>
              <w:rPr>
                <w:spacing w:val="-1"/>
                <w:sz w:val="18"/>
              </w:rPr>
              <w:t xml:space="preserve"> </w:t>
            </w:r>
            <w:r>
              <w:rPr>
                <w:sz w:val="18"/>
              </w:rPr>
              <w:t>of</w:t>
            </w:r>
            <w:r>
              <w:rPr>
                <w:spacing w:val="-3"/>
                <w:sz w:val="18"/>
              </w:rPr>
              <w:t xml:space="preserve"> </w:t>
            </w:r>
            <w:r>
              <w:rPr>
                <w:sz w:val="18"/>
              </w:rPr>
              <w:t>Motor</w:t>
            </w:r>
            <w:r>
              <w:rPr>
                <w:spacing w:val="-2"/>
                <w:sz w:val="18"/>
              </w:rPr>
              <w:t xml:space="preserve"> </w:t>
            </w:r>
            <w:r>
              <w:rPr>
                <w:sz w:val="18"/>
              </w:rPr>
              <w:t>Vehicle</w:t>
            </w:r>
            <w:r>
              <w:rPr>
                <w:spacing w:val="-2"/>
                <w:sz w:val="18"/>
              </w:rPr>
              <w:t xml:space="preserve"> </w:t>
            </w:r>
            <w:r>
              <w:rPr>
                <w:sz w:val="18"/>
              </w:rPr>
              <w:t>Tax</w:t>
            </w:r>
            <w:r>
              <w:rPr>
                <w:spacing w:val="-3"/>
                <w:sz w:val="18"/>
              </w:rPr>
              <w:t xml:space="preserve"> </w:t>
            </w:r>
            <w:r>
              <w:rPr>
                <w:sz w:val="18"/>
              </w:rPr>
              <w:t>(PKB)</w:t>
            </w:r>
            <w:r>
              <w:rPr>
                <w:spacing w:val="-3"/>
                <w:sz w:val="18"/>
              </w:rPr>
              <w:t xml:space="preserve"> </w:t>
            </w:r>
            <w:r>
              <w:rPr>
                <w:sz w:val="18"/>
              </w:rPr>
              <w:t>and</w:t>
            </w:r>
            <w:r>
              <w:rPr>
                <w:spacing w:val="-1"/>
                <w:sz w:val="18"/>
              </w:rPr>
              <w:t xml:space="preserve"> </w:t>
            </w:r>
            <w:r>
              <w:rPr>
                <w:spacing w:val="-2"/>
                <w:sz w:val="18"/>
              </w:rPr>
              <w:t>Vehicle</w:t>
            </w:r>
          </w:p>
          <w:p w14:paraId="7DA6CF37" w14:textId="77777777" w:rsidR="00BC24A8" w:rsidRDefault="00000000">
            <w:pPr>
              <w:pStyle w:val="TableParagraph"/>
              <w:spacing w:line="199" w:lineRule="exact"/>
              <w:ind w:left="107"/>
              <w:rPr>
                <w:sz w:val="18"/>
              </w:rPr>
            </w:pPr>
            <w:r>
              <w:rPr>
                <w:sz w:val="18"/>
              </w:rPr>
              <w:t>Transfer</w:t>
            </w:r>
            <w:r>
              <w:rPr>
                <w:spacing w:val="-3"/>
                <w:sz w:val="18"/>
              </w:rPr>
              <w:t xml:space="preserve"> </w:t>
            </w:r>
            <w:r>
              <w:rPr>
                <w:sz w:val="18"/>
              </w:rPr>
              <w:t>Fee</w:t>
            </w:r>
            <w:r>
              <w:rPr>
                <w:spacing w:val="-3"/>
                <w:sz w:val="18"/>
              </w:rPr>
              <w:t xml:space="preserve"> </w:t>
            </w:r>
            <w:r>
              <w:rPr>
                <w:sz w:val="18"/>
              </w:rPr>
              <w:t>(BBNKB)</w:t>
            </w:r>
            <w:r>
              <w:rPr>
                <w:spacing w:val="-1"/>
                <w:sz w:val="18"/>
              </w:rPr>
              <w:t xml:space="preserve"> </w:t>
            </w:r>
            <w:r>
              <w:rPr>
                <w:sz w:val="18"/>
              </w:rPr>
              <w:t>for</w:t>
            </w:r>
            <w:r>
              <w:rPr>
                <w:spacing w:val="-3"/>
                <w:sz w:val="18"/>
              </w:rPr>
              <w:t xml:space="preserve"> </w:t>
            </w:r>
            <w:r>
              <w:rPr>
                <w:sz w:val="18"/>
              </w:rPr>
              <w:t>Vehicle</w:t>
            </w:r>
            <w:r>
              <w:rPr>
                <w:spacing w:val="-5"/>
                <w:sz w:val="18"/>
              </w:rPr>
              <w:t xml:space="preserve"> </w:t>
            </w:r>
            <w:r>
              <w:rPr>
                <w:sz w:val="18"/>
              </w:rPr>
              <w:t>Registered</w:t>
            </w:r>
            <w:r>
              <w:rPr>
                <w:spacing w:val="-2"/>
                <w:sz w:val="18"/>
              </w:rPr>
              <w:t xml:space="preserve"> </w:t>
            </w:r>
            <w:r>
              <w:rPr>
                <w:sz w:val="18"/>
              </w:rPr>
              <w:t>before</w:t>
            </w:r>
            <w:r>
              <w:rPr>
                <w:spacing w:val="-3"/>
                <w:sz w:val="18"/>
              </w:rPr>
              <w:t xml:space="preserve"> </w:t>
            </w:r>
            <w:r>
              <w:rPr>
                <w:spacing w:val="-4"/>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03687349" w14:textId="77777777" w:rsidR="00BC24A8" w:rsidRDefault="00000000">
            <w:pPr>
              <w:pStyle w:val="TableParagraph"/>
              <w:spacing w:before="1"/>
              <w:ind w:left="106"/>
              <w:rPr>
                <w:sz w:val="18"/>
              </w:rPr>
            </w:pPr>
            <w:r>
              <w:rPr>
                <w:spacing w:val="-2"/>
                <w:sz w:val="18"/>
              </w:rPr>
              <w:t>Kaltara</w:t>
            </w:r>
          </w:p>
        </w:tc>
      </w:tr>
      <w:tr w:rsidR="00BC24A8" w14:paraId="2BBAA144" w14:textId="77777777">
        <w:trPr>
          <w:trHeight w:val="659"/>
        </w:trPr>
        <w:tc>
          <w:tcPr>
            <w:tcW w:w="490" w:type="dxa"/>
            <w:tcBorders>
              <w:top w:val="single" w:sz="4" w:space="0" w:color="A6A6A6"/>
              <w:left w:val="single" w:sz="4" w:space="0" w:color="A6A6A6"/>
              <w:bottom w:val="single" w:sz="4" w:space="0" w:color="A6A6A6"/>
              <w:right w:val="single" w:sz="4" w:space="0" w:color="A6A6A6"/>
            </w:tcBorders>
          </w:tcPr>
          <w:p w14:paraId="0B2C9297" w14:textId="77777777" w:rsidR="00BC24A8" w:rsidRDefault="00000000">
            <w:pPr>
              <w:pStyle w:val="TableParagraph"/>
              <w:spacing w:before="1"/>
              <w:ind w:left="92" w:right="171"/>
              <w:jc w:val="center"/>
              <w:rPr>
                <w:sz w:val="18"/>
              </w:rPr>
            </w:pPr>
            <w:r>
              <w:rPr>
                <w:spacing w:val="-5"/>
                <w:sz w:val="18"/>
              </w:rPr>
              <w:t>90</w:t>
            </w:r>
          </w:p>
        </w:tc>
        <w:tc>
          <w:tcPr>
            <w:tcW w:w="7760" w:type="dxa"/>
            <w:tcBorders>
              <w:top w:val="single" w:sz="4" w:space="0" w:color="A6A6A6"/>
              <w:left w:val="single" w:sz="4" w:space="0" w:color="A6A6A6"/>
              <w:bottom w:val="single" w:sz="4" w:space="0" w:color="A6A6A6"/>
              <w:right w:val="single" w:sz="4" w:space="0" w:color="A6A6A6"/>
            </w:tcBorders>
          </w:tcPr>
          <w:p w14:paraId="48005916" w14:textId="77777777" w:rsidR="00BC24A8" w:rsidRDefault="00000000">
            <w:pPr>
              <w:pStyle w:val="TableParagraph"/>
              <w:spacing w:before="1" w:line="219" w:lineRule="exact"/>
              <w:ind w:left="107"/>
              <w:rPr>
                <w:sz w:val="18"/>
              </w:rPr>
            </w:pPr>
            <w:r>
              <w:rPr>
                <w:sz w:val="18"/>
              </w:rPr>
              <w:t>Joint</w:t>
            </w:r>
            <w:r>
              <w:rPr>
                <w:spacing w:val="-3"/>
                <w:sz w:val="18"/>
              </w:rPr>
              <w:t xml:space="preserve"> </w:t>
            </w:r>
            <w:r>
              <w:rPr>
                <w:sz w:val="18"/>
              </w:rPr>
              <w:t>Decree</w:t>
            </w:r>
            <w:r>
              <w:rPr>
                <w:spacing w:val="-2"/>
                <w:sz w:val="18"/>
              </w:rPr>
              <w:t xml:space="preserve"> </w:t>
            </w:r>
            <w:r>
              <w:rPr>
                <w:sz w:val="18"/>
              </w:rPr>
              <w:t>(Directorate</w:t>
            </w:r>
            <w:r>
              <w:rPr>
                <w:spacing w:val="-2"/>
                <w:sz w:val="18"/>
              </w:rPr>
              <w:t xml:space="preserve"> </w:t>
            </w:r>
            <w:r>
              <w:rPr>
                <w:sz w:val="18"/>
              </w:rPr>
              <w:t>of</w:t>
            </w:r>
            <w:r>
              <w:rPr>
                <w:spacing w:val="-3"/>
                <w:sz w:val="18"/>
              </w:rPr>
              <w:t xml:space="preserve"> </w:t>
            </w:r>
            <w:r>
              <w:rPr>
                <w:sz w:val="18"/>
              </w:rPr>
              <w:t>Traffic</w:t>
            </w:r>
            <w:r>
              <w:rPr>
                <w:spacing w:val="-2"/>
                <w:sz w:val="18"/>
              </w:rPr>
              <w:t xml:space="preserve"> </w:t>
            </w:r>
            <w:r>
              <w:rPr>
                <w:sz w:val="18"/>
              </w:rPr>
              <w:t>Police</w:t>
            </w:r>
            <w:r>
              <w:rPr>
                <w:spacing w:val="-2"/>
                <w:sz w:val="18"/>
              </w:rPr>
              <w:t xml:space="preserve"> </w:t>
            </w:r>
            <w:r>
              <w:rPr>
                <w:sz w:val="18"/>
              </w:rPr>
              <w:t>of</w:t>
            </w:r>
            <w:r>
              <w:rPr>
                <w:spacing w:val="-3"/>
                <w:sz w:val="18"/>
              </w:rPr>
              <w:t xml:space="preserve"> </w:t>
            </w:r>
            <w:r>
              <w:rPr>
                <w:sz w:val="18"/>
              </w:rPr>
              <w:t>Kaltara</w:t>
            </w:r>
            <w:r>
              <w:rPr>
                <w:spacing w:val="-3"/>
                <w:sz w:val="18"/>
              </w:rPr>
              <w:t xml:space="preserve"> </w:t>
            </w:r>
            <w:r>
              <w:rPr>
                <w:sz w:val="18"/>
              </w:rPr>
              <w:t>and</w:t>
            </w:r>
            <w:r>
              <w:rPr>
                <w:spacing w:val="-2"/>
                <w:sz w:val="18"/>
              </w:rPr>
              <w:t xml:space="preserve"> </w:t>
            </w:r>
            <w:r>
              <w:rPr>
                <w:sz w:val="18"/>
              </w:rPr>
              <w:t>PTJasa</w:t>
            </w:r>
            <w:r>
              <w:rPr>
                <w:spacing w:val="-3"/>
                <w:sz w:val="18"/>
              </w:rPr>
              <w:t xml:space="preserve"> </w:t>
            </w:r>
            <w:r>
              <w:rPr>
                <w:sz w:val="18"/>
              </w:rPr>
              <w:t>Raharja,</w:t>
            </w:r>
            <w:r>
              <w:rPr>
                <w:spacing w:val="-3"/>
                <w:sz w:val="18"/>
              </w:rPr>
              <w:t xml:space="preserve"> </w:t>
            </w:r>
            <w:r>
              <w:rPr>
                <w:sz w:val="18"/>
              </w:rPr>
              <w:t>Kaltara</w:t>
            </w:r>
            <w:r>
              <w:rPr>
                <w:spacing w:val="-3"/>
                <w:sz w:val="18"/>
              </w:rPr>
              <w:t xml:space="preserve"> </w:t>
            </w:r>
            <w:r>
              <w:rPr>
                <w:sz w:val="18"/>
              </w:rPr>
              <w:t>Region)</w:t>
            </w:r>
            <w:r>
              <w:rPr>
                <w:spacing w:val="-3"/>
                <w:sz w:val="18"/>
              </w:rPr>
              <w:t xml:space="preserve"> </w:t>
            </w:r>
            <w:r>
              <w:rPr>
                <w:sz w:val="18"/>
              </w:rPr>
              <w:t>No.</w:t>
            </w:r>
            <w:r>
              <w:rPr>
                <w:spacing w:val="-2"/>
                <w:sz w:val="18"/>
              </w:rPr>
              <w:t xml:space="preserve"> </w:t>
            </w:r>
            <w:r>
              <w:rPr>
                <w:spacing w:val="-4"/>
                <w:sz w:val="18"/>
              </w:rPr>
              <w:t>970/</w:t>
            </w:r>
          </w:p>
          <w:p w14:paraId="50667D9A" w14:textId="77777777" w:rsidR="00BC24A8" w:rsidRDefault="00000000">
            <w:pPr>
              <w:pStyle w:val="TableParagraph"/>
              <w:spacing w:line="219" w:lineRule="exact"/>
              <w:ind w:left="107"/>
              <w:rPr>
                <w:sz w:val="18"/>
              </w:rPr>
            </w:pPr>
            <w:r>
              <w:rPr>
                <w:sz w:val="18"/>
              </w:rPr>
              <w:t>/SK/BAPENDA-IV/IX/2024</w:t>
            </w:r>
            <w:r>
              <w:rPr>
                <w:spacing w:val="-3"/>
                <w:sz w:val="18"/>
              </w:rPr>
              <w:t xml:space="preserve"> </w:t>
            </w:r>
            <w:r>
              <w:rPr>
                <w:sz w:val="18"/>
              </w:rPr>
              <w:t>on</w:t>
            </w:r>
            <w:r>
              <w:rPr>
                <w:spacing w:val="-3"/>
                <w:sz w:val="18"/>
              </w:rPr>
              <w:t xml:space="preserve"> </w:t>
            </w:r>
            <w:r>
              <w:rPr>
                <w:sz w:val="18"/>
              </w:rPr>
              <w:t>the</w:t>
            </w:r>
            <w:r>
              <w:rPr>
                <w:spacing w:val="-2"/>
                <w:sz w:val="18"/>
              </w:rPr>
              <w:t xml:space="preserve"> </w:t>
            </w:r>
            <w:r>
              <w:rPr>
                <w:sz w:val="18"/>
              </w:rPr>
              <w:t>Establishment</w:t>
            </w:r>
            <w:r>
              <w:rPr>
                <w:spacing w:val="-2"/>
                <w:sz w:val="18"/>
              </w:rPr>
              <w:t xml:space="preserve"> </w:t>
            </w:r>
            <w:r>
              <w:rPr>
                <w:sz w:val="18"/>
              </w:rPr>
              <w:t>of</w:t>
            </w:r>
            <w:r>
              <w:rPr>
                <w:spacing w:val="-3"/>
                <w:sz w:val="18"/>
              </w:rPr>
              <w:t xml:space="preserve"> </w:t>
            </w:r>
            <w:r>
              <w:rPr>
                <w:sz w:val="18"/>
              </w:rPr>
              <w:t>Public</w:t>
            </w:r>
            <w:r>
              <w:rPr>
                <w:spacing w:val="-3"/>
                <w:sz w:val="18"/>
              </w:rPr>
              <w:t xml:space="preserve"> </w:t>
            </w:r>
            <w:r>
              <w:rPr>
                <w:sz w:val="18"/>
              </w:rPr>
              <w:t>Service</w:t>
            </w:r>
            <w:r>
              <w:rPr>
                <w:spacing w:val="-2"/>
                <w:sz w:val="18"/>
              </w:rPr>
              <w:t xml:space="preserve"> </w:t>
            </w:r>
            <w:r>
              <w:rPr>
                <w:sz w:val="18"/>
              </w:rPr>
              <w:t>Standards</w:t>
            </w:r>
            <w:r>
              <w:rPr>
                <w:spacing w:val="-3"/>
                <w:sz w:val="18"/>
              </w:rPr>
              <w:t xml:space="preserve"> </w:t>
            </w:r>
            <w:r>
              <w:rPr>
                <w:sz w:val="18"/>
              </w:rPr>
              <w:t>at</w:t>
            </w:r>
            <w:r>
              <w:rPr>
                <w:spacing w:val="-1"/>
                <w:sz w:val="18"/>
              </w:rPr>
              <w:t xml:space="preserve"> </w:t>
            </w:r>
            <w:r>
              <w:rPr>
                <w:sz w:val="18"/>
              </w:rPr>
              <w:t>the</w:t>
            </w:r>
            <w:r>
              <w:rPr>
                <w:spacing w:val="-3"/>
                <w:sz w:val="18"/>
              </w:rPr>
              <w:t xml:space="preserve"> </w:t>
            </w:r>
            <w:r>
              <w:rPr>
                <w:sz w:val="18"/>
              </w:rPr>
              <w:t>Joint</w:t>
            </w:r>
            <w:r>
              <w:rPr>
                <w:spacing w:val="-1"/>
                <w:sz w:val="18"/>
              </w:rPr>
              <w:t xml:space="preserve"> </w:t>
            </w:r>
            <w:r>
              <w:rPr>
                <w:sz w:val="18"/>
              </w:rPr>
              <w:t>Samsat</w:t>
            </w:r>
            <w:r>
              <w:rPr>
                <w:spacing w:val="-2"/>
                <w:sz w:val="18"/>
              </w:rPr>
              <w:t xml:space="preserve"> </w:t>
            </w:r>
            <w:r>
              <w:rPr>
                <w:sz w:val="18"/>
              </w:rPr>
              <w:t>Office</w:t>
            </w:r>
            <w:r>
              <w:rPr>
                <w:spacing w:val="-2"/>
                <w:sz w:val="18"/>
              </w:rPr>
              <w:t xml:space="preserve"> </w:t>
            </w:r>
            <w:r>
              <w:rPr>
                <w:spacing w:val="-5"/>
                <w:sz w:val="18"/>
              </w:rPr>
              <w:t>of</w:t>
            </w:r>
          </w:p>
          <w:p w14:paraId="06ED6A45" w14:textId="77777777" w:rsidR="00BC24A8" w:rsidRDefault="00000000">
            <w:pPr>
              <w:pStyle w:val="TableParagraph"/>
              <w:spacing w:before="1" w:line="199" w:lineRule="exact"/>
              <w:ind w:left="107"/>
              <w:rPr>
                <w:sz w:val="18"/>
              </w:rPr>
            </w:pPr>
            <w:r>
              <w:rPr>
                <w:sz w:val="18"/>
              </w:rPr>
              <w:t>North</w:t>
            </w:r>
            <w:r>
              <w:rPr>
                <w:spacing w:val="-3"/>
                <w:sz w:val="18"/>
              </w:rPr>
              <w:t xml:space="preserve"> </w:t>
            </w:r>
            <w:r>
              <w:rPr>
                <w:spacing w:val="-2"/>
                <w:sz w:val="18"/>
              </w:rPr>
              <w:t>Kalimantan.</w:t>
            </w:r>
          </w:p>
        </w:tc>
        <w:tc>
          <w:tcPr>
            <w:tcW w:w="1275" w:type="dxa"/>
            <w:tcBorders>
              <w:top w:val="single" w:sz="4" w:space="0" w:color="A6A6A6"/>
              <w:left w:val="single" w:sz="4" w:space="0" w:color="A6A6A6"/>
              <w:bottom w:val="single" w:sz="4" w:space="0" w:color="A6A6A6"/>
              <w:right w:val="single" w:sz="4" w:space="0" w:color="A6A6A6"/>
            </w:tcBorders>
          </w:tcPr>
          <w:p w14:paraId="5D128D11" w14:textId="77777777" w:rsidR="00BC24A8" w:rsidRDefault="00000000">
            <w:pPr>
              <w:pStyle w:val="TableParagraph"/>
              <w:spacing w:before="1"/>
              <w:ind w:left="106"/>
              <w:rPr>
                <w:sz w:val="18"/>
              </w:rPr>
            </w:pPr>
            <w:r>
              <w:rPr>
                <w:spacing w:val="-2"/>
                <w:sz w:val="18"/>
              </w:rPr>
              <w:t>Kaltara</w:t>
            </w:r>
          </w:p>
        </w:tc>
      </w:tr>
      <w:tr w:rsidR="00BC24A8" w14:paraId="7A9BF2E6" w14:textId="77777777">
        <w:trPr>
          <w:trHeight w:val="455"/>
        </w:trPr>
        <w:tc>
          <w:tcPr>
            <w:tcW w:w="490" w:type="dxa"/>
            <w:tcBorders>
              <w:top w:val="single" w:sz="4" w:space="0" w:color="A6A6A6"/>
              <w:left w:val="single" w:sz="4" w:space="0" w:color="A6A6A6"/>
              <w:bottom w:val="single" w:sz="4" w:space="0" w:color="A6A6A6"/>
              <w:right w:val="single" w:sz="4" w:space="0" w:color="A6A6A6"/>
            </w:tcBorders>
          </w:tcPr>
          <w:p w14:paraId="31C96A3F" w14:textId="77777777" w:rsidR="00BC24A8" w:rsidRDefault="00000000">
            <w:pPr>
              <w:pStyle w:val="TableParagraph"/>
              <w:spacing w:before="1"/>
              <w:ind w:left="92" w:right="171"/>
              <w:jc w:val="center"/>
              <w:rPr>
                <w:sz w:val="18"/>
              </w:rPr>
            </w:pPr>
            <w:r>
              <w:rPr>
                <w:spacing w:val="-5"/>
                <w:sz w:val="18"/>
              </w:rPr>
              <w:t>91</w:t>
            </w:r>
          </w:p>
        </w:tc>
        <w:tc>
          <w:tcPr>
            <w:tcW w:w="7760" w:type="dxa"/>
            <w:tcBorders>
              <w:top w:val="single" w:sz="4" w:space="0" w:color="A6A6A6"/>
              <w:left w:val="single" w:sz="4" w:space="0" w:color="A6A6A6"/>
              <w:bottom w:val="single" w:sz="4" w:space="0" w:color="A6A6A6"/>
              <w:right w:val="single" w:sz="4" w:space="0" w:color="A6A6A6"/>
            </w:tcBorders>
          </w:tcPr>
          <w:p w14:paraId="16FDC3BD" w14:textId="77777777" w:rsidR="00BC24A8" w:rsidRDefault="00000000">
            <w:pPr>
              <w:pStyle w:val="TableParagraph"/>
              <w:spacing w:before="1" w:line="219" w:lineRule="exact"/>
              <w:ind w:left="107"/>
              <w:rPr>
                <w:sz w:val="18"/>
              </w:rPr>
            </w:pPr>
            <w:r>
              <w:rPr>
                <w:sz w:val="18"/>
              </w:rPr>
              <w:t>Provincial</w:t>
            </w:r>
            <w:r>
              <w:rPr>
                <w:spacing w:val="-5"/>
                <w:sz w:val="18"/>
              </w:rPr>
              <w:t xml:space="preserve"> </w:t>
            </w:r>
            <w:r>
              <w:rPr>
                <w:sz w:val="18"/>
              </w:rPr>
              <w:t>Revenue</w:t>
            </w:r>
            <w:r>
              <w:rPr>
                <w:spacing w:val="-4"/>
                <w:sz w:val="18"/>
              </w:rPr>
              <w:t xml:space="preserve"> </w:t>
            </w:r>
            <w:r>
              <w:rPr>
                <w:sz w:val="18"/>
              </w:rPr>
              <w:t>Agency</w:t>
            </w:r>
            <w:r>
              <w:rPr>
                <w:spacing w:val="-4"/>
                <w:sz w:val="18"/>
              </w:rPr>
              <w:t xml:space="preserve"> </w:t>
            </w:r>
            <w:r>
              <w:rPr>
                <w:sz w:val="18"/>
              </w:rPr>
              <w:t>Head</w:t>
            </w:r>
            <w:r>
              <w:rPr>
                <w:spacing w:val="-3"/>
                <w:sz w:val="18"/>
              </w:rPr>
              <w:t xml:space="preserve"> </w:t>
            </w:r>
            <w:r>
              <w:rPr>
                <w:sz w:val="18"/>
              </w:rPr>
              <w:t>(Bapenda)</w:t>
            </w:r>
            <w:r>
              <w:rPr>
                <w:spacing w:val="-5"/>
                <w:sz w:val="18"/>
              </w:rPr>
              <w:t xml:space="preserve"> </w:t>
            </w:r>
            <w:r>
              <w:rPr>
                <w:sz w:val="18"/>
              </w:rPr>
              <w:t>Decree</w:t>
            </w:r>
            <w:r>
              <w:rPr>
                <w:spacing w:val="-4"/>
                <w:sz w:val="18"/>
              </w:rPr>
              <w:t xml:space="preserve"> </w:t>
            </w:r>
            <w:r>
              <w:rPr>
                <w:sz w:val="18"/>
              </w:rPr>
              <w:t>No.</w:t>
            </w:r>
            <w:r>
              <w:rPr>
                <w:spacing w:val="-4"/>
                <w:sz w:val="18"/>
              </w:rPr>
              <w:t xml:space="preserve"> </w:t>
            </w:r>
            <w:r>
              <w:rPr>
                <w:sz w:val="18"/>
              </w:rPr>
              <w:t>900.1.13.1/021/SK/BAPENDA-II</w:t>
            </w:r>
            <w:r>
              <w:rPr>
                <w:spacing w:val="-5"/>
                <w:sz w:val="18"/>
              </w:rPr>
              <w:t xml:space="preserve"> </w:t>
            </w:r>
            <w:r>
              <w:rPr>
                <w:sz w:val="18"/>
              </w:rPr>
              <w:t>on</w:t>
            </w:r>
            <w:r>
              <w:rPr>
                <w:spacing w:val="-3"/>
                <w:sz w:val="18"/>
              </w:rPr>
              <w:t xml:space="preserve"> </w:t>
            </w:r>
            <w:r>
              <w:rPr>
                <w:spacing w:val="-2"/>
                <w:sz w:val="18"/>
              </w:rPr>
              <w:t>Technical</w:t>
            </w:r>
          </w:p>
          <w:p w14:paraId="204ADCC3" w14:textId="77777777" w:rsidR="00BC24A8" w:rsidRDefault="00000000">
            <w:pPr>
              <w:pStyle w:val="TableParagraph"/>
              <w:spacing w:line="215" w:lineRule="exact"/>
              <w:ind w:left="107"/>
              <w:rPr>
                <w:sz w:val="18"/>
              </w:rPr>
            </w:pPr>
            <w:r>
              <w:rPr>
                <w:sz w:val="18"/>
              </w:rPr>
              <w:t>Guidelines</w:t>
            </w:r>
            <w:r>
              <w:rPr>
                <w:spacing w:val="-2"/>
                <w:sz w:val="18"/>
              </w:rPr>
              <w:t xml:space="preserve"> </w:t>
            </w:r>
            <w:r>
              <w:rPr>
                <w:sz w:val="18"/>
              </w:rPr>
              <w:t>(SOP)</w:t>
            </w:r>
            <w:r>
              <w:rPr>
                <w:spacing w:val="-3"/>
                <w:sz w:val="18"/>
              </w:rPr>
              <w:t xml:space="preserve"> </w:t>
            </w:r>
            <w:r>
              <w:rPr>
                <w:sz w:val="18"/>
              </w:rPr>
              <w:t>for</w:t>
            </w:r>
            <w:r>
              <w:rPr>
                <w:spacing w:val="-2"/>
                <w:sz w:val="18"/>
              </w:rPr>
              <w:t xml:space="preserve"> </w:t>
            </w:r>
            <w:r>
              <w:rPr>
                <w:sz w:val="18"/>
              </w:rPr>
              <w:t>Heavy</w:t>
            </w:r>
            <w:r>
              <w:rPr>
                <w:spacing w:val="-2"/>
                <w:sz w:val="18"/>
              </w:rPr>
              <w:t xml:space="preserve"> </w:t>
            </w:r>
            <w:r>
              <w:rPr>
                <w:sz w:val="18"/>
              </w:rPr>
              <w:t>Equipment</w:t>
            </w:r>
            <w:r>
              <w:rPr>
                <w:spacing w:val="-1"/>
                <w:sz w:val="18"/>
              </w:rPr>
              <w:t xml:space="preserve"> </w:t>
            </w:r>
            <w:r>
              <w:rPr>
                <w:sz w:val="18"/>
              </w:rPr>
              <w:t>Tax</w:t>
            </w:r>
            <w:r>
              <w:rPr>
                <w:spacing w:val="-3"/>
                <w:sz w:val="18"/>
              </w:rPr>
              <w:t xml:space="preserve"> </w:t>
            </w:r>
            <w:r>
              <w:rPr>
                <w:sz w:val="18"/>
              </w:rPr>
              <w:t>Collection</w:t>
            </w:r>
            <w:r>
              <w:rPr>
                <w:spacing w:val="-1"/>
                <w:sz w:val="18"/>
              </w:rPr>
              <w:t xml:space="preserve"> </w:t>
            </w:r>
            <w:r>
              <w:rPr>
                <w:spacing w:val="-4"/>
                <w:sz w:val="18"/>
              </w:rPr>
              <w:t>(AB)</w:t>
            </w:r>
          </w:p>
        </w:tc>
        <w:tc>
          <w:tcPr>
            <w:tcW w:w="1275" w:type="dxa"/>
            <w:tcBorders>
              <w:top w:val="single" w:sz="4" w:space="0" w:color="A6A6A6"/>
              <w:left w:val="single" w:sz="4" w:space="0" w:color="A6A6A6"/>
              <w:bottom w:val="single" w:sz="4" w:space="0" w:color="A6A6A6"/>
              <w:right w:val="single" w:sz="4" w:space="0" w:color="A6A6A6"/>
            </w:tcBorders>
          </w:tcPr>
          <w:p w14:paraId="7303FA08" w14:textId="77777777" w:rsidR="00BC24A8" w:rsidRDefault="00000000">
            <w:pPr>
              <w:pStyle w:val="TableParagraph"/>
              <w:spacing w:before="1"/>
              <w:ind w:left="106"/>
              <w:rPr>
                <w:sz w:val="18"/>
              </w:rPr>
            </w:pPr>
            <w:r>
              <w:rPr>
                <w:spacing w:val="-2"/>
                <w:sz w:val="18"/>
              </w:rPr>
              <w:t>Kaltara</w:t>
            </w:r>
          </w:p>
        </w:tc>
      </w:tr>
    </w:tbl>
    <w:p w14:paraId="4BC25445" w14:textId="77777777" w:rsidR="00BC24A8" w:rsidRDefault="00BC24A8">
      <w:pPr>
        <w:pStyle w:val="TableParagraph"/>
        <w:rPr>
          <w:sz w:val="18"/>
        </w:rPr>
        <w:sectPr w:rsidR="00BC24A8">
          <w:type w:val="continuous"/>
          <w:pgSz w:w="11910" w:h="16840"/>
          <w:pgMar w:top="1380" w:right="850" w:bottom="1916" w:left="1275" w:header="0" w:footer="907"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7760"/>
        <w:gridCol w:w="1275"/>
      </w:tblGrid>
      <w:tr w:rsidR="00BC24A8" w14:paraId="52D5CD9B" w14:textId="77777777">
        <w:trPr>
          <w:trHeight w:val="407"/>
        </w:trPr>
        <w:tc>
          <w:tcPr>
            <w:tcW w:w="490" w:type="dxa"/>
            <w:tcBorders>
              <w:bottom w:val="single" w:sz="4" w:space="0" w:color="A6A6A6"/>
              <w:right w:val="single" w:sz="18" w:space="0" w:color="F1F1F1"/>
            </w:tcBorders>
            <w:shd w:val="clear" w:color="auto" w:fill="17365A"/>
          </w:tcPr>
          <w:p w14:paraId="7927B880" w14:textId="77777777" w:rsidR="00BC24A8" w:rsidRDefault="00000000">
            <w:pPr>
              <w:pStyle w:val="TableParagraph"/>
              <w:spacing w:before="83"/>
              <w:ind w:left="26"/>
              <w:jc w:val="center"/>
              <w:rPr>
                <w:rFonts w:ascii="Calibri"/>
                <w:b/>
                <w:sz w:val="20"/>
              </w:rPr>
            </w:pPr>
            <w:r>
              <w:rPr>
                <w:rFonts w:ascii="Calibri"/>
                <w:b/>
                <w:color w:val="FFFFFF"/>
                <w:spacing w:val="-5"/>
                <w:sz w:val="20"/>
              </w:rPr>
              <w:lastRenderedPageBreak/>
              <w:t>No</w:t>
            </w:r>
          </w:p>
        </w:tc>
        <w:tc>
          <w:tcPr>
            <w:tcW w:w="7760" w:type="dxa"/>
            <w:tcBorders>
              <w:left w:val="single" w:sz="18" w:space="0" w:color="F1F1F1"/>
              <w:bottom w:val="single" w:sz="4" w:space="0" w:color="A6A6A6"/>
              <w:right w:val="single" w:sz="18" w:space="0" w:color="F1F1F1"/>
            </w:tcBorders>
            <w:shd w:val="clear" w:color="auto" w:fill="17365A"/>
          </w:tcPr>
          <w:p w14:paraId="03DDF3C0" w14:textId="77777777" w:rsidR="00BC24A8" w:rsidRDefault="00000000">
            <w:pPr>
              <w:pStyle w:val="TableParagraph"/>
              <w:spacing w:before="83"/>
              <w:ind w:left="5"/>
              <w:jc w:val="center"/>
              <w:rPr>
                <w:rFonts w:ascii="Calibri"/>
                <w:b/>
                <w:sz w:val="20"/>
              </w:rPr>
            </w:pPr>
            <w:r>
              <w:rPr>
                <w:rFonts w:ascii="Calibri"/>
                <w:b/>
                <w:color w:val="FFFFFF"/>
                <w:sz w:val="20"/>
              </w:rPr>
              <w:t>Document</w:t>
            </w:r>
            <w:r>
              <w:rPr>
                <w:rFonts w:ascii="Calibri"/>
                <w:b/>
                <w:color w:val="FFFFFF"/>
                <w:spacing w:val="-7"/>
                <w:sz w:val="20"/>
              </w:rPr>
              <w:t xml:space="preserve"> </w:t>
            </w:r>
            <w:r>
              <w:rPr>
                <w:rFonts w:ascii="Calibri"/>
                <w:b/>
                <w:color w:val="FFFFFF"/>
                <w:spacing w:val="-2"/>
                <w:sz w:val="20"/>
              </w:rPr>
              <w:t>Title</w:t>
            </w:r>
          </w:p>
        </w:tc>
        <w:tc>
          <w:tcPr>
            <w:tcW w:w="1275" w:type="dxa"/>
            <w:tcBorders>
              <w:left w:val="single" w:sz="18" w:space="0" w:color="F1F1F1"/>
              <w:bottom w:val="single" w:sz="4" w:space="0" w:color="A6A6A6"/>
            </w:tcBorders>
            <w:shd w:val="clear" w:color="auto" w:fill="17365A"/>
          </w:tcPr>
          <w:p w14:paraId="74DCB9EE" w14:textId="77777777" w:rsidR="00BC24A8" w:rsidRDefault="00000000">
            <w:pPr>
              <w:pStyle w:val="TableParagraph"/>
              <w:spacing w:before="83"/>
              <w:ind w:right="8"/>
              <w:jc w:val="center"/>
              <w:rPr>
                <w:rFonts w:ascii="Calibri"/>
                <w:b/>
                <w:sz w:val="20"/>
              </w:rPr>
            </w:pPr>
            <w:r>
              <w:rPr>
                <w:rFonts w:ascii="Calibri"/>
                <w:b/>
                <w:color w:val="FFFFFF"/>
                <w:spacing w:val="-4"/>
                <w:sz w:val="20"/>
              </w:rPr>
              <w:t>Area</w:t>
            </w:r>
          </w:p>
        </w:tc>
      </w:tr>
      <w:tr w:rsidR="00BC24A8" w14:paraId="0EB26375"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6F3D8DBF" w14:textId="77777777" w:rsidR="00BC24A8" w:rsidRDefault="00000000">
            <w:pPr>
              <w:pStyle w:val="TableParagraph"/>
              <w:spacing w:line="219" w:lineRule="exact"/>
              <w:ind w:left="92" w:right="171"/>
              <w:jc w:val="center"/>
              <w:rPr>
                <w:sz w:val="18"/>
              </w:rPr>
            </w:pPr>
            <w:r>
              <w:rPr>
                <w:spacing w:val="-5"/>
                <w:sz w:val="18"/>
              </w:rPr>
              <w:t>92</w:t>
            </w:r>
          </w:p>
        </w:tc>
        <w:tc>
          <w:tcPr>
            <w:tcW w:w="7760" w:type="dxa"/>
            <w:tcBorders>
              <w:top w:val="single" w:sz="4" w:space="0" w:color="A6A6A6"/>
              <w:left w:val="single" w:sz="4" w:space="0" w:color="A6A6A6"/>
              <w:bottom w:val="single" w:sz="4" w:space="0" w:color="A6A6A6"/>
              <w:right w:val="single" w:sz="4" w:space="0" w:color="A6A6A6"/>
            </w:tcBorders>
          </w:tcPr>
          <w:p w14:paraId="2773BB72" w14:textId="77777777" w:rsidR="00BC24A8" w:rsidRDefault="00000000">
            <w:pPr>
              <w:pStyle w:val="TableParagraph"/>
              <w:spacing w:line="219" w:lineRule="exact"/>
              <w:ind w:left="107"/>
              <w:rPr>
                <w:sz w:val="18"/>
              </w:rPr>
            </w:pPr>
            <w:r>
              <w:rPr>
                <w:sz w:val="18"/>
              </w:rPr>
              <w:t>Provincial</w:t>
            </w:r>
            <w:r>
              <w:rPr>
                <w:spacing w:val="-5"/>
                <w:sz w:val="18"/>
              </w:rPr>
              <w:t xml:space="preserve"> </w:t>
            </w:r>
            <w:r>
              <w:rPr>
                <w:sz w:val="18"/>
              </w:rPr>
              <w:t>Revenue</w:t>
            </w:r>
            <w:r>
              <w:rPr>
                <w:spacing w:val="-4"/>
                <w:sz w:val="18"/>
              </w:rPr>
              <w:t xml:space="preserve"> </w:t>
            </w:r>
            <w:r>
              <w:rPr>
                <w:sz w:val="18"/>
              </w:rPr>
              <w:t>Agency</w:t>
            </w:r>
            <w:r>
              <w:rPr>
                <w:spacing w:val="-4"/>
                <w:sz w:val="18"/>
              </w:rPr>
              <w:t xml:space="preserve"> </w:t>
            </w:r>
            <w:r>
              <w:rPr>
                <w:sz w:val="18"/>
              </w:rPr>
              <w:t>Head</w:t>
            </w:r>
            <w:r>
              <w:rPr>
                <w:spacing w:val="-3"/>
                <w:sz w:val="18"/>
              </w:rPr>
              <w:t xml:space="preserve"> </w:t>
            </w:r>
            <w:r>
              <w:rPr>
                <w:sz w:val="18"/>
              </w:rPr>
              <w:t>(Bapenda)</w:t>
            </w:r>
            <w:r>
              <w:rPr>
                <w:spacing w:val="-5"/>
                <w:sz w:val="18"/>
              </w:rPr>
              <w:t xml:space="preserve"> </w:t>
            </w:r>
            <w:r>
              <w:rPr>
                <w:sz w:val="18"/>
              </w:rPr>
              <w:t>Decree</w:t>
            </w:r>
            <w:r>
              <w:rPr>
                <w:spacing w:val="-4"/>
                <w:sz w:val="18"/>
              </w:rPr>
              <w:t xml:space="preserve"> </w:t>
            </w:r>
            <w:r>
              <w:rPr>
                <w:sz w:val="18"/>
              </w:rPr>
              <w:t>No.</w:t>
            </w:r>
            <w:r>
              <w:rPr>
                <w:spacing w:val="-4"/>
                <w:sz w:val="18"/>
              </w:rPr>
              <w:t xml:space="preserve"> </w:t>
            </w:r>
            <w:r>
              <w:rPr>
                <w:sz w:val="18"/>
              </w:rPr>
              <w:t>900.1.13.1/030/SK/BAPENDA-II</w:t>
            </w:r>
            <w:r>
              <w:rPr>
                <w:spacing w:val="-5"/>
                <w:sz w:val="18"/>
              </w:rPr>
              <w:t xml:space="preserve"> </w:t>
            </w:r>
            <w:r>
              <w:rPr>
                <w:sz w:val="18"/>
              </w:rPr>
              <w:t>on</w:t>
            </w:r>
            <w:r>
              <w:rPr>
                <w:spacing w:val="-3"/>
                <w:sz w:val="18"/>
              </w:rPr>
              <w:t xml:space="preserve"> </w:t>
            </w:r>
            <w:r>
              <w:rPr>
                <w:spacing w:val="-2"/>
                <w:sz w:val="18"/>
              </w:rPr>
              <w:t>Technical</w:t>
            </w:r>
          </w:p>
          <w:p w14:paraId="1DEABCFD" w14:textId="77777777" w:rsidR="00BC24A8" w:rsidRDefault="00000000">
            <w:pPr>
              <w:pStyle w:val="TableParagraph"/>
              <w:spacing w:before="1" w:line="199" w:lineRule="exact"/>
              <w:ind w:left="107"/>
              <w:rPr>
                <w:sz w:val="18"/>
              </w:rPr>
            </w:pPr>
            <w:r>
              <w:rPr>
                <w:sz w:val="18"/>
              </w:rPr>
              <w:t>Guidelines</w:t>
            </w:r>
            <w:r>
              <w:rPr>
                <w:spacing w:val="-5"/>
                <w:sz w:val="18"/>
              </w:rPr>
              <w:t xml:space="preserve"> </w:t>
            </w:r>
            <w:r>
              <w:rPr>
                <w:sz w:val="18"/>
              </w:rPr>
              <w:t>(SOP)</w:t>
            </w:r>
            <w:r>
              <w:rPr>
                <w:spacing w:val="-3"/>
                <w:sz w:val="18"/>
              </w:rPr>
              <w:t xml:space="preserve"> </w:t>
            </w:r>
            <w:r>
              <w:rPr>
                <w:sz w:val="18"/>
              </w:rPr>
              <w:t>for</w:t>
            </w:r>
            <w:r>
              <w:rPr>
                <w:spacing w:val="-2"/>
                <w:sz w:val="18"/>
              </w:rPr>
              <w:t xml:space="preserve"> </w:t>
            </w:r>
            <w:r>
              <w:rPr>
                <w:sz w:val="18"/>
              </w:rPr>
              <w:t>Surface</w:t>
            </w:r>
            <w:r>
              <w:rPr>
                <w:spacing w:val="-2"/>
                <w:sz w:val="18"/>
              </w:rPr>
              <w:t xml:space="preserve"> </w:t>
            </w:r>
            <w:r>
              <w:rPr>
                <w:sz w:val="18"/>
              </w:rPr>
              <w:t>Water</w:t>
            </w:r>
            <w:r>
              <w:rPr>
                <w:spacing w:val="-2"/>
                <w:sz w:val="18"/>
              </w:rPr>
              <w:t xml:space="preserve"> </w:t>
            </w:r>
            <w:r>
              <w:rPr>
                <w:sz w:val="18"/>
              </w:rPr>
              <w:t>Collection</w:t>
            </w:r>
            <w:r>
              <w:rPr>
                <w:spacing w:val="-2"/>
                <w:sz w:val="18"/>
              </w:rPr>
              <w:t xml:space="preserve"> (PAP)</w:t>
            </w:r>
          </w:p>
        </w:tc>
        <w:tc>
          <w:tcPr>
            <w:tcW w:w="1275" w:type="dxa"/>
            <w:tcBorders>
              <w:top w:val="single" w:sz="4" w:space="0" w:color="A6A6A6"/>
              <w:left w:val="single" w:sz="4" w:space="0" w:color="A6A6A6"/>
              <w:bottom w:val="single" w:sz="4" w:space="0" w:color="A6A6A6"/>
              <w:right w:val="single" w:sz="4" w:space="0" w:color="A6A6A6"/>
            </w:tcBorders>
          </w:tcPr>
          <w:p w14:paraId="5160EEB4" w14:textId="77777777" w:rsidR="00BC24A8" w:rsidRDefault="00000000">
            <w:pPr>
              <w:pStyle w:val="TableParagraph"/>
              <w:spacing w:line="219" w:lineRule="exact"/>
              <w:ind w:left="106"/>
              <w:rPr>
                <w:sz w:val="18"/>
              </w:rPr>
            </w:pPr>
            <w:r>
              <w:rPr>
                <w:spacing w:val="-2"/>
                <w:sz w:val="18"/>
              </w:rPr>
              <w:t>Kaltara</w:t>
            </w:r>
          </w:p>
        </w:tc>
      </w:tr>
      <w:tr w:rsidR="00BC24A8" w14:paraId="1160F7C6"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6C9E40D7" w14:textId="77777777" w:rsidR="00BC24A8" w:rsidRDefault="00000000">
            <w:pPr>
              <w:pStyle w:val="TableParagraph"/>
              <w:spacing w:before="1"/>
              <w:ind w:left="92" w:right="171"/>
              <w:jc w:val="center"/>
              <w:rPr>
                <w:sz w:val="18"/>
              </w:rPr>
            </w:pPr>
            <w:r>
              <w:rPr>
                <w:spacing w:val="-5"/>
                <w:sz w:val="18"/>
              </w:rPr>
              <w:t>93</w:t>
            </w:r>
          </w:p>
        </w:tc>
        <w:tc>
          <w:tcPr>
            <w:tcW w:w="7760" w:type="dxa"/>
            <w:tcBorders>
              <w:top w:val="single" w:sz="4" w:space="0" w:color="A6A6A6"/>
              <w:left w:val="single" w:sz="4" w:space="0" w:color="A6A6A6"/>
              <w:bottom w:val="single" w:sz="4" w:space="0" w:color="A6A6A6"/>
              <w:right w:val="single" w:sz="4" w:space="0" w:color="A6A6A6"/>
            </w:tcBorders>
          </w:tcPr>
          <w:p w14:paraId="0E2A60EF" w14:textId="77777777" w:rsidR="00BC24A8" w:rsidRDefault="00000000">
            <w:pPr>
              <w:pStyle w:val="TableParagraph"/>
              <w:spacing w:before="1" w:line="219" w:lineRule="exact"/>
              <w:ind w:left="107"/>
              <w:rPr>
                <w:sz w:val="18"/>
              </w:rPr>
            </w:pPr>
            <w:r>
              <w:rPr>
                <w:sz w:val="18"/>
              </w:rPr>
              <w:t>Provincial</w:t>
            </w:r>
            <w:r>
              <w:rPr>
                <w:spacing w:val="-5"/>
                <w:sz w:val="18"/>
              </w:rPr>
              <w:t xml:space="preserve"> </w:t>
            </w:r>
            <w:r>
              <w:rPr>
                <w:sz w:val="18"/>
              </w:rPr>
              <w:t>Revenue</w:t>
            </w:r>
            <w:r>
              <w:rPr>
                <w:spacing w:val="-4"/>
                <w:sz w:val="18"/>
              </w:rPr>
              <w:t xml:space="preserve"> </w:t>
            </w:r>
            <w:r>
              <w:rPr>
                <w:sz w:val="18"/>
              </w:rPr>
              <w:t>Agency</w:t>
            </w:r>
            <w:r>
              <w:rPr>
                <w:spacing w:val="-4"/>
                <w:sz w:val="18"/>
              </w:rPr>
              <w:t xml:space="preserve"> </w:t>
            </w:r>
            <w:r>
              <w:rPr>
                <w:sz w:val="18"/>
              </w:rPr>
              <w:t>Head</w:t>
            </w:r>
            <w:r>
              <w:rPr>
                <w:spacing w:val="-3"/>
                <w:sz w:val="18"/>
              </w:rPr>
              <w:t xml:space="preserve"> </w:t>
            </w:r>
            <w:r>
              <w:rPr>
                <w:sz w:val="18"/>
              </w:rPr>
              <w:t>(Bapenda)</w:t>
            </w:r>
            <w:r>
              <w:rPr>
                <w:spacing w:val="-5"/>
                <w:sz w:val="18"/>
              </w:rPr>
              <w:t xml:space="preserve"> </w:t>
            </w:r>
            <w:r>
              <w:rPr>
                <w:sz w:val="18"/>
              </w:rPr>
              <w:t>Decree</w:t>
            </w:r>
            <w:r>
              <w:rPr>
                <w:spacing w:val="-4"/>
                <w:sz w:val="18"/>
              </w:rPr>
              <w:t xml:space="preserve"> </w:t>
            </w:r>
            <w:r>
              <w:rPr>
                <w:sz w:val="18"/>
              </w:rPr>
              <w:t>No.</w:t>
            </w:r>
            <w:r>
              <w:rPr>
                <w:spacing w:val="-4"/>
                <w:sz w:val="18"/>
              </w:rPr>
              <w:t xml:space="preserve"> </w:t>
            </w:r>
            <w:r>
              <w:rPr>
                <w:sz w:val="18"/>
              </w:rPr>
              <w:t>900.1.13.1/029/SK/BAPENDA-II</w:t>
            </w:r>
            <w:r>
              <w:rPr>
                <w:spacing w:val="-5"/>
                <w:sz w:val="18"/>
              </w:rPr>
              <w:t xml:space="preserve"> </w:t>
            </w:r>
            <w:r>
              <w:rPr>
                <w:sz w:val="18"/>
              </w:rPr>
              <w:t>on</w:t>
            </w:r>
            <w:r>
              <w:rPr>
                <w:spacing w:val="-3"/>
                <w:sz w:val="18"/>
              </w:rPr>
              <w:t xml:space="preserve"> </w:t>
            </w:r>
            <w:r>
              <w:rPr>
                <w:spacing w:val="-2"/>
                <w:sz w:val="18"/>
              </w:rPr>
              <w:t>Technical</w:t>
            </w:r>
          </w:p>
          <w:p w14:paraId="0AD568CD" w14:textId="77777777" w:rsidR="00BC24A8" w:rsidRDefault="00000000">
            <w:pPr>
              <w:pStyle w:val="TableParagraph"/>
              <w:spacing w:line="199" w:lineRule="exact"/>
              <w:ind w:left="107"/>
              <w:rPr>
                <w:sz w:val="18"/>
              </w:rPr>
            </w:pPr>
            <w:r>
              <w:rPr>
                <w:sz w:val="18"/>
              </w:rPr>
              <w:t>Guidelines</w:t>
            </w:r>
            <w:r>
              <w:rPr>
                <w:spacing w:val="-3"/>
                <w:sz w:val="18"/>
              </w:rPr>
              <w:t xml:space="preserve"> </w:t>
            </w:r>
            <w:r>
              <w:rPr>
                <w:sz w:val="18"/>
              </w:rPr>
              <w:t>(SOP)</w:t>
            </w:r>
            <w:r>
              <w:rPr>
                <w:spacing w:val="-3"/>
                <w:sz w:val="18"/>
              </w:rPr>
              <w:t xml:space="preserve"> </w:t>
            </w:r>
            <w:r>
              <w:rPr>
                <w:sz w:val="18"/>
              </w:rPr>
              <w:t>for</w:t>
            </w:r>
            <w:r>
              <w:rPr>
                <w:spacing w:val="-2"/>
                <w:sz w:val="18"/>
              </w:rPr>
              <w:t xml:space="preserve"> </w:t>
            </w:r>
            <w:r>
              <w:rPr>
                <w:sz w:val="18"/>
              </w:rPr>
              <w:t>PKB-BBNKB</w:t>
            </w:r>
            <w:r>
              <w:rPr>
                <w:spacing w:val="-3"/>
                <w:sz w:val="18"/>
              </w:rPr>
              <w:t xml:space="preserve"> </w:t>
            </w:r>
            <w:r>
              <w:rPr>
                <w:spacing w:val="-2"/>
                <w:sz w:val="18"/>
              </w:rPr>
              <w:t>Collection</w:t>
            </w:r>
          </w:p>
        </w:tc>
        <w:tc>
          <w:tcPr>
            <w:tcW w:w="1275" w:type="dxa"/>
            <w:tcBorders>
              <w:top w:val="single" w:sz="4" w:space="0" w:color="A6A6A6"/>
              <w:left w:val="single" w:sz="4" w:space="0" w:color="A6A6A6"/>
              <w:bottom w:val="single" w:sz="4" w:space="0" w:color="A6A6A6"/>
              <w:right w:val="single" w:sz="4" w:space="0" w:color="A6A6A6"/>
            </w:tcBorders>
          </w:tcPr>
          <w:p w14:paraId="382227E3" w14:textId="77777777" w:rsidR="00BC24A8" w:rsidRDefault="00000000">
            <w:pPr>
              <w:pStyle w:val="TableParagraph"/>
              <w:spacing w:before="1"/>
              <w:ind w:left="106"/>
              <w:rPr>
                <w:sz w:val="18"/>
              </w:rPr>
            </w:pPr>
            <w:r>
              <w:rPr>
                <w:spacing w:val="-2"/>
                <w:sz w:val="18"/>
              </w:rPr>
              <w:t>Kaltara</w:t>
            </w:r>
          </w:p>
        </w:tc>
      </w:tr>
      <w:tr w:rsidR="00BC24A8" w14:paraId="2A91B21C" w14:textId="77777777">
        <w:trPr>
          <w:trHeight w:val="659"/>
        </w:trPr>
        <w:tc>
          <w:tcPr>
            <w:tcW w:w="490" w:type="dxa"/>
            <w:tcBorders>
              <w:top w:val="single" w:sz="4" w:space="0" w:color="A6A6A6"/>
              <w:left w:val="single" w:sz="4" w:space="0" w:color="A6A6A6"/>
              <w:bottom w:val="single" w:sz="4" w:space="0" w:color="A6A6A6"/>
              <w:right w:val="single" w:sz="4" w:space="0" w:color="A6A6A6"/>
            </w:tcBorders>
          </w:tcPr>
          <w:p w14:paraId="500E2545" w14:textId="77777777" w:rsidR="00BC24A8" w:rsidRDefault="00000000">
            <w:pPr>
              <w:pStyle w:val="TableParagraph"/>
              <w:spacing w:before="1"/>
              <w:ind w:left="92" w:right="171"/>
              <w:jc w:val="center"/>
              <w:rPr>
                <w:sz w:val="18"/>
              </w:rPr>
            </w:pPr>
            <w:r>
              <w:rPr>
                <w:spacing w:val="-5"/>
                <w:sz w:val="18"/>
              </w:rPr>
              <w:t>94</w:t>
            </w:r>
          </w:p>
        </w:tc>
        <w:tc>
          <w:tcPr>
            <w:tcW w:w="7760" w:type="dxa"/>
            <w:tcBorders>
              <w:top w:val="single" w:sz="4" w:space="0" w:color="A6A6A6"/>
              <w:left w:val="single" w:sz="4" w:space="0" w:color="A6A6A6"/>
              <w:bottom w:val="single" w:sz="4" w:space="0" w:color="A6A6A6"/>
              <w:right w:val="single" w:sz="4" w:space="0" w:color="A6A6A6"/>
            </w:tcBorders>
          </w:tcPr>
          <w:p w14:paraId="49B8A6B3" w14:textId="77777777" w:rsidR="00BC24A8" w:rsidRDefault="00000000">
            <w:pPr>
              <w:pStyle w:val="TableParagraph"/>
              <w:spacing w:before="1"/>
              <w:ind w:left="107" w:right="122"/>
              <w:rPr>
                <w:sz w:val="18"/>
              </w:rPr>
            </w:pPr>
            <w:r>
              <w:rPr>
                <w:sz w:val="18"/>
              </w:rPr>
              <w:t>Joint</w:t>
            </w:r>
            <w:r>
              <w:rPr>
                <w:spacing w:val="-3"/>
                <w:sz w:val="18"/>
              </w:rPr>
              <w:t xml:space="preserve"> </w:t>
            </w:r>
            <w:r>
              <w:rPr>
                <w:sz w:val="18"/>
              </w:rPr>
              <w:t>Agreement</w:t>
            </w:r>
            <w:r>
              <w:rPr>
                <w:spacing w:val="-3"/>
                <w:sz w:val="18"/>
              </w:rPr>
              <w:t xml:space="preserve"> </w:t>
            </w:r>
            <w:r>
              <w:rPr>
                <w:sz w:val="18"/>
              </w:rPr>
              <w:t>(between</w:t>
            </w:r>
            <w:r>
              <w:rPr>
                <w:spacing w:val="-4"/>
                <w:sz w:val="18"/>
              </w:rPr>
              <w:t xml:space="preserve"> </w:t>
            </w:r>
            <w:r>
              <w:rPr>
                <w:sz w:val="18"/>
              </w:rPr>
              <w:t>Provincial</w:t>
            </w:r>
            <w:r>
              <w:rPr>
                <w:spacing w:val="-3"/>
                <w:sz w:val="18"/>
              </w:rPr>
              <w:t xml:space="preserve"> </w:t>
            </w:r>
            <w:r>
              <w:rPr>
                <w:sz w:val="18"/>
              </w:rPr>
              <w:t>and</w:t>
            </w:r>
            <w:r>
              <w:rPr>
                <w:spacing w:val="-4"/>
                <w:sz w:val="18"/>
              </w:rPr>
              <w:t xml:space="preserve"> </w:t>
            </w:r>
            <w:r>
              <w:rPr>
                <w:sz w:val="18"/>
              </w:rPr>
              <w:t>Regency/City</w:t>
            </w:r>
            <w:r>
              <w:rPr>
                <w:spacing w:val="-4"/>
                <w:sz w:val="18"/>
              </w:rPr>
              <w:t xml:space="preserve"> </w:t>
            </w:r>
            <w:r>
              <w:rPr>
                <w:sz w:val="18"/>
              </w:rPr>
              <w:t>Revenue</w:t>
            </w:r>
            <w:r>
              <w:rPr>
                <w:spacing w:val="-4"/>
                <w:sz w:val="18"/>
              </w:rPr>
              <w:t xml:space="preserve"> </w:t>
            </w:r>
            <w:r>
              <w:rPr>
                <w:sz w:val="18"/>
              </w:rPr>
              <w:t>Agencies)</w:t>
            </w:r>
            <w:r>
              <w:rPr>
                <w:spacing w:val="-5"/>
                <w:sz w:val="18"/>
              </w:rPr>
              <w:t xml:space="preserve"> </w:t>
            </w:r>
            <w:r>
              <w:rPr>
                <w:sz w:val="18"/>
              </w:rPr>
              <w:t>on</w:t>
            </w:r>
            <w:r>
              <w:rPr>
                <w:spacing w:val="-4"/>
                <w:sz w:val="18"/>
              </w:rPr>
              <w:t xml:space="preserve"> </w:t>
            </w:r>
            <w:r>
              <w:rPr>
                <w:sz w:val="18"/>
              </w:rPr>
              <w:t>Technical</w:t>
            </w:r>
            <w:r>
              <w:rPr>
                <w:spacing w:val="-3"/>
                <w:sz w:val="18"/>
              </w:rPr>
              <w:t xml:space="preserve"> </w:t>
            </w:r>
            <w:r>
              <w:rPr>
                <w:sz w:val="18"/>
              </w:rPr>
              <w:t>Guidelines</w:t>
            </w:r>
            <w:r>
              <w:rPr>
                <w:spacing w:val="-4"/>
                <w:sz w:val="18"/>
              </w:rPr>
              <w:t xml:space="preserve"> </w:t>
            </w:r>
            <w:r>
              <w:rPr>
                <w:sz w:val="18"/>
              </w:rPr>
              <w:t>for the Implementation of the Optional Levy (Opsen) and the 2025 Work Program for the Extensification</w:t>
            </w:r>
          </w:p>
          <w:p w14:paraId="4BE00AAD" w14:textId="77777777" w:rsidR="00BC24A8" w:rsidRDefault="00000000">
            <w:pPr>
              <w:pStyle w:val="TableParagraph"/>
              <w:spacing w:line="199" w:lineRule="exact"/>
              <w:ind w:left="107"/>
              <w:rPr>
                <w:sz w:val="18"/>
              </w:rPr>
            </w:pPr>
            <w:r>
              <w:rPr>
                <w:sz w:val="18"/>
              </w:rPr>
              <w:t>and</w:t>
            </w:r>
            <w:r>
              <w:rPr>
                <w:spacing w:val="-3"/>
                <w:sz w:val="18"/>
              </w:rPr>
              <w:t xml:space="preserve"> </w:t>
            </w:r>
            <w:r>
              <w:rPr>
                <w:sz w:val="18"/>
              </w:rPr>
              <w:t>Intensification</w:t>
            </w:r>
            <w:r>
              <w:rPr>
                <w:spacing w:val="-2"/>
                <w:sz w:val="18"/>
              </w:rPr>
              <w:t xml:space="preserve"> </w:t>
            </w:r>
            <w:r>
              <w:rPr>
                <w:sz w:val="18"/>
              </w:rPr>
              <w:t>of</w:t>
            </w:r>
            <w:r>
              <w:rPr>
                <w:spacing w:val="-4"/>
                <w:sz w:val="18"/>
              </w:rPr>
              <w:t xml:space="preserve"> </w:t>
            </w:r>
            <w:r>
              <w:rPr>
                <w:sz w:val="18"/>
              </w:rPr>
              <w:t>PDRD</w:t>
            </w:r>
            <w:r>
              <w:rPr>
                <w:spacing w:val="-1"/>
                <w:sz w:val="18"/>
              </w:rPr>
              <w:t xml:space="preserve"> </w:t>
            </w:r>
            <w:r>
              <w:rPr>
                <w:sz w:val="18"/>
              </w:rPr>
              <w:t>(Without</w:t>
            </w:r>
            <w:r>
              <w:rPr>
                <w:spacing w:val="-1"/>
                <w:sz w:val="18"/>
              </w:rPr>
              <w:t xml:space="preserve"> </w:t>
            </w:r>
            <w:r>
              <w:rPr>
                <w:spacing w:val="-2"/>
                <w:sz w:val="18"/>
              </w:rPr>
              <w:t>Number)</w:t>
            </w:r>
          </w:p>
        </w:tc>
        <w:tc>
          <w:tcPr>
            <w:tcW w:w="1275" w:type="dxa"/>
            <w:tcBorders>
              <w:top w:val="single" w:sz="4" w:space="0" w:color="A6A6A6"/>
              <w:left w:val="single" w:sz="4" w:space="0" w:color="A6A6A6"/>
              <w:bottom w:val="single" w:sz="4" w:space="0" w:color="A6A6A6"/>
              <w:right w:val="single" w:sz="4" w:space="0" w:color="A6A6A6"/>
            </w:tcBorders>
          </w:tcPr>
          <w:p w14:paraId="6D066D08" w14:textId="77777777" w:rsidR="00BC24A8" w:rsidRDefault="00000000">
            <w:pPr>
              <w:pStyle w:val="TableParagraph"/>
              <w:spacing w:before="1"/>
              <w:ind w:left="106"/>
              <w:rPr>
                <w:sz w:val="18"/>
              </w:rPr>
            </w:pPr>
            <w:r>
              <w:rPr>
                <w:spacing w:val="-2"/>
                <w:sz w:val="18"/>
              </w:rPr>
              <w:t>Kaltara</w:t>
            </w:r>
          </w:p>
        </w:tc>
      </w:tr>
      <w:tr w:rsidR="00BC24A8" w14:paraId="0CA5CA65" w14:textId="77777777">
        <w:trPr>
          <w:trHeight w:val="659"/>
        </w:trPr>
        <w:tc>
          <w:tcPr>
            <w:tcW w:w="490" w:type="dxa"/>
            <w:tcBorders>
              <w:top w:val="single" w:sz="4" w:space="0" w:color="A6A6A6"/>
              <w:left w:val="single" w:sz="4" w:space="0" w:color="A6A6A6"/>
              <w:bottom w:val="single" w:sz="4" w:space="0" w:color="A6A6A6"/>
              <w:right w:val="single" w:sz="4" w:space="0" w:color="A6A6A6"/>
            </w:tcBorders>
          </w:tcPr>
          <w:p w14:paraId="326AACB9" w14:textId="77777777" w:rsidR="00BC24A8" w:rsidRDefault="00000000">
            <w:pPr>
              <w:pStyle w:val="TableParagraph"/>
              <w:spacing w:before="1"/>
              <w:ind w:left="92" w:right="171"/>
              <w:jc w:val="center"/>
              <w:rPr>
                <w:sz w:val="18"/>
              </w:rPr>
            </w:pPr>
            <w:r>
              <w:rPr>
                <w:spacing w:val="-5"/>
                <w:sz w:val="18"/>
              </w:rPr>
              <w:t>95</w:t>
            </w:r>
          </w:p>
        </w:tc>
        <w:tc>
          <w:tcPr>
            <w:tcW w:w="7760" w:type="dxa"/>
            <w:tcBorders>
              <w:top w:val="single" w:sz="4" w:space="0" w:color="A6A6A6"/>
              <w:left w:val="single" w:sz="4" w:space="0" w:color="A6A6A6"/>
              <w:bottom w:val="single" w:sz="4" w:space="0" w:color="A6A6A6"/>
              <w:right w:val="single" w:sz="4" w:space="0" w:color="A6A6A6"/>
            </w:tcBorders>
          </w:tcPr>
          <w:p w14:paraId="4170F2CC" w14:textId="77777777" w:rsidR="00BC24A8" w:rsidRDefault="00000000">
            <w:pPr>
              <w:pStyle w:val="TableParagraph"/>
              <w:spacing w:before="1"/>
              <w:ind w:left="107" w:right="122"/>
              <w:rPr>
                <w:sz w:val="18"/>
              </w:rPr>
            </w:pPr>
            <w:r>
              <w:rPr>
                <w:sz w:val="18"/>
              </w:rPr>
              <w:t>Provincial</w:t>
            </w:r>
            <w:r>
              <w:rPr>
                <w:spacing w:val="-3"/>
                <w:sz w:val="18"/>
              </w:rPr>
              <w:t xml:space="preserve"> </w:t>
            </w:r>
            <w:r>
              <w:rPr>
                <w:sz w:val="18"/>
              </w:rPr>
              <w:t>Revenue</w:t>
            </w:r>
            <w:r>
              <w:rPr>
                <w:spacing w:val="-4"/>
                <w:sz w:val="18"/>
              </w:rPr>
              <w:t xml:space="preserve"> </w:t>
            </w:r>
            <w:r>
              <w:rPr>
                <w:sz w:val="18"/>
              </w:rPr>
              <w:t>Agency</w:t>
            </w:r>
            <w:r>
              <w:rPr>
                <w:spacing w:val="-4"/>
                <w:sz w:val="18"/>
              </w:rPr>
              <w:t xml:space="preserve"> </w:t>
            </w:r>
            <w:r>
              <w:rPr>
                <w:sz w:val="18"/>
              </w:rPr>
              <w:t>Head</w:t>
            </w:r>
            <w:r>
              <w:rPr>
                <w:spacing w:val="-4"/>
                <w:sz w:val="18"/>
              </w:rPr>
              <w:t xml:space="preserve"> </w:t>
            </w:r>
            <w:r>
              <w:rPr>
                <w:sz w:val="18"/>
              </w:rPr>
              <w:t>(Bapenda)</w:t>
            </w:r>
            <w:r>
              <w:rPr>
                <w:spacing w:val="-5"/>
                <w:sz w:val="18"/>
              </w:rPr>
              <w:t xml:space="preserve"> </w:t>
            </w:r>
            <w:r>
              <w:rPr>
                <w:sz w:val="18"/>
              </w:rPr>
              <w:t>Decree</w:t>
            </w:r>
            <w:r>
              <w:rPr>
                <w:spacing w:val="-4"/>
                <w:sz w:val="18"/>
              </w:rPr>
              <w:t xml:space="preserve"> </w:t>
            </w:r>
            <w:r>
              <w:rPr>
                <w:sz w:val="18"/>
              </w:rPr>
              <w:t>No.</w:t>
            </w:r>
            <w:r>
              <w:rPr>
                <w:spacing w:val="-5"/>
                <w:sz w:val="18"/>
              </w:rPr>
              <w:t xml:space="preserve"> </w:t>
            </w:r>
            <w:r>
              <w:rPr>
                <w:sz w:val="18"/>
              </w:rPr>
              <w:t>900.1.13.1/036/SK/BAPENDA-II</w:t>
            </w:r>
            <w:r>
              <w:rPr>
                <w:spacing w:val="-5"/>
                <w:sz w:val="18"/>
              </w:rPr>
              <w:t xml:space="preserve"> </w:t>
            </w:r>
            <w:r>
              <w:rPr>
                <w:sz w:val="18"/>
              </w:rPr>
              <w:t>of</w:t>
            </w:r>
            <w:r>
              <w:rPr>
                <w:spacing w:val="-5"/>
                <w:sz w:val="18"/>
              </w:rPr>
              <w:t xml:space="preserve"> </w:t>
            </w:r>
            <w:r>
              <w:rPr>
                <w:sz w:val="18"/>
              </w:rPr>
              <w:t>2024</w:t>
            </w:r>
            <w:r>
              <w:rPr>
                <w:spacing w:val="-4"/>
                <w:sz w:val="18"/>
              </w:rPr>
              <w:t xml:space="preserve"> </w:t>
            </w:r>
            <w:r>
              <w:rPr>
                <w:sz w:val="18"/>
              </w:rPr>
              <w:t>on</w:t>
            </w:r>
            <w:r>
              <w:rPr>
                <w:spacing w:val="-4"/>
                <w:sz w:val="18"/>
              </w:rPr>
              <w:t xml:space="preserve"> </w:t>
            </w:r>
            <w:r>
              <w:rPr>
                <w:sz w:val="18"/>
              </w:rPr>
              <w:t>SOP for the Accessibility and Tax Discount System for Persons with Disabilities in Bumi Benuanta (SADAR</w:t>
            </w:r>
          </w:p>
          <w:p w14:paraId="251F61CA" w14:textId="77777777" w:rsidR="00BC24A8" w:rsidRDefault="00000000">
            <w:pPr>
              <w:pStyle w:val="TableParagraph"/>
              <w:spacing w:line="199" w:lineRule="exact"/>
              <w:ind w:left="107"/>
              <w:rPr>
                <w:sz w:val="18"/>
              </w:rPr>
            </w:pPr>
            <w:r>
              <w:rPr>
                <w:spacing w:val="-2"/>
                <w:sz w:val="18"/>
              </w:rPr>
              <w:t>BENUANTA)</w:t>
            </w:r>
          </w:p>
        </w:tc>
        <w:tc>
          <w:tcPr>
            <w:tcW w:w="1275" w:type="dxa"/>
            <w:tcBorders>
              <w:top w:val="single" w:sz="4" w:space="0" w:color="A6A6A6"/>
              <w:left w:val="single" w:sz="4" w:space="0" w:color="A6A6A6"/>
              <w:bottom w:val="single" w:sz="4" w:space="0" w:color="A6A6A6"/>
              <w:right w:val="single" w:sz="4" w:space="0" w:color="A6A6A6"/>
            </w:tcBorders>
          </w:tcPr>
          <w:p w14:paraId="3FF74884" w14:textId="77777777" w:rsidR="00BC24A8" w:rsidRDefault="00000000">
            <w:pPr>
              <w:pStyle w:val="TableParagraph"/>
              <w:spacing w:before="1"/>
              <w:ind w:left="106"/>
              <w:rPr>
                <w:sz w:val="18"/>
              </w:rPr>
            </w:pPr>
            <w:r>
              <w:rPr>
                <w:spacing w:val="-2"/>
                <w:sz w:val="18"/>
              </w:rPr>
              <w:t>Kaltara</w:t>
            </w:r>
          </w:p>
        </w:tc>
      </w:tr>
      <w:tr w:rsidR="00BC24A8" w14:paraId="03C57562"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4F524162" w14:textId="77777777" w:rsidR="00BC24A8" w:rsidRDefault="00000000">
            <w:pPr>
              <w:pStyle w:val="TableParagraph"/>
              <w:spacing w:line="219" w:lineRule="exact"/>
              <w:ind w:left="92" w:right="171"/>
              <w:jc w:val="center"/>
              <w:rPr>
                <w:sz w:val="18"/>
              </w:rPr>
            </w:pPr>
            <w:r>
              <w:rPr>
                <w:spacing w:val="-5"/>
                <w:sz w:val="18"/>
              </w:rPr>
              <w:t>96</w:t>
            </w:r>
          </w:p>
        </w:tc>
        <w:tc>
          <w:tcPr>
            <w:tcW w:w="7760" w:type="dxa"/>
            <w:tcBorders>
              <w:top w:val="single" w:sz="4" w:space="0" w:color="A6A6A6"/>
              <w:left w:val="single" w:sz="4" w:space="0" w:color="A6A6A6"/>
              <w:bottom w:val="single" w:sz="4" w:space="0" w:color="A6A6A6"/>
              <w:right w:val="single" w:sz="4" w:space="0" w:color="A6A6A6"/>
            </w:tcBorders>
          </w:tcPr>
          <w:p w14:paraId="21A32B63" w14:textId="77777777" w:rsidR="00BC24A8" w:rsidRDefault="00000000">
            <w:pPr>
              <w:pStyle w:val="TableParagraph"/>
              <w:spacing w:line="219" w:lineRule="exact"/>
              <w:ind w:left="107"/>
              <w:rPr>
                <w:sz w:val="18"/>
              </w:rPr>
            </w:pPr>
            <w:r>
              <w:rPr>
                <w:sz w:val="18"/>
              </w:rPr>
              <w:t>RPJPD</w:t>
            </w:r>
            <w:r>
              <w:rPr>
                <w:spacing w:val="-4"/>
                <w:sz w:val="18"/>
              </w:rPr>
              <w:t xml:space="preserve"> </w:t>
            </w:r>
            <w:r>
              <w:rPr>
                <w:sz w:val="18"/>
              </w:rPr>
              <w:t>2025-2045</w:t>
            </w:r>
            <w:r>
              <w:rPr>
                <w:spacing w:val="-2"/>
                <w:sz w:val="18"/>
              </w:rPr>
              <w:t xml:space="preserve"> </w:t>
            </w:r>
            <w:r>
              <w:rPr>
                <w:sz w:val="18"/>
              </w:rPr>
              <w:t>of</w:t>
            </w:r>
            <w:r>
              <w:rPr>
                <w:spacing w:val="-4"/>
                <w:sz w:val="18"/>
              </w:rPr>
              <w:t xml:space="preserve"> </w:t>
            </w:r>
            <w:r>
              <w:rPr>
                <w:sz w:val="18"/>
              </w:rPr>
              <w:t>North</w:t>
            </w:r>
            <w:r>
              <w:rPr>
                <w:spacing w:val="-2"/>
                <w:sz w:val="18"/>
              </w:rPr>
              <w:t xml:space="preserve"> </w:t>
            </w:r>
            <w:r>
              <w:rPr>
                <w:sz w:val="18"/>
              </w:rPr>
              <w:t>Kalimantan</w:t>
            </w:r>
            <w:r>
              <w:rPr>
                <w:spacing w:val="-3"/>
                <w:sz w:val="18"/>
              </w:rPr>
              <w:t xml:space="preserve"> </w:t>
            </w:r>
            <w:r>
              <w:rPr>
                <w:sz w:val="18"/>
              </w:rPr>
              <w:t>Province</w:t>
            </w:r>
            <w:r>
              <w:rPr>
                <w:spacing w:val="-2"/>
                <w:sz w:val="18"/>
              </w:rPr>
              <w:t xml:space="preserve"> </w:t>
            </w:r>
            <w:r>
              <w:rPr>
                <w:sz w:val="18"/>
              </w:rPr>
              <w:t>(Regional</w:t>
            </w:r>
            <w:r>
              <w:rPr>
                <w:spacing w:val="-2"/>
                <w:sz w:val="18"/>
              </w:rPr>
              <w:t xml:space="preserve"> </w:t>
            </w:r>
            <w:r>
              <w:rPr>
                <w:sz w:val="18"/>
              </w:rPr>
              <w:t>Regulation</w:t>
            </w:r>
            <w:r>
              <w:rPr>
                <w:spacing w:val="-2"/>
                <w:sz w:val="18"/>
              </w:rPr>
              <w:t xml:space="preserve"> </w:t>
            </w:r>
            <w:r>
              <w:rPr>
                <w:sz w:val="18"/>
              </w:rPr>
              <w:t>No.</w:t>
            </w:r>
            <w:r>
              <w:rPr>
                <w:spacing w:val="-3"/>
                <w:sz w:val="18"/>
              </w:rPr>
              <w:t xml:space="preserve"> </w:t>
            </w:r>
            <w:r>
              <w:rPr>
                <w:spacing w:val="-2"/>
                <w:sz w:val="18"/>
              </w:rPr>
              <w:t>12/2024)</w:t>
            </w:r>
          </w:p>
        </w:tc>
        <w:tc>
          <w:tcPr>
            <w:tcW w:w="1275" w:type="dxa"/>
            <w:tcBorders>
              <w:top w:val="single" w:sz="4" w:space="0" w:color="A6A6A6"/>
              <w:left w:val="single" w:sz="4" w:space="0" w:color="A6A6A6"/>
              <w:bottom w:val="single" w:sz="4" w:space="0" w:color="A6A6A6"/>
              <w:right w:val="single" w:sz="4" w:space="0" w:color="A6A6A6"/>
            </w:tcBorders>
          </w:tcPr>
          <w:p w14:paraId="0BC44631" w14:textId="77777777" w:rsidR="00BC24A8" w:rsidRDefault="00000000">
            <w:pPr>
              <w:pStyle w:val="TableParagraph"/>
              <w:spacing w:line="219" w:lineRule="exact"/>
              <w:ind w:left="106"/>
              <w:rPr>
                <w:sz w:val="18"/>
              </w:rPr>
            </w:pPr>
            <w:r>
              <w:rPr>
                <w:spacing w:val="-2"/>
                <w:sz w:val="18"/>
              </w:rPr>
              <w:t>Kaltara</w:t>
            </w:r>
          </w:p>
        </w:tc>
      </w:tr>
      <w:tr w:rsidR="00BC24A8" w14:paraId="440C237A" w14:textId="77777777">
        <w:trPr>
          <w:trHeight w:val="222"/>
        </w:trPr>
        <w:tc>
          <w:tcPr>
            <w:tcW w:w="490" w:type="dxa"/>
            <w:tcBorders>
              <w:top w:val="single" w:sz="4" w:space="0" w:color="A6A6A6"/>
              <w:left w:val="single" w:sz="4" w:space="0" w:color="A6A6A6"/>
              <w:bottom w:val="single" w:sz="4" w:space="0" w:color="A6A6A6"/>
              <w:right w:val="single" w:sz="4" w:space="0" w:color="A6A6A6"/>
            </w:tcBorders>
          </w:tcPr>
          <w:p w14:paraId="4934F131" w14:textId="77777777" w:rsidR="00BC24A8" w:rsidRDefault="00000000">
            <w:pPr>
              <w:pStyle w:val="TableParagraph"/>
              <w:spacing w:before="1" w:line="202" w:lineRule="exact"/>
              <w:ind w:left="92" w:right="171"/>
              <w:jc w:val="center"/>
              <w:rPr>
                <w:sz w:val="18"/>
              </w:rPr>
            </w:pPr>
            <w:r>
              <w:rPr>
                <w:spacing w:val="-5"/>
                <w:sz w:val="18"/>
              </w:rPr>
              <w:t>97</w:t>
            </w:r>
          </w:p>
        </w:tc>
        <w:tc>
          <w:tcPr>
            <w:tcW w:w="7760" w:type="dxa"/>
            <w:tcBorders>
              <w:top w:val="single" w:sz="4" w:space="0" w:color="A6A6A6"/>
              <w:left w:val="single" w:sz="4" w:space="0" w:color="A6A6A6"/>
              <w:bottom w:val="single" w:sz="4" w:space="0" w:color="A6A6A6"/>
              <w:right w:val="single" w:sz="4" w:space="0" w:color="A6A6A6"/>
            </w:tcBorders>
          </w:tcPr>
          <w:p w14:paraId="0F15AE4F" w14:textId="77777777" w:rsidR="00BC24A8" w:rsidRDefault="00000000">
            <w:pPr>
              <w:pStyle w:val="TableParagraph"/>
              <w:spacing w:before="1" w:line="202" w:lineRule="exact"/>
              <w:ind w:left="107"/>
              <w:rPr>
                <w:sz w:val="18"/>
              </w:rPr>
            </w:pPr>
            <w:r>
              <w:rPr>
                <w:sz w:val="18"/>
              </w:rPr>
              <w:t>RKPD</w:t>
            </w:r>
            <w:r>
              <w:rPr>
                <w:spacing w:val="-4"/>
                <w:sz w:val="18"/>
              </w:rPr>
              <w:t xml:space="preserve"> </w:t>
            </w:r>
            <w:r>
              <w:rPr>
                <w:sz w:val="18"/>
              </w:rPr>
              <w:t>2025</w:t>
            </w:r>
            <w:r>
              <w:rPr>
                <w:spacing w:val="-2"/>
                <w:sz w:val="18"/>
              </w:rPr>
              <w:t xml:space="preserve"> </w:t>
            </w:r>
            <w:r>
              <w:rPr>
                <w:sz w:val="18"/>
              </w:rPr>
              <w:t>(Governor</w:t>
            </w:r>
            <w:r>
              <w:rPr>
                <w:spacing w:val="-2"/>
                <w:sz w:val="18"/>
              </w:rPr>
              <w:t xml:space="preserve"> </w:t>
            </w:r>
            <w:r>
              <w:rPr>
                <w:sz w:val="18"/>
              </w:rPr>
              <w:t>Regulation</w:t>
            </w:r>
            <w:r>
              <w:rPr>
                <w:spacing w:val="-5"/>
                <w:sz w:val="18"/>
              </w:rPr>
              <w:t xml:space="preserve"> </w:t>
            </w:r>
            <w:r>
              <w:rPr>
                <w:sz w:val="18"/>
              </w:rPr>
              <w:t>No.</w:t>
            </w:r>
            <w:r>
              <w:rPr>
                <w:spacing w:val="-3"/>
                <w:sz w:val="18"/>
              </w:rPr>
              <w:t xml:space="preserve"> </w:t>
            </w:r>
            <w:r>
              <w:rPr>
                <w:spacing w:val="-2"/>
                <w:sz w:val="18"/>
              </w:rPr>
              <w:t>22/2024)</w:t>
            </w:r>
          </w:p>
        </w:tc>
        <w:tc>
          <w:tcPr>
            <w:tcW w:w="1275" w:type="dxa"/>
            <w:tcBorders>
              <w:top w:val="single" w:sz="4" w:space="0" w:color="A6A6A6"/>
              <w:left w:val="single" w:sz="4" w:space="0" w:color="A6A6A6"/>
              <w:bottom w:val="single" w:sz="4" w:space="0" w:color="A6A6A6"/>
              <w:right w:val="single" w:sz="4" w:space="0" w:color="A6A6A6"/>
            </w:tcBorders>
          </w:tcPr>
          <w:p w14:paraId="4DCCC771" w14:textId="77777777" w:rsidR="00BC24A8" w:rsidRDefault="00000000">
            <w:pPr>
              <w:pStyle w:val="TableParagraph"/>
              <w:spacing w:before="1" w:line="202" w:lineRule="exact"/>
              <w:ind w:left="106"/>
              <w:rPr>
                <w:sz w:val="18"/>
              </w:rPr>
            </w:pPr>
            <w:r>
              <w:rPr>
                <w:spacing w:val="-2"/>
                <w:sz w:val="18"/>
              </w:rPr>
              <w:t>Kaltara</w:t>
            </w:r>
          </w:p>
        </w:tc>
      </w:tr>
      <w:tr w:rsidR="00BC24A8" w14:paraId="77342B9F"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20B9C89A" w14:textId="77777777" w:rsidR="00BC24A8" w:rsidRDefault="00000000">
            <w:pPr>
              <w:pStyle w:val="TableParagraph"/>
              <w:spacing w:before="1"/>
              <w:ind w:left="92" w:right="171"/>
              <w:jc w:val="center"/>
              <w:rPr>
                <w:sz w:val="18"/>
              </w:rPr>
            </w:pPr>
            <w:r>
              <w:rPr>
                <w:spacing w:val="-5"/>
                <w:sz w:val="18"/>
              </w:rPr>
              <w:t>98</w:t>
            </w:r>
          </w:p>
        </w:tc>
        <w:tc>
          <w:tcPr>
            <w:tcW w:w="7760" w:type="dxa"/>
            <w:tcBorders>
              <w:top w:val="single" w:sz="4" w:space="0" w:color="A6A6A6"/>
              <w:left w:val="single" w:sz="4" w:space="0" w:color="A6A6A6"/>
              <w:bottom w:val="single" w:sz="4" w:space="0" w:color="A6A6A6"/>
              <w:right w:val="single" w:sz="4" w:space="0" w:color="A6A6A6"/>
            </w:tcBorders>
          </w:tcPr>
          <w:p w14:paraId="12518827" w14:textId="77777777" w:rsidR="00BC24A8" w:rsidRDefault="00000000">
            <w:pPr>
              <w:pStyle w:val="TableParagraph"/>
              <w:spacing w:before="1" w:line="219" w:lineRule="exact"/>
              <w:ind w:left="107"/>
              <w:rPr>
                <w:sz w:val="18"/>
              </w:rPr>
            </w:pPr>
            <w:r>
              <w:rPr>
                <w:sz w:val="18"/>
              </w:rPr>
              <w:t>Governor</w:t>
            </w:r>
            <w:r>
              <w:rPr>
                <w:spacing w:val="-5"/>
                <w:sz w:val="18"/>
              </w:rPr>
              <w:t xml:space="preserve"> </w:t>
            </w:r>
            <w:r>
              <w:rPr>
                <w:sz w:val="18"/>
              </w:rPr>
              <w:t>Circular</w:t>
            </w:r>
            <w:r>
              <w:rPr>
                <w:spacing w:val="-3"/>
                <w:sz w:val="18"/>
              </w:rPr>
              <w:t xml:space="preserve"> </w:t>
            </w:r>
            <w:r>
              <w:rPr>
                <w:sz w:val="18"/>
              </w:rPr>
              <w:t>No.</w:t>
            </w:r>
            <w:r>
              <w:rPr>
                <w:spacing w:val="-4"/>
                <w:sz w:val="18"/>
              </w:rPr>
              <w:t xml:space="preserve"> </w:t>
            </w:r>
            <w:r>
              <w:rPr>
                <w:sz w:val="18"/>
              </w:rPr>
              <w:t>900.1.5/1857/BKAD/GUB</w:t>
            </w:r>
            <w:r>
              <w:rPr>
                <w:spacing w:val="-4"/>
                <w:sz w:val="18"/>
              </w:rPr>
              <w:t xml:space="preserve"> </w:t>
            </w:r>
            <w:r>
              <w:rPr>
                <w:sz w:val="18"/>
              </w:rPr>
              <w:t>2025</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Implementation</w:t>
            </w:r>
            <w:r>
              <w:rPr>
                <w:spacing w:val="-3"/>
                <w:sz w:val="18"/>
              </w:rPr>
              <w:t xml:space="preserve"> </w:t>
            </w:r>
            <w:r>
              <w:rPr>
                <w:sz w:val="18"/>
              </w:rPr>
              <w:t>of</w:t>
            </w:r>
            <w:r>
              <w:rPr>
                <w:spacing w:val="-4"/>
                <w:sz w:val="18"/>
              </w:rPr>
              <w:t xml:space="preserve"> </w:t>
            </w:r>
            <w:r>
              <w:rPr>
                <w:sz w:val="18"/>
              </w:rPr>
              <w:t>MSS</w:t>
            </w:r>
            <w:r>
              <w:rPr>
                <w:spacing w:val="-3"/>
                <w:sz w:val="18"/>
              </w:rPr>
              <w:t xml:space="preserve"> </w:t>
            </w:r>
            <w:r>
              <w:rPr>
                <w:sz w:val="18"/>
              </w:rPr>
              <w:t>in</w:t>
            </w:r>
            <w:r>
              <w:rPr>
                <w:spacing w:val="-2"/>
                <w:sz w:val="18"/>
              </w:rPr>
              <w:t xml:space="preserve"> North</w:t>
            </w:r>
          </w:p>
          <w:p w14:paraId="5CE0E93A" w14:textId="77777777" w:rsidR="00BC24A8" w:rsidRDefault="00000000">
            <w:pPr>
              <w:pStyle w:val="TableParagraph"/>
              <w:spacing w:line="199" w:lineRule="exact"/>
              <w:ind w:left="107"/>
              <w:rPr>
                <w:sz w:val="18"/>
              </w:rPr>
            </w:pPr>
            <w:r>
              <w:rPr>
                <w:sz w:val="18"/>
              </w:rPr>
              <w:t>Kalimantan</w:t>
            </w:r>
            <w:r>
              <w:rPr>
                <w:spacing w:val="-4"/>
                <w:sz w:val="18"/>
              </w:rPr>
              <w:t xml:space="preserve"> </w:t>
            </w:r>
            <w:r>
              <w:rPr>
                <w:sz w:val="18"/>
              </w:rPr>
              <w:t>Province</w:t>
            </w:r>
            <w:r>
              <w:rPr>
                <w:spacing w:val="-2"/>
                <w:sz w:val="18"/>
              </w:rPr>
              <w:t xml:space="preserve"> </w:t>
            </w:r>
            <w:r>
              <w:rPr>
                <w:sz w:val="18"/>
              </w:rPr>
              <w:t>for</w:t>
            </w:r>
            <w:r>
              <w:rPr>
                <w:spacing w:val="-1"/>
                <w:sz w:val="18"/>
              </w:rPr>
              <w:t xml:space="preserve"> </w:t>
            </w:r>
            <w:r>
              <w:rPr>
                <w:spacing w:val="-4"/>
                <w:sz w:val="18"/>
              </w:rPr>
              <w:t>2025</w:t>
            </w:r>
          </w:p>
        </w:tc>
        <w:tc>
          <w:tcPr>
            <w:tcW w:w="1275" w:type="dxa"/>
            <w:tcBorders>
              <w:top w:val="single" w:sz="4" w:space="0" w:color="A6A6A6"/>
              <w:left w:val="single" w:sz="4" w:space="0" w:color="A6A6A6"/>
              <w:bottom w:val="single" w:sz="4" w:space="0" w:color="A6A6A6"/>
              <w:right w:val="single" w:sz="4" w:space="0" w:color="A6A6A6"/>
            </w:tcBorders>
          </w:tcPr>
          <w:p w14:paraId="3B604497" w14:textId="77777777" w:rsidR="00BC24A8" w:rsidRDefault="00000000">
            <w:pPr>
              <w:pStyle w:val="TableParagraph"/>
              <w:spacing w:before="1"/>
              <w:ind w:left="106"/>
              <w:rPr>
                <w:sz w:val="18"/>
              </w:rPr>
            </w:pPr>
            <w:r>
              <w:rPr>
                <w:spacing w:val="-2"/>
                <w:sz w:val="18"/>
              </w:rPr>
              <w:t>Kaltara</w:t>
            </w:r>
          </w:p>
        </w:tc>
      </w:tr>
      <w:tr w:rsidR="00BC24A8" w14:paraId="2E7BF7C8"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277A59A4" w14:textId="77777777" w:rsidR="00BC24A8" w:rsidRDefault="00000000">
            <w:pPr>
              <w:pStyle w:val="TableParagraph"/>
              <w:spacing w:before="1"/>
              <w:ind w:left="92" w:right="171"/>
              <w:jc w:val="center"/>
              <w:rPr>
                <w:sz w:val="18"/>
              </w:rPr>
            </w:pPr>
            <w:r>
              <w:rPr>
                <w:spacing w:val="-5"/>
                <w:sz w:val="18"/>
              </w:rPr>
              <w:t>99</w:t>
            </w:r>
          </w:p>
        </w:tc>
        <w:tc>
          <w:tcPr>
            <w:tcW w:w="7760" w:type="dxa"/>
            <w:tcBorders>
              <w:top w:val="single" w:sz="4" w:space="0" w:color="A6A6A6"/>
              <w:left w:val="single" w:sz="4" w:space="0" w:color="A6A6A6"/>
              <w:bottom w:val="single" w:sz="4" w:space="0" w:color="A6A6A6"/>
              <w:right w:val="single" w:sz="4" w:space="0" w:color="A6A6A6"/>
            </w:tcBorders>
          </w:tcPr>
          <w:p w14:paraId="1BCDAB31" w14:textId="77777777" w:rsidR="00BC24A8" w:rsidRDefault="00000000">
            <w:pPr>
              <w:pStyle w:val="TableParagraph"/>
              <w:spacing w:before="1"/>
              <w:ind w:left="107"/>
              <w:rPr>
                <w:sz w:val="18"/>
              </w:rPr>
            </w:pPr>
            <w:r>
              <w:rPr>
                <w:sz w:val="18"/>
              </w:rPr>
              <w:t>Regional</w:t>
            </w:r>
            <w:r>
              <w:rPr>
                <w:spacing w:val="-3"/>
                <w:sz w:val="18"/>
              </w:rPr>
              <w:t xml:space="preserve"> </w:t>
            </w:r>
            <w:r>
              <w:rPr>
                <w:sz w:val="18"/>
              </w:rPr>
              <w:t>Secretary</w:t>
            </w:r>
            <w:r>
              <w:rPr>
                <w:spacing w:val="-4"/>
                <w:sz w:val="18"/>
              </w:rPr>
              <w:t xml:space="preserve"> </w:t>
            </w:r>
            <w:r>
              <w:rPr>
                <w:sz w:val="18"/>
              </w:rPr>
              <w:t>Circular</w:t>
            </w:r>
            <w:r>
              <w:rPr>
                <w:spacing w:val="-4"/>
                <w:sz w:val="18"/>
              </w:rPr>
              <w:t xml:space="preserve"> </w:t>
            </w:r>
            <w:r>
              <w:rPr>
                <w:sz w:val="18"/>
              </w:rPr>
              <w:t>No.</w:t>
            </w:r>
            <w:r>
              <w:rPr>
                <w:spacing w:val="-5"/>
                <w:sz w:val="18"/>
              </w:rPr>
              <w:t xml:space="preserve"> </w:t>
            </w:r>
            <w:r>
              <w:rPr>
                <w:sz w:val="18"/>
              </w:rPr>
              <w:t>000.7.2.2-2847-BAPP-LIT-SETDA</w:t>
            </w:r>
            <w:r>
              <w:rPr>
                <w:spacing w:val="-5"/>
                <w:sz w:val="18"/>
              </w:rPr>
              <w:t xml:space="preserve"> </w:t>
            </w:r>
            <w:r>
              <w:rPr>
                <w:sz w:val="18"/>
              </w:rPr>
              <w:t>on</w:t>
            </w:r>
            <w:r>
              <w:rPr>
                <w:spacing w:val="-4"/>
                <w:sz w:val="18"/>
              </w:rPr>
              <w:t xml:space="preserve"> </w:t>
            </w:r>
            <w:r>
              <w:rPr>
                <w:sz w:val="18"/>
              </w:rPr>
              <w:t>the</w:t>
            </w:r>
            <w:r>
              <w:rPr>
                <w:spacing w:val="-4"/>
                <w:sz w:val="18"/>
              </w:rPr>
              <w:t xml:space="preserve"> </w:t>
            </w:r>
            <w:r>
              <w:rPr>
                <w:sz w:val="18"/>
              </w:rPr>
              <w:t>Recommendation</w:t>
            </w:r>
            <w:r>
              <w:rPr>
                <w:spacing w:val="-4"/>
                <w:sz w:val="18"/>
              </w:rPr>
              <w:t xml:space="preserve"> </w:t>
            </w:r>
            <w:r>
              <w:rPr>
                <w:sz w:val="18"/>
              </w:rPr>
              <w:t>to</w:t>
            </w:r>
            <w:r>
              <w:rPr>
                <w:spacing w:val="-5"/>
                <w:sz w:val="18"/>
              </w:rPr>
              <w:t xml:space="preserve"> </w:t>
            </w:r>
            <w:r>
              <w:rPr>
                <w:sz w:val="18"/>
              </w:rPr>
              <w:t>to</w:t>
            </w:r>
            <w:r>
              <w:rPr>
                <w:spacing w:val="-5"/>
                <w:sz w:val="18"/>
              </w:rPr>
              <w:t xml:space="preserve"> </w:t>
            </w:r>
            <w:r>
              <w:rPr>
                <w:sz w:val="18"/>
              </w:rPr>
              <w:t>Integrate One Data Sub-Activities into the Strategic Plans of Regional Apparatuses</w:t>
            </w:r>
          </w:p>
        </w:tc>
        <w:tc>
          <w:tcPr>
            <w:tcW w:w="1275" w:type="dxa"/>
            <w:tcBorders>
              <w:top w:val="single" w:sz="4" w:space="0" w:color="A6A6A6"/>
              <w:left w:val="single" w:sz="4" w:space="0" w:color="A6A6A6"/>
              <w:bottom w:val="single" w:sz="4" w:space="0" w:color="A6A6A6"/>
              <w:right w:val="single" w:sz="4" w:space="0" w:color="A6A6A6"/>
            </w:tcBorders>
          </w:tcPr>
          <w:p w14:paraId="3C2D3CA2" w14:textId="77777777" w:rsidR="00BC24A8" w:rsidRDefault="00000000">
            <w:pPr>
              <w:pStyle w:val="TableParagraph"/>
              <w:spacing w:before="1"/>
              <w:ind w:left="106"/>
              <w:rPr>
                <w:sz w:val="18"/>
              </w:rPr>
            </w:pPr>
            <w:r>
              <w:rPr>
                <w:spacing w:val="-2"/>
                <w:sz w:val="18"/>
              </w:rPr>
              <w:t>Kaltara</w:t>
            </w:r>
          </w:p>
        </w:tc>
      </w:tr>
      <w:tr w:rsidR="00BC24A8" w14:paraId="4B5844D0" w14:textId="77777777">
        <w:trPr>
          <w:trHeight w:val="220"/>
        </w:trPr>
        <w:tc>
          <w:tcPr>
            <w:tcW w:w="490" w:type="dxa"/>
            <w:tcBorders>
              <w:top w:val="single" w:sz="4" w:space="0" w:color="A6A6A6"/>
              <w:left w:val="single" w:sz="4" w:space="0" w:color="A6A6A6"/>
              <w:bottom w:val="single" w:sz="4" w:space="0" w:color="A6A6A6"/>
              <w:right w:val="single" w:sz="4" w:space="0" w:color="A6A6A6"/>
            </w:tcBorders>
          </w:tcPr>
          <w:p w14:paraId="64DD80D5" w14:textId="77777777" w:rsidR="00BC24A8" w:rsidRDefault="00000000">
            <w:pPr>
              <w:pStyle w:val="TableParagraph"/>
              <w:spacing w:before="1" w:line="199" w:lineRule="exact"/>
              <w:ind w:left="9"/>
              <w:jc w:val="center"/>
              <w:rPr>
                <w:sz w:val="18"/>
              </w:rPr>
            </w:pPr>
            <w:r>
              <w:rPr>
                <w:spacing w:val="-5"/>
                <w:sz w:val="18"/>
              </w:rPr>
              <w:t>100</w:t>
            </w:r>
          </w:p>
        </w:tc>
        <w:tc>
          <w:tcPr>
            <w:tcW w:w="7760" w:type="dxa"/>
            <w:tcBorders>
              <w:top w:val="single" w:sz="4" w:space="0" w:color="A6A6A6"/>
              <w:left w:val="single" w:sz="4" w:space="0" w:color="A6A6A6"/>
              <w:bottom w:val="single" w:sz="4" w:space="0" w:color="A6A6A6"/>
              <w:right w:val="single" w:sz="4" w:space="0" w:color="A6A6A6"/>
            </w:tcBorders>
          </w:tcPr>
          <w:p w14:paraId="20A448AB" w14:textId="77777777" w:rsidR="00BC24A8" w:rsidRDefault="00000000">
            <w:pPr>
              <w:pStyle w:val="TableParagraph"/>
              <w:spacing w:before="1" w:line="199" w:lineRule="exact"/>
              <w:ind w:left="107"/>
              <w:rPr>
                <w:sz w:val="18"/>
              </w:rPr>
            </w:pPr>
            <w:r>
              <w:rPr>
                <w:sz w:val="18"/>
              </w:rPr>
              <w:t>Governor</w:t>
            </w:r>
            <w:r>
              <w:rPr>
                <w:spacing w:val="-4"/>
                <w:sz w:val="18"/>
              </w:rPr>
              <w:t xml:space="preserve"> </w:t>
            </w:r>
            <w:r>
              <w:rPr>
                <w:sz w:val="18"/>
              </w:rPr>
              <w:t>Decree</w:t>
            </w:r>
            <w:r>
              <w:rPr>
                <w:spacing w:val="-3"/>
                <w:sz w:val="18"/>
              </w:rPr>
              <w:t xml:space="preserve"> </w:t>
            </w:r>
            <w:r>
              <w:rPr>
                <w:sz w:val="18"/>
              </w:rPr>
              <w:t>No.</w:t>
            </w:r>
            <w:r>
              <w:rPr>
                <w:spacing w:val="-2"/>
                <w:sz w:val="18"/>
              </w:rPr>
              <w:t xml:space="preserve"> </w:t>
            </w:r>
            <w:r>
              <w:rPr>
                <w:sz w:val="18"/>
              </w:rPr>
              <w:t>1858/2024</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2024</w:t>
            </w:r>
            <w:r>
              <w:rPr>
                <w:spacing w:val="-3"/>
                <w:sz w:val="18"/>
              </w:rPr>
              <w:t xml:space="preserve"> </w:t>
            </w:r>
            <w:r>
              <w:rPr>
                <w:sz w:val="18"/>
              </w:rPr>
              <w:t>Data</w:t>
            </w:r>
            <w:r>
              <w:rPr>
                <w:spacing w:val="-2"/>
                <w:sz w:val="18"/>
              </w:rPr>
              <w:t xml:space="preserve"> </w:t>
            </w:r>
            <w:r>
              <w:rPr>
                <w:sz w:val="18"/>
              </w:rPr>
              <w:t>List</w:t>
            </w:r>
            <w:r>
              <w:rPr>
                <w:spacing w:val="-2"/>
                <w:sz w:val="18"/>
              </w:rPr>
              <w:t xml:space="preserve"> </w:t>
            </w:r>
            <w:r>
              <w:rPr>
                <w:sz w:val="18"/>
              </w:rPr>
              <w:t>of</w:t>
            </w:r>
            <w:r>
              <w:rPr>
                <w:spacing w:val="-2"/>
                <w:sz w:val="18"/>
              </w:rPr>
              <w:t xml:space="preserve"> </w:t>
            </w:r>
            <w:r>
              <w:rPr>
                <w:sz w:val="18"/>
              </w:rPr>
              <w:t>Maluku</w:t>
            </w:r>
            <w:r>
              <w:rPr>
                <w:spacing w:val="-2"/>
                <w:sz w:val="18"/>
              </w:rPr>
              <w:t xml:space="preserve"> Province</w:t>
            </w:r>
          </w:p>
        </w:tc>
        <w:tc>
          <w:tcPr>
            <w:tcW w:w="1275" w:type="dxa"/>
            <w:tcBorders>
              <w:top w:val="single" w:sz="4" w:space="0" w:color="A6A6A6"/>
              <w:left w:val="single" w:sz="4" w:space="0" w:color="A6A6A6"/>
              <w:bottom w:val="single" w:sz="4" w:space="0" w:color="A6A6A6"/>
              <w:right w:val="single" w:sz="4" w:space="0" w:color="A6A6A6"/>
            </w:tcBorders>
          </w:tcPr>
          <w:p w14:paraId="59848111" w14:textId="77777777" w:rsidR="00BC24A8" w:rsidRDefault="00000000">
            <w:pPr>
              <w:pStyle w:val="TableParagraph"/>
              <w:spacing w:before="1" w:line="199" w:lineRule="exact"/>
              <w:ind w:left="106"/>
              <w:rPr>
                <w:sz w:val="18"/>
              </w:rPr>
            </w:pPr>
            <w:r>
              <w:rPr>
                <w:spacing w:val="-2"/>
                <w:sz w:val="18"/>
              </w:rPr>
              <w:t>Maluku</w:t>
            </w:r>
          </w:p>
        </w:tc>
      </w:tr>
      <w:tr w:rsidR="00BC24A8" w14:paraId="49973589" w14:textId="77777777">
        <w:trPr>
          <w:trHeight w:val="659"/>
        </w:trPr>
        <w:tc>
          <w:tcPr>
            <w:tcW w:w="490" w:type="dxa"/>
            <w:tcBorders>
              <w:top w:val="single" w:sz="4" w:space="0" w:color="A6A6A6"/>
              <w:left w:val="single" w:sz="4" w:space="0" w:color="A6A6A6"/>
              <w:bottom w:val="single" w:sz="4" w:space="0" w:color="A6A6A6"/>
              <w:right w:val="single" w:sz="4" w:space="0" w:color="A6A6A6"/>
            </w:tcBorders>
          </w:tcPr>
          <w:p w14:paraId="1454BF06" w14:textId="77777777" w:rsidR="00BC24A8" w:rsidRDefault="00000000">
            <w:pPr>
              <w:pStyle w:val="TableParagraph"/>
              <w:spacing w:before="1"/>
              <w:ind w:left="9"/>
              <w:jc w:val="center"/>
              <w:rPr>
                <w:sz w:val="18"/>
              </w:rPr>
            </w:pPr>
            <w:r>
              <w:rPr>
                <w:spacing w:val="-5"/>
                <w:sz w:val="18"/>
              </w:rPr>
              <w:t>101</w:t>
            </w:r>
          </w:p>
        </w:tc>
        <w:tc>
          <w:tcPr>
            <w:tcW w:w="7760" w:type="dxa"/>
            <w:tcBorders>
              <w:top w:val="single" w:sz="4" w:space="0" w:color="A6A6A6"/>
              <w:left w:val="single" w:sz="4" w:space="0" w:color="A6A6A6"/>
              <w:bottom w:val="single" w:sz="4" w:space="0" w:color="A6A6A6"/>
              <w:right w:val="single" w:sz="4" w:space="0" w:color="A6A6A6"/>
            </w:tcBorders>
          </w:tcPr>
          <w:p w14:paraId="12310C65" w14:textId="77777777" w:rsidR="00BC24A8" w:rsidRDefault="00000000">
            <w:pPr>
              <w:pStyle w:val="TableParagraph"/>
              <w:spacing w:before="1"/>
              <w:ind w:left="107" w:right="122"/>
              <w:rPr>
                <w:sz w:val="18"/>
              </w:rPr>
            </w:pPr>
            <w:r>
              <w:rPr>
                <w:sz w:val="18"/>
              </w:rPr>
              <w:t>Maluku</w:t>
            </w:r>
            <w:r>
              <w:rPr>
                <w:spacing w:val="-3"/>
                <w:sz w:val="18"/>
              </w:rPr>
              <w:t xml:space="preserve"> </w:t>
            </w: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821/2025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Amendment</w:t>
            </w:r>
            <w:r>
              <w:rPr>
                <w:spacing w:val="-2"/>
                <w:sz w:val="18"/>
              </w:rPr>
              <w:t xml:space="preserve"> </w:t>
            </w:r>
            <w:r>
              <w:rPr>
                <w:sz w:val="18"/>
              </w:rPr>
              <w:t>to</w:t>
            </w:r>
            <w:r>
              <w:rPr>
                <w:spacing w:val="-4"/>
                <w:sz w:val="18"/>
              </w:rPr>
              <w:t xml:space="preserve"> </w:t>
            </w:r>
            <w:r>
              <w:rPr>
                <w:sz w:val="18"/>
              </w:rPr>
              <w:t>Maluku</w:t>
            </w:r>
            <w:r>
              <w:rPr>
                <w:spacing w:val="-3"/>
                <w:sz w:val="18"/>
              </w:rPr>
              <w:t xml:space="preserve"> </w:t>
            </w: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211/2020 on the Establishment of the Coordination Team for the Implementation of the Electronic-Based</w:t>
            </w:r>
          </w:p>
          <w:p w14:paraId="7EB52F8B" w14:textId="77777777" w:rsidR="00BC24A8" w:rsidRDefault="00000000">
            <w:pPr>
              <w:pStyle w:val="TableParagraph"/>
              <w:spacing w:line="199" w:lineRule="exact"/>
              <w:ind w:left="107"/>
              <w:rPr>
                <w:sz w:val="18"/>
              </w:rPr>
            </w:pPr>
            <w:r>
              <w:rPr>
                <w:sz w:val="18"/>
              </w:rPr>
              <w:t>Govrenment</w:t>
            </w:r>
            <w:r>
              <w:rPr>
                <w:spacing w:val="-2"/>
                <w:sz w:val="18"/>
              </w:rPr>
              <w:t xml:space="preserve"> </w:t>
            </w:r>
            <w:r>
              <w:rPr>
                <w:sz w:val="18"/>
              </w:rPr>
              <w:t>System</w:t>
            </w:r>
            <w:r>
              <w:rPr>
                <w:spacing w:val="-3"/>
                <w:sz w:val="18"/>
              </w:rPr>
              <w:t xml:space="preserve"> </w:t>
            </w:r>
            <w:r>
              <w:rPr>
                <w:sz w:val="18"/>
              </w:rPr>
              <w:t>(SPBE)</w:t>
            </w:r>
            <w:r>
              <w:rPr>
                <w:spacing w:val="-3"/>
                <w:sz w:val="18"/>
              </w:rPr>
              <w:t xml:space="preserve"> </w:t>
            </w:r>
            <w:r>
              <w:rPr>
                <w:sz w:val="18"/>
              </w:rPr>
              <w:t>of</w:t>
            </w:r>
            <w:r>
              <w:rPr>
                <w:spacing w:val="-4"/>
                <w:sz w:val="18"/>
              </w:rPr>
              <w:t xml:space="preserve"> </w:t>
            </w:r>
            <w:r>
              <w:rPr>
                <w:sz w:val="18"/>
              </w:rPr>
              <w:t>the Regional</w:t>
            </w:r>
            <w:r>
              <w:rPr>
                <w:spacing w:val="-1"/>
                <w:sz w:val="18"/>
              </w:rPr>
              <w:t xml:space="preserve"> </w:t>
            </w:r>
            <w:r>
              <w:rPr>
                <w:spacing w:val="-2"/>
                <w:sz w:val="18"/>
              </w:rPr>
              <w:t>Government</w:t>
            </w:r>
          </w:p>
        </w:tc>
        <w:tc>
          <w:tcPr>
            <w:tcW w:w="1275" w:type="dxa"/>
            <w:tcBorders>
              <w:top w:val="single" w:sz="4" w:space="0" w:color="A6A6A6"/>
              <w:left w:val="single" w:sz="4" w:space="0" w:color="A6A6A6"/>
              <w:bottom w:val="single" w:sz="4" w:space="0" w:color="A6A6A6"/>
              <w:right w:val="single" w:sz="4" w:space="0" w:color="A6A6A6"/>
            </w:tcBorders>
          </w:tcPr>
          <w:p w14:paraId="07EDD1D3" w14:textId="77777777" w:rsidR="00BC24A8" w:rsidRDefault="00000000">
            <w:pPr>
              <w:pStyle w:val="TableParagraph"/>
              <w:spacing w:before="1"/>
              <w:ind w:left="106"/>
              <w:rPr>
                <w:sz w:val="18"/>
              </w:rPr>
            </w:pPr>
            <w:r>
              <w:rPr>
                <w:spacing w:val="-2"/>
                <w:sz w:val="18"/>
              </w:rPr>
              <w:t>Maluku</w:t>
            </w:r>
          </w:p>
        </w:tc>
      </w:tr>
      <w:tr w:rsidR="00BC24A8" w14:paraId="270A2E88"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48EDB737" w14:textId="77777777" w:rsidR="00BC24A8" w:rsidRDefault="00000000">
            <w:pPr>
              <w:pStyle w:val="TableParagraph"/>
              <w:spacing w:before="1"/>
              <w:ind w:left="9"/>
              <w:jc w:val="center"/>
              <w:rPr>
                <w:sz w:val="18"/>
              </w:rPr>
            </w:pPr>
            <w:r>
              <w:rPr>
                <w:spacing w:val="-5"/>
                <w:sz w:val="18"/>
              </w:rPr>
              <w:t>102</w:t>
            </w:r>
          </w:p>
        </w:tc>
        <w:tc>
          <w:tcPr>
            <w:tcW w:w="7760" w:type="dxa"/>
            <w:tcBorders>
              <w:top w:val="single" w:sz="4" w:space="0" w:color="A6A6A6"/>
              <w:left w:val="single" w:sz="4" w:space="0" w:color="A6A6A6"/>
              <w:bottom w:val="single" w:sz="4" w:space="0" w:color="A6A6A6"/>
              <w:right w:val="single" w:sz="4" w:space="0" w:color="A6A6A6"/>
            </w:tcBorders>
          </w:tcPr>
          <w:p w14:paraId="629A88C7" w14:textId="77777777" w:rsidR="00BC24A8" w:rsidRDefault="00000000">
            <w:pPr>
              <w:pStyle w:val="TableParagraph"/>
              <w:spacing w:before="1" w:line="219" w:lineRule="exact"/>
              <w:ind w:left="107"/>
              <w:rPr>
                <w:sz w:val="18"/>
              </w:rPr>
            </w:pPr>
            <w:r>
              <w:rPr>
                <w:sz w:val="18"/>
              </w:rPr>
              <w:t>Maluku</w:t>
            </w:r>
            <w:r>
              <w:rPr>
                <w:spacing w:val="-5"/>
                <w:sz w:val="18"/>
              </w:rPr>
              <w:t xml:space="preserve"> </w:t>
            </w:r>
            <w:r>
              <w:rPr>
                <w:sz w:val="18"/>
              </w:rPr>
              <w:t>Governor</w:t>
            </w:r>
            <w:r>
              <w:rPr>
                <w:spacing w:val="-2"/>
                <w:sz w:val="18"/>
              </w:rPr>
              <w:t xml:space="preserve"> </w:t>
            </w:r>
            <w:r>
              <w:rPr>
                <w:sz w:val="18"/>
              </w:rPr>
              <w:t>Decree</w:t>
            </w:r>
            <w:r>
              <w:rPr>
                <w:spacing w:val="-2"/>
                <w:sz w:val="18"/>
              </w:rPr>
              <w:t xml:space="preserve"> </w:t>
            </w:r>
            <w:r>
              <w:rPr>
                <w:sz w:val="18"/>
              </w:rPr>
              <w:t>No.</w:t>
            </w:r>
            <w:r>
              <w:rPr>
                <w:spacing w:val="-3"/>
                <w:sz w:val="18"/>
              </w:rPr>
              <w:t xml:space="preserve"> </w:t>
            </w:r>
            <w:r>
              <w:rPr>
                <w:sz w:val="18"/>
              </w:rPr>
              <w:t>1841/2024</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Establishment</w:t>
            </w:r>
            <w:r>
              <w:rPr>
                <w:spacing w:val="-1"/>
                <w:sz w:val="18"/>
              </w:rPr>
              <w:t xml:space="preserve"> </w:t>
            </w:r>
            <w:r>
              <w:rPr>
                <w:sz w:val="18"/>
              </w:rPr>
              <w:t>of</w:t>
            </w:r>
            <w:r>
              <w:rPr>
                <w:spacing w:val="-3"/>
                <w:sz w:val="18"/>
              </w:rPr>
              <w:t xml:space="preserve"> </w:t>
            </w:r>
            <w:r>
              <w:rPr>
                <w:sz w:val="18"/>
              </w:rPr>
              <w:t>the</w:t>
            </w:r>
            <w:r>
              <w:rPr>
                <w:spacing w:val="-2"/>
                <w:sz w:val="18"/>
              </w:rPr>
              <w:t xml:space="preserve"> </w:t>
            </w:r>
            <w:r>
              <w:rPr>
                <w:sz w:val="18"/>
              </w:rPr>
              <w:t>Assistance</w:t>
            </w:r>
            <w:r>
              <w:rPr>
                <w:spacing w:val="-2"/>
                <w:sz w:val="18"/>
              </w:rPr>
              <w:t xml:space="preserve"> </w:t>
            </w:r>
            <w:r>
              <w:rPr>
                <w:sz w:val="18"/>
              </w:rPr>
              <w:t>Team</w:t>
            </w:r>
            <w:r>
              <w:rPr>
                <w:spacing w:val="-3"/>
                <w:sz w:val="18"/>
              </w:rPr>
              <w:t xml:space="preserve"> </w:t>
            </w:r>
            <w:r>
              <w:rPr>
                <w:sz w:val="18"/>
              </w:rPr>
              <w:t>for</w:t>
            </w:r>
            <w:r>
              <w:rPr>
                <w:spacing w:val="-2"/>
                <w:sz w:val="18"/>
              </w:rPr>
              <w:t xml:space="preserve"> </w:t>
            </w:r>
            <w:r>
              <w:rPr>
                <w:spacing w:val="-5"/>
                <w:sz w:val="18"/>
              </w:rPr>
              <w:t>the</w:t>
            </w:r>
          </w:p>
          <w:p w14:paraId="5D7E254A" w14:textId="77777777" w:rsidR="00BC24A8" w:rsidRDefault="00000000">
            <w:pPr>
              <w:pStyle w:val="TableParagraph"/>
              <w:spacing w:line="199" w:lineRule="exact"/>
              <w:ind w:left="107"/>
              <w:rPr>
                <w:sz w:val="18"/>
              </w:rPr>
            </w:pPr>
            <w:r>
              <w:rPr>
                <w:sz w:val="18"/>
              </w:rPr>
              <w:t>Preparation</w:t>
            </w:r>
            <w:r>
              <w:rPr>
                <w:spacing w:val="-2"/>
                <w:sz w:val="18"/>
              </w:rPr>
              <w:t xml:space="preserve"> </w:t>
            </w:r>
            <w:r>
              <w:rPr>
                <w:sz w:val="18"/>
              </w:rPr>
              <w:t>of</w:t>
            </w:r>
            <w:r>
              <w:rPr>
                <w:spacing w:val="-3"/>
                <w:sz w:val="18"/>
              </w:rPr>
              <w:t xml:space="preserve"> </w:t>
            </w:r>
            <w:r>
              <w:rPr>
                <w:sz w:val="18"/>
              </w:rPr>
              <w:t>Business</w:t>
            </w:r>
            <w:r>
              <w:rPr>
                <w:spacing w:val="-2"/>
                <w:sz w:val="18"/>
              </w:rPr>
              <w:t xml:space="preserve"> </w:t>
            </w:r>
            <w:r>
              <w:rPr>
                <w:sz w:val="18"/>
              </w:rPr>
              <w:t>Process</w:t>
            </w:r>
            <w:r>
              <w:rPr>
                <w:spacing w:val="-2"/>
                <w:sz w:val="18"/>
              </w:rPr>
              <w:t xml:space="preserve"> </w:t>
            </w:r>
            <w:r>
              <w:rPr>
                <w:sz w:val="18"/>
              </w:rPr>
              <w:t>Maps</w:t>
            </w:r>
            <w:r>
              <w:rPr>
                <w:spacing w:val="-2"/>
                <w:sz w:val="18"/>
              </w:rPr>
              <w:t xml:space="preserve"> </w:t>
            </w:r>
            <w:r>
              <w:rPr>
                <w:sz w:val="18"/>
              </w:rPr>
              <w:t>of</w:t>
            </w:r>
            <w:r>
              <w:rPr>
                <w:spacing w:val="-3"/>
                <w:sz w:val="18"/>
              </w:rPr>
              <w:t xml:space="preserve"> </w:t>
            </w:r>
            <w:r>
              <w:rPr>
                <w:sz w:val="18"/>
              </w:rPr>
              <w:t>Regional</w:t>
            </w:r>
            <w:r>
              <w:rPr>
                <w:spacing w:val="-1"/>
                <w:sz w:val="18"/>
              </w:rPr>
              <w:t xml:space="preserve"> </w:t>
            </w:r>
            <w:r>
              <w:rPr>
                <w:sz w:val="18"/>
              </w:rPr>
              <w:t>Apparatus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Maluku</w:t>
            </w:r>
            <w:r>
              <w:rPr>
                <w:spacing w:val="-2"/>
                <w:sz w:val="18"/>
              </w:rPr>
              <w:t xml:space="preserve"> </w:t>
            </w:r>
            <w:r>
              <w:rPr>
                <w:sz w:val="18"/>
              </w:rPr>
              <w:t xml:space="preserve">Provincial </w:t>
            </w:r>
            <w:r>
              <w:rPr>
                <w:spacing w:val="-2"/>
                <w:sz w:val="18"/>
              </w:rPr>
              <w:t>Government</w:t>
            </w:r>
          </w:p>
        </w:tc>
        <w:tc>
          <w:tcPr>
            <w:tcW w:w="1275" w:type="dxa"/>
            <w:tcBorders>
              <w:top w:val="single" w:sz="4" w:space="0" w:color="A6A6A6"/>
              <w:left w:val="single" w:sz="4" w:space="0" w:color="A6A6A6"/>
              <w:bottom w:val="single" w:sz="4" w:space="0" w:color="A6A6A6"/>
              <w:right w:val="single" w:sz="4" w:space="0" w:color="A6A6A6"/>
            </w:tcBorders>
          </w:tcPr>
          <w:p w14:paraId="4B697068" w14:textId="77777777" w:rsidR="00BC24A8" w:rsidRDefault="00000000">
            <w:pPr>
              <w:pStyle w:val="TableParagraph"/>
              <w:spacing w:before="1"/>
              <w:ind w:left="106"/>
              <w:rPr>
                <w:sz w:val="18"/>
              </w:rPr>
            </w:pPr>
            <w:r>
              <w:rPr>
                <w:spacing w:val="-2"/>
                <w:sz w:val="18"/>
              </w:rPr>
              <w:t>Maluku</w:t>
            </w:r>
          </w:p>
        </w:tc>
      </w:tr>
      <w:tr w:rsidR="00BC24A8" w14:paraId="64B882EF"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4CA7EEB2" w14:textId="77777777" w:rsidR="00BC24A8" w:rsidRDefault="00000000">
            <w:pPr>
              <w:pStyle w:val="TableParagraph"/>
              <w:spacing w:before="1"/>
              <w:ind w:left="9"/>
              <w:jc w:val="center"/>
              <w:rPr>
                <w:sz w:val="18"/>
              </w:rPr>
            </w:pPr>
            <w:r>
              <w:rPr>
                <w:spacing w:val="-5"/>
                <w:sz w:val="18"/>
              </w:rPr>
              <w:t>103</w:t>
            </w:r>
          </w:p>
        </w:tc>
        <w:tc>
          <w:tcPr>
            <w:tcW w:w="7760" w:type="dxa"/>
            <w:tcBorders>
              <w:top w:val="single" w:sz="4" w:space="0" w:color="A6A6A6"/>
              <w:left w:val="single" w:sz="4" w:space="0" w:color="A6A6A6"/>
              <w:bottom w:val="single" w:sz="4" w:space="0" w:color="A6A6A6"/>
              <w:right w:val="single" w:sz="4" w:space="0" w:color="A6A6A6"/>
            </w:tcBorders>
          </w:tcPr>
          <w:p w14:paraId="617D13F4" w14:textId="77777777" w:rsidR="00BC24A8" w:rsidRDefault="00000000">
            <w:pPr>
              <w:pStyle w:val="TableParagraph"/>
              <w:spacing w:line="220" w:lineRule="atLeast"/>
              <w:ind w:left="107" w:right="122"/>
              <w:rPr>
                <w:sz w:val="18"/>
              </w:rPr>
            </w:pPr>
            <w:r>
              <w:rPr>
                <w:sz w:val="18"/>
              </w:rPr>
              <w:t>Maluku</w:t>
            </w:r>
            <w:r>
              <w:rPr>
                <w:spacing w:val="-3"/>
                <w:sz w:val="18"/>
              </w:rPr>
              <w:t xml:space="preserve"> </w:t>
            </w: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1095/2025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Dissemination</w:t>
            </w:r>
            <w:r>
              <w:rPr>
                <w:spacing w:val="-3"/>
                <w:sz w:val="18"/>
              </w:rPr>
              <w:t xml:space="preserve"> </w:t>
            </w:r>
            <w:r>
              <w:rPr>
                <w:sz w:val="18"/>
              </w:rPr>
              <w:t>of</w:t>
            </w:r>
            <w:r>
              <w:rPr>
                <w:spacing w:val="-4"/>
                <w:sz w:val="18"/>
              </w:rPr>
              <w:t xml:space="preserve"> </w:t>
            </w:r>
            <w:r>
              <w:rPr>
                <w:sz w:val="18"/>
              </w:rPr>
              <w:t>Regional</w:t>
            </w:r>
            <w:r>
              <w:rPr>
                <w:spacing w:val="-2"/>
                <w:sz w:val="18"/>
              </w:rPr>
              <w:t xml:space="preserve"> </w:t>
            </w:r>
            <w:r>
              <w:rPr>
                <w:sz w:val="18"/>
              </w:rPr>
              <w:t>Sectoral</w:t>
            </w:r>
            <w:r>
              <w:rPr>
                <w:spacing w:val="-2"/>
                <w:sz w:val="18"/>
              </w:rPr>
              <w:t xml:space="preserve"> </w:t>
            </w:r>
            <w:r>
              <w:rPr>
                <w:sz w:val="18"/>
              </w:rPr>
              <w:t>Statistical</w:t>
            </w:r>
            <w:r>
              <w:rPr>
                <w:spacing w:val="-2"/>
                <w:sz w:val="18"/>
              </w:rPr>
              <w:t xml:space="preserve"> </w:t>
            </w:r>
            <w:r>
              <w:rPr>
                <w:sz w:val="18"/>
              </w:rPr>
              <w:t>Data</w:t>
            </w:r>
            <w:r>
              <w:rPr>
                <w:spacing w:val="-4"/>
                <w:sz w:val="18"/>
              </w:rPr>
              <w:t xml:space="preserve"> </w:t>
            </w:r>
            <w:r>
              <w:rPr>
                <w:sz w:val="18"/>
              </w:rPr>
              <w:t>of Maluku Province for 2019-2023 through SIPD RI e-walidata</w:t>
            </w:r>
          </w:p>
        </w:tc>
        <w:tc>
          <w:tcPr>
            <w:tcW w:w="1275" w:type="dxa"/>
            <w:tcBorders>
              <w:top w:val="single" w:sz="4" w:space="0" w:color="A6A6A6"/>
              <w:left w:val="single" w:sz="4" w:space="0" w:color="A6A6A6"/>
              <w:bottom w:val="single" w:sz="4" w:space="0" w:color="A6A6A6"/>
              <w:right w:val="single" w:sz="4" w:space="0" w:color="A6A6A6"/>
            </w:tcBorders>
          </w:tcPr>
          <w:p w14:paraId="16736A0F" w14:textId="77777777" w:rsidR="00BC24A8" w:rsidRDefault="00000000">
            <w:pPr>
              <w:pStyle w:val="TableParagraph"/>
              <w:spacing w:before="1"/>
              <w:ind w:left="106"/>
              <w:rPr>
                <w:sz w:val="18"/>
              </w:rPr>
            </w:pPr>
            <w:r>
              <w:rPr>
                <w:spacing w:val="-2"/>
                <w:sz w:val="18"/>
              </w:rPr>
              <w:t>Maluku</w:t>
            </w:r>
          </w:p>
        </w:tc>
      </w:tr>
      <w:tr w:rsidR="00BC24A8" w14:paraId="35947130"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15840197" w14:textId="77777777" w:rsidR="00BC24A8" w:rsidRDefault="00000000">
            <w:pPr>
              <w:pStyle w:val="TableParagraph"/>
              <w:spacing w:line="219" w:lineRule="exact"/>
              <w:ind w:left="9"/>
              <w:jc w:val="center"/>
              <w:rPr>
                <w:sz w:val="18"/>
              </w:rPr>
            </w:pPr>
            <w:r>
              <w:rPr>
                <w:spacing w:val="-5"/>
                <w:sz w:val="18"/>
              </w:rPr>
              <w:t>104</w:t>
            </w:r>
          </w:p>
        </w:tc>
        <w:tc>
          <w:tcPr>
            <w:tcW w:w="7760" w:type="dxa"/>
            <w:tcBorders>
              <w:top w:val="single" w:sz="4" w:space="0" w:color="A6A6A6"/>
              <w:left w:val="single" w:sz="4" w:space="0" w:color="A6A6A6"/>
              <w:bottom w:val="single" w:sz="4" w:space="0" w:color="A6A6A6"/>
              <w:right w:val="single" w:sz="4" w:space="0" w:color="A6A6A6"/>
            </w:tcBorders>
          </w:tcPr>
          <w:p w14:paraId="043DAD84" w14:textId="77777777" w:rsidR="00BC24A8" w:rsidRDefault="00000000">
            <w:pPr>
              <w:pStyle w:val="TableParagraph"/>
              <w:spacing w:line="219" w:lineRule="exact"/>
              <w:ind w:left="107"/>
              <w:rPr>
                <w:sz w:val="18"/>
              </w:rPr>
            </w:pPr>
            <w:r>
              <w:rPr>
                <w:sz w:val="18"/>
              </w:rPr>
              <w:t>Regional</w:t>
            </w:r>
            <w:r>
              <w:rPr>
                <w:spacing w:val="-2"/>
                <w:sz w:val="18"/>
              </w:rPr>
              <w:t xml:space="preserve"> </w:t>
            </w:r>
            <w:r>
              <w:rPr>
                <w:sz w:val="18"/>
              </w:rPr>
              <w:t>Regulation</w:t>
            </w:r>
            <w:r>
              <w:rPr>
                <w:spacing w:val="-3"/>
                <w:sz w:val="18"/>
              </w:rPr>
              <w:t xml:space="preserve"> </w:t>
            </w:r>
            <w:r>
              <w:rPr>
                <w:sz w:val="18"/>
              </w:rPr>
              <w:t>No.</w:t>
            </w:r>
            <w:r>
              <w:rPr>
                <w:spacing w:val="-4"/>
                <w:sz w:val="18"/>
              </w:rPr>
              <w:t xml:space="preserve"> </w:t>
            </w:r>
            <w:r>
              <w:rPr>
                <w:sz w:val="18"/>
              </w:rPr>
              <w:t>7/2024</w:t>
            </w:r>
            <w:r>
              <w:rPr>
                <w:spacing w:val="-3"/>
                <w:sz w:val="18"/>
              </w:rPr>
              <w:t xml:space="preserve"> </w:t>
            </w:r>
            <w:r>
              <w:rPr>
                <w:sz w:val="18"/>
              </w:rPr>
              <w:t>on</w:t>
            </w:r>
            <w:r>
              <w:rPr>
                <w:spacing w:val="-3"/>
                <w:sz w:val="18"/>
              </w:rPr>
              <w:t xml:space="preserve"> </w:t>
            </w:r>
            <w:r>
              <w:rPr>
                <w:sz w:val="18"/>
              </w:rPr>
              <w:t>Gender</w:t>
            </w:r>
            <w:r>
              <w:rPr>
                <w:spacing w:val="-3"/>
                <w:sz w:val="18"/>
              </w:rPr>
              <w:t xml:space="preserve"> </w:t>
            </w:r>
            <w:r>
              <w:rPr>
                <w:sz w:val="18"/>
              </w:rPr>
              <w:t>Mainstreaming</w:t>
            </w:r>
            <w:r>
              <w:rPr>
                <w:spacing w:val="-3"/>
                <w:sz w:val="18"/>
              </w:rPr>
              <w:t xml:space="preserve"> </w:t>
            </w:r>
            <w:r>
              <w:rPr>
                <w:spacing w:val="-4"/>
                <w:sz w:val="18"/>
              </w:rPr>
              <w:t>(PUG)</w:t>
            </w:r>
          </w:p>
        </w:tc>
        <w:tc>
          <w:tcPr>
            <w:tcW w:w="1275" w:type="dxa"/>
            <w:tcBorders>
              <w:top w:val="single" w:sz="4" w:space="0" w:color="A6A6A6"/>
              <w:left w:val="single" w:sz="4" w:space="0" w:color="A6A6A6"/>
              <w:bottom w:val="single" w:sz="4" w:space="0" w:color="A6A6A6"/>
              <w:right w:val="single" w:sz="4" w:space="0" w:color="A6A6A6"/>
            </w:tcBorders>
          </w:tcPr>
          <w:p w14:paraId="4D364225" w14:textId="77777777" w:rsidR="00BC24A8" w:rsidRDefault="00000000">
            <w:pPr>
              <w:pStyle w:val="TableParagraph"/>
              <w:spacing w:line="219" w:lineRule="exact"/>
              <w:ind w:left="106"/>
              <w:rPr>
                <w:sz w:val="18"/>
              </w:rPr>
            </w:pPr>
            <w:r>
              <w:rPr>
                <w:spacing w:val="-2"/>
                <w:sz w:val="18"/>
              </w:rPr>
              <w:t>Maluku</w:t>
            </w:r>
          </w:p>
        </w:tc>
      </w:tr>
      <w:tr w:rsidR="00BC24A8" w14:paraId="1019814E"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1AC71FEC" w14:textId="77777777" w:rsidR="00BC24A8" w:rsidRDefault="00000000">
            <w:pPr>
              <w:pStyle w:val="TableParagraph"/>
              <w:spacing w:line="219" w:lineRule="exact"/>
              <w:ind w:left="9"/>
              <w:jc w:val="center"/>
              <w:rPr>
                <w:sz w:val="18"/>
              </w:rPr>
            </w:pPr>
            <w:r>
              <w:rPr>
                <w:spacing w:val="-5"/>
                <w:sz w:val="18"/>
              </w:rPr>
              <w:t>105</w:t>
            </w:r>
          </w:p>
        </w:tc>
        <w:tc>
          <w:tcPr>
            <w:tcW w:w="7760" w:type="dxa"/>
            <w:tcBorders>
              <w:top w:val="single" w:sz="4" w:space="0" w:color="A6A6A6"/>
              <w:left w:val="single" w:sz="4" w:space="0" w:color="A6A6A6"/>
              <w:bottom w:val="single" w:sz="4" w:space="0" w:color="A6A6A6"/>
              <w:right w:val="single" w:sz="4" w:space="0" w:color="A6A6A6"/>
            </w:tcBorders>
          </w:tcPr>
          <w:p w14:paraId="64206046" w14:textId="77777777" w:rsidR="00BC24A8" w:rsidRDefault="00000000">
            <w:pPr>
              <w:pStyle w:val="TableParagraph"/>
              <w:spacing w:line="219" w:lineRule="exact"/>
              <w:ind w:left="107"/>
              <w:rPr>
                <w:sz w:val="18"/>
              </w:rPr>
            </w:pPr>
            <w:r>
              <w:rPr>
                <w:sz w:val="18"/>
              </w:rPr>
              <w:t>Head</w:t>
            </w:r>
            <w:r>
              <w:rPr>
                <w:spacing w:val="-2"/>
                <w:sz w:val="18"/>
              </w:rPr>
              <w:t xml:space="preserve"> </w:t>
            </w:r>
            <w:r>
              <w:rPr>
                <w:sz w:val="18"/>
              </w:rPr>
              <w:t>of</w:t>
            </w:r>
            <w:r>
              <w:rPr>
                <w:spacing w:val="-3"/>
                <w:sz w:val="18"/>
              </w:rPr>
              <w:t xml:space="preserve"> </w:t>
            </w:r>
            <w:r>
              <w:rPr>
                <w:sz w:val="18"/>
              </w:rPr>
              <w:t>Bappeda</w:t>
            </w:r>
            <w:r>
              <w:rPr>
                <w:spacing w:val="-2"/>
                <w:sz w:val="18"/>
              </w:rPr>
              <w:t xml:space="preserve"> </w:t>
            </w:r>
            <w:r>
              <w:rPr>
                <w:sz w:val="18"/>
              </w:rPr>
              <w:t>Decree</w:t>
            </w:r>
            <w:r>
              <w:rPr>
                <w:spacing w:val="-2"/>
                <w:sz w:val="18"/>
              </w:rPr>
              <w:t xml:space="preserve"> </w:t>
            </w:r>
            <w:r>
              <w:rPr>
                <w:sz w:val="18"/>
              </w:rPr>
              <w:t>on</w:t>
            </w:r>
            <w:r>
              <w:rPr>
                <w:spacing w:val="-1"/>
                <w:sz w:val="18"/>
              </w:rPr>
              <w:t xml:space="preserve"> </w:t>
            </w:r>
            <w:r>
              <w:rPr>
                <w:sz w:val="18"/>
              </w:rPr>
              <w:t>the</w:t>
            </w:r>
            <w:r>
              <w:rPr>
                <w:spacing w:val="-2"/>
                <w:sz w:val="18"/>
              </w:rPr>
              <w:t xml:space="preserve"> </w:t>
            </w:r>
            <w:r>
              <w:rPr>
                <w:sz w:val="18"/>
              </w:rPr>
              <w:t>Facilitator</w:t>
            </w:r>
            <w:r>
              <w:rPr>
                <w:spacing w:val="-2"/>
                <w:sz w:val="18"/>
              </w:rPr>
              <w:t xml:space="preserve"> </w:t>
            </w:r>
            <w:r>
              <w:rPr>
                <w:sz w:val="18"/>
              </w:rPr>
              <w:t>Team</w:t>
            </w:r>
            <w:r>
              <w:rPr>
                <w:spacing w:val="-2"/>
                <w:sz w:val="18"/>
              </w:rPr>
              <w:t xml:space="preserve"> </w:t>
            </w:r>
            <w:r>
              <w:rPr>
                <w:sz w:val="18"/>
              </w:rPr>
              <w:t>for</w:t>
            </w:r>
            <w:r>
              <w:rPr>
                <w:spacing w:val="-2"/>
                <w:sz w:val="18"/>
              </w:rPr>
              <w:t xml:space="preserve"> </w:t>
            </w:r>
            <w:r>
              <w:rPr>
                <w:sz w:val="18"/>
              </w:rPr>
              <w:t>the</w:t>
            </w:r>
            <w:r>
              <w:rPr>
                <w:spacing w:val="-1"/>
                <w:sz w:val="18"/>
              </w:rPr>
              <w:t xml:space="preserve"> </w:t>
            </w:r>
            <w:r>
              <w:rPr>
                <w:sz w:val="18"/>
              </w:rPr>
              <w:t>Development</w:t>
            </w:r>
            <w:r>
              <w:rPr>
                <w:spacing w:val="-1"/>
                <w:sz w:val="18"/>
              </w:rPr>
              <w:t xml:space="preserve"> </w:t>
            </w:r>
            <w:r>
              <w:rPr>
                <w:sz w:val="18"/>
              </w:rPr>
              <w:t>of</w:t>
            </w:r>
            <w:r>
              <w:rPr>
                <w:spacing w:val="-2"/>
                <w:sz w:val="18"/>
              </w:rPr>
              <w:t xml:space="preserve"> </w:t>
            </w:r>
            <w:r>
              <w:rPr>
                <w:sz w:val="18"/>
              </w:rPr>
              <w:t>RAD</w:t>
            </w:r>
            <w:r>
              <w:rPr>
                <w:spacing w:val="-1"/>
                <w:sz w:val="18"/>
              </w:rPr>
              <w:t xml:space="preserve"> </w:t>
            </w:r>
            <w:r>
              <w:rPr>
                <w:sz w:val="18"/>
              </w:rPr>
              <w:t>PD</w:t>
            </w:r>
            <w:r>
              <w:rPr>
                <w:spacing w:val="-1"/>
                <w:sz w:val="18"/>
              </w:rPr>
              <w:t xml:space="preserve"> </w:t>
            </w:r>
            <w:r>
              <w:rPr>
                <w:sz w:val="18"/>
              </w:rPr>
              <w:t>of</w:t>
            </w:r>
            <w:r>
              <w:rPr>
                <w:spacing w:val="-2"/>
                <w:sz w:val="18"/>
              </w:rPr>
              <w:t xml:space="preserve"> </w:t>
            </w:r>
            <w:r>
              <w:rPr>
                <w:sz w:val="18"/>
              </w:rPr>
              <w:t>Maluku</w:t>
            </w:r>
            <w:r>
              <w:rPr>
                <w:spacing w:val="-2"/>
                <w:sz w:val="18"/>
              </w:rPr>
              <w:t xml:space="preserve"> </w:t>
            </w:r>
            <w:r>
              <w:rPr>
                <w:sz w:val="18"/>
              </w:rPr>
              <w:t>Province</w:t>
            </w:r>
            <w:r>
              <w:rPr>
                <w:spacing w:val="-1"/>
                <w:sz w:val="18"/>
              </w:rPr>
              <w:t xml:space="preserve"> </w:t>
            </w:r>
            <w:r>
              <w:rPr>
                <w:spacing w:val="-5"/>
                <w:sz w:val="18"/>
              </w:rPr>
              <w:t>in</w:t>
            </w:r>
          </w:p>
          <w:p w14:paraId="491A3878" w14:textId="77777777" w:rsidR="00BC24A8" w:rsidRDefault="00000000">
            <w:pPr>
              <w:pStyle w:val="TableParagraph"/>
              <w:spacing w:before="1" w:line="199" w:lineRule="exact"/>
              <w:ind w:left="107"/>
              <w:rPr>
                <w:sz w:val="18"/>
              </w:rPr>
            </w:pPr>
            <w:r>
              <w:rPr>
                <w:spacing w:val="-4"/>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0DF521AC" w14:textId="77777777" w:rsidR="00BC24A8" w:rsidRDefault="00000000">
            <w:pPr>
              <w:pStyle w:val="TableParagraph"/>
              <w:spacing w:line="219" w:lineRule="exact"/>
              <w:ind w:left="106"/>
              <w:rPr>
                <w:sz w:val="18"/>
              </w:rPr>
            </w:pPr>
            <w:r>
              <w:rPr>
                <w:spacing w:val="-2"/>
                <w:sz w:val="18"/>
              </w:rPr>
              <w:t>Maluku</w:t>
            </w:r>
          </w:p>
        </w:tc>
      </w:tr>
      <w:tr w:rsidR="00BC24A8" w14:paraId="006F8076"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3D823B31" w14:textId="77777777" w:rsidR="00BC24A8" w:rsidRDefault="00000000">
            <w:pPr>
              <w:pStyle w:val="TableParagraph"/>
              <w:spacing w:before="1" w:line="218" w:lineRule="exact"/>
              <w:ind w:left="9"/>
              <w:jc w:val="center"/>
              <w:rPr>
                <w:sz w:val="18"/>
              </w:rPr>
            </w:pPr>
            <w:r>
              <w:rPr>
                <w:spacing w:val="-5"/>
                <w:sz w:val="18"/>
              </w:rPr>
              <w:t>106</w:t>
            </w:r>
          </w:p>
        </w:tc>
        <w:tc>
          <w:tcPr>
            <w:tcW w:w="7760" w:type="dxa"/>
            <w:tcBorders>
              <w:top w:val="single" w:sz="4" w:space="0" w:color="A6A6A6"/>
              <w:left w:val="single" w:sz="4" w:space="0" w:color="A6A6A6"/>
              <w:bottom w:val="single" w:sz="4" w:space="0" w:color="A6A6A6"/>
              <w:right w:val="single" w:sz="4" w:space="0" w:color="A6A6A6"/>
            </w:tcBorders>
          </w:tcPr>
          <w:p w14:paraId="4825A6EF" w14:textId="77777777" w:rsidR="00BC24A8" w:rsidRDefault="00000000">
            <w:pPr>
              <w:pStyle w:val="TableParagraph"/>
              <w:spacing w:before="1" w:line="218" w:lineRule="exact"/>
              <w:ind w:left="107"/>
              <w:rPr>
                <w:sz w:val="18"/>
              </w:rPr>
            </w:pPr>
            <w:r>
              <w:rPr>
                <w:sz w:val="18"/>
              </w:rPr>
              <w:t>Regional</w:t>
            </w:r>
            <w:r>
              <w:rPr>
                <w:spacing w:val="-2"/>
                <w:sz w:val="18"/>
              </w:rPr>
              <w:t xml:space="preserve"> </w:t>
            </w:r>
            <w:r>
              <w:rPr>
                <w:sz w:val="18"/>
              </w:rPr>
              <w:t>Regulation</w:t>
            </w:r>
            <w:r>
              <w:rPr>
                <w:spacing w:val="-3"/>
                <w:sz w:val="18"/>
              </w:rPr>
              <w:t xml:space="preserve"> </w:t>
            </w:r>
            <w:r>
              <w:rPr>
                <w:sz w:val="18"/>
              </w:rPr>
              <w:t>No.</w:t>
            </w:r>
            <w:r>
              <w:rPr>
                <w:spacing w:val="-4"/>
                <w:sz w:val="18"/>
              </w:rPr>
              <w:t xml:space="preserve"> </w:t>
            </w:r>
            <w:r>
              <w:rPr>
                <w:sz w:val="18"/>
              </w:rPr>
              <w:t>2/2024</w:t>
            </w:r>
            <w:r>
              <w:rPr>
                <w:spacing w:val="-3"/>
                <w:sz w:val="18"/>
              </w:rPr>
              <w:t xml:space="preserve"> </w:t>
            </w:r>
            <w:r>
              <w:rPr>
                <w:sz w:val="18"/>
              </w:rPr>
              <w:t>on</w:t>
            </w:r>
            <w:r>
              <w:rPr>
                <w:spacing w:val="-2"/>
                <w:sz w:val="18"/>
              </w:rPr>
              <w:t xml:space="preserve"> </w:t>
            </w:r>
            <w:r>
              <w:rPr>
                <w:spacing w:val="-4"/>
                <w:sz w:val="18"/>
              </w:rPr>
              <w:t>PDRD</w:t>
            </w:r>
          </w:p>
        </w:tc>
        <w:tc>
          <w:tcPr>
            <w:tcW w:w="1275" w:type="dxa"/>
            <w:tcBorders>
              <w:top w:val="single" w:sz="4" w:space="0" w:color="A6A6A6"/>
              <w:left w:val="single" w:sz="4" w:space="0" w:color="A6A6A6"/>
              <w:bottom w:val="single" w:sz="4" w:space="0" w:color="A6A6A6"/>
              <w:right w:val="single" w:sz="4" w:space="0" w:color="A6A6A6"/>
            </w:tcBorders>
          </w:tcPr>
          <w:p w14:paraId="6781FA62" w14:textId="77777777" w:rsidR="00BC24A8" w:rsidRDefault="00000000">
            <w:pPr>
              <w:pStyle w:val="TableParagraph"/>
              <w:spacing w:before="1" w:line="218" w:lineRule="exact"/>
              <w:ind w:left="106"/>
              <w:rPr>
                <w:sz w:val="18"/>
              </w:rPr>
            </w:pPr>
            <w:r>
              <w:rPr>
                <w:spacing w:val="-2"/>
                <w:sz w:val="18"/>
              </w:rPr>
              <w:t>Maluku</w:t>
            </w:r>
          </w:p>
        </w:tc>
      </w:tr>
      <w:tr w:rsidR="00BC24A8" w14:paraId="53BFD173"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509FCFD6" w14:textId="77777777" w:rsidR="00BC24A8" w:rsidRDefault="00000000">
            <w:pPr>
              <w:pStyle w:val="TableParagraph"/>
              <w:spacing w:before="1" w:line="218" w:lineRule="exact"/>
              <w:ind w:left="9"/>
              <w:jc w:val="center"/>
              <w:rPr>
                <w:sz w:val="18"/>
              </w:rPr>
            </w:pPr>
            <w:r>
              <w:rPr>
                <w:spacing w:val="-5"/>
                <w:sz w:val="18"/>
              </w:rPr>
              <w:t>107</w:t>
            </w:r>
          </w:p>
        </w:tc>
        <w:tc>
          <w:tcPr>
            <w:tcW w:w="7760" w:type="dxa"/>
            <w:tcBorders>
              <w:top w:val="single" w:sz="4" w:space="0" w:color="A6A6A6"/>
              <w:left w:val="single" w:sz="4" w:space="0" w:color="A6A6A6"/>
              <w:bottom w:val="single" w:sz="4" w:space="0" w:color="A6A6A6"/>
              <w:right w:val="single" w:sz="4" w:space="0" w:color="A6A6A6"/>
            </w:tcBorders>
          </w:tcPr>
          <w:p w14:paraId="1DF51B96" w14:textId="77777777" w:rsidR="00BC24A8" w:rsidRDefault="00000000">
            <w:pPr>
              <w:pStyle w:val="TableParagraph"/>
              <w:spacing w:before="1" w:line="218" w:lineRule="exact"/>
              <w:ind w:left="107"/>
              <w:rPr>
                <w:sz w:val="18"/>
              </w:rPr>
            </w:pPr>
            <w:r>
              <w:rPr>
                <w:sz w:val="18"/>
              </w:rPr>
              <w:t>Governor</w:t>
            </w:r>
            <w:r>
              <w:rPr>
                <w:spacing w:val="-5"/>
                <w:sz w:val="18"/>
              </w:rPr>
              <w:t xml:space="preserve"> </w:t>
            </w:r>
            <w:r>
              <w:rPr>
                <w:sz w:val="18"/>
              </w:rPr>
              <w:t>Regulation</w:t>
            </w:r>
            <w:r>
              <w:rPr>
                <w:spacing w:val="-2"/>
                <w:sz w:val="18"/>
              </w:rPr>
              <w:t xml:space="preserve"> </w:t>
            </w:r>
            <w:r>
              <w:rPr>
                <w:sz w:val="18"/>
              </w:rPr>
              <w:t>No.</w:t>
            </w:r>
            <w:r>
              <w:rPr>
                <w:spacing w:val="-4"/>
                <w:sz w:val="18"/>
              </w:rPr>
              <w:t xml:space="preserve"> </w:t>
            </w:r>
            <w:r>
              <w:rPr>
                <w:sz w:val="18"/>
              </w:rPr>
              <w:t>35/2024</w:t>
            </w:r>
            <w:r>
              <w:rPr>
                <w:spacing w:val="-2"/>
                <w:sz w:val="18"/>
              </w:rPr>
              <w:t xml:space="preserve"> </w:t>
            </w:r>
            <w:r>
              <w:rPr>
                <w:sz w:val="18"/>
              </w:rPr>
              <w:t>on</w:t>
            </w:r>
            <w:r>
              <w:rPr>
                <w:spacing w:val="-3"/>
                <w:sz w:val="18"/>
              </w:rPr>
              <w:t xml:space="preserve"> </w:t>
            </w:r>
            <w:r>
              <w:rPr>
                <w:sz w:val="18"/>
              </w:rPr>
              <w:t>Procedures</w:t>
            </w:r>
            <w:r>
              <w:rPr>
                <w:spacing w:val="-2"/>
                <w:sz w:val="18"/>
              </w:rPr>
              <w:t xml:space="preserve"> </w:t>
            </w:r>
            <w:r>
              <w:rPr>
                <w:sz w:val="18"/>
              </w:rPr>
              <w:t>for</w:t>
            </w:r>
            <w:r>
              <w:rPr>
                <w:spacing w:val="-3"/>
                <w:sz w:val="18"/>
              </w:rPr>
              <w:t xml:space="preserve"> </w:t>
            </w:r>
            <w:r>
              <w:rPr>
                <w:sz w:val="18"/>
              </w:rPr>
              <w:t>the</w:t>
            </w:r>
            <w:r>
              <w:rPr>
                <w:spacing w:val="-2"/>
                <w:sz w:val="18"/>
              </w:rPr>
              <w:t xml:space="preserve"> </w:t>
            </w:r>
            <w:r>
              <w:rPr>
                <w:sz w:val="18"/>
              </w:rPr>
              <w:t>Collection</w:t>
            </w:r>
            <w:r>
              <w:rPr>
                <w:spacing w:val="-6"/>
                <w:sz w:val="18"/>
              </w:rPr>
              <w:t xml:space="preserve"> </w:t>
            </w:r>
            <w:r>
              <w:rPr>
                <w:sz w:val="18"/>
              </w:rPr>
              <w:t>of</w:t>
            </w:r>
            <w:r>
              <w:rPr>
                <w:spacing w:val="-3"/>
                <w:sz w:val="18"/>
              </w:rPr>
              <w:t xml:space="preserve"> </w:t>
            </w:r>
            <w:r>
              <w:rPr>
                <w:sz w:val="18"/>
              </w:rPr>
              <w:t>Regional</w:t>
            </w:r>
            <w:r>
              <w:rPr>
                <w:spacing w:val="-1"/>
                <w:sz w:val="18"/>
              </w:rPr>
              <w:t xml:space="preserve"> </w:t>
            </w:r>
            <w:r>
              <w:rPr>
                <w:spacing w:val="-2"/>
                <w:sz w:val="18"/>
              </w:rPr>
              <w:t>Taxes</w:t>
            </w:r>
          </w:p>
        </w:tc>
        <w:tc>
          <w:tcPr>
            <w:tcW w:w="1275" w:type="dxa"/>
            <w:tcBorders>
              <w:top w:val="single" w:sz="4" w:space="0" w:color="A6A6A6"/>
              <w:left w:val="single" w:sz="4" w:space="0" w:color="A6A6A6"/>
              <w:bottom w:val="single" w:sz="4" w:space="0" w:color="A6A6A6"/>
              <w:right w:val="single" w:sz="4" w:space="0" w:color="A6A6A6"/>
            </w:tcBorders>
          </w:tcPr>
          <w:p w14:paraId="5F301C70" w14:textId="77777777" w:rsidR="00BC24A8" w:rsidRDefault="00000000">
            <w:pPr>
              <w:pStyle w:val="TableParagraph"/>
              <w:spacing w:before="1" w:line="218" w:lineRule="exact"/>
              <w:ind w:left="106"/>
              <w:rPr>
                <w:sz w:val="18"/>
              </w:rPr>
            </w:pPr>
            <w:r>
              <w:rPr>
                <w:spacing w:val="-2"/>
                <w:sz w:val="18"/>
              </w:rPr>
              <w:t>Maluku</w:t>
            </w:r>
          </w:p>
        </w:tc>
      </w:tr>
      <w:tr w:rsidR="00BC24A8" w14:paraId="6AE516C4"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00D2FDAD" w14:textId="77777777" w:rsidR="00BC24A8" w:rsidRDefault="00000000">
            <w:pPr>
              <w:pStyle w:val="TableParagraph"/>
              <w:spacing w:before="1" w:line="218" w:lineRule="exact"/>
              <w:ind w:left="9"/>
              <w:jc w:val="center"/>
              <w:rPr>
                <w:sz w:val="18"/>
              </w:rPr>
            </w:pPr>
            <w:r>
              <w:rPr>
                <w:spacing w:val="-5"/>
                <w:sz w:val="18"/>
              </w:rPr>
              <w:t>108</w:t>
            </w:r>
          </w:p>
        </w:tc>
        <w:tc>
          <w:tcPr>
            <w:tcW w:w="7760" w:type="dxa"/>
            <w:tcBorders>
              <w:top w:val="single" w:sz="4" w:space="0" w:color="A6A6A6"/>
              <w:left w:val="single" w:sz="4" w:space="0" w:color="A6A6A6"/>
              <w:bottom w:val="single" w:sz="4" w:space="0" w:color="A6A6A6"/>
              <w:right w:val="single" w:sz="4" w:space="0" w:color="A6A6A6"/>
            </w:tcBorders>
          </w:tcPr>
          <w:p w14:paraId="395A819B" w14:textId="77777777" w:rsidR="00BC24A8" w:rsidRDefault="00000000">
            <w:pPr>
              <w:pStyle w:val="TableParagraph"/>
              <w:spacing w:before="1" w:line="218" w:lineRule="exact"/>
              <w:ind w:left="107"/>
              <w:rPr>
                <w:sz w:val="18"/>
              </w:rPr>
            </w:pPr>
            <w:r>
              <w:rPr>
                <w:sz w:val="18"/>
              </w:rPr>
              <w:t>Governor</w:t>
            </w:r>
            <w:r>
              <w:rPr>
                <w:spacing w:val="-5"/>
                <w:sz w:val="18"/>
              </w:rPr>
              <w:t xml:space="preserve"> </w:t>
            </w:r>
            <w:r>
              <w:rPr>
                <w:sz w:val="18"/>
              </w:rPr>
              <w:t>Regulation</w:t>
            </w:r>
            <w:r>
              <w:rPr>
                <w:spacing w:val="-2"/>
                <w:sz w:val="18"/>
              </w:rPr>
              <w:t xml:space="preserve"> </w:t>
            </w:r>
            <w:r>
              <w:rPr>
                <w:sz w:val="18"/>
              </w:rPr>
              <w:t>No.</w:t>
            </w:r>
            <w:r>
              <w:rPr>
                <w:spacing w:val="-4"/>
                <w:sz w:val="18"/>
              </w:rPr>
              <w:t xml:space="preserve"> </w:t>
            </w:r>
            <w:r>
              <w:rPr>
                <w:sz w:val="18"/>
              </w:rPr>
              <w:t>36/2024</w:t>
            </w:r>
            <w:r>
              <w:rPr>
                <w:spacing w:val="-2"/>
                <w:sz w:val="18"/>
              </w:rPr>
              <w:t xml:space="preserve"> </w:t>
            </w:r>
            <w:r>
              <w:rPr>
                <w:sz w:val="18"/>
              </w:rPr>
              <w:t>on</w:t>
            </w:r>
            <w:r>
              <w:rPr>
                <w:spacing w:val="-3"/>
                <w:sz w:val="18"/>
              </w:rPr>
              <w:t xml:space="preserve"> </w:t>
            </w:r>
            <w:r>
              <w:rPr>
                <w:sz w:val="18"/>
              </w:rPr>
              <w:t>Procedures</w:t>
            </w:r>
            <w:r>
              <w:rPr>
                <w:spacing w:val="-2"/>
                <w:sz w:val="18"/>
              </w:rPr>
              <w:t xml:space="preserve"> </w:t>
            </w:r>
            <w:r>
              <w:rPr>
                <w:sz w:val="18"/>
              </w:rPr>
              <w:t>for</w:t>
            </w:r>
            <w:r>
              <w:rPr>
                <w:spacing w:val="-3"/>
                <w:sz w:val="18"/>
              </w:rPr>
              <w:t xml:space="preserve"> </w:t>
            </w:r>
            <w:r>
              <w:rPr>
                <w:sz w:val="18"/>
              </w:rPr>
              <w:t>the</w:t>
            </w:r>
            <w:r>
              <w:rPr>
                <w:spacing w:val="-2"/>
                <w:sz w:val="18"/>
              </w:rPr>
              <w:t xml:space="preserve"> </w:t>
            </w:r>
            <w:r>
              <w:rPr>
                <w:sz w:val="18"/>
              </w:rPr>
              <w:t>Collection</w:t>
            </w:r>
            <w:r>
              <w:rPr>
                <w:spacing w:val="-6"/>
                <w:sz w:val="18"/>
              </w:rPr>
              <w:t xml:space="preserve"> </w:t>
            </w:r>
            <w:r>
              <w:rPr>
                <w:sz w:val="18"/>
              </w:rPr>
              <w:t>of</w:t>
            </w:r>
            <w:r>
              <w:rPr>
                <w:spacing w:val="-3"/>
                <w:sz w:val="18"/>
              </w:rPr>
              <w:t xml:space="preserve"> </w:t>
            </w:r>
            <w:r>
              <w:rPr>
                <w:sz w:val="18"/>
              </w:rPr>
              <w:t>Regional</w:t>
            </w:r>
            <w:r>
              <w:rPr>
                <w:spacing w:val="-1"/>
                <w:sz w:val="18"/>
              </w:rPr>
              <w:t xml:space="preserve"> </w:t>
            </w:r>
            <w:r>
              <w:rPr>
                <w:spacing w:val="-2"/>
                <w:sz w:val="18"/>
              </w:rPr>
              <w:t>Levies</w:t>
            </w:r>
          </w:p>
        </w:tc>
        <w:tc>
          <w:tcPr>
            <w:tcW w:w="1275" w:type="dxa"/>
            <w:tcBorders>
              <w:top w:val="single" w:sz="4" w:space="0" w:color="A6A6A6"/>
              <w:left w:val="single" w:sz="4" w:space="0" w:color="A6A6A6"/>
              <w:bottom w:val="single" w:sz="4" w:space="0" w:color="A6A6A6"/>
              <w:right w:val="single" w:sz="4" w:space="0" w:color="A6A6A6"/>
            </w:tcBorders>
          </w:tcPr>
          <w:p w14:paraId="602AF425" w14:textId="77777777" w:rsidR="00BC24A8" w:rsidRDefault="00000000">
            <w:pPr>
              <w:pStyle w:val="TableParagraph"/>
              <w:spacing w:before="1" w:line="218" w:lineRule="exact"/>
              <w:ind w:left="106"/>
              <w:rPr>
                <w:sz w:val="18"/>
              </w:rPr>
            </w:pPr>
            <w:r>
              <w:rPr>
                <w:spacing w:val="-2"/>
                <w:sz w:val="18"/>
              </w:rPr>
              <w:t>Maluku</w:t>
            </w:r>
          </w:p>
        </w:tc>
      </w:tr>
      <w:tr w:rsidR="00BC24A8" w14:paraId="1EB3FC8D" w14:textId="77777777">
        <w:trPr>
          <w:trHeight w:val="251"/>
        </w:trPr>
        <w:tc>
          <w:tcPr>
            <w:tcW w:w="490" w:type="dxa"/>
            <w:tcBorders>
              <w:top w:val="single" w:sz="4" w:space="0" w:color="A6A6A6"/>
              <w:left w:val="single" w:sz="4" w:space="0" w:color="A6A6A6"/>
              <w:bottom w:val="single" w:sz="4" w:space="0" w:color="A6A6A6"/>
              <w:right w:val="single" w:sz="4" w:space="0" w:color="A6A6A6"/>
            </w:tcBorders>
          </w:tcPr>
          <w:p w14:paraId="71A7498C" w14:textId="77777777" w:rsidR="00BC24A8" w:rsidRDefault="00000000">
            <w:pPr>
              <w:pStyle w:val="TableParagraph"/>
              <w:spacing w:before="1"/>
              <w:ind w:left="9"/>
              <w:jc w:val="center"/>
              <w:rPr>
                <w:sz w:val="18"/>
              </w:rPr>
            </w:pPr>
            <w:r>
              <w:rPr>
                <w:spacing w:val="-5"/>
                <w:sz w:val="18"/>
              </w:rPr>
              <w:t>109</w:t>
            </w:r>
          </w:p>
        </w:tc>
        <w:tc>
          <w:tcPr>
            <w:tcW w:w="7760" w:type="dxa"/>
            <w:tcBorders>
              <w:top w:val="single" w:sz="4" w:space="0" w:color="A6A6A6"/>
              <w:left w:val="single" w:sz="4" w:space="0" w:color="A6A6A6"/>
              <w:bottom w:val="single" w:sz="4" w:space="0" w:color="A6A6A6"/>
              <w:right w:val="single" w:sz="4" w:space="0" w:color="A6A6A6"/>
            </w:tcBorders>
          </w:tcPr>
          <w:p w14:paraId="39BD72E0" w14:textId="77777777" w:rsidR="00BC24A8" w:rsidRDefault="00000000">
            <w:pPr>
              <w:pStyle w:val="TableParagraph"/>
              <w:spacing w:before="1"/>
              <w:ind w:left="107"/>
              <w:rPr>
                <w:sz w:val="18"/>
              </w:rPr>
            </w:pPr>
            <w:r>
              <w:rPr>
                <w:sz w:val="18"/>
              </w:rPr>
              <w:t>Governor</w:t>
            </w:r>
            <w:r>
              <w:rPr>
                <w:spacing w:val="-5"/>
                <w:sz w:val="18"/>
              </w:rPr>
              <w:t xml:space="preserve"> </w:t>
            </w:r>
            <w:r>
              <w:rPr>
                <w:sz w:val="18"/>
              </w:rPr>
              <w:t>Regulation</w:t>
            </w:r>
            <w:r>
              <w:rPr>
                <w:spacing w:val="-2"/>
                <w:sz w:val="18"/>
              </w:rPr>
              <w:t xml:space="preserve"> </w:t>
            </w:r>
            <w:r>
              <w:rPr>
                <w:sz w:val="18"/>
              </w:rPr>
              <w:t>No.</w:t>
            </w:r>
            <w:r>
              <w:rPr>
                <w:spacing w:val="-3"/>
                <w:sz w:val="18"/>
              </w:rPr>
              <w:t xml:space="preserve"> </w:t>
            </w:r>
            <w:r>
              <w:rPr>
                <w:sz w:val="18"/>
              </w:rPr>
              <w:t>3/2024</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Action</w:t>
            </w:r>
            <w:r>
              <w:rPr>
                <w:spacing w:val="-2"/>
                <w:sz w:val="18"/>
              </w:rPr>
              <w:t xml:space="preserve"> </w:t>
            </w:r>
            <w:r>
              <w:rPr>
                <w:sz w:val="18"/>
              </w:rPr>
              <w:t>Plan</w:t>
            </w:r>
            <w:r>
              <w:rPr>
                <w:spacing w:val="-2"/>
                <w:sz w:val="18"/>
              </w:rPr>
              <w:t xml:space="preserve"> </w:t>
            </w:r>
            <w:r>
              <w:rPr>
                <w:sz w:val="18"/>
              </w:rPr>
              <w:t>for</w:t>
            </w:r>
            <w:r>
              <w:rPr>
                <w:spacing w:val="-2"/>
                <w:sz w:val="18"/>
              </w:rPr>
              <w:t xml:space="preserve"> </w:t>
            </w:r>
            <w:r>
              <w:rPr>
                <w:sz w:val="18"/>
              </w:rPr>
              <w:t>MSS</w:t>
            </w:r>
            <w:r>
              <w:rPr>
                <w:spacing w:val="-2"/>
                <w:sz w:val="18"/>
              </w:rPr>
              <w:t xml:space="preserve"> </w:t>
            </w:r>
            <w:r>
              <w:rPr>
                <w:sz w:val="18"/>
              </w:rPr>
              <w:t>2023-</w:t>
            </w:r>
            <w:r>
              <w:rPr>
                <w:spacing w:val="-4"/>
                <w:sz w:val="18"/>
              </w:rPr>
              <w:t>2027</w:t>
            </w:r>
          </w:p>
        </w:tc>
        <w:tc>
          <w:tcPr>
            <w:tcW w:w="1275" w:type="dxa"/>
            <w:tcBorders>
              <w:top w:val="single" w:sz="4" w:space="0" w:color="A6A6A6"/>
              <w:left w:val="single" w:sz="4" w:space="0" w:color="A6A6A6"/>
              <w:bottom w:val="single" w:sz="4" w:space="0" w:color="A6A6A6"/>
              <w:right w:val="single" w:sz="4" w:space="0" w:color="A6A6A6"/>
            </w:tcBorders>
          </w:tcPr>
          <w:p w14:paraId="33ECCE52" w14:textId="77777777" w:rsidR="00BC24A8" w:rsidRDefault="00000000">
            <w:pPr>
              <w:pStyle w:val="TableParagraph"/>
              <w:spacing w:before="1"/>
              <w:ind w:left="106"/>
              <w:rPr>
                <w:sz w:val="18"/>
              </w:rPr>
            </w:pPr>
            <w:r>
              <w:rPr>
                <w:spacing w:val="-2"/>
                <w:sz w:val="18"/>
              </w:rPr>
              <w:t>Maluku</w:t>
            </w:r>
          </w:p>
        </w:tc>
      </w:tr>
      <w:tr w:rsidR="00BC24A8" w14:paraId="39D3B188" w14:textId="77777777">
        <w:trPr>
          <w:trHeight w:val="268"/>
        </w:trPr>
        <w:tc>
          <w:tcPr>
            <w:tcW w:w="490" w:type="dxa"/>
            <w:tcBorders>
              <w:top w:val="single" w:sz="4" w:space="0" w:color="A6A6A6"/>
              <w:left w:val="single" w:sz="4" w:space="0" w:color="A6A6A6"/>
              <w:bottom w:val="single" w:sz="4" w:space="0" w:color="A6A6A6"/>
              <w:right w:val="single" w:sz="4" w:space="0" w:color="A6A6A6"/>
            </w:tcBorders>
          </w:tcPr>
          <w:p w14:paraId="79EC821D" w14:textId="77777777" w:rsidR="00BC24A8" w:rsidRDefault="00000000">
            <w:pPr>
              <w:pStyle w:val="TableParagraph"/>
              <w:spacing w:before="1"/>
              <w:ind w:left="9"/>
              <w:jc w:val="center"/>
              <w:rPr>
                <w:sz w:val="18"/>
              </w:rPr>
            </w:pPr>
            <w:r>
              <w:rPr>
                <w:spacing w:val="-5"/>
                <w:sz w:val="18"/>
              </w:rPr>
              <w:t>110</w:t>
            </w:r>
          </w:p>
        </w:tc>
        <w:tc>
          <w:tcPr>
            <w:tcW w:w="7760" w:type="dxa"/>
            <w:tcBorders>
              <w:top w:val="single" w:sz="4" w:space="0" w:color="A6A6A6"/>
              <w:left w:val="single" w:sz="4" w:space="0" w:color="A6A6A6"/>
              <w:bottom w:val="single" w:sz="4" w:space="0" w:color="A6A6A6"/>
              <w:right w:val="single" w:sz="4" w:space="0" w:color="A6A6A6"/>
            </w:tcBorders>
          </w:tcPr>
          <w:p w14:paraId="01488B06" w14:textId="77777777" w:rsidR="00BC24A8" w:rsidRDefault="00000000">
            <w:pPr>
              <w:pStyle w:val="TableParagraph"/>
              <w:spacing w:before="1"/>
              <w:ind w:left="107"/>
              <w:rPr>
                <w:sz w:val="18"/>
              </w:rPr>
            </w:pPr>
            <w:r>
              <w:rPr>
                <w:sz w:val="18"/>
              </w:rPr>
              <w:t>Regional</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9/2024</w:t>
            </w:r>
            <w:r>
              <w:rPr>
                <w:spacing w:val="-3"/>
                <w:sz w:val="18"/>
              </w:rPr>
              <w:t xml:space="preserve"> </w:t>
            </w:r>
            <w:r>
              <w:rPr>
                <w:sz w:val="18"/>
              </w:rPr>
              <w:t>on</w:t>
            </w:r>
            <w:r>
              <w:rPr>
                <w:spacing w:val="-3"/>
                <w:sz w:val="18"/>
              </w:rPr>
              <w:t xml:space="preserve"> </w:t>
            </w:r>
            <w:r>
              <w:rPr>
                <w:sz w:val="18"/>
              </w:rPr>
              <w:t>RPJPD</w:t>
            </w:r>
            <w:r>
              <w:rPr>
                <w:spacing w:val="-2"/>
                <w:sz w:val="18"/>
              </w:rPr>
              <w:t xml:space="preserve"> </w:t>
            </w:r>
            <w:r>
              <w:rPr>
                <w:sz w:val="18"/>
              </w:rPr>
              <w:t>of</w:t>
            </w:r>
            <w:r>
              <w:rPr>
                <w:spacing w:val="-4"/>
                <w:sz w:val="18"/>
              </w:rPr>
              <w:t xml:space="preserve"> </w:t>
            </w:r>
            <w:r>
              <w:rPr>
                <w:sz w:val="18"/>
              </w:rPr>
              <w:t>Maluku</w:t>
            </w:r>
            <w:r>
              <w:rPr>
                <w:spacing w:val="-3"/>
                <w:sz w:val="18"/>
              </w:rPr>
              <w:t xml:space="preserve"> </w:t>
            </w:r>
            <w:r>
              <w:rPr>
                <w:sz w:val="18"/>
              </w:rPr>
              <w:t>2025-</w:t>
            </w:r>
            <w:r>
              <w:rPr>
                <w:spacing w:val="-4"/>
                <w:sz w:val="18"/>
              </w:rPr>
              <w:t>2045</w:t>
            </w:r>
          </w:p>
        </w:tc>
        <w:tc>
          <w:tcPr>
            <w:tcW w:w="1275" w:type="dxa"/>
            <w:tcBorders>
              <w:top w:val="single" w:sz="4" w:space="0" w:color="A6A6A6"/>
              <w:left w:val="single" w:sz="4" w:space="0" w:color="A6A6A6"/>
              <w:bottom w:val="single" w:sz="4" w:space="0" w:color="A6A6A6"/>
              <w:right w:val="single" w:sz="4" w:space="0" w:color="A6A6A6"/>
            </w:tcBorders>
          </w:tcPr>
          <w:p w14:paraId="570A1BA7" w14:textId="77777777" w:rsidR="00BC24A8" w:rsidRDefault="00000000">
            <w:pPr>
              <w:pStyle w:val="TableParagraph"/>
              <w:spacing w:before="1"/>
              <w:ind w:left="106"/>
              <w:rPr>
                <w:sz w:val="18"/>
              </w:rPr>
            </w:pPr>
            <w:r>
              <w:rPr>
                <w:spacing w:val="-2"/>
                <w:sz w:val="18"/>
              </w:rPr>
              <w:t>Maluku</w:t>
            </w:r>
          </w:p>
        </w:tc>
      </w:tr>
      <w:tr w:rsidR="00BC24A8" w14:paraId="0E968BD2" w14:textId="77777777">
        <w:trPr>
          <w:trHeight w:val="482"/>
        </w:trPr>
        <w:tc>
          <w:tcPr>
            <w:tcW w:w="490" w:type="dxa"/>
            <w:tcBorders>
              <w:top w:val="single" w:sz="4" w:space="0" w:color="A6A6A6"/>
              <w:left w:val="single" w:sz="4" w:space="0" w:color="A6A6A6"/>
              <w:bottom w:val="single" w:sz="4" w:space="0" w:color="A6A6A6"/>
              <w:right w:val="single" w:sz="4" w:space="0" w:color="A6A6A6"/>
            </w:tcBorders>
          </w:tcPr>
          <w:p w14:paraId="094E87E0" w14:textId="77777777" w:rsidR="00BC24A8" w:rsidRDefault="00000000">
            <w:pPr>
              <w:pStyle w:val="TableParagraph"/>
              <w:spacing w:before="1"/>
              <w:ind w:left="9"/>
              <w:jc w:val="center"/>
              <w:rPr>
                <w:sz w:val="18"/>
              </w:rPr>
            </w:pPr>
            <w:r>
              <w:rPr>
                <w:spacing w:val="-5"/>
                <w:sz w:val="18"/>
              </w:rPr>
              <w:t>111</w:t>
            </w:r>
          </w:p>
        </w:tc>
        <w:tc>
          <w:tcPr>
            <w:tcW w:w="7760" w:type="dxa"/>
            <w:tcBorders>
              <w:top w:val="single" w:sz="4" w:space="0" w:color="A6A6A6"/>
              <w:left w:val="single" w:sz="4" w:space="0" w:color="A6A6A6"/>
              <w:bottom w:val="single" w:sz="4" w:space="0" w:color="A6A6A6"/>
              <w:right w:val="single" w:sz="4" w:space="0" w:color="A6A6A6"/>
            </w:tcBorders>
          </w:tcPr>
          <w:p w14:paraId="24BF4B35" w14:textId="77777777" w:rsidR="00BC24A8" w:rsidRDefault="00000000">
            <w:pPr>
              <w:pStyle w:val="TableParagraph"/>
              <w:spacing w:before="1"/>
              <w:ind w:left="107" w:right="180"/>
              <w:rPr>
                <w:sz w:val="18"/>
              </w:rPr>
            </w:pPr>
            <w:r>
              <w:rPr>
                <w:sz w:val="18"/>
              </w:rPr>
              <w:t>Maluku</w:t>
            </w:r>
            <w:r>
              <w:rPr>
                <w:spacing w:val="-3"/>
                <w:sz w:val="18"/>
              </w:rPr>
              <w:t xml:space="preserve"> </w:t>
            </w: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1164/2025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Determination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Maluku</w:t>
            </w:r>
            <w:r>
              <w:rPr>
                <w:spacing w:val="-3"/>
                <w:sz w:val="18"/>
              </w:rPr>
              <w:t xml:space="preserve"> </w:t>
            </w:r>
            <w:r>
              <w:rPr>
                <w:sz w:val="18"/>
              </w:rPr>
              <w:t>Province</w:t>
            </w:r>
            <w:r>
              <w:rPr>
                <w:spacing w:val="-3"/>
                <w:sz w:val="18"/>
              </w:rPr>
              <w:t xml:space="preserve"> </w:t>
            </w:r>
            <w:r>
              <w:rPr>
                <w:sz w:val="18"/>
              </w:rPr>
              <w:t>Data</w:t>
            </w:r>
            <w:r>
              <w:rPr>
                <w:spacing w:val="-4"/>
                <w:sz w:val="18"/>
              </w:rPr>
              <w:t xml:space="preserve"> </w:t>
            </w:r>
            <w:r>
              <w:rPr>
                <w:sz w:val="18"/>
              </w:rPr>
              <w:t>List</w:t>
            </w:r>
            <w:r>
              <w:rPr>
                <w:spacing w:val="-2"/>
                <w:sz w:val="18"/>
              </w:rPr>
              <w:t xml:space="preserve"> </w:t>
            </w:r>
            <w:r>
              <w:rPr>
                <w:sz w:val="18"/>
              </w:rPr>
              <w:t xml:space="preserve">for </w:t>
            </w:r>
            <w:r>
              <w:rPr>
                <w:spacing w:val="-4"/>
                <w:sz w:val="18"/>
              </w:rPr>
              <w:t>2025</w:t>
            </w:r>
          </w:p>
        </w:tc>
        <w:tc>
          <w:tcPr>
            <w:tcW w:w="1275" w:type="dxa"/>
            <w:tcBorders>
              <w:top w:val="single" w:sz="4" w:space="0" w:color="A6A6A6"/>
              <w:left w:val="single" w:sz="4" w:space="0" w:color="A6A6A6"/>
              <w:bottom w:val="single" w:sz="4" w:space="0" w:color="A6A6A6"/>
              <w:right w:val="single" w:sz="4" w:space="0" w:color="A6A6A6"/>
            </w:tcBorders>
          </w:tcPr>
          <w:p w14:paraId="59B4F7E2" w14:textId="77777777" w:rsidR="00BC24A8" w:rsidRDefault="00000000">
            <w:pPr>
              <w:pStyle w:val="TableParagraph"/>
              <w:spacing w:before="1"/>
              <w:ind w:left="106"/>
              <w:rPr>
                <w:sz w:val="18"/>
              </w:rPr>
            </w:pPr>
            <w:r>
              <w:rPr>
                <w:spacing w:val="-2"/>
                <w:sz w:val="18"/>
              </w:rPr>
              <w:t>Maluku</w:t>
            </w:r>
          </w:p>
        </w:tc>
      </w:tr>
      <w:tr w:rsidR="00BC24A8" w14:paraId="107A1F22"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407EAE49" w14:textId="77777777" w:rsidR="00BC24A8" w:rsidRDefault="00000000">
            <w:pPr>
              <w:pStyle w:val="TableParagraph"/>
              <w:spacing w:line="219" w:lineRule="exact"/>
              <w:ind w:left="9"/>
              <w:jc w:val="center"/>
              <w:rPr>
                <w:sz w:val="18"/>
              </w:rPr>
            </w:pPr>
            <w:r>
              <w:rPr>
                <w:spacing w:val="-5"/>
                <w:sz w:val="18"/>
              </w:rPr>
              <w:t>112</w:t>
            </w:r>
          </w:p>
        </w:tc>
        <w:tc>
          <w:tcPr>
            <w:tcW w:w="7760" w:type="dxa"/>
            <w:tcBorders>
              <w:top w:val="single" w:sz="4" w:space="0" w:color="A6A6A6"/>
              <w:left w:val="single" w:sz="4" w:space="0" w:color="A6A6A6"/>
              <w:bottom w:val="single" w:sz="4" w:space="0" w:color="A6A6A6"/>
              <w:right w:val="single" w:sz="4" w:space="0" w:color="A6A6A6"/>
            </w:tcBorders>
          </w:tcPr>
          <w:p w14:paraId="56F10CCC" w14:textId="77777777" w:rsidR="00BC24A8" w:rsidRDefault="00000000">
            <w:pPr>
              <w:pStyle w:val="TableParagraph"/>
              <w:spacing w:line="219" w:lineRule="exact"/>
              <w:ind w:left="107"/>
              <w:rPr>
                <w:sz w:val="18"/>
              </w:rPr>
            </w:pPr>
            <w:r>
              <w:rPr>
                <w:sz w:val="18"/>
              </w:rPr>
              <w:t>Maluku</w:t>
            </w:r>
            <w:r>
              <w:rPr>
                <w:spacing w:val="-3"/>
                <w:sz w:val="18"/>
              </w:rPr>
              <w:t xml:space="preserve"> </w:t>
            </w:r>
            <w:r>
              <w:rPr>
                <w:sz w:val="18"/>
              </w:rPr>
              <w:t>Governor</w:t>
            </w:r>
            <w:r>
              <w:rPr>
                <w:spacing w:val="-2"/>
                <w:sz w:val="18"/>
              </w:rPr>
              <w:t xml:space="preserve"> </w:t>
            </w:r>
            <w:r>
              <w:rPr>
                <w:sz w:val="18"/>
              </w:rPr>
              <w:t>Decree</w:t>
            </w:r>
            <w:r>
              <w:rPr>
                <w:spacing w:val="-2"/>
                <w:sz w:val="18"/>
              </w:rPr>
              <w:t xml:space="preserve"> </w:t>
            </w:r>
            <w:r>
              <w:rPr>
                <w:sz w:val="18"/>
              </w:rPr>
              <w:t>No.</w:t>
            </w:r>
            <w:r>
              <w:rPr>
                <w:spacing w:val="-3"/>
                <w:sz w:val="18"/>
              </w:rPr>
              <w:t xml:space="preserve"> </w:t>
            </w:r>
            <w:r>
              <w:rPr>
                <w:sz w:val="18"/>
              </w:rPr>
              <w:t>1959/2025</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Determination</w:t>
            </w:r>
            <w:r>
              <w:rPr>
                <w:spacing w:val="-2"/>
                <w:sz w:val="18"/>
              </w:rPr>
              <w:t xml:space="preserve"> </w:t>
            </w:r>
            <w:r>
              <w:rPr>
                <w:sz w:val="18"/>
              </w:rPr>
              <w:t>of</w:t>
            </w:r>
            <w:r>
              <w:rPr>
                <w:spacing w:val="-3"/>
                <w:sz w:val="18"/>
              </w:rPr>
              <w:t xml:space="preserve"> </w:t>
            </w:r>
            <w:r>
              <w:rPr>
                <w:sz w:val="18"/>
              </w:rPr>
              <w:t>Target</w:t>
            </w:r>
            <w:r>
              <w:rPr>
                <w:spacing w:val="-1"/>
                <w:sz w:val="18"/>
              </w:rPr>
              <w:t xml:space="preserve"> </w:t>
            </w:r>
            <w:r>
              <w:rPr>
                <w:sz w:val="18"/>
              </w:rPr>
              <w:t>Number</w:t>
            </w:r>
            <w:r>
              <w:rPr>
                <w:spacing w:val="-2"/>
                <w:sz w:val="18"/>
              </w:rPr>
              <w:t xml:space="preserve"> </w:t>
            </w:r>
            <w:r>
              <w:rPr>
                <w:sz w:val="18"/>
              </w:rPr>
              <w:t>of</w:t>
            </w:r>
            <w:r>
              <w:rPr>
                <w:spacing w:val="-3"/>
                <w:sz w:val="18"/>
              </w:rPr>
              <w:t xml:space="preserve"> </w:t>
            </w:r>
            <w:r>
              <w:rPr>
                <w:sz w:val="18"/>
              </w:rPr>
              <w:t>Citizens</w:t>
            </w:r>
            <w:r>
              <w:rPr>
                <w:spacing w:val="-2"/>
                <w:sz w:val="18"/>
              </w:rPr>
              <w:t xml:space="preserve"> </w:t>
            </w:r>
            <w:r>
              <w:rPr>
                <w:spacing w:val="-5"/>
                <w:sz w:val="18"/>
              </w:rPr>
              <w:t>and</w:t>
            </w:r>
          </w:p>
          <w:p w14:paraId="7884C59F" w14:textId="77777777" w:rsidR="00BC24A8" w:rsidRDefault="00000000">
            <w:pPr>
              <w:pStyle w:val="TableParagraph"/>
              <w:spacing w:before="1" w:line="199" w:lineRule="exact"/>
              <w:ind w:left="107"/>
              <w:rPr>
                <w:sz w:val="18"/>
              </w:rPr>
            </w:pPr>
            <w:r>
              <w:rPr>
                <w:sz w:val="18"/>
              </w:rPr>
              <w:t>Minimum</w:t>
            </w:r>
            <w:r>
              <w:rPr>
                <w:spacing w:val="-5"/>
                <w:sz w:val="18"/>
              </w:rPr>
              <w:t xml:space="preserve"> </w:t>
            </w:r>
            <w:r>
              <w:rPr>
                <w:sz w:val="18"/>
              </w:rPr>
              <w:t>Quality</w:t>
            </w:r>
            <w:r>
              <w:rPr>
                <w:spacing w:val="-1"/>
                <w:sz w:val="18"/>
              </w:rPr>
              <w:t xml:space="preserve"> </w:t>
            </w:r>
            <w:r>
              <w:rPr>
                <w:sz w:val="18"/>
              </w:rPr>
              <w:t>Standard</w:t>
            </w:r>
            <w:r>
              <w:rPr>
                <w:spacing w:val="-1"/>
                <w:sz w:val="18"/>
              </w:rPr>
              <w:t xml:space="preserve"> </w:t>
            </w:r>
            <w:r>
              <w:rPr>
                <w:sz w:val="18"/>
              </w:rPr>
              <w:t>for</w:t>
            </w:r>
            <w:r>
              <w:rPr>
                <w:spacing w:val="-2"/>
                <w:sz w:val="18"/>
              </w:rPr>
              <w:t xml:space="preserve"> </w:t>
            </w:r>
            <w:r>
              <w:rPr>
                <w:sz w:val="18"/>
              </w:rPr>
              <w:t>Minimum</w:t>
            </w:r>
            <w:r>
              <w:rPr>
                <w:spacing w:val="-2"/>
                <w:sz w:val="18"/>
              </w:rPr>
              <w:t xml:space="preserve"> </w:t>
            </w:r>
            <w:r>
              <w:rPr>
                <w:sz w:val="18"/>
              </w:rPr>
              <w:t>Service</w:t>
            </w:r>
            <w:r>
              <w:rPr>
                <w:spacing w:val="-1"/>
                <w:sz w:val="18"/>
              </w:rPr>
              <w:t xml:space="preserve"> </w:t>
            </w:r>
            <w:r>
              <w:rPr>
                <w:sz w:val="18"/>
              </w:rPr>
              <w:t>Standards</w:t>
            </w:r>
            <w:r>
              <w:rPr>
                <w:spacing w:val="-2"/>
                <w:sz w:val="18"/>
              </w:rPr>
              <w:t xml:space="preserve"> </w:t>
            </w:r>
            <w:r>
              <w:rPr>
                <w:sz w:val="18"/>
              </w:rPr>
              <w:t>of</w:t>
            </w:r>
            <w:r>
              <w:rPr>
                <w:spacing w:val="-2"/>
                <w:sz w:val="18"/>
              </w:rPr>
              <w:t xml:space="preserve"> </w:t>
            </w:r>
            <w:r>
              <w:rPr>
                <w:sz w:val="18"/>
              </w:rPr>
              <w:t>Maluku</w:t>
            </w:r>
            <w:r>
              <w:rPr>
                <w:spacing w:val="-1"/>
                <w:sz w:val="18"/>
              </w:rPr>
              <w:t xml:space="preserve"> </w:t>
            </w:r>
            <w:r>
              <w:rPr>
                <w:sz w:val="18"/>
              </w:rPr>
              <w:t>Provincial</w:t>
            </w:r>
            <w:r>
              <w:rPr>
                <w:spacing w:val="-1"/>
                <w:sz w:val="18"/>
              </w:rPr>
              <w:t xml:space="preserve"> </w:t>
            </w:r>
            <w:r>
              <w:rPr>
                <w:sz w:val="18"/>
              </w:rPr>
              <w:t>Government</w:t>
            </w:r>
            <w:r>
              <w:rPr>
                <w:spacing w:val="-3"/>
                <w:sz w:val="18"/>
              </w:rPr>
              <w:t xml:space="preserve"> </w:t>
            </w:r>
            <w:r>
              <w:rPr>
                <w:sz w:val="18"/>
              </w:rPr>
              <w:t>in</w:t>
            </w:r>
            <w:r>
              <w:rPr>
                <w:spacing w:val="-1"/>
                <w:sz w:val="18"/>
              </w:rPr>
              <w:t xml:space="preserve"> </w:t>
            </w:r>
            <w:r>
              <w:rPr>
                <w:spacing w:val="-4"/>
                <w:sz w:val="18"/>
              </w:rPr>
              <w:t>2025</w:t>
            </w:r>
          </w:p>
        </w:tc>
        <w:tc>
          <w:tcPr>
            <w:tcW w:w="1275" w:type="dxa"/>
            <w:tcBorders>
              <w:top w:val="single" w:sz="4" w:space="0" w:color="A6A6A6"/>
              <w:left w:val="single" w:sz="4" w:space="0" w:color="A6A6A6"/>
              <w:bottom w:val="single" w:sz="4" w:space="0" w:color="A6A6A6"/>
              <w:right w:val="single" w:sz="4" w:space="0" w:color="A6A6A6"/>
            </w:tcBorders>
          </w:tcPr>
          <w:p w14:paraId="189E6AF6" w14:textId="77777777" w:rsidR="00BC24A8" w:rsidRDefault="00000000">
            <w:pPr>
              <w:pStyle w:val="TableParagraph"/>
              <w:spacing w:line="219" w:lineRule="exact"/>
              <w:ind w:left="106"/>
              <w:rPr>
                <w:sz w:val="18"/>
              </w:rPr>
            </w:pPr>
            <w:r>
              <w:rPr>
                <w:spacing w:val="-2"/>
                <w:sz w:val="18"/>
              </w:rPr>
              <w:t>Maluku</w:t>
            </w:r>
          </w:p>
        </w:tc>
      </w:tr>
      <w:tr w:rsidR="00BC24A8" w14:paraId="4C88E3A1"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380924EF" w14:textId="77777777" w:rsidR="00BC24A8" w:rsidRDefault="00000000">
            <w:pPr>
              <w:pStyle w:val="TableParagraph"/>
              <w:spacing w:before="1"/>
              <w:ind w:left="9"/>
              <w:jc w:val="center"/>
              <w:rPr>
                <w:sz w:val="18"/>
              </w:rPr>
            </w:pPr>
            <w:r>
              <w:rPr>
                <w:spacing w:val="-5"/>
                <w:sz w:val="18"/>
              </w:rPr>
              <w:t>113</w:t>
            </w:r>
          </w:p>
        </w:tc>
        <w:tc>
          <w:tcPr>
            <w:tcW w:w="7760" w:type="dxa"/>
            <w:tcBorders>
              <w:top w:val="single" w:sz="4" w:space="0" w:color="A6A6A6"/>
              <w:left w:val="single" w:sz="4" w:space="0" w:color="A6A6A6"/>
              <w:bottom w:val="single" w:sz="4" w:space="0" w:color="A6A6A6"/>
              <w:right w:val="single" w:sz="4" w:space="0" w:color="A6A6A6"/>
            </w:tcBorders>
          </w:tcPr>
          <w:p w14:paraId="51DAA689" w14:textId="77777777" w:rsidR="00BC24A8" w:rsidRDefault="00000000">
            <w:pPr>
              <w:pStyle w:val="TableParagraph"/>
              <w:spacing w:before="1" w:line="219" w:lineRule="exact"/>
              <w:ind w:left="107"/>
              <w:rPr>
                <w:sz w:val="18"/>
              </w:rPr>
            </w:pPr>
            <w:r>
              <w:rPr>
                <w:sz w:val="18"/>
              </w:rPr>
              <w:t>West</w:t>
            </w:r>
            <w:r>
              <w:rPr>
                <w:spacing w:val="-4"/>
                <w:sz w:val="18"/>
              </w:rPr>
              <w:t xml:space="preserve"> </w:t>
            </w:r>
            <w:r>
              <w:rPr>
                <w:sz w:val="18"/>
              </w:rPr>
              <w:t>Nusa</w:t>
            </w:r>
            <w:r>
              <w:rPr>
                <w:spacing w:val="-3"/>
                <w:sz w:val="18"/>
              </w:rPr>
              <w:t xml:space="preserve"> </w:t>
            </w:r>
            <w:r>
              <w:rPr>
                <w:sz w:val="18"/>
              </w:rPr>
              <w:t>Tenggara</w:t>
            </w:r>
            <w:r>
              <w:rPr>
                <w:spacing w:val="-3"/>
                <w:sz w:val="18"/>
              </w:rPr>
              <w:t xml:space="preserve"> </w:t>
            </w:r>
            <w:r>
              <w:rPr>
                <w:sz w:val="18"/>
              </w:rPr>
              <w:t>Governor</w:t>
            </w:r>
            <w:r>
              <w:rPr>
                <w:spacing w:val="-2"/>
                <w:sz w:val="18"/>
              </w:rPr>
              <w:t xml:space="preserve"> </w:t>
            </w:r>
            <w:r>
              <w:rPr>
                <w:sz w:val="18"/>
              </w:rPr>
              <w:t>Decree</w:t>
            </w:r>
            <w:r>
              <w:rPr>
                <w:spacing w:val="-3"/>
                <w:sz w:val="18"/>
              </w:rPr>
              <w:t xml:space="preserve"> </w:t>
            </w:r>
            <w:r>
              <w:rPr>
                <w:sz w:val="18"/>
              </w:rPr>
              <w:t>No.</w:t>
            </w:r>
            <w:r>
              <w:rPr>
                <w:spacing w:val="-3"/>
                <w:sz w:val="18"/>
              </w:rPr>
              <w:t xml:space="preserve"> </w:t>
            </w:r>
            <w:r>
              <w:rPr>
                <w:sz w:val="18"/>
              </w:rPr>
              <w:t>100.3.3.1</w:t>
            </w:r>
            <w:r>
              <w:rPr>
                <w:spacing w:val="-3"/>
                <w:sz w:val="18"/>
              </w:rPr>
              <w:t xml:space="preserve"> </w:t>
            </w:r>
            <w:r>
              <w:rPr>
                <w:sz w:val="18"/>
              </w:rPr>
              <w:t>-</w:t>
            </w:r>
            <w:r>
              <w:rPr>
                <w:spacing w:val="-1"/>
                <w:sz w:val="18"/>
              </w:rPr>
              <w:t xml:space="preserve"> </w:t>
            </w:r>
            <w:r>
              <w:rPr>
                <w:sz w:val="18"/>
              </w:rPr>
              <w:t>70/2025</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Establishment</w:t>
            </w:r>
            <w:r>
              <w:rPr>
                <w:spacing w:val="-1"/>
                <w:sz w:val="18"/>
              </w:rPr>
              <w:t xml:space="preserve"> </w:t>
            </w:r>
            <w:r>
              <w:rPr>
                <w:sz w:val="18"/>
              </w:rPr>
              <w:t>of</w:t>
            </w:r>
            <w:r>
              <w:rPr>
                <w:spacing w:val="-3"/>
                <w:sz w:val="18"/>
              </w:rPr>
              <w:t xml:space="preserve"> </w:t>
            </w:r>
            <w:r>
              <w:rPr>
                <w:sz w:val="18"/>
              </w:rPr>
              <w:t>the</w:t>
            </w:r>
            <w:r>
              <w:rPr>
                <w:spacing w:val="-5"/>
                <w:sz w:val="18"/>
              </w:rPr>
              <w:t xml:space="preserve"> </w:t>
            </w:r>
            <w:r>
              <w:rPr>
                <w:sz w:val="18"/>
              </w:rPr>
              <w:t>Forum</w:t>
            </w:r>
            <w:r>
              <w:rPr>
                <w:spacing w:val="-2"/>
                <w:sz w:val="18"/>
              </w:rPr>
              <w:t xml:space="preserve"> </w:t>
            </w:r>
            <w:r>
              <w:rPr>
                <w:spacing w:val="-5"/>
                <w:sz w:val="18"/>
              </w:rPr>
              <w:t>and</w:t>
            </w:r>
          </w:p>
          <w:p w14:paraId="4C33BB12" w14:textId="77777777" w:rsidR="00BC24A8" w:rsidRDefault="00000000">
            <w:pPr>
              <w:pStyle w:val="TableParagraph"/>
              <w:spacing w:line="199" w:lineRule="exact"/>
              <w:ind w:left="107"/>
              <w:rPr>
                <w:sz w:val="18"/>
              </w:rPr>
            </w:pPr>
            <w:r>
              <w:rPr>
                <w:sz w:val="18"/>
              </w:rPr>
              <w:t>Secretariat</w:t>
            </w:r>
            <w:r>
              <w:rPr>
                <w:spacing w:val="-1"/>
                <w:sz w:val="18"/>
              </w:rPr>
              <w:t xml:space="preserve"> </w:t>
            </w:r>
            <w:r>
              <w:rPr>
                <w:sz w:val="18"/>
              </w:rPr>
              <w:t>of</w:t>
            </w:r>
            <w:r>
              <w:rPr>
                <w:spacing w:val="-3"/>
                <w:sz w:val="18"/>
              </w:rPr>
              <w:t xml:space="preserve"> </w:t>
            </w:r>
            <w:r>
              <w:rPr>
                <w:sz w:val="18"/>
              </w:rPr>
              <w:t>the</w:t>
            </w:r>
            <w:r>
              <w:rPr>
                <w:spacing w:val="-2"/>
                <w:sz w:val="18"/>
              </w:rPr>
              <w:t xml:space="preserve"> </w:t>
            </w:r>
            <w:r>
              <w:rPr>
                <w:sz w:val="18"/>
              </w:rPr>
              <w:t>West</w:t>
            </w:r>
            <w:r>
              <w:rPr>
                <w:spacing w:val="-1"/>
                <w:sz w:val="18"/>
              </w:rPr>
              <w:t xml:space="preserve"> </w:t>
            </w:r>
            <w:r>
              <w:rPr>
                <w:sz w:val="18"/>
              </w:rPr>
              <w:t>Nusa</w:t>
            </w:r>
            <w:r>
              <w:rPr>
                <w:spacing w:val="-3"/>
                <w:sz w:val="18"/>
              </w:rPr>
              <w:t xml:space="preserve"> </w:t>
            </w:r>
            <w:r>
              <w:rPr>
                <w:sz w:val="18"/>
              </w:rPr>
              <w:t>Tenggara</w:t>
            </w:r>
            <w:r>
              <w:rPr>
                <w:spacing w:val="-3"/>
                <w:sz w:val="18"/>
              </w:rPr>
              <w:t xml:space="preserve"> </w:t>
            </w:r>
            <w:r>
              <w:rPr>
                <w:sz w:val="18"/>
              </w:rPr>
              <w:t>One</w:t>
            </w:r>
            <w:r>
              <w:rPr>
                <w:spacing w:val="-2"/>
                <w:sz w:val="18"/>
              </w:rPr>
              <w:t xml:space="preserve"> </w:t>
            </w:r>
            <w:r>
              <w:rPr>
                <w:sz w:val="18"/>
              </w:rPr>
              <w:t>Data</w:t>
            </w:r>
            <w:r>
              <w:rPr>
                <w:spacing w:val="-3"/>
                <w:sz w:val="18"/>
              </w:rPr>
              <w:t xml:space="preserve"> </w:t>
            </w:r>
            <w:r>
              <w:rPr>
                <w:sz w:val="18"/>
              </w:rPr>
              <w:t>Forum</w:t>
            </w:r>
            <w:r>
              <w:rPr>
                <w:spacing w:val="-2"/>
                <w:sz w:val="18"/>
              </w:rPr>
              <w:t xml:space="preserve"> </w:t>
            </w:r>
            <w:r>
              <w:rPr>
                <w:spacing w:val="-4"/>
                <w:sz w:val="18"/>
              </w:rPr>
              <w:t>2025</w:t>
            </w:r>
          </w:p>
        </w:tc>
        <w:tc>
          <w:tcPr>
            <w:tcW w:w="1275" w:type="dxa"/>
            <w:tcBorders>
              <w:top w:val="single" w:sz="4" w:space="0" w:color="A6A6A6"/>
              <w:left w:val="single" w:sz="4" w:space="0" w:color="A6A6A6"/>
              <w:bottom w:val="single" w:sz="4" w:space="0" w:color="A6A6A6"/>
              <w:right w:val="single" w:sz="4" w:space="0" w:color="A6A6A6"/>
            </w:tcBorders>
          </w:tcPr>
          <w:p w14:paraId="779C918E" w14:textId="77777777" w:rsidR="00BC24A8" w:rsidRDefault="00000000">
            <w:pPr>
              <w:pStyle w:val="TableParagraph"/>
              <w:spacing w:before="1"/>
              <w:ind w:left="106"/>
              <w:rPr>
                <w:sz w:val="18"/>
              </w:rPr>
            </w:pPr>
            <w:r>
              <w:rPr>
                <w:spacing w:val="-5"/>
                <w:sz w:val="18"/>
              </w:rPr>
              <w:t>NTB</w:t>
            </w:r>
          </w:p>
        </w:tc>
      </w:tr>
      <w:tr w:rsidR="00BC24A8" w14:paraId="4101A11F"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3A9178D2" w14:textId="77777777" w:rsidR="00BC24A8" w:rsidRDefault="00000000">
            <w:pPr>
              <w:pStyle w:val="TableParagraph"/>
              <w:spacing w:before="1"/>
              <w:ind w:left="9"/>
              <w:jc w:val="center"/>
              <w:rPr>
                <w:sz w:val="18"/>
              </w:rPr>
            </w:pPr>
            <w:r>
              <w:rPr>
                <w:spacing w:val="-5"/>
                <w:sz w:val="18"/>
              </w:rPr>
              <w:t>114</w:t>
            </w:r>
          </w:p>
        </w:tc>
        <w:tc>
          <w:tcPr>
            <w:tcW w:w="7760" w:type="dxa"/>
            <w:tcBorders>
              <w:top w:val="single" w:sz="4" w:space="0" w:color="A6A6A6"/>
              <w:left w:val="single" w:sz="4" w:space="0" w:color="A6A6A6"/>
              <w:bottom w:val="single" w:sz="4" w:space="0" w:color="A6A6A6"/>
              <w:right w:val="single" w:sz="4" w:space="0" w:color="A6A6A6"/>
            </w:tcBorders>
          </w:tcPr>
          <w:p w14:paraId="79D4E840" w14:textId="77777777" w:rsidR="00BC24A8" w:rsidRDefault="00000000">
            <w:pPr>
              <w:pStyle w:val="TableParagraph"/>
              <w:spacing w:before="1" w:line="219" w:lineRule="exact"/>
              <w:ind w:left="107"/>
              <w:rPr>
                <w:sz w:val="18"/>
              </w:rPr>
            </w:pPr>
            <w:r>
              <w:rPr>
                <w:sz w:val="18"/>
              </w:rPr>
              <w:t>West</w:t>
            </w:r>
            <w:r>
              <w:rPr>
                <w:spacing w:val="-5"/>
                <w:sz w:val="18"/>
              </w:rPr>
              <w:t xml:space="preserve"> </w:t>
            </w:r>
            <w:r>
              <w:rPr>
                <w:sz w:val="18"/>
              </w:rPr>
              <w:t>Nusa</w:t>
            </w:r>
            <w:r>
              <w:rPr>
                <w:spacing w:val="-2"/>
                <w:sz w:val="18"/>
              </w:rPr>
              <w:t xml:space="preserve"> </w:t>
            </w:r>
            <w:r>
              <w:rPr>
                <w:sz w:val="18"/>
              </w:rPr>
              <w:t>Tenggara</w:t>
            </w:r>
            <w:r>
              <w:rPr>
                <w:spacing w:val="-3"/>
                <w:sz w:val="18"/>
              </w:rPr>
              <w:t xml:space="preserve"> </w:t>
            </w:r>
            <w:r>
              <w:rPr>
                <w:sz w:val="18"/>
              </w:rPr>
              <w:t>Governor</w:t>
            </w:r>
            <w:r>
              <w:rPr>
                <w:spacing w:val="-2"/>
                <w:sz w:val="18"/>
              </w:rPr>
              <w:t xml:space="preserve"> </w:t>
            </w:r>
            <w:r>
              <w:rPr>
                <w:sz w:val="18"/>
              </w:rPr>
              <w:t>Decree</w:t>
            </w:r>
            <w:r>
              <w:rPr>
                <w:spacing w:val="-3"/>
                <w:sz w:val="18"/>
              </w:rPr>
              <w:t xml:space="preserve"> </w:t>
            </w:r>
            <w:r>
              <w:rPr>
                <w:sz w:val="18"/>
              </w:rPr>
              <w:t>No.</w:t>
            </w:r>
            <w:r>
              <w:rPr>
                <w:spacing w:val="-3"/>
                <w:sz w:val="18"/>
              </w:rPr>
              <w:t xml:space="preserve"> </w:t>
            </w:r>
            <w:r>
              <w:rPr>
                <w:sz w:val="18"/>
              </w:rPr>
              <w:t>100.3.3.1</w:t>
            </w:r>
            <w:r>
              <w:rPr>
                <w:spacing w:val="-3"/>
                <w:sz w:val="18"/>
              </w:rPr>
              <w:t xml:space="preserve"> </w:t>
            </w:r>
            <w:r>
              <w:rPr>
                <w:sz w:val="18"/>
              </w:rPr>
              <w:t>-</w:t>
            </w:r>
            <w:r>
              <w:rPr>
                <w:spacing w:val="-2"/>
                <w:sz w:val="18"/>
              </w:rPr>
              <w:t xml:space="preserve"> </w:t>
            </w:r>
            <w:r>
              <w:rPr>
                <w:sz w:val="18"/>
              </w:rPr>
              <w:t>71/2025</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Establishment</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West</w:t>
            </w:r>
            <w:r>
              <w:rPr>
                <w:spacing w:val="-3"/>
                <w:sz w:val="18"/>
              </w:rPr>
              <w:t xml:space="preserve"> </w:t>
            </w:r>
            <w:r>
              <w:rPr>
                <w:spacing w:val="-4"/>
                <w:sz w:val="18"/>
              </w:rPr>
              <w:t>Nusa</w:t>
            </w:r>
          </w:p>
          <w:p w14:paraId="77DEE8E4" w14:textId="77777777" w:rsidR="00BC24A8" w:rsidRDefault="00000000">
            <w:pPr>
              <w:pStyle w:val="TableParagraph"/>
              <w:spacing w:line="199" w:lineRule="exact"/>
              <w:ind w:left="107"/>
              <w:rPr>
                <w:sz w:val="18"/>
              </w:rPr>
            </w:pPr>
            <w:r>
              <w:rPr>
                <w:sz w:val="18"/>
              </w:rPr>
              <w:t>Tenggara</w:t>
            </w:r>
            <w:r>
              <w:rPr>
                <w:spacing w:val="-4"/>
                <w:sz w:val="18"/>
              </w:rPr>
              <w:t xml:space="preserve"> </w:t>
            </w:r>
            <w:r>
              <w:rPr>
                <w:sz w:val="18"/>
              </w:rPr>
              <w:t>One</w:t>
            </w:r>
            <w:r>
              <w:rPr>
                <w:spacing w:val="-2"/>
                <w:sz w:val="18"/>
              </w:rPr>
              <w:t xml:space="preserve"> </w:t>
            </w:r>
            <w:r>
              <w:rPr>
                <w:sz w:val="18"/>
              </w:rPr>
              <w:t>Data</w:t>
            </w:r>
            <w:r>
              <w:rPr>
                <w:spacing w:val="-3"/>
                <w:sz w:val="18"/>
              </w:rPr>
              <w:t xml:space="preserve"> </w:t>
            </w:r>
            <w:r>
              <w:rPr>
                <w:sz w:val="18"/>
              </w:rPr>
              <w:t>Governance</w:t>
            </w:r>
            <w:r>
              <w:rPr>
                <w:spacing w:val="-2"/>
                <w:sz w:val="18"/>
              </w:rPr>
              <w:t xml:space="preserve"> </w:t>
            </w:r>
            <w:r>
              <w:rPr>
                <w:sz w:val="18"/>
              </w:rPr>
              <w:t>Team</w:t>
            </w:r>
            <w:r>
              <w:rPr>
                <w:spacing w:val="-3"/>
                <w:sz w:val="18"/>
              </w:rPr>
              <w:t xml:space="preserve"> </w:t>
            </w:r>
            <w:r>
              <w:rPr>
                <w:spacing w:val="-4"/>
                <w:sz w:val="18"/>
              </w:rPr>
              <w:t>2025</w:t>
            </w:r>
          </w:p>
        </w:tc>
        <w:tc>
          <w:tcPr>
            <w:tcW w:w="1275" w:type="dxa"/>
            <w:tcBorders>
              <w:top w:val="single" w:sz="4" w:space="0" w:color="A6A6A6"/>
              <w:left w:val="single" w:sz="4" w:space="0" w:color="A6A6A6"/>
              <w:bottom w:val="single" w:sz="4" w:space="0" w:color="A6A6A6"/>
              <w:right w:val="single" w:sz="4" w:space="0" w:color="A6A6A6"/>
            </w:tcBorders>
          </w:tcPr>
          <w:p w14:paraId="3D996698" w14:textId="77777777" w:rsidR="00BC24A8" w:rsidRDefault="00000000">
            <w:pPr>
              <w:pStyle w:val="TableParagraph"/>
              <w:spacing w:before="1"/>
              <w:ind w:left="106"/>
              <w:rPr>
                <w:sz w:val="18"/>
              </w:rPr>
            </w:pPr>
            <w:r>
              <w:rPr>
                <w:spacing w:val="-5"/>
                <w:sz w:val="18"/>
              </w:rPr>
              <w:t>NTB</w:t>
            </w:r>
          </w:p>
        </w:tc>
      </w:tr>
      <w:tr w:rsidR="00BC24A8" w14:paraId="60A9A82E" w14:textId="77777777">
        <w:trPr>
          <w:trHeight w:val="482"/>
        </w:trPr>
        <w:tc>
          <w:tcPr>
            <w:tcW w:w="490" w:type="dxa"/>
            <w:tcBorders>
              <w:top w:val="single" w:sz="4" w:space="0" w:color="A6A6A6"/>
              <w:left w:val="single" w:sz="4" w:space="0" w:color="A6A6A6"/>
              <w:bottom w:val="single" w:sz="4" w:space="0" w:color="A6A6A6"/>
              <w:right w:val="single" w:sz="4" w:space="0" w:color="A6A6A6"/>
            </w:tcBorders>
          </w:tcPr>
          <w:p w14:paraId="768EFC2C" w14:textId="77777777" w:rsidR="00BC24A8" w:rsidRDefault="00000000">
            <w:pPr>
              <w:pStyle w:val="TableParagraph"/>
              <w:spacing w:before="1"/>
              <w:ind w:left="9"/>
              <w:jc w:val="center"/>
              <w:rPr>
                <w:sz w:val="18"/>
              </w:rPr>
            </w:pPr>
            <w:r>
              <w:rPr>
                <w:spacing w:val="-5"/>
                <w:sz w:val="18"/>
              </w:rPr>
              <w:t>115</w:t>
            </w:r>
          </w:p>
        </w:tc>
        <w:tc>
          <w:tcPr>
            <w:tcW w:w="7760" w:type="dxa"/>
            <w:tcBorders>
              <w:top w:val="single" w:sz="4" w:space="0" w:color="A6A6A6"/>
              <w:left w:val="single" w:sz="4" w:space="0" w:color="A6A6A6"/>
              <w:bottom w:val="single" w:sz="4" w:space="0" w:color="A6A6A6"/>
              <w:right w:val="single" w:sz="4" w:space="0" w:color="A6A6A6"/>
            </w:tcBorders>
          </w:tcPr>
          <w:p w14:paraId="666D22FC" w14:textId="77777777" w:rsidR="00BC24A8" w:rsidRDefault="00000000">
            <w:pPr>
              <w:pStyle w:val="TableParagraph"/>
              <w:spacing w:before="1"/>
              <w:ind w:left="107" w:right="122"/>
              <w:rPr>
                <w:sz w:val="18"/>
              </w:rPr>
            </w:pPr>
            <w:r>
              <w:rPr>
                <w:sz w:val="18"/>
              </w:rPr>
              <w:t>West</w:t>
            </w:r>
            <w:r>
              <w:rPr>
                <w:spacing w:val="-3"/>
                <w:sz w:val="18"/>
              </w:rPr>
              <w:t xml:space="preserve"> </w:t>
            </w:r>
            <w:r>
              <w:rPr>
                <w:sz w:val="18"/>
              </w:rPr>
              <w:t>Nusa</w:t>
            </w:r>
            <w:r>
              <w:rPr>
                <w:spacing w:val="-4"/>
                <w:sz w:val="18"/>
              </w:rPr>
              <w:t xml:space="preserve"> </w:t>
            </w:r>
            <w:r>
              <w:rPr>
                <w:sz w:val="18"/>
              </w:rPr>
              <w:t>Tenggara</w:t>
            </w:r>
            <w:r>
              <w:rPr>
                <w:spacing w:val="-4"/>
                <w:sz w:val="18"/>
              </w:rPr>
              <w:t xml:space="preserve"> </w:t>
            </w:r>
            <w:r>
              <w:rPr>
                <w:sz w:val="18"/>
              </w:rPr>
              <w:t>Governor</w:t>
            </w:r>
            <w:r>
              <w:rPr>
                <w:spacing w:val="-3"/>
                <w:sz w:val="18"/>
              </w:rPr>
              <w:t xml:space="preserve"> </w:t>
            </w:r>
            <w:r>
              <w:rPr>
                <w:sz w:val="18"/>
              </w:rPr>
              <w:t>Decree</w:t>
            </w:r>
            <w:r>
              <w:rPr>
                <w:spacing w:val="-4"/>
                <w:sz w:val="18"/>
              </w:rPr>
              <w:t xml:space="preserve"> </w:t>
            </w:r>
            <w:r>
              <w:rPr>
                <w:sz w:val="18"/>
              </w:rPr>
              <w:t>No.</w:t>
            </w:r>
            <w:r>
              <w:rPr>
                <w:spacing w:val="-4"/>
                <w:sz w:val="18"/>
              </w:rPr>
              <w:t xml:space="preserve"> </w:t>
            </w:r>
            <w:r>
              <w:rPr>
                <w:sz w:val="18"/>
              </w:rPr>
              <w:t>100-3-3.1-201</w:t>
            </w:r>
            <w:r>
              <w:rPr>
                <w:spacing w:val="-3"/>
                <w:sz w:val="18"/>
              </w:rPr>
              <w:t xml:space="preserve"> </w:t>
            </w:r>
            <w:r>
              <w:rPr>
                <w:sz w:val="18"/>
              </w:rPr>
              <w:t>of</w:t>
            </w:r>
            <w:r>
              <w:rPr>
                <w:spacing w:val="-4"/>
                <w:sz w:val="18"/>
              </w:rPr>
              <w:t xml:space="preserve"> </w:t>
            </w:r>
            <w:r>
              <w:rPr>
                <w:sz w:val="18"/>
              </w:rPr>
              <w:t>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Determination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Regional Data List of West Nusa Tenggara Province in 2025</w:t>
            </w:r>
          </w:p>
        </w:tc>
        <w:tc>
          <w:tcPr>
            <w:tcW w:w="1275" w:type="dxa"/>
            <w:tcBorders>
              <w:top w:val="single" w:sz="4" w:space="0" w:color="A6A6A6"/>
              <w:left w:val="single" w:sz="4" w:space="0" w:color="A6A6A6"/>
              <w:bottom w:val="single" w:sz="4" w:space="0" w:color="A6A6A6"/>
              <w:right w:val="single" w:sz="4" w:space="0" w:color="A6A6A6"/>
            </w:tcBorders>
          </w:tcPr>
          <w:p w14:paraId="03E41942" w14:textId="77777777" w:rsidR="00BC24A8" w:rsidRDefault="00000000">
            <w:pPr>
              <w:pStyle w:val="TableParagraph"/>
              <w:spacing w:before="1"/>
              <w:ind w:left="106"/>
              <w:rPr>
                <w:sz w:val="18"/>
              </w:rPr>
            </w:pPr>
            <w:r>
              <w:rPr>
                <w:spacing w:val="-5"/>
                <w:sz w:val="18"/>
              </w:rPr>
              <w:t>NTB</w:t>
            </w:r>
          </w:p>
        </w:tc>
      </w:tr>
      <w:tr w:rsidR="00BC24A8" w14:paraId="0128E6BB"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67A5D72F" w14:textId="77777777" w:rsidR="00BC24A8" w:rsidRDefault="00000000">
            <w:pPr>
              <w:pStyle w:val="TableParagraph"/>
              <w:spacing w:line="219" w:lineRule="exact"/>
              <w:ind w:left="9"/>
              <w:jc w:val="center"/>
              <w:rPr>
                <w:sz w:val="18"/>
              </w:rPr>
            </w:pPr>
            <w:r>
              <w:rPr>
                <w:spacing w:val="-5"/>
                <w:sz w:val="18"/>
              </w:rPr>
              <w:t>116</w:t>
            </w:r>
          </w:p>
        </w:tc>
        <w:tc>
          <w:tcPr>
            <w:tcW w:w="7760" w:type="dxa"/>
            <w:tcBorders>
              <w:top w:val="single" w:sz="4" w:space="0" w:color="A6A6A6"/>
              <w:left w:val="single" w:sz="4" w:space="0" w:color="A6A6A6"/>
              <w:bottom w:val="single" w:sz="4" w:space="0" w:color="A6A6A6"/>
              <w:right w:val="single" w:sz="4" w:space="0" w:color="A6A6A6"/>
            </w:tcBorders>
          </w:tcPr>
          <w:p w14:paraId="603D042F" w14:textId="77777777" w:rsidR="00BC24A8" w:rsidRDefault="00000000">
            <w:pPr>
              <w:pStyle w:val="TableParagraph"/>
              <w:spacing w:line="219" w:lineRule="exact"/>
              <w:ind w:left="107"/>
              <w:rPr>
                <w:sz w:val="18"/>
              </w:rPr>
            </w:pPr>
            <w:r>
              <w:rPr>
                <w:sz w:val="18"/>
              </w:rPr>
              <w:t>West</w:t>
            </w:r>
            <w:r>
              <w:rPr>
                <w:spacing w:val="-3"/>
                <w:sz w:val="18"/>
              </w:rPr>
              <w:t xml:space="preserve"> </w:t>
            </w:r>
            <w:r>
              <w:rPr>
                <w:sz w:val="18"/>
              </w:rPr>
              <w:t>Nusa</w:t>
            </w:r>
            <w:r>
              <w:rPr>
                <w:spacing w:val="-3"/>
                <w:sz w:val="18"/>
              </w:rPr>
              <w:t xml:space="preserve"> </w:t>
            </w:r>
            <w:r>
              <w:rPr>
                <w:sz w:val="18"/>
              </w:rPr>
              <w:t>Tenggara</w:t>
            </w:r>
            <w:r>
              <w:rPr>
                <w:spacing w:val="-3"/>
                <w:sz w:val="18"/>
              </w:rPr>
              <w:t xml:space="preserve"> </w:t>
            </w:r>
            <w:r>
              <w:rPr>
                <w:sz w:val="18"/>
              </w:rPr>
              <w:t>Governor</w:t>
            </w:r>
            <w:r>
              <w:rPr>
                <w:spacing w:val="-2"/>
                <w:sz w:val="18"/>
              </w:rPr>
              <w:t xml:space="preserve"> </w:t>
            </w:r>
            <w:r>
              <w:rPr>
                <w:sz w:val="18"/>
              </w:rPr>
              <w:t>Regulation</w:t>
            </w:r>
            <w:r>
              <w:rPr>
                <w:spacing w:val="-2"/>
                <w:sz w:val="18"/>
              </w:rPr>
              <w:t xml:space="preserve"> </w:t>
            </w:r>
            <w:r>
              <w:rPr>
                <w:sz w:val="18"/>
              </w:rPr>
              <w:t>on</w:t>
            </w:r>
            <w:r>
              <w:rPr>
                <w:spacing w:val="-2"/>
                <w:sz w:val="18"/>
              </w:rPr>
              <w:t xml:space="preserve"> </w:t>
            </w:r>
            <w:r>
              <w:rPr>
                <w:sz w:val="18"/>
              </w:rPr>
              <w:t>the</w:t>
            </w:r>
            <w:r>
              <w:rPr>
                <w:spacing w:val="-1"/>
                <w:sz w:val="18"/>
              </w:rPr>
              <w:t xml:space="preserve"> </w:t>
            </w:r>
            <w:r>
              <w:rPr>
                <w:sz w:val="18"/>
              </w:rPr>
              <w:t>Action</w:t>
            </w:r>
            <w:r>
              <w:rPr>
                <w:spacing w:val="-2"/>
                <w:sz w:val="18"/>
              </w:rPr>
              <w:t xml:space="preserve"> </w:t>
            </w:r>
            <w:r>
              <w:rPr>
                <w:sz w:val="18"/>
              </w:rPr>
              <w:t>Plan</w:t>
            </w:r>
            <w:r>
              <w:rPr>
                <w:spacing w:val="-2"/>
                <w:sz w:val="18"/>
              </w:rPr>
              <w:t xml:space="preserve"> </w:t>
            </w:r>
            <w:r>
              <w:rPr>
                <w:sz w:val="18"/>
              </w:rPr>
              <w:t>for</w:t>
            </w:r>
            <w:r>
              <w:rPr>
                <w:spacing w:val="-2"/>
                <w:sz w:val="18"/>
              </w:rPr>
              <w:t xml:space="preserve"> </w:t>
            </w:r>
            <w:r>
              <w:rPr>
                <w:sz w:val="18"/>
              </w:rPr>
              <w:t>Strengthening</w:t>
            </w:r>
            <w:r>
              <w:rPr>
                <w:spacing w:val="-3"/>
                <w:sz w:val="18"/>
              </w:rPr>
              <w:t xml:space="preserve"> </w:t>
            </w:r>
            <w:r>
              <w:rPr>
                <w:sz w:val="18"/>
              </w:rPr>
              <w:t>One</w:t>
            </w:r>
            <w:r>
              <w:rPr>
                <w:spacing w:val="-2"/>
                <w:sz w:val="18"/>
              </w:rPr>
              <w:t xml:space="preserve"> </w:t>
            </w:r>
            <w:r>
              <w:rPr>
                <w:sz w:val="18"/>
              </w:rPr>
              <w:t>Regional</w:t>
            </w:r>
            <w:r>
              <w:rPr>
                <w:spacing w:val="-1"/>
                <w:sz w:val="18"/>
              </w:rPr>
              <w:t xml:space="preserve"> </w:t>
            </w:r>
            <w:r>
              <w:rPr>
                <w:sz w:val="18"/>
              </w:rPr>
              <w:t>Data</w:t>
            </w:r>
            <w:r>
              <w:rPr>
                <w:spacing w:val="-2"/>
                <w:sz w:val="18"/>
              </w:rPr>
              <w:t xml:space="preserve"> </w:t>
            </w:r>
            <w:r>
              <w:rPr>
                <w:spacing w:val="-5"/>
                <w:sz w:val="18"/>
              </w:rPr>
              <w:t>of</w:t>
            </w:r>
          </w:p>
          <w:p w14:paraId="1FD65E4F" w14:textId="77777777" w:rsidR="00BC24A8" w:rsidRDefault="00000000">
            <w:pPr>
              <w:pStyle w:val="TableParagraph"/>
              <w:spacing w:before="1" w:line="199" w:lineRule="exact"/>
              <w:ind w:left="107"/>
              <w:rPr>
                <w:sz w:val="18"/>
              </w:rPr>
            </w:pPr>
            <w:r>
              <w:rPr>
                <w:sz w:val="18"/>
              </w:rPr>
              <w:t>West</w:t>
            </w:r>
            <w:r>
              <w:rPr>
                <w:spacing w:val="-2"/>
                <w:sz w:val="18"/>
              </w:rPr>
              <w:t xml:space="preserve"> </w:t>
            </w:r>
            <w:r>
              <w:rPr>
                <w:sz w:val="18"/>
              </w:rPr>
              <w:t>Nusa</w:t>
            </w:r>
            <w:r>
              <w:rPr>
                <w:spacing w:val="-3"/>
                <w:sz w:val="18"/>
              </w:rPr>
              <w:t xml:space="preserve"> </w:t>
            </w:r>
            <w:r>
              <w:rPr>
                <w:sz w:val="18"/>
              </w:rPr>
              <w:t>Tenggara</w:t>
            </w:r>
            <w:r>
              <w:rPr>
                <w:spacing w:val="-3"/>
                <w:sz w:val="18"/>
              </w:rPr>
              <w:t xml:space="preserve"> </w:t>
            </w: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7DECD15D" w14:textId="77777777" w:rsidR="00BC24A8" w:rsidRDefault="00000000">
            <w:pPr>
              <w:pStyle w:val="TableParagraph"/>
              <w:spacing w:line="219" w:lineRule="exact"/>
              <w:ind w:left="106"/>
              <w:rPr>
                <w:sz w:val="18"/>
              </w:rPr>
            </w:pPr>
            <w:r>
              <w:rPr>
                <w:spacing w:val="-5"/>
                <w:sz w:val="18"/>
              </w:rPr>
              <w:t>NTB</w:t>
            </w:r>
          </w:p>
        </w:tc>
      </w:tr>
      <w:tr w:rsidR="00BC24A8" w14:paraId="4D391696"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192856D9" w14:textId="77777777" w:rsidR="00BC24A8" w:rsidRDefault="00000000">
            <w:pPr>
              <w:pStyle w:val="TableParagraph"/>
              <w:spacing w:before="1"/>
              <w:ind w:left="9"/>
              <w:jc w:val="center"/>
              <w:rPr>
                <w:sz w:val="18"/>
              </w:rPr>
            </w:pPr>
            <w:r>
              <w:rPr>
                <w:spacing w:val="-5"/>
                <w:sz w:val="18"/>
              </w:rPr>
              <w:t>117</w:t>
            </w:r>
          </w:p>
        </w:tc>
        <w:tc>
          <w:tcPr>
            <w:tcW w:w="7760" w:type="dxa"/>
            <w:tcBorders>
              <w:top w:val="single" w:sz="4" w:space="0" w:color="A6A6A6"/>
              <w:left w:val="single" w:sz="4" w:space="0" w:color="A6A6A6"/>
              <w:bottom w:val="single" w:sz="4" w:space="0" w:color="A6A6A6"/>
              <w:right w:val="single" w:sz="4" w:space="0" w:color="A6A6A6"/>
            </w:tcBorders>
          </w:tcPr>
          <w:p w14:paraId="3B987E2D" w14:textId="77777777" w:rsidR="00BC24A8" w:rsidRDefault="00000000">
            <w:pPr>
              <w:pStyle w:val="TableParagraph"/>
              <w:spacing w:before="1" w:line="219" w:lineRule="exact"/>
              <w:ind w:left="107"/>
              <w:rPr>
                <w:sz w:val="18"/>
              </w:rPr>
            </w:pPr>
            <w:r>
              <w:rPr>
                <w:sz w:val="18"/>
              </w:rPr>
              <w:t>West</w:t>
            </w:r>
            <w:r>
              <w:rPr>
                <w:spacing w:val="-2"/>
                <w:sz w:val="18"/>
              </w:rPr>
              <w:t xml:space="preserve"> </w:t>
            </w:r>
            <w:r>
              <w:rPr>
                <w:sz w:val="18"/>
              </w:rPr>
              <w:t>Nusa</w:t>
            </w:r>
            <w:r>
              <w:rPr>
                <w:spacing w:val="-4"/>
                <w:sz w:val="18"/>
              </w:rPr>
              <w:t xml:space="preserve"> </w:t>
            </w:r>
            <w:r>
              <w:rPr>
                <w:sz w:val="18"/>
              </w:rPr>
              <w:t>Tenggara</w:t>
            </w:r>
            <w:r>
              <w:rPr>
                <w:spacing w:val="-3"/>
                <w:sz w:val="18"/>
              </w:rPr>
              <w:t xml:space="preserve"> </w:t>
            </w:r>
            <w:r>
              <w:rPr>
                <w:sz w:val="18"/>
              </w:rPr>
              <w:t>Governor</w:t>
            </w:r>
            <w:r>
              <w:rPr>
                <w:spacing w:val="-3"/>
                <w:sz w:val="18"/>
              </w:rPr>
              <w:t xml:space="preserve"> </w:t>
            </w:r>
            <w:r>
              <w:rPr>
                <w:sz w:val="18"/>
              </w:rPr>
              <w:t>Decree</w:t>
            </w:r>
            <w:r>
              <w:rPr>
                <w:spacing w:val="-2"/>
                <w:sz w:val="18"/>
              </w:rPr>
              <w:t xml:space="preserve"> </w:t>
            </w:r>
            <w:r>
              <w:rPr>
                <w:sz w:val="18"/>
              </w:rPr>
              <w:t>on</w:t>
            </w:r>
            <w:r>
              <w:rPr>
                <w:spacing w:val="-3"/>
                <w:sz w:val="18"/>
              </w:rPr>
              <w:t xml:space="preserve"> </w:t>
            </w:r>
            <w:r>
              <w:rPr>
                <w:sz w:val="18"/>
              </w:rPr>
              <w:t>Village</w:t>
            </w:r>
            <w:r>
              <w:rPr>
                <w:spacing w:val="-2"/>
                <w:sz w:val="18"/>
              </w:rPr>
              <w:t xml:space="preserve"> </w:t>
            </w:r>
            <w:r>
              <w:rPr>
                <w:sz w:val="18"/>
              </w:rPr>
              <w:t>Information</w:t>
            </w:r>
            <w:r>
              <w:rPr>
                <w:spacing w:val="-3"/>
                <w:sz w:val="18"/>
              </w:rPr>
              <w:t xml:space="preserve"> </w:t>
            </w:r>
            <w:r>
              <w:rPr>
                <w:sz w:val="18"/>
              </w:rPr>
              <w:t>System</w:t>
            </w:r>
            <w:r>
              <w:rPr>
                <w:spacing w:val="-3"/>
                <w:sz w:val="18"/>
              </w:rPr>
              <w:t xml:space="preserve"> </w:t>
            </w:r>
            <w:r>
              <w:rPr>
                <w:sz w:val="18"/>
              </w:rPr>
              <w:t>Development</w:t>
            </w:r>
            <w:r>
              <w:rPr>
                <w:spacing w:val="-2"/>
                <w:sz w:val="18"/>
              </w:rPr>
              <w:t xml:space="preserve"> </w:t>
            </w:r>
            <w:r>
              <w:rPr>
                <w:sz w:val="18"/>
              </w:rPr>
              <w:t>Roadmap</w:t>
            </w:r>
            <w:r>
              <w:rPr>
                <w:spacing w:val="-2"/>
                <w:sz w:val="18"/>
              </w:rPr>
              <w:t xml:space="preserve"> 2025-</w:t>
            </w:r>
          </w:p>
          <w:p w14:paraId="642D644B" w14:textId="77777777" w:rsidR="00BC24A8" w:rsidRDefault="00000000">
            <w:pPr>
              <w:pStyle w:val="TableParagraph"/>
              <w:spacing w:line="199" w:lineRule="exact"/>
              <w:ind w:left="107"/>
              <w:rPr>
                <w:sz w:val="18"/>
              </w:rPr>
            </w:pPr>
            <w:r>
              <w:rPr>
                <w:spacing w:val="-4"/>
                <w:sz w:val="18"/>
              </w:rPr>
              <w:t>2029</w:t>
            </w:r>
          </w:p>
        </w:tc>
        <w:tc>
          <w:tcPr>
            <w:tcW w:w="1275" w:type="dxa"/>
            <w:tcBorders>
              <w:top w:val="single" w:sz="4" w:space="0" w:color="A6A6A6"/>
              <w:left w:val="single" w:sz="4" w:space="0" w:color="A6A6A6"/>
              <w:bottom w:val="single" w:sz="4" w:space="0" w:color="A6A6A6"/>
              <w:right w:val="single" w:sz="4" w:space="0" w:color="A6A6A6"/>
            </w:tcBorders>
          </w:tcPr>
          <w:p w14:paraId="3C6D6E9B" w14:textId="77777777" w:rsidR="00BC24A8" w:rsidRDefault="00000000">
            <w:pPr>
              <w:pStyle w:val="TableParagraph"/>
              <w:spacing w:before="1"/>
              <w:ind w:left="106"/>
              <w:rPr>
                <w:sz w:val="18"/>
              </w:rPr>
            </w:pPr>
            <w:r>
              <w:rPr>
                <w:spacing w:val="-5"/>
                <w:sz w:val="18"/>
              </w:rPr>
              <w:t>NTB</w:t>
            </w:r>
          </w:p>
        </w:tc>
      </w:tr>
      <w:tr w:rsidR="00BC24A8" w14:paraId="3CC1A4A7"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22245003" w14:textId="77777777" w:rsidR="00BC24A8" w:rsidRDefault="00000000">
            <w:pPr>
              <w:pStyle w:val="TableParagraph"/>
              <w:spacing w:before="1"/>
              <w:ind w:left="9"/>
              <w:jc w:val="center"/>
              <w:rPr>
                <w:sz w:val="18"/>
              </w:rPr>
            </w:pPr>
            <w:r>
              <w:rPr>
                <w:spacing w:val="-5"/>
                <w:sz w:val="18"/>
              </w:rPr>
              <w:t>118</w:t>
            </w:r>
          </w:p>
        </w:tc>
        <w:tc>
          <w:tcPr>
            <w:tcW w:w="7760" w:type="dxa"/>
            <w:tcBorders>
              <w:top w:val="single" w:sz="4" w:space="0" w:color="A6A6A6"/>
              <w:left w:val="single" w:sz="4" w:space="0" w:color="A6A6A6"/>
              <w:bottom w:val="single" w:sz="4" w:space="0" w:color="A6A6A6"/>
              <w:right w:val="single" w:sz="4" w:space="0" w:color="A6A6A6"/>
            </w:tcBorders>
          </w:tcPr>
          <w:p w14:paraId="661E3C8F" w14:textId="77777777" w:rsidR="00BC24A8" w:rsidRDefault="00000000">
            <w:pPr>
              <w:pStyle w:val="TableParagraph"/>
              <w:spacing w:before="1" w:line="219" w:lineRule="exact"/>
              <w:ind w:left="107"/>
              <w:rPr>
                <w:sz w:val="18"/>
              </w:rPr>
            </w:pPr>
            <w:r>
              <w:rPr>
                <w:sz w:val="18"/>
              </w:rPr>
              <w:t>Head</w:t>
            </w:r>
            <w:r>
              <w:rPr>
                <w:spacing w:val="-4"/>
                <w:sz w:val="18"/>
              </w:rPr>
              <w:t xml:space="preserve"> </w:t>
            </w:r>
            <w:r>
              <w:rPr>
                <w:sz w:val="18"/>
              </w:rPr>
              <w:t>of</w:t>
            </w:r>
            <w:r>
              <w:rPr>
                <w:spacing w:val="-2"/>
                <w:sz w:val="18"/>
              </w:rPr>
              <w:t xml:space="preserve"> </w:t>
            </w:r>
            <w:r>
              <w:rPr>
                <w:sz w:val="18"/>
              </w:rPr>
              <w:t>Bappeda</w:t>
            </w:r>
            <w:r>
              <w:rPr>
                <w:spacing w:val="-2"/>
                <w:sz w:val="18"/>
              </w:rPr>
              <w:t xml:space="preserve"> </w:t>
            </w:r>
            <w:r>
              <w:rPr>
                <w:sz w:val="18"/>
              </w:rPr>
              <w:t>Decree</w:t>
            </w:r>
            <w:r>
              <w:rPr>
                <w:spacing w:val="-2"/>
                <w:sz w:val="18"/>
              </w:rPr>
              <w:t xml:space="preserve"> </w:t>
            </w:r>
            <w:r>
              <w:rPr>
                <w:sz w:val="18"/>
              </w:rPr>
              <w:t>No.</w:t>
            </w:r>
            <w:r>
              <w:rPr>
                <w:spacing w:val="-2"/>
                <w:sz w:val="18"/>
              </w:rPr>
              <w:t xml:space="preserve"> </w:t>
            </w:r>
            <w:r>
              <w:rPr>
                <w:sz w:val="18"/>
              </w:rPr>
              <w:t>94/2024</w:t>
            </w:r>
            <w:r>
              <w:rPr>
                <w:spacing w:val="-1"/>
                <w:sz w:val="18"/>
              </w:rPr>
              <w:t xml:space="preserve"> </w:t>
            </w:r>
            <w:r>
              <w:rPr>
                <w:sz w:val="18"/>
              </w:rPr>
              <w:t>on</w:t>
            </w:r>
            <w:r>
              <w:rPr>
                <w:spacing w:val="-1"/>
                <w:sz w:val="18"/>
              </w:rPr>
              <w:t xml:space="preserve"> </w:t>
            </w:r>
            <w:r>
              <w:rPr>
                <w:sz w:val="18"/>
              </w:rPr>
              <w:t>the</w:t>
            </w:r>
            <w:r>
              <w:rPr>
                <w:spacing w:val="-2"/>
                <w:sz w:val="18"/>
              </w:rPr>
              <w:t xml:space="preserve"> </w:t>
            </w:r>
            <w:r>
              <w:rPr>
                <w:sz w:val="18"/>
              </w:rPr>
              <w:t>Team</w:t>
            </w:r>
            <w:r>
              <w:rPr>
                <w:spacing w:val="-2"/>
                <w:sz w:val="18"/>
              </w:rPr>
              <w:t xml:space="preserve"> </w:t>
            </w:r>
            <w:r>
              <w:rPr>
                <w:sz w:val="18"/>
              </w:rPr>
              <w:t>for</w:t>
            </w:r>
            <w:r>
              <w:rPr>
                <w:spacing w:val="-1"/>
                <w:sz w:val="18"/>
              </w:rPr>
              <w:t xml:space="preserve"> </w:t>
            </w:r>
            <w:r>
              <w:rPr>
                <w:sz w:val="18"/>
              </w:rPr>
              <w:t>the</w:t>
            </w:r>
            <w:r>
              <w:rPr>
                <w:spacing w:val="-2"/>
                <w:sz w:val="18"/>
              </w:rPr>
              <w:t xml:space="preserve"> </w:t>
            </w:r>
            <w:r>
              <w:rPr>
                <w:sz w:val="18"/>
              </w:rPr>
              <w:t>Preparation</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RAD</w:t>
            </w:r>
            <w:r>
              <w:rPr>
                <w:spacing w:val="-1"/>
                <w:sz w:val="18"/>
              </w:rPr>
              <w:t xml:space="preserve"> </w:t>
            </w:r>
            <w:r>
              <w:rPr>
                <w:sz w:val="18"/>
              </w:rPr>
              <w:t>PD of</w:t>
            </w:r>
            <w:r>
              <w:rPr>
                <w:spacing w:val="-2"/>
                <w:sz w:val="18"/>
              </w:rPr>
              <w:t xml:space="preserve"> </w:t>
            </w:r>
            <w:r>
              <w:rPr>
                <w:sz w:val="18"/>
              </w:rPr>
              <w:t>NTB</w:t>
            </w:r>
            <w:r>
              <w:rPr>
                <w:spacing w:val="-2"/>
                <w:sz w:val="18"/>
              </w:rPr>
              <w:t xml:space="preserve"> Province</w:t>
            </w:r>
          </w:p>
          <w:p w14:paraId="31062001" w14:textId="77777777" w:rsidR="00BC24A8" w:rsidRDefault="00000000">
            <w:pPr>
              <w:pStyle w:val="TableParagraph"/>
              <w:spacing w:line="199" w:lineRule="exact"/>
              <w:ind w:left="107"/>
              <w:rPr>
                <w:sz w:val="18"/>
              </w:rPr>
            </w:pPr>
            <w:r>
              <w:rPr>
                <w:sz w:val="18"/>
              </w:rPr>
              <w:t>in</w:t>
            </w:r>
            <w:r>
              <w:rPr>
                <w:spacing w:val="1"/>
                <w:sz w:val="18"/>
              </w:rPr>
              <w:t xml:space="preserve"> </w:t>
            </w:r>
            <w:r>
              <w:rPr>
                <w:spacing w:val="-4"/>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530688F9" w14:textId="77777777" w:rsidR="00BC24A8" w:rsidRDefault="00000000">
            <w:pPr>
              <w:pStyle w:val="TableParagraph"/>
              <w:spacing w:before="1"/>
              <w:ind w:left="106"/>
              <w:rPr>
                <w:sz w:val="18"/>
              </w:rPr>
            </w:pPr>
            <w:r>
              <w:rPr>
                <w:spacing w:val="-5"/>
                <w:sz w:val="18"/>
              </w:rPr>
              <w:t>NTB</w:t>
            </w:r>
          </w:p>
        </w:tc>
      </w:tr>
      <w:tr w:rsidR="00BC24A8" w14:paraId="03AD2FE5" w14:textId="77777777">
        <w:trPr>
          <w:trHeight w:val="481"/>
        </w:trPr>
        <w:tc>
          <w:tcPr>
            <w:tcW w:w="490" w:type="dxa"/>
            <w:tcBorders>
              <w:top w:val="single" w:sz="4" w:space="0" w:color="A6A6A6"/>
              <w:left w:val="single" w:sz="4" w:space="0" w:color="A6A6A6"/>
              <w:bottom w:val="single" w:sz="4" w:space="0" w:color="A6A6A6"/>
              <w:right w:val="single" w:sz="4" w:space="0" w:color="A6A6A6"/>
            </w:tcBorders>
          </w:tcPr>
          <w:p w14:paraId="6BD67F98" w14:textId="77777777" w:rsidR="00BC24A8" w:rsidRDefault="00000000">
            <w:pPr>
              <w:pStyle w:val="TableParagraph"/>
              <w:spacing w:before="1"/>
              <w:ind w:left="9"/>
              <w:jc w:val="center"/>
              <w:rPr>
                <w:sz w:val="18"/>
              </w:rPr>
            </w:pPr>
            <w:r>
              <w:rPr>
                <w:spacing w:val="-5"/>
                <w:sz w:val="18"/>
              </w:rPr>
              <w:t>119</w:t>
            </w:r>
          </w:p>
        </w:tc>
        <w:tc>
          <w:tcPr>
            <w:tcW w:w="7760" w:type="dxa"/>
            <w:tcBorders>
              <w:top w:val="single" w:sz="4" w:space="0" w:color="A6A6A6"/>
              <w:left w:val="single" w:sz="4" w:space="0" w:color="A6A6A6"/>
              <w:bottom w:val="single" w:sz="4" w:space="0" w:color="A6A6A6"/>
              <w:right w:val="single" w:sz="4" w:space="0" w:color="A6A6A6"/>
            </w:tcBorders>
          </w:tcPr>
          <w:p w14:paraId="1EE9DDC3" w14:textId="77777777" w:rsidR="00BC24A8" w:rsidRDefault="00000000">
            <w:pPr>
              <w:pStyle w:val="TableParagraph"/>
              <w:spacing w:before="1"/>
              <w:ind w:left="107" w:right="122"/>
              <w:rPr>
                <w:sz w:val="18"/>
              </w:rPr>
            </w:pPr>
            <w:r>
              <w:rPr>
                <w:sz w:val="18"/>
              </w:rPr>
              <w:t>West</w:t>
            </w:r>
            <w:r>
              <w:rPr>
                <w:spacing w:val="-2"/>
                <w:sz w:val="18"/>
              </w:rPr>
              <w:t xml:space="preserve"> </w:t>
            </w:r>
            <w:r>
              <w:rPr>
                <w:sz w:val="18"/>
              </w:rPr>
              <w:t>Nusa</w:t>
            </w:r>
            <w:r>
              <w:rPr>
                <w:spacing w:val="-4"/>
                <w:sz w:val="18"/>
              </w:rPr>
              <w:t xml:space="preserve"> </w:t>
            </w:r>
            <w:r>
              <w:rPr>
                <w:sz w:val="18"/>
              </w:rPr>
              <w:t>Tenggara</w:t>
            </w:r>
            <w:r>
              <w:rPr>
                <w:spacing w:val="-4"/>
                <w:sz w:val="18"/>
              </w:rPr>
              <w:t xml:space="preserve"> </w:t>
            </w:r>
            <w:r>
              <w:rPr>
                <w:sz w:val="18"/>
              </w:rPr>
              <w:t>Governor</w:t>
            </w:r>
            <w:r>
              <w:rPr>
                <w:spacing w:val="-3"/>
                <w:sz w:val="18"/>
              </w:rPr>
              <w:t xml:space="preserve"> </w:t>
            </w:r>
            <w:r>
              <w:rPr>
                <w:sz w:val="18"/>
              </w:rPr>
              <w:t>Decree</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2"/>
                <w:sz w:val="18"/>
              </w:rPr>
              <w:t xml:space="preserve"> </w:t>
            </w:r>
            <w:r>
              <w:rPr>
                <w:sz w:val="18"/>
              </w:rPr>
              <w:t>of</w:t>
            </w:r>
            <w:r>
              <w:rPr>
                <w:spacing w:val="-4"/>
                <w:sz w:val="18"/>
              </w:rPr>
              <w:t xml:space="preserve"> </w:t>
            </w:r>
            <w:r>
              <w:rPr>
                <w:sz w:val="18"/>
              </w:rPr>
              <w:t>the</w:t>
            </w:r>
            <w:r>
              <w:rPr>
                <w:spacing w:val="-6"/>
                <w:sz w:val="18"/>
              </w:rPr>
              <w:t xml:space="preserve"> </w:t>
            </w:r>
            <w:r>
              <w:rPr>
                <w:sz w:val="18"/>
              </w:rPr>
              <w:t>Drafting</w:t>
            </w:r>
            <w:r>
              <w:rPr>
                <w:spacing w:val="-4"/>
                <w:sz w:val="18"/>
              </w:rPr>
              <w:t xml:space="preserve"> </w:t>
            </w:r>
            <w:r>
              <w:rPr>
                <w:sz w:val="18"/>
              </w:rPr>
              <w:t>Team</w:t>
            </w:r>
            <w:r>
              <w:rPr>
                <w:spacing w:val="-4"/>
                <w:sz w:val="18"/>
              </w:rPr>
              <w:t xml:space="preserve"> </w:t>
            </w:r>
            <w:r>
              <w:rPr>
                <w:sz w:val="18"/>
              </w:rPr>
              <w:t>for</w:t>
            </w:r>
            <w:r>
              <w:rPr>
                <w:spacing w:val="-3"/>
                <w:sz w:val="18"/>
              </w:rPr>
              <w:t xml:space="preserve"> </w:t>
            </w:r>
            <w:r>
              <w:rPr>
                <w:sz w:val="18"/>
              </w:rPr>
              <w:t>the</w:t>
            </w:r>
            <w:r>
              <w:rPr>
                <w:spacing w:val="-3"/>
                <w:sz w:val="18"/>
              </w:rPr>
              <w:t xml:space="preserve"> </w:t>
            </w:r>
            <w:r>
              <w:rPr>
                <w:sz w:val="18"/>
              </w:rPr>
              <w:t>Governor Regulation on the Regional Action Plan for Persons with Disabilities</w:t>
            </w:r>
          </w:p>
        </w:tc>
        <w:tc>
          <w:tcPr>
            <w:tcW w:w="1275" w:type="dxa"/>
            <w:tcBorders>
              <w:top w:val="single" w:sz="4" w:space="0" w:color="A6A6A6"/>
              <w:left w:val="single" w:sz="4" w:space="0" w:color="A6A6A6"/>
              <w:bottom w:val="single" w:sz="4" w:space="0" w:color="A6A6A6"/>
              <w:right w:val="single" w:sz="4" w:space="0" w:color="A6A6A6"/>
            </w:tcBorders>
          </w:tcPr>
          <w:p w14:paraId="0CED38EA" w14:textId="77777777" w:rsidR="00BC24A8" w:rsidRDefault="00000000">
            <w:pPr>
              <w:pStyle w:val="TableParagraph"/>
              <w:spacing w:before="1"/>
              <w:ind w:left="106"/>
              <w:rPr>
                <w:sz w:val="18"/>
              </w:rPr>
            </w:pPr>
            <w:r>
              <w:rPr>
                <w:spacing w:val="-5"/>
                <w:sz w:val="18"/>
              </w:rPr>
              <w:t>NTB</w:t>
            </w:r>
          </w:p>
        </w:tc>
      </w:tr>
      <w:tr w:rsidR="00BC24A8" w14:paraId="69585880" w14:textId="77777777">
        <w:trPr>
          <w:trHeight w:val="246"/>
        </w:trPr>
        <w:tc>
          <w:tcPr>
            <w:tcW w:w="490" w:type="dxa"/>
            <w:tcBorders>
              <w:top w:val="single" w:sz="4" w:space="0" w:color="A6A6A6"/>
              <w:left w:val="single" w:sz="4" w:space="0" w:color="A6A6A6"/>
              <w:bottom w:val="single" w:sz="4" w:space="0" w:color="A6A6A6"/>
              <w:right w:val="single" w:sz="4" w:space="0" w:color="A6A6A6"/>
            </w:tcBorders>
          </w:tcPr>
          <w:p w14:paraId="2613113A" w14:textId="77777777" w:rsidR="00BC24A8" w:rsidRDefault="00000000">
            <w:pPr>
              <w:pStyle w:val="TableParagraph"/>
              <w:spacing w:line="219" w:lineRule="exact"/>
              <w:ind w:left="9"/>
              <w:jc w:val="center"/>
              <w:rPr>
                <w:sz w:val="18"/>
              </w:rPr>
            </w:pPr>
            <w:r>
              <w:rPr>
                <w:spacing w:val="-5"/>
                <w:sz w:val="18"/>
              </w:rPr>
              <w:t>120</w:t>
            </w:r>
          </w:p>
        </w:tc>
        <w:tc>
          <w:tcPr>
            <w:tcW w:w="7760" w:type="dxa"/>
            <w:tcBorders>
              <w:top w:val="single" w:sz="4" w:space="0" w:color="A6A6A6"/>
              <w:left w:val="single" w:sz="4" w:space="0" w:color="A6A6A6"/>
              <w:bottom w:val="single" w:sz="4" w:space="0" w:color="A6A6A6"/>
              <w:right w:val="single" w:sz="4" w:space="0" w:color="A6A6A6"/>
            </w:tcBorders>
          </w:tcPr>
          <w:p w14:paraId="448897EA" w14:textId="77777777" w:rsidR="00BC24A8" w:rsidRDefault="00000000">
            <w:pPr>
              <w:pStyle w:val="TableParagraph"/>
              <w:spacing w:line="219" w:lineRule="exact"/>
              <w:ind w:left="107"/>
              <w:rPr>
                <w:sz w:val="18"/>
              </w:rPr>
            </w:pPr>
            <w:r>
              <w:rPr>
                <w:sz w:val="18"/>
              </w:rPr>
              <w:t>Governor</w:t>
            </w:r>
            <w:r>
              <w:rPr>
                <w:spacing w:val="-2"/>
                <w:sz w:val="18"/>
              </w:rPr>
              <w:t xml:space="preserve"> </w:t>
            </w:r>
            <w:r>
              <w:rPr>
                <w:sz w:val="18"/>
              </w:rPr>
              <w:t>Regulation</w:t>
            </w:r>
            <w:r>
              <w:rPr>
                <w:spacing w:val="-2"/>
                <w:sz w:val="18"/>
              </w:rPr>
              <w:t xml:space="preserve"> </w:t>
            </w:r>
            <w:r>
              <w:rPr>
                <w:sz w:val="18"/>
              </w:rPr>
              <w:t>on</w:t>
            </w:r>
            <w:r>
              <w:rPr>
                <w:spacing w:val="-2"/>
                <w:sz w:val="18"/>
              </w:rPr>
              <w:t xml:space="preserve"> </w:t>
            </w:r>
            <w:r>
              <w:rPr>
                <w:sz w:val="18"/>
              </w:rPr>
              <w:t>Regional</w:t>
            </w:r>
            <w:r>
              <w:rPr>
                <w:spacing w:val="-4"/>
                <w:sz w:val="18"/>
              </w:rPr>
              <w:t xml:space="preserve"> </w:t>
            </w:r>
            <w:r>
              <w:rPr>
                <w:sz w:val="18"/>
              </w:rPr>
              <w:t>Action</w:t>
            </w:r>
            <w:r>
              <w:rPr>
                <w:spacing w:val="-2"/>
                <w:sz w:val="18"/>
              </w:rPr>
              <w:t xml:space="preserve"> </w:t>
            </w:r>
            <w:r>
              <w:rPr>
                <w:sz w:val="18"/>
              </w:rPr>
              <w:t>Plan</w:t>
            </w:r>
            <w:r>
              <w:rPr>
                <w:spacing w:val="-2"/>
                <w:sz w:val="18"/>
              </w:rPr>
              <w:t xml:space="preserve"> </w:t>
            </w:r>
            <w:r>
              <w:rPr>
                <w:sz w:val="18"/>
              </w:rPr>
              <w:t>for</w:t>
            </w:r>
            <w:r>
              <w:rPr>
                <w:spacing w:val="-2"/>
                <w:sz w:val="18"/>
              </w:rPr>
              <w:t xml:space="preserve"> </w:t>
            </w:r>
            <w:r>
              <w:rPr>
                <w:sz w:val="18"/>
              </w:rPr>
              <w:t>Persons</w:t>
            </w:r>
            <w:r>
              <w:rPr>
                <w:spacing w:val="-2"/>
                <w:sz w:val="18"/>
              </w:rPr>
              <w:t xml:space="preserve"> </w:t>
            </w:r>
            <w:r>
              <w:rPr>
                <w:sz w:val="18"/>
              </w:rPr>
              <w:t>with</w:t>
            </w:r>
            <w:r>
              <w:rPr>
                <w:spacing w:val="-1"/>
                <w:sz w:val="18"/>
              </w:rPr>
              <w:t xml:space="preserve"> </w:t>
            </w:r>
            <w:r>
              <w:rPr>
                <w:spacing w:val="-2"/>
                <w:sz w:val="18"/>
              </w:rPr>
              <w:t>Disabilities</w:t>
            </w:r>
          </w:p>
        </w:tc>
        <w:tc>
          <w:tcPr>
            <w:tcW w:w="1275" w:type="dxa"/>
            <w:tcBorders>
              <w:top w:val="single" w:sz="4" w:space="0" w:color="A6A6A6"/>
              <w:left w:val="single" w:sz="4" w:space="0" w:color="A6A6A6"/>
              <w:bottom w:val="single" w:sz="4" w:space="0" w:color="A6A6A6"/>
              <w:right w:val="single" w:sz="4" w:space="0" w:color="A6A6A6"/>
            </w:tcBorders>
          </w:tcPr>
          <w:p w14:paraId="4738CE8A" w14:textId="77777777" w:rsidR="00BC24A8" w:rsidRDefault="00000000">
            <w:pPr>
              <w:pStyle w:val="TableParagraph"/>
              <w:spacing w:line="219" w:lineRule="exact"/>
              <w:ind w:left="106"/>
              <w:rPr>
                <w:sz w:val="18"/>
              </w:rPr>
            </w:pPr>
            <w:r>
              <w:rPr>
                <w:spacing w:val="-5"/>
                <w:sz w:val="18"/>
              </w:rPr>
              <w:t>NTB</w:t>
            </w:r>
          </w:p>
        </w:tc>
      </w:tr>
      <w:tr w:rsidR="00BC24A8" w14:paraId="5F0ACC0B" w14:textId="77777777">
        <w:trPr>
          <w:trHeight w:val="278"/>
        </w:trPr>
        <w:tc>
          <w:tcPr>
            <w:tcW w:w="490" w:type="dxa"/>
            <w:tcBorders>
              <w:top w:val="single" w:sz="4" w:space="0" w:color="A6A6A6"/>
              <w:left w:val="single" w:sz="4" w:space="0" w:color="A6A6A6"/>
              <w:bottom w:val="single" w:sz="4" w:space="0" w:color="A6A6A6"/>
              <w:right w:val="single" w:sz="4" w:space="0" w:color="A6A6A6"/>
            </w:tcBorders>
          </w:tcPr>
          <w:p w14:paraId="7D481491" w14:textId="77777777" w:rsidR="00BC24A8" w:rsidRDefault="00000000">
            <w:pPr>
              <w:pStyle w:val="TableParagraph"/>
              <w:spacing w:line="219" w:lineRule="exact"/>
              <w:ind w:left="9"/>
              <w:jc w:val="center"/>
              <w:rPr>
                <w:sz w:val="18"/>
              </w:rPr>
            </w:pPr>
            <w:r>
              <w:rPr>
                <w:spacing w:val="-5"/>
                <w:sz w:val="18"/>
              </w:rPr>
              <w:t>121</w:t>
            </w:r>
          </w:p>
        </w:tc>
        <w:tc>
          <w:tcPr>
            <w:tcW w:w="7760" w:type="dxa"/>
            <w:tcBorders>
              <w:top w:val="single" w:sz="4" w:space="0" w:color="A6A6A6"/>
              <w:left w:val="single" w:sz="4" w:space="0" w:color="A6A6A6"/>
              <w:bottom w:val="single" w:sz="4" w:space="0" w:color="A6A6A6"/>
              <w:right w:val="single" w:sz="4" w:space="0" w:color="A6A6A6"/>
            </w:tcBorders>
          </w:tcPr>
          <w:p w14:paraId="5149F85C" w14:textId="77777777" w:rsidR="00BC24A8" w:rsidRDefault="00000000">
            <w:pPr>
              <w:pStyle w:val="TableParagraph"/>
              <w:spacing w:line="219" w:lineRule="exact"/>
              <w:ind w:left="107"/>
              <w:rPr>
                <w:sz w:val="18"/>
              </w:rPr>
            </w:pPr>
            <w:r>
              <w:rPr>
                <w:sz w:val="18"/>
              </w:rPr>
              <w:t>Regional</w:t>
            </w:r>
            <w:r>
              <w:rPr>
                <w:spacing w:val="-2"/>
                <w:sz w:val="18"/>
              </w:rPr>
              <w:t xml:space="preserve"> </w:t>
            </w:r>
            <w:r>
              <w:rPr>
                <w:sz w:val="18"/>
              </w:rPr>
              <w:t>Regulation</w:t>
            </w:r>
            <w:r>
              <w:rPr>
                <w:spacing w:val="-3"/>
                <w:sz w:val="18"/>
              </w:rPr>
              <w:t xml:space="preserve"> </w:t>
            </w:r>
            <w:r>
              <w:rPr>
                <w:sz w:val="18"/>
              </w:rPr>
              <w:t>No.</w:t>
            </w:r>
            <w:r>
              <w:rPr>
                <w:spacing w:val="-4"/>
                <w:sz w:val="18"/>
              </w:rPr>
              <w:t xml:space="preserve"> </w:t>
            </w:r>
            <w:r>
              <w:rPr>
                <w:sz w:val="18"/>
              </w:rPr>
              <w:t>2/2024</w:t>
            </w:r>
            <w:r>
              <w:rPr>
                <w:spacing w:val="-3"/>
                <w:sz w:val="18"/>
              </w:rPr>
              <w:t xml:space="preserve"> </w:t>
            </w:r>
            <w:r>
              <w:rPr>
                <w:sz w:val="18"/>
              </w:rPr>
              <w:t>on</w:t>
            </w:r>
            <w:r>
              <w:rPr>
                <w:spacing w:val="-2"/>
                <w:sz w:val="18"/>
              </w:rPr>
              <w:t xml:space="preserve"> </w:t>
            </w:r>
            <w:r>
              <w:rPr>
                <w:spacing w:val="-4"/>
                <w:sz w:val="18"/>
              </w:rPr>
              <w:t>PDRD</w:t>
            </w:r>
          </w:p>
        </w:tc>
        <w:tc>
          <w:tcPr>
            <w:tcW w:w="1275" w:type="dxa"/>
            <w:tcBorders>
              <w:top w:val="single" w:sz="4" w:space="0" w:color="A6A6A6"/>
              <w:left w:val="single" w:sz="4" w:space="0" w:color="A6A6A6"/>
              <w:bottom w:val="single" w:sz="4" w:space="0" w:color="A6A6A6"/>
              <w:right w:val="single" w:sz="4" w:space="0" w:color="A6A6A6"/>
            </w:tcBorders>
          </w:tcPr>
          <w:p w14:paraId="1DC9BAAA" w14:textId="77777777" w:rsidR="00BC24A8" w:rsidRDefault="00000000">
            <w:pPr>
              <w:pStyle w:val="TableParagraph"/>
              <w:spacing w:line="219" w:lineRule="exact"/>
              <w:ind w:left="106"/>
              <w:rPr>
                <w:sz w:val="18"/>
              </w:rPr>
            </w:pPr>
            <w:r>
              <w:rPr>
                <w:spacing w:val="-5"/>
                <w:sz w:val="18"/>
              </w:rPr>
              <w:t>NTB</w:t>
            </w:r>
          </w:p>
        </w:tc>
      </w:tr>
      <w:tr w:rsidR="00BC24A8" w14:paraId="1DFB6EC8"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3C42BC5B" w14:textId="77777777" w:rsidR="00BC24A8" w:rsidRDefault="00000000">
            <w:pPr>
              <w:pStyle w:val="TableParagraph"/>
              <w:spacing w:line="219" w:lineRule="exact"/>
              <w:ind w:left="9"/>
              <w:jc w:val="center"/>
              <w:rPr>
                <w:sz w:val="18"/>
              </w:rPr>
            </w:pPr>
            <w:r>
              <w:rPr>
                <w:spacing w:val="-5"/>
                <w:sz w:val="18"/>
              </w:rPr>
              <w:t>122</w:t>
            </w:r>
          </w:p>
        </w:tc>
        <w:tc>
          <w:tcPr>
            <w:tcW w:w="7760" w:type="dxa"/>
            <w:tcBorders>
              <w:top w:val="single" w:sz="4" w:space="0" w:color="A6A6A6"/>
              <w:left w:val="single" w:sz="4" w:space="0" w:color="A6A6A6"/>
              <w:bottom w:val="single" w:sz="4" w:space="0" w:color="A6A6A6"/>
              <w:right w:val="single" w:sz="4" w:space="0" w:color="A6A6A6"/>
            </w:tcBorders>
          </w:tcPr>
          <w:p w14:paraId="6740BA49"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Regulation</w:t>
            </w:r>
            <w:r>
              <w:rPr>
                <w:spacing w:val="-2"/>
                <w:sz w:val="18"/>
              </w:rPr>
              <w:t xml:space="preserve"> </w:t>
            </w:r>
            <w:r>
              <w:rPr>
                <w:sz w:val="18"/>
              </w:rPr>
              <w:t>No.</w:t>
            </w:r>
            <w:r>
              <w:rPr>
                <w:spacing w:val="-3"/>
                <w:sz w:val="18"/>
              </w:rPr>
              <w:t xml:space="preserve"> </w:t>
            </w:r>
            <w:r>
              <w:rPr>
                <w:sz w:val="18"/>
              </w:rPr>
              <w:t>23/2024</w:t>
            </w:r>
            <w:r>
              <w:rPr>
                <w:spacing w:val="-2"/>
                <w:sz w:val="18"/>
              </w:rPr>
              <w:t xml:space="preserve"> </w:t>
            </w:r>
            <w:r>
              <w:rPr>
                <w:sz w:val="18"/>
              </w:rPr>
              <w:t>on</w:t>
            </w:r>
            <w:r>
              <w:rPr>
                <w:spacing w:val="-2"/>
                <w:sz w:val="18"/>
              </w:rPr>
              <w:t xml:space="preserve"> </w:t>
            </w:r>
            <w:r>
              <w:rPr>
                <w:sz w:val="18"/>
              </w:rPr>
              <w:t>Procedures</w:t>
            </w:r>
            <w:r>
              <w:rPr>
                <w:spacing w:val="-2"/>
                <w:sz w:val="18"/>
              </w:rPr>
              <w:t xml:space="preserve"> </w:t>
            </w:r>
            <w:r>
              <w:rPr>
                <w:sz w:val="18"/>
              </w:rPr>
              <w:t>for</w:t>
            </w:r>
            <w:r>
              <w:rPr>
                <w:spacing w:val="-3"/>
                <w:sz w:val="18"/>
              </w:rPr>
              <w:t xml:space="preserve"> </w:t>
            </w:r>
            <w:r>
              <w:rPr>
                <w:sz w:val="18"/>
              </w:rPr>
              <w:t>the</w:t>
            </w:r>
            <w:r>
              <w:rPr>
                <w:spacing w:val="-2"/>
                <w:sz w:val="18"/>
              </w:rPr>
              <w:t xml:space="preserve"> </w:t>
            </w:r>
            <w:r>
              <w:rPr>
                <w:sz w:val="18"/>
              </w:rPr>
              <w:t>Collection</w:t>
            </w:r>
            <w:r>
              <w:rPr>
                <w:spacing w:val="-5"/>
                <w:sz w:val="18"/>
              </w:rPr>
              <w:t xml:space="preserve"> </w:t>
            </w:r>
            <w:r>
              <w:rPr>
                <w:sz w:val="18"/>
              </w:rPr>
              <w:t>of</w:t>
            </w:r>
            <w:r>
              <w:rPr>
                <w:spacing w:val="-3"/>
                <w:sz w:val="18"/>
              </w:rPr>
              <w:t xml:space="preserve"> </w:t>
            </w:r>
            <w:r>
              <w:rPr>
                <w:sz w:val="18"/>
              </w:rPr>
              <w:t>PKB,</w:t>
            </w:r>
            <w:r>
              <w:rPr>
                <w:spacing w:val="-3"/>
                <w:sz w:val="18"/>
              </w:rPr>
              <w:t xml:space="preserve"> </w:t>
            </w:r>
            <w:r>
              <w:rPr>
                <w:sz w:val="18"/>
              </w:rPr>
              <w:t>BBNKB,</w:t>
            </w:r>
            <w:r>
              <w:rPr>
                <w:spacing w:val="-3"/>
                <w:sz w:val="18"/>
              </w:rPr>
              <w:t xml:space="preserve"> </w:t>
            </w:r>
            <w:r>
              <w:rPr>
                <w:sz w:val="18"/>
              </w:rPr>
              <w:t>BBNKB,</w:t>
            </w:r>
            <w:r>
              <w:rPr>
                <w:spacing w:val="-3"/>
                <w:sz w:val="18"/>
              </w:rPr>
              <w:t xml:space="preserve"> </w:t>
            </w:r>
            <w:r>
              <w:rPr>
                <w:sz w:val="18"/>
              </w:rPr>
              <w:t>and</w:t>
            </w:r>
            <w:r>
              <w:rPr>
                <w:spacing w:val="-2"/>
                <w:sz w:val="18"/>
              </w:rPr>
              <w:t xml:space="preserve"> Opsen</w:t>
            </w:r>
          </w:p>
        </w:tc>
        <w:tc>
          <w:tcPr>
            <w:tcW w:w="1275" w:type="dxa"/>
            <w:tcBorders>
              <w:top w:val="single" w:sz="4" w:space="0" w:color="A6A6A6"/>
              <w:left w:val="single" w:sz="4" w:space="0" w:color="A6A6A6"/>
              <w:bottom w:val="single" w:sz="4" w:space="0" w:color="A6A6A6"/>
              <w:right w:val="single" w:sz="4" w:space="0" w:color="A6A6A6"/>
            </w:tcBorders>
          </w:tcPr>
          <w:p w14:paraId="39376A72" w14:textId="77777777" w:rsidR="00BC24A8" w:rsidRDefault="00000000">
            <w:pPr>
              <w:pStyle w:val="TableParagraph"/>
              <w:spacing w:line="219" w:lineRule="exact"/>
              <w:ind w:left="106"/>
              <w:rPr>
                <w:sz w:val="18"/>
              </w:rPr>
            </w:pPr>
            <w:r>
              <w:rPr>
                <w:spacing w:val="-5"/>
                <w:sz w:val="18"/>
              </w:rPr>
              <w:t>NTB</w:t>
            </w:r>
          </w:p>
        </w:tc>
      </w:tr>
      <w:tr w:rsidR="00BC24A8" w14:paraId="6C4EEA44"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51D5C08D" w14:textId="77777777" w:rsidR="00BC24A8" w:rsidRDefault="00000000">
            <w:pPr>
              <w:pStyle w:val="TableParagraph"/>
              <w:spacing w:before="1"/>
              <w:ind w:left="9"/>
              <w:jc w:val="center"/>
              <w:rPr>
                <w:sz w:val="18"/>
              </w:rPr>
            </w:pPr>
            <w:r>
              <w:rPr>
                <w:spacing w:val="-5"/>
                <w:sz w:val="18"/>
              </w:rPr>
              <w:t>123</w:t>
            </w:r>
          </w:p>
        </w:tc>
        <w:tc>
          <w:tcPr>
            <w:tcW w:w="7760" w:type="dxa"/>
            <w:tcBorders>
              <w:top w:val="single" w:sz="4" w:space="0" w:color="A6A6A6"/>
              <w:left w:val="single" w:sz="4" w:space="0" w:color="A6A6A6"/>
              <w:bottom w:val="single" w:sz="4" w:space="0" w:color="A6A6A6"/>
              <w:right w:val="single" w:sz="4" w:space="0" w:color="A6A6A6"/>
            </w:tcBorders>
          </w:tcPr>
          <w:p w14:paraId="1048CF85" w14:textId="77777777" w:rsidR="00BC24A8" w:rsidRDefault="00000000">
            <w:pPr>
              <w:pStyle w:val="TableParagraph"/>
              <w:spacing w:before="1" w:line="219" w:lineRule="exact"/>
              <w:ind w:left="107"/>
              <w:rPr>
                <w:sz w:val="18"/>
              </w:rPr>
            </w:pPr>
            <w:r>
              <w:rPr>
                <w:sz w:val="18"/>
              </w:rPr>
              <w:t>Head</w:t>
            </w:r>
            <w:r>
              <w:rPr>
                <w:spacing w:val="-5"/>
                <w:sz w:val="18"/>
              </w:rPr>
              <w:t xml:space="preserve"> </w:t>
            </w:r>
            <w:r>
              <w:rPr>
                <w:sz w:val="18"/>
              </w:rPr>
              <w:t>of</w:t>
            </w:r>
            <w:r>
              <w:rPr>
                <w:spacing w:val="-3"/>
                <w:sz w:val="18"/>
              </w:rPr>
              <w:t xml:space="preserve"> </w:t>
            </w:r>
            <w:r>
              <w:rPr>
                <w:sz w:val="18"/>
              </w:rPr>
              <w:t>Regional</w:t>
            </w:r>
            <w:r>
              <w:rPr>
                <w:spacing w:val="-1"/>
                <w:sz w:val="18"/>
              </w:rPr>
              <w:t xml:space="preserve"> </w:t>
            </w:r>
            <w:r>
              <w:rPr>
                <w:sz w:val="18"/>
              </w:rPr>
              <w:t>Revenue</w:t>
            </w:r>
            <w:r>
              <w:rPr>
                <w:spacing w:val="-3"/>
                <w:sz w:val="18"/>
              </w:rPr>
              <w:t xml:space="preserve"> </w:t>
            </w:r>
            <w:r>
              <w:rPr>
                <w:sz w:val="18"/>
              </w:rPr>
              <w:t>Agency</w:t>
            </w:r>
            <w:r>
              <w:rPr>
                <w:spacing w:val="-2"/>
                <w:sz w:val="18"/>
              </w:rPr>
              <w:t xml:space="preserve"> </w:t>
            </w:r>
            <w:r>
              <w:rPr>
                <w:sz w:val="18"/>
              </w:rPr>
              <w:t>(Bappenda)</w:t>
            </w:r>
            <w:r>
              <w:rPr>
                <w:spacing w:val="-3"/>
                <w:sz w:val="18"/>
              </w:rPr>
              <w:t xml:space="preserve"> </w:t>
            </w:r>
            <w:r>
              <w:rPr>
                <w:sz w:val="18"/>
              </w:rPr>
              <w:t>Regulation</w:t>
            </w:r>
            <w:r>
              <w:rPr>
                <w:spacing w:val="-3"/>
                <w:sz w:val="18"/>
              </w:rPr>
              <w:t xml:space="preserve"> </w:t>
            </w:r>
            <w:r>
              <w:rPr>
                <w:sz w:val="18"/>
              </w:rPr>
              <w:t>No.</w:t>
            </w:r>
            <w:r>
              <w:rPr>
                <w:spacing w:val="-3"/>
                <w:sz w:val="18"/>
              </w:rPr>
              <w:t xml:space="preserve"> </w:t>
            </w:r>
            <w:r>
              <w:rPr>
                <w:sz w:val="18"/>
              </w:rPr>
              <w:t>010/2025</w:t>
            </w:r>
            <w:r>
              <w:rPr>
                <w:spacing w:val="-2"/>
                <w:sz w:val="18"/>
              </w:rPr>
              <w:t xml:space="preserve"> </w:t>
            </w:r>
            <w:r>
              <w:rPr>
                <w:sz w:val="18"/>
              </w:rPr>
              <w:t>on</w:t>
            </w:r>
            <w:r>
              <w:rPr>
                <w:spacing w:val="-3"/>
                <w:sz w:val="18"/>
              </w:rPr>
              <w:t xml:space="preserve"> </w:t>
            </w:r>
            <w:r>
              <w:rPr>
                <w:sz w:val="18"/>
              </w:rPr>
              <w:t>PKB</w:t>
            </w:r>
            <w:r>
              <w:rPr>
                <w:spacing w:val="-3"/>
                <w:sz w:val="18"/>
              </w:rPr>
              <w:t xml:space="preserve"> </w:t>
            </w:r>
            <w:r>
              <w:rPr>
                <w:sz w:val="18"/>
              </w:rPr>
              <w:t>Incentives</w:t>
            </w:r>
            <w:r>
              <w:rPr>
                <w:spacing w:val="-2"/>
                <w:sz w:val="18"/>
              </w:rPr>
              <w:t xml:space="preserve"> </w:t>
            </w:r>
            <w:r>
              <w:rPr>
                <w:sz w:val="18"/>
              </w:rPr>
              <w:t>for</w:t>
            </w:r>
            <w:r>
              <w:rPr>
                <w:spacing w:val="-2"/>
                <w:sz w:val="18"/>
              </w:rPr>
              <w:t xml:space="preserve"> Special</w:t>
            </w:r>
          </w:p>
          <w:p w14:paraId="544DE32D" w14:textId="77777777" w:rsidR="00BC24A8" w:rsidRDefault="00000000">
            <w:pPr>
              <w:pStyle w:val="TableParagraph"/>
              <w:spacing w:line="199" w:lineRule="exact"/>
              <w:ind w:left="107"/>
              <w:rPr>
                <w:sz w:val="18"/>
              </w:rPr>
            </w:pPr>
            <w:r>
              <w:rPr>
                <w:sz w:val="18"/>
              </w:rPr>
              <w:t>Vehicles</w:t>
            </w:r>
            <w:r>
              <w:rPr>
                <w:spacing w:val="-2"/>
                <w:sz w:val="18"/>
              </w:rPr>
              <w:t xml:space="preserve"> </w:t>
            </w:r>
            <w:r>
              <w:rPr>
                <w:sz w:val="18"/>
              </w:rPr>
              <w:t>for</w:t>
            </w:r>
            <w:r>
              <w:rPr>
                <w:spacing w:val="-1"/>
                <w:sz w:val="18"/>
              </w:rPr>
              <w:t xml:space="preserve"> </w:t>
            </w:r>
            <w:r>
              <w:rPr>
                <w:sz w:val="18"/>
              </w:rPr>
              <w:t>Persons</w:t>
            </w:r>
            <w:r>
              <w:rPr>
                <w:spacing w:val="-1"/>
                <w:sz w:val="18"/>
              </w:rPr>
              <w:t xml:space="preserve"> </w:t>
            </w:r>
            <w:r>
              <w:rPr>
                <w:sz w:val="18"/>
              </w:rPr>
              <w:t>with</w:t>
            </w:r>
            <w:r>
              <w:rPr>
                <w:spacing w:val="-3"/>
                <w:sz w:val="18"/>
              </w:rPr>
              <w:t xml:space="preserve"> </w:t>
            </w:r>
            <w:r>
              <w:rPr>
                <w:spacing w:val="-2"/>
                <w:sz w:val="18"/>
              </w:rPr>
              <w:t>Disabilities</w:t>
            </w:r>
          </w:p>
        </w:tc>
        <w:tc>
          <w:tcPr>
            <w:tcW w:w="1275" w:type="dxa"/>
            <w:tcBorders>
              <w:top w:val="single" w:sz="4" w:space="0" w:color="A6A6A6"/>
              <w:left w:val="single" w:sz="4" w:space="0" w:color="A6A6A6"/>
              <w:bottom w:val="single" w:sz="4" w:space="0" w:color="A6A6A6"/>
              <w:right w:val="single" w:sz="4" w:space="0" w:color="A6A6A6"/>
            </w:tcBorders>
          </w:tcPr>
          <w:p w14:paraId="4B112896" w14:textId="77777777" w:rsidR="00BC24A8" w:rsidRDefault="00000000">
            <w:pPr>
              <w:pStyle w:val="TableParagraph"/>
              <w:spacing w:before="1"/>
              <w:ind w:left="106"/>
              <w:rPr>
                <w:sz w:val="18"/>
              </w:rPr>
            </w:pPr>
            <w:r>
              <w:rPr>
                <w:spacing w:val="-5"/>
                <w:sz w:val="18"/>
              </w:rPr>
              <w:t>NTB</w:t>
            </w:r>
          </w:p>
        </w:tc>
      </w:tr>
    </w:tbl>
    <w:p w14:paraId="2A7E227F" w14:textId="77777777" w:rsidR="00BC24A8" w:rsidRDefault="00BC24A8">
      <w:pPr>
        <w:pStyle w:val="TableParagraph"/>
        <w:rPr>
          <w:sz w:val="18"/>
        </w:rPr>
        <w:sectPr w:rsidR="00BC24A8">
          <w:type w:val="continuous"/>
          <w:pgSz w:w="11910" w:h="16840"/>
          <w:pgMar w:top="1380" w:right="850" w:bottom="1992" w:left="1275" w:header="0" w:footer="907"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7760"/>
        <w:gridCol w:w="1275"/>
      </w:tblGrid>
      <w:tr w:rsidR="00BC24A8" w14:paraId="7D3EF84A" w14:textId="77777777">
        <w:trPr>
          <w:trHeight w:val="407"/>
        </w:trPr>
        <w:tc>
          <w:tcPr>
            <w:tcW w:w="490" w:type="dxa"/>
            <w:tcBorders>
              <w:bottom w:val="single" w:sz="4" w:space="0" w:color="A6A6A6"/>
              <w:right w:val="single" w:sz="18" w:space="0" w:color="F1F1F1"/>
            </w:tcBorders>
            <w:shd w:val="clear" w:color="auto" w:fill="17365A"/>
          </w:tcPr>
          <w:p w14:paraId="43FE3C47" w14:textId="77777777" w:rsidR="00BC24A8" w:rsidRDefault="00000000">
            <w:pPr>
              <w:pStyle w:val="TableParagraph"/>
              <w:spacing w:before="83"/>
              <w:ind w:left="26"/>
              <w:jc w:val="center"/>
              <w:rPr>
                <w:rFonts w:ascii="Calibri"/>
                <w:b/>
                <w:sz w:val="20"/>
              </w:rPr>
            </w:pPr>
            <w:r>
              <w:rPr>
                <w:rFonts w:ascii="Calibri"/>
                <w:b/>
                <w:color w:val="FFFFFF"/>
                <w:spacing w:val="-5"/>
                <w:sz w:val="20"/>
              </w:rPr>
              <w:lastRenderedPageBreak/>
              <w:t>No</w:t>
            </w:r>
          </w:p>
        </w:tc>
        <w:tc>
          <w:tcPr>
            <w:tcW w:w="7760" w:type="dxa"/>
            <w:tcBorders>
              <w:left w:val="single" w:sz="18" w:space="0" w:color="F1F1F1"/>
              <w:bottom w:val="single" w:sz="4" w:space="0" w:color="A6A6A6"/>
              <w:right w:val="single" w:sz="18" w:space="0" w:color="F1F1F1"/>
            </w:tcBorders>
            <w:shd w:val="clear" w:color="auto" w:fill="17365A"/>
          </w:tcPr>
          <w:p w14:paraId="0B5B36FA" w14:textId="77777777" w:rsidR="00BC24A8" w:rsidRDefault="00000000">
            <w:pPr>
              <w:pStyle w:val="TableParagraph"/>
              <w:spacing w:before="83"/>
              <w:ind w:left="5"/>
              <w:jc w:val="center"/>
              <w:rPr>
                <w:rFonts w:ascii="Calibri"/>
                <w:b/>
                <w:sz w:val="20"/>
              </w:rPr>
            </w:pPr>
            <w:r>
              <w:rPr>
                <w:rFonts w:ascii="Calibri"/>
                <w:b/>
                <w:color w:val="FFFFFF"/>
                <w:sz w:val="20"/>
              </w:rPr>
              <w:t>Document</w:t>
            </w:r>
            <w:r>
              <w:rPr>
                <w:rFonts w:ascii="Calibri"/>
                <w:b/>
                <w:color w:val="FFFFFF"/>
                <w:spacing w:val="-7"/>
                <w:sz w:val="20"/>
              </w:rPr>
              <w:t xml:space="preserve"> </w:t>
            </w:r>
            <w:r>
              <w:rPr>
                <w:rFonts w:ascii="Calibri"/>
                <w:b/>
                <w:color w:val="FFFFFF"/>
                <w:spacing w:val="-2"/>
                <w:sz w:val="20"/>
              </w:rPr>
              <w:t>Title</w:t>
            </w:r>
          </w:p>
        </w:tc>
        <w:tc>
          <w:tcPr>
            <w:tcW w:w="1275" w:type="dxa"/>
            <w:tcBorders>
              <w:left w:val="single" w:sz="18" w:space="0" w:color="F1F1F1"/>
              <w:bottom w:val="single" w:sz="4" w:space="0" w:color="A6A6A6"/>
            </w:tcBorders>
            <w:shd w:val="clear" w:color="auto" w:fill="17365A"/>
          </w:tcPr>
          <w:p w14:paraId="4558DDBA" w14:textId="77777777" w:rsidR="00BC24A8" w:rsidRDefault="00000000">
            <w:pPr>
              <w:pStyle w:val="TableParagraph"/>
              <w:spacing w:before="83"/>
              <w:ind w:right="8"/>
              <w:jc w:val="center"/>
              <w:rPr>
                <w:rFonts w:ascii="Calibri"/>
                <w:b/>
                <w:sz w:val="20"/>
              </w:rPr>
            </w:pPr>
            <w:r>
              <w:rPr>
                <w:rFonts w:ascii="Calibri"/>
                <w:b/>
                <w:color w:val="FFFFFF"/>
                <w:spacing w:val="-4"/>
                <w:sz w:val="20"/>
              </w:rPr>
              <w:t>Area</w:t>
            </w:r>
          </w:p>
        </w:tc>
      </w:tr>
      <w:tr w:rsidR="00BC24A8" w14:paraId="03D53C5F"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73C83946" w14:textId="77777777" w:rsidR="00BC24A8" w:rsidRDefault="00000000">
            <w:pPr>
              <w:pStyle w:val="TableParagraph"/>
              <w:spacing w:line="219" w:lineRule="exact"/>
              <w:ind w:left="9"/>
              <w:jc w:val="center"/>
              <w:rPr>
                <w:sz w:val="18"/>
              </w:rPr>
            </w:pPr>
            <w:r>
              <w:rPr>
                <w:spacing w:val="-5"/>
                <w:sz w:val="18"/>
              </w:rPr>
              <w:t>124</w:t>
            </w:r>
          </w:p>
        </w:tc>
        <w:tc>
          <w:tcPr>
            <w:tcW w:w="7760" w:type="dxa"/>
            <w:tcBorders>
              <w:top w:val="single" w:sz="4" w:space="0" w:color="A6A6A6"/>
              <w:left w:val="single" w:sz="4" w:space="0" w:color="A6A6A6"/>
              <w:bottom w:val="single" w:sz="4" w:space="0" w:color="A6A6A6"/>
              <w:right w:val="single" w:sz="4" w:space="0" w:color="A6A6A6"/>
            </w:tcBorders>
          </w:tcPr>
          <w:p w14:paraId="634A1F26" w14:textId="77777777" w:rsidR="00BC24A8" w:rsidRDefault="00000000">
            <w:pPr>
              <w:pStyle w:val="TableParagraph"/>
              <w:ind w:left="107" w:right="122"/>
              <w:rPr>
                <w:sz w:val="18"/>
              </w:rPr>
            </w:pPr>
            <w:r>
              <w:rPr>
                <w:sz w:val="18"/>
              </w:rPr>
              <w:t>MoU</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Implementation</w:t>
            </w:r>
            <w:r>
              <w:rPr>
                <w:spacing w:val="-4"/>
                <w:sz w:val="18"/>
              </w:rPr>
              <w:t xml:space="preserve"> </w:t>
            </w:r>
            <w:r>
              <w:rPr>
                <w:sz w:val="18"/>
              </w:rPr>
              <w:t>of</w:t>
            </w:r>
            <w:r>
              <w:rPr>
                <w:spacing w:val="-4"/>
                <w:sz w:val="18"/>
              </w:rPr>
              <w:t xml:space="preserve"> </w:t>
            </w:r>
            <w:r>
              <w:rPr>
                <w:sz w:val="18"/>
              </w:rPr>
              <w:t>Regional</w:t>
            </w:r>
            <w:r>
              <w:rPr>
                <w:spacing w:val="-3"/>
                <w:sz w:val="18"/>
              </w:rPr>
              <w:t xml:space="preserve"> </w:t>
            </w:r>
            <w:r>
              <w:rPr>
                <w:sz w:val="18"/>
              </w:rPr>
              <w:t>Regulation</w:t>
            </w:r>
            <w:r>
              <w:rPr>
                <w:spacing w:val="-3"/>
                <w:sz w:val="18"/>
              </w:rPr>
              <w:t xml:space="preserve"> </w:t>
            </w:r>
            <w:r>
              <w:rPr>
                <w:sz w:val="18"/>
              </w:rPr>
              <w:t>on</w:t>
            </w:r>
            <w:r>
              <w:rPr>
                <w:spacing w:val="-3"/>
                <w:sz w:val="18"/>
              </w:rPr>
              <w:t xml:space="preserve"> </w:t>
            </w:r>
            <w:r>
              <w:rPr>
                <w:sz w:val="18"/>
              </w:rPr>
              <w:t>PDRD</w:t>
            </w:r>
            <w:r>
              <w:rPr>
                <w:spacing w:val="-3"/>
                <w:sz w:val="18"/>
              </w:rPr>
              <w:t xml:space="preserve"> </w:t>
            </w:r>
            <w:r>
              <w:rPr>
                <w:sz w:val="18"/>
              </w:rPr>
              <w:t>(Implementation</w:t>
            </w:r>
            <w:r>
              <w:rPr>
                <w:spacing w:val="-3"/>
                <w:sz w:val="18"/>
              </w:rPr>
              <w:t xml:space="preserve"> </w:t>
            </w:r>
            <w:r>
              <w:rPr>
                <w:sz w:val="18"/>
              </w:rPr>
              <w:t>of</w:t>
            </w:r>
            <w:r>
              <w:rPr>
                <w:spacing w:val="-4"/>
                <w:sz w:val="18"/>
              </w:rPr>
              <w:t xml:space="preserve"> </w:t>
            </w:r>
            <w:r>
              <w:rPr>
                <w:sz w:val="18"/>
              </w:rPr>
              <w:t>Regional</w:t>
            </w:r>
            <w:r>
              <w:rPr>
                <w:spacing w:val="-3"/>
                <w:sz w:val="18"/>
              </w:rPr>
              <w:t xml:space="preserve"> </w:t>
            </w:r>
            <w:r>
              <w:rPr>
                <w:sz w:val="18"/>
              </w:rPr>
              <w:t>Regulation No. 2/2024 on PDRD) between the Governor and Regents/Mayors in NTB</w:t>
            </w:r>
          </w:p>
        </w:tc>
        <w:tc>
          <w:tcPr>
            <w:tcW w:w="1275" w:type="dxa"/>
            <w:tcBorders>
              <w:top w:val="single" w:sz="4" w:space="0" w:color="A6A6A6"/>
              <w:left w:val="single" w:sz="4" w:space="0" w:color="A6A6A6"/>
              <w:bottom w:val="single" w:sz="4" w:space="0" w:color="A6A6A6"/>
              <w:right w:val="single" w:sz="4" w:space="0" w:color="A6A6A6"/>
            </w:tcBorders>
          </w:tcPr>
          <w:p w14:paraId="2D99E439" w14:textId="77777777" w:rsidR="00BC24A8" w:rsidRDefault="00000000">
            <w:pPr>
              <w:pStyle w:val="TableParagraph"/>
              <w:spacing w:line="219" w:lineRule="exact"/>
              <w:ind w:left="106"/>
              <w:rPr>
                <w:sz w:val="18"/>
              </w:rPr>
            </w:pPr>
            <w:r>
              <w:rPr>
                <w:spacing w:val="-5"/>
                <w:sz w:val="18"/>
              </w:rPr>
              <w:t>NTB</w:t>
            </w:r>
          </w:p>
        </w:tc>
      </w:tr>
      <w:tr w:rsidR="00BC24A8" w14:paraId="66CF72D7" w14:textId="77777777">
        <w:trPr>
          <w:trHeight w:val="659"/>
        </w:trPr>
        <w:tc>
          <w:tcPr>
            <w:tcW w:w="490" w:type="dxa"/>
            <w:tcBorders>
              <w:top w:val="single" w:sz="4" w:space="0" w:color="A6A6A6"/>
              <w:left w:val="single" w:sz="4" w:space="0" w:color="A6A6A6"/>
              <w:bottom w:val="single" w:sz="4" w:space="0" w:color="A6A6A6"/>
              <w:right w:val="single" w:sz="4" w:space="0" w:color="A6A6A6"/>
            </w:tcBorders>
          </w:tcPr>
          <w:p w14:paraId="2679BDF0" w14:textId="77777777" w:rsidR="00BC24A8" w:rsidRDefault="00000000">
            <w:pPr>
              <w:pStyle w:val="TableParagraph"/>
              <w:spacing w:line="219" w:lineRule="exact"/>
              <w:ind w:left="9"/>
              <w:jc w:val="center"/>
              <w:rPr>
                <w:sz w:val="18"/>
              </w:rPr>
            </w:pPr>
            <w:r>
              <w:rPr>
                <w:spacing w:val="-5"/>
                <w:sz w:val="18"/>
              </w:rPr>
              <w:t>125</w:t>
            </w:r>
          </w:p>
        </w:tc>
        <w:tc>
          <w:tcPr>
            <w:tcW w:w="7760" w:type="dxa"/>
            <w:tcBorders>
              <w:top w:val="single" w:sz="4" w:space="0" w:color="A6A6A6"/>
              <w:left w:val="single" w:sz="4" w:space="0" w:color="A6A6A6"/>
              <w:bottom w:val="single" w:sz="4" w:space="0" w:color="A6A6A6"/>
              <w:right w:val="single" w:sz="4" w:space="0" w:color="A6A6A6"/>
            </w:tcBorders>
          </w:tcPr>
          <w:p w14:paraId="27786739" w14:textId="77777777" w:rsidR="00BC24A8" w:rsidRDefault="00000000">
            <w:pPr>
              <w:pStyle w:val="TableParagraph"/>
              <w:spacing w:line="219" w:lineRule="exact"/>
              <w:ind w:left="107"/>
              <w:rPr>
                <w:sz w:val="18"/>
              </w:rPr>
            </w:pPr>
            <w:r>
              <w:rPr>
                <w:sz w:val="18"/>
              </w:rPr>
              <w:t>Cooperation</w:t>
            </w:r>
            <w:r>
              <w:rPr>
                <w:spacing w:val="-5"/>
                <w:sz w:val="18"/>
              </w:rPr>
              <w:t xml:space="preserve"> </w:t>
            </w:r>
            <w:r>
              <w:rPr>
                <w:sz w:val="18"/>
              </w:rPr>
              <w:t>Agreement</w:t>
            </w:r>
            <w:r>
              <w:rPr>
                <w:spacing w:val="-1"/>
                <w:sz w:val="18"/>
              </w:rPr>
              <w:t xml:space="preserve"> </w:t>
            </w:r>
            <w:r>
              <w:rPr>
                <w:sz w:val="18"/>
              </w:rPr>
              <w:t>between</w:t>
            </w:r>
            <w:r>
              <w:rPr>
                <w:spacing w:val="-2"/>
                <w:sz w:val="18"/>
              </w:rPr>
              <w:t xml:space="preserve"> </w:t>
            </w:r>
            <w:r>
              <w:rPr>
                <w:sz w:val="18"/>
              </w:rPr>
              <w:t>the</w:t>
            </w:r>
            <w:r>
              <w:rPr>
                <w:spacing w:val="-2"/>
                <w:sz w:val="18"/>
              </w:rPr>
              <w:t xml:space="preserve"> </w:t>
            </w:r>
            <w:r>
              <w:rPr>
                <w:sz w:val="18"/>
              </w:rPr>
              <w:t>Head</w:t>
            </w:r>
            <w:r>
              <w:rPr>
                <w:spacing w:val="-3"/>
                <w:sz w:val="18"/>
              </w:rPr>
              <w:t xml:space="preserve"> </w:t>
            </w:r>
            <w:r>
              <w:rPr>
                <w:sz w:val="18"/>
              </w:rPr>
              <w:t>of</w:t>
            </w:r>
            <w:r>
              <w:rPr>
                <w:spacing w:val="-3"/>
                <w:sz w:val="18"/>
              </w:rPr>
              <w:t xml:space="preserve"> </w:t>
            </w:r>
            <w:r>
              <w:rPr>
                <w:sz w:val="18"/>
              </w:rPr>
              <w:t>NTB</w:t>
            </w:r>
            <w:r>
              <w:rPr>
                <w:spacing w:val="-3"/>
                <w:sz w:val="18"/>
              </w:rPr>
              <w:t xml:space="preserve"> </w:t>
            </w:r>
            <w:r>
              <w:rPr>
                <w:sz w:val="18"/>
              </w:rPr>
              <w:t>Provincial</w:t>
            </w:r>
            <w:r>
              <w:rPr>
                <w:spacing w:val="-1"/>
                <w:sz w:val="18"/>
              </w:rPr>
              <w:t xml:space="preserve"> </w:t>
            </w:r>
            <w:r>
              <w:rPr>
                <w:sz w:val="18"/>
              </w:rPr>
              <w:t>Bappenda</w:t>
            </w:r>
            <w:r>
              <w:rPr>
                <w:spacing w:val="-3"/>
                <w:sz w:val="18"/>
              </w:rPr>
              <w:t xml:space="preserve"> </w:t>
            </w:r>
            <w:r>
              <w:rPr>
                <w:sz w:val="18"/>
              </w:rPr>
              <w:t>and</w:t>
            </w:r>
            <w:r>
              <w:rPr>
                <w:spacing w:val="-3"/>
                <w:sz w:val="18"/>
              </w:rPr>
              <w:t xml:space="preserve"> </w:t>
            </w:r>
            <w:r>
              <w:rPr>
                <w:sz w:val="18"/>
              </w:rPr>
              <w:t>the</w:t>
            </w:r>
            <w:r>
              <w:rPr>
                <w:spacing w:val="-2"/>
                <w:sz w:val="18"/>
              </w:rPr>
              <w:t xml:space="preserve"> </w:t>
            </w:r>
            <w:r>
              <w:rPr>
                <w:sz w:val="18"/>
              </w:rPr>
              <w:t>Heads</w:t>
            </w:r>
            <w:r>
              <w:rPr>
                <w:spacing w:val="-2"/>
                <w:sz w:val="18"/>
              </w:rPr>
              <w:t xml:space="preserve"> </w:t>
            </w:r>
            <w:r>
              <w:rPr>
                <w:sz w:val="18"/>
              </w:rPr>
              <w:t>of</w:t>
            </w:r>
            <w:r>
              <w:rPr>
                <w:spacing w:val="-3"/>
                <w:sz w:val="18"/>
              </w:rPr>
              <w:t xml:space="preserve"> </w:t>
            </w:r>
            <w:r>
              <w:rPr>
                <w:sz w:val="18"/>
              </w:rPr>
              <w:t>Bappenda</w:t>
            </w:r>
            <w:r>
              <w:rPr>
                <w:spacing w:val="-1"/>
                <w:sz w:val="18"/>
              </w:rPr>
              <w:t xml:space="preserve"> </w:t>
            </w:r>
            <w:r>
              <w:rPr>
                <w:spacing w:val="-5"/>
                <w:sz w:val="18"/>
              </w:rPr>
              <w:t>in</w:t>
            </w:r>
          </w:p>
          <w:p w14:paraId="511CB0AD" w14:textId="77777777" w:rsidR="00BC24A8" w:rsidRDefault="00000000">
            <w:pPr>
              <w:pStyle w:val="TableParagraph"/>
              <w:spacing w:line="220" w:lineRule="atLeast"/>
              <w:ind w:left="107"/>
              <w:rPr>
                <w:sz w:val="18"/>
              </w:rPr>
            </w:pPr>
            <w:r>
              <w:rPr>
                <w:sz w:val="18"/>
              </w:rPr>
              <w:t>10</w:t>
            </w:r>
            <w:r>
              <w:rPr>
                <w:spacing w:val="-3"/>
                <w:sz w:val="18"/>
              </w:rPr>
              <w:t xml:space="preserve"> </w:t>
            </w:r>
            <w:r>
              <w:rPr>
                <w:sz w:val="18"/>
              </w:rPr>
              <w:t>Regencies/Cities</w:t>
            </w:r>
            <w:r>
              <w:rPr>
                <w:spacing w:val="-6"/>
                <w:sz w:val="18"/>
              </w:rPr>
              <w:t xml:space="preserve"> </w:t>
            </w:r>
            <w:r>
              <w:rPr>
                <w:sz w:val="18"/>
              </w:rPr>
              <w:t>in</w:t>
            </w:r>
            <w:r>
              <w:rPr>
                <w:spacing w:val="-3"/>
                <w:sz w:val="18"/>
              </w:rPr>
              <w:t xml:space="preserve"> </w:t>
            </w:r>
            <w:r>
              <w:rPr>
                <w:sz w:val="18"/>
              </w:rPr>
              <w:t>the</w:t>
            </w:r>
            <w:r>
              <w:rPr>
                <w:spacing w:val="-6"/>
                <w:sz w:val="18"/>
              </w:rPr>
              <w:t xml:space="preserve"> </w:t>
            </w:r>
            <w:r>
              <w:rPr>
                <w:sz w:val="18"/>
              </w:rPr>
              <w:t>implementation</w:t>
            </w:r>
            <w:r>
              <w:rPr>
                <w:spacing w:val="-3"/>
                <w:sz w:val="18"/>
              </w:rPr>
              <w:t xml:space="preserve"> </w:t>
            </w:r>
            <w:r>
              <w:rPr>
                <w:sz w:val="18"/>
              </w:rPr>
              <w:t>of</w:t>
            </w:r>
            <w:r>
              <w:rPr>
                <w:spacing w:val="-4"/>
                <w:sz w:val="18"/>
              </w:rPr>
              <w:t xml:space="preserve"> </w:t>
            </w:r>
            <w:r>
              <w:rPr>
                <w:sz w:val="18"/>
              </w:rPr>
              <w:t>Opsen</w:t>
            </w:r>
            <w:r>
              <w:rPr>
                <w:spacing w:val="-3"/>
                <w:sz w:val="18"/>
              </w:rPr>
              <w:t xml:space="preserve"> </w:t>
            </w:r>
            <w:r>
              <w:rPr>
                <w:sz w:val="18"/>
              </w:rPr>
              <w:t>(Implementation</w:t>
            </w:r>
            <w:r>
              <w:rPr>
                <w:spacing w:val="-3"/>
                <w:sz w:val="18"/>
              </w:rPr>
              <w:t xml:space="preserve"> </w:t>
            </w:r>
            <w:r>
              <w:rPr>
                <w:sz w:val="18"/>
              </w:rPr>
              <w:t>of</w:t>
            </w:r>
            <w:r>
              <w:rPr>
                <w:spacing w:val="-4"/>
                <w:sz w:val="18"/>
              </w:rPr>
              <w:t xml:space="preserve"> </w:t>
            </w:r>
            <w:r>
              <w:rPr>
                <w:sz w:val="18"/>
              </w:rPr>
              <w:t>Regional</w:t>
            </w:r>
            <w:r>
              <w:rPr>
                <w:spacing w:val="-2"/>
                <w:sz w:val="18"/>
              </w:rPr>
              <w:t xml:space="preserve"> </w:t>
            </w:r>
            <w:r>
              <w:rPr>
                <w:sz w:val="18"/>
              </w:rPr>
              <w:t>Regulation</w:t>
            </w:r>
            <w:r>
              <w:rPr>
                <w:spacing w:val="-3"/>
                <w:sz w:val="18"/>
              </w:rPr>
              <w:t xml:space="preserve"> </w:t>
            </w:r>
            <w:r>
              <w:rPr>
                <w:sz w:val="18"/>
              </w:rPr>
              <w:t>No.</w:t>
            </w:r>
            <w:r>
              <w:rPr>
                <w:spacing w:val="-4"/>
                <w:sz w:val="18"/>
              </w:rPr>
              <w:t xml:space="preserve"> </w:t>
            </w:r>
            <w:r>
              <w:rPr>
                <w:sz w:val="18"/>
              </w:rPr>
              <w:t>2/2024 on PDRD)</w:t>
            </w:r>
          </w:p>
        </w:tc>
        <w:tc>
          <w:tcPr>
            <w:tcW w:w="1275" w:type="dxa"/>
            <w:tcBorders>
              <w:top w:val="single" w:sz="4" w:space="0" w:color="A6A6A6"/>
              <w:left w:val="single" w:sz="4" w:space="0" w:color="A6A6A6"/>
              <w:bottom w:val="single" w:sz="4" w:space="0" w:color="A6A6A6"/>
              <w:right w:val="single" w:sz="4" w:space="0" w:color="A6A6A6"/>
            </w:tcBorders>
          </w:tcPr>
          <w:p w14:paraId="54B2B4D0" w14:textId="77777777" w:rsidR="00BC24A8" w:rsidRDefault="00000000">
            <w:pPr>
              <w:pStyle w:val="TableParagraph"/>
              <w:spacing w:line="219" w:lineRule="exact"/>
              <w:ind w:left="106"/>
              <w:rPr>
                <w:sz w:val="18"/>
              </w:rPr>
            </w:pPr>
            <w:r>
              <w:rPr>
                <w:spacing w:val="-5"/>
                <w:sz w:val="18"/>
              </w:rPr>
              <w:t>NTB</w:t>
            </w:r>
          </w:p>
        </w:tc>
      </w:tr>
      <w:tr w:rsidR="00BC24A8" w14:paraId="4E9BCD48"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3F7595CC" w14:textId="77777777" w:rsidR="00BC24A8" w:rsidRDefault="00000000">
            <w:pPr>
              <w:pStyle w:val="TableParagraph"/>
              <w:spacing w:line="219" w:lineRule="exact"/>
              <w:ind w:left="9"/>
              <w:jc w:val="center"/>
              <w:rPr>
                <w:sz w:val="18"/>
              </w:rPr>
            </w:pPr>
            <w:r>
              <w:rPr>
                <w:spacing w:val="-5"/>
                <w:sz w:val="18"/>
              </w:rPr>
              <w:t>126</w:t>
            </w:r>
          </w:p>
        </w:tc>
        <w:tc>
          <w:tcPr>
            <w:tcW w:w="7760" w:type="dxa"/>
            <w:tcBorders>
              <w:top w:val="single" w:sz="4" w:space="0" w:color="A6A6A6"/>
              <w:left w:val="single" w:sz="4" w:space="0" w:color="A6A6A6"/>
              <w:bottom w:val="single" w:sz="4" w:space="0" w:color="A6A6A6"/>
              <w:right w:val="single" w:sz="4" w:space="0" w:color="A6A6A6"/>
            </w:tcBorders>
          </w:tcPr>
          <w:p w14:paraId="1D0077F9"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Regulation</w:t>
            </w:r>
            <w:r>
              <w:rPr>
                <w:spacing w:val="-2"/>
                <w:sz w:val="18"/>
              </w:rPr>
              <w:t xml:space="preserve"> </w:t>
            </w:r>
            <w:r>
              <w:rPr>
                <w:sz w:val="18"/>
              </w:rPr>
              <w:t>No.</w:t>
            </w:r>
            <w:r>
              <w:rPr>
                <w:spacing w:val="-4"/>
                <w:sz w:val="18"/>
              </w:rPr>
              <w:t xml:space="preserve"> </w:t>
            </w:r>
            <w:r>
              <w:rPr>
                <w:sz w:val="18"/>
              </w:rPr>
              <w:t>105/2023</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Action</w:t>
            </w:r>
            <w:r>
              <w:rPr>
                <w:spacing w:val="-2"/>
                <w:sz w:val="18"/>
              </w:rPr>
              <w:t xml:space="preserve"> </w:t>
            </w:r>
            <w:r>
              <w:rPr>
                <w:sz w:val="18"/>
              </w:rPr>
              <w:t>Plan</w:t>
            </w:r>
            <w:r>
              <w:rPr>
                <w:spacing w:val="-3"/>
                <w:sz w:val="18"/>
              </w:rPr>
              <w:t xml:space="preserve"> </w:t>
            </w:r>
            <w:r>
              <w:rPr>
                <w:sz w:val="18"/>
              </w:rPr>
              <w:t>for</w:t>
            </w:r>
            <w:r>
              <w:rPr>
                <w:spacing w:val="-2"/>
                <w:sz w:val="18"/>
              </w:rPr>
              <w:t xml:space="preserve"> </w:t>
            </w:r>
            <w:r>
              <w:rPr>
                <w:sz w:val="18"/>
              </w:rPr>
              <w:t>MSS</w:t>
            </w:r>
            <w:r>
              <w:rPr>
                <w:spacing w:val="-2"/>
                <w:sz w:val="18"/>
              </w:rPr>
              <w:t xml:space="preserve"> </w:t>
            </w:r>
            <w:r>
              <w:rPr>
                <w:sz w:val="18"/>
              </w:rPr>
              <w:t>2023-</w:t>
            </w:r>
            <w:r>
              <w:rPr>
                <w:spacing w:val="-4"/>
                <w:sz w:val="18"/>
              </w:rPr>
              <w:t>2027</w:t>
            </w:r>
          </w:p>
        </w:tc>
        <w:tc>
          <w:tcPr>
            <w:tcW w:w="1275" w:type="dxa"/>
            <w:tcBorders>
              <w:top w:val="single" w:sz="4" w:space="0" w:color="A6A6A6"/>
              <w:left w:val="single" w:sz="4" w:space="0" w:color="A6A6A6"/>
              <w:bottom w:val="single" w:sz="4" w:space="0" w:color="A6A6A6"/>
              <w:right w:val="single" w:sz="4" w:space="0" w:color="A6A6A6"/>
            </w:tcBorders>
          </w:tcPr>
          <w:p w14:paraId="36073C29" w14:textId="77777777" w:rsidR="00BC24A8" w:rsidRDefault="00000000">
            <w:pPr>
              <w:pStyle w:val="TableParagraph"/>
              <w:spacing w:line="219" w:lineRule="exact"/>
              <w:ind w:left="106"/>
              <w:rPr>
                <w:sz w:val="18"/>
              </w:rPr>
            </w:pPr>
            <w:r>
              <w:rPr>
                <w:spacing w:val="-5"/>
                <w:sz w:val="18"/>
              </w:rPr>
              <w:t>NTB</w:t>
            </w:r>
          </w:p>
        </w:tc>
      </w:tr>
      <w:tr w:rsidR="00BC24A8" w14:paraId="32F310BB" w14:textId="77777777">
        <w:trPr>
          <w:trHeight w:val="217"/>
        </w:trPr>
        <w:tc>
          <w:tcPr>
            <w:tcW w:w="490" w:type="dxa"/>
            <w:tcBorders>
              <w:top w:val="single" w:sz="4" w:space="0" w:color="A6A6A6"/>
              <w:left w:val="single" w:sz="4" w:space="0" w:color="A6A6A6"/>
              <w:bottom w:val="single" w:sz="4" w:space="0" w:color="A6A6A6"/>
              <w:right w:val="single" w:sz="4" w:space="0" w:color="A6A6A6"/>
            </w:tcBorders>
          </w:tcPr>
          <w:p w14:paraId="4A1F1B92" w14:textId="77777777" w:rsidR="00BC24A8" w:rsidRDefault="00000000">
            <w:pPr>
              <w:pStyle w:val="TableParagraph"/>
              <w:spacing w:line="198" w:lineRule="exact"/>
              <w:ind w:left="9"/>
              <w:jc w:val="center"/>
              <w:rPr>
                <w:sz w:val="18"/>
              </w:rPr>
            </w:pPr>
            <w:r>
              <w:rPr>
                <w:spacing w:val="-5"/>
                <w:sz w:val="18"/>
              </w:rPr>
              <w:t>127</w:t>
            </w:r>
          </w:p>
        </w:tc>
        <w:tc>
          <w:tcPr>
            <w:tcW w:w="7760" w:type="dxa"/>
            <w:tcBorders>
              <w:top w:val="single" w:sz="4" w:space="0" w:color="A6A6A6"/>
              <w:left w:val="single" w:sz="4" w:space="0" w:color="A6A6A6"/>
              <w:bottom w:val="single" w:sz="4" w:space="0" w:color="A6A6A6"/>
              <w:right w:val="single" w:sz="4" w:space="0" w:color="A6A6A6"/>
            </w:tcBorders>
          </w:tcPr>
          <w:p w14:paraId="267196C5" w14:textId="77777777" w:rsidR="00BC24A8" w:rsidRDefault="00000000">
            <w:pPr>
              <w:pStyle w:val="TableParagraph"/>
              <w:spacing w:line="198" w:lineRule="exact"/>
              <w:ind w:left="107"/>
              <w:rPr>
                <w:sz w:val="18"/>
              </w:rPr>
            </w:pPr>
            <w:r>
              <w:rPr>
                <w:sz w:val="18"/>
              </w:rPr>
              <w:t>RPJPD</w:t>
            </w:r>
            <w:r>
              <w:rPr>
                <w:spacing w:val="-1"/>
                <w:sz w:val="18"/>
              </w:rPr>
              <w:t xml:space="preserve"> </w:t>
            </w:r>
            <w:r>
              <w:rPr>
                <w:sz w:val="18"/>
              </w:rPr>
              <w:t>2025-2045</w:t>
            </w:r>
            <w:r>
              <w:rPr>
                <w:spacing w:val="-2"/>
                <w:sz w:val="18"/>
              </w:rPr>
              <w:t xml:space="preserve"> </w:t>
            </w:r>
            <w:r>
              <w:rPr>
                <w:sz w:val="18"/>
              </w:rPr>
              <w:t>of</w:t>
            </w:r>
            <w:r>
              <w:rPr>
                <w:spacing w:val="-3"/>
                <w:sz w:val="18"/>
              </w:rPr>
              <w:t xml:space="preserve"> </w:t>
            </w:r>
            <w:r>
              <w:rPr>
                <w:sz w:val="18"/>
              </w:rPr>
              <w:t>NTB</w:t>
            </w:r>
            <w:r>
              <w:rPr>
                <w:spacing w:val="-2"/>
                <w:sz w:val="18"/>
              </w:rPr>
              <w:t xml:space="preserve"> Province</w:t>
            </w:r>
          </w:p>
        </w:tc>
        <w:tc>
          <w:tcPr>
            <w:tcW w:w="1275" w:type="dxa"/>
            <w:tcBorders>
              <w:top w:val="single" w:sz="4" w:space="0" w:color="A6A6A6"/>
              <w:left w:val="single" w:sz="4" w:space="0" w:color="A6A6A6"/>
              <w:bottom w:val="single" w:sz="4" w:space="0" w:color="A6A6A6"/>
              <w:right w:val="single" w:sz="4" w:space="0" w:color="A6A6A6"/>
            </w:tcBorders>
          </w:tcPr>
          <w:p w14:paraId="6EB1B82A" w14:textId="77777777" w:rsidR="00BC24A8" w:rsidRDefault="00000000">
            <w:pPr>
              <w:pStyle w:val="TableParagraph"/>
              <w:spacing w:line="198" w:lineRule="exact"/>
              <w:ind w:left="106"/>
              <w:rPr>
                <w:sz w:val="18"/>
              </w:rPr>
            </w:pPr>
            <w:r>
              <w:rPr>
                <w:spacing w:val="-5"/>
                <w:sz w:val="18"/>
              </w:rPr>
              <w:t>NTB</w:t>
            </w:r>
          </w:p>
        </w:tc>
      </w:tr>
      <w:tr w:rsidR="00BC24A8" w14:paraId="5012B9FD"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31D597F2" w14:textId="77777777" w:rsidR="00BC24A8" w:rsidRDefault="00000000">
            <w:pPr>
              <w:pStyle w:val="TableParagraph"/>
              <w:spacing w:before="1"/>
              <w:ind w:left="9"/>
              <w:jc w:val="center"/>
              <w:rPr>
                <w:sz w:val="18"/>
              </w:rPr>
            </w:pPr>
            <w:r>
              <w:rPr>
                <w:spacing w:val="-5"/>
                <w:sz w:val="18"/>
              </w:rPr>
              <w:t>128</w:t>
            </w:r>
          </w:p>
        </w:tc>
        <w:tc>
          <w:tcPr>
            <w:tcW w:w="7760" w:type="dxa"/>
            <w:tcBorders>
              <w:top w:val="single" w:sz="4" w:space="0" w:color="A6A6A6"/>
              <w:left w:val="single" w:sz="4" w:space="0" w:color="A6A6A6"/>
              <w:bottom w:val="single" w:sz="4" w:space="0" w:color="A6A6A6"/>
              <w:right w:val="single" w:sz="4" w:space="0" w:color="A6A6A6"/>
            </w:tcBorders>
          </w:tcPr>
          <w:p w14:paraId="6A32F9BA" w14:textId="77777777" w:rsidR="00BC24A8" w:rsidRDefault="00000000">
            <w:pPr>
              <w:pStyle w:val="TableParagraph"/>
              <w:spacing w:before="1"/>
              <w:ind w:left="107" w:right="180"/>
              <w:rPr>
                <w:sz w:val="18"/>
              </w:rPr>
            </w:pPr>
            <w:r>
              <w:rPr>
                <w:sz w:val="18"/>
              </w:rPr>
              <w:t>West</w:t>
            </w:r>
            <w:r>
              <w:rPr>
                <w:spacing w:val="-3"/>
                <w:sz w:val="18"/>
              </w:rPr>
              <w:t xml:space="preserve"> </w:t>
            </w:r>
            <w:r>
              <w:rPr>
                <w:sz w:val="18"/>
              </w:rPr>
              <w:t>Nusa</w:t>
            </w:r>
            <w:r>
              <w:rPr>
                <w:spacing w:val="-4"/>
                <w:sz w:val="18"/>
              </w:rPr>
              <w:t xml:space="preserve"> </w:t>
            </w:r>
            <w:r>
              <w:rPr>
                <w:sz w:val="18"/>
              </w:rPr>
              <w:t>Tenggara</w:t>
            </w:r>
            <w:r>
              <w:rPr>
                <w:spacing w:val="-4"/>
                <w:sz w:val="18"/>
              </w:rPr>
              <w:t xml:space="preserve"> </w:t>
            </w:r>
            <w:r>
              <w:rPr>
                <w:sz w:val="18"/>
              </w:rPr>
              <w:t>Governor</w:t>
            </w:r>
            <w:r>
              <w:rPr>
                <w:spacing w:val="-3"/>
                <w:sz w:val="18"/>
              </w:rPr>
              <w:t xml:space="preserve"> </w:t>
            </w:r>
            <w:r>
              <w:rPr>
                <w:sz w:val="18"/>
              </w:rPr>
              <w:t>Decree</w:t>
            </w:r>
            <w:r>
              <w:rPr>
                <w:spacing w:val="-4"/>
                <w:sz w:val="18"/>
              </w:rPr>
              <w:t xml:space="preserve"> </w:t>
            </w:r>
            <w:r>
              <w:rPr>
                <w:sz w:val="18"/>
              </w:rPr>
              <w:t>No.</w:t>
            </w:r>
            <w:r>
              <w:rPr>
                <w:spacing w:val="-4"/>
                <w:sz w:val="18"/>
              </w:rPr>
              <w:t xml:space="preserve"> </w:t>
            </w:r>
            <w:r>
              <w:rPr>
                <w:sz w:val="18"/>
              </w:rPr>
              <w:t>027</w:t>
            </w:r>
            <w:r>
              <w:rPr>
                <w:spacing w:val="-4"/>
                <w:sz w:val="18"/>
              </w:rPr>
              <w:t xml:space="preserve"> </w:t>
            </w:r>
            <w:r>
              <w:rPr>
                <w:sz w:val="18"/>
              </w:rPr>
              <w:t>-</w:t>
            </w:r>
            <w:r>
              <w:rPr>
                <w:spacing w:val="-3"/>
                <w:sz w:val="18"/>
              </w:rPr>
              <w:t xml:space="preserve"> </w:t>
            </w:r>
            <w:r>
              <w:rPr>
                <w:sz w:val="18"/>
              </w:rPr>
              <w:t>326/2024</w:t>
            </w:r>
            <w:r>
              <w:rPr>
                <w:spacing w:val="-3"/>
                <w:sz w:val="18"/>
              </w:rPr>
              <w:t xml:space="preserve"> </w:t>
            </w:r>
            <w:r>
              <w:rPr>
                <w:sz w:val="18"/>
              </w:rPr>
              <w:t>on</w:t>
            </w:r>
            <w:r>
              <w:rPr>
                <w:spacing w:val="-3"/>
                <w:sz w:val="18"/>
              </w:rPr>
              <w:t xml:space="preserve"> </w:t>
            </w:r>
            <w:r>
              <w:rPr>
                <w:sz w:val="18"/>
              </w:rPr>
              <w:t>Standard</w:t>
            </w:r>
            <w:r>
              <w:rPr>
                <w:spacing w:val="-3"/>
                <w:sz w:val="18"/>
              </w:rPr>
              <w:t xml:space="preserve"> </w:t>
            </w:r>
            <w:r>
              <w:rPr>
                <w:sz w:val="18"/>
              </w:rPr>
              <w:t>Unit</w:t>
            </w:r>
            <w:r>
              <w:rPr>
                <w:spacing w:val="-2"/>
                <w:sz w:val="18"/>
              </w:rPr>
              <w:t xml:space="preserve"> </w:t>
            </w:r>
            <w:r>
              <w:rPr>
                <w:sz w:val="18"/>
              </w:rPr>
              <w:t>Prices</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Government of West Nusa Tenggara Province for Fiscal Year 2025</w:t>
            </w:r>
          </w:p>
        </w:tc>
        <w:tc>
          <w:tcPr>
            <w:tcW w:w="1275" w:type="dxa"/>
            <w:tcBorders>
              <w:top w:val="single" w:sz="4" w:space="0" w:color="A6A6A6"/>
              <w:left w:val="single" w:sz="4" w:space="0" w:color="A6A6A6"/>
              <w:bottom w:val="single" w:sz="4" w:space="0" w:color="A6A6A6"/>
              <w:right w:val="single" w:sz="4" w:space="0" w:color="A6A6A6"/>
            </w:tcBorders>
          </w:tcPr>
          <w:p w14:paraId="40A3341B" w14:textId="77777777" w:rsidR="00BC24A8" w:rsidRDefault="00000000">
            <w:pPr>
              <w:pStyle w:val="TableParagraph"/>
              <w:spacing w:before="1"/>
              <w:ind w:left="106"/>
              <w:rPr>
                <w:sz w:val="18"/>
              </w:rPr>
            </w:pPr>
            <w:r>
              <w:rPr>
                <w:spacing w:val="-5"/>
                <w:sz w:val="18"/>
              </w:rPr>
              <w:t>NTB</w:t>
            </w:r>
          </w:p>
        </w:tc>
      </w:tr>
      <w:tr w:rsidR="00BC24A8" w14:paraId="3D3CE51A"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7975F201" w14:textId="77777777" w:rsidR="00BC24A8" w:rsidRDefault="00000000">
            <w:pPr>
              <w:pStyle w:val="TableParagraph"/>
              <w:spacing w:before="1"/>
              <w:ind w:left="9"/>
              <w:jc w:val="center"/>
              <w:rPr>
                <w:sz w:val="18"/>
              </w:rPr>
            </w:pPr>
            <w:r>
              <w:rPr>
                <w:spacing w:val="-5"/>
                <w:sz w:val="18"/>
              </w:rPr>
              <w:t>129</w:t>
            </w:r>
          </w:p>
        </w:tc>
        <w:tc>
          <w:tcPr>
            <w:tcW w:w="7760" w:type="dxa"/>
            <w:tcBorders>
              <w:top w:val="single" w:sz="4" w:space="0" w:color="A6A6A6"/>
              <w:left w:val="single" w:sz="4" w:space="0" w:color="A6A6A6"/>
              <w:bottom w:val="single" w:sz="4" w:space="0" w:color="A6A6A6"/>
              <w:right w:val="single" w:sz="4" w:space="0" w:color="A6A6A6"/>
            </w:tcBorders>
          </w:tcPr>
          <w:p w14:paraId="3CD1FB10" w14:textId="77777777" w:rsidR="00BC24A8" w:rsidRDefault="00000000">
            <w:pPr>
              <w:pStyle w:val="TableParagraph"/>
              <w:spacing w:line="220" w:lineRule="atLeast"/>
              <w:ind w:left="107" w:right="122"/>
              <w:rPr>
                <w:sz w:val="18"/>
              </w:rPr>
            </w:pPr>
            <w:r>
              <w:rPr>
                <w:sz w:val="18"/>
              </w:rPr>
              <w:t>Governor</w:t>
            </w:r>
            <w:r>
              <w:rPr>
                <w:spacing w:val="-4"/>
                <w:sz w:val="18"/>
              </w:rPr>
              <w:t xml:space="preserve"> </w:t>
            </w:r>
            <w:r>
              <w:rPr>
                <w:sz w:val="18"/>
              </w:rPr>
              <w:t>Regulation</w:t>
            </w:r>
            <w:r>
              <w:rPr>
                <w:spacing w:val="-4"/>
                <w:sz w:val="18"/>
              </w:rPr>
              <w:t xml:space="preserve"> </w:t>
            </w:r>
            <w:r>
              <w:rPr>
                <w:sz w:val="18"/>
              </w:rPr>
              <w:t>on</w:t>
            </w:r>
            <w:r>
              <w:rPr>
                <w:spacing w:val="-4"/>
                <w:sz w:val="18"/>
              </w:rPr>
              <w:t xml:space="preserve"> </w:t>
            </w:r>
            <w:r>
              <w:rPr>
                <w:sz w:val="18"/>
              </w:rPr>
              <w:t>Guidelines</w:t>
            </w:r>
            <w:r>
              <w:rPr>
                <w:spacing w:val="-4"/>
                <w:sz w:val="18"/>
              </w:rPr>
              <w:t xml:space="preserve"> </w:t>
            </w:r>
            <w:r>
              <w:rPr>
                <w:sz w:val="18"/>
              </w:rPr>
              <w:t>for</w:t>
            </w:r>
            <w:r>
              <w:rPr>
                <w:spacing w:val="-4"/>
                <w:sz w:val="18"/>
              </w:rPr>
              <w:t xml:space="preserve"> </w:t>
            </w:r>
            <w:r>
              <w:rPr>
                <w:sz w:val="18"/>
              </w:rPr>
              <w:t>Empowered</w:t>
            </w:r>
            <w:r>
              <w:rPr>
                <w:spacing w:val="-4"/>
                <w:sz w:val="18"/>
              </w:rPr>
              <w:t xml:space="preserve"> </w:t>
            </w:r>
            <w:r>
              <w:rPr>
                <w:sz w:val="18"/>
              </w:rPr>
              <w:t>Family</w:t>
            </w:r>
            <w:r>
              <w:rPr>
                <w:spacing w:val="-5"/>
                <w:sz w:val="18"/>
              </w:rPr>
              <w:t xml:space="preserve"> </w:t>
            </w:r>
            <w:r>
              <w:rPr>
                <w:sz w:val="18"/>
              </w:rPr>
              <w:t>Integrated</w:t>
            </w:r>
            <w:r>
              <w:rPr>
                <w:spacing w:val="-4"/>
                <w:sz w:val="18"/>
              </w:rPr>
              <w:t xml:space="preserve"> </w:t>
            </w:r>
            <w:r>
              <w:rPr>
                <w:sz w:val="18"/>
              </w:rPr>
              <w:t>Health</w:t>
            </w:r>
            <w:r>
              <w:rPr>
                <w:spacing w:val="-4"/>
                <w:sz w:val="18"/>
              </w:rPr>
              <w:t xml:space="preserve"> </w:t>
            </w:r>
            <w:r>
              <w:rPr>
                <w:sz w:val="18"/>
              </w:rPr>
              <w:t>Posts</w:t>
            </w:r>
            <w:r>
              <w:rPr>
                <w:spacing w:val="-4"/>
                <w:sz w:val="18"/>
              </w:rPr>
              <w:t xml:space="preserve"> </w:t>
            </w:r>
            <w:r>
              <w:rPr>
                <w:sz w:val="18"/>
              </w:rPr>
              <w:t>(Posyandu) Implementing</w:t>
            </w:r>
            <w:r>
              <w:rPr>
                <w:spacing w:val="-2"/>
                <w:sz w:val="18"/>
              </w:rPr>
              <w:t xml:space="preserve"> </w:t>
            </w:r>
            <w:r>
              <w:rPr>
                <w:sz w:val="18"/>
              </w:rPr>
              <w:t>MSS</w:t>
            </w:r>
          </w:p>
        </w:tc>
        <w:tc>
          <w:tcPr>
            <w:tcW w:w="1275" w:type="dxa"/>
            <w:tcBorders>
              <w:top w:val="single" w:sz="4" w:space="0" w:color="A6A6A6"/>
              <w:left w:val="single" w:sz="4" w:space="0" w:color="A6A6A6"/>
              <w:bottom w:val="single" w:sz="4" w:space="0" w:color="A6A6A6"/>
              <w:right w:val="single" w:sz="4" w:space="0" w:color="A6A6A6"/>
            </w:tcBorders>
          </w:tcPr>
          <w:p w14:paraId="5E996176" w14:textId="77777777" w:rsidR="00BC24A8" w:rsidRDefault="00000000">
            <w:pPr>
              <w:pStyle w:val="TableParagraph"/>
              <w:spacing w:before="1"/>
              <w:ind w:left="106"/>
              <w:rPr>
                <w:sz w:val="18"/>
              </w:rPr>
            </w:pPr>
            <w:r>
              <w:rPr>
                <w:spacing w:val="-5"/>
                <w:sz w:val="18"/>
              </w:rPr>
              <w:t>NTB</w:t>
            </w:r>
          </w:p>
        </w:tc>
      </w:tr>
      <w:tr w:rsidR="00BC24A8" w14:paraId="74DE0A13" w14:textId="77777777">
        <w:trPr>
          <w:trHeight w:val="347"/>
        </w:trPr>
        <w:tc>
          <w:tcPr>
            <w:tcW w:w="490" w:type="dxa"/>
            <w:tcBorders>
              <w:top w:val="single" w:sz="4" w:space="0" w:color="A6A6A6"/>
              <w:left w:val="single" w:sz="4" w:space="0" w:color="A6A6A6"/>
              <w:bottom w:val="single" w:sz="4" w:space="0" w:color="A6A6A6"/>
              <w:right w:val="single" w:sz="4" w:space="0" w:color="A6A6A6"/>
            </w:tcBorders>
          </w:tcPr>
          <w:p w14:paraId="642DEC3C" w14:textId="77777777" w:rsidR="00BC24A8" w:rsidRDefault="00000000">
            <w:pPr>
              <w:pStyle w:val="TableParagraph"/>
              <w:spacing w:line="219" w:lineRule="exact"/>
              <w:ind w:left="9"/>
              <w:jc w:val="center"/>
              <w:rPr>
                <w:sz w:val="18"/>
              </w:rPr>
            </w:pPr>
            <w:r>
              <w:rPr>
                <w:spacing w:val="-5"/>
                <w:sz w:val="18"/>
              </w:rPr>
              <w:t>130</w:t>
            </w:r>
          </w:p>
        </w:tc>
        <w:tc>
          <w:tcPr>
            <w:tcW w:w="7760" w:type="dxa"/>
            <w:tcBorders>
              <w:top w:val="single" w:sz="4" w:space="0" w:color="A6A6A6"/>
              <w:left w:val="single" w:sz="4" w:space="0" w:color="A6A6A6"/>
              <w:bottom w:val="single" w:sz="4" w:space="0" w:color="A6A6A6"/>
              <w:right w:val="single" w:sz="4" w:space="0" w:color="A6A6A6"/>
            </w:tcBorders>
          </w:tcPr>
          <w:p w14:paraId="50CCB92D" w14:textId="77777777" w:rsidR="00BC24A8" w:rsidRDefault="00000000">
            <w:pPr>
              <w:pStyle w:val="TableParagraph"/>
              <w:spacing w:line="219" w:lineRule="exact"/>
              <w:ind w:left="107"/>
              <w:rPr>
                <w:sz w:val="18"/>
              </w:rPr>
            </w:pPr>
            <w:r>
              <w:rPr>
                <w:sz w:val="18"/>
              </w:rPr>
              <w:t>Regional</w:t>
            </w:r>
            <w:r>
              <w:rPr>
                <w:spacing w:val="-5"/>
                <w:sz w:val="18"/>
              </w:rPr>
              <w:t xml:space="preserve"> </w:t>
            </w:r>
            <w:r>
              <w:rPr>
                <w:sz w:val="18"/>
              </w:rPr>
              <w:t>Regulation</w:t>
            </w:r>
            <w:r>
              <w:rPr>
                <w:spacing w:val="-5"/>
                <w:sz w:val="18"/>
              </w:rPr>
              <w:t xml:space="preserve"> </w:t>
            </w:r>
            <w:r>
              <w:rPr>
                <w:sz w:val="18"/>
              </w:rPr>
              <w:t>RPJMD</w:t>
            </w:r>
            <w:r>
              <w:rPr>
                <w:spacing w:val="-4"/>
                <w:sz w:val="18"/>
              </w:rPr>
              <w:t xml:space="preserve"> </w:t>
            </w:r>
            <w:r>
              <w:rPr>
                <w:sz w:val="18"/>
              </w:rPr>
              <w:t>2025-</w:t>
            </w:r>
            <w:r>
              <w:rPr>
                <w:spacing w:val="-4"/>
                <w:sz w:val="18"/>
              </w:rPr>
              <w:t>2029</w:t>
            </w:r>
          </w:p>
        </w:tc>
        <w:tc>
          <w:tcPr>
            <w:tcW w:w="1275" w:type="dxa"/>
            <w:tcBorders>
              <w:top w:val="single" w:sz="4" w:space="0" w:color="A6A6A6"/>
              <w:left w:val="single" w:sz="4" w:space="0" w:color="A6A6A6"/>
              <w:bottom w:val="single" w:sz="4" w:space="0" w:color="A6A6A6"/>
              <w:right w:val="single" w:sz="4" w:space="0" w:color="A6A6A6"/>
            </w:tcBorders>
          </w:tcPr>
          <w:p w14:paraId="58E8C518" w14:textId="77777777" w:rsidR="00BC24A8" w:rsidRDefault="00000000">
            <w:pPr>
              <w:pStyle w:val="TableParagraph"/>
              <w:spacing w:line="219" w:lineRule="exact"/>
              <w:ind w:left="106"/>
              <w:rPr>
                <w:sz w:val="18"/>
              </w:rPr>
            </w:pPr>
            <w:r>
              <w:rPr>
                <w:spacing w:val="-5"/>
                <w:sz w:val="18"/>
              </w:rPr>
              <w:t>NTB</w:t>
            </w:r>
          </w:p>
        </w:tc>
      </w:tr>
      <w:tr w:rsidR="00BC24A8" w14:paraId="2D535A70"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05356B60" w14:textId="77777777" w:rsidR="00BC24A8" w:rsidRDefault="00000000">
            <w:pPr>
              <w:pStyle w:val="TableParagraph"/>
              <w:spacing w:before="1"/>
              <w:ind w:left="9"/>
              <w:jc w:val="center"/>
              <w:rPr>
                <w:sz w:val="18"/>
              </w:rPr>
            </w:pPr>
            <w:r>
              <w:rPr>
                <w:spacing w:val="-5"/>
                <w:sz w:val="18"/>
              </w:rPr>
              <w:t>131</w:t>
            </w:r>
          </w:p>
        </w:tc>
        <w:tc>
          <w:tcPr>
            <w:tcW w:w="7760" w:type="dxa"/>
            <w:tcBorders>
              <w:top w:val="single" w:sz="4" w:space="0" w:color="A6A6A6"/>
              <w:left w:val="single" w:sz="4" w:space="0" w:color="A6A6A6"/>
              <w:bottom w:val="single" w:sz="4" w:space="0" w:color="A6A6A6"/>
              <w:right w:val="single" w:sz="4" w:space="0" w:color="A6A6A6"/>
            </w:tcBorders>
          </w:tcPr>
          <w:p w14:paraId="6D64E7B6" w14:textId="77777777" w:rsidR="00BC24A8" w:rsidRDefault="00000000">
            <w:pPr>
              <w:pStyle w:val="TableParagraph"/>
              <w:spacing w:line="220" w:lineRule="atLeast"/>
              <w:ind w:left="107" w:right="122"/>
              <w:rPr>
                <w:sz w:val="18"/>
              </w:rPr>
            </w:pPr>
            <w:r>
              <w:rPr>
                <w:sz w:val="18"/>
              </w:rPr>
              <w:t>Governor</w:t>
            </w:r>
            <w:r>
              <w:rPr>
                <w:spacing w:val="-4"/>
                <w:sz w:val="18"/>
              </w:rPr>
              <w:t xml:space="preserve"> </w:t>
            </w:r>
            <w:r>
              <w:rPr>
                <w:sz w:val="18"/>
              </w:rPr>
              <w:t>Instruction</w:t>
            </w:r>
            <w:r>
              <w:rPr>
                <w:spacing w:val="-4"/>
                <w:sz w:val="18"/>
              </w:rPr>
              <w:t xml:space="preserve"> </w:t>
            </w:r>
            <w:r>
              <w:rPr>
                <w:sz w:val="18"/>
              </w:rPr>
              <w:t>No</w:t>
            </w:r>
            <w:r>
              <w:rPr>
                <w:spacing w:val="-5"/>
                <w:sz w:val="18"/>
              </w:rPr>
              <w:t xml:space="preserve"> </w:t>
            </w:r>
            <w:r>
              <w:rPr>
                <w:sz w:val="18"/>
              </w:rPr>
              <w:t>BU</w:t>
            </w:r>
            <w:r>
              <w:rPr>
                <w:spacing w:val="-4"/>
                <w:sz w:val="18"/>
              </w:rPr>
              <w:t xml:space="preserve"> </w:t>
            </w:r>
            <w:r>
              <w:rPr>
                <w:sz w:val="18"/>
              </w:rPr>
              <w:t>3.4.1/02/BAPPERIDA/2024</w:t>
            </w:r>
            <w:r>
              <w:rPr>
                <w:spacing w:val="-4"/>
                <w:sz w:val="18"/>
              </w:rPr>
              <w:t xml:space="preserve"> </w:t>
            </w:r>
            <w:r>
              <w:rPr>
                <w:sz w:val="18"/>
              </w:rPr>
              <w:t>on</w:t>
            </w:r>
            <w:r>
              <w:rPr>
                <w:spacing w:val="-4"/>
                <w:sz w:val="18"/>
              </w:rPr>
              <w:t xml:space="preserve"> </w:t>
            </w:r>
            <w:r>
              <w:rPr>
                <w:sz w:val="18"/>
              </w:rPr>
              <w:t>Accelerating</w:t>
            </w:r>
            <w:r>
              <w:rPr>
                <w:spacing w:val="-5"/>
                <w:sz w:val="18"/>
              </w:rPr>
              <w:t xml:space="preserve"> </w:t>
            </w:r>
            <w:r>
              <w:rPr>
                <w:sz w:val="18"/>
              </w:rPr>
              <w:t>the</w:t>
            </w:r>
            <w:r>
              <w:rPr>
                <w:spacing w:val="-4"/>
                <w:sz w:val="18"/>
              </w:rPr>
              <w:t xml:space="preserve"> </w:t>
            </w:r>
            <w:r>
              <w:rPr>
                <w:sz w:val="18"/>
              </w:rPr>
              <w:t>Utilization</w:t>
            </w:r>
            <w:r>
              <w:rPr>
                <w:spacing w:val="-4"/>
                <w:sz w:val="18"/>
              </w:rPr>
              <w:t xml:space="preserve"> </w:t>
            </w:r>
            <w:r>
              <w:rPr>
                <w:sz w:val="18"/>
              </w:rPr>
              <w:t>of</w:t>
            </w:r>
            <w:r>
              <w:rPr>
                <w:spacing w:val="-5"/>
                <w:sz w:val="18"/>
              </w:rPr>
              <w:t xml:space="preserve"> </w:t>
            </w:r>
            <w:r>
              <w:rPr>
                <w:sz w:val="18"/>
              </w:rPr>
              <w:t>Social Registration Data in NTT Province</w:t>
            </w:r>
          </w:p>
        </w:tc>
        <w:tc>
          <w:tcPr>
            <w:tcW w:w="1275" w:type="dxa"/>
            <w:tcBorders>
              <w:top w:val="single" w:sz="4" w:space="0" w:color="A6A6A6"/>
              <w:left w:val="single" w:sz="4" w:space="0" w:color="A6A6A6"/>
              <w:bottom w:val="single" w:sz="4" w:space="0" w:color="A6A6A6"/>
              <w:right w:val="single" w:sz="4" w:space="0" w:color="A6A6A6"/>
            </w:tcBorders>
          </w:tcPr>
          <w:p w14:paraId="531A26E7" w14:textId="77777777" w:rsidR="00BC24A8" w:rsidRDefault="00000000">
            <w:pPr>
              <w:pStyle w:val="TableParagraph"/>
              <w:spacing w:before="1"/>
              <w:ind w:left="106"/>
              <w:rPr>
                <w:sz w:val="18"/>
              </w:rPr>
            </w:pPr>
            <w:r>
              <w:rPr>
                <w:spacing w:val="-5"/>
                <w:sz w:val="18"/>
              </w:rPr>
              <w:t>NTT</w:t>
            </w:r>
          </w:p>
        </w:tc>
      </w:tr>
      <w:tr w:rsidR="00BC24A8" w14:paraId="110C61CC"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71C15174" w14:textId="77777777" w:rsidR="00BC24A8" w:rsidRDefault="00000000">
            <w:pPr>
              <w:pStyle w:val="TableParagraph"/>
              <w:spacing w:line="219" w:lineRule="exact"/>
              <w:ind w:left="9"/>
              <w:jc w:val="center"/>
              <w:rPr>
                <w:sz w:val="18"/>
              </w:rPr>
            </w:pPr>
            <w:r>
              <w:rPr>
                <w:spacing w:val="-5"/>
                <w:sz w:val="18"/>
              </w:rPr>
              <w:t>132</w:t>
            </w:r>
          </w:p>
        </w:tc>
        <w:tc>
          <w:tcPr>
            <w:tcW w:w="7760" w:type="dxa"/>
            <w:tcBorders>
              <w:top w:val="single" w:sz="4" w:space="0" w:color="A6A6A6"/>
              <w:left w:val="single" w:sz="4" w:space="0" w:color="A6A6A6"/>
              <w:bottom w:val="single" w:sz="4" w:space="0" w:color="A6A6A6"/>
              <w:right w:val="single" w:sz="4" w:space="0" w:color="A6A6A6"/>
            </w:tcBorders>
          </w:tcPr>
          <w:p w14:paraId="205EB605" w14:textId="77777777" w:rsidR="00BC24A8" w:rsidRDefault="00000000">
            <w:pPr>
              <w:pStyle w:val="TableParagraph"/>
              <w:ind w:left="107" w:right="122"/>
              <w:rPr>
                <w:sz w:val="18"/>
              </w:rPr>
            </w:pPr>
            <w:r>
              <w:rPr>
                <w:sz w:val="18"/>
              </w:rPr>
              <w:t>Government</w:t>
            </w:r>
            <w:r>
              <w:rPr>
                <w:spacing w:val="-2"/>
                <w:sz w:val="18"/>
              </w:rPr>
              <w:t xml:space="preserve"> </w:t>
            </w:r>
            <w:r>
              <w:rPr>
                <w:sz w:val="18"/>
              </w:rPr>
              <w:t>Administration</w:t>
            </w:r>
            <w:r>
              <w:rPr>
                <w:spacing w:val="-3"/>
                <w:sz w:val="18"/>
              </w:rPr>
              <w:t xml:space="preserve"> </w:t>
            </w:r>
            <w:r>
              <w:rPr>
                <w:sz w:val="18"/>
              </w:rPr>
              <w:t>SOP</w:t>
            </w:r>
            <w:r>
              <w:rPr>
                <w:spacing w:val="-4"/>
                <w:sz w:val="18"/>
              </w:rPr>
              <w:t xml:space="preserve"> </w:t>
            </w:r>
            <w:r>
              <w:rPr>
                <w:sz w:val="18"/>
              </w:rPr>
              <w:t>(SOP-AP)</w:t>
            </w:r>
            <w:r>
              <w:rPr>
                <w:spacing w:val="-4"/>
                <w:sz w:val="18"/>
              </w:rPr>
              <w:t xml:space="preserve"> </w:t>
            </w:r>
            <w:r>
              <w:rPr>
                <w:sz w:val="18"/>
              </w:rPr>
              <w:t>1/2024</w:t>
            </w:r>
            <w:r>
              <w:rPr>
                <w:spacing w:val="-3"/>
                <w:sz w:val="18"/>
              </w:rPr>
              <w:t xml:space="preserve"> </w:t>
            </w:r>
            <w:r>
              <w:rPr>
                <w:sz w:val="18"/>
              </w:rPr>
              <w:t>on</w:t>
            </w:r>
            <w:r>
              <w:rPr>
                <w:spacing w:val="-3"/>
                <w:sz w:val="18"/>
              </w:rPr>
              <w:t xml:space="preserve"> </w:t>
            </w:r>
            <w:r>
              <w:rPr>
                <w:sz w:val="18"/>
              </w:rPr>
              <w:t>One</w:t>
            </w:r>
            <w:r>
              <w:rPr>
                <w:spacing w:val="-3"/>
                <w:sz w:val="18"/>
              </w:rPr>
              <w:t xml:space="preserve"> </w:t>
            </w:r>
            <w:r>
              <w:rPr>
                <w:sz w:val="18"/>
              </w:rPr>
              <w:t>Data</w:t>
            </w:r>
            <w:r>
              <w:rPr>
                <w:spacing w:val="-4"/>
                <w:sz w:val="18"/>
              </w:rPr>
              <w:t xml:space="preserve"> </w:t>
            </w:r>
            <w:r>
              <w:rPr>
                <w:sz w:val="18"/>
              </w:rPr>
              <w:t>Indonesia</w:t>
            </w:r>
            <w:r>
              <w:rPr>
                <w:spacing w:val="-4"/>
                <w:sz w:val="18"/>
              </w:rPr>
              <w:t xml:space="preserve"> </w:t>
            </w:r>
            <w:r>
              <w:rPr>
                <w:sz w:val="18"/>
              </w:rPr>
              <w:t>Forum</w:t>
            </w:r>
            <w:r>
              <w:rPr>
                <w:spacing w:val="-4"/>
                <w:sz w:val="18"/>
              </w:rPr>
              <w:t xml:space="preserve"> </w:t>
            </w:r>
            <w:r>
              <w:rPr>
                <w:sz w:val="18"/>
              </w:rPr>
              <w:t>at</w:t>
            </w:r>
            <w:r>
              <w:rPr>
                <w:spacing w:val="-2"/>
                <w:sz w:val="18"/>
              </w:rPr>
              <w:t xml:space="preserve"> </w:t>
            </w:r>
            <w:r>
              <w:rPr>
                <w:sz w:val="18"/>
              </w:rPr>
              <w:t>the</w:t>
            </w:r>
            <w:r>
              <w:rPr>
                <w:spacing w:val="-3"/>
                <w:sz w:val="18"/>
              </w:rPr>
              <w:t xml:space="preserve"> </w:t>
            </w:r>
            <w:r>
              <w:rPr>
                <w:sz w:val="18"/>
              </w:rPr>
              <w:t>NTT</w:t>
            </w:r>
            <w:r>
              <w:rPr>
                <w:spacing w:val="-4"/>
                <w:sz w:val="18"/>
              </w:rPr>
              <w:t xml:space="preserve"> </w:t>
            </w:r>
            <w:r>
              <w:rPr>
                <w:sz w:val="18"/>
              </w:rPr>
              <w:t xml:space="preserve">Province </w:t>
            </w:r>
            <w:r>
              <w:rPr>
                <w:spacing w:val="-2"/>
                <w:sz w:val="18"/>
              </w:rPr>
              <w:t>level</w:t>
            </w:r>
          </w:p>
        </w:tc>
        <w:tc>
          <w:tcPr>
            <w:tcW w:w="1275" w:type="dxa"/>
            <w:tcBorders>
              <w:top w:val="single" w:sz="4" w:space="0" w:color="A6A6A6"/>
              <w:left w:val="single" w:sz="4" w:space="0" w:color="A6A6A6"/>
              <w:bottom w:val="single" w:sz="4" w:space="0" w:color="A6A6A6"/>
              <w:right w:val="single" w:sz="4" w:space="0" w:color="A6A6A6"/>
            </w:tcBorders>
          </w:tcPr>
          <w:p w14:paraId="6C79A06D" w14:textId="77777777" w:rsidR="00BC24A8" w:rsidRDefault="00000000">
            <w:pPr>
              <w:pStyle w:val="TableParagraph"/>
              <w:spacing w:line="219" w:lineRule="exact"/>
              <w:ind w:left="106"/>
              <w:rPr>
                <w:sz w:val="18"/>
              </w:rPr>
            </w:pPr>
            <w:r>
              <w:rPr>
                <w:spacing w:val="-5"/>
                <w:sz w:val="18"/>
              </w:rPr>
              <w:t>NTT</w:t>
            </w:r>
          </w:p>
        </w:tc>
      </w:tr>
      <w:tr w:rsidR="00BC24A8" w14:paraId="7D455689" w14:textId="77777777">
        <w:trPr>
          <w:trHeight w:val="289"/>
        </w:trPr>
        <w:tc>
          <w:tcPr>
            <w:tcW w:w="490" w:type="dxa"/>
            <w:tcBorders>
              <w:top w:val="single" w:sz="4" w:space="0" w:color="A6A6A6"/>
              <w:left w:val="single" w:sz="4" w:space="0" w:color="A6A6A6"/>
              <w:bottom w:val="single" w:sz="4" w:space="0" w:color="A6A6A6"/>
              <w:right w:val="single" w:sz="4" w:space="0" w:color="A6A6A6"/>
            </w:tcBorders>
          </w:tcPr>
          <w:p w14:paraId="23108DAD" w14:textId="77777777" w:rsidR="00BC24A8" w:rsidRDefault="00000000">
            <w:pPr>
              <w:pStyle w:val="TableParagraph"/>
              <w:spacing w:line="219" w:lineRule="exact"/>
              <w:ind w:left="9"/>
              <w:jc w:val="center"/>
              <w:rPr>
                <w:sz w:val="18"/>
              </w:rPr>
            </w:pPr>
            <w:r>
              <w:rPr>
                <w:spacing w:val="-5"/>
                <w:sz w:val="18"/>
              </w:rPr>
              <w:t>133</w:t>
            </w:r>
          </w:p>
        </w:tc>
        <w:tc>
          <w:tcPr>
            <w:tcW w:w="7760" w:type="dxa"/>
            <w:tcBorders>
              <w:top w:val="single" w:sz="4" w:space="0" w:color="A6A6A6"/>
              <w:left w:val="single" w:sz="4" w:space="0" w:color="A6A6A6"/>
              <w:bottom w:val="single" w:sz="4" w:space="0" w:color="A6A6A6"/>
              <w:right w:val="single" w:sz="4" w:space="0" w:color="A6A6A6"/>
            </w:tcBorders>
          </w:tcPr>
          <w:p w14:paraId="4D17F306" w14:textId="77777777" w:rsidR="00BC24A8" w:rsidRDefault="00000000">
            <w:pPr>
              <w:pStyle w:val="TableParagraph"/>
              <w:spacing w:line="219" w:lineRule="exact"/>
              <w:ind w:left="107"/>
              <w:rPr>
                <w:sz w:val="18"/>
              </w:rPr>
            </w:pPr>
            <w:r>
              <w:rPr>
                <w:sz w:val="18"/>
              </w:rPr>
              <w:t>Technical</w:t>
            </w:r>
            <w:r>
              <w:rPr>
                <w:spacing w:val="-1"/>
                <w:sz w:val="18"/>
              </w:rPr>
              <w:t xml:space="preserve"> </w:t>
            </w:r>
            <w:r>
              <w:rPr>
                <w:sz w:val="18"/>
              </w:rPr>
              <w:t>Guidelines</w:t>
            </w:r>
            <w:r>
              <w:rPr>
                <w:spacing w:val="-1"/>
                <w:sz w:val="18"/>
              </w:rPr>
              <w:t xml:space="preserve"> </w:t>
            </w:r>
            <w:r>
              <w:rPr>
                <w:sz w:val="18"/>
              </w:rPr>
              <w:t>for</w:t>
            </w:r>
            <w:r>
              <w:rPr>
                <w:spacing w:val="-2"/>
                <w:sz w:val="18"/>
              </w:rPr>
              <w:t xml:space="preserve"> </w:t>
            </w:r>
            <w:r>
              <w:rPr>
                <w:sz w:val="18"/>
              </w:rPr>
              <w:t>One</w:t>
            </w:r>
            <w:r>
              <w:rPr>
                <w:spacing w:val="-1"/>
                <w:sz w:val="18"/>
              </w:rPr>
              <w:t xml:space="preserve"> </w:t>
            </w:r>
            <w:r>
              <w:rPr>
                <w:sz w:val="18"/>
              </w:rPr>
              <w:t>Data</w:t>
            </w:r>
            <w:r>
              <w:rPr>
                <w:spacing w:val="-4"/>
                <w:sz w:val="18"/>
              </w:rPr>
              <w:t xml:space="preserve"> </w:t>
            </w:r>
            <w:r>
              <w:rPr>
                <w:sz w:val="18"/>
              </w:rPr>
              <w:t>Indonesia</w:t>
            </w:r>
            <w:r>
              <w:rPr>
                <w:spacing w:val="-3"/>
                <w:sz w:val="18"/>
              </w:rPr>
              <w:t xml:space="preserve"> </w:t>
            </w:r>
            <w:r>
              <w:rPr>
                <w:sz w:val="18"/>
              </w:rPr>
              <w:t>at the</w:t>
            </w:r>
            <w:r>
              <w:rPr>
                <w:spacing w:val="-2"/>
                <w:sz w:val="18"/>
              </w:rPr>
              <w:t xml:space="preserve"> </w:t>
            </w:r>
            <w:r>
              <w:rPr>
                <w:sz w:val="18"/>
              </w:rPr>
              <w:t>NTT</w:t>
            </w:r>
            <w:r>
              <w:rPr>
                <w:spacing w:val="-2"/>
                <w:sz w:val="18"/>
              </w:rPr>
              <w:t xml:space="preserve"> </w:t>
            </w:r>
            <w:r>
              <w:rPr>
                <w:sz w:val="18"/>
              </w:rPr>
              <w:t>Province</w:t>
            </w:r>
            <w:r>
              <w:rPr>
                <w:spacing w:val="-1"/>
                <w:sz w:val="18"/>
              </w:rPr>
              <w:t xml:space="preserve"> </w:t>
            </w:r>
            <w:r>
              <w:rPr>
                <w:spacing w:val="-4"/>
                <w:sz w:val="18"/>
              </w:rPr>
              <w:t>Level</w:t>
            </w:r>
          </w:p>
        </w:tc>
        <w:tc>
          <w:tcPr>
            <w:tcW w:w="1275" w:type="dxa"/>
            <w:tcBorders>
              <w:top w:val="single" w:sz="4" w:space="0" w:color="A6A6A6"/>
              <w:left w:val="single" w:sz="4" w:space="0" w:color="A6A6A6"/>
              <w:bottom w:val="single" w:sz="4" w:space="0" w:color="A6A6A6"/>
              <w:right w:val="single" w:sz="4" w:space="0" w:color="A6A6A6"/>
            </w:tcBorders>
          </w:tcPr>
          <w:p w14:paraId="2AD30A78" w14:textId="77777777" w:rsidR="00BC24A8" w:rsidRDefault="00000000">
            <w:pPr>
              <w:pStyle w:val="TableParagraph"/>
              <w:spacing w:line="219" w:lineRule="exact"/>
              <w:ind w:left="106"/>
              <w:rPr>
                <w:sz w:val="18"/>
              </w:rPr>
            </w:pPr>
            <w:r>
              <w:rPr>
                <w:spacing w:val="-5"/>
                <w:sz w:val="18"/>
              </w:rPr>
              <w:t>NTT</w:t>
            </w:r>
          </w:p>
        </w:tc>
      </w:tr>
      <w:tr w:rsidR="00BC24A8" w14:paraId="12C29F0B" w14:textId="77777777">
        <w:trPr>
          <w:trHeight w:val="878"/>
        </w:trPr>
        <w:tc>
          <w:tcPr>
            <w:tcW w:w="490" w:type="dxa"/>
            <w:tcBorders>
              <w:top w:val="single" w:sz="4" w:space="0" w:color="A6A6A6"/>
              <w:left w:val="single" w:sz="4" w:space="0" w:color="A6A6A6"/>
              <w:bottom w:val="single" w:sz="4" w:space="0" w:color="A6A6A6"/>
              <w:right w:val="single" w:sz="4" w:space="0" w:color="A6A6A6"/>
            </w:tcBorders>
          </w:tcPr>
          <w:p w14:paraId="6815C7C5" w14:textId="77777777" w:rsidR="00BC24A8" w:rsidRDefault="00000000">
            <w:pPr>
              <w:pStyle w:val="TableParagraph"/>
              <w:spacing w:line="219" w:lineRule="exact"/>
              <w:ind w:left="9"/>
              <w:jc w:val="center"/>
              <w:rPr>
                <w:sz w:val="18"/>
              </w:rPr>
            </w:pPr>
            <w:r>
              <w:rPr>
                <w:spacing w:val="-5"/>
                <w:sz w:val="18"/>
              </w:rPr>
              <w:t>134</w:t>
            </w:r>
          </w:p>
        </w:tc>
        <w:tc>
          <w:tcPr>
            <w:tcW w:w="7760" w:type="dxa"/>
            <w:tcBorders>
              <w:top w:val="single" w:sz="4" w:space="0" w:color="A6A6A6"/>
              <w:left w:val="single" w:sz="4" w:space="0" w:color="A6A6A6"/>
              <w:bottom w:val="single" w:sz="4" w:space="0" w:color="A6A6A6"/>
              <w:right w:val="single" w:sz="4" w:space="0" w:color="A6A6A6"/>
            </w:tcBorders>
          </w:tcPr>
          <w:p w14:paraId="269DB01A" w14:textId="77777777" w:rsidR="00BC24A8" w:rsidRDefault="00000000">
            <w:pPr>
              <w:pStyle w:val="TableParagraph"/>
              <w:ind w:left="107" w:right="122"/>
              <w:rPr>
                <w:sz w:val="18"/>
              </w:rPr>
            </w:pPr>
            <w:r>
              <w:rPr>
                <w:sz w:val="18"/>
              </w:rPr>
              <w:t>Head of the Provincial Social Service Decree No. 400.9/157/Dinsos3/2024 on the Appointment of Operators/Data Entry Officers for Social Assistance Recipients through Regional Fiscal Incentives for Vulnerable</w:t>
            </w:r>
            <w:r>
              <w:rPr>
                <w:spacing w:val="-3"/>
                <w:sz w:val="18"/>
              </w:rPr>
              <w:t xml:space="preserve"> </w:t>
            </w:r>
            <w:r>
              <w:rPr>
                <w:sz w:val="18"/>
              </w:rPr>
              <w:t>Groups</w:t>
            </w:r>
            <w:r>
              <w:rPr>
                <w:spacing w:val="-3"/>
                <w:sz w:val="18"/>
              </w:rPr>
              <w:t xml:space="preserve"> </w:t>
            </w:r>
            <w:r>
              <w:rPr>
                <w:sz w:val="18"/>
              </w:rPr>
              <w:t>(Older</w:t>
            </w:r>
            <w:r>
              <w:rPr>
                <w:spacing w:val="-3"/>
                <w:sz w:val="18"/>
              </w:rPr>
              <w:t xml:space="preserve"> </w:t>
            </w:r>
            <w:r>
              <w:rPr>
                <w:sz w:val="18"/>
              </w:rPr>
              <w:t>Adults,</w:t>
            </w:r>
            <w:r>
              <w:rPr>
                <w:spacing w:val="-6"/>
                <w:sz w:val="18"/>
              </w:rPr>
              <w:t xml:space="preserve"> </w:t>
            </w:r>
            <w:r>
              <w:rPr>
                <w:sz w:val="18"/>
              </w:rPr>
              <w:t>Women,</w:t>
            </w:r>
            <w:r>
              <w:rPr>
                <w:spacing w:val="-3"/>
                <w:sz w:val="18"/>
              </w:rPr>
              <w:t xml:space="preserve"> </w:t>
            </w:r>
            <w:r>
              <w:rPr>
                <w:sz w:val="18"/>
              </w:rPr>
              <w:t>Persons</w:t>
            </w:r>
            <w:r>
              <w:rPr>
                <w:spacing w:val="-3"/>
                <w:sz w:val="18"/>
              </w:rPr>
              <w:t xml:space="preserve"> </w:t>
            </w:r>
            <w:r>
              <w:rPr>
                <w:sz w:val="18"/>
              </w:rPr>
              <w:t>with</w:t>
            </w:r>
            <w:r>
              <w:rPr>
                <w:spacing w:val="-3"/>
                <w:sz w:val="18"/>
              </w:rPr>
              <w:t xml:space="preserve"> </w:t>
            </w:r>
            <w:r>
              <w:rPr>
                <w:sz w:val="18"/>
              </w:rPr>
              <w:t>Disabilities)</w:t>
            </w:r>
            <w:r>
              <w:rPr>
                <w:spacing w:val="-3"/>
                <w:sz w:val="18"/>
              </w:rPr>
              <w:t xml:space="preserve"> </w:t>
            </w:r>
            <w:r>
              <w:rPr>
                <w:sz w:val="18"/>
              </w:rPr>
              <w:t>to</w:t>
            </w:r>
            <w:r>
              <w:rPr>
                <w:spacing w:val="-3"/>
                <w:sz w:val="18"/>
              </w:rPr>
              <w:t xml:space="preserve"> </w:t>
            </w:r>
            <w:r>
              <w:rPr>
                <w:sz w:val="18"/>
              </w:rPr>
              <w:t>Address</w:t>
            </w:r>
            <w:r>
              <w:rPr>
                <w:spacing w:val="-3"/>
                <w:sz w:val="18"/>
              </w:rPr>
              <w:t xml:space="preserve"> </w:t>
            </w:r>
            <w:r>
              <w:rPr>
                <w:sz w:val="18"/>
              </w:rPr>
              <w:t>Extreme</w:t>
            </w:r>
            <w:r>
              <w:rPr>
                <w:spacing w:val="-3"/>
                <w:sz w:val="18"/>
              </w:rPr>
              <w:t xml:space="preserve"> </w:t>
            </w:r>
            <w:r>
              <w:rPr>
                <w:sz w:val="18"/>
              </w:rPr>
              <w:t>Poverty</w:t>
            </w:r>
            <w:r>
              <w:rPr>
                <w:spacing w:val="-3"/>
                <w:sz w:val="18"/>
              </w:rPr>
              <w:t xml:space="preserve"> </w:t>
            </w:r>
            <w:r>
              <w:rPr>
                <w:sz w:val="18"/>
              </w:rPr>
              <w:t>in</w:t>
            </w:r>
            <w:r>
              <w:rPr>
                <w:spacing w:val="-3"/>
                <w:sz w:val="18"/>
              </w:rPr>
              <w:t xml:space="preserve"> </w:t>
            </w:r>
            <w:r>
              <w:rPr>
                <w:sz w:val="18"/>
              </w:rPr>
              <w:t>Belu</w:t>
            </w:r>
          </w:p>
          <w:p w14:paraId="0A799FA1" w14:textId="77777777" w:rsidR="00BC24A8" w:rsidRDefault="00000000">
            <w:pPr>
              <w:pStyle w:val="TableParagraph"/>
              <w:spacing w:line="199" w:lineRule="exact"/>
              <w:ind w:left="107"/>
              <w:rPr>
                <w:sz w:val="18"/>
              </w:rPr>
            </w:pPr>
            <w:r>
              <w:rPr>
                <w:sz w:val="18"/>
              </w:rPr>
              <w:t>Regency,</w:t>
            </w:r>
            <w:r>
              <w:rPr>
                <w:spacing w:val="-3"/>
                <w:sz w:val="18"/>
              </w:rPr>
              <w:t xml:space="preserve"> </w:t>
            </w:r>
            <w:r>
              <w:rPr>
                <w:sz w:val="18"/>
              </w:rPr>
              <w:t>NTT</w:t>
            </w:r>
            <w:r>
              <w:rPr>
                <w:spacing w:val="-3"/>
                <w:sz w:val="18"/>
              </w:rPr>
              <w:t xml:space="preserve"> </w:t>
            </w:r>
            <w:r>
              <w:rPr>
                <w:sz w:val="18"/>
              </w:rPr>
              <w:t>Province,</w:t>
            </w:r>
            <w:r>
              <w:rPr>
                <w:spacing w:val="-3"/>
                <w:sz w:val="18"/>
              </w:rPr>
              <w:t xml:space="preserve"> </w:t>
            </w:r>
            <w:r>
              <w:rPr>
                <w:sz w:val="18"/>
              </w:rPr>
              <w:t>Fiscal</w:t>
            </w:r>
            <w:r>
              <w:rPr>
                <w:spacing w:val="-1"/>
                <w:sz w:val="18"/>
              </w:rPr>
              <w:t xml:space="preserve"> </w:t>
            </w:r>
            <w:r>
              <w:rPr>
                <w:sz w:val="18"/>
              </w:rPr>
              <w:t>Year</w:t>
            </w:r>
            <w:r>
              <w:rPr>
                <w:spacing w:val="-2"/>
                <w:sz w:val="18"/>
              </w:rPr>
              <w:t xml:space="preserve"> 2024.</w:t>
            </w:r>
          </w:p>
        </w:tc>
        <w:tc>
          <w:tcPr>
            <w:tcW w:w="1275" w:type="dxa"/>
            <w:tcBorders>
              <w:top w:val="single" w:sz="4" w:space="0" w:color="A6A6A6"/>
              <w:left w:val="single" w:sz="4" w:space="0" w:color="A6A6A6"/>
              <w:bottom w:val="single" w:sz="4" w:space="0" w:color="A6A6A6"/>
              <w:right w:val="single" w:sz="4" w:space="0" w:color="A6A6A6"/>
            </w:tcBorders>
          </w:tcPr>
          <w:p w14:paraId="76ED9038" w14:textId="77777777" w:rsidR="00BC24A8" w:rsidRDefault="00000000">
            <w:pPr>
              <w:pStyle w:val="TableParagraph"/>
              <w:spacing w:line="219" w:lineRule="exact"/>
              <w:ind w:left="106"/>
              <w:rPr>
                <w:sz w:val="18"/>
              </w:rPr>
            </w:pPr>
            <w:r>
              <w:rPr>
                <w:spacing w:val="-5"/>
                <w:sz w:val="18"/>
              </w:rPr>
              <w:t>NTT</w:t>
            </w:r>
          </w:p>
        </w:tc>
      </w:tr>
      <w:tr w:rsidR="00BC24A8" w14:paraId="50B6E877" w14:textId="77777777">
        <w:trPr>
          <w:trHeight w:val="880"/>
        </w:trPr>
        <w:tc>
          <w:tcPr>
            <w:tcW w:w="490" w:type="dxa"/>
            <w:tcBorders>
              <w:top w:val="single" w:sz="4" w:space="0" w:color="A6A6A6"/>
              <w:left w:val="single" w:sz="4" w:space="0" w:color="A6A6A6"/>
              <w:bottom w:val="single" w:sz="4" w:space="0" w:color="A6A6A6"/>
              <w:right w:val="single" w:sz="4" w:space="0" w:color="A6A6A6"/>
            </w:tcBorders>
          </w:tcPr>
          <w:p w14:paraId="4F5C35A6" w14:textId="77777777" w:rsidR="00BC24A8" w:rsidRDefault="00000000">
            <w:pPr>
              <w:pStyle w:val="TableParagraph"/>
              <w:spacing w:before="1"/>
              <w:ind w:left="9"/>
              <w:jc w:val="center"/>
              <w:rPr>
                <w:sz w:val="18"/>
              </w:rPr>
            </w:pPr>
            <w:r>
              <w:rPr>
                <w:spacing w:val="-5"/>
                <w:sz w:val="18"/>
              </w:rPr>
              <w:t>135</w:t>
            </w:r>
          </w:p>
        </w:tc>
        <w:tc>
          <w:tcPr>
            <w:tcW w:w="7760" w:type="dxa"/>
            <w:tcBorders>
              <w:top w:val="single" w:sz="4" w:space="0" w:color="A6A6A6"/>
              <w:left w:val="single" w:sz="4" w:space="0" w:color="A6A6A6"/>
              <w:bottom w:val="single" w:sz="4" w:space="0" w:color="A6A6A6"/>
              <w:right w:val="single" w:sz="4" w:space="0" w:color="A6A6A6"/>
            </w:tcBorders>
          </w:tcPr>
          <w:p w14:paraId="1F82F42D" w14:textId="77777777" w:rsidR="00BC24A8" w:rsidRDefault="00000000">
            <w:pPr>
              <w:pStyle w:val="TableParagraph"/>
              <w:spacing w:before="1"/>
              <w:ind w:left="107" w:right="122"/>
              <w:rPr>
                <w:sz w:val="18"/>
              </w:rPr>
            </w:pPr>
            <w:r>
              <w:rPr>
                <w:sz w:val="18"/>
              </w:rPr>
              <w:t>Head</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Provincial</w:t>
            </w:r>
            <w:r>
              <w:rPr>
                <w:spacing w:val="-3"/>
                <w:sz w:val="18"/>
              </w:rPr>
              <w:t xml:space="preserve"> </w:t>
            </w:r>
            <w:r>
              <w:rPr>
                <w:sz w:val="18"/>
              </w:rPr>
              <w:t>Social</w:t>
            </w:r>
            <w:r>
              <w:rPr>
                <w:spacing w:val="-3"/>
                <w:sz w:val="18"/>
              </w:rPr>
              <w:t xml:space="preserve"> </w:t>
            </w:r>
            <w:r>
              <w:rPr>
                <w:sz w:val="18"/>
              </w:rPr>
              <w:t>Service</w:t>
            </w:r>
            <w:r>
              <w:rPr>
                <w:spacing w:val="-4"/>
                <w:sz w:val="18"/>
              </w:rPr>
              <w:t xml:space="preserve"> </w:t>
            </w:r>
            <w:r>
              <w:rPr>
                <w:sz w:val="18"/>
              </w:rPr>
              <w:t>Decree</w:t>
            </w:r>
            <w:r>
              <w:rPr>
                <w:spacing w:val="-4"/>
                <w:sz w:val="18"/>
              </w:rPr>
              <w:t xml:space="preserve"> </w:t>
            </w:r>
            <w:r>
              <w:rPr>
                <w:sz w:val="18"/>
              </w:rPr>
              <w:t>No.</w:t>
            </w:r>
            <w:r>
              <w:rPr>
                <w:spacing w:val="-5"/>
                <w:sz w:val="18"/>
              </w:rPr>
              <w:t xml:space="preserve"> </w:t>
            </w:r>
            <w:r>
              <w:rPr>
                <w:sz w:val="18"/>
              </w:rPr>
              <w:t>400.9.14.1/153/Dinsos3/2024</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Appointment</w:t>
            </w:r>
            <w:r>
              <w:rPr>
                <w:spacing w:val="-5"/>
                <w:sz w:val="18"/>
              </w:rPr>
              <w:t xml:space="preserve"> </w:t>
            </w:r>
            <w:r>
              <w:rPr>
                <w:sz w:val="18"/>
              </w:rPr>
              <w:t>of Operators/Data Entry Officers for Social Assistance Recipients through Regional Fiscal Incentives for Vulnerable Groups (Older Adults, Women, Persons with Disabilities) to Adress Extreme Poverty in 4</w:t>
            </w:r>
          </w:p>
          <w:p w14:paraId="7DDE3823" w14:textId="77777777" w:rsidR="00BC24A8" w:rsidRDefault="00000000">
            <w:pPr>
              <w:pStyle w:val="TableParagraph"/>
              <w:spacing w:before="1" w:line="199" w:lineRule="exact"/>
              <w:ind w:left="107"/>
              <w:rPr>
                <w:sz w:val="18"/>
              </w:rPr>
            </w:pPr>
            <w:r>
              <w:rPr>
                <w:sz w:val="18"/>
              </w:rPr>
              <w:t>Regencies</w:t>
            </w:r>
            <w:r>
              <w:rPr>
                <w:spacing w:val="-2"/>
                <w:sz w:val="18"/>
              </w:rPr>
              <w:t xml:space="preserve"> </w:t>
            </w:r>
            <w:r>
              <w:rPr>
                <w:sz w:val="18"/>
              </w:rPr>
              <w:t>of</w:t>
            </w:r>
            <w:r>
              <w:rPr>
                <w:spacing w:val="-3"/>
                <w:sz w:val="18"/>
              </w:rPr>
              <w:t xml:space="preserve"> </w:t>
            </w:r>
            <w:r>
              <w:rPr>
                <w:sz w:val="18"/>
              </w:rPr>
              <w:t>NTT</w:t>
            </w:r>
            <w:r>
              <w:rPr>
                <w:spacing w:val="-2"/>
                <w:sz w:val="18"/>
              </w:rPr>
              <w:t xml:space="preserve"> </w:t>
            </w:r>
            <w:r>
              <w:rPr>
                <w:sz w:val="18"/>
              </w:rPr>
              <w:t>Province,</w:t>
            </w:r>
            <w:r>
              <w:rPr>
                <w:spacing w:val="-3"/>
                <w:sz w:val="18"/>
              </w:rPr>
              <w:t xml:space="preserve"> </w:t>
            </w:r>
            <w:r>
              <w:rPr>
                <w:sz w:val="18"/>
              </w:rPr>
              <w:t>Fiscal</w:t>
            </w:r>
            <w:r>
              <w:rPr>
                <w:spacing w:val="-3"/>
                <w:sz w:val="18"/>
              </w:rPr>
              <w:t xml:space="preserve"> </w:t>
            </w:r>
            <w:r>
              <w:rPr>
                <w:sz w:val="18"/>
              </w:rPr>
              <w:t>Year</w:t>
            </w:r>
            <w:r>
              <w:rPr>
                <w:spacing w:val="-1"/>
                <w:sz w:val="18"/>
              </w:rPr>
              <w:t xml:space="preserve"> </w:t>
            </w:r>
            <w:r>
              <w:rPr>
                <w:spacing w:val="-2"/>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511C9618" w14:textId="77777777" w:rsidR="00BC24A8" w:rsidRDefault="00000000">
            <w:pPr>
              <w:pStyle w:val="TableParagraph"/>
              <w:spacing w:before="1"/>
              <w:ind w:left="106"/>
              <w:rPr>
                <w:sz w:val="18"/>
              </w:rPr>
            </w:pPr>
            <w:r>
              <w:rPr>
                <w:spacing w:val="-5"/>
                <w:sz w:val="18"/>
              </w:rPr>
              <w:t>NTT</w:t>
            </w:r>
          </w:p>
        </w:tc>
      </w:tr>
      <w:tr w:rsidR="00BC24A8" w14:paraId="346F7392" w14:textId="77777777">
        <w:trPr>
          <w:trHeight w:val="657"/>
        </w:trPr>
        <w:tc>
          <w:tcPr>
            <w:tcW w:w="490" w:type="dxa"/>
            <w:tcBorders>
              <w:top w:val="single" w:sz="4" w:space="0" w:color="A6A6A6"/>
              <w:left w:val="single" w:sz="4" w:space="0" w:color="A6A6A6"/>
              <w:bottom w:val="single" w:sz="4" w:space="0" w:color="A6A6A6"/>
              <w:right w:val="single" w:sz="4" w:space="0" w:color="A6A6A6"/>
            </w:tcBorders>
          </w:tcPr>
          <w:p w14:paraId="1400FD97" w14:textId="77777777" w:rsidR="00BC24A8" w:rsidRDefault="00000000">
            <w:pPr>
              <w:pStyle w:val="TableParagraph"/>
              <w:spacing w:line="219" w:lineRule="exact"/>
              <w:ind w:left="9"/>
              <w:jc w:val="center"/>
              <w:rPr>
                <w:sz w:val="18"/>
              </w:rPr>
            </w:pPr>
            <w:r>
              <w:rPr>
                <w:spacing w:val="-5"/>
                <w:sz w:val="18"/>
              </w:rPr>
              <w:t>136</w:t>
            </w:r>
          </w:p>
        </w:tc>
        <w:tc>
          <w:tcPr>
            <w:tcW w:w="7760" w:type="dxa"/>
            <w:tcBorders>
              <w:top w:val="single" w:sz="4" w:space="0" w:color="A6A6A6"/>
              <w:left w:val="single" w:sz="4" w:space="0" w:color="A6A6A6"/>
              <w:bottom w:val="single" w:sz="4" w:space="0" w:color="A6A6A6"/>
              <w:right w:val="single" w:sz="4" w:space="0" w:color="A6A6A6"/>
            </w:tcBorders>
          </w:tcPr>
          <w:p w14:paraId="050D53F7" w14:textId="77777777" w:rsidR="00BC24A8" w:rsidRDefault="00000000">
            <w:pPr>
              <w:pStyle w:val="TableParagraph"/>
              <w:ind w:left="107" w:right="122"/>
              <w:rPr>
                <w:sz w:val="18"/>
              </w:rPr>
            </w:pPr>
            <w:r>
              <w:rPr>
                <w:sz w:val="18"/>
              </w:rPr>
              <w:t>Governor Decree No. 442/KEP/HK/2024 on the Amendment to the Annex of Governor Decree No. 403/KEP/HK/2024</w:t>
            </w:r>
            <w:r>
              <w:rPr>
                <w:spacing w:val="-3"/>
                <w:sz w:val="18"/>
              </w:rPr>
              <w:t xml:space="preserve"> </w:t>
            </w:r>
            <w:r>
              <w:rPr>
                <w:sz w:val="18"/>
              </w:rPr>
              <w:t>on</w:t>
            </w:r>
            <w:r>
              <w:rPr>
                <w:spacing w:val="-3"/>
                <w:sz w:val="18"/>
              </w:rPr>
              <w:t xml:space="preserve"> </w:t>
            </w:r>
            <w:r>
              <w:rPr>
                <w:sz w:val="18"/>
              </w:rPr>
              <w:t>Recipients</w:t>
            </w:r>
            <w:r>
              <w:rPr>
                <w:spacing w:val="-3"/>
                <w:sz w:val="18"/>
              </w:rPr>
              <w:t xml:space="preserve"> </w:t>
            </w:r>
            <w:r>
              <w:rPr>
                <w:sz w:val="18"/>
              </w:rPr>
              <w:t>of</w:t>
            </w:r>
            <w:r>
              <w:rPr>
                <w:spacing w:val="-4"/>
                <w:sz w:val="18"/>
              </w:rPr>
              <w:t xml:space="preserve"> </w:t>
            </w:r>
            <w:r>
              <w:rPr>
                <w:sz w:val="18"/>
              </w:rPr>
              <w:t>Social</w:t>
            </w:r>
            <w:r>
              <w:rPr>
                <w:spacing w:val="-2"/>
                <w:sz w:val="18"/>
              </w:rPr>
              <w:t xml:space="preserve"> </w:t>
            </w:r>
            <w:r>
              <w:rPr>
                <w:sz w:val="18"/>
              </w:rPr>
              <w:t>Assistance</w:t>
            </w:r>
            <w:r>
              <w:rPr>
                <w:spacing w:val="-3"/>
                <w:sz w:val="18"/>
              </w:rPr>
              <w:t xml:space="preserve"> </w:t>
            </w:r>
            <w:r>
              <w:rPr>
                <w:sz w:val="18"/>
              </w:rPr>
              <w:t>for</w:t>
            </w:r>
            <w:r>
              <w:rPr>
                <w:spacing w:val="-3"/>
                <w:sz w:val="18"/>
              </w:rPr>
              <w:t xml:space="preserve"> </w:t>
            </w:r>
            <w:r>
              <w:rPr>
                <w:sz w:val="18"/>
              </w:rPr>
              <w:t>Fiscal</w:t>
            </w:r>
            <w:r>
              <w:rPr>
                <w:spacing w:val="-2"/>
                <w:sz w:val="18"/>
              </w:rPr>
              <w:t xml:space="preserve"> </w:t>
            </w:r>
            <w:r>
              <w:rPr>
                <w:sz w:val="18"/>
              </w:rPr>
              <w:t>Incentive</w:t>
            </w:r>
            <w:r>
              <w:rPr>
                <w:spacing w:val="-3"/>
                <w:sz w:val="18"/>
              </w:rPr>
              <w:t xml:space="preserve"> </w:t>
            </w:r>
            <w:r>
              <w:rPr>
                <w:sz w:val="18"/>
              </w:rPr>
              <w:t>Allocations</w:t>
            </w:r>
            <w:r>
              <w:rPr>
                <w:spacing w:val="-3"/>
                <w:sz w:val="18"/>
              </w:rPr>
              <w:t xml:space="preserve"> </w:t>
            </w:r>
            <w:r>
              <w:rPr>
                <w:sz w:val="18"/>
              </w:rPr>
              <w:t>in</w:t>
            </w:r>
            <w:r>
              <w:rPr>
                <w:spacing w:val="-6"/>
                <w:sz w:val="18"/>
              </w:rPr>
              <w:t xml:space="preserve"> </w:t>
            </w:r>
            <w:r>
              <w:rPr>
                <w:sz w:val="18"/>
              </w:rPr>
              <w:t>Extreme</w:t>
            </w:r>
            <w:r>
              <w:rPr>
                <w:spacing w:val="-3"/>
                <w:sz w:val="18"/>
              </w:rPr>
              <w:t xml:space="preserve"> </w:t>
            </w:r>
            <w:r>
              <w:rPr>
                <w:sz w:val="18"/>
              </w:rPr>
              <w:t>Poverty</w:t>
            </w:r>
          </w:p>
          <w:p w14:paraId="6B5AD07E" w14:textId="77777777" w:rsidR="00BC24A8" w:rsidRDefault="00000000">
            <w:pPr>
              <w:pStyle w:val="TableParagraph"/>
              <w:spacing w:line="199" w:lineRule="exact"/>
              <w:ind w:left="107"/>
              <w:rPr>
                <w:sz w:val="18"/>
              </w:rPr>
            </w:pPr>
            <w:r>
              <w:rPr>
                <w:sz w:val="18"/>
              </w:rPr>
              <w:t>Areas</w:t>
            </w:r>
            <w:r>
              <w:rPr>
                <w:spacing w:val="-2"/>
                <w:sz w:val="18"/>
              </w:rPr>
              <w:t xml:space="preserve"> </w:t>
            </w:r>
            <w:r>
              <w:rPr>
                <w:sz w:val="18"/>
              </w:rPr>
              <w:t>of</w:t>
            </w:r>
            <w:r>
              <w:rPr>
                <w:spacing w:val="-3"/>
                <w:sz w:val="18"/>
              </w:rPr>
              <w:t xml:space="preserve"> </w:t>
            </w:r>
            <w:r>
              <w:rPr>
                <w:sz w:val="18"/>
              </w:rPr>
              <w:t>NTT</w:t>
            </w:r>
            <w:r>
              <w:rPr>
                <w:spacing w:val="-2"/>
                <w:sz w:val="18"/>
              </w:rPr>
              <w:t xml:space="preserve"> </w:t>
            </w:r>
            <w:r>
              <w:rPr>
                <w:sz w:val="18"/>
              </w:rPr>
              <w:t>Province,</w:t>
            </w:r>
            <w:r>
              <w:rPr>
                <w:spacing w:val="-3"/>
                <w:sz w:val="18"/>
              </w:rPr>
              <w:t xml:space="preserve"> </w:t>
            </w:r>
            <w:r>
              <w:rPr>
                <w:sz w:val="18"/>
              </w:rPr>
              <w:t>Fiscal</w:t>
            </w:r>
            <w:r>
              <w:rPr>
                <w:spacing w:val="-1"/>
                <w:sz w:val="18"/>
              </w:rPr>
              <w:t xml:space="preserve"> </w:t>
            </w:r>
            <w:r>
              <w:rPr>
                <w:sz w:val="18"/>
              </w:rPr>
              <w:t>Year</w:t>
            </w:r>
            <w:r>
              <w:rPr>
                <w:spacing w:val="-1"/>
                <w:sz w:val="18"/>
              </w:rPr>
              <w:t xml:space="preserve"> </w:t>
            </w:r>
            <w:r>
              <w:rPr>
                <w:spacing w:val="-2"/>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15FD6098" w14:textId="77777777" w:rsidR="00BC24A8" w:rsidRDefault="00000000">
            <w:pPr>
              <w:pStyle w:val="TableParagraph"/>
              <w:spacing w:line="219" w:lineRule="exact"/>
              <w:ind w:left="106"/>
              <w:rPr>
                <w:sz w:val="18"/>
              </w:rPr>
            </w:pPr>
            <w:r>
              <w:rPr>
                <w:spacing w:val="-5"/>
                <w:sz w:val="18"/>
              </w:rPr>
              <w:t>NTT</w:t>
            </w:r>
          </w:p>
        </w:tc>
      </w:tr>
      <w:tr w:rsidR="00BC24A8" w14:paraId="34924687"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32B18567" w14:textId="77777777" w:rsidR="00BC24A8" w:rsidRDefault="00000000">
            <w:pPr>
              <w:pStyle w:val="TableParagraph"/>
              <w:spacing w:before="1"/>
              <w:ind w:left="9"/>
              <w:jc w:val="center"/>
              <w:rPr>
                <w:sz w:val="18"/>
              </w:rPr>
            </w:pPr>
            <w:r>
              <w:rPr>
                <w:spacing w:val="-5"/>
                <w:sz w:val="18"/>
              </w:rPr>
              <w:t>137</w:t>
            </w:r>
          </w:p>
        </w:tc>
        <w:tc>
          <w:tcPr>
            <w:tcW w:w="7760" w:type="dxa"/>
            <w:tcBorders>
              <w:top w:val="single" w:sz="4" w:space="0" w:color="A6A6A6"/>
              <w:left w:val="single" w:sz="4" w:space="0" w:color="A6A6A6"/>
              <w:bottom w:val="single" w:sz="4" w:space="0" w:color="A6A6A6"/>
              <w:right w:val="single" w:sz="4" w:space="0" w:color="A6A6A6"/>
            </w:tcBorders>
          </w:tcPr>
          <w:p w14:paraId="5F578055" w14:textId="77777777" w:rsidR="00BC24A8" w:rsidRDefault="00000000">
            <w:pPr>
              <w:pStyle w:val="TableParagraph"/>
              <w:spacing w:before="1"/>
              <w:ind w:left="107"/>
              <w:rPr>
                <w:sz w:val="18"/>
              </w:rPr>
            </w:pPr>
            <w:r>
              <w:rPr>
                <w:sz w:val="18"/>
              </w:rPr>
              <w:t>Governor</w:t>
            </w:r>
            <w:r>
              <w:rPr>
                <w:spacing w:val="-5"/>
                <w:sz w:val="18"/>
              </w:rPr>
              <w:t xml:space="preserve"> </w:t>
            </w:r>
            <w:r>
              <w:rPr>
                <w:sz w:val="18"/>
              </w:rPr>
              <w:t>Decree</w:t>
            </w:r>
            <w:r>
              <w:rPr>
                <w:spacing w:val="-2"/>
                <w:sz w:val="18"/>
              </w:rPr>
              <w:t xml:space="preserve"> </w:t>
            </w:r>
            <w:r>
              <w:rPr>
                <w:sz w:val="18"/>
              </w:rPr>
              <w:t>No.</w:t>
            </w:r>
            <w:r>
              <w:rPr>
                <w:spacing w:val="-3"/>
                <w:sz w:val="18"/>
              </w:rPr>
              <w:t xml:space="preserve"> </w:t>
            </w:r>
            <w:r>
              <w:rPr>
                <w:sz w:val="18"/>
              </w:rPr>
              <w:t>140/KEP/HK/2025</w:t>
            </w:r>
            <w:r>
              <w:rPr>
                <w:spacing w:val="-3"/>
                <w:sz w:val="18"/>
              </w:rPr>
              <w:t xml:space="preserve"> </w:t>
            </w:r>
            <w:r>
              <w:rPr>
                <w:sz w:val="18"/>
              </w:rPr>
              <w:t>on</w:t>
            </w:r>
            <w:r>
              <w:rPr>
                <w:spacing w:val="-2"/>
                <w:sz w:val="18"/>
              </w:rPr>
              <w:t xml:space="preserve"> </w:t>
            </w:r>
            <w:r>
              <w:rPr>
                <w:sz w:val="18"/>
              </w:rPr>
              <w:t>the</w:t>
            </w:r>
            <w:r>
              <w:rPr>
                <w:spacing w:val="-2"/>
                <w:sz w:val="18"/>
              </w:rPr>
              <w:t xml:space="preserve"> </w:t>
            </w:r>
            <w:r>
              <w:rPr>
                <w:sz w:val="18"/>
              </w:rPr>
              <w:t>2025</w:t>
            </w:r>
            <w:r>
              <w:rPr>
                <w:spacing w:val="-2"/>
                <w:sz w:val="18"/>
              </w:rPr>
              <w:t xml:space="preserve"> </w:t>
            </w:r>
            <w:r>
              <w:rPr>
                <w:sz w:val="18"/>
              </w:rPr>
              <w:t>Data</w:t>
            </w:r>
            <w:r>
              <w:rPr>
                <w:spacing w:val="-4"/>
                <w:sz w:val="18"/>
              </w:rPr>
              <w:t xml:space="preserve"> </w:t>
            </w:r>
            <w:r>
              <w:rPr>
                <w:sz w:val="18"/>
              </w:rPr>
              <w:t>List</w:t>
            </w:r>
            <w:r>
              <w:rPr>
                <w:spacing w:val="-1"/>
                <w:sz w:val="18"/>
              </w:rPr>
              <w:t xml:space="preserve"> </w:t>
            </w:r>
            <w:r>
              <w:rPr>
                <w:sz w:val="18"/>
              </w:rPr>
              <w:t>of</w:t>
            </w:r>
            <w:r>
              <w:rPr>
                <w:spacing w:val="-3"/>
                <w:sz w:val="18"/>
              </w:rPr>
              <w:t xml:space="preserve"> </w:t>
            </w:r>
            <w:r>
              <w:rPr>
                <w:sz w:val="18"/>
              </w:rPr>
              <w:t>NTT</w:t>
            </w:r>
            <w:r>
              <w:rPr>
                <w:spacing w:val="-3"/>
                <w:sz w:val="18"/>
              </w:rPr>
              <w:t xml:space="preserve"> </w:t>
            </w: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3AE31465" w14:textId="77777777" w:rsidR="00BC24A8" w:rsidRDefault="00000000">
            <w:pPr>
              <w:pStyle w:val="TableParagraph"/>
              <w:spacing w:before="1"/>
              <w:ind w:left="106"/>
              <w:rPr>
                <w:sz w:val="18"/>
              </w:rPr>
            </w:pPr>
            <w:r>
              <w:rPr>
                <w:spacing w:val="-5"/>
                <w:sz w:val="18"/>
              </w:rPr>
              <w:t>NTT</w:t>
            </w:r>
          </w:p>
        </w:tc>
      </w:tr>
      <w:tr w:rsidR="00BC24A8" w14:paraId="0AF50341" w14:textId="77777777">
        <w:trPr>
          <w:trHeight w:val="289"/>
        </w:trPr>
        <w:tc>
          <w:tcPr>
            <w:tcW w:w="490" w:type="dxa"/>
            <w:tcBorders>
              <w:top w:val="single" w:sz="4" w:space="0" w:color="A6A6A6"/>
              <w:left w:val="single" w:sz="4" w:space="0" w:color="A6A6A6"/>
              <w:bottom w:val="single" w:sz="4" w:space="0" w:color="A6A6A6"/>
              <w:right w:val="single" w:sz="4" w:space="0" w:color="A6A6A6"/>
            </w:tcBorders>
          </w:tcPr>
          <w:p w14:paraId="6AA868BB" w14:textId="77777777" w:rsidR="00BC24A8" w:rsidRDefault="00000000">
            <w:pPr>
              <w:pStyle w:val="TableParagraph"/>
              <w:spacing w:before="1"/>
              <w:ind w:left="9"/>
              <w:jc w:val="center"/>
              <w:rPr>
                <w:sz w:val="18"/>
              </w:rPr>
            </w:pPr>
            <w:r>
              <w:rPr>
                <w:spacing w:val="-5"/>
                <w:sz w:val="18"/>
              </w:rPr>
              <w:t>138</w:t>
            </w:r>
          </w:p>
        </w:tc>
        <w:tc>
          <w:tcPr>
            <w:tcW w:w="7760" w:type="dxa"/>
            <w:tcBorders>
              <w:top w:val="single" w:sz="4" w:space="0" w:color="A6A6A6"/>
              <w:left w:val="single" w:sz="4" w:space="0" w:color="A6A6A6"/>
              <w:bottom w:val="single" w:sz="4" w:space="0" w:color="A6A6A6"/>
              <w:right w:val="single" w:sz="4" w:space="0" w:color="A6A6A6"/>
            </w:tcBorders>
          </w:tcPr>
          <w:p w14:paraId="59C6B6E8" w14:textId="77777777" w:rsidR="00BC24A8" w:rsidRDefault="00000000">
            <w:pPr>
              <w:pStyle w:val="TableParagraph"/>
              <w:spacing w:before="1"/>
              <w:ind w:left="107"/>
              <w:rPr>
                <w:sz w:val="18"/>
              </w:rPr>
            </w:pPr>
            <w:r>
              <w:rPr>
                <w:sz w:val="18"/>
              </w:rPr>
              <w:t>Governor</w:t>
            </w:r>
            <w:r>
              <w:rPr>
                <w:spacing w:val="-5"/>
                <w:sz w:val="18"/>
              </w:rPr>
              <w:t xml:space="preserve"> </w:t>
            </w:r>
            <w:r>
              <w:rPr>
                <w:sz w:val="18"/>
              </w:rPr>
              <w:t>Decree</w:t>
            </w:r>
            <w:r>
              <w:rPr>
                <w:spacing w:val="-2"/>
                <w:sz w:val="18"/>
              </w:rPr>
              <w:t xml:space="preserve"> </w:t>
            </w:r>
            <w:r>
              <w:rPr>
                <w:sz w:val="18"/>
              </w:rPr>
              <w:t>No.</w:t>
            </w:r>
            <w:r>
              <w:rPr>
                <w:spacing w:val="-4"/>
                <w:sz w:val="18"/>
              </w:rPr>
              <w:t xml:space="preserve"> </w:t>
            </w:r>
            <w:r>
              <w:rPr>
                <w:sz w:val="18"/>
              </w:rPr>
              <w:t>206/KEP/HK/2025</w:t>
            </w:r>
            <w:r>
              <w:rPr>
                <w:spacing w:val="-2"/>
                <w:sz w:val="18"/>
              </w:rPr>
              <w:t xml:space="preserve"> </w:t>
            </w:r>
            <w:r>
              <w:rPr>
                <w:sz w:val="18"/>
              </w:rPr>
              <w:t>on</w:t>
            </w:r>
            <w:r>
              <w:rPr>
                <w:spacing w:val="-2"/>
                <w:sz w:val="18"/>
              </w:rPr>
              <w:t xml:space="preserve"> </w:t>
            </w:r>
            <w:r>
              <w:rPr>
                <w:sz w:val="18"/>
              </w:rPr>
              <w:t>the</w:t>
            </w:r>
            <w:r>
              <w:rPr>
                <w:spacing w:val="-3"/>
                <w:sz w:val="18"/>
              </w:rPr>
              <w:t xml:space="preserve"> </w:t>
            </w:r>
            <w:r>
              <w:rPr>
                <w:sz w:val="18"/>
              </w:rPr>
              <w:t>SASANDO</w:t>
            </w:r>
            <w:r>
              <w:rPr>
                <w:spacing w:val="-2"/>
                <w:sz w:val="18"/>
              </w:rPr>
              <w:t xml:space="preserve"> </w:t>
            </w:r>
            <w:r>
              <w:rPr>
                <w:sz w:val="18"/>
              </w:rPr>
              <w:t>Portal</w:t>
            </w:r>
            <w:r>
              <w:rPr>
                <w:spacing w:val="-1"/>
                <w:sz w:val="18"/>
              </w:rPr>
              <w:t xml:space="preserve"> </w:t>
            </w:r>
            <w:r>
              <w:rPr>
                <w:sz w:val="18"/>
              </w:rPr>
              <w:t>Operator</w:t>
            </w:r>
            <w:r>
              <w:rPr>
                <w:spacing w:val="-3"/>
                <w:sz w:val="18"/>
              </w:rPr>
              <w:t xml:space="preserve"> </w:t>
            </w:r>
            <w:r>
              <w:rPr>
                <w:sz w:val="18"/>
              </w:rPr>
              <w:t>Team</w:t>
            </w:r>
            <w:r>
              <w:rPr>
                <w:spacing w:val="-3"/>
                <w:sz w:val="18"/>
              </w:rPr>
              <w:t xml:space="preserve"> </w:t>
            </w:r>
            <w:r>
              <w:rPr>
                <w:sz w:val="18"/>
              </w:rPr>
              <w:t>of</w:t>
            </w:r>
            <w:r>
              <w:rPr>
                <w:spacing w:val="-3"/>
                <w:sz w:val="18"/>
              </w:rPr>
              <w:t xml:space="preserve"> </w:t>
            </w:r>
            <w:r>
              <w:rPr>
                <w:sz w:val="18"/>
              </w:rPr>
              <w:t>NTT</w:t>
            </w:r>
            <w:r>
              <w:rPr>
                <w:spacing w:val="-4"/>
                <w:sz w:val="18"/>
              </w:rPr>
              <w:t xml:space="preserve"> </w:t>
            </w:r>
            <w:r>
              <w:rPr>
                <w:sz w:val="18"/>
              </w:rPr>
              <w:t>Province</w:t>
            </w:r>
            <w:r>
              <w:rPr>
                <w:spacing w:val="-2"/>
                <w:sz w:val="18"/>
              </w:rPr>
              <w:t xml:space="preserve"> </w:t>
            </w:r>
            <w:r>
              <w:rPr>
                <w:sz w:val="18"/>
              </w:rPr>
              <w:t>in</w:t>
            </w:r>
            <w:r>
              <w:rPr>
                <w:spacing w:val="-2"/>
                <w:sz w:val="18"/>
              </w:rPr>
              <w:t xml:space="preserve"> </w:t>
            </w:r>
            <w:r>
              <w:rPr>
                <w:spacing w:val="-4"/>
                <w:sz w:val="18"/>
              </w:rPr>
              <w:t>2025</w:t>
            </w:r>
          </w:p>
        </w:tc>
        <w:tc>
          <w:tcPr>
            <w:tcW w:w="1275" w:type="dxa"/>
            <w:tcBorders>
              <w:top w:val="single" w:sz="4" w:space="0" w:color="A6A6A6"/>
              <w:left w:val="single" w:sz="4" w:space="0" w:color="A6A6A6"/>
              <w:bottom w:val="single" w:sz="4" w:space="0" w:color="A6A6A6"/>
              <w:right w:val="single" w:sz="4" w:space="0" w:color="A6A6A6"/>
            </w:tcBorders>
          </w:tcPr>
          <w:p w14:paraId="3763CE7B" w14:textId="77777777" w:rsidR="00BC24A8" w:rsidRDefault="00000000">
            <w:pPr>
              <w:pStyle w:val="TableParagraph"/>
              <w:spacing w:before="1"/>
              <w:ind w:left="106"/>
              <w:rPr>
                <w:sz w:val="18"/>
              </w:rPr>
            </w:pPr>
            <w:r>
              <w:rPr>
                <w:spacing w:val="-5"/>
                <w:sz w:val="18"/>
              </w:rPr>
              <w:t>NTT</w:t>
            </w:r>
          </w:p>
        </w:tc>
      </w:tr>
      <w:tr w:rsidR="00BC24A8" w14:paraId="68CAC9BA" w14:textId="77777777">
        <w:trPr>
          <w:trHeight w:val="482"/>
        </w:trPr>
        <w:tc>
          <w:tcPr>
            <w:tcW w:w="490" w:type="dxa"/>
            <w:tcBorders>
              <w:top w:val="single" w:sz="4" w:space="0" w:color="A6A6A6"/>
              <w:left w:val="single" w:sz="4" w:space="0" w:color="A6A6A6"/>
              <w:bottom w:val="single" w:sz="4" w:space="0" w:color="A6A6A6"/>
              <w:right w:val="single" w:sz="4" w:space="0" w:color="A6A6A6"/>
            </w:tcBorders>
          </w:tcPr>
          <w:p w14:paraId="748A7B6C" w14:textId="77777777" w:rsidR="00BC24A8" w:rsidRDefault="00000000">
            <w:pPr>
              <w:pStyle w:val="TableParagraph"/>
              <w:spacing w:before="1"/>
              <w:ind w:left="9"/>
              <w:jc w:val="center"/>
              <w:rPr>
                <w:sz w:val="18"/>
              </w:rPr>
            </w:pPr>
            <w:r>
              <w:rPr>
                <w:spacing w:val="-5"/>
                <w:sz w:val="18"/>
              </w:rPr>
              <w:t>139</w:t>
            </w:r>
          </w:p>
        </w:tc>
        <w:tc>
          <w:tcPr>
            <w:tcW w:w="7760" w:type="dxa"/>
            <w:tcBorders>
              <w:top w:val="single" w:sz="4" w:space="0" w:color="A6A6A6"/>
              <w:left w:val="single" w:sz="4" w:space="0" w:color="A6A6A6"/>
              <w:bottom w:val="single" w:sz="4" w:space="0" w:color="A6A6A6"/>
              <w:right w:val="single" w:sz="4" w:space="0" w:color="A6A6A6"/>
            </w:tcBorders>
          </w:tcPr>
          <w:p w14:paraId="7FADE1E1" w14:textId="77777777" w:rsidR="00BC24A8" w:rsidRDefault="00000000">
            <w:pPr>
              <w:pStyle w:val="TableParagraph"/>
              <w:spacing w:before="1"/>
              <w:ind w:left="107" w:right="122"/>
              <w:rPr>
                <w:sz w:val="18"/>
              </w:rPr>
            </w:pPr>
            <w:r>
              <w:rPr>
                <w:sz w:val="18"/>
              </w:rPr>
              <w:t>Order</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Head</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NTT</w:t>
            </w:r>
            <w:r>
              <w:rPr>
                <w:spacing w:val="-4"/>
                <w:sz w:val="18"/>
              </w:rPr>
              <w:t xml:space="preserve"> </w:t>
            </w:r>
            <w:r>
              <w:rPr>
                <w:sz w:val="18"/>
              </w:rPr>
              <w:t>Provincial</w:t>
            </w:r>
            <w:r>
              <w:rPr>
                <w:spacing w:val="-2"/>
                <w:sz w:val="18"/>
              </w:rPr>
              <w:t xml:space="preserve"> </w:t>
            </w:r>
            <w:r>
              <w:rPr>
                <w:sz w:val="18"/>
              </w:rPr>
              <w:t>Kominfo</w:t>
            </w:r>
            <w:r>
              <w:rPr>
                <w:spacing w:val="-4"/>
                <w:sz w:val="18"/>
              </w:rPr>
              <w:t xml:space="preserve"> </w:t>
            </w:r>
            <w:r>
              <w:rPr>
                <w:sz w:val="18"/>
              </w:rPr>
              <w:t>Office</w:t>
            </w:r>
            <w:r>
              <w:rPr>
                <w:spacing w:val="-3"/>
                <w:sz w:val="18"/>
              </w:rPr>
              <w:t xml:space="preserve"> </w:t>
            </w:r>
            <w:r>
              <w:rPr>
                <w:sz w:val="18"/>
              </w:rPr>
              <w:t>No.</w:t>
            </w:r>
            <w:r>
              <w:rPr>
                <w:spacing w:val="-4"/>
                <w:sz w:val="18"/>
              </w:rPr>
              <w:t xml:space="preserve"> </w:t>
            </w:r>
            <w:r>
              <w:rPr>
                <w:sz w:val="18"/>
              </w:rPr>
              <w:t>500.14.4/071/Kominfo.2/2025</w:t>
            </w:r>
            <w:r>
              <w:rPr>
                <w:spacing w:val="-3"/>
                <w:sz w:val="18"/>
              </w:rPr>
              <w:t xml:space="preserve"> </w:t>
            </w:r>
            <w:r>
              <w:rPr>
                <w:sz w:val="18"/>
              </w:rPr>
              <w:t>on</w:t>
            </w:r>
            <w:r>
              <w:rPr>
                <w:spacing w:val="-3"/>
                <w:sz w:val="18"/>
              </w:rPr>
              <w:t xml:space="preserve"> </w:t>
            </w:r>
            <w:r>
              <w:rPr>
                <w:sz w:val="18"/>
              </w:rPr>
              <w:t>Sasando Portal Manager</w:t>
            </w:r>
          </w:p>
        </w:tc>
        <w:tc>
          <w:tcPr>
            <w:tcW w:w="1275" w:type="dxa"/>
            <w:tcBorders>
              <w:top w:val="single" w:sz="4" w:space="0" w:color="A6A6A6"/>
              <w:left w:val="single" w:sz="4" w:space="0" w:color="A6A6A6"/>
              <w:bottom w:val="single" w:sz="4" w:space="0" w:color="A6A6A6"/>
              <w:right w:val="single" w:sz="4" w:space="0" w:color="A6A6A6"/>
            </w:tcBorders>
          </w:tcPr>
          <w:p w14:paraId="4CBF7A7C" w14:textId="77777777" w:rsidR="00BC24A8" w:rsidRDefault="00000000">
            <w:pPr>
              <w:pStyle w:val="TableParagraph"/>
              <w:spacing w:before="1"/>
              <w:ind w:left="106"/>
              <w:rPr>
                <w:sz w:val="18"/>
              </w:rPr>
            </w:pPr>
            <w:r>
              <w:rPr>
                <w:spacing w:val="-5"/>
                <w:sz w:val="18"/>
              </w:rPr>
              <w:t>NTT</w:t>
            </w:r>
          </w:p>
        </w:tc>
      </w:tr>
      <w:tr w:rsidR="00BC24A8" w14:paraId="6329D1EE"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46A9C6E0" w14:textId="77777777" w:rsidR="00BC24A8" w:rsidRDefault="00000000">
            <w:pPr>
              <w:pStyle w:val="TableParagraph"/>
              <w:spacing w:line="219" w:lineRule="exact"/>
              <w:ind w:left="9"/>
              <w:jc w:val="center"/>
              <w:rPr>
                <w:sz w:val="18"/>
              </w:rPr>
            </w:pPr>
            <w:r>
              <w:rPr>
                <w:spacing w:val="-5"/>
                <w:sz w:val="18"/>
              </w:rPr>
              <w:t>140</w:t>
            </w:r>
          </w:p>
        </w:tc>
        <w:tc>
          <w:tcPr>
            <w:tcW w:w="7760" w:type="dxa"/>
            <w:tcBorders>
              <w:top w:val="single" w:sz="4" w:space="0" w:color="A6A6A6"/>
              <w:left w:val="single" w:sz="4" w:space="0" w:color="A6A6A6"/>
              <w:bottom w:val="single" w:sz="4" w:space="0" w:color="A6A6A6"/>
              <w:right w:val="single" w:sz="4" w:space="0" w:color="A6A6A6"/>
            </w:tcBorders>
          </w:tcPr>
          <w:p w14:paraId="7A3F6533" w14:textId="77777777" w:rsidR="00BC24A8" w:rsidRDefault="00000000">
            <w:pPr>
              <w:pStyle w:val="TableParagraph"/>
              <w:spacing w:line="219" w:lineRule="exact"/>
              <w:ind w:left="107"/>
              <w:rPr>
                <w:sz w:val="18"/>
              </w:rPr>
            </w:pPr>
            <w:r>
              <w:rPr>
                <w:sz w:val="18"/>
              </w:rPr>
              <w:t>Head</w:t>
            </w:r>
            <w:r>
              <w:rPr>
                <w:spacing w:val="-5"/>
                <w:sz w:val="18"/>
              </w:rPr>
              <w:t xml:space="preserve"> </w:t>
            </w:r>
            <w:r>
              <w:rPr>
                <w:sz w:val="18"/>
              </w:rPr>
              <w:t>of</w:t>
            </w:r>
            <w:r>
              <w:rPr>
                <w:spacing w:val="-3"/>
                <w:sz w:val="18"/>
              </w:rPr>
              <w:t xml:space="preserve"> </w:t>
            </w:r>
            <w:r>
              <w:rPr>
                <w:sz w:val="18"/>
              </w:rPr>
              <w:t>Bapperida</w:t>
            </w:r>
            <w:r>
              <w:rPr>
                <w:spacing w:val="-4"/>
                <w:sz w:val="18"/>
              </w:rPr>
              <w:t xml:space="preserve"> </w:t>
            </w:r>
            <w:r>
              <w:rPr>
                <w:sz w:val="18"/>
              </w:rPr>
              <w:t>Decree</w:t>
            </w:r>
            <w:r>
              <w:rPr>
                <w:spacing w:val="-2"/>
                <w:sz w:val="18"/>
              </w:rPr>
              <w:t xml:space="preserve"> </w:t>
            </w:r>
            <w:r>
              <w:rPr>
                <w:sz w:val="18"/>
              </w:rPr>
              <w:t>No.</w:t>
            </w:r>
            <w:r>
              <w:rPr>
                <w:spacing w:val="-4"/>
                <w:sz w:val="18"/>
              </w:rPr>
              <w:t xml:space="preserve"> </w:t>
            </w:r>
            <w:r>
              <w:rPr>
                <w:sz w:val="18"/>
              </w:rPr>
              <w:t>400/9.6/255/BP4DE</w:t>
            </w:r>
            <w:r>
              <w:rPr>
                <w:spacing w:val="-1"/>
                <w:sz w:val="18"/>
              </w:rPr>
              <w:t xml:space="preserve"> </w:t>
            </w:r>
            <w:r>
              <w:rPr>
                <w:sz w:val="18"/>
              </w:rPr>
              <w:t>on</w:t>
            </w:r>
            <w:r>
              <w:rPr>
                <w:spacing w:val="-3"/>
                <w:sz w:val="18"/>
              </w:rPr>
              <w:t xml:space="preserve"> </w:t>
            </w:r>
            <w:r>
              <w:rPr>
                <w:sz w:val="18"/>
              </w:rPr>
              <w:t>the</w:t>
            </w:r>
            <w:r>
              <w:rPr>
                <w:spacing w:val="-3"/>
                <w:sz w:val="18"/>
              </w:rPr>
              <w:t xml:space="preserve"> </w:t>
            </w:r>
            <w:r>
              <w:rPr>
                <w:sz w:val="18"/>
              </w:rPr>
              <w:t>Facilitator</w:t>
            </w:r>
            <w:r>
              <w:rPr>
                <w:spacing w:val="-2"/>
                <w:sz w:val="18"/>
              </w:rPr>
              <w:t xml:space="preserve"> </w:t>
            </w:r>
            <w:r>
              <w:rPr>
                <w:sz w:val="18"/>
              </w:rPr>
              <w:t>Team</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Preparation</w:t>
            </w:r>
            <w:r>
              <w:rPr>
                <w:spacing w:val="-2"/>
                <w:sz w:val="18"/>
              </w:rPr>
              <w:t xml:space="preserve"> </w:t>
            </w:r>
            <w:r>
              <w:rPr>
                <w:sz w:val="18"/>
              </w:rPr>
              <w:t>of</w:t>
            </w:r>
            <w:r>
              <w:rPr>
                <w:spacing w:val="-3"/>
                <w:sz w:val="18"/>
              </w:rPr>
              <w:t xml:space="preserve"> </w:t>
            </w:r>
            <w:r>
              <w:rPr>
                <w:spacing w:val="-5"/>
                <w:sz w:val="18"/>
              </w:rPr>
              <w:t>the</w:t>
            </w:r>
          </w:p>
          <w:p w14:paraId="6D1A4FF5" w14:textId="77777777" w:rsidR="00BC24A8" w:rsidRDefault="00000000">
            <w:pPr>
              <w:pStyle w:val="TableParagraph"/>
              <w:spacing w:before="1" w:line="199" w:lineRule="exact"/>
              <w:ind w:left="107"/>
              <w:rPr>
                <w:sz w:val="18"/>
              </w:rPr>
            </w:pPr>
            <w:r>
              <w:rPr>
                <w:sz w:val="18"/>
              </w:rPr>
              <w:t>Regional</w:t>
            </w:r>
            <w:r>
              <w:rPr>
                <w:spacing w:val="-2"/>
                <w:sz w:val="18"/>
              </w:rPr>
              <w:t xml:space="preserve"> </w:t>
            </w:r>
            <w:r>
              <w:rPr>
                <w:sz w:val="18"/>
              </w:rPr>
              <w:t>Strategy</w:t>
            </w:r>
            <w:r>
              <w:rPr>
                <w:spacing w:val="-2"/>
                <w:sz w:val="18"/>
              </w:rPr>
              <w:t xml:space="preserve"> </w:t>
            </w:r>
            <w:r>
              <w:rPr>
                <w:sz w:val="18"/>
              </w:rPr>
              <w:t>Document</w:t>
            </w:r>
            <w:r>
              <w:rPr>
                <w:spacing w:val="-2"/>
                <w:sz w:val="18"/>
              </w:rPr>
              <w:t xml:space="preserve"> </w:t>
            </w:r>
            <w:r>
              <w:rPr>
                <w:sz w:val="18"/>
              </w:rPr>
              <w:t>for</w:t>
            </w:r>
            <w:r>
              <w:rPr>
                <w:spacing w:val="-2"/>
                <w:sz w:val="18"/>
              </w:rPr>
              <w:t xml:space="preserve"> Aging</w:t>
            </w:r>
          </w:p>
        </w:tc>
        <w:tc>
          <w:tcPr>
            <w:tcW w:w="1275" w:type="dxa"/>
            <w:tcBorders>
              <w:top w:val="single" w:sz="4" w:space="0" w:color="A6A6A6"/>
              <w:left w:val="single" w:sz="4" w:space="0" w:color="A6A6A6"/>
              <w:bottom w:val="single" w:sz="4" w:space="0" w:color="A6A6A6"/>
              <w:right w:val="single" w:sz="4" w:space="0" w:color="A6A6A6"/>
            </w:tcBorders>
          </w:tcPr>
          <w:p w14:paraId="257A62B7" w14:textId="77777777" w:rsidR="00BC24A8" w:rsidRDefault="00000000">
            <w:pPr>
              <w:pStyle w:val="TableParagraph"/>
              <w:spacing w:line="219" w:lineRule="exact"/>
              <w:ind w:left="106"/>
              <w:rPr>
                <w:sz w:val="18"/>
              </w:rPr>
            </w:pPr>
            <w:r>
              <w:rPr>
                <w:spacing w:val="-5"/>
                <w:sz w:val="18"/>
              </w:rPr>
              <w:t>NTT</w:t>
            </w:r>
          </w:p>
        </w:tc>
      </w:tr>
      <w:tr w:rsidR="00BC24A8" w14:paraId="5963E8CB"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5667944A" w14:textId="77777777" w:rsidR="00BC24A8" w:rsidRDefault="00000000">
            <w:pPr>
              <w:pStyle w:val="TableParagraph"/>
              <w:spacing w:line="219" w:lineRule="exact"/>
              <w:ind w:left="9"/>
              <w:jc w:val="center"/>
              <w:rPr>
                <w:sz w:val="18"/>
              </w:rPr>
            </w:pPr>
            <w:r>
              <w:rPr>
                <w:spacing w:val="-5"/>
                <w:sz w:val="18"/>
              </w:rPr>
              <w:t>141</w:t>
            </w:r>
          </w:p>
        </w:tc>
        <w:tc>
          <w:tcPr>
            <w:tcW w:w="7760" w:type="dxa"/>
            <w:tcBorders>
              <w:top w:val="single" w:sz="4" w:space="0" w:color="A6A6A6"/>
              <w:left w:val="single" w:sz="4" w:space="0" w:color="A6A6A6"/>
              <w:bottom w:val="single" w:sz="4" w:space="0" w:color="A6A6A6"/>
              <w:right w:val="single" w:sz="4" w:space="0" w:color="A6A6A6"/>
            </w:tcBorders>
          </w:tcPr>
          <w:p w14:paraId="5EB0CC3F" w14:textId="77777777" w:rsidR="00BC24A8" w:rsidRDefault="00000000">
            <w:pPr>
              <w:pStyle w:val="TableParagraph"/>
              <w:spacing w:line="219" w:lineRule="exact"/>
              <w:ind w:left="107"/>
              <w:rPr>
                <w:sz w:val="18"/>
              </w:rPr>
            </w:pPr>
            <w:r>
              <w:rPr>
                <w:sz w:val="18"/>
              </w:rPr>
              <w:t>Governor</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48/2024</w:t>
            </w:r>
            <w:r>
              <w:rPr>
                <w:spacing w:val="-3"/>
                <w:sz w:val="18"/>
              </w:rPr>
              <w:t xml:space="preserve"> </w:t>
            </w:r>
            <w:r>
              <w:rPr>
                <w:sz w:val="18"/>
              </w:rPr>
              <w:t>on</w:t>
            </w:r>
            <w:r>
              <w:rPr>
                <w:spacing w:val="-3"/>
                <w:sz w:val="18"/>
              </w:rPr>
              <w:t xml:space="preserve"> </w:t>
            </w:r>
            <w:r>
              <w:rPr>
                <w:sz w:val="18"/>
              </w:rPr>
              <w:t>RAD</w:t>
            </w:r>
            <w:r>
              <w:rPr>
                <w:spacing w:val="-2"/>
                <w:sz w:val="18"/>
              </w:rPr>
              <w:t xml:space="preserve"> </w:t>
            </w:r>
            <w:r>
              <w:rPr>
                <w:sz w:val="18"/>
              </w:rPr>
              <w:t>PD</w:t>
            </w:r>
            <w:r>
              <w:rPr>
                <w:spacing w:val="-1"/>
                <w:sz w:val="18"/>
              </w:rPr>
              <w:t xml:space="preserve"> </w:t>
            </w:r>
            <w:r>
              <w:rPr>
                <w:sz w:val="18"/>
              </w:rPr>
              <w:t>2024-</w:t>
            </w:r>
            <w:r>
              <w:rPr>
                <w:spacing w:val="-4"/>
                <w:sz w:val="18"/>
              </w:rPr>
              <w:t>2026</w:t>
            </w:r>
          </w:p>
        </w:tc>
        <w:tc>
          <w:tcPr>
            <w:tcW w:w="1275" w:type="dxa"/>
            <w:tcBorders>
              <w:top w:val="single" w:sz="4" w:space="0" w:color="A6A6A6"/>
              <w:left w:val="single" w:sz="4" w:space="0" w:color="A6A6A6"/>
              <w:bottom w:val="single" w:sz="4" w:space="0" w:color="A6A6A6"/>
              <w:right w:val="single" w:sz="4" w:space="0" w:color="A6A6A6"/>
            </w:tcBorders>
          </w:tcPr>
          <w:p w14:paraId="3F988645" w14:textId="77777777" w:rsidR="00BC24A8" w:rsidRDefault="00000000">
            <w:pPr>
              <w:pStyle w:val="TableParagraph"/>
              <w:spacing w:line="219" w:lineRule="exact"/>
              <w:ind w:left="106"/>
              <w:rPr>
                <w:sz w:val="18"/>
              </w:rPr>
            </w:pPr>
            <w:r>
              <w:rPr>
                <w:spacing w:val="-5"/>
                <w:sz w:val="18"/>
              </w:rPr>
              <w:t>NTT</w:t>
            </w:r>
          </w:p>
        </w:tc>
      </w:tr>
      <w:tr w:rsidR="00BC24A8" w14:paraId="457BAED0" w14:textId="77777777">
        <w:trPr>
          <w:trHeight w:val="289"/>
        </w:trPr>
        <w:tc>
          <w:tcPr>
            <w:tcW w:w="490" w:type="dxa"/>
            <w:tcBorders>
              <w:top w:val="single" w:sz="4" w:space="0" w:color="A6A6A6"/>
              <w:left w:val="single" w:sz="4" w:space="0" w:color="A6A6A6"/>
              <w:bottom w:val="single" w:sz="4" w:space="0" w:color="A6A6A6"/>
              <w:right w:val="single" w:sz="4" w:space="0" w:color="A6A6A6"/>
            </w:tcBorders>
          </w:tcPr>
          <w:p w14:paraId="68E6AAE1" w14:textId="77777777" w:rsidR="00BC24A8" w:rsidRDefault="00000000">
            <w:pPr>
              <w:pStyle w:val="TableParagraph"/>
              <w:spacing w:line="219" w:lineRule="exact"/>
              <w:ind w:left="9"/>
              <w:jc w:val="center"/>
              <w:rPr>
                <w:sz w:val="18"/>
              </w:rPr>
            </w:pPr>
            <w:r>
              <w:rPr>
                <w:spacing w:val="-5"/>
                <w:sz w:val="18"/>
              </w:rPr>
              <w:t>142</w:t>
            </w:r>
          </w:p>
        </w:tc>
        <w:tc>
          <w:tcPr>
            <w:tcW w:w="7760" w:type="dxa"/>
            <w:tcBorders>
              <w:top w:val="single" w:sz="4" w:space="0" w:color="A6A6A6"/>
              <w:left w:val="single" w:sz="4" w:space="0" w:color="A6A6A6"/>
              <w:bottom w:val="single" w:sz="4" w:space="0" w:color="A6A6A6"/>
              <w:right w:val="single" w:sz="4" w:space="0" w:color="A6A6A6"/>
            </w:tcBorders>
          </w:tcPr>
          <w:p w14:paraId="74367298" w14:textId="77777777" w:rsidR="00BC24A8" w:rsidRDefault="00000000">
            <w:pPr>
              <w:pStyle w:val="TableParagraph"/>
              <w:spacing w:line="219" w:lineRule="exact"/>
              <w:ind w:left="107"/>
              <w:rPr>
                <w:sz w:val="18"/>
              </w:rPr>
            </w:pPr>
            <w:r>
              <w:rPr>
                <w:sz w:val="18"/>
              </w:rPr>
              <w:t>Facilitation</w:t>
            </w:r>
            <w:r>
              <w:rPr>
                <w:spacing w:val="-3"/>
                <w:sz w:val="18"/>
              </w:rPr>
              <w:t xml:space="preserve"> </w:t>
            </w:r>
            <w:r>
              <w:rPr>
                <w:sz w:val="18"/>
              </w:rPr>
              <w:t>Guide</w:t>
            </w:r>
            <w:r>
              <w:rPr>
                <w:spacing w:val="-2"/>
                <w:sz w:val="18"/>
              </w:rPr>
              <w:t xml:space="preserve"> </w:t>
            </w:r>
            <w:r>
              <w:rPr>
                <w:sz w:val="18"/>
              </w:rPr>
              <w:t>for</w:t>
            </w:r>
            <w:r>
              <w:rPr>
                <w:spacing w:val="-2"/>
                <w:sz w:val="18"/>
              </w:rPr>
              <w:t xml:space="preserve"> </w:t>
            </w:r>
            <w:r>
              <w:rPr>
                <w:sz w:val="18"/>
              </w:rPr>
              <w:t>Vulnerable</w:t>
            </w:r>
            <w:r>
              <w:rPr>
                <w:spacing w:val="-4"/>
                <w:sz w:val="18"/>
              </w:rPr>
              <w:t xml:space="preserve"> </w:t>
            </w:r>
            <w:r>
              <w:rPr>
                <w:sz w:val="18"/>
              </w:rPr>
              <w:t>Group</w:t>
            </w:r>
            <w:r>
              <w:rPr>
                <w:spacing w:val="-2"/>
                <w:sz w:val="18"/>
              </w:rPr>
              <w:t xml:space="preserve"> </w:t>
            </w:r>
            <w:r>
              <w:rPr>
                <w:sz w:val="18"/>
              </w:rPr>
              <w:t>Inclusive</w:t>
            </w:r>
            <w:r>
              <w:rPr>
                <w:spacing w:val="-2"/>
                <w:sz w:val="18"/>
              </w:rPr>
              <w:t xml:space="preserve"> </w:t>
            </w:r>
            <w:r>
              <w:rPr>
                <w:sz w:val="18"/>
              </w:rPr>
              <w:t>Development</w:t>
            </w:r>
            <w:r>
              <w:rPr>
                <w:spacing w:val="-2"/>
                <w:sz w:val="18"/>
              </w:rPr>
              <w:t xml:space="preserve"> </w:t>
            </w:r>
            <w:r>
              <w:rPr>
                <w:sz w:val="18"/>
              </w:rPr>
              <w:t>Planning</w:t>
            </w:r>
            <w:r>
              <w:rPr>
                <w:spacing w:val="-3"/>
                <w:sz w:val="18"/>
              </w:rPr>
              <w:t xml:space="preserve"> </w:t>
            </w:r>
            <w:r>
              <w:rPr>
                <w:sz w:val="18"/>
              </w:rPr>
              <w:t>Meeting</w:t>
            </w:r>
            <w:r>
              <w:rPr>
                <w:spacing w:val="-2"/>
                <w:sz w:val="18"/>
              </w:rPr>
              <w:t xml:space="preserve"> </w:t>
            </w:r>
            <w:r>
              <w:rPr>
                <w:spacing w:val="-5"/>
                <w:sz w:val="18"/>
              </w:rPr>
              <w:t>NTT</w:t>
            </w:r>
          </w:p>
        </w:tc>
        <w:tc>
          <w:tcPr>
            <w:tcW w:w="1275" w:type="dxa"/>
            <w:tcBorders>
              <w:top w:val="single" w:sz="4" w:space="0" w:color="A6A6A6"/>
              <w:left w:val="single" w:sz="4" w:space="0" w:color="A6A6A6"/>
              <w:bottom w:val="single" w:sz="4" w:space="0" w:color="A6A6A6"/>
              <w:right w:val="single" w:sz="4" w:space="0" w:color="A6A6A6"/>
            </w:tcBorders>
          </w:tcPr>
          <w:p w14:paraId="67D730E5" w14:textId="77777777" w:rsidR="00BC24A8" w:rsidRDefault="00000000">
            <w:pPr>
              <w:pStyle w:val="TableParagraph"/>
              <w:spacing w:line="219" w:lineRule="exact"/>
              <w:ind w:left="106"/>
              <w:rPr>
                <w:sz w:val="18"/>
              </w:rPr>
            </w:pPr>
            <w:r>
              <w:rPr>
                <w:spacing w:val="-5"/>
                <w:sz w:val="18"/>
              </w:rPr>
              <w:t>NTT</w:t>
            </w:r>
          </w:p>
        </w:tc>
      </w:tr>
      <w:tr w:rsidR="00BC24A8" w14:paraId="07895AB7"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34EE3170" w14:textId="77777777" w:rsidR="00BC24A8" w:rsidRDefault="00000000">
            <w:pPr>
              <w:pStyle w:val="TableParagraph"/>
              <w:spacing w:line="219" w:lineRule="exact"/>
              <w:ind w:left="9"/>
              <w:jc w:val="center"/>
              <w:rPr>
                <w:sz w:val="18"/>
              </w:rPr>
            </w:pPr>
            <w:r>
              <w:rPr>
                <w:spacing w:val="-5"/>
                <w:sz w:val="18"/>
              </w:rPr>
              <w:t>143</w:t>
            </w:r>
          </w:p>
        </w:tc>
        <w:tc>
          <w:tcPr>
            <w:tcW w:w="7760" w:type="dxa"/>
            <w:tcBorders>
              <w:top w:val="single" w:sz="4" w:space="0" w:color="A6A6A6"/>
              <w:left w:val="single" w:sz="4" w:space="0" w:color="A6A6A6"/>
              <w:bottom w:val="single" w:sz="4" w:space="0" w:color="A6A6A6"/>
              <w:right w:val="single" w:sz="4" w:space="0" w:color="A6A6A6"/>
            </w:tcBorders>
          </w:tcPr>
          <w:p w14:paraId="30EB614B"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Regulation</w:t>
            </w:r>
            <w:r>
              <w:rPr>
                <w:spacing w:val="-2"/>
                <w:sz w:val="18"/>
              </w:rPr>
              <w:t xml:space="preserve"> </w:t>
            </w:r>
            <w:r>
              <w:rPr>
                <w:sz w:val="18"/>
              </w:rPr>
              <w:t>No.</w:t>
            </w:r>
            <w:r>
              <w:rPr>
                <w:spacing w:val="-3"/>
                <w:sz w:val="18"/>
              </w:rPr>
              <w:t xml:space="preserve"> </w:t>
            </w:r>
            <w:r>
              <w:rPr>
                <w:sz w:val="18"/>
              </w:rPr>
              <w:t>2/2025</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Implementation</w:t>
            </w:r>
            <w:r>
              <w:rPr>
                <w:spacing w:val="-2"/>
                <w:sz w:val="18"/>
              </w:rPr>
              <w:t xml:space="preserve"> </w:t>
            </w:r>
            <w:r>
              <w:rPr>
                <w:sz w:val="18"/>
              </w:rPr>
              <w:t>of</w:t>
            </w:r>
            <w:r>
              <w:rPr>
                <w:spacing w:val="-3"/>
                <w:sz w:val="18"/>
              </w:rPr>
              <w:t xml:space="preserve"> </w:t>
            </w:r>
            <w:r>
              <w:rPr>
                <w:sz w:val="18"/>
              </w:rPr>
              <w:t>Vulnerable</w:t>
            </w:r>
            <w:r>
              <w:rPr>
                <w:spacing w:val="-2"/>
                <w:sz w:val="18"/>
              </w:rPr>
              <w:t xml:space="preserve"> </w:t>
            </w:r>
            <w:r>
              <w:rPr>
                <w:sz w:val="18"/>
              </w:rPr>
              <w:t>Group</w:t>
            </w:r>
            <w:r>
              <w:rPr>
                <w:spacing w:val="-2"/>
                <w:sz w:val="18"/>
              </w:rPr>
              <w:t xml:space="preserve"> </w:t>
            </w:r>
            <w:r>
              <w:rPr>
                <w:sz w:val="18"/>
              </w:rPr>
              <w:t>Inclusive</w:t>
            </w:r>
            <w:r>
              <w:rPr>
                <w:spacing w:val="-2"/>
                <w:sz w:val="18"/>
              </w:rPr>
              <w:t xml:space="preserve"> Development</w:t>
            </w:r>
          </w:p>
          <w:p w14:paraId="51003849" w14:textId="77777777" w:rsidR="00BC24A8" w:rsidRDefault="00000000">
            <w:pPr>
              <w:pStyle w:val="TableParagraph"/>
              <w:spacing w:before="1" w:line="199" w:lineRule="exact"/>
              <w:ind w:left="107"/>
              <w:rPr>
                <w:sz w:val="18"/>
              </w:rPr>
            </w:pPr>
            <w:r>
              <w:rPr>
                <w:sz w:val="18"/>
              </w:rPr>
              <w:t>Planning</w:t>
            </w:r>
            <w:r>
              <w:rPr>
                <w:spacing w:val="-3"/>
                <w:sz w:val="18"/>
              </w:rPr>
              <w:t xml:space="preserve"> </w:t>
            </w:r>
            <w:r>
              <w:rPr>
                <w:sz w:val="18"/>
              </w:rPr>
              <w:t>Consultation</w:t>
            </w:r>
            <w:r>
              <w:rPr>
                <w:spacing w:val="-1"/>
                <w:sz w:val="18"/>
              </w:rPr>
              <w:t xml:space="preserve"> </w:t>
            </w:r>
            <w:r>
              <w:rPr>
                <w:sz w:val="18"/>
              </w:rPr>
              <w:t>in</w:t>
            </w:r>
            <w:r>
              <w:rPr>
                <w:spacing w:val="-1"/>
                <w:sz w:val="18"/>
              </w:rPr>
              <w:t xml:space="preserve"> </w:t>
            </w:r>
            <w:r>
              <w:rPr>
                <w:sz w:val="18"/>
              </w:rPr>
              <w:t>NTT</w:t>
            </w:r>
            <w:r>
              <w:rPr>
                <w:spacing w:val="-2"/>
                <w:sz w:val="18"/>
              </w:rPr>
              <w:t xml:space="preserve"> Province</w:t>
            </w:r>
          </w:p>
        </w:tc>
        <w:tc>
          <w:tcPr>
            <w:tcW w:w="1275" w:type="dxa"/>
            <w:tcBorders>
              <w:top w:val="single" w:sz="4" w:space="0" w:color="A6A6A6"/>
              <w:left w:val="single" w:sz="4" w:space="0" w:color="A6A6A6"/>
              <w:bottom w:val="single" w:sz="4" w:space="0" w:color="A6A6A6"/>
              <w:right w:val="single" w:sz="4" w:space="0" w:color="A6A6A6"/>
            </w:tcBorders>
          </w:tcPr>
          <w:p w14:paraId="107C31A6" w14:textId="77777777" w:rsidR="00BC24A8" w:rsidRDefault="00000000">
            <w:pPr>
              <w:pStyle w:val="TableParagraph"/>
              <w:spacing w:line="219" w:lineRule="exact"/>
              <w:ind w:left="106"/>
              <w:rPr>
                <w:sz w:val="18"/>
              </w:rPr>
            </w:pPr>
            <w:r>
              <w:rPr>
                <w:spacing w:val="-5"/>
                <w:sz w:val="18"/>
              </w:rPr>
              <w:t>NTT</w:t>
            </w:r>
          </w:p>
        </w:tc>
      </w:tr>
      <w:tr w:rsidR="00BC24A8" w14:paraId="3188A517" w14:textId="77777777">
        <w:trPr>
          <w:trHeight w:val="289"/>
        </w:trPr>
        <w:tc>
          <w:tcPr>
            <w:tcW w:w="490" w:type="dxa"/>
            <w:tcBorders>
              <w:top w:val="single" w:sz="4" w:space="0" w:color="A6A6A6"/>
              <w:left w:val="single" w:sz="4" w:space="0" w:color="A6A6A6"/>
              <w:bottom w:val="single" w:sz="4" w:space="0" w:color="A6A6A6"/>
              <w:right w:val="single" w:sz="4" w:space="0" w:color="A6A6A6"/>
            </w:tcBorders>
          </w:tcPr>
          <w:p w14:paraId="3B69D4CE" w14:textId="77777777" w:rsidR="00BC24A8" w:rsidRDefault="00000000">
            <w:pPr>
              <w:pStyle w:val="TableParagraph"/>
              <w:spacing w:before="1"/>
              <w:ind w:left="9"/>
              <w:jc w:val="center"/>
              <w:rPr>
                <w:sz w:val="18"/>
              </w:rPr>
            </w:pPr>
            <w:r>
              <w:rPr>
                <w:spacing w:val="-5"/>
                <w:sz w:val="18"/>
              </w:rPr>
              <w:t>144</w:t>
            </w:r>
          </w:p>
        </w:tc>
        <w:tc>
          <w:tcPr>
            <w:tcW w:w="7760" w:type="dxa"/>
            <w:tcBorders>
              <w:top w:val="single" w:sz="4" w:space="0" w:color="A6A6A6"/>
              <w:left w:val="single" w:sz="4" w:space="0" w:color="A6A6A6"/>
              <w:bottom w:val="single" w:sz="4" w:space="0" w:color="A6A6A6"/>
              <w:right w:val="single" w:sz="4" w:space="0" w:color="A6A6A6"/>
            </w:tcBorders>
          </w:tcPr>
          <w:p w14:paraId="6615B0C2" w14:textId="77777777" w:rsidR="00BC24A8" w:rsidRDefault="00000000">
            <w:pPr>
              <w:pStyle w:val="TableParagraph"/>
              <w:spacing w:before="1"/>
              <w:ind w:left="107"/>
              <w:rPr>
                <w:sz w:val="18"/>
              </w:rPr>
            </w:pPr>
            <w:r>
              <w:rPr>
                <w:sz w:val="18"/>
              </w:rPr>
              <w:t>Regional</w:t>
            </w:r>
            <w:r>
              <w:rPr>
                <w:spacing w:val="-2"/>
                <w:sz w:val="18"/>
              </w:rPr>
              <w:t xml:space="preserve"> </w:t>
            </w:r>
            <w:r>
              <w:rPr>
                <w:sz w:val="18"/>
              </w:rPr>
              <w:t>Regulation</w:t>
            </w:r>
            <w:r>
              <w:rPr>
                <w:spacing w:val="-3"/>
                <w:sz w:val="18"/>
              </w:rPr>
              <w:t xml:space="preserve"> </w:t>
            </w:r>
            <w:r>
              <w:rPr>
                <w:sz w:val="18"/>
              </w:rPr>
              <w:t>No.</w:t>
            </w:r>
            <w:r>
              <w:rPr>
                <w:spacing w:val="-4"/>
                <w:sz w:val="18"/>
              </w:rPr>
              <w:t xml:space="preserve"> </w:t>
            </w:r>
            <w:r>
              <w:rPr>
                <w:sz w:val="18"/>
              </w:rPr>
              <w:t>1/2024</w:t>
            </w:r>
            <w:r>
              <w:rPr>
                <w:spacing w:val="-3"/>
                <w:sz w:val="18"/>
              </w:rPr>
              <w:t xml:space="preserve"> </w:t>
            </w:r>
            <w:r>
              <w:rPr>
                <w:sz w:val="18"/>
              </w:rPr>
              <w:t>on</w:t>
            </w:r>
            <w:r>
              <w:rPr>
                <w:spacing w:val="-2"/>
                <w:sz w:val="18"/>
              </w:rPr>
              <w:t xml:space="preserve"> </w:t>
            </w:r>
            <w:r>
              <w:rPr>
                <w:spacing w:val="-4"/>
                <w:sz w:val="18"/>
              </w:rPr>
              <w:t>PDRD</w:t>
            </w:r>
          </w:p>
        </w:tc>
        <w:tc>
          <w:tcPr>
            <w:tcW w:w="1275" w:type="dxa"/>
            <w:tcBorders>
              <w:top w:val="single" w:sz="4" w:space="0" w:color="A6A6A6"/>
              <w:left w:val="single" w:sz="4" w:space="0" w:color="A6A6A6"/>
              <w:bottom w:val="single" w:sz="4" w:space="0" w:color="A6A6A6"/>
              <w:right w:val="single" w:sz="4" w:space="0" w:color="A6A6A6"/>
            </w:tcBorders>
          </w:tcPr>
          <w:p w14:paraId="692AFF15" w14:textId="77777777" w:rsidR="00BC24A8" w:rsidRDefault="00000000">
            <w:pPr>
              <w:pStyle w:val="TableParagraph"/>
              <w:spacing w:before="1"/>
              <w:ind w:left="106"/>
              <w:rPr>
                <w:sz w:val="18"/>
              </w:rPr>
            </w:pPr>
            <w:r>
              <w:rPr>
                <w:spacing w:val="-5"/>
                <w:sz w:val="18"/>
              </w:rPr>
              <w:t>NTT</w:t>
            </w:r>
          </w:p>
        </w:tc>
      </w:tr>
      <w:tr w:rsidR="00BC24A8" w14:paraId="3D3CAC95" w14:textId="77777777">
        <w:trPr>
          <w:trHeight w:val="220"/>
        </w:trPr>
        <w:tc>
          <w:tcPr>
            <w:tcW w:w="490" w:type="dxa"/>
            <w:tcBorders>
              <w:top w:val="single" w:sz="4" w:space="0" w:color="A6A6A6"/>
              <w:left w:val="single" w:sz="4" w:space="0" w:color="A6A6A6"/>
              <w:bottom w:val="single" w:sz="4" w:space="0" w:color="A6A6A6"/>
              <w:right w:val="single" w:sz="4" w:space="0" w:color="A6A6A6"/>
            </w:tcBorders>
          </w:tcPr>
          <w:p w14:paraId="623242BD" w14:textId="77777777" w:rsidR="00BC24A8" w:rsidRDefault="00000000">
            <w:pPr>
              <w:pStyle w:val="TableParagraph"/>
              <w:spacing w:before="1" w:line="199" w:lineRule="exact"/>
              <w:ind w:left="9"/>
              <w:jc w:val="center"/>
              <w:rPr>
                <w:sz w:val="18"/>
              </w:rPr>
            </w:pPr>
            <w:r>
              <w:rPr>
                <w:spacing w:val="-5"/>
                <w:sz w:val="18"/>
              </w:rPr>
              <w:t>145</w:t>
            </w:r>
          </w:p>
        </w:tc>
        <w:tc>
          <w:tcPr>
            <w:tcW w:w="7760" w:type="dxa"/>
            <w:tcBorders>
              <w:top w:val="single" w:sz="4" w:space="0" w:color="A6A6A6"/>
              <w:left w:val="single" w:sz="4" w:space="0" w:color="A6A6A6"/>
              <w:bottom w:val="single" w:sz="4" w:space="0" w:color="A6A6A6"/>
              <w:right w:val="single" w:sz="4" w:space="0" w:color="A6A6A6"/>
            </w:tcBorders>
          </w:tcPr>
          <w:p w14:paraId="3D372F44" w14:textId="77777777" w:rsidR="00BC24A8" w:rsidRDefault="00000000">
            <w:pPr>
              <w:pStyle w:val="TableParagraph"/>
              <w:spacing w:before="1" w:line="199" w:lineRule="exact"/>
              <w:ind w:left="107"/>
              <w:rPr>
                <w:sz w:val="18"/>
              </w:rPr>
            </w:pPr>
            <w:r>
              <w:rPr>
                <w:sz w:val="18"/>
              </w:rPr>
              <w:t>Governor</w:t>
            </w:r>
            <w:r>
              <w:rPr>
                <w:spacing w:val="-3"/>
                <w:sz w:val="18"/>
              </w:rPr>
              <w:t xml:space="preserve"> </w:t>
            </w:r>
            <w:r>
              <w:rPr>
                <w:sz w:val="18"/>
              </w:rPr>
              <w:t>Regulation</w:t>
            </w:r>
            <w:r>
              <w:rPr>
                <w:spacing w:val="-3"/>
                <w:sz w:val="18"/>
              </w:rPr>
              <w:t xml:space="preserve"> </w:t>
            </w:r>
            <w:r>
              <w:rPr>
                <w:sz w:val="18"/>
              </w:rPr>
              <w:t>No.</w:t>
            </w:r>
            <w:r>
              <w:rPr>
                <w:spacing w:val="-3"/>
                <w:sz w:val="18"/>
              </w:rPr>
              <w:t xml:space="preserve"> </w:t>
            </w:r>
            <w:r>
              <w:rPr>
                <w:sz w:val="18"/>
              </w:rPr>
              <w:t>9/2024</w:t>
            </w:r>
            <w:r>
              <w:rPr>
                <w:spacing w:val="-3"/>
                <w:sz w:val="18"/>
              </w:rPr>
              <w:t xml:space="preserve"> </w:t>
            </w:r>
            <w:r>
              <w:rPr>
                <w:sz w:val="18"/>
              </w:rPr>
              <w:t>on</w:t>
            </w:r>
            <w:r>
              <w:rPr>
                <w:spacing w:val="-3"/>
                <w:sz w:val="18"/>
              </w:rPr>
              <w:t xml:space="preserve"> </w:t>
            </w:r>
            <w:r>
              <w:rPr>
                <w:sz w:val="18"/>
              </w:rPr>
              <w:t>Regional</w:t>
            </w:r>
            <w:r>
              <w:rPr>
                <w:spacing w:val="-1"/>
                <w:sz w:val="18"/>
              </w:rPr>
              <w:t xml:space="preserve"> </w:t>
            </w:r>
            <w:r>
              <w:rPr>
                <w:spacing w:val="-2"/>
                <w:sz w:val="18"/>
              </w:rPr>
              <w:t>Levies</w:t>
            </w:r>
          </w:p>
        </w:tc>
        <w:tc>
          <w:tcPr>
            <w:tcW w:w="1275" w:type="dxa"/>
            <w:tcBorders>
              <w:top w:val="single" w:sz="4" w:space="0" w:color="A6A6A6"/>
              <w:left w:val="single" w:sz="4" w:space="0" w:color="A6A6A6"/>
              <w:bottom w:val="single" w:sz="4" w:space="0" w:color="A6A6A6"/>
              <w:right w:val="single" w:sz="4" w:space="0" w:color="A6A6A6"/>
            </w:tcBorders>
          </w:tcPr>
          <w:p w14:paraId="091D1F0B" w14:textId="77777777" w:rsidR="00BC24A8" w:rsidRDefault="00000000">
            <w:pPr>
              <w:pStyle w:val="TableParagraph"/>
              <w:spacing w:before="1" w:line="199" w:lineRule="exact"/>
              <w:ind w:left="106"/>
              <w:rPr>
                <w:sz w:val="18"/>
              </w:rPr>
            </w:pPr>
            <w:r>
              <w:rPr>
                <w:spacing w:val="-5"/>
                <w:sz w:val="18"/>
              </w:rPr>
              <w:t>NTT</w:t>
            </w:r>
          </w:p>
        </w:tc>
      </w:tr>
      <w:tr w:rsidR="00BC24A8" w14:paraId="36799CD1"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5BB5A3D3" w14:textId="77777777" w:rsidR="00BC24A8" w:rsidRDefault="00000000">
            <w:pPr>
              <w:pStyle w:val="TableParagraph"/>
              <w:spacing w:line="219" w:lineRule="exact"/>
              <w:ind w:left="9"/>
              <w:jc w:val="center"/>
              <w:rPr>
                <w:sz w:val="18"/>
              </w:rPr>
            </w:pPr>
            <w:r>
              <w:rPr>
                <w:spacing w:val="-5"/>
                <w:sz w:val="18"/>
              </w:rPr>
              <w:t>146</w:t>
            </w:r>
          </w:p>
        </w:tc>
        <w:tc>
          <w:tcPr>
            <w:tcW w:w="7760" w:type="dxa"/>
            <w:tcBorders>
              <w:top w:val="single" w:sz="4" w:space="0" w:color="A6A6A6"/>
              <w:left w:val="single" w:sz="4" w:space="0" w:color="A6A6A6"/>
              <w:bottom w:val="single" w:sz="4" w:space="0" w:color="A6A6A6"/>
              <w:right w:val="single" w:sz="4" w:space="0" w:color="A6A6A6"/>
            </w:tcBorders>
          </w:tcPr>
          <w:p w14:paraId="625AAB5E"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Regulation</w:t>
            </w:r>
            <w:r>
              <w:rPr>
                <w:spacing w:val="-3"/>
                <w:sz w:val="18"/>
              </w:rPr>
              <w:t xml:space="preserve"> </w:t>
            </w:r>
            <w:r>
              <w:rPr>
                <w:sz w:val="18"/>
              </w:rPr>
              <w:t>No.</w:t>
            </w:r>
            <w:r>
              <w:rPr>
                <w:spacing w:val="-3"/>
                <w:sz w:val="18"/>
              </w:rPr>
              <w:t xml:space="preserve"> </w:t>
            </w:r>
            <w:r>
              <w:rPr>
                <w:sz w:val="18"/>
              </w:rPr>
              <w:t>8/2024</w:t>
            </w:r>
            <w:r>
              <w:rPr>
                <w:spacing w:val="-3"/>
                <w:sz w:val="18"/>
              </w:rPr>
              <w:t xml:space="preserve"> </w:t>
            </w:r>
            <w:r>
              <w:rPr>
                <w:sz w:val="18"/>
              </w:rPr>
              <w:t>on</w:t>
            </w:r>
            <w:r>
              <w:rPr>
                <w:spacing w:val="-3"/>
                <w:sz w:val="18"/>
              </w:rPr>
              <w:t xml:space="preserve"> </w:t>
            </w:r>
            <w:r>
              <w:rPr>
                <w:sz w:val="18"/>
              </w:rPr>
              <w:t>procedures</w:t>
            </w:r>
            <w:r>
              <w:rPr>
                <w:spacing w:val="-2"/>
                <w:sz w:val="18"/>
              </w:rPr>
              <w:t xml:space="preserve"> </w:t>
            </w:r>
            <w:r>
              <w:rPr>
                <w:sz w:val="18"/>
              </w:rPr>
              <w:t>for</w:t>
            </w:r>
            <w:r>
              <w:rPr>
                <w:spacing w:val="-3"/>
                <w:sz w:val="18"/>
              </w:rPr>
              <w:t xml:space="preserve"> </w:t>
            </w:r>
            <w:r>
              <w:rPr>
                <w:sz w:val="18"/>
              </w:rPr>
              <w:t>collecting</w:t>
            </w:r>
            <w:r>
              <w:rPr>
                <w:spacing w:val="-4"/>
                <w:sz w:val="18"/>
              </w:rPr>
              <w:t xml:space="preserve"> </w:t>
            </w:r>
            <w:r>
              <w:rPr>
                <w:sz w:val="18"/>
              </w:rPr>
              <w:t>regional</w:t>
            </w:r>
            <w:r>
              <w:rPr>
                <w:spacing w:val="-1"/>
                <w:sz w:val="18"/>
              </w:rPr>
              <w:t xml:space="preserve"> </w:t>
            </w:r>
            <w:r>
              <w:rPr>
                <w:spacing w:val="-2"/>
                <w:sz w:val="18"/>
              </w:rPr>
              <w:t>levies</w:t>
            </w:r>
          </w:p>
        </w:tc>
        <w:tc>
          <w:tcPr>
            <w:tcW w:w="1275" w:type="dxa"/>
            <w:tcBorders>
              <w:top w:val="single" w:sz="4" w:space="0" w:color="A6A6A6"/>
              <w:left w:val="single" w:sz="4" w:space="0" w:color="A6A6A6"/>
              <w:bottom w:val="single" w:sz="4" w:space="0" w:color="A6A6A6"/>
              <w:right w:val="single" w:sz="4" w:space="0" w:color="A6A6A6"/>
            </w:tcBorders>
          </w:tcPr>
          <w:p w14:paraId="4B6D2D8F" w14:textId="77777777" w:rsidR="00BC24A8" w:rsidRDefault="00000000">
            <w:pPr>
              <w:pStyle w:val="TableParagraph"/>
              <w:spacing w:line="219" w:lineRule="exact"/>
              <w:ind w:left="106"/>
              <w:rPr>
                <w:sz w:val="18"/>
              </w:rPr>
            </w:pPr>
            <w:r>
              <w:rPr>
                <w:spacing w:val="-5"/>
                <w:sz w:val="18"/>
              </w:rPr>
              <w:t>NTT</w:t>
            </w:r>
          </w:p>
        </w:tc>
      </w:tr>
      <w:tr w:rsidR="00BC24A8" w14:paraId="18454322"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7281DDE8" w14:textId="77777777" w:rsidR="00BC24A8" w:rsidRDefault="00000000">
            <w:pPr>
              <w:pStyle w:val="TableParagraph"/>
              <w:spacing w:line="219" w:lineRule="exact"/>
              <w:ind w:left="9"/>
              <w:jc w:val="center"/>
              <w:rPr>
                <w:sz w:val="18"/>
              </w:rPr>
            </w:pPr>
            <w:r>
              <w:rPr>
                <w:spacing w:val="-5"/>
                <w:sz w:val="18"/>
              </w:rPr>
              <w:t>147</w:t>
            </w:r>
          </w:p>
        </w:tc>
        <w:tc>
          <w:tcPr>
            <w:tcW w:w="7760" w:type="dxa"/>
            <w:tcBorders>
              <w:top w:val="single" w:sz="4" w:space="0" w:color="A6A6A6"/>
              <w:left w:val="single" w:sz="4" w:space="0" w:color="A6A6A6"/>
              <w:bottom w:val="single" w:sz="4" w:space="0" w:color="A6A6A6"/>
              <w:right w:val="single" w:sz="4" w:space="0" w:color="A6A6A6"/>
            </w:tcBorders>
          </w:tcPr>
          <w:p w14:paraId="7B2B0144" w14:textId="77777777" w:rsidR="00BC24A8" w:rsidRDefault="00000000">
            <w:pPr>
              <w:pStyle w:val="TableParagraph"/>
              <w:spacing w:line="219" w:lineRule="exact"/>
              <w:ind w:left="107"/>
              <w:rPr>
                <w:sz w:val="18"/>
              </w:rPr>
            </w:pPr>
            <w:r>
              <w:rPr>
                <w:sz w:val="18"/>
              </w:rPr>
              <w:t>Governor</w:t>
            </w:r>
            <w:r>
              <w:rPr>
                <w:spacing w:val="-3"/>
                <w:sz w:val="18"/>
              </w:rPr>
              <w:t xml:space="preserve"> </w:t>
            </w:r>
            <w:r>
              <w:rPr>
                <w:sz w:val="18"/>
              </w:rPr>
              <w:t>Regulation</w:t>
            </w:r>
            <w:r>
              <w:rPr>
                <w:spacing w:val="-2"/>
                <w:sz w:val="18"/>
              </w:rPr>
              <w:t xml:space="preserve"> </w:t>
            </w:r>
            <w:r>
              <w:rPr>
                <w:sz w:val="18"/>
              </w:rPr>
              <w:t>No.</w:t>
            </w:r>
            <w:r>
              <w:rPr>
                <w:spacing w:val="-3"/>
                <w:sz w:val="18"/>
              </w:rPr>
              <w:t xml:space="preserve"> </w:t>
            </w:r>
            <w:r>
              <w:rPr>
                <w:sz w:val="18"/>
              </w:rPr>
              <w:t>53/2024</w:t>
            </w:r>
            <w:r>
              <w:rPr>
                <w:spacing w:val="-3"/>
                <w:sz w:val="18"/>
              </w:rPr>
              <w:t xml:space="preserve"> </w:t>
            </w:r>
            <w:r>
              <w:rPr>
                <w:sz w:val="18"/>
              </w:rPr>
              <w:t>on</w:t>
            </w:r>
            <w:r>
              <w:rPr>
                <w:spacing w:val="-2"/>
                <w:sz w:val="18"/>
              </w:rPr>
              <w:t xml:space="preserve"> </w:t>
            </w:r>
            <w:r>
              <w:rPr>
                <w:sz w:val="18"/>
              </w:rPr>
              <w:t>PKB</w:t>
            </w:r>
            <w:r>
              <w:rPr>
                <w:spacing w:val="-3"/>
                <w:sz w:val="18"/>
              </w:rPr>
              <w:t xml:space="preserve"> </w:t>
            </w:r>
            <w:r>
              <w:rPr>
                <w:sz w:val="18"/>
              </w:rPr>
              <w:t>and</w:t>
            </w:r>
            <w:r>
              <w:rPr>
                <w:spacing w:val="-2"/>
                <w:sz w:val="18"/>
              </w:rPr>
              <w:t xml:space="preserve"> </w:t>
            </w:r>
            <w:r>
              <w:rPr>
                <w:sz w:val="18"/>
              </w:rPr>
              <w:t>BBNKB</w:t>
            </w:r>
            <w:r>
              <w:rPr>
                <w:spacing w:val="-3"/>
                <w:sz w:val="18"/>
              </w:rPr>
              <w:t xml:space="preserve"> </w:t>
            </w:r>
            <w:r>
              <w:rPr>
                <w:spacing w:val="-4"/>
                <w:sz w:val="18"/>
              </w:rPr>
              <w:t>opsen</w:t>
            </w:r>
          </w:p>
        </w:tc>
        <w:tc>
          <w:tcPr>
            <w:tcW w:w="1275" w:type="dxa"/>
            <w:tcBorders>
              <w:top w:val="single" w:sz="4" w:space="0" w:color="A6A6A6"/>
              <w:left w:val="single" w:sz="4" w:space="0" w:color="A6A6A6"/>
              <w:bottom w:val="single" w:sz="4" w:space="0" w:color="A6A6A6"/>
              <w:right w:val="single" w:sz="4" w:space="0" w:color="A6A6A6"/>
            </w:tcBorders>
          </w:tcPr>
          <w:p w14:paraId="3BDC94CD" w14:textId="77777777" w:rsidR="00BC24A8" w:rsidRDefault="00000000">
            <w:pPr>
              <w:pStyle w:val="TableParagraph"/>
              <w:spacing w:line="219" w:lineRule="exact"/>
              <w:ind w:left="106"/>
              <w:rPr>
                <w:sz w:val="18"/>
              </w:rPr>
            </w:pPr>
            <w:r>
              <w:rPr>
                <w:spacing w:val="-5"/>
                <w:sz w:val="18"/>
              </w:rPr>
              <w:t>NTT</w:t>
            </w:r>
          </w:p>
        </w:tc>
      </w:tr>
      <w:tr w:rsidR="00BC24A8" w14:paraId="27D2978D" w14:textId="77777777">
        <w:trPr>
          <w:trHeight w:val="289"/>
        </w:trPr>
        <w:tc>
          <w:tcPr>
            <w:tcW w:w="490" w:type="dxa"/>
            <w:tcBorders>
              <w:top w:val="single" w:sz="4" w:space="0" w:color="A6A6A6"/>
              <w:left w:val="single" w:sz="4" w:space="0" w:color="A6A6A6"/>
              <w:bottom w:val="single" w:sz="4" w:space="0" w:color="A6A6A6"/>
              <w:right w:val="single" w:sz="4" w:space="0" w:color="A6A6A6"/>
            </w:tcBorders>
          </w:tcPr>
          <w:p w14:paraId="342D2DD8" w14:textId="77777777" w:rsidR="00BC24A8" w:rsidRDefault="00000000">
            <w:pPr>
              <w:pStyle w:val="TableParagraph"/>
              <w:spacing w:line="219" w:lineRule="exact"/>
              <w:ind w:left="9"/>
              <w:jc w:val="center"/>
              <w:rPr>
                <w:sz w:val="18"/>
              </w:rPr>
            </w:pPr>
            <w:r>
              <w:rPr>
                <w:spacing w:val="-5"/>
                <w:sz w:val="18"/>
              </w:rPr>
              <w:t>148</w:t>
            </w:r>
          </w:p>
        </w:tc>
        <w:tc>
          <w:tcPr>
            <w:tcW w:w="7760" w:type="dxa"/>
            <w:tcBorders>
              <w:top w:val="single" w:sz="4" w:space="0" w:color="A6A6A6"/>
              <w:left w:val="single" w:sz="4" w:space="0" w:color="A6A6A6"/>
              <w:bottom w:val="single" w:sz="4" w:space="0" w:color="A6A6A6"/>
              <w:right w:val="single" w:sz="4" w:space="0" w:color="A6A6A6"/>
            </w:tcBorders>
          </w:tcPr>
          <w:p w14:paraId="44447DAD" w14:textId="77777777" w:rsidR="00BC24A8" w:rsidRDefault="00000000">
            <w:pPr>
              <w:pStyle w:val="TableParagraph"/>
              <w:spacing w:line="219" w:lineRule="exact"/>
              <w:ind w:left="107"/>
              <w:rPr>
                <w:sz w:val="18"/>
              </w:rPr>
            </w:pPr>
            <w:r>
              <w:rPr>
                <w:sz w:val="18"/>
              </w:rPr>
              <w:t>Governor</w:t>
            </w:r>
            <w:r>
              <w:rPr>
                <w:spacing w:val="-3"/>
                <w:sz w:val="18"/>
              </w:rPr>
              <w:t xml:space="preserve"> </w:t>
            </w:r>
            <w:r>
              <w:rPr>
                <w:sz w:val="18"/>
              </w:rPr>
              <w:t>Regulation</w:t>
            </w:r>
            <w:r>
              <w:rPr>
                <w:spacing w:val="-2"/>
                <w:sz w:val="18"/>
              </w:rPr>
              <w:t xml:space="preserve"> </w:t>
            </w:r>
            <w:r>
              <w:rPr>
                <w:sz w:val="18"/>
              </w:rPr>
              <w:t>No.</w:t>
            </w:r>
            <w:r>
              <w:rPr>
                <w:spacing w:val="-3"/>
                <w:sz w:val="18"/>
              </w:rPr>
              <w:t xml:space="preserve"> </w:t>
            </w:r>
            <w:r>
              <w:rPr>
                <w:sz w:val="18"/>
              </w:rPr>
              <w:t>46/2024</w:t>
            </w:r>
            <w:r>
              <w:rPr>
                <w:spacing w:val="-2"/>
                <w:sz w:val="18"/>
              </w:rPr>
              <w:t xml:space="preserve"> </w:t>
            </w:r>
            <w:r>
              <w:rPr>
                <w:sz w:val="18"/>
              </w:rPr>
              <w:t>on</w:t>
            </w:r>
            <w:r>
              <w:rPr>
                <w:spacing w:val="-2"/>
                <w:sz w:val="18"/>
              </w:rPr>
              <w:t xml:space="preserve"> </w:t>
            </w:r>
            <w:r>
              <w:rPr>
                <w:sz w:val="18"/>
              </w:rPr>
              <w:t>PKB</w:t>
            </w:r>
            <w:r>
              <w:rPr>
                <w:spacing w:val="-3"/>
                <w:sz w:val="18"/>
              </w:rPr>
              <w:t xml:space="preserve"> </w:t>
            </w:r>
            <w:r>
              <w:rPr>
                <w:sz w:val="18"/>
              </w:rPr>
              <w:t>levy</w:t>
            </w:r>
            <w:r>
              <w:rPr>
                <w:spacing w:val="-3"/>
                <w:sz w:val="18"/>
              </w:rPr>
              <w:t xml:space="preserve"> </w:t>
            </w:r>
            <w:r>
              <w:rPr>
                <w:spacing w:val="-2"/>
                <w:sz w:val="18"/>
              </w:rPr>
              <w:t>waivers</w:t>
            </w:r>
          </w:p>
        </w:tc>
        <w:tc>
          <w:tcPr>
            <w:tcW w:w="1275" w:type="dxa"/>
            <w:tcBorders>
              <w:top w:val="single" w:sz="4" w:space="0" w:color="A6A6A6"/>
              <w:left w:val="single" w:sz="4" w:space="0" w:color="A6A6A6"/>
              <w:bottom w:val="single" w:sz="4" w:space="0" w:color="A6A6A6"/>
              <w:right w:val="single" w:sz="4" w:space="0" w:color="A6A6A6"/>
            </w:tcBorders>
          </w:tcPr>
          <w:p w14:paraId="12963742" w14:textId="77777777" w:rsidR="00BC24A8" w:rsidRDefault="00000000">
            <w:pPr>
              <w:pStyle w:val="TableParagraph"/>
              <w:spacing w:line="219" w:lineRule="exact"/>
              <w:ind w:left="106"/>
              <w:rPr>
                <w:sz w:val="18"/>
              </w:rPr>
            </w:pPr>
            <w:r>
              <w:rPr>
                <w:spacing w:val="-5"/>
                <w:sz w:val="18"/>
              </w:rPr>
              <w:t>NTT</w:t>
            </w:r>
          </w:p>
        </w:tc>
      </w:tr>
      <w:tr w:rsidR="00BC24A8" w14:paraId="18DC8009"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550CB504" w14:textId="77777777" w:rsidR="00BC24A8" w:rsidRDefault="00000000">
            <w:pPr>
              <w:pStyle w:val="TableParagraph"/>
              <w:spacing w:line="219" w:lineRule="exact"/>
              <w:ind w:left="9"/>
              <w:jc w:val="center"/>
              <w:rPr>
                <w:sz w:val="18"/>
              </w:rPr>
            </w:pPr>
            <w:r>
              <w:rPr>
                <w:spacing w:val="-5"/>
                <w:sz w:val="18"/>
              </w:rPr>
              <w:t>149</w:t>
            </w:r>
          </w:p>
        </w:tc>
        <w:tc>
          <w:tcPr>
            <w:tcW w:w="7760" w:type="dxa"/>
            <w:tcBorders>
              <w:top w:val="single" w:sz="4" w:space="0" w:color="A6A6A6"/>
              <w:left w:val="single" w:sz="4" w:space="0" w:color="A6A6A6"/>
              <w:bottom w:val="single" w:sz="4" w:space="0" w:color="A6A6A6"/>
              <w:right w:val="single" w:sz="4" w:space="0" w:color="A6A6A6"/>
            </w:tcBorders>
          </w:tcPr>
          <w:p w14:paraId="63894E84" w14:textId="77777777" w:rsidR="00BC24A8" w:rsidRDefault="00000000">
            <w:pPr>
              <w:pStyle w:val="TableParagraph"/>
              <w:spacing w:line="219" w:lineRule="exact"/>
              <w:ind w:left="107"/>
              <w:rPr>
                <w:sz w:val="18"/>
              </w:rPr>
            </w:pPr>
            <w:r>
              <w:rPr>
                <w:sz w:val="18"/>
              </w:rPr>
              <w:t>Memorandum</w:t>
            </w:r>
            <w:r>
              <w:rPr>
                <w:spacing w:val="-5"/>
                <w:sz w:val="18"/>
              </w:rPr>
              <w:t xml:space="preserve"> </w:t>
            </w:r>
            <w:r>
              <w:rPr>
                <w:sz w:val="18"/>
              </w:rPr>
              <w:t>of</w:t>
            </w:r>
            <w:r>
              <w:rPr>
                <w:spacing w:val="-3"/>
                <w:sz w:val="18"/>
              </w:rPr>
              <w:t xml:space="preserve"> </w:t>
            </w:r>
            <w:r>
              <w:rPr>
                <w:sz w:val="18"/>
              </w:rPr>
              <w:t>agreement</w:t>
            </w:r>
            <w:r>
              <w:rPr>
                <w:spacing w:val="-1"/>
                <w:sz w:val="18"/>
              </w:rPr>
              <w:t xml:space="preserve"> </w:t>
            </w:r>
            <w:r>
              <w:rPr>
                <w:sz w:val="18"/>
              </w:rPr>
              <w:t>between</w:t>
            </w:r>
            <w:r>
              <w:rPr>
                <w:spacing w:val="-2"/>
                <w:sz w:val="18"/>
              </w:rPr>
              <w:t xml:space="preserve"> </w:t>
            </w:r>
            <w:r>
              <w:rPr>
                <w:sz w:val="18"/>
              </w:rPr>
              <w:t>the</w:t>
            </w:r>
            <w:r>
              <w:rPr>
                <w:spacing w:val="-2"/>
                <w:sz w:val="18"/>
              </w:rPr>
              <w:t xml:space="preserve"> </w:t>
            </w:r>
            <w:r>
              <w:rPr>
                <w:sz w:val="18"/>
              </w:rPr>
              <w:t>Governor</w:t>
            </w:r>
            <w:r>
              <w:rPr>
                <w:spacing w:val="-3"/>
                <w:sz w:val="18"/>
              </w:rPr>
              <w:t xml:space="preserve"> </w:t>
            </w:r>
            <w:r>
              <w:rPr>
                <w:sz w:val="18"/>
              </w:rPr>
              <w:t>and</w:t>
            </w:r>
            <w:r>
              <w:rPr>
                <w:spacing w:val="-2"/>
                <w:sz w:val="18"/>
              </w:rPr>
              <w:t xml:space="preserve"> </w:t>
            </w:r>
            <w:r>
              <w:rPr>
                <w:sz w:val="18"/>
              </w:rPr>
              <w:t>the</w:t>
            </w:r>
            <w:r>
              <w:rPr>
                <w:spacing w:val="-2"/>
                <w:sz w:val="18"/>
              </w:rPr>
              <w:t xml:space="preserve"> </w:t>
            </w:r>
            <w:r>
              <w:rPr>
                <w:sz w:val="18"/>
              </w:rPr>
              <w:t>Regents</w:t>
            </w:r>
            <w:r>
              <w:rPr>
                <w:spacing w:val="-2"/>
                <w:sz w:val="18"/>
              </w:rPr>
              <w:t xml:space="preserve"> </w:t>
            </w:r>
            <w:r>
              <w:rPr>
                <w:sz w:val="18"/>
              </w:rPr>
              <w:t>regarding</w:t>
            </w:r>
            <w:r>
              <w:rPr>
                <w:spacing w:val="-3"/>
                <w:sz w:val="18"/>
              </w:rPr>
              <w:t xml:space="preserve"> </w:t>
            </w:r>
            <w:r>
              <w:rPr>
                <w:sz w:val="18"/>
              </w:rPr>
              <w:t>the</w:t>
            </w:r>
            <w:r>
              <w:rPr>
                <w:spacing w:val="-2"/>
                <w:sz w:val="18"/>
              </w:rPr>
              <w:t xml:space="preserve"> </w:t>
            </w:r>
            <w:r>
              <w:rPr>
                <w:sz w:val="18"/>
              </w:rPr>
              <w:t>optimization</w:t>
            </w:r>
            <w:r>
              <w:rPr>
                <w:spacing w:val="-2"/>
                <w:sz w:val="18"/>
              </w:rPr>
              <w:t xml:space="preserve"> </w:t>
            </w:r>
            <w:r>
              <w:rPr>
                <w:sz w:val="18"/>
              </w:rPr>
              <w:t>of</w:t>
            </w:r>
            <w:r>
              <w:rPr>
                <w:spacing w:val="-2"/>
                <w:sz w:val="18"/>
              </w:rPr>
              <w:t xml:space="preserve"> local</w:t>
            </w:r>
          </w:p>
          <w:p w14:paraId="259605A8" w14:textId="77777777" w:rsidR="00BC24A8" w:rsidRDefault="00000000">
            <w:pPr>
              <w:pStyle w:val="TableParagraph"/>
              <w:spacing w:before="1" w:line="199" w:lineRule="exact"/>
              <w:ind w:left="107"/>
              <w:rPr>
                <w:sz w:val="18"/>
              </w:rPr>
            </w:pPr>
            <w:r>
              <w:rPr>
                <w:sz w:val="18"/>
              </w:rPr>
              <w:t>tax</w:t>
            </w:r>
            <w:r>
              <w:rPr>
                <w:spacing w:val="-4"/>
                <w:sz w:val="18"/>
              </w:rPr>
              <w:t xml:space="preserve"> </w:t>
            </w:r>
            <w:r>
              <w:rPr>
                <w:sz w:val="18"/>
              </w:rPr>
              <w:t>collection</w:t>
            </w:r>
            <w:r>
              <w:rPr>
                <w:spacing w:val="-4"/>
                <w:sz w:val="18"/>
              </w:rPr>
              <w:t xml:space="preserve"> </w:t>
            </w:r>
            <w:r>
              <w:rPr>
                <w:sz w:val="18"/>
              </w:rPr>
              <w:t>No.</w:t>
            </w:r>
            <w:r>
              <w:rPr>
                <w:spacing w:val="-3"/>
                <w:sz w:val="18"/>
              </w:rPr>
              <w:t xml:space="preserve"> </w:t>
            </w:r>
            <w:r>
              <w:rPr>
                <w:sz w:val="18"/>
              </w:rPr>
              <w:t>7/HK-</w:t>
            </w:r>
            <w:r>
              <w:rPr>
                <w:spacing w:val="-2"/>
                <w:sz w:val="18"/>
              </w:rPr>
              <w:t>KB/XI/2024</w:t>
            </w:r>
          </w:p>
        </w:tc>
        <w:tc>
          <w:tcPr>
            <w:tcW w:w="1275" w:type="dxa"/>
            <w:tcBorders>
              <w:top w:val="single" w:sz="4" w:space="0" w:color="A6A6A6"/>
              <w:left w:val="single" w:sz="4" w:space="0" w:color="A6A6A6"/>
              <w:bottom w:val="single" w:sz="4" w:space="0" w:color="A6A6A6"/>
              <w:right w:val="single" w:sz="4" w:space="0" w:color="A6A6A6"/>
            </w:tcBorders>
          </w:tcPr>
          <w:p w14:paraId="0763C07F" w14:textId="77777777" w:rsidR="00BC24A8" w:rsidRDefault="00000000">
            <w:pPr>
              <w:pStyle w:val="TableParagraph"/>
              <w:spacing w:line="219" w:lineRule="exact"/>
              <w:ind w:left="106"/>
              <w:rPr>
                <w:sz w:val="18"/>
              </w:rPr>
            </w:pPr>
            <w:r>
              <w:rPr>
                <w:spacing w:val="-5"/>
                <w:sz w:val="18"/>
              </w:rPr>
              <w:t>NTT</w:t>
            </w:r>
          </w:p>
        </w:tc>
      </w:tr>
      <w:tr w:rsidR="00BC24A8" w14:paraId="234307A5" w14:textId="77777777">
        <w:trPr>
          <w:trHeight w:val="289"/>
        </w:trPr>
        <w:tc>
          <w:tcPr>
            <w:tcW w:w="490" w:type="dxa"/>
            <w:tcBorders>
              <w:top w:val="single" w:sz="4" w:space="0" w:color="A6A6A6"/>
              <w:left w:val="single" w:sz="4" w:space="0" w:color="A6A6A6"/>
              <w:bottom w:val="single" w:sz="4" w:space="0" w:color="A6A6A6"/>
              <w:right w:val="single" w:sz="4" w:space="0" w:color="A6A6A6"/>
            </w:tcBorders>
          </w:tcPr>
          <w:p w14:paraId="5E28A013" w14:textId="77777777" w:rsidR="00BC24A8" w:rsidRDefault="00000000">
            <w:pPr>
              <w:pStyle w:val="TableParagraph"/>
              <w:spacing w:before="1"/>
              <w:ind w:left="9"/>
              <w:jc w:val="center"/>
              <w:rPr>
                <w:sz w:val="18"/>
              </w:rPr>
            </w:pPr>
            <w:r>
              <w:rPr>
                <w:spacing w:val="-5"/>
                <w:sz w:val="18"/>
              </w:rPr>
              <w:t>150</w:t>
            </w:r>
          </w:p>
        </w:tc>
        <w:tc>
          <w:tcPr>
            <w:tcW w:w="7760" w:type="dxa"/>
            <w:tcBorders>
              <w:top w:val="single" w:sz="4" w:space="0" w:color="A6A6A6"/>
              <w:left w:val="single" w:sz="4" w:space="0" w:color="A6A6A6"/>
              <w:bottom w:val="single" w:sz="4" w:space="0" w:color="A6A6A6"/>
              <w:right w:val="single" w:sz="4" w:space="0" w:color="A6A6A6"/>
            </w:tcBorders>
          </w:tcPr>
          <w:p w14:paraId="5791EBB1" w14:textId="77777777" w:rsidR="00BC24A8" w:rsidRDefault="00000000">
            <w:pPr>
              <w:pStyle w:val="TableParagraph"/>
              <w:spacing w:before="1"/>
              <w:ind w:left="107"/>
              <w:rPr>
                <w:sz w:val="18"/>
              </w:rPr>
            </w:pPr>
            <w:r>
              <w:rPr>
                <w:sz w:val="18"/>
              </w:rPr>
              <w:t>Governor</w:t>
            </w:r>
            <w:r>
              <w:rPr>
                <w:spacing w:val="-5"/>
                <w:sz w:val="18"/>
              </w:rPr>
              <w:t xml:space="preserve"> </w:t>
            </w:r>
            <w:r>
              <w:rPr>
                <w:sz w:val="18"/>
              </w:rPr>
              <w:t>Decree</w:t>
            </w:r>
            <w:r>
              <w:rPr>
                <w:spacing w:val="-3"/>
                <w:sz w:val="18"/>
              </w:rPr>
              <w:t xml:space="preserve"> </w:t>
            </w:r>
            <w:r>
              <w:rPr>
                <w:sz w:val="18"/>
              </w:rPr>
              <w:t>161/KEP/HK/2024</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Secretariat</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MSS</w:t>
            </w:r>
            <w:r>
              <w:rPr>
                <w:spacing w:val="-2"/>
                <w:sz w:val="18"/>
              </w:rPr>
              <w:t xml:space="preserve"> </w:t>
            </w:r>
            <w:r>
              <w:rPr>
                <w:sz w:val="18"/>
              </w:rPr>
              <w:t>implementation</w:t>
            </w:r>
            <w:r>
              <w:rPr>
                <w:spacing w:val="-3"/>
                <w:sz w:val="18"/>
              </w:rPr>
              <w:t xml:space="preserve"> </w:t>
            </w:r>
            <w:r>
              <w:rPr>
                <w:sz w:val="18"/>
              </w:rPr>
              <w:t>team</w:t>
            </w:r>
            <w:r>
              <w:rPr>
                <w:spacing w:val="-3"/>
                <w:sz w:val="18"/>
              </w:rPr>
              <w:t xml:space="preserve"> </w:t>
            </w:r>
            <w:r>
              <w:rPr>
                <w:sz w:val="18"/>
              </w:rPr>
              <w:t>in</w:t>
            </w:r>
            <w:r>
              <w:rPr>
                <w:spacing w:val="-2"/>
                <w:sz w:val="18"/>
              </w:rPr>
              <w:t xml:space="preserve"> </w:t>
            </w:r>
            <w:r>
              <w:rPr>
                <w:spacing w:val="-4"/>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140BC9A2" w14:textId="77777777" w:rsidR="00BC24A8" w:rsidRDefault="00000000">
            <w:pPr>
              <w:pStyle w:val="TableParagraph"/>
              <w:spacing w:before="1"/>
              <w:ind w:left="106"/>
              <w:rPr>
                <w:sz w:val="18"/>
              </w:rPr>
            </w:pPr>
            <w:r>
              <w:rPr>
                <w:spacing w:val="-5"/>
                <w:sz w:val="18"/>
              </w:rPr>
              <w:t>NTT</w:t>
            </w:r>
          </w:p>
        </w:tc>
      </w:tr>
      <w:tr w:rsidR="00BC24A8" w14:paraId="32FEF04F"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5D891CD5" w14:textId="77777777" w:rsidR="00BC24A8" w:rsidRDefault="00000000">
            <w:pPr>
              <w:pStyle w:val="TableParagraph"/>
              <w:spacing w:before="1"/>
              <w:ind w:left="9"/>
              <w:jc w:val="center"/>
              <w:rPr>
                <w:sz w:val="18"/>
              </w:rPr>
            </w:pPr>
            <w:r>
              <w:rPr>
                <w:spacing w:val="-5"/>
                <w:sz w:val="18"/>
              </w:rPr>
              <w:t>151</w:t>
            </w:r>
          </w:p>
        </w:tc>
        <w:tc>
          <w:tcPr>
            <w:tcW w:w="7760" w:type="dxa"/>
            <w:tcBorders>
              <w:top w:val="single" w:sz="4" w:space="0" w:color="A6A6A6"/>
              <w:left w:val="single" w:sz="4" w:space="0" w:color="A6A6A6"/>
              <w:bottom w:val="single" w:sz="4" w:space="0" w:color="A6A6A6"/>
              <w:right w:val="single" w:sz="4" w:space="0" w:color="A6A6A6"/>
            </w:tcBorders>
          </w:tcPr>
          <w:p w14:paraId="7023F3B0" w14:textId="77777777" w:rsidR="00BC24A8" w:rsidRDefault="00000000">
            <w:pPr>
              <w:pStyle w:val="TableParagraph"/>
              <w:spacing w:before="1"/>
              <w:ind w:left="107"/>
              <w:rPr>
                <w:sz w:val="18"/>
              </w:rPr>
            </w:pPr>
            <w:r>
              <w:rPr>
                <w:sz w:val="18"/>
              </w:rPr>
              <w:t>Governor</w:t>
            </w:r>
            <w:r>
              <w:rPr>
                <w:spacing w:val="-3"/>
                <w:sz w:val="18"/>
              </w:rPr>
              <w:t xml:space="preserve"> </w:t>
            </w:r>
            <w:r>
              <w:rPr>
                <w:sz w:val="18"/>
              </w:rPr>
              <w:t>Regulation</w:t>
            </w:r>
            <w:r>
              <w:rPr>
                <w:spacing w:val="-3"/>
                <w:sz w:val="18"/>
              </w:rPr>
              <w:t xml:space="preserve"> </w:t>
            </w:r>
            <w:r>
              <w:rPr>
                <w:sz w:val="18"/>
              </w:rPr>
              <w:t>No.</w:t>
            </w:r>
            <w:r>
              <w:rPr>
                <w:spacing w:val="-3"/>
                <w:sz w:val="18"/>
              </w:rPr>
              <w:t xml:space="preserve"> </w:t>
            </w:r>
            <w:r>
              <w:rPr>
                <w:sz w:val="18"/>
              </w:rPr>
              <w:t>41/2024</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Action</w:t>
            </w:r>
            <w:r>
              <w:rPr>
                <w:spacing w:val="-3"/>
                <w:sz w:val="18"/>
              </w:rPr>
              <w:t xml:space="preserve"> </w:t>
            </w:r>
            <w:r>
              <w:rPr>
                <w:sz w:val="18"/>
              </w:rPr>
              <w:t>Plan</w:t>
            </w:r>
            <w:r>
              <w:rPr>
                <w:spacing w:val="-2"/>
                <w:sz w:val="18"/>
              </w:rPr>
              <w:t xml:space="preserve"> </w:t>
            </w:r>
            <w:r>
              <w:rPr>
                <w:sz w:val="18"/>
              </w:rPr>
              <w:t>for</w:t>
            </w:r>
            <w:r>
              <w:rPr>
                <w:spacing w:val="-3"/>
                <w:sz w:val="18"/>
              </w:rPr>
              <w:t xml:space="preserve"> </w:t>
            </w:r>
            <w:r>
              <w:rPr>
                <w:sz w:val="18"/>
              </w:rPr>
              <w:t>MSS</w:t>
            </w:r>
            <w:r>
              <w:rPr>
                <w:spacing w:val="-2"/>
                <w:sz w:val="18"/>
              </w:rPr>
              <w:t xml:space="preserve"> </w:t>
            </w:r>
            <w:r>
              <w:rPr>
                <w:sz w:val="18"/>
              </w:rPr>
              <w:t>2023-</w:t>
            </w:r>
            <w:r>
              <w:rPr>
                <w:spacing w:val="-4"/>
                <w:sz w:val="18"/>
              </w:rPr>
              <w:t>2027</w:t>
            </w:r>
          </w:p>
        </w:tc>
        <w:tc>
          <w:tcPr>
            <w:tcW w:w="1275" w:type="dxa"/>
            <w:tcBorders>
              <w:top w:val="single" w:sz="4" w:space="0" w:color="A6A6A6"/>
              <w:left w:val="single" w:sz="4" w:space="0" w:color="A6A6A6"/>
              <w:bottom w:val="single" w:sz="4" w:space="0" w:color="A6A6A6"/>
              <w:right w:val="single" w:sz="4" w:space="0" w:color="A6A6A6"/>
            </w:tcBorders>
          </w:tcPr>
          <w:p w14:paraId="2E489EC0" w14:textId="77777777" w:rsidR="00BC24A8" w:rsidRDefault="00000000">
            <w:pPr>
              <w:pStyle w:val="TableParagraph"/>
              <w:spacing w:before="1"/>
              <w:ind w:left="106"/>
              <w:rPr>
                <w:sz w:val="18"/>
              </w:rPr>
            </w:pPr>
            <w:r>
              <w:rPr>
                <w:spacing w:val="-5"/>
                <w:sz w:val="18"/>
              </w:rPr>
              <w:t>NTT</w:t>
            </w:r>
          </w:p>
        </w:tc>
      </w:tr>
      <w:tr w:rsidR="00BC24A8" w14:paraId="29BB9321" w14:textId="77777777">
        <w:trPr>
          <w:trHeight w:val="277"/>
        </w:trPr>
        <w:tc>
          <w:tcPr>
            <w:tcW w:w="490" w:type="dxa"/>
            <w:tcBorders>
              <w:top w:val="single" w:sz="4" w:space="0" w:color="A6A6A6"/>
              <w:left w:val="single" w:sz="4" w:space="0" w:color="A6A6A6"/>
              <w:bottom w:val="single" w:sz="4" w:space="0" w:color="A6A6A6"/>
              <w:right w:val="single" w:sz="4" w:space="0" w:color="A6A6A6"/>
            </w:tcBorders>
          </w:tcPr>
          <w:p w14:paraId="7955E841" w14:textId="77777777" w:rsidR="00BC24A8" w:rsidRDefault="00000000">
            <w:pPr>
              <w:pStyle w:val="TableParagraph"/>
              <w:spacing w:before="1"/>
              <w:ind w:left="9"/>
              <w:jc w:val="center"/>
              <w:rPr>
                <w:sz w:val="18"/>
              </w:rPr>
            </w:pPr>
            <w:r>
              <w:rPr>
                <w:spacing w:val="-5"/>
                <w:sz w:val="18"/>
              </w:rPr>
              <w:t>152</w:t>
            </w:r>
          </w:p>
        </w:tc>
        <w:tc>
          <w:tcPr>
            <w:tcW w:w="7760" w:type="dxa"/>
            <w:tcBorders>
              <w:top w:val="single" w:sz="4" w:space="0" w:color="A6A6A6"/>
              <w:left w:val="single" w:sz="4" w:space="0" w:color="A6A6A6"/>
              <w:bottom w:val="single" w:sz="4" w:space="0" w:color="A6A6A6"/>
              <w:right w:val="single" w:sz="4" w:space="0" w:color="A6A6A6"/>
            </w:tcBorders>
          </w:tcPr>
          <w:p w14:paraId="6FBBF27B" w14:textId="77777777" w:rsidR="00BC24A8" w:rsidRDefault="00000000">
            <w:pPr>
              <w:pStyle w:val="TableParagraph"/>
              <w:spacing w:before="1"/>
              <w:ind w:left="107"/>
              <w:rPr>
                <w:sz w:val="18"/>
              </w:rPr>
            </w:pPr>
            <w:r>
              <w:rPr>
                <w:sz w:val="18"/>
              </w:rPr>
              <w:t>RPJPD</w:t>
            </w:r>
            <w:r>
              <w:rPr>
                <w:spacing w:val="-1"/>
                <w:sz w:val="18"/>
              </w:rPr>
              <w:t xml:space="preserve"> </w:t>
            </w:r>
            <w:r>
              <w:rPr>
                <w:sz w:val="18"/>
              </w:rPr>
              <w:t>2025-2045</w:t>
            </w:r>
            <w:r>
              <w:rPr>
                <w:spacing w:val="-2"/>
                <w:sz w:val="18"/>
              </w:rPr>
              <w:t xml:space="preserve"> </w:t>
            </w:r>
            <w:r>
              <w:rPr>
                <w:sz w:val="18"/>
              </w:rPr>
              <w:t>of</w:t>
            </w:r>
            <w:r>
              <w:rPr>
                <w:spacing w:val="-3"/>
                <w:sz w:val="18"/>
              </w:rPr>
              <w:t xml:space="preserve"> </w:t>
            </w:r>
            <w:r>
              <w:rPr>
                <w:sz w:val="18"/>
              </w:rPr>
              <w:t>NTT</w:t>
            </w:r>
            <w:r>
              <w:rPr>
                <w:spacing w:val="-2"/>
                <w:sz w:val="18"/>
              </w:rPr>
              <w:t xml:space="preserve"> Province</w:t>
            </w:r>
          </w:p>
        </w:tc>
        <w:tc>
          <w:tcPr>
            <w:tcW w:w="1275" w:type="dxa"/>
            <w:tcBorders>
              <w:top w:val="single" w:sz="4" w:space="0" w:color="A6A6A6"/>
              <w:left w:val="single" w:sz="4" w:space="0" w:color="A6A6A6"/>
              <w:bottom w:val="single" w:sz="4" w:space="0" w:color="A6A6A6"/>
              <w:right w:val="single" w:sz="4" w:space="0" w:color="A6A6A6"/>
            </w:tcBorders>
          </w:tcPr>
          <w:p w14:paraId="1852560B" w14:textId="77777777" w:rsidR="00BC24A8" w:rsidRDefault="00000000">
            <w:pPr>
              <w:pStyle w:val="TableParagraph"/>
              <w:spacing w:before="1"/>
              <w:ind w:left="106"/>
              <w:rPr>
                <w:sz w:val="18"/>
              </w:rPr>
            </w:pPr>
            <w:r>
              <w:rPr>
                <w:spacing w:val="-5"/>
                <w:sz w:val="18"/>
              </w:rPr>
              <w:t>NTT</w:t>
            </w:r>
          </w:p>
        </w:tc>
      </w:tr>
      <w:tr w:rsidR="00BC24A8" w14:paraId="2F9BDC3B"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1C081622" w14:textId="77777777" w:rsidR="00BC24A8" w:rsidRDefault="00000000">
            <w:pPr>
              <w:pStyle w:val="TableParagraph"/>
              <w:spacing w:line="219" w:lineRule="exact"/>
              <w:ind w:left="9"/>
              <w:jc w:val="center"/>
              <w:rPr>
                <w:sz w:val="18"/>
              </w:rPr>
            </w:pPr>
            <w:r>
              <w:rPr>
                <w:spacing w:val="-5"/>
                <w:sz w:val="18"/>
              </w:rPr>
              <w:t>153</w:t>
            </w:r>
          </w:p>
        </w:tc>
        <w:tc>
          <w:tcPr>
            <w:tcW w:w="7760" w:type="dxa"/>
            <w:tcBorders>
              <w:top w:val="single" w:sz="4" w:space="0" w:color="A6A6A6"/>
              <w:left w:val="single" w:sz="4" w:space="0" w:color="A6A6A6"/>
              <w:bottom w:val="single" w:sz="4" w:space="0" w:color="A6A6A6"/>
              <w:right w:val="single" w:sz="4" w:space="0" w:color="A6A6A6"/>
            </w:tcBorders>
          </w:tcPr>
          <w:p w14:paraId="7D45D237"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Regulation</w:t>
            </w:r>
            <w:r>
              <w:rPr>
                <w:spacing w:val="-2"/>
                <w:sz w:val="18"/>
              </w:rPr>
              <w:t xml:space="preserve"> </w:t>
            </w:r>
            <w:r>
              <w:rPr>
                <w:sz w:val="18"/>
              </w:rPr>
              <w:t>No.</w:t>
            </w:r>
            <w:r>
              <w:rPr>
                <w:spacing w:val="-4"/>
                <w:sz w:val="18"/>
              </w:rPr>
              <w:t xml:space="preserve"> </w:t>
            </w:r>
            <w:r>
              <w:rPr>
                <w:sz w:val="18"/>
              </w:rPr>
              <w:t>61/2024</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Indigenous</w:t>
            </w:r>
            <w:r>
              <w:rPr>
                <w:spacing w:val="-3"/>
                <w:sz w:val="18"/>
              </w:rPr>
              <w:t xml:space="preserve"> </w:t>
            </w:r>
            <w:r>
              <w:rPr>
                <w:sz w:val="18"/>
              </w:rPr>
              <w:t>Papuan</w:t>
            </w:r>
            <w:r>
              <w:rPr>
                <w:spacing w:val="-2"/>
                <w:sz w:val="18"/>
              </w:rPr>
              <w:t xml:space="preserve"> </w:t>
            </w:r>
            <w:r>
              <w:rPr>
                <w:sz w:val="18"/>
              </w:rPr>
              <w:t>Information</w:t>
            </w:r>
            <w:r>
              <w:rPr>
                <w:spacing w:val="-3"/>
                <w:sz w:val="18"/>
              </w:rPr>
              <w:t xml:space="preserve"> </w:t>
            </w:r>
            <w:r>
              <w:rPr>
                <w:sz w:val="18"/>
              </w:rPr>
              <w:t>System</w:t>
            </w:r>
            <w:r>
              <w:rPr>
                <w:spacing w:val="-3"/>
                <w:sz w:val="18"/>
              </w:rPr>
              <w:t xml:space="preserve"> </w:t>
            </w:r>
            <w:r>
              <w:rPr>
                <w:sz w:val="18"/>
              </w:rPr>
              <w:t>(SIO</w:t>
            </w:r>
            <w:r>
              <w:rPr>
                <w:spacing w:val="-3"/>
                <w:sz w:val="18"/>
              </w:rPr>
              <w:t xml:space="preserve"> </w:t>
            </w:r>
            <w:r>
              <w:rPr>
                <w:spacing w:val="-2"/>
                <w:sz w:val="18"/>
              </w:rPr>
              <w:t>Papua)</w:t>
            </w:r>
          </w:p>
        </w:tc>
        <w:tc>
          <w:tcPr>
            <w:tcW w:w="1275" w:type="dxa"/>
            <w:tcBorders>
              <w:top w:val="single" w:sz="4" w:space="0" w:color="A6A6A6"/>
              <w:left w:val="single" w:sz="4" w:space="0" w:color="A6A6A6"/>
              <w:bottom w:val="single" w:sz="4" w:space="0" w:color="A6A6A6"/>
              <w:right w:val="single" w:sz="4" w:space="0" w:color="A6A6A6"/>
            </w:tcBorders>
          </w:tcPr>
          <w:p w14:paraId="7A9E8D33" w14:textId="77777777" w:rsidR="00BC24A8" w:rsidRDefault="00000000">
            <w:pPr>
              <w:pStyle w:val="TableParagraph"/>
              <w:spacing w:line="219" w:lineRule="exact"/>
              <w:ind w:left="106"/>
              <w:rPr>
                <w:sz w:val="18"/>
              </w:rPr>
            </w:pPr>
            <w:r>
              <w:rPr>
                <w:spacing w:val="-2"/>
                <w:sz w:val="18"/>
              </w:rPr>
              <w:t>Papua</w:t>
            </w:r>
          </w:p>
        </w:tc>
      </w:tr>
      <w:tr w:rsidR="00BC24A8" w14:paraId="50660E30" w14:textId="77777777">
        <w:trPr>
          <w:trHeight w:val="289"/>
        </w:trPr>
        <w:tc>
          <w:tcPr>
            <w:tcW w:w="490" w:type="dxa"/>
            <w:tcBorders>
              <w:top w:val="single" w:sz="4" w:space="0" w:color="A6A6A6"/>
              <w:left w:val="single" w:sz="4" w:space="0" w:color="A6A6A6"/>
              <w:bottom w:val="single" w:sz="4" w:space="0" w:color="A6A6A6"/>
              <w:right w:val="single" w:sz="4" w:space="0" w:color="A6A6A6"/>
            </w:tcBorders>
          </w:tcPr>
          <w:p w14:paraId="095CA345" w14:textId="77777777" w:rsidR="00BC24A8" w:rsidRDefault="00000000">
            <w:pPr>
              <w:pStyle w:val="TableParagraph"/>
              <w:spacing w:line="219" w:lineRule="exact"/>
              <w:ind w:left="9"/>
              <w:jc w:val="center"/>
              <w:rPr>
                <w:sz w:val="18"/>
              </w:rPr>
            </w:pPr>
            <w:r>
              <w:rPr>
                <w:spacing w:val="-5"/>
                <w:sz w:val="18"/>
              </w:rPr>
              <w:t>154</w:t>
            </w:r>
          </w:p>
        </w:tc>
        <w:tc>
          <w:tcPr>
            <w:tcW w:w="7760" w:type="dxa"/>
            <w:tcBorders>
              <w:top w:val="single" w:sz="4" w:space="0" w:color="A6A6A6"/>
              <w:left w:val="single" w:sz="4" w:space="0" w:color="A6A6A6"/>
              <w:bottom w:val="single" w:sz="4" w:space="0" w:color="A6A6A6"/>
              <w:right w:val="single" w:sz="4" w:space="0" w:color="A6A6A6"/>
            </w:tcBorders>
          </w:tcPr>
          <w:p w14:paraId="41F04DC1" w14:textId="77777777" w:rsidR="00BC24A8" w:rsidRDefault="00000000">
            <w:pPr>
              <w:pStyle w:val="TableParagraph"/>
              <w:spacing w:line="219" w:lineRule="exact"/>
              <w:ind w:left="107"/>
              <w:rPr>
                <w:sz w:val="18"/>
              </w:rPr>
            </w:pPr>
            <w:r>
              <w:rPr>
                <w:sz w:val="18"/>
              </w:rPr>
              <w:t>Head</w:t>
            </w:r>
            <w:r>
              <w:rPr>
                <w:spacing w:val="-3"/>
                <w:sz w:val="18"/>
              </w:rPr>
              <w:t xml:space="preserve"> </w:t>
            </w:r>
            <w:r>
              <w:rPr>
                <w:sz w:val="18"/>
              </w:rPr>
              <w:t>of</w:t>
            </w:r>
            <w:r>
              <w:rPr>
                <w:spacing w:val="-2"/>
                <w:sz w:val="18"/>
              </w:rPr>
              <w:t xml:space="preserve"> </w:t>
            </w:r>
            <w:r>
              <w:rPr>
                <w:sz w:val="18"/>
              </w:rPr>
              <w:t>DP3KAB</w:t>
            </w:r>
            <w:r>
              <w:rPr>
                <w:spacing w:val="-3"/>
                <w:sz w:val="18"/>
              </w:rPr>
              <w:t xml:space="preserve"> </w:t>
            </w:r>
            <w:r>
              <w:rPr>
                <w:sz w:val="18"/>
              </w:rPr>
              <w:t>Office</w:t>
            </w:r>
            <w:r>
              <w:rPr>
                <w:spacing w:val="-2"/>
                <w:sz w:val="18"/>
              </w:rPr>
              <w:t xml:space="preserve"> </w:t>
            </w:r>
            <w:r>
              <w:rPr>
                <w:sz w:val="18"/>
              </w:rPr>
              <w:t>Decree</w:t>
            </w:r>
            <w:r>
              <w:rPr>
                <w:spacing w:val="-2"/>
                <w:sz w:val="18"/>
              </w:rPr>
              <w:t xml:space="preserve"> </w:t>
            </w:r>
            <w:r>
              <w:rPr>
                <w:sz w:val="18"/>
              </w:rPr>
              <w:t>No.</w:t>
            </w:r>
            <w:r>
              <w:rPr>
                <w:spacing w:val="-3"/>
                <w:sz w:val="18"/>
              </w:rPr>
              <w:t xml:space="preserve"> </w:t>
            </w:r>
            <w:r>
              <w:rPr>
                <w:sz w:val="18"/>
              </w:rPr>
              <w:t>400/17/DP3KAB</w:t>
            </w:r>
            <w:r>
              <w:rPr>
                <w:spacing w:val="-3"/>
                <w:sz w:val="18"/>
              </w:rPr>
              <w:t xml:space="preserve"> </w:t>
            </w:r>
            <w:r>
              <w:rPr>
                <w:sz w:val="18"/>
              </w:rPr>
              <w:t>on</w:t>
            </w:r>
            <w:r>
              <w:rPr>
                <w:spacing w:val="-2"/>
                <w:sz w:val="18"/>
              </w:rPr>
              <w:t xml:space="preserve"> </w:t>
            </w:r>
            <w:r>
              <w:rPr>
                <w:sz w:val="18"/>
              </w:rPr>
              <w:t>the</w:t>
            </w:r>
            <w:r>
              <w:rPr>
                <w:spacing w:val="-2"/>
                <w:sz w:val="18"/>
              </w:rPr>
              <w:t xml:space="preserve"> </w:t>
            </w:r>
            <w:r>
              <w:rPr>
                <w:sz w:val="18"/>
              </w:rPr>
              <w:t>Papua</w:t>
            </w:r>
            <w:r>
              <w:rPr>
                <w:spacing w:val="-2"/>
                <w:sz w:val="18"/>
              </w:rPr>
              <w:t xml:space="preserve"> </w:t>
            </w:r>
            <w:r>
              <w:rPr>
                <w:sz w:val="18"/>
              </w:rPr>
              <w:t>PUG</w:t>
            </w:r>
            <w:r>
              <w:rPr>
                <w:spacing w:val="-2"/>
                <w:sz w:val="18"/>
              </w:rPr>
              <w:t xml:space="preserve"> </w:t>
            </w:r>
            <w:r>
              <w:rPr>
                <w:sz w:val="18"/>
              </w:rPr>
              <w:t>Team</w:t>
            </w:r>
            <w:r>
              <w:rPr>
                <w:spacing w:val="-2"/>
                <w:sz w:val="18"/>
              </w:rPr>
              <w:t xml:space="preserve"> </w:t>
            </w:r>
            <w:r>
              <w:rPr>
                <w:spacing w:val="-4"/>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3AE3CE17" w14:textId="77777777" w:rsidR="00BC24A8" w:rsidRDefault="00000000">
            <w:pPr>
              <w:pStyle w:val="TableParagraph"/>
              <w:spacing w:line="219" w:lineRule="exact"/>
              <w:ind w:left="106"/>
              <w:rPr>
                <w:sz w:val="18"/>
              </w:rPr>
            </w:pPr>
            <w:r>
              <w:rPr>
                <w:spacing w:val="-2"/>
                <w:sz w:val="18"/>
              </w:rPr>
              <w:t>Papua</w:t>
            </w:r>
          </w:p>
        </w:tc>
      </w:tr>
      <w:tr w:rsidR="00BC24A8" w14:paraId="00FD77BE"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763B2C5D" w14:textId="77777777" w:rsidR="00BC24A8" w:rsidRDefault="00000000">
            <w:pPr>
              <w:pStyle w:val="TableParagraph"/>
              <w:spacing w:line="219" w:lineRule="exact"/>
              <w:ind w:left="9"/>
              <w:jc w:val="center"/>
              <w:rPr>
                <w:sz w:val="18"/>
              </w:rPr>
            </w:pPr>
            <w:r>
              <w:rPr>
                <w:spacing w:val="-5"/>
                <w:sz w:val="18"/>
              </w:rPr>
              <w:t>155</w:t>
            </w:r>
          </w:p>
        </w:tc>
        <w:tc>
          <w:tcPr>
            <w:tcW w:w="7760" w:type="dxa"/>
            <w:tcBorders>
              <w:top w:val="single" w:sz="4" w:space="0" w:color="A6A6A6"/>
              <w:left w:val="single" w:sz="4" w:space="0" w:color="A6A6A6"/>
              <w:bottom w:val="single" w:sz="4" w:space="0" w:color="A6A6A6"/>
              <w:right w:val="single" w:sz="4" w:space="0" w:color="A6A6A6"/>
            </w:tcBorders>
          </w:tcPr>
          <w:p w14:paraId="5721DF53" w14:textId="77777777" w:rsidR="00BC24A8" w:rsidRDefault="00000000">
            <w:pPr>
              <w:pStyle w:val="TableParagraph"/>
              <w:spacing w:line="219" w:lineRule="exact"/>
              <w:ind w:left="107"/>
              <w:rPr>
                <w:sz w:val="18"/>
              </w:rPr>
            </w:pPr>
            <w:r>
              <w:rPr>
                <w:sz w:val="18"/>
              </w:rPr>
              <w:t>Papua</w:t>
            </w:r>
            <w:r>
              <w:rPr>
                <w:spacing w:val="-4"/>
                <w:sz w:val="18"/>
              </w:rPr>
              <w:t xml:space="preserve"> </w:t>
            </w:r>
            <w:r>
              <w:rPr>
                <w:sz w:val="18"/>
              </w:rPr>
              <w:t>Governor</w:t>
            </w:r>
            <w:r>
              <w:rPr>
                <w:spacing w:val="-2"/>
                <w:sz w:val="18"/>
              </w:rPr>
              <w:t xml:space="preserve"> </w:t>
            </w:r>
            <w:r>
              <w:rPr>
                <w:sz w:val="18"/>
              </w:rPr>
              <w:t>Decree</w:t>
            </w:r>
            <w:r>
              <w:rPr>
                <w:spacing w:val="-2"/>
                <w:sz w:val="18"/>
              </w:rPr>
              <w:t xml:space="preserve"> </w:t>
            </w:r>
            <w:r>
              <w:rPr>
                <w:sz w:val="18"/>
              </w:rPr>
              <w:t>No.</w:t>
            </w:r>
            <w:r>
              <w:rPr>
                <w:spacing w:val="-4"/>
                <w:sz w:val="18"/>
              </w:rPr>
              <w:t xml:space="preserve"> </w:t>
            </w:r>
            <w:r>
              <w:rPr>
                <w:sz w:val="18"/>
              </w:rPr>
              <w:t>188.4/315/2024</w:t>
            </w:r>
            <w:r>
              <w:rPr>
                <w:spacing w:val="-2"/>
                <w:sz w:val="18"/>
              </w:rPr>
              <w:t xml:space="preserve"> </w:t>
            </w:r>
            <w:r>
              <w:rPr>
                <w:sz w:val="18"/>
              </w:rPr>
              <w:t>on</w:t>
            </w:r>
            <w:r>
              <w:rPr>
                <w:spacing w:val="-2"/>
                <w:sz w:val="18"/>
              </w:rPr>
              <w:t xml:space="preserve"> </w:t>
            </w:r>
            <w:r>
              <w:rPr>
                <w:sz w:val="18"/>
              </w:rPr>
              <w:t>Changes</w:t>
            </w:r>
            <w:r>
              <w:rPr>
                <w:spacing w:val="-2"/>
                <w:sz w:val="18"/>
              </w:rPr>
              <w:t xml:space="preserve"> </w:t>
            </w:r>
            <w:r>
              <w:rPr>
                <w:sz w:val="18"/>
              </w:rPr>
              <w:t>to</w:t>
            </w:r>
            <w:r>
              <w:rPr>
                <w:spacing w:val="-4"/>
                <w:sz w:val="18"/>
              </w:rPr>
              <w:t xml:space="preserve"> </w:t>
            </w:r>
            <w:r>
              <w:rPr>
                <w:sz w:val="18"/>
              </w:rPr>
              <w:t>the</w:t>
            </w:r>
            <w:r>
              <w:rPr>
                <w:spacing w:val="-2"/>
                <w:sz w:val="18"/>
              </w:rPr>
              <w:t xml:space="preserve"> </w:t>
            </w:r>
            <w:r>
              <w:rPr>
                <w:sz w:val="18"/>
              </w:rPr>
              <w:t>Papua</w:t>
            </w:r>
            <w:r>
              <w:rPr>
                <w:spacing w:val="-3"/>
                <w:sz w:val="18"/>
              </w:rPr>
              <w:t xml:space="preserve"> </w:t>
            </w:r>
            <w:r>
              <w:rPr>
                <w:sz w:val="18"/>
              </w:rPr>
              <w:t>PUG</w:t>
            </w:r>
            <w:r>
              <w:rPr>
                <w:spacing w:val="-2"/>
                <w:sz w:val="18"/>
              </w:rPr>
              <w:t xml:space="preserve"> </w:t>
            </w:r>
            <w:r>
              <w:rPr>
                <w:spacing w:val="-4"/>
                <w:sz w:val="18"/>
              </w:rPr>
              <w:t>Team</w:t>
            </w:r>
          </w:p>
        </w:tc>
        <w:tc>
          <w:tcPr>
            <w:tcW w:w="1275" w:type="dxa"/>
            <w:tcBorders>
              <w:top w:val="single" w:sz="4" w:space="0" w:color="A6A6A6"/>
              <w:left w:val="single" w:sz="4" w:space="0" w:color="A6A6A6"/>
              <w:bottom w:val="single" w:sz="4" w:space="0" w:color="A6A6A6"/>
              <w:right w:val="single" w:sz="4" w:space="0" w:color="A6A6A6"/>
            </w:tcBorders>
          </w:tcPr>
          <w:p w14:paraId="49815096" w14:textId="77777777" w:rsidR="00BC24A8" w:rsidRDefault="00000000">
            <w:pPr>
              <w:pStyle w:val="TableParagraph"/>
              <w:spacing w:line="219" w:lineRule="exact"/>
              <w:ind w:left="106"/>
              <w:rPr>
                <w:sz w:val="18"/>
              </w:rPr>
            </w:pPr>
            <w:r>
              <w:rPr>
                <w:spacing w:val="-2"/>
                <w:sz w:val="18"/>
              </w:rPr>
              <w:t>Papua</w:t>
            </w:r>
          </w:p>
        </w:tc>
      </w:tr>
    </w:tbl>
    <w:p w14:paraId="16E7610F" w14:textId="77777777" w:rsidR="00BC24A8" w:rsidRDefault="00BC24A8">
      <w:pPr>
        <w:pStyle w:val="TableParagraph"/>
        <w:spacing w:line="219" w:lineRule="exact"/>
        <w:rPr>
          <w:sz w:val="18"/>
        </w:rPr>
        <w:sectPr w:rsidR="00BC24A8">
          <w:type w:val="continuous"/>
          <w:pgSz w:w="11910" w:h="16840"/>
          <w:pgMar w:top="1380" w:right="850" w:bottom="1916" w:left="1275" w:header="0" w:footer="907"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
        <w:gridCol w:w="7760"/>
        <w:gridCol w:w="1275"/>
      </w:tblGrid>
      <w:tr w:rsidR="00BC24A8" w14:paraId="0315E29F" w14:textId="77777777">
        <w:trPr>
          <w:trHeight w:val="407"/>
        </w:trPr>
        <w:tc>
          <w:tcPr>
            <w:tcW w:w="490" w:type="dxa"/>
            <w:tcBorders>
              <w:bottom w:val="single" w:sz="4" w:space="0" w:color="A6A6A6"/>
              <w:right w:val="single" w:sz="18" w:space="0" w:color="F1F1F1"/>
            </w:tcBorders>
            <w:shd w:val="clear" w:color="auto" w:fill="17365A"/>
          </w:tcPr>
          <w:p w14:paraId="4583364C" w14:textId="77777777" w:rsidR="00BC24A8" w:rsidRDefault="00000000">
            <w:pPr>
              <w:pStyle w:val="TableParagraph"/>
              <w:spacing w:before="83"/>
              <w:ind w:left="26"/>
              <w:jc w:val="center"/>
              <w:rPr>
                <w:rFonts w:ascii="Calibri"/>
                <w:b/>
                <w:sz w:val="20"/>
              </w:rPr>
            </w:pPr>
            <w:r>
              <w:rPr>
                <w:rFonts w:ascii="Calibri"/>
                <w:b/>
                <w:color w:val="FFFFFF"/>
                <w:spacing w:val="-5"/>
                <w:sz w:val="20"/>
              </w:rPr>
              <w:lastRenderedPageBreak/>
              <w:t>No</w:t>
            </w:r>
          </w:p>
        </w:tc>
        <w:tc>
          <w:tcPr>
            <w:tcW w:w="7760" w:type="dxa"/>
            <w:tcBorders>
              <w:left w:val="single" w:sz="18" w:space="0" w:color="F1F1F1"/>
              <w:bottom w:val="single" w:sz="4" w:space="0" w:color="A6A6A6"/>
              <w:right w:val="single" w:sz="18" w:space="0" w:color="F1F1F1"/>
            </w:tcBorders>
            <w:shd w:val="clear" w:color="auto" w:fill="17365A"/>
          </w:tcPr>
          <w:p w14:paraId="55C6C947" w14:textId="77777777" w:rsidR="00BC24A8" w:rsidRDefault="00000000">
            <w:pPr>
              <w:pStyle w:val="TableParagraph"/>
              <w:spacing w:before="83"/>
              <w:ind w:left="5"/>
              <w:jc w:val="center"/>
              <w:rPr>
                <w:rFonts w:ascii="Calibri"/>
                <w:b/>
                <w:sz w:val="20"/>
              </w:rPr>
            </w:pPr>
            <w:r>
              <w:rPr>
                <w:rFonts w:ascii="Calibri"/>
                <w:b/>
                <w:color w:val="FFFFFF"/>
                <w:sz w:val="20"/>
              </w:rPr>
              <w:t>Document</w:t>
            </w:r>
            <w:r>
              <w:rPr>
                <w:rFonts w:ascii="Calibri"/>
                <w:b/>
                <w:color w:val="FFFFFF"/>
                <w:spacing w:val="-7"/>
                <w:sz w:val="20"/>
              </w:rPr>
              <w:t xml:space="preserve"> </w:t>
            </w:r>
            <w:r>
              <w:rPr>
                <w:rFonts w:ascii="Calibri"/>
                <w:b/>
                <w:color w:val="FFFFFF"/>
                <w:spacing w:val="-2"/>
                <w:sz w:val="20"/>
              </w:rPr>
              <w:t>Title</w:t>
            </w:r>
          </w:p>
        </w:tc>
        <w:tc>
          <w:tcPr>
            <w:tcW w:w="1275" w:type="dxa"/>
            <w:tcBorders>
              <w:left w:val="single" w:sz="18" w:space="0" w:color="F1F1F1"/>
              <w:bottom w:val="single" w:sz="4" w:space="0" w:color="A6A6A6"/>
            </w:tcBorders>
            <w:shd w:val="clear" w:color="auto" w:fill="17365A"/>
          </w:tcPr>
          <w:p w14:paraId="46248BD9" w14:textId="77777777" w:rsidR="00BC24A8" w:rsidRDefault="00000000">
            <w:pPr>
              <w:pStyle w:val="TableParagraph"/>
              <w:spacing w:before="83"/>
              <w:ind w:right="8"/>
              <w:jc w:val="center"/>
              <w:rPr>
                <w:rFonts w:ascii="Calibri"/>
                <w:b/>
                <w:sz w:val="20"/>
              </w:rPr>
            </w:pPr>
            <w:r>
              <w:rPr>
                <w:rFonts w:ascii="Calibri"/>
                <w:b/>
                <w:color w:val="FFFFFF"/>
                <w:spacing w:val="-4"/>
                <w:sz w:val="20"/>
              </w:rPr>
              <w:t>Area</w:t>
            </w:r>
          </w:p>
        </w:tc>
      </w:tr>
      <w:tr w:rsidR="00BC24A8" w14:paraId="55C87AC5"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79A3989E" w14:textId="77777777" w:rsidR="00BC24A8" w:rsidRDefault="00000000">
            <w:pPr>
              <w:pStyle w:val="TableParagraph"/>
              <w:spacing w:line="219" w:lineRule="exact"/>
              <w:ind w:left="9"/>
              <w:jc w:val="center"/>
              <w:rPr>
                <w:sz w:val="18"/>
              </w:rPr>
            </w:pPr>
            <w:r>
              <w:rPr>
                <w:spacing w:val="-5"/>
                <w:sz w:val="18"/>
              </w:rPr>
              <w:t>156</w:t>
            </w:r>
          </w:p>
        </w:tc>
        <w:tc>
          <w:tcPr>
            <w:tcW w:w="7760" w:type="dxa"/>
            <w:tcBorders>
              <w:top w:val="single" w:sz="4" w:space="0" w:color="A6A6A6"/>
              <w:left w:val="single" w:sz="4" w:space="0" w:color="A6A6A6"/>
              <w:bottom w:val="single" w:sz="4" w:space="0" w:color="A6A6A6"/>
              <w:right w:val="single" w:sz="4" w:space="0" w:color="A6A6A6"/>
            </w:tcBorders>
          </w:tcPr>
          <w:p w14:paraId="1422E1B6" w14:textId="77777777" w:rsidR="00BC24A8" w:rsidRDefault="00000000">
            <w:pPr>
              <w:pStyle w:val="TableParagraph"/>
              <w:ind w:left="107" w:right="122"/>
              <w:rPr>
                <w:sz w:val="18"/>
              </w:rPr>
            </w:pPr>
            <w:r>
              <w:rPr>
                <w:sz w:val="18"/>
              </w:rPr>
              <w:t>Minutes</w:t>
            </w:r>
            <w:r>
              <w:rPr>
                <w:spacing w:val="-4"/>
                <w:sz w:val="18"/>
              </w:rPr>
              <w:t xml:space="preserve"> </w:t>
            </w:r>
            <w:r>
              <w:rPr>
                <w:sz w:val="18"/>
              </w:rPr>
              <w:t>of</w:t>
            </w:r>
            <w:r>
              <w:rPr>
                <w:spacing w:val="-5"/>
                <w:sz w:val="18"/>
              </w:rPr>
              <w:t xml:space="preserve"> </w:t>
            </w:r>
            <w:r>
              <w:rPr>
                <w:sz w:val="18"/>
              </w:rPr>
              <w:t>Joint</w:t>
            </w:r>
            <w:r>
              <w:rPr>
                <w:spacing w:val="-3"/>
                <w:sz w:val="18"/>
              </w:rPr>
              <w:t xml:space="preserve"> </w:t>
            </w:r>
            <w:r>
              <w:rPr>
                <w:sz w:val="18"/>
              </w:rPr>
              <w:t>Agreement</w:t>
            </w:r>
            <w:r>
              <w:rPr>
                <w:spacing w:val="-3"/>
                <w:sz w:val="18"/>
              </w:rPr>
              <w:t xml:space="preserve"> </w:t>
            </w:r>
            <w:r>
              <w:rPr>
                <w:sz w:val="18"/>
              </w:rPr>
              <w:t>No.</w:t>
            </w:r>
            <w:r>
              <w:rPr>
                <w:spacing w:val="-5"/>
                <w:sz w:val="18"/>
              </w:rPr>
              <w:t xml:space="preserve"> </w:t>
            </w:r>
            <w:r>
              <w:rPr>
                <w:sz w:val="18"/>
              </w:rPr>
              <w:t>400.2/406/400.22/2024</w:t>
            </w:r>
            <w:r>
              <w:rPr>
                <w:spacing w:val="-2"/>
                <w:sz w:val="18"/>
              </w:rPr>
              <w:t xml:space="preserve"> </w:t>
            </w:r>
            <w:r>
              <w:rPr>
                <w:sz w:val="18"/>
              </w:rPr>
              <w:t>on</w:t>
            </w:r>
            <w:r>
              <w:rPr>
                <w:spacing w:val="-4"/>
                <w:sz w:val="18"/>
              </w:rPr>
              <w:t xml:space="preserve"> </w:t>
            </w:r>
            <w:r>
              <w:rPr>
                <w:sz w:val="18"/>
              </w:rPr>
              <w:t>Coordination</w:t>
            </w:r>
            <w:r>
              <w:rPr>
                <w:spacing w:val="-4"/>
                <w:sz w:val="18"/>
              </w:rPr>
              <w:t xml:space="preserve"> </w:t>
            </w:r>
            <w:r>
              <w:rPr>
                <w:sz w:val="18"/>
              </w:rPr>
              <w:t>and</w:t>
            </w:r>
            <w:r>
              <w:rPr>
                <w:spacing w:val="-4"/>
                <w:sz w:val="18"/>
              </w:rPr>
              <w:t xml:space="preserve"> </w:t>
            </w:r>
            <w:r>
              <w:rPr>
                <w:sz w:val="18"/>
              </w:rPr>
              <w:t>Synchronization</w:t>
            </w:r>
            <w:r>
              <w:rPr>
                <w:spacing w:val="-4"/>
                <w:sz w:val="18"/>
              </w:rPr>
              <w:t xml:space="preserve"> </w:t>
            </w:r>
            <w:r>
              <w:rPr>
                <w:sz w:val="18"/>
              </w:rPr>
              <w:t>of</w:t>
            </w:r>
            <w:r>
              <w:rPr>
                <w:spacing w:val="-5"/>
                <w:sz w:val="18"/>
              </w:rPr>
              <w:t xml:space="preserve"> </w:t>
            </w:r>
            <w:r>
              <w:rPr>
                <w:sz w:val="18"/>
              </w:rPr>
              <w:t>PUG Papua</w:t>
            </w:r>
            <w:r>
              <w:rPr>
                <w:spacing w:val="-2"/>
                <w:sz w:val="18"/>
              </w:rPr>
              <w:t xml:space="preserve"> </w:t>
            </w:r>
            <w:r>
              <w:rPr>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1939B459" w14:textId="77777777" w:rsidR="00BC24A8" w:rsidRDefault="00000000">
            <w:pPr>
              <w:pStyle w:val="TableParagraph"/>
              <w:spacing w:line="219" w:lineRule="exact"/>
              <w:ind w:left="106"/>
              <w:rPr>
                <w:sz w:val="18"/>
              </w:rPr>
            </w:pPr>
            <w:r>
              <w:rPr>
                <w:spacing w:val="-2"/>
                <w:sz w:val="18"/>
              </w:rPr>
              <w:t>Papua</w:t>
            </w:r>
          </w:p>
        </w:tc>
      </w:tr>
      <w:tr w:rsidR="00BC24A8" w14:paraId="5135C888"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071AB980" w14:textId="77777777" w:rsidR="00BC24A8" w:rsidRDefault="00000000">
            <w:pPr>
              <w:pStyle w:val="TableParagraph"/>
              <w:spacing w:line="219" w:lineRule="exact"/>
              <w:ind w:left="9"/>
              <w:jc w:val="center"/>
              <w:rPr>
                <w:sz w:val="18"/>
              </w:rPr>
            </w:pPr>
            <w:r>
              <w:rPr>
                <w:spacing w:val="-5"/>
                <w:sz w:val="18"/>
              </w:rPr>
              <w:t>157</w:t>
            </w:r>
          </w:p>
        </w:tc>
        <w:tc>
          <w:tcPr>
            <w:tcW w:w="7760" w:type="dxa"/>
            <w:tcBorders>
              <w:top w:val="single" w:sz="4" w:space="0" w:color="A6A6A6"/>
              <w:left w:val="single" w:sz="4" w:space="0" w:color="A6A6A6"/>
              <w:bottom w:val="single" w:sz="4" w:space="0" w:color="A6A6A6"/>
              <w:right w:val="single" w:sz="4" w:space="0" w:color="A6A6A6"/>
            </w:tcBorders>
          </w:tcPr>
          <w:p w14:paraId="274B267D" w14:textId="77777777" w:rsidR="00BC24A8" w:rsidRDefault="00000000">
            <w:pPr>
              <w:pStyle w:val="TableParagraph"/>
              <w:spacing w:line="219" w:lineRule="exact"/>
              <w:ind w:left="107"/>
              <w:rPr>
                <w:sz w:val="18"/>
              </w:rPr>
            </w:pPr>
            <w:r>
              <w:rPr>
                <w:sz w:val="18"/>
              </w:rPr>
              <w:t>RPJPD</w:t>
            </w:r>
            <w:r>
              <w:rPr>
                <w:spacing w:val="-2"/>
                <w:sz w:val="18"/>
              </w:rPr>
              <w:t xml:space="preserve"> </w:t>
            </w:r>
            <w:r>
              <w:rPr>
                <w:sz w:val="18"/>
              </w:rPr>
              <w:t>2025-2045</w:t>
            </w:r>
            <w:r>
              <w:rPr>
                <w:spacing w:val="-3"/>
                <w:sz w:val="18"/>
              </w:rPr>
              <w:t xml:space="preserve"> </w:t>
            </w:r>
            <w:r>
              <w:rPr>
                <w:sz w:val="18"/>
              </w:rPr>
              <w:t>of</w:t>
            </w:r>
            <w:r>
              <w:rPr>
                <w:spacing w:val="-4"/>
                <w:sz w:val="18"/>
              </w:rPr>
              <w:t xml:space="preserve"> </w:t>
            </w:r>
            <w:r>
              <w:rPr>
                <w:sz w:val="18"/>
              </w:rPr>
              <w:t>Papua</w:t>
            </w:r>
            <w:r>
              <w:rPr>
                <w:spacing w:val="-3"/>
                <w:sz w:val="18"/>
              </w:rPr>
              <w:t xml:space="preserve"> </w:t>
            </w: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09104BBA" w14:textId="77777777" w:rsidR="00BC24A8" w:rsidRDefault="00000000">
            <w:pPr>
              <w:pStyle w:val="TableParagraph"/>
              <w:spacing w:line="219" w:lineRule="exact"/>
              <w:ind w:left="106"/>
              <w:rPr>
                <w:sz w:val="18"/>
              </w:rPr>
            </w:pPr>
            <w:r>
              <w:rPr>
                <w:spacing w:val="-2"/>
                <w:sz w:val="18"/>
              </w:rPr>
              <w:t>Papua</w:t>
            </w:r>
          </w:p>
        </w:tc>
      </w:tr>
      <w:tr w:rsidR="00BC24A8" w14:paraId="77DD08FE"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175AD875" w14:textId="77777777" w:rsidR="00BC24A8" w:rsidRDefault="00000000">
            <w:pPr>
              <w:pStyle w:val="TableParagraph"/>
              <w:spacing w:line="219" w:lineRule="exact"/>
              <w:ind w:left="9"/>
              <w:jc w:val="center"/>
              <w:rPr>
                <w:sz w:val="18"/>
              </w:rPr>
            </w:pPr>
            <w:r>
              <w:rPr>
                <w:spacing w:val="-5"/>
                <w:sz w:val="18"/>
              </w:rPr>
              <w:t>158</w:t>
            </w:r>
          </w:p>
        </w:tc>
        <w:tc>
          <w:tcPr>
            <w:tcW w:w="7760" w:type="dxa"/>
            <w:tcBorders>
              <w:top w:val="single" w:sz="4" w:space="0" w:color="A6A6A6"/>
              <w:left w:val="single" w:sz="4" w:space="0" w:color="A6A6A6"/>
              <w:bottom w:val="single" w:sz="4" w:space="0" w:color="A6A6A6"/>
              <w:right w:val="single" w:sz="4" w:space="0" w:color="A6A6A6"/>
            </w:tcBorders>
          </w:tcPr>
          <w:p w14:paraId="132ECC2F"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Decree</w:t>
            </w:r>
            <w:r>
              <w:rPr>
                <w:spacing w:val="-2"/>
                <w:sz w:val="18"/>
              </w:rPr>
              <w:t xml:space="preserve"> </w:t>
            </w:r>
            <w:r>
              <w:rPr>
                <w:sz w:val="18"/>
              </w:rPr>
              <w:t>No.</w:t>
            </w:r>
            <w:r>
              <w:rPr>
                <w:spacing w:val="-3"/>
                <w:sz w:val="18"/>
              </w:rPr>
              <w:t xml:space="preserve"> </w:t>
            </w:r>
            <w:r>
              <w:rPr>
                <w:sz w:val="18"/>
              </w:rPr>
              <w:t>271/2024</w:t>
            </w:r>
            <w:r>
              <w:rPr>
                <w:spacing w:val="-2"/>
                <w:sz w:val="18"/>
              </w:rPr>
              <w:t xml:space="preserve"> </w:t>
            </w:r>
            <w:r>
              <w:rPr>
                <w:sz w:val="18"/>
              </w:rPr>
              <w:t>on</w:t>
            </w:r>
            <w:r>
              <w:rPr>
                <w:spacing w:val="-2"/>
                <w:sz w:val="18"/>
              </w:rPr>
              <w:t xml:space="preserve"> </w:t>
            </w:r>
            <w:r>
              <w:rPr>
                <w:sz w:val="18"/>
              </w:rPr>
              <w:t>technical</w:t>
            </w:r>
            <w:r>
              <w:rPr>
                <w:spacing w:val="-1"/>
                <w:sz w:val="18"/>
              </w:rPr>
              <w:t xml:space="preserve"> </w:t>
            </w:r>
            <w:r>
              <w:rPr>
                <w:sz w:val="18"/>
              </w:rPr>
              <w:t>guidelines</w:t>
            </w:r>
            <w:r>
              <w:rPr>
                <w:spacing w:val="-3"/>
                <w:sz w:val="18"/>
              </w:rPr>
              <w:t xml:space="preserve"> </w:t>
            </w:r>
            <w:r>
              <w:rPr>
                <w:sz w:val="18"/>
              </w:rPr>
              <w:t>for</w:t>
            </w:r>
            <w:r>
              <w:rPr>
                <w:spacing w:val="-2"/>
                <w:sz w:val="18"/>
              </w:rPr>
              <w:t xml:space="preserve"> </w:t>
            </w:r>
            <w:r>
              <w:rPr>
                <w:sz w:val="18"/>
              </w:rPr>
              <w:t>the</w:t>
            </w:r>
            <w:r>
              <w:rPr>
                <w:spacing w:val="-5"/>
                <w:sz w:val="18"/>
              </w:rPr>
              <w:t xml:space="preserve"> </w:t>
            </w:r>
            <w:r>
              <w:rPr>
                <w:sz w:val="18"/>
              </w:rPr>
              <w:t>implementation</w:t>
            </w:r>
            <w:r>
              <w:rPr>
                <w:spacing w:val="-2"/>
                <w:sz w:val="18"/>
              </w:rPr>
              <w:t xml:space="preserve"> </w:t>
            </w:r>
            <w:r>
              <w:rPr>
                <w:sz w:val="18"/>
              </w:rPr>
              <w:t>of</w:t>
            </w:r>
            <w:r>
              <w:rPr>
                <w:spacing w:val="-3"/>
                <w:sz w:val="18"/>
              </w:rPr>
              <w:t xml:space="preserve"> </w:t>
            </w:r>
            <w:r>
              <w:rPr>
                <w:sz w:val="18"/>
              </w:rPr>
              <w:t>One</w:t>
            </w:r>
            <w:r>
              <w:rPr>
                <w:spacing w:val="-2"/>
                <w:sz w:val="18"/>
              </w:rPr>
              <w:t xml:space="preserve"> </w:t>
            </w:r>
            <w:r>
              <w:rPr>
                <w:sz w:val="18"/>
              </w:rPr>
              <w:t>Data</w:t>
            </w:r>
            <w:r>
              <w:rPr>
                <w:spacing w:val="-3"/>
                <w:sz w:val="18"/>
              </w:rPr>
              <w:t xml:space="preserve"> </w:t>
            </w:r>
            <w:r>
              <w:rPr>
                <w:sz w:val="18"/>
              </w:rPr>
              <w:t>Indonesia</w:t>
            </w:r>
            <w:r>
              <w:rPr>
                <w:spacing w:val="-3"/>
                <w:sz w:val="18"/>
              </w:rPr>
              <w:t xml:space="preserve"> </w:t>
            </w:r>
            <w:r>
              <w:rPr>
                <w:spacing w:val="-5"/>
                <w:sz w:val="18"/>
              </w:rPr>
              <w:t>at</w:t>
            </w:r>
          </w:p>
          <w:p w14:paraId="055BEC16" w14:textId="77777777" w:rsidR="00BC24A8" w:rsidRDefault="00000000">
            <w:pPr>
              <w:pStyle w:val="TableParagraph"/>
              <w:spacing w:before="1" w:line="199" w:lineRule="exact"/>
              <w:ind w:left="107"/>
              <w:rPr>
                <w:sz w:val="18"/>
              </w:rPr>
            </w:pPr>
            <w:r>
              <w:rPr>
                <w:sz w:val="18"/>
              </w:rPr>
              <w:t>the</w:t>
            </w:r>
            <w:r>
              <w:rPr>
                <w:spacing w:val="-5"/>
                <w:sz w:val="18"/>
              </w:rPr>
              <w:t xml:space="preserve"> </w:t>
            </w:r>
            <w:r>
              <w:rPr>
                <w:sz w:val="18"/>
              </w:rPr>
              <w:t>West</w:t>
            </w:r>
            <w:r>
              <w:rPr>
                <w:spacing w:val="-1"/>
                <w:sz w:val="18"/>
              </w:rPr>
              <w:t xml:space="preserve"> </w:t>
            </w:r>
            <w:r>
              <w:rPr>
                <w:sz w:val="18"/>
              </w:rPr>
              <w:t>Papua</w:t>
            </w:r>
            <w:r>
              <w:rPr>
                <w:spacing w:val="-2"/>
                <w:sz w:val="18"/>
              </w:rPr>
              <w:t xml:space="preserve"> </w:t>
            </w:r>
            <w:r>
              <w:rPr>
                <w:sz w:val="18"/>
              </w:rPr>
              <w:t>Province</w:t>
            </w:r>
            <w:r>
              <w:rPr>
                <w:spacing w:val="-2"/>
                <w:sz w:val="18"/>
              </w:rPr>
              <w:t xml:space="preserve"> </w:t>
            </w:r>
            <w:r>
              <w:rPr>
                <w:spacing w:val="-4"/>
                <w:sz w:val="18"/>
              </w:rPr>
              <w:t>level</w:t>
            </w:r>
          </w:p>
        </w:tc>
        <w:tc>
          <w:tcPr>
            <w:tcW w:w="1275" w:type="dxa"/>
            <w:tcBorders>
              <w:top w:val="single" w:sz="4" w:space="0" w:color="A6A6A6"/>
              <w:left w:val="single" w:sz="4" w:space="0" w:color="A6A6A6"/>
              <w:bottom w:val="single" w:sz="4" w:space="0" w:color="A6A6A6"/>
              <w:right w:val="single" w:sz="4" w:space="0" w:color="A6A6A6"/>
            </w:tcBorders>
          </w:tcPr>
          <w:p w14:paraId="327CC6A2" w14:textId="77777777" w:rsidR="00BC24A8" w:rsidRDefault="00000000">
            <w:pPr>
              <w:pStyle w:val="TableParagraph"/>
              <w:spacing w:line="219" w:lineRule="exact"/>
              <w:ind w:left="106"/>
              <w:rPr>
                <w:sz w:val="18"/>
              </w:rPr>
            </w:pPr>
            <w:r>
              <w:rPr>
                <w:sz w:val="18"/>
              </w:rPr>
              <w:t>Papua</w:t>
            </w:r>
            <w:r>
              <w:rPr>
                <w:spacing w:val="-5"/>
                <w:sz w:val="18"/>
              </w:rPr>
              <w:t xml:space="preserve"> </w:t>
            </w:r>
            <w:r>
              <w:rPr>
                <w:spacing w:val="-2"/>
                <w:sz w:val="18"/>
              </w:rPr>
              <w:t>Barat</w:t>
            </w:r>
          </w:p>
        </w:tc>
      </w:tr>
      <w:tr w:rsidR="00BC24A8" w14:paraId="182647D0"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75AEF7CC" w14:textId="77777777" w:rsidR="00BC24A8" w:rsidRDefault="00000000">
            <w:pPr>
              <w:pStyle w:val="TableParagraph"/>
              <w:spacing w:before="1"/>
              <w:ind w:left="9"/>
              <w:jc w:val="center"/>
              <w:rPr>
                <w:sz w:val="18"/>
              </w:rPr>
            </w:pPr>
            <w:r>
              <w:rPr>
                <w:spacing w:val="-5"/>
                <w:sz w:val="18"/>
              </w:rPr>
              <w:t>159</w:t>
            </w:r>
          </w:p>
        </w:tc>
        <w:tc>
          <w:tcPr>
            <w:tcW w:w="7760" w:type="dxa"/>
            <w:tcBorders>
              <w:top w:val="single" w:sz="4" w:space="0" w:color="A6A6A6"/>
              <w:left w:val="single" w:sz="4" w:space="0" w:color="A6A6A6"/>
              <w:bottom w:val="single" w:sz="4" w:space="0" w:color="A6A6A6"/>
              <w:right w:val="single" w:sz="4" w:space="0" w:color="A6A6A6"/>
            </w:tcBorders>
          </w:tcPr>
          <w:p w14:paraId="5465534E" w14:textId="77777777" w:rsidR="00BC24A8" w:rsidRDefault="00000000">
            <w:pPr>
              <w:pStyle w:val="TableParagraph"/>
              <w:spacing w:before="1"/>
              <w:ind w:left="107"/>
              <w:rPr>
                <w:sz w:val="18"/>
              </w:rPr>
            </w:pPr>
            <w:r>
              <w:rPr>
                <w:sz w:val="18"/>
              </w:rPr>
              <w:t>Governor</w:t>
            </w:r>
            <w:r>
              <w:rPr>
                <w:spacing w:val="-4"/>
                <w:sz w:val="18"/>
              </w:rPr>
              <w:t xml:space="preserve"> </w:t>
            </w:r>
            <w:r>
              <w:rPr>
                <w:sz w:val="18"/>
              </w:rPr>
              <w:t>Decree</w:t>
            </w:r>
            <w:r>
              <w:rPr>
                <w:spacing w:val="-2"/>
                <w:sz w:val="18"/>
              </w:rPr>
              <w:t xml:space="preserve"> </w:t>
            </w:r>
            <w:r>
              <w:rPr>
                <w:sz w:val="18"/>
              </w:rPr>
              <w:t>No.</w:t>
            </w:r>
            <w:r>
              <w:rPr>
                <w:spacing w:val="-3"/>
                <w:sz w:val="18"/>
              </w:rPr>
              <w:t xml:space="preserve"> </w:t>
            </w:r>
            <w:r>
              <w:rPr>
                <w:sz w:val="18"/>
              </w:rPr>
              <w:t>270/2024</w:t>
            </w:r>
            <w:r>
              <w:rPr>
                <w:spacing w:val="-1"/>
                <w:sz w:val="18"/>
              </w:rPr>
              <w:t xml:space="preserve"> </w:t>
            </w:r>
            <w:r>
              <w:rPr>
                <w:sz w:val="18"/>
              </w:rPr>
              <w:t>on</w:t>
            </w:r>
            <w:r>
              <w:rPr>
                <w:spacing w:val="-2"/>
                <w:sz w:val="18"/>
              </w:rPr>
              <w:t xml:space="preserve"> </w:t>
            </w:r>
            <w:r>
              <w:rPr>
                <w:sz w:val="18"/>
              </w:rPr>
              <w:t>One</w:t>
            </w:r>
            <w:r>
              <w:rPr>
                <w:spacing w:val="-2"/>
                <w:sz w:val="18"/>
              </w:rPr>
              <w:t xml:space="preserve"> </w:t>
            </w:r>
            <w:r>
              <w:rPr>
                <w:sz w:val="18"/>
              </w:rPr>
              <w:t>Data</w:t>
            </w:r>
            <w:r>
              <w:rPr>
                <w:spacing w:val="-3"/>
                <w:sz w:val="18"/>
              </w:rPr>
              <w:t xml:space="preserve"> </w:t>
            </w:r>
            <w:r>
              <w:rPr>
                <w:sz w:val="18"/>
              </w:rPr>
              <w:t>Forum</w:t>
            </w:r>
            <w:r>
              <w:rPr>
                <w:spacing w:val="-2"/>
                <w:sz w:val="18"/>
              </w:rPr>
              <w:t xml:space="preserve"> </w:t>
            </w:r>
            <w:r>
              <w:rPr>
                <w:sz w:val="18"/>
              </w:rPr>
              <w:t>at</w:t>
            </w:r>
            <w:r>
              <w:rPr>
                <w:spacing w:val="-1"/>
                <w:sz w:val="18"/>
              </w:rPr>
              <w:t xml:space="preserve"> </w:t>
            </w:r>
            <w:r>
              <w:rPr>
                <w:sz w:val="18"/>
              </w:rPr>
              <w:t>West</w:t>
            </w:r>
            <w:r>
              <w:rPr>
                <w:spacing w:val="-1"/>
                <w:sz w:val="18"/>
              </w:rPr>
              <w:t xml:space="preserve"> </w:t>
            </w:r>
            <w:r>
              <w:rPr>
                <w:sz w:val="18"/>
              </w:rPr>
              <w:t>Papua</w:t>
            </w:r>
            <w:r>
              <w:rPr>
                <w:spacing w:val="-3"/>
                <w:sz w:val="18"/>
              </w:rPr>
              <w:t xml:space="preserve"> </w:t>
            </w:r>
            <w:r>
              <w:rPr>
                <w:sz w:val="18"/>
              </w:rPr>
              <w:t>Province</w:t>
            </w:r>
            <w:r>
              <w:rPr>
                <w:spacing w:val="-1"/>
                <w:sz w:val="18"/>
              </w:rPr>
              <w:t xml:space="preserve"> </w:t>
            </w:r>
            <w:r>
              <w:rPr>
                <w:spacing w:val="-2"/>
                <w:sz w:val="18"/>
              </w:rPr>
              <w:t>level</w:t>
            </w:r>
          </w:p>
        </w:tc>
        <w:tc>
          <w:tcPr>
            <w:tcW w:w="1275" w:type="dxa"/>
            <w:tcBorders>
              <w:top w:val="single" w:sz="4" w:space="0" w:color="A6A6A6"/>
              <w:left w:val="single" w:sz="4" w:space="0" w:color="A6A6A6"/>
              <w:bottom w:val="single" w:sz="4" w:space="0" w:color="A6A6A6"/>
              <w:right w:val="single" w:sz="4" w:space="0" w:color="A6A6A6"/>
            </w:tcBorders>
          </w:tcPr>
          <w:p w14:paraId="4E39BD76" w14:textId="77777777" w:rsidR="00BC24A8" w:rsidRDefault="00000000">
            <w:pPr>
              <w:pStyle w:val="TableParagraph"/>
              <w:spacing w:before="1"/>
              <w:ind w:left="106"/>
              <w:rPr>
                <w:sz w:val="18"/>
              </w:rPr>
            </w:pPr>
            <w:r>
              <w:rPr>
                <w:sz w:val="18"/>
              </w:rPr>
              <w:t>Papua</w:t>
            </w:r>
            <w:r>
              <w:rPr>
                <w:spacing w:val="-5"/>
                <w:sz w:val="18"/>
              </w:rPr>
              <w:t xml:space="preserve"> </w:t>
            </w:r>
            <w:r>
              <w:rPr>
                <w:spacing w:val="-2"/>
                <w:sz w:val="18"/>
              </w:rPr>
              <w:t>Barat</w:t>
            </w:r>
          </w:p>
        </w:tc>
      </w:tr>
      <w:tr w:rsidR="00BC24A8" w14:paraId="61FAE452"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0F9DB847" w14:textId="77777777" w:rsidR="00BC24A8" w:rsidRDefault="00000000">
            <w:pPr>
              <w:pStyle w:val="TableParagraph"/>
              <w:spacing w:before="1"/>
              <w:ind w:left="9"/>
              <w:jc w:val="center"/>
              <w:rPr>
                <w:sz w:val="18"/>
              </w:rPr>
            </w:pPr>
            <w:r>
              <w:rPr>
                <w:spacing w:val="-5"/>
                <w:sz w:val="18"/>
              </w:rPr>
              <w:t>160</w:t>
            </w:r>
          </w:p>
        </w:tc>
        <w:tc>
          <w:tcPr>
            <w:tcW w:w="7760" w:type="dxa"/>
            <w:tcBorders>
              <w:top w:val="single" w:sz="4" w:space="0" w:color="A6A6A6"/>
              <w:left w:val="single" w:sz="4" w:space="0" w:color="A6A6A6"/>
              <w:bottom w:val="single" w:sz="4" w:space="0" w:color="A6A6A6"/>
              <w:right w:val="single" w:sz="4" w:space="0" w:color="A6A6A6"/>
            </w:tcBorders>
          </w:tcPr>
          <w:p w14:paraId="30B33ABC" w14:textId="77777777" w:rsidR="00BC24A8" w:rsidRDefault="00000000">
            <w:pPr>
              <w:pStyle w:val="TableParagraph"/>
              <w:spacing w:before="1"/>
              <w:ind w:left="107" w:right="122"/>
              <w:rPr>
                <w:sz w:val="18"/>
              </w:rPr>
            </w:pPr>
            <w:r>
              <w:rPr>
                <w:sz w:val="18"/>
              </w:rPr>
              <w:t>ISO:27001</w:t>
            </w:r>
            <w:r>
              <w:rPr>
                <w:spacing w:val="-3"/>
                <w:sz w:val="18"/>
              </w:rPr>
              <w:t xml:space="preserve"> </w:t>
            </w:r>
            <w:r>
              <w:rPr>
                <w:sz w:val="18"/>
              </w:rPr>
              <w:t>certificate</w:t>
            </w:r>
            <w:r>
              <w:rPr>
                <w:spacing w:val="-3"/>
                <w:sz w:val="18"/>
              </w:rPr>
              <w:t xml:space="preserve"> </w:t>
            </w:r>
            <w:r>
              <w:rPr>
                <w:sz w:val="18"/>
              </w:rPr>
              <w:t>related</w:t>
            </w:r>
            <w:r>
              <w:rPr>
                <w:spacing w:val="-3"/>
                <w:sz w:val="18"/>
              </w:rPr>
              <w:t xml:space="preserve"> </w:t>
            </w:r>
            <w:r>
              <w:rPr>
                <w:sz w:val="18"/>
              </w:rPr>
              <w:t>to</w:t>
            </w:r>
            <w:r>
              <w:rPr>
                <w:spacing w:val="-4"/>
                <w:sz w:val="18"/>
              </w:rPr>
              <w:t xml:space="preserve"> </w:t>
            </w:r>
            <w:r>
              <w:rPr>
                <w:sz w:val="18"/>
              </w:rPr>
              <w:t>Information</w:t>
            </w:r>
            <w:r>
              <w:rPr>
                <w:spacing w:val="-3"/>
                <w:sz w:val="18"/>
              </w:rPr>
              <w:t xml:space="preserve"> </w:t>
            </w:r>
            <w:r>
              <w:rPr>
                <w:sz w:val="18"/>
              </w:rPr>
              <w:t>security,</w:t>
            </w:r>
            <w:r>
              <w:rPr>
                <w:spacing w:val="-4"/>
                <w:sz w:val="18"/>
              </w:rPr>
              <w:t xml:space="preserve"> </w:t>
            </w:r>
            <w:r>
              <w:rPr>
                <w:sz w:val="18"/>
              </w:rPr>
              <w:t>cybersecurity</w:t>
            </w:r>
            <w:r>
              <w:rPr>
                <w:spacing w:val="-4"/>
                <w:sz w:val="18"/>
              </w:rPr>
              <w:t xml:space="preserve"> </w:t>
            </w:r>
            <w:r>
              <w:rPr>
                <w:sz w:val="18"/>
              </w:rPr>
              <w:t>and</w:t>
            </w:r>
            <w:r>
              <w:rPr>
                <w:spacing w:val="-3"/>
                <w:sz w:val="18"/>
              </w:rPr>
              <w:t xml:space="preserve"> </w:t>
            </w:r>
            <w:r>
              <w:rPr>
                <w:sz w:val="18"/>
              </w:rPr>
              <w:t>privacy</w:t>
            </w:r>
            <w:r>
              <w:rPr>
                <w:spacing w:val="-3"/>
                <w:sz w:val="18"/>
              </w:rPr>
              <w:t xml:space="preserve"> </w:t>
            </w:r>
            <w:r>
              <w:rPr>
                <w:sz w:val="18"/>
              </w:rPr>
              <w:t>protection</w:t>
            </w:r>
            <w:r>
              <w:rPr>
                <w:spacing w:val="-4"/>
                <w:sz w:val="18"/>
              </w:rPr>
              <w:t xml:space="preserve"> </w:t>
            </w:r>
            <w:r>
              <w:rPr>
                <w:sz w:val="18"/>
              </w:rPr>
              <w:t>-</w:t>
            </w:r>
            <w:r>
              <w:rPr>
                <w:spacing w:val="-3"/>
                <w:sz w:val="18"/>
              </w:rPr>
              <w:t xml:space="preserve"> </w:t>
            </w:r>
            <w:r>
              <w:rPr>
                <w:sz w:val="18"/>
              </w:rPr>
              <w:t>Information security management systems</w:t>
            </w:r>
          </w:p>
        </w:tc>
        <w:tc>
          <w:tcPr>
            <w:tcW w:w="1275" w:type="dxa"/>
            <w:tcBorders>
              <w:top w:val="single" w:sz="4" w:space="0" w:color="A6A6A6"/>
              <w:left w:val="single" w:sz="4" w:space="0" w:color="A6A6A6"/>
              <w:bottom w:val="single" w:sz="4" w:space="0" w:color="A6A6A6"/>
              <w:right w:val="single" w:sz="4" w:space="0" w:color="A6A6A6"/>
            </w:tcBorders>
          </w:tcPr>
          <w:p w14:paraId="66E107F3" w14:textId="77777777" w:rsidR="00BC24A8" w:rsidRDefault="00000000">
            <w:pPr>
              <w:pStyle w:val="TableParagraph"/>
              <w:spacing w:before="1"/>
              <w:ind w:left="106"/>
              <w:rPr>
                <w:sz w:val="18"/>
              </w:rPr>
            </w:pPr>
            <w:r>
              <w:rPr>
                <w:sz w:val="18"/>
              </w:rPr>
              <w:t>Papua</w:t>
            </w:r>
            <w:r>
              <w:rPr>
                <w:spacing w:val="-5"/>
                <w:sz w:val="18"/>
              </w:rPr>
              <w:t xml:space="preserve"> </w:t>
            </w:r>
            <w:r>
              <w:rPr>
                <w:spacing w:val="-2"/>
                <w:sz w:val="18"/>
              </w:rPr>
              <w:t>Barat</w:t>
            </w:r>
          </w:p>
        </w:tc>
      </w:tr>
      <w:tr w:rsidR="00BC24A8" w14:paraId="1DFA8DB1"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7115FEF8" w14:textId="77777777" w:rsidR="00BC24A8" w:rsidRDefault="00000000">
            <w:pPr>
              <w:pStyle w:val="TableParagraph"/>
              <w:spacing w:before="1"/>
              <w:ind w:left="9"/>
              <w:jc w:val="center"/>
              <w:rPr>
                <w:sz w:val="18"/>
              </w:rPr>
            </w:pPr>
            <w:r>
              <w:rPr>
                <w:spacing w:val="-5"/>
                <w:sz w:val="18"/>
              </w:rPr>
              <w:t>161</w:t>
            </w:r>
          </w:p>
        </w:tc>
        <w:tc>
          <w:tcPr>
            <w:tcW w:w="7760" w:type="dxa"/>
            <w:tcBorders>
              <w:top w:val="single" w:sz="4" w:space="0" w:color="A6A6A6"/>
              <w:left w:val="single" w:sz="4" w:space="0" w:color="A6A6A6"/>
              <w:bottom w:val="single" w:sz="4" w:space="0" w:color="A6A6A6"/>
              <w:right w:val="single" w:sz="4" w:space="0" w:color="A6A6A6"/>
            </w:tcBorders>
          </w:tcPr>
          <w:p w14:paraId="73E3607C" w14:textId="77777777" w:rsidR="00BC24A8" w:rsidRDefault="00000000">
            <w:pPr>
              <w:pStyle w:val="TableParagraph"/>
              <w:spacing w:before="1"/>
              <w:ind w:left="107"/>
              <w:rPr>
                <w:sz w:val="18"/>
              </w:rPr>
            </w:pPr>
            <w:r>
              <w:rPr>
                <w:sz w:val="18"/>
              </w:rPr>
              <w:t>RPJPD</w:t>
            </w:r>
            <w:r>
              <w:rPr>
                <w:spacing w:val="-3"/>
                <w:sz w:val="18"/>
              </w:rPr>
              <w:t xml:space="preserve"> </w:t>
            </w:r>
            <w:r>
              <w:rPr>
                <w:sz w:val="18"/>
              </w:rPr>
              <w:t>2025-2045</w:t>
            </w:r>
            <w:r>
              <w:rPr>
                <w:spacing w:val="-3"/>
                <w:sz w:val="18"/>
              </w:rPr>
              <w:t xml:space="preserve"> </w:t>
            </w:r>
            <w:r>
              <w:rPr>
                <w:sz w:val="18"/>
              </w:rPr>
              <w:t>West</w:t>
            </w:r>
            <w:r>
              <w:rPr>
                <w:spacing w:val="-2"/>
                <w:sz w:val="18"/>
              </w:rPr>
              <w:t xml:space="preserve"> </w:t>
            </w:r>
            <w:r>
              <w:rPr>
                <w:sz w:val="18"/>
              </w:rPr>
              <w:t>Papua</w:t>
            </w:r>
            <w:r>
              <w:rPr>
                <w:spacing w:val="-3"/>
                <w:sz w:val="18"/>
              </w:rPr>
              <w:t xml:space="preserve"> </w:t>
            </w: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74F96091" w14:textId="77777777" w:rsidR="00BC24A8" w:rsidRDefault="00000000">
            <w:pPr>
              <w:pStyle w:val="TableParagraph"/>
              <w:spacing w:before="1"/>
              <w:ind w:left="106"/>
              <w:rPr>
                <w:sz w:val="18"/>
              </w:rPr>
            </w:pPr>
            <w:r>
              <w:rPr>
                <w:sz w:val="18"/>
              </w:rPr>
              <w:t>Papua</w:t>
            </w:r>
            <w:r>
              <w:rPr>
                <w:spacing w:val="-5"/>
                <w:sz w:val="18"/>
              </w:rPr>
              <w:t xml:space="preserve"> </w:t>
            </w:r>
            <w:r>
              <w:rPr>
                <w:spacing w:val="-2"/>
                <w:sz w:val="18"/>
              </w:rPr>
              <w:t>Barat</w:t>
            </w:r>
          </w:p>
        </w:tc>
      </w:tr>
      <w:tr w:rsidR="00BC24A8" w14:paraId="479586A6"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301A923F" w14:textId="77777777" w:rsidR="00BC24A8" w:rsidRDefault="00000000">
            <w:pPr>
              <w:pStyle w:val="TableParagraph"/>
              <w:spacing w:before="131"/>
              <w:ind w:left="9"/>
              <w:jc w:val="center"/>
              <w:rPr>
                <w:sz w:val="18"/>
              </w:rPr>
            </w:pPr>
            <w:r>
              <w:rPr>
                <w:spacing w:val="-5"/>
                <w:sz w:val="18"/>
              </w:rPr>
              <w:t>162</w:t>
            </w:r>
          </w:p>
        </w:tc>
        <w:tc>
          <w:tcPr>
            <w:tcW w:w="7760" w:type="dxa"/>
            <w:tcBorders>
              <w:top w:val="single" w:sz="4" w:space="0" w:color="A6A6A6"/>
              <w:left w:val="single" w:sz="4" w:space="0" w:color="A6A6A6"/>
              <w:bottom w:val="single" w:sz="4" w:space="0" w:color="A6A6A6"/>
              <w:right w:val="single" w:sz="4" w:space="0" w:color="A6A6A6"/>
            </w:tcBorders>
          </w:tcPr>
          <w:p w14:paraId="066957A7" w14:textId="77777777" w:rsidR="00BC24A8" w:rsidRDefault="00000000">
            <w:pPr>
              <w:pStyle w:val="TableParagraph"/>
              <w:spacing w:before="1"/>
              <w:ind w:left="107" w:right="122"/>
              <w:rPr>
                <w:sz w:val="18"/>
              </w:rPr>
            </w:pPr>
            <w:r>
              <w:rPr>
                <w:sz w:val="18"/>
              </w:rPr>
              <w:t>West</w:t>
            </w:r>
            <w:r>
              <w:rPr>
                <w:spacing w:val="-2"/>
                <w:sz w:val="18"/>
              </w:rPr>
              <w:t xml:space="preserve"> </w:t>
            </w:r>
            <w:r>
              <w:rPr>
                <w:sz w:val="18"/>
              </w:rPr>
              <w:t>Papua</w:t>
            </w:r>
            <w:r>
              <w:rPr>
                <w:spacing w:val="-4"/>
                <w:sz w:val="18"/>
              </w:rPr>
              <w:t xml:space="preserve"> </w:t>
            </w: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39/2024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West</w:t>
            </w:r>
            <w:r>
              <w:rPr>
                <w:spacing w:val="-2"/>
                <w:sz w:val="18"/>
              </w:rPr>
              <w:t xml:space="preserve"> </w:t>
            </w:r>
            <w:r>
              <w:rPr>
                <w:sz w:val="18"/>
              </w:rPr>
              <w:t>Papua</w:t>
            </w:r>
            <w:r>
              <w:rPr>
                <w:spacing w:val="-4"/>
                <w:sz w:val="18"/>
              </w:rPr>
              <w:t xml:space="preserve"> </w:t>
            </w:r>
            <w:r>
              <w:rPr>
                <w:sz w:val="18"/>
              </w:rPr>
              <w:t>Province</w:t>
            </w:r>
            <w:r>
              <w:rPr>
                <w:spacing w:val="-3"/>
                <w:sz w:val="18"/>
              </w:rPr>
              <w:t xml:space="preserve"> </w:t>
            </w:r>
            <w:r>
              <w:rPr>
                <w:sz w:val="18"/>
              </w:rPr>
              <w:t>MSS</w:t>
            </w:r>
            <w:r>
              <w:rPr>
                <w:spacing w:val="-3"/>
                <w:sz w:val="18"/>
              </w:rPr>
              <w:t xml:space="preserve"> </w:t>
            </w:r>
            <w:r>
              <w:rPr>
                <w:sz w:val="18"/>
              </w:rPr>
              <w:t>Implementation</w:t>
            </w:r>
            <w:r>
              <w:rPr>
                <w:spacing w:val="-3"/>
                <w:sz w:val="18"/>
              </w:rPr>
              <w:t xml:space="preserve"> </w:t>
            </w:r>
            <w:r>
              <w:rPr>
                <w:sz w:val="18"/>
              </w:rPr>
              <w:t>team</w:t>
            </w:r>
            <w:r>
              <w:rPr>
                <w:spacing w:val="-4"/>
                <w:sz w:val="18"/>
              </w:rPr>
              <w:t xml:space="preserve"> </w:t>
            </w:r>
            <w:r>
              <w:rPr>
                <w:sz w:val="18"/>
              </w:rPr>
              <w:t xml:space="preserve">in </w:t>
            </w:r>
            <w:r>
              <w:rPr>
                <w:spacing w:val="-4"/>
                <w:sz w:val="18"/>
              </w:rPr>
              <w:t>2024</w:t>
            </w:r>
          </w:p>
        </w:tc>
        <w:tc>
          <w:tcPr>
            <w:tcW w:w="1275" w:type="dxa"/>
            <w:tcBorders>
              <w:top w:val="single" w:sz="4" w:space="0" w:color="A6A6A6"/>
              <w:left w:val="single" w:sz="4" w:space="0" w:color="A6A6A6"/>
              <w:bottom w:val="single" w:sz="4" w:space="0" w:color="A6A6A6"/>
              <w:right w:val="single" w:sz="4" w:space="0" w:color="A6A6A6"/>
            </w:tcBorders>
          </w:tcPr>
          <w:p w14:paraId="12545034" w14:textId="77777777" w:rsidR="00BC24A8" w:rsidRDefault="00000000">
            <w:pPr>
              <w:pStyle w:val="TableParagraph"/>
              <w:spacing w:before="1"/>
              <w:ind w:left="106"/>
              <w:rPr>
                <w:sz w:val="18"/>
              </w:rPr>
            </w:pPr>
            <w:r>
              <w:rPr>
                <w:sz w:val="18"/>
              </w:rPr>
              <w:t>Papua</w:t>
            </w:r>
            <w:r>
              <w:rPr>
                <w:spacing w:val="-5"/>
                <w:sz w:val="18"/>
              </w:rPr>
              <w:t xml:space="preserve"> </w:t>
            </w:r>
            <w:r>
              <w:rPr>
                <w:spacing w:val="-2"/>
                <w:sz w:val="18"/>
              </w:rPr>
              <w:t>Barat</w:t>
            </w:r>
          </w:p>
        </w:tc>
      </w:tr>
      <w:tr w:rsidR="00BC24A8" w14:paraId="5DBEB46F" w14:textId="77777777">
        <w:trPr>
          <w:trHeight w:val="441"/>
        </w:trPr>
        <w:tc>
          <w:tcPr>
            <w:tcW w:w="490" w:type="dxa"/>
            <w:tcBorders>
              <w:top w:val="single" w:sz="4" w:space="0" w:color="A6A6A6"/>
              <w:left w:val="single" w:sz="4" w:space="0" w:color="A6A6A6"/>
              <w:bottom w:val="single" w:sz="4" w:space="0" w:color="A6A6A6"/>
              <w:right w:val="single" w:sz="4" w:space="0" w:color="A6A6A6"/>
            </w:tcBorders>
          </w:tcPr>
          <w:p w14:paraId="4E5B6B24" w14:textId="77777777" w:rsidR="00BC24A8" w:rsidRDefault="00000000">
            <w:pPr>
              <w:pStyle w:val="TableParagraph"/>
              <w:spacing w:before="111"/>
              <w:ind w:left="9"/>
              <w:jc w:val="center"/>
              <w:rPr>
                <w:sz w:val="18"/>
              </w:rPr>
            </w:pPr>
            <w:r>
              <w:rPr>
                <w:spacing w:val="-5"/>
                <w:sz w:val="18"/>
              </w:rPr>
              <w:t>163</w:t>
            </w:r>
          </w:p>
        </w:tc>
        <w:tc>
          <w:tcPr>
            <w:tcW w:w="7760" w:type="dxa"/>
            <w:tcBorders>
              <w:top w:val="single" w:sz="4" w:space="0" w:color="A6A6A6"/>
              <w:left w:val="single" w:sz="4" w:space="0" w:color="A6A6A6"/>
              <w:bottom w:val="single" w:sz="4" w:space="0" w:color="A6A6A6"/>
              <w:right w:val="single" w:sz="4" w:space="0" w:color="A6A6A6"/>
            </w:tcBorders>
          </w:tcPr>
          <w:p w14:paraId="242A1FF1" w14:textId="77777777" w:rsidR="00BC24A8" w:rsidRDefault="00000000">
            <w:pPr>
              <w:pStyle w:val="TableParagraph"/>
              <w:spacing w:before="111"/>
              <w:ind w:left="107"/>
              <w:rPr>
                <w:sz w:val="18"/>
              </w:rPr>
            </w:pPr>
            <w:r>
              <w:rPr>
                <w:sz w:val="18"/>
              </w:rPr>
              <w:t>Governor</w:t>
            </w:r>
            <w:r>
              <w:rPr>
                <w:spacing w:val="-4"/>
                <w:sz w:val="18"/>
              </w:rPr>
              <w:t xml:space="preserve"> </w:t>
            </w:r>
            <w:r>
              <w:rPr>
                <w:sz w:val="18"/>
              </w:rPr>
              <w:t>Regulation</w:t>
            </w:r>
            <w:r>
              <w:rPr>
                <w:spacing w:val="-2"/>
                <w:sz w:val="18"/>
              </w:rPr>
              <w:t xml:space="preserve"> </w:t>
            </w:r>
            <w:r>
              <w:rPr>
                <w:sz w:val="18"/>
              </w:rPr>
              <w:t>of</w:t>
            </w:r>
            <w:r>
              <w:rPr>
                <w:spacing w:val="-3"/>
                <w:sz w:val="18"/>
              </w:rPr>
              <w:t xml:space="preserve"> </w:t>
            </w:r>
            <w:r>
              <w:rPr>
                <w:sz w:val="18"/>
              </w:rPr>
              <w:t>Southwest</w:t>
            </w:r>
            <w:r>
              <w:rPr>
                <w:spacing w:val="-1"/>
                <w:sz w:val="18"/>
              </w:rPr>
              <w:t xml:space="preserve"> </w:t>
            </w:r>
            <w:r>
              <w:rPr>
                <w:sz w:val="18"/>
              </w:rPr>
              <w:t>Papua</w:t>
            </w:r>
            <w:r>
              <w:rPr>
                <w:spacing w:val="-3"/>
                <w:sz w:val="18"/>
              </w:rPr>
              <w:t xml:space="preserve"> </w:t>
            </w:r>
            <w:r>
              <w:rPr>
                <w:sz w:val="18"/>
              </w:rPr>
              <w:t>Province</w:t>
            </w:r>
            <w:r>
              <w:rPr>
                <w:spacing w:val="-2"/>
                <w:sz w:val="18"/>
              </w:rPr>
              <w:t xml:space="preserve"> </w:t>
            </w:r>
            <w:r>
              <w:rPr>
                <w:sz w:val="18"/>
              </w:rPr>
              <w:t>No.</w:t>
            </w:r>
            <w:r>
              <w:rPr>
                <w:spacing w:val="-2"/>
                <w:sz w:val="18"/>
              </w:rPr>
              <w:t xml:space="preserve"> </w:t>
            </w:r>
            <w:r>
              <w:rPr>
                <w:sz w:val="18"/>
              </w:rPr>
              <w:t>35</w:t>
            </w:r>
            <w:r>
              <w:rPr>
                <w:spacing w:val="-2"/>
                <w:sz w:val="18"/>
              </w:rPr>
              <w:t xml:space="preserve"> </w:t>
            </w:r>
            <w:r>
              <w:rPr>
                <w:sz w:val="18"/>
              </w:rPr>
              <w:t>on</w:t>
            </w:r>
            <w:r>
              <w:rPr>
                <w:spacing w:val="-2"/>
                <w:sz w:val="18"/>
              </w:rPr>
              <w:t xml:space="preserve"> </w:t>
            </w:r>
            <w:r>
              <w:rPr>
                <w:sz w:val="18"/>
              </w:rPr>
              <w:t>Southwest</w:t>
            </w:r>
            <w:r>
              <w:rPr>
                <w:spacing w:val="-1"/>
                <w:sz w:val="18"/>
              </w:rPr>
              <w:t xml:space="preserve"> </w:t>
            </w:r>
            <w:r>
              <w:rPr>
                <w:sz w:val="18"/>
              </w:rPr>
              <w:t>Papua</w:t>
            </w:r>
            <w:r>
              <w:rPr>
                <w:spacing w:val="-3"/>
                <w:sz w:val="18"/>
              </w:rPr>
              <w:t xml:space="preserve"> </w:t>
            </w:r>
            <w:r>
              <w:rPr>
                <w:sz w:val="18"/>
              </w:rPr>
              <w:t>One</w:t>
            </w:r>
            <w:r>
              <w:rPr>
                <w:spacing w:val="-2"/>
                <w:sz w:val="18"/>
              </w:rPr>
              <w:t xml:space="preserve"> </w:t>
            </w:r>
            <w:r>
              <w:rPr>
                <w:sz w:val="18"/>
              </w:rPr>
              <w:t>Data</w:t>
            </w:r>
            <w:r>
              <w:rPr>
                <w:spacing w:val="-2"/>
                <w:sz w:val="18"/>
              </w:rPr>
              <w:t xml:space="preserve"> Integration</w:t>
            </w:r>
          </w:p>
        </w:tc>
        <w:tc>
          <w:tcPr>
            <w:tcW w:w="1275" w:type="dxa"/>
            <w:tcBorders>
              <w:top w:val="single" w:sz="4" w:space="0" w:color="A6A6A6"/>
              <w:left w:val="single" w:sz="4" w:space="0" w:color="A6A6A6"/>
              <w:bottom w:val="single" w:sz="4" w:space="0" w:color="A6A6A6"/>
              <w:right w:val="single" w:sz="4" w:space="0" w:color="A6A6A6"/>
            </w:tcBorders>
          </w:tcPr>
          <w:p w14:paraId="7F182E8C" w14:textId="77777777" w:rsidR="00BC24A8" w:rsidRDefault="00000000">
            <w:pPr>
              <w:pStyle w:val="TableParagraph"/>
              <w:spacing w:line="220" w:lineRule="atLeast"/>
              <w:ind w:left="106"/>
              <w:rPr>
                <w:sz w:val="18"/>
              </w:rPr>
            </w:pPr>
            <w:r>
              <w:rPr>
                <w:spacing w:val="-2"/>
                <w:sz w:val="18"/>
              </w:rPr>
              <w:t>Papua</w:t>
            </w:r>
            <w:r>
              <w:rPr>
                <w:spacing w:val="-9"/>
                <w:sz w:val="18"/>
              </w:rPr>
              <w:t xml:space="preserve"> </w:t>
            </w:r>
            <w:r>
              <w:rPr>
                <w:spacing w:val="-2"/>
                <w:sz w:val="18"/>
              </w:rPr>
              <w:t>Barat</w:t>
            </w:r>
            <w:r>
              <w:rPr>
                <w:sz w:val="18"/>
              </w:rPr>
              <w:t xml:space="preserve"> </w:t>
            </w:r>
            <w:r>
              <w:rPr>
                <w:spacing w:val="-4"/>
                <w:sz w:val="18"/>
              </w:rPr>
              <w:t>Daya</w:t>
            </w:r>
          </w:p>
        </w:tc>
      </w:tr>
      <w:tr w:rsidR="00BC24A8" w14:paraId="29DDBA2A"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781CDEA9" w14:textId="77777777" w:rsidR="00BC24A8" w:rsidRDefault="00000000">
            <w:pPr>
              <w:pStyle w:val="TableParagraph"/>
              <w:spacing w:before="109"/>
              <w:ind w:left="9"/>
              <w:jc w:val="center"/>
              <w:rPr>
                <w:sz w:val="18"/>
              </w:rPr>
            </w:pPr>
            <w:r>
              <w:rPr>
                <w:spacing w:val="-5"/>
                <w:sz w:val="18"/>
              </w:rPr>
              <w:t>164</w:t>
            </w:r>
          </w:p>
        </w:tc>
        <w:tc>
          <w:tcPr>
            <w:tcW w:w="7760" w:type="dxa"/>
            <w:tcBorders>
              <w:top w:val="single" w:sz="4" w:space="0" w:color="A6A6A6"/>
              <w:left w:val="single" w:sz="4" w:space="0" w:color="A6A6A6"/>
              <w:bottom w:val="single" w:sz="4" w:space="0" w:color="A6A6A6"/>
              <w:right w:val="single" w:sz="4" w:space="0" w:color="A6A6A6"/>
            </w:tcBorders>
          </w:tcPr>
          <w:p w14:paraId="0696FF85" w14:textId="77777777" w:rsidR="00BC24A8" w:rsidRDefault="00000000">
            <w:pPr>
              <w:pStyle w:val="TableParagraph"/>
              <w:spacing w:line="219" w:lineRule="exact"/>
              <w:ind w:left="107"/>
              <w:rPr>
                <w:sz w:val="18"/>
              </w:rPr>
            </w:pPr>
            <w:r>
              <w:rPr>
                <w:sz w:val="18"/>
              </w:rPr>
              <w:t>Governor</w:t>
            </w:r>
            <w:r>
              <w:rPr>
                <w:spacing w:val="-6"/>
                <w:sz w:val="18"/>
              </w:rPr>
              <w:t xml:space="preserve"> </w:t>
            </w:r>
            <w:r>
              <w:rPr>
                <w:sz w:val="18"/>
              </w:rPr>
              <w:t>Decree</w:t>
            </w:r>
            <w:r>
              <w:rPr>
                <w:spacing w:val="-3"/>
                <w:sz w:val="18"/>
              </w:rPr>
              <w:t xml:space="preserve"> </w:t>
            </w:r>
            <w:r>
              <w:rPr>
                <w:sz w:val="18"/>
              </w:rPr>
              <w:t>No.</w:t>
            </w:r>
            <w:r>
              <w:rPr>
                <w:spacing w:val="-5"/>
                <w:sz w:val="18"/>
              </w:rPr>
              <w:t xml:space="preserve"> </w:t>
            </w:r>
            <w:r>
              <w:rPr>
                <w:sz w:val="18"/>
              </w:rPr>
              <w:t>100.3.3.1/44/2/2025</w:t>
            </w:r>
            <w:r>
              <w:rPr>
                <w:spacing w:val="-3"/>
                <w:sz w:val="18"/>
              </w:rPr>
              <w:t xml:space="preserve"> </w:t>
            </w:r>
            <w:r>
              <w:rPr>
                <w:sz w:val="18"/>
              </w:rPr>
              <w:t>on</w:t>
            </w:r>
            <w:r>
              <w:rPr>
                <w:spacing w:val="-3"/>
                <w:sz w:val="18"/>
              </w:rPr>
              <w:t xml:space="preserve"> </w:t>
            </w:r>
            <w:r>
              <w:rPr>
                <w:sz w:val="18"/>
              </w:rPr>
              <w:t>Dissemination</w:t>
            </w:r>
            <w:r>
              <w:rPr>
                <w:spacing w:val="-4"/>
                <w:sz w:val="18"/>
              </w:rPr>
              <w:t xml:space="preserve"> </w:t>
            </w:r>
            <w:r>
              <w:rPr>
                <w:sz w:val="18"/>
              </w:rPr>
              <w:t>of</w:t>
            </w:r>
            <w:r>
              <w:rPr>
                <w:spacing w:val="-4"/>
                <w:sz w:val="18"/>
              </w:rPr>
              <w:t xml:space="preserve"> </w:t>
            </w:r>
            <w:r>
              <w:rPr>
                <w:sz w:val="18"/>
              </w:rPr>
              <w:t>Regional</w:t>
            </w:r>
            <w:r>
              <w:rPr>
                <w:spacing w:val="-3"/>
                <w:sz w:val="18"/>
              </w:rPr>
              <w:t xml:space="preserve"> </w:t>
            </w:r>
            <w:r>
              <w:rPr>
                <w:sz w:val="18"/>
              </w:rPr>
              <w:t>Sectoral</w:t>
            </w:r>
            <w:r>
              <w:rPr>
                <w:spacing w:val="-2"/>
                <w:sz w:val="18"/>
              </w:rPr>
              <w:t xml:space="preserve"> </w:t>
            </w:r>
            <w:r>
              <w:rPr>
                <w:sz w:val="18"/>
              </w:rPr>
              <w:t>Statistical</w:t>
            </w:r>
            <w:r>
              <w:rPr>
                <w:spacing w:val="-3"/>
                <w:sz w:val="18"/>
              </w:rPr>
              <w:t xml:space="preserve"> </w:t>
            </w:r>
            <w:r>
              <w:rPr>
                <w:sz w:val="18"/>
              </w:rPr>
              <w:t>Data</w:t>
            </w:r>
            <w:r>
              <w:rPr>
                <w:spacing w:val="-4"/>
                <w:sz w:val="18"/>
              </w:rPr>
              <w:t xml:space="preserve"> </w:t>
            </w:r>
            <w:r>
              <w:rPr>
                <w:sz w:val="18"/>
              </w:rPr>
              <w:t>at</w:t>
            </w:r>
            <w:r>
              <w:rPr>
                <w:spacing w:val="-2"/>
                <w:sz w:val="18"/>
              </w:rPr>
              <w:t xml:space="preserve"> </w:t>
            </w:r>
            <w:r>
              <w:rPr>
                <w:spacing w:val="-5"/>
                <w:sz w:val="18"/>
              </w:rPr>
              <w:t>the</w:t>
            </w:r>
          </w:p>
          <w:p w14:paraId="69D54A2F" w14:textId="77777777" w:rsidR="00BC24A8" w:rsidRDefault="00000000">
            <w:pPr>
              <w:pStyle w:val="TableParagraph"/>
              <w:spacing w:before="1" w:line="199" w:lineRule="exact"/>
              <w:ind w:left="107"/>
              <w:rPr>
                <w:sz w:val="18"/>
              </w:rPr>
            </w:pPr>
            <w:r>
              <w:rPr>
                <w:sz w:val="18"/>
              </w:rPr>
              <w:t>Southwest</w:t>
            </w:r>
            <w:r>
              <w:rPr>
                <w:spacing w:val="-4"/>
                <w:sz w:val="18"/>
              </w:rPr>
              <w:t xml:space="preserve"> </w:t>
            </w:r>
            <w:r>
              <w:rPr>
                <w:sz w:val="18"/>
              </w:rPr>
              <w:t>Papua</w:t>
            </w:r>
            <w:r>
              <w:rPr>
                <w:spacing w:val="-3"/>
                <w:sz w:val="18"/>
              </w:rPr>
              <w:t xml:space="preserve"> </w:t>
            </w:r>
            <w:r>
              <w:rPr>
                <w:sz w:val="18"/>
              </w:rPr>
              <w:t>Province</w:t>
            </w:r>
            <w:r>
              <w:rPr>
                <w:spacing w:val="-2"/>
                <w:sz w:val="18"/>
              </w:rPr>
              <w:t xml:space="preserve"> </w:t>
            </w:r>
            <w:r>
              <w:rPr>
                <w:spacing w:val="-4"/>
                <w:sz w:val="18"/>
              </w:rPr>
              <w:t>Level</w:t>
            </w:r>
          </w:p>
        </w:tc>
        <w:tc>
          <w:tcPr>
            <w:tcW w:w="1275" w:type="dxa"/>
            <w:tcBorders>
              <w:top w:val="single" w:sz="4" w:space="0" w:color="A6A6A6"/>
              <w:left w:val="single" w:sz="4" w:space="0" w:color="A6A6A6"/>
              <w:bottom w:val="single" w:sz="4" w:space="0" w:color="A6A6A6"/>
              <w:right w:val="single" w:sz="4" w:space="0" w:color="A6A6A6"/>
            </w:tcBorders>
          </w:tcPr>
          <w:p w14:paraId="368BE81B" w14:textId="77777777" w:rsidR="00BC24A8" w:rsidRDefault="00000000">
            <w:pPr>
              <w:pStyle w:val="TableParagraph"/>
              <w:spacing w:line="219" w:lineRule="exact"/>
              <w:ind w:left="106"/>
              <w:rPr>
                <w:sz w:val="18"/>
              </w:rPr>
            </w:pPr>
            <w:r>
              <w:rPr>
                <w:sz w:val="18"/>
              </w:rPr>
              <w:t>Papua</w:t>
            </w:r>
            <w:r>
              <w:rPr>
                <w:spacing w:val="-5"/>
                <w:sz w:val="18"/>
              </w:rPr>
              <w:t xml:space="preserve"> </w:t>
            </w:r>
            <w:r>
              <w:rPr>
                <w:spacing w:val="-2"/>
                <w:sz w:val="18"/>
              </w:rPr>
              <w:t>Barat</w:t>
            </w:r>
          </w:p>
          <w:p w14:paraId="30543764" w14:textId="77777777" w:rsidR="00BC24A8" w:rsidRDefault="00000000">
            <w:pPr>
              <w:pStyle w:val="TableParagraph"/>
              <w:spacing w:before="1" w:line="199" w:lineRule="exact"/>
              <w:ind w:left="106"/>
              <w:rPr>
                <w:sz w:val="18"/>
              </w:rPr>
            </w:pPr>
            <w:r>
              <w:rPr>
                <w:spacing w:val="-4"/>
                <w:sz w:val="18"/>
              </w:rPr>
              <w:t>Daya</w:t>
            </w:r>
          </w:p>
        </w:tc>
      </w:tr>
      <w:tr w:rsidR="00BC24A8" w14:paraId="51E3F607"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3A3BB7FF" w14:textId="77777777" w:rsidR="00BC24A8" w:rsidRDefault="00000000">
            <w:pPr>
              <w:pStyle w:val="TableParagraph"/>
              <w:spacing w:before="1"/>
              <w:ind w:left="9"/>
              <w:jc w:val="center"/>
              <w:rPr>
                <w:sz w:val="18"/>
              </w:rPr>
            </w:pPr>
            <w:r>
              <w:rPr>
                <w:spacing w:val="-5"/>
                <w:sz w:val="18"/>
              </w:rPr>
              <w:t>165</w:t>
            </w:r>
          </w:p>
        </w:tc>
        <w:tc>
          <w:tcPr>
            <w:tcW w:w="7760" w:type="dxa"/>
            <w:tcBorders>
              <w:top w:val="single" w:sz="4" w:space="0" w:color="A6A6A6"/>
              <w:left w:val="single" w:sz="4" w:space="0" w:color="A6A6A6"/>
              <w:bottom w:val="single" w:sz="4" w:space="0" w:color="A6A6A6"/>
              <w:right w:val="single" w:sz="4" w:space="0" w:color="A6A6A6"/>
            </w:tcBorders>
          </w:tcPr>
          <w:p w14:paraId="200E8A34" w14:textId="77777777" w:rsidR="00BC24A8" w:rsidRDefault="00000000">
            <w:pPr>
              <w:pStyle w:val="TableParagraph"/>
              <w:spacing w:before="1" w:line="219" w:lineRule="exact"/>
              <w:ind w:left="107"/>
              <w:rPr>
                <w:sz w:val="18"/>
              </w:rPr>
            </w:pPr>
            <w:r>
              <w:rPr>
                <w:sz w:val="18"/>
              </w:rPr>
              <w:t>Governor</w:t>
            </w:r>
            <w:r>
              <w:rPr>
                <w:spacing w:val="-3"/>
                <w:sz w:val="18"/>
              </w:rPr>
              <w:t xml:space="preserve"> </w:t>
            </w:r>
            <w:r>
              <w:rPr>
                <w:sz w:val="18"/>
              </w:rPr>
              <w:t>Decree</w:t>
            </w:r>
            <w:r>
              <w:rPr>
                <w:spacing w:val="-3"/>
                <w:sz w:val="18"/>
              </w:rPr>
              <w:t xml:space="preserve"> </w:t>
            </w:r>
            <w:r>
              <w:rPr>
                <w:sz w:val="18"/>
              </w:rPr>
              <w:t>No.</w:t>
            </w:r>
            <w:r>
              <w:rPr>
                <w:spacing w:val="-3"/>
                <w:sz w:val="18"/>
              </w:rPr>
              <w:t xml:space="preserve"> </w:t>
            </w:r>
            <w:r>
              <w:rPr>
                <w:sz w:val="18"/>
              </w:rPr>
              <w:t>100.3.3.1/41/2/2025</w:t>
            </w:r>
            <w:r>
              <w:rPr>
                <w:spacing w:val="-2"/>
                <w:sz w:val="18"/>
              </w:rPr>
              <w:t xml:space="preserve"> </w:t>
            </w:r>
            <w:r>
              <w:rPr>
                <w:sz w:val="18"/>
              </w:rPr>
              <w:t>on</w:t>
            </w:r>
            <w:r>
              <w:rPr>
                <w:spacing w:val="-3"/>
                <w:sz w:val="18"/>
              </w:rPr>
              <w:t xml:space="preserve"> </w:t>
            </w:r>
            <w:r>
              <w:rPr>
                <w:sz w:val="18"/>
              </w:rPr>
              <w:t>the</w:t>
            </w:r>
            <w:r>
              <w:rPr>
                <w:spacing w:val="-3"/>
                <w:sz w:val="18"/>
              </w:rPr>
              <w:t xml:space="preserve"> </w:t>
            </w:r>
            <w:r>
              <w:rPr>
                <w:sz w:val="18"/>
              </w:rPr>
              <w:t>Southwest</w:t>
            </w:r>
            <w:r>
              <w:rPr>
                <w:spacing w:val="-1"/>
                <w:sz w:val="18"/>
              </w:rPr>
              <w:t xml:space="preserve"> </w:t>
            </w:r>
            <w:r>
              <w:rPr>
                <w:sz w:val="18"/>
              </w:rPr>
              <w:t>Papua</w:t>
            </w:r>
            <w:r>
              <w:rPr>
                <w:spacing w:val="-4"/>
                <w:sz w:val="18"/>
              </w:rPr>
              <w:t xml:space="preserve"> </w:t>
            </w:r>
            <w:r>
              <w:rPr>
                <w:sz w:val="18"/>
              </w:rPr>
              <w:t>One</w:t>
            </w:r>
            <w:r>
              <w:rPr>
                <w:spacing w:val="-2"/>
                <w:sz w:val="18"/>
              </w:rPr>
              <w:t xml:space="preserve"> </w:t>
            </w:r>
            <w:r>
              <w:rPr>
                <w:sz w:val="18"/>
              </w:rPr>
              <w:t>Data</w:t>
            </w:r>
            <w:r>
              <w:rPr>
                <w:spacing w:val="-4"/>
                <w:sz w:val="18"/>
              </w:rPr>
              <w:t xml:space="preserve"> </w:t>
            </w:r>
            <w:r>
              <w:rPr>
                <w:sz w:val="18"/>
              </w:rPr>
              <w:t>Forum</w:t>
            </w:r>
            <w:r>
              <w:rPr>
                <w:spacing w:val="-3"/>
                <w:sz w:val="18"/>
              </w:rPr>
              <w:t xml:space="preserve"> </w:t>
            </w:r>
            <w:r>
              <w:rPr>
                <w:sz w:val="18"/>
              </w:rPr>
              <w:t>(One</w:t>
            </w:r>
            <w:r>
              <w:rPr>
                <w:spacing w:val="-2"/>
                <w:sz w:val="18"/>
              </w:rPr>
              <w:t xml:space="preserve"> </w:t>
            </w:r>
            <w:r>
              <w:rPr>
                <w:spacing w:val="-4"/>
                <w:sz w:val="18"/>
              </w:rPr>
              <w:t>Data</w:t>
            </w:r>
          </w:p>
          <w:p w14:paraId="68D8BB30" w14:textId="77777777" w:rsidR="00BC24A8" w:rsidRDefault="00000000">
            <w:pPr>
              <w:pStyle w:val="TableParagraph"/>
              <w:spacing w:line="199" w:lineRule="exact"/>
              <w:ind w:left="107"/>
              <w:rPr>
                <w:sz w:val="18"/>
              </w:rPr>
            </w:pPr>
            <w:r>
              <w:rPr>
                <w:spacing w:val="-2"/>
                <w:sz w:val="18"/>
              </w:rPr>
              <w:t>Integration)</w:t>
            </w:r>
          </w:p>
        </w:tc>
        <w:tc>
          <w:tcPr>
            <w:tcW w:w="1275" w:type="dxa"/>
            <w:tcBorders>
              <w:top w:val="single" w:sz="4" w:space="0" w:color="A6A6A6"/>
              <w:left w:val="single" w:sz="4" w:space="0" w:color="A6A6A6"/>
              <w:bottom w:val="single" w:sz="4" w:space="0" w:color="A6A6A6"/>
              <w:right w:val="single" w:sz="4" w:space="0" w:color="A6A6A6"/>
            </w:tcBorders>
          </w:tcPr>
          <w:p w14:paraId="5D921985" w14:textId="77777777" w:rsidR="00BC24A8" w:rsidRDefault="00000000">
            <w:pPr>
              <w:pStyle w:val="TableParagraph"/>
              <w:spacing w:before="1" w:line="219" w:lineRule="exact"/>
              <w:ind w:left="106"/>
              <w:rPr>
                <w:sz w:val="18"/>
              </w:rPr>
            </w:pPr>
            <w:r>
              <w:rPr>
                <w:sz w:val="18"/>
              </w:rPr>
              <w:t>Papua</w:t>
            </w:r>
            <w:r>
              <w:rPr>
                <w:spacing w:val="-5"/>
                <w:sz w:val="18"/>
              </w:rPr>
              <w:t xml:space="preserve"> </w:t>
            </w:r>
            <w:r>
              <w:rPr>
                <w:spacing w:val="-2"/>
                <w:sz w:val="18"/>
              </w:rPr>
              <w:t>Barat</w:t>
            </w:r>
          </w:p>
          <w:p w14:paraId="48E9F189" w14:textId="77777777" w:rsidR="00BC24A8" w:rsidRDefault="00000000">
            <w:pPr>
              <w:pStyle w:val="TableParagraph"/>
              <w:spacing w:line="199" w:lineRule="exact"/>
              <w:ind w:left="106"/>
              <w:rPr>
                <w:sz w:val="18"/>
              </w:rPr>
            </w:pPr>
            <w:r>
              <w:rPr>
                <w:spacing w:val="-4"/>
                <w:sz w:val="18"/>
              </w:rPr>
              <w:t>Daya</w:t>
            </w:r>
          </w:p>
        </w:tc>
      </w:tr>
      <w:tr w:rsidR="00BC24A8" w14:paraId="3D0664C6"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31623B8B" w14:textId="77777777" w:rsidR="00BC24A8" w:rsidRDefault="00000000">
            <w:pPr>
              <w:pStyle w:val="TableParagraph"/>
              <w:spacing w:before="111"/>
              <w:ind w:left="9"/>
              <w:jc w:val="center"/>
              <w:rPr>
                <w:sz w:val="18"/>
              </w:rPr>
            </w:pPr>
            <w:r>
              <w:rPr>
                <w:spacing w:val="-5"/>
                <w:sz w:val="18"/>
              </w:rPr>
              <w:t>166</w:t>
            </w:r>
          </w:p>
        </w:tc>
        <w:tc>
          <w:tcPr>
            <w:tcW w:w="7760" w:type="dxa"/>
            <w:tcBorders>
              <w:top w:val="single" w:sz="4" w:space="0" w:color="A6A6A6"/>
              <w:left w:val="single" w:sz="4" w:space="0" w:color="A6A6A6"/>
              <w:bottom w:val="single" w:sz="4" w:space="0" w:color="A6A6A6"/>
              <w:right w:val="single" w:sz="4" w:space="0" w:color="A6A6A6"/>
            </w:tcBorders>
          </w:tcPr>
          <w:p w14:paraId="20930489" w14:textId="77777777" w:rsidR="00BC24A8" w:rsidRDefault="00000000">
            <w:pPr>
              <w:pStyle w:val="TableParagraph"/>
              <w:spacing w:before="1" w:line="219" w:lineRule="exact"/>
              <w:ind w:left="107"/>
              <w:rPr>
                <w:sz w:val="18"/>
              </w:rPr>
            </w:pPr>
            <w:r>
              <w:rPr>
                <w:sz w:val="18"/>
              </w:rPr>
              <w:t>Southwest</w:t>
            </w:r>
            <w:r>
              <w:rPr>
                <w:spacing w:val="-4"/>
                <w:sz w:val="18"/>
              </w:rPr>
              <w:t xml:space="preserve"> </w:t>
            </w:r>
            <w:r>
              <w:rPr>
                <w:sz w:val="18"/>
              </w:rPr>
              <w:t>Papua</w:t>
            </w:r>
            <w:r>
              <w:rPr>
                <w:spacing w:val="-4"/>
                <w:sz w:val="18"/>
              </w:rPr>
              <w:t xml:space="preserve"> </w:t>
            </w: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100.3.3.1/42/2/2025</w:t>
            </w:r>
            <w:r>
              <w:rPr>
                <w:spacing w:val="-2"/>
                <w:sz w:val="18"/>
              </w:rPr>
              <w:t xml:space="preserve"> </w:t>
            </w:r>
            <w:r>
              <w:rPr>
                <w:sz w:val="18"/>
              </w:rPr>
              <w:t>on</w:t>
            </w:r>
            <w:r>
              <w:rPr>
                <w:spacing w:val="-3"/>
                <w:sz w:val="18"/>
              </w:rPr>
              <w:t xml:space="preserve"> </w:t>
            </w:r>
            <w:r>
              <w:rPr>
                <w:sz w:val="18"/>
              </w:rPr>
              <w:t>SEPAKAT</w:t>
            </w:r>
            <w:r>
              <w:rPr>
                <w:spacing w:val="-4"/>
                <w:sz w:val="18"/>
              </w:rPr>
              <w:t xml:space="preserve"> </w:t>
            </w:r>
            <w:r>
              <w:rPr>
                <w:sz w:val="18"/>
              </w:rPr>
              <w:t>Account</w:t>
            </w:r>
            <w:r>
              <w:rPr>
                <w:spacing w:val="-2"/>
                <w:sz w:val="18"/>
              </w:rPr>
              <w:t xml:space="preserve"> </w:t>
            </w:r>
            <w:r>
              <w:rPr>
                <w:sz w:val="18"/>
              </w:rPr>
              <w:t>Managers</w:t>
            </w:r>
            <w:r>
              <w:rPr>
                <w:spacing w:val="-3"/>
                <w:sz w:val="18"/>
              </w:rPr>
              <w:t xml:space="preserve"> </w:t>
            </w:r>
            <w:r>
              <w:rPr>
                <w:sz w:val="18"/>
              </w:rPr>
              <w:t>in</w:t>
            </w:r>
            <w:r>
              <w:rPr>
                <w:spacing w:val="-2"/>
                <w:sz w:val="18"/>
              </w:rPr>
              <w:t xml:space="preserve"> </w:t>
            </w:r>
            <w:r>
              <w:rPr>
                <w:spacing w:val="-5"/>
                <w:sz w:val="18"/>
              </w:rPr>
              <w:t>the</w:t>
            </w:r>
          </w:p>
          <w:p w14:paraId="4321C8B9" w14:textId="77777777" w:rsidR="00BC24A8" w:rsidRDefault="00000000">
            <w:pPr>
              <w:pStyle w:val="TableParagraph"/>
              <w:spacing w:line="199" w:lineRule="exact"/>
              <w:ind w:left="107"/>
              <w:rPr>
                <w:sz w:val="18"/>
              </w:rPr>
            </w:pPr>
            <w:r>
              <w:rPr>
                <w:sz w:val="18"/>
              </w:rPr>
              <w:t>context</w:t>
            </w:r>
            <w:r>
              <w:rPr>
                <w:spacing w:val="-2"/>
                <w:sz w:val="18"/>
              </w:rPr>
              <w:t xml:space="preserve"> </w:t>
            </w:r>
            <w:r>
              <w:rPr>
                <w:sz w:val="18"/>
              </w:rPr>
              <w:t>of</w:t>
            </w:r>
            <w:r>
              <w:rPr>
                <w:spacing w:val="-3"/>
                <w:sz w:val="18"/>
              </w:rPr>
              <w:t xml:space="preserve"> </w:t>
            </w:r>
            <w:r>
              <w:rPr>
                <w:sz w:val="18"/>
              </w:rPr>
              <w:t>Data</w:t>
            </w:r>
            <w:r>
              <w:rPr>
                <w:spacing w:val="-4"/>
                <w:sz w:val="18"/>
              </w:rPr>
              <w:t xml:space="preserve"> </w:t>
            </w:r>
            <w:r>
              <w:rPr>
                <w:sz w:val="18"/>
              </w:rPr>
              <w:t>Utilization</w:t>
            </w:r>
            <w:r>
              <w:rPr>
                <w:spacing w:val="-2"/>
                <w:sz w:val="18"/>
              </w:rPr>
              <w:t xml:space="preserve"> </w:t>
            </w:r>
            <w:r>
              <w:rPr>
                <w:sz w:val="18"/>
              </w:rPr>
              <w:t>in</w:t>
            </w:r>
            <w:r>
              <w:rPr>
                <w:spacing w:val="-3"/>
                <w:sz w:val="18"/>
              </w:rPr>
              <w:t xml:space="preserve"> </w:t>
            </w:r>
            <w:r>
              <w:rPr>
                <w:sz w:val="18"/>
              </w:rPr>
              <w:t>Southwest</w:t>
            </w:r>
            <w:r>
              <w:rPr>
                <w:spacing w:val="-1"/>
                <w:sz w:val="18"/>
              </w:rPr>
              <w:t xml:space="preserve"> </w:t>
            </w:r>
            <w:r>
              <w:rPr>
                <w:sz w:val="18"/>
              </w:rPr>
              <w:t>Papua</w:t>
            </w:r>
            <w:r>
              <w:rPr>
                <w:spacing w:val="-3"/>
                <w:sz w:val="18"/>
              </w:rPr>
              <w:t xml:space="preserve"> </w:t>
            </w:r>
            <w:r>
              <w:rPr>
                <w:spacing w:val="-2"/>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021E2998" w14:textId="77777777" w:rsidR="00BC24A8" w:rsidRDefault="00000000">
            <w:pPr>
              <w:pStyle w:val="TableParagraph"/>
              <w:spacing w:before="1" w:line="219" w:lineRule="exact"/>
              <w:ind w:left="106"/>
              <w:rPr>
                <w:sz w:val="18"/>
              </w:rPr>
            </w:pPr>
            <w:r>
              <w:rPr>
                <w:sz w:val="18"/>
              </w:rPr>
              <w:t>Papua</w:t>
            </w:r>
            <w:r>
              <w:rPr>
                <w:spacing w:val="-5"/>
                <w:sz w:val="18"/>
              </w:rPr>
              <w:t xml:space="preserve"> </w:t>
            </w:r>
            <w:r>
              <w:rPr>
                <w:spacing w:val="-2"/>
                <w:sz w:val="18"/>
              </w:rPr>
              <w:t>Barat</w:t>
            </w:r>
          </w:p>
          <w:p w14:paraId="5A2E4B2A" w14:textId="77777777" w:rsidR="00BC24A8" w:rsidRDefault="00000000">
            <w:pPr>
              <w:pStyle w:val="TableParagraph"/>
              <w:spacing w:line="199" w:lineRule="exact"/>
              <w:ind w:left="106"/>
              <w:rPr>
                <w:sz w:val="18"/>
              </w:rPr>
            </w:pPr>
            <w:r>
              <w:rPr>
                <w:spacing w:val="-4"/>
                <w:sz w:val="18"/>
              </w:rPr>
              <w:t>daya</w:t>
            </w:r>
          </w:p>
        </w:tc>
      </w:tr>
      <w:tr w:rsidR="00BC24A8" w14:paraId="1C9DD6AE" w14:textId="77777777">
        <w:trPr>
          <w:trHeight w:val="482"/>
        </w:trPr>
        <w:tc>
          <w:tcPr>
            <w:tcW w:w="490" w:type="dxa"/>
            <w:tcBorders>
              <w:top w:val="single" w:sz="4" w:space="0" w:color="A6A6A6"/>
              <w:left w:val="single" w:sz="4" w:space="0" w:color="A6A6A6"/>
              <w:bottom w:val="single" w:sz="4" w:space="0" w:color="A6A6A6"/>
              <w:right w:val="single" w:sz="4" w:space="0" w:color="A6A6A6"/>
            </w:tcBorders>
          </w:tcPr>
          <w:p w14:paraId="3954DA98" w14:textId="77777777" w:rsidR="00BC24A8" w:rsidRDefault="00000000">
            <w:pPr>
              <w:pStyle w:val="TableParagraph"/>
              <w:spacing w:before="1"/>
              <w:ind w:left="9"/>
              <w:jc w:val="center"/>
              <w:rPr>
                <w:sz w:val="18"/>
              </w:rPr>
            </w:pPr>
            <w:r>
              <w:rPr>
                <w:spacing w:val="-5"/>
                <w:sz w:val="18"/>
              </w:rPr>
              <w:t>167</w:t>
            </w:r>
          </w:p>
        </w:tc>
        <w:tc>
          <w:tcPr>
            <w:tcW w:w="7760" w:type="dxa"/>
            <w:tcBorders>
              <w:top w:val="single" w:sz="4" w:space="0" w:color="A6A6A6"/>
              <w:left w:val="single" w:sz="4" w:space="0" w:color="A6A6A6"/>
              <w:bottom w:val="single" w:sz="4" w:space="0" w:color="A6A6A6"/>
              <w:right w:val="single" w:sz="4" w:space="0" w:color="A6A6A6"/>
            </w:tcBorders>
          </w:tcPr>
          <w:p w14:paraId="0752CAD2" w14:textId="77777777" w:rsidR="00BC24A8" w:rsidRDefault="00000000">
            <w:pPr>
              <w:pStyle w:val="TableParagraph"/>
              <w:spacing w:before="1"/>
              <w:ind w:left="107" w:right="122"/>
              <w:rPr>
                <w:sz w:val="18"/>
              </w:rPr>
            </w:pPr>
            <w:r>
              <w:rPr>
                <w:sz w:val="18"/>
              </w:rPr>
              <w:t>Southwest</w:t>
            </w:r>
            <w:r>
              <w:rPr>
                <w:spacing w:val="-3"/>
                <w:sz w:val="18"/>
              </w:rPr>
              <w:t xml:space="preserve"> </w:t>
            </w:r>
            <w:r>
              <w:rPr>
                <w:sz w:val="18"/>
              </w:rPr>
              <w:t>Papua</w:t>
            </w:r>
            <w:r>
              <w:rPr>
                <w:spacing w:val="-5"/>
                <w:sz w:val="18"/>
              </w:rPr>
              <w:t xml:space="preserve"> </w:t>
            </w:r>
            <w:r>
              <w:rPr>
                <w:sz w:val="18"/>
              </w:rPr>
              <w:t>Governor</w:t>
            </w:r>
            <w:r>
              <w:rPr>
                <w:spacing w:val="-4"/>
                <w:sz w:val="18"/>
              </w:rPr>
              <w:t xml:space="preserve"> </w:t>
            </w:r>
            <w:r>
              <w:rPr>
                <w:sz w:val="18"/>
              </w:rPr>
              <w:t>Decree</w:t>
            </w:r>
            <w:r>
              <w:rPr>
                <w:spacing w:val="-4"/>
                <w:sz w:val="18"/>
              </w:rPr>
              <w:t xml:space="preserve"> </w:t>
            </w:r>
            <w:r>
              <w:rPr>
                <w:sz w:val="18"/>
              </w:rPr>
              <w:t>No.</w:t>
            </w:r>
            <w:r>
              <w:rPr>
                <w:spacing w:val="-5"/>
                <w:sz w:val="18"/>
              </w:rPr>
              <w:t xml:space="preserve"> </w:t>
            </w:r>
            <w:r>
              <w:rPr>
                <w:sz w:val="18"/>
              </w:rPr>
              <w:t>100.3.3.1/79/8/2024</w:t>
            </w:r>
            <w:r>
              <w:rPr>
                <w:spacing w:val="-4"/>
                <w:sz w:val="18"/>
              </w:rPr>
              <w:t xml:space="preserve"> </w:t>
            </w:r>
            <w:r>
              <w:rPr>
                <w:sz w:val="18"/>
              </w:rPr>
              <w:t>on</w:t>
            </w:r>
            <w:r>
              <w:rPr>
                <w:spacing w:val="-4"/>
                <w:sz w:val="18"/>
              </w:rPr>
              <w:t xml:space="preserve"> </w:t>
            </w:r>
            <w:r>
              <w:rPr>
                <w:sz w:val="18"/>
              </w:rPr>
              <w:t>the</w:t>
            </w:r>
            <w:r>
              <w:rPr>
                <w:spacing w:val="-2"/>
                <w:sz w:val="18"/>
              </w:rPr>
              <w:t xml:space="preserve"> </w:t>
            </w:r>
            <w:r>
              <w:rPr>
                <w:sz w:val="18"/>
              </w:rPr>
              <w:t>MSS</w:t>
            </w:r>
            <w:r>
              <w:rPr>
                <w:spacing w:val="-4"/>
                <w:sz w:val="18"/>
              </w:rPr>
              <w:t xml:space="preserve"> </w:t>
            </w:r>
            <w:r>
              <w:rPr>
                <w:sz w:val="18"/>
              </w:rPr>
              <w:t>implementation</w:t>
            </w:r>
            <w:r>
              <w:rPr>
                <w:spacing w:val="-4"/>
                <w:sz w:val="18"/>
              </w:rPr>
              <w:t xml:space="preserve"> </w:t>
            </w:r>
            <w:r>
              <w:rPr>
                <w:sz w:val="18"/>
              </w:rPr>
              <w:t>team</w:t>
            </w:r>
            <w:r>
              <w:rPr>
                <w:spacing w:val="-5"/>
                <w:sz w:val="18"/>
              </w:rPr>
              <w:t xml:space="preserve"> </w:t>
            </w:r>
            <w:r>
              <w:rPr>
                <w:sz w:val="18"/>
              </w:rPr>
              <w:t>of Southwest Papua Province for 2023-2027</w:t>
            </w:r>
          </w:p>
        </w:tc>
        <w:tc>
          <w:tcPr>
            <w:tcW w:w="1275" w:type="dxa"/>
            <w:tcBorders>
              <w:top w:val="single" w:sz="4" w:space="0" w:color="A6A6A6"/>
              <w:left w:val="single" w:sz="4" w:space="0" w:color="A6A6A6"/>
              <w:bottom w:val="single" w:sz="4" w:space="0" w:color="A6A6A6"/>
              <w:right w:val="single" w:sz="4" w:space="0" w:color="A6A6A6"/>
            </w:tcBorders>
          </w:tcPr>
          <w:p w14:paraId="0E3B865A" w14:textId="77777777" w:rsidR="00BC24A8" w:rsidRDefault="00000000">
            <w:pPr>
              <w:pStyle w:val="TableParagraph"/>
              <w:spacing w:before="1"/>
              <w:ind w:left="106"/>
              <w:rPr>
                <w:sz w:val="18"/>
              </w:rPr>
            </w:pPr>
            <w:r>
              <w:rPr>
                <w:spacing w:val="-2"/>
                <w:sz w:val="18"/>
              </w:rPr>
              <w:t>Papua</w:t>
            </w:r>
            <w:r>
              <w:rPr>
                <w:spacing w:val="-9"/>
                <w:sz w:val="18"/>
              </w:rPr>
              <w:t xml:space="preserve"> </w:t>
            </w:r>
            <w:r>
              <w:rPr>
                <w:spacing w:val="-2"/>
                <w:sz w:val="18"/>
              </w:rPr>
              <w:t>Barat</w:t>
            </w:r>
            <w:r>
              <w:rPr>
                <w:sz w:val="18"/>
              </w:rPr>
              <w:t xml:space="preserve"> </w:t>
            </w:r>
            <w:r>
              <w:rPr>
                <w:spacing w:val="-4"/>
                <w:sz w:val="18"/>
              </w:rPr>
              <w:t>Daya</w:t>
            </w:r>
          </w:p>
        </w:tc>
      </w:tr>
      <w:tr w:rsidR="00BC24A8" w14:paraId="66492397" w14:textId="77777777">
        <w:trPr>
          <w:trHeight w:val="289"/>
        </w:trPr>
        <w:tc>
          <w:tcPr>
            <w:tcW w:w="490" w:type="dxa"/>
            <w:tcBorders>
              <w:top w:val="single" w:sz="4" w:space="0" w:color="A6A6A6"/>
              <w:left w:val="single" w:sz="4" w:space="0" w:color="A6A6A6"/>
              <w:bottom w:val="single" w:sz="4" w:space="0" w:color="A6A6A6"/>
              <w:right w:val="single" w:sz="4" w:space="0" w:color="A6A6A6"/>
            </w:tcBorders>
          </w:tcPr>
          <w:p w14:paraId="6E419C96" w14:textId="77777777" w:rsidR="00BC24A8" w:rsidRDefault="00000000">
            <w:pPr>
              <w:pStyle w:val="TableParagraph"/>
              <w:spacing w:before="35"/>
              <w:ind w:left="9"/>
              <w:jc w:val="center"/>
              <w:rPr>
                <w:sz w:val="18"/>
              </w:rPr>
            </w:pPr>
            <w:r>
              <w:rPr>
                <w:spacing w:val="-5"/>
                <w:sz w:val="18"/>
              </w:rPr>
              <w:t>168</w:t>
            </w:r>
          </w:p>
        </w:tc>
        <w:tc>
          <w:tcPr>
            <w:tcW w:w="7760" w:type="dxa"/>
            <w:tcBorders>
              <w:top w:val="single" w:sz="4" w:space="0" w:color="A6A6A6"/>
              <w:left w:val="single" w:sz="4" w:space="0" w:color="A6A6A6"/>
              <w:bottom w:val="single" w:sz="4" w:space="0" w:color="A6A6A6"/>
              <w:right w:val="single" w:sz="4" w:space="0" w:color="A6A6A6"/>
            </w:tcBorders>
          </w:tcPr>
          <w:p w14:paraId="66211C5A"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Regulation</w:t>
            </w:r>
            <w:r>
              <w:rPr>
                <w:spacing w:val="-3"/>
                <w:sz w:val="18"/>
              </w:rPr>
              <w:t xml:space="preserve"> </w:t>
            </w:r>
            <w:r>
              <w:rPr>
                <w:sz w:val="18"/>
              </w:rPr>
              <w:t>No.</w:t>
            </w:r>
            <w:r>
              <w:rPr>
                <w:spacing w:val="-3"/>
                <w:sz w:val="18"/>
              </w:rPr>
              <w:t xml:space="preserve"> </w:t>
            </w:r>
            <w:r>
              <w:rPr>
                <w:sz w:val="18"/>
              </w:rPr>
              <w:t>10/2025</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South</w:t>
            </w:r>
            <w:r>
              <w:rPr>
                <w:spacing w:val="-2"/>
                <w:sz w:val="18"/>
              </w:rPr>
              <w:t xml:space="preserve"> </w:t>
            </w:r>
            <w:r>
              <w:rPr>
                <w:sz w:val="18"/>
              </w:rPr>
              <w:t>Papua</w:t>
            </w:r>
            <w:r>
              <w:rPr>
                <w:spacing w:val="-4"/>
                <w:sz w:val="18"/>
              </w:rPr>
              <w:t xml:space="preserve"> </w:t>
            </w:r>
            <w:r>
              <w:rPr>
                <w:sz w:val="18"/>
              </w:rPr>
              <w:t>Indigenous</w:t>
            </w:r>
            <w:r>
              <w:rPr>
                <w:spacing w:val="-2"/>
                <w:sz w:val="18"/>
              </w:rPr>
              <w:t xml:space="preserve"> </w:t>
            </w:r>
            <w:r>
              <w:rPr>
                <w:sz w:val="18"/>
              </w:rPr>
              <w:t>Information</w:t>
            </w:r>
            <w:r>
              <w:rPr>
                <w:spacing w:val="-3"/>
                <w:sz w:val="18"/>
              </w:rPr>
              <w:t xml:space="preserve"> </w:t>
            </w:r>
            <w:r>
              <w:rPr>
                <w:sz w:val="18"/>
              </w:rPr>
              <w:t>System</w:t>
            </w:r>
            <w:r>
              <w:rPr>
                <w:spacing w:val="-3"/>
                <w:sz w:val="18"/>
              </w:rPr>
              <w:t xml:space="preserve"> </w:t>
            </w:r>
            <w:r>
              <w:rPr>
                <w:spacing w:val="-2"/>
                <w:sz w:val="18"/>
              </w:rPr>
              <w:t>(SIRIOS)</w:t>
            </w:r>
          </w:p>
        </w:tc>
        <w:tc>
          <w:tcPr>
            <w:tcW w:w="1275" w:type="dxa"/>
            <w:tcBorders>
              <w:top w:val="single" w:sz="4" w:space="0" w:color="A6A6A6"/>
              <w:left w:val="single" w:sz="4" w:space="0" w:color="A6A6A6"/>
              <w:bottom w:val="single" w:sz="4" w:space="0" w:color="A6A6A6"/>
              <w:right w:val="single" w:sz="4" w:space="0" w:color="A6A6A6"/>
            </w:tcBorders>
          </w:tcPr>
          <w:p w14:paraId="1F499E43" w14:textId="77777777" w:rsidR="00BC24A8" w:rsidRDefault="00000000">
            <w:pPr>
              <w:pStyle w:val="TableParagraph"/>
              <w:spacing w:line="219" w:lineRule="exact"/>
              <w:ind w:left="106"/>
              <w:rPr>
                <w:sz w:val="18"/>
              </w:rPr>
            </w:pPr>
            <w:r>
              <w:rPr>
                <w:sz w:val="18"/>
              </w:rPr>
              <w:t>Papua</w:t>
            </w:r>
            <w:r>
              <w:rPr>
                <w:spacing w:val="-5"/>
                <w:sz w:val="18"/>
              </w:rPr>
              <w:t xml:space="preserve"> </w:t>
            </w:r>
            <w:r>
              <w:rPr>
                <w:spacing w:val="-2"/>
                <w:sz w:val="18"/>
              </w:rPr>
              <w:t>Selatan</w:t>
            </w:r>
          </w:p>
        </w:tc>
      </w:tr>
      <w:tr w:rsidR="00BC24A8" w14:paraId="76311D37"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1EE73AFD" w14:textId="77777777" w:rsidR="00BC24A8" w:rsidRDefault="00000000">
            <w:pPr>
              <w:pStyle w:val="TableParagraph"/>
              <w:spacing w:before="35"/>
              <w:ind w:left="9"/>
              <w:jc w:val="center"/>
              <w:rPr>
                <w:sz w:val="18"/>
              </w:rPr>
            </w:pPr>
            <w:r>
              <w:rPr>
                <w:spacing w:val="-5"/>
                <w:sz w:val="18"/>
              </w:rPr>
              <w:t>169</w:t>
            </w:r>
          </w:p>
        </w:tc>
        <w:tc>
          <w:tcPr>
            <w:tcW w:w="7760" w:type="dxa"/>
            <w:tcBorders>
              <w:top w:val="single" w:sz="4" w:space="0" w:color="A6A6A6"/>
              <w:left w:val="single" w:sz="4" w:space="0" w:color="A6A6A6"/>
              <w:bottom w:val="single" w:sz="4" w:space="0" w:color="A6A6A6"/>
              <w:right w:val="single" w:sz="4" w:space="0" w:color="A6A6A6"/>
            </w:tcBorders>
          </w:tcPr>
          <w:p w14:paraId="27CEBB4D" w14:textId="77777777" w:rsidR="00BC24A8" w:rsidRDefault="00000000">
            <w:pPr>
              <w:pStyle w:val="TableParagraph"/>
              <w:spacing w:line="219" w:lineRule="exact"/>
              <w:ind w:left="107"/>
              <w:rPr>
                <w:sz w:val="18"/>
              </w:rPr>
            </w:pPr>
            <w:r>
              <w:rPr>
                <w:sz w:val="18"/>
              </w:rPr>
              <w:t>BPS</w:t>
            </w:r>
            <w:r>
              <w:rPr>
                <w:spacing w:val="-7"/>
                <w:sz w:val="18"/>
              </w:rPr>
              <w:t xml:space="preserve"> </w:t>
            </w:r>
            <w:r>
              <w:rPr>
                <w:sz w:val="18"/>
              </w:rPr>
              <w:t>Recommendation</w:t>
            </w:r>
            <w:r>
              <w:rPr>
                <w:spacing w:val="-4"/>
                <w:sz w:val="18"/>
              </w:rPr>
              <w:t xml:space="preserve"> </w:t>
            </w:r>
            <w:r>
              <w:rPr>
                <w:sz w:val="18"/>
              </w:rPr>
              <w:t>Letter</w:t>
            </w:r>
            <w:r>
              <w:rPr>
                <w:spacing w:val="-4"/>
                <w:sz w:val="18"/>
              </w:rPr>
              <w:t xml:space="preserve"> </w:t>
            </w:r>
            <w:r>
              <w:rPr>
                <w:sz w:val="18"/>
              </w:rPr>
              <w:t>No.</w:t>
            </w:r>
            <w:r>
              <w:rPr>
                <w:spacing w:val="-6"/>
                <w:sz w:val="18"/>
              </w:rPr>
              <w:t xml:space="preserve"> </w:t>
            </w:r>
            <w:r>
              <w:rPr>
                <w:sz w:val="18"/>
              </w:rPr>
              <w:t>B-349/94563/VS.600/2024</w:t>
            </w:r>
            <w:r>
              <w:rPr>
                <w:spacing w:val="-4"/>
                <w:sz w:val="18"/>
              </w:rPr>
              <w:t xml:space="preserve"> </w:t>
            </w:r>
            <w:r>
              <w:rPr>
                <w:sz w:val="18"/>
              </w:rPr>
              <w:t>on</w:t>
            </w:r>
            <w:r>
              <w:rPr>
                <w:spacing w:val="-4"/>
                <w:sz w:val="18"/>
              </w:rPr>
              <w:t xml:space="preserve"> </w:t>
            </w:r>
            <w:r>
              <w:rPr>
                <w:sz w:val="18"/>
              </w:rPr>
              <w:t>Sectoral</w:t>
            </w:r>
            <w:r>
              <w:rPr>
                <w:spacing w:val="-4"/>
                <w:sz w:val="18"/>
              </w:rPr>
              <w:t xml:space="preserve"> </w:t>
            </w:r>
            <w:r>
              <w:rPr>
                <w:sz w:val="18"/>
              </w:rPr>
              <w:t>Statistical</w:t>
            </w:r>
            <w:r>
              <w:rPr>
                <w:spacing w:val="-3"/>
                <w:sz w:val="18"/>
              </w:rPr>
              <w:t xml:space="preserve"> </w:t>
            </w:r>
            <w:r>
              <w:rPr>
                <w:sz w:val="18"/>
              </w:rPr>
              <w:t>Activities</w:t>
            </w:r>
            <w:r>
              <w:rPr>
                <w:spacing w:val="-4"/>
                <w:sz w:val="18"/>
              </w:rPr>
              <w:t xml:space="preserve"> </w:t>
            </w:r>
            <w:r>
              <w:rPr>
                <w:spacing w:val="-2"/>
                <w:sz w:val="18"/>
              </w:rPr>
              <w:t>(SIRIOS)</w:t>
            </w:r>
          </w:p>
        </w:tc>
        <w:tc>
          <w:tcPr>
            <w:tcW w:w="1275" w:type="dxa"/>
            <w:tcBorders>
              <w:top w:val="single" w:sz="4" w:space="0" w:color="A6A6A6"/>
              <w:left w:val="single" w:sz="4" w:space="0" w:color="A6A6A6"/>
              <w:bottom w:val="single" w:sz="4" w:space="0" w:color="A6A6A6"/>
              <w:right w:val="single" w:sz="4" w:space="0" w:color="A6A6A6"/>
            </w:tcBorders>
          </w:tcPr>
          <w:p w14:paraId="40F44613" w14:textId="77777777" w:rsidR="00BC24A8" w:rsidRDefault="00000000">
            <w:pPr>
              <w:pStyle w:val="TableParagraph"/>
              <w:spacing w:line="219" w:lineRule="exact"/>
              <w:ind w:left="106"/>
              <w:rPr>
                <w:sz w:val="18"/>
              </w:rPr>
            </w:pPr>
            <w:r>
              <w:rPr>
                <w:sz w:val="18"/>
              </w:rPr>
              <w:t>Papua</w:t>
            </w:r>
            <w:r>
              <w:rPr>
                <w:spacing w:val="-5"/>
                <w:sz w:val="18"/>
              </w:rPr>
              <w:t xml:space="preserve"> </w:t>
            </w:r>
            <w:r>
              <w:rPr>
                <w:spacing w:val="-2"/>
                <w:sz w:val="18"/>
              </w:rPr>
              <w:t>Selatan</w:t>
            </w:r>
          </w:p>
        </w:tc>
      </w:tr>
      <w:tr w:rsidR="00BC24A8" w14:paraId="601B5B5C" w14:textId="77777777">
        <w:trPr>
          <w:trHeight w:val="239"/>
        </w:trPr>
        <w:tc>
          <w:tcPr>
            <w:tcW w:w="490" w:type="dxa"/>
            <w:tcBorders>
              <w:top w:val="single" w:sz="4" w:space="0" w:color="A6A6A6"/>
              <w:left w:val="single" w:sz="4" w:space="0" w:color="A6A6A6"/>
              <w:bottom w:val="single" w:sz="4" w:space="0" w:color="A6A6A6"/>
              <w:right w:val="single" w:sz="4" w:space="0" w:color="A6A6A6"/>
            </w:tcBorders>
          </w:tcPr>
          <w:p w14:paraId="553AD0C6" w14:textId="77777777" w:rsidR="00BC24A8" w:rsidRDefault="00000000">
            <w:pPr>
              <w:pStyle w:val="TableParagraph"/>
              <w:spacing w:before="11" w:line="209" w:lineRule="exact"/>
              <w:ind w:left="9"/>
              <w:jc w:val="center"/>
              <w:rPr>
                <w:sz w:val="18"/>
              </w:rPr>
            </w:pPr>
            <w:r>
              <w:rPr>
                <w:spacing w:val="-5"/>
                <w:sz w:val="18"/>
              </w:rPr>
              <w:t>170</w:t>
            </w:r>
          </w:p>
        </w:tc>
        <w:tc>
          <w:tcPr>
            <w:tcW w:w="7760" w:type="dxa"/>
            <w:tcBorders>
              <w:top w:val="single" w:sz="4" w:space="0" w:color="A6A6A6"/>
              <w:left w:val="single" w:sz="4" w:space="0" w:color="A6A6A6"/>
              <w:bottom w:val="single" w:sz="4" w:space="0" w:color="A6A6A6"/>
              <w:right w:val="single" w:sz="4" w:space="0" w:color="A6A6A6"/>
            </w:tcBorders>
          </w:tcPr>
          <w:p w14:paraId="4C681744" w14:textId="77777777" w:rsidR="00BC24A8" w:rsidRDefault="00000000">
            <w:pPr>
              <w:pStyle w:val="TableParagraph"/>
              <w:spacing w:line="219" w:lineRule="exact"/>
              <w:ind w:left="107"/>
              <w:rPr>
                <w:sz w:val="18"/>
              </w:rPr>
            </w:pPr>
            <w:r>
              <w:rPr>
                <w:sz w:val="18"/>
              </w:rPr>
              <w:t>South</w:t>
            </w:r>
            <w:r>
              <w:rPr>
                <w:spacing w:val="-4"/>
                <w:sz w:val="18"/>
              </w:rPr>
              <w:t xml:space="preserve"> </w:t>
            </w:r>
            <w:r>
              <w:rPr>
                <w:sz w:val="18"/>
              </w:rPr>
              <w:t>Papua</w:t>
            </w:r>
            <w:r>
              <w:rPr>
                <w:spacing w:val="-2"/>
                <w:sz w:val="18"/>
              </w:rPr>
              <w:t xml:space="preserve"> </w:t>
            </w:r>
            <w:r>
              <w:rPr>
                <w:sz w:val="18"/>
              </w:rPr>
              <w:t>Governor</w:t>
            </w:r>
            <w:r>
              <w:rPr>
                <w:spacing w:val="-2"/>
                <w:sz w:val="18"/>
              </w:rPr>
              <w:t xml:space="preserve"> </w:t>
            </w:r>
            <w:r>
              <w:rPr>
                <w:sz w:val="18"/>
              </w:rPr>
              <w:t>Regulation</w:t>
            </w:r>
            <w:r>
              <w:rPr>
                <w:spacing w:val="-4"/>
                <w:sz w:val="18"/>
              </w:rPr>
              <w:t xml:space="preserve"> </w:t>
            </w:r>
            <w:r>
              <w:rPr>
                <w:sz w:val="18"/>
              </w:rPr>
              <w:t>No.</w:t>
            </w:r>
            <w:r>
              <w:rPr>
                <w:spacing w:val="-3"/>
                <w:sz w:val="18"/>
              </w:rPr>
              <w:t xml:space="preserve"> </w:t>
            </w:r>
            <w:r>
              <w:rPr>
                <w:sz w:val="18"/>
              </w:rPr>
              <w:t>8</w:t>
            </w:r>
            <w:r>
              <w:rPr>
                <w:spacing w:val="-1"/>
                <w:sz w:val="18"/>
              </w:rPr>
              <w:t xml:space="preserve"> </w:t>
            </w:r>
            <w:r>
              <w:rPr>
                <w:sz w:val="18"/>
              </w:rPr>
              <w:t>of</w:t>
            </w:r>
            <w:r>
              <w:rPr>
                <w:spacing w:val="-3"/>
                <w:sz w:val="18"/>
              </w:rPr>
              <w:t xml:space="preserve"> </w:t>
            </w:r>
            <w:r>
              <w:rPr>
                <w:sz w:val="18"/>
              </w:rPr>
              <w:t>2025</w:t>
            </w:r>
            <w:r>
              <w:rPr>
                <w:spacing w:val="-1"/>
                <w:sz w:val="18"/>
              </w:rPr>
              <w:t xml:space="preserve"> </w:t>
            </w:r>
            <w:r>
              <w:rPr>
                <w:sz w:val="18"/>
              </w:rPr>
              <w:t>on</w:t>
            </w:r>
            <w:r>
              <w:rPr>
                <w:spacing w:val="-2"/>
                <w:sz w:val="18"/>
              </w:rPr>
              <w:t xml:space="preserve"> </w:t>
            </w:r>
            <w:r>
              <w:rPr>
                <w:sz w:val="18"/>
              </w:rPr>
              <w:t>South</w:t>
            </w:r>
            <w:r>
              <w:rPr>
                <w:spacing w:val="-1"/>
                <w:sz w:val="18"/>
              </w:rPr>
              <w:t xml:space="preserve"> </w:t>
            </w:r>
            <w:r>
              <w:rPr>
                <w:sz w:val="18"/>
              </w:rPr>
              <w:t>Papua</w:t>
            </w:r>
            <w:r>
              <w:rPr>
                <w:spacing w:val="-3"/>
                <w:sz w:val="18"/>
              </w:rPr>
              <w:t xml:space="preserve"> </w:t>
            </w:r>
            <w:r>
              <w:rPr>
                <w:sz w:val="18"/>
              </w:rPr>
              <w:t>One</w:t>
            </w:r>
            <w:r>
              <w:rPr>
                <w:spacing w:val="-1"/>
                <w:sz w:val="18"/>
              </w:rPr>
              <w:t xml:space="preserve"> </w:t>
            </w:r>
            <w:r>
              <w:rPr>
                <w:sz w:val="18"/>
              </w:rPr>
              <w:t>Data</w:t>
            </w:r>
            <w:r>
              <w:rPr>
                <w:spacing w:val="-3"/>
                <w:sz w:val="18"/>
              </w:rPr>
              <w:t xml:space="preserve"> </w:t>
            </w:r>
            <w:r>
              <w:rPr>
                <w:sz w:val="18"/>
              </w:rPr>
              <w:t>Integration</w:t>
            </w:r>
            <w:r>
              <w:rPr>
                <w:spacing w:val="-1"/>
                <w:sz w:val="18"/>
              </w:rPr>
              <w:t xml:space="preserve"> </w:t>
            </w:r>
            <w:r>
              <w:rPr>
                <w:spacing w:val="-2"/>
                <w:sz w:val="18"/>
              </w:rPr>
              <w:t>(PASSTI)</w:t>
            </w:r>
          </w:p>
        </w:tc>
        <w:tc>
          <w:tcPr>
            <w:tcW w:w="1275" w:type="dxa"/>
            <w:tcBorders>
              <w:top w:val="single" w:sz="4" w:space="0" w:color="A6A6A6"/>
              <w:left w:val="single" w:sz="4" w:space="0" w:color="A6A6A6"/>
              <w:bottom w:val="single" w:sz="4" w:space="0" w:color="A6A6A6"/>
              <w:right w:val="single" w:sz="4" w:space="0" w:color="A6A6A6"/>
            </w:tcBorders>
          </w:tcPr>
          <w:p w14:paraId="505175A7" w14:textId="77777777" w:rsidR="00BC24A8" w:rsidRDefault="00000000">
            <w:pPr>
              <w:pStyle w:val="TableParagraph"/>
              <w:spacing w:line="219" w:lineRule="exact"/>
              <w:ind w:left="106"/>
              <w:rPr>
                <w:sz w:val="18"/>
              </w:rPr>
            </w:pPr>
            <w:r>
              <w:rPr>
                <w:sz w:val="18"/>
              </w:rPr>
              <w:t>Papua</w:t>
            </w:r>
            <w:r>
              <w:rPr>
                <w:spacing w:val="-5"/>
                <w:sz w:val="18"/>
              </w:rPr>
              <w:t xml:space="preserve"> </w:t>
            </w:r>
            <w:r>
              <w:rPr>
                <w:spacing w:val="-2"/>
                <w:sz w:val="18"/>
              </w:rPr>
              <w:t>Selatan</w:t>
            </w:r>
          </w:p>
        </w:tc>
      </w:tr>
      <w:tr w:rsidR="00BC24A8" w14:paraId="09F103C6" w14:textId="77777777">
        <w:trPr>
          <w:trHeight w:val="438"/>
        </w:trPr>
        <w:tc>
          <w:tcPr>
            <w:tcW w:w="490" w:type="dxa"/>
            <w:tcBorders>
              <w:top w:val="single" w:sz="4" w:space="0" w:color="A6A6A6"/>
              <w:left w:val="single" w:sz="4" w:space="0" w:color="A6A6A6"/>
              <w:bottom w:val="single" w:sz="4" w:space="0" w:color="A6A6A6"/>
              <w:right w:val="single" w:sz="4" w:space="0" w:color="A6A6A6"/>
            </w:tcBorders>
          </w:tcPr>
          <w:p w14:paraId="148CD482" w14:textId="77777777" w:rsidR="00BC24A8" w:rsidRDefault="00000000">
            <w:pPr>
              <w:pStyle w:val="TableParagraph"/>
              <w:spacing w:before="109"/>
              <w:ind w:left="9"/>
              <w:jc w:val="center"/>
              <w:rPr>
                <w:sz w:val="18"/>
              </w:rPr>
            </w:pPr>
            <w:r>
              <w:rPr>
                <w:spacing w:val="-5"/>
                <w:sz w:val="18"/>
              </w:rPr>
              <w:t>171</w:t>
            </w:r>
          </w:p>
        </w:tc>
        <w:tc>
          <w:tcPr>
            <w:tcW w:w="7760" w:type="dxa"/>
            <w:tcBorders>
              <w:top w:val="single" w:sz="4" w:space="0" w:color="A6A6A6"/>
              <w:left w:val="single" w:sz="4" w:space="0" w:color="A6A6A6"/>
              <w:bottom w:val="single" w:sz="4" w:space="0" w:color="A6A6A6"/>
              <w:right w:val="single" w:sz="4" w:space="0" w:color="A6A6A6"/>
            </w:tcBorders>
          </w:tcPr>
          <w:p w14:paraId="79C12AE8" w14:textId="77777777" w:rsidR="00BC24A8" w:rsidRDefault="00000000">
            <w:pPr>
              <w:pStyle w:val="TableParagraph"/>
              <w:spacing w:line="219" w:lineRule="exact"/>
              <w:ind w:left="107"/>
              <w:rPr>
                <w:sz w:val="18"/>
              </w:rPr>
            </w:pPr>
            <w:r>
              <w:rPr>
                <w:sz w:val="18"/>
              </w:rPr>
              <w:t>Governor</w:t>
            </w:r>
            <w:r>
              <w:rPr>
                <w:spacing w:val="-5"/>
                <w:sz w:val="18"/>
              </w:rPr>
              <w:t xml:space="preserve"> </w:t>
            </w:r>
            <w:r>
              <w:rPr>
                <w:sz w:val="18"/>
              </w:rPr>
              <w:t>Decree</w:t>
            </w:r>
            <w:r>
              <w:rPr>
                <w:spacing w:val="-2"/>
                <w:sz w:val="18"/>
              </w:rPr>
              <w:t xml:space="preserve"> </w:t>
            </w:r>
            <w:r>
              <w:rPr>
                <w:sz w:val="18"/>
              </w:rPr>
              <w:t>No.</w:t>
            </w:r>
            <w:r>
              <w:rPr>
                <w:spacing w:val="-4"/>
                <w:sz w:val="18"/>
              </w:rPr>
              <w:t xml:space="preserve"> </w:t>
            </w:r>
            <w:r>
              <w:rPr>
                <w:sz w:val="18"/>
              </w:rPr>
              <w:t>400.2/125</w:t>
            </w:r>
            <w:r>
              <w:rPr>
                <w:spacing w:val="-2"/>
                <w:sz w:val="18"/>
              </w:rPr>
              <w:t xml:space="preserve"> </w:t>
            </w:r>
            <w:r>
              <w:rPr>
                <w:sz w:val="18"/>
              </w:rPr>
              <w:t>of</w:t>
            </w:r>
            <w:r>
              <w:rPr>
                <w:spacing w:val="-3"/>
                <w:sz w:val="18"/>
              </w:rPr>
              <w:t xml:space="preserve"> </w:t>
            </w:r>
            <w:r>
              <w:rPr>
                <w:sz w:val="18"/>
              </w:rPr>
              <w:t>2025</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South</w:t>
            </w:r>
            <w:r>
              <w:rPr>
                <w:spacing w:val="-2"/>
                <w:sz w:val="18"/>
              </w:rPr>
              <w:t xml:space="preserve"> </w:t>
            </w:r>
            <w:r>
              <w:rPr>
                <w:sz w:val="18"/>
              </w:rPr>
              <w:t>Papua</w:t>
            </w:r>
            <w:r>
              <w:rPr>
                <w:spacing w:val="-3"/>
                <w:sz w:val="18"/>
              </w:rPr>
              <w:t xml:space="preserve"> </w:t>
            </w:r>
            <w:r>
              <w:rPr>
                <w:sz w:val="18"/>
              </w:rPr>
              <w:t>Gender</w:t>
            </w:r>
            <w:r>
              <w:rPr>
                <w:spacing w:val="-3"/>
                <w:sz w:val="18"/>
              </w:rPr>
              <w:t xml:space="preserve"> </w:t>
            </w:r>
            <w:r>
              <w:rPr>
                <w:sz w:val="18"/>
              </w:rPr>
              <w:t>Mainstreaming</w:t>
            </w:r>
            <w:r>
              <w:rPr>
                <w:spacing w:val="-3"/>
                <w:sz w:val="18"/>
              </w:rPr>
              <w:t xml:space="preserve"> </w:t>
            </w:r>
            <w:r>
              <w:rPr>
                <w:sz w:val="18"/>
              </w:rPr>
              <w:t>Working</w:t>
            </w:r>
            <w:r>
              <w:rPr>
                <w:spacing w:val="-3"/>
                <w:sz w:val="18"/>
              </w:rPr>
              <w:t xml:space="preserve"> </w:t>
            </w:r>
            <w:r>
              <w:rPr>
                <w:spacing w:val="-2"/>
                <w:sz w:val="18"/>
              </w:rPr>
              <w:t>Group</w:t>
            </w:r>
          </w:p>
          <w:p w14:paraId="02980284" w14:textId="77777777" w:rsidR="00BC24A8" w:rsidRDefault="00000000">
            <w:pPr>
              <w:pStyle w:val="TableParagraph"/>
              <w:spacing w:before="1" w:line="199" w:lineRule="exact"/>
              <w:ind w:left="107"/>
              <w:rPr>
                <w:sz w:val="18"/>
              </w:rPr>
            </w:pPr>
            <w:r>
              <w:rPr>
                <w:spacing w:val="-4"/>
                <w:sz w:val="18"/>
              </w:rPr>
              <w:t>Team</w:t>
            </w:r>
          </w:p>
        </w:tc>
        <w:tc>
          <w:tcPr>
            <w:tcW w:w="1275" w:type="dxa"/>
            <w:tcBorders>
              <w:top w:val="single" w:sz="4" w:space="0" w:color="A6A6A6"/>
              <w:left w:val="single" w:sz="4" w:space="0" w:color="A6A6A6"/>
              <w:bottom w:val="single" w:sz="4" w:space="0" w:color="A6A6A6"/>
              <w:right w:val="single" w:sz="4" w:space="0" w:color="A6A6A6"/>
            </w:tcBorders>
          </w:tcPr>
          <w:p w14:paraId="1CA53BBA" w14:textId="77777777" w:rsidR="00BC24A8" w:rsidRDefault="00000000">
            <w:pPr>
              <w:pStyle w:val="TableParagraph"/>
              <w:spacing w:line="219" w:lineRule="exact"/>
              <w:ind w:left="106"/>
              <w:rPr>
                <w:sz w:val="18"/>
              </w:rPr>
            </w:pPr>
            <w:r>
              <w:rPr>
                <w:sz w:val="18"/>
              </w:rPr>
              <w:t>Papua</w:t>
            </w:r>
            <w:r>
              <w:rPr>
                <w:spacing w:val="-5"/>
                <w:sz w:val="18"/>
              </w:rPr>
              <w:t xml:space="preserve"> </w:t>
            </w:r>
            <w:r>
              <w:rPr>
                <w:spacing w:val="-2"/>
                <w:sz w:val="18"/>
              </w:rPr>
              <w:t>Selatan</w:t>
            </w:r>
          </w:p>
        </w:tc>
      </w:tr>
      <w:tr w:rsidR="00BC24A8" w14:paraId="2A64361A" w14:textId="77777777">
        <w:trPr>
          <w:trHeight w:val="479"/>
        </w:trPr>
        <w:tc>
          <w:tcPr>
            <w:tcW w:w="490" w:type="dxa"/>
            <w:tcBorders>
              <w:top w:val="single" w:sz="4" w:space="0" w:color="A6A6A6"/>
              <w:left w:val="single" w:sz="4" w:space="0" w:color="A6A6A6"/>
              <w:bottom w:val="single" w:sz="4" w:space="0" w:color="A6A6A6"/>
              <w:right w:val="single" w:sz="4" w:space="0" w:color="A6A6A6"/>
            </w:tcBorders>
          </w:tcPr>
          <w:p w14:paraId="7E2A8C0E" w14:textId="77777777" w:rsidR="00BC24A8" w:rsidRDefault="00000000">
            <w:pPr>
              <w:pStyle w:val="TableParagraph"/>
              <w:spacing w:before="131"/>
              <w:ind w:left="9"/>
              <w:jc w:val="center"/>
              <w:rPr>
                <w:sz w:val="18"/>
              </w:rPr>
            </w:pPr>
            <w:r>
              <w:rPr>
                <w:spacing w:val="-5"/>
                <w:sz w:val="18"/>
              </w:rPr>
              <w:t>172</w:t>
            </w:r>
          </w:p>
        </w:tc>
        <w:tc>
          <w:tcPr>
            <w:tcW w:w="7760" w:type="dxa"/>
            <w:tcBorders>
              <w:top w:val="single" w:sz="4" w:space="0" w:color="A6A6A6"/>
              <w:left w:val="single" w:sz="4" w:space="0" w:color="A6A6A6"/>
              <w:bottom w:val="single" w:sz="4" w:space="0" w:color="A6A6A6"/>
              <w:right w:val="single" w:sz="4" w:space="0" w:color="A6A6A6"/>
            </w:tcBorders>
          </w:tcPr>
          <w:p w14:paraId="414C0014" w14:textId="77777777" w:rsidR="00BC24A8" w:rsidRDefault="00000000">
            <w:pPr>
              <w:pStyle w:val="TableParagraph"/>
              <w:spacing w:before="1"/>
              <w:ind w:left="107" w:right="122"/>
              <w:rPr>
                <w:sz w:val="18"/>
              </w:rPr>
            </w:pPr>
            <w:r>
              <w:rPr>
                <w:sz w:val="18"/>
              </w:rPr>
              <w:t>South</w:t>
            </w:r>
            <w:r>
              <w:rPr>
                <w:spacing w:val="-3"/>
                <w:sz w:val="18"/>
              </w:rPr>
              <w:t xml:space="preserve"> </w:t>
            </w:r>
            <w:r>
              <w:rPr>
                <w:sz w:val="18"/>
              </w:rPr>
              <w:t>Papua</w:t>
            </w:r>
            <w:r>
              <w:rPr>
                <w:spacing w:val="-4"/>
                <w:sz w:val="18"/>
              </w:rPr>
              <w:t xml:space="preserve"> </w:t>
            </w:r>
            <w:r>
              <w:rPr>
                <w:sz w:val="18"/>
              </w:rPr>
              <w:t>Governor</w:t>
            </w:r>
            <w:r>
              <w:rPr>
                <w:spacing w:val="-3"/>
                <w:sz w:val="18"/>
              </w:rPr>
              <w:t xml:space="preserve"> </w:t>
            </w:r>
            <w:r>
              <w:rPr>
                <w:sz w:val="18"/>
              </w:rPr>
              <w:t>Decree</w:t>
            </w:r>
            <w:r>
              <w:rPr>
                <w:spacing w:val="-3"/>
                <w:sz w:val="18"/>
              </w:rPr>
              <w:t xml:space="preserve"> </w:t>
            </w:r>
            <w:r>
              <w:rPr>
                <w:sz w:val="18"/>
              </w:rPr>
              <w:t>No.</w:t>
            </w:r>
            <w:r>
              <w:rPr>
                <w:spacing w:val="-4"/>
                <w:sz w:val="18"/>
              </w:rPr>
              <w:t xml:space="preserve"> </w:t>
            </w:r>
            <w:r>
              <w:rPr>
                <w:sz w:val="18"/>
              </w:rPr>
              <w:t>600.4</w:t>
            </w:r>
            <w:r>
              <w:rPr>
                <w:spacing w:val="-3"/>
                <w:sz w:val="18"/>
              </w:rPr>
              <w:t xml:space="preserve"> </w:t>
            </w:r>
            <w:r>
              <w:rPr>
                <w:sz w:val="18"/>
              </w:rPr>
              <w:t>/780/</w:t>
            </w:r>
            <w:r>
              <w:rPr>
                <w:spacing w:val="-4"/>
                <w:sz w:val="18"/>
              </w:rPr>
              <w:t xml:space="preserve"> </w:t>
            </w:r>
            <w:r>
              <w:rPr>
                <w:sz w:val="18"/>
              </w:rPr>
              <w:t>TAHUN</w:t>
            </w:r>
            <w:r>
              <w:rPr>
                <w:spacing w:val="-3"/>
                <w:sz w:val="18"/>
              </w:rPr>
              <w:t xml:space="preserve"> </w:t>
            </w:r>
            <w:r>
              <w:rPr>
                <w:sz w:val="18"/>
              </w:rPr>
              <w:t>2023</w:t>
            </w:r>
            <w:r>
              <w:rPr>
                <w:spacing w:val="-3"/>
                <w:sz w:val="18"/>
              </w:rPr>
              <w:t xml:space="preserve"> </w:t>
            </w:r>
            <w:r>
              <w:rPr>
                <w:sz w:val="18"/>
              </w:rPr>
              <w:t>on</w:t>
            </w:r>
            <w:r>
              <w:rPr>
                <w:spacing w:val="-3"/>
                <w:sz w:val="18"/>
              </w:rPr>
              <w:t xml:space="preserve"> </w:t>
            </w:r>
            <w:r>
              <w:rPr>
                <w:sz w:val="18"/>
              </w:rPr>
              <w:t>MSS</w:t>
            </w:r>
            <w:r>
              <w:rPr>
                <w:spacing w:val="-3"/>
                <w:sz w:val="18"/>
              </w:rPr>
              <w:t xml:space="preserve"> </w:t>
            </w:r>
            <w:r>
              <w:rPr>
                <w:sz w:val="18"/>
              </w:rPr>
              <w:t>Implementation</w:t>
            </w:r>
            <w:r>
              <w:rPr>
                <w:spacing w:val="-3"/>
                <w:sz w:val="18"/>
              </w:rPr>
              <w:t xml:space="preserve"> </w:t>
            </w:r>
            <w:r>
              <w:rPr>
                <w:sz w:val="18"/>
              </w:rPr>
              <w:t>Team</w:t>
            </w:r>
            <w:r>
              <w:rPr>
                <w:spacing w:val="-4"/>
                <w:sz w:val="18"/>
              </w:rPr>
              <w:t xml:space="preserve"> </w:t>
            </w:r>
            <w:r>
              <w:rPr>
                <w:sz w:val="18"/>
              </w:rPr>
              <w:t>of</w:t>
            </w:r>
            <w:r>
              <w:rPr>
                <w:spacing w:val="-4"/>
                <w:sz w:val="18"/>
              </w:rPr>
              <w:t xml:space="preserve"> </w:t>
            </w:r>
            <w:r>
              <w:rPr>
                <w:sz w:val="18"/>
              </w:rPr>
              <w:t>South Papua</w:t>
            </w:r>
            <w:r>
              <w:rPr>
                <w:spacing w:val="-2"/>
                <w:sz w:val="18"/>
              </w:rPr>
              <w:t xml:space="preserve"> </w:t>
            </w:r>
            <w:r>
              <w:rPr>
                <w:sz w:val="18"/>
              </w:rPr>
              <w:t>Province</w:t>
            </w:r>
          </w:p>
        </w:tc>
        <w:tc>
          <w:tcPr>
            <w:tcW w:w="1275" w:type="dxa"/>
            <w:tcBorders>
              <w:top w:val="single" w:sz="4" w:space="0" w:color="A6A6A6"/>
              <w:left w:val="single" w:sz="4" w:space="0" w:color="A6A6A6"/>
              <w:bottom w:val="single" w:sz="4" w:space="0" w:color="A6A6A6"/>
              <w:right w:val="single" w:sz="4" w:space="0" w:color="A6A6A6"/>
            </w:tcBorders>
          </w:tcPr>
          <w:p w14:paraId="1BABD702" w14:textId="77777777" w:rsidR="00BC24A8" w:rsidRDefault="00000000">
            <w:pPr>
              <w:pStyle w:val="TableParagraph"/>
              <w:spacing w:before="1"/>
              <w:ind w:left="106"/>
              <w:rPr>
                <w:sz w:val="18"/>
              </w:rPr>
            </w:pPr>
            <w:r>
              <w:rPr>
                <w:sz w:val="18"/>
              </w:rPr>
              <w:t>Papua</w:t>
            </w:r>
            <w:r>
              <w:rPr>
                <w:spacing w:val="-5"/>
                <w:sz w:val="18"/>
              </w:rPr>
              <w:t xml:space="preserve"> </w:t>
            </w:r>
            <w:r>
              <w:rPr>
                <w:spacing w:val="-2"/>
                <w:sz w:val="18"/>
              </w:rPr>
              <w:t>Selatan</w:t>
            </w:r>
          </w:p>
        </w:tc>
      </w:tr>
      <w:tr w:rsidR="00BC24A8" w14:paraId="2F0E75B2" w14:textId="77777777">
        <w:trPr>
          <w:trHeight w:val="290"/>
        </w:trPr>
        <w:tc>
          <w:tcPr>
            <w:tcW w:w="490" w:type="dxa"/>
            <w:tcBorders>
              <w:top w:val="single" w:sz="4" w:space="0" w:color="A6A6A6"/>
              <w:left w:val="single" w:sz="4" w:space="0" w:color="A6A6A6"/>
              <w:bottom w:val="single" w:sz="4" w:space="0" w:color="A6A6A6"/>
              <w:right w:val="single" w:sz="4" w:space="0" w:color="A6A6A6"/>
            </w:tcBorders>
          </w:tcPr>
          <w:p w14:paraId="617C5D22" w14:textId="77777777" w:rsidR="00BC24A8" w:rsidRDefault="00000000">
            <w:pPr>
              <w:pStyle w:val="TableParagraph"/>
              <w:spacing w:before="37"/>
              <w:ind w:left="9"/>
              <w:jc w:val="center"/>
              <w:rPr>
                <w:sz w:val="18"/>
              </w:rPr>
            </w:pPr>
            <w:r>
              <w:rPr>
                <w:spacing w:val="-5"/>
                <w:sz w:val="18"/>
              </w:rPr>
              <w:t>173</w:t>
            </w:r>
          </w:p>
        </w:tc>
        <w:tc>
          <w:tcPr>
            <w:tcW w:w="7760" w:type="dxa"/>
            <w:tcBorders>
              <w:top w:val="single" w:sz="4" w:space="0" w:color="A6A6A6"/>
              <w:left w:val="single" w:sz="4" w:space="0" w:color="A6A6A6"/>
              <w:bottom w:val="single" w:sz="4" w:space="0" w:color="A6A6A6"/>
              <w:right w:val="single" w:sz="4" w:space="0" w:color="A6A6A6"/>
            </w:tcBorders>
          </w:tcPr>
          <w:p w14:paraId="7B0DCB72" w14:textId="77777777" w:rsidR="00BC24A8" w:rsidRDefault="00000000">
            <w:pPr>
              <w:pStyle w:val="TableParagraph"/>
              <w:spacing w:before="1"/>
              <w:ind w:left="107"/>
              <w:rPr>
                <w:sz w:val="18"/>
              </w:rPr>
            </w:pPr>
            <w:r>
              <w:rPr>
                <w:sz w:val="18"/>
              </w:rPr>
              <w:t>South</w:t>
            </w:r>
            <w:r>
              <w:rPr>
                <w:spacing w:val="-2"/>
                <w:sz w:val="18"/>
              </w:rPr>
              <w:t xml:space="preserve"> </w:t>
            </w:r>
            <w:r>
              <w:rPr>
                <w:sz w:val="18"/>
              </w:rPr>
              <w:t>Papua</w:t>
            </w:r>
            <w:r>
              <w:rPr>
                <w:spacing w:val="-3"/>
                <w:sz w:val="18"/>
              </w:rPr>
              <w:t xml:space="preserve"> </w:t>
            </w:r>
            <w:r>
              <w:rPr>
                <w:sz w:val="18"/>
              </w:rPr>
              <w:t>Governor</w:t>
            </w:r>
            <w:r>
              <w:rPr>
                <w:spacing w:val="-2"/>
                <w:sz w:val="18"/>
              </w:rPr>
              <w:t xml:space="preserve"> </w:t>
            </w:r>
            <w:r>
              <w:rPr>
                <w:sz w:val="18"/>
              </w:rPr>
              <w:t>Decree</w:t>
            </w:r>
            <w:r>
              <w:rPr>
                <w:spacing w:val="-2"/>
                <w:sz w:val="18"/>
              </w:rPr>
              <w:t xml:space="preserve"> </w:t>
            </w:r>
            <w:r>
              <w:rPr>
                <w:sz w:val="18"/>
              </w:rPr>
              <w:t>on</w:t>
            </w:r>
            <w:r>
              <w:rPr>
                <w:spacing w:val="-2"/>
                <w:sz w:val="18"/>
              </w:rPr>
              <w:t xml:space="preserve"> </w:t>
            </w:r>
            <w:r>
              <w:rPr>
                <w:sz w:val="18"/>
              </w:rPr>
              <w:t>MSS</w:t>
            </w:r>
            <w:r>
              <w:rPr>
                <w:spacing w:val="-2"/>
                <w:sz w:val="18"/>
              </w:rPr>
              <w:t xml:space="preserve"> </w:t>
            </w:r>
            <w:r>
              <w:rPr>
                <w:sz w:val="18"/>
              </w:rPr>
              <w:t>Achievement</w:t>
            </w:r>
            <w:r>
              <w:rPr>
                <w:spacing w:val="-1"/>
                <w:sz w:val="18"/>
              </w:rPr>
              <w:t xml:space="preserve"> </w:t>
            </w:r>
            <w:r>
              <w:rPr>
                <w:sz w:val="18"/>
              </w:rPr>
              <w:t>Targets</w:t>
            </w:r>
            <w:r>
              <w:rPr>
                <w:spacing w:val="-2"/>
                <w:sz w:val="18"/>
              </w:rPr>
              <w:t xml:space="preserve"> </w:t>
            </w:r>
            <w:r>
              <w:rPr>
                <w:sz w:val="18"/>
              </w:rPr>
              <w:t>in</w:t>
            </w:r>
            <w:r>
              <w:rPr>
                <w:spacing w:val="-1"/>
                <w:sz w:val="18"/>
              </w:rPr>
              <w:t xml:space="preserve"> </w:t>
            </w:r>
            <w:r>
              <w:rPr>
                <w:spacing w:val="-4"/>
                <w:sz w:val="18"/>
              </w:rPr>
              <w:t>2025</w:t>
            </w:r>
          </w:p>
        </w:tc>
        <w:tc>
          <w:tcPr>
            <w:tcW w:w="1275" w:type="dxa"/>
            <w:tcBorders>
              <w:top w:val="single" w:sz="4" w:space="0" w:color="A6A6A6"/>
              <w:left w:val="single" w:sz="4" w:space="0" w:color="A6A6A6"/>
              <w:bottom w:val="single" w:sz="4" w:space="0" w:color="A6A6A6"/>
              <w:right w:val="single" w:sz="4" w:space="0" w:color="A6A6A6"/>
            </w:tcBorders>
          </w:tcPr>
          <w:p w14:paraId="5B42DC68" w14:textId="77777777" w:rsidR="00BC24A8" w:rsidRDefault="00000000">
            <w:pPr>
              <w:pStyle w:val="TableParagraph"/>
              <w:spacing w:before="1"/>
              <w:ind w:left="106"/>
              <w:rPr>
                <w:sz w:val="18"/>
              </w:rPr>
            </w:pPr>
            <w:r>
              <w:rPr>
                <w:sz w:val="18"/>
              </w:rPr>
              <w:t>Papua</w:t>
            </w:r>
            <w:r>
              <w:rPr>
                <w:spacing w:val="-5"/>
                <w:sz w:val="18"/>
              </w:rPr>
              <w:t xml:space="preserve"> </w:t>
            </w:r>
            <w:r>
              <w:rPr>
                <w:spacing w:val="-2"/>
                <w:sz w:val="18"/>
              </w:rPr>
              <w:t>Selatan</w:t>
            </w:r>
          </w:p>
        </w:tc>
      </w:tr>
    </w:tbl>
    <w:p w14:paraId="58C6076D" w14:textId="77777777" w:rsidR="00BC24A8" w:rsidRDefault="00BC24A8">
      <w:pPr>
        <w:pStyle w:val="TableParagraph"/>
        <w:rPr>
          <w:sz w:val="18"/>
        </w:rPr>
        <w:sectPr w:rsidR="00BC24A8">
          <w:type w:val="continuous"/>
          <w:pgSz w:w="11910" w:h="16840"/>
          <w:pgMar w:top="1380" w:right="850" w:bottom="1100" w:left="1275" w:header="0" w:footer="907" w:gutter="0"/>
          <w:cols w:space="720"/>
        </w:sectPr>
      </w:pPr>
    </w:p>
    <w:p w14:paraId="4017D1AA" w14:textId="77777777" w:rsidR="00BC24A8" w:rsidRDefault="00000000">
      <w:pPr>
        <w:spacing w:before="81"/>
        <w:ind w:left="143"/>
        <w:rPr>
          <w:rFonts w:ascii="Trebuchet MS"/>
          <w:b/>
          <w:sz w:val="28"/>
        </w:rPr>
      </w:pPr>
      <w:r>
        <w:rPr>
          <w:rFonts w:ascii="Trebuchet MS"/>
          <w:b/>
          <w:color w:val="137D87"/>
          <w:spacing w:val="-12"/>
          <w:sz w:val="28"/>
        </w:rPr>
        <w:lastRenderedPageBreak/>
        <w:t>SKALA</w:t>
      </w:r>
      <w:r>
        <w:rPr>
          <w:rFonts w:ascii="Trebuchet MS"/>
          <w:b/>
          <w:color w:val="137D87"/>
          <w:spacing w:val="-42"/>
          <w:sz w:val="28"/>
        </w:rPr>
        <w:t xml:space="preserve"> </w:t>
      </w:r>
      <w:r>
        <w:rPr>
          <w:rFonts w:ascii="Trebuchet MS"/>
          <w:b/>
          <w:color w:val="137D87"/>
          <w:spacing w:val="-12"/>
          <w:sz w:val="28"/>
        </w:rPr>
        <w:t>Publications</w:t>
      </w:r>
      <w:r>
        <w:rPr>
          <w:rFonts w:ascii="Trebuchet MS"/>
          <w:b/>
          <w:color w:val="137D87"/>
          <w:spacing w:val="-44"/>
          <w:sz w:val="28"/>
        </w:rPr>
        <w:t xml:space="preserve"> </w:t>
      </w:r>
      <w:r>
        <w:rPr>
          <w:rFonts w:ascii="Trebuchet MS"/>
          <w:b/>
          <w:color w:val="137D87"/>
          <w:spacing w:val="-12"/>
          <w:sz w:val="28"/>
        </w:rPr>
        <w:t>(policy</w:t>
      </w:r>
      <w:r>
        <w:rPr>
          <w:rFonts w:ascii="Trebuchet MS"/>
          <w:b/>
          <w:color w:val="137D87"/>
          <w:spacing w:val="-45"/>
          <w:sz w:val="28"/>
        </w:rPr>
        <w:t xml:space="preserve"> </w:t>
      </w:r>
      <w:r>
        <w:rPr>
          <w:rFonts w:ascii="Trebuchet MS"/>
          <w:b/>
          <w:color w:val="137D87"/>
          <w:spacing w:val="-12"/>
          <w:sz w:val="28"/>
        </w:rPr>
        <w:t>briefs,</w:t>
      </w:r>
      <w:r>
        <w:rPr>
          <w:rFonts w:ascii="Trebuchet MS"/>
          <w:b/>
          <w:color w:val="137D87"/>
          <w:spacing w:val="-46"/>
          <w:sz w:val="28"/>
        </w:rPr>
        <w:t xml:space="preserve"> </w:t>
      </w:r>
      <w:r>
        <w:rPr>
          <w:rFonts w:ascii="Trebuchet MS"/>
          <w:b/>
          <w:color w:val="137D87"/>
          <w:spacing w:val="-12"/>
          <w:sz w:val="28"/>
        </w:rPr>
        <w:t>info</w:t>
      </w:r>
      <w:r>
        <w:rPr>
          <w:rFonts w:ascii="Trebuchet MS"/>
          <w:b/>
          <w:color w:val="137D87"/>
          <w:spacing w:val="-46"/>
          <w:sz w:val="28"/>
        </w:rPr>
        <w:t xml:space="preserve"> </w:t>
      </w:r>
      <w:r>
        <w:rPr>
          <w:rFonts w:ascii="Trebuchet MS"/>
          <w:b/>
          <w:color w:val="137D87"/>
          <w:spacing w:val="-12"/>
          <w:sz w:val="28"/>
        </w:rPr>
        <w:t>briefs)</w:t>
      </w:r>
    </w:p>
    <w:p w14:paraId="6CD34444" w14:textId="77777777" w:rsidR="00BC24A8" w:rsidRDefault="00BC24A8">
      <w:pPr>
        <w:pStyle w:val="BodyText"/>
        <w:spacing w:before="3"/>
        <w:rPr>
          <w:rFonts w:ascii="Trebuchet MS"/>
          <w:b/>
          <w:sz w:val="8"/>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955"/>
        <w:gridCol w:w="6993"/>
        <w:gridCol w:w="1096"/>
      </w:tblGrid>
      <w:tr w:rsidR="00BC24A8" w14:paraId="4E82A728" w14:textId="77777777">
        <w:trPr>
          <w:trHeight w:val="414"/>
        </w:trPr>
        <w:tc>
          <w:tcPr>
            <w:tcW w:w="552" w:type="dxa"/>
            <w:tcBorders>
              <w:bottom w:val="single" w:sz="4" w:space="0" w:color="A6A6A6"/>
              <w:right w:val="single" w:sz="18" w:space="0" w:color="F1F1F1"/>
            </w:tcBorders>
            <w:shd w:val="clear" w:color="auto" w:fill="17365A"/>
          </w:tcPr>
          <w:p w14:paraId="7FEED8EA" w14:textId="77777777" w:rsidR="00BC24A8" w:rsidRDefault="00000000">
            <w:pPr>
              <w:pStyle w:val="TableParagraph"/>
              <w:spacing w:before="85"/>
              <w:ind w:right="126"/>
              <w:jc w:val="right"/>
              <w:rPr>
                <w:rFonts w:ascii="Calibri"/>
                <w:b/>
                <w:sz w:val="20"/>
              </w:rPr>
            </w:pPr>
            <w:r>
              <w:rPr>
                <w:rFonts w:ascii="Calibri"/>
                <w:b/>
                <w:color w:val="FFFFFF"/>
                <w:spacing w:val="-5"/>
                <w:sz w:val="20"/>
              </w:rPr>
              <w:t>No</w:t>
            </w:r>
          </w:p>
        </w:tc>
        <w:tc>
          <w:tcPr>
            <w:tcW w:w="955" w:type="dxa"/>
            <w:tcBorders>
              <w:left w:val="single" w:sz="18" w:space="0" w:color="F1F1F1"/>
              <w:bottom w:val="single" w:sz="4" w:space="0" w:color="A6A6A6"/>
              <w:right w:val="single" w:sz="18" w:space="0" w:color="F1F1F1"/>
            </w:tcBorders>
            <w:shd w:val="clear" w:color="auto" w:fill="17365A"/>
          </w:tcPr>
          <w:p w14:paraId="09047EB9" w14:textId="77777777" w:rsidR="00BC24A8" w:rsidRDefault="00000000">
            <w:pPr>
              <w:pStyle w:val="TableParagraph"/>
              <w:spacing w:before="85"/>
              <w:ind w:left="188"/>
              <w:rPr>
                <w:rFonts w:ascii="Calibri"/>
                <w:b/>
                <w:sz w:val="20"/>
              </w:rPr>
            </w:pPr>
            <w:r>
              <w:rPr>
                <w:rFonts w:ascii="Calibri"/>
                <w:b/>
                <w:color w:val="FFFFFF"/>
                <w:spacing w:val="-2"/>
                <w:sz w:val="20"/>
              </w:rPr>
              <w:t>Period</w:t>
            </w:r>
          </w:p>
        </w:tc>
        <w:tc>
          <w:tcPr>
            <w:tcW w:w="6993" w:type="dxa"/>
            <w:tcBorders>
              <w:left w:val="single" w:sz="18" w:space="0" w:color="F1F1F1"/>
              <w:bottom w:val="single" w:sz="4" w:space="0" w:color="A6A6A6"/>
              <w:right w:val="single" w:sz="18" w:space="0" w:color="F1F1F1"/>
            </w:tcBorders>
            <w:shd w:val="clear" w:color="auto" w:fill="17365A"/>
          </w:tcPr>
          <w:p w14:paraId="0C7E4079" w14:textId="77777777" w:rsidR="00BC24A8" w:rsidRDefault="00000000">
            <w:pPr>
              <w:pStyle w:val="TableParagraph"/>
              <w:spacing w:before="85"/>
              <w:ind w:left="3"/>
              <w:jc w:val="center"/>
              <w:rPr>
                <w:rFonts w:ascii="Calibri"/>
                <w:b/>
                <w:sz w:val="20"/>
              </w:rPr>
            </w:pPr>
            <w:r>
              <w:rPr>
                <w:rFonts w:ascii="Calibri"/>
                <w:b/>
                <w:color w:val="FFFFFF"/>
                <w:sz w:val="20"/>
              </w:rPr>
              <w:t>Document</w:t>
            </w:r>
            <w:r>
              <w:rPr>
                <w:rFonts w:ascii="Calibri"/>
                <w:b/>
                <w:color w:val="FFFFFF"/>
                <w:spacing w:val="-10"/>
                <w:sz w:val="20"/>
              </w:rPr>
              <w:t xml:space="preserve"> </w:t>
            </w:r>
            <w:r>
              <w:rPr>
                <w:rFonts w:ascii="Calibri"/>
                <w:b/>
                <w:color w:val="FFFFFF"/>
                <w:spacing w:val="-2"/>
                <w:sz w:val="20"/>
              </w:rPr>
              <w:t>Title</w:t>
            </w:r>
          </w:p>
        </w:tc>
        <w:tc>
          <w:tcPr>
            <w:tcW w:w="1096" w:type="dxa"/>
            <w:tcBorders>
              <w:left w:val="single" w:sz="18" w:space="0" w:color="F1F1F1"/>
              <w:bottom w:val="single" w:sz="4" w:space="0" w:color="A6A6A6"/>
            </w:tcBorders>
            <w:shd w:val="clear" w:color="auto" w:fill="17365A"/>
          </w:tcPr>
          <w:p w14:paraId="627C1D73" w14:textId="77777777" w:rsidR="00BC24A8" w:rsidRDefault="00000000">
            <w:pPr>
              <w:pStyle w:val="TableParagraph"/>
              <w:spacing w:before="85"/>
              <w:ind w:left="172"/>
              <w:rPr>
                <w:rFonts w:ascii="Calibri"/>
                <w:b/>
                <w:sz w:val="20"/>
              </w:rPr>
            </w:pPr>
            <w:r>
              <w:rPr>
                <w:rFonts w:ascii="Calibri"/>
                <w:b/>
                <w:color w:val="FFFFFF"/>
                <w:spacing w:val="-2"/>
                <w:sz w:val="20"/>
              </w:rPr>
              <w:t>Province</w:t>
            </w:r>
          </w:p>
        </w:tc>
      </w:tr>
      <w:tr w:rsidR="00BC24A8" w14:paraId="23B8605B" w14:textId="77777777">
        <w:trPr>
          <w:trHeight w:val="263"/>
        </w:trPr>
        <w:tc>
          <w:tcPr>
            <w:tcW w:w="552" w:type="dxa"/>
            <w:tcBorders>
              <w:top w:val="single" w:sz="4" w:space="0" w:color="A6A6A6"/>
              <w:left w:val="single" w:sz="4" w:space="0" w:color="A6A6A6"/>
              <w:bottom w:val="single" w:sz="4" w:space="0" w:color="A6A6A6"/>
              <w:right w:val="single" w:sz="4" w:space="0" w:color="A6A6A6"/>
            </w:tcBorders>
          </w:tcPr>
          <w:p w14:paraId="05539655" w14:textId="77777777" w:rsidR="00BC24A8" w:rsidRDefault="00000000">
            <w:pPr>
              <w:pStyle w:val="TableParagraph"/>
              <w:spacing w:before="1"/>
              <w:ind w:right="96"/>
              <w:jc w:val="right"/>
              <w:rPr>
                <w:sz w:val="18"/>
              </w:rPr>
            </w:pPr>
            <w:r>
              <w:rPr>
                <w:spacing w:val="-10"/>
                <w:sz w:val="18"/>
              </w:rPr>
              <w:t>1</w:t>
            </w:r>
          </w:p>
        </w:tc>
        <w:tc>
          <w:tcPr>
            <w:tcW w:w="955" w:type="dxa"/>
            <w:tcBorders>
              <w:top w:val="single" w:sz="4" w:space="0" w:color="A6A6A6"/>
              <w:left w:val="single" w:sz="4" w:space="0" w:color="A6A6A6"/>
              <w:bottom w:val="single" w:sz="4" w:space="0" w:color="A6A6A6"/>
              <w:right w:val="single" w:sz="4" w:space="0" w:color="A6A6A6"/>
            </w:tcBorders>
          </w:tcPr>
          <w:p w14:paraId="72BAE476"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06DB7BCE" w14:textId="77777777" w:rsidR="00BC24A8" w:rsidRDefault="00000000">
            <w:pPr>
              <w:pStyle w:val="TableParagraph"/>
              <w:spacing w:before="1"/>
              <w:ind w:left="105"/>
              <w:rPr>
                <w:sz w:val="18"/>
              </w:rPr>
            </w:pPr>
            <w:r>
              <w:rPr>
                <w:sz w:val="18"/>
              </w:rPr>
              <w:t>ASN</w:t>
            </w:r>
            <w:r>
              <w:rPr>
                <w:spacing w:val="-8"/>
                <w:sz w:val="18"/>
              </w:rPr>
              <w:t xml:space="preserve"> </w:t>
            </w:r>
            <w:r>
              <w:rPr>
                <w:sz w:val="18"/>
              </w:rPr>
              <w:t>Management</w:t>
            </w:r>
            <w:r>
              <w:rPr>
                <w:spacing w:val="-5"/>
                <w:sz w:val="18"/>
              </w:rPr>
              <w:t xml:space="preserve"> </w:t>
            </w:r>
            <w:r>
              <w:rPr>
                <w:sz w:val="18"/>
              </w:rPr>
              <w:t>of</w:t>
            </w:r>
            <w:r>
              <w:rPr>
                <w:spacing w:val="-6"/>
                <w:sz w:val="18"/>
              </w:rPr>
              <w:t xml:space="preserve"> </w:t>
            </w:r>
            <w:r>
              <w:rPr>
                <w:sz w:val="18"/>
              </w:rPr>
              <w:t>Electronic-Based</w:t>
            </w:r>
            <w:r>
              <w:rPr>
                <w:spacing w:val="-6"/>
                <w:sz w:val="18"/>
              </w:rPr>
              <w:t xml:space="preserve"> </w:t>
            </w:r>
            <w:r>
              <w:rPr>
                <w:sz w:val="18"/>
              </w:rPr>
              <w:t>Government</w:t>
            </w:r>
            <w:r>
              <w:rPr>
                <w:spacing w:val="-5"/>
                <w:sz w:val="18"/>
              </w:rPr>
              <w:t xml:space="preserve"> </w:t>
            </w:r>
            <w:r>
              <w:rPr>
                <w:sz w:val="18"/>
              </w:rPr>
              <w:t>System</w:t>
            </w:r>
            <w:r>
              <w:rPr>
                <w:spacing w:val="-7"/>
                <w:sz w:val="18"/>
              </w:rPr>
              <w:t xml:space="preserve"> </w:t>
            </w:r>
            <w:r>
              <w:rPr>
                <w:sz w:val="18"/>
              </w:rPr>
              <w:t>(SPBE)</w:t>
            </w:r>
            <w:r>
              <w:rPr>
                <w:spacing w:val="-6"/>
                <w:sz w:val="18"/>
              </w:rPr>
              <w:t xml:space="preserve"> </w:t>
            </w:r>
            <w:r>
              <w:rPr>
                <w:sz w:val="18"/>
              </w:rPr>
              <w:t>for</w:t>
            </w:r>
            <w:r>
              <w:rPr>
                <w:spacing w:val="-6"/>
                <w:sz w:val="18"/>
              </w:rPr>
              <w:t xml:space="preserve"> </w:t>
            </w:r>
            <w:r>
              <w:rPr>
                <w:sz w:val="18"/>
              </w:rPr>
              <w:t>Aceh</w:t>
            </w:r>
            <w:r>
              <w:rPr>
                <w:spacing w:val="-5"/>
                <w:sz w:val="18"/>
              </w:rPr>
              <w:t xml:space="preserve"> </w:t>
            </w:r>
            <w:r>
              <w:rPr>
                <w:spacing w:val="-2"/>
                <w:sz w:val="18"/>
              </w:rPr>
              <w:t>Government</w:t>
            </w:r>
          </w:p>
        </w:tc>
        <w:tc>
          <w:tcPr>
            <w:tcW w:w="1096" w:type="dxa"/>
            <w:tcBorders>
              <w:top w:val="single" w:sz="4" w:space="0" w:color="A6A6A6"/>
              <w:left w:val="single" w:sz="4" w:space="0" w:color="A6A6A6"/>
              <w:bottom w:val="single" w:sz="4" w:space="0" w:color="A6A6A6"/>
              <w:right w:val="single" w:sz="4" w:space="0" w:color="A6A6A6"/>
            </w:tcBorders>
          </w:tcPr>
          <w:p w14:paraId="2D2947E8" w14:textId="77777777" w:rsidR="00BC24A8" w:rsidRDefault="00000000">
            <w:pPr>
              <w:pStyle w:val="TableParagraph"/>
              <w:spacing w:before="1"/>
              <w:ind w:left="108"/>
              <w:rPr>
                <w:sz w:val="18"/>
              </w:rPr>
            </w:pPr>
            <w:r>
              <w:rPr>
                <w:spacing w:val="-4"/>
                <w:sz w:val="18"/>
              </w:rPr>
              <w:t>Aceh</w:t>
            </w:r>
          </w:p>
        </w:tc>
      </w:tr>
      <w:tr w:rsidR="00BC24A8" w14:paraId="179D76A7"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73554B10" w14:textId="77777777" w:rsidR="00BC24A8" w:rsidRDefault="00000000">
            <w:pPr>
              <w:pStyle w:val="TableParagraph"/>
              <w:spacing w:before="1"/>
              <w:ind w:right="96"/>
              <w:jc w:val="right"/>
              <w:rPr>
                <w:sz w:val="18"/>
              </w:rPr>
            </w:pPr>
            <w:r>
              <w:rPr>
                <w:spacing w:val="-10"/>
                <w:sz w:val="18"/>
              </w:rPr>
              <w:t>2</w:t>
            </w:r>
          </w:p>
        </w:tc>
        <w:tc>
          <w:tcPr>
            <w:tcW w:w="955" w:type="dxa"/>
            <w:tcBorders>
              <w:top w:val="single" w:sz="4" w:space="0" w:color="A6A6A6"/>
              <w:left w:val="single" w:sz="4" w:space="0" w:color="A6A6A6"/>
              <w:bottom w:val="single" w:sz="4" w:space="0" w:color="A6A6A6"/>
              <w:right w:val="single" w:sz="4" w:space="0" w:color="A6A6A6"/>
            </w:tcBorders>
          </w:tcPr>
          <w:p w14:paraId="2A2D9402"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3193D97C" w14:textId="77777777" w:rsidR="00BC24A8" w:rsidRDefault="00000000">
            <w:pPr>
              <w:pStyle w:val="TableParagraph"/>
              <w:spacing w:before="1"/>
              <w:ind w:left="105"/>
              <w:rPr>
                <w:sz w:val="18"/>
              </w:rPr>
            </w:pPr>
            <w:r>
              <w:rPr>
                <w:sz w:val="18"/>
              </w:rPr>
              <w:t>Strategies</w:t>
            </w:r>
            <w:r>
              <w:rPr>
                <w:spacing w:val="-5"/>
                <w:sz w:val="18"/>
              </w:rPr>
              <w:t xml:space="preserve"> </w:t>
            </w:r>
            <w:r>
              <w:rPr>
                <w:sz w:val="18"/>
              </w:rPr>
              <w:t>for</w:t>
            </w:r>
            <w:r>
              <w:rPr>
                <w:spacing w:val="-6"/>
                <w:sz w:val="18"/>
              </w:rPr>
              <w:t xml:space="preserve"> </w:t>
            </w:r>
            <w:r>
              <w:rPr>
                <w:sz w:val="18"/>
              </w:rPr>
              <w:t>Fulfilling</w:t>
            </w:r>
            <w:r>
              <w:rPr>
                <w:spacing w:val="-5"/>
                <w:sz w:val="18"/>
              </w:rPr>
              <w:t xml:space="preserve"> </w:t>
            </w:r>
            <w:r>
              <w:rPr>
                <w:sz w:val="18"/>
              </w:rPr>
              <w:t>Accessibility</w:t>
            </w:r>
            <w:r>
              <w:rPr>
                <w:spacing w:val="-5"/>
                <w:sz w:val="18"/>
              </w:rPr>
              <w:t xml:space="preserve"> </w:t>
            </w:r>
            <w:r>
              <w:rPr>
                <w:sz w:val="18"/>
              </w:rPr>
              <w:t>for</w:t>
            </w:r>
            <w:r>
              <w:rPr>
                <w:spacing w:val="-5"/>
                <w:sz w:val="18"/>
              </w:rPr>
              <w:t xml:space="preserve"> </w:t>
            </w:r>
            <w:r>
              <w:rPr>
                <w:sz w:val="18"/>
              </w:rPr>
              <w:t>Persons</w:t>
            </w:r>
            <w:r>
              <w:rPr>
                <w:spacing w:val="-5"/>
                <w:sz w:val="18"/>
              </w:rPr>
              <w:t xml:space="preserve"> </w:t>
            </w:r>
            <w:r>
              <w:rPr>
                <w:sz w:val="18"/>
              </w:rPr>
              <w:t>with</w:t>
            </w:r>
            <w:r>
              <w:rPr>
                <w:spacing w:val="-5"/>
                <w:sz w:val="18"/>
              </w:rPr>
              <w:t xml:space="preserve"> </w:t>
            </w:r>
            <w:r>
              <w:rPr>
                <w:sz w:val="18"/>
              </w:rPr>
              <w:t>Disabilities</w:t>
            </w:r>
            <w:r>
              <w:rPr>
                <w:spacing w:val="-6"/>
                <w:sz w:val="18"/>
              </w:rPr>
              <w:t xml:space="preserve"> </w:t>
            </w:r>
            <w:r>
              <w:rPr>
                <w:sz w:val="18"/>
              </w:rPr>
              <w:t>in</w:t>
            </w:r>
            <w:r>
              <w:rPr>
                <w:spacing w:val="-5"/>
                <w:sz w:val="18"/>
              </w:rPr>
              <w:t xml:space="preserve"> </w:t>
            </w:r>
            <w:r>
              <w:rPr>
                <w:sz w:val="18"/>
              </w:rPr>
              <w:t>Local</w:t>
            </w:r>
            <w:r>
              <w:rPr>
                <w:spacing w:val="-4"/>
                <w:sz w:val="18"/>
              </w:rPr>
              <w:t xml:space="preserve"> </w:t>
            </w:r>
            <w:r>
              <w:rPr>
                <w:sz w:val="18"/>
              </w:rPr>
              <w:t>Tourism</w:t>
            </w:r>
            <w:r>
              <w:rPr>
                <w:spacing w:val="-5"/>
                <w:sz w:val="18"/>
              </w:rPr>
              <w:t xml:space="preserve"> </w:t>
            </w:r>
            <w:r>
              <w:rPr>
                <w:sz w:val="18"/>
              </w:rPr>
              <w:t>Areas</w:t>
            </w:r>
            <w:r>
              <w:rPr>
                <w:spacing w:val="-5"/>
                <w:sz w:val="18"/>
              </w:rPr>
              <w:t xml:space="preserve"> </w:t>
            </w:r>
            <w:r>
              <w:rPr>
                <w:sz w:val="18"/>
              </w:rPr>
              <w:t>in</w:t>
            </w:r>
            <w:r>
              <w:rPr>
                <w:spacing w:val="-5"/>
                <w:sz w:val="18"/>
              </w:rPr>
              <w:t xml:space="preserve"> </w:t>
            </w:r>
            <w:r>
              <w:rPr>
                <w:sz w:val="18"/>
              </w:rPr>
              <w:t>Aceh and Its Surroundings</w:t>
            </w:r>
          </w:p>
        </w:tc>
        <w:tc>
          <w:tcPr>
            <w:tcW w:w="1096" w:type="dxa"/>
            <w:tcBorders>
              <w:top w:val="single" w:sz="4" w:space="0" w:color="A6A6A6"/>
              <w:left w:val="single" w:sz="4" w:space="0" w:color="A6A6A6"/>
              <w:bottom w:val="single" w:sz="4" w:space="0" w:color="A6A6A6"/>
              <w:right w:val="single" w:sz="4" w:space="0" w:color="A6A6A6"/>
            </w:tcBorders>
          </w:tcPr>
          <w:p w14:paraId="100B2BD6" w14:textId="77777777" w:rsidR="00BC24A8" w:rsidRDefault="00000000">
            <w:pPr>
              <w:pStyle w:val="TableParagraph"/>
              <w:spacing w:before="1"/>
              <w:ind w:left="108"/>
              <w:rPr>
                <w:sz w:val="18"/>
              </w:rPr>
            </w:pPr>
            <w:r>
              <w:rPr>
                <w:spacing w:val="-4"/>
                <w:sz w:val="18"/>
              </w:rPr>
              <w:t>Aceh</w:t>
            </w:r>
          </w:p>
        </w:tc>
      </w:tr>
      <w:tr w:rsidR="00BC24A8" w14:paraId="37FF27D5" w14:textId="77777777">
        <w:trPr>
          <w:trHeight w:val="220"/>
        </w:trPr>
        <w:tc>
          <w:tcPr>
            <w:tcW w:w="552" w:type="dxa"/>
            <w:tcBorders>
              <w:top w:val="single" w:sz="4" w:space="0" w:color="A6A6A6"/>
              <w:left w:val="single" w:sz="4" w:space="0" w:color="A6A6A6"/>
              <w:bottom w:val="single" w:sz="4" w:space="0" w:color="A6A6A6"/>
              <w:right w:val="single" w:sz="4" w:space="0" w:color="A6A6A6"/>
            </w:tcBorders>
          </w:tcPr>
          <w:p w14:paraId="0EDDAA34" w14:textId="77777777" w:rsidR="00BC24A8" w:rsidRDefault="00000000">
            <w:pPr>
              <w:pStyle w:val="TableParagraph"/>
              <w:spacing w:before="1" w:line="199" w:lineRule="exact"/>
              <w:ind w:right="96"/>
              <w:jc w:val="right"/>
              <w:rPr>
                <w:sz w:val="18"/>
              </w:rPr>
            </w:pPr>
            <w:r>
              <w:rPr>
                <w:spacing w:val="-10"/>
                <w:sz w:val="18"/>
              </w:rPr>
              <w:t>3</w:t>
            </w:r>
          </w:p>
        </w:tc>
        <w:tc>
          <w:tcPr>
            <w:tcW w:w="955" w:type="dxa"/>
            <w:tcBorders>
              <w:top w:val="single" w:sz="4" w:space="0" w:color="A6A6A6"/>
              <w:left w:val="single" w:sz="4" w:space="0" w:color="A6A6A6"/>
              <w:bottom w:val="single" w:sz="4" w:space="0" w:color="A6A6A6"/>
              <w:right w:val="single" w:sz="4" w:space="0" w:color="A6A6A6"/>
            </w:tcBorders>
          </w:tcPr>
          <w:p w14:paraId="68D755F2" w14:textId="77777777" w:rsidR="00BC24A8" w:rsidRDefault="00000000">
            <w:pPr>
              <w:pStyle w:val="TableParagraph"/>
              <w:spacing w:before="1" w:line="19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28090294" w14:textId="77777777" w:rsidR="00BC24A8" w:rsidRDefault="00000000">
            <w:pPr>
              <w:pStyle w:val="TableParagraph"/>
              <w:spacing w:before="1" w:line="199" w:lineRule="exact"/>
              <w:ind w:left="105"/>
              <w:rPr>
                <w:sz w:val="18"/>
              </w:rPr>
            </w:pPr>
            <w:r>
              <w:rPr>
                <w:sz w:val="18"/>
              </w:rPr>
              <w:t>Commitment</w:t>
            </w:r>
            <w:r>
              <w:rPr>
                <w:spacing w:val="-5"/>
                <w:sz w:val="18"/>
              </w:rPr>
              <w:t xml:space="preserve"> </w:t>
            </w:r>
            <w:r>
              <w:rPr>
                <w:sz w:val="18"/>
              </w:rPr>
              <w:t>of</w:t>
            </w:r>
            <w:r>
              <w:rPr>
                <w:spacing w:val="-6"/>
                <w:sz w:val="18"/>
              </w:rPr>
              <w:t xml:space="preserve"> </w:t>
            </w:r>
            <w:r>
              <w:rPr>
                <w:sz w:val="18"/>
              </w:rPr>
              <w:t>Policy</w:t>
            </w:r>
            <w:r>
              <w:rPr>
                <w:spacing w:val="-5"/>
                <w:sz w:val="18"/>
              </w:rPr>
              <w:t xml:space="preserve"> </w:t>
            </w:r>
            <w:r>
              <w:rPr>
                <w:sz w:val="18"/>
              </w:rPr>
              <w:t>Makers</w:t>
            </w:r>
            <w:r>
              <w:rPr>
                <w:spacing w:val="-6"/>
                <w:sz w:val="18"/>
              </w:rPr>
              <w:t xml:space="preserve"> </w:t>
            </w:r>
            <w:r>
              <w:rPr>
                <w:sz w:val="18"/>
              </w:rPr>
              <w:t>in</w:t>
            </w:r>
            <w:r>
              <w:rPr>
                <w:spacing w:val="-5"/>
                <w:sz w:val="18"/>
              </w:rPr>
              <w:t xml:space="preserve"> </w:t>
            </w:r>
            <w:r>
              <w:rPr>
                <w:sz w:val="18"/>
              </w:rPr>
              <w:t>the</w:t>
            </w:r>
            <w:r>
              <w:rPr>
                <w:spacing w:val="-5"/>
                <w:sz w:val="18"/>
              </w:rPr>
              <w:t xml:space="preserve"> </w:t>
            </w:r>
            <w:r>
              <w:rPr>
                <w:sz w:val="18"/>
              </w:rPr>
              <w:t>Provision</w:t>
            </w:r>
            <w:r>
              <w:rPr>
                <w:spacing w:val="-5"/>
                <w:sz w:val="18"/>
              </w:rPr>
              <w:t xml:space="preserve"> </w:t>
            </w:r>
            <w:r>
              <w:rPr>
                <w:sz w:val="18"/>
              </w:rPr>
              <w:t>and</w:t>
            </w:r>
            <w:r>
              <w:rPr>
                <w:spacing w:val="-6"/>
                <w:sz w:val="18"/>
              </w:rPr>
              <w:t xml:space="preserve"> </w:t>
            </w:r>
            <w:r>
              <w:rPr>
                <w:sz w:val="18"/>
              </w:rPr>
              <w:t>Utilization</w:t>
            </w:r>
            <w:r>
              <w:rPr>
                <w:spacing w:val="-5"/>
                <w:sz w:val="18"/>
              </w:rPr>
              <w:t xml:space="preserve"> </w:t>
            </w:r>
            <w:r>
              <w:rPr>
                <w:sz w:val="18"/>
              </w:rPr>
              <w:t>of</w:t>
            </w:r>
            <w:r>
              <w:rPr>
                <w:spacing w:val="-6"/>
                <w:sz w:val="18"/>
              </w:rPr>
              <w:t xml:space="preserve"> </w:t>
            </w:r>
            <w:r>
              <w:rPr>
                <w:sz w:val="18"/>
              </w:rPr>
              <w:t>Disaggregated</w:t>
            </w:r>
            <w:r>
              <w:rPr>
                <w:spacing w:val="-5"/>
                <w:sz w:val="18"/>
              </w:rPr>
              <w:t xml:space="preserve"> </w:t>
            </w:r>
            <w:r>
              <w:rPr>
                <w:sz w:val="18"/>
              </w:rPr>
              <w:t>PUG</w:t>
            </w:r>
            <w:r>
              <w:rPr>
                <w:spacing w:val="-5"/>
                <w:sz w:val="18"/>
              </w:rPr>
              <w:t xml:space="preserve"> </w:t>
            </w:r>
            <w:r>
              <w:rPr>
                <w:spacing w:val="-4"/>
                <w:sz w:val="18"/>
              </w:rPr>
              <w:t>Data</w:t>
            </w:r>
          </w:p>
        </w:tc>
        <w:tc>
          <w:tcPr>
            <w:tcW w:w="1096" w:type="dxa"/>
            <w:tcBorders>
              <w:top w:val="single" w:sz="4" w:space="0" w:color="A6A6A6"/>
              <w:left w:val="single" w:sz="4" w:space="0" w:color="A6A6A6"/>
              <w:bottom w:val="single" w:sz="4" w:space="0" w:color="A6A6A6"/>
              <w:right w:val="single" w:sz="4" w:space="0" w:color="A6A6A6"/>
            </w:tcBorders>
          </w:tcPr>
          <w:p w14:paraId="7CB49D30" w14:textId="77777777" w:rsidR="00BC24A8" w:rsidRDefault="00000000">
            <w:pPr>
              <w:pStyle w:val="TableParagraph"/>
              <w:spacing w:before="1" w:line="199" w:lineRule="exact"/>
              <w:ind w:left="108"/>
              <w:rPr>
                <w:sz w:val="18"/>
              </w:rPr>
            </w:pPr>
            <w:r>
              <w:rPr>
                <w:spacing w:val="-4"/>
                <w:sz w:val="18"/>
              </w:rPr>
              <w:t>Aceh</w:t>
            </w:r>
          </w:p>
        </w:tc>
      </w:tr>
      <w:tr w:rsidR="00BC24A8" w14:paraId="26EA1551"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52A7F7B6" w14:textId="77777777" w:rsidR="00BC24A8" w:rsidRDefault="00000000">
            <w:pPr>
              <w:pStyle w:val="TableParagraph"/>
              <w:spacing w:before="1"/>
              <w:ind w:right="96"/>
              <w:jc w:val="right"/>
              <w:rPr>
                <w:sz w:val="18"/>
              </w:rPr>
            </w:pPr>
            <w:r>
              <w:rPr>
                <w:spacing w:val="-10"/>
                <w:sz w:val="18"/>
              </w:rPr>
              <w:t>4</w:t>
            </w:r>
          </w:p>
        </w:tc>
        <w:tc>
          <w:tcPr>
            <w:tcW w:w="955" w:type="dxa"/>
            <w:tcBorders>
              <w:top w:val="single" w:sz="4" w:space="0" w:color="A6A6A6"/>
              <w:left w:val="single" w:sz="4" w:space="0" w:color="A6A6A6"/>
              <w:bottom w:val="single" w:sz="4" w:space="0" w:color="A6A6A6"/>
              <w:right w:val="single" w:sz="4" w:space="0" w:color="A6A6A6"/>
            </w:tcBorders>
          </w:tcPr>
          <w:p w14:paraId="10D6D916"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1D52DDE9" w14:textId="77777777" w:rsidR="00BC24A8" w:rsidRDefault="00000000">
            <w:pPr>
              <w:pStyle w:val="TableParagraph"/>
              <w:spacing w:before="1"/>
              <w:ind w:left="105"/>
              <w:rPr>
                <w:sz w:val="18"/>
              </w:rPr>
            </w:pPr>
            <w:r>
              <w:rPr>
                <w:sz w:val="18"/>
              </w:rPr>
              <w:t>Disabled</w:t>
            </w:r>
            <w:r>
              <w:rPr>
                <w:spacing w:val="-8"/>
                <w:sz w:val="18"/>
              </w:rPr>
              <w:t xml:space="preserve"> </w:t>
            </w:r>
            <w:r>
              <w:rPr>
                <w:sz w:val="18"/>
              </w:rPr>
              <w:t>Friendly</w:t>
            </w:r>
            <w:r>
              <w:rPr>
                <w:spacing w:val="-8"/>
                <w:sz w:val="18"/>
              </w:rPr>
              <w:t xml:space="preserve"> </w:t>
            </w:r>
            <w:r>
              <w:rPr>
                <w:sz w:val="18"/>
              </w:rPr>
              <w:t>Trans</w:t>
            </w:r>
            <w:r>
              <w:rPr>
                <w:spacing w:val="-8"/>
                <w:sz w:val="18"/>
              </w:rPr>
              <w:t xml:space="preserve"> </w:t>
            </w:r>
            <w:r>
              <w:rPr>
                <w:sz w:val="18"/>
              </w:rPr>
              <w:t>Koetaradja</w:t>
            </w:r>
            <w:r>
              <w:rPr>
                <w:spacing w:val="-8"/>
                <w:sz w:val="18"/>
              </w:rPr>
              <w:t xml:space="preserve"> </w:t>
            </w:r>
            <w:r>
              <w:rPr>
                <w:sz w:val="18"/>
              </w:rPr>
              <w:t>with</w:t>
            </w:r>
            <w:r>
              <w:rPr>
                <w:spacing w:val="-8"/>
                <w:sz w:val="18"/>
              </w:rPr>
              <w:t xml:space="preserve"> </w:t>
            </w:r>
            <w:r>
              <w:rPr>
                <w:sz w:val="18"/>
              </w:rPr>
              <w:t>Syedara</w:t>
            </w:r>
            <w:r>
              <w:rPr>
                <w:spacing w:val="-9"/>
                <w:sz w:val="18"/>
              </w:rPr>
              <w:t xml:space="preserve"> </w:t>
            </w:r>
            <w:r>
              <w:rPr>
                <w:sz w:val="18"/>
              </w:rPr>
              <w:t>Difabel</w:t>
            </w:r>
            <w:r>
              <w:rPr>
                <w:spacing w:val="-6"/>
                <w:sz w:val="18"/>
              </w:rPr>
              <w:t xml:space="preserve"> </w:t>
            </w:r>
            <w:r>
              <w:rPr>
                <w:spacing w:val="-2"/>
                <w:sz w:val="18"/>
              </w:rPr>
              <w:t>Movement</w:t>
            </w:r>
          </w:p>
        </w:tc>
        <w:tc>
          <w:tcPr>
            <w:tcW w:w="1096" w:type="dxa"/>
            <w:tcBorders>
              <w:top w:val="single" w:sz="4" w:space="0" w:color="A6A6A6"/>
              <w:left w:val="single" w:sz="4" w:space="0" w:color="A6A6A6"/>
              <w:bottom w:val="single" w:sz="4" w:space="0" w:color="A6A6A6"/>
              <w:right w:val="single" w:sz="4" w:space="0" w:color="A6A6A6"/>
            </w:tcBorders>
          </w:tcPr>
          <w:p w14:paraId="0F1800F9" w14:textId="77777777" w:rsidR="00BC24A8" w:rsidRDefault="00000000">
            <w:pPr>
              <w:pStyle w:val="TableParagraph"/>
              <w:spacing w:before="1"/>
              <w:ind w:left="108"/>
              <w:rPr>
                <w:sz w:val="18"/>
              </w:rPr>
            </w:pPr>
            <w:r>
              <w:rPr>
                <w:spacing w:val="-4"/>
                <w:sz w:val="18"/>
              </w:rPr>
              <w:t>Aceh</w:t>
            </w:r>
          </w:p>
        </w:tc>
      </w:tr>
      <w:tr w:rsidR="00BC24A8" w14:paraId="254A2974" w14:textId="77777777">
        <w:trPr>
          <w:trHeight w:val="256"/>
        </w:trPr>
        <w:tc>
          <w:tcPr>
            <w:tcW w:w="552" w:type="dxa"/>
            <w:tcBorders>
              <w:top w:val="single" w:sz="4" w:space="0" w:color="A6A6A6"/>
              <w:left w:val="single" w:sz="4" w:space="0" w:color="A6A6A6"/>
              <w:bottom w:val="single" w:sz="4" w:space="0" w:color="A6A6A6"/>
              <w:right w:val="single" w:sz="4" w:space="0" w:color="A6A6A6"/>
            </w:tcBorders>
          </w:tcPr>
          <w:p w14:paraId="7D409B7D" w14:textId="77777777" w:rsidR="00BC24A8" w:rsidRDefault="00000000">
            <w:pPr>
              <w:pStyle w:val="TableParagraph"/>
              <w:spacing w:before="1"/>
              <w:ind w:right="96"/>
              <w:jc w:val="right"/>
              <w:rPr>
                <w:sz w:val="18"/>
              </w:rPr>
            </w:pPr>
            <w:r>
              <w:rPr>
                <w:spacing w:val="-10"/>
                <w:sz w:val="18"/>
              </w:rPr>
              <w:t>5</w:t>
            </w:r>
          </w:p>
        </w:tc>
        <w:tc>
          <w:tcPr>
            <w:tcW w:w="955" w:type="dxa"/>
            <w:tcBorders>
              <w:top w:val="single" w:sz="4" w:space="0" w:color="A6A6A6"/>
              <w:left w:val="single" w:sz="4" w:space="0" w:color="A6A6A6"/>
              <w:bottom w:val="single" w:sz="4" w:space="0" w:color="A6A6A6"/>
              <w:right w:val="single" w:sz="4" w:space="0" w:color="A6A6A6"/>
            </w:tcBorders>
          </w:tcPr>
          <w:p w14:paraId="329A0D29"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5AF7B662" w14:textId="77777777" w:rsidR="00BC24A8" w:rsidRDefault="00000000">
            <w:pPr>
              <w:pStyle w:val="TableParagraph"/>
              <w:spacing w:before="1"/>
              <w:ind w:left="105"/>
              <w:rPr>
                <w:sz w:val="18"/>
              </w:rPr>
            </w:pPr>
            <w:r>
              <w:rPr>
                <w:sz w:val="18"/>
              </w:rPr>
              <w:t>Strategies</w:t>
            </w:r>
            <w:r>
              <w:rPr>
                <w:spacing w:val="-6"/>
                <w:sz w:val="18"/>
              </w:rPr>
              <w:t xml:space="preserve"> </w:t>
            </w:r>
            <w:r>
              <w:rPr>
                <w:sz w:val="18"/>
              </w:rPr>
              <w:t>to</w:t>
            </w:r>
            <w:r>
              <w:rPr>
                <w:spacing w:val="-6"/>
                <w:sz w:val="18"/>
              </w:rPr>
              <w:t xml:space="preserve"> </w:t>
            </w:r>
            <w:r>
              <w:rPr>
                <w:sz w:val="18"/>
              </w:rPr>
              <w:t>Increase</w:t>
            </w:r>
            <w:r>
              <w:rPr>
                <w:spacing w:val="-6"/>
                <w:sz w:val="18"/>
              </w:rPr>
              <w:t xml:space="preserve"> </w:t>
            </w:r>
            <w:r>
              <w:rPr>
                <w:sz w:val="18"/>
              </w:rPr>
              <w:t>Participation</w:t>
            </w:r>
            <w:r>
              <w:rPr>
                <w:spacing w:val="-5"/>
                <w:sz w:val="18"/>
              </w:rPr>
              <w:t xml:space="preserve"> </w:t>
            </w:r>
            <w:r>
              <w:rPr>
                <w:sz w:val="18"/>
              </w:rPr>
              <w:t>of</w:t>
            </w:r>
            <w:r>
              <w:rPr>
                <w:spacing w:val="-6"/>
                <w:sz w:val="18"/>
              </w:rPr>
              <w:t xml:space="preserve"> </w:t>
            </w:r>
            <w:r>
              <w:rPr>
                <w:sz w:val="18"/>
              </w:rPr>
              <w:t>Persons</w:t>
            </w:r>
            <w:r>
              <w:rPr>
                <w:spacing w:val="-4"/>
                <w:sz w:val="18"/>
              </w:rPr>
              <w:t xml:space="preserve"> </w:t>
            </w:r>
            <w:r>
              <w:rPr>
                <w:sz w:val="18"/>
              </w:rPr>
              <w:t>with</w:t>
            </w:r>
            <w:r>
              <w:rPr>
                <w:spacing w:val="-5"/>
                <w:sz w:val="18"/>
              </w:rPr>
              <w:t xml:space="preserve"> </w:t>
            </w:r>
            <w:r>
              <w:rPr>
                <w:sz w:val="18"/>
              </w:rPr>
              <w:t>Disabilities</w:t>
            </w:r>
            <w:r>
              <w:rPr>
                <w:spacing w:val="-8"/>
                <w:sz w:val="18"/>
              </w:rPr>
              <w:t xml:space="preserve"> </w:t>
            </w:r>
            <w:r>
              <w:rPr>
                <w:sz w:val="18"/>
              </w:rPr>
              <w:t>in</w:t>
            </w:r>
            <w:r>
              <w:rPr>
                <w:spacing w:val="-6"/>
                <w:sz w:val="18"/>
              </w:rPr>
              <w:t xml:space="preserve"> </w:t>
            </w:r>
            <w:r>
              <w:rPr>
                <w:sz w:val="18"/>
              </w:rPr>
              <w:t>Education</w:t>
            </w:r>
            <w:r>
              <w:rPr>
                <w:spacing w:val="-5"/>
                <w:sz w:val="18"/>
              </w:rPr>
              <w:t xml:space="preserve"> </w:t>
            </w:r>
            <w:r>
              <w:rPr>
                <w:sz w:val="18"/>
              </w:rPr>
              <w:t>in</w:t>
            </w:r>
            <w:r>
              <w:rPr>
                <w:spacing w:val="-5"/>
                <w:sz w:val="18"/>
              </w:rPr>
              <w:t xml:space="preserve"> </w:t>
            </w:r>
            <w:r>
              <w:rPr>
                <w:spacing w:val="-4"/>
                <w:sz w:val="18"/>
              </w:rPr>
              <w:t>Aceh</w:t>
            </w:r>
          </w:p>
        </w:tc>
        <w:tc>
          <w:tcPr>
            <w:tcW w:w="1096" w:type="dxa"/>
            <w:tcBorders>
              <w:top w:val="single" w:sz="4" w:space="0" w:color="A6A6A6"/>
              <w:left w:val="single" w:sz="4" w:space="0" w:color="A6A6A6"/>
              <w:bottom w:val="single" w:sz="4" w:space="0" w:color="A6A6A6"/>
              <w:right w:val="single" w:sz="4" w:space="0" w:color="A6A6A6"/>
            </w:tcBorders>
          </w:tcPr>
          <w:p w14:paraId="6C1CBB4B" w14:textId="77777777" w:rsidR="00BC24A8" w:rsidRDefault="00000000">
            <w:pPr>
              <w:pStyle w:val="TableParagraph"/>
              <w:spacing w:before="1"/>
              <w:ind w:left="108"/>
              <w:rPr>
                <w:sz w:val="18"/>
              </w:rPr>
            </w:pPr>
            <w:r>
              <w:rPr>
                <w:spacing w:val="-4"/>
                <w:sz w:val="18"/>
              </w:rPr>
              <w:t>Aceh</w:t>
            </w:r>
          </w:p>
        </w:tc>
      </w:tr>
      <w:tr w:rsidR="00BC24A8" w14:paraId="7B7BF294" w14:textId="77777777">
        <w:trPr>
          <w:trHeight w:val="482"/>
        </w:trPr>
        <w:tc>
          <w:tcPr>
            <w:tcW w:w="552" w:type="dxa"/>
            <w:tcBorders>
              <w:top w:val="single" w:sz="4" w:space="0" w:color="A6A6A6"/>
              <w:left w:val="single" w:sz="4" w:space="0" w:color="A6A6A6"/>
              <w:bottom w:val="single" w:sz="4" w:space="0" w:color="A6A6A6"/>
              <w:right w:val="single" w:sz="4" w:space="0" w:color="A6A6A6"/>
            </w:tcBorders>
          </w:tcPr>
          <w:p w14:paraId="29250EB3" w14:textId="77777777" w:rsidR="00BC24A8" w:rsidRDefault="00000000">
            <w:pPr>
              <w:pStyle w:val="TableParagraph"/>
              <w:spacing w:before="1"/>
              <w:ind w:right="96"/>
              <w:jc w:val="right"/>
              <w:rPr>
                <w:sz w:val="18"/>
              </w:rPr>
            </w:pPr>
            <w:r>
              <w:rPr>
                <w:spacing w:val="-10"/>
                <w:sz w:val="18"/>
              </w:rPr>
              <w:t>6</w:t>
            </w:r>
          </w:p>
        </w:tc>
        <w:tc>
          <w:tcPr>
            <w:tcW w:w="955" w:type="dxa"/>
            <w:tcBorders>
              <w:top w:val="single" w:sz="4" w:space="0" w:color="A6A6A6"/>
              <w:left w:val="single" w:sz="4" w:space="0" w:color="A6A6A6"/>
              <w:bottom w:val="single" w:sz="4" w:space="0" w:color="A6A6A6"/>
              <w:right w:val="single" w:sz="4" w:space="0" w:color="A6A6A6"/>
            </w:tcBorders>
          </w:tcPr>
          <w:p w14:paraId="0DB1AE6A"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747CD3A0" w14:textId="77777777" w:rsidR="00BC24A8" w:rsidRDefault="00000000">
            <w:pPr>
              <w:pStyle w:val="TableParagraph"/>
              <w:spacing w:before="1"/>
              <w:ind w:left="105"/>
              <w:rPr>
                <w:sz w:val="18"/>
              </w:rPr>
            </w:pPr>
            <w:r>
              <w:rPr>
                <w:sz w:val="18"/>
              </w:rPr>
              <w:t>Improving Transparency and Accountability in Public Financial Management at the APBD and Village Fund Levels</w:t>
            </w:r>
          </w:p>
        </w:tc>
        <w:tc>
          <w:tcPr>
            <w:tcW w:w="1096" w:type="dxa"/>
            <w:tcBorders>
              <w:top w:val="single" w:sz="4" w:space="0" w:color="A6A6A6"/>
              <w:left w:val="single" w:sz="4" w:space="0" w:color="A6A6A6"/>
              <w:bottom w:val="single" w:sz="4" w:space="0" w:color="A6A6A6"/>
              <w:right w:val="single" w:sz="4" w:space="0" w:color="A6A6A6"/>
            </w:tcBorders>
          </w:tcPr>
          <w:p w14:paraId="73CF8706" w14:textId="77777777" w:rsidR="00BC24A8" w:rsidRDefault="00000000">
            <w:pPr>
              <w:pStyle w:val="TableParagraph"/>
              <w:spacing w:before="1"/>
              <w:ind w:left="108"/>
              <w:rPr>
                <w:sz w:val="18"/>
              </w:rPr>
            </w:pPr>
            <w:r>
              <w:rPr>
                <w:spacing w:val="-4"/>
                <w:sz w:val="18"/>
              </w:rPr>
              <w:t>Aceh</w:t>
            </w:r>
          </w:p>
        </w:tc>
      </w:tr>
      <w:tr w:rsidR="00BC24A8" w14:paraId="374BBACF" w14:textId="77777777">
        <w:trPr>
          <w:trHeight w:val="270"/>
        </w:trPr>
        <w:tc>
          <w:tcPr>
            <w:tcW w:w="552" w:type="dxa"/>
            <w:tcBorders>
              <w:top w:val="single" w:sz="4" w:space="0" w:color="A6A6A6"/>
              <w:left w:val="single" w:sz="4" w:space="0" w:color="A6A6A6"/>
              <w:bottom w:val="single" w:sz="4" w:space="0" w:color="A6A6A6"/>
              <w:right w:val="single" w:sz="4" w:space="0" w:color="A6A6A6"/>
            </w:tcBorders>
          </w:tcPr>
          <w:p w14:paraId="5D160C47" w14:textId="77777777" w:rsidR="00BC24A8" w:rsidRDefault="00000000">
            <w:pPr>
              <w:pStyle w:val="TableParagraph"/>
              <w:spacing w:line="219" w:lineRule="exact"/>
              <w:ind w:right="96"/>
              <w:jc w:val="right"/>
              <w:rPr>
                <w:sz w:val="18"/>
              </w:rPr>
            </w:pPr>
            <w:r>
              <w:rPr>
                <w:spacing w:val="-10"/>
                <w:sz w:val="18"/>
              </w:rPr>
              <w:t>7</w:t>
            </w:r>
          </w:p>
        </w:tc>
        <w:tc>
          <w:tcPr>
            <w:tcW w:w="955" w:type="dxa"/>
            <w:tcBorders>
              <w:top w:val="single" w:sz="4" w:space="0" w:color="A6A6A6"/>
              <w:left w:val="single" w:sz="4" w:space="0" w:color="A6A6A6"/>
              <w:bottom w:val="single" w:sz="4" w:space="0" w:color="A6A6A6"/>
              <w:right w:val="single" w:sz="4" w:space="0" w:color="A6A6A6"/>
            </w:tcBorders>
          </w:tcPr>
          <w:p w14:paraId="31E1EB04"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4301CF85" w14:textId="77777777" w:rsidR="00BC24A8" w:rsidRDefault="00000000">
            <w:pPr>
              <w:pStyle w:val="TableParagraph"/>
              <w:spacing w:line="219" w:lineRule="exact"/>
              <w:ind w:left="105"/>
              <w:rPr>
                <w:sz w:val="18"/>
              </w:rPr>
            </w:pPr>
            <w:r>
              <w:rPr>
                <w:sz w:val="18"/>
              </w:rPr>
              <w:t>Integration</w:t>
            </w:r>
            <w:r>
              <w:rPr>
                <w:spacing w:val="-9"/>
                <w:sz w:val="18"/>
              </w:rPr>
              <w:t xml:space="preserve"> </w:t>
            </w:r>
            <w:r>
              <w:rPr>
                <w:sz w:val="18"/>
              </w:rPr>
              <w:t>of</w:t>
            </w:r>
            <w:r>
              <w:rPr>
                <w:spacing w:val="-10"/>
                <w:sz w:val="18"/>
              </w:rPr>
              <w:t xml:space="preserve"> </w:t>
            </w:r>
            <w:r>
              <w:rPr>
                <w:sz w:val="18"/>
              </w:rPr>
              <w:t>Information</w:t>
            </w:r>
            <w:r>
              <w:rPr>
                <w:spacing w:val="-8"/>
                <w:sz w:val="18"/>
              </w:rPr>
              <w:t xml:space="preserve"> </w:t>
            </w:r>
            <w:r>
              <w:rPr>
                <w:sz w:val="18"/>
              </w:rPr>
              <w:t>Systems</w:t>
            </w:r>
            <w:r>
              <w:rPr>
                <w:spacing w:val="-9"/>
                <w:sz w:val="18"/>
              </w:rPr>
              <w:t xml:space="preserve"> </w:t>
            </w:r>
            <w:r>
              <w:rPr>
                <w:sz w:val="18"/>
              </w:rPr>
              <w:t>and</w:t>
            </w:r>
            <w:r>
              <w:rPr>
                <w:spacing w:val="-9"/>
                <w:sz w:val="18"/>
              </w:rPr>
              <w:t xml:space="preserve"> </w:t>
            </w:r>
            <w:r>
              <w:rPr>
                <w:sz w:val="18"/>
              </w:rPr>
              <w:t>Household</w:t>
            </w:r>
            <w:r>
              <w:rPr>
                <w:spacing w:val="-9"/>
                <w:sz w:val="18"/>
              </w:rPr>
              <w:t xml:space="preserve"> </w:t>
            </w:r>
            <w:r>
              <w:rPr>
                <w:sz w:val="18"/>
              </w:rPr>
              <w:t>Welfare</w:t>
            </w:r>
            <w:r>
              <w:rPr>
                <w:spacing w:val="-8"/>
                <w:sz w:val="18"/>
              </w:rPr>
              <w:t xml:space="preserve"> </w:t>
            </w:r>
            <w:r>
              <w:rPr>
                <w:sz w:val="18"/>
              </w:rPr>
              <w:t>Data:</w:t>
            </w:r>
            <w:r>
              <w:rPr>
                <w:spacing w:val="-9"/>
                <w:sz w:val="18"/>
              </w:rPr>
              <w:t xml:space="preserve"> </w:t>
            </w:r>
            <w:r>
              <w:rPr>
                <w:sz w:val="18"/>
              </w:rPr>
              <w:t>Poverty</w:t>
            </w:r>
            <w:r>
              <w:rPr>
                <w:spacing w:val="-9"/>
                <w:sz w:val="18"/>
              </w:rPr>
              <w:t xml:space="preserve"> </w:t>
            </w:r>
            <w:r>
              <w:rPr>
                <w:sz w:val="18"/>
              </w:rPr>
              <w:t>Reduction</w:t>
            </w:r>
            <w:r>
              <w:rPr>
                <w:spacing w:val="-8"/>
                <w:sz w:val="18"/>
              </w:rPr>
              <w:t xml:space="preserve"> </w:t>
            </w:r>
            <w:r>
              <w:rPr>
                <w:spacing w:val="-2"/>
                <w:sz w:val="18"/>
              </w:rPr>
              <w:t>Solution</w:t>
            </w:r>
          </w:p>
        </w:tc>
        <w:tc>
          <w:tcPr>
            <w:tcW w:w="1096" w:type="dxa"/>
            <w:tcBorders>
              <w:top w:val="single" w:sz="4" w:space="0" w:color="A6A6A6"/>
              <w:left w:val="single" w:sz="4" w:space="0" w:color="A6A6A6"/>
              <w:bottom w:val="single" w:sz="4" w:space="0" w:color="A6A6A6"/>
              <w:right w:val="single" w:sz="4" w:space="0" w:color="A6A6A6"/>
            </w:tcBorders>
          </w:tcPr>
          <w:p w14:paraId="3782FDB4" w14:textId="77777777" w:rsidR="00BC24A8" w:rsidRDefault="00000000">
            <w:pPr>
              <w:pStyle w:val="TableParagraph"/>
              <w:spacing w:line="219" w:lineRule="exact"/>
              <w:ind w:left="108"/>
              <w:rPr>
                <w:sz w:val="18"/>
              </w:rPr>
            </w:pPr>
            <w:r>
              <w:rPr>
                <w:spacing w:val="-4"/>
                <w:sz w:val="18"/>
              </w:rPr>
              <w:t>Aceh</w:t>
            </w:r>
          </w:p>
        </w:tc>
      </w:tr>
      <w:tr w:rsidR="00BC24A8" w14:paraId="14C46830"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6F4A578F" w14:textId="77777777" w:rsidR="00BC24A8" w:rsidRDefault="00000000">
            <w:pPr>
              <w:pStyle w:val="TableParagraph"/>
              <w:spacing w:line="219" w:lineRule="exact"/>
              <w:ind w:right="96"/>
              <w:jc w:val="right"/>
              <w:rPr>
                <w:sz w:val="18"/>
              </w:rPr>
            </w:pPr>
            <w:r>
              <w:rPr>
                <w:spacing w:val="-10"/>
                <w:sz w:val="18"/>
              </w:rPr>
              <w:t>8</w:t>
            </w:r>
          </w:p>
        </w:tc>
        <w:tc>
          <w:tcPr>
            <w:tcW w:w="955" w:type="dxa"/>
            <w:tcBorders>
              <w:top w:val="single" w:sz="4" w:space="0" w:color="A6A6A6"/>
              <w:left w:val="single" w:sz="4" w:space="0" w:color="A6A6A6"/>
              <w:bottom w:val="single" w:sz="4" w:space="0" w:color="A6A6A6"/>
              <w:right w:val="single" w:sz="4" w:space="0" w:color="A6A6A6"/>
            </w:tcBorders>
          </w:tcPr>
          <w:p w14:paraId="120E0A47"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3FAD0D0D" w14:textId="77777777" w:rsidR="00BC24A8" w:rsidRDefault="00000000">
            <w:pPr>
              <w:pStyle w:val="TableParagraph"/>
              <w:ind w:left="105"/>
              <w:rPr>
                <w:sz w:val="18"/>
              </w:rPr>
            </w:pPr>
            <w:r>
              <w:rPr>
                <w:sz w:val="18"/>
              </w:rPr>
              <w:t>Improving Transparency and Accountability in Public Financial Management at the APBD and Village Fund Levels</w:t>
            </w:r>
          </w:p>
        </w:tc>
        <w:tc>
          <w:tcPr>
            <w:tcW w:w="1096" w:type="dxa"/>
            <w:tcBorders>
              <w:top w:val="single" w:sz="4" w:space="0" w:color="A6A6A6"/>
              <w:left w:val="single" w:sz="4" w:space="0" w:color="A6A6A6"/>
              <w:bottom w:val="single" w:sz="4" w:space="0" w:color="A6A6A6"/>
              <w:right w:val="single" w:sz="4" w:space="0" w:color="A6A6A6"/>
            </w:tcBorders>
          </w:tcPr>
          <w:p w14:paraId="6CDA7B98" w14:textId="77777777" w:rsidR="00BC24A8" w:rsidRDefault="00000000">
            <w:pPr>
              <w:pStyle w:val="TableParagraph"/>
              <w:spacing w:line="219" w:lineRule="exact"/>
              <w:ind w:left="108"/>
              <w:rPr>
                <w:sz w:val="18"/>
              </w:rPr>
            </w:pPr>
            <w:r>
              <w:rPr>
                <w:spacing w:val="-4"/>
                <w:sz w:val="18"/>
              </w:rPr>
              <w:t>Aceh</w:t>
            </w:r>
          </w:p>
        </w:tc>
      </w:tr>
      <w:tr w:rsidR="00BC24A8" w14:paraId="12581623"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4DDDB78D" w14:textId="77777777" w:rsidR="00BC24A8" w:rsidRDefault="00000000">
            <w:pPr>
              <w:pStyle w:val="TableParagraph"/>
              <w:spacing w:before="1"/>
              <w:ind w:right="96"/>
              <w:jc w:val="right"/>
              <w:rPr>
                <w:sz w:val="18"/>
              </w:rPr>
            </w:pPr>
            <w:r>
              <w:rPr>
                <w:spacing w:val="-10"/>
                <w:sz w:val="18"/>
              </w:rPr>
              <w:t>9</w:t>
            </w:r>
          </w:p>
        </w:tc>
        <w:tc>
          <w:tcPr>
            <w:tcW w:w="955" w:type="dxa"/>
            <w:tcBorders>
              <w:top w:val="single" w:sz="4" w:space="0" w:color="A6A6A6"/>
              <w:left w:val="single" w:sz="4" w:space="0" w:color="A6A6A6"/>
              <w:bottom w:val="single" w:sz="4" w:space="0" w:color="A6A6A6"/>
              <w:right w:val="single" w:sz="4" w:space="0" w:color="A6A6A6"/>
            </w:tcBorders>
          </w:tcPr>
          <w:p w14:paraId="4DD78C51"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612ECF13" w14:textId="77777777" w:rsidR="00BC24A8" w:rsidRDefault="00000000">
            <w:pPr>
              <w:pStyle w:val="TableParagraph"/>
              <w:spacing w:before="1"/>
              <w:ind w:left="105"/>
              <w:rPr>
                <w:sz w:val="18"/>
              </w:rPr>
            </w:pPr>
            <w:r>
              <w:rPr>
                <w:sz w:val="18"/>
              </w:rPr>
              <w:t xml:space="preserve">Optimizing Planning Based on Education MSS Data: Efforts to Improve the Quality of Aceh’s </w:t>
            </w:r>
            <w:r>
              <w:rPr>
                <w:spacing w:val="-2"/>
                <w:sz w:val="18"/>
              </w:rPr>
              <w:t>Education</w:t>
            </w:r>
          </w:p>
        </w:tc>
        <w:tc>
          <w:tcPr>
            <w:tcW w:w="1096" w:type="dxa"/>
            <w:tcBorders>
              <w:top w:val="single" w:sz="4" w:space="0" w:color="A6A6A6"/>
              <w:left w:val="single" w:sz="4" w:space="0" w:color="A6A6A6"/>
              <w:bottom w:val="single" w:sz="4" w:space="0" w:color="A6A6A6"/>
              <w:right w:val="single" w:sz="4" w:space="0" w:color="A6A6A6"/>
            </w:tcBorders>
          </w:tcPr>
          <w:p w14:paraId="5BCAE8F6" w14:textId="77777777" w:rsidR="00BC24A8" w:rsidRDefault="00000000">
            <w:pPr>
              <w:pStyle w:val="TableParagraph"/>
              <w:spacing w:before="1"/>
              <w:ind w:left="108"/>
              <w:rPr>
                <w:sz w:val="18"/>
              </w:rPr>
            </w:pPr>
            <w:r>
              <w:rPr>
                <w:spacing w:val="-4"/>
                <w:sz w:val="18"/>
              </w:rPr>
              <w:t>Aceh</w:t>
            </w:r>
          </w:p>
        </w:tc>
      </w:tr>
      <w:tr w:rsidR="00BC24A8" w14:paraId="6D85DE2E"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5855FE5A" w14:textId="77777777" w:rsidR="00BC24A8" w:rsidRDefault="00000000">
            <w:pPr>
              <w:pStyle w:val="TableParagraph"/>
              <w:spacing w:before="1"/>
              <w:ind w:right="96"/>
              <w:jc w:val="right"/>
              <w:rPr>
                <w:sz w:val="18"/>
              </w:rPr>
            </w:pPr>
            <w:r>
              <w:rPr>
                <w:spacing w:val="-5"/>
                <w:sz w:val="18"/>
              </w:rPr>
              <w:t>10</w:t>
            </w:r>
          </w:p>
        </w:tc>
        <w:tc>
          <w:tcPr>
            <w:tcW w:w="955" w:type="dxa"/>
            <w:tcBorders>
              <w:top w:val="single" w:sz="4" w:space="0" w:color="A6A6A6"/>
              <w:left w:val="single" w:sz="4" w:space="0" w:color="A6A6A6"/>
              <w:bottom w:val="single" w:sz="4" w:space="0" w:color="A6A6A6"/>
              <w:right w:val="single" w:sz="4" w:space="0" w:color="A6A6A6"/>
            </w:tcBorders>
          </w:tcPr>
          <w:p w14:paraId="760BA107"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372D7DAF" w14:textId="77777777" w:rsidR="00BC24A8" w:rsidRDefault="00000000">
            <w:pPr>
              <w:pStyle w:val="TableParagraph"/>
              <w:spacing w:before="1"/>
              <w:ind w:left="105"/>
              <w:rPr>
                <w:sz w:val="18"/>
              </w:rPr>
            </w:pPr>
            <w:r>
              <w:rPr>
                <w:sz w:val="18"/>
              </w:rPr>
              <w:t xml:space="preserve">Optimization of PAD through regulation of other legal revenues: Collaboration and Inclusivity </w:t>
            </w:r>
            <w:r>
              <w:rPr>
                <w:spacing w:val="-2"/>
                <w:sz w:val="18"/>
              </w:rPr>
              <w:t>Bangkom</w:t>
            </w:r>
          </w:p>
        </w:tc>
        <w:tc>
          <w:tcPr>
            <w:tcW w:w="1096" w:type="dxa"/>
            <w:tcBorders>
              <w:top w:val="single" w:sz="4" w:space="0" w:color="A6A6A6"/>
              <w:left w:val="single" w:sz="4" w:space="0" w:color="A6A6A6"/>
              <w:bottom w:val="single" w:sz="4" w:space="0" w:color="A6A6A6"/>
              <w:right w:val="single" w:sz="4" w:space="0" w:color="A6A6A6"/>
            </w:tcBorders>
          </w:tcPr>
          <w:p w14:paraId="673B6B07" w14:textId="77777777" w:rsidR="00BC24A8" w:rsidRDefault="00000000">
            <w:pPr>
              <w:pStyle w:val="TableParagraph"/>
              <w:spacing w:before="1"/>
              <w:ind w:left="108"/>
              <w:rPr>
                <w:sz w:val="18"/>
              </w:rPr>
            </w:pPr>
            <w:r>
              <w:rPr>
                <w:spacing w:val="-2"/>
                <w:sz w:val="18"/>
              </w:rPr>
              <w:t>Gorontalo</w:t>
            </w:r>
          </w:p>
        </w:tc>
      </w:tr>
      <w:tr w:rsidR="00BC24A8" w14:paraId="29487AF8" w14:textId="77777777">
        <w:trPr>
          <w:trHeight w:val="299"/>
        </w:trPr>
        <w:tc>
          <w:tcPr>
            <w:tcW w:w="552" w:type="dxa"/>
            <w:tcBorders>
              <w:top w:val="single" w:sz="4" w:space="0" w:color="A6A6A6"/>
              <w:left w:val="single" w:sz="4" w:space="0" w:color="A6A6A6"/>
              <w:bottom w:val="single" w:sz="4" w:space="0" w:color="A6A6A6"/>
              <w:right w:val="single" w:sz="4" w:space="0" w:color="A6A6A6"/>
            </w:tcBorders>
          </w:tcPr>
          <w:p w14:paraId="43A98777" w14:textId="77777777" w:rsidR="00BC24A8" w:rsidRDefault="00000000">
            <w:pPr>
              <w:pStyle w:val="TableParagraph"/>
              <w:spacing w:before="1"/>
              <w:ind w:right="96"/>
              <w:jc w:val="right"/>
              <w:rPr>
                <w:sz w:val="18"/>
              </w:rPr>
            </w:pPr>
            <w:r>
              <w:rPr>
                <w:spacing w:val="-5"/>
                <w:sz w:val="18"/>
              </w:rPr>
              <w:t>11</w:t>
            </w:r>
          </w:p>
        </w:tc>
        <w:tc>
          <w:tcPr>
            <w:tcW w:w="955" w:type="dxa"/>
            <w:tcBorders>
              <w:top w:val="single" w:sz="4" w:space="0" w:color="A6A6A6"/>
              <w:left w:val="single" w:sz="4" w:space="0" w:color="A6A6A6"/>
              <w:bottom w:val="single" w:sz="4" w:space="0" w:color="A6A6A6"/>
              <w:right w:val="single" w:sz="4" w:space="0" w:color="A6A6A6"/>
            </w:tcBorders>
          </w:tcPr>
          <w:p w14:paraId="59BECAB4"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07733981" w14:textId="77777777" w:rsidR="00BC24A8" w:rsidRDefault="00000000">
            <w:pPr>
              <w:pStyle w:val="TableParagraph"/>
              <w:spacing w:before="1"/>
              <w:ind w:left="105"/>
              <w:rPr>
                <w:sz w:val="18"/>
              </w:rPr>
            </w:pPr>
            <w:r>
              <w:rPr>
                <w:sz w:val="18"/>
              </w:rPr>
              <w:t>Urgency</w:t>
            </w:r>
            <w:r>
              <w:rPr>
                <w:spacing w:val="-6"/>
                <w:sz w:val="18"/>
              </w:rPr>
              <w:t xml:space="preserve"> </w:t>
            </w:r>
            <w:r>
              <w:rPr>
                <w:sz w:val="18"/>
              </w:rPr>
              <w:t>of</w:t>
            </w:r>
            <w:r>
              <w:rPr>
                <w:spacing w:val="-6"/>
                <w:sz w:val="18"/>
              </w:rPr>
              <w:t xml:space="preserve"> </w:t>
            </w:r>
            <w:r>
              <w:rPr>
                <w:sz w:val="18"/>
              </w:rPr>
              <w:t>Data</w:t>
            </w:r>
            <w:r>
              <w:rPr>
                <w:spacing w:val="-6"/>
                <w:sz w:val="18"/>
              </w:rPr>
              <w:t xml:space="preserve"> </w:t>
            </w:r>
            <w:r>
              <w:rPr>
                <w:sz w:val="18"/>
              </w:rPr>
              <w:t>Needs</w:t>
            </w:r>
            <w:r>
              <w:rPr>
                <w:spacing w:val="-5"/>
                <w:sz w:val="18"/>
              </w:rPr>
              <w:t xml:space="preserve"> </w:t>
            </w:r>
            <w:r>
              <w:rPr>
                <w:sz w:val="18"/>
              </w:rPr>
              <w:t>in</w:t>
            </w:r>
            <w:r>
              <w:rPr>
                <w:spacing w:val="-4"/>
                <w:sz w:val="18"/>
              </w:rPr>
              <w:t xml:space="preserve"> </w:t>
            </w:r>
            <w:r>
              <w:rPr>
                <w:sz w:val="18"/>
              </w:rPr>
              <w:t>Supporting</w:t>
            </w:r>
            <w:r>
              <w:rPr>
                <w:spacing w:val="-6"/>
                <w:sz w:val="18"/>
              </w:rPr>
              <w:t xml:space="preserve"> </w:t>
            </w:r>
            <w:r>
              <w:rPr>
                <w:sz w:val="18"/>
              </w:rPr>
              <w:t>Basic</w:t>
            </w:r>
            <w:r>
              <w:rPr>
                <w:spacing w:val="-5"/>
                <w:sz w:val="18"/>
              </w:rPr>
              <w:t xml:space="preserve"> </w:t>
            </w:r>
            <w:r>
              <w:rPr>
                <w:sz w:val="18"/>
              </w:rPr>
              <w:t>Service</w:t>
            </w:r>
            <w:r>
              <w:rPr>
                <w:spacing w:val="-5"/>
                <w:sz w:val="18"/>
              </w:rPr>
              <w:t xml:space="preserve"> </w:t>
            </w:r>
            <w:r>
              <w:rPr>
                <w:sz w:val="18"/>
              </w:rPr>
              <w:t>Fulfillment</w:t>
            </w:r>
            <w:r>
              <w:rPr>
                <w:spacing w:val="-4"/>
                <w:sz w:val="18"/>
              </w:rPr>
              <w:t xml:space="preserve"> </w:t>
            </w:r>
            <w:r>
              <w:rPr>
                <w:sz w:val="18"/>
              </w:rPr>
              <w:t>in</w:t>
            </w:r>
            <w:r>
              <w:rPr>
                <w:spacing w:val="-5"/>
                <w:sz w:val="18"/>
              </w:rPr>
              <w:t xml:space="preserve"> </w:t>
            </w:r>
            <w:r>
              <w:rPr>
                <w:sz w:val="18"/>
              </w:rPr>
              <w:t>Prov.</w:t>
            </w:r>
            <w:r>
              <w:rPr>
                <w:spacing w:val="-5"/>
                <w:sz w:val="18"/>
              </w:rPr>
              <w:t xml:space="preserve"> </w:t>
            </w:r>
            <w:r>
              <w:rPr>
                <w:spacing w:val="-2"/>
                <w:sz w:val="18"/>
              </w:rPr>
              <w:t>Gorontalo</w:t>
            </w:r>
          </w:p>
        </w:tc>
        <w:tc>
          <w:tcPr>
            <w:tcW w:w="1096" w:type="dxa"/>
            <w:tcBorders>
              <w:top w:val="single" w:sz="4" w:space="0" w:color="A6A6A6"/>
              <w:left w:val="single" w:sz="4" w:space="0" w:color="A6A6A6"/>
              <w:bottom w:val="single" w:sz="4" w:space="0" w:color="A6A6A6"/>
              <w:right w:val="single" w:sz="4" w:space="0" w:color="A6A6A6"/>
            </w:tcBorders>
          </w:tcPr>
          <w:p w14:paraId="6A71C2BB" w14:textId="77777777" w:rsidR="00BC24A8" w:rsidRDefault="00000000">
            <w:pPr>
              <w:pStyle w:val="TableParagraph"/>
              <w:spacing w:before="1"/>
              <w:ind w:left="108"/>
              <w:rPr>
                <w:sz w:val="18"/>
              </w:rPr>
            </w:pPr>
            <w:r>
              <w:rPr>
                <w:spacing w:val="-2"/>
                <w:sz w:val="18"/>
              </w:rPr>
              <w:t>Gorontalo</w:t>
            </w:r>
          </w:p>
        </w:tc>
      </w:tr>
      <w:tr w:rsidR="00BC24A8" w14:paraId="4ACE40DD"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5CA2394F" w14:textId="77777777" w:rsidR="00BC24A8" w:rsidRDefault="00000000">
            <w:pPr>
              <w:pStyle w:val="TableParagraph"/>
              <w:spacing w:before="1"/>
              <w:ind w:right="96"/>
              <w:jc w:val="right"/>
              <w:rPr>
                <w:sz w:val="18"/>
              </w:rPr>
            </w:pPr>
            <w:r>
              <w:rPr>
                <w:spacing w:val="-5"/>
                <w:sz w:val="18"/>
              </w:rPr>
              <w:t>12</w:t>
            </w:r>
          </w:p>
        </w:tc>
        <w:tc>
          <w:tcPr>
            <w:tcW w:w="955" w:type="dxa"/>
            <w:tcBorders>
              <w:top w:val="single" w:sz="4" w:space="0" w:color="A6A6A6"/>
              <w:left w:val="single" w:sz="4" w:space="0" w:color="A6A6A6"/>
              <w:bottom w:val="single" w:sz="4" w:space="0" w:color="A6A6A6"/>
              <w:right w:val="single" w:sz="4" w:space="0" w:color="A6A6A6"/>
            </w:tcBorders>
          </w:tcPr>
          <w:p w14:paraId="567D74E6"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25FA764B" w14:textId="77777777" w:rsidR="00BC24A8" w:rsidRDefault="00000000">
            <w:pPr>
              <w:pStyle w:val="TableParagraph"/>
              <w:spacing w:before="1"/>
              <w:ind w:left="105"/>
              <w:rPr>
                <w:sz w:val="18"/>
              </w:rPr>
            </w:pPr>
            <w:r>
              <w:rPr>
                <w:sz w:val="18"/>
              </w:rPr>
              <w:t>Improving</w:t>
            </w:r>
            <w:r>
              <w:rPr>
                <w:spacing w:val="29"/>
                <w:sz w:val="18"/>
              </w:rPr>
              <w:t xml:space="preserve"> </w:t>
            </w:r>
            <w:r>
              <w:rPr>
                <w:sz w:val="18"/>
              </w:rPr>
              <w:t>Sectoral</w:t>
            </w:r>
            <w:r>
              <w:rPr>
                <w:spacing w:val="30"/>
                <w:sz w:val="18"/>
              </w:rPr>
              <w:t xml:space="preserve"> </w:t>
            </w:r>
            <w:r>
              <w:rPr>
                <w:sz w:val="18"/>
              </w:rPr>
              <w:t>Data</w:t>
            </w:r>
            <w:r>
              <w:rPr>
                <w:spacing w:val="28"/>
                <w:sz w:val="18"/>
              </w:rPr>
              <w:t xml:space="preserve"> </w:t>
            </w:r>
            <w:r>
              <w:rPr>
                <w:sz w:val="18"/>
              </w:rPr>
              <w:t>Quality</w:t>
            </w:r>
            <w:r>
              <w:rPr>
                <w:spacing w:val="29"/>
                <w:sz w:val="18"/>
              </w:rPr>
              <w:t xml:space="preserve"> </w:t>
            </w:r>
            <w:r>
              <w:rPr>
                <w:sz w:val="18"/>
              </w:rPr>
              <w:t>and</w:t>
            </w:r>
            <w:r>
              <w:rPr>
                <w:spacing w:val="29"/>
                <w:sz w:val="18"/>
              </w:rPr>
              <w:t xml:space="preserve"> </w:t>
            </w:r>
            <w:r>
              <w:rPr>
                <w:sz w:val="18"/>
              </w:rPr>
              <w:t>Integration</w:t>
            </w:r>
            <w:r>
              <w:rPr>
                <w:spacing w:val="29"/>
                <w:sz w:val="18"/>
              </w:rPr>
              <w:t xml:space="preserve"> </w:t>
            </w:r>
            <w:r>
              <w:rPr>
                <w:sz w:val="18"/>
              </w:rPr>
              <w:t>in</w:t>
            </w:r>
            <w:r>
              <w:rPr>
                <w:spacing w:val="29"/>
                <w:sz w:val="18"/>
              </w:rPr>
              <w:t xml:space="preserve"> </w:t>
            </w:r>
            <w:r>
              <w:rPr>
                <w:sz w:val="18"/>
              </w:rPr>
              <w:t>GTO</w:t>
            </w:r>
            <w:r>
              <w:rPr>
                <w:spacing w:val="29"/>
                <w:sz w:val="18"/>
              </w:rPr>
              <w:t xml:space="preserve"> </w:t>
            </w:r>
            <w:r>
              <w:rPr>
                <w:sz w:val="18"/>
              </w:rPr>
              <w:t>Provinces:</w:t>
            </w:r>
            <w:r>
              <w:rPr>
                <w:spacing w:val="30"/>
                <w:sz w:val="18"/>
              </w:rPr>
              <w:t xml:space="preserve"> </w:t>
            </w:r>
            <w:r>
              <w:rPr>
                <w:sz w:val="18"/>
              </w:rPr>
              <w:t>Inclusive</w:t>
            </w:r>
            <w:r>
              <w:rPr>
                <w:spacing w:val="29"/>
                <w:sz w:val="18"/>
              </w:rPr>
              <w:t xml:space="preserve"> </w:t>
            </w:r>
            <w:r>
              <w:rPr>
                <w:sz w:val="18"/>
              </w:rPr>
              <w:t>Development Planning</w:t>
            </w:r>
            <w:r>
              <w:rPr>
                <w:spacing w:val="-2"/>
                <w:sz w:val="18"/>
              </w:rPr>
              <w:t xml:space="preserve"> </w:t>
            </w:r>
            <w:r>
              <w:rPr>
                <w:sz w:val="18"/>
              </w:rPr>
              <w:t>Strategy</w:t>
            </w:r>
          </w:p>
        </w:tc>
        <w:tc>
          <w:tcPr>
            <w:tcW w:w="1096" w:type="dxa"/>
            <w:tcBorders>
              <w:top w:val="single" w:sz="4" w:space="0" w:color="A6A6A6"/>
              <w:left w:val="single" w:sz="4" w:space="0" w:color="A6A6A6"/>
              <w:bottom w:val="single" w:sz="4" w:space="0" w:color="A6A6A6"/>
              <w:right w:val="single" w:sz="4" w:space="0" w:color="A6A6A6"/>
            </w:tcBorders>
          </w:tcPr>
          <w:p w14:paraId="1498F3D0" w14:textId="77777777" w:rsidR="00BC24A8" w:rsidRDefault="00000000">
            <w:pPr>
              <w:pStyle w:val="TableParagraph"/>
              <w:spacing w:before="1"/>
              <w:ind w:left="108"/>
              <w:rPr>
                <w:sz w:val="18"/>
              </w:rPr>
            </w:pPr>
            <w:r>
              <w:rPr>
                <w:spacing w:val="-2"/>
                <w:sz w:val="18"/>
              </w:rPr>
              <w:t>Gorontalo</w:t>
            </w:r>
          </w:p>
        </w:tc>
      </w:tr>
      <w:tr w:rsidR="00BC24A8" w14:paraId="25F214C5"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659B3101" w14:textId="77777777" w:rsidR="00BC24A8" w:rsidRDefault="00000000">
            <w:pPr>
              <w:pStyle w:val="TableParagraph"/>
              <w:spacing w:before="1"/>
              <w:ind w:right="96"/>
              <w:jc w:val="right"/>
              <w:rPr>
                <w:sz w:val="18"/>
              </w:rPr>
            </w:pPr>
            <w:r>
              <w:rPr>
                <w:spacing w:val="-5"/>
                <w:sz w:val="18"/>
              </w:rPr>
              <w:t>13</w:t>
            </w:r>
          </w:p>
        </w:tc>
        <w:tc>
          <w:tcPr>
            <w:tcW w:w="955" w:type="dxa"/>
            <w:tcBorders>
              <w:top w:val="single" w:sz="4" w:space="0" w:color="A6A6A6"/>
              <w:left w:val="single" w:sz="4" w:space="0" w:color="A6A6A6"/>
              <w:bottom w:val="single" w:sz="4" w:space="0" w:color="A6A6A6"/>
              <w:right w:val="single" w:sz="4" w:space="0" w:color="A6A6A6"/>
            </w:tcBorders>
          </w:tcPr>
          <w:p w14:paraId="0DB3E196"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48E1F263" w14:textId="77777777" w:rsidR="00BC24A8" w:rsidRDefault="00000000">
            <w:pPr>
              <w:pStyle w:val="TableParagraph"/>
              <w:spacing w:before="1"/>
              <w:ind w:left="105"/>
              <w:rPr>
                <w:sz w:val="18"/>
              </w:rPr>
            </w:pPr>
            <w:r>
              <w:rPr>
                <w:sz w:val="18"/>
              </w:rPr>
              <w:t>Save</w:t>
            </w:r>
            <w:r>
              <w:rPr>
                <w:spacing w:val="-8"/>
                <w:sz w:val="18"/>
              </w:rPr>
              <w:t xml:space="preserve"> </w:t>
            </w:r>
            <w:r>
              <w:rPr>
                <w:sz w:val="18"/>
              </w:rPr>
              <w:t>Lake</w:t>
            </w:r>
            <w:r>
              <w:rPr>
                <w:spacing w:val="-8"/>
                <w:sz w:val="18"/>
              </w:rPr>
              <w:t xml:space="preserve"> </w:t>
            </w:r>
            <w:r>
              <w:rPr>
                <w:sz w:val="18"/>
              </w:rPr>
              <w:t>Limbotodi</w:t>
            </w:r>
            <w:r>
              <w:rPr>
                <w:spacing w:val="-7"/>
                <w:sz w:val="18"/>
              </w:rPr>
              <w:t xml:space="preserve"> </w:t>
            </w:r>
            <w:r>
              <w:rPr>
                <w:sz w:val="18"/>
              </w:rPr>
              <w:t>GTO:</w:t>
            </w:r>
            <w:r>
              <w:rPr>
                <w:spacing w:val="-7"/>
                <w:sz w:val="18"/>
              </w:rPr>
              <w:t xml:space="preserve"> </w:t>
            </w:r>
            <w:r>
              <w:rPr>
                <w:sz w:val="18"/>
              </w:rPr>
              <w:t>Efforts</w:t>
            </w:r>
            <w:r>
              <w:rPr>
                <w:spacing w:val="-8"/>
                <w:sz w:val="18"/>
              </w:rPr>
              <w:t xml:space="preserve"> </w:t>
            </w:r>
            <w:r>
              <w:rPr>
                <w:sz w:val="18"/>
              </w:rPr>
              <w:t>to</w:t>
            </w:r>
            <w:r>
              <w:rPr>
                <w:spacing w:val="-9"/>
                <w:sz w:val="18"/>
              </w:rPr>
              <w:t xml:space="preserve"> </w:t>
            </w:r>
            <w:r>
              <w:rPr>
                <w:sz w:val="18"/>
              </w:rPr>
              <w:t>Empower</w:t>
            </w:r>
            <w:r>
              <w:rPr>
                <w:spacing w:val="-7"/>
                <w:sz w:val="18"/>
              </w:rPr>
              <w:t xml:space="preserve"> </w:t>
            </w:r>
            <w:r>
              <w:rPr>
                <w:sz w:val="18"/>
              </w:rPr>
              <w:t>Lake</w:t>
            </w:r>
            <w:r>
              <w:rPr>
                <w:spacing w:val="-8"/>
                <w:sz w:val="18"/>
              </w:rPr>
              <w:t xml:space="preserve"> </w:t>
            </w:r>
            <w:r>
              <w:rPr>
                <w:sz w:val="18"/>
              </w:rPr>
              <w:t>Coastal</w:t>
            </w:r>
            <w:r>
              <w:rPr>
                <w:spacing w:val="-7"/>
                <w:sz w:val="18"/>
              </w:rPr>
              <w:t xml:space="preserve"> </w:t>
            </w:r>
            <w:r>
              <w:rPr>
                <w:spacing w:val="-2"/>
                <w:sz w:val="18"/>
              </w:rPr>
              <w:t>Communities</w:t>
            </w:r>
          </w:p>
        </w:tc>
        <w:tc>
          <w:tcPr>
            <w:tcW w:w="1096" w:type="dxa"/>
            <w:tcBorders>
              <w:top w:val="single" w:sz="4" w:space="0" w:color="A6A6A6"/>
              <w:left w:val="single" w:sz="4" w:space="0" w:color="A6A6A6"/>
              <w:bottom w:val="single" w:sz="4" w:space="0" w:color="A6A6A6"/>
              <w:right w:val="single" w:sz="4" w:space="0" w:color="A6A6A6"/>
            </w:tcBorders>
          </w:tcPr>
          <w:p w14:paraId="1F1C90F7" w14:textId="77777777" w:rsidR="00BC24A8" w:rsidRDefault="00000000">
            <w:pPr>
              <w:pStyle w:val="TableParagraph"/>
              <w:spacing w:before="1"/>
              <w:ind w:left="108"/>
              <w:rPr>
                <w:sz w:val="18"/>
              </w:rPr>
            </w:pPr>
            <w:r>
              <w:rPr>
                <w:spacing w:val="-2"/>
                <w:sz w:val="18"/>
              </w:rPr>
              <w:t>Gorontalo</w:t>
            </w:r>
          </w:p>
        </w:tc>
      </w:tr>
      <w:tr w:rsidR="00BC24A8" w14:paraId="470ADB23"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53139684" w14:textId="77777777" w:rsidR="00BC24A8" w:rsidRDefault="00000000">
            <w:pPr>
              <w:pStyle w:val="TableParagraph"/>
              <w:spacing w:before="1"/>
              <w:ind w:right="96"/>
              <w:jc w:val="right"/>
              <w:rPr>
                <w:sz w:val="18"/>
              </w:rPr>
            </w:pPr>
            <w:r>
              <w:rPr>
                <w:spacing w:val="-5"/>
                <w:sz w:val="18"/>
              </w:rPr>
              <w:t>14</w:t>
            </w:r>
          </w:p>
        </w:tc>
        <w:tc>
          <w:tcPr>
            <w:tcW w:w="955" w:type="dxa"/>
            <w:tcBorders>
              <w:top w:val="single" w:sz="4" w:space="0" w:color="A6A6A6"/>
              <w:left w:val="single" w:sz="4" w:space="0" w:color="A6A6A6"/>
              <w:bottom w:val="single" w:sz="4" w:space="0" w:color="A6A6A6"/>
              <w:right w:val="single" w:sz="4" w:space="0" w:color="A6A6A6"/>
            </w:tcBorders>
          </w:tcPr>
          <w:p w14:paraId="318234B3"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6B2C7C55" w14:textId="77777777" w:rsidR="00BC24A8" w:rsidRDefault="00000000">
            <w:pPr>
              <w:pStyle w:val="TableParagraph"/>
              <w:spacing w:before="1"/>
              <w:ind w:left="105"/>
              <w:rPr>
                <w:sz w:val="18"/>
              </w:rPr>
            </w:pPr>
            <w:r>
              <w:rPr>
                <w:sz w:val="18"/>
              </w:rPr>
              <w:t>Strategies</w:t>
            </w:r>
            <w:r>
              <w:rPr>
                <w:spacing w:val="-6"/>
                <w:sz w:val="18"/>
              </w:rPr>
              <w:t xml:space="preserve"> </w:t>
            </w:r>
            <w:r>
              <w:rPr>
                <w:sz w:val="18"/>
              </w:rPr>
              <w:t>for</w:t>
            </w:r>
            <w:r>
              <w:rPr>
                <w:spacing w:val="-5"/>
                <w:sz w:val="18"/>
              </w:rPr>
              <w:t xml:space="preserve"> </w:t>
            </w:r>
            <w:r>
              <w:rPr>
                <w:sz w:val="18"/>
              </w:rPr>
              <w:t>Improving</w:t>
            </w:r>
            <w:r>
              <w:rPr>
                <w:spacing w:val="-6"/>
                <w:sz w:val="18"/>
              </w:rPr>
              <w:t xml:space="preserve"> </w:t>
            </w:r>
            <w:r>
              <w:rPr>
                <w:sz w:val="18"/>
              </w:rPr>
              <w:t>Social</w:t>
            </w:r>
            <w:r>
              <w:rPr>
                <w:spacing w:val="-4"/>
                <w:sz w:val="18"/>
              </w:rPr>
              <w:t xml:space="preserve"> </w:t>
            </w:r>
            <w:r>
              <w:rPr>
                <w:sz w:val="18"/>
              </w:rPr>
              <w:t>MSS</w:t>
            </w:r>
            <w:r>
              <w:rPr>
                <w:spacing w:val="-5"/>
                <w:sz w:val="18"/>
              </w:rPr>
              <w:t xml:space="preserve"> </w:t>
            </w:r>
            <w:r>
              <w:rPr>
                <w:sz w:val="18"/>
              </w:rPr>
              <w:t>Achievement</w:t>
            </w:r>
            <w:r>
              <w:rPr>
                <w:spacing w:val="-4"/>
                <w:sz w:val="18"/>
              </w:rPr>
              <w:t xml:space="preserve"> </w:t>
            </w:r>
            <w:r>
              <w:rPr>
                <w:sz w:val="18"/>
              </w:rPr>
              <w:t>in</w:t>
            </w:r>
            <w:r>
              <w:rPr>
                <w:spacing w:val="-5"/>
                <w:sz w:val="18"/>
              </w:rPr>
              <w:t xml:space="preserve"> </w:t>
            </w:r>
            <w:r>
              <w:rPr>
                <w:spacing w:val="-4"/>
                <w:sz w:val="18"/>
              </w:rPr>
              <w:t>GTOs</w:t>
            </w:r>
          </w:p>
        </w:tc>
        <w:tc>
          <w:tcPr>
            <w:tcW w:w="1096" w:type="dxa"/>
            <w:tcBorders>
              <w:top w:val="single" w:sz="4" w:space="0" w:color="A6A6A6"/>
              <w:left w:val="single" w:sz="4" w:space="0" w:color="A6A6A6"/>
              <w:bottom w:val="single" w:sz="4" w:space="0" w:color="A6A6A6"/>
              <w:right w:val="single" w:sz="4" w:space="0" w:color="A6A6A6"/>
            </w:tcBorders>
          </w:tcPr>
          <w:p w14:paraId="24AAC9C2" w14:textId="77777777" w:rsidR="00BC24A8" w:rsidRDefault="00000000">
            <w:pPr>
              <w:pStyle w:val="TableParagraph"/>
              <w:spacing w:before="1"/>
              <w:ind w:left="108"/>
              <w:rPr>
                <w:sz w:val="18"/>
              </w:rPr>
            </w:pPr>
            <w:r>
              <w:rPr>
                <w:spacing w:val="-2"/>
                <w:sz w:val="18"/>
              </w:rPr>
              <w:t>Gorontalo</w:t>
            </w:r>
          </w:p>
        </w:tc>
      </w:tr>
      <w:tr w:rsidR="00BC24A8" w14:paraId="0B857CB1"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0685A862" w14:textId="77777777" w:rsidR="00BC24A8" w:rsidRDefault="00000000">
            <w:pPr>
              <w:pStyle w:val="TableParagraph"/>
              <w:spacing w:before="1"/>
              <w:ind w:right="96"/>
              <w:jc w:val="right"/>
              <w:rPr>
                <w:sz w:val="18"/>
              </w:rPr>
            </w:pPr>
            <w:r>
              <w:rPr>
                <w:spacing w:val="-5"/>
                <w:sz w:val="18"/>
              </w:rPr>
              <w:t>15</w:t>
            </w:r>
          </w:p>
        </w:tc>
        <w:tc>
          <w:tcPr>
            <w:tcW w:w="955" w:type="dxa"/>
            <w:tcBorders>
              <w:top w:val="single" w:sz="4" w:space="0" w:color="A6A6A6"/>
              <w:left w:val="single" w:sz="4" w:space="0" w:color="A6A6A6"/>
              <w:bottom w:val="single" w:sz="4" w:space="0" w:color="A6A6A6"/>
              <w:right w:val="single" w:sz="4" w:space="0" w:color="A6A6A6"/>
            </w:tcBorders>
          </w:tcPr>
          <w:p w14:paraId="509962D6"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27717E2A" w14:textId="77777777" w:rsidR="00BC24A8" w:rsidRDefault="00000000">
            <w:pPr>
              <w:pStyle w:val="TableParagraph"/>
              <w:spacing w:before="1"/>
              <w:ind w:left="105"/>
              <w:rPr>
                <w:sz w:val="18"/>
              </w:rPr>
            </w:pPr>
            <w:r>
              <w:rPr>
                <w:sz w:val="18"/>
              </w:rPr>
              <w:t>Declining Public Service Quality</w:t>
            </w:r>
            <w:r>
              <w:rPr>
                <w:spacing w:val="-1"/>
                <w:sz w:val="18"/>
              </w:rPr>
              <w:t xml:space="preserve"> </w:t>
            </w:r>
            <w:r>
              <w:rPr>
                <w:sz w:val="18"/>
              </w:rPr>
              <w:t>at the Gorontalo City Dukcapil Office: Identifying Root Causes and Recovery Strategies</w:t>
            </w:r>
          </w:p>
        </w:tc>
        <w:tc>
          <w:tcPr>
            <w:tcW w:w="1096" w:type="dxa"/>
            <w:tcBorders>
              <w:top w:val="single" w:sz="4" w:space="0" w:color="A6A6A6"/>
              <w:left w:val="single" w:sz="4" w:space="0" w:color="A6A6A6"/>
              <w:bottom w:val="single" w:sz="4" w:space="0" w:color="A6A6A6"/>
              <w:right w:val="single" w:sz="4" w:space="0" w:color="A6A6A6"/>
            </w:tcBorders>
          </w:tcPr>
          <w:p w14:paraId="4801E39B" w14:textId="77777777" w:rsidR="00BC24A8" w:rsidRDefault="00000000">
            <w:pPr>
              <w:pStyle w:val="TableParagraph"/>
              <w:spacing w:before="1"/>
              <w:ind w:left="108"/>
              <w:rPr>
                <w:sz w:val="18"/>
              </w:rPr>
            </w:pPr>
            <w:r>
              <w:rPr>
                <w:spacing w:val="-2"/>
                <w:sz w:val="18"/>
              </w:rPr>
              <w:t>Gorontalo</w:t>
            </w:r>
          </w:p>
        </w:tc>
      </w:tr>
      <w:tr w:rsidR="00BC24A8" w14:paraId="3EE93E3E" w14:textId="77777777">
        <w:trPr>
          <w:trHeight w:val="220"/>
        </w:trPr>
        <w:tc>
          <w:tcPr>
            <w:tcW w:w="552" w:type="dxa"/>
            <w:tcBorders>
              <w:top w:val="single" w:sz="4" w:space="0" w:color="A6A6A6"/>
              <w:left w:val="single" w:sz="4" w:space="0" w:color="A6A6A6"/>
              <w:bottom w:val="single" w:sz="4" w:space="0" w:color="A6A6A6"/>
              <w:right w:val="single" w:sz="4" w:space="0" w:color="A6A6A6"/>
            </w:tcBorders>
          </w:tcPr>
          <w:p w14:paraId="1B0D3B70" w14:textId="77777777" w:rsidR="00BC24A8" w:rsidRDefault="00000000">
            <w:pPr>
              <w:pStyle w:val="TableParagraph"/>
              <w:spacing w:before="1" w:line="199" w:lineRule="exact"/>
              <w:ind w:right="96"/>
              <w:jc w:val="right"/>
              <w:rPr>
                <w:sz w:val="18"/>
              </w:rPr>
            </w:pPr>
            <w:r>
              <w:rPr>
                <w:spacing w:val="-5"/>
                <w:sz w:val="18"/>
              </w:rPr>
              <w:t>16</w:t>
            </w:r>
          </w:p>
        </w:tc>
        <w:tc>
          <w:tcPr>
            <w:tcW w:w="955" w:type="dxa"/>
            <w:tcBorders>
              <w:top w:val="single" w:sz="4" w:space="0" w:color="A6A6A6"/>
              <w:left w:val="single" w:sz="4" w:space="0" w:color="A6A6A6"/>
              <w:bottom w:val="single" w:sz="4" w:space="0" w:color="A6A6A6"/>
              <w:right w:val="single" w:sz="4" w:space="0" w:color="A6A6A6"/>
            </w:tcBorders>
          </w:tcPr>
          <w:p w14:paraId="65AE06CF" w14:textId="77777777" w:rsidR="00BC24A8" w:rsidRDefault="00000000">
            <w:pPr>
              <w:pStyle w:val="TableParagraph"/>
              <w:spacing w:before="1" w:line="19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60482C35" w14:textId="77777777" w:rsidR="00BC24A8" w:rsidRDefault="00000000">
            <w:pPr>
              <w:pStyle w:val="TableParagraph"/>
              <w:spacing w:before="1" w:line="199" w:lineRule="exact"/>
              <w:ind w:left="105"/>
              <w:rPr>
                <w:sz w:val="18"/>
              </w:rPr>
            </w:pPr>
            <w:r>
              <w:rPr>
                <w:sz w:val="18"/>
              </w:rPr>
              <w:t>Preventing</w:t>
            </w:r>
            <w:r>
              <w:rPr>
                <w:spacing w:val="-7"/>
                <w:sz w:val="18"/>
              </w:rPr>
              <w:t xml:space="preserve"> </w:t>
            </w:r>
            <w:r>
              <w:rPr>
                <w:sz w:val="18"/>
              </w:rPr>
              <w:t>Child</w:t>
            </w:r>
            <w:r>
              <w:rPr>
                <w:spacing w:val="-6"/>
                <w:sz w:val="18"/>
              </w:rPr>
              <w:t xml:space="preserve"> </w:t>
            </w:r>
            <w:r>
              <w:rPr>
                <w:sz w:val="18"/>
              </w:rPr>
              <w:t>Marriage</w:t>
            </w:r>
            <w:r>
              <w:rPr>
                <w:spacing w:val="-6"/>
                <w:sz w:val="18"/>
              </w:rPr>
              <w:t xml:space="preserve"> </w:t>
            </w:r>
            <w:r>
              <w:rPr>
                <w:sz w:val="18"/>
              </w:rPr>
              <w:t>to</w:t>
            </w:r>
            <w:r>
              <w:rPr>
                <w:spacing w:val="-7"/>
                <w:sz w:val="18"/>
              </w:rPr>
              <w:t xml:space="preserve"> </w:t>
            </w:r>
            <w:r>
              <w:rPr>
                <w:sz w:val="18"/>
              </w:rPr>
              <w:t>Achieve</w:t>
            </w:r>
            <w:r>
              <w:rPr>
                <w:spacing w:val="-5"/>
                <w:sz w:val="18"/>
              </w:rPr>
              <w:t xml:space="preserve"> </w:t>
            </w:r>
            <w:r>
              <w:rPr>
                <w:sz w:val="18"/>
              </w:rPr>
              <w:t>Sustainable</w:t>
            </w:r>
            <w:r>
              <w:rPr>
                <w:spacing w:val="-6"/>
                <w:sz w:val="18"/>
              </w:rPr>
              <w:t xml:space="preserve"> </w:t>
            </w:r>
            <w:r>
              <w:rPr>
                <w:sz w:val="18"/>
              </w:rPr>
              <w:t>Development</w:t>
            </w:r>
            <w:r>
              <w:rPr>
                <w:spacing w:val="-5"/>
                <w:sz w:val="18"/>
              </w:rPr>
              <w:t xml:space="preserve"> </w:t>
            </w:r>
            <w:r>
              <w:rPr>
                <w:sz w:val="18"/>
              </w:rPr>
              <w:t>Goals</w:t>
            </w:r>
            <w:r>
              <w:rPr>
                <w:spacing w:val="-6"/>
                <w:sz w:val="18"/>
              </w:rPr>
              <w:t xml:space="preserve"> </w:t>
            </w:r>
            <w:r>
              <w:rPr>
                <w:sz w:val="18"/>
              </w:rPr>
              <w:t>in</w:t>
            </w:r>
            <w:r>
              <w:rPr>
                <w:spacing w:val="-6"/>
                <w:sz w:val="18"/>
              </w:rPr>
              <w:t xml:space="preserve"> </w:t>
            </w:r>
            <w:r>
              <w:rPr>
                <w:sz w:val="18"/>
              </w:rPr>
              <w:t>Gorontalo</w:t>
            </w:r>
            <w:r>
              <w:rPr>
                <w:spacing w:val="-6"/>
                <w:sz w:val="18"/>
              </w:rPr>
              <w:t xml:space="preserve"> </w:t>
            </w:r>
            <w:r>
              <w:rPr>
                <w:spacing w:val="-2"/>
                <w:sz w:val="18"/>
              </w:rPr>
              <w:t>Province</w:t>
            </w:r>
          </w:p>
        </w:tc>
        <w:tc>
          <w:tcPr>
            <w:tcW w:w="1096" w:type="dxa"/>
            <w:tcBorders>
              <w:top w:val="single" w:sz="4" w:space="0" w:color="A6A6A6"/>
              <w:left w:val="single" w:sz="4" w:space="0" w:color="A6A6A6"/>
              <w:bottom w:val="single" w:sz="4" w:space="0" w:color="A6A6A6"/>
              <w:right w:val="single" w:sz="4" w:space="0" w:color="A6A6A6"/>
            </w:tcBorders>
          </w:tcPr>
          <w:p w14:paraId="4BD4D481" w14:textId="77777777" w:rsidR="00BC24A8" w:rsidRDefault="00000000">
            <w:pPr>
              <w:pStyle w:val="TableParagraph"/>
              <w:spacing w:before="1" w:line="199" w:lineRule="exact"/>
              <w:ind w:left="108"/>
              <w:rPr>
                <w:sz w:val="18"/>
              </w:rPr>
            </w:pPr>
            <w:r>
              <w:rPr>
                <w:spacing w:val="-2"/>
                <w:sz w:val="18"/>
              </w:rPr>
              <w:t>Gorontalo</w:t>
            </w:r>
          </w:p>
        </w:tc>
      </w:tr>
      <w:tr w:rsidR="00BC24A8" w14:paraId="14585551"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1505A126" w14:textId="77777777" w:rsidR="00BC24A8" w:rsidRDefault="00000000">
            <w:pPr>
              <w:pStyle w:val="TableParagraph"/>
              <w:spacing w:before="1"/>
              <w:ind w:right="96"/>
              <w:jc w:val="right"/>
              <w:rPr>
                <w:sz w:val="18"/>
              </w:rPr>
            </w:pPr>
            <w:r>
              <w:rPr>
                <w:spacing w:val="-5"/>
                <w:sz w:val="18"/>
              </w:rPr>
              <w:t>17</w:t>
            </w:r>
          </w:p>
        </w:tc>
        <w:tc>
          <w:tcPr>
            <w:tcW w:w="955" w:type="dxa"/>
            <w:tcBorders>
              <w:top w:val="single" w:sz="4" w:space="0" w:color="A6A6A6"/>
              <w:left w:val="single" w:sz="4" w:space="0" w:color="A6A6A6"/>
              <w:bottom w:val="single" w:sz="4" w:space="0" w:color="A6A6A6"/>
              <w:right w:val="single" w:sz="4" w:space="0" w:color="A6A6A6"/>
            </w:tcBorders>
          </w:tcPr>
          <w:p w14:paraId="1403F35E"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769C1857" w14:textId="77777777" w:rsidR="00BC24A8" w:rsidRDefault="00000000">
            <w:pPr>
              <w:pStyle w:val="TableParagraph"/>
              <w:spacing w:before="1"/>
              <w:ind w:left="105"/>
              <w:rPr>
                <w:sz w:val="18"/>
              </w:rPr>
            </w:pPr>
            <w:r>
              <w:rPr>
                <w:sz w:val="18"/>
              </w:rPr>
              <w:t>Fulfilling</w:t>
            </w:r>
            <w:r>
              <w:rPr>
                <w:spacing w:val="-4"/>
                <w:sz w:val="18"/>
              </w:rPr>
              <w:t xml:space="preserve"> </w:t>
            </w:r>
            <w:r>
              <w:rPr>
                <w:sz w:val="18"/>
              </w:rPr>
              <w:t>Access</w:t>
            </w:r>
            <w:r>
              <w:rPr>
                <w:spacing w:val="-2"/>
                <w:sz w:val="18"/>
              </w:rPr>
              <w:t xml:space="preserve"> </w:t>
            </w:r>
            <w:r>
              <w:rPr>
                <w:sz w:val="18"/>
              </w:rPr>
              <w:t>to</w:t>
            </w:r>
            <w:r>
              <w:rPr>
                <w:spacing w:val="-4"/>
                <w:sz w:val="18"/>
              </w:rPr>
              <w:t xml:space="preserve"> </w:t>
            </w:r>
            <w:r>
              <w:rPr>
                <w:sz w:val="18"/>
              </w:rPr>
              <w:t>Special</w:t>
            </w:r>
            <w:r>
              <w:rPr>
                <w:spacing w:val="-4"/>
                <w:sz w:val="18"/>
              </w:rPr>
              <w:t xml:space="preserve"> </w:t>
            </w:r>
            <w:r>
              <w:rPr>
                <w:sz w:val="18"/>
              </w:rPr>
              <w:t>Education</w:t>
            </w:r>
            <w:r>
              <w:rPr>
                <w:spacing w:val="-3"/>
                <w:sz w:val="18"/>
              </w:rPr>
              <w:t xml:space="preserve"> </w:t>
            </w:r>
            <w:r>
              <w:rPr>
                <w:sz w:val="18"/>
              </w:rPr>
              <w:t>Services</w:t>
            </w:r>
            <w:r>
              <w:rPr>
                <w:spacing w:val="-2"/>
                <w:sz w:val="18"/>
              </w:rPr>
              <w:t xml:space="preserve"> </w:t>
            </w:r>
            <w:r>
              <w:rPr>
                <w:sz w:val="18"/>
              </w:rPr>
              <w:t>in</w:t>
            </w:r>
            <w:r>
              <w:rPr>
                <w:spacing w:val="-5"/>
                <w:sz w:val="18"/>
              </w:rPr>
              <w:t xml:space="preserve"> </w:t>
            </w:r>
            <w:r>
              <w:rPr>
                <w:spacing w:val="-4"/>
                <w:sz w:val="18"/>
              </w:rPr>
              <w:t>GTOs</w:t>
            </w:r>
          </w:p>
        </w:tc>
        <w:tc>
          <w:tcPr>
            <w:tcW w:w="1096" w:type="dxa"/>
            <w:tcBorders>
              <w:top w:val="single" w:sz="4" w:space="0" w:color="A6A6A6"/>
              <w:left w:val="single" w:sz="4" w:space="0" w:color="A6A6A6"/>
              <w:bottom w:val="single" w:sz="4" w:space="0" w:color="A6A6A6"/>
              <w:right w:val="single" w:sz="4" w:space="0" w:color="A6A6A6"/>
            </w:tcBorders>
          </w:tcPr>
          <w:p w14:paraId="5D5EAE7A" w14:textId="77777777" w:rsidR="00BC24A8" w:rsidRDefault="00000000">
            <w:pPr>
              <w:pStyle w:val="TableParagraph"/>
              <w:spacing w:before="1"/>
              <w:ind w:left="108"/>
              <w:rPr>
                <w:sz w:val="18"/>
              </w:rPr>
            </w:pPr>
            <w:r>
              <w:rPr>
                <w:spacing w:val="-2"/>
                <w:sz w:val="18"/>
              </w:rPr>
              <w:t>Gorontalo</w:t>
            </w:r>
          </w:p>
        </w:tc>
      </w:tr>
      <w:tr w:rsidR="00BC24A8" w14:paraId="2993C085" w14:textId="77777777">
        <w:trPr>
          <w:trHeight w:val="268"/>
        </w:trPr>
        <w:tc>
          <w:tcPr>
            <w:tcW w:w="552" w:type="dxa"/>
            <w:tcBorders>
              <w:top w:val="single" w:sz="4" w:space="0" w:color="A6A6A6"/>
              <w:left w:val="single" w:sz="4" w:space="0" w:color="A6A6A6"/>
              <w:bottom w:val="single" w:sz="4" w:space="0" w:color="A6A6A6"/>
              <w:right w:val="single" w:sz="4" w:space="0" w:color="A6A6A6"/>
            </w:tcBorders>
          </w:tcPr>
          <w:p w14:paraId="1BCDB37C" w14:textId="77777777" w:rsidR="00BC24A8" w:rsidRDefault="00000000">
            <w:pPr>
              <w:pStyle w:val="TableParagraph"/>
              <w:spacing w:before="1"/>
              <w:ind w:right="96"/>
              <w:jc w:val="right"/>
              <w:rPr>
                <w:sz w:val="18"/>
              </w:rPr>
            </w:pPr>
            <w:r>
              <w:rPr>
                <w:spacing w:val="-5"/>
                <w:sz w:val="18"/>
              </w:rPr>
              <w:t>18</w:t>
            </w:r>
          </w:p>
        </w:tc>
        <w:tc>
          <w:tcPr>
            <w:tcW w:w="955" w:type="dxa"/>
            <w:tcBorders>
              <w:top w:val="single" w:sz="4" w:space="0" w:color="A6A6A6"/>
              <w:left w:val="single" w:sz="4" w:space="0" w:color="A6A6A6"/>
              <w:bottom w:val="single" w:sz="4" w:space="0" w:color="A6A6A6"/>
              <w:right w:val="single" w:sz="4" w:space="0" w:color="A6A6A6"/>
            </w:tcBorders>
          </w:tcPr>
          <w:p w14:paraId="3D6B5238"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593E14B2" w14:textId="77777777" w:rsidR="00BC24A8" w:rsidRDefault="00000000">
            <w:pPr>
              <w:pStyle w:val="TableParagraph"/>
              <w:spacing w:before="1"/>
              <w:ind w:left="105"/>
              <w:rPr>
                <w:sz w:val="18"/>
              </w:rPr>
            </w:pPr>
            <w:r>
              <w:rPr>
                <w:sz w:val="18"/>
              </w:rPr>
              <w:t>Optimization</w:t>
            </w:r>
            <w:r>
              <w:rPr>
                <w:spacing w:val="-7"/>
                <w:sz w:val="18"/>
              </w:rPr>
              <w:t xml:space="preserve"> </w:t>
            </w:r>
            <w:r>
              <w:rPr>
                <w:sz w:val="18"/>
              </w:rPr>
              <w:t>of</w:t>
            </w:r>
            <w:r>
              <w:rPr>
                <w:spacing w:val="-8"/>
                <w:sz w:val="18"/>
              </w:rPr>
              <w:t xml:space="preserve"> </w:t>
            </w:r>
            <w:r>
              <w:rPr>
                <w:sz w:val="18"/>
              </w:rPr>
              <w:t>Retribution</w:t>
            </w:r>
            <w:r>
              <w:rPr>
                <w:spacing w:val="-6"/>
                <w:sz w:val="18"/>
              </w:rPr>
              <w:t xml:space="preserve"> </w:t>
            </w:r>
            <w:r>
              <w:rPr>
                <w:sz w:val="18"/>
              </w:rPr>
              <w:t>on</w:t>
            </w:r>
            <w:r>
              <w:rPr>
                <w:spacing w:val="-10"/>
                <w:sz w:val="18"/>
              </w:rPr>
              <w:t xml:space="preserve"> </w:t>
            </w:r>
            <w:r>
              <w:rPr>
                <w:sz w:val="18"/>
              </w:rPr>
              <w:t>Utilization</w:t>
            </w:r>
            <w:r>
              <w:rPr>
                <w:spacing w:val="-6"/>
                <w:sz w:val="18"/>
              </w:rPr>
              <w:t xml:space="preserve"> </w:t>
            </w:r>
            <w:r>
              <w:rPr>
                <w:sz w:val="18"/>
              </w:rPr>
              <w:t>of</w:t>
            </w:r>
            <w:r>
              <w:rPr>
                <w:spacing w:val="-8"/>
                <w:sz w:val="18"/>
              </w:rPr>
              <w:t xml:space="preserve"> </w:t>
            </w:r>
            <w:r>
              <w:rPr>
                <w:sz w:val="18"/>
              </w:rPr>
              <w:t>Regional</w:t>
            </w:r>
            <w:r>
              <w:rPr>
                <w:spacing w:val="-6"/>
                <w:sz w:val="18"/>
              </w:rPr>
              <w:t xml:space="preserve"> </w:t>
            </w:r>
            <w:r>
              <w:rPr>
                <w:sz w:val="18"/>
              </w:rPr>
              <w:t>Assets</w:t>
            </w:r>
            <w:r>
              <w:rPr>
                <w:spacing w:val="-6"/>
                <w:sz w:val="18"/>
              </w:rPr>
              <w:t xml:space="preserve"> </w:t>
            </w:r>
            <w:r>
              <w:rPr>
                <w:sz w:val="18"/>
              </w:rPr>
              <w:t>to</w:t>
            </w:r>
            <w:r>
              <w:rPr>
                <w:spacing w:val="-8"/>
                <w:sz w:val="18"/>
              </w:rPr>
              <w:t xml:space="preserve"> </w:t>
            </w:r>
            <w:r>
              <w:rPr>
                <w:sz w:val="18"/>
              </w:rPr>
              <w:t>Increase</w:t>
            </w:r>
            <w:r>
              <w:rPr>
                <w:spacing w:val="-7"/>
                <w:sz w:val="18"/>
              </w:rPr>
              <w:t xml:space="preserve"> </w:t>
            </w:r>
            <w:r>
              <w:rPr>
                <w:sz w:val="18"/>
              </w:rPr>
              <w:t>PAD</w:t>
            </w:r>
            <w:r>
              <w:rPr>
                <w:spacing w:val="-5"/>
                <w:sz w:val="18"/>
              </w:rPr>
              <w:t xml:space="preserve"> GTO</w:t>
            </w:r>
          </w:p>
        </w:tc>
        <w:tc>
          <w:tcPr>
            <w:tcW w:w="1096" w:type="dxa"/>
            <w:tcBorders>
              <w:top w:val="single" w:sz="4" w:space="0" w:color="A6A6A6"/>
              <w:left w:val="single" w:sz="4" w:space="0" w:color="A6A6A6"/>
              <w:bottom w:val="single" w:sz="4" w:space="0" w:color="A6A6A6"/>
              <w:right w:val="single" w:sz="4" w:space="0" w:color="A6A6A6"/>
            </w:tcBorders>
          </w:tcPr>
          <w:p w14:paraId="3DACCF26" w14:textId="77777777" w:rsidR="00BC24A8" w:rsidRDefault="00000000">
            <w:pPr>
              <w:pStyle w:val="TableParagraph"/>
              <w:spacing w:before="1"/>
              <w:ind w:left="108"/>
              <w:rPr>
                <w:sz w:val="18"/>
              </w:rPr>
            </w:pPr>
            <w:r>
              <w:rPr>
                <w:spacing w:val="-2"/>
                <w:sz w:val="18"/>
              </w:rPr>
              <w:t>Gorontalo</w:t>
            </w:r>
          </w:p>
        </w:tc>
      </w:tr>
      <w:tr w:rsidR="00BC24A8" w14:paraId="6647286B" w14:textId="77777777">
        <w:trPr>
          <w:trHeight w:val="220"/>
        </w:trPr>
        <w:tc>
          <w:tcPr>
            <w:tcW w:w="552" w:type="dxa"/>
            <w:tcBorders>
              <w:top w:val="single" w:sz="4" w:space="0" w:color="A6A6A6"/>
              <w:left w:val="single" w:sz="4" w:space="0" w:color="A6A6A6"/>
              <w:bottom w:val="single" w:sz="4" w:space="0" w:color="A6A6A6"/>
              <w:right w:val="single" w:sz="4" w:space="0" w:color="A6A6A6"/>
            </w:tcBorders>
          </w:tcPr>
          <w:p w14:paraId="244D6E62" w14:textId="77777777" w:rsidR="00BC24A8" w:rsidRDefault="00000000">
            <w:pPr>
              <w:pStyle w:val="TableParagraph"/>
              <w:spacing w:before="1" w:line="199" w:lineRule="exact"/>
              <w:ind w:right="96"/>
              <w:jc w:val="right"/>
              <w:rPr>
                <w:sz w:val="18"/>
              </w:rPr>
            </w:pPr>
            <w:r>
              <w:rPr>
                <w:spacing w:val="-5"/>
                <w:sz w:val="18"/>
              </w:rPr>
              <w:t>19</w:t>
            </w:r>
          </w:p>
        </w:tc>
        <w:tc>
          <w:tcPr>
            <w:tcW w:w="955" w:type="dxa"/>
            <w:tcBorders>
              <w:top w:val="single" w:sz="4" w:space="0" w:color="A6A6A6"/>
              <w:left w:val="single" w:sz="4" w:space="0" w:color="A6A6A6"/>
              <w:bottom w:val="single" w:sz="4" w:space="0" w:color="A6A6A6"/>
              <w:right w:val="single" w:sz="4" w:space="0" w:color="A6A6A6"/>
            </w:tcBorders>
          </w:tcPr>
          <w:p w14:paraId="499064B1" w14:textId="77777777" w:rsidR="00BC24A8" w:rsidRDefault="00000000">
            <w:pPr>
              <w:pStyle w:val="TableParagraph"/>
              <w:spacing w:before="1" w:line="19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4373B1E4" w14:textId="77777777" w:rsidR="00BC24A8" w:rsidRDefault="00000000">
            <w:pPr>
              <w:pStyle w:val="TableParagraph"/>
              <w:spacing w:before="1" w:line="199" w:lineRule="exact"/>
              <w:ind w:left="105"/>
              <w:rPr>
                <w:sz w:val="18"/>
              </w:rPr>
            </w:pPr>
            <w:r>
              <w:rPr>
                <w:sz w:val="18"/>
              </w:rPr>
              <w:t>Community</w:t>
            </w:r>
            <w:r>
              <w:rPr>
                <w:spacing w:val="-10"/>
                <w:sz w:val="18"/>
              </w:rPr>
              <w:t xml:space="preserve"> </w:t>
            </w:r>
            <w:r>
              <w:rPr>
                <w:sz w:val="18"/>
              </w:rPr>
              <w:t>Empowerment</w:t>
            </w:r>
            <w:r>
              <w:rPr>
                <w:spacing w:val="-6"/>
                <w:sz w:val="18"/>
              </w:rPr>
              <w:t xml:space="preserve"> </w:t>
            </w:r>
            <w:r>
              <w:rPr>
                <w:sz w:val="18"/>
              </w:rPr>
              <w:t>through</w:t>
            </w:r>
            <w:r>
              <w:rPr>
                <w:spacing w:val="-6"/>
                <w:sz w:val="18"/>
              </w:rPr>
              <w:t xml:space="preserve"> </w:t>
            </w:r>
            <w:r>
              <w:rPr>
                <w:sz w:val="18"/>
              </w:rPr>
              <w:t>Geoproducts</w:t>
            </w:r>
            <w:r>
              <w:rPr>
                <w:spacing w:val="-7"/>
                <w:sz w:val="18"/>
              </w:rPr>
              <w:t xml:space="preserve"> </w:t>
            </w:r>
            <w:r>
              <w:rPr>
                <w:sz w:val="18"/>
              </w:rPr>
              <w:t>for</w:t>
            </w:r>
            <w:r>
              <w:rPr>
                <w:spacing w:val="-6"/>
                <w:sz w:val="18"/>
              </w:rPr>
              <w:t xml:space="preserve"> </w:t>
            </w:r>
            <w:r>
              <w:rPr>
                <w:sz w:val="18"/>
              </w:rPr>
              <w:t>GTO</w:t>
            </w:r>
            <w:r>
              <w:rPr>
                <w:spacing w:val="-7"/>
                <w:sz w:val="18"/>
              </w:rPr>
              <w:t xml:space="preserve"> </w:t>
            </w:r>
            <w:r>
              <w:rPr>
                <w:sz w:val="18"/>
              </w:rPr>
              <w:t>Geopark</w:t>
            </w:r>
            <w:r>
              <w:rPr>
                <w:spacing w:val="-7"/>
                <w:sz w:val="18"/>
              </w:rPr>
              <w:t xml:space="preserve"> </w:t>
            </w:r>
            <w:r>
              <w:rPr>
                <w:spacing w:val="-2"/>
                <w:sz w:val="18"/>
              </w:rPr>
              <w:t>Development</w:t>
            </w:r>
          </w:p>
        </w:tc>
        <w:tc>
          <w:tcPr>
            <w:tcW w:w="1096" w:type="dxa"/>
            <w:tcBorders>
              <w:top w:val="single" w:sz="4" w:space="0" w:color="A6A6A6"/>
              <w:left w:val="single" w:sz="4" w:space="0" w:color="A6A6A6"/>
              <w:bottom w:val="single" w:sz="4" w:space="0" w:color="A6A6A6"/>
              <w:right w:val="single" w:sz="4" w:space="0" w:color="A6A6A6"/>
            </w:tcBorders>
          </w:tcPr>
          <w:p w14:paraId="487C5EA1" w14:textId="77777777" w:rsidR="00BC24A8" w:rsidRDefault="00000000">
            <w:pPr>
              <w:pStyle w:val="TableParagraph"/>
              <w:spacing w:before="1" w:line="199" w:lineRule="exact"/>
              <w:ind w:left="108"/>
              <w:rPr>
                <w:sz w:val="18"/>
              </w:rPr>
            </w:pPr>
            <w:r>
              <w:rPr>
                <w:spacing w:val="-2"/>
                <w:sz w:val="18"/>
              </w:rPr>
              <w:t>Gorontalo</w:t>
            </w:r>
          </w:p>
        </w:tc>
      </w:tr>
      <w:tr w:rsidR="00BC24A8" w14:paraId="212ECCAB" w14:textId="77777777">
        <w:trPr>
          <w:trHeight w:val="282"/>
        </w:trPr>
        <w:tc>
          <w:tcPr>
            <w:tcW w:w="552" w:type="dxa"/>
            <w:tcBorders>
              <w:top w:val="single" w:sz="4" w:space="0" w:color="A6A6A6"/>
              <w:left w:val="single" w:sz="4" w:space="0" w:color="A6A6A6"/>
              <w:bottom w:val="single" w:sz="4" w:space="0" w:color="A6A6A6"/>
              <w:right w:val="single" w:sz="4" w:space="0" w:color="A6A6A6"/>
            </w:tcBorders>
          </w:tcPr>
          <w:p w14:paraId="52E67A38" w14:textId="77777777" w:rsidR="00BC24A8" w:rsidRDefault="00000000">
            <w:pPr>
              <w:pStyle w:val="TableParagraph"/>
              <w:spacing w:before="1"/>
              <w:ind w:right="96"/>
              <w:jc w:val="right"/>
              <w:rPr>
                <w:sz w:val="18"/>
              </w:rPr>
            </w:pPr>
            <w:r>
              <w:rPr>
                <w:spacing w:val="-5"/>
                <w:sz w:val="18"/>
              </w:rPr>
              <w:t>20</w:t>
            </w:r>
          </w:p>
        </w:tc>
        <w:tc>
          <w:tcPr>
            <w:tcW w:w="955" w:type="dxa"/>
            <w:tcBorders>
              <w:top w:val="single" w:sz="4" w:space="0" w:color="A6A6A6"/>
              <w:left w:val="single" w:sz="4" w:space="0" w:color="A6A6A6"/>
              <w:bottom w:val="single" w:sz="4" w:space="0" w:color="A6A6A6"/>
              <w:right w:val="single" w:sz="4" w:space="0" w:color="A6A6A6"/>
            </w:tcBorders>
          </w:tcPr>
          <w:p w14:paraId="6EEB9F04"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60405323" w14:textId="77777777" w:rsidR="00BC24A8" w:rsidRDefault="00000000">
            <w:pPr>
              <w:pStyle w:val="TableParagraph"/>
              <w:spacing w:before="1"/>
              <w:ind w:left="105"/>
              <w:rPr>
                <w:sz w:val="18"/>
              </w:rPr>
            </w:pPr>
            <w:r>
              <w:rPr>
                <w:sz w:val="18"/>
              </w:rPr>
              <w:t>Improving</w:t>
            </w:r>
            <w:r>
              <w:rPr>
                <w:spacing w:val="-6"/>
                <w:sz w:val="18"/>
              </w:rPr>
              <w:t xml:space="preserve"> </w:t>
            </w:r>
            <w:r>
              <w:rPr>
                <w:sz w:val="18"/>
              </w:rPr>
              <w:t>the</w:t>
            </w:r>
            <w:r>
              <w:rPr>
                <w:spacing w:val="-5"/>
                <w:sz w:val="18"/>
              </w:rPr>
              <w:t xml:space="preserve"> </w:t>
            </w:r>
            <w:r>
              <w:rPr>
                <w:sz w:val="18"/>
              </w:rPr>
              <w:t>Quality</w:t>
            </w:r>
            <w:r>
              <w:rPr>
                <w:spacing w:val="-5"/>
                <w:sz w:val="18"/>
              </w:rPr>
              <w:t xml:space="preserve"> </w:t>
            </w:r>
            <w:r>
              <w:rPr>
                <w:sz w:val="18"/>
              </w:rPr>
              <w:t>of</w:t>
            </w:r>
            <w:r>
              <w:rPr>
                <w:spacing w:val="-6"/>
                <w:sz w:val="18"/>
              </w:rPr>
              <w:t xml:space="preserve"> </w:t>
            </w:r>
            <w:r>
              <w:rPr>
                <w:sz w:val="18"/>
              </w:rPr>
              <w:t>Vocational</w:t>
            </w:r>
            <w:r>
              <w:rPr>
                <w:spacing w:val="-4"/>
                <w:sz w:val="18"/>
              </w:rPr>
              <w:t xml:space="preserve"> </w:t>
            </w:r>
            <w:r>
              <w:rPr>
                <w:sz w:val="18"/>
              </w:rPr>
              <w:t>School</w:t>
            </w:r>
            <w:r>
              <w:rPr>
                <w:spacing w:val="-4"/>
                <w:sz w:val="18"/>
              </w:rPr>
              <w:t xml:space="preserve"> </w:t>
            </w:r>
            <w:r>
              <w:rPr>
                <w:sz w:val="18"/>
              </w:rPr>
              <w:t>Graduates</w:t>
            </w:r>
            <w:r>
              <w:rPr>
                <w:spacing w:val="-5"/>
                <w:sz w:val="18"/>
              </w:rPr>
              <w:t xml:space="preserve"> </w:t>
            </w:r>
            <w:r>
              <w:rPr>
                <w:sz w:val="18"/>
              </w:rPr>
              <w:t>in</w:t>
            </w:r>
            <w:r>
              <w:rPr>
                <w:spacing w:val="-5"/>
                <w:sz w:val="18"/>
              </w:rPr>
              <w:t xml:space="preserve"> </w:t>
            </w:r>
            <w:r>
              <w:rPr>
                <w:sz w:val="18"/>
              </w:rPr>
              <w:t>Entering</w:t>
            </w:r>
            <w:r>
              <w:rPr>
                <w:spacing w:val="-5"/>
                <w:sz w:val="18"/>
              </w:rPr>
              <w:t xml:space="preserve"> </w:t>
            </w:r>
            <w:r>
              <w:rPr>
                <w:sz w:val="18"/>
              </w:rPr>
              <w:t>the</w:t>
            </w:r>
            <w:r>
              <w:rPr>
                <w:spacing w:val="-5"/>
                <w:sz w:val="18"/>
              </w:rPr>
              <w:t xml:space="preserve"> </w:t>
            </w:r>
            <w:r>
              <w:rPr>
                <w:sz w:val="18"/>
              </w:rPr>
              <w:t>World</w:t>
            </w:r>
            <w:r>
              <w:rPr>
                <w:spacing w:val="-5"/>
                <w:sz w:val="18"/>
              </w:rPr>
              <w:t xml:space="preserve"> </w:t>
            </w:r>
            <w:r>
              <w:rPr>
                <w:sz w:val="18"/>
              </w:rPr>
              <w:t>of</w:t>
            </w:r>
            <w:r>
              <w:rPr>
                <w:spacing w:val="-6"/>
                <w:sz w:val="18"/>
              </w:rPr>
              <w:t xml:space="preserve"> </w:t>
            </w:r>
            <w:r>
              <w:rPr>
                <w:sz w:val="18"/>
              </w:rPr>
              <w:t>Work</w:t>
            </w:r>
            <w:r>
              <w:rPr>
                <w:spacing w:val="-5"/>
                <w:sz w:val="18"/>
              </w:rPr>
              <w:t xml:space="preserve"> </w:t>
            </w:r>
            <w:r>
              <w:rPr>
                <w:sz w:val="18"/>
              </w:rPr>
              <w:t>at</w:t>
            </w:r>
            <w:r>
              <w:rPr>
                <w:spacing w:val="-6"/>
                <w:sz w:val="18"/>
              </w:rPr>
              <w:t xml:space="preserve"> </w:t>
            </w:r>
            <w:r>
              <w:rPr>
                <w:spacing w:val="-5"/>
                <w:sz w:val="18"/>
              </w:rPr>
              <w:t>GTO</w:t>
            </w:r>
          </w:p>
        </w:tc>
        <w:tc>
          <w:tcPr>
            <w:tcW w:w="1096" w:type="dxa"/>
            <w:tcBorders>
              <w:top w:val="single" w:sz="4" w:space="0" w:color="A6A6A6"/>
              <w:left w:val="single" w:sz="4" w:space="0" w:color="A6A6A6"/>
              <w:bottom w:val="single" w:sz="4" w:space="0" w:color="A6A6A6"/>
              <w:right w:val="single" w:sz="4" w:space="0" w:color="A6A6A6"/>
            </w:tcBorders>
          </w:tcPr>
          <w:p w14:paraId="1EC25B21" w14:textId="77777777" w:rsidR="00BC24A8" w:rsidRDefault="00000000">
            <w:pPr>
              <w:pStyle w:val="TableParagraph"/>
              <w:spacing w:before="1"/>
              <w:ind w:left="108"/>
              <w:rPr>
                <w:sz w:val="18"/>
              </w:rPr>
            </w:pPr>
            <w:r>
              <w:rPr>
                <w:spacing w:val="-2"/>
                <w:sz w:val="18"/>
              </w:rPr>
              <w:t>Gorontalo</w:t>
            </w:r>
          </w:p>
        </w:tc>
      </w:tr>
      <w:tr w:rsidR="00BC24A8" w14:paraId="1B0BB5E7" w14:textId="77777777">
        <w:trPr>
          <w:trHeight w:val="220"/>
        </w:trPr>
        <w:tc>
          <w:tcPr>
            <w:tcW w:w="552" w:type="dxa"/>
            <w:tcBorders>
              <w:top w:val="single" w:sz="4" w:space="0" w:color="A6A6A6"/>
              <w:left w:val="single" w:sz="4" w:space="0" w:color="A6A6A6"/>
              <w:bottom w:val="single" w:sz="4" w:space="0" w:color="A6A6A6"/>
              <w:right w:val="single" w:sz="4" w:space="0" w:color="A6A6A6"/>
            </w:tcBorders>
          </w:tcPr>
          <w:p w14:paraId="1B6E8122" w14:textId="77777777" w:rsidR="00BC24A8" w:rsidRDefault="00000000">
            <w:pPr>
              <w:pStyle w:val="TableParagraph"/>
              <w:spacing w:before="1" w:line="199" w:lineRule="exact"/>
              <w:ind w:right="96"/>
              <w:jc w:val="right"/>
              <w:rPr>
                <w:sz w:val="18"/>
              </w:rPr>
            </w:pPr>
            <w:r>
              <w:rPr>
                <w:spacing w:val="-5"/>
                <w:sz w:val="18"/>
              </w:rPr>
              <w:t>21</w:t>
            </w:r>
          </w:p>
        </w:tc>
        <w:tc>
          <w:tcPr>
            <w:tcW w:w="955" w:type="dxa"/>
            <w:tcBorders>
              <w:top w:val="single" w:sz="4" w:space="0" w:color="A6A6A6"/>
              <w:left w:val="single" w:sz="4" w:space="0" w:color="A6A6A6"/>
              <w:bottom w:val="single" w:sz="4" w:space="0" w:color="A6A6A6"/>
              <w:right w:val="single" w:sz="4" w:space="0" w:color="A6A6A6"/>
            </w:tcBorders>
          </w:tcPr>
          <w:p w14:paraId="795CB3FD" w14:textId="77777777" w:rsidR="00BC24A8" w:rsidRDefault="00000000">
            <w:pPr>
              <w:pStyle w:val="TableParagraph"/>
              <w:spacing w:before="1" w:line="19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7471EB6A" w14:textId="77777777" w:rsidR="00BC24A8" w:rsidRDefault="00000000">
            <w:pPr>
              <w:pStyle w:val="TableParagraph"/>
              <w:spacing w:before="1" w:line="199" w:lineRule="exact"/>
              <w:ind w:left="105"/>
              <w:rPr>
                <w:sz w:val="18"/>
              </w:rPr>
            </w:pPr>
            <w:r>
              <w:rPr>
                <w:sz w:val="18"/>
              </w:rPr>
              <w:t>Saving</w:t>
            </w:r>
            <w:r>
              <w:rPr>
                <w:spacing w:val="-8"/>
                <w:sz w:val="18"/>
              </w:rPr>
              <w:t xml:space="preserve"> </w:t>
            </w:r>
            <w:r>
              <w:rPr>
                <w:sz w:val="18"/>
              </w:rPr>
              <w:t>Lake</w:t>
            </w:r>
            <w:r>
              <w:rPr>
                <w:spacing w:val="-8"/>
                <w:sz w:val="18"/>
              </w:rPr>
              <w:t xml:space="preserve"> </w:t>
            </w:r>
            <w:r>
              <w:rPr>
                <w:sz w:val="18"/>
              </w:rPr>
              <w:t>Limboto</w:t>
            </w:r>
            <w:r>
              <w:rPr>
                <w:spacing w:val="-8"/>
                <w:sz w:val="18"/>
              </w:rPr>
              <w:t xml:space="preserve"> </w:t>
            </w:r>
            <w:r>
              <w:rPr>
                <w:sz w:val="18"/>
              </w:rPr>
              <w:t>in</w:t>
            </w:r>
            <w:r>
              <w:rPr>
                <w:spacing w:val="-7"/>
                <w:sz w:val="18"/>
              </w:rPr>
              <w:t xml:space="preserve"> </w:t>
            </w:r>
            <w:r>
              <w:rPr>
                <w:sz w:val="18"/>
              </w:rPr>
              <w:t>Gorontalo:</w:t>
            </w:r>
            <w:r>
              <w:rPr>
                <w:spacing w:val="-7"/>
                <w:sz w:val="18"/>
              </w:rPr>
              <w:t xml:space="preserve"> </w:t>
            </w:r>
            <w:r>
              <w:rPr>
                <w:sz w:val="18"/>
              </w:rPr>
              <w:t>Efforts</w:t>
            </w:r>
            <w:r>
              <w:rPr>
                <w:spacing w:val="-7"/>
                <w:sz w:val="18"/>
              </w:rPr>
              <w:t xml:space="preserve"> </w:t>
            </w:r>
            <w:r>
              <w:rPr>
                <w:sz w:val="18"/>
              </w:rPr>
              <w:t>to</w:t>
            </w:r>
            <w:r>
              <w:rPr>
                <w:spacing w:val="-8"/>
                <w:sz w:val="18"/>
              </w:rPr>
              <w:t xml:space="preserve"> </w:t>
            </w:r>
            <w:r>
              <w:rPr>
                <w:sz w:val="18"/>
              </w:rPr>
              <w:t>Empower</w:t>
            </w:r>
            <w:r>
              <w:rPr>
                <w:spacing w:val="-7"/>
                <w:sz w:val="18"/>
              </w:rPr>
              <w:t xml:space="preserve"> </w:t>
            </w:r>
            <w:r>
              <w:rPr>
                <w:sz w:val="18"/>
              </w:rPr>
              <w:t>Lake</w:t>
            </w:r>
            <w:r>
              <w:rPr>
                <w:spacing w:val="-7"/>
                <w:sz w:val="18"/>
              </w:rPr>
              <w:t xml:space="preserve"> </w:t>
            </w:r>
            <w:r>
              <w:rPr>
                <w:sz w:val="18"/>
              </w:rPr>
              <w:t>Coastal</w:t>
            </w:r>
            <w:r>
              <w:rPr>
                <w:spacing w:val="-9"/>
                <w:sz w:val="18"/>
              </w:rPr>
              <w:t xml:space="preserve"> </w:t>
            </w:r>
            <w:r>
              <w:rPr>
                <w:spacing w:val="-2"/>
                <w:sz w:val="18"/>
              </w:rPr>
              <w:t>Communities</w:t>
            </w:r>
          </w:p>
        </w:tc>
        <w:tc>
          <w:tcPr>
            <w:tcW w:w="1096" w:type="dxa"/>
            <w:tcBorders>
              <w:top w:val="single" w:sz="4" w:space="0" w:color="A6A6A6"/>
              <w:left w:val="single" w:sz="4" w:space="0" w:color="A6A6A6"/>
              <w:bottom w:val="single" w:sz="4" w:space="0" w:color="A6A6A6"/>
              <w:right w:val="single" w:sz="4" w:space="0" w:color="A6A6A6"/>
            </w:tcBorders>
          </w:tcPr>
          <w:p w14:paraId="5161411C" w14:textId="77777777" w:rsidR="00BC24A8" w:rsidRDefault="00000000">
            <w:pPr>
              <w:pStyle w:val="TableParagraph"/>
              <w:spacing w:before="1" w:line="199" w:lineRule="exact"/>
              <w:ind w:left="108"/>
              <w:rPr>
                <w:sz w:val="18"/>
              </w:rPr>
            </w:pPr>
            <w:r>
              <w:rPr>
                <w:spacing w:val="-2"/>
                <w:sz w:val="18"/>
              </w:rPr>
              <w:t>Gorontalo</w:t>
            </w:r>
          </w:p>
        </w:tc>
      </w:tr>
      <w:tr w:rsidR="00BC24A8" w14:paraId="3F0494B1" w14:textId="77777777">
        <w:trPr>
          <w:trHeight w:val="297"/>
        </w:trPr>
        <w:tc>
          <w:tcPr>
            <w:tcW w:w="552" w:type="dxa"/>
            <w:tcBorders>
              <w:top w:val="single" w:sz="4" w:space="0" w:color="A6A6A6"/>
              <w:left w:val="single" w:sz="4" w:space="0" w:color="A6A6A6"/>
              <w:bottom w:val="single" w:sz="4" w:space="0" w:color="A6A6A6"/>
              <w:right w:val="single" w:sz="4" w:space="0" w:color="A6A6A6"/>
            </w:tcBorders>
          </w:tcPr>
          <w:p w14:paraId="2B4E1385" w14:textId="77777777" w:rsidR="00BC24A8" w:rsidRDefault="00000000">
            <w:pPr>
              <w:pStyle w:val="TableParagraph"/>
              <w:spacing w:line="219" w:lineRule="exact"/>
              <w:ind w:right="96"/>
              <w:jc w:val="right"/>
              <w:rPr>
                <w:sz w:val="18"/>
              </w:rPr>
            </w:pPr>
            <w:r>
              <w:rPr>
                <w:spacing w:val="-5"/>
                <w:sz w:val="18"/>
              </w:rPr>
              <w:t>22</w:t>
            </w:r>
          </w:p>
        </w:tc>
        <w:tc>
          <w:tcPr>
            <w:tcW w:w="955" w:type="dxa"/>
            <w:tcBorders>
              <w:top w:val="single" w:sz="4" w:space="0" w:color="A6A6A6"/>
              <w:left w:val="single" w:sz="4" w:space="0" w:color="A6A6A6"/>
              <w:bottom w:val="single" w:sz="4" w:space="0" w:color="A6A6A6"/>
              <w:right w:val="single" w:sz="4" w:space="0" w:color="A6A6A6"/>
            </w:tcBorders>
          </w:tcPr>
          <w:p w14:paraId="6D4F9C6C"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2230C389" w14:textId="77777777" w:rsidR="00BC24A8" w:rsidRDefault="00000000">
            <w:pPr>
              <w:pStyle w:val="TableParagraph"/>
              <w:spacing w:line="219" w:lineRule="exact"/>
              <w:ind w:left="105"/>
              <w:rPr>
                <w:sz w:val="18"/>
              </w:rPr>
            </w:pPr>
            <w:r>
              <w:rPr>
                <w:sz w:val="18"/>
              </w:rPr>
              <w:t>Women</w:t>
            </w:r>
            <w:r>
              <w:rPr>
                <w:spacing w:val="-6"/>
                <w:sz w:val="18"/>
              </w:rPr>
              <w:t xml:space="preserve"> </w:t>
            </w:r>
            <w:r>
              <w:rPr>
                <w:sz w:val="18"/>
              </w:rPr>
              <w:t>and</w:t>
            </w:r>
            <w:r>
              <w:rPr>
                <w:spacing w:val="-5"/>
                <w:sz w:val="18"/>
              </w:rPr>
              <w:t xml:space="preserve"> </w:t>
            </w:r>
            <w:r>
              <w:rPr>
                <w:sz w:val="18"/>
              </w:rPr>
              <w:t>their</w:t>
            </w:r>
            <w:r>
              <w:rPr>
                <w:spacing w:val="-5"/>
                <w:sz w:val="18"/>
              </w:rPr>
              <w:t xml:space="preserve"> </w:t>
            </w:r>
            <w:r>
              <w:rPr>
                <w:sz w:val="18"/>
              </w:rPr>
              <w:t>Contributions</w:t>
            </w:r>
            <w:r>
              <w:rPr>
                <w:spacing w:val="-5"/>
                <w:sz w:val="18"/>
              </w:rPr>
              <w:t xml:space="preserve"> </w:t>
            </w:r>
            <w:r>
              <w:rPr>
                <w:sz w:val="18"/>
              </w:rPr>
              <w:t>to</w:t>
            </w:r>
            <w:r>
              <w:rPr>
                <w:spacing w:val="-6"/>
                <w:sz w:val="18"/>
              </w:rPr>
              <w:t xml:space="preserve"> </w:t>
            </w:r>
            <w:r>
              <w:rPr>
                <w:sz w:val="18"/>
              </w:rPr>
              <w:t>the</w:t>
            </w:r>
            <w:r>
              <w:rPr>
                <w:spacing w:val="-6"/>
                <w:sz w:val="18"/>
              </w:rPr>
              <w:t xml:space="preserve"> </w:t>
            </w:r>
            <w:r>
              <w:rPr>
                <w:sz w:val="18"/>
              </w:rPr>
              <w:t>Agriculture,</w:t>
            </w:r>
            <w:r>
              <w:rPr>
                <w:spacing w:val="-6"/>
                <w:sz w:val="18"/>
              </w:rPr>
              <w:t xml:space="preserve"> </w:t>
            </w:r>
            <w:r>
              <w:rPr>
                <w:sz w:val="18"/>
              </w:rPr>
              <w:t>Food</w:t>
            </w:r>
            <w:r>
              <w:rPr>
                <w:spacing w:val="-5"/>
                <w:sz w:val="18"/>
              </w:rPr>
              <w:t xml:space="preserve"> </w:t>
            </w:r>
            <w:r>
              <w:rPr>
                <w:sz w:val="18"/>
              </w:rPr>
              <w:t>Security,</w:t>
            </w:r>
            <w:r>
              <w:rPr>
                <w:spacing w:val="-6"/>
                <w:sz w:val="18"/>
              </w:rPr>
              <w:t xml:space="preserve"> </w:t>
            </w:r>
            <w:r>
              <w:rPr>
                <w:sz w:val="18"/>
              </w:rPr>
              <w:t>and</w:t>
            </w:r>
            <w:r>
              <w:rPr>
                <w:spacing w:val="-5"/>
                <w:sz w:val="18"/>
              </w:rPr>
              <w:t xml:space="preserve"> </w:t>
            </w:r>
            <w:r>
              <w:rPr>
                <w:sz w:val="18"/>
              </w:rPr>
              <w:t>Energy</w:t>
            </w:r>
            <w:r>
              <w:rPr>
                <w:spacing w:val="-5"/>
                <w:sz w:val="18"/>
              </w:rPr>
              <w:t xml:space="preserve"> </w:t>
            </w:r>
            <w:r>
              <w:rPr>
                <w:spacing w:val="-2"/>
                <w:sz w:val="18"/>
              </w:rPr>
              <w:t>Sectors</w:t>
            </w:r>
          </w:p>
        </w:tc>
        <w:tc>
          <w:tcPr>
            <w:tcW w:w="1096" w:type="dxa"/>
            <w:tcBorders>
              <w:top w:val="single" w:sz="4" w:space="0" w:color="A6A6A6"/>
              <w:left w:val="single" w:sz="4" w:space="0" w:color="A6A6A6"/>
              <w:bottom w:val="single" w:sz="4" w:space="0" w:color="A6A6A6"/>
              <w:right w:val="single" w:sz="4" w:space="0" w:color="A6A6A6"/>
            </w:tcBorders>
          </w:tcPr>
          <w:p w14:paraId="43CA329D" w14:textId="77777777" w:rsidR="00BC24A8" w:rsidRDefault="00000000">
            <w:pPr>
              <w:pStyle w:val="TableParagraph"/>
              <w:spacing w:line="219" w:lineRule="exact"/>
              <w:ind w:left="108"/>
              <w:rPr>
                <w:sz w:val="18"/>
              </w:rPr>
            </w:pPr>
            <w:r>
              <w:rPr>
                <w:spacing w:val="-2"/>
                <w:sz w:val="18"/>
              </w:rPr>
              <w:t>Gorontalo</w:t>
            </w:r>
          </w:p>
        </w:tc>
      </w:tr>
      <w:tr w:rsidR="00BC24A8" w14:paraId="5B21431F"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2DC9141B" w14:textId="77777777" w:rsidR="00BC24A8" w:rsidRDefault="00000000">
            <w:pPr>
              <w:pStyle w:val="TableParagraph"/>
              <w:spacing w:line="219" w:lineRule="exact"/>
              <w:ind w:right="96"/>
              <w:jc w:val="right"/>
              <w:rPr>
                <w:sz w:val="18"/>
              </w:rPr>
            </w:pPr>
            <w:r>
              <w:rPr>
                <w:spacing w:val="-5"/>
                <w:sz w:val="18"/>
              </w:rPr>
              <w:t>23</w:t>
            </w:r>
          </w:p>
        </w:tc>
        <w:tc>
          <w:tcPr>
            <w:tcW w:w="955" w:type="dxa"/>
            <w:tcBorders>
              <w:top w:val="single" w:sz="4" w:space="0" w:color="A6A6A6"/>
              <w:left w:val="single" w:sz="4" w:space="0" w:color="A6A6A6"/>
              <w:bottom w:val="single" w:sz="4" w:space="0" w:color="A6A6A6"/>
              <w:right w:val="single" w:sz="4" w:space="0" w:color="A6A6A6"/>
            </w:tcBorders>
          </w:tcPr>
          <w:p w14:paraId="1615266E"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446FFC8A" w14:textId="77777777" w:rsidR="00BC24A8" w:rsidRDefault="00000000">
            <w:pPr>
              <w:pStyle w:val="TableParagraph"/>
              <w:ind w:left="105"/>
              <w:rPr>
                <w:sz w:val="18"/>
              </w:rPr>
            </w:pPr>
            <w:r>
              <w:rPr>
                <w:sz w:val="18"/>
              </w:rPr>
              <w:t>Acceleration</w:t>
            </w:r>
            <w:r>
              <w:rPr>
                <w:spacing w:val="-7"/>
                <w:sz w:val="18"/>
              </w:rPr>
              <w:t xml:space="preserve"> </w:t>
            </w:r>
            <w:r>
              <w:rPr>
                <w:sz w:val="18"/>
              </w:rPr>
              <w:t>of</w:t>
            </w:r>
            <w:r>
              <w:rPr>
                <w:spacing w:val="-8"/>
                <w:sz w:val="18"/>
              </w:rPr>
              <w:t xml:space="preserve"> </w:t>
            </w:r>
            <w:r>
              <w:rPr>
                <w:sz w:val="18"/>
              </w:rPr>
              <w:t>Strengthening</w:t>
            </w:r>
            <w:r>
              <w:rPr>
                <w:spacing w:val="-7"/>
                <w:sz w:val="18"/>
              </w:rPr>
              <w:t xml:space="preserve"> </w:t>
            </w:r>
            <w:r>
              <w:rPr>
                <w:sz w:val="18"/>
              </w:rPr>
              <w:t>Goods</w:t>
            </w:r>
            <w:r>
              <w:rPr>
                <w:spacing w:val="-7"/>
                <w:sz w:val="18"/>
              </w:rPr>
              <w:t xml:space="preserve"> </w:t>
            </w:r>
            <w:r>
              <w:rPr>
                <w:sz w:val="18"/>
              </w:rPr>
              <w:t>and</w:t>
            </w:r>
            <w:r>
              <w:rPr>
                <w:spacing w:val="-7"/>
                <w:sz w:val="18"/>
              </w:rPr>
              <w:t xml:space="preserve"> </w:t>
            </w:r>
            <w:r>
              <w:rPr>
                <w:sz w:val="18"/>
              </w:rPr>
              <w:t>Services</w:t>
            </w:r>
            <w:r>
              <w:rPr>
                <w:spacing w:val="-7"/>
                <w:sz w:val="18"/>
              </w:rPr>
              <w:t xml:space="preserve"> </w:t>
            </w:r>
            <w:r>
              <w:rPr>
                <w:sz w:val="18"/>
              </w:rPr>
              <w:t>Procurement</w:t>
            </w:r>
            <w:r>
              <w:rPr>
                <w:spacing w:val="-6"/>
                <w:sz w:val="18"/>
              </w:rPr>
              <w:t xml:space="preserve"> </w:t>
            </w:r>
            <w:r>
              <w:rPr>
                <w:sz w:val="18"/>
              </w:rPr>
              <w:t>Audit</w:t>
            </w:r>
            <w:r>
              <w:rPr>
                <w:spacing w:val="-8"/>
                <w:sz w:val="18"/>
              </w:rPr>
              <w:t xml:space="preserve"> </w:t>
            </w:r>
            <w:r>
              <w:rPr>
                <w:sz w:val="18"/>
              </w:rPr>
              <w:t>at</w:t>
            </w:r>
            <w:r>
              <w:rPr>
                <w:spacing w:val="-9"/>
                <w:sz w:val="18"/>
              </w:rPr>
              <w:t xml:space="preserve"> </w:t>
            </w:r>
            <w:r>
              <w:rPr>
                <w:sz w:val="18"/>
              </w:rPr>
              <w:t>Inspectorates</w:t>
            </w:r>
            <w:r>
              <w:rPr>
                <w:spacing w:val="-7"/>
                <w:sz w:val="18"/>
              </w:rPr>
              <w:t xml:space="preserve"> </w:t>
            </w:r>
            <w:r>
              <w:rPr>
                <w:sz w:val="18"/>
              </w:rPr>
              <w:t>in</w:t>
            </w:r>
            <w:r>
              <w:rPr>
                <w:spacing w:val="-9"/>
                <w:sz w:val="18"/>
              </w:rPr>
              <w:t xml:space="preserve"> </w:t>
            </w:r>
            <w:r>
              <w:rPr>
                <w:sz w:val="18"/>
              </w:rPr>
              <w:t xml:space="preserve">Prov. </w:t>
            </w:r>
            <w:r>
              <w:rPr>
                <w:spacing w:val="-2"/>
                <w:sz w:val="18"/>
              </w:rPr>
              <w:t>Gorontalo</w:t>
            </w:r>
          </w:p>
        </w:tc>
        <w:tc>
          <w:tcPr>
            <w:tcW w:w="1096" w:type="dxa"/>
            <w:tcBorders>
              <w:top w:val="single" w:sz="4" w:space="0" w:color="A6A6A6"/>
              <w:left w:val="single" w:sz="4" w:space="0" w:color="A6A6A6"/>
              <w:bottom w:val="single" w:sz="4" w:space="0" w:color="A6A6A6"/>
              <w:right w:val="single" w:sz="4" w:space="0" w:color="A6A6A6"/>
            </w:tcBorders>
          </w:tcPr>
          <w:p w14:paraId="173804EA" w14:textId="77777777" w:rsidR="00BC24A8" w:rsidRDefault="00000000">
            <w:pPr>
              <w:pStyle w:val="TableParagraph"/>
              <w:spacing w:line="219" w:lineRule="exact"/>
              <w:ind w:left="108"/>
              <w:rPr>
                <w:sz w:val="18"/>
              </w:rPr>
            </w:pPr>
            <w:r>
              <w:rPr>
                <w:spacing w:val="-2"/>
                <w:sz w:val="18"/>
              </w:rPr>
              <w:t>Gorontalo</w:t>
            </w:r>
          </w:p>
        </w:tc>
      </w:tr>
      <w:tr w:rsidR="00BC24A8" w14:paraId="29996C85"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2618EC5B" w14:textId="77777777" w:rsidR="00BC24A8" w:rsidRDefault="00000000">
            <w:pPr>
              <w:pStyle w:val="TableParagraph"/>
              <w:spacing w:before="1"/>
              <w:ind w:right="96"/>
              <w:jc w:val="right"/>
              <w:rPr>
                <w:sz w:val="18"/>
              </w:rPr>
            </w:pPr>
            <w:r>
              <w:rPr>
                <w:spacing w:val="-5"/>
                <w:sz w:val="18"/>
              </w:rPr>
              <w:t>24</w:t>
            </w:r>
          </w:p>
        </w:tc>
        <w:tc>
          <w:tcPr>
            <w:tcW w:w="955" w:type="dxa"/>
            <w:tcBorders>
              <w:top w:val="single" w:sz="4" w:space="0" w:color="A6A6A6"/>
              <w:left w:val="single" w:sz="4" w:space="0" w:color="A6A6A6"/>
              <w:bottom w:val="single" w:sz="4" w:space="0" w:color="A6A6A6"/>
              <w:right w:val="single" w:sz="4" w:space="0" w:color="A6A6A6"/>
            </w:tcBorders>
          </w:tcPr>
          <w:p w14:paraId="25302EB6"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447CB2D1" w14:textId="77777777" w:rsidR="00BC24A8" w:rsidRDefault="00000000">
            <w:pPr>
              <w:pStyle w:val="TableParagraph"/>
              <w:spacing w:before="1"/>
              <w:ind w:left="105"/>
              <w:rPr>
                <w:sz w:val="18"/>
              </w:rPr>
            </w:pPr>
            <w:r>
              <w:rPr>
                <w:sz w:val="18"/>
              </w:rPr>
              <w:t>Inclusive</w:t>
            </w:r>
            <w:r>
              <w:rPr>
                <w:spacing w:val="-4"/>
                <w:sz w:val="18"/>
              </w:rPr>
              <w:t xml:space="preserve"> </w:t>
            </w:r>
            <w:r>
              <w:rPr>
                <w:sz w:val="18"/>
              </w:rPr>
              <w:t>School,</w:t>
            </w:r>
            <w:r>
              <w:rPr>
                <w:spacing w:val="-2"/>
                <w:sz w:val="18"/>
              </w:rPr>
              <w:t xml:space="preserve"> </w:t>
            </w:r>
            <w:r>
              <w:rPr>
                <w:sz w:val="18"/>
              </w:rPr>
              <w:t>Is</w:t>
            </w:r>
            <w:r>
              <w:rPr>
                <w:spacing w:val="-1"/>
                <w:sz w:val="18"/>
              </w:rPr>
              <w:t xml:space="preserve"> </w:t>
            </w:r>
            <w:r>
              <w:rPr>
                <w:sz w:val="18"/>
              </w:rPr>
              <w:t>it</w:t>
            </w:r>
            <w:r>
              <w:rPr>
                <w:spacing w:val="-1"/>
                <w:sz w:val="18"/>
              </w:rPr>
              <w:t xml:space="preserve"> </w:t>
            </w:r>
            <w:r>
              <w:rPr>
                <w:sz w:val="18"/>
              </w:rPr>
              <w:t>Just a</w:t>
            </w:r>
            <w:r>
              <w:rPr>
                <w:spacing w:val="-2"/>
                <w:sz w:val="18"/>
              </w:rPr>
              <w:t xml:space="preserve"> </w:t>
            </w:r>
            <w:r>
              <w:rPr>
                <w:spacing w:val="-4"/>
                <w:sz w:val="18"/>
              </w:rPr>
              <w:t>Fad?</w:t>
            </w:r>
          </w:p>
        </w:tc>
        <w:tc>
          <w:tcPr>
            <w:tcW w:w="1096" w:type="dxa"/>
            <w:tcBorders>
              <w:top w:val="single" w:sz="4" w:space="0" w:color="A6A6A6"/>
              <w:left w:val="single" w:sz="4" w:space="0" w:color="A6A6A6"/>
              <w:bottom w:val="single" w:sz="4" w:space="0" w:color="A6A6A6"/>
              <w:right w:val="single" w:sz="4" w:space="0" w:color="A6A6A6"/>
            </w:tcBorders>
          </w:tcPr>
          <w:p w14:paraId="7EE4C653" w14:textId="77777777" w:rsidR="00BC24A8" w:rsidRDefault="00000000">
            <w:pPr>
              <w:pStyle w:val="TableParagraph"/>
              <w:spacing w:before="1"/>
              <w:ind w:left="108"/>
              <w:rPr>
                <w:sz w:val="18"/>
              </w:rPr>
            </w:pPr>
            <w:r>
              <w:rPr>
                <w:spacing w:val="-2"/>
                <w:sz w:val="18"/>
              </w:rPr>
              <w:t>Gorontalo</w:t>
            </w:r>
          </w:p>
        </w:tc>
      </w:tr>
      <w:tr w:rsidR="00BC24A8" w14:paraId="0E895C81"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7DE4E249" w14:textId="77777777" w:rsidR="00BC24A8" w:rsidRDefault="00000000">
            <w:pPr>
              <w:pStyle w:val="TableParagraph"/>
              <w:spacing w:before="1"/>
              <w:ind w:right="96"/>
              <w:jc w:val="right"/>
              <w:rPr>
                <w:sz w:val="18"/>
              </w:rPr>
            </w:pPr>
            <w:r>
              <w:rPr>
                <w:spacing w:val="-5"/>
                <w:sz w:val="18"/>
              </w:rPr>
              <w:t>25</w:t>
            </w:r>
          </w:p>
        </w:tc>
        <w:tc>
          <w:tcPr>
            <w:tcW w:w="955" w:type="dxa"/>
            <w:tcBorders>
              <w:top w:val="single" w:sz="4" w:space="0" w:color="A6A6A6"/>
              <w:left w:val="single" w:sz="4" w:space="0" w:color="A6A6A6"/>
              <w:bottom w:val="single" w:sz="4" w:space="0" w:color="A6A6A6"/>
              <w:right w:val="single" w:sz="4" w:space="0" w:color="A6A6A6"/>
            </w:tcBorders>
          </w:tcPr>
          <w:p w14:paraId="50C9FEA8"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703B61D9" w14:textId="77777777" w:rsidR="00BC24A8" w:rsidRDefault="00000000">
            <w:pPr>
              <w:pStyle w:val="TableParagraph"/>
              <w:spacing w:before="1"/>
              <w:ind w:left="105" w:right="49"/>
              <w:rPr>
                <w:sz w:val="18"/>
              </w:rPr>
            </w:pPr>
            <w:r>
              <w:rPr>
                <w:spacing w:val="-2"/>
                <w:sz w:val="18"/>
              </w:rPr>
              <w:t>Optimize</w:t>
            </w:r>
            <w:r>
              <w:rPr>
                <w:spacing w:val="-3"/>
                <w:sz w:val="18"/>
              </w:rPr>
              <w:t xml:space="preserve"> </w:t>
            </w:r>
            <w:r>
              <w:rPr>
                <w:spacing w:val="-2"/>
                <w:sz w:val="18"/>
              </w:rPr>
              <w:t>the</w:t>
            </w:r>
            <w:r>
              <w:rPr>
                <w:spacing w:val="-3"/>
                <w:sz w:val="18"/>
              </w:rPr>
              <w:t xml:space="preserve"> </w:t>
            </w:r>
            <w:r>
              <w:rPr>
                <w:spacing w:val="-2"/>
                <w:sz w:val="18"/>
              </w:rPr>
              <w:t>Quality</w:t>
            </w:r>
            <w:r>
              <w:rPr>
                <w:spacing w:val="-3"/>
                <w:sz w:val="18"/>
              </w:rPr>
              <w:t xml:space="preserve"> </w:t>
            </w:r>
            <w:r>
              <w:rPr>
                <w:spacing w:val="-2"/>
                <w:sz w:val="18"/>
              </w:rPr>
              <w:t>of Services</w:t>
            </w:r>
            <w:r>
              <w:rPr>
                <w:spacing w:val="-3"/>
                <w:sz w:val="18"/>
              </w:rPr>
              <w:t xml:space="preserve"> </w:t>
            </w:r>
            <w:r>
              <w:rPr>
                <w:spacing w:val="-2"/>
                <w:sz w:val="18"/>
              </w:rPr>
              <w:t>for Child Social Rehabilitation</w:t>
            </w:r>
            <w:r>
              <w:rPr>
                <w:spacing w:val="-3"/>
                <w:sz w:val="18"/>
              </w:rPr>
              <w:t xml:space="preserve"> </w:t>
            </w:r>
            <w:r>
              <w:rPr>
                <w:spacing w:val="-2"/>
                <w:sz w:val="18"/>
              </w:rPr>
              <w:t>MSS: Preventing Child Separation</w:t>
            </w:r>
            <w:r>
              <w:rPr>
                <w:sz w:val="18"/>
              </w:rPr>
              <w:t xml:space="preserve"> in GTOs</w:t>
            </w:r>
          </w:p>
        </w:tc>
        <w:tc>
          <w:tcPr>
            <w:tcW w:w="1096" w:type="dxa"/>
            <w:tcBorders>
              <w:top w:val="single" w:sz="4" w:space="0" w:color="A6A6A6"/>
              <w:left w:val="single" w:sz="4" w:space="0" w:color="A6A6A6"/>
              <w:bottom w:val="single" w:sz="4" w:space="0" w:color="A6A6A6"/>
              <w:right w:val="single" w:sz="4" w:space="0" w:color="A6A6A6"/>
            </w:tcBorders>
          </w:tcPr>
          <w:p w14:paraId="3125B479" w14:textId="77777777" w:rsidR="00BC24A8" w:rsidRDefault="00000000">
            <w:pPr>
              <w:pStyle w:val="TableParagraph"/>
              <w:spacing w:before="1"/>
              <w:ind w:left="108"/>
              <w:rPr>
                <w:sz w:val="18"/>
              </w:rPr>
            </w:pPr>
            <w:r>
              <w:rPr>
                <w:spacing w:val="-2"/>
                <w:sz w:val="18"/>
              </w:rPr>
              <w:t>Gorontalo</w:t>
            </w:r>
          </w:p>
        </w:tc>
      </w:tr>
      <w:tr w:rsidR="00BC24A8" w14:paraId="2BF7F4FB"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46AE6C79" w14:textId="77777777" w:rsidR="00BC24A8" w:rsidRDefault="00000000">
            <w:pPr>
              <w:pStyle w:val="TableParagraph"/>
              <w:spacing w:before="1"/>
              <w:ind w:right="96"/>
              <w:jc w:val="right"/>
              <w:rPr>
                <w:sz w:val="18"/>
              </w:rPr>
            </w:pPr>
            <w:r>
              <w:rPr>
                <w:spacing w:val="-5"/>
                <w:sz w:val="18"/>
              </w:rPr>
              <w:t>26</w:t>
            </w:r>
          </w:p>
        </w:tc>
        <w:tc>
          <w:tcPr>
            <w:tcW w:w="955" w:type="dxa"/>
            <w:tcBorders>
              <w:top w:val="single" w:sz="4" w:space="0" w:color="A6A6A6"/>
              <w:left w:val="single" w:sz="4" w:space="0" w:color="A6A6A6"/>
              <w:bottom w:val="single" w:sz="4" w:space="0" w:color="A6A6A6"/>
              <w:right w:val="single" w:sz="4" w:space="0" w:color="A6A6A6"/>
            </w:tcBorders>
          </w:tcPr>
          <w:p w14:paraId="2C842CDC"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65B9B1A9" w14:textId="77777777" w:rsidR="00BC24A8" w:rsidRDefault="00000000">
            <w:pPr>
              <w:pStyle w:val="TableParagraph"/>
              <w:spacing w:before="1"/>
              <w:ind w:left="105"/>
              <w:rPr>
                <w:sz w:val="18"/>
              </w:rPr>
            </w:pPr>
            <w:r>
              <w:rPr>
                <w:sz w:val="18"/>
              </w:rPr>
              <w:t>Utilizing</w:t>
            </w:r>
            <w:r>
              <w:rPr>
                <w:spacing w:val="-4"/>
                <w:sz w:val="18"/>
              </w:rPr>
              <w:t xml:space="preserve"> </w:t>
            </w:r>
            <w:r>
              <w:rPr>
                <w:sz w:val="18"/>
              </w:rPr>
              <w:t>Journalism</w:t>
            </w:r>
            <w:r>
              <w:rPr>
                <w:spacing w:val="-4"/>
                <w:sz w:val="18"/>
              </w:rPr>
              <w:t xml:space="preserve"> </w:t>
            </w:r>
            <w:r>
              <w:rPr>
                <w:sz w:val="18"/>
              </w:rPr>
              <w:t>to</w:t>
            </w:r>
            <w:r>
              <w:rPr>
                <w:spacing w:val="-3"/>
                <w:sz w:val="18"/>
              </w:rPr>
              <w:t xml:space="preserve"> </w:t>
            </w:r>
            <w:r>
              <w:rPr>
                <w:sz w:val="18"/>
              </w:rPr>
              <w:t>Address</w:t>
            </w:r>
            <w:r>
              <w:rPr>
                <w:spacing w:val="-3"/>
                <w:sz w:val="18"/>
              </w:rPr>
              <w:t xml:space="preserve"> </w:t>
            </w:r>
            <w:r>
              <w:rPr>
                <w:sz w:val="18"/>
              </w:rPr>
              <w:t>the</w:t>
            </w:r>
            <w:r>
              <w:rPr>
                <w:spacing w:val="-3"/>
                <w:sz w:val="18"/>
              </w:rPr>
              <w:t xml:space="preserve"> </w:t>
            </w:r>
            <w:r>
              <w:rPr>
                <w:sz w:val="18"/>
              </w:rPr>
              <w:t>GEDSI</w:t>
            </w:r>
            <w:r>
              <w:rPr>
                <w:spacing w:val="-3"/>
                <w:sz w:val="18"/>
              </w:rPr>
              <w:t xml:space="preserve"> </w:t>
            </w:r>
            <w:r>
              <w:rPr>
                <w:spacing w:val="-2"/>
                <w:sz w:val="18"/>
              </w:rPr>
              <w:t>Challenge</w:t>
            </w:r>
          </w:p>
        </w:tc>
        <w:tc>
          <w:tcPr>
            <w:tcW w:w="1096" w:type="dxa"/>
            <w:tcBorders>
              <w:top w:val="single" w:sz="4" w:space="0" w:color="A6A6A6"/>
              <w:left w:val="single" w:sz="4" w:space="0" w:color="A6A6A6"/>
              <w:bottom w:val="single" w:sz="4" w:space="0" w:color="A6A6A6"/>
              <w:right w:val="single" w:sz="4" w:space="0" w:color="A6A6A6"/>
            </w:tcBorders>
          </w:tcPr>
          <w:p w14:paraId="1FE19403" w14:textId="77777777" w:rsidR="00BC24A8" w:rsidRDefault="00000000">
            <w:pPr>
              <w:pStyle w:val="TableParagraph"/>
              <w:spacing w:before="1"/>
              <w:ind w:left="108"/>
              <w:rPr>
                <w:sz w:val="18"/>
              </w:rPr>
            </w:pPr>
            <w:r>
              <w:rPr>
                <w:spacing w:val="-2"/>
                <w:sz w:val="18"/>
              </w:rPr>
              <w:t>Gorontalo</w:t>
            </w:r>
          </w:p>
        </w:tc>
      </w:tr>
      <w:tr w:rsidR="00BC24A8" w14:paraId="3136ED3D" w14:textId="77777777">
        <w:trPr>
          <w:trHeight w:val="220"/>
        </w:trPr>
        <w:tc>
          <w:tcPr>
            <w:tcW w:w="552" w:type="dxa"/>
            <w:tcBorders>
              <w:top w:val="single" w:sz="4" w:space="0" w:color="A6A6A6"/>
              <w:left w:val="single" w:sz="4" w:space="0" w:color="A6A6A6"/>
              <w:bottom w:val="single" w:sz="4" w:space="0" w:color="A6A6A6"/>
              <w:right w:val="single" w:sz="4" w:space="0" w:color="A6A6A6"/>
            </w:tcBorders>
          </w:tcPr>
          <w:p w14:paraId="627E1C5F" w14:textId="77777777" w:rsidR="00BC24A8" w:rsidRDefault="00000000">
            <w:pPr>
              <w:pStyle w:val="TableParagraph"/>
              <w:spacing w:before="1" w:line="199" w:lineRule="exact"/>
              <w:ind w:right="96"/>
              <w:jc w:val="right"/>
              <w:rPr>
                <w:sz w:val="18"/>
              </w:rPr>
            </w:pPr>
            <w:r>
              <w:rPr>
                <w:spacing w:val="-5"/>
                <w:sz w:val="18"/>
              </w:rPr>
              <w:t>27</w:t>
            </w:r>
          </w:p>
        </w:tc>
        <w:tc>
          <w:tcPr>
            <w:tcW w:w="955" w:type="dxa"/>
            <w:tcBorders>
              <w:top w:val="single" w:sz="4" w:space="0" w:color="A6A6A6"/>
              <w:left w:val="single" w:sz="4" w:space="0" w:color="A6A6A6"/>
              <w:bottom w:val="single" w:sz="4" w:space="0" w:color="A6A6A6"/>
              <w:right w:val="single" w:sz="4" w:space="0" w:color="A6A6A6"/>
            </w:tcBorders>
          </w:tcPr>
          <w:p w14:paraId="1B134487" w14:textId="77777777" w:rsidR="00BC24A8" w:rsidRDefault="00000000">
            <w:pPr>
              <w:pStyle w:val="TableParagraph"/>
              <w:spacing w:before="1" w:line="19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4D38A49E" w14:textId="77777777" w:rsidR="00BC24A8" w:rsidRDefault="00000000">
            <w:pPr>
              <w:pStyle w:val="TableParagraph"/>
              <w:spacing w:before="1" w:line="199" w:lineRule="exact"/>
              <w:ind w:left="105"/>
              <w:rPr>
                <w:sz w:val="18"/>
              </w:rPr>
            </w:pPr>
            <w:r>
              <w:rPr>
                <w:sz w:val="18"/>
              </w:rPr>
              <w:t>Optimization</w:t>
            </w:r>
            <w:r>
              <w:rPr>
                <w:spacing w:val="-5"/>
                <w:sz w:val="18"/>
              </w:rPr>
              <w:t xml:space="preserve"> </w:t>
            </w:r>
            <w:r>
              <w:rPr>
                <w:sz w:val="18"/>
              </w:rPr>
              <w:t>of</w:t>
            </w:r>
            <w:r>
              <w:rPr>
                <w:spacing w:val="-6"/>
                <w:sz w:val="18"/>
              </w:rPr>
              <w:t xml:space="preserve"> </w:t>
            </w:r>
            <w:r>
              <w:rPr>
                <w:sz w:val="18"/>
              </w:rPr>
              <w:t>the</w:t>
            </w:r>
            <w:r>
              <w:rPr>
                <w:spacing w:val="-5"/>
                <w:sz w:val="18"/>
              </w:rPr>
              <w:t xml:space="preserve"> </w:t>
            </w:r>
            <w:r>
              <w:rPr>
                <w:sz w:val="18"/>
              </w:rPr>
              <w:t>Provision</w:t>
            </w:r>
            <w:r>
              <w:rPr>
                <w:spacing w:val="-5"/>
                <w:sz w:val="18"/>
              </w:rPr>
              <w:t xml:space="preserve"> </w:t>
            </w:r>
            <w:r>
              <w:rPr>
                <w:sz w:val="18"/>
              </w:rPr>
              <w:t>of</w:t>
            </w:r>
            <w:r>
              <w:rPr>
                <w:spacing w:val="-6"/>
                <w:sz w:val="18"/>
              </w:rPr>
              <w:t xml:space="preserve"> </w:t>
            </w:r>
            <w:r>
              <w:rPr>
                <w:sz w:val="18"/>
              </w:rPr>
              <w:t>RAD</w:t>
            </w:r>
            <w:r>
              <w:rPr>
                <w:spacing w:val="-4"/>
                <w:sz w:val="18"/>
              </w:rPr>
              <w:t xml:space="preserve"> </w:t>
            </w:r>
            <w:r>
              <w:rPr>
                <w:sz w:val="18"/>
              </w:rPr>
              <w:t>MSS</w:t>
            </w:r>
            <w:r>
              <w:rPr>
                <w:spacing w:val="-5"/>
                <w:sz w:val="18"/>
              </w:rPr>
              <w:t xml:space="preserve"> </w:t>
            </w:r>
            <w:r>
              <w:rPr>
                <w:sz w:val="18"/>
              </w:rPr>
              <w:t>Documents</w:t>
            </w:r>
            <w:r>
              <w:rPr>
                <w:spacing w:val="-5"/>
                <w:sz w:val="18"/>
              </w:rPr>
              <w:t xml:space="preserve"> </w:t>
            </w:r>
            <w:r>
              <w:rPr>
                <w:sz w:val="18"/>
              </w:rPr>
              <w:t>for</w:t>
            </w:r>
            <w:r>
              <w:rPr>
                <w:spacing w:val="-5"/>
                <w:sz w:val="18"/>
              </w:rPr>
              <w:t xml:space="preserve"> </w:t>
            </w:r>
            <w:r>
              <w:rPr>
                <w:sz w:val="18"/>
              </w:rPr>
              <w:t>Disaster</w:t>
            </w:r>
            <w:r>
              <w:rPr>
                <w:spacing w:val="-4"/>
                <w:sz w:val="18"/>
              </w:rPr>
              <w:t xml:space="preserve"> </w:t>
            </w:r>
            <w:r>
              <w:rPr>
                <w:sz w:val="18"/>
              </w:rPr>
              <w:t>Sub-</w:t>
            </w:r>
            <w:r>
              <w:rPr>
                <w:spacing w:val="-2"/>
                <w:sz w:val="18"/>
              </w:rPr>
              <w:t>Regencies/Cities</w:t>
            </w:r>
          </w:p>
        </w:tc>
        <w:tc>
          <w:tcPr>
            <w:tcW w:w="1096" w:type="dxa"/>
            <w:tcBorders>
              <w:top w:val="single" w:sz="4" w:space="0" w:color="A6A6A6"/>
              <w:left w:val="single" w:sz="4" w:space="0" w:color="A6A6A6"/>
              <w:bottom w:val="single" w:sz="4" w:space="0" w:color="A6A6A6"/>
              <w:right w:val="single" w:sz="4" w:space="0" w:color="A6A6A6"/>
            </w:tcBorders>
          </w:tcPr>
          <w:p w14:paraId="1110165F" w14:textId="77777777" w:rsidR="00BC24A8" w:rsidRDefault="00000000">
            <w:pPr>
              <w:pStyle w:val="TableParagraph"/>
              <w:spacing w:before="1" w:line="199" w:lineRule="exact"/>
              <w:ind w:left="108"/>
              <w:rPr>
                <w:sz w:val="18"/>
              </w:rPr>
            </w:pPr>
            <w:r>
              <w:rPr>
                <w:spacing w:val="-2"/>
                <w:sz w:val="18"/>
              </w:rPr>
              <w:t>Gorontalo</w:t>
            </w:r>
          </w:p>
        </w:tc>
      </w:tr>
      <w:tr w:rsidR="00BC24A8" w14:paraId="6EF37729"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233815E1" w14:textId="77777777" w:rsidR="00BC24A8" w:rsidRDefault="00000000">
            <w:pPr>
              <w:pStyle w:val="TableParagraph"/>
              <w:spacing w:line="219" w:lineRule="exact"/>
              <w:ind w:right="96"/>
              <w:jc w:val="right"/>
              <w:rPr>
                <w:sz w:val="18"/>
              </w:rPr>
            </w:pPr>
            <w:r>
              <w:rPr>
                <w:spacing w:val="-5"/>
                <w:sz w:val="18"/>
              </w:rPr>
              <w:t>28</w:t>
            </w:r>
          </w:p>
        </w:tc>
        <w:tc>
          <w:tcPr>
            <w:tcW w:w="955" w:type="dxa"/>
            <w:tcBorders>
              <w:top w:val="single" w:sz="4" w:space="0" w:color="A6A6A6"/>
              <w:left w:val="single" w:sz="4" w:space="0" w:color="A6A6A6"/>
              <w:bottom w:val="single" w:sz="4" w:space="0" w:color="A6A6A6"/>
              <w:right w:val="single" w:sz="4" w:space="0" w:color="A6A6A6"/>
            </w:tcBorders>
          </w:tcPr>
          <w:p w14:paraId="39AC0E9D"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18B96784" w14:textId="77777777" w:rsidR="00BC24A8" w:rsidRDefault="00000000">
            <w:pPr>
              <w:pStyle w:val="TableParagraph"/>
              <w:spacing w:line="219" w:lineRule="exact"/>
              <w:ind w:left="105"/>
              <w:rPr>
                <w:sz w:val="18"/>
              </w:rPr>
            </w:pPr>
            <w:r>
              <w:rPr>
                <w:spacing w:val="-2"/>
                <w:sz w:val="18"/>
              </w:rPr>
              <w:t>GEDSI’s</w:t>
            </w:r>
            <w:r>
              <w:rPr>
                <w:spacing w:val="3"/>
                <w:sz w:val="18"/>
              </w:rPr>
              <w:t xml:space="preserve"> </w:t>
            </w:r>
            <w:r>
              <w:rPr>
                <w:spacing w:val="-2"/>
                <w:sz w:val="18"/>
              </w:rPr>
              <w:t>Strategy</w:t>
            </w:r>
            <w:r>
              <w:rPr>
                <w:sz w:val="18"/>
              </w:rPr>
              <w:t xml:space="preserve"> </w:t>
            </w:r>
            <w:r>
              <w:rPr>
                <w:spacing w:val="-2"/>
                <w:sz w:val="18"/>
              </w:rPr>
              <w:t>for</w:t>
            </w:r>
            <w:r>
              <w:rPr>
                <w:spacing w:val="4"/>
                <w:sz w:val="18"/>
              </w:rPr>
              <w:t xml:space="preserve"> </w:t>
            </w:r>
            <w:r>
              <w:rPr>
                <w:spacing w:val="-2"/>
                <w:sz w:val="18"/>
              </w:rPr>
              <w:t>Post-Disaster</w:t>
            </w:r>
            <w:r>
              <w:rPr>
                <w:spacing w:val="1"/>
                <w:sz w:val="18"/>
              </w:rPr>
              <w:t xml:space="preserve"> </w:t>
            </w:r>
            <w:r>
              <w:rPr>
                <w:spacing w:val="-2"/>
                <w:sz w:val="18"/>
              </w:rPr>
              <w:t>Recovery</w:t>
            </w:r>
            <w:r>
              <w:rPr>
                <w:spacing w:val="3"/>
                <w:sz w:val="18"/>
              </w:rPr>
              <w:t xml:space="preserve"> </w:t>
            </w:r>
            <w:r>
              <w:rPr>
                <w:spacing w:val="-2"/>
                <w:sz w:val="18"/>
              </w:rPr>
              <w:t>in</w:t>
            </w:r>
            <w:r>
              <w:rPr>
                <w:spacing w:val="4"/>
                <w:sz w:val="18"/>
              </w:rPr>
              <w:t xml:space="preserve"> </w:t>
            </w:r>
            <w:r>
              <w:rPr>
                <w:spacing w:val="-4"/>
                <w:sz w:val="18"/>
              </w:rPr>
              <w:t>GTOs</w:t>
            </w:r>
          </w:p>
        </w:tc>
        <w:tc>
          <w:tcPr>
            <w:tcW w:w="1096" w:type="dxa"/>
            <w:tcBorders>
              <w:top w:val="single" w:sz="4" w:space="0" w:color="A6A6A6"/>
              <w:left w:val="single" w:sz="4" w:space="0" w:color="A6A6A6"/>
              <w:bottom w:val="single" w:sz="4" w:space="0" w:color="A6A6A6"/>
              <w:right w:val="single" w:sz="4" w:space="0" w:color="A6A6A6"/>
            </w:tcBorders>
          </w:tcPr>
          <w:p w14:paraId="1BC4FB90" w14:textId="77777777" w:rsidR="00BC24A8" w:rsidRDefault="00000000">
            <w:pPr>
              <w:pStyle w:val="TableParagraph"/>
              <w:spacing w:line="219" w:lineRule="exact"/>
              <w:ind w:left="108"/>
              <w:rPr>
                <w:sz w:val="18"/>
              </w:rPr>
            </w:pPr>
            <w:r>
              <w:rPr>
                <w:spacing w:val="-2"/>
                <w:sz w:val="18"/>
              </w:rPr>
              <w:t>Gorontalo</w:t>
            </w:r>
          </w:p>
        </w:tc>
      </w:tr>
      <w:tr w:rsidR="00BC24A8" w14:paraId="549AA47D"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0D2F5469" w14:textId="77777777" w:rsidR="00BC24A8" w:rsidRDefault="00000000">
            <w:pPr>
              <w:pStyle w:val="TableParagraph"/>
              <w:spacing w:line="219" w:lineRule="exact"/>
              <w:ind w:right="96"/>
              <w:jc w:val="right"/>
              <w:rPr>
                <w:sz w:val="18"/>
              </w:rPr>
            </w:pPr>
            <w:r>
              <w:rPr>
                <w:spacing w:val="-5"/>
                <w:sz w:val="18"/>
              </w:rPr>
              <w:t>29</w:t>
            </w:r>
          </w:p>
        </w:tc>
        <w:tc>
          <w:tcPr>
            <w:tcW w:w="955" w:type="dxa"/>
            <w:tcBorders>
              <w:top w:val="single" w:sz="4" w:space="0" w:color="A6A6A6"/>
              <w:left w:val="single" w:sz="4" w:space="0" w:color="A6A6A6"/>
              <w:bottom w:val="single" w:sz="4" w:space="0" w:color="A6A6A6"/>
              <w:right w:val="single" w:sz="4" w:space="0" w:color="A6A6A6"/>
            </w:tcBorders>
          </w:tcPr>
          <w:p w14:paraId="6BC60500"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26BACE6F" w14:textId="77777777" w:rsidR="00BC24A8" w:rsidRDefault="00000000">
            <w:pPr>
              <w:pStyle w:val="TableParagraph"/>
              <w:ind w:left="105"/>
              <w:rPr>
                <w:sz w:val="18"/>
              </w:rPr>
            </w:pPr>
            <w:r>
              <w:rPr>
                <w:sz w:val="18"/>
              </w:rPr>
              <w:t>Accelerating</w:t>
            </w:r>
            <w:r>
              <w:rPr>
                <w:spacing w:val="-2"/>
                <w:sz w:val="18"/>
              </w:rPr>
              <w:t xml:space="preserve"> </w:t>
            </w:r>
            <w:r>
              <w:rPr>
                <w:sz w:val="18"/>
              </w:rPr>
              <w:t>Budget Absorption</w:t>
            </w:r>
            <w:r>
              <w:rPr>
                <w:spacing w:val="-3"/>
                <w:sz w:val="18"/>
              </w:rPr>
              <w:t xml:space="preserve"> </w:t>
            </w:r>
            <w:r>
              <w:rPr>
                <w:sz w:val="18"/>
              </w:rPr>
              <w:t>Using</w:t>
            </w:r>
            <w:r>
              <w:rPr>
                <w:spacing w:val="-2"/>
                <w:sz w:val="18"/>
              </w:rPr>
              <w:t xml:space="preserve"> </w:t>
            </w:r>
            <w:r>
              <w:rPr>
                <w:sz w:val="18"/>
              </w:rPr>
              <w:t>E-MONEP</w:t>
            </w:r>
            <w:r>
              <w:rPr>
                <w:spacing w:val="-1"/>
                <w:sz w:val="18"/>
              </w:rPr>
              <w:t xml:space="preserve"> </w:t>
            </w:r>
            <w:r>
              <w:rPr>
                <w:sz w:val="18"/>
              </w:rPr>
              <w:t>Application</w:t>
            </w:r>
            <w:r>
              <w:rPr>
                <w:spacing w:val="-1"/>
                <w:sz w:val="18"/>
              </w:rPr>
              <w:t xml:space="preserve"> </w:t>
            </w:r>
            <w:r>
              <w:rPr>
                <w:sz w:val="18"/>
              </w:rPr>
              <w:t>to</w:t>
            </w:r>
            <w:r>
              <w:rPr>
                <w:spacing w:val="-1"/>
                <w:sz w:val="18"/>
              </w:rPr>
              <w:t xml:space="preserve"> </w:t>
            </w:r>
            <w:r>
              <w:rPr>
                <w:sz w:val="18"/>
              </w:rPr>
              <w:t>Encourage</w:t>
            </w:r>
            <w:r>
              <w:rPr>
                <w:spacing w:val="-1"/>
                <w:sz w:val="18"/>
              </w:rPr>
              <w:t xml:space="preserve"> </w:t>
            </w:r>
            <w:r>
              <w:rPr>
                <w:sz w:val="18"/>
              </w:rPr>
              <w:t xml:space="preserve">Regional Economic </w:t>
            </w:r>
            <w:r>
              <w:rPr>
                <w:spacing w:val="-2"/>
                <w:sz w:val="18"/>
              </w:rPr>
              <w:t>Growth</w:t>
            </w:r>
          </w:p>
        </w:tc>
        <w:tc>
          <w:tcPr>
            <w:tcW w:w="1096" w:type="dxa"/>
            <w:tcBorders>
              <w:top w:val="single" w:sz="4" w:space="0" w:color="A6A6A6"/>
              <w:left w:val="single" w:sz="4" w:space="0" w:color="A6A6A6"/>
              <w:bottom w:val="single" w:sz="4" w:space="0" w:color="A6A6A6"/>
              <w:right w:val="single" w:sz="4" w:space="0" w:color="A6A6A6"/>
            </w:tcBorders>
          </w:tcPr>
          <w:p w14:paraId="678E2E7F" w14:textId="77777777" w:rsidR="00BC24A8" w:rsidRDefault="00000000">
            <w:pPr>
              <w:pStyle w:val="TableParagraph"/>
              <w:spacing w:line="219" w:lineRule="exact"/>
              <w:ind w:left="108"/>
              <w:rPr>
                <w:sz w:val="18"/>
              </w:rPr>
            </w:pPr>
            <w:r>
              <w:rPr>
                <w:spacing w:val="-2"/>
                <w:sz w:val="18"/>
              </w:rPr>
              <w:t>Gorontalo</w:t>
            </w:r>
          </w:p>
        </w:tc>
      </w:tr>
      <w:tr w:rsidR="00BC24A8" w14:paraId="38B7E4D4"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4BA52DE5" w14:textId="77777777" w:rsidR="00BC24A8" w:rsidRDefault="00000000">
            <w:pPr>
              <w:pStyle w:val="TableParagraph"/>
              <w:spacing w:before="1"/>
              <w:ind w:right="96"/>
              <w:jc w:val="right"/>
              <w:rPr>
                <w:sz w:val="18"/>
              </w:rPr>
            </w:pPr>
            <w:r>
              <w:rPr>
                <w:spacing w:val="-5"/>
                <w:sz w:val="18"/>
              </w:rPr>
              <w:t>30</w:t>
            </w:r>
          </w:p>
        </w:tc>
        <w:tc>
          <w:tcPr>
            <w:tcW w:w="955" w:type="dxa"/>
            <w:tcBorders>
              <w:top w:val="single" w:sz="4" w:space="0" w:color="A6A6A6"/>
              <w:left w:val="single" w:sz="4" w:space="0" w:color="A6A6A6"/>
              <w:bottom w:val="single" w:sz="4" w:space="0" w:color="A6A6A6"/>
              <w:right w:val="single" w:sz="4" w:space="0" w:color="A6A6A6"/>
            </w:tcBorders>
          </w:tcPr>
          <w:p w14:paraId="1ADE85E8"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65C3D558" w14:textId="77777777" w:rsidR="00BC24A8" w:rsidRDefault="00000000">
            <w:pPr>
              <w:pStyle w:val="TableParagraph"/>
              <w:spacing w:before="1"/>
              <w:ind w:left="105"/>
              <w:rPr>
                <w:sz w:val="18"/>
              </w:rPr>
            </w:pPr>
            <w:r>
              <w:rPr>
                <w:sz w:val="18"/>
              </w:rPr>
              <w:t>Allow</w:t>
            </w:r>
            <w:r>
              <w:rPr>
                <w:spacing w:val="-4"/>
                <w:sz w:val="18"/>
              </w:rPr>
              <w:t xml:space="preserve"> </w:t>
            </w:r>
            <w:r>
              <w:rPr>
                <w:sz w:val="18"/>
              </w:rPr>
              <w:t>the</w:t>
            </w:r>
            <w:r>
              <w:rPr>
                <w:spacing w:val="-3"/>
                <w:sz w:val="18"/>
              </w:rPr>
              <w:t xml:space="preserve"> </w:t>
            </w:r>
            <w:r>
              <w:rPr>
                <w:sz w:val="18"/>
              </w:rPr>
              <w:t>Public</w:t>
            </w:r>
            <w:r>
              <w:rPr>
                <w:spacing w:val="-3"/>
                <w:sz w:val="18"/>
              </w:rPr>
              <w:t xml:space="preserve"> </w:t>
            </w:r>
            <w:r>
              <w:rPr>
                <w:sz w:val="18"/>
              </w:rPr>
              <w:t>to</w:t>
            </w:r>
            <w:r>
              <w:rPr>
                <w:spacing w:val="-3"/>
                <w:sz w:val="18"/>
              </w:rPr>
              <w:t xml:space="preserve"> </w:t>
            </w:r>
            <w:r>
              <w:rPr>
                <w:sz w:val="18"/>
              </w:rPr>
              <w:t>Obtain</w:t>
            </w:r>
            <w:r>
              <w:rPr>
                <w:spacing w:val="-3"/>
                <w:sz w:val="18"/>
              </w:rPr>
              <w:t xml:space="preserve"> </w:t>
            </w:r>
            <w:r>
              <w:rPr>
                <w:sz w:val="18"/>
              </w:rPr>
              <w:t>MSS</w:t>
            </w:r>
            <w:r>
              <w:rPr>
                <w:spacing w:val="-3"/>
                <w:sz w:val="18"/>
              </w:rPr>
              <w:t xml:space="preserve"> </w:t>
            </w:r>
            <w:r>
              <w:rPr>
                <w:sz w:val="18"/>
              </w:rPr>
              <w:t>at</w:t>
            </w:r>
            <w:r>
              <w:rPr>
                <w:spacing w:val="-4"/>
                <w:sz w:val="18"/>
              </w:rPr>
              <w:t xml:space="preserve"> </w:t>
            </w:r>
            <w:r>
              <w:rPr>
                <w:sz w:val="18"/>
              </w:rPr>
              <w:t>GTO</w:t>
            </w:r>
            <w:r>
              <w:rPr>
                <w:spacing w:val="-4"/>
                <w:sz w:val="18"/>
              </w:rPr>
              <w:t xml:space="preserve"> </w:t>
            </w:r>
            <w:r>
              <w:rPr>
                <w:sz w:val="18"/>
              </w:rPr>
              <w:t>Health</w:t>
            </w:r>
            <w:r>
              <w:rPr>
                <w:spacing w:val="-2"/>
                <w:sz w:val="18"/>
              </w:rPr>
              <w:t xml:space="preserve"> Agencies</w:t>
            </w:r>
          </w:p>
        </w:tc>
        <w:tc>
          <w:tcPr>
            <w:tcW w:w="1096" w:type="dxa"/>
            <w:tcBorders>
              <w:top w:val="single" w:sz="4" w:space="0" w:color="A6A6A6"/>
              <w:left w:val="single" w:sz="4" w:space="0" w:color="A6A6A6"/>
              <w:bottom w:val="single" w:sz="4" w:space="0" w:color="A6A6A6"/>
              <w:right w:val="single" w:sz="4" w:space="0" w:color="A6A6A6"/>
            </w:tcBorders>
          </w:tcPr>
          <w:p w14:paraId="24DC766C" w14:textId="77777777" w:rsidR="00BC24A8" w:rsidRDefault="00000000">
            <w:pPr>
              <w:pStyle w:val="TableParagraph"/>
              <w:spacing w:before="1"/>
              <w:ind w:left="108"/>
              <w:rPr>
                <w:sz w:val="18"/>
              </w:rPr>
            </w:pPr>
            <w:r>
              <w:rPr>
                <w:spacing w:val="-2"/>
                <w:sz w:val="18"/>
              </w:rPr>
              <w:t>Gorontalo</w:t>
            </w:r>
          </w:p>
        </w:tc>
      </w:tr>
      <w:tr w:rsidR="00BC24A8" w14:paraId="56B25691"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01D25975" w14:textId="77777777" w:rsidR="00BC24A8" w:rsidRDefault="00000000">
            <w:pPr>
              <w:pStyle w:val="TableParagraph"/>
              <w:spacing w:before="1"/>
              <w:ind w:right="96"/>
              <w:jc w:val="right"/>
              <w:rPr>
                <w:sz w:val="18"/>
              </w:rPr>
            </w:pPr>
            <w:r>
              <w:rPr>
                <w:spacing w:val="-5"/>
                <w:sz w:val="18"/>
              </w:rPr>
              <w:t>31</w:t>
            </w:r>
          </w:p>
        </w:tc>
        <w:tc>
          <w:tcPr>
            <w:tcW w:w="955" w:type="dxa"/>
            <w:tcBorders>
              <w:top w:val="single" w:sz="4" w:space="0" w:color="A6A6A6"/>
              <w:left w:val="single" w:sz="4" w:space="0" w:color="A6A6A6"/>
              <w:bottom w:val="single" w:sz="4" w:space="0" w:color="A6A6A6"/>
              <w:right w:val="single" w:sz="4" w:space="0" w:color="A6A6A6"/>
            </w:tcBorders>
          </w:tcPr>
          <w:p w14:paraId="7DBE9912"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140330E5" w14:textId="77777777" w:rsidR="00BC24A8" w:rsidRDefault="00000000">
            <w:pPr>
              <w:pStyle w:val="TableParagraph"/>
              <w:spacing w:before="1"/>
              <w:ind w:left="105"/>
              <w:rPr>
                <w:sz w:val="18"/>
              </w:rPr>
            </w:pPr>
            <w:r>
              <w:rPr>
                <w:sz w:val="18"/>
              </w:rPr>
              <w:t>Encouraging</w:t>
            </w:r>
            <w:r>
              <w:rPr>
                <w:spacing w:val="-2"/>
                <w:sz w:val="18"/>
              </w:rPr>
              <w:t xml:space="preserve"> </w:t>
            </w:r>
            <w:r>
              <w:rPr>
                <w:sz w:val="18"/>
              </w:rPr>
              <w:t>Innovation</w:t>
            </w:r>
            <w:r>
              <w:rPr>
                <w:spacing w:val="-1"/>
                <w:sz w:val="18"/>
              </w:rPr>
              <w:t xml:space="preserve"> </w:t>
            </w:r>
            <w:r>
              <w:rPr>
                <w:sz w:val="18"/>
              </w:rPr>
              <w:t>Synergy</w:t>
            </w:r>
            <w:r>
              <w:rPr>
                <w:spacing w:val="-2"/>
                <w:sz w:val="18"/>
              </w:rPr>
              <w:t xml:space="preserve"> </w:t>
            </w:r>
            <w:r>
              <w:rPr>
                <w:sz w:val="18"/>
              </w:rPr>
              <w:t>for</w:t>
            </w:r>
            <w:r>
              <w:rPr>
                <w:spacing w:val="-1"/>
                <w:sz w:val="18"/>
              </w:rPr>
              <w:t xml:space="preserve"> </w:t>
            </w:r>
            <w:r>
              <w:rPr>
                <w:sz w:val="18"/>
              </w:rPr>
              <w:t>the</w:t>
            </w:r>
            <w:r>
              <w:rPr>
                <w:spacing w:val="-2"/>
                <w:sz w:val="18"/>
              </w:rPr>
              <w:t xml:space="preserve"> </w:t>
            </w:r>
            <w:r>
              <w:rPr>
                <w:sz w:val="18"/>
              </w:rPr>
              <w:t>Fulfillment</w:t>
            </w:r>
            <w:r>
              <w:rPr>
                <w:spacing w:val="-1"/>
                <w:sz w:val="18"/>
              </w:rPr>
              <w:t xml:space="preserve"> </w:t>
            </w:r>
            <w:r>
              <w:rPr>
                <w:sz w:val="18"/>
              </w:rPr>
              <w:t>of</w:t>
            </w:r>
            <w:r>
              <w:rPr>
                <w:spacing w:val="-2"/>
                <w:sz w:val="18"/>
              </w:rPr>
              <w:t xml:space="preserve"> </w:t>
            </w:r>
            <w:r>
              <w:rPr>
                <w:sz w:val="18"/>
              </w:rPr>
              <w:t>the</w:t>
            </w:r>
            <w:r>
              <w:rPr>
                <w:spacing w:val="-3"/>
                <w:sz w:val="18"/>
              </w:rPr>
              <w:t xml:space="preserve"> </w:t>
            </w:r>
            <w:r>
              <w:rPr>
                <w:sz w:val="18"/>
              </w:rPr>
              <w:t>Rights</w:t>
            </w:r>
            <w:r>
              <w:rPr>
                <w:spacing w:val="-3"/>
                <w:sz w:val="18"/>
              </w:rPr>
              <w:t xml:space="preserve"> </w:t>
            </w:r>
            <w:r>
              <w:rPr>
                <w:sz w:val="18"/>
              </w:rPr>
              <w:t>of</w:t>
            </w:r>
            <w:r>
              <w:rPr>
                <w:spacing w:val="-4"/>
                <w:sz w:val="18"/>
              </w:rPr>
              <w:t xml:space="preserve"> </w:t>
            </w:r>
            <w:r>
              <w:rPr>
                <w:sz w:val="18"/>
              </w:rPr>
              <w:t>Persons</w:t>
            </w:r>
            <w:r>
              <w:rPr>
                <w:spacing w:val="-2"/>
                <w:sz w:val="18"/>
              </w:rPr>
              <w:t xml:space="preserve"> </w:t>
            </w:r>
            <w:r>
              <w:rPr>
                <w:sz w:val="18"/>
              </w:rPr>
              <w:t>with</w:t>
            </w:r>
            <w:r>
              <w:rPr>
                <w:spacing w:val="-2"/>
                <w:sz w:val="18"/>
              </w:rPr>
              <w:t xml:space="preserve"> </w:t>
            </w:r>
            <w:r>
              <w:rPr>
                <w:sz w:val="18"/>
              </w:rPr>
              <w:t>Disabilities</w:t>
            </w:r>
            <w:r>
              <w:rPr>
                <w:spacing w:val="-3"/>
                <w:sz w:val="18"/>
              </w:rPr>
              <w:t xml:space="preserve"> </w:t>
            </w:r>
            <w:r>
              <w:rPr>
                <w:sz w:val="18"/>
              </w:rPr>
              <w:t>in Gorontalo</w:t>
            </w:r>
            <w:r>
              <w:rPr>
                <w:spacing w:val="-2"/>
                <w:sz w:val="18"/>
              </w:rPr>
              <w:t xml:space="preserve"> </w:t>
            </w:r>
            <w:r>
              <w:rPr>
                <w:sz w:val="18"/>
              </w:rPr>
              <w:t>Province</w:t>
            </w:r>
          </w:p>
        </w:tc>
        <w:tc>
          <w:tcPr>
            <w:tcW w:w="1096" w:type="dxa"/>
            <w:tcBorders>
              <w:top w:val="single" w:sz="4" w:space="0" w:color="A6A6A6"/>
              <w:left w:val="single" w:sz="4" w:space="0" w:color="A6A6A6"/>
              <w:bottom w:val="single" w:sz="4" w:space="0" w:color="A6A6A6"/>
              <w:right w:val="single" w:sz="4" w:space="0" w:color="A6A6A6"/>
            </w:tcBorders>
          </w:tcPr>
          <w:p w14:paraId="59777437" w14:textId="77777777" w:rsidR="00BC24A8" w:rsidRDefault="00000000">
            <w:pPr>
              <w:pStyle w:val="TableParagraph"/>
              <w:spacing w:before="1"/>
              <w:ind w:left="108"/>
              <w:rPr>
                <w:sz w:val="18"/>
              </w:rPr>
            </w:pPr>
            <w:r>
              <w:rPr>
                <w:spacing w:val="-2"/>
                <w:sz w:val="18"/>
              </w:rPr>
              <w:t>Gorontalo</w:t>
            </w:r>
          </w:p>
        </w:tc>
      </w:tr>
      <w:tr w:rsidR="00BC24A8" w14:paraId="75A2F302" w14:textId="77777777">
        <w:trPr>
          <w:trHeight w:val="220"/>
        </w:trPr>
        <w:tc>
          <w:tcPr>
            <w:tcW w:w="552" w:type="dxa"/>
            <w:tcBorders>
              <w:top w:val="single" w:sz="4" w:space="0" w:color="A6A6A6"/>
              <w:left w:val="single" w:sz="4" w:space="0" w:color="A6A6A6"/>
              <w:bottom w:val="single" w:sz="4" w:space="0" w:color="A6A6A6"/>
              <w:right w:val="single" w:sz="4" w:space="0" w:color="A6A6A6"/>
            </w:tcBorders>
          </w:tcPr>
          <w:p w14:paraId="12AFEACB" w14:textId="77777777" w:rsidR="00BC24A8" w:rsidRDefault="00000000">
            <w:pPr>
              <w:pStyle w:val="TableParagraph"/>
              <w:spacing w:before="1" w:line="199" w:lineRule="exact"/>
              <w:ind w:right="96"/>
              <w:jc w:val="right"/>
              <w:rPr>
                <w:sz w:val="18"/>
              </w:rPr>
            </w:pPr>
            <w:r>
              <w:rPr>
                <w:spacing w:val="-5"/>
                <w:sz w:val="18"/>
              </w:rPr>
              <w:t>32</w:t>
            </w:r>
          </w:p>
        </w:tc>
        <w:tc>
          <w:tcPr>
            <w:tcW w:w="955" w:type="dxa"/>
            <w:tcBorders>
              <w:top w:val="single" w:sz="4" w:space="0" w:color="A6A6A6"/>
              <w:left w:val="single" w:sz="4" w:space="0" w:color="A6A6A6"/>
              <w:bottom w:val="single" w:sz="4" w:space="0" w:color="A6A6A6"/>
              <w:right w:val="single" w:sz="4" w:space="0" w:color="A6A6A6"/>
            </w:tcBorders>
          </w:tcPr>
          <w:p w14:paraId="01CF39BA" w14:textId="77777777" w:rsidR="00BC24A8" w:rsidRDefault="00000000">
            <w:pPr>
              <w:pStyle w:val="TableParagraph"/>
              <w:spacing w:before="1" w:line="19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05E64F18" w14:textId="77777777" w:rsidR="00BC24A8" w:rsidRDefault="00000000">
            <w:pPr>
              <w:pStyle w:val="TableParagraph"/>
              <w:spacing w:before="1" w:line="199" w:lineRule="exact"/>
              <w:ind w:left="105"/>
              <w:rPr>
                <w:sz w:val="18"/>
              </w:rPr>
            </w:pPr>
            <w:r>
              <w:rPr>
                <w:sz w:val="18"/>
              </w:rPr>
              <w:t>Strategies</w:t>
            </w:r>
            <w:r>
              <w:rPr>
                <w:spacing w:val="-6"/>
                <w:sz w:val="18"/>
              </w:rPr>
              <w:t xml:space="preserve"> </w:t>
            </w:r>
            <w:r>
              <w:rPr>
                <w:sz w:val="18"/>
              </w:rPr>
              <w:t>for</w:t>
            </w:r>
            <w:r>
              <w:rPr>
                <w:spacing w:val="-5"/>
                <w:sz w:val="18"/>
              </w:rPr>
              <w:t xml:space="preserve"> </w:t>
            </w:r>
            <w:r>
              <w:rPr>
                <w:sz w:val="18"/>
              </w:rPr>
              <w:t>Improving</w:t>
            </w:r>
            <w:r>
              <w:rPr>
                <w:spacing w:val="-6"/>
                <w:sz w:val="18"/>
              </w:rPr>
              <w:t xml:space="preserve"> </w:t>
            </w:r>
            <w:r>
              <w:rPr>
                <w:sz w:val="18"/>
              </w:rPr>
              <w:t>the</w:t>
            </w:r>
            <w:r>
              <w:rPr>
                <w:spacing w:val="-6"/>
                <w:sz w:val="18"/>
              </w:rPr>
              <w:t xml:space="preserve"> </w:t>
            </w:r>
            <w:r>
              <w:rPr>
                <w:sz w:val="18"/>
              </w:rPr>
              <w:t>Quality</w:t>
            </w:r>
            <w:r>
              <w:rPr>
                <w:spacing w:val="-5"/>
                <w:sz w:val="18"/>
              </w:rPr>
              <w:t xml:space="preserve"> </w:t>
            </w:r>
            <w:r>
              <w:rPr>
                <w:sz w:val="18"/>
              </w:rPr>
              <w:t>of</w:t>
            </w:r>
            <w:r>
              <w:rPr>
                <w:spacing w:val="-6"/>
                <w:sz w:val="18"/>
              </w:rPr>
              <w:t xml:space="preserve"> </w:t>
            </w:r>
            <w:r>
              <w:rPr>
                <w:sz w:val="18"/>
              </w:rPr>
              <w:t>Health</w:t>
            </w:r>
            <w:r>
              <w:rPr>
                <w:spacing w:val="-6"/>
                <w:sz w:val="18"/>
              </w:rPr>
              <w:t xml:space="preserve"> </w:t>
            </w:r>
            <w:r>
              <w:rPr>
                <w:sz w:val="18"/>
              </w:rPr>
              <w:t>Services</w:t>
            </w:r>
            <w:r>
              <w:rPr>
                <w:spacing w:val="-5"/>
                <w:sz w:val="18"/>
              </w:rPr>
              <w:t xml:space="preserve"> </w:t>
            </w:r>
            <w:r>
              <w:rPr>
                <w:sz w:val="18"/>
              </w:rPr>
              <w:t>in</w:t>
            </w:r>
            <w:r>
              <w:rPr>
                <w:spacing w:val="-5"/>
                <w:sz w:val="18"/>
              </w:rPr>
              <w:t xml:space="preserve"> </w:t>
            </w:r>
            <w:r>
              <w:rPr>
                <w:sz w:val="18"/>
              </w:rPr>
              <w:t>Transmigration</w:t>
            </w:r>
            <w:r>
              <w:rPr>
                <w:spacing w:val="-6"/>
                <w:sz w:val="18"/>
              </w:rPr>
              <w:t xml:space="preserve"> </w:t>
            </w:r>
            <w:r>
              <w:rPr>
                <w:sz w:val="18"/>
              </w:rPr>
              <w:t>Areas</w:t>
            </w:r>
            <w:r>
              <w:rPr>
                <w:spacing w:val="-5"/>
                <w:sz w:val="18"/>
              </w:rPr>
              <w:t xml:space="preserve"> </w:t>
            </w:r>
            <w:r>
              <w:rPr>
                <w:sz w:val="18"/>
              </w:rPr>
              <w:t>in</w:t>
            </w:r>
            <w:r>
              <w:rPr>
                <w:spacing w:val="-5"/>
                <w:sz w:val="18"/>
              </w:rPr>
              <w:t xml:space="preserve"> </w:t>
            </w:r>
            <w:r>
              <w:rPr>
                <w:spacing w:val="-2"/>
                <w:sz w:val="18"/>
              </w:rPr>
              <w:t>Kaltara</w:t>
            </w:r>
          </w:p>
        </w:tc>
        <w:tc>
          <w:tcPr>
            <w:tcW w:w="1096" w:type="dxa"/>
            <w:tcBorders>
              <w:top w:val="single" w:sz="4" w:space="0" w:color="A6A6A6"/>
              <w:left w:val="single" w:sz="4" w:space="0" w:color="A6A6A6"/>
              <w:bottom w:val="single" w:sz="4" w:space="0" w:color="A6A6A6"/>
              <w:right w:val="single" w:sz="4" w:space="0" w:color="A6A6A6"/>
            </w:tcBorders>
          </w:tcPr>
          <w:p w14:paraId="6F74F9E0" w14:textId="77777777" w:rsidR="00BC24A8" w:rsidRDefault="00000000">
            <w:pPr>
              <w:pStyle w:val="TableParagraph"/>
              <w:spacing w:before="1" w:line="199" w:lineRule="exact"/>
              <w:ind w:left="108"/>
              <w:rPr>
                <w:sz w:val="18"/>
              </w:rPr>
            </w:pPr>
            <w:r>
              <w:rPr>
                <w:spacing w:val="-2"/>
                <w:sz w:val="18"/>
              </w:rPr>
              <w:t>KALTARA</w:t>
            </w:r>
          </w:p>
        </w:tc>
      </w:tr>
      <w:tr w:rsidR="00BC24A8" w14:paraId="7F786B40"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07519355" w14:textId="77777777" w:rsidR="00BC24A8" w:rsidRDefault="00000000">
            <w:pPr>
              <w:pStyle w:val="TableParagraph"/>
              <w:spacing w:line="219" w:lineRule="exact"/>
              <w:ind w:right="96"/>
              <w:jc w:val="right"/>
              <w:rPr>
                <w:sz w:val="18"/>
              </w:rPr>
            </w:pPr>
            <w:r>
              <w:rPr>
                <w:spacing w:val="-5"/>
                <w:sz w:val="18"/>
              </w:rPr>
              <w:t>33</w:t>
            </w:r>
          </w:p>
        </w:tc>
        <w:tc>
          <w:tcPr>
            <w:tcW w:w="955" w:type="dxa"/>
            <w:tcBorders>
              <w:top w:val="single" w:sz="4" w:space="0" w:color="A6A6A6"/>
              <w:left w:val="single" w:sz="4" w:space="0" w:color="A6A6A6"/>
              <w:bottom w:val="single" w:sz="4" w:space="0" w:color="A6A6A6"/>
              <w:right w:val="single" w:sz="4" w:space="0" w:color="A6A6A6"/>
            </w:tcBorders>
          </w:tcPr>
          <w:p w14:paraId="5F8DE43E"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6179F97C" w14:textId="77777777" w:rsidR="00BC24A8" w:rsidRDefault="00000000">
            <w:pPr>
              <w:pStyle w:val="TableParagraph"/>
              <w:ind w:left="105"/>
              <w:rPr>
                <w:sz w:val="18"/>
              </w:rPr>
            </w:pPr>
            <w:r>
              <w:rPr>
                <w:sz w:val="18"/>
              </w:rPr>
              <w:t>Strategies</w:t>
            </w:r>
            <w:r>
              <w:rPr>
                <w:spacing w:val="-11"/>
                <w:sz w:val="18"/>
              </w:rPr>
              <w:t xml:space="preserve"> </w:t>
            </w:r>
            <w:r>
              <w:rPr>
                <w:sz w:val="18"/>
              </w:rPr>
              <w:t>for</w:t>
            </w:r>
            <w:r>
              <w:rPr>
                <w:spacing w:val="-10"/>
                <w:sz w:val="18"/>
              </w:rPr>
              <w:t xml:space="preserve"> </w:t>
            </w:r>
            <w:r>
              <w:rPr>
                <w:sz w:val="18"/>
              </w:rPr>
              <w:t>Addressing</w:t>
            </w:r>
            <w:r>
              <w:rPr>
                <w:spacing w:val="-10"/>
                <w:sz w:val="18"/>
              </w:rPr>
              <w:t xml:space="preserve"> </w:t>
            </w:r>
            <w:r>
              <w:rPr>
                <w:sz w:val="18"/>
              </w:rPr>
              <w:t>Out-of-School</w:t>
            </w:r>
            <w:r>
              <w:rPr>
                <w:spacing w:val="-10"/>
                <w:sz w:val="18"/>
              </w:rPr>
              <w:t xml:space="preserve"> </w:t>
            </w:r>
            <w:r>
              <w:rPr>
                <w:sz w:val="18"/>
              </w:rPr>
              <w:t>Children</w:t>
            </w:r>
            <w:r>
              <w:rPr>
                <w:spacing w:val="-10"/>
                <w:sz w:val="18"/>
              </w:rPr>
              <w:t xml:space="preserve"> </w:t>
            </w:r>
            <w:r>
              <w:rPr>
                <w:sz w:val="18"/>
              </w:rPr>
              <w:t>and</w:t>
            </w:r>
            <w:r>
              <w:rPr>
                <w:spacing w:val="-11"/>
                <w:sz w:val="18"/>
              </w:rPr>
              <w:t xml:space="preserve"> </w:t>
            </w:r>
            <w:r>
              <w:rPr>
                <w:sz w:val="18"/>
              </w:rPr>
              <w:t>Children</w:t>
            </w:r>
            <w:r>
              <w:rPr>
                <w:spacing w:val="-10"/>
                <w:sz w:val="18"/>
              </w:rPr>
              <w:t xml:space="preserve"> </w:t>
            </w:r>
            <w:r>
              <w:rPr>
                <w:sz w:val="18"/>
              </w:rPr>
              <w:t>at</w:t>
            </w:r>
            <w:r>
              <w:rPr>
                <w:spacing w:val="-10"/>
                <w:sz w:val="18"/>
              </w:rPr>
              <w:t xml:space="preserve"> </w:t>
            </w:r>
            <w:r>
              <w:rPr>
                <w:sz w:val="18"/>
              </w:rPr>
              <w:t>Risk</w:t>
            </w:r>
            <w:r>
              <w:rPr>
                <w:spacing w:val="-10"/>
                <w:sz w:val="18"/>
              </w:rPr>
              <w:t xml:space="preserve"> </w:t>
            </w:r>
            <w:r>
              <w:rPr>
                <w:sz w:val="18"/>
              </w:rPr>
              <w:t>of</w:t>
            </w:r>
            <w:r>
              <w:rPr>
                <w:spacing w:val="-10"/>
                <w:sz w:val="18"/>
              </w:rPr>
              <w:t xml:space="preserve"> </w:t>
            </w:r>
            <w:r>
              <w:rPr>
                <w:sz w:val="18"/>
              </w:rPr>
              <w:t>Dropping</w:t>
            </w:r>
            <w:r>
              <w:rPr>
                <w:spacing w:val="-10"/>
                <w:sz w:val="18"/>
              </w:rPr>
              <w:t xml:space="preserve"> </w:t>
            </w:r>
            <w:r>
              <w:rPr>
                <w:sz w:val="18"/>
              </w:rPr>
              <w:t>Out</w:t>
            </w:r>
            <w:r>
              <w:rPr>
                <w:spacing w:val="-11"/>
                <w:sz w:val="18"/>
              </w:rPr>
              <w:t xml:space="preserve"> </w:t>
            </w:r>
            <w:r>
              <w:rPr>
                <w:sz w:val="18"/>
              </w:rPr>
              <w:t>of</w:t>
            </w:r>
            <w:r>
              <w:rPr>
                <w:spacing w:val="-10"/>
                <w:sz w:val="18"/>
              </w:rPr>
              <w:t xml:space="preserve"> </w:t>
            </w:r>
            <w:r>
              <w:rPr>
                <w:sz w:val="18"/>
              </w:rPr>
              <w:t>School to Support the Achievement of SDGs in KALTARA</w:t>
            </w:r>
          </w:p>
        </w:tc>
        <w:tc>
          <w:tcPr>
            <w:tcW w:w="1096" w:type="dxa"/>
            <w:tcBorders>
              <w:top w:val="single" w:sz="4" w:space="0" w:color="A6A6A6"/>
              <w:left w:val="single" w:sz="4" w:space="0" w:color="A6A6A6"/>
              <w:bottom w:val="single" w:sz="4" w:space="0" w:color="A6A6A6"/>
              <w:right w:val="single" w:sz="4" w:space="0" w:color="A6A6A6"/>
            </w:tcBorders>
          </w:tcPr>
          <w:p w14:paraId="1F64F785" w14:textId="77777777" w:rsidR="00BC24A8" w:rsidRDefault="00000000">
            <w:pPr>
              <w:pStyle w:val="TableParagraph"/>
              <w:spacing w:line="219" w:lineRule="exact"/>
              <w:ind w:left="108"/>
              <w:rPr>
                <w:sz w:val="18"/>
              </w:rPr>
            </w:pPr>
            <w:r>
              <w:rPr>
                <w:spacing w:val="-2"/>
                <w:sz w:val="18"/>
              </w:rPr>
              <w:t>KALTARA</w:t>
            </w:r>
          </w:p>
        </w:tc>
      </w:tr>
      <w:tr w:rsidR="00BC24A8" w14:paraId="794DB215" w14:textId="77777777">
        <w:trPr>
          <w:trHeight w:val="220"/>
        </w:trPr>
        <w:tc>
          <w:tcPr>
            <w:tcW w:w="552" w:type="dxa"/>
            <w:tcBorders>
              <w:top w:val="single" w:sz="4" w:space="0" w:color="A6A6A6"/>
              <w:left w:val="single" w:sz="4" w:space="0" w:color="A6A6A6"/>
              <w:bottom w:val="single" w:sz="4" w:space="0" w:color="A6A6A6"/>
              <w:right w:val="single" w:sz="4" w:space="0" w:color="A6A6A6"/>
            </w:tcBorders>
          </w:tcPr>
          <w:p w14:paraId="49B77075" w14:textId="77777777" w:rsidR="00BC24A8" w:rsidRDefault="00000000">
            <w:pPr>
              <w:pStyle w:val="TableParagraph"/>
              <w:spacing w:before="1" w:line="199" w:lineRule="exact"/>
              <w:ind w:right="96"/>
              <w:jc w:val="right"/>
              <w:rPr>
                <w:sz w:val="18"/>
              </w:rPr>
            </w:pPr>
            <w:r>
              <w:rPr>
                <w:spacing w:val="-5"/>
                <w:sz w:val="18"/>
              </w:rPr>
              <w:t>34</w:t>
            </w:r>
          </w:p>
        </w:tc>
        <w:tc>
          <w:tcPr>
            <w:tcW w:w="955" w:type="dxa"/>
            <w:tcBorders>
              <w:top w:val="single" w:sz="4" w:space="0" w:color="A6A6A6"/>
              <w:left w:val="single" w:sz="4" w:space="0" w:color="A6A6A6"/>
              <w:bottom w:val="single" w:sz="4" w:space="0" w:color="A6A6A6"/>
              <w:right w:val="single" w:sz="4" w:space="0" w:color="A6A6A6"/>
            </w:tcBorders>
          </w:tcPr>
          <w:p w14:paraId="1D621C3C" w14:textId="77777777" w:rsidR="00BC24A8" w:rsidRDefault="00000000">
            <w:pPr>
              <w:pStyle w:val="TableParagraph"/>
              <w:spacing w:before="1" w:line="19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57E1FA92" w14:textId="77777777" w:rsidR="00BC24A8" w:rsidRDefault="00000000">
            <w:pPr>
              <w:pStyle w:val="TableParagraph"/>
              <w:spacing w:before="1" w:line="199" w:lineRule="exact"/>
              <w:ind w:left="105"/>
              <w:rPr>
                <w:sz w:val="18"/>
              </w:rPr>
            </w:pPr>
            <w:r>
              <w:rPr>
                <w:sz w:val="18"/>
              </w:rPr>
              <w:t>Accessibility</w:t>
            </w:r>
            <w:r>
              <w:rPr>
                <w:spacing w:val="-6"/>
                <w:sz w:val="18"/>
              </w:rPr>
              <w:t xml:space="preserve"> </w:t>
            </w:r>
            <w:r>
              <w:rPr>
                <w:sz w:val="18"/>
              </w:rPr>
              <w:t>System</w:t>
            </w:r>
            <w:r>
              <w:rPr>
                <w:spacing w:val="-6"/>
                <w:sz w:val="18"/>
              </w:rPr>
              <w:t xml:space="preserve"> </w:t>
            </w:r>
            <w:r>
              <w:rPr>
                <w:sz w:val="18"/>
              </w:rPr>
              <w:t>and</w:t>
            </w:r>
            <w:r>
              <w:rPr>
                <w:spacing w:val="-5"/>
                <w:sz w:val="18"/>
              </w:rPr>
              <w:t xml:space="preserve"> </w:t>
            </w:r>
            <w:r>
              <w:rPr>
                <w:sz w:val="18"/>
              </w:rPr>
              <w:t>Tax</w:t>
            </w:r>
            <w:r>
              <w:rPr>
                <w:spacing w:val="-6"/>
                <w:sz w:val="18"/>
              </w:rPr>
              <w:t xml:space="preserve"> </w:t>
            </w:r>
            <w:r>
              <w:rPr>
                <w:sz w:val="18"/>
              </w:rPr>
              <w:t>Discount</w:t>
            </w:r>
            <w:r>
              <w:rPr>
                <w:spacing w:val="-4"/>
                <w:sz w:val="18"/>
              </w:rPr>
              <w:t xml:space="preserve"> </w:t>
            </w:r>
            <w:r>
              <w:rPr>
                <w:sz w:val="18"/>
              </w:rPr>
              <w:t>for</w:t>
            </w:r>
            <w:r>
              <w:rPr>
                <w:spacing w:val="-5"/>
                <w:sz w:val="18"/>
              </w:rPr>
              <w:t xml:space="preserve"> </w:t>
            </w:r>
            <w:r>
              <w:rPr>
                <w:sz w:val="18"/>
              </w:rPr>
              <w:t>People</w:t>
            </w:r>
            <w:r>
              <w:rPr>
                <w:spacing w:val="-5"/>
                <w:sz w:val="18"/>
              </w:rPr>
              <w:t xml:space="preserve"> </w:t>
            </w:r>
            <w:r>
              <w:rPr>
                <w:sz w:val="18"/>
              </w:rPr>
              <w:t>with</w:t>
            </w:r>
            <w:r>
              <w:rPr>
                <w:spacing w:val="-6"/>
                <w:sz w:val="18"/>
              </w:rPr>
              <w:t xml:space="preserve"> </w:t>
            </w:r>
            <w:r>
              <w:rPr>
                <w:sz w:val="18"/>
              </w:rPr>
              <w:t>Disabilities</w:t>
            </w:r>
            <w:r>
              <w:rPr>
                <w:spacing w:val="-7"/>
                <w:sz w:val="18"/>
              </w:rPr>
              <w:t xml:space="preserve"> </w:t>
            </w:r>
            <w:r>
              <w:rPr>
                <w:sz w:val="18"/>
              </w:rPr>
              <w:t>in</w:t>
            </w:r>
            <w:r>
              <w:rPr>
                <w:spacing w:val="-8"/>
                <w:sz w:val="18"/>
              </w:rPr>
              <w:t xml:space="preserve"> </w:t>
            </w:r>
            <w:r>
              <w:rPr>
                <w:sz w:val="18"/>
              </w:rPr>
              <w:t>Bumi</w:t>
            </w:r>
            <w:r>
              <w:rPr>
                <w:spacing w:val="-4"/>
                <w:sz w:val="18"/>
              </w:rPr>
              <w:t xml:space="preserve"> </w:t>
            </w:r>
            <w:r>
              <w:rPr>
                <w:spacing w:val="-2"/>
                <w:sz w:val="18"/>
              </w:rPr>
              <w:t>Benuanta</w:t>
            </w:r>
          </w:p>
        </w:tc>
        <w:tc>
          <w:tcPr>
            <w:tcW w:w="1096" w:type="dxa"/>
            <w:tcBorders>
              <w:top w:val="single" w:sz="4" w:space="0" w:color="A6A6A6"/>
              <w:left w:val="single" w:sz="4" w:space="0" w:color="A6A6A6"/>
              <w:bottom w:val="single" w:sz="4" w:space="0" w:color="A6A6A6"/>
              <w:right w:val="single" w:sz="4" w:space="0" w:color="A6A6A6"/>
            </w:tcBorders>
          </w:tcPr>
          <w:p w14:paraId="1356858A" w14:textId="77777777" w:rsidR="00BC24A8" w:rsidRDefault="00000000">
            <w:pPr>
              <w:pStyle w:val="TableParagraph"/>
              <w:spacing w:before="1" w:line="199" w:lineRule="exact"/>
              <w:ind w:left="108"/>
              <w:rPr>
                <w:sz w:val="18"/>
              </w:rPr>
            </w:pPr>
            <w:r>
              <w:rPr>
                <w:spacing w:val="-2"/>
                <w:sz w:val="18"/>
              </w:rPr>
              <w:t>KALTARA</w:t>
            </w:r>
          </w:p>
        </w:tc>
      </w:tr>
      <w:tr w:rsidR="00BC24A8" w14:paraId="43FD5B49"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34B5BD40" w14:textId="77777777" w:rsidR="00BC24A8" w:rsidRDefault="00000000">
            <w:pPr>
              <w:pStyle w:val="TableParagraph"/>
              <w:spacing w:line="219" w:lineRule="exact"/>
              <w:ind w:right="96"/>
              <w:jc w:val="right"/>
              <w:rPr>
                <w:sz w:val="18"/>
              </w:rPr>
            </w:pPr>
            <w:r>
              <w:rPr>
                <w:spacing w:val="-5"/>
                <w:sz w:val="18"/>
              </w:rPr>
              <w:t>35</w:t>
            </w:r>
          </w:p>
        </w:tc>
        <w:tc>
          <w:tcPr>
            <w:tcW w:w="955" w:type="dxa"/>
            <w:tcBorders>
              <w:top w:val="single" w:sz="4" w:space="0" w:color="A6A6A6"/>
              <w:left w:val="single" w:sz="4" w:space="0" w:color="A6A6A6"/>
              <w:bottom w:val="single" w:sz="4" w:space="0" w:color="A6A6A6"/>
              <w:right w:val="single" w:sz="4" w:space="0" w:color="A6A6A6"/>
            </w:tcBorders>
          </w:tcPr>
          <w:p w14:paraId="3B2A1033"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57BC4719" w14:textId="77777777" w:rsidR="00BC24A8" w:rsidRDefault="00000000">
            <w:pPr>
              <w:pStyle w:val="TableParagraph"/>
              <w:ind w:left="105"/>
              <w:rPr>
                <w:sz w:val="18"/>
              </w:rPr>
            </w:pPr>
            <w:r>
              <w:rPr>
                <w:sz w:val="18"/>
              </w:rPr>
              <w:t>Strengthening</w:t>
            </w:r>
            <w:r>
              <w:rPr>
                <w:spacing w:val="32"/>
                <w:sz w:val="18"/>
              </w:rPr>
              <w:t xml:space="preserve"> </w:t>
            </w:r>
            <w:r>
              <w:rPr>
                <w:sz w:val="18"/>
              </w:rPr>
              <w:t>Reproductive</w:t>
            </w:r>
            <w:r>
              <w:rPr>
                <w:spacing w:val="32"/>
                <w:sz w:val="18"/>
              </w:rPr>
              <w:t xml:space="preserve"> </w:t>
            </w:r>
            <w:r>
              <w:rPr>
                <w:sz w:val="18"/>
              </w:rPr>
              <w:t>Health</w:t>
            </w:r>
            <w:r>
              <w:rPr>
                <w:spacing w:val="32"/>
                <w:sz w:val="18"/>
              </w:rPr>
              <w:t xml:space="preserve"> </w:t>
            </w:r>
            <w:r>
              <w:rPr>
                <w:sz w:val="18"/>
              </w:rPr>
              <w:t>Education</w:t>
            </w:r>
            <w:r>
              <w:rPr>
                <w:spacing w:val="30"/>
                <w:sz w:val="18"/>
              </w:rPr>
              <w:t xml:space="preserve"> </w:t>
            </w:r>
            <w:r>
              <w:rPr>
                <w:sz w:val="18"/>
              </w:rPr>
              <w:t>in</w:t>
            </w:r>
            <w:r>
              <w:rPr>
                <w:spacing w:val="32"/>
                <w:sz w:val="18"/>
              </w:rPr>
              <w:t xml:space="preserve"> </w:t>
            </w:r>
            <w:r>
              <w:rPr>
                <w:sz w:val="18"/>
              </w:rPr>
              <w:t>Schools</w:t>
            </w:r>
            <w:r>
              <w:rPr>
                <w:spacing w:val="32"/>
                <w:sz w:val="18"/>
              </w:rPr>
              <w:t xml:space="preserve"> </w:t>
            </w:r>
            <w:r>
              <w:rPr>
                <w:sz w:val="18"/>
              </w:rPr>
              <w:t>to</w:t>
            </w:r>
            <w:r>
              <w:rPr>
                <w:spacing w:val="32"/>
                <w:sz w:val="18"/>
              </w:rPr>
              <w:t xml:space="preserve"> </w:t>
            </w:r>
            <w:r>
              <w:rPr>
                <w:sz w:val="18"/>
              </w:rPr>
              <w:t>Prevent</w:t>
            </w:r>
            <w:r>
              <w:rPr>
                <w:spacing w:val="33"/>
                <w:sz w:val="18"/>
              </w:rPr>
              <w:t xml:space="preserve"> </w:t>
            </w:r>
            <w:r>
              <w:rPr>
                <w:sz w:val="18"/>
              </w:rPr>
              <w:t>Child</w:t>
            </w:r>
            <w:r>
              <w:rPr>
                <w:spacing w:val="32"/>
                <w:sz w:val="18"/>
              </w:rPr>
              <w:t xml:space="preserve"> </w:t>
            </w:r>
            <w:r>
              <w:rPr>
                <w:sz w:val="18"/>
              </w:rPr>
              <w:t>Marriage</w:t>
            </w:r>
            <w:r>
              <w:rPr>
                <w:spacing w:val="32"/>
                <w:sz w:val="18"/>
              </w:rPr>
              <w:t xml:space="preserve"> </w:t>
            </w:r>
            <w:r>
              <w:rPr>
                <w:sz w:val="18"/>
              </w:rPr>
              <w:t>as</w:t>
            </w:r>
            <w:r>
              <w:rPr>
                <w:spacing w:val="32"/>
                <w:sz w:val="18"/>
              </w:rPr>
              <w:t xml:space="preserve"> </w:t>
            </w:r>
            <w:r>
              <w:rPr>
                <w:sz w:val="18"/>
              </w:rPr>
              <w:t>an Investment in the Character of the Golden Generation</w:t>
            </w:r>
          </w:p>
        </w:tc>
        <w:tc>
          <w:tcPr>
            <w:tcW w:w="1096" w:type="dxa"/>
            <w:tcBorders>
              <w:top w:val="single" w:sz="4" w:space="0" w:color="A6A6A6"/>
              <w:left w:val="single" w:sz="4" w:space="0" w:color="A6A6A6"/>
              <w:bottom w:val="single" w:sz="4" w:space="0" w:color="A6A6A6"/>
              <w:right w:val="single" w:sz="4" w:space="0" w:color="A6A6A6"/>
            </w:tcBorders>
          </w:tcPr>
          <w:p w14:paraId="6D006A5D" w14:textId="77777777" w:rsidR="00BC24A8" w:rsidRDefault="00000000">
            <w:pPr>
              <w:pStyle w:val="TableParagraph"/>
              <w:spacing w:line="219" w:lineRule="exact"/>
              <w:ind w:left="108"/>
              <w:rPr>
                <w:sz w:val="18"/>
              </w:rPr>
            </w:pPr>
            <w:r>
              <w:rPr>
                <w:spacing w:val="-2"/>
                <w:sz w:val="18"/>
              </w:rPr>
              <w:t>KALTARA</w:t>
            </w:r>
          </w:p>
        </w:tc>
      </w:tr>
      <w:tr w:rsidR="00BC24A8" w14:paraId="74A11793"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69A3CFC4" w14:textId="77777777" w:rsidR="00BC24A8" w:rsidRDefault="00000000">
            <w:pPr>
              <w:pStyle w:val="TableParagraph"/>
              <w:spacing w:before="1"/>
              <w:ind w:right="96"/>
              <w:jc w:val="right"/>
              <w:rPr>
                <w:sz w:val="18"/>
              </w:rPr>
            </w:pPr>
            <w:r>
              <w:rPr>
                <w:spacing w:val="-5"/>
                <w:sz w:val="18"/>
              </w:rPr>
              <w:t>36</w:t>
            </w:r>
          </w:p>
        </w:tc>
        <w:tc>
          <w:tcPr>
            <w:tcW w:w="955" w:type="dxa"/>
            <w:tcBorders>
              <w:top w:val="single" w:sz="4" w:space="0" w:color="A6A6A6"/>
              <w:left w:val="single" w:sz="4" w:space="0" w:color="A6A6A6"/>
              <w:bottom w:val="single" w:sz="4" w:space="0" w:color="A6A6A6"/>
              <w:right w:val="single" w:sz="4" w:space="0" w:color="A6A6A6"/>
            </w:tcBorders>
          </w:tcPr>
          <w:p w14:paraId="4C6680A6"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1362301B" w14:textId="77777777" w:rsidR="00BC24A8" w:rsidRDefault="00000000">
            <w:pPr>
              <w:pStyle w:val="TableParagraph"/>
              <w:spacing w:before="1"/>
              <w:ind w:left="105"/>
              <w:rPr>
                <w:sz w:val="18"/>
              </w:rPr>
            </w:pPr>
            <w:r>
              <w:rPr>
                <w:sz w:val="18"/>
              </w:rPr>
              <w:t>Strengthening</w:t>
            </w:r>
            <w:r>
              <w:rPr>
                <w:spacing w:val="-10"/>
                <w:sz w:val="18"/>
              </w:rPr>
              <w:t xml:space="preserve"> </w:t>
            </w:r>
            <w:r>
              <w:rPr>
                <w:sz w:val="18"/>
              </w:rPr>
              <w:t>One</w:t>
            </w:r>
            <w:r>
              <w:rPr>
                <w:spacing w:val="-9"/>
                <w:sz w:val="18"/>
              </w:rPr>
              <w:t xml:space="preserve"> </w:t>
            </w:r>
            <w:r>
              <w:rPr>
                <w:sz w:val="18"/>
              </w:rPr>
              <w:t>Data</w:t>
            </w:r>
            <w:r>
              <w:rPr>
                <w:spacing w:val="-9"/>
                <w:sz w:val="18"/>
              </w:rPr>
              <w:t xml:space="preserve"> </w:t>
            </w:r>
            <w:r>
              <w:rPr>
                <w:sz w:val="18"/>
              </w:rPr>
              <w:t>Indonesia</w:t>
            </w:r>
            <w:r>
              <w:rPr>
                <w:spacing w:val="-10"/>
                <w:sz w:val="18"/>
              </w:rPr>
              <w:t xml:space="preserve"> </w:t>
            </w:r>
            <w:r>
              <w:rPr>
                <w:sz w:val="18"/>
              </w:rPr>
              <w:t>in</w:t>
            </w:r>
            <w:r>
              <w:rPr>
                <w:spacing w:val="-9"/>
                <w:sz w:val="18"/>
              </w:rPr>
              <w:t xml:space="preserve"> </w:t>
            </w:r>
            <w:r>
              <w:rPr>
                <w:sz w:val="18"/>
              </w:rPr>
              <w:t>KALTARA</w:t>
            </w:r>
            <w:r>
              <w:rPr>
                <w:spacing w:val="-9"/>
                <w:sz w:val="18"/>
              </w:rPr>
              <w:t xml:space="preserve"> </w:t>
            </w:r>
            <w:r>
              <w:rPr>
                <w:spacing w:val="-4"/>
                <w:sz w:val="18"/>
              </w:rPr>
              <w:t>Prov</w:t>
            </w:r>
          </w:p>
        </w:tc>
        <w:tc>
          <w:tcPr>
            <w:tcW w:w="1096" w:type="dxa"/>
            <w:tcBorders>
              <w:top w:val="single" w:sz="4" w:space="0" w:color="A6A6A6"/>
              <w:left w:val="single" w:sz="4" w:space="0" w:color="A6A6A6"/>
              <w:bottom w:val="single" w:sz="4" w:space="0" w:color="A6A6A6"/>
              <w:right w:val="single" w:sz="4" w:space="0" w:color="A6A6A6"/>
            </w:tcBorders>
          </w:tcPr>
          <w:p w14:paraId="38DC4072" w14:textId="77777777" w:rsidR="00BC24A8" w:rsidRDefault="00000000">
            <w:pPr>
              <w:pStyle w:val="TableParagraph"/>
              <w:spacing w:before="1"/>
              <w:ind w:left="108"/>
              <w:rPr>
                <w:sz w:val="18"/>
              </w:rPr>
            </w:pPr>
            <w:r>
              <w:rPr>
                <w:spacing w:val="-2"/>
                <w:sz w:val="18"/>
              </w:rPr>
              <w:t>KALTARA</w:t>
            </w:r>
          </w:p>
        </w:tc>
      </w:tr>
    </w:tbl>
    <w:p w14:paraId="63124B26" w14:textId="77777777" w:rsidR="00BC24A8" w:rsidRDefault="00BC24A8">
      <w:pPr>
        <w:pStyle w:val="TableParagraph"/>
        <w:rPr>
          <w:sz w:val="18"/>
        </w:rPr>
        <w:sectPr w:rsidR="00BC24A8">
          <w:pgSz w:w="11910" w:h="16840"/>
          <w:pgMar w:top="1320" w:right="850" w:bottom="1704" w:left="1275" w:header="0" w:footer="907"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955"/>
        <w:gridCol w:w="6993"/>
        <w:gridCol w:w="1096"/>
      </w:tblGrid>
      <w:tr w:rsidR="00BC24A8" w14:paraId="7E61D364" w14:textId="77777777">
        <w:trPr>
          <w:trHeight w:val="414"/>
        </w:trPr>
        <w:tc>
          <w:tcPr>
            <w:tcW w:w="552" w:type="dxa"/>
            <w:tcBorders>
              <w:bottom w:val="single" w:sz="4" w:space="0" w:color="A6A6A6"/>
              <w:right w:val="single" w:sz="18" w:space="0" w:color="F1F1F1"/>
            </w:tcBorders>
            <w:shd w:val="clear" w:color="auto" w:fill="17365A"/>
          </w:tcPr>
          <w:p w14:paraId="4FD9EE9C" w14:textId="77777777" w:rsidR="00BC24A8" w:rsidRDefault="00000000">
            <w:pPr>
              <w:pStyle w:val="TableParagraph"/>
              <w:spacing w:before="87"/>
              <w:ind w:right="126"/>
              <w:jc w:val="right"/>
              <w:rPr>
                <w:rFonts w:ascii="Calibri"/>
                <w:b/>
                <w:sz w:val="20"/>
              </w:rPr>
            </w:pPr>
            <w:r>
              <w:rPr>
                <w:rFonts w:ascii="Calibri"/>
                <w:b/>
                <w:color w:val="FFFFFF"/>
                <w:spacing w:val="-5"/>
                <w:sz w:val="20"/>
              </w:rPr>
              <w:lastRenderedPageBreak/>
              <w:t>No</w:t>
            </w:r>
          </w:p>
        </w:tc>
        <w:tc>
          <w:tcPr>
            <w:tcW w:w="955" w:type="dxa"/>
            <w:tcBorders>
              <w:left w:val="single" w:sz="18" w:space="0" w:color="F1F1F1"/>
              <w:bottom w:val="single" w:sz="4" w:space="0" w:color="A6A6A6"/>
              <w:right w:val="single" w:sz="18" w:space="0" w:color="F1F1F1"/>
            </w:tcBorders>
            <w:shd w:val="clear" w:color="auto" w:fill="17365A"/>
          </w:tcPr>
          <w:p w14:paraId="76A3AF89" w14:textId="77777777" w:rsidR="00BC24A8" w:rsidRDefault="00000000">
            <w:pPr>
              <w:pStyle w:val="TableParagraph"/>
              <w:spacing w:before="87"/>
              <w:ind w:left="188"/>
              <w:rPr>
                <w:rFonts w:ascii="Calibri"/>
                <w:b/>
                <w:sz w:val="20"/>
              </w:rPr>
            </w:pPr>
            <w:r>
              <w:rPr>
                <w:rFonts w:ascii="Calibri"/>
                <w:b/>
                <w:color w:val="FFFFFF"/>
                <w:spacing w:val="-2"/>
                <w:sz w:val="20"/>
              </w:rPr>
              <w:t>Period</w:t>
            </w:r>
          </w:p>
        </w:tc>
        <w:tc>
          <w:tcPr>
            <w:tcW w:w="6993" w:type="dxa"/>
            <w:tcBorders>
              <w:left w:val="single" w:sz="18" w:space="0" w:color="F1F1F1"/>
              <w:bottom w:val="single" w:sz="4" w:space="0" w:color="A6A6A6"/>
              <w:right w:val="single" w:sz="18" w:space="0" w:color="F1F1F1"/>
            </w:tcBorders>
            <w:shd w:val="clear" w:color="auto" w:fill="17365A"/>
          </w:tcPr>
          <w:p w14:paraId="009204F2" w14:textId="77777777" w:rsidR="00BC24A8" w:rsidRDefault="00000000">
            <w:pPr>
              <w:pStyle w:val="TableParagraph"/>
              <w:spacing w:before="87"/>
              <w:ind w:left="3"/>
              <w:jc w:val="center"/>
              <w:rPr>
                <w:rFonts w:ascii="Calibri"/>
                <w:b/>
                <w:sz w:val="20"/>
              </w:rPr>
            </w:pPr>
            <w:r>
              <w:rPr>
                <w:rFonts w:ascii="Calibri"/>
                <w:b/>
                <w:color w:val="FFFFFF"/>
                <w:sz w:val="20"/>
              </w:rPr>
              <w:t>Document</w:t>
            </w:r>
            <w:r>
              <w:rPr>
                <w:rFonts w:ascii="Calibri"/>
                <w:b/>
                <w:color w:val="FFFFFF"/>
                <w:spacing w:val="-10"/>
                <w:sz w:val="20"/>
              </w:rPr>
              <w:t xml:space="preserve"> </w:t>
            </w:r>
            <w:r>
              <w:rPr>
                <w:rFonts w:ascii="Calibri"/>
                <w:b/>
                <w:color w:val="FFFFFF"/>
                <w:spacing w:val="-2"/>
                <w:sz w:val="20"/>
              </w:rPr>
              <w:t>Title</w:t>
            </w:r>
          </w:p>
        </w:tc>
        <w:tc>
          <w:tcPr>
            <w:tcW w:w="1096" w:type="dxa"/>
            <w:tcBorders>
              <w:left w:val="single" w:sz="18" w:space="0" w:color="F1F1F1"/>
              <w:bottom w:val="single" w:sz="4" w:space="0" w:color="A6A6A6"/>
            </w:tcBorders>
            <w:shd w:val="clear" w:color="auto" w:fill="17365A"/>
          </w:tcPr>
          <w:p w14:paraId="7CD47A39" w14:textId="77777777" w:rsidR="00BC24A8" w:rsidRDefault="00000000">
            <w:pPr>
              <w:pStyle w:val="TableParagraph"/>
              <w:spacing w:before="87"/>
              <w:ind w:left="172"/>
              <w:rPr>
                <w:rFonts w:ascii="Calibri"/>
                <w:b/>
                <w:sz w:val="20"/>
              </w:rPr>
            </w:pPr>
            <w:r>
              <w:rPr>
                <w:rFonts w:ascii="Calibri"/>
                <w:b/>
                <w:color w:val="FFFFFF"/>
                <w:spacing w:val="-2"/>
                <w:sz w:val="20"/>
              </w:rPr>
              <w:t>Province</w:t>
            </w:r>
          </w:p>
        </w:tc>
      </w:tr>
      <w:tr w:rsidR="00BC24A8" w14:paraId="20E142B3"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09F7A449" w14:textId="77777777" w:rsidR="00BC24A8" w:rsidRDefault="00000000">
            <w:pPr>
              <w:pStyle w:val="TableParagraph"/>
              <w:spacing w:before="1"/>
              <w:ind w:right="96"/>
              <w:jc w:val="right"/>
              <w:rPr>
                <w:sz w:val="18"/>
              </w:rPr>
            </w:pPr>
            <w:r>
              <w:rPr>
                <w:spacing w:val="-5"/>
                <w:sz w:val="18"/>
              </w:rPr>
              <w:t>37</w:t>
            </w:r>
          </w:p>
        </w:tc>
        <w:tc>
          <w:tcPr>
            <w:tcW w:w="955" w:type="dxa"/>
            <w:tcBorders>
              <w:top w:val="single" w:sz="4" w:space="0" w:color="A6A6A6"/>
              <w:left w:val="single" w:sz="4" w:space="0" w:color="A6A6A6"/>
              <w:bottom w:val="single" w:sz="4" w:space="0" w:color="A6A6A6"/>
              <w:right w:val="single" w:sz="4" w:space="0" w:color="A6A6A6"/>
            </w:tcBorders>
          </w:tcPr>
          <w:p w14:paraId="7C6628DB"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763A5D6E" w14:textId="77777777" w:rsidR="00BC24A8" w:rsidRDefault="00000000">
            <w:pPr>
              <w:pStyle w:val="TableParagraph"/>
              <w:spacing w:before="1"/>
              <w:ind w:left="105"/>
              <w:rPr>
                <w:sz w:val="18"/>
              </w:rPr>
            </w:pPr>
            <w:r>
              <w:rPr>
                <w:sz w:val="18"/>
              </w:rPr>
              <w:t xml:space="preserve">Potential PAD from Poultry Slaughterhouses (RPHU) of District/City Governments in KALTARA </w:t>
            </w:r>
            <w:r>
              <w:rPr>
                <w:spacing w:val="-2"/>
                <w:sz w:val="18"/>
              </w:rPr>
              <w:t>Province</w:t>
            </w:r>
          </w:p>
        </w:tc>
        <w:tc>
          <w:tcPr>
            <w:tcW w:w="1096" w:type="dxa"/>
            <w:tcBorders>
              <w:top w:val="single" w:sz="4" w:space="0" w:color="A6A6A6"/>
              <w:left w:val="single" w:sz="4" w:space="0" w:color="A6A6A6"/>
              <w:bottom w:val="single" w:sz="4" w:space="0" w:color="A6A6A6"/>
              <w:right w:val="single" w:sz="4" w:space="0" w:color="A6A6A6"/>
            </w:tcBorders>
          </w:tcPr>
          <w:p w14:paraId="381F392D" w14:textId="77777777" w:rsidR="00BC24A8" w:rsidRDefault="00000000">
            <w:pPr>
              <w:pStyle w:val="TableParagraph"/>
              <w:spacing w:before="1"/>
              <w:ind w:left="108"/>
              <w:rPr>
                <w:sz w:val="18"/>
              </w:rPr>
            </w:pPr>
            <w:r>
              <w:rPr>
                <w:spacing w:val="-2"/>
                <w:sz w:val="18"/>
              </w:rPr>
              <w:t>KALTARA</w:t>
            </w:r>
          </w:p>
        </w:tc>
      </w:tr>
      <w:tr w:rsidR="00BC24A8" w14:paraId="3F997D6E" w14:textId="77777777">
        <w:trPr>
          <w:trHeight w:val="275"/>
        </w:trPr>
        <w:tc>
          <w:tcPr>
            <w:tcW w:w="552" w:type="dxa"/>
            <w:tcBorders>
              <w:top w:val="single" w:sz="4" w:space="0" w:color="A6A6A6"/>
              <w:left w:val="single" w:sz="4" w:space="0" w:color="A6A6A6"/>
              <w:bottom w:val="single" w:sz="4" w:space="0" w:color="A6A6A6"/>
              <w:right w:val="single" w:sz="4" w:space="0" w:color="A6A6A6"/>
            </w:tcBorders>
          </w:tcPr>
          <w:p w14:paraId="7CC88E36" w14:textId="77777777" w:rsidR="00BC24A8" w:rsidRDefault="00000000">
            <w:pPr>
              <w:pStyle w:val="TableParagraph"/>
              <w:spacing w:before="1"/>
              <w:ind w:right="96"/>
              <w:jc w:val="right"/>
              <w:rPr>
                <w:sz w:val="18"/>
              </w:rPr>
            </w:pPr>
            <w:r>
              <w:rPr>
                <w:spacing w:val="-5"/>
                <w:sz w:val="18"/>
              </w:rPr>
              <w:t>38</w:t>
            </w:r>
          </w:p>
        </w:tc>
        <w:tc>
          <w:tcPr>
            <w:tcW w:w="955" w:type="dxa"/>
            <w:tcBorders>
              <w:top w:val="single" w:sz="4" w:space="0" w:color="A6A6A6"/>
              <w:left w:val="single" w:sz="4" w:space="0" w:color="A6A6A6"/>
              <w:bottom w:val="single" w:sz="4" w:space="0" w:color="A6A6A6"/>
              <w:right w:val="single" w:sz="4" w:space="0" w:color="A6A6A6"/>
            </w:tcBorders>
          </w:tcPr>
          <w:p w14:paraId="3504AEDF"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0FB5613B" w14:textId="77777777" w:rsidR="00BC24A8" w:rsidRDefault="00000000">
            <w:pPr>
              <w:pStyle w:val="TableParagraph"/>
              <w:spacing w:before="1"/>
              <w:ind w:left="105"/>
              <w:rPr>
                <w:sz w:val="18"/>
              </w:rPr>
            </w:pPr>
            <w:r>
              <w:rPr>
                <w:sz w:val="18"/>
              </w:rPr>
              <w:t>Strengthening</w:t>
            </w:r>
            <w:r>
              <w:rPr>
                <w:spacing w:val="-9"/>
                <w:sz w:val="18"/>
              </w:rPr>
              <w:t xml:space="preserve"> </w:t>
            </w:r>
            <w:r>
              <w:rPr>
                <w:sz w:val="18"/>
              </w:rPr>
              <w:t>Inclusive</w:t>
            </w:r>
            <w:r>
              <w:rPr>
                <w:spacing w:val="-5"/>
                <w:sz w:val="18"/>
              </w:rPr>
              <w:t xml:space="preserve"> </w:t>
            </w:r>
            <w:r>
              <w:rPr>
                <w:sz w:val="18"/>
              </w:rPr>
              <w:t>Public</w:t>
            </w:r>
            <w:r>
              <w:rPr>
                <w:spacing w:val="-5"/>
                <w:sz w:val="18"/>
              </w:rPr>
              <w:t xml:space="preserve"> </w:t>
            </w:r>
            <w:r>
              <w:rPr>
                <w:sz w:val="18"/>
              </w:rPr>
              <w:t>Service</w:t>
            </w:r>
            <w:r>
              <w:rPr>
                <w:spacing w:val="-5"/>
                <w:sz w:val="18"/>
              </w:rPr>
              <w:t xml:space="preserve"> </w:t>
            </w:r>
            <w:r>
              <w:rPr>
                <w:sz w:val="18"/>
              </w:rPr>
              <w:t>Infrastructure</w:t>
            </w:r>
            <w:r>
              <w:rPr>
                <w:spacing w:val="-5"/>
                <w:sz w:val="18"/>
              </w:rPr>
              <w:t xml:space="preserve"> </w:t>
            </w:r>
            <w:r>
              <w:rPr>
                <w:sz w:val="18"/>
              </w:rPr>
              <w:t>Expenditure</w:t>
            </w:r>
            <w:r>
              <w:rPr>
                <w:spacing w:val="-6"/>
                <w:sz w:val="18"/>
              </w:rPr>
              <w:t xml:space="preserve"> </w:t>
            </w:r>
            <w:r>
              <w:rPr>
                <w:sz w:val="18"/>
              </w:rPr>
              <w:t>in</w:t>
            </w:r>
            <w:r>
              <w:rPr>
                <w:spacing w:val="-7"/>
                <w:sz w:val="18"/>
              </w:rPr>
              <w:t xml:space="preserve"> </w:t>
            </w:r>
            <w:r>
              <w:rPr>
                <w:spacing w:val="-2"/>
                <w:sz w:val="18"/>
              </w:rPr>
              <w:t>KALTARA</w:t>
            </w:r>
          </w:p>
        </w:tc>
        <w:tc>
          <w:tcPr>
            <w:tcW w:w="1096" w:type="dxa"/>
            <w:tcBorders>
              <w:top w:val="single" w:sz="4" w:space="0" w:color="A6A6A6"/>
              <w:left w:val="single" w:sz="4" w:space="0" w:color="A6A6A6"/>
              <w:bottom w:val="single" w:sz="4" w:space="0" w:color="A6A6A6"/>
              <w:right w:val="single" w:sz="4" w:space="0" w:color="A6A6A6"/>
            </w:tcBorders>
          </w:tcPr>
          <w:p w14:paraId="3C5FBB19" w14:textId="77777777" w:rsidR="00BC24A8" w:rsidRDefault="00000000">
            <w:pPr>
              <w:pStyle w:val="TableParagraph"/>
              <w:spacing w:before="1"/>
              <w:ind w:left="108"/>
              <w:rPr>
                <w:sz w:val="18"/>
              </w:rPr>
            </w:pPr>
            <w:r>
              <w:rPr>
                <w:spacing w:val="-2"/>
                <w:sz w:val="18"/>
              </w:rPr>
              <w:t>KALTARA</w:t>
            </w:r>
          </w:p>
        </w:tc>
      </w:tr>
      <w:tr w:rsidR="00BC24A8" w14:paraId="2311ED7B"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7E6DCC82" w14:textId="77777777" w:rsidR="00BC24A8" w:rsidRDefault="00000000">
            <w:pPr>
              <w:pStyle w:val="TableParagraph"/>
              <w:spacing w:before="1"/>
              <w:ind w:right="96"/>
              <w:jc w:val="right"/>
              <w:rPr>
                <w:sz w:val="18"/>
              </w:rPr>
            </w:pPr>
            <w:r>
              <w:rPr>
                <w:spacing w:val="-5"/>
                <w:sz w:val="18"/>
              </w:rPr>
              <w:t>39</w:t>
            </w:r>
          </w:p>
        </w:tc>
        <w:tc>
          <w:tcPr>
            <w:tcW w:w="955" w:type="dxa"/>
            <w:tcBorders>
              <w:top w:val="single" w:sz="4" w:space="0" w:color="A6A6A6"/>
              <w:left w:val="single" w:sz="4" w:space="0" w:color="A6A6A6"/>
              <w:bottom w:val="single" w:sz="4" w:space="0" w:color="A6A6A6"/>
              <w:right w:val="single" w:sz="4" w:space="0" w:color="A6A6A6"/>
            </w:tcBorders>
          </w:tcPr>
          <w:p w14:paraId="554B987A"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502566E5" w14:textId="77777777" w:rsidR="00BC24A8" w:rsidRDefault="00000000">
            <w:pPr>
              <w:pStyle w:val="TableParagraph"/>
              <w:spacing w:before="1"/>
              <w:ind w:left="105"/>
              <w:rPr>
                <w:sz w:val="18"/>
              </w:rPr>
            </w:pPr>
            <w:r>
              <w:rPr>
                <w:sz w:val="18"/>
              </w:rPr>
              <w:t>Optimizing</w:t>
            </w:r>
            <w:r>
              <w:rPr>
                <w:spacing w:val="-6"/>
                <w:sz w:val="18"/>
              </w:rPr>
              <w:t xml:space="preserve"> </w:t>
            </w:r>
            <w:r>
              <w:rPr>
                <w:sz w:val="18"/>
              </w:rPr>
              <w:t>the</w:t>
            </w:r>
            <w:r>
              <w:rPr>
                <w:spacing w:val="-8"/>
                <w:sz w:val="18"/>
              </w:rPr>
              <w:t xml:space="preserve"> </w:t>
            </w:r>
            <w:r>
              <w:rPr>
                <w:sz w:val="18"/>
              </w:rPr>
              <w:t>Role</w:t>
            </w:r>
            <w:r>
              <w:rPr>
                <w:spacing w:val="-5"/>
                <w:sz w:val="18"/>
              </w:rPr>
              <w:t xml:space="preserve"> </w:t>
            </w:r>
            <w:r>
              <w:rPr>
                <w:sz w:val="18"/>
              </w:rPr>
              <w:t>of</w:t>
            </w:r>
            <w:r>
              <w:rPr>
                <w:spacing w:val="-6"/>
                <w:sz w:val="18"/>
              </w:rPr>
              <w:t xml:space="preserve"> </w:t>
            </w:r>
            <w:r>
              <w:rPr>
                <w:sz w:val="18"/>
              </w:rPr>
              <w:t>MSEs</w:t>
            </w:r>
            <w:r>
              <w:rPr>
                <w:spacing w:val="-8"/>
                <w:sz w:val="18"/>
              </w:rPr>
              <w:t xml:space="preserve"> </w:t>
            </w:r>
            <w:r>
              <w:rPr>
                <w:sz w:val="18"/>
              </w:rPr>
              <w:t>&amp;</w:t>
            </w:r>
            <w:r>
              <w:rPr>
                <w:spacing w:val="-6"/>
                <w:sz w:val="18"/>
              </w:rPr>
              <w:t xml:space="preserve"> </w:t>
            </w:r>
            <w:r>
              <w:rPr>
                <w:sz w:val="18"/>
              </w:rPr>
              <w:t>Cooperatives</w:t>
            </w:r>
            <w:r>
              <w:rPr>
                <w:spacing w:val="-5"/>
                <w:sz w:val="18"/>
              </w:rPr>
              <w:t xml:space="preserve"> </w:t>
            </w:r>
            <w:r>
              <w:rPr>
                <w:sz w:val="18"/>
              </w:rPr>
              <w:t>and</w:t>
            </w:r>
            <w:r>
              <w:rPr>
                <w:spacing w:val="-5"/>
                <w:sz w:val="18"/>
              </w:rPr>
              <w:t xml:space="preserve"> </w:t>
            </w:r>
            <w:r>
              <w:rPr>
                <w:sz w:val="18"/>
              </w:rPr>
              <w:t>the</w:t>
            </w:r>
            <w:r>
              <w:rPr>
                <w:spacing w:val="-8"/>
                <w:sz w:val="18"/>
              </w:rPr>
              <w:t xml:space="preserve"> </w:t>
            </w:r>
            <w:r>
              <w:rPr>
                <w:sz w:val="18"/>
              </w:rPr>
              <w:t>Use</w:t>
            </w:r>
            <w:r>
              <w:rPr>
                <w:spacing w:val="-5"/>
                <w:sz w:val="18"/>
              </w:rPr>
              <w:t xml:space="preserve"> </w:t>
            </w:r>
            <w:r>
              <w:rPr>
                <w:sz w:val="18"/>
              </w:rPr>
              <w:t>of</w:t>
            </w:r>
            <w:r>
              <w:rPr>
                <w:spacing w:val="-8"/>
                <w:sz w:val="18"/>
              </w:rPr>
              <w:t xml:space="preserve"> </w:t>
            </w:r>
            <w:r>
              <w:rPr>
                <w:sz w:val="18"/>
              </w:rPr>
              <w:t>Domestic</w:t>
            </w:r>
            <w:r>
              <w:rPr>
                <w:spacing w:val="-5"/>
                <w:sz w:val="18"/>
              </w:rPr>
              <w:t xml:space="preserve"> </w:t>
            </w:r>
            <w:r>
              <w:rPr>
                <w:sz w:val="18"/>
              </w:rPr>
              <w:t>Products</w:t>
            </w:r>
            <w:r>
              <w:rPr>
                <w:spacing w:val="-8"/>
                <w:sz w:val="18"/>
              </w:rPr>
              <w:t xml:space="preserve"> </w:t>
            </w:r>
            <w:r>
              <w:rPr>
                <w:sz w:val="18"/>
              </w:rPr>
              <w:t>in</w:t>
            </w:r>
            <w:r>
              <w:rPr>
                <w:spacing w:val="-5"/>
                <w:sz w:val="18"/>
              </w:rPr>
              <w:t xml:space="preserve"> </w:t>
            </w:r>
            <w:r>
              <w:rPr>
                <w:sz w:val="18"/>
              </w:rPr>
              <w:t>Government Procurement of Goods/Services</w:t>
            </w:r>
          </w:p>
        </w:tc>
        <w:tc>
          <w:tcPr>
            <w:tcW w:w="1096" w:type="dxa"/>
            <w:tcBorders>
              <w:top w:val="single" w:sz="4" w:space="0" w:color="A6A6A6"/>
              <w:left w:val="single" w:sz="4" w:space="0" w:color="A6A6A6"/>
              <w:bottom w:val="single" w:sz="4" w:space="0" w:color="A6A6A6"/>
              <w:right w:val="single" w:sz="4" w:space="0" w:color="A6A6A6"/>
            </w:tcBorders>
          </w:tcPr>
          <w:p w14:paraId="45E95295" w14:textId="77777777" w:rsidR="00BC24A8" w:rsidRDefault="00000000">
            <w:pPr>
              <w:pStyle w:val="TableParagraph"/>
              <w:spacing w:before="1"/>
              <w:ind w:left="108"/>
              <w:rPr>
                <w:sz w:val="18"/>
              </w:rPr>
            </w:pPr>
            <w:r>
              <w:rPr>
                <w:spacing w:val="-2"/>
                <w:sz w:val="18"/>
              </w:rPr>
              <w:t>KALTARA</w:t>
            </w:r>
          </w:p>
        </w:tc>
      </w:tr>
      <w:tr w:rsidR="00BC24A8" w14:paraId="752E86FE"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01D048E0" w14:textId="77777777" w:rsidR="00BC24A8" w:rsidRDefault="00000000">
            <w:pPr>
              <w:pStyle w:val="TableParagraph"/>
              <w:spacing w:before="1"/>
              <w:ind w:right="96"/>
              <w:jc w:val="right"/>
              <w:rPr>
                <w:sz w:val="18"/>
              </w:rPr>
            </w:pPr>
            <w:r>
              <w:rPr>
                <w:spacing w:val="-5"/>
                <w:sz w:val="18"/>
              </w:rPr>
              <w:t>40</w:t>
            </w:r>
          </w:p>
        </w:tc>
        <w:tc>
          <w:tcPr>
            <w:tcW w:w="955" w:type="dxa"/>
            <w:tcBorders>
              <w:top w:val="single" w:sz="4" w:space="0" w:color="A6A6A6"/>
              <w:left w:val="single" w:sz="4" w:space="0" w:color="A6A6A6"/>
              <w:bottom w:val="single" w:sz="4" w:space="0" w:color="A6A6A6"/>
              <w:right w:val="single" w:sz="4" w:space="0" w:color="A6A6A6"/>
            </w:tcBorders>
          </w:tcPr>
          <w:p w14:paraId="2E886DE7"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42ECF70F" w14:textId="77777777" w:rsidR="00BC24A8" w:rsidRDefault="00000000">
            <w:pPr>
              <w:pStyle w:val="TableParagraph"/>
              <w:spacing w:before="1"/>
              <w:ind w:left="105"/>
              <w:rPr>
                <w:sz w:val="18"/>
              </w:rPr>
            </w:pPr>
            <w:r>
              <w:rPr>
                <w:spacing w:val="-2"/>
                <w:sz w:val="18"/>
              </w:rPr>
              <w:t>Welcoming</w:t>
            </w:r>
            <w:r>
              <w:rPr>
                <w:spacing w:val="1"/>
                <w:sz w:val="18"/>
              </w:rPr>
              <w:t xml:space="preserve"> </w:t>
            </w:r>
            <w:r>
              <w:rPr>
                <w:spacing w:val="-2"/>
                <w:sz w:val="18"/>
              </w:rPr>
              <w:t>Golden</w:t>
            </w:r>
            <w:r>
              <w:rPr>
                <w:spacing w:val="2"/>
                <w:sz w:val="18"/>
              </w:rPr>
              <w:t xml:space="preserve"> </w:t>
            </w:r>
            <w:r>
              <w:rPr>
                <w:spacing w:val="-2"/>
                <w:sz w:val="18"/>
              </w:rPr>
              <w:t>KALTARA</w:t>
            </w:r>
            <w:r>
              <w:rPr>
                <w:spacing w:val="2"/>
                <w:sz w:val="18"/>
              </w:rPr>
              <w:t xml:space="preserve"> </w:t>
            </w:r>
            <w:r>
              <w:rPr>
                <w:spacing w:val="-2"/>
                <w:sz w:val="18"/>
              </w:rPr>
              <w:t>or</w:t>
            </w:r>
            <w:r>
              <w:rPr>
                <w:spacing w:val="2"/>
                <w:sz w:val="18"/>
              </w:rPr>
              <w:t xml:space="preserve"> </w:t>
            </w:r>
            <w:r>
              <w:rPr>
                <w:spacing w:val="-2"/>
                <w:sz w:val="18"/>
              </w:rPr>
              <w:t>Anxious</w:t>
            </w:r>
            <w:r>
              <w:rPr>
                <w:spacing w:val="3"/>
                <w:sz w:val="18"/>
              </w:rPr>
              <w:t xml:space="preserve"> </w:t>
            </w:r>
            <w:r>
              <w:rPr>
                <w:spacing w:val="-2"/>
                <w:sz w:val="18"/>
              </w:rPr>
              <w:t>KALTARA</w:t>
            </w:r>
          </w:p>
        </w:tc>
        <w:tc>
          <w:tcPr>
            <w:tcW w:w="1096" w:type="dxa"/>
            <w:tcBorders>
              <w:top w:val="single" w:sz="4" w:space="0" w:color="A6A6A6"/>
              <w:left w:val="single" w:sz="4" w:space="0" w:color="A6A6A6"/>
              <w:bottom w:val="single" w:sz="4" w:space="0" w:color="A6A6A6"/>
              <w:right w:val="single" w:sz="4" w:space="0" w:color="A6A6A6"/>
            </w:tcBorders>
          </w:tcPr>
          <w:p w14:paraId="17CED783" w14:textId="77777777" w:rsidR="00BC24A8" w:rsidRDefault="00000000">
            <w:pPr>
              <w:pStyle w:val="TableParagraph"/>
              <w:spacing w:before="1"/>
              <w:ind w:left="108"/>
              <w:rPr>
                <w:sz w:val="18"/>
              </w:rPr>
            </w:pPr>
            <w:r>
              <w:rPr>
                <w:spacing w:val="-2"/>
                <w:sz w:val="18"/>
              </w:rPr>
              <w:t>KALTARA</w:t>
            </w:r>
          </w:p>
        </w:tc>
      </w:tr>
      <w:tr w:rsidR="00BC24A8" w14:paraId="7A702A1D"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14FDA647" w14:textId="77777777" w:rsidR="00BC24A8" w:rsidRDefault="00000000">
            <w:pPr>
              <w:pStyle w:val="TableParagraph"/>
              <w:spacing w:before="1"/>
              <w:ind w:right="96"/>
              <w:jc w:val="right"/>
              <w:rPr>
                <w:sz w:val="18"/>
              </w:rPr>
            </w:pPr>
            <w:r>
              <w:rPr>
                <w:spacing w:val="-5"/>
                <w:sz w:val="18"/>
              </w:rPr>
              <w:t>41</w:t>
            </w:r>
          </w:p>
        </w:tc>
        <w:tc>
          <w:tcPr>
            <w:tcW w:w="955" w:type="dxa"/>
            <w:tcBorders>
              <w:top w:val="single" w:sz="4" w:space="0" w:color="A6A6A6"/>
              <w:left w:val="single" w:sz="4" w:space="0" w:color="A6A6A6"/>
              <w:bottom w:val="single" w:sz="4" w:space="0" w:color="A6A6A6"/>
              <w:right w:val="single" w:sz="4" w:space="0" w:color="A6A6A6"/>
            </w:tcBorders>
          </w:tcPr>
          <w:p w14:paraId="61E0A9C3"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02DD91FC" w14:textId="77777777" w:rsidR="00BC24A8" w:rsidRDefault="00000000">
            <w:pPr>
              <w:pStyle w:val="TableParagraph"/>
              <w:spacing w:before="1"/>
              <w:ind w:left="105"/>
              <w:rPr>
                <w:sz w:val="18"/>
              </w:rPr>
            </w:pPr>
            <w:r>
              <w:rPr>
                <w:spacing w:val="-2"/>
                <w:sz w:val="18"/>
              </w:rPr>
              <w:t>Welcoming</w:t>
            </w:r>
            <w:r>
              <w:rPr>
                <w:spacing w:val="1"/>
                <w:sz w:val="18"/>
              </w:rPr>
              <w:t xml:space="preserve"> </w:t>
            </w:r>
            <w:r>
              <w:rPr>
                <w:spacing w:val="-2"/>
                <w:sz w:val="18"/>
              </w:rPr>
              <w:t>Golden</w:t>
            </w:r>
            <w:r>
              <w:rPr>
                <w:spacing w:val="2"/>
                <w:sz w:val="18"/>
              </w:rPr>
              <w:t xml:space="preserve"> </w:t>
            </w:r>
            <w:r>
              <w:rPr>
                <w:spacing w:val="-2"/>
                <w:sz w:val="18"/>
              </w:rPr>
              <w:t>KALTARA</w:t>
            </w:r>
            <w:r>
              <w:rPr>
                <w:spacing w:val="2"/>
                <w:sz w:val="18"/>
              </w:rPr>
              <w:t xml:space="preserve"> </w:t>
            </w:r>
            <w:r>
              <w:rPr>
                <w:spacing w:val="-2"/>
                <w:sz w:val="18"/>
              </w:rPr>
              <w:t>or</w:t>
            </w:r>
            <w:r>
              <w:rPr>
                <w:spacing w:val="2"/>
                <w:sz w:val="18"/>
              </w:rPr>
              <w:t xml:space="preserve"> </w:t>
            </w:r>
            <w:r>
              <w:rPr>
                <w:spacing w:val="-2"/>
                <w:sz w:val="18"/>
              </w:rPr>
              <w:t>Anxious</w:t>
            </w:r>
            <w:r>
              <w:rPr>
                <w:spacing w:val="3"/>
                <w:sz w:val="18"/>
              </w:rPr>
              <w:t xml:space="preserve"> </w:t>
            </w:r>
            <w:r>
              <w:rPr>
                <w:spacing w:val="-2"/>
                <w:sz w:val="18"/>
              </w:rPr>
              <w:t>KALTARA</w:t>
            </w:r>
          </w:p>
        </w:tc>
        <w:tc>
          <w:tcPr>
            <w:tcW w:w="1096" w:type="dxa"/>
            <w:tcBorders>
              <w:top w:val="single" w:sz="4" w:space="0" w:color="A6A6A6"/>
              <w:left w:val="single" w:sz="4" w:space="0" w:color="A6A6A6"/>
              <w:bottom w:val="single" w:sz="4" w:space="0" w:color="A6A6A6"/>
              <w:right w:val="single" w:sz="4" w:space="0" w:color="A6A6A6"/>
            </w:tcBorders>
          </w:tcPr>
          <w:p w14:paraId="0936127E" w14:textId="77777777" w:rsidR="00BC24A8" w:rsidRDefault="00000000">
            <w:pPr>
              <w:pStyle w:val="TableParagraph"/>
              <w:spacing w:before="1"/>
              <w:ind w:left="108"/>
              <w:rPr>
                <w:sz w:val="18"/>
              </w:rPr>
            </w:pPr>
            <w:r>
              <w:rPr>
                <w:spacing w:val="-2"/>
                <w:sz w:val="18"/>
              </w:rPr>
              <w:t>KALTARA</w:t>
            </w:r>
          </w:p>
        </w:tc>
      </w:tr>
      <w:tr w:rsidR="00BC24A8" w14:paraId="34F1F661"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3C0C902A" w14:textId="77777777" w:rsidR="00BC24A8" w:rsidRDefault="00000000">
            <w:pPr>
              <w:pStyle w:val="TableParagraph"/>
              <w:spacing w:before="1"/>
              <w:ind w:right="96"/>
              <w:jc w:val="right"/>
              <w:rPr>
                <w:sz w:val="18"/>
              </w:rPr>
            </w:pPr>
            <w:r>
              <w:rPr>
                <w:spacing w:val="-5"/>
                <w:sz w:val="18"/>
              </w:rPr>
              <w:t>42</w:t>
            </w:r>
          </w:p>
        </w:tc>
        <w:tc>
          <w:tcPr>
            <w:tcW w:w="955" w:type="dxa"/>
            <w:tcBorders>
              <w:top w:val="single" w:sz="4" w:space="0" w:color="A6A6A6"/>
              <w:left w:val="single" w:sz="4" w:space="0" w:color="A6A6A6"/>
              <w:bottom w:val="single" w:sz="4" w:space="0" w:color="A6A6A6"/>
              <w:right w:val="single" w:sz="4" w:space="0" w:color="A6A6A6"/>
            </w:tcBorders>
          </w:tcPr>
          <w:p w14:paraId="49036CB4"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236E203E" w14:textId="77777777" w:rsidR="00BC24A8" w:rsidRDefault="00000000">
            <w:pPr>
              <w:pStyle w:val="TableParagraph"/>
              <w:spacing w:before="1"/>
              <w:ind w:left="105"/>
              <w:rPr>
                <w:sz w:val="18"/>
              </w:rPr>
            </w:pPr>
            <w:r>
              <w:rPr>
                <w:sz w:val="18"/>
              </w:rPr>
              <w:t>Strategies</w:t>
            </w:r>
            <w:r>
              <w:rPr>
                <w:spacing w:val="-6"/>
                <w:sz w:val="18"/>
              </w:rPr>
              <w:t xml:space="preserve"> </w:t>
            </w:r>
            <w:r>
              <w:rPr>
                <w:sz w:val="18"/>
              </w:rPr>
              <w:t>for</w:t>
            </w:r>
            <w:r>
              <w:rPr>
                <w:spacing w:val="-5"/>
                <w:sz w:val="18"/>
              </w:rPr>
              <w:t xml:space="preserve"> </w:t>
            </w:r>
            <w:r>
              <w:rPr>
                <w:sz w:val="18"/>
              </w:rPr>
              <w:t>Improving</w:t>
            </w:r>
            <w:r>
              <w:rPr>
                <w:spacing w:val="-6"/>
                <w:sz w:val="18"/>
              </w:rPr>
              <w:t xml:space="preserve"> </w:t>
            </w:r>
            <w:r>
              <w:rPr>
                <w:sz w:val="18"/>
              </w:rPr>
              <w:t>the</w:t>
            </w:r>
            <w:r>
              <w:rPr>
                <w:spacing w:val="-5"/>
                <w:sz w:val="18"/>
              </w:rPr>
              <w:t xml:space="preserve"> </w:t>
            </w:r>
            <w:r>
              <w:rPr>
                <w:sz w:val="18"/>
              </w:rPr>
              <w:t>Welfare</w:t>
            </w:r>
            <w:r>
              <w:rPr>
                <w:spacing w:val="-6"/>
                <w:sz w:val="18"/>
              </w:rPr>
              <w:t xml:space="preserve"> </w:t>
            </w:r>
            <w:r>
              <w:rPr>
                <w:sz w:val="18"/>
              </w:rPr>
              <w:t>of</w:t>
            </w:r>
            <w:r>
              <w:rPr>
                <w:spacing w:val="-6"/>
                <w:sz w:val="18"/>
              </w:rPr>
              <w:t xml:space="preserve"> </w:t>
            </w:r>
            <w:r>
              <w:rPr>
                <w:sz w:val="18"/>
              </w:rPr>
              <w:t>Single</w:t>
            </w:r>
            <w:r>
              <w:rPr>
                <w:spacing w:val="-5"/>
                <w:sz w:val="18"/>
              </w:rPr>
              <w:t xml:space="preserve"> </w:t>
            </w:r>
            <w:r>
              <w:rPr>
                <w:sz w:val="18"/>
              </w:rPr>
              <w:t>Mothers</w:t>
            </w:r>
            <w:r>
              <w:rPr>
                <w:spacing w:val="-5"/>
                <w:sz w:val="18"/>
              </w:rPr>
              <w:t xml:space="preserve"> </w:t>
            </w:r>
            <w:r>
              <w:rPr>
                <w:sz w:val="18"/>
              </w:rPr>
              <w:t>in</w:t>
            </w:r>
            <w:r>
              <w:rPr>
                <w:spacing w:val="-5"/>
                <w:sz w:val="18"/>
              </w:rPr>
              <w:t xml:space="preserve"> </w:t>
            </w:r>
            <w:r>
              <w:rPr>
                <w:spacing w:val="-2"/>
                <w:sz w:val="18"/>
              </w:rPr>
              <w:t>KALTARA</w:t>
            </w:r>
          </w:p>
        </w:tc>
        <w:tc>
          <w:tcPr>
            <w:tcW w:w="1096" w:type="dxa"/>
            <w:tcBorders>
              <w:top w:val="single" w:sz="4" w:space="0" w:color="A6A6A6"/>
              <w:left w:val="single" w:sz="4" w:space="0" w:color="A6A6A6"/>
              <w:bottom w:val="single" w:sz="4" w:space="0" w:color="A6A6A6"/>
              <w:right w:val="single" w:sz="4" w:space="0" w:color="A6A6A6"/>
            </w:tcBorders>
          </w:tcPr>
          <w:p w14:paraId="52D79EBF" w14:textId="77777777" w:rsidR="00BC24A8" w:rsidRDefault="00000000">
            <w:pPr>
              <w:pStyle w:val="TableParagraph"/>
              <w:spacing w:before="1"/>
              <w:ind w:left="108"/>
              <w:rPr>
                <w:sz w:val="18"/>
              </w:rPr>
            </w:pPr>
            <w:r>
              <w:rPr>
                <w:spacing w:val="-2"/>
                <w:sz w:val="18"/>
              </w:rPr>
              <w:t>KALTARA</w:t>
            </w:r>
          </w:p>
        </w:tc>
      </w:tr>
      <w:tr w:rsidR="00BC24A8" w14:paraId="5810F7CA" w14:textId="77777777">
        <w:trPr>
          <w:trHeight w:val="246"/>
        </w:trPr>
        <w:tc>
          <w:tcPr>
            <w:tcW w:w="552" w:type="dxa"/>
            <w:tcBorders>
              <w:top w:val="single" w:sz="4" w:space="0" w:color="A6A6A6"/>
              <w:left w:val="single" w:sz="4" w:space="0" w:color="A6A6A6"/>
              <w:bottom w:val="single" w:sz="4" w:space="0" w:color="A6A6A6"/>
              <w:right w:val="single" w:sz="4" w:space="0" w:color="A6A6A6"/>
            </w:tcBorders>
          </w:tcPr>
          <w:p w14:paraId="4185BDC8" w14:textId="77777777" w:rsidR="00BC24A8" w:rsidRDefault="00000000">
            <w:pPr>
              <w:pStyle w:val="TableParagraph"/>
              <w:spacing w:before="1"/>
              <w:ind w:right="96"/>
              <w:jc w:val="right"/>
              <w:rPr>
                <w:sz w:val="18"/>
              </w:rPr>
            </w:pPr>
            <w:r>
              <w:rPr>
                <w:spacing w:val="-5"/>
                <w:sz w:val="18"/>
              </w:rPr>
              <w:t>43</w:t>
            </w:r>
          </w:p>
        </w:tc>
        <w:tc>
          <w:tcPr>
            <w:tcW w:w="955" w:type="dxa"/>
            <w:tcBorders>
              <w:top w:val="single" w:sz="4" w:space="0" w:color="A6A6A6"/>
              <w:left w:val="single" w:sz="4" w:space="0" w:color="A6A6A6"/>
              <w:bottom w:val="single" w:sz="4" w:space="0" w:color="A6A6A6"/>
              <w:right w:val="single" w:sz="4" w:space="0" w:color="A6A6A6"/>
            </w:tcBorders>
          </w:tcPr>
          <w:p w14:paraId="42CE73A1"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0536B664" w14:textId="77777777" w:rsidR="00BC24A8" w:rsidRDefault="00000000">
            <w:pPr>
              <w:pStyle w:val="TableParagraph"/>
              <w:spacing w:before="1"/>
              <w:ind w:left="105"/>
              <w:rPr>
                <w:sz w:val="18"/>
              </w:rPr>
            </w:pPr>
            <w:r>
              <w:rPr>
                <w:sz w:val="18"/>
              </w:rPr>
              <w:t>Achieving</w:t>
            </w:r>
            <w:r>
              <w:rPr>
                <w:spacing w:val="-9"/>
                <w:sz w:val="18"/>
              </w:rPr>
              <w:t xml:space="preserve"> </w:t>
            </w:r>
            <w:r>
              <w:rPr>
                <w:sz w:val="18"/>
              </w:rPr>
              <w:t>Healthy</w:t>
            </w:r>
            <w:r>
              <w:rPr>
                <w:spacing w:val="-10"/>
                <w:sz w:val="18"/>
              </w:rPr>
              <w:t xml:space="preserve"> </w:t>
            </w:r>
            <w:r>
              <w:rPr>
                <w:sz w:val="18"/>
              </w:rPr>
              <w:t>KALTARA</w:t>
            </w:r>
            <w:r>
              <w:rPr>
                <w:spacing w:val="-8"/>
                <w:sz w:val="18"/>
              </w:rPr>
              <w:t xml:space="preserve"> </w:t>
            </w:r>
            <w:r>
              <w:rPr>
                <w:sz w:val="18"/>
              </w:rPr>
              <w:t>by</w:t>
            </w:r>
            <w:r>
              <w:rPr>
                <w:spacing w:val="-8"/>
                <w:sz w:val="18"/>
              </w:rPr>
              <w:t xml:space="preserve"> </w:t>
            </w:r>
            <w:r>
              <w:rPr>
                <w:sz w:val="18"/>
              </w:rPr>
              <w:t>Providing</w:t>
            </w:r>
            <w:r>
              <w:rPr>
                <w:spacing w:val="-8"/>
                <w:sz w:val="18"/>
              </w:rPr>
              <w:t xml:space="preserve"> </w:t>
            </w:r>
            <w:r>
              <w:rPr>
                <w:sz w:val="18"/>
              </w:rPr>
              <w:t>Healthy</w:t>
            </w:r>
            <w:r>
              <w:rPr>
                <w:spacing w:val="-8"/>
                <w:sz w:val="18"/>
              </w:rPr>
              <w:t xml:space="preserve"> </w:t>
            </w:r>
            <w:r>
              <w:rPr>
                <w:sz w:val="18"/>
              </w:rPr>
              <w:t>Latrines</w:t>
            </w:r>
            <w:r>
              <w:rPr>
                <w:spacing w:val="-10"/>
                <w:sz w:val="18"/>
              </w:rPr>
              <w:t xml:space="preserve"> </w:t>
            </w:r>
            <w:r>
              <w:rPr>
                <w:sz w:val="18"/>
              </w:rPr>
              <w:t>for</w:t>
            </w:r>
            <w:r>
              <w:rPr>
                <w:spacing w:val="-8"/>
                <w:sz w:val="18"/>
              </w:rPr>
              <w:t xml:space="preserve"> </w:t>
            </w:r>
            <w:r>
              <w:rPr>
                <w:sz w:val="18"/>
              </w:rPr>
              <w:t>Coastal</w:t>
            </w:r>
            <w:r>
              <w:rPr>
                <w:spacing w:val="-9"/>
                <w:sz w:val="18"/>
              </w:rPr>
              <w:t xml:space="preserve"> </w:t>
            </w:r>
            <w:r>
              <w:rPr>
                <w:sz w:val="18"/>
              </w:rPr>
              <w:t>Poor</w:t>
            </w:r>
            <w:r>
              <w:rPr>
                <w:spacing w:val="-7"/>
                <w:sz w:val="18"/>
              </w:rPr>
              <w:t xml:space="preserve"> </w:t>
            </w:r>
            <w:r>
              <w:rPr>
                <w:spacing w:val="-2"/>
                <w:sz w:val="18"/>
              </w:rPr>
              <w:t>Communities</w:t>
            </w:r>
          </w:p>
        </w:tc>
        <w:tc>
          <w:tcPr>
            <w:tcW w:w="1096" w:type="dxa"/>
            <w:tcBorders>
              <w:top w:val="single" w:sz="4" w:space="0" w:color="A6A6A6"/>
              <w:left w:val="single" w:sz="4" w:space="0" w:color="A6A6A6"/>
              <w:bottom w:val="single" w:sz="4" w:space="0" w:color="A6A6A6"/>
              <w:right w:val="single" w:sz="4" w:space="0" w:color="A6A6A6"/>
            </w:tcBorders>
          </w:tcPr>
          <w:p w14:paraId="1EFFD812" w14:textId="77777777" w:rsidR="00BC24A8" w:rsidRDefault="00000000">
            <w:pPr>
              <w:pStyle w:val="TableParagraph"/>
              <w:spacing w:before="1"/>
              <w:ind w:left="108"/>
              <w:rPr>
                <w:sz w:val="18"/>
              </w:rPr>
            </w:pPr>
            <w:r>
              <w:rPr>
                <w:spacing w:val="-2"/>
                <w:sz w:val="18"/>
              </w:rPr>
              <w:t>KALTARA</w:t>
            </w:r>
          </w:p>
        </w:tc>
      </w:tr>
      <w:tr w:rsidR="00BC24A8" w14:paraId="7C265685" w14:textId="77777777">
        <w:trPr>
          <w:trHeight w:val="321"/>
        </w:trPr>
        <w:tc>
          <w:tcPr>
            <w:tcW w:w="552" w:type="dxa"/>
            <w:tcBorders>
              <w:top w:val="single" w:sz="4" w:space="0" w:color="A6A6A6"/>
              <w:left w:val="single" w:sz="4" w:space="0" w:color="A6A6A6"/>
              <w:bottom w:val="single" w:sz="4" w:space="0" w:color="A6A6A6"/>
              <w:right w:val="single" w:sz="4" w:space="0" w:color="A6A6A6"/>
            </w:tcBorders>
          </w:tcPr>
          <w:p w14:paraId="1DFEE4A4" w14:textId="77777777" w:rsidR="00BC24A8" w:rsidRDefault="00000000">
            <w:pPr>
              <w:pStyle w:val="TableParagraph"/>
              <w:spacing w:line="219" w:lineRule="exact"/>
              <w:ind w:right="96"/>
              <w:jc w:val="right"/>
              <w:rPr>
                <w:sz w:val="18"/>
              </w:rPr>
            </w:pPr>
            <w:r>
              <w:rPr>
                <w:spacing w:val="-5"/>
                <w:sz w:val="18"/>
              </w:rPr>
              <w:t>44</w:t>
            </w:r>
          </w:p>
        </w:tc>
        <w:tc>
          <w:tcPr>
            <w:tcW w:w="955" w:type="dxa"/>
            <w:tcBorders>
              <w:top w:val="single" w:sz="4" w:space="0" w:color="A6A6A6"/>
              <w:left w:val="single" w:sz="4" w:space="0" w:color="A6A6A6"/>
              <w:bottom w:val="single" w:sz="4" w:space="0" w:color="A6A6A6"/>
              <w:right w:val="single" w:sz="4" w:space="0" w:color="A6A6A6"/>
            </w:tcBorders>
          </w:tcPr>
          <w:p w14:paraId="56961C67"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57CC776E" w14:textId="77777777" w:rsidR="00BC24A8" w:rsidRDefault="00000000">
            <w:pPr>
              <w:pStyle w:val="TableParagraph"/>
              <w:spacing w:line="219" w:lineRule="exact"/>
              <w:ind w:left="105"/>
              <w:rPr>
                <w:sz w:val="18"/>
              </w:rPr>
            </w:pPr>
            <w:r>
              <w:rPr>
                <w:sz w:val="18"/>
              </w:rPr>
              <w:t>Negative</w:t>
            </w:r>
            <w:r>
              <w:rPr>
                <w:spacing w:val="-6"/>
                <w:sz w:val="18"/>
              </w:rPr>
              <w:t xml:space="preserve"> </w:t>
            </w:r>
            <w:r>
              <w:rPr>
                <w:sz w:val="18"/>
              </w:rPr>
              <w:t>Impacts</w:t>
            </w:r>
            <w:r>
              <w:rPr>
                <w:spacing w:val="-6"/>
                <w:sz w:val="18"/>
              </w:rPr>
              <w:t xml:space="preserve"> </w:t>
            </w:r>
            <w:r>
              <w:rPr>
                <w:sz w:val="18"/>
              </w:rPr>
              <w:t>of</w:t>
            </w:r>
            <w:r>
              <w:rPr>
                <w:spacing w:val="-7"/>
                <w:sz w:val="18"/>
              </w:rPr>
              <w:t xml:space="preserve"> </w:t>
            </w:r>
            <w:r>
              <w:rPr>
                <w:sz w:val="18"/>
              </w:rPr>
              <w:t>Excessive</w:t>
            </w:r>
            <w:r>
              <w:rPr>
                <w:spacing w:val="-5"/>
                <w:sz w:val="18"/>
              </w:rPr>
              <w:t xml:space="preserve"> </w:t>
            </w:r>
            <w:r>
              <w:rPr>
                <w:sz w:val="18"/>
              </w:rPr>
              <w:t>Utilization</w:t>
            </w:r>
            <w:r>
              <w:rPr>
                <w:spacing w:val="-6"/>
                <w:sz w:val="18"/>
              </w:rPr>
              <w:t xml:space="preserve"> </w:t>
            </w:r>
            <w:r>
              <w:rPr>
                <w:sz w:val="18"/>
              </w:rPr>
              <w:t>of</w:t>
            </w:r>
            <w:r>
              <w:rPr>
                <w:spacing w:val="-7"/>
                <w:sz w:val="18"/>
              </w:rPr>
              <w:t xml:space="preserve"> </w:t>
            </w:r>
            <w:r>
              <w:rPr>
                <w:sz w:val="18"/>
              </w:rPr>
              <w:t>Timber</w:t>
            </w:r>
            <w:r>
              <w:rPr>
                <w:spacing w:val="-5"/>
                <w:sz w:val="18"/>
              </w:rPr>
              <w:t xml:space="preserve"> </w:t>
            </w:r>
            <w:r>
              <w:rPr>
                <w:sz w:val="18"/>
              </w:rPr>
              <w:t>Forest</w:t>
            </w:r>
            <w:r>
              <w:rPr>
                <w:spacing w:val="-5"/>
                <w:sz w:val="18"/>
              </w:rPr>
              <w:t xml:space="preserve"> </w:t>
            </w:r>
            <w:r>
              <w:rPr>
                <w:sz w:val="18"/>
              </w:rPr>
              <w:t>Products</w:t>
            </w:r>
            <w:r>
              <w:rPr>
                <w:spacing w:val="-6"/>
                <w:sz w:val="18"/>
              </w:rPr>
              <w:t xml:space="preserve"> </w:t>
            </w:r>
            <w:r>
              <w:rPr>
                <w:sz w:val="18"/>
              </w:rPr>
              <w:t>on</w:t>
            </w:r>
            <w:r>
              <w:rPr>
                <w:spacing w:val="-6"/>
                <w:sz w:val="18"/>
              </w:rPr>
              <w:t xml:space="preserve"> </w:t>
            </w:r>
            <w:r>
              <w:rPr>
                <w:sz w:val="18"/>
              </w:rPr>
              <w:t>Indigenous</w:t>
            </w:r>
            <w:r>
              <w:rPr>
                <w:spacing w:val="-5"/>
                <w:sz w:val="18"/>
              </w:rPr>
              <w:t xml:space="preserve"> </w:t>
            </w:r>
            <w:r>
              <w:rPr>
                <w:spacing w:val="-2"/>
                <w:sz w:val="18"/>
              </w:rPr>
              <w:t>Peoples</w:t>
            </w:r>
          </w:p>
        </w:tc>
        <w:tc>
          <w:tcPr>
            <w:tcW w:w="1096" w:type="dxa"/>
            <w:tcBorders>
              <w:top w:val="single" w:sz="4" w:space="0" w:color="A6A6A6"/>
              <w:left w:val="single" w:sz="4" w:space="0" w:color="A6A6A6"/>
              <w:bottom w:val="single" w:sz="4" w:space="0" w:color="A6A6A6"/>
              <w:right w:val="single" w:sz="4" w:space="0" w:color="A6A6A6"/>
            </w:tcBorders>
          </w:tcPr>
          <w:p w14:paraId="5A0E92E6" w14:textId="77777777" w:rsidR="00BC24A8" w:rsidRDefault="00000000">
            <w:pPr>
              <w:pStyle w:val="TableParagraph"/>
              <w:spacing w:line="219" w:lineRule="exact"/>
              <w:ind w:left="108"/>
              <w:rPr>
                <w:sz w:val="18"/>
              </w:rPr>
            </w:pPr>
            <w:r>
              <w:rPr>
                <w:spacing w:val="-2"/>
                <w:sz w:val="18"/>
              </w:rPr>
              <w:t>KALTARA</w:t>
            </w:r>
          </w:p>
        </w:tc>
      </w:tr>
      <w:tr w:rsidR="00BC24A8" w14:paraId="5CF810DE" w14:textId="77777777">
        <w:trPr>
          <w:trHeight w:val="482"/>
        </w:trPr>
        <w:tc>
          <w:tcPr>
            <w:tcW w:w="552" w:type="dxa"/>
            <w:tcBorders>
              <w:top w:val="single" w:sz="4" w:space="0" w:color="A6A6A6"/>
              <w:left w:val="single" w:sz="4" w:space="0" w:color="A6A6A6"/>
              <w:bottom w:val="single" w:sz="4" w:space="0" w:color="A6A6A6"/>
              <w:right w:val="single" w:sz="4" w:space="0" w:color="A6A6A6"/>
            </w:tcBorders>
          </w:tcPr>
          <w:p w14:paraId="65D22BC4" w14:textId="77777777" w:rsidR="00BC24A8" w:rsidRDefault="00000000">
            <w:pPr>
              <w:pStyle w:val="TableParagraph"/>
              <w:spacing w:before="1"/>
              <w:ind w:right="96"/>
              <w:jc w:val="right"/>
              <w:rPr>
                <w:sz w:val="18"/>
              </w:rPr>
            </w:pPr>
            <w:r>
              <w:rPr>
                <w:spacing w:val="-5"/>
                <w:sz w:val="18"/>
              </w:rPr>
              <w:t>45</w:t>
            </w:r>
          </w:p>
        </w:tc>
        <w:tc>
          <w:tcPr>
            <w:tcW w:w="955" w:type="dxa"/>
            <w:tcBorders>
              <w:top w:val="single" w:sz="4" w:space="0" w:color="A6A6A6"/>
              <w:left w:val="single" w:sz="4" w:space="0" w:color="A6A6A6"/>
              <w:bottom w:val="single" w:sz="4" w:space="0" w:color="A6A6A6"/>
              <w:right w:val="single" w:sz="4" w:space="0" w:color="A6A6A6"/>
            </w:tcBorders>
          </w:tcPr>
          <w:p w14:paraId="4AE5FD5B"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74356F43" w14:textId="77777777" w:rsidR="00BC24A8" w:rsidRDefault="00000000">
            <w:pPr>
              <w:pStyle w:val="TableParagraph"/>
              <w:spacing w:before="1"/>
              <w:ind w:left="105"/>
              <w:rPr>
                <w:sz w:val="18"/>
              </w:rPr>
            </w:pPr>
            <w:r>
              <w:rPr>
                <w:sz w:val="18"/>
              </w:rPr>
              <w:t>Higher</w:t>
            </w:r>
            <w:r>
              <w:rPr>
                <w:spacing w:val="38"/>
                <w:sz w:val="18"/>
              </w:rPr>
              <w:t xml:space="preserve"> </w:t>
            </w:r>
            <w:r>
              <w:rPr>
                <w:sz w:val="18"/>
              </w:rPr>
              <w:t>Education</w:t>
            </w:r>
            <w:r>
              <w:rPr>
                <w:spacing w:val="38"/>
                <w:sz w:val="18"/>
              </w:rPr>
              <w:t xml:space="preserve"> </w:t>
            </w:r>
            <w:r>
              <w:rPr>
                <w:sz w:val="18"/>
              </w:rPr>
              <w:t>Scholarships</w:t>
            </w:r>
            <w:r>
              <w:rPr>
                <w:spacing w:val="36"/>
                <w:sz w:val="18"/>
              </w:rPr>
              <w:t xml:space="preserve"> </w:t>
            </w:r>
            <w:r>
              <w:rPr>
                <w:sz w:val="18"/>
              </w:rPr>
              <w:t>for</w:t>
            </w:r>
            <w:r>
              <w:rPr>
                <w:spacing w:val="38"/>
                <w:sz w:val="18"/>
              </w:rPr>
              <w:t xml:space="preserve"> </w:t>
            </w:r>
            <w:r>
              <w:rPr>
                <w:sz w:val="18"/>
              </w:rPr>
              <w:t>Persons</w:t>
            </w:r>
            <w:r>
              <w:rPr>
                <w:spacing w:val="38"/>
                <w:sz w:val="18"/>
              </w:rPr>
              <w:t xml:space="preserve"> </w:t>
            </w:r>
            <w:r>
              <w:rPr>
                <w:sz w:val="18"/>
              </w:rPr>
              <w:t>with</w:t>
            </w:r>
            <w:r>
              <w:rPr>
                <w:spacing w:val="38"/>
                <w:sz w:val="18"/>
              </w:rPr>
              <w:t xml:space="preserve"> </w:t>
            </w:r>
            <w:r>
              <w:rPr>
                <w:sz w:val="18"/>
              </w:rPr>
              <w:t>Disabilities</w:t>
            </w:r>
            <w:r>
              <w:rPr>
                <w:spacing w:val="36"/>
                <w:sz w:val="18"/>
              </w:rPr>
              <w:t xml:space="preserve"> </w:t>
            </w:r>
            <w:r>
              <w:rPr>
                <w:sz w:val="18"/>
              </w:rPr>
              <w:t>through</w:t>
            </w:r>
            <w:r>
              <w:rPr>
                <w:spacing w:val="38"/>
                <w:sz w:val="18"/>
              </w:rPr>
              <w:t xml:space="preserve"> </w:t>
            </w:r>
            <w:r>
              <w:rPr>
                <w:sz w:val="18"/>
              </w:rPr>
              <w:t>the</w:t>
            </w:r>
            <w:r>
              <w:rPr>
                <w:spacing w:val="38"/>
                <w:sz w:val="18"/>
              </w:rPr>
              <w:t xml:space="preserve"> </w:t>
            </w:r>
            <w:r>
              <w:rPr>
                <w:sz w:val="18"/>
              </w:rPr>
              <w:t>KALTARA</w:t>
            </w:r>
            <w:r>
              <w:rPr>
                <w:spacing w:val="37"/>
                <w:sz w:val="18"/>
              </w:rPr>
              <w:t xml:space="preserve"> </w:t>
            </w:r>
            <w:r>
              <w:rPr>
                <w:sz w:val="18"/>
              </w:rPr>
              <w:t xml:space="preserve">Unggul </w:t>
            </w:r>
            <w:r>
              <w:rPr>
                <w:spacing w:val="-2"/>
                <w:sz w:val="18"/>
              </w:rPr>
              <w:t>Program</w:t>
            </w:r>
          </w:p>
        </w:tc>
        <w:tc>
          <w:tcPr>
            <w:tcW w:w="1096" w:type="dxa"/>
            <w:tcBorders>
              <w:top w:val="single" w:sz="4" w:space="0" w:color="A6A6A6"/>
              <w:left w:val="single" w:sz="4" w:space="0" w:color="A6A6A6"/>
              <w:bottom w:val="single" w:sz="4" w:space="0" w:color="A6A6A6"/>
              <w:right w:val="single" w:sz="4" w:space="0" w:color="A6A6A6"/>
            </w:tcBorders>
          </w:tcPr>
          <w:p w14:paraId="40FA4A10" w14:textId="77777777" w:rsidR="00BC24A8" w:rsidRDefault="00000000">
            <w:pPr>
              <w:pStyle w:val="TableParagraph"/>
              <w:spacing w:before="1"/>
              <w:ind w:left="108"/>
              <w:rPr>
                <w:sz w:val="18"/>
              </w:rPr>
            </w:pPr>
            <w:r>
              <w:rPr>
                <w:spacing w:val="-2"/>
                <w:sz w:val="18"/>
              </w:rPr>
              <w:t>KALTARA</w:t>
            </w:r>
          </w:p>
        </w:tc>
      </w:tr>
      <w:tr w:rsidR="00BC24A8" w14:paraId="14D13592"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33ABF24F" w14:textId="77777777" w:rsidR="00BC24A8" w:rsidRDefault="00000000">
            <w:pPr>
              <w:pStyle w:val="TableParagraph"/>
              <w:spacing w:line="219" w:lineRule="exact"/>
              <w:ind w:right="96"/>
              <w:jc w:val="right"/>
              <w:rPr>
                <w:sz w:val="18"/>
              </w:rPr>
            </w:pPr>
            <w:r>
              <w:rPr>
                <w:spacing w:val="-5"/>
                <w:sz w:val="18"/>
              </w:rPr>
              <w:t>46</w:t>
            </w:r>
          </w:p>
        </w:tc>
        <w:tc>
          <w:tcPr>
            <w:tcW w:w="955" w:type="dxa"/>
            <w:tcBorders>
              <w:top w:val="single" w:sz="4" w:space="0" w:color="A6A6A6"/>
              <w:left w:val="single" w:sz="4" w:space="0" w:color="A6A6A6"/>
              <w:bottom w:val="single" w:sz="4" w:space="0" w:color="A6A6A6"/>
              <w:right w:val="single" w:sz="4" w:space="0" w:color="A6A6A6"/>
            </w:tcBorders>
          </w:tcPr>
          <w:p w14:paraId="667B9C7C"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2F2F2E72" w14:textId="77777777" w:rsidR="00BC24A8" w:rsidRDefault="00000000">
            <w:pPr>
              <w:pStyle w:val="TableParagraph"/>
              <w:ind w:left="105" w:right="49"/>
              <w:rPr>
                <w:sz w:val="18"/>
              </w:rPr>
            </w:pPr>
            <w:r>
              <w:rPr>
                <w:spacing w:val="-2"/>
                <w:sz w:val="18"/>
              </w:rPr>
              <w:t>Policy Brief of Presidential Instruction No. 1/2025: Expenditure Efficiency in the Implementation</w:t>
            </w:r>
            <w:r>
              <w:rPr>
                <w:sz w:val="18"/>
              </w:rPr>
              <w:t xml:space="preserve"> of APBD 2025 in North Kalimantan Province</w:t>
            </w:r>
          </w:p>
        </w:tc>
        <w:tc>
          <w:tcPr>
            <w:tcW w:w="1096" w:type="dxa"/>
            <w:tcBorders>
              <w:top w:val="single" w:sz="4" w:space="0" w:color="A6A6A6"/>
              <w:left w:val="single" w:sz="4" w:space="0" w:color="A6A6A6"/>
              <w:bottom w:val="single" w:sz="4" w:space="0" w:color="A6A6A6"/>
              <w:right w:val="single" w:sz="4" w:space="0" w:color="A6A6A6"/>
            </w:tcBorders>
          </w:tcPr>
          <w:p w14:paraId="40158662" w14:textId="77777777" w:rsidR="00BC24A8" w:rsidRDefault="00000000">
            <w:pPr>
              <w:pStyle w:val="TableParagraph"/>
              <w:spacing w:line="219" w:lineRule="exact"/>
              <w:ind w:left="108"/>
              <w:rPr>
                <w:sz w:val="18"/>
              </w:rPr>
            </w:pPr>
            <w:r>
              <w:rPr>
                <w:spacing w:val="-2"/>
                <w:sz w:val="18"/>
              </w:rPr>
              <w:t>KALTARA</w:t>
            </w:r>
          </w:p>
        </w:tc>
      </w:tr>
      <w:tr w:rsidR="00BC24A8" w14:paraId="15979BD5"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3900DEF5" w14:textId="77777777" w:rsidR="00BC24A8" w:rsidRDefault="00000000">
            <w:pPr>
              <w:pStyle w:val="TableParagraph"/>
              <w:spacing w:line="219" w:lineRule="exact"/>
              <w:ind w:right="96"/>
              <w:jc w:val="right"/>
              <w:rPr>
                <w:sz w:val="18"/>
              </w:rPr>
            </w:pPr>
            <w:r>
              <w:rPr>
                <w:spacing w:val="-5"/>
                <w:sz w:val="18"/>
              </w:rPr>
              <w:t>47</w:t>
            </w:r>
          </w:p>
        </w:tc>
        <w:tc>
          <w:tcPr>
            <w:tcW w:w="955" w:type="dxa"/>
            <w:tcBorders>
              <w:top w:val="single" w:sz="4" w:space="0" w:color="A6A6A6"/>
              <w:left w:val="single" w:sz="4" w:space="0" w:color="A6A6A6"/>
              <w:bottom w:val="single" w:sz="4" w:space="0" w:color="A6A6A6"/>
              <w:right w:val="single" w:sz="4" w:space="0" w:color="A6A6A6"/>
            </w:tcBorders>
          </w:tcPr>
          <w:p w14:paraId="71762A54"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5D42C3BD" w14:textId="77777777" w:rsidR="00BC24A8" w:rsidRDefault="00000000">
            <w:pPr>
              <w:pStyle w:val="TableParagraph"/>
              <w:ind w:left="105"/>
              <w:rPr>
                <w:sz w:val="18"/>
              </w:rPr>
            </w:pPr>
            <w:r>
              <w:rPr>
                <w:spacing w:val="-2"/>
                <w:sz w:val="18"/>
              </w:rPr>
              <w:t>Education Quality Development: Strategies to Increase Employability of High School/Vocational</w:t>
            </w:r>
            <w:r>
              <w:rPr>
                <w:sz w:val="18"/>
              </w:rPr>
              <w:t xml:space="preserve"> Graduates in North Kalimantan</w:t>
            </w:r>
          </w:p>
        </w:tc>
        <w:tc>
          <w:tcPr>
            <w:tcW w:w="1096" w:type="dxa"/>
            <w:tcBorders>
              <w:top w:val="single" w:sz="4" w:space="0" w:color="A6A6A6"/>
              <w:left w:val="single" w:sz="4" w:space="0" w:color="A6A6A6"/>
              <w:bottom w:val="single" w:sz="4" w:space="0" w:color="A6A6A6"/>
              <w:right w:val="single" w:sz="4" w:space="0" w:color="A6A6A6"/>
            </w:tcBorders>
          </w:tcPr>
          <w:p w14:paraId="655C00CD" w14:textId="77777777" w:rsidR="00BC24A8" w:rsidRDefault="00000000">
            <w:pPr>
              <w:pStyle w:val="TableParagraph"/>
              <w:spacing w:line="219" w:lineRule="exact"/>
              <w:ind w:left="108"/>
              <w:rPr>
                <w:sz w:val="18"/>
              </w:rPr>
            </w:pPr>
            <w:r>
              <w:rPr>
                <w:spacing w:val="-2"/>
                <w:sz w:val="18"/>
              </w:rPr>
              <w:t>KALTARA</w:t>
            </w:r>
          </w:p>
        </w:tc>
      </w:tr>
      <w:tr w:rsidR="00BC24A8" w14:paraId="573C5A2F"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7441E84F" w14:textId="77777777" w:rsidR="00BC24A8" w:rsidRDefault="00000000">
            <w:pPr>
              <w:pStyle w:val="TableParagraph"/>
              <w:spacing w:before="1"/>
              <w:ind w:right="96"/>
              <w:jc w:val="right"/>
              <w:rPr>
                <w:sz w:val="18"/>
              </w:rPr>
            </w:pPr>
            <w:r>
              <w:rPr>
                <w:spacing w:val="-5"/>
                <w:sz w:val="18"/>
              </w:rPr>
              <w:t>48</w:t>
            </w:r>
          </w:p>
        </w:tc>
        <w:tc>
          <w:tcPr>
            <w:tcW w:w="955" w:type="dxa"/>
            <w:vMerge w:val="restart"/>
            <w:tcBorders>
              <w:top w:val="single" w:sz="4" w:space="0" w:color="A6A6A6"/>
              <w:left w:val="single" w:sz="4" w:space="0" w:color="A6A6A6"/>
              <w:bottom w:val="single" w:sz="4" w:space="0" w:color="A6A6A6"/>
              <w:right w:val="single" w:sz="4" w:space="0" w:color="A6A6A6"/>
            </w:tcBorders>
          </w:tcPr>
          <w:p w14:paraId="1F7A05CE"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273D60EA" w14:textId="77777777" w:rsidR="00BC24A8" w:rsidRDefault="00000000">
            <w:pPr>
              <w:pStyle w:val="TableParagraph"/>
              <w:spacing w:before="1"/>
              <w:ind w:left="105"/>
              <w:rPr>
                <w:sz w:val="18"/>
              </w:rPr>
            </w:pPr>
            <w:r>
              <w:rPr>
                <w:sz w:val="18"/>
              </w:rPr>
              <w:t>Realizing</w:t>
            </w:r>
            <w:r>
              <w:rPr>
                <w:spacing w:val="-8"/>
                <w:sz w:val="18"/>
              </w:rPr>
              <w:t xml:space="preserve"> </w:t>
            </w:r>
            <w:r>
              <w:rPr>
                <w:sz w:val="18"/>
              </w:rPr>
              <w:t>Accurate</w:t>
            </w:r>
            <w:r>
              <w:rPr>
                <w:spacing w:val="-6"/>
                <w:sz w:val="18"/>
              </w:rPr>
              <w:t xml:space="preserve"> </w:t>
            </w:r>
            <w:r>
              <w:rPr>
                <w:sz w:val="18"/>
              </w:rPr>
              <w:t>Data</w:t>
            </w:r>
            <w:r>
              <w:rPr>
                <w:spacing w:val="-7"/>
                <w:sz w:val="18"/>
              </w:rPr>
              <w:t xml:space="preserve"> </w:t>
            </w:r>
            <w:r>
              <w:rPr>
                <w:sz w:val="18"/>
              </w:rPr>
              <w:t>on</w:t>
            </w:r>
            <w:r>
              <w:rPr>
                <w:spacing w:val="-6"/>
                <w:sz w:val="18"/>
              </w:rPr>
              <w:t xml:space="preserve"> </w:t>
            </w:r>
            <w:r>
              <w:rPr>
                <w:sz w:val="18"/>
              </w:rPr>
              <w:t>Social</w:t>
            </w:r>
            <w:r>
              <w:rPr>
                <w:spacing w:val="-9"/>
                <w:sz w:val="18"/>
              </w:rPr>
              <w:t xml:space="preserve"> </w:t>
            </w:r>
            <w:r>
              <w:rPr>
                <w:sz w:val="18"/>
              </w:rPr>
              <w:t>Welfare</w:t>
            </w:r>
            <w:r>
              <w:rPr>
                <w:spacing w:val="-6"/>
                <w:sz w:val="18"/>
              </w:rPr>
              <w:t xml:space="preserve"> </w:t>
            </w:r>
            <w:r>
              <w:rPr>
                <w:sz w:val="18"/>
              </w:rPr>
              <w:t>Service</w:t>
            </w:r>
            <w:r>
              <w:rPr>
                <w:spacing w:val="-6"/>
                <w:sz w:val="18"/>
              </w:rPr>
              <w:t xml:space="preserve"> </w:t>
            </w:r>
            <w:r>
              <w:rPr>
                <w:sz w:val="18"/>
              </w:rPr>
              <w:t>Providers</w:t>
            </w:r>
            <w:r>
              <w:rPr>
                <w:spacing w:val="-6"/>
                <w:sz w:val="18"/>
              </w:rPr>
              <w:t xml:space="preserve"> </w:t>
            </w:r>
            <w:r>
              <w:rPr>
                <w:spacing w:val="-2"/>
                <w:sz w:val="18"/>
              </w:rPr>
              <w:t>(PPKS)</w:t>
            </w:r>
          </w:p>
        </w:tc>
        <w:tc>
          <w:tcPr>
            <w:tcW w:w="1096" w:type="dxa"/>
            <w:vMerge w:val="restart"/>
            <w:tcBorders>
              <w:top w:val="single" w:sz="4" w:space="0" w:color="A6A6A6"/>
              <w:left w:val="single" w:sz="4" w:space="0" w:color="A6A6A6"/>
              <w:bottom w:val="single" w:sz="4" w:space="0" w:color="A6A6A6"/>
              <w:right w:val="single" w:sz="4" w:space="0" w:color="A6A6A6"/>
            </w:tcBorders>
          </w:tcPr>
          <w:p w14:paraId="78BBC9DF" w14:textId="77777777" w:rsidR="00BC24A8" w:rsidRDefault="00000000">
            <w:pPr>
              <w:pStyle w:val="TableParagraph"/>
              <w:spacing w:before="1"/>
              <w:ind w:left="108"/>
              <w:rPr>
                <w:sz w:val="18"/>
              </w:rPr>
            </w:pPr>
            <w:r>
              <w:rPr>
                <w:spacing w:val="-2"/>
                <w:sz w:val="18"/>
              </w:rPr>
              <w:t>KALTARA</w:t>
            </w:r>
          </w:p>
        </w:tc>
      </w:tr>
      <w:tr w:rsidR="00BC24A8" w14:paraId="204A3CF3" w14:textId="77777777">
        <w:trPr>
          <w:trHeight w:val="220"/>
        </w:trPr>
        <w:tc>
          <w:tcPr>
            <w:tcW w:w="552" w:type="dxa"/>
            <w:tcBorders>
              <w:top w:val="single" w:sz="4" w:space="0" w:color="A6A6A6"/>
              <w:left w:val="single" w:sz="4" w:space="0" w:color="A6A6A6"/>
              <w:bottom w:val="single" w:sz="4" w:space="0" w:color="A6A6A6"/>
              <w:right w:val="single" w:sz="4" w:space="0" w:color="A6A6A6"/>
            </w:tcBorders>
          </w:tcPr>
          <w:p w14:paraId="415CA5C0" w14:textId="77777777" w:rsidR="00BC24A8" w:rsidRDefault="00000000">
            <w:pPr>
              <w:pStyle w:val="TableParagraph"/>
              <w:spacing w:before="1" w:line="199" w:lineRule="exact"/>
              <w:ind w:right="96"/>
              <w:jc w:val="right"/>
              <w:rPr>
                <w:sz w:val="18"/>
              </w:rPr>
            </w:pPr>
            <w:r>
              <w:rPr>
                <w:spacing w:val="-5"/>
                <w:sz w:val="18"/>
              </w:rPr>
              <w:t>49</w:t>
            </w:r>
          </w:p>
        </w:tc>
        <w:tc>
          <w:tcPr>
            <w:tcW w:w="955" w:type="dxa"/>
            <w:vMerge/>
            <w:tcBorders>
              <w:top w:val="nil"/>
              <w:left w:val="single" w:sz="4" w:space="0" w:color="A6A6A6"/>
              <w:bottom w:val="single" w:sz="4" w:space="0" w:color="A6A6A6"/>
              <w:right w:val="single" w:sz="4" w:space="0" w:color="A6A6A6"/>
            </w:tcBorders>
          </w:tcPr>
          <w:p w14:paraId="1A4F8713" w14:textId="77777777" w:rsidR="00BC24A8" w:rsidRDefault="00BC24A8">
            <w:pPr>
              <w:rPr>
                <w:sz w:val="2"/>
                <w:szCs w:val="2"/>
              </w:rPr>
            </w:pPr>
          </w:p>
        </w:tc>
        <w:tc>
          <w:tcPr>
            <w:tcW w:w="6993" w:type="dxa"/>
            <w:tcBorders>
              <w:top w:val="single" w:sz="4" w:space="0" w:color="A6A6A6"/>
              <w:left w:val="single" w:sz="4" w:space="0" w:color="A6A6A6"/>
              <w:bottom w:val="single" w:sz="4" w:space="0" w:color="A6A6A6"/>
              <w:right w:val="single" w:sz="4" w:space="0" w:color="A6A6A6"/>
            </w:tcBorders>
          </w:tcPr>
          <w:p w14:paraId="77FDB2F3" w14:textId="77777777" w:rsidR="00BC24A8" w:rsidRDefault="00000000">
            <w:pPr>
              <w:pStyle w:val="TableParagraph"/>
              <w:spacing w:before="1" w:line="199" w:lineRule="exact"/>
              <w:ind w:left="105"/>
              <w:rPr>
                <w:sz w:val="18"/>
              </w:rPr>
            </w:pPr>
            <w:r>
              <w:rPr>
                <w:sz w:val="18"/>
              </w:rPr>
              <w:t>through</w:t>
            </w:r>
            <w:r>
              <w:rPr>
                <w:spacing w:val="-9"/>
                <w:sz w:val="18"/>
              </w:rPr>
              <w:t xml:space="preserve"> </w:t>
            </w:r>
            <w:r>
              <w:rPr>
                <w:sz w:val="18"/>
              </w:rPr>
              <w:t>Optimizing</w:t>
            </w:r>
            <w:r>
              <w:rPr>
                <w:spacing w:val="-8"/>
                <w:sz w:val="18"/>
              </w:rPr>
              <w:t xml:space="preserve"> </w:t>
            </w:r>
            <w:r>
              <w:rPr>
                <w:sz w:val="18"/>
              </w:rPr>
              <w:t>the</w:t>
            </w:r>
            <w:r>
              <w:rPr>
                <w:spacing w:val="-8"/>
                <w:sz w:val="18"/>
              </w:rPr>
              <w:t xml:space="preserve"> </w:t>
            </w:r>
            <w:r>
              <w:rPr>
                <w:sz w:val="18"/>
              </w:rPr>
              <w:t>North</w:t>
            </w:r>
            <w:r>
              <w:rPr>
                <w:spacing w:val="-8"/>
                <w:sz w:val="18"/>
              </w:rPr>
              <w:t xml:space="preserve"> </w:t>
            </w:r>
            <w:r>
              <w:rPr>
                <w:sz w:val="18"/>
              </w:rPr>
              <w:t>Kalimantan</w:t>
            </w:r>
            <w:r>
              <w:rPr>
                <w:spacing w:val="-8"/>
                <w:sz w:val="18"/>
              </w:rPr>
              <w:t xml:space="preserve"> </w:t>
            </w:r>
            <w:r>
              <w:rPr>
                <w:sz w:val="18"/>
              </w:rPr>
              <w:t>Social</w:t>
            </w:r>
            <w:r>
              <w:rPr>
                <w:spacing w:val="-8"/>
                <w:sz w:val="18"/>
              </w:rPr>
              <w:t xml:space="preserve"> </w:t>
            </w:r>
            <w:r>
              <w:rPr>
                <w:sz w:val="18"/>
              </w:rPr>
              <w:t>Welfare</w:t>
            </w:r>
            <w:r>
              <w:rPr>
                <w:spacing w:val="-8"/>
                <w:sz w:val="18"/>
              </w:rPr>
              <w:t xml:space="preserve"> </w:t>
            </w:r>
            <w:r>
              <w:rPr>
                <w:sz w:val="18"/>
              </w:rPr>
              <w:t>Information</w:t>
            </w:r>
            <w:r>
              <w:rPr>
                <w:spacing w:val="-8"/>
                <w:sz w:val="18"/>
              </w:rPr>
              <w:t xml:space="preserve"> </w:t>
            </w:r>
            <w:r>
              <w:rPr>
                <w:sz w:val="18"/>
              </w:rPr>
              <w:t>System</w:t>
            </w:r>
            <w:r>
              <w:rPr>
                <w:spacing w:val="-8"/>
                <w:sz w:val="18"/>
              </w:rPr>
              <w:t xml:space="preserve"> </w:t>
            </w:r>
            <w:r>
              <w:rPr>
                <w:spacing w:val="-2"/>
                <w:sz w:val="18"/>
              </w:rPr>
              <w:t>(SIJOSKU)</w:t>
            </w:r>
          </w:p>
        </w:tc>
        <w:tc>
          <w:tcPr>
            <w:tcW w:w="1096" w:type="dxa"/>
            <w:vMerge/>
            <w:tcBorders>
              <w:top w:val="nil"/>
              <w:left w:val="single" w:sz="4" w:space="0" w:color="A6A6A6"/>
              <w:bottom w:val="single" w:sz="4" w:space="0" w:color="A6A6A6"/>
              <w:right w:val="single" w:sz="4" w:space="0" w:color="A6A6A6"/>
            </w:tcBorders>
          </w:tcPr>
          <w:p w14:paraId="5AC70651" w14:textId="77777777" w:rsidR="00BC24A8" w:rsidRDefault="00BC24A8">
            <w:pPr>
              <w:rPr>
                <w:sz w:val="2"/>
                <w:szCs w:val="2"/>
              </w:rPr>
            </w:pPr>
          </w:p>
        </w:tc>
      </w:tr>
      <w:tr w:rsidR="00BC24A8" w14:paraId="2449A0E1"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5B1102DA" w14:textId="77777777" w:rsidR="00BC24A8" w:rsidRDefault="00000000">
            <w:pPr>
              <w:pStyle w:val="TableParagraph"/>
              <w:spacing w:line="219" w:lineRule="exact"/>
              <w:ind w:right="96"/>
              <w:jc w:val="right"/>
              <w:rPr>
                <w:sz w:val="18"/>
              </w:rPr>
            </w:pPr>
            <w:r>
              <w:rPr>
                <w:spacing w:val="-5"/>
                <w:sz w:val="18"/>
              </w:rPr>
              <w:t>50</w:t>
            </w:r>
          </w:p>
        </w:tc>
        <w:tc>
          <w:tcPr>
            <w:tcW w:w="955" w:type="dxa"/>
            <w:tcBorders>
              <w:top w:val="single" w:sz="4" w:space="0" w:color="A6A6A6"/>
              <w:left w:val="single" w:sz="4" w:space="0" w:color="A6A6A6"/>
              <w:bottom w:val="single" w:sz="4" w:space="0" w:color="A6A6A6"/>
              <w:right w:val="single" w:sz="4" w:space="0" w:color="A6A6A6"/>
            </w:tcBorders>
          </w:tcPr>
          <w:p w14:paraId="36A75776"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4CD323C8" w14:textId="77777777" w:rsidR="00BC24A8" w:rsidRDefault="00000000">
            <w:pPr>
              <w:pStyle w:val="TableParagraph"/>
              <w:ind w:left="105"/>
              <w:rPr>
                <w:sz w:val="18"/>
              </w:rPr>
            </w:pPr>
            <w:r>
              <w:rPr>
                <w:sz w:val="18"/>
              </w:rPr>
              <w:t>Mitigation</w:t>
            </w:r>
            <w:r>
              <w:rPr>
                <w:spacing w:val="40"/>
                <w:sz w:val="18"/>
              </w:rPr>
              <w:t xml:space="preserve"> </w:t>
            </w:r>
            <w:r>
              <w:rPr>
                <w:sz w:val="18"/>
              </w:rPr>
              <w:t>of</w:t>
            </w:r>
            <w:r>
              <w:rPr>
                <w:spacing w:val="40"/>
                <w:sz w:val="18"/>
              </w:rPr>
              <w:t xml:space="preserve"> </w:t>
            </w:r>
            <w:r>
              <w:rPr>
                <w:sz w:val="18"/>
              </w:rPr>
              <w:t>Slum</w:t>
            </w:r>
            <w:r>
              <w:rPr>
                <w:spacing w:val="40"/>
                <w:sz w:val="18"/>
              </w:rPr>
              <w:t xml:space="preserve"> </w:t>
            </w:r>
            <w:r>
              <w:rPr>
                <w:sz w:val="18"/>
              </w:rPr>
              <w:t>Settlement</w:t>
            </w:r>
            <w:r>
              <w:rPr>
                <w:spacing w:val="40"/>
                <w:sz w:val="18"/>
              </w:rPr>
              <w:t xml:space="preserve"> </w:t>
            </w:r>
            <w:r>
              <w:rPr>
                <w:sz w:val="18"/>
              </w:rPr>
              <w:t>Management</w:t>
            </w:r>
            <w:r>
              <w:rPr>
                <w:spacing w:val="40"/>
                <w:sz w:val="18"/>
              </w:rPr>
              <w:t xml:space="preserve"> </w:t>
            </w:r>
            <w:r>
              <w:rPr>
                <w:sz w:val="18"/>
              </w:rPr>
              <w:t>in</w:t>
            </w:r>
            <w:r>
              <w:rPr>
                <w:spacing w:val="40"/>
                <w:sz w:val="18"/>
              </w:rPr>
              <w:t xml:space="preserve"> </w:t>
            </w:r>
            <w:r>
              <w:rPr>
                <w:sz w:val="18"/>
              </w:rPr>
              <w:t>relation</w:t>
            </w:r>
            <w:r>
              <w:rPr>
                <w:spacing w:val="40"/>
                <w:sz w:val="18"/>
              </w:rPr>
              <w:t xml:space="preserve"> </w:t>
            </w:r>
            <w:r>
              <w:rPr>
                <w:sz w:val="18"/>
              </w:rPr>
              <w:t>to</w:t>
            </w:r>
            <w:r>
              <w:rPr>
                <w:spacing w:val="40"/>
                <w:sz w:val="18"/>
              </w:rPr>
              <w:t xml:space="preserve"> </w:t>
            </w:r>
            <w:r>
              <w:rPr>
                <w:sz w:val="18"/>
              </w:rPr>
              <w:t>Population</w:t>
            </w:r>
            <w:r>
              <w:rPr>
                <w:spacing w:val="40"/>
                <w:sz w:val="18"/>
              </w:rPr>
              <w:t xml:space="preserve"> </w:t>
            </w:r>
            <w:r>
              <w:rPr>
                <w:sz w:val="18"/>
              </w:rPr>
              <w:t>Growth</w:t>
            </w:r>
            <w:r>
              <w:rPr>
                <w:spacing w:val="40"/>
                <w:sz w:val="18"/>
              </w:rPr>
              <w:t xml:space="preserve"> </w:t>
            </w:r>
            <w:r>
              <w:rPr>
                <w:sz w:val="18"/>
              </w:rPr>
              <w:t>in</w:t>
            </w:r>
            <w:r>
              <w:rPr>
                <w:spacing w:val="40"/>
                <w:sz w:val="18"/>
              </w:rPr>
              <w:t xml:space="preserve"> </w:t>
            </w:r>
            <w:r>
              <w:rPr>
                <w:sz w:val="18"/>
              </w:rPr>
              <w:t xml:space="preserve">North </w:t>
            </w:r>
            <w:r>
              <w:rPr>
                <w:spacing w:val="-2"/>
                <w:sz w:val="18"/>
              </w:rPr>
              <w:t>Kalimantan</w:t>
            </w:r>
          </w:p>
        </w:tc>
        <w:tc>
          <w:tcPr>
            <w:tcW w:w="1096" w:type="dxa"/>
            <w:tcBorders>
              <w:top w:val="single" w:sz="4" w:space="0" w:color="A6A6A6"/>
              <w:left w:val="single" w:sz="4" w:space="0" w:color="A6A6A6"/>
              <w:bottom w:val="single" w:sz="4" w:space="0" w:color="A6A6A6"/>
              <w:right w:val="single" w:sz="4" w:space="0" w:color="A6A6A6"/>
            </w:tcBorders>
          </w:tcPr>
          <w:p w14:paraId="5B10884C" w14:textId="77777777" w:rsidR="00BC24A8" w:rsidRDefault="00000000">
            <w:pPr>
              <w:pStyle w:val="TableParagraph"/>
              <w:spacing w:line="219" w:lineRule="exact"/>
              <w:ind w:left="108"/>
              <w:rPr>
                <w:sz w:val="18"/>
              </w:rPr>
            </w:pPr>
            <w:r>
              <w:rPr>
                <w:spacing w:val="-2"/>
                <w:sz w:val="18"/>
              </w:rPr>
              <w:t>KALTARA</w:t>
            </w:r>
          </w:p>
        </w:tc>
      </w:tr>
      <w:tr w:rsidR="00BC24A8" w14:paraId="71D6A32D"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37ADA657" w14:textId="77777777" w:rsidR="00BC24A8" w:rsidRDefault="00000000">
            <w:pPr>
              <w:pStyle w:val="TableParagraph"/>
              <w:spacing w:before="1"/>
              <w:ind w:right="96"/>
              <w:jc w:val="right"/>
              <w:rPr>
                <w:sz w:val="18"/>
              </w:rPr>
            </w:pPr>
            <w:r>
              <w:rPr>
                <w:spacing w:val="-5"/>
                <w:sz w:val="18"/>
              </w:rPr>
              <w:t>51</w:t>
            </w:r>
          </w:p>
        </w:tc>
        <w:tc>
          <w:tcPr>
            <w:tcW w:w="955" w:type="dxa"/>
            <w:tcBorders>
              <w:top w:val="single" w:sz="4" w:space="0" w:color="A6A6A6"/>
              <w:left w:val="single" w:sz="4" w:space="0" w:color="A6A6A6"/>
              <w:bottom w:val="single" w:sz="4" w:space="0" w:color="A6A6A6"/>
              <w:right w:val="single" w:sz="4" w:space="0" w:color="A6A6A6"/>
            </w:tcBorders>
          </w:tcPr>
          <w:p w14:paraId="1BD31FD7"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0D79327B" w14:textId="77777777" w:rsidR="00BC24A8" w:rsidRDefault="00000000">
            <w:pPr>
              <w:pStyle w:val="TableParagraph"/>
              <w:spacing w:before="1"/>
              <w:ind w:left="105"/>
              <w:rPr>
                <w:sz w:val="18"/>
              </w:rPr>
            </w:pPr>
            <w:r>
              <w:rPr>
                <w:sz w:val="18"/>
              </w:rPr>
              <w:t>Optimizing the Control</w:t>
            </w:r>
            <w:r>
              <w:rPr>
                <w:spacing w:val="17"/>
                <w:sz w:val="18"/>
              </w:rPr>
              <w:t xml:space="preserve"> </w:t>
            </w:r>
            <w:r>
              <w:rPr>
                <w:sz w:val="18"/>
              </w:rPr>
              <w:t>of Illegal</w:t>
            </w:r>
            <w:r>
              <w:rPr>
                <w:spacing w:val="16"/>
                <w:sz w:val="18"/>
              </w:rPr>
              <w:t xml:space="preserve"> </w:t>
            </w:r>
            <w:r>
              <w:rPr>
                <w:sz w:val="18"/>
              </w:rPr>
              <w:t>Alcohol</w:t>
            </w:r>
            <w:r>
              <w:rPr>
                <w:spacing w:val="16"/>
                <w:sz w:val="18"/>
              </w:rPr>
              <w:t xml:space="preserve"> </w:t>
            </w:r>
            <w:r>
              <w:rPr>
                <w:sz w:val="18"/>
              </w:rPr>
              <w:t>Distribution: Integrated Strategy</w:t>
            </w:r>
            <w:r>
              <w:rPr>
                <w:spacing w:val="17"/>
                <w:sz w:val="18"/>
              </w:rPr>
              <w:t xml:space="preserve"> </w:t>
            </w:r>
            <w:r>
              <w:rPr>
                <w:sz w:val="18"/>
              </w:rPr>
              <w:t>to Achieve</w:t>
            </w:r>
            <w:r>
              <w:rPr>
                <w:spacing w:val="17"/>
                <w:sz w:val="18"/>
              </w:rPr>
              <w:t xml:space="preserve"> </w:t>
            </w:r>
            <w:r>
              <w:rPr>
                <w:sz w:val="18"/>
              </w:rPr>
              <w:t>Peace, Order, and Beauty (K3) in North Kalimantan</w:t>
            </w:r>
          </w:p>
        </w:tc>
        <w:tc>
          <w:tcPr>
            <w:tcW w:w="1096" w:type="dxa"/>
            <w:tcBorders>
              <w:top w:val="single" w:sz="4" w:space="0" w:color="A6A6A6"/>
              <w:left w:val="single" w:sz="4" w:space="0" w:color="A6A6A6"/>
              <w:bottom w:val="single" w:sz="4" w:space="0" w:color="A6A6A6"/>
              <w:right w:val="single" w:sz="4" w:space="0" w:color="A6A6A6"/>
            </w:tcBorders>
          </w:tcPr>
          <w:p w14:paraId="7D925513" w14:textId="77777777" w:rsidR="00BC24A8" w:rsidRDefault="00000000">
            <w:pPr>
              <w:pStyle w:val="TableParagraph"/>
              <w:spacing w:before="1"/>
              <w:ind w:left="108"/>
              <w:rPr>
                <w:sz w:val="18"/>
              </w:rPr>
            </w:pPr>
            <w:r>
              <w:rPr>
                <w:spacing w:val="-2"/>
                <w:sz w:val="18"/>
              </w:rPr>
              <w:t>KALTARA</w:t>
            </w:r>
          </w:p>
        </w:tc>
      </w:tr>
      <w:tr w:rsidR="00BC24A8" w14:paraId="4ADD4247" w14:textId="77777777">
        <w:trPr>
          <w:trHeight w:val="278"/>
        </w:trPr>
        <w:tc>
          <w:tcPr>
            <w:tcW w:w="552" w:type="dxa"/>
            <w:tcBorders>
              <w:top w:val="single" w:sz="4" w:space="0" w:color="A6A6A6"/>
              <w:left w:val="single" w:sz="4" w:space="0" w:color="A6A6A6"/>
              <w:bottom w:val="single" w:sz="4" w:space="0" w:color="A6A6A6"/>
              <w:right w:val="single" w:sz="4" w:space="0" w:color="A6A6A6"/>
            </w:tcBorders>
          </w:tcPr>
          <w:p w14:paraId="523ED721" w14:textId="77777777" w:rsidR="00BC24A8" w:rsidRDefault="00000000">
            <w:pPr>
              <w:pStyle w:val="TableParagraph"/>
              <w:spacing w:before="1"/>
              <w:ind w:right="96"/>
              <w:jc w:val="right"/>
              <w:rPr>
                <w:sz w:val="18"/>
              </w:rPr>
            </w:pPr>
            <w:r>
              <w:rPr>
                <w:spacing w:val="-5"/>
                <w:sz w:val="18"/>
              </w:rPr>
              <w:t>52</w:t>
            </w:r>
          </w:p>
        </w:tc>
        <w:tc>
          <w:tcPr>
            <w:tcW w:w="955" w:type="dxa"/>
            <w:vMerge w:val="restart"/>
            <w:tcBorders>
              <w:top w:val="single" w:sz="4" w:space="0" w:color="A6A6A6"/>
              <w:left w:val="single" w:sz="4" w:space="0" w:color="A6A6A6"/>
              <w:bottom w:val="single" w:sz="4" w:space="0" w:color="A6A6A6"/>
              <w:right w:val="single" w:sz="4" w:space="0" w:color="A6A6A6"/>
            </w:tcBorders>
          </w:tcPr>
          <w:p w14:paraId="4FCFE87A"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761661D7" w14:textId="77777777" w:rsidR="00BC24A8" w:rsidRDefault="00000000">
            <w:pPr>
              <w:pStyle w:val="TableParagraph"/>
              <w:spacing w:before="1"/>
              <w:ind w:left="105"/>
              <w:rPr>
                <w:sz w:val="18"/>
              </w:rPr>
            </w:pPr>
            <w:r>
              <w:rPr>
                <w:sz w:val="18"/>
              </w:rPr>
              <w:t>Realizing</w:t>
            </w:r>
            <w:r>
              <w:rPr>
                <w:spacing w:val="-7"/>
                <w:sz w:val="18"/>
              </w:rPr>
              <w:t xml:space="preserve"> </w:t>
            </w:r>
            <w:r>
              <w:rPr>
                <w:sz w:val="18"/>
              </w:rPr>
              <w:t>an</w:t>
            </w:r>
            <w:r>
              <w:rPr>
                <w:spacing w:val="-6"/>
                <w:sz w:val="18"/>
              </w:rPr>
              <w:t xml:space="preserve"> </w:t>
            </w:r>
            <w:r>
              <w:rPr>
                <w:sz w:val="18"/>
              </w:rPr>
              <w:t>industrial</w:t>
            </w:r>
            <w:r>
              <w:rPr>
                <w:spacing w:val="-5"/>
                <w:sz w:val="18"/>
              </w:rPr>
              <w:t xml:space="preserve"> </w:t>
            </w:r>
            <w:r>
              <w:rPr>
                <w:sz w:val="18"/>
              </w:rPr>
              <w:t>environment</w:t>
            </w:r>
            <w:r>
              <w:rPr>
                <w:spacing w:val="-5"/>
                <w:sz w:val="18"/>
              </w:rPr>
              <w:t xml:space="preserve"> </w:t>
            </w:r>
            <w:r>
              <w:rPr>
                <w:sz w:val="18"/>
              </w:rPr>
              <w:t>that</w:t>
            </w:r>
            <w:r>
              <w:rPr>
                <w:spacing w:val="-5"/>
                <w:sz w:val="18"/>
              </w:rPr>
              <w:t xml:space="preserve"> </w:t>
            </w:r>
            <w:r>
              <w:rPr>
                <w:sz w:val="18"/>
              </w:rPr>
              <w:t>cares</w:t>
            </w:r>
            <w:r>
              <w:rPr>
                <w:spacing w:val="-6"/>
                <w:sz w:val="18"/>
              </w:rPr>
              <w:t xml:space="preserve"> </w:t>
            </w:r>
            <w:r>
              <w:rPr>
                <w:sz w:val="18"/>
              </w:rPr>
              <w:t>about</w:t>
            </w:r>
            <w:r>
              <w:rPr>
                <w:spacing w:val="-5"/>
                <w:sz w:val="18"/>
              </w:rPr>
              <w:t xml:space="preserve"> </w:t>
            </w:r>
            <w:r>
              <w:rPr>
                <w:sz w:val="18"/>
              </w:rPr>
              <w:t>preventing</w:t>
            </w:r>
            <w:r>
              <w:rPr>
                <w:spacing w:val="-6"/>
                <w:sz w:val="18"/>
              </w:rPr>
              <w:t xml:space="preserve"> </w:t>
            </w:r>
            <w:r>
              <w:rPr>
                <w:sz w:val="18"/>
              </w:rPr>
              <w:t>HIV</w:t>
            </w:r>
            <w:r>
              <w:rPr>
                <w:spacing w:val="-5"/>
                <w:sz w:val="18"/>
              </w:rPr>
              <w:t xml:space="preserve"> </w:t>
            </w:r>
            <w:r>
              <w:rPr>
                <w:spacing w:val="-2"/>
                <w:sz w:val="18"/>
              </w:rPr>
              <w:t>transmission</w:t>
            </w:r>
          </w:p>
        </w:tc>
        <w:tc>
          <w:tcPr>
            <w:tcW w:w="1096" w:type="dxa"/>
            <w:vMerge w:val="restart"/>
            <w:tcBorders>
              <w:top w:val="single" w:sz="4" w:space="0" w:color="A6A6A6"/>
              <w:left w:val="single" w:sz="4" w:space="0" w:color="A6A6A6"/>
              <w:bottom w:val="single" w:sz="4" w:space="0" w:color="A6A6A6"/>
              <w:right w:val="single" w:sz="4" w:space="0" w:color="A6A6A6"/>
            </w:tcBorders>
          </w:tcPr>
          <w:p w14:paraId="53B466EC" w14:textId="77777777" w:rsidR="00BC24A8" w:rsidRDefault="00000000">
            <w:pPr>
              <w:pStyle w:val="TableParagraph"/>
              <w:spacing w:before="1"/>
              <w:ind w:left="108"/>
              <w:rPr>
                <w:sz w:val="18"/>
              </w:rPr>
            </w:pPr>
            <w:r>
              <w:rPr>
                <w:spacing w:val="-2"/>
                <w:sz w:val="18"/>
              </w:rPr>
              <w:t>KALTARA</w:t>
            </w:r>
          </w:p>
        </w:tc>
      </w:tr>
      <w:tr w:rsidR="00BC24A8" w14:paraId="56A3D236"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25446FC4" w14:textId="77777777" w:rsidR="00BC24A8" w:rsidRDefault="00000000">
            <w:pPr>
              <w:pStyle w:val="TableParagraph"/>
              <w:spacing w:line="219" w:lineRule="exact"/>
              <w:ind w:right="96"/>
              <w:jc w:val="right"/>
              <w:rPr>
                <w:sz w:val="18"/>
              </w:rPr>
            </w:pPr>
            <w:r>
              <w:rPr>
                <w:spacing w:val="-5"/>
                <w:sz w:val="18"/>
              </w:rPr>
              <w:t>53</w:t>
            </w:r>
          </w:p>
        </w:tc>
        <w:tc>
          <w:tcPr>
            <w:tcW w:w="955" w:type="dxa"/>
            <w:vMerge/>
            <w:tcBorders>
              <w:top w:val="nil"/>
              <w:left w:val="single" w:sz="4" w:space="0" w:color="A6A6A6"/>
              <w:bottom w:val="single" w:sz="4" w:space="0" w:color="A6A6A6"/>
              <w:right w:val="single" w:sz="4" w:space="0" w:color="A6A6A6"/>
            </w:tcBorders>
          </w:tcPr>
          <w:p w14:paraId="4D80811A" w14:textId="77777777" w:rsidR="00BC24A8" w:rsidRDefault="00BC24A8">
            <w:pPr>
              <w:rPr>
                <w:sz w:val="2"/>
                <w:szCs w:val="2"/>
              </w:rPr>
            </w:pPr>
          </w:p>
        </w:tc>
        <w:tc>
          <w:tcPr>
            <w:tcW w:w="6993" w:type="dxa"/>
            <w:tcBorders>
              <w:top w:val="single" w:sz="4" w:space="0" w:color="A6A6A6"/>
              <w:left w:val="single" w:sz="4" w:space="0" w:color="A6A6A6"/>
              <w:bottom w:val="single" w:sz="4" w:space="0" w:color="A6A6A6"/>
              <w:right w:val="single" w:sz="4" w:space="0" w:color="A6A6A6"/>
            </w:tcBorders>
          </w:tcPr>
          <w:p w14:paraId="55E5A68C" w14:textId="77777777" w:rsidR="00BC24A8" w:rsidRDefault="00000000">
            <w:pPr>
              <w:pStyle w:val="TableParagraph"/>
              <w:spacing w:line="219" w:lineRule="exact"/>
              <w:ind w:left="105"/>
              <w:rPr>
                <w:sz w:val="18"/>
              </w:rPr>
            </w:pPr>
            <w:r>
              <w:rPr>
                <w:sz w:val="18"/>
              </w:rPr>
              <w:t>in</w:t>
            </w:r>
            <w:r>
              <w:rPr>
                <w:spacing w:val="-2"/>
                <w:sz w:val="18"/>
              </w:rPr>
              <w:t xml:space="preserve"> </w:t>
            </w:r>
            <w:r>
              <w:rPr>
                <w:sz w:val="18"/>
              </w:rPr>
              <w:t xml:space="preserve">North </w:t>
            </w:r>
            <w:r>
              <w:rPr>
                <w:spacing w:val="-2"/>
                <w:sz w:val="18"/>
              </w:rPr>
              <w:t>Kalimantan</w:t>
            </w:r>
          </w:p>
        </w:tc>
        <w:tc>
          <w:tcPr>
            <w:tcW w:w="1096" w:type="dxa"/>
            <w:vMerge/>
            <w:tcBorders>
              <w:top w:val="nil"/>
              <w:left w:val="single" w:sz="4" w:space="0" w:color="A6A6A6"/>
              <w:bottom w:val="single" w:sz="4" w:space="0" w:color="A6A6A6"/>
              <w:right w:val="single" w:sz="4" w:space="0" w:color="A6A6A6"/>
            </w:tcBorders>
          </w:tcPr>
          <w:p w14:paraId="66333C79" w14:textId="77777777" w:rsidR="00BC24A8" w:rsidRDefault="00BC24A8">
            <w:pPr>
              <w:rPr>
                <w:sz w:val="2"/>
                <w:szCs w:val="2"/>
              </w:rPr>
            </w:pPr>
          </w:p>
        </w:tc>
      </w:tr>
      <w:tr w:rsidR="00BC24A8" w14:paraId="41E410DD" w14:textId="77777777">
        <w:trPr>
          <w:trHeight w:val="256"/>
        </w:trPr>
        <w:tc>
          <w:tcPr>
            <w:tcW w:w="552" w:type="dxa"/>
            <w:tcBorders>
              <w:top w:val="single" w:sz="4" w:space="0" w:color="A6A6A6"/>
              <w:left w:val="single" w:sz="4" w:space="0" w:color="A6A6A6"/>
              <w:bottom w:val="single" w:sz="4" w:space="0" w:color="A6A6A6"/>
              <w:right w:val="single" w:sz="4" w:space="0" w:color="A6A6A6"/>
            </w:tcBorders>
          </w:tcPr>
          <w:p w14:paraId="65C43CCE" w14:textId="77777777" w:rsidR="00BC24A8" w:rsidRDefault="00000000">
            <w:pPr>
              <w:pStyle w:val="TableParagraph"/>
              <w:spacing w:line="219" w:lineRule="exact"/>
              <w:ind w:right="96"/>
              <w:jc w:val="right"/>
              <w:rPr>
                <w:sz w:val="18"/>
              </w:rPr>
            </w:pPr>
            <w:r>
              <w:rPr>
                <w:spacing w:val="-5"/>
                <w:sz w:val="18"/>
              </w:rPr>
              <w:t>54</w:t>
            </w:r>
          </w:p>
        </w:tc>
        <w:tc>
          <w:tcPr>
            <w:tcW w:w="955" w:type="dxa"/>
            <w:tcBorders>
              <w:top w:val="single" w:sz="4" w:space="0" w:color="A6A6A6"/>
              <w:left w:val="single" w:sz="4" w:space="0" w:color="A6A6A6"/>
              <w:bottom w:val="single" w:sz="4" w:space="0" w:color="A6A6A6"/>
              <w:right w:val="single" w:sz="4" w:space="0" w:color="A6A6A6"/>
            </w:tcBorders>
          </w:tcPr>
          <w:p w14:paraId="345D86D9"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030B0EC6" w14:textId="77777777" w:rsidR="00BC24A8" w:rsidRDefault="00000000">
            <w:pPr>
              <w:pStyle w:val="TableParagraph"/>
              <w:spacing w:line="219" w:lineRule="exact"/>
              <w:ind w:left="105"/>
              <w:rPr>
                <w:sz w:val="18"/>
              </w:rPr>
            </w:pPr>
            <w:r>
              <w:rPr>
                <w:sz w:val="18"/>
              </w:rPr>
              <w:t>The</w:t>
            </w:r>
            <w:r>
              <w:rPr>
                <w:spacing w:val="-7"/>
                <w:sz w:val="18"/>
              </w:rPr>
              <w:t xml:space="preserve"> </w:t>
            </w:r>
            <w:r>
              <w:rPr>
                <w:sz w:val="18"/>
              </w:rPr>
              <w:t>Double</w:t>
            </w:r>
            <w:r>
              <w:rPr>
                <w:spacing w:val="-6"/>
                <w:sz w:val="18"/>
              </w:rPr>
              <w:t xml:space="preserve"> </w:t>
            </w:r>
            <w:r>
              <w:rPr>
                <w:sz w:val="18"/>
              </w:rPr>
              <w:t>Effect</w:t>
            </w:r>
            <w:r>
              <w:rPr>
                <w:spacing w:val="-5"/>
                <w:sz w:val="18"/>
              </w:rPr>
              <w:t xml:space="preserve"> </w:t>
            </w:r>
            <w:r>
              <w:rPr>
                <w:sz w:val="18"/>
              </w:rPr>
              <w:t>of</w:t>
            </w:r>
            <w:r>
              <w:rPr>
                <w:spacing w:val="-7"/>
                <w:sz w:val="18"/>
              </w:rPr>
              <w:t xml:space="preserve"> </w:t>
            </w:r>
            <w:r>
              <w:rPr>
                <w:sz w:val="18"/>
              </w:rPr>
              <w:t>Drinking</w:t>
            </w:r>
            <w:r>
              <w:rPr>
                <w:spacing w:val="-8"/>
                <w:sz w:val="18"/>
              </w:rPr>
              <w:t xml:space="preserve"> </w:t>
            </w:r>
            <w:r>
              <w:rPr>
                <w:sz w:val="18"/>
              </w:rPr>
              <w:t>Water</w:t>
            </w:r>
            <w:r>
              <w:rPr>
                <w:spacing w:val="-6"/>
                <w:sz w:val="18"/>
              </w:rPr>
              <w:t xml:space="preserve"> </w:t>
            </w:r>
            <w:r>
              <w:rPr>
                <w:sz w:val="18"/>
              </w:rPr>
              <w:t>Management:</w:t>
            </w:r>
            <w:r>
              <w:rPr>
                <w:spacing w:val="-6"/>
                <w:sz w:val="18"/>
              </w:rPr>
              <w:t xml:space="preserve"> </w:t>
            </w:r>
            <w:r>
              <w:rPr>
                <w:sz w:val="18"/>
              </w:rPr>
              <w:t>Improved</w:t>
            </w:r>
            <w:r>
              <w:rPr>
                <w:spacing w:val="-7"/>
                <w:sz w:val="18"/>
              </w:rPr>
              <w:t xml:space="preserve"> </w:t>
            </w:r>
            <w:r>
              <w:rPr>
                <w:sz w:val="18"/>
              </w:rPr>
              <w:t>MSS</w:t>
            </w:r>
            <w:r>
              <w:rPr>
                <w:spacing w:val="-6"/>
                <w:sz w:val="18"/>
              </w:rPr>
              <w:t xml:space="preserve"> </w:t>
            </w:r>
            <w:r>
              <w:rPr>
                <w:sz w:val="18"/>
              </w:rPr>
              <w:t>and</w:t>
            </w:r>
            <w:r>
              <w:rPr>
                <w:spacing w:val="-6"/>
                <w:sz w:val="18"/>
              </w:rPr>
              <w:t xml:space="preserve"> </w:t>
            </w:r>
            <w:r>
              <w:rPr>
                <w:sz w:val="18"/>
              </w:rPr>
              <w:t>PAD</w:t>
            </w:r>
            <w:r>
              <w:rPr>
                <w:spacing w:val="-5"/>
                <w:sz w:val="18"/>
              </w:rPr>
              <w:t xml:space="preserve"> </w:t>
            </w:r>
            <w:r>
              <w:rPr>
                <w:spacing w:val="-2"/>
                <w:sz w:val="18"/>
              </w:rPr>
              <w:t>Achievement</w:t>
            </w:r>
          </w:p>
        </w:tc>
        <w:tc>
          <w:tcPr>
            <w:tcW w:w="1096" w:type="dxa"/>
            <w:tcBorders>
              <w:top w:val="single" w:sz="4" w:space="0" w:color="A6A6A6"/>
              <w:left w:val="single" w:sz="4" w:space="0" w:color="A6A6A6"/>
              <w:bottom w:val="single" w:sz="4" w:space="0" w:color="A6A6A6"/>
              <w:right w:val="single" w:sz="4" w:space="0" w:color="A6A6A6"/>
            </w:tcBorders>
          </w:tcPr>
          <w:p w14:paraId="5A427089" w14:textId="77777777" w:rsidR="00BC24A8" w:rsidRDefault="00000000">
            <w:pPr>
              <w:pStyle w:val="TableParagraph"/>
              <w:spacing w:line="219" w:lineRule="exact"/>
              <w:ind w:left="108"/>
              <w:rPr>
                <w:sz w:val="18"/>
              </w:rPr>
            </w:pPr>
            <w:r>
              <w:rPr>
                <w:spacing w:val="-2"/>
                <w:sz w:val="18"/>
              </w:rPr>
              <w:t>Maluku</w:t>
            </w:r>
          </w:p>
        </w:tc>
      </w:tr>
      <w:tr w:rsidR="00BC24A8" w14:paraId="0D5A7BA6"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6567B7A3" w14:textId="77777777" w:rsidR="00BC24A8" w:rsidRDefault="00000000">
            <w:pPr>
              <w:pStyle w:val="TableParagraph"/>
              <w:spacing w:before="1"/>
              <w:ind w:right="96"/>
              <w:jc w:val="right"/>
              <w:rPr>
                <w:sz w:val="18"/>
              </w:rPr>
            </w:pPr>
            <w:r>
              <w:rPr>
                <w:spacing w:val="-5"/>
                <w:sz w:val="18"/>
              </w:rPr>
              <w:t>55</w:t>
            </w:r>
          </w:p>
        </w:tc>
        <w:tc>
          <w:tcPr>
            <w:tcW w:w="955" w:type="dxa"/>
            <w:tcBorders>
              <w:top w:val="single" w:sz="4" w:space="0" w:color="A6A6A6"/>
              <w:left w:val="single" w:sz="4" w:space="0" w:color="A6A6A6"/>
              <w:bottom w:val="single" w:sz="4" w:space="0" w:color="A6A6A6"/>
              <w:right w:val="single" w:sz="4" w:space="0" w:color="A6A6A6"/>
            </w:tcBorders>
          </w:tcPr>
          <w:p w14:paraId="56FCE1BF"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3E6D4E0E" w14:textId="77777777" w:rsidR="00BC24A8" w:rsidRDefault="00000000">
            <w:pPr>
              <w:pStyle w:val="TableParagraph"/>
              <w:spacing w:before="1"/>
              <w:ind w:left="105"/>
              <w:rPr>
                <w:sz w:val="18"/>
              </w:rPr>
            </w:pPr>
            <w:r>
              <w:rPr>
                <w:sz w:val="18"/>
              </w:rPr>
              <w:t>Optimization</w:t>
            </w:r>
            <w:r>
              <w:rPr>
                <w:spacing w:val="-4"/>
                <w:sz w:val="18"/>
              </w:rPr>
              <w:t xml:space="preserve"> </w:t>
            </w:r>
            <w:r>
              <w:rPr>
                <w:sz w:val="18"/>
              </w:rPr>
              <w:t>of</w:t>
            </w:r>
            <w:r>
              <w:rPr>
                <w:spacing w:val="-5"/>
                <w:sz w:val="18"/>
              </w:rPr>
              <w:t xml:space="preserve"> </w:t>
            </w:r>
            <w:r>
              <w:rPr>
                <w:sz w:val="18"/>
              </w:rPr>
              <w:t>ADMINDUK</w:t>
            </w:r>
            <w:r>
              <w:rPr>
                <w:spacing w:val="-4"/>
                <w:sz w:val="18"/>
              </w:rPr>
              <w:t xml:space="preserve"> </w:t>
            </w:r>
            <w:r>
              <w:rPr>
                <w:sz w:val="18"/>
              </w:rPr>
              <w:t>Data</w:t>
            </w:r>
            <w:r>
              <w:rPr>
                <w:spacing w:val="-7"/>
                <w:sz w:val="18"/>
              </w:rPr>
              <w:t xml:space="preserve"> </w:t>
            </w:r>
            <w:r>
              <w:rPr>
                <w:sz w:val="18"/>
              </w:rPr>
              <w:t>Utilization</w:t>
            </w:r>
            <w:r>
              <w:rPr>
                <w:spacing w:val="-7"/>
                <w:sz w:val="18"/>
              </w:rPr>
              <w:t xml:space="preserve"> </w:t>
            </w:r>
            <w:r>
              <w:rPr>
                <w:sz w:val="18"/>
              </w:rPr>
              <w:t>by</w:t>
            </w:r>
            <w:r>
              <w:rPr>
                <w:spacing w:val="-3"/>
                <w:sz w:val="18"/>
              </w:rPr>
              <w:t xml:space="preserve"> </w:t>
            </w:r>
            <w:r>
              <w:rPr>
                <w:sz w:val="18"/>
              </w:rPr>
              <w:t>User</w:t>
            </w:r>
            <w:r>
              <w:rPr>
                <w:spacing w:val="-6"/>
                <w:sz w:val="18"/>
              </w:rPr>
              <w:t xml:space="preserve"> </w:t>
            </w:r>
            <w:r>
              <w:rPr>
                <w:sz w:val="18"/>
              </w:rPr>
              <w:t>DPOs</w:t>
            </w:r>
            <w:r>
              <w:rPr>
                <w:spacing w:val="-4"/>
                <w:sz w:val="18"/>
              </w:rPr>
              <w:t xml:space="preserve"> </w:t>
            </w:r>
            <w:r>
              <w:rPr>
                <w:sz w:val="18"/>
              </w:rPr>
              <w:t>in</w:t>
            </w:r>
            <w:r>
              <w:rPr>
                <w:spacing w:val="-3"/>
                <w:sz w:val="18"/>
              </w:rPr>
              <w:t xml:space="preserve"> </w:t>
            </w:r>
            <w:r>
              <w:rPr>
                <w:spacing w:val="-2"/>
                <w:sz w:val="18"/>
              </w:rPr>
              <w:t>Maluku</w:t>
            </w:r>
          </w:p>
        </w:tc>
        <w:tc>
          <w:tcPr>
            <w:tcW w:w="1096" w:type="dxa"/>
            <w:tcBorders>
              <w:top w:val="single" w:sz="4" w:space="0" w:color="A6A6A6"/>
              <w:left w:val="single" w:sz="4" w:space="0" w:color="A6A6A6"/>
              <w:bottom w:val="single" w:sz="4" w:space="0" w:color="A6A6A6"/>
              <w:right w:val="single" w:sz="4" w:space="0" w:color="A6A6A6"/>
            </w:tcBorders>
          </w:tcPr>
          <w:p w14:paraId="0258379F" w14:textId="77777777" w:rsidR="00BC24A8" w:rsidRDefault="00000000">
            <w:pPr>
              <w:pStyle w:val="TableParagraph"/>
              <w:spacing w:before="1"/>
              <w:ind w:left="108"/>
              <w:rPr>
                <w:sz w:val="18"/>
              </w:rPr>
            </w:pPr>
            <w:r>
              <w:rPr>
                <w:spacing w:val="-2"/>
                <w:sz w:val="18"/>
              </w:rPr>
              <w:t>Maluku</w:t>
            </w:r>
          </w:p>
        </w:tc>
      </w:tr>
      <w:tr w:rsidR="00BC24A8" w14:paraId="459E81F6" w14:textId="77777777">
        <w:trPr>
          <w:trHeight w:val="328"/>
        </w:trPr>
        <w:tc>
          <w:tcPr>
            <w:tcW w:w="552" w:type="dxa"/>
            <w:tcBorders>
              <w:top w:val="single" w:sz="4" w:space="0" w:color="A6A6A6"/>
              <w:left w:val="single" w:sz="4" w:space="0" w:color="A6A6A6"/>
              <w:bottom w:val="single" w:sz="4" w:space="0" w:color="A6A6A6"/>
              <w:right w:val="single" w:sz="4" w:space="0" w:color="A6A6A6"/>
            </w:tcBorders>
          </w:tcPr>
          <w:p w14:paraId="63463B37" w14:textId="77777777" w:rsidR="00BC24A8" w:rsidRDefault="00000000">
            <w:pPr>
              <w:pStyle w:val="TableParagraph"/>
              <w:spacing w:before="1"/>
              <w:ind w:right="96"/>
              <w:jc w:val="right"/>
              <w:rPr>
                <w:sz w:val="18"/>
              </w:rPr>
            </w:pPr>
            <w:r>
              <w:rPr>
                <w:spacing w:val="-5"/>
                <w:sz w:val="18"/>
              </w:rPr>
              <w:t>56</w:t>
            </w:r>
          </w:p>
        </w:tc>
        <w:tc>
          <w:tcPr>
            <w:tcW w:w="955" w:type="dxa"/>
            <w:tcBorders>
              <w:top w:val="single" w:sz="4" w:space="0" w:color="A6A6A6"/>
              <w:left w:val="single" w:sz="4" w:space="0" w:color="A6A6A6"/>
              <w:bottom w:val="single" w:sz="4" w:space="0" w:color="A6A6A6"/>
              <w:right w:val="single" w:sz="4" w:space="0" w:color="A6A6A6"/>
            </w:tcBorders>
          </w:tcPr>
          <w:p w14:paraId="185A8865"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642F553E" w14:textId="77777777" w:rsidR="00BC24A8" w:rsidRDefault="00000000">
            <w:pPr>
              <w:pStyle w:val="TableParagraph"/>
              <w:spacing w:before="1"/>
              <w:ind w:left="105"/>
              <w:rPr>
                <w:sz w:val="18"/>
              </w:rPr>
            </w:pPr>
            <w:r>
              <w:rPr>
                <w:sz w:val="18"/>
              </w:rPr>
              <w:t>The</w:t>
            </w:r>
            <w:r>
              <w:rPr>
                <w:spacing w:val="-7"/>
                <w:sz w:val="18"/>
              </w:rPr>
              <w:t xml:space="preserve"> </w:t>
            </w:r>
            <w:r>
              <w:rPr>
                <w:sz w:val="18"/>
              </w:rPr>
              <w:t>Importance</w:t>
            </w:r>
            <w:r>
              <w:rPr>
                <w:spacing w:val="-5"/>
                <w:sz w:val="18"/>
              </w:rPr>
              <w:t xml:space="preserve"> </w:t>
            </w:r>
            <w:r>
              <w:rPr>
                <w:sz w:val="18"/>
              </w:rPr>
              <w:t>of</w:t>
            </w:r>
            <w:r>
              <w:rPr>
                <w:spacing w:val="-6"/>
                <w:sz w:val="18"/>
              </w:rPr>
              <w:t xml:space="preserve"> </w:t>
            </w:r>
            <w:r>
              <w:rPr>
                <w:sz w:val="18"/>
              </w:rPr>
              <w:t>Inclusive</w:t>
            </w:r>
            <w:r>
              <w:rPr>
                <w:spacing w:val="-5"/>
                <w:sz w:val="18"/>
              </w:rPr>
              <w:t xml:space="preserve"> </w:t>
            </w:r>
            <w:r>
              <w:rPr>
                <w:sz w:val="18"/>
              </w:rPr>
              <w:t>Economic</w:t>
            </w:r>
            <w:r>
              <w:rPr>
                <w:spacing w:val="-5"/>
                <w:sz w:val="18"/>
              </w:rPr>
              <w:t xml:space="preserve"> </w:t>
            </w:r>
            <w:r>
              <w:rPr>
                <w:sz w:val="18"/>
              </w:rPr>
              <w:t>Empowerment</w:t>
            </w:r>
            <w:r>
              <w:rPr>
                <w:spacing w:val="-4"/>
                <w:sz w:val="18"/>
              </w:rPr>
              <w:t xml:space="preserve"> </w:t>
            </w:r>
            <w:r>
              <w:rPr>
                <w:sz w:val="18"/>
              </w:rPr>
              <w:t>for</w:t>
            </w:r>
            <w:r>
              <w:rPr>
                <w:spacing w:val="-5"/>
                <w:sz w:val="18"/>
              </w:rPr>
              <w:t xml:space="preserve"> </w:t>
            </w:r>
            <w:r>
              <w:rPr>
                <w:sz w:val="18"/>
              </w:rPr>
              <w:t>Persons</w:t>
            </w:r>
            <w:r>
              <w:rPr>
                <w:spacing w:val="-5"/>
                <w:sz w:val="18"/>
              </w:rPr>
              <w:t xml:space="preserve"> </w:t>
            </w:r>
            <w:r>
              <w:rPr>
                <w:sz w:val="18"/>
              </w:rPr>
              <w:t>with</w:t>
            </w:r>
            <w:r>
              <w:rPr>
                <w:spacing w:val="-4"/>
                <w:sz w:val="18"/>
              </w:rPr>
              <w:t xml:space="preserve"> </w:t>
            </w:r>
            <w:r>
              <w:rPr>
                <w:spacing w:val="-2"/>
                <w:sz w:val="18"/>
              </w:rPr>
              <w:t>Disabilities</w:t>
            </w:r>
          </w:p>
        </w:tc>
        <w:tc>
          <w:tcPr>
            <w:tcW w:w="1096" w:type="dxa"/>
            <w:tcBorders>
              <w:top w:val="single" w:sz="4" w:space="0" w:color="A6A6A6"/>
              <w:left w:val="single" w:sz="4" w:space="0" w:color="A6A6A6"/>
              <w:bottom w:val="single" w:sz="4" w:space="0" w:color="A6A6A6"/>
              <w:right w:val="single" w:sz="4" w:space="0" w:color="A6A6A6"/>
            </w:tcBorders>
          </w:tcPr>
          <w:p w14:paraId="06E62177" w14:textId="77777777" w:rsidR="00BC24A8" w:rsidRDefault="00000000">
            <w:pPr>
              <w:pStyle w:val="TableParagraph"/>
              <w:spacing w:before="1"/>
              <w:ind w:left="108"/>
              <w:rPr>
                <w:sz w:val="18"/>
              </w:rPr>
            </w:pPr>
            <w:r>
              <w:rPr>
                <w:spacing w:val="-2"/>
                <w:sz w:val="18"/>
              </w:rPr>
              <w:t>Maluku</w:t>
            </w:r>
          </w:p>
        </w:tc>
      </w:tr>
      <w:tr w:rsidR="00BC24A8" w14:paraId="5BA20223"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6CEC88E4" w14:textId="77777777" w:rsidR="00BC24A8" w:rsidRDefault="00000000">
            <w:pPr>
              <w:pStyle w:val="TableParagraph"/>
              <w:spacing w:before="1"/>
              <w:ind w:right="96"/>
              <w:jc w:val="right"/>
              <w:rPr>
                <w:sz w:val="18"/>
              </w:rPr>
            </w:pPr>
            <w:r>
              <w:rPr>
                <w:spacing w:val="-5"/>
                <w:sz w:val="18"/>
              </w:rPr>
              <w:t>57</w:t>
            </w:r>
          </w:p>
        </w:tc>
        <w:tc>
          <w:tcPr>
            <w:tcW w:w="955" w:type="dxa"/>
            <w:tcBorders>
              <w:top w:val="single" w:sz="4" w:space="0" w:color="A6A6A6"/>
              <w:left w:val="single" w:sz="4" w:space="0" w:color="A6A6A6"/>
              <w:bottom w:val="single" w:sz="4" w:space="0" w:color="A6A6A6"/>
              <w:right w:val="single" w:sz="4" w:space="0" w:color="A6A6A6"/>
            </w:tcBorders>
          </w:tcPr>
          <w:p w14:paraId="494C7A74"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16029613" w14:textId="77777777" w:rsidR="00BC24A8" w:rsidRDefault="00000000">
            <w:pPr>
              <w:pStyle w:val="TableParagraph"/>
              <w:spacing w:before="1"/>
              <w:ind w:left="105"/>
              <w:rPr>
                <w:sz w:val="18"/>
              </w:rPr>
            </w:pPr>
            <w:r>
              <w:rPr>
                <w:sz w:val="18"/>
              </w:rPr>
              <w:t>Handling</w:t>
            </w:r>
            <w:r>
              <w:rPr>
                <w:spacing w:val="-7"/>
                <w:sz w:val="18"/>
              </w:rPr>
              <w:t xml:space="preserve"> </w:t>
            </w:r>
            <w:r>
              <w:rPr>
                <w:sz w:val="18"/>
              </w:rPr>
              <w:t>Out-of-School</w:t>
            </w:r>
            <w:r>
              <w:rPr>
                <w:spacing w:val="-4"/>
                <w:sz w:val="18"/>
              </w:rPr>
              <w:t xml:space="preserve"> </w:t>
            </w:r>
            <w:r>
              <w:rPr>
                <w:sz w:val="18"/>
              </w:rPr>
              <w:t>Children:</w:t>
            </w:r>
            <w:r>
              <w:rPr>
                <w:spacing w:val="-8"/>
                <w:sz w:val="18"/>
              </w:rPr>
              <w:t xml:space="preserve"> </w:t>
            </w:r>
            <w:r>
              <w:rPr>
                <w:sz w:val="18"/>
              </w:rPr>
              <w:t>Realizing</w:t>
            </w:r>
            <w:r>
              <w:rPr>
                <w:spacing w:val="-6"/>
                <w:sz w:val="18"/>
              </w:rPr>
              <w:t xml:space="preserve"> </w:t>
            </w:r>
            <w:r>
              <w:rPr>
                <w:sz w:val="18"/>
              </w:rPr>
              <w:t>Education</w:t>
            </w:r>
            <w:r>
              <w:rPr>
                <w:spacing w:val="-6"/>
                <w:sz w:val="18"/>
              </w:rPr>
              <w:t xml:space="preserve"> </w:t>
            </w:r>
            <w:r>
              <w:rPr>
                <w:sz w:val="18"/>
              </w:rPr>
              <w:t>MSS</w:t>
            </w:r>
            <w:r>
              <w:rPr>
                <w:spacing w:val="-5"/>
                <w:sz w:val="18"/>
              </w:rPr>
              <w:t xml:space="preserve"> </w:t>
            </w:r>
            <w:r>
              <w:rPr>
                <w:sz w:val="18"/>
              </w:rPr>
              <w:t>in</w:t>
            </w:r>
            <w:r>
              <w:rPr>
                <w:spacing w:val="-5"/>
                <w:sz w:val="18"/>
              </w:rPr>
              <w:t xml:space="preserve"> </w:t>
            </w:r>
            <w:r>
              <w:rPr>
                <w:spacing w:val="-2"/>
                <w:sz w:val="18"/>
              </w:rPr>
              <w:t>Maluku</w:t>
            </w:r>
          </w:p>
        </w:tc>
        <w:tc>
          <w:tcPr>
            <w:tcW w:w="1096" w:type="dxa"/>
            <w:tcBorders>
              <w:top w:val="single" w:sz="4" w:space="0" w:color="A6A6A6"/>
              <w:left w:val="single" w:sz="4" w:space="0" w:color="A6A6A6"/>
              <w:bottom w:val="single" w:sz="4" w:space="0" w:color="A6A6A6"/>
              <w:right w:val="single" w:sz="4" w:space="0" w:color="A6A6A6"/>
            </w:tcBorders>
          </w:tcPr>
          <w:p w14:paraId="7C4419E3" w14:textId="77777777" w:rsidR="00BC24A8" w:rsidRDefault="00000000">
            <w:pPr>
              <w:pStyle w:val="TableParagraph"/>
              <w:spacing w:before="1"/>
              <w:ind w:left="108"/>
              <w:rPr>
                <w:sz w:val="18"/>
              </w:rPr>
            </w:pPr>
            <w:r>
              <w:rPr>
                <w:spacing w:val="-2"/>
                <w:sz w:val="18"/>
              </w:rPr>
              <w:t>Maluku</w:t>
            </w:r>
          </w:p>
        </w:tc>
      </w:tr>
      <w:tr w:rsidR="00BC24A8" w14:paraId="53B4130F"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7138EF79" w14:textId="77777777" w:rsidR="00BC24A8" w:rsidRDefault="00000000">
            <w:pPr>
              <w:pStyle w:val="TableParagraph"/>
              <w:spacing w:before="1"/>
              <w:ind w:right="96"/>
              <w:jc w:val="right"/>
              <w:rPr>
                <w:sz w:val="18"/>
              </w:rPr>
            </w:pPr>
            <w:r>
              <w:rPr>
                <w:spacing w:val="-5"/>
                <w:sz w:val="18"/>
              </w:rPr>
              <w:t>58</w:t>
            </w:r>
          </w:p>
        </w:tc>
        <w:tc>
          <w:tcPr>
            <w:tcW w:w="955" w:type="dxa"/>
            <w:tcBorders>
              <w:top w:val="single" w:sz="4" w:space="0" w:color="A6A6A6"/>
              <w:left w:val="single" w:sz="4" w:space="0" w:color="A6A6A6"/>
              <w:bottom w:val="single" w:sz="4" w:space="0" w:color="A6A6A6"/>
              <w:right w:val="single" w:sz="4" w:space="0" w:color="A6A6A6"/>
            </w:tcBorders>
          </w:tcPr>
          <w:p w14:paraId="3047F157"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53025E29" w14:textId="77777777" w:rsidR="00BC24A8" w:rsidRDefault="00000000">
            <w:pPr>
              <w:pStyle w:val="TableParagraph"/>
              <w:spacing w:before="1"/>
              <w:ind w:left="105"/>
              <w:rPr>
                <w:sz w:val="18"/>
              </w:rPr>
            </w:pPr>
            <w:r>
              <w:rPr>
                <w:sz w:val="18"/>
              </w:rPr>
              <w:t>Strategies</w:t>
            </w:r>
            <w:r>
              <w:rPr>
                <w:spacing w:val="-6"/>
                <w:sz w:val="18"/>
              </w:rPr>
              <w:t xml:space="preserve"> </w:t>
            </w:r>
            <w:r>
              <w:rPr>
                <w:sz w:val="18"/>
              </w:rPr>
              <w:t>to</w:t>
            </w:r>
            <w:r>
              <w:rPr>
                <w:spacing w:val="-7"/>
                <w:sz w:val="18"/>
              </w:rPr>
              <w:t xml:space="preserve"> </w:t>
            </w:r>
            <w:r>
              <w:rPr>
                <w:sz w:val="18"/>
              </w:rPr>
              <w:t>Improve</w:t>
            </w:r>
            <w:r>
              <w:rPr>
                <w:spacing w:val="-5"/>
                <w:sz w:val="18"/>
              </w:rPr>
              <w:t xml:space="preserve"> </w:t>
            </w:r>
            <w:r>
              <w:rPr>
                <w:sz w:val="18"/>
              </w:rPr>
              <w:t>MSS</w:t>
            </w:r>
            <w:r>
              <w:rPr>
                <w:spacing w:val="-6"/>
                <w:sz w:val="18"/>
              </w:rPr>
              <w:t xml:space="preserve"> </w:t>
            </w:r>
            <w:r>
              <w:rPr>
                <w:sz w:val="18"/>
              </w:rPr>
              <w:t>for</w:t>
            </w:r>
            <w:r>
              <w:rPr>
                <w:spacing w:val="-5"/>
                <w:sz w:val="18"/>
              </w:rPr>
              <w:t xml:space="preserve"> </w:t>
            </w:r>
            <w:r>
              <w:rPr>
                <w:sz w:val="18"/>
              </w:rPr>
              <w:t>Disaster</w:t>
            </w:r>
            <w:r>
              <w:rPr>
                <w:spacing w:val="-6"/>
                <w:sz w:val="18"/>
              </w:rPr>
              <w:t xml:space="preserve"> </w:t>
            </w:r>
            <w:r>
              <w:rPr>
                <w:sz w:val="18"/>
              </w:rPr>
              <w:t>Sub-Office</w:t>
            </w:r>
            <w:r>
              <w:rPr>
                <w:spacing w:val="-6"/>
                <w:sz w:val="18"/>
              </w:rPr>
              <w:t xml:space="preserve"> </w:t>
            </w:r>
            <w:r>
              <w:rPr>
                <w:sz w:val="18"/>
              </w:rPr>
              <w:t>in</w:t>
            </w:r>
            <w:r>
              <w:rPr>
                <w:spacing w:val="-5"/>
                <w:sz w:val="18"/>
              </w:rPr>
              <w:t xml:space="preserve"> </w:t>
            </w:r>
            <w:r>
              <w:rPr>
                <w:spacing w:val="-2"/>
                <w:sz w:val="18"/>
              </w:rPr>
              <w:t>Maluku</w:t>
            </w:r>
          </w:p>
        </w:tc>
        <w:tc>
          <w:tcPr>
            <w:tcW w:w="1096" w:type="dxa"/>
            <w:tcBorders>
              <w:top w:val="single" w:sz="4" w:space="0" w:color="A6A6A6"/>
              <w:left w:val="single" w:sz="4" w:space="0" w:color="A6A6A6"/>
              <w:bottom w:val="single" w:sz="4" w:space="0" w:color="A6A6A6"/>
              <w:right w:val="single" w:sz="4" w:space="0" w:color="A6A6A6"/>
            </w:tcBorders>
          </w:tcPr>
          <w:p w14:paraId="1CE336A5" w14:textId="77777777" w:rsidR="00BC24A8" w:rsidRDefault="00000000">
            <w:pPr>
              <w:pStyle w:val="TableParagraph"/>
              <w:spacing w:before="1"/>
              <w:ind w:left="108"/>
              <w:rPr>
                <w:sz w:val="18"/>
              </w:rPr>
            </w:pPr>
            <w:r>
              <w:rPr>
                <w:spacing w:val="-2"/>
                <w:sz w:val="18"/>
              </w:rPr>
              <w:t>Maluku</w:t>
            </w:r>
          </w:p>
        </w:tc>
      </w:tr>
      <w:tr w:rsidR="00BC24A8" w14:paraId="59E5C385"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3E4C0C5A" w14:textId="77777777" w:rsidR="00BC24A8" w:rsidRDefault="00000000">
            <w:pPr>
              <w:pStyle w:val="TableParagraph"/>
              <w:spacing w:before="1"/>
              <w:ind w:right="96"/>
              <w:jc w:val="right"/>
              <w:rPr>
                <w:sz w:val="18"/>
              </w:rPr>
            </w:pPr>
            <w:r>
              <w:rPr>
                <w:spacing w:val="-5"/>
                <w:sz w:val="18"/>
              </w:rPr>
              <w:t>59</w:t>
            </w:r>
          </w:p>
        </w:tc>
        <w:tc>
          <w:tcPr>
            <w:tcW w:w="955" w:type="dxa"/>
            <w:tcBorders>
              <w:top w:val="single" w:sz="4" w:space="0" w:color="A6A6A6"/>
              <w:left w:val="single" w:sz="4" w:space="0" w:color="A6A6A6"/>
              <w:bottom w:val="single" w:sz="4" w:space="0" w:color="A6A6A6"/>
              <w:right w:val="single" w:sz="4" w:space="0" w:color="A6A6A6"/>
            </w:tcBorders>
          </w:tcPr>
          <w:p w14:paraId="0682B3BD"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5F36015F" w14:textId="77777777" w:rsidR="00BC24A8" w:rsidRDefault="00000000">
            <w:pPr>
              <w:pStyle w:val="TableParagraph"/>
              <w:spacing w:before="1"/>
              <w:ind w:left="105"/>
              <w:rPr>
                <w:sz w:val="18"/>
              </w:rPr>
            </w:pPr>
            <w:r>
              <w:rPr>
                <w:sz w:val="18"/>
              </w:rPr>
              <w:t>Navigation</w:t>
            </w:r>
            <w:r>
              <w:rPr>
                <w:spacing w:val="-6"/>
                <w:sz w:val="18"/>
              </w:rPr>
              <w:t xml:space="preserve"> </w:t>
            </w:r>
            <w:r>
              <w:rPr>
                <w:sz w:val="18"/>
              </w:rPr>
              <w:t>Inclusion</w:t>
            </w:r>
            <w:r>
              <w:rPr>
                <w:spacing w:val="-8"/>
                <w:sz w:val="18"/>
              </w:rPr>
              <w:t xml:space="preserve"> </w:t>
            </w:r>
            <w:r>
              <w:rPr>
                <w:sz w:val="18"/>
              </w:rPr>
              <w:t>Urgency</w:t>
            </w:r>
            <w:r>
              <w:rPr>
                <w:spacing w:val="-5"/>
                <w:sz w:val="18"/>
              </w:rPr>
              <w:t xml:space="preserve"> </w:t>
            </w:r>
            <w:r>
              <w:rPr>
                <w:sz w:val="18"/>
              </w:rPr>
              <w:t>of</w:t>
            </w:r>
            <w:r>
              <w:rPr>
                <w:spacing w:val="-6"/>
                <w:sz w:val="18"/>
              </w:rPr>
              <w:t xml:space="preserve"> </w:t>
            </w:r>
            <w:r>
              <w:rPr>
                <w:sz w:val="18"/>
              </w:rPr>
              <w:t>Spatial</w:t>
            </w:r>
            <w:r>
              <w:rPr>
                <w:spacing w:val="-7"/>
                <w:sz w:val="18"/>
              </w:rPr>
              <w:t xml:space="preserve"> </w:t>
            </w:r>
            <w:r>
              <w:rPr>
                <w:sz w:val="18"/>
              </w:rPr>
              <w:t>Data</w:t>
            </w:r>
            <w:r>
              <w:rPr>
                <w:spacing w:val="-9"/>
                <w:sz w:val="18"/>
              </w:rPr>
              <w:t xml:space="preserve"> </w:t>
            </w:r>
            <w:r>
              <w:rPr>
                <w:sz w:val="18"/>
              </w:rPr>
              <w:t>for</w:t>
            </w:r>
            <w:r>
              <w:rPr>
                <w:spacing w:val="-5"/>
                <w:sz w:val="18"/>
              </w:rPr>
              <w:t xml:space="preserve"> </w:t>
            </w:r>
            <w:r>
              <w:rPr>
                <w:sz w:val="18"/>
              </w:rPr>
              <w:t>Persons</w:t>
            </w:r>
            <w:r>
              <w:rPr>
                <w:spacing w:val="-5"/>
                <w:sz w:val="18"/>
              </w:rPr>
              <w:t xml:space="preserve"> </w:t>
            </w:r>
            <w:r>
              <w:rPr>
                <w:sz w:val="18"/>
              </w:rPr>
              <w:t>with</w:t>
            </w:r>
            <w:r>
              <w:rPr>
                <w:spacing w:val="-5"/>
                <w:sz w:val="18"/>
              </w:rPr>
              <w:t xml:space="preserve"> </w:t>
            </w:r>
            <w:r>
              <w:rPr>
                <w:spacing w:val="-2"/>
                <w:sz w:val="18"/>
              </w:rPr>
              <w:t>Disabilities</w:t>
            </w:r>
          </w:p>
        </w:tc>
        <w:tc>
          <w:tcPr>
            <w:tcW w:w="1096" w:type="dxa"/>
            <w:tcBorders>
              <w:top w:val="single" w:sz="4" w:space="0" w:color="A6A6A6"/>
              <w:left w:val="single" w:sz="4" w:space="0" w:color="A6A6A6"/>
              <w:bottom w:val="single" w:sz="4" w:space="0" w:color="A6A6A6"/>
              <w:right w:val="single" w:sz="4" w:space="0" w:color="A6A6A6"/>
            </w:tcBorders>
          </w:tcPr>
          <w:p w14:paraId="35DF7DB1" w14:textId="77777777" w:rsidR="00BC24A8" w:rsidRDefault="00000000">
            <w:pPr>
              <w:pStyle w:val="TableParagraph"/>
              <w:spacing w:before="1"/>
              <w:ind w:left="108"/>
              <w:rPr>
                <w:sz w:val="18"/>
              </w:rPr>
            </w:pPr>
            <w:r>
              <w:rPr>
                <w:spacing w:val="-2"/>
                <w:sz w:val="18"/>
              </w:rPr>
              <w:t>Maluku</w:t>
            </w:r>
          </w:p>
        </w:tc>
      </w:tr>
      <w:tr w:rsidR="00BC24A8" w14:paraId="7B500159"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5E8AA573" w14:textId="77777777" w:rsidR="00BC24A8" w:rsidRDefault="00000000">
            <w:pPr>
              <w:pStyle w:val="TableParagraph"/>
              <w:spacing w:before="1"/>
              <w:ind w:right="96"/>
              <w:jc w:val="right"/>
              <w:rPr>
                <w:sz w:val="18"/>
              </w:rPr>
            </w:pPr>
            <w:r>
              <w:rPr>
                <w:spacing w:val="-5"/>
                <w:sz w:val="18"/>
              </w:rPr>
              <w:t>60</w:t>
            </w:r>
          </w:p>
        </w:tc>
        <w:tc>
          <w:tcPr>
            <w:tcW w:w="955" w:type="dxa"/>
            <w:tcBorders>
              <w:top w:val="single" w:sz="4" w:space="0" w:color="A6A6A6"/>
              <w:left w:val="single" w:sz="4" w:space="0" w:color="A6A6A6"/>
              <w:bottom w:val="single" w:sz="4" w:space="0" w:color="A6A6A6"/>
              <w:right w:val="single" w:sz="4" w:space="0" w:color="A6A6A6"/>
            </w:tcBorders>
          </w:tcPr>
          <w:p w14:paraId="07FA0858"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1E1ECA19" w14:textId="77777777" w:rsidR="00BC24A8" w:rsidRDefault="00000000">
            <w:pPr>
              <w:pStyle w:val="TableParagraph"/>
              <w:spacing w:before="1"/>
              <w:ind w:left="105"/>
              <w:rPr>
                <w:sz w:val="18"/>
              </w:rPr>
            </w:pPr>
            <w:r>
              <w:rPr>
                <w:sz w:val="18"/>
              </w:rPr>
              <w:t>Slum</w:t>
            </w:r>
            <w:r>
              <w:rPr>
                <w:spacing w:val="-5"/>
                <w:sz w:val="18"/>
              </w:rPr>
              <w:t xml:space="preserve"> </w:t>
            </w:r>
            <w:r>
              <w:rPr>
                <w:sz w:val="18"/>
              </w:rPr>
              <w:t>Alleviation</w:t>
            </w:r>
            <w:r>
              <w:rPr>
                <w:spacing w:val="-3"/>
                <w:sz w:val="18"/>
              </w:rPr>
              <w:t xml:space="preserve"> </w:t>
            </w:r>
            <w:r>
              <w:rPr>
                <w:sz w:val="18"/>
              </w:rPr>
              <w:t>Realizing</w:t>
            </w:r>
            <w:r>
              <w:rPr>
                <w:spacing w:val="-4"/>
                <w:sz w:val="18"/>
              </w:rPr>
              <w:t xml:space="preserve"> </w:t>
            </w:r>
            <w:r>
              <w:rPr>
                <w:sz w:val="18"/>
              </w:rPr>
              <w:t>Housing</w:t>
            </w:r>
            <w:r>
              <w:rPr>
                <w:spacing w:val="-6"/>
                <w:sz w:val="18"/>
              </w:rPr>
              <w:t xml:space="preserve"> </w:t>
            </w:r>
            <w:r>
              <w:rPr>
                <w:spacing w:val="-5"/>
                <w:sz w:val="18"/>
              </w:rPr>
              <w:t>MSS</w:t>
            </w:r>
          </w:p>
        </w:tc>
        <w:tc>
          <w:tcPr>
            <w:tcW w:w="1096" w:type="dxa"/>
            <w:tcBorders>
              <w:top w:val="single" w:sz="4" w:space="0" w:color="A6A6A6"/>
              <w:left w:val="single" w:sz="4" w:space="0" w:color="A6A6A6"/>
              <w:bottom w:val="single" w:sz="4" w:space="0" w:color="A6A6A6"/>
              <w:right w:val="single" w:sz="4" w:space="0" w:color="A6A6A6"/>
            </w:tcBorders>
          </w:tcPr>
          <w:p w14:paraId="1E3BE86B" w14:textId="77777777" w:rsidR="00BC24A8" w:rsidRDefault="00000000">
            <w:pPr>
              <w:pStyle w:val="TableParagraph"/>
              <w:spacing w:before="1"/>
              <w:ind w:left="108"/>
              <w:rPr>
                <w:sz w:val="18"/>
              </w:rPr>
            </w:pPr>
            <w:r>
              <w:rPr>
                <w:spacing w:val="-2"/>
                <w:sz w:val="18"/>
              </w:rPr>
              <w:t>Maluku</w:t>
            </w:r>
          </w:p>
        </w:tc>
      </w:tr>
      <w:tr w:rsidR="00BC24A8" w14:paraId="0DC3435E"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4750A12D" w14:textId="77777777" w:rsidR="00BC24A8" w:rsidRDefault="00000000">
            <w:pPr>
              <w:pStyle w:val="TableParagraph"/>
              <w:spacing w:before="1"/>
              <w:ind w:right="96"/>
              <w:jc w:val="right"/>
              <w:rPr>
                <w:sz w:val="18"/>
              </w:rPr>
            </w:pPr>
            <w:r>
              <w:rPr>
                <w:spacing w:val="-5"/>
                <w:sz w:val="18"/>
              </w:rPr>
              <w:t>61</w:t>
            </w:r>
          </w:p>
        </w:tc>
        <w:tc>
          <w:tcPr>
            <w:tcW w:w="955" w:type="dxa"/>
            <w:tcBorders>
              <w:top w:val="single" w:sz="4" w:space="0" w:color="A6A6A6"/>
              <w:left w:val="single" w:sz="4" w:space="0" w:color="A6A6A6"/>
              <w:bottom w:val="single" w:sz="4" w:space="0" w:color="A6A6A6"/>
              <w:right w:val="single" w:sz="4" w:space="0" w:color="A6A6A6"/>
            </w:tcBorders>
          </w:tcPr>
          <w:p w14:paraId="7B442046"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7F9710F7" w14:textId="77777777" w:rsidR="00BC24A8" w:rsidRDefault="00000000">
            <w:pPr>
              <w:pStyle w:val="TableParagraph"/>
              <w:spacing w:before="1"/>
              <w:ind w:left="105"/>
              <w:rPr>
                <w:sz w:val="18"/>
              </w:rPr>
            </w:pPr>
            <w:r>
              <w:rPr>
                <w:sz w:val="18"/>
              </w:rPr>
              <w:t>Is</w:t>
            </w:r>
            <w:r>
              <w:rPr>
                <w:spacing w:val="-3"/>
                <w:sz w:val="18"/>
              </w:rPr>
              <w:t xml:space="preserve"> </w:t>
            </w:r>
            <w:r>
              <w:rPr>
                <w:sz w:val="18"/>
              </w:rPr>
              <w:t>it</w:t>
            </w:r>
            <w:r>
              <w:rPr>
                <w:spacing w:val="-1"/>
                <w:sz w:val="18"/>
              </w:rPr>
              <w:t xml:space="preserve"> </w:t>
            </w:r>
            <w:r>
              <w:rPr>
                <w:sz w:val="18"/>
              </w:rPr>
              <w:t>true</w:t>
            </w:r>
            <w:r>
              <w:rPr>
                <w:spacing w:val="-2"/>
                <w:sz w:val="18"/>
              </w:rPr>
              <w:t xml:space="preserve"> </w:t>
            </w:r>
            <w:r>
              <w:rPr>
                <w:sz w:val="18"/>
              </w:rPr>
              <w:t>that</w:t>
            </w:r>
            <w:r>
              <w:rPr>
                <w:spacing w:val="-2"/>
                <w:sz w:val="18"/>
              </w:rPr>
              <w:t xml:space="preserve"> </w:t>
            </w:r>
            <w:r>
              <w:rPr>
                <w:sz w:val="18"/>
              </w:rPr>
              <w:t>Maluku</w:t>
            </w:r>
            <w:r>
              <w:rPr>
                <w:spacing w:val="-2"/>
                <w:sz w:val="18"/>
              </w:rPr>
              <w:t xml:space="preserve"> </w:t>
            </w:r>
            <w:r>
              <w:rPr>
                <w:sz w:val="18"/>
              </w:rPr>
              <w:t>is</w:t>
            </w:r>
            <w:r>
              <w:rPr>
                <w:spacing w:val="-5"/>
                <w:sz w:val="18"/>
              </w:rPr>
              <w:t xml:space="preserve"> </w:t>
            </w:r>
            <w:r>
              <w:rPr>
                <w:sz w:val="18"/>
              </w:rPr>
              <w:t>prone</w:t>
            </w:r>
            <w:r>
              <w:rPr>
                <w:spacing w:val="-2"/>
                <w:sz w:val="18"/>
              </w:rPr>
              <w:t xml:space="preserve"> </w:t>
            </w:r>
            <w:r>
              <w:rPr>
                <w:sz w:val="18"/>
              </w:rPr>
              <w:t>to</w:t>
            </w:r>
            <w:r>
              <w:rPr>
                <w:spacing w:val="-4"/>
                <w:sz w:val="18"/>
              </w:rPr>
              <w:t xml:space="preserve"> </w:t>
            </w:r>
            <w:r>
              <w:rPr>
                <w:sz w:val="18"/>
              </w:rPr>
              <w:t>violence</w:t>
            </w:r>
            <w:r>
              <w:rPr>
                <w:spacing w:val="-2"/>
                <w:sz w:val="18"/>
              </w:rPr>
              <w:t xml:space="preserve"> </w:t>
            </w:r>
            <w:r>
              <w:rPr>
                <w:sz w:val="18"/>
              </w:rPr>
              <w:t>against</w:t>
            </w:r>
            <w:r>
              <w:rPr>
                <w:spacing w:val="-4"/>
                <w:sz w:val="18"/>
              </w:rPr>
              <w:t xml:space="preserve"> </w:t>
            </w:r>
            <w:r>
              <w:rPr>
                <w:sz w:val="18"/>
              </w:rPr>
              <w:t>women</w:t>
            </w:r>
            <w:r>
              <w:rPr>
                <w:spacing w:val="-2"/>
                <w:sz w:val="18"/>
              </w:rPr>
              <w:t xml:space="preserve"> </w:t>
            </w:r>
            <w:r>
              <w:rPr>
                <w:sz w:val="18"/>
              </w:rPr>
              <w:t>and</w:t>
            </w:r>
            <w:r>
              <w:rPr>
                <w:spacing w:val="-2"/>
                <w:sz w:val="18"/>
              </w:rPr>
              <w:t xml:space="preserve"> children?</w:t>
            </w:r>
          </w:p>
        </w:tc>
        <w:tc>
          <w:tcPr>
            <w:tcW w:w="1096" w:type="dxa"/>
            <w:tcBorders>
              <w:top w:val="single" w:sz="4" w:space="0" w:color="A6A6A6"/>
              <w:left w:val="single" w:sz="4" w:space="0" w:color="A6A6A6"/>
              <w:bottom w:val="single" w:sz="4" w:space="0" w:color="A6A6A6"/>
              <w:right w:val="single" w:sz="4" w:space="0" w:color="A6A6A6"/>
            </w:tcBorders>
          </w:tcPr>
          <w:p w14:paraId="6172D787" w14:textId="77777777" w:rsidR="00BC24A8" w:rsidRDefault="00000000">
            <w:pPr>
              <w:pStyle w:val="TableParagraph"/>
              <w:spacing w:before="1"/>
              <w:ind w:left="108"/>
              <w:rPr>
                <w:sz w:val="18"/>
              </w:rPr>
            </w:pPr>
            <w:r>
              <w:rPr>
                <w:spacing w:val="-2"/>
                <w:sz w:val="18"/>
              </w:rPr>
              <w:t>Maluku</w:t>
            </w:r>
          </w:p>
        </w:tc>
      </w:tr>
      <w:tr w:rsidR="00BC24A8" w14:paraId="67B134E8"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16FC2127" w14:textId="77777777" w:rsidR="00BC24A8" w:rsidRDefault="00000000">
            <w:pPr>
              <w:pStyle w:val="TableParagraph"/>
              <w:spacing w:before="1"/>
              <w:ind w:right="96"/>
              <w:jc w:val="right"/>
              <w:rPr>
                <w:sz w:val="18"/>
              </w:rPr>
            </w:pPr>
            <w:r>
              <w:rPr>
                <w:spacing w:val="-5"/>
                <w:sz w:val="18"/>
              </w:rPr>
              <w:t>62</w:t>
            </w:r>
          </w:p>
        </w:tc>
        <w:tc>
          <w:tcPr>
            <w:tcW w:w="955" w:type="dxa"/>
            <w:tcBorders>
              <w:top w:val="single" w:sz="4" w:space="0" w:color="A6A6A6"/>
              <w:left w:val="single" w:sz="4" w:space="0" w:color="A6A6A6"/>
              <w:bottom w:val="single" w:sz="4" w:space="0" w:color="A6A6A6"/>
              <w:right w:val="single" w:sz="4" w:space="0" w:color="A6A6A6"/>
            </w:tcBorders>
          </w:tcPr>
          <w:p w14:paraId="61908AE4"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012D2FBD" w14:textId="77777777" w:rsidR="00BC24A8" w:rsidRDefault="00000000">
            <w:pPr>
              <w:pStyle w:val="TableParagraph"/>
              <w:spacing w:before="1"/>
              <w:ind w:left="105"/>
              <w:rPr>
                <w:sz w:val="18"/>
              </w:rPr>
            </w:pPr>
            <w:r>
              <w:rPr>
                <w:sz w:val="18"/>
              </w:rPr>
              <w:t>The</w:t>
            </w:r>
            <w:r>
              <w:rPr>
                <w:spacing w:val="-4"/>
                <w:sz w:val="18"/>
              </w:rPr>
              <w:t xml:space="preserve"> </w:t>
            </w:r>
            <w:r>
              <w:rPr>
                <w:sz w:val="18"/>
              </w:rPr>
              <w:t>Need</w:t>
            </w:r>
            <w:r>
              <w:rPr>
                <w:spacing w:val="-3"/>
                <w:sz w:val="18"/>
              </w:rPr>
              <w:t xml:space="preserve"> </w:t>
            </w:r>
            <w:r>
              <w:rPr>
                <w:sz w:val="18"/>
              </w:rPr>
              <w:t>for</w:t>
            </w:r>
            <w:r>
              <w:rPr>
                <w:spacing w:val="-4"/>
                <w:sz w:val="18"/>
              </w:rPr>
              <w:t xml:space="preserve"> </w:t>
            </w:r>
            <w:r>
              <w:rPr>
                <w:sz w:val="18"/>
              </w:rPr>
              <w:t>Protection</w:t>
            </w:r>
            <w:r>
              <w:rPr>
                <w:spacing w:val="-3"/>
                <w:sz w:val="18"/>
              </w:rPr>
              <w:t xml:space="preserve"> </w:t>
            </w:r>
            <w:r>
              <w:rPr>
                <w:sz w:val="18"/>
              </w:rPr>
              <w:t>of</w:t>
            </w:r>
            <w:r>
              <w:rPr>
                <w:spacing w:val="-5"/>
                <w:sz w:val="18"/>
              </w:rPr>
              <w:t xml:space="preserve"> </w:t>
            </w:r>
            <w:r>
              <w:rPr>
                <w:sz w:val="18"/>
              </w:rPr>
              <w:t>Women</w:t>
            </w:r>
            <w:r>
              <w:rPr>
                <w:spacing w:val="-3"/>
                <w:sz w:val="18"/>
              </w:rPr>
              <w:t xml:space="preserve"> </w:t>
            </w:r>
            <w:r>
              <w:rPr>
                <w:sz w:val="18"/>
              </w:rPr>
              <w:t>Victims</w:t>
            </w:r>
            <w:r>
              <w:rPr>
                <w:spacing w:val="-4"/>
                <w:sz w:val="18"/>
              </w:rPr>
              <w:t xml:space="preserve"> </w:t>
            </w:r>
            <w:r>
              <w:rPr>
                <w:sz w:val="18"/>
              </w:rPr>
              <w:t>of</w:t>
            </w:r>
            <w:r>
              <w:rPr>
                <w:spacing w:val="-4"/>
                <w:sz w:val="18"/>
              </w:rPr>
              <w:t xml:space="preserve"> </w:t>
            </w:r>
            <w:r>
              <w:rPr>
                <w:sz w:val="18"/>
              </w:rPr>
              <w:t>Violence</w:t>
            </w:r>
            <w:r>
              <w:rPr>
                <w:spacing w:val="-4"/>
                <w:sz w:val="18"/>
              </w:rPr>
              <w:t xml:space="preserve"> </w:t>
            </w:r>
            <w:r>
              <w:rPr>
                <w:sz w:val="18"/>
              </w:rPr>
              <w:t>in</w:t>
            </w:r>
            <w:r>
              <w:rPr>
                <w:spacing w:val="-3"/>
                <w:sz w:val="18"/>
              </w:rPr>
              <w:t xml:space="preserve"> </w:t>
            </w:r>
            <w:r>
              <w:rPr>
                <w:sz w:val="18"/>
              </w:rPr>
              <w:t>Ambon</w:t>
            </w:r>
            <w:r>
              <w:rPr>
                <w:spacing w:val="-3"/>
                <w:sz w:val="18"/>
              </w:rPr>
              <w:t xml:space="preserve"> </w:t>
            </w:r>
            <w:r>
              <w:rPr>
                <w:spacing w:val="-4"/>
                <w:sz w:val="18"/>
              </w:rPr>
              <w:t>City</w:t>
            </w:r>
          </w:p>
        </w:tc>
        <w:tc>
          <w:tcPr>
            <w:tcW w:w="1096" w:type="dxa"/>
            <w:tcBorders>
              <w:top w:val="single" w:sz="4" w:space="0" w:color="A6A6A6"/>
              <w:left w:val="single" w:sz="4" w:space="0" w:color="A6A6A6"/>
              <w:bottom w:val="single" w:sz="4" w:space="0" w:color="A6A6A6"/>
              <w:right w:val="single" w:sz="4" w:space="0" w:color="A6A6A6"/>
            </w:tcBorders>
          </w:tcPr>
          <w:p w14:paraId="3D8D1025" w14:textId="77777777" w:rsidR="00BC24A8" w:rsidRDefault="00000000">
            <w:pPr>
              <w:pStyle w:val="TableParagraph"/>
              <w:spacing w:before="1"/>
              <w:ind w:left="108"/>
              <w:rPr>
                <w:sz w:val="18"/>
              </w:rPr>
            </w:pPr>
            <w:r>
              <w:rPr>
                <w:spacing w:val="-2"/>
                <w:sz w:val="18"/>
              </w:rPr>
              <w:t>Maluku</w:t>
            </w:r>
          </w:p>
        </w:tc>
      </w:tr>
      <w:tr w:rsidR="00BC24A8" w14:paraId="0A9C91AA"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144788F1" w14:textId="77777777" w:rsidR="00BC24A8" w:rsidRDefault="00000000">
            <w:pPr>
              <w:pStyle w:val="TableParagraph"/>
              <w:spacing w:before="1"/>
              <w:ind w:right="96"/>
              <w:jc w:val="right"/>
              <w:rPr>
                <w:sz w:val="18"/>
              </w:rPr>
            </w:pPr>
            <w:r>
              <w:rPr>
                <w:spacing w:val="-5"/>
                <w:sz w:val="18"/>
              </w:rPr>
              <w:t>63</w:t>
            </w:r>
          </w:p>
        </w:tc>
        <w:tc>
          <w:tcPr>
            <w:tcW w:w="955" w:type="dxa"/>
            <w:tcBorders>
              <w:top w:val="single" w:sz="4" w:space="0" w:color="A6A6A6"/>
              <w:left w:val="single" w:sz="4" w:space="0" w:color="A6A6A6"/>
              <w:bottom w:val="single" w:sz="4" w:space="0" w:color="A6A6A6"/>
              <w:right w:val="single" w:sz="4" w:space="0" w:color="A6A6A6"/>
            </w:tcBorders>
          </w:tcPr>
          <w:p w14:paraId="175D452B"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70333E43" w14:textId="77777777" w:rsidR="00BC24A8" w:rsidRDefault="00000000">
            <w:pPr>
              <w:pStyle w:val="TableParagraph"/>
              <w:spacing w:before="1"/>
              <w:ind w:left="105"/>
              <w:rPr>
                <w:sz w:val="18"/>
              </w:rPr>
            </w:pPr>
            <w:r>
              <w:rPr>
                <w:sz w:val="18"/>
              </w:rPr>
              <w:t>People</w:t>
            </w:r>
            <w:r>
              <w:rPr>
                <w:spacing w:val="-3"/>
                <w:sz w:val="18"/>
              </w:rPr>
              <w:t xml:space="preserve"> </w:t>
            </w:r>
            <w:r>
              <w:rPr>
                <w:sz w:val="18"/>
              </w:rPr>
              <w:t>with</w:t>
            </w:r>
            <w:r>
              <w:rPr>
                <w:spacing w:val="-3"/>
                <w:sz w:val="18"/>
              </w:rPr>
              <w:t xml:space="preserve"> </w:t>
            </w:r>
            <w:r>
              <w:rPr>
                <w:sz w:val="18"/>
              </w:rPr>
              <w:t>Disabilities</w:t>
            </w:r>
            <w:r>
              <w:rPr>
                <w:spacing w:val="-3"/>
                <w:sz w:val="18"/>
              </w:rPr>
              <w:t xml:space="preserve"> </w:t>
            </w:r>
            <w:r>
              <w:rPr>
                <w:sz w:val="18"/>
              </w:rPr>
              <w:t>and</w:t>
            </w:r>
            <w:r>
              <w:rPr>
                <w:spacing w:val="-3"/>
                <w:sz w:val="18"/>
              </w:rPr>
              <w:t xml:space="preserve"> </w:t>
            </w:r>
            <w:r>
              <w:rPr>
                <w:sz w:val="18"/>
              </w:rPr>
              <w:t>Access</w:t>
            </w:r>
            <w:r>
              <w:rPr>
                <w:spacing w:val="-3"/>
                <w:sz w:val="18"/>
              </w:rPr>
              <w:t xml:space="preserve"> </w:t>
            </w:r>
            <w:r>
              <w:rPr>
                <w:sz w:val="18"/>
              </w:rPr>
              <w:t>to</w:t>
            </w:r>
            <w:r>
              <w:rPr>
                <w:spacing w:val="-4"/>
                <w:sz w:val="18"/>
              </w:rPr>
              <w:t xml:space="preserve"> </w:t>
            </w:r>
            <w:r>
              <w:rPr>
                <w:sz w:val="18"/>
              </w:rPr>
              <w:t>Employment</w:t>
            </w:r>
            <w:r>
              <w:rPr>
                <w:spacing w:val="-2"/>
                <w:sz w:val="18"/>
              </w:rPr>
              <w:t xml:space="preserve"> </w:t>
            </w:r>
            <w:r>
              <w:rPr>
                <w:sz w:val="18"/>
              </w:rPr>
              <w:t>in</w:t>
            </w:r>
            <w:r>
              <w:rPr>
                <w:spacing w:val="-3"/>
                <w:sz w:val="18"/>
              </w:rPr>
              <w:t xml:space="preserve"> </w:t>
            </w:r>
            <w:r>
              <w:rPr>
                <w:sz w:val="18"/>
              </w:rPr>
              <w:t>Ambon</w:t>
            </w:r>
            <w:r>
              <w:rPr>
                <w:spacing w:val="-2"/>
                <w:sz w:val="18"/>
              </w:rPr>
              <w:t xml:space="preserve"> </w:t>
            </w:r>
            <w:r>
              <w:rPr>
                <w:spacing w:val="-4"/>
                <w:sz w:val="18"/>
              </w:rPr>
              <w:t>City</w:t>
            </w:r>
          </w:p>
        </w:tc>
        <w:tc>
          <w:tcPr>
            <w:tcW w:w="1096" w:type="dxa"/>
            <w:tcBorders>
              <w:top w:val="single" w:sz="4" w:space="0" w:color="A6A6A6"/>
              <w:left w:val="single" w:sz="4" w:space="0" w:color="A6A6A6"/>
              <w:bottom w:val="single" w:sz="4" w:space="0" w:color="A6A6A6"/>
              <w:right w:val="single" w:sz="4" w:space="0" w:color="A6A6A6"/>
            </w:tcBorders>
          </w:tcPr>
          <w:p w14:paraId="78E880A7" w14:textId="77777777" w:rsidR="00BC24A8" w:rsidRDefault="00000000">
            <w:pPr>
              <w:pStyle w:val="TableParagraph"/>
              <w:spacing w:before="1"/>
              <w:ind w:left="108"/>
              <w:rPr>
                <w:sz w:val="18"/>
              </w:rPr>
            </w:pPr>
            <w:r>
              <w:rPr>
                <w:spacing w:val="-2"/>
                <w:sz w:val="18"/>
              </w:rPr>
              <w:t>Maluku</w:t>
            </w:r>
          </w:p>
        </w:tc>
      </w:tr>
      <w:tr w:rsidR="00BC24A8" w14:paraId="2E090F5A" w14:textId="77777777">
        <w:trPr>
          <w:trHeight w:val="249"/>
        </w:trPr>
        <w:tc>
          <w:tcPr>
            <w:tcW w:w="552" w:type="dxa"/>
            <w:tcBorders>
              <w:top w:val="single" w:sz="4" w:space="0" w:color="A6A6A6"/>
              <w:left w:val="single" w:sz="4" w:space="0" w:color="A6A6A6"/>
              <w:bottom w:val="single" w:sz="4" w:space="0" w:color="A6A6A6"/>
              <w:right w:val="single" w:sz="4" w:space="0" w:color="A6A6A6"/>
            </w:tcBorders>
          </w:tcPr>
          <w:p w14:paraId="338CD823" w14:textId="77777777" w:rsidR="00BC24A8" w:rsidRDefault="00000000">
            <w:pPr>
              <w:pStyle w:val="TableParagraph"/>
              <w:spacing w:before="1"/>
              <w:ind w:right="96"/>
              <w:jc w:val="right"/>
              <w:rPr>
                <w:sz w:val="18"/>
              </w:rPr>
            </w:pPr>
            <w:r>
              <w:rPr>
                <w:spacing w:val="-5"/>
                <w:sz w:val="18"/>
              </w:rPr>
              <w:t>64</w:t>
            </w:r>
          </w:p>
        </w:tc>
        <w:tc>
          <w:tcPr>
            <w:tcW w:w="955" w:type="dxa"/>
            <w:tcBorders>
              <w:top w:val="single" w:sz="4" w:space="0" w:color="A6A6A6"/>
              <w:left w:val="single" w:sz="4" w:space="0" w:color="A6A6A6"/>
              <w:bottom w:val="single" w:sz="4" w:space="0" w:color="A6A6A6"/>
              <w:right w:val="single" w:sz="4" w:space="0" w:color="A6A6A6"/>
            </w:tcBorders>
          </w:tcPr>
          <w:p w14:paraId="3D4C8517"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3B9A9D0C" w14:textId="77777777" w:rsidR="00BC24A8" w:rsidRDefault="00000000">
            <w:pPr>
              <w:pStyle w:val="TableParagraph"/>
              <w:spacing w:before="1"/>
              <w:ind w:left="105"/>
              <w:rPr>
                <w:sz w:val="18"/>
              </w:rPr>
            </w:pPr>
            <w:r>
              <w:rPr>
                <w:sz w:val="18"/>
              </w:rPr>
              <w:t>Mainstreaming</w:t>
            </w:r>
            <w:r>
              <w:rPr>
                <w:spacing w:val="-7"/>
                <w:sz w:val="18"/>
              </w:rPr>
              <w:t xml:space="preserve"> </w:t>
            </w:r>
            <w:r>
              <w:rPr>
                <w:sz w:val="18"/>
              </w:rPr>
              <w:t>GEDSI</w:t>
            </w:r>
            <w:r>
              <w:rPr>
                <w:spacing w:val="-7"/>
                <w:sz w:val="18"/>
              </w:rPr>
              <w:t xml:space="preserve"> </w:t>
            </w:r>
            <w:r>
              <w:rPr>
                <w:sz w:val="18"/>
              </w:rPr>
              <w:t>and</w:t>
            </w:r>
            <w:r>
              <w:rPr>
                <w:spacing w:val="-5"/>
                <w:sz w:val="18"/>
              </w:rPr>
              <w:t xml:space="preserve"> </w:t>
            </w:r>
            <w:r>
              <w:rPr>
                <w:sz w:val="18"/>
              </w:rPr>
              <w:t>Prevention</w:t>
            </w:r>
            <w:r>
              <w:rPr>
                <w:spacing w:val="-6"/>
                <w:sz w:val="18"/>
              </w:rPr>
              <w:t xml:space="preserve"> </w:t>
            </w:r>
            <w:r>
              <w:rPr>
                <w:sz w:val="18"/>
              </w:rPr>
              <w:t>of</w:t>
            </w:r>
            <w:r>
              <w:rPr>
                <w:spacing w:val="-7"/>
                <w:sz w:val="18"/>
              </w:rPr>
              <w:t xml:space="preserve"> </w:t>
            </w:r>
            <w:r>
              <w:rPr>
                <w:sz w:val="18"/>
              </w:rPr>
              <w:t>Sexual</w:t>
            </w:r>
            <w:r>
              <w:rPr>
                <w:spacing w:val="-5"/>
                <w:sz w:val="18"/>
              </w:rPr>
              <w:t xml:space="preserve"> </w:t>
            </w:r>
            <w:r>
              <w:rPr>
                <w:sz w:val="18"/>
              </w:rPr>
              <w:t>Violence</w:t>
            </w:r>
            <w:r>
              <w:rPr>
                <w:spacing w:val="-5"/>
                <w:sz w:val="18"/>
              </w:rPr>
              <w:t xml:space="preserve"> </w:t>
            </w:r>
            <w:r>
              <w:rPr>
                <w:sz w:val="18"/>
              </w:rPr>
              <w:t>Crime</w:t>
            </w:r>
            <w:r>
              <w:rPr>
                <w:spacing w:val="-6"/>
                <w:sz w:val="18"/>
              </w:rPr>
              <w:t xml:space="preserve"> </w:t>
            </w:r>
            <w:r>
              <w:rPr>
                <w:sz w:val="18"/>
              </w:rPr>
              <w:t>at</w:t>
            </w:r>
            <w:r>
              <w:rPr>
                <w:spacing w:val="-5"/>
                <w:sz w:val="18"/>
              </w:rPr>
              <w:t xml:space="preserve"> </w:t>
            </w:r>
            <w:r>
              <w:rPr>
                <w:sz w:val="18"/>
              </w:rPr>
              <w:t>Univ.</w:t>
            </w:r>
            <w:r>
              <w:rPr>
                <w:spacing w:val="-6"/>
                <w:sz w:val="18"/>
              </w:rPr>
              <w:t xml:space="preserve"> </w:t>
            </w:r>
            <w:r>
              <w:rPr>
                <w:spacing w:val="-2"/>
                <w:sz w:val="18"/>
              </w:rPr>
              <w:t>Pattimura</w:t>
            </w:r>
          </w:p>
        </w:tc>
        <w:tc>
          <w:tcPr>
            <w:tcW w:w="1096" w:type="dxa"/>
            <w:tcBorders>
              <w:top w:val="single" w:sz="4" w:space="0" w:color="A6A6A6"/>
              <w:left w:val="single" w:sz="4" w:space="0" w:color="A6A6A6"/>
              <w:bottom w:val="single" w:sz="4" w:space="0" w:color="A6A6A6"/>
              <w:right w:val="single" w:sz="4" w:space="0" w:color="A6A6A6"/>
            </w:tcBorders>
          </w:tcPr>
          <w:p w14:paraId="35879918" w14:textId="77777777" w:rsidR="00BC24A8" w:rsidRDefault="00000000">
            <w:pPr>
              <w:pStyle w:val="TableParagraph"/>
              <w:spacing w:before="1"/>
              <w:ind w:left="108"/>
              <w:rPr>
                <w:sz w:val="18"/>
              </w:rPr>
            </w:pPr>
            <w:r>
              <w:rPr>
                <w:spacing w:val="-2"/>
                <w:sz w:val="18"/>
              </w:rPr>
              <w:t>Maluku</w:t>
            </w:r>
          </w:p>
        </w:tc>
      </w:tr>
      <w:tr w:rsidR="00BC24A8" w14:paraId="790226A8" w14:textId="77777777">
        <w:trPr>
          <w:trHeight w:val="217"/>
        </w:trPr>
        <w:tc>
          <w:tcPr>
            <w:tcW w:w="552" w:type="dxa"/>
            <w:tcBorders>
              <w:top w:val="single" w:sz="4" w:space="0" w:color="A6A6A6"/>
              <w:left w:val="single" w:sz="4" w:space="0" w:color="A6A6A6"/>
              <w:bottom w:val="single" w:sz="4" w:space="0" w:color="A6A6A6"/>
              <w:right w:val="single" w:sz="4" w:space="0" w:color="A6A6A6"/>
            </w:tcBorders>
          </w:tcPr>
          <w:p w14:paraId="2C9EBD2C" w14:textId="77777777" w:rsidR="00BC24A8" w:rsidRDefault="00000000">
            <w:pPr>
              <w:pStyle w:val="TableParagraph"/>
              <w:spacing w:line="198" w:lineRule="exact"/>
              <w:ind w:right="96"/>
              <w:jc w:val="right"/>
              <w:rPr>
                <w:sz w:val="18"/>
              </w:rPr>
            </w:pPr>
            <w:r>
              <w:rPr>
                <w:spacing w:val="-5"/>
                <w:sz w:val="18"/>
              </w:rPr>
              <w:t>65</w:t>
            </w:r>
          </w:p>
        </w:tc>
        <w:tc>
          <w:tcPr>
            <w:tcW w:w="955" w:type="dxa"/>
            <w:tcBorders>
              <w:top w:val="single" w:sz="4" w:space="0" w:color="A6A6A6"/>
              <w:left w:val="single" w:sz="4" w:space="0" w:color="A6A6A6"/>
              <w:bottom w:val="single" w:sz="4" w:space="0" w:color="A6A6A6"/>
              <w:right w:val="single" w:sz="4" w:space="0" w:color="A6A6A6"/>
            </w:tcBorders>
          </w:tcPr>
          <w:p w14:paraId="60CC13C7" w14:textId="77777777" w:rsidR="00BC24A8" w:rsidRDefault="00000000">
            <w:pPr>
              <w:pStyle w:val="TableParagraph"/>
              <w:spacing w:line="198"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101FAE7C" w14:textId="77777777" w:rsidR="00BC24A8" w:rsidRDefault="00000000">
            <w:pPr>
              <w:pStyle w:val="TableParagraph"/>
              <w:spacing w:line="198" w:lineRule="exact"/>
              <w:ind w:left="105"/>
              <w:rPr>
                <w:sz w:val="18"/>
              </w:rPr>
            </w:pPr>
            <w:r>
              <w:rPr>
                <w:sz w:val="18"/>
              </w:rPr>
              <w:t>Land</w:t>
            </w:r>
            <w:r>
              <w:rPr>
                <w:spacing w:val="-5"/>
                <w:sz w:val="18"/>
              </w:rPr>
              <w:t xml:space="preserve"> </w:t>
            </w:r>
            <w:r>
              <w:rPr>
                <w:sz w:val="18"/>
              </w:rPr>
              <w:t>Use</w:t>
            </w:r>
            <w:r>
              <w:rPr>
                <w:spacing w:val="-4"/>
                <w:sz w:val="18"/>
              </w:rPr>
              <w:t xml:space="preserve"> </w:t>
            </w:r>
            <w:r>
              <w:rPr>
                <w:sz w:val="18"/>
              </w:rPr>
              <w:t>Change</w:t>
            </w:r>
            <w:r>
              <w:rPr>
                <w:spacing w:val="-5"/>
                <w:sz w:val="18"/>
              </w:rPr>
              <w:t xml:space="preserve"> </w:t>
            </w:r>
            <w:r>
              <w:rPr>
                <w:sz w:val="18"/>
              </w:rPr>
              <w:t>Around</w:t>
            </w:r>
            <w:r>
              <w:rPr>
                <w:spacing w:val="-4"/>
                <w:sz w:val="18"/>
              </w:rPr>
              <w:t xml:space="preserve"> </w:t>
            </w:r>
            <w:r>
              <w:rPr>
                <w:sz w:val="18"/>
              </w:rPr>
              <w:t>IAIN</w:t>
            </w:r>
            <w:r>
              <w:rPr>
                <w:spacing w:val="-5"/>
                <w:sz w:val="18"/>
              </w:rPr>
              <w:t xml:space="preserve"> </w:t>
            </w:r>
            <w:r>
              <w:rPr>
                <w:sz w:val="18"/>
              </w:rPr>
              <w:t>Ambon</w:t>
            </w:r>
            <w:r>
              <w:rPr>
                <w:spacing w:val="-4"/>
                <w:sz w:val="18"/>
              </w:rPr>
              <w:t xml:space="preserve"> </w:t>
            </w:r>
            <w:r>
              <w:rPr>
                <w:sz w:val="18"/>
              </w:rPr>
              <w:t>College</w:t>
            </w:r>
            <w:r>
              <w:rPr>
                <w:spacing w:val="-4"/>
                <w:sz w:val="18"/>
              </w:rPr>
              <w:t xml:space="preserve"> </w:t>
            </w:r>
            <w:r>
              <w:rPr>
                <w:sz w:val="18"/>
              </w:rPr>
              <w:t>Area</w:t>
            </w:r>
            <w:r>
              <w:rPr>
                <w:spacing w:val="-6"/>
                <w:sz w:val="18"/>
              </w:rPr>
              <w:t xml:space="preserve"> </w:t>
            </w:r>
            <w:r>
              <w:rPr>
                <w:sz w:val="18"/>
              </w:rPr>
              <w:t>Affects</w:t>
            </w:r>
            <w:r>
              <w:rPr>
                <w:spacing w:val="-4"/>
                <w:sz w:val="18"/>
              </w:rPr>
              <w:t xml:space="preserve"> </w:t>
            </w:r>
            <w:r>
              <w:rPr>
                <w:sz w:val="18"/>
              </w:rPr>
              <w:t>Clean</w:t>
            </w:r>
            <w:r>
              <w:rPr>
                <w:spacing w:val="-4"/>
                <w:sz w:val="18"/>
              </w:rPr>
              <w:t xml:space="preserve"> </w:t>
            </w:r>
            <w:r>
              <w:rPr>
                <w:sz w:val="18"/>
              </w:rPr>
              <w:t>Water</w:t>
            </w:r>
            <w:r>
              <w:rPr>
                <w:spacing w:val="-5"/>
                <w:sz w:val="18"/>
              </w:rPr>
              <w:t xml:space="preserve"> </w:t>
            </w:r>
            <w:r>
              <w:rPr>
                <w:spacing w:val="-2"/>
                <w:sz w:val="18"/>
              </w:rPr>
              <w:t>Availability</w:t>
            </w:r>
          </w:p>
        </w:tc>
        <w:tc>
          <w:tcPr>
            <w:tcW w:w="1096" w:type="dxa"/>
            <w:tcBorders>
              <w:top w:val="single" w:sz="4" w:space="0" w:color="A6A6A6"/>
              <w:left w:val="single" w:sz="4" w:space="0" w:color="A6A6A6"/>
              <w:bottom w:val="single" w:sz="4" w:space="0" w:color="A6A6A6"/>
              <w:right w:val="single" w:sz="4" w:space="0" w:color="A6A6A6"/>
            </w:tcBorders>
          </w:tcPr>
          <w:p w14:paraId="2A7581D2" w14:textId="77777777" w:rsidR="00BC24A8" w:rsidRDefault="00000000">
            <w:pPr>
              <w:pStyle w:val="TableParagraph"/>
              <w:spacing w:line="198" w:lineRule="exact"/>
              <w:ind w:left="108"/>
              <w:rPr>
                <w:sz w:val="18"/>
              </w:rPr>
            </w:pPr>
            <w:r>
              <w:rPr>
                <w:spacing w:val="-2"/>
                <w:sz w:val="18"/>
              </w:rPr>
              <w:t>Maluku</w:t>
            </w:r>
          </w:p>
        </w:tc>
      </w:tr>
      <w:tr w:rsidR="00BC24A8" w14:paraId="76949A54"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62920546" w14:textId="77777777" w:rsidR="00BC24A8" w:rsidRDefault="00000000">
            <w:pPr>
              <w:pStyle w:val="TableParagraph"/>
              <w:spacing w:before="1"/>
              <w:ind w:right="96"/>
              <w:jc w:val="right"/>
              <w:rPr>
                <w:sz w:val="18"/>
              </w:rPr>
            </w:pPr>
            <w:r>
              <w:rPr>
                <w:spacing w:val="-5"/>
                <w:sz w:val="18"/>
              </w:rPr>
              <w:t>66</w:t>
            </w:r>
          </w:p>
        </w:tc>
        <w:tc>
          <w:tcPr>
            <w:tcW w:w="955" w:type="dxa"/>
            <w:tcBorders>
              <w:top w:val="single" w:sz="4" w:space="0" w:color="A6A6A6"/>
              <w:left w:val="single" w:sz="4" w:space="0" w:color="A6A6A6"/>
              <w:bottom w:val="single" w:sz="4" w:space="0" w:color="A6A6A6"/>
              <w:right w:val="single" w:sz="4" w:space="0" w:color="A6A6A6"/>
            </w:tcBorders>
          </w:tcPr>
          <w:p w14:paraId="16E12D38" w14:textId="77777777" w:rsidR="00BC24A8" w:rsidRDefault="00000000">
            <w:pPr>
              <w:pStyle w:val="TableParagraph"/>
              <w:spacing w:before="1"/>
              <w:ind w:left="105"/>
              <w:rPr>
                <w:sz w:val="18"/>
              </w:rPr>
            </w:pPr>
            <w:r>
              <w:rPr>
                <w:sz w:val="18"/>
              </w:rPr>
              <w:t>FY</w:t>
            </w:r>
            <w:r>
              <w:rPr>
                <w:spacing w:val="-3"/>
                <w:sz w:val="18"/>
              </w:rPr>
              <w:t xml:space="preserve"> </w:t>
            </w:r>
            <w:r>
              <w:rPr>
                <w:spacing w:val="-4"/>
                <w:sz w:val="18"/>
              </w:rPr>
              <w:t>24/25</w:t>
            </w:r>
          </w:p>
        </w:tc>
        <w:tc>
          <w:tcPr>
            <w:tcW w:w="6993" w:type="dxa"/>
            <w:tcBorders>
              <w:top w:val="single" w:sz="4" w:space="0" w:color="A6A6A6"/>
              <w:left w:val="single" w:sz="4" w:space="0" w:color="A6A6A6"/>
              <w:bottom w:val="single" w:sz="4" w:space="0" w:color="A6A6A6"/>
              <w:right w:val="single" w:sz="4" w:space="0" w:color="A6A6A6"/>
            </w:tcBorders>
          </w:tcPr>
          <w:p w14:paraId="57906834" w14:textId="77777777" w:rsidR="00BC24A8" w:rsidRDefault="00000000">
            <w:pPr>
              <w:pStyle w:val="TableParagraph"/>
              <w:spacing w:before="1"/>
              <w:ind w:left="105"/>
              <w:rPr>
                <w:sz w:val="18"/>
              </w:rPr>
            </w:pPr>
            <w:r>
              <w:rPr>
                <w:spacing w:val="-2"/>
                <w:sz w:val="18"/>
              </w:rPr>
              <w:t>Mainstreaming GEDSI</w:t>
            </w:r>
            <w:r>
              <w:rPr>
                <w:spacing w:val="-5"/>
                <w:sz w:val="18"/>
              </w:rPr>
              <w:t xml:space="preserve"> </w:t>
            </w:r>
            <w:r>
              <w:rPr>
                <w:spacing w:val="-2"/>
                <w:sz w:val="18"/>
              </w:rPr>
              <w:t>in</w:t>
            </w:r>
            <w:r>
              <w:rPr>
                <w:spacing w:val="-4"/>
                <w:sz w:val="18"/>
              </w:rPr>
              <w:t xml:space="preserve"> </w:t>
            </w:r>
            <w:r>
              <w:rPr>
                <w:spacing w:val="-2"/>
                <w:sz w:val="18"/>
              </w:rPr>
              <w:t>the draft</w:t>
            </w:r>
            <w:r>
              <w:rPr>
                <w:spacing w:val="-5"/>
                <w:sz w:val="18"/>
              </w:rPr>
              <w:t xml:space="preserve"> </w:t>
            </w:r>
            <w:r>
              <w:rPr>
                <w:spacing w:val="-2"/>
                <w:sz w:val="18"/>
              </w:rPr>
              <w:t>RPJMD of Maluku Province 2025-2029: Building an Advanced,</w:t>
            </w:r>
            <w:r>
              <w:rPr>
                <w:sz w:val="18"/>
              </w:rPr>
              <w:t xml:space="preserve"> Inclusive, Sustainable Maluku Province</w:t>
            </w:r>
          </w:p>
        </w:tc>
        <w:tc>
          <w:tcPr>
            <w:tcW w:w="1096" w:type="dxa"/>
            <w:tcBorders>
              <w:top w:val="single" w:sz="4" w:space="0" w:color="A6A6A6"/>
              <w:left w:val="single" w:sz="4" w:space="0" w:color="A6A6A6"/>
              <w:bottom w:val="single" w:sz="4" w:space="0" w:color="A6A6A6"/>
              <w:right w:val="single" w:sz="4" w:space="0" w:color="A6A6A6"/>
            </w:tcBorders>
          </w:tcPr>
          <w:p w14:paraId="59FA68D5" w14:textId="77777777" w:rsidR="00BC24A8" w:rsidRDefault="00000000">
            <w:pPr>
              <w:pStyle w:val="TableParagraph"/>
              <w:spacing w:before="1"/>
              <w:ind w:left="108"/>
              <w:rPr>
                <w:sz w:val="18"/>
              </w:rPr>
            </w:pPr>
            <w:r>
              <w:rPr>
                <w:spacing w:val="-2"/>
                <w:sz w:val="18"/>
              </w:rPr>
              <w:t>Maluku</w:t>
            </w:r>
          </w:p>
        </w:tc>
      </w:tr>
      <w:tr w:rsidR="00BC24A8" w14:paraId="71DBDEC0" w14:textId="77777777">
        <w:trPr>
          <w:trHeight w:val="482"/>
        </w:trPr>
        <w:tc>
          <w:tcPr>
            <w:tcW w:w="552" w:type="dxa"/>
            <w:tcBorders>
              <w:top w:val="single" w:sz="4" w:space="0" w:color="A6A6A6"/>
              <w:left w:val="single" w:sz="4" w:space="0" w:color="A6A6A6"/>
              <w:bottom w:val="single" w:sz="4" w:space="0" w:color="A6A6A6"/>
              <w:right w:val="single" w:sz="4" w:space="0" w:color="A6A6A6"/>
            </w:tcBorders>
          </w:tcPr>
          <w:p w14:paraId="3DF17862" w14:textId="77777777" w:rsidR="00BC24A8" w:rsidRDefault="00000000">
            <w:pPr>
              <w:pStyle w:val="TableParagraph"/>
              <w:spacing w:before="1"/>
              <w:ind w:right="96"/>
              <w:jc w:val="right"/>
              <w:rPr>
                <w:sz w:val="18"/>
              </w:rPr>
            </w:pPr>
            <w:r>
              <w:rPr>
                <w:spacing w:val="-5"/>
                <w:sz w:val="18"/>
              </w:rPr>
              <w:t>67</w:t>
            </w:r>
          </w:p>
        </w:tc>
        <w:tc>
          <w:tcPr>
            <w:tcW w:w="955" w:type="dxa"/>
            <w:tcBorders>
              <w:top w:val="single" w:sz="4" w:space="0" w:color="A6A6A6"/>
              <w:left w:val="single" w:sz="4" w:space="0" w:color="A6A6A6"/>
              <w:bottom w:val="single" w:sz="4" w:space="0" w:color="A6A6A6"/>
              <w:right w:val="single" w:sz="4" w:space="0" w:color="A6A6A6"/>
            </w:tcBorders>
          </w:tcPr>
          <w:p w14:paraId="73A428C8" w14:textId="77777777" w:rsidR="00BC24A8" w:rsidRDefault="00000000">
            <w:pPr>
              <w:pStyle w:val="TableParagraph"/>
              <w:spacing w:before="1"/>
              <w:ind w:left="105"/>
              <w:rPr>
                <w:sz w:val="18"/>
              </w:rPr>
            </w:pPr>
            <w:r>
              <w:rPr>
                <w:sz w:val="18"/>
              </w:rPr>
              <w:t>FY</w:t>
            </w:r>
            <w:r>
              <w:rPr>
                <w:spacing w:val="-3"/>
                <w:sz w:val="18"/>
              </w:rPr>
              <w:t xml:space="preserve"> </w:t>
            </w:r>
            <w:r>
              <w:rPr>
                <w:spacing w:val="-4"/>
                <w:sz w:val="18"/>
              </w:rPr>
              <w:t>24/25</w:t>
            </w:r>
          </w:p>
        </w:tc>
        <w:tc>
          <w:tcPr>
            <w:tcW w:w="6993" w:type="dxa"/>
            <w:tcBorders>
              <w:top w:val="single" w:sz="4" w:space="0" w:color="A6A6A6"/>
              <w:left w:val="single" w:sz="4" w:space="0" w:color="A6A6A6"/>
              <w:bottom w:val="single" w:sz="4" w:space="0" w:color="A6A6A6"/>
              <w:right w:val="single" w:sz="4" w:space="0" w:color="A6A6A6"/>
            </w:tcBorders>
          </w:tcPr>
          <w:p w14:paraId="7BBD710C" w14:textId="77777777" w:rsidR="00BC24A8" w:rsidRDefault="00000000">
            <w:pPr>
              <w:pStyle w:val="TableParagraph"/>
              <w:spacing w:before="1"/>
              <w:ind w:left="105"/>
              <w:rPr>
                <w:sz w:val="18"/>
              </w:rPr>
            </w:pPr>
            <w:r>
              <w:rPr>
                <w:sz w:val="18"/>
              </w:rPr>
              <w:t>Promoting</w:t>
            </w:r>
            <w:r>
              <w:rPr>
                <w:spacing w:val="40"/>
                <w:sz w:val="18"/>
              </w:rPr>
              <w:t xml:space="preserve"> </w:t>
            </w:r>
            <w:r>
              <w:rPr>
                <w:sz w:val="18"/>
              </w:rPr>
              <w:t>RAD</w:t>
            </w:r>
            <w:r>
              <w:rPr>
                <w:spacing w:val="40"/>
                <w:sz w:val="18"/>
              </w:rPr>
              <w:t xml:space="preserve"> </w:t>
            </w:r>
            <w:r>
              <w:rPr>
                <w:sz w:val="18"/>
              </w:rPr>
              <w:t>for</w:t>
            </w:r>
            <w:r>
              <w:rPr>
                <w:spacing w:val="40"/>
                <w:sz w:val="18"/>
              </w:rPr>
              <w:t xml:space="preserve"> </w:t>
            </w:r>
            <w:r>
              <w:rPr>
                <w:sz w:val="18"/>
              </w:rPr>
              <w:t>Gender</w:t>
            </w:r>
            <w:r>
              <w:rPr>
                <w:spacing w:val="40"/>
                <w:sz w:val="18"/>
              </w:rPr>
              <w:t xml:space="preserve"> </w:t>
            </w:r>
            <w:r>
              <w:rPr>
                <w:sz w:val="18"/>
              </w:rPr>
              <w:t>Equality</w:t>
            </w:r>
            <w:r>
              <w:rPr>
                <w:spacing w:val="40"/>
                <w:sz w:val="18"/>
              </w:rPr>
              <w:t xml:space="preserve"> </w:t>
            </w:r>
            <w:r>
              <w:rPr>
                <w:sz w:val="18"/>
              </w:rPr>
              <w:t>Development</w:t>
            </w:r>
            <w:r>
              <w:rPr>
                <w:spacing w:val="40"/>
                <w:sz w:val="18"/>
              </w:rPr>
              <w:t xml:space="preserve"> </w:t>
            </w:r>
            <w:r>
              <w:rPr>
                <w:sz w:val="18"/>
              </w:rPr>
              <w:t>to</w:t>
            </w:r>
            <w:r>
              <w:rPr>
                <w:spacing w:val="40"/>
                <w:sz w:val="18"/>
              </w:rPr>
              <w:t xml:space="preserve"> </w:t>
            </w:r>
            <w:r>
              <w:rPr>
                <w:sz w:val="18"/>
              </w:rPr>
              <w:t>Accelerate</w:t>
            </w:r>
            <w:r>
              <w:rPr>
                <w:spacing w:val="40"/>
                <w:sz w:val="18"/>
              </w:rPr>
              <w:t xml:space="preserve"> </w:t>
            </w:r>
            <w:r>
              <w:rPr>
                <w:sz w:val="18"/>
              </w:rPr>
              <w:t>Gender</w:t>
            </w:r>
            <w:r>
              <w:rPr>
                <w:spacing w:val="40"/>
                <w:sz w:val="18"/>
              </w:rPr>
              <w:t xml:space="preserve"> </w:t>
            </w:r>
            <w:r>
              <w:rPr>
                <w:sz w:val="18"/>
              </w:rPr>
              <w:t>Responsive</w:t>
            </w:r>
            <w:r>
              <w:rPr>
                <w:spacing w:val="40"/>
                <w:sz w:val="18"/>
              </w:rPr>
              <w:t xml:space="preserve"> </w:t>
            </w:r>
            <w:r>
              <w:rPr>
                <w:sz w:val="18"/>
              </w:rPr>
              <w:t>and Inclusive Basic Services in Maluku Province</w:t>
            </w:r>
          </w:p>
        </w:tc>
        <w:tc>
          <w:tcPr>
            <w:tcW w:w="1096" w:type="dxa"/>
            <w:tcBorders>
              <w:top w:val="single" w:sz="4" w:space="0" w:color="A6A6A6"/>
              <w:left w:val="single" w:sz="4" w:space="0" w:color="A6A6A6"/>
              <w:bottom w:val="single" w:sz="4" w:space="0" w:color="A6A6A6"/>
              <w:right w:val="single" w:sz="4" w:space="0" w:color="A6A6A6"/>
            </w:tcBorders>
          </w:tcPr>
          <w:p w14:paraId="2DA6C4E2" w14:textId="77777777" w:rsidR="00BC24A8" w:rsidRDefault="00000000">
            <w:pPr>
              <w:pStyle w:val="TableParagraph"/>
              <w:spacing w:before="1"/>
              <w:ind w:left="108"/>
              <w:rPr>
                <w:sz w:val="18"/>
              </w:rPr>
            </w:pPr>
            <w:r>
              <w:rPr>
                <w:spacing w:val="-2"/>
                <w:sz w:val="18"/>
              </w:rPr>
              <w:t>Maluku</w:t>
            </w:r>
          </w:p>
        </w:tc>
      </w:tr>
      <w:tr w:rsidR="00BC24A8" w14:paraId="09337657" w14:textId="77777777">
        <w:trPr>
          <w:trHeight w:val="438"/>
        </w:trPr>
        <w:tc>
          <w:tcPr>
            <w:tcW w:w="552" w:type="dxa"/>
            <w:tcBorders>
              <w:top w:val="single" w:sz="4" w:space="0" w:color="A6A6A6"/>
              <w:left w:val="single" w:sz="4" w:space="0" w:color="A6A6A6"/>
              <w:bottom w:val="single" w:sz="4" w:space="0" w:color="A6A6A6"/>
              <w:right w:val="single" w:sz="4" w:space="0" w:color="A6A6A6"/>
            </w:tcBorders>
          </w:tcPr>
          <w:p w14:paraId="1AFD64FD" w14:textId="77777777" w:rsidR="00BC24A8" w:rsidRDefault="00000000">
            <w:pPr>
              <w:pStyle w:val="TableParagraph"/>
              <w:spacing w:line="219" w:lineRule="exact"/>
              <w:ind w:right="96"/>
              <w:jc w:val="right"/>
              <w:rPr>
                <w:sz w:val="18"/>
              </w:rPr>
            </w:pPr>
            <w:r>
              <w:rPr>
                <w:spacing w:val="-5"/>
                <w:sz w:val="18"/>
              </w:rPr>
              <w:t>68</w:t>
            </w:r>
          </w:p>
        </w:tc>
        <w:tc>
          <w:tcPr>
            <w:tcW w:w="955" w:type="dxa"/>
            <w:tcBorders>
              <w:top w:val="single" w:sz="4" w:space="0" w:color="A6A6A6"/>
              <w:left w:val="single" w:sz="4" w:space="0" w:color="A6A6A6"/>
              <w:bottom w:val="single" w:sz="4" w:space="0" w:color="A6A6A6"/>
              <w:right w:val="single" w:sz="4" w:space="0" w:color="A6A6A6"/>
            </w:tcBorders>
          </w:tcPr>
          <w:p w14:paraId="0617ED7E"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5EFEBB5C" w14:textId="77777777" w:rsidR="00BC24A8" w:rsidRDefault="00000000">
            <w:pPr>
              <w:pStyle w:val="TableParagraph"/>
              <w:spacing w:line="219" w:lineRule="exact"/>
              <w:ind w:left="105"/>
              <w:rPr>
                <w:sz w:val="18"/>
              </w:rPr>
            </w:pPr>
            <w:r>
              <w:rPr>
                <w:sz w:val="18"/>
              </w:rPr>
              <w:t>Hacking</w:t>
            </w:r>
            <w:r>
              <w:rPr>
                <w:spacing w:val="22"/>
                <w:sz w:val="18"/>
              </w:rPr>
              <w:t xml:space="preserve"> </w:t>
            </w:r>
            <w:r>
              <w:rPr>
                <w:sz w:val="18"/>
              </w:rPr>
              <w:t>the</w:t>
            </w:r>
            <w:r>
              <w:rPr>
                <w:spacing w:val="23"/>
                <w:sz w:val="18"/>
              </w:rPr>
              <w:t xml:space="preserve"> </w:t>
            </w:r>
            <w:r>
              <w:rPr>
                <w:sz w:val="18"/>
              </w:rPr>
              <w:t>Merariq</w:t>
            </w:r>
            <w:r>
              <w:rPr>
                <w:spacing w:val="23"/>
                <w:sz w:val="18"/>
              </w:rPr>
              <w:t xml:space="preserve"> </w:t>
            </w:r>
            <w:r>
              <w:rPr>
                <w:sz w:val="18"/>
              </w:rPr>
              <w:t>Kode’</w:t>
            </w:r>
            <w:r>
              <w:rPr>
                <w:spacing w:val="23"/>
                <w:sz w:val="18"/>
              </w:rPr>
              <w:t xml:space="preserve"> </w:t>
            </w:r>
            <w:r>
              <w:rPr>
                <w:sz w:val="18"/>
              </w:rPr>
              <w:t>Tradition</w:t>
            </w:r>
            <w:r>
              <w:rPr>
                <w:spacing w:val="23"/>
                <w:sz w:val="18"/>
              </w:rPr>
              <w:t xml:space="preserve"> </w:t>
            </w:r>
            <w:r>
              <w:rPr>
                <w:sz w:val="18"/>
              </w:rPr>
              <w:t>as</w:t>
            </w:r>
            <w:r>
              <w:rPr>
                <w:spacing w:val="23"/>
                <w:sz w:val="18"/>
              </w:rPr>
              <w:t xml:space="preserve"> </w:t>
            </w:r>
            <w:r>
              <w:rPr>
                <w:sz w:val="18"/>
              </w:rPr>
              <w:t>an</w:t>
            </w:r>
            <w:r>
              <w:rPr>
                <w:spacing w:val="23"/>
                <w:sz w:val="18"/>
              </w:rPr>
              <w:t xml:space="preserve"> </w:t>
            </w:r>
            <w:r>
              <w:rPr>
                <w:sz w:val="18"/>
              </w:rPr>
              <w:t>Inhibitor</w:t>
            </w:r>
            <w:r>
              <w:rPr>
                <w:spacing w:val="24"/>
                <w:sz w:val="18"/>
              </w:rPr>
              <w:t xml:space="preserve"> </w:t>
            </w:r>
            <w:r>
              <w:rPr>
                <w:sz w:val="18"/>
              </w:rPr>
              <w:t>of</w:t>
            </w:r>
            <w:r>
              <w:rPr>
                <w:spacing w:val="22"/>
                <w:sz w:val="18"/>
              </w:rPr>
              <w:t xml:space="preserve"> </w:t>
            </w:r>
            <w:r>
              <w:rPr>
                <w:sz w:val="18"/>
              </w:rPr>
              <w:t>the</w:t>
            </w:r>
            <w:r>
              <w:rPr>
                <w:spacing w:val="20"/>
                <w:sz w:val="18"/>
              </w:rPr>
              <w:t xml:space="preserve"> </w:t>
            </w:r>
            <w:r>
              <w:rPr>
                <w:sz w:val="18"/>
              </w:rPr>
              <w:t>Stagnation</w:t>
            </w:r>
            <w:r>
              <w:rPr>
                <w:spacing w:val="24"/>
                <w:sz w:val="18"/>
              </w:rPr>
              <w:t xml:space="preserve"> </w:t>
            </w:r>
            <w:r>
              <w:rPr>
                <w:sz w:val="18"/>
              </w:rPr>
              <w:t>of</w:t>
            </w:r>
            <w:r>
              <w:rPr>
                <w:spacing w:val="22"/>
                <w:sz w:val="18"/>
              </w:rPr>
              <w:t xml:space="preserve"> </w:t>
            </w:r>
            <w:r>
              <w:rPr>
                <w:sz w:val="18"/>
              </w:rPr>
              <w:t>Gender</w:t>
            </w:r>
            <w:r>
              <w:rPr>
                <w:spacing w:val="23"/>
                <w:sz w:val="18"/>
              </w:rPr>
              <w:t xml:space="preserve"> </w:t>
            </w:r>
            <w:r>
              <w:rPr>
                <w:sz w:val="18"/>
              </w:rPr>
              <w:t>Role</w:t>
            </w:r>
            <w:r>
              <w:rPr>
                <w:spacing w:val="21"/>
                <w:sz w:val="18"/>
              </w:rPr>
              <w:t xml:space="preserve"> </w:t>
            </w:r>
            <w:r>
              <w:rPr>
                <w:spacing w:val="-5"/>
                <w:sz w:val="18"/>
              </w:rPr>
              <w:t>and</w:t>
            </w:r>
          </w:p>
          <w:p w14:paraId="6D66A84A" w14:textId="77777777" w:rsidR="00BC24A8" w:rsidRDefault="00000000">
            <w:pPr>
              <w:pStyle w:val="TableParagraph"/>
              <w:spacing w:before="1" w:line="199" w:lineRule="exact"/>
              <w:ind w:left="105"/>
              <w:rPr>
                <w:sz w:val="18"/>
              </w:rPr>
            </w:pPr>
            <w:r>
              <w:rPr>
                <w:sz w:val="18"/>
              </w:rPr>
              <w:t>Equality</w:t>
            </w:r>
            <w:r>
              <w:rPr>
                <w:spacing w:val="-7"/>
                <w:sz w:val="18"/>
              </w:rPr>
              <w:t xml:space="preserve"> </w:t>
            </w:r>
            <w:r>
              <w:rPr>
                <w:sz w:val="18"/>
              </w:rPr>
              <w:t>in</w:t>
            </w:r>
            <w:r>
              <w:rPr>
                <w:spacing w:val="-4"/>
                <w:sz w:val="18"/>
              </w:rPr>
              <w:t xml:space="preserve"> </w:t>
            </w:r>
            <w:r>
              <w:rPr>
                <w:sz w:val="18"/>
              </w:rPr>
              <w:t>Boosting</w:t>
            </w:r>
            <w:r>
              <w:rPr>
                <w:spacing w:val="-5"/>
                <w:sz w:val="18"/>
              </w:rPr>
              <w:t xml:space="preserve"> </w:t>
            </w:r>
            <w:r>
              <w:rPr>
                <w:sz w:val="18"/>
              </w:rPr>
              <w:t>the</w:t>
            </w:r>
            <w:r>
              <w:rPr>
                <w:spacing w:val="-3"/>
                <w:sz w:val="18"/>
              </w:rPr>
              <w:t xml:space="preserve"> </w:t>
            </w:r>
            <w:r>
              <w:rPr>
                <w:sz w:val="18"/>
              </w:rPr>
              <w:t>Cultural</w:t>
            </w:r>
            <w:r>
              <w:rPr>
                <w:spacing w:val="-3"/>
                <w:sz w:val="18"/>
              </w:rPr>
              <w:t xml:space="preserve"> </w:t>
            </w:r>
            <w:r>
              <w:rPr>
                <w:sz w:val="18"/>
              </w:rPr>
              <w:t>Development</w:t>
            </w:r>
            <w:r>
              <w:rPr>
                <w:spacing w:val="-3"/>
                <w:sz w:val="18"/>
              </w:rPr>
              <w:t xml:space="preserve"> </w:t>
            </w:r>
            <w:r>
              <w:rPr>
                <w:sz w:val="18"/>
              </w:rPr>
              <w:t>Index</w:t>
            </w:r>
            <w:r>
              <w:rPr>
                <w:spacing w:val="-5"/>
                <w:sz w:val="18"/>
              </w:rPr>
              <w:t xml:space="preserve"> </w:t>
            </w:r>
            <w:r>
              <w:rPr>
                <w:sz w:val="18"/>
              </w:rPr>
              <w:t>(CPI)</w:t>
            </w:r>
            <w:r>
              <w:rPr>
                <w:spacing w:val="-5"/>
                <w:sz w:val="18"/>
              </w:rPr>
              <w:t xml:space="preserve"> </w:t>
            </w:r>
            <w:r>
              <w:rPr>
                <w:sz w:val="18"/>
              </w:rPr>
              <w:t>in</w:t>
            </w:r>
            <w:r>
              <w:rPr>
                <w:spacing w:val="-3"/>
                <w:sz w:val="18"/>
              </w:rPr>
              <w:t xml:space="preserve"> </w:t>
            </w:r>
            <w:r>
              <w:rPr>
                <w:spacing w:val="-5"/>
                <w:sz w:val="18"/>
              </w:rPr>
              <w:t>NTB</w:t>
            </w:r>
          </w:p>
        </w:tc>
        <w:tc>
          <w:tcPr>
            <w:tcW w:w="1096" w:type="dxa"/>
            <w:tcBorders>
              <w:top w:val="single" w:sz="4" w:space="0" w:color="A6A6A6"/>
              <w:left w:val="single" w:sz="4" w:space="0" w:color="A6A6A6"/>
              <w:bottom w:val="single" w:sz="4" w:space="0" w:color="A6A6A6"/>
              <w:right w:val="single" w:sz="4" w:space="0" w:color="A6A6A6"/>
            </w:tcBorders>
          </w:tcPr>
          <w:p w14:paraId="1652FFFE" w14:textId="77777777" w:rsidR="00BC24A8" w:rsidRDefault="00000000">
            <w:pPr>
              <w:pStyle w:val="TableParagraph"/>
              <w:spacing w:line="219" w:lineRule="exact"/>
              <w:ind w:left="108"/>
              <w:rPr>
                <w:sz w:val="18"/>
              </w:rPr>
            </w:pPr>
            <w:r>
              <w:rPr>
                <w:spacing w:val="-5"/>
                <w:sz w:val="18"/>
              </w:rPr>
              <w:t>NTB</w:t>
            </w:r>
          </w:p>
        </w:tc>
      </w:tr>
      <w:tr w:rsidR="00BC24A8" w14:paraId="0AFD714C" w14:textId="77777777">
        <w:trPr>
          <w:trHeight w:val="239"/>
        </w:trPr>
        <w:tc>
          <w:tcPr>
            <w:tcW w:w="552" w:type="dxa"/>
            <w:tcBorders>
              <w:top w:val="single" w:sz="4" w:space="0" w:color="A6A6A6"/>
              <w:left w:val="single" w:sz="4" w:space="0" w:color="A6A6A6"/>
              <w:bottom w:val="single" w:sz="4" w:space="0" w:color="A6A6A6"/>
              <w:right w:val="single" w:sz="4" w:space="0" w:color="A6A6A6"/>
            </w:tcBorders>
          </w:tcPr>
          <w:p w14:paraId="164F8A86" w14:textId="77777777" w:rsidR="00BC24A8" w:rsidRDefault="00000000">
            <w:pPr>
              <w:pStyle w:val="TableParagraph"/>
              <w:spacing w:before="1" w:line="218" w:lineRule="exact"/>
              <w:ind w:right="96"/>
              <w:jc w:val="right"/>
              <w:rPr>
                <w:sz w:val="18"/>
              </w:rPr>
            </w:pPr>
            <w:r>
              <w:rPr>
                <w:spacing w:val="-5"/>
                <w:sz w:val="18"/>
              </w:rPr>
              <w:t>69</w:t>
            </w:r>
          </w:p>
        </w:tc>
        <w:tc>
          <w:tcPr>
            <w:tcW w:w="955" w:type="dxa"/>
            <w:tcBorders>
              <w:top w:val="single" w:sz="4" w:space="0" w:color="A6A6A6"/>
              <w:left w:val="single" w:sz="4" w:space="0" w:color="A6A6A6"/>
              <w:bottom w:val="single" w:sz="4" w:space="0" w:color="A6A6A6"/>
              <w:right w:val="single" w:sz="4" w:space="0" w:color="A6A6A6"/>
            </w:tcBorders>
          </w:tcPr>
          <w:p w14:paraId="048202E3" w14:textId="77777777" w:rsidR="00BC24A8" w:rsidRDefault="00000000">
            <w:pPr>
              <w:pStyle w:val="TableParagraph"/>
              <w:spacing w:before="1" w:line="218"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0AB56787" w14:textId="77777777" w:rsidR="00BC24A8" w:rsidRDefault="00000000">
            <w:pPr>
              <w:pStyle w:val="TableParagraph"/>
              <w:spacing w:before="1" w:line="218" w:lineRule="exact"/>
              <w:ind w:left="105"/>
              <w:rPr>
                <w:sz w:val="18"/>
              </w:rPr>
            </w:pPr>
            <w:r>
              <w:rPr>
                <w:sz w:val="18"/>
              </w:rPr>
              <w:t>Integrated</w:t>
            </w:r>
            <w:r>
              <w:rPr>
                <w:spacing w:val="-8"/>
                <w:sz w:val="18"/>
              </w:rPr>
              <w:t xml:space="preserve"> </w:t>
            </w:r>
            <w:r>
              <w:rPr>
                <w:sz w:val="18"/>
              </w:rPr>
              <w:t>Competency</w:t>
            </w:r>
            <w:r>
              <w:rPr>
                <w:spacing w:val="-6"/>
                <w:sz w:val="18"/>
              </w:rPr>
              <w:t xml:space="preserve"> </w:t>
            </w:r>
            <w:r>
              <w:rPr>
                <w:sz w:val="18"/>
              </w:rPr>
              <w:t>Development</w:t>
            </w:r>
            <w:r>
              <w:rPr>
                <w:spacing w:val="-5"/>
                <w:sz w:val="18"/>
              </w:rPr>
              <w:t xml:space="preserve"> </w:t>
            </w:r>
            <w:r>
              <w:rPr>
                <w:sz w:val="18"/>
              </w:rPr>
              <w:t>Strategy:</w:t>
            </w:r>
            <w:r>
              <w:rPr>
                <w:spacing w:val="-6"/>
                <w:sz w:val="18"/>
              </w:rPr>
              <w:t xml:space="preserve"> </w:t>
            </w:r>
            <w:r>
              <w:rPr>
                <w:sz w:val="18"/>
              </w:rPr>
              <w:t>ASN</w:t>
            </w:r>
            <w:r>
              <w:rPr>
                <w:spacing w:val="-6"/>
                <w:sz w:val="18"/>
              </w:rPr>
              <w:t xml:space="preserve"> </w:t>
            </w:r>
            <w:r>
              <w:rPr>
                <w:sz w:val="18"/>
              </w:rPr>
              <w:t>Serving</w:t>
            </w:r>
            <w:r>
              <w:rPr>
                <w:spacing w:val="-6"/>
                <w:sz w:val="18"/>
              </w:rPr>
              <w:t xml:space="preserve"> </w:t>
            </w:r>
            <w:r>
              <w:rPr>
                <w:sz w:val="18"/>
              </w:rPr>
              <w:t>from</w:t>
            </w:r>
            <w:r>
              <w:rPr>
                <w:spacing w:val="-7"/>
                <w:sz w:val="18"/>
              </w:rPr>
              <w:t xml:space="preserve"> </w:t>
            </w:r>
            <w:r>
              <w:rPr>
                <w:sz w:val="18"/>
              </w:rPr>
              <w:t>BPSDMD</w:t>
            </w:r>
            <w:r>
              <w:rPr>
                <w:spacing w:val="-5"/>
                <w:sz w:val="18"/>
              </w:rPr>
              <w:t xml:space="preserve"> </w:t>
            </w:r>
            <w:r>
              <w:rPr>
                <w:sz w:val="18"/>
              </w:rPr>
              <w:t>NTB</w:t>
            </w:r>
            <w:r>
              <w:rPr>
                <w:spacing w:val="-7"/>
                <w:sz w:val="18"/>
              </w:rPr>
              <w:t xml:space="preserve"> </w:t>
            </w:r>
            <w:r>
              <w:rPr>
                <w:sz w:val="18"/>
              </w:rPr>
              <w:t>for</w:t>
            </w:r>
            <w:r>
              <w:rPr>
                <w:spacing w:val="-5"/>
                <w:sz w:val="18"/>
              </w:rPr>
              <w:t xml:space="preserve"> </w:t>
            </w:r>
            <w:r>
              <w:rPr>
                <w:spacing w:val="-2"/>
                <w:sz w:val="18"/>
              </w:rPr>
              <w:t>Puskesmas</w:t>
            </w:r>
          </w:p>
        </w:tc>
        <w:tc>
          <w:tcPr>
            <w:tcW w:w="1096" w:type="dxa"/>
            <w:tcBorders>
              <w:top w:val="single" w:sz="4" w:space="0" w:color="A6A6A6"/>
              <w:left w:val="single" w:sz="4" w:space="0" w:color="A6A6A6"/>
              <w:bottom w:val="single" w:sz="4" w:space="0" w:color="A6A6A6"/>
              <w:right w:val="single" w:sz="4" w:space="0" w:color="A6A6A6"/>
            </w:tcBorders>
          </w:tcPr>
          <w:p w14:paraId="6C516E32" w14:textId="77777777" w:rsidR="00BC24A8" w:rsidRDefault="00000000">
            <w:pPr>
              <w:pStyle w:val="TableParagraph"/>
              <w:spacing w:before="1" w:line="218" w:lineRule="exact"/>
              <w:ind w:left="108"/>
              <w:rPr>
                <w:sz w:val="18"/>
              </w:rPr>
            </w:pPr>
            <w:r>
              <w:rPr>
                <w:spacing w:val="-5"/>
                <w:sz w:val="18"/>
              </w:rPr>
              <w:t>NTB</w:t>
            </w:r>
          </w:p>
        </w:tc>
      </w:tr>
      <w:tr w:rsidR="00BC24A8" w14:paraId="163AAF9B"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37F03146" w14:textId="77777777" w:rsidR="00BC24A8" w:rsidRDefault="00000000">
            <w:pPr>
              <w:pStyle w:val="TableParagraph"/>
              <w:spacing w:line="219" w:lineRule="exact"/>
              <w:ind w:right="96"/>
              <w:jc w:val="right"/>
              <w:rPr>
                <w:sz w:val="18"/>
              </w:rPr>
            </w:pPr>
            <w:r>
              <w:rPr>
                <w:spacing w:val="-5"/>
                <w:sz w:val="18"/>
              </w:rPr>
              <w:t>70</w:t>
            </w:r>
          </w:p>
        </w:tc>
        <w:tc>
          <w:tcPr>
            <w:tcW w:w="955" w:type="dxa"/>
            <w:tcBorders>
              <w:top w:val="single" w:sz="4" w:space="0" w:color="A6A6A6"/>
              <w:left w:val="single" w:sz="4" w:space="0" w:color="A6A6A6"/>
              <w:bottom w:val="single" w:sz="4" w:space="0" w:color="A6A6A6"/>
              <w:right w:val="single" w:sz="4" w:space="0" w:color="A6A6A6"/>
            </w:tcBorders>
          </w:tcPr>
          <w:p w14:paraId="149F1AE8"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36D7ECE8" w14:textId="77777777" w:rsidR="00BC24A8" w:rsidRDefault="00000000">
            <w:pPr>
              <w:pStyle w:val="TableParagraph"/>
              <w:ind w:left="105"/>
              <w:rPr>
                <w:sz w:val="18"/>
              </w:rPr>
            </w:pPr>
            <w:r>
              <w:rPr>
                <w:sz w:val="18"/>
              </w:rPr>
              <w:t>Resolving</w:t>
            </w:r>
            <w:r>
              <w:rPr>
                <w:spacing w:val="35"/>
                <w:sz w:val="18"/>
              </w:rPr>
              <w:t xml:space="preserve"> </w:t>
            </w:r>
            <w:r>
              <w:rPr>
                <w:sz w:val="18"/>
              </w:rPr>
              <w:t>Out-of-School</w:t>
            </w:r>
            <w:r>
              <w:rPr>
                <w:spacing w:val="37"/>
                <w:sz w:val="18"/>
              </w:rPr>
              <w:t xml:space="preserve"> </w:t>
            </w:r>
            <w:r>
              <w:rPr>
                <w:sz w:val="18"/>
              </w:rPr>
              <w:t>Children</w:t>
            </w:r>
            <w:r>
              <w:rPr>
                <w:spacing w:val="33"/>
                <w:sz w:val="18"/>
              </w:rPr>
              <w:t xml:space="preserve"> </w:t>
            </w:r>
            <w:r>
              <w:rPr>
                <w:sz w:val="18"/>
              </w:rPr>
              <w:t>(ATS)</w:t>
            </w:r>
            <w:r>
              <w:rPr>
                <w:spacing w:val="37"/>
                <w:sz w:val="18"/>
              </w:rPr>
              <w:t xml:space="preserve"> </w:t>
            </w:r>
            <w:r>
              <w:rPr>
                <w:sz w:val="18"/>
              </w:rPr>
              <w:t>through</w:t>
            </w:r>
            <w:r>
              <w:rPr>
                <w:spacing w:val="36"/>
                <w:sz w:val="18"/>
              </w:rPr>
              <w:t xml:space="preserve"> </w:t>
            </w:r>
            <w:r>
              <w:rPr>
                <w:sz w:val="18"/>
              </w:rPr>
              <w:t>Synergy</w:t>
            </w:r>
            <w:r>
              <w:rPr>
                <w:spacing w:val="37"/>
                <w:sz w:val="18"/>
              </w:rPr>
              <w:t xml:space="preserve"> </w:t>
            </w:r>
            <w:r>
              <w:rPr>
                <w:sz w:val="18"/>
              </w:rPr>
              <w:t>between</w:t>
            </w:r>
            <w:r>
              <w:rPr>
                <w:spacing w:val="36"/>
                <w:sz w:val="18"/>
              </w:rPr>
              <w:t xml:space="preserve"> </w:t>
            </w:r>
            <w:r>
              <w:rPr>
                <w:sz w:val="18"/>
              </w:rPr>
              <w:t>Central,</w:t>
            </w:r>
            <w:r>
              <w:rPr>
                <w:spacing w:val="37"/>
                <w:sz w:val="18"/>
              </w:rPr>
              <w:t xml:space="preserve"> </w:t>
            </w:r>
            <w:r>
              <w:rPr>
                <w:sz w:val="18"/>
              </w:rPr>
              <w:t>Provincial,</w:t>
            </w:r>
            <w:r>
              <w:rPr>
                <w:spacing w:val="35"/>
                <w:sz w:val="18"/>
              </w:rPr>
              <w:t xml:space="preserve"> </w:t>
            </w:r>
            <w:r>
              <w:rPr>
                <w:sz w:val="18"/>
              </w:rPr>
              <w:t>and Regency/City</w:t>
            </w:r>
            <w:r>
              <w:rPr>
                <w:spacing w:val="-2"/>
                <w:sz w:val="18"/>
              </w:rPr>
              <w:t xml:space="preserve"> </w:t>
            </w:r>
            <w:r>
              <w:rPr>
                <w:sz w:val="18"/>
              </w:rPr>
              <w:t>Governments</w:t>
            </w:r>
          </w:p>
        </w:tc>
        <w:tc>
          <w:tcPr>
            <w:tcW w:w="1096" w:type="dxa"/>
            <w:tcBorders>
              <w:top w:val="single" w:sz="4" w:space="0" w:color="A6A6A6"/>
              <w:left w:val="single" w:sz="4" w:space="0" w:color="A6A6A6"/>
              <w:bottom w:val="single" w:sz="4" w:space="0" w:color="A6A6A6"/>
              <w:right w:val="single" w:sz="4" w:space="0" w:color="A6A6A6"/>
            </w:tcBorders>
          </w:tcPr>
          <w:p w14:paraId="14A843B8" w14:textId="77777777" w:rsidR="00BC24A8" w:rsidRDefault="00000000">
            <w:pPr>
              <w:pStyle w:val="TableParagraph"/>
              <w:spacing w:line="219" w:lineRule="exact"/>
              <w:ind w:left="108"/>
              <w:rPr>
                <w:sz w:val="18"/>
              </w:rPr>
            </w:pPr>
            <w:r>
              <w:rPr>
                <w:spacing w:val="-5"/>
                <w:sz w:val="18"/>
              </w:rPr>
              <w:t>NTB</w:t>
            </w:r>
          </w:p>
        </w:tc>
      </w:tr>
      <w:tr w:rsidR="00BC24A8" w14:paraId="3E5B9717" w14:textId="77777777">
        <w:trPr>
          <w:trHeight w:val="251"/>
        </w:trPr>
        <w:tc>
          <w:tcPr>
            <w:tcW w:w="552" w:type="dxa"/>
            <w:tcBorders>
              <w:top w:val="single" w:sz="4" w:space="0" w:color="A6A6A6"/>
              <w:left w:val="single" w:sz="4" w:space="0" w:color="A6A6A6"/>
              <w:bottom w:val="single" w:sz="4" w:space="0" w:color="A6A6A6"/>
              <w:right w:val="single" w:sz="4" w:space="0" w:color="A6A6A6"/>
            </w:tcBorders>
          </w:tcPr>
          <w:p w14:paraId="646F84E7" w14:textId="77777777" w:rsidR="00BC24A8" w:rsidRDefault="00000000">
            <w:pPr>
              <w:pStyle w:val="TableParagraph"/>
              <w:spacing w:before="1"/>
              <w:ind w:right="96"/>
              <w:jc w:val="right"/>
              <w:rPr>
                <w:sz w:val="18"/>
              </w:rPr>
            </w:pPr>
            <w:r>
              <w:rPr>
                <w:spacing w:val="-5"/>
                <w:sz w:val="18"/>
              </w:rPr>
              <w:t>71</w:t>
            </w:r>
          </w:p>
        </w:tc>
        <w:tc>
          <w:tcPr>
            <w:tcW w:w="955" w:type="dxa"/>
            <w:tcBorders>
              <w:top w:val="single" w:sz="4" w:space="0" w:color="A6A6A6"/>
              <w:left w:val="single" w:sz="4" w:space="0" w:color="A6A6A6"/>
              <w:bottom w:val="single" w:sz="4" w:space="0" w:color="A6A6A6"/>
              <w:right w:val="single" w:sz="4" w:space="0" w:color="A6A6A6"/>
            </w:tcBorders>
          </w:tcPr>
          <w:p w14:paraId="254A8995"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378CCFAD" w14:textId="77777777" w:rsidR="00BC24A8" w:rsidRDefault="00000000">
            <w:pPr>
              <w:pStyle w:val="TableParagraph"/>
              <w:spacing w:before="1"/>
              <w:ind w:left="105"/>
              <w:rPr>
                <w:sz w:val="18"/>
              </w:rPr>
            </w:pPr>
            <w:r>
              <w:rPr>
                <w:sz w:val="18"/>
              </w:rPr>
              <w:t>Accelerating</w:t>
            </w:r>
            <w:r>
              <w:rPr>
                <w:spacing w:val="-8"/>
                <w:sz w:val="18"/>
              </w:rPr>
              <w:t xml:space="preserve"> </w:t>
            </w:r>
            <w:r>
              <w:rPr>
                <w:sz w:val="18"/>
              </w:rPr>
              <w:t>an</w:t>
            </w:r>
            <w:r>
              <w:rPr>
                <w:spacing w:val="-8"/>
                <w:sz w:val="18"/>
              </w:rPr>
              <w:t xml:space="preserve"> </w:t>
            </w:r>
            <w:r>
              <w:rPr>
                <w:sz w:val="18"/>
              </w:rPr>
              <w:t>Equitable</w:t>
            </w:r>
            <w:r>
              <w:rPr>
                <w:spacing w:val="-7"/>
                <w:sz w:val="18"/>
              </w:rPr>
              <w:t xml:space="preserve"> </w:t>
            </w:r>
            <w:r>
              <w:rPr>
                <w:sz w:val="18"/>
              </w:rPr>
              <w:t>Energy</w:t>
            </w:r>
            <w:r>
              <w:rPr>
                <w:spacing w:val="-10"/>
                <w:sz w:val="18"/>
              </w:rPr>
              <w:t xml:space="preserve"> </w:t>
            </w:r>
            <w:r>
              <w:rPr>
                <w:sz w:val="18"/>
              </w:rPr>
              <w:t>Transition</w:t>
            </w:r>
            <w:r>
              <w:rPr>
                <w:spacing w:val="-7"/>
                <w:sz w:val="18"/>
              </w:rPr>
              <w:t xml:space="preserve"> </w:t>
            </w:r>
            <w:r>
              <w:rPr>
                <w:sz w:val="18"/>
              </w:rPr>
              <w:t>in</w:t>
            </w:r>
            <w:r>
              <w:rPr>
                <w:spacing w:val="-7"/>
                <w:sz w:val="18"/>
              </w:rPr>
              <w:t xml:space="preserve"> </w:t>
            </w:r>
            <w:r>
              <w:rPr>
                <w:sz w:val="18"/>
              </w:rPr>
              <w:t>NTB:</w:t>
            </w:r>
            <w:r>
              <w:rPr>
                <w:spacing w:val="-7"/>
                <w:sz w:val="18"/>
              </w:rPr>
              <w:t xml:space="preserve"> </w:t>
            </w:r>
            <w:r>
              <w:rPr>
                <w:sz w:val="18"/>
              </w:rPr>
              <w:t>Through</w:t>
            </w:r>
            <w:r>
              <w:rPr>
                <w:spacing w:val="-7"/>
                <w:sz w:val="18"/>
              </w:rPr>
              <w:t xml:space="preserve"> </w:t>
            </w:r>
            <w:r>
              <w:rPr>
                <w:sz w:val="18"/>
              </w:rPr>
              <w:t>Pro-Women</w:t>
            </w:r>
            <w:r>
              <w:rPr>
                <w:spacing w:val="-7"/>
                <w:sz w:val="18"/>
              </w:rPr>
              <w:t xml:space="preserve"> </w:t>
            </w:r>
            <w:r>
              <w:rPr>
                <w:sz w:val="18"/>
              </w:rPr>
              <w:t>PET</w:t>
            </w:r>
            <w:r>
              <w:rPr>
                <w:spacing w:val="-8"/>
                <w:sz w:val="18"/>
              </w:rPr>
              <w:t xml:space="preserve"> </w:t>
            </w:r>
            <w:r>
              <w:rPr>
                <w:spacing w:val="-2"/>
                <w:sz w:val="18"/>
              </w:rPr>
              <w:t>Budget</w:t>
            </w:r>
          </w:p>
        </w:tc>
        <w:tc>
          <w:tcPr>
            <w:tcW w:w="1096" w:type="dxa"/>
            <w:tcBorders>
              <w:top w:val="single" w:sz="4" w:space="0" w:color="A6A6A6"/>
              <w:left w:val="single" w:sz="4" w:space="0" w:color="A6A6A6"/>
              <w:bottom w:val="single" w:sz="4" w:space="0" w:color="A6A6A6"/>
              <w:right w:val="single" w:sz="4" w:space="0" w:color="A6A6A6"/>
            </w:tcBorders>
          </w:tcPr>
          <w:p w14:paraId="300802AE" w14:textId="77777777" w:rsidR="00BC24A8" w:rsidRDefault="00000000">
            <w:pPr>
              <w:pStyle w:val="TableParagraph"/>
              <w:spacing w:before="1"/>
              <w:ind w:left="108"/>
              <w:rPr>
                <w:sz w:val="18"/>
              </w:rPr>
            </w:pPr>
            <w:r>
              <w:rPr>
                <w:spacing w:val="-5"/>
                <w:sz w:val="18"/>
              </w:rPr>
              <w:t>NTB</w:t>
            </w:r>
          </w:p>
        </w:tc>
      </w:tr>
      <w:tr w:rsidR="00BC24A8" w14:paraId="01A37CF9"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5AC02AF1" w14:textId="77777777" w:rsidR="00BC24A8" w:rsidRDefault="00000000">
            <w:pPr>
              <w:pStyle w:val="TableParagraph"/>
              <w:spacing w:before="1"/>
              <w:ind w:right="96"/>
              <w:jc w:val="right"/>
              <w:rPr>
                <w:sz w:val="18"/>
              </w:rPr>
            </w:pPr>
            <w:r>
              <w:rPr>
                <w:spacing w:val="-5"/>
                <w:sz w:val="18"/>
              </w:rPr>
              <w:t>72</w:t>
            </w:r>
          </w:p>
        </w:tc>
        <w:tc>
          <w:tcPr>
            <w:tcW w:w="955" w:type="dxa"/>
            <w:tcBorders>
              <w:top w:val="single" w:sz="4" w:space="0" w:color="A6A6A6"/>
              <w:left w:val="single" w:sz="4" w:space="0" w:color="A6A6A6"/>
              <w:bottom w:val="single" w:sz="4" w:space="0" w:color="A6A6A6"/>
              <w:right w:val="single" w:sz="4" w:space="0" w:color="A6A6A6"/>
            </w:tcBorders>
          </w:tcPr>
          <w:p w14:paraId="193C345F"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35B1EBAA" w14:textId="77777777" w:rsidR="00BC24A8" w:rsidRDefault="00000000">
            <w:pPr>
              <w:pStyle w:val="TableParagraph"/>
              <w:spacing w:before="1"/>
              <w:ind w:left="105"/>
              <w:rPr>
                <w:sz w:val="18"/>
              </w:rPr>
            </w:pPr>
            <w:r>
              <w:rPr>
                <w:sz w:val="18"/>
              </w:rPr>
              <w:t>Participatory</w:t>
            </w:r>
            <w:r>
              <w:rPr>
                <w:spacing w:val="-5"/>
                <w:sz w:val="18"/>
              </w:rPr>
              <w:t xml:space="preserve"> </w:t>
            </w:r>
            <w:r>
              <w:rPr>
                <w:sz w:val="18"/>
              </w:rPr>
              <w:t>establishment</w:t>
            </w:r>
            <w:r>
              <w:rPr>
                <w:spacing w:val="-4"/>
                <w:sz w:val="18"/>
              </w:rPr>
              <w:t xml:space="preserve"> </w:t>
            </w:r>
            <w:r>
              <w:rPr>
                <w:sz w:val="18"/>
              </w:rPr>
              <w:t>of</w:t>
            </w:r>
            <w:r>
              <w:rPr>
                <w:spacing w:val="-5"/>
                <w:sz w:val="18"/>
              </w:rPr>
              <w:t xml:space="preserve"> </w:t>
            </w:r>
            <w:r>
              <w:rPr>
                <w:sz w:val="18"/>
              </w:rPr>
              <w:t>disability</w:t>
            </w:r>
            <w:r>
              <w:rPr>
                <w:spacing w:val="-5"/>
                <w:sz w:val="18"/>
              </w:rPr>
              <w:t xml:space="preserve"> </w:t>
            </w:r>
            <w:r>
              <w:rPr>
                <w:sz w:val="18"/>
              </w:rPr>
              <w:t>service</w:t>
            </w:r>
            <w:r>
              <w:rPr>
                <w:spacing w:val="-4"/>
                <w:sz w:val="18"/>
              </w:rPr>
              <w:t xml:space="preserve"> units</w:t>
            </w:r>
          </w:p>
        </w:tc>
        <w:tc>
          <w:tcPr>
            <w:tcW w:w="1096" w:type="dxa"/>
            <w:tcBorders>
              <w:top w:val="single" w:sz="4" w:space="0" w:color="A6A6A6"/>
              <w:left w:val="single" w:sz="4" w:space="0" w:color="A6A6A6"/>
              <w:bottom w:val="single" w:sz="4" w:space="0" w:color="A6A6A6"/>
              <w:right w:val="single" w:sz="4" w:space="0" w:color="A6A6A6"/>
            </w:tcBorders>
          </w:tcPr>
          <w:p w14:paraId="05AAB9B8" w14:textId="77777777" w:rsidR="00BC24A8" w:rsidRDefault="00000000">
            <w:pPr>
              <w:pStyle w:val="TableParagraph"/>
              <w:spacing w:before="1"/>
              <w:ind w:left="108"/>
              <w:rPr>
                <w:sz w:val="18"/>
              </w:rPr>
            </w:pPr>
            <w:r>
              <w:rPr>
                <w:spacing w:val="-5"/>
                <w:sz w:val="18"/>
              </w:rPr>
              <w:t>NTB</w:t>
            </w:r>
          </w:p>
        </w:tc>
      </w:tr>
      <w:tr w:rsidR="00BC24A8" w14:paraId="116D34EB" w14:textId="77777777">
        <w:trPr>
          <w:trHeight w:val="220"/>
        </w:trPr>
        <w:tc>
          <w:tcPr>
            <w:tcW w:w="552" w:type="dxa"/>
            <w:tcBorders>
              <w:top w:val="single" w:sz="4" w:space="0" w:color="A6A6A6"/>
              <w:left w:val="single" w:sz="4" w:space="0" w:color="A6A6A6"/>
              <w:bottom w:val="single" w:sz="4" w:space="0" w:color="A6A6A6"/>
              <w:right w:val="single" w:sz="4" w:space="0" w:color="A6A6A6"/>
            </w:tcBorders>
          </w:tcPr>
          <w:p w14:paraId="77FE079D" w14:textId="77777777" w:rsidR="00BC24A8" w:rsidRDefault="00000000">
            <w:pPr>
              <w:pStyle w:val="TableParagraph"/>
              <w:spacing w:before="1" w:line="199" w:lineRule="exact"/>
              <w:ind w:right="96"/>
              <w:jc w:val="right"/>
              <w:rPr>
                <w:sz w:val="18"/>
              </w:rPr>
            </w:pPr>
            <w:r>
              <w:rPr>
                <w:spacing w:val="-5"/>
                <w:sz w:val="18"/>
              </w:rPr>
              <w:t>73</w:t>
            </w:r>
          </w:p>
        </w:tc>
        <w:tc>
          <w:tcPr>
            <w:tcW w:w="955" w:type="dxa"/>
            <w:tcBorders>
              <w:top w:val="single" w:sz="4" w:space="0" w:color="A6A6A6"/>
              <w:left w:val="single" w:sz="4" w:space="0" w:color="A6A6A6"/>
              <w:bottom w:val="single" w:sz="4" w:space="0" w:color="A6A6A6"/>
              <w:right w:val="single" w:sz="4" w:space="0" w:color="A6A6A6"/>
            </w:tcBorders>
          </w:tcPr>
          <w:p w14:paraId="677703DA" w14:textId="77777777" w:rsidR="00BC24A8" w:rsidRDefault="00000000">
            <w:pPr>
              <w:pStyle w:val="TableParagraph"/>
              <w:spacing w:before="1" w:line="19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5BDBA446" w14:textId="77777777" w:rsidR="00BC24A8" w:rsidRDefault="00000000">
            <w:pPr>
              <w:pStyle w:val="TableParagraph"/>
              <w:spacing w:before="1" w:line="199" w:lineRule="exact"/>
              <w:ind w:left="105"/>
              <w:rPr>
                <w:sz w:val="18"/>
              </w:rPr>
            </w:pPr>
            <w:r>
              <w:rPr>
                <w:sz w:val="18"/>
              </w:rPr>
              <w:t>Optimizing</w:t>
            </w:r>
            <w:r>
              <w:rPr>
                <w:spacing w:val="-6"/>
                <w:sz w:val="18"/>
              </w:rPr>
              <w:t xml:space="preserve"> </w:t>
            </w:r>
            <w:r>
              <w:rPr>
                <w:sz w:val="18"/>
              </w:rPr>
              <w:t>the</w:t>
            </w:r>
            <w:r>
              <w:rPr>
                <w:spacing w:val="-5"/>
                <w:sz w:val="18"/>
              </w:rPr>
              <w:t xml:space="preserve"> </w:t>
            </w:r>
            <w:r>
              <w:rPr>
                <w:sz w:val="18"/>
              </w:rPr>
              <w:t>Supervision</w:t>
            </w:r>
            <w:r>
              <w:rPr>
                <w:spacing w:val="-5"/>
                <w:sz w:val="18"/>
              </w:rPr>
              <w:t xml:space="preserve"> </w:t>
            </w:r>
            <w:r>
              <w:rPr>
                <w:sz w:val="18"/>
              </w:rPr>
              <w:t>of</w:t>
            </w:r>
            <w:r>
              <w:rPr>
                <w:spacing w:val="-6"/>
                <w:sz w:val="18"/>
              </w:rPr>
              <w:t xml:space="preserve"> </w:t>
            </w:r>
            <w:r>
              <w:rPr>
                <w:sz w:val="18"/>
              </w:rPr>
              <w:t>Vocational</w:t>
            </w:r>
            <w:r>
              <w:rPr>
                <w:spacing w:val="-4"/>
                <w:sz w:val="18"/>
              </w:rPr>
              <w:t xml:space="preserve"> </w:t>
            </w:r>
            <w:r>
              <w:rPr>
                <w:sz w:val="18"/>
              </w:rPr>
              <w:t>Training</w:t>
            </w:r>
            <w:r>
              <w:rPr>
                <w:spacing w:val="-6"/>
                <w:sz w:val="18"/>
              </w:rPr>
              <w:t xml:space="preserve"> </w:t>
            </w:r>
            <w:r>
              <w:rPr>
                <w:sz w:val="18"/>
              </w:rPr>
              <w:t>to</w:t>
            </w:r>
            <w:r>
              <w:rPr>
                <w:spacing w:val="-6"/>
                <w:sz w:val="18"/>
              </w:rPr>
              <w:t xml:space="preserve"> </w:t>
            </w:r>
            <w:r>
              <w:rPr>
                <w:sz w:val="18"/>
              </w:rPr>
              <w:t>Reduce</w:t>
            </w:r>
            <w:r>
              <w:rPr>
                <w:spacing w:val="-5"/>
                <w:sz w:val="18"/>
              </w:rPr>
              <w:t xml:space="preserve"> </w:t>
            </w:r>
            <w:r>
              <w:rPr>
                <w:sz w:val="18"/>
              </w:rPr>
              <w:t>Gen</w:t>
            </w:r>
            <w:r>
              <w:rPr>
                <w:spacing w:val="-5"/>
                <w:sz w:val="18"/>
              </w:rPr>
              <w:t xml:space="preserve"> </w:t>
            </w:r>
            <w:r>
              <w:rPr>
                <w:sz w:val="18"/>
              </w:rPr>
              <w:t>Z</w:t>
            </w:r>
            <w:r>
              <w:rPr>
                <w:spacing w:val="-6"/>
                <w:sz w:val="18"/>
              </w:rPr>
              <w:t xml:space="preserve"> </w:t>
            </w:r>
            <w:r>
              <w:rPr>
                <w:sz w:val="18"/>
              </w:rPr>
              <w:t>Unemployment</w:t>
            </w:r>
            <w:r>
              <w:rPr>
                <w:spacing w:val="-4"/>
                <w:sz w:val="18"/>
              </w:rPr>
              <w:t xml:space="preserve"> </w:t>
            </w:r>
            <w:r>
              <w:rPr>
                <w:sz w:val="18"/>
              </w:rPr>
              <w:t>in</w:t>
            </w:r>
            <w:r>
              <w:rPr>
                <w:spacing w:val="-5"/>
                <w:sz w:val="18"/>
              </w:rPr>
              <w:t xml:space="preserve"> NTB</w:t>
            </w:r>
          </w:p>
        </w:tc>
        <w:tc>
          <w:tcPr>
            <w:tcW w:w="1096" w:type="dxa"/>
            <w:tcBorders>
              <w:top w:val="single" w:sz="4" w:space="0" w:color="A6A6A6"/>
              <w:left w:val="single" w:sz="4" w:space="0" w:color="A6A6A6"/>
              <w:bottom w:val="single" w:sz="4" w:space="0" w:color="A6A6A6"/>
              <w:right w:val="single" w:sz="4" w:space="0" w:color="A6A6A6"/>
            </w:tcBorders>
          </w:tcPr>
          <w:p w14:paraId="143A08B8" w14:textId="77777777" w:rsidR="00BC24A8" w:rsidRDefault="00000000">
            <w:pPr>
              <w:pStyle w:val="TableParagraph"/>
              <w:spacing w:before="1" w:line="199" w:lineRule="exact"/>
              <w:ind w:left="108"/>
              <w:rPr>
                <w:sz w:val="18"/>
              </w:rPr>
            </w:pPr>
            <w:r>
              <w:rPr>
                <w:spacing w:val="-5"/>
                <w:sz w:val="18"/>
              </w:rPr>
              <w:t>NTB</w:t>
            </w:r>
          </w:p>
        </w:tc>
      </w:tr>
      <w:tr w:rsidR="00BC24A8" w14:paraId="5E570EAF"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2593C615" w14:textId="77777777" w:rsidR="00BC24A8" w:rsidRDefault="00000000">
            <w:pPr>
              <w:pStyle w:val="TableParagraph"/>
              <w:spacing w:before="1"/>
              <w:ind w:right="96"/>
              <w:jc w:val="right"/>
              <w:rPr>
                <w:sz w:val="18"/>
              </w:rPr>
            </w:pPr>
            <w:r>
              <w:rPr>
                <w:spacing w:val="-5"/>
                <w:sz w:val="18"/>
              </w:rPr>
              <w:t>74</w:t>
            </w:r>
          </w:p>
        </w:tc>
        <w:tc>
          <w:tcPr>
            <w:tcW w:w="955" w:type="dxa"/>
            <w:tcBorders>
              <w:top w:val="single" w:sz="4" w:space="0" w:color="A6A6A6"/>
              <w:left w:val="single" w:sz="4" w:space="0" w:color="A6A6A6"/>
              <w:bottom w:val="single" w:sz="4" w:space="0" w:color="A6A6A6"/>
              <w:right w:val="single" w:sz="4" w:space="0" w:color="A6A6A6"/>
            </w:tcBorders>
          </w:tcPr>
          <w:p w14:paraId="3122DBA3"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2150C50C" w14:textId="77777777" w:rsidR="00BC24A8" w:rsidRDefault="00000000">
            <w:pPr>
              <w:pStyle w:val="TableParagraph"/>
              <w:spacing w:before="1"/>
              <w:ind w:left="105"/>
              <w:rPr>
                <w:sz w:val="18"/>
              </w:rPr>
            </w:pPr>
            <w:r>
              <w:rPr>
                <w:sz w:val="18"/>
              </w:rPr>
              <w:t>Preventing</w:t>
            </w:r>
            <w:r>
              <w:rPr>
                <w:spacing w:val="-7"/>
                <w:sz w:val="18"/>
              </w:rPr>
              <w:t xml:space="preserve"> </w:t>
            </w:r>
            <w:r>
              <w:rPr>
                <w:sz w:val="18"/>
              </w:rPr>
              <w:t>Child</w:t>
            </w:r>
            <w:r>
              <w:rPr>
                <w:spacing w:val="-5"/>
                <w:sz w:val="18"/>
              </w:rPr>
              <w:t xml:space="preserve"> </w:t>
            </w:r>
            <w:r>
              <w:rPr>
                <w:sz w:val="18"/>
              </w:rPr>
              <w:t>Marriage</w:t>
            </w:r>
            <w:r>
              <w:rPr>
                <w:spacing w:val="-6"/>
                <w:sz w:val="18"/>
              </w:rPr>
              <w:t xml:space="preserve"> </w:t>
            </w:r>
            <w:r>
              <w:rPr>
                <w:sz w:val="18"/>
              </w:rPr>
              <w:t>to</w:t>
            </w:r>
            <w:r>
              <w:rPr>
                <w:spacing w:val="-6"/>
                <w:sz w:val="18"/>
              </w:rPr>
              <w:t xml:space="preserve"> </w:t>
            </w:r>
            <w:r>
              <w:rPr>
                <w:sz w:val="18"/>
              </w:rPr>
              <w:t>Realize</w:t>
            </w:r>
            <w:r>
              <w:rPr>
                <w:spacing w:val="-6"/>
                <w:sz w:val="18"/>
              </w:rPr>
              <w:t xml:space="preserve"> </w:t>
            </w:r>
            <w:r>
              <w:rPr>
                <w:sz w:val="18"/>
              </w:rPr>
              <w:t>MSS</w:t>
            </w:r>
            <w:r>
              <w:rPr>
                <w:spacing w:val="-5"/>
                <w:sz w:val="18"/>
              </w:rPr>
              <w:t xml:space="preserve"> </w:t>
            </w:r>
            <w:r>
              <w:rPr>
                <w:sz w:val="18"/>
              </w:rPr>
              <w:t>for</w:t>
            </w:r>
            <w:r>
              <w:rPr>
                <w:spacing w:val="-6"/>
                <w:sz w:val="18"/>
              </w:rPr>
              <w:t xml:space="preserve"> </w:t>
            </w:r>
            <w:r>
              <w:rPr>
                <w:sz w:val="18"/>
              </w:rPr>
              <w:t>Education</w:t>
            </w:r>
            <w:r>
              <w:rPr>
                <w:spacing w:val="-5"/>
                <w:sz w:val="18"/>
              </w:rPr>
              <w:t xml:space="preserve"> </w:t>
            </w:r>
            <w:r>
              <w:rPr>
                <w:sz w:val="18"/>
              </w:rPr>
              <w:t>in</w:t>
            </w:r>
            <w:r>
              <w:rPr>
                <w:spacing w:val="-5"/>
                <w:sz w:val="18"/>
              </w:rPr>
              <w:t xml:space="preserve"> NTB</w:t>
            </w:r>
          </w:p>
        </w:tc>
        <w:tc>
          <w:tcPr>
            <w:tcW w:w="1096" w:type="dxa"/>
            <w:tcBorders>
              <w:top w:val="single" w:sz="4" w:space="0" w:color="A6A6A6"/>
              <w:left w:val="single" w:sz="4" w:space="0" w:color="A6A6A6"/>
              <w:bottom w:val="single" w:sz="4" w:space="0" w:color="A6A6A6"/>
              <w:right w:val="single" w:sz="4" w:space="0" w:color="A6A6A6"/>
            </w:tcBorders>
          </w:tcPr>
          <w:p w14:paraId="32A4261E" w14:textId="77777777" w:rsidR="00BC24A8" w:rsidRDefault="00000000">
            <w:pPr>
              <w:pStyle w:val="TableParagraph"/>
              <w:spacing w:before="1"/>
              <w:ind w:left="108"/>
              <w:rPr>
                <w:sz w:val="18"/>
              </w:rPr>
            </w:pPr>
            <w:r>
              <w:rPr>
                <w:spacing w:val="-5"/>
                <w:sz w:val="18"/>
              </w:rPr>
              <w:t>NTB</w:t>
            </w:r>
          </w:p>
        </w:tc>
      </w:tr>
    </w:tbl>
    <w:p w14:paraId="4CDB3BD8" w14:textId="77777777" w:rsidR="00BC24A8" w:rsidRDefault="00BC24A8">
      <w:pPr>
        <w:pStyle w:val="TableParagraph"/>
        <w:rPr>
          <w:sz w:val="18"/>
        </w:rPr>
        <w:sectPr w:rsidR="00BC24A8">
          <w:type w:val="continuous"/>
          <w:pgSz w:w="11910" w:h="16840"/>
          <w:pgMar w:top="1380" w:right="850" w:bottom="1760" w:left="1275" w:header="0" w:footer="907"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955"/>
        <w:gridCol w:w="6993"/>
        <w:gridCol w:w="1096"/>
      </w:tblGrid>
      <w:tr w:rsidR="00BC24A8" w14:paraId="19012EDE" w14:textId="77777777">
        <w:trPr>
          <w:trHeight w:val="414"/>
        </w:trPr>
        <w:tc>
          <w:tcPr>
            <w:tcW w:w="552" w:type="dxa"/>
            <w:tcBorders>
              <w:bottom w:val="single" w:sz="4" w:space="0" w:color="A6A6A6"/>
              <w:right w:val="single" w:sz="18" w:space="0" w:color="F1F1F1"/>
            </w:tcBorders>
            <w:shd w:val="clear" w:color="auto" w:fill="17365A"/>
          </w:tcPr>
          <w:p w14:paraId="1193B95E" w14:textId="77777777" w:rsidR="00BC24A8" w:rsidRDefault="00000000">
            <w:pPr>
              <w:pStyle w:val="TableParagraph"/>
              <w:spacing w:before="87"/>
              <w:ind w:right="126"/>
              <w:jc w:val="right"/>
              <w:rPr>
                <w:rFonts w:ascii="Calibri"/>
                <w:b/>
                <w:sz w:val="20"/>
              </w:rPr>
            </w:pPr>
            <w:r>
              <w:rPr>
                <w:rFonts w:ascii="Calibri"/>
                <w:b/>
                <w:color w:val="FFFFFF"/>
                <w:spacing w:val="-5"/>
                <w:sz w:val="20"/>
              </w:rPr>
              <w:lastRenderedPageBreak/>
              <w:t>No</w:t>
            </w:r>
          </w:p>
        </w:tc>
        <w:tc>
          <w:tcPr>
            <w:tcW w:w="955" w:type="dxa"/>
            <w:tcBorders>
              <w:left w:val="single" w:sz="18" w:space="0" w:color="F1F1F1"/>
              <w:bottom w:val="single" w:sz="4" w:space="0" w:color="A6A6A6"/>
              <w:right w:val="single" w:sz="18" w:space="0" w:color="F1F1F1"/>
            </w:tcBorders>
            <w:shd w:val="clear" w:color="auto" w:fill="17365A"/>
          </w:tcPr>
          <w:p w14:paraId="6B3B1434" w14:textId="77777777" w:rsidR="00BC24A8" w:rsidRDefault="00000000">
            <w:pPr>
              <w:pStyle w:val="TableParagraph"/>
              <w:spacing w:before="87"/>
              <w:ind w:left="188"/>
              <w:rPr>
                <w:rFonts w:ascii="Calibri"/>
                <w:b/>
                <w:sz w:val="20"/>
              </w:rPr>
            </w:pPr>
            <w:r>
              <w:rPr>
                <w:rFonts w:ascii="Calibri"/>
                <w:b/>
                <w:color w:val="FFFFFF"/>
                <w:spacing w:val="-2"/>
                <w:sz w:val="20"/>
              </w:rPr>
              <w:t>Period</w:t>
            </w:r>
          </w:p>
        </w:tc>
        <w:tc>
          <w:tcPr>
            <w:tcW w:w="6993" w:type="dxa"/>
            <w:tcBorders>
              <w:left w:val="single" w:sz="18" w:space="0" w:color="F1F1F1"/>
              <w:bottom w:val="single" w:sz="4" w:space="0" w:color="A6A6A6"/>
              <w:right w:val="single" w:sz="18" w:space="0" w:color="F1F1F1"/>
            </w:tcBorders>
            <w:shd w:val="clear" w:color="auto" w:fill="17365A"/>
          </w:tcPr>
          <w:p w14:paraId="5482EC8D" w14:textId="77777777" w:rsidR="00BC24A8" w:rsidRDefault="00000000">
            <w:pPr>
              <w:pStyle w:val="TableParagraph"/>
              <w:spacing w:before="87"/>
              <w:ind w:left="3"/>
              <w:jc w:val="center"/>
              <w:rPr>
                <w:rFonts w:ascii="Calibri"/>
                <w:b/>
                <w:sz w:val="20"/>
              </w:rPr>
            </w:pPr>
            <w:r>
              <w:rPr>
                <w:rFonts w:ascii="Calibri"/>
                <w:b/>
                <w:color w:val="FFFFFF"/>
                <w:sz w:val="20"/>
              </w:rPr>
              <w:t>Document</w:t>
            </w:r>
            <w:r>
              <w:rPr>
                <w:rFonts w:ascii="Calibri"/>
                <w:b/>
                <w:color w:val="FFFFFF"/>
                <w:spacing w:val="-10"/>
                <w:sz w:val="20"/>
              </w:rPr>
              <w:t xml:space="preserve"> </w:t>
            </w:r>
            <w:r>
              <w:rPr>
                <w:rFonts w:ascii="Calibri"/>
                <w:b/>
                <w:color w:val="FFFFFF"/>
                <w:spacing w:val="-2"/>
                <w:sz w:val="20"/>
              </w:rPr>
              <w:t>Title</w:t>
            </w:r>
          </w:p>
        </w:tc>
        <w:tc>
          <w:tcPr>
            <w:tcW w:w="1096" w:type="dxa"/>
            <w:tcBorders>
              <w:left w:val="single" w:sz="18" w:space="0" w:color="F1F1F1"/>
              <w:bottom w:val="single" w:sz="4" w:space="0" w:color="A6A6A6"/>
            </w:tcBorders>
            <w:shd w:val="clear" w:color="auto" w:fill="17365A"/>
          </w:tcPr>
          <w:p w14:paraId="3DB9B929" w14:textId="77777777" w:rsidR="00BC24A8" w:rsidRDefault="00000000">
            <w:pPr>
              <w:pStyle w:val="TableParagraph"/>
              <w:spacing w:before="87"/>
              <w:ind w:left="172"/>
              <w:rPr>
                <w:rFonts w:ascii="Calibri"/>
                <w:b/>
                <w:sz w:val="20"/>
              </w:rPr>
            </w:pPr>
            <w:r>
              <w:rPr>
                <w:rFonts w:ascii="Calibri"/>
                <w:b/>
                <w:color w:val="FFFFFF"/>
                <w:spacing w:val="-2"/>
                <w:sz w:val="20"/>
              </w:rPr>
              <w:t>Province</w:t>
            </w:r>
          </w:p>
        </w:tc>
      </w:tr>
      <w:tr w:rsidR="00BC24A8" w14:paraId="6947ED21" w14:textId="77777777">
        <w:trPr>
          <w:trHeight w:val="441"/>
        </w:trPr>
        <w:tc>
          <w:tcPr>
            <w:tcW w:w="552" w:type="dxa"/>
            <w:tcBorders>
              <w:top w:val="single" w:sz="4" w:space="0" w:color="A6A6A6"/>
              <w:left w:val="single" w:sz="4" w:space="0" w:color="A6A6A6"/>
              <w:bottom w:val="single" w:sz="4" w:space="0" w:color="A6A6A6"/>
              <w:right w:val="single" w:sz="4" w:space="0" w:color="A6A6A6"/>
            </w:tcBorders>
          </w:tcPr>
          <w:p w14:paraId="5D6FAD60" w14:textId="77777777" w:rsidR="00BC24A8" w:rsidRDefault="00000000">
            <w:pPr>
              <w:pStyle w:val="TableParagraph"/>
              <w:spacing w:before="1"/>
              <w:ind w:right="96"/>
              <w:jc w:val="right"/>
              <w:rPr>
                <w:sz w:val="18"/>
              </w:rPr>
            </w:pPr>
            <w:r>
              <w:rPr>
                <w:spacing w:val="-5"/>
                <w:sz w:val="18"/>
              </w:rPr>
              <w:t>75</w:t>
            </w:r>
          </w:p>
        </w:tc>
        <w:tc>
          <w:tcPr>
            <w:tcW w:w="955" w:type="dxa"/>
            <w:tcBorders>
              <w:top w:val="single" w:sz="4" w:space="0" w:color="A6A6A6"/>
              <w:left w:val="single" w:sz="4" w:space="0" w:color="A6A6A6"/>
              <w:bottom w:val="single" w:sz="4" w:space="0" w:color="A6A6A6"/>
              <w:right w:val="single" w:sz="4" w:space="0" w:color="A6A6A6"/>
            </w:tcBorders>
          </w:tcPr>
          <w:p w14:paraId="205B1498"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6131C117" w14:textId="77777777" w:rsidR="00BC24A8" w:rsidRDefault="00000000">
            <w:pPr>
              <w:pStyle w:val="TableParagraph"/>
              <w:spacing w:line="220" w:lineRule="atLeast"/>
              <w:ind w:left="105"/>
              <w:rPr>
                <w:sz w:val="18"/>
              </w:rPr>
            </w:pPr>
            <w:r>
              <w:rPr>
                <w:sz w:val="18"/>
              </w:rPr>
              <w:t>Portrait</w:t>
            </w:r>
            <w:r>
              <w:rPr>
                <w:spacing w:val="-5"/>
                <w:sz w:val="18"/>
              </w:rPr>
              <w:t xml:space="preserve"> </w:t>
            </w:r>
            <w:r>
              <w:rPr>
                <w:sz w:val="18"/>
              </w:rPr>
              <w:t>of</w:t>
            </w:r>
            <w:r>
              <w:rPr>
                <w:spacing w:val="-6"/>
                <w:sz w:val="18"/>
              </w:rPr>
              <w:t xml:space="preserve"> </w:t>
            </w:r>
            <w:r>
              <w:rPr>
                <w:sz w:val="18"/>
              </w:rPr>
              <w:t>Women</w:t>
            </w:r>
            <w:r>
              <w:rPr>
                <w:spacing w:val="-5"/>
                <w:sz w:val="18"/>
              </w:rPr>
              <w:t xml:space="preserve"> </w:t>
            </w:r>
            <w:r>
              <w:rPr>
                <w:sz w:val="18"/>
              </w:rPr>
              <w:t>Policy</w:t>
            </w:r>
            <w:r>
              <w:rPr>
                <w:spacing w:val="-5"/>
                <w:sz w:val="18"/>
              </w:rPr>
              <w:t xml:space="preserve"> </w:t>
            </w:r>
            <w:r>
              <w:rPr>
                <w:sz w:val="18"/>
              </w:rPr>
              <w:t>Makers</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Parliament</w:t>
            </w:r>
            <w:r>
              <w:rPr>
                <w:spacing w:val="-5"/>
                <w:sz w:val="18"/>
              </w:rPr>
              <w:t xml:space="preserve"> </w:t>
            </w:r>
            <w:r>
              <w:rPr>
                <w:sz w:val="18"/>
              </w:rPr>
              <w:t>of</w:t>
            </w:r>
            <w:r>
              <w:rPr>
                <w:spacing w:val="-6"/>
                <w:sz w:val="18"/>
              </w:rPr>
              <w:t xml:space="preserve"> </w:t>
            </w:r>
            <w:r>
              <w:rPr>
                <w:sz w:val="18"/>
              </w:rPr>
              <w:t>NTB</w:t>
            </w:r>
            <w:r>
              <w:rPr>
                <w:spacing w:val="-4"/>
                <w:sz w:val="18"/>
              </w:rPr>
              <w:t xml:space="preserve"> </w:t>
            </w:r>
            <w:r>
              <w:rPr>
                <w:sz w:val="18"/>
              </w:rPr>
              <w:t>Province:</w:t>
            </w:r>
            <w:r>
              <w:rPr>
                <w:spacing w:val="-5"/>
                <w:sz w:val="18"/>
              </w:rPr>
              <w:t xml:space="preserve"> </w:t>
            </w:r>
            <w:r>
              <w:rPr>
                <w:sz w:val="18"/>
              </w:rPr>
              <w:t>Looking</w:t>
            </w:r>
            <w:r>
              <w:rPr>
                <w:spacing w:val="-6"/>
                <w:sz w:val="18"/>
              </w:rPr>
              <w:t xml:space="preserve"> </w:t>
            </w:r>
            <w:r>
              <w:rPr>
                <w:sz w:val="18"/>
              </w:rPr>
              <w:t>at</w:t>
            </w:r>
            <w:r>
              <w:rPr>
                <w:spacing w:val="-5"/>
                <w:sz w:val="18"/>
              </w:rPr>
              <w:t xml:space="preserve"> </w:t>
            </w:r>
            <w:r>
              <w:rPr>
                <w:sz w:val="18"/>
              </w:rPr>
              <w:t>the</w:t>
            </w:r>
            <w:r>
              <w:rPr>
                <w:spacing w:val="-5"/>
                <w:sz w:val="18"/>
              </w:rPr>
              <w:t xml:space="preserve"> </w:t>
            </w:r>
            <w:r>
              <w:rPr>
                <w:sz w:val="18"/>
              </w:rPr>
              <w:t>Regulatory Direction of the NTB Provincial DPRD 2019-2023 Period</w:t>
            </w:r>
          </w:p>
        </w:tc>
        <w:tc>
          <w:tcPr>
            <w:tcW w:w="1096" w:type="dxa"/>
            <w:tcBorders>
              <w:top w:val="single" w:sz="4" w:space="0" w:color="A6A6A6"/>
              <w:left w:val="single" w:sz="4" w:space="0" w:color="A6A6A6"/>
              <w:bottom w:val="single" w:sz="4" w:space="0" w:color="A6A6A6"/>
              <w:right w:val="single" w:sz="4" w:space="0" w:color="A6A6A6"/>
            </w:tcBorders>
          </w:tcPr>
          <w:p w14:paraId="4CC98032" w14:textId="77777777" w:rsidR="00BC24A8" w:rsidRDefault="00000000">
            <w:pPr>
              <w:pStyle w:val="TableParagraph"/>
              <w:spacing w:before="1"/>
              <w:ind w:left="108"/>
              <w:rPr>
                <w:sz w:val="18"/>
              </w:rPr>
            </w:pPr>
            <w:r>
              <w:rPr>
                <w:spacing w:val="-5"/>
                <w:sz w:val="18"/>
              </w:rPr>
              <w:t>NTB</w:t>
            </w:r>
          </w:p>
        </w:tc>
      </w:tr>
      <w:tr w:rsidR="00BC24A8" w14:paraId="69D35D8B"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07610B92" w14:textId="77777777" w:rsidR="00BC24A8" w:rsidRDefault="00000000">
            <w:pPr>
              <w:pStyle w:val="TableParagraph"/>
              <w:spacing w:line="219" w:lineRule="exact"/>
              <w:ind w:right="96"/>
              <w:jc w:val="right"/>
              <w:rPr>
                <w:sz w:val="18"/>
              </w:rPr>
            </w:pPr>
            <w:r>
              <w:rPr>
                <w:spacing w:val="-5"/>
                <w:sz w:val="18"/>
              </w:rPr>
              <w:t>76</w:t>
            </w:r>
          </w:p>
        </w:tc>
        <w:tc>
          <w:tcPr>
            <w:tcW w:w="955" w:type="dxa"/>
            <w:tcBorders>
              <w:top w:val="single" w:sz="4" w:space="0" w:color="A6A6A6"/>
              <w:left w:val="single" w:sz="4" w:space="0" w:color="A6A6A6"/>
              <w:bottom w:val="single" w:sz="4" w:space="0" w:color="A6A6A6"/>
              <w:right w:val="single" w:sz="4" w:space="0" w:color="A6A6A6"/>
            </w:tcBorders>
          </w:tcPr>
          <w:p w14:paraId="310587D4" w14:textId="77777777" w:rsidR="00BC24A8" w:rsidRDefault="00000000">
            <w:pPr>
              <w:pStyle w:val="TableParagraph"/>
              <w:spacing w:line="21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3C3894CD" w14:textId="77777777" w:rsidR="00BC24A8" w:rsidRDefault="00000000">
            <w:pPr>
              <w:pStyle w:val="TableParagraph"/>
              <w:ind w:left="105"/>
              <w:rPr>
                <w:sz w:val="18"/>
              </w:rPr>
            </w:pPr>
            <w:r>
              <w:rPr>
                <w:sz w:val="18"/>
              </w:rPr>
              <w:t>Evaluation of the Bhakti Stunting Movement on the Nutritional Status of Toddlers on Lombok Island in 2023</w:t>
            </w:r>
          </w:p>
        </w:tc>
        <w:tc>
          <w:tcPr>
            <w:tcW w:w="1096" w:type="dxa"/>
            <w:tcBorders>
              <w:top w:val="single" w:sz="4" w:space="0" w:color="A6A6A6"/>
              <w:left w:val="single" w:sz="4" w:space="0" w:color="A6A6A6"/>
              <w:bottom w:val="single" w:sz="4" w:space="0" w:color="A6A6A6"/>
              <w:right w:val="single" w:sz="4" w:space="0" w:color="A6A6A6"/>
            </w:tcBorders>
          </w:tcPr>
          <w:p w14:paraId="61B14C92" w14:textId="77777777" w:rsidR="00BC24A8" w:rsidRDefault="00000000">
            <w:pPr>
              <w:pStyle w:val="TableParagraph"/>
              <w:spacing w:line="219" w:lineRule="exact"/>
              <w:ind w:left="108"/>
              <w:rPr>
                <w:sz w:val="18"/>
              </w:rPr>
            </w:pPr>
            <w:r>
              <w:rPr>
                <w:spacing w:val="-5"/>
                <w:sz w:val="18"/>
              </w:rPr>
              <w:t>NTB</w:t>
            </w:r>
          </w:p>
        </w:tc>
      </w:tr>
      <w:tr w:rsidR="00BC24A8" w14:paraId="3FD8C139" w14:textId="77777777">
        <w:trPr>
          <w:trHeight w:val="217"/>
        </w:trPr>
        <w:tc>
          <w:tcPr>
            <w:tcW w:w="552" w:type="dxa"/>
            <w:tcBorders>
              <w:top w:val="single" w:sz="4" w:space="0" w:color="A6A6A6"/>
              <w:left w:val="single" w:sz="4" w:space="0" w:color="A6A6A6"/>
              <w:bottom w:val="single" w:sz="4" w:space="0" w:color="A6A6A6"/>
              <w:right w:val="single" w:sz="4" w:space="0" w:color="A6A6A6"/>
            </w:tcBorders>
          </w:tcPr>
          <w:p w14:paraId="6CB89BE6" w14:textId="77777777" w:rsidR="00BC24A8" w:rsidRDefault="00000000">
            <w:pPr>
              <w:pStyle w:val="TableParagraph"/>
              <w:spacing w:line="198" w:lineRule="exact"/>
              <w:ind w:right="96"/>
              <w:jc w:val="right"/>
              <w:rPr>
                <w:sz w:val="18"/>
              </w:rPr>
            </w:pPr>
            <w:r>
              <w:rPr>
                <w:spacing w:val="-5"/>
                <w:sz w:val="18"/>
              </w:rPr>
              <w:t>77</w:t>
            </w:r>
          </w:p>
        </w:tc>
        <w:tc>
          <w:tcPr>
            <w:tcW w:w="955" w:type="dxa"/>
            <w:tcBorders>
              <w:top w:val="single" w:sz="4" w:space="0" w:color="A6A6A6"/>
              <w:left w:val="single" w:sz="4" w:space="0" w:color="A6A6A6"/>
              <w:bottom w:val="single" w:sz="4" w:space="0" w:color="A6A6A6"/>
              <w:right w:val="single" w:sz="4" w:space="0" w:color="A6A6A6"/>
            </w:tcBorders>
          </w:tcPr>
          <w:p w14:paraId="0141B0CF" w14:textId="77777777" w:rsidR="00BC24A8" w:rsidRDefault="00000000">
            <w:pPr>
              <w:pStyle w:val="TableParagraph"/>
              <w:spacing w:line="198"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50289831" w14:textId="77777777" w:rsidR="00BC24A8" w:rsidRDefault="00000000">
            <w:pPr>
              <w:pStyle w:val="TableParagraph"/>
              <w:spacing w:line="198" w:lineRule="exact"/>
              <w:ind w:left="105"/>
              <w:rPr>
                <w:sz w:val="18"/>
              </w:rPr>
            </w:pPr>
            <w:r>
              <w:rPr>
                <w:sz w:val="18"/>
              </w:rPr>
              <w:t>Reducing</w:t>
            </w:r>
            <w:r>
              <w:rPr>
                <w:spacing w:val="-8"/>
                <w:sz w:val="18"/>
              </w:rPr>
              <w:t xml:space="preserve"> </w:t>
            </w:r>
            <w:r>
              <w:rPr>
                <w:sz w:val="18"/>
              </w:rPr>
              <w:t>Violence</w:t>
            </w:r>
            <w:r>
              <w:rPr>
                <w:spacing w:val="-6"/>
                <w:sz w:val="18"/>
              </w:rPr>
              <w:t xml:space="preserve"> </w:t>
            </w:r>
            <w:r>
              <w:rPr>
                <w:sz w:val="18"/>
              </w:rPr>
              <w:t>Against</w:t>
            </w:r>
            <w:r>
              <w:rPr>
                <w:spacing w:val="-6"/>
                <w:sz w:val="18"/>
              </w:rPr>
              <w:t xml:space="preserve"> </w:t>
            </w:r>
            <w:r>
              <w:rPr>
                <w:sz w:val="18"/>
              </w:rPr>
              <w:t>Women</w:t>
            </w:r>
            <w:r>
              <w:rPr>
                <w:spacing w:val="-6"/>
                <w:sz w:val="18"/>
              </w:rPr>
              <w:t xml:space="preserve"> </w:t>
            </w:r>
            <w:r>
              <w:rPr>
                <w:sz w:val="18"/>
              </w:rPr>
              <w:t>and</w:t>
            </w:r>
            <w:r>
              <w:rPr>
                <w:spacing w:val="-6"/>
                <w:sz w:val="18"/>
              </w:rPr>
              <w:t xml:space="preserve"> </w:t>
            </w:r>
            <w:r>
              <w:rPr>
                <w:sz w:val="18"/>
              </w:rPr>
              <w:t>Children</w:t>
            </w:r>
            <w:r>
              <w:rPr>
                <w:spacing w:val="-7"/>
                <w:sz w:val="18"/>
              </w:rPr>
              <w:t xml:space="preserve"> </w:t>
            </w:r>
            <w:r>
              <w:rPr>
                <w:sz w:val="18"/>
              </w:rPr>
              <w:t>Including</w:t>
            </w:r>
            <w:r>
              <w:rPr>
                <w:spacing w:val="-7"/>
                <w:sz w:val="18"/>
              </w:rPr>
              <w:t xml:space="preserve"> </w:t>
            </w:r>
            <w:r>
              <w:rPr>
                <w:sz w:val="18"/>
              </w:rPr>
              <w:t>Trafficking</w:t>
            </w:r>
            <w:r>
              <w:rPr>
                <w:spacing w:val="-7"/>
                <w:sz w:val="18"/>
              </w:rPr>
              <w:t xml:space="preserve"> </w:t>
            </w:r>
            <w:r>
              <w:rPr>
                <w:sz w:val="18"/>
              </w:rPr>
              <w:t>in</w:t>
            </w:r>
            <w:r>
              <w:rPr>
                <w:spacing w:val="-6"/>
                <w:sz w:val="18"/>
              </w:rPr>
              <w:t xml:space="preserve"> </w:t>
            </w:r>
            <w:r>
              <w:rPr>
                <w:spacing w:val="-5"/>
                <w:sz w:val="18"/>
              </w:rPr>
              <w:t>NTB</w:t>
            </w:r>
          </w:p>
        </w:tc>
        <w:tc>
          <w:tcPr>
            <w:tcW w:w="1096" w:type="dxa"/>
            <w:tcBorders>
              <w:top w:val="single" w:sz="4" w:space="0" w:color="A6A6A6"/>
              <w:left w:val="single" w:sz="4" w:space="0" w:color="A6A6A6"/>
              <w:bottom w:val="single" w:sz="4" w:space="0" w:color="A6A6A6"/>
              <w:right w:val="single" w:sz="4" w:space="0" w:color="A6A6A6"/>
            </w:tcBorders>
          </w:tcPr>
          <w:p w14:paraId="406362F9" w14:textId="77777777" w:rsidR="00BC24A8" w:rsidRDefault="00000000">
            <w:pPr>
              <w:pStyle w:val="TableParagraph"/>
              <w:spacing w:line="198" w:lineRule="exact"/>
              <w:ind w:left="108"/>
              <w:rPr>
                <w:sz w:val="18"/>
              </w:rPr>
            </w:pPr>
            <w:r>
              <w:rPr>
                <w:spacing w:val="-5"/>
                <w:sz w:val="18"/>
              </w:rPr>
              <w:t>NTB</w:t>
            </w:r>
          </w:p>
        </w:tc>
      </w:tr>
      <w:tr w:rsidR="00BC24A8" w14:paraId="4878C833"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79798E95" w14:textId="77777777" w:rsidR="00BC24A8" w:rsidRDefault="00000000">
            <w:pPr>
              <w:pStyle w:val="TableParagraph"/>
              <w:spacing w:before="1"/>
              <w:ind w:right="96"/>
              <w:jc w:val="right"/>
              <w:rPr>
                <w:sz w:val="18"/>
              </w:rPr>
            </w:pPr>
            <w:r>
              <w:rPr>
                <w:spacing w:val="-5"/>
                <w:sz w:val="18"/>
              </w:rPr>
              <w:t>78</w:t>
            </w:r>
          </w:p>
        </w:tc>
        <w:tc>
          <w:tcPr>
            <w:tcW w:w="955" w:type="dxa"/>
            <w:tcBorders>
              <w:top w:val="single" w:sz="4" w:space="0" w:color="A6A6A6"/>
              <w:left w:val="single" w:sz="4" w:space="0" w:color="A6A6A6"/>
              <w:bottom w:val="single" w:sz="4" w:space="0" w:color="A6A6A6"/>
              <w:right w:val="single" w:sz="4" w:space="0" w:color="A6A6A6"/>
            </w:tcBorders>
          </w:tcPr>
          <w:p w14:paraId="475FD307"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422F98C5" w14:textId="77777777" w:rsidR="00BC24A8" w:rsidRDefault="00000000">
            <w:pPr>
              <w:pStyle w:val="TableParagraph"/>
              <w:spacing w:before="1"/>
              <w:ind w:left="105"/>
              <w:rPr>
                <w:sz w:val="18"/>
              </w:rPr>
            </w:pPr>
            <w:r>
              <w:rPr>
                <w:sz w:val="18"/>
              </w:rPr>
              <w:t>Drinking</w:t>
            </w:r>
            <w:r>
              <w:rPr>
                <w:spacing w:val="-7"/>
                <w:sz w:val="18"/>
              </w:rPr>
              <w:t xml:space="preserve"> </w:t>
            </w:r>
            <w:r>
              <w:rPr>
                <w:sz w:val="18"/>
              </w:rPr>
              <w:t>Water</w:t>
            </w:r>
            <w:r>
              <w:rPr>
                <w:spacing w:val="-7"/>
                <w:sz w:val="18"/>
              </w:rPr>
              <w:t xml:space="preserve"> </w:t>
            </w:r>
            <w:r>
              <w:rPr>
                <w:sz w:val="18"/>
              </w:rPr>
              <w:t>Availability</w:t>
            </w:r>
            <w:r>
              <w:rPr>
                <w:spacing w:val="-9"/>
                <w:sz w:val="18"/>
              </w:rPr>
              <w:t xml:space="preserve"> </w:t>
            </w:r>
            <w:r>
              <w:rPr>
                <w:sz w:val="18"/>
              </w:rPr>
              <w:t>in</w:t>
            </w:r>
            <w:r>
              <w:rPr>
                <w:spacing w:val="-5"/>
                <w:sz w:val="18"/>
              </w:rPr>
              <w:t xml:space="preserve"> </w:t>
            </w:r>
            <w:r>
              <w:rPr>
                <w:sz w:val="18"/>
              </w:rPr>
              <w:t>West</w:t>
            </w:r>
            <w:r>
              <w:rPr>
                <w:spacing w:val="-5"/>
                <w:sz w:val="18"/>
              </w:rPr>
              <w:t xml:space="preserve"> </w:t>
            </w:r>
            <w:r>
              <w:rPr>
                <w:sz w:val="18"/>
              </w:rPr>
              <w:t>Lombok</w:t>
            </w:r>
            <w:r>
              <w:rPr>
                <w:spacing w:val="-6"/>
                <w:sz w:val="18"/>
              </w:rPr>
              <w:t xml:space="preserve"> </w:t>
            </w:r>
            <w:r>
              <w:rPr>
                <w:sz w:val="18"/>
              </w:rPr>
              <w:t>Regency,</w:t>
            </w:r>
            <w:r>
              <w:rPr>
                <w:spacing w:val="-6"/>
                <w:sz w:val="18"/>
              </w:rPr>
              <w:t xml:space="preserve"> </w:t>
            </w:r>
            <w:r>
              <w:rPr>
                <w:sz w:val="18"/>
              </w:rPr>
              <w:t>Is</w:t>
            </w:r>
            <w:r>
              <w:rPr>
                <w:spacing w:val="-6"/>
                <w:sz w:val="18"/>
              </w:rPr>
              <w:t xml:space="preserve"> </w:t>
            </w:r>
            <w:r>
              <w:rPr>
                <w:sz w:val="18"/>
              </w:rPr>
              <w:t>it</w:t>
            </w:r>
            <w:r>
              <w:rPr>
                <w:spacing w:val="-5"/>
                <w:sz w:val="18"/>
              </w:rPr>
              <w:t xml:space="preserve"> </w:t>
            </w:r>
            <w:r>
              <w:rPr>
                <w:sz w:val="18"/>
              </w:rPr>
              <w:t>Still</w:t>
            </w:r>
            <w:r>
              <w:rPr>
                <w:spacing w:val="-4"/>
                <w:sz w:val="18"/>
              </w:rPr>
              <w:t xml:space="preserve"> </w:t>
            </w:r>
            <w:r>
              <w:rPr>
                <w:spacing w:val="-2"/>
                <w:sz w:val="18"/>
              </w:rPr>
              <w:t>Difficult?</w:t>
            </w:r>
          </w:p>
        </w:tc>
        <w:tc>
          <w:tcPr>
            <w:tcW w:w="1096" w:type="dxa"/>
            <w:tcBorders>
              <w:top w:val="single" w:sz="4" w:space="0" w:color="A6A6A6"/>
              <w:left w:val="single" w:sz="4" w:space="0" w:color="A6A6A6"/>
              <w:bottom w:val="single" w:sz="4" w:space="0" w:color="A6A6A6"/>
              <w:right w:val="single" w:sz="4" w:space="0" w:color="A6A6A6"/>
            </w:tcBorders>
          </w:tcPr>
          <w:p w14:paraId="3704A69E" w14:textId="77777777" w:rsidR="00BC24A8" w:rsidRDefault="00000000">
            <w:pPr>
              <w:pStyle w:val="TableParagraph"/>
              <w:spacing w:before="1"/>
              <w:ind w:left="108"/>
              <w:rPr>
                <w:sz w:val="18"/>
              </w:rPr>
            </w:pPr>
            <w:r>
              <w:rPr>
                <w:spacing w:val="-5"/>
                <w:sz w:val="18"/>
              </w:rPr>
              <w:t>NTB</w:t>
            </w:r>
          </w:p>
        </w:tc>
      </w:tr>
      <w:tr w:rsidR="00BC24A8" w14:paraId="68C6B0C1" w14:textId="77777777">
        <w:trPr>
          <w:trHeight w:val="220"/>
        </w:trPr>
        <w:tc>
          <w:tcPr>
            <w:tcW w:w="552" w:type="dxa"/>
            <w:tcBorders>
              <w:top w:val="single" w:sz="4" w:space="0" w:color="A6A6A6"/>
              <w:left w:val="single" w:sz="4" w:space="0" w:color="A6A6A6"/>
              <w:bottom w:val="single" w:sz="4" w:space="0" w:color="A6A6A6"/>
              <w:right w:val="single" w:sz="4" w:space="0" w:color="A6A6A6"/>
            </w:tcBorders>
          </w:tcPr>
          <w:p w14:paraId="5CA52D55" w14:textId="77777777" w:rsidR="00BC24A8" w:rsidRDefault="00000000">
            <w:pPr>
              <w:pStyle w:val="TableParagraph"/>
              <w:spacing w:before="1" w:line="199" w:lineRule="exact"/>
              <w:ind w:right="96"/>
              <w:jc w:val="right"/>
              <w:rPr>
                <w:sz w:val="18"/>
              </w:rPr>
            </w:pPr>
            <w:r>
              <w:rPr>
                <w:spacing w:val="-5"/>
                <w:sz w:val="18"/>
              </w:rPr>
              <w:t>79</w:t>
            </w:r>
          </w:p>
        </w:tc>
        <w:tc>
          <w:tcPr>
            <w:tcW w:w="955" w:type="dxa"/>
            <w:tcBorders>
              <w:top w:val="single" w:sz="4" w:space="0" w:color="A6A6A6"/>
              <w:left w:val="single" w:sz="4" w:space="0" w:color="A6A6A6"/>
              <w:bottom w:val="single" w:sz="4" w:space="0" w:color="A6A6A6"/>
              <w:right w:val="single" w:sz="4" w:space="0" w:color="A6A6A6"/>
            </w:tcBorders>
          </w:tcPr>
          <w:p w14:paraId="47C909CB" w14:textId="77777777" w:rsidR="00BC24A8" w:rsidRDefault="00000000">
            <w:pPr>
              <w:pStyle w:val="TableParagraph"/>
              <w:spacing w:before="1" w:line="199" w:lineRule="exact"/>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06898A84" w14:textId="77777777" w:rsidR="00BC24A8" w:rsidRDefault="00000000">
            <w:pPr>
              <w:pStyle w:val="TableParagraph"/>
              <w:spacing w:before="1" w:line="199" w:lineRule="exact"/>
              <w:ind w:left="105"/>
              <w:rPr>
                <w:sz w:val="18"/>
              </w:rPr>
            </w:pPr>
            <w:r>
              <w:rPr>
                <w:sz w:val="18"/>
              </w:rPr>
              <w:t>Accelerating</w:t>
            </w:r>
            <w:r>
              <w:rPr>
                <w:spacing w:val="-8"/>
                <w:sz w:val="18"/>
              </w:rPr>
              <w:t xml:space="preserve"> </w:t>
            </w:r>
            <w:r>
              <w:rPr>
                <w:sz w:val="18"/>
              </w:rPr>
              <w:t>Human</w:t>
            </w:r>
            <w:r>
              <w:rPr>
                <w:spacing w:val="-6"/>
                <w:sz w:val="18"/>
              </w:rPr>
              <w:t xml:space="preserve"> </w:t>
            </w:r>
            <w:r>
              <w:rPr>
                <w:sz w:val="18"/>
              </w:rPr>
              <w:t>Resource</w:t>
            </w:r>
            <w:r>
              <w:rPr>
                <w:spacing w:val="-7"/>
                <w:sz w:val="18"/>
              </w:rPr>
              <w:t xml:space="preserve"> </w:t>
            </w:r>
            <w:r>
              <w:rPr>
                <w:sz w:val="18"/>
              </w:rPr>
              <w:t>Development</w:t>
            </w:r>
            <w:r>
              <w:rPr>
                <w:spacing w:val="-5"/>
                <w:sz w:val="18"/>
              </w:rPr>
              <w:t xml:space="preserve"> </w:t>
            </w:r>
            <w:r>
              <w:rPr>
                <w:sz w:val="18"/>
              </w:rPr>
              <w:t>in</w:t>
            </w:r>
            <w:r>
              <w:rPr>
                <w:spacing w:val="-7"/>
                <w:sz w:val="18"/>
              </w:rPr>
              <w:t xml:space="preserve"> </w:t>
            </w:r>
            <w:r>
              <w:rPr>
                <w:sz w:val="18"/>
              </w:rPr>
              <w:t>NTB</w:t>
            </w:r>
            <w:r>
              <w:rPr>
                <w:spacing w:val="-7"/>
                <w:sz w:val="18"/>
              </w:rPr>
              <w:t xml:space="preserve"> </w:t>
            </w:r>
            <w:r>
              <w:rPr>
                <w:sz w:val="18"/>
              </w:rPr>
              <w:t>through</w:t>
            </w:r>
            <w:r>
              <w:rPr>
                <w:spacing w:val="-6"/>
                <w:sz w:val="18"/>
              </w:rPr>
              <w:t xml:space="preserve"> </w:t>
            </w:r>
            <w:r>
              <w:rPr>
                <w:sz w:val="18"/>
              </w:rPr>
              <w:t>Optimization</w:t>
            </w:r>
            <w:r>
              <w:rPr>
                <w:spacing w:val="-7"/>
                <w:sz w:val="18"/>
              </w:rPr>
              <w:t xml:space="preserve"> </w:t>
            </w:r>
            <w:r>
              <w:rPr>
                <w:sz w:val="18"/>
              </w:rPr>
              <w:t>of</w:t>
            </w:r>
            <w:r>
              <w:rPr>
                <w:spacing w:val="-7"/>
                <w:sz w:val="18"/>
              </w:rPr>
              <w:t xml:space="preserve"> </w:t>
            </w:r>
            <w:r>
              <w:rPr>
                <w:sz w:val="18"/>
              </w:rPr>
              <w:t>Education</w:t>
            </w:r>
            <w:r>
              <w:rPr>
                <w:spacing w:val="-6"/>
                <w:sz w:val="18"/>
              </w:rPr>
              <w:t xml:space="preserve"> </w:t>
            </w:r>
            <w:r>
              <w:rPr>
                <w:spacing w:val="-2"/>
                <w:sz w:val="18"/>
              </w:rPr>
              <w:t>Budget</w:t>
            </w:r>
          </w:p>
        </w:tc>
        <w:tc>
          <w:tcPr>
            <w:tcW w:w="1096" w:type="dxa"/>
            <w:tcBorders>
              <w:top w:val="single" w:sz="4" w:space="0" w:color="A6A6A6"/>
              <w:left w:val="single" w:sz="4" w:space="0" w:color="A6A6A6"/>
              <w:bottom w:val="single" w:sz="4" w:space="0" w:color="A6A6A6"/>
              <w:right w:val="single" w:sz="4" w:space="0" w:color="A6A6A6"/>
            </w:tcBorders>
          </w:tcPr>
          <w:p w14:paraId="65938E4B" w14:textId="77777777" w:rsidR="00BC24A8" w:rsidRDefault="00000000">
            <w:pPr>
              <w:pStyle w:val="TableParagraph"/>
              <w:spacing w:before="1" w:line="199" w:lineRule="exact"/>
              <w:ind w:left="108"/>
              <w:rPr>
                <w:sz w:val="18"/>
              </w:rPr>
            </w:pPr>
            <w:r>
              <w:rPr>
                <w:spacing w:val="-5"/>
                <w:sz w:val="18"/>
              </w:rPr>
              <w:t>NTB</w:t>
            </w:r>
          </w:p>
        </w:tc>
      </w:tr>
      <w:tr w:rsidR="00BC24A8" w14:paraId="5AF008BB"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2977D054" w14:textId="77777777" w:rsidR="00BC24A8" w:rsidRDefault="00000000">
            <w:pPr>
              <w:pStyle w:val="TableParagraph"/>
              <w:spacing w:before="1"/>
              <w:ind w:right="96"/>
              <w:jc w:val="right"/>
              <w:rPr>
                <w:sz w:val="18"/>
              </w:rPr>
            </w:pPr>
            <w:r>
              <w:rPr>
                <w:spacing w:val="-5"/>
                <w:sz w:val="18"/>
              </w:rPr>
              <w:t>80</w:t>
            </w:r>
          </w:p>
        </w:tc>
        <w:tc>
          <w:tcPr>
            <w:tcW w:w="955" w:type="dxa"/>
            <w:tcBorders>
              <w:top w:val="single" w:sz="4" w:space="0" w:color="A6A6A6"/>
              <w:left w:val="single" w:sz="4" w:space="0" w:color="A6A6A6"/>
              <w:bottom w:val="single" w:sz="4" w:space="0" w:color="A6A6A6"/>
              <w:right w:val="single" w:sz="4" w:space="0" w:color="A6A6A6"/>
            </w:tcBorders>
          </w:tcPr>
          <w:p w14:paraId="747FF5C9"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6C0526F7" w14:textId="77777777" w:rsidR="00BC24A8" w:rsidRDefault="00000000">
            <w:pPr>
              <w:pStyle w:val="TableParagraph"/>
              <w:spacing w:before="1"/>
              <w:ind w:left="105"/>
              <w:rPr>
                <w:sz w:val="18"/>
              </w:rPr>
            </w:pPr>
            <w:r>
              <w:rPr>
                <w:sz w:val="18"/>
              </w:rPr>
              <w:t>Accelerating</w:t>
            </w:r>
            <w:r>
              <w:rPr>
                <w:spacing w:val="-4"/>
                <w:sz w:val="18"/>
              </w:rPr>
              <w:t xml:space="preserve"> </w:t>
            </w:r>
            <w:r>
              <w:rPr>
                <w:sz w:val="18"/>
              </w:rPr>
              <w:t>the</w:t>
            </w:r>
            <w:r>
              <w:rPr>
                <w:spacing w:val="-2"/>
                <w:sz w:val="18"/>
              </w:rPr>
              <w:t xml:space="preserve"> </w:t>
            </w:r>
            <w:r>
              <w:rPr>
                <w:sz w:val="18"/>
              </w:rPr>
              <w:t>Establishment</w:t>
            </w:r>
            <w:r>
              <w:rPr>
                <w:spacing w:val="-2"/>
                <w:sz w:val="18"/>
              </w:rPr>
              <w:t xml:space="preserve"> </w:t>
            </w:r>
            <w:r>
              <w:rPr>
                <w:sz w:val="18"/>
              </w:rPr>
              <w:t>of</w:t>
            </w:r>
            <w:r>
              <w:rPr>
                <w:spacing w:val="-6"/>
                <w:sz w:val="18"/>
              </w:rPr>
              <w:t xml:space="preserve"> </w:t>
            </w:r>
            <w:r>
              <w:rPr>
                <w:sz w:val="18"/>
              </w:rPr>
              <w:t>Disability</w:t>
            </w:r>
            <w:r>
              <w:rPr>
                <w:spacing w:val="-2"/>
                <w:sz w:val="18"/>
              </w:rPr>
              <w:t xml:space="preserve"> </w:t>
            </w:r>
            <w:r>
              <w:rPr>
                <w:sz w:val="18"/>
              </w:rPr>
              <w:t>Service</w:t>
            </w:r>
            <w:r>
              <w:rPr>
                <w:spacing w:val="-6"/>
                <w:sz w:val="18"/>
              </w:rPr>
              <w:t xml:space="preserve"> </w:t>
            </w:r>
            <w:r>
              <w:rPr>
                <w:sz w:val="18"/>
              </w:rPr>
              <w:t>Unit</w:t>
            </w:r>
            <w:r>
              <w:rPr>
                <w:spacing w:val="-4"/>
                <w:sz w:val="18"/>
              </w:rPr>
              <w:t xml:space="preserve"> </w:t>
            </w:r>
            <w:r>
              <w:rPr>
                <w:sz w:val="18"/>
              </w:rPr>
              <w:t>in</w:t>
            </w:r>
            <w:r>
              <w:rPr>
                <w:spacing w:val="-2"/>
                <w:sz w:val="18"/>
              </w:rPr>
              <w:t xml:space="preserve"> </w:t>
            </w:r>
            <w:r>
              <w:rPr>
                <w:spacing w:val="-5"/>
                <w:sz w:val="18"/>
              </w:rPr>
              <w:t>NTB</w:t>
            </w:r>
          </w:p>
        </w:tc>
        <w:tc>
          <w:tcPr>
            <w:tcW w:w="1096" w:type="dxa"/>
            <w:tcBorders>
              <w:top w:val="single" w:sz="4" w:space="0" w:color="A6A6A6"/>
              <w:left w:val="single" w:sz="4" w:space="0" w:color="A6A6A6"/>
              <w:bottom w:val="single" w:sz="4" w:space="0" w:color="A6A6A6"/>
              <w:right w:val="single" w:sz="4" w:space="0" w:color="A6A6A6"/>
            </w:tcBorders>
          </w:tcPr>
          <w:p w14:paraId="1CB4B0D1" w14:textId="77777777" w:rsidR="00BC24A8" w:rsidRDefault="00000000">
            <w:pPr>
              <w:pStyle w:val="TableParagraph"/>
              <w:spacing w:before="1"/>
              <w:ind w:left="108"/>
              <w:rPr>
                <w:sz w:val="18"/>
              </w:rPr>
            </w:pPr>
            <w:r>
              <w:rPr>
                <w:spacing w:val="-5"/>
                <w:sz w:val="18"/>
              </w:rPr>
              <w:t>NTB</w:t>
            </w:r>
          </w:p>
        </w:tc>
      </w:tr>
      <w:tr w:rsidR="00BC24A8" w14:paraId="2FCB374C"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458BE0B9" w14:textId="77777777" w:rsidR="00BC24A8" w:rsidRDefault="00000000">
            <w:pPr>
              <w:pStyle w:val="TableParagraph"/>
              <w:spacing w:before="1"/>
              <w:ind w:right="96"/>
              <w:jc w:val="right"/>
              <w:rPr>
                <w:sz w:val="18"/>
              </w:rPr>
            </w:pPr>
            <w:r>
              <w:rPr>
                <w:spacing w:val="-5"/>
                <w:sz w:val="18"/>
              </w:rPr>
              <w:t>81</w:t>
            </w:r>
          </w:p>
        </w:tc>
        <w:tc>
          <w:tcPr>
            <w:tcW w:w="955" w:type="dxa"/>
            <w:tcBorders>
              <w:top w:val="single" w:sz="4" w:space="0" w:color="A6A6A6"/>
              <w:left w:val="single" w:sz="4" w:space="0" w:color="A6A6A6"/>
              <w:bottom w:val="single" w:sz="4" w:space="0" w:color="A6A6A6"/>
              <w:right w:val="single" w:sz="4" w:space="0" w:color="A6A6A6"/>
            </w:tcBorders>
          </w:tcPr>
          <w:p w14:paraId="2238FD8A" w14:textId="77777777" w:rsidR="00BC24A8" w:rsidRDefault="00000000">
            <w:pPr>
              <w:pStyle w:val="TableParagraph"/>
              <w:spacing w:before="1"/>
              <w:ind w:left="105"/>
              <w:rPr>
                <w:sz w:val="18"/>
              </w:rPr>
            </w:pPr>
            <w:r>
              <w:rPr>
                <w:spacing w:val="-2"/>
                <w:sz w:val="18"/>
              </w:rPr>
              <w:t>FY23/24</w:t>
            </w:r>
          </w:p>
        </w:tc>
        <w:tc>
          <w:tcPr>
            <w:tcW w:w="6993" w:type="dxa"/>
            <w:tcBorders>
              <w:top w:val="single" w:sz="4" w:space="0" w:color="A6A6A6"/>
              <w:left w:val="single" w:sz="4" w:space="0" w:color="A6A6A6"/>
              <w:bottom w:val="single" w:sz="4" w:space="0" w:color="A6A6A6"/>
              <w:right w:val="single" w:sz="4" w:space="0" w:color="A6A6A6"/>
            </w:tcBorders>
          </w:tcPr>
          <w:p w14:paraId="7F6352EC" w14:textId="77777777" w:rsidR="00BC24A8" w:rsidRDefault="00000000">
            <w:pPr>
              <w:pStyle w:val="TableParagraph"/>
              <w:spacing w:before="1"/>
              <w:ind w:left="105"/>
              <w:rPr>
                <w:sz w:val="18"/>
              </w:rPr>
            </w:pPr>
            <w:r>
              <w:rPr>
                <w:sz w:val="18"/>
              </w:rPr>
              <w:t>Development of a One Data Planning System Towards Zero Cases of Child Marriage in NTB</w:t>
            </w:r>
            <w:r>
              <w:rPr>
                <w:spacing w:val="40"/>
                <w:sz w:val="18"/>
              </w:rPr>
              <w:t xml:space="preserve"> </w:t>
            </w:r>
            <w:r>
              <w:rPr>
                <w:spacing w:val="-2"/>
                <w:sz w:val="18"/>
              </w:rPr>
              <w:t>Province</w:t>
            </w:r>
          </w:p>
        </w:tc>
        <w:tc>
          <w:tcPr>
            <w:tcW w:w="1096" w:type="dxa"/>
            <w:tcBorders>
              <w:top w:val="single" w:sz="4" w:space="0" w:color="A6A6A6"/>
              <w:left w:val="single" w:sz="4" w:space="0" w:color="A6A6A6"/>
              <w:bottom w:val="single" w:sz="4" w:space="0" w:color="A6A6A6"/>
              <w:right w:val="single" w:sz="4" w:space="0" w:color="A6A6A6"/>
            </w:tcBorders>
          </w:tcPr>
          <w:p w14:paraId="207125FE" w14:textId="77777777" w:rsidR="00BC24A8" w:rsidRDefault="00000000">
            <w:pPr>
              <w:pStyle w:val="TableParagraph"/>
              <w:spacing w:before="1"/>
              <w:ind w:left="108"/>
              <w:rPr>
                <w:sz w:val="18"/>
              </w:rPr>
            </w:pPr>
            <w:r>
              <w:rPr>
                <w:spacing w:val="-5"/>
                <w:sz w:val="18"/>
              </w:rPr>
              <w:t>NTB</w:t>
            </w:r>
          </w:p>
        </w:tc>
      </w:tr>
      <w:tr w:rsidR="00BC24A8" w14:paraId="0F4DADA7" w14:textId="77777777">
        <w:trPr>
          <w:trHeight w:val="481"/>
        </w:trPr>
        <w:tc>
          <w:tcPr>
            <w:tcW w:w="552" w:type="dxa"/>
            <w:tcBorders>
              <w:top w:val="single" w:sz="4" w:space="0" w:color="A6A6A6"/>
              <w:left w:val="single" w:sz="4" w:space="0" w:color="A6A6A6"/>
              <w:bottom w:val="single" w:sz="4" w:space="0" w:color="A6A6A6"/>
              <w:right w:val="single" w:sz="4" w:space="0" w:color="A6A6A6"/>
            </w:tcBorders>
          </w:tcPr>
          <w:p w14:paraId="22153707" w14:textId="77777777" w:rsidR="00BC24A8" w:rsidRDefault="00000000">
            <w:pPr>
              <w:pStyle w:val="TableParagraph"/>
              <w:spacing w:before="1"/>
              <w:ind w:right="96"/>
              <w:jc w:val="right"/>
              <w:rPr>
                <w:sz w:val="18"/>
              </w:rPr>
            </w:pPr>
            <w:r>
              <w:rPr>
                <w:spacing w:val="-5"/>
                <w:sz w:val="18"/>
              </w:rPr>
              <w:t>82</w:t>
            </w:r>
          </w:p>
        </w:tc>
        <w:tc>
          <w:tcPr>
            <w:tcW w:w="955" w:type="dxa"/>
            <w:tcBorders>
              <w:top w:val="single" w:sz="4" w:space="0" w:color="A6A6A6"/>
              <w:left w:val="single" w:sz="4" w:space="0" w:color="A6A6A6"/>
              <w:bottom w:val="single" w:sz="4" w:space="0" w:color="A6A6A6"/>
              <w:right w:val="single" w:sz="4" w:space="0" w:color="A6A6A6"/>
            </w:tcBorders>
          </w:tcPr>
          <w:p w14:paraId="22ECC7E9"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70BDEA3E" w14:textId="77777777" w:rsidR="00BC24A8" w:rsidRDefault="00000000">
            <w:pPr>
              <w:pStyle w:val="TableParagraph"/>
              <w:spacing w:before="1"/>
              <w:ind w:left="105"/>
              <w:rPr>
                <w:sz w:val="18"/>
              </w:rPr>
            </w:pPr>
            <w:r>
              <w:rPr>
                <w:sz w:val="18"/>
              </w:rPr>
              <w:t>Acceleration</w:t>
            </w:r>
            <w:r>
              <w:rPr>
                <w:spacing w:val="-1"/>
                <w:sz w:val="18"/>
              </w:rPr>
              <w:t xml:space="preserve"> </w:t>
            </w:r>
            <w:r>
              <w:rPr>
                <w:sz w:val="18"/>
              </w:rPr>
              <w:t>of</w:t>
            </w:r>
            <w:r>
              <w:rPr>
                <w:spacing w:val="-2"/>
                <w:sz w:val="18"/>
              </w:rPr>
              <w:t xml:space="preserve"> </w:t>
            </w:r>
            <w:r>
              <w:rPr>
                <w:sz w:val="18"/>
              </w:rPr>
              <w:t>Development</w:t>
            </w:r>
            <w:r>
              <w:rPr>
                <w:spacing w:val="-1"/>
                <w:sz w:val="18"/>
              </w:rPr>
              <w:t xml:space="preserve"> </w:t>
            </w:r>
            <w:r>
              <w:rPr>
                <w:sz w:val="18"/>
              </w:rPr>
              <w:t>and Improvement</w:t>
            </w:r>
            <w:r>
              <w:rPr>
                <w:spacing w:val="-1"/>
                <w:sz w:val="18"/>
              </w:rPr>
              <w:t xml:space="preserve"> </w:t>
            </w:r>
            <w:r>
              <w:rPr>
                <w:sz w:val="18"/>
              </w:rPr>
              <w:t>of HR</w:t>
            </w:r>
            <w:r>
              <w:rPr>
                <w:spacing w:val="-1"/>
                <w:sz w:val="18"/>
              </w:rPr>
              <w:t xml:space="preserve"> </w:t>
            </w:r>
            <w:r>
              <w:rPr>
                <w:sz w:val="18"/>
              </w:rPr>
              <w:t>Competencies</w:t>
            </w:r>
            <w:r>
              <w:rPr>
                <w:spacing w:val="-1"/>
                <w:sz w:val="18"/>
              </w:rPr>
              <w:t xml:space="preserve"> </w:t>
            </w:r>
            <w:r>
              <w:rPr>
                <w:sz w:val="18"/>
              </w:rPr>
              <w:t>for</w:t>
            </w:r>
            <w:r>
              <w:rPr>
                <w:spacing w:val="-1"/>
                <w:sz w:val="18"/>
              </w:rPr>
              <w:t xml:space="preserve"> </w:t>
            </w:r>
            <w:r>
              <w:rPr>
                <w:sz w:val="18"/>
              </w:rPr>
              <w:t>MSS</w:t>
            </w:r>
            <w:r>
              <w:rPr>
                <w:spacing w:val="-1"/>
                <w:sz w:val="18"/>
              </w:rPr>
              <w:t xml:space="preserve"> </w:t>
            </w:r>
            <w:r>
              <w:rPr>
                <w:sz w:val="18"/>
              </w:rPr>
              <w:t>Achievement</w:t>
            </w:r>
            <w:r>
              <w:rPr>
                <w:spacing w:val="-1"/>
                <w:sz w:val="18"/>
              </w:rPr>
              <w:t xml:space="preserve"> </w:t>
            </w:r>
            <w:r>
              <w:rPr>
                <w:sz w:val="18"/>
              </w:rPr>
              <w:t>at Provincial Hospital. NTB</w:t>
            </w:r>
          </w:p>
        </w:tc>
        <w:tc>
          <w:tcPr>
            <w:tcW w:w="1096" w:type="dxa"/>
            <w:tcBorders>
              <w:top w:val="single" w:sz="4" w:space="0" w:color="A6A6A6"/>
              <w:left w:val="single" w:sz="4" w:space="0" w:color="A6A6A6"/>
              <w:bottom w:val="single" w:sz="4" w:space="0" w:color="A6A6A6"/>
              <w:right w:val="single" w:sz="4" w:space="0" w:color="A6A6A6"/>
            </w:tcBorders>
          </w:tcPr>
          <w:p w14:paraId="40D039FE" w14:textId="77777777" w:rsidR="00BC24A8" w:rsidRDefault="00000000">
            <w:pPr>
              <w:pStyle w:val="TableParagraph"/>
              <w:spacing w:before="1"/>
              <w:ind w:left="108"/>
              <w:rPr>
                <w:sz w:val="18"/>
              </w:rPr>
            </w:pPr>
            <w:r>
              <w:rPr>
                <w:spacing w:val="-5"/>
                <w:sz w:val="18"/>
              </w:rPr>
              <w:t>NTB</w:t>
            </w:r>
          </w:p>
        </w:tc>
      </w:tr>
      <w:tr w:rsidR="00BC24A8" w14:paraId="69464E2A" w14:textId="77777777">
        <w:trPr>
          <w:trHeight w:val="218"/>
        </w:trPr>
        <w:tc>
          <w:tcPr>
            <w:tcW w:w="552" w:type="dxa"/>
            <w:tcBorders>
              <w:top w:val="single" w:sz="4" w:space="0" w:color="A6A6A6"/>
              <w:left w:val="single" w:sz="4" w:space="0" w:color="A6A6A6"/>
              <w:bottom w:val="single" w:sz="4" w:space="0" w:color="A6A6A6"/>
              <w:right w:val="single" w:sz="4" w:space="0" w:color="A6A6A6"/>
            </w:tcBorders>
          </w:tcPr>
          <w:p w14:paraId="320B941E" w14:textId="77777777" w:rsidR="00BC24A8" w:rsidRDefault="00000000">
            <w:pPr>
              <w:pStyle w:val="TableParagraph"/>
              <w:spacing w:line="198" w:lineRule="exact"/>
              <w:ind w:right="96"/>
              <w:jc w:val="right"/>
              <w:rPr>
                <w:sz w:val="18"/>
              </w:rPr>
            </w:pPr>
            <w:r>
              <w:rPr>
                <w:spacing w:val="-5"/>
                <w:sz w:val="18"/>
              </w:rPr>
              <w:t>83</w:t>
            </w:r>
          </w:p>
        </w:tc>
        <w:tc>
          <w:tcPr>
            <w:tcW w:w="955" w:type="dxa"/>
            <w:tcBorders>
              <w:top w:val="single" w:sz="4" w:space="0" w:color="A6A6A6"/>
              <w:left w:val="single" w:sz="4" w:space="0" w:color="A6A6A6"/>
              <w:bottom w:val="single" w:sz="4" w:space="0" w:color="A6A6A6"/>
              <w:right w:val="single" w:sz="4" w:space="0" w:color="A6A6A6"/>
            </w:tcBorders>
          </w:tcPr>
          <w:p w14:paraId="013E2270" w14:textId="77777777" w:rsidR="00BC24A8" w:rsidRDefault="00000000">
            <w:pPr>
              <w:pStyle w:val="TableParagraph"/>
              <w:spacing w:line="198"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47BBC681" w14:textId="77777777" w:rsidR="00BC24A8" w:rsidRDefault="00000000">
            <w:pPr>
              <w:pStyle w:val="TableParagraph"/>
              <w:spacing w:line="198" w:lineRule="exact"/>
              <w:ind w:left="105"/>
              <w:rPr>
                <w:sz w:val="18"/>
              </w:rPr>
            </w:pPr>
            <w:r>
              <w:rPr>
                <w:sz w:val="18"/>
              </w:rPr>
              <w:t>Acceleration</w:t>
            </w:r>
            <w:r>
              <w:rPr>
                <w:spacing w:val="-5"/>
                <w:sz w:val="18"/>
              </w:rPr>
              <w:t xml:space="preserve"> </w:t>
            </w:r>
            <w:r>
              <w:rPr>
                <w:sz w:val="18"/>
              </w:rPr>
              <w:t>of</w:t>
            </w:r>
            <w:r>
              <w:rPr>
                <w:spacing w:val="-6"/>
                <w:sz w:val="18"/>
              </w:rPr>
              <w:t xml:space="preserve"> </w:t>
            </w:r>
            <w:r>
              <w:rPr>
                <w:sz w:val="18"/>
              </w:rPr>
              <w:t>Strengthening</w:t>
            </w:r>
            <w:r>
              <w:rPr>
                <w:spacing w:val="-6"/>
                <w:sz w:val="18"/>
              </w:rPr>
              <w:t xml:space="preserve"> </w:t>
            </w:r>
            <w:r>
              <w:rPr>
                <w:sz w:val="18"/>
              </w:rPr>
              <w:t>Goods</w:t>
            </w:r>
            <w:r>
              <w:rPr>
                <w:spacing w:val="-5"/>
                <w:sz w:val="18"/>
              </w:rPr>
              <w:t xml:space="preserve"> </w:t>
            </w:r>
            <w:r>
              <w:rPr>
                <w:sz w:val="18"/>
              </w:rPr>
              <w:t>and</w:t>
            </w:r>
            <w:r>
              <w:rPr>
                <w:spacing w:val="-5"/>
                <w:sz w:val="18"/>
              </w:rPr>
              <w:t xml:space="preserve"> </w:t>
            </w:r>
            <w:r>
              <w:rPr>
                <w:sz w:val="18"/>
              </w:rPr>
              <w:t>Services</w:t>
            </w:r>
            <w:r>
              <w:rPr>
                <w:spacing w:val="-5"/>
                <w:sz w:val="18"/>
              </w:rPr>
              <w:t xml:space="preserve"> </w:t>
            </w:r>
            <w:r>
              <w:rPr>
                <w:sz w:val="18"/>
              </w:rPr>
              <w:t>Procurement</w:t>
            </w:r>
            <w:r>
              <w:rPr>
                <w:spacing w:val="-4"/>
                <w:sz w:val="18"/>
              </w:rPr>
              <w:t xml:space="preserve"> </w:t>
            </w:r>
            <w:r>
              <w:rPr>
                <w:sz w:val="18"/>
              </w:rPr>
              <w:t>Audits</w:t>
            </w:r>
            <w:r>
              <w:rPr>
                <w:spacing w:val="-5"/>
                <w:sz w:val="18"/>
              </w:rPr>
              <w:t xml:space="preserve"> </w:t>
            </w:r>
            <w:r>
              <w:rPr>
                <w:sz w:val="18"/>
              </w:rPr>
              <w:t>at</w:t>
            </w:r>
            <w:r>
              <w:rPr>
                <w:spacing w:val="-4"/>
                <w:sz w:val="18"/>
              </w:rPr>
              <w:t xml:space="preserve"> </w:t>
            </w:r>
            <w:r>
              <w:rPr>
                <w:sz w:val="18"/>
              </w:rPr>
              <w:t>the</w:t>
            </w:r>
            <w:r>
              <w:rPr>
                <w:spacing w:val="-4"/>
                <w:sz w:val="18"/>
              </w:rPr>
              <w:t xml:space="preserve"> </w:t>
            </w:r>
            <w:r>
              <w:rPr>
                <w:spacing w:val="-2"/>
                <w:sz w:val="18"/>
              </w:rPr>
              <w:t>Inspectorate</w:t>
            </w:r>
          </w:p>
        </w:tc>
        <w:tc>
          <w:tcPr>
            <w:tcW w:w="1096" w:type="dxa"/>
            <w:tcBorders>
              <w:top w:val="single" w:sz="4" w:space="0" w:color="A6A6A6"/>
              <w:left w:val="single" w:sz="4" w:space="0" w:color="A6A6A6"/>
              <w:bottom w:val="single" w:sz="4" w:space="0" w:color="A6A6A6"/>
              <w:right w:val="single" w:sz="4" w:space="0" w:color="A6A6A6"/>
            </w:tcBorders>
          </w:tcPr>
          <w:p w14:paraId="09BB15F7" w14:textId="77777777" w:rsidR="00BC24A8" w:rsidRDefault="00000000">
            <w:pPr>
              <w:pStyle w:val="TableParagraph"/>
              <w:spacing w:line="198" w:lineRule="exact"/>
              <w:ind w:left="108"/>
              <w:rPr>
                <w:sz w:val="18"/>
              </w:rPr>
            </w:pPr>
            <w:r>
              <w:rPr>
                <w:spacing w:val="-5"/>
                <w:sz w:val="18"/>
              </w:rPr>
              <w:t>NTB</w:t>
            </w:r>
          </w:p>
        </w:tc>
      </w:tr>
      <w:tr w:rsidR="00BC24A8" w14:paraId="7FC1849B"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49318C41" w14:textId="77777777" w:rsidR="00BC24A8" w:rsidRDefault="00000000">
            <w:pPr>
              <w:pStyle w:val="TableParagraph"/>
              <w:spacing w:before="1"/>
              <w:ind w:right="96"/>
              <w:jc w:val="right"/>
              <w:rPr>
                <w:sz w:val="18"/>
              </w:rPr>
            </w:pPr>
            <w:r>
              <w:rPr>
                <w:spacing w:val="-5"/>
                <w:sz w:val="18"/>
              </w:rPr>
              <w:t>84</w:t>
            </w:r>
          </w:p>
        </w:tc>
        <w:tc>
          <w:tcPr>
            <w:tcW w:w="955" w:type="dxa"/>
            <w:tcBorders>
              <w:top w:val="single" w:sz="4" w:space="0" w:color="A6A6A6"/>
              <w:left w:val="single" w:sz="4" w:space="0" w:color="A6A6A6"/>
              <w:bottom w:val="single" w:sz="4" w:space="0" w:color="A6A6A6"/>
              <w:right w:val="single" w:sz="4" w:space="0" w:color="A6A6A6"/>
            </w:tcBorders>
          </w:tcPr>
          <w:p w14:paraId="0CDE8224"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4F336177" w14:textId="77777777" w:rsidR="00BC24A8" w:rsidRDefault="00000000">
            <w:pPr>
              <w:pStyle w:val="TableParagraph"/>
              <w:spacing w:before="1"/>
              <w:ind w:left="105"/>
              <w:rPr>
                <w:sz w:val="18"/>
              </w:rPr>
            </w:pPr>
            <w:r>
              <w:rPr>
                <w:sz w:val="18"/>
              </w:rPr>
              <w:t>Optimization</w:t>
            </w:r>
            <w:r>
              <w:rPr>
                <w:spacing w:val="-5"/>
                <w:sz w:val="18"/>
              </w:rPr>
              <w:t xml:space="preserve"> </w:t>
            </w:r>
            <w:r>
              <w:rPr>
                <w:sz w:val="18"/>
              </w:rPr>
              <w:t>of</w:t>
            </w:r>
            <w:r>
              <w:rPr>
                <w:spacing w:val="-6"/>
                <w:sz w:val="18"/>
              </w:rPr>
              <w:t xml:space="preserve"> </w:t>
            </w:r>
            <w:r>
              <w:rPr>
                <w:sz w:val="18"/>
              </w:rPr>
              <w:t>MSS</w:t>
            </w:r>
            <w:r>
              <w:rPr>
                <w:spacing w:val="-5"/>
                <w:sz w:val="18"/>
              </w:rPr>
              <w:t xml:space="preserve"> </w:t>
            </w:r>
            <w:r>
              <w:rPr>
                <w:sz w:val="18"/>
              </w:rPr>
              <w:t>in</w:t>
            </w:r>
            <w:r>
              <w:rPr>
                <w:spacing w:val="-4"/>
                <w:sz w:val="18"/>
              </w:rPr>
              <w:t xml:space="preserve"> </w:t>
            </w:r>
            <w:r>
              <w:rPr>
                <w:sz w:val="18"/>
              </w:rPr>
              <w:t>the</w:t>
            </w:r>
            <w:r>
              <w:rPr>
                <w:spacing w:val="-5"/>
                <w:sz w:val="18"/>
              </w:rPr>
              <w:t xml:space="preserve"> </w:t>
            </w:r>
            <w:r>
              <w:rPr>
                <w:sz w:val="18"/>
              </w:rPr>
              <w:t>Health</w:t>
            </w:r>
            <w:r>
              <w:rPr>
                <w:spacing w:val="-7"/>
                <w:sz w:val="18"/>
              </w:rPr>
              <w:t xml:space="preserve"> </w:t>
            </w:r>
            <w:r>
              <w:rPr>
                <w:sz w:val="18"/>
              </w:rPr>
              <w:t>Sector</w:t>
            </w:r>
            <w:r>
              <w:rPr>
                <w:spacing w:val="-5"/>
                <w:sz w:val="18"/>
              </w:rPr>
              <w:t xml:space="preserve"> </w:t>
            </w:r>
            <w:r>
              <w:rPr>
                <w:sz w:val="18"/>
              </w:rPr>
              <w:t>for</w:t>
            </w:r>
            <w:r>
              <w:rPr>
                <w:spacing w:val="-5"/>
                <w:sz w:val="18"/>
              </w:rPr>
              <w:t xml:space="preserve"> </w:t>
            </w:r>
            <w:r>
              <w:rPr>
                <w:sz w:val="18"/>
              </w:rPr>
              <w:t>Disaster</w:t>
            </w:r>
            <w:r>
              <w:rPr>
                <w:spacing w:val="-4"/>
                <w:sz w:val="18"/>
              </w:rPr>
              <w:t xml:space="preserve"> </w:t>
            </w:r>
            <w:r>
              <w:rPr>
                <w:sz w:val="18"/>
              </w:rPr>
              <w:t>Affairs</w:t>
            </w:r>
            <w:r>
              <w:rPr>
                <w:spacing w:val="-5"/>
                <w:sz w:val="18"/>
              </w:rPr>
              <w:t xml:space="preserve"> </w:t>
            </w:r>
            <w:r>
              <w:rPr>
                <w:sz w:val="18"/>
              </w:rPr>
              <w:t>in</w:t>
            </w:r>
            <w:r>
              <w:rPr>
                <w:spacing w:val="-5"/>
                <w:sz w:val="18"/>
              </w:rPr>
              <w:t xml:space="preserve"> NTT</w:t>
            </w:r>
          </w:p>
        </w:tc>
        <w:tc>
          <w:tcPr>
            <w:tcW w:w="1096" w:type="dxa"/>
            <w:tcBorders>
              <w:top w:val="single" w:sz="4" w:space="0" w:color="A6A6A6"/>
              <w:left w:val="single" w:sz="4" w:space="0" w:color="A6A6A6"/>
              <w:bottom w:val="single" w:sz="4" w:space="0" w:color="A6A6A6"/>
              <w:right w:val="single" w:sz="4" w:space="0" w:color="A6A6A6"/>
            </w:tcBorders>
          </w:tcPr>
          <w:p w14:paraId="012EE987" w14:textId="77777777" w:rsidR="00BC24A8" w:rsidRDefault="00000000">
            <w:pPr>
              <w:pStyle w:val="TableParagraph"/>
              <w:spacing w:before="1"/>
              <w:ind w:left="108"/>
              <w:rPr>
                <w:sz w:val="18"/>
              </w:rPr>
            </w:pPr>
            <w:r>
              <w:rPr>
                <w:spacing w:val="-5"/>
                <w:sz w:val="18"/>
              </w:rPr>
              <w:t>NTT</w:t>
            </w:r>
          </w:p>
        </w:tc>
      </w:tr>
      <w:tr w:rsidR="00BC24A8" w14:paraId="0D03C02F"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3E0920BA" w14:textId="77777777" w:rsidR="00BC24A8" w:rsidRDefault="00000000">
            <w:pPr>
              <w:pStyle w:val="TableParagraph"/>
              <w:spacing w:before="1"/>
              <w:ind w:right="96"/>
              <w:jc w:val="right"/>
              <w:rPr>
                <w:sz w:val="18"/>
              </w:rPr>
            </w:pPr>
            <w:r>
              <w:rPr>
                <w:spacing w:val="-5"/>
                <w:sz w:val="18"/>
              </w:rPr>
              <w:t>85</w:t>
            </w:r>
          </w:p>
        </w:tc>
        <w:tc>
          <w:tcPr>
            <w:tcW w:w="955" w:type="dxa"/>
            <w:tcBorders>
              <w:top w:val="single" w:sz="4" w:space="0" w:color="A6A6A6"/>
              <w:left w:val="single" w:sz="4" w:space="0" w:color="A6A6A6"/>
              <w:bottom w:val="single" w:sz="4" w:space="0" w:color="A6A6A6"/>
              <w:right w:val="single" w:sz="4" w:space="0" w:color="A6A6A6"/>
            </w:tcBorders>
          </w:tcPr>
          <w:p w14:paraId="7F394CAB"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543F38CD" w14:textId="77777777" w:rsidR="00BC24A8" w:rsidRDefault="00000000">
            <w:pPr>
              <w:pStyle w:val="TableParagraph"/>
              <w:spacing w:before="1"/>
              <w:ind w:left="105"/>
              <w:rPr>
                <w:sz w:val="18"/>
              </w:rPr>
            </w:pPr>
            <w:r>
              <w:rPr>
                <w:sz w:val="18"/>
              </w:rPr>
              <w:t>Urgency</w:t>
            </w:r>
            <w:r>
              <w:rPr>
                <w:spacing w:val="-3"/>
                <w:sz w:val="18"/>
              </w:rPr>
              <w:t xml:space="preserve"> </w:t>
            </w:r>
            <w:r>
              <w:rPr>
                <w:sz w:val="18"/>
              </w:rPr>
              <w:t>of</w:t>
            </w:r>
            <w:r>
              <w:rPr>
                <w:spacing w:val="-2"/>
                <w:sz w:val="18"/>
              </w:rPr>
              <w:t xml:space="preserve"> </w:t>
            </w:r>
            <w:r>
              <w:rPr>
                <w:sz w:val="18"/>
              </w:rPr>
              <w:t>RAD</w:t>
            </w:r>
            <w:r>
              <w:rPr>
                <w:spacing w:val="-1"/>
                <w:sz w:val="18"/>
              </w:rPr>
              <w:t xml:space="preserve"> </w:t>
            </w:r>
            <w:r>
              <w:rPr>
                <w:sz w:val="18"/>
              </w:rPr>
              <w:t>PUG</w:t>
            </w:r>
            <w:r>
              <w:rPr>
                <w:spacing w:val="-2"/>
                <w:sz w:val="18"/>
              </w:rPr>
              <w:t xml:space="preserve"> </w:t>
            </w:r>
            <w:r>
              <w:rPr>
                <w:sz w:val="18"/>
              </w:rPr>
              <w:t>in</w:t>
            </w:r>
            <w:r>
              <w:rPr>
                <w:spacing w:val="-1"/>
                <w:sz w:val="18"/>
              </w:rPr>
              <w:t xml:space="preserve"> </w:t>
            </w:r>
            <w:r>
              <w:rPr>
                <w:sz w:val="18"/>
              </w:rPr>
              <w:t>NTT</w:t>
            </w:r>
            <w:r>
              <w:rPr>
                <w:spacing w:val="-2"/>
                <w:sz w:val="18"/>
              </w:rPr>
              <w:t xml:space="preserve"> Province</w:t>
            </w:r>
          </w:p>
        </w:tc>
        <w:tc>
          <w:tcPr>
            <w:tcW w:w="1096" w:type="dxa"/>
            <w:tcBorders>
              <w:top w:val="single" w:sz="4" w:space="0" w:color="A6A6A6"/>
              <w:left w:val="single" w:sz="4" w:space="0" w:color="A6A6A6"/>
              <w:bottom w:val="single" w:sz="4" w:space="0" w:color="A6A6A6"/>
              <w:right w:val="single" w:sz="4" w:space="0" w:color="A6A6A6"/>
            </w:tcBorders>
          </w:tcPr>
          <w:p w14:paraId="1872F3E8" w14:textId="77777777" w:rsidR="00BC24A8" w:rsidRDefault="00000000">
            <w:pPr>
              <w:pStyle w:val="TableParagraph"/>
              <w:spacing w:before="1"/>
              <w:ind w:left="108"/>
              <w:rPr>
                <w:sz w:val="18"/>
              </w:rPr>
            </w:pPr>
            <w:r>
              <w:rPr>
                <w:spacing w:val="-5"/>
                <w:sz w:val="18"/>
              </w:rPr>
              <w:t>NTT</w:t>
            </w:r>
          </w:p>
        </w:tc>
      </w:tr>
      <w:tr w:rsidR="00BC24A8" w14:paraId="735CFDD3"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63F087B0" w14:textId="77777777" w:rsidR="00BC24A8" w:rsidRDefault="00000000">
            <w:pPr>
              <w:pStyle w:val="TableParagraph"/>
              <w:spacing w:before="1"/>
              <w:ind w:right="96"/>
              <w:jc w:val="right"/>
              <w:rPr>
                <w:sz w:val="18"/>
              </w:rPr>
            </w:pPr>
            <w:r>
              <w:rPr>
                <w:spacing w:val="-5"/>
                <w:sz w:val="18"/>
              </w:rPr>
              <w:t>86</w:t>
            </w:r>
          </w:p>
        </w:tc>
        <w:tc>
          <w:tcPr>
            <w:tcW w:w="955" w:type="dxa"/>
            <w:tcBorders>
              <w:top w:val="single" w:sz="4" w:space="0" w:color="A6A6A6"/>
              <w:left w:val="single" w:sz="4" w:space="0" w:color="A6A6A6"/>
              <w:bottom w:val="single" w:sz="4" w:space="0" w:color="A6A6A6"/>
              <w:right w:val="single" w:sz="4" w:space="0" w:color="A6A6A6"/>
            </w:tcBorders>
          </w:tcPr>
          <w:p w14:paraId="1D92691F"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14D7793F" w14:textId="77777777" w:rsidR="00BC24A8" w:rsidRDefault="00000000">
            <w:pPr>
              <w:pStyle w:val="TableParagraph"/>
              <w:spacing w:before="1"/>
              <w:ind w:left="105"/>
              <w:rPr>
                <w:sz w:val="18"/>
              </w:rPr>
            </w:pPr>
            <w:r>
              <w:rPr>
                <w:sz w:val="18"/>
              </w:rPr>
              <w:t>Optimization</w:t>
            </w:r>
            <w:r>
              <w:rPr>
                <w:spacing w:val="-6"/>
                <w:sz w:val="18"/>
              </w:rPr>
              <w:t xml:space="preserve"> </w:t>
            </w:r>
            <w:r>
              <w:rPr>
                <w:sz w:val="18"/>
              </w:rPr>
              <w:t>of</w:t>
            </w:r>
            <w:r>
              <w:rPr>
                <w:spacing w:val="-6"/>
                <w:sz w:val="18"/>
              </w:rPr>
              <w:t xml:space="preserve"> </w:t>
            </w:r>
            <w:r>
              <w:rPr>
                <w:sz w:val="18"/>
              </w:rPr>
              <w:t>Service</w:t>
            </w:r>
            <w:r>
              <w:rPr>
                <w:spacing w:val="-5"/>
                <w:sz w:val="18"/>
              </w:rPr>
              <w:t xml:space="preserve"> </w:t>
            </w:r>
            <w:r>
              <w:rPr>
                <w:sz w:val="18"/>
              </w:rPr>
              <w:t>Assets</w:t>
            </w:r>
            <w:r>
              <w:rPr>
                <w:spacing w:val="-5"/>
                <w:sz w:val="18"/>
              </w:rPr>
              <w:t xml:space="preserve"> </w:t>
            </w:r>
            <w:r>
              <w:rPr>
                <w:sz w:val="18"/>
              </w:rPr>
              <w:t>to</w:t>
            </w:r>
            <w:r>
              <w:rPr>
                <w:spacing w:val="-7"/>
                <w:sz w:val="18"/>
              </w:rPr>
              <w:t xml:space="preserve"> </w:t>
            </w:r>
            <w:r>
              <w:rPr>
                <w:sz w:val="18"/>
              </w:rPr>
              <w:t>Increase</w:t>
            </w:r>
            <w:r>
              <w:rPr>
                <w:spacing w:val="-5"/>
                <w:sz w:val="18"/>
              </w:rPr>
              <w:t xml:space="preserve"> </w:t>
            </w:r>
            <w:r>
              <w:rPr>
                <w:sz w:val="18"/>
              </w:rPr>
              <w:t>PAD</w:t>
            </w:r>
            <w:r>
              <w:rPr>
                <w:spacing w:val="-4"/>
                <w:sz w:val="18"/>
              </w:rPr>
              <w:t xml:space="preserve"> </w:t>
            </w:r>
            <w:r>
              <w:rPr>
                <w:sz w:val="18"/>
              </w:rPr>
              <w:t>in</w:t>
            </w:r>
            <w:r>
              <w:rPr>
                <w:spacing w:val="-5"/>
                <w:sz w:val="18"/>
              </w:rPr>
              <w:t xml:space="preserve"> NTT</w:t>
            </w:r>
          </w:p>
        </w:tc>
        <w:tc>
          <w:tcPr>
            <w:tcW w:w="1096" w:type="dxa"/>
            <w:tcBorders>
              <w:top w:val="single" w:sz="4" w:space="0" w:color="A6A6A6"/>
              <w:left w:val="single" w:sz="4" w:space="0" w:color="A6A6A6"/>
              <w:bottom w:val="single" w:sz="4" w:space="0" w:color="A6A6A6"/>
              <w:right w:val="single" w:sz="4" w:space="0" w:color="A6A6A6"/>
            </w:tcBorders>
          </w:tcPr>
          <w:p w14:paraId="29531518" w14:textId="77777777" w:rsidR="00BC24A8" w:rsidRDefault="00000000">
            <w:pPr>
              <w:pStyle w:val="TableParagraph"/>
              <w:spacing w:before="1"/>
              <w:ind w:left="108"/>
              <w:rPr>
                <w:sz w:val="18"/>
              </w:rPr>
            </w:pPr>
            <w:r>
              <w:rPr>
                <w:spacing w:val="-5"/>
                <w:sz w:val="18"/>
              </w:rPr>
              <w:t>NTT</w:t>
            </w:r>
          </w:p>
        </w:tc>
      </w:tr>
      <w:tr w:rsidR="00BC24A8" w14:paraId="1B3E4987" w14:textId="77777777">
        <w:trPr>
          <w:trHeight w:val="306"/>
        </w:trPr>
        <w:tc>
          <w:tcPr>
            <w:tcW w:w="552" w:type="dxa"/>
            <w:tcBorders>
              <w:top w:val="single" w:sz="4" w:space="0" w:color="A6A6A6"/>
              <w:left w:val="single" w:sz="4" w:space="0" w:color="A6A6A6"/>
              <w:bottom w:val="single" w:sz="4" w:space="0" w:color="A6A6A6"/>
              <w:right w:val="single" w:sz="4" w:space="0" w:color="A6A6A6"/>
            </w:tcBorders>
          </w:tcPr>
          <w:p w14:paraId="51828C20" w14:textId="77777777" w:rsidR="00BC24A8" w:rsidRDefault="00000000">
            <w:pPr>
              <w:pStyle w:val="TableParagraph"/>
              <w:spacing w:before="1"/>
              <w:ind w:right="96"/>
              <w:jc w:val="right"/>
              <w:rPr>
                <w:sz w:val="18"/>
              </w:rPr>
            </w:pPr>
            <w:r>
              <w:rPr>
                <w:spacing w:val="-5"/>
                <w:sz w:val="18"/>
              </w:rPr>
              <w:t>87</w:t>
            </w:r>
          </w:p>
        </w:tc>
        <w:tc>
          <w:tcPr>
            <w:tcW w:w="955" w:type="dxa"/>
            <w:tcBorders>
              <w:top w:val="single" w:sz="4" w:space="0" w:color="A6A6A6"/>
              <w:left w:val="single" w:sz="4" w:space="0" w:color="A6A6A6"/>
              <w:bottom w:val="single" w:sz="4" w:space="0" w:color="A6A6A6"/>
              <w:right w:val="single" w:sz="4" w:space="0" w:color="A6A6A6"/>
            </w:tcBorders>
          </w:tcPr>
          <w:p w14:paraId="184686DD"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64B07A97" w14:textId="77777777" w:rsidR="00BC24A8" w:rsidRDefault="00000000">
            <w:pPr>
              <w:pStyle w:val="TableParagraph"/>
              <w:spacing w:before="1"/>
              <w:ind w:left="105"/>
              <w:rPr>
                <w:sz w:val="18"/>
              </w:rPr>
            </w:pPr>
            <w:r>
              <w:rPr>
                <w:sz w:val="18"/>
              </w:rPr>
              <w:t>The</w:t>
            </w:r>
            <w:r>
              <w:rPr>
                <w:spacing w:val="-7"/>
                <w:sz w:val="18"/>
              </w:rPr>
              <w:t xml:space="preserve"> </w:t>
            </w:r>
            <w:r>
              <w:rPr>
                <w:sz w:val="18"/>
              </w:rPr>
              <w:t>Urgency</w:t>
            </w:r>
            <w:r>
              <w:rPr>
                <w:spacing w:val="-4"/>
                <w:sz w:val="18"/>
              </w:rPr>
              <w:t xml:space="preserve"> </w:t>
            </w:r>
            <w:r>
              <w:rPr>
                <w:sz w:val="18"/>
              </w:rPr>
              <w:t>of</w:t>
            </w:r>
            <w:r>
              <w:rPr>
                <w:spacing w:val="-5"/>
                <w:sz w:val="18"/>
              </w:rPr>
              <w:t xml:space="preserve"> </w:t>
            </w:r>
            <w:r>
              <w:rPr>
                <w:sz w:val="18"/>
              </w:rPr>
              <w:t>Establishing</w:t>
            </w:r>
            <w:r>
              <w:rPr>
                <w:spacing w:val="-5"/>
                <w:sz w:val="18"/>
              </w:rPr>
              <w:t xml:space="preserve"> </w:t>
            </w:r>
            <w:r>
              <w:rPr>
                <w:sz w:val="18"/>
              </w:rPr>
              <w:t>Integrated</w:t>
            </w:r>
            <w:r>
              <w:rPr>
                <w:spacing w:val="-4"/>
                <w:sz w:val="18"/>
              </w:rPr>
              <w:t xml:space="preserve"> </w:t>
            </w:r>
            <w:r>
              <w:rPr>
                <w:sz w:val="18"/>
              </w:rPr>
              <w:t>Services</w:t>
            </w:r>
            <w:r>
              <w:rPr>
                <w:spacing w:val="-7"/>
                <w:sz w:val="18"/>
              </w:rPr>
              <w:t xml:space="preserve"> </w:t>
            </w:r>
            <w:r>
              <w:rPr>
                <w:sz w:val="18"/>
              </w:rPr>
              <w:t>for</w:t>
            </w:r>
            <w:r>
              <w:rPr>
                <w:spacing w:val="-4"/>
                <w:sz w:val="18"/>
              </w:rPr>
              <w:t xml:space="preserve"> </w:t>
            </w:r>
            <w:r>
              <w:rPr>
                <w:sz w:val="18"/>
              </w:rPr>
              <w:t>Social</w:t>
            </w:r>
            <w:r>
              <w:rPr>
                <w:spacing w:val="-3"/>
                <w:sz w:val="18"/>
              </w:rPr>
              <w:t xml:space="preserve"> </w:t>
            </w:r>
            <w:r>
              <w:rPr>
                <w:sz w:val="18"/>
              </w:rPr>
              <w:t>Sector</w:t>
            </w:r>
            <w:r>
              <w:rPr>
                <w:spacing w:val="-4"/>
                <w:sz w:val="18"/>
              </w:rPr>
              <w:t xml:space="preserve"> </w:t>
            </w:r>
            <w:r>
              <w:rPr>
                <w:sz w:val="18"/>
              </w:rPr>
              <w:t>MSS</w:t>
            </w:r>
            <w:r>
              <w:rPr>
                <w:spacing w:val="-4"/>
                <w:sz w:val="18"/>
              </w:rPr>
              <w:t xml:space="preserve"> </w:t>
            </w:r>
            <w:r>
              <w:rPr>
                <w:sz w:val="18"/>
              </w:rPr>
              <w:t>in</w:t>
            </w:r>
            <w:r>
              <w:rPr>
                <w:spacing w:val="-4"/>
                <w:sz w:val="18"/>
              </w:rPr>
              <w:t xml:space="preserve"> </w:t>
            </w:r>
            <w:r>
              <w:rPr>
                <w:spacing w:val="-5"/>
                <w:sz w:val="18"/>
              </w:rPr>
              <w:t>NTT</w:t>
            </w:r>
          </w:p>
        </w:tc>
        <w:tc>
          <w:tcPr>
            <w:tcW w:w="1096" w:type="dxa"/>
            <w:tcBorders>
              <w:top w:val="single" w:sz="4" w:space="0" w:color="A6A6A6"/>
              <w:left w:val="single" w:sz="4" w:space="0" w:color="A6A6A6"/>
              <w:bottom w:val="single" w:sz="4" w:space="0" w:color="A6A6A6"/>
              <w:right w:val="single" w:sz="4" w:space="0" w:color="A6A6A6"/>
            </w:tcBorders>
          </w:tcPr>
          <w:p w14:paraId="615BD66F" w14:textId="77777777" w:rsidR="00BC24A8" w:rsidRDefault="00000000">
            <w:pPr>
              <w:pStyle w:val="TableParagraph"/>
              <w:spacing w:before="1"/>
              <w:ind w:left="108"/>
              <w:rPr>
                <w:sz w:val="18"/>
              </w:rPr>
            </w:pPr>
            <w:r>
              <w:rPr>
                <w:spacing w:val="-5"/>
                <w:sz w:val="18"/>
              </w:rPr>
              <w:t>NTT</w:t>
            </w:r>
          </w:p>
        </w:tc>
      </w:tr>
      <w:tr w:rsidR="00BC24A8" w14:paraId="751E39B4" w14:textId="77777777">
        <w:trPr>
          <w:trHeight w:val="244"/>
        </w:trPr>
        <w:tc>
          <w:tcPr>
            <w:tcW w:w="552" w:type="dxa"/>
            <w:tcBorders>
              <w:top w:val="single" w:sz="4" w:space="0" w:color="A6A6A6"/>
              <w:left w:val="single" w:sz="4" w:space="0" w:color="A6A6A6"/>
              <w:bottom w:val="single" w:sz="4" w:space="0" w:color="A6A6A6"/>
              <w:right w:val="single" w:sz="4" w:space="0" w:color="A6A6A6"/>
            </w:tcBorders>
          </w:tcPr>
          <w:p w14:paraId="3F97746B" w14:textId="77777777" w:rsidR="00BC24A8" w:rsidRDefault="00000000">
            <w:pPr>
              <w:pStyle w:val="TableParagraph"/>
              <w:spacing w:before="1"/>
              <w:ind w:right="96"/>
              <w:jc w:val="right"/>
              <w:rPr>
                <w:sz w:val="18"/>
              </w:rPr>
            </w:pPr>
            <w:r>
              <w:rPr>
                <w:spacing w:val="-5"/>
                <w:sz w:val="18"/>
              </w:rPr>
              <w:t>88</w:t>
            </w:r>
          </w:p>
        </w:tc>
        <w:tc>
          <w:tcPr>
            <w:tcW w:w="955" w:type="dxa"/>
            <w:tcBorders>
              <w:top w:val="single" w:sz="4" w:space="0" w:color="A6A6A6"/>
              <w:left w:val="single" w:sz="4" w:space="0" w:color="A6A6A6"/>
              <w:bottom w:val="single" w:sz="4" w:space="0" w:color="A6A6A6"/>
              <w:right w:val="single" w:sz="4" w:space="0" w:color="A6A6A6"/>
            </w:tcBorders>
          </w:tcPr>
          <w:p w14:paraId="305A0570"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088F67FE" w14:textId="77777777" w:rsidR="00BC24A8" w:rsidRDefault="00000000">
            <w:pPr>
              <w:pStyle w:val="TableParagraph"/>
              <w:spacing w:before="1"/>
              <w:ind w:left="105"/>
              <w:rPr>
                <w:sz w:val="18"/>
              </w:rPr>
            </w:pPr>
            <w:r>
              <w:rPr>
                <w:sz w:val="18"/>
              </w:rPr>
              <w:t>Empowerment</w:t>
            </w:r>
            <w:r>
              <w:rPr>
                <w:spacing w:val="-7"/>
                <w:sz w:val="18"/>
              </w:rPr>
              <w:t xml:space="preserve"> </w:t>
            </w:r>
            <w:r>
              <w:rPr>
                <w:sz w:val="18"/>
              </w:rPr>
              <w:t>of</w:t>
            </w:r>
            <w:r>
              <w:rPr>
                <w:spacing w:val="-9"/>
                <w:sz w:val="18"/>
              </w:rPr>
              <w:t xml:space="preserve"> </w:t>
            </w:r>
            <w:r>
              <w:rPr>
                <w:sz w:val="18"/>
              </w:rPr>
              <w:t>NTT</w:t>
            </w:r>
            <w:r>
              <w:rPr>
                <w:spacing w:val="-8"/>
                <w:sz w:val="18"/>
              </w:rPr>
              <w:t xml:space="preserve"> </w:t>
            </w:r>
            <w:r>
              <w:rPr>
                <w:sz w:val="18"/>
              </w:rPr>
              <w:t>Women</w:t>
            </w:r>
            <w:r>
              <w:rPr>
                <w:spacing w:val="-7"/>
                <w:sz w:val="18"/>
              </w:rPr>
              <w:t xml:space="preserve"> </w:t>
            </w:r>
            <w:r>
              <w:rPr>
                <w:sz w:val="18"/>
              </w:rPr>
              <w:t>Indonesian</w:t>
            </w:r>
            <w:r>
              <w:rPr>
                <w:spacing w:val="-8"/>
                <w:sz w:val="18"/>
              </w:rPr>
              <w:t xml:space="preserve"> </w:t>
            </w:r>
            <w:r>
              <w:rPr>
                <w:sz w:val="18"/>
              </w:rPr>
              <w:t>Migrant</w:t>
            </w:r>
            <w:r>
              <w:rPr>
                <w:spacing w:val="-7"/>
                <w:sz w:val="18"/>
              </w:rPr>
              <w:t xml:space="preserve"> </w:t>
            </w:r>
            <w:r>
              <w:rPr>
                <w:sz w:val="18"/>
              </w:rPr>
              <w:t>Workers</w:t>
            </w:r>
            <w:r>
              <w:rPr>
                <w:spacing w:val="-7"/>
                <w:sz w:val="18"/>
              </w:rPr>
              <w:t xml:space="preserve"> </w:t>
            </w:r>
            <w:r>
              <w:rPr>
                <w:sz w:val="18"/>
              </w:rPr>
              <w:t>After</w:t>
            </w:r>
            <w:r>
              <w:rPr>
                <w:spacing w:val="-8"/>
                <w:sz w:val="18"/>
              </w:rPr>
              <w:t xml:space="preserve"> </w:t>
            </w:r>
            <w:r>
              <w:rPr>
                <w:sz w:val="18"/>
              </w:rPr>
              <w:t>Working</w:t>
            </w:r>
            <w:r>
              <w:rPr>
                <w:spacing w:val="-8"/>
                <w:sz w:val="18"/>
              </w:rPr>
              <w:t xml:space="preserve"> </w:t>
            </w:r>
            <w:r>
              <w:rPr>
                <w:spacing w:val="-2"/>
                <w:sz w:val="18"/>
              </w:rPr>
              <w:t>Abroad</w:t>
            </w:r>
          </w:p>
        </w:tc>
        <w:tc>
          <w:tcPr>
            <w:tcW w:w="1096" w:type="dxa"/>
            <w:tcBorders>
              <w:top w:val="single" w:sz="4" w:space="0" w:color="A6A6A6"/>
              <w:left w:val="single" w:sz="4" w:space="0" w:color="A6A6A6"/>
              <w:bottom w:val="single" w:sz="4" w:space="0" w:color="A6A6A6"/>
              <w:right w:val="single" w:sz="4" w:space="0" w:color="A6A6A6"/>
            </w:tcBorders>
          </w:tcPr>
          <w:p w14:paraId="009527A3" w14:textId="77777777" w:rsidR="00BC24A8" w:rsidRDefault="00000000">
            <w:pPr>
              <w:pStyle w:val="TableParagraph"/>
              <w:spacing w:before="1"/>
              <w:ind w:left="108"/>
              <w:rPr>
                <w:sz w:val="18"/>
              </w:rPr>
            </w:pPr>
            <w:r>
              <w:rPr>
                <w:spacing w:val="-5"/>
                <w:sz w:val="18"/>
              </w:rPr>
              <w:t>NTT</w:t>
            </w:r>
          </w:p>
        </w:tc>
      </w:tr>
      <w:tr w:rsidR="00BC24A8" w14:paraId="0955898D"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2398B604" w14:textId="77777777" w:rsidR="00BC24A8" w:rsidRDefault="00000000">
            <w:pPr>
              <w:pStyle w:val="TableParagraph"/>
              <w:spacing w:line="219" w:lineRule="exact"/>
              <w:ind w:right="96"/>
              <w:jc w:val="right"/>
              <w:rPr>
                <w:sz w:val="18"/>
              </w:rPr>
            </w:pPr>
            <w:r>
              <w:rPr>
                <w:spacing w:val="-5"/>
                <w:sz w:val="18"/>
              </w:rPr>
              <w:t>89</w:t>
            </w:r>
          </w:p>
        </w:tc>
        <w:tc>
          <w:tcPr>
            <w:tcW w:w="955" w:type="dxa"/>
            <w:tcBorders>
              <w:top w:val="single" w:sz="4" w:space="0" w:color="A6A6A6"/>
              <w:left w:val="single" w:sz="4" w:space="0" w:color="A6A6A6"/>
              <w:bottom w:val="single" w:sz="4" w:space="0" w:color="A6A6A6"/>
              <w:right w:val="single" w:sz="4" w:space="0" w:color="A6A6A6"/>
            </w:tcBorders>
          </w:tcPr>
          <w:p w14:paraId="348B6DA1"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63F9797A" w14:textId="77777777" w:rsidR="00BC24A8" w:rsidRDefault="00000000">
            <w:pPr>
              <w:pStyle w:val="TableParagraph"/>
              <w:ind w:left="105"/>
              <w:rPr>
                <w:sz w:val="18"/>
              </w:rPr>
            </w:pPr>
            <w:r>
              <w:rPr>
                <w:sz w:val="18"/>
              </w:rPr>
              <w:t>The Urgency of Integrating Information Systems and Data on Young Entrepreneurs Receiving Capital Assistance</w:t>
            </w:r>
          </w:p>
        </w:tc>
        <w:tc>
          <w:tcPr>
            <w:tcW w:w="1096" w:type="dxa"/>
            <w:tcBorders>
              <w:top w:val="single" w:sz="4" w:space="0" w:color="A6A6A6"/>
              <w:left w:val="single" w:sz="4" w:space="0" w:color="A6A6A6"/>
              <w:bottom w:val="single" w:sz="4" w:space="0" w:color="A6A6A6"/>
              <w:right w:val="single" w:sz="4" w:space="0" w:color="A6A6A6"/>
            </w:tcBorders>
          </w:tcPr>
          <w:p w14:paraId="74B61BCD" w14:textId="77777777" w:rsidR="00BC24A8" w:rsidRDefault="00000000">
            <w:pPr>
              <w:pStyle w:val="TableParagraph"/>
              <w:spacing w:line="219" w:lineRule="exact"/>
              <w:ind w:left="108"/>
              <w:rPr>
                <w:sz w:val="18"/>
              </w:rPr>
            </w:pPr>
            <w:r>
              <w:rPr>
                <w:spacing w:val="-5"/>
                <w:sz w:val="18"/>
              </w:rPr>
              <w:t>NTT</w:t>
            </w:r>
          </w:p>
        </w:tc>
      </w:tr>
      <w:tr w:rsidR="00BC24A8" w14:paraId="07C024D4" w14:textId="77777777">
        <w:trPr>
          <w:trHeight w:val="256"/>
        </w:trPr>
        <w:tc>
          <w:tcPr>
            <w:tcW w:w="552" w:type="dxa"/>
            <w:tcBorders>
              <w:top w:val="single" w:sz="4" w:space="0" w:color="A6A6A6"/>
              <w:left w:val="single" w:sz="4" w:space="0" w:color="A6A6A6"/>
              <w:bottom w:val="single" w:sz="4" w:space="0" w:color="A6A6A6"/>
              <w:right w:val="single" w:sz="4" w:space="0" w:color="A6A6A6"/>
            </w:tcBorders>
          </w:tcPr>
          <w:p w14:paraId="318AA64A" w14:textId="77777777" w:rsidR="00BC24A8" w:rsidRDefault="00000000">
            <w:pPr>
              <w:pStyle w:val="TableParagraph"/>
              <w:spacing w:before="1"/>
              <w:ind w:right="96"/>
              <w:jc w:val="right"/>
              <w:rPr>
                <w:sz w:val="18"/>
              </w:rPr>
            </w:pPr>
            <w:r>
              <w:rPr>
                <w:spacing w:val="-5"/>
                <w:sz w:val="18"/>
              </w:rPr>
              <w:t>90</w:t>
            </w:r>
          </w:p>
        </w:tc>
        <w:tc>
          <w:tcPr>
            <w:tcW w:w="955" w:type="dxa"/>
            <w:tcBorders>
              <w:top w:val="single" w:sz="4" w:space="0" w:color="A6A6A6"/>
              <w:left w:val="single" w:sz="4" w:space="0" w:color="A6A6A6"/>
              <w:bottom w:val="single" w:sz="4" w:space="0" w:color="A6A6A6"/>
              <w:right w:val="single" w:sz="4" w:space="0" w:color="A6A6A6"/>
            </w:tcBorders>
          </w:tcPr>
          <w:p w14:paraId="2F1A23F9"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18E2DF0D" w14:textId="77777777" w:rsidR="00BC24A8" w:rsidRDefault="00000000">
            <w:pPr>
              <w:pStyle w:val="TableParagraph"/>
              <w:spacing w:before="1"/>
              <w:ind w:left="105"/>
              <w:rPr>
                <w:sz w:val="18"/>
              </w:rPr>
            </w:pPr>
            <w:r>
              <w:rPr>
                <w:sz w:val="18"/>
              </w:rPr>
              <w:t>Community</w:t>
            </w:r>
            <w:r>
              <w:rPr>
                <w:spacing w:val="-8"/>
                <w:sz w:val="18"/>
              </w:rPr>
              <w:t xml:space="preserve"> </w:t>
            </w:r>
            <w:r>
              <w:rPr>
                <w:sz w:val="18"/>
              </w:rPr>
              <w:t>Empowerment</w:t>
            </w:r>
            <w:r>
              <w:rPr>
                <w:spacing w:val="-4"/>
                <w:sz w:val="18"/>
              </w:rPr>
              <w:t xml:space="preserve"> </w:t>
            </w:r>
            <w:r>
              <w:rPr>
                <w:sz w:val="18"/>
              </w:rPr>
              <w:t>Strategy</w:t>
            </w:r>
            <w:r>
              <w:rPr>
                <w:spacing w:val="-5"/>
                <w:sz w:val="18"/>
              </w:rPr>
              <w:t xml:space="preserve"> </w:t>
            </w:r>
            <w:r>
              <w:rPr>
                <w:sz w:val="18"/>
              </w:rPr>
              <w:t>Through</w:t>
            </w:r>
            <w:r>
              <w:rPr>
                <w:spacing w:val="-5"/>
                <w:sz w:val="18"/>
              </w:rPr>
              <w:t xml:space="preserve"> </w:t>
            </w:r>
            <w:r>
              <w:rPr>
                <w:sz w:val="18"/>
              </w:rPr>
              <w:t>One</w:t>
            </w:r>
            <w:r>
              <w:rPr>
                <w:spacing w:val="-6"/>
                <w:sz w:val="18"/>
              </w:rPr>
              <w:t xml:space="preserve"> </w:t>
            </w:r>
            <w:r>
              <w:rPr>
                <w:sz w:val="18"/>
              </w:rPr>
              <w:t>Product</w:t>
            </w:r>
            <w:r>
              <w:rPr>
                <w:spacing w:val="-4"/>
                <w:sz w:val="18"/>
              </w:rPr>
              <w:t xml:space="preserve"> </w:t>
            </w:r>
            <w:r>
              <w:rPr>
                <w:sz w:val="18"/>
              </w:rPr>
              <w:t>One</w:t>
            </w:r>
            <w:r>
              <w:rPr>
                <w:spacing w:val="-5"/>
                <w:sz w:val="18"/>
              </w:rPr>
              <w:t xml:space="preserve"> </w:t>
            </w:r>
            <w:r>
              <w:rPr>
                <w:sz w:val="18"/>
              </w:rPr>
              <w:t>Village</w:t>
            </w:r>
            <w:r>
              <w:rPr>
                <w:spacing w:val="-5"/>
                <w:sz w:val="18"/>
              </w:rPr>
              <w:t xml:space="preserve"> </w:t>
            </w:r>
            <w:r>
              <w:rPr>
                <w:spacing w:val="-2"/>
                <w:sz w:val="18"/>
              </w:rPr>
              <w:t>(OVOP)</w:t>
            </w:r>
          </w:p>
        </w:tc>
        <w:tc>
          <w:tcPr>
            <w:tcW w:w="1096" w:type="dxa"/>
            <w:tcBorders>
              <w:top w:val="single" w:sz="4" w:space="0" w:color="A6A6A6"/>
              <w:left w:val="single" w:sz="4" w:space="0" w:color="A6A6A6"/>
              <w:bottom w:val="single" w:sz="4" w:space="0" w:color="A6A6A6"/>
              <w:right w:val="single" w:sz="4" w:space="0" w:color="A6A6A6"/>
            </w:tcBorders>
          </w:tcPr>
          <w:p w14:paraId="5293B629" w14:textId="77777777" w:rsidR="00BC24A8" w:rsidRDefault="00000000">
            <w:pPr>
              <w:pStyle w:val="TableParagraph"/>
              <w:spacing w:before="1"/>
              <w:ind w:left="108"/>
              <w:rPr>
                <w:sz w:val="18"/>
              </w:rPr>
            </w:pPr>
            <w:r>
              <w:rPr>
                <w:spacing w:val="-5"/>
                <w:sz w:val="18"/>
              </w:rPr>
              <w:t>NTT</w:t>
            </w:r>
          </w:p>
        </w:tc>
      </w:tr>
      <w:tr w:rsidR="00BC24A8" w14:paraId="5C8342D6"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71519C00" w14:textId="77777777" w:rsidR="00BC24A8" w:rsidRDefault="00000000">
            <w:pPr>
              <w:pStyle w:val="TableParagraph"/>
              <w:spacing w:before="1"/>
              <w:ind w:right="96"/>
              <w:jc w:val="right"/>
              <w:rPr>
                <w:sz w:val="18"/>
              </w:rPr>
            </w:pPr>
            <w:r>
              <w:rPr>
                <w:spacing w:val="-5"/>
                <w:sz w:val="18"/>
              </w:rPr>
              <w:t>91</w:t>
            </w:r>
          </w:p>
        </w:tc>
        <w:tc>
          <w:tcPr>
            <w:tcW w:w="955" w:type="dxa"/>
            <w:tcBorders>
              <w:top w:val="single" w:sz="4" w:space="0" w:color="A6A6A6"/>
              <w:left w:val="single" w:sz="4" w:space="0" w:color="A6A6A6"/>
              <w:bottom w:val="single" w:sz="4" w:space="0" w:color="A6A6A6"/>
              <w:right w:val="single" w:sz="4" w:space="0" w:color="A6A6A6"/>
            </w:tcBorders>
          </w:tcPr>
          <w:p w14:paraId="62DA94AC"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7686813E" w14:textId="77777777" w:rsidR="00BC24A8" w:rsidRDefault="00000000">
            <w:pPr>
              <w:pStyle w:val="TableParagraph"/>
              <w:spacing w:before="1"/>
              <w:ind w:left="105"/>
              <w:rPr>
                <w:sz w:val="18"/>
              </w:rPr>
            </w:pPr>
            <w:r>
              <w:rPr>
                <w:sz w:val="18"/>
              </w:rPr>
              <w:t>Protecting</w:t>
            </w:r>
            <w:r>
              <w:rPr>
                <w:spacing w:val="-7"/>
                <w:sz w:val="18"/>
              </w:rPr>
              <w:t xml:space="preserve"> </w:t>
            </w:r>
            <w:r>
              <w:rPr>
                <w:sz w:val="18"/>
              </w:rPr>
              <w:t>Vulnerable</w:t>
            </w:r>
            <w:r>
              <w:rPr>
                <w:spacing w:val="-6"/>
                <w:sz w:val="18"/>
              </w:rPr>
              <w:t xml:space="preserve"> </w:t>
            </w:r>
            <w:r>
              <w:rPr>
                <w:sz w:val="18"/>
              </w:rPr>
              <w:t>Groups</w:t>
            </w:r>
            <w:r>
              <w:rPr>
                <w:spacing w:val="-5"/>
                <w:sz w:val="18"/>
              </w:rPr>
              <w:t xml:space="preserve"> </w:t>
            </w:r>
            <w:r>
              <w:rPr>
                <w:sz w:val="18"/>
              </w:rPr>
              <w:t>from</w:t>
            </w:r>
            <w:r>
              <w:rPr>
                <w:spacing w:val="-7"/>
                <w:sz w:val="18"/>
              </w:rPr>
              <w:t xml:space="preserve"> </w:t>
            </w:r>
            <w:r>
              <w:rPr>
                <w:sz w:val="18"/>
              </w:rPr>
              <w:t>Sexual</w:t>
            </w:r>
            <w:r>
              <w:rPr>
                <w:spacing w:val="-5"/>
                <w:sz w:val="18"/>
              </w:rPr>
              <w:t xml:space="preserve"> </w:t>
            </w:r>
            <w:r>
              <w:rPr>
                <w:sz w:val="18"/>
              </w:rPr>
              <w:t>Violence</w:t>
            </w:r>
            <w:r>
              <w:rPr>
                <w:spacing w:val="-6"/>
                <w:sz w:val="18"/>
              </w:rPr>
              <w:t xml:space="preserve"> </w:t>
            </w:r>
            <w:r>
              <w:rPr>
                <w:sz w:val="18"/>
              </w:rPr>
              <w:t>in</w:t>
            </w:r>
            <w:r>
              <w:rPr>
                <w:spacing w:val="-8"/>
                <w:sz w:val="18"/>
              </w:rPr>
              <w:t xml:space="preserve"> </w:t>
            </w:r>
            <w:r>
              <w:rPr>
                <w:sz w:val="18"/>
              </w:rPr>
              <w:t>Disaster</w:t>
            </w:r>
            <w:r>
              <w:rPr>
                <w:spacing w:val="-5"/>
                <w:sz w:val="18"/>
              </w:rPr>
              <w:t xml:space="preserve"> </w:t>
            </w:r>
            <w:r>
              <w:rPr>
                <w:spacing w:val="-2"/>
                <w:sz w:val="18"/>
              </w:rPr>
              <w:t>Situations</w:t>
            </w:r>
          </w:p>
        </w:tc>
        <w:tc>
          <w:tcPr>
            <w:tcW w:w="1096" w:type="dxa"/>
            <w:tcBorders>
              <w:top w:val="single" w:sz="4" w:space="0" w:color="A6A6A6"/>
              <w:left w:val="single" w:sz="4" w:space="0" w:color="A6A6A6"/>
              <w:bottom w:val="single" w:sz="4" w:space="0" w:color="A6A6A6"/>
              <w:right w:val="single" w:sz="4" w:space="0" w:color="A6A6A6"/>
            </w:tcBorders>
          </w:tcPr>
          <w:p w14:paraId="211923E8" w14:textId="77777777" w:rsidR="00BC24A8" w:rsidRDefault="00000000">
            <w:pPr>
              <w:pStyle w:val="TableParagraph"/>
              <w:spacing w:before="1"/>
              <w:ind w:left="108"/>
              <w:rPr>
                <w:sz w:val="18"/>
              </w:rPr>
            </w:pPr>
            <w:r>
              <w:rPr>
                <w:spacing w:val="-5"/>
                <w:sz w:val="18"/>
              </w:rPr>
              <w:t>NTT</w:t>
            </w:r>
          </w:p>
        </w:tc>
      </w:tr>
      <w:tr w:rsidR="00BC24A8" w14:paraId="2E0EC189" w14:textId="77777777">
        <w:trPr>
          <w:trHeight w:val="265"/>
        </w:trPr>
        <w:tc>
          <w:tcPr>
            <w:tcW w:w="552" w:type="dxa"/>
            <w:tcBorders>
              <w:top w:val="single" w:sz="4" w:space="0" w:color="A6A6A6"/>
              <w:left w:val="single" w:sz="4" w:space="0" w:color="A6A6A6"/>
              <w:bottom w:val="single" w:sz="4" w:space="0" w:color="A6A6A6"/>
              <w:right w:val="single" w:sz="4" w:space="0" w:color="A6A6A6"/>
            </w:tcBorders>
          </w:tcPr>
          <w:p w14:paraId="32A7F77D" w14:textId="77777777" w:rsidR="00BC24A8" w:rsidRDefault="00000000">
            <w:pPr>
              <w:pStyle w:val="TableParagraph"/>
              <w:spacing w:before="1"/>
              <w:ind w:right="96"/>
              <w:jc w:val="right"/>
              <w:rPr>
                <w:sz w:val="18"/>
              </w:rPr>
            </w:pPr>
            <w:r>
              <w:rPr>
                <w:spacing w:val="-5"/>
                <w:sz w:val="18"/>
              </w:rPr>
              <w:t>92</w:t>
            </w:r>
          </w:p>
        </w:tc>
        <w:tc>
          <w:tcPr>
            <w:tcW w:w="955" w:type="dxa"/>
            <w:tcBorders>
              <w:top w:val="single" w:sz="4" w:space="0" w:color="A6A6A6"/>
              <w:left w:val="single" w:sz="4" w:space="0" w:color="A6A6A6"/>
              <w:bottom w:val="single" w:sz="4" w:space="0" w:color="A6A6A6"/>
              <w:right w:val="single" w:sz="4" w:space="0" w:color="A6A6A6"/>
            </w:tcBorders>
          </w:tcPr>
          <w:p w14:paraId="70CE57E4"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370EABBB" w14:textId="77777777" w:rsidR="00BC24A8" w:rsidRDefault="00000000">
            <w:pPr>
              <w:pStyle w:val="TableParagraph"/>
              <w:spacing w:before="1"/>
              <w:ind w:left="105"/>
              <w:rPr>
                <w:sz w:val="18"/>
              </w:rPr>
            </w:pPr>
            <w:r>
              <w:rPr>
                <w:sz w:val="18"/>
              </w:rPr>
              <w:t>Strategies</w:t>
            </w:r>
            <w:r>
              <w:rPr>
                <w:spacing w:val="-6"/>
                <w:sz w:val="18"/>
              </w:rPr>
              <w:t xml:space="preserve"> </w:t>
            </w:r>
            <w:r>
              <w:rPr>
                <w:sz w:val="18"/>
              </w:rPr>
              <w:t>for</w:t>
            </w:r>
            <w:r>
              <w:rPr>
                <w:spacing w:val="-6"/>
                <w:sz w:val="18"/>
              </w:rPr>
              <w:t xml:space="preserve"> </w:t>
            </w:r>
            <w:r>
              <w:rPr>
                <w:sz w:val="18"/>
              </w:rPr>
              <w:t>Strengthening</w:t>
            </w:r>
            <w:r>
              <w:rPr>
                <w:spacing w:val="-6"/>
                <w:sz w:val="18"/>
              </w:rPr>
              <w:t xml:space="preserve"> </w:t>
            </w:r>
            <w:r>
              <w:rPr>
                <w:sz w:val="18"/>
              </w:rPr>
              <w:t>the</w:t>
            </w:r>
            <w:r>
              <w:rPr>
                <w:spacing w:val="-8"/>
                <w:sz w:val="18"/>
              </w:rPr>
              <w:t xml:space="preserve"> </w:t>
            </w:r>
            <w:r>
              <w:rPr>
                <w:sz w:val="18"/>
              </w:rPr>
              <w:t>MSS</w:t>
            </w:r>
            <w:r>
              <w:rPr>
                <w:spacing w:val="-6"/>
                <w:sz w:val="18"/>
              </w:rPr>
              <w:t xml:space="preserve"> </w:t>
            </w:r>
            <w:r>
              <w:rPr>
                <w:sz w:val="18"/>
              </w:rPr>
              <w:t>Achievement</w:t>
            </w:r>
            <w:r>
              <w:rPr>
                <w:spacing w:val="-5"/>
                <w:sz w:val="18"/>
              </w:rPr>
              <w:t xml:space="preserve"> </w:t>
            </w:r>
            <w:r>
              <w:rPr>
                <w:sz w:val="18"/>
              </w:rPr>
              <w:t>Index</w:t>
            </w:r>
            <w:r>
              <w:rPr>
                <w:spacing w:val="-6"/>
                <w:sz w:val="18"/>
              </w:rPr>
              <w:t xml:space="preserve"> </w:t>
            </w:r>
            <w:r>
              <w:rPr>
                <w:sz w:val="18"/>
              </w:rPr>
              <w:t>for</w:t>
            </w:r>
            <w:r>
              <w:rPr>
                <w:spacing w:val="-6"/>
                <w:sz w:val="18"/>
              </w:rPr>
              <w:t xml:space="preserve"> </w:t>
            </w:r>
            <w:r>
              <w:rPr>
                <w:sz w:val="18"/>
              </w:rPr>
              <w:t>Outbreak</w:t>
            </w:r>
            <w:r>
              <w:rPr>
                <w:spacing w:val="-5"/>
                <w:sz w:val="18"/>
              </w:rPr>
              <w:t xml:space="preserve"> </w:t>
            </w:r>
            <w:r>
              <w:rPr>
                <w:sz w:val="18"/>
              </w:rPr>
              <w:t>Sub-Office</w:t>
            </w:r>
            <w:r>
              <w:rPr>
                <w:spacing w:val="-6"/>
                <w:sz w:val="18"/>
              </w:rPr>
              <w:t xml:space="preserve"> </w:t>
            </w:r>
            <w:r>
              <w:rPr>
                <w:sz w:val="18"/>
              </w:rPr>
              <w:t>in</w:t>
            </w:r>
            <w:r>
              <w:rPr>
                <w:spacing w:val="-5"/>
                <w:sz w:val="18"/>
              </w:rPr>
              <w:t xml:space="preserve"> NTT</w:t>
            </w:r>
          </w:p>
        </w:tc>
        <w:tc>
          <w:tcPr>
            <w:tcW w:w="1096" w:type="dxa"/>
            <w:tcBorders>
              <w:top w:val="single" w:sz="4" w:space="0" w:color="A6A6A6"/>
              <w:left w:val="single" w:sz="4" w:space="0" w:color="A6A6A6"/>
              <w:bottom w:val="single" w:sz="4" w:space="0" w:color="A6A6A6"/>
              <w:right w:val="single" w:sz="4" w:space="0" w:color="A6A6A6"/>
            </w:tcBorders>
          </w:tcPr>
          <w:p w14:paraId="48DEFFF9" w14:textId="77777777" w:rsidR="00BC24A8" w:rsidRDefault="00000000">
            <w:pPr>
              <w:pStyle w:val="TableParagraph"/>
              <w:spacing w:before="1"/>
              <w:ind w:left="108"/>
              <w:rPr>
                <w:sz w:val="18"/>
              </w:rPr>
            </w:pPr>
            <w:r>
              <w:rPr>
                <w:spacing w:val="-5"/>
                <w:sz w:val="18"/>
              </w:rPr>
              <w:t>NTT</w:t>
            </w:r>
          </w:p>
        </w:tc>
      </w:tr>
      <w:tr w:rsidR="00BC24A8" w14:paraId="4EC7ABEC" w14:textId="77777777">
        <w:trPr>
          <w:trHeight w:val="256"/>
        </w:trPr>
        <w:tc>
          <w:tcPr>
            <w:tcW w:w="552" w:type="dxa"/>
            <w:tcBorders>
              <w:top w:val="single" w:sz="4" w:space="0" w:color="A6A6A6"/>
              <w:left w:val="single" w:sz="4" w:space="0" w:color="A6A6A6"/>
              <w:bottom w:val="single" w:sz="4" w:space="0" w:color="A6A6A6"/>
              <w:right w:val="single" w:sz="4" w:space="0" w:color="A6A6A6"/>
            </w:tcBorders>
          </w:tcPr>
          <w:p w14:paraId="07236297" w14:textId="77777777" w:rsidR="00BC24A8" w:rsidRDefault="00000000">
            <w:pPr>
              <w:pStyle w:val="TableParagraph"/>
              <w:spacing w:line="219" w:lineRule="exact"/>
              <w:ind w:right="96"/>
              <w:jc w:val="right"/>
              <w:rPr>
                <w:sz w:val="18"/>
              </w:rPr>
            </w:pPr>
            <w:r>
              <w:rPr>
                <w:spacing w:val="-5"/>
                <w:sz w:val="18"/>
              </w:rPr>
              <w:t>93</w:t>
            </w:r>
          </w:p>
        </w:tc>
        <w:tc>
          <w:tcPr>
            <w:tcW w:w="955" w:type="dxa"/>
            <w:tcBorders>
              <w:top w:val="single" w:sz="4" w:space="0" w:color="A6A6A6"/>
              <w:left w:val="single" w:sz="4" w:space="0" w:color="A6A6A6"/>
              <w:bottom w:val="single" w:sz="4" w:space="0" w:color="A6A6A6"/>
              <w:right w:val="single" w:sz="4" w:space="0" w:color="A6A6A6"/>
            </w:tcBorders>
          </w:tcPr>
          <w:p w14:paraId="7389E8B5"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0CB16E41" w14:textId="77777777" w:rsidR="00BC24A8" w:rsidRDefault="00000000">
            <w:pPr>
              <w:pStyle w:val="TableParagraph"/>
              <w:spacing w:line="219" w:lineRule="exact"/>
              <w:ind w:left="105"/>
              <w:rPr>
                <w:sz w:val="18"/>
              </w:rPr>
            </w:pPr>
            <w:r>
              <w:rPr>
                <w:sz w:val="18"/>
              </w:rPr>
              <w:t>Strengthening</w:t>
            </w:r>
            <w:r>
              <w:rPr>
                <w:spacing w:val="-7"/>
                <w:sz w:val="18"/>
              </w:rPr>
              <w:t xml:space="preserve"> </w:t>
            </w:r>
            <w:r>
              <w:rPr>
                <w:sz w:val="18"/>
              </w:rPr>
              <w:t>the</w:t>
            </w:r>
            <w:r>
              <w:rPr>
                <w:spacing w:val="-5"/>
                <w:sz w:val="18"/>
              </w:rPr>
              <w:t xml:space="preserve"> </w:t>
            </w:r>
            <w:r>
              <w:rPr>
                <w:sz w:val="18"/>
              </w:rPr>
              <w:t>Participation</w:t>
            </w:r>
            <w:r>
              <w:rPr>
                <w:spacing w:val="-6"/>
                <w:sz w:val="18"/>
              </w:rPr>
              <w:t xml:space="preserve"> </w:t>
            </w:r>
            <w:r>
              <w:rPr>
                <w:sz w:val="18"/>
              </w:rPr>
              <w:t>of</w:t>
            </w:r>
            <w:r>
              <w:rPr>
                <w:spacing w:val="-9"/>
                <w:sz w:val="18"/>
              </w:rPr>
              <w:t xml:space="preserve"> </w:t>
            </w:r>
            <w:r>
              <w:rPr>
                <w:sz w:val="18"/>
              </w:rPr>
              <w:t>Persons</w:t>
            </w:r>
            <w:r>
              <w:rPr>
                <w:spacing w:val="-5"/>
                <w:sz w:val="18"/>
              </w:rPr>
              <w:t xml:space="preserve"> </w:t>
            </w:r>
            <w:r>
              <w:rPr>
                <w:sz w:val="18"/>
              </w:rPr>
              <w:t>with</w:t>
            </w:r>
            <w:r>
              <w:rPr>
                <w:spacing w:val="-6"/>
                <w:sz w:val="18"/>
              </w:rPr>
              <w:t xml:space="preserve"> </w:t>
            </w:r>
            <w:r>
              <w:rPr>
                <w:sz w:val="18"/>
              </w:rPr>
              <w:t>Disabilities</w:t>
            </w:r>
            <w:r>
              <w:rPr>
                <w:spacing w:val="-5"/>
                <w:sz w:val="18"/>
              </w:rPr>
              <w:t xml:space="preserve"> </w:t>
            </w:r>
            <w:r>
              <w:rPr>
                <w:sz w:val="18"/>
              </w:rPr>
              <w:t>in</w:t>
            </w:r>
            <w:r>
              <w:rPr>
                <w:spacing w:val="-6"/>
                <w:sz w:val="18"/>
              </w:rPr>
              <w:t xml:space="preserve"> </w:t>
            </w:r>
            <w:r>
              <w:rPr>
                <w:sz w:val="18"/>
              </w:rPr>
              <w:t>Regional</w:t>
            </w:r>
            <w:r>
              <w:rPr>
                <w:spacing w:val="-4"/>
                <w:sz w:val="18"/>
              </w:rPr>
              <w:t xml:space="preserve"> </w:t>
            </w:r>
            <w:r>
              <w:rPr>
                <w:spacing w:val="-2"/>
                <w:sz w:val="18"/>
              </w:rPr>
              <w:t>Musrenbang</w:t>
            </w:r>
          </w:p>
        </w:tc>
        <w:tc>
          <w:tcPr>
            <w:tcW w:w="1096" w:type="dxa"/>
            <w:tcBorders>
              <w:top w:val="single" w:sz="4" w:space="0" w:color="A6A6A6"/>
              <w:left w:val="single" w:sz="4" w:space="0" w:color="A6A6A6"/>
              <w:bottom w:val="single" w:sz="4" w:space="0" w:color="A6A6A6"/>
              <w:right w:val="single" w:sz="4" w:space="0" w:color="A6A6A6"/>
            </w:tcBorders>
          </w:tcPr>
          <w:p w14:paraId="0DDF68E4" w14:textId="77777777" w:rsidR="00BC24A8" w:rsidRDefault="00000000">
            <w:pPr>
              <w:pStyle w:val="TableParagraph"/>
              <w:spacing w:line="219" w:lineRule="exact"/>
              <w:ind w:left="108"/>
              <w:rPr>
                <w:sz w:val="18"/>
              </w:rPr>
            </w:pPr>
            <w:r>
              <w:rPr>
                <w:spacing w:val="-5"/>
                <w:sz w:val="18"/>
              </w:rPr>
              <w:t>NTT</w:t>
            </w:r>
          </w:p>
        </w:tc>
      </w:tr>
      <w:tr w:rsidR="00BC24A8" w14:paraId="774EAD11"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5D1B664F" w14:textId="77777777" w:rsidR="00BC24A8" w:rsidRDefault="00000000">
            <w:pPr>
              <w:pStyle w:val="TableParagraph"/>
              <w:spacing w:before="1"/>
              <w:ind w:right="96"/>
              <w:jc w:val="right"/>
              <w:rPr>
                <w:sz w:val="18"/>
              </w:rPr>
            </w:pPr>
            <w:r>
              <w:rPr>
                <w:spacing w:val="-5"/>
                <w:sz w:val="18"/>
              </w:rPr>
              <w:t>94</w:t>
            </w:r>
          </w:p>
        </w:tc>
        <w:tc>
          <w:tcPr>
            <w:tcW w:w="955" w:type="dxa"/>
            <w:tcBorders>
              <w:top w:val="single" w:sz="4" w:space="0" w:color="A6A6A6"/>
              <w:left w:val="single" w:sz="4" w:space="0" w:color="A6A6A6"/>
              <w:bottom w:val="single" w:sz="4" w:space="0" w:color="A6A6A6"/>
              <w:right w:val="single" w:sz="4" w:space="0" w:color="A6A6A6"/>
            </w:tcBorders>
          </w:tcPr>
          <w:p w14:paraId="7F30BBEA"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0BA5EA56" w14:textId="77777777" w:rsidR="00BC24A8" w:rsidRDefault="00000000">
            <w:pPr>
              <w:pStyle w:val="TableParagraph"/>
              <w:spacing w:before="1"/>
              <w:ind w:left="105"/>
              <w:rPr>
                <w:sz w:val="18"/>
              </w:rPr>
            </w:pPr>
            <w:r>
              <w:rPr>
                <w:sz w:val="18"/>
              </w:rPr>
              <w:t>Optimizing</w:t>
            </w:r>
            <w:r>
              <w:rPr>
                <w:spacing w:val="-7"/>
                <w:sz w:val="18"/>
              </w:rPr>
              <w:t xml:space="preserve"> </w:t>
            </w:r>
            <w:r>
              <w:rPr>
                <w:sz w:val="18"/>
              </w:rPr>
              <w:t>the</w:t>
            </w:r>
            <w:r>
              <w:rPr>
                <w:spacing w:val="-6"/>
                <w:sz w:val="18"/>
              </w:rPr>
              <w:t xml:space="preserve"> </w:t>
            </w:r>
            <w:r>
              <w:rPr>
                <w:sz w:val="18"/>
              </w:rPr>
              <w:t>Preparation</w:t>
            </w:r>
            <w:r>
              <w:rPr>
                <w:spacing w:val="-5"/>
                <w:sz w:val="18"/>
              </w:rPr>
              <w:t xml:space="preserve"> </w:t>
            </w:r>
            <w:r>
              <w:rPr>
                <w:sz w:val="18"/>
              </w:rPr>
              <w:t>of</w:t>
            </w:r>
            <w:r>
              <w:rPr>
                <w:spacing w:val="-7"/>
                <w:sz w:val="18"/>
              </w:rPr>
              <w:t xml:space="preserve"> </w:t>
            </w:r>
            <w:r>
              <w:rPr>
                <w:sz w:val="18"/>
              </w:rPr>
              <w:t>Planning</w:t>
            </w:r>
            <w:r>
              <w:rPr>
                <w:spacing w:val="-6"/>
                <w:sz w:val="18"/>
              </w:rPr>
              <w:t xml:space="preserve"> </w:t>
            </w:r>
            <w:r>
              <w:rPr>
                <w:sz w:val="18"/>
              </w:rPr>
              <w:t>Documents</w:t>
            </w:r>
            <w:r>
              <w:rPr>
                <w:spacing w:val="-6"/>
                <w:sz w:val="18"/>
              </w:rPr>
              <w:t xml:space="preserve"> </w:t>
            </w:r>
            <w:r>
              <w:rPr>
                <w:sz w:val="18"/>
              </w:rPr>
              <w:t>through</w:t>
            </w:r>
            <w:r>
              <w:rPr>
                <w:spacing w:val="-5"/>
                <w:sz w:val="18"/>
              </w:rPr>
              <w:t xml:space="preserve"> </w:t>
            </w:r>
            <w:r>
              <w:rPr>
                <w:sz w:val="18"/>
              </w:rPr>
              <w:t>SIPD-</w:t>
            </w:r>
            <w:r>
              <w:rPr>
                <w:spacing w:val="-5"/>
                <w:sz w:val="18"/>
              </w:rPr>
              <w:t>RI</w:t>
            </w:r>
          </w:p>
        </w:tc>
        <w:tc>
          <w:tcPr>
            <w:tcW w:w="1096" w:type="dxa"/>
            <w:tcBorders>
              <w:top w:val="single" w:sz="4" w:space="0" w:color="A6A6A6"/>
              <w:left w:val="single" w:sz="4" w:space="0" w:color="A6A6A6"/>
              <w:bottom w:val="single" w:sz="4" w:space="0" w:color="A6A6A6"/>
              <w:right w:val="single" w:sz="4" w:space="0" w:color="A6A6A6"/>
            </w:tcBorders>
          </w:tcPr>
          <w:p w14:paraId="771B8F20" w14:textId="77777777" w:rsidR="00BC24A8" w:rsidRDefault="00000000">
            <w:pPr>
              <w:pStyle w:val="TableParagraph"/>
              <w:spacing w:before="1"/>
              <w:ind w:left="108"/>
              <w:rPr>
                <w:sz w:val="18"/>
              </w:rPr>
            </w:pPr>
            <w:r>
              <w:rPr>
                <w:spacing w:val="-5"/>
                <w:sz w:val="18"/>
              </w:rPr>
              <w:t>NTT</w:t>
            </w:r>
          </w:p>
        </w:tc>
      </w:tr>
      <w:tr w:rsidR="00BC24A8" w14:paraId="37605D63"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20525B7D" w14:textId="77777777" w:rsidR="00BC24A8" w:rsidRDefault="00000000">
            <w:pPr>
              <w:pStyle w:val="TableParagraph"/>
              <w:spacing w:before="1"/>
              <w:ind w:right="96"/>
              <w:jc w:val="right"/>
              <w:rPr>
                <w:sz w:val="18"/>
              </w:rPr>
            </w:pPr>
            <w:r>
              <w:rPr>
                <w:spacing w:val="-5"/>
                <w:sz w:val="18"/>
              </w:rPr>
              <w:t>95</w:t>
            </w:r>
          </w:p>
        </w:tc>
        <w:tc>
          <w:tcPr>
            <w:tcW w:w="955" w:type="dxa"/>
            <w:tcBorders>
              <w:top w:val="single" w:sz="4" w:space="0" w:color="A6A6A6"/>
              <w:left w:val="single" w:sz="4" w:space="0" w:color="A6A6A6"/>
              <w:bottom w:val="single" w:sz="4" w:space="0" w:color="A6A6A6"/>
              <w:right w:val="single" w:sz="4" w:space="0" w:color="A6A6A6"/>
            </w:tcBorders>
          </w:tcPr>
          <w:p w14:paraId="128C9D0F"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37720957" w14:textId="77777777" w:rsidR="00BC24A8" w:rsidRDefault="00000000">
            <w:pPr>
              <w:pStyle w:val="TableParagraph"/>
              <w:spacing w:before="1"/>
              <w:ind w:left="105"/>
              <w:rPr>
                <w:sz w:val="18"/>
              </w:rPr>
            </w:pPr>
            <w:r>
              <w:rPr>
                <w:sz w:val="18"/>
              </w:rPr>
              <w:t>Strengthening</w:t>
            </w:r>
            <w:r>
              <w:rPr>
                <w:spacing w:val="-5"/>
                <w:sz w:val="18"/>
              </w:rPr>
              <w:t xml:space="preserve"> </w:t>
            </w:r>
            <w:r>
              <w:rPr>
                <w:sz w:val="18"/>
              </w:rPr>
              <w:t>One</w:t>
            </w:r>
            <w:r>
              <w:rPr>
                <w:spacing w:val="-3"/>
                <w:sz w:val="18"/>
              </w:rPr>
              <w:t xml:space="preserve"> </w:t>
            </w:r>
            <w:r>
              <w:rPr>
                <w:sz w:val="18"/>
              </w:rPr>
              <w:t>Data</w:t>
            </w:r>
            <w:r>
              <w:rPr>
                <w:spacing w:val="-4"/>
                <w:sz w:val="18"/>
              </w:rPr>
              <w:t xml:space="preserve"> </w:t>
            </w:r>
            <w:r>
              <w:rPr>
                <w:sz w:val="18"/>
              </w:rPr>
              <w:t>Indonesia</w:t>
            </w:r>
            <w:r>
              <w:rPr>
                <w:spacing w:val="-5"/>
                <w:sz w:val="18"/>
              </w:rPr>
              <w:t xml:space="preserve"> </w:t>
            </w:r>
            <w:r>
              <w:rPr>
                <w:sz w:val="18"/>
              </w:rPr>
              <w:t>in</w:t>
            </w:r>
            <w:r>
              <w:rPr>
                <w:spacing w:val="-3"/>
                <w:sz w:val="18"/>
              </w:rPr>
              <w:t xml:space="preserve"> </w:t>
            </w:r>
            <w:r>
              <w:rPr>
                <w:sz w:val="18"/>
              </w:rPr>
              <w:t>NTT</w:t>
            </w:r>
            <w:r>
              <w:rPr>
                <w:spacing w:val="-4"/>
                <w:sz w:val="18"/>
              </w:rPr>
              <w:t xml:space="preserve"> Prov</w:t>
            </w:r>
          </w:p>
        </w:tc>
        <w:tc>
          <w:tcPr>
            <w:tcW w:w="1096" w:type="dxa"/>
            <w:tcBorders>
              <w:top w:val="single" w:sz="4" w:space="0" w:color="A6A6A6"/>
              <w:left w:val="single" w:sz="4" w:space="0" w:color="A6A6A6"/>
              <w:bottom w:val="single" w:sz="4" w:space="0" w:color="A6A6A6"/>
              <w:right w:val="single" w:sz="4" w:space="0" w:color="A6A6A6"/>
            </w:tcBorders>
          </w:tcPr>
          <w:p w14:paraId="2CDD0D9F" w14:textId="77777777" w:rsidR="00BC24A8" w:rsidRDefault="00000000">
            <w:pPr>
              <w:pStyle w:val="TableParagraph"/>
              <w:spacing w:before="1"/>
              <w:ind w:left="108"/>
              <w:rPr>
                <w:sz w:val="18"/>
              </w:rPr>
            </w:pPr>
            <w:r>
              <w:rPr>
                <w:spacing w:val="-5"/>
                <w:sz w:val="18"/>
              </w:rPr>
              <w:t>NTT</w:t>
            </w:r>
          </w:p>
        </w:tc>
      </w:tr>
      <w:tr w:rsidR="00BC24A8" w14:paraId="7A7DE414"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06EB6387" w14:textId="77777777" w:rsidR="00BC24A8" w:rsidRDefault="00000000">
            <w:pPr>
              <w:pStyle w:val="TableParagraph"/>
              <w:spacing w:before="1"/>
              <w:ind w:right="96"/>
              <w:jc w:val="right"/>
              <w:rPr>
                <w:sz w:val="18"/>
              </w:rPr>
            </w:pPr>
            <w:r>
              <w:rPr>
                <w:spacing w:val="-5"/>
                <w:sz w:val="18"/>
              </w:rPr>
              <w:t>96</w:t>
            </w:r>
          </w:p>
        </w:tc>
        <w:tc>
          <w:tcPr>
            <w:tcW w:w="955" w:type="dxa"/>
            <w:tcBorders>
              <w:top w:val="single" w:sz="4" w:space="0" w:color="A6A6A6"/>
              <w:left w:val="single" w:sz="4" w:space="0" w:color="A6A6A6"/>
              <w:bottom w:val="single" w:sz="4" w:space="0" w:color="A6A6A6"/>
              <w:right w:val="single" w:sz="4" w:space="0" w:color="A6A6A6"/>
            </w:tcBorders>
          </w:tcPr>
          <w:p w14:paraId="0F55ED3D"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6E7B03AA" w14:textId="77777777" w:rsidR="00BC24A8" w:rsidRDefault="00000000">
            <w:pPr>
              <w:pStyle w:val="TableParagraph"/>
              <w:spacing w:before="1"/>
              <w:ind w:left="105"/>
              <w:rPr>
                <w:sz w:val="18"/>
              </w:rPr>
            </w:pPr>
            <w:r>
              <w:rPr>
                <w:sz w:val="18"/>
              </w:rPr>
              <w:t>Challenges</w:t>
            </w:r>
            <w:r>
              <w:rPr>
                <w:spacing w:val="-3"/>
                <w:sz w:val="18"/>
              </w:rPr>
              <w:t xml:space="preserve"> </w:t>
            </w:r>
            <w:r>
              <w:rPr>
                <w:sz w:val="18"/>
              </w:rPr>
              <w:t>to</w:t>
            </w:r>
            <w:r>
              <w:rPr>
                <w:spacing w:val="-3"/>
                <w:sz w:val="18"/>
              </w:rPr>
              <w:t xml:space="preserve"> </w:t>
            </w:r>
            <w:r>
              <w:rPr>
                <w:sz w:val="18"/>
              </w:rPr>
              <w:t>Gender</w:t>
            </w:r>
            <w:r>
              <w:rPr>
                <w:spacing w:val="-2"/>
                <w:sz w:val="18"/>
              </w:rPr>
              <w:t xml:space="preserve"> </w:t>
            </w:r>
            <w:r>
              <w:rPr>
                <w:sz w:val="18"/>
              </w:rPr>
              <w:t>Justice</w:t>
            </w:r>
            <w:r>
              <w:rPr>
                <w:spacing w:val="-3"/>
                <w:sz w:val="18"/>
              </w:rPr>
              <w:t xml:space="preserve"> </w:t>
            </w:r>
            <w:r>
              <w:rPr>
                <w:sz w:val="18"/>
              </w:rPr>
              <w:t>and</w:t>
            </w:r>
            <w:r>
              <w:rPr>
                <w:spacing w:val="-5"/>
                <w:sz w:val="18"/>
              </w:rPr>
              <w:t xml:space="preserve"> </w:t>
            </w:r>
            <w:r>
              <w:rPr>
                <w:sz w:val="18"/>
              </w:rPr>
              <w:t>Equality</w:t>
            </w:r>
            <w:r>
              <w:rPr>
                <w:spacing w:val="-5"/>
                <w:sz w:val="18"/>
              </w:rPr>
              <w:t xml:space="preserve"> </w:t>
            </w:r>
            <w:r>
              <w:rPr>
                <w:sz w:val="18"/>
              </w:rPr>
              <w:t>in</w:t>
            </w:r>
            <w:r>
              <w:rPr>
                <w:spacing w:val="-2"/>
                <w:sz w:val="18"/>
              </w:rPr>
              <w:t xml:space="preserve"> </w:t>
            </w:r>
            <w:r>
              <w:rPr>
                <w:spacing w:val="-5"/>
                <w:sz w:val="18"/>
              </w:rPr>
              <w:t>NTT</w:t>
            </w:r>
          </w:p>
        </w:tc>
        <w:tc>
          <w:tcPr>
            <w:tcW w:w="1096" w:type="dxa"/>
            <w:tcBorders>
              <w:top w:val="single" w:sz="4" w:space="0" w:color="A6A6A6"/>
              <w:left w:val="single" w:sz="4" w:space="0" w:color="A6A6A6"/>
              <w:bottom w:val="single" w:sz="4" w:space="0" w:color="A6A6A6"/>
              <w:right w:val="single" w:sz="4" w:space="0" w:color="A6A6A6"/>
            </w:tcBorders>
          </w:tcPr>
          <w:p w14:paraId="00488E0B" w14:textId="77777777" w:rsidR="00BC24A8" w:rsidRDefault="00000000">
            <w:pPr>
              <w:pStyle w:val="TableParagraph"/>
              <w:spacing w:before="1"/>
              <w:ind w:left="108"/>
              <w:rPr>
                <w:sz w:val="18"/>
              </w:rPr>
            </w:pPr>
            <w:r>
              <w:rPr>
                <w:spacing w:val="-5"/>
                <w:sz w:val="18"/>
              </w:rPr>
              <w:t>NTT</w:t>
            </w:r>
          </w:p>
        </w:tc>
      </w:tr>
      <w:tr w:rsidR="00BC24A8" w14:paraId="3991F12D" w14:textId="77777777">
        <w:trPr>
          <w:trHeight w:val="482"/>
        </w:trPr>
        <w:tc>
          <w:tcPr>
            <w:tcW w:w="552" w:type="dxa"/>
            <w:tcBorders>
              <w:top w:val="single" w:sz="4" w:space="0" w:color="A6A6A6"/>
              <w:left w:val="single" w:sz="4" w:space="0" w:color="A6A6A6"/>
              <w:bottom w:val="single" w:sz="4" w:space="0" w:color="A6A6A6"/>
              <w:right w:val="single" w:sz="4" w:space="0" w:color="A6A6A6"/>
            </w:tcBorders>
          </w:tcPr>
          <w:p w14:paraId="4AA3DA4A" w14:textId="77777777" w:rsidR="00BC24A8" w:rsidRDefault="00000000">
            <w:pPr>
              <w:pStyle w:val="TableParagraph"/>
              <w:spacing w:before="1"/>
              <w:ind w:right="96"/>
              <w:jc w:val="right"/>
              <w:rPr>
                <w:sz w:val="18"/>
              </w:rPr>
            </w:pPr>
            <w:r>
              <w:rPr>
                <w:spacing w:val="-5"/>
                <w:sz w:val="18"/>
              </w:rPr>
              <w:t>97</w:t>
            </w:r>
          </w:p>
        </w:tc>
        <w:tc>
          <w:tcPr>
            <w:tcW w:w="955" w:type="dxa"/>
            <w:tcBorders>
              <w:top w:val="single" w:sz="4" w:space="0" w:color="A6A6A6"/>
              <w:left w:val="single" w:sz="4" w:space="0" w:color="A6A6A6"/>
              <w:bottom w:val="single" w:sz="4" w:space="0" w:color="A6A6A6"/>
              <w:right w:val="single" w:sz="4" w:space="0" w:color="A6A6A6"/>
            </w:tcBorders>
          </w:tcPr>
          <w:p w14:paraId="0AFA16E3"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374CB950" w14:textId="77777777" w:rsidR="00BC24A8" w:rsidRDefault="00000000">
            <w:pPr>
              <w:pStyle w:val="TableParagraph"/>
              <w:spacing w:before="1"/>
              <w:ind w:left="105"/>
              <w:rPr>
                <w:sz w:val="18"/>
              </w:rPr>
            </w:pPr>
            <w:r>
              <w:rPr>
                <w:sz w:val="18"/>
              </w:rPr>
              <w:t>The</w:t>
            </w:r>
            <w:r>
              <w:rPr>
                <w:spacing w:val="-1"/>
                <w:sz w:val="18"/>
              </w:rPr>
              <w:t xml:space="preserve"> </w:t>
            </w:r>
            <w:r>
              <w:rPr>
                <w:sz w:val="18"/>
              </w:rPr>
              <w:t>Urgency</w:t>
            </w:r>
            <w:r>
              <w:rPr>
                <w:spacing w:val="-1"/>
                <w:sz w:val="18"/>
              </w:rPr>
              <w:t xml:space="preserve"> </w:t>
            </w:r>
            <w:r>
              <w:rPr>
                <w:sz w:val="18"/>
              </w:rPr>
              <w:t>of</w:t>
            </w:r>
            <w:r>
              <w:rPr>
                <w:spacing w:val="-2"/>
                <w:sz w:val="18"/>
              </w:rPr>
              <w:t xml:space="preserve"> </w:t>
            </w:r>
            <w:r>
              <w:rPr>
                <w:sz w:val="18"/>
              </w:rPr>
              <w:t>Providing</w:t>
            </w:r>
            <w:r>
              <w:rPr>
                <w:spacing w:val="-1"/>
                <w:sz w:val="18"/>
              </w:rPr>
              <w:t xml:space="preserve"> </w:t>
            </w:r>
            <w:r>
              <w:rPr>
                <w:sz w:val="18"/>
              </w:rPr>
              <w:t>Access</w:t>
            </w:r>
            <w:r>
              <w:rPr>
                <w:spacing w:val="-1"/>
                <w:sz w:val="18"/>
              </w:rPr>
              <w:t xml:space="preserve"> </w:t>
            </w:r>
            <w:r>
              <w:rPr>
                <w:sz w:val="18"/>
              </w:rPr>
              <w:t>to</w:t>
            </w:r>
            <w:r>
              <w:rPr>
                <w:spacing w:val="-1"/>
                <w:sz w:val="18"/>
              </w:rPr>
              <w:t xml:space="preserve"> </w:t>
            </w:r>
            <w:r>
              <w:rPr>
                <w:sz w:val="18"/>
              </w:rPr>
              <w:t>Employment for Persons</w:t>
            </w:r>
            <w:r>
              <w:rPr>
                <w:spacing w:val="-1"/>
                <w:sz w:val="18"/>
              </w:rPr>
              <w:t xml:space="preserve"> </w:t>
            </w:r>
            <w:r>
              <w:rPr>
                <w:sz w:val="18"/>
              </w:rPr>
              <w:t>with</w:t>
            </w:r>
            <w:r>
              <w:rPr>
                <w:spacing w:val="-1"/>
                <w:sz w:val="18"/>
              </w:rPr>
              <w:t xml:space="preserve"> </w:t>
            </w:r>
            <w:r>
              <w:rPr>
                <w:sz w:val="18"/>
              </w:rPr>
              <w:t>Visual Disabilities</w:t>
            </w:r>
            <w:r>
              <w:rPr>
                <w:spacing w:val="-3"/>
                <w:sz w:val="18"/>
              </w:rPr>
              <w:t xml:space="preserve"> </w:t>
            </w:r>
            <w:r>
              <w:rPr>
                <w:sz w:val="18"/>
              </w:rPr>
              <w:t>in</w:t>
            </w:r>
            <w:r>
              <w:rPr>
                <w:spacing w:val="-1"/>
                <w:sz w:val="18"/>
              </w:rPr>
              <w:t xml:space="preserve"> </w:t>
            </w:r>
            <w:r>
              <w:rPr>
                <w:sz w:val="18"/>
              </w:rPr>
              <w:t xml:space="preserve">Kupang </w:t>
            </w:r>
            <w:r>
              <w:rPr>
                <w:spacing w:val="-4"/>
                <w:sz w:val="18"/>
              </w:rPr>
              <w:t>City</w:t>
            </w:r>
          </w:p>
        </w:tc>
        <w:tc>
          <w:tcPr>
            <w:tcW w:w="1096" w:type="dxa"/>
            <w:tcBorders>
              <w:top w:val="single" w:sz="4" w:space="0" w:color="A6A6A6"/>
              <w:left w:val="single" w:sz="4" w:space="0" w:color="A6A6A6"/>
              <w:bottom w:val="single" w:sz="4" w:space="0" w:color="A6A6A6"/>
              <w:right w:val="single" w:sz="4" w:space="0" w:color="A6A6A6"/>
            </w:tcBorders>
          </w:tcPr>
          <w:p w14:paraId="156E0A68" w14:textId="77777777" w:rsidR="00BC24A8" w:rsidRDefault="00000000">
            <w:pPr>
              <w:pStyle w:val="TableParagraph"/>
              <w:spacing w:before="1"/>
              <w:ind w:left="108"/>
              <w:rPr>
                <w:sz w:val="18"/>
              </w:rPr>
            </w:pPr>
            <w:r>
              <w:rPr>
                <w:spacing w:val="-5"/>
                <w:sz w:val="18"/>
              </w:rPr>
              <w:t>NTT</w:t>
            </w:r>
          </w:p>
        </w:tc>
      </w:tr>
      <w:tr w:rsidR="00BC24A8" w14:paraId="52A1DEDD"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2EDE2A6F" w14:textId="77777777" w:rsidR="00BC24A8" w:rsidRDefault="00000000">
            <w:pPr>
              <w:pStyle w:val="TableParagraph"/>
              <w:spacing w:line="219" w:lineRule="exact"/>
              <w:ind w:right="96"/>
              <w:jc w:val="right"/>
              <w:rPr>
                <w:sz w:val="18"/>
              </w:rPr>
            </w:pPr>
            <w:r>
              <w:rPr>
                <w:spacing w:val="-5"/>
                <w:sz w:val="18"/>
              </w:rPr>
              <w:t>98</w:t>
            </w:r>
          </w:p>
        </w:tc>
        <w:tc>
          <w:tcPr>
            <w:tcW w:w="955" w:type="dxa"/>
            <w:tcBorders>
              <w:top w:val="single" w:sz="4" w:space="0" w:color="A6A6A6"/>
              <w:left w:val="single" w:sz="4" w:space="0" w:color="A6A6A6"/>
              <w:bottom w:val="single" w:sz="4" w:space="0" w:color="A6A6A6"/>
              <w:right w:val="single" w:sz="4" w:space="0" w:color="A6A6A6"/>
            </w:tcBorders>
          </w:tcPr>
          <w:p w14:paraId="1C0EAB0F"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79C523E8" w14:textId="77777777" w:rsidR="00BC24A8" w:rsidRDefault="00000000">
            <w:pPr>
              <w:pStyle w:val="TableParagraph"/>
              <w:spacing w:line="219" w:lineRule="exact"/>
              <w:ind w:left="105"/>
              <w:rPr>
                <w:sz w:val="18"/>
              </w:rPr>
            </w:pPr>
            <w:r>
              <w:rPr>
                <w:sz w:val="18"/>
              </w:rPr>
              <w:t>Optimizing</w:t>
            </w:r>
            <w:r>
              <w:rPr>
                <w:spacing w:val="-7"/>
                <w:sz w:val="18"/>
              </w:rPr>
              <w:t xml:space="preserve"> </w:t>
            </w:r>
            <w:r>
              <w:rPr>
                <w:sz w:val="18"/>
              </w:rPr>
              <w:t>the</w:t>
            </w:r>
            <w:r>
              <w:rPr>
                <w:spacing w:val="-5"/>
                <w:sz w:val="18"/>
              </w:rPr>
              <w:t xml:space="preserve"> </w:t>
            </w:r>
            <w:r>
              <w:rPr>
                <w:sz w:val="18"/>
              </w:rPr>
              <w:t>Utilization</w:t>
            </w:r>
            <w:r>
              <w:rPr>
                <w:spacing w:val="-5"/>
                <w:sz w:val="18"/>
              </w:rPr>
              <w:t xml:space="preserve"> </w:t>
            </w:r>
            <w:r>
              <w:rPr>
                <w:sz w:val="18"/>
              </w:rPr>
              <w:t>of</w:t>
            </w:r>
            <w:r>
              <w:rPr>
                <w:spacing w:val="-6"/>
                <w:sz w:val="18"/>
              </w:rPr>
              <w:t xml:space="preserve"> </w:t>
            </w:r>
            <w:r>
              <w:rPr>
                <w:sz w:val="18"/>
              </w:rPr>
              <w:t>Environmental</w:t>
            </w:r>
            <w:r>
              <w:rPr>
                <w:spacing w:val="-4"/>
                <w:sz w:val="18"/>
              </w:rPr>
              <w:t xml:space="preserve"> </w:t>
            </w:r>
            <w:r>
              <w:rPr>
                <w:sz w:val="18"/>
              </w:rPr>
              <w:t>Quality</w:t>
            </w:r>
            <w:r>
              <w:rPr>
                <w:spacing w:val="-6"/>
                <w:sz w:val="18"/>
              </w:rPr>
              <w:t xml:space="preserve"> </w:t>
            </w:r>
            <w:r>
              <w:rPr>
                <w:sz w:val="18"/>
              </w:rPr>
              <w:t>Data</w:t>
            </w:r>
            <w:r>
              <w:rPr>
                <w:spacing w:val="-6"/>
                <w:sz w:val="18"/>
              </w:rPr>
              <w:t xml:space="preserve"> </w:t>
            </w:r>
            <w:r>
              <w:rPr>
                <w:sz w:val="18"/>
              </w:rPr>
              <w:t>in</w:t>
            </w:r>
            <w:r>
              <w:rPr>
                <w:spacing w:val="-7"/>
                <w:sz w:val="18"/>
              </w:rPr>
              <w:t xml:space="preserve"> </w:t>
            </w:r>
            <w:r>
              <w:rPr>
                <w:spacing w:val="-5"/>
                <w:sz w:val="18"/>
              </w:rPr>
              <w:t>NTT</w:t>
            </w:r>
          </w:p>
        </w:tc>
        <w:tc>
          <w:tcPr>
            <w:tcW w:w="1096" w:type="dxa"/>
            <w:tcBorders>
              <w:top w:val="single" w:sz="4" w:space="0" w:color="A6A6A6"/>
              <w:left w:val="single" w:sz="4" w:space="0" w:color="A6A6A6"/>
              <w:bottom w:val="single" w:sz="4" w:space="0" w:color="A6A6A6"/>
              <w:right w:val="single" w:sz="4" w:space="0" w:color="A6A6A6"/>
            </w:tcBorders>
          </w:tcPr>
          <w:p w14:paraId="1AFF63BC" w14:textId="77777777" w:rsidR="00BC24A8" w:rsidRDefault="00000000">
            <w:pPr>
              <w:pStyle w:val="TableParagraph"/>
              <w:spacing w:line="219" w:lineRule="exact"/>
              <w:ind w:left="108"/>
              <w:rPr>
                <w:sz w:val="18"/>
              </w:rPr>
            </w:pPr>
            <w:r>
              <w:rPr>
                <w:spacing w:val="-5"/>
                <w:sz w:val="18"/>
              </w:rPr>
              <w:t>NTT</w:t>
            </w:r>
          </w:p>
        </w:tc>
      </w:tr>
      <w:tr w:rsidR="00BC24A8" w14:paraId="02A16C36"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26EFADA3" w14:textId="77777777" w:rsidR="00BC24A8" w:rsidRDefault="00000000">
            <w:pPr>
              <w:pStyle w:val="TableParagraph"/>
              <w:spacing w:line="219" w:lineRule="exact"/>
              <w:ind w:right="96"/>
              <w:jc w:val="right"/>
              <w:rPr>
                <w:sz w:val="18"/>
              </w:rPr>
            </w:pPr>
            <w:r>
              <w:rPr>
                <w:spacing w:val="-5"/>
                <w:sz w:val="18"/>
              </w:rPr>
              <w:t>99</w:t>
            </w:r>
          </w:p>
        </w:tc>
        <w:tc>
          <w:tcPr>
            <w:tcW w:w="955" w:type="dxa"/>
            <w:tcBorders>
              <w:top w:val="single" w:sz="4" w:space="0" w:color="A6A6A6"/>
              <w:left w:val="single" w:sz="4" w:space="0" w:color="A6A6A6"/>
              <w:bottom w:val="single" w:sz="4" w:space="0" w:color="A6A6A6"/>
              <w:right w:val="single" w:sz="4" w:space="0" w:color="A6A6A6"/>
            </w:tcBorders>
          </w:tcPr>
          <w:p w14:paraId="53E50887"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1484F35E" w14:textId="77777777" w:rsidR="00BC24A8" w:rsidRDefault="00000000">
            <w:pPr>
              <w:pStyle w:val="TableParagraph"/>
              <w:spacing w:line="219" w:lineRule="exact"/>
              <w:ind w:left="105"/>
              <w:rPr>
                <w:sz w:val="18"/>
              </w:rPr>
            </w:pPr>
            <w:r>
              <w:rPr>
                <w:sz w:val="18"/>
              </w:rPr>
              <w:t>Optimizing</w:t>
            </w:r>
            <w:r>
              <w:rPr>
                <w:spacing w:val="-5"/>
                <w:sz w:val="18"/>
              </w:rPr>
              <w:t xml:space="preserve"> </w:t>
            </w:r>
            <w:r>
              <w:rPr>
                <w:sz w:val="18"/>
              </w:rPr>
              <w:t>the</w:t>
            </w:r>
            <w:r>
              <w:rPr>
                <w:spacing w:val="-3"/>
                <w:sz w:val="18"/>
              </w:rPr>
              <w:t xml:space="preserve"> </w:t>
            </w:r>
            <w:r>
              <w:rPr>
                <w:sz w:val="18"/>
              </w:rPr>
              <w:t>Role</w:t>
            </w:r>
            <w:r>
              <w:rPr>
                <w:spacing w:val="-4"/>
                <w:sz w:val="18"/>
              </w:rPr>
              <w:t xml:space="preserve"> </w:t>
            </w:r>
            <w:r>
              <w:rPr>
                <w:sz w:val="18"/>
              </w:rPr>
              <w:t>of</w:t>
            </w:r>
            <w:r>
              <w:rPr>
                <w:spacing w:val="-4"/>
                <w:sz w:val="18"/>
              </w:rPr>
              <w:t xml:space="preserve"> </w:t>
            </w:r>
            <w:r>
              <w:rPr>
                <w:sz w:val="18"/>
              </w:rPr>
              <w:t>PKK</w:t>
            </w:r>
            <w:r>
              <w:rPr>
                <w:spacing w:val="-4"/>
                <w:sz w:val="18"/>
              </w:rPr>
              <w:t xml:space="preserve"> </w:t>
            </w:r>
            <w:r>
              <w:rPr>
                <w:sz w:val="18"/>
              </w:rPr>
              <w:t>Cadres</w:t>
            </w:r>
            <w:r>
              <w:rPr>
                <w:spacing w:val="-6"/>
                <w:sz w:val="18"/>
              </w:rPr>
              <w:t xml:space="preserve"> </w:t>
            </w:r>
            <w:r>
              <w:rPr>
                <w:sz w:val="18"/>
              </w:rPr>
              <w:t>in</w:t>
            </w:r>
            <w:r>
              <w:rPr>
                <w:spacing w:val="-3"/>
                <w:sz w:val="18"/>
              </w:rPr>
              <w:t xml:space="preserve"> </w:t>
            </w:r>
            <w:r>
              <w:rPr>
                <w:sz w:val="18"/>
              </w:rPr>
              <w:t>Preventing</w:t>
            </w:r>
            <w:r>
              <w:rPr>
                <w:spacing w:val="-5"/>
                <w:sz w:val="18"/>
              </w:rPr>
              <w:t xml:space="preserve"> </w:t>
            </w:r>
            <w:r>
              <w:rPr>
                <w:sz w:val="18"/>
              </w:rPr>
              <w:t>and</w:t>
            </w:r>
            <w:r>
              <w:rPr>
                <w:spacing w:val="-3"/>
                <w:sz w:val="18"/>
              </w:rPr>
              <w:t xml:space="preserve"> </w:t>
            </w:r>
            <w:r>
              <w:rPr>
                <w:sz w:val="18"/>
              </w:rPr>
              <w:t>Handling</w:t>
            </w:r>
            <w:r>
              <w:rPr>
                <w:spacing w:val="-4"/>
                <w:sz w:val="18"/>
              </w:rPr>
              <w:t xml:space="preserve"> </w:t>
            </w:r>
            <w:r>
              <w:rPr>
                <w:spacing w:val="-2"/>
                <w:sz w:val="18"/>
              </w:rPr>
              <w:t>Violence</w:t>
            </w:r>
          </w:p>
        </w:tc>
        <w:tc>
          <w:tcPr>
            <w:tcW w:w="1096" w:type="dxa"/>
            <w:tcBorders>
              <w:top w:val="single" w:sz="4" w:space="0" w:color="A6A6A6"/>
              <w:left w:val="single" w:sz="4" w:space="0" w:color="A6A6A6"/>
              <w:bottom w:val="single" w:sz="4" w:space="0" w:color="A6A6A6"/>
              <w:right w:val="single" w:sz="4" w:space="0" w:color="A6A6A6"/>
            </w:tcBorders>
          </w:tcPr>
          <w:p w14:paraId="4B792C33" w14:textId="77777777" w:rsidR="00BC24A8" w:rsidRDefault="00000000">
            <w:pPr>
              <w:pStyle w:val="TableParagraph"/>
              <w:spacing w:line="219" w:lineRule="exact"/>
              <w:ind w:left="108"/>
              <w:rPr>
                <w:sz w:val="18"/>
              </w:rPr>
            </w:pPr>
            <w:r>
              <w:rPr>
                <w:spacing w:val="-5"/>
                <w:sz w:val="18"/>
              </w:rPr>
              <w:t>NTT</w:t>
            </w:r>
          </w:p>
        </w:tc>
      </w:tr>
      <w:tr w:rsidR="00BC24A8" w14:paraId="29C2FBF5"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05C0F244" w14:textId="77777777" w:rsidR="00BC24A8" w:rsidRDefault="00000000">
            <w:pPr>
              <w:pStyle w:val="TableParagraph"/>
              <w:spacing w:line="219" w:lineRule="exact"/>
              <w:ind w:right="96"/>
              <w:jc w:val="right"/>
              <w:rPr>
                <w:sz w:val="18"/>
              </w:rPr>
            </w:pPr>
            <w:r>
              <w:rPr>
                <w:spacing w:val="-5"/>
                <w:sz w:val="18"/>
              </w:rPr>
              <w:t>100</w:t>
            </w:r>
          </w:p>
        </w:tc>
        <w:tc>
          <w:tcPr>
            <w:tcW w:w="955" w:type="dxa"/>
            <w:tcBorders>
              <w:top w:val="single" w:sz="4" w:space="0" w:color="A6A6A6"/>
              <w:left w:val="single" w:sz="4" w:space="0" w:color="A6A6A6"/>
              <w:bottom w:val="single" w:sz="4" w:space="0" w:color="A6A6A6"/>
              <w:right w:val="single" w:sz="4" w:space="0" w:color="A6A6A6"/>
            </w:tcBorders>
          </w:tcPr>
          <w:p w14:paraId="561AD958"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5F10F01B" w14:textId="77777777" w:rsidR="00BC24A8" w:rsidRDefault="00000000">
            <w:pPr>
              <w:pStyle w:val="TableParagraph"/>
              <w:spacing w:line="219" w:lineRule="exact"/>
              <w:ind w:left="105"/>
              <w:rPr>
                <w:sz w:val="18"/>
              </w:rPr>
            </w:pPr>
            <w:r>
              <w:rPr>
                <w:sz w:val="18"/>
              </w:rPr>
              <w:t>Universal</w:t>
            </w:r>
            <w:r>
              <w:rPr>
                <w:spacing w:val="-10"/>
                <w:sz w:val="18"/>
              </w:rPr>
              <w:t xml:space="preserve"> </w:t>
            </w:r>
            <w:r>
              <w:rPr>
                <w:sz w:val="18"/>
              </w:rPr>
              <w:t>Protection</w:t>
            </w:r>
            <w:r>
              <w:rPr>
                <w:spacing w:val="-9"/>
                <w:sz w:val="18"/>
              </w:rPr>
              <w:t xml:space="preserve"> </w:t>
            </w:r>
            <w:r>
              <w:rPr>
                <w:sz w:val="18"/>
              </w:rPr>
              <w:t>for</w:t>
            </w:r>
            <w:r>
              <w:rPr>
                <w:spacing w:val="-10"/>
                <w:sz w:val="18"/>
              </w:rPr>
              <w:t xml:space="preserve"> </w:t>
            </w:r>
            <w:r>
              <w:rPr>
                <w:sz w:val="18"/>
              </w:rPr>
              <w:t>Informal</w:t>
            </w:r>
            <w:r>
              <w:rPr>
                <w:spacing w:val="-10"/>
                <w:sz w:val="18"/>
              </w:rPr>
              <w:t xml:space="preserve"> </w:t>
            </w:r>
            <w:r>
              <w:rPr>
                <w:sz w:val="18"/>
              </w:rPr>
              <w:t>Workers</w:t>
            </w:r>
            <w:r>
              <w:rPr>
                <w:spacing w:val="-9"/>
                <w:sz w:val="18"/>
              </w:rPr>
              <w:t xml:space="preserve"> </w:t>
            </w:r>
            <w:r>
              <w:rPr>
                <w:sz w:val="18"/>
              </w:rPr>
              <w:t>in</w:t>
            </w:r>
            <w:r>
              <w:rPr>
                <w:spacing w:val="-9"/>
                <w:sz w:val="18"/>
              </w:rPr>
              <w:t xml:space="preserve"> </w:t>
            </w:r>
            <w:r>
              <w:rPr>
                <w:spacing w:val="-5"/>
                <w:sz w:val="18"/>
              </w:rPr>
              <w:t>NTT</w:t>
            </w:r>
          </w:p>
        </w:tc>
        <w:tc>
          <w:tcPr>
            <w:tcW w:w="1096" w:type="dxa"/>
            <w:tcBorders>
              <w:top w:val="single" w:sz="4" w:space="0" w:color="A6A6A6"/>
              <w:left w:val="single" w:sz="4" w:space="0" w:color="A6A6A6"/>
              <w:bottom w:val="single" w:sz="4" w:space="0" w:color="A6A6A6"/>
              <w:right w:val="single" w:sz="4" w:space="0" w:color="A6A6A6"/>
            </w:tcBorders>
          </w:tcPr>
          <w:p w14:paraId="27D822FD" w14:textId="77777777" w:rsidR="00BC24A8" w:rsidRDefault="00000000">
            <w:pPr>
              <w:pStyle w:val="TableParagraph"/>
              <w:spacing w:line="219" w:lineRule="exact"/>
              <w:ind w:left="108"/>
              <w:rPr>
                <w:sz w:val="18"/>
              </w:rPr>
            </w:pPr>
            <w:r>
              <w:rPr>
                <w:spacing w:val="-5"/>
                <w:sz w:val="18"/>
              </w:rPr>
              <w:t>NTT</w:t>
            </w:r>
          </w:p>
        </w:tc>
      </w:tr>
      <w:tr w:rsidR="00BC24A8" w14:paraId="3D2FA0F3"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3848BAC0" w14:textId="77777777" w:rsidR="00BC24A8" w:rsidRDefault="00000000">
            <w:pPr>
              <w:pStyle w:val="TableParagraph"/>
              <w:spacing w:line="219" w:lineRule="exact"/>
              <w:ind w:right="96"/>
              <w:jc w:val="right"/>
              <w:rPr>
                <w:sz w:val="18"/>
              </w:rPr>
            </w:pPr>
            <w:r>
              <w:rPr>
                <w:spacing w:val="-5"/>
                <w:sz w:val="18"/>
              </w:rPr>
              <w:t>101</w:t>
            </w:r>
          </w:p>
        </w:tc>
        <w:tc>
          <w:tcPr>
            <w:tcW w:w="955" w:type="dxa"/>
            <w:tcBorders>
              <w:top w:val="single" w:sz="4" w:space="0" w:color="A6A6A6"/>
              <w:left w:val="single" w:sz="4" w:space="0" w:color="A6A6A6"/>
              <w:bottom w:val="single" w:sz="4" w:space="0" w:color="A6A6A6"/>
              <w:right w:val="single" w:sz="4" w:space="0" w:color="A6A6A6"/>
            </w:tcBorders>
          </w:tcPr>
          <w:p w14:paraId="59311BEF"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4C0984E7" w14:textId="77777777" w:rsidR="00BC24A8" w:rsidRDefault="00000000">
            <w:pPr>
              <w:pStyle w:val="TableParagraph"/>
              <w:spacing w:line="219" w:lineRule="exact"/>
              <w:ind w:left="105"/>
              <w:rPr>
                <w:sz w:val="18"/>
              </w:rPr>
            </w:pPr>
            <w:r>
              <w:rPr>
                <w:sz w:val="18"/>
              </w:rPr>
              <w:t>Data-Driven</w:t>
            </w:r>
            <w:r>
              <w:rPr>
                <w:spacing w:val="-6"/>
                <w:sz w:val="18"/>
              </w:rPr>
              <w:t xml:space="preserve"> </w:t>
            </w:r>
            <w:r>
              <w:rPr>
                <w:sz w:val="18"/>
              </w:rPr>
              <w:t>Planning</w:t>
            </w:r>
            <w:r>
              <w:rPr>
                <w:spacing w:val="-9"/>
                <w:sz w:val="18"/>
              </w:rPr>
              <w:t xml:space="preserve"> </w:t>
            </w:r>
            <w:r>
              <w:rPr>
                <w:sz w:val="18"/>
              </w:rPr>
              <w:t>for</w:t>
            </w:r>
            <w:r>
              <w:rPr>
                <w:spacing w:val="-6"/>
                <w:sz w:val="18"/>
              </w:rPr>
              <w:t xml:space="preserve"> </w:t>
            </w:r>
            <w:r>
              <w:rPr>
                <w:sz w:val="18"/>
              </w:rPr>
              <w:t>Improved</w:t>
            </w:r>
            <w:r>
              <w:rPr>
                <w:spacing w:val="-6"/>
                <w:sz w:val="18"/>
              </w:rPr>
              <w:t xml:space="preserve"> </w:t>
            </w:r>
            <w:r>
              <w:rPr>
                <w:sz w:val="18"/>
              </w:rPr>
              <w:t>Education</w:t>
            </w:r>
            <w:r>
              <w:rPr>
                <w:spacing w:val="-6"/>
                <w:sz w:val="18"/>
              </w:rPr>
              <w:t xml:space="preserve"> </w:t>
            </w:r>
            <w:r>
              <w:rPr>
                <w:sz w:val="18"/>
              </w:rPr>
              <w:t>MSS</w:t>
            </w:r>
            <w:r>
              <w:rPr>
                <w:spacing w:val="-5"/>
                <w:sz w:val="18"/>
              </w:rPr>
              <w:t xml:space="preserve"> </w:t>
            </w:r>
            <w:r>
              <w:rPr>
                <w:spacing w:val="-2"/>
                <w:sz w:val="18"/>
              </w:rPr>
              <w:t>Achievement</w:t>
            </w:r>
          </w:p>
        </w:tc>
        <w:tc>
          <w:tcPr>
            <w:tcW w:w="1096" w:type="dxa"/>
            <w:tcBorders>
              <w:top w:val="single" w:sz="4" w:space="0" w:color="A6A6A6"/>
              <w:left w:val="single" w:sz="4" w:space="0" w:color="A6A6A6"/>
              <w:bottom w:val="single" w:sz="4" w:space="0" w:color="A6A6A6"/>
              <w:right w:val="single" w:sz="4" w:space="0" w:color="A6A6A6"/>
            </w:tcBorders>
          </w:tcPr>
          <w:p w14:paraId="243C6D08" w14:textId="77777777" w:rsidR="00BC24A8" w:rsidRDefault="00000000">
            <w:pPr>
              <w:pStyle w:val="TableParagraph"/>
              <w:spacing w:line="219" w:lineRule="exact"/>
              <w:ind w:left="108"/>
              <w:rPr>
                <w:sz w:val="18"/>
              </w:rPr>
            </w:pPr>
            <w:r>
              <w:rPr>
                <w:spacing w:val="-5"/>
                <w:sz w:val="18"/>
              </w:rPr>
              <w:t>NTT</w:t>
            </w:r>
          </w:p>
        </w:tc>
      </w:tr>
      <w:tr w:rsidR="00BC24A8" w14:paraId="0D71F0E5"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673E6A55" w14:textId="77777777" w:rsidR="00BC24A8" w:rsidRDefault="00000000">
            <w:pPr>
              <w:pStyle w:val="TableParagraph"/>
              <w:spacing w:line="219" w:lineRule="exact"/>
              <w:ind w:right="96"/>
              <w:jc w:val="right"/>
              <w:rPr>
                <w:sz w:val="18"/>
              </w:rPr>
            </w:pPr>
            <w:r>
              <w:rPr>
                <w:spacing w:val="-5"/>
                <w:sz w:val="18"/>
              </w:rPr>
              <w:t>102</w:t>
            </w:r>
          </w:p>
        </w:tc>
        <w:tc>
          <w:tcPr>
            <w:tcW w:w="955" w:type="dxa"/>
            <w:tcBorders>
              <w:top w:val="single" w:sz="4" w:space="0" w:color="A6A6A6"/>
              <w:left w:val="single" w:sz="4" w:space="0" w:color="A6A6A6"/>
              <w:bottom w:val="single" w:sz="4" w:space="0" w:color="A6A6A6"/>
              <w:right w:val="single" w:sz="4" w:space="0" w:color="A6A6A6"/>
            </w:tcBorders>
          </w:tcPr>
          <w:p w14:paraId="608239D6"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7EF1A35A" w14:textId="77777777" w:rsidR="00BC24A8" w:rsidRDefault="00000000">
            <w:pPr>
              <w:pStyle w:val="TableParagraph"/>
              <w:ind w:left="105"/>
              <w:rPr>
                <w:sz w:val="18"/>
              </w:rPr>
            </w:pPr>
            <w:r>
              <w:rPr>
                <w:sz w:val="18"/>
              </w:rPr>
              <w:t>Encouraging</w:t>
            </w:r>
            <w:r>
              <w:rPr>
                <w:spacing w:val="-5"/>
                <w:sz w:val="18"/>
              </w:rPr>
              <w:t xml:space="preserve"> </w:t>
            </w:r>
            <w:r>
              <w:rPr>
                <w:sz w:val="18"/>
              </w:rPr>
              <w:t>the</w:t>
            </w:r>
            <w:r>
              <w:rPr>
                <w:spacing w:val="-5"/>
                <w:sz w:val="18"/>
              </w:rPr>
              <w:t xml:space="preserve"> </w:t>
            </w:r>
            <w:r>
              <w:rPr>
                <w:sz w:val="18"/>
              </w:rPr>
              <w:t>Strengthening</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BSPS</w:t>
            </w:r>
            <w:r>
              <w:rPr>
                <w:spacing w:val="-5"/>
                <w:sz w:val="18"/>
              </w:rPr>
              <w:t xml:space="preserve"> </w:t>
            </w:r>
            <w:r>
              <w:rPr>
                <w:sz w:val="18"/>
              </w:rPr>
              <w:t>Program</w:t>
            </w:r>
            <w:r>
              <w:rPr>
                <w:spacing w:val="-5"/>
                <w:sz w:val="18"/>
              </w:rPr>
              <w:t xml:space="preserve"> </w:t>
            </w:r>
            <w:r>
              <w:rPr>
                <w:sz w:val="18"/>
              </w:rPr>
              <w:t>through</w:t>
            </w:r>
            <w:r>
              <w:rPr>
                <w:spacing w:val="-5"/>
                <w:sz w:val="18"/>
              </w:rPr>
              <w:t xml:space="preserve"> </w:t>
            </w:r>
            <w:r>
              <w:rPr>
                <w:sz w:val="18"/>
              </w:rPr>
              <w:t>a</w:t>
            </w:r>
            <w:r>
              <w:rPr>
                <w:spacing w:val="-5"/>
                <w:sz w:val="18"/>
              </w:rPr>
              <w:t xml:space="preserve"> </w:t>
            </w:r>
            <w:r>
              <w:rPr>
                <w:sz w:val="18"/>
              </w:rPr>
              <w:t>Prioritization</w:t>
            </w:r>
            <w:r>
              <w:rPr>
                <w:spacing w:val="-5"/>
                <w:sz w:val="18"/>
              </w:rPr>
              <w:t xml:space="preserve"> </w:t>
            </w:r>
            <w:r>
              <w:rPr>
                <w:sz w:val="18"/>
              </w:rPr>
              <w:t>Scheme</w:t>
            </w:r>
            <w:r>
              <w:rPr>
                <w:spacing w:val="-5"/>
                <w:sz w:val="18"/>
              </w:rPr>
              <w:t xml:space="preserve"> </w:t>
            </w:r>
            <w:r>
              <w:rPr>
                <w:sz w:val="18"/>
              </w:rPr>
              <w:t>Based</w:t>
            </w:r>
            <w:r>
              <w:rPr>
                <w:spacing w:val="-5"/>
                <w:sz w:val="18"/>
              </w:rPr>
              <w:t xml:space="preserve"> </w:t>
            </w:r>
            <w:r>
              <w:rPr>
                <w:sz w:val="18"/>
              </w:rPr>
              <w:t>on the Level of Social Vulnerability</w:t>
            </w:r>
          </w:p>
        </w:tc>
        <w:tc>
          <w:tcPr>
            <w:tcW w:w="1096" w:type="dxa"/>
            <w:tcBorders>
              <w:top w:val="single" w:sz="4" w:space="0" w:color="A6A6A6"/>
              <w:left w:val="single" w:sz="4" w:space="0" w:color="A6A6A6"/>
              <w:bottom w:val="single" w:sz="4" w:space="0" w:color="A6A6A6"/>
              <w:right w:val="single" w:sz="4" w:space="0" w:color="A6A6A6"/>
            </w:tcBorders>
          </w:tcPr>
          <w:p w14:paraId="1714A105" w14:textId="77777777" w:rsidR="00BC24A8" w:rsidRDefault="00000000">
            <w:pPr>
              <w:pStyle w:val="TableParagraph"/>
              <w:spacing w:line="219" w:lineRule="exact"/>
              <w:ind w:left="108"/>
              <w:rPr>
                <w:sz w:val="18"/>
              </w:rPr>
            </w:pPr>
            <w:r>
              <w:rPr>
                <w:spacing w:val="-5"/>
                <w:sz w:val="18"/>
              </w:rPr>
              <w:t>NTT</w:t>
            </w:r>
          </w:p>
        </w:tc>
      </w:tr>
      <w:tr w:rsidR="00BC24A8" w14:paraId="1D7A95B1"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67333DE2" w14:textId="77777777" w:rsidR="00BC24A8" w:rsidRDefault="00000000">
            <w:pPr>
              <w:pStyle w:val="TableParagraph"/>
              <w:spacing w:line="219" w:lineRule="exact"/>
              <w:ind w:right="96"/>
              <w:jc w:val="right"/>
              <w:rPr>
                <w:sz w:val="18"/>
              </w:rPr>
            </w:pPr>
            <w:r>
              <w:rPr>
                <w:spacing w:val="-5"/>
                <w:sz w:val="18"/>
              </w:rPr>
              <w:t>103</w:t>
            </w:r>
          </w:p>
        </w:tc>
        <w:tc>
          <w:tcPr>
            <w:tcW w:w="955" w:type="dxa"/>
            <w:tcBorders>
              <w:top w:val="single" w:sz="4" w:space="0" w:color="A6A6A6"/>
              <w:left w:val="single" w:sz="4" w:space="0" w:color="A6A6A6"/>
              <w:bottom w:val="single" w:sz="4" w:space="0" w:color="A6A6A6"/>
              <w:right w:val="single" w:sz="4" w:space="0" w:color="A6A6A6"/>
            </w:tcBorders>
          </w:tcPr>
          <w:p w14:paraId="33D9E5E3"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495506B0" w14:textId="77777777" w:rsidR="00BC24A8" w:rsidRDefault="00000000">
            <w:pPr>
              <w:pStyle w:val="TableParagraph"/>
              <w:ind w:left="105"/>
              <w:rPr>
                <w:sz w:val="18"/>
              </w:rPr>
            </w:pPr>
            <w:r>
              <w:rPr>
                <w:sz w:val="18"/>
              </w:rPr>
              <w:t>Gender</w:t>
            </w:r>
            <w:r>
              <w:rPr>
                <w:spacing w:val="39"/>
                <w:sz w:val="18"/>
              </w:rPr>
              <w:t xml:space="preserve"> </w:t>
            </w:r>
            <w:r>
              <w:rPr>
                <w:sz w:val="18"/>
              </w:rPr>
              <w:t>Affirmative</w:t>
            </w:r>
            <w:r>
              <w:rPr>
                <w:spacing w:val="38"/>
                <w:sz w:val="18"/>
              </w:rPr>
              <w:t xml:space="preserve"> </w:t>
            </w:r>
            <w:r>
              <w:rPr>
                <w:sz w:val="18"/>
              </w:rPr>
              <w:t>Policy</w:t>
            </w:r>
            <w:r>
              <w:rPr>
                <w:spacing w:val="37"/>
                <w:sz w:val="18"/>
              </w:rPr>
              <w:t xml:space="preserve"> </w:t>
            </w:r>
            <w:r>
              <w:rPr>
                <w:sz w:val="18"/>
              </w:rPr>
              <w:t>in</w:t>
            </w:r>
            <w:r>
              <w:rPr>
                <w:spacing w:val="39"/>
                <w:sz w:val="18"/>
              </w:rPr>
              <w:t xml:space="preserve"> </w:t>
            </w:r>
            <w:r>
              <w:rPr>
                <w:sz w:val="18"/>
              </w:rPr>
              <w:t>the</w:t>
            </w:r>
            <w:r>
              <w:rPr>
                <w:spacing w:val="38"/>
                <w:sz w:val="18"/>
              </w:rPr>
              <w:t xml:space="preserve"> </w:t>
            </w:r>
            <w:r>
              <w:rPr>
                <w:sz w:val="18"/>
              </w:rPr>
              <w:t>Promotion</w:t>
            </w:r>
            <w:r>
              <w:rPr>
                <w:spacing w:val="39"/>
                <w:sz w:val="18"/>
              </w:rPr>
              <w:t xml:space="preserve"> </w:t>
            </w:r>
            <w:r>
              <w:rPr>
                <w:sz w:val="18"/>
              </w:rPr>
              <w:t>of</w:t>
            </w:r>
            <w:r>
              <w:rPr>
                <w:spacing w:val="38"/>
                <w:sz w:val="18"/>
              </w:rPr>
              <w:t xml:space="preserve"> </w:t>
            </w:r>
            <w:r>
              <w:rPr>
                <w:sz w:val="18"/>
              </w:rPr>
              <w:t>Structural</w:t>
            </w:r>
            <w:r>
              <w:rPr>
                <w:spacing w:val="40"/>
                <w:sz w:val="18"/>
              </w:rPr>
              <w:t xml:space="preserve"> </w:t>
            </w:r>
            <w:r>
              <w:rPr>
                <w:sz w:val="18"/>
              </w:rPr>
              <w:t>Positions</w:t>
            </w:r>
            <w:r>
              <w:rPr>
                <w:spacing w:val="39"/>
                <w:sz w:val="18"/>
              </w:rPr>
              <w:t xml:space="preserve"> </w:t>
            </w:r>
            <w:r>
              <w:rPr>
                <w:sz w:val="18"/>
              </w:rPr>
              <w:t>in</w:t>
            </w:r>
            <w:r>
              <w:rPr>
                <w:spacing w:val="39"/>
                <w:sz w:val="18"/>
              </w:rPr>
              <w:t xml:space="preserve"> </w:t>
            </w:r>
            <w:r>
              <w:rPr>
                <w:sz w:val="18"/>
              </w:rPr>
              <w:t>the</w:t>
            </w:r>
            <w:r>
              <w:rPr>
                <w:spacing w:val="37"/>
                <w:sz w:val="18"/>
              </w:rPr>
              <w:t xml:space="preserve"> </w:t>
            </w:r>
            <w:r>
              <w:rPr>
                <w:sz w:val="18"/>
              </w:rPr>
              <w:t>NTT</w:t>
            </w:r>
            <w:r>
              <w:rPr>
                <w:spacing w:val="38"/>
                <w:sz w:val="18"/>
              </w:rPr>
              <w:t xml:space="preserve"> </w:t>
            </w:r>
            <w:r>
              <w:rPr>
                <w:sz w:val="18"/>
              </w:rPr>
              <w:t xml:space="preserve">Provincial </w:t>
            </w:r>
            <w:r>
              <w:rPr>
                <w:spacing w:val="-2"/>
                <w:sz w:val="18"/>
              </w:rPr>
              <w:t>Government</w:t>
            </w:r>
          </w:p>
        </w:tc>
        <w:tc>
          <w:tcPr>
            <w:tcW w:w="1096" w:type="dxa"/>
            <w:tcBorders>
              <w:top w:val="single" w:sz="4" w:space="0" w:color="A6A6A6"/>
              <w:left w:val="single" w:sz="4" w:space="0" w:color="A6A6A6"/>
              <w:bottom w:val="single" w:sz="4" w:space="0" w:color="A6A6A6"/>
              <w:right w:val="single" w:sz="4" w:space="0" w:color="A6A6A6"/>
            </w:tcBorders>
          </w:tcPr>
          <w:p w14:paraId="5DEE63E1" w14:textId="77777777" w:rsidR="00BC24A8" w:rsidRDefault="00000000">
            <w:pPr>
              <w:pStyle w:val="TableParagraph"/>
              <w:spacing w:line="219" w:lineRule="exact"/>
              <w:ind w:left="108"/>
              <w:rPr>
                <w:sz w:val="18"/>
              </w:rPr>
            </w:pPr>
            <w:r>
              <w:rPr>
                <w:spacing w:val="-5"/>
                <w:sz w:val="18"/>
              </w:rPr>
              <w:t>NTT</w:t>
            </w:r>
          </w:p>
        </w:tc>
      </w:tr>
      <w:tr w:rsidR="00BC24A8" w14:paraId="0E0B4AF3" w14:textId="77777777">
        <w:trPr>
          <w:trHeight w:val="302"/>
        </w:trPr>
        <w:tc>
          <w:tcPr>
            <w:tcW w:w="552" w:type="dxa"/>
            <w:tcBorders>
              <w:top w:val="single" w:sz="4" w:space="0" w:color="A6A6A6"/>
              <w:left w:val="single" w:sz="4" w:space="0" w:color="A6A6A6"/>
              <w:bottom w:val="single" w:sz="4" w:space="0" w:color="A6A6A6"/>
              <w:right w:val="single" w:sz="4" w:space="0" w:color="A6A6A6"/>
            </w:tcBorders>
          </w:tcPr>
          <w:p w14:paraId="02CD70CF" w14:textId="77777777" w:rsidR="00BC24A8" w:rsidRDefault="00000000">
            <w:pPr>
              <w:pStyle w:val="TableParagraph"/>
              <w:spacing w:before="1"/>
              <w:ind w:right="96"/>
              <w:jc w:val="right"/>
              <w:rPr>
                <w:sz w:val="18"/>
              </w:rPr>
            </w:pPr>
            <w:r>
              <w:rPr>
                <w:spacing w:val="-5"/>
                <w:sz w:val="18"/>
              </w:rPr>
              <w:t>104</w:t>
            </w:r>
          </w:p>
        </w:tc>
        <w:tc>
          <w:tcPr>
            <w:tcW w:w="955" w:type="dxa"/>
            <w:tcBorders>
              <w:top w:val="single" w:sz="4" w:space="0" w:color="A6A6A6"/>
              <w:left w:val="single" w:sz="4" w:space="0" w:color="A6A6A6"/>
              <w:bottom w:val="single" w:sz="4" w:space="0" w:color="A6A6A6"/>
              <w:right w:val="single" w:sz="4" w:space="0" w:color="A6A6A6"/>
            </w:tcBorders>
          </w:tcPr>
          <w:p w14:paraId="1E6D6FF2"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676C59FA" w14:textId="77777777" w:rsidR="00BC24A8" w:rsidRDefault="00000000">
            <w:pPr>
              <w:pStyle w:val="TableParagraph"/>
              <w:spacing w:before="1"/>
              <w:ind w:left="105"/>
              <w:rPr>
                <w:sz w:val="18"/>
              </w:rPr>
            </w:pPr>
            <w:r>
              <w:rPr>
                <w:sz w:val="18"/>
              </w:rPr>
              <w:t>SEZ</w:t>
            </w:r>
            <w:r>
              <w:rPr>
                <w:spacing w:val="-7"/>
                <w:sz w:val="18"/>
              </w:rPr>
              <w:t xml:space="preserve"> </w:t>
            </w:r>
            <w:r>
              <w:rPr>
                <w:sz w:val="18"/>
              </w:rPr>
              <w:t>Establishment</w:t>
            </w:r>
            <w:r>
              <w:rPr>
                <w:spacing w:val="-5"/>
                <w:sz w:val="18"/>
              </w:rPr>
              <w:t xml:space="preserve"> </w:t>
            </w:r>
            <w:r>
              <w:rPr>
                <w:sz w:val="18"/>
              </w:rPr>
              <w:t>Encourages</w:t>
            </w:r>
            <w:r>
              <w:rPr>
                <w:spacing w:val="-7"/>
                <w:sz w:val="18"/>
              </w:rPr>
              <w:t xml:space="preserve"> </w:t>
            </w:r>
            <w:r>
              <w:rPr>
                <w:sz w:val="18"/>
              </w:rPr>
              <w:t>Economic</w:t>
            </w:r>
            <w:r>
              <w:rPr>
                <w:spacing w:val="-6"/>
                <w:sz w:val="18"/>
              </w:rPr>
              <w:t xml:space="preserve"> </w:t>
            </w:r>
            <w:r>
              <w:rPr>
                <w:sz w:val="18"/>
              </w:rPr>
              <w:t>Acceleration</w:t>
            </w:r>
            <w:r>
              <w:rPr>
                <w:spacing w:val="-7"/>
                <w:sz w:val="18"/>
              </w:rPr>
              <w:t xml:space="preserve"> </w:t>
            </w:r>
            <w:r>
              <w:rPr>
                <w:sz w:val="18"/>
              </w:rPr>
              <w:t>in</w:t>
            </w:r>
            <w:r>
              <w:rPr>
                <w:spacing w:val="-6"/>
                <w:sz w:val="18"/>
              </w:rPr>
              <w:t xml:space="preserve"> </w:t>
            </w:r>
            <w:r>
              <w:rPr>
                <w:sz w:val="18"/>
              </w:rPr>
              <w:t>State</w:t>
            </w:r>
            <w:r>
              <w:rPr>
                <w:spacing w:val="-6"/>
                <w:sz w:val="18"/>
              </w:rPr>
              <w:t xml:space="preserve"> </w:t>
            </w:r>
            <w:r>
              <w:rPr>
                <w:sz w:val="18"/>
              </w:rPr>
              <w:t>Border</w:t>
            </w:r>
            <w:r>
              <w:rPr>
                <w:spacing w:val="-7"/>
                <w:sz w:val="18"/>
              </w:rPr>
              <w:t xml:space="preserve"> </w:t>
            </w:r>
            <w:r>
              <w:rPr>
                <w:sz w:val="18"/>
              </w:rPr>
              <w:t>Areas</w:t>
            </w:r>
            <w:r>
              <w:rPr>
                <w:spacing w:val="-6"/>
                <w:sz w:val="18"/>
              </w:rPr>
              <w:t xml:space="preserve"> </w:t>
            </w:r>
            <w:r>
              <w:rPr>
                <w:sz w:val="18"/>
              </w:rPr>
              <w:t>in</w:t>
            </w:r>
            <w:r>
              <w:rPr>
                <w:spacing w:val="-6"/>
                <w:sz w:val="18"/>
              </w:rPr>
              <w:t xml:space="preserve"> </w:t>
            </w:r>
            <w:r>
              <w:rPr>
                <w:spacing w:val="-5"/>
                <w:sz w:val="18"/>
              </w:rPr>
              <w:t>NTT</w:t>
            </w:r>
          </w:p>
        </w:tc>
        <w:tc>
          <w:tcPr>
            <w:tcW w:w="1096" w:type="dxa"/>
            <w:tcBorders>
              <w:top w:val="single" w:sz="4" w:space="0" w:color="A6A6A6"/>
              <w:left w:val="single" w:sz="4" w:space="0" w:color="A6A6A6"/>
              <w:bottom w:val="single" w:sz="4" w:space="0" w:color="A6A6A6"/>
              <w:right w:val="single" w:sz="4" w:space="0" w:color="A6A6A6"/>
            </w:tcBorders>
          </w:tcPr>
          <w:p w14:paraId="42C4AC1A" w14:textId="77777777" w:rsidR="00BC24A8" w:rsidRDefault="00000000">
            <w:pPr>
              <w:pStyle w:val="TableParagraph"/>
              <w:spacing w:before="1"/>
              <w:ind w:left="108"/>
              <w:rPr>
                <w:sz w:val="18"/>
              </w:rPr>
            </w:pPr>
            <w:r>
              <w:rPr>
                <w:spacing w:val="-5"/>
                <w:sz w:val="18"/>
              </w:rPr>
              <w:t>NTT</w:t>
            </w:r>
          </w:p>
        </w:tc>
      </w:tr>
      <w:tr w:rsidR="00BC24A8" w14:paraId="0D661309"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6246F629" w14:textId="77777777" w:rsidR="00BC24A8" w:rsidRDefault="00000000">
            <w:pPr>
              <w:pStyle w:val="TableParagraph"/>
              <w:spacing w:line="219" w:lineRule="exact"/>
              <w:ind w:right="96"/>
              <w:jc w:val="right"/>
              <w:rPr>
                <w:sz w:val="18"/>
              </w:rPr>
            </w:pPr>
            <w:r>
              <w:rPr>
                <w:spacing w:val="-5"/>
                <w:sz w:val="18"/>
              </w:rPr>
              <w:t>105</w:t>
            </w:r>
          </w:p>
        </w:tc>
        <w:tc>
          <w:tcPr>
            <w:tcW w:w="955" w:type="dxa"/>
            <w:tcBorders>
              <w:top w:val="single" w:sz="4" w:space="0" w:color="A6A6A6"/>
              <w:left w:val="single" w:sz="4" w:space="0" w:color="A6A6A6"/>
              <w:bottom w:val="single" w:sz="4" w:space="0" w:color="A6A6A6"/>
              <w:right w:val="single" w:sz="4" w:space="0" w:color="A6A6A6"/>
            </w:tcBorders>
          </w:tcPr>
          <w:p w14:paraId="575E7156"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5D2EE667" w14:textId="77777777" w:rsidR="00BC24A8" w:rsidRDefault="00000000">
            <w:pPr>
              <w:pStyle w:val="TableParagraph"/>
              <w:spacing w:line="219" w:lineRule="exact"/>
              <w:ind w:left="105"/>
              <w:rPr>
                <w:sz w:val="18"/>
              </w:rPr>
            </w:pPr>
            <w:r>
              <w:rPr>
                <w:sz w:val="18"/>
              </w:rPr>
              <w:t>Strategies</w:t>
            </w:r>
            <w:r>
              <w:rPr>
                <w:spacing w:val="-11"/>
                <w:sz w:val="18"/>
              </w:rPr>
              <w:t xml:space="preserve"> </w:t>
            </w:r>
            <w:r>
              <w:rPr>
                <w:sz w:val="18"/>
              </w:rPr>
              <w:t>for</w:t>
            </w:r>
            <w:r>
              <w:rPr>
                <w:spacing w:val="-8"/>
                <w:sz w:val="18"/>
              </w:rPr>
              <w:t xml:space="preserve"> </w:t>
            </w:r>
            <w:r>
              <w:rPr>
                <w:sz w:val="18"/>
              </w:rPr>
              <w:t>Strengthening</w:t>
            </w:r>
            <w:r>
              <w:rPr>
                <w:spacing w:val="-10"/>
                <w:sz w:val="18"/>
              </w:rPr>
              <w:t xml:space="preserve"> </w:t>
            </w:r>
            <w:r>
              <w:rPr>
                <w:sz w:val="18"/>
              </w:rPr>
              <w:t>Data</w:t>
            </w:r>
            <w:r>
              <w:rPr>
                <w:spacing w:val="-10"/>
                <w:sz w:val="18"/>
              </w:rPr>
              <w:t xml:space="preserve"> </w:t>
            </w:r>
            <w:r>
              <w:rPr>
                <w:sz w:val="18"/>
              </w:rPr>
              <w:t>on</w:t>
            </w:r>
            <w:r>
              <w:rPr>
                <w:spacing w:val="-8"/>
                <w:sz w:val="18"/>
              </w:rPr>
              <w:t xml:space="preserve"> </w:t>
            </w:r>
            <w:r>
              <w:rPr>
                <w:sz w:val="18"/>
              </w:rPr>
              <w:t>Targeted</w:t>
            </w:r>
            <w:r>
              <w:rPr>
                <w:spacing w:val="-9"/>
                <w:sz w:val="18"/>
              </w:rPr>
              <w:t xml:space="preserve"> </w:t>
            </w:r>
            <w:r>
              <w:rPr>
                <w:sz w:val="18"/>
              </w:rPr>
              <w:t>PKH</w:t>
            </w:r>
            <w:r>
              <w:rPr>
                <w:spacing w:val="-9"/>
                <w:sz w:val="18"/>
              </w:rPr>
              <w:t xml:space="preserve"> </w:t>
            </w:r>
            <w:r>
              <w:rPr>
                <w:spacing w:val="-2"/>
                <w:sz w:val="18"/>
              </w:rPr>
              <w:t>Beneficiaries</w:t>
            </w:r>
          </w:p>
        </w:tc>
        <w:tc>
          <w:tcPr>
            <w:tcW w:w="1096" w:type="dxa"/>
            <w:tcBorders>
              <w:top w:val="single" w:sz="4" w:space="0" w:color="A6A6A6"/>
              <w:left w:val="single" w:sz="4" w:space="0" w:color="A6A6A6"/>
              <w:bottom w:val="single" w:sz="4" w:space="0" w:color="A6A6A6"/>
              <w:right w:val="single" w:sz="4" w:space="0" w:color="A6A6A6"/>
            </w:tcBorders>
          </w:tcPr>
          <w:p w14:paraId="6B49E86A" w14:textId="77777777" w:rsidR="00BC24A8" w:rsidRDefault="00000000">
            <w:pPr>
              <w:pStyle w:val="TableParagraph"/>
              <w:spacing w:line="219" w:lineRule="exact"/>
              <w:ind w:left="108"/>
              <w:rPr>
                <w:sz w:val="18"/>
              </w:rPr>
            </w:pPr>
            <w:r>
              <w:rPr>
                <w:spacing w:val="-5"/>
                <w:sz w:val="18"/>
              </w:rPr>
              <w:t>NTT</w:t>
            </w:r>
          </w:p>
        </w:tc>
      </w:tr>
      <w:tr w:rsidR="00BC24A8" w14:paraId="3269686F"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1FF502BC" w14:textId="77777777" w:rsidR="00BC24A8" w:rsidRDefault="00000000">
            <w:pPr>
              <w:pStyle w:val="TableParagraph"/>
              <w:spacing w:line="219" w:lineRule="exact"/>
              <w:ind w:right="96"/>
              <w:jc w:val="right"/>
              <w:rPr>
                <w:sz w:val="18"/>
              </w:rPr>
            </w:pPr>
            <w:r>
              <w:rPr>
                <w:spacing w:val="-5"/>
                <w:sz w:val="18"/>
              </w:rPr>
              <w:t>106</w:t>
            </w:r>
          </w:p>
        </w:tc>
        <w:tc>
          <w:tcPr>
            <w:tcW w:w="955" w:type="dxa"/>
            <w:tcBorders>
              <w:top w:val="single" w:sz="4" w:space="0" w:color="A6A6A6"/>
              <w:left w:val="single" w:sz="4" w:space="0" w:color="A6A6A6"/>
              <w:bottom w:val="single" w:sz="4" w:space="0" w:color="A6A6A6"/>
              <w:right w:val="single" w:sz="4" w:space="0" w:color="A6A6A6"/>
            </w:tcBorders>
          </w:tcPr>
          <w:p w14:paraId="15769E32"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029FAAFA" w14:textId="77777777" w:rsidR="00BC24A8" w:rsidRDefault="00000000">
            <w:pPr>
              <w:pStyle w:val="TableParagraph"/>
              <w:spacing w:line="219" w:lineRule="exact"/>
              <w:ind w:left="105"/>
              <w:rPr>
                <w:sz w:val="18"/>
              </w:rPr>
            </w:pPr>
            <w:r>
              <w:rPr>
                <w:sz w:val="18"/>
              </w:rPr>
              <w:t>Strategies</w:t>
            </w:r>
            <w:r>
              <w:rPr>
                <w:spacing w:val="-5"/>
                <w:sz w:val="18"/>
              </w:rPr>
              <w:t xml:space="preserve"> </w:t>
            </w:r>
            <w:r>
              <w:rPr>
                <w:sz w:val="18"/>
              </w:rPr>
              <w:t>for</w:t>
            </w:r>
            <w:r>
              <w:rPr>
                <w:spacing w:val="-5"/>
                <w:sz w:val="18"/>
              </w:rPr>
              <w:t xml:space="preserve"> </w:t>
            </w:r>
            <w:r>
              <w:rPr>
                <w:sz w:val="18"/>
              </w:rPr>
              <w:t>fulfilling</w:t>
            </w:r>
            <w:r>
              <w:rPr>
                <w:spacing w:val="-6"/>
                <w:sz w:val="18"/>
              </w:rPr>
              <w:t xml:space="preserve"> </w:t>
            </w:r>
            <w:r>
              <w:rPr>
                <w:sz w:val="18"/>
              </w:rPr>
              <w:t>health</w:t>
            </w:r>
            <w:r>
              <w:rPr>
                <w:spacing w:val="-5"/>
                <w:sz w:val="18"/>
              </w:rPr>
              <w:t xml:space="preserve"> </w:t>
            </w:r>
            <w:r>
              <w:rPr>
                <w:sz w:val="18"/>
              </w:rPr>
              <w:t>human</w:t>
            </w:r>
            <w:r>
              <w:rPr>
                <w:spacing w:val="-5"/>
                <w:sz w:val="18"/>
              </w:rPr>
              <w:t xml:space="preserve"> </w:t>
            </w:r>
            <w:r>
              <w:rPr>
                <w:sz w:val="18"/>
              </w:rPr>
              <w:t>resources</w:t>
            </w:r>
            <w:r>
              <w:rPr>
                <w:spacing w:val="-5"/>
                <w:sz w:val="18"/>
              </w:rPr>
              <w:t xml:space="preserve"> </w:t>
            </w:r>
            <w:r>
              <w:rPr>
                <w:sz w:val="18"/>
              </w:rPr>
              <w:t>at</w:t>
            </w:r>
            <w:r>
              <w:rPr>
                <w:spacing w:val="-4"/>
                <w:sz w:val="18"/>
              </w:rPr>
              <w:t xml:space="preserve"> </w:t>
            </w:r>
            <w:r>
              <w:rPr>
                <w:sz w:val="18"/>
              </w:rPr>
              <w:t>health</w:t>
            </w:r>
            <w:r>
              <w:rPr>
                <w:spacing w:val="-7"/>
                <w:sz w:val="18"/>
              </w:rPr>
              <w:t xml:space="preserve"> </w:t>
            </w:r>
            <w:r>
              <w:rPr>
                <w:sz w:val="18"/>
              </w:rPr>
              <w:t>centers</w:t>
            </w:r>
            <w:r>
              <w:rPr>
                <w:spacing w:val="-5"/>
                <w:sz w:val="18"/>
              </w:rPr>
              <w:t xml:space="preserve"> </w:t>
            </w:r>
            <w:r>
              <w:rPr>
                <w:sz w:val="18"/>
              </w:rPr>
              <w:t>in</w:t>
            </w:r>
            <w:r>
              <w:rPr>
                <w:spacing w:val="-7"/>
                <w:sz w:val="18"/>
              </w:rPr>
              <w:t xml:space="preserve"> </w:t>
            </w:r>
            <w:r>
              <w:rPr>
                <w:spacing w:val="-5"/>
                <w:sz w:val="18"/>
              </w:rPr>
              <w:t>NTT</w:t>
            </w:r>
          </w:p>
        </w:tc>
        <w:tc>
          <w:tcPr>
            <w:tcW w:w="1096" w:type="dxa"/>
            <w:tcBorders>
              <w:top w:val="single" w:sz="4" w:space="0" w:color="A6A6A6"/>
              <w:left w:val="single" w:sz="4" w:space="0" w:color="A6A6A6"/>
              <w:bottom w:val="single" w:sz="4" w:space="0" w:color="A6A6A6"/>
              <w:right w:val="single" w:sz="4" w:space="0" w:color="A6A6A6"/>
            </w:tcBorders>
          </w:tcPr>
          <w:p w14:paraId="426EDEE2" w14:textId="77777777" w:rsidR="00BC24A8" w:rsidRDefault="00000000">
            <w:pPr>
              <w:pStyle w:val="TableParagraph"/>
              <w:spacing w:line="219" w:lineRule="exact"/>
              <w:ind w:left="108"/>
              <w:rPr>
                <w:sz w:val="18"/>
              </w:rPr>
            </w:pPr>
            <w:r>
              <w:rPr>
                <w:spacing w:val="-5"/>
                <w:sz w:val="18"/>
              </w:rPr>
              <w:t>NTT</w:t>
            </w:r>
          </w:p>
        </w:tc>
      </w:tr>
      <w:tr w:rsidR="00BC24A8" w14:paraId="7F81C64C" w14:textId="77777777">
        <w:trPr>
          <w:trHeight w:val="357"/>
        </w:trPr>
        <w:tc>
          <w:tcPr>
            <w:tcW w:w="552" w:type="dxa"/>
            <w:tcBorders>
              <w:top w:val="single" w:sz="4" w:space="0" w:color="A6A6A6"/>
              <w:left w:val="single" w:sz="4" w:space="0" w:color="A6A6A6"/>
              <w:bottom w:val="single" w:sz="4" w:space="0" w:color="A6A6A6"/>
              <w:right w:val="single" w:sz="4" w:space="0" w:color="A6A6A6"/>
            </w:tcBorders>
          </w:tcPr>
          <w:p w14:paraId="10D83D20" w14:textId="77777777" w:rsidR="00BC24A8" w:rsidRDefault="00000000">
            <w:pPr>
              <w:pStyle w:val="TableParagraph"/>
              <w:spacing w:line="219" w:lineRule="exact"/>
              <w:ind w:right="96"/>
              <w:jc w:val="right"/>
              <w:rPr>
                <w:sz w:val="18"/>
              </w:rPr>
            </w:pPr>
            <w:r>
              <w:rPr>
                <w:spacing w:val="-5"/>
                <w:sz w:val="18"/>
              </w:rPr>
              <w:t>107</w:t>
            </w:r>
          </w:p>
        </w:tc>
        <w:tc>
          <w:tcPr>
            <w:tcW w:w="955" w:type="dxa"/>
            <w:tcBorders>
              <w:top w:val="single" w:sz="4" w:space="0" w:color="A6A6A6"/>
              <w:left w:val="single" w:sz="4" w:space="0" w:color="A6A6A6"/>
              <w:bottom w:val="single" w:sz="4" w:space="0" w:color="A6A6A6"/>
              <w:right w:val="single" w:sz="4" w:space="0" w:color="A6A6A6"/>
            </w:tcBorders>
          </w:tcPr>
          <w:p w14:paraId="52AD9D16"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69703220" w14:textId="77777777" w:rsidR="00BC24A8" w:rsidRDefault="00000000">
            <w:pPr>
              <w:pStyle w:val="TableParagraph"/>
              <w:spacing w:line="219" w:lineRule="exact"/>
              <w:ind w:left="105"/>
              <w:rPr>
                <w:sz w:val="18"/>
              </w:rPr>
            </w:pPr>
            <w:r>
              <w:rPr>
                <w:sz w:val="18"/>
              </w:rPr>
              <w:t>Improving</w:t>
            </w:r>
            <w:r>
              <w:rPr>
                <w:spacing w:val="-6"/>
                <w:sz w:val="18"/>
              </w:rPr>
              <w:t xml:space="preserve"> </w:t>
            </w:r>
            <w:r>
              <w:rPr>
                <w:sz w:val="18"/>
              </w:rPr>
              <w:t>the</w:t>
            </w:r>
            <w:r>
              <w:rPr>
                <w:spacing w:val="-6"/>
                <w:sz w:val="18"/>
              </w:rPr>
              <w:t xml:space="preserve"> </w:t>
            </w:r>
            <w:r>
              <w:rPr>
                <w:sz w:val="18"/>
              </w:rPr>
              <w:t>Mental</w:t>
            </w:r>
            <w:r>
              <w:rPr>
                <w:spacing w:val="-4"/>
                <w:sz w:val="18"/>
              </w:rPr>
              <w:t xml:space="preserve"> </w:t>
            </w:r>
            <w:r>
              <w:rPr>
                <w:sz w:val="18"/>
              </w:rPr>
              <w:t>Health</w:t>
            </w:r>
            <w:r>
              <w:rPr>
                <w:spacing w:val="-5"/>
                <w:sz w:val="18"/>
              </w:rPr>
              <w:t xml:space="preserve"> </w:t>
            </w:r>
            <w:r>
              <w:rPr>
                <w:sz w:val="18"/>
              </w:rPr>
              <w:t>of</w:t>
            </w:r>
            <w:r>
              <w:rPr>
                <w:spacing w:val="-6"/>
                <w:sz w:val="18"/>
              </w:rPr>
              <w:t xml:space="preserve"> </w:t>
            </w:r>
            <w:r>
              <w:rPr>
                <w:sz w:val="18"/>
              </w:rPr>
              <w:t>Working</w:t>
            </w:r>
            <w:r>
              <w:rPr>
                <w:spacing w:val="-6"/>
                <w:sz w:val="18"/>
              </w:rPr>
              <w:t xml:space="preserve"> </w:t>
            </w:r>
            <w:r>
              <w:rPr>
                <w:sz w:val="18"/>
              </w:rPr>
              <w:t>Mothers</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Work</w:t>
            </w:r>
            <w:r>
              <w:rPr>
                <w:spacing w:val="-5"/>
                <w:sz w:val="18"/>
              </w:rPr>
              <w:t xml:space="preserve"> </w:t>
            </w:r>
            <w:r>
              <w:rPr>
                <w:sz w:val="18"/>
              </w:rPr>
              <w:t>Environment</w:t>
            </w:r>
            <w:r>
              <w:rPr>
                <w:spacing w:val="-4"/>
                <w:sz w:val="18"/>
              </w:rPr>
              <w:t xml:space="preserve"> </w:t>
            </w:r>
            <w:r>
              <w:rPr>
                <w:sz w:val="18"/>
              </w:rPr>
              <w:t>in</w:t>
            </w:r>
            <w:r>
              <w:rPr>
                <w:spacing w:val="-5"/>
                <w:sz w:val="18"/>
              </w:rPr>
              <w:t xml:space="preserve"> NTT</w:t>
            </w:r>
          </w:p>
        </w:tc>
        <w:tc>
          <w:tcPr>
            <w:tcW w:w="1096" w:type="dxa"/>
            <w:tcBorders>
              <w:top w:val="single" w:sz="4" w:space="0" w:color="A6A6A6"/>
              <w:left w:val="single" w:sz="4" w:space="0" w:color="A6A6A6"/>
              <w:bottom w:val="single" w:sz="4" w:space="0" w:color="A6A6A6"/>
              <w:right w:val="single" w:sz="4" w:space="0" w:color="A6A6A6"/>
            </w:tcBorders>
          </w:tcPr>
          <w:p w14:paraId="103FED5D" w14:textId="77777777" w:rsidR="00BC24A8" w:rsidRDefault="00000000">
            <w:pPr>
              <w:pStyle w:val="TableParagraph"/>
              <w:spacing w:line="219" w:lineRule="exact"/>
              <w:ind w:left="108"/>
              <w:rPr>
                <w:sz w:val="18"/>
              </w:rPr>
            </w:pPr>
            <w:r>
              <w:rPr>
                <w:spacing w:val="-5"/>
                <w:sz w:val="18"/>
              </w:rPr>
              <w:t>NTT</w:t>
            </w:r>
          </w:p>
        </w:tc>
      </w:tr>
      <w:tr w:rsidR="00BC24A8" w14:paraId="0CC97880"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30A156AF" w14:textId="77777777" w:rsidR="00BC24A8" w:rsidRDefault="00000000">
            <w:pPr>
              <w:pStyle w:val="TableParagraph"/>
              <w:spacing w:before="1"/>
              <w:ind w:right="96"/>
              <w:jc w:val="right"/>
              <w:rPr>
                <w:sz w:val="18"/>
              </w:rPr>
            </w:pPr>
            <w:r>
              <w:rPr>
                <w:spacing w:val="-5"/>
                <w:sz w:val="18"/>
              </w:rPr>
              <w:t>108</w:t>
            </w:r>
          </w:p>
        </w:tc>
        <w:tc>
          <w:tcPr>
            <w:tcW w:w="955" w:type="dxa"/>
            <w:tcBorders>
              <w:top w:val="single" w:sz="4" w:space="0" w:color="A6A6A6"/>
              <w:left w:val="single" w:sz="4" w:space="0" w:color="A6A6A6"/>
              <w:bottom w:val="single" w:sz="4" w:space="0" w:color="A6A6A6"/>
              <w:right w:val="single" w:sz="4" w:space="0" w:color="A6A6A6"/>
            </w:tcBorders>
          </w:tcPr>
          <w:p w14:paraId="388741D4"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37F53C15" w14:textId="77777777" w:rsidR="00BC24A8" w:rsidRDefault="00000000">
            <w:pPr>
              <w:pStyle w:val="TableParagraph"/>
              <w:spacing w:before="1"/>
              <w:ind w:left="105" w:right="49"/>
              <w:rPr>
                <w:sz w:val="18"/>
              </w:rPr>
            </w:pPr>
            <w:r>
              <w:rPr>
                <w:sz w:val="18"/>
              </w:rPr>
              <w:t>Considering</w:t>
            </w:r>
            <w:r>
              <w:rPr>
                <w:spacing w:val="-3"/>
                <w:sz w:val="18"/>
              </w:rPr>
              <w:t xml:space="preserve"> </w:t>
            </w:r>
            <w:r>
              <w:rPr>
                <w:sz w:val="18"/>
              </w:rPr>
              <w:t>Alternatives</w:t>
            </w:r>
            <w:r>
              <w:rPr>
                <w:spacing w:val="-3"/>
                <w:sz w:val="18"/>
              </w:rPr>
              <w:t xml:space="preserve"> </w:t>
            </w:r>
            <w:r>
              <w:rPr>
                <w:sz w:val="18"/>
              </w:rPr>
              <w:t>to</w:t>
            </w:r>
            <w:r>
              <w:rPr>
                <w:spacing w:val="-5"/>
                <w:sz w:val="18"/>
              </w:rPr>
              <w:t xml:space="preserve"> </w:t>
            </w:r>
            <w:r>
              <w:rPr>
                <w:sz w:val="18"/>
              </w:rPr>
              <w:t>the</w:t>
            </w:r>
            <w:r>
              <w:rPr>
                <w:spacing w:val="-3"/>
                <w:sz w:val="18"/>
              </w:rPr>
              <w:t xml:space="preserve"> </w:t>
            </w:r>
            <w:r>
              <w:rPr>
                <w:sz w:val="18"/>
              </w:rPr>
              <w:t>Moratorium</w:t>
            </w:r>
            <w:r>
              <w:rPr>
                <w:spacing w:val="-3"/>
                <w:sz w:val="18"/>
              </w:rPr>
              <w:t xml:space="preserve"> </w:t>
            </w:r>
            <w:r>
              <w:rPr>
                <w:sz w:val="18"/>
              </w:rPr>
              <w:t>on</w:t>
            </w:r>
            <w:r>
              <w:rPr>
                <w:spacing w:val="-3"/>
                <w:sz w:val="18"/>
              </w:rPr>
              <w:t xml:space="preserve"> </w:t>
            </w:r>
            <w:r>
              <w:rPr>
                <w:sz w:val="18"/>
              </w:rPr>
              <w:t>the</w:t>
            </w:r>
            <w:r>
              <w:rPr>
                <w:spacing w:val="-5"/>
                <w:sz w:val="18"/>
              </w:rPr>
              <w:t xml:space="preserve"> </w:t>
            </w:r>
            <w:r>
              <w:rPr>
                <w:sz w:val="18"/>
              </w:rPr>
              <w:t>Placement</w:t>
            </w:r>
            <w:r>
              <w:rPr>
                <w:spacing w:val="-2"/>
                <w:sz w:val="18"/>
              </w:rPr>
              <w:t xml:space="preserve"> </w:t>
            </w:r>
            <w:r>
              <w:rPr>
                <w:sz w:val="18"/>
              </w:rPr>
              <w:t>of</w:t>
            </w:r>
            <w:r>
              <w:rPr>
                <w:spacing w:val="-4"/>
                <w:sz w:val="18"/>
              </w:rPr>
              <w:t xml:space="preserve"> </w:t>
            </w:r>
            <w:r>
              <w:rPr>
                <w:sz w:val="18"/>
              </w:rPr>
              <w:t>Indonesian</w:t>
            </w:r>
            <w:r>
              <w:rPr>
                <w:spacing w:val="-2"/>
                <w:sz w:val="18"/>
              </w:rPr>
              <w:t xml:space="preserve"> </w:t>
            </w:r>
            <w:r>
              <w:rPr>
                <w:sz w:val="18"/>
              </w:rPr>
              <w:t>Migrant</w:t>
            </w:r>
            <w:r>
              <w:rPr>
                <w:spacing w:val="-2"/>
                <w:sz w:val="18"/>
              </w:rPr>
              <w:t xml:space="preserve"> </w:t>
            </w:r>
            <w:r>
              <w:rPr>
                <w:sz w:val="18"/>
              </w:rPr>
              <w:t>Workers in NTT</w:t>
            </w:r>
          </w:p>
        </w:tc>
        <w:tc>
          <w:tcPr>
            <w:tcW w:w="1096" w:type="dxa"/>
            <w:tcBorders>
              <w:top w:val="single" w:sz="4" w:space="0" w:color="A6A6A6"/>
              <w:left w:val="single" w:sz="4" w:space="0" w:color="A6A6A6"/>
              <w:bottom w:val="single" w:sz="4" w:space="0" w:color="A6A6A6"/>
              <w:right w:val="single" w:sz="4" w:space="0" w:color="A6A6A6"/>
            </w:tcBorders>
          </w:tcPr>
          <w:p w14:paraId="560EB1D7" w14:textId="77777777" w:rsidR="00BC24A8" w:rsidRDefault="00000000">
            <w:pPr>
              <w:pStyle w:val="TableParagraph"/>
              <w:spacing w:before="1"/>
              <w:ind w:left="108"/>
              <w:rPr>
                <w:sz w:val="18"/>
              </w:rPr>
            </w:pPr>
            <w:r>
              <w:rPr>
                <w:spacing w:val="-5"/>
                <w:sz w:val="18"/>
              </w:rPr>
              <w:t>NTT</w:t>
            </w:r>
          </w:p>
        </w:tc>
      </w:tr>
      <w:tr w:rsidR="00BC24A8" w14:paraId="00389204"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28206F7D" w14:textId="77777777" w:rsidR="00BC24A8" w:rsidRDefault="00000000">
            <w:pPr>
              <w:pStyle w:val="TableParagraph"/>
              <w:spacing w:before="1"/>
              <w:ind w:right="96"/>
              <w:jc w:val="right"/>
              <w:rPr>
                <w:sz w:val="18"/>
              </w:rPr>
            </w:pPr>
            <w:r>
              <w:rPr>
                <w:spacing w:val="-5"/>
                <w:sz w:val="18"/>
              </w:rPr>
              <w:t>109</w:t>
            </w:r>
          </w:p>
        </w:tc>
        <w:tc>
          <w:tcPr>
            <w:tcW w:w="955" w:type="dxa"/>
            <w:tcBorders>
              <w:top w:val="single" w:sz="4" w:space="0" w:color="A6A6A6"/>
              <w:left w:val="single" w:sz="4" w:space="0" w:color="A6A6A6"/>
              <w:bottom w:val="single" w:sz="4" w:space="0" w:color="A6A6A6"/>
              <w:right w:val="single" w:sz="4" w:space="0" w:color="A6A6A6"/>
            </w:tcBorders>
          </w:tcPr>
          <w:p w14:paraId="7F61CF98"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6665FB78" w14:textId="77777777" w:rsidR="00BC24A8" w:rsidRDefault="00000000">
            <w:pPr>
              <w:pStyle w:val="TableParagraph"/>
              <w:spacing w:before="1"/>
              <w:ind w:left="105"/>
              <w:rPr>
                <w:sz w:val="18"/>
              </w:rPr>
            </w:pPr>
            <w:r>
              <w:rPr>
                <w:sz w:val="18"/>
              </w:rPr>
              <w:t>Finding</w:t>
            </w:r>
            <w:r>
              <w:rPr>
                <w:spacing w:val="-4"/>
                <w:sz w:val="18"/>
              </w:rPr>
              <w:t xml:space="preserve"> </w:t>
            </w:r>
            <w:r>
              <w:rPr>
                <w:sz w:val="18"/>
              </w:rPr>
              <w:t>Solutions</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Emergency</w:t>
            </w:r>
            <w:r>
              <w:rPr>
                <w:spacing w:val="-2"/>
                <w:sz w:val="18"/>
              </w:rPr>
              <w:t xml:space="preserve"> </w:t>
            </w:r>
            <w:r>
              <w:rPr>
                <w:sz w:val="18"/>
              </w:rPr>
              <w:t>of</w:t>
            </w:r>
            <w:r>
              <w:rPr>
                <w:spacing w:val="-3"/>
                <w:sz w:val="18"/>
              </w:rPr>
              <w:t xml:space="preserve"> </w:t>
            </w:r>
            <w:r>
              <w:rPr>
                <w:sz w:val="18"/>
              </w:rPr>
              <w:t>Child</w:t>
            </w:r>
            <w:r>
              <w:rPr>
                <w:spacing w:val="-3"/>
                <w:sz w:val="18"/>
              </w:rPr>
              <w:t xml:space="preserve"> </w:t>
            </w:r>
            <w:r>
              <w:rPr>
                <w:sz w:val="18"/>
              </w:rPr>
              <w:t>Sexual</w:t>
            </w:r>
            <w:r>
              <w:rPr>
                <w:spacing w:val="-1"/>
                <w:sz w:val="18"/>
              </w:rPr>
              <w:t xml:space="preserve"> </w:t>
            </w:r>
            <w:r>
              <w:rPr>
                <w:sz w:val="18"/>
              </w:rPr>
              <w:t>Abuse</w:t>
            </w:r>
            <w:r>
              <w:rPr>
                <w:spacing w:val="-2"/>
                <w:sz w:val="18"/>
              </w:rPr>
              <w:t xml:space="preserve"> </w:t>
            </w:r>
            <w:r>
              <w:rPr>
                <w:sz w:val="18"/>
              </w:rPr>
              <w:t>in</w:t>
            </w:r>
            <w:r>
              <w:rPr>
                <w:spacing w:val="-5"/>
                <w:sz w:val="18"/>
              </w:rPr>
              <w:t xml:space="preserve"> NTT</w:t>
            </w:r>
          </w:p>
        </w:tc>
        <w:tc>
          <w:tcPr>
            <w:tcW w:w="1096" w:type="dxa"/>
            <w:tcBorders>
              <w:top w:val="single" w:sz="4" w:space="0" w:color="A6A6A6"/>
              <w:left w:val="single" w:sz="4" w:space="0" w:color="A6A6A6"/>
              <w:bottom w:val="single" w:sz="4" w:space="0" w:color="A6A6A6"/>
              <w:right w:val="single" w:sz="4" w:space="0" w:color="A6A6A6"/>
            </w:tcBorders>
          </w:tcPr>
          <w:p w14:paraId="716D112B" w14:textId="77777777" w:rsidR="00BC24A8" w:rsidRDefault="00000000">
            <w:pPr>
              <w:pStyle w:val="TableParagraph"/>
              <w:spacing w:before="1"/>
              <w:ind w:left="108"/>
              <w:rPr>
                <w:sz w:val="18"/>
              </w:rPr>
            </w:pPr>
            <w:r>
              <w:rPr>
                <w:spacing w:val="-5"/>
                <w:sz w:val="18"/>
              </w:rPr>
              <w:t>NTT</w:t>
            </w:r>
          </w:p>
        </w:tc>
      </w:tr>
      <w:tr w:rsidR="00BC24A8" w14:paraId="69C3C9D8" w14:textId="77777777">
        <w:trPr>
          <w:trHeight w:val="350"/>
        </w:trPr>
        <w:tc>
          <w:tcPr>
            <w:tcW w:w="552" w:type="dxa"/>
            <w:tcBorders>
              <w:top w:val="single" w:sz="4" w:space="0" w:color="A6A6A6"/>
              <w:left w:val="single" w:sz="4" w:space="0" w:color="A6A6A6"/>
              <w:bottom w:val="single" w:sz="4" w:space="0" w:color="A6A6A6"/>
              <w:right w:val="single" w:sz="4" w:space="0" w:color="A6A6A6"/>
            </w:tcBorders>
          </w:tcPr>
          <w:p w14:paraId="15464C71" w14:textId="77777777" w:rsidR="00BC24A8" w:rsidRDefault="00000000">
            <w:pPr>
              <w:pStyle w:val="TableParagraph"/>
              <w:spacing w:before="1"/>
              <w:ind w:right="96"/>
              <w:jc w:val="right"/>
              <w:rPr>
                <w:sz w:val="18"/>
              </w:rPr>
            </w:pPr>
            <w:r>
              <w:rPr>
                <w:spacing w:val="-5"/>
                <w:sz w:val="18"/>
              </w:rPr>
              <w:t>110</w:t>
            </w:r>
          </w:p>
        </w:tc>
        <w:tc>
          <w:tcPr>
            <w:tcW w:w="955" w:type="dxa"/>
            <w:tcBorders>
              <w:top w:val="single" w:sz="4" w:space="0" w:color="A6A6A6"/>
              <w:left w:val="single" w:sz="4" w:space="0" w:color="A6A6A6"/>
              <w:bottom w:val="single" w:sz="4" w:space="0" w:color="A6A6A6"/>
              <w:right w:val="single" w:sz="4" w:space="0" w:color="A6A6A6"/>
            </w:tcBorders>
          </w:tcPr>
          <w:p w14:paraId="44EF4C3D"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2B4CA96B" w14:textId="77777777" w:rsidR="00BC24A8" w:rsidRDefault="00000000">
            <w:pPr>
              <w:pStyle w:val="TableParagraph"/>
              <w:spacing w:before="1"/>
              <w:ind w:left="105"/>
              <w:rPr>
                <w:sz w:val="18"/>
              </w:rPr>
            </w:pPr>
            <w:r>
              <w:rPr>
                <w:sz w:val="18"/>
              </w:rPr>
              <w:t>Accelerating</w:t>
            </w:r>
            <w:r>
              <w:rPr>
                <w:spacing w:val="-7"/>
                <w:sz w:val="18"/>
              </w:rPr>
              <w:t xml:space="preserve"> </w:t>
            </w:r>
            <w:r>
              <w:rPr>
                <w:sz w:val="18"/>
              </w:rPr>
              <w:t>Talent</w:t>
            </w:r>
            <w:r>
              <w:rPr>
                <w:spacing w:val="-5"/>
                <w:sz w:val="18"/>
              </w:rPr>
              <w:t xml:space="preserve"> </w:t>
            </w:r>
            <w:r>
              <w:rPr>
                <w:sz w:val="18"/>
              </w:rPr>
              <w:t>Management</w:t>
            </w:r>
            <w:r>
              <w:rPr>
                <w:spacing w:val="-5"/>
                <w:sz w:val="18"/>
              </w:rPr>
              <w:t xml:space="preserve"> </w:t>
            </w:r>
            <w:r>
              <w:rPr>
                <w:sz w:val="18"/>
              </w:rPr>
              <w:t>Based</w:t>
            </w:r>
            <w:r>
              <w:rPr>
                <w:spacing w:val="-5"/>
                <w:sz w:val="18"/>
              </w:rPr>
              <w:t xml:space="preserve"> </w:t>
            </w:r>
            <w:r>
              <w:rPr>
                <w:sz w:val="18"/>
              </w:rPr>
              <w:t>on</w:t>
            </w:r>
            <w:r>
              <w:rPr>
                <w:spacing w:val="-6"/>
                <w:sz w:val="18"/>
              </w:rPr>
              <w:t xml:space="preserve"> </w:t>
            </w:r>
            <w:r>
              <w:rPr>
                <w:sz w:val="18"/>
              </w:rPr>
              <w:t>Inclusive</w:t>
            </w:r>
            <w:r>
              <w:rPr>
                <w:spacing w:val="-6"/>
                <w:sz w:val="18"/>
              </w:rPr>
              <w:t xml:space="preserve"> </w:t>
            </w:r>
            <w:r>
              <w:rPr>
                <w:sz w:val="18"/>
              </w:rPr>
              <w:t>and</w:t>
            </w:r>
            <w:r>
              <w:rPr>
                <w:spacing w:val="-5"/>
                <w:sz w:val="18"/>
              </w:rPr>
              <w:t xml:space="preserve"> </w:t>
            </w:r>
            <w:r>
              <w:rPr>
                <w:sz w:val="18"/>
              </w:rPr>
              <w:t>Equitable</w:t>
            </w:r>
            <w:r>
              <w:rPr>
                <w:spacing w:val="-8"/>
                <w:sz w:val="18"/>
              </w:rPr>
              <w:t xml:space="preserve"> </w:t>
            </w:r>
            <w:r>
              <w:rPr>
                <w:sz w:val="18"/>
              </w:rPr>
              <w:t>Merit</w:t>
            </w:r>
            <w:r>
              <w:rPr>
                <w:spacing w:val="-5"/>
                <w:sz w:val="18"/>
              </w:rPr>
              <w:t xml:space="preserve"> </w:t>
            </w:r>
            <w:r>
              <w:rPr>
                <w:sz w:val="18"/>
              </w:rPr>
              <w:t>System</w:t>
            </w:r>
            <w:r>
              <w:rPr>
                <w:spacing w:val="-7"/>
                <w:sz w:val="18"/>
              </w:rPr>
              <w:t xml:space="preserve"> </w:t>
            </w:r>
            <w:r>
              <w:rPr>
                <w:sz w:val="18"/>
              </w:rPr>
              <w:t>in</w:t>
            </w:r>
            <w:r>
              <w:rPr>
                <w:spacing w:val="-5"/>
                <w:sz w:val="18"/>
              </w:rPr>
              <w:t xml:space="preserve"> NTT</w:t>
            </w:r>
          </w:p>
        </w:tc>
        <w:tc>
          <w:tcPr>
            <w:tcW w:w="1096" w:type="dxa"/>
            <w:tcBorders>
              <w:top w:val="single" w:sz="4" w:space="0" w:color="A6A6A6"/>
              <w:left w:val="single" w:sz="4" w:space="0" w:color="A6A6A6"/>
              <w:bottom w:val="single" w:sz="4" w:space="0" w:color="A6A6A6"/>
              <w:right w:val="single" w:sz="4" w:space="0" w:color="A6A6A6"/>
            </w:tcBorders>
          </w:tcPr>
          <w:p w14:paraId="370C3115" w14:textId="77777777" w:rsidR="00BC24A8" w:rsidRDefault="00000000">
            <w:pPr>
              <w:pStyle w:val="TableParagraph"/>
              <w:spacing w:before="1"/>
              <w:ind w:left="108"/>
              <w:rPr>
                <w:sz w:val="18"/>
              </w:rPr>
            </w:pPr>
            <w:r>
              <w:rPr>
                <w:spacing w:val="-5"/>
                <w:sz w:val="18"/>
              </w:rPr>
              <w:t>NTT</w:t>
            </w:r>
          </w:p>
        </w:tc>
      </w:tr>
      <w:tr w:rsidR="00BC24A8" w14:paraId="1D5D3A60" w14:textId="77777777">
        <w:trPr>
          <w:trHeight w:val="285"/>
        </w:trPr>
        <w:tc>
          <w:tcPr>
            <w:tcW w:w="552" w:type="dxa"/>
            <w:tcBorders>
              <w:top w:val="single" w:sz="4" w:space="0" w:color="A6A6A6"/>
              <w:left w:val="single" w:sz="4" w:space="0" w:color="A6A6A6"/>
              <w:bottom w:val="single" w:sz="4" w:space="0" w:color="A6A6A6"/>
              <w:right w:val="single" w:sz="4" w:space="0" w:color="A6A6A6"/>
            </w:tcBorders>
          </w:tcPr>
          <w:p w14:paraId="17234DCB" w14:textId="77777777" w:rsidR="00BC24A8" w:rsidRDefault="00000000">
            <w:pPr>
              <w:pStyle w:val="TableParagraph"/>
              <w:spacing w:before="1"/>
              <w:ind w:right="96"/>
              <w:jc w:val="right"/>
              <w:rPr>
                <w:sz w:val="18"/>
              </w:rPr>
            </w:pPr>
            <w:r>
              <w:rPr>
                <w:spacing w:val="-5"/>
                <w:sz w:val="18"/>
              </w:rPr>
              <w:t>111</w:t>
            </w:r>
          </w:p>
        </w:tc>
        <w:tc>
          <w:tcPr>
            <w:tcW w:w="955" w:type="dxa"/>
            <w:tcBorders>
              <w:top w:val="single" w:sz="4" w:space="0" w:color="A6A6A6"/>
              <w:left w:val="single" w:sz="4" w:space="0" w:color="A6A6A6"/>
              <w:bottom w:val="single" w:sz="4" w:space="0" w:color="A6A6A6"/>
              <w:right w:val="single" w:sz="4" w:space="0" w:color="A6A6A6"/>
            </w:tcBorders>
          </w:tcPr>
          <w:p w14:paraId="406C34EB"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123702DA" w14:textId="77777777" w:rsidR="00BC24A8" w:rsidRDefault="00000000">
            <w:pPr>
              <w:pStyle w:val="TableParagraph"/>
              <w:spacing w:before="1"/>
              <w:ind w:left="105"/>
              <w:rPr>
                <w:sz w:val="18"/>
              </w:rPr>
            </w:pPr>
            <w:r>
              <w:rPr>
                <w:sz w:val="18"/>
              </w:rPr>
              <w:t>Strengthening</w:t>
            </w:r>
            <w:r>
              <w:rPr>
                <w:spacing w:val="-7"/>
                <w:sz w:val="18"/>
              </w:rPr>
              <w:t xml:space="preserve"> </w:t>
            </w:r>
            <w:r>
              <w:rPr>
                <w:sz w:val="18"/>
              </w:rPr>
              <w:t>the</w:t>
            </w:r>
            <w:r>
              <w:rPr>
                <w:spacing w:val="-5"/>
                <w:sz w:val="18"/>
              </w:rPr>
              <w:t xml:space="preserve"> </w:t>
            </w:r>
            <w:r>
              <w:rPr>
                <w:sz w:val="18"/>
              </w:rPr>
              <w:t>Capacity</w:t>
            </w:r>
            <w:r>
              <w:rPr>
                <w:spacing w:val="-5"/>
                <w:sz w:val="18"/>
              </w:rPr>
              <w:t xml:space="preserve"> </w:t>
            </w:r>
            <w:r>
              <w:rPr>
                <w:sz w:val="18"/>
              </w:rPr>
              <w:t>of</w:t>
            </w:r>
            <w:r>
              <w:rPr>
                <w:spacing w:val="-6"/>
                <w:sz w:val="18"/>
              </w:rPr>
              <w:t xml:space="preserve"> </w:t>
            </w:r>
            <w:r>
              <w:rPr>
                <w:sz w:val="18"/>
              </w:rPr>
              <w:t>DPOs</w:t>
            </w:r>
            <w:r>
              <w:rPr>
                <w:spacing w:val="-6"/>
                <w:sz w:val="18"/>
              </w:rPr>
              <w:t xml:space="preserve"> </w:t>
            </w:r>
            <w:r>
              <w:rPr>
                <w:sz w:val="18"/>
              </w:rPr>
              <w:t>as</w:t>
            </w:r>
            <w:r>
              <w:rPr>
                <w:spacing w:val="-5"/>
                <w:sz w:val="18"/>
              </w:rPr>
              <w:t xml:space="preserve"> </w:t>
            </w:r>
            <w:r>
              <w:rPr>
                <w:sz w:val="18"/>
              </w:rPr>
              <w:t>Statistical</w:t>
            </w:r>
            <w:r>
              <w:rPr>
                <w:spacing w:val="-4"/>
                <w:sz w:val="18"/>
              </w:rPr>
              <w:t xml:space="preserve"> </w:t>
            </w:r>
            <w:r>
              <w:rPr>
                <w:sz w:val="18"/>
              </w:rPr>
              <w:t>Metadata</w:t>
            </w:r>
            <w:r>
              <w:rPr>
                <w:spacing w:val="-7"/>
                <w:sz w:val="18"/>
              </w:rPr>
              <w:t xml:space="preserve"> </w:t>
            </w:r>
            <w:r>
              <w:rPr>
                <w:sz w:val="18"/>
              </w:rPr>
              <w:t>Producers</w:t>
            </w:r>
            <w:r>
              <w:rPr>
                <w:spacing w:val="-5"/>
                <w:sz w:val="18"/>
              </w:rPr>
              <w:t xml:space="preserve"> </w:t>
            </w:r>
            <w:r>
              <w:rPr>
                <w:sz w:val="18"/>
              </w:rPr>
              <w:t>in</w:t>
            </w:r>
            <w:r>
              <w:rPr>
                <w:spacing w:val="-5"/>
                <w:sz w:val="18"/>
              </w:rPr>
              <w:t xml:space="preserve"> </w:t>
            </w:r>
            <w:r>
              <w:rPr>
                <w:sz w:val="18"/>
              </w:rPr>
              <w:t>Supporting</w:t>
            </w:r>
            <w:r>
              <w:rPr>
                <w:spacing w:val="-6"/>
                <w:sz w:val="18"/>
              </w:rPr>
              <w:t xml:space="preserve"> </w:t>
            </w:r>
            <w:r>
              <w:rPr>
                <w:spacing w:val="-5"/>
                <w:sz w:val="18"/>
              </w:rPr>
              <w:t>SDI</w:t>
            </w:r>
          </w:p>
        </w:tc>
        <w:tc>
          <w:tcPr>
            <w:tcW w:w="1096" w:type="dxa"/>
            <w:tcBorders>
              <w:top w:val="single" w:sz="4" w:space="0" w:color="A6A6A6"/>
              <w:left w:val="single" w:sz="4" w:space="0" w:color="A6A6A6"/>
              <w:bottom w:val="single" w:sz="4" w:space="0" w:color="A6A6A6"/>
              <w:right w:val="single" w:sz="4" w:space="0" w:color="A6A6A6"/>
            </w:tcBorders>
          </w:tcPr>
          <w:p w14:paraId="637512C0" w14:textId="77777777" w:rsidR="00BC24A8" w:rsidRDefault="00000000">
            <w:pPr>
              <w:pStyle w:val="TableParagraph"/>
              <w:spacing w:before="1"/>
              <w:ind w:left="108"/>
              <w:rPr>
                <w:sz w:val="18"/>
              </w:rPr>
            </w:pPr>
            <w:r>
              <w:rPr>
                <w:spacing w:val="-5"/>
                <w:sz w:val="18"/>
              </w:rPr>
              <w:t>NTT</w:t>
            </w:r>
          </w:p>
        </w:tc>
      </w:tr>
      <w:tr w:rsidR="00BC24A8" w14:paraId="6C42E4EA"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1C953A90" w14:textId="77777777" w:rsidR="00BC24A8" w:rsidRDefault="00000000">
            <w:pPr>
              <w:pStyle w:val="TableParagraph"/>
              <w:spacing w:before="1"/>
              <w:ind w:right="96"/>
              <w:jc w:val="right"/>
              <w:rPr>
                <w:sz w:val="18"/>
              </w:rPr>
            </w:pPr>
            <w:r>
              <w:rPr>
                <w:spacing w:val="-5"/>
                <w:sz w:val="18"/>
              </w:rPr>
              <w:t>112</w:t>
            </w:r>
          </w:p>
        </w:tc>
        <w:tc>
          <w:tcPr>
            <w:tcW w:w="955" w:type="dxa"/>
            <w:tcBorders>
              <w:top w:val="single" w:sz="4" w:space="0" w:color="A6A6A6"/>
              <w:left w:val="single" w:sz="4" w:space="0" w:color="A6A6A6"/>
              <w:bottom w:val="single" w:sz="4" w:space="0" w:color="A6A6A6"/>
              <w:right w:val="single" w:sz="4" w:space="0" w:color="A6A6A6"/>
            </w:tcBorders>
          </w:tcPr>
          <w:p w14:paraId="23F456F1"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6FB830F7" w14:textId="77777777" w:rsidR="00BC24A8" w:rsidRDefault="00000000">
            <w:pPr>
              <w:pStyle w:val="TableParagraph"/>
              <w:spacing w:before="1"/>
              <w:ind w:left="105"/>
              <w:rPr>
                <w:sz w:val="18"/>
              </w:rPr>
            </w:pPr>
            <w:r>
              <w:rPr>
                <w:sz w:val="18"/>
              </w:rPr>
              <w:t>Strategies</w:t>
            </w:r>
            <w:r>
              <w:rPr>
                <w:spacing w:val="-7"/>
                <w:sz w:val="18"/>
              </w:rPr>
              <w:t xml:space="preserve"> </w:t>
            </w:r>
            <w:r>
              <w:rPr>
                <w:sz w:val="18"/>
              </w:rPr>
              <w:t>to</w:t>
            </w:r>
            <w:r>
              <w:rPr>
                <w:spacing w:val="-7"/>
                <w:sz w:val="18"/>
              </w:rPr>
              <w:t xml:space="preserve"> </w:t>
            </w:r>
            <w:r>
              <w:rPr>
                <w:sz w:val="18"/>
              </w:rPr>
              <w:t>Reduce</w:t>
            </w:r>
            <w:r>
              <w:rPr>
                <w:spacing w:val="-6"/>
                <w:sz w:val="18"/>
              </w:rPr>
              <w:t xml:space="preserve"> </w:t>
            </w:r>
            <w:r>
              <w:rPr>
                <w:sz w:val="18"/>
              </w:rPr>
              <w:t>Education</w:t>
            </w:r>
            <w:r>
              <w:rPr>
                <w:spacing w:val="-6"/>
                <w:sz w:val="18"/>
              </w:rPr>
              <w:t xml:space="preserve"> </w:t>
            </w:r>
            <w:r>
              <w:rPr>
                <w:sz w:val="18"/>
              </w:rPr>
              <w:t>Inequality</w:t>
            </w:r>
            <w:r>
              <w:rPr>
                <w:spacing w:val="-6"/>
                <w:sz w:val="18"/>
              </w:rPr>
              <w:t xml:space="preserve"> </w:t>
            </w:r>
            <w:r>
              <w:rPr>
                <w:sz w:val="18"/>
              </w:rPr>
              <w:t>for</w:t>
            </w:r>
            <w:r>
              <w:rPr>
                <w:spacing w:val="-6"/>
                <w:sz w:val="18"/>
              </w:rPr>
              <w:t xml:space="preserve"> </w:t>
            </w:r>
            <w:r>
              <w:rPr>
                <w:sz w:val="18"/>
              </w:rPr>
              <w:t>Persons</w:t>
            </w:r>
            <w:r>
              <w:rPr>
                <w:spacing w:val="-6"/>
                <w:sz w:val="18"/>
              </w:rPr>
              <w:t xml:space="preserve"> </w:t>
            </w:r>
            <w:r>
              <w:rPr>
                <w:sz w:val="18"/>
              </w:rPr>
              <w:t>with</w:t>
            </w:r>
            <w:r>
              <w:rPr>
                <w:spacing w:val="-6"/>
                <w:sz w:val="18"/>
              </w:rPr>
              <w:t xml:space="preserve"> </w:t>
            </w:r>
            <w:r>
              <w:rPr>
                <w:spacing w:val="-2"/>
                <w:sz w:val="18"/>
              </w:rPr>
              <w:t>Disabilities</w:t>
            </w:r>
          </w:p>
        </w:tc>
        <w:tc>
          <w:tcPr>
            <w:tcW w:w="1096" w:type="dxa"/>
            <w:tcBorders>
              <w:top w:val="single" w:sz="4" w:space="0" w:color="A6A6A6"/>
              <w:left w:val="single" w:sz="4" w:space="0" w:color="A6A6A6"/>
              <w:bottom w:val="single" w:sz="4" w:space="0" w:color="A6A6A6"/>
              <w:right w:val="single" w:sz="4" w:space="0" w:color="A6A6A6"/>
            </w:tcBorders>
          </w:tcPr>
          <w:p w14:paraId="083B76A2" w14:textId="77777777" w:rsidR="00BC24A8" w:rsidRDefault="00000000">
            <w:pPr>
              <w:pStyle w:val="TableParagraph"/>
              <w:spacing w:before="1"/>
              <w:ind w:left="108"/>
              <w:rPr>
                <w:sz w:val="18"/>
              </w:rPr>
            </w:pPr>
            <w:r>
              <w:rPr>
                <w:spacing w:val="-2"/>
                <w:sz w:val="18"/>
              </w:rPr>
              <w:t>Kemendagri</w:t>
            </w:r>
          </w:p>
        </w:tc>
      </w:tr>
      <w:tr w:rsidR="00BC24A8" w14:paraId="14E87376"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5D54CA76" w14:textId="77777777" w:rsidR="00BC24A8" w:rsidRDefault="00000000">
            <w:pPr>
              <w:pStyle w:val="TableParagraph"/>
              <w:spacing w:before="1"/>
              <w:ind w:right="96"/>
              <w:jc w:val="right"/>
              <w:rPr>
                <w:sz w:val="18"/>
              </w:rPr>
            </w:pPr>
            <w:r>
              <w:rPr>
                <w:spacing w:val="-5"/>
                <w:sz w:val="18"/>
              </w:rPr>
              <w:t>113</w:t>
            </w:r>
          </w:p>
        </w:tc>
        <w:tc>
          <w:tcPr>
            <w:tcW w:w="955" w:type="dxa"/>
            <w:tcBorders>
              <w:top w:val="single" w:sz="4" w:space="0" w:color="A6A6A6"/>
              <w:left w:val="single" w:sz="4" w:space="0" w:color="A6A6A6"/>
              <w:bottom w:val="single" w:sz="4" w:space="0" w:color="A6A6A6"/>
              <w:right w:val="single" w:sz="4" w:space="0" w:color="A6A6A6"/>
            </w:tcBorders>
          </w:tcPr>
          <w:p w14:paraId="18E7E89C"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13D3770D" w14:textId="77777777" w:rsidR="00BC24A8" w:rsidRDefault="00000000">
            <w:pPr>
              <w:pStyle w:val="TableParagraph"/>
              <w:spacing w:before="1"/>
              <w:ind w:left="105"/>
              <w:rPr>
                <w:sz w:val="18"/>
              </w:rPr>
            </w:pPr>
            <w:r>
              <w:rPr>
                <w:sz w:val="18"/>
              </w:rPr>
              <w:t>Strengthening</w:t>
            </w:r>
            <w:r>
              <w:rPr>
                <w:spacing w:val="-8"/>
                <w:sz w:val="18"/>
              </w:rPr>
              <w:t xml:space="preserve"> </w:t>
            </w:r>
            <w:r>
              <w:rPr>
                <w:sz w:val="18"/>
              </w:rPr>
              <w:t>Regulation</w:t>
            </w:r>
            <w:r>
              <w:rPr>
                <w:spacing w:val="-6"/>
                <w:sz w:val="18"/>
              </w:rPr>
              <w:t xml:space="preserve"> </w:t>
            </w:r>
            <w:r>
              <w:rPr>
                <w:sz w:val="18"/>
              </w:rPr>
              <w:t>of</w:t>
            </w:r>
            <w:r>
              <w:rPr>
                <w:spacing w:val="-8"/>
                <w:sz w:val="18"/>
              </w:rPr>
              <w:t xml:space="preserve"> </w:t>
            </w:r>
            <w:r>
              <w:rPr>
                <w:sz w:val="18"/>
              </w:rPr>
              <w:t>BUMD</w:t>
            </w:r>
            <w:r>
              <w:rPr>
                <w:spacing w:val="-5"/>
                <w:sz w:val="18"/>
              </w:rPr>
              <w:t xml:space="preserve"> </w:t>
            </w:r>
            <w:r>
              <w:rPr>
                <w:spacing w:val="-2"/>
                <w:sz w:val="18"/>
              </w:rPr>
              <w:t>Privatization</w:t>
            </w:r>
          </w:p>
        </w:tc>
        <w:tc>
          <w:tcPr>
            <w:tcW w:w="1096" w:type="dxa"/>
            <w:tcBorders>
              <w:top w:val="single" w:sz="4" w:space="0" w:color="A6A6A6"/>
              <w:left w:val="single" w:sz="4" w:space="0" w:color="A6A6A6"/>
              <w:bottom w:val="single" w:sz="4" w:space="0" w:color="A6A6A6"/>
              <w:right w:val="single" w:sz="4" w:space="0" w:color="A6A6A6"/>
            </w:tcBorders>
          </w:tcPr>
          <w:p w14:paraId="328AE10D" w14:textId="77777777" w:rsidR="00BC24A8" w:rsidRDefault="00000000">
            <w:pPr>
              <w:pStyle w:val="TableParagraph"/>
              <w:spacing w:before="1"/>
              <w:ind w:left="108"/>
              <w:rPr>
                <w:sz w:val="18"/>
              </w:rPr>
            </w:pPr>
            <w:r>
              <w:rPr>
                <w:spacing w:val="-2"/>
                <w:sz w:val="18"/>
              </w:rPr>
              <w:t>Kemendagri</w:t>
            </w:r>
          </w:p>
        </w:tc>
      </w:tr>
    </w:tbl>
    <w:p w14:paraId="34A23123" w14:textId="77777777" w:rsidR="00BC24A8" w:rsidRDefault="00BC24A8">
      <w:pPr>
        <w:pStyle w:val="TableParagraph"/>
        <w:rPr>
          <w:sz w:val="18"/>
        </w:rPr>
        <w:sectPr w:rsidR="00BC24A8">
          <w:type w:val="continuous"/>
          <w:pgSz w:w="11910" w:h="16840"/>
          <w:pgMar w:top="1380" w:right="850" w:bottom="1661" w:left="1275" w:header="0" w:footer="907"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955"/>
        <w:gridCol w:w="6993"/>
        <w:gridCol w:w="1096"/>
      </w:tblGrid>
      <w:tr w:rsidR="00BC24A8" w14:paraId="093409BF" w14:textId="77777777">
        <w:trPr>
          <w:trHeight w:val="414"/>
        </w:trPr>
        <w:tc>
          <w:tcPr>
            <w:tcW w:w="552" w:type="dxa"/>
            <w:tcBorders>
              <w:bottom w:val="single" w:sz="4" w:space="0" w:color="A6A6A6"/>
              <w:right w:val="single" w:sz="18" w:space="0" w:color="F1F1F1"/>
            </w:tcBorders>
            <w:shd w:val="clear" w:color="auto" w:fill="17365A"/>
          </w:tcPr>
          <w:p w14:paraId="4D43D931" w14:textId="77777777" w:rsidR="00BC24A8" w:rsidRDefault="00000000">
            <w:pPr>
              <w:pStyle w:val="TableParagraph"/>
              <w:spacing w:before="87"/>
              <w:ind w:left="27"/>
              <w:jc w:val="center"/>
              <w:rPr>
                <w:rFonts w:ascii="Calibri"/>
                <w:b/>
                <w:sz w:val="20"/>
              </w:rPr>
            </w:pPr>
            <w:r>
              <w:rPr>
                <w:rFonts w:ascii="Calibri"/>
                <w:b/>
                <w:color w:val="FFFFFF"/>
                <w:spacing w:val="-5"/>
                <w:sz w:val="20"/>
              </w:rPr>
              <w:lastRenderedPageBreak/>
              <w:t>No</w:t>
            </w:r>
          </w:p>
        </w:tc>
        <w:tc>
          <w:tcPr>
            <w:tcW w:w="955" w:type="dxa"/>
            <w:tcBorders>
              <w:left w:val="single" w:sz="18" w:space="0" w:color="F1F1F1"/>
              <w:bottom w:val="single" w:sz="4" w:space="0" w:color="A6A6A6"/>
              <w:right w:val="single" w:sz="18" w:space="0" w:color="F1F1F1"/>
            </w:tcBorders>
            <w:shd w:val="clear" w:color="auto" w:fill="17365A"/>
          </w:tcPr>
          <w:p w14:paraId="3EEFFF99" w14:textId="77777777" w:rsidR="00BC24A8" w:rsidRDefault="00000000">
            <w:pPr>
              <w:pStyle w:val="TableParagraph"/>
              <w:spacing w:before="87"/>
              <w:ind w:left="188"/>
              <w:rPr>
                <w:rFonts w:ascii="Calibri"/>
                <w:b/>
                <w:sz w:val="20"/>
              </w:rPr>
            </w:pPr>
            <w:r>
              <w:rPr>
                <w:rFonts w:ascii="Calibri"/>
                <w:b/>
                <w:color w:val="FFFFFF"/>
                <w:spacing w:val="-2"/>
                <w:sz w:val="20"/>
              </w:rPr>
              <w:t>Period</w:t>
            </w:r>
          </w:p>
        </w:tc>
        <w:tc>
          <w:tcPr>
            <w:tcW w:w="6993" w:type="dxa"/>
            <w:tcBorders>
              <w:left w:val="single" w:sz="18" w:space="0" w:color="F1F1F1"/>
              <w:bottom w:val="single" w:sz="4" w:space="0" w:color="A6A6A6"/>
              <w:right w:val="single" w:sz="18" w:space="0" w:color="F1F1F1"/>
            </w:tcBorders>
            <w:shd w:val="clear" w:color="auto" w:fill="17365A"/>
          </w:tcPr>
          <w:p w14:paraId="182D5F69" w14:textId="77777777" w:rsidR="00BC24A8" w:rsidRDefault="00000000">
            <w:pPr>
              <w:pStyle w:val="TableParagraph"/>
              <w:spacing w:before="87"/>
              <w:ind w:left="3"/>
              <w:jc w:val="center"/>
              <w:rPr>
                <w:rFonts w:ascii="Calibri"/>
                <w:b/>
                <w:sz w:val="20"/>
              </w:rPr>
            </w:pPr>
            <w:r>
              <w:rPr>
                <w:rFonts w:ascii="Calibri"/>
                <w:b/>
                <w:color w:val="FFFFFF"/>
                <w:sz w:val="20"/>
              </w:rPr>
              <w:t>Document</w:t>
            </w:r>
            <w:r>
              <w:rPr>
                <w:rFonts w:ascii="Calibri"/>
                <w:b/>
                <w:color w:val="FFFFFF"/>
                <w:spacing w:val="-10"/>
                <w:sz w:val="20"/>
              </w:rPr>
              <w:t xml:space="preserve"> </w:t>
            </w:r>
            <w:r>
              <w:rPr>
                <w:rFonts w:ascii="Calibri"/>
                <w:b/>
                <w:color w:val="FFFFFF"/>
                <w:spacing w:val="-2"/>
                <w:sz w:val="20"/>
              </w:rPr>
              <w:t>Title</w:t>
            </w:r>
          </w:p>
        </w:tc>
        <w:tc>
          <w:tcPr>
            <w:tcW w:w="1096" w:type="dxa"/>
            <w:tcBorders>
              <w:left w:val="single" w:sz="18" w:space="0" w:color="F1F1F1"/>
              <w:bottom w:val="single" w:sz="4" w:space="0" w:color="A6A6A6"/>
            </w:tcBorders>
            <w:shd w:val="clear" w:color="auto" w:fill="17365A"/>
          </w:tcPr>
          <w:p w14:paraId="1FB1F5EB" w14:textId="77777777" w:rsidR="00BC24A8" w:rsidRDefault="00000000">
            <w:pPr>
              <w:pStyle w:val="TableParagraph"/>
              <w:spacing w:before="87"/>
              <w:ind w:right="6"/>
              <w:jc w:val="center"/>
              <w:rPr>
                <w:rFonts w:ascii="Calibri"/>
                <w:b/>
                <w:sz w:val="20"/>
              </w:rPr>
            </w:pPr>
            <w:r>
              <w:rPr>
                <w:rFonts w:ascii="Calibri"/>
                <w:b/>
                <w:color w:val="FFFFFF"/>
                <w:spacing w:val="-2"/>
                <w:sz w:val="20"/>
              </w:rPr>
              <w:t>Province</w:t>
            </w:r>
          </w:p>
        </w:tc>
      </w:tr>
      <w:tr w:rsidR="00BC24A8" w14:paraId="4183D071"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2C66A1E8" w14:textId="77777777" w:rsidR="00BC24A8" w:rsidRDefault="00000000">
            <w:pPr>
              <w:pStyle w:val="TableParagraph"/>
              <w:spacing w:before="1"/>
              <w:ind w:left="72"/>
              <w:jc w:val="center"/>
              <w:rPr>
                <w:sz w:val="18"/>
              </w:rPr>
            </w:pPr>
            <w:r>
              <w:rPr>
                <w:spacing w:val="-5"/>
                <w:sz w:val="18"/>
              </w:rPr>
              <w:t>114</w:t>
            </w:r>
          </w:p>
        </w:tc>
        <w:tc>
          <w:tcPr>
            <w:tcW w:w="955" w:type="dxa"/>
            <w:tcBorders>
              <w:top w:val="single" w:sz="4" w:space="0" w:color="A6A6A6"/>
              <w:left w:val="single" w:sz="4" w:space="0" w:color="A6A6A6"/>
              <w:bottom w:val="single" w:sz="4" w:space="0" w:color="A6A6A6"/>
              <w:right w:val="single" w:sz="4" w:space="0" w:color="A6A6A6"/>
            </w:tcBorders>
          </w:tcPr>
          <w:p w14:paraId="785DF9A0"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483E5FBE" w14:textId="77777777" w:rsidR="00BC24A8" w:rsidRDefault="00000000">
            <w:pPr>
              <w:pStyle w:val="TableParagraph"/>
              <w:spacing w:before="1"/>
              <w:ind w:left="105"/>
              <w:rPr>
                <w:sz w:val="18"/>
              </w:rPr>
            </w:pPr>
            <w:r>
              <w:rPr>
                <w:sz w:val="18"/>
              </w:rPr>
              <w:t>Strengthening</w:t>
            </w:r>
            <w:r>
              <w:rPr>
                <w:spacing w:val="-7"/>
                <w:sz w:val="18"/>
              </w:rPr>
              <w:t xml:space="preserve"> </w:t>
            </w:r>
            <w:r>
              <w:rPr>
                <w:sz w:val="18"/>
              </w:rPr>
              <w:t>SATPOL</w:t>
            </w:r>
            <w:r>
              <w:rPr>
                <w:spacing w:val="-7"/>
                <w:sz w:val="18"/>
              </w:rPr>
              <w:t xml:space="preserve"> </w:t>
            </w:r>
            <w:r>
              <w:rPr>
                <w:sz w:val="18"/>
              </w:rPr>
              <w:t>PP</w:t>
            </w:r>
            <w:r>
              <w:rPr>
                <w:spacing w:val="-4"/>
                <w:sz w:val="18"/>
              </w:rPr>
              <w:t xml:space="preserve"> </w:t>
            </w:r>
            <w:r>
              <w:rPr>
                <w:sz w:val="18"/>
              </w:rPr>
              <w:t>Human</w:t>
            </w:r>
            <w:r>
              <w:rPr>
                <w:spacing w:val="-2"/>
                <w:sz w:val="18"/>
              </w:rPr>
              <w:t xml:space="preserve"> </w:t>
            </w:r>
            <w:r>
              <w:rPr>
                <w:sz w:val="18"/>
              </w:rPr>
              <w:t>Resources</w:t>
            </w:r>
            <w:r>
              <w:rPr>
                <w:spacing w:val="-6"/>
                <w:sz w:val="18"/>
              </w:rPr>
              <w:t xml:space="preserve"> </w:t>
            </w:r>
            <w:r>
              <w:rPr>
                <w:sz w:val="18"/>
              </w:rPr>
              <w:t>to</w:t>
            </w:r>
            <w:r>
              <w:rPr>
                <w:spacing w:val="-7"/>
                <w:sz w:val="18"/>
              </w:rPr>
              <w:t xml:space="preserve"> </w:t>
            </w:r>
            <w:r>
              <w:rPr>
                <w:sz w:val="18"/>
              </w:rPr>
              <w:t>Support</w:t>
            </w:r>
            <w:r>
              <w:rPr>
                <w:spacing w:val="-5"/>
                <w:sz w:val="18"/>
              </w:rPr>
              <w:t xml:space="preserve"> </w:t>
            </w:r>
            <w:r>
              <w:rPr>
                <w:sz w:val="18"/>
              </w:rPr>
              <w:t>MSS</w:t>
            </w:r>
            <w:r>
              <w:rPr>
                <w:spacing w:val="-6"/>
                <w:sz w:val="18"/>
              </w:rPr>
              <w:t xml:space="preserve"> </w:t>
            </w:r>
            <w:r>
              <w:rPr>
                <w:sz w:val="18"/>
              </w:rPr>
              <w:t>for</w:t>
            </w:r>
            <w:r>
              <w:rPr>
                <w:spacing w:val="-4"/>
                <w:sz w:val="18"/>
              </w:rPr>
              <w:t xml:space="preserve"> </w:t>
            </w:r>
            <w:r>
              <w:rPr>
                <w:sz w:val="18"/>
              </w:rPr>
              <w:t>Public</w:t>
            </w:r>
            <w:r>
              <w:rPr>
                <w:spacing w:val="-6"/>
                <w:sz w:val="18"/>
              </w:rPr>
              <w:t xml:space="preserve"> </w:t>
            </w:r>
            <w:r>
              <w:rPr>
                <w:sz w:val="18"/>
              </w:rPr>
              <w:t>Order</w:t>
            </w:r>
            <w:r>
              <w:rPr>
                <w:spacing w:val="-6"/>
                <w:sz w:val="18"/>
              </w:rPr>
              <w:t xml:space="preserve"> </w:t>
            </w:r>
            <w:r>
              <w:rPr>
                <w:sz w:val="18"/>
              </w:rPr>
              <w:t>Sub</w:t>
            </w:r>
            <w:r>
              <w:rPr>
                <w:spacing w:val="-6"/>
                <w:sz w:val="18"/>
              </w:rPr>
              <w:t xml:space="preserve"> </w:t>
            </w:r>
            <w:r>
              <w:rPr>
                <w:sz w:val="18"/>
              </w:rPr>
              <w:t>Affairs</w:t>
            </w:r>
            <w:r>
              <w:rPr>
                <w:spacing w:val="-6"/>
                <w:sz w:val="18"/>
              </w:rPr>
              <w:t xml:space="preserve"> </w:t>
            </w:r>
            <w:r>
              <w:rPr>
                <w:sz w:val="18"/>
              </w:rPr>
              <w:t>in</w:t>
            </w:r>
            <w:r>
              <w:rPr>
                <w:spacing w:val="-6"/>
                <w:sz w:val="18"/>
              </w:rPr>
              <w:t xml:space="preserve"> </w:t>
            </w:r>
            <w:r>
              <w:rPr>
                <w:sz w:val="18"/>
              </w:rPr>
              <w:t xml:space="preserve">the </w:t>
            </w:r>
            <w:r>
              <w:rPr>
                <w:spacing w:val="-2"/>
                <w:sz w:val="18"/>
              </w:rPr>
              <w:t>Region</w:t>
            </w:r>
          </w:p>
        </w:tc>
        <w:tc>
          <w:tcPr>
            <w:tcW w:w="1096" w:type="dxa"/>
            <w:tcBorders>
              <w:top w:val="single" w:sz="4" w:space="0" w:color="A6A6A6"/>
              <w:left w:val="single" w:sz="4" w:space="0" w:color="A6A6A6"/>
              <w:bottom w:val="single" w:sz="4" w:space="0" w:color="A6A6A6"/>
              <w:right w:val="single" w:sz="4" w:space="0" w:color="A6A6A6"/>
            </w:tcBorders>
          </w:tcPr>
          <w:p w14:paraId="1BEBD62A" w14:textId="77777777" w:rsidR="00BC24A8" w:rsidRDefault="00000000">
            <w:pPr>
              <w:pStyle w:val="TableParagraph"/>
              <w:spacing w:before="1"/>
              <w:ind w:right="3"/>
              <w:jc w:val="center"/>
              <w:rPr>
                <w:sz w:val="18"/>
              </w:rPr>
            </w:pPr>
            <w:r>
              <w:rPr>
                <w:spacing w:val="-2"/>
                <w:sz w:val="18"/>
              </w:rPr>
              <w:t>Kemendagri</w:t>
            </w:r>
          </w:p>
        </w:tc>
      </w:tr>
      <w:tr w:rsidR="00BC24A8" w14:paraId="27C27B72" w14:textId="77777777">
        <w:trPr>
          <w:trHeight w:val="482"/>
        </w:trPr>
        <w:tc>
          <w:tcPr>
            <w:tcW w:w="552" w:type="dxa"/>
            <w:tcBorders>
              <w:top w:val="single" w:sz="4" w:space="0" w:color="A6A6A6"/>
              <w:left w:val="single" w:sz="4" w:space="0" w:color="A6A6A6"/>
              <w:bottom w:val="single" w:sz="4" w:space="0" w:color="A6A6A6"/>
              <w:right w:val="single" w:sz="4" w:space="0" w:color="A6A6A6"/>
            </w:tcBorders>
          </w:tcPr>
          <w:p w14:paraId="78E047F4" w14:textId="77777777" w:rsidR="00BC24A8" w:rsidRDefault="00000000">
            <w:pPr>
              <w:pStyle w:val="TableParagraph"/>
              <w:spacing w:before="1"/>
              <w:ind w:left="72"/>
              <w:jc w:val="center"/>
              <w:rPr>
                <w:sz w:val="18"/>
              </w:rPr>
            </w:pPr>
            <w:r>
              <w:rPr>
                <w:spacing w:val="-5"/>
                <w:sz w:val="18"/>
              </w:rPr>
              <w:t>115</w:t>
            </w:r>
          </w:p>
        </w:tc>
        <w:tc>
          <w:tcPr>
            <w:tcW w:w="955" w:type="dxa"/>
            <w:tcBorders>
              <w:top w:val="single" w:sz="4" w:space="0" w:color="A6A6A6"/>
              <w:left w:val="single" w:sz="4" w:space="0" w:color="A6A6A6"/>
              <w:bottom w:val="single" w:sz="4" w:space="0" w:color="A6A6A6"/>
              <w:right w:val="single" w:sz="4" w:space="0" w:color="A6A6A6"/>
            </w:tcBorders>
          </w:tcPr>
          <w:p w14:paraId="4F3551BA"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4B8D3099" w14:textId="77777777" w:rsidR="00BC24A8" w:rsidRDefault="00000000">
            <w:pPr>
              <w:pStyle w:val="TableParagraph"/>
              <w:spacing w:before="1"/>
              <w:ind w:left="105"/>
              <w:rPr>
                <w:sz w:val="18"/>
              </w:rPr>
            </w:pPr>
            <w:r>
              <w:rPr>
                <w:sz w:val="18"/>
              </w:rPr>
              <w:t>It’s not about the size of the budget: Measuring the Effectiveness of Stunting Expenditures in the Regional Budget</w:t>
            </w:r>
          </w:p>
        </w:tc>
        <w:tc>
          <w:tcPr>
            <w:tcW w:w="1096" w:type="dxa"/>
            <w:tcBorders>
              <w:top w:val="single" w:sz="4" w:space="0" w:color="A6A6A6"/>
              <w:left w:val="single" w:sz="4" w:space="0" w:color="A6A6A6"/>
              <w:bottom w:val="single" w:sz="4" w:space="0" w:color="A6A6A6"/>
              <w:right w:val="single" w:sz="4" w:space="0" w:color="A6A6A6"/>
            </w:tcBorders>
          </w:tcPr>
          <w:p w14:paraId="028E4A3B" w14:textId="77777777" w:rsidR="00BC24A8" w:rsidRDefault="00000000">
            <w:pPr>
              <w:pStyle w:val="TableParagraph"/>
              <w:spacing w:before="1"/>
              <w:ind w:right="3"/>
              <w:jc w:val="center"/>
              <w:rPr>
                <w:sz w:val="18"/>
              </w:rPr>
            </w:pPr>
            <w:r>
              <w:rPr>
                <w:spacing w:val="-2"/>
                <w:sz w:val="18"/>
              </w:rPr>
              <w:t>Kemendagri</w:t>
            </w:r>
          </w:p>
        </w:tc>
      </w:tr>
      <w:tr w:rsidR="00BC24A8" w14:paraId="52467A76" w14:textId="77777777">
        <w:trPr>
          <w:trHeight w:val="217"/>
        </w:trPr>
        <w:tc>
          <w:tcPr>
            <w:tcW w:w="552" w:type="dxa"/>
            <w:tcBorders>
              <w:top w:val="single" w:sz="4" w:space="0" w:color="A6A6A6"/>
              <w:left w:val="single" w:sz="4" w:space="0" w:color="A6A6A6"/>
              <w:bottom w:val="single" w:sz="4" w:space="0" w:color="A6A6A6"/>
              <w:right w:val="single" w:sz="4" w:space="0" w:color="A6A6A6"/>
            </w:tcBorders>
          </w:tcPr>
          <w:p w14:paraId="6B069F3A" w14:textId="77777777" w:rsidR="00BC24A8" w:rsidRDefault="00000000">
            <w:pPr>
              <w:pStyle w:val="TableParagraph"/>
              <w:spacing w:line="198" w:lineRule="exact"/>
              <w:ind w:left="72"/>
              <w:jc w:val="center"/>
              <w:rPr>
                <w:sz w:val="18"/>
              </w:rPr>
            </w:pPr>
            <w:r>
              <w:rPr>
                <w:spacing w:val="-5"/>
                <w:sz w:val="18"/>
              </w:rPr>
              <w:t>116</w:t>
            </w:r>
          </w:p>
        </w:tc>
        <w:tc>
          <w:tcPr>
            <w:tcW w:w="955" w:type="dxa"/>
            <w:tcBorders>
              <w:top w:val="single" w:sz="4" w:space="0" w:color="A6A6A6"/>
              <w:left w:val="single" w:sz="4" w:space="0" w:color="A6A6A6"/>
              <w:bottom w:val="single" w:sz="4" w:space="0" w:color="A6A6A6"/>
              <w:right w:val="single" w:sz="4" w:space="0" w:color="A6A6A6"/>
            </w:tcBorders>
          </w:tcPr>
          <w:p w14:paraId="78176A9B" w14:textId="77777777" w:rsidR="00BC24A8" w:rsidRDefault="00000000">
            <w:pPr>
              <w:pStyle w:val="TableParagraph"/>
              <w:spacing w:line="198"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3561A3EF" w14:textId="77777777" w:rsidR="00BC24A8" w:rsidRDefault="00000000">
            <w:pPr>
              <w:pStyle w:val="TableParagraph"/>
              <w:spacing w:line="198" w:lineRule="exact"/>
              <w:ind w:left="105"/>
              <w:rPr>
                <w:sz w:val="18"/>
              </w:rPr>
            </w:pPr>
            <w:r>
              <w:rPr>
                <w:sz w:val="18"/>
              </w:rPr>
              <w:t>Promoting</w:t>
            </w:r>
            <w:r>
              <w:rPr>
                <w:spacing w:val="-6"/>
                <w:sz w:val="18"/>
              </w:rPr>
              <w:t xml:space="preserve"> </w:t>
            </w:r>
            <w:r>
              <w:rPr>
                <w:sz w:val="18"/>
              </w:rPr>
              <w:t>Social</w:t>
            </w:r>
            <w:r>
              <w:rPr>
                <w:spacing w:val="-3"/>
                <w:sz w:val="18"/>
              </w:rPr>
              <w:t xml:space="preserve"> </w:t>
            </w:r>
            <w:r>
              <w:rPr>
                <w:sz w:val="18"/>
              </w:rPr>
              <w:t>Inclusion</w:t>
            </w:r>
            <w:r>
              <w:rPr>
                <w:spacing w:val="-4"/>
                <w:sz w:val="18"/>
              </w:rPr>
              <w:t xml:space="preserve"> </w:t>
            </w:r>
            <w:r>
              <w:rPr>
                <w:sz w:val="18"/>
              </w:rPr>
              <w:t>in</w:t>
            </w:r>
            <w:r>
              <w:rPr>
                <w:spacing w:val="-5"/>
                <w:sz w:val="18"/>
              </w:rPr>
              <w:t xml:space="preserve"> </w:t>
            </w:r>
            <w:r>
              <w:rPr>
                <w:sz w:val="18"/>
              </w:rPr>
              <w:t>Regular</w:t>
            </w:r>
            <w:r>
              <w:rPr>
                <w:spacing w:val="-4"/>
                <w:sz w:val="18"/>
              </w:rPr>
              <w:t xml:space="preserve"> </w:t>
            </w:r>
            <w:r>
              <w:rPr>
                <w:sz w:val="18"/>
              </w:rPr>
              <w:t>Education</w:t>
            </w:r>
            <w:r>
              <w:rPr>
                <w:spacing w:val="-4"/>
                <w:sz w:val="18"/>
              </w:rPr>
              <w:t xml:space="preserve"> </w:t>
            </w:r>
            <w:r>
              <w:rPr>
                <w:sz w:val="18"/>
              </w:rPr>
              <w:t>Units</w:t>
            </w:r>
            <w:r>
              <w:rPr>
                <w:spacing w:val="-5"/>
                <w:sz w:val="18"/>
              </w:rPr>
              <w:t xml:space="preserve"> </w:t>
            </w:r>
            <w:r>
              <w:rPr>
                <w:sz w:val="18"/>
              </w:rPr>
              <w:t>for</w:t>
            </w:r>
            <w:r>
              <w:rPr>
                <w:spacing w:val="-4"/>
                <w:sz w:val="18"/>
              </w:rPr>
              <w:t xml:space="preserve"> </w:t>
            </w:r>
            <w:r>
              <w:rPr>
                <w:sz w:val="18"/>
              </w:rPr>
              <w:t>Children</w:t>
            </w:r>
            <w:r>
              <w:rPr>
                <w:spacing w:val="-7"/>
                <w:sz w:val="18"/>
              </w:rPr>
              <w:t xml:space="preserve"> </w:t>
            </w:r>
            <w:r>
              <w:rPr>
                <w:sz w:val="18"/>
              </w:rPr>
              <w:t>with</w:t>
            </w:r>
            <w:r>
              <w:rPr>
                <w:spacing w:val="-4"/>
                <w:sz w:val="18"/>
              </w:rPr>
              <w:t xml:space="preserve"> </w:t>
            </w:r>
            <w:r>
              <w:rPr>
                <w:sz w:val="18"/>
              </w:rPr>
              <w:t>Special</w:t>
            </w:r>
            <w:r>
              <w:rPr>
                <w:spacing w:val="-3"/>
                <w:sz w:val="18"/>
              </w:rPr>
              <w:t xml:space="preserve"> </w:t>
            </w:r>
            <w:r>
              <w:rPr>
                <w:spacing w:val="-2"/>
                <w:sz w:val="18"/>
              </w:rPr>
              <w:t>Needs</w:t>
            </w:r>
          </w:p>
        </w:tc>
        <w:tc>
          <w:tcPr>
            <w:tcW w:w="1096" w:type="dxa"/>
            <w:tcBorders>
              <w:top w:val="single" w:sz="4" w:space="0" w:color="A6A6A6"/>
              <w:left w:val="single" w:sz="4" w:space="0" w:color="A6A6A6"/>
              <w:bottom w:val="single" w:sz="4" w:space="0" w:color="A6A6A6"/>
              <w:right w:val="single" w:sz="4" w:space="0" w:color="A6A6A6"/>
            </w:tcBorders>
          </w:tcPr>
          <w:p w14:paraId="7DDAE9C1" w14:textId="77777777" w:rsidR="00BC24A8" w:rsidRDefault="00000000">
            <w:pPr>
              <w:pStyle w:val="TableParagraph"/>
              <w:spacing w:line="198" w:lineRule="exact"/>
              <w:ind w:right="3"/>
              <w:jc w:val="center"/>
              <w:rPr>
                <w:sz w:val="18"/>
              </w:rPr>
            </w:pPr>
            <w:r>
              <w:rPr>
                <w:spacing w:val="-2"/>
                <w:sz w:val="18"/>
              </w:rPr>
              <w:t>Kemendagri</w:t>
            </w:r>
          </w:p>
        </w:tc>
      </w:tr>
      <w:tr w:rsidR="00BC24A8" w14:paraId="596EC50C" w14:textId="77777777">
        <w:trPr>
          <w:trHeight w:val="280"/>
        </w:trPr>
        <w:tc>
          <w:tcPr>
            <w:tcW w:w="552" w:type="dxa"/>
            <w:tcBorders>
              <w:top w:val="single" w:sz="4" w:space="0" w:color="A6A6A6"/>
              <w:left w:val="single" w:sz="4" w:space="0" w:color="A6A6A6"/>
              <w:bottom w:val="single" w:sz="4" w:space="0" w:color="A6A6A6"/>
              <w:right w:val="single" w:sz="4" w:space="0" w:color="A6A6A6"/>
            </w:tcBorders>
          </w:tcPr>
          <w:p w14:paraId="74D4E9B0" w14:textId="77777777" w:rsidR="00BC24A8" w:rsidRDefault="00000000">
            <w:pPr>
              <w:pStyle w:val="TableParagraph"/>
              <w:spacing w:before="1"/>
              <w:ind w:left="72"/>
              <w:jc w:val="center"/>
              <w:rPr>
                <w:sz w:val="18"/>
              </w:rPr>
            </w:pPr>
            <w:r>
              <w:rPr>
                <w:spacing w:val="-5"/>
                <w:sz w:val="18"/>
              </w:rPr>
              <w:t>117</w:t>
            </w:r>
          </w:p>
        </w:tc>
        <w:tc>
          <w:tcPr>
            <w:tcW w:w="955" w:type="dxa"/>
            <w:tcBorders>
              <w:top w:val="single" w:sz="4" w:space="0" w:color="A6A6A6"/>
              <w:left w:val="single" w:sz="4" w:space="0" w:color="A6A6A6"/>
              <w:bottom w:val="single" w:sz="4" w:space="0" w:color="A6A6A6"/>
              <w:right w:val="single" w:sz="4" w:space="0" w:color="A6A6A6"/>
            </w:tcBorders>
          </w:tcPr>
          <w:p w14:paraId="27160990"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1379A046" w14:textId="77777777" w:rsidR="00BC24A8" w:rsidRDefault="00000000">
            <w:pPr>
              <w:pStyle w:val="TableParagraph"/>
              <w:spacing w:before="1"/>
              <w:ind w:left="105"/>
              <w:rPr>
                <w:sz w:val="18"/>
              </w:rPr>
            </w:pPr>
            <w:r>
              <w:rPr>
                <w:sz w:val="18"/>
              </w:rPr>
              <w:t>Encouraging</w:t>
            </w:r>
            <w:r>
              <w:rPr>
                <w:spacing w:val="-9"/>
                <w:sz w:val="18"/>
              </w:rPr>
              <w:t xml:space="preserve"> </w:t>
            </w:r>
            <w:r>
              <w:rPr>
                <w:sz w:val="18"/>
              </w:rPr>
              <w:t>the</w:t>
            </w:r>
            <w:r>
              <w:rPr>
                <w:spacing w:val="-8"/>
                <w:sz w:val="18"/>
              </w:rPr>
              <w:t xml:space="preserve"> </w:t>
            </w:r>
            <w:r>
              <w:rPr>
                <w:sz w:val="18"/>
              </w:rPr>
              <w:t>Acceleration</w:t>
            </w:r>
            <w:r>
              <w:rPr>
                <w:spacing w:val="-8"/>
                <w:sz w:val="18"/>
              </w:rPr>
              <w:t xml:space="preserve"> </w:t>
            </w:r>
            <w:r>
              <w:rPr>
                <w:sz w:val="18"/>
              </w:rPr>
              <w:t>of</w:t>
            </w:r>
            <w:r>
              <w:rPr>
                <w:spacing w:val="-9"/>
                <w:sz w:val="18"/>
              </w:rPr>
              <w:t xml:space="preserve"> </w:t>
            </w:r>
            <w:r>
              <w:rPr>
                <w:sz w:val="18"/>
              </w:rPr>
              <w:t>Provincial</w:t>
            </w:r>
            <w:r>
              <w:rPr>
                <w:spacing w:val="-7"/>
                <w:sz w:val="18"/>
              </w:rPr>
              <w:t xml:space="preserve"> </w:t>
            </w:r>
            <w:r>
              <w:rPr>
                <w:sz w:val="18"/>
              </w:rPr>
              <w:t>Budget</w:t>
            </w:r>
            <w:r>
              <w:rPr>
                <w:spacing w:val="-7"/>
                <w:sz w:val="18"/>
              </w:rPr>
              <w:t xml:space="preserve"> </w:t>
            </w:r>
            <w:r>
              <w:rPr>
                <w:sz w:val="18"/>
              </w:rPr>
              <w:t>Realization.</w:t>
            </w:r>
            <w:r>
              <w:rPr>
                <w:spacing w:val="-8"/>
                <w:sz w:val="18"/>
              </w:rPr>
              <w:t xml:space="preserve"> </w:t>
            </w:r>
            <w:r>
              <w:rPr>
                <w:sz w:val="18"/>
              </w:rPr>
              <w:t>West</w:t>
            </w:r>
            <w:r>
              <w:rPr>
                <w:spacing w:val="-7"/>
                <w:sz w:val="18"/>
              </w:rPr>
              <w:t xml:space="preserve"> </w:t>
            </w:r>
            <w:r>
              <w:rPr>
                <w:spacing w:val="-2"/>
                <w:sz w:val="18"/>
              </w:rPr>
              <w:t>Papua</w:t>
            </w:r>
          </w:p>
        </w:tc>
        <w:tc>
          <w:tcPr>
            <w:tcW w:w="1096" w:type="dxa"/>
            <w:tcBorders>
              <w:top w:val="single" w:sz="4" w:space="0" w:color="A6A6A6"/>
              <w:left w:val="single" w:sz="4" w:space="0" w:color="A6A6A6"/>
              <w:bottom w:val="single" w:sz="4" w:space="0" w:color="A6A6A6"/>
              <w:right w:val="single" w:sz="4" w:space="0" w:color="A6A6A6"/>
            </w:tcBorders>
          </w:tcPr>
          <w:p w14:paraId="3C06516E" w14:textId="77777777" w:rsidR="00BC24A8" w:rsidRDefault="00000000">
            <w:pPr>
              <w:pStyle w:val="TableParagraph"/>
              <w:spacing w:before="1"/>
              <w:ind w:right="3"/>
              <w:jc w:val="center"/>
              <w:rPr>
                <w:sz w:val="18"/>
              </w:rPr>
            </w:pPr>
            <w:r>
              <w:rPr>
                <w:spacing w:val="-2"/>
                <w:sz w:val="18"/>
              </w:rPr>
              <w:t>Kemendagri</w:t>
            </w:r>
          </w:p>
        </w:tc>
      </w:tr>
      <w:tr w:rsidR="00BC24A8" w14:paraId="7046AFFB"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098A4045" w14:textId="77777777" w:rsidR="00BC24A8" w:rsidRDefault="00000000">
            <w:pPr>
              <w:pStyle w:val="TableParagraph"/>
              <w:spacing w:before="1"/>
              <w:ind w:left="72"/>
              <w:jc w:val="center"/>
              <w:rPr>
                <w:sz w:val="18"/>
              </w:rPr>
            </w:pPr>
            <w:r>
              <w:rPr>
                <w:spacing w:val="-5"/>
                <w:sz w:val="18"/>
              </w:rPr>
              <w:t>118</w:t>
            </w:r>
          </w:p>
        </w:tc>
        <w:tc>
          <w:tcPr>
            <w:tcW w:w="955" w:type="dxa"/>
            <w:tcBorders>
              <w:top w:val="single" w:sz="4" w:space="0" w:color="A6A6A6"/>
              <w:left w:val="single" w:sz="4" w:space="0" w:color="A6A6A6"/>
              <w:bottom w:val="single" w:sz="4" w:space="0" w:color="A6A6A6"/>
              <w:right w:val="single" w:sz="4" w:space="0" w:color="A6A6A6"/>
            </w:tcBorders>
          </w:tcPr>
          <w:p w14:paraId="17D0418E"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2B6F97B0" w14:textId="77777777" w:rsidR="00BC24A8" w:rsidRDefault="00000000">
            <w:pPr>
              <w:pStyle w:val="TableParagraph"/>
              <w:spacing w:before="1"/>
              <w:ind w:left="105"/>
              <w:rPr>
                <w:sz w:val="18"/>
              </w:rPr>
            </w:pPr>
            <w:r>
              <w:rPr>
                <w:sz w:val="18"/>
              </w:rPr>
              <w:t>Strengthening</w:t>
            </w:r>
            <w:r>
              <w:rPr>
                <w:spacing w:val="40"/>
                <w:sz w:val="18"/>
              </w:rPr>
              <w:t xml:space="preserve"> </w:t>
            </w:r>
            <w:r>
              <w:rPr>
                <w:sz w:val="18"/>
              </w:rPr>
              <w:t>the</w:t>
            </w:r>
            <w:r>
              <w:rPr>
                <w:spacing w:val="40"/>
                <w:sz w:val="18"/>
              </w:rPr>
              <w:t xml:space="preserve"> </w:t>
            </w:r>
            <w:r>
              <w:rPr>
                <w:sz w:val="18"/>
              </w:rPr>
              <w:t>Role</w:t>
            </w:r>
            <w:r>
              <w:rPr>
                <w:spacing w:val="40"/>
                <w:sz w:val="18"/>
              </w:rPr>
              <w:t xml:space="preserve"> </w:t>
            </w:r>
            <w:r>
              <w:rPr>
                <w:sz w:val="18"/>
              </w:rPr>
              <w:t>of</w:t>
            </w:r>
            <w:r>
              <w:rPr>
                <w:spacing w:val="40"/>
                <w:sz w:val="18"/>
              </w:rPr>
              <w:t xml:space="preserve"> </w:t>
            </w:r>
            <w:r>
              <w:rPr>
                <w:sz w:val="18"/>
              </w:rPr>
              <w:t>Women</w:t>
            </w:r>
            <w:r>
              <w:rPr>
                <w:spacing w:val="40"/>
                <w:sz w:val="18"/>
              </w:rPr>
              <w:t xml:space="preserve"> </w:t>
            </w:r>
            <w:r>
              <w:rPr>
                <w:sz w:val="18"/>
              </w:rPr>
              <w:t>in</w:t>
            </w:r>
            <w:r>
              <w:rPr>
                <w:spacing w:val="40"/>
                <w:sz w:val="18"/>
              </w:rPr>
              <w:t xml:space="preserve"> </w:t>
            </w:r>
            <w:r>
              <w:rPr>
                <w:sz w:val="18"/>
              </w:rPr>
              <w:t>Regional</w:t>
            </w:r>
            <w:r>
              <w:rPr>
                <w:spacing w:val="40"/>
                <w:sz w:val="18"/>
              </w:rPr>
              <w:t xml:space="preserve"> </w:t>
            </w:r>
            <w:r>
              <w:rPr>
                <w:sz w:val="18"/>
              </w:rPr>
              <w:t>Development</w:t>
            </w:r>
            <w:r>
              <w:rPr>
                <w:spacing w:val="40"/>
                <w:sz w:val="18"/>
              </w:rPr>
              <w:t xml:space="preserve"> </w:t>
            </w:r>
            <w:r>
              <w:rPr>
                <w:sz w:val="18"/>
              </w:rPr>
              <w:t>Planning</w:t>
            </w:r>
            <w:r>
              <w:rPr>
                <w:spacing w:val="40"/>
                <w:sz w:val="18"/>
              </w:rPr>
              <w:t xml:space="preserve"> </w:t>
            </w:r>
            <w:r>
              <w:rPr>
                <w:sz w:val="18"/>
              </w:rPr>
              <w:t>Through</w:t>
            </w:r>
            <w:r>
              <w:rPr>
                <w:spacing w:val="40"/>
                <w:sz w:val="18"/>
              </w:rPr>
              <w:t xml:space="preserve"> </w:t>
            </w:r>
            <w:r>
              <w:rPr>
                <w:sz w:val="18"/>
              </w:rPr>
              <w:t>Effective Implementation of PUG</w:t>
            </w:r>
          </w:p>
        </w:tc>
        <w:tc>
          <w:tcPr>
            <w:tcW w:w="1096" w:type="dxa"/>
            <w:tcBorders>
              <w:top w:val="single" w:sz="4" w:space="0" w:color="A6A6A6"/>
              <w:left w:val="single" w:sz="4" w:space="0" w:color="A6A6A6"/>
              <w:bottom w:val="single" w:sz="4" w:space="0" w:color="A6A6A6"/>
              <w:right w:val="single" w:sz="4" w:space="0" w:color="A6A6A6"/>
            </w:tcBorders>
          </w:tcPr>
          <w:p w14:paraId="731B1021" w14:textId="77777777" w:rsidR="00BC24A8" w:rsidRDefault="00000000">
            <w:pPr>
              <w:pStyle w:val="TableParagraph"/>
              <w:spacing w:before="1"/>
              <w:ind w:right="3"/>
              <w:jc w:val="center"/>
              <w:rPr>
                <w:sz w:val="18"/>
              </w:rPr>
            </w:pPr>
            <w:r>
              <w:rPr>
                <w:spacing w:val="-2"/>
                <w:sz w:val="18"/>
              </w:rPr>
              <w:t>Kemendagri</w:t>
            </w:r>
          </w:p>
        </w:tc>
      </w:tr>
      <w:tr w:rsidR="00BC24A8" w14:paraId="7E02864D" w14:textId="77777777">
        <w:trPr>
          <w:trHeight w:val="249"/>
        </w:trPr>
        <w:tc>
          <w:tcPr>
            <w:tcW w:w="552" w:type="dxa"/>
            <w:tcBorders>
              <w:top w:val="single" w:sz="4" w:space="0" w:color="A6A6A6"/>
              <w:left w:val="single" w:sz="4" w:space="0" w:color="A6A6A6"/>
              <w:bottom w:val="single" w:sz="4" w:space="0" w:color="A6A6A6"/>
              <w:right w:val="single" w:sz="4" w:space="0" w:color="A6A6A6"/>
            </w:tcBorders>
          </w:tcPr>
          <w:p w14:paraId="62DA22E6" w14:textId="77777777" w:rsidR="00BC24A8" w:rsidRDefault="00000000">
            <w:pPr>
              <w:pStyle w:val="TableParagraph"/>
              <w:spacing w:before="1"/>
              <w:ind w:left="72"/>
              <w:jc w:val="center"/>
              <w:rPr>
                <w:sz w:val="18"/>
              </w:rPr>
            </w:pPr>
            <w:r>
              <w:rPr>
                <w:spacing w:val="-5"/>
                <w:sz w:val="18"/>
              </w:rPr>
              <w:t>119</w:t>
            </w:r>
          </w:p>
        </w:tc>
        <w:tc>
          <w:tcPr>
            <w:tcW w:w="955" w:type="dxa"/>
            <w:tcBorders>
              <w:top w:val="single" w:sz="4" w:space="0" w:color="A6A6A6"/>
              <w:left w:val="single" w:sz="4" w:space="0" w:color="A6A6A6"/>
              <w:bottom w:val="single" w:sz="4" w:space="0" w:color="A6A6A6"/>
              <w:right w:val="single" w:sz="4" w:space="0" w:color="A6A6A6"/>
            </w:tcBorders>
          </w:tcPr>
          <w:p w14:paraId="6579AEFD"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083B0D29" w14:textId="77777777" w:rsidR="00BC24A8" w:rsidRDefault="00000000">
            <w:pPr>
              <w:pStyle w:val="TableParagraph"/>
              <w:spacing w:before="1"/>
              <w:ind w:left="105"/>
              <w:rPr>
                <w:sz w:val="18"/>
              </w:rPr>
            </w:pPr>
            <w:r>
              <w:rPr>
                <w:sz w:val="18"/>
              </w:rPr>
              <w:t>Gender</w:t>
            </w:r>
            <w:r>
              <w:rPr>
                <w:spacing w:val="-5"/>
                <w:sz w:val="18"/>
              </w:rPr>
              <w:t xml:space="preserve"> </w:t>
            </w:r>
            <w:r>
              <w:rPr>
                <w:sz w:val="18"/>
              </w:rPr>
              <w:t>Equality</w:t>
            </w:r>
            <w:r>
              <w:rPr>
                <w:spacing w:val="-4"/>
                <w:sz w:val="18"/>
              </w:rPr>
              <w:t xml:space="preserve"> </w:t>
            </w:r>
            <w:r>
              <w:rPr>
                <w:sz w:val="18"/>
              </w:rPr>
              <w:t>in</w:t>
            </w:r>
            <w:r>
              <w:rPr>
                <w:spacing w:val="-5"/>
                <w:sz w:val="18"/>
              </w:rPr>
              <w:t xml:space="preserve"> </w:t>
            </w:r>
            <w:r>
              <w:rPr>
                <w:sz w:val="18"/>
              </w:rPr>
              <w:t>Social</w:t>
            </w:r>
            <w:r>
              <w:rPr>
                <w:spacing w:val="-3"/>
                <w:sz w:val="18"/>
              </w:rPr>
              <w:t xml:space="preserve"> </w:t>
            </w:r>
            <w:r>
              <w:rPr>
                <w:sz w:val="18"/>
              </w:rPr>
              <w:t>Forestry</w:t>
            </w:r>
            <w:r>
              <w:rPr>
                <w:spacing w:val="-4"/>
                <w:sz w:val="18"/>
              </w:rPr>
              <w:t xml:space="preserve"> </w:t>
            </w:r>
            <w:r>
              <w:rPr>
                <w:spacing w:val="-2"/>
                <w:sz w:val="18"/>
              </w:rPr>
              <w:t>Management</w:t>
            </w:r>
          </w:p>
        </w:tc>
        <w:tc>
          <w:tcPr>
            <w:tcW w:w="1096" w:type="dxa"/>
            <w:tcBorders>
              <w:top w:val="single" w:sz="4" w:space="0" w:color="A6A6A6"/>
              <w:left w:val="single" w:sz="4" w:space="0" w:color="A6A6A6"/>
              <w:bottom w:val="single" w:sz="4" w:space="0" w:color="A6A6A6"/>
              <w:right w:val="single" w:sz="4" w:space="0" w:color="A6A6A6"/>
            </w:tcBorders>
          </w:tcPr>
          <w:p w14:paraId="5C748AED" w14:textId="77777777" w:rsidR="00BC24A8" w:rsidRDefault="00000000">
            <w:pPr>
              <w:pStyle w:val="TableParagraph"/>
              <w:spacing w:before="1"/>
              <w:ind w:right="3"/>
              <w:jc w:val="center"/>
              <w:rPr>
                <w:sz w:val="18"/>
              </w:rPr>
            </w:pPr>
            <w:r>
              <w:rPr>
                <w:spacing w:val="-2"/>
                <w:sz w:val="18"/>
              </w:rPr>
              <w:t>Kemendagri</w:t>
            </w:r>
          </w:p>
        </w:tc>
      </w:tr>
      <w:tr w:rsidR="00BC24A8" w14:paraId="4E012D71" w14:textId="77777777">
        <w:trPr>
          <w:trHeight w:val="311"/>
        </w:trPr>
        <w:tc>
          <w:tcPr>
            <w:tcW w:w="552" w:type="dxa"/>
            <w:tcBorders>
              <w:top w:val="single" w:sz="4" w:space="0" w:color="A6A6A6"/>
              <w:left w:val="single" w:sz="4" w:space="0" w:color="A6A6A6"/>
              <w:bottom w:val="single" w:sz="4" w:space="0" w:color="A6A6A6"/>
              <w:right w:val="single" w:sz="4" w:space="0" w:color="A6A6A6"/>
            </w:tcBorders>
          </w:tcPr>
          <w:p w14:paraId="41E740DE" w14:textId="77777777" w:rsidR="00BC24A8" w:rsidRDefault="00000000">
            <w:pPr>
              <w:pStyle w:val="TableParagraph"/>
              <w:spacing w:before="1"/>
              <w:ind w:left="72"/>
              <w:jc w:val="center"/>
              <w:rPr>
                <w:sz w:val="18"/>
              </w:rPr>
            </w:pPr>
            <w:r>
              <w:rPr>
                <w:spacing w:val="-5"/>
                <w:sz w:val="18"/>
              </w:rPr>
              <w:t>120</w:t>
            </w:r>
          </w:p>
        </w:tc>
        <w:tc>
          <w:tcPr>
            <w:tcW w:w="955" w:type="dxa"/>
            <w:tcBorders>
              <w:top w:val="single" w:sz="4" w:space="0" w:color="A6A6A6"/>
              <w:left w:val="single" w:sz="4" w:space="0" w:color="A6A6A6"/>
              <w:bottom w:val="single" w:sz="4" w:space="0" w:color="A6A6A6"/>
              <w:right w:val="single" w:sz="4" w:space="0" w:color="A6A6A6"/>
            </w:tcBorders>
          </w:tcPr>
          <w:p w14:paraId="5FB05917"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0B56BC66" w14:textId="77777777" w:rsidR="00BC24A8" w:rsidRDefault="00000000">
            <w:pPr>
              <w:pStyle w:val="TableParagraph"/>
              <w:spacing w:before="1"/>
              <w:ind w:left="105"/>
              <w:rPr>
                <w:sz w:val="18"/>
              </w:rPr>
            </w:pPr>
            <w:r>
              <w:rPr>
                <w:sz w:val="18"/>
              </w:rPr>
              <w:t>Realizing</w:t>
            </w:r>
            <w:r>
              <w:rPr>
                <w:spacing w:val="-8"/>
                <w:sz w:val="18"/>
              </w:rPr>
              <w:t xml:space="preserve"> </w:t>
            </w:r>
            <w:r>
              <w:rPr>
                <w:sz w:val="18"/>
              </w:rPr>
              <w:t>Inclusive</w:t>
            </w:r>
            <w:r>
              <w:rPr>
                <w:spacing w:val="-7"/>
                <w:sz w:val="18"/>
              </w:rPr>
              <w:t xml:space="preserve"> </w:t>
            </w:r>
            <w:r>
              <w:rPr>
                <w:sz w:val="18"/>
              </w:rPr>
              <w:t>Transportation</w:t>
            </w:r>
            <w:r>
              <w:rPr>
                <w:spacing w:val="-10"/>
                <w:sz w:val="18"/>
              </w:rPr>
              <w:t xml:space="preserve"> </w:t>
            </w:r>
            <w:r>
              <w:rPr>
                <w:sz w:val="18"/>
              </w:rPr>
              <w:t>for</w:t>
            </w:r>
            <w:r>
              <w:rPr>
                <w:spacing w:val="-6"/>
                <w:sz w:val="18"/>
              </w:rPr>
              <w:t xml:space="preserve"> </w:t>
            </w:r>
            <w:r>
              <w:rPr>
                <w:sz w:val="18"/>
              </w:rPr>
              <w:t>Persons</w:t>
            </w:r>
            <w:r>
              <w:rPr>
                <w:spacing w:val="-7"/>
                <w:sz w:val="18"/>
              </w:rPr>
              <w:t xml:space="preserve"> </w:t>
            </w:r>
            <w:r>
              <w:rPr>
                <w:sz w:val="18"/>
              </w:rPr>
              <w:t>with</w:t>
            </w:r>
            <w:r>
              <w:rPr>
                <w:spacing w:val="-7"/>
                <w:sz w:val="18"/>
              </w:rPr>
              <w:t xml:space="preserve"> </w:t>
            </w:r>
            <w:r>
              <w:rPr>
                <w:sz w:val="18"/>
              </w:rPr>
              <w:t>Disabilities</w:t>
            </w:r>
            <w:r>
              <w:rPr>
                <w:spacing w:val="-10"/>
                <w:sz w:val="18"/>
              </w:rPr>
              <w:t xml:space="preserve"> </w:t>
            </w:r>
            <w:r>
              <w:rPr>
                <w:sz w:val="18"/>
              </w:rPr>
              <w:t>in</w:t>
            </w:r>
            <w:r>
              <w:rPr>
                <w:spacing w:val="-7"/>
                <w:sz w:val="18"/>
              </w:rPr>
              <w:t xml:space="preserve"> </w:t>
            </w:r>
            <w:r>
              <w:rPr>
                <w:sz w:val="18"/>
              </w:rPr>
              <w:t>Cirebon</w:t>
            </w:r>
            <w:r>
              <w:rPr>
                <w:spacing w:val="-6"/>
                <w:sz w:val="18"/>
              </w:rPr>
              <w:t xml:space="preserve"> </w:t>
            </w:r>
            <w:r>
              <w:rPr>
                <w:spacing w:val="-4"/>
                <w:sz w:val="18"/>
              </w:rPr>
              <w:t>City</w:t>
            </w:r>
          </w:p>
        </w:tc>
        <w:tc>
          <w:tcPr>
            <w:tcW w:w="1096" w:type="dxa"/>
            <w:tcBorders>
              <w:top w:val="single" w:sz="4" w:space="0" w:color="A6A6A6"/>
              <w:left w:val="single" w:sz="4" w:space="0" w:color="A6A6A6"/>
              <w:bottom w:val="single" w:sz="4" w:space="0" w:color="A6A6A6"/>
              <w:right w:val="single" w:sz="4" w:space="0" w:color="A6A6A6"/>
            </w:tcBorders>
          </w:tcPr>
          <w:p w14:paraId="19863DE5" w14:textId="77777777" w:rsidR="00BC24A8" w:rsidRDefault="00000000">
            <w:pPr>
              <w:pStyle w:val="TableParagraph"/>
              <w:spacing w:before="1"/>
              <w:ind w:right="3"/>
              <w:jc w:val="center"/>
              <w:rPr>
                <w:sz w:val="18"/>
              </w:rPr>
            </w:pPr>
            <w:r>
              <w:rPr>
                <w:spacing w:val="-2"/>
                <w:sz w:val="18"/>
              </w:rPr>
              <w:t>Kemendagri</w:t>
            </w:r>
          </w:p>
        </w:tc>
      </w:tr>
      <w:tr w:rsidR="00BC24A8" w14:paraId="0E040799" w14:textId="77777777">
        <w:trPr>
          <w:trHeight w:val="246"/>
        </w:trPr>
        <w:tc>
          <w:tcPr>
            <w:tcW w:w="552" w:type="dxa"/>
            <w:tcBorders>
              <w:top w:val="single" w:sz="4" w:space="0" w:color="A6A6A6"/>
              <w:left w:val="single" w:sz="4" w:space="0" w:color="A6A6A6"/>
              <w:bottom w:val="single" w:sz="4" w:space="0" w:color="A6A6A6"/>
              <w:right w:val="single" w:sz="4" w:space="0" w:color="A6A6A6"/>
            </w:tcBorders>
          </w:tcPr>
          <w:p w14:paraId="1E392B2F" w14:textId="77777777" w:rsidR="00BC24A8" w:rsidRDefault="00000000">
            <w:pPr>
              <w:pStyle w:val="TableParagraph"/>
              <w:spacing w:before="1"/>
              <w:ind w:left="72"/>
              <w:jc w:val="center"/>
              <w:rPr>
                <w:sz w:val="18"/>
              </w:rPr>
            </w:pPr>
            <w:r>
              <w:rPr>
                <w:spacing w:val="-5"/>
                <w:sz w:val="18"/>
              </w:rPr>
              <w:t>121</w:t>
            </w:r>
          </w:p>
        </w:tc>
        <w:tc>
          <w:tcPr>
            <w:tcW w:w="955" w:type="dxa"/>
            <w:tcBorders>
              <w:top w:val="single" w:sz="4" w:space="0" w:color="A6A6A6"/>
              <w:left w:val="single" w:sz="4" w:space="0" w:color="A6A6A6"/>
              <w:bottom w:val="single" w:sz="4" w:space="0" w:color="A6A6A6"/>
              <w:right w:val="single" w:sz="4" w:space="0" w:color="A6A6A6"/>
            </w:tcBorders>
          </w:tcPr>
          <w:p w14:paraId="123A6977"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65ECC754" w14:textId="77777777" w:rsidR="00BC24A8" w:rsidRDefault="00000000">
            <w:pPr>
              <w:pStyle w:val="TableParagraph"/>
              <w:spacing w:before="1"/>
              <w:ind w:left="105"/>
              <w:rPr>
                <w:sz w:val="18"/>
              </w:rPr>
            </w:pPr>
            <w:r>
              <w:rPr>
                <w:sz w:val="18"/>
              </w:rPr>
              <w:t>Inclusion</w:t>
            </w:r>
            <w:r>
              <w:rPr>
                <w:spacing w:val="-11"/>
                <w:sz w:val="18"/>
              </w:rPr>
              <w:t xml:space="preserve"> </w:t>
            </w:r>
            <w:r>
              <w:rPr>
                <w:sz w:val="18"/>
              </w:rPr>
              <w:t>of</w:t>
            </w:r>
            <w:r>
              <w:rPr>
                <w:spacing w:val="-10"/>
                <w:sz w:val="18"/>
              </w:rPr>
              <w:t xml:space="preserve"> </w:t>
            </w:r>
            <w:r>
              <w:rPr>
                <w:sz w:val="18"/>
              </w:rPr>
              <w:t>Public</w:t>
            </w:r>
            <w:r>
              <w:rPr>
                <w:spacing w:val="-10"/>
                <w:sz w:val="18"/>
              </w:rPr>
              <w:t xml:space="preserve"> </w:t>
            </w:r>
            <w:r>
              <w:rPr>
                <w:sz w:val="18"/>
              </w:rPr>
              <w:t>Services</w:t>
            </w:r>
            <w:r>
              <w:rPr>
                <w:spacing w:val="-9"/>
                <w:sz w:val="18"/>
              </w:rPr>
              <w:t xml:space="preserve"> </w:t>
            </w:r>
            <w:r>
              <w:rPr>
                <w:sz w:val="18"/>
              </w:rPr>
              <w:t>for</w:t>
            </w:r>
            <w:r>
              <w:rPr>
                <w:spacing w:val="-9"/>
                <w:sz w:val="18"/>
              </w:rPr>
              <w:t xml:space="preserve"> </w:t>
            </w:r>
            <w:r>
              <w:rPr>
                <w:sz w:val="18"/>
              </w:rPr>
              <w:t>Persons</w:t>
            </w:r>
            <w:r>
              <w:rPr>
                <w:spacing w:val="-9"/>
                <w:sz w:val="18"/>
              </w:rPr>
              <w:t xml:space="preserve"> </w:t>
            </w:r>
            <w:r>
              <w:rPr>
                <w:sz w:val="18"/>
              </w:rPr>
              <w:t>with</w:t>
            </w:r>
            <w:r>
              <w:rPr>
                <w:spacing w:val="-8"/>
                <w:sz w:val="18"/>
              </w:rPr>
              <w:t xml:space="preserve"> </w:t>
            </w:r>
            <w:r>
              <w:rPr>
                <w:sz w:val="18"/>
              </w:rPr>
              <w:t>Mental</w:t>
            </w:r>
            <w:r>
              <w:rPr>
                <w:spacing w:val="-11"/>
                <w:sz w:val="18"/>
              </w:rPr>
              <w:t xml:space="preserve"> </w:t>
            </w:r>
            <w:r>
              <w:rPr>
                <w:sz w:val="18"/>
              </w:rPr>
              <w:t>Disabilities</w:t>
            </w:r>
            <w:r>
              <w:rPr>
                <w:spacing w:val="-10"/>
                <w:sz w:val="18"/>
              </w:rPr>
              <w:t xml:space="preserve"> </w:t>
            </w:r>
            <w:r>
              <w:rPr>
                <w:sz w:val="18"/>
              </w:rPr>
              <w:t>to</w:t>
            </w:r>
            <w:r>
              <w:rPr>
                <w:spacing w:val="-9"/>
                <w:sz w:val="18"/>
              </w:rPr>
              <w:t xml:space="preserve"> </w:t>
            </w:r>
            <w:r>
              <w:rPr>
                <w:sz w:val="18"/>
              </w:rPr>
              <w:t>Achieve</w:t>
            </w:r>
            <w:r>
              <w:rPr>
                <w:spacing w:val="-8"/>
                <w:sz w:val="18"/>
              </w:rPr>
              <w:t xml:space="preserve"> </w:t>
            </w:r>
            <w:r>
              <w:rPr>
                <w:sz w:val="18"/>
              </w:rPr>
              <w:t>Social</w:t>
            </w:r>
            <w:r>
              <w:rPr>
                <w:spacing w:val="-10"/>
                <w:sz w:val="18"/>
              </w:rPr>
              <w:t xml:space="preserve"> </w:t>
            </w:r>
            <w:r>
              <w:rPr>
                <w:spacing w:val="-2"/>
                <w:sz w:val="18"/>
              </w:rPr>
              <w:t>Independence</w:t>
            </w:r>
          </w:p>
        </w:tc>
        <w:tc>
          <w:tcPr>
            <w:tcW w:w="1096" w:type="dxa"/>
            <w:tcBorders>
              <w:top w:val="single" w:sz="4" w:space="0" w:color="A6A6A6"/>
              <w:left w:val="single" w:sz="4" w:space="0" w:color="A6A6A6"/>
              <w:bottom w:val="single" w:sz="4" w:space="0" w:color="A6A6A6"/>
              <w:right w:val="single" w:sz="4" w:space="0" w:color="A6A6A6"/>
            </w:tcBorders>
          </w:tcPr>
          <w:p w14:paraId="47A7DE32" w14:textId="77777777" w:rsidR="00BC24A8" w:rsidRDefault="00000000">
            <w:pPr>
              <w:pStyle w:val="TableParagraph"/>
              <w:spacing w:before="1"/>
              <w:ind w:right="3"/>
              <w:jc w:val="center"/>
              <w:rPr>
                <w:sz w:val="18"/>
              </w:rPr>
            </w:pPr>
            <w:r>
              <w:rPr>
                <w:spacing w:val="-2"/>
                <w:sz w:val="18"/>
              </w:rPr>
              <w:t>Kemendagri</w:t>
            </w:r>
          </w:p>
        </w:tc>
      </w:tr>
      <w:tr w:rsidR="00BC24A8" w14:paraId="5E664BF4" w14:textId="77777777">
        <w:trPr>
          <w:trHeight w:val="325"/>
        </w:trPr>
        <w:tc>
          <w:tcPr>
            <w:tcW w:w="552" w:type="dxa"/>
            <w:tcBorders>
              <w:top w:val="single" w:sz="4" w:space="0" w:color="A6A6A6"/>
              <w:left w:val="single" w:sz="4" w:space="0" w:color="A6A6A6"/>
              <w:bottom w:val="single" w:sz="4" w:space="0" w:color="A6A6A6"/>
              <w:right w:val="single" w:sz="4" w:space="0" w:color="A6A6A6"/>
            </w:tcBorders>
          </w:tcPr>
          <w:p w14:paraId="4BA42D7B" w14:textId="77777777" w:rsidR="00BC24A8" w:rsidRDefault="00000000">
            <w:pPr>
              <w:pStyle w:val="TableParagraph"/>
              <w:spacing w:before="1"/>
              <w:ind w:left="72"/>
              <w:jc w:val="center"/>
              <w:rPr>
                <w:sz w:val="18"/>
              </w:rPr>
            </w:pPr>
            <w:r>
              <w:rPr>
                <w:spacing w:val="-5"/>
                <w:sz w:val="18"/>
              </w:rPr>
              <w:t>122</w:t>
            </w:r>
          </w:p>
        </w:tc>
        <w:tc>
          <w:tcPr>
            <w:tcW w:w="955" w:type="dxa"/>
            <w:tcBorders>
              <w:top w:val="single" w:sz="4" w:space="0" w:color="A6A6A6"/>
              <w:left w:val="single" w:sz="4" w:space="0" w:color="A6A6A6"/>
              <w:bottom w:val="single" w:sz="4" w:space="0" w:color="A6A6A6"/>
              <w:right w:val="single" w:sz="4" w:space="0" w:color="A6A6A6"/>
            </w:tcBorders>
          </w:tcPr>
          <w:p w14:paraId="7471AAA9"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47AD1393" w14:textId="77777777" w:rsidR="00BC24A8" w:rsidRDefault="00000000">
            <w:pPr>
              <w:pStyle w:val="TableParagraph"/>
              <w:spacing w:before="1"/>
              <w:ind w:left="105"/>
              <w:rPr>
                <w:sz w:val="18"/>
              </w:rPr>
            </w:pPr>
            <w:r>
              <w:rPr>
                <w:spacing w:val="-2"/>
                <w:sz w:val="18"/>
              </w:rPr>
              <w:t>Regional</w:t>
            </w:r>
            <w:r>
              <w:rPr>
                <w:spacing w:val="8"/>
                <w:sz w:val="18"/>
              </w:rPr>
              <w:t xml:space="preserve"> </w:t>
            </w:r>
            <w:r>
              <w:rPr>
                <w:spacing w:val="-2"/>
                <w:sz w:val="18"/>
              </w:rPr>
              <w:t>WWTP</w:t>
            </w:r>
            <w:r>
              <w:rPr>
                <w:spacing w:val="7"/>
                <w:sz w:val="18"/>
              </w:rPr>
              <w:t xml:space="preserve"> </w:t>
            </w:r>
            <w:r>
              <w:rPr>
                <w:spacing w:val="-2"/>
                <w:sz w:val="18"/>
              </w:rPr>
              <w:t>Transformation</w:t>
            </w:r>
            <w:r>
              <w:rPr>
                <w:spacing w:val="8"/>
                <w:sz w:val="18"/>
              </w:rPr>
              <w:t xml:space="preserve"> </w:t>
            </w:r>
            <w:r>
              <w:rPr>
                <w:spacing w:val="-2"/>
                <w:sz w:val="18"/>
              </w:rPr>
              <w:t>Through</w:t>
            </w:r>
            <w:r>
              <w:rPr>
                <w:spacing w:val="7"/>
                <w:sz w:val="18"/>
              </w:rPr>
              <w:t xml:space="preserve"> </w:t>
            </w:r>
            <w:r>
              <w:rPr>
                <w:spacing w:val="-2"/>
                <w:sz w:val="18"/>
              </w:rPr>
              <w:t>Multi-stakeholder</w:t>
            </w:r>
            <w:r>
              <w:rPr>
                <w:spacing w:val="8"/>
                <w:sz w:val="18"/>
              </w:rPr>
              <w:t xml:space="preserve"> </w:t>
            </w:r>
            <w:r>
              <w:rPr>
                <w:spacing w:val="-2"/>
                <w:sz w:val="18"/>
              </w:rPr>
              <w:t>Partnership</w:t>
            </w:r>
            <w:r>
              <w:rPr>
                <w:spacing w:val="8"/>
                <w:sz w:val="18"/>
              </w:rPr>
              <w:t xml:space="preserve"> </w:t>
            </w:r>
            <w:r>
              <w:rPr>
                <w:spacing w:val="-2"/>
                <w:sz w:val="18"/>
              </w:rPr>
              <w:t>Strategy</w:t>
            </w:r>
          </w:p>
        </w:tc>
        <w:tc>
          <w:tcPr>
            <w:tcW w:w="1096" w:type="dxa"/>
            <w:tcBorders>
              <w:top w:val="single" w:sz="4" w:space="0" w:color="A6A6A6"/>
              <w:left w:val="single" w:sz="4" w:space="0" w:color="A6A6A6"/>
              <w:bottom w:val="single" w:sz="4" w:space="0" w:color="A6A6A6"/>
              <w:right w:val="single" w:sz="4" w:space="0" w:color="A6A6A6"/>
            </w:tcBorders>
          </w:tcPr>
          <w:p w14:paraId="55D4C3BF" w14:textId="77777777" w:rsidR="00BC24A8" w:rsidRDefault="00000000">
            <w:pPr>
              <w:pStyle w:val="TableParagraph"/>
              <w:spacing w:before="1"/>
              <w:ind w:right="3"/>
              <w:jc w:val="center"/>
              <w:rPr>
                <w:sz w:val="18"/>
              </w:rPr>
            </w:pPr>
            <w:r>
              <w:rPr>
                <w:spacing w:val="-2"/>
                <w:sz w:val="18"/>
              </w:rPr>
              <w:t>Kemendagri</w:t>
            </w:r>
          </w:p>
        </w:tc>
      </w:tr>
      <w:tr w:rsidR="00BC24A8" w14:paraId="07A8CCE8"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157CBA1E" w14:textId="77777777" w:rsidR="00BC24A8" w:rsidRDefault="00000000">
            <w:pPr>
              <w:pStyle w:val="TableParagraph"/>
              <w:spacing w:line="219" w:lineRule="exact"/>
              <w:ind w:left="72"/>
              <w:jc w:val="center"/>
              <w:rPr>
                <w:sz w:val="18"/>
              </w:rPr>
            </w:pPr>
            <w:r>
              <w:rPr>
                <w:spacing w:val="-5"/>
                <w:sz w:val="18"/>
              </w:rPr>
              <w:t>123</w:t>
            </w:r>
          </w:p>
        </w:tc>
        <w:tc>
          <w:tcPr>
            <w:tcW w:w="955" w:type="dxa"/>
            <w:tcBorders>
              <w:top w:val="single" w:sz="4" w:space="0" w:color="A6A6A6"/>
              <w:left w:val="single" w:sz="4" w:space="0" w:color="A6A6A6"/>
              <w:bottom w:val="single" w:sz="4" w:space="0" w:color="A6A6A6"/>
              <w:right w:val="single" w:sz="4" w:space="0" w:color="A6A6A6"/>
            </w:tcBorders>
          </w:tcPr>
          <w:p w14:paraId="6CFCC8A5"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38AA412D" w14:textId="77777777" w:rsidR="00BC24A8" w:rsidRDefault="00000000">
            <w:pPr>
              <w:pStyle w:val="TableParagraph"/>
              <w:ind w:left="105"/>
              <w:rPr>
                <w:sz w:val="18"/>
              </w:rPr>
            </w:pPr>
            <w:r>
              <w:rPr>
                <w:sz w:val="18"/>
              </w:rPr>
              <w:t>Strengthening</w:t>
            </w:r>
            <w:r>
              <w:rPr>
                <w:spacing w:val="22"/>
                <w:sz w:val="18"/>
              </w:rPr>
              <w:t xml:space="preserve"> </w:t>
            </w:r>
            <w:r>
              <w:rPr>
                <w:sz w:val="18"/>
              </w:rPr>
              <w:t>and</w:t>
            </w:r>
            <w:r>
              <w:rPr>
                <w:spacing w:val="23"/>
                <w:sz w:val="18"/>
              </w:rPr>
              <w:t xml:space="preserve"> </w:t>
            </w:r>
            <w:r>
              <w:rPr>
                <w:sz w:val="18"/>
              </w:rPr>
              <w:t>Optimizing</w:t>
            </w:r>
            <w:r>
              <w:rPr>
                <w:spacing w:val="20"/>
                <w:sz w:val="18"/>
              </w:rPr>
              <w:t xml:space="preserve"> </w:t>
            </w:r>
            <w:r>
              <w:rPr>
                <w:sz w:val="18"/>
              </w:rPr>
              <w:t>Political</w:t>
            </w:r>
            <w:r>
              <w:rPr>
                <w:spacing w:val="21"/>
                <w:sz w:val="18"/>
              </w:rPr>
              <w:t xml:space="preserve"> </w:t>
            </w:r>
            <w:r>
              <w:rPr>
                <w:sz w:val="18"/>
              </w:rPr>
              <w:t>Regulations</w:t>
            </w:r>
            <w:r>
              <w:rPr>
                <w:spacing w:val="20"/>
                <w:sz w:val="18"/>
              </w:rPr>
              <w:t xml:space="preserve"> </w:t>
            </w:r>
            <w:r>
              <w:rPr>
                <w:sz w:val="18"/>
              </w:rPr>
              <w:t>to</w:t>
            </w:r>
            <w:r>
              <w:rPr>
                <w:spacing w:val="22"/>
                <w:sz w:val="18"/>
              </w:rPr>
              <w:t xml:space="preserve"> </w:t>
            </w:r>
            <w:r>
              <w:rPr>
                <w:sz w:val="18"/>
              </w:rPr>
              <w:t>Increase</w:t>
            </w:r>
            <w:r>
              <w:rPr>
                <w:spacing w:val="20"/>
                <w:sz w:val="18"/>
              </w:rPr>
              <w:t xml:space="preserve"> </w:t>
            </w:r>
            <w:r>
              <w:rPr>
                <w:sz w:val="18"/>
              </w:rPr>
              <w:t>Women’s</w:t>
            </w:r>
            <w:r>
              <w:rPr>
                <w:spacing w:val="23"/>
                <w:sz w:val="18"/>
              </w:rPr>
              <w:t xml:space="preserve"> </w:t>
            </w:r>
            <w:r>
              <w:rPr>
                <w:sz w:val="18"/>
              </w:rPr>
              <w:t>Representation</w:t>
            </w:r>
            <w:r>
              <w:rPr>
                <w:spacing w:val="20"/>
                <w:sz w:val="18"/>
              </w:rPr>
              <w:t xml:space="preserve"> </w:t>
            </w:r>
            <w:r>
              <w:rPr>
                <w:sz w:val="18"/>
              </w:rPr>
              <w:t>in Legislative</w:t>
            </w:r>
            <w:r>
              <w:rPr>
                <w:spacing w:val="-2"/>
                <w:sz w:val="18"/>
              </w:rPr>
              <w:t xml:space="preserve"> </w:t>
            </w:r>
            <w:r>
              <w:rPr>
                <w:sz w:val="18"/>
              </w:rPr>
              <w:t>Institutions</w:t>
            </w:r>
          </w:p>
        </w:tc>
        <w:tc>
          <w:tcPr>
            <w:tcW w:w="1096" w:type="dxa"/>
            <w:tcBorders>
              <w:top w:val="single" w:sz="4" w:space="0" w:color="A6A6A6"/>
              <w:left w:val="single" w:sz="4" w:space="0" w:color="A6A6A6"/>
              <w:bottom w:val="single" w:sz="4" w:space="0" w:color="A6A6A6"/>
              <w:right w:val="single" w:sz="4" w:space="0" w:color="A6A6A6"/>
            </w:tcBorders>
          </w:tcPr>
          <w:p w14:paraId="76933017" w14:textId="77777777" w:rsidR="00BC24A8" w:rsidRDefault="00000000">
            <w:pPr>
              <w:pStyle w:val="TableParagraph"/>
              <w:spacing w:line="219" w:lineRule="exact"/>
              <w:ind w:right="3"/>
              <w:jc w:val="center"/>
              <w:rPr>
                <w:sz w:val="18"/>
              </w:rPr>
            </w:pPr>
            <w:r>
              <w:rPr>
                <w:spacing w:val="-2"/>
                <w:sz w:val="18"/>
              </w:rPr>
              <w:t>Kemendagri</w:t>
            </w:r>
          </w:p>
        </w:tc>
      </w:tr>
      <w:tr w:rsidR="00BC24A8" w14:paraId="75A5B1F3" w14:textId="77777777">
        <w:trPr>
          <w:trHeight w:val="479"/>
        </w:trPr>
        <w:tc>
          <w:tcPr>
            <w:tcW w:w="552" w:type="dxa"/>
            <w:tcBorders>
              <w:top w:val="single" w:sz="4" w:space="0" w:color="A6A6A6"/>
              <w:left w:val="single" w:sz="4" w:space="0" w:color="A6A6A6"/>
              <w:bottom w:val="single" w:sz="4" w:space="0" w:color="A6A6A6"/>
              <w:right w:val="single" w:sz="4" w:space="0" w:color="A6A6A6"/>
            </w:tcBorders>
          </w:tcPr>
          <w:p w14:paraId="71C99F25" w14:textId="77777777" w:rsidR="00BC24A8" w:rsidRDefault="00000000">
            <w:pPr>
              <w:pStyle w:val="TableParagraph"/>
              <w:spacing w:before="1"/>
              <w:ind w:left="72"/>
              <w:jc w:val="center"/>
              <w:rPr>
                <w:sz w:val="18"/>
              </w:rPr>
            </w:pPr>
            <w:r>
              <w:rPr>
                <w:spacing w:val="-5"/>
                <w:sz w:val="18"/>
              </w:rPr>
              <w:t>124</w:t>
            </w:r>
          </w:p>
        </w:tc>
        <w:tc>
          <w:tcPr>
            <w:tcW w:w="955" w:type="dxa"/>
            <w:tcBorders>
              <w:top w:val="single" w:sz="4" w:space="0" w:color="A6A6A6"/>
              <w:left w:val="single" w:sz="4" w:space="0" w:color="A6A6A6"/>
              <w:bottom w:val="single" w:sz="4" w:space="0" w:color="A6A6A6"/>
              <w:right w:val="single" w:sz="4" w:space="0" w:color="A6A6A6"/>
            </w:tcBorders>
          </w:tcPr>
          <w:p w14:paraId="5EEB377D"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00BCA9BB" w14:textId="77777777" w:rsidR="00BC24A8" w:rsidRDefault="00000000">
            <w:pPr>
              <w:pStyle w:val="TableParagraph"/>
              <w:spacing w:before="1"/>
              <w:ind w:left="105"/>
              <w:rPr>
                <w:sz w:val="18"/>
              </w:rPr>
            </w:pPr>
            <w:r>
              <w:rPr>
                <w:sz w:val="18"/>
              </w:rPr>
              <w:t>Optimizing</w:t>
            </w:r>
            <w:r>
              <w:rPr>
                <w:spacing w:val="-6"/>
                <w:sz w:val="18"/>
              </w:rPr>
              <w:t xml:space="preserve"> </w:t>
            </w:r>
            <w:r>
              <w:rPr>
                <w:sz w:val="18"/>
              </w:rPr>
              <w:t>the</w:t>
            </w:r>
            <w:r>
              <w:rPr>
                <w:spacing w:val="-8"/>
                <w:sz w:val="18"/>
              </w:rPr>
              <w:t xml:space="preserve"> </w:t>
            </w:r>
            <w:r>
              <w:rPr>
                <w:sz w:val="18"/>
              </w:rPr>
              <w:t>Protection</w:t>
            </w:r>
            <w:r>
              <w:rPr>
                <w:spacing w:val="-5"/>
                <w:sz w:val="18"/>
              </w:rPr>
              <w:t xml:space="preserve"> </w:t>
            </w:r>
            <w:r>
              <w:rPr>
                <w:sz w:val="18"/>
              </w:rPr>
              <w:t>and</w:t>
            </w:r>
            <w:r>
              <w:rPr>
                <w:spacing w:val="-5"/>
                <w:sz w:val="18"/>
              </w:rPr>
              <w:t xml:space="preserve"> </w:t>
            </w:r>
            <w:r>
              <w:rPr>
                <w:sz w:val="18"/>
              </w:rPr>
              <w:t>Fulfillment</w:t>
            </w:r>
            <w:r>
              <w:rPr>
                <w:spacing w:val="-4"/>
                <w:sz w:val="18"/>
              </w:rPr>
              <w:t xml:space="preserve"> </w:t>
            </w:r>
            <w:r>
              <w:rPr>
                <w:sz w:val="18"/>
              </w:rPr>
              <w:t>of</w:t>
            </w:r>
            <w:r>
              <w:rPr>
                <w:spacing w:val="-6"/>
                <w:sz w:val="18"/>
              </w:rPr>
              <w:t xml:space="preserve"> </w:t>
            </w:r>
            <w:r>
              <w:rPr>
                <w:sz w:val="18"/>
              </w:rPr>
              <w:t>the</w:t>
            </w:r>
            <w:r>
              <w:rPr>
                <w:spacing w:val="-5"/>
                <w:sz w:val="18"/>
              </w:rPr>
              <w:t xml:space="preserve"> </w:t>
            </w:r>
            <w:r>
              <w:rPr>
                <w:sz w:val="18"/>
              </w:rPr>
              <w:t>Rights</w:t>
            </w:r>
            <w:r>
              <w:rPr>
                <w:spacing w:val="-8"/>
                <w:sz w:val="18"/>
              </w:rPr>
              <w:t xml:space="preserve"> </w:t>
            </w:r>
            <w:r>
              <w:rPr>
                <w:sz w:val="18"/>
              </w:rPr>
              <w:t>of</w:t>
            </w:r>
            <w:r>
              <w:rPr>
                <w:spacing w:val="-6"/>
                <w:sz w:val="18"/>
              </w:rPr>
              <w:t xml:space="preserve"> </w:t>
            </w:r>
            <w:r>
              <w:rPr>
                <w:sz w:val="18"/>
              </w:rPr>
              <w:t>Persons</w:t>
            </w:r>
            <w:r>
              <w:rPr>
                <w:spacing w:val="-5"/>
                <w:sz w:val="18"/>
              </w:rPr>
              <w:t xml:space="preserve"> </w:t>
            </w:r>
            <w:r>
              <w:rPr>
                <w:sz w:val="18"/>
              </w:rPr>
              <w:t>with</w:t>
            </w:r>
            <w:r>
              <w:rPr>
                <w:spacing w:val="-5"/>
                <w:sz w:val="18"/>
              </w:rPr>
              <w:t xml:space="preserve"> </w:t>
            </w:r>
            <w:r>
              <w:rPr>
                <w:sz w:val="18"/>
              </w:rPr>
              <w:t>Disabilities</w:t>
            </w:r>
            <w:r>
              <w:rPr>
                <w:spacing w:val="-8"/>
                <w:sz w:val="18"/>
              </w:rPr>
              <w:t xml:space="preserve"> </w:t>
            </w:r>
            <w:r>
              <w:rPr>
                <w:sz w:val="18"/>
              </w:rPr>
              <w:t>through</w:t>
            </w:r>
            <w:r>
              <w:rPr>
                <w:spacing w:val="-5"/>
                <w:sz w:val="18"/>
              </w:rPr>
              <w:t xml:space="preserve"> </w:t>
            </w:r>
            <w:r>
              <w:rPr>
                <w:sz w:val="18"/>
              </w:rPr>
              <w:t>the Utilization of Regional Innovation Data</w:t>
            </w:r>
          </w:p>
        </w:tc>
        <w:tc>
          <w:tcPr>
            <w:tcW w:w="1096" w:type="dxa"/>
            <w:tcBorders>
              <w:top w:val="single" w:sz="4" w:space="0" w:color="A6A6A6"/>
              <w:left w:val="single" w:sz="4" w:space="0" w:color="A6A6A6"/>
              <w:bottom w:val="single" w:sz="4" w:space="0" w:color="A6A6A6"/>
              <w:right w:val="single" w:sz="4" w:space="0" w:color="A6A6A6"/>
            </w:tcBorders>
          </w:tcPr>
          <w:p w14:paraId="60C80CF3" w14:textId="77777777" w:rsidR="00BC24A8" w:rsidRDefault="00000000">
            <w:pPr>
              <w:pStyle w:val="TableParagraph"/>
              <w:spacing w:before="1"/>
              <w:ind w:right="3"/>
              <w:jc w:val="center"/>
              <w:rPr>
                <w:sz w:val="18"/>
              </w:rPr>
            </w:pPr>
            <w:r>
              <w:rPr>
                <w:spacing w:val="-2"/>
                <w:sz w:val="18"/>
              </w:rPr>
              <w:t>Kemendagri</w:t>
            </w:r>
          </w:p>
        </w:tc>
      </w:tr>
      <w:tr w:rsidR="00BC24A8" w14:paraId="1270DE10" w14:textId="77777777">
        <w:trPr>
          <w:trHeight w:val="258"/>
        </w:trPr>
        <w:tc>
          <w:tcPr>
            <w:tcW w:w="552" w:type="dxa"/>
            <w:tcBorders>
              <w:top w:val="single" w:sz="4" w:space="0" w:color="A6A6A6"/>
              <w:left w:val="single" w:sz="4" w:space="0" w:color="A6A6A6"/>
              <w:bottom w:val="single" w:sz="4" w:space="0" w:color="A6A6A6"/>
              <w:right w:val="single" w:sz="4" w:space="0" w:color="A6A6A6"/>
            </w:tcBorders>
          </w:tcPr>
          <w:p w14:paraId="70A89D41" w14:textId="77777777" w:rsidR="00BC24A8" w:rsidRDefault="00000000">
            <w:pPr>
              <w:pStyle w:val="TableParagraph"/>
              <w:spacing w:before="1"/>
              <w:ind w:left="72"/>
              <w:jc w:val="center"/>
              <w:rPr>
                <w:sz w:val="18"/>
              </w:rPr>
            </w:pPr>
            <w:r>
              <w:rPr>
                <w:spacing w:val="-5"/>
                <w:sz w:val="18"/>
              </w:rPr>
              <w:t>125</w:t>
            </w:r>
          </w:p>
        </w:tc>
        <w:tc>
          <w:tcPr>
            <w:tcW w:w="955" w:type="dxa"/>
            <w:tcBorders>
              <w:top w:val="single" w:sz="4" w:space="0" w:color="A6A6A6"/>
              <w:left w:val="single" w:sz="4" w:space="0" w:color="A6A6A6"/>
              <w:bottom w:val="single" w:sz="4" w:space="0" w:color="A6A6A6"/>
              <w:right w:val="single" w:sz="4" w:space="0" w:color="A6A6A6"/>
            </w:tcBorders>
          </w:tcPr>
          <w:p w14:paraId="0FA5A8B3"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614585A9" w14:textId="77777777" w:rsidR="00BC24A8" w:rsidRDefault="00000000">
            <w:pPr>
              <w:pStyle w:val="TableParagraph"/>
              <w:spacing w:before="1"/>
              <w:ind w:left="105"/>
              <w:rPr>
                <w:sz w:val="18"/>
              </w:rPr>
            </w:pPr>
            <w:r>
              <w:rPr>
                <w:sz w:val="18"/>
              </w:rPr>
              <w:t>The</w:t>
            </w:r>
            <w:r>
              <w:rPr>
                <w:spacing w:val="-5"/>
                <w:sz w:val="18"/>
              </w:rPr>
              <w:t xml:space="preserve"> </w:t>
            </w:r>
            <w:r>
              <w:rPr>
                <w:sz w:val="18"/>
              </w:rPr>
              <w:t>Urgency</w:t>
            </w:r>
            <w:r>
              <w:rPr>
                <w:spacing w:val="-4"/>
                <w:sz w:val="18"/>
              </w:rPr>
              <w:t xml:space="preserve"> </w:t>
            </w:r>
            <w:r>
              <w:rPr>
                <w:sz w:val="18"/>
              </w:rPr>
              <w:t>of</w:t>
            </w:r>
            <w:r>
              <w:rPr>
                <w:spacing w:val="-5"/>
                <w:sz w:val="18"/>
              </w:rPr>
              <w:t xml:space="preserve"> </w:t>
            </w:r>
            <w:r>
              <w:rPr>
                <w:sz w:val="18"/>
              </w:rPr>
              <w:t>Clustering</w:t>
            </w:r>
            <w:r>
              <w:rPr>
                <w:spacing w:val="-5"/>
                <w:sz w:val="18"/>
              </w:rPr>
              <w:t xml:space="preserve"> </w:t>
            </w:r>
            <w:r>
              <w:rPr>
                <w:sz w:val="18"/>
              </w:rPr>
              <w:t>Provinces</w:t>
            </w:r>
            <w:r>
              <w:rPr>
                <w:spacing w:val="-4"/>
                <w:sz w:val="18"/>
              </w:rPr>
              <w:t xml:space="preserve"> </w:t>
            </w:r>
            <w:r>
              <w:rPr>
                <w:sz w:val="18"/>
              </w:rPr>
              <w:t>Based</w:t>
            </w:r>
            <w:r>
              <w:rPr>
                <w:spacing w:val="-4"/>
                <w:sz w:val="18"/>
              </w:rPr>
              <w:t xml:space="preserve"> </w:t>
            </w:r>
            <w:r>
              <w:rPr>
                <w:sz w:val="18"/>
              </w:rPr>
              <w:t>on</w:t>
            </w:r>
            <w:r>
              <w:rPr>
                <w:spacing w:val="-5"/>
                <w:sz w:val="18"/>
              </w:rPr>
              <w:t xml:space="preserve"> </w:t>
            </w:r>
            <w:r>
              <w:rPr>
                <w:sz w:val="18"/>
              </w:rPr>
              <w:t>Index</w:t>
            </w:r>
            <w:r>
              <w:rPr>
                <w:spacing w:val="-5"/>
                <w:sz w:val="18"/>
              </w:rPr>
              <w:t xml:space="preserve"> </w:t>
            </w:r>
            <w:r>
              <w:rPr>
                <w:sz w:val="18"/>
              </w:rPr>
              <w:t>Achievement</w:t>
            </w:r>
            <w:r>
              <w:rPr>
                <w:spacing w:val="-3"/>
                <w:sz w:val="18"/>
              </w:rPr>
              <w:t xml:space="preserve"> </w:t>
            </w:r>
            <w:r>
              <w:rPr>
                <w:sz w:val="18"/>
              </w:rPr>
              <w:t>to</w:t>
            </w:r>
            <w:r>
              <w:rPr>
                <w:spacing w:val="-5"/>
                <w:sz w:val="18"/>
              </w:rPr>
              <w:t xml:space="preserve"> </w:t>
            </w:r>
            <w:r>
              <w:rPr>
                <w:sz w:val="18"/>
              </w:rPr>
              <w:t>Optimize</w:t>
            </w:r>
            <w:r>
              <w:rPr>
                <w:spacing w:val="-4"/>
                <w:sz w:val="18"/>
              </w:rPr>
              <w:t xml:space="preserve"> </w:t>
            </w:r>
            <w:r>
              <w:rPr>
                <w:sz w:val="18"/>
              </w:rPr>
              <w:t>PUG</w:t>
            </w:r>
            <w:r>
              <w:rPr>
                <w:spacing w:val="-4"/>
                <w:sz w:val="18"/>
              </w:rPr>
              <w:t xml:space="preserve"> </w:t>
            </w:r>
            <w:r>
              <w:rPr>
                <w:spacing w:val="-2"/>
                <w:sz w:val="18"/>
              </w:rPr>
              <w:t>Policy</w:t>
            </w:r>
          </w:p>
        </w:tc>
        <w:tc>
          <w:tcPr>
            <w:tcW w:w="1096" w:type="dxa"/>
            <w:tcBorders>
              <w:top w:val="single" w:sz="4" w:space="0" w:color="A6A6A6"/>
              <w:left w:val="single" w:sz="4" w:space="0" w:color="A6A6A6"/>
              <w:bottom w:val="single" w:sz="4" w:space="0" w:color="A6A6A6"/>
              <w:right w:val="single" w:sz="4" w:space="0" w:color="A6A6A6"/>
            </w:tcBorders>
          </w:tcPr>
          <w:p w14:paraId="43258BCC" w14:textId="77777777" w:rsidR="00BC24A8" w:rsidRDefault="00000000">
            <w:pPr>
              <w:pStyle w:val="TableParagraph"/>
              <w:spacing w:before="1"/>
              <w:ind w:right="3"/>
              <w:jc w:val="center"/>
              <w:rPr>
                <w:sz w:val="18"/>
              </w:rPr>
            </w:pPr>
            <w:r>
              <w:rPr>
                <w:spacing w:val="-2"/>
                <w:sz w:val="18"/>
              </w:rPr>
              <w:t>Kemendagri</w:t>
            </w:r>
          </w:p>
        </w:tc>
      </w:tr>
      <w:tr w:rsidR="00BC24A8" w14:paraId="1BE4F810" w14:textId="77777777">
        <w:trPr>
          <w:trHeight w:val="275"/>
        </w:trPr>
        <w:tc>
          <w:tcPr>
            <w:tcW w:w="552" w:type="dxa"/>
            <w:tcBorders>
              <w:top w:val="single" w:sz="4" w:space="0" w:color="A6A6A6"/>
              <w:left w:val="single" w:sz="4" w:space="0" w:color="A6A6A6"/>
              <w:bottom w:val="single" w:sz="4" w:space="0" w:color="A6A6A6"/>
              <w:right w:val="single" w:sz="4" w:space="0" w:color="A6A6A6"/>
            </w:tcBorders>
          </w:tcPr>
          <w:p w14:paraId="0F03D432" w14:textId="77777777" w:rsidR="00BC24A8" w:rsidRDefault="00000000">
            <w:pPr>
              <w:pStyle w:val="TableParagraph"/>
              <w:spacing w:line="219" w:lineRule="exact"/>
              <w:ind w:left="72"/>
              <w:jc w:val="center"/>
              <w:rPr>
                <w:sz w:val="18"/>
              </w:rPr>
            </w:pPr>
            <w:r>
              <w:rPr>
                <w:spacing w:val="-5"/>
                <w:sz w:val="18"/>
              </w:rPr>
              <w:t>126</w:t>
            </w:r>
          </w:p>
        </w:tc>
        <w:tc>
          <w:tcPr>
            <w:tcW w:w="955" w:type="dxa"/>
            <w:tcBorders>
              <w:top w:val="single" w:sz="4" w:space="0" w:color="A6A6A6"/>
              <w:left w:val="single" w:sz="4" w:space="0" w:color="A6A6A6"/>
              <w:bottom w:val="single" w:sz="4" w:space="0" w:color="A6A6A6"/>
              <w:right w:val="single" w:sz="4" w:space="0" w:color="A6A6A6"/>
            </w:tcBorders>
          </w:tcPr>
          <w:p w14:paraId="20F0477A" w14:textId="77777777" w:rsidR="00BC24A8" w:rsidRDefault="00000000">
            <w:pPr>
              <w:pStyle w:val="TableParagraph"/>
              <w:spacing w:line="219" w:lineRule="exact"/>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3CF2C779" w14:textId="77777777" w:rsidR="00BC24A8" w:rsidRDefault="00000000">
            <w:pPr>
              <w:pStyle w:val="TableParagraph"/>
              <w:spacing w:line="219" w:lineRule="exact"/>
              <w:ind w:left="105"/>
              <w:rPr>
                <w:sz w:val="18"/>
              </w:rPr>
            </w:pPr>
            <w:r>
              <w:rPr>
                <w:sz w:val="18"/>
              </w:rPr>
              <w:t>The</w:t>
            </w:r>
            <w:r>
              <w:rPr>
                <w:spacing w:val="-4"/>
                <w:sz w:val="18"/>
              </w:rPr>
              <w:t xml:space="preserve"> </w:t>
            </w:r>
            <w:r>
              <w:rPr>
                <w:sz w:val="18"/>
              </w:rPr>
              <w:t>Urgency</w:t>
            </w:r>
            <w:r>
              <w:rPr>
                <w:spacing w:val="-4"/>
                <w:sz w:val="18"/>
              </w:rPr>
              <w:t xml:space="preserve"> </w:t>
            </w:r>
            <w:r>
              <w:rPr>
                <w:sz w:val="18"/>
              </w:rPr>
              <w:t>of</w:t>
            </w:r>
            <w:r>
              <w:rPr>
                <w:spacing w:val="-4"/>
                <w:sz w:val="18"/>
              </w:rPr>
              <w:t xml:space="preserve"> </w:t>
            </w:r>
            <w:r>
              <w:rPr>
                <w:sz w:val="18"/>
              </w:rPr>
              <w:t>Inclusiveness</w:t>
            </w:r>
            <w:r>
              <w:rPr>
                <w:spacing w:val="-3"/>
                <w:sz w:val="18"/>
              </w:rPr>
              <w:t xml:space="preserve"> </w:t>
            </w:r>
            <w:r>
              <w:rPr>
                <w:sz w:val="18"/>
              </w:rPr>
              <w:t>of</w:t>
            </w:r>
            <w:r>
              <w:rPr>
                <w:spacing w:val="-5"/>
                <w:sz w:val="18"/>
              </w:rPr>
              <w:t xml:space="preserve"> </w:t>
            </w:r>
            <w:r>
              <w:rPr>
                <w:sz w:val="18"/>
              </w:rPr>
              <w:t>Women</w:t>
            </w:r>
            <w:r>
              <w:rPr>
                <w:spacing w:val="-3"/>
                <w:sz w:val="18"/>
              </w:rPr>
              <w:t xml:space="preserve"> </w:t>
            </w:r>
            <w:r>
              <w:rPr>
                <w:sz w:val="18"/>
              </w:rPr>
              <w:t>with</w:t>
            </w:r>
            <w:r>
              <w:rPr>
                <w:spacing w:val="-4"/>
                <w:sz w:val="18"/>
              </w:rPr>
              <w:t xml:space="preserve"> </w:t>
            </w:r>
            <w:r>
              <w:rPr>
                <w:sz w:val="18"/>
              </w:rPr>
              <w:t>Disabilities</w:t>
            </w:r>
            <w:r>
              <w:rPr>
                <w:spacing w:val="-3"/>
                <w:sz w:val="18"/>
              </w:rPr>
              <w:t xml:space="preserve"> </w:t>
            </w:r>
            <w:r>
              <w:rPr>
                <w:sz w:val="18"/>
              </w:rPr>
              <w:t>in</w:t>
            </w:r>
            <w:r>
              <w:rPr>
                <w:spacing w:val="-4"/>
                <w:sz w:val="18"/>
              </w:rPr>
              <w:t xml:space="preserve"> </w:t>
            </w:r>
            <w:r>
              <w:rPr>
                <w:sz w:val="18"/>
              </w:rPr>
              <w:t>the</w:t>
            </w:r>
            <w:r>
              <w:rPr>
                <w:spacing w:val="-4"/>
                <w:sz w:val="18"/>
              </w:rPr>
              <w:t xml:space="preserve"> </w:t>
            </w:r>
            <w:r>
              <w:rPr>
                <w:sz w:val="18"/>
              </w:rPr>
              <w:t>World</w:t>
            </w:r>
            <w:r>
              <w:rPr>
                <w:spacing w:val="-3"/>
                <w:sz w:val="18"/>
              </w:rPr>
              <w:t xml:space="preserve"> </w:t>
            </w:r>
            <w:r>
              <w:rPr>
                <w:sz w:val="18"/>
              </w:rPr>
              <w:t>of</w:t>
            </w:r>
            <w:r>
              <w:rPr>
                <w:spacing w:val="-4"/>
                <w:sz w:val="18"/>
              </w:rPr>
              <w:t xml:space="preserve"> Work</w:t>
            </w:r>
          </w:p>
        </w:tc>
        <w:tc>
          <w:tcPr>
            <w:tcW w:w="1096" w:type="dxa"/>
            <w:tcBorders>
              <w:top w:val="single" w:sz="4" w:space="0" w:color="A6A6A6"/>
              <w:left w:val="single" w:sz="4" w:space="0" w:color="A6A6A6"/>
              <w:bottom w:val="single" w:sz="4" w:space="0" w:color="A6A6A6"/>
              <w:right w:val="single" w:sz="4" w:space="0" w:color="A6A6A6"/>
            </w:tcBorders>
          </w:tcPr>
          <w:p w14:paraId="48DB309E" w14:textId="77777777" w:rsidR="00BC24A8" w:rsidRDefault="00000000">
            <w:pPr>
              <w:pStyle w:val="TableParagraph"/>
              <w:spacing w:line="219" w:lineRule="exact"/>
              <w:ind w:right="3"/>
              <w:jc w:val="center"/>
              <w:rPr>
                <w:sz w:val="18"/>
              </w:rPr>
            </w:pPr>
            <w:r>
              <w:rPr>
                <w:spacing w:val="-2"/>
                <w:sz w:val="18"/>
              </w:rPr>
              <w:t>Kemendagri</w:t>
            </w:r>
          </w:p>
        </w:tc>
      </w:tr>
      <w:tr w:rsidR="00BC24A8" w14:paraId="7AC08472" w14:textId="77777777">
        <w:trPr>
          <w:trHeight w:val="289"/>
        </w:trPr>
        <w:tc>
          <w:tcPr>
            <w:tcW w:w="552" w:type="dxa"/>
            <w:tcBorders>
              <w:top w:val="single" w:sz="4" w:space="0" w:color="A6A6A6"/>
              <w:left w:val="single" w:sz="4" w:space="0" w:color="A6A6A6"/>
              <w:bottom w:val="single" w:sz="4" w:space="0" w:color="A6A6A6"/>
              <w:right w:val="single" w:sz="4" w:space="0" w:color="A6A6A6"/>
            </w:tcBorders>
          </w:tcPr>
          <w:p w14:paraId="3A0D4F69" w14:textId="77777777" w:rsidR="00BC24A8" w:rsidRDefault="00000000">
            <w:pPr>
              <w:pStyle w:val="TableParagraph"/>
              <w:spacing w:before="1"/>
              <w:ind w:left="72"/>
              <w:jc w:val="center"/>
              <w:rPr>
                <w:sz w:val="18"/>
              </w:rPr>
            </w:pPr>
            <w:r>
              <w:rPr>
                <w:spacing w:val="-5"/>
                <w:sz w:val="18"/>
              </w:rPr>
              <w:t>127</w:t>
            </w:r>
          </w:p>
        </w:tc>
        <w:tc>
          <w:tcPr>
            <w:tcW w:w="955" w:type="dxa"/>
            <w:tcBorders>
              <w:top w:val="single" w:sz="4" w:space="0" w:color="A6A6A6"/>
              <w:left w:val="single" w:sz="4" w:space="0" w:color="A6A6A6"/>
              <w:bottom w:val="single" w:sz="4" w:space="0" w:color="A6A6A6"/>
              <w:right w:val="single" w:sz="4" w:space="0" w:color="A6A6A6"/>
            </w:tcBorders>
          </w:tcPr>
          <w:p w14:paraId="2BAC4191"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0A5C2A07" w14:textId="77777777" w:rsidR="00BC24A8" w:rsidRDefault="00000000">
            <w:pPr>
              <w:pStyle w:val="TableParagraph"/>
              <w:spacing w:before="1"/>
              <w:ind w:left="105"/>
              <w:rPr>
                <w:sz w:val="18"/>
              </w:rPr>
            </w:pPr>
            <w:r>
              <w:rPr>
                <w:sz w:val="18"/>
              </w:rPr>
              <w:t>Acceleration</w:t>
            </w:r>
            <w:r>
              <w:rPr>
                <w:spacing w:val="-7"/>
                <w:sz w:val="18"/>
              </w:rPr>
              <w:t xml:space="preserve"> </w:t>
            </w:r>
            <w:r>
              <w:rPr>
                <w:sz w:val="18"/>
              </w:rPr>
              <w:t>of</w:t>
            </w:r>
            <w:r>
              <w:rPr>
                <w:spacing w:val="-7"/>
                <w:sz w:val="18"/>
              </w:rPr>
              <w:t xml:space="preserve"> </w:t>
            </w:r>
            <w:r>
              <w:rPr>
                <w:sz w:val="18"/>
              </w:rPr>
              <w:t>Immunization</w:t>
            </w:r>
            <w:r>
              <w:rPr>
                <w:spacing w:val="-7"/>
                <w:sz w:val="18"/>
              </w:rPr>
              <w:t xml:space="preserve"> </w:t>
            </w:r>
            <w:r>
              <w:rPr>
                <w:sz w:val="18"/>
              </w:rPr>
              <w:t>Program</w:t>
            </w:r>
            <w:r>
              <w:rPr>
                <w:spacing w:val="-5"/>
                <w:sz w:val="18"/>
              </w:rPr>
              <w:t xml:space="preserve"> </w:t>
            </w:r>
            <w:r>
              <w:rPr>
                <w:sz w:val="18"/>
              </w:rPr>
              <w:t>Funding</w:t>
            </w:r>
            <w:r>
              <w:rPr>
                <w:spacing w:val="-7"/>
                <w:sz w:val="18"/>
              </w:rPr>
              <w:t xml:space="preserve"> </w:t>
            </w:r>
            <w:r>
              <w:rPr>
                <w:sz w:val="18"/>
              </w:rPr>
              <w:t>in</w:t>
            </w:r>
            <w:r>
              <w:rPr>
                <w:spacing w:val="-7"/>
                <w:sz w:val="18"/>
              </w:rPr>
              <w:t xml:space="preserve"> </w:t>
            </w:r>
            <w:r>
              <w:rPr>
                <w:sz w:val="18"/>
              </w:rPr>
              <w:t>Local</w:t>
            </w:r>
            <w:r>
              <w:rPr>
                <w:spacing w:val="-5"/>
                <w:sz w:val="18"/>
              </w:rPr>
              <w:t xml:space="preserve"> </w:t>
            </w:r>
            <w:r>
              <w:rPr>
                <w:spacing w:val="-2"/>
                <w:sz w:val="18"/>
              </w:rPr>
              <w:t>Government</w:t>
            </w:r>
          </w:p>
        </w:tc>
        <w:tc>
          <w:tcPr>
            <w:tcW w:w="1096" w:type="dxa"/>
            <w:tcBorders>
              <w:top w:val="single" w:sz="4" w:space="0" w:color="A6A6A6"/>
              <w:left w:val="single" w:sz="4" w:space="0" w:color="A6A6A6"/>
              <w:bottom w:val="single" w:sz="4" w:space="0" w:color="A6A6A6"/>
              <w:right w:val="single" w:sz="4" w:space="0" w:color="A6A6A6"/>
            </w:tcBorders>
          </w:tcPr>
          <w:p w14:paraId="0CC4F390" w14:textId="77777777" w:rsidR="00BC24A8" w:rsidRDefault="00000000">
            <w:pPr>
              <w:pStyle w:val="TableParagraph"/>
              <w:spacing w:before="1"/>
              <w:ind w:right="3"/>
              <w:jc w:val="center"/>
              <w:rPr>
                <w:sz w:val="18"/>
              </w:rPr>
            </w:pPr>
            <w:r>
              <w:rPr>
                <w:spacing w:val="-2"/>
                <w:sz w:val="18"/>
              </w:rPr>
              <w:t>Kemendagri</w:t>
            </w:r>
          </w:p>
        </w:tc>
      </w:tr>
      <w:tr w:rsidR="00BC24A8" w14:paraId="3AA86CED"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46A5FEE7" w14:textId="77777777" w:rsidR="00BC24A8" w:rsidRDefault="00000000">
            <w:pPr>
              <w:pStyle w:val="TableParagraph"/>
              <w:spacing w:before="1"/>
              <w:ind w:left="72"/>
              <w:jc w:val="center"/>
              <w:rPr>
                <w:sz w:val="18"/>
              </w:rPr>
            </w:pPr>
            <w:r>
              <w:rPr>
                <w:spacing w:val="-5"/>
                <w:sz w:val="18"/>
              </w:rPr>
              <w:t>128</w:t>
            </w:r>
          </w:p>
        </w:tc>
        <w:tc>
          <w:tcPr>
            <w:tcW w:w="955" w:type="dxa"/>
            <w:tcBorders>
              <w:top w:val="single" w:sz="4" w:space="0" w:color="A6A6A6"/>
              <w:left w:val="single" w:sz="4" w:space="0" w:color="A6A6A6"/>
              <w:bottom w:val="single" w:sz="4" w:space="0" w:color="A6A6A6"/>
              <w:right w:val="single" w:sz="4" w:space="0" w:color="A6A6A6"/>
            </w:tcBorders>
          </w:tcPr>
          <w:p w14:paraId="6930B690"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0CD89991" w14:textId="77777777" w:rsidR="00BC24A8" w:rsidRDefault="00000000">
            <w:pPr>
              <w:pStyle w:val="TableParagraph"/>
              <w:spacing w:before="1"/>
              <w:ind w:left="105"/>
              <w:rPr>
                <w:sz w:val="18"/>
              </w:rPr>
            </w:pPr>
            <w:r>
              <w:rPr>
                <w:sz w:val="18"/>
              </w:rPr>
              <w:t>Price</w:t>
            </w:r>
            <w:r>
              <w:rPr>
                <w:spacing w:val="-9"/>
                <w:sz w:val="18"/>
              </w:rPr>
              <w:t xml:space="preserve"> </w:t>
            </w:r>
            <w:r>
              <w:rPr>
                <w:sz w:val="18"/>
              </w:rPr>
              <w:t>Affordability</w:t>
            </w:r>
            <w:r>
              <w:rPr>
                <w:spacing w:val="-9"/>
                <w:sz w:val="18"/>
              </w:rPr>
              <w:t xml:space="preserve"> </w:t>
            </w:r>
            <w:r>
              <w:rPr>
                <w:sz w:val="18"/>
              </w:rPr>
              <w:t>Strategy</w:t>
            </w:r>
            <w:r>
              <w:rPr>
                <w:spacing w:val="-9"/>
                <w:sz w:val="18"/>
              </w:rPr>
              <w:t xml:space="preserve"> </w:t>
            </w:r>
            <w:r>
              <w:rPr>
                <w:sz w:val="18"/>
              </w:rPr>
              <w:t>for</w:t>
            </w:r>
            <w:r>
              <w:rPr>
                <w:spacing w:val="-8"/>
                <w:sz w:val="18"/>
              </w:rPr>
              <w:t xml:space="preserve"> </w:t>
            </w:r>
            <w:r>
              <w:rPr>
                <w:sz w:val="18"/>
              </w:rPr>
              <w:t>Regional</w:t>
            </w:r>
            <w:r>
              <w:rPr>
                <w:spacing w:val="-8"/>
                <w:sz w:val="18"/>
              </w:rPr>
              <w:t xml:space="preserve"> </w:t>
            </w:r>
            <w:r>
              <w:rPr>
                <w:sz w:val="18"/>
              </w:rPr>
              <w:t>Inflation</w:t>
            </w:r>
            <w:r>
              <w:rPr>
                <w:spacing w:val="-9"/>
                <w:sz w:val="18"/>
              </w:rPr>
              <w:t xml:space="preserve"> </w:t>
            </w:r>
            <w:r>
              <w:rPr>
                <w:spacing w:val="-2"/>
                <w:sz w:val="18"/>
              </w:rPr>
              <w:t>Control</w:t>
            </w:r>
          </w:p>
        </w:tc>
        <w:tc>
          <w:tcPr>
            <w:tcW w:w="1096" w:type="dxa"/>
            <w:tcBorders>
              <w:top w:val="single" w:sz="4" w:space="0" w:color="A6A6A6"/>
              <w:left w:val="single" w:sz="4" w:space="0" w:color="A6A6A6"/>
              <w:bottom w:val="single" w:sz="4" w:space="0" w:color="A6A6A6"/>
              <w:right w:val="single" w:sz="4" w:space="0" w:color="A6A6A6"/>
            </w:tcBorders>
          </w:tcPr>
          <w:p w14:paraId="6C880EB0" w14:textId="77777777" w:rsidR="00BC24A8" w:rsidRDefault="00000000">
            <w:pPr>
              <w:pStyle w:val="TableParagraph"/>
              <w:spacing w:before="1"/>
              <w:ind w:right="3"/>
              <w:jc w:val="center"/>
              <w:rPr>
                <w:sz w:val="18"/>
              </w:rPr>
            </w:pPr>
            <w:r>
              <w:rPr>
                <w:spacing w:val="-2"/>
                <w:sz w:val="18"/>
              </w:rPr>
              <w:t>Kemendagri</w:t>
            </w:r>
          </w:p>
        </w:tc>
      </w:tr>
      <w:tr w:rsidR="00BC24A8" w14:paraId="09699ED8"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6A6784A8" w14:textId="77777777" w:rsidR="00BC24A8" w:rsidRDefault="00000000">
            <w:pPr>
              <w:pStyle w:val="TableParagraph"/>
              <w:spacing w:before="1"/>
              <w:ind w:left="72"/>
              <w:jc w:val="center"/>
              <w:rPr>
                <w:sz w:val="18"/>
              </w:rPr>
            </w:pPr>
            <w:r>
              <w:rPr>
                <w:spacing w:val="-5"/>
                <w:sz w:val="18"/>
              </w:rPr>
              <w:t>129</w:t>
            </w:r>
          </w:p>
        </w:tc>
        <w:tc>
          <w:tcPr>
            <w:tcW w:w="955" w:type="dxa"/>
            <w:tcBorders>
              <w:top w:val="single" w:sz="4" w:space="0" w:color="A6A6A6"/>
              <w:left w:val="single" w:sz="4" w:space="0" w:color="A6A6A6"/>
              <w:bottom w:val="single" w:sz="4" w:space="0" w:color="A6A6A6"/>
              <w:right w:val="single" w:sz="4" w:space="0" w:color="A6A6A6"/>
            </w:tcBorders>
          </w:tcPr>
          <w:p w14:paraId="20590297"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11C5215E" w14:textId="77777777" w:rsidR="00BC24A8" w:rsidRDefault="00000000">
            <w:pPr>
              <w:pStyle w:val="TableParagraph"/>
              <w:spacing w:before="1"/>
              <w:ind w:left="105"/>
              <w:rPr>
                <w:sz w:val="18"/>
              </w:rPr>
            </w:pPr>
            <w:r>
              <w:rPr>
                <w:sz w:val="18"/>
              </w:rPr>
              <w:t>The</w:t>
            </w:r>
            <w:r>
              <w:rPr>
                <w:spacing w:val="-3"/>
                <w:sz w:val="18"/>
              </w:rPr>
              <w:t xml:space="preserve"> </w:t>
            </w:r>
            <w:r>
              <w:rPr>
                <w:sz w:val="18"/>
              </w:rPr>
              <w:t>Dilemma</w:t>
            </w:r>
            <w:r>
              <w:rPr>
                <w:spacing w:val="-2"/>
                <w:sz w:val="18"/>
              </w:rPr>
              <w:t xml:space="preserve"> </w:t>
            </w:r>
            <w:r>
              <w:rPr>
                <w:sz w:val="18"/>
              </w:rPr>
              <w:t>of</w:t>
            </w:r>
            <w:r>
              <w:rPr>
                <w:spacing w:val="-3"/>
                <w:sz w:val="18"/>
              </w:rPr>
              <w:t xml:space="preserve"> </w:t>
            </w:r>
            <w:r>
              <w:rPr>
                <w:sz w:val="18"/>
              </w:rPr>
              <w:t>Fulfilling</w:t>
            </w:r>
            <w:r>
              <w:rPr>
                <w:spacing w:val="-3"/>
                <w:sz w:val="18"/>
              </w:rPr>
              <w:t xml:space="preserve"> </w:t>
            </w:r>
            <w:r>
              <w:rPr>
                <w:sz w:val="18"/>
              </w:rPr>
              <w:t>Maternal</w:t>
            </w:r>
            <w:r>
              <w:rPr>
                <w:spacing w:val="-1"/>
                <w:sz w:val="18"/>
              </w:rPr>
              <w:t xml:space="preserve"> </w:t>
            </w:r>
            <w:r>
              <w:rPr>
                <w:sz w:val="18"/>
              </w:rPr>
              <w:t>Health</w:t>
            </w:r>
            <w:r>
              <w:rPr>
                <w:spacing w:val="-2"/>
                <w:sz w:val="18"/>
              </w:rPr>
              <w:t xml:space="preserve"> </w:t>
            </w:r>
            <w:r>
              <w:rPr>
                <w:sz w:val="18"/>
              </w:rPr>
              <w:t>MSS</w:t>
            </w:r>
            <w:r>
              <w:rPr>
                <w:spacing w:val="-2"/>
                <w:sz w:val="18"/>
              </w:rPr>
              <w:t xml:space="preserve"> </w:t>
            </w:r>
            <w:r>
              <w:rPr>
                <w:sz w:val="18"/>
              </w:rPr>
              <w:t>to</w:t>
            </w:r>
            <w:r>
              <w:rPr>
                <w:spacing w:val="-3"/>
                <w:sz w:val="18"/>
              </w:rPr>
              <w:t xml:space="preserve"> </w:t>
            </w:r>
            <w:r>
              <w:rPr>
                <w:spacing w:val="-2"/>
                <w:sz w:val="18"/>
              </w:rPr>
              <w:t>Standard</w:t>
            </w:r>
          </w:p>
        </w:tc>
        <w:tc>
          <w:tcPr>
            <w:tcW w:w="1096" w:type="dxa"/>
            <w:tcBorders>
              <w:top w:val="single" w:sz="4" w:space="0" w:color="A6A6A6"/>
              <w:left w:val="single" w:sz="4" w:space="0" w:color="A6A6A6"/>
              <w:bottom w:val="single" w:sz="4" w:space="0" w:color="A6A6A6"/>
              <w:right w:val="single" w:sz="4" w:space="0" w:color="A6A6A6"/>
            </w:tcBorders>
          </w:tcPr>
          <w:p w14:paraId="529DC3B3" w14:textId="77777777" w:rsidR="00BC24A8" w:rsidRDefault="00000000">
            <w:pPr>
              <w:pStyle w:val="TableParagraph"/>
              <w:spacing w:before="1"/>
              <w:ind w:right="3"/>
              <w:jc w:val="center"/>
              <w:rPr>
                <w:sz w:val="18"/>
              </w:rPr>
            </w:pPr>
            <w:r>
              <w:rPr>
                <w:spacing w:val="-2"/>
                <w:sz w:val="18"/>
              </w:rPr>
              <w:t>Kemendagri</w:t>
            </w:r>
          </w:p>
        </w:tc>
      </w:tr>
      <w:tr w:rsidR="00BC24A8" w14:paraId="51C98087" w14:textId="77777777">
        <w:trPr>
          <w:trHeight w:val="448"/>
        </w:trPr>
        <w:tc>
          <w:tcPr>
            <w:tcW w:w="552" w:type="dxa"/>
            <w:tcBorders>
              <w:top w:val="single" w:sz="4" w:space="0" w:color="A6A6A6"/>
              <w:left w:val="single" w:sz="4" w:space="0" w:color="A6A6A6"/>
              <w:bottom w:val="single" w:sz="4" w:space="0" w:color="A6A6A6"/>
              <w:right w:val="single" w:sz="4" w:space="0" w:color="A6A6A6"/>
            </w:tcBorders>
          </w:tcPr>
          <w:p w14:paraId="33FF7EC4" w14:textId="77777777" w:rsidR="00BC24A8" w:rsidRDefault="00000000">
            <w:pPr>
              <w:pStyle w:val="TableParagraph"/>
              <w:spacing w:before="1"/>
              <w:ind w:left="72"/>
              <w:jc w:val="center"/>
              <w:rPr>
                <w:sz w:val="18"/>
              </w:rPr>
            </w:pPr>
            <w:r>
              <w:rPr>
                <w:spacing w:val="-5"/>
                <w:sz w:val="18"/>
              </w:rPr>
              <w:t>130</w:t>
            </w:r>
          </w:p>
        </w:tc>
        <w:tc>
          <w:tcPr>
            <w:tcW w:w="955" w:type="dxa"/>
            <w:tcBorders>
              <w:top w:val="single" w:sz="4" w:space="0" w:color="A6A6A6"/>
              <w:left w:val="single" w:sz="4" w:space="0" w:color="A6A6A6"/>
              <w:bottom w:val="single" w:sz="4" w:space="0" w:color="A6A6A6"/>
              <w:right w:val="single" w:sz="4" w:space="0" w:color="A6A6A6"/>
            </w:tcBorders>
          </w:tcPr>
          <w:p w14:paraId="6BAEE4D1"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2F8D07EF" w14:textId="77777777" w:rsidR="00BC24A8" w:rsidRDefault="00000000">
            <w:pPr>
              <w:pStyle w:val="TableParagraph"/>
              <w:spacing w:before="1" w:line="219" w:lineRule="exact"/>
              <w:ind w:left="105"/>
              <w:rPr>
                <w:sz w:val="18"/>
              </w:rPr>
            </w:pPr>
            <w:r>
              <w:rPr>
                <w:sz w:val="18"/>
              </w:rPr>
              <w:t>Improving</w:t>
            </w:r>
            <w:r>
              <w:rPr>
                <w:spacing w:val="7"/>
                <w:sz w:val="18"/>
              </w:rPr>
              <w:t xml:space="preserve"> </w:t>
            </w:r>
            <w:r>
              <w:rPr>
                <w:sz w:val="18"/>
              </w:rPr>
              <w:t>the</w:t>
            </w:r>
            <w:r>
              <w:rPr>
                <w:spacing w:val="7"/>
                <w:sz w:val="18"/>
              </w:rPr>
              <w:t xml:space="preserve"> </w:t>
            </w:r>
            <w:r>
              <w:rPr>
                <w:sz w:val="18"/>
              </w:rPr>
              <w:t>Quality</w:t>
            </w:r>
            <w:r>
              <w:rPr>
                <w:spacing w:val="7"/>
                <w:sz w:val="18"/>
              </w:rPr>
              <w:t xml:space="preserve"> </w:t>
            </w:r>
            <w:r>
              <w:rPr>
                <w:sz w:val="18"/>
              </w:rPr>
              <w:t>of</w:t>
            </w:r>
            <w:r>
              <w:rPr>
                <w:spacing w:val="8"/>
                <w:sz w:val="18"/>
              </w:rPr>
              <w:t xml:space="preserve"> </w:t>
            </w:r>
            <w:r>
              <w:rPr>
                <w:sz w:val="18"/>
              </w:rPr>
              <w:t>Basic</w:t>
            </w:r>
            <w:r>
              <w:rPr>
                <w:spacing w:val="8"/>
                <w:sz w:val="18"/>
              </w:rPr>
              <w:t xml:space="preserve"> </w:t>
            </w:r>
            <w:r>
              <w:rPr>
                <w:sz w:val="18"/>
              </w:rPr>
              <w:t>Social</w:t>
            </w:r>
            <w:r>
              <w:rPr>
                <w:spacing w:val="9"/>
                <w:sz w:val="18"/>
              </w:rPr>
              <w:t xml:space="preserve"> </w:t>
            </w:r>
            <w:r>
              <w:rPr>
                <w:sz w:val="18"/>
              </w:rPr>
              <w:t>Rehabilitation</w:t>
            </w:r>
            <w:r>
              <w:rPr>
                <w:spacing w:val="6"/>
                <w:sz w:val="18"/>
              </w:rPr>
              <w:t xml:space="preserve"> </w:t>
            </w:r>
            <w:r>
              <w:rPr>
                <w:sz w:val="18"/>
              </w:rPr>
              <w:t>for</w:t>
            </w:r>
            <w:r>
              <w:rPr>
                <w:spacing w:val="6"/>
                <w:sz w:val="18"/>
              </w:rPr>
              <w:t xml:space="preserve"> </w:t>
            </w:r>
            <w:r>
              <w:rPr>
                <w:sz w:val="18"/>
              </w:rPr>
              <w:t>Displaced</w:t>
            </w:r>
            <w:r>
              <w:rPr>
                <w:spacing w:val="5"/>
                <w:sz w:val="18"/>
              </w:rPr>
              <w:t xml:space="preserve"> </w:t>
            </w:r>
            <w:r>
              <w:rPr>
                <w:sz w:val="18"/>
              </w:rPr>
              <w:t>Older</w:t>
            </w:r>
            <w:r>
              <w:rPr>
                <w:spacing w:val="9"/>
                <w:sz w:val="18"/>
              </w:rPr>
              <w:t xml:space="preserve"> </w:t>
            </w:r>
            <w:r>
              <w:rPr>
                <w:sz w:val="18"/>
              </w:rPr>
              <w:t>Adults</w:t>
            </w:r>
            <w:r>
              <w:rPr>
                <w:spacing w:val="8"/>
                <w:sz w:val="18"/>
              </w:rPr>
              <w:t xml:space="preserve"> </w:t>
            </w:r>
            <w:r>
              <w:rPr>
                <w:sz w:val="18"/>
              </w:rPr>
              <w:t>Based</w:t>
            </w:r>
            <w:r>
              <w:rPr>
                <w:spacing w:val="8"/>
                <w:sz w:val="18"/>
              </w:rPr>
              <w:t xml:space="preserve"> </w:t>
            </w:r>
            <w:r>
              <w:rPr>
                <w:sz w:val="18"/>
              </w:rPr>
              <w:t>on</w:t>
            </w:r>
            <w:r>
              <w:rPr>
                <w:spacing w:val="6"/>
                <w:sz w:val="18"/>
              </w:rPr>
              <w:t xml:space="preserve"> </w:t>
            </w:r>
            <w:r>
              <w:rPr>
                <w:spacing w:val="-5"/>
                <w:sz w:val="18"/>
              </w:rPr>
              <w:t>MSS</w:t>
            </w:r>
          </w:p>
          <w:p w14:paraId="507625C7" w14:textId="77777777" w:rsidR="00BC24A8" w:rsidRDefault="00000000">
            <w:pPr>
              <w:pStyle w:val="TableParagraph"/>
              <w:spacing w:line="208" w:lineRule="exact"/>
              <w:ind w:left="105"/>
              <w:rPr>
                <w:sz w:val="18"/>
              </w:rPr>
            </w:pPr>
            <w:r>
              <w:rPr>
                <w:sz w:val="18"/>
              </w:rPr>
              <w:t>for</w:t>
            </w:r>
            <w:r>
              <w:rPr>
                <w:spacing w:val="-8"/>
                <w:sz w:val="18"/>
              </w:rPr>
              <w:t xml:space="preserve"> </w:t>
            </w:r>
            <w:r>
              <w:rPr>
                <w:sz w:val="18"/>
              </w:rPr>
              <w:t>Social</w:t>
            </w:r>
            <w:r>
              <w:rPr>
                <w:spacing w:val="-6"/>
                <w:sz w:val="18"/>
              </w:rPr>
              <w:t xml:space="preserve"> </w:t>
            </w:r>
            <w:r>
              <w:rPr>
                <w:sz w:val="18"/>
              </w:rPr>
              <w:t>Sector</w:t>
            </w:r>
            <w:r>
              <w:rPr>
                <w:spacing w:val="-9"/>
                <w:sz w:val="18"/>
              </w:rPr>
              <w:t xml:space="preserve"> </w:t>
            </w:r>
            <w:r>
              <w:rPr>
                <w:sz w:val="18"/>
              </w:rPr>
              <w:t>through</w:t>
            </w:r>
            <w:r>
              <w:rPr>
                <w:spacing w:val="-8"/>
                <w:sz w:val="18"/>
              </w:rPr>
              <w:t xml:space="preserve"> </w:t>
            </w:r>
            <w:r>
              <w:rPr>
                <w:sz w:val="18"/>
              </w:rPr>
              <w:t>Reformulation</w:t>
            </w:r>
            <w:r>
              <w:rPr>
                <w:spacing w:val="-7"/>
                <w:sz w:val="18"/>
              </w:rPr>
              <w:t xml:space="preserve"> </w:t>
            </w:r>
            <w:r>
              <w:rPr>
                <w:sz w:val="18"/>
              </w:rPr>
              <w:t>of</w:t>
            </w:r>
            <w:r>
              <w:rPr>
                <w:spacing w:val="-8"/>
                <w:sz w:val="18"/>
              </w:rPr>
              <w:t xml:space="preserve"> </w:t>
            </w:r>
            <w:r>
              <w:rPr>
                <w:sz w:val="18"/>
              </w:rPr>
              <w:t>Definition</w:t>
            </w:r>
            <w:r>
              <w:rPr>
                <w:spacing w:val="-8"/>
                <w:sz w:val="18"/>
              </w:rPr>
              <w:t xml:space="preserve"> </w:t>
            </w:r>
            <w:r>
              <w:rPr>
                <w:sz w:val="18"/>
              </w:rPr>
              <w:t>and</w:t>
            </w:r>
            <w:r>
              <w:rPr>
                <w:spacing w:val="-7"/>
                <w:sz w:val="18"/>
              </w:rPr>
              <w:t xml:space="preserve"> </w:t>
            </w:r>
            <w:r>
              <w:rPr>
                <w:sz w:val="18"/>
              </w:rPr>
              <w:t>Target</w:t>
            </w:r>
            <w:r>
              <w:rPr>
                <w:spacing w:val="-6"/>
                <w:sz w:val="18"/>
              </w:rPr>
              <w:t xml:space="preserve"> </w:t>
            </w:r>
            <w:r>
              <w:rPr>
                <w:spacing w:val="-2"/>
                <w:sz w:val="18"/>
              </w:rPr>
              <w:t>Recipients</w:t>
            </w:r>
          </w:p>
        </w:tc>
        <w:tc>
          <w:tcPr>
            <w:tcW w:w="1096" w:type="dxa"/>
            <w:tcBorders>
              <w:top w:val="single" w:sz="4" w:space="0" w:color="A6A6A6"/>
              <w:left w:val="single" w:sz="4" w:space="0" w:color="A6A6A6"/>
              <w:bottom w:val="single" w:sz="4" w:space="0" w:color="A6A6A6"/>
              <w:right w:val="single" w:sz="4" w:space="0" w:color="A6A6A6"/>
            </w:tcBorders>
          </w:tcPr>
          <w:p w14:paraId="5F9427D8" w14:textId="77777777" w:rsidR="00BC24A8" w:rsidRDefault="00000000">
            <w:pPr>
              <w:pStyle w:val="TableParagraph"/>
              <w:spacing w:before="1"/>
              <w:ind w:right="3"/>
              <w:jc w:val="center"/>
              <w:rPr>
                <w:sz w:val="18"/>
              </w:rPr>
            </w:pPr>
            <w:r>
              <w:rPr>
                <w:spacing w:val="-2"/>
                <w:sz w:val="18"/>
              </w:rPr>
              <w:t>Kemendagri</w:t>
            </w:r>
          </w:p>
        </w:tc>
      </w:tr>
      <w:tr w:rsidR="00BC24A8" w14:paraId="5436D6A7" w14:textId="77777777">
        <w:trPr>
          <w:trHeight w:val="290"/>
        </w:trPr>
        <w:tc>
          <w:tcPr>
            <w:tcW w:w="552" w:type="dxa"/>
            <w:tcBorders>
              <w:top w:val="single" w:sz="4" w:space="0" w:color="A6A6A6"/>
              <w:left w:val="single" w:sz="4" w:space="0" w:color="A6A6A6"/>
              <w:bottom w:val="single" w:sz="4" w:space="0" w:color="A6A6A6"/>
              <w:right w:val="single" w:sz="4" w:space="0" w:color="A6A6A6"/>
            </w:tcBorders>
          </w:tcPr>
          <w:p w14:paraId="3A54ACEF" w14:textId="77777777" w:rsidR="00BC24A8" w:rsidRDefault="00000000">
            <w:pPr>
              <w:pStyle w:val="TableParagraph"/>
              <w:spacing w:before="1"/>
              <w:ind w:left="72"/>
              <w:jc w:val="center"/>
              <w:rPr>
                <w:sz w:val="18"/>
              </w:rPr>
            </w:pPr>
            <w:r>
              <w:rPr>
                <w:spacing w:val="-5"/>
                <w:sz w:val="18"/>
              </w:rPr>
              <w:t>131</w:t>
            </w:r>
          </w:p>
        </w:tc>
        <w:tc>
          <w:tcPr>
            <w:tcW w:w="955" w:type="dxa"/>
            <w:tcBorders>
              <w:top w:val="single" w:sz="4" w:space="0" w:color="A6A6A6"/>
              <w:left w:val="single" w:sz="4" w:space="0" w:color="A6A6A6"/>
              <w:bottom w:val="single" w:sz="4" w:space="0" w:color="A6A6A6"/>
              <w:right w:val="single" w:sz="4" w:space="0" w:color="A6A6A6"/>
            </w:tcBorders>
          </w:tcPr>
          <w:p w14:paraId="5D7B2A42" w14:textId="77777777" w:rsidR="00BC24A8" w:rsidRDefault="00000000">
            <w:pPr>
              <w:pStyle w:val="TableParagraph"/>
              <w:spacing w:before="1"/>
              <w:ind w:left="105"/>
              <w:rPr>
                <w:sz w:val="18"/>
              </w:rPr>
            </w:pPr>
            <w:r>
              <w:rPr>
                <w:spacing w:val="-2"/>
                <w:sz w:val="18"/>
              </w:rPr>
              <w:t>FY24/25</w:t>
            </w:r>
          </w:p>
        </w:tc>
        <w:tc>
          <w:tcPr>
            <w:tcW w:w="6993" w:type="dxa"/>
            <w:tcBorders>
              <w:top w:val="single" w:sz="4" w:space="0" w:color="A6A6A6"/>
              <w:left w:val="single" w:sz="4" w:space="0" w:color="A6A6A6"/>
              <w:bottom w:val="single" w:sz="4" w:space="0" w:color="A6A6A6"/>
              <w:right w:val="single" w:sz="4" w:space="0" w:color="A6A6A6"/>
            </w:tcBorders>
          </w:tcPr>
          <w:p w14:paraId="59111339" w14:textId="77777777" w:rsidR="00BC24A8" w:rsidRDefault="00000000">
            <w:pPr>
              <w:pStyle w:val="TableParagraph"/>
              <w:spacing w:before="1"/>
              <w:ind w:left="105"/>
              <w:rPr>
                <w:sz w:val="18"/>
              </w:rPr>
            </w:pPr>
            <w:r>
              <w:rPr>
                <w:sz w:val="18"/>
              </w:rPr>
              <w:t>Optimization</w:t>
            </w:r>
            <w:r>
              <w:rPr>
                <w:spacing w:val="-6"/>
                <w:sz w:val="18"/>
              </w:rPr>
              <w:t xml:space="preserve"> </w:t>
            </w:r>
            <w:r>
              <w:rPr>
                <w:sz w:val="18"/>
              </w:rPr>
              <w:t>of</w:t>
            </w:r>
            <w:r>
              <w:rPr>
                <w:spacing w:val="-7"/>
                <w:sz w:val="18"/>
              </w:rPr>
              <w:t xml:space="preserve"> </w:t>
            </w:r>
            <w:r>
              <w:rPr>
                <w:sz w:val="18"/>
              </w:rPr>
              <w:t>E-SPM</w:t>
            </w:r>
            <w:r>
              <w:rPr>
                <w:spacing w:val="-6"/>
                <w:sz w:val="18"/>
              </w:rPr>
              <w:t xml:space="preserve"> </w:t>
            </w:r>
            <w:r>
              <w:rPr>
                <w:sz w:val="18"/>
              </w:rPr>
              <w:t>Application</w:t>
            </w:r>
            <w:r>
              <w:rPr>
                <w:spacing w:val="-6"/>
                <w:sz w:val="18"/>
              </w:rPr>
              <w:t xml:space="preserve"> </w:t>
            </w:r>
            <w:r>
              <w:rPr>
                <w:sz w:val="18"/>
              </w:rPr>
              <w:t>in</w:t>
            </w:r>
            <w:r>
              <w:rPr>
                <w:spacing w:val="-6"/>
                <w:sz w:val="18"/>
              </w:rPr>
              <w:t xml:space="preserve"> </w:t>
            </w:r>
            <w:r>
              <w:rPr>
                <w:sz w:val="18"/>
              </w:rPr>
              <w:t>Improving</w:t>
            </w:r>
            <w:r>
              <w:rPr>
                <w:spacing w:val="-7"/>
                <w:sz w:val="18"/>
              </w:rPr>
              <w:t xml:space="preserve"> </w:t>
            </w:r>
            <w:r>
              <w:rPr>
                <w:sz w:val="18"/>
              </w:rPr>
              <w:t>Regional</w:t>
            </w:r>
            <w:r>
              <w:rPr>
                <w:spacing w:val="-4"/>
                <w:sz w:val="18"/>
              </w:rPr>
              <w:t xml:space="preserve"> </w:t>
            </w:r>
            <w:r>
              <w:rPr>
                <w:spacing w:val="-2"/>
                <w:sz w:val="18"/>
              </w:rPr>
              <w:t>Services</w:t>
            </w:r>
          </w:p>
        </w:tc>
        <w:tc>
          <w:tcPr>
            <w:tcW w:w="1096" w:type="dxa"/>
            <w:tcBorders>
              <w:top w:val="single" w:sz="4" w:space="0" w:color="A6A6A6"/>
              <w:left w:val="single" w:sz="4" w:space="0" w:color="A6A6A6"/>
              <w:bottom w:val="single" w:sz="4" w:space="0" w:color="A6A6A6"/>
              <w:right w:val="single" w:sz="4" w:space="0" w:color="A6A6A6"/>
            </w:tcBorders>
          </w:tcPr>
          <w:p w14:paraId="7F1B4519" w14:textId="77777777" w:rsidR="00BC24A8" w:rsidRDefault="00000000">
            <w:pPr>
              <w:pStyle w:val="TableParagraph"/>
              <w:spacing w:before="1"/>
              <w:ind w:right="3"/>
              <w:jc w:val="center"/>
              <w:rPr>
                <w:sz w:val="18"/>
              </w:rPr>
            </w:pPr>
            <w:r>
              <w:rPr>
                <w:spacing w:val="-2"/>
                <w:sz w:val="18"/>
              </w:rPr>
              <w:t>Kemendagri</w:t>
            </w:r>
          </w:p>
        </w:tc>
      </w:tr>
    </w:tbl>
    <w:p w14:paraId="56D5A733" w14:textId="77777777" w:rsidR="00BC24A8" w:rsidRDefault="00BC24A8">
      <w:pPr>
        <w:pStyle w:val="TableParagraph"/>
        <w:jc w:val="center"/>
        <w:rPr>
          <w:sz w:val="18"/>
        </w:rPr>
        <w:sectPr w:rsidR="00BC24A8">
          <w:type w:val="continuous"/>
          <w:pgSz w:w="11910" w:h="16840"/>
          <w:pgMar w:top="1380" w:right="850" w:bottom="1100" w:left="1275" w:header="0" w:footer="907" w:gutter="0"/>
          <w:cols w:space="720"/>
        </w:sectPr>
      </w:pPr>
    </w:p>
    <w:p w14:paraId="5D7C23E5" w14:textId="77777777" w:rsidR="00BC24A8" w:rsidRDefault="00000000">
      <w:pPr>
        <w:pStyle w:val="Heading2"/>
      </w:pPr>
      <w:bookmarkStart w:id="135" w:name="Annex_6:_Provincial_Annex"/>
      <w:bookmarkStart w:id="136" w:name="_bookmark89"/>
      <w:bookmarkEnd w:id="135"/>
      <w:bookmarkEnd w:id="136"/>
      <w:r>
        <w:rPr>
          <w:color w:val="163558"/>
          <w:spacing w:val="-10"/>
        </w:rPr>
        <w:lastRenderedPageBreak/>
        <w:t>Annex</w:t>
      </w:r>
      <w:r>
        <w:rPr>
          <w:color w:val="163558"/>
          <w:spacing w:val="-33"/>
        </w:rPr>
        <w:t xml:space="preserve"> </w:t>
      </w:r>
      <w:r>
        <w:rPr>
          <w:color w:val="163558"/>
          <w:spacing w:val="-10"/>
        </w:rPr>
        <w:t>6:</w:t>
      </w:r>
      <w:r>
        <w:rPr>
          <w:color w:val="163558"/>
          <w:spacing w:val="-32"/>
        </w:rPr>
        <w:t xml:space="preserve"> </w:t>
      </w:r>
      <w:r>
        <w:rPr>
          <w:color w:val="163558"/>
          <w:spacing w:val="-10"/>
        </w:rPr>
        <w:t>Provincial</w:t>
      </w:r>
      <w:r>
        <w:rPr>
          <w:color w:val="163558"/>
          <w:spacing w:val="-32"/>
        </w:rPr>
        <w:t xml:space="preserve"> </w:t>
      </w:r>
      <w:r>
        <w:rPr>
          <w:color w:val="163558"/>
          <w:spacing w:val="-10"/>
        </w:rPr>
        <w:t>Annex</w:t>
      </w:r>
    </w:p>
    <w:p w14:paraId="7E79F642" w14:textId="77777777" w:rsidR="00BC24A8" w:rsidRDefault="00000000">
      <w:pPr>
        <w:pStyle w:val="Heading3"/>
        <w:spacing w:before="340"/>
      </w:pPr>
      <w:bookmarkStart w:id="137" w:name="Aceh_Province_Semester_Report"/>
      <w:bookmarkStart w:id="138" w:name="_bookmark90"/>
      <w:bookmarkEnd w:id="137"/>
      <w:bookmarkEnd w:id="138"/>
      <w:r>
        <w:rPr>
          <w:color w:val="137D87"/>
          <w:spacing w:val="-4"/>
        </w:rPr>
        <w:t>Aceh</w:t>
      </w:r>
      <w:r>
        <w:rPr>
          <w:color w:val="137D87"/>
          <w:spacing w:val="-22"/>
        </w:rPr>
        <w:t xml:space="preserve"> </w:t>
      </w:r>
      <w:r>
        <w:rPr>
          <w:color w:val="137D87"/>
          <w:spacing w:val="-4"/>
        </w:rPr>
        <w:t>Province</w:t>
      </w:r>
      <w:r>
        <w:rPr>
          <w:color w:val="137D87"/>
          <w:spacing w:val="-24"/>
        </w:rPr>
        <w:t xml:space="preserve"> </w:t>
      </w:r>
      <w:r>
        <w:rPr>
          <w:color w:val="137D87"/>
          <w:spacing w:val="-4"/>
        </w:rPr>
        <w:t>Semester</w:t>
      </w:r>
      <w:r>
        <w:rPr>
          <w:color w:val="137D87"/>
          <w:spacing w:val="-22"/>
        </w:rPr>
        <w:t xml:space="preserve"> </w:t>
      </w:r>
      <w:r>
        <w:rPr>
          <w:color w:val="137D87"/>
          <w:spacing w:val="-4"/>
        </w:rPr>
        <w:t>Report</w:t>
      </w:r>
    </w:p>
    <w:p w14:paraId="27E93BA9" w14:textId="77777777" w:rsidR="00BC24A8" w:rsidRDefault="00000000">
      <w:pPr>
        <w:pStyle w:val="BodyText"/>
        <w:spacing w:before="19"/>
        <w:ind w:left="143"/>
      </w:pPr>
      <w:r>
        <w:rPr>
          <w:color w:val="17365A"/>
          <w:spacing w:val="-2"/>
        </w:rPr>
        <w:t>(January-June</w:t>
      </w:r>
      <w:r>
        <w:rPr>
          <w:color w:val="17365A"/>
          <w:spacing w:val="9"/>
        </w:rPr>
        <w:t xml:space="preserve"> </w:t>
      </w:r>
      <w:r>
        <w:rPr>
          <w:color w:val="17365A"/>
          <w:spacing w:val="-4"/>
        </w:rPr>
        <w:t>2025)</w:t>
      </w:r>
    </w:p>
    <w:p w14:paraId="39A29BA3" w14:textId="77777777" w:rsidR="00BC24A8" w:rsidRDefault="00BC24A8">
      <w:pPr>
        <w:pStyle w:val="BodyText"/>
        <w:spacing w:before="125"/>
      </w:pPr>
    </w:p>
    <w:p w14:paraId="2E397C81" w14:textId="77777777" w:rsidR="00BC24A8" w:rsidRDefault="00000000">
      <w:pPr>
        <w:spacing w:before="1"/>
        <w:ind w:left="143"/>
        <w:rPr>
          <w:i/>
        </w:rPr>
      </w:pPr>
      <w:bookmarkStart w:id="139" w:name="Context_of_Aceh_Province"/>
      <w:bookmarkEnd w:id="139"/>
      <w:r>
        <w:rPr>
          <w:i/>
          <w:color w:val="1F3762"/>
        </w:rPr>
        <w:t>Context</w:t>
      </w:r>
      <w:r>
        <w:rPr>
          <w:i/>
          <w:color w:val="1F3762"/>
          <w:spacing w:val="-7"/>
        </w:rPr>
        <w:t xml:space="preserve"> </w:t>
      </w:r>
      <w:r>
        <w:rPr>
          <w:i/>
          <w:color w:val="1F3762"/>
        </w:rPr>
        <w:t>of</w:t>
      </w:r>
      <w:r>
        <w:rPr>
          <w:i/>
          <w:color w:val="1F3762"/>
          <w:spacing w:val="-5"/>
        </w:rPr>
        <w:t xml:space="preserve"> </w:t>
      </w:r>
      <w:r>
        <w:rPr>
          <w:i/>
          <w:color w:val="1F3762"/>
        </w:rPr>
        <w:t>Aceh</w:t>
      </w:r>
      <w:r>
        <w:rPr>
          <w:i/>
          <w:color w:val="1F3762"/>
          <w:spacing w:val="-5"/>
        </w:rPr>
        <w:t xml:space="preserve"> </w:t>
      </w:r>
      <w:r>
        <w:rPr>
          <w:i/>
          <w:color w:val="1F3762"/>
          <w:spacing w:val="-2"/>
        </w:rPr>
        <w:t>Province</w:t>
      </w:r>
    </w:p>
    <w:p w14:paraId="6E6A34DB" w14:textId="77777777" w:rsidR="00BC24A8" w:rsidRDefault="00000000">
      <w:pPr>
        <w:spacing w:before="43"/>
        <w:ind w:left="143"/>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5"/>
        </w:rPr>
        <w:t xml:space="preserve"> </w:t>
      </w:r>
      <w:r>
        <w:rPr>
          <w:rFonts w:ascii="Calibri"/>
          <w:i/>
          <w:color w:val="272727"/>
        </w:rPr>
        <w:t>basic</w:t>
      </w:r>
      <w:r>
        <w:rPr>
          <w:rFonts w:ascii="Calibri"/>
          <w:i/>
          <w:color w:val="272727"/>
          <w:spacing w:val="-5"/>
        </w:rPr>
        <w:t xml:space="preserve"> </w:t>
      </w:r>
      <w:r>
        <w:rPr>
          <w:rFonts w:ascii="Calibri"/>
          <w:i/>
          <w:color w:val="272727"/>
        </w:rPr>
        <w:t>services,</w:t>
      </w:r>
      <w:r>
        <w:rPr>
          <w:rFonts w:ascii="Calibri"/>
          <w:i/>
          <w:color w:val="272727"/>
          <w:spacing w:val="-7"/>
        </w:rPr>
        <w:t xml:space="preserve"> </w:t>
      </w:r>
      <w:r>
        <w:rPr>
          <w:rFonts w:ascii="Calibri"/>
          <w:i/>
          <w:color w:val="272727"/>
        </w:rPr>
        <w:t>vulnerable</w:t>
      </w:r>
      <w:r>
        <w:rPr>
          <w:rFonts w:ascii="Calibri"/>
          <w:i/>
          <w:color w:val="272727"/>
          <w:spacing w:val="-4"/>
        </w:rPr>
        <w:t xml:space="preserve"> </w:t>
      </w:r>
      <w:r>
        <w:rPr>
          <w:rFonts w:ascii="Calibri"/>
          <w:i/>
          <w:color w:val="272727"/>
        </w:rPr>
        <w:t>groups,</w:t>
      </w:r>
      <w:r>
        <w:rPr>
          <w:rFonts w:ascii="Calibri"/>
          <w:i/>
          <w:color w:val="272727"/>
          <w:spacing w:val="-5"/>
        </w:rPr>
        <w:t xml:space="preserve"> </w:t>
      </w:r>
      <w:r>
        <w:rPr>
          <w:rFonts w:ascii="Calibri"/>
          <w:i/>
          <w:color w:val="272727"/>
        </w:rPr>
        <w:t>and</w:t>
      </w:r>
      <w:r>
        <w:rPr>
          <w:rFonts w:ascii="Calibri"/>
          <w:i/>
          <w:color w:val="272727"/>
          <w:spacing w:val="-6"/>
        </w:rPr>
        <w:t xml:space="preserve"> </w:t>
      </w:r>
      <w:r>
        <w:rPr>
          <w:rFonts w:ascii="Calibri"/>
          <w:i/>
          <w:color w:val="272727"/>
        </w:rPr>
        <w:t>fiscal</w:t>
      </w:r>
      <w:r>
        <w:rPr>
          <w:rFonts w:ascii="Calibri"/>
          <w:i/>
          <w:color w:val="272727"/>
          <w:spacing w:val="-5"/>
        </w:rPr>
        <w:t xml:space="preserve"> </w:t>
      </w:r>
      <w:r>
        <w:rPr>
          <w:rFonts w:ascii="Calibri"/>
          <w:i/>
          <w:color w:val="272727"/>
          <w:spacing w:val="-2"/>
        </w:rPr>
        <w:t>capacity</w:t>
      </w:r>
    </w:p>
    <w:p w14:paraId="7B7AA726" w14:textId="77777777" w:rsidR="00BC24A8" w:rsidRDefault="00BC24A8">
      <w:pPr>
        <w:pStyle w:val="BodyText"/>
        <w:spacing w:before="67"/>
        <w:rPr>
          <w:rFonts w:ascii="Calibri"/>
          <w:i/>
        </w:rPr>
      </w:pPr>
    </w:p>
    <w:p w14:paraId="2B6B44BB" w14:textId="77777777" w:rsidR="00BC24A8" w:rsidRDefault="00000000">
      <w:pPr>
        <w:pStyle w:val="Heading5"/>
        <w:spacing w:before="1"/>
      </w:pPr>
      <w:r>
        <w:rPr>
          <w:color w:val="767070"/>
        </w:rPr>
        <w:t>Key</w:t>
      </w:r>
      <w:r>
        <w:rPr>
          <w:color w:val="767070"/>
          <w:spacing w:val="-13"/>
        </w:rPr>
        <w:t xml:space="preserve"> </w:t>
      </w:r>
      <w:r>
        <w:rPr>
          <w:color w:val="767070"/>
        </w:rPr>
        <w:t>development</w:t>
      </w:r>
      <w:r>
        <w:rPr>
          <w:color w:val="767070"/>
          <w:spacing w:val="-11"/>
        </w:rPr>
        <w:t xml:space="preserve"> </w:t>
      </w:r>
      <w:r>
        <w:rPr>
          <w:color w:val="767070"/>
        </w:rPr>
        <w:t>outcome</w:t>
      </w:r>
      <w:r>
        <w:rPr>
          <w:color w:val="767070"/>
          <w:spacing w:val="-13"/>
        </w:rPr>
        <w:t xml:space="preserve"> </w:t>
      </w:r>
      <w:r>
        <w:rPr>
          <w:color w:val="767070"/>
        </w:rPr>
        <w:t>indicator</w:t>
      </w:r>
      <w:r>
        <w:rPr>
          <w:color w:val="767070"/>
          <w:spacing w:val="-10"/>
        </w:rPr>
        <w:t xml:space="preserve"> </w:t>
      </w:r>
      <w:r>
        <w:rPr>
          <w:color w:val="767070"/>
          <w:spacing w:val="-4"/>
        </w:rPr>
        <w:t>data</w:t>
      </w:r>
    </w:p>
    <w:p w14:paraId="4D389160" w14:textId="77777777" w:rsidR="00BC24A8" w:rsidRDefault="00000000">
      <w:pPr>
        <w:pStyle w:val="BodyText"/>
        <w:spacing w:before="3"/>
        <w:rPr>
          <w:rFonts w:ascii="Calibri"/>
          <w:b/>
          <w:sz w:val="11"/>
        </w:rPr>
      </w:pPr>
      <w:r>
        <w:rPr>
          <w:rFonts w:ascii="Calibri"/>
          <w:b/>
          <w:noProof/>
          <w:sz w:val="11"/>
        </w:rPr>
        <mc:AlternateContent>
          <mc:Choice Requires="wps">
            <w:drawing>
              <wp:anchor distT="0" distB="0" distL="0" distR="0" simplePos="0" relativeHeight="487601664" behindDoc="1" locked="0" layoutInCell="1" allowOverlap="1" wp14:anchorId="2AB3BCB7" wp14:editId="61D531FE">
                <wp:simplePos x="0" y="0"/>
                <wp:positionH relativeFrom="page">
                  <wp:posOffset>900684</wp:posOffset>
                </wp:positionH>
                <wp:positionV relativeFrom="paragraph">
                  <wp:posOffset>102638</wp:posOffset>
                </wp:positionV>
                <wp:extent cx="5715000" cy="6350"/>
                <wp:effectExtent l="0" t="0" r="0" b="0"/>
                <wp:wrapTopAndBottom/>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6350"/>
                        </a:xfrm>
                        <a:custGeom>
                          <a:avLst/>
                          <a:gdLst/>
                          <a:ahLst/>
                          <a:cxnLst/>
                          <a:rect l="l" t="t" r="r" b="b"/>
                          <a:pathLst>
                            <a:path w="5715000" h="6350">
                              <a:moveTo>
                                <a:pt x="5714987" y="0"/>
                              </a:moveTo>
                              <a:lnTo>
                                <a:pt x="2907792" y="0"/>
                              </a:lnTo>
                              <a:lnTo>
                                <a:pt x="2901696" y="0"/>
                              </a:lnTo>
                              <a:lnTo>
                                <a:pt x="0" y="0"/>
                              </a:lnTo>
                              <a:lnTo>
                                <a:pt x="0" y="6108"/>
                              </a:lnTo>
                              <a:lnTo>
                                <a:pt x="2901696" y="6108"/>
                              </a:lnTo>
                              <a:lnTo>
                                <a:pt x="2907792" y="6108"/>
                              </a:lnTo>
                              <a:lnTo>
                                <a:pt x="5714987" y="6108"/>
                              </a:lnTo>
                              <a:lnTo>
                                <a:pt x="5714987"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1F6AAE65" id="Graphic 68" o:spid="_x0000_s1026" alt="&quot;&quot;" style="position:absolute;margin-left:70.9pt;margin-top:8.1pt;width:450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5715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" path="m5714987,l2907792,r-6096,l,,,6108r2901696,l2907792,6108r2807195,l5714987,xe" fillcolor="#7e7e7e" stroked="f">
                <v:path arrowok="t"/>
                <w10:wrap type="topAndBottom" anchorx="page"/>
              </v:shape>
            </w:pict>
          </mc:Fallback>
        </mc:AlternateContent>
      </w:r>
    </w:p>
    <w:p w14:paraId="0E2DE8BE" w14:textId="77777777" w:rsidR="00BC24A8" w:rsidRDefault="00000000">
      <w:pPr>
        <w:ind w:left="143"/>
        <w:rPr>
          <w:rFonts w:ascii="Calibri"/>
          <w:sz w:val="20"/>
        </w:rPr>
      </w:pPr>
      <w:r>
        <w:rPr>
          <w:rFonts w:ascii="Calibri"/>
          <w:noProof/>
          <w:sz w:val="20"/>
        </w:rPr>
        <mc:AlternateContent>
          <mc:Choice Requires="wps">
            <w:drawing>
              <wp:inline distT="0" distB="0" distL="0" distR="0" wp14:anchorId="6E4B9981" wp14:editId="654CDC34">
                <wp:extent cx="2900680" cy="213360"/>
                <wp:effectExtent l="0" t="0" r="0" b="0"/>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680" cy="213360"/>
                        </a:xfrm>
                        <a:prstGeom prst="rect">
                          <a:avLst/>
                        </a:prstGeom>
                        <a:solidFill>
                          <a:srgbClr val="17365A"/>
                        </a:solidFill>
                      </wps:spPr>
                      <wps:txbx>
                        <w:txbxContent>
                          <w:p w14:paraId="42FB78C2" w14:textId="77777777" w:rsidR="00BC24A8" w:rsidRDefault="00000000">
                            <w:pPr>
                              <w:spacing w:before="47"/>
                              <w:ind w:left="107"/>
                              <w:rPr>
                                <w:rFonts w:ascii="Calibri"/>
                                <w:b/>
                                <w:color w:val="000000"/>
                                <w:sz w:val="20"/>
                              </w:rPr>
                            </w:pPr>
                            <w:r>
                              <w:rPr>
                                <w:rFonts w:ascii="Calibri"/>
                                <w:b/>
                                <w:color w:val="FFFFFF"/>
                                <w:spacing w:val="-2"/>
                                <w:sz w:val="20"/>
                              </w:rPr>
                              <w:t>Key</w:t>
                            </w:r>
                            <w:r>
                              <w:rPr>
                                <w:rFonts w:ascii="Calibri"/>
                                <w:b/>
                                <w:color w:val="FFFFFF"/>
                                <w:spacing w:val="1"/>
                                <w:sz w:val="20"/>
                              </w:rPr>
                              <w:t xml:space="preserve"> </w:t>
                            </w:r>
                            <w:r>
                              <w:rPr>
                                <w:rFonts w:ascii="Calibri"/>
                                <w:b/>
                                <w:color w:val="FFFFFF"/>
                                <w:spacing w:val="-2"/>
                                <w:sz w:val="20"/>
                              </w:rPr>
                              <w:t>development</w:t>
                            </w:r>
                            <w:r>
                              <w:rPr>
                                <w:rFonts w:ascii="Calibri"/>
                                <w:b/>
                                <w:color w:val="FFFFFF"/>
                                <w:spacing w:val="2"/>
                                <w:sz w:val="20"/>
                              </w:rPr>
                              <w:t xml:space="preserve"> </w:t>
                            </w:r>
                            <w:r>
                              <w:rPr>
                                <w:rFonts w:ascii="Calibri"/>
                                <w:b/>
                                <w:color w:val="FFFFFF"/>
                                <w:spacing w:val="-2"/>
                                <w:sz w:val="20"/>
                              </w:rPr>
                              <w:t>indicators</w:t>
                            </w:r>
                          </w:p>
                        </w:txbxContent>
                      </wps:txbx>
                      <wps:bodyPr wrap="square" lIns="0" tIns="0" rIns="0" bIns="0" rtlCol="0">
                        <a:noAutofit/>
                      </wps:bodyPr>
                    </wps:wsp>
                  </a:graphicData>
                </a:graphic>
              </wp:inline>
            </w:drawing>
          </mc:Choice>
          <mc:Fallback>
            <w:pict>
              <v:shape w14:anchorId="6E4B9981" id="Textbox 69" o:spid="_x0000_s1031" type="#_x0000_t202" style="width:228.4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" fillcolor="#17365a" stroked="f">
                <v:textbox inset="0,0,0,0">
                  <w:txbxContent>
                    <w:p w14:paraId="42FB78C2" w14:textId="77777777" w:rsidR="00BC24A8" w:rsidRDefault="00000000">
                      <w:pPr>
                        <w:spacing w:before="47"/>
                        <w:ind w:left="107"/>
                        <w:rPr>
                          <w:rFonts w:ascii="Calibri"/>
                          <w:b/>
                          <w:color w:val="000000"/>
                          <w:sz w:val="20"/>
                        </w:rPr>
                      </w:pPr>
                      <w:r>
                        <w:rPr>
                          <w:rFonts w:ascii="Calibri"/>
                          <w:b/>
                          <w:color w:val="FFFFFF"/>
                          <w:spacing w:val="-2"/>
                          <w:sz w:val="20"/>
                        </w:rPr>
                        <w:t>Key</w:t>
                      </w:r>
                      <w:r>
                        <w:rPr>
                          <w:rFonts w:ascii="Calibri"/>
                          <w:b/>
                          <w:color w:val="FFFFFF"/>
                          <w:spacing w:val="1"/>
                          <w:sz w:val="20"/>
                        </w:rPr>
                        <w:t xml:space="preserve"> </w:t>
                      </w:r>
                      <w:r>
                        <w:rPr>
                          <w:rFonts w:ascii="Calibri"/>
                          <w:b/>
                          <w:color w:val="FFFFFF"/>
                          <w:spacing w:val="-2"/>
                          <w:sz w:val="20"/>
                        </w:rPr>
                        <w:t>development</w:t>
                      </w:r>
                      <w:r>
                        <w:rPr>
                          <w:rFonts w:ascii="Calibri"/>
                          <w:b/>
                          <w:color w:val="FFFFFF"/>
                          <w:spacing w:val="2"/>
                          <w:sz w:val="20"/>
                        </w:rPr>
                        <w:t xml:space="preserve"> </w:t>
                      </w:r>
                      <w:r>
                        <w:rPr>
                          <w:rFonts w:ascii="Calibri"/>
                          <w:b/>
                          <w:color w:val="FFFFFF"/>
                          <w:spacing w:val="-2"/>
                          <w:sz w:val="20"/>
                        </w:rPr>
                        <w:t>indicators</w:t>
                      </w:r>
                    </w:p>
                  </w:txbxContent>
                </v:textbox>
                <w10:anchorlock/>
              </v:shape>
            </w:pict>
          </mc:Fallback>
        </mc:AlternateContent>
      </w:r>
      <w:r>
        <w:rPr>
          <w:rFonts w:ascii="Times New Roman"/>
          <w:spacing w:val="-13"/>
          <w:sz w:val="20"/>
        </w:rPr>
        <w:t xml:space="preserve"> </w:t>
      </w:r>
      <w:r>
        <w:rPr>
          <w:rFonts w:ascii="Calibri"/>
          <w:noProof/>
          <w:spacing w:val="-13"/>
          <w:sz w:val="20"/>
        </w:rPr>
        <mc:AlternateContent>
          <mc:Choice Requires="wps">
            <w:drawing>
              <wp:inline distT="0" distB="0" distL="0" distR="0" wp14:anchorId="50A897EC" wp14:editId="6ED91B30">
                <wp:extent cx="2786380" cy="213360"/>
                <wp:effectExtent l="0" t="0" r="0" b="0"/>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6380" cy="213360"/>
                        </a:xfrm>
                        <a:prstGeom prst="rect">
                          <a:avLst/>
                        </a:prstGeom>
                        <a:solidFill>
                          <a:srgbClr val="17365A"/>
                        </a:solidFill>
                      </wps:spPr>
                      <wps:txbx>
                        <w:txbxContent>
                          <w:p w14:paraId="76D58695" w14:textId="77777777" w:rsidR="00BC24A8" w:rsidRDefault="00000000">
                            <w:pPr>
                              <w:spacing w:before="47"/>
                              <w:ind w:left="83"/>
                              <w:rPr>
                                <w:rFonts w:ascii="Calibri"/>
                                <w:b/>
                                <w:color w:val="000000"/>
                                <w:sz w:val="20"/>
                              </w:rPr>
                            </w:pPr>
                            <w:r>
                              <w:rPr>
                                <w:rFonts w:ascii="Calibri"/>
                                <w:b/>
                                <w:color w:val="FFFFFF"/>
                                <w:spacing w:val="-4"/>
                                <w:sz w:val="20"/>
                              </w:rPr>
                              <w:t>2024</w:t>
                            </w:r>
                          </w:p>
                        </w:txbxContent>
                      </wps:txbx>
                      <wps:bodyPr wrap="square" lIns="0" tIns="0" rIns="0" bIns="0" rtlCol="0">
                        <a:noAutofit/>
                      </wps:bodyPr>
                    </wps:wsp>
                  </a:graphicData>
                </a:graphic>
              </wp:inline>
            </w:drawing>
          </mc:Choice>
          <mc:Fallback>
            <w:pict>
              <v:shape w14:anchorId="50A897EC" id="Textbox 70" o:spid="_x0000_s1032" type="#_x0000_t202" style="width:219.4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" fillcolor="#17365a" stroked="f">
                <v:textbox inset="0,0,0,0">
                  <w:txbxContent>
                    <w:p w14:paraId="76D58695" w14:textId="77777777" w:rsidR="00BC24A8" w:rsidRDefault="00000000">
                      <w:pPr>
                        <w:spacing w:before="47"/>
                        <w:ind w:left="83"/>
                        <w:rPr>
                          <w:rFonts w:ascii="Calibri"/>
                          <w:b/>
                          <w:color w:val="000000"/>
                          <w:sz w:val="20"/>
                        </w:rPr>
                      </w:pPr>
                      <w:r>
                        <w:rPr>
                          <w:rFonts w:ascii="Calibri"/>
                          <w:b/>
                          <w:color w:val="FFFFFF"/>
                          <w:spacing w:val="-4"/>
                          <w:sz w:val="20"/>
                        </w:rPr>
                        <w:t>2024</w:t>
                      </w:r>
                    </w:p>
                  </w:txbxContent>
                </v:textbox>
                <w10:anchorlock/>
              </v:shape>
            </w:pict>
          </mc:Fallback>
        </mc:AlternateContent>
      </w:r>
    </w:p>
    <w:p w14:paraId="124684D6" w14:textId="77777777" w:rsidR="00BC24A8" w:rsidRDefault="00BC24A8">
      <w:pPr>
        <w:pStyle w:val="BodyText"/>
        <w:spacing w:before="3"/>
        <w:rPr>
          <w:rFonts w:ascii="Calibri"/>
          <w:b/>
          <w:sz w:val="4"/>
        </w:rPr>
      </w:pPr>
    </w:p>
    <w:tbl>
      <w:tblPr>
        <w:tblW w:w="0" w:type="auto"/>
        <w:tblInd w:w="143" w:type="dxa"/>
        <w:tblLayout w:type="fixed"/>
        <w:tblCellMar>
          <w:left w:w="0" w:type="dxa"/>
          <w:right w:w="0" w:type="dxa"/>
        </w:tblCellMar>
        <w:tblLook w:val="01E0" w:firstRow="1" w:lastRow="1" w:firstColumn="1" w:lastColumn="1" w:noHBand="0" w:noVBand="0"/>
      </w:tblPr>
      <w:tblGrid>
        <w:gridCol w:w="3605"/>
        <w:gridCol w:w="5401"/>
      </w:tblGrid>
      <w:tr w:rsidR="00BC24A8" w14:paraId="5C38C91B" w14:textId="77777777">
        <w:trPr>
          <w:trHeight w:val="681"/>
        </w:trPr>
        <w:tc>
          <w:tcPr>
            <w:tcW w:w="3605" w:type="dxa"/>
            <w:tcBorders>
              <w:bottom w:val="single" w:sz="4" w:space="0" w:color="BEBEBE"/>
            </w:tcBorders>
          </w:tcPr>
          <w:p w14:paraId="3662C7FB" w14:textId="77777777" w:rsidR="00BC24A8" w:rsidRDefault="00000000">
            <w:pPr>
              <w:pStyle w:val="TableParagraph"/>
              <w:spacing w:before="23"/>
              <w:ind w:left="115"/>
              <w:rPr>
                <w:sz w:val="18"/>
              </w:rPr>
            </w:pPr>
            <w:r>
              <w:rPr>
                <w:sz w:val="18"/>
              </w:rPr>
              <w:t>Enrolment</w:t>
            </w:r>
            <w:r>
              <w:rPr>
                <w:spacing w:val="-2"/>
                <w:sz w:val="18"/>
              </w:rPr>
              <w:t xml:space="preserve"> rates</w:t>
            </w:r>
          </w:p>
        </w:tc>
        <w:tc>
          <w:tcPr>
            <w:tcW w:w="5401" w:type="dxa"/>
            <w:tcBorders>
              <w:bottom w:val="single" w:sz="4" w:space="0" w:color="BEBEBE"/>
            </w:tcBorders>
          </w:tcPr>
          <w:p w14:paraId="069EB18B" w14:textId="77777777" w:rsidR="00BC24A8" w:rsidRDefault="00000000">
            <w:pPr>
              <w:pStyle w:val="TableParagraph"/>
              <w:spacing w:line="183" w:lineRule="exact"/>
              <w:ind w:left="1098"/>
              <w:rPr>
                <w:sz w:val="18"/>
              </w:rPr>
            </w:pPr>
            <w:r>
              <w:rPr>
                <w:sz w:val="18"/>
              </w:rPr>
              <w:t>SD:</w:t>
            </w:r>
            <w:r>
              <w:rPr>
                <w:spacing w:val="1"/>
                <w:sz w:val="18"/>
              </w:rPr>
              <w:t xml:space="preserve"> </w:t>
            </w:r>
            <w:r>
              <w:rPr>
                <w:spacing w:val="-2"/>
                <w:sz w:val="18"/>
              </w:rPr>
              <w:t>99.42%</w:t>
            </w:r>
          </w:p>
          <w:p w14:paraId="110DCE4E" w14:textId="77777777" w:rsidR="00BC24A8" w:rsidRDefault="00000000">
            <w:pPr>
              <w:pStyle w:val="TableParagraph"/>
              <w:spacing w:before="1"/>
              <w:ind w:left="1098"/>
              <w:rPr>
                <w:sz w:val="18"/>
              </w:rPr>
            </w:pPr>
            <w:r>
              <w:rPr>
                <w:sz w:val="18"/>
              </w:rPr>
              <w:t>SMP/MTs:</w:t>
            </w:r>
            <w:r>
              <w:rPr>
                <w:spacing w:val="-7"/>
                <w:sz w:val="18"/>
              </w:rPr>
              <w:t xml:space="preserve"> </w:t>
            </w:r>
            <w:r>
              <w:rPr>
                <w:spacing w:val="-2"/>
                <w:sz w:val="18"/>
              </w:rPr>
              <w:t>97.77%</w:t>
            </w:r>
          </w:p>
          <w:p w14:paraId="59B051A3" w14:textId="77777777" w:rsidR="00BC24A8" w:rsidRDefault="00000000">
            <w:pPr>
              <w:pStyle w:val="TableParagraph"/>
              <w:spacing w:before="1"/>
              <w:ind w:left="1098"/>
              <w:rPr>
                <w:sz w:val="18"/>
              </w:rPr>
            </w:pPr>
            <w:r>
              <w:rPr>
                <w:sz w:val="18"/>
              </w:rPr>
              <w:t>SMA/SMK:</w:t>
            </w:r>
            <w:r>
              <w:rPr>
                <w:spacing w:val="-4"/>
                <w:sz w:val="18"/>
              </w:rPr>
              <w:t xml:space="preserve"> </w:t>
            </w:r>
            <w:r>
              <w:rPr>
                <w:spacing w:val="-5"/>
                <w:sz w:val="18"/>
              </w:rPr>
              <w:t>70%</w:t>
            </w:r>
          </w:p>
        </w:tc>
      </w:tr>
      <w:tr w:rsidR="00BC24A8" w14:paraId="1E41B8DA" w14:textId="77777777">
        <w:trPr>
          <w:trHeight w:val="280"/>
        </w:trPr>
        <w:tc>
          <w:tcPr>
            <w:tcW w:w="3605" w:type="dxa"/>
            <w:tcBorders>
              <w:top w:val="single" w:sz="4" w:space="0" w:color="BEBEBE"/>
              <w:bottom w:val="single" w:sz="4" w:space="0" w:color="BEBEBE"/>
            </w:tcBorders>
          </w:tcPr>
          <w:p w14:paraId="09880A6C" w14:textId="77777777" w:rsidR="00BC24A8" w:rsidRDefault="00000000">
            <w:pPr>
              <w:pStyle w:val="TableParagraph"/>
              <w:spacing w:before="61" w:line="199" w:lineRule="exact"/>
              <w:ind w:left="115"/>
              <w:rPr>
                <w:sz w:val="18"/>
              </w:rPr>
            </w:pPr>
            <w:r>
              <w:rPr>
                <w:sz w:val="18"/>
              </w:rPr>
              <w:t>Infant</w:t>
            </w:r>
            <w:r>
              <w:rPr>
                <w:spacing w:val="-5"/>
                <w:sz w:val="18"/>
              </w:rPr>
              <w:t xml:space="preserve"> </w:t>
            </w:r>
            <w:r>
              <w:rPr>
                <w:sz w:val="18"/>
              </w:rPr>
              <w:t>mortality</w:t>
            </w:r>
            <w:r>
              <w:rPr>
                <w:spacing w:val="-2"/>
                <w:sz w:val="18"/>
              </w:rPr>
              <w:t xml:space="preserve"> </w:t>
            </w:r>
            <w:r>
              <w:rPr>
                <w:spacing w:val="-4"/>
                <w:sz w:val="18"/>
              </w:rPr>
              <w:t>rate</w:t>
            </w:r>
          </w:p>
        </w:tc>
        <w:tc>
          <w:tcPr>
            <w:tcW w:w="5401" w:type="dxa"/>
            <w:tcBorders>
              <w:top w:val="single" w:sz="4" w:space="0" w:color="BEBEBE"/>
              <w:bottom w:val="single" w:sz="4" w:space="0" w:color="BEBEBE"/>
            </w:tcBorders>
          </w:tcPr>
          <w:p w14:paraId="43047D24" w14:textId="77777777" w:rsidR="00BC24A8" w:rsidRDefault="00000000">
            <w:pPr>
              <w:pStyle w:val="TableParagraph"/>
              <w:spacing w:before="3"/>
              <w:ind w:left="1098"/>
              <w:rPr>
                <w:sz w:val="18"/>
              </w:rPr>
            </w:pPr>
            <w:r>
              <w:rPr>
                <w:sz w:val="18"/>
              </w:rPr>
              <w:t>17</w:t>
            </w:r>
            <w:r>
              <w:rPr>
                <w:spacing w:val="-1"/>
                <w:sz w:val="18"/>
              </w:rPr>
              <w:t xml:space="preserve"> </w:t>
            </w:r>
            <w:r>
              <w:rPr>
                <w:sz w:val="18"/>
              </w:rPr>
              <w:t>per 1,000</w:t>
            </w:r>
            <w:r>
              <w:rPr>
                <w:spacing w:val="-1"/>
                <w:sz w:val="18"/>
              </w:rPr>
              <w:t xml:space="preserve"> </w:t>
            </w:r>
            <w:r>
              <w:rPr>
                <w:sz w:val="18"/>
              </w:rPr>
              <w:t>live</w:t>
            </w:r>
            <w:r>
              <w:rPr>
                <w:spacing w:val="-1"/>
                <w:sz w:val="18"/>
              </w:rPr>
              <w:t xml:space="preserve"> </w:t>
            </w:r>
            <w:r>
              <w:rPr>
                <w:spacing w:val="-2"/>
                <w:sz w:val="18"/>
              </w:rPr>
              <w:t>births</w:t>
            </w:r>
          </w:p>
        </w:tc>
      </w:tr>
      <w:tr w:rsidR="00BC24A8" w14:paraId="0CB4E905" w14:textId="77777777">
        <w:trPr>
          <w:trHeight w:val="280"/>
        </w:trPr>
        <w:tc>
          <w:tcPr>
            <w:tcW w:w="3605" w:type="dxa"/>
            <w:tcBorders>
              <w:top w:val="single" w:sz="4" w:space="0" w:color="BEBEBE"/>
              <w:bottom w:val="single" w:sz="4" w:space="0" w:color="BEBEBE"/>
            </w:tcBorders>
          </w:tcPr>
          <w:p w14:paraId="5A5D56D0" w14:textId="77777777" w:rsidR="00BC24A8" w:rsidRDefault="00000000">
            <w:pPr>
              <w:pStyle w:val="TableParagraph"/>
              <w:spacing w:before="61" w:line="199" w:lineRule="exact"/>
              <w:ind w:left="115"/>
              <w:rPr>
                <w:sz w:val="18"/>
              </w:rPr>
            </w:pPr>
            <w:r>
              <w:rPr>
                <w:sz w:val="18"/>
              </w:rPr>
              <w:t>Maternal</w:t>
            </w:r>
            <w:r>
              <w:rPr>
                <w:spacing w:val="-4"/>
                <w:sz w:val="18"/>
              </w:rPr>
              <w:t xml:space="preserve"> </w:t>
            </w:r>
            <w:r>
              <w:rPr>
                <w:sz w:val="18"/>
              </w:rPr>
              <w:t>mortality</w:t>
            </w:r>
            <w:r>
              <w:rPr>
                <w:spacing w:val="-3"/>
                <w:sz w:val="18"/>
              </w:rPr>
              <w:t xml:space="preserve"> </w:t>
            </w:r>
            <w:r>
              <w:rPr>
                <w:spacing w:val="-4"/>
                <w:sz w:val="18"/>
              </w:rPr>
              <w:t>rate</w:t>
            </w:r>
          </w:p>
        </w:tc>
        <w:tc>
          <w:tcPr>
            <w:tcW w:w="5401" w:type="dxa"/>
            <w:tcBorders>
              <w:top w:val="single" w:sz="4" w:space="0" w:color="BEBEBE"/>
              <w:bottom w:val="single" w:sz="4" w:space="0" w:color="BEBEBE"/>
            </w:tcBorders>
          </w:tcPr>
          <w:p w14:paraId="49D85EAD" w14:textId="77777777" w:rsidR="00BC24A8" w:rsidRDefault="00000000">
            <w:pPr>
              <w:pStyle w:val="TableParagraph"/>
              <w:spacing w:before="1"/>
              <w:ind w:left="1098"/>
              <w:rPr>
                <w:sz w:val="18"/>
              </w:rPr>
            </w:pPr>
            <w:r>
              <w:rPr>
                <w:sz w:val="18"/>
              </w:rPr>
              <w:t>165</w:t>
            </w:r>
            <w:r>
              <w:rPr>
                <w:spacing w:val="-1"/>
                <w:sz w:val="18"/>
              </w:rPr>
              <w:t xml:space="preserve"> </w:t>
            </w:r>
            <w:r>
              <w:rPr>
                <w:sz w:val="18"/>
              </w:rPr>
              <w:t>per 100,000</w:t>
            </w:r>
            <w:r>
              <w:rPr>
                <w:spacing w:val="-1"/>
                <w:sz w:val="18"/>
              </w:rPr>
              <w:t xml:space="preserve"> </w:t>
            </w:r>
            <w:r>
              <w:rPr>
                <w:sz w:val="18"/>
              </w:rPr>
              <w:t>live</w:t>
            </w:r>
            <w:r>
              <w:rPr>
                <w:spacing w:val="-1"/>
                <w:sz w:val="18"/>
              </w:rPr>
              <w:t xml:space="preserve"> </w:t>
            </w:r>
            <w:r>
              <w:rPr>
                <w:spacing w:val="-2"/>
                <w:sz w:val="18"/>
              </w:rPr>
              <w:t>births</w:t>
            </w:r>
          </w:p>
        </w:tc>
      </w:tr>
      <w:tr w:rsidR="00BC24A8" w14:paraId="2214011B" w14:textId="77777777">
        <w:trPr>
          <w:trHeight w:val="280"/>
        </w:trPr>
        <w:tc>
          <w:tcPr>
            <w:tcW w:w="3605" w:type="dxa"/>
            <w:tcBorders>
              <w:top w:val="single" w:sz="4" w:space="0" w:color="BEBEBE"/>
              <w:bottom w:val="single" w:sz="4" w:space="0" w:color="BEBEBE"/>
            </w:tcBorders>
          </w:tcPr>
          <w:p w14:paraId="135C13F3" w14:textId="77777777" w:rsidR="00BC24A8" w:rsidRDefault="00000000">
            <w:pPr>
              <w:pStyle w:val="TableParagraph"/>
              <w:spacing w:before="61" w:line="199" w:lineRule="exact"/>
              <w:ind w:left="115"/>
              <w:rPr>
                <w:sz w:val="18"/>
              </w:rPr>
            </w:pPr>
            <w:r>
              <w:rPr>
                <w:sz w:val="18"/>
              </w:rPr>
              <w:t>Stunting</w:t>
            </w:r>
            <w:r>
              <w:rPr>
                <w:spacing w:val="-2"/>
                <w:sz w:val="18"/>
              </w:rPr>
              <w:t xml:space="preserve"> prevalence</w:t>
            </w:r>
          </w:p>
        </w:tc>
        <w:tc>
          <w:tcPr>
            <w:tcW w:w="5401" w:type="dxa"/>
            <w:tcBorders>
              <w:top w:val="single" w:sz="4" w:space="0" w:color="BEBEBE"/>
              <w:bottom w:val="single" w:sz="4" w:space="0" w:color="BEBEBE"/>
            </w:tcBorders>
          </w:tcPr>
          <w:p w14:paraId="4E760E6B" w14:textId="77777777" w:rsidR="00BC24A8" w:rsidRDefault="00000000">
            <w:pPr>
              <w:pStyle w:val="TableParagraph"/>
              <w:spacing w:before="1"/>
              <w:ind w:left="1098"/>
              <w:rPr>
                <w:sz w:val="18"/>
              </w:rPr>
            </w:pPr>
            <w:r>
              <w:rPr>
                <w:spacing w:val="-5"/>
                <w:sz w:val="18"/>
              </w:rPr>
              <w:t>27%</w:t>
            </w:r>
          </w:p>
        </w:tc>
      </w:tr>
      <w:tr w:rsidR="00BC24A8" w14:paraId="12445DF1" w14:textId="77777777">
        <w:trPr>
          <w:trHeight w:val="277"/>
        </w:trPr>
        <w:tc>
          <w:tcPr>
            <w:tcW w:w="3605" w:type="dxa"/>
            <w:tcBorders>
              <w:top w:val="single" w:sz="4" w:space="0" w:color="BEBEBE"/>
              <w:bottom w:val="single" w:sz="4" w:space="0" w:color="BEBEBE"/>
            </w:tcBorders>
          </w:tcPr>
          <w:p w14:paraId="747B214D" w14:textId="77777777" w:rsidR="00BC24A8" w:rsidRDefault="00000000">
            <w:pPr>
              <w:pStyle w:val="TableParagraph"/>
              <w:spacing w:before="59" w:line="199" w:lineRule="exact"/>
              <w:ind w:left="115"/>
              <w:rPr>
                <w:sz w:val="18"/>
              </w:rPr>
            </w:pPr>
            <w:r>
              <w:rPr>
                <w:sz w:val="18"/>
              </w:rPr>
              <w:t>Poverty</w:t>
            </w:r>
            <w:r>
              <w:rPr>
                <w:spacing w:val="-4"/>
                <w:sz w:val="18"/>
              </w:rPr>
              <w:t xml:space="preserve"> rate</w:t>
            </w:r>
          </w:p>
        </w:tc>
        <w:tc>
          <w:tcPr>
            <w:tcW w:w="5401" w:type="dxa"/>
            <w:tcBorders>
              <w:top w:val="single" w:sz="4" w:space="0" w:color="BEBEBE"/>
              <w:bottom w:val="single" w:sz="4" w:space="0" w:color="BEBEBE"/>
            </w:tcBorders>
          </w:tcPr>
          <w:p w14:paraId="32B98587" w14:textId="77777777" w:rsidR="00BC24A8" w:rsidRDefault="00000000">
            <w:pPr>
              <w:pStyle w:val="TableParagraph"/>
              <w:spacing w:before="1"/>
              <w:ind w:left="1098"/>
              <w:rPr>
                <w:sz w:val="18"/>
              </w:rPr>
            </w:pPr>
            <w:r>
              <w:rPr>
                <w:spacing w:val="-2"/>
                <w:sz w:val="18"/>
              </w:rPr>
              <w:t>12.64%</w:t>
            </w:r>
          </w:p>
        </w:tc>
      </w:tr>
      <w:tr w:rsidR="00BC24A8" w14:paraId="54C89385" w14:textId="77777777">
        <w:trPr>
          <w:trHeight w:val="280"/>
        </w:trPr>
        <w:tc>
          <w:tcPr>
            <w:tcW w:w="3605" w:type="dxa"/>
            <w:tcBorders>
              <w:top w:val="single" w:sz="4" w:space="0" w:color="BEBEBE"/>
              <w:bottom w:val="single" w:sz="4" w:space="0" w:color="BEBEBE"/>
            </w:tcBorders>
          </w:tcPr>
          <w:p w14:paraId="63D4AE7B" w14:textId="77777777" w:rsidR="00BC24A8" w:rsidRDefault="00000000">
            <w:pPr>
              <w:pStyle w:val="TableParagraph"/>
              <w:spacing w:before="61" w:line="199" w:lineRule="exact"/>
              <w:ind w:left="115"/>
              <w:rPr>
                <w:sz w:val="18"/>
              </w:rPr>
            </w:pPr>
            <w:r>
              <w:rPr>
                <w:sz w:val="18"/>
              </w:rPr>
              <w:t>Open</w:t>
            </w:r>
            <w:r>
              <w:rPr>
                <w:spacing w:val="-6"/>
                <w:sz w:val="18"/>
              </w:rPr>
              <w:t xml:space="preserve"> </w:t>
            </w:r>
            <w:r>
              <w:rPr>
                <w:sz w:val="18"/>
              </w:rPr>
              <w:t>unemployment</w:t>
            </w:r>
            <w:r>
              <w:rPr>
                <w:spacing w:val="-2"/>
                <w:sz w:val="18"/>
              </w:rPr>
              <w:t xml:space="preserve"> </w:t>
            </w:r>
            <w:r>
              <w:rPr>
                <w:spacing w:val="-4"/>
                <w:sz w:val="18"/>
              </w:rPr>
              <w:t>rate</w:t>
            </w:r>
          </w:p>
        </w:tc>
        <w:tc>
          <w:tcPr>
            <w:tcW w:w="5401" w:type="dxa"/>
            <w:tcBorders>
              <w:top w:val="single" w:sz="4" w:space="0" w:color="BEBEBE"/>
              <w:bottom w:val="single" w:sz="4" w:space="0" w:color="BEBEBE"/>
            </w:tcBorders>
          </w:tcPr>
          <w:p w14:paraId="71368CE8" w14:textId="77777777" w:rsidR="00BC24A8" w:rsidRDefault="00000000">
            <w:pPr>
              <w:pStyle w:val="TableParagraph"/>
              <w:spacing w:before="1"/>
              <w:ind w:left="1098"/>
              <w:rPr>
                <w:sz w:val="18"/>
              </w:rPr>
            </w:pPr>
            <w:r>
              <w:rPr>
                <w:spacing w:val="-2"/>
                <w:sz w:val="18"/>
              </w:rPr>
              <w:t>5.75%</w:t>
            </w:r>
          </w:p>
        </w:tc>
      </w:tr>
      <w:tr w:rsidR="00BC24A8" w14:paraId="73A7DEB9" w14:textId="77777777">
        <w:trPr>
          <w:trHeight w:val="280"/>
        </w:trPr>
        <w:tc>
          <w:tcPr>
            <w:tcW w:w="3605" w:type="dxa"/>
            <w:tcBorders>
              <w:top w:val="single" w:sz="4" w:space="0" w:color="BEBEBE"/>
              <w:bottom w:val="single" w:sz="4" w:space="0" w:color="BEBEBE"/>
            </w:tcBorders>
          </w:tcPr>
          <w:p w14:paraId="2DD03D3E" w14:textId="77777777" w:rsidR="00BC24A8" w:rsidRDefault="00000000">
            <w:pPr>
              <w:pStyle w:val="TableParagraph"/>
              <w:spacing w:before="61" w:line="199" w:lineRule="exact"/>
              <w:ind w:left="115"/>
              <w:rPr>
                <w:sz w:val="18"/>
              </w:rPr>
            </w:pPr>
            <w:r>
              <w:rPr>
                <w:sz w:val="18"/>
              </w:rPr>
              <w:t>Gini-</w:t>
            </w:r>
            <w:r>
              <w:rPr>
                <w:spacing w:val="-2"/>
                <w:sz w:val="18"/>
              </w:rPr>
              <w:t>Coefficient</w:t>
            </w:r>
          </w:p>
        </w:tc>
        <w:tc>
          <w:tcPr>
            <w:tcW w:w="5401" w:type="dxa"/>
            <w:tcBorders>
              <w:top w:val="single" w:sz="4" w:space="0" w:color="BEBEBE"/>
              <w:bottom w:val="single" w:sz="4" w:space="0" w:color="BEBEBE"/>
            </w:tcBorders>
          </w:tcPr>
          <w:p w14:paraId="28CA4AE4" w14:textId="77777777" w:rsidR="00BC24A8" w:rsidRDefault="00000000">
            <w:pPr>
              <w:pStyle w:val="TableParagraph"/>
              <w:spacing w:before="1"/>
              <w:ind w:left="1098"/>
              <w:rPr>
                <w:sz w:val="18"/>
              </w:rPr>
            </w:pPr>
            <w:r>
              <w:rPr>
                <w:spacing w:val="-2"/>
                <w:sz w:val="18"/>
              </w:rPr>
              <w:t>0.294</w:t>
            </w:r>
          </w:p>
        </w:tc>
      </w:tr>
      <w:tr w:rsidR="00BC24A8" w14:paraId="0A021F73" w14:textId="77777777">
        <w:trPr>
          <w:trHeight w:val="280"/>
        </w:trPr>
        <w:tc>
          <w:tcPr>
            <w:tcW w:w="3605" w:type="dxa"/>
            <w:tcBorders>
              <w:top w:val="single" w:sz="4" w:space="0" w:color="BEBEBE"/>
              <w:bottom w:val="single" w:sz="4" w:space="0" w:color="BEBEBE"/>
            </w:tcBorders>
          </w:tcPr>
          <w:p w14:paraId="0A184D81" w14:textId="77777777" w:rsidR="00BC24A8" w:rsidRDefault="00000000">
            <w:pPr>
              <w:pStyle w:val="TableParagraph"/>
              <w:spacing w:before="59" w:line="202" w:lineRule="exact"/>
              <w:ind w:left="115"/>
              <w:rPr>
                <w:sz w:val="18"/>
              </w:rPr>
            </w:pPr>
            <w:r>
              <w:rPr>
                <w:sz w:val="18"/>
              </w:rPr>
              <w:t>HDI</w:t>
            </w:r>
            <w:r>
              <w:rPr>
                <w:spacing w:val="-4"/>
                <w:sz w:val="18"/>
              </w:rPr>
              <w:t xml:space="preserve"> </w:t>
            </w:r>
            <w:r>
              <w:rPr>
                <w:sz w:val="18"/>
              </w:rPr>
              <w:t>(Human</w:t>
            </w:r>
            <w:r>
              <w:rPr>
                <w:spacing w:val="-2"/>
                <w:sz w:val="18"/>
              </w:rPr>
              <w:t xml:space="preserve"> </w:t>
            </w:r>
            <w:r>
              <w:rPr>
                <w:sz w:val="18"/>
              </w:rPr>
              <w:t>Development</w:t>
            </w:r>
            <w:r>
              <w:rPr>
                <w:spacing w:val="-1"/>
                <w:sz w:val="18"/>
              </w:rPr>
              <w:t xml:space="preserve"> </w:t>
            </w:r>
            <w:r>
              <w:rPr>
                <w:spacing w:val="-2"/>
                <w:sz w:val="18"/>
              </w:rPr>
              <w:t>Index)</w:t>
            </w:r>
          </w:p>
        </w:tc>
        <w:tc>
          <w:tcPr>
            <w:tcW w:w="5401" w:type="dxa"/>
            <w:tcBorders>
              <w:top w:val="single" w:sz="4" w:space="0" w:color="BEBEBE"/>
              <w:bottom w:val="single" w:sz="4" w:space="0" w:color="BEBEBE"/>
            </w:tcBorders>
          </w:tcPr>
          <w:p w14:paraId="61620FB9" w14:textId="77777777" w:rsidR="00BC24A8" w:rsidRDefault="00000000">
            <w:pPr>
              <w:pStyle w:val="TableParagraph"/>
              <w:spacing w:before="1"/>
              <w:ind w:left="1098"/>
              <w:rPr>
                <w:sz w:val="18"/>
              </w:rPr>
            </w:pPr>
            <w:r>
              <w:rPr>
                <w:spacing w:val="-2"/>
                <w:sz w:val="18"/>
              </w:rPr>
              <w:t>75.36</w:t>
            </w:r>
          </w:p>
        </w:tc>
      </w:tr>
    </w:tbl>
    <w:p w14:paraId="0E7D4031" w14:textId="77777777" w:rsidR="00BC24A8" w:rsidRDefault="00000000">
      <w:pPr>
        <w:spacing w:before="128"/>
        <w:ind w:left="143"/>
        <w:rPr>
          <w:sz w:val="16"/>
        </w:rPr>
      </w:pPr>
      <w:r>
        <w:rPr>
          <w:sz w:val="16"/>
        </w:rPr>
        <w:t>Data</w:t>
      </w:r>
      <w:r>
        <w:rPr>
          <w:spacing w:val="-8"/>
          <w:sz w:val="16"/>
        </w:rPr>
        <w:t xml:space="preserve"> </w:t>
      </w:r>
      <w:r>
        <w:rPr>
          <w:sz w:val="16"/>
        </w:rPr>
        <w:t>source:</w:t>
      </w:r>
      <w:r>
        <w:rPr>
          <w:spacing w:val="-7"/>
          <w:sz w:val="16"/>
        </w:rPr>
        <w:t xml:space="preserve"> </w:t>
      </w:r>
      <w:r>
        <w:rPr>
          <w:spacing w:val="-5"/>
          <w:sz w:val="16"/>
        </w:rPr>
        <w:t>BPS</w:t>
      </w:r>
    </w:p>
    <w:p w14:paraId="7614613A" w14:textId="77777777" w:rsidR="00BC24A8" w:rsidRDefault="00BC24A8">
      <w:pPr>
        <w:pStyle w:val="BodyText"/>
        <w:rPr>
          <w:sz w:val="16"/>
        </w:rPr>
      </w:pPr>
    </w:p>
    <w:p w14:paraId="06E2EE93" w14:textId="77777777" w:rsidR="00BC24A8" w:rsidRDefault="00BC24A8">
      <w:pPr>
        <w:pStyle w:val="BodyText"/>
        <w:spacing w:before="9"/>
        <w:rPr>
          <w:sz w:val="16"/>
        </w:rPr>
      </w:pPr>
    </w:p>
    <w:p w14:paraId="4AE744A9" w14:textId="77777777" w:rsidR="00BC24A8" w:rsidRDefault="00000000">
      <w:pPr>
        <w:pStyle w:val="Heading5"/>
        <w:spacing w:before="1"/>
      </w:pPr>
      <w:r>
        <w:rPr>
          <w:color w:val="767070"/>
        </w:rPr>
        <w:t>MSS</w:t>
      </w:r>
      <w:r>
        <w:rPr>
          <w:color w:val="767070"/>
          <w:spacing w:val="-7"/>
        </w:rPr>
        <w:t xml:space="preserve"> </w:t>
      </w:r>
      <w:r>
        <w:rPr>
          <w:color w:val="767070"/>
        </w:rPr>
        <w:t>reporting,</w:t>
      </w:r>
      <w:r>
        <w:rPr>
          <w:color w:val="767070"/>
          <w:spacing w:val="-6"/>
        </w:rPr>
        <w:t xml:space="preserve"> </w:t>
      </w:r>
      <w:r>
        <w:rPr>
          <w:color w:val="767070"/>
        </w:rPr>
        <w:t>achievement</w:t>
      </w:r>
      <w:r>
        <w:rPr>
          <w:color w:val="767070"/>
          <w:spacing w:val="-8"/>
        </w:rPr>
        <w:t xml:space="preserve"> </w:t>
      </w:r>
      <w:r>
        <w:rPr>
          <w:color w:val="767070"/>
        </w:rPr>
        <w:t>index,</w:t>
      </w:r>
      <w:r>
        <w:rPr>
          <w:color w:val="767070"/>
          <w:spacing w:val="-5"/>
        </w:rPr>
        <w:t xml:space="preserve"> </w:t>
      </w:r>
      <w:r>
        <w:rPr>
          <w:color w:val="767070"/>
        </w:rPr>
        <w:t>and</w:t>
      </w:r>
      <w:r>
        <w:rPr>
          <w:color w:val="767070"/>
          <w:spacing w:val="-7"/>
        </w:rPr>
        <w:t xml:space="preserve"> </w:t>
      </w:r>
      <w:r>
        <w:rPr>
          <w:color w:val="767070"/>
        </w:rPr>
        <w:t>budget</w:t>
      </w:r>
      <w:r>
        <w:rPr>
          <w:color w:val="767070"/>
          <w:spacing w:val="-8"/>
        </w:rPr>
        <w:t xml:space="preserve"> </w:t>
      </w:r>
      <w:r>
        <w:rPr>
          <w:color w:val="767070"/>
          <w:spacing w:val="-4"/>
        </w:rPr>
        <w:t>data</w:t>
      </w:r>
    </w:p>
    <w:p w14:paraId="2541D745" w14:textId="77777777" w:rsidR="00BC24A8" w:rsidRDefault="00BC24A8">
      <w:pPr>
        <w:pStyle w:val="BodyText"/>
        <w:rPr>
          <w:rFonts w:ascii="Calibri"/>
          <w:b/>
          <w:sz w:val="13"/>
        </w:rPr>
      </w:pPr>
    </w:p>
    <w:tbl>
      <w:tblPr>
        <w:tblW w:w="0" w:type="auto"/>
        <w:tblInd w:w="143" w:type="dxa"/>
        <w:tblLayout w:type="fixed"/>
        <w:tblCellMar>
          <w:left w:w="0" w:type="dxa"/>
          <w:right w:w="0" w:type="dxa"/>
        </w:tblCellMar>
        <w:tblLook w:val="01E0" w:firstRow="1" w:lastRow="1" w:firstColumn="1" w:lastColumn="1" w:noHBand="0" w:noVBand="0"/>
      </w:tblPr>
      <w:tblGrid>
        <w:gridCol w:w="2797"/>
        <w:gridCol w:w="2569"/>
        <w:gridCol w:w="1661"/>
        <w:gridCol w:w="1980"/>
      </w:tblGrid>
      <w:tr w:rsidR="00BC24A8" w14:paraId="5DD75421" w14:textId="77777777">
        <w:trPr>
          <w:trHeight w:val="791"/>
        </w:trPr>
        <w:tc>
          <w:tcPr>
            <w:tcW w:w="2797" w:type="dxa"/>
            <w:tcBorders>
              <w:top w:val="single" w:sz="4" w:space="0" w:color="7E7E7E"/>
              <w:right w:val="single" w:sz="24" w:space="0" w:color="FFFFFF"/>
            </w:tcBorders>
            <w:shd w:val="clear" w:color="auto" w:fill="17365A"/>
          </w:tcPr>
          <w:p w14:paraId="69EC3DAB" w14:textId="77777777" w:rsidR="00BC24A8" w:rsidRDefault="00BC24A8">
            <w:pPr>
              <w:pStyle w:val="TableParagraph"/>
              <w:spacing w:before="21"/>
              <w:rPr>
                <w:rFonts w:ascii="Calibri"/>
                <w:b/>
                <w:sz w:val="20"/>
              </w:rPr>
            </w:pPr>
          </w:p>
          <w:p w14:paraId="2706AD87" w14:textId="77777777" w:rsidR="00BC24A8" w:rsidRDefault="00000000">
            <w:pPr>
              <w:pStyle w:val="TableParagraph"/>
              <w:ind w:left="115"/>
              <w:rPr>
                <w:rFonts w:ascii="Calibri"/>
                <w:b/>
                <w:sz w:val="20"/>
              </w:rPr>
            </w:pPr>
            <w:r>
              <w:rPr>
                <w:rFonts w:ascii="Calibri"/>
                <w:b/>
                <w:color w:val="FFFFFF"/>
                <w:spacing w:val="-2"/>
                <w:sz w:val="20"/>
              </w:rPr>
              <w:t>Sector</w:t>
            </w:r>
          </w:p>
        </w:tc>
        <w:tc>
          <w:tcPr>
            <w:tcW w:w="2569" w:type="dxa"/>
            <w:tcBorders>
              <w:top w:val="single" w:sz="4" w:space="0" w:color="7E7E7E"/>
              <w:left w:val="single" w:sz="24" w:space="0" w:color="FFFFFF"/>
              <w:right w:val="single" w:sz="18" w:space="0" w:color="FFFFFF"/>
            </w:tcBorders>
            <w:shd w:val="clear" w:color="auto" w:fill="17365A"/>
          </w:tcPr>
          <w:p w14:paraId="463BD6CE" w14:textId="77777777" w:rsidR="00BC24A8" w:rsidRDefault="00000000">
            <w:pPr>
              <w:pStyle w:val="TableParagraph"/>
              <w:spacing w:before="133" w:line="259" w:lineRule="auto"/>
              <w:ind w:left="607" w:right="381" w:hanging="236"/>
              <w:rPr>
                <w:rFonts w:ascii="Calibri"/>
                <w:b/>
                <w:sz w:val="20"/>
              </w:rPr>
            </w:pPr>
            <w:r>
              <w:rPr>
                <w:rFonts w:ascii="Calibri"/>
                <w:b/>
                <w:color w:val="FFFFFF"/>
                <w:sz w:val="20"/>
              </w:rPr>
              <w:t>Report</w:t>
            </w:r>
            <w:r>
              <w:rPr>
                <w:rFonts w:ascii="Calibri"/>
                <w:b/>
                <w:color w:val="FFFFFF"/>
                <w:spacing w:val="-12"/>
                <w:sz w:val="20"/>
              </w:rPr>
              <w:t xml:space="preserve"> </w:t>
            </w:r>
            <w:r>
              <w:rPr>
                <w:rFonts w:ascii="Calibri"/>
                <w:b/>
                <w:color w:val="FFFFFF"/>
                <w:sz w:val="20"/>
              </w:rPr>
              <w:t>completion</w:t>
            </w:r>
            <w:r>
              <w:rPr>
                <w:rFonts w:ascii="Calibri"/>
                <w:b/>
                <w:color w:val="FFFFFF"/>
                <w:spacing w:val="-11"/>
                <w:sz w:val="20"/>
              </w:rPr>
              <w:t xml:space="preserve"> </w:t>
            </w:r>
            <w:r>
              <w:rPr>
                <w:rFonts w:ascii="Calibri"/>
                <w:b/>
                <w:color w:val="FFFFFF"/>
                <w:sz w:val="20"/>
              </w:rPr>
              <w:t>in e-MSS 2024 (%)</w:t>
            </w:r>
          </w:p>
        </w:tc>
        <w:tc>
          <w:tcPr>
            <w:tcW w:w="1661" w:type="dxa"/>
            <w:tcBorders>
              <w:top w:val="single" w:sz="4" w:space="0" w:color="7E7E7E"/>
              <w:left w:val="single" w:sz="18" w:space="0" w:color="FFFFFF"/>
              <w:right w:val="single" w:sz="18" w:space="0" w:color="FFFFFF"/>
            </w:tcBorders>
            <w:shd w:val="clear" w:color="auto" w:fill="17365A"/>
          </w:tcPr>
          <w:p w14:paraId="00AC709C" w14:textId="77777777" w:rsidR="00BC24A8" w:rsidRDefault="00000000">
            <w:pPr>
              <w:pStyle w:val="TableParagraph"/>
              <w:spacing w:before="1"/>
              <w:ind w:right="1"/>
              <w:jc w:val="center"/>
              <w:rPr>
                <w:rFonts w:ascii="Calibri"/>
                <w:b/>
                <w:sz w:val="20"/>
              </w:rPr>
            </w:pPr>
            <w:r>
              <w:rPr>
                <w:rFonts w:ascii="Calibri"/>
                <w:b/>
                <w:color w:val="FFFFFF"/>
                <w:spacing w:val="-5"/>
                <w:sz w:val="20"/>
              </w:rPr>
              <w:t>MSS</w:t>
            </w:r>
          </w:p>
          <w:p w14:paraId="7268C6FE" w14:textId="77777777" w:rsidR="00BC24A8" w:rsidRDefault="00000000">
            <w:pPr>
              <w:pStyle w:val="TableParagraph"/>
              <w:spacing w:before="4" w:line="260" w:lineRule="atLeast"/>
              <w:ind w:left="196" w:right="196" w:firstLine="2"/>
              <w:jc w:val="center"/>
              <w:rPr>
                <w:rFonts w:ascii="Calibri"/>
                <w:b/>
                <w:sz w:val="20"/>
              </w:rPr>
            </w:pPr>
            <w:r>
              <w:rPr>
                <w:rFonts w:ascii="Calibri"/>
                <w:b/>
                <w:color w:val="FFFFFF"/>
                <w:spacing w:val="-2"/>
                <w:sz w:val="20"/>
              </w:rPr>
              <w:t xml:space="preserve">achievement </w:t>
            </w:r>
            <w:r>
              <w:rPr>
                <w:rFonts w:ascii="Calibri"/>
                <w:b/>
                <w:color w:val="FFFFFF"/>
                <w:sz w:val="20"/>
              </w:rPr>
              <w:t>index</w:t>
            </w:r>
            <w:r>
              <w:rPr>
                <w:rFonts w:ascii="Calibri"/>
                <w:b/>
                <w:color w:val="FFFFFF"/>
                <w:spacing w:val="-12"/>
                <w:sz w:val="20"/>
              </w:rPr>
              <w:t xml:space="preserve"> </w:t>
            </w:r>
            <w:r>
              <w:rPr>
                <w:rFonts w:ascii="Calibri"/>
                <w:b/>
                <w:color w:val="FFFFFF"/>
                <w:sz w:val="20"/>
              </w:rPr>
              <w:t>2024</w:t>
            </w:r>
            <w:r>
              <w:rPr>
                <w:rFonts w:ascii="Calibri"/>
                <w:b/>
                <w:color w:val="FFFFFF"/>
                <w:spacing w:val="-11"/>
                <w:sz w:val="20"/>
              </w:rPr>
              <w:t xml:space="preserve"> </w:t>
            </w:r>
            <w:r>
              <w:rPr>
                <w:rFonts w:ascii="Calibri"/>
                <w:b/>
                <w:color w:val="FFFFFF"/>
                <w:sz w:val="20"/>
              </w:rPr>
              <w:t>(%)</w:t>
            </w:r>
          </w:p>
        </w:tc>
        <w:tc>
          <w:tcPr>
            <w:tcW w:w="1980" w:type="dxa"/>
            <w:tcBorders>
              <w:top w:val="single" w:sz="4" w:space="0" w:color="7E7E7E"/>
              <w:left w:val="single" w:sz="18" w:space="0" w:color="FFFFFF"/>
            </w:tcBorders>
            <w:shd w:val="clear" w:color="auto" w:fill="17365A"/>
          </w:tcPr>
          <w:p w14:paraId="38A6F290" w14:textId="77777777" w:rsidR="00BC24A8" w:rsidRDefault="00BC24A8">
            <w:pPr>
              <w:pStyle w:val="TableParagraph"/>
              <w:spacing w:before="21"/>
              <w:rPr>
                <w:rFonts w:ascii="Calibri"/>
                <w:b/>
                <w:sz w:val="20"/>
              </w:rPr>
            </w:pPr>
          </w:p>
          <w:p w14:paraId="77B46017" w14:textId="77777777" w:rsidR="00BC24A8" w:rsidRDefault="00000000">
            <w:pPr>
              <w:pStyle w:val="TableParagraph"/>
              <w:ind w:right="23"/>
              <w:jc w:val="center"/>
              <w:rPr>
                <w:rFonts w:ascii="Calibri"/>
                <w:b/>
                <w:sz w:val="20"/>
              </w:rPr>
            </w:pPr>
            <w:r>
              <w:rPr>
                <w:rFonts w:ascii="Calibri"/>
                <w:b/>
                <w:color w:val="FFFFFF"/>
                <w:sz w:val="20"/>
              </w:rPr>
              <w:t>2024</w:t>
            </w:r>
            <w:r>
              <w:rPr>
                <w:rFonts w:ascii="Calibri"/>
                <w:b/>
                <w:color w:val="FFFFFF"/>
                <w:spacing w:val="-6"/>
                <w:sz w:val="20"/>
              </w:rPr>
              <w:t xml:space="preserve"> </w:t>
            </w:r>
            <w:r>
              <w:rPr>
                <w:rFonts w:ascii="Calibri"/>
                <w:b/>
                <w:color w:val="FFFFFF"/>
                <w:sz w:val="20"/>
              </w:rPr>
              <w:t>MSS</w:t>
            </w:r>
            <w:r>
              <w:rPr>
                <w:rFonts w:ascii="Calibri"/>
                <w:b/>
                <w:color w:val="FFFFFF"/>
                <w:spacing w:val="-6"/>
                <w:sz w:val="20"/>
              </w:rPr>
              <w:t xml:space="preserve"> </w:t>
            </w:r>
            <w:r>
              <w:rPr>
                <w:rFonts w:ascii="Calibri"/>
                <w:b/>
                <w:color w:val="FFFFFF"/>
                <w:spacing w:val="-2"/>
                <w:sz w:val="20"/>
              </w:rPr>
              <w:t>budget</w:t>
            </w:r>
          </w:p>
        </w:tc>
      </w:tr>
      <w:tr w:rsidR="00BC24A8" w14:paraId="3AECC44C" w14:textId="77777777">
        <w:trPr>
          <w:trHeight w:val="280"/>
        </w:trPr>
        <w:tc>
          <w:tcPr>
            <w:tcW w:w="2797" w:type="dxa"/>
            <w:tcBorders>
              <w:bottom w:val="single" w:sz="4" w:space="0" w:color="BEBEBE"/>
            </w:tcBorders>
          </w:tcPr>
          <w:p w14:paraId="28C366E8" w14:textId="77777777" w:rsidR="00BC24A8" w:rsidRDefault="00000000">
            <w:pPr>
              <w:pStyle w:val="TableParagraph"/>
              <w:spacing w:before="44" w:line="216" w:lineRule="exact"/>
              <w:ind w:left="115"/>
              <w:rPr>
                <w:sz w:val="18"/>
              </w:rPr>
            </w:pPr>
            <w:r>
              <w:rPr>
                <w:spacing w:val="-2"/>
                <w:sz w:val="18"/>
              </w:rPr>
              <w:t>Education</w:t>
            </w:r>
          </w:p>
        </w:tc>
        <w:tc>
          <w:tcPr>
            <w:tcW w:w="2569" w:type="dxa"/>
            <w:tcBorders>
              <w:bottom w:val="single" w:sz="4" w:space="0" w:color="BEBEBE"/>
            </w:tcBorders>
          </w:tcPr>
          <w:p w14:paraId="6B4FA1DA" w14:textId="77777777" w:rsidR="00BC24A8" w:rsidRDefault="00000000">
            <w:pPr>
              <w:pStyle w:val="TableParagraph"/>
              <w:spacing w:before="44" w:line="216" w:lineRule="exact"/>
              <w:jc w:val="center"/>
              <w:rPr>
                <w:sz w:val="18"/>
              </w:rPr>
            </w:pPr>
            <w:r>
              <w:rPr>
                <w:spacing w:val="-5"/>
                <w:sz w:val="18"/>
              </w:rPr>
              <w:t>100</w:t>
            </w:r>
          </w:p>
        </w:tc>
        <w:tc>
          <w:tcPr>
            <w:tcW w:w="1661" w:type="dxa"/>
            <w:tcBorders>
              <w:bottom w:val="single" w:sz="4" w:space="0" w:color="BEBEBE"/>
            </w:tcBorders>
          </w:tcPr>
          <w:p w14:paraId="690124A6" w14:textId="77777777" w:rsidR="00BC24A8" w:rsidRDefault="00000000">
            <w:pPr>
              <w:pStyle w:val="TableParagraph"/>
              <w:spacing w:before="44" w:line="216" w:lineRule="exact"/>
              <w:jc w:val="center"/>
              <w:rPr>
                <w:sz w:val="18"/>
              </w:rPr>
            </w:pPr>
            <w:r>
              <w:rPr>
                <w:spacing w:val="-2"/>
                <w:sz w:val="18"/>
              </w:rPr>
              <w:t>73.58</w:t>
            </w:r>
          </w:p>
        </w:tc>
        <w:tc>
          <w:tcPr>
            <w:tcW w:w="1980" w:type="dxa"/>
            <w:tcBorders>
              <w:bottom w:val="single" w:sz="4" w:space="0" w:color="BEBEBE"/>
            </w:tcBorders>
          </w:tcPr>
          <w:p w14:paraId="6BE7E944" w14:textId="77777777" w:rsidR="00BC24A8" w:rsidRDefault="00000000">
            <w:pPr>
              <w:pStyle w:val="TableParagraph"/>
              <w:tabs>
                <w:tab w:val="left" w:pos="536"/>
              </w:tabs>
              <w:spacing w:before="44" w:line="216" w:lineRule="exact"/>
              <w:ind w:left="23"/>
              <w:jc w:val="center"/>
              <w:rPr>
                <w:sz w:val="18"/>
              </w:rPr>
            </w:pPr>
            <w:r>
              <w:rPr>
                <w:spacing w:val="-5"/>
                <w:sz w:val="18"/>
              </w:rPr>
              <w:t>IDR</w:t>
            </w:r>
            <w:r>
              <w:rPr>
                <w:sz w:val="18"/>
              </w:rPr>
              <w:tab/>
            </w:r>
            <w:r>
              <w:rPr>
                <w:spacing w:val="-2"/>
                <w:sz w:val="18"/>
              </w:rPr>
              <w:t>624,862,584,000</w:t>
            </w:r>
          </w:p>
        </w:tc>
      </w:tr>
      <w:tr w:rsidR="00BC24A8" w14:paraId="2D84F1C6" w14:textId="77777777">
        <w:trPr>
          <w:trHeight w:val="237"/>
        </w:trPr>
        <w:tc>
          <w:tcPr>
            <w:tcW w:w="2797" w:type="dxa"/>
            <w:tcBorders>
              <w:top w:val="single" w:sz="4" w:space="0" w:color="BEBEBE"/>
              <w:bottom w:val="single" w:sz="4" w:space="0" w:color="BEBEBE"/>
            </w:tcBorders>
          </w:tcPr>
          <w:p w14:paraId="28337559" w14:textId="77777777" w:rsidR="00BC24A8" w:rsidRDefault="00000000">
            <w:pPr>
              <w:pStyle w:val="TableParagraph"/>
              <w:spacing w:before="1" w:line="216" w:lineRule="exact"/>
              <w:ind w:left="115"/>
              <w:rPr>
                <w:sz w:val="18"/>
              </w:rPr>
            </w:pPr>
            <w:r>
              <w:rPr>
                <w:spacing w:val="-2"/>
                <w:sz w:val="18"/>
              </w:rPr>
              <w:t>Health</w:t>
            </w:r>
          </w:p>
        </w:tc>
        <w:tc>
          <w:tcPr>
            <w:tcW w:w="2569" w:type="dxa"/>
            <w:tcBorders>
              <w:top w:val="single" w:sz="4" w:space="0" w:color="BEBEBE"/>
              <w:bottom w:val="single" w:sz="4" w:space="0" w:color="BEBEBE"/>
            </w:tcBorders>
          </w:tcPr>
          <w:p w14:paraId="592993B9" w14:textId="77777777" w:rsidR="00BC24A8" w:rsidRDefault="00000000">
            <w:pPr>
              <w:pStyle w:val="TableParagraph"/>
              <w:spacing w:before="1" w:line="216" w:lineRule="exact"/>
              <w:jc w:val="center"/>
              <w:rPr>
                <w:sz w:val="18"/>
              </w:rPr>
            </w:pPr>
            <w:r>
              <w:rPr>
                <w:spacing w:val="-2"/>
                <w:sz w:val="18"/>
              </w:rPr>
              <w:t>96.88</w:t>
            </w:r>
          </w:p>
        </w:tc>
        <w:tc>
          <w:tcPr>
            <w:tcW w:w="1661" w:type="dxa"/>
            <w:tcBorders>
              <w:top w:val="single" w:sz="4" w:space="0" w:color="BEBEBE"/>
              <w:bottom w:val="single" w:sz="4" w:space="0" w:color="BEBEBE"/>
            </w:tcBorders>
          </w:tcPr>
          <w:p w14:paraId="2B15097C" w14:textId="77777777" w:rsidR="00BC24A8" w:rsidRDefault="00000000">
            <w:pPr>
              <w:pStyle w:val="TableParagraph"/>
              <w:spacing w:before="1" w:line="216" w:lineRule="exact"/>
              <w:jc w:val="center"/>
              <w:rPr>
                <w:sz w:val="18"/>
              </w:rPr>
            </w:pPr>
            <w:r>
              <w:rPr>
                <w:spacing w:val="-5"/>
                <w:sz w:val="18"/>
              </w:rPr>
              <w:t>100</w:t>
            </w:r>
          </w:p>
        </w:tc>
        <w:tc>
          <w:tcPr>
            <w:tcW w:w="1980" w:type="dxa"/>
            <w:tcBorders>
              <w:top w:val="single" w:sz="4" w:space="0" w:color="BEBEBE"/>
              <w:bottom w:val="single" w:sz="4" w:space="0" w:color="BEBEBE"/>
            </w:tcBorders>
          </w:tcPr>
          <w:p w14:paraId="61199563" w14:textId="77777777" w:rsidR="00BC24A8" w:rsidRDefault="00000000">
            <w:pPr>
              <w:pStyle w:val="TableParagraph"/>
              <w:tabs>
                <w:tab w:val="left" w:pos="857"/>
              </w:tabs>
              <w:spacing w:before="1" w:line="216" w:lineRule="exact"/>
              <w:ind w:left="17"/>
              <w:jc w:val="center"/>
              <w:rPr>
                <w:sz w:val="18"/>
              </w:rPr>
            </w:pPr>
            <w:r>
              <w:rPr>
                <w:spacing w:val="-5"/>
                <w:sz w:val="18"/>
              </w:rPr>
              <w:t>IDR</w:t>
            </w:r>
            <w:r>
              <w:rPr>
                <w:sz w:val="18"/>
              </w:rPr>
              <w:tab/>
            </w:r>
            <w:r>
              <w:rPr>
                <w:spacing w:val="-2"/>
                <w:sz w:val="18"/>
              </w:rPr>
              <w:t>677,064,000</w:t>
            </w:r>
          </w:p>
        </w:tc>
      </w:tr>
      <w:tr w:rsidR="00BC24A8" w14:paraId="346F8A8D" w14:textId="77777777">
        <w:trPr>
          <w:trHeight w:val="237"/>
        </w:trPr>
        <w:tc>
          <w:tcPr>
            <w:tcW w:w="2797" w:type="dxa"/>
            <w:tcBorders>
              <w:top w:val="single" w:sz="4" w:space="0" w:color="BEBEBE"/>
              <w:bottom w:val="single" w:sz="4" w:space="0" w:color="BEBEBE"/>
            </w:tcBorders>
          </w:tcPr>
          <w:p w14:paraId="603C079A" w14:textId="77777777" w:rsidR="00BC24A8" w:rsidRDefault="00000000">
            <w:pPr>
              <w:pStyle w:val="TableParagraph"/>
              <w:spacing w:before="1" w:line="216" w:lineRule="exact"/>
              <w:ind w:left="115"/>
              <w:rPr>
                <w:sz w:val="18"/>
              </w:rPr>
            </w:pPr>
            <w:r>
              <w:rPr>
                <w:sz w:val="18"/>
              </w:rPr>
              <w:t xml:space="preserve">Social </w:t>
            </w:r>
            <w:r>
              <w:rPr>
                <w:spacing w:val="-2"/>
                <w:sz w:val="18"/>
              </w:rPr>
              <w:t>Affairs</w:t>
            </w:r>
          </w:p>
        </w:tc>
        <w:tc>
          <w:tcPr>
            <w:tcW w:w="2569" w:type="dxa"/>
            <w:tcBorders>
              <w:top w:val="single" w:sz="4" w:space="0" w:color="BEBEBE"/>
              <w:bottom w:val="single" w:sz="4" w:space="0" w:color="BEBEBE"/>
            </w:tcBorders>
          </w:tcPr>
          <w:p w14:paraId="79FC9481" w14:textId="77777777" w:rsidR="00BC24A8" w:rsidRDefault="00000000">
            <w:pPr>
              <w:pStyle w:val="TableParagraph"/>
              <w:spacing w:before="1" w:line="216" w:lineRule="exact"/>
              <w:jc w:val="center"/>
              <w:rPr>
                <w:sz w:val="18"/>
              </w:rPr>
            </w:pPr>
            <w:r>
              <w:rPr>
                <w:spacing w:val="-2"/>
                <w:sz w:val="18"/>
              </w:rPr>
              <w:t>98.18</w:t>
            </w:r>
          </w:p>
        </w:tc>
        <w:tc>
          <w:tcPr>
            <w:tcW w:w="1661" w:type="dxa"/>
            <w:tcBorders>
              <w:top w:val="single" w:sz="4" w:space="0" w:color="BEBEBE"/>
              <w:bottom w:val="single" w:sz="4" w:space="0" w:color="BEBEBE"/>
            </w:tcBorders>
          </w:tcPr>
          <w:p w14:paraId="69DA18D7" w14:textId="77777777" w:rsidR="00BC24A8" w:rsidRDefault="00000000">
            <w:pPr>
              <w:pStyle w:val="TableParagraph"/>
              <w:spacing w:before="1" w:line="216" w:lineRule="exact"/>
              <w:jc w:val="center"/>
              <w:rPr>
                <w:sz w:val="18"/>
              </w:rPr>
            </w:pPr>
            <w:r>
              <w:rPr>
                <w:spacing w:val="-2"/>
                <w:sz w:val="18"/>
              </w:rPr>
              <w:t>99.60</w:t>
            </w:r>
          </w:p>
        </w:tc>
        <w:tc>
          <w:tcPr>
            <w:tcW w:w="1980" w:type="dxa"/>
            <w:tcBorders>
              <w:top w:val="single" w:sz="4" w:space="0" w:color="BEBEBE"/>
              <w:bottom w:val="single" w:sz="4" w:space="0" w:color="BEBEBE"/>
            </w:tcBorders>
          </w:tcPr>
          <w:p w14:paraId="6EF7D33C" w14:textId="77777777" w:rsidR="00BC24A8" w:rsidRDefault="00000000">
            <w:pPr>
              <w:pStyle w:val="TableParagraph"/>
              <w:tabs>
                <w:tab w:val="left" w:pos="627"/>
              </w:tabs>
              <w:spacing w:before="1" w:line="216" w:lineRule="exact"/>
              <w:ind w:left="32"/>
              <w:jc w:val="center"/>
              <w:rPr>
                <w:sz w:val="18"/>
              </w:rPr>
            </w:pPr>
            <w:r>
              <w:rPr>
                <w:spacing w:val="-5"/>
                <w:sz w:val="18"/>
              </w:rPr>
              <w:t>IDR</w:t>
            </w:r>
            <w:r>
              <w:rPr>
                <w:sz w:val="18"/>
              </w:rPr>
              <w:tab/>
            </w:r>
            <w:r>
              <w:rPr>
                <w:spacing w:val="-2"/>
                <w:sz w:val="18"/>
              </w:rPr>
              <w:t>20,593,505,000</w:t>
            </w:r>
          </w:p>
        </w:tc>
      </w:tr>
      <w:tr w:rsidR="00BC24A8" w14:paraId="442602A4" w14:textId="77777777">
        <w:trPr>
          <w:trHeight w:val="237"/>
        </w:trPr>
        <w:tc>
          <w:tcPr>
            <w:tcW w:w="2797" w:type="dxa"/>
            <w:tcBorders>
              <w:top w:val="single" w:sz="4" w:space="0" w:color="BEBEBE"/>
              <w:bottom w:val="single" w:sz="4" w:space="0" w:color="BEBEBE"/>
            </w:tcBorders>
          </w:tcPr>
          <w:p w14:paraId="3623107A" w14:textId="77777777" w:rsidR="00BC24A8" w:rsidRDefault="00000000">
            <w:pPr>
              <w:pStyle w:val="TableParagraph"/>
              <w:spacing w:before="1" w:line="216" w:lineRule="exact"/>
              <w:ind w:left="115"/>
              <w:rPr>
                <w:sz w:val="18"/>
              </w:rPr>
            </w:pPr>
            <w:r>
              <w:rPr>
                <w:sz w:val="18"/>
              </w:rPr>
              <w:t>Public</w:t>
            </w:r>
            <w:r>
              <w:rPr>
                <w:spacing w:val="-1"/>
                <w:sz w:val="18"/>
              </w:rPr>
              <w:t xml:space="preserve"> </w:t>
            </w:r>
            <w:r>
              <w:rPr>
                <w:spacing w:val="-2"/>
                <w:sz w:val="18"/>
              </w:rPr>
              <w:t>Works</w:t>
            </w:r>
          </w:p>
        </w:tc>
        <w:tc>
          <w:tcPr>
            <w:tcW w:w="2569" w:type="dxa"/>
            <w:tcBorders>
              <w:top w:val="single" w:sz="4" w:space="0" w:color="BEBEBE"/>
              <w:bottom w:val="single" w:sz="4" w:space="0" w:color="BEBEBE"/>
            </w:tcBorders>
          </w:tcPr>
          <w:p w14:paraId="7A3BD635" w14:textId="77777777" w:rsidR="00BC24A8" w:rsidRDefault="00000000">
            <w:pPr>
              <w:pStyle w:val="TableParagraph"/>
              <w:spacing w:before="1" w:line="216" w:lineRule="exact"/>
              <w:jc w:val="center"/>
              <w:rPr>
                <w:sz w:val="18"/>
              </w:rPr>
            </w:pPr>
            <w:r>
              <w:rPr>
                <w:spacing w:val="-2"/>
                <w:sz w:val="18"/>
              </w:rPr>
              <w:t>88.89</w:t>
            </w:r>
          </w:p>
        </w:tc>
        <w:tc>
          <w:tcPr>
            <w:tcW w:w="1661" w:type="dxa"/>
            <w:tcBorders>
              <w:top w:val="single" w:sz="4" w:space="0" w:color="BEBEBE"/>
              <w:bottom w:val="single" w:sz="4" w:space="0" w:color="BEBEBE"/>
            </w:tcBorders>
          </w:tcPr>
          <w:p w14:paraId="6495B0CE" w14:textId="77777777" w:rsidR="00BC24A8" w:rsidRDefault="00000000">
            <w:pPr>
              <w:pStyle w:val="TableParagraph"/>
              <w:spacing w:before="1" w:line="216" w:lineRule="exact"/>
              <w:jc w:val="center"/>
              <w:rPr>
                <w:sz w:val="18"/>
              </w:rPr>
            </w:pPr>
            <w:r>
              <w:rPr>
                <w:spacing w:val="-2"/>
                <w:sz w:val="18"/>
              </w:rPr>
              <w:t>96.25</w:t>
            </w:r>
          </w:p>
        </w:tc>
        <w:tc>
          <w:tcPr>
            <w:tcW w:w="1980" w:type="dxa"/>
            <w:tcBorders>
              <w:top w:val="single" w:sz="4" w:space="0" w:color="BEBEBE"/>
              <w:bottom w:val="single" w:sz="4" w:space="0" w:color="BEBEBE"/>
            </w:tcBorders>
          </w:tcPr>
          <w:p w14:paraId="5DACAAEC" w14:textId="77777777" w:rsidR="00BC24A8" w:rsidRDefault="00000000">
            <w:pPr>
              <w:pStyle w:val="TableParagraph"/>
              <w:tabs>
                <w:tab w:val="left" w:pos="1673"/>
              </w:tabs>
              <w:spacing w:before="1" w:line="216" w:lineRule="exact"/>
              <w:ind w:left="29"/>
              <w:jc w:val="center"/>
              <w:rPr>
                <w:sz w:val="18"/>
              </w:rPr>
            </w:pPr>
            <w:r>
              <w:rPr>
                <w:spacing w:val="-5"/>
                <w:sz w:val="18"/>
              </w:rPr>
              <w:t>IDR</w:t>
            </w:r>
            <w:r>
              <w:rPr>
                <w:rFonts w:ascii="Times New Roman"/>
                <w:b/>
                <w:sz w:val="18"/>
              </w:rPr>
              <w:tab/>
            </w:r>
            <w:r>
              <w:rPr>
                <w:spacing w:val="-10"/>
                <w:sz w:val="18"/>
              </w:rPr>
              <w:t>0</w:t>
            </w:r>
          </w:p>
        </w:tc>
      </w:tr>
      <w:tr w:rsidR="00BC24A8" w14:paraId="06C4D1F7" w14:textId="77777777">
        <w:trPr>
          <w:trHeight w:val="237"/>
        </w:trPr>
        <w:tc>
          <w:tcPr>
            <w:tcW w:w="2797" w:type="dxa"/>
            <w:tcBorders>
              <w:top w:val="single" w:sz="4" w:space="0" w:color="BEBEBE"/>
              <w:bottom w:val="single" w:sz="4" w:space="0" w:color="BEBEBE"/>
            </w:tcBorders>
          </w:tcPr>
          <w:p w14:paraId="01401E6E" w14:textId="77777777" w:rsidR="00BC24A8" w:rsidRDefault="00000000">
            <w:pPr>
              <w:pStyle w:val="TableParagraph"/>
              <w:spacing w:before="1" w:line="216" w:lineRule="exact"/>
              <w:ind w:left="115"/>
              <w:rPr>
                <w:sz w:val="18"/>
              </w:rPr>
            </w:pPr>
            <w:r>
              <w:rPr>
                <w:sz w:val="18"/>
              </w:rPr>
              <w:t>Public</w:t>
            </w:r>
            <w:r>
              <w:rPr>
                <w:spacing w:val="-1"/>
                <w:sz w:val="18"/>
              </w:rPr>
              <w:t xml:space="preserve"> </w:t>
            </w:r>
            <w:r>
              <w:rPr>
                <w:spacing w:val="-2"/>
                <w:sz w:val="18"/>
              </w:rPr>
              <w:t>Housing</w:t>
            </w:r>
          </w:p>
        </w:tc>
        <w:tc>
          <w:tcPr>
            <w:tcW w:w="2569" w:type="dxa"/>
            <w:tcBorders>
              <w:top w:val="single" w:sz="4" w:space="0" w:color="BEBEBE"/>
              <w:bottom w:val="single" w:sz="4" w:space="0" w:color="BEBEBE"/>
            </w:tcBorders>
          </w:tcPr>
          <w:p w14:paraId="13DC1511" w14:textId="77777777" w:rsidR="00BC24A8" w:rsidRDefault="00000000">
            <w:pPr>
              <w:pStyle w:val="TableParagraph"/>
              <w:spacing w:before="1" w:line="216" w:lineRule="exact"/>
              <w:jc w:val="center"/>
              <w:rPr>
                <w:sz w:val="18"/>
              </w:rPr>
            </w:pPr>
            <w:r>
              <w:rPr>
                <w:spacing w:val="-5"/>
                <w:sz w:val="18"/>
              </w:rPr>
              <w:t>100</w:t>
            </w:r>
          </w:p>
        </w:tc>
        <w:tc>
          <w:tcPr>
            <w:tcW w:w="1661" w:type="dxa"/>
            <w:tcBorders>
              <w:top w:val="single" w:sz="4" w:space="0" w:color="BEBEBE"/>
              <w:bottom w:val="single" w:sz="4" w:space="0" w:color="BEBEBE"/>
            </w:tcBorders>
          </w:tcPr>
          <w:p w14:paraId="7D20DC01" w14:textId="77777777" w:rsidR="00BC24A8" w:rsidRDefault="00000000">
            <w:pPr>
              <w:pStyle w:val="TableParagraph"/>
              <w:spacing w:before="1" w:line="216" w:lineRule="exact"/>
              <w:jc w:val="center"/>
              <w:rPr>
                <w:sz w:val="18"/>
              </w:rPr>
            </w:pPr>
            <w:r>
              <w:rPr>
                <w:spacing w:val="-5"/>
                <w:sz w:val="18"/>
              </w:rPr>
              <w:t>100</w:t>
            </w:r>
          </w:p>
        </w:tc>
        <w:tc>
          <w:tcPr>
            <w:tcW w:w="1980" w:type="dxa"/>
            <w:tcBorders>
              <w:top w:val="single" w:sz="4" w:space="0" w:color="BEBEBE"/>
              <w:bottom w:val="single" w:sz="4" w:space="0" w:color="BEBEBE"/>
            </w:tcBorders>
          </w:tcPr>
          <w:p w14:paraId="70A50BDB" w14:textId="77777777" w:rsidR="00BC24A8" w:rsidRDefault="00000000">
            <w:pPr>
              <w:pStyle w:val="TableParagraph"/>
              <w:tabs>
                <w:tab w:val="left" w:pos="718"/>
              </w:tabs>
              <w:spacing w:before="1" w:line="216" w:lineRule="exact"/>
              <w:ind w:left="42"/>
              <w:jc w:val="center"/>
              <w:rPr>
                <w:sz w:val="18"/>
              </w:rPr>
            </w:pPr>
            <w:r>
              <w:rPr>
                <w:spacing w:val="-5"/>
                <w:sz w:val="18"/>
              </w:rPr>
              <w:t>IDR</w:t>
            </w:r>
            <w:r>
              <w:rPr>
                <w:sz w:val="18"/>
              </w:rPr>
              <w:tab/>
            </w:r>
            <w:r>
              <w:rPr>
                <w:spacing w:val="-2"/>
                <w:sz w:val="18"/>
              </w:rPr>
              <w:t>2,200,000,000</w:t>
            </w:r>
          </w:p>
        </w:tc>
      </w:tr>
      <w:tr w:rsidR="00BC24A8" w14:paraId="11AB20AB" w14:textId="77777777">
        <w:trPr>
          <w:trHeight w:val="474"/>
        </w:trPr>
        <w:tc>
          <w:tcPr>
            <w:tcW w:w="2797" w:type="dxa"/>
            <w:tcBorders>
              <w:top w:val="single" w:sz="4" w:space="0" w:color="BEBEBE"/>
              <w:bottom w:val="single" w:sz="4" w:space="0" w:color="BEBEBE"/>
            </w:tcBorders>
          </w:tcPr>
          <w:p w14:paraId="47B79884" w14:textId="77777777" w:rsidR="00BC24A8" w:rsidRDefault="00000000">
            <w:pPr>
              <w:pStyle w:val="TableParagraph"/>
              <w:spacing w:before="1"/>
              <w:ind w:left="115"/>
              <w:rPr>
                <w:sz w:val="18"/>
              </w:rPr>
            </w:pPr>
            <w:r>
              <w:rPr>
                <w:sz w:val="18"/>
              </w:rPr>
              <w:t>Public</w:t>
            </w:r>
            <w:r>
              <w:rPr>
                <w:spacing w:val="-1"/>
                <w:sz w:val="18"/>
              </w:rPr>
              <w:t xml:space="preserve"> </w:t>
            </w:r>
            <w:r>
              <w:rPr>
                <w:sz w:val="18"/>
              </w:rPr>
              <w:t>Order</w:t>
            </w:r>
            <w:r>
              <w:rPr>
                <w:spacing w:val="-1"/>
                <w:sz w:val="18"/>
              </w:rPr>
              <w:t xml:space="preserve"> </w:t>
            </w:r>
            <w:r>
              <w:rPr>
                <w:sz w:val="18"/>
              </w:rPr>
              <w:t xml:space="preserve">and </w:t>
            </w:r>
            <w:r>
              <w:rPr>
                <w:spacing w:val="-2"/>
                <w:sz w:val="18"/>
              </w:rPr>
              <w:t>Community</w:t>
            </w:r>
          </w:p>
          <w:p w14:paraId="6962EB19" w14:textId="77777777" w:rsidR="00BC24A8" w:rsidRDefault="00000000">
            <w:pPr>
              <w:pStyle w:val="TableParagraph"/>
              <w:spacing w:before="18" w:line="216" w:lineRule="exact"/>
              <w:ind w:left="115"/>
              <w:rPr>
                <w:sz w:val="18"/>
              </w:rPr>
            </w:pPr>
            <w:r>
              <w:rPr>
                <w:sz w:val="18"/>
              </w:rPr>
              <w:t>Protection</w:t>
            </w:r>
            <w:r>
              <w:rPr>
                <w:spacing w:val="-3"/>
                <w:sz w:val="18"/>
              </w:rPr>
              <w:t xml:space="preserve"> </w:t>
            </w:r>
            <w:r>
              <w:rPr>
                <w:spacing w:val="-2"/>
                <w:sz w:val="18"/>
              </w:rPr>
              <w:t>(Trantibumlinmas)</w:t>
            </w:r>
          </w:p>
        </w:tc>
        <w:tc>
          <w:tcPr>
            <w:tcW w:w="2569" w:type="dxa"/>
            <w:tcBorders>
              <w:top w:val="single" w:sz="4" w:space="0" w:color="BEBEBE"/>
              <w:bottom w:val="single" w:sz="4" w:space="0" w:color="BEBEBE"/>
            </w:tcBorders>
          </w:tcPr>
          <w:p w14:paraId="12E2148C" w14:textId="77777777" w:rsidR="00BC24A8" w:rsidRDefault="00000000">
            <w:pPr>
              <w:pStyle w:val="TableParagraph"/>
              <w:spacing w:before="1"/>
              <w:jc w:val="center"/>
              <w:rPr>
                <w:sz w:val="18"/>
              </w:rPr>
            </w:pPr>
            <w:r>
              <w:rPr>
                <w:spacing w:val="-2"/>
                <w:sz w:val="18"/>
              </w:rPr>
              <w:t>85.71</w:t>
            </w:r>
          </w:p>
        </w:tc>
        <w:tc>
          <w:tcPr>
            <w:tcW w:w="1661" w:type="dxa"/>
            <w:tcBorders>
              <w:top w:val="single" w:sz="4" w:space="0" w:color="BEBEBE"/>
              <w:bottom w:val="single" w:sz="4" w:space="0" w:color="BEBEBE"/>
            </w:tcBorders>
          </w:tcPr>
          <w:p w14:paraId="063AF902" w14:textId="77777777" w:rsidR="00BC24A8" w:rsidRDefault="00000000">
            <w:pPr>
              <w:pStyle w:val="TableParagraph"/>
              <w:spacing w:before="1"/>
              <w:jc w:val="center"/>
              <w:rPr>
                <w:sz w:val="18"/>
              </w:rPr>
            </w:pPr>
            <w:r>
              <w:rPr>
                <w:spacing w:val="-2"/>
                <w:sz w:val="18"/>
              </w:rPr>
              <w:t>99.11</w:t>
            </w:r>
          </w:p>
        </w:tc>
        <w:tc>
          <w:tcPr>
            <w:tcW w:w="1980" w:type="dxa"/>
            <w:tcBorders>
              <w:top w:val="single" w:sz="4" w:space="0" w:color="BEBEBE"/>
              <w:bottom w:val="single" w:sz="4" w:space="0" w:color="BEBEBE"/>
            </w:tcBorders>
          </w:tcPr>
          <w:p w14:paraId="1F6F7368" w14:textId="77777777" w:rsidR="00BC24A8" w:rsidRDefault="00000000">
            <w:pPr>
              <w:pStyle w:val="TableParagraph"/>
              <w:tabs>
                <w:tab w:val="left" w:pos="718"/>
              </w:tabs>
              <w:spacing w:before="1"/>
              <w:ind w:left="42"/>
              <w:jc w:val="center"/>
              <w:rPr>
                <w:sz w:val="18"/>
              </w:rPr>
            </w:pPr>
            <w:r>
              <w:rPr>
                <w:spacing w:val="-5"/>
                <w:sz w:val="18"/>
              </w:rPr>
              <w:t>IDR</w:t>
            </w:r>
            <w:r>
              <w:rPr>
                <w:sz w:val="18"/>
              </w:rPr>
              <w:tab/>
            </w:r>
            <w:r>
              <w:rPr>
                <w:spacing w:val="-2"/>
                <w:sz w:val="18"/>
              </w:rPr>
              <w:t>1,160,453,652</w:t>
            </w:r>
          </w:p>
        </w:tc>
      </w:tr>
    </w:tbl>
    <w:p w14:paraId="6D110953" w14:textId="77777777" w:rsidR="00BC24A8" w:rsidRDefault="00BC24A8">
      <w:pPr>
        <w:pStyle w:val="BodyText"/>
        <w:spacing w:before="103"/>
        <w:rPr>
          <w:rFonts w:ascii="Calibri"/>
          <w:b/>
        </w:rPr>
      </w:pPr>
    </w:p>
    <w:p w14:paraId="419FA0C0" w14:textId="77777777" w:rsidR="00BC24A8" w:rsidRDefault="00000000">
      <w:pPr>
        <w:ind w:left="143"/>
        <w:rPr>
          <w:rFonts w:ascii="Calibri"/>
          <w:b/>
        </w:rPr>
      </w:pPr>
      <w:r>
        <w:rPr>
          <w:rFonts w:ascii="Calibri"/>
          <w:b/>
          <w:color w:val="767070"/>
        </w:rPr>
        <w:t>Regional</w:t>
      </w:r>
      <w:r>
        <w:rPr>
          <w:rFonts w:ascii="Calibri"/>
          <w:b/>
          <w:color w:val="767070"/>
          <w:spacing w:val="-7"/>
        </w:rPr>
        <w:t xml:space="preserve"> </w:t>
      </w:r>
      <w:r>
        <w:rPr>
          <w:rFonts w:ascii="Calibri"/>
          <w:b/>
          <w:color w:val="767070"/>
        </w:rPr>
        <w:t>Revenue</w:t>
      </w:r>
      <w:r>
        <w:rPr>
          <w:rFonts w:ascii="Calibri"/>
          <w:b/>
          <w:color w:val="767070"/>
          <w:spacing w:val="-8"/>
        </w:rPr>
        <w:t xml:space="preserve"> </w:t>
      </w:r>
      <w:r>
        <w:rPr>
          <w:rFonts w:ascii="Calibri"/>
          <w:b/>
          <w:color w:val="767070"/>
        </w:rPr>
        <w:t>and</w:t>
      </w:r>
      <w:r>
        <w:rPr>
          <w:rFonts w:ascii="Calibri"/>
          <w:b/>
          <w:color w:val="767070"/>
          <w:spacing w:val="-8"/>
        </w:rPr>
        <w:t xml:space="preserve"> </w:t>
      </w:r>
      <w:r>
        <w:rPr>
          <w:rFonts w:ascii="Calibri"/>
          <w:b/>
          <w:color w:val="767070"/>
        </w:rPr>
        <w:t>Expenditure</w:t>
      </w:r>
      <w:r>
        <w:rPr>
          <w:rFonts w:ascii="Calibri"/>
          <w:b/>
          <w:color w:val="767070"/>
          <w:spacing w:val="-7"/>
        </w:rPr>
        <w:t xml:space="preserve"> </w:t>
      </w:r>
      <w:r>
        <w:rPr>
          <w:rFonts w:ascii="Calibri"/>
          <w:b/>
          <w:color w:val="767070"/>
        </w:rPr>
        <w:t>Budget</w:t>
      </w:r>
      <w:r>
        <w:rPr>
          <w:rFonts w:ascii="Calibri"/>
          <w:b/>
          <w:color w:val="767070"/>
          <w:spacing w:val="-9"/>
        </w:rPr>
        <w:t xml:space="preserve"> </w:t>
      </w:r>
      <w:r>
        <w:rPr>
          <w:rFonts w:ascii="Calibri"/>
          <w:b/>
          <w:color w:val="767070"/>
        </w:rPr>
        <w:t>(APBD)</w:t>
      </w:r>
      <w:r>
        <w:rPr>
          <w:rFonts w:ascii="Calibri"/>
          <w:b/>
          <w:color w:val="767070"/>
          <w:spacing w:val="-6"/>
        </w:rPr>
        <w:t xml:space="preserve"> </w:t>
      </w:r>
      <w:r>
        <w:rPr>
          <w:rFonts w:ascii="Calibri"/>
          <w:b/>
          <w:color w:val="767070"/>
          <w:spacing w:val="-4"/>
        </w:rPr>
        <w:t>Data</w:t>
      </w:r>
    </w:p>
    <w:p w14:paraId="23E6B94C" w14:textId="77777777" w:rsidR="00BC24A8" w:rsidRDefault="00BC24A8">
      <w:pPr>
        <w:pStyle w:val="BodyText"/>
        <w:spacing w:before="4"/>
        <w:rPr>
          <w:rFonts w:ascii="Calibri"/>
          <w:b/>
          <w:sz w:val="16"/>
        </w:rPr>
      </w:pPr>
    </w:p>
    <w:tbl>
      <w:tblPr>
        <w:tblW w:w="0" w:type="auto"/>
        <w:tblCellSpacing w:w="22" w:type="dxa"/>
        <w:tblInd w:w="173" w:type="dxa"/>
        <w:tblLayout w:type="fixed"/>
        <w:tblCellMar>
          <w:left w:w="0" w:type="dxa"/>
          <w:right w:w="0" w:type="dxa"/>
        </w:tblCellMar>
        <w:tblLook w:val="01E0" w:firstRow="1" w:lastRow="1" w:firstColumn="1" w:lastColumn="1" w:noHBand="0" w:noVBand="0"/>
      </w:tblPr>
      <w:tblGrid>
        <w:gridCol w:w="3013"/>
        <w:gridCol w:w="2456"/>
        <w:gridCol w:w="3616"/>
      </w:tblGrid>
      <w:tr w:rsidR="00BC24A8" w14:paraId="0065CEFC" w14:textId="77777777">
        <w:trPr>
          <w:trHeight w:val="263"/>
          <w:tblCellSpacing w:w="22" w:type="dxa"/>
        </w:trPr>
        <w:tc>
          <w:tcPr>
            <w:tcW w:w="2947" w:type="dxa"/>
            <w:tcBorders>
              <w:top w:val="single" w:sz="4" w:space="0" w:color="7E7E7E"/>
              <w:right w:val="nil"/>
            </w:tcBorders>
            <w:shd w:val="clear" w:color="auto" w:fill="17365A"/>
          </w:tcPr>
          <w:p w14:paraId="655F6064" w14:textId="77777777" w:rsidR="00BC24A8" w:rsidRDefault="00000000">
            <w:pPr>
              <w:pStyle w:val="TableParagraph"/>
              <w:spacing w:before="1" w:line="242" w:lineRule="exact"/>
              <w:ind w:left="107"/>
              <w:rPr>
                <w:rFonts w:ascii="Calibri"/>
                <w:b/>
                <w:sz w:val="20"/>
              </w:rPr>
            </w:pPr>
            <w:r>
              <w:rPr>
                <w:rFonts w:ascii="Calibri"/>
                <w:b/>
                <w:color w:val="FFFFFF"/>
                <w:spacing w:val="-2"/>
                <w:sz w:val="20"/>
              </w:rPr>
              <w:t>Source</w:t>
            </w:r>
          </w:p>
        </w:tc>
        <w:tc>
          <w:tcPr>
            <w:tcW w:w="2412" w:type="dxa"/>
            <w:tcBorders>
              <w:top w:val="single" w:sz="4" w:space="0" w:color="7E7E7E"/>
              <w:left w:val="nil"/>
              <w:right w:val="nil"/>
            </w:tcBorders>
            <w:shd w:val="clear" w:color="auto" w:fill="17365A"/>
          </w:tcPr>
          <w:p w14:paraId="1701B69F" w14:textId="77777777" w:rsidR="00BC24A8" w:rsidRDefault="00000000">
            <w:pPr>
              <w:pStyle w:val="TableParagraph"/>
              <w:spacing w:before="1" w:line="242" w:lineRule="exact"/>
              <w:ind w:left="515"/>
              <w:rPr>
                <w:rFonts w:ascii="Calibri"/>
                <w:b/>
                <w:sz w:val="20"/>
              </w:rPr>
            </w:pPr>
            <w:r>
              <w:rPr>
                <w:rFonts w:ascii="Calibri"/>
                <w:b/>
                <w:color w:val="FFFFFF"/>
                <w:sz w:val="20"/>
              </w:rPr>
              <w:t>APBD</w:t>
            </w:r>
            <w:r>
              <w:rPr>
                <w:rFonts w:ascii="Calibri"/>
                <w:b/>
                <w:color w:val="FFFFFF"/>
                <w:spacing w:val="-6"/>
                <w:sz w:val="20"/>
              </w:rPr>
              <w:t xml:space="preserve"> </w:t>
            </w:r>
            <w:r>
              <w:rPr>
                <w:rFonts w:ascii="Calibri"/>
                <w:b/>
                <w:color w:val="FFFFFF"/>
                <w:sz w:val="20"/>
              </w:rPr>
              <w:t>2024</w:t>
            </w:r>
            <w:r>
              <w:rPr>
                <w:rFonts w:ascii="Calibri"/>
                <w:b/>
                <w:color w:val="FFFFFF"/>
                <w:spacing w:val="-5"/>
                <w:sz w:val="20"/>
              </w:rPr>
              <w:t xml:space="preserve"> </w:t>
            </w:r>
            <w:r>
              <w:rPr>
                <w:rFonts w:ascii="Calibri"/>
                <w:b/>
                <w:color w:val="FFFFFF"/>
                <w:spacing w:val="-2"/>
                <w:sz w:val="20"/>
              </w:rPr>
              <w:t>(IDR)</w:t>
            </w:r>
          </w:p>
        </w:tc>
        <w:tc>
          <w:tcPr>
            <w:tcW w:w="3550" w:type="dxa"/>
            <w:tcBorders>
              <w:top w:val="single" w:sz="4" w:space="0" w:color="7E7E7E"/>
              <w:left w:val="nil"/>
            </w:tcBorders>
            <w:shd w:val="clear" w:color="auto" w:fill="17365A"/>
          </w:tcPr>
          <w:p w14:paraId="37C7A085" w14:textId="77777777" w:rsidR="00BC24A8" w:rsidRDefault="00000000">
            <w:pPr>
              <w:pStyle w:val="TableParagraph"/>
              <w:spacing w:before="1" w:line="242" w:lineRule="exact"/>
              <w:ind w:left="1072"/>
              <w:rPr>
                <w:rFonts w:ascii="Calibri"/>
                <w:b/>
                <w:sz w:val="20"/>
              </w:rPr>
            </w:pPr>
            <w:r>
              <w:rPr>
                <w:rFonts w:ascii="Calibri"/>
                <w:b/>
                <w:color w:val="FFFFFF"/>
                <w:sz w:val="20"/>
              </w:rPr>
              <w:t>APBD</w:t>
            </w:r>
            <w:r>
              <w:rPr>
                <w:rFonts w:ascii="Calibri"/>
                <w:b/>
                <w:color w:val="FFFFFF"/>
                <w:spacing w:val="-6"/>
                <w:sz w:val="20"/>
              </w:rPr>
              <w:t xml:space="preserve"> </w:t>
            </w:r>
            <w:r>
              <w:rPr>
                <w:rFonts w:ascii="Calibri"/>
                <w:b/>
                <w:color w:val="FFFFFF"/>
                <w:sz w:val="20"/>
              </w:rPr>
              <w:t>2025</w:t>
            </w:r>
            <w:r>
              <w:rPr>
                <w:rFonts w:ascii="Calibri"/>
                <w:b/>
                <w:color w:val="FFFFFF"/>
                <w:spacing w:val="-5"/>
                <w:sz w:val="20"/>
              </w:rPr>
              <w:t xml:space="preserve"> </w:t>
            </w:r>
            <w:r>
              <w:rPr>
                <w:rFonts w:ascii="Calibri"/>
                <w:b/>
                <w:color w:val="FFFFFF"/>
                <w:spacing w:val="-2"/>
                <w:sz w:val="20"/>
              </w:rPr>
              <w:t>(IDR)</w:t>
            </w:r>
          </w:p>
        </w:tc>
      </w:tr>
    </w:tbl>
    <w:p w14:paraId="5CC243A8" w14:textId="77777777" w:rsidR="00BC24A8" w:rsidRDefault="00BC24A8">
      <w:pPr>
        <w:pStyle w:val="BodyText"/>
        <w:spacing w:before="2" w:after="1"/>
        <w:rPr>
          <w:rFonts w:ascii="Calibri"/>
          <w:b/>
          <w:sz w:val="9"/>
        </w:rPr>
      </w:pPr>
    </w:p>
    <w:tbl>
      <w:tblPr>
        <w:tblW w:w="0" w:type="auto"/>
        <w:tblInd w:w="143" w:type="dxa"/>
        <w:tblLayout w:type="fixed"/>
        <w:tblCellMar>
          <w:left w:w="0" w:type="dxa"/>
          <w:right w:w="0" w:type="dxa"/>
        </w:tblCellMar>
        <w:tblLook w:val="01E0" w:firstRow="1" w:lastRow="1" w:firstColumn="1" w:lastColumn="1" w:noHBand="0" w:noVBand="0"/>
      </w:tblPr>
      <w:tblGrid>
        <w:gridCol w:w="2690"/>
        <w:gridCol w:w="6318"/>
      </w:tblGrid>
      <w:tr w:rsidR="00BC24A8" w14:paraId="1BFC2A8B" w14:textId="77777777">
        <w:trPr>
          <w:trHeight w:val="211"/>
        </w:trPr>
        <w:tc>
          <w:tcPr>
            <w:tcW w:w="2690" w:type="dxa"/>
            <w:tcBorders>
              <w:bottom w:val="single" w:sz="4" w:space="0" w:color="BEBEBE"/>
            </w:tcBorders>
          </w:tcPr>
          <w:p w14:paraId="23AA6105" w14:textId="77777777" w:rsidR="00BC24A8" w:rsidRDefault="00000000">
            <w:pPr>
              <w:pStyle w:val="TableParagraph"/>
              <w:spacing w:line="192" w:lineRule="exact"/>
              <w:ind w:left="115"/>
              <w:rPr>
                <w:sz w:val="18"/>
              </w:rPr>
            </w:pPr>
            <w:r>
              <w:rPr>
                <w:sz w:val="18"/>
              </w:rPr>
              <w:t>PAD</w:t>
            </w:r>
            <w:r>
              <w:rPr>
                <w:spacing w:val="-2"/>
                <w:sz w:val="18"/>
              </w:rPr>
              <w:t xml:space="preserve"> </w:t>
            </w:r>
            <w:r>
              <w:rPr>
                <w:sz w:val="18"/>
              </w:rPr>
              <w:t>(Regional</w:t>
            </w:r>
            <w:r>
              <w:rPr>
                <w:spacing w:val="-2"/>
                <w:sz w:val="18"/>
              </w:rPr>
              <w:t xml:space="preserve"> Revenue)</w:t>
            </w:r>
          </w:p>
        </w:tc>
        <w:tc>
          <w:tcPr>
            <w:tcW w:w="6318" w:type="dxa"/>
            <w:tcBorders>
              <w:bottom w:val="single" w:sz="4" w:space="0" w:color="BEBEBE"/>
            </w:tcBorders>
          </w:tcPr>
          <w:p w14:paraId="5A58CEA3" w14:textId="77777777" w:rsidR="00BC24A8" w:rsidRDefault="00000000">
            <w:pPr>
              <w:pStyle w:val="TableParagraph"/>
              <w:tabs>
                <w:tab w:val="left" w:pos="3014"/>
              </w:tabs>
              <w:spacing w:line="146" w:lineRule="auto"/>
              <w:ind w:right="273"/>
              <w:jc w:val="center"/>
              <w:rPr>
                <w:sz w:val="18"/>
              </w:rPr>
            </w:pPr>
            <w:r>
              <w:rPr>
                <w:spacing w:val="-2"/>
                <w:position w:val="-2"/>
                <w:sz w:val="18"/>
              </w:rPr>
              <w:t>3,015,173,166,694</w:t>
            </w:r>
            <w:r>
              <w:rPr>
                <w:position w:val="-2"/>
                <w:sz w:val="18"/>
              </w:rPr>
              <w:tab/>
            </w:r>
            <w:r>
              <w:rPr>
                <w:spacing w:val="-2"/>
                <w:sz w:val="18"/>
              </w:rPr>
              <w:t>2,859,122,172,935</w:t>
            </w:r>
          </w:p>
        </w:tc>
      </w:tr>
      <w:tr w:rsidR="00BC24A8" w14:paraId="44FF215F" w14:textId="77777777">
        <w:trPr>
          <w:trHeight w:val="280"/>
        </w:trPr>
        <w:tc>
          <w:tcPr>
            <w:tcW w:w="2690" w:type="dxa"/>
            <w:tcBorders>
              <w:top w:val="single" w:sz="4" w:space="0" w:color="BEBEBE"/>
              <w:bottom w:val="single" w:sz="4" w:space="0" w:color="BEBEBE"/>
            </w:tcBorders>
          </w:tcPr>
          <w:p w14:paraId="33F8DC7B" w14:textId="77777777" w:rsidR="00BC24A8" w:rsidRDefault="00000000">
            <w:pPr>
              <w:pStyle w:val="TableParagraph"/>
              <w:spacing w:before="61" w:line="199" w:lineRule="exact"/>
              <w:ind w:left="115"/>
              <w:rPr>
                <w:sz w:val="18"/>
              </w:rPr>
            </w:pPr>
            <w:r>
              <w:rPr>
                <w:sz w:val="18"/>
              </w:rPr>
              <w:t xml:space="preserve">TKD (Fiscal </w:t>
            </w:r>
            <w:r>
              <w:rPr>
                <w:spacing w:val="-2"/>
                <w:sz w:val="18"/>
              </w:rPr>
              <w:t>Transfer)</w:t>
            </w:r>
          </w:p>
        </w:tc>
        <w:tc>
          <w:tcPr>
            <w:tcW w:w="6318" w:type="dxa"/>
            <w:tcBorders>
              <w:top w:val="single" w:sz="4" w:space="0" w:color="BEBEBE"/>
              <w:bottom w:val="single" w:sz="4" w:space="0" w:color="BEBEBE"/>
            </w:tcBorders>
          </w:tcPr>
          <w:p w14:paraId="6D2F272F" w14:textId="77777777" w:rsidR="00BC24A8" w:rsidRDefault="00000000">
            <w:pPr>
              <w:pStyle w:val="TableParagraph"/>
              <w:tabs>
                <w:tab w:val="left" w:pos="3014"/>
              </w:tabs>
              <w:spacing w:before="1"/>
              <w:ind w:right="273"/>
              <w:jc w:val="center"/>
              <w:rPr>
                <w:sz w:val="18"/>
              </w:rPr>
            </w:pPr>
            <w:r>
              <w:rPr>
                <w:spacing w:val="-2"/>
                <w:position w:val="-2"/>
                <w:sz w:val="18"/>
              </w:rPr>
              <w:t>8,006,910,851,000</w:t>
            </w:r>
            <w:r>
              <w:rPr>
                <w:position w:val="-2"/>
                <w:sz w:val="18"/>
              </w:rPr>
              <w:tab/>
            </w:r>
            <w:r>
              <w:rPr>
                <w:spacing w:val="-2"/>
                <w:sz w:val="18"/>
              </w:rPr>
              <w:t>7,935,475,288,000</w:t>
            </w:r>
          </w:p>
        </w:tc>
      </w:tr>
      <w:tr w:rsidR="00BC24A8" w14:paraId="09EA5A6B" w14:textId="77777777">
        <w:trPr>
          <w:trHeight w:val="280"/>
        </w:trPr>
        <w:tc>
          <w:tcPr>
            <w:tcW w:w="2690" w:type="dxa"/>
            <w:tcBorders>
              <w:top w:val="single" w:sz="4" w:space="0" w:color="BEBEBE"/>
              <w:bottom w:val="single" w:sz="4" w:space="0" w:color="BEBEBE"/>
            </w:tcBorders>
          </w:tcPr>
          <w:p w14:paraId="0AB0178D" w14:textId="77777777" w:rsidR="00BC24A8" w:rsidRDefault="00000000">
            <w:pPr>
              <w:pStyle w:val="TableParagraph"/>
              <w:spacing w:before="61" w:line="199" w:lineRule="exact"/>
              <w:ind w:left="115"/>
              <w:rPr>
                <w:sz w:val="18"/>
              </w:rPr>
            </w:pPr>
            <w:r>
              <w:rPr>
                <w:sz w:val="18"/>
              </w:rPr>
              <w:t>Other</w:t>
            </w:r>
            <w:r>
              <w:rPr>
                <w:spacing w:val="-4"/>
                <w:sz w:val="18"/>
              </w:rPr>
              <w:t xml:space="preserve"> </w:t>
            </w:r>
            <w:r>
              <w:rPr>
                <w:spacing w:val="-2"/>
                <w:sz w:val="18"/>
              </w:rPr>
              <w:t>sources</w:t>
            </w:r>
          </w:p>
        </w:tc>
        <w:tc>
          <w:tcPr>
            <w:tcW w:w="6318" w:type="dxa"/>
            <w:tcBorders>
              <w:top w:val="single" w:sz="4" w:space="0" w:color="BEBEBE"/>
              <w:bottom w:val="single" w:sz="4" w:space="0" w:color="BEBEBE"/>
            </w:tcBorders>
          </w:tcPr>
          <w:p w14:paraId="20842E21" w14:textId="77777777" w:rsidR="00BC24A8" w:rsidRDefault="00000000">
            <w:pPr>
              <w:pStyle w:val="TableParagraph"/>
              <w:tabs>
                <w:tab w:val="left" w:pos="3014"/>
              </w:tabs>
              <w:spacing w:before="1"/>
              <w:ind w:right="275"/>
              <w:jc w:val="center"/>
              <w:rPr>
                <w:sz w:val="18"/>
              </w:rPr>
            </w:pPr>
            <w:r>
              <w:rPr>
                <w:spacing w:val="-2"/>
                <w:position w:val="-2"/>
                <w:sz w:val="18"/>
              </w:rPr>
              <w:t>1,968,000,000</w:t>
            </w:r>
            <w:r>
              <w:rPr>
                <w:position w:val="-2"/>
                <w:sz w:val="18"/>
              </w:rPr>
              <w:tab/>
            </w:r>
            <w:r>
              <w:rPr>
                <w:spacing w:val="-2"/>
                <w:sz w:val="18"/>
              </w:rPr>
              <w:t>1,968,000,000</w:t>
            </w:r>
          </w:p>
        </w:tc>
      </w:tr>
    </w:tbl>
    <w:p w14:paraId="7E9B77B6" w14:textId="77777777" w:rsidR="00BC24A8" w:rsidRDefault="00000000">
      <w:pPr>
        <w:spacing w:before="120"/>
        <w:ind w:left="143"/>
        <w:rPr>
          <w:sz w:val="16"/>
        </w:rPr>
      </w:pPr>
      <w:r>
        <w:rPr>
          <w:sz w:val="16"/>
        </w:rPr>
        <w:t>Data</w:t>
      </w:r>
      <w:r>
        <w:rPr>
          <w:spacing w:val="-6"/>
          <w:sz w:val="16"/>
        </w:rPr>
        <w:t xml:space="preserve"> </w:t>
      </w:r>
      <w:r>
        <w:rPr>
          <w:sz w:val="16"/>
        </w:rPr>
        <w:t>source:</w:t>
      </w:r>
      <w:r>
        <w:rPr>
          <w:spacing w:val="-4"/>
          <w:sz w:val="16"/>
        </w:rPr>
        <w:t xml:space="preserve"> </w:t>
      </w:r>
      <w:r>
        <w:rPr>
          <w:sz w:val="16"/>
        </w:rPr>
        <w:t>LRA</w:t>
      </w:r>
      <w:r>
        <w:rPr>
          <w:spacing w:val="-6"/>
          <w:sz w:val="16"/>
        </w:rPr>
        <w:t xml:space="preserve"> </w:t>
      </w:r>
      <w:r>
        <w:rPr>
          <w:sz w:val="16"/>
        </w:rPr>
        <w:t>audited</w:t>
      </w:r>
      <w:r>
        <w:rPr>
          <w:spacing w:val="-3"/>
          <w:sz w:val="16"/>
        </w:rPr>
        <w:t xml:space="preserve"> </w:t>
      </w:r>
      <w:r>
        <w:rPr>
          <w:sz w:val="16"/>
        </w:rPr>
        <w:t>2024,</w:t>
      </w:r>
      <w:r>
        <w:rPr>
          <w:spacing w:val="26"/>
          <w:sz w:val="16"/>
        </w:rPr>
        <w:t xml:space="preserve"> </w:t>
      </w:r>
      <w:r>
        <w:rPr>
          <w:sz w:val="16"/>
        </w:rPr>
        <w:t>APBD</w:t>
      </w:r>
      <w:r>
        <w:rPr>
          <w:spacing w:val="-5"/>
          <w:sz w:val="16"/>
        </w:rPr>
        <w:t xml:space="preserve"> </w:t>
      </w:r>
      <w:r>
        <w:rPr>
          <w:spacing w:val="-4"/>
          <w:sz w:val="16"/>
        </w:rPr>
        <w:t>2025</w:t>
      </w:r>
    </w:p>
    <w:p w14:paraId="2D4C6DD7" w14:textId="77777777" w:rsidR="00BC24A8" w:rsidRDefault="00000000">
      <w:pPr>
        <w:spacing w:before="191"/>
        <w:ind w:left="143"/>
        <w:rPr>
          <w:rFonts w:ascii="Calibri"/>
          <w:i/>
        </w:rPr>
      </w:pPr>
      <w:r>
        <w:rPr>
          <w:rFonts w:ascii="Calibri"/>
          <w:i/>
          <w:color w:val="272727"/>
        </w:rPr>
        <w:t>Dynamics</w:t>
      </w:r>
      <w:r>
        <w:rPr>
          <w:rFonts w:ascii="Calibri"/>
          <w:i/>
          <w:color w:val="272727"/>
          <w:spacing w:val="-6"/>
        </w:rPr>
        <w:t xml:space="preserve"> </w:t>
      </w:r>
      <w:r>
        <w:rPr>
          <w:rFonts w:ascii="Calibri"/>
          <w:i/>
          <w:color w:val="272727"/>
        </w:rPr>
        <w:t>shaping</w:t>
      </w:r>
      <w:r>
        <w:rPr>
          <w:rFonts w:ascii="Calibri"/>
          <w:i/>
          <w:color w:val="272727"/>
          <w:spacing w:val="-6"/>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6"/>
        </w:rPr>
        <w:t xml:space="preserve"> </w:t>
      </w:r>
      <w:r>
        <w:rPr>
          <w:rFonts w:ascii="Calibri"/>
          <w:i/>
          <w:color w:val="272727"/>
          <w:spacing w:val="-2"/>
        </w:rPr>
        <w:t>implementation</w:t>
      </w:r>
    </w:p>
    <w:p w14:paraId="681E9A29" w14:textId="77777777" w:rsidR="00BC24A8" w:rsidRDefault="00000000">
      <w:pPr>
        <w:pStyle w:val="BodyText"/>
        <w:spacing w:before="20" w:line="278" w:lineRule="auto"/>
        <w:ind w:left="143"/>
      </w:pPr>
      <w:r>
        <w:t>Aceh Province has significant political, administrative, and policy changes during FY 2024/2025, which affected</w:t>
      </w:r>
      <w:r>
        <w:rPr>
          <w:spacing w:val="18"/>
        </w:rPr>
        <w:t xml:space="preserve"> </w:t>
      </w:r>
      <w:r>
        <w:t>regional</w:t>
      </w:r>
      <w:r>
        <w:rPr>
          <w:spacing w:val="17"/>
        </w:rPr>
        <w:t xml:space="preserve"> </w:t>
      </w:r>
      <w:r>
        <w:t>policy</w:t>
      </w:r>
      <w:r>
        <w:rPr>
          <w:spacing w:val="16"/>
        </w:rPr>
        <w:t xml:space="preserve"> </w:t>
      </w:r>
      <w:r>
        <w:t>priorities.</w:t>
      </w:r>
      <w:r>
        <w:rPr>
          <w:spacing w:val="17"/>
        </w:rPr>
        <w:t xml:space="preserve"> </w:t>
      </w:r>
      <w:r>
        <w:t>SKALA</w:t>
      </w:r>
      <w:r>
        <w:rPr>
          <w:spacing w:val="17"/>
        </w:rPr>
        <w:t xml:space="preserve"> </w:t>
      </w:r>
      <w:r>
        <w:t>has</w:t>
      </w:r>
      <w:r>
        <w:rPr>
          <w:spacing w:val="16"/>
        </w:rPr>
        <w:t xml:space="preserve"> </w:t>
      </w:r>
      <w:r>
        <w:t>adapted</w:t>
      </w:r>
      <w:r>
        <w:rPr>
          <w:spacing w:val="18"/>
        </w:rPr>
        <w:t xml:space="preserve"> </w:t>
      </w:r>
      <w:r>
        <w:t>its</w:t>
      </w:r>
      <w:r>
        <w:rPr>
          <w:spacing w:val="19"/>
        </w:rPr>
        <w:t xml:space="preserve"> </w:t>
      </w:r>
      <w:r>
        <w:t>approach</w:t>
      </w:r>
      <w:r>
        <w:rPr>
          <w:spacing w:val="18"/>
        </w:rPr>
        <w:t xml:space="preserve"> </w:t>
      </w:r>
      <w:r>
        <w:t>to</w:t>
      </w:r>
      <w:r>
        <w:rPr>
          <w:spacing w:val="17"/>
        </w:rPr>
        <w:t xml:space="preserve"> </w:t>
      </w:r>
      <w:r>
        <w:t>ensure</w:t>
      </w:r>
      <w:r>
        <w:rPr>
          <w:spacing w:val="17"/>
        </w:rPr>
        <w:t xml:space="preserve"> </w:t>
      </w:r>
      <w:r>
        <w:t>planned</w:t>
      </w:r>
      <w:r>
        <w:rPr>
          <w:spacing w:val="18"/>
        </w:rPr>
        <w:t xml:space="preserve"> </w:t>
      </w:r>
      <w:r>
        <w:t>agendas</w:t>
      </w:r>
      <w:r>
        <w:rPr>
          <w:spacing w:val="19"/>
        </w:rPr>
        <w:t xml:space="preserve"> </w:t>
      </w:r>
      <w:r>
        <w:rPr>
          <w:spacing w:val="-4"/>
        </w:rPr>
        <w:t>were</w:t>
      </w:r>
    </w:p>
    <w:p w14:paraId="790CF48D" w14:textId="77777777" w:rsidR="00BC24A8" w:rsidRDefault="00BC24A8">
      <w:pPr>
        <w:pStyle w:val="BodyText"/>
        <w:spacing w:line="278" w:lineRule="auto"/>
        <w:sectPr w:rsidR="00BC24A8">
          <w:pgSz w:w="11910" w:h="16840"/>
          <w:pgMar w:top="1320" w:right="850" w:bottom="1100" w:left="1275" w:header="0" w:footer="907" w:gutter="0"/>
          <w:cols w:space="720"/>
        </w:sectPr>
      </w:pPr>
    </w:p>
    <w:p w14:paraId="010EC761" w14:textId="77777777" w:rsidR="00BC24A8" w:rsidRDefault="00000000">
      <w:pPr>
        <w:pStyle w:val="BodyText"/>
        <w:spacing w:before="39" w:line="276" w:lineRule="auto"/>
        <w:ind w:left="143" w:right="565"/>
        <w:jc w:val="both"/>
      </w:pPr>
      <w:r>
        <w:lastRenderedPageBreak/>
        <w:t>maintained.</w:t>
      </w:r>
      <w:r>
        <w:rPr>
          <w:spacing w:val="-13"/>
        </w:rPr>
        <w:t xml:space="preserve"> </w:t>
      </w:r>
      <w:r>
        <w:t>At</w:t>
      </w:r>
      <w:r>
        <w:rPr>
          <w:spacing w:val="-12"/>
        </w:rPr>
        <w:t xml:space="preserve"> </w:t>
      </w:r>
      <w:r>
        <w:t>the</w:t>
      </w:r>
      <w:r>
        <w:rPr>
          <w:spacing w:val="-13"/>
        </w:rPr>
        <w:t xml:space="preserve"> </w:t>
      </w:r>
      <w:r>
        <w:t>same</w:t>
      </w:r>
      <w:r>
        <w:rPr>
          <w:spacing w:val="-12"/>
        </w:rPr>
        <w:t xml:space="preserve"> </w:t>
      </w:r>
      <w:r>
        <w:t>time,</w:t>
      </w:r>
      <w:r>
        <w:rPr>
          <w:spacing w:val="-10"/>
        </w:rPr>
        <w:t xml:space="preserve"> </w:t>
      </w:r>
      <w:r>
        <w:t>the</w:t>
      </w:r>
      <w:r>
        <w:rPr>
          <w:spacing w:val="-13"/>
        </w:rPr>
        <w:t xml:space="preserve"> </w:t>
      </w:r>
      <w:r>
        <w:t>rotation</w:t>
      </w:r>
      <w:r>
        <w:rPr>
          <w:spacing w:val="-12"/>
        </w:rPr>
        <w:t xml:space="preserve"> </w:t>
      </w:r>
      <w:r>
        <w:t>of</w:t>
      </w:r>
      <w:r>
        <w:rPr>
          <w:spacing w:val="-13"/>
        </w:rPr>
        <w:t xml:space="preserve"> </w:t>
      </w:r>
      <w:r>
        <w:t>structural</w:t>
      </w:r>
      <w:r>
        <w:rPr>
          <w:spacing w:val="-11"/>
        </w:rPr>
        <w:t xml:space="preserve"> </w:t>
      </w:r>
      <w:r>
        <w:t>officials</w:t>
      </w:r>
      <w:r>
        <w:rPr>
          <w:spacing w:val="-11"/>
        </w:rPr>
        <w:t xml:space="preserve"> </w:t>
      </w:r>
      <w:r>
        <w:t>required</w:t>
      </w:r>
      <w:r>
        <w:rPr>
          <w:spacing w:val="-13"/>
        </w:rPr>
        <w:t xml:space="preserve"> </w:t>
      </w:r>
      <w:r>
        <w:t>SKALA</w:t>
      </w:r>
      <w:r>
        <w:rPr>
          <w:spacing w:val="-11"/>
        </w:rPr>
        <w:t xml:space="preserve"> </w:t>
      </w:r>
      <w:r>
        <w:t>to</w:t>
      </w:r>
      <w:r>
        <w:rPr>
          <w:spacing w:val="-12"/>
        </w:rPr>
        <w:t xml:space="preserve"> </w:t>
      </w:r>
      <w:r>
        <w:t>rebuild</w:t>
      </w:r>
      <w:r>
        <w:rPr>
          <w:spacing w:val="-11"/>
        </w:rPr>
        <w:t xml:space="preserve"> </w:t>
      </w:r>
      <w:r>
        <w:t>coordination, which took time and affected some program implementation.</w:t>
      </w:r>
    </w:p>
    <w:p w14:paraId="2F0374FC" w14:textId="77777777" w:rsidR="00BC24A8" w:rsidRDefault="00000000">
      <w:pPr>
        <w:pStyle w:val="BodyText"/>
        <w:spacing w:before="165" w:line="278" w:lineRule="auto"/>
        <w:ind w:left="143" w:right="564"/>
        <w:jc w:val="both"/>
      </w:pPr>
      <w:r>
        <w:rPr>
          <w:spacing w:val="-2"/>
        </w:rPr>
        <w:t>The</w:t>
      </w:r>
      <w:r>
        <w:rPr>
          <w:spacing w:val="-6"/>
        </w:rPr>
        <w:t xml:space="preserve"> </w:t>
      </w:r>
      <w:r>
        <w:rPr>
          <w:spacing w:val="-2"/>
        </w:rPr>
        <w:t>preparation</w:t>
      </w:r>
      <w:r>
        <w:rPr>
          <w:spacing w:val="-6"/>
        </w:rPr>
        <w:t xml:space="preserve"> </w:t>
      </w:r>
      <w:r>
        <w:rPr>
          <w:spacing w:val="-2"/>
        </w:rPr>
        <w:t>of</w:t>
      </w:r>
      <w:r>
        <w:rPr>
          <w:spacing w:val="-9"/>
        </w:rPr>
        <w:t xml:space="preserve"> </w:t>
      </w:r>
      <w:r>
        <w:rPr>
          <w:spacing w:val="-2"/>
        </w:rPr>
        <w:t>the</w:t>
      </w:r>
      <w:r>
        <w:rPr>
          <w:spacing w:val="-6"/>
        </w:rPr>
        <w:t xml:space="preserve"> </w:t>
      </w:r>
      <w:r>
        <w:rPr>
          <w:spacing w:val="-2"/>
        </w:rPr>
        <w:t>Aceh</w:t>
      </w:r>
      <w:r>
        <w:rPr>
          <w:spacing w:val="-6"/>
        </w:rPr>
        <w:t xml:space="preserve"> </w:t>
      </w:r>
      <w:r>
        <w:rPr>
          <w:spacing w:val="-2"/>
        </w:rPr>
        <w:t>Long-Term</w:t>
      </w:r>
      <w:r>
        <w:rPr>
          <w:spacing w:val="-6"/>
        </w:rPr>
        <w:t xml:space="preserve"> </w:t>
      </w:r>
      <w:r>
        <w:rPr>
          <w:spacing w:val="-2"/>
        </w:rPr>
        <w:t>Development</w:t>
      </w:r>
      <w:r>
        <w:rPr>
          <w:spacing w:val="-7"/>
        </w:rPr>
        <w:t xml:space="preserve"> </w:t>
      </w:r>
      <w:r>
        <w:rPr>
          <w:spacing w:val="-2"/>
        </w:rPr>
        <w:t>Plan</w:t>
      </w:r>
      <w:r>
        <w:rPr>
          <w:spacing w:val="-4"/>
        </w:rPr>
        <w:t xml:space="preserve"> </w:t>
      </w:r>
      <w:r>
        <w:rPr>
          <w:spacing w:val="-2"/>
        </w:rPr>
        <w:t>(RPJPD)</w:t>
      </w:r>
      <w:r>
        <w:rPr>
          <w:spacing w:val="-6"/>
        </w:rPr>
        <w:t xml:space="preserve"> </w:t>
      </w:r>
      <w:r>
        <w:rPr>
          <w:spacing w:val="-2"/>
        </w:rPr>
        <w:t>and</w:t>
      </w:r>
      <w:r>
        <w:rPr>
          <w:spacing w:val="-6"/>
        </w:rPr>
        <w:t xml:space="preserve"> </w:t>
      </w:r>
      <w:r>
        <w:rPr>
          <w:spacing w:val="-2"/>
        </w:rPr>
        <w:t>Medium-Term</w:t>
      </w:r>
      <w:r>
        <w:rPr>
          <w:spacing w:val="-6"/>
        </w:rPr>
        <w:t xml:space="preserve"> </w:t>
      </w:r>
      <w:r>
        <w:rPr>
          <w:spacing w:val="-2"/>
        </w:rPr>
        <w:t>Development</w:t>
      </w:r>
      <w:r>
        <w:rPr>
          <w:spacing w:val="-7"/>
        </w:rPr>
        <w:t xml:space="preserve"> </w:t>
      </w:r>
      <w:r>
        <w:rPr>
          <w:spacing w:val="-2"/>
        </w:rPr>
        <w:t xml:space="preserve">Plan </w:t>
      </w:r>
      <w:r>
        <w:t>(RPJMD) provided an important entry point for advocacy to improve planning and budgeting. SKALA’s support was more effective as it has been integrated into regional planning documents.</w:t>
      </w:r>
    </w:p>
    <w:p w14:paraId="32ABA97C" w14:textId="77777777" w:rsidR="00BC24A8" w:rsidRDefault="00000000">
      <w:pPr>
        <w:pStyle w:val="BodyText"/>
        <w:spacing w:before="157" w:line="278" w:lineRule="auto"/>
        <w:ind w:left="143" w:right="564"/>
        <w:jc w:val="both"/>
      </w:pPr>
      <w:r>
        <w:t>The</w:t>
      </w:r>
      <w:r>
        <w:rPr>
          <w:spacing w:val="-5"/>
        </w:rPr>
        <w:t xml:space="preserve"> </w:t>
      </w:r>
      <w:r>
        <w:t>Regional</w:t>
      </w:r>
      <w:r>
        <w:rPr>
          <w:spacing w:val="-4"/>
        </w:rPr>
        <w:t xml:space="preserve"> </w:t>
      </w:r>
      <w:r>
        <w:t>Government</w:t>
      </w:r>
      <w:r>
        <w:rPr>
          <w:spacing w:val="-6"/>
        </w:rPr>
        <w:t xml:space="preserve"> </w:t>
      </w:r>
      <w:r>
        <w:t>Work</w:t>
      </w:r>
      <w:r>
        <w:rPr>
          <w:spacing w:val="-5"/>
        </w:rPr>
        <w:t xml:space="preserve"> </w:t>
      </w:r>
      <w:r>
        <w:t>Plan</w:t>
      </w:r>
      <w:r>
        <w:rPr>
          <w:spacing w:val="-3"/>
        </w:rPr>
        <w:t xml:space="preserve"> </w:t>
      </w:r>
      <w:r>
        <w:t>(RKPA)</w:t>
      </w:r>
      <w:r>
        <w:rPr>
          <w:spacing w:val="-7"/>
        </w:rPr>
        <w:t xml:space="preserve"> </w:t>
      </w:r>
      <w:r>
        <w:t>2025</w:t>
      </w:r>
      <w:r>
        <w:rPr>
          <w:spacing w:val="-5"/>
        </w:rPr>
        <w:t xml:space="preserve"> </w:t>
      </w:r>
      <w:r>
        <w:t>has</w:t>
      </w:r>
      <w:r>
        <w:rPr>
          <w:spacing w:val="-5"/>
        </w:rPr>
        <w:t xml:space="preserve"> </w:t>
      </w:r>
      <w:r>
        <w:t>focused</w:t>
      </w:r>
      <w:r>
        <w:rPr>
          <w:spacing w:val="-3"/>
        </w:rPr>
        <w:t xml:space="preserve"> </w:t>
      </w:r>
      <w:r>
        <w:t>on</w:t>
      </w:r>
      <w:r>
        <w:rPr>
          <w:spacing w:val="-3"/>
        </w:rPr>
        <w:t xml:space="preserve"> </w:t>
      </w:r>
      <w:r>
        <w:t>reducing</w:t>
      </w:r>
      <w:r>
        <w:rPr>
          <w:spacing w:val="-4"/>
        </w:rPr>
        <w:t xml:space="preserve"> </w:t>
      </w:r>
      <w:r>
        <w:t>regional</w:t>
      </w:r>
      <w:r>
        <w:rPr>
          <w:spacing w:val="-4"/>
        </w:rPr>
        <w:t xml:space="preserve"> </w:t>
      </w:r>
      <w:r>
        <w:t>disparities</w:t>
      </w:r>
      <w:r>
        <w:rPr>
          <w:spacing w:val="-2"/>
        </w:rPr>
        <w:t xml:space="preserve"> </w:t>
      </w:r>
      <w:r>
        <w:t>through accelerated development of strategic infrastructure and improvements in public service quality. This focus was reflected in the 2025 Aceh Strategic Projects (PSA), which included around 32 priority projects</w:t>
      </w:r>
      <w:hyperlink w:anchor="_bookmark91" w:history="1">
        <w:r w:rsidR="00BC24A8">
          <w:rPr>
            <w:rFonts w:ascii="Calibri"/>
            <w:vertAlign w:val="superscript"/>
          </w:rPr>
          <w:t>37</w:t>
        </w:r>
      </w:hyperlink>
      <w:r>
        <w:t>. For</w:t>
      </w:r>
      <w:r>
        <w:rPr>
          <w:spacing w:val="-3"/>
        </w:rPr>
        <w:t xml:space="preserve"> </w:t>
      </w:r>
      <w:r>
        <w:t>SKALA,</w:t>
      </w:r>
      <w:r>
        <w:rPr>
          <w:spacing w:val="-3"/>
        </w:rPr>
        <w:t xml:space="preserve"> </w:t>
      </w:r>
      <w:r>
        <w:t>these</w:t>
      </w:r>
      <w:r>
        <w:rPr>
          <w:spacing w:val="-7"/>
        </w:rPr>
        <w:t xml:space="preserve"> </w:t>
      </w:r>
      <w:r>
        <w:t>new</w:t>
      </w:r>
      <w:r>
        <w:rPr>
          <w:spacing w:val="-5"/>
        </w:rPr>
        <w:t xml:space="preserve"> </w:t>
      </w:r>
      <w:r>
        <w:t>policy</w:t>
      </w:r>
      <w:r>
        <w:rPr>
          <w:spacing w:val="-3"/>
        </w:rPr>
        <w:t xml:space="preserve"> </w:t>
      </w:r>
      <w:r>
        <w:t>directions</w:t>
      </w:r>
      <w:r>
        <w:rPr>
          <w:spacing w:val="-3"/>
        </w:rPr>
        <w:t xml:space="preserve"> </w:t>
      </w:r>
      <w:r>
        <w:t>have</w:t>
      </w:r>
      <w:r>
        <w:rPr>
          <w:spacing w:val="-5"/>
        </w:rPr>
        <w:t xml:space="preserve"> </w:t>
      </w:r>
      <w:r>
        <w:t>created</w:t>
      </w:r>
      <w:r>
        <w:rPr>
          <w:spacing w:val="-1"/>
        </w:rPr>
        <w:t xml:space="preserve"> </w:t>
      </w:r>
      <w:r>
        <w:t>both</w:t>
      </w:r>
      <w:r>
        <w:rPr>
          <w:spacing w:val="-3"/>
        </w:rPr>
        <w:t xml:space="preserve"> </w:t>
      </w:r>
      <w:r>
        <w:t>opportunities</w:t>
      </w:r>
      <w:r>
        <w:rPr>
          <w:spacing w:val="-5"/>
        </w:rPr>
        <w:t xml:space="preserve"> </w:t>
      </w:r>
      <w:r>
        <w:t>and</w:t>
      </w:r>
      <w:r>
        <w:rPr>
          <w:spacing w:val="-1"/>
        </w:rPr>
        <w:t xml:space="preserve"> </w:t>
      </w:r>
      <w:r>
        <w:t>challenges, and the program has had to adjust its strategies to remain relevant and effective.</w:t>
      </w:r>
    </w:p>
    <w:p w14:paraId="7E91D964" w14:textId="77777777" w:rsidR="00BC24A8" w:rsidRDefault="00BC24A8">
      <w:pPr>
        <w:pStyle w:val="BodyText"/>
      </w:pPr>
    </w:p>
    <w:p w14:paraId="3C4DC3A2" w14:textId="77777777" w:rsidR="00BC24A8" w:rsidRDefault="00BC24A8">
      <w:pPr>
        <w:pStyle w:val="BodyText"/>
        <w:spacing w:before="84"/>
      </w:pPr>
    </w:p>
    <w:p w14:paraId="0E56E81C" w14:textId="77777777" w:rsidR="00BC24A8" w:rsidRDefault="00000000">
      <w:pPr>
        <w:spacing w:before="1"/>
        <w:ind w:left="143"/>
        <w:jc w:val="both"/>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4"/>
        </w:rPr>
        <w:t xml:space="preserve"> </w:t>
      </w:r>
      <w:r>
        <w:rPr>
          <w:rFonts w:ascii="Calibri"/>
          <w:i/>
          <w:color w:val="272727"/>
        </w:rPr>
        <w:t>SKALA</w:t>
      </w:r>
      <w:r>
        <w:rPr>
          <w:rFonts w:ascii="Calibri"/>
          <w:i/>
          <w:color w:val="272727"/>
          <w:spacing w:val="-7"/>
        </w:rPr>
        <w:t xml:space="preserve"> </w:t>
      </w:r>
      <w:r>
        <w:rPr>
          <w:rFonts w:ascii="Calibri"/>
          <w:i/>
          <w:color w:val="272727"/>
        </w:rPr>
        <w:t>Program</w:t>
      </w:r>
      <w:r>
        <w:rPr>
          <w:rFonts w:ascii="Calibri"/>
          <w:i/>
          <w:color w:val="272727"/>
          <w:spacing w:val="-3"/>
        </w:rPr>
        <w:t xml:space="preserve"> </w:t>
      </w:r>
      <w:r>
        <w:rPr>
          <w:rFonts w:ascii="Calibri"/>
          <w:i/>
          <w:color w:val="272727"/>
        </w:rPr>
        <w:t>Priorities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Provinces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FY</w:t>
      </w:r>
      <w:r>
        <w:rPr>
          <w:rFonts w:ascii="Calibri"/>
          <w:i/>
          <w:color w:val="272727"/>
          <w:spacing w:val="-4"/>
        </w:rPr>
        <w:t xml:space="preserve"> </w:t>
      </w:r>
      <w:r>
        <w:rPr>
          <w:rFonts w:ascii="Calibri"/>
          <w:i/>
          <w:color w:val="272727"/>
          <w:spacing w:val="-2"/>
        </w:rPr>
        <w:t>2024/2025</w:t>
      </w:r>
    </w:p>
    <w:p w14:paraId="37132DE0" w14:textId="77777777" w:rsidR="00BC24A8" w:rsidRDefault="00000000">
      <w:pPr>
        <w:pStyle w:val="BodyText"/>
        <w:spacing w:before="19" w:line="278" w:lineRule="auto"/>
        <w:ind w:left="143" w:right="563"/>
        <w:jc w:val="both"/>
      </w:pPr>
      <w:r>
        <w:t>SKALA Aceh Province provides strategic support across four main areas aligned with regional development, as follows:</w:t>
      </w:r>
    </w:p>
    <w:p w14:paraId="75D3AA96" w14:textId="77777777" w:rsidR="00BC24A8" w:rsidRDefault="00000000">
      <w:pPr>
        <w:pStyle w:val="ListParagraph"/>
        <w:numPr>
          <w:ilvl w:val="0"/>
          <w:numId w:val="144"/>
        </w:numPr>
        <w:tabs>
          <w:tab w:val="left" w:pos="683"/>
        </w:tabs>
        <w:spacing w:before="160"/>
        <w:ind w:right="565"/>
      </w:pPr>
      <w:r>
        <w:t>Data and Analytics (DNA): SKALA has supported the development of various data governance policies, including the Aceh One Data Portal.</w:t>
      </w:r>
    </w:p>
    <w:p w14:paraId="54442FE1" w14:textId="77777777" w:rsidR="00BC24A8" w:rsidRDefault="00000000">
      <w:pPr>
        <w:pStyle w:val="ListParagraph"/>
        <w:numPr>
          <w:ilvl w:val="0"/>
          <w:numId w:val="144"/>
        </w:numPr>
        <w:tabs>
          <w:tab w:val="left" w:pos="681"/>
          <w:tab w:val="left" w:pos="683"/>
        </w:tabs>
        <w:spacing w:before="1"/>
        <w:ind w:right="564" w:hanging="361"/>
      </w:pPr>
      <w:r>
        <w:t>Minimum</w:t>
      </w:r>
      <w:r>
        <w:rPr>
          <w:spacing w:val="-8"/>
        </w:rPr>
        <w:t xml:space="preserve"> </w:t>
      </w:r>
      <w:r>
        <w:t>Service</w:t>
      </w:r>
      <w:r>
        <w:rPr>
          <w:spacing w:val="-5"/>
        </w:rPr>
        <w:t xml:space="preserve"> </w:t>
      </w:r>
      <w:r>
        <w:t>Standards</w:t>
      </w:r>
      <w:r>
        <w:rPr>
          <w:spacing w:val="-6"/>
        </w:rPr>
        <w:t xml:space="preserve"> </w:t>
      </w:r>
      <w:r>
        <w:t>(MSS):</w:t>
      </w:r>
      <w:r>
        <w:rPr>
          <w:spacing w:val="-7"/>
        </w:rPr>
        <w:t xml:space="preserve"> </w:t>
      </w:r>
      <w:r>
        <w:t>SKALA</w:t>
      </w:r>
      <w:r>
        <w:rPr>
          <w:spacing w:val="-6"/>
        </w:rPr>
        <w:t xml:space="preserve"> </w:t>
      </w:r>
      <w:r>
        <w:t>has</w:t>
      </w:r>
      <w:r>
        <w:rPr>
          <w:spacing w:val="-6"/>
        </w:rPr>
        <w:t xml:space="preserve"> </w:t>
      </w:r>
      <w:r>
        <w:t>enhanced</w:t>
      </w:r>
      <w:r>
        <w:rPr>
          <w:spacing w:val="-6"/>
        </w:rPr>
        <w:t xml:space="preserve"> </w:t>
      </w:r>
      <w:r>
        <w:t>the</w:t>
      </w:r>
      <w:r>
        <w:rPr>
          <w:spacing w:val="-5"/>
        </w:rPr>
        <w:t xml:space="preserve"> </w:t>
      </w:r>
      <w:r>
        <w:t>knowledge</w:t>
      </w:r>
      <w:r>
        <w:rPr>
          <w:spacing w:val="-5"/>
        </w:rPr>
        <w:t xml:space="preserve"> </w:t>
      </w:r>
      <w:r>
        <w:t>and</w:t>
      </w:r>
      <w:r>
        <w:rPr>
          <w:spacing w:val="-6"/>
        </w:rPr>
        <w:t xml:space="preserve"> </w:t>
      </w:r>
      <w:r>
        <w:t>technical</w:t>
      </w:r>
      <w:r>
        <w:rPr>
          <w:spacing w:val="-5"/>
        </w:rPr>
        <w:t xml:space="preserve"> </w:t>
      </w:r>
      <w:r>
        <w:t>capacity</w:t>
      </w:r>
      <w:r>
        <w:rPr>
          <w:spacing w:val="-6"/>
        </w:rPr>
        <w:t xml:space="preserve"> </w:t>
      </w:r>
      <w:r>
        <w:t>of local staff in planning and implementing SPM, as well as in regional planning documents (RPJPD 2025–2045, RPJMD 2025–2029, RENSTRA, and RKP).</w:t>
      </w:r>
    </w:p>
    <w:p w14:paraId="56EDC073" w14:textId="77777777" w:rsidR="00BC24A8" w:rsidRDefault="00000000">
      <w:pPr>
        <w:pStyle w:val="ListParagraph"/>
        <w:numPr>
          <w:ilvl w:val="0"/>
          <w:numId w:val="144"/>
        </w:numPr>
        <w:tabs>
          <w:tab w:val="left" w:pos="683"/>
        </w:tabs>
        <w:ind w:right="564"/>
      </w:pPr>
      <w:r>
        <w:t>Public</w:t>
      </w:r>
      <w:r>
        <w:rPr>
          <w:spacing w:val="-9"/>
        </w:rPr>
        <w:t xml:space="preserve"> </w:t>
      </w:r>
      <w:r>
        <w:t>Financial</w:t>
      </w:r>
      <w:r>
        <w:rPr>
          <w:spacing w:val="-10"/>
        </w:rPr>
        <w:t xml:space="preserve"> </w:t>
      </w:r>
      <w:r>
        <w:t>Management</w:t>
      </w:r>
      <w:r>
        <w:rPr>
          <w:spacing w:val="-10"/>
        </w:rPr>
        <w:t xml:space="preserve"> </w:t>
      </w:r>
      <w:r>
        <w:t>(PFM):</w:t>
      </w:r>
      <w:r>
        <w:rPr>
          <w:spacing w:val="-10"/>
        </w:rPr>
        <w:t xml:space="preserve"> </w:t>
      </w:r>
      <w:r>
        <w:t>SKALA</w:t>
      </w:r>
      <w:r>
        <w:rPr>
          <w:spacing w:val="-9"/>
        </w:rPr>
        <w:t xml:space="preserve"> </w:t>
      </w:r>
      <w:r>
        <w:t>has</w:t>
      </w:r>
      <w:r>
        <w:rPr>
          <w:spacing w:val="-10"/>
        </w:rPr>
        <w:t xml:space="preserve"> </w:t>
      </w:r>
      <w:r>
        <w:t>supported</w:t>
      </w:r>
      <w:r>
        <w:rPr>
          <w:spacing w:val="-9"/>
        </w:rPr>
        <w:t xml:space="preserve"> </w:t>
      </w:r>
      <w:r>
        <w:t>efforts</w:t>
      </w:r>
      <w:r>
        <w:rPr>
          <w:spacing w:val="-6"/>
        </w:rPr>
        <w:t xml:space="preserve"> </w:t>
      </w:r>
      <w:r>
        <w:t>to</w:t>
      </w:r>
      <w:r>
        <w:rPr>
          <w:spacing w:val="-9"/>
        </w:rPr>
        <w:t xml:space="preserve"> </w:t>
      </w:r>
      <w:r>
        <w:t>increase</w:t>
      </w:r>
      <w:r>
        <w:rPr>
          <w:spacing w:val="-5"/>
        </w:rPr>
        <w:t xml:space="preserve"> </w:t>
      </w:r>
      <w:r>
        <w:t>local</w:t>
      </w:r>
      <w:r>
        <w:rPr>
          <w:spacing w:val="-12"/>
        </w:rPr>
        <w:t xml:space="preserve"> </w:t>
      </w:r>
      <w:r>
        <w:t>revenue</w:t>
      </w:r>
      <w:r>
        <w:rPr>
          <w:spacing w:val="-8"/>
        </w:rPr>
        <w:t xml:space="preserve"> </w:t>
      </w:r>
      <w:r>
        <w:t>(PAD) and to strengthen capacity for planning and reporting on Special Autonomy (Otsus) funds.</w:t>
      </w:r>
    </w:p>
    <w:p w14:paraId="79FCE353" w14:textId="77777777" w:rsidR="00BC24A8" w:rsidRDefault="00000000">
      <w:pPr>
        <w:pStyle w:val="ListParagraph"/>
        <w:numPr>
          <w:ilvl w:val="0"/>
          <w:numId w:val="144"/>
        </w:numPr>
        <w:tabs>
          <w:tab w:val="left" w:pos="681"/>
          <w:tab w:val="left" w:pos="683"/>
        </w:tabs>
        <w:ind w:right="562" w:hanging="361"/>
      </w:pPr>
      <w:r>
        <w:t>Gender Equality, Disability, and Social Inclusion (GEDSI): SKALA has developed technical recommendations for community engagement in development and has built government capacity on Gender-Responsive and Disability-Inclusive Planning (PPRG).</w:t>
      </w:r>
    </w:p>
    <w:p w14:paraId="75A9E867" w14:textId="77777777" w:rsidR="00BC24A8" w:rsidRDefault="00BC24A8">
      <w:pPr>
        <w:pStyle w:val="BodyText"/>
        <w:spacing w:before="60"/>
      </w:pPr>
    </w:p>
    <w:p w14:paraId="12459DFF" w14:textId="77777777" w:rsidR="00BC24A8" w:rsidRDefault="00000000">
      <w:pPr>
        <w:pStyle w:val="Heading5"/>
        <w:jc w:val="both"/>
      </w:pPr>
      <w:r>
        <w:t>Implementation</w:t>
      </w:r>
      <w:r>
        <w:rPr>
          <w:spacing w:val="-13"/>
        </w:rPr>
        <w:t xml:space="preserve"> </w:t>
      </w:r>
      <w:r>
        <w:t>of</w:t>
      </w:r>
      <w:r>
        <w:rPr>
          <w:spacing w:val="-11"/>
        </w:rPr>
        <w:t xml:space="preserve"> </w:t>
      </w:r>
      <w:r>
        <w:t>Program</w:t>
      </w:r>
      <w:r>
        <w:rPr>
          <w:spacing w:val="-10"/>
        </w:rPr>
        <w:t xml:space="preserve"> </w:t>
      </w:r>
      <w:r>
        <w:t>Monitoring,</w:t>
      </w:r>
      <w:r>
        <w:rPr>
          <w:spacing w:val="-11"/>
        </w:rPr>
        <w:t xml:space="preserve"> </w:t>
      </w:r>
      <w:r>
        <w:t>Evaluation,</w:t>
      </w:r>
      <w:r>
        <w:rPr>
          <w:spacing w:val="-12"/>
        </w:rPr>
        <w:t xml:space="preserve"> </w:t>
      </w:r>
      <w:r>
        <w:t>and</w:t>
      </w:r>
      <w:r>
        <w:rPr>
          <w:spacing w:val="-12"/>
        </w:rPr>
        <w:t xml:space="preserve"> </w:t>
      </w:r>
      <w:r>
        <w:rPr>
          <w:spacing w:val="-2"/>
        </w:rPr>
        <w:t>Documentation</w:t>
      </w:r>
    </w:p>
    <w:p w14:paraId="13CB0CBE" w14:textId="77777777" w:rsidR="00BC24A8" w:rsidRDefault="00000000">
      <w:pPr>
        <w:pStyle w:val="BodyText"/>
        <w:spacing w:before="159" w:line="278" w:lineRule="auto"/>
        <w:ind w:left="143" w:right="561"/>
        <w:jc w:val="both"/>
      </w:pPr>
      <w:r>
        <w:t>The MEL team has conducted more in-depth data collection through interviews and group discussions with</w:t>
      </w:r>
      <w:r>
        <w:rPr>
          <w:spacing w:val="-13"/>
        </w:rPr>
        <w:t xml:space="preserve"> </w:t>
      </w:r>
      <w:r>
        <w:t>government</w:t>
      </w:r>
      <w:r>
        <w:rPr>
          <w:spacing w:val="-12"/>
        </w:rPr>
        <w:t xml:space="preserve"> </w:t>
      </w:r>
      <w:r>
        <w:t>officials</w:t>
      </w:r>
      <w:r>
        <w:rPr>
          <w:spacing w:val="-10"/>
        </w:rPr>
        <w:t xml:space="preserve"> </w:t>
      </w:r>
      <w:r>
        <w:t>to</w:t>
      </w:r>
      <w:r>
        <w:rPr>
          <w:spacing w:val="-13"/>
        </w:rPr>
        <w:t xml:space="preserve"> </w:t>
      </w:r>
      <w:r>
        <w:t>examine</w:t>
      </w:r>
      <w:r>
        <w:rPr>
          <w:spacing w:val="-11"/>
        </w:rPr>
        <w:t xml:space="preserve"> </w:t>
      </w:r>
      <w:r>
        <w:t>the</w:t>
      </w:r>
      <w:r>
        <w:rPr>
          <w:spacing w:val="-13"/>
        </w:rPr>
        <w:t xml:space="preserve"> </w:t>
      </w:r>
      <w:r>
        <w:t>results</w:t>
      </w:r>
      <w:r>
        <w:rPr>
          <w:spacing w:val="-11"/>
        </w:rPr>
        <w:t xml:space="preserve"> </w:t>
      </w:r>
      <w:r>
        <w:t>of</w:t>
      </w:r>
      <w:r>
        <w:rPr>
          <w:spacing w:val="-13"/>
        </w:rPr>
        <w:t xml:space="preserve"> </w:t>
      </w:r>
      <w:r>
        <w:t>SKALA’s</w:t>
      </w:r>
      <w:r>
        <w:rPr>
          <w:spacing w:val="-11"/>
        </w:rPr>
        <w:t xml:space="preserve"> </w:t>
      </w:r>
      <w:r>
        <w:t>contribution</w:t>
      </w:r>
      <w:r>
        <w:rPr>
          <w:spacing w:val="-13"/>
        </w:rPr>
        <w:t xml:space="preserve"> </w:t>
      </w:r>
      <w:r>
        <w:t>on</w:t>
      </w:r>
      <w:r>
        <w:rPr>
          <w:spacing w:val="-12"/>
        </w:rPr>
        <w:t xml:space="preserve"> </w:t>
      </w:r>
      <w:r>
        <w:t>three</w:t>
      </w:r>
      <w:r>
        <w:rPr>
          <w:spacing w:val="-12"/>
        </w:rPr>
        <w:t xml:space="preserve"> </w:t>
      </w:r>
      <w:r>
        <w:t>topics:</w:t>
      </w:r>
      <w:r>
        <w:rPr>
          <w:spacing w:val="-11"/>
        </w:rPr>
        <w:t xml:space="preserve"> </w:t>
      </w:r>
      <w:r>
        <w:t>the</w:t>
      </w:r>
      <w:r>
        <w:rPr>
          <w:spacing w:val="-12"/>
        </w:rPr>
        <w:t xml:space="preserve"> </w:t>
      </w:r>
      <w:r>
        <w:t>Action</w:t>
      </w:r>
      <w:r>
        <w:rPr>
          <w:spacing w:val="-13"/>
        </w:rPr>
        <w:t xml:space="preserve"> </w:t>
      </w:r>
      <w:r>
        <w:t>Plan for Persons with Disabilities (RAD PD), the One Data Forum, and the Data List.</w:t>
      </w:r>
    </w:p>
    <w:p w14:paraId="6FB484FA" w14:textId="77777777" w:rsidR="00BC24A8" w:rsidRDefault="00BC24A8">
      <w:pPr>
        <w:pStyle w:val="BodyText"/>
        <w:rPr>
          <w:sz w:val="20"/>
        </w:rPr>
      </w:pPr>
    </w:p>
    <w:p w14:paraId="7B5E4E3F" w14:textId="77777777" w:rsidR="00BC24A8" w:rsidRDefault="00BC24A8">
      <w:pPr>
        <w:pStyle w:val="BodyText"/>
        <w:rPr>
          <w:sz w:val="20"/>
        </w:rPr>
      </w:pPr>
    </w:p>
    <w:p w14:paraId="6BECC896" w14:textId="77777777" w:rsidR="00BC24A8" w:rsidRDefault="00BC24A8">
      <w:pPr>
        <w:pStyle w:val="BodyText"/>
        <w:rPr>
          <w:sz w:val="20"/>
        </w:rPr>
      </w:pPr>
    </w:p>
    <w:p w14:paraId="75D80C83" w14:textId="77777777" w:rsidR="00BC24A8" w:rsidRDefault="00BC24A8">
      <w:pPr>
        <w:pStyle w:val="BodyText"/>
        <w:rPr>
          <w:sz w:val="20"/>
        </w:rPr>
      </w:pPr>
    </w:p>
    <w:p w14:paraId="7C64FEB0" w14:textId="77777777" w:rsidR="00BC24A8" w:rsidRDefault="00BC24A8">
      <w:pPr>
        <w:pStyle w:val="BodyText"/>
        <w:rPr>
          <w:sz w:val="20"/>
        </w:rPr>
      </w:pPr>
    </w:p>
    <w:p w14:paraId="498BA4F1" w14:textId="77777777" w:rsidR="00BC24A8" w:rsidRDefault="00BC24A8">
      <w:pPr>
        <w:pStyle w:val="BodyText"/>
        <w:rPr>
          <w:sz w:val="20"/>
        </w:rPr>
      </w:pPr>
    </w:p>
    <w:p w14:paraId="0D4386E6" w14:textId="77777777" w:rsidR="00BC24A8" w:rsidRDefault="00BC24A8">
      <w:pPr>
        <w:pStyle w:val="BodyText"/>
        <w:rPr>
          <w:sz w:val="20"/>
        </w:rPr>
      </w:pPr>
    </w:p>
    <w:p w14:paraId="729AD4C2" w14:textId="77777777" w:rsidR="00BC24A8" w:rsidRDefault="00BC24A8">
      <w:pPr>
        <w:pStyle w:val="BodyText"/>
        <w:rPr>
          <w:sz w:val="20"/>
        </w:rPr>
      </w:pPr>
    </w:p>
    <w:p w14:paraId="38E100F3" w14:textId="77777777" w:rsidR="00BC24A8" w:rsidRDefault="00BC24A8">
      <w:pPr>
        <w:pStyle w:val="BodyText"/>
        <w:rPr>
          <w:sz w:val="20"/>
        </w:rPr>
      </w:pPr>
    </w:p>
    <w:p w14:paraId="2AEE4877" w14:textId="77777777" w:rsidR="00BC24A8" w:rsidRDefault="00BC24A8">
      <w:pPr>
        <w:pStyle w:val="BodyText"/>
        <w:rPr>
          <w:sz w:val="20"/>
        </w:rPr>
      </w:pPr>
    </w:p>
    <w:p w14:paraId="125EBD13" w14:textId="77777777" w:rsidR="00BC24A8" w:rsidRDefault="00BC24A8">
      <w:pPr>
        <w:pStyle w:val="BodyText"/>
        <w:rPr>
          <w:sz w:val="20"/>
        </w:rPr>
      </w:pPr>
    </w:p>
    <w:p w14:paraId="57882C16" w14:textId="77777777" w:rsidR="00BC24A8" w:rsidRDefault="00BC24A8">
      <w:pPr>
        <w:pStyle w:val="BodyText"/>
        <w:rPr>
          <w:sz w:val="20"/>
        </w:rPr>
      </w:pPr>
    </w:p>
    <w:p w14:paraId="1E102BF3" w14:textId="77777777" w:rsidR="00BC24A8" w:rsidRDefault="00BC24A8">
      <w:pPr>
        <w:pStyle w:val="BodyText"/>
        <w:rPr>
          <w:sz w:val="20"/>
        </w:rPr>
      </w:pPr>
    </w:p>
    <w:p w14:paraId="6D72C897" w14:textId="77777777" w:rsidR="00BC24A8" w:rsidRDefault="00000000">
      <w:pPr>
        <w:pStyle w:val="BodyText"/>
        <w:spacing w:before="20"/>
        <w:rPr>
          <w:sz w:val="20"/>
        </w:rPr>
      </w:pPr>
      <w:r>
        <w:rPr>
          <w:noProof/>
          <w:sz w:val="20"/>
        </w:rPr>
        <mc:AlternateContent>
          <mc:Choice Requires="wps">
            <w:drawing>
              <wp:anchor distT="0" distB="0" distL="0" distR="0" simplePos="0" relativeHeight="487603200" behindDoc="1" locked="0" layoutInCell="1" allowOverlap="1" wp14:anchorId="19F4F434" wp14:editId="4AEBC25A">
                <wp:simplePos x="0" y="0"/>
                <wp:positionH relativeFrom="page">
                  <wp:posOffset>900683</wp:posOffset>
                </wp:positionH>
                <wp:positionV relativeFrom="paragraph">
                  <wp:posOffset>183473</wp:posOffset>
                </wp:positionV>
                <wp:extent cx="1828800" cy="9525"/>
                <wp:effectExtent l="0" t="0" r="0" b="0"/>
                <wp:wrapTopAndBottom/>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D03DF5" id="Graphic 71" o:spid="_x0000_s1026" alt="&quot;&quot;" style="position:absolute;margin-left:70.9pt;margin-top:14.45pt;width:2in;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" path="m1828800,l,,,9144r1828800,l1828800,xe" fillcolor="black" stroked="f">
                <v:path arrowok="t"/>
                <w10:wrap type="topAndBottom" anchorx="page"/>
              </v:shape>
            </w:pict>
          </mc:Fallback>
        </mc:AlternateContent>
      </w:r>
    </w:p>
    <w:p w14:paraId="67863559" w14:textId="77777777" w:rsidR="00BC24A8" w:rsidRDefault="00BC24A8">
      <w:pPr>
        <w:pStyle w:val="BodyText"/>
        <w:spacing w:before="105"/>
        <w:rPr>
          <w:sz w:val="16"/>
        </w:rPr>
      </w:pPr>
    </w:p>
    <w:p w14:paraId="22B99823" w14:textId="77777777" w:rsidR="00BC24A8" w:rsidRDefault="00000000">
      <w:pPr>
        <w:spacing w:before="1"/>
        <w:ind w:left="143" w:right="465"/>
        <w:rPr>
          <w:sz w:val="16"/>
        </w:rPr>
      </w:pPr>
      <w:bookmarkStart w:id="140" w:name="_bookmark91"/>
      <w:bookmarkEnd w:id="140"/>
      <w:r>
        <w:rPr>
          <w:color w:val="767070"/>
          <w:sz w:val="16"/>
          <w:vertAlign w:val="superscript"/>
        </w:rPr>
        <w:t>37</w:t>
      </w:r>
      <w:r>
        <w:rPr>
          <w:color w:val="767070"/>
          <w:sz w:val="16"/>
        </w:rPr>
        <w:t xml:space="preserve"> In the 2025 Aceh PSA list, several priority projects include regional referral hospitals, upgrading the Mental Hospital, the construction of</w:t>
      </w:r>
      <w:r>
        <w:rPr>
          <w:color w:val="767070"/>
          <w:spacing w:val="-1"/>
          <w:sz w:val="16"/>
        </w:rPr>
        <w:t xml:space="preserve"> </w:t>
      </w:r>
      <w:r>
        <w:rPr>
          <w:color w:val="767070"/>
          <w:sz w:val="16"/>
        </w:rPr>
        <w:t>a</w:t>
      </w:r>
      <w:r>
        <w:rPr>
          <w:color w:val="767070"/>
          <w:spacing w:val="40"/>
          <w:sz w:val="16"/>
        </w:rPr>
        <w:t xml:space="preserve"> </w:t>
      </w:r>
      <w:r>
        <w:rPr>
          <w:color w:val="767070"/>
          <w:sz w:val="16"/>
        </w:rPr>
        <w:t>Sports Center (GOR), road and bridge connectivity, and the Aceh Ladong Industrial Estate.</w:t>
      </w:r>
    </w:p>
    <w:p w14:paraId="450E3368" w14:textId="77777777" w:rsidR="00BC24A8" w:rsidRDefault="00BC24A8">
      <w:pPr>
        <w:rPr>
          <w:sz w:val="16"/>
        </w:rPr>
        <w:sectPr w:rsidR="00BC24A8">
          <w:pgSz w:w="11910" w:h="16840"/>
          <w:pgMar w:top="1360" w:right="850" w:bottom="1100" w:left="1275" w:header="0" w:footer="907" w:gutter="0"/>
          <w:cols w:space="720"/>
        </w:sectPr>
      </w:pPr>
    </w:p>
    <w:p w14:paraId="4CD6FB91" w14:textId="77777777" w:rsidR="00BC24A8" w:rsidRDefault="00000000">
      <w:pPr>
        <w:spacing w:before="39"/>
        <w:ind w:left="143"/>
        <w:rPr>
          <w:i/>
        </w:rPr>
      </w:pPr>
      <w:r>
        <w:rPr>
          <w:i/>
          <w:color w:val="1F3762"/>
        </w:rPr>
        <w:lastRenderedPageBreak/>
        <w:t>Program</w:t>
      </w:r>
      <w:r>
        <w:rPr>
          <w:i/>
          <w:color w:val="1F3762"/>
          <w:spacing w:val="-9"/>
        </w:rPr>
        <w:t xml:space="preserve"> </w:t>
      </w:r>
      <w:r>
        <w:rPr>
          <w:i/>
          <w:color w:val="1F3762"/>
        </w:rPr>
        <w:t>Implementation</w:t>
      </w:r>
      <w:r>
        <w:rPr>
          <w:i/>
          <w:color w:val="1F3762"/>
          <w:spacing w:val="-9"/>
        </w:rPr>
        <w:t xml:space="preserve"> </w:t>
      </w:r>
      <w:r>
        <w:rPr>
          <w:i/>
          <w:color w:val="1F3762"/>
        </w:rPr>
        <w:t>and</w:t>
      </w:r>
      <w:r>
        <w:rPr>
          <w:i/>
          <w:color w:val="1F3762"/>
          <w:spacing w:val="-9"/>
        </w:rPr>
        <w:t xml:space="preserve"> </w:t>
      </w:r>
      <w:r>
        <w:rPr>
          <w:i/>
          <w:color w:val="1F3762"/>
        </w:rPr>
        <w:t>Learning</w:t>
      </w:r>
      <w:r>
        <w:rPr>
          <w:i/>
          <w:color w:val="1F3762"/>
          <w:spacing w:val="-7"/>
        </w:rPr>
        <w:t xml:space="preserve"> </w:t>
      </w:r>
      <w:r>
        <w:rPr>
          <w:i/>
          <w:color w:val="1F3762"/>
          <w:spacing w:val="-2"/>
        </w:rPr>
        <w:t>Results/Progress</w:t>
      </w:r>
    </w:p>
    <w:p w14:paraId="6E7DBAE5" w14:textId="77777777" w:rsidR="00BC24A8" w:rsidRDefault="00000000">
      <w:pPr>
        <w:pStyle w:val="BodyText"/>
        <w:spacing w:before="41"/>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4"/>
        </w:rPr>
        <w:t xml:space="preserve"> </w:t>
      </w:r>
      <w:r>
        <w:rPr>
          <w:rFonts w:ascii="Calibri"/>
          <w:color w:val="272727"/>
        </w:rPr>
        <w:t>at</w:t>
      </w:r>
      <w:r>
        <w:rPr>
          <w:rFonts w:ascii="Calibri"/>
          <w:color w:val="272727"/>
          <w:spacing w:val="-5"/>
        </w:rPr>
        <w:t xml:space="preserve"> </w:t>
      </w:r>
      <w:r>
        <w:rPr>
          <w:rFonts w:ascii="Calibri"/>
          <w:color w:val="272727"/>
        </w:rPr>
        <w:t>the</w:t>
      </w:r>
      <w:r>
        <w:rPr>
          <w:rFonts w:ascii="Calibri"/>
          <w:color w:val="272727"/>
          <w:spacing w:val="-3"/>
        </w:rPr>
        <w:t xml:space="preserve"> </w:t>
      </w:r>
      <w:r>
        <w:rPr>
          <w:rFonts w:ascii="Calibri"/>
          <w:color w:val="272727"/>
        </w:rPr>
        <w:t>Input</w:t>
      </w:r>
      <w:r>
        <w:rPr>
          <w:rFonts w:ascii="Calibri"/>
          <w:color w:val="272727"/>
          <w:spacing w:val="-2"/>
        </w:rPr>
        <w:t xml:space="preserve"> </w:t>
      </w:r>
      <w:r>
        <w:rPr>
          <w:rFonts w:ascii="Calibri"/>
          <w:color w:val="272727"/>
          <w:spacing w:val="-4"/>
        </w:rPr>
        <w:t>level</w:t>
      </w:r>
    </w:p>
    <w:p w14:paraId="6877DF7F" w14:textId="77777777" w:rsidR="00BC24A8" w:rsidRDefault="00BC24A8">
      <w:pPr>
        <w:pStyle w:val="BodyText"/>
        <w:spacing w:before="72"/>
        <w:rPr>
          <w:rFonts w:ascii="Calibri"/>
        </w:rPr>
      </w:pPr>
    </w:p>
    <w:p w14:paraId="59C5F229" w14:textId="77777777" w:rsidR="00BC24A8" w:rsidRDefault="00000000">
      <w:pPr>
        <w:pStyle w:val="Heading5"/>
        <w:spacing w:before="1"/>
      </w:pPr>
      <w:bookmarkStart w:id="141" w:name="_bookmark92"/>
      <w:bookmarkEnd w:id="141"/>
      <w:r>
        <w:rPr>
          <w:color w:val="767070"/>
        </w:rPr>
        <w:t>Table</w:t>
      </w:r>
      <w:r>
        <w:rPr>
          <w:color w:val="767070"/>
          <w:spacing w:val="-12"/>
        </w:rPr>
        <w:t xml:space="preserve"> </w:t>
      </w:r>
      <w:r>
        <w:rPr>
          <w:color w:val="767070"/>
        </w:rPr>
        <w:t>8:</w:t>
      </w:r>
      <w:r>
        <w:rPr>
          <w:color w:val="767070"/>
          <w:spacing w:val="-12"/>
        </w:rPr>
        <w:t xml:space="preserve"> </w:t>
      </w:r>
      <w:r>
        <w:rPr>
          <w:color w:val="767070"/>
        </w:rPr>
        <w:t>Table</w:t>
      </w:r>
      <w:r>
        <w:rPr>
          <w:color w:val="767070"/>
          <w:spacing w:val="-10"/>
        </w:rPr>
        <w:t xml:space="preserve"> </w:t>
      </w:r>
      <w:r>
        <w:rPr>
          <w:color w:val="767070"/>
        </w:rPr>
        <w:t>of</w:t>
      </w:r>
      <w:r>
        <w:rPr>
          <w:color w:val="767070"/>
          <w:spacing w:val="-9"/>
        </w:rPr>
        <w:t xml:space="preserve"> </w:t>
      </w:r>
      <w:r>
        <w:rPr>
          <w:color w:val="767070"/>
        </w:rPr>
        <w:t>program</w:t>
      </w:r>
      <w:r>
        <w:rPr>
          <w:color w:val="767070"/>
          <w:spacing w:val="-11"/>
        </w:rPr>
        <w:t xml:space="preserve"> </w:t>
      </w:r>
      <w:r>
        <w:rPr>
          <w:color w:val="767070"/>
        </w:rPr>
        <w:t>input</w:t>
      </w:r>
      <w:r>
        <w:rPr>
          <w:color w:val="767070"/>
          <w:spacing w:val="-9"/>
        </w:rPr>
        <w:t xml:space="preserve"> </w:t>
      </w:r>
      <w:r>
        <w:rPr>
          <w:color w:val="767070"/>
        </w:rPr>
        <w:t>summary</w:t>
      </w:r>
      <w:r>
        <w:rPr>
          <w:color w:val="767070"/>
          <w:spacing w:val="-10"/>
        </w:rPr>
        <w:t xml:space="preserve"> </w:t>
      </w:r>
      <w:r>
        <w:rPr>
          <w:color w:val="767070"/>
        </w:rPr>
        <w:t>(January-June</w:t>
      </w:r>
      <w:r>
        <w:rPr>
          <w:color w:val="767070"/>
          <w:spacing w:val="-9"/>
        </w:rPr>
        <w:t xml:space="preserve"> </w:t>
      </w:r>
      <w:r>
        <w:rPr>
          <w:color w:val="767070"/>
          <w:spacing w:val="-2"/>
        </w:rPr>
        <w:t>2025)</w:t>
      </w:r>
    </w:p>
    <w:p w14:paraId="19E805BC" w14:textId="77777777" w:rsidR="00BC24A8" w:rsidRDefault="00BC24A8">
      <w:pPr>
        <w:pStyle w:val="BodyText"/>
        <w:spacing w:before="11" w:after="1"/>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2970"/>
        <w:gridCol w:w="990"/>
        <w:gridCol w:w="691"/>
        <w:gridCol w:w="1560"/>
        <w:gridCol w:w="2880"/>
      </w:tblGrid>
      <w:tr w:rsidR="00BC24A8" w14:paraId="7D7AB211" w14:textId="77777777">
        <w:trPr>
          <w:trHeight w:hRule="exact" w:val="530"/>
        </w:trPr>
        <w:tc>
          <w:tcPr>
            <w:tcW w:w="2970" w:type="dxa"/>
            <w:tcBorders>
              <w:top w:val="single" w:sz="4" w:space="0" w:color="7E7E7E"/>
              <w:right w:val="single" w:sz="24" w:space="0" w:color="FFFFFF"/>
            </w:tcBorders>
            <w:shd w:val="clear" w:color="auto" w:fill="17365A"/>
          </w:tcPr>
          <w:p w14:paraId="7530B3EB" w14:textId="77777777" w:rsidR="00BC24A8" w:rsidRDefault="00000000">
            <w:pPr>
              <w:pStyle w:val="TableParagraph"/>
              <w:spacing w:before="133"/>
              <w:ind w:left="107"/>
              <w:rPr>
                <w:rFonts w:ascii="Calibri"/>
                <w:b/>
                <w:sz w:val="20"/>
              </w:rPr>
            </w:pPr>
            <w:r>
              <w:rPr>
                <w:rFonts w:ascii="Calibri"/>
                <w:b/>
                <w:color w:val="FFFFFF"/>
                <w:sz w:val="20"/>
              </w:rPr>
              <w:t>Input</w:t>
            </w:r>
            <w:r>
              <w:rPr>
                <w:rFonts w:ascii="Calibri"/>
                <w:b/>
                <w:color w:val="FFFFFF"/>
                <w:spacing w:val="-3"/>
                <w:sz w:val="20"/>
              </w:rPr>
              <w:t xml:space="preserve"> </w:t>
            </w:r>
            <w:r>
              <w:rPr>
                <w:rFonts w:ascii="Calibri"/>
                <w:b/>
                <w:color w:val="FFFFFF"/>
                <w:spacing w:val="-4"/>
                <w:sz w:val="20"/>
              </w:rPr>
              <w:t>type</w:t>
            </w:r>
          </w:p>
        </w:tc>
        <w:tc>
          <w:tcPr>
            <w:tcW w:w="990" w:type="dxa"/>
            <w:tcBorders>
              <w:top w:val="single" w:sz="4" w:space="0" w:color="7E7E7E"/>
              <w:left w:val="single" w:sz="24" w:space="0" w:color="FFFFFF"/>
              <w:right w:val="single" w:sz="18" w:space="0" w:color="FFFFFF"/>
            </w:tcBorders>
            <w:shd w:val="clear" w:color="auto" w:fill="17365A"/>
          </w:tcPr>
          <w:p w14:paraId="6873282B" w14:textId="77777777" w:rsidR="00BC24A8" w:rsidRDefault="00000000">
            <w:pPr>
              <w:pStyle w:val="TableParagraph"/>
              <w:spacing w:before="1"/>
              <w:ind w:left="119"/>
              <w:rPr>
                <w:rFonts w:ascii="Calibri"/>
                <w:b/>
                <w:sz w:val="20"/>
              </w:rPr>
            </w:pPr>
            <w:r>
              <w:rPr>
                <w:rFonts w:ascii="Calibri"/>
                <w:b/>
                <w:color w:val="FFFFFF"/>
                <w:spacing w:val="-2"/>
                <w:sz w:val="20"/>
              </w:rPr>
              <w:t>Number</w:t>
            </w:r>
          </w:p>
          <w:p w14:paraId="24D8E5BF" w14:textId="77777777" w:rsidR="00BC24A8" w:rsidRDefault="00000000">
            <w:pPr>
              <w:pStyle w:val="TableParagraph"/>
              <w:spacing w:before="20" w:line="240" w:lineRule="exact"/>
              <w:ind w:left="93"/>
              <w:rPr>
                <w:rFonts w:ascii="Calibri"/>
                <w:b/>
                <w:sz w:val="20"/>
              </w:rPr>
            </w:pPr>
            <w:r>
              <w:rPr>
                <w:rFonts w:ascii="Calibri"/>
                <w:b/>
                <w:color w:val="FFFFFF"/>
                <w:sz w:val="20"/>
              </w:rPr>
              <w:t>of</w:t>
            </w:r>
            <w:r>
              <w:rPr>
                <w:rFonts w:ascii="Calibri"/>
                <w:b/>
                <w:color w:val="FFFFFF"/>
                <w:spacing w:val="-3"/>
                <w:sz w:val="20"/>
              </w:rPr>
              <w:t xml:space="preserve"> </w:t>
            </w:r>
            <w:r>
              <w:rPr>
                <w:rFonts w:ascii="Calibri"/>
                <w:b/>
                <w:color w:val="FFFFFF"/>
                <w:spacing w:val="-2"/>
                <w:sz w:val="20"/>
              </w:rPr>
              <w:t>inputs</w:t>
            </w:r>
          </w:p>
        </w:tc>
        <w:tc>
          <w:tcPr>
            <w:tcW w:w="2251" w:type="dxa"/>
            <w:gridSpan w:val="2"/>
            <w:tcBorders>
              <w:top w:val="single" w:sz="4" w:space="0" w:color="7E7E7E"/>
              <w:left w:val="single" w:sz="18" w:space="0" w:color="FFFFFF"/>
              <w:right w:val="single" w:sz="24" w:space="0" w:color="FFFFFF"/>
            </w:tcBorders>
            <w:shd w:val="clear" w:color="auto" w:fill="17365A"/>
          </w:tcPr>
          <w:p w14:paraId="2FF287FC" w14:textId="77777777" w:rsidR="00BC24A8" w:rsidRDefault="00000000">
            <w:pPr>
              <w:pStyle w:val="TableParagraph"/>
              <w:spacing w:before="133"/>
              <w:ind w:left="123"/>
              <w:rPr>
                <w:rFonts w:ascii="Calibri"/>
                <w:b/>
                <w:sz w:val="20"/>
              </w:rPr>
            </w:pPr>
            <w:r>
              <w:rPr>
                <w:rFonts w:ascii="Calibri"/>
                <w:b/>
                <w:color w:val="FFFFFF"/>
                <w:spacing w:val="-2"/>
                <w:sz w:val="20"/>
              </w:rPr>
              <w:t>Total</w:t>
            </w:r>
            <w:r>
              <w:rPr>
                <w:rFonts w:ascii="Calibri"/>
                <w:b/>
                <w:color w:val="FFFFFF"/>
                <w:spacing w:val="-7"/>
                <w:sz w:val="20"/>
              </w:rPr>
              <w:t xml:space="preserve"> </w:t>
            </w:r>
            <w:r>
              <w:rPr>
                <w:rFonts w:ascii="Calibri"/>
                <w:b/>
                <w:color w:val="FFFFFF"/>
                <w:spacing w:val="-2"/>
                <w:sz w:val="20"/>
              </w:rPr>
              <w:t>budget</w:t>
            </w:r>
            <w:r>
              <w:rPr>
                <w:rFonts w:ascii="Calibri"/>
                <w:b/>
                <w:color w:val="FFFFFF"/>
                <w:spacing w:val="-6"/>
                <w:sz w:val="20"/>
              </w:rPr>
              <w:t xml:space="preserve"> </w:t>
            </w:r>
            <w:r>
              <w:rPr>
                <w:rFonts w:ascii="Calibri"/>
                <w:b/>
                <w:color w:val="FFFFFF"/>
                <w:spacing w:val="-2"/>
                <w:sz w:val="20"/>
              </w:rPr>
              <w:t>realisation</w:t>
            </w:r>
          </w:p>
        </w:tc>
        <w:tc>
          <w:tcPr>
            <w:tcW w:w="2880" w:type="dxa"/>
            <w:tcBorders>
              <w:top w:val="single" w:sz="4" w:space="0" w:color="7E7E7E"/>
              <w:left w:val="single" w:sz="24" w:space="0" w:color="FFFFFF"/>
            </w:tcBorders>
            <w:shd w:val="clear" w:color="auto" w:fill="17365A"/>
          </w:tcPr>
          <w:p w14:paraId="06579FD9" w14:textId="77777777" w:rsidR="00BC24A8" w:rsidRDefault="00000000">
            <w:pPr>
              <w:pStyle w:val="TableParagraph"/>
              <w:spacing w:before="1"/>
              <w:ind w:left="1" w:right="34"/>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2"/>
                <w:sz w:val="20"/>
              </w:rPr>
              <w:t>participants</w:t>
            </w:r>
          </w:p>
          <w:p w14:paraId="6A9BFE61" w14:textId="77777777" w:rsidR="00BC24A8" w:rsidRDefault="00000000">
            <w:pPr>
              <w:pStyle w:val="TableParagraph"/>
              <w:spacing w:before="20" w:line="240" w:lineRule="exact"/>
              <w:ind w:right="34"/>
              <w:jc w:val="center"/>
              <w:rPr>
                <w:rFonts w:ascii="Calibri"/>
                <w:b/>
                <w:sz w:val="20"/>
              </w:rPr>
            </w:pPr>
            <w:r>
              <w:rPr>
                <w:rFonts w:ascii="Calibri"/>
                <w:b/>
                <w:color w:val="FFFFFF"/>
                <w:spacing w:val="-2"/>
                <w:sz w:val="20"/>
              </w:rPr>
              <w:t>involved</w:t>
            </w:r>
          </w:p>
        </w:tc>
      </w:tr>
      <w:tr w:rsidR="00BC24A8" w14:paraId="1C906C6B" w14:textId="77777777">
        <w:trPr>
          <w:trHeight w:hRule="exact" w:val="328"/>
        </w:trPr>
        <w:tc>
          <w:tcPr>
            <w:tcW w:w="2970" w:type="dxa"/>
            <w:tcBorders>
              <w:bottom w:val="single" w:sz="4" w:space="0" w:color="BEBEBE"/>
            </w:tcBorders>
          </w:tcPr>
          <w:p w14:paraId="670E266B" w14:textId="77777777" w:rsidR="00BC24A8" w:rsidRDefault="00000000">
            <w:pPr>
              <w:pStyle w:val="TableParagraph"/>
              <w:spacing w:before="47"/>
              <w:ind w:left="107"/>
              <w:rPr>
                <w:sz w:val="18"/>
              </w:rPr>
            </w:pPr>
            <w:r>
              <w:rPr>
                <w:spacing w:val="-2"/>
                <w:sz w:val="18"/>
              </w:rPr>
              <w:t>Training</w:t>
            </w:r>
          </w:p>
        </w:tc>
        <w:tc>
          <w:tcPr>
            <w:tcW w:w="990" w:type="dxa"/>
            <w:tcBorders>
              <w:bottom w:val="single" w:sz="4" w:space="0" w:color="BEBEBE"/>
            </w:tcBorders>
          </w:tcPr>
          <w:p w14:paraId="24E4B49C" w14:textId="77777777" w:rsidR="00BC24A8" w:rsidRDefault="00000000">
            <w:pPr>
              <w:pStyle w:val="TableParagraph"/>
              <w:spacing w:before="47"/>
              <w:ind w:right="1"/>
              <w:jc w:val="center"/>
              <w:rPr>
                <w:sz w:val="18"/>
              </w:rPr>
            </w:pPr>
            <w:r>
              <w:rPr>
                <w:spacing w:val="-10"/>
                <w:sz w:val="18"/>
              </w:rPr>
              <w:t>1</w:t>
            </w:r>
          </w:p>
        </w:tc>
        <w:tc>
          <w:tcPr>
            <w:tcW w:w="691" w:type="dxa"/>
            <w:tcBorders>
              <w:bottom w:val="single" w:sz="4" w:space="0" w:color="BEBEBE"/>
            </w:tcBorders>
          </w:tcPr>
          <w:p w14:paraId="74F18110" w14:textId="77777777" w:rsidR="00BC24A8" w:rsidRDefault="00000000">
            <w:pPr>
              <w:pStyle w:val="TableParagraph"/>
              <w:spacing w:before="47"/>
              <w:ind w:left="107"/>
              <w:rPr>
                <w:sz w:val="18"/>
              </w:rPr>
            </w:pPr>
            <w:r>
              <w:rPr>
                <w:spacing w:val="-5"/>
                <w:sz w:val="18"/>
              </w:rPr>
              <w:t>IDR</w:t>
            </w:r>
          </w:p>
        </w:tc>
        <w:tc>
          <w:tcPr>
            <w:tcW w:w="1560" w:type="dxa"/>
            <w:tcBorders>
              <w:bottom w:val="single" w:sz="4" w:space="0" w:color="BEBEBE"/>
            </w:tcBorders>
          </w:tcPr>
          <w:p w14:paraId="6FF12C16" w14:textId="77777777" w:rsidR="00BC24A8" w:rsidRDefault="00000000">
            <w:pPr>
              <w:pStyle w:val="TableParagraph"/>
              <w:spacing w:before="47"/>
              <w:ind w:right="299"/>
              <w:jc w:val="right"/>
              <w:rPr>
                <w:sz w:val="18"/>
              </w:rPr>
            </w:pPr>
            <w:r>
              <w:rPr>
                <w:spacing w:val="-2"/>
                <w:sz w:val="18"/>
              </w:rPr>
              <w:t>20,588,304</w:t>
            </w:r>
          </w:p>
        </w:tc>
        <w:tc>
          <w:tcPr>
            <w:tcW w:w="2880" w:type="dxa"/>
          </w:tcPr>
          <w:p w14:paraId="123529C7" w14:textId="77777777" w:rsidR="00BC24A8" w:rsidRDefault="00000000">
            <w:pPr>
              <w:pStyle w:val="TableParagraph"/>
              <w:spacing w:before="47"/>
              <w:ind w:left="105"/>
              <w:rPr>
                <w:sz w:val="18"/>
              </w:rPr>
            </w:pPr>
            <w:r>
              <w:rPr>
                <w:sz w:val="18"/>
              </w:rPr>
              <w:t>Person</w:t>
            </w:r>
            <w:r>
              <w:rPr>
                <w:spacing w:val="1"/>
                <w:sz w:val="18"/>
              </w:rPr>
              <w:t xml:space="preserve"> </w:t>
            </w:r>
            <w:r>
              <w:rPr>
                <w:sz w:val="18"/>
              </w:rPr>
              <w:t>time</w:t>
            </w:r>
            <w:hyperlink w:anchor="_bookmark94" w:history="1">
              <w:r w:rsidR="00BC24A8">
                <w:rPr>
                  <w:position w:val="5"/>
                  <w:sz w:val="12"/>
                </w:rPr>
                <w:t>38</w:t>
              </w:r>
            </w:hyperlink>
            <w:r>
              <w:rPr>
                <w:spacing w:val="14"/>
                <w:position w:val="5"/>
                <w:sz w:val="12"/>
              </w:rPr>
              <w:t xml:space="preserve"> </w:t>
            </w:r>
            <w:r>
              <w:rPr>
                <w:sz w:val="18"/>
              </w:rPr>
              <w:t>=</w:t>
            </w:r>
            <w:r>
              <w:rPr>
                <w:spacing w:val="1"/>
                <w:sz w:val="18"/>
              </w:rPr>
              <w:t xml:space="preserve"> </w:t>
            </w:r>
            <w:r>
              <w:rPr>
                <w:spacing w:val="-5"/>
                <w:sz w:val="18"/>
              </w:rPr>
              <w:t>792</w:t>
            </w:r>
          </w:p>
        </w:tc>
      </w:tr>
      <w:tr w:rsidR="00BC24A8" w14:paraId="581B5915" w14:textId="77777777">
        <w:trPr>
          <w:trHeight w:hRule="exact" w:val="219"/>
        </w:trPr>
        <w:tc>
          <w:tcPr>
            <w:tcW w:w="2970" w:type="dxa"/>
            <w:vMerge w:val="restart"/>
            <w:tcBorders>
              <w:top w:val="single" w:sz="4" w:space="0" w:color="BEBEBE"/>
              <w:bottom w:val="single" w:sz="4" w:space="0" w:color="BEBEBE"/>
            </w:tcBorders>
          </w:tcPr>
          <w:p w14:paraId="6B9C1664" w14:textId="77777777" w:rsidR="00BC24A8" w:rsidRDefault="00000000">
            <w:pPr>
              <w:pStyle w:val="TableParagraph"/>
              <w:spacing w:before="61"/>
              <w:ind w:left="107"/>
              <w:rPr>
                <w:sz w:val="18"/>
              </w:rPr>
            </w:pPr>
            <w:r>
              <w:rPr>
                <w:sz w:val="18"/>
              </w:rPr>
              <w:t>Focus</w:t>
            </w:r>
            <w:r>
              <w:rPr>
                <w:spacing w:val="-3"/>
                <w:sz w:val="18"/>
              </w:rPr>
              <w:t xml:space="preserve"> </w:t>
            </w:r>
            <w:r>
              <w:rPr>
                <w:sz w:val="18"/>
              </w:rPr>
              <w:t>Group</w:t>
            </w:r>
            <w:r>
              <w:rPr>
                <w:spacing w:val="-1"/>
                <w:sz w:val="18"/>
              </w:rPr>
              <w:t xml:space="preserve"> </w:t>
            </w:r>
            <w:r>
              <w:rPr>
                <w:sz w:val="18"/>
              </w:rPr>
              <w:t>Discussion</w:t>
            </w:r>
            <w:r>
              <w:rPr>
                <w:spacing w:val="-1"/>
                <w:sz w:val="18"/>
              </w:rPr>
              <w:t xml:space="preserve"> </w:t>
            </w:r>
            <w:r>
              <w:rPr>
                <w:spacing w:val="-4"/>
                <w:sz w:val="18"/>
              </w:rPr>
              <w:t>(FGD)</w:t>
            </w:r>
          </w:p>
        </w:tc>
        <w:tc>
          <w:tcPr>
            <w:tcW w:w="990" w:type="dxa"/>
            <w:vMerge w:val="restart"/>
            <w:tcBorders>
              <w:top w:val="single" w:sz="4" w:space="0" w:color="BEBEBE"/>
              <w:bottom w:val="single" w:sz="4" w:space="0" w:color="BEBEBE"/>
            </w:tcBorders>
          </w:tcPr>
          <w:p w14:paraId="5E13EC25" w14:textId="77777777" w:rsidR="00BC24A8" w:rsidRDefault="00000000">
            <w:pPr>
              <w:pStyle w:val="TableParagraph"/>
              <w:spacing w:before="1"/>
              <w:ind w:right="1"/>
              <w:jc w:val="center"/>
              <w:rPr>
                <w:sz w:val="18"/>
              </w:rPr>
            </w:pPr>
            <w:r>
              <w:rPr>
                <w:spacing w:val="-10"/>
                <w:sz w:val="18"/>
              </w:rPr>
              <w:t>5</w:t>
            </w:r>
          </w:p>
        </w:tc>
        <w:tc>
          <w:tcPr>
            <w:tcW w:w="691" w:type="dxa"/>
            <w:vMerge w:val="restart"/>
            <w:tcBorders>
              <w:top w:val="single" w:sz="4" w:space="0" w:color="BEBEBE"/>
              <w:bottom w:val="single" w:sz="4" w:space="0" w:color="BEBEBE"/>
            </w:tcBorders>
          </w:tcPr>
          <w:p w14:paraId="3D571DFC" w14:textId="77777777" w:rsidR="00BC24A8" w:rsidRDefault="00000000">
            <w:pPr>
              <w:pStyle w:val="TableParagraph"/>
              <w:spacing w:before="1"/>
              <w:ind w:left="107"/>
              <w:rPr>
                <w:sz w:val="18"/>
              </w:rPr>
            </w:pPr>
            <w:r>
              <w:rPr>
                <w:spacing w:val="-5"/>
                <w:sz w:val="18"/>
              </w:rPr>
              <w:t>IDR</w:t>
            </w:r>
          </w:p>
        </w:tc>
        <w:tc>
          <w:tcPr>
            <w:tcW w:w="1560" w:type="dxa"/>
            <w:vMerge w:val="restart"/>
            <w:tcBorders>
              <w:top w:val="single" w:sz="4" w:space="0" w:color="BEBEBE"/>
              <w:bottom w:val="single" w:sz="4" w:space="0" w:color="BEBEBE"/>
            </w:tcBorders>
          </w:tcPr>
          <w:p w14:paraId="52261E85" w14:textId="77777777" w:rsidR="00BC24A8" w:rsidRDefault="00000000">
            <w:pPr>
              <w:pStyle w:val="TableParagraph"/>
              <w:spacing w:before="1"/>
              <w:ind w:left="320"/>
              <w:rPr>
                <w:sz w:val="18"/>
              </w:rPr>
            </w:pPr>
            <w:r>
              <w:rPr>
                <w:spacing w:val="-2"/>
                <w:sz w:val="18"/>
              </w:rPr>
              <w:t>192,563,168</w:t>
            </w:r>
          </w:p>
        </w:tc>
        <w:tc>
          <w:tcPr>
            <w:tcW w:w="2880" w:type="dxa"/>
          </w:tcPr>
          <w:p w14:paraId="1B6DA338" w14:textId="77777777" w:rsidR="00BC24A8" w:rsidRDefault="00000000">
            <w:pPr>
              <w:pStyle w:val="TableParagraph"/>
              <w:numPr>
                <w:ilvl w:val="0"/>
                <w:numId w:val="143"/>
              </w:numPr>
              <w:tabs>
                <w:tab w:val="left" w:pos="436"/>
              </w:tabs>
              <w:spacing w:line="200" w:lineRule="exact"/>
              <w:rPr>
                <w:sz w:val="18"/>
              </w:rPr>
            </w:pPr>
            <w:r>
              <w:rPr>
                <w:sz w:val="18"/>
              </w:rPr>
              <w:t xml:space="preserve">480 </w:t>
            </w:r>
            <w:r>
              <w:rPr>
                <w:spacing w:val="-4"/>
                <w:sz w:val="18"/>
              </w:rPr>
              <w:t>male</w:t>
            </w:r>
          </w:p>
        </w:tc>
      </w:tr>
      <w:tr w:rsidR="00BC24A8" w14:paraId="1FBD2FEB" w14:textId="77777777">
        <w:trPr>
          <w:trHeight w:hRule="exact" w:val="140"/>
        </w:trPr>
        <w:tc>
          <w:tcPr>
            <w:tcW w:w="2970" w:type="dxa"/>
            <w:vMerge/>
            <w:tcBorders>
              <w:top w:val="nil"/>
              <w:bottom w:val="single" w:sz="4" w:space="0" w:color="BEBEBE"/>
            </w:tcBorders>
          </w:tcPr>
          <w:p w14:paraId="2C356E3F" w14:textId="77777777" w:rsidR="00BC24A8" w:rsidRDefault="00BC24A8">
            <w:pPr>
              <w:rPr>
                <w:sz w:val="2"/>
                <w:szCs w:val="2"/>
              </w:rPr>
            </w:pPr>
          </w:p>
        </w:tc>
        <w:tc>
          <w:tcPr>
            <w:tcW w:w="990" w:type="dxa"/>
            <w:vMerge/>
            <w:tcBorders>
              <w:top w:val="nil"/>
              <w:bottom w:val="single" w:sz="4" w:space="0" w:color="BEBEBE"/>
            </w:tcBorders>
          </w:tcPr>
          <w:p w14:paraId="18D324C8" w14:textId="77777777" w:rsidR="00BC24A8" w:rsidRDefault="00BC24A8">
            <w:pPr>
              <w:rPr>
                <w:sz w:val="2"/>
                <w:szCs w:val="2"/>
              </w:rPr>
            </w:pPr>
          </w:p>
        </w:tc>
        <w:tc>
          <w:tcPr>
            <w:tcW w:w="691" w:type="dxa"/>
            <w:vMerge/>
            <w:tcBorders>
              <w:top w:val="nil"/>
              <w:bottom w:val="single" w:sz="4" w:space="0" w:color="BEBEBE"/>
            </w:tcBorders>
          </w:tcPr>
          <w:p w14:paraId="7736C17A" w14:textId="77777777" w:rsidR="00BC24A8" w:rsidRDefault="00BC24A8">
            <w:pPr>
              <w:rPr>
                <w:sz w:val="2"/>
                <w:szCs w:val="2"/>
              </w:rPr>
            </w:pPr>
          </w:p>
        </w:tc>
        <w:tc>
          <w:tcPr>
            <w:tcW w:w="1560" w:type="dxa"/>
            <w:vMerge/>
            <w:tcBorders>
              <w:top w:val="nil"/>
              <w:bottom w:val="single" w:sz="4" w:space="0" w:color="BEBEBE"/>
            </w:tcBorders>
          </w:tcPr>
          <w:p w14:paraId="0AA967B3" w14:textId="77777777" w:rsidR="00BC24A8" w:rsidRDefault="00BC24A8">
            <w:pPr>
              <w:rPr>
                <w:sz w:val="2"/>
                <w:szCs w:val="2"/>
              </w:rPr>
            </w:pPr>
          </w:p>
        </w:tc>
        <w:tc>
          <w:tcPr>
            <w:tcW w:w="2880" w:type="dxa"/>
            <w:vMerge w:val="restart"/>
          </w:tcPr>
          <w:p w14:paraId="1FFBF39A" w14:textId="77777777" w:rsidR="00BC24A8" w:rsidRDefault="00000000">
            <w:pPr>
              <w:pStyle w:val="TableParagraph"/>
              <w:numPr>
                <w:ilvl w:val="0"/>
                <w:numId w:val="142"/>
              </w:numPr>
              <w:tabs>
                <w:tab w:val="left" w:pos="436"/>
              </w:tabs>
              <w:spacing w:line="218" w:lineRule="exact"/>
              <w:rPr>
                <w:sz w:val="18"/>
              </w:rPr>
            </w:pPr>
            <w:r>
              <w:rPr>
                <w:sz w:val="18"/>
              </w:rPr>
              <w:t xml:space="preserve">312 </w:t>
            </w:r>
            <w:r>
              <w:rPr>
                <w:spacing w:val="-2"/>
                <w:sz w:val="18"/>
              </w:rPr>
              <w:t>female</w:t>
            </w:r>
          </w:p>
        </w:tc>
      </w:tr>
      <w:tr w:rsidR="00BC24A8" w14:paraId="5858B5D5" w14:textId="77777777">
        <w:trPr>
          <w:trHeight w:hRule="exact" w:val="305"/>
        </w:trPr>
        <w:tc>
          <w:tcPr>
            <w:tcW w:w="2970" w:type="dxa"/>
            <w:vMerge w:val="restart"/>
            <w:tcBorders>
              <w:top w:val="single" w:sz="4" w:space="0" w:color="BEBEBE"/>
              <w:bottom w:val="single" w:sz="4" w:space="0" w:color="BEBEBE"/>
            </w:tcBorders>
          </w:tcPr>
          <w:p w14:paraId="37E3FD19" w14:textId="77777777" w:rsidR="00BC24A8" w:rsidRDefault="00000000">
            <w:pPr>
              <w:pStyle w:val="TableParagraph"/>
              <w:spacing w:before="61"/>
              <w:ind w:left="107"/>
              <w:rPr>
                <w:sz w:val="18"/>
              </w:rPr>
            </w:pPr>
            <w:r>
              <w:rPr>
                <w:sz w:val="18"/>
              </w:rPr>
              <w:t>Learning</w:t>
            </w:r>
            <w:r>
              <w:rPr>
                <w:spacing w:val="-3"/>
                <w:sz w:val="18"/>
              </w:rPr>
              <w:t xml:space="preserve"> </w:t>
            </w:r>
            <w:r>
              <w:rPr>
                <w:sz w:val="18"/>
              </w:rPr>
              <w:t>Forum,</w:t>
            </w:r>
            <w:r>
              <w:rPr>
                <w:spacing w:val="-2"/>
                <w:sz w:val="18"/>
              </w:rPr>
              <w:t xml:space="preserve"> </w:t>
            </w:r>
            <w:r>
              <w:rPr>
                <w:sz w:val="18"/>
              </w:rPr>
              <w:t>Evidence</w:t>
            </w:r>
            <w:r>
              <w:rPr>
                <w:spacing w:val="-1"/>
                <w:sz w:val="18"/>
              </w:rPr>
              <w:t xml:space="preserve"> </w:t>
            </w:r>
            <w:r>
              <w:rPr>
                <w:spacing w:val="-2"/>
                <w:sz w:val="18"/>
              </w:rPr>
              <w:t>Collection</w:t>
            </w:r>
          </w:p>
        </w:tc>
        <w:tc>
          <w:tcPr>
            <w:tcW w:w="990" w:type="dxa"/>
            <w:tcBorders>
              <w:top w:val="single" w:sz="4" w:space="0" w:color="BEBEBE"/>
            </w:tcBorders>
          </w:tcPr>
          <w:p w14:paraId="407180CC" w14:textId="77777777" w:rsidR="00BC24A8" w:rsidRDefault="00000000">
            <w:pPr>
              <w:pStyle w:val="TableParagraph"/>
              <w:spacing w:before="1"/>
              <w:ind w:right="1"/>
              <w:jc w:val="center"/>
              <w:rPr>
                <w:sz w:val="18"/>
              </w:rPr>
            </w:pPr>
            <w:r>
              <w:rPr>
                <w:spacing w:val="-10"/>
                <w:sz w:val="18"/>
              </w:rPr>
              <w:t>1</w:t>
            </w:r>
          </w:p>
        </w:tc>
        <w:tc>
          <w:tcPr>
            <w:tcW w:w="691" w:type="dxa"/>
            <w:tcBorders>
              <w:top w:val="single" w:sz="4" w:space="0" w:color="BEBEBE"/>
            </w:tcBorders>
          </w:tcPr>
          <w:p w14:paraId="5D66EE58" w14:textId="77777777" w:rsidR="00BC24A8" w:rsidRDefault="00000000">
            <w:pPr>
              <w:pStyle w:val="TableParagraph"/>
              <w:spacing w:before="1"/>
              <w:ind w:left="107"/>
              <w:rPr>
                <w:sz w:val="18"/>
              </w:rPr>
            </w:pPr>
            <w:r>
              <w:rPr>
                <w:spacing w:val="-5"/>
                <w:sz w:val="18"/>
              </w:rPr>
              <w:t>IDR</w:t>
            </w:r>
          </w:p>
        </w:tc>
        <w:tc>
          <w:tcPr>
            <w:tcW w:w="1560" w:type="dxa"/>
            <w:tcBorders>
              <w:top w:val="single" w:sz="4" w:space="0" w:color="BEBEBE"/>
            </w:tcBorders>
          </w:tcPr>
          <w:p w14:paraId="50D296CF" w14:textId="77777777" w:rsidR="00BC24A8" w:rsidRDefault="00000000">
            <w:pPr>
              <w:pStyle w:val="TableParagraph"/>
              <w:spacing w:before="1"/>
              <w:ind w:right="330"/>
              <w:jc w:val="right"/>
              <w:rPr>
                <w:sz w:val="18"/>
              </w:rPr>
            </w:pPr>
            <w:r>
              <w:rPr>
                <w:spacing w:val="-2"/>
                <w:sz w:val="18"/>
              </w:rPr>
              <w:t>104,045,658</w:t>
            </w:r>
          </w:p>
        </w:tc>
        <w:tc>
          <w:tcPr>
            <w:tcW w:w="2880" w:type="dxa"/>
            <w:vMerge/>
            <w:tcBorders>
              <w:top w:val="nil"/>
            </w:tcBorders>
          </w:tcPr>
          <w:p w14:paraId="39F0722B" w14:textId="77777777" w:rsidR="00BC24A8" w:rsidRDefault="00BC24A8">
            <w:pPr>
              <w:rPr>
                <w:sz w:val="2"/>
                <w:szCs w:val="2"/>
              </w:rPr>
            </w:pPr>
          </w:p>
        </w:tc>
      </w:tr>
      <w:tr w:rsidR="00BC24A8" w14:paraId="15A2618B" w14:textId="77777777">
        <w:trPr>
          <w:trHeight w:hRule="exact" w:val="136"/>
        </w:trPr>
        <w:tc>
          <w:tcPr>
            <w:tcW w:w="2970" w:type="dxa"/>
            <w:vMerge/>
            <w:tcBorders>
              <w:top w:val="nil"/>
              <w:bottom w:val="single" w:sz="4" w:space="0" w:color="BEBEBE"/>
            </w:tcBorders>
          </w:tcPr>
          <w:p w14:paraId="5E44A0E4" w14:textId="77777777" w:rsidR="00BC24A8" w:rsidRDefault="00BC24A8">
            <w:pPr>
              <w:rPr>
                <w:sz w:val="2"/>
                <w:szCs w:val="2"/>
              </w:rPr>
            </w:pPr>
          </w:p>
        </w:tc>
        <w:tc>
          <w:tcPr>
            <w:tcW w:w="990" w:type="dxa"/>
            <w:tcBorders>
              <w:bottom w:val="single" w:sz="4" w:space="0" w:color="BEBEBE"/>
            </w:tcBorders>
          </w:tcPr>
          <w:p w14:paraId="09DD35FB" w14:textId="77777777" w:rsidR="00BC24A8" w:rsidRDefault="00BC24A8">
            <w:pPr>
              <w:pStyle w:val="TableParagraph"/>
              <w:rPr>
                <w:rFonts w:ascii="Times New Roman"/>
                <w:sz w:val="6"/>
              </w:rPr>
            </w:pPr>
          </w:p>
        </w:tc>
        <w:tc>
          <w:tcPr>
            <w:tcW w:w="691" w:type="dxa"/>
            <w:tcBorders>
              <w:bottom w:val="single" w:sz="4" w:space="0" w:color="BEBEBE"/>
            </w:tcBorders>
          </w:tcPr>
          <w:p w14:paraId="066C87EC" w14:textId="77777777" w:rsidR="00BC24A8" w:rsidRDefault="00BC24A8">
            <w:pPr>
              <w:pStyle w:val="TableParagraph"/>
              <w:rPr>
                <w:rFonts w:ascii="Times New Roman"/>
                <w:sz w:val="6"/>
              </w:rPr>
            </w:pPr>
          </w:p>
        </w:tc>
        <w:tc>
          <w:tcPr>
            <w:tcW w:w="1560" w:type="dxa"/>
            <w:tcBorders>
              <w:bottom w:val="single" w:sz="4" w:space="0" w:color="BEBEBE"/>
            </w:tcBorders>
          </w:tcPr>
          <w:p w14:paraId="0CA722E2" w14:textId="77777777" w:rsidR="00BC24A8" w:rsidRDefault="00BC24A8">
            <w:pPr>
              <w:pStyle w:val="TableParagraph"/>
              <w:rPr>
                <w:rFonts w:ascii="Times New Roman"/>
                <w:sz w:val="6"/>
              </w:rPr>
            </w:pPr>
          </w:p>
        </w:tc>
        <w:tc>
          <w:tcPr>
            <w:tcW w:w="2880" w:type="dxa"/>
            <w:vMerge w:val="restart"/>
          </w:tcPr>
          <w:p w14:paraId="02F1E9C8" w14:textId="77777777" w:rsidR="00BC24A8" w:rsidRDefault="00000000">
            <w:pPr>
              <w:pStyle w:val="TableParagraph"/>
              <w:spacing w:before="51"/>
              <w:ind w:left="105"/>
              <w:rPr>
                <w:sz w:val="18"/>
              </w:rPr>
            </w:pPr>
            <w:r>
              <w:rPr>
                <w:spacing w:val="-2"/>
                <w:sz w:val="18"/>
              </w:rPr>
              <w:t>Headcount</w:t>
            </w:r>
            <w:r>
              <w:rPr>
                <w:spacing w:val="-2"/>
                <w:position w:val="5"/>
                <w:sz w:val="12"/>
              </w:rPr>
              <w:t>108</w:t>
            </w:r>
            <w:r>
              <w:rPr>
                <w:spacing w:val="-2"/>
                <w:sz w:val="18"/>
              </w:rPr>
              <w:t>:</w:t>
            </w:r>
          </w:p>
        </w:tc>
      </w:tr>
      <w:tr w:rsidR="00BC24A8" w14:paraId="26E53CAD" w14:textId="77777777">
        <w:trPr>
          <w:trHeight w:hRule="exact" w:val="163"/>
        </w:trPr>
        <w:tc>
          <w:tcPr>
            <w:tcW w:w="2970" w:type="dxa"/>
            <w:vMerge w:val="restart"/>
            <w:tcBorders>
              <w:top w:val="single" w:sz="4" w:space="0" w:color="BEBEBE"/>
              <w:bottom w:val="single" w:sz="4" w:space="0" w:color="BEBEBE"/>
            </w:tcBorders>
          </w:tcPr>
          <w:p w14:paraId="1184DAB5" w14:textId="77777777" w:rsidR="00BC24A8" w:rsidRDefault="00000000">
            <w:pPr>
              <w:pStyle w:val="TableParagraph"/>
              <w:spacing w:before="59"/>
              <w:ind w:left="107"/>
              <w:rPr>
                <w:sz w:val="18"/>
              </w:rPr>
            </w:pPr>
            <w:r>
              <w:rPr>
                <w:spacing w:val="-2"/>
                <w:sz w:val="18"/>
              </w:rPr>
              <w:t>Workshop</w:t>
            </w:r>
          </w:p>
        </w:tc>
        <w:tc>
          <w:tcPr>
            <w:tcW w:w="990" w:type="dxa"/>
            <w:vMerge w:val="restart"/>
            <w:tcBorders>
              <w:top w:val="single" w:sz="4" w:space="0" w:color="BEBEBE"/>
              <w:bottom w:val="single" w:sz="4" w:space="0" w:color="BEBEBE"/>
            </w:tcBorders>
          </w:tcPr>
          <w:p w14:paraId="30C707A1" w14:textId="77777777" w:rsidR="00BC24A8" w:rsidRDefault="00000000">
            <w:pPr>
              <w:pStyle w:val="TableParagraph"/>
              <w:spacing w:line="219" w:lineRule="exact"/>
              <w:ind w:right="1"/>
              <w:jc w:val="center"/>
              <w:rPr>
                <w:sz w:val="18"/>
              </w:rPr>
            </w:pPr>
            <w:r>
              <w:rPr>
                <w:spacing w:val="-10"/>
                <w:sz w:val="18"/>
              </w:rPr>
              <w:t>5</w:t>
            </w:r>
          </w:p>
        </w:tc>
        <w:tc>
          <w:tcPr>
            <w:tcW w:w="691" w:type="dxa"/>
            <w:vMerge w:val="restart"/>
            <w:tcBorders>
              <w:top w:val="single" w:sz="4" w:space="0" w:color="BEBEBE"/>
              <w:bottom w:val="single" w:sz="4" w:space="0" w:color="BEBEBE"/>
            </w:tcBorders>
          </w:tcPr>
          <w:p w14:paraId="5E7C75F7" w14:textId="77777777" w:rsidR="00BC24A8" w:rsidRDefault="00000000">
            <w:pPr>
              <w:pStyle w:val="TableParagraph"/>
              <w:spacing w:line="219" w:lineRule="exact"/>
              <w:ind w:left="107"/>
              <w:rPr>
                <w:sz w:val="18"/>
              </w:rPr>
            </w:pPr>
            <w:r>
              <w:rPr>
                <w:spacing w:val="-5"/>
                <w:sz w:val="18"/>
              </w:rPr>
              <w:t>IDR</w:t>
            </w:r>
          </w:p>
        </w:tc>
        <w:tc>
          <w:tcPr>
            <w:tcW w:w="1560" w:type="dxa"/>
            <w:vMerge w:val="restart"/>
            <w:tcBorders>
              <w:top w:val="single" w:sz="4" w:space="0" w:color="BEBEBE"/>
              <w:bottom w:val="single" w:sz="4" w:space="0" w:color="BEBEBE"/>
            </w:tcBorders>
          </w:tcPr>
          <w:p w14:paraId="67C673B2" w14:textId="77777777" w:rsidR="00BC24A8" w:rsidRDefault="00000000">
            <w:pPr>
              <w:pStyle w:val="TableParagraph"/>
              <w:spacing w:line="219" w:lineRule="exact"/>
              <w:ind w:left="320"/>
              <w:rPr>
                <w:sz w:val="18"/>
              </w:rPr>
            </w:pPr>
            <w:r>
              <w:rPr>
                <w:spacing w:val="-2"/>
                <w:sz w:val="18"/>
              </w:rPr>
              <w:t>219,328,693</w:t>
            </w:r>
          </w:p>
        </w:tc>
        <w:tc>
          <w:tcPr>
            <w:tcW w:w="2880" w:type="dxa"/>
            <w:vMerge/>
            <w:tcBorders>
              <w:top w:val="nil"/>
            </w:tcBorders>
          </w:tcPr>
          <w:p w14:paraId="4351743E" w14:textId="77777777" w:rsidR="00BC24A8" w:rsidRDefault="00BC24A8">
            <w:pPr>
              <w:rPr>
                <w:sz w:val="2"/>
                <w:szCs w:val="2"/>
              </w:rPr>
            </w:pPr>
          </w:p>
        </w:tc>
      </w:tr>
      <w:tr w:rsidR="00BC24A8" w14:paraId="76AE913B" w14:textId="77777777">
        <w:trPr>
          <w:trHeight w:hRule="exact" w:val="203"/>
        </w:trPr>
        <w:tc>
          <w:tcPr>
            <w:tcW w:w="2970" w:type="dxa"/>
            <w:vMerge/>
            <w:tcBorders>
              <w:top w:val="nil"/>
              <w:bottom w:val="single" w:sz="4" w:space="0" w:color="BEBEBE"/>
            </w:tcBorders>
          </w:tcPr>
          <w:p w14:paraId="43557DA2" w14:textId="77777777" w:rsidR="00BC24A8" w:rsidRDefault="00BC24A8">
            <w:pPr>
              <w:rPr>
                <w:sz w:val="2"/>
                <w:szCs w:val="2"/>
              </w:rPr>
            </w:pPr>
          </w:p>
        </w:tc>
        <w:tc>
          <w:tcPr>
            <w:tcW w:w="990" w:type="dxa"/>
            <w:vMerge/>
            <w:tcBorders>
              <w:top w:val="nil"/>
              <w:bottom w:val="single" w:sz="4" w:space="0" w:color="BEBEBE"/>
            </w:tcBorders>
          </w:tcPr>
          <w:p w14:paraId="41C17FF3" w14:textId="77777777" w:rsidR="00BC24A8" w:rsidRDefault="00BC24A8">
            <w:pPr>
              <w:rPr>
                <w:sz w:val="2"/>
                <w:szCs w:val="2"/>
              </w:rPr>
            </w:pPr>
          </w:p>
        </w:tc>
        <w:tc>
          <w:tcPr>
            <w:tcW w:w="691" w:type="dxa"/>
            <w:vMerge/>
            <w:tcBorders>
              <w:top w:val="nil"/>
              <w:bottom w:val="single" w:sz="4" w:space="0" w:color="BEBEBE"/>
            </w:tcBorders>
          </w:tcPr>
          <w:p w14:paraId="37566DC9" w14:textId="77777777" w:rsidR="00BC24A8" w:rsidRDefault="00BC24A8">
            <w:pPr>
              <w:rPr>
                <w:sz w:val="2"/>
                <w:szCs w:val="2"/>
              </w:rPr>
            </w:pPr>
          </w:p>
        </w:tc>
        <w:tc>
          <w:tcPr>
            <w:tcW w:w="1560" w:type="dxa"/>
            <w:vMerge/>
            <w:tcBorders>
              <w:top w:val="nil"/>
              <w:bottom w:val="single" w:sz="4" w:space="0" w:color="BEBEBE"/>
            </w:tcBorders>
          </w:tcPr>
          <w:p w14:paraId="09BE9010" w14:textId="77777777" w:rsidR="00BC24A8" w:rsidRDefault="00BC24A8">
            <w:pPr>
              <w:rPr>
                <w:sz w:val="2"/>
                <w:szCs w:val="2"/>
              </w:rPr>
            </w:pPr>
          </w:p>
        </w:tc>
        <w:tc>
          <w:tcPr>
            <w:tcW w:w="2880" w:type="dxa"/>
          </w:tcPr>
          <w:p w14:paraId="6EA979B2" w14:textId="77777777" w:rsidR="00BC24A8" w:rsidRDefault="00000000">
            <w:pPr>
              <w:pStyle w:val="TableParagraph"/>
              <w:numPr>
                <w:ilvl w:val="0"/>
                <w:numId w:val="141"/>
              </w:numPr>
              <w:tabs>
                <w:tab w:val="left" w:pos="436"/>
              </w:tabs>
              <w:spacing w:before="29" w:line="154" w:lineRule="exact"/>
              <w:rPr>
                <w:sz w:val="18"/>
              </w:rPr>
            </w:pPr>
            <w:r>
              <w:rPr>
                <w:sz w:val="18"/>
              </w:rPr>
              <w:t xml:space="preserve">133 </w:t>
            </w:r>
            <w:r>
              <w:rPr>
                <w:spacing w:val="-4"/>
                <w:sz w:val="18"/>
              </w:rPr>
              <w:t>male</w:t>
            </w:r>
          </w:p>
        </w:tc>
      </w:tr>
      <w:tr w:rsidR="00BC24A8" w14:paraId="11634E83" w14:textId="77777777">
        <w:trPr>
          <w:trHeight w:hRule="exact" w:val="590"/>
        </w:trPr>
        <w:tc>
          <w:tcPr>
            <w:tcW w:w="2970" w:type="dxa"/>
            <w:tcBorders>
              <w:top w:val="single" w:sz="4" w:space="0" w:color="BEBEBE"/>
            </w:tcBorders>
          </w:tcPr>
          <w:p w14:paraId="2206701C" w14:textId="77777777" w:rsidR="00BC24A8" w:rsidRDefault="00000000">
            <w:pPr>
              <w:pStyle w:val="TableParagraph"/>
              <w:spacing w:before="61"/>
              <w:ind w:left="107"/>
              <w:rPr>
                <w:sz w:val="18"/>
              </w:rPr>
            </w:pPr>
            <w:r>
              <w:rPr>
                <w:spacing w:val="-2"/>
                <w:sz w:val="18"/>
              </w:rPr>
              <w:t>Outreach/Dissemination/Launch</w:t>
            </w:r>
          </w:p>
        </w:tc>
        <w:tc>
          <w:tcPr>
            <w:tcW w:w="990" w:type="dxa"/>
            <w:tcBorders>
              <w:top w:val="single" w:sz="4" w:space="0" w:color="BEBEBE"/>
            </w:tcBorders>
          </w:tcPr>
          <w:p w14:paraId="6C079665" w14:textId="77777777" w:rsidR="00BC24A8" w:rsidRDefault="00000000">
            <w:pPr>
              <w:pStyle w:val="TableParagraph"/>
              <w:spacing w:before="1"/>
              <w:ind w:right="1"/>
              <w:jc w:val="center"/>
              <w:rPr>
                <w:sz w:val="18"/>
              </w:rPr>
            </w:pPr>
            <w:r>
              <w:rPr>
                <w:spacing w:val="-10"/>
                <w:sz w:val="18"/>
              </w:rPr>
              <w:t>1</w:t>
            </w:r>
          </w:p>
        </w:tc>
        <w:tc>
          <w:tcPr>
            <w:tcW w:w="691" w:type="dxa"/>
            <w:tcBorders>
              <w:top w:val="single" w:sz="4" w:space="0" w:color="BEBEBE"/>
            </w:tcBorders>
          </w:tcPr>
          <w:p w14:paraId="7A2191AE" w14:textId="77777777" w:rsidR="00BC24A8" w:rsidRDefault="00000000">
            <w:pPr>
              <w:pStyle w:val="TableParagraph"/>
              <w:spacing w:before="1"/>
              <w:ind w:left="107"/>
              <w:rPr>
                <w:sz w:val="18"/>
              </w:rPr>
            </w:pPr>
            <w:r>
              <w:rPr>
                <w:spacing w:val="-5"/>
                <w:sz w:val="18"/>
              </w:rPr>
              <w:t>IDR</w:t>
            </w:r>
          </w:p>
        </w:tc>
        <w:tc>
          <w:tcPr>
            <w:tcW w:w="1560" w:type="dxa"/>
            <w:tcBorders>
              <w:top w:val="single" w:sz="4" w:space="0" w:color="BEBEBE"/>
            </w:tcBorders>
          </w:tcPr>
          <w:p w14:paraId="74DEBD1D" w14:textId="77777777" w:rsidR="00BC24A8" w:rsidRDefault="00000000">
            <w:pPr>
              <w:pStyle w:val="TableParagraph"/>
              <w:spacing w:before="1"/>
              <w:ind w:right="299"/>
              <w:jc w:val="right"/>
              <w:rPr>
                <w:sz w:val="18"/>
              </w:rPr>
            </w:pPr>
            <w:r>
              <w:rPr>
                <w:spacing w:val="-2"/>
                <w:sz w:val="18"/>
              </w:rPr>
              <w:t>19,353,075</w:t>
            </w:r>
          </w:p>
        </w:tc>
        <w:tc>
          <w:tcPr>
            <w:tcW w:w="2880" w:type="dxa"/>
          </w:tcPr>
          <w:p w14:paraId="2009F9F2" w14:textId="77777777" w:rsidR="00BC24A8" w:rsidRDefault="00000000">
            <w:pPr>
              <w:pStyle w:val="TableParagraph"/>
              <w:numPr>
                <w:ilvl w:val="0"/>
                <w:numId w:val="140"/>
              </w:numPr>
              <w:tabs>
                <w:tab w:val="left" w:pos="436"/>
              </w:tabs>
              <w:spacing w:before="47"/>
              <w:rPr>
                <w:sz w:val="18"/>
              </w:rPr>
            </w:pPr>
            <w:r>
              <w:rPr>
                <w:sz w:val="18"/>
              </w:rPr>
              <w:t xml:space="preserve">120 </w:t>
            </w:r>
            <w:r>
              <w:rPr>
                <w:spacing w:val="-2"/>
                <w:sz w:val="18"/>
              </w:rPr>
              <w:t>female</w:t>
            </w:r>
          </w:p>
          <w:p w14:paraId="39C68EDC" w14:textId="77777777" w:rsidR="00BC24A8" w:rsidRDefault="00000000">
            <w:pPr>
              <w:pStyle w:val="TableParagraph"/>
              <w:numPr>
                <w:ilvl w:val="0"/>
                <w:numId w:val="140"/>
              </w:numPr>
              <w:tabs>
                <w:tab w:val="left" w:pos="436"/>
              </w:tabs>
              <w:spacing w:before="1"/>
              <w:rPr>
                <w:sz w:val="18"/>
              </w:rPr>
            </w:pPr>
            <w:r>
              <w:rPr>
                <w:sz w:val="18"/>
              </w:rPr>
              <w:t>13</w:t>
            </w:r>
            <w:r>
              <w:rPr>
                <w:spacing w:val="-2"/>
                <w:sz w:val="18"/>
              </w:rPr>
              <w:t xml:space="preserve"> </w:t>
            </w:r>
            <w:r>
              <w:rPr>
                <w:sz w:val="18"/>
              </w:rPr>
              <w:t>persons</w:t>
            </w:r>
            <w:r>
              <w:rPr>
                <w:spacing w:val="-1"/>
                <w:sz w:val="18"/>
              </w:rPr>
              <w:t xml:space="preserve"> </w:t>
            </w:r>
            <w:r>
              <w:rPr>
                <w:sz w:val="18"/>
              </w:rPr>
              <w:t>with</w:t>
            </w:r>
            <w:r>
              <w:rPr>
                <w:spacing w:val="-1"/>
                <w:sz w:val="18"/>
              </w:rPr>
              <w:t xml:space="preserve"> </w:t>
            </w:r>
            <w:r>
              <w:rPr>
                <w:spacing w:val="-2"/>
                <w:sz w:val="18"/>
              </w:rPr>
              <w:t>disabilities</w:t>
            </w:r>
          </w:p>
        </w:tc>
      </w:tr>
      <w:tr w:rsidR="00BC24A8" w14:paraId="571B1020" w14:textId="77777777">
        <w:trPr>
          <w:trHeight w:hRule="exact" w:val="242"/>
        </w:trPr>
        <w:tc>
          <w:tcPr>
            <w:tcW w:w="2970" w:type="dxa"/>
            <w:tcBorders>
              <w:bottom w:val="single" w:sz="4" w:space="0" w:color="7E7E7E"/>
              <w:right w:val="single" w:sz="18" w:space="0" w:color="FFFFFF"/>
            </w:tcBorders>
            <w:shd w:val="clear" w:color="auto" w:fill="A7A9AC"/>
          </w:tcPr>
          <w:p w14:paraId="29C7C119" w14:textId="77777777" w:rsidR="00BC24A8" w:rsidRDefault="00000000">
            <w:pPr>
              <w:pStyle w:val="TableParagraph"/>
              <w:spacing w:before="1"/>
              <w:ind w:left="107"/>
              <w:rPr>
                <w:rFonts w:ascii="Trebuchet MS"/>
                <w:b/>
                <w:sz w:val="18"/>
              </w:rPr>
            </w:pPr>
            <w:r w:rsidRPr="00795364">
              <w:rPr>
                <w:rFonts w:ascii="Trebuchet MS"/>
                <w:b/>
                <w:color w:val="383838"/>
                <w:spacing w:val="-4"/>
                <w:w w:val="95"/>
                <w:sz w:val="18"/>
              </w:rPr>
              <w:t>Total</w:t>
            </w:r>
          </w:p>
        </w:tc>
        <w:tc>
          <w:tcPr>
            <w:tcW w:w="990" w:type="dxa"/>
            <w:tcBorders>
              <w:left w:val="single" w:sz="18" w:space="0" w:color="FFFFFF"/>
              <w:bottom w:val="single" w:sz="4" w:space="0" w:color="7E7E7E"/>
              <w:right w:val="single" w:sz="18" w:space="0" w:color="FFFFFF"/>
            </w:tcBorders>
            <w:shd w:val="clear" w:color="auto" w:fill="A7A9AC"/>
          </w:tcPr>
          <w:p w14:paraId="6F4796D3" w14:textId="77777777" w:rsidR="00BC24A8" w:rsidRDefault="00000000">
            <w:pPr>
              <w:pStyle w:val="TableParagraph"/>
              <w:spacing w:before="1" w:line="216" w:lineRule="exact"/>
              <w:ind w:right="2"/>
              <w:jc w:val="center"/>
              <w:rPr>
                <w:rFonts w:ascii="Calibri"/>
                <w:b/>
                <w:sz w:val="18"/>
              </w:rPr>
            </w:pPr>
            <w:r w:rsidRPr="00795364">
              <w:rPr>
                <w:rFonts w:ascii="Calibri"/>
                <w:b/>
                <w:color w:val="383838"/>
                <w:spacing w:val="-5"/>
                <w:sz w:val="18"/>
              </w:rPr>
              <w:t>13</w:t>
            </w:r>
          </w:p>
        </w:tc>
        <w:tc>
          <w:tcPr>
            <w:tcW w:w="691" w:type="dxa"/>
            <w:tcBorders>
              <w:left w:val="single" w:sz="18" w:space="0" w:color="FFFFFF"/>
              <w:bottom w:val="single" w:sz="4" w:space="0" w:color="7E7E7E"/>
            </w:tcBorders>
            <w:shd w:val="clear" w:color="auto" w:fill="A7A9AC"/>
          </w:tcPr>
          <w:p w14:paraId="28720614" w14:textId="77777777" w:rsidR="00BC24A8" w:rsidRDefault="00000000">
            <w:pPr>
              <w:pStyle w:val="TableParagraph"/>
              <w:spacing w:before="1"/>
              <w:ind w:left="85"/>
              <w:rPr>
                <w:rFonts w:ascii="Trebuchet MS"/>
                <w:b/>
                <w:sz w:val="18"/>
              </w:rPr>
            </w:pPr>
            <w:r w:rsidRPr="00795364">
              <w:rPr>
                <w:rFonts w:ascii="Trebuchet MS"/>
                <w:b/>
                <w:color w:val="383838"/>
                <w:spacing w:val="-5"/>
                <w:sz w:val="18"/>
              </w:rPr>
              <w:t>IDR</w:t>
            </w:r>
          </w:p>
        </w:tc>
        <w:tc>
          <w:tcPr>
            <w:tcW w:w="1560" w:type="dxa"/>
            <w:tcBorders>
              <w:bottom w:val="single" w:sz="4" w:space="0" w:color="7E7E7E"/>
              <w:right w:val="single" w:sz="18" w:space="0" w:color="FFFFFF"/>
            </w:tcBorders>
            <w:shd w:val="clear" w:color="auto" w:fill="A7A9AC"/>
          </w:tcPr>
          <w:p w14:paraId="395FF69F" w14:textId="77777777" w:rsidR="00BC24A8" w:rsidRDefault="00000000">
            <w:pPr>
              <w:pStyle w:val="TableParagraph"/>
              <w:spacing w:before="1"/>
              <w:ind w:right="284"/>
              <w:jc w:val="right"/>
              <w:rPr>
                <w:rFonts w:ascii="Trebuchet MS"/>
                <w:b/>
                <w:sz w:val="18"/>
              </w:rPr>
            </w:pPr>
            <w:r w:rsidRPr="00795364">
              <w:rPr>
                <w:rFonts w:ascii="Trebuchet MS"/>
                <w:b/>
                <w:color w:val="383838"/>
                <w:spacing w:val="-2"/>
                <w:w w:val="95"/>
                <w:sz w:val="18"/>
              </w:rPr>
              <w:t>555,878,8G7</w:t>
            </w:r>
          </w:p>
        </w:tc>
        <w:tc>
          <w:tcPr>
            <w:tcW w:w="2880" w:type="dxa"/>
            <w:tcBorders>
              <w:left w:val="single" w:sz="18" w:space="0" w:color="FFFFFF"/>
              <w:bottom w:val="single" w:sz="4" w:space="0" w:color="7E7E7E"/>
            </w:tcBorders>
            <w:shd w:val="clear" w:color="auto" w:fill="A7A9AC"/>
          </w:tcPr>
          <w:p w14:paraId="318504EF" w14:textId="77777777" w:rsidR="00BC24A8" w:rsidRDefault="00BC24A8">
            <w:pPr>
              <w:pStyle w:val="TableParagraph"/>
              <w:rPr>
                <w:rFonts w:ascii="Times New Roman"/>
                <w:sz w:val="16"/>
              </w:rPr>
            </w:pPr>
          </w:p>
        </w:tc>
      </w:tr>
    </w:tbl>
    <w:p w14:paraId="44468A85" w14:textId="77777777" w:rsidR="00BC24A8" w:rsidRDefault="00000000">
      <w:pPr>
        <w:spacing w:before="118"/>
        <w:ind w:left="143"/>
        <w:rPr>
          <w:sz w:val="16"/>
        </w:rPr>
      </w:pPr>
      <w:r>
        <w:rPr>
          <w:sz w:val="16"/>
        </w:rPr>
        <w:t>Data</w:t>
      </w:r>
      <w:r>
        <w:rPr>
          <w:spacing w:val="-7"/>
          <w:sz w:val="16"/>
        </w:rPr>
        <w:t xml:space="preserve"> </w:t>
      </w:r>
      <w:r>
        <w:rPr>
          <w:sz w:val="16"/>
        </w:rPr>
        <w:t>source:</w:t>
      </w:r>
      <w:r>
        <w:rPr>
          <w:spacing w:val="-5"/>
          <w:sz w:val="16"/>
        </w:rPr>
        <w:t xml:space="preserve"> </w:t>
      </w:r>
      <w:r>
        <w:rPr>
          <w:sz w:val="16"/>
        </w:rPr>
        <w:t>Data</w:t>
      </w:r>
      <w:r>
        <w:rPr>
          <w:spacing w:val="-3"/>
          <w:sz w:val="16"/>
        </w:rPr>
        <w:t xml:space="preserve"> </w:t>
      </w:r>
      <w:r>
        <w:rPr>
          <w:sz w:val="16"/>
        </w:rPr>
        <w:t>SAMA</w:t>
      </w:r>
      <w:r>
        <w:rPr>
          <w:spacing w:val="-5"/>
          <w:sz w:val="16"/>
        </w:rPr>
        <w:t xml:space="preserve"> </w:t>
      </w:r>
      <w:r>
        <w:rPr>
          <w:sz w:val="16"/>
        </w:rPr>
        <w:t>in</w:t>
      </w:r>
      <w:r>
        <w:rPr>
          <w:spacing w:val="-6"/>
          <w:sz w:val="16"/>
        </w:rPr>
        <w:t xml:space="preserve"> </w:t>
      </w:r>
      <w:r>
        <w:rPr>
          <w:sz w:val="16"/>
        </w:rPr>
        <w:t>MIS</w:t>
      </w:r>
      <w:r>
        <w:rPr>
          <w:spacing w:val="-4"/>
          <w:sz w:val="16"/>
        </w:rPr>
        <w:t xml:space="preserve"> </w:t>
      </w:r>
      <w:r>
        <w:rPr>
          <w:sz w:val="16"/>
        </w:rPr>
        <w:t>SKALA</w:t>
      </w:r>
      <w:r>
        <w:rPr>
          <w:spacing w:val="-5"/>
          <w:sz w:val="16"/>
        </w:rPr>
        <w:t xml:space="preserve"> </w:t>
      </w:r>
      <w:r>
        <w:rPr>
          <w:sz w:val="16"/>
        </w:rPr>
        <w:t>per</w:t>
      </w:r>
      <w:r>
        <w:rPr>
          <w:spacing w:val="-4"/>
          <w:sz w:val="16"/>
        </w:rPr>
        <w:t xml:space="preserve"> </w:t>
      </w:r>
      <w:r>
        <w:rPr>
          <w:sz w:val="16"/>
        </w:rPr>
        <w:t>August</w:t>
      </w:r>
      <w:r>
        <w:rPr>
          <w:spacing w:val="-4"/>
          <w:sz w:val="16"/>
        </w:rPr>
        <w:t xml:space="preserve"> </w:t>
      </w:r>
      <w:r>
        <w:rPr>
          <w:sz w:val="16"/>
        </w:rPr>
        <w:t>6,</w:t>
      </w:r>
      <w:r>
        <w:rPr>
          <w:spacing w:val="-4"/>
          <w:sz w:val="16"/>
        </w:rPr>
        <w:t xml:space="preserve"> 2025</w:t>
      </w:r>
    </w:p>
    <w:p w14:paraId="613CE38F" w14:textId="77777777" w:rsidR="00BC24A8" w:rsidRDefault="00BC24A8">
      <w:pPr>
        <w:pStyle w:val="BodyText"/>
        <w:spacing w:before="126"/>
        <w:rPr>
          <w:sz w:val="16"/>
        </w:rPr>
      </w:pPr>
    </w:p>
    <w:p w14:paraId="77F2DD95" w14:textId="77777777" w:rsidR="00BC24A8" w:rsidRDefault="00000000">
      <w:pPr>
        <w:pStyle w:val="BodyText"/>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3"/>
        </w:rPr>
        <w:t xml:space="preserve"> </w:t>
      </w:r>
      <w:r>
        <w:rPr>
          <w:rFonts w:ascii="Calibri"/>
          <w:color w:val="272727"/>
        </w:rPr>
        <w:t>at</w:t>
      </w:r>
      <w:r>
        <w:rPr>
          <w:rFonts w:ascii="Calibri"/>
          <w:color w:val="272727"/>
          <w:spacing w:val="-4"/>
        </w:rPr>
        <w:t xml:space="preserve"> </w:t>
      </w:r>
      <w:r>
        <w:rPr>
          <w:rFonts w:ascii="Calibri"/>
          <w:color w:val="272727"/>
        </w:rPr>
        <w:t>the</w:t>
      </w:r>
      <w:r>
        <w:rPr>
          <w:rFonts w:ascii="Calibri"/>
          <w:color w:val="272727"/>
          <w:spacing w:val="-5"/>
        </w:rPr>
        <w:t xml:space="preserve"> </w:t>
      </w:r>
      <w:r>
        <w:rPr>
          <w:rFonts w:ascii="Calibri"/>
          <w:color w:val="272727"/>
        </w:rPr>
        <w:t>Output</w:t>
      </w:r>
      <w:r>
        <w:rPr>
          <w:rFonts w:ascii="Calibri"/>
          <w:color w:val="272727"/>
          <w:spacing w:val="-2"/>
        </w:rPr>
        <w:t xml:space="preserve"> </w:t>
      </w:r>
      <w:r>
        <w:rPr>
          <w:rFonts w:ascii="Calibri"/>
          <w:color w:val="272727"/>
          <w:spacing w:val="-4"/>
        </w:rPr>
        <w:t>level</w:t>
      </w:r>
    </w:p>
    <w:p w14:paraId="3B2B87E7" w14:textId="77777777" w:rsidR="00BC24A8" w:rsidRDefault="00BC24A8">
      <w:pPr>
        <w:pStyle w:val="BodyText"/>
        <w:spacing w:before="75"/>
        <w:rPr>
          <w:rFonts w:ascii="Calibri"/>
        </w:rPr>
      </w:pPr>
    </w:p>
    <w:p w14:paraId="10097C9E" w14:textId="77777777" w:rsidR="00BC24A8" w:rsidRDefault="00000000">
      <w:pPr>
        <w:pStyle w:val="Heading5"/>
      </w:pPr>
      <w:bookmarkStart w:id="142" w:name="_bookmark93"/>
      <w:bookmarkEnd w:id="142"/>
      <w:r>
        <w:rPr>
          <w:color w:val="767070"/>
        </w:rPr>
        <w:t>Table</w:t>
      </w:r>
      <w:r>
        <w:rPr>
          <w:color w:val="767070"/>
          <w:spacing w:val="-7"/>
        </w:rPr>
        <w:t xml:space="preserve"> </w:t>
      </w:r>
      <w:r>
        <w:rPr>
          <w:color w:val="767070"/>
        </w:rPr>
        <w:t>9:</w:t>
      </w:r>
      <w:r>
        <w:rPr>
          <w:color w:val="767070"/>
          <w:spacing w:val="-8"/>
        </w:rPr>
        <w:t xml:space="preserve"> </w:t>
      </w:r>
      <w:r>
        <w:rPr>
          <w:color w:val="767070"/>
        </w:rPr>
        <w:t>Table</w:t>
      </w:r>
      <w:r>
        <w:rPr>
          <w:color w:val="767070"/>
          <w:spacing w:val="-6"/>
        </w:rPr>
        <w:t xml:space="preserve"> </w:t>
      </w:r>
      <w:r>
        <w:rPr>
          <w:color w:val="767070"/>
        </w:rPr>
        <w:t>of</w:t>
      </w:r>
      <w:r>
        <w:rPr>
          <w:color w:val="767070"/>
          <w:spacing w:val="-5"/>
        </w:rPr>
        <w:t xml:space="preserve"> </w:t>
      </w:r>
      <w:r>
        <w:rPr>
          <w:color w:val="767070"/>
        </w:rPr>
        <w:t>summary</w:t>
      </w:r>
      <w:r>
        <w:rPr>
          <w:color w:val="767070"/>
          <w:spacing w:val="-9"/>
        </w:rPr>
        <w:t xml:space="preserve"> </w:t>
      </w:r>
      <w:r>
        <w:rPr>
          <w:color w:val="767070"/>
        </w:rPr>
        <w:t>of</w:t>
      </w:r>
      <w:r>
        <w:rPr>
          <w:color w:val="767070"/>
          <w:spacing w:val="-5"/>
        </w:rPr>
        <w:t xml:space="preserve"> </w:t>
      </w:r>
      <w:r>
        <w:rPr>
          <w:color w:val="767070"/>
        </w:rPr>
        <w:t>FY</w:t>
      </w:r>
      <w:r>
        <w:rPr>
          <w:color w:val="767070"/>
          <w:spacing w:val="-4"/>
        </w:rPr>
        <w:t xml:space="preserve"> </w:t>
      </w:r>
      <w:r>
        <w:rPr>
          <w:color w:val="767070"/>
        </w:rPr>
        <w:t>2024/2025</w:t>
      </w:r>
      <w:r>
        <w:rPr>
          <w:color w:val="767070"/>
          <w:spacing w:val="-6"/>
        </w:rPr>
        <w:t xml:space="preserve"> </w:t>
      </w:r>
      <w:r>
        <w:rPr>
          <w:color w:val="767070"/>
        </w:rPr>
        <w:t>work</w:t>
      </w:r>
      <w:r>
        <w:rPr>
          <w:color w:val="767070"/>
          <w:spacing w:val="-8"/>
        </w:rPr>
        <w:t xml:space="preserve"> </w:t>
      </w:r>
      <w:r>
        <w:rPr>
          <w:color w:val="767070"/>
        </w:rPr>
        <w:t>plan</w:t>
      </w:r>
      <w:r>
        <w:rPr>
          <w:color w:val="767070"/>
          <w:spacing w:val="-6"/>
        </w:rPr>
        <w:t xml:space="preserve"> </w:t>
      </w:r>
      <w:r>
        <w:rPr>
          <w:color w:val="767070"/>
        </w:rPr>
        <w:t>outputs</w:t>
      </w:r>
      <w:r>
        <w:rPr>
          <w:color w:val="767070"/>
          <w:spacing w:val="-5"/>
        </w:rPr>
        <w:t xml:space="preserve"> </w:t>
      </w:r>
      <w:r>
        <w:rPr>
          <w:color w:val="767070"/>
        </w:rPr>
        <w:t>as</w:t>
      </w:r>
      <w:r>
        <w:rPr>
          <w:color w:val="767070"/>
          <w:spacing w:val="-4"/>
        </w:rPr>
        <w:t xml:space="preserve"> </w:t>
      </w:r>
      <w:r>
        <w:rPr>
          <w:color w:val="767070"/>
        </w:rPr>
        <w:t>of</w:t>
      </w:r>
      <w:r>
        <w:rPr>
          <w:color w:val="767070"/>
          <w:spacing w:val="-5"/>
        </w:rPr>
        <w:t xml:space="preserve"> </w:t>
      </w:r>
      <w:r>
        <w:rPr>
          <w:color w:val="767070"/>
        </w:rPr>
        <w:t>June</w:t>
      </w:r>
      <w:r>
        <w:rPr>
          <w:color w:val="767070"/>
          <w:spacing w:val="-6"/>
        </w:rPr>
        <w:t xml:space="preserve"> </w:t>
      </w:r>
      <w:r>
        <w:rPr>
          <w:color w:val="767070"/>
          <w:spacing w:val="-4"/>
        </w:rPr>
        <w:t>2025</w:t>
      </w:r>
    </w:p>
    <w:p w14:paraId="56FE68C1" w14:textId="77777777" w:rsidR="00BC24A8" w:rsidRDefault="00BC24A8">
      <w:pPr>
        <w:pStyle w:val="BodyText"/>
        <w:spacing w:before="4" w:after="1"/>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1285"/>
        <w:gridCol w:w="1934"/>
        <w:gridCol w:w="1622"/>
        <w:gridCol w:w="1417"/>
        <w:gridCol w:w="2832"/>
      </w:tblGrid>
      <w:tr w:rsidR="00BC24A8" w14:paraId="08A50209" w14:textId="77777777">
        <w:trPr>
          <w:trHeight w:val="263"/>
        </w:trPr>
        <w:tc>
          <w:tcPr>
            <w:tcW w:w="1285" w:type="dxa"/>
            <w:tcBorders>
              <w:top w:val="single" w:sz="4" w:space="0" w:color="7E7E7E"/>
              <w:right w:val="single" w:sz="24" w:space="0" w:color="FFFFFF"/>
            </w:tcBorders>
            <w:shd w:val="clear" w:color="auto" w:fill="17365A"/>
          </w:tcPr>
          <w:p w14:paraId="79058628" w14:textId="77777777" w:rsidR="00BC24A8" w:rsidRDefault="00000000">
            <w:pPr>
              <w:pStyle w:val="TableParagraph"/>
              <w:spacing w:before="1" w:line="242" w:lineRule="exact"/>
              <w:ind w:left="107"/>
              <w:rPr>
                <w:rFonts w:ascii="Calibri"/>
                <w:b/>
                <w:sz w:val="20"/>
              </w:rPr>
            </w:pPr>
            <w:r>
              <w:rPr>
                <w:rFonts w:ascii="Calibri"/>
                <w:b/>
                <w:color w:val="FFFFFF"/>
                <w:spacing w:val="-2"/>
                <w:sz w:val="20"/>
              </w:rPr>
              <w:t>Output</w:t>
            </w:r>
          </w:p>
        </w:tc>
        <w:tc>
          <w:tcPr>
            <w:tcW w:w="1934" w:type="dxa"/>
            <w:tcBorders>
              <w:top w:val="single" w:sz="4" w:space="0" w:color="7E7E7E"/>
              <w:left w:val="single" w:sz="24" w:space="0" w:color="FFFFFF"/>
              <w:right w:val="single" w:sz="24" w:space="0" w:color="FFFFFF"/>
            </w:tcBorders>
            <w:shd w:val="clear" w:color="auto" w:fill="17365A"/>
          </w:tcPr>
          <w:p w14:paraId="63F8A8C3" w14:textId="77777777" w:rsidR="00BC24A8" w:rsidRDefault="00000000">
            <w:pPr>
              <w:pStyle w:val="TableParagraph"/>
              <w:spacing w:before="1" w:line="242" w:lineRule="exact"/>
              <w:ind w:left="2"/>
              <w:jc w:val="center"/>
              <w:rPr>
                <w:rFonts w:ascii="Calibri"/>
                <w:b/>
                <w:sz w:val="20"/>
              </w:rPr>
            </w:pPr>
            <w:r>
              <w:rPr>
                <w:rFonts w:ascii="Calibri"/>
                <w:b/>
                <w:color w:val="FFFFFF"/>
                <w:spacing w:val="-2"/>
                <w:sz w:val="20"/>
              </w:rPr>
              <w:t>Completed</w:t>
            </w:r>
          </w:p>
        </w:tc>
        <w:tc>
          <w:tcPr>
            <w:tcW w:w="1622" w:type="dxa"/>
            <w:tcBorders>
              <w:top w:val="single" w:sz="4" w:space="0" w:color="7E7E7E"/>
              <w:left w:val="single" w:sz="24" w:space="0" w:color="FFFFFF"/>
              <w:right w:val="single" w:sz="24" w:space="0" w:color="FFFFFF"/>
            </w:tcBorders>
            <w:shd w:val="clear" w:color="auto" w:fill="17365A"/>
          </w:tcPr>
          <w:p w14:paraId="556F20F9" w14:textId="77777777" w:rsidR="00BC24A8" w:rsidRDefault="00000000">
            <w:pPr>
              <w:pStyle w:val="TableParagraph"/>
              <w:spacing w:before="1" w:line="242" w:lineRule="exact"/>
              <w:ind w:left="2"/>
              <w:jc w:val="center"/>
              <w:rPr>
                <w:rFonts w:ascii="Calibri"/>
                <w:b/>
                <w:sz w:val="20"/>
              </w:rPr>
            </w:pPr>
            <w:r>
              <w:rPr>
                <w:rFonts w:ascii="Calibri"/>
                <w:b/>
                <w:color w:val="FFFFFF"/>
                <w:spacing w:val="-2"/>
                <w:sz w:val="20"/>
              </w:rPr>
              <w:t>Ongoing</w:t>
            </w:r>
          </w:p>
        </w:tc>
        <w:tc>
          <w:tcPr>
            <w:tcW w:w="1417" w:type="dxa"/>
            <w:tcBorders>
              <w:top w:val="single" w:sz="4" w:space="0" w:color="7E7E7E"/>
              <w:left w:val="single" w:sz="24" w:space="0" w:color="FFFFFF"/>
              <w:right w:val="single" w:sz="18" w:space="0" w:color="FFFFFF"/>
            </w:tcBorders>
            <w:shd w:val="clear" w:color="auto" w:fill="17365A"/>
          </w:tcPr>
          <w:p w14:paraId="2350CC05" w14:textId="77777777" w:rsidR="00BC24A8" w:rsidRDefault="00000000">
            <w:pPr>
              <w:pStyle w:val="TableParagraph"/>
              <w:spacing w:before="1" w:line="242" w:lineRule="exact"/>
              <w:ind w:right="3"/>
              <w:jc w:val="center"/>
              <w:rPr>
                <w:rFonts w:ascii="Calibri"/>
                <w:b/>
                <w:sz w:val="20"/>
              </w:rPr>
            </w:pPr>
            <w:r>
              <w:rPr>
                <w:rFonts w:ascii="Calibri"/>
                <w:b/>
                <w:color w:val="FFFFFF"/>
                <w:sz w:val="20"/>
              </w:rPr>
              <w:t>Not</w:t>
            </w:r>
            <w:r>
              <w:rPr>
                <w:rFonts w:ascii="Calibri"/>
                <w:b/>
                <w:color w:val="FFFFFF"/>
                <w:spacing w:val="-4"/>
                <w:sz w:val="20"/>
              </w:rPr>
              <w:t xml:space="preserve"> </w:t>
            </w:r>
            <w:r>
              <w:rPr>
                <w:rFonts w:ascii="Calibri"/>
                <w:b/>
                <w:color w:val="FFFFFF"/>
                <w:spacing w:val="-2"/>
                <w:sz w:val="20"/>
              </w:rPr>
              <w:t>started</w:t>
            </w:r>
          </w:p>
        </w:tc>
        <w:tc>
          <w:tcPr>
            <w:tcW w:w="2832" w:type="dxa"/>
            <w:tcBorders>
              <w:top w:val="single" w:sz="4" w:space="0" w:color="7E7E7E"/>
              <w:left w:val="single" w:sz="18" w:space="0" w:color="FFFFFF"/>
            </w:tcBorders>
            <w:shd w:val="clear" w:color="auto" w:fill="17365A"/>
          </w:tcPr>
          <w:p w14:paraId="6DAFB44E" w14:textId="77777777" w:rsidR="00BC24A8" w:rsidRDefault="00000000">
            <w:pPr>
              <w:pStyle w:val="TableParagraph"/>
              <w:spacing w:before="1" w:line="242" w:lineRule="exact"/>
              <w:ind w:right="24"/>
              <w:jc w:val="center"/>
              <w:rPr>
                <w:rFonts w:ascii="Calibri"/>
                <w:b/>
                <w:sz w:val="20"/>
              </w:rPr>
            </w:pPr>
            <w:r>
              <w:rPr>
                <w:rFonts w:ascii="Calibri"/>
                <w:b/>
                <w:color w:val="FFFFFF"/>
                <w:spacing w:val="-2"/>
                <w:sz w:val="20"/>
              </w:rPr>
              <w:t>TOTAL</w:t>
            </w:r>
          </w:p>
        </w:tc>
      </w:tr>
      <w:tr w:rsidR="00BC24A8" w14:paraId="074EC3A6" w14:textId="77777777">
        <w:trPr>
          <w:trHeight w:val="364"/>
        </w:trPr>
        <w:tc>
          <w:tcPr>
            <w:tcW w:w="1285" w:type="dxa"/>
            <w:tcBorders>
              <w:bottom w:val="single" w:sz="4" w:space="0" w:color="7E7E7E"/>
            </w:tcBorders>
          </w:tcPr>
          <w:p w14:paraId="3D4BC3C0" w14:textId="77777777" w:rsidR="00BC24A8" w:rsidRDefault="00000000">
            <w:pPr>
              <w:pStyle w:val="TableParagraph"/>
              <w:spacing w:before="47"/>
              <w:ind w:left="107"/>
              <w:rPr>
                <w:sz w:val="18"/>
              </w:rPr>
            </w:pPr>
            <w:r>
              <w:rPr>
                <w:spacing w:val="-5"/>
                <w:sz w:val="18"/>
              </w:rPr>
              <w:t>DNA</w:t>
            </w:r>
          </w:p>
        </w:tc>
        <w:tc>
          <w:tcPr>
            <w:tcW w:w="1934" w:type="dxa"/>
            <w:tcBorders>
              <w:bottom w:val="single" w:sz="4" w:space="0" w:color="7E7E7E"/>
            </w:tcBorders>
          </w:tcPr>
          <w:p w14:paraId="1EA1643C" w14:textId="77777777" w:rsidR="00BC24A8" w:rsidRDefault="00000000">
            <w:pPr>
              <w:pStyle w:val="TableParagraph"/>
              <w:spacing w:before="47"/>
              <w:ind w:left="3"/>
              <w:jc w:val="center"/>
              <w:rPr>
                <w:sz w:val="18"/>
              </w:rPr>
            </w:pPr>
            <w:r>
              <w:rPr>
                <w:spacing w:val="-5"/>
                <w:sz w:val="18"/>
              </w:rPr>
              <w:t>10</w:t>
            </w:r>
          </w:p>
        </w:tc>
        <w:tc>
          <w:tcPr>
            <w:tcW w:w="1622" w:type="dxa"/>
            <w:tcBorders>
              <w:bottom w:val="single" w:sz="4" w:space="0" w:color="7E7E7E"/>
            </w:tcBorders>
          </w:tcPr>
          <w:p w14:paraId="308F1037" w14:textId="77777777" w:rsidR="00BC24A8" w:rsidRDefault="00000000">
            <w:pPr>
              <w:pStyle w:val="TableParagraph"/>
              <w:spacing w:before="47"/>
              <w:ind w:right="1"/>
              <w:jc w:val="center"/>
              <w:rPr>
                <w:sz w:val="18"/>
              </w:rPr>
            </w:pPr>
            <w:r>
              <w:rPr>
                <w:spacing w:val="-10"/>
                <w:sz w:val="18"/>
              </w:rPr>
              <w:t>-</w:t>
            </w:r>
          </w:p>
        </w:tc>
        <w:tc>
          <w:tcPr>
            <w:tcW w:w="1417" w:type="dxa"/>
            <w:tcBorders>
              <w:bottom w:val="single" w:sz="4" w:space="0" w:color="7E7E7E"/>
            </w:tcBorders>
          </w:tcPr>
          <w:p w14:paraId="7B6DCD37" w14:textId="77777777" w:rsidR="00BC24A8" w:rsidRDefault="00000000">
            <w:pPr>
              <w:pStyle w:val="TableParagraph"/>
              <w:spacing w:before="47"/>
              <w:ind w:left="1" w:right="1"/>
              <w:jc w:val="center"/>
              <w:rPr>
                <w:sz w:val="18"/>
              </w:rPr>
            </w:pPr>
            <w:r>
              <w:rPr>
                <w:spacing w:val="-10"/>
                <w:sz w:val="18"/>
              </w:rPr>
              <w:t>-</w:t>
            </w:r>
          </w:p>
        </w:tc>
        <w:tc>
          <w:tcPr>
            <w:tcW w:w="2832" w:type="dxa"/>
            <w:tcBorders>
              <w:bottom w:val="single" w:sz="4" w:space="0" w:color="7E7E7E"/>
            </w:tcBorders>
          </w:tcPr>
          <w:p w14:paraId="3E66C2DF" w14:textId="77777777" w:rsidR="00BC24A8" w:rsidRDefault="00000000">
            <w:pPr>
              <w:pStyle w:val="TableParagraph"/>
              <w:spacing w:before="47"/>
              <w:jc w:val="center"/>
              <w:rPr>
                <w:sz w:val="18"/>
              </w:rPr>
            </w:pPr>
            <w:r>
              <w:rPr>
                <w:spacing w:val="-5"/>
                <w:sz w:val="18"/>
              </w:rPr>
              <w:t>10</w:t>
            </w:r>
          </w:p>
        </w:tc>
      </w:tr>
      <w:tr w:rsidR="00BC24A8" w14:paraId="73998F83" w14:textId="77777777">
        <w:trPr>
          <w:trHeight w:val="299"/>
        </w:trPr>
        <w:tc>
          <w:tcPr>
            <w:tcW w:w="1285" w:type="dxa"/>
            <w:tcBorders>
              <w:top w:val="single" w:sz="4" w:space="0" w:color="7E7E7E"/>
              <w:bottom w:val="single" w:sz="4" w:space="0" w:color="7E7E7E"/>
            </w:tcBorders>
          </w:tcPr>
          <w:p w14:paraId="73B47A96" w14:textId="77777777" w:rsidR="00BC24A8" w:rsidRDefault="00000000">
            <w:pPr>
              <w:pStyle w:val="TableParagraph"/>
              <w:spacing w:before="1"/>
              <w:ind w:left="107"/>
              <w:rPr>
                <w:sz w:val="18"/>
              </w:rPr>
            </w:pPr>
            <w:r>
              <w:rPr>
                <w:spacing w:val="-5"/>
                <w:sz w:val="18"/>
              </w:rPr>
              <w:t>MSS</w:t>
            </w:r>
          </w:p>
        </w:tc>
        <w:tc>
          <w:tcPr>
            <w:tcW w:w="1934" w:type="dxa"/>
            <w:tcBorders>
              <w:top w:val="single" w:sz="4" w:space="0" w:color="7E7E7E"/>
              <w:bottom w:val="single" w:sz="4" w:space="0" w:color="7E7E7E"/>
            </w:tcBorders>
          </w:tcPr>
          <w:p w14:paraId="6DCFD10A" w14:textId="77777777" w:rsidR="00BC24A8" w:rsidRDefault="00000000">
            <w:pPr>
              <w:pStyle w:val="TableParagraph"/>
              <w:spacing w:before="1"/>
              <w:ind w:left="3"/>
              <w:jc w:val="center"/>
              <w:rPr>
                <w:sz w:val="18"/>
              </w:rPr>
            </w:pPr>
            <w:r>
              <w:rPr>
                <w:spacing w:val="-10"/>
                <w:sz w:val="18"/>
              </w:rPr>
              <w:t>3</w:t>
            </w:r>
          </w:p>
        </w:tc>
        <w:tc>
          <w:tcPr>
            <w:tcW w:w="1622" w:type="dxa"/>
            <w:tcBorders>
              <w:top w:val="single" w:sz="4" w:space="0" w:color="7E7E7E"/>
              <w:bottom w:val="single" w:sz="4" w:space="0" w:color="7E7E7E"/>
            </w:tcBorders>
          </w:tcPr>
          <w:p w14:paraId="589352E9" w14:textId="77777777" w:rsidR="00BC24A8" w:rsidRDefault="00000000">
            <w:pPr>
              <w:pStyle w:val="TableParagraph"/>
              <w:spacing w:before="1"/>
              <w:ind w:left="1" w:right="1"/>
              <w:jc w:val="center"/>
              <w:rPr>
                <w:sz w:val="18"/>
              </w:rPr>
            </w:pPr>
            <w:r>
              <w:rPr>
                <w:spacing w:val="-10"/>
                <w:sz w:val="18"/>
              </w:rPr>
              <w:t>3</w:t>
            </w:r>
          </w:p>
        </w:tc>
        <w:tc>
          <w:tcPr>
            <w:tcW w:w="1417" w:type="dxa"/>
            <w:tcBorders>
              <w:top w:val="single" w:sz="4" w:space="0" w:color="7E7E7E"/>
              <w:bottom w:val="single" w:sz="4" w:space="0" w:color="7E7E7E"/>
            </w:tcBorders>
          </w:tcPr>
          <w:p w14:paraId="26E08C3D" w14:textId="77777777" w:rsidR="00BC24A8" w:rsidRDefault="00000000">
            <w:pPr>
              <w:pStyle w:val="TableParagraph"/>
              <w:spacing w:before="1"/>
              <w:ind w:right="1"/>
              <w:jc w:val="center"/>
              <w:rPr>
                <w:sz w:val="18"/>
              </w:rPr>
            </w:pPr>
            <w:r>
              <w:rPr>
                <w:spacing w:val="-10"/>
                <w:sz w:val="18"/>
              </w:rPr>
              <w:t>3</w:t>
            </w:r>
          </w:p>
        </w:tc>
        <w:tc>
          <w:tcPr>
            <w:tcW w:w="2832" w:type="dxa"/>
            <w:tcBorders>
              <w:top w:val="single" w:sz="4" w:space="0" w:color="7E7E7E"/>
              <w:bottom w:val="single" w:sz="4" w:space="0" w:color="7E7E7E"/>
            </w:tcBorders>
          </w:tcPr>
          <w:p w14:paraId="0F70C09A" w14:textId="77777777" w:rsidR="00BC24A8" w:rsidRDefault="00000000">
            <w:pPr>
              <w:pStyle w:val="TableParagraph"/>
              <w:spacing w:before="1"/>
              <w:jc w:val="center"/>
              <w:rPr>
                <w:sz w:val="18"/>
              </w:rPr>
            </w:pPr>
            <w:r>
              <w:rPr>
                <w:spacing w:val="-10"/>
                <w:sz w:val="18"/>
              </w:rPr>
              <w:t>9</w:t>
            </w:r>
          </w:p>
        </w:tc>
      </w:tr>
      <w:tr w:rsidR="00BC24A8" w14:paraId="18F7C137" w14:textId="77777777">
        <w:trPr>
          <w:trHeight w:val="301"/>
        </w:trPr>
        <w:tc>
          <w:tcPr>
            <w:tcW w:w="1285" w:type="dxa"/>
            <w:tcBorders>
              <w:top w:val="single" w:sz="4" w:space="0" w:color="7E7E7E"/>
              <w:bottom w:val="single" w:sz="4" w:space="0" w:color="7E7E7E"/>
            </w:tcBorders>
          </w:tcPr>
          <w:p w14:paraId="65237DF0" w14:textId="77777777" w:rsidR="00BC24A8" w:rsidRDefault="00000000">
            <w:pPr>
              <w:pStyle w:val="TableParagraph"/>
              <w:spacing w:before="1"/>
              <w:ind w:left="107"/>
              <w:rPr>
                <w:sz w:val="18"/>
              </w:rPr>
            </w:pPr>
            <w:r>
              <w:rPr>
                <w:spacing w:val="-5"/>
                <w:sz w:val="18"/>
              </w:rPr>
              <w:t>PFM</w:t>
            </w:r>
          </w:p>
        </w:tc>
        <w:tc>
          <w:tcPr>
            <w:tcW w:w="1934" w:type="dxa"/>
            <w:tcBorders>
              <w:top w:val="single" w:sz="4" w:space="0" w:color="7E7E7E"/>
              <w:bottom w:val="single" w:sz="4" w:space="0" w:color="7E7E7E"/>
            </w:tcBorders>
          </w:tcPr>
          <w:p w14:paraId="1DA34904" w14:textId="77777777" w:rsidR="00BC24A8" w:rsidRDefault="00000000">
            <w:pPr>
              <w:pStyle w:val="TableParagraph"/>
              <w:spacing w:before="1"/>
              <w:ind w:left="3"/>
              <w:jc w:val="center"/>
              <w:rPr>
                <w:sz w:val="18"/>
              </w:rPr>
            </w:pPr>
            <w:r>
              <w:rPr>
                <w:spacing w:val="-5"/>
                <w:sz w:val="18"/>
              </w:rPr>
              <w:t>12</w:t>
            </w:r>
          </w:p>
        </w:tc>
        <w:tc>
          <w:tcPr>
            <w:tcW w:w="1622" w:type="dxa"/>
            <w:tcBorders>
              <w:top w:val="single" w:sz="4" w:space="0" w:color="7E7E7E"/>
              <w:bottom w:val="single" w:sz="4" w:space="0" w:color="7E7E7E"/>
            </w:tcBorders>
          </w:tcPr>
          <w:p w14:paraId="1C34D65A" w14:textId="77777777" w:rsidR="00BC24A8" w:rsidRDefault="00000000">
            <w:pPr>
              <w:pStyle w:val="TableParagraph"/>
              <w:spacing w:before="1"/>
              <w:ind w:right="1"/>
              <w:jc w:val="center"/>
              <w:rPr>
                <w:sz w:val="18"/>
              </w:rPr>
            </w:pPr>
            <w:r>
              <w:rPr>
                <w:spacing w:val="-10"/>
                <w:sz w:val="18"/>
              </w:rPr>
              <w:t>-</w:t>
            </w:r>
          </w:p>
        </w:tc>
        <w:tc>
          <w:tcPr>
            <w:tcW w:w="1417" w:type="dxa"/>
            <w:tcBorders>
              <w:top w:val="single" w:sz="4" w:space="0" w:color="7E7E7E"/>
              <w:bottom w:val="single" w:sz="4" w:space="0" w:color="7E7E7E"/>
            </w:tcBorders>
          </w:tcPr>
          <w:p w14:paraId="32100181" w14:textId="77777777" w:rsidR="00BC24A8" w:rsidRDefault="00000000">
            <w:pPr>
              <w:pStyle w:val="TableParagraph"/>
              <w:spacing w:before="1"/>
              <w:ind w:left="1" w:right="1"/>
              <w:jc w:val="center"/>
              <w:rPr>
                <w:sz w:val="18"/>
              </w:rPr>
            </w:pPr>
            <w:r>
              <w:rPr>
                <w:spacing w:val="-10"/>
                <w:sz w:val="18"/>
              </w:rPr>
              <w:t>-</w:t>
            </w:r>
          </w:p>
        </w:tc>
        <w:tc>
          <w:tcPr>
            <w:tcW w:w="2832" w:type="dxa"/>
            <w:tcBorders>
              <w:top w:val="single" w:sz="4" w:space="0" w:color="7E7E7E"/>
              <w:bottom w:val="single" w:sz="4" w:space="0" w:color="7E7E7E"/>
            </w:tcBorders>
          </w:tcPr>
          <w:p w14:paraId="2B167E4B" w14:textId="77777777" w:rsidR="00BC24A8" w:rsidRDefault="00000000">
            <w:pPr>
              <w:pStyle w:val="TableParagraph"/>
              <w:spacing w:before="1"/>
              <w:jc w:val="center"/>
              <w:rPr>
                <w:sz w:val="18"/>
              </w:rPr>
            </w:pPr>
            <w:r>
              <w:rPr>
                <w:spacing w:val="-5"/>
                <w:sz w:val="18"/>
              </w:rPr>
              <w:t>12</w:t>
            </w:r>
          </w:p>
        </w:tc>
      </w:tr>
      <w:tr w:rsidR="00BC24A8" w14:paraId="0D3C9624" w14:textId="77777777">
        <w:trPr>
          <w:trHeight w:val="342"/>
        </w:trPr>
        <w:tc>
          <w:tcPr>
            <w:tcW w:w="1285" w:type="dxa"/>
            <w:tcBorders>
              <w:top w:val="single" w:sz="4" w:space="0" w:color="7E7E7E"/>
            </w:tcBorders>
          </w:tcPr>
          <w:p w14:paraId="73BC16C5" w14:textId="77777777" w:rsidR="00BC24A8" w:rsidRDefault="00000000">
            <w:pPr>
              <w:pStyle w:val="TableParagraph"/>
              <w:spacing w:before="1"/>
              <w:ind w:left="107"/>
              <w:rPr>
                <w:sz w:val="18"/>
              </w:rPr>
            </w:pPr>
            <w:r>
              <w:rPr>
                <w:spacing w:val="-2"/>
                <w:sz w:val="18"/>
              </w:rPr>
              <w:t>GEDSI</w:t>
            </w:r>
          </w:p>
        </w:tc>
        <w:tc>
          <w:tcPr>
            <w:tcW w:w="1934" w:type="dxa"/>
            <w:tcBorders>
              <w:top w:val="single" w:sz="4" w:space="0" w:color="7E7E7E"/>
            </w:tcBorders>
          </w:tcPr>
          <w:p w14:paraId="11C281D3" w14:textId="77777777" w:rsidR="00BC24A8" w:rsidRDefault="00000000">
            <w:pPr>
              <w:pStyle w:val="TableParagraph"/>
              <w:spacing w:before="1"/>
              <w:ind w:left="3"/>
              <w:jc w:val="center"/>
              <w:rPr>
                <w:sz w:val="18"/>
              </w:rPr>
            </w:pPr>
            <w:r>
              <w:rPr>
                <w:spacing w:val="-10"/>
                <w:sz w:val="18"/>
              </w:rPr>
              <w:t>7</w:t>
            </w:r>
          </w:p>
        </w:tc>
        <w:tc>
          <w:tcPr>
            <w:tcW w:w="1622" w:type="dxa"/>
            <w:tcBorders>
              <w:top w:val="single" w:sz="4" w:space="0" w:color="7E7E7E"/>
            </w:tcBorders>
          </w:tcPr>
          <w:p w14:paraId="6DFB31AC" w14:textId="77777777" w:rsidR="00BC24A8" w:rsidRDefault="00000000">
            <w:pPr>
              <w:pStyle w:val="TableParagraph"/>
              <w:spacing w:before="1"/>
              <w:ind w:right="1"/>
              <w:jc w:val="center"/>
              <w:rPr>
                <w:sz w:val="18"/>
              </w:rPr>
            </w:pPr>
            <w:r>
              <w:rPr>
                <w:spacing w:val="-10"/>
                <w:sz w:val="18"/>
              </w:rPr>
              <w:t>-</w:t>
            </w:r>
          </w:p>
        </w:tc>
        <w:tc>
          <w:tcPr>
            <w:tcW w:w="1417" w:type="dxa"/>
            <w:tcBorders>
              <w:top w:val="single" w:sz="4" w:space="0" w:color="7E7E7E"/>
            </w:tcBorders>
          </w:tcPr>
          <w:p w14:paraId="58AD9243" w14:textId="77777777" w:rsidR="00BC24A8" w:rsidRDefault="00000000">
            <w:pPr>
              <w:pStyle w:val="TableParagraph"/>
              <w:spacing w:before="1"/>
              <w:ind w:left="1" w:right="1"/>
              <w:jc w:val="center"/>
              <w:rPr>
                <w:sz w:val="18"/>
              </w:rPr>
            </w:pPr>
            <w:r>
              <w:rPr>
                <w:spacing w:val="-10"/>
                <w:sz w:val="18"/>
              </w:rPr>
              <w:t>-</w:t>
            </w:r>
          </w:p>
        </w:tc>
        <w:tc>
          <w:tcPr>
            <w:tcW w:w="2832" w:type="dxa"/>
            <w:tcBorders>
              <w:top w:val="single" w:sz="4" w:space="0" w:color="7E7E7E"/>
            </w:tcBorders>
          </w:tcPr>
          <w:p w14:paraId="15D0FB12" w14:textId="77777777" w:rsidR="00BC24A8" w:rsidRDefault="00000000">
            <w:pPr>
              <w:pStyle w:val="TableParagraph"/>
              <w:spacing w:before="1"/>
              <w:jc w:val="center"/>
              <w:rPr>
                <w:sz w:val="18"/>
              </w:rPr>
            </w:pPr>
            <w:r>
              <w:rPr>
                <w:spacing w:val="-10"/>
                <w:sz w:val="18"/>
              </w:rPr>
              <w:t>7</w:t>
            </w:r>
          </w:p>
        </w:tc>
      </w:tr>
      <w:tr w:rsidR="00BC24A8" w14:paraId="011C17F5" w14:textId="77777777">
        <w:trPr>
          <w:trHeight w:val="304"/>
        </w:trPr>
        <w:tc>
          <w:tcPr>
            <w:tcW w:w="1285" w:type="dxa"/>
            <w:tcBorders>
              <w:bottom w:val="single" w:sz="4" w:space="0" w:color="7E7E7E"/>
              <w:right w:val="single" w:sz="18" w:space="0" w:color="FFFFFF"/>
            </w:tcBorders>
            <w:shd w:val="clear" w:color="auto" w:fill="A7A9AC"/>
          </w:tcPr>
          <w:p w14:paraId="6858AA2F" w14:textId="77777777" w:rsidR="00BC24A8" w:rsidRDefault="00000000">
            <w:pPr>
              <w:pStyle w:val="TableParagraph"/>
              <w:spacing w:before="4"/>
              <w:ind w:left="107"/>
              <w:rPr>
                <w:rFonts w:ascii="Calibri"/>
                <w:b/>
                <w:sz w:val="18"/>
              </w:rPr>
            </w:pPr>
            <w:r w:rsidRPr="00795364">
              <w:rPr>
                <w:rFonts w:ascii="Calibri"/>
                <w:b/>
                <w:color w:val="383838"/>
                <w:spacing w:val="-2"/>
                <w:sz w:val="18"/>
              </w:rPr>
              <w:t>TOTAL</w:t>
            </w:r>
          </w:p>
        </w:tc>
        <w:tc>
          <w:tcPr>
            <w:tcW w:w="1934" w:type="dxa"/>
            <w:tcBorders>
              <w:left w:val="single" w:sz="18" w:space="0" w:color="FFFFFF"/>
              <w:bottom w:val="single" w:sz="4" w:space="0" w:color="7E7E7E"/>
              <w:right w:val="single" w:sz="18" w:space="0" w:color="FFFFFF"/>
            </w:tcBorders>
            <w:shd w:val="clear" w:color="auto" w:fill="A7A9AC"/>
          </w:tcPr>
          <w:p w14:paraId="2C85B560" w14:textId="77777777" w:rsidR="00BC24A8" w:rsidRDefault="00000000">
            <w:pPr>
              <w:pStyle w:val="TableParagraph"/>
              <w:spacing w:before="4"/>
              <w:ind w:left="7" w:right="4"/>
              <w:jc w:val="center"/>
              <w:rPr>
                <w:rFonts w:ascii="Calibri"/>
                <w:b/>
                <w:sz w:val="18"/>
              </w:rPr>
            </w:pPr>
            <w:r w:rsidRPr="00795364">
              <w:rPr>
                <w:rFonts w:ascii="Calibri"/>
                <w:b/>
                <w:color w:val="383838"/>
                <w:spacing w:val="-5"/>
                <w:sz w:val="18"/>
              </w:rPr>
              <w:t>32</w:t>
            </w:r>
          </w:p>
        </w:tc>
        <w:tc>
          <w:tcPr>
            <w:tcW w:w="1622" w:type="dxa"/>
            <w:tcBorders>
              <w:left w:val="single" w:sz="18" w:space="0" w:color="FFFFFF"/>
              <w:bottom w:val="single" w:sz="4" w:space="0" w:color="7E7E7E"/>
              <w:right w:val="single" w:sz="18" w:space="0" w:color="FFFFFF"/>
            </w:tcBorders>
            <w:shd w:val="clear" w:color="auto" w:fill="A7A9AC"/>
          </w:tcPr>
          <w:p w14:paraId="208BF7B9" w14:textId="77777777" w:rsidR="00BC24A8" w:rsidRDefault="00000000">
            <w:pPr>
              <w:pStyle w:val="TableParagraph"/>
              <w:spacing w:before="4"/>
              <w:ind w:left="4"/>
              <w:jc w:val="center"/>
              <w:rPr>
                <w:rFonts w:ascii="Calibri"/>
                <w:b/>
                <w:sz w:val="18"/>
              </w:rPr>
            </w:pPr>
            <w:r w:rsidRPr="00795364">
              <w:rPr>
                <w:rFonts w:ascii="Calibri"/>
                <w:b/>
                <w:color w:val="383838"/>
                <w:spacing w:val="-10"/>
                <w:sz w:val="18"/>
              </w:rPr>
              <w:t>3</w:t>
            </w:r>
          </w:p>
        </w:tc>
        <w:tc>
          <w:tcPr>
            <w:tcW w:w="1417" w:type="dxa"/>
            <w:tcBorders>
              <w:left w:val="single" w:sz="18" w:space="0" w:color="FFFFFF"/>
              <w:bottom w:val="single" w:sz="4" w:space="0" w:color="7E7E7E"/>
              <w:right w:val="single" w:sz="18" w:space="0" w:color="FFFFFF"/>
            </w:tcBorders>
            <w:shd w:val="clear" w:color="auto" w:fill="A7A9AC"/>
          </w:tcPr>
          <w:p w14:paraId="34AB3180" w14:textId="77777777" w:rsidR="00BC24A8" w:rsidRDefault="00000000">
            <w:pPr>
              <w:pStyle w:val="TableParagraph"/>
              <w:spacing w:before="4"/>
              <w:ind w:right="1"/>
              <w:jc w:val="center"/>
              <w:rPr>
                <w:rFonts w:ascii="Calibri"/>
                <w:b/>
                <w:sz w:val="18"/>
              </w:rPr>
            </w:pPr>
            <w:r w:rsidRPr="00795364">
              <w:rPr>
                <w:rFonts w:ascii="Calibri"/>
                <w:b/>
                <w:color w:val="383838"/>
                <w:spacing w:val="-10"/>
                <w:sz w:val="18"/>
              </w:rPr>
              <w:t>3</w:t>
            </w:r>
          </w:p>
        </w:tc>
        <w:tc>
          <w:tcPr>
            <w:tcW w:w="2832" w:type="dxa"/>
            <w:tcBorders>
              <w:left w:val="single" w:sz="18" w:space="0" w:color="FFFFFF"/>
              <w:bottom w:val="single" w:sz="4" w:space="0" w:color="7E7E7E"/>
            </w:tcBorders>
            <w:shd w:val="clear" w:color="auto" w:fill="A7A9AC"/>
          </w:tcPr>
          <w:p w14:paraId="2696C54E" w14:textId="77777777" w:rsidR="00BC24A8" w:rsidRDefault="00000000">
            <w:pPr>
              <w:pStyle w:val="TableParagraph"/>
              <w:spacing w:before="4"/>
              <w:ind w:left="2" w:right="24"/>
              <w:jc w:val="center"/>
              <w:rPr>
                <w:rFonts w:ascii="Calibri"/>
                <w:b/>
                <w:sz w:val="18"/>
              </w:rPr>
            </w:pPr>
            <w:r w:rsidRPr="00795364">
              <w:rPr>
                <w:rFonts w:ascii="Calibri"/>
                <w:b/>
                <w:color w:val="383838"/>
                <w:spacing w:val="-5"/>
                <w:sz w:val="18"/>
              </w:rPr>
              <w:t>38</w:t>
            </w:r>
          </w:p>
        </w:tc>
      </w:tr>
    </w:tbl>
    <w:p w14:paraId="2DCFC495" w14:textId="77777777" w:rsidR="00BC24A8" w:rsidRDefault="00000000">
      <w:pPr>
        <w:spacing w:before="123"/>
        <w:ind w:left="143"/>
        <w:rPr>
          <w:sz w:val="16"/>
        </w:rPr>
      </w:pPr>
      <w:r>
        <w:rPr>
          <w:sz w:val="16"/>
        </w:rPr>
        <w:t>Data</w:t>
      </w:r>
      <w:r>
        <w:rPr>
          <w:spacing w:val="-5"/>
          <w:sz w:val="16"/>
        </w:rPr>
        <w:t xml:space="preserve"> </w:t>
      </w:r>
      <w:r>
        <w:rPr>
          <w:sz w:val="16"/>
        </w:rPr>
        <w:t>source:</w:t>
      </w:r>
      <w:r>
        <w:rPr>
          <w:spacing w:val="-3"/>
          <w:sz w:val="16"/>
        </w:rPr>
        <w:t xml:space="preserve"> </w:t>
      </w:r>
      <w:r>
        <w:rPr>
          <w:sz w:val="16"/>
        </w:rPr>
        <w:t>SKALA</w:t>
      </w:r>
      <w:r>
        <w:rPr>
          <w:spacing w:val="-5"/>
          <w:sz w:val="16"/>
        </w:rPr>
        <w:t xml:space="preserve"> </w:t>
      </w:r>
      <w:r>
        <w:rPr>
          <w:sz w:val="16"/>
        </w:rPr>
        <w:t>MIS</w:t>
      </w:r>
      <w:r>
        <w:rPr>
          <w:spacing w:val="-4"/>
          <w:sz w:val="16"/>
        </w:rPr>
        <w:t xml:space="preserve"> </w:t>
      </w:r>
      <w:r>
        <w:rPr>
          <w:sz w:val="16"/>
        </w:rPr>
        <w:t>as</w:t>
      </w:r>
      <w:r>
        <w:rPr>
          <w:spacing w:val="-5"/>
          <w:sz w:val="16"/>
        </w:rPr>
        <w:t xml:space="preserve"> </w:t>
      </w:r>
      <w:r>
        <w:rPr>
          <w:sz w:val="16"/>
        </w:rPr>
        <w:t>of</w:t>
      </w:r>
      <w:r>
        <w:rPr>
          <w:spacing w:val="-4"/>
          <w:sz w:val="16"/>
        </w:rPr>
        <w:t xml:space="preserve"> </w:t>
      </w:r>
      <w:r>
        <w:rPr>
          <w:sz w:val="16"/>
        </w:rPr>
        <w:t>August</w:t>
      </w:r>
      <w:r>
        <w:rPr>
          <w:spacing w:val="-4"/>
          <w:sz w:val="16"/>
        </w:rPr>
        <w:t xml:space="preserve"> </w:t>
      </w:r>
      <w:r>
        <w:rPr>
          <w:sz w:val="16"/>
        </w:rPr>
        <w:t>6,</w:t>
      </w:r>
      <w:r>
        <w:rPr>
          <w:spacing w:val="-4"/>
          <w:sz w:val="16"/>
        </w:rPr>
        <w:t xml:space="preserve"> 2025</w:t>
      </w:r>
    </w:p>
    <w:p w14:paraId="16B552E9" w14:textId="77777777" w:rsidR="00BC24A8" w:rsidRDefault="00BC24A8">
      <w:pPr>
        <w:pStyle w:val="BodyText"/>
        <w:rPr>
          <w:sz w:val="16"/>
        </w:rPr>
      </w:pPr>
    </w:p>
    <w:p w14:paraId="453A7E43" w14:textId="77777777" w:rsidR="00BC24A8" w:rsidRDefault="00BC24A8">
      <w:pPr>
        <w:pStyle w:val="BodyText"/>
        <w:rPr>
          <w:sz w:val="16"/>
        </w:rPr>
      </w:pPr>
    </w:p>
    <w:p w14:paraId="700AA8B7" w14:textId="77777777" w:rsidR="00BC24A8" w:rsidRDefault="00BC24A8">
      <w:pPr>
        <w:pStyle w:val="BodyText"/>
        <w:spacing w:before="54"/>
        <w:rPr>
          <w:sz w:val="16"/>
        </w:rPr>
      </w:pPr>
    </w:p>
    <w:p w14:paraId="63F76ADE" w14:textId="77777777" w:rsidR="00BC24A8" w:rsidRDefault="00000000">
      <w:pPr>
        <w:pStyle w:val="Heading5"/>
      </w:pPr>
      <w:r>
        <w:t>Overview</w:t>
      </w:r>
      <w:r>
        <w:rPr>
          <w:spacing w:val="-8"/>
        </w:rPr>
        <w:t xml:space="preserve"> </w:t>
      </w:r>
      <w:r>
        <w:t>of</w:t>
      </w:r>
      <w:r>
        <w:rPr>
          <w:spacing w:val="-8"/>
        </w:rPr>
        <w:t xml:space="preserve"> </w:t>
      </w:r>
      <w:r>
        <w:t>completed</w:t>
      </w:r>
      <w:r>
        <w:rPr>
          <w:spacing w:val="-8"/>
        </w:rPr>
        <w:t xml:space="preserve"> </w:t>
      </w:r>
      <w:r>
        <w:rPr>
          <w:spacing w:val="-2"/>
        </w:rPr>
        <w:t>outputs:</w:t>
      </w:r>
    </w:p>
    <w:p w14:paraId="25CBA031" w14:textId="77777777" w:rsidR="00BC24A8" w:rsidRDefault="00000000">
      <w:pPr>
        <w:pStyle w:val="ListParagraph"/>
        <w:numPr>
          <w:ilvl w:val="0"/>
          <w:numId w:val="139"/>
        </w:numPr>
        <w:tabs>
          <w:tab w:val="left" w:pos="501"/>
        </w:tabs>
        <w:spacing w:before="161"/>
        <w:ind w:left="501" w:hanging="358"/>
        <w:jc w:val="left"/>
        <w:rPr>
          <w:rFonts w:ascii="Calibri"/>
          <w:b/>
        </w:rPr>
      </w:pPr>
      <w:r>
        <w:rPr>
          <w:rFonts w:ascii="Calibri"/>
          <w:b/>
        </w:rPr>
        <w:t>DNA</w:t>
      </w:r>
      <w:r>
        <w:rPr>
          <w:rFonts w:ascii="Calibri"/>
          <w:b/>
          <w:spacing w:val="-5"/>
        </w:rPr>
        <w:t xml:space="preserve"> </w:t>
      </w:r>
      <w:r>
        <w:rPr>
          <w:rFonts w:ascii="Calibri"/>
          <w:b/>
        </w:rPr>
        <w:t>(Data</w:t>
      </w:r>
      <w:r>
        <w:rPr>
          <w:rFonts w:ascii="Calibri"/>
          <w:b/>
          <w:spacing w:val="-4"/>
        </w:rPr>
        <w:t xml:space="preserve"> </w:t>
      </w:r>
      <w:r>
        <w:rPr>
          <w:rFonts w:ascii="Calibri"/>
          <w:b/>
        </w:rPr>
        <w:t>and</w:t>
      </w:r>
      <w:r>
        <w:rPr>
          <w:rFonts w:ascii="Calibri"/>
          <w:b/>
          <w:spacing w:val="-4"/>
        </w:rPr>
        <w:t xml:space="preserve"> </w:t>
      </w:r>
      <w:r>
        <w:rPr>
          <w:rFonts w:ascii="Calibri"/>
          <w:b/>
          <w:spacing w:val="-2"/>
        </w:rPr>
        <w:t>Analysis):</w:t>
      </w:r>
    </w:p>
    <w:p w14:paraId="0FCD2D9A" w14:textId="77777777" w:rsidR="00BC24A8" w:rsidRDefault="00000000">
      <w:pPr>
        <w:pStyle w:val="ListParagraph"/>
        <w:numPr>
          <w:ilvl w:val="1"/>
          <w:numId w:val="139"/>
        </w:numPr>
        <w:tabs>
          <w:tab w:val="left" w:pos="861"/>
          <w:tab w:val="left" w:pos="863"/>
        </w:tabs>
        <w:spacing w:before="181"/>
        <w:ind w:right="561"/>
      </w:pPr>
      <w:r>
        <w:t>SKALA has provided technical recommendations on MSS metadata, provincial regulation on data interoperability, development of the Aceh One Data Portal (data entry and system functionality), and enhanced capacity for utilising REGSOSEK data.</w:t>
      </w:r>
    </w:p>
    <w:p w14:paraId="4D5B3075" w14:textId="77777777" w:rsidR="00BC24A8" w:rsidRDefault="00000000">
      <w:pPr>
        <w:pStyle w:val="ListParagraph"/>
        <w:numPr>
          <w:ilvl w:val="1"/>
          <w:numId w:val="139"/>
        </w:numPr>
        <w:tabs>
          <w:tab w:val="left" w:pos="862"/>
          <w:tab w:val="left" w:pos="864"/>
        </w:tabs>
        <w:ind w:left="864" w:right="564"/>
      </w:pPr>
      <w:r>
        <w:t>SKALA has facilitated and provided technical recommendations for the development of SIGAP version 2.0 and strengthened university student capacity.</w:t>
      </w:r>
    </w:p>
    <w:p w14:paraId="3E5EC53B" w14:textId="77777777" w:rsidR="00BC24A8" w:rsidRDefault="00BC24A8">
      <w:pPr>
        <w:pStyle w:val="BodyText"/>
        <w:rPr>
          <w:sz w:val="20"/>
        </w:rPr>
      </w:pPr>
    </w:p>
    <w:p w14:paraId="54C14246" w14:textId="77777777" w:rsidR="00BC24A8" w:rsidRDefault="00BC24A8">
      <w:pPr>
        <w:pStyle w:val="BodyText"/>
        <w:rPr>
          <w:sz w:val="20"/>
        </w:rPr>
      </w:pPr>
    </w:p>
    <w:p w14:paraId="1518491B" w14:textId="77777777" w:rsidR="00BC24A8" w:rsidRDefault="00BC24A8">
      <w:pPr>
        <w:pStyle w:val="BodyText"/>
        <w:rPr>
          <w:sz w:val="20"/>
        </w:rPr>
      </w:pPr>
    </w:p>
    <w:p w14:paraId="5FB943D5" w14:textId="77777777" w:rsidR="00BC24A8" w:rsidRDefault="00BC24A8">
      <w:pPr>
        <w:pStyle w:val="BodyText"/>
        <w:rPr>
          <w:sz w:val="20"/>
        </w:rPr>
      </w:pPr>
    </w:p>
    <w:p w14:paraId="616C36F7" w14:textId="77777777" w:rsidR="00BC24A8" w:rsidRDefault="00BC24A8">
      <w:pPr>
        <w:pStyle w:val="BodyText"/>
        <w:rPr>
          <w:sz w:val="20"/>
        </w:rPr>
      </w:pPr>
    </w:p>
    <w:p w14:paraId="0F8593D9" w14:textId="77777777" w:rsidR="00BC24A8" w:rsidRDefault="00BC24A8">
      <w:pPr>
        <w:pStyle w:val="BodyText"/>
        <w:rPr>
          <w:sz w:val="20"/>
        </w:rPr>
      </w:pPr>
    </w:p>
    <w:p w14:paraId="1285B7D0" w14:textId="77777777" w:rsidR="00BC24A8" w:rsidRDefault="00000000">
      <w:pPr>
        <w:pStyle w:val="BodyText"/>
        <w:spacing w:before="174"/>
        <w:rPr>
          <w:sz w:val="20"/>
        </w:rPr>
      </w:pPr>
      <w:r>
        <w:rPr>
          <w:noProof/>
          <w:sz w:val="20"/>
        </w:rPr>
        <mc:AlternateContent>
          <mc:Choice Requires="wps">
            <w:drawing>
              <wp:anchor distT="0" distB="0" distL="0" distR="0" simplePos="0" relativeHeight="487603712" behindDoc="1" locked="0" layoutInCell="1" allowOverlap="1" wp14:anchorId="456157A9" wp14:editId="518BD1CF">
                <wp:simplePos x="0" y="0"/>
                <wp:positionH relativeFrom="page">
                  <wp:posOffset>900683</wp:posOffset>
                </wp:positionH>
                <wp:positionV relativeFrom="paragraph">
                  <wp:posOffset>281321</wp:posOffset>
                </wp:positionV>
                <wp:extent cx="1828800" cy="9525"/>
                <wp:effectExtent l="0" t="0" r="0" b="0"/>
                <wp:wrapTopAndBottom/>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28497C" id="Graphic 72" o:spid="_x0000_s1026" alt="&quot;&quot;" style="position:absolute;margin-left:70.9pt;margin-top:22.15pt;width:2in;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" path="m1828800,l,,,9144r1828800,l1828800,xe" fillcolor="black" stroked="f">
                <v:path arrowok="t"/>
                <w10:wrap type="topAndBottom" anchorx="page"/>
              </v:shape>
            </w:pict>
          </mc:Fallback>
        </mc:AlternateContent>
      </w:r>
    </w:p>
    <w:p w14:paraId="2EE96115" w14:textId="77777777" w:rsidR="00BC24A8" w:rsidRDefault="00BC24A8">
      <w:pPr>
        <w:pStyle w:val="BodyText"/>
        <w:spacing w:before="105"/>
        <w:rPr>
          <w:sz w:val="16"/>
        </w:rPr>
      </w:pPr>
    </w:p>
    <w:p w14:paraId="4A3E3726" w14:textId="77777777" w:rsidR="00BC24A8" w:rsidRDefault="00000000">
      <w:pPr>
        <w:spacing w:before="1"/>
        <w:ind w:left="143" w:right="662" w:hanging="1"/>
        <w:rPr>
          <w:sz w:val="16"/>
        </w:rPr>
      </w:pPr>
      <w:bookmarkStart w:id="143" w:name="_bookmark94"/>
      <w:bookmarkEnd w:id="143"/>
      <w:r>
        <w:rPr>
          <w:color w:val="767070"/>
          <w:sz w:val="16"/>
          <w:vertAlign w:val="superscript"/>
        </w:rPr>
        <w:t>38</w:t>
      </w:r>
      <w:r>
        <w:rPr>
          <w:color w:val="767070"/>
          <w:spacing w:val="-5"/>
          <w:sz w:val="16"/>
        </w:rPr>
        <w:t xml:space="preserve"> </w:t>
      </w:r>
      <w:r>
        <w:rPr>
          <w:color w:val="767070"/>
          <w:sz w:val="16"/>
        </w:rPr>
        <w:t>Person</w:t>
      </w:r>
      <w:r>
        <w:rPr>
          <w:color w:val="767070"/>
          <w:spacing w:val="-4"/>
          <w:sz w:val="16"/>
        </w:rPr>
        <w:t xml:space="preserve"> </w:t>
      </w:r>
      <w:r>
        <w:rPr>
          <w:color w:val="767070"/>
          <w:sz w:val="16"/>
        </w:rPr>
        <w:t>time</w:t>
      </w:r>
      <w:r>
        <w:rPr>
          <w:color w:val="767070"/>
          <w:spacing w:val="-5"/>
          <w:sz w:val="16"/>
        </w:rPr>
        <w:t xml:space="preserve"> </w:t>
      </w:r>
      <w:r>
        <w:rPr>
          <w:color w:val="767070"/>
          <w:sz w:val="16"/>
        </w:rPr>
        <w:t>refers</w:t>
      </w:r>
      <w:r>
        <w:rPr>
          <w:color w:val="767070"/>
          <w:spacing w:val="-4"/>
          <w:sz w:val="16"/>
        </w:rPr>
        <w:t xml:space="preserve"> </w:t>
      </w:r>
      <w:r>
        <w:rPr>
          <w:color w:val="767070"/>
          <w:sz w:val="16"/>
        </w:rPr>
        <w:t>to</w:t>
      </w:r>
      <w:r>
        <w:rPr>
          <w:color w:val="767070"/>
          <w:spacing w:val="-4"/>
          <w:sz w:val="16"/>
        </w:rPr>
        <w:t xml:space="preserve"> </w:t>
      </w:r>
      <w:r>
        <w:rPr>
          <w:color w:val="767070"/>
          <w:sz w:val="16"/>
        </w:rPr>
        <w:t>the</w:t>
      </w:r>
      <w:r>
        <w:rPr>
          <w:color w:val="767070"/>
          <w:spacing w:val="-5"/>
          <w:sz w:val="16"/>
        </w:rPr>
        <w:t xml:space="preserve"> </w:t>
      </w:r>
      <w:r>
        <w:rPr>
          <w:color w:val="767070"/>
          <w:sz w:val="16"/>
        </w:rPr>
        <w:t>total</w:t>
      </w:r>
      <w:r>
        <w:rPr>
          <w:color w:val="767070"/>
          <w:spacing w:val="-7"/>
          <w:sz w:val="16"/>
        </w:rPr>
        <w:t xml:space="preserve"> </w:t>
      </w:r>
      <w:r>
        <w:rPr>
          <w:color w:val="767070"/>
          <w:sz w:val="16"/>
        </w:rPr>
        <w:t>instances</w:t>
      </w:r>
      <w:r>
        <w:rPr>
          <w:color w:val="767070"/>
          <w:spacing w:val="-4"/>
          <w:sz w:val="16"/>
        </w:rPr>
        <w:t xml:space="preserve"> </w:t>
      </w:r>
      <w:r>
        <w:rPr>
          <w:color w:val="767070"/>
          <w:sz w:val="16"/>
        </w:rPr>
        <w:t>of</w:t>
      </w:r>
      <w:r>
        <w:rPr>
          <w:color w:val="767070"/>
          <w:spacing w:val="-5"/>
          <w:sz w:val="16"/>
        </w:rPr>
        <w:t xml:space="preserve"> </w:t>
      </w:r>
      <w:r>
        <w:rPr>
          <w:color w:val="767070"/>
          <w:sz w:val="16"/>
        </w:rPr>
        <w:t>participation;</w:t>
      </w:r>
      <w:r>
        <w:rPr>
          <w:color w:val="767070"/>
          <w:spacing w:val="-4"/>
          <w:sz w:val="16"/>
        </w:rPr>
        <w:t xml:space="preserve"> </w:t>
      </w:r>
      <w:r>
        <w:rPr>
          <w:color w:val="767070"/>
          <w:sz w:val="16"/>
        </w:rPr>
        <w:t>one</w:t>
      </w:r>
      <w:r>
        <w:rPr>
          <w:color w:val="767070"/>
          <w:spacing w:val="-7"/>
          <w:sz w:val="16"/>
        </w:rPr>
        <w:t xml:space="preserve"> </w:t>
      </w:r>
      <w:r>
        <w:rPr>
          <w:color w:val="767070"/>
          <w:sz w:val="16"/>
        </w:rPr>
        <w:t>individual</w:t>
      </w:r>
      <w:r>
        <w:rPr>
          <w:color w:val="767070"/>
          <w:spacing w:val="-4"/>
          <w:sz w:val="16"/>
        </w:rPr>
        <w:t xml:space="preserve"> </w:t>
      </w:r>
      <w:r>
        <w:rPr>
          <w:color w:val="767070"/>
          <w:sz w:val="16"/>
        </w:rPr>
        <w:t>may</w:t>
      </w:r>
      <w:r>
        <w:rPr>
          <w:color w:val="767070"/>
          <w:spacing w:val="-6"/>
          <w:sz w:val="16"/>
        </w:rPr>
        <w:t xml:space="preserve"> </w:t>
      </w:r>
      <w:r>
        <w:rPr>
          <w:color w:val="767070"/>
          <w:sz w:val="16"/>
        </w:rPr>
        <w:t>participate</w:t>
      </w:r>
      <w:r>
        <w:rPr>
          <w:color w:val="767070"/>
          <w:spacing w:val="-5"/>
          <w:sz w:val="16"/>
        </w:rPr>
        <w:t xml:space="preserve"> </w:t>
      </w:r>
      <w:r>
        <w:rPr>
          <w:color w:val="767070"/>
          <w:sz w:val="16"/>
        </w:rPr>
        <w:t>more</w:t>
      </w:r>
      <w:r>
        <w:rPr>
          <w:color w:val="767070"/>
          <w:spacing w:val="-5"/>
          <w:sz w:val="16"/>
        </w:rPr>
        <w:t xml:space="preserve"> </w:t>
      </w:r>
      <w:r>
        <w:rPr>
          <w:color w:val="767070"/>
          <w:sz w:val="16"/>
        </w:rPr>
        <w:t>than</w:t>
      </w:r>
      <w:r>
        <w:rPr>
          <w:color w:val="767070"/>
          <w:spacing w:val="-4"/>
          <w:sz w:val="16"/>
        </w:rPr>
        <w:t xml:space="preserve"> </w:t>
      </w:r>
      <w:r>
        <w:rPr>
          <w:color w:val="767070"/>
          <w:sz w:val="16"/>
        </w:rPr>
        <w:t>once</w:t>
      </w:r>
      <w:r>
        <w:rPr>
          <w:color w:val="767070"/>
          <w:spacing w:val="-5"/>
          <w:sz w:val="16"/>
        </w:rPr>
        <w:t xml:space="preserve"> </w:t>
      </w:r>
      <w:r>
        <w:rPr>
          <w:color w:val="767070"/>
          <w:sz w:val="16"/>
        </w:rPr>
        <w:t>in</w:t>
      </w:r>
      <w:r>
        <w:rPr>
          <w:color w:val="767070"/>
          <w:spacing w:val="-4"/>
          <w:sz w:val="16"/>
        </w:rPr>
        <w:t xml:space="preserve"> </w:t>
      </w:r>
      <w:r>
        <w:rPr>
          <w:color w:val="767070"/>
          <w:sz w:val="16"/>
        </w:rPr>
        <w:t>SKALA-supported</w:t>
      </w:r>
      <w:r>
        <w:rPr>
          <w:color w:val="767070"/>
          <w:spacing w:val="-4"/>
          <w:sz w:val="16"/>
        </w:rPr>
        <w:t xml:space="preserve"> </w:t>
      </w:r>
      <w:r>
        <w:rPr>
          <w:color w:val="767070"/>
          <w:sz w:val="16"/>
        </w:rPr>
        <w:t>activities.</w:t>
      </w:r>
      <w:r>
        <w:rPr>
          <w:color w:val="767070"/>
          <w:spacing w:val="40"/>
          <w:sz w:val="16"/>
        </w:rPr>
        <w:t xml:space="preserve"> </w:t>
      </w:r>
      <w:r>
        <w:rPr>
          <w:color w:val="767070"/>
          <w:sz w:val="16"/>
        </w:rPr>
        <w:t>Headcount refers to participants whose costs are covered by SKALA.</w:t>
      </w:r>
    </w:p>
    <w:p w14:paraId="4FD68272" w14:textId="77777777" w:rsidR="00BC24A8" w:rsidRDefault="00BC24A8">
      <w:pPr>
        <w:rPr>
          <w:sz w:val="16"/>
        </w:rPr>
        <w:sectPr w:rsidR="00BC24A8">
          <w:pgSz w:w="11910" w:h="16840"/>
          <w:pgMar w:top="1360" w:right="850" w:bottom="1100" w:left="1275" w:header="0" w:footer="907" w:gutter="0"/>
          <w:cols w:space="720"/>
        </w:sectPr>
      </w:pPr>
    </w:p>
    <w:p w14:paraId="735740DA" w14:textId="77777777" w:rsidR="00BC24A8" w:rsidRDefault="00000000">
      <w:pPr>
        <w:pStyle w:val="Heading5"/>
        <w:numPr>
          <w:ilvl w:val="0"/>
          <w:numId w:val="139"/>
        </w:numPr>
        <w:tabs>
          <w:tab w:val="left" w:pos="502"/>
        </w:tabs>
        <w:spacing w:before="39"/>
        <w:ind w:left="502" w:hanging="282"/>
        <w:jc w:val="left"/>
      </w:pPr>
      <w:r>
        <w:lastRenderedPageBreak/>
        <w:t>MSS</w:t>
      </w:r>
      <w:r>
        <w:rPr>
          <w:spacing w:val="-5"/>
        </w:rPr>
        <w:t xml:space="preserve"> </w:t>
      </w:r>
      <w:r>
        <w:t>(Minimum</w:t>
      </w:r>
      <w:r>
        <w:rPr>
          <w:spacing w:val="-5"/>
        </w:rPr>
        <w:t xml:space="preserve"> </w:t>
      </w:r>
      <w:r>
        <w:t>Service</w:t>
      </w:r>
      <w:r>
        <w:rPr>
          <w:spacing w:val="-4"/>
        </w:rPr>
        <w:t xml:space="preserve"> </w:t>
      </w:r>
      <w:r>
        <w:rPr>
          <w:spacing w:val="-2"/>
        </w:rPr>
        <w:t>Standards):</w:t>
      </w:r>
    </w:p>
    <w:p w14:paraId="755FEB8B" w14:textId="77777777" w:rsidR="00BC24A8" w:rsidRDefault="00000000">
      <w:pPr>
        <w:pStyle w:val="ListParagraph"/>
        <w:numPr>
          <w:ilvl w:val="1"/>
          <w:numId w:val="139"/>
        </w:numPr>
        <w:tabs>
          <w:tab w:val="left" w:pos="861"/>
          <w:tab w:val="left" w:pos="863"/>
        </w:tabs>
        <w:spacing w:before="181"/>
        <w:ind w:right="565"/>
      </w:pPr>
      <w:r>
        <w:t>SKALA has provided technical recommendations on the use of MSS costing tools and the updating of MSS data.</w:t>
      </w:r>
    </w:p>
    <w:p w14:paraId="7BDC398A" w14:textId="77777777" w:rsidR="00BC24A8" w:rsidRDefault="00000000">
      <w:pPr>
        <w:pStyle w:val="ListParagraph"/>
        <w:numPr>
          <w:ilvl w:val="1"/>
          <w:numId w:val="139"/>
        </w:numPr>
        <w:tabs>
          <w:tab w:val="left" w:pos="863"/>
        </w:tabs>
        <w:ind w:hanging="360"/>
        <w:jc w:val="left"/>
      </w:pPr>
      <w:r>
        <w:t>SKALA</w:t>
      </w:r>
      <w:r>
        <w:rPr>
          <w:spacing w:val="-6"/>
        </w:rPr>
        <w:t xml:space="preserve"> </w:t>
      </w:r>
      <w:r>
        <w:t>has</w:t>
      </w:r>
      <w:r>
        <w:rPr>
          <w:spacing w:val="-3"/>
        </w:rPr>
        <w:t xml:space="preserve"> </w:t>
      </w:r>
      <w:r>
        <w:t>facilitated</w:t>
      </w:r>
      <w:r>
        <w:rPr>
          <w:spacing w:val="-6"/>
        </w:rPr>
        <w:t xml:space="preserve"> </w:t>
      </w:r>
      <w:r>
        <w:t>the</w:t>
      </w:r>
      <w:r>
        <w:rPr>
          <w:spacing w:val="-3"/>
        </w:rPr>
        <w:t xml:space="preserve"> </w:t>
      </w:r>
      <w:r>
        <w:t>integration</w:t>
      </w:r>
      <w:r>
        <w:rPr>
          <w:spacing w:val="-6"/>
        </w:rPr>
        <w:t xml:space="preserve"> </w:t>
      </w:r>
      <w:r>
        <w:t>of</w:t>
      </w:r>
      <w:r>
        <w:rPr>
          <w:spacing w:val="-5"/>
        </w:rPr>
        <w:t xml:space="preserve"> </w:t>
      </w:r>
      <w:r>
        <w:t>MSS</w:t>
      </w:r>
      <w:r>
        <w:rPr>
          <w:spacing w:val="-3"/>
        </w:rPr>
        <w:t xml:space="preserve"> </w:t>
      </w:r>
      <w:r>
        <w:t>indicators</w:t>
      </w:r>
      <w:r>
        <w:rPr>
          <w:spacing w:val="-8"/>
        </w:rPr>
        <w:t xml:space="preserve"> </w:t>
      </w:r>
      <w:r>
        <w:t>into</w:t>
      </w:r>
      <w:r>
        <w:rPr>
          <w:spacing w:val="-4"/>
        </w:rPr>
        <w:t xml:space="preserve"> </w:t>
      </w:r>
      <w:r>
        <w:t>regional</w:t>
      </w:r>
      <w:r>
        <w:rPr>
          <w:spacing w:val="-5"/>
        </w:rPr>
        <w:t xml:space="preserve"> </w:t>
      </w:r>
      <w:r>
        <w:t>planning</w:t>
      </w:r>
      <w:r>
        <w:rPr>
          <w:spacing w:val="-3"/>
        </w:rPr>
        <w:t xml:space="preserve"> </w:t>
      </w:r>
      <w:r>
        <w:rPr>
          <w:spacing w:val="-2"/>
        </w:rPr>
        <w:t>documents.</w:t>
      </w:r>
    </w:p>
    <w:p w14:paraId="4A9861B0" w14:textId="77777777" w:rsidR="00BC24A8" w:rsidRDefault="00BC24A8">
      <w:pPr>
        <w:pStyle w:val="BodyText"/>
        <w:spacing w:before="61"/>
      </w:pPr>
    </w:p>
    <w:p w14:paraId="52E86ED5" w14:textId="77777777" w:rsidR="00BC24A8" w:rsidRDefault="00000000">
      <w:pPr>
        <w:pStyle w:val="Heading5"/>
        <w:numPr>
          <w:ilvl w:val="0"/>
          <w:numId w:val="139"/>
        </w:numPr>
        <w:tabs>
          <w:tab w:val="left" w:pos="502"/>
        </w:tabs>
        <w:ind w:left="502" w:hanging="282"/>
        <w:jc w:val="left"/>
      </w:pPr>
      <w:r>
        <w:t>PFM</w:t>
      </w:r>
      <w:r>
        <w:rPr>
          <w:spacing w:val="-5"/>
        </w:rPr>
        <w:t xml:space="preserve"> </w:t>
      </w:r>
      <w:r>
        <w:t>(Public</w:t>
      </w:r>
      <w:r>
        <w:rPr>
          <w:spacing w:val="-5"/>
        </w:rPr>
        <w:t xml:space="preserve"> </w:t>
      </w:r>
      <w:r>
        <w:t>Financial</w:t>
      </w:r>
      <w:r>
        <w:rPr>
          <w:spacing w:val="-3"/>
        </w:rPr>
        <w:t xml:space="preserve"> </w:t>
      </w:r>
      <w:r>
        <w:rPr>
          <w:spacing w:val="-2"/>
        </w:rPr>
        <w:t>Management):</w:t>
      </w:r>
    </w:p>
    <w:p w14:paraId="39F0CFAD" w14:textId="77777777" w:rsidR="00BC24A8" w:rsidRDefault="00000000">
      <w:pPr>
        <w:pStyle w:val="ListParagraph"/>
        <w:numPr>
          <w:ilvl w:val="1"/>
          <w:numId w:val="139"/>
        </w:numPr>
        <w:tabs>
          <w:tab w:val="left" w:pos="861"/>
          <w:tab w:val="left" w:pos="863"/>
        </w:tabs>
        <w:spacing w:before="180"/>
        <w:ind w:right="564"/>
      </w:pPr>
      <w:r>
        <w:t>SKALA has provided technical recommendations on inclusive disability tax policies, the development</w:t>
      </w:r>
      <w:r>
        <w:rPr>
          <w:spacing w:val="-13"/>
        </w:rPr>
        <w:t xml:space="preserve"> </w:t>
      </w:r>
      <w:r>
        <w:t>of</w:t>
      </w:r>
      <w:r>
        <w:rPr>
          <w:spacing w:val="-10"/>
        </w:rPr>
        <w:t xml:space="preserve"> </w:t>
      </w:r>
      <w:r>
        <w:t>systems</w:t>
      </w:r>
      <w:r>
        <w:rPr>
          <w:spacing w:val="-10"/>
        </w:rPr>
        <w:t xml:space="preserve"> </w:t>
      </w:r>
      <w:r>
        <w:t>to</w:t>
      </w:r>
      <w:r>
        <w:rPr>
          <w:spacing w:val="-13"/>
        </w:rPr>
        <w:t xml:space="preserve"> </w:t>
      </w:r>
      <w:r>
        <w:t>increase</w:t>
      </w:r>
      <w:r>
        <w:rPr>
          <w:spacing w:val="-10"/>
        </w:rPr>
        <w:t xml:space="preserve"> </w:t>
      </w:r>
      <w:r>
        <w:t>local</w:t>
      </w:r>
      <w:r>
        <w:rPr>
          <w:spacing w:val="-10"/>
        </w:rPr>
        <w:t xml:space="preserve"> </w:t>
      </w:r>
      <w:r>
        <w:t>revenue</w:t>
      </w:r>
      <w:r>
        <w:rPr>
          <w:spacing w:val="-10"/>
        </w:rPr>
        <w:t xml:space="preserve"> </w:t>
      </w:r>
      <w:r>
        <w:t>(PAD),</w:t>
      </w:r>
      <w:r>
        <w:rPr>
          <w:spacing w:val="-10"/>
        </w:rPr>
        <w:t xml:space="preserve"> </w:t>
      </w:r>
      <w:r>
        <w:t>and</w:t>
      </w:r>
      <w:r>
        <w:rPr>
          <w:spacing w:val="-11"/>
        </w:rPr>
        <w:t xml:space="preserve"> </w:t>
      </w:r>
      <w:r>
        <w:t>planning</w:t>
      </w:r>
      <w:r>
        <w:rPr>
          <w:spacing w:val="-9"/>
        </w:rPr>
        <w:t xml:space="preserve"> </w:t>
      </w:r>
      <w:r>
        <w:t>and</w:t>
      </w:r>
      <w:r>
        <w:rPr>
          <w:spacing w:val="-11"/>
        </w:rPr>
        <w:t xml:space="preserve"> </w:t>
      </w:r>
      <w:r>
        <w:t>reporting</w:t>
      </w:r>
      <w:r>
        <w:rPr>
          <w:spacing w:val="-9"/>
        </w:rPr>
        <w:t xml:space="preserve"> </w:t>
      </w:r>
      <w:r>
        <w:t>for</w:t>
      </w:r>
      <w:r>
        <w:rPr>
          <w:spacing w:val="-11"/>
        </w:rPr>
        <w:t xml:space="preserve"> </w:t>
      </w:r>
      <w:r>
        <w:t>Special Autonomy (Otsus) in accordance with national regulations.</w:t>
      </w:r>
    </w:p>
    <w:p w14:paraId="665BE1B5" w14:textId="77777777" w:rsidR="00BC24A8" w:rsidRDefault="00BC24A8">
      <w:pPr>
        <w:pStyle w:val="BodyText"/>
        <w:spacing w:before="58"/>
      </w:pPr>
    </w:p>
    <w:p w14:paraId="6DEECFFE" w14:textId="77777777" w:rsidR="00BC24A8" w:rsidRDefault="00000000">
      <w:pPr>
        <w:pStyle w:val="Heading5"/>
        <w:numPr>
          <w:ilvl w:val="0"/>
          <w:numId w:val="139"/>
        </w:numPr>
        <w:tabs>
          <w:tab w:val="left" w:pos="502"/>
        </w:tabs>
        <w:spacing w:before="1"/>
        <w:ind w:left="502" w:hanging="282"/>
        <w:jc w:val="left"/>
      </w:pPr>
      <w:r>
        <w:t>Gender</w:t>
      </w:r>
      <w:r>
        <w:rPr>
          <w:spacing w:val="-10"/>
        </w:rPr>
        <w:t xml:space="preserve"> </w:t>
      </w:r>
      <w:r>
        <w:t>Equality,</w:t>
      </w:r>
      <w:r>
        <w:rPr>
          <w:spacing w:val="-12"/>
        </w:rPr>
        <w:t xml:space="preserve"> </w:t>
      </w:r>
      <w:r>
        <w:t>Disability,</w:t>
      </w:r>
      <w:r>
        <w:rPr>
          <w:spacing w:val="-11"/>
        </w:rPr>
        <w:t xml:space="preserve"> </w:t>
      </w:r>
      <w:r>
        <w:t>and</w:t>
      </w:r>
      <w:r>
        <w:rPr>
          <w:spacing w:val="-11"/>
        </w:rPr>
        <w:t xml:space="preserve"> </w:t>
      </w:r>
      <w:r>
        <w:t>Social</w:t>
      </w:r>
      <w:r>
        <w:rPr>
          <w:spacing w:val="-10"/>
        </w:rPr>
        <w:t xml:space="preserve"> </w:t>
      </w:r>
      <w:r>
        <w:t>Inclusion</w:t>
      </w:r>
      <w:r>
        <w:rPr>
          <w:spacing w:val="-10"/>
        </w:rPr>
        <w:t xml:space="preserve"> </w:t>
      </w:r>
      <w:r>
        <w:rPr>
          <w:spacing w:val="-2"/>
        </w:rPr>
        <w:t>(GEDSI):</w:t>
      </w:r>
    </w:p>
    <w:p w14:paraId="7DAE2B0C" w14:textId="77777777" w:rsidR="00BC24A8" w:rsidRDefault="00000000">
      <w:pPr>
        <w:pStyle w:val="ListParagraph"/>
        <w:numPr>
          <w:ilvl w:val="1"/>
          <w:numId w:val="139"/>
        </w:numPr>
        <w:tabs>
          <w:tab w:val="left" w:pos="862"/>
          <w:tab w:val="left" w:pos="864"/>
        </w:tabs>
        <w:spacing w:before="182"/>
        <w:ind w:left="864" w:right="564"/>
      </w:pPr>
      <w:r>
        <w:t>SKALA has provided technical recommendations for the development of policies on women, disability, and community participation.</w:t>
      </w:r>
    </w:p>
    <w:p w14:paraId="1DB65B3B" w14:textId="77777777" w:rsidR="00BC24A8" w:rsidRDefault="00BC24A8">
      <w:pPr>
        <w:pStyle w:val="BodyText"/>
        <w:spacing w:before="58"/>
      </w:pPr>
    </w:p>
    <w:p w14:paraId="77D6A140" w14:textId="77777777" w:rsidR="00BC24A8" w:rsidRDefault="00000000">
      <w:pPr>
        <w:pStyle w:val="BodyText"/>
        <w:spacing w:before="1"/>
        <w:ind w:left="144"/>
        <w:rPr>
          <w:rFonts w:ascii="Calibri"/>
        </w:rPr>
      </w:pPr>
      <w:r>
        <w:rPr>
          <w:rFonts w:ascii="Calibri"/>
          <w:color w:val="272727"/>
        </w:rPr>
        <w:t>Summary</w:t>
      </w:r>
      <w:r>
        <w:rPr>
          <w:rFonts w:ascii="Calibri"/>
          <w:color w:val="272727"/>
          <w:spacing w:val="-5"/>
        </w:rPr>
        <w:t xml:space="preserve"> </w:t>
      </w:r>
      <w:r>
        <w:rPr>
          <w:rFonts w:ascii="Calibri"/>
          <w:color w:val="272727"/>
        </w:rPr>
        <w:t>of</w:t>
      </w:r>
      <w:r>
        <w:rPr>
          <w:rFonts w:ascii="Calibri"/>
          <w:color w:val="272727"/>
          <w:spacing w:val="-8"/>
        </w:rPr>
        <w:t xml:space="preserve"> </w:t>
      </w:r>
      <w:r>
        <w:rPr>
          <w:rFonts w:ascii="Calibri"/>
          <w:color w:val="272727"/>
        </w:rPr>
        <w:t>results</w:t>
      </w:r>
      <w:r>
        <w:rPr>
          <w:rFonts w:ascii="Calibri"/>
          <w:color w:val="272727"/>
          <w:spacing w:val="-5"/>
        </w:rPr>
        <w:t xml:space="preserve"> </w:t>
      </w:r>
      <w:r>
        <w:rPr>
          <w:rFonts w:ascii="Calibri"/>
          <w:color w:val="272727"/>
        </w:rPr>
        <w:t>at</w:t>
      </w:r>
      <w:r>
        <w:rPr>
          <w:rFonts w:ascii="Calibri"/>
          <w:color w:val="272727"/>
          <w:spacing w:val="-8"/>
        </w:rPr>
        <w:t xml:space="preserve"> </w:t>
      </w:r>
      <w:r>
        <w:rPr>
          <w:rFonts w:ascii="Calibri"/>
          <w:color w:val="272727"/>
        </w:rPr>
        <w:t>the</w:t>
      </w:r>
      <w:r>
        <w:rPr>
          <w:rFonts w:ascii="Calibri"/>
          <w:color w:val="272727"/>
          <w:spacing w:val="-4"/>
        </w:rPr>
        <w:t xml:space="preserve"> </w:t>
      </w:r>
      <w:r>
        <w:rPr>
          <w:rFonts w:ascii="Calibri"/>
          <w:color w:val="272727"/>
        </w:rPr>
        <w:t>Intermediate</w:t>
      </w:r>
      <w:r>
        <w:rPr>
          <w:rFonts w:ascii="Calibri"/>
          <w:color w:val="272727"/>
          <w:spacing w:val="-8"/>
        </w:rPr>
        <w:t xml:space="preserve"> </w:t>
      </w:r>
      <w:r>
        <w:rPr>
          <w:rFonts w:ascii="Calibri"/>
          <w:color w:val="272727"/>
        </w:rPr>
        <w:t>Outcome</w:t>
      </w:r>
      <w:r>
        <w:rPr>
          <w:rFonts w:ascii="Calibri"/>
          <w:color w:val="272727"/>
          <w:spacing w:val="-4"/>
        </w:rPr>
        <w:t xml:space="preserve"> </w:t>
      </w:r>
      <w:r>
        <w:rPr>
          <w:rFonts w:ascii="Calibri"/>
          <w:color w:val="272727"/>
        </w:rPr>
        <w:t>(IO)</w:t>
      </w:r>
      <w:r>
        <w:rPr>
          <w:rFonts w:ascii="Calibri"/>
          <w:color w:val="272727"/>
          <w:spacing w:val="-9"/>
        </w:rPr>
        <w:t xml:space="preserve"> </w:t>
      </w:r>
      <w:r>
        <w:rPr>
          <w:rFonts w:ascii="Calibri"/>
          <w:color w:val="272727"/>
          <w:spacing w:val="-2"/>
        </w:rPr>
        <w:t>level</w:t>
      </w:r>
    </w:p>
    <w:p w14:paraId="7FF504A4" w14:textId="77777777" w:rsidR="00BC24A8" w:rsidRDefault="00000000">
      <w:pPr>
        <w:pStyle w:val="Heading5"/>
        <w:spacing w:before="21"/>
        <w:ind w:left="144"/>
      </w:pPr>
      <w:r>
        <w:rPr>
          <w:color w:val="17365A"/>
        </w:rPr>
        <w:t>Data</w:t>
      </w:r>
      <w:r>
        <w:rPr>
          <w:color w:val="17365A"/>
          <w:spacing w:val="-4"/>
        </w:rPr>
        <w:t xml:space="preserve"> </w:t>
      </w:r>
      <w:r>
        <w:rPr>
          <w:color w:val="17365A"/>
        </w:rPr>
        <w:t>availability,</w:t>
      </w:r>
      <w:r>
        <w:rPr>
          <w:color w:val="17365A"/>
          <w:spacing w:val="-1"/>
        </w:rPr>
        <w:t xml:space="preserve"> </w:t>
      </w:r>
      <w:r>
        <w:rPr>
          <w:color w:val="17365A"/>
        </w:rPr>
        <w:t>management,</w:t>
      </w:r>
      <w:r>
        <w:rPr>
          <w:color w:val="17365A"/>
          <w:spacing w:val="-1"/>
        </w:rPr>
        <w:t xml:space="preserve"> </w:t>
      </w:r>
      <w:r>
        <w:rPr>
          <w:color w:val="17365A"/>
        </w:rPr>
        <w:t>and</w:t>
      </w:r>
      <w:r>
        <w:rPr>
          <w:color w:val="17365A"/>
          <w:spacing w:val="-3"/>
        </w:rPr>
        <w:t xml:space="preserve"> </w:t>
      </w:r>
      <w:r>
        <w:rPr>
          <w:color w:val="17365A"/>
        </w:rPr>
        <w:t>utilisation</w:t>
      </w:r>
      <w:r>
        <w:rPr>
          <w:color w:val="17365A"/>
          <w:spacing w:val="-2"/>
        </w:rPr>
        <w:t xml:space="preserve"> </w:t>
      </w:r>
      <w:r>
        <w:rPr>
          <w:color w:val="17365A"/>
        </w:rPr>
        <w:t>to</w:t>
      </w:r>
      <w:r>
        <w:rPr>
          <w:color w:val="17365A"/>
          <w:spacing w:val="-3"/>
        </w:rPr>
        <w:t xml:space="preserve"> </w:t>
      </w:r>
      <w:r>
        <w:rPr>
          <w:color w:val="17365A"/>
        </w:rPr>
        <w:t>improve</w:t>
      </w:r>
      <w:r>
        <w:rPr>
          <w:color w:val="17365A"/>
          <w:spacing w:val="-3"/>
        </w:rPr>
        <w:t xml:space="preserve"> </w:t>
      </w:r>
      <w:r>
        <w:rPr>
          <w:color w:val="17365A"/>
        </w:rPr>
        <w:t>evidence-based</w:t>
      </w:r>
      <w:r>
        <w:rPr>
          <w:color w:val="17365A"/>
          <w:spacing w:val="-2"/>
        </w:rPr>
        <w:t xml:space="preserve"> </w:t>
      </w:r>
      <w:r>
        <w:rPr>
          <w:color w:val="17365A"/>
        </w:rPr>
        <w:t>planning</w:t>
      </w:r>
      <w:r>
        <w:rPr>
          <w:color w:val="17365A"/>
          <w:spacing w:val="-1"/>
        </w:rPr>
        <w:t xml:space="preserve"> </w:t>
      </w:r>
      <w:r>
        <w:rPr>
          <w:color w:val="17365A"/>
        </w:rPr>
        <w:t>processes</w:t>
      </w:r>
      <w:r>
        <w:rPr>
          <w:color w:val="17365A"/>
          <w:spacing w:val="-2"/>
        </w:rPr>
        <w:t xml:space="preserve"> </w:t>
      </w:r>
      <w:r>
        <w:rPr>
          <w:color w:val="17365A"/>
        </w:rPr>
        <w:t>(IO</w:t>
      </w:r>
      <w:r>
        <w:rPr>
          <w:color w:val="17365A"/>
          <w:spacing w:val="-4"/>
        </w:rPr>
        <w:t xml:space="preserve"> </w:t>
      </w:r>
      <w:r>
        <w:rPr>
          <w:color w:val="17365A"/>
          <w:spacing w:val="-10"/>
        </w:rPr>
        <w:t>5</w:t>
      </w:r>
    </w:p>
    <w:p w14:paraId="75BFF319" w14:textId="77777777" w:rsidR="00BC24A8" w:rsidRDefault="00000000">
      <w:pPr>
        <w:spacing w:before="1"/>
        <w:ind w:left="144"/>
        <w:rPr>
          <w:rFonts w:ascii="Calibri"/>
          <w:b/>
        </w:rPr>
      </w:pPr>
      <w:r>
        <w:rPr>
          <w:rFonts w:ascii="Calibri"/>
          <w:b/>
          <w:color w:val="17365A"/>
        </w:rPr>
        <w:t>and</w:t>
      </w:r>
      <w:r>
        <w:rPr>
          <w:rFonts w:ascii="Calibri"/>
          <w:b/>
          <w:color w:val="17365A"/>
          <w:spacing w:val="-5"/>
        </w:rPr>
        <w:t xml:space="preserve"> 9)</w:t>
      </w:r>
    </w:p>
    <w:p w14:paraId="5FDDF918" w14:textId="77777777" w:rsidR="00BC24A8" w:rsidRDefault="00000000">
      <w:pPr>
        <w:pStyle w:val="ListParagraph"/>
        <w:numPr>
          <w:ilvl w:val="1"/>
          <w:numId w:val="139"/>
        </w:numPr>
        <w:tabs>
          <w:tab w:val="left" w:pos="864"/>
        </w:tabs>
        <w:spacing w:before="161"/>
        <w:ind w:left="864" w:hanging="360"/>
        <w:jc w:val="left"/>
      </w:pPr>
      <w:r>
        <w:t>SKALA</w:t>
      </w:r>
      <w:r>
        <w:rPr>
          <w:spacing w:val="-8"/>
        </w:rPr>
        <w:t xml:space="preserve"> </w:t>
      </w:r>
      <w:r>
        <w:t>has</w:t>
      </w:r>
      <w:r>
        <w:rPr>
          <w:spacing w:val="-5"/>
        </w:rPr>
        <w:t xml:space="preserve"> </w:t>
      </w:r>
      <w:r>
        <w:t>supported</w:t>
      </w:r>
      <w:r>
        <w:rPr>
          <w:spacing w:val="-5"/>
        </w:rPr>
        <w:t xml:space="preserve"> </w:t>
      </w:r>
      <w:r>
        <w:t>increasing</w:t>
      </w:r>
      <w:r>
        <w:rPr>
          <w:spacing w:val="-5"/>
        </w:rPr>
        <w:t xml:space="preserve"> </w:t>
      </w:r>
      <w:r>
        <w:t>population</w:t>
      </w:r>
      <w:r>
        <w:rPr>
          <w:spacing w:val="-5"/>
        </w:rPr>
        <w:t xml:space="preserve"> </w:t>
      </w:r>
      <w:r>
        <w:t>coverage</w:t>
      </w:r>
      <w:r>
        <w:rPr>
          <w:spacing w:val="-5"/>
        </w:rPr>
        <w:t xml:space="preserve"> </w:t>
      </w:r>
      <w:r>
        <w:t>in</w:t>
      </w:r>
      <w:r>
        <w:rPr>
          <w:spacing w:val="-4"/>
        </w:rPr>
        <w:t xml:space="preserve"> </w:t>
      </w:r>
      <w:r>
        <w:t>the</w:t>
      </w:r>
      <w:r>
        <w:rPr>
          <w:spacing w:val="-7"/>
        </w:rPr>
        <w:t xml:space="preserve"> </w:t>
      </w:r>
      <w:r>
        <w:t>village</w:t>
      </w:r>
      <w:r>
        <w:rPr>
          <w:spacing w:val="-5"/>
        </w:rPr>
        <w:t xml:space="preserve"> </w:t>
      </w:r>
      <w:r>
        <w:t>information</w:t>
      </w:r>
      <w:r>
        <w:rPr>
          <w:spacing w:val="-4"/>
        </w:rPr>
        <w:t xml:space="preserve"> </w:t>
      </w:r>
      <w:r>
        <w:rPr>
          <w:spacing w:val="-2"/>
        </w:rPr>
        <w:t>system:</w:t>
      </w:r>
    </w:p>
    <w:p w14:paraId="61AA0707" w14:textId="77777777" w:rsidR="00BC24A8" w:rsidRDefault="00000000">
      <w:pPr>
        <w:pStyle w:val="ListParagraph"/>
        <w:numPr>
          <w:ilvl w:val="2"/>
          <w:numId w:val="139"/>
        </w:numPr>
        <w:tabs>
          <w:tab w:val="left" w:pos="1222"/>
          <w:tab w:val="left" w:pos="1224"/>
        </w:tabs>
        <w:spacing w:before="118" w:line="256" w:lineRule="auto"/>
        <w:ind w:right="564"/>
      </w:pPr>
      <w:r>
        <w:t>A</w:t>
      </w:r>
      <w:r>
        <w:rPr>
          <w:spacing w:val="-1"/>
        </w:rPr>
        <w:t xml:space="preserve"> </w:t>
      </w:r>
      <w:r>
        <w:t>total</w:t>
      </w:r>
      <w:r>
        <w:rPr>
          <w:spacing w:val="-2"/>
        </w:rPr>
        <w:t xml:space="preserve"> </w:t>
      </w:r>
      <w:r>
        <w:t>of</w:t>
      </w:r>
      <w:r>
        <w:rPr>
          <w:spacing w:val="-2"/>
        </w:rPr>
        <w:t xml:space="preserve"> </w:t>
      </w:r>
      <w:r>
        <w:t>126</w:t>
      </w:r>
      <w:r>
        <w:rPr>
          <w:spacing w:val="-3"/>
        </w:rPr>
        <w:t xml:space="preserve"> </w:t>
      </w:r>
      <w:r>
        <w:t>university students have</w:t>
      </w:r>
      <w:r>
        <w:rPr>
          <w:spacing w:val="-2"/>
        </w:rPr>
        <w:t xml:space="preserve"> </w:t>
      </w:r>
      <w:r>
        <w:t>received</w:t>
      </w:r>
      <w:r>
        <w:rPr>
          <w:spacing w:val="-1"/>
        </w:rPr>
        <w:t xml:space="preserve"> </w:t>
      </w:r>
      <w:r>
        <w:t>training</w:t>
      </w:r>
      <w:r>
        <w:rPr>
          <w:spacing w:val="-1"/>
        </w:rPr>
        <w:t xml:space="preserve"> </w:t>
      </w:r>
      <w:r>
        <w:t>on</w:t>
      </w:r>
      <w:r>
        <w:rPr>
          <w:spacing w:val="-1"/>
        </w:rPr>
        <w:t xml:space="preserve"> </w:t>
      </w:r>
      <w:r>
        <w:t>village regulations, community facilitation,</w:t>
      </w:r>
      <w:r>
        <w:rPr>
          <w:spacing w:val="-3"/>
        </w:rPr>
        <w:t xml:space="preserve"> </w:t>
      </w:r>
      <w:r>
        <w:t>regulatory</w:t>
      </w:r>
      <w:r>
        <w:rPr>
          <w:spacing w:val="-3"/>
        </w:rPr>
        <w:t xml:space="preserve"> </w:t>
      </w:r>
      <w:r>
        <w:t>frameworks,</w:t>
      </w:r>
      <w:r>
        <w:rPr>
          <w:spacing w:val="-6"/>
        </w:rPr>
        <w:t xml:space="preserve"> </w:t>
      </w:r>
      <w:r>
        <w:t>and</w:t>
      </w:r>
      <w:r>
        <w:rPr>
          <w:spacing w:val="-9"/>
        </w:rPr>
        <w:t xml:space="preserve"> </w:t>
      </w:r>
      <w:r>
        <w:t>SIGAP</w:t>
      </w:r>
      <w:r>
        <w:rPr>
          <w:spacing w:val="-9"/>
        </w:rPr>
        <w:t xml:space="preserve"> </w:t>
      </w:r>
      <w:r>
        <w:t>data</w:t>
      </w:r>
      <w:r>
        <w:rPr>
          <w:spacing w:val="-5"/>
        </w:rPr>
        <w:t xml:space="preserve"> </w:t>
      </w:r>
      <w:r>
        <w:t>entry</w:t>
      </w:r>
      <w:r>
        <w:rPr>
          <w:spacing w:val="-3"/>
        </w:rPr>
        <w:t xml:space="preserve"> </w:t>
      </w:r>
      <w:r>
        <w:t>techniques</w:t>
      </w:r>
      <w:r>
        <w:rPr>
          <w:spacing w:val="-6"/>
        </w:rPr>
        <w:t xml:space="preserve"> </w:t>
      </w:r>
      <w:r>
        <w:t>in</w:t>
      </w:r>
      <w:r>
        <w:rPr>
          <w:spacing w:val="-6"/>
        </w:rPr>
        <w:t xml:space="preserve"> </w:t>
      </w:r>
      <w:r>
        <w:t>Siemelu</w:t>
      </w:r>
      <w:r>
        <w:rPr>
          <w:spacing w:val="-6"/>
        </w:rPr>
        <w:t xml:space="preserve"> </w:t>
      </w:r>
      <w:r>
        <w:t>and</w:t>
      </w:r>
      <w:r>
        <w:rPr>
          <w:spacing w:val="-6"/>
        </w:rPr>
        <w:t xml:space="preserve"> </w:t>
      </w:r>
      <w:r>
        <w:t>Nagan Raya districts.</w:t>
      </w:r>
    </w:p>
    <w:p w14:paraId="52DC744E" w14:textId="77777777" w:rsidR="00BC24A8" w:rsidRDefault="00000000">
      <w:pPr>
        <w:pStyle w:val="ListParagraph"/>
        <w:numPr>
          <w:ilvl w:val="2"/>
          <w:numId w:val="139"/>
        </w:numPr>
        <w:tabs>
          <w:tab w:val="left" w:pos="1222"/>
          <w:tab w:val="left" w:pos="1224"/>
        </w:tabs>
        <w:spacing w:before="2" w:line="254" w:lineRule="auto"/>
        <w:ind w:right="564"/>
      </w:pPr>
      <w:r>
        <w:t>By June 2024, SIGAP coverage has increased from 47% to 51% (2,850,607 out of a total population of</w:t>
      </w:r>
      <w:r>
        <w:rPr>
          <w:spacing w:val="-2"/>
        </w:rPr>
        <w:t xml:space="preserve"> </w:t>
      </w:r>
      <w:r>
        <w:t>5,623,454, BPS 2024–2025), supported by collaboration with six universities and more than 2,600 university students.</w:t>
      </w:r>
    </w:p>
    <w:p w14:paraId="6E66A93A" w14:textId="77777777" w:rsidR="00BC24A8" w:rsidRDefault="00000000">
      <w:pPr>
        <w:pStyle w:val="ListParagraph"/>
        <w:numPr>
          <w:ilvl w:val="2"/>
          <w:numId w:val="139"/>
        </w:numPr>
        <w:tabs>
          <w:tab w:val="left" w:pos="1222"/>
          <w:tab w:val="left" w:pos="1224"/>
        </w:tabs>
        <w:spacing w:before="7" w:line="256" w:lineRule="auto"/>
        <w:ind w:right="562"/>
      </w:pPr>
      <w:r>
        <w:t>The SIGAP 2.0 application has continued to be developed, featuring a more informative dashboard, updated population data, and additional features such as customary institutions, community institutions, and Village-Owned Enterprises (BumDes).</w:t>
      </w:r>
    </w:p>
    <w:p w14:paraId="73770E8D" w14:textId="77777777" w:rsidR="00BC24A8" w:rsidRDefault="00000000">
      <w:pPr>
        <w:pStyle w:val="ListParagraph"/>
        <w:numPr>
          <w:ilvl w:val="1"/>
          <w:numId w:val="139"/>
        </w:numPr>
        <w:tabs>
          <w:tab w:val="left" w:pos="864"/>
        </w:tabs>
        <w:spacing w:before="240"/>
        <w:ind w:left="864" w:hanging="360"/>
        <w:jc w:val="left"/>
      </w:pPr>
      <w:r>
        <w:t>SKALA</w:t>
      </w:r>
      <w:r>
        <w:rPr>
          <w:spacing w:val="-7"/>
        </w:rPr>
        <w:t xml:space="preserve"> </w:t>
      </w:r>
      <w:r>
        <w:t>has</w:t>
      </w:r>
      <w:r>
        <w:rPr>
          <w:spacing w:val="-3"/>
        </w:rPr>
        <w:t xml:space="preserve"> </w:t>
      </w:r>
      <w:r>
        <w:t>supported</w:t>
      </w:r>
      <w:r>
        <w:rPr>
          <w:spacing w:val="-4"/>
        </w:rPr>
        <w:t xml:space="preserve"> </w:t>
      </w:r>
      <w:r>
        <w:t>the</w:t>
      </w:r>
      <w:r>
        <w:rPr>
          <w:spacing w:val="-5"/>
        </w:rPr>
        <w:t xml:space="preserve"> </w:t>
      </w:r>
      <w:r>
        <w:t>implementation</w:t>
      </w:r>
      <w:r>
        <w:rPr>
          <w:spacing w:val="-3"/>
        </w:rPr>
        <w:t xml:space="preserve"> </w:t>
      </w:r>
      <w:r>
        <w:t>of</w:t>
      </w:r>
      <w:r>
        <w:rPr>
          <w:spacing w:val="-4"/>
        </w:rPr>
        <w:t xml:space="preserve"> </w:t>
      </w:r>
      <w:r>
        <w:t>the</w:t>
      </w:r>
      <w:r>
        <w:rPr>
          <w:spacing w:val="-5"/>
        </w:rPr>
        <w:t xml:space="preserve"> </w:t>
      </w:r>
      <w:r>
        <w:t>Regional</w:t>
      </w:r>
      <w:r>
        <w:rPr>
          <w:spacing w:val="-5"/>
        </w:rPr>
        <w:t xml:space="preserve"> </w:t>
      </w:r>
      <w:r>
        <w:t>One</w:t>
      </w:r>
      <w:r>
        <w:rPr>
          <w:spacing w:val="-3"/>
        </w:rPr>
        <w:t xml:space="preserve"> </w:t>
      </w:r>
      <w:r>
        <w:rPr>
          <w:spacing w:val="-2"/>
        </w:rPr>
        <w:t>Data:</w:t>
      </w:r>
    </w:p>
    <w:p w14:paraId="39763A6C" w14:textId="77777777" w:rsidR="00BC24A8" w:rsidRDefault="00000000">
      <w:pPr>
        <w:pStyle w:val="ListParagraph"/>
        <w:numPr>
          <w:ilvl w:val="2"/>
          <w:numId w:val="139"/>
        </w:numPr>
        <w:tabs>
          <w:tab w:val="left" w:pos="1222"/>
          <w:tab w:val="left" w:pos="1224"/>
        </w:tabs>
        <w:spacing w:before="121" w:line="252" w:lineRule="auto"/>
        <w:ind w:right="563"/>
        <w:jc w:val="left"/>
      </w:pPr>
      <w:r>
        <w:rPr>
          <w:spacing w:val="-2"/>
        </w:rPr>
        <w:t>The</w:t>
      </w:r>
      <w:r>
        <w:rPr>
          <w:spacing w:val="-9"/>
        </w:rPr>
        <w:t xml:space="preserve"> </w:t>
      </w:r>
      <w:r>
        <w:rPr>
          <w:spacing w:val="-2"/>
        </w:rPr>
        <w:t>Governor’s</w:t>
      </w:r>
      <w:r>
        <w:rPr>
          <w:spacing w:val="-9"/>
        </w:rPr>
        <w:t xml:space="preserve"> </w:t>
      </w:r>
      <w:r>
        <w:rPr>
          <w:spacing w:val="-2"/>
        </w:rPr>
        <w:t>Decree</w:t>
      </w:r>
      <w:r>
        <w:rPr>
          <w:spacing w:val="-9"/>
        </w:rPr>
        <w:t xml:space="preserve"> </w:t>
      </w:r>
      <w:r>
        <w:rPr>
          <w:spacing w:val="-2"/>
        </w:rPr>
        <w:t>on</w:t>
      </w:r>
      <w:r>
        <w:rPr>
          <w:spacing w:val="-6"/>
        </w:rPr>
        <w:t xml:space="preserve"> </w:t>
      </w:r>
      <w:r>
        <w:rPr>
          <w:spacing w:val="-2"/>
        </w:rPr>
        <w:t>the</w:t>
      </w:r>
      <w:r>
        <w:rPr>
          <w:spacing w:val="-9"/>
        </w:rPr>
        <w:t xml:space="preserve"> </w:t>
      </w:r>
      <w:r>
        <w:rPr>
          <w:spacing w:val="-2"/>
        </w:rPr>
        <w:t>Drafting</w:t>
      </w:r>
      <w:r>
        <w:rPr>
          <w:spacing w:val="-7"/>
        </w:rPr>
        <w:t xml:space="preserve"> </w:t>
      </w:r>
      <w:r>
        <w:rPr>
          <w:spacing w:val="-2"/>
        </w:rPr>
        <w:t>Team</w:t>
      </w:r>
      <w:r>
        <w:rPr>
          <w:spacing w:val="-6"/>
        </w:rPr>
        <w:t xml:space="preserve"> </w:t>
      </w:r>
      <w:r>
        <w:rPr>
          <w:spacing w:val="-2"/>
        </w:rPr>
        <w:t>for</w:t>
      </w:r>
      <w:r>
        <w:rPr>
          <w:spacing w:val="-6"/>
        </w:rPr>
        <w:t xml:space="preserve"> </w:t>
      </w:r>
      <w:r>
        <w:rPr>
          <w:spacing w:val="-2"/>
        </w:rPr>
        <w:t>the</w:t>
      </w:r>
      <w:r>
        <w:rPr>
          <w:spacing w:val="-11"/>
        </w:rPr>
        <w:t xml:space="preserve"> </w:t>
      </w:r>
      <w:r>
        <w:rPr>
          <w:spacing w:val="-2"/>
        </w:rPr>
        <w:t>Governor</w:t>
      </w:r>
      <w:r>
        <w:rPr>
          <w:spacing w:val="-6"/>
        </w:rPr>
        <w:t xml:space="preserve"> </w:t>
      </w:r>
      <w:r>
        <w:rPr>
          <w:spacing w:val="-2"/>
        </w:rPr>
        <w:t>Regulation</w:t>
      </w:r>
      <w:r>
        <w:rPr>
          <w:spacing w:val="-10"/>
        </w:rPr>
        <w:t xml:space="preserve"> </w:t>
      </w:r>
      <w:r>
        <w:rPr>
          <w:spacing w:val="-2"/>
        </w:rPr>
        <w:t>on</w:t>
      </w:r>
      <w:r>
        <w:rPr>
          <w:spacing w:val="-6"/>
        </w:rPr>
        <w:t xml:space="preserve"> </w:t>
      </w:r>
      <w:r>
        <w:rPr>
          <w:spacing w:val="-2"/>
        </w:rPr>
        <w:t xml:space="preserve">Interoperability </w:t>
      </w:r>
      <w:r>
        <w:t>Guidelines has been issued.</w:t>
      </w:r>
    </w:p>
    <w:p w14:paraId="07AC1D2D" w14:textId="77777777" w:rsidR="00BC24A8" w:rsidRDefault="00000000">
      <w:pPr>
        <w:pStyle w:val="ListParagraph"/>
        <w:numPr>
          <w:ilvl w:val="2"/>
          <w:numId w:val="139"/>
        </w:numPr>
        <w:tabs>
          <w:tab w:val="left" w:pos="1223"/>
        </w:tabs>
        <w:spacing w:before="9"/>
        <w:ind w:left="1223" w:hanging="359"/>
        <w:jc w:val="left"/>
      </w:pPr>
      <w:r>
        <w:t>The</w:t>
      </w:r>
      <w:r>
        <w:rPr>
          <w:spacing w:val="-10"/>
        </w:rPr>
        <w:t xml:space="preserve"> </w:t>
      </w:r>
      <w:r>
        <w:t>draft</w:t>
      </w:r>
      <w:r>
        <w:rPr>
          <w:spacing w:val="-10"/>
        </w:rPr>
        <w:t xml:space="preserve"> </w:t>
      </w:r>
      <w:r>
        <w:t>Governor</w:t>
      </w:r>
      <w:r>
        <w:rPr>
          <w:spacing w:val="-11"/>
        </w:rPr>
        <w:t xml:space="preserve"> </w:t>
      </w:r>
      <w:r>
        <w:t>Regulation</w:t>
      </w:r>
      <w:r>
        <w:rPr>
          <w:spacing w:val="-8"/>
        </w:rPr>
        <w:t xml:space="preserve"> </w:t>
      </w:r>
      <w:r>
        <w:t>on</w:t>
      </w:r>
      <w:r>
        <w:rPr>
          <w:spacing w:val="-10"/>
        </w:rPr>
        <w:t xml:space="preserve"> </w:t>
      </w:r>
      <w:r>
        <w:t>data</w:t>
      </w:r>
      <w:r>
        <w:rPr>
          <w:spacing w:val="-10"/>
        </w:rPr>
        <w:t xml:space="preserve"> </w:t>
      </w:r>
      <w:r>
        <w:t>interoperability</w:t>
      </w:r>
      <w:r>
        <w:rPr>
          <w:spacing w:val="-10"/>
        </w:rPr>
        <w:t xml:space="preserve"> </w:t>
      </w:r>
      <w:r>
        <w:t>has</w:t>
      </w:r>
      <w:r>
        <w:rPr>
          <w:spacing w:val="-8"/>
        </w:rPr>
        <w:t xml:space="preserve"> </w:t>
      </w:r>
      <w:r>
        <w:t>been</w:t>
      </w:r>
      <w:r>
        <w:rPr>
          <w:spacing w:val="-10"/>
        </w:rPr>
        <w:t xml:space="preserve"> </w:t>
      </w:r>
      <w:r>
        <w:rPr>
          <w:spacing w:val="-2"/>
        </w:rPr>
        <w:t>prepared.</w:t>
      </w:r>
    </w:p>
    <w:p w14:paraId="70E7F5F3" w14:textId="77777777" w:rsidR="00BC24A8" w:rsidRDefault="00000000">
      <w:pPr>
        <w:pStyle w:val="ListParagraph"/>
        <w:numPr>
          <w:ilvl w:val="2"/>
          <w:numId w:val="139"/>
        </w:numPr>
        <w:tabs>
          <w:tab w:val="left" w:pos="1223"/>
        </w:tabs>
        <w:spacing w:before="13"/>
        <w:ind w:left="1223" w:hanging="359"/>
        <w:jc w:val="left"/>
      </w:pPr>
      <w:r>
        <w:t>The</w:t>
      </w:r>
      <w:r>
        <w:rPr>
          <w:spacing w:val="20"/>
        </w:rPr>
        <w:t xml:space="preserve"> </w:t>
      </w:r>
      <w:r>
        <w:t>draft</w:t>
      </w:r>
      <w:r>
        <w:rPr>
          <w:spacing w:val="21"/>
        </w:rPr>
        <w:t xml:space="preserve"> </w:t>
      </w:r>
      <w:r>
        <w:t>Governor</w:t>
      </w:r>
      <w:r>
        <w:rPr>
          <w:spacing w:val="20"/>
        </w:rPr>
        <w:t xml:space="preserve"> </w:t>
      </w:r>
      <w:r>
        <w:t>Regulation</w:t>
      </w:r>
      <w:r>
        <w:rPr>
          <w:spacing w:val="20"/>
        </w:rPr>
        <w:t xml:space="preserve"> </w:t>
      </w:r>
      <w:r>
        <w:t>for</w:t>
      </w:r>
      <w:r>
        <w:rPr>
          <w:spacing w:val="21"/>
        </w:rPr>
        <w:t xml:space="preserve"> </w:t>
      </w:r>
      <w:r>
        <w:t>the</w:t>
      </w:r>
      <w:r>
        <w:rPr>
          <w:spacing w:val="20"/>
        </w:rPr>
        <w:t xml:space="preserve"> </w:t>
      </w:r>
      <w:r>
        <w:t>Aceh</w:t>
      </w:r>
      <w:r>
        <w:rPr>
          <w:spacing w:val="23"/>
        </w:rPr>
        <w:t xml:space="preserve"> </w:t>
      </w:r>
      <w:r>
        <w:t>One</w:t>
      </w:r>
      <w:r>
        <w:rPr>
          <w:spacing w:val="21"/>
        </w:rPr>
        <w:t xml:space="preserve"> </w:t>
      </w:r>
      <w:r>
        <w:t>Data</w:t>
      </w:r>
      <w:r>
        <w:rPr>
          <w:spacing w:val="21"/>
        </w:rPr>
        <w:t xml:space="preserve"> </w:t>
      </w:r>
      <w:r>
        <w:t>Action</w:t>
      </w:r>
      <w:r>
        <w:rPr>
          <w:spacing w:val="20"/>
        </w:rPr>
        <w:t xml:space="preserve"> </w:t>
      </w:r>
      <w:r>
        <w:t>Plan</w:t>
      </w:r>
      <w:r>
        <w:rPr>
          <w:spacing w:val="20"/>
        </w:rPr>
        <w:t xml:space="preserve"> </w:t>
      </w:r>
      <w:r>
        <w:t>2025–2029</w:t>
      </w:r>
      <w:r>
        <w:rPr>
          <w:spacing w:val="18"/>
        </w:rPr>
        <w:t xml:space="preserve"> </w:t>
      </w:r>
      <w:r>
        <w:t>has</w:t>
      </w:r>
      <w:r>
        <w:rPr>
          <w:spacing w:val="20"/>
        </w:rPr>
        <w:t xml:space="preserve"> </w:t>
      </w:r>
      <w:r>
        <w:rPr>
          <w:spacing w:val="-4"/>
        </w:rPr>
        <w:t>been</w:t>
      </w:r>
    </w:p>
    <w:p w14:paraId="0DD36ABC" w14:textId="77777777" w:rsidR="00BC24A8" w:rsidRDefault="00000000">
      <w:pPr>
        <w:pStyle w:val="BodyText"/>
        <w:spacing w:before="15"/>
        <w:ind w:left="1224"/>
      </w:pPr>
      <w:r>
        <w:rPr>
          <w:spacing w:val="-2"/>
        </w:rPr>
        <w:t>prepared.</w:t>
      </w:r>
    </w:p>
    <w:p w14:paraId="02B260BA" w14:textId="77777777" w:rsidR="00BC24A8" w:rsidRDefault="00000000">
      <w:pPr>
        <w:pStyle w:val="ListParagraph"/>
        <w:numPr>
          <w:ilvl w:val="2"/>
          <w:numId w:val="139"/>
        </w:numPr>
        <w:tabs>
          <w:tab w:val="left" w:pos="1223"/>
        </w:tabs>
        <w:spacing w:before="21"/>
        <w:ind w:left="1223" w:hanging="359"/>
        <w:jc w:val="left"/>
      </w:pPr>
      <w:r>
        <w:t>The</w:t>
      </w:r>
      <w:r>
        <w:rPr>
          <w:spacing w:val="38"/>
        </w:rPr>
        <w:t xml:space="preserve"> </w:t>
      </w:r>
      <w:r>
        <w:t>draft</w:t>
      </w:r>
      <w:r>
        <w:rPr>
          <w:spacing w:val="41"/>
        </w:rPr>
        <w:t xml:space="preserve"> </w:t>
      </w:r>
      <w:r>
        <w:t>Governor</w:t>
      </w:r>
      <w:r>
        <w:rPr>
          <w:spacing w:val="41"/>
        </w:rPr>
        <w:t xml:space="preserve"> </w:t>
      </w:r>
      <w:r>
        <w:t>Regulation</w:t>
      </w:r>
      <w:r>
        <w:rPr>
          <w:spacing w:val="41"/>
        </w:rPr>
        <w:t xml:space="preserve"> </w:t>
      </w:r>
      <w:r>
        <w:t>on</w:t>
      </w:r>
      <w:r>
        <w:rPr>
          <w:spacing w:val="41"/>
        </w:rPr>
        <w:t xml:space="preserve"> </w:t>
      </w:r>
      <w:r>
        <w:t>changes</w:t>
      </w:r>
      <w:r>
        <w:rPr>
          <w:spacing w:val="40"/>
        </w:rPr>
        <w:t xml:space="preserve"> </w:t>
      </w:r>
      <w:r>
        <w:t>in</w:t>
      </w:r>
      <w:r>
        <w:rPr>
          <w:spacing w:val="41"/>
        </w:rPr>
        <w:t xml:space="preserve"> </w:t>
      </w:r>
      <w:r>
        <w:t>the</w:t>
      </w:r>
      <w:r>
        <w:rPr>
          <w:spacing w:val="37"/>
        </w:rPr>
        <w:t xml:space="preserve"> </w:t>
      </w:r>
      <w:r>
        <w:t>organisation</w:t>
      </w:r>
      <w:r>
        <w:rPr>
          <w:spacing w:val="39"/>
        </w:rPr>
        <w:t xml:space="preserve"> </w:t>
      </w:r>
      <w:r>
        <w:t>of</w:t>
      </w:r>
      <w:r>
        <w:rPr>
          <w:spacing w:val="39"/>
        </w:rPr>
        <w:t xml:space="preserve"> </w:t>
      </w:r>
      <w:r>
        <w:t>One</w:t>
      </w:r>
      <w:r>
        <w:rPr>
          <w:spacing w:val="39"/>
        </w:rPr>
        <w:t xml:space="preserve"> </w:t>
      </w:r>
      <w:r>
        <w:t>Data</w:t>
      </w:r>
      <w:r>
        <w:rPr>
          <w:spacing w:val="35"/>
        </w:rPr>
        <w:t xml:space="preserve"> </w:t>
      </w:r>
      <w:r>
        <w:t>has</w:t>
      </w:r>
      <w:r>
        <w:rPr>
          <w:spacing w:val="39"/>
        </w:rPr>
        <w:t xml:space="preserve"> </w:t>
      </w:r>
      <w:r>
        <w:rPr>
          <w:spacing w:val="-4"/>
        </w:rPr>
        <w:t>been</w:t>
      </w:r>
    </w:p>
    <w:p w14:paraId="10357C6A" w14:textId="77777777" w:rsidR="00BC24A8" w:rsidRDefault="00000000">
      <w:pPr>
        <w:pStyle w:val="BodyText"/>
        <w:spacing w:before="15"/>
        <w:ind w:left="1225"/>
      </w:pPr>
      <w:r>
        <w:rPr>
          <w:spacing w:val="-2"/>
        </w:rPr>
        <w:t>prepared.</w:t>
      </w:r>
    </w:p>
    <w:p w14:paraId="6EF2B4DE" w14:textId="77777777" w:rsidR="00BC24A8" w:rsidRDefault="00000000">
      <w:pPr>
        <w:pStyle w:val="ListParagraph"/>
        <w:numPr>
          <w:ilvl w:val="2"/>
          <w:numId w:val="139"/>
        </w:numPr>
        <w:tabs>
          <w:tab w:val="left" w:pos="1223"/>
        </w:tabs>
        <w:spacing w:before="21" w:line="256" w:lineRule="auto"/>
        <w:ind w:left="1223" w:right="561" w:hanging="359"/>
      </w:pPr>
      <w:r>
        <w:t>Ten</w:t>
      </w:r>
      <w:r>
        <w:rPr>
          <w:spacing w:val="-13"/>
        </w:rPr>
        <w:t xml:space="preserve"> </w:t>
      </w:r>
      <w:r>
        <w:t>Standard</w:t>
      </w:r>
      <w:r>
        <w:rPr>
          <w:spacing w:val="-12"/>
        </w:rPr>
        <w:t xml:space="preserve"> </w:t>
      </w:r>
      <w:r>
        <w:t>Operating</w:t>
      </w:r>
      <w:r>
        <w:rPr>
          <w:spacing w:val="-13"/>
        </w:rPr>
        <w:t xml:space="preserve"> </w:t>
      </w:r>
      <w:r>
        <w:t>Procedures</w:t>
      </w:r>
      <w:r>
        <w:rPr>
          <w:spacing w:val="-12"/>
        </w:rPr>
        <w:t xml:space="preserve"> </w:t>
      </w:r>
      <w:r>
        <w:t>(SOPs)</w:t>
      </w:r>
      <w:hyperlink w:anchor="_bookmark95" w:history="1">
        <w:r w:rsidR="00BC24A8">
          <w:rPr>
            <w:vertAlign w:val="superscript"/>
          </w:rPr>
          <w:t>39</w:t>
        </w:r>
      </w:hyperlink>
      <w:r>
        <w:rPr>
          <w:spacing w:val="-13"/>
        </w:rPr>
        <w:t xml:space="preserve"> </w:t>
      </w:r>
      <w:r>
        <w:t>for</w:t>
      </w:r>
      <w:r>
        <w:rPr>
          <w:spacing w:val="-12"/>
        </w:rPr>
        <w:t xml:space="preserve"> </w:t>
      </w:r>
      <w:r>
        <w:t>the</w:t>
      </w:r>
      <w:r>
        <w:rPr>
          <w:spacing w:val="-13"/>
        </w:rPr>
        <w:t xml:space="preserve"> </w:t>
      </w:r>
      <w:r>
        <w:t>implementation</w:t>
      </w:r>
      <w:r>
        <w:rPr>
          <w:spacing w:val="-12"/>
        </w:rPr>
        <w:t xml:space="preserve"> </w:t>
      </w:r>
      <w:r>
        <w:t>of</w:t>
      </w:r>
      <w:r>
        <w:rPr>
          <w:spacing w:val="-12"/>
        </w:rPr>
        <w:t xml:space="preserve"> </w:t>
      </w:r>
      <w:r>
        <w:t>One</w:t>
      </w:r>
      <w:r>
        <w:rPr>
          <w:spacing w:val="-13"/>
        </w:rPr>
        <w:t xml:space="preserve"> </w:t>
      </w:r>
      <w:r>
        <w:t>Data</w:t>
      </w:r>
      <w:r>
        <w:rPr>
          <w:spacing w:val="-12"/>
        </w:rPr>
        <w:t xml:space="preserve"> </w:t>
      </w:r>
      <w:r>
        <w:t>Aceh</w:t>
      </w:r>
      <w:r>
        <w:rPr>
          <w:spacing w:val="-13"/>
        </w:rPr>
        <w:t xml:space="preserve"> </w:t>
      </w:r>
      <w:r>
        <w:t>have been issued. These SOPs will also be assessed in the One Data implementation survey and the Sectoral Statistics Implementation Evaluation by Bappenas and BPS.</w:t>
      </w:r>
    </w:p>
    <w:p w14:paraId="701188A1" w14:textId="77777777" w:rsidR="00BC24A8" w:rsidRDefault="00BC24A8">
      <w:pPr>
        <w:pStyle w:val="BodyText"/>
        <w:rPr>
          <w:sz w:val="20"/>
        </w:rPr>
      </w:pPr>
    </w:p>
    <w:p w14:paraId="6BB37C8D" w14:textId="77777777" w:rsidR="00BC24A8" w:rsidRDefault="00000000">
      <w:pPr>
        <w:pStyle w:val="BodyText"/>
        <w:spacing w:before="45"/>
        <w:rPr>
          <w:sz w:val="20"/>
        </w:rPr>
      </w:pPr>
      <w:r>
        <w:rPr>
          <w:noProof/>
          <w:sz w:val="20"/>
        </w:rPr>
        <mc:AlternateContent>
          <mc:Choice Requires="wps">
            <w:drawing>
              <wp:anchor distT="0" distB="0" distL="0" distR="0" simplePos="0" relativeHeight="487604224" behindDoc="1" locked="0" layoutInCell="1" allowOverlap="1" wp14:anchorId="621C7989" wp14:editId="7BFCC73D">
                <wp:simplePos x="0" y="0"/>
                <wp:positionH relativeFrom="page">
                  <wp:posOffset>900683</wp:posOffset>
                </wp:positionH>
                <wp:positionV relativeFrom="paragraph">
                  <wp:posOffset>199061</wp:posOffset>
                </wp:positionV>
                <wp:extent cx="1828800" cy="9525"/>
                <wp:effectExtent l="0" t="0" r="0" b="0"/>
                <wp:wrapTopAndBottom/>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AF0C3B" id="Graphic 73" o:spid="_x0000_s1026" alt="&quot;&quot;" style="position:absolute;margin-left:70.9pt;margin-top:15.65pt;width:2in;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" path="m1828800,l,,,9143r1828800,l1828800,xe" fillcolor="black" stroked="f">
                <v:path arrowok="t"/>
                <w10:wrap type="topAndBottom" anchorx="page"/>
              </v:shape>
            </w:pict>
          </mc:Fallback>
        </mc:AlternateContent>
      </w:r>
    </w:p>
    <w:p w14:paraId="5FBE14FF" w14:textId="77777777" w:rsidR="00BC24A8" w:rsidRDefault="00BC24A8">
      <w:pPr>
        <w:pStyle w:val="BodyText"/>
        <w:spacing w:before="108"/>
        <w:rPr>
          <w:sz w:val="16"/>
        </w:rPr>
      </w:pPr>
    </w:p>
    <w:p w14:paraId="1A386A82" w14:textId="77777777" w:rsidR="00BC24A8" w:rsidRDefault="00000000">
      <w:pPr>
        <w:ind w:left="143" w:right="662"/>
        <w:rPr>
          <w:sz w:val="16"/>
        </w:rPr>
      </w:pPr>
      <w:bookmarkStart w:id="144" w:name="_bookmark95"/>
      <w:bookmarkEnd w:id="144"/>
      <w:r>
        <w:rPr>
          <w:color w:val="767070"/>
          <w:sz w:val="16"/>
          <w:vertAlign w:val="superscript"/>
        </w:rPr>
        <w:t>39</w:t>
      </w:r>
      <w:r>
        <w:rPr>
          <w:color w:val="767070"/>
          <w:sz w:val="16"/>
        </w:rPr>
        <w:t xml:space="preserve"> SOPs: Data Planning; Submission of the Data List; Data Collection; Implementation of the One Data Forum; Data Verification; Data</w:t>
      </w:r>
      <w:r>
        <w:rPr>
          <w:color w:val="767070"/>
          <w:spacing w:val="40"/>
          <w:sz w:val="16"/>
        </w:rPr>
        <w:t xml:space="preserve"> </w:t>
      </w:r>
      <w:r>
        <w:rPr>
          <w:color w:val="767070"/>
          <w:sz w:val="16"/>
        </w:rPr>
        <w:t>Dissemination;</w:t>
      </w:r>
      <w:r>
        <w:rPr>
          <w:color w:val="767070"/>
          <w:spacing w:val="-6"/>
          <w:sz w:val="16"/>
        </w:rPr>
        <w:t xml:space="preserve"> </w:t>
      </w:r>
      <w:r>
        <w:rPr>
          <w:color w:val="767070"/>
          <w:sz w:val="16"/>
        </w:rPr>
        <w:t>Data</w:t>
      </w:r>
      <w:r>
        <w:rPr>
          <w:color w:val="767070"/>
          <w:spacing w:val="-5"/>
          <w:sz w:val="16"/>
        </w:rPr>
        <w:t xml:space="preserve"> </w:t>
      </w:r>
      <w:r>
        <w:rPr>
          <w:color w:val="767070"/>
          <w:sz w:val="16"/>
        </w:rPr>
        <w:t>Access</w:t>
      </w:r>
      <w:r>
        <w:rPr>
          <w:color w:val="767070"/>
          <w:spacing w:val="-5"/>
          <w:sz w:val="16"/>
        </w:rPr>
        <w:t xml:space="preserve"> </w:t>
      </w:r>
      <w:r>
        <w:rPr>
          <w:color w:val="767070"/>
          <w:sz w:val="16"/>
        </w:rPr>
        <w:t>Rights</w:t>
      </w:r>
      <w:r>
        <w:rPr>
          <w:color w:val="767070"/>
          <w:spacing w:val="-5"/>
          <w:sz w:val="16"/>
        </w:rPr>
        <w:t xml:space="preserve"> </w:t>
      </w:r>
      <w:r>
        <w:rPr>
          <w:color w:val="767070"/>
          <w:sz w:val="16"/>
        </w:rPr>
        <w:t>Management;</w:t>
      </w:r>
      <w:r>
        <w:rPr>
          <w:color w:val="767070"/>
          <w:spacing w:val="-5"/>
          <w:sz w:val="16"/>
        </w:rPr>
        <w:t xml:space="preserve"> </w:t>
      </w:r>
      <w:r>
        <w:rPr>
          <w:color w:val="767070"/>
          <w:sz w:val="16"/>
        </w:rPr>
        <w:t>Verification</w:t>
      </w:r>
      <w:r>
        <w:rPr>
          <w:color w:val="767070"/>
          <w:spacing w:val="-7"/>
          <w:sz w:val="16"/>
        </w:rPr>
        <w:t xml:space="preserve"> </w:t>
      </w:r>
      <w:r>
        <w:rPr>
          <w:color w:val="767070"/>
          <w:sz w:val="16"/>
        </w:rPr>
        <w:t>and</w:t>
      </w:r>
      <w:r>
        <w:rPr>
          <w:color w:val="767070"/>
          <w:spacing w:val="-5"/>
          <w:sz w:val="16"/>
        </w:rPr>
        <w:t xml:space="preserve"> </w:t>
      </w:r>
      <w:r>
        <w:rPr>
          <w:color w:val="767070"/>
          <w:sz w:val="16"/>
        </w:rPr>
        <w:t>Dissemination</w:t>
      </w:r>
      <w:r>
        <w:rPr>
          <w:color w:val="767070"/>
          <w:spacing w:val="-5"/>
          <w:sz w:val="16"/>
        </w:rPr>
        <w:t xml:space="preserve"> </w:t>
      </w:r>
      <w:r>
        <w:rPr>
          <w:color w:val="767070"/>
          <w:sz w:val="16"/>
        </w:rPr>
        <w:t>of</w:t>
      </w:r>
      <w:r>
        <w:rPr>
          <w:color w:val="767070"/>
          <w:spacing w:val="-6"/>
          <w:sz w:val="16"/>
        </w:rPr>
        <w:t xml:space="preserve"> </w:t>
      </w:r>
      <w:r>
        <w:rPr>
          <w:color w:val="767070"/>
          <w:sz w:val="16"/>
        </w:rPr>
        <w:t>Geospatial</w:t>
      </w:r>
      <w:r>
        <w:rPr>
          <w:color w:val="767070"/>
          <w:spacing w:val="-5"/>
          <w:sz w:val="16"/>
        </w:rPr>
        <w:t xml:space="preserve"> </w:t>
      </w:r>
      <w:r>
        <w:rPr>
          <w:color w:val="767070"/>
          <w:sz w:val="16"/>
        </w:rPr>
        <w:t>Data</w:t>
      </w:r>
      <w:r>
        <w:rPr>
          <w:color w:val="767070"/>
          <w:spacing w:val="-6"/>
          <w:sz w:val="16"/>
        </w:rPr>
        <w:t xml:space="preserve"> </w:t>
      </w:r>
      <w:r>
        <w:rPr>
          <w:color w:val="767070"/>
          <w:sz w:val="16"/>
        </w:rPr>
        <w:t>and</w:t>
      </w:r>
      <w:r>
        <w:rPr>
          <w:color w:val="767070"/>
          <w:spacing w:val="-5"/>
          <w:sz w:val="16"/>
        </w:rPr>
        <w:t xml:space="preserve"> </w:t>
      </w:r>
      <w:r>
        <w:rPr>
          <w:color w:val="767070"/>
          <w:sz w:val="16"/>
        </w:rPr>
        <w:t>Information;</w:t>
      </w:r>
      <w:r>
        <w:rPr>
          <w:color w:val="767070"/>
          <w:spacing w:val="-5"/>
          <w:sz w:val="16"/>
        </w:rPr>
        <w:t xml:space="preserve"> </w:t>
      </w:r>
      <w:r>
        <w:rPr>
          <w:color w:val="767070"/>
          <w:sz w:val="16"/>
        </w:rPr>
        <w:t>Storage</w:t>
      </w:r>
      <w:r>
        <w:rPr>
          <w:color w:val="767070"/>
          <w:spacing w:val="-7"/>
          <w:sz w:val="16"/>
        </w:rPr>
        <w:t xml:space="preserve"> </w:t>
      </w:r>
      <w:r>
        <w:rPr>
          <w:color w:val="767070"/>
          <w:sz w:val="16"/>
        </w:rPr>
        <w:t>and</w:t>
      </w:r>
      <w:r>
        <w:rPr>
          <w:color w:val="767070"/>
          <w:spacing w:val="-5"/>
          <w:sz w:val="16"/>
        </w:rPr>
        <w:t xml:space="preserve"> </w:t>
      </w:r>
      <w:r>
        <w:rPr>
          <w:color w:val="767070"/>
          <w:sz w:val="16"/>
        </w:rPr>
        <w:t>Security</w:t>
      </w:r>
      <w:r>
        <w:rPr>
          <w:color w:val="767070"/>
          <w:spacing w:val="-5"/>
          <w:sz w:val="16"/>
        </w:rPr>
        <w:t xml:space="preserve"> </w:t>
      </w:r>
      <w:r>
        <w:rPr>
          <w:color w:val="767070"/>
          <w:sz w:val="16"/>
        </w:rPr>
        <w:t>of</w:t>
      </w:r>
      <w:r>
        <w:rPr>
          <w:color w:val="767070"/>
          <w:spacing w:val="40"/>
          <w:sz w:val="16"/>
        </w:rPr>
        <w:t xml:space="preserve"> </w:t>
      </w:r>
      <w:r>
        <w:rPr>
          <w:color w:val="767070"/>
          <w:sz w:val="16"/>
        </w:rPr>
        <w:t>Geospatial Data and Information; Data and Geospatial Information Quality Assurance; and Monitoring and Evaluation of Geospatial</w:t>
      </w:r>
      <w:r>
        <w:rPr>
          <w:color w:val="767070"/>
          <w:spacing w:val="40"/>
          <w:sz w:val="16"/>
        </w:rPr>
        <w:t xml:space="preserve"> </w:t>
      </w:r>
      <w:r>
        <w:rPr>
          <w:color w:val="767070"/>
          <w:sz w:val="16"/>
        </w:rPr>
        <w:t>Information</w:t>
      </w:r>
      <w:r>
        <w:rPr>
          <w:color w:val="767070"/>
          <w:spacing w:val="-5"/>
          <w:sz w:val="16"/>
        </w:rPr>
        <w:t xml:space="preserve"> </w:t>
      </w:r>
      <w:r>
        <w:rPr>
          <w:color w:val="767070"/>
          <w:sz w:val="16"/>
        </w:rPr>
        <w:t>Implementation.</w:t>
      </w:r>
    </w:p>
    <w:p w14:paraId="015AB7F9" w14:textId="77777777" w:rsidR="00BC24A8" w:rsidRDefault="00BC24A8">
      <w:pPr>
        <w:rPr>
          <w:sz w:val="16"/>
        </w:rPr>
        <w:sectPr w:rsidR="00BC24A8">
          <w:pgSz w:w="11910" w:h="16840"/>
          <w:pgMar w:top="1360" w:right="850" w:bottom="1100" w:left="1275" w:header="0" w:footer="907" w:gutter="0"/>
          <w:cols w:space="720"/>
        </w:sectPr>
      </w:pPr>
    </w:p>
    <w:p w14:paraId="10508E85" w14:textId="77777777" w:rsidR="00BC24A8" w:rsidRDefault="00000000">
      <w:pPr>
        <w:pStyle w:val="ListParagraph"/>
        <w:numPr>
          <w:ilvl w:val="2"/>
          <w:numId w:val="139"/>
        </w:numPr>
        <w:tabs>
          <w:tab w:val="left" w:pos="1221"/>
          <w:tab w:val="left" w:pos="1223"/>
        </w:tabs>
        <w:spacing w:before="59" w:line="252" w:lineRule="auto"/>
        <w:ind w:left="1223" w:right="564"/>
      </w:pPr>
      <w:r>
        <w:lastRenderedPageBreak/>
        <w:t>The</w:t>
      </w:r>
      <w:r>
        <w:rPr>
          <w:spacing w:val="-9"/>
        </w:rPr>
        <w:t xml:space="preserve"> </w:t>
      </w:r>
      <w:r>
        <w:t>draft</w:t>
      </w:r>
      <w:r>
        <w:rPr>
          <w:spacing w:val="-7"/>
        </w:rPr>
        <w:t xml:space="preserve"> </w:t>
      </w:r>
      <w:r>
        <w:t>data</w:t>
      </w:r>
      <w:r>
        <w:rPr>
          <w:spacing w:val="-9"/>
        </w:rPr>
        <w:t xml:space="preserve"> </w:t>
      </w:r>
      <w:r>
        <w:t>list</w:t>
      </w:r>
      <w:r>
        <w:rPr>
          <w:spacing w:val="-9"/>
        </w:rPr>
        <w:t xml:space="preserve"> </w:t>
      </w:r>
      <w:r>
        <w:t>for</w:t>
      </w:r>
      <w:r>
        <w:rPr>
          <w:spacing w:val="-8"/>
        </w:rPr>
        <w:t xml:space="preserve"> </w:t>
      </w:r>
      <w:r>
        <w:t>2025–2026,</w:t>
      </w:r>
      <w:r>
        <w:rPr>
          <w:spacing w:val="-7"/>
        </w:rPr>
        <w:t xml:space="preserve"> </w:t>
      </w:r>
      <w:r>
        <w:t>covering</w:t>
      </w:r>
      <w:r>
        <w:rPr>
          <w:spacing w:val="-9"/>
        </w:rPr>
        <w:t xml:space="preserve"> </w:t>
      </w:r>
      <w:r>
        <w:t>4,366</w:t>
      </w:r>
      <w:r>
        <w:rPr>
          <w:spacing w:val="-10"/>
        </w:rPr>
        <w:t xml:space="preserve"> </w:t>
      </w:r>
      <w:r>
        <w:t>datasets,</w:t>
      </w:r>
      <w:r>
        <w:rPr>
          <w:spacing w:val="-7"/>
        </w:rPr>
        <w:t xml:space="preserve"> </w:t>
      </w:r>
      <w:r>
        <w:t>will</w:t>
      </w:r>
      <w:r>
        <w:rPr>
          <w:spacing w:val="-9"/>
        </w:rPr>
        <w:t xml:space="preserve"> </w:t>
      </w:r>
      <w:r>
        <w:t>be</w:t>
      </w:r>
      <w:r>
        <w:rPr>
          <w:spacing w:val="-9"/>
        </w:rPr>
        <w:t xml:space="preserve"> </w:t>
      </w:r>
      <w:r>
        <w:t>finalised</w:t>
      </w:r>
      <w:r>
        <w:rPr>
          <w:spacing w:val="-8"/>
        </w:rPr>
        <w:t xml:space="preserve"> </w:t>
      </w:r>
      <w:r>
        <w:t>after</w:t>
      </w:r>
      <w:r>
        <w:rPr>
          <w:spacing w:val="-8"/>
        </w:rPr>
        <w:t xml:space="preserve"> </w:t>
      </w:r>
      <w:r>
        <w:t>the</w:t>
      </w:r>
      <w:r>
        <w:rPr>
          <w:spacing w:val="-9"/>
        </w:rPr>
        <w:t xml:space="preserve"> </w:t>
      </w:r>
      <w:r>
        <w:t>RPJMD is approved.</w:t>
      </w:r>
    </w:p>
    <w:p w14:paraId="7D784D98" w14:textId="77777777" w:rsidR="00BC24A8" w:rsidRDefault="00000000">
      <w:pPr>
        <w:pStyle w:val="ListParagraph"/>
        <w:numPr>
          <w:ilvl w:val="2"/>
          <w:numId w:val="139"/>
        </w:numPr>
        <w:tabs>
          <w:tab w:val="left" w:pos="1222"/>
        </w:tabs>
        <w:spacing w:before="7"/>
        <w:ind w:left="1222" w:hanging="359"/>
      </w:pPr>
      <w:r>
        <w:t>Development</w:t>
      </w:r>
      <w:r>
        <w:rPr>
          <w:spacing w:val="-5"/>
        </w:rPr>
        <w:t xml:space="preserve"> </w:t>
      </w:r>
      <w:r>
        <w:t>of</w:t>
      </w:r>
      <w:r>
        <w:rPr>
          <w:spacing w:val="-6"/>
        </w:rPr>
        <w:t xml:space="preserve"> </w:t>
      </w:r>
      <w:r>
        <w:t>the</w:t>
      </w:r>
      <w:r>
        <w:rPr>
          <w:spacing w:val="-5"/>
        </w:rPr>
        <w:t xml:space="preserve"> </w:t>
      </w:r>
      <w:r>
        <w:t>Aceh</w:t>
      </w:r>
      <w:r>
        <w:rPr>
          <w:spacing w:val="-6"/>
        </w:rPr>
        <w:t xml:space="preserve"> </w:t>
      </w:r>
      <w:r>
        <w:t>One</w:t>
      </w:r>
      <w:r>
        <w:rPr>
          <w:spacing w:val="-6"/>
        </w:rPr>
        <w:t xml:space="preserve"> </w:t>
      </w:r>
      <w:r>
        <w:t>Data</w:t>
      </w:r>
      <w:r>
        <w:rPr>
          <w:spacing w:val="-5"/>
        </w:rPr>
        <w:t xml:space="preserve"> </w:t>
      </w:r>
      <w:r>
        <w:rPr>
          <w:spacing w:val="-2"/>
        </w:rPr>
        <w:t>Portal:</w:t>
      </w:r>
    </w:p>
    <w:p w14:paraId="0B45BE4A" w14:textId="77777777" w:rsidR="00BC24A8" w:rsidRDefault="00000000">
      <w:pPr>
        <w:pStyle w:val="ListParagraph"/>
        <w:numPr>
          <w:ilvl w:val="3"/>
          <w:numId w:val="139"/>
        </w:numPr>
        <w:tabs>
          <w:tab w:val="left" w:pos="1583"/>
        </w:tabs>
        <w:spacing w:before="255"/>
        <w:ind w:right="565"/>
      </w:pPr>
      <w:r>
        <w:t>Data migration from the Open Data Aceh Portal (PINTU) to the Aceh One Data Portal has been carried out to integrate data across agencies, in line with Aceh’s 2025–2030 development vision and mission and the Governor and Vice Governor’s Quick Wins.</w:t>
      </w:r>
    </w:p>
    <w:p w14:paraId="0DA1D4B5" w14:textId="77777777" w:rsidR="00BC24A8" w:rsidRDefault="00000000">
      <w:pPr>
        <w:pStyle w:val="ListParagraph"/>
        <w:numPr>
          <w:ilvl w:val="3"/>
          <w:numId w:val="139"/>
        </w:numPr>
        <w:tabs>
          <w:tab w:val="left" w:pos="1583"/>
        </w:tabs>
        <w:spacing w:before="1"/>
        <w:ind w:right="564"/>
      </w:pPr>
      <w:r>
        <w:t>The Aceh One Data Portal was officially launched in April 2025 and provides 3,298 sectoral and spatial statistical datasets.</w:t>
      </w:r>
    </w:p>
    <w:p w14:paraId="1469E399" w14:textId="77777777" w:rsidR="00BC24A8" w:rsidRDefault="00000000">
      <w:pPr>
        <w:pStyle w:val="ListParagraph"/>
        <w:numPr>
          <w:ilvl w:val="1"/>
          <w:numId w:val="139"/>
        </w:numPr>
        <w:tabs>
          <w:tab w:val="left" w:pos="863"/>
        </w:tabs>
        <w:spacing w:before="159"/>
        <w:ind w:hanging="360"/>
        <w:jc w:val="left"/>
      </w:pPr>
      <w:r>
        <w:t>SKALA</w:t>
      </w:r>
      <w:r>
        <w:rPr>
          <w:spacing w:val="-6"/>
        </w:rPr>
        <w:t xml:space="preserve"> </w:t>
      </w:r>
      <w:r>
        <w:t>has</w:t>
      </w:r>
      <w:r>
        <w:rPr>
          <w:spacing w:val="-3"/>
        </w:rPr>
        <w:t xml:space="preserve"> </w:t>
      </w:r>
      <w:r>
        <w:t>supported</w:t>
      </w:r>
      <w:r>
        <w:rPr>
          <w:spacing w:val="-3"/>
        </w:rPr>
        <w:t xml:space="preserve"> </w:t>
      </w:r>
      <w:r>
        <w:t>improving</w:t>
      </w:r>
      <w:r>
        <w:rPr>
          <w:spacing w:val="-4"/>
        </w:rPr>
        <w:t xml:space="preserve"> </w:t>
      </w:r>
      <w:r>
        <w:t>data</w:t>
      </w:r>
      <w:r>
        <w:rPr>
          <w:spacing w:val="-7"/>
        </w:rPr>
        <w:t xml:space="preserve"> </w:t>
      </w:r>
      <w:r>
        <w:t>quality</w:t>
      </w:r>
      <w:r>
        <w:rPr>
          <w:spacing w:val="-4"/>
        </w:rPr>
        <w:t xml:space="preserve"> </w:t>
      </w:r>
      <w:r>
        <w:t>for</w:t>
      </w:r>
      <w:r>
        <w:rPr>
          <w:spacing w:val="-6"/>
        </w:rPr>
        <w:t xml:space="preserve"> </w:t>
      </w:r>
      <w:r>
        <w:t>planning</w:t>
      </w:r>
      <w:r>
        <w:rPr>
          <w:spacing w:val="-4"/>
        </w:rPr>
        <w:t xml:space="preserve"> </w:t>
      </w:r>
      <w:r>
        <w:t>and</w:t>
      </w:r>
      <w:r>
        <w:rPr>
          <w:spacing w:val="-5"/>
        </w:rPr>
        <w:t xml:space="preserve"> </w:t>
      </w:r>
      <w:r>
        <w:rPr>
          <w:spacing w:val="-2"/>
        </w:rPr>
        <w:t>budgeting:</w:t>
      </w:r>
    </w:p>
    <w:p w14:paraId="3D4D0EC4" w14:textId="77777777" w:rsidR="00BC24A8" w:rsidRDefault="00000000">
      <w:pPr>
        <w:pStyle w:val="ListParagraph"/>
        <w:numPr>
          <w:ilvl w:val="2"/>
          <w:numId w:val="139"/>
        </w:numPr>
        <w:tabs>
          <w:tab w:val="left" w:pos="1221"/>
          <w:tab w:val="left" w:pos="1223"/>
        </w:tabs>
        <w:spacing w:before="120" w:line="256" w:lineRule="auto"/>
        <w:ind w:left="1223" w:right="562"/>
      </w:pPr>
      <w:r>
        <w:t>A</w:t>
      </w:r>
      <w:r>
        <w:rPr>
          <w:spacing w:val="-8"/>
        </w:rPr>
        <w:t xml:space="preserve"> </w:t>
      </w:r>
      <w:r>
        <w:t>total</w:t>
      </w:r>
      <w:r>
        <w:rPr>
          <w:spacing w:val="-8"/>
        </w:rPr>
        <w:t xml:space="preserve"> </w:t>
      </w:r>
      <w:r>
        <w:t>of</w:t>
      </w:r>
      <w:r>
        <w:rPr>
          <w:spacing w:val="-8"/>
        </w:rPr>
        <w:t xml:space="preserve"> </w:t>
      </w:r>
      <w:r>
        <w:t>285</w:t>
      </w:r>
      <w:r>
        <w:rPr>
          <w:spacing w:val="-7"/>
        </w:rPr>
        <w:t xml:space="preserve"> </w:t>
      </w:r>
      <w:r>
        <w:t>MSS</w:t>
      </w:r>
      <w:r>
        <w:rPr>
          <w:spacing w:val="-9"/>
        </w:rPr>
        <w:t xml:space="preserve"> </w:t>
      </w:r>
      <w:r>
        <w:t>datasets</w:t>
      </w:r>
      <w:r>
        <w:rPr>
          <w:spacing w:val="-9"/>
        </w:rPr>
        <w:t xml:space="preserve"> </w:t>
      </w:r>
      <w:r>
        <w:t>have</w:t>
      </w:r>
      <w:r>
        <w:rPr>
          <w:spacing w:val="-8"/>
        </w:rPr>
        <w:t xml:space="preserve"> </w:t>
      </w:r>
      <w:r>
        <w:t>been</w:t>
      </w:r>
      <w:r>
        <w:rPr>
          <w:spacing w:val="-9"/>
        </w:rPr>
        <w:t xml:space="preserve"> </w:t>
      </w:r>
      <w:r>
        <w:t>matched</w:t>
      </w:r>
      <w:r>
        <w:rPr>
          <w:spacing w:val="-8"/>
        </w:rPr>
        <w:t xml:space="preserve"> </w:t>
      </w:r>
      <w:r>
        <w:t>with</w:t>
      </w:r>
      <w:r>
        <w:rPr>
          <w:spacing w:val="-8"/>
        </w:rPr>
        <w:t xml:space="preserve"> </w:t>
      </w:r>
      <w:r>
        <w:t>the</w:t>
      </w:r>
      <w:r>
        <w:rPr>
          <w:spacing w:val="-8"/>
        </w:rPr>
        <w:t xml:space="preserve"> </w:t>
      </w:r>
      <w:r>
        <w:t>Sectoral</w:t>
      </w:r>
      <w:r>
        <w:rPr>
          <w:spacing w:val="-8"/>
        </w:rPr>
        <w:t xml:space="preserve"> </w:t>
      </w:r>
      <w:r>
        <w:t>Statistical</w:t>
      </w:r>
      <w:r>
        <w:rPr>
          <w:spacing w:val="-8"/>
        </w:rPr>
        <w:t xml:space="preserve"> </w:t>
      </w:r>
      <w:r>
        <w:t>Data</w:t>
      </w:r>
      <w:r>
        <w:rPr>
          <w:spacing w:val="-8"/>
        </w:rPr>
        <w:t xml:space="preserve"> </w:t>
      </w:r>
      <w:r>
        <w:t>Standards and collaboratively documented with metadata by UPTD Statistics, SKPA, the Bureau of Governance, and BPS, ensuring that the data are standardised and verified.</w:t>
      </w:r>
    </w:p>
    <w:p w14:paraId="503C5928" w14:textId="77777777" w:rsidR="00BC24A8" w:rsidRDefault="00000000">
      <w:pPr>
        <w:pStyle w:val="ListParagraph"/>
        <w:numPr>
          <w:ilvl w:val="2"/>
          <w:numId w:val="139"/>
        </w:numPr>
        <w:tabs>
          <w:tab w:val="left" w:pos="1223"/>
        </w:tabs>
        <w:spacing w:line="252" w:lineRule="auto"/>
        <w:ind w:left="1223" w:right="562" w:hanging="360"/>
      </w:pPr>
      <w:r>
        <w:t>Forty-nine</w:t>
      </w:r>
      <w:r>
        <w:rPr>
          <w:spacing w:val="-13"/>
        </w:rPr>
        <w:t xml:space="preserve"> </w:t>
      </w:r>
      <w:r>
        <w:t>trainers</w:t>
      </w:r>
      <w:r>
        <w:rPr>
          <w:spacing w:val="-12"/>
        </w:rPr>
        <w:t xml:space="preserve"> </w:t>
      </w:r>
      <w:r>
        <w:t>from</w:t>
      </w:r>
      <w:r>
        <w:rPr>
          <w:spacing w:val="-13"/>
        </w:rPr>
        <w:t xml:space="preserve"> </w:t>
      </w:r>
      <w:r>
        <w:t>eight</w:t>
      </w:r>
      <w:r>
        <w:rPr>
          <w:spacing w:val="-12"/>
        </w:rPr>
        <w:t xml:space="preserve"> </w:t>
      </w:r>
      <w:r>
        <w:t>districts/cities</w:t>
      </w:r>
      <w:r>
        <w:rPr>
          <w:spacing w:val="-13"/>
        </w:rPr>
        <w:t xml:space="preserve"> </w:t>
      </w:r>
      <w:r>
        <w:t>have</w:t>
      </w:r>
      <w:r>
        <w:rPr>
          <w:spacing w:val="-12"/>
        </w:rPr>
        <w:t xml:space="preserve"> </w:t>
      </w:r>
      <w:r>
        <w:t>been</w:t>
      </w:r>
      <w:r>
        <w:rPr>
          <w:spacing w:val="-13"/>
        </w:rPr>
        <w:t xml:space="preserve"> </w:t>
      </w:r>
      <w:r>
        <w:t>trained</w:t>
      </w:r>
      <w:r>
        <w:rPr>
          <w:spacing w:val="-12"/>
        </w:rPr>
        <w:t xml:space="preserve"> </w:t>
      </w:r>
      <w:r>
        <w:t>in</w:t>
      </w:r>
      <w:r>
        <w:rPr>
          <w:spacing w:val="-12"/>
        </w:rPr>
        <w:t xml:space="preserve"> </w:t>
      </w:r>
      <w:r>
        <w:t>the</w:t>
      </w:r>
      <w:r>
        <w:rPr>
          <w:spacing w:val="-13"/>
        </w:rPr>
        <w:t xml:space="preserve"> </w:t>
      </w:r>
      <w:r>
        <w:t>use</w:t>
      </w:r>
      <w:r>
        <w:rPr>
          <w:spacing w:val="-12"/>
        </w:rPr>
        <w:t xml:space="preserve"> </w:t>
      </w:r>
      <w:r>
        <w:t>of</w:t>
      </w:r>
      <w:r>
        <w:rPr>
          <w:spacing w:val="-13"/>
        </w:rPr>
        <w:t xml:space="preserve"> </w:t>
      </w:r>
      <w:r>
        <w:t>REGSOSEK</w:t>
      </w:r>
      <w:r>
        <w:rPr>
          <w:spacing w:val="-12"/>
        </w:rPr>
        <w:t xml:space="preserve"> </w:t>
      </w:r>
      <w:r>
        <w:t>data and facilitated to obtain access rights.</w:t>
      </w:r>
    </w:p>
    <w:p w14:paraId="36353936" w14:textId="77777777" w:rsidR="00BC24A8" w:rsidRDefault="00BC24A8">
      <w:pPr>
        <w:pStyle w:val="BodyText"/>
        <w:spacing w:before="31"/>
      </w:pPr>
    </w:p>
    <w:p w14:paraId="32E092C0" w14:textId="77777777" w:rsidR="00BC24A8" w:rsidRDefault="00000000">
      <w:pPr>
        <w:pStyle w:val="Heading5"/>
        <w:ind w:left="144"/>
      </w:pPr>
      <w:r>
        <w:rPr>
          <w:color w:val="17365A"/>
        </w:rPr>
        <w:t>Better</w:t>
      </w:r>
      <w:r>
        <w:rPr>
          <w:color w:val="17365A"/>
          <w:spacing w:val="-8"/>
        </w:rPr>
        <w:t xml:space="preserve"> </w:t>
      </w:r>
      <w:r>
        <w:rPr>
          <w:color w:val="17365A"/>
        </w:rPr>
        <w:t>public</w:t>
      </w:r>
      <w:r>
        <w:rPr>
          <w:color w:val="17365A"/>
          <w:spacing w:val="-7"/>
        </w:rPr>
        <w:t xml:space="preserve"> </w:t>
      </w:r>
      <w:r>
        <w:rPr>
          <w:color w:val="17365A"/>
        </w:rPr>
        <w:t>financial</w:t>
      </w:r>
      <w:r>
        <w:rPr>
          <w:color w:val="17365A"/>
          <w:spacing w:val="-5"/>
        </w:rPr>
        <w:t xml:space="preserve"> </w:t>
      </w:r>
      <w:r>
        <w:rPr>
          <w:color w:val="17365A"/>
        </w:rPr>
        <w:t>management</w:t>
      </w:r>
      <w:r>
        <w:rPr>
          <w:color w:val="17365A"/>
          <w:spacing w:val="-8"/>
        </w:rPr>
        <w:t xml:space="preserve"> </w:t>
      </w:r>
      <w:r>
        <w:rPr>
          <w:color w:val="17365A"/>
        </w:rPr>
        <w:t>to</w:t>
      </w:r>
      <w:r>
        <w:rPr>
          <w:color w:val="17365A"/>
          <w:spacing w:val="-7"/>
        </w:rPr>
        <w:t xml:space="preserve"> </w:t>
      </w:r>
      <w:r>
        <w:rPr>
          <w:color w:val="17365A"/>
        </w:rPr>
        <w:t>support</w:t>
      </w:r>
      <w:r>
        <w:rPr>
          <w:color w:val="17365A"/>
          <w:spacing w:val="-8"/>
        </w:rPr>
        <w:t xml:space="preserve"> </w:t>
      </w:r>
      <w:r>
        <w:rPr>
          <w:color w:val="17365A"/>
        </w:rPr>
        <w:t>improved</w:t>
      </w:r>
      <w:r>
        <w:rPr>
          <w:color w:val="17365A"/>
          <w:spacing w:val="-7"/>
        </w:rPr>
        <w:t xml:space="preserve"> </w:t>
      </w:r>
      <w:r>
        <w:rPr>
          <w:color w:val="17365A"/>
        </w:rPr>
        <w:t>service</w:t>
      </w:r>
      <w:r>
        <w:rPr>
          <w:color w:val="17365A"/>
          <w:spacing w:val="-7"/>
        </w:rPr>
        <w:t xml:space="preserve"> </w:t>
      </w:r>
      <w:r>
        <w:rPr>
          <w:color w:val="17365A"/>
        </w:rPr>
        <w:t>delivery</w:t>
      </w:r>
      <w:r>
        <w:rPr>
          <w:color w:val="17365A"/>
          <w:spacing w:val="-5"/>
        </w:rPr>
        <w:t xml:space="preserve"> </w:t>
      </w:r>
      <w:r>
        <w:rPr>
          <w:color w:val="17365A"/>
        </w:rPr>
        <w:t>(IO</w:t>
      </w:r>
      <w:r>
        <w:rPr>
          <w:color w:val="17365A"/>
          <w:spacing w:val="-9"/>
        </w:rPr>
        <w:t xml:space="preserve"> </w:t>
      </w:r>
      <w:r>
        <w:rPr>
          <w:color w:val="17365A"/>
        </w:rPr>
        <w:t>4</w:t>
      </w:r>
      <w:r>
        <w:rPr>
          <w:color w:val="17365A"/>
          <w:spacing w:val="-5"/>
        </w:rPr>
        <w:t xml:space="preserve"> </w:t>
      </w:r>
      <w:r>
        <w:rPr>
          <w:color w:val="17365A"/>
        </w:rPr>
        <w:t>and</w:t>
      </w:r>
      <w:r>
        <w:rPr>
          <w:color w:val="17365A"/>
          <w:spacing w:val="-7"/>
        </w:rPr>
        <w:t xml:space="preserve"> </w:t>
      </w:r>
      <w:r>
        <w:rPr>
          <w:color w:val="17365A"/>
          <w:spacing w:val="-5"/>
        </w:rPr>
        <w:t>6)</w:t>
      </w:r>
    </w:p>
    <w:p w14:paraId="6C6AAA30" w14:textId="77777777" w:rsidR="00BC24A8" w:rsidRDefault="00000000">
      <w:pPr>
        <w:pStyle w:val="ListParagraph"/>
        <w:numPr>
          <w:ilvl w:val="1"/>
          <w:numId w:val="139"/>
        </w:numPr>
        <w:tabs>
          <w:tab w:val="left" w:pos="862"/>
          <w:tab w:val="left" w:pos="864"/>
        </w:tabs>
        <w:spacing w:before="159"/>
        <w:ind w:left="864" w:right="563"/>
      </w:pPr>
      <w:r>
        <w:t xml:space="preserve">SKALA has supported the implementation of Special Autonomy (Otsus) in accordance with </w:t>
      </w:r>
      <w:r>
        <w:rPr>
          <w:spacing w:val="-2"/>
        </w:rPr>
        <w:t>regulations:</w:t>
      </w:r>
    </w:p>
    <w:p w14:paraId="530FD67E" w14:textId="77777777" w:rsidR="00BC24A8" w:rsidRDefault="00000000">
      <w:pPr>
        <w:pStyle w:val="ListParagraph"/>
        <w:numPr>
          <w:ilvl w:val="2"/>
          <w:numId w:val="139"/>
        </w:numPr>
        <w:tabs>
          <w:tab w:val="left" w:pos="1222"/>
          <w:tab w:val="left" w:pos="1224"/>
        </w:tabs>
        <w:spacing w:before="120" w:line="256" w:lineRule="auto"/>
        <w:ind w:right="563"/>
      </w:pPr>
      <w:r>
        <w:t>Civil servants in 23 districts/cities have received facilitation, consultation, and training on the</w:t>
      </w:r>
      <w:r>
        <w:rPr>
          <w:spacing w:val="-8"/>
        </w:rPr>
        <w:t xml:space="preserve"> </w:t>
      </w:r>
      <w:r>
        <w:t>preparation</w:t>
      </w:r>
      <w:r>
        <w:rPr>
          <w:spacing w:val="-9"/>
        </w:rPr>
        <w:t xml:space="preserve"> </w:t>
      </w:r>
      <w:r>
        <w:t>of</w:t>
      </w:r>
      <w:r>
        <w:rPr>
          <w:spacing w:val="-8"/>
        </w:rPr>
        <w:t xml:space="preserve"> </w:t>
      </w:r>
      <w:r>
        <w:t>the</w:t>
      </w:r>
      <w:r>
        <w:rPr>
          <w:spacing w:val="-11"/>
        </w:rPr>
        <w:t xml:space="preserve"> </w:t>
      </w:r>
      <w:r>
        <w:t>RAP</w:t>
      </w:r>
      <w:r>
        <w:rPr>
          <w:spacing w:val="-9"/>
        </w:rPr>
        <w:t xml:space="preserve"> </w:t>
      </w:r>
      <w:r>
        <w:t>and</w:t>
      </w:r>
      <w:r>
        <w:rPr>
          <w:spacing w:val="-7"/>
        </w:rPr>
        <w:t xml:space="preserve"> </w:t>
      </w:r>
      <w:r>
        <w:t>reporting</w:t>
      </w:r>
      <w:r>
        <w:rPr>
          <w:spacing w:val="-10"/>
        </w:rPr>
        <w:t xml:space="preserve"> </w:t>
      </w:r>
      <w:r>
        <w:t>requirements</w:t>
      </w:r>
      <w:r>
        <w:rPr>
          <w:spacing w:val="-9"/>
        </w:rPr>
        <w:t xml:space="preserve"> </w:t>
      </w:r>
      <w:r>
        <w:t>for</w:t>
      </w:r>
      <w:r>
        <w:rPr>
          <w:spacing w:val="-7"/>
        </w:rPr>
        <w:t xml:space="preserve"> </w:t>
      </w:r>
      <w:r>
        <w:t>the</w:t>
      </w:r>
      <w:r>
        <w:rPr>
          <w:spacing w:val="-8"/>
        </w:rPr>
        <w:t xml:space="preserve"> </w:t>
      </w:r>
      <w:r>
        <w:t>disbursement</w:t>
      </w:r>
      <w:r>
        <w:rPr>
          <w:spacing w:val="-10"/>
        </w:rPr>
        <w:t xml:space="preserve"> </w:t>
      </w:r>
      <w:r>
        <w:t>of</w:t>
      </w:r>
      <w:r>
        <w:rPr>
          <w:spacing w:val="-8"/>
        </w:rPr>
        <w:t xml:space="preserve"> </w:t>
      </w:r>
      <w:r>
        <w:t>Aceh</w:t>
      </w:r>
      <w:r>
        <w:rPr>
          <w:spacing w:val="-7"/>
        </w:rPr>
        <w:t xml:space="preserve"> </w:t>
      </w:r>
      <w:r>
        <w:t>Otsus funds for FY 2025, together with DPJK, organised independently by the Aceh Financial Management Agency.</w:t>
      </w:r>
    </w:p>
    <w:p w14:paraId="21A47EB6" w14:textId="77777777" w:rsidR="00BC24A8" w:rsidRDefault="00000000">
      <w:pPr>
        <w:pStyle w:val="ListParagraph"/>
        <w:numPr>
          <w:ilvl w:val="1"/>
          <w:numId w:val="139"/>
        </w:numPr>
        <w:tabs>
          <w:tab w:val="left" w:pos="862"/>
          <w:tab w:val="left" w:pos="864"/>
        </w:tabs>
        <w:spacing w:before="244"/>
        <w:ind w:left="864" w:right="562"/>
      </w:pPr>
      <w:r>
        <w:t xml:space="preserve">SKALA has also supported the implementation of inclusive financial policies focused on basic </w:t>
      </w:r>
      <w:r>
        <w:rPr>
          <w:spacing w:val="-2"/>
        </w:rPr>
        <w:t>services:</w:t>
      </w:r>
    </w:p>
    <w:p w14:paraId="3E9DC4EA" w14:textId="77777777" w:rsidR="00BC24A8" w:rsidRDefault="00000000">
      <w:pPr>
        <w:pStyle w:val="ListParagraph"/>
        <w:numPr>
          <w:ilvl w:val="2"/>
          <w:numId w:val="139"/>
        </w:numPr>
        <w:tabs>
          <w:tab w:val="left" w:pos="1223"/>
        </w:tabs>
        <w:spacing w:before="120"/>
        <w:ind w:left="1223" w:hanging="359"/>
      </w:pPr>
      <w:r>
        <w:t>The</w:t>
      </w:r>
      <w:r>
        <w:rPr>
          <w:spacing w:val="-5"/>
        </w:rPr>
        <w:t xml:space="preserve"> </w:t>
      </w:r>
      <w:r>
        <w:t>Aceh</w:t>
      </w:r>
      <w:r>
        <w:rPr>
          <w:spacing w:val="-3"/>
        </w:rPr>
        <w:t xml:space="preserve"> </w:t>
      </w:r>
      <w:r>
        <w:t>Qanun</w:t>
      </w:r>
      <w:r>
        <w:rPr>
          <w:spacing w:val="-3"/>
        </w:rPr>
        <w:t xml:space="preserve"> </w:t>
      </w:r>
      <w:r>
        <w:t>on</w:t>
      </w:r>
      <w:r>
        <w:rPr>
          <w:spacing w:val="-6"/>
        </w:rPr>
        <w:t xml:space="preserve"> </w:t>
      </w:r>
      <w:r>
        <w:t>the</w:t>
      </w:r>
      <w:r>
        <w:rPr>
          <w:spacing w:val="-5"/>
        </w:rPr>
        <w:t xml:space="preserve"> </w:t>
      </w:r>
      <w:r>
        <w:t>Aceh</w:t>
      </w:r>
      <w:r>
        <w:rPr>
          <w:spacing w:val="-3"/>
        </w:rPr>
        <w:t xml:space="preserve"> </w:t>
      </w:r>
      <w:r>
        <w:t>Education</w:t>
      </w:r>
      <w:r>
        <w:rPr>
          <w:spacing w:val="-6"/>
        </w:rPr>
        <w:t xml:space="preserve"> </w:t>
      </w:r>
      <w:r>
        <w:t>Endowment</w:t>
      </w:r>
      <w:r>
        <w:rPr>
          <w:spacing w:val="-6"/>
        </w:rPr>
        <w:t xml:space="preserve"> </w:t>
      </w:r>
      <w:r>
        <w:t>Fund</w:t>
      </w:r>
      <w:r>
        <w:rPr>
          <w:spacing w:val="-6"/>
        </w:rPr>
        <w:t xml:space="preserve"> </w:t>
      </w:r>
      <w:r>
        <w:t>has</w:t>
      </w:r>
      <w:r>
        <w:rPr>
          <w:spacing w:val="-5"/>
        </w:rPr>
        <w:t xml:space="preserve"> </w:t>
      </w:r>
      <w:r>
        <w:t>been</w:t>
      </w:r>
      <w:r>
        <w:rPr>
          <w:spacing w:val="-3"/>
        </w:rPr>
        <w:t xml:space="preserve"> </w:t>
      </w:r>
      <w:r>
        <w:rPr>
          <w:spacing w:val="-2"/>
        </w:rPr>
        <w:t>issued.</w:t>
      </w:r>
    </w:p>
    <w:p w14:paraId="459812B5" w14:textId="77777777" w:rsidR="00BC24A8" w:rsidRDefault="00000000">
      <w:pPr>
        <w:pStyle w:val="ListParagraph"/>
        <w:numPr>
          <w:ilvl w:val="2"/>
          <w:numId w:val="139"/>
        </w:numPr>
        <w:tabs>
          <w:tab w:val="left" w:pos="1224"/>
        </w:tabs>
        <w:spacing w:before="12" w:line="256" w:lineRule="auto"/>
        <w:ind w:right="560" w:hanging="360"/>
      </w:pPr>
      <w:r>
        <w:rPr>
          <w:spacing w:val="-2"/>
        </w:rPr>
        <w:t>The</w:t>
      </w:r>
      <w:r>
        <w:rPr>
          <w:spacing w:val="-4"/>
        </w:rPr>
        <w:t xml:space="preserve"> </w:t>
      </w:r>
      <w:r>
        <w:rPr>
          <w:spacing w:val="-2"/>
        </w:rPr>
        <w:t>Aceh</w:t>
      </w:r>
      <w:r>
        <w:rPr>
          <w:spacing w:val="-4"/>
        </w:rPr>
        <w:t xml:space="preserve"> </w:t>
      </w:r>
      <w:r>
        <w:rPr>
          <w:spacing w:val="-2"/>
        </w:rPr>
        <w:t>Electronic</w:t>
      </w:r>
      <w:r>
        <w:rPr>
          <w:spacing w:val="-3"/>
        </w:rPr>
        <w:t xml:space="preserve"> </w:t>
      </w:r>
      <w:r>
        <w:rPr>
          <w:spacing w:val="-2"/>
        </w:rPr>
        <w:t>Revenue</w:t>
      </w:r>
      <w:r>
        <w:rPr>
          <w:spacing w:val="-4"/>
        </w:rPr>
        <w:t xml:space="preserve"> </w:t>
      </w:r>
      <w:r>
        <w:rPr>
          <w:spacing w:val="-2"/>
        </w:rPr>
        <w:t>Information</w:t>
      </w:r>
      <w:r>
        <w:rPr>
          <w:spacing w:val="-7"/>
        </w:rPr>
        <w:t xml:space="preserve"> </w:t>
      </w:r>
      <w:r>
        <w:rPr>
          <w:spacing w:val="-2"/>
        </w:rPr>
        <w:t>System (SYEDARA)</w:t>
      </w:r>
      <w:r>
        <w:rPr>
          <w:spacing w:val="-6"/>
        </w:rPr>
        <w:t xml:space="preserve"> </w:t>
      </w:r>
      <w:r>
        <w:rPr>
          <w:spacing w:val="-2"/>
        </w:rPr>
        <w:t>has</w:t>
      </w:r>
      <w:r>
        <w:rPr>
          <w:spacing w:val="-4"/>
        </w:rPr>
        <w:t xml:space="preserve"> </w:t>
      </w:r>
      <w:r>
        <w:rPr>
          <w:spacing w:val="-2"/>
        </w:rPr>
        <w:t>been</w:t>
      </w:r>
      <w:r>
        <w:rPr>
          <w:spacing w:val="-4"/>
        </w:rPr>
        <w:t xml:space="preserve"> </w:t>
      </w:r>
      <w:r>
        <w:rPr>
          <w:spacing w:val="-2"/>
        </w:rPr>
        <w:t>developed to</w:t>
      </w:r>
      <w:r>
        <w:rPr>
          <w:spacing w:val="-5"/>
        </w:rPr>
        <w:t xml:space="preserve"> </w:t>
      </w:r>
      <w:r>
        <w:rPr>
          <w:spacing w:val="-2"/>
        </w:rPr>
        <w:t xml:space="preserve">support </w:t>
      </w:r>
      <w:r>
        <w:t>digitalisation</w:t>
      </w:r>
      <w:r>
        <w:rPr>
          <w:spacing w:val="-9"/>
        </w:rPr>
        <w:t xml:space="preserve"> </w:t>
      </w:r>
      <w:r>
        <w:t>of</w:t>
      </w:r>
      <w:r>
        <w:rPr>
          <w:spacing w:val="-10"/>
        </w:rPr>
        <w:t xml:space="preserve"> </w:t>
      </w:r>
      <w:r>
        <w:t>local</w:t>
      </w:r>
      <w:r>
        <w:rPr>
          <w:spacing w:val="-10"/>
        </w:rPr>
        <w:t xml:space="preserve"> </w:t>
      </w:r>
      <w:r>
        <w:t>revenue</w:t>
      </w:r>
      <w:r>
        <w:rPr>
          <w:spacing w:val="-10"/>
        </w:rPr>
        <w:t xml:space="preserve"> </w:t>
      </w:r>
      <w:r>
        <w:t>(PDRD)</w:t>
      </w:r>
      <w:r>
        <w:rPr>
          <w:spacing w:val="-11"/>
        </w:rPr>
        <w:t xml:space="preserve"> </w:t>
      </w:r>
      <w:r>
        <w:t>and</w:t>
      </w:r>
      <w:r>
        <w:rPr>
          <w:spacing w:val="-11"/>
        </w:rPr>
        <w:t xml:space="preserve"> </w:t>
      </w:r>
      <w:r>
        <w:t>to</w:t>
      </w:r>
      <w:r>
        <w:rPr>
          <w:spacing w:val="-9"/>
        </w:rPr>
        <w:t xml:space="preserve"> </w:t>
      </w:r>
      <w:r>
        <w:t>increase</w:t>
      </w:r>
      <w:r>
        <w:rPr>
          <w:spacing w:val="-10"/>
        </w:rPr>
        <w:t xml:space="preserve"> </w:t>
      </w:r>
      <w:r>
        <w:t>local</w:t>
      </w:r>
      <w:r>
        <w:rPr>
          <w:spacing w:val="-10"/>
        </w:rPr>
        <w:t xml:space="preserve"> </w:t>
      </w:r>
      <w:r>
        <w:t>revenue</w:t>
      </w:r>
      <w:r>
        <w:rPr>
          <w:spacing w:val="-10"/>
        </w:rPr>
        <w:t xml:space="preserve"> </w:t>
      </w:r>
      <w:r>
        <w:t>(PAD)</w:t>
      </w:r>
      <w:r>
        <w:rPr>
          <w:spacing w:val="-11"/>
        </w:rPr>
        <w:t xml:space="preserve"> </w:t>
      </w:r>
      <w:r>
        <w:t>through</w:t>
      </w:r>
      <w:r>
        <w:rPr>
          <w:spacing w:val="-11"/>
        </w:rPr>
        <w:t xml:space="preserve"> </w:t>
      </w:r>
      <w:r>
        <w:t>non-cash payments, while providing real-time data to strengthen transparency, accountability, supervision, and local financial reporting</w:t>
      </w:r>
    </w:p>
    <w:p w14:paraId="76129174" w14:textId="77777777" w:rsidR="00BC24A8" w:rsidRDefault="00000000">
      <w:pPr>
        <w:pStyle w:val="ListParagraph"/>
        <w:numPr>
          <w:ilvl w:val="2"/>
          <w:numId w:val="139"/>
        </w:numPr>
        <w:tabs>
          <w:tab w:val="left" w:pos="1223"/>
        </w:tabs>
        <w:spacing w:before="3"/>
        <w:ind w:left="1223" w:hanging="359"/>
      </w:pPr>
      <w:r>
        <w:t>The</w:t>
      </w:r>
      <w:r>
        <w:rPr>
          <w:spacing w:val="-5"/>
        </w:rPr>
        <w:t xml:space="preserve"> </w:t>
      </w:r>
      <w:r>
        <w:t>issuance</w:t>
      </w:r>
      <w:r>
        <w:rPr>
          <w:spacing w:val="-5"/>
        </w:rPr>
        <w:t xml:space="preserve"> </w:t>
      </w:r>
      <w:r>
        <w:t>of</w:t>
      </w:r>
      <w:r>
        <w:rPr>
          <w:spacing w:val="-5"/>
        </w:rPr>
        <w:t xml:space="preserve"> </w:t>
      </w:r>
      <w:r>
        <w:t>policies</w:t>
      </w:r>
      <w:r>
        <w:rPr>
          <w:spacing w:val="-3"/>
        </w:rPr>
        <w:t xml:space="preserve"> </w:t>
      </w:r>
      <w:r>
        <w:t>and</w:t>
      </w:r>
      <w:r>
        <w:rPr>
          <w:spacing w:val="-6"/>
        </w:rPr>
        <w:t xml:space="preserve"> </w:t>
      </w:r>
      <w:r>
        <w:t>launch</w:t>
      </w:r>
      <w:r>
        <w:rPr>
          <w:spacing w:val="-3"/>
        </w:rPr>
        <w:t xml:space="preserve"> </w:t>
      </w:r>
      <w:r>
        <w:t>of</w:t>
      </w:r>
      <w:r>
        <w:rPr>
          <w:spacing w:val="-6"/>
        </w:rPr>
        <w:t xml:space="preserve"> </w:t>
      </w:r>
      <w:r>
        <w:t>tax</w:t>
      </w:r>
      <w:r>
        <w:rPr>
          <w:spacing w:val="-5"/>
        </w:rPr>
        <w:t xml:space="preserve"> </w:t>
      </w:r>
      <w:r>
        <w:t>reduction</w:t>
      </w:r>
      <w:r>
        <w:rPr>
          <w:spacing w:val="-6"/>
        </w:rPr>
        <w:t xml:space="preserve"> </w:t>
      </w:r>
      <w:r>
        <w:rPr>
          <w:spacing w:val="-2"/>
        </w:rPr>
        <w:t>programs:</w:t>
      </w:r>
    </w:p>
    <w:p w14:paraId="4162F7F7" w14:textId="77777777" w:rsidR="00BC24A8" w:rsidRDefault="00000000">
      <w:pPr>
        <w:pStyle w:val="ListParagraph"/>
        <w:numPr>
          <w:ilvl w:val="3"/>
          <w:numId w:val="139"/>
        </w:numPr>
        <w:tabs>
          <w:tab w:val="left" w:pos="1584"/>
        </w:tabs>
        <w:spacing w:before="255"/>
        <w:ind w:left="1584" w:right="563"/>
      </w:pPr>
      <w:r>
        <w:t>Aceh Governor Decree No. 900.1.13.1/789/2025 established a 50% reduction in principal motor vehicle tax and the elimination of administrative tax penalties for taxpayers with disabilities.</w:t>
      </w:r>
    </w:p>
    <w:p w14:paraId="0CCF9D12" w14:textId="77777777" w:rsidR="00BC24A8" w:rsidRDefault="00000000">
      <w:pPr>
        <w:pStyle w:val="ListParagraph"/>
        <w:numPr>
          <w:ilvl w:val="3"/>
          <w:numId w:val="139"/>
        </w:numPr>
        <w:tabs>
          <w:tab w:val="left" w:pos="1584"/>
        </w:tabs>
        <w:ind w:left="1584" w:right="563"/>
      </w:pPr>
      <w:r>
        <w:t>The</w:t>
      </w:r>
      <w:r>
        <w:rPr>
          <w:spacing w:val="-6"/>
        </w:rPr>
        <w:t xml:space="preserve"> </w:t>
      </w:r>
      <w:r>
        <w:t>Motor</w:t>
      </w:r>
      <w:r>
        <w:rPr>
          <w:spacing w:val="-7"/>
        </w:rPr>
        <w:t xml:space="preserve"> </w:t>
      </w:r>
      <w:r>
        <w:t>Vehicle</w:t>
      </w:r>
      <w:r>
        <w:rPr>
          <w:spacing w:val="-9"/>
        </w:rPr>
        <w:t xml:space="preserve"> </w:t>
      </w:r>
      <w:r>
        <w:t>Tax</w:t>
      </w:r>
      <w:r>
        <w:rPr>
          <w:spacing w:val="-6"/>
        </w:rPr>
        <w:t xml:space="preserve"> </w:t>
      </w:r>
      <w:r>
        <w:t>Reduction</w:t>
      </w:r>
      <w:r>
        <w:rPr>
          <w:spacing w:val="-7"/>
        </w:rPr>
        <w:t xml:space="preserve"> </w:t>
      </w:r>
      <w:r>
        <w:t>Program</w:t>
      </w:r>
      <w:r>
        <w:rPr>
          <w:spacing w:val="-9"/>
        </w:rPr>
        <w:t xml:space="preserve"> </w:t>
      </w:r>
      <w:r>
        <w:t>for</w:t>
      </w:r>
      <w:r>
        <w:rPr>
          <w:spacing w:val="-7"/>
        </w:rPr>
        <w:t xml:space="preserve"> </w:t>
      </w:r>
      <w:r>
        <w:t>persons</w:t>
      </w:r>
      <w:r>
        <w:rPr>
          <w:spacing w:val="-9"/>
        </w:rPr>
        <w:t xml:space="preserve"> </w:t>
      </w:r>
      <w:r>
        <w:t>with</w:t>
      </w:r>
      <w:r>
        <w:rPr>
          <w:spacing w:val="-7"/>
        </w:rPr>
        <w:t xml:space="preserve"> </w:t>
      </w:r>
      <w:r>
        <w:t>disabilities</w:t>
      </w:r>
      <w:r>
        <w:rPr>
          <w:spacing w:val="-7"/>
        </w:rPr>
        <w:t xml:space="preserve"> </w:t>
      </w:r>
      <w:r>
        <w:t>was</w:t>
      </w:r>
      <w:r>
        <w:rPr>
          <w:spacing w:val="-7"/>
        </w:rPr>
        <w:t xml:space="preserve"> </w:t>
      </w:r>
      <w:r>
        <w:t>launched</w:t>
      </w:r>
      <w:r>
        <w:rPr>
          <w:spacing w:val="-7"/>
        </w:rPr>
        <w:t xml:space="preserve"> </w:t>
      </w:r>
      <w:r>
        <w:t>in May 2025.</w:t>
      </w:r>
    </w:p>
    <w:p w14:paraId="13C962F4" w14:textId="77777777" w:rsidR="00BC24A8" w:rsidRDefault="00000000">
      <w:pPr>
        <w:pStyle w:val="ListParagraph"/>
        <w:numPr>
          <w:ilvl w:val="2"/>
          <w:numId w:val="139"/>
        </w:numPr>
        <w:tabs>
          <w:tab w:val="left" w:pos="1222"/>
          <w:tab w:val="left" w:pos="1224"/>
        </w:tabs>
        <w:spacing w:before="159" w:line="256" w:lineRule="auto"/>
        <w:ind w:right="561"/>
      </w:pPr>
      <w:r>
        <w:t>Aligning and identifying programs in the program plan of Palm Oil Revenue Sharing Fund (RKP DBH Sawit) between districts/cities and the province to ensure at least 40% of the budget goes to infrastructure, as required by Law No. 1/2022.</w:t>
      </w:r>
    </w:p>
    <w:p w14:paraId="2FE5F2F3" w14:textId="77777777" w:rsidR="00BC24A8" w:rsidRDefault="00BC24A8">
      <w:pPr>
        <w:pStyle w:val="ListParagraph"/>
        <w:spacing w:line="256" w:lineRule="auto"/>
        <w:sectPr w:rsidR="00BC24A8">
          <w:pgSz w:w="11910" w:h="16840"/>
          <w:pgMar w:top="1340" w:right="850" w:bottom="1100" w:left="1275" w:header="0" w:footer="907" w:gutter="0"/>
          <w:cols w:space="720"/>
        </w:sectPr>
      </w:pPr>
    </w:p>
    <w:p w14:paraId="23A6129F" w14:textId="77777777" w:rsidR="00BC24A8" w:rsidRDefault="00000000">
      <w:pPr>
        <w:pStyle w:val="ListParagraph"/>
        <w:numPr>
          <w:ilvl w:val="1"/>
          <w:numId w:val="139"/>
        </w:numPr>
        <w:tabs>
          <w:tab w:val="left" w:pos="862"/>
        </w:tabs>
        <w:spacing w:before="79"/>
        <w:ind w:left="862" w:hanging="359"/>
      </w:pPr>
      <w:r>
        <w:lastRenderedPageBreak/>
        <w:t>SKALA</w:t>
      </w:r>
      <w:r>
        <w:rPr>
          <w:spacing w:val="-5"/>
        </w:rPr>
        <w:t xml:space="preserve"> </w:t>
      </w:r>
      <w:r>
        <w:t>has</w:t>
      </w:r>
      <w:r>
        <w:rPr>
          <w:spacing w:val="-3"/>
        </w:rPr>
        <w:t xml:space="preserve"> </w:t>
      </w:r>
      <w:r>
        <w:t>strengthened</w:t>
      </w:r>
      <w:r>
        <w:rPr>
          <w:spacing w:val="-6"/>
        </w:rPr>
        <w:t xml:space="preserve"> </w:t>
      </w:r>
      <w:r>
        <w:t>MSS</w:t>
      </w:r>
      <w:r>
        <w:rPr>
          <w:spacing w:val="-5"/>
        </w:rPr>
        <w:t xml:space="preserve"> </w:t>
      </w:r>
      <w:r>
        <w:rPr>
          <w:spacing w:val="-2"/>
        </w:rPr>
        <w:t>planning:</w:t>
      </w:r>
    </w:p>
    <w:p w14:paraId="35251609" w14:textId="77777777" w:rsidR="00BC24A8" w:rsidRDefault="00000000">
      <w:pPr>
        <w:pStyle w:val="ListParagraph"/>
        <w:numPr>
          <w:ilvl w:val="2"/>
          <w:numId w:val="139"/>
        </w:numPr>
        <w:tabs>
          <w:tab w:val="left" w:pos="1223"/>
        </w:tabs>
        <w:spacing w:before="121" w:line="254" w:lineRule="auto"/>
        <w:ind w:left="1223" w:right="562" w:hanging="360"/>
      </w:pPr>
      <w:r>
        <w:t>The draft Aceh RPJMD 2025–2029 has been prepared and includes MSS indicators in strategic issues such as SPAM, SPAL, and out-of-school children, based on technical input from SKALA.</w:t>
      </w:r>
    </w:p>
    <w:p w14:paraId="6ACB1A8E" w14:textId="77777777" w:rsidR="00BC24A8" w:rsidRDefault="00000000">
      <w:pPr>
        <w:pStyle w:val="ListParagraph"/>
        <w:numPr>
          <w:ilvl w:val="2"/>
          <w:numId w:val="139"/>
        </w:numPr>
        <w:tabs>
          <w:tab w:val="left" w:pos="1221"/>
          <w:tab w:val="left" w:pos="1223"/>
        </w:tabs>
        <w:spacing w:before="7" w:line="254" w:lineRule="auto"/>
        <w:ind w:left="1223" w:right="567"/>
      </w:pPr>
      <w:r>
        <w:rPr>
          <w:spacing w:val="-2"/>
        </w:rPr>
        <w:t>A</w:t>
      </w:r>
      <w:r>
        <w:rPr>
          <w:spacing w:val="-6"/>
        </w:rPr>
        <w:t xml:space="preserve"> </w:t>
      </w:r>
      <w:r>
        <w:rPr>
          <w:spacing w:val="-2"/>
        </w:rPr>
        <w:t>total</w:t>
      </w:r>
      <w:r>
        <w:rPr>
          <w:spacing w:val="-8"/>
        </w:rPr>
        <w:t xml:space="preserve"> </w:t>
      </w:r>
      <w:r>
        <w:rPr>
          <w:spacing w:val="-2"/>
        </w:rPr>
        <w:t>of</w:t>
      </w:r>
      <w:r>
        <w:rPr>
          <w:spacing w:val="-10"/>
        </w:rPr>
        <w:t xml:space="preserve"> </w:t>
      </w:r>
      <w:r>
        <w:rPr>
          <w:spacing w:val="-2"/>
        </w:rPr>
        <w:t>254</w:t>
      </w:r>
      <w:r>
        <w:rPr>
          <w:spacing w:val="-8"/>
        </w:rPr>
        <w:t xml:space="preserve"> </w:t>
      </w:r>
      <w:r>
        <w:rPr>
          <w:spacing w:val="-2"/>
        </w:rPr>
        <w:t>MSS</w:t>
      </w:r>
      <w:r>
        <w:rPr>
          <w:spacing w:val="-8"/>
        </w:rPr>
        <w:t xml:space="preserve"> </w:t>
      </w:r>
      <w:r>
        <w:rPr>
          <w:spacing w:val="-2"/>
        </w:rPr>
        <w:t>datasets</w:t>
      </w:r>
      <w:r>
        <w:rPr>
          <w:spacing w:val="-11"/>
        </w:rPr>
        <w:t xml:space="preserve"> </w:t>
      </w:r>
      <w:r>
        <w:rPr>
          <w:spacing w:val="-2"/>
        </w:rPr>
        <w:t>(52.57%</w:t>
      </w:r>
      <w:r>
        <w:rPr>
          <w:spacing w:val="-6"/>
        </w:rPr>
        <w:t xml:space="preserve"> </w:t>
      </w:r>
      <w:r>
        <w:rPr>
          <w:spacing w:val="-2"/>
        </w:rPr>
        <w:t>of</w:t>
      </w:r>
      <w:r>
        <w:rPr>
          <w:spacing w:val="-10"/>
        </w:rPr>
        <w:t xml:space="preserve"> </w:t>
      </w:r>
      <w:r>
        <w:rPr>
          <w:spacing w:val="-2"/>
        </w:rPr>
        <w:t>484</w:t>
      </w:r>
      <w:r>
        <w:rPr>
          <w:spacing w:val="-8"/>
        </w:rPr>
        <w:t xml:space="preserve"> </w:t>
      </w:r>
      <w:r>
        <w:rPr>
          <w:spacing w:val="-2"/>
        </w:rPr>
        <w:t>datasets)</w:t>
      </w:r>
      <w:r>
        <w:rPr>
          <w:spacing w:val="-8"/>
        </w:rPr>
        <w:t xml:space="preserve"> </w:t>
      </w:r>
      <w:r>
        <w:rPr>
          <w:spacing w:val="-2"/>
        </w:rPr>
        <w:t>in</w:t>
      </w:r>
      <w:r>
        <w:rPr>
          <w:spacing w:val="-9"/>
        </w:rPr>
        <w:t xml:space="preserve"> </w:t>
      </w:r>
      <w:r>
        <w:rPr>
          <w:spacing w:val="-2"/>
        </w:rPr>
        <w:t>the</w:t>
      </w:r>
      <w:r>
        <w:rPr>
          <w:spacing w:val="-8"/>
        </w:rPr>
        <w:t xml:space="preserve"> </w:t>
      </w:r>
      <w:r>
        <w:rPr>
          <w:spacing w:val="-2"/>
        </w:rPr>
        <w:t>2024</w:t>
      </w:r>
      <w:r>
        <w:rPr>
          <w:spacing w:val="-5"/>
        </w:rPr>
        <w:t xml:space="preserve"> </w:t>
      </w:r>
      <w:r>
        <w:rPr>
          <w:spacing w:val="-2"/>
        </w:rPr>
        <w:t>data</w:t>
      </w:r>
      <w:r>
        <w:rPr>
          <w:spacing w:val="-8"/>
        </w:rPr>
        <w:t xml:space="preserve"> </w:t>
      </w:r>
      <w:r>
        <w:rPr>
          <w:spacing w:val="-2"/>
        </w:rPr>
        <w:t>list</w:t>
      </w:r>
      <w:r>
        <w:rPr>
          <w:spacing w:val="-7"/>
        </w:rPr>
        <w:t xml:space="preserve"> </w:t>
      </w:r>
      <w:r>
        <w:rPr>
          <w:spacing w:val="-2"/>
        </w:rPr>
        <w:t>have</w:t>
      </w:r>
      <w:r>
        <w:rPr>
          <w:spacing w:val="-10"/>
        </w:rPr>
        <w:t xml:space="preserve"> </w:t>
      </w:r>
      <w:r>
        <w:rPr>
          <w:spacing w:val="-2"/>
        </w:rPr>
        <w:t>been</w:t>
      </w:r>
      <w:r>
        <w:rPr>
          <w:spacing w:val="-9"/>
        </w:rPr>
        <w:t xml:space="preserve"> </w:t>
      </w:r>
      <w:r>
        <w:rPr>
          <w:spacing w:val="-2"/>
        </w:rPr>
        <w:t xml:space="preserve">updated </w:t>
      </w:r>
      <w:r>
        <w:t>for use in MSS costing, to assess achievement gaps and ensure the sufficiency of local government budgets.</w:t>
      </w:r>
    </w:p>
    <w:p w14:paraId="0CC697C6" w14:textId="77777777" w:rsidR="00BC24A8" w:rsidRDefault="00000000">
      <w:pPr>
        <w:pStyle w:val="ListParagraph"/>
        <w:numPr>
          <w:ilvl w:val="2"/>
          <w:numId w:val="139"/>
        </w:numPr>
        <w:tabs>
          <w:tab w:val="left" w:pos="1221"/>
          <w:tab w:val="left" w:pos="1223"/>
        </w:tabs>
        <w:spacing w:before="8" w:line="256" w:lineRule="auto"/>
        <w:ind w:left="1223" w:right="563"/>
      </w:pPr>
      <w:r>
        <w:t>Excel-based</w:t>
      </w:r>
      <w:r>
        <w:rPr>
          <w:spacing w:val="-13"/>
        </w:rPr>
        <w:t xml:space="preserve"> </w:t>
      </w:r>
      <w:r>
        <w:t>MSS</w:t>
      </w:r>
      <w:r>
        <w:rPr>
          <w:spacing w:val="-12"/>
        </w:rPr>
        <w:t xml:space="preserve"> </w:t>
      </w:r>
      <w:r>
        <w:t>costing</w:t>
      </w:r>
      <w:r>
        <w:rPr>
          <w:spacing w:val="-12"/>
        </w:rPr>
        <w:t xml:space="preserve"> </w:t>
      </w:r>
      <w:r>
        <w:t>tools</w:t>
      </w:r>
      <w:r>
        <w:rPr>
          <w:spacing w:val="-12"/>
        </w:rPr>
        <w:t xml:space="preserve"> </w:t>
      </w:r>
      <w:r>
        <w:t>have</w:t>
      </w:r>
      <w:r>
        <w:rPr>
          <w:spacing w:val="-13"/>
        </w:rPr>
        <w:t xml:space="preserve"> </w:t>
      </w:r>
      <w:r>
        <w:t>been</w:t>
      </w:r>
      <w:r>
        <w:rPr>
          <w:spacing w:val="-11"/>
        </w:rPr>
        <w:t xml:space="preserve"> </w:t>
      </w:r>
      <w:r>
        <w:t>developed</w:t>
      </w:r>
      <w:r>
        <w:rPr>
          <w:spacing w:val="-12"/>
        </w:rPr>
        <w:t xml:space="preserve"> </w:t>
      </w:r>
      <w:r>
        <w:t>and</w:t>
      </w:r>
      <w:r>
        <w:rPr>
          <w:spacing w:val="-12"/>
        </w:rPr>
        <w:t xml:space="preserve"> </w:t>
      </w:r>
      <w:r>
        <w:t>submitted</w:t>
      </w:r>
      <w:r>
        <w:rPr>
          <w:spacing w:val="-12"/>
        </w:rPr>
        <w:t xml:space="preserve"> </w:t>
      </w:r>
      <w:r>
        <w:t>to</w:t>
      </w:r>
      <w:r>
        <w:rPr>
          <w:spacing w:val="-13"/>
        </w:rPr>
        <w:t xml:space="preserve"> </w:t>
      </w:r>
      <w:r>
        <w:t>Bappeda.</w:t>
      </w:r>
      <w:r>
        <w:rPr>
          <w:spacing w:val="-11"/>
        </w:rPr>
        <w:t xml:space="preserve"> </w:t>
      </w:r>
      <w:r>
        <w:t>These</w:t>
      </w:r>
      <w:r>
        <w:rPr>
          <w:spacing w:val="-13"/>
        </w:rPr>
        <w:t xml:space="preserve"> </w:t>
      </w:r>
      <w:r>
        <w:t>tools include types and quality of services, variables, components, and funding sources, helping OPDs calculate budget needs and funding sources.</w:t>
      </w:r>
    </w:p>
    <w:p w14:paraId="39B946D8" w14:textId="77777777" w:rsidR="00BC24A8" w:rsidRDefault="00000000">
      <w:pPr>
        <w:pStyle w:val="ListParagraph"/>
        <w:numPr>
          <w:ilvl w:val="2"/>
          <w:numId w:val="139"/>
        </w:numPr>
        <w:tabs>
          <w:tab w:val="left" w:pos="1221"/>
          <w:tab w:val="left" w:pos="1223"/>
        </w:tabs>
        <w:spacing w:line="256" w:lineRule="auto"/>
        <w:ind w:left="1223" w:right="564"/>
      </w:pPr>
      <w:r>
        <w:t>MSS</w:t>
      </w:r>
      <w:r>
        <w:rPr>
          <w:spacing w:val="-1"/>
        </w:rPr>
        <w:t xml:space="preserve"> </w:t>
      </w:r>
      <w:r>
        <w:t>expenditure</w:t>
      </w:r>
      <w:r>
        <w:rPr>
          <w:spacing w:val="-3"/>
        </w:rPr>
        <w:t xml:space="preserve"> </w:t>
      </w:r>
      <w:r>
        <w:t>and</w:t>
      </w:r>
      <w:r>
        <w:rPr>
          <w:spacing w:val="-1"/>
        </w:rPr>
        <w:t xml:space="preserve"> </w:t>
      </w:r>
      <w:r>
        <w:t>financing</w:t>
      </w:r>
      <w:r>
        <w:rPr>
          <w:spacing w:val="-2"/>
        </w:rPr>
        <w:t xml:space="preserve"> </w:t>
      </w:r>
      <w:r>
        <w:t>analysis documents are</w:t>
      </w:r>
      <w:r>
        <w:rPr>
          <w:spacing w:val="-3"/>
        </w:rPr>
        <w:t xml:space="preserve"> </w:t>
      </w:r>
      <w:r>
        <w:t>now</w:t>
      </w:r>
      <w:r>
        <w:rPr>
          <w:spacing w:val="-2"/>
        </w:rPr>
        <w:t xml:space="preserve"> </w:t>
      </w:r>
      <w:r>
        <w:t>available</w:t>
      </w:r>
      <w:r>
        <w:rPr>
          <w:spacing w:val="-3"/>
        </w:rPr>
        <w:t xml:space="preserve"> </w:t>
      </w:r>
      <w:r>
        <w:t>and</w:t>
      </w:r>
      <w:r>
        <w:rPr>
          <w:spacing w:val="-1"/>
        </w:rPr>
        <w:t xml:space="preserve"> </w:t>
      </w:r>
      <w:r>
        <w:t>aligned</w:t>
      </w:r>
      <w:r>
        <w:rPr>
          <w:spacing w:val="-1"/>
        </w:rPr>
        <w:t xml:space="preserve"> </w:t>
      </w:r>
      <w:r>
        <w:t>with</w:t>
      </w:r>
      <w:r>
        <w:rPr>
          <w:spacing w:val="-1"/>
        </w:rPr>
        <w:t xml:space="preserve"> </w:t>
      </w:r>
      <w:r>
        <w:t>the RKPD and OPD RENJA. These documents include budget proportions against minimum requirements and maps of financing gaps.</w:t>
      </w:r>
    </w:p>
    <w:p w14:paraId="13DFA3FD" w14:textId="77777777" w:rsidR="00BC24A8" w:rsidRDefault="00BC24A8">
      <w:pPr>
        <w:pStyle w:val="BodyText"/>
        <w:spacing w:before="241"/>
      </w:pPr>
    </w:p>
    <w:p w14:paraId="05A2DA62" w14:textId="77777777" w:rsidR="00BC24A8" w:rsidRDefault="00000000">
      <w:pPr>
        <w:pStyle w:val="Heading5"/>
        <w:spacing w:before="1"/>
      </w:pPr>
      <w:r>
        <w:rPr>
          <w:color w:val="17365A"/>
        </w:rPr>
        <w:t>GEDSI</w:t>
      </w:r>
      <w:r>
        <w:rPr>
          <w:color w:val="17365A"/>
          <w:spacing w:val="-5"/>
        </w:rPr>
        <w:t xml:space="preserve"> </w:t>
      </w:r>
      <w:r>
        <w:rPr>
          <w:color w:val="17365A"/>
        </w:rPr>
        <w:t>–</w:t>
      </w:r>
      <w:r>
        <w:rPr>
          <w:color w:val="17365A"/>
          <w:spacing w:val="-3"/>
        </w:rPr>
        <w:t xml:space="preserve"> </w:t>
      </w:r>
      <w:r>
        <w:rPr>
          <w:color w:val="17365A"/>
        </w:rPr>
        <w:t>Participation</w:t>
      </w:r>
      <w:r>
        <w:rPr>
          <w:color w:val="17365A"/>
          <w:spacing w:val="-4"/>
        </w:rPr>
        <w:t xml:space="preserve"> </w:t>
      </w:r>
      <w:r>
        <w:rPr>
          <w:color w:val="17365A"/>
        </w:rPr>
        <w:t>and</w:t>
      </w:r>
      <w:r>
        <w:rPr>
          <w:color w:val="17365A"/>
          <w:spacing w:val="-5"/>
        </w:rPr>
        <w:t xml:space="preserve"> </w:t>
      </w:r>
      <w:r>
        <w:rPr>
          <w:color w:val="17365A"/>
        </w:rPr>
        <w:t>Planning</w:t>
      </w:r>
      <w:r>
        <w:rPr>
          <w:color w:val="17365A"/>
          <w:spacing w:val="-4"/>
        </w:rPr>
        <w:t xml:space="preserve"> </w:t>
      </w:r>
      <w:r>
        <w:rPr>
          <w:color w:val="17365A"/>
        </w:rPr>
        <w:t>(IO</w:t>
      </w:r>
      <w:r>
        <w:rPr>
          <w:color w:val="17365A"/>
          <w:spacing w:val="-7"/>
        </w:rPr>
        <w:t xml:space="preserve"> </w:t>
      </w:r>
      <w:r>
        <w:rPr>
          <w:color w:val="17365A"/>
        </w:rPr>
        <w:t>7</w:t>
      </w:r>
      <w:r>
        <w:rPr>
          <w:color w:val="17365A"/>
          <w:spacing w:val="-3"/>
        </w:rPr>
        <w:t xml:space="preserve"> </w:t>
      </w:r>
      <w:r>
        <w:rPr>
          <w:color w:val="17365A"/>
        </w:rPr>
        <w:t>dan</w:t>
      </w:r>
      <w:r>
        <w:rPr>
          <w:color w:val="17365A"/>
          <w:spacing w:val="-4"/>
        </w:rPr>
        <w:t xml:space="preserve"> </w:t>
      </w:r>
      <w:r>
        <w:rPr>
          <w:color w:val="17365A"/>
          <w:spacing w:val="-5"/>
        </w:rPr>
        <w:t>8)</w:t>
      </w:r>
    </w:p>
    <w:p w14:paraId="53A0A14A" w14:textId="77777777" w:rsidR="00BC24A8" w:rsidRDefault="00000000">
      <w:pPr>
        <w:pStyle w:val="ListParagraph"/>
        <w:numPr>
          <w:ilvl w:val="1"/>
          <w:numId w:val="139"/>
        </w:numPr>
        <w:tabs>
          <w:tab w:val="left" w:pos="862"/>
        </w:tabs>
        <w:spacing w:before="159"/>
        <w:ind w:left="862" w:hanging="359"/>
      </w:pPr>
      <w:r>
        <w:t>SKALA</w:t>
      </w:r>
      <w:r>
        <w:rPr>
          <w:spacing w:val="-8"/>
        </w:rPr>
        <w:t xml:space="preserve"> </w:t>
      </w:r>
      <w:r>
        <w:t>has</w:t>
      </w:r>
      <w:r>
        <w:rPr>
          <w:spacing w:val="-4"/>
        </w:rPr>
        <w:t xml:space="preserve"> </w:t>
      </w:r>
      <w:r>
        <w:t>supported</w:t>
      </w:r>
      <w:r>
        <w:rPr>
          <w:spacing w:val="-5"/>
        </w:rPr>
        <w:t xml:space="preserve"> </w:t>
      </w:r>
      <w:r>
        <w:t>inclusive</w:t>
      </w:r>
      <w:r>
        <w:rPr>
          <w:spacing w:val="-6"/>
        </w:rPr>
        <w:t xml:space="preserve"> </w:t>
      </w:r>
      <w:r>
        <w:t>policies</w:t>
      </w:r>
      <w:r>
        <w:rPr>
          <w:spacing w:val="-5"/>
        </w:rPr>
        <w:t xml:space="preserve"> </w:t>
      </w:r>
      <w:r>
        <w:t>and</w:t>
      </w:r>
      <w:r>
        <w:rPr>
          <w:spacing w:val="-7"/>
        </w:rPr>
        <w:t xml:space="preserve"> </w:t>
      </w:r>
      <w:r>
        <w:t>strengthening</w:t>
      </w:r>
      <w:r>
        <w:rPr>
          <w:spacing w:val="-5"/>
        </w:rPr>
        <w:t xml:space="preserve"> </w:t>
      </w:r>
      <w:r>
        <w:t>local</w:t>
      </w:r>
      <w:r>
        <w:rPr>
          <w:spacing w:val="-6"/>
        </w:rPr>
        <w:t xml:space="preserve"> </w:t>
      </w:r>
      <w:r>
        <w:t>government</w:t>
      </w:r>
      <w:r>
        <w:rPr>
          <w:spacing w:val="-8"/>
        </w:rPr>
        <w:t xml:space="preserve"> </w:t>
      </w:r>
      <w:r>
        <w:rPr>
          <w:spacing w:val="-2"/>
        </w:rPr>
        <w:t>capacity:</w:t>
      </w:r>
    </w:p>
    <w:p w14:paraId="54587CDB" w14:textId="77777777" w:rsidR="00BC24A8" w:rsidRDefault="00000000">
      <w:pPr>
        <w:pStyle w:val="ListParagraph"/>
        <w:numPr>
          <w:ilvl w:val="2"/>
          <w:numId w:val="139"/>
        </w:numPr>
        <w:tabs>
          <w:tab w:val="left" w:pos="1222"/>
        </w:tabs>
        <w:spacing w:before="121"/>
        <w:ind w:left="1222" w:hanging="359"/>
      </w:pPr>
      <w:r>
        <w:t>Qanun</w:t>
      </w:r>
      <w:r>
        <w:rPr>
          <w:spacing w:val="-7"/>
        </w:rPr>
        <w:t xml:space="preserve"> </w:t>
      </w:r>
      <w:r>
        <w:t>No.</w:t>
      </w:r>
      <w:r>
        <w:rPr>
          <w:spacing w:val="-6"/>
        </w:rPr>
        <w:t xml:space="preserve"> </w:t>
      </w:r>
      <w:r>
        <w:t>4</w:t>
      </w:r>
      <w:r>
        <w:rPr>
          <w:spacing w:val="-5"/>
        </w:rPr>
        <w:t xml:space="preserve"> </w:t>
      </w:r>
      <w:r>
        <w:t>of</w:t>
      </w:r>
      <w:r>
        <w:rPr>
          <w:spacing w:val="-6"/>
        </w:rPr>
        <w:t xml:space="preserve"> </w:t>
      </w:r>
      <w:r>
        <w:t>2025</w:t>
      </w:r>
      <w:r>
        <w:rPr>
          <w:spacing w:val="-4"/>
        </w:rPr>
        <w:t xml:space="preserve"> </w:t>
      </w:r>
      <w:r>
        <w:t>on</w:t>
      </w:r>
      <w:r>
        <w:rPr>
          <w:spacing w:val="-3"/>
        </w:rPr>
        <w:t xml:space="preserve"> </w:t>
      </w:r>
      <w:r>
        <w:t>the</w:t>
      </w:r>
      <w:r>
        <w:rPr>
          <w:spacing w:val="-6"/>
        </w:rPr>
        <w:t xml:space="preserve"> </w:t>
      </w:r>
      <w:r>
        <w:t>protection</w:t>
      </w:r>
      <w:r>
        <w:rPr>
          <w:spacing w:val="-6"/>
        </w:rPr>
        <w:t xml:space="preserve"> </w:t>
      </w:r>
      <w:r>
        <w:t>of</w:t>
      </w:r>
      <w:r>
        <w:rPr>
          <w:spacing w:val="-6"/>
        </w:rPr>
        <w:t xml:space="preserve"> </w:t>
      </w:r>
      <w:r>
        <w:t>women’s</w:t>
      </w:r>
      <w:r>
        <w:rPr>
          <w:spacing w:val="-6"/>
        </w:rPr>
        <w:t xml:space="preserve"> </w:t>
      </w:r>
      <w:r>
        <w:t>rights</w:t>
      </w:r>
      <w:r>
        <w:rPr>
          <w:spacing w:val="-3"/>
        </w:rPr>
        <w:t xml:space="preserve"> </w:t>
      </w:r>
      <w:r>
        <w:t>has</w:t>
      </w:r>
      <w:r>
        <w:rPr>
          <w:spacing w:val="-4"/>
        </w:rPr>
        <w:t xml:space="preserve"> </w:t>
      </w:r>
      <w:r>
        <w:t>been</w:t>
      </w:r>
      <w:r>
        <w:rPr>
          <w:spacing w:val="-4"/>
        </w:rPr>
        <w:t xml:space="preserve"> </w:t>
      </w:r>
      <w:r>
        <w:rPr>
          <w:spacing w:val="-2"/>
        </w:rPr>
        <w:t>issued.</w:t>
      </w:r>
    </w:p>
    <w:p w14:paraId="61BAC9C1" w14:textId="77777777" w:rsidR="00BC24A8" w:rsidRDefault="00000000">
      <w:pPr>
        <w:pStyle w:val="ListParagraph"/>
        <w:numPr>
          <w:ilvl w:val="2"/>
          <w:numId w:val="139"/>
        </w:numPr>
        <w:tabs>
          <w:tab w:val="left" w:pos="1221"/>
          <w:tab w:val="left" w:pos="1223"/>
        </w:tabs>
        <w:spacing w:before="14" w:line="249" w:lineRule="auto"/>
        <w:ind w:left="1223" w:right="563"/>
      </w:pPr>
      <w:r>
        <w:t xml:space="preserve">Qanun No. 2 of 2025 on the fulfillment of the rights of persons with disabilities has been </w:t>
      </w:r>
      <w:r>
        <w:rPr>
          <w:spacing w:val="-2"/>
        </w:rPr>
        <w:t>issued.</w:t>
      </w:r>
    </w:p>
    <w:p w14:paraId="55DAD60A" w14:textId="77777777" w:rsidR="00BC24A8" w:rsidRDefault="00000000">
      <w:pPr>
        <w:pStyle w:val="ListParagraph"/>
        <w:numPr>
          <w:ilvl w:val="2"/>
          <w:numId w:val="139"/>
        </w:numPr>
        <w:tabs>
          <w:tab w:val="left" w:pos="1222"/>
          <w:tab w:val="left" w:pos="1224"/>
        </w:tabs>
        <w:spacing w:before="13" w:line="256" w:lineRule="auto"/>
        <w:ind w:right="563"/>
      </w:pPr>
      <w:r>
        <w:t>A total of 45 civil servants (12 male, 33 female) from internal government auditors (APIP), provincial and district/city inspectorates, Bappeda, DP3A, and universities have received capacity building on Gender-Responsive and Disability-Inclusive Planning (PPRG).</w:t>
      </w:r>
    </w:p>
    <w:p w14:paraId="4752312C" w14:textId="77777777" w:rsidR="00BC24A8" w:rsidRDefault="00000000">
      <w:pPr>
        <w:pStyle w:val="ListParagraph"/>
        <w:numPr>
          <w:ilvl w:val="1"/>
          <w:numId w:val="139"/>
        </w:numPr>
        <w:tabs>
          <w:tab w:val="left" w:pos="863"/>
        </w:tabs>
        <w:spacing w:before="240"/>
        <w:ind w:hanging="360"/>
        <w:jc w:val="left"/>
      </w:pPr>
      <w:r>
        <w:t>SKALA</w:t>
      </w:r>
      <w:r>
        <w:rPr>
          <w:spacing w:val="-8"/>
        </w:rPr>
        <w:t xml:space="preserve"> </w:t>
      </w:r>
      <w:r>
        <w:t>has</w:t>
      </w:r>
      <w:r>
        <w:rPr>
          <w:spacing w:val="-6"/>
        </w:rPr>
        <w:t xml:space="preserve"> </w:t>
      </w:r>
      <w:r>
        <w:t>supported</w:t>
      </w:r>
      <w:r>
        <w:rPr>
          <w:spacing w:val="-5"/>
        </w:rPr>
        <w:t xml:space="preserve"> </w:t>
      </w:r>
      <w:r>
        <w:t>increasing</w:t>
      </w:r>
      <w:r>
        <w:rPr>
          <w:spacing w:val="-6"/>
        </w:rPr>
        <w:t xml:space="preserve"> </w:t>
      </w:r>
      <w:r>
        <w:t>community</w:t>
      </w:r>
      <w:r>
        <w:rPr>
          <w:spacing w:val="-6"/>
        </w:rPr>
        <w:t xml:space="preserve"> </w:t>
      </w:r>
      <w:r>
        <w:rPr>
          <w:spacing w:val="-2"/>
        </w:rPr>
        <w:t>participation:</w:t>
      </w:r>
    </w:p>
    <w:p w14:paraId="37354245" w14:textId="77777777" w:rsidR="00BC24A8" w:rsidRDefault="00000000">
      <w:pPr>
        <w:pStyle w:val="ListParagraph"/>
        <w:numPr>
          <w:ilvl w:val="2"/>
          <w:numId w:val="139"/>
        </w:numPr>
        <w:tabs>
          <w:tab w:val="left" w:pos="1222"/>
          <w:tab w:val="left" w:pos="1224"/>
        </w:tabs>
        <w:spacing w:before="120" w:line="252" w:lineRule="auto"/>
        <w:ind w:right="564"/>
        <w:jc w:val="left"/>
      </w:pPr>
      <w:r>
        <w:t>Governor</w:t>
      </w:r>
      <w:r>
        <w:rPr>
          <w:spacing w:val="-2"/>
        </w:rPr>
        <w:t xml:space="preserve"> </w:t>
      </w:r>
      <w:r>
        <w:t>Regulation</w:t>
      </w:r>
      <w:r>
        <w:rPr>
          <w:spacing w:val="-4"/>
        </w:rPr>
        <w:t xml:space="preserve"> </w:t>
      </w:r>
      <w:r>
        <w:t>No.</w:t>
      </w:r>
      <w:r>
        <w:rPr>
          <w:spacing w:val="-4"/>
        </w:rPr>
        <w:t xml:space="preserve"> </w:t>
      </w:r>
      <w:r>
        <w:t>12</w:t>
      </w:r>
      <w:r>
        <w:rPr>
          <w:spacing w:val="-2"/>
        </w:rPr>
        <w:t xml:space="preserve"> </w:t>
      </w:r>
      <w:r>
        <w:t>of</w:t>
      </w:r>
      <w:r>
        <w:rPr>
          <w:spacing w:val="-4"/>
        </w:rPr>
        <w:t xml:space="preserve"> </w:t>
      </w:r>
      <w:r>
        <w:t>2025</w:t>
      </w:r>
      <w:r>
        <w:rPr>
          <w:spacing w:val="-2"/>
        </w:rPr>
        <w:t xml:space="preserve"> </w:t>
      </w:r>
      <w:r>
        <w:t>on</w:t>
      </w:r>
      <w:r>
        <w:rPr>
          <w:spacing w:val="-2"/>
        </w:rPr>
        <w:t xml:space="preserve"> </w:t>
      </w:r>
      <w:r>
        <w:t>community</w:t>
      </w:r>
      <w:r>
        <w:rPr>
          <w:spacing w:val="-1"/>
        </w:rPr>
        <w:t xml:space="preserve"> </w:t>
      </w:r>
      <w:r>
        <w:t>participation</w:t>
      </w:r>
      <w:r>
        <w:rPr>
          <w:spacing w:val="-2"/>
        </w:rPr>
        <w:t xml:space="preserve"> </w:t>
      </w:r>
      <w:r>
        <w:t>in</w:t>
      </w:r>
      <w:r>
        <w:rPr>
          <w:spacing w:val="-2"/>
        </w:rPr>
        <w:t xml:space="preserve"> </w:t>
      </w:r>
      <w:r>
        <w:t>development</w:t>
      </w:r>
      <w:r>
        <w:rPr>
          <w:spacing w:val="-5"/>
        </w:rPr>
        <w:t xml:space="preserve"> </w:t>
      </w:r>
      <w:r>
        <w:t>has</w:t>
      </w:r>
      <w:r>
        <w:rPr>
          <w:spacing w:val="-1"/>
        </w:rPr>
        <w:t xml:space="preserve"> </w:t>
      </w:r>
      <w:r>
        <w:t xml:space="preserve">been </w:t>
      </w:r>
      <w:r>
        <w:rPr>
          <w:spacing w:val="-2"/>
        </w:rPr>
        <w:t>issued.</w:t>
      </w:r>
    </w:p>
    <w:p w14:paraId="113C3061" w14:textId="77777777" w:rsidR="00BC24A8" w:rsidRDefault="00000000">
      <w:pPr>
        <w:pStyle w:val="ListParagraph"/>
        <w:numPr>
          <w:ilvl w:val="2"/>
          <w:numId w:val="139"/>
        </w:numPr>
        <w:tabs>
          <w:tab w:val="left" w:pos="1222"/>
          <w:tab w:val="left" w:pos="1224"/>
        </w:tabs>
        <w:spacing w:before="10" w:line="252" w:lineRule="auto"/>
        <w:ind w:right="566"/>
        <w:jc w:val="left"/>
      </w:pPr>
      <w:r>
        <w:t>Technical guidelines for community participation in development have been prepared by Bappeda, Diskominfo, universities, and CSOs.</w:t>
      </w:r>
    </w:p>
    <w:p w14:paraId="4D18AE83" w14:textId="77777777" w:rsidR="00BC24A8" w:rsidRDefault="00000000">
      <w:pPr>
        <w:pStyle w:val="ListParagraph"/>
        <w:numPr>
          <w:ilvl w:val="2"/>
          <w:numId w:val="139"/>
        </w:numPr>
        <w:tabs>
          <w:tab w:val="left" w:pos="1222"/>
          <w:tab w:val="left" w:pos="1224"/>
        </w:tabs>
        <w:spacing w:before="7" w:line="252" w:lineRule="auto"/>
        <w:ind w:right="561"/>
        <w:jc w:val="left"/>
      </w:pPr>
      <w:r>
        <w:t>Participation</w:t>
      </w:r>
      <w:r>
        <w:rPr>
          <w:spacing w:val="73"/>
        </w:rPr>
        <w:t xml:space="preserve"> </w:t>
      </w:r>
      <w:r>
        <w:t>of</w:t>
      </w:r>
      <w:r>
        <w:rPr>
          <w:spacing w:val="72"/>
        </w:rPr>
        <w:t xml:space="preserve"> </w:t>
      </w:r>
      <w:r>
        <w:t>CSOs</w:t>
      </w:r>
      <w:r>
        <w:rPr>
          <w:spacing w:val="74"/>
        </w:rPr>
        <w:t xml:space="preserve"> </w:t>
      </w:r>
      <w:r>
        <w:t>and</w:t>
      </w:r>
      <w:r>
        <w:rPr>
          <w:spacing w:val="73"/>
        </w:rPr>
        <w:t xml:space="preserve"> </w:t>
      </w:r>
      <w:r>
        <w:t>disabled</w:t>
      </w:r>
      <w:r>
        <w:rPr>
          <w:spacing w:val="73"/>
        </w:rPr>
        <w:t xml:space="preserve"> </w:t>
      </w:r>
      <w:r>
        <w:t>people’s</w:t>
      </w:r>
      <w:r>
        <w:rPr>
          <w:spacing w:val="74"/>
        </w:rPr>
        <w:t xml:space="preserve"> </w:t>
      </w:r>
      <w:r>
        <w:t>organisations</w:t>
      </w:r>
      <w:r>
        <w:rPr>
          <w:spacing w:val="74"/>
        </w:rPr>
        <w:t xml:space="preserve"> </w:t>
      </w:r>
      <w:r>
        <w:t>(DPOs),</w:t>
      </w:r>
      <w:r>
        <w:rPr>
          <w:spacing w:val="74"/>
        </w:rPr>
        <w:t xml:space="preserve"> </w:t>
      </w:r>
      <w:r>
        <w:t>in</w:t>
      </w:r>
      <w:r>
        <w:rPr>
          <w:spacing w:val="73"/>
        </w:rPr>
        <w:t xml:space="preserve"> </w:t>
      </w:r>
      <w:r>
        <w:t>various</w:t>
      </w:r>
      <w:r>
        <w:rPr>
          <w:spacing w:val="74"/>
        </w:rPr>
        <w:t xml:space="preserve"> </w:t>
      </w:r>
      <w:r>
        <w:t>policy development processes has continued:</w:t>
      </w:r>
    </w:p>
    <w:p w14:paraId="46EBB70C" w14:textId="77777777" w:rsidR="00BC24A8" w:rsidRDefault="00000000">
      <w:pPr>
        <w:pStyle w:val="ListParagraph"/>
        <w:numPr>
          <w:ilvl w:val="3"/>
          <w:numId w:val="139"/>
        </w:numPr>
        <w:tabs>
          <w:tab w:val="left" w:pos="1584"/>
        </w:tabs>
        <w:spacing w:before="250"/>
        <w:ind w:left="1584"/>
        <w:jc w:val="left"/>
      </w:pPr>
      <w:r>
        <w:t>Three</w:t>
      </w:r>
      <w:r>
        <w:rPr>
          <w:spacing w:val="-3"/>
        </w:rPr>
        <w:t xml:space="preserve"> </w:t>
      </w:r>
      <w:r>
        <w:t>CSOs</w:t>
      </w:r>
      <w:r>
        <w:rPr>
          <w:spacing w:val="-3"/>
        </w:rPr>
        <w:t xml:space="preserve"> </w:t>
      </w:r>
      <w:r>
        <w:t>and</w:t>
      </w:r>
      <w:r>
        <w:rPr>
          <w:spacing w:val="-5"/>
        </w:rPr>
        <w:t xml:space="preserve"> </w:t>
      </w:r>
      <w:r>
        <w:t>12</w:t>
      </w:r>
      <w:r>
        <w:rPr>
          <w:spacing w:val="-5"/>
        </w:rPr>
        <w:t xml:space="preserve"> </w:t>
      </w:r>
      <w:r>
        <w:t>DPOs</w:t>
      </w:r>
      <w:r>
        <w:rPr>
          <w:spacing w:val="-4"/>
        </w:rPr>
        <w:t xml:space="preserve"> </w:t>
      </w:r>
      <w:r>
        <w:t>have</w:t>
      </w:r>
      <w:r>
        <w:rPr>
          <w:spacing w:val="-5"/>
        </w:rPr>
        <w:t xml:space="preserve"> </w:t>
      </w:r>
      <w:r>
        <w:t>contributed</w:t>
      </w:r>
      <w:r>
        <w:rPr>
          <w:spacing w:val="-2"/>
        </w:rPr>
        <w:t xml:space="preserve"> </w:t>
      </w:r>
      <w:r>
        <w:t>to</w:t>
      </w:r>
      <w:r>
        <w:rPr>
          <w:spacing w:val="-6"/>
        </w:rPr>
        <w:t xml:space="preserve"> </w:t>
      </w:r>
      <w:r>
        <w:t>drafting</w:t>
      </w:r>
      <w:r>
        <w:rPr>
          <w:spacing w:val="-3"/>
        </w:rPr>
        <w:t xml:space="preserve"> </w:t>
      </w:r>
      <w:r>
        <w:t>the</w:t>
      </w:r>
      <w:r>
        <w:rPr>
          <w:spacing w:val="-5"/>
        </w:rPr>
        <w:t xml:space="preserve"> </w:t>
      </w:r>
      <w:r>
        <w:t>Disability</w:t>
      </w:r>
      <w:r>
        <w:rPr>
          <w:spacing w:val="-2"/>
        </w:rPr>
        <w:t xml:space="preserve"> Qanun.</w:t>
      </w:r>
    </w:p>
    <w:p w14:paraId="5BDA30EF" w14:textId="77777777" w:rsidR="00BC24A8" w:rsidRDefault="00000000">
      <w:pPr>
        <w:pStyle w:val="ListParagraph"/>
        <w:numPr>
          <w:ilvl w:val="3"/>
          <w:numId w:val="139"/>
        </w:numPr>
        <w:tabs>
          <w:tab w:val="left" w:pos="1584"/>
        </w:tabs>
        <w:spacing w:line="268" w:lineRule="exact"/>
        <w:ind w:left="1584"/>
        <w:jc w:val="left"/>
      </w:pPr>
      <w:r>
        <w:t>Two</w:t>
      </w:r>
      <w:r>
        <w:rPr>
          <w:spacing w:val="-4"/>
        </w:rPr>
        <w:t xml:space="preserve"> </w:t>
      </w:r>
      <w:r>
        <w:t>DPOs</w:t>
      </w:r>
      <w:r>
        <w:rPr>
          <w:spacing w:val="-4"/>
        </w:rPr>
        <w:t xml:space="preserve"> </w:t>
      </w:r>
      <w:r>
        <w:t>have</w:t>
      </w:r>
      <w:r>
        <w:rPr>
          <w:spacing w:val="-5"/>
        </w:rPr>
        <w:t xml:space="preserve"> </w:t>
      </w:r>
      <w:r>
        <w:t>contributed</w:t>
      </w:r>
      <w:r>
        <w:rPr>
          <w:spacing w:val="-2"/>
        </w:rPr>
        <w:t xml:space="preserve"> </w:t>
      </w:r>
      <w:r>
        <w:t>to</w:t>
      </w:r>
      <w:r>
        <w:rPr>
          <w:spacing w:val="-4"/>
        </w:rPr>
        <w:t xml:space="preserve"> </w:t>
      </w:r>
      <w:r>
        <w:t>drafting</w:t>
      </w:r>
      <w:r>
        <w:rPr>
          <w:spacing w:val="-6"/>
        </w:rPr>
        <w:t xml:space="preserve"> </w:t>
      </w:r>
      <w:r>
        <w:t>the</w:t>
      </w:r>
      <w:r>
        <w:rPr>
          <w:spacing w:val="-4"/>
        </w:rPr>
        <w:t xml:space="preserve"> </w:t>
      </w:r>
      <w:r>
        <w:rPr>
          <w:spacing w:val="-2"/>
        </w:rPr>
        <w:t>RPJMD.</w:t>
      </w:r>
    </w:p>
    <w:p w14:paraId="5C94180A" w14:textId="77777777" w:rsidR="00BC24A8" w:rsidRDefault="00000000">
      <w:pPr>
        <w:pStyle w:val="ListParagraph"/>
        <w:numPr>
          <w:ilvl w:val="3"/>
          <w:numId w:val="139"/>
        </w:numPr>
        <w:tabs>
          <w:tab w:val="left" w:pos="1584"/>
        </w:tabs>
        <w:ind w:left="1584" w:right="565"/>
        <w:jc w:val="left"/>
      </w:pPr>
      <w:r>
        <w:t>Twelve</w:t>
      </w:r>
      <w:r>
        <w:rPr>
          <w:spacing w:val="40"/>
        </w:rPr>
        <w:t xml:space="preserve"> </w:t>
      </w:r>
      <w:r>
        <w:t>CSOs</w:t>
      </w:r>
      <w:r>
        <w:rPr>
          <w:spacing w:val="40"/>
        </w:rPr>
        <w:t xml:space="preserve"> </w:t>
      </w:r>
      <w:r>
        <w:t>have</w:t>
      </w:r>
      <w:r>
        <w:rPr>
          <w:spacing w:val="40"/>
        </w:rPr>
        <w:t xml:space="preserve"> </w:t>
      </w:r>
      <w:r>
        <w:t>contributed</w:t>
      </w:r>
      <w:r>
        <w:rPr>
          <w:spacing w:val="40"/>
        </w:rPr>
        <w:t xml:space="preserve"> </w:t>
      </w:r>
      <w:r>
        <w:t>to</w:t>
      </w:r>
      <w:r>
        <w:rPr>
          <w:spacing w:val="40"/>
        </w:rPr>
        <w:t xml:space="preserve"> </w:t>
      </w:r>
      <w:r>
        <w:t>drafting</w:t>
      </w:r>
      <w:r>
        <w:rPr>
          <w:spacing w:val="40"/>
        </w:rPr>
        <w:t xml:space="preserve"> </w:t>
      </w:r>
      <w:r>
        <w:t>the</w:t>
      </w:r>
      <w:r>
        <w:rPr>
          <w:spacing w:val="40"/>
        </w:rPr>
        <w:t xml:space="preserve"> </w:t>
      </w:r>
      <w:r>
        <w:t>technical</w:t>
      </w:r>
      <w:r>
        <w:rPr>
          <w:spacing w:val="40"/>
        </w:rPr>
        <w:t xml:space="preserve"> </w:t>
      </w:r>
      <w:r>
        <w:t>guidelines</w:t>
      </w:r>
      <w:r>
        <w:rPr>
          <w:spacing w:val="40"/>
        </w:rPr>
        <w:t xml:space="preserve"> </w:t>
      </w:r>
      <w:r>
        <w:t>for</w:t>
      </w:r>
      <w:r>
        <w:rPr>
          <w:spacing w:val="40"/>
        </w:rPr>
        <w:t xml:space="preserve"> </w:t>
      </w:r>
      <w:r>
        <w:t xml:space="preserve">community </w:t>
      </w:r>
      <w:r>
        <w:rPr>
          <w:spacing w:val="-2"/>
        </w:rPr>
        <w:t>participation.</w:t>
      </w:r>
    </w:p>
    <w:p w14:paraId="386B21F5" w14:textId="77777777" w:rsidR="00BC24A8" w:rsidRDefault="00000000">
      <w:pPr>
        <w:pStyle w:val="ListParagraph"/>
        <w:numPr>
          <w:ilvl w:val="3"/>
          <w:numId w:val="139"/>
        </w:numPr>
        <w:tabs>
          <w:tab w:val="left" w:pos="1584"/>
        </w:tabs>
        <w:ind w:left="1584" w:right="566"/>
        <w:jc w:val="left"/>
      </w:pPr>
      <w:r>
        <w:t>Ten CSOs and two DPOs have contributed to drafting the 2026 RKPA through policy</w:t>
      </w:r>
      <w:r>
        <w:rPr>
          <w:spacing w:val="40"/>
        </w:rPr>
        <w:t xml:space="preserve"> </w:t>
      </w:r>
      <w:r>
        <w:t>brief preparation.</w:t>
      </w:r>
    </w:p>
    <w:p w14:paraId="0102842E" w14:textId="77777777" w:rsidR="00BC24A8" w:rsidRDefault="00BC24A8">
      <w:pPr>
        <w:pStyle w:val="ListParagraph"/>
        <w:jc w:val="left"/>
        <w:sectPr w:rsidR="00BC24A8">
          <w:pgSz w:w="11910" w:h="16840"/>
          <w:pgMar w:top="1320" w:right="850" w:bottom="1100" w:left="1275" w:header="0" w:footer="907" w:gutter="0"/>
          <w:cols w:space="720"/>
        </w:sectPr>
      </w:pPr>
    </w:p>
    <w:p w14:paraId="589599D3" w14:textId="77777777" w:rsidR="00BC24A8" w:rsidRDefault="00000000">
      <w:pPr>
        <w:pStyle w:val="Heading5"/>
        <w:spacing w:before="39"/>
      </w:pPr>
      <w:r>
        <w:rPr>
          <w:color w:val="17365A"/>
        </w:rPr>
        <w:lastRenderedPageBreak/>
        <w:t>Impact</w:t>
      </w:r>
      <w:r>
        <w:rPr>
          <w:color w:val="17365A"/>
          <w:spacing w:val="-3"/>
        </w:rPr>
        <w:t xml:space="preserve"> </w:t>
      </w:r>
      <w:r>
        <w:rPr>
          <w:color w:val="17365A"/>
        </w:rPr>
        <w:t>of</w:t>
      </w:r>
      <w:r>
        <w:rPr>
          <w:color w:val="17365A"/>
          <w:spacing w:val="-2"/>
        </w:rPr>
        <w:t xml:space="preserve"> results/changes</w:t>
      </w:r>
    </w:p>
    <w:p w14:paraId="7E3B0792" w14:textId="77777777" w:rsidR="00BC24A8" w:rsidRDefault="00BC24A8">
      <w:pPr>
        <w:pStyle w:val="BodyText"/>
        <w:spacing w:after="1"/>
        <w:rPr>
          <w:rFonts w:ascii="Calibri"/>
          <w:b/>
          <w:sz w:val="13"/>
        </w:rPr>
      </w:pPr>
    </w:p>
    <w:tbl>
      <w:tblPr>
        <w:tblW w:w="0" w:type="auto"/>
        <w:tblInd w:w="143" w:type="dxa"/>
        <w:tblLayout w:type="fixed"/>
        <w:tblCellMar>
          <w:left w:w="0" w:type="dxa"/>
          <w:right w:w="0" w:type="dxa"/>
        </w:tblCellMar>
        <w:tblLook w:val="01E0" w:firstRow="1" w:lastRow="1" w:firstColumn="1" w:lastColumn="1" w:noHBand="0" w:noVBand="0"/>
      </w:tblPr>
      <w:tblGrid>
        <w:gridCol w:w="1343"/>
        <w:gridCol w:w="7756"/>
      </w:tblGrid>
      <w:tr w:rsidR="00BC24A8" w14:paraId="5A417850" w14:textId="77777777">
        <w:trPr>
          <w:trHeight w:val="364"/>
        </w:trPr>
        <w:tc>
          <w:tcPr>
            <w:tcW w:w="1343" w:type="dxa"/>
            <w:tcBorders>
              <w:top w:val="single" w:sz="4" w:space="0" w:color="7E7E7E"/>
              <w:bottom w:val="single" w:sz="4" w:space="0" w:color="7E7E7E"/>
            </w:tcBorders>
            <w:shd w:val="clear" w:color="auto" w:fill="17365A"/>
          </w:tcPr>
          <w:p w14:paraId="399E6220" w14:textId="77777777" w:rsidR="00BC24A8" w:rsidRDefault="00000000">
            <w:pPr>
              <w:pStyle w:val="TableParagraph"/>
              <w:spacing w:before="63"/>
              <w:ind w:left="115"/>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756" w:type="dxa"/>
            <w:tcBorders>
              <w:top w:val="single" w:sz="4" w:space="0" w:color="7E7E7E"/>
              <w:bottom w:val="single" w:sz="4" w:space="0" w:color="7E7E7E"/>
            </w:tcBorders>
            <w:shd w:val="clear" w:color="auto" w:fill="17365A"/>
          </w:tcPr>
          <w:p w14:paraId="0C2749A8" w14:textId="77777777" w:rsidR="00BC24A8" w:rsidRDefault="00000000">
            <w:pPr>
              <w:pStyle w:val="TableParagraph"/>
              <w:spacing w:before="63"/>
              <w:ind w:left="121"/>
              <w:rPr>
                <w:rFonts w:ascii="Calibri"/>
                <w:b/>
                <w:sz w:val="20"/>
              </w:rPr>
            </w:pPr>
            <w:r>
              <w:rPr>
                <w:rFonts w:ascii="Calibri"/>
                <w:b/>
                <w:color w:val="FFFFFF"/>
                <w:spacing w:val="-2"/>
                <w:sz w:val="20"/>
              </w:rPr>
              <w:t>Impact</w:t>
            </w:r>
          </w:p>
        </w:tc>
      </w:tr>
      <w:tr w:rsidR="00BC24A8" w14:paraId="2091F8B6" w14:textId="77777777">
        <w:trPr>
          <w:trHeight w:val="2097"/>
        </w:trPr>
        <w:tc>
          <w:tcPr>
            <w:tcW w:w="1343" w:type="dxa"/>
            <w:tcBorders>
              <w:top w:val="single" w:sz="4" w:space="0" w:color="7E7E7E"/>
              <w:bottom w:val="single" w:sz="4" w:space="0" w:color="BEBEBE"/>
            </w:tcBorders>
          </w:tcPr>
          <w:p w14:paraId="1CB17D71" w14:textId="77777777" w:rsidR="00BC24A8" w:rsidRDefault="00000000">
            <w:pPr>
              <w:pStyle w:val="TableParagraph"/>
              <w:spacing w:before="61"/>
              <w:ind w:left="115"/>
              <w:rPr>
                <w:sz w:val="18"/>
              </w:rPr>
            </w:pPr>
            <w:r>
              <w:rPr>
                <w:spacing w:val="-2"/>
                <w:sz w:val="18"/>
              </w:rPr>
              <w:t>Methodological</w:t>
            </w:r>
            <w:r>
              <w:rPr>
                <w:sz w:val="18"/>
              </w:rPr>
              <w:t xml:space="preserve"> </w:t>
            </w:r>
            <w:r>
              <w:rPr>
                <w:spacing w:val="-2"/>
                <w:sz w:val="18"/>
              </w:rPr>
              <w:t>Impact</w:t>
            </w:r>
          </w:p>
        </w:tc>
        <w:tc>
          <w:tcPr>
            <w:tcW w:w="7756" w:type="dxa"/>
            <w:tcBorders>
              <w:top w:val="single" w:sz="4" w:space="0" w:color="7E7E7E"/>
              <w:bottom w:val="single" w:sz="4" w:space="0" w:color="BEBEBE"/>
            </w:tcBorders>
          </w:tcPr>
          <w:p w14:paraId="60260C80" w14:textId="77777777" w:rsidR="00BC24A8" w:rsidRDefault="00000000">
            <w:pPr>
              <w:pStyle w:val="TableParagraph"/>
              <w:numPr>
                <w:ilvl w:val="0"/>
                <w:numId w:val="138"/>
              </w:numPr>
              <w:tabs>
                <w:tab w:val="left" w:pos="452"/>
              </w:tabs>
              <w:spacing w:before="61"/>
              <w:rPr>
                <w:sz w:val="18"/>
              </w:rPr>
            </w:pPr>
            <w:r>
              <w:rPr>
                <w:sz w:val="18"/>
              </w:rPr>
              <w:t>Technical</w:t>
            </w:r>
            <w:r>
              <w:rPr>
                <w:spacing w:val="-2"/>
                <w:sz w:val="18"/>
              </w:rPr>
              <w:t xml:space="preserve"> </w:t>
            </w:r>
            <w:r>
              <w:rPr>
                <w:sz w:val="18"/>
              </w:rPr>
              <w:t>guidelines</w:t>
            </w:r>
            <w:r>
              <w:rPr>
                <w:spacing w:val="-2"/>
                <w:sz w:val="18"/>
              </w:rPr>
              <w:t xml:space="preserve"> </w:t>
            </w:r>
            <w:r>
              <w:rPr>
                <w:sz w:val="18"/>
              </w:rPr>
              <w:t>for</w:t>
            </w:r>
            <w:r>
              <w:rPr>
                <w:spacing w:val="-2"/>
                <w:sz w:val="18"/>
              </w:rPr>
              <w:t xml:space="preserve"> </w:t>
            </w:r>
            <w:r>
              <w:rPr>
                <w:sz w:val="18"/>
              </w:rPr>
              <w:t>community</w:t>
            </w:r>
            <w:r>
              <w:rPr>
                <w:spacing w:val="-2"/>
                <w:sz w:val="18"/>
              </w:rPr>
              <w:t xml:space="preserve"> </w:t>
            </w:r>
            <w:r>
              <w:rPr>
                <w:sz w:val="18"/>
              </w:rPr>
              <w:t>participation</w:t>
            </w:r>
            <w:r>
              <w:rPr>
                <w:spacing w:val="-2"/>
                <w:sz w:val="18"/>
              </w:rPr>
              <w:t xml:space="preserve"> </w:t>
            </w:r>
            <w:r>
              <w:rPr>
                <w:sz w:val="18"/>
              </w:rPr>
              <w:t>have</w:t>
            </w:r>
            <w:r>
              <w:rPr>
                <w:spacing w:val="-2"/>
                <w:sz w:val="18"/>
              </w:rPr>
              <w:t xml:space="preserve"> </w:t>
            </w:r>
            <w:r>
              <w:rPr>
                <w:sz w:val="18"/>
              </w:rPr>
              <w:t>been</w:t>
            </w:r>
            <w:r>
              <w:rPr>
                <w:spacing w:val="-2"/>
                <w:sz w:val="18"/>
              </w:rPr>
              <w:t xml:space="preserve"> developed.</w:t>
            </w:r>
          </w:p>
          <w:p w14:paraId="2EBA6A09" w14:textId="77777777" w:rsidR="00BC24A8" w:rsidRDefault="00000000">
            <w:pPr>
              <w:pStyle w:val="TableParagraph"/>
              <w:numPr>
                <w:ilvl w:val="0"/>
                <w:numId w:val="138"/>
              </w:numPr>
              <w:tabs>
                <w:tab w:val="left" w:pos="452"/>
              </w:tabs>
              <w:spacing w:before="1"/>
              <w:ind w:right="361"/>
              <w:rPr>
                <w:sz w:val="18"/>
              </w:rPr>
            </w:pPr>
            <w:r>
              <w:rPr>
                <w:sz w:val="18"/>
              </w:rPr>
              <w:t>Civil servants in 23 districts/cities have received facilitation, consultation, and training on the preparation</w:t>
            </w:r>
            <w:r>
              <w:rPr>
                <w:spacing w:val="-3"/>
                <w:sz w:val="18"/>
              </w:rPr>
              <w:t xml:space="preserve"> </w:t>
            </w:r>
            <w:r>
              <w:rPr>
                <w:sz w:val="18"/>
              </w:rPr>
              <w:t>of</w:t>
            </w:r>
            <w:r>
              <w:rPr>
                <w:spacing w:val="-4"/>
                <w:sz w:val="18"/>
              </w:rPr>
              <w:t xml:space="preserve"> </w:t>
            </w:r>
            <w:r>
              <w:rPr>
                <w:sz w:val="18"/>
              </w:rPr>
              <w:t>RAP</w:t>
            </w:r>
            <w:r>
              <w:rPr>
                <w:spacing w:val="-4"/>
                <w:sz w:val="18"/>
              </w:rPr>
              <w:t xml:space="preserve"> </w:t>
            </w:r>
            <w:r>
              <w:rPr>
                <w:sz w:val="18"/>
              </w:rPr>
              <w:t>and</w:t>
            </w:r>
            <w:r>
              <w:rPr>
                <w:spacing w:val="-3"/>
                <w:sz w:val="18"/>
              </w:rPr>
              <w:t xml:space="preserve"> </w:t>
            </w:r>
            <w:r>
              <w:rPr>
                <w:sz w:val="18"/>
              </w:rPr>
              <w:t>reporting</w:t>
            </w:r>
            <w:r>
              <w:rPr>
                <w:spacing w:val="-4"/>
                <w:sz w:val="18"/>
              </w:rPr>
              <w:t xml:space="preserve"> </w:t>
            </w:r>
            <w:r>
              <w:rPr>
                <w:sz w:val="18"/>
              </w:rPr>
              <w:t>requirements</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disbursement</w:t>
            </w:r>
            <w:r>
              <w:rPr>
                <w:spacing w:val="-2"/>
                <w:sz w:val="18"/>
              </w:rPr>
              <w:t xml:space="preserve"> </w:t>
            </w:r>
            <w:r>
              <w:rPr>
                <w:sz w:val="18"/>
              </w:rPr>
              <w:t>of</w:t>
            </w:r>
            <w:r>
              <w:rPr>
                <w:spacing w:val="-4"/>
                <w:sz w:val="18"/>
              </w:rPr>
              <w:t xml:space="preserve"> </w:t>
            </w:r>
            <w:r>
              <w:rPr>
                <w:sz w:val="18"/>
              </w:rPr>
              <w:t>Aceh</w:t>
            </w:r>
            <w:r>
              <w:rPr>
                <w:spacing w:val="-3"/>
                <w:sz w:val="18"/>
              </w:rPr>
              <w:t xml:space="preserve"> </w:t>
            </w:r>
            <w:r>
              <w:rPr>
                <w:sz w:val="18"/>
              </w:rPr>
              <w:t>Otsus</w:t>
            </w:r>
            <w:r>
              <w:rPr>
                <w:spacing w:val="-3"/>
                <w:sz w:val="18"/>
              </w:rPr>
              <w:t xml:space="preserve"> </w:t>
            </w:r>
            <w:r>
              <w:rPr>
                <w:sz w:val="18"/>
              </w:rPr>
              <w:t>funds</w:t>
            </w:r>
            <w:r>
              <w:rPr>
                <w:spacing w:val="-3"/>
                <w:sz w:val="18"/>
              </w:rPr>
              <w:t xml:space="preserve"> </w:t>
            </w:r>
            <w:r>
              <w:rPr>
                <w:sz w:val="18"/>
              </w:rPr>
              <w:t>for</w:t>
            </w:r>
            <w:r>
              <w:rPr>
                <w:spacing w:val="-3"/>
                <w:sz w:val="18"/>
              </w:rPr>
              <w:t xml:space="preserve"> </w:t>
            </w:r>
            <w:r>
              <w:rPr>
                <w:sz w:val="18"/>
              </w:rPr>
              <w:t>FY 2025, organised independently by the Aceh Financial Management Agency together with DPJK.</w:t>
            </w:r>
          </w:p>
          <w:p w14:paraId="4082A573" w14:textId="77777777" w:rsidR="00BC24A8" w:rsidRDefault="00000000">
            <w:pPr>
              <w:pStyle w:val="TableParagraph"/>
              <w:numPr>
                <w:ilvl w:val="0"/>
                <w:numId w:val="138"/>
              </w:numPr>
              <w:tabs>
                <w:tab w:val="left" w:pos="452"/>
              </w:tabs>
              <w:ind w:right="304"/>
              <w:rPr>
                <w:sz w:val="18"/>
              </w:rPr>
            </w:pPr>
            <w:r>
              <w:rPr>
                <w:sz w:val="18"/>
              </w:rPr>
              <w:t>A total of 45 civil servants (12 male, 33 female) from internal government auditors (APIP), provincial</w:t>
            </w:r>
            <w:r>
              <w:rPr>
                <w:spacing w:val="-3"/>
                <w:sz w:val="18"/>
              </w:rPr>
              <w:t xml:space="preserve"> </w:t>
            </w:r>
            <w:r>
              <w:rPr>
                <w:sz w:val="18"/>
              </w:rPr>
              <w:t>and</w:t>
            </w:r>
            <w:r>
              <w:rPr>
                <w:spacing w:val="-4"/>
                <w:sz w:val="18"/>
              </w:rPr>
              <w:t xml:space="preserve"> </w:t>
            </w:r>
            <w:r>
              <w:rPr>
                <w:sz w:val="18"/>
              </w:rPr>
              <w:t>district/city</w:t>
            </w:r>
            <w:r>
              <w:rPr>
                <w:spacing w:val="-4"/>
                <w:sz w:val="18"/>
              </w:rPr>
              <w:t xml:space="preserve"> </w:t>
            </w:r>
            <w:r>
              <w:rPr>
                <w:sz w:val="18"/>
              </w:rPr>
              <w:t>inspectorates,</w:t>
            </w:r>
            <w:r>
              <w:rPr>
                <w:spacing w:val="-5"/>
                <w:sz w:val="18"/>
              </w:rPr>
              <w:t xml:space="preserve"> </w:t>
            </w:r>
            <w:r>
              <w:rPr>
                <w:sz w:val="18"/>
              </w:rPr>
              <w:t>Bappeda,</w:t>
            </w:r>
            <w:r>
              <w:rPr>
                <w:spacing w:val="-5"/>
                <w:sz w:val="18"/>
              </w:rPr>
              <w:t xml:space="preserve"> </w:t>
            </w:r>
            <w:r>
              <w:rPr>
                <w:sz w:val="18"/>
              </w:rPr>
              <w:t>DP3A,</w:t>
            </w:r>
            <w:r>
              <w:rPr>
                <w:spacing w:val="-5"/>
                <w:sz w:val="18"/>
              </w:rPr>
              <w:t xml:space="preserve"> </w:t>
            </w:r>
            <w:r>
              <w:rPr>
                <w:sz w:val="18"/>
              </w:rPr>
              <w:t>and</w:t>
            </w:r>
            <w:r>
              <w:rPr>
                <w:spacing w:val="-4"/>
                <w:sz w:val="18"/>
              </w:rPr>
              <w:t xml:space="preserve"> </w:t>
            </w:r>
            <w:r>
              <w:rPr>
                <w:sz w:val="18"/>
              </w:rPr>
              <w:t>universities</w:t>
            </w:r>
            <w:r>
              <w:rPr>
                <w:spacing w:val="-4"/>
                <w:sz w:val="18"/>
              </w:rPr>
              <w:t xml:space="preserve"> </w:t>
            </w:r>
            <w:r>
              <w:rPr>
                <w:sz w:val="18"/>
              </w:rPr>
              <w:t>have</w:t>
            </w:r>
            <w:r>
              <w:rPr>
                <w:spacing w:val="-4"/>
                <w:sz w:val="18"/>
              </w:rPr>
              <w:t xml:space="preserve"> </w:t>
            </w:r>
            <w:r>
              <w:rPr>
                <w:sz w:val="18"/>
              </w:rPr>
              <w:t>received</w:t>
            </w:r>
            <w:r>
              <w:rPr>
                <w:spacing w:val="-4"/>
                <w:sz w:val="18"/>
              </w:rPr>
              <w:t xml:space="preserve"> </w:t>
            </w:r>
            <w:r>
              <w:rPr>
                <w:sz w:val="18"/>
              </w:rPr>
              <w:t>capacity building on Gender-Responsive and Disability-Inclusive Planning (PPRG).</w:t>
            </w:r>
          </w:p>
          <w:p w14:paraId="6F11FFDF" w14:textId="77777777" w:rsidR="00BC24A8" w:rsidRDefault="00000000">
            <w:pPr>
              <w:pStyle w:val="TableParagraph"/>
              <w:numPr>
                <w:ilvl w:val="0"/>
                <w:numId w:val="138"/>
              </w:numPr>
              <w:tabs>
                <w:tab w:val="left" w:pos="452"/>
              </w:tabs>
              <w:ind w:right="285"/>
              <w:rPr>
                <w:sz w:val="18"/>
              </w:rPr>
            </w:pPr>
            <w:r>
              <w:rPr>
                <w:sz w:val="18"/>
              </w:rPr>
              <w:t>Forty-nine</w:t>
            </w:r>
            <w:r>
              <w:rPr>
                <w:spacing w:val="-6"/>
                <w:sz w:val="18"/>
              </w:rPr>
              <w:t xml:space="preserve"> </w:t>
            </w:r>
            <w:r>
              <w:rPr>
                <w:sz w:val="18"/>
              </w:rPr>
              <w:t>trainers</w:t>
            </w:r>
            <w:r>
              <w:rPr>
                <w:spacing w:val="-3"/>
                <w:sz w:val="18"/>
              </w:rPr>
              <w:t xml:space="preserve"> </w:t>
            </w:r>
            <w:r>
              <w:rPr>
                <w:sz w:val="18"/>
              </w:rPr>
              <w:t>from</w:t>
            </w:r>
            <w:r>
              <w:rPr>
                <w:spacing w:val="-4"/>
                <w:sz w:val="18"/>
              </w:rPr>
              <w:t xml:space="preserve"> </w:t>
            </w:r>
            <w:r>
              <w:rPr>
                <w:sz w:val="18"/>
              </w:rPr>
              <w:t>eight</w:t>
            </w:r>
            <w:r>
              <w:rPr>
                <w:spacing w:val="-2"/>
                <w:sz w:val="18"/>
              </w:rPr>
              <w:t xml:space="preserve"> </w:t>
            </w:r>
            <w:r>
              <w:rPr>
                <w:sz w:val="18"/>
              </w:rPr>
              <w:t>districts/cities</w:t>
            </w:r>
            <w:r>
              <w:rPr>
                <w:spacing w:val="-3"/>
                <w:sz w:val="18"/>
              </w:rPr>
              <w:t xml:space="preserve"> </w:t>
            </w:r>
            <w:r>
              <w:rPr>
                <w:sz w:val="18"/>
              </w:rPr>
              <w:t>have</w:t>
            </w:r>
            <w:r>
              <w:rPr>
                <w:spacing w:val="-3"/>
                <w:sz w:val="18"/>
              </w:rPr>
              <w:t xml:space="preserve"> </w:t>
            </w:r>
            <w:r>
              <w:rPr>
                <w:sz w:val="18"/>
              </w:rPr>
              <w:t>been</w:t>
            </w:r>
            <w:r>
              <w:rPr>
                <w:spacing w:val="-3"/>
                <w:sz w:val="18"/>
              </w:rPr>
              <w:t xml:space="preserve"> </w:t>
            </w:r>
            <w:r>
              <w:rPr>
                <w:sz w:val="18"/>
              </w:rPr>
              <w:t>trained</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use</w:t>
            </w:r>
            <w:r>
              <w:rPr>
                <w:spacing w:val="-3"/>
                <w:sz w:val="18"/>
              </w:rPr>
              <w:t xml:space="preserve"> </w:t>
            </w:r>
            <w:r>
              <w:rPr>
                <w:sz w:val="18"/>
              </w:rPr>
              <w:t>of</w:t>
            </w:r>
            <w:r>
              <w:rPr>
                <w:spacing w:val="-4"/>
                <w:sz w:val="18"/>
              </w:rPr>
              <w:t xml:space="preserve"> </w:t>
            </w:r>
            <w:r>
              <w:rPr>
                <w:sz w:val="18"/>
              </w:rPr>
              <w:t>REGSOSEK</w:t>
            </w:r>
            <w:r>
              <w:rPr>
                <w:spacing w:val="-3"/>
                <w:sz w:val="18"/>
              </w:rPr>
              <w:t xml:space="preserve"> </w:t>
            </w:r>
            <w:r>
              <w:rPr>
                <w:sz w:val="18"/>
              </w:rPr>
              <w:t>data</w:t>
            </w:r>
            <w:r>
              <w:rPr>
                <w:spacing w:val="-4"/>
                <w:sz w:val="18"/>
              </w:rPr>
              <w:t xml:space="preserve"> </w:t>
            </w:r>
            <w:r>
              <w:rPr>
                <w:sz w:val="18"/>
              </w:rPr>
              <w:t>and facilitated to obtain access rights.</w:t>
            </w:r>
          </w:p>
        </w:tc>
      </w:tr>
      <w:tr w:rsidR="00BC24A8" w14:paraId="131B44A8" w14:textId="77777777">
        <w:trPr>
          <w:trHeight w:val="6234"/>
        </w:trPr>
        <w:tc>
          <w:tcPr>
            <w:tcW w:w="1343" w:type="dxa"/>
            <w:tcBorders>
              <w:top w:val="single" w:sz="4" w:space="0" w:color="BEBEBE"/>
              <w:bottom w:val="single" w:sz="4" w:space="0" w:color="BEBEBE"/>
            </w:tcBorders>
          </w:tcPr>
          <w:p w14:paraId="1AFF2AC5" w14:textId="77777777" w:rsidR="00BC24A8" w:rsidRDefault="00000000">
            <w:pPr>
              <w:pStyle w:val="TableParagraph"/>
              <w:spacing w:before="61"/>
              <w:ind w:left="115"/>
              <w:rPr>
                <w:sz w:val="18"/>
              </w:rPr>
            </w:pPr>
            <w:r>
              <w:rPr>
                <w:spacing w:val="-2"/>
                <w:sz w:val="18"/>
              </w:rPr>
              <w:t>Ecosystemic</w:t>
            </w:r>
            <w:r>
              <w:rPr>
                <w:sz w:val="18"/>
              </w:rPr>
              <w:t xml:space="preserve"> </w:t>
            </w:r>
            <w:r>
              <w:rPr>
                <w:spacing w:val="-2"/>
                <w:sz w:val="18"/>
              </w:rPr>
              <w:t>Impact</w:t>
            </w:r>
          </w:p>
        </w:tc>
        <w:tc>
          <w:tcPr>
            <w:tcW w:w="7756" w:type="dxa"/>
            <w:tcBorders>
              <w:top w:val="single" w:sz="4" w:space="0" w:color="BEBEBE"/>
              <w:bottom w:val="single" w:sz="4" w:space="0" w:color="BEBEBE"/>
            </w:tcBorders>
          </w:tcPr>
          <w:p w14:paraId="4A189A70" w14:textId="77777777" w:rsidR="00BC24A8" w:rsidRDefault="00000000">
            <w:pPr>
              <w:pStyle w:val="TableParagraph"/>
              <w:spacing w:before="63"/>
              <w:ind w:left="121"/>
              <w:rPr>
                <w:rFonts w:ascii="Calibri"/>
                <w:b/>
                <w:sz w:val="18"/>
              </w:rPr>
            </w:pPr>
            <w:r>
              <w:rPr>
                <w:rFonts w:ascii="Calibri"/>
                <w:b/>
                <w:sz w:val="18"/>
              </w:rPr>
              <w:t>Policies</w:t>
            </w:r>
            <w:r>
              <w:rPr>
                <w:rFonts w:ascii="Calibri"/>
                <w:b/>
                <w:spacing w:val="-5"/>
                <w:sz w:val="18"/>
              </w:rPr>
              <w:t xml:space="preserve"> </w:t>
            </w:r>
            <w:r>
              <w:rPr>
                <w:rFonts w:ascii="Calibri"/>
                <w:b/>
                <w:sz w:val="18"/>
              </w:rPr>
              <w:t>and</w:t>
            </w:r>
            <w:r>
              <w:rPr>
                <w:rFonts w:ascii="Calibri"/>
                <w:b/>
                <w:spacing w:val="-4"/>
                <w:sz w:val="18"/>
              </w:rPr>
              <w:t xml:space="preserve"> </w:t>
            </w:r>
            <w:r>
              <w:rPr>
                <w:rFonts w:ascii="Calibri"/>
                <w:b/>
                <w:spacing w:val="-2"/>
                <w:sz w:val="18"/>
              </w:rPr>
              <w:t>regulations:</w:t>
            </w:r>
          </w:p>
          <w:p w14:paraId="2CE9907B" w14:textId="77777777" w:rsidR="00BC24A8" w:rsidRDefault="00000000">
            <w:pPr>
              <w:pStyle w:val="TableParagraph"/>
              <w:numPr>
                <w:ilvl w:val="0"/>
                <w:numId w:val="137"/>
              </w:numPr>
              <w:tabs>
                <w:tab w:val="left" w:pos="452"/>
              </w:tabs>
              <w:spacing w:before="59" w:line="219" w:lineRule="exact"/>
              <w:rPr>
                <w:sz w:val="18"/>
              </w:rPr>
            </w:pPr>
            <w:r>
              <w:rPr>
                <w:sz w:val="18"/>
              </w:rPr>
              <w:t>Governor</w:t>
            </w:r>
            <w:r>
              <w:rPr>
                <w:spacing w:val="-5"/>
                <w:sz w:val="18"/>
              </w:rPr>
              <w:t xml:space="preserve"> </w:t>
            </w:r>
            <w:r>
              <w:rPr>
                <w:sz w:val="18"/>
              </w:rPr>
              <w:t>Decree</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Drafting</w:t>
            </w:r>
            <w:r>
              <w:rPr>
                <w:spacing w:val="-5"/>
                <w:sz w:val="18"/>
              </w:rPr>
              <w:t xml:space="preserve"> </w:t>
            </w:r>
            <w:r>
              <w:rPr>
                <w:sz w:val="18"/>
              </w:rPr>
              <w:t>Team</w:t>
            </w:r>
            <w:r>
              <w:rPr>
                <w:spacing w:val="-3"/>
                <w:sz w:val="18"/>
              </w:rPr>
              <w:t xml:space="preserve"> </w:t>
            </w:r>
            <w:r>
              <w:rPr>
                <w:sz w:val="18"/>
              </w:rPr>
              <w:t>for</w:t>
            </w:r>
            <w:r>
              <w:rPr>
                <w:spacing w:val="-3"/>
                <w:sz w:val="18"/>
              </w:rPr>
              <w:t xml:space="preserve"> </w:t>
            </w:r>
            <w:r>
              <w:rPr>
                <w:sz w:val="18"/>
              </w:rPr>
              <w:t>the</w:t>
            </w:r>
            <w:r>
              <w:rPr>
                <w:spacing w:val="-2"/>
                <w:sz w:val="18"/>
              </w:rPr>
              <w:t xml:space="preserve"> </w:t>
            </w:r>
            <w:r>
              <w:rPr>
                <w:sz w:val="18"/>
              </w:rPr>
              <w:t>Governor</w:t>
            </w:r>
            <w:r>
              <w:rPr>
                <w:spacing w:val="-2"/>
                <w:sz w:val="18"/>
              </w:rPr>
              <w:t xml:space="preserve"> </w:t>
            </w:r>
            <w:r>
              <w:rPr>
                <w:sz w:val="18"/>
              </w:rPr>
              <w:t>Regulation</w:t>
            </w:r>
            <w:r>
              <w:rPr>
                <w:spacing w:val="-2"/>
                <w:sz w:val="18"/>
              </w:rPr>
              <w:t xml:space="preserve"> </w:t>
            </w:r>
            <w:r>
              <w:rPr>
                <w:sz w:val="18"/>
              </w:rPr>
              <w:t>on</w:t>
            </w:r>
            <w:r>
              <w:rPr>
                <w:spacing w:val="-2"/>
                <w:sz w:val="18"/>
              </w:rPr>
              <w:t xml:space="preserve"> </w:t>
            </w:r>
            <w:r>
              <w:rPr>
                <w:sz w:val="18"/>
              </w:rPr>
              <w:t>Interoperability</w:t>
            </w:r>
            <w:r>
              <w:rPr>
                <w:spacing w:val="-3"/>
                <w:sz w:val="18"/>
              </w:rPr>
              <w:t xml:space="preserve"> </w:t>
            </w:r>
            <w:r>
              <w:rPr>
                <w:spacing w:val="-2"/>
                <w:sz w:val="18"/>
              </w:rPr>
              <w:t>Guidelines.</w:t>
            </w:r>
          </w:p>
          <w:p w14:paraId="175897B4" w14:textId="77777777" w:rsidR="00BC24A8" w:rsidRDefault="00000000">
            <w:pPr>
              <w:pStyle w:val="TableParagraph"/>
              <w:numPr>
                <w:ilvl w:val="0"/>
                <w:numId w:val="137"/>
              </w:numPr>
              <w:tabs>
                <w:tab w:val="left" w:pos="452"/>
              </w:tabs>
              <w:spacing w:line="219" w:lineRule="exact"/>
              <w:rPr>
                <w:sz w:val="18"/>
              </w:rPr>
            </w:pPr>
            <w:r>
              <w:rPr>
                <w:sz w:val="18"/>
              </w:rPr>
              <w:t>Draft</w:t>
            </w:r>
            <w:r>
              <w:rPr>
                <w:spacing w:val="-2"/>
                <w:sz w:val="18"/>
              </w:rPr>
              <w:t xml:space="preserve"> </w:t>
            </w:r>
            <w:r>
              <w:rPr>
                <w:sz w:val="18"/>
              </w:rPr>
              <w:t>Governor</w:t>
            </w:r>
            <w:r>
              <w:rPr>
                <w:spacing w:val="-2"/>
                <w:sz w:val="18"/>
              </w:rPr>
              <w:t xml:space="preserve"> </w:t>
            </w:r>
            <w:r>
              <w:rPr>
                <w:sz w:val="18"/>
              </w:rPr>
              <w:t>Regulation</w:t>
            </w:r>
            <w:r>
              <w:rPr>
                <w:spacing w:val="-2"/>
                <w:sz w:val="18"/>
              </w:rPr>
              <w:t xml:space="preserve"> </w:t>
            </w:r>
            <w:r>
              <w:rPr>
                <w:sz w:val="18"/>
              </w:rPr>
              <w:t>on</w:t>
            </w:r>
            <w:r>
              <w:rPr>
                <w:spacing w:val="-2"/>
                <w:sz w:val="18"/>
              </w:rPr>
              <w:t xml:space="preserve"> </w:t>
            </w:r>
            <w:r>
              <w:rPr>
                <w:sz w:val="18"/>
              </w:rPr>
              <w:t>data</w:t>
            </w:r>
            <w:r>
              <w:rPr>
                <w:spacing w:val="-3"/>
                <w:sz w:val="18"/>
              </w:rPr>
              <w:t xml:space="preserve"> </w:t>
            </w:r>
            <w:r>
              <w:rPr>
                <w:spacing w:val="-2"/>
                <w:sz w:val="18"/>
              </w:rPr>
              <w:t>interoperability.</w:t>
            </w:r>
          </w:p>
          <w:p w14:paraId="3CC07FC6" w14:textId="77777777" w:rsidR="00BC24A8" w:rsidRDefault="00000000">
            <w:pPr>
              <w:pStyle w:val="TableParagraph"/>
              <w:numPr>
                <w:ilvl w:val="0"/>
                <w:numId w:val="137"/>
              </w:numPr>
              <w:tabs>
                <w:tab w:val="left" w:pos="452"/>
              </w:tabs>
              <w:spacing w:before="1" w:line="219" w:lineRule="exact"/>
              <w:rPr>
                <w:sz w:val="18"/>
              </w:rPr>
            </w:pPr>
            <w:r>
              <w:rPr>
                <w:sz w:val="18"/>
              </w:rPr>
              <w:t>Draft</w:t>
            </w:r>
            <w:r>
              <w:rPr>
                <w:spacing w:val="-1"/>
                <w:sz w:val="18"/>
              </w:rPr>
              <w:t xml:space="preserve"> </w:t>
            </w:r>
            <w:r>
              <w:rPr>
                <w:sz w:val="18"/>
              </w:rPr>
              <w:t>Governor</w:t>
            </w:r>
            <w:r>
              <w:rPr>
                <w:spacing w:val="-1"/>
                <w:sz w:val="18"/>
              </w:rPr>
              <w:t xml:space="preserve"> </w:t>
            </w:r>
            <w:r>
              <w:rPr>
                <w:sz w:val="18"/>
              </w:rPr>
              <w:t>Regulation</w:t>
            </w:r>
            <w:r>
              <w:rPr>
                <w:spacing w:val="-2"/>
                <w:sz w:val="18"/>
              </w:rPr>
              <w:t xml:space="preserve"> </w:t>
            </w:r>
            <w:r>
              <w:rPr>
                <w:sz w:val="18"/>
              </w:rPr>
              <w:t>for</w:t>
            </w:r>
            <w:r>
              <w:rPr>
                <w:spacing w:val="-1"/>
                <w:sz w:val="18"/>
              </w:rPr>
              <w:t xml:space="preserve"> </w:t>
            </w:r>
            <w:r>
              <w:rPr>
                <w:sz w:val="18"/>
              </w:rPr>
              <w:t>the</w:t>
            </w:r>
            <w:r>
              <w:rPr>
                <w:spacing w:val="-4"/>
                <w:sz w:val="18"/>
              </w:rPr>
              <w:t xml:space="preserve"> </w:t>
            </w:r>
            <w:r>
              <w:rPr>
                <w:sz w:val="18"/>
              </w:rPr>
              <w:t>Aceh</w:t>
            </w:r>
            <w:r>
              <w:rPr>
                <w:spacing w:val="-2"/>
                <w:sz w:val="18"/>
              </w:rPr>
              <w:t xml:space="preserve"> </w:t>
            </w:r>
            <w:r>
              <w:rPr>
                <w:sz w:val="18"/>
              </w:rPr>
              <w:t>One</w:t>
            </w:r>
            <w:r>
              <w:rPr>
                <w:spacing w:val="-1"/>
                <w:sz w:val="18"/>
              </w:rPr>
              <w:t xml:space="preserve"> </w:t>
            </w:r>
            <w:r>
              <w:rPr>
                <w:sz w:val="18"/>
              </w:rPr>
              <w:t>Data</w:t>
            </w:r>
            <w:r>
              <w:rPr>
                <w:spacing w:val="-3"/>
                <w:sz w:val="18"/>
              </w:rPr>
              <w:t xml:space="preserve"> </w:t>
            </w:r>
            <w:r>
              <w:rPr>
                <w:sz w:val="18"/>
              </w:rPr>
              <w:t>Action</w:t>
            </w:r>
            <w:r>
              <w:rPr>
                <w:spacing w:val="-1"/>
                <w:sz w:val="18"/>
              </w:rPr>
              <w:t xml:space="preserve"> </w:t>
            </w:r>
            <w:r>
              <w:rPr>
                <w:sz w:val="18"/>
              </w:rPr>
              <w:t>Plan</w:t>
            </w:r>
            <w:r>
              <w:rPr>
                <w:spacing w:val="-1"/>
                <w:sz w:val="18"/>
              </w:rPr>
              <w:t xml:space="preserve"> </w:t>
            </w:r>
            <w:r>
              <w:rPr>
                <w:spacing w:val="-2"/>
                <w:sz w:val="18"/>
              </w:rPr>
              <w:t>2025–2029.</w:t>
            </w:r>
          </w:p>
          <w:p w14:paraId="3FF2AF4A" w14:textId="77777777" w:rsidR="00BC24A8" w:rsidRDefault="00000000">
            <w:pPr>
              <w:pStyle w:val="TableParagraph"/>
              <w:numPr>
                <w:ilvl w:val="0"/>
                <w:numId w:val="137"/>
              </w:numPr>
              <w:tabs>
                <w:tab w:val="left" w:pos="452"/>
              </w:tabs>
              <w:spacing w:line="219" w:lineRule="exact"/>
              <w:rPr>
                <w:sz w:val="18"/>
              </w:rPr>
            </w:pPr>
            <w:r>
              <w:rPr>
                <w:sz w:val="18"/>
              </w:rPr>
              <w:t>Draft</w:t>
            </w:r>
            <w:r>
              <w:rPr>
                <w:spacing w:val="-1"/>
                <w:sz w:val="18"/>
              </w:rPr>
              <w:t xml:space="preserve"> </w:t>
            </w:r>
            <w:r>
              <w:rPr>
                <w:sz w:val="18"/>
              </w:rPr>
              <w:t>Governor</w:t>
            </w:r>
            <w:r>
              <w:rPr>
                <w:spacing w:val="-2"/>
                <w:sz w:val="18"/>
              </w:rPr>
              <w:t xml:space="preserve"> </w:t>
            </w:r>
            <w:r>
              <w:rPr>
                <w:sz w:val="18"/>
              </w:rPr>
              <w:t>Regulation</w:t>
            </w:r>
            <w:r>
              <w:rPr>
                <w:spacing w:val="-2"/>
                <w:sz w:val="18"/>
              </w:rPr>
              <w:t xml:space="preserve"> </w:t>
            </w:r>
            <w:r>
              <w:rPr>
                <w:sz w:val="18"/>
              </w:rPr>
              <w:t>on</w:t>
            </w:r>
            <w:r>
              <w:rPr>
                <w:spacing w:val="-2"/>
                <w:sz w:val="18"/>
              </w:rPr>
              <w:t xml:space="preserve"> </w:t>
            </w:r>
            <w:r>
              <w:rPr>
                <w:sz w:val="18"/>
              </w:rPr>
              <w:t>changes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organisation</w:t>
            </w:r>
            <w:r>
              <w:rPr>
                <w:spacing w:val="-3"/>
                <w:sz w:val="18"/>
              </w:rPr>
              <w:t xml:space="preserve"> </w:t>
            </w:r>
            <w:r>
              <w:rPr>
                <w:sz w:val="18"/>
              </w:rPr>
              <w:t>of</w:t>
            </w:r>
            <w:r>
              <w:rPr>
                <w:spacing w:val="-3"/>
                <w:sz w:val="18"/>
              </w:rPr>
              <w:t xml:space="preserve"> </w:t>
            </w:r>
            <w:r>
              <w:rPr>
                <w:sz w:val="18"/>
              </w:rPr>
              <w:t>One</w:t>
            </w:r>
            <w:r>
              <w:rPr>
                <w:spacing w:val="-2"/>
                <w:sz w:val="18"/>
              </w:rPr>
              <w:t xml:space="preserve"> </w:t>
            </w:r>
            <w:r>
              <w:rPr>
                <w:spacing w:val="-4"/>
                <w:sz w:val="18"/>
              </w:rPr>
              <w:t>Data.</w:t>
            </w:r>
          </w:p>
          <w:p w14:paraId="5C3B73FC" w14:textId="77777777" w:rsidR="00BC24A8" w:rsidRDefault="00000000">
            <w:pPr>
              <w:pStyle w:val="TableParagraph"/>
              <w:numPr>
                <w:ilvl w:val="0"/>
                <w:numId w:val="137"/>
              </w:numPr>
              <w:tabs>
                <w:tab w:val="left" w:pos="452"/>
              </w:tabs>
              <w:spacing w:before="1" w:line="219" w:lineRule="exact"/>
              <w:rPr>
                <w:sz w:val="18"/>
              </w:rPr>
            </w:pPr>
            <w:r>
              <w:rPr>
                <w:sz w:val="18"/>
              </w:rPr>
              <w:t>Ten</w:t>
            </w:r>
            <w:r>
              <w:rPr>
                <w:spacing w:val="-2"/>
                <w:sz w:val="18"/>
              </w:rPr>
              <w:t xml:space="preserve"> </w:t>
            </w:r>
            <w:r>
              <w:rPr>
                <w:sz w:val="18"/>
              </w:rPr>
              <w:t>SOPs</w:t>
            </w:r>
            <w:r>
              <w:rPr>
                <w:spacing w:val="-2"/>
                <w:sz w:val="18"/>
              </w:rPr>
              <w:t xml:space="preserve"> </w:t>
            </w:r>
            <w:r>
              <w:rPr>
                <w:sz w:val="18"/>
              </w:rPr>
              <w:t>for</w:t>
            </w:r>
            <w:r>
              <w:rPr>
                <w:spacing w:val="-1"/>
                <w:sz w:val="18"/>
              </w:rPr>
              <w:t xml:space="preserve"> </w:t>
            </w:r>
            <w:r>
              <w:rPr>
                <w:sz w:val="18"/>
              </w:rPr>
              <w:t>One</w:t>
            </w:r>
            <w:r>
              <w:rPr>
                <w:spacing w:val="-2"/>
                <w:sz w:val="18"/>
              </w:rPr>
              <w:t xml:space="preserve"> </w:t>
            </w:r>
            <w:r>
              <w:rPr>
                <w:sz w:val="18"/>
              </w:rPr>
              <w:t>Data</w:t>
            </w:r>
            <w:r>
              <w:rPr>
                <w:spacing w:val="-2"/>
                <w:sz w:val="18"/>
              </w:rPr>
              <w:t xml:space="preserve"> </w:t>
            </w:r>
            <w:r>
              <w:rPr>
                <w:sz w:val="18"/>
              </w:rPr>
              <w:t>Aceh</w:t>
            </w:r>
            <w:r>
              <w:rPr>
                <w:spacing w:val="-1"/>
                <w:sz w:val="18"/>
              </w:rPr>
              <w:t xml:space="preserve"> </w:t>
            </w:r>
            <w:r>
              <w:rPr>
                <w:spacing w:val="-2"/>
                <w:sz w:val="18"/>
              </w:rPr>
              <w:t>implementation.</w:t>
            </w:r>
          </w:p>
          <w:p w14:paraId="6FDD7D09" w14:textId="77777777" w:rsidR="00BC24A8" w:rsidRDefault="00000000">
            <w:pPr>
              <w:pStyle w:val="TableParagraph"/>
              <w:numPr>
                <w:ilvl w:val="0"/>
                <w:numId w:val="137"/>
              </w:numPr>
              <w:tabs>
                <w:tab w:val="left" w:pos="452"/>
              </w:tabs>
              <w:spacing w:line="219" w:lineRule="exact"/>
              <w:rPr>
                <w:sz w:val="18"/>
              </w:rPr>
            </w:pPr>
            <w:r>
              <w:rPr>
                <w:sz w:val="18"/>
              </w:rPr>
              <w:t>Draft</w:t>
            </w:r>
            <w:r>
              <w:rPr>
                <w:spacing w:val="-1"/>
                <w:sz w:val="18"/>
              </w:rPr>
              <w:t xml:space="preserve"> </w:t>
            </w:r>
            <w:r>
              <w:rPr>
                <w:sz w:val="18"/>
              </w:rPr>
              <w:t>data</w:t>
            </w:r>
            <w:r>
              <w:rPr>
                <w:spacing w:val="-3"/>
                <w:sz w:val="18"/>
              </w:rPr>
              <w:t xml:space="preserve"> </w:t>
            </w:r>
            <w:r>
              <w:rPr>
                <w:sz w:val="18"/>
              </w:rPr>
              <w:t>list</w:t>
            </w:r>
            <w:r>
              <w:rPr>
                <w:spacing w:val="-1"/>
                <w:sz w:val="18"/>
              </w:rPr>
              <w:t xml:space="preserve"> </w:t>
            </w:r>
            <w:r>
              <w:rPr>
                <w:sz w:val="18"/>
              </w:rPr>
              <w:t>for</w:t>
            </w:r>
            <w:r>
              <w:rPr>
                <w:spacing w:val="-2"/>
                <w:sz w:val="18"/>
              </w:rPr>
              <w:t xml:space="preserve"> </w:t>
            </w:r>
            <w:r>
              <w:rPr>
                <w:sz w:val="18"/>
              </w:rPr>
              <w:t>2025–2026</w:t>
            </w:r>
            <w:r>
              <w:rPr>
                <w:spacing w:val="-2"/>
                <w:sz w:val="18"/>
              </w:rPr>
              <w:t xml:space="preserve"> </w:t>
            </w:r>
            <w:r>
              <w:rPr>
                <w:sz w:val="18"/>
              </w:rPr>
              <w:t>covering</w:t>
            </w:r>
            <w:r>
              <w:rPr>
                <w:spacing w:val="-3"/>
                <w:sz w:val="18"/>
              </w:rPr>
              <w:t xml:space="preserve"> </w:t>
            </w:r>
            <w:r>
              <w:rPr>
                <w:sz w:val="18"/>
              </w:rPr>
              <w:t>4,366</w:t>
            </w:r>
            <w:r>
              <w:rPr>
                <w:spacing w:val="-1"/>
                <w:sz w:val="18"/>
              </w:rPr>
              <w:t xml:space="preserve"> </w:t>
            </w:r>
            <w:r>
              <w:rPr>
                <w:spacing w:val="-2"/>
                <w:sz w:val="18"/>
              </w:rPr>
              <w:t>datasets.</w:t>
            </w:r>
          </w:p>
          <w:p w14:paraId="1F12B117" w14:textId="77777777" w:rsidR="00BC24A8" w:rsidRDefault="00000000">
            <w:pPr>
              <w:pStyle w:val="TableParagraph"/>
              <w:numPr>
                <w:ilvl w:val="0"/>
                <w:numId w:val="137"/>
              </w:numPr>
              <w:tabs>
                <w:tab w:val="left" w:pos="452"/>
              </w:tabs>
              <w:spacing w:before="2"/>
              <w:rPr>
                <w:sz w:val="18"/>
              </w:rPr>
            </w:pPr>
            <w:r>
              <w:rPr>
                <w:sz w:val="18"/>
              </w:rPr>
              <w:t>Aceh</w:t>
            </w:r>
            <w:r>
              <w:rPr>
                <w:spacing w:val="-2"/>
                <w:sz w:val="18"/>
              </w:rPr>
              <w:t xml:space="preserve"> </w:t>
            </w:r>
            <w:r>
              <w:rPr>
                <w:sz w:val="18"/>
              </w:rPr>
              <w:t>Qanun</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Aceh</w:t>
            </w:r>
            <w:r>
              <w:rPr>
                <w:spacing w:val="-2"/>
                <w:sz w:val="18"/>
              </w:rPr>
              <w:t xml:space="preserve"> </w:t>
            </w:r>
            <w:r>
              <w:rPr>
                <w:sz w:val="18"/>
              </w:rPr>
              <w:t>Education</w:t>
            </w:r>
            <w:r>
              <w:rPr>
                <w:spacing w:val="-2"/>
                <w:sz w:val="18"/>
              </w:rPr>
              <w:t xml:space="preserve"> </w:t>
            </w:r>
            <w:r>
              <w:rPr>
                <w:sz w:val="18"/>
              </w:rPr>
              <w:t>Endowment</w:t>
            </w:r>
            <w:r>
              <w:rPr>
                <w:spacing w:val="-1"/>
                <w:sz w:val="18"/>
              </w:rPr>
              <w:t xml:space="preserve"> </w:t>
            </w:r>
            <w:r>
              <w:rPr>
                <w:spacing w:val="-2"/>
                <w:sz w:val="18"/>
              </w:rPr>
              <w:t>Fund.</w:t>
            </w:r>
          </w:p>
          <w:p w14:paraId="2B208BB6" w14:textId="77777777" w:rsidR="00BC24A8" w:rsidRDefault="00000000">
            <w:pPr>
              <w:pStyle w:val="TableParagraph"/>
              <w:numPr>
                <w:ilvl w:val="0"/>
                <w:numId w:val="137"/>
              </w:numPr>
              <w:tabs>
                <w:tab w:val="left" w:pos="452"/>
              </w:tabs>
              <w:spacing w:before="1"/>
              <w:ind w:right="302"/>
              <w:rPr>
                <w:sz w:val="18"/>
              </w:rPr>
            </w:pPr>
            <w:r>
              <w:rPr>
                <w:sz w:val="18"/>
              </w:rPr>
              <w:t>Aceh</w:t>
            </w:r>
            <w:r>
              <w:rPr>
                <w:spacing w:val="-4"/>
                <w:sz w:val="18"/>
              </w:rPr>
              <w:t xml:space="preserve"> </w:t>
            </w:r>
            <w:r>
              <w:rPr>
                <w:sz w:val="18"/>
              </w:rPr>
              <w:t>Electronic</w:t>
            </w:r>
            <w:r>
              <w:rPr>
                <w:spacing w:val="-4"/>
                <w:sz w:val="18"/>
              </w:rPr>
              <w:t xml:space="preserve"> </w:t>
            </w:r>
            <w:r>
              <w:rPr>
                <w:sz w:val="18"/>
              </w:rPr>
              <w:t>Revenue</w:t>
            </w:r>
            <w:r>
              <w:rPr>
                <w:spacing w:val="-4"/>
                <w:sz w:val="18"/>
              </w:rPr>
              <w:t xml:space="preserve"> </w:t>
            </w:r>
            <w:r>
              <w:rPr>
                <w:sz w:val="18"/>
              </w:rPr>
              <w:t>Information</w:t>
            </w:r>
            <w:r>
              <w:rPr>
                <w:spacing w:val="-4"/>
                <w:sz w:val="18"/>
              </w:rPr>
              <w:t xml:space="preserve"> </w:t>
            </w:r>
            <w:r>
              <w:rPr>
                <w:sz w:val="18"/>
              </w:rPr>
              <w:t>System</w:t>
            </w:r>
            <w:r>
              <w:rPr>
                <w:spacing w:val="-4"/>
                <w:sz w:val="18"/>
              </w:rPr>
              <w:t xml:space="preserve"> </w:t>
            </w:r>
            <w:r>
              <w:rPr>
                <w:sz w:val="18"/>
              </w:rPr>
              <w:t>(SYEDARA)</w:t>
            </w:r>
            <w:r>
              <w:rPr>
                <w:spacing w:val="-4"/>
                <w:sz w:val="18"/>
              </w:rPr>
              <w:t xml:space="preserve"> </w:t>
            </w:r>
            <w:r>
              <w:rPr>
                <w:sz w:val="18"/>
              </w:rPr>
              <w:t>for</w:t>
            </w:r>
            <w:r>
              <w:rPr>
                <w:spacing w:val="-4"/>
                <w:sz w:val="18"/>
              </w:rPr>
              <w:t xml:space="preserve"> </w:t>
            </w:r>
            <w:r>
              <w:rPr>
                <w:sz w:val="18"/>
              </w:rPr>
              <w:t>digitalising</w:t>
            </w:r>
            <w:r>
              <w:rPr>
                <w:spacing w:val="-4"/>
                <w:sz w:val="18"/>
              </w:rPr>
              <w:t xml:space="preserve"> </w:t>
            </w:r>
            <w:r>
              <w:rPr>
                <w:sz w:val="18"/>
              </w:rPr>
              <w:t>local</w:t>
            </w:r>
            <w:r>
              <w:rPr>
                <w:spacing w:val="-3"/>
                <w:sz w:val="18"/>
              </w:rPr>
              <w:t xml:space="preserve"> </w:t>
            </w:r>
            <w:r>
              <w:rPr>
                <w:sz w:val="18"/>
              </w:rPr>
              <w:t>revenue</w:t>
            </w:r>
            <w:r>
              <w:rPr>
                <w:spacing w:val="-4"/>
                <w:sz w:val="18"/>
              </w:rPr>
              <w:t xml:space="preserve"> </w:t>
            </w:r>
            <w:r>
              <w:rPr>
                <w:sz w:val="18"/>
              </w:rPr>
              <w:t>(PDRD)</w:t>
            </w:r>
            <w:r>
              <w:rPr>
                <w:spacing w:val="-4"/>
                <w:sz w:val="18"/>
              </w:rPr>
              <w:t xml:space="preserve"> </w:t>
            </w:r>
            <w:r>
              <w:rPr>
                <w:sz w:val="18"/>
              </w:rPr>
              <w:t>and increasing local revenue (PAD).</w:t>
            </w:r>
          </w:p>
          <w:p w14:paraId="1A9C7C1E" w14:textId="77777777" w:rsidR="00BC24A8" w:rsidRDefault="00000000">
            <w:pPr>
              <w:pStyle w:val="TableParagraph"/>
              <w:numPr>
                <w:ilvl w:val="0"/>
                <w:numId w:val="137"/>
              </w:numPr>
              <w:tabs>
                <w:tab w:val="left" w:pos="452"/>
              </w:tabs>
              <w:ind w:right="748"/>
              <w:rPr>
                <w:sz w:val="18"/>
              </w:rPr>
            </w:pPr>
            <w:r>
              <w:rPr>
                <w:sz w:val="18"/>
              </w:rPr>
              <w:t>Aceh Governor Decree No. 900.1.13.1/789/2025 establishing principal tax reduction and elimination</w:t>
            </w:r>
            <w:r>
              <w:rPr>
                <w:spacing w:val="-4"/>
                <w:sz w:val="18"/>
              </w:rPr>
              <w:t xml:space="preserve"> </w:t>
            </w:r>
            <w:r>
              <w:rPr>
                <w:sz w:val="18"/>
              </w:rPr>
              <w:t>of</w:t>
            </w:r>
            <w:r>
              <w:rPr>
                <w:spacing w:val="-4"/>
                <w:sz w:val="18"/>
              </w:rPr>
              <w:t xml:space="preserve"> </w:t>
            </w:r>
            <w:r>
              <w:rPr>
                <w:sz w:val="18"/>
              </w:rPr>
              <w:t>administrative</w:t>
            </w:r>
            <w:r>
              <w:rPr>
                <w:spacing w:val="-4"/>
                <w:sz w:val="18"/>
              </w:rPr>
              <w:t xml:space="preserve"> </w:t>
            </w:r>
            <w:r>
              <w:rPr>
                <w:sz w:val="18"/>
              </w:rPr>
              <w:t>penalties</w:t>
            </w:r>
            <w:r>
              <w:rPr>
                <w:spacing w:val="-4"/>
                <w:sz w:val="18"/>
              </w:rPr>
              <w:t xml:space="preserve"> </w:t>
            </w:r>
            <w:r>
              <w:rPr>
                <w:sz w:val="18"/>
              </w:rPr>
              <w:t>for</w:t>
            </w:r>
            <w:r>
              <w:rPr>
                <w:spacing w:val="-4"/>
                <w:sz w:val="18"/>
              </w:rPr>
              <w:t xml:space="preserve"> </w:t>
            </w:r>
            <w:r>
              <w:rPr>
                <w:sz w:val="18"/>
              </w:rPr>
              <w:t>motor</w:t>
            </w:r>
            <w:r>
              <w:rPr>
                <w:spacing w:val="-4"/>
                <w:sz w:val="18"/>
              </w:rPr>
              <w:t xml:space="preserve"> </w:t>
            </w:r>
            <w:r>
              <w:rPr>
                <w:sz w:val="18"/>
              </w:rPr>
              <w:t>vehicle</w:t>
            </w:r>
            <w:r>
              <w:rPr>
                <w:spacing w:val="-4"/>
                <w:sz w:val="18"/>
              </w:rPr>
              <w:t xml:space="preserve"> </w:t>
            </w:r>
            <w:r>
              <w:rPr>
                <w:sz w:val="18"/>
              </w:rPr>
              <w:t>taxes</w:t>
            </w:r>
            <w:r>
              <w:rPr>
                <w:spacing w:val="-4"/>
                <w:sz w:val="18"/>
              </w:rPr>
              <w:t xml:space="preserve"> </w:t>
            </w:r>
            <w:r>
              <w:rPr>
                <w:sz w:val="18"/>
              </w:rPr>
              <w:t>for</w:t>
            </w:r>
            <w:r>
              <w:rPr>
                <w:spacing w:val="-4"/>
                <w:sz w:val="18"/>
              </w:rPr>
              <w:t xml:space="preserve"> </w:t>
            </w:r>
            <w:r>
              <w:rPr>
                <w:sz w:val="18"/>
              </w:rPr>
              <w:t>persons</w:t>
            </w:r>
            <w:r>
              <w:rPr>
                <w:spacing w:val="-4"/>
                <w:sz w:val="18"/>
              </w:rPr>
              <w:t xml:space="preserve"> </w:t>
            </w:r>
            <w:r>
              <w:rPr>
                <w:sz w:val="18"/>
              </w:rPr>
              <w:t>with</w:t>
            </w:r>
            <w:r>
              <w:rPr>
                <w:spacing w:val="-4"/>
                <w:sz w:val="18"/>
              </w:rPr>
              <w:t xml:space="preserve"> </w:t>
            </w:r>
            <w:r>
              <w:rPr>
                <w:sz w:val="18"/>
              </w:rPr>
              <w:t>disabilities.</w:t>
            </w:r>
          </w:p>
          <w:p w14:paraId="00524AD1" w14:textId="77777777" w:rsidR="00BC24A8" w:rsidRDefault="00000000">
            <w:pPr>
              <w:pStyle w:val="TableParagraph"/>
              <w:numPr>
                <w:ilvl w:val="0"/>
                <w:numId w:val="137"/>
              </w:numPr>
              <w:tabs>
                <w:tab w:val="left" w:pos="452"/>
              </w:tabs>
              <w:spacing w:line="219" w:lineRule="exact"/>
              <w:rPr>
                <w:sz w:val="18"/>
              </w:rPr>
            </w:pPr>
            <w:r>
              <w:rPr>
                <w:sz w:val="18"/>
              </w:rPr>
              <w:t>Draft</w:t>
            </w:r>
            <w:r>
              <w:rPr>
                <w:spacing w:val="-2"/>
                <w:sz w:val="18"/>
              </w:rPr>
              <w:t xml:space="preserve"> </w:t>
            </w:r>
            <w:r>
              <w:rPr>
                <w:sz w:val="18"/>
              </w:rPr>
              <w:t>Aceh</w:t>
            </w:r>
            <w:r>
              <w:rPr>
                <w:spacing w:val="-2"/>
                <w:sz w:val="18"/>
              </w:rPr>
              <w:t xml:space="preserve"> </w:t>
            </w:r>
            <w:r>
              <w:rPr>
                <w:sz w:val="18"/>
              </w:rPr>
              <w:t>RPJMD</w:t>
            </w:r>
            <w:r>
              <w:rPr>
                <w:spacing w:val="-1"/>
                <w:sz w:val="18"/>
              </w:rPr>
              <w:t xml:space="preserve"> </w:t>
            </w:r>
            <w:r>
              <w:rPr>
                <w:sz w:val="18"/>
              </w:rPr>
              <w:t>2025–2029</w:t>
            </w:r>
            <w:r>
              <w:rPr>
                <w:spacing w:val="-2"/>
                <w:sz w:val="18"/>
              </w:rPr>
              <w:t xml:space="preserve"> </w:t>
            </w:r>
            <w:r>
              <w:rPr>
                <w:sz w:val="18"/>
              </w:rPr>
              <w:t>including</w:t>
            </w:r>
            <w:r>
              <w:rPr>
                <w:spacing w:val="-3"/>
                <w:sz w:val="18"/>
              </w:rPr>
              <w:t xml:space="preserve"> </w:t>
            </w:r>
            <w:r>
              <w:rPr>
                <w:sz w:val="18"/>
              </w:rPr>
              <w:t>MSS</w:t>
            </w:r>
            <w:r>
              <w:rPr>
                <w:spacing w:val="-2"/>
                <w:sz w:val="18"/>
              </w:rPr>
              <w:t xml:space="preserve"> indicators.</w:t>
            </w:r>
          </w:p>
          <w:p w14:paraId="700CE513" w14:textId="77777777" w:rsidR="00BC24A8" w:rsidRDefault="00000000">
            <w:pPr>
              <w:pStyle w:val="TableParagraph"/>
              <w:numPr>
                <w:ilvl w:val="0"/>
                <w:numId w:val="137"/>
              </w:numPr>
              <w:tabs>
                <w:tab w:val="left" w:pos="452"/>
              </w:tabs>
              <w:spacing w:line="219" w:lineRule="exact"/>
              <w:rPr>
                <w:sz w:val="18"/>
              </w:rPr>
            </w:pPr>
            <w:r>
              <w:rPr>
                <w:sz w:val="18"/>
              </w:rPr>
              <w:t>Qanun</w:t>
            </w:r>
            <w:r>
              <w:rPr>
                <w:spacing w:val="-4"/>
                <w:sz w:val="18"/>
              </w:rPr>
              <w:t xml:space="preserve"> </w:t>
            </w:r>
            <w:r>
              <w:rPr>
                <w:sz w:val="18"/>
              </w:rPr>
              <w:t>No.</w:t>
            </w:r>
            <w:r>
              <w:rPr>
                <w:spacing w:val="-2"/>
                <w:sz w:val="18"/>
              </w:rPr>
              <w:t xml:space="preserve"> </w:t>
            </w:r>
            <w:r>
              <w:rPr>
                <w:sz w:val="18"/>
              </w:rPr>
              <w:t>4</w:t>
            </w:r>
            <w:r>
              <w:rPr>
                <w:spacing w:val="-2"/>
                <w:sz w:val="18"/>
              </w:rPr>
              <w:t xml:space="preserve"> </w:t>
            </w:r>
            <w:r>
              <w:rPr>
                <w:sz w:val="18"/>
              </w:rPr>
              <w:t>of</w:t>
            </w:r>
            <w:r>
              <w:rPr>
                <w:spacing w:val="-2"/>
                <w:sz w:val="18"/>
              </w:rPr>
              <w:t xml:space="preserve"> </w:t>
            </w:r>
            <w:r>
              <w:rPr>
                <w:sz w:val="18"/>
              </w:rPr>
              <w:t>2025</w:t>
            </w:r>
            <w:r>
              <w:rPr>
                <w:spacing w:val="-2"/>
                <w:sz w:val="18"/>
              </w:rPr>
              <w:t xml:space="preserve"> </w:t>
            </w:r>
            <w:r>
              <w:rPr>
                <w:sz w:val="18"/>
              </w:rPr>
              <w:t>on</w:t>
            </w:r>
            <w:r>
              <w:rPr>
                <w:spacing w:val="-1"/>
                <w:sz w:val="18"/>
              </w:rPr>
              <w:t xml:space="preserve"> </w:t>
            </w:r>
            <w:r>
              <w:rPr>
                <w:sz w:val="18"/>
              </w:rPr>
              <w:t>the</w:t>
            </w:r>
            <w:r>
              <w:rPr>
                <w:spacing w:val="-2"/>
                <w:sz w:val="18"/>
              </w:rPr>
              <w:t xml:space="preserve"> </w:t>
            </w:r>
            <w:r>
              <w:rPr>
                <w:sz w:val="18"/>
              </w:rPr>
              <w:t>protection</w:t>
            </w:r>
            <w:r>
              <w:rPr>
                <w:spacing w:val="-2"/>
                <w:sz w:val="18"/>
              </w:rPr>
              <w:t xml:space="preserve"> </w:t>
            </w:r>
            <w:r>
              <w:rPr>
                <w:sz w:val="18"/>
              </w:rPr>
              <w:t>of</w:t>
            </w:r>
            <w:r>
              <w:rPr>
                <w:spacing w:val="-2"/>
                <w:sz w:val="18"/>
              </w:rPr>
              <w:t xml:space="preserve"> </w:t>
            </w:r>
            <w:r>
              <w:rPr>
                <w:sz w:val="18"/>
              </w:rPr>
              <w:t>women’s</w:t>
            </w:r>
            <w:r>
              <w:rPr>
                <w:spacing w:val="-1"/>
                <w:sz w:val="18"/>
              </w:rPr>
              <w:t xml:space="preserve"> </w:t>
            </w:r>
            <w:r>
              <w:rPr>
                <w:spacing w:val="-2"/>
                <w:sz w:val="18"/>
              </w:rPr>
              <w:t>rights.</w:t>
            </w:r>
          </w:p>
          <w:p w14:paraId="39BD101A" w14:textId="77777777" w:rsidR="00BC24A8" w:rsidRDefault="00000000">
            <w:pPr>
              <w:pStyle w:val="TableParagraph"/>
              <w:numPr>
                <w:ilvl w:val="0"/>
                <w:numId w:val="137"/>
              </w:numPr>
              <w:tabs>
                <w:tab w:val="left" w:pos="452"/>
              </w:tabs>
              <w:spacing w:before="1"/>
              <w:rPr>
                <w:sz w:val="18"/>
              </w:rPr>
            </w:pPr>
            <w:r>
              <w:rPr>
                <w:sz w:val="18"/>
              </w:rPr>
              <w:t>Qanun</w:t>
            </w:r>
            <w:r>
              <w:rPr>
                <w:spacing w:val="-3"/>
                <w:sz w:val="18"/>
              </w:rPr>
              <w:t xml:space="preserve"> </w:t>
            </w:r>
            <w:r>
              <w:rPr>
                <w:sz w:val="18"/>
              </w:rPr>
              <w:t>No.</w:t>
            </w:r>
            <w:r>
              <w:rPr>
                <w:spacing w:val="-2"/>
                <w:sz w:val="18"/>
              </w:rPr>
              <w:t xml:space="preserve"> </w:t>
            </w:r>
            <w:r>
              <w:rPr>
                <w:sz w:val="18"/>
              </w:rPr>
              <w:t>2</w:t>
            </w:r>
            <w:r>
              <w:rPr>
                <w:spacing w:val="-1"/>
                <w:sz w:val="18"/>
              </w:rPr>
              <w:t xml:space="preserve"> </w:t>
            </w:r>
            <w:r>
              <w:rPr>
                <w:sz w:val="18"/>
              </w:rPr>
              <w:t>of</w:t>
            </w:r>
            <w:r>
              <w:rPr>
                <w:spacing w:val="-2"/>
                <w:sz w:val="18"/>
              </w:rPr>
              <w:t xml:space="preserve"> </w:t>
            </w:r>
            <w:r>
              <w:rPr>
                <w:sz w:val="18"/>
              </w:rPr>
              <w:t>2025</w:t>
            </w:r>
            <w:r>
              <w:rPr>
                <w:spacing w:val="-1"/>
                <w:sz w:val="18"/>
              </w:rPr>
              <w:t xml:space="preserve"> </w:t>
            </w:r>
            <w:r>
              <w:rPr>
                <w:sz w:val="18"/>
              </w:rPr>
              <w:t>on</w:t>
            </w:r>
            <w:r>
              <w:rPr>
                <w:spacing w:val="-1"/>
                <w:sz w:val="18"/>
              </w:rPr>
              <w:t xml:space="preserve"> </w:t>
            </w:r>
            <w:r>
              <w:rPr>
                <w:sz w:val="18"/>
              </w:rPr>
              <w:t>the fulfillment of</w:t>
            </w:r>
            <w:r>
              <w:rPr>
                <w:spacing w:val="-2"/>
                <w:sz w:val="18"/>
              </w:rPr>
              <w:t xml:space="preserve"> </w:t>
            </w:r>
            <w:r>
              <w:rPr>
                <w:sz w:val="18"/>
              </w:rPr>
              <w:t>rights</w:t>
            </w:r>
            <w:r>
              <w:rPr>
                <w:spacing w:val="-1"/>
                <w:sz w:val="18"/>
              </w:rPr>
              <w:t xml:space="preserve"> </w:t>
            </w:r>
            <w:r>
              <w:rPr>
                <w:sz w:val="18"/>
              </w:rPr>
              <w:t>of</w:t>
            </w:r>
            <w:r>
              <w:rPr>
                <w:spacing w:val="-2"/>
                <w:sz w:val="18"/>
              </w:rPr>
              <w:t xml:space="preserve"> </w:t>
            </w:r>
            <w:r>
              <w:rPr>
                <w:sz w:val="18"/>
              </w:rPr>
              <w:t>persons</w:t>
            </w:r>
            <w:r>
              <w:rPr>
                <w:spacing w:val="-1"/>
                <w:sz w:val="18"/>
              </w:rPr>
              <w:t xml:space="preserve"> </w:t>
            </w:r>
            <w:r>
              <w:rPr>
                <w:sz w:val="18"/>
              </w:rPr>
              <w:t xml:space="preserve">with </w:t>
            </w:r>
            <w:r>
              <w:rPr>
                <w:spacing w:val="-2"/>
                <w:sz w:val="18"/>
              </w:rPr>
              <w:t>disabilities.</w:t>
            </w:r>
          </w:p>
          <w:p w14:paraId="251F8399" w14:textId="77777777" w:rsidR="00BC24A8" w:rsidRDefault="00000000">
            <w:pPr>
              <w:pStyle w:val="TableParagraph"/>
              <w:numPr>
                <w:ilvl w:val="0"/>
                <w:numId w:val="137"/>
              </w:numPr>
              <w:tabs>
                <w:tab w:val="left" w:pos="452"/>
              </w:tabs>
              <w:spacing w:before="1"/>
              <w:rPr>
                <w:sz w:val="18"/>
              </w:rPr>
            </w:pPr>
            <w:r>
              <w:rPr>
                <w:sz w:val="18"/>
              </w:rPr>
              <w:t>Governor</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12</w:t>
            </w:r>
            <w:r>
              <w:rPr>
                <w:spacing w:val="-2"/>
                <w:sz w:val="18"/>
              </w:rPr>
              <w:t xml:space="preserve"> </w:t>
            </w:r>
            <w:r>
              <w:rPr>
                <w:sz w:val="18"/>
              </w:rPr>
              <w:t>of</w:t>
            </w:r>
            <w:r>
              <w:rPr>
                <w:spacing w:val="-3"/>
                <w:sz w:val="18"/>
              </w:rPr>
              <w:t xml:space="preserve"> </w:t>
            </w:r>
            <w:r>
              <w:rPr>
                <w:sz w:val="18"/>
              </w:rPr>
              <w:t>2025</w:t>
            </w:r>
            <w:r>
              <w:rPr>
                <w:spacing w:val="-1"/>
                <w:sz w:val="18"/>
              </w:rPr>
              <w:t xml:space="preserve"> </w:t>
            </w:r>
            <w:r>
              <w:rPr>
                <w:sz w:val="18"/>
              </w:rPr>
              <w:t>on</w:t>
            </w:r>
            <w:r>
              <w:rPr>
                <w:spacing w:val="-2"/>
                <w:sz w:val="18"/>
              </w:rPr>
              <w:t xml:space="preserve"> </w:t>
            </w:r>
            <w:r>
              <w:rPr>
                <w:sz w:val="18"/>
              </w:rPr>
              <w:t>community</w:t>
            </w:r>
            <w:r>
              <w:rPr>
                <w:spacing w:val="-1"/>
                <w:sz w:val="18"/>
              </w:rPr>
              <w:t xml:space="preserve"> </w:t>
            </w:r>
            <w:r>
              <w:rPr>
                <w:sz w:val="18"/>
              </w:rPr>
              <w:t>participation</w:t>
            </w:r>
            <w:r>
              <w:rPr>
                <w:spacing w:val="-2"/>
                <w:sz w:val="18"/>
              </w:rPr>
              <w:t xml:space="preserve"> </w:t>
            </w:r>
            <w:r>
              <w:rPr>
                <w:sz w:val="18"/>
              </w:rPr>
              <w:t>in</w:t>
            </w:r>
            <w:r>
              <w:rPr>
                <w:spacing w:val="-4"/>
                <w:sz w:val="18"/>
              </w:rPr>
              <w:t xml:space="preserve"> </w:t>
            </w:r>
            <w:r>
              <w:rPr>
                <w:spacing w:val="-2"/>
                <w:sz w:val="18"/>
              </w:rPr>
              <w:t>development.</w:t>
            </w:r>
          </w:p>
          <w:p w14:paraId="4508495E" w14:textId="77777777" w:rsidR="00BC24A8" w:rsidRDefault="00000000">
            <w:pPr>
              <w:pStyle w:val="TableParagraph"/>
              <w:spacing w:before="58"/>
              <w:ind w:left="121"/>
              <w:rPr>
                <w:rFonts w:ascii="Calibri"/>
                <w:b/>
                <w:sz w:val="18"/>
              </w:rPr>
            </w:pPr>
            <w:r>
              <w:rPr>
                <w:rFonts w:ascii="Calibri"/>
                <w:b/>
                <w:sz w:val="18"/>
              </w:rPr>
              <w:t>Collaboration</w:t>
            </w:r>
            <w:r>
              <w:rPr>
                <w:rFonts w:ascii="Calibri"/>
                <w:b/>
                <w:spacing w:val="-6"/>
                <w:sz w:val="18"/>
              </w:rPr>
              <w:t xml:space="preserve"> </w:t>
            </w:r>
            <w:r>
              <w:rPr>
                <w:rFonts w:ascii="Calibri"/>
                <w:b/>
                <w:sz w:val="18"/>
              </w:rPr>
              <w:t>and</w:t>
            </w:r>
            <w:r>
              <w:rPr>
                <w:rFonts w:ascii="Calibri"/>
                <w:b/>
                <w:spacing w:val="-4"/>
                <w:sz w:val="18"/>
              </w:rPr>
              <w:t xml:space="preserve"> </w:t>
            </w:r>
            <w:r>
              <w:rPr>
                <w:rFonts w:ascii="Calibri"/>
                <w:b/>
                <w:sz w:val="18"/>
              </w:rPr>
              <w:t>participation</w:t>
            </w:r>
            <w:r>
              <w:rPr>
                <w:rFonts w:ascii="Calibri"/>
                <w:b/>
                <w:spacing w:val="-2"/>
                <w:sz w:val="18"/>
              </w:rPr>
              <w:t xml:space="preserve"> </w:t>
            </w:r>
            <w:r>
              <w:rPr>
                <w:rFonts w:ascii="Calibri"/>
                <w:b/>
                <w:sz w:val="18"/>
              </w:rPr>
              <w:t>of</w:t>
            </w:r>
            <w:r>
              <w:rPr>
                <w:rFonts w:ascii="Calibri"/>
                <w:b/>
                <w:spacing w:val="-3"/>
                <w:sz w:val="18"/>
              </w:rPr>
              <w:t xml:space="preserve"> </w:t>
            </w:r>
            <w:r>
              <w:rPr>
                <w:rFonts w:ascii="Calibri"/>
                <w:b/>
                <w:sz w:val="18"/>
              </w:rPr>
              <w:t>various</w:t>
            </w:r>
            <w:r>
              <w:rPr>
                <w:rFonts w:ascii="Calibri"/>
                <w:b/>
                <w:spacing w:val="-4"/>
                <w:sz w:val="18"/>
              </w:rPr>
              <w:t xml:space="preserve"> </w:t>
            </w:r>
            <w:r>
              <w:rPr>
                <w:rFonts w:ascii="Calibri"/>
                <w:b/>
                <w:sz w:val="18"/>
              </w:rPr>
              <w:t>stakeholders</w:t>
            </w:r>
            <w:r>
              <w:rPr>
                <w:rFonts w:ascii="Calibri"/>
                <w:b/>
                <w:spacing w:val="-3"/>
                <w:sz w:val="18"/>
              </w:rPr>
              <w:t xml:space="preserve"> </w:t>
            </w:r>
            <w:r>
              <w:rPr>
                <w:rFonts w:ascii="Calibri"/>
                <w:b/>
                <w:sz w:val="18"/>
              </w:rPr>
              <w:t>have</w:t>
            </w:r>
            <w:r>
              <w:rPr>
                <w:rFonts w:ascii="Calibri"/>
                <w:b/>
                <w:spacing w:val="-3"/>
                <w:sz w:val="18"/>
              </w:rPr>
              <w:t xml:space="preserve"> </w:t>
            </w:r>
            <w:r>
              <w:rPr>
                <w:rFonts w:ascii="Calibri"/>
                <w:b/>
                <w:sz w:val="18"/>
              </w:rPr>
              <w:t>been</w:t>
            </w:r>
            <w:r>
              <w:rPr>
                <w:rFonts w:ascii="Calibri"/>
                <w:b/>
                <w:spacing w:val="-3"/>
                <w:sz w:val="18"/>
              </w:rPr>
              <w:t xml:space="preserve"> </w:t>
            </w:r>
            <w:r>
              <w:rPr>
                <w:rFonts w:ascii="Calibri"/>
                <w:b/>
                <w:spacing w:val="-2"/>
                <w:sz w:val="18"/>
              </w:rPr>
              <w:t>strengthened:</w:t>
            </w:r>
          </w:p>
          <w:p w14:paraId="69F36B3F" w14:textId="77777777" w:rsidR="00BC24A8" w:rsidRDefault="00000000">
            <w:pPr>
              <w:pStyle w:val="TableParagraph"/>
              <w:numPr>
                <w:ilvl w:val="0"/>
                <w:numId w:val="137"/>
              </w:numPr>
              <w:tabs>
                <w:tab w:val="left" w:pos="452"/>
              </w:tabs>
              <w:spacing w:before="62"/>
              <w:ind w:right="394"/>
              <w:rPr>
                <w:sz w:val="18"/>
              </w:rPr>
            </w:pPr>
            <w:r>
              <w:rPr>
                <w:sz w:val="18"/>
              </w:rPr>
              <w:t>The</w:t>
            </w:r>
            <w:r>
              <w:rPr>
                <w:spacing w:val="-3"/>
                <w:sz w:val="18"/>
              </w:rPr>
              <w:t xml:space="preserve"> </w:t>
            </w:r>
            <w:r>
              <w:rPr>
                <w:sz w:val="18"/>
              </w:rPr>
              <w:t>Aceh</w:t>
            </w:r>
            <w:r>
              <w:rPr>
                <w:spacing w:val="-3"/>
                <w:sz w:val="18"/>
              </w:rPr>
              <w:t xml:space="preserve"> </w:t>
            </w:r>
            <w:r>
              <w:rPr>
                <w:sz w:val="18"/>
              </w:rPr>
              <w:t>One</w:t>
            </w:r>
            <w:r>
              <w:rPr>
                <w:spacing w:val="-3"/>
                <w:sz w:val="18"/>
              </w:rPr>
              <w:t xml:space="preserve"> </w:t>
            </w:r>
            <w:r>
              <w:rPr>
                <w:sz w:val="18"/>
              </w:rPr>
              <w:t>Data</w:t>
            </w:r>
            <w:r>
              <w:rPr>
                <w:spacing w:val="-4"/>
                <w:sz w:val="18"/>
              </w:rPr>
              <w:t xml:space="preserve"> </w:t>
            </w:r>
            <w:r>
              <w:rPr>
                <w:sz w:val="18"/>
              </w:rPr>
              <w:t>Portal</w:t>
            </w:r>
            <w:r>
              <w:rPr>
                <w:spacing w:val="-2"/>
                <w:sz w:val="18"/>
              </w:rPr>
              <w:t xml:space="preserve"> </w:t>
            </w:r>
            <w:r>
              <w:rPr>
                <w:sz w:val="18"/>
              </w:rPr>
              <w:t>was</w:t>
            </w:r>
            <w:r>
              <w:rPr>
                <w:spacing w:val="-3"/>
                <w:sz w:val="18"/>
              </w:rPr>
              <w:t xml:space="preserve"> </w:t>
            </w:r>
            <w:r>
              <w:rPr>
                <w:sz w:val="18"/>
              </w:rPr>
              <w:t>officially</w:t>
            </w:r>
            <w:r>
              <w:rPr>
                <w:spacing w:val="-4"/>
                <w:sz w:val="18"/>
              </w:rPr>
              <w:t xml:space="preserve"> </w:t>
            </w:r>
            <w:r>
              <w:rPr>
                <w:sz w:val="18"/>
              </w:rPr>
              <w:t>launched,</w:t>
            </w:r>
            <w:r>
              <w:rPr>
                <w:spacing w:val="-4"/>
                <w:sz w:val="18"/>
              </w:rPr>
              <w:t xml:space="preserve"> </w:t>
            </w:r>
            <w:r>
              <w:rPr>
                <w:sz w:val="18"/>
              </w:rPr>
              <w:t>providing</w:t>
            </w:r>
            <w:r>
              <w:rPr>
                <w:spacing w:val="-4"/>
                <w:sz w:val="18"/>
              </w:rPr>
              <w:t xml:space="preserve"> </w:t>
            </w:r>
            <w:r>
              <w:rPr>
                <w:sz w:val="18"/>
              </w:rPr>
              <w:t>3,298</w:t>
            </w:r>
            <w:r>
              <w:rPr>
                <w:spacing w:val="-3"/>
                <w:sz w:val="18"/>
              </w:rPr>
              <w:t xml:space="preserve"> </w:t>
            </w:r>
            <w:r>
              <w:rPr>
                <w:sz w:val="18"/>
              </w:rPr>
              <w:t>sectoral</w:t>
            </w:r>
            <w:r>
              <w:rPr>
                <w:spacing w:val="-2"/>
                <w:sz w:val="18"/>
              </w:rPr>
              <w:t xml:space="preserve"> </w:t>
            </w:r>
            <w:r>
              <w:rPr>
                <w:sz w:val="18"/>
              </w:rPr>
              <w:t>and</w:t>
            </w:r>
            <w:r>
              <w:rPr>
                <w:spacing w:val="-3"/>
                <w:sz w:val="18"/>
              </w:rPr>
              <w:t xml:space="preserve"> </w:t>
            </w:r>
            <w:r>
              <w:rPr>
                <w:sz w:val="18"/>
              </w:rPr>
              <w:t>spatial</w:t>
            </w:r>
            <w:r>
              <w:rPr>
                <w:spacing w:val="-2"/>
                <w:sz w:val="18"/>
              </w:rPr>
              <w:t xml:space="preserve"> </w:t>
            </w:r>
            <w:r>
              <w:rPr>
                <w:sz w:val="18"/>
              </w:rPr>
              <w:t xml:space="preserve">statistical </w:t>
            </w:r>
            <w:r>
              <w:rPr>
                <w:spacing w:val="-2"/>
                <w:sz w:val="18"/>
              </w:rPr>
              <w:t>datasets.</w:t>
            </w:r>
          </w:p>
          <w:p w14:paraId="3A663065" w14:textId="77777777" w:rsidR="00BC24A8" w:rsidRDefault="00000000">
            <w:pPr>
              <w:pStyle w:val="TableParagraph"/>
              <w:numPr>
                <w:ilvl w:val="0"/>
                <w:numId w:val="137"/>
              </w:numPr>
              <w:tabs>
                <w:tab w:val="left" w:pos="452"/>
              </w:tabs>
              <w:ind w:right="667"/>
              <w:rPr>
                <w:sz w:val="18"/>
              </w:rPr>
            </w:pPr>
            <w:r>
              <w:rPr>
                <w:sz w:val="18"/>
              </w:rPr>
              <w:t>A</w:t>
            </w:r>
            <w:r>
              <w:rPr>
                <w:spacing w:val="-4"/>
                <w:sz w:val="18"/>
              </w:rPr>
              <w:t xml:space="preserve"> </w:t>
            </w:r>
            <w:r>
              <w:rPr>
                <w:sz w:val="18"/>
              </w:rPr>
              <w:t>total</w:t>
            </w:r>
            <w:r>
              <w:rPr>
                <w:spacing w:val="-2"/>
                <w:sz w:val="18"/>
              </w:rPr>
              <w:t xml:space="preserve"> </w:t>
            </w:r>
            <w:r>
              <w:rPr>
                <w:sz w:val="18"/>
              </w:rPr>
              <w:t>of</w:t>
            </w:r>
            <w:r>
              <w:rPr>
                <w:spacing w:val="-4"/>
                <w:sz w:val="18"/>
              </w:rPr>
              <w:t xml:space="preserve"> </w:t>
            </w:r>
            <w:r>
              <w:rPr>
                <w:sz w:val="18"/>
              </w:rPr>
              <w:t>285</w:t>
            </w:r>
            <w:r>
              <w:rPr>
                <w:spacing w:val="-3"/>
                <w:sz w:val="18"/>
              </w:rPr>
              <w:t xml:space="preserve"> </w:t>
            </w:r>
            <w:r>
              <w:rPr>
                <w:sz w:val="18"/>
              </w:rPr>
              <w:t>MSS</w:t>
            </w:r>
            <w:r>
              <w:rPr>
                <w:spacing w:val="-3"/>
                <w:sz w:val="18"/>
              </w:rPr>
              <w:t xml:space="preserve"> </w:t>
            </w:r>
            <w:r>
              <w:rPr>
                <w:sz w:val="18"/>
              </w:rPr>
              <w:t>datasets</w:t>
            </w:r>
            <w:r>
              <w:rPr>
                <w:spacing w:val="-3"/>
                <w:sz w:val="18"/>
              </w:rPr>
              <w:t xml:space="preserve"> </w:t>
            </w:r>
            <w:r>
              <w:rPr>
                <w:sz w:val="18"/>
              </w:rPr>
              <w:t>have</w:t>
            </w:r>
            <w:r>
              <w:rPr>
                <w:spacing w:val="-3"/>
                <w:sz w:val="18"/>
              </w:rPr>
              <w:t xml:space="preserve"> </w:t>
            </w:r>
            <w:r>
              <w:rPr>
                <w:sz w:val="18"/>
              </w:rPr>
              <w:t>been</w:t>
            </w:r>
            <w:r>
              <w:rPr>
                <w:spacing w:val="-3"/>
                <w:sz w:val="18"/>
              </w:rPr>
              <w:t xml:space="preserve"> </w:t>
            </w:r>
            <w:r>
              <w:rPr>
                <w:sz w:val="18"/>
              </w:rPr>
              <w:t>matched</w:t>
            </w:r>
            <w:r>
              <w:rPr>
                <w:spacing w:val="-3"/>
                <w:sz w:val="18"/>
              </w:rPr>
              <w:t xml:space="preserve"> </w:t>
            </w:r>
            <w:r>
              <w:rPr>
                <w:sz w:val="18"/>
              </w:rPr>
              <w:t>with</w:t>
            </w:r>
            <w:r>
              <w:rPr>
                <w:spacing w:val="-3"/>
                <w:sz w:val="18"/>
              </w:rPr>
              <w:t xml:space="preserve"> </w:t>
            </w:r>
            <w:r>
              <w:rPr>
                <w:sz w:val="18"/>
              </w:rPr>
              <w:t>Sectoral</w:t>
            </w:r>
            <w:r>
              <w:rPr>
                <w:spacing w:val="-2"/>
                <w:sz w:val="18"/>
              </w:rPr>
              <w:t xml:space="preserve"> </w:t>
            </w:r>
            <w:r>
              <w:rPr>
                <w:sz w:val="18"/>
              </w:rPr>
              <w:t>Statistical</w:t>
            </w:r>
            <w:r>
              <w:rPr>
                <w:spacing w:val="-5"/>
                <w:sz w:val="18"/>
              </w:rPr>
              <w:t xml:space="preserve"> </w:t>
            </w:r>
            <w:r>
              <w:rPr>
                <w:sz w:val="18"/>
              </w:rPr>
              <w:t>Data</w:t>
            </w:r>
            <w:r>
              <w:rPr>
                <w:spacing w:val="-4"/>
                <w:sz w:val="18"/>
              </w:rPr>
              <w:t xml:space="preserve"> </w:t>
            </w:r>
            <w:r>
              <w:rPr>
                <w:sz w:val="18"/>
              </w:rPr>
              <w:t>Standards</w:t>
            </w:r>
            <w:r>
              <w:rPr>
                <w:spacing w:val="-3"/>
                <w:sz w:val="18"/>
              </w:rPr>
              <w:t xml:space="preserve"> </w:t>
            </w:r>
            <w:r>
              <w:rPr>
                <w:sz w:val="18"/>
              </w:rPr>
              <w:t>and documented collaboratively (UPTD Statistics, SKPA, the Bureau of Governance, and BPS).</w:t>
            </w:r>
          </w:p>
          <w:p w14:paraId="7D5B6ABB" w14:textId="77777777" w:rsidR="00BC24A8" w:rsidRDefault="00000000">
            <w:pPr>
              <w:pStyle w:val="TableParagraph"/>
              <w:numPr>
                <w:ilvl w:val="0"/>
                <w:numId w:val="137"/>
              </w:numPr>
              <w:tabs>
                <w:tab w:val="left" w:pos="452"/>
              </w:tabs>
              <w:spacing w:line="219" w:lineRule="exact"/>
              <w:rPr>
                <w:sz w:val="18"/>
              </w:rPr>
            </w:pPr>
            <w:r>
              <w:rPr>
                <w:sz w:val="18"/>
              </w:rPr>
              <w:t>The</w:t>
            </w:r>
            <w:r>
              <w:rPr>
                <w:spacing w:val="-2"/>
                <w:sz w:val="18"/>
              </w:rPr>
              <w:t xml:space="preserve"> </w:t>
            </w:r>
            <w:r>
              <w:rPr>
                <w:sz w:val="18"/>
              </w:rPr>
              <w:t>Motor</w:t>
            </w:r>
            <w:r>
              <w:rPr>
                <w:spacing w:val="-1"/>
                <w:sz w:val="18"/>
              </w:rPr>
              <w:t xml:space="preserve"> </w:t>
            </w:r>
            <w:r>
              <w:rPr>
                <w:sz w:val="18"/>
              </w:rPr>
              <w:t>Vehicle</w:t>
            </w:r>
            <w:r>
              <w:rPr>
                <w:spacing w:val="-1"/>
                <w:sz w:val="18"/>
              </w:rPr>
              <w:t xml:space="preserve"> </w:t>
            </w:r>
            <w:r>
              <w:rPr>
                <w:sz w:val="18"/>
              </w:rPr>
              <w:t>Tax</w:t>
            </w:r>
            <w:r>
              <w:rPr>
                <w:spacing w:val="-2"/>
                <w:sz w:val="18"/>
              </w:rPr>
              <w:t xml:space="preserve"> </w:t>
            </w:r>
            <w:r>
              <w:rPr>
                <w:sz w:val="18"/>
              </w:rPr>
              <w:t>Reduction</w:t>
            </w:r>
            <w:r>
              <w:rPr>
                <w:spacing w:val="-4"/>
                <w:sz w:val="18"/>
              </w:rPr>
              <w:t xml:space="preserve"> </w:t>
            </w:r>
            <w:r>
              <w:rPr>
                <w:sz w:val="18"/>
              </w:rPr>
              <w:t>Program</w:t>
            </w:r>
            <w:r>
              <w:rPr>
                <w:spacing w:val="-2"/>
                <w:sz w:val="18"/>
              </w:rPr>
              <w:t xml:space="preserve"> </w:t>
            </w:r>
            <w:r>
              <w:rPr>
                <w:sz w:val="18"/>
              </w:rPr>
              <w:t>for</w:t>
            </w:r>
            <w:r>
              <w:rPr>
                <w:spacing w:val="-1"/>
                <w:sz w:val="18"/>
              </w:rPr>
              <w:t xml:space="preserve"> </w:t>
            </w:r>
            <w:r>
              <w:rPr>
                <w:sz w:val="18"/>
              </w:rPr>
              <w:t>persons</w:t>
            </w:r>
            <w:r>
              <w:rPr>
                <w:spacing w:val="-2"/>
                <w:sz w:val="18"/>
              </w:rPr>
              <w:t xml:space="preserve"> </w:t>
            </w:r>
            <w:r>
              <w:rPr>
                <w:sz w:val="18"/>
              </w:rPr>
              <w:t>with</w:t>
            </w:r>
            <w:r>
              <w:rPr>
                <w:spacing w:val="-1"/>
                <w:sz w:val="18"/>
              </w:rPr>
              <w:t xml:space="preserve"> </w:t>
            </w:r>
            <w:r>
              <w:rPr>
                <w:sz w:val="18"/>
              </w:rPr>
              <w:t>disabilities</w:t>
            </w:r>
            <w:r>
              <w:rPr>
                <w:spacing w:val="-1"/>
                <w:sz w:val="18"/>
              </w:rPr>
              <w:t xml:space="preserve"> </w:t>
            </w:r>
            <w:r>
              <w:rPr>
                <w:sz w:val="18"/>
              </w:rPr>
              <w:t>was</w:t>
            </w:r>
            <w:r>
              <w:rPr>
                <w:spacing w:val="-1"/>
                <w:sz w:val="18"/>
              </w:rPr>
              <w:t xml:space="preserve"> </w:t>
            </w:r>
            <w:r>
              <w:rPr>
                <w:sz w:val="18"/>
              </w:rPr>
              <w:t>launched</w:t>
            </w:r>
            <w:r>
              <w:rPr>
                <w:spacing w:val="-1"/>
                <w:sz w:val="18"/>
              </w:rPr>
              <w:t xml:space="preserve"> </w:t>
            </w:r>
            <w:r>
              <w:rPr>
                <w:sz w:val="18"/>
              </w:rPr>
              <w:t>in</w:t>
            </w:r>
            <w:r>
              <w:rPr>
                <w:spacing w:val="-1"/>
                <w:sz w:val="18"/>
              </w:rPr>
              <w:t xml:space="preserve"> </w:t>
            </w:r>
            <w:r>
              <w:rPr>
                <w:sz w:val="18"/>
              </w:rPr>
              <w:t>May</w:t>
            </w:r>
            <w:r>
              <w:rPr>
                <w:spacing w:val="-1"/>
                <w:sz w:val="18"/>
              </w:rPr>
              <w:t xml:space="preserve"> </w:t>
            </w:r>
            <w:r>
              <w:rPr>
                <w:spacing w:val="-2"/>
                <w:sz w:val="18"/>
              </w:rPr>
              <w:t>2025.</w:t>
            </w:r>
          </w:p>
          <w:p w14:paraId="371A722F" w14:textId="77777777" w:rsidR="00BC24A8" w:rsidRDefault="00000000">
            <w:pPr>
              <w:pStyle w:val="TableParagraph"/>
              <w:numPr>
                <w:ilvl w:val="0"/>
                <w:numId w:val="137"/>
              </w:numPr>
              <w:tabs>
                <w:tab w:val="left" w:pos="452"/>
              </w:tabs>
              <w:ind w:right="309"/>
              <w:rPr>
                <w:sz w:val="18"/>
              </w:rPr>
            </w:pPr>
            <w:r>
              <w:rPr>
                <w:sz w:val="18"/>
              </w:rPr>
              <w:t>A</w:t>
            </w:r>
            <w:r>
              <w:rPr>
                <w:spacing w:val="-3"/>
                <w:sz w:val="18"/>
              </w:rPr>
              <w:t xml:space="preserve"> </w:t>
            </w:r>
            <w:r>
              <w:rPr>
                <w:sz w:val="18"/>
              </w:rPr>
              <w:t>total</w:t>
            </w:r>
            <w:r>
              <w:rPr>
                <w:spacing w:val="-1"/>
                <w:sz w:val="18"/>
              </w:rPr>
              <w:t xml:space="preserve"> </w:t>
            </w:r>
            <w:r>
              <w:rPr>
                <w:sz w:val="18"/>
              </w:rPr>
              <w:t>of</w:t>
            </w:r>
            <w:r>
              <w:rPr>
                <w:spacing w:val="-3"/>
                <w:sz w:val="18"/>
              </w:rPr>
              <w:t xml:space="preserve"> </w:t>
            </w:r>
            <w:r>
              <w:rPr>
                <w:sz w:val="18"/>
              </w:rPr>
              <w:t>254</w:t>
            </w:r>
            <w:r>
              <w:rPr>
                <w:spacing w:val="-2"/>
                <w:sz w:val="18"/>
              </w:rPr>
              <w:t xml:space="preserve"> </w:t>
            </w:r>
            <w:r>
              <w:rPr>
                <w:sz w:val="18"/>
              </w:rPr>
              <w:t>MSS</w:t>
            </w:r>
            <w:r>
              <w:rPr>
                <w:spacing w:val="-2"/>
                <w:sz w:val="18"/>
              </w:rPr>
              <w:t xml:space="preserve"> </w:t>
            </w:r>
            <w:r>
              <w:rPr>
                <w:sz w:val="18"/>
              </w:rPr>
              <w:t>datasets</w:t>
            </w:r>
            <w:r>
              <w:rPr>
                <w:spacing w:val="-2"/>
                <w:sz w:val="18"/>
              </w:rPr>
              <w:t xml:space="preserve"> </w:t>
            </w:r>
            <w:r>
              <w:rPr>
                <w:sz w:val="18"/>
              </w:rPr>
              <w:t>(52.57%</w:t>
            </w:r>
            <w:r>
              <w:rPr>
                <w:spacing w:val="-2"/>
                <w:sz w:val="18"/>
              </w:rPr>
              <w:t xml:space="preserve"> </w:t>
            </w:r>
            <w:r>
              <w:rPr>
                <w:sz w:val="18"/>
              </w:rPr>
              <w:t>of</w:t>
            </w:r>
            <w:r>
              <w:rPr>
                <w:spacing w:val="-3"/>
                <w:sz w:val="18"/>
              </w:rPr>
              <w:t xml:space="preserve"> </w:t>
            </w:r>
            <w:r>
              <w:rPr>
                <w:sz w:val="18"/>
              </w:rPr>
              <w:t>484</w:t>
            </w:r>
            <w:r>
              <w:rPr>
                <w:spacing w:val="-2"/>
                <w:sz w:val="18"/>
              </w:rPr>
              <w:t xml:space="preserve"> </w:t>
            </w:r>
            <w:r>
              <w:rPr>
                <w:sz w:val="18"/>
              </w:rPr>
              <w:t>datasets)</w:t>
            </w:r>
            <w:r>
              <w:rPr>
                <w:spacing w:val="-3"/>
                <w:sz w:val="18"/>
              </w:rPr>
              <w:t xml:space="preserve"> </w:t>
            </w:r>
            <w:r>
              <w:rPr>
                <w:sz w:val="18"/>
              </w:rPr>
              <w:t>in</w:t>
            </w:r>
            <w:r>
              <w:rPr>
                <w:spacing w:val="-2"/>
                <w:sz w:val="18"/>
              </w:rPr>
              <w:t xml:space="preserve"> </w:t>
            </w:r>
            <w:r>
              <w:rPr>
                <w:sz w:val="18"/>
              </w:rPr>
              <w:t>the</w:t>
            </w:r>
            <w:r>
              <w:rPr>
                <w:spacing w:val="-2"/>
                <w:sz w:val="18"/>
              </w:rPr>
              <w:t xml:space="preserve"> </w:t>
            </w:r>
            <w:r>
              <w:rPr>
                <w:sz w:val="18"/>
              </w:rPr>
              <w:t>2024</w:t>
            </w:r>
            <w:r>
              <w:rPr>
                <w:spacing w:val="-2"/>
                <w:sz w:val="18"/>
              </w:rPr>
              <w:t xml:space="preserve"> </w:t>
            </w:r>
            <w:r>
              <w:rPr>
                <w:sz w:val="18"/>
              </w:rPr>
              <w:t>data</w:t>
            </w:r>
            <w:r>
              <w:rPr>
                <w:spacing w:val="-3"/>
                <w:sz w:val="18"/>
              </w:rPr>
              <w:t xml:space="preserve"> </w:t>
            </w:r>
            <w:r>
              <w:rPr>
                <w:sz w:val="18"/>
              </w:rPr>
              <w:t>list</w:t>
            </w:r>
            <w:r>
              <w:rPr>
                <w:spacing w:val="-1"/>
                <w:sz w:val="18"/>
              </w:rPr>
              <w:t xml:space="preserve"> </w:t>
            </w:r>
            <w:r>
              <w:rPr>
                <w:sz w:val="18"/>
              </w:rPr>
              <w:t>have</w:t>
            </w:r>
            <w:r>
              <w:rPr>
                <w:spacing w:val="-2"/>
                <w:sz w:val="18"/>
              </w:rPr>
              <w:t xml:space="preserve"> </w:t>
            </w:r>
            <w:r>
              <w:rPr>
                <w:sz w:val="18"/>
              </w:rPr>
              <w:t>been</w:t>
            </w:r>
            <w:r>
              <w:rPr>
                <w:spacing w:val="-2"/>
                <w:sz w:val="18"/>
              </w:rPr>
              <w:t xml:space="preserve"> </w:t>
            </w:r>
            <w:r>
              <w:rPr>
                <w:sz w:val="18"/>
              </w:rPr>
              <w:t>updated</w:t>
            </w:r>
            <w:r>
              <w:rPr>
                <w:spacing w:val="-2"/>
                <w:sz w:val="18"/>
              </w:rPr>
              <w:t xml:space="preserve"> </w:t>
            </w:r>
            <w:r>
              <w:rPr>
                <w:sz w:val="18"/>
              </w:rPr>
              <w:t>for MSS costing.</w:t>
            </w:r>
          </w:p>
          <w:p w14:paraId="0C9B3E6F" w14:textId="77777777" w:rsidR="00BC24A8" w:rsidRDefault="00000000">
            <w:pPr>
              <w:pStyle w:val="TableParagraph"/>
              <w:numPr>
                <w:ilvl w:val="0"/>
                <w:numId w:val="137"/>
              </w:numPr>
              <w:tabs>
                <w:tab w:val="left" w:pos="452"/>
              </w:tabs>
              <w:spacing w:line="219" w:lineRule="exact"/>
              <w:rPr>
                <w:sz w:val="18"/>
              </w:rPr>
            </w:pPr>
            <w:r>
              <w:rPr>
                <w:sz w:val="18"/>
              </w:rPr>
              <w:t>Excel-based</w:t>
            </w:r>
            <w:r>
              <w:rPr>
                <w:spacing w:val="-5"/>
                <w:sz w:val="18"/>
              </w:rPr>
              <w:t xml:space="preserve"> </w:t>
            </w:r>
            <w:r>
              <w:rPr>
                <w:sz w:val="18"/>
              </w:rPr>
              <w:t>MSS</w:t>
            </w:r>
            <w:r>
              <w:rPr>
                <w:spacing w:val="-2"/>
                <w:sz w:val="18"/>
              </w:rPr>
              <w:t xml:space="preserve"> </w:t>
            </w:r>
            <w:r>
              <w:rPr>
                <w:sz w:val="18"/>
              </w:rPr>
              <w:t>costing</w:t>
            </w:r>
            <w:r>
              <w:rPr>
                <w:spacing w:val="-3"/>
                <w:sz w:val="18"/>
              </w:rPr>
              <w:t xml:space="preserve"> </w:t>
            </w:r>
            <w:r>
              <w:rPr>
                <w:sz w:val="18"/>
              </w:rPr>
              <w:t>tools</w:t>
            </w:r>
            <w:r>
              <w:rPr>
                <w:spacing w:val="-2"/>
                <w:sz w:val="18"/>
              </w:rPr>
              <w:t xml:space="preserve"> </w:t>
            </w:r>
            <w:r>
              <w:rPr>
                <w:sz w:val="18"/>
              </w:rPr>
              <w:t>have</w:t>
            </w:r>
            <w:r>
              <w:rPr>
                <w:spacing w:val="-2"/>
                <w:sz w:val="18"/>
              </w:rPr>
              <w:t xml:space="preserve"> </w:t>
            </w:r>
            <w:r>
              <w:rPr>
                <w:sz w:val="18"/>
              </w:rPr>
              <w:t>been</w:t>
            </w:r>
            <w:r>
              <w:rPr>
                <w:spacing w:val="-2"/>
                <w:sz w:val="18"/>
              </w:rPr>
              <w:t xml:space="preserve"> </w:t>
            </w:r>
            <w:r>
              <w:rPr>
                <w:sz w:val="18"/>
              </w:rPr>
              <w:t>developed</w:t>
            </w:r>
            <w:r>
              <w:rPr>
                <w:spacing w:val="-2"/>
                <w:sz w:val="18"/>
              </w:rPr>
              <w:t xml:space="preserve"> </w:t>
            </w:r>
            <w:r>
              <w:rPr>
                <w:sz w:val="18"/>
              </w:rPr>
              <w:t>and</w:t>
            </w:r>
            <w:r>
              <w:rPr>
                <w:spacing w:val="-2"/>
                <w:sz w:val="18"/>
              </w:rPr>
              <w:t xml:space="preserve"> </w:t>
            </w:r>
            <w:r>
              <w:rPr>
                <w:sz w:val="18"/>
              </w:rPr>
              <w:t>submitted</w:t>
            </w:r>
            <w:r>
              <w:rPr>
                <w:spacing w:val="-2"/>
                <w:sz w:val="18"/>
              </w:rPr>
              <w:t xml:space="preserve"> </w:t>
            </w:r>
            <w:r>
              <w:rPr>
                <w:sz w:val="18"/>
              </w:rPr>
              <w:t>to</w:t>
            </w:r>
            <w:r>
              <w:rPr>
                <w:spacing w:val="-3"/>
                <w:sz w:val="18"/>
              </w:rPr>
              <w:t xml:space="preserve"> </w:t>
            </w:r>
            <w:r>
              <w:rPr>
                <w:spacing w:val="-2"/>
                <w:sz w:val="18"/>
              </w:rPr>
              <w:t>Bappeda.</w:t>
            </w:r>
          </w:p>
          <w:p w14:paraId="3AB6D522" w14:textId="77777777" w:rsidR="00BC24A8" w:rsidRDefault="00000000">
            <w:pPr>
              <w:pStyle w:val="TableParagraph"/>
              <w:numPr>
                <w:ilvl w:val="0"/>
                <w:numId w:val="137"/>
              </w:numPr>
              <w:tabs>
                <w:tab w:val="left" w:pos="452"/>
              </w:tabs>
              <w:ind w:right="346"/>
              <w:rPr>
                <w:sz w:val="18"/>
              </w:rPr>
            </w:pPr>
            <w:r>
              <w:rPr>
                <w:sz w:val="18"/>
              </w:rPr>
              <w:t>MSS</w:t>
            </w:r>
            <w:r>
              <w:rPr>
                <w:spacing w:val="-3"/>
                <w:sz w:val="18"/>
              </w:rPr>
              <w:t xml:space="preserve"> </w:t>
            </w:r>
            <w:r>
              <w:rPr>
                <w:sz w:val="18"/>
              </w:rPr>
              <w:t>expenditure</w:t>
            </w:r>
            <w:r>
              <w:rPr>
                <w:spacing w:val="-3"/>
                <w:sz w:val="18"/>
              </w:rPr>
              <w:t xml:space="preserve"> </w:t>
            </w:r>
            <w:r>
              <w:rPr>
                <w:sz w:val="18"/>
              </w:rPr>
              <w:t>and</w:t>
            </w:r>
            <w:r>
              <w:rPr>
                <w:spacing w:val="-3"/>
                <w:sz w:val="18"/>
              </w:rPr>
              <w:t xml:space="preserve"> </w:t>
            </w:r>
            <w:r>
              <w:rPr>
                <w:sz w:val="18"/>
              </w:rPr>
              <w:t>financing</w:t>
            </w:r>
            <w:r>
              <w:rPr>
                <w:spacing w:val="-4"/>
                <w:sz w:val="18"/>
              </w:rPr>
              <w:t xml:space="preserve"> </w:t>
            </w:r>
            <w:r>
              <w:rPr>
                <w:sz w:val="18"/>
              </w:rPr>
              <w:t>analysis</w:t>
            </w:r>
            <w:r>
              <w:rPr>
                <w:spacing w:val="-3"/>
                <w:sz w:val="18"/>
              </w:rPr>
              <w:t xml:space="preserve"> </w:t>
            </w:r>
            <w:r>
              <w:rPr>
                <w:sz w:val="18"/>
              </w:rPr>
              <w:t>documents</w:t>
            </w:r>
            <w:r>
              <w:rPr>
                <w:spacing w:val="-3"/>
                <w:sz w:val="18"/>
              </w:rPr>
              <w:t xml:space="preserve"> </w:t>
            </w:r>
            <w:r>
              <w:rPr>
                <w:sz w:val="18"/>
              </w:rPr>
              <w:t>are</w:t>
            </w:r>
            <w:r>
              <w:rPr>
                <w:spacing w:val="-3"/>
                <w:sz w:val="18"/>
              </w:rPr>
              <w:t xml:space="preserve"> </w:t>
            </w:r>
            <w:r>
              <w:rPr>
                <w:sz w:val="18"/>
              </w:rPr>
              <w:t>now</w:t>
            </w:r>
            <w:r>
              <w:rPr>
                <w:spacing w:val="-4"/>
                <w:sz w:val="18"/>
              </w:rPr>
              <w:t xml:space="preserve"> </w:t>
            </w:r>
            <w:r>
              <w:rPr>
                <w:sz w:val="18"/>
              </w:rPr>
              <w:t>available</w:t>
            </w:r>
            <w:r>
              <w:rPr>
                <w:spacing w:val="-3"/>
                <w:sz w:val="18"/>
              </w:rPr>
              <w:t xml:space="preserve"> </w:t>
            </w:r>
            <w:r>
              <w:rPr>
                <w:sz w:val="18"/>
              </w:rPr>
              <w:t>and</w:t>
            </w:r>
            <w:r>
              <w:rPr>
                <w:spacing w:val="-3"/>
                <w:sz w:val="18"/>
              </w:rPr>
              <w:t xml:space="preserve"> </w:t>
            </w:r>
            <w:r>
              <w:rPr>
                <w:sz w:val="18"/>
              </w:rPr>
              <w:t>aligned</w:t>
            </w:r>
            <w:r>
              <w:rPr>
                <w:spacing w:val="-3"/>
                <w:sz w:val="18"/>
              </w:rPr>
              <w:t xml:space="preserve"> </w:t>
            </w:r>
            <w:r>
              <w:rPr>
                <w:sz w:val="18"/>
              </w:rPr>
              <w:t>with</w:t>
            </w:r>
            <w:r>
              <w:rPr>
                <w:spacing w:val="-6"/>
                <w:sz w:val="18"/>
              </w:rPr>
              <w:t xml:space="preserve"> </w:t>
            </w:r>
            <w:r>
              <w:rPr>
                <w:sz w:val="18"/>
              </w:rPr>
              <w:t>the</w:t>
            </w:r>
            <w:r>
              <w:rPr>
                <w:spacing w:val="-3"/>
                <w:sz w:val="18"/>
              </w:rPr>
              <w:t xml:space="preserve"> </w:t>
            </w:r>
            <w:r>
              <w:rPr>
                <w:sz w:val="18"/>
              </w:rPr>
              <w:t>RKPD and OPD RENJA.</w:t>
            </w:r>
          </w:p>
        </w:tc>
      </w:tr>
      <w:tr w:rsidR="00BC24A8" w14:paraId="3D950156" w14:textId="77777777">
        <w:trPr>
          <w:trHeight w:val="1278"/>
        </w:trPr>
        <w:tc>
          <w:tcPr>
            <w:tcW w:w="1343" w:type="dxa"/>
            <w:tcBorders>
              <w:top w:val="single" w:sz="4" w:space="0" w:color="BEBEBE"/>
              <w:bottom w:val="single" w:sz="4" w:space="0" w:color="BEBEBE"/>
            </w:tcBorders>
          </w:tcPr>
          <w:p w14:paraId="1825A991" w14:textId="77777777" w:rsidR="00BC24A8" w:rsidRDefault="00000000">
            <w:pPr>
              <w:pStyle w:val="TableParagraph"/>
              <w:spacing w:before="59"/>
              <w:ind w:left="115"/>
              <w:rPr>
                <w:sz w:val="18"/>
              </w:rPr>
            </w:pPr>
            <w:r>
              <w:rPr>
                <w:spacing w:val="-2"/>
                <w:sz w:val="18"/>
              </w:rPr>
              <w:t>Operational</w:t>
            </w:r>
            <w:r>
              <w:rPr>
                <w:sz w:val="18"/>
              </w:rPr>
              <w:t xml:space="preserve"> </w:t>
            </w:r>
            <w:r>
              <w:rPr>
                <w:spacing w:val="-2"/>
                <w:sz w:val="18"/>
              </w:rPr>
              <w:t>Impact</w:t>
            </w:r>
          </w:p>
        </w:tc>
        <w:tc>
          <w:tcPr>
            <w:tcW w:w="7756" w:type="dxa"/>
            <w:tcBorders>
              <w:top w:val="single" w:sz="4" w:space="0" w:color="BEBEBE"/>
              <w:bottom w:val="single" w:sz="4" w:space="0" w:color="BEBEBE"/>
            </w:tcBorders>
          </w:tcPr>
          <w:p w14:paraId="77E6CC8E" w14:textId="77777777" w:rsidR="00BC24A8" w:rsidRDefault="00000000">
            <w:pPr>
              <w:pStyle w:val="TableParagraph"/>
              <w:spacing w:before="61"/>
              <w:ind w:left="121"/>
              <w:rPr>
                <w:rFonts w:ascii="Calibri"/>
                <w:b/>
                <w:sz w:val="18"/>
              </w:rPr>
            </w:pPr>
            <w:r>
              <w:rPr>
                <w:rFonts w:ascii="Calibri"/>
                <w:b/>
                <w:sz w:val="18"/>
              </w:rPr>
              <w:t>Changes</w:t>
            </w:r>
            <w:r>
              <w:rPr>
                <w:rFonts w:ascii="Calibri"/>
                <w:b/>
                <w:spacing w:val="-2"/>
                <w:sz w:val="18"/>
              </w:rPr>
              <w:t xml:space="preserve"> </w:t>
            </w:r>
            <w:r>
              <w:rPr>
                <w:rFonts w:ascii="Calibri"/>
                <w:b/>
                <w:sz w:val="18"/>
              </w:rPr>
              <w:t>in</w:t>
            </w:r>
            <w:r>
              <w:rPr>
                <w:rFonts w:ascii="Calibri"/>
                <w:b/>
                <w:spacing w:val="-3"/>
                <w:sz w:val="18"/>
              </w:rPr>
              <w:t xml:space="preserve"> </w:t>
            </w:r>
            <w:r>
              <w:rPr>
                <w:rFonts w:ascii="Calibri"/>
                <w:b/>
                <w:sz w:val="18"/>
              </w:rPr>
              <w:t>practices,</w:t>
            </w:r>
            <w:r>
              <w:rPr>
                <w:rFonts w:ascii="Calibri"/>
                <w:b/>
                <w:spacing w:val="-3"/>
                <w:sz w:val="18"/>
              </w:rPr>
              <w:t xml:space="preserve"> </w:t>
            </w:r>
            <w:r>
              <w:rPr>
                <w:rFonts w:ascii="Calibri"/>
                <w:b/>
                <w:sz w:val="18"/>
              </w:rPr>
              <w:t>ways</w:t>
            </w:r>
            <w:r>
              <w:rPr>
                <w:rFonts w:ascii="Calibri"/>
                <w:b/>
                <w:spacing w:val="-1"/>
                <w:sz w:val="18"/>
              </w:rPr>
              <w:t xml:space="preserve"> </w:t>
            </w:r>
            <w:r>
              <w:rPr>
                <w:rFonts w:ascii="Calibri"/>
                <w:b/>
                <w:sz w:val="18"/>
              </w:rPr>
              <w:t>of</w:t>
            </w:r>
            <w:r>
              <w:rPr>
                <w:rFonts w:ascii="Calibri"/>
                <w:b/>
                <w:spacing w:val="-2"/>
                <w:sz w:val="18"/>
              </w:rPr>
              <w:t xml:space="preserve"> </w:t>
            </w:r>
            <w:r>
              <w:rPr>
                <w:rFonts w:ascii="Calibri"/>
                <w:b/>
                <w:sz w:val="18"/>
              </w:rPr>
              <w:t>working,</w:t>
            </w:r>
            <w:r>
              <w:rPr>
                <w:rFonts w:ascii="Calibri"/>
                <w:b/>
                <w:spacing w:val="-3"/>
                <w:sz w:val="18"/>
              </w:rPr>
              <w:t xml:space="preserve"> </w:t>
            </w:r>
            <w:r>
              <w:rPr>
                <w:rFonts w:ascii="Calibri"/>
                <w:b/>
                <w:sz w:val="18"/>
              </w:rPr>
              <w:t>and</w:t>
            </w:r>
            <w:r>
              <w:rPr>
                <w:rFonts w:ascii="Calibri"/>
                <w:b/>
                <w:spacing w:val="-2"/>
                <w:sz w:val="18"/>
              </w:rPr>
              <w:t xml:space="preserve"> coordination:</w:t>
            </w:r>
          </w:p>
          <w:p w14:paraId="6C425C38" w14:textId="77777777" w:rsidR="00BC24A8" w:rsidRDefault="00000000">
            <w:pPr>
              <w:pStyle w:val="TableParagraph"/>
              <w:numPr>
                <w:ilvl w:val="0"/>
                <w:numId w:val="136"/>
              </w:numPr>
              <w:tabs>
                <w:tab w:val="left" w:pos="452"/>
              </w:tabs>
              <w:spacing w:before="59"/>
              <w:ind w:right="316"/>
              <w:rPr>
                <w:sz w:val="18"/>
              </w:rPr>
            </w:pPr>
            <w:r>
              <w:rPr>
                <w:sz w:val="18"/>
              </w:rPr>
              <w:t>Population</w:t>
            </w:r>
            <w:r>
              <w:rPr>
                <w:spacing w:val="-3"/>
                <w:sz w:val="18"/>
              </w:rPr>
              <w:t xml:space="preserve"> </w:t>
            </w:r>
            <w:r>
              <w:rPr>
                <w:sz w:val="18"/>
              </w:rPr>
              <w:t>coverage</w:t>
            </w:r>
            <w:r>
              <w:rPr>
                <w:spacing w:val="-3"/>
                <w:sz w:val="18"/>
              </w:rPr>
              <w:t xml:space="preserve"> </w:t>
            </w:r>
            <w:r>
              <w:rPr>
                <w:sz w:val="18"/>
              </w:rPr>
              <w:t>in</w:t>
            </w:r>
            <w:r>
              <w:rPr>
                <w:spacing w:val="-3"/>
                <w:sz w:val="18"/>
              </w:rPr>
              <w:t xml:space="preserve"> </w:t>
            </w:r>
            <w:r>
              <w:rPr>
                <w:sz w:val="18"/>
              </w:rPr>
              <w:t>SIGAP</w:t>
            </w:r>
            <w:r>
              <w:rPr>
                <w:spacing w:val="-4"/>
                <w:sz w:val="18"/>
              </w:rPr>
              <w:t xml:space="preserve"> </w:t>
            </w:r>
            <w:r>
              <w:rPr>
                <w:sz w:val="18"/>
              </w:rPr>
              <w:t>continues</w:t>
            </w:r>
            <w:r>
              <w:rPr>
                <w:spacing w:val="-3"/>
                <w:sz w:val="18"/>
              </w:rPr>
              <w:t xml:space="preserve"> </w:t>
            </w:r>
            <w:r>
              <w:rPr>
                <w:sz w:val="18"/>
              </w:rPr>
              <w:t>to</w:t>
            </w:r>
            <w:r>
              <w:rPr>
                <w:spacing w:val="-5"/>
                <w:sz w:val="18"/>
              </w:rPr>
              <w:t xml:space="preserve"> </w:t>
            </w:r>
            <w:r>
              <w:rPr>
                <w:sz w:val="18"/>
              </w:rPr>
              <w:t>increase</w:t>
            </w:r>
            <w:r>
              <w:rPr>
                <w:spacing w:val="-3"/>
                <w:sz w:val="18"/>
              </w:rPr>
              <w:t xml:space="preserve"> </w:t>
            </w:r>
            <w:r>
              <w:rPr>
                <w:sz w:val="18"/>
              </w:rPr>
              <w:t>from</w:t>
            </w:r>
            <w:r>
              <w:rPr>
                <w:spacing w:val="-4"/>
                <w:sz w:val="18"/>
              </w:rPr>
              <w:t xml:space="preserve"> </w:t>
            </w:r>
            <w:r>
              <w:rPr>
                <w:sz w:val="18"/>
              </w:rPr>
              <w:t>47%</w:t>
            </w:r>
            <w:r>
              <w:rPr>
                <w:spacing w:val="-3"/>
                <w:sz w:val="18"/>
              </w:rPr>
              <w:t xml:space="preserve"> </w:t>
            </w:r>
            <w:r>
              <w:rPr>
                <w:sz w:val="18"/>
              </w:rPr>
              <w:t>to</w:t>
            </w:r>
            <w:r>
              <w:rPr>
                <w:spacing w:val="-4"/>
                <w:sz w:val="18"/>
              </w:rPr>
              <w:t xml:space="preserve"> </w:t>
            </w:r>
            <w:r>
              <w:rPr>
                <w:sz w:val="18"/>
              </w:rPr>
              <w:t>51%</w:t>
            </w:r>
            <w:r>
              <w:rPr>
                <w:spacing w:val="-3"/>
                <w:sz w:val="18"/>
              </w:rPr>
              <w:t xml:space="preserve"> </w:t>
            </w:r>
            <w:r>
              <w:rPr>
                <w:sz w:val="18"/>
              </w:rPr>
              <w:t>with</w:t>
            </w:r>
            <w:r>
              <w:rPr>
                <w:spacing w:val="-3"/>
                <w:sz w:val="18"/>
              </w:rPr>
              <w:t xml:space="preserve"> </w:t>
            </w:r>
            <w:r>
              <w:rPr>
                <w:sz w:val="18"/>
              </w:rPr>
              <w:t>ongoing</w:t>
            </w:r>
            <w:r>
              <w:rPr>
                <w:spacing w:val="-4"/>
                <w:sz w:val="18"/>
              </w:rPr>
              <w:t xml:space="preserve"> </w:t>
            </w:r>
            <w:r>
              <w:rPr>
                <w:sz w:val="18"/>
              </w:rPr>
              <w:t>collaboration with universities.</w:t>
            </w:r>
          </w:p>
          <w:p w14:paraId="48D8BB44" w14:textId="77777777" w:rsidR="00BC24A8" w:rsidRDefault="00000000">
            <w:pPr>
              <w:pStyle w:val="TableParagraph"/>
              <w:numPr>
                <w:ilvl w:val="0"/>
                <w:numId w:val="136"/>
              </w:numPr>
              <w:tabs>
                <w:tab w:val="left" w:pos="452"/>
              </w:tabs>
              <w:ind w:right="115"/>
              <w:rPr>
                <w:sz w:val="18"/>
              </w:rPr>
            </w:pPr>
            <w:r>
              <w:rPr>
                <w:sz w:val="18"/>
              </w:rPr>
              <w:t>CSOs</w:t>
            </w:r>
            <w:r>
              <w:rPr>
                <w:spacing w:val="-2"/>
                <w:sz w:val="18"/>
              </w:rPr>
              <w:t xml:space="preserve"> </w:t>
            </w:r>
            <w:r>
              <w:rPr>
                <w:sz w:val="18"/>
              </w:rPr>
              <w:t>and</w:t>
            </w:r>
            <w:r>
              <w:rPr>
                <w:spacing w:val="-2"/>
                <w:sz w:val="18"/>
              </w:rPr>
              <w:t xml:space="preserve"> </w:t>
            </w:r>
            <w:r>
              <w:rPr>
                <w:sz w:val="18"/>
              </w:rPr>
              <w:t>OPDIS</w:t>
            </w:r>
            <w:r>
              <w:rPr>
                <w:spacing w:val="-2"/>
                <w:sz w:val="18"/>
              </w:rPr>
              <w:t xml:space="preserve"> </w:t>
            </w:r>
            <w:r>
              <w:rPr>
                <w:sz w:val="18"/>
              </w:rPr>
              <w:t>consistently</w:t>
            </w:r>
            <w:r>
              <w:rPr>
                <w:spacing w:val="-3"/>
                <w:sz w:val="18"/>
              </w:rPr>
              <w:t xml:space="preserve"> </w:t>
            </w:r>
            <w:r>
              <w:rPr>
                <w:sz w:val="18"/>
              </w:rPr>
              <w:t>continue</w:t>
            </w:r>
            <w:r>
              <w:rPr>
                <w:spacing w:val="-2"/>
                <w:sz w:val="18"/>
              </w:rPr>
              <w:t xml:space="preserve"> </w:t>
            </w:r>
            <w:r>
              <w:rPr>
                <w:sz w:val="18"/>
              </w:rPr>
              <w:t>to</w:t>
            </w:r>
            <w:r>
              <w:rPr>
                <w:spacing w:val="-3"/>
                <w:sz w:val="18"/>
              </w:rPr>
              <w:t xml:space="preserve"> </w:t>
            </w:r>
            <w:r>
              <w:rPr>
                <w:sz w:val="18"/>
              </w:rPr>
              <w:t>participate</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drafting</w:t>
            </w:r>
            <w:r>
              <w:rPr>
                <w:spacing w:val="-5"/>
                <w:sz w:val="18"/>
              </w:rPr>
              <w:t xml:space="preserve"> </w:t>
            </w:r>
            <w:r>
              <w:rPr>
                <w:sz w:val="18"/>
              </w:rPr>
              <w:t>of</w:t>
            </w:r>
            <w:r>
              <w:rPr>
                <w:spacing w:val="-3"/>
                <w:sz w:val="18"/>
              </w:rPr>
              <w:t xml:space="preserve"> </w:t>
            </w:r>
            <w:r>
              <w:rPr>
                <w:sz w:val="18"/>
              </w:rPr>
              <w:t>various</w:t>
            </w:r>
            <w:r>
              <w:rPr>
                <w:spacing w:val="-2"/>
                <w:sz w:val="18"/>
              </w:rPr>
              <w:t xml:space="preserve"> </w:t>
            </w:r>
            <w:r>
              <w:rPr>
                <w:sz w:val="18"/>
              </w:rPr>
              <w:t>policies,</w:t>
            </w:r>
            <w:r>
              <w:rPr>
                <w:spacing w:val="-3"/>
                <w:sz w:val="18"/>
              </w:rPr>
              <w:t xml:space="preserve"> </w:t>
            </w:r>
            <w:r>
              <w:rPr>
                <w:sz w:val="18"/>
              </w:rPr>
              <w:t>including</w:t>
            </w:r>
            <w:r>
              <w:rPr>
                <w:spacing w:val="-5"/>
                <w:sz w:val="18"/>
              </w:rPr>
              <w:t xml:space="preserve"> </w:t>
            </w:r>
            <w:r>
              <w:rPr>
                <w:sz w:val="18"/>
              </w:rPr>
              <w:t>the Disability Qanun, RPJMD, technical guidelines for community participation, and the 2026 RKPA.</w:t>
            </w:r>
          </w:p>
        </w:tc>
      </w:tr>
    </w:tbl>
    <w:p w14:paraId="18610DB9" w14:textId="77777777" w:rsidR="00BC24A8" w:rsidRDefault="00BC24A8">
      <w:pPr>
        <w:pStyle w:val="TableParagraph"/>
        <w:rPr>
          <w:sz w:val="18"/>
        </w:rPr>
        <w:sectPr w:rsidR="00BC24A8">
          <w:pgSz w:w="11910" w:h="16840"/>
          <w:pgMar w:top="1360" w:right="850" w:bottom="1100" w:left="1275" w:header="0" w:footer="907" w:gutter="0"/>
          <w:cols w:space="720"/>
        </w:sectPr>
      </w:pPr>
    </w:p>
    <w:p w14:paraId="5E581EA3" w14:textId="77777777" w:rsidR="00BC24A8" w:rsidRDefault="00000000">
      <w:pPr>
        <w:pStyle w:val="BodyText"/>
        <w:spacing w:before="39" w:after="23"/>
        <w:ind w:left="143"/>
        <w:rPr>
          <w:rFonts w:ascii="Calibri"/>
        </w:rPr>
      </w:pPr>
      <w:r>
        <w:rPr>
          <w:rFonts w:ascii="Calibri"/>
          <w:color w:val="272727"/>
        </w:rPr>
        <w:lastRenderedPageBreak/>
        <w:t>Significant</w:t>
      </w:r>
      <w:r>
        <w:rPr>
          <w:rFonts w:ascii="Calibri"/>
          <w:color w:val="272727"/>
          <w:spacing w:val="-10"/>
        </w:rPr>
        <w:t xml:space="preserve"> </w:t>
      </w:r>
      <w:r>
        <w:rPr>
          <w:rFonts w:ascii="Calibri"/>
          <w:color w:val="272727"/>
        </w:rPr>
        <w:t>change</w:t>
      </w:r>
      <w:r>
        <w:rPr>
          <w:rFonts w:ascii="Calibri"/>
          <w:color w:val="272727"/>
          <w:spacing w:val="-11"/>
        </w:rPr>
        <w:t xml:space="preserve"> </w:t>
      </w:r>
      <w:r>
        <w:rPr>
          <w:rFonts w:ascii="Calibri"/>
          <w:color w:val="272727"/>
          <w:spacing w:val="-4"/>
        </w:rPr>
        <w:t>story</w:t>
      </w:r>
    </w:p>
    <w:tbl>
      <w:tblPr>
        <w:tblW w:w="0" w:type="auto"/>
        <w:tblInd w:w="14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091"/>
      </w:tblGrid>
      <w:tr w:rsidR="00BC24A8" w14:paraId="202B9E5C" w14:textId="77777777">
        <w:trPr>
          <w:trHeight w:val="4309"/>
        </w:trPr>
        <w:tc>
          <w:tcPr>
            <w:tcW w:w="9091" w:type="dxa"/>
            <w:tcBorders>
              <w:bottom w:val="nil"/>
            </w:tcBorders>
            <w:shd w:val="clear" w:color="auto" w:fill="E1F1EF"/>
          </w:tcPr>
          <w:p w14:paraId="759C4866" w14:textId="77777777" w:rsidR="00BC24A8" w:rsidRDefault="00000000">
            <w:pPr>
              <w:pStyle w:val="TableParagraph"/>
              <w:spacing w:before="119"/>
              <w:ind w:left="11" w:right="38"/>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1</w:t>
            </w:r>
            <w:r>
              <w:rPr>
                <w:spacing w:val="-15"/>
                <w:sz w:val="20"/>
              </w:rPr>
              <w:t xml:space="preserve"> </w:t>
            </w:r>
            <w:r>
              <w:rPr>
                <w:spacing w:val="-10"/>
                <w:sz w:val="20"/>
              </w:rPr>
              <w:t>:</w:t>
            </w:r>
          </w:p>
          <w:p w14:paraId="0792748F" w14:textId="77777777" w:rsidR="00BC24A8" w:rsidRDefault="00000000">
            <w:pPr>
              <w:pStyle w:val="TableParagraph"/>
              <w:ind w:left="36" w:right="27"/>
              <w:jc w:val="center"/>
              <w:rPr>
                <w:rFonts w:ascii="Calibri"/>
                <w:b/>
                <w:sz w:val="20"/>
              </w:rPr>
            </w:pPr>
            <w:r>
              <w:rPr>
                <w:rFonts w:ascii="Calibri"/>
                <w:b/>
                <w:color w:val="17365A"/>
                <w:spacing w:val="-2"/>
                <w:sz w:val="20"/>
              </w:rPr>
              <w:t>Promoting</w:t>
            </w:r>
            <w:r>
              <w:rPr>
                <w:rFonts w:ascii="Calibri"/>
                <w:b/>
                <w:color w:val="17365A"/>
                <w:spacing w:val="1"/>
                <w:sz w:val="20"/>
              </w:rPr>
              <w:t xml:space="preserve"> </w:t>
            </w:r>
            <w:r>
              <w:rPr>
                <w:rFonts w:ascii="Calibri"/>
                <w:b/>
                <w:color w:val="17365A"/>
                <w:spacing w:val="-2"/>
                <w:sz w:val="20"/>
              </w:rPr>
              <w:t>Inclusive</w:t>
            </w:r>
            <w:r>
              <w:rPr>
                <w:rFonts w:ascii="Calibri"/>
                <w:b/>
                <w:color w:val="17365A"/>
                <w:spacing w:val="2"/>
                <w:sz w:val="20"/>
              </w:rPr>
              <w:t xml:space="preserve"> </w:t>
            </w:r>
            <w:r>
              <w:rPr>
                <w:rFonts w:ascii="Calibri"/>
                <w:b/>
                <w:color w:val="17365A"/>
                <w:spacing w:val="-2"/>
                <w:sz w:val="20"/>
              </w:rPr>
              <w:t>Policies:</w:t>
            </w:r>
            <w:r>
              <w:rPr>
                <w:rFonts w:ascii="Calibri"/>
                <w:b/>
                <w:color w:val="17365A"/>
                <w:spacing w:val="5"/>
                <w:sz w:val="20"/>
              </w:rPr>
              <w:t xml:space="preserve"> </w:t>
            </w:r>
            <w:r>
              <w:rPr>
                <w:rFonts w:ascii="Calibri"/>
                <w:b/>
                <w:color w:val="17365A"/>
                <w:spacing w:val="-2"/>
                <w:sz w:val="20"/>
              </w:rPr>
              <w:t>From</w:t>
            </w:r>
            <w:r>
              <w:rPr>
                <w:rFonts w:ascii="Calibri"/>
                <w:b/>
                <w:color w:val="17365A"/>
                <w:spacing w:val="3"/>
                <w:sz w:val="20"/>
              </w:rPr>
              <w:t xml:space="preserve"> </w:t>
            </w:r>
            <w:r>
              <w:rPr>
                <w:rFonts w:ascii="Calibri"/>
                <w:b/>
                <w:color w:val="17365A"/>
                <w:spacing w:val="-2"/>
                <w:sz w:val="20"/>
              </w:rPr>
              <w:t>Community</w:t>
            </w:r>
            <w:r>
              <w:rPr>
                <w:rFonts w:ascii="Calibri"/>
                <w:b/>
                <w:color w:val="17365A"/>
                <w:spacing w:val="1"/>
                <w:sz w:val="20"/>
              </w:rPr>
              <w:t xml:space="preserve"> </w:t>
            </w:r>
            <w:r>
              <w:rPr>
                <w:rFonts w:ascii="Calibri"/>
                <w:b/>
                <w:color w:val="17365A"/>
                <w:spacing w:val="-2"/>
                <w:sz w:val="20"/>
              </w:rPr>
              <w:t>Voices</w:t>
            </w:r>
            <w:r>
              <w:rPr>
                <w:rFonts w:ascii="Calibri"/>
                <w:b/>
                <w:color w:val="17365A"/>
                <w:spacing w:val="2"/>
                <w:sz w:val="20"/>
              </w:rPr>
              <w:t xml:space="preserve"> </w:t>
            </w:r>
            <w:r>
              <w:rPr>
                <w:rFonts w:ascii="Calibri"/>
                <w:b/>
                <w:color w:val="17365A"/>
                <w:spacing w:val="-2"/>
                <w:sz w:val="20"/>
              </w:rPr>
              <w:t>To</w:t>
            </w:r>
            <w:r>
              <w:rPr>
                <w:rFonts w:ascii="Calibri"/>
                <w:b/>
                <w:color w:val="17365A"/>
                <w:spacing w:val="3"/>
                <w:sz w:val="20"/>
              </w:rPr>
              <w:t xml:space="preserve"> </w:t>
            </w:r>
            <w:r>
              <w:rPr>
                <w:rFonts w:ascii="Calibri"/>
                <w:b/>
                <w:color w:val="17365A"/>
                <w:spacing w:val="-2"/>
                <w:sz w:val="20"/>
              </w:rPr>
              <w:t>Government</w:t>
            </w:r>
            <w:r>
              <w:rPr>
                <w:rFonts w:ascii="Calibri"/>
                <w:b/>
                <w:color w:val="17365A"/>
                <w:spacing w:val="3"/>
                <w:sz w:val="20"/>
              </w:rPr>
              <w:t xml:space="preserve"> </w:t>
            </w:r>
            <w:r>
              <w:rPr>
                <w:rFonts w:ascii="Calibri"/>
                <w:b/>
                <w:color w:val="17365A"/>
                <w:spacing w:val="-2"/>
                <w:sz w:val="20"/>
              </w:rPr>
              <w:t>Action</w:t>
            </w:r>
          </w:p>
          <w:p w14:paraId="188E3D09" w14:textId="77777777" w:rsidR="00BC24A8" w:rsidRDefault="00000000">
            <w:pPr>
              <w:pStyle w:val="TableParagraph"/>
              <w:spacing w:before="219"/>
              <w:ind w:left="251" w:right="239"/>
              <w:jc w:val="both"/>
              <w:rPr>
                <w:sz w:val="18"/>
              </w:rPr>
            </w:pPr>
            <w:r>
              <w:rPr>
                <w:noProof/>
                <w:sz w:val="18"/>
              </w:rPr>
              <mc:AlternateContent>
                <mc:Choice Requires="wpg">
                  <w:drawing>
                    <wp:anchor distT="0" distB="0" distL="0" distR="0" simplePos="0" relativeHeight="478663168" behindDoc="1" locked="0" layoutInCell="1" allowOverlap="1" wp14:anchorId="436B0187" wp14:editId="2302EFF4">
                      <wp:simplePos x="0" y="0"/>
                      <wp:positionH relativeFrom="column">
                        <wp:posOffset>3041</wp:posOffset>
                      </wp:positionH>
                      <wp:positionV relativeFrom="paragraph">
                        <wp:posOffset>-386088</wp:posOffset>
                      </wp:positionV>
                      <wp:extent cx="5765800" cy="8330565"/>
                      <wp:effectExtent l="0" t="0" r="0" b="0"/>
                      <wp:wrapNone/>
                      <wp:docPr id="74" name="Group 74" descr="This text presents two success stories from SKALA's work in Aceh: one details how SKALA facilitated the inclusion of disabled people's organisations in government policy-making, resulting in GEDSI-responsive budgets. The second story explains how SKALA strengthened Aceh One Data by improving Diskominsa's data governance role, integrating crucial sectoral data for better-informed decis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8330565"/>
                                <a:chOff x="0" y="0"/>
                                <a:chExt cx="5765800" cy="8330565"/>
                              </a:xfrm>
                            </wpg:grpSpPr>
                            <wps:wsp>
                              <wps:cNvPr id="75" name="Graphic 75"/>
                              <wps:cNvSpPr/>
                              <wps:spPr>
                                <a:xfrm>
                                  <a:off x="0" y="0"/>
                                  <a:ext cx="5765800" cy="8330565"/>
                                </a:xfrm>
                                <a:custGeom>
                                  <a:avLst/>
                                  <a:gdLst/>
                                  <a:ahLst/>
                                  <a:cxnLst/>
                                  <a:rect l="l" t="t" r="r" b="b"/>
                                  <a:pathLst>
                                    <a:path w="5765800" h="8330565">
                                      <a:moveTo>
                                        <a:pt x="5765292" y="3790188"/>
                                      </a:moveTo>
                                      <a:lnTo>
                                        <a:pt x="0" y="3790188"/>
                                      </a:lnTo>
                                      <a:lnTo>
                                        <a:pt x="0" y="8330184"/>
                                      </a:lnTo>
                                      <a:lnTo>
                                        <a:pt x="5765292" y="8330184"/>
                                      </a:lnTo>
                                      <a:lnTo>
                                        <a:pt x="5765292" y="3790188"/>
                                      </a:lnTo>
                                      <a:close/>
                                    </a:path>
                                    <a:path w="5765800" h="8330565">
                                      <a:moveTo>
                                        <a:pt x="5765292" y="0"/>
                                      </a:moveTo>
                                      <a:lnTo>
                                        <a:pt x="0" y="0"/>
                                      </a:lnTo>
                                      <a:lnTo>
                                        <a:pt x="0" y="3784092"/>
                                      </a:lnTo>
                                      <a:lnTo>
                                        <a:pt x="5765292" y="3784092"/>
                                      </a:lnTo>
                                      <a:lnTo>
                                        <a:pt x="5765292" y="0"/>
                                      </a:lnTo>
                                      <a:close/>
                                    </a:path>
                                  </a:pathLst>
                                </a:custGeom>
                                <a:solidFill>
                                  <a:srgbClr val="E1F1EF"/>
                                </a:solidFill>
                              </wps:spPr>
                              <wps:bodyPr wrap="square" lIns="0" tIns="0" rIns="0" bIns="0" rtlCol="0">
                                <a:prstTxWarp prst="textNoShape">
                                  <a:avLst/>
                                </a:prstTxWarp>
                                <a:noAutofit/>
                              </wps:bodyPr>
                            </wps:wsp>
                            <wps:wsp>
                              <wps:cNvPr id="76" name="Graphic 76"/>
                              <wps:cNvSpPr/>
                              <wps:spPr>
                                <a:xfrm>
                                  <a:off x="175768" y="2736494"/>
                                  <a:ext cx="5440045" cy="4570095"/>
                                </a:xfrm>
                                <a:custGeom>
                                  <a:avLst/>
                                  <a:gdLst/>
                                  <a:ahLst/>
                                  <a:cxnLst/>
                                  <a:rect l="l" t="t" r="r" b="b"/>
                                  <a:pathLst>
                                    <a:path w="5440045" h="4570095">
                                      <a:moveTo>
                                        <a:pt x="0" y="0"/>
                                      </a:moveTo>
                                      <a:lnTo>
                                        <a:pt x="5410200" y="0"/>
                                      </a:lnTo>
                                      <a:lnTo>
                                        <a:pt x="5410200" y="752690"/>
                                      </a:lnTo>
                                      <a:lnTo>
                                        <a:pt x="0" y="752690"/>
                                      </a:lnTo>
                                      <a:lnTo>
                                        <a:pt x="0" y="0"/>
                                      </a:lnTo>
                                      <a:close/>
                                    </a:path>
                                    <a:path w="5440045" h="4570095">
                                      <a:moveTo>
                                        <a:pt x="29844" y="3833723"/>
                                      </a:moveTo>
                                      <a:lnTo>
                                        <a:pt x="5440045" y="3833723"/>
                                      </a:lnTo>
                                      <a:lnTo>
                                        <a:pt x="5440045" y="4569701"/>
                                      </a:lnTo>
                                      <a:lnTo>
                                        <a:pt x="29844" y="4569701"/>
                                      </a:lnTo>
                                      <a:lnTo>
                                        <a:pt x="29844" y="3833723"/>
                                      </a:lnTo>
                                      <a:close/>
                                    </a:path>
                                  </a:pathLst>
                                </a:custGeom>
                                <a:ln w="12700">
                                  <a:solidFill>
                                    <a:srgbClr val="17365A"/>
                                  </a:solidFill>
                                  <a:prstDash val="solid"/>
                                </a:ln>
                              </wps:spPr>
                              <wps:bodyPr wrap="square" lIns="0" tIns="0" rIns="0" bIns="0" rtlCol="0">
                                <a:prstTxWarp prst="textNoShape">
                                  <a:avLst/>
                                </a:prstTxWarp>
                                <a:noAutofit/>
                              </wps:bodyPr>
                            </wps:wsp>
                          </wpg:wgp>
                        </a:graphicData>
                      </a:graphic>
                    </wp:anchor>
                  </w:drawing>
                </mc:Choice>
                <mc:Fallback>
                  <w:pict>
                    <v:group w14:anchorId="292DDBCC" id="Group 74" o:spid="_x0000_s1026" alt="This text presents two success stories from SKALA's work in Aceh: one details how SKALA facilitated the inclusion of disabled people's organisations in government policy-making, resulting in GEDSI-responsive budgets. The second story explains how SKALA strengthened Aceh One Data by improving Diskominsa's data governance role, integrating crucial sectoral data for better-informed decisions." style="position:absolute;margin-left:.25pt;margin-top:-30.4pt;width:454pt;height:655.95pt;z-index:-24653312;mso-wrap-distance-left:0;mso-wrap-distance-right:0" coordsize="57658,8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">
                      <v:shape id="Graphic 75" o:spid="_x0000_s1027" style="position:absolute;width:57658;height:83305;visibility:visible;mso-wrap-style:square;v-text-anchor:top" coordsize="5765800,833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" path="m5765292,3790188l,3790188,,8330184r5765292,l5765292,3790188xem5765292,l,,,3784092r5765292,l5765292,xe" fillcolor="#e1f1ef" stroked="f">
                        <v:path arrowok="t"/>
                      </v:shape>
                      <v:shape id="Graphic 76" o:spid="_x0000_s1028" style="position:absolute;left:1757;top:27364;width:54401;height:45701;visibility:visible;mso-wrap-style:square;v-text-anchor:top" coordsize="5440045,457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" path="m,l5410200,r,752690l,752690,,xem29844,3833723r5410201,l5440045,4569701r-5410201,l29844,3833723xe" filled="f" strokecolor="#17365a" strokeweight="1pt">
                        <v:path arrowok="t"/>
                      </v:shape>
                    </v:group>
                  </w:pict>
                </mc:Fallback>
              </mc:AlternateContent>
            </w:r>
            <w:r>
              <w:rPr>
                <w:sz w:val="18"/>
              </w:rPr>
              <w:t>Limited</w:t>
            </w:r>
            <w:r>
              <w:rPr>
                <w:spacing w:val="-4"/>
                <w:sz w:val="18"/>
              </w:rPr>
              <w:t xml:space="preserve"> </w:t>
            </w:r>
            <w:r>
              <w:rPr>
                <w:sz w:val="18"/>
              </w:rPr>
              <w:t>access</w:t>
            </w:r>
            <w:r>
              <w:rPr>
                <w:spacing w:val="-4"/>
                <w:sz w:val="18"/>
              </w:rPr>
              <w:t xml:space="preserve"> </w:t>
            </w:r>
            <w:r>
              <w:rPr>
                <w:sz w:val="18"/>
              </w:rPr>
              <w:t>to</w:t>
            </w:r>
            <w:r>
              <w:rPr>
                <w:spacing w:val="-5"/>
                <w:sz w:val="18"/>
              </w:rPr>
              <w:t xml:space="preserve"> </w:t>
            </w:r>
            <w:r>
              <w:rPr>
                <w:sz w:val="18"/>
              </w:rPr>
              <w:t>inclusive</w:t>
            </w:r>
            <w:r>
              <w:rPr>
                <w:spacing w:val="-4"/>
                <w:sz w:val="18"/>
              </w:rPr>
              <w:t xml:space="preserve"> </w:t>
            </w:r>
            <w:r>
              <w:rPr>
                <w:sz w:val="18"/>
              </w:rPr>
              <w:t>and</w:t>
            </w:r>
            <w:r>
              <w:rPr>
                <w:spacing w:val="-4"/>
                <w:sz w:val="18"/>
              </w:rPr>
              <w:t xml:space="preserve"> </w:t>
            </w:r>
            <w:r>
              <w:rPr>
                <w:sz w:val="18"/>
              </w:rPr>
              <w:t>participatory</w:t>
            </w:r>
            <w:r>
              <w:rPr>
                <w:spacing w:val="-4"/>
                <w:sz w:val="18"/>
              </w:rPr>
              <w:t xml:space="preserve"> </w:t>
            </w:r>
            <w:r>
              <w:rPr>
                <w:sz w:val="18"/>
              </w:rPr>
              <w:t>public</w:t>
            </w:r>
            <w:r>
              <w:rPr>
                <w:spacing w:val="-6"/>
                <w:sz w:val="18"/>
              </w:rPr>
              <w:t xml:space="preserve"> </w:t>
            </w:r>
            <w:r>
              <w:rPr>
                <w:sz w:val="18"/>
              </w:rPr>
              <w:t>policies</w:t>
            </w:r>
            <w:r>
              <w:rPr>
                <w:spacing w:val="-4"/>
                <w:sz w:val="18"/>
              </w:rPr>
              <w:t xml:space="preserve"> </w:t>
            </w:r>
            <w:r>
              <w:rPr>
                <w:sz w:val="18"/>
              </w:rPr>
              <w:t>has</w:t>
            </w:r>
            <w:r>
              <w:rPr>
                <w:spacing w:val="-4"/>
                <w:sz w:val="18"/>
              </w:rPr>
              <w:t xml:space="preserve"> </w:t>
            </w:r>
            <w:r>
              <w:rPr>
                <w:sz w:val="18"/>
              </w:rPr>
              <w:t>remained</w:t>
            </w:r>
            <w:r>
              <w:rPr>
                <w:spacing w:val="-4"/>
                <w:sz w:val="18"/>
              </w:rPr>
              <w:t xml:space="preserve"> </w:t>
            </w:r>
            <w:r>
              <w:rPr>
                <w:sz w:val="18"/>
              </w:rPr>
              <w:t>a</w:t>
            </w:r>
            <w:r>
              <w:rPr>
                <w:spacing w:val="-5"/>
                <w:sz w:val="18"/>
              </w:rPr>
              <w:t xml:space="preserve"> </w:t>
            </w:r>
            <w:r>
              <w:rPr>
                <w:sz w:val="18"/>
              </w:rPr>
              <w:t>major</w:t>
            </w:r>
            <w:r>
              <w:rPr>
                <w:spacing w:val="-4"/>
                <w:sz w:val="18"/>
              </w:rPr>
              <w:t xml:space="preserve"> </w:t>
            </w:r>
            <w:r>
              <w:rPr>
                <w:sz w:val="18"/>
              </w:rPr>
              <w:t>challenge</w:t>
            </w:r>
            <w:r>
              <w:rPr>
                <w:spacing w:val="-4"/>
                <w:sz w:val="18"/>
              </w:rPr>
              <w:t xml:space="preserve"> </w:t>
            </w:r>
            <w:r>
              <w:rPr>
                <w:sz w:val="18"/>
              </w:rPr>
              <w:t>for</w:t>
            </w:r>
            <w:r>
              <w:rPr>
                <w:spacing w:val="-4"/>
                <w:sz w:val="18"/>
              </w:rPr>
              <w:t xml:space="preserve"> </w:t>
            </w:r>
            <w:r>
              <w:rPr>
                <w:sz w:val="18"/>
              </w:rPr>
              <w:t>many</w:t>
            </w:r>
            <w:r>
              <w:rPr>
                <w:spacing w:val="-7"/>
                <w:sz w:val="18"/>
              </w:rPr>
              <w:t xml:space="preserve"> </w:t>
            </w:r>
            <w:r>
              <w:rPr>
                <w:sz w:val="18"/>
              </w:rPr>
              <w:t>vulnerable</w:t>
            </w:r>
            <w:r>
              <w:rPr>
                <w:spacing w:val="-4"/>
                <w:sz w:val="18"/>
              </w:rPr>
              <w:t xml:space="preserve"> </w:t>
            </w:r>
            <w:r>
              <w:rPr>
                <w:sz w:val="18"/>
              </w:rPr>
              <w:t>groups in Aceh. Change began to take shape with SKALA’s support. Through a data-driven and inclusive approach, SKALA has bridged dialogue between disabled people’s organisations (DPOs) and the Aceh provincial government.</w:t>
            </w:r>
          </w:p>
          <w:p w14:paraId="23C846C2" w14:textId="77777777" w:rsidR="00BC24A8" w:rsidRDefault="00000000">
            <w:pPr>
              <w:pStyle w:val="TableParagraph"/>
              <w:spacing w:before="162"/>
              <w:ind w:left="251" w:right="237"/>
              <w:jc w:val="both"/>
              <w:rPr>
                <w:sz w:val="18"/>
              </w:rPr>
            </w:pPr>
            <w:r>
              <w:rPr>
                <w:sz w:val="18"/>
              </w:rPr>
              <w:t>One</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results</w:t>
            </w:r>
            <w:r>
              <w:rPr>
                <w:spacing w:val="-6"/>
                <w:sz w:val="18"/>
              </w:rPr>
              <w:t xml:space="preserve"> </w:t>
            </w:r>
            <w:r>
              <w:rPr>
                <w:sz w:val="18"/>
              </w:rPr>
              <w:t>of</w:t>
            </w:r>
            <w:r>
              <w:rPr>
                <w:spacing w:val="-7"/>
                <w:sz w:val="18"/>
              </w:rPr>
              <w:t xml:space="preserve"> </w:t>
            </w:r>
            <w:r>
              <w:rPr>
                <w:sz w:val="18"/>
              </w:rPr>
              <w:t>SKALA’s</w:t>
            </w:r>
            <w:r>
              <w:rPr>
                <w:spacing w:val="-6"/>
                <w:sz w:val="18"/>
              </w:rPr>
              <w:t xml:space="preserve"> </w:t>
            </w:r>
            <w:r>
              <w:rPr>
                <w:sz w:val="18"/>
              </w:rPr>
              <w:t>support</w:t>
            </w:r>
            <w:r>
              <w:rPr>
                <w:spacing w:val="-5"/>
                <w:sz w:val="18"/>
              </w:rPr>
              <w:t xml:space="preserve"> </w:t>
            </w:r>
            <w:r>
              <w:rPr>
                <w:sz w:val="18"/>
              </w:rPr>
              <w:t>is</w:t>
            </w:r>
            <w:r>
              <w:rPr>
                <w:spacing w:val="-6"/>
                <w:sz w:val="18"/>
              </w:rPr>
              <w:t xml:space="preserve"> </w:t>
            </w:r>
            <w:r>
              <w:rPr>
                <w:sz w:val="18"/>
              </w:rPr>
              <w:t>the</w:t>
            </w:r>
            <w:r>
              <w:rPr>
                <w:spacing w:val="-6"/>
                <w:sz w:val="18"/>
              </w:rPr>
              <w:t xml:space="preserve"> </w:t>
            </w:r>
            <w:r>
              <w:rPr>
                <w:sz w:val="18"/>
              </w:rPr>
              <w:t>active</w:t>
            </w:r>
            <w:r>
              <w:rPr>
                <w:spacing w:val="-6"/>
                <w:sz w:val="18"/>
              </w:rPr>
              <w:t xml:space="preserve"> </w:t>
            </w:r>
            <w:r>
              <w:rPr>
                <w:sz w:val="18"/>
              </w:rPr>
              <w:t>involvement</w:t>
            </w:r>
            <w:r>
              <w:rPr>
                <w:spacing w:val="-5"/>
                <w:sz w:val="18"/>
              </w:rPr>
              <w:t xml:space="preserve"> </w:t>
            </w:r>
            <w:r>
              <w:rPr>
                <w:sz w:val="18"/>
              </w:rPr>
              <w:t>of</w:t>
            </w:r>
            <w:r>
              <w:rPr>
                <w:spacing w:val="-7"/>
                <w:sz w:val="18"/>
              </w:rPr>
              <w:t xml:space="preserve"> </w:t>
            </w:r>
            <w:r>
              <w:rPr>
                <w:sz w:val="18"/>
              </w:rPr>
              <w:t>DPOs</w:t>
            </w:r>
            <w:r>
              <w:rPr>
                <w:spacing w:val="-6"/>
                <w:sz w:val="18"/>
              </w:rPr>
              <w:t xml:space="preserve"> </w:t>
            </w:r>
            <w:r>
              <w:rPr>
                <w:sz w:val="18"/>
              </w:rPr>
              <w:t>in</w:t>
            </w:r>
            <w:r>
              <w:rPr>
                <w:spacing w:val="-6"/>
                <w:sz w:val="18"/>
              </w:rPr>
              <w:t xml:space="preserve"> </w:t>
            </w:r>
            <w:r>
              <w:rPr>
                <w:sz w:val="18"/>
              </w:rPr>
              <w:t>local</w:t>
            </w:r>
            <w:r>
              <w:rPr>
                <w:spacing w:val="-5"/>
                <w:sz w:val="18"/>
              </w:rPr>
              <w:t xml:space="preserve"> </w:t>
            </w:r>
            <w:r>
              <w:rPr>
                <w:sz w:val="18"/>
              </w:rPr>
              <w:t>policy-making</w:t>
            </w:r>
            <w:r>
              <w:rPr>
                <w:spacing w:val="-6"/>
                <w:sz w:val="18"/>
              </w:rPr>
              <w:t xml:space="preserve"> </w:t>
            </w:r>
            <w:r>
              <w:rPr>
                <w:sz w:val="18"/>
              </w:rPr>
              <w:t>processes.</w:t>
            </w:r>
            <w:r>
              <w:rPr>
                <w:spacing w:val="-7"/>
                <w:sz w:val="18"/>
              </w:rPr>
              <w:t xml:space="preserve"> </w:t>
            </w:r>
            <w:r>
              <w:rPr>
                <w:sz w:val="18"/>
              </w:rPr>
              <w:t>Their</w:t>
            </w:r>
            <w:r>
              <w:rPr>
                <w:spacing w:val="-5"/>
                <w:sz w:val="18"/>
              </w:rPr>
              <w:t xml:space="preserve"> </w:t>
            </w:r>
            <w:r>
              <w:rPr>
                <w:sz w:val="18"/>
              </w:rPr>
              <w:t>input</w:t>
            </w:r>
            <w:r>
              <w:rPr>
                <w:spacing w:val="-5"/>
                <w:sz w:val="18"/>
              </w:rPr>
              <w:t xml:space="preserve"> </w:t>
            </w:r>
            <w:r>
              <w:rPr>
                <w:sz w:val="18"/>
              </w:rPr>
              <w:t>has been</w:t>
            </w:r>
            <w:r>
              <w:rPr>
                <w:spacing w:val="-3"/>
                <w:sz w:val="18"/>
              </w:rPr>
              <w:t xml:space="preserve"> </w:t>
            </w:r>
            <w:r>
              <w:rPr>
                <w:sz w:val="18"/>
              </w:rPr>
              <w:t>integrated</w:t>
            </w:r>
            <w:r>
              <w:rPr>
                <w:spacing w:val="-3"/>
                <w:sz w:val="18"/>
              </w:rPr>
              <w:t xml:space="preserve"> </w:t>
            </w:r>
            <w:r>
              <w:rPr>
                <w:sz w:val="18"/>
              </w:rPr>
              <w:t>into</w:t>
            </w:r>
            <w:r>
              <w:rPr>
                <w:spacing w:val="-3"/>
                <w:sz w:val="18"/>
              </w:rPr>
              <w:t xml:space="preserve"> </w:t>
            </w:r>
            <w:r>
              <w:rPr>
                <w:sz w:val="18"/>
              </w:rPr>
              <w:t>regional</w:t>
            </w:r>
            <w:r>
              <w:rPr>
                <w:spacing w:val="-2"/>
                <w:sz w:val="18"/>
              </w:rPr>
              <w:t xml:space="preserve"> </w:t>
            </w:r>
            <w:r>
              <w:rPr>
                <w:sz w:val="18"/>
              </w:rPr>
              <w:t>planning</w:t>
            </w:r>
            <w:r>
              <w:rPr>
                <w:spacing w:val="-3"/>
                <w:sz w:val="18"/>
              </w:rPr>
              <w:t xml:space="preserve"> </w:t>
            </w:r>
            <w:r>
              <w:rPr>
                <w:sz w:val="18"/>
              </w:rPr>
              <w:t>documents.</w:t>
            </w:r>
            <w:r>
              <w:rPr>
                <w:spacing w:val="-4"/>
                <w:sz w:val="18"/>
              </w:rPr>
              <w:t xml:space="preserve"> </w:t>
            </w:r>
            <w:r>
              <w:rPr>
                <w:sz w:val="18"/>
              </w:rPr>
              <w:t>Elin,</w:t>
            </w:r>
            <w:r>
              <w:rPr>
                <w:spacing w:val="-4"/>
                <w:sz w:val="18"/>
              </w:rPr>
              <w:t xml:space="preserve"> </w:t>
            </w:r>
            <w:r>
              <w:rPr>
                <w:sz w:val="18"/>
              </w:rPr>
              <w:t>a</w:t>
            </w:r>
            <w:r>
              <w:rPr>
                <w:spacing w:val="-4"/>
                <w:sz w:val="18"/>
              </w:rPr>
              <w:t xml:space="preserve"> </w:t>
            </w:r>
            <w:r>
              <w:rPr>
                <w:sz w:val="18"/>
              </w:rPr>
              <w:t>key</w:t>
            </w:r>
            <w:r>
              <w:rPr>
                <w:spacing w:val="-3"/>
                <w:sz w:val="18"/>
              </w:rPr>
              <w:t xml:space="preserve"> </w:t>
            </w:r>
            <w:r>
              <w:rPr>
                <w:sz w:val="18"/>
              </w:rPr>
              <w:t>advocate</w:t>
            </w:r>
            <w:r>
              <w:rPr>
                <w:spacing w:val="-3"/>
                <w:sz w:val="18"/>
              </w:rPr>
              <w:t xml:space="preserve"> </w:t>
            </w:r>
            <w:r>
              <w:rPr>
                <w:sz w:val="18"/>
              </w:rPr>
              <w:t>from</w:t>
            </w:r>
            <w:r>
              <w:rPr>
                <w:spacing w:val="-4"/>
                <w:sz w:val="18"/>
              </w:rPr>
              <w:t xml:space="preserve"> </w:t>
            </w:r>
            <w:r>
              <w:rPr>
                <w:sz w:val="18"/>
              </w:rPr>
              <w:t>Children</w:t>
            </w:r>
            <w:r>
              <w:rPr>
                <w:spacing w:val="-3"/>
                <w:sz w:val="18"/>
              </w:rPr>
              <w:t xml:space="preserve"> </w:t>
            </w:r>
            <w:r>
              <w:rPr>
                <w:sz w:val="18"/>
              </w:rPr>
              <w:t>and</w:t>
            </w:r>
            <w:r>
              <w:rPr>
                <w:spacing w:val="-3"/>
                <w:sz w:val="18"/>
              </w:rPr>
              <w:t xml:space="preserve"> </w:t>
            </w:r>
            <w:r>
              <w:rPr>
                <w:sz w:val="18"/>
              </w:rPr>
              <w:t>Youth</w:t>
            </w:r>
            <w:r>
              <w:rPr>
                <w:spacing w:val="-3"/>
                <w:sz w:val="18"/>
              </w:rPr>
              <w:t xml:space="preserve"> </w:t>
            </w:r>
            <w:r>
              <w:rPr>
                <w:sz w:val="18"/>
              </w:rPr>
              <w:t>Disabilities</w:t>
            </w:r>
            <w:r>
              <w:rPr>
                <w:spacing w:val="-5"/>
                <w:sz w:val="18"/>
              </w:rPr>
              <w:t xml:space="preserve"> </w:t>
            </w:r>
            <w:r>
              <w:rPr>
                <w:sz w:val="18"/>
              </w:rPr>
              <w:t>for</w:t>
            </w:r>
            <w:r>
              <w:rPr>
                <w:spacing w:val="-3"/>
                <w:sz w:val="18"/>
              </w:rPr>
              <w:t xml:space="preserve"> </w:t>
            </w:r>
            <w:r>
              <w:rPr>
                <w:sz w:val="18"/>
              </w:rPr>
              <w:t xml:space="preserve">Change (CYDC) Aceh, has actively provided guidance and helped facilitate GEDSI-related advocacy with the provincial </w:t>
            </w:r>
            <w:r>
              <w:rPr>
                <w:spacing w:val="-2"/>
                <w:sz w:val="18"/>
              </w:rPr>
              <w:t>government.</w:t>
            </w:r>
          </w:p>
          <w:p w14:paraId="554F34B3" w14:textId="77777777" w:rsidR="00BC24A8" w:rsidRDefault="00000000">
            <w:pPr>
              <w:pStyle w:val="TableParagraph"/>
              <w:spacing w:before="160"/>
              <w:ind w:left="251" w:right="239"/>
              <w:jc w:val="both"/>
              <w:rPr>
                <w:sz w:val="18"/>
              </w:rPr>
            </w:pPr>
            <w:r>
              <w:rPr>
                <w:sz w:val="18"/>
              </w:rPr>
              <w:t xml:space="preserve">In addition, SKALA and CYDC have supported institutional transformation around GEDSI issues. For the first time, </w:t>
            </w:r>
            <w:r>
              <w:rPr>
                <w:i/>
                <w:sz w:val="18"/>
              </w:rPr>
              <w:t xml:space="preserve">Bappeda </w:t>
            </w:r>
            <w:r>
              <w:rPr>
                <w:sz w:val="18"/>
              </w:rPr>
              <w:t>Aceh approved the establishment of an inclusion forum in the preparation of the Regional Action Plan (RAD) for Persons with Disabilities.</w:t>
            </w:r>
            <w:r>
              <w:rPr>
                <w:spacing w:val="-1"/>
                <w:sz w:val="18"/>
              </w:rPr>
              <w:t xml:space="preserve"> </w:t>
            </w:r>
            <w:r>
              <w:rPr>
                <w:sz w:val="18"/>
              </w:rPr>
              <w:t>Several SKPA</w:t>
            </w:r>
            <w:r>
              <w:rPr>
                <w:spacing w:val="-1"/>
                <w:sz w:val="18"/>
              </w:rPr>
              <w:t xml:space="preserve"> </w:t>
            </w:r>
            <w:r>
              <w:rPr>
                <w:sz w:val="18"/>
              </w:rPr>
              <w:t>also</w:t>
            </w:r>
            <w:r>
              <w:rPr>
                <w:spacing w:val="-1"/>
                <w:sz w:val="18"/>
              </w:rPr>
              <w:t xml:space="preserve"> </w:t>
            </w:r>
            <w:r>
              <w:rPr>
                <w:sz w:val="18"/>
              </w:rPr>
              <w:t>committed to</w:t>
            </w:r>
            <w:r>
              <w:rPr>
                <w:spacing w:val="-1"/>
                <w:sz w:val="18"/>
              </w:rPr>
              <w:t xml:space="preserve"> </w:t>
            </w:r>
            <w:r>
              <w:rPr>
                <w:sz w:val="18"/>
              </w:rPr>
              <w:t>allocating</w:t>
            </w:r>
            <w:r>
              <w:rPr>
                <w:spacing w:val="-1"/>
                <w:sz w:val="18"/>
              </w:rPr>
              <w:t xml:space="preserve"> </w:t>
            </w:r>
            <w:r>
              <w:rPr>
                <w:sz w:val="18"/>
              </w:rPr>
              <w:t>budgets</w:t>
            </w:r>
            <w:r>
              <w:rPr>
                <w:spacing w:val="-3"/>
                <w:sz w:val="18"/>
              </w:rPr>
              <w:t xml:space="preserve"> </w:t>
            </w:r>
            <w:r>
              <w:rPr>
                <w:sz w:val="18"/>
              </w:rPr>
              <w:t>that are responsive to</w:t>
            </w:r>
            <w:r>
              <w:rPr>
                <w:spacing w:val="-1"/>
                <w:sz w:val="18"/>
              </w:rPr>
              <w:t xml:space="preserve"> </w:t>
            </w:r>
            <w:r>
              <w:rPr>
                <w:sz w:val="18"/>
              </w:rPr>
              <w:t>disability needs.</w:t>
            </w:r>
          </w:p>
          <w:p w14:paraId="5AA5A805" w14:textId="77777777" w:rsidR="00BC24A8" w:rsidRDefault="00000000">
            <w:pPr>
              <w:pStyle w:val="TableParagraph"/>
              <w:spacing w:before="159"/>
              <w:ind w:left="251" w:right="238"/>
              <w:jc w:val="both"/>
              <w:rPr>
                <w:sz w:val="18"/>
              </w:rPr>
            </w:pPr>
            <w:r>
              <w:rPr>
                <w:noProof/>
                <w:sz w:val="18"/>
              </w:rPr>
              <mc:AlternateContent>
                <mc:Choice Requires="wpg">
                  <w:drawing>
                    <wp:anchor distT="0" distB="0" distL="0" distR="0" simplePos="0" relativeHeight="15746048" behindDoc="0" locked="0" layoutInCell="1" allowOverlap="1" wp14:anchorId="0D81360D" wp14:editId="42BC19AA">
                      <wp:simplePos x="0" y="0"/>
                      <wp:positionH relativeFrom="column">
                        <wp:posOffset>239786</wp:posOffset>
                      </wp:positionH>
                      <wp:positionV relativeFrom="paragraph">
                        <wp:posOffset>456897</wp:posOffset>
                      </wp:positionV>
                      <wp:extent cx="223520" cy="205740"/>
                      <wp:effectExtent l="0" t="0" r="0" b="0"/>
                      <wp:wrapNone/>
                      <wp:docPr id="77"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205740"/>
                                <a:chOff x="0" y="0"/>
                                <a:chExt cx="223520" cy="205740"/>
                              </a:xfrm>
                            </wpg:grpSpPr>
                            <pic:pic xmlns:pic="http://schemas.openxmlformats.org/drawingml/2006/picture">
                              <pic:nvPicPr>
                                <pic:cNvPr id="78" name="Image 78"/>
                                <pic:cNvPicPr/>
                              </pic:nvPicPr>
                              <pic:blipFill>
                                <a:blip r:embed="rId14" cstate="print"/>
                                <a:stretch>
                                  <a:fillRect/>
                                </a:stretch>
                              </pic:blipFill>
                              <pic:spPr>
                                <a:xfrm>
                                  <a:off x="0" y="0"/>
                                  <a:ext cx="223210" cy="205345"/>
                                </a:xfrm>
                                <a:prstGeom prst="rect">
                                  <a:avLst/>
                                </a:prstGeom>
                              </pic:spPr>
                            </pic:pic>
                          </wpg:wgp>
                        </a:graphicData>
                      </a:graphic>
                    </wp:anchor>
                  </w:drawing>
                </mc:Choice>
                <mc:Fallback>
                  <w:pict>
                    <v:group w14:anchorId="0A813E28" id="Group 77" o:spid="_x0000_s1026" alt="&quot;&quot;" style="position:absolute;margin-left:18.9pt;margin-top:36pt;width:17.6pt;height:16.2pt;z-index:15746048;mso-wrap-distance-left:0;mso-wrap-distance-right:0" coordsize="223520,20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">
                      <v:shape id="Image 78" o:spid="_x0000_s1027" type="#_x0000_t75" style="position:absolute;width:223210;height:205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">
                        <v:imagedata r:id="rId16" o:title=""/>
                      </v:shape>
                    </v:group>
                  </w:pict>
                </mc:Fallback>
              </mc:AlternateContent>
            </w:r>
            <w:r>
              <w:rPr>
                <w:sz w:val="18"/>
              </w:rPr>
              <w:t>For</w:t>
            </w:r>
            <w:r>
              <w:rPr>
                <w:spacing w:val="-6"/>
                <w:sz w:val="18"/>
              </w:rPr>
              <w:t xml:space="preserve"> </w:t>
            </w:r>
            <w:r>
              <w:rPr>
                <w:sz w:val="18"/>
              </w:rPr>
              <w:t>Elin</w:t>
            </w:r>
            <w:r>
              <w:rPr>
                <w:spacing w:val="-9"/>
                <w:sz w:val="18"/>
              </w:rPr>
              <w:t xml:space="preserve"> </w:t>
            </w:r>
            <w:r>
              <w:rPr>
                <w:sz w:val="18"/>
              </w:rPr>
              <w:t>and</w:t>
            </w:r>
            <w:r>
              <w:rPr>
                <w:spacing w:val="-7"/>
                <w:sz w:val="18"/>
              </w:rPr>
              <w:t xml:space="preserve"> </w:t>
            </w:r>
            <w:r>
              <w:rPr>
                <w:sz w:val="18"/>
              </w:rPr>
              <w:t>vulnerable</w:t>
            </w:r>
            <w:r>
              <w:rPr>
                <w:spacing w:val="-7"/>
                <w:sz w:val="18"/>
              </w:rPr>
              <w:t xml:space="preserve"> </w:t>
            </w:r>
            <w:r>
              <w:rPr>
                <w:sz w:val="18"/>
              </w:rPr>
              <w:t>groups</w:t>
            </w:r>
            <w:r>
              <w:rPr>
                <w:spacing w:val="-7"/>
                <w:sz w:val="18"/>
              </w:rPr>
              <w:t xml:space="preserve"> </w:t>
            </w:r>
            <w:r>
              <w:rPr>
                <w:sz w:val="18"/>
              </w:rPr>
              <w:t>in</w:t>
            </w:r>
            <w:r>
              <w:rPr>
                <w:spacing w:val="-9"/>
                <w:sz w:val="18"/>
              </w:rPr>
              <w:t xml:space="preserve"> </w:t>
            </w:r>
            <w:r>
              <w:rPr>
                <w:sz w:val="18"/>
              </w:rPr>
              <w:t>Aceh,</w:t>
            </w:r>
            <w:r>
              <w:rPr>
                <w:spacing w:val="-8"/>
                <w:sz w:val="18"/>
              </w:rPr>
              <w:t xml:space="preserve"> </w:t>
            </w:r>
            <w:r>
              <w:rPr>
                <w:sz w:val="18"/>
              </w:rPr>
              <w:t>this</w:t>
            </w:r>
            <w:r>
              <w:rPr>
                <w:spacing w:val="-9"/>
                <w:sz w:val="18"/>
              </w:rPr>
              <w:t xml:space="preserve"> </w:t>
            </w:r>
            <w:r>
              <w:rPr>
                <w:sz w:val="18"/>
              </w:rPr>
              <w:t>represents</w:t>
            </w:r>
            <w:r>
              <w:rPr>
                <w:spacing w:val="-7"/>
                <w:sz w:val="18"/>
              </w:rPr>
              <w:t xml:space="preserve"> </w:t>
            </w:r>
            <w:r>
              <w:rPr>
                <w:sz w:val="18"/>
              </w:rPr>
              <w:t>a</w:t>
            </w:r>
            <w:r>
              <w:rPr>
                <w:spacing w:val="-8"/>
                <w:sz w:val="18"/>
              </w:rPr>
              <w:t xml:space="preserve"> </w:t>
            </w:r>
            <w:r>
              <w:rPr>
                <w:sz w:val="18"/>
              </w:rPr>
              <w:t>significant</w:t>
            </w:r>
            <w:r>
              <w:rPr>
                <w:spacing w:val="-11"/>
                <w:sz w:val="18"/>
              </w:rPr>
              <w:t xml:space="preserve"> </w:t>
            </w:r>
            <w:r>
              <w:rPr>
                <w:sz w:val="18"/>
              </w:rPr>
              <w:t>achievement</w:t>
            </w:r>
            <w:r>
              <w:rPr>
                <w:spacing w:val="-5"/>
                <w:sz w:val="18"/>
              </w:rPr>
              <w:t xml:space="preserve"> </w:t>
            </w:r>
            <w:r>
              <w:rPr>
                <w:sz w:val="18"/>
              </w:rPr>
              <w:t>and</w:t>
            </w:r>
            <w:r>
              <w:rPr>
                <w:spacing w:val="-7"/>
                <w:sz w:val="18"/>
              </w:rPr>
              <w:t xml:space="preserve"> </w:t>
            </w:r>
            <w:r>
              <w:rPr>
                <w:sz w:val="18"/>
              </w:rPr>
              <w:t>a</w:t>
            </w:r>
            <w:r>
              <w:rPr>
                <w:spacing w:val="-8"/>
                <w:sz w:val="18"/>
              </w:rPr>
              <w:t xml:space="preserve"> </w:t>
            </w:r>
            <w:r>
              <w:rPr>
                <w:sz w:val="18"/>
              </w:rPr>
              <w:t>tangible</w:t>
            </w:r>
            <w:r>
              <w:rPr>
                <w:spacing w:val="-7"/>
                <w:sz w:val="18"/>
              </w:rPr>
              <w:t xml:space="preserve"> </w:t>
            </w:r>
            <w:r>
              <w:rPr>
                <w:sz w:val="18"/>
              </w:rPr>
              <w:t>sign</w:t>
            </w:r>
            <w:r>
              <w:rPr>
                <w:spacing w:val="-7"/>
                <w:sz w:val="18"/>
              </w:rPr>
              <w:t xml:space="preserve"> </w:t>
            </w:r>
            <w:r>
              <w:rPr>
                <w:sz w:val="18"/>
              </w:rPr>
              <w:t>that</w:t>
            </w:r>
            <w:r>
              <w:rPr>
                <w:spacing w:val="-8"/>
                <w:sz w:val="18"/>
              </w:rPr>
              <w:t xml:space="preserve"> </w:t>
            </w:r>
            <w:r>
              <w:rPr>
                <w:sz w:val="18"/>
              </w:rPr>
              <w:t>their</w:t>
            </w:r>
            <w:r>
              <w:rPr>
                <w:spacing w:val="-9"/>
                <w:sz w:val="18"/>
              </w:rPr>
              <w:t xml:space="preserve"> </w:t>
            </w:r>
            <w:r>
              <w:rPr>
                <w:sz w:val="18"/>
              </w:rPr>
              <w:t>voices</w:t>
            </w:r>
            <w:r>
              <w:rPr>
                <w:spacing w:val="-7"/>
                <w:sz w:val="18"/>
              </w:rPr>
              <w:t xml:space="preserve"> </w:t>
            </w:r>
            <w:r>
              <w:rPr>
                <w:sz w:val="18"/>
              </w:rPr>
              <w:t>are starting to be heard and recognised in public decision-making.</w:t>
            </w:r>
          </w:p>
        </w:tc>
      </w:tr>
      <w:tr w:rsidR="00BC24A8" w14:paraId="19ACDAF6" w14:textId="77777777">
        <w:trPr>
          <w:trHeight w:val="1185"/>
        </w:trPr>
        <w:tc>
          <w:tcPr>
            <w:tcW w:w="9091" w:type="dxa"/>
            <w:tcBorders>
              <w:top w:val="nil"/>
              <w:bottom w:val="nil"/>
            </w:tcBorders>
          </w:tcPr>
          <w:p w14:paraId="44670165" w14:textId="77777777" w:rsidR="00BC24A8" w:rsidRDefault="00000000">
            <w:pPr>
              <w:pStyle w:val="TableParagraph"/>
              <w:spacing w:before="219" w:line="290" w:lineRule="auto"/>
              <w:ind w:left="578" w:right="198"/>
              <w:rPr>
                <w:rFonts w:ascii="Times New Roman" w:hAnsi="Times New Roman"/>
                <w:b/>
                <w:i/>
                <w:sz w:val="18"/>
              </w:rPr>
            </w:pPr>
            <w:r>
              <w:rPr>
                <w:rFonts w:ascii="Times New Roman" w:hAnsi="Times New Roman"/>
                <w:b/>
                <w:i/>
                <w:color w:val="17365A"/>
                <w:sz w:val="18"/>
              </w:rPr>
              <w:t>We</w:t>
            </w:r>
            <w:r>
              <w:rPr>
                <w:rFonts w:ascii="Times New Roman" w:hAnsi="Times New Roman"/>
                <w:b/>
                <w:i/>
                <w:color w:val="17365A"/>
                <w:spacing w:val="-12"/>
                <w:sz w:val="18"/>
              </w:rPr>
              <w:t xml:space="preserve"> </w:t>
            </w:r>
            <w:r>
              <w:rPr>
                <w:rFonts w:ascii="Times New Roman" w:hAnsi="Times New Roman"/>
                <w:b/>
                <w:i/>
                <w:color w:val="17365A"/>
                <w:sz w:val="18"/>
              </w:rPr>
              <w:t>have</w:t>
            </w:r>
            <w:r>
              <w:rPr>
                <w:rFonts w:ascii="Times New Roman" w:hAnsi="Times New Roman"/>
                <w:b/>
                <w:i/>
                <w:color w:val="17365A"/>
                <w:spacing w:val="-11"/>
                <w:sz w:val="18"/>
              </w:rPr>
              <w:t xml:space="preserve"> </w:t>
            </w:r>
            <w:r>
              <w:rPr>
                <w:rFonts w:ascii="Times New Roman" w:hAnsi="Times New Roman"/>
                <w:b/>
                <w:i/>
                <w:color w:val="17365A"/>
                <w:sz w:val="18"/>
              </w:rPr>
              <w:t>been</w:t>
            </w:r>
            <w:r>
              <w:rPr>
                <w:rFonts w:ascii="Times New Roman" w:hAnsi="Times New Roman"/>
                <w:b/>
                <w:i/>
                <w:color w:val="17365A"/>
                <w:spacing w:val="-11"/>
                <w:sz w:val="18"/>
              </w:rPr>
              <w:t xml:space="preserve"> </w:t>
            </w:r>
            <w:r>
              <w:rPr>
                <w:rFonts w:ascii="Times New Roman" w:hAnsi="Times New Roman"/>
                <w:b/>
                <w:i/>
                <w:color w:val="17365A"/>
                <w:sz w:val="18"/>
              </w:rPr>
              <w:t>speaking</w:t>
            </w:r>
            <w:r>
              <w:rPr>
                <w:rFonts w:ascii="Times New Roman" w:hAnsi="Times New Roman"/>
                <w:b/>
                <w:i/>
                <w:color w:val="17365A"/>
                <w:spacing w:val="-11"/>
                <w:sz w:val="18"/>
              </w:rPr>
              <w:t xml:space="preserve"> </w:t>
            </w:r>
            <w:r>
              <w:rPr>
                <w:rFonts w:ascii="Times New Roman" w:hAnsi="Times New Roman"/>
                <w:b/>
                <w:i/>
                <w:color w:val="17365A"/>
                <w:sz w:val="18"/>
              </w:rPr>
              <w:t>for</w:t>
            </w:r>
            <w:r>
              <w:rPr>
                <w:rFonts w:ascii="Times New Roman" w:hAnsi="Times New Roman"/>
                <w:b/>
                <w:i/>
                <w:color w:val="17365A"/>
                <w:spacing w:val="-12"/>
                <w:sz w:val="18"/>
              </w:rPr>
              <w:t xml:space="preserve"> </w:t>
            </w:r>
            <w:r>
              <w:rPr>
                <w:rFonts w:ascii="Times New Roman" w:hAnsi="Times New Roman"/>
                <w:b/>
                <w:i/>
                <w:color w:val="17365A"/>
                <w:sz w:val="18"/>
              </w:rPr>
              <w:t>a</w:t>
            </w:r>
            <w:r>
              <w:rPr>
                <w:rFonts w:ascii="Times New Roman" w:hAnsi="Times New Roman"/>
                <w:b/>
                <w:i/>
                <w:color w:val="17365A"/>
                <w:spacing w:val="-11"/>
                <w:sz w:val="18"/>
              </w:rPr>
              <w:t xml:space="preserve"> </w:t>
            </w:r>
            <w:r>
              <w:rPr>
                <w:rFonts w:ascii="Times New Roman" w:hAnsi="Times New Roman"/>
                <w:b/>
                <w:i/>
                <w:color w:val="17365A"/>
                <w:sz w:val="18"/>
              </w:rPr>
              <w:t>long</w:t>
            </w:r>
            <w:r>
              <w:rPr>
                <w:rFonts w:ascii="Times New Roman" w:hAnsi="Times New Roman"/>
                <w:b/>
                <w:i/>
                <w:color w:val="17365A"/>
                <w:spacing w:val="-11"/>
                <w:sz w:val="18"/>
              </w:rPr>
              <w:t xml:space="preserve"> </w:t>
            </w:r>
            <w:r>
              <w:rPr>
                <w:rFonts w:ascii="Times New Roman" w:hAnsi="Times New Roman"/>
                <w:b/>
                <w:i/>
                <w:color w:val="17365A"/>
                <w:sz w:val="18"/>
              </w:rPr>
              <w:t>time,</w:t>
            </w:r>
            <w:r>
              <w:rPr>
                <w:rFonts w:ascii="Times New Roman" w:hAnsi="Times New Roman"/>
                <w:b/>
                <w:i/>
                <w:color w:val="17365A"/>
                <w:spacing w:val="-11"/>
                <w:sz w:val="18"/>
              </w:rPr>
              <w:t xml:space="preserve"> </w:t>
            </w:r>
            <w:r>
              <w:rPr>
                <w:rFonts w:ascii="Times New Roman" w:hAnsi="Times New Roman"/>
                <w:b/>
                <w:i/>
                <w:color w:val="17365A"/>
                <w:sz w:val="18"/>
              </w:rPr>
              <w:t>but</w:t>
            </w:r>
            <w:r>
              <w:rPr>
                <w:rFonts w:ascii="Times New Roman" w:hAnsi="Times New Roman"/>
                <w:b/>
                <w:i/>
                <w:color w:val="17365A"/>
                <w:spacing w:val="-12"/>
                <w:sz w:val="18"/>
              </w:rPr>
              <w:t xml:space="preserve"> </w:t>
            </w:r>
            <w:r>
              <w:rPr>
                <w:rFonts w:ascii="Times New Roman" w:hAnsi="Times New Roman"/>
                <w:b/>
                <w:i/>
                <w:color w:val="17365A"/>
                <w:sz w:val="18"/>
              </w:rPr>
              <w:t>we</w:t>
            </w:r>
            <w:r>
              <w:rPr>
                <w:rFonts w:ascii="Times New Roman" w:hAnsi="Times New Roman"/>
                <w:b/>
                <w:i/>
                <w:color w:val="17365A"/>
                <w:spacing w:val="-11"/>
                <w:sz w:val="18"/>
              </w:rPr>
              <w:t xml:space="preserve"> </w:t>
            </w:r>
            <w:r>
              <w:rPr>
                <w:rFonts w:ascii="Times New Roman" w:hAnsi="Times New Roman"/>
                <w:b/>
                <w:i/>
                <w:color w:val="17365A"/>
                <w:sz w:val="18"/>
              </w:rPr>
              <w:t>were</w:t>
            </w:r>
            <w:r>
              <w:rPr>
                <w:rFonts w:ascii="Times New Roman" w:hAnsi="Times New Roman"/>
                <w:b/>
                <w:i/>
                <w:color w:val="17365A"/>
                <w:spacing w:val="-11"/>
                <w:sz w:val="18"/>
              </w:rPr>
              <w:t xml:space="preserve"> </w:t>
            </w:r>
            <w:r>
              <w:rPr>
                <w:rFonts w:ascii="Times New Roman" w:hAnsi="Times New Roman"/>
                <w:b/>
                <w:i/>
                <w:color w:val="17365A"/>
                <w:sz w:val="18"/>
              </w:rPr>
              <w:t>not</w:t>
            </w:r>
            <w:r>
              <w:rPr>
                <w:rFonts w:ascii="Times New Roman" w:hAnsi="Times New Roman"/>
                <w:b/>
                <w:i/>
                <w:color w:val="17365A"/>
                <w:spacing w:val="-11"/>
                <w:sz w:val="18"/>
              </w:rPr>
              <w:t xml:space="preserve"> </w:t>
            </w:r>
            <w:r>
              <w:rPr>
                <w:rFonts w:ascii="Times New Roman" w:hAnsi="Times New Roman"/>
                <w:b/>
                <w:i/>
                <w:color w:val="17365A"/>
                <w:sz w:val="18"/>
              </w:rPr>
              <w:t>always</w:t>
            </w:r>
            <w:r>
              <w:rPr>
                <w:rFonts w:ascii="Times New Roman" w:hAnsi="Times New Roman"/>
                <w:b/>
                <w:i/>
                <w:color w:val="17365A"/>
                <w:spacing w:val="-12"/>
                <w:sz w:val="18"/>
              </w:rPr>
              <w:t xml:space="preserve"> </w:t>
            </w:r>
            <w:r>
              <w:rPr>
                <w:rFonts w:ascii="Times New Roman" w:hAnsi="Times New Roman"/>
                <w:b/>
                <w:i/>
                <w:color w:val="17365A"/>
                <w:sz w:val="18"/>
              </w:rPr>
              <w:t>heard.</w:t>
            </w:r>
            <w:r>
              <w:rPr>
                <w:rFonts w:ascii="Times New Roman" w:hAnsi="Times New Roman"/>
                <w:b/>
                <w:i/>
                <w:color w:val="17365A"/>
                <w:spacing w:val="-11"/>
                <w:sz w:val="18"/>
              </w:rPr>
              <w:t xml:space="preserve"> </w:t>
            </w:r>
            <w:r>
              <w:rPr>
                <w:rFonts w:ascii="Times New Roman" w:hAnsi="Times New Roman"/>
                <w:b/>
                <w:i/>
                <w:color w:val="17365A"/>
                <w:sz w:val="18"/>
              </w:rPr>
              <w:t>With</w:t>
            </w:r>
            <w:r>
              <w:rPr>
                <w:rFonts w:ascii="Times New Roman" w:hAnsi="Times New Roman"/>
                <w:b/>
                <w:i/>
                <w:color w:val="17365A"/>
                <w:spacing w:val="-11"/>
                <w:sz w:val="18"/>
              </w:rPr>
              <w:t xml:space="preserve"> </w:t>
            </w:r>
            <w:r>
              <w:rPr>
                <w:rFonts w:ascii="Times New Roman" w:hAnsi="Times New Roman"/>
                <w:b/>
                <w:i/>
                <w:color w:val="17365A"/>
                <w:sz w:val="18"/>
              </w:rPr>
              <w:t>SKALA,</w:t>
            </w:r>
            <w:r>
              <w:rPr>
                <w:rFonts w:ascii="Times New Roman" w:hAnsi="Times New Roman"/>
                <w:b/>
                <w:i/>
                <w:color w:val="17365A"/>
                <w:spacing w:val="-11"/>
                <w:sz w:val="18"/>
              </w:rPr>
              <w:t xml:space="preserve"> </w:t>
            </w:r>
            <w:r>
              <w:rPr>
                <w:rFonts w:ascii="Times New Roman" w:hAnsi="Times New Roman"/>
                <w:b/>
                <w:i/>
                <w:color w:val="17365A"/>
                <w:sz w:val="18"/>
              </w:rPr>
              <w:t>we</w:t>
            </w:r>
            <w:r>
              <w:rPr>
                <w:rFonts w:ascii="Times New Roman" w:hAnsi="Times New Roman"/>
                <w:b/>
                <w:i/>
                <w:color w:val="17365A"/>
                <w:spacing w:val="-12"/>
                <w:sz w:val="18"/>
              </w:rPr>
              <w:t xml:space="preserve"> </w:t>
            </w:r>
            <w:r>
              <w:rPr>
                <w:rFonts w:ascii="Times New Roman" w:hAnsi="Times New Roman"/>
                <w:b/>
                <w:i/>
                <w:color w:val="17365A"/>
                <w:sz w:val="18"/>
              </w:rPr>
              <w:t>are</w:t>
            </w:r>
            <w:r>
              <w:rPr>
                <w:rFonts w:ascii="Times New Roman" w:hAnsi="Times New Roman"/>
                <w:b/>
                <w:i/>
                <w:color w:val="17365A"/>
                <w:spacing w:val="-11"/>
                <w:sz w:val="18"/>
              </w:rPr>
              <w:t xml:space="preserve"> </w:t>
            </w:r>
            <w:r>
              <w:rPr>
                <w:rFonts w:ascii="Times New Roman" w:hAnsi="Times New Roman"/>
                <w:b/>
                <w:i/>
                <w:color w:val="17365A"/>
                <w:sz w:val="18"/>
              </w:rPr>
              <w:t>not</w:t>
            </w:r>
            <w:r>
              <w:rPr>
                <w:rFonts w:ascii="Times New Roman" w:hAnsi="Times New Roman"/>
                <w:b/>
                <w:i/>
                <w:color w:val="17365A"/>
                <w:spacing w:val="-11"/>
                <w:sz w:val="18"/>
              </w:rPr>
              <w:t xml:space="preserve"> </w:t>
            </w:r>
            <w:r>
              <w:rPr>
                <w:rFonts w:ascii="Times New Roman" w:hAnsi="Times New Roman"/>
                <w:b/>
                <w:i/>
                <w:color w:val="17365A"/>
                <w:sz w:val="18"/>
              </w:rPr>
              <w:t>just</w:t>
            </w:r>
            <w:r>
              <w:rPr>
                <w:rFonts w:ascii="Times New Roman" w:hAnsi="Times New Roman"/>
                <w:b/>
                <w:i/>
                <w:color w:val="17365A"/>
                <w:spacing w:val="-11"/>
                <w:sz w:val="18"/>
              </w:rPr>
              <w:t xml:space="preserve"> </w:t>
            </w:r>
            <w:r>
              <w:rPr>
                <w:rFonts w:ascii="Times New Roman" w:hAnsi="Times New Roman"/>
                <w:b/>
                <w:i/>
                <w:color w:val="17365A"/>
                <w:sz w:val="18"/>
              </w:rPr>
              <w:t>invited</w:t>
            </w:r>
            <w:r>
              <w:rPr>
                <w:rFonts w:ascii="Times New Roman" w:hAnsi="Times New Roman"/>
                <w:b/>
                <w:i/>
                <w:color w:val="17365A"/>
                <w:spacing w:val="-9"/>
                <w:sz w:val="18"/>
              </w:rPr>
              <w:t xml:space="preserve"> </w:t>
            </w:r>
            <w:r>
              <w:rPr>
                <w:rFonts w:ascii="Times New Roman" w:hAnsi="Times New Roman"/>
                <w:b/>
                <w:i/>
                <w:color w:val="17365A"/>
                <w:sz w:val="18"/>
              </w:rPr>
              <w:t>to speak—we are truly involved.</w:t>
            </w:r>
          </w:p>
          <w:p w14:paraId="3EAD4E97" w14:textId="77777777" w:rsidR="00BC24A8" w:rsidRDefault="00000000">
            <w:pPr>
              <w:pStyle w:val="TableParagraph"/>
              <w:spacing w:line="205" w:lineRule="exact"/>
              <w:ind w:left="578"/>
              <w:rPr>
                <w:i/>
                <w:sz w:val="18"/>
              </w:rPr>
            </w:pPr>
            <w:r>
              <w:rPr>
                <w:i/>
                <w:color w:val="17365A"/>
                <w:sz w:val="18"/>
              </w:rPr>
              <w:t>Program</w:t>
            </w:r>
            <w:r>
              <w:rPr>
                <w:i/>
                <w:color w:val="17365A"/>
                <w:spacing w:val="-5"/>
                <w:sz w:val="18"/>
              </w:rPr>
              <w:t xml:space="preserve"> </w:t>
            </w:r>
            <w:r>
              <w:rPr>
                <w:i/>
                <w:color w:val="17365A"/>
                <w:sz w:val="18"/>
              </w:rPr>
              <w:t>Manager,</w:t>
            </w:r>
            <w:r>
              <w:rPr>
                <w:i/>
                <w:color w:val="17365A"/>
                <w:spacing w:val="-6"/>
                <w:sz w:val="18"/>
              </w:rPr>
              <w:t xml:space="preserve"> </w:t>
            </w:r>
            <w:r>
              <w:rPr>
                <w:i/>
                <w:color w:val="17365A"/>
                <w:sz w:val="18"/>
              </w:rPr>
              <w:t>CYDC</w:t>
            </w:r>
            <w:r>
              <w:rPr>
                <w:i/>
                <w:color w:val="17365A"/>
                <w:spacing w:val="-4"/>
                <w:sz w:val="18"/>
              </w:rPr>
              <w:t xml:space="preserve"> </w:t>
            </w:r>
            <w:r>
              <w:rPr>
                <w:i/>
                <w:color w:val="17365A"/>
                <w:sz w:val="18"/>
              </w:rPr>
              <w:t>Aceh,</w:t>
            </w:r>
            <w:r>
              <w:rPr>
                <w:i/>
                <w:color w:val="17365A"/>
                <w:spacing w:val="-6"/>
                <w:sz w:val="18"/>
              </w:rPr>
              <w:t xml:space="preserve"> </w:t>
            </w:r>
            <w:r>
              <w:rPr>
                <w:i/>
                <w:color w:val="17365A"/>
                <w:sz w:val="18"/>
              </w:rPr>
              <w:t>May</w:t>
            </w:r>
            <w:r>
              <w:rPr>
                <w:i/>
                <w:color w:val="17365A"/>
                <w:spacing w:val="-4"/>
                <w:sz w:val="18"/>
              </w:rPr>
              <w:t xml:space="preserve"> 2025</w:t>
            </w:r>
          </w:p>
        </w:tc>
      </w:tr>
      <w:tr w:rsidR="00BC24A8" w14:paraId="47147DA7" w14:textId="77777777">
        <w:trPr>
          <w:trHeight w:val="464"/>
        </w:trPr>
        <w:tc>
          <w:tcPr>
            <w:tcW w:w="9091" w:type="dxa"/>
            <w:tcBorders>
              <w:top w:val="nil"/>
            </w:tcBorders>
            <w:shd w:val="clear" w:color="auto" w:fill="E1F1EF"/>
          </w:tcPr>
          <w:p w14:paraId="1758DC9F" w14:textId="77777777" w:rsidR="00BC24A8" w:rsidRDefault="00BC24A8">
            <w:pPr>
              <w:pStyle w:val="TableParagraph"/>
              <w:rPr>
                <w:rFonts w:ascii="Times New Roman"/>
                <w:sz w:val="18"/>
              </w:rPr>
            </w:pPr>
          </w:p>
        </w:tc>
      </w:tr>
      <w:tr w:rsidR="00BC24A8" w14:paraId="7A44527D" w14:textId="77777777">
        <w:trPr>
          <w:trHeight w:val="7151"/>
        </w:trPr>
        <w:tc>
          <w:tcPr>
            <w:tcW w:w="9091" w:type="dxa"/>
          </w:tcPr>
          <w:p w14:paraId="78254ADA" w14:textId="77777777" w:rsidR="00BC24A8" w:rsidRDefault="00000000">
            <w:pPr>
              <w:pStyle w:val="TableParagraph"/>
              <w:spacing w:before="121" w:line="243" w:lineRule="exact"/>
              <w:ind w:left="11" w:right="38"/>
              <w:jc w:val="center"/>
              <w:rPr>
                <w:sz w:val="20"/>
              </w:rPr>
            </w:pPr>
            <w:r>
              <w:rPr>
                <w:noProof/>
                <w:sz w:val="20"/>
              </w:rPr>
              <mc:AlternateContent>
                <mc:Choice Requires="wpg">
                  <w:drawing>
                    <wp:anchor distT="0" distB="0" distL="0" distR="0" simplePos="0" relativeHeight="15746560" behindDoc="0" locked="0" layoutInCell="1" allowOverlap="1" wp14:anchorId="67B20F4C" wp14:editId="4531672C">
                      <wp:simplePos x="0" y="0"/>
                      <wp:positionH relativeFrom="column">
                        <wp:posOffset>5296106</wp:posOffset>
                      </wp:positionH>
                      <wp:positionV relativeFrom="paragraph">
                        <wp:posOffset>-369764</wp:posOffset>
                      </wp:positionV>
                      <wp:extent cx="223520" cy="205740"/>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205740"/>
                                <a:chOff x="0" y="0"/>
                                <a:chExt cx="223520" cy="205740"/>
                              </a:xfrm>
                            </wpg:grpSpPr>
                            <pic:pic xmlns:pic="http://schemas.openxmlformats.org/drawingml/2006/picture">
                              <pic:nvPicPr>
                                <pic:cNvPr id="80" name="Image 80"/>
                                <pic:cNvPicPr/>
                              </pic:nvPicPr>
                              <pic:blipFill>
                                <a:blip r:embed="rId20" cstate="print"/>
                                <a:stretch>
                                  <a:fillRect/>
                                </a:stretch>
                              </pic:blipFill>
                              <pic:spPr>
                                <a:xfrm>
                                  <a:off x="0" y="0"/>
                                  <a:ext cx="223210" cy="205345"/>
                                </a:xfrm>
                                <a:prstGeom prst="rect">
                                  <a:avLst/>
                                </a:prstGeom>
                              </pic:spPr>
                            </pic:pic>
                          </wpg:wgp>
                        </a:graphicData>
                      </a:graphic>
                    </wp:anchor>
                  </w:drawing>
                </mc:Choice>
                <mc:Fallback>
                  <w:pict>
                    <v:group w14:anchorId="05F17BCE" id="Group 79" o:spid="_x0000_s1026" alt="&quot;&quot;" style="position:absolute;margin-left:417pt;margin-top:-29.1pt;width:17.6pt;height:16.2pt;z-index:15746560;mso-wrap-distance-left:0;mso-wrap-distance-right:0" coordsize="223520,20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">
                      <v:shape id="Image 80" o:spid="_x0000_s1027" type="#_x0000_t75" style="position:absolute;width:223210;height:205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">
                        <v:imagedata r:id="rId21" o:title=""/>
                      </v:shape>
                    </v:group>
                  </w:pict>
                </mc:Fallback>
              </mc:AlternateContent>
            </w: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2</w:t>
            </w:r>
            <w:r>
              <w:rPr>
                <w:spacing w:val="-15"/>
                <w:sz w:val="20"/>
              </w:rPr>
              <w:t xml:space="preserve"> </w:t>
            </w:r>
            <w:r>
              <w:rPr>
                <w:spacing w:val="-10"/>
                <w:sz w:val="20"/>
              </w:rPr>
              <w:t>:</w:t>
            </w:r>
          </w:p>
          <w:p w14:paraId="49B58F92" w14:textId="77777777" w:rsidR="00BC24A8" w:rsidRDefault="00000000">
            <w:pPr>
              <w:pStyle w:val="TableParagraph"/>
              <w:spacing w:line="243" w:lineRule="exact"/>
              <w:ind w:left="36" w:right="27"/>
              <w:jc w:val="center"/>
              <w:rPr>
                <w:rFonts w:ascii="Calibri"/>
                <w:b/>
                <w:sz w:val="20"/>
              </w:rPr>
            </w:pPr>
            <w:r>
              <w:rPr>
                <w:rFonts w:ascii="Calibri"/>
                <w:b/>
                <w:color w:val="17365A"/>
                <w:sz w:val="20"/>
              </w:rPr>
              <w:t>Rebuilding</w:t>
            </w:r>
            <w:r>
              <w:rPr>
                <w:rFonts w:ascii="Calibri"/>
                <w:b/>
                <w:color w:val="17365A"/>
                <w:spacing w:val="-9"/>
                <w:sz w:val="20"/>
              </w:rPr>
              <w:t xml:space="preserve"> </w:t>
            </w:r>
            <w:r>
              <w:rPr>
                <w:rFonts w:ascii="Calibri"/>
                <w:b/>
                <w:color w:val="17365A"/>
                <w:sz w:val="20"/>
              </w:rPr>
              <w:t>the</w:t>
            </w:r>
            <w:r>
              <w:rPr>
                <w:rFonts w:ascii="Calibri"/>
                <w:b/>
                <w:color w:val="17365A"/>
                <w:spacing w:val="-7"/>
                <w:sz w:val="20"/>
              </w:rPr>
              <w:t xml:space="preserve"> </w:t>
            </w:r>
            <w:r>
              <w:rPr>
                <w:rFonts w:ascii="Calibri"/>
                <w:b/>
                <w:color w:val="17365A"/>
                <w:sz w:val="20"/>
              </w:rPr>
              <w:t>Data</w:t>
            </w:r>
            <w:r>
              <w:rPr>
                <w:rFonts w:ascii="Calibri"/>
                <w:b/>
                <w:color w:val="17365A"/>
                <w:spacing w:val="-7"/>
                <w:sz w:val="20"/>
              </w:rPr>
              <w:t xml:space="preserve"> </w:t>
            </w:r>
            <w:r>
              <w:rPr>
                <w:rFonts w:ascii="Calibri"/>
                <w:b/>
                <w:color w:val="17365A"/>
                <w:spacing w:val="-2"/>
                <w:sz w:val="20"/>
              </w:rPr>
              <w:t>Foundation:</w:t>
            </w:r>
          </w:p>
          <w:p w14:paraId="5551AFFA" w14:textId="77777777" w:rsidR="00BC24A8" w:rsidRDefault="00000000">
            <w:pPr>
              <w:pStyle w:val="TableParagraph"/>
              <w:spacing w:before="1"/>
              <w:ind w:left="33" w:right="27"/>
              <w:jc w:val="center"/>
              <w:rPr>
                <w:rFonts w:ascii="Calibri" w:hAnsi="Calibri"/>
                <w:b/>
                <w:sz w:val="20"/>
              </w:rPr>
            </w:pPr>
            <w:r>
              <w:rPr>
                <w:rFonts w:ascii="Calibri" w:hAnsi="Calibri"/>
                <w:b/>
                <w:color w:val="17365A"/>
                <w:spacing w:val="-2"/>
                <w:sz w:val="20"/>
              </w:rPr>
              <w:t>Accelerating</w:t>
            </w:r>
            <w:r>
              <w:rPr>
                <w:rFonts w:ascii="Calibri" w:hAnsi="Calibri"/>
                <w:b/>
                <w:color w:val="17365A"/>
                <w:spacing w:val="2"/>
                <w:sz w:val="20"/>
              </w:rPr>
              <w:t xml:space="preserve"> </w:t>
            </w:r>
            <w:r>
              <w:rPr>
                <w:rFonts w:ascii="Calibri" w:hAnsi="Calibri"/>
                <w:b/>
                <w:color w:val="17365A"/>
                <w:spacing w:val="-2"/>
                <w:sz w:val="20"/>
              </w:rPr>
              <w:t>Aceh</w:t>
            </w:r>
            <w:r>
              <w:rPr>
                <w:rFonts w:ascii="Calibri" w:hAnsi="Calibri"/>
                <w:b/>
                <w:color w:val="17365A"/>
                <w:spacing w:val="6"/>
                <w:sz w:val="20"/>
              </w:rPr>
              <w:t xml:space="preserve"> </w:t>
            </w:r>
            <w:r>
              <w:rPr>
                <w:rFonts w:ascii="Calibri" w:hAnsi="Calibri"/>
                <w:b/>
                <w:color w:val="17365A"/>
                <w:spacing w:val="-2"/>
                <w:sz w:val="20"/>
              </w:rPr>
              <w:t>One</w:t>
            </w:r>
            <w:r>
              <w:rPr>
                <w:rFonts w:ascii="Calibri" w:hAnsi="Calibri"/>
                <w:b/>
                <w:color w:val="17365A"/>
                <w:spacing w:val="4"/>
                <w:sz w:val="20"/>
              </w:rPr>
              <w:t xml:space="preserve"> </w:t>
            </w:r>
            <w:r>
              <w:rPr>
                <w:rFonts w:ascii="Calibri" w:hAnsi="Calibri"/>
                <w:b/>
                <w:color w:val="17365A"/>
                <w:spacing w:val="-2"/>
                <w:sz w:val="20"/>
              </w:rPr>
              <w:t>Data</w:t>
            </w:r>
            <w:r>
              <w:rPr>
                <w:rFonts w:ascii="Calibri" w:hAnsi="Calibri"/>
                <w:b/>
                <w:color w:val="17365A"/>
                <w:spacing w:val="4"/>
                <w:sz w:val="20"/>
              </w:rPr>
              <w:t xml:space="preserve"> </w:t>
            </w:r>
            <w:r>
              <w:rPr>
                <w:rFonts w:ascii="Calibri" w:hAnsi="Calibri"/>
                <w:b/>
                <w:color w:val="17365A"/>
                <w:spacing w:val="-2"/>
                <w:sz w:val="20"/>
              </w:rPr>
              <w:t>by</w:t>
            </w:r>
            <w:r>
              <w:rPr>
                <w:rFonts w:ascii="Calibri" w:hAnsi="Calibri"/>
                <w:b/>
                <w:color w:val="17365A"/>
                <w:spacing w:val="3"/>
                <w:sz w:val="20"/>
              </w:rPr>
              <w:t xml:space="preserve"> </w:t>
            </w:r>
            <w:r>
              <w:rPr>
                <w:rFonts w:ascii="Calibri" w:hAnsi="Calibri"/>
                <w:b/>
                <w:color w:val="17365A"/>
                <w:spacing w:val="-2"/>
                <w:sz w:val="20"/>
              </w:rPr>
              <w:t>Strengthening</w:t>
            </w:r>
            <w:r>
              <w:rPr>
                <w:rFonts w:ascii="Calibri" w:hAnsi="Calibri"/>
                <w:b/>
                <w:color w:val="17365A"/>
                <w:spacing w:val="3"/>
                <w:sz w:val="20"/>
              </w:rPr>
              <w:t xml:space="preserve"> </w:t>
            </w:r>
            <w:r>
              <w:rPr>
                <w:rFonts w:ascii="Calibri" w:hAnsi="Calibri"/>
                <w:b/>
                <w:color w:val="17365A"/>
                <w:spacing w:val="-2"/>
                <w:sz w:val="20"/>
              </w:rPr>
              <w:t>through</w:t>
            </w:r>
            <w:r>
              <w:rPr>
                <w:rFonts w:ascii="Calibri" w:hAnsi="Calibri"/>
                <w:b/>
                <w:color w:val="17365A"/>
                <w:spacing w:val="5"/>
                <w:sz w:val="20"/>
              </w:rPr>
              <w:t xml:space="preserve"> </w:t>
            </w:r>
            <w:r>
              <w:rPr>
                <w:rFonts w:ascii="Calibri" w:hAnsi="Calibri"/>
                <w:b/>
                <w:color w:val="17365A"/>
                <w:spacing w:val="-2"/>
                <w:sz w:val="20"/>
              </w:rPr>
              <w:t>Strengthening</w:t>
            </w:r>
            <w:r>
              <w:rPr>
                <w:rFonts w:ascii="Calibri" w:hAnsi="Calibri"/>
                <w:b/>
                <w:color w:val="17365A"/>
                <w:spacing w:val="3"/>
                <w:sz w:val="20"/>
              </w:rPr>
              <w:t xml:space="preserve"> </w:t>
            </w:r>
            <w:r>
              <w:rPr>
                <w:rFonts w:ascii="Calibri" w:hAnsi="Calibri"/>
                <w:b/>
                <w:i/>
                <w:color w:val="17365A"/>
                <w:spacing w:val="-2"/>
                <w:sz w:val="20"/>
              </w:rPr>
              <w:t>Diskominsa’s</w:t>
            </w:r>
            <w:r>
              <w:rPr>
                <w:rFonts w:ascii="Calibri" w:hAnsi="Calibri"/>
                <w:b/>
                <w:i/>
                <w:color w:val="17365A"/>
                <w:spacing w:val="3"/>
                <w:sz w:val="20"/>
              </w:rPr>
              <w:t xml:space="preserve"> </w:t>
            </w:r>
            <w:r>
              <w:rPr>
                <w:rFonts w:ascii="Calibri" w:hAnsi="Calibri"/>
                <w:b/>
                <w:color w:val="17365A"/>
                <w:spacing w:val="-4"/>
                <w:sz w:val="20"/>
              </w:rPr>
              <w:t>Role</w:t>
            </w:r>
          </w:p>
          <w:p w14:paraId="39D8DECA" w14:textId="77777777" w:rsidR="00BC24A8" w:rsidRDefault="00000000">
            <w:pPr>
              <w:pStyle w:val="TableParagraph"/>
              <w:spacing w:before="243"/>
              <w:ind w:left="251" w:right="239"/>
              <w:jc w:val="both"/>
              <w:rPr>
                <w:sz w:val="18"/>
              </w:rPr>
            </w:pPr>
            <w:r>
              <w:rPr>
                <w:sz w:val="18"/>
              </w:rPr>
              <w:t>Since</w:t>
            </w:r>
            <w:r>
              <w:rPr>
                <w:spacing w:val="-11"/>
                <w:sz w:val="18"/>
              </w:rPr>
              <w:t xml:space="preserve"> </w:t>
            </w:r>
            <w:r>
              <w:rPr>
                <w:sz w:val="18"/>
              </w:rPr>
              <w:t>2024,</w:t>
            </w:r>
            <w:r>
              <w:rPr>
                <w:spacing w:val="-10"/>
                <w:sz w:val="18"/>
              </w:rPr>
              <w:t xml:space="preserve"> </w:t>
            </w:r>
            <w:r>
              <w:rPr>
                <w:sz w:val="18"/>
              </w:rPr>
              <w:t>Aceh</w:t>
            </w:r>
            <w:r>
              <w:rPr>
                <w:spacing w:val="-10"/>
                <w:sz w:val="18"/>
              </w:rPr>
              <w:t xml:space="preserve"> </w:t>
            </w:r>
            <w:r>
              <w:rPr>
                <w:sz w:val="18"/>
              </w:rPr>
              <w:t>One</w:t>
            </w:r>
            <w:r>
              <w:rPr>
                <w:spacing w:val="-10"/>
                <w:sz w:val="18"/>
              </w:rPr>
              <w:t xml:space="preserve"> </w:t>
            </w:r>
            <w:r>
              <w:rPr>
                <w:sz w:val="18"/>
              </w:rPr>
              <w:t>Data</w:t>
            </w:r>
            <w:r>
              <w:rPr>
                <w:spacing w:val="-10"/>
                <w:sz w:val="18"/>
              </w:rPr>
              <w:t xml:space="preserve"> </w:t>
            </w:r>
            <w:r>
              <w:rPr>
                <w:sz w:val="18"/>
              </w:rPr>
              <w:t>has</w:t>
            </w:r>
            <w:r>
              <w:rPr>
                <w:spacing w:val="-11"/>
                <w:sz w:val="18"/>
              </w:rPr>
              <w:t xml:space="preserve"> </w:t>
            </w:r>
            <w:r>
              <w:rPr>
                <w:sz w:val="18"/>
              </w:rPr>
              <w:t>faced</w:t>
            </w:r>
            <w:r>
              <w:rPr>
                <w:spacing w:val="-10"/>
                <w:sz w:val="18"/>
              </w:rPr>
              <w:t xml:space="preserve"> </w:t>
            </w:r>
            <w:r>
              <w:rPr>
                <w:sz w:val="18"/>
              </w:rPr>
              <w:t>significant</w:t>
            </w:r>
            <w:r>
              <w:rPr>
                <w:spacing w:val="-10"/>
                <w:sz w:val="18"/>
              </w:rPr>
              <w:t xml:space="preserve"> </w:t>
            </w:r>
            <w:r>
              <w:rPr>
                <w:sz w:val="18"/>
              </w:rPr>
              <w:t>challenges.</w:t>
            </w:r>
            <w:r>
              <w:rPr>
                <w:spacing w:val="-10"/>
                <w:sz w:val="18"/>
              </w:rPr>
              <w:t xml:space="preserve"> </w:t>
            </w:r>
            <w:r>
              <w:rPr>
                <w:sz w:val="18"/>
              </w:rPr>
              <w:t>Weak</w:t>
            </w:r>
            <w:r>
              <w:rPr>
                <w:spacing w:val="-10"/>
                <w:sz w:val="18"/>
              </w:rPr>
              <w:t xml:space="preserve"> </w:t>
            </w:r>
            <w:r>
              <w:rPr>
                <w:sz w:val="18"/>
              </w:rPr>
              <w:t>coordination</w:t>
            </w:r>
            <w:r>
              <w:rPr>
                <w:spacing w:val="-10"/>
                <w:sz w:val="18"/>
              </w:rPr>
              <w:t xml:space="preserve"> </w:t>
            </w:r>
            <w:r>
              <w:rPr>
                <w:sz w:val="18"/>
              </w:rPr>
              <w:t>among</w:t>
            </w:r>
            <w:r>
              <w:rPr>
                <w:spacing w:val="-11"/>
                <w:sz w:val="18"/>
              </w:rPr>
              <w:t xml:space="preserve"> </w:t>
            </w:r>
            <w:r>
              <w:rPr>
                <w:sz w:val="18"/>
              </w:rPr>
              <w:t>data</w:t>
            </w:r>
            <w:r>
              <w:rPr>
                <w:spacing w:val="-10"/>
                <w:sz w:val="18"/>
              </w:rPr>
              <w:t xml:space="preserve"> </w:t>
            </w:r>
            <w:r>
              <w:rPr>
                <w:sz w:val="18"/>
              </w:rPr>
              <w:t>producers,</w:t>
            </w:r>
            <w:r>
              <w:rPr>
                <w:spacing w:val="-10"/>
                <w:sz w:val="18"/>
              </w:rPr>
              <w:t xml:space="preserve"> </w:t>
            </w:r>
            <w:r>
              <w:rPr>
                <w:sz w:val="18"/>
              </w:rPr>
              <w:t>inconsistent</w:t>
            </w:r>
            <w:r>
              <w:rPr>
                <w:spacing w:val="-10"/>
                <w:sz w:val="18"/>
              </w:rPr>
              <w:t xml:space="preserve"> </w:t>
            </w:r>
            <w:r>
              <w:rPr>
                <w:sz w:val="18"/>
              </w:rPr>
              <w:t>data formats,</w:t>
            </w:r>
            <w:r>
              <w:rPr>
                <w:spacing w:val="-11"/>
                <w:sz w:val="18"/>
              </w:rPr>
              <w:t xml:space="preserve"> </w:t>
            </w:r>
            <w:r>
              <w:rPr>
                <w:sz w:val="18"/>
              </w:rPr>
              <w:t>and</w:t>
            </w:r>
            <w:r>
              <w:rPr>
                <w:spacing w:val="-10"/>
                <w:sz w:val="18"/>
              </w:rPr>
              <w:t xml:space="preserve"> </w:t>
            </w:r>
            <w:r>
              <w:rPr>
                <w:sz w:val="18"/>
              </w:rPr>
              <w:t>limited</w:t>
            </w:r>
            <w:r>
              <w:rPr>
                <w:spacing w:val="-10"/>
                <w:sz w:val="18"/>
              </w:rPr>
              <w:t xml:space="preserve"> </w:t>
            </w:r>
            <w:r>
              <w:rPr>
                <w:sz w:val="18"/>
              </w:rPr>
              <w:t>access</w:t>
            </w:r>
            <w:r>
              <w:rPr>
                <w:spacing w:val="-10"/>
                <w:sz w:val="18"/>
              </w:rPr>
              <w:t xml:space="preserve"> </w:t>
            </w:r>
            <w:r>
              <w:rPr>
                <w:sz w:val="18"/>
              </w:rPr>
              <w:t>transparency</w:t>
            </w:r>
            <w:r>
              <w:rPr>
                <w:spacing w:val="-10"/>
                <w:sz w:val="18"/>
              </w:rPr>
              <w:t xml:space="preserve"> </w:t>
            </w:r>
            <w:r>
              <w:rPr>
                <w:sz w:val="18"/>
              </w:rPr>
              <w:t>have</w:t>
            </w:r>
            <w:r>
              <w:rPr>
                <w:spacing w:val="-11"/>
                <w:sz w:val="18"/>
              </w:rPr>
              <w:t xml:space="preserve"> </w:t>
            </w:r>
            <w:r>
              <w:rPr>
                <w:sz w:val="18"/>
              </w:rPr>
              <w:t>shaped</w:t>
            </w:r>
            <w:r>
              <w:rPr>
                <w:spacing w:val="-10"/>
                <w:sz w:val="18"/>
              </w:rPr>
              <w:t xml:space="preserve"> </w:t>
            </w:r>
            <w:r>
              <w:rPr>
                <w:sz w:val="18"/>
              </w:rPr>
              <w:t>the</w:t>
            </w:r>
            <w:r>
              <w:rPr>
                <w:spacing w:val="-10"/>
                <w:sz w:val="18"/>
              </w:rPr>
              <w:t xml:space="preserve"> </w:t>
            </w:r>
            <w:r>
              <w:rPr>
                <w:sz w:val="18"/>
              </w:rPr>
              <w:t>dynamics</w:t>
            </w:r>
            <w:r>
              <w:rPr>
                <w:spacing w:val="-10"/>
                <w:sz w:val="18"/>
              </w:rPr>
              <w:t xml:space="preserve"> </w:t>
            </w:r>
            <w:r>
              <w:rPr>
                <w:sz w:val="18"/>
              </w:rPr>
              <w:t>of</w:t>
            </w:r>
            <w:r>
              <w:rPr>
                <w:spacing w:val="-10"/>
                <w:sz w:val="18"/>
              </w:rPr>
              <w:t xml:space="preserve"> </w:t>
            </w:r>
            <w:r>
              <w:rPr>
                <w:sz w:val="18"/>
              </w:rPr>
              <w:t>its</w:t>
            </w:r>
            <w:r>
              <w:rPr>
                <w:spacing w:val="-10"/>
                <w:sz w:val="18"/>
              </w:rPr>
              <w:t xml:space="preserve"> </w:t>
            </w:r>
            <w:r>
              <w:rPr>
                <w:sz w:val="18"/>
              </w:rPr>
              <w:t>implementation.</w:t>
            </w:r>
            <w:r>
              <w:rPr>
                <w:spacing w:val="-10"/>
                <w:sz w:val="18"/>
              </w:rPr>
              <w:t xml:space="preserve"> </w:t>
            </w:r>
            <w:r>
              <w:rPr>
                <w:sz w:val="18"/>
              </w:rPr>
              <w:t>The</w:t>
            </w:r>
            <w:r>
              <w:rPr>
                <w:spacing w:val="-9"/>
                <w:sz w:val="18"/>
              </w:rPr>
              <w:t xml:space="preserve"> </w:t>
            </w:r>
            <w:r>
              <w:rPr>
                <w:sz w:val="18"/>
              </w:rPr>
              <w:t>role</w:t>
            </w:r>
            <w:r>
              <w:rPr>
                <w:spacing w:val="-10"/>
                <w:sz w:val="18"/>
              </w:rPr>
              <w:t xml:space="preserve"> </w:t>
            </w:r>
            <w:r>
              <w:rPr>
                <w:sz w:val="18"/>
              </w:rPr>
              <w:t>of</w:t>
            </w:r>
            <w:r>
              <w:rPr>
                <w:spacing w:val="-10"/>
                <w:sz w:val="18"/>
              </w:rPr>
              <w:t xml:space="preserve"> </w:t>
            </w:r>
            <w:r>
              <w:rPr>
                <w:i/>
                <w:sz w:val="18"/>
              </w:rPr>
              <w:t>Diskominsa</w:t>
            </w:r>
            <w:r>
              <w:rPr>
                <w:i/>
                <w:spacing w:val="-11"/>
                <w:sz w:val="18"/>
              </w:rPr>
              <w:t xml:space="preserve"> </w:t>
            </w:r>
            <w:r>
              <w:rPr>
                <w:sz w:val="18"/>
              </w:rPr>
              <w:t>as</w:t>
            </w:r>
            <w:r>
              <w:rPr>
                <w:spacing w:val="-8"/>
                <w:sz w:val="18"/>
              </w:rPr>
              <w:t xml:space="preserve"> </w:t>
            </w:r>
            <w:r>
              <w:rPr>
                <w:sz w:val="18"/>
              </w:rPr>
              <w:t xml:space="preserve">the </w:t>
            </w:r>
            <w:r>
              <w:rPr>
                <w:i/>
                <w:sz w:val="18"/>
              </w:rPr>
              <w:t xml:space="preserve">Walidata </w:t>
            </w:r>
            <w:r>
              <w:rPr>
                <w:sz w:val="18"/>
              </w:rPr>
              <w:t>had not been fully optimised due to institutional limitations and insufficient technical capacity for managing data</w:t>
            </w:r>
            <w:r>
              <w:rPr>
                <w:spacing w:val="-2"/>
                <w:sz w:val="18"/>
              </w:rPr>
              <w:t xml:space="preserve"> </w:t>
            </w:r>
            <w:r>
              <w:rPr>
                <w:sz w:val="18"/>
              </w:rPr>
              <w:t>integration.</w:t>
            </w:r>
          </w:p>
          <w:p w14:paraId="4FE7C479" w14:textId="77777777" w:rsidR="00BC24A8" w:rsidRDefault="00000000">
            <w:pPr>
              <w:pStyle w:val="TableParagraph"/>
              <w:spacing w:before="160"/>
              <w:ind w:left="251" w:right="236"/>
              <w:jc w:val="both"/>
              <w:rPr>
                <w:sz w:val="18"/>
              </w:rPr>
            </w:pPr>
            <w:r>
              <w:rPr>
                <w:sz w:val="18"/>
              </w:rPr>
              <w:t>Technical support from SKALA encouraged Diskominsa Aceh to take a more strategic position in data governance for development. SKALA facilitated the preparation of a roadmap for Aceh One Data implementation, strengthened the regional One Data Forum, and advocated for the importance of sectoral data interoperability. These efforts aim to support inclusive planning and reporting of Minimum Service Standards (MSS).</w:t>
            </w:r>
          </w:p>
          <w:p w14:paraId="09692EAD" w14:textId="77777777" w:rsidR="00BC24A8" w:rsidRDefault="00BC24A8">
            <w:pPr>
              <w:pStyle w:val="TableParagraph"/>
              <w:spacing w:before="22"/>
              <w:rPr>
                <w:rFonts w:ascii="Calibri"/>
                <w:sz w:val="18"/>
              </w:rPr>
            </w:pPr>
          </w:p>
          <w:p w14:paraId="233058B9" w14:textId="77777777" w:rsidR="00BC24A8" w:rsidRDefault="00000000">
            <w:pPr>
              <w:pStyle w:val="TableParagraph"/>
              <w:ind w:left="251" w:right="239"/>
              <w:jc w:val="both"/>
              <w:rPr>
                <w:sz w:val="18"/>
              </w:rPr>
            </w:pPr>
            <w:r>
              <w:rPr>
                <w:sz w:val="18"/>
              </w:rPr>
              <w:t>A</w:t>
            </w:r>
            <w:r>
              <w:rPr>
                <w:spacing w:val="-4"/>
                <w:sz w:val="18"/>
              </w:rPr>
              <w:t xml:space="preserve"> </w:t>
            </w:r>
            <w:r>
              <w:rPr>
                <w:sz w:val="18"/>
              </w:rPr>
              <w:t>key</w:t>
            </w:r>
            <w:r>
              <w:rPr>
                <w:spacing w:val="-3"/>
                <w:sz w:val="18"/>
              </w:rPr>
              <w:t xml:space="preserve"> </w:t>
            </w:r>
            <w:r>
              <w:rPr>
                <w:sz w:val="18"/>
              </w:rPr>
              <w:t>achievement</w:t>
            </w:r>
            <w:r>
              <w:rPr>
                <w:spacing w:val="-2"/>
                <w:sz w:val="18"/>
              </w:rPr>
              <w:t xml:space="preserve"> </w:t>
            </w:r>
            <w:r>
              <w:rPr>
                <w:sz w:val="18"/>
              </w:rPr>
              <w:t>has</w:t>
            </w:r>
            <w:r>
              <w:rPr>
                <w:spacing w:val="-3"/>
                <w:sz w:val="18"/>
              </w:rPr>
              <w:t xml:space="preserve"> </w:t>
            </w:r>
            <w:r>
              <w:rPr>
                <w:sz w:val="18"/>
              </w:rPr>
              <w:t>been</w:t>
            </w:r>
            <w:r>
              <w:rPr>
                <w:spacing w:val="-3"/>
                <w:sz w:val="18"/>
              </w:rPr>
              <w:t xml:space="preserve"> </w:t>
            </w:r>
            <w:r>
              <w:rPr>
                <w:sz w:val="18"/>
              </w:rPr>
              <w:t>the</w:t>
            </w:r>
            <w:r>
              <w:rPr>
                <w:spacing w:val="-3"/>
                <w:sz w:val="18"/>
              </w:rPr>
              <w:t xml:space="preserve"> </w:t>
            </w:r>
            <w:r>
              <w:rPr>
                <w:sz w:val="18"/>
              </w:rPr>
              <w:t>integration</w:t>
            </w:r>
            <w:r>
              <w:rPr>
                <w:spacing w:val="-3"/>
                <w:sz w:val="18"/>
              </w:rPr>
              <w:t xml:space="preserve"> </w:t>
            </w:r>
            <w:r>
              <w:rPr>
                <w:sz w:val="18"/>
              </w:rPr>
              <w:t>of</w:t>
            </w:r>
            <w:r>
              <w:rPr>
                <w:spacing w:val="-4"/>
                <w:sz w:val="18"/>
              </w:rPr>
              <w:t xml:space="preserve"> </w:t>
            </w:r>
            <w:r>
              <w:rPr>
                <w:sz w:val="18"/>
              </w:rPr>
              <w:t>population</w:t>
            </w:r>
            <w:r>
              <w:rPr>
                <w:spacing w:val="-3"/>
                <w:sz w:val="18"/>
              </w:rPr>
              <w:t xml:space="preserve"> </w:t>
            </w:r>
            <w:r>
              <w:rPr>
                <w:sz w:val="18"/>
              </w:rPr>
              <w:t>registry</w:t>
            </w:r>
            <w:r>
              <w:rPr>
                <w:spacing w:val="-3"/>
                <w:sz w:val="18"/>
              </w:rPr>
              <w:t xml:space="preserve"> </w:t>
            </w:r>
            <w:r>
              <w:rPr>
                <w:sz w:val="18"/>
              </w:rPr>
              <w:t>(Dukcapil)</w:t>
            </w:r>
            <w:r>
              <w:rPr>
                <w:spacing w:val="-4"/>
                <w:sz w:val="18"/>
              </w:rPr>
              <w:t xml:space="preserve"> </w:t>
            </w:r>
            <w:r>
              <w:rPr>
                <w:sz w:val="18"/>
              </w:rPr>
              <w:t>data,</w:t>
            </w:r>
            <w:r>
              <w:rPr>
                <w:spacing w:val="-4"/>
                <w:sz w:val="18"/>
              </w:rPr>
              <w:t xml:space="preserve"> </w:t>
            </w:r>
            <w:r>
              <w:rPr>
                <w:sz w:val="18"/>
              </w:rPr>
              <w:t>disability</w:t>
            </w:r>
            <w:r>
              <w:rPr>
                <w:spacing w:val="-3"/>
                <w:sz w:val="18"/>
              </w:rPr>
              <w:t xml:space="preserve"> </w:t>
            </w:r>
            <w:r>
              <w:rPr>
                <w:sz w:val="18"/>
              </w:rPr>
              <w:t>data,</w:t>
            </w:r>
            <w:r>
              <w:rPr>
                <w:spacing w:val="-4"/>
                <w:sz w:val="18"/>
              </w:rPr>
              <w:t xml:space="preserve"> </w:t>
            </w:r>
            <w:r>
              <w:rPr>
                <w:sz w:val="18"/>
              </w:rPr>
              <w:t>and</w:t>
            </w:r>
            <w:r>
              <w:rPr>
                <w:spacing w:val="-3"/>
                <w:sz w:val="18"/>
              </w:rPr>
              <w:t xml:space="preserve"> </w:t>
            </w:r>
            <w:r>
              <w:rPr>
                <w:sz w:val="18"/>
              </w:rPr>
              <w:t>extreme</w:t>
            </w:r>
            <w:r>
              <w:rPr>
                <w:spacing w:val="-3"/>
                <w:sz w:val="18"/>
              </w:rPr>
              <w:t xml:space="preserve"> </w:t>
            </w:r>
            <w:r>
              <w:rPr>
                <w:sz w:val="18"/>
              </w:rPr>
              <w:t>poverty data</w:t>
            </w:r>
            <w:r>
              <w:rPr>
                <w:spacing w:val="-11"/>
                <w:sz w:val="18"/>
              </w:rPr>
              <w:t xml:space="preserve"> </w:t>
            </w:r>
            <w:r>
              <w:rPr>
                <w:sz w:val="18"/>
              </w:rPr>
              <w:t>into</w:t>
            </w:r>
            <w:r>
              <w:rPr>
                <w:spacing w:val="-10"/>
                <w:sz w:val="18"/>
              </w:rPr>
              <w:t xml:space="preserve"> </w:t>
            </w:r>
            <w:r>
              <w:rPr>
                <w:sz w:val="18"/>
              </w:rPr>
              <w:t>the</w:t>
            </w:r>
            <w:r>
              <w:rPr>
                <w:spacing w:val="-10"/>
                <w:sz w:val="18"/>
              </w:rPr>
              <w:t xml:space="preserve"> </w:t>
            </w:r>
            <w:r>
              <w:rPr>
                <w:sz w:val="18"/>
              </w:rPr>
              <w:t>Aceh</w:t>
            </w:r>
            <w:r>
              <w:rPr>
                <w:spacing w:val="-10"/>
                <w:sz w:val="18"/>
              </w:rPr>
              <w:t xml:space="preserve"> </w:t>
            </w:r>
            <w:r>
              <w:rPr>
                <w:sz w:val="18"/>
              </w:rPr>
              <w:t>One</w:t>
            </w:r>
            <w:r>
              <w:rPr>
                <w:spacing w:val="-10"/>
                <w:sz w:val="18"/>
              </w:rPr>
              <w:t xml:space="preserve"> </w:t>
            </w:r>
            <w:r>
              <w:rPr>
                <w:sz w:val="18"/>
              </w:rPr>
              <w:t>Data</w:t>
            </w:r>
            <w:r>
              <w:rPr>
                <w:spacing w:val="-11"/>
                <w:sz w:val="18"/>
              </w:rPr>
              <w:t xml:space="preserve"> </w:t>
            </w:r>
            <w:r>
              <w:rPr>
                <w:sz w:val="18"/>
              </w:rPr>
              <w:t>dashboard.</w:t>
            </w:r>
            <w:r>
              <w:rPr>
                <w:spacing w:val="-10"/>
                <w:sz w:val="18"/>
              </w:rPr>
              <w:t xml:space="preserve"> </w:t>
            </w:r>
            <w:r>
              <w:rPr>
                <w:sz w:val="18"/>
              </w:rPr>
              <w:t>Today,</w:t>
            </w:r>
            <w:r>
              <w:rPr>
                <w:spacing w:val="-10"/>
                <w:sz w:val="18"/>
              </w:rPr>
              <w:t xml:space="preserve"> </w:t>
            </w:r>
            <w:r>
              <w:rPr>
                <w:sz w:val="18"/>
              </w:rPr>
              <w:t>Aceh</w:t>
            </w:r>
            <w:r>
              <w:rPr>
                <w:spacing w:val="-10"/>
                <w:sz w:val="18"/>
              </w:rPr>
              <w:t xml:space="preserve"> </w:t>
            </w:r>
            <w:r>
              <w:rPr>
                <w:sz w:val="18"/>
              </w:rPr>
              <w:t>One</w:t>
            </w:r>
            <w:r>
              <w:rPr>
                <w:spacing w:val="-10"/>
                <w:sz w:val="18"/>
              </w:rPr>
              <w:t xml:space="preserve"> </w:t>
            </w:r>
            <w:r>
              <w:rPr>
                <w:sz w:val="18"/>
              </w:rPr>
              <w:t>Data</w:t>
            </w:r>
            <w:r>
              <w:rPr>
                <w:spacing w:val="-10"/>
                <w:sz w:val="18"/>
              </w:rPr>
              <w:t xml:space="preserve"> </w:t>
            </w:r>
            <w:r>
              <w:rPr>
                <w:sz w:val="18"/>
              </w:rPr>
              <w:t>is</w:t>
            </w:r>
            <w:r>
              <w:rPr>
                <w:spacing w:val="-11"/>
                <w:sz w:val="18"/>
              </w:rPr>
              <w:t xml:space="preserve"> </w:t>
            </w:r>
            <w:r>
              <w:rPr>
                <w:sz w:val="18"/>
              </w:rPr>
              <w:t>increasingly</w:t>
            </w:r>
            <w:r>
              <w:rPr>
                <w:spacing w:val="-10"/>
                <w:sz w:val="18"/>
              </w:rPr>
              <w:t xml:space="preserve"> </w:t>
            </w:r>
            <w:r>
              <w:rPr>
                <w:sz w:val="18"/>
              </w:rPr>
              <w:t>used</w:t>
            </w:r>
            <w:r>
              <w:rPr>
                <w:spacing w:val="-10"/>
                <w:sz w:val="18"/>
              </w:rPr>
              <w:t xml:space="preserve"> </w:t>
            </w:r>
            <w:r>
              <w:rPr>
                <w:sz w:val="18"/>
              </w:rPr>
              <w:t>in</w:t>
            </w:r>
            <w:r>
              <w:rPr>
                <w:spacing w:val="-10"/>
                <w:sz w:val="18"/>
              </w:rPr>
              <w:t xml:space="preserve"> </w:t>
            </w:r>
            <w:r>
              <w:rPr>
                <w:sz w:val="18"/>
              </w:rPr>
              <w:t>decision-making</w:t>
            </w:r>
            <w:r>
              <w:rPr>
                <w:spacing w:val="-10"/>
                <w:sz w:val="18"/>
              </w:rPr>
              <w:t xml:space="preserve"> </w:t>
            </w:r>
            <w:r>
              <w:rPr>
                <w:sz w:val="18"/>
              </w:rPr>
              <w:t>processes</w:t>
            </w:r>
            <w:r>
              <w:rPr>
                <w:spacing w:val="-10"/>
                <w:sz w:val="18"/>
              </w:rPr>
              <w:t xml:space="preserve"> </w:t>
            </w:r>
            <w:r>
              <w:rPr>
                <w:sz w:val="18"/>
              </w:rPr>
              <w:t>by</w:t>
            </w:r>
            <w:r>
              <w:rPr>
                <w:spacing w:val="-11"/>
                <w:sz w:val="18"/>
              </w:rPr>
              <w:t xml:space="preserve"> </w:t>
            </w:r>
            <w:r>
              <w:rPr>
                <w:sz w:val="18"/>
              </w:rPr>
              <w:t xml:space="preserve">OPDs and </w:t>
            </w:r>
            <w:r>
              <w:rPr>
                <w:i/>
                <w:sz w:val="18"/>
              </w:rPr>
              <w:t>Bappeda</w:t>
            </w:r>
            <w:r>
              <w:rPr>
                <w:sz w:val="18"/>
              </w:rPr>
              <w:t>.</w:t>
            </w:r>
          </w:p>
          <w:p w14:paraId="10C87BB0" w14:textId="77777777" w:rsidR="00BC24A8" w:rsidRDefault="00BC24A8">
            <w:pPr>
              <w:pStyle w:val="TableParagraph"/>
              <w:rPr>
                <w:rFonts w:ascii="Calibri"/>
                <w:sz w:val="18"/>
              </w:rPr>
            </w:pPr>
          </w:p>
          <w:p w14:paraId="763DD78A" w14:textId="77777777" w:rsidR="00BC24A8" w:rsidRDefault="00000000">
            <w:pPr>
              <w:pStyle w:val="TableParagraph"/>
              <w:ind w:left="424"/>
              <w:rPr>
                <w:rFonts w:ascii="Calibri"/>
                <w:sz w:val="20"/>
              </w:rPr>
            </w:pPr>
            <w:r>
              <w:rPr>
                <w:rFonts w:ascii="Calibri"/>
                <w:noProof/>
                <w:sz w:val="20"/>
              </w:rPr>
              <w:drawing>
                <wp:inline distT="0" distB="0" distL="0" distR="0" wp14:anchorId="208F92C6" wp14:editId="134FE9B7">
                  <wp:extent cx="222739" cy="204787"/>
                  <wp:effectExtent l="0" t="0" r="0" b="0"/>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22739" cy="204787"/>
                          </a:xfrm>
                          <a:prstGeom prst="rect">
                            <a:avLst/>
                          </a:prstGeom>
                        </pic:spPr>
                      </pic:pic>
                    </a:graphicData>
                  </a:graphic>
                </wp:inline>
              </w:drawing>
            </w:r>
          </w:p>
          <w:p w14:paraId="3D82C9B6" w14:textId="77777777" w:rsidR="00BC24A8" w:rsidRDefault="00000000">
            <w:pPr>
              <w:pStyle w:val="TableParagraph"/>
              <w:spacing w:before="140" w:line="290" w:lineRule="auto"/>
              <w:ind w:left="626" w:right="198"/>
              <w:rPr>
                <w:rFonts w:ascii="Times New Roman"/>
                <w:b/>
                <w:i/>
                <w:sz w:val="18"/>
              </w:rPr>
            </w:pPr>
            <w:r>
              <w:rPr>
                <w:rFonts w:ascii="Times New Roman"/>
                <w:b/>
                <w:i/>
                <w:color w:val="17365A"/>
                <w:spacing w:val="-2"/>
                <w:sz w:val="18"/>
              </w:rPr>
              <w:t>In</w:t>
            </w:r>
            <w:r>
              <w:rPr>
                <w:rFonts w:ascii="Times New Roman"/>
                <w:b/>
                <w:i/>
                <w:color w:val="17365A"/>
                <w:spacing w:val="-12"/>
                <w:sz w:val="18"/>
              </w:rPr>
              <w:t xml:space="preserve"> </w:t>
            </w:r>
            <w:r>
              <w:rPr>
                <w:rFonts w:ascii="Times New Roman"/>
                <w:b/>
                <w:i/>
                <w:color w:val="17365A"/>
                <w:spacing w:val="-2"/>
                <w:sz w:val="18"/>
              </w:rPr>
              <w:t>the</w:t>
            </w:r>
            <w:r>
              <w:rPr>
                <w:rFonts w:ascii="Times New Roman"/>
                <w:b/>
                <w:i/>
                <w:color w:val="17365A"/>
                <w:spacing w:val="-12"/>
                <w:sz w:val="18"/>
              </w:rPr>
              <w:t xml:space="preserve"> </w:t>
            </w:r>
            <w:r>
              <w:rPr>
                <w:rFonts w:ascii="Times New Roman"/>
                <w:b/>
                <w:i/>
                <w:color w:val="17365A"/>
                <w:spacing w:val="-2"/>
                <w:sz w:val="18"/>
              </w:rPr>
              <w:t>past,</w:t>
            </w:r>
            <w:r>
              <w:rPr>
                <w:rFonts w:ascii="Times New Roman"/>
                <w:b/>
                <w:i/>
                <w:color w:val="17365A"/>
                <w:spacing w:val="-11"/>
                <w:sz w:val="18"/>
              </w:rPr>
              <w:t xml:space="preserve"> </w:t>
            </w:r>
            <w:r>
              <w:rPr>
                <w:rFonts w:ascii="Times New Roman"/>
                <w:b/>
                <w:i/>
                <w:color w:val="17365A"/>
                <w:spacing w:val="-2"/>
                <w:sz w:val="18"/>
              </w:rPr>
              <w:t>data</w:t>
            </w:r>
            <w:r>
              <w:rPr>
                <w:rFonts w:ascii="Times New Roman"/>
                <w:b/>
                <w:i/>
                <w:color w:val="17365A"/>
                <w:spacing w:val="-9"/>
                <w:sz w:val="18"/>
              </w:rPr>
              <w:t xml:space="preserve"> </w:t>
            </w:r>
            <w:r>
              <w:rPr>
                <w:rFonts w:ascii="Times New Roman"/>
                <w:b/>
                <w:i/>
                <w:color w:val="17365A"/>
                <w:spacing w:val="-2"/>
                <w:sz w:val="18"/>
              </w:rPr>
              <w:t>was</w:t>
            </w:r>
            <w:r>
              <w:rPr>
                <w:rFonts w:ascii="Times New Roman"/>
                <w:b/>
                <w:i/>
                <w:color w:val="17365A"/>
                <w:spacing w:val="-10"/>
                <w:sz w:val="18"/>
              </w:rPr>
              <w:t xml:space="preserve"> </w:t>
            </w:r>
            <w:r>
              <w:rPr>
                <w:rFonts w:ascii="Times New Roman"/>
                <w:b/>
                <w:i/>
                <w:color w:val="17365A"/>
                <w:spacing w:val="-2"/>
                <w:sz w:val="18"/>
              </w:rPr>
              <w:t>just</w:t>
            </w:r>
            <w:r>
              <w:rPr>
                <w:rFonts w:ascii="Times New Roman"/>
                <w:b/>
                <w:i/>
                <w:color w:val="17365A"/>
                <w:spacing w:val="-11"/>
                <w:sz w:val="18"/>
              </w:rPr>
              <w:t xml:space="preserve"> </w:t>
            </w:r>
            <w:r>
              <w:rPr>
                <w:rFonts w:ascii="Times New Roman"/>
                <w:b/>
                <w:i/>
                <w:color w:val="17365A"/>
                <w:spacing w:val="-2"/>
                <w:sz w:val="18"/>
              </w:rPr>
              <w:t>collected</w:t>
            </w:r>
            <w:r>
              <w:rPr>
                <w:rFonts w:ascii="Times New Roman"/>
                <w:b/>
                <w:i/>
                <w:color w:val="17365A"/>
                <w:spacing w:val="-12"/>
                <w:sz w:val="18"/>
              </w:rPr>
              <w:t xml:space="preserve"> </w:t>
            </w:r>
            <w:r>
              <w:rPr>
                <w:rFonts w:ascii="Times New Roman"/>
                <w:b/>
                <w:i/>
                <w:color w:val="17365A"/>
                <w:spacing w:val="-2"/>
                <w:sz w:val="18"/>
              </w:rPr>
              <w:t>and</w:t>
            </w:r>
            <w:r>
              <w:rPr>
                <w:rFonts w:ascii="Times New Roman"/>
                <w:b/>
                <w:i/>
                <w:color w:val="17365A"/>
                <w:spacing w:val="-12"/>
                <w:sz w:val="18"/>
              </w:rPr>
              <w:t xml:space="preserve"> </w:t>
            </w:r>
            <w:r>
              <w:rPr>
                <w:rFonts w:ascii="Times New Roman"/>
                <w:b/>
                <w:i/>
                <w:color w:val="17365A"/>
                <w:spacing w:val="-2"/>
                <w:sz w:val="18"/>
              </w:rPr>
              <w:t>stored</w:t>
            </w:r>
            <w:r>
              <w:rPr>
                <w:rFonts w:ascii="Times New Roman"/>
                <w:b/>
                <w:i/>
                <w:color w:val="17365A"/>
                <w:spacing w:val="-9"/>
                <w:sz w:val="18"/>
              </w:rPr>
              <w:t xml:space="preserve"> </w:t>
            </w:r>
            <w:r>
              <w:rPr>
                <w:rFonts w:ascii="Times New Roman"/>
                <w:b/>
                <w:i/>
                <w:color w:val="17365A"/>
                <w:spacing w:val="-2"/>
                <w:sz w:val="18"/>
              </w:rPr>
              <w:t>by</w:t>
            </w:r>
            <w:r>
              <w:rPr>
                <w:rFonts w:ascii="Times New Roman"/>
                <w:b/>
                <w:i/>
                <w:color w:val="17365A"/>
                <w:spacing w:val="-12"/>
                <w:sz w:val="18"/>
              </w:rPr>
              <w:t xml:space="preserve"> </w:t>
            </w:r>
            <w:r>
              <w:rPr>
                <w:rFonts w:ascii="Times New Roman"/>
                <w:b/>
                <w:i/>
                <w:color w:val="17365A"/>
                <w:spacing w:val="-2"/>
                <w:sz w:val="18"/>
              </w:rPr>
              <w:t>each</w:t>
            </w:r>
            <w:r>
              <w:rPr>
                <w:rFonts w:ascii="Times New Roman"/>
                <w:b/>
                <w:i/>
                <w:color w:val="17365A"/>
                <w:spacing w:val="-11"/>
                <w:sz w:val="18"/>
              </w:rPr>
              <w:t xml:space="preserve"> </w:t>
            </w:r>
            <w:r>
              <w:rPr>
                <w:rFonts w:ascii="Times New Roman"/>
                <w:b/>
                <w:i/>
                <w:color w:val="17365A"/>
                <w:spacing w:val="-2"/>
                <w:sz w:val="18"/>
              </w:rPr>
              <w:t>agency.</w:t>
            </w:r>
            <w:r>
              <w:rPr>
                <w:rFonts w:ascii="Times New Roman"/>
                <w:b/>
                <w:i/>
                <w:color w:val="17365A"/>
                <w:spacing w:val="-8"/>
                <w:sz w:val="18"/>
              </w:rPr>
              <w:t xml:space="preserve"> </w:t>
            </w:r>
            <w:r>
              <w:rPr>
                <w:rFonts w:ascii="Times New Roman"/>
                <w:b/>
                <w:i/>
                <w:color w:val="17365A"/>
                <w:spacing w:val="-2"/>
                <w:sz w:val="18"/>
              </w:rPr>
              <w:t>Now,</w:t>
            </w:r>
            <w:r>
              <w:rPr>
                <w:rFonts w:ascii="Times New Roman"/>
                <w:b/>
                <w:i/>
                <w:color w:val="17365A"/>
                <w:spacing w:val="-11"/>
                <w:sz w:val="18"/>
              </w:rPr>
              <w:t xml:space="preserve"> </w:t>
            </w:r>
            <w:r>
              <w:rPr>
                <w:rFonts w:ascii="Times New Roman"/>
                <w:b/>
                <w:i/>
                <w:color w:val="17365A"/>
                <w:spacing w:val="-2"/>
                <w:sz w:val="18"/>
              </w:rPr>
              <w:t>we</w:t>
            </w:r>
            <w:r>
              <w:rPr>
                <w:rFonts w:ascii="Times New Roman"/>
                <w:b/>
                <w:i/>
                <w:color w:val="17365A"/>
                <w:spacing w:val="-12"/>
                <w:sz w:val="18"/>
              </w:rPr>
              <w:t xml:space="preserve"> </w:t>
            </w:r>
            <w:r>
              <w:rPr>
                <w:rFonts w:ascii="Times New Roman"/>
                <w:b/>
                <w:i/>
                <w:color w:val="17365A"/>
                <w:spacing w:val="-2"/>
                <w:sz w:val="18"/>
              </w:rPr>
              <w:t>are</w:t>
            </w:r>
            <w:r>
              <w:rPr>
                <w:rFonts w:ascii="Times New Roman"/>
                <w:b/>
                <w:i/>
                <w:color w:val="17365A"/>
                <w:spacing w:val="-10"/>
                <w:sz w:val="18"/>
              </w:rPr>
              <w:t xml:space="preserve"> </w:t>
            </w:r>
            <w:r>
              <w:rPr>
                <w:rFonts w:ascii="Times New Roman"/>
                <w:b/>
                <w:i/>
                <w:color w:val="17365A"/>
                <w:spacing w:val="-2"/>
                <w:sz w:val="18"/>
              </w:rPr>
              <w:t>pushing</w:t>
            </w:r>
            <w:r>
              <w:rPr>
                <w:rFonts w:ascii="Times New Roman"/>
                <w:b/>
                <w:i/>
                <w:color w:val="17365A"/>
                <w:spacing w:val="-11"/>
                <w:sz w:val="18"/>
              </w:rPr>
              <w:t xml:space="preserve"> </w:t>
            </w:r>
            <w:r>
              <w:rPr>
                <w:rFonts w:ascii="Times New Roman"/>
                <w:b/>
                <w:i/>
                <w:color w:val="17365A"/>
                <w:spacing w:val="-2"/>
                <w:sz w:val="18"/>
              </w:rPr>
              <w:t>for</w:t>
            </w:r>
            <w:r>
              <w:rPr>
                <w:rFonts w:ascii="Times New Roman"/>
                <w:b/>
                <w:i/>
                <w:color w:val="17365A"/>
                <w:spacing w:val="-12"/>
                <w:sz w:val="18"/>
              </w:rPr>
              <w:t xml:space="preserve"> </w:t>
            </w:r>
            <w:r>
              <w:rPr>
                <w:rFonts w:ascii="Times New Roman"/>
                <w:b/>
                <w:i/>
                <w:color w:val="17365A"/>
                <w:spacing w:val="-2"/>
                <w:sz w:val="18"/>
              </w:rPr>
              <w:t>data</w:t>
            </w:r>
            <w:r>
              <w:rPr>
                <w:rFonts w:ascii="Times New Roman"/>
                <w:b/>
                <w:i/>
                <w:color w:val="17365A"/>
                <w:spacing w:val="-11"/>
                <w:sz w:val="18"/>
              </w:rPr>
              <w:t xml:space="preserve"> </w:t>
            </w:r>
            <w:r>
              <w:rPr>
                <w:rFonts w:ascii="Times New Roman"/>
                <w:b/>
                <w:i/>
                <w:color w:val="17365A"/>
                <w:spacing w:val="-2"/>
                <w:sz w:val="18"/>
              </w:rPr>
              <w:t>to</w:t>
            </w:r>
            <w:r>
              <w:rPr>
                <w:rFonts w:ascii="Times New Roman"/>
                <w:b/>
                <w:i/>
                <w:color w:val="17365A"/>
                <w:spacing w:val="-9"/>
                <w:sz w:val="18"/>
              </w:rPr>
              <w:t xml:space="preserve"> </w:t>
            </w:r>
            <w:r>
              <w:rPr>
                <w:rFonts w:ascii="Times New Roman"/>
                <w:b/>
                <w:i/>
                <w:color w:val="17365A"/>
                <w:spacing w:val="-2"/>
                <w:sz w:val="18"/>
              </w:rPr>
              <w:t>become</w:t>
            </w:r>
            <w:r>
              <w:rPr>
                <w:rFonts w:ascii="Times New Roman"/>
                <w:b/>
                <w:i/>
                <w:color w:val="17365A"/>
                <w:spacing w:val="-12"/>
                <w:sz w:val="18"/>
              </w:rPr>
              <w:t xml:space="preserve"> </w:t>
            </w:r>
            <w:r>
              <w:rPr>
                <w:rFonts w:ascii="Times New Roman"/>
                <w:b/>
                <w:i/>
                <w:color w:val="17365A"/>
                <w:spacing w:val="-2"/>
                <w:sz w:val="18"/>
              </w:rPr>
              <w:t>a</w:t>
            </w:r>
            <w:r>
              <w:rPr>
                <w:rFonts w:ascii="Times New Roman"/>
                <w:b/>
                <w:i/>
                <w:color w:val="17365A"/>
                <w:spacing w:val="-11"/>
                <w:sz w:val="18"/>
              </w:rPr>
              <w:t xml:space="preserve"> </w:t>
            </w:r>
            <w:r>
              <w:rPr>
                <w:rFonts w:ascii="Times New Roman"/>
                <w:b/>
                <w:i/>
                <w:color w:val="17365A"/>
                <w:spacing w:val="-2"/>
                <w:sz w:val="18"/>
              </w:rPr>
              <w:t xml:space="preserve">shared </w:t>
            </w:r>
            <w:r>
              <w:rPr>
                <w:rFonts w:ascii="Times New Roman"/>
                <w:b/>
                <w:i/>
                <w:color w:val="17365A"/>
                <w:sz w:val="18"/>
              </w:rPr>
              <w:t>asset, opened up to create more targeted policies..</w:t>
            </w:r>
          </w:p>
          <w:p w14:paraId="5D811944" w14:textId="77777777" w:rsidR="00BC24A8" w:rsidRDefault="00000000">
            <w:pPr>
              <w:pStyle w:val="TableParagraph"/>
              <w:spacing w:line="203" w:lineRule="exact"/>
              <w:ind w:left="626"/>
              <w:rPr>
                <w:i/>
                <w:sz w:val="18"/>
              </w:rPr>
            </w:pPr>
            <w:r>
              <w:rPr>
                <w:i/>
                <w:color w:val="17365A"/>
                <w:sz w:val="18"/>
              </w:rPr>
              <w:t>Head</w:t>
            </w:r>
            <w:r>
              <w:rPr>
                <w:i/>
                <w:color w:val="17365A"/>
                <w:spacing w:val="-4"/>
                <w:sz w:val="18"/>
              </w:rPr>
              <w:t xml:space="preserve"> </w:t>
            </w:r>
            <w:r>
              <w:rPr>
                <w:i/>
                <w:color w:val="17365A"/>
                <w:sz w:val="18"/>
              </w:rPr>
              <w:t>of</w:t>
            </w:r>
            <w:r>
              <w:rPr>
                <w:i/>
                <w:color w:val="17365A"/>
                <w:spacing w:val="-4"/>
                <w:sz w:val="18"/>
              </w:rPr>
              <w:t xml:space="preserve"> </w:t>
            </w:r>
            <w:r>
              <w:rPr>
                <w:i/>
                <w:color w:val="17365A"/>
                <w:sz w:val="18"/>
              </w:rPr>
              <w:t>the</w:t>
            </w:r>
            <w:r>
              <w:rPr>
                <w:i/>
                <w:color w:val="17365A"/>
                <w:spacing w:val="-5"/>
                <w:sz w:val="18"/>
              </w:rPr>
              <w:t xml:space="preserve"> </w:t>
            </w:r>
            <w:r>
              <w:rPr>
                <w:i/>
                <w:color w:val="17365A"/>
                <w:sz w:val="18"/>
              </w:rPr>
              <w:t>Aceh</w:t>
            </w:r>
            <w:r>
              <w:rPr>
                <w:i/>
                <w:color w:val="17365A"/>
                <w:spacing w:val="-1"/>
                <w:sz w:val="18"/>
              </w:rPr>
              <w:t xml:space="preserve"> </w:t>
            </w:r>
            <w:r>
              <w:rPr>
                <w:i/>
                <w:color w:val="17365A"/>
                <w:sz w:val="18"/>
              </w:rPr>
              <w:t>Kominsa</w:t>
            </w:r>
            <w:r>
              <w:rPr>
                <w:i/>
                <w:color w:val="17365A"/>
                <w:spacing w:val="-4"/>
                <w:sz w:val="18"/>
              </w:rPr>
              <w:t xml:space="preserve"> </w:t>
            </w:r>
            <w:r>
              <w:rPr>
                <w:i/>
                <w:color w:val="17365A"/>
                <w:sz w:val="18"/>
              </w:rPr>
              <w:t>Agency,</w:t>
            </w:r>
            <w:r>
              <w:rPr>
                <w:i/>
                <w:color w:val="17365A"/>
                <w:spacing w:val="-4"/>
                <w:sz w:val="18"/>
              </w:rPr>
              <w:t xml:space="preserve"> </w:t>
            </w:r>
            <w:r>
              <w:rPr>
                <w:i/>
                <w:color w:val="17365A"/>
                <w:sz w:val="18"/>
              </w:rPr>
              <w:t>May</w:t>
            </w:r>
            <w:r>
              <w:rPr>
                <w:i/>
                <w:color w:val="17365A"/>
                <w:spacing w:val="-2"/>
                <w:sz w:val="18"/>
              </w:rPr>
              <w:t xml:space="preserve"> </w:t>
            </w:r>
            <w:r>
              <w:rPr>
                <w:i/>
                <w:color w:val="17365A"/>
                <w:spacing w:val="-4"/>
                <w:sz w:val="18"/>
              </w:rPr>
              <w:t>2025</w:t>
            </w:r>
          </w:p>
          <w:p w14:paraId="3CB330DA" w14:textId="77777777" w:rsidR="00BC24A8" w:rsidRDefault="00BC24A8">
            <w:pPr>
              <w:pStyle w:val="TableParagraph"/>
              <w:spacing w:before="7"/>
              <w:rPr>
                <w:rFonts w:ascii="Calibri"/>
                <w:sz w:val="12"/>
              </w:rPr>
            </w:pPr>
          </w:p>
          <w:p w14:paraId="4165EB4B" w14:textId="77777777" w:rsidR="00BC24A8" w:rsidRDefault="00000000">
            <w:pPr>
              <w:pStyle w:val="TableParagraph"/>
              <w:ind w:left="8387"/>
              <w:rPr>
                <w:rFonts w:ascii="Calibri"/>
                <w:sz w:val="20"/>
              </w:rPr>
            </w:pPr>
            <w:r>
              <w:rPr>
                <w:rFonts w:ascii="Calibri"/>
                <w:noProof/>
                <w:sz w:val="20"/>
              </w:rPr>
              <w:drawing>
                <wp:inline distT="0" distB="0" distL="0" distR="0" wp14:anchorId="4437E8C2" wp14:editId="7BC5C614">
                  <wp:extent cx="222739" cy="204787"/>
                  <wp:effectExtent l="0" t="0" r="0" b="0"/>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2739" cy="204787"/>
                          </a:xfrm>
                          <a:prstGeom prst="rect">
                            <a:avLst/>
                          </a:prstGeom>
                        </pic:spPr>
                      </pic:pic>
                    </a:graphicData>
                  </a:graphic>
                </wp:inline>
              </w:drawing>
            </w:r>
          </w:p>
          <w:p w14:paraId="7E007CC0" w14:textId="77777777" w:rsidR="00BC24A8" w:rsidRDefault="00BC24A8">
            <w:pPr>
              <w:pStyle w:val="TableParagraph"/>
              <w:spacing w:before="30"/>
              <w:rPr>
                <w:rFonts w:ascii="Calibri"/>
                <w:sz w:val="18"/>
              </w:rPr>
            </w:pPr>
          </w:p>
          <w:p w14:paraId="73BED027" w14:textId="77777777" w:rsidR="00BC24A8" w:rsidRDefault="00000000">
            <w:pPr>
              <w:pStyle w:val="TableParagraph"/>
              <w:ind w:left="251" w:right="237"/>
              <w:jc w:val="both"/>
              <w:rPr>
                <w:sz w:val="18"/>
              </w:rPr>
            </w:pPr>
            <w:r>
              <w:rPr>
                <w:sz w:val="18"/>
              </w:rPr>
              <w:t>This change demonstrates</w:t>
            </w:r>
            <w:r>
              <w:rPr>
                <w:spacing w:val="-3"/>
                <w:sz w:val="18"/>
              </w:rPr>
              <w:t xml:space="preserve"> </w:t>
            </w:r>
            <w:r>
              <w:rPr>
                <w:sz w:val="18"/>
              </w:rPr>
              <w:t>that accelerating</w:t>
            </w:r>
            <w:r>
              <w:rPr>
                <w:spacing w:val="-1"/>
                <w:sz w:val="18"/>
              </w:rPr>
              <w:t xml:space="preserve"> </w:t>
            </w:r>
            <w:r>
              <w:rPr>
                <w:sz w:val="18"/>
              </w:rPr>
              <w:t>One</w:t>
            </w:r>
            <w:r>
              <w:rPr>
                <w:spacing w:val="-3"/>
                <w:sz w:val="18"/>
              </w:rPr>
              <w:t xml:space="preserve"> </w:t>
            </w:r>
            <w:r>
              <w:rPr>
                <w:sz w:val="18"/>
              </w:rPr>
              <w:t>Data</w:t>
            </w:r>
            <w:r>
              <w:rPr>
                <w:spacing w:val="-3"/>
                <w:sz w:val="18"/>
              </w:rPr>
              <w:t xml:space="preserve"> </w:t>
            </w:r>
            <w:r>
              <w:rPr>
                <w:sz w:val="18"/>
              </w:rPr>
              <w:t>implementation still requires continuous</w:t>
            </w:r>
            <w:r>
              <w:rPr>
                <w:spacing w:val="-3"/>
                <w:sz w:val="18"/>
              </w:rPr>
              <w:t xml:space="preserve"> </w:t>
            </w:r>
            <w:r>
              <w:rPr>
                <w:sz w:val="18"/>
              </w:rPr>
              <w:t>regulatory support</w:t>
            </w:r>
            <w:r>
              <w:rPr>
                <w:spacing w:val="-2"/>
                <w:sz w:val="18"/>
              </w:rPr>
              <w:t xml:space="preserve"> </w:t>
            </w:r>
            <w:r>
              <w:rPr>
                <w:sz w:val="18"/>
              </w:rPr>
              <w:t xml:space="preserve">and proactive leadership, alongside strengthened technical capacity and cross-sectoral collaboration. Diskominsa’s role as Walidata is now more recognised, and Aceh One Data is progressively transforming to become more accountable and </w:t>
            </w:r>
            <w:r>
              <w:rPr>
                <w:spacing w:val="-2"/>
                <w:sz w:val="18"/>
              </w:rPr>
              <w:t>inclusive.</w:t>
            </w:r>
          </w:p>
        </w:tc>
      </w:tr>
    </w:tbl>
    <w:p w14:paraId="2A1D7C06" w14:textId="77777777" w:rsidR="00BC24A8" w:rsidRDefault="00BC24A8">
      <w:pPr>
        <w:pStyle w:val="TableParagraph"/>
        <w:jc w:val="both"/>
        <w:rPr>
          <w:sz w:val="18"/>
        </w:rPr>
        <w:sectPr w:rsidR="00BC24A8">
          <w:pgSz w:w="11910" w:h="16840"/>
          <w:pgMar w:top="1360" w:right="850" w:bottom="1100" w:left="1275" w:header="0" w:footer="907" w:gutter="0"/>
          <w:cols w:space="720"/>
        </w:sectPr>
      </w:pPr>
    </w:p>
    <w:p w14:paraId="482BBA56" w14:textId="77777777" w:rsidR="00BC24A8" w:rsidRDefault="00000000">
      <w:pPr>
        <w:pStyle w:val="BodyText"/>
        <w:spacing w:before="39"/>
        <w:ind w:left="143"/>
        <w:rPr>
          <w:rFonts w:ascii="Calibri"/>
        </w:rPr>
      </w:pPr>
      <w:r>
        <w:rPr>
          <w:rFonts w:ascii="Calibri"/>
          <w:color w:val="272727"/>
        </w:rPr>
        <w:lastRenderedPageBreak/>
        <w:t>Challenges</w:t>
      </w:r>
      <w:r>
        <w:rPr>
          <w:rFonts w:ascii="Calibri"/>
          <w:color w:val="272727"/>
          <w:spacing w:val="-7"/>
        </w:rPr>
        <w:t xml:space="preserve"> </w:t>
      </w:r>
      <w:r>
        <w:rPr>
          <w:rFonts w:ascii="Calibri"/>
          <w:color w:val="272727"/>
        </w:rPr>
        <w:t>and</w:t>
      </w:r>
      <w:r>
        <w:rPr>
          <w:rFonts w:ascii="Calibri"/>
          <w:color w:val="272727"/>
          <w:spacing w:val="-5"/>
        </w:rPr>
        <w:t xml:space="preserve"> </w:t>
      </w:r>
      <w:r>
        <w:rPr>
          <w:rFonts w:ascii="Calibri"/>
          <w:color w:val="272727"/>
        </w:rPr>
        <w:t>lessons</w:t>
      </w:r>
      <w:r>
        <w:rPr>
          <w:rFonts w:ascii="Calibri"/>
          <w:color w:val="272727"/>
          <w:spacing w:val="-4"/>
        </w:rPr>
        <w:t xml:space="preserve"> </w:t>
      </w:r>
      <w:r>
        <w:rPr>
          <w:rFonts w:ascii="Calibri"/>
          <w:color w:val="272727"/>
          <w:spacing w:val="-2"/>
        </w:rPr>
        <w:t>learned</w:t>
      </w:r>
    </w:p>
    <w:p w14:paraId="50984C02" w14:textId="77777777" w:rsidR="00BC24A8" w:rsidRDefault="00000000">
      <w:pPr>
        <w:pStyle w:val="Heading5"/>
        <w:spacing w:before="22" w:line="381" w:lineRule="auto"/>
        <w:ind w:right="3474"/>
      </w:pPr>
      <w:r>
        <w:rPr>
          <w:color w:val="17365A"/>
        </w:rPr>
        <w:t>Program</w:t>
      </w:r>
      <w:r>
        <w:rPr>
          <w:color w:val="17365A"/>
          <w:spacing w:val="-10"/>
        </w:rPr>
        <w:t xml:space="preserve"> </w:t>
      </w:r>
      <w:r>
        <w:rPr>
          <w:color w:val="17365A"/>
        </w:rPr>
        <w:t>implementation</w:t>
      </w:r>
      <w:r>
        <w:rPr>
          <w:color w:val="17365A"/>
          <w:spacing w:val="-11"/>
        </w:rPr>
        <w:t xml:space="preserve"> </w:t>
      </w:r>
      <w:r>
        <w:rPr>
          <w:color w:val="17365A"/>
        </w:rPr>
        <w:t>challenges,</w:t>
      </w:r>
      <w:r>
        <w:rPr>
          <w:color w:val="17365A"/>
          <w:spacing w:val="-12"/>
        </w:rPr>
        <w:t xml:space="preserve"> </w:t>
      </w:r>
      <w:r>
        <w:rPr>
          <w:color w:val="17365A"/>
        </w:rPr>
        <w:t>impacts,</w:t>
      </w:r>
      <w:r>
        <w:rPr>
          <w:color w:val="17365A"/>
          <w:spacing w:val="-10"/>
        </w:rPr>
        <w:t xml:space="preserve"> </w:t>
      </w:r>
      <w:r>
        <w:rPr>
          <w:color w:val="17365A"/>
        </w:rPr>
        <w:t>and</w:t>
      </w:r>
      <w:r>
        <w:rPr>
          <w:color w:val="17365A"/>
          <w:spacing w:val="-11"/>
        </w:rPr>
        <w:t xml:space="preserve"> </w:t>
      </w:r>
      <w:r>
        <w:rPr>
          <w:color w:val="17365A"/>
        </w:rPr>
        <w:t xml:space="preserve">solutions </w:t>
      </w:r>
      <w:r>
        <w:rPr>
          <w:spacing w:val="-2"/>
        </w:rPr>
        <w:t>Challenges</w:t>
      </w:r>
    </w:p>
    <w:p w14:paraId="7DA8CF9A" w14:textId="77777777" w:rsidR="00BC24A8" w:rsidRDefault="00000000">
      <w:pPr>
        <w:pStyle w:val="ListParagraph"/>
        <w:numPr>
          <w:ilvl w:val="0"/>
          <w:numId w:val="135"/>
        </w:numPr>
        <w:tabs>
          <w:tab w:val="left" w:pos="861"/>
          <w:tab w:val="left" w:pos="863"/>
        </w:tabs>
        <w:spacing w:before="3" w:line="256" w:lineRule="auto"/>
        <w:ind w:right="563"/>
        <w:jc w:val="both"/>
      </w:pPr>
      <w:r>
        <w:t>Weak</w:t>
      </w:r>
      <w:r>
        <w:rPr>
          <w:spacing w:val="-7"/>
        </w:rPr>
        <w:t xml:space="preserve"> </w:t>
      </w:r>
      <w:r>
        <w:t>commitment</w:t>
      </w:r>
      <w:r>
        <w:rPr>
          <w:spacing w:val="-11"/>
        </w:rPr>
        <w:t xml:space="preserve"> </w:t>
      </w:r>
      <w:r>
        <w:t>from</w:t>
      </w:r>
      <w:r>
        <w:rPr>
          <w:spacing w:val="-10"/>
        </w:rPr>
        <w:t xml:space="preserve"> </w:t>
      </w:r>
      <w:r>
        <w:t>OPDs</w:t>
      </w:r>
      <w:r>
        <w:rPr>
          <w:spacing w:val="-10"/>
        </w:rPr>
        <w:t xml:space="preserve"> </w:t>
      </w:r>
      <w:r>
        <w:t>in</w:t>
      </w:r>
      <w:r>
        <w:rPr>
          <w:spacing w:val="-10"/>
        </w:rPr>
        <w:t xml:space="preserve"> </w:t>
      </w:r>
      <w:r>
        <w:t>data</w:t>
      </w:r>
      <w:r>
        <w:rPr>
          <w:spacing w:val="-11"/>
        </w:rPr>
        <w:t xml:space="preserve"> </w:t>
      </w:r>
      <w:r>
        <w:t>management</w:t>
      </w:r>
      <w:r>
        <w:rPr>
          <w:spacing w:val="-9"/>
        </w:rPr>
        <w:t xml:space="preserve"> </w:t>
      </w:r>
      <w:r>
        <w:t>has</w:t>
      </w:r>
      <w:r>
        <w:rPr>
          <w:spacing w:val="-7"/>
        </w:rPr>
        <w:t xml:space="preserve"> </w:t>
      </w:r>
      <w:r>
        <w:t>led</w:t>
      </w:r>
      <w:r>
        <w:rPr>
          <w:spacing w:val="-8"/>
        </w:rPr>
        <w:t xml:space="preserve"> </w:t>
      </w:r>
      <w:r>
        <w:t>to</w:t>
      </w:r>
      <w:r>
        <w:rPr>
          <w:spacing w:val="-11"/>
        </w:rPr>
        <w:t xml:space="preserve"> </w:t>
      </w:r>
      <w:r>
        <w:t>inconsistent,</w:t>
      </w:r>
      <w:r>
        <w:rPr>
          <w:spacing w:val="-7"/>
        </w:rPr>
        <w:t xml:space="preserve"> </w:t>
      </w:r>
      <w:r>
        <w:t>outdated,</w:t>
      </w:r>
      <w:r>
        <w:rPr>
          <w:spacing w:val="-7"/>
        </w:rPr>
        <w:t xml:space="preserve"> </w:t>
      </w:r>
      <w:r>
        <w:t>and</w:t>
      </w:r>
      <w:r>
        <w:rPr>
          <w:spacing w:val="-10"/>
        </w:rPr>
        <w:t xml:space="preserve"> </w:t>
      </w:r>
      <w:r>
        <w:t>non- standardised data.</w:t>
      </w:r>
    </w:p>
    <w:p w14:paraId="50312FD8" w14:textId="77777777" w:rsidR="00BC24A8" w:rsidRDefault="00000000">
      <w:pPr>
        <w:pStyle w:val="ListParagraph"/>
        <w:numPr>
          <w:ilvl w:val="0"/>
          <w:numId w:val="135"/>
        </w:numPr>
        <w:tabs>
          <w:tab w:val="left" w:pos="861"/>
          <w:tab w:val="left" w:pos="863"/>
        </w:tabs>
        <w:spacing w:before="3" w:line="259" w:lineRule="auto"/>
        <w:ind w:right="562"/>
        <w:jc w:val="both"/>
      </w:pPr>
      <w:r>
        <w:t>Planning</w:t>
      </w:r>
      <w:r>
        <w:rPr>
          <w:spacing w:val="-10"/>
        </w:rPr>
        <w:t xml:space="preserve"> </w:t>
      </w:r>
      <w:r>
        <w:t>and</w:t>
      </w:r>
      <w:r>
        <w:rPr>
          <w:spacing w:val="-9"/>
        </w:rPr>
        <w:t xml:space="preserve"> </w:t>
      </w:r>
      <w:r>
        <w:t>reporting</w:t>
      </w:r>
      <w:r>
        <w:rPr>
          <w:spacing w:val="-10"/>
        </w:rPr>
        <w:t xml:space="preserve"> </w:t>
      </w:r>
      <w:r>
        <w:t>capacity</w:t>
      </w:r>
      <w:r>
        <w:rPr>
          <w:spacing w:val="-9"/>
        </w:rPr>
        <w:t xml:space="preserve"> </w:t>
      </w:r>
      <w:r>
        <w:t>for</w:t>
      </w:r>
      <w:r>
        <w:rPr>
          <w:spacing w:val="-9"/>
        </w:rPr>
        <w:t xml:space="preserve"> </w:t>
      </w:r>
      <w:r>
        <w:t>Otsus</w:t>
      </w:r>
      <w:r>
        <w:rPr>
          <w:spacing w:val="-9"/>
        </w:rPr>
        <w:t xml:space="preserve"> </w:t>
      </w:r>
      <w:r>
        <w:t>according</w:t>
      </w:r>
      <w:r>
        <w:rPr>
          <w:spacing w:val="-10"/>
        </w:rPr>
        <w:t xml:space="preserve"> </w:t>
      </w:r>
      <w:r>
        <w:t>to</w:t>
      </w:r>
      <w:r>
        <w:rPr>
          <w:spacing w:val="-10"/>
        </w:rPr>
        <w:t xml:space="preserve"> </w:t>
      </w:r>
      <w:r>
        <w:t>the</w:t>
      </w:r>
      <w:r>
        <w:rPr>
          <w:spacing w:val="-11"/>
        </w:rPr>
        <w:t xml:space="preserve"> </w:t>
      </w:r>
      <w:r>
        <w:t>latest</w:t>
      </w:r>
      <w:r>
        <w:rPr>
          <w:spacing w:val="-10"/>
        </w:rPr>
        <w:t xml:space="preserve"> </w:t>
      </w:r>
      <w:r>
        <w:t>regulations</w:t>
      </w:r>
      <w:r>
        <w:rPr>
          <w:spacing w:val="-9"/>
        </w:rPr>
        <w:t xml:space="preserve"> </w:t>
      </w:r>
      <w:r>
        <w:t>remains</w:t>
      </w:r>
      <w:r>
        <w:rPr>
          <w:spacing w:val="-9"/>
        </w:rPr>
        <w:t xml:space="preserve"> </w:t>
      </w:r>
      <w:r>
        <w:t>limited,</w:t>
      </w:r>
      <w:r>
        <w:rPr>
          <w:spacing w:val="-8"/>
        </w:rPr>
        <w:t xml:space="preserve"> </w:t>
      </w:r>
      <w:r>
        <w:t>as it is being applied for the first time, causing delays in submitting RAP documents, which are prerequisites for Otsus disbursement.</w:t>
      </w:r>
    </w:p>
    <w:p w14:paraId="0A0556B3" w14:textId="77777777" w:rsidR="00BC24A8" w:rsidRDefault="00000000">
      <w:pPr>
        <w:pStyle w:val="ListParagraph"/>
        <w:numPr>
          <w:ilvl w:val="0"/>
          <w:numId w:val="135"/>
        </w:numPr>
        <w:tabs>
          <w:tab w:val="left" w:pos="861"/>
          <w:tab w:val="left" w:pos="863"/>
        </w:tabs>
        <w:spacing w:line="259" w:lineRule="auto"/>
        <w:ind w:right="565"/>
        <w:jc w:val="both"/>
      </w:pPr>
      <w:r>
        <w:t>The expansion of SIGAP faces digital infrastructure limitations, skill gaps among university students, language and cultural differences, and limited capacity for data validation.</w:t>
      </w:r>
    </w:p>
    <w:p w14:paraId="09DBD3B8" w14:textId="77777777" w:rsidR="00BC24A8" w:rsidRDefault="00000000">
      <w:pPr>
        <w:pStyle w:val="ListParagraph"/>
        <w:numPr>
          <w:ilvl w:val="0"/>
          <w:numId w:val="135"/>
        </w:numPr>
        <w:tabs>
          <w:tab w:val="left" w:pos="860"/>
          <w:tab w:val="left" w:pos="862"/>
        </w:tabs>
        <w:spacing w:line="259" w:lineRule="auto"/>
        <w:ind w:left="862" w:right="564"/>
        <w:jc w:val="both"/>
      </w:pPr>
      <w:r>
        <w:t>OPDs’ understanding and capacity on gender-responsive concepts, technical instruments, and practices remain limited and vary across agencies, with implementation mostly seen in lead OPDs only.</w:t>
      </w:r>
    </w:p>
    <w:p w14:paraId="5155E048" w14:textId="77777777" w:rsidR="00BC24A8" w:rsidRDefault="00000000">
      <w:pPr>
        <w:pStyle w:val="Heading5"/>
        <w:spacing w:before="159"/>
        <w:ind w:left="142"/>
      </w:pPr>
      <w:r>
        <w:rPr>
          <w:spacing w:val="-2"/>
        </w:rPr>
        <w:t>Solution</w:t>
      </w:r>
    </w:p>
    <w:p w14:paraId="668A0AF6" w14:textId="77777777" w:rsidR="00BC24A8" w:rsidRDefault="00000000">
      <w:pPr>
        <w:pStyle w:val="ListParagraph"/>
        <w:numPr>
          <w:ilvl w:val="0"/>
          <w:numId w:val="134"/>
        </w:numPr>
        <w:tabs>
          <w:tab w:val="left" w:pos="860"/>
          <w:tab w:val="left" w:pos="862"/>
        </w:tabs>
        <w:spacing w:before="161" w:line="256" w:lineRule="auto"/>
        <w:ind w:right="565"/>
        <w:jc w:val="both"/>
      </w:pPr>
      <w:r>
        <w:t>The</w:t>
      </w:r>
      <w:r>
        <w:rPr>
          <w:spacing w:val="-13"/>
        </w:rPr>
        <w:t xml:space="preserve"> </w:t>
      </w:r>
      <w:r>
        <w:t>Aceh</w:t>
      </w:r>
      <w:r>
        <w:rPr>
          <w:spacing w:val="-12"/>
        </w:rPr>
        <w:t xml:space="preserve"> </w:t>
      </w:r>
      <w:r>
        <w:t>One</w:t>
      </w:r>
      <w:r>
        <w:rPr>
          <w:spacing w:val="-13"/>
        </w:rPr>
        <w:t xml:space="preserve"> </w:t>
      </w:r>
      <w:r>
        <w:t>Data</w:t>
      </w:r>
      <w:r>
        <w:rPr>
          <w:spacing w:val="-12"/>
        </w:rPr>
        <w:t xml:space="preserve"> </w:t>
      </w:r>
      <w:r>
        <w:t>Portal</w:t>
      </w:r>
      <w:r>
        <w:rPr>
          <w:spacing w:val="-13"/>
        </w:rPr>
        <w:t xml:space="preserve"> </w:t>
      </w:r>
      <w:r>
        <w:t>has</w:t>
      </w:r>
      <w:r>
        <w:rPr>
          <w:spacing w:val="-12"/>
        </w:rPr>
        <w:t xml:space="preserve"> </w:t>
      </w:r>
      <w:r>
        <w:t>been</w:t>
      </w:r>
      <w:r>
        <w:rPr>
          <w:spacing w:val="-13"/>
        </w:rPr>
        <w:t xml:space="preserve"> </w:t>
      </w:r>
      <w:r>
        <w:t>launched,</w:t>
      </w:r>
      <w:r>
        <w:rPr>
          <w:spacing w:val="-12"/>
        </w:rPr>
        <w:t xml:space="preserve"> </w:t>
      </w:r>
      <w:r>
        <w:t>and</w:t>
      </w:r>
      <w:r>
        <w:rPr>
          <w:spacing w:val="-12"/>
        </w:rPr>
        <w:t xml:space="preserve"> </w:t>
      </w:r>
      <w:r>
        <w:t>SOPs</w:t>
      </w:r>
      <w:r>
        <w:rPr>
          <w:spacing w:val="-13"/>
        </w:rPr>
        <w:t xml:space="preserve"> </w:t>
      </w:r>
      <w:r>
        <w:t>for</w:t>
      </w:r>
      <w:r>
        <w:rPr>
          <w:spacing w:val="-12"/>
        </w:rPr>
        <w:t xml:space="preserve"> </w:t>
      </w:r>
      <w:r>
        <w:t>One</w:t>
      </w:r>
      <w:r>
        <w:rPr>
          <w:spacing w:val="-13"/>
        </w:rPr>
        <w:t xml:space="preserve"> </w:t>
      </w:r>
      <w:r>
        <w:t>Data</w:t>
      </w:r>
      <w:r>
        <w:rPr>
          <w:spacing w:val="-12"/>
        </w:rPr>
        <w:t xml:space="preserve"> </w:t>
      </w:r>
      <w:r>
        <w:t>implementation</w:t>
      </w:r>
      <w:r>
        <w:rPr>
          <w:spacing w:val="-13"/>
        </w:rPr>
        <w:t xml:space="preserve"> </w:t>
      </w:r>
      <w:r>
        <w:t>have</w:t>
      </w:r>
      <w:r>
        <w:rPr>
          <w:spacing w:val="-12"/>
        </w:rPr>
        <w:t xml:space="preserve"> </w:t>
      </w:r>
      <w:r>
        <w:t>been developed to facilitate coordination among OPDs and ensure data inputs meet standards.</w:t>
      </w:r>
    </w:p>
    <w:p w14:paraId="58D37348" w14:textId="77777777" w:rsidR="00BC24A8" w:rsidRDefault="00000000">
      <w:pPr>
        <w:pStyle w:val="ListParagraph"/>
        <w:numPr>
          <w:ilvl w:val="0"/>
          <w:numId w:val="134"/>
        </w:numPr>
        <w:tabs>
          <w:tab w:val="left" w:pos="860"/>
          <w:tab w:val="left" w:pos="862"/>
        </w:tabs>
        <w:spacing w:before="4" w:line="259" w:lineRule="auto"/>
        <w:ind w:right="562"/>
        <w:jc w:val="both"/>
      </w:pPr>
      <w:r>
        <w:t>Ongoing facilitation, consultation, and technical guidance on Otsus planning and reporting are provided by DJPK and BPKA.</w:t>
      </w:r>
    </w:p>
    <w:p w14:paraId="42FA6AEC" w14:textId="77777777" w:rsidR="00BC24A8" w:rsidRDefault="00000000">
      <w:pPr>
        <w:pStyle w:val="ListParagraph"/>
        <w:numPr>
          <w:ilvl w:val="0"/>
          <w:numId w:val="134"/>
        </w:numPr>
        <w:tabs>
          <w:tab w:val="left" w:pos="860"/>
          <w:tab w:val="left" w:pos="862"/>
        </w:tabs>
        <w:spacing w:line="259" w:lineRule="auto"/>
        <w:ind w:right="562"/>
        <w:jc w:val="both"/>
      </w:pPr>
      <w:r>
        <w:t>KKN students</w:t>
      </w:r>
      <w:r>
        <w:rPr>
          <w:spacing w:val="-2"/>
        </w:rPr>
        <w:t xml:space="preserve"> </w:t>
      </w:r>
      <w:r>
        <w:t>receive</w:t>
      </w:r>
      <w:r>
        <w:rPr>
          <w:spacing w:val="-2"/>
        </w:rPr>
        <w:t xml:space="preserve"> </w:t>
      </w:r>
      <w:r>
        <w:t>tailored</w:t>
      </w:r>
      <w:r>
        <w:rPr>
          <w:spacing w:val="-1"/>
        </w:rPr>
        <w:t xml:space="preserve"> </w:t>
      </w:r>
      <w:r>
        <w:t>SIGAP training</w:t>
      </w:r>
      <w:r>
        <w:rPr>
          <w:spacing w:val="-3"/>
        </w:rPr>
        <w:t xml:space="preserve"> </w:t>
      </w:r>
      <w:r>
        <w:t>modules</w:t>
      </w:r>
      <w:r>
        <w:rPr>
          <w:spacing w:val="-2"/>
        </w:rPr>
        <w:t xml:space="preserve"> </w:t>
      </w:r>
      <w:r>
        <w:t>and</w:t>
      </w:r>
      <w:r>
        <w:rPr>
          <w:spacing w:val="-1"/>
        </w:rPr>
        <w:t xml:space="preserve"> </w:t>
      </w:r>
      <w:r>
        <w:t>are</w:t>
      </w:r>
      <w:r>
        <w:rPr>
          <w:spacing w:val="-2"/>
        </w:rPr>
        <w:t xml:space="preserve"> </w:t>
      </w:r>
      <w:r>
        <w:t>accompanied</w:t>
      </w:r>
      <w:r>
        <w:rPr>
          <w:spacing w:val="-1"/>
        </w:rPr>
        <w:t xml:space="preserve"> </w:t>
      </w:r>
      <w:r>
        <w:t>by local</w:t>
      </w:r>
      <w:r>
        <w:rPr>
          <w:spacing w:val="-2"/>
        </w:rPr>
        <w:t xml:space="preserve"> </w:t>
      </w:r>
      <w:r>
        <w:t>leaders or village officials. Verification mechanisms and offline tools are also provided to address technological and connectivity challenges in villages.</w:t>
      </w:r>
    </w:p>
    <w:p w14:paraId="1BE4AA71" w14:textId="77777777" w:rsidR="00BC24A8" w:rsidRDefault="00000000">
      <w:pPr>
        <w:pStyle w:val="ListParagraph"/>
        <w:numPr>
          <w:ilvl w:val="0"/>
          <w:numId w:val="134"/>
        </w:numPr>
        <w:tabs>
          <w:tab w:val="left" w:pos="860"/>
          <w:tab w:val="left" w:pos="862"/>
        </w:tabs>
        <w:spacing w:line="259" w:lineRule="auto"/>
        <w:ind w:right="564"/>
        <w:jc w:val="both"/>
      </w:pPr>
      <w:r>
        <w:t>Capacity building has been conducted for the Inspectorate to ensure that Gender-Responsive Planning and Budgeting (PPRG) becomes a core component of monitoring and evaluation.</w:t>
      </w:r>
    </w:p>
    <w:p w14:paraId="2E6B6833" w14:textId="77777777" w:rsidR="00BC24A8" w:rsidRDefault="00BC24A8">
      <w:pPr>
        <w:pStyle w:val="BodyText"/>
      </w:pPr>
    </w:p>
    <w:p w14:paraId="69893A60" w14:textId="77777777" w:rsidR="00BC24A8" w:rsidRDefault="00BC24A8">
      <w:pPr>
        <w:pStyle w:val="BodyText"/>
        <w:spacing w:before="51"/>
      </w:pPr>
    </w:p>
    <w:p w14:paraId="50916A83" w14:textId="77777777" w:rsidR="00BC24A8" w:rsidRDefault="00000000">
      <w:pPr>
        <w:pStyle w:val="Heading5"/>
      </w:pPr>
      <w:r>
        <w:rPr>
          <w:color w:val="17365A"/>
        </w:rPr>
        <w:t>Lessons</w:t>
      </w:r>
      <w:r>
        <w:rPr>
          <w:color w:val="17365A"/>
          <w:spacing w:val="-6"/>
        </w:rPr>
        <w:t xml:space="preserve"> </w:t>
      </w:r>
      <w:r>
        <w:rPr>
          <w:color w:val="17365A"/>
          <w:spacing w:val="-2"/>
        </w:rPr>
        <w:t>learned</w:t>
      </w:r>
    </w:p>
    <w:p w14:paraId="75B0042B" w14:textId="77777777" w:rsidR="00BC24A8" w:rsidRDefault="00BC24A8">
      <w:pPr>
        <w:pStyle w:val="BodyText"/>
        <w:spacing w:after="1"/>
        <w:rPr>
          <w:rFonts w:ascii="Calibri"/>
          <w:b/>
          <w:sz w:val="13"/>
        </w:rPr>
      </w:pPr>
    </w:p>
    <w:tbl>
      <w:tblPr>
        <w:tblW w:w="0" w:type="auto"/>
        <w:tblInd w:w="141" w:type="dxa"/>
        <w:tblLayout w:type="fixed"/>
        <w:tblCellMar>
          <w:left w:w="0" w:type="dxa"/>
          <w:right w:w="0" w:type="dxa"/>
        </w:tblCellMar>
        <w:tblLook w:val="01E0" w:firstRow="1" w:lastRow="1" w:firstColumn="1" w:lastColumn="1" w:noHBand="0" w:noVBand="0"/>
      </w:tblPr>
      <w:tblGrid>
        <w:gridCol w:w="1562"/>
        <w:gridCol w:w="7538"/>
      </w:tblGrid>
      <w:tr w:rsidR="00BC24A8" w14:paraId="53195112" w14:textId="77777777">
        <w:trPr>
          <w:trHeight w:val="304"/>
        </w:trPr>
        <w:tc>
          <w:tcPr>
            <w:tcW w:w="1562" w:type="dxa"/>
            <w:tcBorders>
              <w:top w:val="single" w:sz="4" w:space="0" w:color="7E7E7E"/>
            </w:tcBorders>
            <w:shd w:val="clear" w:color="auto" w:fill="17365A"/>
          </w:tcPr>
          <w:p w14:paraId="7C9CEAFD" w14:textId="77777777" w:rsidR="00BC24A8" w:rsidRDefault="00000000">
            <w:pPr>
              <w:pStyle w:val="TableParagraph"/>
              <w:spacing w:before="1"/>
              <w:ind w:left="121"/>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theme</w:t>
            </w:r>
          </w:p>
        </w:tc>
        <w:tc>
          <w:tcPr>
            <w:tcW w:w="7538" w:type="dxa"/>
            <w:tcBorders>
              <w:top w:val="single" w:sz="4" w:space="0" w:color="7E7E7E"/>
            </w:tcBorders>
            <w:shd w:val="clear" w:color="auto" w:fill="17365A"/>
          </w:tcPr>
          <w:p w14:paraId="2AEFF867" w14:textId="77777777" w:rsidR="00BC24A8" w:rsidRDefault="00000000">
            <w:pPr>
              <w:pStyle w:val="TableParagraph"/>
              <w:spacing w:before="1"/>
              <w:ind w:right="25"/>
              <w:jc w:val="center"/>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description</w:t>
            </w:r>
          </w:p>
        </w:tc>
      </w:tr>
      <w:tr w:rsidR="00BC24A8" w14:paraId="35DB0351" w14:textId="77777777">
        <w:trPr>
          <w:trHeight w:val="2683"/>
        </w:trPr>
        <w:tc>
          <w:tcPr>
            <w:tcW w:w="1562" w:type="dxa"/>
            <w:tcBorders>
              <w:bottom w:val="single" w:sz="4" w:space="0" w:color="BEBEBE"/>
            </w:tcBorders>
          </w:tcPr>
          <w:p w14:paraId="0D480E96" w14:textId="77777777" w:rsidR="00BC24A8" w:rsidRDefault="00000000">
            <w:pPr>
              <w:pStyle w:val="TableParagraph"/>
              <w:spacing w:before="107"/>
              <w:ind w:left="116"/>
              <w:rPr>
                <w:sz w:val="18"/>
              </w:rPr>
            </w:pPr>
            <w:r>
              <w:rPr>
                <w:sz w:val="18"/>
              </w:rPr>
              <w:t>Increased</w:t>
            </w:r>
            <w:r>
              <w:rPr>
                <w:spacing w:val="-8"/>
                <w:sz w:val="18"/>
              </w:rPr>
              <w:t xml:space="preserve"> </w:t>
            </w:r>
            <w:r>
              <w:rPr>
                <w:spacing w:val="-5"/>
                <w:sz w:val="18"/>
              </w:rPr>
              <w:t>PAD</w:t>
            </w:r>
          </w:p>
        </w:tc>
        <w:tc>
          <w:tcPr>
            <w:tcW w:w="7538" w:type="dxa"/>
            <w:tcBorders>
              <w:bottom w:val="single" w:sz="4" w:space="0" w:color="BEBEBE"/>
            </w:tcBorders>
          </w:tcPr>
          <w:p w14:paraId="20644B50" w14:textId="77777777" w:rsidR="00BC24A8" w:rsidRDefault="00000000">
            <w:pPr>
              <w:pStyle w:val="TableParagraph"/>
              <w:spacing w:before="107"/>
              <w:ind w:left="227" w:right="249"/>
              <w:jc w:val="both"/>
              <w:rPr>
                <w:sz w:val="18"/>
              </w:rPr>
            </w:pPr>
            <w:r>
              <w:rPr>
                <w:sz w:val="18"/>
              </w:rPr>
              <w:t>The</w:t>
            </w:r>
            <w:r>
              <w:rPr>
                <w:spacing w:val="-5"/>
                <w:sz w:val="18"/>
              </w:rPr>
              <w:t xml:space="preserve"> </w:t>
            </w:r>
            <w:r>
              <w:rPr>
                <w:sz w:val="18"/>
              </w:rPr>
              <w:t>Aceh</w:t>
            </w:r>
            <w:r>
              <w:rPr>
                <w:spacing w:val="-5"/>
                <w:sz w:val="18"/>
              </w:rPr>
              <w:t xml:space="preserve"> </w:t>
            </w:r>
            <w:r>
              <w:rPr>
                <w:sz w:val="18"/>
              </w:rPr>
              <w:t>Provincial</w:t>
            </w:r>
            <w:r>
              <w:rPr>
                <w:spacing w:val="-4"/>
                <w:sz w:val="18"/>
              </w:rPr>
              <w:t xml:space="preserve"> </w:t>
            </w:r>
            <w:r>
              <w:rPr>
                <w:sz w:val="18"/>
              </w:rPr>
              <w:t>Government</w:t>
            </w:r>
            <w:r>
              <w:rPr>
                <w:spacing w:val="-6"/>
                <w:sz w:val="18"/>
              </w:rPr>
              <w:t xml:space="preserve"> </w:t>
            </w:r>
            <w:r>
              <w:rPr>
                <w:sz w:val="18"/>
              </w:rPr>
              <w:t>successfully</w:t>
            </w:r>
            <w:r>
              <w:rPr>
                <w:spacing w:val="-5"/>
                <w:sz w:val="18"/>
              </w:rPr>
              <w:t xml:space="preserve"> </w:t>
            </w:r>
            <w:r>
              <w:rPr>
                <w:sz w:val="18"/>
              </w:rPr>
              <w:t>developed</w:t>
            </w:r>
            <w:r>
              <w:rPr>
                <w:spacing w:val="-7"/>
                <w:sz w:val="18"/>
              </w:rPr>
              <w:t xml:space="preserve"> </w:t>
            </w:r>
            <w:r>
              <w:rPr>
                <w:sz w:val="18"/>
              </w:rPr>
              <w:t>the</w:t>
            </w:r>
            <w:r>
              <w:rPr>
                <w:spacing w:val="-5"/>
                <w:sz w:val="18"/>
              </w:rPr>
              <w:t xml:space="preserve"> </w:t>
            </w:r>
            <w:r>
              <w:rPr>
                <w:sz w:val="18"/>
              </w:rPr>
              <w:t>Aceh</w:t>
            </w:r>
            <w:r>
              <w:rPr>
                <w:spacing w:val="-7"/>
                <w:sz w:val="18"/>
              </w:rPr>
              <w:t xml:space="preserve"> </w:t>
            </w:r>
            <w:r>
              <w:rPr>
                <w:sz w:val="18"/>
              </w:rPr>
              <w:t>Electronic</w:t>
            </w:r>
            <w:r>
              <w:rPr>
                <w:spacing w:val="-7"/>
                <w:sz w:val="18"/>
              </w:rPr>
              <w:t xml:space="preserve"> </w:t>
            </w:r>
            <w:r>
              <w:rPr>
                <w:sz w:val="18"/>
              </w:rPr>
              <w:t>Revenue</w:t>
            </w:r>
            <w:r>
              <w:rPr>
                <w:spacing w:val="-5"/>
                <w:sz w:val="18"/>
              </w:rPr>
              <w:t xml:space="preserve"> </w:t>
            </w:r>
            <w:r>
              <w:rPr>
                <w:sz w:val="18"/>
              </w:rPr>
              <w:t>Information System (SYEDARA) to digitalise local revenue (PDRD) and increase PAD. The system was built to address issues such as inaccurate taxpayer data, hidden revenue potential, manual governance, and limited transparency.</w:t>
            </w:r>
          </w:p>
          <w:p w14:paraId="42AA0618" w14:textId="77777777" w:rsidR="00BC24A8" w:rsidRDefault="00000000">
            <w:pPr>
              <w:pStyle w:val="TableParagraph"/>
              <w:spacing w:before="160"/>
              <w:ind w:left="227" w:right="251"/>
              <w:jc w:val="both"/>
              <w:rPr>
                <w:sz w:val="18"/>
              </w:rPr>
            </w:pPr>
            <w:r>
              <w:rPr>
                <w:sz w:val="18"/>
              </w:rPr>
              <w:t>The success of SYEDARA was made possible through collaboration among multiple stakeholders, including SAMSAT, BPKA, Diskominsa, Jasa Raharja, Dukcapil, Pos Indonesia, the Investment and One-Stop Service Office, Bank Aceh, and SKALA.</w:t>
            </w:r>
          </w:p>
          <w:p w14:paraId="0FB88BE1" w14:textId="77777777" w:rsidR="00BC24A8" w:rsidRDefault="00000000">
            <w:pPr>
              <w:pStyle w:val="TableParagraph"/>
              <w:spacing w:before="159"/>
              <w:ind w:left="227" w:right="252"/>
              <w:jc w:val="both"/>
              <w:rPr>
                <w:sz w:val="18"/>
              </w:rPr>
            </w:pPr>
            <w:r>
              <w:rPr>
                <w:sz w:val="18"/>
              </w:rPr>
              <w:t>Replicating</w:t>
            </w:r>
            <w:r>
              <w:rPr>
                <w:spacing w:val="-9"/>
                <w:sz w:val="18"/>
              </w:rPr>
              <w:t xml:space="preserve"> </w:t>
            </w:r>
            <w:r>
              <w:rPr>
                <w:sz w:val="18"/>
              </w:rPr>
              <w:t>this</w:t>
            </w:r>
            <w:r>
              <w:rPr>
                <w:spacing w:val="-9"/>
                <w:sz w:val="18"/>
              </w:rPr>
              <w:t xml:space="preserve"> </w:t>
            </w:r>
            <w:r>
              <w:rPr>
                <w:sz w:val="18"/>
              </w:rPr>
              <w:t>system</w:t>
            </w:r>
            <w:r>
              <w:rPr>
                <w:spacing w:val="-10"/>
                <w:sz w:val="18"/>
              </w:rPr>
              <w:t xml:space="preserve"> </w:t>
            </w:r>
            <w:r>
              <w:rPr>
                <w:sz w:val="18"/>
              </w:rPr>
              <w:t>in</w:t>
            </w:r>
            <w:r>
              <w:rPr>
                <w:spacing w:val="-9"/>
                <w:sz w:val="18"/>
              </w:rPr>
              <w:t xml:space="preserve"> </w:t>
            </w:r>
            <w:r>
              <w:rPr>
                <w:sz w:val="18"/>
              </w:rPr>
              <w:t>other</w:t>
            </w:r>
            <w:r>
              <w:rPr>
                <w:spacing w:val="-8"/>
                <w:sz w:val="18"/>
              </w:rPr>
              <w:t xml:space="preserve"> </w:t>
            </w:r>
            <w:r>
              <w:rPr>
                <w:sz w:val="18"/>
              </w:rPr>
              <w:t>provinces</w:t>
            </w:r>
            <w:r>
              <w:rPr>
                <w:spacing w:val="-9"/>
                <w:sz w:val="18"/>
              </w:rPr>
              <w:t xml:space="preserve"> </w:t>
            </w:r>
            <w:r>
              <w:rPr>
                <w:sz w:val="18"/>
              </w:rPr>
              <w:t>requires</w:t>
            </w:r>
            <w:r>
              <w:rPr>
                <w:spacing w:val="-9"/>
                <w:sz w:val="18"/>
              </w:rPr>
              <w:t xml:space="preserve"> </w:t>
            </w:r>
            <w:r>
              <w:rPr>
                <w:sz w:val="18"/>
              </w:rPr>
              <w:t>strong</w:t>
            </w:r>
            <w:r>
              <w:rPr>
                <w:spacing w:val="-9"/>
                <w:sz w:val="18"/>
              </w:rPr>
              <w:t xml:space="preserve"> </w:t>
            </w:r>
            <w:r>
              <w:rPr>
                <w:sz w:val="18"/>
              </w:rPr>
              <w:t>commitment</w:t>
            </w:r>
            <w:r>
              <w:rPr>
                <w:spacing w:val="-8"/>
                <w:sz w:val="18"/>
              </w:rPr>
              <w:t xml:space="preserve"> </w:t>
            </w:r>
            <w:r>
              <w:rPr>
                <w:sz w:val="18"/>
              </w:rPr>
              <w:t>from</w:t>
            </w:r>
            <w:r>
              <w:rPr>
                <w:spacing w:val="-10"/>
                <w:sz w:val="18"/>
              </w:rPr>
              <w:t xml:space="preserve"> </w:t>
            </w:r>
            <w:r>
              <w:rPr>
                <w:sz w:val="18"/>
              </w:rPr>
              <w:t>local</w:t>
            </w:r>
            <w:r>
              <w:rPr>
                <w:spacing w:val="-8"/>
                <w:sz w:val="18"/>
              </w:rPr>
              <w:t xml:space="preserve"> </w:t>
            </w:r>
            <w:r>
              <w:rPr>
                <w:sz w:val="18"/>
              </w:rPr>
              <w:t>leadership,</w:t>
            </w:r>
            <w:r>
              <w:rPr>
                <w:spacing w:val="-7"/>
                <w:sz w:val="18"/>
              </w:rPr>
              <w:t xml:space="preserve"> </w:t>
            </w:r>
            <w:r>
              <w:rPr>
                <w:sz w:val="18"/>
              </w:rPr>
              <w:t>clear regulations supported by PAD enhancement studies, adequate human resource capacity, and openness to cross-sectoral collaboration.</w:t>
            </w:r>
          </w:p>
        </w:tc>
      </w:tr>
    </w:tbl>
    <w:p w14:paraId="2E1B0654" w14:textId="77777777" w:rsidR="00BC24A8" w:rsidRDefault="00BC24A8">
      <w:pPr>
        <w:pStyle w:val="TableParagraph"/>
        <w:jc w:val="both"/>
        <w:rPr>
          <w:sz w:val="18"/>
        </w:rPr>
        <w:sectPr w:rsidR="00BC24A8">
          <w:pgSz w:w="11910" w:h="16840"/>
          <w:pgMar w:top="1360" w:right="850" w:bottom="1100" w:left="1275" w:header="0" w:footer="907" w:gutter="0"/>
          <w:cols w:space="720"/>
        </w:sectPr>
      </w:pPr>
    </w:p>
    <w:p w14:paraId="5DCE9E6E" w14:textId="77777777" w:rsidR="00BC24A8" w:rsidRDefault="00000000">
      <w:pPr>
        <w:spacing w:before="39"/>
        <w:ind w:left="143"/>
        <w:rPr>
          <w:i/>
        </w:rPr>
      </w:pPr>
      <w:r>
        <w:rPr>
          <w:i/>
          <w:color w:val="1F3762"/>
        </w:rPr>
        <w:lastRenderedPageBreak/>
        <w:t>FY</w:t>
      </w:r>
      <w:r>
        <w:rPr>
          <w:i/>
          <w:color w:val="1F3762"/>
          <w:spacing w:val="-6"/>
        </w:rPr>
        <w:t xml:space="preserve"> </w:t>
      </w:r>
      <w:r>
        <w:rPr>
          <w:i/>
          <w:color w:val="1F3762"/>
        </w:rPr>
        <w:t>2025/2026</w:t>
      </w:r>
      <w:r>
        <w:rPr>
          <w:i/>
          <w:color w:val="1F3762"/>
          <w:spacing w:val="-5"/>
        </w:rPr>
        <w:t xml:space="preserve"> </w:t>
      </w:r>
      <w:r>
        <w:rPr>
          <w:i/>
          <w:color w:val="1F3762"/>
        </w:rPr>
        <w:t>SKALA</w:t>
      </w:r>
      <w:r>
        <w:rPr>
          <w:i/>
          <w:color w:val="1F3762"/>
          <w:spacing w:val="-8"/>
        </w:rPr>
        <w:t xml:space="preserve"> </w:t>
      </w:r>
      <w:r>
        <w:rPr>
          <w:i/>
          <w:color w:val="1F3762"/>
        </w:rPr>
        <w:t>Program</w:t>
      </w:r>
      <w:r>
        <w:rPr>
          <w:i/>
          <w:color w:val="1F3762"/>
          <w:spacing w:val="-5"/>
        </w:rPr>
        <w:t xml:space="preserve"> </w:t>
      </w:r>
      <w:r>
        <w:rPr>
          <w:i/>
          <w:color w:val="1F3762"/>
          <w:spacing w:val="-2"/>
        </w:rPr>
        <w:t>Summary</w:t>
      </w:r>
    </w:p>
    <w:p w14:paraId="5AA0BA9A" w14:textId="77777777" w:rsidR="00BC24A8" w:rsidRDefault="00000000">
      <w:pPr>
        <w:pStyle w:val="ListParagraph"/>
        <w:numPr>
          <w:ilvl w:val="1"/>
          <w:numId w:val="133"/>
        </w:numPr>
        <w:tabs>
          <w:tab w:val="left" w:pos="683"/>
        </w:tabs>
        <w:spacing w:before="41"/>
        <w:ind w:hanging="631"/>
        <w:rPr>
          <w:rFonts w:ascii="Calibri"/>
          <w:b/>
        </w:rPr>
      </w:pPr>
      <w:r w:rsidRPr="00795364">
        <w:rPr>
          <w:rFonts w:ascii="Calibri"/>
          <w:b/>
          <w:color w:val="008279"/>
        </w:rPr>
        <w:t>Summary</w:t>
      </w:r>
      <w:r w:rsidRPr="00795364">
        <w:rPr>
          <w:rFonts w:ascii="Calibri"/>
          <w:b/>
          <w:color w:val="008279"/>
          <w:spacing w:val="-5"/>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intended</w:t>
      </w:r>
      <w:r w:rsidRPr="00795364">
        <w:rPr>
          <w:rFonts w:ascii="Calibri"/>
          <w:b/>
          <w:color w:val="008279"/>
          <w:spacing w:val="-6"/>
        </w:rPr>
        <w:t xml:space="preserve"> </w:t>
      </w:r>
      <w:r w:rsidRPr="00795364">
        <w:rPr>
          <w:rFonts w:ascii="Calibri"/>
          <w:b/>
          <w:color w:val="008279"/>
          <w:spacing w:val="-2"/>
        </w:rPr>
        <w:t>results</w:t>
      </w:r>
    </w:p>
    <w:p w14:paraId="63237B36" w14:textId="77777777" w:rsidR="00BC24A8" w:rsidRDefault="00BC24A8">
      <w:pPr>
        <w:pStyle w:val="BodyText"/>
        <w:spacing w:before="9"/>
        <w:rPr>
          <w:rFonts w:ascii="Calibri"/>
          <w:b/>
          <w:sz w:val="19"/>
        </w:rPr>
      </w:pPr>
    </w:p>
    <w:tbl>
      <w:tblPr>
        <w:tblW w:w="0" w:type="auto"/>
        <w:tblInd w:w="143" w:type="dxa"/>
        <w:tblLayout w:type="fixed"/>
        <w:tblCellMar>
          <w:left w:w="0" w:type="dxa"/>
          <w:right w:w="0" w:type="dxa"/>
        </w:tblCellMar>
        <w:tblLook w:val="01E0" w:firstRow="1" w:lastRow="1" w:firstColumn="1" w:lastColumn="1" w:noHBand="0" w:noVBand="0"/>
      </w:tblPr>
      <w:tblGrid>
        <w:gridCol w:w="2280"/>
        <w:gridCol w:w="6818"/>
      </w:tblGrid>
      <w:tr w:rsidR="00BC24A8" w14:paraId="772FA627" w14:textId="77777777">
        <w:trPr>
          <w:trHeight w:val="381"/>
        </w:trPr>
        <w:tc>
          <w:tcPr>
            <w:tcW w:w="2280" w:type="dxa"/>
            <w:tcBorders>
              <w:top w:val="single" w:sz="4" w:space="0" w:color="7E7E7E"/>
            </w:tcBorders>
            <w:shd w:val="clear" w:color="auto" w:fill="17365A"/>
          </w:tcPr>
          <w:p w14:paraId="633ABB94" w14:textId="77777777" w:rsidR="00BC24A8" w:rsidRDefault="00000000">
            <w:pPr>
              <w:pStyle w:val="TableParagraph"/>
              <w:spacing w:before="63"/>
              <w:ind w:left="115"/>
              <w:rPr>
                <w:rFonts w:ascii="Calibri"/>
                <w:b/>
                <w:sz w:val="20"/>
              </w:rPr>
            </w:pPr>
            <w:r>
              <w:rPr>
                <w:rFonts w:ascii="Calibri"/>
                <w:b/>
                <w:color w:val="FFFFFF"/>
                <w:spacing w:val="-2"/>
                <w:sz w:val="20"/>
              </w:rPr>
              <w:t>Narrative</w:t>
            </w:r>
          </w:p>
        </w:tc>
        <w:tc>
          <w:tcPr>
            <w:tcW w:w="6818" w:type="dxa"/>
            <w:tcBorders>
              <w:top w:val="single" w:sz="4" w:space="0" w:color="7E7E7E"/>
            </w:tcBorders>
            <w:shd w:val="clear" w:color="auto" w:fill="17365A"/>
          </w:tcPr>
          <w:p w14:paraId="5F3B0B5C" w14:textId="77777777" w:rsidR="00BC24A8" w:rsidRDefault="00000000">
            <w:pPr>
              <w:pStyle w:val="TableParagraph"/>
              <w:spacing w:before="30"/>
              <w:ind w:left="84"/>
              <w:rPr>
                <w:rFonts w:ascii="Calibri"/>
                <w:b/>
                <w:sz w:val="20"/>
              </w:rPr>
            </w:pPr>
            <w:r>
              <w:rPr>
                <w:rFonts w:ascii="Calibri"/>
                <w:b/>
                <w:color w:val="FFFFFF"/>
                <w:sz w:val="20"/>
              </w:rPr>
              <w:t>Summary</w:t>
            </w:r>
            <w:r>
              <w:rPr>
                <w:rFonts w:ascii="Calibri"/>
                <w:b/>
                <w:color w:val="FFFFFF"/>
                <w:spacing w:val="-5"/>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key</w:t>
            </w:r>
            <w:r>
              <w:rPr>
                <w:rFonts w:ascii="Calibri"/>
                <w:b/>
                <w:color w:val="FFFFFF"/>
                <w:spacing w:val="-4"/>
                <w:sz w:val="20"/>
              </w:rPr>
              <w:t xml:space="preserve"> </w:t>
            </w:r>
            <w:r>
              <w:rPr>
                <w:rFonts w:ascii="Calibri"/>
                <w:b/>
                <w:color w:val="FFFFFF"/>
                <w:sz w:val="20"/>
              </w:rPr>
              <w:t>outputs</w:t>
            </w:r>
            <w:r>
              <w:rPr>
                <w:rFonts w:ascii="Calibri"/>
                <w:b/>
                <w:color w:val="FFFFFF"/>
                <w:spacing w:val="-4"/>
                <w:sz w:val="20"/>
              </w:rPr>
              <w:t xml:space="preserve"> </w:t>
            </w:r>
            <w:r>
              <w:rPr>
                <w:rFonts w:ascii="Calibri"/>
                <w:b/>
                <w:color w:val="FFFFFF"/>
                <w:sz w:val="20"/>
              </w:rPr>
              <w:t>to</w:t>
            </w:r>
            <w:r>
              <w:rPr>
                <w:rFonts w:ascii="Calibri"/>
                <w:b/>
                <w:color w:val="FFFFFF"/>
                <w:spacing w:val="-5"/>
                <w:sz w:val="20"/>
              </w:rPr>
              <w:t xml:space="preserve"> </w:t>
            </w:r>
            <w:r>
              <w:rPr>
                <w:rFonts w:ascii="Calibri"/>
                <w:b/>
                <w:color w:val="FFFFFF"/>
                <w:sz w:val="20"/>
              </w:rPr>
              <w:t>be</w:t>
            </w:r>
            <w:r>
              <w:rPr>
                <w:rFonts w:ascii="Calibri"/>
                <w:b/>
                <w:color w:val="FFFFFF"/>
                <w:spacing w:val="-4"/>
                <w:sz w:val="20"/>
              </w:rPr>
              <w:t xml:space="preserve"> </w:t>
            </w:r>
            <w:r>
              <w:rPr>
                <w:rFonts w:ascii="Calibri"/>
                <w:b/>
                <w:color w:val="FFFFFF"/>
                <w:sz w:val="20"/>
              </w:rPr>
              <w:t>delivered</w:t>
            </w:r>
            <w:r>
              <w:rPr>
                <w:rFonts w:ascii="Calibri"/>
                <w:b/>
                <w:color w:val="FFFFFF"/>
                <w:spacing w:val="-3"/>
                <w:sz w:val="20"/>
              </w:rPr>
              <w:t xml:space="preserve"> </w:t>
            </w:r>
            <w:r>
              <w:rPr>
                <w:rFonts w:ascii="Calibri"/>
                <w:b/>
                <w:color w:val="FFFFFF"/>
                <w:sz w:val="20"/>
              </w:rPr>
              <w:t>in</w:t>
            </w:r>
            <w:r>
              <w:rPr>
                <w:rFonts w:ascii="Calibri"/>
                <w:b/>
                <w:color w:val="FFFFFF"/>
                <w:spacing w:val="-3"/>
                <w:sz w:val="20"/>
              </w:rPr>
              <w:t xml:space="preserve"> </w:t>
            </w:r>
            <w:r>
              <w:rPr>
                <w:rFonts w:ascii="Calibri"/>
                <w:b/>
                <w:color w:val="FFFFFF"/>
                <w:sz w:val="20"/>
              </w:rPr>
              <w:t>order</w:t>
            </w:r>
            <w:r>
              <w:rPr>
                <w:rFonts w:ascii="Calibri"/>
                <w:b/>
                <w:color w:val="FFFFFF"/>
                <w:spacing w:val="-4"/>
                <w:sz w:val="20"/>
              </w:rPr>
              <w:t xml:space="preserve"> </w:t>
            </w:r>
            <w:r>
              <w:rPr>
                <w:rFonts w:ascii="Calibri"/>
                <w:b/>
                <w:color w:val="FFFFFF"/>
                <w:sz w:val="20"/>
              </w:rPr>
              <w:t>to</w:t>
            </w:r>
            <w:r>
              <w:rPr>
                <w:rFonts w:ascii="Calibri"/>
                <w:b/>
                <w:color w:val="FFFFFF"/>
                <w:spacing w:val="-3"/>
                <w:sz w:val="20"/>
              </w:rPr>
              <w:t xml:space="preserve"> </w:t>
            </w:r>
            <w:r>
              <w:rPr>
                <w:rFonts w:ascii="Calibri"/>
                <w:b/>
                <w:color w:val="FFFFFF"/>
                <w:sz w:val="20"/>
              </w:rPr>
              <w:t>achieve</w:t>
            </w:r>
            <w:r>
              <w:rPr>
                <w:rFonts w:ascii="Calibri"/>
                <w:b/>
                <w:color w:val="FFFFFF"/>
                <w:spacing w:val="-4"/>
                <w:sz w:val="20"/>
              </w:rPr>
              <w:t xml:space="preserve"> </w:t>
            </w:r>
            <w:r>
              <w:rPr>
                <w:rFonts w:ascii="Calibri"/>
                <w:b/>
                <w:color w:val="FFFFFF"/>
                <w:sz w:val="20"/>
              </w:rPr>
              <w:t>the</w:t>
            </w:r>
            <w:r>
              <w:rPr>
                <w:rFonts w:ascii="Calibri"/>
                <w:b/>
                <w:color w:val="FFFFFF"/>
                <w:spacing w:val="-3"/>
                <w:sz w:val="20"/>
              </w:rPr>
              <w:t xml:space="preserve"> </w:t>
            </w:r>
            <w:r>
              <w:rPr>
                <w:rFonts w:ascii="Calibri"/>
                <w:b/>
                <w:color w:val="FFFFFF"/>
                <w:spacing w:val="-2"/>
                <w:sz w:val="20"/>
              </w:rPr>
              <w:t>narrative</w:t>
            </w:r>
          </w:p>
        </w:tc>
      </w:tr>
      <w:tr w:rsidR="00BC24A8" w14:paraId="25CD029D" w14:textId="77777777">
        <w:trPr>
          <w:trHeight w:val="1922"/>
        </w:trPr>
        <w:tc>
          <w:tcPr>
            <w:tcW w:w="2280" w:type="dxa"/>
            <w:tcBorders>
              <w:bottom w:val="single" w:sz="4" w:space="0" w:color="BEBEBE"/>
            </w:tcBorders>
          </w:tcPr>
          <w:p w14:paraId="7A062F49" w14:textId="77777777" w:rsidR="00BC24A8" w:rsidRDefault="00000000">
            <w:pPr>
              <w:pStyle w:val="TableParagraph"/>
              <w:spacing w:before="107"/>
              <w:ind w:left="115" w:right="185"/>
              <w:rPr>
                <w:sz w:val="18"/>
              </w:rPr>
            </w:pPr>
            <w:r>
              <w:rPr>
                <w:sz w:val="18"/>
              </w:rPr>
              <w:t>Result in</w:t>
            </w:r>
            <w:r>
              <w:rPr>
                <w:spacing w:val="-4"/>
                <w:sz w:val="18"/>
              </w:rPr>
              <w:t xml:space="preserve"> </w:t>
            </w:r>
            <w:r>
              <w:rPr>
                <w:sz w:val="18"/>
              </w:rPr>
              <w:t>the</w:t>
            </w:r>
            <w:r>
              <w:rPr>
                <w:spacing w:val="-1"/>
                <w:sz w:val="18"/>
              </w:rPr>
              <w:t xml:space="preserve"> </w:t>
            </w:r>
            <w:r>
              <w:rPr>
                <w:sz w:val="18"/>
              </w:rPr>
              <w:t>development and institutionalisation of consultation spaces and engagement with vulnerable</w:t>
            </w:r>
            <w:r>
              <w:rPr>
                <w:spacing w:val="-11"/>
                <w:sz w:val="18"/>
              </w:rPr>
              <w:t xml:space="preserve"> </w:t>
            </w:r>
            <w:r>
              <w:rPr>
                <w:sz w:val="18"/>
              </w:rPr>
              <w:t>communities</w:t>
            </w:r>
            <w:r>
              <w:rPr>
                <w:spacing w:val="-10"/>
                <w:sz w:val="18"/>
              </w:rPr>
              <w:t xml:space="preserve"> </w:t>
            </w:r>
            <w:r>
              <w:rPr>
                <w:sz w:val="18"/>
              </w:rPr>
              <w:t>to promote</w:t>
            </w:r>
            <w:r>
              <w:rPr>
                <w:spacing w:val="-2"/>
                <w:sz w:val="18"/>
              </w:rPr>
              <w:t xml:space="preserve"> </w:t>
            </w:r>
            <w:r>
              <w:rPr>
                <w:sz w:val="18"/>
              </w:rPr>
              <w:t>increasingly inclusive</w:t>
            </w:r>
            <w:r>
              <w:rPr>
                <w:spacing w:val="-6"/>
                <w:sz w:val="18"/>
              </w:rPr>
              <w:t xml:space="preserve"> </w:t>
            </w:r>
            <w:r>
              <w:rPr>
                <w:sz w:val="18"/>
              </w:rPr>
              <w:t>planning</w:t>
            </w:r>
          </w:p>
        </w:tc>
        <w:tc>
          <w:tcPr>
            <w:tcW w:w="6818" w:type="dxa"/>
            <w:tcBorders>
              <w:bottom w:val="single" w:sz="4" w:space="0" w:color="BEBEBE"/>
            </w:tcBorders>
          </w:tcPr>
          <w:p w14:paraId="5A50ECF1" w14:textId="77777777" w:rsidR="00BC24A8" w:rsidRDefault="00000000">
            <w:pPr>
              <w:pStyle w:val="TableParagraph"/>
              <w:numPr>
                <w:ilvl w:val="0"/>
                <w:numId w:val="132"/>
              </w:numPr>
              <w:tabs>
                <w:tab w:val="left" w:pos="413"/>
                <w:tab w:val="left" w:pos="415"/>
              </w:tabs>
              <w:spacing w:before="107"/>
              <w:ind w:right="270" w:hanging="361"/>
              <w:jc w:val="both"/>
              <w:rPr>
                <w:sz w:val="18"/>
              </w:rPr>
            </w:pPr>
            <w:r>
              <w:rPr>
                <w:sz w:val="18"/>
              </w:rPr>
              <w:t>Finalisation</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Technical</w:t>
            </w:r>
            <w:r>
              <w:rPr>
                <w:spacing w:val="-3"/>
                <w:sz w:val="18"/>
              </w:rPr>
              <w:t xml:space="preserve"> </w:t>
            </w:r>
            <w:r>
              <w:rPr>
                <w:sz w:val="18"/>
              </w:rPr>
              <w:t>Guidelines</w:t>
            </w:r>
            <w:r>
              <w:rPr>
                <w:spacing w:val="-4"/>
                <w:sz w:val="18"/>
              </w:rPr>
              <w:t xml:space="preserve"> </w:t>
            </w:r>
            <w:r>
              <w:rPr>
                <w:sz w:val="18"/>
              </w:rPr>
              <w:t>for</w:t>
            </w:r>
            <w:r>
              <w:rPr>
                <w:spacing w:val="-4"/>
                <w:sz w:val="18"/>
              </w:rPr>
              <w:t xml:space="preserve"> </w:t>
            </w:r>
            <w:r>
              <w:rPr>
                <w:sz w:val="18"/>
              </w:rPr>
              <w:t>the</w:t>
            </w:r>
            <w:r>
              <w:rPr>
                <w:spacing w:val="-4"/>
                <w:sz w:val="18"/>
              </w:rPr>
              <w:t xml:space="preserve"> </w:t>
            </w:r>
            <w:r>
              <w:rPr>
                <w:sz w:val="18"/>
              </w:rPr>
              <w:t>regulation's</w:t>
            </w:r>
            <w:r>
              <w:rPr>
                <w:spacing w:val="-4"/>
                <w:sz w:val="18"/>
              </w:rPr>
              <w:t xml:space="preserve"> </w:t>
            </w:r>
            <w:r>
              <w:rPr>
                <w:sz w:val="18"/>
              </w:rPr>
              <w:t>implementation</w:t>
            </w:r>
            <w:r>
              <w:rPr>
                <w:spacing w:val="-4"/>
                <w:sz w:val="18"/>
              </w:rPr>
              <w:t xml:space="preserve"> </w:t>
            </w:r>
            <w:r>
              <w:rPr>
                <w:sz w:val="18"/>
              </w:rPr>
              <w:t>has</w:t>
            </w:r>
            <w:r>
              <w:rPr>
                <w:spacing w:val="-4"/>
                <w:sz w:val="18"/>
              </w:rPr>
              <w:t xml:space="preserve"> </w:t>
            </w:r>
            <w:r>
              <w:rPr>
                <w:sz w:val="18"/>
              </w:rPr>
              <w:t>been formulated</w:t>
            </w:r>
            <w:r>
              <w:rPr>
                <w:spacing w:val="-1"/>
                <w:sz w:val="18"/>
              </w:rPr>
              <w:t xml:space="preserve"> </w:t>
            </w:r>
            <w:r>
              <w:rPr>
                <w:sz w:val="18"/>
              </w:rPr>
              <w:t>to</w:t>
            </w:r>
            <w:r>
              <w:rPr>
                <w:spacing w:val="-2"/>
                <w:sz w:val="18"/>
              </w:rPr>
              <w:t xml:space="preserve"> </w:t>
            </w:r>
            <w:r>
              <w:rPr>
                <w:sz w:val="18"/>
              </w:rPr>
              <w:t>govern</w:t>
            </w:r>
            <w:r>
              <w:rPr>
                <w:spacing w:val="-1"/>
                <w:sz w:val="18"/>
              </w:rPr>
              <w:t xml:space="preserve"> </w:t>
            </w:r>
            <w:r>
              <w:rPr>
                <w:sz w:val="18"/>
              </w:rPr>
              <w:t>the</w:t>
            </w:r>
            <w:r>
              <w:rPr>
                <w:spacing w:val="-1"/>
                <w:sz w:val="18"/>
              </w:rPr>
              <w:t xml:space="preserve"> </w:t>
            </w:r>
            <w:r>
              <w:rPr>
                <w:sz w:val="18"/>
              </w:rPr>
              <w:t>participation</w:t>
            </w:r>
            <w:r>
              <w:rPr>
                <w:spacing w:val="-1"/>
                <w:sz w:val="18"/>
              </w:rPr>
              <w:t xml:space="preserve"> </w:t>
            </w:r>
            <w:r>
              <w:rPr>
                <w:sz w:val="18"/>
              </w:rPr>
              <w:t>mechanisms</w:t>
            </w:r>
            <w:r>
              <w:rPr>
                <w:spacing w:val="-1"/>
                <w:sz w:val="18"/>
              </w:rPr>
              <w:t xml:space="preserve"> </w:t>
            </w:r>
            <w:r>
              <w:rPr>
                <w:sz w:val="18"/>
              </w:rPr>
              <w:t>for</w:t>
            </w:r>
            <w:r>
              <w:rPr>
                <w:spacing w:val="-1"/>
                <w:sz w:val="18"/>
              </w:rPr>
              <w:t xml:space="preserve"> </w:t>
            </w:r>
            <w:r>
              <w:rPr>
                <w:sz w:val="18"/>
              </w:rPr>
              <w:t>vulnerable</w:t>
            </w:r>
            <w:r>
              <w:rPr>
                <w:spacing w:val="-1"/>
                <w:sz w:val="18"/>
              </w:rPr>
              <w:t xml:space="preserve"> </w:t>
            </w:r>
            <w:r>
              <w:rPr>
                <w:sz w:val="18"/>
              </w:rPr>
              <w:t>groups</w:t>
            </w:r>
            <w:r>
              <w:rPr>
                <w:spacing w:val="-1"/>
                <w:sz w:val="18"/>
              </w:rPr>
              <w:t xml:space="preserve"> </w:t>
            </w:r>
            <w:r>
              <w:rPr>
                <w:sz w:val="18"/>
              </w:rPr>
              <w:t>within</w:t>
            </w:r>
            <w:r>
              <w:rPr>
                <w:spacing w:val="-1"/>
                <w:sz w:val="18"/>
              </w:rPr>
              <w:t xml:space="preserve"> </w:t>
            </w:r>
            <w:r>
              <w:rPr>
                <w:sz w:val="18"/>
              </w:rPr>
              <w:t>the planning and budgeting cycle.</w:t>
            </w:r>
          </w:p>
          <w:p w14:paraId="6D9EC944" w14:textId="77777777" w:rsidR="00BC24A8" w:rsidRDefault="00000000">
            <w:pPr>
              <w:pStyle w:val="TableParagraph"/>
              <w:numPr>
                <w:ilvl w:val="0"/>
                <w:numId w:val="132"/>
              </w:numPr>
              <w:tabs>
                <w:tab w:val="left" w:pos="415"/>
              </w:tabs>
              <w:ind w:right="587"/>
              <w:rPr>
                <w:sz w:val="18"/>
              </w:rPr>
            </w:pPr>
            <w:r>
              <w:rPr>
                <w:sz w:val="18"/>
              </w:rPr>
              <w:t>Involvement of Civil Society Organisations (CSOs), disability organisations, and women's</w:t>
            </w:r>
            <w:r>
              <w:rPr>
                <w:spacing w:val="-4"/>
                <w:sz w:val="18"/>
              </w:rPr>
              <w:t xml:space="preserve"> </w:t>
            </w:r>
            <w:r>
              <w:rPr>
                <w:sz w:val="18"/>
              </w:rPr>
              <w:t>and</w:t>
            </w:r>
            <w:r>
              <w:rPr>
                <w:spacing w:val="-4"/>
                <w:sz w:val="18"/>
              </w:rPr>
              <w:t xml:space="preserve"> </w:t>
            </w:r>
            <w:r>
              <w:rPr>
                <w:sz w:val="18"/>
              </w:rPr>
              <w:t>youth</w:t>
            </w:r>
            <w:r>
              <w:rPr>
                <w:spacing w:val="-4"/>
                <w:sz w:val="18"/>
              </w:rPr>
              <w:t xml:space="preserve"> </w:t>
            </w:r>
            <w:r>
              <w:rPr>
                <w:sz w:val="18"/>
              </w:rPr>
              <w:t>groups</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thematic</w:t>
            </w:r>
            <w:r>
              <w:rPr>
                <w:spacing w:val="-4"/>
                <w:sz w:val="18"/>
              </w:rPr>
              <w:t xml:space="preserve"> </w:t>
            </w:r>
            <w:r>
              <w:rPr>
                <w:sz w:val="18"/>
              </w:rPr>
              <w:t>forums</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Regional</w:t>
            </w:r>
            <w:r>
              <w:rPr>
                <w:spacing w:val="-3"/>
                <w:sz w:val="18"/>
              </w:rPr>
              <w:t xml:space="preserve"> </w:t>
            </w:r>
            <w:r>
              <w:rPr>
                <w:sz w:val="18"/>
              </w:rPr>
              <w:t>Development Planning Agency (Bappeda) at the provincial and regency levels.</w:t>
            </w:r>
          </w:p>
          <w:p w14:paraId="7F9C2F3C" w14:textId="77777777" w:rsidR="00BC24A8" w:rsidRDefault="00000000">
            <w:pPr>
              <w:pStyle w:val="TableParagraph"/>
              <w:numPr>
                <w:ilvl w:val="0"/>
                <w:numId w:val="132"/>
              </w:numPr>
              <w:tabs>
                <w:tab w:val="left" w:pos="415"/>
              </w:tabs>
              <w:ind w:right="159"/>
              <w:rPr>
                <w:sz w:val="18"/>
              </w:rPr>
            </w:pPr>
            <w:r>
              <w:rPr>
                <w:sz w:val="18"/>
              </w:rPr>
              <w:t>Capacity building for the GEDSI Working Group and the facilitation of inclusive public consultations</w:t>
            </w:r>
            <w:r>
              <w:rPr>
                <w:spacing w:val="-4"/>
                <w:sz w:val="18"/>
              </w:rPr>
              <w:t xml:space="preserve"> </w:t>
            </w:r>
            <w:r>
              <w:rPr>
                <w:sz w:val="18"/>
              </w:rPr>
              <w:t>during</w:t>
            </w:r>
            <w:r>
              <w:rPr>
                <w:spacing w:val="-5"/>
                <w:sz w:val="18"/>
              </w:rPr>
              <w:t xml:space="preserve"> </w:t>
            </w:r>
            <w:r>
              <w:rPr>
                <w:sz w:val="18"/>
              </w:rPr>
              <w:t>the</w:t>
            </w:r>
            <w:r>
              <w:rPr>
                <w:spacing w:val="-4"/>
                <w:sz w:val="18"/>
              </w:rPr>
              <w:t xml:space="preserve"> </w:t>
            </w:r>
            <w:r>
              <w:rPr>
                <w:sz w:val="18"/>
              </w:rPr>
              <w:t>formulation</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2026</w:t>
            </w:r>
            <w:r>
              <w:rPr>
                <w:spacing w:val="-4"/>
                <w:sz w:val="18"/>
              </w:rPr>
              <w:t xml:space="preserve"> </w:t>
            </w:r>
            <w:r>
              <w:rPr>
                <w:sz w:val="18"/>
              </w:rPr>
              <w:t>Aceh</w:t>
            </w:r>
            <w:r>
              <w:rPr>
                <w:spacing w:val="-4"/>
                <w:sz w:val="18"/>
              </w:rPr>
              <w:t xml:space="preserve"> </w:t>
            </w:r>
            <w:r>
              <w:rPr>
                <w:sz w:val="18"/>
              </w:rPr>
              <w:t>Government</w:t>
            </w:r>
            <w:r>
              <w:rPr>
                <w:spacing w:val="-3"/>
                <w:sz w:val="18"/>
              </w:rPr>
              <w:t xml:space="preserve"> </w:t>
            </w:r>
            <w:r>
              <w:rPr>
                <w:sz w:val="18"/>
              </w:rPr>
              <w:t>Work</w:t>
            </w:r>
            <w:r>
              <w:rPr>
                <w:spacing w:val="-4"/>
                <w:sz w:val="18"/>
              </w:rPr>
              <w:t xml:space="preserve"> </w:t>
            </w:r>
            <w:r>
              <w:rPr>
                <w:sz w:val="18"/>
              </w:rPr>
              <w:t>Plan</w:t>
            </w:r>
            <w:r>
              <w:rPr>
                <w:spacing w:val="-4"/>
                <w:sz w:val="18"/>
              </w:rPr>
              <w:t xml:space="preserve"> </w:t>
            </w:r>
            <w:r>
              <w:rPr>
                <w:sz w:val="18"/>
              </w:rPr>
              <w:t>(RKPA).</w:t>
            </w:r>
          </w:p>
        </w:tc>
      </w:tr>
      <w:tr w:rsidR="00BC24A8" w14:paraId="3C9F5B56" w14:textId="77777777">
        <w:trPr>
          <w:trHeight w:val="1658"/>
        </w:trPr>
        <w:tc>
          <w:tcPr>
            <w:tcW w:w="2280" w:type="dxa"/>
            <w:tcBorders>
              <w:top w:val="single" w:sz="4" w:space="0" w:color="BEBEBE"/>
              <w:bottom w:val="single" w:sz="4" w:space="0" w:color="BEBEBE"/>
            </w:tcBorders>
          </w:tcPr>
          <w:p w14:paraId="44EA1794" w14:textId="77777777" w:rsidR="00BC24A8" w:rsidRDefault="00000000">
            <w:pPr>
              <w:pStyle w:val="TableParagraph"/>
              <w:spacing w:before="61"/>
              <w:ind w:left="115" w:right="185"/>
              <w:rPr>
                <w:sz w:val="18"/>
              </w:rPr>
            </w:pPr>
            <w:r>
              <w:rPr>
                <w:sz w:val="18"/>
              </w:rPr>
              <w:t>Resulting</w:t>
            </w:r>
            <w:r>
              <w:rPr>
                <w:spacing w:val="-10"/>
                <w:sz w:val="18"/>
              </w:rPr>
              <w:t xml:space="preserve"> </w:t>
            </w:r>
            <w:r>
              <w:rPr>
                <w:sz w:val="18"/>
              </w:rPr>
              <w:t>in</w:t>
            </w:r>
            <w:r>
              <w:rPr>
                <w:spacing w:val="-7"/>
                <w:sz w:val="18"/>
              </w:rPr>
              <w:t xml:space="preserve"> </w:t>
            </w:r>
            <w:r>
              <w:rPr>
                <w:sz w:val="18"/>
              </w:rPr>
              <w:t>an</w:t>
            </w:r>
            <w:r>
              <w:rPr>
                <w:spacing w:val="-7"/>
                <w:sz w:val="18"/>
              </w:rPr>
              <w:t xml:space="preserve"> </w:t>
            </w:r>
            <w:r>
              <w:rPr>
                <w:sz w:val="18"/>
              </w:rPr>
              <w:t>improved data</w:t>
            </w:r>
            <w:r>
              <w:rPr>
                <w:spacing w:val="-2"/>
                <w:sz w:val="18"/>
              </w:rPr>
              <w:t xml:space="preserve"> </w:t>
            </w:r>
            <w:r>
              <w:rPr>
                <w:sz w:val="18"/>
              </w:rPr>
              <w:t>governance framework</w:t>
            </w:r>
            <w:r>
              <w:rPr>
                <w:spacing w:val="-11"/>
                <w:sz w:val="18"/>
              </w:rPr>
              <w:t xml:space="preserve"> </w:t>
            </w:r>
            <w:r>
              <w:rPr>
                <w:sz w:val="18"/>
              </w:rPr>
              <w:t>that</w:t>
            </w:r>
            <w:r>
              <w:rPr>
                <w:spacing w:val="-10"/>
                <w:sz w:val="18"/>
              </w:rPr>
              <w:t xml:space="preserve"> </w:t>
            </w:r>
            <w:r>
              <w:rPr>
                <w:sz w:val="18"/>
              </w:rPr>
              <w:t xml:space="preserve">supports inclusive basic service </w:t>
            </w:r>
            <w:r>
              <w:rPr>
                <w:spacing w:val="-2"/>
                <w:sz w:val="18"/>
              </w:rPr>
              <w:t>delivery</w:t>
            </w:r>
          </w:p>
        </w:tc>
        <w:tc>
          <w:tcPr>
            <w:tcW w:w="6818" w:type="dxa"/>
            <w:tcBorders>
              <w:top w:val="single" w:sz="4" w:space="0" w:color="BEBEBE"/>
              <w:bottom w:val="single" w:sz="4" w:space="0" w:color="BEBEBE"/>
            </w:tcBorders>
          </w:tcPr>
          <w:p w14:paraId="63975ABC" w14:textId="77777777" w:rsidR="00BC24A8" w:rsidRDefault="00000000">
            <w:pPr>
              <w:pStyle w:val="TableParagraph"/>
              <w:numPr>
                <w:ilvl w:val="0"/>
                <w:numId w:val="131"/>
              </w:numPr>
              <w:tabs>
                <w:tab w:val="left" w:pos="415"/>
              </w:tabs>
              <w:spacing w:before="61"/>
              <w:ind w:right="215" w:hanging="361"/>
              <w:rPr>
                <w:sz w:val="18"/>
              </w:rPr>
            </w:pPr>
            <w:r>
              <w:rPr>
                <w:sz w:val="18"/>
              </w:rPr>
              <w:t>Analysis</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utilisation</w:t>
            </w:r>
            <w:r>
              <w:rPr>
                <w:spacing w:val="-3"/>
                <w:sz w:val="18"/>
              </w:rPr>
              <w:t xml:space="preserve"> </w:t>
            </w:r>
            <w:r>
              <w:rPr>
                <w:sz w:val="18"/>
              </w:rPr>
              <w:t>of</w:t>
            </w:r>
            <w:r>
              <w:rPr>
                <w:spacing w:val="-4"/>
                <w:sz w:val="18"/>
              </w:rPr>
              <w:t xml:space="preserve"> </w:t>
            </w:r>
            <w:r>
              <w:rPr>
                <w:sz w:val="18"/>
              </w:rPr>
              <w:t>SEPAKAT</w:t>
            </w:r>
            <w:r>
              <w:rPr>
                <w:spacing w:val="-4"/>
                <w:sz w:val="18"/>
              </w:rPr>
              <w:t xml:space="preserve"> </w:t>
            </w:r>
            <w:r>
              <w:rPr>
                <w:sz w:val="18"/>
              </w:rPr>
              <w:t>and</w:t>
            </w:r>
            <w:r>
              <w:rPr>
                <w:spacing w:val="-3"/>
                <w:sz w:val="18"/>
              </w:rPr>
              <w:t xml:space="preserve"> </w:t>
            </w:r>
            <w:r>
              <w:rPr>
                <w:sz w:val="18"/>
              </w:rPr>
              <w:t>Regsosek</w:t>
            </w:r>
            <w:r>
              <w:rPr>
                <w:spacing w:val="-3"/>
                <w:sz w:val="18"/>
              </w:rPr>
              <w:t xml:space="preserve"> </w:t>
            </w:r>
            <w:r>
              <w:rPr>
                <w:sz w:val="18"/>
              </w:rPr>
              <w:t>data</w:t>
            </w:r>
            <w:r>
              <w:rPr>
                <w:spacing w:val="-4"/>
                <w:sz w:val="18"/>
              </w:rPr>
              <w:t xml:space="preserve"> </w:t>
            </w:r>
            <w:r>
              <w:rPr>
                <w:sz w:val="18"/>
              </w:rPr>
              <w:t>to</w:t>
            </w:r>
            <w:r>
              <w:rPr>
                <w:spacing w:val="-4"/>
                <w:sz w:val="18"/>
              </w:rPr>
              <w:t xml:space="preserve"> </w:t>
            </w:r>
            <w:r>
              <w:rPr>
                <w:sz w:val="18"/>
              </w:rPr>
              <w:t>identify</w:t>
            </w:r>
            <w:r>
              <w:rPr>
                <w:spacing w:val="-3"/>
                <w:sz w:val="18"/>
              </w:rPr>
              <w:t xml:space="preserve"> </w:t>
            </w:r>
            <w:r>
              <w:rPr>
                <w:sz w:val="18"/>
              </w:rPr>
              <w:t>vulnerable</w:t>
            </w:r>
            <w:r>
              <w:rPr>
                <w:spacing w:val="-3"/>
                <w:sz w:val="18"/>
              </w:rPr>
              <w:t xml:space="preserve"> </w:t>
            </w:r>
            <w:r>
              <w:rPr>
                <w:sz w:val="18"/>
              </w:rPr>
              <w:t>groups in the Minimum Service Standards (MSS) sectors (education, health, social services, housing, and infrastructure).</w:t>
            </w:r>
          </w:p>
          <w:p w14:paraId="4080D38F" w14:textId="77777777" w:rsidR="00BC24A8" w:rsidRDefault="00000000">
            <w:pPr>
              <w:pStyle w:val="TableParagraph"/>
              <w:numPr>
                <w:ilvl w:val="0"/>
                <w:numId w:val="131"/>
              </w:numPr>
              <w:tabs>
                <w:tab w:val="left" w:pos="415"/>
              </w:tabs>
              <w:spacing w:before="1"/>
              <w:ind w:right="416" w:hanging="361"/>
              <w:rPr>
                <w:sz w:val="18"/>
              </w:rPr>
            </w:pPr>
            <w:r>
              <w:rPr>
                <w:sz w:val="18"/>
              </w:rPr>
              <w:t>Formulation</w:t>
            </w:r>
            <w:r>
              <w:rPr>
                <w:spacing w:val="-4"/>
                <w:sz w:val="18"/>
              </w:rPr>
              <w:t xml:space="preserve"> </w:t>
            </w:r>
            <w:r>
              <w:rPr>
                <w:sz w:val="18"/>
              </w:rPr>
              <w:t>of</w:t>
            </w:r>
            <w:r>
              <w:rPr>
                <w:spacing w:val="-5"/>
                <w:sz w:val="18"/>
              </w:rPr>
              <w:t xml:space="preserve"> </w:t>
            </w:r>
            <w:r>
              <w:rPr>
                <w:sz w:val="18"/>
              </w:rPr>
              <w:t>data-based</w:t>
            </w:r>
            <w:r>
              <w:rPr>
                <w:spacing w:val="-4"/>
                <w:sz w:val="18"/>
              </w:rPr>
              <w:t xml:space="preserve"> </w:t>
            </w:r>
            <w:r>
              <w:rPr>
                <w:sz w:val="18"/>
              </w:rPr>
              <w:t>recommendations</w:t>
            </w:r>
            <w:r>
              <w:rPr>
                <w:spacing w:val="-4"/>
                <w:sz w:val="18"/>
              </w:rPr>
              <w:t xml:space="preserve"> </w:t>
            </w:r>
            <w:r>
              <w:rPr>
                <w:sz w:val="18"/>
              </w:rPr>
              <w:t>for</w:t>
            </w:r>
            <w:r>
              <w:rPr>
                <w:spacing w:val="-4"/>
                <w:sz w:val="18"/>
              </w:rPr>
              <w:t xml:space="preserve"> </w:t>
            </w:r>
            <w:r>
              <w:rPr>
                <w:sz w:val="18"/>
              </w:rPr>
              <w:t>five</w:t>
            </w:r>
            <w:r>
              <w:rPr>
                <w:spacing w:val="-4"/>
                <w:sz w:val="18"/>
              </w:rPr>
              <w:t xml:space="preserve"> </w:t>
            </w:r>
            <w:r>
              <w:rPr>
                <w:sz w:val="18"/>
              </w:rPr>
              <w:t>priority</w:t>
            </w:r>
            <w:r>
              <w:rPr>
                <w:spacing w:val="-5"/>
                <w:sz w:val="18"/>
              </w:rPr>
              <w:t xml:space="preserve"> </w:t>
            </w:r>
            <w:r>
              <w:rPr>
                <w:sz w:val="18"/>
              </w:rPr>
              <w:t>regencies</w:t>
            </w:r>
            <w:r>
              <w:rPr>
                <w:spacing w:val="-4"/>
                <w:sz w:val="18"/>
              </w:rPr>
              <w:t xml:space="preserve"> </w:t>
            </w:r>
            <w:r>
              <w:rPr>
                <w:sz w:val="18"/>
              </w:rPr>
              <w:t>(East</w:t>
            </w:r>
            <w:r>
              <w:rPr>
                <w:spacing w:val="-3"/>
                <w:sz w:val="18"/>
              </w:rPr>
              <w:t xml:space="preserve"> </w:t>
            </w:r>
            <w:r>
              <w:rPr>
                <w:sz w:val="18"/>
              </w:rPr>
              <w:t>Aceh, Southeast Aceh, Aceh Jaya, Pidie, and North Aceh).</w:t>
            </w:r>
          </w:p>
          <w:p w14:paraId="2940F90E" w14:textId="77777777" w:rsidR="00BC24A8" w:rsidRDefault="00000000">
            <w:pPr>
              <w:pStyle w:val="TableParagraph"/>
              <w:numPr>
                <w:ilvl w:val="0"/>
                <w:numId w:val="131"/>
              </w:numPr>
              <w:tabs>
                <w:tab w:val="left" w:pos="415"/>
              </w:tabs>
              <w:ind w:right="495"/>
              <w:rPr>
                <w:sz w:val="18"/>
              </w:rPr>
            </w:pPr>
            <w:r>
              <w:rPr>
                <w:sz w:val="18"/>
              </w:rPr>
              <w:t>Development</w:t>
            </w:r>
            <w:r>
              <w:rPr>
                <w:spacing w:val="-3"/>
                <w:sz w:val="18"/>
              </w:rPr>
              <w:t xml:space="preserve"> </w:t>
            </w:r>
            <w:r>
              <w:rPr>
                <w:sz w:val="18"/>
              </w:rPr>
              <w:t>of</w:t>
            </w:r>
            <w:r>
              <w:rPr>
                <w:spacing w:val="-5"/>
                <w:sz w:val="18"/>
              </w:rPr>
              <w:t xml:space="preserve"> </w:t>
            </w:r>
            <w:r>
              <w:rPr>
                <w:sz w:val="18"/>
              </w:rPr>
              <w:t>policy</w:t>
            </w:r>
            <w:r>
              <w:rPr>
                <w:spacing w:val="-4"/>
                <w:sz w:val="18"/>
              </w:rPr>
              <w:t xml:space="preserve"> </w:t>
            </w:r>
            <w:r>
              <w:rPr>
                <w:sz w:val="18"/>
              </w:rPr>
              <w:t>briefs</w:t>
            </w:r>
            <w:r>
              <w:rPr>
                <w:spacing w:val="-4"/>
                <w:sz w:val="18"/>
              </w:rPr>
              <w:t xml:space="preserve"> </w:t>
            </w:r>
            <w:r>
              <w:rPr>
                <w:sz w:val="18"/>
              </w:rPr>
              <w:t>and</w:t>
            </w:r>
            <w:r>
              <w:rPr>
                <w:spacing w:val="-4"/>
                <w:sz w:val="18"/>
              </w:rPr>
              <w:t xml:space="preserve"> </w:t>
            </w:r>
            <w:r>
              <w:rPr>
                <w:sz w:val="18"/>
              </w:rPr>
              <w:t>data</w:t>
            </w:r>
            <w:r>
              <w:rPr>
                <w:spacing w:val="-5"/>
                <w:sz w:val="18"/>
              </w:rPr>
              <w:t xml:space="preserve"> </w:t>
            </w:r>
            <w:r>
              <w:rPr>
                <w:sz w:val="18"/>
              </w:rPr>
              <w:t>integration</w:t>
            </w:r>
            <w:r>
              <w:rPr>
                <w:spacing w:val="-4"/>
                <w:sz w:val="18"/>
              </w:rPr>
              <w:t xml:space="preserve"> </w:t>
            </w:r>
            <w:r>
              <w:rPr>
                <w:sz w:val="18"/>
              </w:rPr>
              <w:t>templates</w:t>
            </w:r>
            <w:r>
              <w:rPr>
                <w:spacing w:val="-4"/>
                <w:sz w:val="18"/>
              </w:rPr>
              <w:t xml:space="preserve"> </w:t>
            </w:r>
            <w:r>
              <w:rPr>
                <w:sz w:val="18"/>
              </w:rPr>
              <w:t>for</w:t>
            </w:r>
            <w:r>
              <w:rPr>
                <w:spacing w:val="-4"/>
                <w:sz w:val="18"/>
              </w:rPr>
              <w:t xml:space="preserve"> </w:t>
            </w:r>
            <w:r>
              <w:rPr>
                <w:sz w:val="18"/>
              </w:rPr>
              <w:t>regional</w:t>
            </w:r>
            <w:r>
              <w:rPr>
                <w:spacing w:val="-3"/>
                <w:sz w:val="18"/>
              </w:rPr>
              <w:t xml:space="preserve"> </w:t>
            </w:r>
            <w:r>
              <w:rPr>
                <w:sz w:val="18"/>
              </w:rPr>
              <w:t xml:space="preserve">planning </w:t>
            </w:r>
            <w:r>
              <w:rPr>
                <w:spacing w:val="-2"/>
                <w:sz w:val="18"/>
              </w:rPr>
              <w:t>documents.</w:t>
            </w:r>
          </w:p>
        </w:tc>
      </w:tr>
      <w:tr w:rsidR="00BC24A8" w14:paraId="3057A471" w14:textId="77777777">
        <w:trPr>
          <w:trHeight w:val="1878"/>
        </w:trPr>
        <w:tc>
          <w:tcPr>
            <w:tcW w:w="2280" w:type="dxa"/>
            <w:tcBorders>
              <w:top w:val="single" w:sz="4" w:space="0" w:color="BEBEBE"/>
              <w:bottom w:val="single" w:sz="4" w:space="0" w:color="BEBEBE"/>
            </w:tcBorders>
          </w:tcPr>
          <w:p w14:paraId="487FD67F" w14:textId="77777777" w:rsidR="00BC24A8" w:rsidRDefault="00000000">
            <w:pPr>
              <w:pStyle w:val="TableParagraph"/>
              <w:spacing w:before="61"/>
              <w:ind w:left="115"/>
              <w:rPr>
                <w:sz w:val="18"/>
              </w:rPr>
            </w:pPr>
            <w:r>
              <w:rPr>
                <w:sz w:val="18"/>
              </w:rPr>
              <w:t>Resulting in a more consolidated and inclusive framework for MSS implementation</w:t>
            </w:r>
            <w:r>
              <w:rPr>
                <w:spacing w:val="-11"/>
                <w:sz w:val="18"/>
              </w:rPr>
              <w:t xml:space="preserve"> </w:t>
            </w:r>
            <w:r>
              <w:rPr>
                <w:sz w:val="18"/>
              </w:rPr>
              <w:t>and</w:t>
            </w:r>
            <w:r>
              <w:rPr>
                <w:spacing w:val="-10"/>
                <w:sz w:val="18"/>
              </w:rPr>
              <w:t xml:space="preserve"> </w:t>
            </w:r>
            <w:r>
              <w:rPr>
                <w:sz w:val="18"/>
              </w:rPr>
              <w:t xml:space="preserve">regular </w:t>
            </w:r>
            <w:r>
              <w:rPr>
                <w:spacing w:val="-2"/>
                <w:sz w:val="18"/>
              </w:rPr>
              <w:t>planning</w:t>
            </w:r>
          </w:p>
        </w:tc>
        <w:tc>
          <w:tcPr>
            <w:tcW w:w="6818" w:type="dxa"/>
            <w:tcBorders>
              <w:top w:val="single" w:sz="4" w:space="0" w:color="BEBEBE"/>
              <w:bottom w:val="single" w:sz="4" w:space="0" w:color="BEBEBE"/>
            </w:tcBorders>
          </w:tcPr>
          <w:p w14:paraId="6B54A152" w14:textId="77777777" w:rsidR="00BC24A8" w:rsidRDefault="00000000">
            <w:pPr>
              <w:pStyle w:val="TableParagraph"/>
              <w:numPr>
                <w:ilvl w:val="0"/>
                <w:numId w:val="130"/>
              </w:numPr>
              <w:tabs>
                <w:tab w:val="left" w:pos="415"/>
              </w:tabs>
              <w:spacing w:before="61"/>
              <w:ind w:right="136"/>
              <w:rPr>
                <w:sz w:val="18"/>
              </w:rPr>
            </w:pPr>
            <w:r>
              <w:rPr>
                <w:sz w:val="18"/>
              </w:rPr>
              <w:t>Development</w:t>
            </w:r>
            <w:r>
              <w:rPr>
                <w:spacing w:val="-2"/>
                <w:sz w:val="18"/>
              </w:rPr>
              <w:t xml:space="preserve"> </w:t>
            </w:r>
            <w:r>
              <w:rPr>
                <w:sz w:val="18"/>
              </w:rPr>
              <w:t>of</w:t>
            </w:r>
            <w:r>
              <w:rPr>
                <w:spacing w:val="-4"/>
                <w:sz w:val="18"/>
              </w:rPr>
              <w:t xml:space="preserve"> </w:t>
            </w:r>
            <w:r>
              <w:rPr>
                <w:sz w:val="18"/>
              </w:rPr>
              <w:t>a</w:t>
            </w:r>
            <w:r>
              <w:rPr>
                <w:spacing w:val="-4"/>
                <w:sz w:val="18"/>
              </w:rPr>
              <w:t xml:space="preserve"> </w:t>
            </w:r>
            <w:r>
              <w:rPr>
                <w:sz w:val="18"/>
              </w:rPr>
              <w:t>roadmap</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cross-sectoral</w:t>
            </w:r>
            <w:r>
              <w:rPr>
                <w:spacing w:val="-2"/>
                <w:sz w:val="18"/>
              </w:rPr>
              <w:t xml:space="preserve"> </w:t>
            </w:r>
            <w:r>
              <w:rPr>
                <w:sz w:val="18"/>
              </w:rPr>
              <w:t>implementation</w:t>
            </w:r>
            <w:r>
              <w:rPr>
                <w:spacing w:val="-6"/>
                <w:sz w:val="18"/>
              </w:rPr>
              <w:t xml:space="preserve"> </w:t>
            </w:r>
            <w:r>
              <w:rPr>
                <w:sz w:val="18"/>
              </w:rPr>
              <w:t>of</w:t>
            </w:r>
            <w:r>
              <w:rPr>
                <w:spacing w:val="-4"/>
                <w:sz w:val="18"/>
              </w:rPr>
              <w:t xml:space="preserve"> </w:t>
            </w:r>
            <w:r>
              <w:rPr>
                <w:sz w:val="18"/>
              </w:rPr>
              <w:t>MSS</w:t>
            </w:r>
            <w:r>
              <w:rPr>
                <w:spacing w:val="-3"/>
                <w:sz w:val="18"/>
              </w:rPr>
              <w:t xml:space="preserve"> </w:t>
            </w:r>
            <w:r>
              <w:rPr>
                <w:sz w:val="18"/>
              </w:rPr>
              <w:t>that</w:t>
            </w:r>
            <w:r>
              <w:rPr>
                <w:spacing w:val="-2"/>
                <w:sz w:val="18"/>
              </w:rPr>
              <w:t xml:space="preserve"> </w:t>
            </w:r>
            <w:r>
              <w:rPr>
                <w:sz w:val="18"/>
              </w:rPr>
              <w:t>is</w:t>
            </w:r>
            <w:r>
              <w:rPr>
                <w:spacing w:val="-3"/>
                <w:sz w:val="18"/>
              </w:rPr>
              <w:t xml:space="preserve"> </w:t>
            </w:r>
            <w:r>
              <w:rPr>
                <w:sz w:val="18"/>
              </w:rPr>
              <w:t>based on the needs and conditions of vulnerable groups.</w:t>
            </w:r>
          </w:p>
          <w:p w14:paraId="28BDC92B" w14:textId="77777777" w:rsidR="00BC24A8" w:rsidRDefault="00000000">
            <w:pPr>
              <w:pStyle w:val="TableParagraph"/>
              <w:numPr>
                <w:ilvl w:val="0"/>
                <w:numId w:val="130"/>
              </w:numPr>
              <w:tabs>
                <w:tab w:val="left" w:pos="415"/>
              </w:tabs>
              <w:ind w:right="803"/>
              <w:rPr>
                <w:sz w:val="18"/>
              </w:rPr>
            </w:pPr>
            <w:r>
              <w:rPr>
                <w:sz w:val="18"/>
              </w:rPr>
              <w:t>Facilitation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review</w:t>
            </w:r>
            <w:r>
              <w:rPr>
                <w:spacing w:val="-4"/>
                <w:sz w:val="18"/>
              </w:rPr>
              <w:t xml:space="preserve"> </w:t>
            </w:r>
            <w:r>
              <w:rPr>
                <w:sz w:val="18"/>
              </w:rPr>
              <w:t>and</w:t>
            </w:r>
            <w:r>
              <w:rPr>
                <w:spacing w:val="-3"/>
                <w:sz w:val="18"/>
              </w:rPr>
              <w:t xml:space="preserve"> </w:t>
            </w:r>
            <w:r>
              <w:rPr>
                <w:sz w:val="18"/>
              </w:rPr>
              <w:t>updating</w:t>
            </w:r>
            <w:r>
              <w:rPr>
                <w:spacing w:val="-4"/>
                <w:sz w:val="18"/>
              </w:rPr>
              <w:t xml:space="preserve"> </w:t>
            </w:r>
            <w:r>
              <w:rPr>
                <w:sz w:val="18"/>
              </w:rPr>
              <w:t>of</w:t>
            </w:r>
            <w:r>
              <w:rPr>
                <w:spacing w:val="-4"/>
                <w:sz w:val="18"/>
              </w:rPr>
              <w:t xml:space="preserve"> </w:t>
            </w:r>
            <w:r>
              <w:rPr>
                <w:sz w:val="18"/>
              </w:rPr>
              <w:t>2024</w:t>
            </w:r>
            <w:r>
              <w:rPr>
                <w:spacing w:val="-3"/>
                <w:sz w:val="18"/>
              </w:rPr>
              <w:t xml:space="preserve"> </w:t>
            </w:r>
            <w:r>
              <w:rPr>
                <w:sz w:val="18"/>
              </w:rPr>
              <w:t>MSS</w:t>
            </w:r>
            <w:r>
              <w:rPr>
                <w:spacing w:val="-3"/>
                <w:sz w:val="18"/>
              </w:rPr>
              <w:t xml:space="preserve"> </w:t>
            </w:r>
            <w:r>
              <w:rPr>
                <w:sz w:val="18"/>
              </w:rPr>
              <w:t>achievement</w:t>
            </w:r>
            <w:r>
              <w:rPr>
                <w:spacing w:val="-2"/>
                <w:sz w:val="18"/>
              </w:rPr>
              <w:t xml:space="preserve"> </w:t>
            </w:r>
            <w:r>
              <w:rPr>
                <w:sz w:val="18"/>
              </w:rPr>
              <w:t>data</w:t>
            </w:r>
            <w:r>
              <w:rPr>
                <w:spacing w:val="-4"/>
                <w:sz w:val="18"/>
              </w:rPr>
              <w:t xml:space="preserve"> </w:t>
            </w:r>
            <w:r>
              <w:rPr>
                <w:sz w:val="18"/>
              </w:rPr>
              <w:t>and</w:t>
            </w:r>
            <w:r>
              <w:rPr>
                <w:spacing w:val="-3"/>
                <w:sz w:val="18"/>
              </w:rPr>
              <w:t xml:space="preserve"> </w:t>
            </w:r>
            <w:r>
              <w:rPr>
                <w:sz w:val="18"/>
              </w:rPr>
              <w:t>its utilisation in the formulation of the 2025 plan.</w:t>
            </w:r>
          </w:p>
          <w:p w14:paraId="13DB2C33" w14:textId="77777777" w:rsidR="00BC24A8" w:rsidRDefault="00000000">
            <w:pPr>
              <w:pStyle w:val="TableParagraph"/>
              <w:numPr>
                <w:ilvl w:val="0"/>
                <w:numId w:val="130"/>
              </w:numPr>
              <w:tabs>
                <w:tab w:val="left" w:pos="415"/>
              </w:tabs>
              <w:ind w:right="184"/>
              <w:rPr>
                <w:sz w:val="18"/>
              </w:rPr>
            </w:pPr>
            <w:r>
              <w:rPr>
                <w:sz w:val="18"/>
              </w:rPr>
              <w:t>Assistance</w:t>
            </w:r>
            <w:r>
              <w:rPr>
                <w:spacing w:val="-2"/>
                <w:sz w:val="18"/>
              </w:rPr>
              <w:t xml:space="preserve"> </w:t>
            </w:r>
            <w:r>
              <w:rPr>
                <w:sz w:val="18"/>
              </w:rPr>
              <w:t>with</w:t>
            </w:r>
            <w:r>
              <w:rPr>
                <w:spacing w:val="-2"/>
                <w:sz w:val="18"/>
              </w:rPr>
              <w:t xml:space="preserve"> </w:t>
            </w:r>
            <w:r>
              <w:rPr>
                <w:sz w:val="18"/>
              </w:rPr>
              <w:t>the</w:t>
            </w:r>
            <w:r>
              <w:rPr>
                <w:spacing w:val="-5"/>
                <w:sz w:val="18"/>
              </w:rPr>
              <w:t xml:space="preserve"> </w:t>
            </w:r>
            <w:r>
              <w:rPr>
                <w:sz w:val="18"/>
              </w:rPr>
              <w:t>integration</w:t>
            </w:r>
            <w:r>
              <w:rPr>
                <w:spacing w:val="-2"/>
                <w:sz w:val="18"/>
              </w:rPr>
              <w:t xml:space="preserve"> </w:t>
            </w:r>
            <w:r>
              <w:rPr>
                <w:sz w:val="18"/>
              </w:rPr>
              <w:t>of</w:t>
            </w:r>
            <w:r>
              <w:rPr>
                <w:spacing w:val="-6"/>
                <w:sz w:val="18"/>
              </w:rPr>
              <w:t xml:space="preserve"> </w:t>
            </w:r>
            <w:r>
              <w:rPr>
                <w:sz w:val="18"/>
              </w:rPr>
              <w:t>MSS</w:t>
            </w:r>
            <w:r>
              <w:rPr>
                <w:spacing w:val="-2"/>
                <w:sz w:val="18"/>
              </w:rPr>
              <w:t xml:space="preserve"> </w:t>
            </w:r>
            <w:r>
              <w:rPr>
                <w:sz w:val="18"/>
              </w:rPr>
              <w:t>targets</w:t>
            </w:r>
            <w:r>
              <w:rPr>
                <w:spacing w:val="-2"/>
                <w:sz w:val="18"/>
              </w:rPr>
              <w:t xml:space="preserve"> </w:t>
            </w:r>
            <w:r>
              <w:rPr>
                <w:sz w:val="18"/>
              </w:rPr>
              <w:t>and</w:t>
            </w:r>
            <w:r>
              <w:rPr>
                <w:spacing w:val="-2"/>
                <w:sz w:val="18"/>
              </w:rPr>
              <w:t xml:space="preserve"> </w:t>
            </w:r>
            <w:r>
              <w:rPr>
                <w:sz w:val="18"/>
              </w:rPr>
              <w:t>indicators</w:t>
            </w:r>
            <w:r>
              <w:rPr>
                <w:spacing w:val="-5"/>
                <w:sz w:val="18"/>
              </w:rPr>
              <w:t xml:space="preserve"> </w:t>
            </w:r>
            <w:r>
              <w:rPr>
                <w:sz w:val="18"/>
              </w:rPr>
              <w:t>into</w:t>
            </w:r>
            <w:r>
              <w:rPr>
                <w:spacing w:val="-3"/>
                <w:sz w:val="18"/>
              </w:rPr>
              <w:t xml:space="preserve"> </w:t>
            </w:r>
            <w:r>
              <w:rPr>
                <w:sz w:val="18"/>
              </w:rPr>
              <w:t>the</w:t>
            </w:r>
            <w:r>
              <w:rPr>
                <w:spacing w:val="-2"/>
                <w:sz w:val="18"/>
              </w:rPr>
              <w:t xml:space="preserve"> </w:t>
            </w:r>
            <w:r>
              <w:rPr>
                <w:sz w:val="18"/>
              </w:rPr>
              <w:t>2025</w:t>
            </w:r>
            <w:r>
              <w:rPr>
                <w:spacing w:val="-2"/>
                <w:sz w:val="18"/>
              </w:rPr>
              <w:t xml:space="preserve"> </w:t>
            </w:r>
            <w:r>
              <w:rPr>
                <w:sz w:val="18"/>
              </w:rPr>
              <w:t>RENJA</w:t>
            </w:r>
            <w:r>
              <w:rPr>
                <w:spacing w:val="-3"/>
                <w:sz w:val="18"/>
              </w:rPr>
              <w:t xml:space="preserve"> </w:t>
            </w:r>
            <w:r>
              <w:rPr>
                <w:sz w:val="18"/>
              </w:rPr>
              <w:t>and Regional Government Work Plan (RKPD) documents.</w:t>
            </w:r>
          </w:p>
          <w:p w14:paraId="5A3B4F22" w14:textId="77777777" w:rsidR="00BC24A8" w:rsidRDefault="00000000">
            <w:pPr>
              <w:pStyle w:val="TableParagraph"/>
              <w:numPr>
                <w:ilvl w:val="0"/>
                <w:numId w:val="130"/>
              </w:numPr>
              <w:tabs>
                <w:tab w:val="left" w:pos="415"/>
              </w:tabs>
              <w:spacing w:before="2"/>
              <w:ind w:right="684"/>
              <w:rPr>
                <w:sz w:val="18"/>
              </w:rPr>
            </w:pPr>
            <w:r>
              <w:rPr>
                <w:sz w:val="18"/>
              </w:rPr>
              <w:t>Technical</w:t>
            </w:r>
            <w:r>
              <w:rPr>
                <w:spacing w:val="-5"/>
                <w:sz w:val="18"/>
              </w:rPr>
              <w:t xml:space="preserve"> </w:t>
            </w:r>
            <w:r>
              <w:rPr>
                <w:sz w:val="18"/>
              </w:rPr>
              <w:t>collaboration</w:t>
            </w:r>
            <w:r>
              <w:rPr>
                <w:spacing w:val="-6"/>
                <w:sz w:val="18"/>
              </w:rPr>
              <w:t xml:space="preserve"> </w:t>
            </w:r>
            <w:r>
              <w:rPr>
                <w:sz w:val="18"/>
              </w:rPr>
              <w:t>between</w:t>
            </w:r>
            <w:r>
              <w:rPr>
                <w:spacing w:val="-8"/>
                <w:sz w:val="18"/>
              </w:rPr>
              <w:t xml:space="preserve"> </w:t>
            </w:r>
            <w:r>
              <w:rPr>
                <w:sz w:val="18"/>
              </w:rPr>
              <w:t>Bappeda,</w:t>
            </w:r>
            <w:r>
              <w:rPr>
                <w:spacing w:val="-6"/>
                <w:sz w:val="18"/>
              </w:rPr>
              <w:t xml:space="preserve"> </w:t>
            </w:r>
            <w:r>
              <w:rPr>
                <w:sz w:val="18"/>
              </w:rPr>
              <w:t>sectoral</w:t>
            </w:r>
            <w:r>
              <w:rPr>
                <w:spacing w:val="-5"/>
                <w:sz w:val="18"/>
              </w:rPr>
              <w:t xml:space="preserve"> </w:t>
            </w:r>
            <w:r>
              <w:rPr>
                <w:sz w:val="18"/>
              </w:rPr>
              <w:t>agencies,</w:t>
            </w:r>
            <w:r>
              <w:rPr>
                <w:spacing w:val="-6"/>
                <w:sz w:val="18"/>
              </w:rPr>
              <w:t xml:space="preserve"> </w:t>
            </w:r>
            <w:r>
              <w:rPr>
                <w:sz w:val="18"/>
              </w:rPr>
              <w:t>and</w:t>
            </w:r>
            <w:r>
              <w:rPr>
                <w:spacing w:val="-6"/>
                <w:sz w:val="18"/>
              </w:rPr>
              <w:t xml:space="preserve"> </w:t>
            </w:r>
            <w:r>
              <w:rPr>
                <w:sz w:val="18"/>
              </w:rPr>
              <w:t>development partners for reporting on MSS achievements based on actual data.</w:t>
            </w:r>
          </w:p>
        </w:tc>
      </w:tr>
      <w:tr w:rsidR="00BC24A8" w14:paraId="2A3F787D" w14:textId="77777777">
        <w:trPr>
          <w:trHeight w:val="1658"/>
        </w:trPr>
        <w:tc>
          <w:tcPr>
            <w:tcW w:w="2280" w:type="dxa"/>
            <w:tcBorders>
              <w:top w:val="single" w:sz="4" w:space="0" w:color="BEBEBE"/>
              <w:bottom w:val="single" w:sz="4" w:space="0" w:color="BEBEBE"/>
            </w:tcBorders>
          </w:tcPr>
          <w:p w14:paraId="2D4C5BC4" w14:textId="77777777" w:rsidR="00BC24A8" w:rsidRDefault="00000000">
            <w:pPr>
              <w:pStyle w:val="TableParagraph"/>
              <w:spacing w:before="61"/>
              <w:ind w:left="115" w:right="185"/>
              <w:rPr>
                <w:sz w:val="18"/>
              </w:rPr>
            </w:pPr>
            <w:r>
              <w:rPr>
                <w:sz w:val="18"/>
              </w:rPr>
              <w:t>Generate a more responsive</w:t>
            </w:r>
            <w:r>
              <w:rPr>
                <w:spacing w:val="-2"/>
                <w:sz w:val="18"/>
              </w:rPr>
              <w:t xml:space="preserve"> </w:t>
            </w:r>
            <w:r>
              <w:rPr>
                <w:sz w:val="18"/>
              </w:rPr>
              <w:t>local government budget management</w:t>
            </w:r>
            <w:r>
              <w:rPr>
                <w:spacing w:val="-11"/>
                <w:sz w:val="18"/>
              </w:rPr>
              <w:t xml:space="preserve"> </w:t>
            </w:r>
            <w:r>
              <w:rPr>
                <w:sz w:val="18"/>
              </w:rPr>
              <w:t>base</w:t>
            </w:r>
            <w:r>
              <w:rPr>
                <w:spacing w:val="-10"/>
                <w:sz w:val="18"/>
              </w:rPr>
              <w:t xml:space="preserve"> </w:t>
            </w:r>
            <w:r>
              <w:rPr>
                <w:sz w:val="18"/>
              </w:rPr>
              <w:t>for inclusive</w:t>
            </w:r>
            <w:r>
              <w:rPr>
                <w:spacing w:val="-11"/>
                <w:sz w:val="18"/>
              </w:rPr>
              <w:t xml:space="preserve"> </w:t>
            </w:r>
            <w:r>
              <w:rPr>
                <w:sz w:val="18"/>
              </w:rPr>
              <w:t>basic</w:t>
            </w:r>
            <w:r>
              <w:rPr>
                <w:spacing w:val="-10"/>
                <w:sz w:val="18"/>
              </w:rPr>
              <w:t xml:space="preserve"> </w:t>
            </w:r>
            <w:r>
              <w:rPr>
                <w:sz w:val="18"/>
              </w:rPr>
              <w:t xml:space="preserve">service </w:t>
            </w:r>
            <w:r>
              <w:rPr>
                <w:spacing w:val="-2"/>
                <w:sz w:val="18"/>
              </w:rPr>
              <w:t>delivery</w:t>
            </w:r>
          </w:p>
        </w:tc>
        <w:tc>
          <w:tcPr>
            <w:tcW w:w="6818" w:type="dxa"/>
            <w:tcBorders>
              <w:top w:val="single" w:sz="4" w:space="0" w:color="BEBEBE"/>
              <w:bottom w:val="single" w:sz="4" w:space="0" w:color="BEBEBE"/>
            </w:tcBorders>
          </w:tcPr>
          <w:p w14:paraId="65694A70" w14:textId="77777777" w:rsidR="00BC24A8" w:rsidRDefault="00000000">
            <w:pPr>
              <w:pStyle w:val="TableParagraph"/>
              <w:numPr>
                <w:ilvl w:val="0"/>
                <w:numId w:val="129"/>
              </w:numPr>
              <w:tabs>
                <w:tab w:val="left" w:pos="415"/>
              </w:tabs>
              <w:spacing w:before="61"/>
              <w:ind w:right="197"/>
              <w:rPr>
                <w:sz w:val="18"/>
              </w:rPr>
            </w:pPr>
            <w:r>
              <w:rPr>
                <w:sz w:val="18"/>
              </w:rPr>
              <w:t>Review</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regional</w:t>
            </w:r>
            <w:r>
              <w:rPr>
                <w:spacing w:val="-2"/>
                <w:sz w:val="18"/>
              </w:rPr>
              <w:t xml:space="preserve"> </w:t>
            </w:r>
            <w:r>
              <w:rPr>
                <w:sz w:val="18"/>
              </w:rPr>
              <w:t>expenditure</w:t>
            </w:r>
            <w:r>
              <w:rPr>
                <w:spacing w:val="-3"/>
                <w:sz w:val="18"/>
              </w:rPr>
              <w:t xml:space="preserve"> </w:t>
            </w:r>
            <w:r>
              <w:rPr>
                <w:sz w:val="18"/>
              </w:rPr>
              <w:t>mix</w:t>
            </w:r>
            <w:r>
              <w:rPr>
                <w:spacing w:val="-4"/>
                <w:sz w:val="18"/>
              </w:rPr>
              <w:t xml:space="preserve"> </w:t>
            </w:r>
            <w:r>
              <w:rPr>
                <w:sz w:val="18"/>
              </w:rPr>
              <w:t>to</w:t>
            </w:r>
            <w:r>
              <w:rPr>
                <w:spacing w:val="-4"/>
                <w:sz w:val="18"/>
              </w:rPr>
              <w:t xml:space="preserve"> </w:t>
            </w:r>
            <w:r>
              <w:rPr>
                <w:sz w:val="18"/>
              </w:rPr>
              <w:t>measure</w:t>
            </w:r>
            <w:r>
              <w:rPr>
                <w:spacing w:val="-3"/>
                <w:sz w:val="18"/>
              </w:rPr>
              <w:t xml:space="preserve"> </w:t>
            </w:r>
            <w:r>
              <w:rPr>
                <w:sz w:val="18"/>
              </w:rPr>
              <w:t>the</w:t>
            </w:r>
            <w:r>
              <w:rPr>
                <w:spacing w:val="-3"/>
                <w:sz w:val="18"/>
              </w:rPr>
              <w:t xml:space="preserve"> </w:t>
            </w:r>
            <w:r>
              <w:rPr>
                <w:sz w:val="18"/>
              </w:rPr>
              <w:t>effectiveness</w:t>
            </w:r>
            <w:r>
              <w:rPr>
                <w:spacing w:val="-3"/>
                <w:sz w:val="18"/>
              </w:rPr>
              <w:t xml:space="preserve"> </w:t>
            </w:r>
            <w:r>
              <w:rPr>
                <w:sz w:val="18"/>
              </w:rPr>
              <w:t>and</w:t>
            </w:r>
            <w:r>
              <w:rPr>
                <w:spacing w:val="-3"/>
                <w:sz w:val="18"/>
              </w:rPr>
              <w:t xml:space="preserve"> </w:t>
            </w:r>
            <w:r>
              <w:rPr>
                <w:sz w:val="18"/>
              </w:rPr>
              <w:t>efficiency</w:t>
            </w:r>
            <w:r>
              <w:rPr>
                <w:spacing w:val="-3"/>
                <w:sz w:val="18"/>
              </w:rPr>
              <w:t xml:space="preserve"> </w:t>
            </w:r>
            <w:r>
              <w:rPr>
                <w:sz w:val="18"/>
              </w:rPr>
              <w:t>of allocations for basic services.</w:t>
            </w:r>
          </w:p>
          <w:p w14:paraId="13599B88" w14:textId="77777777" w:rsidR="00BC24A8" w:rsidRDefault="00000000">
            <w:pPr>
              <w:pStyle w:val="TableParagraph"/>
              <w:numPr>
                <w:ilvl w:val="0"/>
                <w:numId w:val="129"/>
              </w:numPr>
              <w:tabs>
                <w:tab w:val="left" w:pos="415"/>
              </w:tabs>
              <w:ind w:right="975"/>
              <w:rPr>
                <w:sz w:val="18"/>
              </w:rPr>
            </w:pPr>
            <w:r>
              <w:rPr>
                <w:sz w:val="18"/>
              </w:rPr>
              <w:t>Financing</w:t>
            </w:r>
            <w:r>
              <w:rPr>
                <w:spacing w:val="-4"/>
                <w:sz w:val="18"/>
              </w:rPr>
              <w:t xml:space="preserve"> </w:t>
            </w:r>
            <w:r>
              <w:rPr>
                <w:sz w:val="18"/>
              </w:rPr>
              <w:t>mapping</w:t>
            </w:r>
            <w:r>
              <w:rPr>
                <w:spacing w:val="-4"/>
                <w:sz w:val="18"/>
              </w:rPr>
              <w:t xml:space="preserve"> </w:t>
            </w:r>
            <w:r>
              <w:rPr>
                <w:sz w:val="18"/>
              </w:rPr>
              <w:t>for</w:t>
            </w:r>
            <w:r>
              <w:rPr>
                <w:spacing w:val="-3"/>
                <w:sz w:val="18"/>
              </w:rPr>
              <w:t xml:space="preserve"> </w:t>
            </w:r>
            <w:r>
              <w:rPr>
                <w:sz w:val="18"/>
              </w:rPr>
              <w:t>MSS</w:t>
            </w:r>
            <w:r>
              <w:rPr>
                <w:spacing w:val="-3"/>
                <w:sz w:val="18"/>
              </w:rPr>
              <w:t xml:space="preserve"> </w:t>
            </w:r>
            <w:r>
              <w:rPr>
                <w:sz w:val="18"/>
              </w:rPr>
              <w:t>services</w:t>
            </w:r>
            <w:r>
              <w:rPr>
                <w:spacing w:val="-3"/>
                <w:sz w:val="18"/>
              </w:rPr>
              <w:t xml:space="preserve"> </w:t>
            </w:r>
            <w:r>
              <w:rPr>
                <w:sz w:val="18"/>
              </w:rPr>
              <w:t>and</w:t>
            </w:r>
            <w:r>
              <w:rPr>
                <w:spacing w:val="-3"/>
                <w:sz w:val="18"/>
              </w:rPr>
              <w:t xml:space="preserve"> </w:t>
            </w:r>
            <w:r>
              <w:rPr>
                <w:sz w:val="18"/>
              </w:rPr>
              <w:t>analysis</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fiscal</w:t>
            </w:r>
            <w:r>
              <w:rPr>
                <w:spacing w:val="-2"/>
                <w:sz w:val="18"/>
              </w:rPr>
              <w:t xml:space="preserve"> </w:t>
            </w:r>
            <w:r>
              <w:rPr>
                <w:sz w:val="18"/>
              </w:rPr>
              <w:t>gap</w:t>
            </w:r>
            <w:r>
              <w:rPr>
                <w:spacing w:val="-3"/>
                <w:sz w:val="18"/>
              </w:rPr>
              <w:t xml:space="preserve"> </w:t>
            </w:r>
            <w:r>
              <w:rPr>
                <w:sz w:val="18"/>
              </w:rPr>
              <w:t>in</w:t>
            </w:r>
            <w:r>
              <w:rPr>
                <w:spacing w:val="-3"/>
                <w:sz w:val="18"/>
              </w:rPr>
              <w:t xml:space="preserve"> </w:t>
            </w:r>
            <w:r>
              <w:rPr>
                <w:sz w:val="18"/>
              </w:rPr>
              <w:t xml:space="preserve">priority </w:t>
            </w:r>
            <w:r>
              <w:rPr>
                <w:spacing w:val="-2"/>
                <w:sz w:val="18"/>
              </w:rPr>
              <w:t>regencies/cities.</w:t>
            </w:r>
          </w:p>
          <w:p w14:paraId="6FB07902" w14:textId="77777777" w:rsidR="00BC24A8" w:rsidRDefault="00000000">
            <w:pPr>
              <w:pStyle w:val="TableParagraph"/>
              <w:numPr>
                <w:ilvl w:val="0"/>
                <w:numId w:val="129"/>
              </w:numPr>
              <w:tabs>
                <w:tab w:val="left" w:pos="415"/>
              </w:tabs>
              <w:spacing w:line="219" w:lineRule="exact"/>
              <w:rPr>
                <w:sz w:val="18"/>
              </w:rPr>
            </w:pPr>
            <w:r>
              <w:rPr>
                <w:sz w:val="18"/>
              </w:rPr>
              <w:t>Development</w:t>
            </w:r>
            <w:r>
              <w:rPr>
                <w:spacing w:val="-3"/>
                <w:sz w:val="18"/>
              </w:rPr>
              <w:t xml:space="preserve"> </w:t>
            </w:r>
            <w:r>
              <w:rPr>
                <w:sz w:val="18"/>
              </w:rPr>
              <w:t>of</w:t>
            </w:r>
            <w:r>
              <w:rPr>
                <w:spacing w:val="-4"/>
                <w:sz w:val="18"/>
              </w:rPr>
              <w:t xml:space="preserve"> </w:t>
            </w:r>
            <w:r>
              <w:rPr>
                <w:sz w:val="18"/>
              </w:rPr>
              <w:t>technical</w:t>
            </w:r>
            <w:r>
              <w:rPr>
                <w:spacing w:val="-2"/>
                <w:sz w:val="18"/>
              </w:rPr>
              <w:t xml:space="preserve"> </w:t>
            </w:r>
            <w:r>
              <w:rPr>
                <w:sz w:val="18"/>
              </w:rPr>
              <w:t>guidelines</w:t>
            </w:r>
            <w:r>
              <w:rPr>
                <w:spacing w:val="-3"/>
                <w:sz w:val="18"/>
              </w:rPr>
              <w:t xml:space="preserve"> </w:t>
            </w:r>
            <w:r>
              <w:rPr>
                <w:sz w:val="18"/>
              </w:rPr>
              <w:t>for</w:t>
            </w:r>
            <w:r>
              <w:rPr>
                <w:spacing w:val="-3"/>
                <w:sz w:val="18"/>
              </w:rPr>
              <w:t xml:space="preserve"> </w:t>
            </w:r>
            <w:r>
              <w:rPr>
                <w:sz w:val="18"/>
              </w:rPr>
              <w:t>GEDSI-responsive</w:t>
            </w:r>
            <w:r>
              <w:rPr>
                <w:spacing w:val="-3"/>
                <w:sz w:val="18"/>
              </w:rPr>
              <w:t xml:space="preserve"> </w:t>
            </w:r>
            <w:r>
              <w:rPr>
                <w:spacing w:val="-2"/>
                <w:sz w:val="18"/>
              </w:rPr>
              <w:t>budgeting.</w:t>
            </w:r>
          </w:p>
          <w:p w14:paraId="601F424D" w14:textId="77777777" w:rsidR="00BC24A8" w:rsidRDefault="00000000">
            <w:pPr>
              <w:pStyle w:val="TableParagraph"/>
              <w:numPr>
                <w:ilvl w:val="0"/>
                <w:numId w:val="129"/>
              </w:numPr>
              <w:tabs>
                <w:tab w:val="left" w:pos="415"/>
              </w:tabs>
              <w:spacing w:before="1"/>
              <w:ind w:right="525" w:hanging="361"/>
              <w:rPr>
                <w:sz w:val="18"/>
              </w:rPr>
            </w:pPr>
            <w:r>
              <w:rPr>
                <w:sz w:val="18"/>
              </w:rPr>
              <w:t>Training</w:t>
            </w:r>
            <w:r>
              <w:rPr>
                <w:spacing w:val="-5"/>
                <w:sz w:val="18"/>
              </w:rPr>
              <w:t xml:space="preserve"> </w:t>
            </w:r>
            <w:r>
              <w:rPr>
                <w:sz w:val="18"/>
              </w:rPr>
              <w:t>and</w:t>
            </w:r>
            <w:r>
              <w:rPr>
                <w:spacing w:val="-4"/>
                <w:sz w:val="18"/>
              </w:rPr>
              <w:t xml:space="preserve"> </w:t>
            </w:r>
            <w:r>
              <w:rPr>
                <w:sz w:val="18"/>
              </w:rPr>
              <w:t>technical</w:t>
            </w:r>
            <w:r>
              <w:rPr>
                <w:spacing w:val="-3"/>
                <w:sz w:val="18"/>
              </w:rPr>
              <w:t xml:space="preserve"> </w:t>
            </w:r>
            <w:r>
              <w:rPr>
                <w:sz w:val="18"/>
              </w:rPr>
              <w:t>assistance</w:t>
            </w:r>
            <w:r>
              <w:rPr>
                <w:spacing w:val="-6"/>
                <w:sz w:val="18"/>
              </w:rPr>
              <w:t xml:space="preserve"> </w:t>
            </w:r>
            <w:r>
              <w:rPr>
                <w:sz w:val="18"/>
              </w:rPr>
              <w:t>for</w:t>
            </w:r>
            <w:r>
              <w:rPr>
                <w:spacing w:val="-4"/>
                <w:sz w:val="18"/>
              </w:rPr>
              <w:t xml:space="preserve"> </w:t>
            </w:r>
            <w:r>
              <w:rPr>
                <w:sz w:val="18"/>
              </w:rPr>
              <w:t>Bappeda</w:t>
            </w:r>
            <w:r>
              <w:rPr>
                <w:spacing w:val="-5"/>
                <w:sz w:val="18"/>
              </w:rPr>
              <w:t xml:space="preserve"> </w:t>
            </w:r>
            <w:r>
              <w:rPr>
                <w:sz w:val="18"/>
              </w:rPr>
              <w:t>and</w:t>
            </w:r>
            <w:r>
              <w:rPr>
                <w:spacing w:val="-4"/>
                <w:sz w:val="18"/>
              </w:rPr>
              <w:t xml:space="preserve"> </w:t>
            </w:r>
            <w:r>
              <w:rPr>
                <w:sz w:val="18"/>
              </w:rPr>
              <w:t>BPKAD</w:t>
            </w:r>
            <w:r>
              <w:rPr>
                <w:spacing w:val="-3"/>
                <w:sz w:val="18"/>
              </w:rPr>
              <w:t xml:space="preserve"> </w:t>
            </w:r>
            <w:r>
              <w:rPr>
                <w:sz w:val="18"/>
              </w:rPr>
              <w:t>in</w:t>
            </w:r>
            <w:r>
              <w:rPr>
                <w:spacing w:val="-4"/>
                <w:sz w:val="18"/>
              </w:rPr>
              <w:t xml:space="preserve"> </w:t>
            </w:r>
            <w:r>
              <w:rPr>
                <w:sz w:val="18"/>
              </w:rPr>
              <w:t>service</w:t>
            </w:r>
            <w:r>
              <w:rPr>
                <w:spacing w:val="-6"/>
                <w:sz w:val="18"/>
              </w:rPr>
              <w:t xml:space="preserve"> </w:t>
            </w:r>
            <w:r>
              <w:rPr>
                <w:sz w:val="18"/>
              </w:rPr>
              <w:t xml:space="preserve">output-based </w:t>
            </w:r>
            <w:r>
              <w:rPr>
                <w:spacing w:val="-2"/>
                <w:sz w:val="18"/>
              </w:rPr>
              <w:t>planning.</w:t>
            </w:r>
          </w:p>
        </w:tc>
      </w:tr>
      <w:tr w:rsidR="00BC24A8" w14:paraId="447F9943" w14:textId="77777777">
        <w:trPr>
          <w:trHeight w:val="1439"/>
        </w:trPr>
        <w:tc>
          <w:tcPr>
            <w:tcW w:w="2280" w:type="dxa"/>
            <w:tcBorders>
              <w:top w:val="single" w:sz="4" w:space="0" w:color="BEBEBE"/>
              <w:bottom w:val="single" w:sz="4" w:space="0" w:color="BEBEBE"/>
            </w:tcBorders>
          </w:tcPr>
          <w:p w14:paraId="5FFE1831" w14:textId="77777777" w:rsidR="00BC24A8" w:rsidRDefault="00000000">
            <w:pPr>
              <w:pStyle w:val="TableParagraph"/>
              <w:spacing w:before="61"/>
              <w:ind w:left="115"/>
              <w:rPr>
                <w:sz w:val="18"/>
              </w:rPr>
            </w:pPr>
            <w:r>
              <w:rPr>
                <w:sz w:val="18"/>
              </w:rPr>
              <w:t>Driving more effective management</w:t>
            </w:r>
            <w:r>
              <w:rPr>
                <w:spacing w:val="-11"/>
                <w:sz w:val="18"/>
              </w:rPr>
              <w:t xml:space="preserve"> </w:t>
            </w:r>
            <w:r>
              <w:rPr>
                <w:sz w:val="18"/>
              </w:rPr>
              <w:t>of</w:t>
            </w:r>
            <w:r>
              <w:rPr>
                <w:spacing w:val="-10"/>
                <w:sz w:val="18"/>
              </w:rPr>
              <w:t xml:space="preserve"> </w:t>
            </w:r>
            <w:r>
              <w:rPr>
                <w:sz w:val="18"/>
              </w:rPr>
              <w:t>Special Autonomy Funds</w:t>
            </w:r>
          </w:p>
        </w:tc>
        <w:tc>
          <w:tcPr>
            <w:tcW w:w="6818" w:type="dxa"/>
            <w:tcBorders>
              <w:top w:val="single" w:sz="4" w:space="0" w:color="BEBEBE"/>
              <w:bottom w:val="single" w:sz="4" w:space="0" w:color="BEBEBE"/>
            </w:tcBorders>
          </w:tcPr>
          <w:p w14:paraId="31F30643" w14:textId="77777777" w:rsidR="00BC24A8" w:rsidRDefault="00000000">
            <w:pPr>
              <w:pStyle w:val="TableParagraph"/>
              <w:numPr>
                <w:ilvl w:val="0"/>
                <w:numId w:val="128"/>
              </w:numPr>
              <w:tabs>
                <w:tab w:val="left" w:pos="415"/>
              </w:tabs>
              <w:spacing w:before="61"/>
              <w:ind w:right="410" w:hanging="361"/>
              <w:rPr>
                <w:sz w:val="18"/>
              </w:rPr>
            </w:pPr>
            <w:r>
              <w:rPr>
                <w:sz w:val="18"/>
              </w:rPr>
              <w:t>Analysis</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utilisation</w:t>
            </w:r>
            <w:r>
              <w:rPr>
                <w:spacing w:val="-4"/>
                <w:sz w:val="18"/>
              </w:rPr>
              <w:t xml:space="preserve"> </w:t>
            </w:r>
            <w:r>
              <w:rPr>
                <w:sz w:val="18"/>
              </w:rPr>
              <w:t>of</w:t>
            </w:r>
            <w:r>
              <w:rPr>
                <w:spacing w:val="-4"/>
                <w:sz w:val="18"/>
              </w:rPr>
              <w:t xml:space="preserve"> </w:t>
            </w:r>
            <w:r>
              <w:rPr>
                <w:sz w:val="18"/>
              </w:rPr>
              <w:t>Special</w:t>
            </w:r>
            <w:r>
              <w:rPr>
                <w:spacing w:val="-3"/>
                <w:sz w:val="18"/>
              </w:rPr>
              <w:t xml:space="preserve"> </w:t>
            </w:r>
            <w:r>
              <w:rPr>
                <w:sz w:val="18"/>
              </w:rPr>
              <w:t>Autonomy</w:t>
            </w:r>
            <w:r>
              <w:rPr>
                <w:spacing w:val="-4"/>
                <w:sz w:val="18"/>
              </w:rPr>
              <w:t xml:space="preserve"> </w:t>
            </w:r>
            <w:r>
              <w:rPr>
                <w:sz w:val="18"/>
              </w:rPr>
              <w:t>Funds</w:t>
            </w:r>
            <w:r>
              <w:rPr>
                <w:spacing w:val="-4"/>
                <w:sz w:val="18"/>
              </w:rPr>
              <w:t xml:space="preserve"> </w:t>
            </w:r>
            <w:r>
              <w:rPr>
                <w:sz w:val="18"/>
              </w:rPr>
              <w:t>(Otsus)</w:t>
            </w:r>
            <w:r>
              <w:rPr>
                <w:spacing w:val="-4"/>
                <w:sz w:val="18"/>
              </w:rPr>
              <w:t xml:space="preserve"> </w:t>
            </w:r>
            <w:r>
              <w:rPr>
                <w:sz w:val="18"/>
              </w:rPr>
              <w:t>that</w:t>
            </w:r>
            <w:r>
              <w:rPr>
                <w:spacing w:val="-3"/>
                <w:sz w:val="18"/>
              </w:rPr>
              <w:t xml:space="preserve"> </w:t>
            </w:r>
            <w:r>
              <w:rPr>
                <w:sz w:val="18"/>
              </w:rPr>
              <w:t>are</w:t>
            </w:r>
            <w:r>
              <w:rPr>
                <w:spacing w:val="-4"/>
                <w:sz w:val="18"/>
              </w:rPr>
              <w:t xml:space="preserve"> </w:t>
            </w:r>
            <w:r>
              <w:rPr>
                <w:sz w:val="18"/>
              </w:rPr>
              <w:t>results-based and performance-based.</w:t>
            </w:r>
          </w:p>
          <w:p w14:paraId="534418D9" w14:textId="77777777" w:rsidR="00BC24A8" w:rsidRDefault="00000000">
            <w:pPr>
              <w:pStyle w:val="TableParagraph"/>
              <w:numPr>
                <w:ilvl w:val="0"/>
                <w:numId w:val="128"/>
              </w:numPr>
              <w:tabs>
                <w:tab w:val="left" w:pos="415"/>
              </w:tabs>
              <w:ind w:right="757"/>
              <w:rPr>
                <w:sz w:val="18"/>
              </w:rPr>
            </w:pPr>
            <w:r>
              <w:rPr>
                <w:sz w:val="18"/>
              </w:rPr>
              <w:t>Assistance</w:t>
            </w:r>
            <w:r>
              <w:rPr>
                <w:spacing w:val="-4"/>
                <w:sz w:val="18"/>
              </w:rPr>
              <w:t xml:space="preserve"> </w:t>
            </w:r>
            <w:r>
              <w:rPr>
                <w:sz w:val="18"/>
              </w:rPr>
              <w:t>in</w:t>
            </w:r>
            <w:r>
              <w:rPr>
                <w:spacing w:val="-4"/>
                <w:sz w:val="18"/>
              </w:rPr>
              <w:t xml:space="preserve"> </w:t>
            </w:r>
            <w:r>
              <w:rPr>
                <w:sz w:val="18"/>
              </w:rPr>
              <w:t>identifying</w:t>
            </w:r>
            <w:r>
              <w:rPr>
                <w:spacing w:val="-5"/>
                <w:sz w:val="18"/>
              </w:rPr>
              <w:t xml:space="preserve"> </w:t>
            </w:r>
            <w:r>
              <w:rPr>
                <w:sz w:val="18"/>
              </w:rPr>
              <w:t>priority</w:t>
            </w:r>
            <w:r>
              <w:rPr>
                <w:spacing w:val="-4"/>
                <w:sz w:val="18"/>
              </w:rPr>
              <w:t xml:space="preserve"> </w:t>
            </w:r>
            <w:r>
              <w:rPr>
                <w:sz w:val="18"/>
              </w:rPr>
              <w:t>programs</w:t>
            </w:r>
            <w:r>
              <w:rPr>
                <w:spacing w:val="-4"/>
                <w:sz w:val="18"/>
              </w:rPr>
              <w:t xml:space="preserve"> </w:t>
            </w:r>
            <w:r>
              <w:rPr>
                <w:sz w:val="18"/>
              </w:rPr>
              <w:t>for</w:t>
            </w:r>
            <w:r>
              <w:rPr>
                <w:spacing w:val="-4"/>
                <w:sz w:val="18"/>
              </w:rPr>
              <w:t xml:space="preserve"> </w:t>
            </w:r>
            <w:r>
              <w:rPr>
                <w:sz w:val="18"/>
              </w:rPr>
              <w:t>Otsus</w:t>
            </w:r>
            <w:r>
              <w:rPr>
                <w:spacing w:val="-4"/>
                <w:sz w:val="18"/>
              </w:rPr>
              <w:t xml:space="preserve"> </w:t>
            </w:r>
            <w:r>
              <w:rPr>
                <w:sz w:val="18"/>
              </w:rPr>
              <w:t>that</w:t>
            </w:r>
            <w:r>
              <w:rPr>
                <w:spacing w:val="-3"/>
                <w:sz w:val="18"/>
              </w:rPr>
              <w:t xml:space="preserve"> </w:t>
            </w:r>
            <w:r>
              <w:rPr>
                <w:sz w:val="18"/>
              </w:rPr>
              <w:t>are</w:t>
            </w:r>
            <w:r>
              <w:rPr>
                <w:spacing w:val="-4"/>
                <w:sz w:val="18"/>
              </w:rPr>
              <w:t xml:space="preserve"> </w:t>
            </w:r>
            <w:r>
              <w:rPr>
                <w:sz w:val="18"/>
              </w:rPr>
              <w:t>oriented</w:t>
            </w:r>
            <w:r>
              <w:rPr>
                <w:spacing w:val="-4"/>
                <w:sz w:val="18"/>
              </w:rPr>
              <w:t xml:space="preserve"> </w:t>
            </w:r>
            <w:r>
              <w:rPr>
                <w:sz w:val="18"/>
              </w:rPr>
              <w:t>towards development outcomes and the welfare of vulnerable groups.</w:t>
            </w:r>
          </w:p>
          <w:p w14:paraId="767A14DF" w14:textId="77777777" w:rsidR="00BC24A8" w:rsidRDefault="00000000">
            <w:pPr>
              <w:pStyle w:val="TableParagraph"/>
              <w:numPr>
                <w:ilvl w:val="0"/>
                <w:numId w:val="128"/>
              </w:numPr>
              <w:tabs>
                <w:tab w:val="left" w:pos="415"/>
              </w:tabs>
              <w:ind w:right="428" w:hanging="361"/>
              <w:rPr>
                <w:sz w:val="18"/>
              </w:rPr>
            </w:pPr>
            <w:r>
              <w:rPr>
                <w:sz w:val="18"/>
              </w:rPr>
              <w:t>Policy</w:t>
            </w:r>
            <w:r>
              <w:rPr>
                <w:spacing w:val="-3"/>
                <w:sz w:val="18"/>
              </w:rPr>
              <w:t xml:space="preserve"> </w:t>
            </w:r>
            <w:r>
              <w:rPr>
                <w:sz w:val="18"/>
              </w:rPr>
              <w:t>dialogue</w:t>
            </w:r>
            <w:r>
              <w:rPr>
                <w:spacing w:val="-3"/>
                <w:sz w:val="18"/>
              </w:rPr>
              <w:t xml:space="preserve"> </w:t>
            </w:r>
            <w:r>
              <w:rPr>
                <w:sz w:val="18"/>
              </w:rPr>
              <w:t>among</w:t>
            </w:r>
            <w:r>
              <w:rPr>
                <w:spacing w:val="-4"/>
                <w:sz w:val="18"/>
              </w:rPr>
              <w:t xml:space="preserve"> </w:t>
            </w:r>
            <w:r>
              <w:rPr>
                <w:sz w:val="18"/>
              </w:rPr>
              <w:t>stakeholders</w:t>
            </w:r>
            <w:r>
              <w:rPr>
                <w:spacing w:val="-3"/>
                <w:sz w:val="18"/>
              </w:rPr>
              <w:t xml:space="preserve"> </w:t>
            </w:r>
            <w:r>
              <w:rPr>
                <w:sz w:val="18"/>
              </w:rPr>
              <w:t>to</w:t>
            </w:r>
            <w:r>
              <w:rPr>
                <w:spacing w:val="-4"/>
                <w:sz w:val="18"/>
              </w:rPr>
              <w:t xml:space="preserve"> </w:t>
            </w:r>
            <w:r>
              <w:rPr>
                <w:sz w:val="18"/>
              </w:rPr>
              <w:t>align</w:t>
            </w:r>
            <w:r>
              <w:rPr>
                <w:spacing w:val="-3"/>
                <w:sz w:val="18"/>
              </w:rPr>
              <w:t xml:space="preserve"> </w:t>
            </w:r>
            <w:r>
              <w:rPr>
                <w:sz w:val="18"/>
              </w:rPr>
              <w:t>the</w:t>
            </w:r>
            <w:r>
              <w:rPr>
                <w:spacing w:val="-3"/>
                <w:sz w:val="18"/>
              </w:rPr>
              <w:t xml:space="preserve"> </w:t>
            </w:r>
            <w:r>
              <w:rPr>
                <w:sz w:val="18"/>
              </w:rPr>
              <w:t>utilisation</w:t>
            </w:r>
            <w:r>
              <w:rPr>
                <w:spacing w:val="-4"/>
                <w:sz w:val="18"/>
              </w:rPr>
              <w:t xml:space="preserve"> </w:t>
            </w:r>
            <w:r>
              <w:rPr>
                <w:sz w:val="18"/>
              </w:rPr>
              <w:t>of</w:t>
            </w:r>
            <w:r>
              <w:rPr>
                <w:spacing w:val="-4"/>
                <w:sz w:val="18"/>
              </w:rPr>
              <w:t xml:space="preserve"> </w:t>
            </w:r>
            <w:r>
              <w:rPr>
                <w:sz w:val="18"/>
              </w:rPr>
              <w:t>Otsus</w:t>
            </w:r>
            <w:r>
              <w:rPr>
                <w:spacing w:val="-3"/>
                <w:sz w:val="18"/>
              </w:rPr>
              <w:t xml:space="preserve"> </w:t>
            </w:r>
            <w:r>
              <w:rPr>
                <w:sz w:val="18"/>
              </w:rPr>
              <w:t>with</w:t>
            </w:r>
            <w:r>
              <w:rPr>
                <w:spacing w:val="-3"/>
                <w:sz w:val="18"/>
              </w:rPr>
              <w:t xml:space="preserve"> </w:t>
            </w:r>
            <w:r>
              <w:rPr>
                <w:sz w:val="18"/>
              </w:rPr>
              <w:t>post-2027 regional development priorities.</w:t>
            </w:r>
          </w:p>
        </w:tc>
      </w:tr>
    </w:tbl>
    <w:p w14:paraId="6E2768B1" w14:textId="77777777" w:rsidR="00BC24A8" w:rsidRDefault="00BC24A8">
      <w:pPr>
        <w:pStyle w:val="TableParagraph"/>
        <w:rPr>
          <w:sz w:val="18"/>
        </w:rPr>
        <w:sectPr w:rsidR="00BC24A8">
          <w:pgSz w:w="11910" w:h="16840"/>
          <w:pgMar w:top="1360" w:right="850" w:bottom="1100" w:left="1275" w:header="0" w:footer="907" w:gutter="0"/>
          <w:cols w:space="720"/>
        </w:sectPr>
      </w:pPr>
    </w:p>
    <w:p w14:paraId="78E847D5" w14:textId="77777777" w:rsidR="00BC24A8" w:rsidRDefault="00000000">
      <w:pPr>
        <w:pStyle w:val="Heading3"/>
      </w:pPr>
      <w:bookmarkStart w:id="145" w:name="Gorontalo_Province_Semester_Report"/>
      <w:bookmarkStart w:id="146" w:name="_bookmark96"/>
      <w:bookmarkEnd w:id="145"/>
      <w:bookmarkEnd w:id="146"/>
      <w:r>
        <w:rPr>
          <w:color w:val="137D87"/>
          <w:spacing w:val="-4"/>
        </w:rPr>
        <w:lastRenderedPageBreak/>
        <w:t>Gorontalo</w:t>
      </w:r>
      <w:r>
        <w:rPr>
          <w:color w:val="137D87"/>
          <w:spacing w:val="-21"/>
        </w:rPr>
        <w:t xml:space="preserve"> </w:t>
      </w:r>
      <w:r>
        <w:rPr>
          <w:color w:val="137D87"/>
          <w:spacing w:val="-4"/>
        </w:rPr>
        <w:t>Province</w:t>
      </w:r>
      <w:r>
        <w:rPr>
          <w:color w:val="137D87"/>
          <w:spacing w:val="-22"/>
        </w:rPr>
        <w:t xml:space="preserve"> </w:t>
      </w:r>
      <w:r>
        <w:rPr>
          <w:color w:val="137D87"/>
          <w:spacing w:val="-4"/>
        </w:rPr>
        <w:t>Semester</w:t>
      </w:r>
      <w:r>
        <w:rPr>
          <w:color w:val="137D87"/>
          <w:spacing w:val="-23"/>
        </w:rPr>
        <w:t xml:space="preserve"> </w:t>
      </w:r>
      <w:r>
        <w:rPr>
          <w:color w:val="137D87"/>
          <w:spacing w:val="-4"/>
        </w:rPr>
        <w:t>Report</w:t>
      </w:r>
    </w:p>
    <w:p w14:paraId="0218A833" w14:textId="77777777" w:rsidR="00BC24A8" w:rsidRDefault="00000000">
      <w:pPr>
        <w:pStyle w:val="BodyText"/>
        <w:spacing w:before="20"/>
        <w:ind w:left="143"/>
      </w:pPr>
      <w:r>
        <w:rPr>
          <w:spacing w:val="-2"/>
        </w:rPr>
        <w:t>(January-June</w:t>
      </w:r>
      <w:r>
        <w:rPr>
          <w:spacing w:val="9"/>
        </w:rPr>
        <w:t xml:space="preserve"> </w:t>
      </w:r>
      <w:r>
        <w:rPr>
          <w:spacing w:val="-4"/>
        </w:rPr>
        <w:t>2025)</w:t>
      </w:r>
    </w:p>
    <w:p w14:paraId="06F95CB6" w14:textId="77777777" w:rsidR="00BC24A8" w:rsidRDefault="00BC24A8">
      <w:pPr>
        <w:pStyle w:val="BodyText"/>
        <w:spacing w:before="125"/>
      </w:pPr>
    </w:p>
    <w:p w14:paraId="27665DBB" w14:textId="77777777" w:rsidR="00BC24A8" w:rsidRDefault="00000000">
      <w:pPr>
        <w:ind w:left="503"/>
        <w:rPr>
          <w:i/>
        </w:rPr>
      </w:pPr>
      <w:bookmarkStart w:id="147" w:name="Context_of_Gorontalo_Province"/>
      <w:bookmarkEnd w:id="147"/>
      <w:r>
        <w:rPr>
          <w:i/>
          <w:color w:val="1F3762"/>
        </w:rPr>
        <w:t>Context</w:t>
      </w:r>
      <w:r>
        <w:rPr>
          <w:i/>
          <w:color w:val="1F3762"/>
          <w:spacing w:val="-13"/>
        </w:rPr>
        <w:t xml:space="preserve"> </w:t>
      </w:r>
      <w:r>
        <w:rPr>
          <w:i/>
          <w:color w:val="1F3762"/>
        </w:rPr>
        <w:t>of</w:t>
      </w:r>
      <w:r>
        <w:rPr>
          <w:i/>
          <w:color w:val="1F3762"/>
          <w:spacing w:val="-8"/>
        </w:rPr>
        <w:t xml:space="preserve"> </w:t>
      </w:r>
      <w:r>
        <w:rPr>
          <w:i/>
          <w:color w:val="1F3762"/>
        </w:rPr>
        <w:t>Gorontalo</w:t>
      </w:r>
      <w:r>
        <w:rPr>
          <w:i/>
          <w:color w:val="1F3762"/>
          <w:spacing w:val="-6"/>
        </w:rPr>
        <w:t xml:space="preserve"> </w:t>
      </w:r>
      <w:r>
        <w:rPr>
          <w:i/>
          <w:color w:val="1F3762"/>
          <w:spacing w:val="-2"/>
        </w:rPr>
        <w:t>Province</w:t>
      </w:r>
    </w:p>
    <w:p w14:paraId="1D268E77" w14:textId="77777777" w:rsidR="00BC24A8" w:rsidRDefault="00BC24A8">
      <w:pPr>
        <w:pStyle w:val="BodyText"/>
        <w:spacing w:before="12"/>
        <w:rPr>
          <w:i/>
        </w:rPr>
      </w:pPr>
    </w:p>
    <w:p w14:paraId="6B343705" w14:textId="77777777" w:rsidR="00BC24A8" w:rsidRDefault="00000000">
      <w:pPr>
        <w:ind w:left="143"/>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5"/>
        </w:rPr>
        <w:t xml:space="preserve"> </w:t>
      </w:r>
      <w:r>
        <w:rPr>
          <w:rFonts w:ascii="Calibri"/>
          <w:i/>
          <w:color w:val="272727"/>
        </w:rPr>
        <w:t>basic</w:t>
      </w:r>
      <w:r>
        <w:rPr>
          <w:rFonts w:ascii="Calibri"/>
          <w:i/>
          <w:color w:val="272727"/>
          <w:spacing w:val="-5"/>
        </w:rPr>
        <w:t xml:space="preserve"> </w:t>
      </w:r>
      <w:r>
        <w:rPr>
          <w:rFonts w:ascii="Calibri"/>
          <w:i/>
          <w:color w:val="272727"/>
        </w:rPr>
        <w:t>services,</w:t>
      </w:r>
      <w:r>
        <w:rPr>
          <w:rFonts w:ascii="Calibri"/>
          <w:i/>
          <w:color w:val="272727"/>
          <w:spacing w:val="-7"/>
        </w:rPr>
        <w:t xml:space="preserve"> </w:t>
      </w:r>
      <w:r>
        <w:rPr>
          <w:rFonts w:ascii="Calibri"/>
          <w:i/>
          <w:color w:val="272727"/>
        </w:rPr>
        <w:t>vulnerable</w:t>
      </w:r>
      <w:r>
        <w:rPr>
          <w:rFonts w:ascii="Calibri"/>
          <w:i/>
          <w:color w:val="272727"/>
          <w:spacing w:val="-4"/>
        </w:rPr>
        <w:t xml:space="preserve"> </w:t>
      </w:r>
      <w:r>
        <w:rPr>
          <w:rFonts w:ascii="Calibri"/>
          <w:i/>
          <w:color w:val="272727"/>
        </w:rPr>
        <w:t>groups,</w:t>
      </w:r>
      <w:r>
        <w:rPr>
          <w:rFonts w:ascii="Calibri"/>
          <w:i/>
          <w:color w:val="272727"/>
          <w:spacing w:val="-5"/>
        </w:rPr>
        <w:t xml:space="preserve"> </w:t>
      </w:r>
      <w:r>
        <w:rPr>
          <w:rFonts w:ascii="Calibri"/>
          <w:i/>
          <w:color w:val="272727"/>
        </w:rPr>
        <w:t>and</w:t>
      </w:r>
      <w:r>
        <w:rPr>
          <w:rFonts w:ascii="Calibri"/>
          <w:i/>
          <w:color w:val="272727"/>
          <w:spacing w:val="-6"/>
        </w:rPr>
        <w:t xml:space="preserve"> </w:t>
      </w:r>
      <w:r>
        <w:rPr>
          <w:rFonts w:ascii="Calibri"/>
          <w:i/>
          <w:color w:val="272727"/>
        </w:rPr>
        <w:t>fiscal</w:t>
      </w:r>
      <w:r>
        <w:rPr>
          <w:rFonts w:ascii="Calibri"/>
          <w:i/>
          <w:color w:val="272727"/>
          <w:spacing w:val="-5"/>
        </w:rPr>
        <w:t xml:space="preserve"> </w:t>
      </w:r>
      <w:r>
        <w:rPr>
          <w:rFonts w:ascii="Calibri"/>
          <w:i/>
          <w:color w:val="272727"/>
          <w:spacing w:val="-2"/>
        </w:rPr>
        <w:t>capacity</w:t>
      </w:r>
    </w:p>
    <w:p w14:paraId="4D2F9D76" w14:textId="77777777" w:rsidR="00BC24A8" w:rsidRDefault="00BC24A8">
      <w:pPr>
        <w:pStyle w:val="BodyText"/>
        <w:spacing w:before="22"/>
        <w:rPr>
          <w:rFonts w:ascii="Calibri"/>
          <w:i/>
        </w:rPr>
      </w:pPr>
    </w:p>
    <w:p w14:paraId="36B8839F" w14:textId="77777777" w:rsidR="00BC24A8" w:rsidRDefault="00000000">
      <w:pPr>
        <w:pStyle w:val="Heading5"/>
      </w:pPr>
      <w:r>
        <w:rPr>
          <w:color w:val="767070"/>
          <w:spacing w:val="-2"/>
        </w:rPr>
        <w:t>Key</w:t>
      </w:r>
      <w:r>
        <w:rPr>
          <w:color w:val="767070"/>
          <w:spacing w:val="4"/>
        </w:rPr>
        <w:t xml:space="preserve"> </w:t>
      </w:r>
      <w:r>
        <w:rPr>
          <w:color w:val="767070"/>
          <w:spacing w:val="-2"/>
        </w:rPr>
        <w:t>development</w:t>
      </w:r>
      <w:r>
        <w:rPr>
          <w:color w:val="767070"/>
          <w:spacing w:val="4"/>
        </w:rPr>
        <w:t xml:space="preserve"> </w:t>
      </w:r>
      <w:r>
        <w:rPr>
          <w:color w:val="767070"/>
          <w:spacing w:val="-2"/>
        </w:rPr>
        <w:t>outcome</w:t>
      </w:r>
      <w:r>
        <w:rPr>
          <w:color w:val="767070"/>
        </w:rPr>
        <w:t xml:space="preserve"> </w:t>
      </w:r>
      <w:r>
        <w:rPr>
          <w:color w:val="767070"/>
          <w:spacing w:val="-2"/>
        </w:rPr>
        <w:t>indicators</w:t>
      </w:r>
      <w:r>
        <w:rPr>
          <w:color w:val="767070"/>
          <w:spacing w:val="2"/>
        </w:rPr>
        <w:t xml:space="preserve"> </w:t>
      </w:r>
      <w:r>
        <w:rPr>
          <w:color w:val="767070"/>
          <w:spacing w:val="-4"/>
        </w:rPr>
        <w:t>data</w:t>
      </w:r>
    </w:p>
    <w:p w14:paraId="5F9E36BD" w14:textId="77777777" w:rsidR="00BC24A8" w:rsidRDefault="00BC24A8">
      <w:pPr>
        <w:pStyle w:val="BodyText"/>
        <w:spacing w:before="1"/>
        <w:rPr>
          <w:rFonts w:ascii="Calibri"/>
          <w:b/>
          <w:sz w:val="13"/>
        </w:rPr>
      </w:pPr>
    </w:p>
    <w:tbl>
      <w:tblPr>
        <w:tblW w:w="0" w:type="auto"/>
        <w:tblInd w:w="143" w:type="dxa"/>
        <w:tblLayout w:type="fixed"/>
        <w:tblCellMar>
          <w:left w:w="0" w:type="dxa"/>
          <w:right w:w="0" w:type="dxa"/>
        </w:tblCellMar>
        <w:tblLook w:val="01E0" w:firstRow="1" w:lastRow="1" w:firstColumn="1" w:lastColumn="1" w:noHBand="0" w:noVBand="0"/>
      </w:tblPr>
      <w:tblGrid>
        <w:gridCol w:w="3787"/>
        <w:gridCol w:w="5220"/>
      </w:tblGrid>
      <w:tr w:rsidR="00BC24A8" w14:paraId="3AA4ED19" w14:textId="77777777">
        <w:trPr>
          <w:trHeight w:val="364"/>
        </w:trPr>
        <w:tc>
          <w:tcPr>
            <w:tcW w:w="3787" w:type="dxa"/>
            <w:tcBorders>
              <w:top w:val="single" w:sz="4" w:space="0" w:color="7E7E7E"/>
              <w:right w:val="single" w:sz="18" w:space="0" w:color="FFFFFF"/>
            </w:tcBorders>
            <w:shd w:val="clear" w:color="auto" w:fill="17365A"/>
          </w:tcPr>
          <w:p w14:paraId="53A6D18B" w14:textId="77777777" w:rsidR="00BC24A8" w:rsidRDefault="00000000">
            <w:pPr>
              <w:pStyle w:val="TableParagraph"/>
              <w:spacing w:before="61"/>
              <w:ind w:left="115"/>
              <w:rPr>
                <w:rFonts w:ascii="Calibri"/>
                <w:b/>
                <w:sz w:val="20"/>
              </w:rPr>
            </w:pPr>
            <w:r>
              <w:rPr>
                <w:rFonts w:ascii="Calibri"/>
                <w:b/>
                <w:color w:val="FFFFFF"/>
                <w:sz w:val="20"/>
              </w:rPr>
              <w:t>Key</w:t>
            </w:r>
            <w:r>
              <w:rPr>
                <w:rFonts w:ascii="Calibri"/>
                <w:b/>
                <w:color w:val="FFFFFF"/>
                <w:spacing w:val="-8"/>
                <w:sz w:val="20"/>
              </w:rPr>
              <w:t xml:space="preserve"> </w:t>
            </w:r>
            <w:r>
              <w:rPr>
                <w:rFonts w:ascii="Calibri"/>
                <w:b/>
                <w:color w:val="FFFFFF"/>
                <w:sz w:val="20"/>
              </w:rPr>
              <w:t>development</w:t>
            </w:r>
            <w:r>
              <w:rPr>
                <w:rFonts w:ascii="Calibri"/>
                <w:b/>
                <w:color w:val="FFFFFF"/>
                <w:spacing w:val="-7"/>
                <w:sz w:val="20"/>
              </w:rPr>
              <w:t xml:space="preserve"> </w:t>
            </w:r>
            <w:r>
              <w:rPr>
                <w:rFonts w:ascii="Calibri"/>
                <w:b/>
                <w:color w:val="FFFFFF"/>
                <w:spacing w:val="-2"/>
                <w:sz w:val="20"/>
              </w:rPr>
              <w:t>indicators</w:t>
            </w:r>
          </w:p>
        </w:tc>
        <w:tc>
          <w:tcPr>
            <w:tcW w:w="5220" w:type="dxa"/>
            <w:tcBorders>
              <w:top w:val="single" w:sz="4" w:space="0" w:color="7E7E7E"/>
              <w:left w:val="single" w:sz="18" w:space="0" w:color="FFFFFF"/>
            </w:tcBorders>
            <w:shd w:val="clear" w:color="auto" w:fill="17365A"/>
          </w:tcPr>
          <w:p w14:paraId="41C19604" w14:textId="77777777" w:rsidR="00BC24A8" w:rsidRDefault="00000000">
            <w:pPr>
              <w:pStyle w:val="TableParagraph"/>
              <w:spacing w:before="61"/>
              <w:ind w:left="85"/>
              <w:rPr>
                <w:rFonts w:ascii="Calibri"/>
                <w:b/>
                <w:sz w:val="20"/>
              </w:rPr>
            </w:pPr>
            <w:r>
              <w:rPr>
                <w:rFonts w:ascii="Calibri"/>
                <w:b/>
                <w:color w:val="FFFFFF"/>
                <w:spacing w:val="-4"/>
                <w:sz w:val="20"/>
              </w:rPr>
              <w:t>2024</w:t>
            </w:r>
          </w:p>
        </w:tc>
      </w:tr>
      <w:tr w:rsidR="00BC24A8" w14:paraId="7EDDC8AD" w14:textId="77777777">
        <w:trPr>
          <w:trHeight w:val="825"/>
        </w:trPr>
        <w:tc>
          <w:tcPr>
            <w:tcW w:w="3787" w:type="dxa"/>
            <w:tcBorders>
              <w:bottom w:val="single" w:sz="4" w:space="0" w:color="BEBEBE"/>
            </w:tcBorders>
          </w:tcPr>
          <w:p w14:paraId="6428A329" w14:textId="77777777" w:rsidR="00BC24A8" w:rsidRDefault="00000000">
            <w:pPr>
              <w:pStyle w:val="TableParagraph"/>
              <w:spacing w:before="107"/>
              <w:ind w:left="115"/>
              <w:rPr>
                <w:sz w:val="18"/>
              </w:rPr>
            </w:pPr>
            <w:r>
              <w:rPr>
                <w:sz w:val="18"/>
              </w:rPr>
              <w:t>Enrollment</w:t>
            </w:r>
            <w:r>
              <w:rPr>
                <w:spacing w:val="-3"/>
                <w:sz w:val="18"/>
              </w:rPr>
              <w:t xml:space="preserve"> </w:t>
            </w:r>
            <w:r>
              <w:rPr>
                <w:spacing w:val="-2"/>
                <w:sz w:val="18"/>
              </w:rPr>
              <w:t>rates</w:t>
            </w:r>
          </w:p>
        </w:tc>
        <w:tc>
          <w:tcPr>
            <w:tcW w:w="5220" w:type="dxa"/>
            <w:tcBorders>
              <w:bottom w:val="single" w:sz="4" w:space="0" w:color="BEBEBE"/>
            </w:tcBorders>
          </w:tcPr>
          <w:p w14:paraId="060835E3" w14:textId="77777777" w:rsidR="00BC24A8" w:rsidRDefault="00000000">
            <w:pPr>
              <w:pStyle w:val="TableParagraph"/>
              <w:numPr>
                <w:ilvl w:val="0"/>
                <w:numId w:val="127"/>
              </w:numPr>
              <w:tabs>
                <w:tab w:val="left" w:pos="439"/>
              </w:tabs>
              <w:spacing w:before="107" w:line="219" w:lineRule="exact"/>
              <w:rPr>
                <w:sz w:val="18"/>
              </w:rPr>
            </w:pPr>
            <w:r>
              <w:rPr>
                <w:sz w:val="18"/>
              </w:rPr>
              <w:t>SD</w:t>
            </w:r>
            <w:r>
              <w:rPr>
                <w:spacing w:val="1"/>
                <w:sz w:val="18"/>
              </w:rPr>
              <w:t xml:space="preserve"> </w:t>
            </w:r>
            <w:r>
              <w:rPr>
                <w:spacing w:val="-2"/>
                <w:sz w:val="18"/>
              </w:rPr>
              <w:t>(98.69%)</w:t>
            </w:r>
          </w:p>
          <w:p w14:paraId="0407FEB7" w14:textId="77777777" w:rsidR="00BC24A8" w:rsidRDefault="00000000">
            <w:pPr>
              <w:pStyle w:val="TableParagraph"/>
              <w:numPr>
                <w:ilvl w:val="0"/>
                <w:numId w:val="127"/>
              </w:numPr>
              <w:tabs>
                <w:tab w:val="left" w:pos="439"/>
              </w:tabs>
              <w:spacing w:line="219" w:lineRule="exact"/>
              <w:rPr>
                <w:sz w:val="18"/>
              </w:rPr>
            </w:pPr>
            <w:r>
              <w:rPr>
                <w:sz w:val="18"/>
              </w:rPr>
              <w:t>SMP</w:t>
            </w:r>
            <w:r>
              <w:rPr>
                <w:spacing w:val="-4"/>
                <w:sz w:val="18"/>
              </w:rPr>
              <w:t xml:space="preserve"> </w:t>
            </w:r>
            <w:r>
              <w:rPr>
                <w:spacing w:val="-2"/>
                <w:sz w:val="18"/>
              </w:rPr>
              <w:t>(91.85%)</w:t>
            </w:r>
          </w:p>
          <w:p w14:paraId="41C35D44" w14:textId="77777777" w:rsidR="00BC24A8" w:rsidRDefault="00000000">
            <w:pPr>
              <w:pStyle w:val="TableParagraph"/>
              <w:numPr>
                <w:ilvl w:val="0"/>
                <w:numId w:val="127"/>
              </w:numPr>
              <w:tabs>
                <w:tab w:val="left" w:pos="439"/>
              </w:tabs>
              <w:spacing w:before="1"/>
              <w:rPr>
                <w:sz w:val="18"/>
              </w:rPr>
            </w:pPr>
            <w:r>
              <w:rPr>
                <w:sz w:val="18"/>
              </w:rPr>
              <w:t>SMA</w:t>
            </w:r>
            <w:r>
              <w:rPr>
                <w:spacing w:val="-2"/>
                <w:sz w:val="18"/>
              </w:rPr>
              <w:t xml:space="preserve"> (71.70%)</w:t>
            </w:r>
          </w:p>
        </w:tc>
      </w:tr>
      <w:tr w:rsidR="00BC24A8" w14:paraId="1F2167C9" w14:textId="77777777">
        <w:trPr>
          <w:trHeight w:val="277"/>
        </w:trPr>
        <w:tc>
          <w:tcPr>
            <w:tcW w:w="3787" w:type="dxa"/>
            <w:tcBorders>
              <w:top w:val="single" w:sz="4" w:space="0" w:color="BEBEBE"/>
              <w:bottom w:val="single" w:sz="4" w:space="0" w:color="BEBEBE"/>
            </w:tcBorders>
          </w:tcPr>
          <w:p w14:paraId="1D687FEC" w14:textId="77777777" w:rsidR="00BC24A8" w:rsidRDefault="00000000">
            <w:pPr>
              <w:pStyle w:val="TableParagraph"/>
              <w:spacing w:before="59" w:line="199" w:lineRule="exact"/>
              <w:ind w:left="115"/>
              <w:rPr>
                <w:sz w:val="18"/>
              </w:rPr>
            </w:pPr>
            <w:r>
              <w:rPr>
                <w:sz w:val="18"/>
              </w:rPr>
              <w:t>Infant</w:t>
            </w:r>
            <w:r>
              <w:rPr>
                <w:spacing w:val="-5"/>
                <w:sz w:val="18"/>
              </w:rPr>
              <w:t xml:space="preserve"> </w:t>
            </w:r>
            <w:r>
              <w:rPr>
                <w:sz w:val="18"/>
              </w:rPr>
              <w:t>mortality</w:t>
            </w:r>
            <w:r>
              <w:rPr>
                <w:spacing w:val="-2"/>
                <w:sz w:val="18"/>
              </w:rPr>
              <w:t xml:space="preserve"> </w:t>
            </w:r>
            <w:r>
              <w:rPr>
                <w:spacing w:val="-4"/>
                <w:sz w:val="18"/>
              </w:rPr>
              <w:t>rate</w:t>
            </w:r>
          </w:p>
        </w:tc>
        <w:tc>
          <w:tcPr>
            <w:tcW w:w="5220" w:type="dxa"/>
            <w:tcBorders>
              <w:top w:val="single" w:sz="4" w:space="0" w:color="BEBEBE"/>
              <w:bottom w:val="single" w:sz="4" w:space="0" w:color="BEBEBE"/>
            </w:tcBorders>
          </w:tcPr>
          <w:p w14:paraId="4D0049F0" w14:textId="77777777" w:rsidR="00BC24A8" w:rsidRDefault="00000000">
            <w:pPr>
              <w:pStyle w:val="TableParagraph"/>
              <w:spacing w:before="1"/>
              <w:ind w:left="108"/>
              <w:rPr>
                <w:sz w:val="18"/>
              </w:rPr>
            </w:pPr>
            <w:r>
              <w:rPr>
                <w:sz w:val="18"/>
              </w:rPr>
              <w:t>25.67</w:t>
            </w:r>
            <w:r>
              <w:rPr>
                <w:spacing w:val="-1"/>
                <w:sz w:val="18"/>
              </w:rPr>
              <w:t xml:space="preserve"> </w:t>
            </w:r>
            <w:r>
              <w:rPr>
                <w:sz w:val="18"/>
              </w:rPr>
              <w:t>per</w:t>
            </w:r>
            <w:r>
              <w:rPr>
                <w:spacing w:val="-1"/>
                <w:sz w:val="18"/>
              </w:rPr>
              <w:t xml:space="preserve"> </w:t>
            </w:r>
            <w:r>
              <w:rPr>
                <w:sz w:val="18"/>
              </w:rPr>
              <w:t>1,000</w:t>
            </w:r>
            <w:r>
              <w:rPr>
                <w:spacing w:val="-1"/>
                <w:sz w:val="18"/>
              </w:rPr>
              <w:t xml:space="preserve"> </w:t>
            </w:r>
            <w:r>
              <w:rPr>
                <w:sz w:val="18"/>
              </w:rPr>
              <w:t>live</w:t>
            </w:r>
            <w:r>
              <w:rPr>
                <w:spacing w:val="-2"/>
                <w:sz w:val="18"/>
              </w:rPr>
              <w:t xml:space="preserve"> </w:t>
            </w:r>
            <w:r>
              <w:rPr>
                <w:sz w:val="18"/>
              </w:rPr>
              <w:t>births</w:t>
            </w:r>
            <w:r>
              <w:rPr>
                <w:spacing w:val="-1"/>
                <w:sz w:val="18"/>
              </w:rPr>
              <w:t xml:space="preserve"> </w:t>
            </w:r>
            <w:r>
              <w:rPr>
                <w:sz w:val="18"/>
              </w:rPr>
              <w:t>(DHO,</w:t>
            </w:r>
            <w:r>
              <w:rPr>
                <w:spacing w:val="-4"/>
                <w:sz w:val="18"/>
              </w:rPr>
              <w:t xml:space="preserve"> </w:t>
            </w:r>
            <w:r>
              <w:rPr>
                <w:spacing w:val="-2"/>
                <w:sz w:val="18"/>
              </w:rPr>
              <w:t>2023)</w:t>
            </w:r>
          </w:p>
        </w:tc>
      </w:tr>
      <w:tr w:rsidR="00BC24A8" w14:paraId="4674A1CB" w14:textId="77777777">
        <w:trPr>
          <w:trHeight w:val="280"/>
        </w:trPr>
        <w:tc>
          <w:tcPr>
            <w:tcW w:w="3787" w:type="dxa"/>
            <w:tcBorders>
              <w:top w:val="single" w:sz="4" w:space="0" w:color="BEBEBE"/>
              <w:bottom w:val="single" w:sz="4" w:space="0" w:color="BEBEBE"/>
            </w:tcBorders>
          </w:tcPr>
          <w:p w14:paraId="5F975D90" w14:textId="77777777" w:rsidR="00BC24A8" w:rsidRDefault="00000000">
            <w:pPr>
              <w:pStyle w:val="TableParagraph"/>
              <w:spacing w:before="61" w:line="199" w:lineRule="exact"/>
              <w:ind w:left="115"/>
              <w:rPr>
                <w:sz w:val="18"/>
              </w:rPr>
            </w:pPr>
            <w:r>
              <w:rPr>
                <w:sz w:val="18"/>
              </w:rPr>
              <w:t>Maternal</w:t>
            </w:r>
            <w:r>
              <w:rPr>
                <w:spacing w:val="-4"/>
                <w:sz w:val="18"/>
              </w:rPr>
              <w:t xml:space="preserve"> </w:t>
            </w:r>
            <w:r>
              <w:rPr>
                <w:sz w:val="18"/>
              </w:rPr>
              <w:t>mortality</w:t>
            </w:r>
            <w:r>
              <w:rPr>
                <w:spacing w:val="-3"/>
                <w:sz w:val="18"/>
              </w:rPr>
              <w:t xml:space="preserve"> </w:t>
            </w:r>
            <w:r>
              <w:rPr>
                <w:spacing w:val="-4"/>
                <w:sz w:val="18"/>
              </w:rPr>
              <w:t>rate</w:t>
            </w:r>
          </w:p>
        </w:tc>
        <w:tc>
          <w:tcPr>
            <w:tcW w:w="5220" w:type="dxa"/>
            <w:tcBorders>
              <w:top w:val="single" w:sz="4" w:space="0" w:color="BEBEBE"/>
              <w:bottom w:val="single" w:sz="4" w:space="0" w:color="BEBEBE"/>
            </w:tcBorders>
          </w:tcPr>
          <w:p w14:paraId="4CED4B75" w14:textId="77777777" w:rsidR="00BC24A8" w:rsidRDefault="00000000">
            <w:pPr>
              <w:pStyle w:val="TableParagraph"/>
              <w:spacing w:before="3"/>
              <w:ind w:left="108"/>
              <w:rPr>
                <w:sz w:val="18"/>
              </w:rPr>
            </w:pPr>
            <w:r>
              <w:rPr>
                <w:sz w:val="18"/>
              </w:rPr>
              <w:t>154.8</w:t>
            </w:r>
            <w:r>
              <w:rPr>
                <w:spacing w:val="-1"/>
                <w:sz w:val="18"/>
              </w:rPr>
              <w:t xml:space="preserve"> </w:t>
            </w:r>
            <w:r>
              <w:rPr>
                <w:sz w:val="18"/>
              </w:rPr>
              <w:t>per</w:t>
            </w:r>
            <w:r>
              <w:rPr>
                <w:spacing w:val="-1"/>
                <w:sz w:val="18"/>
              </w:rPr>
              <w:t xml:space="preserve"> </w:t>
            </w:r>
            <w:r>
              <w:rPr>
                <w:sz w:val="18"/>
              </w:rPr>
              <w:t>100,000</w:t>
            </w:r>
            <w:r>
              <w:rPr>
                <w:spacing w:val="-1"/>
                <w:sz w:val="18"/>
              </w:rPr>
              <w:t xml:space="preserve"> </w:t>
            </w:r>
            <w:r>
              <w:rPr>
                <w:sz w:val="18"/>
              </w:rPr>
              <w:t>live</w:t>
            </w:r>
            <w:r>
              <w:rPr>
                <w:spacing w:val="-1"/>
                <w:sz w:val="18"/>
              </w:rPr>
              <w:t xml:space="preserve"> </w:t>
            </w:r>
            <w:r>
              <w:rPr>
                <w:spacing w:val="-2"/>
                <w:sz w:val="18"/>
              </w:rPr>
              <w:t>births</w:t>
            </w:r>
          </w:p>
        </w:tc>
      </w:tr>
      <w:tr w:rsidR="00BC24A8" w14:paraId="03D3038A" w14:textId="77777777">
        <w:trPr>
          <w:trHeight w:val="280"/>
        </w:trPr>
        <w:tc>
          <w:tcPr>
            <w:tcW w:w="3787" w:type="dxa"/>
            <w:tcBorders>
              <w:top w:val="single" w:sz="4" w:space="0" w:color="BEBEBE"/>
              <w:bottom w:val="single" w:sz="4" w:space="0" w:color="BEBEBE"/>
            </w:tcBorders>
          </w:tcPr>
          <w:p w14:paraId="036FBDDE" w14:textId="77777777" w:rsidR="00BC24A8" w:rsidRDefault="00000000">
            <w:pPr>
              <w:pStyle w:val="TableParagraph"/>
              <w:spacing w:before="61" w:line="199" w:lineRule="exact"/>
              <w:ind w:left="115"/>
              <w:rPr>
                <w:sz w:val="18"/>
              </w:rPr>
            </w:pPr>
            <w:r>
              <w:rPr>
                <w:sz w:val="18"/>
              </w:rPr>
              <w:t>Stunting</w:t>
            </w:r>
            <w:r>
              <w:rPr>
                <w:spacing w:val="-2"/>
                <w:sz w:val="18"/>
              </w:rPr>
              <w:t xml:space="preserve"> prevalence</w:t>
            </w:r>
          </w:p>
        </w:tc>
        <w:tc>
          <w:tcPr>
            <w:tcW w:w="5220" w:type="dxa"/>
            <w:tcBorders>
              <w:top w:val="single" w:sz="4" w:space="0" w:color="BEBEBE"/>
              <w:bottom w:val="single" w:sz="4" w:space="0" w:color="BEBEBE"/>
            </w:tcBorders>
          </w:tcPr>
          <w:p w14:paraId="70D3AE4F" w14:textId="77777777" w:rsidR="00BC24A8" w:rsidRDefault="00000000">
            <w:pPr>
              <w:pStyle w:val="TableParagraph"/>
              <w:spacing w:before="1"/>
              <w:ind w:left="108"/>
              <w:rPr>
                <w:sz w:val="18"/>
              </w:rPr>
            </w:pPr>
            <w:r>
              <w:rPr>
                <w:sz w:val="18"/>
              </w:rPr>
              <w:t>37.9%</w:t>
            </w:r>
            <w:r>
              <w:rPr>
                <w:spacing w:val="-3"/>
                <w:sz w:val="18"/>
              </w:rPr>
              <w:t xml:space="preserve"> </w:t>
            </w:r>
            <w:r>
              <w:rPr>
                <w:sz w:val="18"/>
              </w:rPr>
              <w:t>(Indonesia</w:t>
            </w:r>
            <w:r>
              <w:rPr>
                <w:spacing w:val="-3"/>
                <w:sz w:val="18"/>
              </w:rPr>
              <w:t xml:space="preserve"> </w:t>
            </w:r>
            <w:r>
              <w:rPr>
                <w:sz w:val="18"/>
              </w:rPr>
              <w:t>Health</w:t>
            </w:r>
            <w:r>
              <w:rPr>
                <w:spacing w:val="-3"/>
                <w:sz w:val="18"/>
              </w:rPr>
              <w:t xml:space="preserve"> </w:t>
            </w:r>
            <w:r>
              <w:rPr>
                <w:sz w:val="18"/>
              </w:rPr>
              <w:t>Survey,</w:t>
            </w:r>
            <w:r>
              <w:rPr>
                <w:spacing w:val="-3"/>
                <w:sz w:val="18"/>
              </w:rPr>
              <w:t xml:space="preserve"> </w:t>
            </w:r>
            <w:r>
              <w:rPr>
                <w:spacing w:val="-2"/>
                <w:sz w:val="18"/>
              </w:rPr>
              <w:t>2023)</w:t>
            </w:r>
          </w:p>
        </w:tc>
      </w:tr>
      <w:tr w:rsidR="00BC24A8" w14:paraId="020F9E8D" w14:textId="77777777">
        <w:trPr>
          <w:trHeight w:val="277"/>
        </w:trPr>
        <w:tc>
          <w:tcPr>
            <w:tcW w:w="3787" w:type="dxa"/>
            <w:tcBorders>
              <w:top w:val="single" w:sz="4" w:space="0" w:color="BEBEBE"/>
              <w:bottom w:val="single" w:sz="4" w:space="0" w:color="BEBEBE"/>
            </w:tcBorders>
          </w:tcPr>
          <w:p w14:paraId="513B7BE8" w14:textId="77777777" w:rsidR="00BC24A8" w:rsidRDefault="00000000">
            <w:pPr>
              <w:pStyle w:val="TableParagraph"/>
              <w:spacing w:before="59" w:line="199" w:lineRule="exact"/>
              <w:ind w:left="115"/>
              <w:rPr>
                <w:sz w:val="18"/>
              </w:rPr>
            </w:pPr>
            <w:r>
              <w:rPr>
                <w:sz w:val="18"/>
              </w:rPr>
              <w:t>Poverty</w:t>
            </w:r>
            <w:r>
              <w:rPr>
                <w:spacing w:val="-4"/>
                <w:sz w:val="18"/>
              </w:rPr>
              <w:t xml:space="preserve"> rate</w:t>
            </w:r>
          </w:p>
        </w:tc>
        <w:tc>
          <w:tcPr>
            <w:tcW w:w="5220" w:type="dxa"/>
            <w:tcBorders>
              <w:top w:val="single" w:sz="4" w:space="0" w:color="BEBEBE"/>
              <w:bottom w:val="single" w:sz="4" w:space="0" w:color="BEBEBE"/>
            </w:tcBorders>
          </w:tcPr>
          <w:p w14:paraId="720D44A7" w14:textId="77777777" w:rsidR="00BC24A8" w:rsidRDefault="00000000">
            <w:pPr>
              <w:pStyle w:val="TableParagraph"/>
              <w:spacing w:before="1"/>
              <w:ind w:left="108"/>
              <w:rPr>
                <w:sz w:val="18"/>
              </w:rPr>
            </w:pPr>
            <w:r>
              <w:rPr>
                <w:sz w:val="18"/>
              </w:rPr>
              <w:t>19,48%</w:t>
            </w:r>
            <w:r>
              <w:rPr>
                <w:spacing w:val="-3"/>
                <w:sz w:val="18"/>
              </w:rPr>
              <w:t xml:space="preserve"> </w:t>
            </w:r>
            <w:r>
              <w:rPr>
                <w:sz w:val="18"/>
              </w:rPr>
              <w:t>(BPS,</w:t>
            </w:r>
            <w:r>
              <w:rPr>
                <w:spacing w:val="-2"/>
                <w:sz w:val="18"/>
              </w:rPr>
              <w:t xml:space="preserve"> </w:t>
            </w:r>
            <w:r>
              <w:rPr>
                <w:spacing w:val="-4"/>
                <w:sz w:val="18"/>
              </w:rPr>
              <w:t>2024)</w:t>
            </w:r>
          </w:p>
        </w:tc>
      </w:tr>
      <w:tr w:rsidR="00BC24A8" w14:paraId="33DF2E34" w14:textId="77777777">
        <w:trPr>
          <w:trHeight w:val="280"/>
        </w:trPr>
        <w:tc>
          <w:tcPr>
            <w:tcW w:w="3787" w:type="dxa"/>
            <w:tcBorders>
              <w:top w:val="single" w:sz="4" w:space="0" w:color="BEBEBE"/>
              <w:bottom w:val="single" w:sz="4" w:space="0" w:color="BEBEBE"/>
            </w:tcBorders>
          </w:tcPr>
          <w:p w14:paraId="2C423FA5" w14:textId="77777777" w:rsidR="00BC24A8" w:rsidRDefault="00000000">
            <w:pPr>
              <w:pStyle w:val="TableParagraph"/>
              <w:spacing w:before="61" w:line="199" w:lineRule="exact"/>
              <w:ind w:left="115"/>
              <w:rPr>
                <w:sz w:val="18"/>
              </w:rPr>
            </w:pPr>
            <w:r>
              <w:rPr>
                <w:sz w:val="18"/>
              </w:rPr>
              <w:t>Open</w:t>
            </w:r>
            <w:r>
              <w:rPr>
                <w:spacing w:val="-6"/>
                <w:sz w:val="18"/>
              </w:rPr>
              <w:t xml:space="preserve"> </w:t>
            </w:r>
            <w:r>
              <w:rPr>
                <w:sz w:val="18"/>
              </w:rPr>
              <w:t>unemployment</w:t>
            </w:r>
            <w:r>
              <w:rPr>
                <w:spacing w:val="-2"/>
                <w:sz w:val="18"/>
              </w:rPr>
              <w:t xml:space="preserve"> </w:t>
            </w:r>
            <w:r>
              <w:rPr>
                <w:spacing w:val="-4"/>
                <w:sz w:val="18"/>
              </w:rPr>
              <w:t>rate</w:t>
            </w:r>
          </w:p>
        </w:tc>
        <w:tc>
          <w:tcPr>
            <w:tcW w:w="5220" w:type="dxa"/>
            <w:tcBorders>
              <w:top w:val="single" w:sz="4" w:space="0" w:color="BEBEBE"/>
              <w:bottom w:val="single" w:sz="4" w:space="0" w:color="BEBEBE"/>
            </w:tcBorders>
          </w:tcPr>
          <w:p w14:paraId="04906E2C" w14:textId="77777777" w:rsidR="00BC24A8" w:rsidRDefault="00000000">
            <w:pPr>
              <w:pStyle w:val="TableParagraph"/>
              <w:spacing w:before="3"/>
              <w:ind w:left="108"/>
              <w:rPr>
                <w:sz w:val="18"/>
              </w:rPr>
            </w:pPr>
            <w:r>
              <w:rPr>
                <w:sz w:val="18"/>
              </w:rPr>
              <w:t>3.17%</w:t>
            </w:r>
            <w:r>
              <w:rPr>
                <w:spacing w:val="-3"/>
                <w:sz w:val="18"/>
              </w:rPr>
              <w:t xml:space="preserve"> </w:t>
            </w:r>
            <w:r>
              <w:rPr>
                <w:sz w:val="18"/>
              </w:rPr>
              <w:t>(BPS,</w:t>
            </w:r>
            <w:r>
              <w:rPr>
                <w:spacing w:val="-2"/>
                <w:sz w:val="18"/>
              </w:rPr>
              <w:t xml:space="preserve"> 2024)</w:t>
            </w:r>
          </w:p>
        </w:tc>
      </w:tr>
      <w:tr w:rsidR="00BC24A8" w14:paraId="71532ECB" w14:textId="77777777">
        <w:trPr>
          <w:trHeight w:val="280"/>
        </w:trPr>
        <w:tc>
          <w:tcPr>
            <w:tcW w:w="3787" w:type="dxa"/>
            <w:tcBorders>
              <w:top w:val="single" w:sz="4" w:space="0" w:color="BEBEBE"/>
              <w:bottom w:val="single" w:sz="4" w:space="0" w:color="BEBEBE"/>
            </w:tcBorders>
          </w:tcPr>
          <w:p w14:paraId="13FC5EC7" w14:textId="77777777" w:rsidR="00BC24A8" w:rsidRDefault="00000000">
            <w:pPr>
              <w:pStyle w:val="TableParagraph"/>
              <w:spacing w:before="61" w:line="199" w:lineRule="exact"/>
              <w:ind w:left="115"/>
              <w:rPr>
                <w:sz w:val="18"/>
              </w:rPr>
            </w:pPr>
            <w:r>
              <w:rPr>
                <w:sz w:val="18"/>
              </w:rPr>
              <w:t>Gini-</w:t>
            </w:r>
            <w:r>
              <w:rPr>
                <w:spacing w:val="-2"/>
                <w:sz w:val="18"/>
              </w:rPr>
              <w:t>Coefficient</w:t>
            </w:r>
          </w:p>
        </w:tc>
        <w:tc>
          <w:tcPr>
            <w:tcW w:w="5220" w:type="dxa"/>
            <w:tcBorders>
              <w:top w:val="single" w:sz="4" w:space="0" w:color="BEBEBE"/>
              <w:bottom w:val="single" w:sz="4" w:space="0" w:color="BEBEBE"/>
            </w:tcBorders>
          </w:tcPr>
          <w:p w14:paraId="53CCC29F" w14:textId="77777777" w:rsidR="00BC24A8" w:rsidRDefault="00000000">
            <w:pPr>
              <w:pStyle w:val="TableParagraph"/>
              <w:spacing w:before="1"/>
              <w:ind w:left="108"/>
              <w:rPr>
                <w:sz w:val="18"/>
              </w:rPr>
            </w:pPr>
            <w:r>
              <w:rPr>
                <w:sz w:val="18"/>
              </w:rPr>
              <w:t>0.316</w:t>
            </w:r>
            <w:r>
              <w:rPr>
                <w:spacing w:val="-3"/>
                <w:sz w:val="18"/>
              </w:rPr>
              <w:t xml:space="preserve"> </w:t>
            </w:r>
            <w:r>
              <w:rPr>
                <w:sz w:val="18"/>
              </w:rPr>
              <w:t>(BPS,</w:t>
            </w:r>
            <w:r>
              <w:rPr>
                <w:spacing w:val="-2"/>
                <w:sz w:val="18"/>
              </w:rPr>
              <w:t xml:space="preserve"> 2024)</w:t>
            </w:r>
          </w:p>
        </w:tc>
      </w:tr>
      <w:tr w:rsidR="00BC24A8" w14:paraId="1C4F24D1" w14:textId="77777777">
        <w:trPr>
          <w:trHeight w:val="280"/>
        </w:trPr>
        <w:tc>
          <w:tcPr>
            <w:tcW w:w="3787" w:type="dxa"/>
            <w:tcBorders>
              <w:top w:val="single" w:sz="4" w:space="0" w:color="BEBEBE"/>
              <w:bottom w:val="single" w:sz="4" w:space="0" w:color="BEBEBE"/>
            </w:tcBorders>
          </w:tcPr>
          <w:p w14:paraId="1F370434" w14:textId="77777777" w:rsidR="00BC24A8" w:rsidRDefault="00000000">
            <w:pPr>
              <w:pStyle w:val="TableParagraph"/>
              <w:spacing w:before="61" w:line="199" w:lineRule="exact"/>
              <w:ind w:left="115"/>
              <w:rPr>
                <w:sz w:val="18"/>
              </w:rPr>
            </w:pPr>
            <w:r>
              <w:rPr>
                <w:sz w:val="18"/>
              </w:rPr>
              <w:t>HDI</w:t>
            </w:r>
            <w:r>
              <w:rPr>
                <w:spacing w:val="-4"/>
                <w:sz w:val="18"/>
              </w:rPr>
              <w:t xml:space="preserve"> </w:t>
            </w:r>
            <w:r>
              <w:rPr>
                <w:sz w:val="18"/>
              </w:rPr>
              <w:t>(Human</w:t>
            </w:r>
            <w:r>
              <w:rPr>
                <w:spacing w:val="-2"/>
                <w:sz w:val="18"/>
              </w:rPr>
              <w:t xml:space="preserve"> </w:t>
            </w:r>
            <w:r>
              <w:rPr>
                <w:sz w:val="18"/>
              </w:rPr>
              <w:t>Development</w:t>
            </w:r>
            <w:r>
              <w:rPr>
                <w:spacing w:val="-1"/>
                <w:sz w:val="18"/>
              </w:rPr>
              <w:t xml:space="preserve"> </w:t>
            </w:r>
            <w:r>
              <w:rPr>
                <w:spacing w:val="-2"/>
                <w:sz w:val="18"/>
              </w:rPr>
              <w:t>Index)</w:t>
            </w:r>
          </w:p>
        </w:tc>
        <w:tc>
          <w:tcPr>
            <w:tcW w:w="5220" w:type="dxa"/>
            <w:tcBorders>
              <w:top w:val="single" w:sz="4" w:space="0" w:color="BEBEBE"/>
              <w:bottom w:val="single" w:sz="4" w:space="0" w:color="BEBEBE"/>
            </w:tcBorders>
          </w:tcPr>
          <w:p w14:paraId="1CA90C72" w14:textId="77777777" w:rsidR="00BC24A8" w:rsidRDefault="00000000">
            <w:pPr>
              <w:pStyle w:val="TableParagraph"/>
              <w:spacing w:before="1"/>
              <w:ind w:left="108"/>
              <w:rPr>
                <w:sz w:val="18"/>
              </w:rPr>
            </w:pPr>
            <w:r>
              <w:rPr>
                <w:sz w:val="18"/>
              </w:rPr>
              <w:t>72.98</w:t>
            </w:r>
            <w:r>
              <w:rPr>
                <w:spacing w:val="-3"/>
                <w:sz w:val="18"/>
              </w:rPr>
              <w:t xml:space="preserve"> </w:t>
            </w:r>
            <w:r>
              <w:rPr>
                <w:sz w:val="18"/>
              </w:rPr>
              <w:t>(BPS,</w:t>
            </w:r>
            <w:r>
              <w:rPr>
                <w:spacing w:val="-2"/>
                <w:sz w:val="18"/>
              </w:rPr>
              <w:t xml:space="preserve"> 2023)</w:t>
            </w:r>
          </w:p>
        </w:tc>
      </w:tr>
    </w:tbl>
    <w:p w14:paraId="234430A2" w14:textId="77777777" w:rsidR="00BC24A8" w:rsidRDefault="00000000">
      <w:pPr>
        <w:spacing w:before="123"/>
        <w:ind w:left="143"/>
        <w:rPr>
          <w:sz w:val="16"/>
        </w:rPr>
      </w:pPr>
      <w:r>
        <w:rPr>
          <w:sz w:val="16"/>
        </w:rPr>
        <w:t>Data</w:t>
      </w:r>
      <w:r>
        <w:rPr>
          <w:spacing w:val="-8"/>
          <w:sz w:val="16"/>
        </w:rPr>
        <w:t xml:space="preserve"> </w:t>
      </w:r>
      <w:r>
        <w:rPr>
          <w:sz w:val="16"/>
        </w:rPr>
        <w:t>source:</w:t>
      </w:r>
      <w:r>
        <w:rPr>
          <w:spacing w:val="-7"/>
          <w:sz w:val="16"/>
        </w:rPr>
        <w:t xml:space="preserve"> </w:t>
      </w:r>
      <w:r>
        <w:rPr>
          <w:sz w:val="16"/>
        </w:rPr>
        <w:t>Compiled</w:t>
      </w:r>
      <w:r>
        <w:rPr>
          <w:spacing w:val="-6"/>
          <w:sz w:val="16"/>
        </w:rPr>
        <w:t xml:space="preserve"> </w:t>
      </w:r>
      <w:r>
        <w:rPr>
          <w:sz w:val="16"/>
        </w:rPr>
        <w:t>from</w:t>
      </w:r>
      <w:r>
        <w:rPr>
          <w:spacing w:val="-8"/>
          <w:sz w:val="16"/>
        </w:rPr>
        <w:t xml:space="preserve"> </w:t>
      </w:r>
      <w:r>
        <w:rPr>
          <w:sz w:val="16"/>
        </w:rPr>
        <w:t>BPS</w:t>
      </w:r>
      <w:r>
        <w:rPr>
          <w:spacing w:val="-6"/>
          <w:sz w:val="16"/>
        </w:rPr>
        <w:t xml:space="preserve"> </w:t>
      </w:r>
      <w:r>
        <w:rPr>
          <w:sz w:val="16"/>
        </w:rPr>
        <w:t>publications</w:t>
      </w:r>
      <w:r>
        <w:rPr>
          <w:spacing w:val="-6"/>
          <w:sz w:val="16"/>
        </w:rPr>
        <w:t xml:space="preserve"> </w:t>
      </w:r>
      <w:r>
        <w:rPr>
          <w:sz w:val="16"/>
        </w:rPr>
        <w:t>(2022-2024)</w:t>
      </w:r>
      <w:r>
        <w:rPr>
          <w:spacing w:val="-6"/>
          <w:sz w:val="16"/>
        </w:rPr>
        <w:t xml:space="preserve"> </w:t>
      </w:r>
      <w:r>
        <w:rPr>
          <w:sz w:val="16"/>
        </w:rPr>
        <w:t>and</w:t>
      </w:r>
      <w:r>
        <w:rPr>
          <w:spacing w:val="-6"/>
          <w:sz w:val="16"/>
        </w:rPr>
        <w:t xml:space="preserve"> </w:t>
      </w:r>
      <w:r>
        <w:rPr>
          <w:sz w:val="16"/>
        </w:rPr>
        <w:t>various</w:t>
      </w:r>
      <w:r>
        <w:rPr>
          <w:spacing w:val="-5"/>
          <w:sz w:val="16"/>
        </w:rPr>
        <w:t xml:space="preserve"> </w:t>
      </w:r>
      <w:r>
        <w:rPr>
          <w:spacing w:val="-2"/>
          <w:sz w:val="16"/>
        </w:rPr>
        <w:t>sources.</w:t>
      </w:r>
    </w:p>
    <w:p w14:paraId="0A0A6E01" w14:textId="77777777" w:rsidR="00BC24A8" w:rsidRDefault="00BC24A8">
      <w:pPr>
        <w:pStyle w:val="BodyText"/>
        <w:spacing w:before="126"/>
        <w:rPr>
          <w:sz w:val="16"/>
        </w:rPr>
      </w:pPr>
    </w:p>
    <w:p w14:paraId="4D2AC3DA" w14:textId="77777777" w:rsidR="00BC24A8" w:rsidRDefault="00000000">
      <w:pPr>
        <w:pStyle w:val="Heading5"/>
      </w:pPr>
      <w:r>
        <w:rPr>
          <w:color w:val="767070"/>
        </w:rPr>
        <w:t>MSS</w:t>
      </w:r>
      <w:r>
        <w:rPr>
          <w:color w:val="767070"/>
          <w:spacing w:val="-7"/>
        </w:rPr>
        <w:t xml:space="preserve"> </w:t>
      </w:r>
      <w:r>
        <w:rPr>
          <w:color w:val="767070"/>
        </w:rPr>
        <w:t>reporting,</w:t>
      </w:r>
      <w:r>
        <w:rPr>
          <w:color w:val="767070"/>
          <w:spacing w:val="-6"/>
        </w:rPr>
        <w:t xml:space="preserve"> </w:t>
      </w:r>
      <w:r>
        <w:rPr>
          <w:color w:val="767070"/>
        </w:rPr>
        <w:t>achievement</w:t>
      </w:r>
      <w:r>
        <w:rPr>
          <w:color w:val="767070"/>
          <w:spacing w:val="-8"/>
        </w:rPr>
        <w:t xml:space="preserve"> </w:t>
      </w:r>
      <w:r>
        <w:rPr>
          <w:color w:val="767070"/>
        </w:rPr>
        <w:t>index,</w:t>
      </w:r>
      <w:r>
        <w:rPr>
          <w:color w:val="767070"/>
          <w:spacing w:val="-5"/>
        </w:rPr>
        <w:t xml:space="preserve"> </w:t>
      </w:r>
      <w:r>
        <w:rPr>
          <w:color w:val="767070"/>
        </w:rPr>
        <w:t>and</w:t>
      </w:r>
      <w:r>
        <w:rPr>
          <w:color w:val="767070"/>
          <w:spacing w:val="-7"/>
        </w:rPr>
        <w:t xml:space="preserve"> </w:t>
      </w:r>
      <w:r>
        <w:rPr>
          <w:color w:val="767070"/>
        </w:rPr>
        <w:t>budget</w:t>
      </w:r>
      <w:r>
        <w:rPr>
          <w:color w:val="767070"/>
          <w:spacing w:val="-8"/>
        </w:rPr>
        <w:t xml:space="preserve"> </w:t>
      </w:r>
      <w:r>
        <w:rPr>
          <w:color w:val="767070"/>
          <w:spacing w:val="-4"/>
        </w:rPr>
        <w:t>data</w:t>
      </w:r>
    </w:p>
    <w:p w14:paraId="7CA85177"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2618"/>
        <w:gridCol w:w="1980"/>
        <w:gridCol w:w="2160"/>
        <w:gridCol w:w="2249"/>
      </w:tblGrid>
      <w:tr w:rsidR="00BC24A8" w14:paraId="62E73BBB" w14:textId="77777777">
        <w:trPr>
          <w:trHeight w:val="643"/>
        </w:trPr>
        <w:tc>
          <w:tcPr>
            <w:tcW w:w="2618" w:type="dxa"/>
            <w:shd w:val="clear" w:color="auto" w:fill="17365A"/>
          </w:tcPr>
          <w:p w14:paraId="604A492D" w14:textId="77777777" w:rsidR="00BC24A8" w:rsidRDefault="00000000">
            <w:pPr>
              <w:pStyle w:val="TableParagraph"/>
              <w:spacing w:before="191"/>
              <w:ind w:left="115"/>
              <w:rPr>
                <w:rFonts w:ascii="Calibri"/>
                <w:b/>
                <w:sz w:val="20"/>
              </w:rPr>
            </w:pPr>
            <w:r>
              <w:rPr>
                <w:rFonts w:ascii="Calibri"/>
                <w:b/>
                <w:color w:val="FFFFFF"/>
                <w:spacing w:val="-2"/>
                <w:sz w:val="20"/>
              </w:rPr>
              <w:t>Sector</w:t>
            </w:r>
          </w:p>
        </w:tc>
        <w:tc>
          <w:tcPr>
            <w:tcW w:w="1980" w:type="dxa"/>
            <w:shd w:val="clear" w:color="auto" w:fill="17365A"/>
          </w:tcPr>
          <w:p w14:paraId="1CE6226F" w14:textId="77777777" w:rsidR="00BC24A8" w:rsidRDefault="00000000">
            <w:pPr>
              <w:pStyle w:val="TableParagraph"/>
              <w:spacing w:before="59" w:line="259" w:lineRule="auto"/>
              <w:ind w:left="341" w:right="111" w:hanging="236"/>
              <w:rPr>
                <w:rFonts w:ascii="Calibri"/>
                <w:b/>
                <w:sz w:val="20"/>
              </w:rPr>
            </w:pPr>
            <w:r>
              <w:rPr>
                <w:rFonts w:ascii="Calibri"/>
                <w:b/>
                <w:color w:val="FFFFFF"/>
                <w:sz w:val="20"/>
              </w:rPr>
              <w:t>Report</w:t>
            </w:r>
            <w:r>
              <w:rPr>
                <w:rFonts w:ascii="Calibri"/>
                <w:b/>
                <w:color w:val="FFFFFF"/>
                <w:spacing w:val="-12"/>
                <w:sz w:val="20"/>
              </w:rPr>
              <w:t xml:space="preserve"> </w:t>
            </w:r>
            <w:r>
              <w:rPr>
                <w:rFonts w:ascii="Calibri"/>
                <w:b/>
                <w:color w:val="FFFFFF"/>
                <w:sz w:val="20"/>
              </w:rPr>
              <w:t>completion</w:t>
            </w:r>
            <w:r>
              <w:rPr>
                <w:rFonts w:ascii="Calibri"/>
                <w:b/>
                <w:color w:val="FFFFFF"/>
                <w:spacing w:val="-11"/>
                <w:sz w:val="20"/>
              </w:rPr>
              <w:t xml:space="preserve"> </w:t>
            </w:r>
            <w:r>
              <w:rPr>
                <w:rFonts w:ascii="Calibri"/>
                <w:b/>
                <w:color w:val="FFFFFF"/>
                <w:sz w:val="20"/>
              </w:rPr>
              <w:t>in e-MSS 2024 (%)</w:t>
            </w:r>
          </w:p>
        </w:tc>
        <w:tc>
          <w:tcPr>
            <w:tcW w:w="2160" w:type="dxa"/>
            <w:shd w:val="clear" w:color="auto" w:fill="17365A"/>
          </w:tcPr>
          <w:p w14:paraId="43C3C30E" w14:textId="77777777" w:rsidR="00BC24A8" w:rsidRDefault="00000000">
            <w:pPr>
              <w:pStyle w:val="TableParagraph"/>
              <w:spacing w:before="59" w:line="259" w:lineRule="auto"/>
              <w:ind w:left="465" w:right="333" w:hanging="130"/>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 index 2024 (%)</w:t>
            </w:r>
          </w:p>
        </w:tc>
        <w:tc>
          <w:tcPr>
            <w:tcW w:w="2249" w:type="dxa"/>
            <w:shd w:val="clear" w:color="auto" w:fill="17365A"/>
          </w:tcPr>
          <w:p w14:paraId="481EDBE8" w14:textId="77777777" w:rsidR="00BC24A8" w:rsidRDefault="00000000">
            <w:pPr>
              <w:pStyle w:val="TableParagraph"/>
              <w:spacing w:before="191"/>
              <w:ind w:left="398"/>
              <w:rPr>
                <w:rFonts w:ascii="Calibri"/>
                <w:b/>
                <w:sz w:val="20"/>
              </w:rPr>
            </w:pPr>
            <w:r>
              <w:rPr>
                <w:rFonts w:ascii="Calibri"/>
                <w:b/>
                <w:color w:val="FFFFFF"/>
                <w:sz w:val="20"/>
              </w:rPr>
              <w:t>2024</w:t>
            </w:r>
            <w:r>
              <w:rPr>
                <w:rFonts w:ascii="Calibri"/>
                <w:b/>
                <w:color w:val="FFFFFF"/>
                <w:spacing w:val="-6"/>
                <w:sz w:val="20"/>
              </w:rPr>
              <w:t xml:space="preserve"> </w:t>
            </w:r>
            <w:r>
              <w:rPr>
                <w:rFonts w:ascii="Calibri"/>
                <w:b/>
                <w:color w:val="FFFFFF"/>
                <w:sz w:val="20"/>
              </w:rPr>
              <w:t>MSS</w:t>
            </w:r>
            <w:r>
              <w:rPr>
                <w:rFonts w:ascii="Calibri"/>
                <w:b/>
                <w:color w:val="FFFFFF"/>
                <w:spacing w:val="-6"/>
                <w:sz w:val="20"/>
              </w:rPr>
              <w:t xml:space="preserve"> </w:t>
            </w:r>
            <w:r>
              <w:rPr>
                <w:rFonts w:ascii="Calibri"/>
                <w:b/>
                <w:color w:val="FFFFFF"/>
                <w:spacing w:val="-2"/>
                <w:sz w:val="20"/>
              </w:rPr>
              <w:t>budget</w:t>
            </w:r>
          </w:p>
        </w:tc>
      </w:tr>
      <w:tr w:rsidR="00BC24A8" w14:paraId="627D5554" w14:textId="77777777">
        <w:trPr>
          <w:trHeight w:val="429"/>
        </w:trPr>
        <w:tc>
          <w:tcPr>
            <w:tcW w:w="2618" w:type="dxa"/>
            <w:tcBorders>
              <w:bottom w:val="single" w:sz="4" w:space="0" w:color="BEBEBE"/>
            </w:tcBorders>
          </w:tcPr>
          <w:p w14:paraId="5BEB56B7" w14:textId="77777777" w:rsidR="00BC24A8" w:rsidRDefault="00000000">
            <w:pPr>
              <w:pStyle w:val="TableParagraph"/>
              <w:spacing w:before="102"/>
              <w:ind w:left="115"/>
              <w:rPr>
                <w:sz w:val="18"/>
              </w:rPr>
            </w:pPr>
            <w:r>
              <w:rPr>
                <w:spacing w:val="-2"/>
                <w:sz w:val="18"/>
              </w:rPr>
              <w:t>Education</w:t>
            </w:r>
          </w:p>
        </w:tc>
        <w:tc>
          <w:tcPr>
            <w:tcW w:w="1980" w:type="dxa"/>
            <w:tcBorders>
              <w:bottom w:val="single" w:sz="4" w:space="0" w:color="BEBEBE"/>
            </w:tcBorders>
          </w:tcPr>
          <w:p w14:paraId="6E6A85E4" w14:textId="77777777" w:rsidR="00BC24A8" w:rsidRDefault="00000000">
            <w:pPr>
              <w:pStyle w:val="TableParagraph"/>
              <w:spacing w:before="126"/>
              <w:ind w:left="23" w:right="27"/>
              <w:jc w:val="center"/>
              <w:rPr>
                <w:sz w:val="18"/>
              </w:rPr>
            </w:pPr>
            <w:r>
              <w:rPr>
                <w:spacing w:val="-5"/>
                <w:sz w:val="18"/>
              </w:rPr>
              <w:t>100</w:t>
            </w:r>
          </w:p>
        </w:tc>
        <w:tc>
          <w:tcPr>
            <w:tcW w:w="2160" w:type="dxa"/>
            <w:tcBorders>
              <w:bottom w:val="single" w:sz="4" w:space="0" w:color="BEBEBE"/>
            </w:tcBorders>
          </w:tcPr>
          <w:p w14:paraId="079F6CC0" w14:textId="77777777" w:rsidR="00BC24A8" w:rsidRDefault="00000000">
            <w:pPr>
              <w:pStyle w:val="TableParagraph"/>
              <w:spacing w:before="126"/>
              <w:ind w:right="1"/>
              <w:jc w:val="center"/>
              <w:rPr>
                <w:sz w:val="18"/>
              </w:rPr>
            </w:pPr>
            <w:r>
              <w:rPr>
                <w:spacing w:val="-2"/>
                <w:sz w:val="18"/>
              </w:rPr>
              <w:t>88.32</w:t>
            </w:r>
          </w:p>
        </w:tc>
        <w:tc>
          <w:tcPr>
            <w:tcW w:w="2249" w:type="dxa"/>
            <w:tcBorders>
              <w:bottom w:val="single" w:sz="4" w:space="0" w:color="BEBEBE"/>
            </w:tcBorders>
          </w:tcPr>
          <w:p w14:paraId="0A1BAB0A" w14:textId="77777777" w:rsidR="00BC24A8" w:rsidRDefault="00000000">
            <w:pPr>
              <w:pStyle w:val="TableParagraph"/>
              <w:tabs>
                <w:tab w:val="left" w:pos="760"/>
              </w:tabs>
              <w:spacing w:before="102"/>
              <w:ind w:right="109"/>
              <w:jc w:val="right"/>
              <w:rPr>
                <w:sz w:val="18"/>
              </w:rPr>
            </w:pPr>
            <w:r>
              <w:rPr>
                <w:spacing w:val="-5"/>
                <w:sz w:val="18"/>
              </w:rPr>
              <w:t>IDR</w:t>
            </w:r>
            <w:r>
              <w:rPr>
                <w:sz w:val="18"/>
              </w:rPr>
              <w:tab/>
            </w:r>
            <w:r>
              <w:rPr>
                <w:spacing w:val="-2"/>
                <w:sz w:val="18"/>
              </w:rPr>
              <w:t>162,081,837,881</w:t>
            </w:r>
          </w:p>
        </w:tc>
      </w:tr>
      <w:tr w:rsidR="00BC24A8" w14:paraId="27E2C5E8" w14:textId="77777777">
        <w:trPr>
          <w:trHeight w:val="333"/>
        </w:trPr>
        <w:tc>
          <w:tcPr>
            <w:tcW w:w="2618" w:type="dxa"/>
            <w:tcBorders>
              <w:top w:val="single" w:sz="4" w:space="0" w:color="BEBEBE"/>
              <w:bottom w:val="single" w:sz="4" w:space="0" w:color="BEBEBE"/>
            </w:tcBorders>
          </w:tcPr>
          <w:p w14:paraId="7D3F6847" w14:textId="77777777" w:rsidR="00BC24A8" w:rsidRDefault="00000000">
            <w:pPr>
              <w:pStyle w:val="TableParagraph"/>
              <w:spacing w:before="56"/>
              <w:ind w:left="115"/>
              <w:rPr>
                <w:sz w:val="18"/>
              </w:rPr>
            </w:pPr>
            <w:r>
              <w:rPr>
                <w:spacing w:val="-2"/>
                <w:sz w:val="18"/>
              </w:rPr>
              <w:t>Health</w:t>
            </w:r>
          </w:p>
        </w:tc>
        <w:tc>
          <w:tcPr>
            <w:tcW w:w="1980" w:type="dxa"/>
            <w:tcBorders>
              <w:top w:val="single" w:sz="4" w:space="0" w:color="BEBEBE"/>
              <w:bottom w:val="single" w:sz="4" w:space="0" w:color="BEBEBE"/>
            </w:tcBorders>
          </w:tcPr>
          <w:p w14:paraId="04907A29" w14:textId="77777777" w:rsidR="00BC24A8" w:rsidRDefault="00000000">
            <w:pPr>
              <w:pStyle w:val="TableParagraph"/>
              <w:spacing w:before="56"/>
              <w:ind w:left="23" w:right="27"/>
              <w:jc w:val="center"/>
              <w:rPr>
                <w:sz w:val="18"/>
              </w:rPr>
            </w:pPr>
            <w:r>
              <w:rPr>
                <w:spacing w:val="-5"/>
                <w:sz w:val="18"/>
              </w:rPr>
              <w:t>100</w:t>
            </w:r>
          </w:p>
        </w:tc>
        <w:tc>
          <w:tcPr>
            <w:tcW w:w="2160" w:type="dxa"/>
            <w:tcBorders>
              <w:top w:val="single" w:sz="4" w:space="0" w:color="BEBEBE"/>
              <w:bottom w:val="single" w:sz="4" w:space="0" w:color="BEBEBE"/>
            </w:tcBorders>
          </w:tcPr>
          <w:p w14:paraId="35AB2EDE" w14:textId="77777777" w:rsidR="00BC24A8" w:rsidRDefault="00000000">
            <w:pPr>
              <w:pStyle w:val="TableParagraph"/>
              <w:spacing w:before="56"/>
              <w:ind w:right="1"/>
              <w:jc w:val="center"/>
              <w:rPr>
                <w:sz w:val="18"/>
              </w:rPr>
            </w:pPr>
            <w:r>
              <w:rPr>
                <w:spacing w:val="-5"/>
                <w:sz w:val="18"/>
              </w:rPr>
              <w:t>100</w:t>
            </w:r>
          </w:p>
        </w:tc>
        <w:tc>
          <w:tcPr>
            <w:tcW w:w="2249" w:type="dxa"/>
            <w:tcBorders>
              <w:top w:val="single" w:sz="4" w:space="0" w:color="BEBEBE"/>
              <w:bottom w:val="single" w:sz="4" w:space="0" w:color="BEBEBE"/>
            </w:tcBorders>
          </w:tcPr>
          <w:p w14:paraId="0331C86E" w14:textId="77777777" w:rsidR="00BC24A8" w:rsidRDefault="00000000">
            <w:pPr>
              <w:pStyle w:val="TableParagraph"/>
              <w:tabs>
                <w:tab w:val="left" w:pos="923"/>
              </w:tabs>
              <w:spacing w:before="56"/>
              <w:ind w:right="109"/>
              <w:jc w:val="right"/>
              <w:rPr>
                <w:sz w:val="18"/>
              </w:rPr>
            </w:pPr>
            <w:r>
              <w:rPr>
                <w:spacing w:val="-5"/>
                <w:sz w:val="18"/>
              </w:rPr>
              <w:t>IDR</w:t>
            </w:r>
            <w:r>
              <w:rPr>
                <w:sz w:val="18"/>
              </w:rPr>
              <w:tab/>
            </w:r>
            <w:r>
              <w:rPr>
                <w:spacing w:val="-2"/>
                <w:sz w:val="18"/>
              </w:rPr>
              <w:t>3,750,798,768</w:t>
            </w:r>
          </w:p>
        </w:tc>
      </w:tr>
      <w:tr w:rsidR="00BC24A8" w14:paraId="05BEADD7" w14:textId="77777777">
        <w:trPr>
          <w:trHeight w:val="333"/>
        </w:trPr>
        <w:tc>
          <w:tcPr>
            <w:tcW w:w="2618" w:type="dxa"/>
            <w:tcBorders>
              <w:top w:val="single" w:sz="4" w:space="0" w:color="BEBEBE"/>
              <w:bottom w:val="single" w:sz="4" w:space="0" w:color="BEBEBE"/>
            </w:tcBorders>
          </w:tcPr>
          <w:p w14:paraId="41CF13A0" w14:textId="77777777" w:rsidR="00BC24A8" w:rsidRDefault="00000000">
            <w:pPr>
              <w:pStyle w:val="TableParagraph"/>
              <w:spacing w:before="56"/>
              <w:ind w:left="115"/>
              <w:rPr>
                <w:sz w:val="18"/>
              </w:rPr>
            </w:pPr>
            <w:r>
              <w:rPr>
                <w:sz w:val="18"/>
              </w:rPr>
              <w:t xml:space="preserve">Social </w:t>
            </w:r>
            <w:r>
              <w:rPr>
                <w:spacing w:val="-2"/>
                <w:sz w:val="18"/>
              </w:rPr>
              <w:t>Affairs</w:t>
            </w:r>
          </w:p>
        </w:tc>
        <w:tc>
          <w:tcPr>
            <w:tcW w:w="1980" w:type="dxa"/>
            <w:tcBorders>
              <w:top w:val="single" w:sz="4" w:space="0" w:color="BEBEBE"/>
              <w:bottom w:val="single" w:sz="4" w:space="0" w:color="BEBEBE"/>
            </w:tcBorders>
          </w:tcPr>
          <w:p w14:paraId="4030B066" w14:textId="77777777" w:rsidR="00BC24A8" w:rsidRDefault="00000000">
            <w:pPr>
              <w:pStyle w:val="TableParagraph"/>
              <w:spacing w:before="56"/>
              <w:ind w:left="23" w:right="27"/>
              <w:jc w:val="center"/>
              <w:rPr>
                <w:sz w:val="18"/>
              </w:rPr>
            </w:pPr>
            <w:r>
              <w:rPr>
                <w:spacing w:val="-2"/>
                <w:sz w:val="18"/>
              </w:rPr>
              <w:t>95.16</w:t>
            </w:r>
          </w:p>
        </w:tc>
        <w:tc>
          <w:tcPr>
            <w:tcW w:w="2160" w:type="dxa"/>
            <w:tcBorders>
              <w:top w:val="single" w:sz="4" w:space="0" w:color="BEBEBE"/>
              <w:bottom w:val="single" w:sz="4" w:space="0" w:color="BEBEBE"/>
            </w:tcBorders>
          </w:tcPr>
          <w:p w14:paraId="26EC19A4" w14:textId="77777777" w:rsidR="00BC24A8" w:rsidRDefault="00000000">
            <w:pPr>
              <w:pStyle w:val="TableParagraph"/>
              <w:spacing w:before="56"/>
              <w:ind w:right="1"/>
              <w:jc w:val="center"/>
              <w:rPr>
                <w:sz w:val="18"/>
              </w:rPr>
            </w:pPr>
            <w:r>
              <w:rPr>
                <w:spacing w:val="-2"/>
                <w:sz w:val="18"/>
              </w:rPr>
              <w:t>97.75</w:t>
            </w:r>
          </w:p>
        </w:tc>
        <w:tc>
          <w:tcPr>
            <w:tcW w:w="2249" w:type="dxa"/>
            <w:tcBorders>
              <w:top w:val="single" w:sz="4" w:space="0" w:color="BEBEBE"/>
              <w:bottom w:val="single" w:sz="4" w:space="0" w:color="BEBEBE"/>
            </w:tcBorders>
          </w:tcPr>
          <w:p w14:paraId="4AA06139" w14:textId="77777777" w:rsidR="00BC24A8" w:rsidRDefault="00000000">
            <w:pPr>
              <w:pStyle w:val="TableParagraph"/>
              <w:tabs>
                <w:tab w:val="left" w:pos="923"/>
              </w:tabs>
              <w:spacing w:before="56"/>
              <w:ind w:right="109"/>
              <w:jc w:val="right"/>
              <w:rPr>
                <w:sz w:val="18"/>
              </w:rPr>
            </w:pPr>
            <w:r>
              <w:rPr>
                <w:spacing w:val="-5"/>
                <w:sz w:val="18"/>
              </w:rPr>
              <w:t>IDR</w:t>
            </w:r>
            <w:r>
              <w:rPr>
                <w:sz w:val="18"/>
              </w:rPr>
              <w:tab/>
            </w:r>
            <w:r>
              <w:rPr>
                <w:spacing w:val="-2"/>
                <w:sz w:val="18"/>
              </w:rPr>
              <w:t>4,053,573,860</w:t>
            </w:r>
          </w:p>
        </w:tc>
      </w:tr>
      <w:tr w:rsidR="00BC24A8" w14:paraId="566E7A08" w14:textId="77777777">
        <w:trPr>
          <w:trHeight w:val="333"/>
        </w:trPr>
        <w:tc>
          <w:tcPr>
            <w:tcW w:w="2618" w:type="dxa"/>
            <w:tcBorders>
              <w:top w:val="single" w:sz="4" w:space="0" w:color="BEBEBE"/>
              <w:bottom w:val="single" w:sz="4" w:space="0" w:color="BEBEBE"/>
            </w:tcBorders>
          </w:tcPr>
          <w:p w14:paraId="7F1FB451" w14:textId="77777777" w:rsidR="00BC24A8" w:rsidRDefault="00000000">
            <w:pPr>
              <w:pStyle w:val="TableParagraph"/>
              <w:spacing w:before="59"/>
              <w:ind w:left="115"/>
              <w:rPr>
                <w:sz w:val="18"/>
              </w:rPr>
            </w:pPr>
            <w:r>
              <w:rPr>
                <w:sz w:val="18"/>
              </w:rPr>
              <w:t>Public</w:t>
            </w:r>
            <w:r>
              <w:rPr>
                <w:spacing w:val="-1"/>
                <w:sz w:val="18"/>
              </w:rPr>
              <w:t xml:space="preserve"> </w:t>
            </w:r>
            <w:r>
              <w:rPr>
                <w:spacing w:val="-2"/>
                <w:sz w:val="18"/>
              </w:rPr>
              <w:t>Works</w:t>
            </w:r>
          </w:p>
        </w:tc>
        <w:tc>
          <w:tcPr>
            <w:tcW w:w="1980" w:type="dxa"/>
            <w:tcBorders>
              <w:top w:val="single" w:sz="4" w:space="0" w:color="BEBEBE"/>
              <w:bottom w:val="single" w:sz="4" w:space="0" w:color="BEBEBE"/>
            </w:tcBorders>
          </w:tcPr>
          <w:p w14:paraId="7E5595DC" w14:textId="77777777" w:rsidR="00BC24A8" w:rsidRDefault="00000000">
            <w:pPr>
              <w:pStyle w:val="TableParagraph"/>
              <w:spacing w:before="59"/>
              <w:ind w:left="23" w:right="27"/>
              <w:jc w:val="center"/>
              <w:rPr>
                <w:sz w:val="18"/>
              </w:rPr>
            </w:pPr>
            <w:r>
              <w:rPr>
                <w:spacing w:val="-5"/>
                <w:sz w:val="18"/>
              </w:rPr>
              <w:t>100</w:t>
            </w:r>
          </w:p>
        </w:tc>
        <w:tc>
          <w:tcPr>
            <w:tcW w:w="2160" w:type="dxa"/>
            <w:tcBorders>
              <w:top w:val="single" w:sz="4" w:space="0" w:color="BEBEBE"/>
              <w:bottom w:val="single" w:sz="4" w:space="0" w:color="BEBEBE"/>
            </w:tcBorders>
          </w:tcPr>
          <w:p w14:paraId="346324AA" w14:textId="77777777" w:rsidR="00BC24A8" w:rsidRDefault="00000000">
            <w:pPr>
              <w:pStyle w:val="TableParagraph"/>
              <w:spacing w:before="59"/>
              <w:ind w:right="1"/>
              <w:jc w:val="center"/>
              <w:rPr>
                <w:sz w:val="18"/>
              </w:rPr>
            </w:pPr>
            <w:r>
              <w:rPr>
                <w:spacing w:val="-2"/>
                <w:sz w:val="18"/>
              </w:rPr>
              <w:t>98.75</w:t>
            </w:r>
          </w:p>
        </w:tc>
        <w:tc>
          <w:tcPr>
            <w:tcW w:w="2249" w:type="dxa"/>
            <w:tcBorders>
              <w:top w:val="single" w:sz="4" w:space="0" w:color="BEBEBE"/>
              <w:bottom w:val="single" w:sz="4" w:space="0" w:color="BEBEBE"/>
            </w:tcBorders>
          </w:tcPr>
          <w:p w14:paraId="5A825E74" w14:textId="77777777" w:rsidR="00BC24A8" w:rsidRDefault="00000000">
            <w:pPr>
              <w:pStyle w:val="TableParagraph"/>
              <w:tabs>
                <w:tab w:val="left" w:pos="1780"/>
              </w:tabs>
              <w:spacing w:before="59"/>
              <w:ind w:right="108"/>
              <w:jc w:val="right"/>
              <w:rPr>
                <w:sz w:val="18"/>
              </w:rPr>
            </w:pPr>
            <w:r>
              <w:rPr>
                <w:spacing w:val="-5"/>
                <w:sz w:val="18"/>
              </w:rPr>
              <w:t>IDR</w:t>
            </w:r>
            <w:r>
              <w:rPr>
                <w:rFonts w:ascii="Times New Roman"/>
                <w:b/>
                <w:sz w:val="18"/>
              </w:rPr>
              <w:tab/>
            </w:r>
            <w:r>
              <w:rPr>
                <w:spacing w:val="-10"/>
                <w:sz w:val="18"/>
              </w:rPr>
              <w:t>0</w:t>
            </w:r>
          </w:p>
        </w:tc>
      </w:tr>
      <w:tr w:rsidR="00BC24A8" w14:paraId="0D57C34B" w14:textId="77777777">
        <w:trPr>
          <w:trHeight w:val="335"/>
        </w:trPr>
        <w:tc>
          <w:tcPr>
            <w:tcW w:w="2618" w:type="dxa"/>
            <w:tcBorders>
              <w:top w:val="single" w:sz="4" w:space="0" w:color="BEBEBE"/>
              <w:bottom w:val="single" w:sz="4" w:space="0" w:color="BEBEBE"/>
            </w:tcBorders>
          </w:tcPr>
          <w:p w14:paraId="674C6257" w14:textId="77777777" w:rsidR="00BC24A8" w:rsidRDefault="00000000">
            <w:pPr>
              <w:pStyle w:val="TableParagraph"/>
              <w:spacing w:before="59"/>
              <w:ind w:left="115"/>
              <w:rPr>
                <w:sz w:val="18"/>
              </w:rPr>
            </w:pPr>
            <w:r>
              <w:rPr>
                <w:sz w:val="18"/>
              </w:rPr>
              <w:t>Public</w:t>
            </w:r>
            <w:r>
              <w:rPr>
                <w:spacing w:val="-1"/>
                <w:sz w:val="18"/>
              </w:rPr>
              <w:t xml:space="preserve"> </w:t>
            </w:r>
            <w:r>
              <w:rPr>
                <w:spacing w:val="-2"/>
                <w:sz w:val="18"/>
              </w:rPr>
              <w:t>Housing</w:t>
            </w:r>
          </w:p>
        </w:tc>
        <w:tc>
          <w:tcPr>
            <w:tcW w:w="1980" w:type="dxa"/>
            <w:tcBorders>
              <w:top w:val="single" w:sz="4" w:space="0" w:color="BEBEBE"/>
              <w:bottom w:val="single" w:sz="4" w:space="0" w:color="BEBEBE"/>
            </w:tcBorders>
          </w:tcPr>
          <w:p w14:paraId="786590D9" w14:textId="77777777" w:rsidR="00BC24A8" w:rsidRDefault="00000000">
            <w:pPr>
              <w:pStyle w:val="TableParagraph"/>
              <w:spacing w:before="59"/>
              <w:ind w:left="23" w:right="27"/>
              <w:jc w:val="center"/>
              <w:rPr>
                <w:sz w:val="18"/>
              </w:rPr>
            </w:pPr>
            <w:r>
              <w:rPr>
                <w:spacing w:val="-5"/>
                <w:sz w:val="18"/>
              </w:rPr>
              <w:t>100</w:t>
            </w:r>
          </w:p>
        </w:tc>
        <w:tc>
          <w:tcPr>
            <w:tcW w:w="2160" w:type="dxa"/>
            <w:tcBorders>
              <w:top w:val="single" w:sz="4" w:space="0" w:color="BEBEBE"/>
              <w:bottom w:val="single" w:sz="4" w:space="0" w:color="BEBEBE"/>
            </w:tcBorders>
          </w:tcPr>
          <w:p w14:paraId="6B72CE97" w14:textId="77777777" w:rsidR="00BC24A8" w:rsidRDefault="00000000">
            <w:pPr>
              <w:pStyle w:val="TableParagraph"/>
              <w:spacing w:before="59"/>
              <w:ind w:right="1"/>
              <w:jc w:val="center"/>
              <w:rPr>
                <w:sz w:val="18"/>
              </w:rPr>
            </w:pPr>
            <w:r>
              <w:rPr>
                <w:spacing w:val="-5"/>
                <w:sz w:val="18"/>
              </w:rPr>
              <w:t>100</w:t>
            </w:r>
          </w:p>
        </w:tc>
        <w:tc>
          <w:tcPr>
            <w:tcW w:w="2249" w:type="dxa"/>
            <w:tcBorders>
              <w:top w:val="single" w:sz="4" w:space="0" w:color="BEBEBE"/>
              <w:bottom w:val="single" w:sz="4" w:space="0" w:color="BEBEBE"/>
            </w:tcBorders>
          </w:tcPr>
          <w:p w14:paraId="2E6C5724" w14:textId="77777777" w:rsidR="00BC24A8" w:rsidRDefault="00000000">
            <w:pPr>
              <w:pStyle w:val="TableParagraph"/>
              <w:tabs>
                <w:tab w:val="left" w:pos="1046"/>
              </w:tabs>
              <w:spacing w:before="59"/>
              <w:ind w:right="107"/>
              <w:jc w:val="right"/>
              <w:rPr>
                <w:sz w:val="18"/>
              </w:rPr>
            </w:pPr>
            <w:r>
              <w:rPr>
                <w:spacing w:val="-5"/>
                <w:sz w:val="18"/>
              </w:rPr>
              <w:t>IDR</w:t>
            </w:r>
            <w:r>
              <w:rPr>
                <w:sz w:val="18"/>
              </w:rPr>
              <w:tab/>
            </w:r>
            <w:r>
              <w:rPr>
                <w:spacing w:val="-2"/>
                <w:sz w:val="18"/>
              </w:rPr>
              <w:t>967,000,600</w:t>
            </w:r>
          </w:p>
        </w:tc>
      </w:tr>
      <w:tr w:rsidR="00BC24A8" w14:paraId="0A16C3DD" w14:textId="77777777">
        <w:trPr>
          <w:trHeight w:val="551"/>
        </w:trPr>
        <w:tc>
          <w:tcPr>
            <w:tcW w:w="2618" w:type="dxa"/>
            <w:tcBorders>
              <w:top w:val="single" w:sz="4" w:space="0" w:color="BEBEBE"/>
              <w:bottom w:val="single" w:sz="4" w:space="0" w:color="BEBEBE"/>
            </w:tcBorders>
          </w:tcPr>
          <w:p w14:paraId="7AEBC519" w14:textId="77777777" w:rsidR="00BC24A8" w:rsidRDefault="00000000">
            <w:pPr>
              <w:pStyle w:val="TableParagraph"/>
              <w:spacing w:before="56"/>
              <w:ind w:left="115"/>
              <w:rPr>
                <w:sz w:val="18"/>
              </w:rPr>
            </w:pPr>
            <w:r>
              <w:rPr>
                <w:sz w:val="18"/>
              </w:rPr>
              <w:t>Public Order and Community Protection</w:t>
            </w:r>
            <w:r>
              <w:rPr>
                <w:spacing w:val="-3"/>
                <w:sz w:val="18"/>
              </w:rPr>
              <w:t xml:space="preserve"> </w:t>
            </w:r>
            <w:r>
              <w:rPr>
                <w:spacing w:val="-2"/>
                <w:sz w:val="18"/>
              </w:rPr>
              <w:t>(Trantibumlinmas)</w:t>
            </w:r>
          </w:p>
        </w:tc>
        <w:tc>
          <w:tcPr>
            <w:tcW w:w="1980" w:type="dxa"/>
            <w:tcBorders>
              <w:top w:val="single" w:sz="4" w:space="0" w:color="BEBEBE"/>
              <w:bottom w:val="single" w:sz="4" w:space="0" w:color="BEBEBE"/>
            </w:tcBorders>
          </w:tcPr>
          <w:p w14:paraId="41F53A68" w14:textId="77777777" w:rsidR="00BC24A8" w:rsidRDefault="00000000">
            <w:pPr>
              <w:pStyle w:val="TableParagraph"/>
              <w:spacing w:before="167"/>
              <w:ind w:left="23" w:right="27"/>
              <w:jc w:val="center"/>
              <w:rPr>
                <w:sz w:val="18"/>
              </w:rPr>
            </w:pPr>
            <w:r>
              <w:rPr>
                <w:spacing w:val="-5"/>
                <w:sz w:val="18"/>
              </w:rPr>
              <w:t>100</w:t>
            </w:r>
          </w:p>
        </w:tc>
        <w:tc>
          <w:tcPr>
            <w:tcW w:w="2160" w:type="dxa"/>
            <w:tcBorders>
              <w:top w:val="single" w:sz="4" w:space="0" w:color="BEBEBE"/>
              <w:bottom w:val="single" w:sz="4" w:space="0" w:color="BEBEBE"/>
            </w:tcBorders>
          </w:tcPr>
          <w:p w14:paraId="77CE7807" w14:textId="77777777" w:rsidR="00BC24A8" w:rsidRDefault="00000000">
            <w:pPr>
              <w:pStyle w:val="TableParagraph"/>
              <w:spacing w:before="167"/>
              <w:ind w:right="1"/>
              <w:jc w:val="center"/>
              <w:rPr>
                <w:sz w:val="18"/>
              </w:rPr>
            </w:pPr>
            <w:r>
              <w:rPr>
                <w:spacing w:val="-5"/>
                <w:sz w:val="18"/>
              </w:rPr>
              <w:t>100</w:t>
            </w:r>
          </w:p>
        </w:tc>
        <w:tc>
          <w:tcPr>
            <w:tcW w:w="2249" w:type="dxa"/>
            <w:tcBorders>
              <w:top w:val="single" w:sz="4" w:space="0" w:color="BEBEBE"/>
              <w:bottom w:val="single" w:sz="4" w:space="0" w:color="BEBEBE"/>
            </w:tcBorders>
          </w:tcPr>
          <w:p w14:paraId="46DF92FD" w14:textId="77777777" w:rsidR="00BC24A8" w:rsidRDefault="00000000">
            <w:pPr>
              <w:pStyle w:val="TableParagraph"/>
              <w:tabs>
                <w:tab w:val="left" w:pos="923"/>
              </w:tabs>
              <w:spacing w:before="56"/>
              <w:ind w:right="109"/>
              <w:jc w:val="right"/>
              <w:rPr>
                <w:sz w:val="18"/>
              </w:rPr>
            </w:pPr>
            <w:r>
              <w:rPr>
                <w:spacing w:val="-5"/>
                <w:sz w:val="18"/>
              </w:rPr>
              <w:t>IDR</w:t>
            </w:r>
            <w:r>
              <w:rPr>
                <w:sz w:val="18"/>
              </w:rPr>
              <w:tab/>
            </w:r>
            <w:r>
              <w:rPr>
                <w:spacing w:val="-2"/>
                <w:sz w:val="18"/>
              </w:rPr>
              <w:t>5,172,881,235</w:t>
            </w:r>
          </w:p>
        </w:tc>
      </w:tr>
    </w:tbl>
    <w:p w14:paraId="2664A17F" w14:textId="77777777" w:rsidR="00BC24A8" w:rsidRDefault="00000000">
      <w:pPr>
        <w:spacing w:before="126"/>
        <w:ind w:left="143"/>
        <w:rPr>
          <w:sz w:val="16"/>
        </w:rPr>
      </w:pPr>
      <w:r>
        <w:rPr>
          <w:sz w:val="16"/>
        </w:rPr>
        <w:t>Data</w:t>
      </w:r>
      <w:r>
        <w:rPr>
          <w:spacing w:val="-8"/>
          <w:sz w:val="16"/>
        </w:rPr>
        <w:t xml:space="preserve"> </w:t>
      </w:r>
      <w:r>
        <w:rPr>
          <w:sz w:val="16"/>
        </w:rPr>
        <w:t>source:</w:t>
      </w:r>
      <w:r>
        <w:rPr>
          <w:spacing w:val="-6"/>
          <w:sz w:val="16"/>
        </w:rPr>
        <w:t xml:space="preserve"> </w:t>
      </w:r>
      <w:r>
        <w:rPr>
          <w:sz w:val="16"/>
        </w:rPr>
        <w:t>e-SPM</w:t>
      </w:r>
      <w:r>
        <w:rPr>
          <w:spacing w:val="-5"/>
          <w:sz w:val="16"/>
        </w:rPr>
        <w:t xml:space="preserve"> </w:t>
      </w:r>
      <w:r>
        <w:rPr>
          <w:sz w:val="16"/>
        </w:rPr>
        <w:t>(Budget)</w:t>
      </w:r>
      <w:r>
        <w:rPr>
          <w:spacing w:val="-9"/>
          <w:sz w:val="16"/>
        </w:rPr>
        <w:t xml:space="preserve"> </w:t>
      </w:r>
      <w:r>
        <w:rPr>
          <w:sz w:val="16"/>
        </w:rPr>
        <w:t>and</w:t>
      </w:r>
      <w:r>
        <w:rPr>
          <w:spacing w:val="-5"/>
          <w:sz w:val="16"/>
        </w:rPr>
        <w:t xml:space="preserve"> </w:t>
      </w:r>
      <w:r>
        <w:rPr>
          <w:sz w:val="16"/>
        </w:rPr>
        <w:t>Bangda</w:t>
      </w:r>
      <w:r>
        <w:rPr>
          <w:spacing w:val="-8"/>
          <w:sz w:val="16"/>
        </w:rPr>
        <w:t xml:space="preserve"> </w:t>
      </w:r>
      <w:r>
        <w:rPr>
          <w:sz w:val="16"/>
        </w:rPr>
        <w:t>Ministry</w:t>
      </w:r>
      <w:r>
        <w:rPr>
          <w:spacing w:val="-5"/>
          <w:sz w:val="16"/>
        </w:rPr>
        <w:t xml:space="preserve"> </w:t>
      </w:r>
      <w:r>
        <w:rPr>
          <w:sz w:val="16"/>
        </w:rPr>
        <w:t>of</w:t>
      </w:r>
      <w:r>
        <w:rPr>
          <w:spacing w:val="-7"/>
          <w:sz w:val="16"/>
        </w:rPr>
        <w:t xml:space="preserve"> </w:t>
      </w:r>
      <w:r>
        <w:rPr>
          <w:sz w:val="16"/>
        </w:rPr>
        <w:t>Home</w:t>
      </w:r>
      <w:r>
        <w:rPr>
          <w:spacing w:val="-7"/>
          <w:sz w:val="16"/>
        </w:rPr>
        <w:t xml:space="preserve"> </w:t>
      </w:r>
      <w:r>
        <w:rPr>
          <w:sz w:val="16"/>
        </w:rPr>
        <w:t>Affairs</w:t>
      </w:r>
      <w:r>
        <w:rPr>
          <w:spacing w:val="-5"/>
          <w:sz w:val="16"/>
        </w:rPr>
        <w:t xml:space="preserve"> </w:t>
      </w:r>
      <w:r>
        <w:rPr>
          <w:sz w:val="16"/>
        </w:rPr>
        <w:t>publications,</w:t>
      </w:r>
      <w:r>
        <w:rPr>
          <w:spacing w:val="-8"/>
          <w:sz w:val="16"/>
        </w:rPr>
        <w:t xml:space="preserve"> </w:t>
      </w:r>
      <w:r>
        <w:rPr>
          <w:sz w:val="16"/>
        </w:rPr>
        <w:t>accessed</w:t>
      </w:r>
      <w:r>
        <w:rPr>
          <w:spacing w:val="-5"/>
          <w:sz w:val="16"/>
        </w:rPr>
        <w:t xml:space="preserve"> </w:t>
      </w:r>
      <w:r>
        <w:rPr>
          <w:sz w:val="16"/>
        </w:rPr>
        <w:t>on</w:t>
      </w:r>
      <w:r>
        <w:rPr>
          <w:spacing w:val="-6"/>
          <w:sz w:val="16"/>
        </w:rPr>
        <w:t xml:space="preserve"> </w:t>
      </w:r>
      <w:r>
        <w:rPr>
          <w:sz w:val="16"/>
        </w:rPr>
        <w:t>August</w:t>
      </w:r>
      <w:r>
        <w:rPr>
          <w:spacing w:val="-7"/>
          <w:sz w:val="16"/>
        </w:rPr>
        <w:t xml:space="preserve"> </w:t>
      </w:r>
      <w:r>
        <w:rPr>
          <w:sz w:val="16"/>
        </w:rPr>
        <w:t>5,</w:t>
      </w:r>
      <w:r>
        <w:rPr>
          <w:spacing w:val="-7"/>
          <w:sz w:val="16"/>
        </w:rPr>
        <w:t xml:space="preserve"> </w:t>
      </w:r>
      <w:r>
        <w:rPr>
          <w:spacing w:val="-4"/>
          <w:sz w:val="16"/>
        </w:rPr>
        <w:t>2025</w:t>
      </w:r>
    </w:p>
    <w:p w14:paraId="7D943F0E" w14:textId="77777777" w:rsidR="00BC24A8" w:rsidRDefault="00BC24A8">
      <w:pPr>
        <w:pStyle w:val="BodyText"/>
        <w:rPr>
          <w:sz w:val="16"/>
        </w:rPr>
      </w:pPr>
    </w:p>
    <w:p w14:paraId="3B43E596" w14:textId="77777777" w:rsidR="00BC24A8" w:rsidRDefault="00BC24A8">
      <w:pPr>
        <w:pStyle w:val="BodyText"/>
        <w:spacing w:before="71"/>
        <w:rPr>
          <w:sz w:val="16"/>
        </w:rPr>
      </w:pPr>
    </w:p>
    <w:p w14:paraId="36CB7BBE" w14:textId="77777777" w:rsidR="00BC24A8" w:rsidRDefault="00000000">
      <w:pPr>
        <w:pStyle w:val="Heading5"/>
        <w:spacing w:before="1"/>
      </w:pPr>
      <w:r>
        <w:rPr>
          <w:color w:val="767070"/>
        </w:rPr>
        <w:t>Regional</w:t>
      </w:r>
      <w:r>
        <w:rPr>
          <w:color w:val="767070"/>
          <w:spacing w:val="-7"/>
        </w:rPr>
        <w:t xml:space="preserve"> </w:t>
      </w:r>
      <w:r>
        <w:rPr>
          <w:color w:val="767070"/>
        </w:rPr>
        <w:t>Revenue</w:t>
      </w:r>
      <w:r>
        <w:rPr>
          <w:color w:val="767070"/>
          <w:spacing w:val="-8"/>
        </w:rPr>
        <w:t xml:space="preserve"> </w:t>
      </w:r>
      <w:r>
        <w:rPr>
          <w:color w:val="767070"/>
        </w:rPr>
        <w:t>and</w:t>
      </w:r>
      <w:r>
        <w:rPr>
          <w:color w:val="767070"/>
          <w:spacing w:val="-8"/>
        </w:rPr>
        <w:t xml:space="preserve"> </w:t>
      </w:r>
      <w:r>
        <w:rPr>
          <w:color w:val="767070"/>
        </w:rPr>
        <w:t>Expenditure</w:t>
      </w:r>
      <w:r>
        <w:rPr>
          <w:color w:val="767070"/>
          <w:spacing w:val="-7"/>
        </w:rPr>
        <w:t xml:space="preserve"> </w:t>
      </w:r>
      <w:r>
        <w:rPr>
          <w:color w:val="767070"/>
        </w:rPr>
        <w:t>Budget</w:t>
      </w:r>
      <w:r>
        <w:rPr>
          <w:color w:val="767070"/>
          <w:spacing w:val="-9"/>
        </w:rPr>
        <w:t xml:space="preserve"> </w:t>
      </w:r>
      <w:r>
        <w:rPr>
          <w:color w:val="767070"/>
        </w:rPr>
        <w:t>(APBD)</w:t>
      </w:r>
      <w:r>
        <w:rPr>
          <w:color w:val="767070"/>
          <w:spacing w:val="-6"/>
        </w:rPr>
        <w:t xml:space="preserve"> </w:t>
      </w:r>
      <w:r>
        <w:rPr>
          <w:color w:val="767070"/>
          <w:spacing w:val="-4"/>
        </w:rPr>
        <w:t>Data</w:t>
      </w:r>
    </w:p>
    <w:p w14:paraId="3756F01B" w14:textId="77777777" w:rsidR="00BC24A8" w:rsidRDefault="00BC24A8">
      <w:pPr>
        <w:pStyle w:val="BodyText"/>
        <w:spacing w:before="10"/>
        <w:rPr>
          <w:rFonts w:ascii="Calibri"/>
          <w:b/>
          <w:sz w:val="12"/>
        </w:rPr>
      </w:pPr>
    </w:p>
    <w:tbl>
      <w:tblPr>
        <w:tblW w:w="0" w:type="auto"/>
        <w:tblInd w:w="150" w:type="dxa"/>
        <w:tblLayout w:type="fixed"/>
        <w:tblCellMar>
          <w:left w:w="0" w:type="dxa"/>
          <w:right w:w="0" w:type="dxa"/>
        </w:tblCellMar>
        <w:tblLook w:val="01E0" w:firstRow="1" w:lastRow="1" w:firstColumn="1" w:lastColumn="1" w:noHBand="0" w:noVBand="0"/>
      </w:tblPr>
      <w:tblGrid>
        <w:gridCol w:w="2938"/>
        <w:gridCol w:w="2906"/>
        <w:gridCol w:w="3156"/>
      </w:tblGrid>
      <w:tr w:rsidR="00BC24A8" w14:paraId="0F555CAD" w14:textId="77777777">
        <w:trPr>
          <w:trHeight w:val="376"/>
        </w:trPr>
        <w:tc>
          <w:tcPr>
            <w:tcW w:w="2938" w:type="dxa"/>
            <w:shd w:val="clear" w:color="auto" w:fill="17365A"/>
          </w:tcPr>
          <w:p w14:paraId="1D460B9C" w14:textId="77777777" w:rsidR="00BC24A8" w:rsidRDefault="00000000">
            <w:pPr>
              <w:pStyle w:val="TableParagraph"/>
              <w:spacing w:before="59"/>
              <w:ind w:left="107"/>
              <w:rPr>
                <w:rFonts w:ascii="Calibri"/>
                <w:b/>
                <w:sz w:val="20"/>
              </w:rPr>
            </w:pPr>
            <w:r>
              <w:rPr>
                <w:rFonts w:ascii="Calibri"/>
                <w:b/>
                <w:color w:val="FFFFFF"/>
                <w:spacing w:val="-2"/>
                <w:sz w:val="20"/>
              </w:rPr>
              <w:t>Source</w:t>
            </w:r>
          </w:p>
        </w:tc>
        <w:tc>
          <w:tcPr>
            <w:tcW w:w="2906" w:type="dxa"/>
            <w:shd w:val="clear" w:color="auto" w:fill="17365A"/>
          </w:tcPr>
          <w:p w14:paraId="2338244F" w14:textId="77777777" w:rsidR="00BC24A8" w:rsidRDefault="00000000">
            <w:pPr>
              <w:pStyle w:val="TableParagraph"/>
              <w:spacing w:before="59"/>
              <w:ind w:right="65"/>
              <w:jc w:val="center"/>
              <w:rPr>
                <w:rFonts w:ascii="Calibri"/>
                <w:b/>
                <w:sz w:val="20"/>
              </w:rPr>
            </w:pPr>
            <w:r>
              <w:rPr>
                <w:rFonts w:ascii="Calibri"/>
                <w:b/>
                <w:color w:val="FFFFFF"/>
                <w:sz w:val="20"/>
              </w:rPr>
              <w:t>APBD</w:t>
            </w:r>
            <w:r>
              <w:rPr>
                <w:rFonts w:ascii="Calibri"/>
                <w:b/>
                <w:color w:val="FFFFFF"/>
                <w:spacing w:val="-6"/>
                <w:sz w:val="20"/>
              </w:rPr>
              <w:t xml:space="preserve"> </w:t>
            </w:r>
            <w:r>
              <w:rPr>
                <w:rFonts w:ascii="Calibri"/>
                <w:b/>
                <w:color w:val="FFFFFF"/>
                <w:sz w:val="20"/>
              </w:rPr>
              <w:t>2024</w:t>
            </w:r>
            <w:r>
              <w:rPr>
                <w:rFonts w:ascii="Calibri"/>
                <w:b/>
                <w:color w:val="FFFFFF"/>
                <w:spacing w:val="-5"/>
                <w:sz w:val="20"/>
              </w:rPr>
              <w:t xml:space="preserve"> </w:t>
            </w:r>
            <w:r>
              <w:rPr>
                <w:rFonts w:ascii="Calibri"/>
                <w:b/>
                <w:color w:val="FFFFFF"/>
                <w:spacing w:val="-2"/>
                <w:sz w:val="20"/>
              </w:rPr>
              <w:t>(IDR)</w:t>
            </w:r>
          </w:p>
        </w:tc>
        <w:tc>
          <w:tcPr>
            <w:tcW w:w="3156" w:type="dxa"/>
            <w:shd w:val="clear" w:color="auto" w:fill="17365A"/>
          </w:tcPr>
          <w:p w14:paraId="3BD5ACDD" w14:textId="77777777" w:rsidR="00BC24A8" w:rsidRDefault="00000000">
            <w:pPr>
              <w:pStyle w:val="TableParagraph"/>
              <w:spacing w:before="59"/>
              <w:ind w:right="979"/>
              <w:jc w:val="right"/>
              <w:rPr>
                <w:rFonts w:ascii="Calibri"/>
                <w:b/>
                <w:sz w:val="20"/>
              </w:rPr>
            </w:pPr>
            <w:r>
              <w:rPr>
                <w:rFonts w:ascii="Calibri"/>
                <w:b/>
                <w:color w:val="FFFFFF"/>
                <w:sz w:val="20"/>
              </w:rPr>
              <w:t>APBD</w:t>
            </w:r>
            <w:r>
              <w:rPr>
                <w:rFonts w:ascii="Calibri"/>
                <w:b/>
                <w:color w:val="FFFFFF"/>
                <w:spacing w:val="-6"/>
                <w:sz w:val="20"/>
              </w:rPr>
              <w:t xml:space="preserve"> </w:t>
            </w:r>
            <w:r>
              <w:rPr>
                <w:rFonts w:ascii="Calibri"/>
                <w:b/>
                <w:color w:val="FFFFFF"/>
                <w:sz w:val="20"/>
              </w:rPr>
              <w:t>2025</w:t>
            </w:r>
            <w:r>
              <w:rPr>
                <w:rFonts w:ascii="Calibri"/>
                <w:b/>
                <w:color w:val="FFFFFF"/>
                <w:spacing w:val="-5"/>
                <w:sz w:val="20"/>
              </w:rPr>
              <w:t xml:space="preserve"> </w:t>
            </w:r>
            <w:r>
              <w:rPr>
                <w:rFonts w:ascii="Calibri"/>
                <w:b/>
                <w:color w:val="FFFFFF"/>
                <w:spacing w:val="-2"/>
                <w:sz w:val="20"/>
              </w:rPr>
              <w:t>(IDR)</w:t>
            </w:r>
          </w:p>
        </w:tc>
      </w:tr>
      <w:tr w:rsidR="00BC24A8" w14:paraId="0029AA55" w14:textId="77777777">
        <w:trPr>
          <w:trHeight w:val="438"/>
        </w:trPr>
        <w:tc>
          <w:tcPr>
            <w:tcW w:w="2938" w:type="dxa"/>
            <w:tcBorders>
              <w:bottom w:val="single" w:sz="4" w:space="0" w:color="BEBEBE"/>
            </w:tcBorders>
          </w:tcPr>
          <w:p w14:paraId="58D109C6" w14:textId="77777777" w:rsidR="00BC24A8" w:rsidRDefault="00000000">
            <w:pPr>
              <w:pStyle w:val="TableParagraph"/>
              <w:spacing w:before="102"/>
              <w:ind w:left="107"/>
              <w:rPr>
                <w:sz w:val="18"/>
              </w:rPr>
            </w:pPr>
            <w:r>
              <w:rPr>
                <w:sz w:val="18"/>
              </w:rPr>
              <w:t>PAD</w:t>
            </w:r>
            <w:r>
              <w:rPr>
                <w:spacing w:val="-2"/>
                <w:sz w:val="18"/>
              </w:rPr>
              <w:t xml:space="preserve"> </w:t>
            </w:r>
            <w:r>
              <w:rPr>
                <w:sz w:val="18"/>
              </w:rPr>
              <w:t>(Regional</w:t>
            </w:r>
            <w:r>
              <w:rPr>
                <w:spacing w:val="-2"/>
                <w:sz w:val="18"/>
              </w:rPr>
              <w:t xml:space="preserve"> Revenue)</w:t>
            </w:r>
          </w:p>
        </w:tc>
        <w:tc>
          <w:tcPr>
            <w:tcW w:w="2906" w:type="dxa"/>
            <w:tcBorders>
              <w:bottom w:val="single" w:sz="4" w:space="0" w:color="BEBEBE"/>
            </w:tcBorders>
          </w:tcPr>
          <w:p w14:paraId="6670E238" w14:textId="77777777" w:rsidR="00BC24A8" w:rsidRDefault="00000000">
            <w:pPr>
              <w:pStyle w:val="TableParagraph"/>
              <w:spacing w:before="102"/>
              <w:ind w:left="3" w:right="65"/>
              <w:jc w:val="center"/>
              <w:rPr>
                <w:sz w:val="18"/>
              </w:rPr>
            </w:pPr>
            <w:r>
              <w:rPr>
                <w:spacing w:val="-2"/>
                <w:sz w:val="18"/>
              </w:rPr>
              <w:t>139,954,200,000</w:t>
            </w:r>
          </w:p>
        </w:tc>
        <w:tc>
          <w:tcPr>
            <w:tcW w:w="3156" w:type="dxa"/>
            <w:tcBorders>
              <w:bottom w:val="single" w:sz="4" w:space="0" w:color="BEBEBE"/>
            </w:tcBorders>
          </w:tcPr>
          <w:p w14:paraId="13A370C3" w14:textId="77777777" w:rsidR="00BC24A8" w:rsidRDefault="00000000">
            <w:pPr>
              <w:pStyle w:val="TableParagraph"/>
              <w:spacing w:before="104"/>
              <w:ind w:right="1055"/>
              <w:jc w:val="right"/>
              <w:rPr>
                <w:sz w:val="18"/>
              </w:rPr>
            </w:pPr>
            <w:r>
              <w:rPr>
                <w:spacing w:val="-2"/>
                <w:sz w:val="18"/>
              </w:rPr>
              <w:t>355,413,845,398</w:t>
            </w:r>
          </w:p>
        </w:tc>
      </w:tr>
      <w:tr w:rsidR="00BC24A8" w14:paraId="2476BD13" w14:textId="77777777">
        <w:trPr>
          <w:trHeight w:val="393"/>
        </w:trPr>
        <w:tc>
          <w:tcPr>
            <w:tcW w:w="2938" w:type="dxa"/>
            <w:tcBorders>
              <w:top w:val="single" w:sz="4" w:space="0" w:color="BEBEBE"/>
              <w:bottom w:val="single" w:sz="4" w:space="0" w:color="BEBEBE"/>
            </w:tcBorders>
          </w:tcPr>
          <w:p w14:paraId="597828EA" w14:textId="77777777" w:rsidR="00BC24A8" w:rsidRDefault="00000000">
            <w:pPr>
              <w:pStyle w:val="TableParagraph"/>
              <w:spacing w:before="56"/>
              <w:ind w:left="107"/>
              <w:rPr>
                <w:sz w:val="18"/>
              </w:rPr>
            </w:pPr>
            <w:r>
              <w:rPr>
                <w:sz w:val="18"/>
              </w:rPr>
              <w:t xml:space="preserve">TKD (Fiscal </w:t>
            </w:r>
            <w:r>
              <w:rPr>
                <w:spacing w:val="-2"/>
                <w:sz w:val="18"/>
              </w:rPr>
              <w:t>Transfer)</w:t>
            </w:r>
          </w:p>
        </w:tc>
        <w:tc>
          <w:tcPr>
            <w:tcW w:w="2906" w:type="dxa"/>
            <w:tcBorders>
              <w:top w:val="single" w:sz="4" w:space="0" w:color="BEBEBE"/>
              <w:bottom w:val="single" w:sz="4" w:space="0" w:color="BEBEBE"/>
            </w:tcBorders>
          </w:tcPr>
          <w:p w14:paraId="71C66F06" w14:textId="77777777" w:rsidR="00BC24A8" w:rsidRDefault="00000000">
            <w:pPr>
              <w:pStyle w:val="TableParagraph"/>
              <w:spacing w:before="56"/>
              <w:ind w:left="1" w:right="65"/>
              <w:jc w:val="center"/>
              <w:rPr>
                <w:sz w:val="18"/>
              </w:rPr>
            </w:pPr>
            <w:r>
              <w:rPr>
                <w:spacing w:val="-2"/>
                <w:sz w:val="18"/>
              </w:rPr>
              <w:t>1,686,062,000,000</w:t>
            </w:r>
          </w:p>
        </w:tc>
        <w:tc>
          <w:tcPr>
            <w:tcW w:w="3156" w:type="dxa"/>
            <w:tcBorders>
              <w:top w:val="single" w:sz="4" w:space="0" w:color="BEBEBE"/>
              <w:bottom w:val="single" w:sz="4" w:space="0" w:color="BEBEBE"/>
            </w:tcBorders>
          </w:tcPr>
          <w:p w14:paraId="649E357C" w14:textId="77777777" w:rsidR="00BC24A8" w:rsidRDefault="00000000">
            <w:pPr>
              <w:pStyle w:val="TableParagraph"/>
              <w:spacing w:before="59"/>
              <w:ind w:right="985"/>
              <w:jc w:val="right"/>
              <w:rPr>
                <w:sz w:val="18"/>
              </w:rPr>
            </w:pPr>
            <w:r>
              <w:rPr>
                <w:spacing w:val="-2"/>
                <w:sz w:val="18"/>
              </w:rPr>
              <w:t>1,278,024,327,435</w:t>
            </w:r>
          </w:p>
        </w:tc>
      </w:tr>
      <w:tr w:rsidR="00BC24A8" w14:paraId="6A752CD5" w14:textId="77777777">
        <w:trPr>
          <w:trHeight w:val="393"/>
        </w:trPr>
        <w:tc>
          <w:tcPr>
            <w:tcW w:w="2938" w:type="dxa"/>
            <w:tcBorders>
              <w:top w:val="single" w:sz="4" w:space="0" w:color="BEBEBE"/>
              <w:bottom w:val="single" w:sz="4" w:space="0" w:color="BEBEBE"/>
            </w:tcBorders>
          </w:tcPr>
          <w:p w14:paraId="7A40525F" w14:textId="77777777" w:rsidR="00BC24A8" w:rsidRDefault="00000000">
            <w:pPr>
              <w:pStyle w:val="TableParagraph"/>
              <w:spacing w:before="59"/>
              <w:ind w:left="107"/>
              <w:rPr>
                <w:sz w:val="18"/>
              </w:rPr>
            </w:pPr>
            <w:r>
              <w:rPr>
                <w:sz w:val="18"/>
              </w:rPr>
              <w:t>Other</w:t>
            </w:r>
            <w:r>
              <w:rPr>
                <w:spacing w:val="-3"/>
                <w:sz w:val="18"/>
              </w:rPr>
              <w:t xml:space="preserve"> </w:t>
            </w:r>
            <w:r>
              <w:rPr>
                <w:sz w:val="18"/>
              </w:rPr>
              <w:t>sources:</w:t>
            </w:r>
            <w:r>
              <w:rPr>
                <w:spacing w:val="-2"/>
                <w:sz w:val="18"/>
              </w:rPr>
              <w:t xml:space="preserve"> </w:t>
            </w:r>
            <w:r>
              <w:rPr>
                <w:sz w:val="18"/>
              </w:rPr>
              <w:t>Grant</w:t>
            </w:r>
            <w:r>
              <w:rPr>
                <w:spacing w:val="-1"/>
                <w:sz w:val="18"/>
              </w:rPr>
              <w:t xml:space="preserve"> </w:t>
            </w:r>
            <w:r>
              <w:rPr>
                <w:spacing w:val="-2"/>
                <w:sz w:val="18"/>
              </w:rPr>
              <w:t>Income</w:t>
            </w:r>
          </w:p>
        </w:tc>
        <w:tc>
          <w:tcPr>
            <w:tcW w:w="2906" w:type="dxa"/>
            <w:tcBorders>
              <w:top w:val="single" w:sz="4" w:space="0" w:color="BEBEBE"/>
              <w:bottom w:val="single" w:sz="4" w:space="0" w:color="BEBEBE"/>
            </w:tcBorders>
          </w:tcPr>
          <w:p w14:paraId="10A509DD" w14:textId="77777777" w:rsidR="00BC24A8" w:rsidRDefault="00000000">
            <w:pPr>
              <w:pStyle w:val="TableParagraph"/>
              <w:spacing w:before="59"/>
              <w:ind w:left="3" w:right="65"/>
              <w:jc w:val="center"/>
              <w:rPr>
                <w:sz w:val="18"/>
              </w:rPr>
            </w:pPr>
            <w:r>
              <w:rPr>
                <w:spacing w:val="-2"/>
                <w:sz w:val="18"/>
              </w:rPr>
              <w:t>32,213,245,000</w:t>
            </w:r>
          </w:p>
        </w:tc>
        <w:tc>
          <w:tcPr>
            <w:tcW w:w="3156" w:type="dxa"/>
            <w:tcBorders>
              <w:top w:val="single" w:sz="4" w:space="0" w:color="BEBEBE"/>
              <w:bottom w:val="single" w:sz="4" w:space="0" w:color="BEBEBE"/>
            </w:tcBorders>
          </w:tcPr>
          <w:p w14:paraId="267826CC" w14:textId="77777777" w:rsidR="00BC24A8" w:rsidRDefault="00000000">
            <w:pPr>
              <w:pStyle w:val="TableParagraph"/>
              <w:spacing w:before="59"/>
              <w:ind w:left="919"/>
              <w:rPr>
                <w:sz w:val="18"/>
              </w:rPr>
            </w:pPr>
            <w:r>
              <w:rPr>
                <w:spacing w:val="-2"/>
                <w:sz w:val="18"/>
              </w:rPr>
              <w:t>33,279,652,161</w:t>
            </w:r>
          </w:p>
        </w:tc>
      </w:tr>
      <w:tr w:rsidR="00BC24A8" w14:paraId="2C462983" w14:textId="77777777">
        <w:trPr>
          <w:trHeight w:val="352"/>
        </w:trPr>
        <w:tc>
          <w:tcPr>
            <w:tcW w:w="2938" w:type="dxa"/>
            <w:tcBorders>
              <w:top w:val="single" w:sz="4" w:space="0" w:color="BEBEBE"/>
              <w:bottom w:val="single" w:sz="4" w:space="0" w:color="BEBEBE"/>
            </w:tcBorders>
            <w:shd w:val="clear" w:color="auto" w:fill="A7A9AC"/>
          </w:tcPr>
          <w:p w14:paraId="2C45E795" w14:textId="77777777" w:rsidR="00BC24A8" w:rsidRDefault="00000000">
            <w:pPr>
              <w:pStyle w:val="TableParagraph"/>
              <w:spacing w:before="59"/>
              <w:ind w:left="107"/>
              <w:rPr>
                <w:rFonts w:ascii="Calibri"/>
                <w:b/>
                <w:sz w:val="18"/>
              </w:rPr>
            </w:pPr>
            <w:r w:rsidRPr="00795364">
              <w:rPr>
                <w:rFonts w:ascii="Calibri"/>
                <w:b/>
                <w:color w:val="000000"/>
                <w:spacing w:val="-2"/>
                <w:sz w:val="18"/>
              </w:rPr>
              <w:t>TOTAL</w:t>
            </w:r>
          </w:p>
        </w:tc>
        <w:tc>
          <w:tcPr>
            <w:tcW w:w="2906" w:type="dxa"/>
            <w:tcBorders>
              <w:top w:val="single" w:sz="4" w:space="0" w:color="BEBEBE"/>
              <w:bottom w:val="single" w:sz="4" w:space="0" w:color="BEBEBE"/>
            </w:tcBorders>
            <w:shd w:val="clear" w:color="auto" w:fill="A7A9AC"/>
          </w:tcPr>
          <w:p w14:paraId="10D210CE" w14:textId="77777777" w:rsidR="00BC24A8" w:rsidRDefault="00000000">
            <w:pPr>
              <w:pStyle w:val="TableParagraph"/>
              <w:spacing w:before="59"/>
              <w:ind w:left="1" w:right="65"/>
              <w:jc w:val="center"/>
              <w:rPr>
                <w:rFonts w:ascii="Calibri"/>
                <w:b/>
                <w:sz w:val="18"/>
              </w:rPr>
            </w:pPr>
            <w:r w:rsidRPr="00795364">
              <w:rPr>
                <w:rFonts w:ascii="Calibri"/>
                <w:b/>
                <w:color w:val="000000"/>
                <w:spacing w:val="-2"/>
                <w:sz w:val="18"/>
              </w:rPr>
              <w:t>1,858,229,137,477</w:t>
            </w:r>
          </w:p>
        </w:tc>
        <w:tc>
          <w:tcPr>
            <w:tcW w:w="3156" w:type="dxa"/>
            <w:tcBorders>
              <w:top w:val="single" w:sz="4" w:space="0" w:color="BEBEBE"/>
              <w:bottom w:val="single" w:sz="4" w:space="0" w:color="BEBEBE"/>
            </w:tcBorders>
            <w:shd w:val="clear" w:color="auto" w:fill="A7A9AC"/>
          </w:tcPr>
          <w:p w14:paraId="65DB61DC" w14:textId="77777777" w:rsidR="00BC24A8" w:rsidRDefault="00000000">
            <w:pPr>
              <w:pStyle w:val="TableParagraph"/>
              <w:spacing w:before="59"/>
              <w:ind w:right="981"/>
              <w:jc w:val="right"/>
              <w:rPr>
                <w:rFonts w:ascii="Calibri"/>
                <w:b/>
                <w:sz w:val="18"/>
              </w:rPr>
            </w:pPr>
            <w:r w:rsidRPr="00795364">
              <w:rPr>
                <w:rFonts w:ascii="Calibri"/>
                <w:b/>
                <w:color w:val="000000"/>
                <w:spacing w:val="-2"/>
                <w:sz w:val="18"/>
              </w:rPr>
              <w:t>1,666,717,824,994</w:t>
            </w:r>
          </w:p>
        </w:tc>
      </w:tr>
    </w:tbl>
    <w:p w14:paraId="1AB35258" w14:textId="77777777" w:rsidR="00BC24A8" w:rsidRDefault="00000000">
      <w:pPr>
        <w:spacing w:before="126"/>
        <w:ind w:left="143"/>
        <w:rPr>
          <w:sz w:val="16"/>
        </w:rPr>
      </w:pPr>
      <w:r>
        <w:rPr>
          <w:sz w:val="16"/>
        </w:rPr>
        <w:t>Data</w:t>
      </w:r>
      <w:r>
        <w:rPr>
          <w:spacing w:val="-7"/>
          <w:sz w:val="16"/>
        </w:rPr>
        <w:t xml:space="preserve"> </w:t>
      </w:r>
      <w:r>
        <w:rPr>
          <w:sz w:val="16"/>
        </w:rPr>
        <w:t>source:</w:t>
      </w:r>
      <w:r>
        <w:rPr>
          <w:spacing w:val="-7"/>
          <w:sz w:val="16"/>
        </w:rPr>
        <w:t xml:space="preserve"> </w:t>
      </w:r>
      <w:r>
        <w:rPr>
          <w:sz w:val="16"/>
        </w:rPr>
        <w:t>2024</w:t>
      </w:r>
      <w:r>
        <w:rPr>
          <w:spacing w:val="-7"/>
          <w:sz w:val="16"/>
        </w:rPr>
        <w:t xml:space="preserve"> </w:t>
      </w:r>
      <w:r>
        <w:rPr>
          <w:sz w:val="16"/>
        </w:rPr>
        <w:t>and</w:t>
      </w:r>
      <w:r>
        <w:rPr>
          <w:spacing w:val="-8"/>
          <w:sz w:val="16"/>
        </w:rPr>
        <w:t xml:space="preserve"> </w:t>
      </w:r>
      <w:r>
        <w:rPr>
          <w:sz w:val="16"/>
        </w:rPr>
        <w:t>2025</w:t>
      </w:r>
      <w:r>
        <w:rPr>
          <w:spacing w:val="-6"/>
          <w:sz w:val="16"/>
        </w:rPr>
        <w:t xml:space="preserve"> </w:t>
      </w:r>
      <w:r>
        <w:rPr>
          <w:sz w:val="16"/>
        </w:rPr>
        <w:t>Gorontalo</w:t>
      </w:r>
      <w:r>
        <w:rPr>
          <w:spacing w:val="-6"/>
          <w:sz w:val="16"/>
        </w:rPr>
        <w:t xml:space="preserve"> </w:t>
      </w:r>
      <w:r>
        <w:rPr>
          <w:sz w:val="16"/>
        </w:rPr>
        <w:t>Provincial</w:t>
      </w:r>
      <w:r>
        <w:rPr>
          <w:spacing w:val="-5"/>
          <w:sz w:val="16"/>
        </w:rPr>
        <w:t xml:space="preserve"> </w:t>
      </w:r>
      <w:r>
        <w:rPr>
          <w:sz w:val="16"/>
        </w:rPr>
        <w:t>APBD</w:t>
      </w:r>
      <w:r>
        <w:rPr>
          <w:spacing w:val="-6"/>
          <w:sz w:val="16"/>
        </w:rPr>
        <w:t xml:space="preserve"> </w:t>
      </w:r>
      <w:r>
        <w:rPr>
          <w:spacing w:val="-4"/>
          <w:sz w:val="16"/>
        </w:rPr>
        <w:t>Data</w:t>
      </w:r>
    </w:p>
    <w:p w14:paraId="6C6AC5F2" w14:textId="77777777" w:rsidR="00BC24A8" w:rsidRDefault="00BC24A8">
      <w:pPr>
        <w:rPr>
          <w:sz w:val="16"/>
        </w:rPr>
        <w:sectPr w:rsidR="00BC24A8">
          <w:pgSz w:w="11910" w:h="16840"/>
          <w:pgMar w:top="1320" w:right="850" w:bottom="1100" w:left="1275" w:header="0" w:footer="907" w:gutter="0"/>
          <w:cols w:space="720"/>
        </w:sectPr>
      </w:pPr>
    </w:p>
    <w:p w14:paraId="5738B5CC" w14:textId="77777777" w:rsidR="00BC24A8" w:rsidRDefault="00000000">
      <w:pPr>
        <w:spacing w:before="39"/>
        <w:ind w:left="143"/>
        <w:rPr>
          <w:rFonts w:ascii="Calibri"/>
          <w:i/>
        </w:rPr>
      </w:pPr>
      <w:r>
        <w:rPr>
          <w:rFonts w:ascii="Calibri"/>
          <w:i/>
          <w:color w:val="272727"/>
        </w:rPr>
        <w:lastRenderedPageBreak/>
        <w:t>Dynamics</w:t>
      </w:r>
      <w:r>
        <w:rPr>
          <w:rFonts w:ascii="Calibri"/>
          <w:i/>
          <w:color w:val="272727"/>
          <w:spacing w:val="-6"/>
        </w:rPr>
        <w:t xml:space="preserve"> </w:t>
      </w:r>
      <w:r>
        <w:rPr>
          <w:rFonts w:ascii="Calibri"/>
          <w:i/>
          <w:color w:val="272727"/>
        </w:rPr>
        <w:t>shaping</w:t>
      </w:r>
      <w:r>
        <w:rPr>
          <w:rFonts w:ascii="Calibri"/>
          <w:i/>
          <w:color w:val="272727"/>
          <w:spacing w:val="-6"/>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6"/>
        </w:rPr>
        <w:t xml:space="preserve"> </w:t>
      </w:r>
      <w:r>
        <w:rPr>
          <w:rFonts w:ascii="Calibri"/>
          <w:i/>
          <w:color w:val="272727"/>
          <w:spacing w:val="-2"/>
        </w:rPr>
        <w:t>implementation</w:t>
      </w:r>
    </w:p>
    <w:p w14:paraId="35A327B4" w14:textId="77777777" w:rsidR="00BC24A8" w:rsidRDefault="00000000">
      <w:pPr>
        <w:pStyle w:val="BodyText"/>
        <w:spacing w:before="22" w:line="278" w:lineRule="auto"/>
        <w:ind w:left="143" w:right="563"/>
        <w:jc w:val="both"/>
      </w:pPr>
      <w:r>
        <w:t>Leadership transitions and personnel rotations within Gorontalo Provincial agencies have impacted SKALA</w:t>
      </w:r>
      <w:r>
        <w:rPr>
          <w:spacing w:val="-4"/>
        </w:rPr>
        <w:t xml:space="preserve"> </w:t>
      </w:r>
      <w:r>
        <w:t>Program</w:t>
      </w:r>
      <w:r>
        <w:rPr>
          <w:spacing w:val="-4"/>
        </w:rPr>
        <w:t xml:space="preserve"> </w:t>
      </w:r>
      <w:r>
        <w:t>coordination.</w:t>
      </w:r>
      <w:r>
        <w:rPr>
          <w:spacing w:val="-3"/>
        </w:rPr>
        <w:t xml:space="preserve"> </w:t>
      </w:r>
      <w:r>
        <w:t>At</w:t>
      </w:r>
      <w:r>
        <w:rPr>
          <w:spacing w:val="-5"/>
        </w:rPr>
        <w:t xml:space="preserve"> </w:t>
      </w:r>
      <w:r>
        <w:t>the</w:t>
      </w:r>
      <w:r>
        <w:rPr>
          <w:spacing w:val="-6"/>
        </w:rPr>
        <w:t xml:space="preserve"> </w:t>
      </w:r>
      <w:r>
        <w:t>same</w:t>
      </w:r>
      <w:r>
        <w:rPr>
          <w:spacing w:val="-6"/>
        </w:rPr>
        <w:t xml:space="preserve"> </w:t>
      </w:r>
      <w:r>
        <w:t>time,</w:t>
      </w:r>
      <w:r>
        <w:rPr>
          <w:spacing w:val="-3"/>
        </w:rPr>
        <w:t xml:space="preserve"> </w:t>
      </w:r>
      <w:r>
        <w:t>the</w:t>
      </w:r>
      <w:r>
        <w:rPr>
          <w:spacing w:val="-6"/>
        </w:rPr>
        <w:t xml:space="preserve"> </w:t>
      </w:r>
      <w:r>
        <w:t>preparation</w:t>
      </w:r>
      <w:r>
        <w:rPr>
          <w:spacing w:val="-4"/>
        </w:rPr>
        <w:t xml:space="preserve"> </w:t>
      </w:r>
      <w:r>
        <w:t>of</w:t>
      </w:r>
      <w:r>
        <w:rPr>
          <w:spacing w:val="-6"/>
        </w:rPr>
        <w:t xml:space="preserve"> </w:t>
      </w:r>
      <w:r>
        <w:t>the</w:t>
      </w:r>
      <w:r>
        <w:rPr>
          <w:spacing w:val="-6"/>
        </w:rPr>
        <w:t xml:space="preserve"> </w:t>
      </w:r>
      <w:r>
        <w:t>2025–2029</w:t>
      </w:r>
      <w:r>
        <w:rPr>
          <w:spacing w:val="-4"/>
        </w:rPr>
        <w:t xml:space="preserve"> </w:t>
      </w:r>
      <w:r>
        <w:t>Regional</w:t>
      </w:r>
      <w:r>
        <w:rPr>
          <w:spacing w:val="-5"/>
        </w:rPr>
        <w:t xml:space="preserve"> </w:t>
      </w:r>
      <w:r>
        <w:t>Long-Term and</w:t>
      </w:r>
      <w:r>
        <w:rPr>
          <w:spacing w:val="-13"/>
        </w:rPr>
        <w:t xml:space="preserve"> </w:t>
      </w:r>
      <w:r>
        <w:t>Medium-Term</w:t>
      </w:r>
      <w:r>
        <w:rPr>
          <w:spacing w:val="-12"/>
        </w:rPr>
        <w:t xml:space="preserve"> </w:t>
      </w:r>
      <w:r>
        <w:t>Development</w:t>
      </w:r>
      <w:r>
        <w:rPr>
          <w:spacing w:val="-13"/>
        </w:rPr>
        <w:t xml:space="preserve"> </w:t>
      </w:r>
      <w:r>
        <w:t>Plans</w:t>
      </w:r>
      <w:r>
        <w:rPr>
          <w:spacing w:val="-12"/>
        </w:rPr>
        <w:t xml:space="preserve"> </w:t>
      </w:r>
      <w:r>
        <w:t>(RPJPD</w:t>
      </w:r>
      <w:r>
        <w:rPr>
          <w:spacing w:val="-13"/>
        </w:rPr>
        <w:t xml:space="preserve"> </w:t>
      </w:r>
      <w:r>
        <w:t>and</w:t>
      </w:r>
      <w:r>
        <w:rPr>
          <w:spacing w:val="-12"/>
        </w:rPr>
        <w:t xml:space="preserve"> </w:t>
      </w:r>
      <w:r>
        <w:t>RPJMD)</w:t>
      </w:r>
      <w:r>
        <w:rPr>
          <w:spacing w:val="-13"/>
        </w:rPr>
        <w:t xml:space="preserve"> </w:t>
      </w:r>
      <w:r>
        <w:t>provides</w:t>
      </w:r>
      <w:r>
        <w:rPr>
          <w:spacing w:val="-12"/>
        </w:rPr>
        <w:t xml:space="preserve"> </w:t>
      </w:r>
      <w:r>
        <w:t>a</w:t>
      </w:r>
      <w:r>
        <w:rPr>
          <w:spacing w:val="-12"/>
        </w:rPr>
        <w:t xml:space="preserve"> </w:t>
      </w:r>
      <w:r>
        <w:t>strategic</w:t>
      </w:r>
      <w:r>
        <w:rPr>
          <w:spacing w:val="-13"/>
        </w:rPr>
        <w:t xml:space="preserve"> </w:t>
      </w:r>
      <w:r>
        <w:t>opportunity</w:t>
      </w:r>
      <w:r>
        <w:rPr>
          <w:spacing w:val="-12"/>
        </w:rPr>
        <w:t xml:space="preserve"> </w:t>
      </w:r>
      <w:r>
        <w:t>for</w:t>
      </w:r>
      <w:r>
        <w:rPr>
          <w:spacing w:val="-13"/>
        </w:rPr>
        <w:t xml:space="preserve"> </w:t>
      </w:r>
      <w:r>
        <w:t>SKALA</w:t>
      </w:r>
      <w:r>
        <w:rPr>
          <w:spacing w:val="-12"/>
        </w:rPr>
        <w:t xml:space="preserve"> </w:t>
      </w:r>
      <w:r>
        <w:t>to align</w:t>
      </w:r>
      <w:r>
        <w:rPr>
          <w:spacing w:val="-2"/>
        </w:rPr>
        <w:t xml:space="preserve"> </w:t>
      </w:r>
      <w:r>
        <w:t>its</w:t>
      </w:r>
      <w:r>
        <w:rPr>
          <w:spacing w:val="-2"/>
        </w:rPr>
        <w:t xml:space="preserve"> </w:t>
      </w:r>
      <w:r>
        <w:t>support</w:t>
      </w:r>
      <w:r>
        <w:rPr>
          <w:spacing w:val="-3"/>
        </w:rPr>
        <w:t xml:space="preserve"> </w:t>
      </w:r>
      <w:r>
        <w:t>with</w:t>
      </w:r>
      <w:r>
        <w:rPr>
          <w:spacing w:val="-2"/>
        </w:rPr>
        <w:t xml:space="preserve"> </w:t>
      </w:r>
      <w:r>
        <w:t>the</w:t>
      </w:r>
      <w:r>
        <w:rPr>
          <w:spacing w:val="-4"/>
        </w:rPr>
        <w:t xml:space="preserve"> </w:t>
      </w:r>
      <w:r>
        <w:t>province’s</w:t>
      </w:r>
      <w:r>
        <w:rPr>
          <w:spacing w:val="-2"/>
        </w:rPr>
        <w:t xml:space="preserve"> </w:t>
      </w:r>
      <w:r>
        <w:t>development</w:t>
      </w:r>
      <w:r>
        <w:rPr>
          <w:spacing w:val="-3"/>
        </w:rPr>
        <w:t xml:space="preserve"> </w:t>
      </w:r>
      <w:r>
        <w:t>priorities</w:t>
      </w:r>
      <w:r>
        <w:rPr>
          <w:spacing w:val="-2"/>
        </w:rPr>
        <w:t xml:space="preserve"> </w:t>
      </w:r>
      <w:r>
        <w:t>and</w:t>
      </w:r>
      <w:r>
        <w:rPr>
          <w:spacing w:val="-2"/>
        </w:rPr>
        <w:t xml:space="preserve"> </w:t>
      </w:r>
      <w:r>
        <w:t>to</w:t>
      </w:r>
      <w:r>
        <w:rPr>
          <w:spacing w:val="-2"/>
        </w:rPr>
        <w:t xml:space="preserve"> </w:t>
      </w:r>
      <w:r>
        <w:t>promote</w:t>
      </w:r>
      <w:r>
        <w:rPr>
          <w:spacing w:val="-4"/>
        </w:rPr>
        <w:t xml:space="preserve"> </w:t>
      </w:r>
      <w:r>
        <w:t>the</w:t>
      </w:r>
      <w:r>
        <w:rPr>
          <w:spacing w:val="-4"/>
        </w:rPr>
        <w:t xml:space="preserve"> </w:t>
      </w:r>
      <w:r>
        <w:t>integration</w:t>
      </w:r>
      <w:r>
        <w:rPr>
          <w:spacing w:val="-2"/>
        </w:rPr>
        <w:t xml:space="preserve"> </w:t>
      </w:r>
      <w:r>
        <w:t>of</w:t>
      </w:r>
      <w:r>
        <w:rPr>
          <w:spacing w:val="-4"/>
        </w:rPr>
        <w:t xml:space="preserve"> </w:t>
      </w:r>
      <w:r>
        <w:t>inclusive policy recommendations.</w:t>
      </w:r>
    </w:p>
    <w:p w14:paraId="4F370100" w14:textId="77777777" w:rsidR="00BC24A8" w:rsidRDefault="00000000">
      <w:pPr>
        <w:pStyle w:val="BodyText"/>
        <w:spacing w:before="156" w:line="278" w:lineRule="auto"/>
        <w:ind w:left="143" w:right="561"/>
        <w:jc w:val="both"/>
      </w:pPr>
      <w:r>
        <w:t>However,</w:t>
      </w:r>
      <w:r>
        <w:rPr>
          <w:spacing w:val="-1"/>
        </w:rPr>
        <w:t xml:space="preserve"> </w:t>
      </w:r>
      <w:r>
        <w:t>the</w:t>
      </w:r>
      <w:r>
        <w:rPr>
          <w:spacing w:val="-2"/>
        </w:rPr>
        <w:t xml:space="preserve"> </w:t>
      </w:r>
      <w:r>
        <w:t>issuance</w:t>
      </w:r>
      <w:r>
        <w:rPr>
          <w:spacing w:val="-2"/>
        </w:rPr>
        <w:t xml:space="preserve"> </w:t>
      </w:r>
      <w:r>
        <w:t>of</w:t>
      </w:r>
      <w:r>
        <w:rPr>
          <w:spacing w:val="-2"/>
        </w:rPr>
        <w:t xml:space="preserve"> </w:t>
      </w:r>
      <w:r>
        <w:t>Presidential</w:t>
      </w:r>
      <w:r>
        <w:rPr>
          <w:spacing w:val="-2"/>
        </w:rPr>
        <w:t xml:space="preserve"> </w:t>
      </w:r>
      <w:r>
        <w:t>Instruction</w:t>
      </w:r>
      <w:r>
        <w:rPr>
          <w:spacing w:val="-3"/>
        </w:rPr>
        <w:t xml:space="preserve"> </w:t>
      </w:r>
      <w:r>
        <w:t>No.</w:t>
      </w:r>
      <w:r>
        <w:rPr>
          <w:spacing w:val="-1"/>
        </w:rPr>
        <w:t xml:space="preserve"> </w:t>
      </w:r>
      <w:r>
        <w:t>1</w:t>
      </w:r>
      <w:r>
        <w:rPr>
          <w:spacing w:val="-3"/>
        </w:rPr>
        <w:t xml:space="preserve"> </w:t>
      </w:r>
      <w:r>
        <w:t>of</w:t>
      </w:r>
      <w:r>
        <w:rPr>
          <w:spacing w:val="-2"/>
        </w:rPr>
        <w:t xml:space="preserve"> </w:t>
      </w:r>
      <w:r>
        <w:t>2025</w:t>
      </w:r>
      <w:r>
        <w:rPr>
          <w:spacing w:val="-1"/>
        </w:rPr>
        <w:t xml:space="preserve"> </w:t>
      </w:r>
      <w:r>
        <w:t>on</w:t>
      </w:r>
      <w:r>
        <w:rPr>
          <w:spacing w:val="-3"/>
        </w:rPr>
        <w:t xml:space="preserve"> </w:t>
      </w:r>
      <w:r>
        <w:t>budget</w:t>
      </w:r>
      <w:r>
        <w:rPr>
          <w:spacing w:val="-4"/>
        </w:rPr>
        <w:t xml:space="preserve"> </w:t>
      </w:r>
      <w:r>
        <w:t>efficiency,</w:t>
      </w:r>
      <w:r>
        <w:rPr>
          <w:spacing w:val="-1"/>
        </w:rPr>
        <w:t xml:space="preserve"> </w:t>
      </w:r>
      <w:r>
        <w:t>delays</w:t>
      </w:r>
      <w:r>
        <w:rPr>
          <w:spacing w:val="-1"/>
        </w:rPr>
        <w:t xml:space="preserve"> </w:t>
      </w:r>
      <w:r>
        <w:t>in</w:t>
      </w:r>
      <w:r>
        <w:rPr>
          <w:spacing w:val="-1"/>
        </w:rPr>
        <w:t xml:space="preserve"> </w:t>
      </w:r>
      <w:r>
        <w:t>national regulations such as the technical guidelines for regional taxes and levies (PDRD), and rapid changes in planning</w:t>
      </w:r>
      <w:r>
        <w:rPr>
          <w:spacing w:val="-5"/>
        </w:rPr>
        <w:t xml:space="preserve"> </w:t>
      </w:r>
      <w:r>
        <w:t>indicators</w:t>
      </w:r>
      <w:r>
        <w:rPr>
          <w:spacing w:val="-4"/>
        </w:rPr>
        <w:t xml:space="preserve"> </w:t>
      </w:r>
      <w:r>
        <w:t>in</w:t>
      </w:r>
      <w:r>
        <w:rPr>
          <w:spacing w:val="-4"/>
        </w:rPr>
        <w:t xml:space="preserve"> </w:t>
      </w:r>
      <w:r>
        <w:t>the</w:t>
      </w:r>
      <w:r>
        <w:rPr>
          <w:spacing w:val="-6"/>
        </w:rPr>
        <w:t xml:space="preserve"> </w:t>
      </w:r>
      <w:r>
        <w:t>KUA-PPAS</w:t>
      </w:r>
      <w:hyperlink w:anchor="_bookmark97" w:history="1">
        <w:r w:rsidR="00BC24A8">
          <w:rPr>
            <w:vertAlign w:val="superscript"/>
          </w:rPr>
          <w:t>40</w:t>
        </w:r>
      </w:hyperlink>
      <w:r>
        <w:rPr>
          <w:spacing w:val="-6"/>
        </w:rPr>
        <w:t xml:space="preserve"> </w:t>
      </w:r>
      <w:r>
        <w:t>and</w:t>
      </w:r>
      <w:r>
        <w:rPr>
          <w:spacing w:val="-4"/>
        </w:rPr>
        <w:t xml:space="preserve"> </w:t>
      </w:r>
      <w:r>
        <w:t>KEM-PPKF</w:t>
      </w:r>
      <w:hyperlink w:anchor="_bookmark98" w:history="1">
        <w:r w:rsidR="00BC24A8">
          <w:rPr>
            <w:vertAlign w:val="superscript"/>
          </w:rPr>
          <w:t>41</w:t>
        </w:r>
      </w:hyperlink>
      <w:r>
        <w:rPr>
          <w:spacing w:val="-6"/>
        </w:rPr>
        <w:t xml:space="preserve"> </w:t>
      </w:r>
      <w:r>
        <w:t>have</w:t>
      </w:r>
      <w:r>
        <w:rPr>
          <w:spacing w:val="-6"/>
        </w:rPr>
        <w:t xml:space="preserve"> </w:t>
      </w:r>
      <w:r>
        <w:t>caused</w:t>
      </w:r>
      <w:r>
        <w:rPr>
          <w:spacing w:val="-4"/>
        </w:rPr>
        <w:t xml:space="preserve"> </w:t>
      </w:r>
      <w:r>
        <w:t>delays</w:t>
      </w:r>
      <w:r>
        <w:rPr>
          <w:spacing w:val="-4"/>
        </w:rPr>
        <w:t xml:space="preserve"> </w:t>
      </w:r>
      <w:r>
        <w:t>and</w:t>
      </w:r>
      <w:r>
        <w:rPr>
          <w:spacing w:val="-4"/>
        </w:rPr>
        <w:t xml:space="preserve"> </w:t>
      </w:r>
      <w:r>
        <w:t>required</w:t>
      </w:r>
      <w:r>
        <w:rPr>
          <w:spacing w:val="-4"/>
        </w:rPr>
        <w:t xml:space="preserve"> </w:t>
      </w:r>
      <w:r>
        <w:t>adjustments</w:t>
      </w:r>
      <w:r>
        <w:rPr>
          <w:spacing w:val="-4"/>
        </w:rPr>
        <w:t xml:space="preserve"> </w:t>
      </w:r>
      <w:r>
        <w:t>in SKALA activities. Some activities related to Minimum Service Standards (MSS) and data were not implemented—for example, monitoring and supervision visits to districts for MSS report input— resulting in lower fourth-quarter achievements due to incomplete district-level data. In addition, data analysis for the portal was stalled as the expert contract was not extended.</w:t>
      </w:r>
    </w:p>
    <w:p w14:paraId="0C2E4A53" w14:textId="77777777" w:rsidR="00BC24A8" w:rsidRDefault="00BC24A8">
      <w:pPr>
        <w:pStyle w:val="BodyText"/>
        <w:spacing w:before="39"/>
      </w:pPr>
    </w:p>
    <w:p w14:paraId="66E60627" w14:textId="77777777" w:rsidR="00BC24A8" w:rsidRDefault="00000000">
      <w:pPr>
        <w:ind w:left="143"/>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3"/>
        </w:rPr>
        <w:t xml:space="preserve"> </w:t>
      </w:r>
      <w:r>
        <w:rPr>
          <w:rFonts w:ascii="Calibri"/>
          <w:i/>
          <w:color w:val="272727"/>
        </w:rPr>
        <w:t>SKALA</w:t>
      </w:r>
      <w:r>
        <w:rPr>
          <w:rFonts w:ascii="Calibri"/>
          <w:i/>
          <w:color w:val="272727"/>
          <w:spacing w:val="-7"/>
        </w:rPr>
        <w:t xml:space="preserve"> </w:t>
      </w:r>
      <w:r>
        <w:rPr>
          <w:rFonts w:ascii="Calibri"/>
          <w:i/>
          <w:color w:val="272727"/>
        </w:rPr>
        <w:t>Program</w:t>
      </w:r>
      <w:r>
        <w:rPr>
          <w:rFonts w:ascii="Calibri"/>
          <w:i/>
          <w:color w:val="272727"/>
          <w:spacing w:val="-3"/>
        </w:rPr>
        <w:t xml:space="preserve"> </w:t>
      </w:r>
      <w:r>
        <w:rPr>
          <w:rFonts w:ascii="Calibri"/>
          <w:i/>
          <w:color w:val="272727"/>
        </w:rPr>
        <w:t>Priorities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Provinces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FY</w:t>
      </w:r>
      <w:r>
        <w:rPr>
          <w:rFonts w:ascii="Calibri"/>
          <w:i/>
          <w:color w:val="272727"/>
          <w:spacing w:val="-4"/>
        </w:rPr>
        <w:t xml:space="preserve"> </w:t>
      </w:r>
      <w:r>
        <w:rPr>
          <w:rFonts w:ascii="Calibri"/>
          <w:i/>
          <w:color w:val="272727"/>
          <w:spacing w:val="-2"/>
        </w:rPr>
        <w:t>2024/2025</w:t>
      </w:r>
    </w:p>
    <w:p w14:paraId="2186E242" w14:textId="77777777" w:rsidR="00BC24A8" w:rsidRDefault="00000000">
      <w:pPr>
        <w:pStyle w:val="BodyText"/>
        <w:spacing w:before="22"/>
        <w:ind w:left="143"/>
        <w:jc w:val="both"/>
      </w:pPr>
      <w:r>
        <w:t>SKALA</w:t>
      </w:r>
      <w:r>
        <w:rPr>
          <w:spacing w:val="-9"/>
        </w:rPr>
        <w:t xml:space="preserve"> </w:t>
      </w:r>
      <w:r>
        <w:t>supports</w:t>
      </w:r>
      <w:r>
        <w:rPr>
          <w:spacing w:val="-8"/>
        </w:rPr>
        <w:t xml:space="preserve"> </w:t>
      </w:r>
      <w:r>
        <w:t>the</w:t>
      </w:r>
      <w:r>
        <w:rPr>
          <w:spacing w:val="-9"/>
        </w:rPr>
        <w:t xml:space="preserve"> </w:t>
      </w:r>
      <w:r>
        <w:t>Gorontalo</w:t>
      </w:r>
      <w:r>
        <w:rPr>
          <w:spacing w:val="-9"/>
        </w:rPr>
        <w:t xml:space="preserve"> </w:t>
      </w:r>
      <w:r>
        <w:t>Provincial</w:t>
      </w:r>
      <w:r>
        <w:rPr>
          <w:spacing w:val="-9"/>
        </w:rPr>
        <w:t xml:space="preserve"> </w:t>
      </w:r>
      <w:r>
        <w:t>government</w:t>
      </w:r>
      <w:r>
        <w:rPr>
          <w:spacing w:val="-11"/>
        </w:rPr>
        <w:t xml:space="preserve"> </w:t>
      </w:r>
      <w:r>
        <w:t>with</w:t>
      </w:r>
      <w:r>
        <w:rPr>
          <w:spacing w:val="-8"/>
        </w:rPr>
        <w:t xml:space="preserve"> </w:t>
      </w:r>
      <w:r>
        <w:t>priorities</w:t>
      </w:r>
      <w:r>
        <w:rPr>
          <w:spacing w:val="-8"/>
        </w:rPr>
        <w:t xml:space="preserve"> </w:t>
      </w:r>
      <w:r>
        <w:rPr>
          <w:spacing w:val="-5"/>
        </w:rPr>
        <w:t>on:</w:t>
      </w:r>
    </w:p>
    <w:p w14:paraId="4EA2BA85" w14:textId="77777777" w:rsidR="00BC24A8" w:rsidRDefault="00000000">
      <w:pPr>
        <w:pStyle w:val="ListParagraph"/>
        <w:numPr>
          <w:ilvl w:val="0"/>
          <w:numId w:val="126"/>
        </w:numPr>
        <w:tabs>
          <w:tab w:val="left" w:pos="681"/>
          <w:tab w:val="left" w:pos="683"/>
        </w:tabs>
        <w:spacing w:before="202"/>
        <w:ind w:right="565" w:hanging="361"/>
      </w:pPr>
      <w:r>
        <w:t>Data</w:t>
      </w:r>
      <w:r>
        <w:rPr>
          <w:spacing w:val="-8"/>
        </w:rPr>
        <w:t xml:space="preserve"> </w:t>
      </w:r>
      <w:r>
        <w:t>and</w:t>
      </w:r>
      <w:r>
        <w:rPr>
          <w:spacing w:val="-7"/>
        </w:rPr>
        <w:t xml:space="preserve"> </w:t>
      </w:r>
      <w:r>
        <w:t>Analytics</w:t>
      </w:r>
      <w:r>
        <w:rPr>
          <w:spacing w:val="-7"/>
        </w:rPr>
        <w:t xml:space="preserve"> </w:t>
      </w:r>
      <w:r>
        <w:t>(DNA):</w:t>
      </w:r>
      <w:r>
        <w:rPr>
          <w:spacing w:val="-9"/>
        </w:rPr>
        <w:t xml:space="preserve"> </w:t>
      </w:r>
      <w:r>
        <w:t>Promoting</w:t>
      </w:r>
      <w:r>
        <w:rPr>
          <w:spacing w:val="-9"/>
        </w:rPr>
        <w:t xml:space="preserve"> </w:t>
      </w:r>
      <w:r>
        <w:t>the</w:t>
      </w:r>
      <w:r>
        <w:rPr>
          <w:spacing w:val="-6"/>
        </w:rPr>
        <w:t xml:space="preserve"> </w:t>
      </w:r>
      <w:r>
        <w:t>availability</w:t>
      </w:r>
      <w:r>
        <w:rPr>
          <w:spacing w:val="-7"/>
        </w:rPr>
        <w:t xml:space="preserve"> </w:t>
      </w:r>
      <w:r>
        <w:t>and</w:t>
      </w:r>
      <w:r>
        <w:rPr>
          <w:spacing w:val="-7"/>
        </w:rPr>
        <w:t xml:space="preserve"> </w:t>
      </w:r>
      <w:r>
        <w:t>use</w:t>
      </w:r>
      <w:r>
        <w:rPr>
          <w:spacing w:val="-9"/>
        </w:rPr>
        <w:t xml:space="preserve"> </w:t>
      </w:r>
      <w:r>
        <w:t>of</w:t>
      </w:r>
      <w:r>
        <w:rPr>
          <w:spacing w:val="-6"/>
        </w:rPr>
        <w:t xml:space="preserve"> </w:t>
      </w:r>
      <w:r>
        <w:t>data,</w:t>
      </w:r>
      <w:r>
        <w:rPr>
          <w:spacing w:val="-9"/>
        </w:rPr>
        <w:t xml:space="preserve"> </w:t>
      </w:r>
      <w:r>
        <w:t>including</w:t>
      </w:r>
      <w:r>
        <w:rPr>
          <w:spacing w:val="-8"/>
        </w:rPr>
        <w:t xml:space="preserve"> </w:t>
      </w:r>
      <w:r>
        <w:t>data</w:t>
      </w:r>
      <w:r>
        <w:rPr>
          <w:spacing w:val="-8"/>
        </w:rPr>
        <w:t xml:space="preserve"> </w:t>
      </w:r>
      <w:r>
        <w:t>on</w:t>
      </w:r>
      <w:r>
        <w:rPr>
          <w:spacing w:val="-9"/>
        </w:rPr>
        <w:t xml:space="preserve"> </w:t>
      </w:r>
      <w:r>
        <w:t>vulnerable groups, to reflect actual conditions and inform policy and planning.</w:t>
      </w:r>
    </w:p>
    <w:p w14:paraId="53DA512A" w14:textId="77777777" w:rsidR="00BC24A8" w:rsidRDefault="00000000">
      <w:pPr>
        <w:pStyle w:val="ListParagraph"/>
        <w:numPr>
          <w:ilvl w:val="0"/>
          <w:numId w:val="126"/>
        </w:numPr>
        <w:tabs>
          <w:tab w:val="left" w:pos="683"/>
        </w:tabs>
        <w:spacing w:before="1"/>
        <w:ind w:right="564"/>
      </w:pPr>
      <w:r>
        <w:t>Minimum Service Standards (MSS): Strengthening the capacity of local governments to plan and manage</w:t>
      </w:r>
      <w:r>
        <w:rPr>
          <w:spacing w:val="-2"/>
        </w:rPr>
        <w:t xml:space="preserve"> </w:t>
      </w:r>
      <w:r>
        <w:t>the</w:t>
      </w:r>
      <w:r>
        <w:rPr>
          <w:spacing w:val="-4"/>
        </w:rPr>
        <w:t xml:space="preserve"> </w:t>
      </w:r>
      <w:r>
        <w:t>provision</w:t>
      </w:r>
      <w:r>
        <w:rPr>
          <w:spacing w:val="-2"/>
        </w:rPr>
        <w:t xml:space="preserve"> </w:t>
      </w:r>
      <w:r>
        <w:t>of</w:t>
      </w:r>
      <w:r>
        <w:rPr>
          <w:spacing w:val="-2"/>
        </w:rPr>
        <w:t xml:space="preserve"> </w:t>
      </w:r>
      <w:r>
        <w:t>quality</w:t>
      </w:r>
      <w:r>
        <w:rPr>
          <w:spacing w:val="-2"/>
        </w:rPr>
        <w:t xml:space="preserve"> </w:t>
      </w:r>
      <w:r>
        <w:t>and</w:t>
      </w:r>
      <w:r>
        <w:rPr>
          <w:spacing w:val="-2"/>
        </w:rPr>
        <w:t xml:space="preserve"> </w:t>
      </w:r>
      <w:r>
        <w:t>inclusive</w:t>
      </w:r>
      <w:r>
        <w:rPr>
          <w:spacing w:val="-2"/>
        </w:rPr>
        <w:t xml:space="preserve"> </w:t>
      </w:r>
      <w:r>
        <w:t>public</w:t>
      </w:r>
      <w:r>
        <w:rPr>
          <w:spacing w:val="-3"/>
        </w:rPr>
        <w:t xml:space="preserve"> </w:t>
      </w:r>
      <w:r>
        <w:t>services</w:t>
      </w:r>
      <w:r>
        <w:rPr>
          <w:spacing w:val="-2"/>
        </w:rPr>
        <w:t xml:space="preserve"> </w:t>
      </w:r>
      <w:r>
        <w:t>through</w:t>
      </w:r>
      <w:r>
        <w:rPr>
          <w:spacing w:val="-2"/>
        </w:rPr>
        <w:t xml:space="preserve"> </w:t>
      </w:r>
      <w:r>
        <w:t>technical</w:t>
      </w:r>
      <w:r>
        <w:rPr>
          <w:spacing w:val="-4"/>
        </w:rPr>
        <w:t xml:space="preserve"> </w:t>
      </w:r>
      <w:r>
        <w:t>assistance,</w:t>
      </w:r>
      <w:r>
        <w:rPr>
          <w:spacing w:val="-2"/>
        </w:rPr>
        <w:t xml:space="preserve"> </w:t>
      </w:r>
      <w:r>
        <w:t>action plan development, and inter-departmental collaboration.</w:t>
      </w:r>
    </w:p>
    <w:p w14:paraId="796891B8" w14:textId="77777777" w:rsidR="00BC24A8" w:rsidRDefault="00000000">
      <w:pPr>
        <w:pStyle w:val="ListParagraph"/>
        <w:numPr>
          <w:ilvl w:val="0"/>
          <w:numId w:val="126"/>
        </w:numPr>
        <w:tabs>
          <w:tab w:val="left" w:pos="683"/>
        </w:tabs>
        <w:ind w:right="565"/>
      </w:pPr>
      <w:r>
        <w:t>Public</w:t>
      </w:r>
      <w:r>
        <w:rPr>
          <w:spacing w:val="-5"/>
        </w:rPr>
        <w:t xml:space="preserve"> </w:t>
      </w:r>
      <w:r>
        <w:t>Financial</w:t>
      </w:r>
      <w:r>
        <w:rPr>
          <w:spacing w:val="-5"/>
        </w:rPr>
        <w:t xml:space="preserve"> </w:t>
      </w:r>
      <w:r>
        <w:t>Management</w:t>
      </w:r>
      <w:r>
        <w:rPr>
          <w:spacing w:val="-5"/>
        </w:rPr>
        <w:t xml:space="preserve"> </w:t>
      </w:r>
      <w:r>
        <w:t>(PFM):</w:t>
      </w:r>
      <w:r>
        <w:rPr>
          <w:spacing w:val="-5"/>
        </w:rPr>
        <w:t xml:space="preserve"> </w:t>
      </w:r>
      <w:r>
        <w:t>Enhancing</w:t>
      </w:r>
      <w:r>
        <w:rPr>
          <w:spacing w:val="-7"/>
        </w:rPr>
        <w:t xml:space="preserve"> </w:t>
      </w:r>
      <w:r>
        <w:t>regional</w:t>
      </w:r>
      <w:r>
        <w:rPr>
          <w:spacing w:val="-5"/>
        </w:rPr>
        <w:t xml:space="preserve"> </w:t>
      </w:r>
      <w:r>
        <w:t>fiscal</w:t>
      </w:r>
      <w:r>
        <w:rPr>
          <w:spacing w:val="-5"/>
        </w:rPr>
        <w:t xml:space="preserve"> </w:t>
      </w:r>
      <w:r>
        <w:t>capacity</w:t>
      </w:r>
      <w:r>
        <w:rPr>
          <w:spacing w:val="-3"/>
        </w:rPr>
        <w:t xml:space="preserve"> </w:t>
      </w:r>
      <w:r>
        <w:t>and</w:t>
      </w:r>
      <w:r>
        <w:rPr>
          <w:spacing w:val="-6"/>
        </w:rPr>
        <w:t xml:space="preserve"> </w:t>
      </w:r>
      <w:r>
        <w:t>improving</w:t>
      </w:r>
      <w:r>
        <w:rPr>
          <w:spacing w:val="-5"/>
        </w:rPr>
        <w:t xml:space="preserve"> </w:t>
      </w:r>
      <w:r>
        <w:t>the</w:t>
      </w:r>
      <w:r>
        <w:rPr>
          <w:spacing w:val="-3"/>
        </w:rPr>
        <w:t xml:space="preserve"> </w:t>
      </w:r>
      <w:r>
        <w:t>quality of regional spending to optimise inclusive service delivery and MSS implementation.</w:t>
      </w:r>
    </w:p>
    <w:p w14:paraId="3BAB3B67" w14:textId="77777777" w:rsidR="00BC24A8" w:rsidRDefault="00000000">
      <w:pPr>
        <w:pStyle w:val="ListParagraph"/>
        <w:numPr>
          <w:ilvl w:val="0"/>
          <w:numId w:val="126"/>
        </w:numPr>
        <w:tabs>
          <w:tab w:val="left" w:pos="683"/>
        </w:tabs>
        <w:ind w:right="562"/>
      </w:pPr>
      <w:r>
        <w:t>Gender</w:t>
      </w:r>
      <w:r>
        <w:rPr>
          <w:spacing w:val="-5"/>
        </w:rPr>
        <w:t xml:space="preserve"> </w:t>
      </w:r>
      <w:r>
        <w:t>Equality,</w:t>
      </w:r>
      <w:r>
        <w:rPr>
          <w:spacing w:val="-6"/>
        </w:rPr>
        <w:t xml:space="preserve"> </w:t>
      </w:r>
      <w:r>
        <w:t>Disability,</w:t>
      </w:r>
      <w:r>
        <w:rPr>
          <w:spacing w:val="-9"/>
        </w:rPr>
        <w:t xml:space="preserve"> </w:t>
      </w:r>
      <w:r>
        <w:t>and</w:t>
      </w:r>
      <w:r>
        <w:rPr>
          <w:spacing w:val="-5"/>
        </w:rPr>
        <w:t xml:space="preserve"> </w:t>
      </w:r>
      <w:r>
        <w:t>Social</w:t>
      </w:r>
      <w:r>
        <w:rPr>
          <w:spacing w:val="-8"/>
        </w:rPr>
        <w:t xml:space="preserve"> </w:t>
      </w:r>
      <w:r>
        <w:t>Inclusion</w:t>
      </w:r>
      <w:r>
        <w:rPr>
          <w:spacing w:val="-7"/>
        </w:rPr>
        <w:t xml:space="preserve"> </w:t>
      </w:r>
      <w:r>
        <w:t>(GEDSI):</w:t>
      </w:r>
      <w:r>
        <w:rPr>
          <w:spacing w:val="-5"/>
        </w:rPr>
        <w:t xml:space="preserve"> </w:t>
      </w:r>
      <w:r>
        <w:t>Promoting</w:t>
      </w:r>
      <w:r>
        <w:rPr>
          <w:spacing w:val="-8"/>
        </w:rPr>
        <w:t xml:space="preserve"> </w:t>
      </w:r>
      <w:r>
        <w:t>participation,</w:t>
      </w:r>
      <w:r>
        <w:rPr>
          <w:spacing w:val="-4"/>
        </w:rPr>
        <w:t xml:space="preserve"> </w:t>
      </w:r>
      <w:r>
        <w:t>representation, and influence of women, persons with disabilities, and other vulnerable groups in government decision-making processes through technical guidance, capacity building, and facilitation of inclusive planning and policy development.</w:t>
      </w:r>
    </w:p>
    <w:p w14:paraId="3312A620" w14:textId="77777777" w:rsidR="00BC24A8" w:rsidRDefault="00BC24A8">
      <w:pPr>
        <w:pStyle w:val="BodyText"/>
        <w:spacing w:before="61"/>
      </w:pPr>
    </w:p>
    <w:p w14:paraId="6D7BECF1" w14:textId="77777777" w:rsidR="00BC24A8" w:rsidRDefault="00000000">
      <w:pPr>
        <w:pStyle w:val="Heading5"/>
      </w:pPr>
      <w:r>
        <w:rPr>
          <w:color w:val="17365A"/>
        </w:rPr>
        <w:t>Implementation</w:t>
      </w:r>
      <w:r>
        <w:rPr>
          <w:color w:val="17365A"/>
          <w:spacing w:val="-13"/>
        </w:rPr>
        <w:t xml:space="preserve"> </w:t>
      </w:r>
      <w:r>
        <w:rPr>
          <w:color w:val="17365A"/>
        </w:rPr>
        <w:t>of</w:t>
      </w:r>
      <w:r>
        <w:rPr>
          <w:color w:val="17365A"/>
          <w:spacing w:val="-11"/>
        </w:rPr>
        <w:t xml:space="preserve"> </w:t>
      </w:r>
      <w:r>
        <w:rPr>
          <w:color w:val="17365A"/>
        </w:rPr>
        <w:t>Program</w:t>
      </w:r>
      <w:r>
        <w:rPr>
          <w:color w:val="17365A"/>
          <w:spacing w:val="-10"/>
        </w:rPr>
        <w:t xml:space="preserve"> </w:t>
      </w:r>
      <w:r>
        <w:rPr>
          <w:color w:val="17365A"/>
        </w:rPr>
        <w:t>Monitoring,</w:t>
      </w:r>
      <w:r>
        <w:rPr>
          <w:color w:val="17365A"/>
          <w:spacing w:val="-11"/>
        </w:rPr>
        <w:t xml:space="preserve"> </w:t>
      </w:r>
      <w:r>
        <w:rPr>
          <w:color w:val="17365A"/>
        </w:rPr>
        <w:t>Evaluation,</w:t>
      </w:r>
      <w:r>
        <w:rPr>
          <w:color w:val="17365A"/>
          <w:spacing w:val="-12"/>
        </w:rPr>
        <w:t xml:space="preserve"> </w:t>
      </w:r>
      <w:r>
        <w:rPr>
          <w:color w:val="17365A"/>
        </w:rPr>
        <w:t>and</w:t>
      </w:r>
      <w:r>
        <w:rPr>
          <w:color w:val="17365A"/>
          <w:spacing w:val="-12"/>
        </w:rPr>
        <w:t xml:space="preserve"> </w:t>
      </w:r>
      <w:r>
        <w:rPr>
          <w:color w:val="17365A"/>
          <w:spacing w:val="-2"/>
        </w:rPr>
        <w:t>Documentation</w:t>
      </w:r>
    </w:p>
    <w:p w14:paraId="463DD927" w14:textId="77777777" w:rsidR="00BC24A8" w:rsidRDefault="00000000">
      <w:pPr>
        <w:pStyle w:val="BodyText"/>
        <w:spacing w:before="158" w:line="278" w:lineRule="auto"/>
        <w:ind w:left="143" w:right="562"/>
        <w:jc w:val="both"/>
      </w:pPr>
      <w:r>
        <w:t>Monitoring</w:t>
      </w:r>
      <w:r>
        <w:rPr>
          <w:spacing w:val="-13"/>
        </w:rPr>
        <w:t xml:space="preserve"> </w:t>
      </w:r>
      <w:r>
        <w:t>and</w:t>
      </w:r>
      <w:r>
        <w:rPr>
          <w:spacing w:val="-12"/>
        </w:rPr>
        <w:t xml:space="preserve"> </w:t>
      </w:r>
      <w:r>
        <w:t>evaluation</w:t>
      </w:r>
      <w:r>
        <w:rPr>
          <w:spacing w:val="-12"/>
        </w:rPr>
        <w:t xml:space="preserve"> </w:t>
      </w:r>
      <w:r>
        <w:t>are</w:t>
      </w:r>
      <w:r>
        <w:rPr>
          <w:spacing w:val="-11"/>
        </w:rPr>
        <w:t xml:space="preserve"> </w:t>
      </w:r>
      <w:r>
        <w:t>conducted</w:t>
      </w:r>
      <w:r>
        <w:rPr>
          <w:spacing w:val="-11"/>
        </w:rPr>
        <w:t xml:space="preserve"> </w:t>
      </w:r>
      <w:r>
        <w:t>systematically,</w:t>
      </w:r>
      <w:r>
        <w:rPr>
          <w:spacing w:val="-10"/>
        </w:rPr>
        <w:t xml:space="preserve"> </w:t>
      </w:r>
      <w:r>
        <w:t>documenting</w:t>
      </w:r>
      <w:r>
        <w:rPr>
          <w:spacing w:val="-13"/>
        </w:rPr>
        <w:t xml:space="preserve"> </w:t>
      </w:r>
      <w:r>
        <w:t>processes,</w:t>
      </w:r>
      <w:r>
        <w:rPr>
          <w:spacing w:val="-9"/>
        </w:rPr>
        <w:t xml:space="preserve"> </w:t>
      </w:r>
      <w:r>
        <w:t>roles,</w:t>
      </w:r>
      <w:r>
        <w:rPr>
          <w:spacing w:val="-10"/>
        </w:rPr>
        <w:t xml:space="preserve"> </w:t>
      </w:r>
      <w:r>
        <w:t>and</w:t>
      </w:r>
      <w:r>
        <w:rPr>
          <w:spacing w:val="-11"/>
        </w:rPr>
        <w:t xml:space="preserve"> </w:t>
      </w:r>
      <w:r>
        <w:t>the</w:t>
      </w:r>
      <w:r>
        <w:rPr>
          <w:spacing w:val="-11"/>
        </w:rPr>
        <w:t xml:space="preserve"> </w:t>
      </w:r>
      <w:r>
        <w:t>level</w:t>
      </w:r>
      <w:r>
        <w:rPr>
          <w:spacing w:val="-11"/>
        </w:rPr>
        <w:t xml:space="preserve"> </w:t>
      </w:r>
      <w:r>
        <w:t xml:space="preserve">of engagement of various stakeholders. Between January and June 2025, the MEL team carried out in- </w:t>
      </w:r>
      <w:r>
        <w:rPr>
          <w:spacing w:val="-2"/>
        </w:rPr>
        <w:t>depth data collection through interviews and focus</w:t>
      </w:r>
      <w:r>
        <w:rPr>
          <w:spacing w:val="-4"/>
        </w:rPr>
        <w:t xml:space="preserve"> </w:t>
      </w:r>
      <w:r>
        <w:rPr>
          <w:spacing w:val="-2"/>
        </w:rPr>
        <w:t>group</w:t>
      </w:r>
      <w:r>
        <w:rPr>
          <w:spacing w:val="-4"/>
        </w:rPr>
        <w:t xml:space="preserve"> </w:t>
      </w:r>
      <w:r>
        <w:rPr>
          <w:spacing w:val="-2"/>
        </w:rPr>
        <w:t>discussions</w:t>
      </w:r>
      <w:r>
        <w:rPr>
          <w:spacing w:val="-4"/>
        </w:rPr>
        <w:t xml:space="preserve"> </w:t>
      </w:r>
      <w:r>
        <w:rPr>
          <w:spacing w:val="-2"/>
        </w:rPr>
        <w:t>with</w:t>
      </w:r>
      <w:r>
        <w:rPr>
          <w:spacing w:val="-4"/>
        </w:rPr>
        <w:t xml:space="preserve"> </w:t>
      </w:r>
      <w:r>
        <w:rPr>
          <w:spacing w:val="-2"/>
        </w:rPr>
        <w:t>government officials</w:t>
      </w:r>
      <w:r>
        <w:rPr>
          <w:spacing w:val="-4"/>
        </w:rPr>
        <w:t xml:space="preserve"> </w:t>
      </w:r>
      <w:r>
        <w:rPr>
          <w:spacing w:val="-2"/>
        </w:rPr>
        <w:t xml:space="preserve">to assess </w:t>
      </w:r>
      <w:r>
        <w:t>SKALA’s contributions in</w:t>
      </w:r>
      <w:r>
        <w:rPr>
          <w:spacing w:val="-1"/>
        </w:rPr>
        <w:t xml:space="preserve"> </w:t>
      </w:r>
      <w:r>
        <w:t>five areas: MSS Action</w:t>
      </w:r>
      <w:r>
        <w:rPr>
          <w:spacing w:val="-1"/>
        </w:rPr>
        <w:t xml:space="preserve"> </w:t>
      </w:r>
      <w:r>
        <w:t>Plans, Special Allocation</w:t>
      </w:r>
      <w:r>
        <w:rPr>
          <w:spacing w:val="-1"/>
        </w:rPr>
        <w:t xml:space="preserve"> </w:t>
      </w:r>
      <w:r>
        <w:t>Fund</w:t>
      </w:r>
      <w:r>
        <w:rPr>
          <w:spacing w:val="-1"/>
        </w:rPr>
        <w:t xml:space="preserve"> </w:t>
      </w:r>
      <w:r>
        <w:t>(DAU SG), data lists, One Data Forum, and APBD</w:t>
      </w:r>
      <w:hyperlink w:anchor="_bookmark99" w:history="1">
        <w:r w:rsidR="00BC24A8">
          <w:rPr>
            <w:vertAlign w:val="superscript"/>
          </w:rPr>
          <w:t>42</w:t>
        </w:r>
      </w:hyperlink>
      <w:r>
        <w:t xml:space="preserve"> and RKPD</w:t>
      </w:r>
      <w:hyperlink w:anchor="_bookmark100" w:history="1">
        <w:r w:rsidR="00BC24A8">
          <w:rPr>
            <w:vertAlign w:val="superscript"/>
          </w:rPr>
          <w:t>43</w:t>
        </w:r>
      </w:hyperlink>
      <w:r>
        <w:t>. The findings provide input for SKALA’s internal planning and learning processes.</w:t>
      </w:r>
    </w:p>
    <w:p w14:paraId="4DC093E5" w14:textId="77777777" w:rsidR="00BC24A8" w:rsidRDefault="00BC24A8">
      <w:pPr>
        <w:pStyle w:val="BodyText"/>
        <w:rPr>
          <w:sz w:val="20"/>
        </w:rPr>
      </w:pPr>
    </w:p>
    <w:p w14:paraId="6FF69327" w14:textId="77777777" w:rsidR="00BC24A8" w:rsidRDefault="00BC24A8">
      <w:pPr>
        <w:pStyle w:val="BodyText"/>
        <w:rPr>
          <w:sz w:val="20"/>
        </w:rPr>
      </w:pPr>
    </w:p>
    <w:p w14:paraId="61782CA3" w14:textId="77777777" w:rsidR="00BC24A8" w:rsidRDefault="00BC24A8">
      <w:pPr>
        <w:pStyle w:val="BodyText"/>
        <w:rPr>
          <w:sz w:val="20"/>
        </w:rPr>
      </w:pPr>
    </w:p>
    <w:p w14:paraId="5A555197" w14:textId="77777777" w:rsidR="00BC24A8" w:rsidRDefault="00BC24A8">
      <w:pPr>
        <w:pStyle w:val="BodyText"/>
        <w:rPr>
          <w:sz w:val="20"/>
        </w:rPr>
      </w:pPr>
    </w:p>
    <w:p w14:paraId="1627E8AC" w14:textId="77777777" w:rsidR="00BC24A8" w:rsidRDefault="00000000">
      <w:pPr>
        <w:pStyle w:val="BodyText"/>
        <w:spacing w:before="106"/>
        <w:rPr>
          <w:sz w:val="20"/>
        </w:rPr>
      </w:pPr>
      <w:r>
        <w:rPr>
          <w:noProof/>
          <w:sz w:val="20"/>
        </w:rPr>
        <mc:AlternateContent>
          <mc:Choice Requires="wps">
            <w:drawing>
              <wp:anchor distT="0" distB="0" distL="0" distR="0" simplePos="0" relativeHeight="487606272" behindDoc="1" locked="0" layoutInCell="1" allowOverlap="1" wp14:anchorId="227D0299" wp14:editId="6D4CDABC">
                <wp:simplePos x="0" y="0"/>
                <wp:positionH relativeFrom="page">
                  <wp:posOffset>900683</wp:posOffset>
                </wp:positionH>
                <wp:positionV relativeFrom="paragraph">
                  <wp:posOffset>237585</wp:posOffset>
                </wp:positionV>
                <wp:extent cx="1828800" cy="9525"/>
                <wp:effectExtent l="0" t="0" r="0" b="0"/>
                <wp:wrapTopAndBottom/>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A017FE" id="Graphic 83" o:spid="_x0000_s1026" alt="&quot;&quot;" style="position:absolute;margin-left:70.9pt;margin-top:18.7pt;width:2in;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" path="m1828800,l,,,9144r1828800,l1828800,xe" fillcolor="black" stroked="f">
                <v:path arrowok="t"/>
                <w10:wrap type="topAndBottom" anchorx="page"/>
              </v:shape>
            </w:pict>
          </mc:Fallback>
        </mc:AlternateContent>
      </w:r>
    </w:p>
    <w:p w14:paraId="1415C7A8" w14:textId="77777777" w:rsidR="00BC24A8" w:rsidRDefault="00BC24A8">
      <w:pPr>
        <w:pStyle w:val="BodyText"/>
        <w:spacing w:before="105"/>
        <w:rPr>
          <w:sz w:val="16"/>
        </w:rPr>
      </w:pPr>
    </w:p>
    <w:p w14:paraId="22994236" w14:textId="77777777" w:rsidR="00BC24A8" w:rsidRDefault="00000000">
      <w:pPr>
        <w:spacing w:before="1"/>
        <w:ind w:left="143" w:right="662" w:hanging="1"/>
        <w:rPr>
          <w:sz w:val="16"/>
        </w:rPr>
      </w:pPr>
      <w:bookmarkStart w:id="148" w:name="_bookmark97"/>
      <w:bookmarkEnd w:id="148"/>
      <w:r>
        <w:rPr>
          <w:color w:val="767070"/>
          <w:sz w:val="16"/>
          <w:vertAlign w:val="superscript"/>
        </w:rPr>
        <w:t>40</w:t>
      </w:r>
      <w:r>
        <w:rPr>
          <w:color w:val="767070"/>
          <w:spacing w:val="-6"/>
          <w:sz w:val="16"/>
        </w:rPr>
        <w:t xml:space="preserve"> </w:t>
      </w:r>
      <w:r>
        <w:rPr>
          <w:color w:val="767070"/>
          <w:sz w:val="16"/>
        </w:rPr>
        <w:t>KUA–PPAS:</w:t>
      </w:r>
      <w:r>
        <w:rPr>
          <w:color w:val="767070"/>
          <w:spacing w:val="-5"/>
          <w:sz w:val="16"/>
        </w:rPr>
        <w:t xml:space="preserve"> </w:t>
      </w:r>
      <w:r>
        <w:rPr>
          <w:color w:val="767070"/>
          <w:sz w:val="16"/>
        </w:rPr>
        <w:t>General</w:t>
      </w:r>
      <w:r>
        <w:rPr>
          <w:color w:val="767070"/>
          <w:spacing w:val="-5"/>
          <w:sz w:val="16"/>
        </w:rPr>
        <w:t xml:space="preserve"> </w:t>
      </w:r>
      <w:r>
        <w:rPr>
          <w:color w:val="767070"/>
          <w:sz w:val="16"/>
        </w:rPr>
        <w:t>Budget</w:t>
      </w:r>
      <w:r>
        <w:rPr>
          <w:color w:val="767070"/>
          <w:spacing w:val="-6"/>
          <w:sz w:val="16"/>
        </w:rPr>
        <w:t xml:space="preserve"> </w:t>
      </w:r>
      <w:r>
        <w:rPr>
          <w:color w:val="767070"/>
          <w:sz w:val="16"/>
        </w:rPr>
        <w:t>Policy</w:t>
      </w:r>
      <w:r>
        <w:rPr>
          <w:color w:val="767070"/>
          <w:spacing w:val="-4"/>
          <w:sz w:val="16"/>
        </w:rPr>
        <w:t xml:space="preserve"> </w:t>
      </w:r>
      <w:r>
        <w:rPr>
          <w:color w:val="767070"/>
          <w:sz w:val="16"/>
        </w:rPr>
        <w:t>–</w:t>
      </w:r>
      <w:r>
        <w:rPr>
          <w:color w:val="767070"/>
          <w:spacing w:val="-6"/>
          <w:sz w:val="16"/>
        </w:rPr>
        <w:t xml:space="preserve"> </w:t>
      </w:r>
      <w:r>
        <w:rPr>
          <w:color w:val="767070"/>
          <w:sz w:val="16"/>
        </w:rPr>
        <w:t>Temporary</w:t>
      </w:r>
      <w:r>
        <w:rPr>
          <w:color w:val="767070"/>
          <w:spacing w:val="-5"/>
          <w:sz w:val="16"/>
        </w:rPr>
        <w:t xml:space="preserve"> </w:t>
      </w:r>
      <w:r>
        <w:rPr>
          <w:color w:val="767070"/>
          <w:sz w:val="16"/>
        </w:rPr>
        <w:t>Budget</w:t>
      </w:r>
      <w:r>
        <w:rPr>
          <w:color w:val="767070"/>
          <w:spacing w:val="-6"/>
          <w:sz w:val="16"/>
        </w:rPr>
        <w:t xml:space="preserve"> </w:t>
      </w:r>
      <w:r>
        <w:rPr>
          <w:color w:val="767070"/>
          <w:sz w:val="16"/>
        </w:rPr>
        <w:t>Priorities</w:t>
      </w:r>
      <w:r>
        <w:rPr>
          <w:color w:val="767070"/>
          <w:spacing w:val="-5"/>
          <w:sz w:val="16"/>
        </w:rPr>
        <w:t xml:space="preserve"> </w:t>
      </w:r>
      <w:r>
        <w:rPr>
          <w:color w:val="767070"/>
          <w:sz w:val="16"/>
        </w:rPr>
        <w:t>and</w:t>
      </w:r>
      <w:r>
        <w:rPr>
          <w:color w:val="767070"/>
          <w:spacing w:val="-5"/>
          <w:sz w:val="16"/>
        </w:rPr>
        <w:t xml:space="preserve"> </w:t>
      </w:r>
      <w:r>
        <w:rPr>
          <w:color w:val="767070"/>
          <w:sz w:val="16"/>
        </w:rPr>
        <w:t>Ceilings,</w:t>
      </w:r>
      <w:r>
        <w:rPr>
          <w:color w:val="767070"/>
          <w:spacing w:val="-7"/>
          <w:sz w:val="16"/>
        </w:rPr>
        <w:t xml:space="preserve"> </w:t>
      </w:r>
      <w:r>
        <w:rPr>
          <w:color w:val="767070"/>
          <w:sz w:val="16"/>
        </w:rPr>
        <w:t>a</w:t>
      </w:r>
      <w:r>
        <w:rPr>
          <w:color w:val="767070"/>
          <w:spacing w:val="-5"/>
          <w:sz w:val="16"/>
        </w:rPr>
        <w:t xml:space="preserve"> </w:t>
      </w:r>
      <w:r>
        <w:rPr>
          <w:color w:val="767070"/>
          <w:sz w:val="16"/>
        </w:rPr>
        <w:t>document</w:t>
      </w:r>
      <w:r>
        <w:rPr>
          <w:color w:val="767070"/>
          <w:spacing w:val="-6"/>
          <w:sz w:val="16"/>
        </w:rPr>
        <w:t xml:space="preserve"> </w:t>
      </w:r>
      <w:r>
        <w:rPr>
          <w:color w:val="767070"/>
          <w:sz w:val="16"/>
        </w:rPr>
        <w:t>outlining</w:t>
      </w:r>
      <w:r>
        <w:rPr>
          <w:color w:val="767070"/>
          <w:spacing w:val="-7"/>
          <w:sz w:val="16"/>
        </w:rPr>
        <w:t xml:space="preserve"> </w:t>
      </w:r>
      <w:r>
        <w:rPr>
          <w:color w:val="767070"/>
          <w:sz w:val="16"/>
        </w:rPr>
        <w:t>APBD</w:t>
      </w:r>
      <w:r>
        <w:rPr>
          <w:color w:val="767070"/>
          <w:spacing w:val="-7"/>
          <w:sz w:val="16"/>
        </w:rPr>
        <w:t xml:space="preserve"> </w:t>
      </w:r>
      <w:r>
        <w:rPr>
          <w:color w:val="767070"/>
          <w:sz w:val="16"/>
        </w:rPr>
        <w:t>assumptions,</w:t>
      </w:r>
      <w:r>
        <w:rPr>
          <w:color w:val="767070"/>
          <w:spacing w:val="-7"/>
          <w:sz w:val="16"/>
        </w:rPr>
        <w:t xml:space="preserve"> </w:t>
      </w:r>
      <w:r>
        <w:rPr>
          <w:color w:val="767070"/>
          <w:sz w:val="16"/>
        </w:rPr>
        <w:t>program</w:t>
      </w:r>
      <w:r>
        <w:rPr>
          <w:color w:val="767070"/>
          <w:spacing w:val="-6"/>
          <w:sz w:val="16"/>
        </w:rPr>
        <w:t xml:space="preserve"> </w:t>
      </w:r>
      <w:r>
        <w:rPr>
          <w:color w:val="767070"/>
          <w:sz w:val="16"/>
        </w:rPr>
        <w:t>priorities,</w:t>
      </w:r>
      <w:r>
        <w:rPr>
          <w:color w:val="767070"/>
          <w:spacing w:val="40"/>
          <w:sz w:val="16"/>
        </w:rPr>
        <w:t xml:space="preserve"> </w:t>
      </w:r>
      <w:r>
        <w:rPr>
          <w:color w:val="767070"/>
          <w:sz w:val="16"/>
        </w:rPr>
        <w:t>and budget ceilings.</w:t>
      </w:r>
    </w:p>
    <w:p w14:paraId="6C8DE4B6" w14:textId="77777777" w:rsidR="00BC24A8" w:rsidRDefault="00000000">
      <w:pPr>
        <w:ind w:left="143" w:right="648"/>
        <w:rPr>
          <w:sz w:val="16"/>
        </w:rPr>
      </w:pPr>
      <w:bookmarkStart w:id="149" w:name="_bookmark98"/>
      <w:bookmarkEnd w:id="149"/>
      <w:r>
        <w:rPr>
          <w:color w:val="767070"/>
          <w:sz w:val="16"/>
          <w:vertAlign w:val="superscript"/>
        </w:rPr>
        <w:t>41</w:t>
      </w:r>
      <w:r>
        <w:rPr>
          <w:color w:val="767070"/>
          <w:spacing w:val="-5"/>
          <w:sz w:val="16"/>
        </w:rPr>
        <w:t xml:space="preserve"> </w:t>
      </w:r>
      <w:r>
        <w:rPr>
          <w:color w:val="767070"/>
          <w:sz w:val="16"/>
        </w:rPr>
        <w:t>KEM–PPKF:</w:t>
      </w:r>
      <w:r>
        <w:rPr>
          <w:color w:val="767070"/>
          <w:spacing w:val="-6"/>
          <w:sz w:val="16"/>
        </w:rPr>
        <w:t xml:space="preserve"> </w:t>
      </w:r>
      <w:r>
        <w:rPr>
          <w:color w:val="767070"/>
          <w:sz w:val="16"/>
        </w:rPr>
        <w:t>Macroeconomic</w:t>
      </w:r>
      <w:r>
        <w:rPr>
          <w:color w:val="767070"/>
          <w:spacing w:val="-6"/>
          <w:sz w:val="16"/>
        </w:rPr>
        <w:t xml:space="preserve"> </w:t>
      </w:r>
      <w:r>
        <w:rPr>
          <w:color w:val="767070"/>
          <w:sz w:val="16"/>
        </w:rPr>
        <w:t>Framework</w:t>
      </w:r>
      <w:r>
        <w:rPr>
          <w:color w:val="767070"/>
          <w:spacing w:val="-4"/>
          <w:sz w:val="16"/>
        </w:rPr>
        <w:t xml:space="preserve"> </w:t>
      </w:r>
      <w:r>
        <w:rPr>
          <w:color w:val="767070"/>
          <w:sz w:val="16"/>
        </w:rPr>
        <w:t>and</w:t>
      </w:r>
      <w:r>
        <w:rPr>
          <w:color w:val="767070"/>
          <w:spacing w:val="-4"/>
          <w:sz w:val="16"/>
        </w:rPr>
        <w:t xml:space="preserve"> </w:t>
      </w:r>
      <w:r>
        <w:rPr>
          <w:color w:val="767070"/>
          <w:sz w:val="16"/>
        </w:rPr>
        <w:t>Fiscal</w:t>
      </w:r>
      <w:r>
        <w:rPr>
          <w:color w:val="767070"/>
          <w:spacing w:val="-7"/>
          <w:sz w:val="16"/>
        </w:rPr>
        <w:t xml:space="preserve"> </w:t>
      </w:r>
      <w:r>
        <w:rPr>
          <w:color w:val="767070"/>
          <w:sz w:val="16"/>
        </w:rPr>
        <w:t>Policy</w:t>
      </w:r>
      <w:r>
        <w:rPr>
          <w:color w:val="767070"/>
          <w:spacing w:val="-4"/>
          <w:sz w:val="16"/>
        </w:rPr>
        <w:t xml:space="preserve"> </w:t>
      </w:r>
      <w:r>
        <w:rPr>
          <w:color w:val="767070"/>
          <w:sz w:val="16"/>
        </w:rPr>
        <w:t>Guidelines,</w:t>
      </w:r>
      <w:r>
        <w:rPr>
          <w:color w:val="767070"/>
          <w:spacing w:val="-6"/>
          <w:sz w:val="16"/>
        </w:rPr>
        <w:t xml:space="preserve"> </w:t>
      </w:r>
      <w:r>
        <w:rPr>
          <w:color w:val="767070"/>
          <w:sz w:val="16"/>
        </w:rPr>
        <w:t>an</w:t>
      </w:r>
      <w:r>
        <w:rPr>
          <w:color w:val="767070"/>
          <w:spacing w:val="-4"/>
          <w:sz w:val="16"/>
        </w:rPr>
        <w:t xml:space="preserve"> </w:t>
      </w:r>
      <w:r>
        <w:rPr>
          <w:color w:val="767070"/>
          <w:sz w:val="16"/>
        </w:rPr>
        <w:t>official</w:t>
      </w:r>
      <w:r>
        <w:rPr>
          <w:color w:val="767070"/>
          <w:spacing w:val="-4"/>
          <w:sz w:val="16"/>
        </w:rPr>
        <w:t xml:space="preserve"> </w:t>
      </w:r>
      <w:r>
        <w:rPr>
          <w:color w:val="767070"/>
          <w:sz w:val="16"/>
        </w:rPr>
        <w:t>document</w:t>
      </w:r>
      <w:r>
        <w:rPr>
          <w:color w:val="767070"/>
          <w:spacing w:val="-5"/>
          <w:sz w:val="16"/>
        </w:rPr>
        <w:t xml:space="preserve"> </w:t>
      </w:r>
      <w:r>
        <w:rPr>
          <w:color w:val="767070"/>
          <w:sz w:val="16"/>
        </w:rPr>
        <w:t>providing</w:t>
      </w:r>
      <w:r>
        <w:rPr>
          <w:color w:val="767070"/>
          <w:spacing w:val="-6"/>
          <w:sz w:val="16"/>
        </w:rPr>
        <w:t xml:space="preserve"> </w:t>
      </w:r>
      <w:r>
        <w:rPr>
          <w:color w:val="767070"/>
          <w:sz w:val="16"/>
        </w:rPr>
        <w:t>economic</w:t>
      </w:r>
      <w:r>
        <w:rPr>
          <w:color w:val="767070"/>
          <w:spacing w:val="-6"/>
          <w:sz w:val="16"/>
        </w:rPr>
        <w:t xml:space="preserve"> </w:t>
      </w:r>
      <w:r>
        <w:rPr>
          <w:color w:val="767070"/>
          <w:sz w:val="16"/>
        </w:rPr>
        <w:t>projections</w:t>
      </w:r>
      <w:r>
        <w:rPr>
          <w:color w:val="767070"/>
          <w:spacing w:val="-4"/>
          <w:sz w:val="16"/>
        </w:rPr>
        <w:t xml:space="preserve"> </w:t>
      </w:r>
      <w:r>
        <w:rPr>
          <w:color w:val="767070"/>
          <w:sz w:val="16"/>
        </w:rPr>
        <w:t>and</w:t>
      </w:r>
      <w:r>
        <w:rPr>
          <w:color w:val="767070"/>
          <w:spacing w:val="-4"/>
          <w:sz w:val="16"/>
        </w:rPr>
        <w:t xml:space="preserve"> </w:t>
      </w:r>
      <w:r>
        <w:rPr>
          <w:color w:val="767070"/>
          <w:sz w:val="16"/>
        </w:rPr>
        <w:t>fiscal</w:t>
      </w:r>
      <w:r>
        <w:rPr>
          <w:color w:val="767070"/>
          <w:spacing w:val="-4"/>
          <w:sz w:val="16"/>
        </w:rPr>
        <w:t xml:space="preserve"> </w:t>
      </w:r>
      <w:r>
        <w:rPr>
          <w:color w:val="767070"/>
          <w:sz w:val="16"/>
        </w:rPr>
        <w:t>policy</w:t>
      </w:r>
      <w:r>
        <w:rPr>
          <w:color w:val="767070"/>
          <w:spacing w:val="40"/>
          <w:sz w:val="16"/>
        </w:rPr>
        <w:t xml:space="preserve"> </w:t>
      </w:r>
      <w:r>
        <w:rPr>
          <w:color w:val="767070"/>
          <w:sz w:val="16"/>
        </w:rPr>
        <w:t>directions for RAPBN preparation.</w:t>
      </w:r>
    </w:p>
    <w:p w14:paraId="1A8C04D1" w14:textId="77777777" w:rsidR="00BC24A8" w:rsidRDefault="00000000">
      <w:pPr>
        <w:spacing w:line="193" w:lineRule="exact"/>
        <w:ind w:left="143"/>
        <w:rPr>
          <w:sz w:val="16"/>
        </w:rPr>
      </w:pPr>
      <w:bookmarkStart w:id="150" w:name="_bookmark99"/>
      <w:bookmarkEnd w:id="150"/>
      <w:r>
        <w:rPr>
          <w:color w:val="767070"/>
          <w:sz w:val="16"/>
          <w:vertAlign w:val="superscript"/>
        </w:rPr>
        <w:t>42</w:t>
      </w:r>
      <w:r>
        <w:rPr>
          <w:color w:val="767070"/>
          <w:spacing w:val="-6"/>
          <w:sz w:val="16"/>
        </w:rPr>
        <w:t xml:space="preserve"> </w:t>
      </w:r>
      <w:r>
        <w:rPr>
          <w:color w:val="767070"/>
          <w:sz w:val="16"/>
        </w:rPr>
        <w:t>APBD</w:t>
      </w:r>
      <w:r>
        <w:rPr>
          <w:color w:val="767070"/>
          <w:spacing w:val="-4"/>
          <w:sz w:val="16"/>
        </w:rPr>
        <w:t xml:space="preserve"> </w:t>
      </w:r>
      <w:r>
        <w:rPr>
          <w:color w:val="767070"/>
          <w:sz w:val="16"/>
        </w:rPr>
        <w:t>–</w:t>
      </w:r>
      <w:r>
        <w:rPr>
          <w:color w:val="767070"/>
          <w:spacing w:val="-6"/>
          <w:sz w:val="16"/>
        </w:rPr>
        <w:t xml:space="preserve"> </w:t>
      </w:r>
      <w:r>
        <w:rPr>
          <w:i/>
          <w:color w:val="767070"/>
          <w:sz w:val="16"/>
        </w:rPr>
        <w:t>Anggaran</w:t>
      </w:r>
      <w:r>
        <w:rPr>
          <w:i/>
          <w:color w:val="767070"/>
          <w:spacing w:val="-7"/>
          <w:sz w:val="16"/>
        </w:rPr>
        <w:t xml:space="preserve"> </w:t>
      </w:r>
      <w:r>
        <w:rPr>
          <w:i/>
          <w:color w:val="767070"/>
          <w:sz w:val="16"/>
        </w:rPr>
        <w:t>Pendapatan</w:t>
      </w:r>
      <w:r>
        <w:rPr>
          <w:i/>
          <w:color w:val="767070"/>
          <w:spacing w:val="-5"/>
          <w:sz w:val="16"/>
        </w:rPr>
        <w:t xml:space="preserve"> </w:t>
      </w:r>
      <w:r>
        <w:rPr>
          <w:i/>
          <w:color w:val="767070"/>
          <w:sz w:val="16"/>
        </w:rPr>
        <w:t>dan</w:t>
      </w:r>
      <w:r>
        <w:rPr>
          <w:i/>
          <w:color w:val="767070"/>
          <w:spacing w:val="-8"/>
          <w:sz w:val="16"/>
        </w:rPr>
        <w:t xml:space="preserve"> </w:t>
      </w:r>
      <w:r>
        <w:rPr>
          <w:i/>
          <w:color w:val="767070"/>
          <w:sz w:val="16"/>
        </w:rPr>
        <w:t>Belanja</w:t>
      </w:r>
      <w:r>
        <w:rPr>
          <w:i/>
          <w:color w:val="767070"/>
          <w:spacing w:val="-5"/>
          <w:sz w:val="16"/>
        </w:rPr>
        <w:t xml:space="preserve"> </w:t>
      </w:r>
      <w:r>
        <w:rPr>
          <w:i/>
          <w:color w:val="767070"/>
          <w:sz w:val="16"/>
        </w:rPr>
        <w:t>Daerah</w:t>
      </w:r>
      <w:r>
        <w:rPr>
          <w:i/>
          <w:color w:val="767070"/>
          <w:spacing w:val="-5"/>
          <w:sz w:val="16"/>
        </w:rPr>
        <w:t xml:space="preserve"> </w:t>
      </w:r>
      <w:r>
        <w:rPr>
          <w:color w:val="767070"/>
          <w:sz w:val="16"/>
        </w:rPr>
        <w:t>(Regional</w:t>
      </w:r>
      <w:r>
        <w:rPr>
          <w:color w:val="767070"/>
          <w:spacing w:val="-5"/>
          <w:sz w:val="16"/>
        </w:rPr>
        <w:t xml:space="preserve"> </w:t>
      </w:r>
      <w:r>
        <w:rPr>
          <w:color w:val="767070"/>
          <w:sz w:val="16"/>
        </w:rPr>
        <w:t>Revenue</w:t>
      </w:r>
      <w:r>
        <w:rPr>
          <w:color w:val="767070"/>
          <w:spacing w:val="-7"/>
          <w:sz w:val="16"/>
        </w:rPr>
        <w:t xml:space="preserve"> </w:t>
      </w:r>
      <w:r>
        <w:rPr>
          <w:color w:val="767070"/>
          <w:sz w:val="16"/>
        </w:rPr>
        <w:t>and</w:t>
      </w:r>
      <w:r>
        <w:rPr>
          <w:color w:val="767070"/>
          <w:spacing w:val="-7"/>
          <w:sz w:val="16"/>
        </w:rPr>
        <w:t xml:space="preserve"> </w:t>
      </w:r>
      <w:r>
        <w:rPr>
          <w:color w:val="767070"/>
          <w:sz w:val="16"/>
        </w:rPr>
        <w:t>Expenditure</w:t>
      </w:r>
      <w:r>
        <w:rPr>
          <w:color w:val="767070"/>
          <w:spacing w:val="-7"/>
          <w:sz w:val="16"/>
        </w:rPr>
        <w:t xml:space="preserve"> </w:t>
      </w:r>
      <w:r>
        <w:rPr>
          <w:color w:val="767070"/>
          <w:spacing w:val="-2"/>
          <w:sz w:val="16"/>
        </w:rPr>
        <w:t>Budget).</w:t>
      </w:r>
    </w:p>
    <w:p w14:paraId="08A19295" w14:textId="77777777" w:rsidR="00BC24A8" w:rsidRDefault="00000000">
      <w:pPr>
        <w:spacing w:before="2"/>
        <w:ind w:left="143"/>
        <w:rPr>
          <w:sz w:val="16"/>
        </w:rPr>
      </w:pPr>
      <w:bookmarkStart w:id="151" w:name="_bookmark100"/>
      <w:bookmarkEnd w:id="151"/>
      <w:r>
        <w:rPr>
          <w:color w:val="767070"/>
          <w:sz w:val="16"/>
          <w:vertAlign w:val="superscript"/>
        </w:rPr>
        <w:t>43</w:t>
      </w:r>
      <w:r>
        <w:rPr>
          <w:color w:val="767070"/>
          <w:spacing w:val="-9"/>
          <w:sz w:val="16"/>
        </w:rPr>
        <w:t xml:space="preserve"> </w:t>
      </w:r>
      <w:r>
        <w:rPr>
          <w:color w:val="767070"/>
          <w:sz w:val="16"/>
        </w:rPr>
        <w:t>RKPD</w:t>
      </w:r>
      <w:r>
        <w:rPr>
          <w:color w:val="767070"/>
          <w:spacing w:val="-7"/>
          <w:sz w:val="16"/>
        </w:rPr>
        <w:t xml:space="preserve"> </w:t>
      </w:r>
      <w:r>
        <w:rPr>
          <w:color w:val="767070"/>
          <w:sz w:val="16"/>
        </w:rPr>
        <w:t>–</w:t>
      </w:r>
      <w:r>
        <w:rPr>
          <w:color w:val="767070"/>
          <w:spacing w:val="-8"/>
          <w:sz w:val="16"/>
        </w:rPr>
        <w:t xml:space="preserve"> </w:t>
      </w:r>
      <w:r>
        <w:rPr>
          <w:i/>
          <w:color w:val="767070"/>
          <w:sz w:val="16"/>
        </w:rPr>
        <w:t>Rencana</w:t>
      </w:r>
      <w:r>
        <w:rPr>
          <w:i/>
          <w:color w:val="767070"/>
          <w:spacing w:val="-8"/>
          <w:sz w:val="16"/>
        </w:rPr>
        <w:t xml:space="preserve"> </w:t>
      </w:r>
      <w:r>
        <w:rPr>
          <w:i/>
          <w:color w:val="767070"/>
          <w:sz w:val="16"/>
        </w:rPr>
        <w:t>Kerja</w:t>
      </w:r>
      <w:r>
        <w:rPr>
          <w:i/>
          <w:color w:val="767070"/>
          <w:spacing w:val="-8"/>
          <w:sz w:val="16"/>
        </w:rPr>
        <w:t xml:space="preserve"> </w:t>
      </w:r>
      <w:r>
        <w:rPr>
          <w:i/>
          <w:color w:val="767070"/>
          <w:sz w:val="16"/>
        </w:rPr>
        <w:t>Pemerintah</w:t>
      </w:r>
      <w:r>
        <w:rPr>
          <w:i/>
          <w:color w:val="767070"/>
          <w:spacing w:val="-9"/>
          <w:sz w:val="16"/>
        </w:rPr>
        <w:t xml:space="preserve"> </w:t>
      </w:r>
      <w:r>
        <w:rPr>
          <w:i/>
          <w:color w:val="767070"/>
          <w:sz w:val="16"/>
        </w:rPr>
        <w:t>Daerah</w:t>
      </w:r>
      <w:r>
        <w:rPr>
          <w:i/>
          <w:color w:val="767070"/>
          <w:spacing w:val="-7"/>
          <w:sz w:val="16"/>
        </w:rPr>
        <w:t xml:space="preserve"> </w:t>
      </w:r>
      <w:r>
        <w:rPr>
          <w:color w:val="767070"/>
          <w:sz w:val="16"/>
        </w:rPr>
        <w:t>(Regional</w:t>
      </w:r>
      <w:r>
        <w:rPr>
          <w:color w:val="767070"/>
          <w:spacing w:val="-8"/>
          <w:sz w:val="16"/>
        </w:rPr>
        <w:t xml:space="preserve"> </w:t>
      </w:r>
      <w:r>
        <w:rPr>
          <w:color w:val="767070"/>
          <w:sz w:val="16"/>
        </w:rPr>
        <w:t>Government</w:t>
      </w:r>
      <w:r>
        <w:rPr>
          <w:color w:val="767070"/>
          <w:spacing w:val="-7"/>
          <w:sz w:val="16"/>
        </w:rPr>
        <w:t xml:space="preserve"> </w:t>
      </w:r>
      <w:r>
        <w:rPr>
          <w:color w:val="767070"/>
          <w:sz w:val="16"/>
        </w:rPr>
        <w:t>Work</w:t>
      </w:r>
      <w:r>
        <w:rPr>
          <w:color w:val="767070"/>
          <w:spacing w:val="-7"/>
          <w:sz w:val="16"/>
        </w:rPr>
        <w:t xml:space="preserve"> </w:t>
      </w:r>
      <w:r>
        <w:rPr>
          <w:color w:val="767070"/>
          <w:spacing w:val="-4"/>
          <w:sz w:val="16"/>
        </w:rPr>
        <w:t>Plan)</w:t>
      </w:r>
    </w:p>
    <w:p w14:paraId="39810AA3" w14:textId="77777777" w:rsidR="00BC24A8" w:rsidRDefault="00BC24A8">
      <w:pPr>
        <w:rPr>
          <w:sz w:val="16"/>
        </w:rPr>
        <w:sectPr w:rsidR="00BC24A8">
          <w:pgSz w:w="11910" w:h="16840"/>
          <w:pgMar w:top="1360" w:right="850" w:bottom="1100" w:left="1275" w:header="0" w:footer="907" w:gutter="0"/>
          <w:cols w:space="720"/>
        </w:sectPr>
      </w:pPr>
    </w:p>
    <w:p w14:paraId="2681E502" w14:textId="77777777" w:rsidR="00BC24A8" w:rsidRDefault="00000000">
      <w:pPr>
        <w:spacing w:before="39"/>
        <w:ind w:left="143"/>
        <w:rPr>
          <w:i/>
        </w:rPr>
      </w:pPr>
      <w:r>
        <w:rPr>
          <w:i/>
          <w:color w:val="1F3762"/>
        </w:rPr>
        <w:lastRenderedPageBreak/>
        <w:t>Program</w:t>
      </w:r>
      <w:r>
        <w:rPr>
          <w:i/>
          <w:color w:val="1F3762"/>
          <w:spacing w:val="-9"/>
        </w:rPr>
        <w:t xml:space="preserve"> </w:t>
      </w:r>
      <w:r>
        <w:rPr>
          <w:i/>
          <w:color w:val="1F3762"/>
        </w:rPr>
        <w:t>Implementation</w:t>
      </w:r>
      <w:r>
        <w:rPr>
          <w:i/>
          <w:color w:val="1F3762"/>
          <w:spacing w:val="-9"/>
        </w:rPr>
        <w:t xml:space="preserve"> </w:t>
      </w:r>
      <w:r>
        <w:rPr>
          <w:i/>
          <w:color w:val="1F3762"/>
        </w:rPr>
        <w:t>and</w:t>
      </w:r>
      <w:r>
        <w:rPr>
          <w:i/>
          <w:color w:val="1F3762"/>
          <w:spacing w:val="-9"/>
        </w:rPr>
        <w:t xml:space="preserve"> </w:t>
      </w:r>
      <w:r>
        <w:rPr>
          <w:i/>
          <w:color w:val="1F3762"/>
        </w:rPr>
        <w:t>Learning</w:t>
      </w:r>
      <w:r>
        <w:rPr>
          <w:i/>
          <w:color w:val="1F3762"/>
          <w:spacing w:val="-7"/>
        </w:rPr>
        <w:t xml:space="preserve"> </w:t>
      </w:r>
      <w:r>
        <w:rPr>
          <w:i/>
          <w:color w:val="1F3762"/>
          <w:spacing w:val="-2"/>
        </w:rPr>
        <w:t>Results/Progress</w:t>
      </w:r>
    </w:p>
    <w:p w14:paraId="603B56BD" w14:textId="77777777" w:rsidR="00BC24A8" w:rsidRDefault="00000000">
      <w:pPr>
        <w:pStyle w:val="BodyText"/>
        <w:spacing w:before="41"/>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4"/>
        </w:rPr>
        <w:t xml:space="preserve"> </w:t>
      </w:r>
      <w:r>
        <w:rPr>
          <w:rFonts w:ascii="Calibri"/>
          <w:color w:val="272727"/>
        </w:rPr>
        <w:t>at</w:t>
      </w:r>
      <w:r>
        <w:rPr>
          <w:rFonts w:ascii="Calibri"/>
          <w:color w:val="272727"/>
          <w:spacing w:val="-5"/>
        </w:rPr>
        <w:t xml:space="preserve"> </w:t>
      </w:r>
      <w:r>
        <w:rPr>
          <w:rFonts w:ascii="Calibri"/>
          <w:color w:val="272727"/>
        </w:rPr>
        <w:t>the</w:t>
      </w:r>
      <w:r>
        <w:rPr>
          <w:rFonts w:ascii="Calibri"/>
          <w:color w:val="272727"/>
          <w:spacing w:val="-3"/>
        </w:rPr>
        <w:t xml:space="preserve"> </w:t>
      </w:r>
      <w:r>
        <w:rPr>
          <w:rFonts w:ascii="Calibri"/>
          <w:color w:val="272727"/>
        </w:rPr>
        <w:t>Input</w:t>
      </w:r>
      <w:r>
        <w:rPr>
          <w:rFonts w:ascii="Calibri"/>
          <w:color w:val="272727"/>
          <w:spacing w:val="-2"/>
        </w:rPr>
        <w:t xml:space="preserve"> </w:t>
      </w:r>
      <w:r>
        <w:rPr>
          <w:rFonts w:ascii="Calibri"/>
          <w:color w:val="272727"/>
          <w:spacing w:val="-4"/>
        </w:rPr>
        <w:t>level</w:t>
      </w:r>
    </w:p>
    <w:p w14:paraId="5F7B88C5" w14:textId="77777777" w:rsidR="00BC24A8" w:rsidRDefault="00BC24A8">
      <w:pPr>
        <w:pStyle w:val="BodyText"/>
        <w:spacing w:before="22"/>
        <w:rPr>
          <w:rFonts w:ascii="Calibri"/>
        </w:rPr>
      </w:pPr>
    </w:p>
    <w:p w14:paraId="213ACDED" w14:textId="77777777" w:rsidR="00BC24A8" w:rsidRDefault="00000000">
      <w:pPr>
        <w:pStyle w:val="Heading5"/>
      </w:pPr>
      <w:bookmarkStart w:id="152" w:name="_bookmark101"/>
      <w:bookmarkEnd w:id="152"/>
      <w:r>
        <w:rPr>
          <w:color w:val="767070"/>
        </w:rPr>
        <w:t>Table</w:t>
      </w:r>
      <w:r>
        <w:rPr>
          <w:color w:val="767070"/>
          <w:spacing w:val="-11"/>
        </w:rPr>
        <w:t xml:space="preserve"> </w:t>
      </w:r>
      <w:r>
        <w:rPr>
          <w:color w:val="767070"/>
        </w:rPr>
        <w:t>10:</w:t>
      </w:r>
      <w:r>
        <w:rPr>
          <w:color w:val="767070"/>
          <w:spacing w:val="-10"/>
        </w:rPr>
        <w:t xml:space="preserve"> </w:t>
      </w:r>
      <w:r>
        <w:rPr>
          <w:color w:val="767070"/>
        </w:rPr>
        <w:t>Table</w:t>
      </w:r>
      <w:r>
        <w:rPr>
          <w:color w:val="767070"/>
          <w:spacing w:val="-11"/>
        </w:rPr>
        <w:t xml:space="preserve"> </w:t>
      </w:r>
      <w:r>
        <w:rPr>
          <w:color w:val="767070"/>
        </w:rPr>
        <w:t>of</w:t>
      </w:r>
      <w:r>
        <w:rPr>
          <w:color w:val="767070"/>
          <w:spacing w:val="-9"/>
        </w:rPr>
        <w:t xml:space="preserve"> </w:t>
      </w:r>
      <w:r>
        <w:rPr>
          <w:color w:val="767070"/>
        </w:rPr>
        <w:t>program</w:t>
      </w:r>
      <w:r>
        <w:rPr>
          <w:color w:val="767070"/>
          <w:spacing w:val="-11"/>
        </w:rPr>
        <w:t xml:space="preserve"> </w:t>
      </w:r>
      <w:r>
        <w:rPr>
          <w:color w:val="767070"/>
        </w:rPr>
        <w:t>input</w:t>
      </w:r>
      <w:r>
        <w:rPr>
          <w:color w:val="767070"/>
          <w:spacing w:val="-10"/>
        </w:rPr>
        <w:t xml:space="preserve"> </w:t>
      </w:r>
      <w:r>
        <w:rPr>
          <w:color w:val="767070"/>
        </w:rPr>
        <w:t>summary</w:t>
      </w:r>
      <w:r>
        <w:rPr>
          <w:color w:val="767070"/>
          <w:spacing w:val="-10"/>
        </w:rPr>
        <w:t xml:space="preserve"> </w:t>
      </w:r>
      <w:r>
        <w:rPr>
          <w:color w:val="767070"/>
        </w:rPr>
        <w:t>(January-June</w:t>
      </w:r>
      <w:r>
        <w:rPr>
          <w:color w:val="767070"/>
          <w:spacing w:val="-10"/>
        </w:rPr>
        <w:t xml:space="preserve"> </w:t>
      </w:r>
      <w:r>
        <w:rPr>
          <w:color w:val="767070"/>
          <w:spacing w:val="-2"/>
        </w:rPr>
        <w:t>2025)</w:t>
      </w:r>
    </w:p>
    <w:p w14:paraId="67FAC733" w14:textId="77777777" w:rsidR="00BC24A8" w:rsidRDefault="00BC24A8">
      <w:pPr>
        <w:pStyle w:val="BodyText"/>
        <w:spacing w:before="5"/>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2791"/>
        <w:gridCol w:w="1262"/>
        <w:gridCol w:w="651"/>
        <w:gridCol w:w="1327"/>
        <w:gridCol w:w="3060"/>
      </w:tblGrid>
      <w:tr w:rsidR="00BC24A8" w14:paraId="79AA4ED6" w14:textId="77777777">
        <w:trPr>
          <w:trHeight w:val="640"/>
        </w:trPr>
        <w:tc>
          <w:tcPr>
            <w:tcW w:w="2791" w:type="dxa"/>
            <w:tcBorders>
              <w:bottom w:val="single" w:sz="4" w:space="0" w:color="BEBEBE"/>
            </w:tcBorders>
            <w:shd w:val="clear" w:color="auto" w:fill="17365A"/>
          </w:tcPr>
          <w:p w14:paraId="1AB8E205" w14:textId="77777777" w:rsidR="00BC24A8" w:rsidRDefault="00000000">
            <w:pPr>
              <w:pStyle w:val="TableParagraph"/>
              <w:spacing w:before="191"/>
              <w:ind w:left="107"/>
              <w:rPr>
                <w:rFonts w:ascii="Calibri"/>
                <w:b/>
                <w:sz w:val="20"/>
              </w:rPr>
            </w:pPr>
            <w:r>
              <w:rPr>
                <w:rFonts w:ascii="Calibri"/>
                <w:b/>
                <w:color w:val="FFFFFF"/>
                <w:sz w:val="20"/>
              </w:rPr>
              <w:t>Input</w:t>
            </w:r>
            <w:r>
              <w:rPr>
                <w:rFonts w:ascii="Calibri"/>
                <w:b/>
                <w:color w:val="FFFFFF"/>
                <w:spacing w:val="-3"/>
                <w:sz w:val="20"/>
              </w:rPr>
              <w:t xml:space="preserve"> </w:t>
            </w:r>
            <w:r>
              <w:rPr>
                <w:rFonts w:ascii="Calibri"/>
                <w:b/>
                <w:color w:val="FFFFFF"/>
                <w:spacing w:val="-4"/>
                <w:sz w:val="20"/>
              </w:rPr>
              <w:t>type</w:t>
            </w:r>
          </w:p>
        </w:tc>
        <w:tc>
          <w:tcPr>
            <w:tcW w:w="1262" w:type="dxa"/>
            <w:tcBorders>
              <w:bottom w:val="single" w:sz="4" w:space="0" w:color="BEBEBE"/>
            </w:tcBorders>
            <w:shd w:val="clear" w:color="auto" w:fill="17365A"/>
          </w:tcPr>
          <w:p w14:paraId="41C3A246" w14:textId="77777777" w:rsidR="00BC24A8" w:rsidRDefault="00000000">
            <w:pPr>
              <w:pStyle w:val="TableParagraph"/>
              <w:spacing w:before="59" w:line="259" w:lineRule="auto"/>
              <w:ind w:left="367" w:right="178" w:hanging="188"/>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 xml:space="preserve">of </w:t>
            </w:r>
            <w:r>
              <w:rPr>
                <w:rFonts w:ascii="Calibri"/>
                <w:b/>
                <w:color w:val="FFFFFF"/>
                <w:spacing w:val="-2"/>
                <w:sz w:val="20"/>
              </w:rPr>
              <w:t>inputs</w:t>
            </w:r>
          </w:p>
        </w:tc>
        <w:tc>
          <w:tcPr>
            <w:tcW w:w="1978" w:type="dxa"/>
            <w:gridSpan w:val="2"/>
            <w:tcBorders>
              <w:bottom w:val="single" w:sz="4" w:space="0" w:color="BEBEBE"/>
            </w:tcBorders>
            <w:shd w:val="clear" w:color="auto" w:fill="17365A"/>
          </w:tcPr>
          <w:p w14:paraId="093523B6" w14:textId="77777777" w:rsidR="00BC24A8" w:rsidRDefault="00000000">
            <w:pPr>
              <w:pStyle w:val="TableParagraph"/>
              <w:spacing w:before="59" w:line="259" w:lineRule="auto"/>
              <w:ind w:left="547" w:right="458" w:hanging="87"/>
              <w:rPr>
                <w:rFonts w:ascii="Calibri"/>
                <w:b/>
                <w:sz w:val="20"/>
              </w:rPr>
            </w:pPr>
            <w:r>
              <w:rPr>
                <w:rFonts w:ascii="Calibri"/>
                <w:b/>
                <w:color w:val="FFFFFF"/>
                <w:sz w:val="20"/>
              </w:rPr>
              <w:t>Total</w:t>
            </w:r>
            <w:r>
              <w:rPr>
                <w:rFonts w:ascii="Calibri"/>
                <w:b/>
                <w:color w:val="FFFFFF"/>
                <w:spacing w:val="-12"/>
                <w:sz w:val="20"/>
              </w:rPr>
              <w:t xml:space="preserve"> </w:t>
            </w:r>
            <w:r>
              <w:rPr>
                <w:rFonts w:ascii="Calibri"/>
                <w:b/>
                <w:color w:val="FFFFFF"/>
                <w:sz w:val="20"/>
              </w:rPr>
              <w:t xml:space="preserve">budget </w:t>
            </w:r>
            <w:r>
              <w:rPr>
                <w:rFonts w:ascii="Calibri"/>
                <w:b/>
                <w:color w:val="FFFFFF"/>
                <w:spacing w:val="-2"/>
                <w:sz w:val="20"/>
              </w:rPr>
              <w:t>realisation</w:t>
            </w:r>
          </w:p>
        </w:tc>
        <w:tc>
          <w:tcPr>
            <w:tcW w:w="3060" w:type="dxa"/>
            <w:tcBorders>
              <w:bottom w:val="single" w:sz="4" w:space="0" w:color="BEBEBE"/>
            </w:tcBorders>
            <w:shd w:val="clear" w:color="auto" w:fill="17365A"/>
          </w:tcPr>
          <w:p w14:paraId="56A7AD25" w14:textId="77777777" w:rsidR="00BC24A8" w:rsidRDefault="00000000">
            <w:pPr>
              <w:pStyle w:val="TableParagraph"/>
              <w:spacing w:before="191"/>
              <w:ind w:left="105"/>
              <w:rPr>
                <w:rFonts w:ascii="Calibri"/>
                <w:b/>
                <w:sz w:val="20"/>
              </w:rPr>
            </w:pPr>
            <w:r>
              <w:rPr>
                <w:rFonts w:ascii="Calibri"/>
                <w:b/>
                <w:color w:val="FFFFFF"/>
                <w:sz w:val="20"/>
              </w:rPr>
              <w:t>Number</w:t>
            </w:r>
            <w:r>
              <w:rPr>
                <w:rFonts w:ascii="Calibri"/>
                <w:b/>
                <w:color w:val="FFFFFF"/>
                <w:spacing w:val="-6"/>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participants</w:t>
            </w:r>
            <w:r>
              <w:rPr>
                <w:rFonts w:ascii="Calibri"/>
                <w:b/>
                <w:color w:val="FFFFFF"/>
                <w:spacing w:val="-5"/>
                <w:sz w:val="20"/>
              </w:rPr>
              <w:t xml:space="preserve"> </w:t>
            </w:r>
            <w:r>
              <w:rPr>
                <w:rFonts w:ascii="Calibri"/>
                <w:b/>
                <w:color w:val="FFFFFF"/>
                <w:spacing w:val="-2"/>
                <w:sz w:val="20"/>
              </w:rPr>
              <w:t>involved</w:t>
            </w:r>
          </w:p>
        </w:tc>
      </w:tr>
      <w:tr w:rsidR="00BC24A8" w14:paraId="1F0E0C3A" w14:textId="77777777">
        <w:trPr>
          <w:trHeight w:val="514"/>
        </w:trPr>
        <w:tc>
          <w:tcPr>
            <w:tcW w:w="2791" w:type="dxa"/>
            <w:tcBorders>
              <w:top w:val="single" w:sz="4" w:space="0" w:color="BEBEBE"/>
            </w:tcBorders>
          </w:tcPr>
          <w:p w14:paraId="159F6540" w14:textId="77777777" w:rsidR="00BC24A8" w:rsidRDefault="00000000">
            <w:pPr>
              <w:pStyle w:val="TableParagraph"/>
              <w:spacing w:before="119"/>
              <w:ind w:left="107"/>
              <w:rPr>
                <w:sz w:val="18"/>
              </w:rPr>
            </w:pPr>
            <w:r>
              <w:rPr>
                <w:spacing w:val="-2"/>
                <w:sz w:val="18"/>
              </w:rPr>
              <w:t>Workshop</w:t>
            </w:r>
          </w:p>
        </w:tc>
        <w:tc>
          <w:tcPr>
            <w:tcW w:w="1262" w:type="dxa"/>
            <w:tcBorders>
              <w:top w:val="single" w:sz="4" w:space="0" w:color="BEBEBE"/>
            </w:tcBorders>
          </w:tcPr>
          <w:p w14:paraId="1EFC0552" w14:textId="77777777" w:rsidR="00BC24A8" w:rsidRDefault="00000000">
            <w:pPr>
              <w:pStyle w:val="TableParagraph"/>
              <w:spacing w:before="59"/>
              <w:ind w:left="4" w:right="5"/>
              <w:jc w:val="center"/>
              <w:rPr>
                <w:sz w:val="18"/>
              </w:rPr>
            </w:pPr>
            <w:r>
              <w:rPr>
                <w:spacing w:val="-5"/>
                <w:sz w:val="18"/>
              </w:rPr>
              <w:t>12</w:t>
            </w:r>
          </w:p>
        </w:tc>
        <w:tc>
          <w:tcPr>
            <w:tcW w:w="651" w:type="dxa"/>
            <w:tcBorders>
              <w:top w:val="single" w:sz="4" w:space="0" w:color="BEBEBE"/>
            </w:tcBorders>
          </w:tcPr>
          <w:p w14:paraId="4564CFB0" w14:textId="77777777" w:rsidR="00BC24A8" w:rsidRDefault="00000000">
            <w:pPr>
              <w:pStyle w:val="TableParagraph"/>
              <w:spacing w:before="59"/>
              <w:ind w:left="108"/>
              <w:rPr>
                <w:sz w:val="18"/>
              </w:rPr>
            </w:pPr>
            <w:r>
              <w:rPr>
                <w:spacing w:val="-5"/>
                <w:sz w:val="18"/>
              </w:rPr>
              <w:t>IDR</w:t>
            </w:r>
          </w:p>
        </w:tc>
        <w:tc>
          <w:tcPr>
            <w:tcW w:w="1327" w:type="dxa"/>
            <w:tcBorders>
              <w:top w:val="single" w:sz="4" w:space="0" w:color="BEBEBE"/>
            </w:tcBorders>
          </w:tcPr>
          <w:p w14:paraId="478075EB" w14:textId="77777777" w:rsidR="00BC24A8" w:rsidRDefault="00000000">
            <w:pPr>
              <w:pStyle w:val="TableParagraph"/>
              <w:spacing w:before="59"/>
              <w:ind w:left="210" w:right="72"/>
              <w:jc w:val="center"/>
              <w:rPr>
                <w:sz w:val="18"/>
              </w:rPr>
            </w:pPr>
            <w:r>
              <w:rPr>
                <w:spacing w:val="-2"/>
                <w:sz w:val="18"/>
              </w:rPr>
              <w:t>424,826,637</w:t>
            </w:r>
          </w:p>
        </w:tc>
        <w:tc>
          <w:tcPr>
            <w:tcW w:w="3060" w:type="dxa"/>
            <w:tcBorders>
              <w:top w:val="single" w:sz="4" w:space="0" w:color="BEBEBE"/>
            </w:tcBorders>
          </w:tcPr>
          <w:p w14:paraId="26389030" w14:textId="77777777" w:rsidR="00BC24A8" w:rsidRDefault="00000000">
            <w:pPr>
              <w:pStyle w:val="TableParagraph"/>
              <w:spacing w:before="59" w:line="219" w:lineRule="exact"/>
              <w:ind w:left="105"/>
              <w:rPr>
                <w:sz w:val="18"/>
              </w:rPr>
            </w:pPr>
            <w:r>
              <w:rPr>
                <w:sz w:val="18"/>
              </w:rPr>
              <w:t>Person</w:t>
            </w:r>
            <w:r>
              <w:rPr>
                <w:spacing w:val="1"/>
                <w:sz w:val="18"/>
              </w:rPr>
              <w:t xml:space="preserve"> </w:t>
            </w:r>
            <w:r>
              <w:rPr>
                <w:sz w:val="18"/>
              </w:rPr>
              <w:t>time</w:t>
            </w:r>
            <w:hyperlink w:anchor="_bookmark103" w:history="1">
              <w:r w:rsidR="00BC24A8">
                <w:rPr>
                  <w:position w:val="5"/>
                  <w:sz w:val="12"/>
                </w:rPr>
                <w:t>44</w:t>
              </w:r>
            </w:hyperlink>
            <w:r>
              <w:rPr>
                <w:spacing w:val="17"/>
                <w:position w:val="5"/>
                <w:sz w:val="12"/>
              </w:rPr>
              <w:t xml:space="preserve"> </w:t>
            </w:r>
            <w:r>
              <w:rPr>
                <w:sz w:val="18"/>
              </w:rPr>
              <w:t>=</w:t>
            </w:r>
            <w:r>
              <w:rPr>
                <w:spacing w:val="1"/>
                <w:sz w:val="18"/>
              </w:rPr>
              <w:t xml:space="preserve"> </w:t>
            </w:r>
            <w:r>
              <w:rPr>
                <w:spacing w:val="-5"/>
                <w:sz w:val="18"/>
              </w:rPr>
              <w:t>805</w:t>
            </w:r>
          </w:p>
          <w:p w14:paraId="630056C7" w14:textId="77777777" w:rsidR="00BC24A8" w:rsidRDefault="00000000">
            <w:pPr>
              <w:pStyle w:val="TableParagraph"/>
              <w:spacing w:line="216" w:lineRule="exact"/>
              <w:ind w:left="105"/>
              <w:rPr>
                <w:sz w:val="18"/>
              </w:rPr>
            </w:pPr>
            <w:r>
              <w:rPr>
                <w:sz w:val="18"/>
              </w:rPr>
              <w:t>425</w:t>
            </w:r>
            <w:r>
              <w:rPr>
                <w:spacing w:val="-2"/>
                <w:sz w:val="18"/>
              </w:rPr>
              <w:t xml:space="preserve"> males</w:t>
            </w:r>
          </w:p>
        </w:tc>
      </w:tr>
      <w:tr w:rsidR="00BC24A8" w14:paraId="7FF60BD7" w14:textId="77777777">
        <w:trPr>
          <w:trHeight w:val="220"/>
        </w:trPr>
        <w:tc>
          <w:tcPr>
            <w:tcW w:w="2791" w:type="dxa"/>
          </w:tcPr>
          <w:p w14:paraId="78F7D12D" w14:textId="77777777" w:rsidR="00BC24A8" w:rsidRDefault="00BC24A8">
            <w:pPr>
              <w:pStyle w:val="TableParagraph"/>
              <w:rPr>
                <w:rFonts w:ascii="Times New Roman"/>
                <w:sz w:val="14"/>
              </w:rPr>
            </w:pPr>
          </w:p>
        </w:tc>
        <w:tc>
          <w:tcPr>
            <w:tcW w:w="1262" w:type="dxa"/>
          </w:tcPr>
          <w:p w14:paraId="5620AFD2" w14:textId="77777777" w:rsidR="00BC24A8" w:rsidRDefault="00BC24A8">
            <w:pPr>
              <w:pStyle w:val="TableParagraph"/>
              <w:rPr>
                <w:rFonts w:ascii="Times New Roman"/>
                <w:sz w:val="14"/>
              </w:rPr>
            </w:pPr>
          </w:p>
        </w:tc>
        <w:tc>
          <w:tcPr>
            <w:tcW w:w="651" w:type="dxa"/>
          </w:tcPr>
          <w:p w14:paraId="3F05EA86" w14:textId="77777777" w:rsidR="00BC24A8" w:rsidRDefault="00BC24A8">
            <w:pPr>
              <w:pStyle w:val="TableParagraph"/>
              <w:rPr>
                <w:rFonts w:ascii="Times New Roman"/>
                <w:sz w:val="14"/>
              </w:rPr>
            </w:pPr>
          </w:p>
        </w:tc>
        <w:tc>
          <w:tcPr>
            <w:tcW w:w="1327" w:type="dxa"/>
          </w:tcPr>
          <w:p w14:paraId="6102EB59" w14:textId="77777777" w:rsidR="00BC24A8" w:rsidRDefault="00BC24A8">
            <w:pPr>
              <w:pStyle w:val="TableParagraph"/>
              <w:rPr>
                <w:rFonts w:ascii="Times New Roman"/>
                <w:sz w:val="14"/>
              </w:rPr>
            </w:pPr>
          </w:p>
        </w:tc>
        <w:tc>
          <w:tcPr>
            <w:tcW w:w="3060" w:type="dxa"/>
          </w:tcPr>
          <w:p w14:paraId="480B98E9" w14:textId="77777777" w:rsidR="00BC24A8" w:rsidRDefault="00000000">
            <w:pPr>
              <w:pStyle w:val="TableParagraph"/>
              <w:spacing w:line="201" w:lineRule="exact"/>
              <w:ind w:left="105"/>
              <w:rPr>
                <w:sz w:val="18"/>
              </w:rPr>
            </w:pPr>
            <w:r>
              <w:rPr>
                <w:sz w:val="18"/>
              </w:rPr>
              <w:t>380</w:t>
            </w:r>
            <w:r>
              <w:rPr>
                <w:spacing w:val="-2"/>
                <w:sz w:val="18"/>
              </w:rPr>
              <w:t xml:space="preserve"> females</w:t>
            </w:r>
          </w:p>
        </w:tc>
      </w:tr>
      <w:tr w:rsidR="00BC24A8" w14:paraId="3FFBE3B8" w14:textId="77777777">
        <w:trPr>
          <w:trHeight w:val="63"/>
        </w:trPr>
        <w:tc>
          <w:tcPr>
            <w:tcW w:w="2791" w:type="dxa"/>
            <w:tcBorders>
              <w:bottom w:val="single" w:sz="4" w:space="0" w:color="BEBEBE"/>
            </w:tcBorders>
          </w:tcPr>
          <w:p w14:paraId="1D313836" w14:textId="77777777" w:rsidR="00BC24A8" w:rsidRDefault="00BC24A8">
            <w:pPr>
              <w:pStyle w:val="TableParagraph"/>
              <w:rPr>
                <w:rFonts w:ascii="Times New Roman"/>
                <w:sz w:val="2"/>
              </w:rPr>
            </w:pPr>
          </w:p>
        </w:tc>
        <w:tc>
          <w:tcPr>
            <w:tcW w:w="1262" w:type="dxa"/>
            <w:tcBorders>
              <w:bottom w:val="single" w:sz="4" w:space="0" w:color="BEBEBE"/>
            </w:tcBorders>
          </w:tcPr>
          <w:p w14:paraId="044621E6" w14:textId="77777777" w:rsidR="00BC24A8" w:rsidRDefault="00BC24A8">
            <w:pPr>
              <w:pStyle w:val="TableParagraph"/>
              <w:rPr>
                <w:rFonts w:ascii="Times New Roman"/>
                <w:sz w:val="2"/>
              </w:rPr>
            </w:pPr>
          </w:p>
        </w:tc>
        <w:tc>
          <w:tcPr>
            <w:tcW w:w="651" w:type="dxa"/>
            <w:tcBorders>
              <w:bottom w:val="single" w:sz="4" w:space="0" w:color="BEBEBE"/>
            </w:tcBorders>
          </w:tcPr>
          <w:p w14:paraId="118F2377" w14:textId="77777777" w:rsidR="00BC24A8" w:rsidRDefault="00BC24A8">
            <w:pPr>
              <w:pStyle w:val="TableParagraph"/>
              <w:rPr>
                <w:rFonts w:ascii="Times New Roman"/>
                <w:sz w:val="2"/>
              </w:rPr>
            </w:pPr>
          </w:p>
        </w:tc>
        <w:tc>
          <w:tcPr>
            <w:tcW w:w="1327" w:type="dxa"/>
            <w:tcBorders>
              <w:bottom w:val="single" w:sz="4" w:space="0" w:color="BEBEBE"/>
            </w:tcBorders>
          </w:tcPr>
          <w:p w14:paraId="3B503478" w14:textId="77777777" w:rsidR="00BC24A8" w:rsidRDefault="00BC24A8">
            <w:pPr>
              <w:pStyle w:val="TableParagraph"/>
              <w:rPr>
                <w:rFonts w:ascii="Times New Roman"/>
                <w:sz w:val="2"/>
              </w:rPr>
            </w:pPr>
          </w:p>
        </w:tc>
        <w:tc>
          <w:tcPr>
            <w:tcW w:w="3060" w:type="dxa"/>
            <w:vMerge w:val="restart"/>
          </w:tcPr>
          <w:p w14:paraId="0EF9A7D4" w14:textId="77777777" w:rsidR="00BC24A8" w:rsidRDefault="00000000">
            <w:pPr>
              <w:pStyle w:val="TableParagraph"/>
              <w:spacing w:line="203" w:lineRule="exact"/>
              <w:ind w:left="105"/>
              <w:rPr>
                <w:sz w:val="18"/>
              </w:rPr>
            </w:pPr>
            <w:r>
              <w:rPr>
                <w:sz w:val="18"/>
              </w:rPr>
              <w:t>20</w:t>
            </w:r>
            <w:r>
              <w:rPr>
                <w:spacing w:val="-1"/>
                <w:sz w:val="18"/>
              </w:rPr>
              <w:t xml:space="preserve"> </w:t>
            </w:r>
            <w:r>
              <w:rPr>
                <w:sz w:val="18"/>
              </w:rPr>
              <w:t>males</w:t>
            </w:r>
            <w:r>
              <w:rPr>
                <w:spacing w:val="-1"/>
                <w:sz w:val="18"/>
              </w:rPr>
              <w:t xml:space="preserve"> </w:t>
            </w:r>
            <w:r>
              <w:rPr>
                <w:sz w:val="18"/>
              </w:rPr>
              <w:t>with</w:t>
            </w:r>
            <w:r>
              <w:rPr>
                <w:spacing w:val="-1"/>
                <w:sz w:val="18"/>
              </w:rPr>
              <w:t xml:space="preserve"> </w:t>
            </w:r>
            <w:r>
              <w:rPr>
                <w:spacing w:val="-2"/>
                <w:sz w:val="18"/>
              </w:rPr>
              <w:t>disability</w:t>
            </w:r>
          </w:p>
          <w:p w14:paraId="1AA82764" w14:textId="77777777" w:rsidR="00BC24A8" w:rsidRDefault="00000000">
            <w:pPr>
              <w:pStyle w:val="TableParagraph"/>
              <w:spacing w:line="219" w:lineRule="exact"/>
              <w:ind w:left="105"/>
              <w:rPr>
                <w:sz w:val="18"/>
              </w:rPr>
            </w:pPr>
            <w:r>
              <w:rPr>
                <w:sz w:val="18"/>
              </w:rPr>
              <w:t>7</w:t>
            </w:r>
            <w:r>
              <w:rPr>
                <w:spacing w:val="-2"/>
                <w:sz w:val="18"/>
              </w:rPr>
              <w:t xml:space="preserve"> </w:t>
            </w:r>
            <w:r>
              <w:rPr>
                <w:sz w:val="18"/>
              </w:rPr>
              <w:t>females</w:t>
            </w:r>
            <w:r>
              <w:rPr>
                <w:spacing w:val="-1"/>
                <w:sz w:val="18"/>
              </w:rPr>
              <w:t xml:space="preserve"> </w:t>
            </w:r>
            <w:r>
              <w:rPr>
                <w:sz w:val="18"/>
              </w:rPr>
              <w:t>with</w:t>
            </w:r>
            <w:r>
              <w:rPr>
                <w:spacing w:val="-1"/>
                <w:sz w:val="18"/>
              </w:rPr>
              <w:t xml:space="preserve"> </w:t>
            </w:r>
            <w:r>
              <w:rPr>
                <w:spacing w:val="-2"/>
                <w:sz w:val="18"/>
              </w:rPr>
              <w:t>disability</w:t>
            </w:r>
          </w:p>
        </w:tc>
      </w:tr>
      <w:tr w:rsidR="00BC24A8" w14:paraId="18DE18BF" w14:textId="77777777">
        <w:trPr>
          <w:trHeight w:val="474"/>
        </w:trPr>
        <w:tc>
          <w:tcPr>
            <w:tcW w:w="2791" w:type="dxa"/>
            <w:tcBorders>
              <w:top w:val="single" w:sz="4" w:space="0" w:color="BEBEBE"/>
            </w:tcBorders>
          </w:tcPr>
          <w:p w14:paraId="3D5BF31E" w14:textId="77777777" w:rsidR="00BC24A8" w:rsidRDefault="00000000">
            <w:pPr>
              <w:pStyle w:val="TableParagraph"/>
              <w:spacing w:before="116"/>
              <w:ind w:left="107"/>
              <w:rPr>
                <w:sz w:val="18"/>
              </w:rPr>
            </w:pPr>
            <w:r>
              <w:rPr>
                <w:sz w:val="18"/>
              </w:rPr>
              <w:t>Monitoring</w:t>
            </w:r>
            <w:r>
              <w:rPr>
                <w:spacing w:val="-3"/>
                <w:sz w:val="18"/>
              </w:rPr>
              <w:t xml:space="preserve"> </w:t>
            </w:r>
            <w:r>
              <w:rPr>
                <w:sz w:val="18"/>
              </w:rPr>
              <w:t>and</w:t>
            </w:r>
            <w:r>
              <w:rPr>
                <w:spacing w:val="-1"/>
                <w:sz w:val="18"/>
              </w:rPr>
              <w:t xml:space="preserve"> </w:t>
            </w:r>
            <w:r>
              <w:rPr>
                <w:sz w:val="18"/>
              </w:rPr>
              <w:t>evaluation</w:t>
            </w:r>
            <w:r>
              <w:rPr>
                <w:spacing w:val="-1"/>
                <w:sz w:val="18"/>
              </w:rPr>
              <w:t xml:space="preserve"> </w:t>
            </w:r>
            <w:r>
              <w:rPr>
                <w:spacing w:val="-2"/>
                <w:sz w:val="18"/>
              </w:rPr>
              <w:t>visits</w:t>
            </w:r>
          </w:p>
        </w:tc>
        <w:tc>
          <w:tcPr>
            <w:tcW w:w="1262" w:type="dxa"/>
            <w:tcBorders>
              <w:top w:val="single" w:sz="4" w:space="0" w:color="BEBEBE"/>
            </w:tcBorders>
          </w:tcPr>
          <w:p w14:paraId="0B8AA79C" w14:textId="77777777" w:rsidR="00BC24A8" w:rsidRDefault="00000000">
            <w:pPr>
              <w:pStyle w:val="TableParagraph"/>
              <w:spacing w:before="56"/>
              <w:ind w:left="4" w:right="5"/>
              <w:jc w:val="center"/>
              <w:rPr>
                <w:sz w:val="18"/>
              </w:rPr>
            </w:pPr>
            <w:r>
              <w:rPr>
                <w:spacing w:val="-10"/>
                <w:sz w:val="18"/>
              </w:rPr>
              <w:t>1</w:t>
            </w:r>
          </w:p>
        </w:tc>
        <w:tc>
          <w:tcPr>
            <w:tcW w:w="651" w:type="dxa"/>
            <w:tcBorders>
              <w:top w:val="single" w:sz="4" w:space="0" w:color="BEBEBE"/>
            </w:tcBorders>
          </w:tcPr>
          <w:p w14:paraId="614CB9C0" w14:textId="77777777" w:rsidR="00BC24A8" w:rsidRDefault="00000000">
            <w:pPr>
              <w:pStyle w:val="TableParagraph"/>
              <w:spacing w:before="56"/>
              <w:ind w:left="108"/>
              <w:rPr>
                <w:sz w:val="18"/>
              </w:rPr>
            </w:pPr>
            <w:r>
              <w:rPr>
                <w:spacing w:val="-5"/>
                <w:sz w:val="18"/>
              </w:rPr>
              <w:t>IDR</w:t>
            </w:r>
          </w:p>
        </w:tc>
        <w:tc>
          <w:tcPr>
            <w:tcW w:w="1327" w:type="dxa"/>
            <w:tcBorders>
              <w:top w:val="single" w:sz="4" w:space="0" w:color="BEBEBE"/>
            </w:tcBorders>
          </w:tcPr>
          <w:p w14:paraId="577EEFC9" w14:textId="77777777" w:rsidR="00BC24A8" w:rsidRDefault="00000000">
            <w:pPr>
              <w:pStyle w:val="TableParagraph"/>
              <w:spacing w:before="56"/>
              <w:ind w:left="210"/>
              <w:jc w:val="center"/>
              <w:rPr>
                <w:sz w:val="18"/>
              </w:rPr>
            </w:pPr>
            <w:r>
              <w:rPr>
                <w:spacing w:val="-2"/>
                <w:sz w:val="18"/>
              </w:rPr>
              <w:t>42,644,239</w:t>
            </w:r>
          </w:p>
        </w:tc>
        <w:tc>
          <w:tcPr>
            <w:tcW w:w="3060" w:type="dxa"/>
            <w:vMerge/>
            <w:tcBorders>
              <w:top w:val="nil"/>
            </w:tcBorders>
          </w:tcPr>
          <w:p w14:paraId="3BC1E795" w14:textId="77777777" w:rsidR="00BC24A8" w:rsidRDefault="00BC24A8">
            <w:pPr>
              <w:rPr>
                <w:sz w:val="2"/>
                <w:szCs w:val="2"/>
              </w:rPr>
            </w:pPr>
          </w:p>
        </w:tc>
      </w:tr>
      <w:tr w:rsidR="00BC24A8" w14:paraId="38D8F6CF" w14:textId="77777777">
        <w:trPr>
          <w:trHeight w:val="330"/>
        </w:trPr>
        <w:tc>
          <w:tcPr>
            <w:tcW w:w="2791" w:type="dxa"/>
          </w:tcPr>
          <w:p w14:paraId="1B681428" w14:textId="77777777" w:rsidR="00BC24A8" w:rsidRDefault="00BC24A8">
            <w:pPr>
              <w:pStyle w:val="TableParagraph"/>
              <w:rPr>
                <w:rFonts w:ascii="Times New Roman"/>
                <w:sz w:val="18"/>
              </w:rPr>
            </w:pPr>
          </w:p>
        </w:tc>
        <w:tc>
          <w:tcPr>
            <w:tcW w:w="1262" w:type="dxa"/>
          </w:tcPr>
          <w:p w14:paraId="02DA01ED" w14:textId="77777777" w:rsidR="00BC24A8" w:rsidRDefault="00BC24A8">
            <w:pPr>
              <w:pStyle w:val="TableParagraph"/>
              <w:rPr>
                <w:rFonts w:ascii="Times New Roman"/>
                <w:sz w:val="18"/>
              </w:rPr>
            </w:pPr>
          </w:p>
        </w:tc>
        <w:tc>
          <w:tcPr>
            <w:tcW w:w="651" w:type="dxa"/>
          </w:tcPr>
          <w:p w14:paraId="008887D7" w14:textId="77777777" w:rsidR="00BC24A8" w:rsidRDefault="00BC24A8">
            <w:pPr>
              <w:pStyle w:val="TableParagraph"/>
              <w:rPr>
                <w:rFonts w:ascii="Times New Roman"/>
                <w:sz w:val="18"/>
              </w:rPr>
            </w:pPr>
          </w:p>
        </w:tc>
        <w:tc>
          <w:tcPr>
            <w:tcW w:w="1327" w:type="dxa"/>
          </w:tcPr>
          <w:p w14:paraId="10CFF311" w14:textId="77777777" w:rsidR="00BC24A8" w:rsidRDefault="00BC24A8">
            <w:pPr>
              <w:pStyle w:val="TableParagraph"/>
              <w:rPr>
                <w:rFonts w:ascii="Times New Roman"/>
                <w:sz w:val="18"/>
              </w:rPr>
            </w:pPr>
          </w:p>
        </w:tc>
        <w:tc>
          <w:tcPr>
            <w:tcW w:w="3060" w:type="dxa"/>
          </w:tcPr>
          <w:p w14:paraId="14AC80E1" w14:textId="77777777" w:rsidR="00BC24A8" w:rsidRDefault="00000000">
            <w:pPr>
              <w:pStyle w:val="TableParagraph"/>
              <w:spacing w:before="93" w:line="217" w:lineRule="exact"/>
              <w:ind w:left="105"/>
              <w:rPr>
                <w:sz w:val="18"/>
              </w:rPr>
            </w:pPr>
            <w:r>
              <w:rPr>
                <w:sz w:val="18"/>
              </w:rPr>
              <w:t>Headcount</w:t>
            </w:r>
            <w:r>
              <w:rPr>
                <w:spacing w:val="-3"/>
                <w:sz w:val="18"/>
              </w:rPr>
              <w:t xml:space="preserve"> </w:t>
            </w:r>
            <w:r>
              <w:rPr>
                <w:sz w:val="18"/>
              </w:rPr>
              <w:t>=</w:t>
            </w:r>
            <w:r>
              <w:rPr>
                <w:spacing w:val="-1"/>
                <w:sz w:val="18"/>
              </w:rPr>
              <w:t xml:space="preserve"> </w:t>
            </w:r>
            <w:r>
              <w:rPr>
                <w:spacing w:val="-5"/>
                <w:sz w:val="18"/>
              </w:rPr>
              <w:t>563</w:t>
            </w:r>
          </w:p>
        </w:tc>
      </w:tr>
      <w:tr w:rsidR="00BC24A8" w14:paraId="2EBDAEC5" w14:textId="77777777">
        <w:trPr>
          <w:trHeight w:val="219"/>
        </w:trPr>
        <w:tc>
          <w:tcPr>
            <w:tcW w:w="2791" w:type="dxa"/>
          </w:tcPr>
          <w:p w14:paraId="768142A3" w14:textId="77777777" w:rsidR="00BC24A8" w:rsidRDefault="00BC24A8">
            <w:pPr>
              <w:pStyle w:val="TableParagraph"/>
              <w:rPr>
                <w:rFonts w:ascii="Times New Roman"/>
                <w:sz w:val="14"/>
              </w:rPr>
            </w:pPr>
          </w:p>
        </w:tc>
        <w:tc>
          <w:tcPr>
            <w:tcW w:w="1262" w:type="dxa"/>
          </w:tcPr>
          <w:p w14:paraId="57E658A8" w14:textId="77777777" w:rsidR="00BC24A8" w:rsidRDefault="00BC24A8">
            <w:pPr>
              <w:pStyle w:val="TableParagraph"/>
              <w:rPr>
                <w:rFonts w:ascii="Times New Roman"/>
                <w:sz w:val="14"/>
              </w:rPr>
            </w:pPr>
          </w:p>
        </w:tc>
        <w:tc>
          <w:tcPr>
            <w:tcW w:w="651" w:type="dxa"/>
          </w:tcPr>
          <w:p w14:paraId="3AE3FF2C" w14:textId="77777777" w:rsidR="00BC24A8" w:rsidRDefault="00BC24A8">
            <w:pPr>
              <w:pStyle w:val="TableParagraph"/>
              <w:rPr>
                <w:rFonts w:ascii="Times New Roman"/>
                <w:sz w:val="14"/>
              </w:rPr>
            </w:pPr>
          </w:p>
        </w:tc>
        <w:tc>
          <w:tcPr>
            <w:tcW w:w="1327" w:type="dxa"/>
          </w:tcPr>
          <w:p w14:paraId="57C1022A" w14:textId="77777777" w:rsidR="00BC24A8" w:rsidRDefault="00BC24A8">
            <w:pPr>
              <w:pStyle w:val="TableParagraph"/>
              <w:rPr>
                <w:rFonts w:ascii="Times New Roman"/>
                <w:sz w:val="14"/>
              </w:rPr>
            </w:pPr>
          </w:p>
        </w:tc>
        <w:tc>
          <w:tcPr>
            <w:tcW w:w="3060" w:type="dxa"/>
          </w:tcPr>
          <w:p w14:paraId="227CF487" w14:textId="77777777" w:rsidR="00BC24A8" w:rsidRDefault="00000000">
            <w:pPr>
              <w:pStyle w:val="TableParagraph"/>
              <w:spacing w:line="200" w:lineRule="exact"/>
              <w:ind w:left="105"/>
              <w:rPr>
                <w:sz w:val="18"/>
              </w:rPr>
            </w:pPr>
            <w:r>
              <w:rPr>
                <w:sz w:val="18"/>
              </w:rPr>
              <w:t>286</w:t>
            </w:r>
            <w:r>
              <w:rPr>
                <w:spacing w:val="-2"/>
                <w:sz w:val="18"/>
              </w:rPr>
              <w:t xml:space="preserve"> males</w:t>
            </w:r>
          </w:p>
        </w:tc>
      </w:tr>
      <w:tr w:rsidR="00BC24A8" w14:paraId="200A6177" w14:textId="77777777">
        <w:trPr>
          <w:trHeight w:val="77"/>
        </w:trPr>
        <w:tc>
          <w:tcPr>
            <w:tcW w:w="2791" w:type="dxa"/>
            <w:tcBorders>
              <w:bottom w:val="single" w:sz="4" w:space="0" w:color="BEBEBE"/>
            </w:tcBorders>
          </w:tcPr>
          <w:p w14:paraId="3DE6793C" w14:textId="77777777" w:rsidR="00BC24A8" w:rsidRDefault="00BC24A8">
            <w:pPr>
              <w:pStyle w:val="TableParagraph"/>
              <w:rPr>
                <w:rFonts w:ascii="Times New Roman"/>
                <w:sz w:val="2"/>
              </w:rPr>
            </w:pPr>
          </w:p>
        </w:tc>
        <w:tc>
          <w:tcPr>
            <w:tcW w:w="1262" w:type="dxa"/>
            <w:tcBorders>
              <w:bottom w:val="single" w:sz="4" w:space="0" w:color="BEBEBE"/>
            </w:tcBorders>
          </w:tcPr>
          <w:p w14:paraId="4DC5B914" w14:textId="77777777" w:rsidR="00BC24A8" w:rsidRDefault="00BC24A8">
            <w:pPr>
              <w:pStyle w:val="TableParagraph"/>
              <w:rPr>
                <w:rFonts w:ascii="Times New Roman"/>
                <w:sz w:val="2"/>
              </w:rPr>
            </w:pPr>
          </w:p>
        </w:tc>
        <w:tc>
          <w:tcPr>
            <w:tcW w:w="651" w:type="dxa"/>
            <w:tcBorders>
              <w:bottom w:val="single" w:sz="4" w:space="0" w:color="BEBEBE"/>
            </w:tcBorders>
          </w:tcPr>
          <w:p w14:paraId="355A1CA4" w14:textId="77777777" w:rsidR="00BC24A8" w:rsidRDefault="00BC24A8">
            <w:pPr>
              <w:pStyle w:val="TableParagraph"/>
              <w:rPr>
                <w:rFonts w:ascii="Times New Roman"/>
                <w:sz w:val="2"/>
              </w:rPr>
            </w:pPr>
          </w:p>
        </w:tc>
        <w:tc>
          <w:tcPr>
            <w:tcW w:w="1327" w:type="dxa"/>
            <w:tcBorders>
              <w:bottom w:val="single" w:sz="4" w:space="0" w:color="BEBEBE"/>
            </w:tcBorders>
          </w:tcPr>
          <w:p w14:paraId="5D099A64" w14:textId="77777777" w:rsidR="00BC24A8" w:rsidRDefault="00BC24A8">
            <w:pPr>
              <w:pStyle w:val="TableParagraph"/>
              <w:rPr>
                <w:rFonts w:ascii="Times New Roman"/>
                <w:sz w:val="2"/>
              </w:rPr>
            </w:pPr>
          </w:p>
        </w:tc>
        <w:tc>
          <w:tcPr>
            <w:tcW w:w="3060" w:type="dxa"/>
          </w:tcPr>
          <w:p w14:paraId="5474CDDC" w14:textId="77777777" w:rsidR="00BC24A8" w:rsidRDefault="00BC24A8">
            <w:pPr>
              <w:pStyle w:val="TableParagraph"/>
              <w:rPr>
                <w:rFonts w:ascii="Times New Roman"/>
                <w:sz w:val="2"/>
              </w:rPr>
            </w:pPr>
          </w:p>
        </w:tc>
      </w:tr>
      <w:tr w:rsidR="00BC24A8" w14:paraId="1BE8281B" w14:textId="77777777">
        <w:trPr>
          <w:trHeight w:val="354"/>
        </w:trPr>
        <w:tc>
          <w:tcPr>
            <w:tcW w:w="2791" w:type="dxa"/>
            <w:tcBorders>
              <w:top w:val="single" w:sz="4" w:space="0" w:color="BEBEBE"/>
            </w:tcBorders>
          </w:tcPr>
          <w:p w14:paraId="4949E553" w14:textId="77777777" w:rsidR="00BC24A8" w:rsidRDefault="00000000">
            <w:pPr>
              <w:pStyle w:val="TableParagraph"/>
              <w:spacing w:before="119" w:line="216" w:lineRule="exact"/>
              <w:ind w:left="107"/>
              <w:rPr>
                <w:sz w:val="18"/>
              </w:rPr>
            </w:pPr>
            <w:r>
              <w:rPr>
                <w:sz w:val="18"/>
              </w:rPr>
              <w:t>Meeting/coordination</w:t>
            </w:r>
            <w:r>
              <w:rPr>
                <w:spacing w:val="-6"/>
                <w:sz w:val="18"/>
              </w:rPr>
              <w:t xml:space="preserve"> </w:t>
            </w:r>
            <w:r>
              <w:rPr>
                <w:spacing w:val="-2"/>
                <w:sz w:val="18"/>
              </w:rPr>
              <w:t>meeting</w:t>
            </w:r>
          </w:p>
        </w:tc>
        <w:tc>
          <w:tcPr>
            <w:tcW w:w="1262" w:type="dxa"/>
            <w:tcBorders>
              <w:top w:val="single" w:sz="4" w:space="0" w:color="BEBEBE"/>
            </w:tcBorders>
          </w:tcPr>
          <w:p w14:paraId="32EF8BDA" w14:textId="77777777" w:rsidR="00BC24A8" w:rsidRDefault="00000000">
            <w:pPr>
              <w:pStyle w:val="TableParagraph"/>
              <w:spacing w:before="59"/>
              <w:ind w:left="4" w:right="5"/>
              <w:jc w:val="center"/>
              <w:rPr>
                <w:sz w:val="18"/>
              </w:rPr>
            </w:pPr>
            <w:r>
              <w:rPr>
                <w:spacing w:val="-10"/>
                <w:sz w:val="18"/>
              </w:rPr>
              <w:t>2</w:t>
            </w:r>
          </w:p>
        </w:tc>
        <w:tc>
          <w:tcPr>
            <w:tcW w:w="651" w:type="dxa"/>
            <w:tcBorders>
              <w:top w:val="single" w:sz="4" w:space="0" w:color="BEBEBE"/>
            </w:tcBorders>
          </w:tcPr>
          <w:p w14:paraId="2AD4F6D9" w14:textId="77777777" w:rsidR="00BC24A8" w:rsidRDefault="00000000">
            <w:pPr>
              <w:pStyle w:val="TableParagraph"/>
              <w:spacing w:before="59"/>
              <w:ind w:left="108"/>
              <w:rPr>
                <w:sz w:val="18"/>
              </w:rPr>
            </w:pPr>
            <w:r>
              <w:rPr>
                <w:spacing w:val="-5"/>
                <w:sz w:val="18"/>
              </w:rPr>
              <w:t>IDR</w:t>
            </w:r>
          </w:p>
        </w:tc>
        <w:tc>
          <w:tcPr>
            <w:tcW w:w="1327" w:type="dxa"/>
            <w:tcBorders>
              <w:top w:val="single" w:sz="4" w:space="0" w:color="BEBEBE"/>
            </w:tcBorders>
          </w:tcPr>
          <w:p w14:paraId="470EB5B4" w14:textId="77777777" w:rsidR="00BC24A8" w:rsidRDefault="00000000">
            <w:pPr>
              <w:pStyle w:val="TableParagraph"/>
              <w:spacing w:before="59"/>
              <w:ind w:left="210"/>
              <w:jc w:val="center"/>
              <w:rPr>
                <w:sz w:val="18"/>
              </w:rPr>
            </w:pPr>
            <w:r>
              <w:rPr>
                <w:spacing w:val="-2"/>
                <w:sz w:val="18"/>
              </w:rPr>
              <w:t>26,308,179</w:t>
            </w:r>
          </w:p>
        </w:tc>
        <w:tc>
          <w:tcPr>
            <w:tcW w:w="3060" w:type="dxa"/>
          </w:tcPr>
          <w:p w14:paraId="1A5D9030" w14:textId="77777777" w:rsidR="00BC24A8" w:rsidRDefault="00000000">
            <w:pPr>
              <w:pStyle w:val="TableParagraph"/>
              <w:spacing w:line="115" w:lineRule="exact"/>
              <w:ind w:left="105"/>
              <w:rPr>
                <w:sz w:val="18"/>
              </w:rPr>
            </w:pPr>
            <w:r>
              <w:rPr>
                <w:sz w:val="18"/>
              </w:rPr>
              <w:t>277</w:t>
            </w:r>
            <w:r>
              <w:rPr>
                <w:spacing w:val="-2"/>
                <w:sz w:val="18"/>
              </w:rPr>
              <w:t xml:space="preserve"> females</w:t>
            </w:r>
          </w:p>
          <w:p w14:paraId="12713418" w14:textId="77777777" w:rsidR="00BC24A8" w:rsidRDefault="00000000">
            <w:pPr>
              <w:pStyle w:val="TableParagraph"/>
              <w:spacing w:before="1" w:line="218" w:lineRule="exact"/>
              <w:ind w:left="105"/>
              <w:rPr>
                <w:sz w:val="18"/>
              </w:rPr>
            </w:pPr>
            <w:r>
              <w:rPr>
                <w:sz w:val="18"/>
              </w:rPr>
              <w:t>9</w:t>
            </w:r>
            <w:r>
              <w:rPr>
                <w:spacing w:val="-1"/>
                <w:sz w:val="18"/>
              </w:rPr>
              <w:t xml:space="preserve"> </w:t>
            </w:r>
            <w:r>
              <w:rPr>
                <w:sz w:val="18"/>
              </w:rPr>
              <w:t>males</w:t>
            </w:r>
            <w:r>
              <w:rPr>
                <w:spacing w:val="-1"/>
                <w:sz w:val="18"/>
              </w:rPr>
              <w:t xml:space="preserve"> </w:t>
            </w:r>
            <w:r>
              <w:rPr>
                <w:sz w:val="18"/>
              </w:rPr>
              <w:t xml:space="preserve">with </w:t>
            </w:r>
            <w:r>
              <w:rPr>
                <w:spacing w:val="-2"/>
                <w:sz w:val="18"/>
              </w:rPr>
              <w:t>disability</w:t>
            </w:r>
          </w:p>
        </w:tc>
      </w:tr>
      <w:tr w:rsidR="00BC24A8" w14:paraId="01E42C52" w14:textId="77777777">
        <w:trPr>
          <w:trHeight w:val="360"/>
        </w:trPr>
        <w:tc>
          <w:tcPr>
            <w:tcW w:w="2791" w:type="dxa"/>
          </w:tcPr>
          <w:p w14:paraId="34574DCE" w14:textId="77777777" w:rsidR="00BC24A8" w:rsidRDefault="00BC24A8">
            <w:pPr>
              <w:pStyle w:val="TableParagraph"/>
              <w:rPr>
                <w:rFonts w:ascii="Times New Roman"/>
                <w:sz w:val="18"/>
              </w:rPr>
            </w:pPr>
          </w:p>
        </w:tc>
        <w:tc>
          <w:tcPr>
            <w:tcW w:w="1262" w:type="dxa"/>
          </w:tcPr>
          <w:p w14:paraId="1450A1F1" w14:textId="77777777" w:rsidR="00BC24A8" w:rsidRDefault="00BC24A8">
            <w:pPr>
              <w:pStyle w:val="TableParagraph"/>
              <w:rPr>
                <w:rFonts w:ascii="Times New Roman"/>
                <w:sz w:val="18"/>
              </w:rPr>
            </w:pPr>
          </w:p>
        </w:tc>
        <w:tc>
          <w:tcPr>
            <w:tcW w:w="651" w:type="dxa"/>
          </w:tcPr>
          <w:p w14:paraId="746166AD" w14:textId="77777777" w:rsidR="00BC24A8" w:rsidRDefault="00BC24A8">
            <w:pPr>
              <w:pStyle w:val="TableParagraph"/>
              <w:rPr>
                <w:rFonts w:ascii="Times New Roman"/>
                <w:sz w:val="18"/>
              </w:rPr>
            </w:pPr>
          </w:p>
        </w:tc>
        <w:tc>
          <w:tcPr>
            <w:tcW w:w="1327" w:type="dxa"/>
          </w:tcPr>
          <w:p w14:paraId="57ACE9AA" w14:textId="77777777" w:rsidR="00BC24A8" w:rsidRDefault="00BC24A8">
            <w:pPr>
              <w:pStyle w:val="TableParagraph"/>
              <w:rPr>
                <w:rFonts w:ascii="Times New Roman"/>
                <w:sz w:val="18"/>
              </w:rPr>
            </w:pPr>
          </w:p>
        </w:tc>
        <w:tc>
          <w:tcPr>
            <w:tcW w:w="3060" w:type="dxa"/>
          </w:tcPr>
          <w:p w14:paraId="1F8D117A" w14:textId="77777777" w:rsidR="00BC24A8" w:rsidRDefault="00000000">
            <w:pPr>
              <w:pStyle w:val="TableParagraph"/>
              <w:spacing w:line="203" w:lineRule="exact"/>
              <w:ind w:left="105"/>
              <w:rPr>
                <w:sz w:val="18"/>
              </w:rPr>
            </w:pPr>
            <w:r>
              <w:rPr>
                <w:sz w:val="18"/>
              </w:rPr>
              <w:t>5</w:t>
            </w:r>
            <w:r>
              <w:rPr>
                <w:spacing w:val="-2"/>
                <w:sz w:val="18"/>
              </w:rPr>
              <w:t xml:space="preserve"> </w:t>
            </w:r>
            <w:r>
              <w:rPr>
                <w:sz w:val="18"/>
              </w:rPr>
              <w:t>females</w:t>
            </w:r>
            <w:r>
              <w:rPr>
                <w:spacing w:val="-1"/>
                <w:sz w:val="18"/>
              </w:rPr>
              <w:t xml:space="preserve"> </w:t>
            </w:r>
            <w:r>
              <w:rPr>
                <w:sz w:val="18"/>
              </w:rPr>
              <w:t>with</w:t>
            </w:r>
            <w:r>
              <w:rPr>
                <w:spacing w:val="-1"/>
                <w:sz w:val="18"/>
              </w:rPr>
              <w:t xml:space="preserve"> </w:t>
            </w:r>
            <w:r>
              <w:rPr>
                <w:spacing w:val="-2"/>
                <w:sz w:val="18"/>
              </w:rPr>
              <w:t>disability</w:t>
            </w:r>
          </w:p>
        </w:tc>
      </w:tr>
      <w:tr w:rsidR="00BC24A8" w14:paraId="681D0D75" w14:textId="77777777">
        <w:trPr>
          <w:trHeight w:val="352"/>
        </w:trPr>
        <w:tc>
          <w:tcPr>
            <w:tcW w:w="2791" w:type="dxa"/>
            <w:tcBorders>
              <w:bottom w:val="single" w:sz="4" w:space="0" w:color="BEBEBE"/>
            </w:tcBorders>
            <w:shd w:val="clear" w:color="auto" w:fill="A7A9AC"/>
          </w:tcPr>
          <w:p w14:paraId="298505B4" w14:textId="77777777" w:rsidR="00BC24A8" w:rsidRDefault="00000000">
            <w:pPr>
              <w:pStyle w:val="TableParagraph"/>
              <w:spacing w:before="61"/>
              <w:ind w:left="107"/>
              <w:rPr>
                <w:rFonts w:ascii="Calibri"/>
                <w:b/>
                <w:sz w:val="18"/>
              </w:rPr>
            </w:pPr>
            <w:r w:rsidRPr="00795364">
              <w:rPr>
                <w:rFonts w:ascii="Calibri"/>
                <w:b/>
                <w:color w:val="000000"/>
                <w:spacing w:val="-2"/>
                <w:sz w:val="18"/>
              </w:rPr>
              <w:t>TOTAL</w:t>
            </w:r>
          </w:p>
        </w:tc>
        <w:tc>
          <w:tcPr>
            <w:tcW w:w="1262" w:type="dxa"/>
            <w:tcBorders>
              <w:bottom w:val="single" w:sz="4" w:space="0" w:color="BEBEBE"/>
            </w:tcBorders>
            <w:shd w:val="clear" w:color="auto" w:fill="A7A9AC"/>
          </w:tcPr>
          <w:p w14:paraId="6F38A1E8" w14:textId="77777777" w:rsidR="00BC24A8" w:rsidRDefault="00000000">
            <w:pPr>
              <w:pStyle w:val="TableParagraph"/>
              <w:spacing w:before="61"/>
              <w:ind w:left="4" w:right="5"/>
              <w:jc w:val="center"/>
              <w:rPr>
                <w:rFonts w:ascii="Calibri"/>
                <w:b/>
                <w:sz w:val="18"/>
              </w:rPr>
            </w:pPr>
            <w:r w:rsidRPr="00795364">
              <w:rPr>
                <w:rFonts w:ascii="Calibri"/>
                <w:b/>
                <w:color w:val="000000"/>
                <w:spacing w:val="-5"/>
                <w:sz w:val="18"/>
              </w:rPr>
              <w:t>15</w:t>
            </w:r>
          </w:p>
        </w:tc>
        <w:tc>
          <w:tcPr>
            <w:tcW w:w="651" w:type="dxa"/>
            <w:tcBorders>
              <w:bottom w:val="single" w:sz="4" w:space="0" w:color="BEBEBE"/>
            </w:tcBorders>
            <w:shd w:val="clear" w:color="auto" w:fill="A7A9AC"/>
          </w:tcPr>
          <w:p w14:paraId="6AA8381E" w14:textId="77777777" w:rsidR="00BC24A8" w:rsidRDefault="00000000">
            <w:pPr>
              <w:pStyle w:val="TableParagraph"/>
              <w:spacing w:before="61"/>
              <w:ind w:left="110"/>
              <w:rPr>
                <w:rFonts w:ascii="Calibri"/>
                <w:b/>
                <w:sz w:val="18"/>
              </w:rPr>
            </w:pPr>
            <w:r w:rsidRPr="00795364">
              <w:rPr>
                <w:rFonts w:ascii="Calibri"/>
                <w:b/>
                <w:color w:val="000000"/>
                <w:spacing w:val="-5"/>
                <w:sz w:val="18"/>
              </w:rPr>
              <w:t>IDR</w:t>
            </w:r>
          </w:p>
        </w:tc>
        <w:tc>
          <w:tcPr>
            <w:tcW w:w="1327" w:type="dxa"/>
            <w:tcBorders>
              <w:bottom w:val="single" w:sz="4" w:space="0" w:color="BEBEBE"/>
            </w:tcBorders>
            <w:shd w:val="clear" w:color="auto" w:fill="A7A9AC"/>
          </w:tcPr>
          <w:p w14:paraId="527DB409" w14:textId="77777777" w:rsidR="00BC24A8" w:rsidRDefault="00000000">
            <w:pPr>
              <w:pStyle w:val="TableParagraph"/>
              <w:spacing w:before="61"/>
              <w:ind w:left="210" w:right="20"/>
              <w:jc w:val="center"/>
              <w:rPr>
                <w:rFonts w:ascii="Calibri"/>
                <w:b/>
                <w:sz w:val="18"/>
              </w:rPr>
            </w:pPr>
            <w:r w:rsidRPr="00795364">
              <w:rPr>
                <w:rFonts w:ascii="Calibri"/>
                <w:b/>
                <w:color w:val="000000"/>
                <w:spacing w:val="-2"/>
                <w:sz w:val="18"/>
              </w:rPr>
              <w:t>493,779,055</w:t>
            </w:r>
          </w:p>
        </w:tc>
        <w:tc>
          <w:tcPr>
            <w:tcW w:w="3060" w:type="dxa"/>
            <w:tcBorders>
              <w:bottom w:val="single" w:sz="4" w:space="0" w:color="BEBEBE"/>
            </w:tcBorders>
            <w:shd w:val="clear" w:color="auto" w:fill="A7A9AC"/>
          </w:tcPr>
          <w:p w14:paraId="3B708EA4" w14:textId="77777777" w:rsidR="00BC24A8" w:rsidRDefault="00BC24A8">
            <w:pPr>
              <w:pStyle w:val="TableParagraph"/>
              <w:rPr>
                <w:rFonts w:ascii="Times New Roman"/>
                <w:sz w:val="18"/>
              </w:rPr>
            </w:pPr>
          </w:p>
        </w:tc>
      </w:tr>
    </w:tbl>
    <w:p w14:paraId="3D9A2037" w14:textId="77777777" w:rsidR="00BC24A8" w:rsidRDefault="00000000">
      <w:pPr>
        <w:spacing w:before="124"/>
        <w:ind w:left="143"/>
        <w:rPr>
          <w:sz w:val="16"/>
        </w:rPr>
      </w:pPr>
      <w:r>
        <w:rPr>
          <w:sz w:val="16"/>
        </w:rPr>
        <w:t>Data</w:t>
      </w:r>
      <w:r>
        <w:rPr>
          <w:spacing w:val="-5"/>
          <w:sz w:val="16"/>
        </w:rPr>
        <w:t xml:space="preserve"> </w:t>
      </w:r>
      <w:r>
        <w:rPr>
          <w:sz w:val="16"/>
        </w:rPr>
        <w:t>source:</w:t>
      </w:r>
      <w:r>
        <w:rPr>
          <w:spacing w:val="-3"/>
          <w:sz w:val="16"/>
        </w:rPr>
        <w:t xml:space="preserve"> </w:t>
      </w:r>
      <w:r>
        <w:rPr>
          <w:sz w:val="16"/>
        </w:rPr>
        <w:t>SKALA</w:t>
      </w:r>
      <w:r>
        <w:rPr>
          <w:spacing w:val="-5"/>
          <w:sz w:val="16"/>
        </w:rPr>
        <w:t xml:space="preserve"> </w:t>
      </w:r>
      <w:r>
        <w:rPr>
          <w:sz w:val="16"/>
        </w:rPr>
        <w:t>MIS</w:t>
      </w:r>
      <w:r>
        <w:rPr>
          <w:spacing w:val="-4"/>
          <w:sz w:val="16"/>
        </w:rPr>
        <w:t xml:space="preserve"> </w:t>
      </w:r>
      <w:r>
        <w:rPr>
          <w:sz w:val="16"/>
        </w:rPr>
        <w:t>as</w:t>
      </w:r>
      <w:r>
        <w:rPr>
          <w:spacing w:val="-6"/>
          <w:sz w:val="16"/>
        </w:rPr>
        <w:t xml:space="preserve"> </w:t>
      </w:r>
      <w:r>
        <w:rPr>
          <w:sz w:val="16"/>
        </w:rPr>
        <w:t>of</w:t>
      </w:r>
      <w:r>
        <w:rPr>
          <w:spacing w:val="-4"/>
          <w:sz w:val="16"/>
        </w:rPr>
        <w:t xml:space="preserve"> </w:t>
      </w:r>
      <w:r>
        <w:rPr>
          <w:sz w:val="16"/>
        </w:rPr>
        <w:t>Agustus</w:t>
      </w:r>
      <w:r>
        <w:rPr>
          <w:spacing w:val="-6"/>
          <w:sz w:val="16"/>
        </w:rPr>
        <w:t xml:space="preserve"> </w:t>
      </w:r>
      <w:r>
        <w:rPr>
          <w:sz w:val="16"/>
        </w:rPr>
        <w:t>6,</w:t>
      </w:r>
      <w:r>
        <w:rPr>
          <w:spacing w:val="-4"/>
          <w:sz w:val="16"/>
        </w:rPr>
        <w:t xml:space="preserve"> 2025</w:t>
      </w:r>
    </w:p>
    <w:p w14:paraId="5CD2A83C" w14:textId="77777777" w:rsidR="00BC24A8" w:rsidRDefault="00BC24A8">
      <w:pPr>
        <w:pStyle w:val="BodyText"/>
        <w:rPr>
          <w:sz w:val="16"/>
        </w:rPr>
      </w:pPr>
    </w:p>
    <w:p w14:paraId="188CDFDD" w14:textId="77777777" w:rsidR="00BC24A8" w:rsidRDefault="00BC24A8">
      <w:pPr>
        <w:pStyle w:val="BodyText"/>
        <w:spacing w:before="71"/>
        <w:rPr>
          <w:sz w:val="16"/>
        </w:rPr>
      </w:pPr>
    </w:p>
    <w:p w14:paraId="6F74E17F" w14:textId="77777777" w:rsidR="00BC24A8" w:rsidRDefault="00000000">
      <w:pPr>
        <w:pStyle w:val="BodyText"/>
        <w:spacing w:before="1"/>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3"/>
        </w:rPr>
        <w:t xml:space="preserve"> </w:t>
      </w:r>
      <w:r>
        <w:rPr>
          <w:rFonts w:ascii="Calibri"/>
          <w:color w:val="272727"/>
        </w:rPr>
        <w:t>at</w:t>
      </w:r>
      <w:r>
        <w:rPr>
          <w:rFonts w:ascii="Calibri"/>
          <w:color w:val="272727"/>
          <w:spacing w:val="-4"/>
        </w:rPr>
        <w:t xml:space="preserve"> </w:t>
      </w:r>
      <w:r>
        <w:rPr>
          <w:rFonts w:ascii="Calibri"/>
          <w:color w:val="272727"/>
        </w:rPr>
        <w:t>the</w:t>
      </w:r>
      <w:r>
        <w:rPr>
          <w:rFonts w:ascii="Calibri"/>
          <w:color w:val="272727"/>
          <w:spacing w:val="-5"/>
        </w:rPr>
        <w:t xml:space="preserve"> </w:t>
      </w:r>
      <w:r>
        <w:rPr>
          <w:rFonts w:ascii="Calibri"/>
          <w:color w:val="272727"/>
        </w:rPr>
        <w:t>Output</w:t>
      </w:r>
      <w:r>
        <w:rPr>
          <w:rFonts w:ascii="Calibri"/>
          <w:color w:val="272727"/>
          <w:spacing w:val="-2"/>
        </w:rPr>
        <w:t xml:space="preserve"> </w:t>
      </w:r>
      <w:r>
        <w:rPr>
          <w:rFonts w:ascii="Calibri"/>
          <w:color w:val="272727"/>
          <w:spacing w:val="-4"/>
        </w:rPr>
        <w:t>level</w:t>
      </w:r>
    </w:p>
    <w:p w14:paraId="71FBB886" w14:textId="77777777" w:rsidR="00BC24A8" w:rsidRDefault="00BC24A8">
      <w:pPr>
        <w:pStyle w:val="BodyText"/>
        <w:spacing w:before="21"/>
        <w:rPr>
          <w:rFonts w:ascii="Calibri"/>
        </w:rPr>
      </w:pPr>
    </w:p>
    <w:p w14:paraId="60E2E264" w14:textId="77777777" w:rsidR="00BC24A8" w:rsidRDefault="00000000">
      <w:pPr>
        <w:pStyle w:val="Heading5"/>
        <w:spacing w:before="1"/>
      </w:pPr>
      <w:bookmarkStart w:id="153" w:name="_bookmark102"/>
      <w:bookmarkEnd w:id="153"/>
      <w:r>
        <w:rPr>
          <w:color w:val="767070"/>
        </w:rPr>
        <w:t>Table</w:t>
      </w:r>
      <w:r>
        <w:rPr>
          <w:color w:val="767070"/>
          <w:spacing w:val="-7"/>
        </w:rPr>
        <w:t xml:space="preserve"> </w:t>
      </w:r>
      <w:r>
        <w:rPr>
          <w:color w:val="767070"/>
        </w:rPr>
        <w:t>11:</w:t>
      </w:r>
      <w:r>
        <w:rPr>
          <w:color w:val="767070"/>
          <w:spacing w:val="-7"/>
        </w:rPr>
        <w:t xml:space="preserve"> </w:t>
      </w:r>
      <w:r>
        <w:rPr>
          <w:color w:val="767070"/>
        </w:rPr>
        <w:t>Table</w:t>
      </w:r>
      <w:r>
        <w:rPr>
          <w:color w:val="767070"/>
          <w:spacing w:val="-6"/>
        </w:rPr>
        <w:t xml:space="preserve"> </w:t>
      </w:r>
      <w:r>
        <w:rPr>
          <w:color w:val="767070"/>
        </w:rPr>
        <w:t>of</w:t>
      </w:r>
      <w:r>
        <w:rPr>
          <w:color w:val="767070"/>
          <w:spacing w:val="-7"/>
        </w:rPr>
        <w:t xml:space="preserve"> </w:t>
      </w:r>
      <w:r>
        <w:rPr>
          <w:color w:val="767070"/>
        </w:rPr>
        <w:t>summary</w:t>
      </w:r>
      <w:r>
        <w:rPr>
          <w:color w:val="767070"/>
          <w:spacing w:val="-5"/>
        </w:rPr>
        <w:t xml:space="preserve"> </w:t>
      </w:r>
      <w:r>
        <w:rPr>
          <w:color w:val="767070"/>
        </w:rPr>
        <w:t>of</w:t>
      </w:r>
      <w:r>
        <w:rPr>
          <w:color w:val="767070"/>
          <w:spacing w:val="-6"/>
        </w:rPr>
        <w:t xml:space="preserve"> </w:t>
      </w:r>
      <w:r>
        <w:rPr>
          <w:color w:val="767070"/>
        </w:rPr>
        <w:t>FY</w:t>
      </w:r>
      <w:r>
        <w:rPr>
          <w:color w:val="767070"/>
          <w:spacing w:val="-7"/>
        </w:rPr>
        <w:t xml:space="preserve"> </w:t>
      </w:r>
      <w:r>
        <w:rPr>
          <w:color w:val="767070"/>
        </w:rPr>
        <w:t>2024/2025</w:t>
      </w:r>
      <w:r>
        <w:rPr>
          <w:color w:val="767070"/>
          <w:spacing w:val="-7"/>
        </w:rPr>
        <w:t xml:space="preserve"> </w:t>
      </w:r>
      <w:r>
        <w:rPr>
          <w:color w:val="767070"/>
        </w:rPr>
        <w:t>work</w:t>
      </w:r>
      <w:r>
        <w:rPr>
          <w:color w:val="767070"/>
          <w:spacing w:val="-5"/>
        </w:rPr>
        <w:t xml:space="preserve"> </w:t>
      </w:r>
      <w:r>
        <w:rPr>
          <w:color w:val="767070"/>
        </w:rPr>
        <w:t>plan</w:t>
      </w:r>
      <w:r>
        <w:rPr>
          <w:color w:val="767070"/>
          <w:spacing w:val="-7"/>
        </w:rPr>
        <w:t xml:space="preserve"> </w:t>
      </w:r>
      <w:r>
        <w:rPr>
          <w:color w:val="767070"/>
        </w:rPr>
        <w:t>outputs</w:t>
      </w:r>
      <w:r>
        <w:rPr>
          <w:color w:val="767070"/>
          <w:spacing w:val="-5"/>
        </w:rPr>
        <w:t xml:space="preserve"> </w:t>
      </w:r>
      <w:r>
        <w:rPr>
          <w:color w:val="767070"/>
        </w:rPr>
        <w:t>as</w:t>
      </w:r>
      <w:r>
        <w:rPr>
          <w:color w:val="767070"/>
          <w:spacing w:val="-4"/>
        </w:rPr>
        <w:t xml:space="preserve"> </w:t>
      </w:r>
      <w:r>
        <w:rPr>
          <w:color w:val="767070"/>
        </w:rPr>
        <w:t>of</w:t>
      </w:r>
      <w:r>
        <w:rPr>
          <w:color w:val="767070"/>
          <w:spacing w:val="-6"/>
        </w:rPr>
        <w:t xml:space="preserve"> </w:t>
      </w:r>
      <w:r>
        <w:rPr>
          <w:color w:val="767070"/>
        </w:rPr>
        <w:t>June</w:t>
      </w:r>
      <w:r>
        <w:rPr>
          <w:color w:val="767070"/>
          <w:spacing w:val="-6"/>
        </w:rPr>
        <w:t xml:space="preserve"> </w:t>
      </w:r>
      <w:r>
        <w:rPr>
          <w:color w:val="767070"/>
          <w:spacing w:val="-4"/>
        </w:rPr>
        <w:t>2025</w:t>
      </w:r>
    </w:p>
    <w:p w14:paraId="7B13FDF3" w14:textId="77777777" w:rsidR="00BC24A8" w:rsidRDefault="00BC24A8">
      <w:pPr>
        <w:pStyle w:val="BodyText"/>
        <w:spacing w:before="4" w:after="1"/>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1170"/>
        <w:gridCol w:w="1350"/>
        <w:gridCol w:w="1530"/>
        <w:gridCol w:w="1440"/>
        <w:gridCol w:w="3601"/>
      </w:tblGrid>
      <w:tr w:rsidR="00BC24A8" w14:paraId="4EF80B62" w14:textId="77777777">
        <w:trPr>
          <w:trHeight w:val="309"/>
        </w:trPr>
        <w:tc>
          <w:tcPr>
            <w:tcW w:w="1170" w:type="dxa"/>
            <w:tcBorders>
              <w:top w:val="single" w:sz="4" w:space="0" w:color="7E7E7E"/>
              <w:right w:val="single" w:sz="24" w:space="0" w:color="FFFFFF"/>
            </w:tcBorders>
            <w:shd w:val="clear" w:color="auto" w:fill="17365A"/>
          </w:tcPr>
          <w:p w14:paraId="49025B7F" w14:textId="77777777" w:rsidR="00BC24A8" w:rsidRDefault="00000000">
            <w:pPr>
              <w:pStyle w:val="TableParagraph"/>
              <w:spacing w:before="25"/>
              <w:ind w:left="107"/>
              <w:rPr>
                <w:rFonts w:ascii="Calibri"/>
                <w:b/>
                <w:sz w:val="20"/>
              </w:rPr>
            </w:pPr>
            <w:r>
              <w:rPr>
                <w:rFonts w:ascii="Calibri"/>
                <w:b/>
                <w:color w:val="FFFFFF"/>
                <w:spacing w:val="-2"/>
                <w:sz w:val="20"/>
              </w:rPr>
              <w:t>Theme</w:t>
            </w:r>
          </w:p>
        </w:tc>
        <w:tc>
          <w:tcPr>
            <w:tcW w:w="1350" w:type="dxa"/>
            <w:tcBorders>
              <w:top w:val="single" w:sz="4" w:space="0" w:color="7E7E7E"/>
              <w:left w:val="single" w:sz="24" w:space="0" w:color="FFFFFF"/>
              <w:right w:val="single" w:sz="18" w:space="0" w:color="FFFFFF"/>
            </w:tcBorders>
            <w:shd w:val="clear" w:color="auto" w:fill="17365A"/>
          </w:tcPr>
          <w:p w14:paraId="7A7CF9AA" w14:textId="77777777" w:rsidR="00BC24A8" w:rsidRDefault="00000000">
            <w:pPr>
              <w:pStyle w:val="TableParagraph"/>
              <w:spacing w:before="25"/>
              <w:ind w:left="116" w:right="126"/>
              <w:jc w:val="center"/>
              <w:rPr>
                <w:rFonts w:ascii="Calibri"/>
                <w:b/>
                <w:sz w:val="20"/>
              </w:rPr>
            </w:pPr>
            <w:r>
              <w:rPr>
                <w:rFonts w:ascii="Calibri"/>
                <w:b/>
                <w:color w:val="FFFFFF"/>
                <w:spacing w:val="-2"/>
                <w:sz w:val="20"/>
              </w:rPr>
              <w:t>Completed</w:t>
            </w:r>
          </w:p>
        </w:tc>
        <w:tc>
          <w:tcPr>
            <w:tcW w:w="1530" w:type="dxa"/>
            <w:tcBorders>
              <w:top w:val="single" w:sz="4" w:space="0" w:color="7E7E7E"/>
              <w:left w:val="single" w:sz="18" w:space="0" w:color="FFFFFF"/>
              <w:right w:val="single" w:sz="24" w:space="0" w:color="FFFFFF"/>
            </w:tcBorders>
            <w:shd w:val="clear" w:color="auto" w:fill="17365A"/>
          </w:tcPr>
          <w:p w14:paraId="2782E97E" w14:textId="77777777" w:rsidR="00BC24A8" w:rsidRDefault="00000000">
            <w:pPr>
              <w:pStyle w:val="TableParagraph"/>
              <w:spacing w:before="25"/>
              <w:ind w:left="7"/>
              <w:jc w:val="center"/>
              <w:rPr>
                <w:rFonts w:ascii="Calibri"/>
                <w:b/>
                <w:sz w:val="20"/>
              </w:rPr>
            </w:pPr>
            <w:r>
              <w:rPr>
                <w:rFonts w:ascii="Calibri"/>
                <w:b/>
                <w:color w:val="FFFFFF"/>
                <w:spacing w:val="-2"/>
                <w:sz w:val="20"/>
              </w:rPr>
              <w:t>Ongoing</w:t>
            </w:r>
          </w:p>
        </w:tc>
        <w:tc>
          <w:tcPr>
            <w:tcW w:w="1440" w:type="dxa"/>
            <w:tcBorders>
              <w:top w:val="single" w:sz="4" w:space="0" w:color="7E7E7E"/>
              <w:left w:val="single" w:sz="24" w:space="0" w:color="FFFFFF"/>
              <w:right w:val="single" w:sz="24" w:space="0" w:color="FFFFFF"/>
            </w:tcBorders>
            <w:shd w:val="clear" w:color="auto" w:fill="17365A"/>
          </w:tcPr>
          <w:p w14:paraId="64444EA1" w14:textId="77777777" w:rsidR="00BC24A8" w:rsidRDefault="00000000">
            <w:pPr>
              <w:pStyle w:val="TableParagraph"/>
              <w:spacing w:before="25"/>
              <w:ind w:right="1"/>
              <w:jc w:val="center"/>
              <w:rPr>
                <w:rFonts w:ascii="Calibri"/>
                <w:b/>
                <w:sz w:val="20"/>
              </w:rPr>
            </w:pPr>
            <w:r>
              <w:rPr>
                <w:rFonts w:ascii="Calibri"/>
                <w:b/>
                <w:color w:val="FFFFFF"/>
                <w:sz w:val="20"/>
              </w:rPr>
              <w:t>Not</w:t>
            </w:r>
            <w:r>
              <w:rPr>
                <w:rFonts w:ascii="Calibri"/>
                <w:b/>
                <w:color w:val="FFFFFF"/>
                <w:spacing w:val="-4"/>
                <w:sz w:val="20"/>
              </w:rPr>
              <w:t xml:space="preserve"> </w:t>
            </w:r>
            <w:r>
              <w:rPr>
                <w:rFonts w:ascii="Calibri"/>
                <w:b/>
                <w:color w:val="FFFFFF"/>
                <w:spacing w:val="-2"/>
                <w:sz w:val="20"/>
              </w:rPr>
              <w:t>started</w:t>
            </w:r>
          </w:p>
        </w:tc>
        <w:tc>
          <w:tcPr>
            <w:tcW w:w="3601" w:type="dxa"/>
            <w:tcBorders>
              <w:top w:val="single" w:sz="4" w:space="0" w:color="7E7E7E"/>
              <w:left w:val="single" w:sz="24" w:space="0" w:color="FFFFFF"/>
            </w:tcBorders>
            <w:shd w:val="clear" w:color="auto" w:fill="17365A"/>
          </w:tcPr>
          <w:p w14:paraId="2B8957BF" w14:textId="77777777" w:rsidR="00BC24A8" w:rsidRDefault="00000000">
            <w:pPr>
              <w:pStyle w:val="TableParagraph"/>
              <w:spacing w:before="25"/>
              <w:ind w:right="35"/>
              <w:jc w:val="center"/>
              <w:rPr>
                <w:rFonts w:ascii="Calibri"/>
                <w:b/>
                <w:sz w:val="20"/>
              </w:rPr>
            </w:pPr>
            <w:r>
              <w:rPr>
                <w:rFonts w:ascii="Calibri"/>
                <w:b/>
                <w:color w:val="FFFFFF"/>
                <w:spacing w:val="-2"/>
                <w:sz w:val="20"/>
              </w:rPr>
              <w:t>Total</w:t>
            </w:r>
          </w:p>
        </w:tc>
      </w:tr>
      <w:tr w:rsidR="00BC24A8" w14:paraId="710D8FAE" w14:textId="77777777">
        <w:trPr>
          <w:trHeight w:val="263"/>
        </w:trPr>
        <w:tc>
          <w:tcPr>
            <w:tcW w:w="1170" w:type="dxa"/>
            <w:tcBorders>
              <w:bottom w:val="single" w:sz="4" w:space="0" w:color="BEBEBE"/>
            </w:tcBorders>
          </w:tcPr>
          <w:p w14:paraId="1CD99601" w14:textId="77777777" w:rsidR="00BC24A8" w:rsidRDefault="00000000">
            <w:pPr>
              <w:pStyle w:val="TableParagraph"/>
              <w:spacing w:before="44" w:line="199" w:lineRule="exact"/>
              <w:ind w:left="107"/>
              <w:rPr>
                <w:sz w:val="18"/>
              </w:rPr>
            </w:pPr>
            <w:r>
              <w:rPr>
                <w:spacing w:val="-5"/>
                <w:sz w:val="18"/>
              </w:rPr>
              <w:t>DNA</w:t>
            </w:r>
          </w:p>
        </w:tc>
        <w:tc>
          <w:tcPr>
            <w:tcW w:w="1350" w:type="dxa"/>
            <w:tcBorders>
              <w:bottom w:val="single" w:sz="4" w:space="0" w:color="BEBEBE"/>
            </w:tcBorders>
          </w:tcPr>
          <w:p w14:paraId="625C7150" w14:textId="77777777" w:rsidR="00BC24A8" w:rsidRDefault="00000000">
            <w:pPr>
              <w:pStyle w:val="TableParagraph"/>
              <w:spacing w:before="44" w:line="199" w:lineRule="exact"/>
              <w:ind w:right="1"/>
              <w:jc w:val="center"/>
              <w:rPr>
                <w:sz w:val="18"/>
              </w:rPr>
            </w:pPr>
            <w:r>
              <w:rPr>
                <w:spacing w:val="-5"/>
                <w:sz w:val="18"/>
              </w:rPr>
              <w:t>12</w:t>
            </w:r>
          </w:p>
        </w:tc>
        <w:tc>
          <w:tcPr>
            <w:tcW w:w="1530" w:type="dxa"/>
            <w:tcBorders>
              <w:bottom w:val="single" w:sz="4" w:space="0" w:color="BEBEBE"/>
            </w:tcBorders>
          </w:tcPr>
          <w:p w14:paraId="0F73F8CF" w14:textId="77777777" w:rsidR="00BC24A8" w:rsidRDefault="00000000">
            <w:pPr>
              <w:pStyle w:val="TableParagraph"/>
              <w:spacing w:before="44" w:line="199" w:lineRule="exact"/>
              <w:ind w:left="2" w:right="1"/>
              <w:jc w:val="center"/>
              <w:rPr>
                <w:sz w:val="18"/>
              </w:rPr>
            </w:pPr>
            <w:r>
              <w:rPr>
                <w:spacing w:val="-10"/>
                <w:sz w:val="18"/>
              </w:rPr>
              <w:t>3</w:t>
            </w:r>
          </w:p>
        </w:tc>
        <w:tc>
          <w:tcPr>
            <w:tcW w:w="1440" w:type="dxa"/>
            <w:tcBorders>
              <w:bottom w:val="single" w:sz="4" w:space="0" w:color="BEBEBE"/>
            </w:tcBorders>
          </w:tcPr>
          <w:p w14:paraId="6F1CE281" w14:textId="77777777" w:rsidR="00BC24A8" w:rsidRDefault="00000000">
            <w:pPr>
              <w:pStyle w:val="TableParagraph"/>
              <w:spacing w:before="44" w:line="199" w:lineRule="exact"/>
              <w:ind w:left="3" w:right="5"/>
              <w:jc w:val="center"/>
              <w:rPr>
                <w:sz w:val="18"/>
              </w:rPr>
            </w:pPr>
            <w:r>
              <w:rPr>
                <w:spacing w:val="-10"/>
                <w:sz w:val="18"/>
              </w:rPr>
              <w:t>-</w:t>
            </w:r>
          </w:p>
        </w:tc>
        <w:tc>
          <w:tcPr>
            <w:tcW w:w="3601" w:type="dxa"/>
            <w:tcBorders>
              <w:bottom w:val="single" w:sz="4" w:space="0" w:color="BEBEBE"/>
            </w:tcBorders>
          </w:tcPr>
          <w:p w14:paraId="422A6FBD" w14:textId="77777777" w:rsidR="00BC24A8" w:rsidRDefault="00000000">
            <w:pPr>
              <w:pStyle w:val="TableParagraph"/>
              <w:spacing w:before="44" w:line="199" w:lineRule="exact"/>
              <w:ind w:right="1"/>
              <w:jc w:val="center"/>
              <w:rPr>
                <w:sz w:val="18"/>
              </w:rPr>
            </w:pPr>
            <w:r>
              <w:rPr>
                <w:spacing w:val="-5"/>
                <w:sz w:val="18"/>
              </w:rPr>
              <w:t>15</w:t>
            </w:r>
          </w:p>
        </w:tc>
      </w:tr>
      <w:tr w:rsidR="00BC24A8" w14:paraId="52032BCB" w14:textId="77777777">
        <w:trPr>
          <w:trHeight w:val="220"/>
        </w:trPr>
        <w:tc>
          <w:tcPr>
            <w:tcW w:w="1170" w:type="dxa"/>
            <w:tcBorders>
              <w:top w:val="single" w:sz="4" w:space="0" w:color="BEBEBE"/>
              <w:bottom w:val="single" w:sz="4" w:space="0" w:color="BEBEBE"/>
            </w:tcBorders>
          </w:tcPr>
          <w:p w14:paraId="304E073D" w14:textId="77777777" w:rsidR="00BC24A8" w:rsidRDefault="00000000">
            <w:pPr>
              <w:pStyle w:val="TableParagraph"/>
              <w:spacing w:before="1" w:line="199" w:lineRule="exact"/>
              <w:ind w:left="107"/>
              <w:rPr>
                <w:sz w:val="18"/>
              </w:rPr>
            </w:pPr>
            <w:r>
              <w:rPr>
                <w:spacing w:val="-5"/>
                <w:sz w:val="18"/>
              </w:rPr>
              <w:t>MSS</w:t>
            </w:r>
          </w:p>
        </w:tc>
        <w:tc>
          <w:tcPr>
            <w:tcW w:w="1350" w:type="dxa"/>
            <w:tcBorders>
              <w:top w:val="single" w:sz="4" w:space="0" w:color="BEBEBE"/>
              <w:bottom w:val="single" w:sz="4" w:space="0" w:color="BEBEBE"/>
            </w:tcBorders>
          </w:tcPr>
          <w:p w14:paraId="3C7880E8" w14:textId="77777777" w:rsidR="00BC24A8" w:rsidRDefault="00000000">
            <w:pPr>
              <w:pStyle w:val="TableParagraph"/>
              <w:spacing w:before="1" w:line="199" w:lineRule="exact"/>
              <w:ind w:right="1"/>
              <w:jc w:val="center"/>
              <w:rPr>
                <w:sz w:val="18"/>
              </w:rPr>
            </w:pPr>
            <w:r>
              <w:rPr>
                <w:spacing w:val="-5"/>
                <w:sz w:val="18"/>
              </w:rPr>
              <w:t>14</w:t>
            </w:r>
          </w:p>
        </w:tc>
        <w:tc>
          <w:tcPr>
            <w:tcW w:w="1530" w:type="dxa"/>
            <w:tcBorders>
              <w:top w:val="single" w:sz="4" w:space="0" w:color="BEBEBE"/>
              <w:bottom w:val="single" w:sz="4" w:space="0" w:color="BEBEBE"/>
            </w:tcBorders>
          </w:tcPr>
          <w:p w14:paraId="75F624A3" w14:textId="77777777" w:rsidR="00BC24A8" w:rsidRDefault="00000000">
            <w:pPr>
              <w:pStyle w:val="TableParagraph"/>
              <w:spacing w:before="1" w:line="199" w:lineRule="exact"/>
              <w:ind w:left="2" w:right="1"/>
              <w:jc w:val="center"/>
              <w:rPr>
                <w:sz w:val="18"/>
              </w:rPr>
            </w:pPr>
            <w:r>
              <w:rPr>
                <w:spacing w:val="-10"/>
                <w:sz w:val="18"/>
              </w:rPr>
              <w:t>1</w:t>
            </w:r>
          </w:p>
        </w:tc>
        <w:tc>
          <w:tcPr>
            <w:tcW w:w="1440" w:type="dxa"/>
            <w:tcBorders>
              <w:top w:val="single" w:sz="4" w:space="0" w:color="BEBEBE"/>
              <w:bottom w:val="single" w:sz="4" w:space="0" w:color="BEBEBE"/>
            </w:tcBorders>
          </w:tcPr>
          <w:p w14:paraId="7EE871AE" w14:textId="77777777" w:rsidR="00BC24A8" w:rsidRDefault="00000000">
            <w:pPr>
              <w:pStyle w:val="TableParagraph"/>
              <w:spacing w:before="1" w:line="199" w:lineRule="exact"/>
              <w:ind w:left="5" w:right="5"/>
              <w:jc w:val="center"/>
              <w:rPr>
                <w:sz w:val="18"/>
              </w:rPr>
            </w:pPr>
            <w:r>
              <w:rPr>
                <w:spacing w:val="-10"/>
                <w:sz w:val="18"/>
              </w:rPr>
              <w:t>4</w:t>
            </w:r>
          </w:p>
        </w:tc>
        <w:tc>
          <w:tcPr>
            <w:tcW w:w="3601" w:type="dxa"/>
            <w:tcBorders>
              <w:top w:val="single" w:sz="4" w:space="0" w:color="BEBEBE"/>
              <w:bottom w:val="single" w:sz="4" w:space="0" w:color="BEBEBE"/>
            </w:tcBorders>
          </w:tcPr>
          <w:p w14:paraId="365E12C7" w14:textId="77777777" w:rsidR="00BC24A8" w:rsidRDefault="00000000">
            <w:pPr>
              <w:pStyle w:val="TableParagraph"/>
              <w:spacing w:before="1" w:line="199" w:lineRule="exact"/>
              <w:ind w:right="1"/>
              <w:jc w:val="center"/>
              <w:rPr>
                <w:sz w:val="18"/>
              </w:rPr>
            </w:pPr>
            <w:r>
              <w:rPr>
                <w:spacing w:val="-5"/>
                <w:sz w:val="18"/>
              </w:rPr>
              <w:t>19</w:t>
            </w:r>
          </w:p>
        </w:tc>
      </w:tr>
      <w:tr w:rsidR="00BC24A8" w14:paraId="28995C41" w14:textId="77777777">
        <w:trPr>
          <w:trHeight w:val="220"/>
        </w:trPr>
        <w:tc>
          <w:tcPr>
            <w:tcW w:w="1170" w:type="dxa"/>
            <w:tcBorders>
              <w:top w:val="single" w:sz="4" w:space="0" w:color="BEBEBE"/>
              <w:bottom w:val="single" w:sz="4" w:space="0" w:color="BEBEBE"/>
            </w:tcBorders>
          </w:tcPr>
          <w:p w14:paraId="5EB3D9DE" w14:textId="77777777" w:rsidR="00BC24A8" w:rsidRDefault="00000000">
            <w:pPr>
              <w:pStyle w:val="TableParagraph"/>
              <w:spacing w:before="1" w:line="199" w:lineRule="exact"/>
              <w:ind w:left="107"/>
              <w:rPr>
                <w:sz w:val="18"/>
              </w:rPr>
            </w:pPr>
            <w:r>
              <w:rPr>
                <w:spacing w:val="-5"/>
                <w:sz w:val="18"/>
              </w:rPr>
              <w:t>PFM</w:t>
            </w:r>
          </w:p>
        </w:tc>
        <w:tc>
          <w:tcPr>
            <w:tcW w:w="1350" w:type="dxa"/>
            <w:tcBorders>
              <w:top w:val="single" w:sz="4" w:space="0" w:color="BEBEBE"/>
              <w:bottom w:val="single" w:sz="4" w:space="0" w:color="BEBEBE"/>
            </w:tcBorders>
          </w:tcPr>
          <w:p w14:paraId="34BA12A9" w14:textId="77777777" w:rsidR="00BC24A8" w:rsidRDefault="00000000">
            <w:pPr>
              <w:pStyle w:val="TableParagraph"/>
              <w:spacing w:before="1" w:line="199" w:lineRule="exact"/>
              <w:ind w:right="1"/>
              <w:jc w:val="center"/>
              <w:rPr>
                <w:sz w:val="18"/>
              </w:rPr>
            </w:pPr>
            <w:r>
              <w:rPr>
                <w:spacing w:val="-10"/>
                <w:sz w:val="18"/>
              </w:rPr>
              <w:t>6</w:t>
            </w:r>
          </w:p>
        </w:tc>
        <w:tc>
          <w:tcPr>
            <w:tcW w:w="1530" w:type="dxa"/>
            <w:tcBorders>
              <w:top w:val="single" w:sz="4" w:space="0" w:color="BEBEBE"/>
              <w:bottom w:val="single" w:sz="4" w:space="0" w:color="BEBEBE"/>
            </w:tcBorders>
          </w:tcPr>
          <w:p w14:paraId="616A9E48" w14:textId="77777777" w:rsidR="00BC24A8" w:rsidRDefault="00000000">
            <w:pPr>
              <w:pStyle w:val="TableParagraph"/>
              <w:spacing w:before="1" w:line="199" w:lineRule="exact"/>
              <w:ind w:left="2" w:right="1"/>
              <w:jc w:val="center"/>
              <w:rPr>
                <w:sz w:val="18"/>
              </w:rPr>
            </w:pPr>
            <w:r>
              <w:rPr>
                <w:spacing w:val="-10"/>
                <w:sz w:val="18"/>
              </w:rPr>
              <w:t>1</w:t>
            </w:r>
          </w:p>
        </w:tc>
        <w:tc>
          <w:tcPr>
            <w:tcW w:w="1440" w:type="dxa"/>
            <w:tcBorders>
              <w:top w:val="single" w:sz="4" w:space="0" w:color="BEBEBE"/>
              <w:bottom w:val="single" w:sz="4" w:space="0" w:color="BEBEBE"/>
            </w:tcBorders>
          </w:tcPr>
          <w:p w14:paraId="52471589" w14:textId="77777777" w:rsidR="00BC24A8" w:rsidRDefault="00000000">
            <w:pPr>
              <w:pStyle w:val="TableParagraph"/>
              <w:spacing w:before="1" w:line="199" w:lineRule="exact"/>
              <w:ind w:left="5" w:right="5"/>
              <w:jc w:val="center"/>
              <w:rPr>
                <w:sz w:val="18"/>
              </w:rPr>
            </w:pPr>
            <w:r>
              <w:rPr>
                <w:spacing w:val="-10"/>
                <w:sz w:val="18"/>
              </w:rPr>
              <w:t>4</w:t>
            </w:r>
          </w:p>
        </w:tc>
        <w:tc>
          <w:tcPr>
            <w:tcW w:w="3601" w:type="dxa"/>
            <w:tcBorders>
              <w:top w:val="single" w:sz="4" w:space="0" w:color="BEBEBE"/>
              <w:bottom w:val="single" w:sz="4" w:space="0" w:color="BEBEBE"/>
            </w:tcBorders>
          </w:tcPr>
          <w:p w14:paraId="0C11F965" w14:textId="77777777" w:rsidR="00BC24A8" w:rsidRDefault="00000000">
            <w:pPr>
              <w:pStyle w:val="TableParagraph"/>
              <w:spacing w:before="1" w:line="199" w:lineRule="exact"/>
              <w:ind w:right="1"/>
              <w:jc w:val="center"/>
              <w:rPr>
                <w:sz w:val="18"/>
              </w:rPr>
            </w:pPr>
            <w:r>
              <w:rPr>
                <w:spacing w:val="-5"/>
                <w:sz w:val="18"/>
              </w:rPr>
              <w:t>21</w:t>
            </w:r>
          </w:p>
        </w:tc>
      </w:tr>
      <w:tr w:rsidR="00BC24A8" w14:paraId="1FB072AA" w14:textId="77777777">
        <w:trPr>
          <w:trHeight w:val="261"/>
        </w:trPr>
        <w:tc>
          <w:tcPr>
            <w:tcW w:w="1170" w:type="dxa"/>
            <w:tcBorders>
              <w:top w:val="single" w:sz="4" w:space="0" w:color="BEBEBE"/>
            </w:tcBorders>
          </w:tcPr>
          <w:p w14:paraId="1E74E4CF" w14:textId="77777777" w:rsidR="00BC24A8" w:rsidRDefault="00000000">
            <w:pPr>
              <w:pStyle w:val="TableParagraph"/>
              <w:spacing w:line="219" w:lineRule="exact"/>
              <w:ind w:left="107"/>
              <w:rPr>
                <w:sz w:val="18"/>
              </w:rPr>
            </w:pPr>
            <w:r>
              <w:rPr>
                <w:spacing w:val="-2"/>
                <w:sz w:val="18"/>
              </w:rPr>
              <w:t>GEDSI</w:t>
            </w:r>
          </w:p>
        </w:tc>
        <w:tc>
          <w:tcPr>
            <w:tcW w:w="1350" w:type="dxa"/>
            <w:tcBorders>
              <w:top w:val="single" w:sz="4" w:space="0" w:color="BEBEBE"/>
            </w:tcBorders>
          </w:tcPr>
          <w:p w14:paraId="057A9FB6" w14:textId="77777777" w:rsidR="00BC24A8" w:rsidRDefault="00000000">
            <w:pPr>
              <w:pStyle w:val="TableParagraph"/>
              <w:spacing w:line="219" w:lineRule="exact"/>
              <w:ind w:right="1"/>
              <w:jc w:val="center"/>
              <w:rPr>
                <w:sz w:val="18"/>
              </w:rPr>
            </w:pPr>
            <w:r>
              <w:rPr>
                <w:spacing w:val="-10"/>
                <w:sz w:val="18"/>
              </w:rPr>
              <w:t>5</w:t>
            </w:r>
          </w:p>
        </w:tc>
        <w:tc>
          <w:tcPr>
            <w:tcW w:w="1530" w:type="dxa"/>
            <w:tcBorders>
              <w:top w:val="single" w:sz="4" w:space="0" w:color="BEBEBE"/>
            </w:tcBorders>
          </w:tcPr>
          <w:p w14:paraId="4C4DB9AC" w14:textId="77777777" w:rsidR="00BC24A8" w:rsidRDefault="00000000">
            <w:pPr>
              <w:pStyle w:val="TableParagraph"/>
              <w:spacing w:line="219" w:lineRule="exact"/>
              <w:ind w:left="1" w:right="2"/>
              <w:jc w:val="center"/>
              <w:rPr>
                <w:sz w:val="18"/>
              </w:rPr>
            </w:pPr>
            <w:r>
              <w:rPr>
                <w:spacing w:val="-10"/>
                <w:sz w:val="18"/>
              </w:rPr>
              <w:t>-</w:t>
            </w:r>
          </w:p>
        </w:tc>
        <w:tc>
          <w:tcPr>
            <w:tcW w:w="1440" w:type="dxa"/>
            <w:tcBorders>
              <w:top w:val="single" w:sz="4" w:space="0" w:color="BEBEBE"/>
            </w:tcBorders>
          </w:tcPr>
          <w:p w14:paraId="5CD8C9EF" w14:textId="77777777" w:rsidR="00BC24A8" w:rsidRDefault="00000000">
            <w:pPr>
              <w:pStyle w:val="TableParagraph"/>
              <w:spacing w:line="219" w:lineRule="exact"/>
              <w:ind w:left="3" w:right="5"/>
              <w:jc w:val="center"/>
              <w:rPr>
                <w:sz w:val="18"/>
              </w:rPr>
            </w:pPr>
            <w:r>
              <w:rPr>
                <w:spacing w:val="-10"/>
                <w:sz w:val="18"/>
              </w:rPr>
              <w:t>-</w:t>
            </w:r>
          </w:p>
        </w:tc>
        <w:tc>
          <w:tcPr>
            <w:tcW w:w="3601" w:type="dxa"/>
            <w:tcBorders>
              <w:top w:val="single" w:sz="4" w:space="0" w:color="BEBEBE"/>
            </w:tcBorders>
          </w:tcPr>
          <w:p w14:paraId="03C7B67C" w14:textId="77777777" w:rsidR="00BC24A8" w:rsidRDefault="00000000">
            <w:pPr>
              <w:pStyle w:val="TableParagraph"/>
              <w:spacing w:line="219" w:lineRule="exact"/>
              <w:ind w:right="1"/>
              <w:jc w:val="center"/>
              <w:rPr>
                <w:sz w:val="18"/>
              </w:rPr>
            </w:pPr>
            <w:r>
              <w:rPr>
                <w:spacing w:val="-10"/>
                <w:sz w:val="18"/>
              </w:rPr>
              <w:t>5</w:t>
            </w:r>
          </w:p>
        </w:tc>
      </w:tr>
      <w:tr w:rsidR="00BC24A8" w14:paraId="0619845B" w14:textId="77777777">
        <w:trPr>
          <w:trHeight w:val="239"/>
        </w:trPr>
        <w:tc>
          <w:tcPr>
            <w:tcW w:w="1170" w:type="dxa"/>
            <w:tcBorders>
              <w:bottom w:val="single" w:sz="4" w:space="0" w:color="7E7E7E"/>
            </w:tcBorders>
            <w:shd w:val="clear" w:color="auto" w:fill="A7A9AC"/>
          </w:tcPr>
          <w:p w14:paraId="4F2B9F66" w14:textId="77777777" w:rsidR="00BC24A8" w:rsidRDefault="00000000">
            <w:pPr>
              <w:pStyle w:val="TableParagraph"/>
              <w:spacing w:before="4" w:line="216" w:lineRule="exact"/>
              <w:ind w:left="107"/>
              <w:rPr>
                <w:rFonts w:ascii="Calibri"/>
                <w:b/>
                <w:sz w:val="18"/>
              </w:rPr>
            </w:pPr>
            <w:r w:rsidRPr="00795364">
              <w:rPr>
                <w:rFonts w:ascii="Calibri"/>
                <w:b/>
                <w:color w:val="000000"/>
                <w:spacing w:val="-2"/>
                <w:sz w:val="18"/>
              </w:rPr>
              <w:t>TOTAL</w:t>
            </w:r>
          </w:p>
        </w:tc>
        <w:tc>
          <w:tcPr>
            <w:tcW w:w="1350" w:type="dxa"/>
            <w:tcBorders>
              <w:bottom w:val="single" w:sz="4" w:space="0" w:color="7E7E7E"/>
            </w:tcBorders>
            <w:shd w:val="clear" w:color="auto" w:fill="A7A9AC"/>
          </w:tcPr>
          <w:p w14:paraId="578EFC5F" w14:textId="77777777" w:rsidR="00BC24A8" w:rsidRDefault="00000000">
            <w:pPr>
              <w:pStyle w:val="TableParagraph"/>
              <w:spacing w:before="4" w:line="216" w:lineRule="exact"/>
              <w:ind w:right="1"/>
              <w:jc w:val="center"/>
              <w:rPr>
                <w:rFonts w:ascii="Calibri"/>
                <w:b/>
                <w:sz w:val="18"/>
              </w:rPr>
            </w:pPr>
            <w:r w:rsidRPr="00795364">
              <w:rPr>
                <w:rFonts w:ascii="Calibri"/>
                <w:b/>
                <w:color w:val="000000"/>
                <w:spacing w:val="-5"/>
                <w:sz w:val="18"/>
              </w:rPr>
              <w:t>37</w:t>
            </w:r>
          </w:p>
        </w:tc>
        <w:tc>
          <w:tcPr>
            <w:tcW w:w="1530" w:type="dxa"/>
            <w:tcBorders>
              <w:bottom w:val="single" w:sz="4" w:space="0" w:color="7E7E7E"/>
            </w:tcBorders>
            <w:shd w:val="clear" w:color="auto" w:fill="A7A9AC"/>
          </w:tcPr>
          <w:p w14:paraId="2374AD11" w14:textId="77777777" w:rsidR="00BC24A8" w:rsidRDefault="00000000">
            <w:pPr>
              <w:pStyle w:val="TableParagraph"/>
              <w:spacing w:before="4" w:line="216" w:lineRule="exact"/>
              <w:ind w:left="1" w:right="2"/>
              <w:jc w:val="center"/>
              <w:rPr>
                <w:rFonts w:ascii="Calibri"/>
                <w:b/>
                <w:sz w:val="18"/>
              </w:rPr>
            </w:pPr>
            <w:r w:rsidRPr="00795364">
              <w:rPr>
                <w:rFonts w:ascii="Calibri"/>
                <w:b/>
                <w:color w:val="000000"/>
                <w:spacing w:val="-10"/>
                <w:sz w:val="18"/>
              </w:rPr>
              <w:t>5</w:t>
            </w:r>
          </w:p>
        </w:tc>
        <w:tc>
          <w:tcPr>
            <w:tcW w:w="1440" w:type="dxa"/>
            <w:tcBorders>
              <w:bottom w:val="single" w:sz="4" w:space="0" w:color="7E7E7E"/>
            </w:tcBorders>
            <w:shd w:val="clear" w:color="auto" w:fill="A7A9AC"/>
          </w:tcPr>
          <w:p w14:paraId="4E2035DF" w14:textId="77777777" w:rsidR="00BC24A8" w:rsidRDefault="00000000">
            <w:pPr>
              <w:pStyle w:val="TableParagraph"/>
              <w:spacing w:before="4" w:line="216" w:lineRule="exact"/>
              <w:ind w:left="5" w:right="5"/>
              <w:jc w:val="center"/>
              <w:rPr>
                <w:rFonts w:ascii="Calibri"/>
                <w:b/>
                <w:sz w:val="18"/>
              </w:rPr>
            </w:pPr>
            <w:r w:rsidRPr="00795364">
              <w:rPr>
                <w:rFonts w:ascii="Calibri"/>
                <w:b/>
                <w:color w:val="000000"/>
                <w:spacing w:val="-10"/>
                <w:sz w:val="18"/>
              </w:rPr>
              <w:t>8</w:t>
            </w:r>
          </w:p>
        </w:tc>
        <w:tc>
          <w:tcPr>
            <w:tcW w:w="3601" w:type="dxa"/>
            <w:tcBorders>
              <w:bottom w:val="single" w:sz="4" w:space="0" w:color="7E7E7E"/>
            </w:tcBorders>
            <w:shd w:val="clear" w:color="auto" w:fill="A7A9AC"/>
          </w:tcPr>
          <w:p w14:paraId="44BF9DE7" w14:textId="77777777" w:rsidR="00BC24A8" w:rsidRDefault="00000000">
            <w:pPr>
              <w:pStyle w:val="TableParagraph"/>
              <w:spacing w:before="4" w:line="216" w:lineRule="exact"/>
              <w:ind w:right="1"/>
              <w:jc w:val="center"/>
              <w:rPr>
                <w:rFonts w:ascii="Calibri"/>
                <w:b/>
                <w:sz w:val="18"/>
              </w:rPr>
            </w:pPr>
            <w:r w:rsidRPr="00795364">
              <w:rPr>
                <w:rFonts w:ascii="Calibri"/>
                <w:b/>
                <w:color w:val="000000"/>
                <w:spacing w:val="-5"/>
                <w:sz w:val="18"/>
              </w:rPr>
              <w:t>60</w:t>
            </w:r>
          </w:p>
        </w:tc>
      </w:tr>
    </w:tbl>
    <w:p w14:paraId="1BF75DF1" w14:textId="77777777" w:rsidR="00BC24A8" w:rsidRDefault="00000000">
      <w:pPr>
        <w:spacing w:before="121"/>
        <w:ind w:left="143"/>
        <w:rPr>
          <w:sz w:val="16"/>
        </w:rPr>
      </w:pPr>
      <w:r>
        <w:rPr>
          <w:sz w:val="16"/>
        </w:rPr>
        <w:t>Data</w:t>
      </w:r>
      <w:r>
        <w:rPr>
          <w:spacing w:val="-5"/>
          <w:sz w:val="16"/>
        </w:rPr>
        <w:t xml:space="preserve"> </w:t>
      </w:r>
      <w:r>
        <w:rPr>
          <w:sz w:val="16"/>
        </w:rPr>
        <w:t>source:</w:t>
      </w:r>
      <w:r>
        <w:rPr>
          <w:spacing w:val="-3"/>
          <w:sz w:val="16"/>
        </w:rPr>
        <w:t xml:space="preserve"> </w:t>
      </w:r>
      <w:r>
        <w:rPr>
          <w:sz w:val="16"/>
        </w:rPr>
        <w:t>SKALA</w:t>
      </w:r>
      <w:r>
        <w:rPr>
          <w:spacing w:val="-5"/>
          <w:sz w:val="16"/>
        </w:rPr>
        <w:t xml:space="preserve"> </w:t>
      </w:r>
      <w:r>
        <w:rPr>
          <w:sz w:val="16"/>
        </w:rPr>
        <w:t>MIS</w:t>
      </w:r>
      <w:r>
        <w:rPr>
          <w:spacing w:val="-4"/>
          <w:sz w:val="16"/>
        </w:rPr>
        <w:t xml:space="preserve"> </w:t>
      </w:r>
      <w:r>
        <w:rPr>
          <w:sz w:val="16"/>
        </w:rPr>
        <w:t>as</w:t>
      </w:r>
      <w:r>
        <w:rPr>
          <w:spacing w:val="-6"/>
          <w:sz w:val="16"/>
        </w:rPr>
        <w:t xml:space="preserve"> </w:t>
      </w:r>
      <w:r>
        <w:rPr>
          <w:sz w:val="16"/>
        </w:rPr>
        <w:t>of</w:t>
      </w:r>
      <w:r>
        <w:rPr>
          <w:spacing w:val="-4"/>
          <w:sz w:val="16"/>
        </w:rPr>
        <w:t xml:space="preserve"> </w:t>
      </w:r>
      <w:r>
        <w:rPr>
          <w:sz w:val="16"/>
        </w:rPr>
        <w:t>Agustus</w:t>
      </w:r>
      <w:r>
        <w:rPr>
          <w:spacing w:val="-6"/>
          <w:sz w:val="16"/>
        </w:rPr>
        <w:t xml:space="preserve"> </w:t>
      </w:r>
      <w:r>
        <w:rPr>
          <w:sz w:val="16"/>
        </w:rPr>
        <w:t>6,</w:t>
      </w:r>
      <w:r>
        <w:rPr>
          <w:spacing w:val="-4"/>
          <w:sz w:val="16"/>
        </w:rPr>
        <w:t xml:space="preserve"> 2025</w:t>
      </w:r>
    </w:p>
    <w:p w14:paraId="7BDBB9F1" w14:textId="77777777" w:rsidR="00BC24A8" w:rsidRDefault="00BC24A8">
      <w:pPr>
        <w:pStyle w:val="BodyText"/>
        <w:rPr>
          <w:sz w:val="16"/>
        </w:rPr>
      </w:pPr>
    </w:p>
    <w:p w14:paraId="3779591F" w14:textId="77777777" w:rsidR="00BC24A8" w:rsidRDefault="00BC24A8">
      <w:pPr>
        <w:pStyle w:val="BodyText"/>
        <w:rPr>
          <w:sz w:val="16"/>
        </w:rPr>
      </w:pPr>
    </w:p>
    <w:p w14:paraId="455CDCCB" w14:textId="77777777" w:rsidR="00BC24A8" w:rsidRDefault="00BC24A8">
      <w:pPr>
        <w:pStyle w:val="BodyText"/>
        <w:spacing w:before="38"/>
        <w:rPr>
          <w:sz w:val="16"/>
        </w:rPr>
      </w:pPr>
    </w:p>
    <w:p w14:paraId="168F2C1E" w14:textId="77777777" w:rsidR="00BC24A8" w:rsidRDefault="00000000">
      <w:pPr>
        <w:pStyle w:val="Heading5"/>
      </w:pPr>
      <w:r>
        <w:rPr>
          <w:color w:val="17365A"/>
        </w:rPr>
        <w:t>Overview</w:t>
      </w:r>
      <w:r>
        <w:rPr>
          <w:color w:val="17365A"/>
          <w:spacing w:val="-8"/>
        </w:rPr>
        <w:t xml:space="preserve"> </w:t>
      </w:r>
      <w:r>
        <w:rPr>
          <w:color w:val="17365A"/>
        </w:rPr>
        <w:t>of</w:t>
      </w:r>
      <w:r>
        <w:rPr>
          <w:color w:val="17365A"/>
          <w:spacing w:val="-8"/>
        </w:rPr>
        <w:t xml:space="preserve"> </w:t>
      </w:r>
      <w:r>
        <w:rPr>
          <w:color w:val="17365A"/>
        </w:rPr>
        <w:t>completed</w:t>
      </w:r>
      <w:r>
        <w:rPr>
          <w:color w:val="17365A"/>
          <w:spacing w:val="-8"/>
        </w:rPr>
        <w:t xml:space="preserve"> </w:t>
      </w:r>
      <w:r>
        <w:rPr>
          <w:color w:val="17365A"/>
          <w:spacing w:val="-2"/>
        </w:rPr>
        <w:t>Outputs:</w:t>
      </w:r>
    </w:p>
    <w:p w14:paraId="0D9C429C" w14:textId="77777777" w:rsidR="00BC24A8" w:rsidRDefault="00000000">
      <w:pPr>
        <w:pStyle w:val="ListParagraph"/>
        <w:numPr>
          <w:ilvl w:val="2"/>
          <w:numId w:val="133"/>
        </w:numPr>
        <w:tabs>
          <w:tab w:val="left" w:pos="501"/>
        </w:tabs>
        <w:spacing w:before="159"/>
        <w:ind w:left="501" w:hanging="358"/>
        <w:jc w:val="left"/>
        <w:rPr>
          <w:rFonts w:ascii="Calibri"/>
          <w:b/>
        </w:rPr>
      </w:pPr>
      <w:r>
        <w:rPr>
          <w:rFonts w:ascii="Calibri"/>
          <w:b/>
        </w:rPr>
        <w:t>DNA</w:t>
      </w:r>
      <w:r>
        <w:rPr>
          <w:rFonts w:ascii="Calibri"/>
          <w:b/>
          <w:spacing w:val="-5"/>
        </w:rPr>
        <w:t xml:space="preserve"> </w:t>
      </w:r>
      <w:r>
        <w:rPr>
          <w:rFonts w:ascii="Calibri"/>
          <w:b/>
        </w:rPr>
        <w:t>(Data</w:t>
      </w:r>
      <w:r>
        <w:rPr>
          <w:rFonts w:ascii="Calibri"/>
          <w:b/>
          <w:spacing w:val="-4"/>
        </w:rPr>
        <w:t xml:space="preserve"> </w:t>
      </w:r>
      <w:r>
        <w:rPr>
          <w:rFonts w:ascii="Calibri"/>
          <w:b/>
        </w:rPr>
        <w:t>and</w:t>
      </w:r>
      <w:r>
        <w:rPr>
          <w:rFonts w:ascii="Calibri"/>
          <w:b/>
          <w:spacing w:val="-4"/>
        </w:rPr>
        <w:t xml:space="preserve"> </w:t>
      </w:r>
      <w:r>
        <w:rPr>
          <w:rFonts w:ascii="Calibri"/>
          <w:b/>
          <w:spacing w:val="-2"/>
        </w:rPr>
        <w:t>Analysis)</w:t>
      </w:r>
    </w:p>
    <w:p w14:paraId="3EB407A1" w14:textId="77777777" w:rsidR="00BC24A8" w:rsidRDefault="00000000">
      <w:pPr>
        <w:pStyle w:val="ListParagraph"/>
        <w:numPr>
          <w:ilvl w:val="3"/>
          <w:numId w:val="133"/>
        </w:numPr>
        <w:tabs>
          <w:tab w:val="left" w:pos="861"/>
          <w:tab w:val="left" w:pos="863"/>
        </w:tabs>
        <w:spacing w:before="183"/>
        <w:ind w:right="563"/>
      </w:pPr>
      <w:r>
        <w:t>SKALA</w:t>
      </w:r>
      <w:r>
        <w:rPr>
          <w:spacing w:val="-9"/>
        </w:rPr>
        <w:t xml:space="preserve"> </w:t>
      </w:r>
      <w:r>
        <w:t>provided</w:t>
      </w:r>
      <w:r>
        <w:rPr>
          <w:spacing w:val="-9"/>
        </w:rPr>
        <w:t xml:space="preserve"> </w:t>
      </w:r>
      <w:r>
        <w:t>technical</w:t>
      </w:r>
      <w:r>
        <w:rPr>
          <w:spacing w:val="-10"/>
        </w:rPr>
        <w:t xml:space="preserve"> </w:t>
      </w:r>
      <w:r>
        <w:t>inputs</w:t>
      </w:r>
      <w:r>
        <w:rPr>
          <w:spacing w:val="-10"/>
        </w:rPr>
        <w:t xml:space="preserve"> </w:t>
      </w:r>
      <w:r>
        <w:t>for</w:t>
      </w:r>
      <w:r>
        <w:rPr>
          <w:spacing w:val="-9"/>
        </w:rPr>
        <w:t xml:space="preserve"> </w:t>
      </w:r>
      <w:r>
        <w:t>the</w:t>
      </w:r>
      <w:r>
        <w:rPr>
          <w:spacing w:val="-10"/>
        </w:rPr>
        <w:t xml:space="preserve"> </w:t>
      </w:r>
      <w:r>
        <w:t>preparation</w:t>
      </w:r>
      <w:r>
        <w:rPr>
          <w:spacing w:val="-11"/>
        </w:rPr>
        <w:t xml:space="preserve"> </w:t>
      </w:r>
      <w:r>
        <w:t>of</w:t>
      </w:r>
      <w:r>
        <w:rPr>
          <w:spacing w:val="-9"/>
        </w:rPr>
        <w:t xml:space="preserve"> </w:t>
      </w:r>
      <w:r>
        <w:t>the</w:t>
      </w:r>
      <w:r>
        <w:rPr>
          <w:spacing w:val="-10"/>
        </w:rPr>
        <w:t xml:space="preserve"> </w:t>
      </w:r>
      <w:r>
        <w:t>2025</w:t>
      </w:r>
      <w:r>
        <w:rPr>
          <w:spacing w:val="-9"/>
        </w:rPr>
        <w:t xml:space="preserve"> </w:t>
      </w:r>
      <w:r>
        <w:t>regional</w:t>
      </w:r>
      <w:r>
        <w:rPr>
          <w:spacing w:val="-12"/>
        </w:rPr>
        <w:t xml:space="preserve"> </w:t>
      </w:r>
      <w:r>
        <w:t>data</w:t>
      </w:r>
      <w:r>
        <w:rPr>
          <w:spacing w:val="-10"/>
        </w:rPr>
        <w:t xml:space="preserve"> </w:t>
      </w:r>
      <w:r>
        <w:t>list,</w:t>
      </w:r>
      <w:r>
        <w:rPr>
          <w:spacing w:val="-10"/>
        </w:rPr>
        <w:t xml:space="preserve"> </w:t>
      </w:r>
      <w:r>
        <w:t>development of</w:t>
      </w:r>
      <w:r>
        <w:rPr>
          <w:spacing w:val="-11"/>
        </w:rPr>
        <w:t xml:space="preserve"> </w:t>
      </w:r>
      <w:r>
        <w:t>the</w:t>
      </w:r>
      <w:r>
        <w:rPr>
          <w:spacing w:val="-11"/>
        </w:rPr>
        <w:t xml:space="preserve"> </w:t>
      </w:r>
      <w:r>
        <w:t>One</w:t>
      </w:r>
      <w:r>
        <w:rPr>
          <w:spacing w:val="-11"/>
        </w:rPr>
        <w:t xml:space="preserve"> </w:t>
      </w:r>
      <w:r>
        <w:t>Data</w:t>
      </w:r>
      <w:r>
        <w:rPr>
          <w:spacing w:val="-13"/>
        </w:rPr>
        <w:t xml:space="preserve"> </w:t>
      </w:r>
      <w:r>
        <w:t>portal,</w:t>
      </w:r>
      <w:r>
        <w:rPr>
          <w:spacing w:val="-10"/>
        </w:rPr>
        <w:t xml:space="preserve"> </w:t>
      </w:r>
      <w:r>
        <w:t>sectoral</w:t>
      </w:r>
      <w:r>
        <w:rPr>
          <w:spacing w:val="-13"/>
        </w:rPr>
        <w:t xml:space="preserve"> </w:t>
      </w:r>
      <w:r>
        <w:t>statistical</w:t>
      </w:r>
      <w:r>
        <w:rPr>
          <w:spacing w:val="-12"/>
        </w:rPr>
        <w:t xml:space="preserve"> </w:t>
      </w:r>
      <w:r>
        <w:t>data</w:t>
      </w:r>
      <w:r>
        <w:rPr>
          <w:spacing w:val="-13"/>
        </w:rPr>
        <w:t xml:space="preserve"> </w:t>
      </w:r>
      <w:r>
        <w:t>policies,</w:t>
      </w:r>
      <w:r>
        <w:rPr>
          <w:spacing w:val="-12"/>
        </w:rPr>
        <w:t xml:space="preserve"> </w:t>
      </w:r>
      <w:r>
        <w:t>and</w:t>
      </w:r>
      <w:r>
        <w:rPr>
          <w:spacing w:val="-11"/>
        </w:rPr>
        <w:t xml:space="preserve"> </w:t>
      </w:r>
      <w:r>
        <w:t>integration</w:t>
      </w:r>
      <w:r>
        <w:rPr>
          <w:spacing w:val="-12"/>
        </w:rPr>
        <w:t xml:space="preserve"> </w:t>
      </w:r>
      <w:r>
        <w:t>of</w:t>
      </w:r>
      <w:r>
        <w:rPr>
          <w:spacing w:val="-11"/>
        </w:rPr>
        <w:t xml:space="preserve"> </w:t>
      </w:r>
      <w:r>
        <w:t>REGSOSEK,</w:t>
      </w:r>
      <w:r>
        <w:rPr>
          <w:spacing w:val="-11"/>
        </w:rPr>
        <w:t xml:space="preserve"> </w:t>
      </w:r>
      <w:r>
        <w:t>P3KE,</w:t>
      </w:r>
      <w:r>
        <w:rPr>
          <w:spacing w:val="-11"/>
        </w:rPr>
        <w:t xml:space="preserve"> </w:t>
      </w:r>
      <w:r>
        <w:t>and DTKS</w:t>
      </w:r>
      <w:hyperlink w:anchor="_bookmark104" w:history="1">
        <w:r w:rsidR="00BC24A8">
          <w:rPr>
            <w:vertAlign w:val="superscript"/>
          </w:rPr>
          <w:t>45</w:t>
        </w:r>
      </w:hyperlink>
      <w:r>
        <w:t xml:space="preserve"> data for assistance distribution.</w:t>
      </w:r>
    </w:p>
    <w:p w14:paraId="1B9584BB" w14:textId="77777777" w:rsidR="00BC24A8" w:rsidRDefault="00000000">
      <w:pPr>
        <w:pStyle w:val="ListParagraph"/>
        <w:numPr>
          <w:ilvl w:val="3"/>
          <w:numId w:val="133"/>
        </w:numPr>
        <w:tabs>
          <w:tab w:val="left" w:pos="861"/>
          <w:tab w:val="left" w:pos="863"/>
        </w:tabs>
        <w:ind w:right="565"/>
      </w:pPr>
      <w:r>
        <w:t>SKALA promoted the use of SEPAKAT</w:t>
      </w:r>
      <w:hyperlink w:anchor="_bookmark105" w:history="1">
        <w:r w:rsidR="00BC24A8">
          <w:rPr>
            <w:vertAlign w:val="superscript"/>
          </w:rPr>
          <w:t>46</w:t>
        </w:r>
      </w:hyperlink>
      <w:r>
        <w:t xml:space="preserve"> analysis results in planning documents and in setting targets for provincial and district/city MSS.</w:t>
      </w:r>
    </w:p>
    <w:p w14:paraId="5211BA39" w14:textId="77777777" w:rsidR="00BC24A8" w:rsidRDefault="00000000">
      <w:pPr>
        <w:pStyle w:val="BodyText"/>
        <w:spacing w:before="228"/>
        <w:rPr>
          <w:sz w:val="20"/>
        </w:rPr>
      </w:pPr>
      <w:r>
        <w:rPr>
          <w:noProof/>
          <w:sz w:val="20"/>
        </w:rPr>
        <mc:AlternateContent>
          <mc:Choice Requires="wps">
            <w:drawing>
              <wp:anchor distT="0" distB="0" distL="0" distR="0" simplePos="0" relativeHeight="487606784" behindDoc="1" locked="0" layoutInCell="1" allowOverlap="1" wp14:anchorId="1F3C0C77" wp14:editId="387046AC">
                <wp:simplePos x="0" y="0"/>
                <wp:positionH relativeFrom="page">
                  <wp:posOffset>900683</wp:posOffset>
                </wp:positionH>
                <wp:positionV relativeFrom="paragraph">
                  <wp:posOffset>315257</wp:posOffset>
                </wp:positionV>
                <wp:extent cx="1828800" cy="9525"/>
                <wp:effectExtent l="0" t="0" r="0" b="0"/>
                <wp:wrapTopAndBottom/>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C8428D" id="Graphic 84" o:spid="_x0000_s1026" alt="&quot;&quot;" style="position:absolute;margin-left:70.9pt;margin-top:24.8pt;width:2in;height:.7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" path="m1828800,l,,,9143r1828800,l1828800,xe" fillcolor="black" stroked="f">
                <v:path arrowok="t"/>
                <w10:wrap type="topAndBottom" anchorx="page"/>
              </v:shape>
            </w:pict>
          </mc:Fallback>
        </mc:AlternateContent>
      </w:r>
    </w:p>
    <w:p w14:paraId="0D21F0B4" w14:textId="77777777" w:rsidR="00BC24A8" w:rsidRDefault="00BC24A8">
      <w:pPr>
        <w:pStyle w:val="BodyText"/>
        <w:spacing w:before="105"/>
        <w:rPr>
          <w:sz w:val="16"/>
        </w:rPr>
      </w:pPr>
    </w:p>
    <w:p w14:paraId="6A1BF49E" w14:textId="77777777" w:rsidR="00BC24A8" w:rsidRDefault="00000000">
      <w:pPr>
        <w:spacing w:before="1"/>
        <w:ind w:left="143" w:right="662" w:hanging="1"/>
        <w:rPr>
          <w:sz w:val="16"/>
        </w:rPr>
      </w:pPr>
      <w:bookmarkStart w:id="154" w:name="_bookmark103"/>
      <w:bookmarkEnd w:id="154"/>
      <w:r>
        <w:rPr>
          <w:color w:val="767070"/>
          <w:sz w:val="16"/>
          <w:vertAlign w:val="superscript"/>
        </w:rPr>
        <w:t>44</w:t>
      </w:r>
      <w:r>
        <w:rPr>
          <w:color w:val="767070"/>
          <w:spacing w:val="-5"/>
          <w:sz w:val="16"/>
        </w:rPr>
        <w:t xml:space="preserve"> </w:t>
      </w:r>
      <w:r>
        <w:rPr>
          <w:color w:val="767070"/>
          <w:sz w:val="16"/>
        </w:rPr>
        <w:t>Person</w:t>
      </w:r>
      <w:r>
        <w:rPr>
          <w:color w:val="767070"/>
          <w:spacing w:val="-4"/>
          <w:sz w:val="16"/>
        </w:rPr>
        <w:t xml:space="preserve"> </w:t>
      </w:r>
      <w:r>
        <w:rPr>
          <w:color w:val="767070"/>
          <w:sz w:val="16"/>
        </w:rPr>
        <w:t>time</w:t>
      </w:r>
      <w:r>
        <w:rPr>
          <w:color w:val="767070"/>
          <w:spacing w:val="-5"/>
          <w:sz w:val="16"/>
        </w:rPr>
        <w:t xml:space="preserve"> </w:t>
      </w:r>
      <w:r>
        <w:rPr>
          <w:color w:val="767070"/>
          <w:sz w:val="16"/>
        </w:rPr>
        <w:t>refers</w:t>
      </w:r>
      <w:r>
        <w:rPr>
          <w:color w:val="767070"/>
          <w:spacing w:val="-4"/>
          <w:sz w:val="16"/>
        </w:rPr>
        <w:t xml:space="preserve"> </w:t>
      </w:r>
      <w:r>
        <w:rPr>
          <w:color w:val="767070"/>
          <w:sz w:val="16"/>
        </w:rPr>
        <w:t>to</w:t>
      </w:r>
      <w:r>
        <w:rPr>
          <w:color w:val="767070"/>
          <w:spacing w:val="-4"/>
          <w:sz w:val="16"/>
        </w:rPr>
        <w:t xml:space="preserve"> </w:t>
      </w:r>
      <w:r>
        <w:rPr>
          <w:color w:val="767070"/>
          <w:sz w:val="16"/>
        </w:rPr>
        <w:t>the</w:t>
      </w:r>
      <w:r>
        <w:rPr>
          <w:color w:val="767070"/>
          <w:spacing w:val="-5"/>
          <w:sz w:val="16"/>
        </w:rPr>
        <w:t xml:space="preserve"> </w:t>
      </w:r>
      <w:r>
        <w:rPr>
          <w:color w:val="767070"/>
          <w:sz w:val="16"/>
        </w:rPr>
        <w:t>total</w:t>
      </w:r>
      <w:r>
        <w:rPr>
          <w:color w:val="767070"/>
          <w:spacing w:val="-7"/>
          <w:sz w:val="16"/>
        </w:rPr>
        <w:t xml:space="preserve"> </w:t>
      </w:r>
      <w:r>
        <w:rPr>
          <w:color w:val="767070"/>
          <w:sz w:val="16"/>
        </w:rPr>
        <w:t>instances</w:t>
      </w:r>
      <w:r>
        <w:rPr>
          <w:color w:val="767070"/>
          <w:spacing w:val="-4"/>
          <w:sz w:val="16"/>
        </w:rPr>
        <w:t xml:space="preserve"> </w:t>
      </w:r>
      <w:r>
        <w:rPr>
          <w:color w:val="767070"/>
          <w:sz w:val="16"/>
        </w:rPr>
        <w:t>of</w:t>
      </w:r>
      <w:r>
        <w:rPr>
          <w:color w:val="767070"/>
          <w:spacing w:val="-5"/>
          <w:sz w:val="16"/>
        </w:rPr>
        <w:t xml:space="preserve"> </w:t>
      </w:r>
      <w:r>
        <w:rPr>
          <w:color w:val="767070"/>
          <w:sz w:val="16"/>
        </w:rPr>
        <w:t>participation;</w:t>
      </w:r>
      <w:r>
        <w:rPr>
          <w:color w:val="767070"/>
          <w:spacing w:val="-4"/>
          <w:sz w:val="16"/>
        </w:rPr>
        <w:t xml:space="preserve"> </w:t>
      </w:r>
      <w:r>
        <w:rPr>
          <w:color w:val="767070"/>
          <w:sz w:val="16"/>
        </w:rPr>
        <w:t>one</w:t>
      </w:r>
      <w:r>
        <w:rPr>
          <w:color w:val="767070"/>
          <w:spacing w:val="-7"/>
          <w:sz w:val="16"/>
        </w:rPr>
        <w:t xml:space="preserve"> </w:t>
      </w:r>
      <w:r>
        <w:rPr>
          <w:color w:val="767070"/>
          <w:sz w:val="16"/>
        </w:rPr>
        <w:t>individual</w:t>
      </w:r>
      <w:r>
        <w:rPr>
          <w:color w:val="767070"/>
          <w:spacing w:val="-4"/>
          <w:sz w:val="16"/>
        </w:rPr>
        <w:t xml:space="preserve"> </w:t>
      </w:r>
      <w:r>
        <w:rPr>
          <w:color w:val="767070"/>
          <w:sz w:val="16"/>
        </w:rPr>
        <w:t>may</w:t>
      </w:r>
      <w:r>
        <w:rPr>
          <w:color w:val="767070"/>
          <w:spacing w:val="-6"/>
          <w:sz w:val="16"/>
        </w:rPr>
        <w:t xml:space="preserve"> </w:t>
      </w:r>
      <w:r>
        <w:rPr>
          <w:color w:val="767070"/>
          <w:sz w:val="16"/>
        </w:rPr>
        <w:t>participate</w:t>
      </w:r>
      <w:r>
        <w:rPr>
          <w:color w:val="767070"/>
          <w:spacing w:val="-5"/>
          <w:sz w:val="16"/>
        </w:rPr>
        <w:t xml:space="preserve"> </w:t>
      </w:r>
      <w:r>
        <w:rPr>
          <w:color w:val="767070"/>
          <w:sz w:val="16"/>
        </w:rPr>
        <w:t>more</w:t>
      </w:r>
      <w:r>
        <w:rPr>
          <w:color w:val="767070"/>
          <w:spacing w:val="-5"/>
          <w:sz w:val="16"/>
        </w:rPr>
        <w:t xml:space="preserve"> </w:t>
      </w:r>
      <w:r>
        <w:rPr>
          <w:color w:val="767070"/>
          <w:sz w:val="16"/>
        </w:rPr>
        <w:t>than</w:t>
      </w:r>
      <w:r>
        <w:rPr>
          <w:color w:val="767070"/>
          <w:spacing w:val="-4"/>
          <w:sz w:val="16"/>
        </w:rPr>
        <w:t xml:space="preserve"> </w:t>
      </w:r>
      <w:r>
        <w:rPr>
          <w:color w:val="767070"/>
          <w:sz w:val="16"/>
        </w:rPr>
        <w:t>once</w:t>
      </w:r>
      <w:r>
        <w:rPr>
          <w:color w:val="767070"/>
          <w:spacing w:val="-5"/>
          <w:sz w:val="16"/>
        </w:rPr>
        <w:t xml:space="preserve"> </w:t>
      </w:r>
      <w:r>
        <w:rPr>
          <w:color w:val="767070"/>
          <w:sz w:val="16"/>
        </w:rPr>
        <w:t>in</w:t>
      </w:r>
      <w:r>
        <w:rPr>
          <w:color w:val="767070"/>
          <w:spacing w:val="-4"/>
          <w:sz w:val="16"/>
        </w:rPr>
        <w:t xml:space="preserve"> </w:t>
      </w:r>
      <w:r>
        <w:rPr>
          <w:color w:val="767070"/>
          <w:sz w:val="16"/>
        </w:rPr>
        <w:t>SKALA-supported</w:t>
      </w:r>
      <w:r>
        <w:rPr>
          <w:color w:val="767070"/>
          <w:spacing w:val="-4"/>
          <w:sz w:val="16"/>
        </w:rPr>
        <w:t xml:space="preserve"> </w:t>
      </w:r>
      <w:r>
        <w:rPr>
          <w:color w:val="767070"/>
          <w:sz w:val="16"/>
        </w:rPr>
        <w:t>activities.</w:t>
      </w:r>
      <w:r>
        <w:rPr>
          <w:color w:val="767070"/>
          <w:spacing w:val="40"/>
          <w:sz w:val="16"/>
        </w:rPr>
        <w:t xml:space="preserve"> </w:t>
      </w:r>
      <w:r>
        <w:rPr>
          <w:color w:val="767070"/>
          <w:sz w:val="16"/>
        </w:rPr>
        <w:t>Headcount refers to participants whose costs are covered by SKALA.</w:t>
      </w:r>
    </w:p>
    <w:p w14:paraId="4D843953" w14:textId="77777777" w:rsidR="00BC24A8" w:rsidRDefault="00000000">
      <w:pPr>
        <w:ind w:left="143" w:right="662" w:hanging="1"/>
        <w:rPr>
          <w:sz w:val="16"/>
        </w:rPr>
      </w:pPr>
      <w:bookmarkStart w:id="155" w:name="_bookmark104"/>
      <w:bookmarkEnd w:id="155"/>
      <w:r>
        <w:rPr>
          <w:color w:val="767070"/>
          <w:sz w:val="16"/>
          <w:vertAlign w:val="superscript"/>
        </w:rPr>
        <w:t>45</w:t>
      </w:r>
      <w:r>
        <w:rPr>
          <w:color w:val="767070"/>
          <w:sz w:val="16"/>
        </w:rPr>
        <w:t xml:space="preserve"> REGSOSEK (Socio-Economic Registration) is a social welfare database launched by the Ministry of National Development</w:t>
      </w:r>
      <w:r>
        <w:rPr>
          <w:color w:val="767070"/>
          <w:spacing w:val="40"/>
          <w:sz w:val="16"/>
        </w:rPr>
        <w:t xml:space="preserve"> </w:t>
      </w:r>
      <w:r>
        <w:rPr>
          <w:color w:val="767070"/>
          <w:sz w:val="16"/>
        </w:rPr>
        <w:t>Planning/Bappenas.</w:t>
      </w:r>
      <w:r>
        <w:rPr>
          <w:color w:val="767070"/>
          <w:spacing w:val="-8"/>
          <w:sz w:val="16"/>
        </w:rPr>
        <w:t xml:space="preserve"> </w:t>
      </w:r>
      <w:r>
        <w:rPr>
          <w:color w:val="767070"/>
          <w:sz w:val="16"/>
        </w:rPr>
        <w:t>P3KE:</w:t>
      </w:r>
      <w:r>
        <w:rPr>
          <w:color w:val="767070"/>
          <w:spacing w:val="-6"/>
          <w:sz w:val="16"/>
        </w:rPr>
        <w:t xml:space="preserve"> </w:t>
      </w:r>
      <w:r>
        <w:rPr>
          <w:color w:val="767070"/>
          <w:sz w:val="16"/>
        </w:rPr>
        <w:t>Targeting</w:t>
      </w:r>
      <w:r>
        <w:rPr>
          <w:color w:val="767070"/>
          <w:spacing w:val="-8"/>
          <w:sz w:val="16"/>
        </w:rPr>
        <w:t xml:space="preserve"> </w:t>
      </w:r>
      <w:r>
        <w:rPr>
          <w:color w:val="767070"/>
          <w:sz w:val="16"/>
        </w:rPr>
        <w:t>for</w:t>
      </w:r>
      <w:r>
        <w:rPr>
          <w:color w:val="767070"/>
          <w:spacing w:val="-7"/>
          <w:sz w:val="16"/>
        </w:rPr>
        <w:t xml:space="preserve"> </w:t>
      </w:r>
      <w:r>
        <w:rPr>
          <w:color w:val="767070"/>
          <w:sz w:val="16"/>
        </w:rPr>
        <w:t>Acceleration</w:t>
      </w:r>
      <w:r>
        <w:rPr>
          <w:color w:val="767070"/>
          <w:spacing w:val="-9"/>
          <w:sz w:val="16"/>
        </w:rPr>
        <w:t xml:space="preserve"> </w:t>
      </w:r>
      <w:r>
        <w:rPr>
          <w:color w:val="767070"/>
          <w:sz w:val="16"/>
        </w:rPr>
        <w:t>of</w:t>
      </w:r>
      <w:r>
        <w:rPr>
          <w:color w:val="767070"/>
          <w:spacing w:val="-7"/>
          <w:sz w:val="16"/>
        </w:rPr>
        <w:t xml:space="preserve"> </w:t>
      </w:r>
      <w:r>
        <w:rPr>
          <w:color w:val="767070"/>
          <w:sz w:val="16"/>
        </w:rPr>
        <w:t>Extreme</w:t>
      </w:r>
      <w:r>
        <w:rPr>
          <w:color w:val="767070"/>
          <w:spacing w:val="-9"/>
          <w:sz w:val="16"/>
        </w:rPr>
        <w:t xml:space="preserve"> </w:t>
      </w:r>
      <w:r>
        <w:rPr>
          <w:color w:val="767070"/>
          <w:sz w:val="16"/>
        </w:rPr>
        <w:t>Poverty</w:t>
      </w:r>
      <w:r>
        <w:rPr>
          <w:color w:val="767070"/>
          <w:spacing w:val="-6"/>
          <w:sz w:val="16"/>
        </w:rPr>
        <w:t xml:space="preserve"> </w:t>
      </w:r>
      <w:r>
        <w:rPr>
          <w:color w:val="767070"/>
          <w:sz w:val="16"/>
        </w:rPr>
        <w:t>Reduction</w:t>
      </w:r>
      <w:r>
        <w:rPr>
          <w:color w:val="767070"/>
          <w:spacing w:val="-6"/>
          <w:sz w:val="16"/>
        </w:rPr>
        <w:t xml:space="preserve"> </w:t>
      </w:r>
      <w:r>
        <w:rPr>
          <w:color w:val="767070"/>
          <w:sz w:val="16"/>
        </w:rPr>
        <w:t>(TNP2K/Kemenko</w:t>
      </w:r>
      <w:r>
        <w:rPr>
          <w:color w:val="767070"/>
          <w:spacing w:val="-6"/>
          <w:sz w:val="16"/>
        </w:rPr>
        <w:t xml:space="preserve"> </w:t>
      </w:r>
      <w:r>
        <w:rPr>
          <w:color w:val="767070"/>
          <w:sz w:val="16"/>
        </w:rPr>
        <w:t>PMK).</w:t>
      </w:r>
      <w:r>
        <w:rPr>
          <w:color w:val="767070"/>
          <w:spacing w:val="-8"/>
          <w:sz w:val="16"/>
        </w:rPr>
        <w:t xml:space="preserve"> </w:t>
      </w:r>
      <w:r>
        <w:rPr>
          <w:color w:val="767070"/>
          <w:sz w:val="16"/>
        </w:rPr>
        <w:t>DTKS:</w:t>
      </w:r>
      <w:r>
        <w:rPr>
          <w:color w:val="767070"/>
          <w:spacing w:val="-6"/>
          <w:sz w:val="16"/>
        </w:rPr>
        <w:t xml:space="preserve"> </w:t>
      </w:r>
      <w:r>
        <w:rPr>
          <w:color w:val="767070"/>
          <w:sz w:val="16"/>
        </w:rPr>
        <w:t>Integrated</w:t>
      </w:r>
      <w:r>
        <w:rPr>
          <w:color w:val="767070"/>
          <w:spacing w:val="-6"/>
          <w:sz w:val="16"/>
        </w:rPr>
        <w:t xml:space="preserve"> </w:t>
      </w:r>
      <w:r>
        <w:rPr>
          <w:color w:val="767070"/>
          <w:sz w:val="16"/>
        </w:rPr>
        <w:t>Social</w:t>
      </w:r>
      <w:r>
        <w:rPr>
          <w:color w:val="767070"/>
          <w:spacing w:val="-9"/>
          <w:sz w:val="16"/>
        </w:rPr>
        <w:t xml:space="preserve"> </w:t>
      </w:r>
      <w:r>
        <w:rPr>
          <w:color w:val="767070"/>
          <w:sz w:val="16"/>
        </w:rPr>
        <w:t>Welfare</w:t>
      </w:r>
      <w:r>
        <w:rPr>
          <w:color w:val="767070"/>
          <w:spacing w:val="40"/>
          <w:sz w:val="16"/>
        </w:rPr>
        <w:t xml:space="preserve"> </w:t>
      </w:r>
      <w:r>
        <w:rPr>
          <w:color w:val="767070"/>
          <w:sz w:val="16"/>
        </w:rPr>
        <w:t>Database (Ministry of Social Affairs).</w:t>
      </w:r>
    </w:p>
    <w:p w14:paraId="6497FC84" w14:textId="77777777" w:rsidR="00BC24A8" w:rsidRDefault="00000000">
      <w:pPr>
        <w:ind w:left="143" w:right="648"/>
        <w:rPr>
          <w:sz w:val="16"/>
        </w:rPr>
      </w:pPr>
      <w:bookmarkStart w:id="156" w:name="_bookmark105"/>
      <w:bookmarkEnd w:id="156"/>
      <w:r>
        <w:rPr>
          <w:color w:val="767070"/>
          <w:sz w:val="16"/>
          <w:vertAlign w:val="superscript"/>
        </w:rPr>
        <w:t>46</w:t>
      </w:r>
      <w:r>
        <w:rPr>
          <w:color w:val="767070"/>
          <w:spacing w:val="-6"/>
          <w:sz w:val="16"/>
        </w:rPr>
        <w:t xml:space="preserve"> </w:t>
      </w:r>
      <w:r>
        <w:rPr>
          <w:color w:val="767070"/>
          <w:sz w:val="16"/>
        </w:rPr>
        <w:t>SEPAKAT</w:t>
      </w:r>
      <w:r>
        <w:rPr>
          <w:color w:val="767070"/>
          <w:spacing w:val="-7"/>
          <w:sz w:val="16"/>
        </w:rPr>
        <w:t xml:space="preserve"> </w:t>
      </w:r>
      <w:r>
        <w:rPr>
          <w:color w:val="767070"/>
          <w:sz w:val="16"/>
        </w:rPr>
        <w:t>(Integrated</w:t>
      </w:r>
      <w:r>
        <w:rPr>
          <w:color w:val="767070"/>
          <w:spacing w:val="-6"/>
          <w:sz w:val="16"/>
        </w:rPr>
        <w:t xml:space="preserve"> </w:t>
      </w:r>
      <w:r>
        <w:rPr>
          <w:color w:val="767070"/>
          <w:sz w:val="16"/>
        </w:rPr>
        <w:t>REGSOSEK-Based</w:t>
      </w:r>
      <w:r>
        <w:rPr>
          <w:color w:val="767070"/>
          <w:spacing w:val="-6"/>
          <w:sz w:val="16"/>
        </w:rPr>
        <w:t xml:space="preserve"> </w:t>
      </w:r>
      <w:r>
        <w:rPr>
          <w:color w:val="767070"/>
          <w:sz w:val="16"/>
        </w:rPr>
        <w:t>Development</w:t>
      </w:r>
      <w:r>
        <w:rPr>
          <w:color w:val="767070"/>
          <w:spacing w:val="-6"/>
          <w:sz w:val="16"/>
        </w:rPr>
        <w:t xml:space="preserve"> </w:t>
      </w:r>
      <w:r>
        <w:rPr>
          <w:color w:val="767070"/>
          <w:sz w:val="16"/>
        </w:rPr>
        <w:t>Planning</w:t>
      </w:r>
      <w:r>
        <w:rPr>
          <w:color w:val="767070"/>
          <w:spacing w:val="-9"/>
          <w:sz w:val="16"/>
        </w:rPr>
        <w:t xml:space="preserve"> </w:t>
      </w:r>
      <w:r>
        <w:rPr>
          <w:color w:val="767070"/>
          <w:sz w:val="16"/>
        </w:rPr>
        <w:t>System)</w:t>
      </w:r>
      <w:r>
        <w:rPr>
          <w:color w:val="767070"/>
          <w:spacing w:val="-6"/>
          <w:sz w:val="16"/>
        </w:rPr>
        <w:t xml:space="preserve"> </w:t>
      </w:r>
      <w:r>
        <w:rPr>
          <w:color w:val="767070"/>
          <w:sz w:val="16"/>
        </w:rPr>
        <w:t>is</w:t>
      </w:r>
      <w:r>
        <w:rPr>
          <w:color w:val="767070"/>
          <w:spacing w:val="-6"/>
          <w:sz w:val="16"/>
        </w:rPr>
        <w:t xml:space="preserve"> </w:t>
      </w:r>
      <w:r>
        <w:rPr>
          <w:color w:val="767070"/>
          <w:sz w:val="16"/>
        </w:rPr>
        <w:t>a</w:t>
      </w:r>
      <w:r>
        <w:rPr>
          <w:color w:val="767070"/>
          <w:spacing w:val="-7"/>
          <w:sz w:val="16"/>
        </w:rPr>
        <w:t xml:space="preserve"> </w:t>
      </w:r>
      <w:r>
        <w:rPr>
          <w:color w:val="767070"/>
          <w:sz w:val="16"/>
        </w:rPr>
        <w:t>web-based</w:t>
      </w:r>
      <w:r>
        <w:rPr>
          <w:color w:val="767070"/>
          <w:spacing w:val="-6"/>
          <w:sz w:val="16"/>
        </w:rPr>
        <w:t xml:space="preserve"> </w:t>
      </w:r>
      <w:r>
        <w:rPr>
          <w:color w:val="767070"/>
          <w:sz w:val="16"/>
        </w:rPr>
        <w:t>application</w:t>
      </w:r>
      <w:r>
        <w:rPr>
          <w:color w:val="767070"/>
          <w:spacing w:val="-6"/>
          <w:sz w:val="16"/>
        </w:rPr>
        <w:t xml:space="preserve"> </w:t>
      </w:r>
      <w:r>
        <w:rPr>
          <w:color w:val="767070"/>
          <w:sz w:val="16"/>
        </w:rPr>
        <w:t>that</w:t>
      </w:r>
      <w:r>
        <w:rPr>
          <w:color w:val="767070"/>
          <w:spacing w:val="-8"/>
          <w:sz w:val="16"/>
        </w:rPr>
        <w:t xml:space="preserve"> </w:t>
      </w:r>
      <w:r>
        <w:rPr>
          <w:color w:val="767070"/>
          <w:sz w:val="16"/>
        </w:rPr>
        <w:t>provides</w:t>
      </w:r>
      <w:r>
        <w:rPr>
          <w:color w:val="767070"/>
          <w:spacing w:val="-8"/>
          <w:sz w:val="16"/>
        </w:rPr>
        <w:t xml:space="preserve"> </w:t>
      </w:r>
      <w:r>
        <w:rPr>
          <w:color w:val="767070"/>
          <w:sz w:val="16"/>
        </w:rPr>
        <w:t>macro</w:t>
      </w:r>
      <w:r>
        <w:rPr>
          <w:color w:val="767070"/>
          <w:spacing w:val="-8"/>
          <w:sz w:val="16"/>
        </w:rPr>
        <w:t xml:space="preserve"> </w:t>
      </w:r>
      <w:r>
        <w:rPr>
          <w:color w:val="767070"/>
          <w:sz w:val="16"/>
        </w:rPr>
        <w:t>and</w:t>
      </w:r>
      <w:r>
        <w:rPr>
          <w:color w:val="767070"/>
          <w:spacing w:val="-8"/>
          <w:sz w:val="16"/>
        </w:rPr>
        <w:t xml:space="preserve"> </w:t>
      </w:r>
      <w:r>
        <w:rPr>
          <w:color w:val="767070"/>
          <w:sz w:val="16"/>
        </w:rPr>
        <w:t>micro</w:t>
      </w:r>
      <w:r>
        <w:rPr>
          <w:color w:val="767070"/>
          <w:spacing w:val="-6"/>
          <w:sz w:val="16"/>
        </w:rPr>
        <w:t xml:space="preserve"> </w:t>
      </w:r>
      <w:r>
        <w:rPr>
          <w:color w:val="767070"/>
          <w:sz w:val="16"/>
        </w:rPr>
        <w:t>data</w:t>
      </w:r>
      <w:r>
        <w:rPr>
          <w:color w:val="767070"/>
          <w:spacing w:val="40"/>
          <w:sz w:val="16"/>
        </w:rPr>
        <w:t xml:space="preserve"> </w:t>
      </w:r>
      <w:r>
        <w:rPr>
          <w:color w:val="767070"/>
          <w:sz w:val="16"/>
        </w:rPr>
        <w:t>analysis to support evidence-based planning and budgeting</w:t>
      </w:r>
    </w:p>
    <w:p w14:paraId="35BF4C37" w14:textId="77777777" w:rsidR="00BC24A8" w:rsidRDefault="00BC24A8">
      <w:pPr>
        <w:rPr>
          <w:sz w:val="16"/>
        </w:rPr>
        <w:sectPr w:rsidR="00BC24A8">
          <w:pgSz w:w="11910" w:h="16840"/>
          <w:pgMar w:top="1360" w:right="850" w:bottom="1100" w:left="1275" w:header="0" w:footer="907" w:gutter="0"/>
          <w:cols w:space="720"/>
        </w:sectPr>
      </w:pPr>
    </w:p>
    <w:p w14:paraId="06DBA1EA" w14:textId="77777777" w:rsidR="00BC24A8" w:rsidRDefault="00000000">
      <w:pPr>
        <w:pStyle w:val="Heading5"/>
        <w:numPr>
          <w:ilvl w:val="2"/>
          <w:numId w:val="133"/>
        </w:numPr>
        <w:tabs>
          <w:tab w:val="left" w:pos="502"/>
        </w:tabs>
        <w:spacing w:before="39"/>
        <w:ind w:left="502" w:hanging="282"/>
        <w:jc w:val="left"/>
      </w:pPr>
      <w:r>
        <w:lastRenderedPageBreak/>
        <w:t>MSS</w:t>
      </w:r>
      <w:r>
        <w:rPr>
          <w:spacing w:val="-5"/>
        </w:rPr>
        <w:t xml:space="preserve"> </w:t>
      </w:r>
      <w:r>
        <w:t>(Minimum</w:t>
      </w:r>
      <w:r>
        <w:rPr>
          <w:spacing w:val="-5"/>
        </w:rPr>
        <w:t xml:space="preserve"> </w:t>
      </w:r>
      <w:r>
        <w:t>Service</w:t>
      </w:r>
      <w:r>
        <w:rPr>
          <w:spacing w:val="-4"/>
        </w:rPr>
        <w:t xml:space="preserve"> </w:t>
      </w:r>
      <w:r>
        <w:rPr>
          <w:spacing w:val="-2"/>
        </w:rPr>
        <w:t>Standard)</w:t>
      </w:r>
    </w:p>
    <w:p w14:paraId="32DF4FDF" w14:textId="77777777" w:rsidR="00BC24A8" w:rsidRDefault="00000000">
      <w:pPr>
        <w:pStyle w:val="ListParagraph"/>
        <w:numPr>
          <w:ilvl w:val="3"/>
          <w:numId w:val="133"/>
        </w:numPr>
        <w:tabs>
          <w:tab w:val="left" w:pos="861"/>
          <w:tab w:val="left" w:pos="863"/>
        </w:tabs>
        <w:spacing w:before="181"/>
        <w:ind w:right="564"/>
      </w:pPr>
      <w:r>
        <w:t>SKALA provided technical inputs to strengthen the capacity of MSS Implementation Teams, advocated for cross-departmental collaboration, reinforced monitoring, and supervision functions at the district/city level, and supported the preparation of MSS Action Plans.</w:t>
      </w:r>
    </w:p>
    <w:p w14:paraId="3C07EAE4" w14:textId="77777777" w:rsidR="00BC24A8" w:rsidRDefault="00000000">
      <w:pPr>
        <w:pStyle w:val="ListParagraph"/>
        <w:numPr>
          <w:ilvl w:val="3"/>
          <w:numId w:val="133"/>
        </w:numPr>
        <w:tabs>
          <w:tab w:val="left" w:pos="861"/>
          <w:tab w:val="left" w:pos="863"/>
        </w:tabs>
        <w:ind w:right="562"/>
      </w:pPr>
      <w:r>
        <w:t>SKALA</w:t>
      </w:r>
      <w:r>
        <w:rPr>
          <w:spacing w:val="-2"/>
        </w:rPr>
        <w:t xml:space="preserve"> </w:t>
      </w:r>
      <w:r>
        <w:t>facilitated and</w:t>
      </w:r>
      <w:r>
        <w:rPr>
          <w:spacing w:val="-1"/>
        </w:rPr>
        <w:t xml:space="preserve"> </w:t>
      </w:r>
      <w:r>
        <w:t>provided</w:t>
      </w:r>
      <w:r>
        <w:rPr>
          <w:spacing w:val="-1"/>
        </w:rPr>
        <w:t xml:space="preserve"> </w:t>
      </w:r>
      <w:r>
        <w:t>technical inputs</w:t>
      </w:r>
      <w:r>
        <w:rPr>
          <w:spacing w:val="-1"/>
        </w:rPr>
        <w:t xml:space="preserve"> </w:t>
      </w:r>
      <w:r>
        <w:t>for the</w:t>
      </w:r>
      <w:r>
        <w:rPr>
          <w:spacing w:val="-1"/>
        </w:rPr>
        <w:t xml:space="preserve"> </w:t>
      </w:r>
      <w:r>
        <w:t>preparation</w:t>
      </w:r>
      <w:r>
        <w:rPr>
          <w:spacing w:val="-1"/>
        </w:rPr>
        <w:t xml:space="preserve"> </w:t>
      </w:r>
      <w:r>
        <w:t>of</w:t>
      </w:r>
      <w:r>
        <w:rPr>
          <w:spacing w:val="-1"/>
        </w:rPr>
        <w:t xml:space="preserve"> </w:t>
      </w:r>
      <w:r>
        <w:t>RKPD</w:t>
      </w:r>
      <w:r>
        <w:rPr>
          <w:spacing w:val="-1"/>
        </w:rPr>
        <w:t xml:space="preserve"> </w:t>
      </w:r>
      <w:r>
        <w:t>(2025</w:t>
      </w:r>
      <w:r>
        <w:rPr>
          <w:spacing w:val="-1"/>
        </w:rPr>
        <w:t xml:space="preserve"> </w:t>
      </w:r>
      <w:r>
        <w:t>revision</w:t>
      </w:r>
      <w:r>
        <w:rPr>
          <w:spacing w:val="-1"/>
        </w:rPr>
        <w:t xml:space="preserve"> </w:t>
      </w:r>
      <w:r>
        <w:t>and 2026 RKPD) and provincial and district/city KEM policies.</w:t>
      </w:r>
    </w:p>
    <w:p w14:paraId="16CAEE3E" w14:textId="77777777" w:rsidR="00BC24A8" w:rsidRDefault="00BC24A8">
      <w:pPr>
        <w:pStyle w:val="BodyText"/>
        <w:spacing w:before="58"/>
      </w:pPr>
    </w:p>
    <w:p w14:paraId="022289F5" w14:textId="77777777" w:rsidR="00BC24A8" w:rsidRDefault="00000000">
      <w:pPr>
        <w:pStyle w:val="Heading5"/>
        <w:numPr>
          <w:ilvl w:val="2"/>
          <w:numId w:val="133"/>
        </w:numPr>
        <w:tabs>
          <w:tab w:val="left" w:pos="502"/>
        </w:tabs>
        <w:spacing w:before="1"/>
        <w:ind w:left="502" w:hanging="282"/>
        <w:jc w:val="left"/>
      </w:pPr>
      <w:r>
        <w:t>PFM</w:t>
      </w:r>
      <w:r>
        <w:rPr>
          <w:spacing w:val="-5"/>
        </w:rPr>
        <w:t xml:space="preserve"> </w:t>
      </w:r>
      <w:r>
        <w:t>(Public</w:t>
      </w:r>
      <w:r>
        <w:rPr>
          <w:spacing w:val="-5"/>
        </w:rPr>
        <w:t xml:space="preserve"> </w:t>
      </w:r>
      <w:r>
        <w:t>Finance</w:t>
      </w:r>
      <w:r>
        <w:rPr>
          <w:spacing w:val="-4"/>
        </w:rPr>
        <w:t xml:space="preserve"> </w:t>
      </w:r>
      <w:r>
        <w:rPr>
          <w:spacing w:val="-2"/>
        </w:rPr>
        <w:t>Management)</w:t>
      </w:r>
    </w:p>
    <w:p w14:paraId="02132FC9" w14:textId="77777777" w:rsidR="00BC24A8" w:rsidRDefault="00000000">
      <w:pPr>
        <w:pStyle w:val="ListParagraph"/>
        <w:numPr>
          <w:ilvl w:val="3"/>
          <w:numId w:val="133"/>
        </w:numPr>
        <w:tabs>
          <w:tab w:val="left" w:pos="861"/>
          <w:tab w:val="left" w:pos="863"/>
        </w:tabs>
        <w:spacing w:before="185" w:line="237" w:lineRule="auto"/>
        <w:ind w:right="564"/>
      </w:pPr>
      <w:r>
        <w:t>SKALA provided technical inputs for the Governor’s Regulation on Regional Taxes and Levies (PDRD)</w:t>
      </w:r>
      <w:r>
        <w:rPr>
          <w:spacing w:val="-1"/>
        </w:rPr>
        <w:t xml:space="preserve"> </w:t>
      </w:r>
      <w:r>
        <w:t>and</w:t>
      </w:r>
      <w:r>
        <w:rPr>
          <w:spacing w:val="-4"/>
        </w:rPr>
        <w:t xml:space="preserve"> </w:t>
      </w:r>
      <w:r>
        <w:t>supported</w:t>
      </w:r>
      <w:r>
        <w:rPr>
          <w:spacing w:val="-1"/>
        </w:rPr>
        <w:t xml:space="preserve"> </w:t>
      </w:r>
      <w:r>
        <w:t>the</w:t>
      </w:r>
      <w:r>
        <w:rPr>
          <w:spacing w:val="-3"/>
        </w:rPr>
        <w:t xml:space="preserve"> </w:t>
      </w:r>
      <w:r>
        <w:t>optimisation</w:t>
      </w:r>
      <w:r>
        <w:rPr>
          <w:spacing w:val="-4"/>
        </w:rPr>
        <w:t xml:space="preserve"> </w:t>
      </w:r>
      <w:r>
        <w:t>of</w:t>
      </w:r>
      <w:r>
        <w:rPr>
          <w:spacing w:val="-1"/>
        </w:rPr>
        <w:t xml:space="preserve"> </w:t>
      </w:r>
      <w:r>
        <w:t>the</w:t>
      </w:r>
      <w:r>
        <w:rPr>
          <w:spacing w:val="-3"/>
        </w:rPr>
        <w:t xml:space="preserve"> </w:t>
      </w:r>
      <w:r>
        <w:t>Revenue</w:t>
      </w:r>
      <w:r>
        <w:rPr>
          <w:spacing w:val="-1"/>
        </w:rPr>
        <w:t xml:space="preserve"> </w:t>
      </w:r>
      <w:r>
        <w:t>Sharing</w:t>
      </w:r>
      <w:r>
        <w:rPr>
          <w:spacing w:val="-5"/>
        </w:rPr>
        <w:t xml:space="preserve"> </w:t>
      </w:r>
      <w:r>
        <w:t>Fund</w:t>
      </w:r>
      <w:r>
        <w:rPr>
          <w:spacing w:val="-4"/>
        </w:rPr>
        <w:t xml:space="preserve"> </w:t>
      </w:r>
      <w:r>
        <w:t>for</w:t>
      </w:r>
      <w:r>
        <w:rPr>
          <w:spacing w:val="-4"/>
        </w:rPr>
        <w:t xml:space="preserve"> </w:t>
      </w:r>
      <w:r>
        <w:t>basic</w:t>
      </w:r>
      <w:r>
        <w:rPr>
          <w:spacing w:val="-5"/>
        </w:rPr>
        <w:t xml:space="preserve"> </w:t>
      </w:r>
      <w:r>
        <w:t>service</w:t>
      </w:r>
      <w:r>
        <w:rPr>
          <w:spacing w:val="-3"/>
        </w:rPr>
        <w:t xml:space="preserve"> </w:t>
      </w:r>
      <w:r>
        <w:t>delivery.</w:t>
      </w:r>
    </w:p>
    <w:p w14:paraId="351CD2D7" w14:textId="77777777" w:rsidR="00BC24A8" w:rsidRDefault="00BC24A8">
      <w:pPr>
        <w:pStyle w:val="BodyText"/>
        <w:spacing w:before="61"/>
      </w:pPr>
    </w:p>
    <w:p w14:paraId="2DD16203" w14:textId="77777777" w:rsidR="00BC24A8" w:rsidRDefault="00000000">
      <w:pPr>
        <w:pStyle w:val="Heading5"/>
        <w:numPr>
          <w:ilvl w:val="2"/>
          <w:numId w:val="133"/>
        </w:numPr>
        <w:tabs>
          <w:tab w:val="left" w:pos="502"/>
        </w:tabs>
        <w:ind w:left="502" w:hanging="282"/>
        <w:jc w:val="left"/>
      </w:pPr>
      <w:r>
        <w:t>GEDSI</w:t>
      </w:r>
      <w:r>
        <w:rPr>
          <w:spacing w:val="-11"/>
        </w:rPr>
        <w:t xml:space="preserve"> </w:t>
      </w:r>
      <w:r>
        <w:t>(Gender</w:t>
      </w:r>
      <w:r>
        <w:rPr>
          <w:spacing w:val="-9"/>
        </w:rPr>
        <w:t xml:space="preserve"> </w:t>
      </w:r>
      <w:r>
        <w:t>Equality,</w:t>
      </w:r>
      <w:r>
        <w:rPr>
          <w:spacing w:val="-12"/>
        </w:rPr>
        <w:t xml:space="preserve"> </w:t>
      </w:r>
      <w:r>
        <w:t>Disability,</w:t>
      </w:r>
      <w:r>
        <w:rPr>
          <w:spacing w:val="-9"/>
        </w:rPr>
        <w:t xml:space="preserve"> </w:t>
      </w:r>
      <w:r>
        <w:t>and</w:t>
      </w:r>
      <w:r>
        <w:rPr>
          <w:spacing w:val="-11"/>
        </w:rPr>
        <w:t xml:space="preserve"> </w:t>
      </w:r>
      <w:r>
        <w:t>Social</w:t>
      </w:r>
      <w:r>
        <w:rPr>
          <w:spacing w:val="-10"/>
        </w:rPr>
        <w:t xml:space="preserve"> </w:t>
      </w:r>
      <w:r>
        <w:rPr>
          <w:spacing w:val="-2"/>
        </w:rPr>
        <w:t>Inclusion)</w:t>
      </w:r>
    </w:p>
    <w:p w14:paraId="54A9CC1B" w14:textId="77777777" w:rsidR="00BC24A8" w:rsidRDefault="00000000">
      <w:pPr>
        <w:pStyle w:val="ListParagraph"/>
        <w:numPr>
          <w:ilvl w:val="3"/>
          <w:numId w:val="133"/>
        </w:numPr>
        <w:tabs>
          <w:tab w:val="left" w:pos="862"/>
          <w:tab w:val="left" w:pos="864"/>
        </w:tabs>
        <w:spacing w:before="183"/>
        <w:ind w:left="864" w:right="563"/>
      </w:pPr>
      <w:r>
        <w:t xml:space="preserve">SKALA facilitated and provided technical inputs for the preparation of Gender Mainstreaming Regional Regulations (PUG), Persons with Disabilities Action Plans (RAD PD), and the implementation of inclusive </w:t>
      </w:r>
      <w:r>
        <w:rPr>
          <w:i/>
        </w:rPr>
        <w:t>Musrenbang</w:t>
      </w:r>
      <w:hyperlink w:anchor="_bookmark106" w:history="1">
        <w:r w:rsidR="00BC24A8">
          <w:rPr>
            <w:i/>
            <w:vertAlign w:val="superscript"/>
          </w:rPr>
          <w:t>47</w:t>
        </w:r>
      </w:hyperlink>
      <w:r>
        <w:rPr>
          <w:i/>
        </w:rPr>
        <w:t xml:space="preserve"> </w:t>
      </w:r>
      <w:r>
        <w:t>and its guidelines.</w:t>
      </w:r>
    </w:p>
    <w:p w14:paraId="1107F86F" w14:textId="77777777" w:rsidR="00BC24A8" w:rsidRDefault="00000000">
      <w:pPr>
        <w:pStyle w:val="ListParagraph"/>
        <w:numPr>
          <w:ilvl w:val="3"/>
          <w:numId w:val="133"/>
        </w:numPr>
        <w:tabs>
          <w:tab w:val="left" w:pos="861"/>
          <w:tab w:val="left" w:pos="863"/>
        </w:tabs>
        <w:ind w:right="564"/>
      </w:pPr>
      <w:r>
        <w:t xml:space="preserve">SKALA strengthened the capacity of Civil Society Networks (JMS) in data-based analysis and </w:t>
      </w:r>
      <w:r>
        <w:rPr>
          <w:spacing w:val="-2"/>
        </w:rPr>
        <w:t>advocacy.</w:t>
      </w:r>
    </w:p>
    <w:p w14:paraId="79D27EE1" w14:textId="77777777" w:rsidR="00BC24A8" w:rsidRDefault="00BC24A8">
      <w:pPr>
        <w:pStyle w:val="BodyText"/>
        <w:spacing w:before="81"/>
      </w:pPr>
    </w:p>
    <w:p w14:paraId="1B5A85A9" w14:textId="77777777" w:rsidR="00BC24A8" w:rsidRDefault="00000000">
      <w:pPr>
        <w:pStyle w:val="BodyText"/>
        <w:ind w:left="143"/>
        <w:rPr>
          <w:rFonts w:ascii="Calibri"/>
        </w:rPr>
      </w:pPr>
      <w:r>
        <w:rPr>
          <w:rFonts w:ascii="Calibri"/>
          <w:color w:val="272727"/>
        </w:rPr>
        <w:t>Summary</w:t>
      </w:r>
      <w:r>
        <w:rPr>
          <w:rFonts w:ascii="Calibri"/>
          <w:color w:val="272727"/>
          <w:spacing w:val="-5"/>
        </w:rPr>
        <w:t xml:space="preserve"> </w:t>
      </w:r>
      <w:r>
        <w:rPr>
          <w:rFonts w:ascii="Calibri"/>
          <w:color w:val="272727"/>
        </w:rPr>
        <w:t>of</w:t>
      </w:r>
      <w:r>
        <w:rPr>
          <w:rFonts w:ascii="Calibri"/>
          <w:color w:val="272727"/>
          <w:spacing w:val="-8"/>
        </w:rPr>
        <w:t xml:space="preserve"> </w:t>
      </w:r>
      <w:r>
        <w:rPr>
          <w:rFonts w:ascii="Calibri"/>
          <w:color w:val="272727"/>
        </w:rPr>
        <w:t>results</w:t>
      </w:r>
      <w:r>
        <w:rPr>
          <w:rFonts w:ascii="Calibri"/>
          <w:color w:val="272727"/>
          <w:spacing w:val="-5"/>
        </w:rPr>
        <w:t xml:space="preserve"> </w:t>
      </w:r>
      <w:r>
        <w:rPr>
          <w:rFonts w:ascii="Calibri"/>
          <w:color w:val="272727"/>
        </w:rPr>
        <w:t>at</w:t>
      </w:r>
      <w:r>
        <w:rPr>
          <w:rFonts w:ascii="Calibri"/>
          <w:color w:val="272727"/>
          <w:spacing w:val="-8"/>
        </w:rPr>
        <w:t xml:space="preserve"> </w:t>
      </w:r>
      <w:r>
        <w:rPr>
          <w:rFonts w:ascii="Calibri"/>
          <w:color w:val="272727"/>
        </w:rPr>
        <w:t>the</w:t>
      </w:r>
      <w:r>
        <w:rPr>
          <w:rFonts w:ascii="Calibri"/>
          <w:color w:val="272727"/>
          <w:spacing w:val="-4"/>
        </w:rPr>
        <w:t xml:space="preserve"> </w:t>
      </w:r>
      <w:r>
        <w:rPr>
          <w:rFonts w:ascii="Calibri"/>
          <w:color w:val="272727"/>
        </w:rPr>
        <w:t>Intermediate</w:t>
      </w:r>
      <w:r>
        <w:rPr>
          <w:rFonts w:ascii="Calibri"/>
          <w:color w:val="272727"/>
          <w:spacing w:val="-8"/>
        </w:rPr>
        <w:t xml:space="preserve"> </w:t>
      </w:r>
      <w:r>
        <w:rPr>
          <w:rFonts w:ascii="Calibri"/>
          <w:color w:val="272727"/>
        </w:rPr>
        <w:t>Outcome</w:t>
      </w:r>
      <w:r>
        <w:rPr>
          <w:rFonts w:ascii="Calibri"/>
          <w:color w:val="272727"/>
          <w:spacing w:val="-4"/>
        </w:rPr>
        <w:t xml:space="preserve"> </w:t>
      </w:r>
      <w:r>
        <w:rPr>
          <w:rFonts w:ascii="Calibri"/>
          <w:color w:val="272727"/>
        </w:rPr>
        <w:t>(IO)</w:t>
      </w:r>
      <w:r>
        <w:rPr>
          <w:rFonts w:ascii="Calibri"/>
          <w:color w:val="272727"/>
          <w:spacing w:val="-9"/>
        </w:rPr>
        <w:t xml:space="preserve"> </w:t>
      </w:r>
      <w:r>
        <w:rPr>
          <w:rFonts w:ascii="Calibri"/>
          <w:color w:val="272727"/>
          <w:spacing w:val="-2"/>
        </w:rPr>
        <w:t>level</w:t>
      </w:r>
    </w:p>
    <w:p w14:paraId="7AC66B0C" w14:textId="77777777" w:rsidR="00BC24A8" w:rsidRDefault="00000000">
      <w:pPr>
        <w:pStyle w:val="Heading5"/>
        <w:spacing w:before="20"/>
      </w:pPr>
      <w:r>
        <w:rPr>
          <w:color w:val="17365A"/>
        </w:rPr>
        <w:t>Data</w:t>
      </w:r>
      <w:r>
        <w:rPr>
          <w:color w:val="17365A"/>
          <w:spacing w:val="-4"/>
        </w:rPr>
        <w:t xml:space="preserve"> </w:t>
      </w:r>
      <w:r>
        <w:rPr>
          <w:color w:val="17365A"/>
        </w:rPr>
        <w:t>availability,</w:t>
      </w:r>
      <w:r>
        <w:rPr>
          <w:color w:val="17365A"/>
          <w:spacing w:val="-1"/>
        </w:rPr>
        <w:t xml:space="preserve"> </w:t>
      </w:r>
      <w:r>
        <w:rPr>
          <w:color w:val="17365A"/>
        </w:rPr>
        <w:t>management,</w:t>
      </w:r>
      <w:r>
        <w:rPr>
          <w:color w:val="17365A"/>
          <w:spacing w:val="-1"/>
        </w:rPr>
        <w:t xml:space="preserve"> </w:t>
      </w:r>
      <w:r>
        <w:rPr>
          <w:color w:val="17365A"/>
        </w:rPr>
        <w:t>and</w:t>
      </w:r>
      <w:r>
        <w:rPr>
          <w:color w:val="17365A"/>
          <w:spacing w:val="-3"/>
        </w:rPr>
        <w:t xml:space="preserve"> </w:t>
      </w:r>
      <w:r>
        <w:rPr>
          <w:color w:val="17365A"/>
        </w:rPr>
        <w:t>utilisation</w:t>
      </w:r>
      <w:r>
        <w:rPr>
          <w:color w:val="17365A"/>
          <w:spacing w:val="-2"/>
        </w:rPr>
        <w:t xml:space="preserve"> </w:t>
      </w:r>
      <w:r>
        <w:rPr>
          <w:color w:val="17365A"/>
        </w:rPr>
        <w:t>to</w:t>
      </w:r>
      <w:r>
        <w:rPr>
          <w:color w:val="17365A"/>
          <w:spacing w:val="-3"/>
        </w:rPr>
        <w:t xml:space="preserve"> </w:t>
      </w:r>
      <w:r>
        <w:rPr>
          <w:color w:val="17365A"/>
        </w:rPr>
        <w:t>improve</w:t>
      </w:r>
      <w:r>
        <w:rPr>
          <w:color w:val="17365A"/>
          <w:spacing w:val="-3"/>
        </w:rPr>
        <w:t xml:space="preserve"> </w:t>
      </w:r>
      <w:r>
        <w:rPr>
          <w:color w:val="17365A"/>
        </w:rPr>
        <w:t>evidence-based</w:t>
      </w:r>
      <w:r>
        <w:rPr>
          <w:color w:val="17365A"/>
          <w:spacing w:val="-2"/>
        </w:rPr>
        <w:t xml:space="preserve"> </w:t>
      </w:r>
      <w:r>
        <w:rPr>
          <w:color w:val="17365A"/>
        </w:rPr>
        <w:t>planning</w:t>
      </w:r>
      <w:r>
        <w:rPr>
          <w:color w:val="17365A"/>
          <w:spacing w:val="-1"/>
        </w:rPr>
        <w:t xml:space="preserve"> </w:t>
      </w:r>
      <w:r>
        <w:rPr>
          <w:color w:val="17365A"/>
        </w:rPr>
        <w:t>processes</w:t>
      </w:r>
      <w:r>
        <w:rPr>
          <w:color w:val="17365A"/>
          <w:spacing w:val="-2"/>
        </w:rPr>
        <w:t xml:space="preserve"> </w:t>
      </w:r>
      <w:r>
        <w:rPr>
          <w:color w:val="17365A"/>
        </w:rPr>
        <w:t>(IO</w:t>
      </w:r>
      <w:r>
        <w:rPr>
          <w:color w:val="17365A"/>
          <w:spacing w:val="-4"/>
        </w:rPr>
        <w:t xml:space="preserve"> </w:t>
      </w:r>
      <w:r>
        <w:rPr>
          <w:color w:val="17365A"/>
          <w:spacing w:val="-10"/>
        </w:rPr>
        <w:t>5</w:t>
      </w:r>
    </w:p>
    <w:p w14:paraId="2905B694" w14:textId="77777777" w:rsidR="00BC24A8" w:rsidRDefault="00000000">
      <w:pPr>
        <w:ind w:left="143"/>
        <w:rPr>
          <w:rFonts w:ascii="Calibri"/>
          <w:b/>
        </w:rPr>
      </w:pPr>
      <w:r>
        <w:rPr>
          <w:rFonts w:ascii="Calibri"/>
          <w:b/>
          <w:color w:val="17365A"/>
        </w:rPr>
        <w:t>and</w:t>
      </w:r>
      <w:r>
        <w:rPr>
          <w:rFonts w:ascii="Calibri"/>
          <w:b/>
          <w:color w:val="17365A"/>
          <w:spacing w:val="-5"/>
        </w:rPr>
        <w:t xml:space="preserve"> 9)</w:t>
      </w:r>
    </w:p>
    <w:p w14:paraId="5B3A121F" w14:textId="77777777" w:rsidR="00BC24A8" w:rsidRDefault="00000000">
      <w:pPr>
        <w:pStyle w:val="ListParagraph"/>
        <w:numPr>
          <w:ilvl w:val="3"/>
          <w:numId w:val="133"/>
        </w:numPr>
        <w:tabs>
          <w:tab w:val="left" w:pos="863"/>
        </w:tabs>
        <w:spacing w:before="161"/>
        <w:ind w:hanging="360"/>
        <w:jc w:val="left"/>
      </w:pPr>
      <w:r>
        <w:t>SKALA</w:t>
      </w:r>
      <w:r>
        <w:rPr>
          <w:spacing w:val="-5"/>
        </w:rPr>
        <w:t xml:space="preserve"> </w:t>
      </w:r>
      <w:r>
        <w:t>strengthened</w:t>
      </w:r>
      <w:r>
        <w:rPr>
          <w:spacing w:val="-7"/>
        </w:rPr>
        <w:t xml:space="preserve"> </w:t>
      </w:r>
      <w:r>
        <w:t>regional</w:t>
      </w:r>
      <w:r>
        <w:rPr>
          <w:spacing w:val="-6"/>
        </w:rPr>
        <w:t xml:space="preserve"> </w:t>
      </w:r>
      <w:r>
        <w:t>data</w:t>
      </w:r>
      <w:r>
        <w:rPr>
          <w:spacing w:val="-5"/>
        </w:rPr>
        <w:t xml:space="preserve"> </w:t>
      </w:r>
      <w:r>
        <w:rPr>
          <w:spacing w:val="-2"/>
        </w:rPr>
        <w:t>governance:</w:t>
      </w:r>
    </w:p>
    <w:p w14:paraId="5DD61E9B" w14:textId="77777777" w:rsidR="00BC24A8" w:rsidRDefault="00000000">
      <w:pPr>
        <w:pStyle w:val="ListParagraph"/>
        <w:numPr>
          <w:ilvl w:val="4"/>
          <w:numId w:val="133"/>
        </w:numPr>
        <w:tabs>
          <w:tab w:val="left" w:pos="1221"/>
          <w:tab w:val="left" w:pos="1223"/>
        </w:tabs>
        <w:spacing w:before="121" w:line="252" w:lineRule="auto"/>
        <w:ind w:right="564"/>
        <w:jc w:val="left"/>
      </w:pPr>
      <w:r>
        <w:t>Governor Regulation</w:t>
      </w:r>
      <w:r>
        <w:rPr>
          <w:spacing w:val="-2"/>
        </w:rPr>
        <w:t xml:space="preserve"> </w:t>
      </w:r>
      <w:r>
        <w:t>No.</w:t>
      </w:r>
      <w:r>
        <w:rPr>
          <w:spacing w:val="-1"/>
        </w:rPr>
        <w:t xml:space="preserve"> </w:t>
      </w:r>
      <w:r>
        <w:t>29 of</w:t>
      </w:r>
      <w:r>
        <w:rPr>
          <w:spacing w:val="-1"/>
        </w:rPr>
        <w:t xml:space="preserve"> </w:t>
      </w:r>
      <w:r>
        <w:t>2025 on the</w:t>
      </w:r>
      <w:r>
        <w:rPr>
          <w:spacing w:val="-1"/>
        </w:rPr>
        <w:t xml:space="preserve"> </w:t>
      </w:r>
      <w:r>
        <w:t>Implementation of</w:t>
      </w:r>
      <w:r>
        <w:rPr>
          <w:spacing w:val="-4"/>
        </w:rPr>
        <w:t xml:space="preserve"> </w:t>
      </w:r>
      <w:r>
        <w:t>Sectoral</w:t>
      </w:r>
      <w:r>
        <w:rPr>
          <w:spacing w:val="-1"/>
        </w:rPr>
        <w:t xml:space="preserve"> </w:t>
      </w:r>
      <w:r>
        <w:t>Statistics</w:t>
      </w:r>
      <w:r>
        <w:rPr>
          <w:spacing w:val="-1"/>
        </w:rPr>
        <w:t xml:space="preserve"> </w:t>
      </w:r>
      <w:r>
        <w:t>has been issued, serving as the basis for managing sectoral data for planning purposes.</w:t>
      </w:r>
    </w:p>
    <w:p w14:paraId="7A60F6FF" w14:textId="77777777" w:rsidR="00BC24A8" w:rsidRDefault="00000000">
      <w:pPr>
        <w:pStyle w:val="ListParagraph"/>
        <w:numPr>
          <w:ilvl w:val="4"/>
          <w:numId w:val="133"/>
        </w:numPr>
        <w:tabs>
          <w:tab w:val="left" w:pos="1221"/>
          <w:tab w:val="left" w:pos="1223"/>
        </w:tabs>
        <w:spacing w:before="7" w:line="252" w:lineRule="auto"/>
        <w:ind w:right="562"/>
        <w:jc w:val="left"/>
      </w:pPr>
      <w:r>
        <w:t>The 2025 budget allocates IDR 14 million per year to support the operational costs of the One Data Secretariat.</w:t>
      </w:r>
    </w:p>
    <w:p w14:paraId="74F09AE8" w14:textId="77777777" w:rsidR="00BC24A8" w:rsidRDefault="00000000">
      <w:pPr>
        <w:pStyle w:val="ListParagraph"/>
        <w:numPr>
          <w:ilvl w:val="4"/>
          <w:numId w:val="133"/>
        </w:numPr>
        <w:tabs>
          <w:tab w:val="left" w:pos="1221"/>
          <w:tab w:val="left" w:pos="1223"/>
        </w:tabs>
        <w:spacing w:before="10" w:line="252" w:lineRule="auto"/>
        <w:ind w:right="562"/>
        <w:jc w:val="left"/>
      </w:pPr>
      <w:r>
        <w:t>Gorontalo Open Data (PENTAGON) has become interoperable with other systems, such as the Education Office and the SDPDN portal of the Ministry of Home Affairs (PELITA).</w:t>
      </w:r>
    </w:p>
    <w:p w14:paraId="4D73A34D" w14:textId="77777777" w:rsidR="00BC24A8" w:rsidRDefault="00000000">
      <w:pPr>
        <w:pStyle w:val="ListParagraph"/>
        <w:numPr>
          <w:ilvl w:val="4"/>
          <w:numId w:val="133"/>
        </w:numPr>
        <w:tabs>
          <w:tab w:val="left" w:pos="1223"/>
        </w:tabs>
        <w:spacing w:before="7"/>
        <w:ind w:hanging="359"/>
        <w:jc w:val="left"/>
      </w:pPr>
      <w:r>
        <w:rPr>
          <w:spacing w:val="-2"/>
        </w:rPr>
        <w:t>The</w:t>
      </w:r>
      <w:r>
        <w:rPr>
          <w:spacing w:val="-5"/>
        </w:rPr>
        <w:t xml:space="preserve"> </w:t>
      </w:r>
      <w:r>
        <w:rPr>
          <w:spacing w:val="-2"/>
        </w:rPr>
        <w:t>One</w:t>
      </w:r>
      <w:r>
        <w:rPr>
          <w:spacing w:val="-5"/>
        </w:rPr>
        <w:t xml:space="preserve"> </w:t>
      </w:r>
      <w:r>
        <w:rPr>
          <w:spacing w:val="-2"/>
        </w:rPr>
        <w:t>Data</w:t>
      </w:r>
      <w:r>
        <w:rPr>
          <w:spacing w:val="-5"/>
        </w:rPr>
        <w:t xml:space="preserve"> </w:t>
      </w:r>
      <w:r>
        <w:rPr>
          <w:spacing w:val="-2"/>
        </w:rPr>
        <w:t>Action</w:t>
      </w:r>
      <w:r>
        <w:rPr>
          <w:spacing w:val="-6"/>
        </w:rPr>
        <w:t xml:space="preserve"> </w:t>
      </w:r>
      <w:r>
        <w:rPr>
          <w:spacing w:val="-2"/>
        </w:rPr>
        <w:t>Plan</w:t>
      </w:r>
      <w:r>
        <w:rPr>
          <w:spacing w:val="-3"/>
        </w:rPr>
        <w:t xml:space="preserve"> </w:t>
      </w:r>
      <w:r>
        <w:rPr>
          <w:spacing w:val="-2"/>
        </w:rPr>
        <w:t>and</w:t>
      </w:r>
      <w:r>
        <w:rPr>
          <w:spacing w:val="-4"/>
        </w:rPr>
        <w:t xml:space="preserve"> </w:t>
      </w:r>
      <w:r>
        <w:rPr>
          <w:spacing w:val="-2"/>
        </w:rPr>
        <w:t>the</w:t>
      </w:r>
      <w:r>
        <w:rPr>
          <w:spacing w:val="-8"/>
        </w:rPr>
        <w:t xml:space="preserve"> </w:t>
      </w:r>
      <w:r>
        <w:rPr>
          <w:spacing w:val="-2"/>
        </w:rPr>
        <w:t>2025</w:t>
      </w:r>
      <w:r>
        <w:rPr>
          <w:spacing w:val="-6"/>
        </w:rPr>
        <w:t xml:space="preserve"> </w:t>
      </w:r>
      <w:r>
        <w:rPr>
          <w:spacing w:val="-2"/>
        </w:rPr>
        <w:t>regional</w:t>
      </w:r>
      <w:r>
        <w:rPr>
          <w:spacing w:val="-5"/>
        </w:rPr>
        <w:t xml:space="preserve"> </w:t>
      </w:r>
      <w:r>
        <w:rPr>
          <w:spacing w:val="-2"/>
        </w:rPr>
        <w:t>data</w:t>
      </w:r>
      <w:r>
        <w:rPr>
          <w:spacing w:val="-4"/>
        </w:rPr>
        <w:t xml:space="preserve"> </w:t>
      </w:r>
      <w:r>
        <w:rPr>
          <w:spacing w:val="-2"/>
        </w:rPr>
        <w:t>list</w:t>
      </w:r>
      <w:r>
        <w:rPr>
          <w:spacing w:val="-5"/>
        </w:rPr>
        <w:t xml:space="preserve"> </w:t>
      </w:r>
      <w:r>
        <w:rPr>
          <w:spacing w:val="-2"/>
        </w:rPr>
        <w:t>for</w:t>
      </w:r>
      <w:r>
        <w:rPr>
          <w:spacing w:val="-3"/>
        </w:rPr>
        <w:t xml:space="preserve"> </w:t>
      </w:r>
      <w:r>
        <w:rPr>
          <w:spacing w:val="-2"/>
        </w:rPr>
        <w:t>Gorontalo</w:t>
      </w:r>
      <w:r>
        <w:rPr>
          <w:spacing w:val="-3"/>
        </w:rPr>
        <w:t xml:space="preserve"> </w:t>
      </w:r>
      <w:r>
        <w:rPr>
          <w:spacing w:val="-2"/>
        </w:rPr>
        <w:t>Province</w:t>
      </w:r>
      <w:r>
        <w:rPr>
          <w:spacing w:val="-5"/>
        </w:rPr>
        <w:t xml:space="preserve"> </w:t>
      </w:r>
      <w:r>
        <w:rPr>
          <w:spacing w:val="-2"/>
        </w:rPr>
        <w:t>are</w:t>
      </w:r>
      <w:r>
        <w:rPr>
          <w:spacing w:val="-5"/>
        </w:rPr>
        <w:t xml:space="preserve"> </w:t>
      </w:r>
      <w:r>
        <w:rPr>
          <w:spacing w:val="-2"/>
        </w:rPr>
        <w:t>drafted.</w:t>
      </w:r>
    </w:p>
    <w:p w14:paraId="684CA5E6" w14:textId="77777777" w:rsidR="00BC24A8" w:rsidRDefault="00000000">
      <w:pPr>
        <w:pStyle w:val="ListParagraph"/>
        <w:numPr>
          <w:ilvl w:val="4"/>
          <w:numId w:val="133"/>
        </w:numPr>
        <w:tabs>
          <w:tab w:val="left" w:pos="1222"/>
          <w:tab w:val="left" w:pos="1224"/>
        </w:tabs>
        <w:spacing w:before="15" w:line="252" w:lineRule="auto"/>
        <w:ind w:left="1224" w:right="562"/>
        <w:jc w:val="left"/>
      </w:pPr>
      <w:r>
        <w:t>Governor Decree No. 146/17/V/2025 on the appointment of supporting data officers and the sectoral data management team within regional agencies has been issued.</w:t>
      </w:r>
    </w:p>
    <w:p w14:paraId="5F855C18" w14:textId="77777777" w:rsidR="00BC24A8" w:rsidRDefault="00000000">
      <w:pPr>
        <w:pStyle w:val="ListParagraph"/>
        <w:numPr>
          <w:ilvl w:val="3"/>
          <w:numId w:val="133"/>
        </w:numPr>
        <w:tabs>
          <w:tab w:val="left" w:pos="864"/>
        </w:tabs>
        <w:spacing w:before="250"/>
        <w:ind w:left="864" w:hanging="360"/>
        <w:jc w:val="left"/>
      </w:pPr>
      <w:r>
        <w:t>SKALA</w:t>
      </w:r>
      <w:r>
        <w:rPr>
          <w:spacing w:val="-5"/>
        </w:rPr>
        <w:t xml:space="preserve"> </w:t>
      </w:r>
      <w:r>
        <w:t>supported</w:t>
      </w:r>
      <w:r>
        <w:rPr>
          <w:spacing w:val="-5"/>
        </w:rPr>
        <w:t xml:space="preserve"> </w:t>
      </w:r>
      <w:r>
        <w:t>data</w:t>
      </w:r>
      <w:r>
        <w:rPr>
          <w:spacing w:val="-5"/>
        </w:rPr>
        <w:t xml:space="preserve"> </w:t>
      </w:r>
      <w:r>
        <w:t>provision</w:t>
      </w:r>
      <w:r>
        <w:rPr>
          <w:spacing w:val="-3"/>
        </w:rPr>
        <w:t xml:space="preserve"> </w:t>
      </w:r>
      <w:r>
        <w:t>and</w:t>
      </w:r>
      <w:r>
        <w:rPr>
          <w:spacing w:val="-3"/>
        </w:rPr>
        <w:t xml:space="preserve"> </w:t>
      </w:r>
      <w:r>
        <w:rPr>
          <w:spacing w:val="-2"/>
        </w:rPr>
        <w:t>utilisation:</w:t>
      </w:r>
    </w:p>
    <w:p w14:paraId="1A2AE202" w14:textId="77777777" w:rsidR="00BC24A8" w:rsidRDefault="00000000">
      <w:pPr>
        <w:pStyle w:val="ListParagraph"/>
        <w:numPr>
          <w:ilvl w:val="4"/>
          <w:numId w:val="133"/>
        </w:numPr>
        <w:tabs>
          <w:tab w:val="left" w:pos="1222"/>
          <w:tab w:val="left" w:pos="1224"/>
        </w:tabs>
        <w:spacing w:before="118" w:line="256" w:lineRule="auto"/>
        <w:ind w:left="1224" w:right="560"/>
      </w:pPr>
      <w:r>
        <w:t>Two</w:t>
      </w:r>
      <w:r>
        <w:rPr>
          <w:spacing w:val="-5"/>
        </w:rPr>
        <w:t xml:space="preserve"> </w:t>
      </w:r>
      <w:r>
        <w:t>regional</w:t>
      </w:r>
      <w:r>
        <w:rPr>
          <w:spacing w:val="-6"/>
        </w:rPr>
        <w:t xml:space="preserve"> </w:t>
      </w:r>
      <w:r>
        <w:t>agencies</w:t>
      </w:r>
      <w:r>
        <w:rPr>
          <w:spacing w:val="-5"/>
        </w:rPr>
        <w:t xml:space="preserve"> </w:t>
      </w:r>
      <w:r>
        <w:t>(Food</w:t>
      </w:r>
      <w:r>
        <w:rPr>
          <w:spacing w:val="-5"/>
        </w:rPr>
        <w:t xml:space="preserve"> </w:t>
      </w:r>
      <w:r>
        <w:t>and</w:t>
      </w:r>
      <w:r>
        <w:rPr>
          <w:spacing w:val="-6"/>
        </w:rPr>
        <w:t xml:space="preserve"> </w:t>
      </w:r>
      <w:r>
        <w:t>Fisheries</w:t>
      </w:r>
      <w:r>
        <w:rPr>
          <w:spacing w:val="-6"/>
        </w:rPr>
        <w:t xml:space="preserve"> </w:t>
      </w:r>
      <w:r>
        <w:t>Offices)</w:t>
      </w:r>
      <w:r>
        <w:rPr>
          <w:spacing w:val="-6"/>
        </w:rPr>
        <w:t xml:space="preserve"> </w:t>
      </w:r>
      <w:r>
        <w:t>received</w:t>
      </w:r>
      <w:r>
        <w:rPr>
          <w:spacing w:val="-5"/>
        </w:rPr>
        <w:t xml:space="preserve"> </w:t>
      </w:r>
      <w:r>
        <w:t>collaborative</w:t>
      </w:r>
      <w:r>
        <w:rPr>
          <w:spacing w:val="-9"/>
        </w:rPr>
        <w:t xml:space="preserve"> </w:t>
      </w:r>
      <w:r>
        <w:t>sectoral</w:t>
      </w:r>
      <w:r>
        <w:rPr>
          <w:spacing w:val="-6"/>
        </w:rPr>
        <w:t xml:space="preserve"> </w:t>
      </w:r>
      <w:r>
        <w:t>statistics guidance</w:t>
      </w:r>
      <w:r>
        <w:rPr>
          <w:spacing w:val="-12"/>
        </w:rPr>
        <w:t xml:space="preserve"> </w:t>
      </w:r>
      <w:r>
        <w:t>from</w:t>
      </w:r>
      <w:r>
        <w:rPr>
          <w:spacing w:val="-10"/>
        </w:rPr>
        <w:t xml:space="preserve"> </w:t>
      </w:r>
      <w:r>
        <w:t>BPS,</w:t>
      </w:r>
      <w:r>
        <w:rPr>
          <w:spacing w:val="-9"/>
        </w:rPr>
        <w:t xml:space="preserve"> </w:t>
      </w:r>
      <w:r>
        <w:t>the</w:t>
      </w:r>
      <w:r>
        <w:rPr>
          <w:spacing w:val="-11"/>
        </w:rPr>
        <w:t xml:space="preserve"> </w:t>
      </w:r>
      <w:r>
        <w:t>One</w:t>
      </w:r>
      <w:r>
        <w:rPr>
          <w:spacing w:val="-13"/>
        </w:rPr>
        <w:t xml:space="preserve"> </w:t>
      </w:r>
      <w:r>
        <w:t>Data</w:t>
      </w:r>
      <w:r>
        <w:rPr>
          <w:spacing w:val="-10"/>
        </w:rPr>
        <w:t xml:space="preserve"> </w:t>
      </w:r>
      <w:r>
        <w:t>Secretariat,</w:t>
      </w:r>
      <w:r>
        <w:rPr>
          <w:spacing w:val="-9"/>
        </w:rPr>
        <w:t xml:space="preserve"> </w:t>
      </w:r>
      <w:r>
        <w:t>and</w:t>
      </w:r>
      <w:r>
        <w:rPr>
          <w:spacing w:val="-10"/>
        </w:rPr>
        <w:t xml:space="preserve"> </w:t>
      </w:r>
      <w:r>
        <w:t>data</w:t>
      </w:r>
      <w:r>
        <w:rPr>
          <w:spacing w:val="-13"/>
        </w:rPr>
        <w:t xml:space="preserve"> </w:t>
      </w:r>
      <w:r>
        <w:t>officers,</w:t>
      </w:r>
      <w:r>
        <w:rPr>
          <w:spacing w:val="-8"/>
        </w:rPr>
        <w:t xml:space="preserve"> </w:t>
      </w:r>
      <w:r>
        <w:t>marking</w:t>
      </w:r>
      <w:r>
        <w:rPr>
          <w:spacing w:val="-10"/>
        </w:rPr>
        <w:t xml:space="preserve"> </w:t>
      </w:r>
      <w:r>
        <w:t>the</w:t>
      </w:r>
      <w:r>
        <w:rPr>
          <w:spacing w:val="-11"/>
        </w:rPr>
        <w:t xml:space="preserve"> </w:t>
      </w:r>
      <w:r>
        <w:t>first</w:t>
      </w:r>
      <w:r>
        <w:rPr>
          <w:spacing w:val="-10"/>
        </w:rPr>
        <w:t xml:space="preserve"> </w:t>
      </w:r>
      <w:r>
        <w:t>joint</w:t>
      </w:r>
      <w:r>
        <w:rPr>
          <w:spacing w:val="-10"/>
        </w:rPr>
        <w:t xml:space="preserve"> </w:t>
      </w:r>
      <w:r>
        <w:t>effort to ensure the quality of sectoral data.</w:t>
      </w:r>
    </w:p>
    <w:p w14:paraId="7A2D1FAB" w14:textId="77777777" w:rsidR="00BC24A8" w:rsidRDefault="00000000">
      <w:pPr>
        <w:pStyle w:val="ListParagraph"/>
        <w:numPr>
          <w:ilvl w:val="4"/>
          <w:numId w:val="133"/>
        </w:numPr>
        <w:tabs>
          <w:tab w:val="left" w:pos="1222"/>
          <w:tab w:val="left" w:pos="1224"/>
        </w:tabs>
        <w:spacing w:before="2" w:line="254" w:lineRule="auto"/>
        <w:ind w:left="1224" w:right="563"/>
      </w:pPr>
      <w:r>
        <w:t>Poor and vulnerable families targeted for the Provincial Government of Gorontalo’s Direct Food Assistance Program (BLP3G) were identified based on the alignment of REGSOSEK, P3KE, and DTKS data.</w:t>
      </w:r>
    </w:p>
    <w:p w14:paraId="3024E51F" w14:textId="77777777" w:rsidR="00BC24A8" w:rsidRDefault="00BC24A8">
      <w:pPr>
        <w:pStyle w:val="BodyText"/>
        <w:rPr>
          <w:sz w:val="20"/>
        </w:rPr>
      </w:pPr>
    </w:p>
    <w:p w14:paraId="1276B5CC" w14:textId="77777777" w:rsidR="00BC24A8" w:rsidRDefault="00BC24A8">
      <w:pPr>
        <w:pStyle w:val="BodyText"/>
        <w:rPr>
          <w:sz w:val="20"/>
        </w:rPr>
      </w:pPr>
    </w:p>
    <w:p w14:paraId="6F291D49" w14:textId="77777777" w:rsidR="00BC24A8" w:rsidRDefault="00BC24A8">
      <w:pPr>
        <w:pStyle w:val="BodyText"/>
        <w:rPr>
          <w:sz w:val="20"/>
        </w:rPr>
      </w:pPr>
    </w:p>
    <w:p w14:paraId="175572FB" w14:textId="77777777" w:rsidR="00BC24A8" w:rsidRDefault="00000000">
      <w:pPr>
        <w:pStyle w:val="BodyText"/>
        <w:spacing w:before="201"/>
        <w:rPr>
          <w:sz w:val="20"/>
        </w:rPr>
      </w:pPr>
      <w:r>
        <w:rPr>
          <w:noProof/>
          <w:sz w:val="20"/>
        </w:rPr>
        <mc:AlternateContent>
          <mc:Choice Requires="wps">
            <w:drawing>
              <wp:anchor distT="0" distB="0" distL="0" distR="0" simplePos="0" relativeHeight="487607296" behindDoc="1" locked="0" layoutInCell="1" allowOverlap="1" wp14:anchorId="503C59B7" wp14:editId="46540F5F">
                <wp:simplePos x="0" y="0"/>
                <wp:positionH relativeFrom="page">
                  <wp:posOffset>900683</wp:posOffset>
                </wp:positionH>
                <wp:positionV relativeFrom="paragraph">
                  <wp:posOffset>298248</wp:posOffset>
                </wp:positionV>
                <wp:extent cx="1828800" cy="9525"/>
                <wp:effectExtent l="0" t="0" r="0" b="0"/>
                <wp:wrapTopAndBottom/>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5DB104" id="Graphic 85" o:spid="_x0000_s1026" alt="&quot;&quot;" style="position:absolute;margin-left:70.9pt;margin-top:23.5pt;width:2in;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" path="m1828800,l,,,9143r1828800,l1828800,xe" fillcolor="black" stroked="f">
                <v:path arrowok="t"/>
                <w10:wrap type="topAndBottom" anchorx="page"/>
              </v:shape>
            </w:pict>
          </mc:Fallback>
        </mc:AlternateContent>
      </w:r>
    </w:p>
    <w:p w14:paraId="4428CB98" w14:textId="77777777" w:rsidR="00BC24A8" w:rsidRDefault="00BC24A8">
      <w:pPr>
        <w:pStyle w:val="BodyText"/>
        <w:spacing w:before="108"/>
        <w:rPr>
          <w:sz w:val="16"/>
        </w:rPr>
      </w:pPr>
    </w:p>
    <w:p w14:paraId="6C1759D6" w14:textId="77777777" w:rsidR="00BC24A8" w:rsidRDefault="00000000">
      <w:pPr>
        <w:ind w:left="143"/>
        <w:rPr>
          <w:sz w:val="16"/>
        </w:rPr>
      </w:pPr>
      <w:bookmarkStart w:id="157" w:name="_bookmark106"/>
      <w:bookmarkEnd w:id="157"/>
      <w:r>
        <w:rPr>
          <w:color w:val="767070"/>
          <w:sz w:val="16"/>
          <w:vertAlign w:val="superscript"/>
        </w:rPr>
        <w:t>47</w:t>
      </w:r>
      <w:r>
        <w:rPr>
          <w:color w:val="767070"/>
          <w:spacing w:val="-8"/>
          <w:sz w:val="16"/>
        </w:rPr>
        <w:t xml:space="preserve"> </w:t>
      </w:r>
      <w:r>
        <w:rPr>
          <w:i/>
          <w:color w:val="767070"/>
          <w:sz w:val="16"/>
        </w:rPr>
        <w:t>Musrenbang</w:t>
      </w:r>
      <w:r>
        <w:rPr>
          <w:color w:val="767070"/>
          <w:sz w:val="16"/>
        </w:rPr>
        <w:t>:</w:t>
      </w:r>
      <w:r>
        <w:rPr>
          <w:color w:val="767070"/>
          <w:spacing w:val="-6"/>
          <w:sz w:val="16"/>
        </w:rPr>
        <w:t xml:space="preserve"> </w:t>
      </w:r>
      <w:r>
        <w:rPr>
          <w:color w:val="767070"/>
          <w:sz w:val="16"/>
        </w:rPr>
        <w:t>Participatory</w:t>
      </w:r>
      <w:r>
        <w:rPr>
          <w:color w:val="767070"/>
          <w:spacing w:val="-6"/>
          <w:sz w:val="16"/>
        </w:rPr>
        <w:t xml:space="preserve"> </w:t>
      </w:r>
      <w:r>
        <w:rPr>
          <w:color w:val="767070"/>
          <w:sz w:val="16"/>
        </w:rPr>
        <w:t>forum</w:t>
      </w:r>
      <w:r>
        <w:rPr>
          <w:color w:val="767070"/>
          <w:spacing w:val="-8"/>
          <w:sz w:val="16"/>
        </w:rPr>
        <w:t xml:space="preserve"> </w:t>
      </w:r>
      <w:r>
        <w:rPr>
          <w:color w:val="767070"/>
          <w:sz w:val="16"/>
        </w:rPr>
        <w:t>for</w:t>
      </w:r>
      <w:r>
        <w:rPr>
          <w:color w:val="767070"/>
          <w:spacing w:val="-8"/>
          <w:sz w:val="16"/>
        </w:rPr>
        <w:t xml:space="preserve"> </w:t>
      </w:r>
      <w:r>
        <w:rPr>
          <w:color w:val="767070"/>
          <w:sz w:val="16"/>
        </w:rPr>
        <w:t>government</w:t>
      </w:r>
      <w:r>
        <w:rPr>
          <w:color w:val="767070"/>
          <w:spacing w:val="-8"/>
          <w:sz w:val="16"/>
        </w:rPr>
        <w:t xml:space="preserve"> </w:t>
      </w:r>
      <w:r>
        <w:rPr>
          <w:color w:val="767070"/>
          <w:sz w:val="16"/>
        </w:rPr>
        <w:t>and</w:t>
      </w:r>
      <w:r>
        <w:rPr>
          <w:color w:val="767070"/>
          <w:spacing w:val="-6"/>
          <w:sz w:val="16"/>
        </w:rPr>
        <w:t xml:space="preserve"> </w:t>
      </w:r>
      <w:r>
        <w:rPr>
          <w:color w:val="767070"/>
          <w:sz w:val="16"/>
        </w:rPr>
        <w:t>community</w:t>
      </w:r>
      <w:r>
        <w:rPr>
          <w:color w:val="767070"/>
          <w:spacing w:val="-6"/>
          <w:sz w:val="16"/>
        </w:rPr>
        <w:t xml:space="preserve"> </w:t>
      </w:r>
      <w:r>
        <w:rPr>
          <w:color w:val="767070"/>
          <w:sz w:val="16"/>
        </w:rPr>
        <w:t>to</w:t>
      </w:r>
      <w:r>
        <w:rPr>
          <w:color w:val="767070"/>
          <w:spacing w:val="-7"/>
          <w:sz w:val="16"/>
        </w:rPr>
        <w:t xml:space="preserve"> </w:t>
      </w:r>
      <w:r>
        <w:rPr>
          <w:color w:val="767070"/>
          <w:sz w:val="16"/>
        </w:rPr>
        <w:t>plan</w:t>
      </w:r>
      <w:r>
        <w:rPr>
          <w:color w:val="767070"/>
          <w:spacing w:val="-6"/>
          <w:sz w:val="16"/>
        </w:rPr>
        <w:t xml:space="preserve"> </w:t>
      </w:r>
      <w:r>
        <w:rPr>
          <w:color w:val="767070"/>
          <w:spacing w:val="-2"/>
          <w:sz w:val="16"/>
        </w:rPr>
        <w:t>development.</w:t>
      </w:r>
    </w:p>
    <w:p w14:paraId="56DE5BDB" w14:textId="77777777" w:rsidR="00BC24A8" w:rsidRDefault="00BC24A8">
      <w:pPr>
        <w:rPr>
          <w:sz w:val="16"/>
        </w:rPr>
        <w:sectPr w:rsidR="00BC24A8">
          <w:pgSz w:w="11910" w:h="16840"/>
          <w:pgMar w:top="1360" w:right="850" w:bottom="1100" w:left="1275" w:header="0" w:footer="907" w:gutter="0"/>
          <w:cols w:space="720"/>
        </w:sectPr>
      </w:pPr>
    </w:p>
    <w:p w14:paraId="2B76B6CD" w14:textId="77777777" w:rsidR="00BC24A8" w:rsidRDefault="00000000">
      <w:pPr>
        <w:pStyle w:val="Heading5"/>
        <w:spacing w:before="39"/>
      </w:pPr>
      <w:r>
        <w:lastRenderedPageBreak/>
        <w:t>Better</w:t>
      </w:r>
      <w:r>
        <w:rPr>
          <w:spacing w:val="-8"/>
        </w:rPr>
        <w:t xml:space="preserve"> </w:t>
      </w:r>
      <w:r>
        <w:t>public</w:t>
      </w:r>
      <w:r>
        <w:rPr>
          <w:spacing w:val="-7"/>
        </w:rPr>
        <w:t xml:space="preserve"> </w:t>
      </w:r>
      <w:r>
        <w:t>financial</w:t>
      </w:r>
      <w:r>
        <w:rPr>
          <w:spacing w:val="-6"/>
        </w:rPr>
        <w:t xml:space="preserve"> </w:t>
      </w:r>
      <w:r>
        <w:t>management</w:t>
      </w:r>
      <w:r>
        <w:rPr>
          <w:spacing w:val="-7"/>
        </w:rPr>
        <w:t xml:space="preserve"> </w:t>
      </w:r>
      <w:r>
        <w:t>to</w:t>
      </w:r>
      <w:r>
        <w:rPr>
          <w:spacing w:val="-7"/>
        </w:rPr>
        <w:t xml:space="preserve"> </w:t>
      </w:r>
      <w:r>
        <w:t>support</w:t>
      </w:r>
      <w:r>
        <w:rPr>
          <w:spacing w:val="-9"/>
        </w:rPr>
        <w:t xml:space="preserve"> </w:t>
      </w:r>
      <w:r>
        <w:rPr>
          <w:color w:val="17365A"/>
        </w:rPr>
        <w:t>improved</w:t>
      </w:r>
      <w:r>
        <w:rPr>
          <w:color w:val="17365A"/>
          <w:spacing w:val="-7"/>
        </w:rPr>
        <w:t xml:space="preserve"> </w:t>
      </w:r>
      <w:r>
        <w:t>service</w:t>
      </w:r>
      <w:r>
        <w:rPr>
          <w:spacing w:val="-7"/>
        </w:rPr>
        <w:t xml:space="preserve"> </w:t>
      </w:r>
      <w:r>
        <w:t>delivery</w:t>
      </w:r>
      <w:r>
        <w:rPr>
          <w:spacing w:val="-5"/>
        </w:rPr>
        <w:t xml:space="preserve"> </w:t>
      </w:r>
      <w:r>
        <w:t>(IO</w:t>
      </w:r>
      <w:r>
        <w:rPr>
          <w:spacing w:val="-9"/>
        </w:rPr>
        <w:t xml:space="preserve"> </w:t>
      </w:r>
      <w:r>
        <w:t>4</w:t>
      </w:r>
      <w:r>
        <w:rPr>
          <w:spacing w:val="-5"/>
        </w:rPr>
        <w:t xml:space="preserve"> </w:t>
      </w:r>
      <w:r>
        <w:t>and</w:t>
      </w:r>
      <w:r>
        <w:rPr>
          <w:spacing w:val="-7"/>
        </w:rPr>
        <w:t xml:space="preserve"> </w:t>
      </w:r>
      <w:r>
        <w:rPr>
          <w:spacing w:val="-5"/>
        </w:rPr>
        <w:t>6</w:t>
      </w:r>
      <w:r w:rsidRPr="00795364">
        <w:rPr>
          <w:spacing w:val="-5"/>
        </w:rPr>
        <w:t>)</w:t>
      </w:r>
    </w:p>
    <w:p w14:paraId="044FB2F0" w14:textId="77777777" w:rsidR="00BC24A8" w:rsidRDefault="00000000">
      <w:pPr>
        <w:pStyle w:val="ListParagraph"/>
        <w:numPr>
          <w:ilvl w:val="3"/>
          <w:numId w:val="133"/>
        </w:numPr>
        <w:tabs>
          <w:tab w:val="left" w:pos="863"/>
        </w:tabs>
        <w:spacing w:before="159"/>
        <w:ind w:hanging="360"/>
        <w:jc w:val="left"/>
      </w:pPr>
      <w:r>
        <w:t>SKALA</w:t>
      </w:r>
      <w:r>
        <w:rPr>
          <w:spacing w:val="-6"/>
        </w:rPr>
        <w:t xml:space="preserve"> </w:t>
      </w:r>
      <w:r>
        <w:t>suported</w:t>
      </w:r>
      <w:r>
        <w:rPr>
          <w:spacing w:val="-4"/>
        </w:rPr>
        <w:t xml:space="preserve"> </w:t>
      </w:r>
      <w:r>
        <w:t>regional</w:t>
      </w:r>
      <w:r>
        <w:rPr>
          <w:spacing w:val="-8"/>
        </w:rPr>
        <w:t xml:space="preserve"> </w:t>
      </w:r>
      <w:r>
        <w:t>revenue</w:t>
      </w:r>
      <w:r>
        <w:rPr>
          <w:spacing w:val="-5"/>
        </w:rPr>
        <w:t xml:space="preserve"> </w:t>
      </w:r>
      <w:r>
        <w:rPr>
          <w:spacing w:val="-2"/>
        </w:rPr>
        <w:t>enhancement:</w:t>
      </w:r>
    </w:p>
    <w:p w14:paraId="00905A36" w14:textId="77777777" w:rsidR="00BC24A8" w:rsidRDefault="00000000">
      <w:pPr>
        <w:pStyle w:val="ListParagraph"/>
        <w:numPr>
          <w:ilvl w:val="4"/>
          <w:numId w:val="133"/>
        </w:numPr>
        <w:tabs>
          <w:tab w:val="left" w:pos="1221"/>
          <w:tab w:val="left" w:pos="1223"/>
        </w:tabs>
        <w:spacing w:before="120" w:line="256" w:lineRule="auto"/>
        <w:ind w:right="564"/>
      </w:pPr>
      <w:r>
        <w:t>Provincial road infrastructure to improve community access to basic service facilities, funded</w:t>
      </w:r>
      <w:r>
        <w:rPr>
          <w:spacing w:val="-13"/>
        </w:rPr>
        <w:t xml:space="preserve"> </w:t>
      </w:r>
      <w:r>
        <w:t>through</w:t>
      </w:r>
      <w:r>
        <w:rPr>
          <w:spacing w:val="-12"/>
        </w:rPr>
        <w:t xml:space="preserve"> </w:t>
      </w:r>
      <w:r>
        <w:t>the</w:t>
      </w:r>
      <w:r>
        <w:rPr>
          <w:spacing w:val="-13"/>
        </w:rPr>
        <w:t xml:space="preserve"> </w:t>
      </w:r>
      <w:r>
        <w:t>palm</w:t>
      </w:r>
      <w:r>
        <w:rPr>
          <w:spacing w:val="-12"/>
        </w:rPr>
        <w:t xml:space="preserve"> </w:t>
      </w:r>
      <w:r>
        <w:t>oil</w:t>
      </w:r>
      <w:r>
        <w:rPr>
          <w:spacing w:val="-13"/>
        </w:rPr>
        <w:t xml:space="preserve"> </w:t>
      </w:r>
      <w:r>
        <w:t>Revenue</w:t>
      </w:r>
      <w:r>
        <w:rPr>
          <w:spacing w:val="-12"/>
        </w:rPr>
        <w:t xml:space="preserve"> </w:t>
      </w:r>
      <w:r>
        <w:t>Sharing</w:t>
      </w:r>
      <w:r>
        <w:rPr>
          <w:spacing w:val="-13"/>
        </w:rPr>
        <w:t xml:space="preserve"> </w:t>
      </w:r>
      <w:r>
        <w:t>Fund</w:t>
      </w:r>
      <w:r>
        <w:rPr>
          <w:spacing w:val="-12"/>
        </w:rPr>
        <w:t xml:space="preserve"> </w:t>
      </w:r>
      <w:r>
        <w:t>(RAD</w:t>
      </w:r>
      <w:r>
        <w:rPr>
          <w:spacing w:val="-12"/>
        </w:rPr>
        <w:t xml:space="preserve"> </w:t>
      </w:r>
      <w:r>
        <w:t>DBH</w:t>
      </w:r>
      <w:r>
        <w:rPr>
          <w:spacing w:val="-13"/>
        </w:rPr>
        <w:t xml:space="preserve"> </w:t>
      </w:r>
      <w:r>
        <w:t>Sawit),</w:t>
      </w:r>
      <w:r>
        <w:rPr>
          <w:spacing w:val="-12"/>
        </w:rPr>
        <w:t xml:space="preserve"> </w:t>
      </w:r>
      <w:r>
        <w:t>has</w:t>
      </w:r>
      <w:r>
        <w:rPr>
          <w:spacing w:val="-13"/>
        </w:rPr>
        <w:t xml:space="preserve"> </w:t>
      </w:r>
      <w:r>
        <w:t>been</w:t>
      </w:r>
      <w:r>
        <w:rPr>
          <w:spacing w:val="-12"/>
        </w:rPr>
        <w:t xml:space="preserve"> </w:t>
      </w:r>
      <w:r>
        <w:t>incorporated into the 2025 RKPD.</w:t>
      </w:r>
    </w:p>
    <w:p w14:paraId="3CE185DC" w14:textId="77777777" w:rsidR="00BC24A8" w:rsidRDefault="00000000">
      <w:pPr>
        <w:pStyle w:val="ListParagraph"/>
        <w:numPr>
          <w:ilvl w:val="3"/>
          <w:numId w:val="133"/>
        </w:numPr>
        <w:tabs>
          <w:tab w:val="left" w:pos="863"/>
        </w:tabs>
        <w:spacing w:before="240"/>
        <w:ind w:hanging="360"/>
        <w:jc w:val="left"/>
      </w:pPr>
      <w:r>
        <w:rPr>
          <w:rFonts w:ascii="Calibri" w:hAnsi="Calibri"/>
        </w:rPr>
        <w:t>SKALA</w:t>
      </w:r>
      <w:r>
        <w:rPr>
          <w:rFonts w:ascii="Calibri" w:hAnsi="Calibri"/>
          <w:spacing w:val="-4"/>
        </w:rPr>
        <w:t xml:space="preserve"> </w:t>
      </w:r>
      <w:r>
        <w:rPr>
          <w:rFonts w:ascii="Calibri" w:hAnsi="Calibri"/>
        </w:rPr>
        <w:t>supported</w:t>
      </w:r>
      <w:r>
        <w:rPr>
          <w:rFonts w:ascii="Calibri" w:hAnsi="Calibri"/>
          <w:spacing w:val="-5"/>
        </w:rPr>
        <w:t xml:space="preserve"> </w:t>
      </w:r>
      <w:r>
        <w:t>aligned</w:t>
      </w:r>
      <w:r>
        <w:rPr>
          <w:spacing w:val="-5"/>
        </w:rPr>
        <w:t xml:space="preserve"> </w:t>
      </w:r>
      <w:r>
        <w:t>planning</w:t>
      </w:r>
      <w:r>
        <w:rPr>
          <w:spacing w:val="-4"/>
        </w:rPr>
        <w:t xml:space="preserve"> </w:t>
      </w:r>
      <w:r>
        <w:t>and</w:t>
      </w:r>
      <w:r>
        <w:rPr>
          <w:spacing w:val="-2"/>
        </w:rPr>
        <w:t xml:space="preserve"> budgeting:</w:t>
      </w:r>
    </w:p>
    <w:p w14:paraId="32D92443" w14:textId="77777777" w:rsidR="00BC24A8" w:rsidRDefault="00000000">
      <w:pPr>
        <w:pStyle w:val="ListParagraph"/>
        <w:numPr>
          <w:ilvl w:val="4"/>
          <w:numId w:val="133"/>
        </w:numPr>
        <w:tabs>
          <w:tab w:val="left" w:pos="1221"/>
          <w:tab w:val="left" w:pos="1223"/>
        </w:tabs>
        <w:spacing w:before="121" w:line="256" w:lineRule="auto"/>
        <w:ind w:right="561"/>
      </w:pPr>
      <w:r>
        <w:t>The final draft of the 2025–2029 RPJMD has been prepared, with SKALA facilitating the development of a matrix to align RPJMD indicators and targets with provincial agencies strategic plan (RENSTRA OPD).</w:t>
      </w:r>
    </w:p>
    <w:p w14:paraId="4F50ED63" w14:textId="77777777" w:rsidR="00BC24A8" w:rsidRDefault="00000000">
      <w:pPr>
        <w:pStyle w:val="ListParagraph"/>
        <w:numPr>
          <w:ilvl w:val="4"/>
          <w:numId w:val="133"/>
        </w:numPr>
        <w:tabs>
          <w:tab w:val="left" w:pos="1221"/>
          <w:tab w:val="left" w:pos="1223"/>
        </w:tabs>
        <w:spacing w:line="252" w:lineRule="auto"/>
        <w:ind w:right="561"/>
      </w:pPr>
      <w:r>
        <w:t>The final draft of the 2025–2029 RPJMD has been prepared, with SKALA facilitating the development of a matrix to align RPJMD indicators and targets with RENSTRA OPD.</w:t>
      </w:r>
    </w:p>
    <w:p w14:paraId="6EAFE101" w14:textId="77777777" w:rsidR="00BC24A8" w:rsidRDefault="00000000">
      <w:pPr>
        <w:pStyle w:val="ListParagraph"/>
        <w:numPr>
          <w:ilvl w:val="4"/>
          <w:numId w:val="133"/>
        </w:numPr>
        <w:tabs>
          <w:tab w:val="left" w:pos="1222"/>
        </w:tabs>
        <w:spacing w:before="9"/>
        <w:ind w:left="1222" w:hanging="359"/>
        <w:jc w:val="left"/>
      </w:pPr>
      <w:r>
        <w:rPr>
          <w:spacing w:val="-2"/>
        </w:rPr>
        <w:t>SKALA</w:t>
      </w:r>
      <w:r>
        <w:rPr>
          <w:spacing w:val="-10"/>
        </w:rPr>
        <w:t xml:space="preserve"> </w:t>
      </w:r>
      <w:r>
        <w:rPr>
          <w:spacing w:val="-2"/>
        </w:rPr>
        <w:t>promoted</w:t>
      </w:r>
      <w:r>
        <w:rPr>
          <w:spacing w:val="-7"/>
        </w:rPr>
        <w:t xml:space="preserve"> </w:t>
      </w:r>
      <w:r>
        <w:rPr>
          <w:spacing w:val="-2"/>
        </w:rPr>
        <w:t>the</w:t>
      </w:r>
      <w:r>
        <w:rPr>
          <w:spacing w:val="-10"/>
        </w:rPr>
        <w:t xml:space="preserve"> </w:t>
      </w:r>
      <w:r>
        <w:rPr>
          <w:spacing w:val="-2"/>
        </w:rPr>
        <w:t>alignment</w:t>
      </w:r>
      <w:r>
        <w:rPr>
          <w:spacing w:val="-8"/>
        </w:rPr>
        <w:t xml:space="preserve"> </w:t>
      </w:r>
      <w:r>
        <w:rPr>
          <w:spacing w:val="-2"/>
        </w:rPr>
        <w:t>of</w:t>
      </w:r>
      <w:r>
        <w:rPr>
          <w:spacing w:val="-10"/>
        </w:rPr>
        <w:t xml:space="preserve"> </w:t>
      </w:r>
      <w:r>
        <w:rPr>
          <w:spacing w:val="-2"/>
        </w:rPr>
        <w:t>KUA-PPAS</w:t>
      </w:r>
      <w:r>
        <w:rPr>
          <w:spacing w:val="-7"/>
        </w:rPr>
        <w:t xml:space="preserve"> </w:t>
      </w:r>
      <w:r>
        <w:rPr>
          <w:spacing w:val="-2"/>
        </w:rPr>
        <w:t>and</w:t>
      </w:r>
      <w:r>
        <w:rPr>
          <w:spacing w:val="-7"/>
        </w:rPr>
        <w:t xml:space="preserve"> </w:t>
      </w:r>
      <w:r>
        <w:rPr>
          <w:spacing w:val="-2"/>
        </w:rPr>
        <w:t>KEM-PPKF</w:t>
      </w:r>
      <w:r>
        <w:rPr>
          <w:spacing w:val="-10"/>
        </w:rPr>
        <w:t xml:space="preserve"> </w:t>
      </w:r>
      <w:r>
        <w:rPr>
          <w:spacing w:val="-2"/>
        </w:rPr>
        <w:t>at</w:t>
      </w:r>
      <w:r>
        <w:rPr>
          <w:spacing w:val="-8"/>
        </w:rPr>
        <w:t xml:space="preserve"> </w:t>
      </w:r>
      <w:r>
        <w:rPr>
          <w:spacing w:val="-2"/>
        </w:rPr>
        <w:t>the</w:t>
      </w:r>
      <w:r>
        <w:rPr>
          <w:spacing w:val="-10"/>
        </w:rPr>
        <w:t xml:space="preserve"> </w:t>
      </w:r>
      <w:r>
        <w:rPr>
          <w:spacing w:val="-2"/>
        </w:rPr>
        <w:t>district/city</w:t>
      </w:r>
      <w:r>
        <w:rPr>
          <w:spacing w:val="-7"/>
        </w:rPr>
        <w:t xml:space="preserve"> </w:t>
      </w:r>
      <w:r>
        <w:rPr>
          <w:spacing w:val="-2"/>
        </w:rPr>
        <w:t>level</w:t>
      </w:r>
      <w:r>
        <w:rPr>
          <w:spacing w:val="-9"/>
        </w:rPr>
        <w:t xml:space="preserve"> </w:t>
      </w:r>
      <w:r>
        <w:rPr>
          <w:spacing w:val="-2"/>
        </w:rPr>
        <w:t>through:</w:t>
      </w:r>
    </w:p>
    <w:p w14:paraId="6C57CEBC" w14:textId="77777777" w:rsidR="00BC24A8" w:rsidRDefault="00000000">
      <w:pPr>
        <w:pStyle w:val="ListParagraph"/>
        <w:numPr>
          <w:ilvl w:val="5"/>
          <w:numId w:val="133"/>
        </w:numPr>
        <w:tabs>
          <w:tab w:val="left" w:pos="1583"/>
        </w:tabs>
        <w:spacing w:before="255"/>
        <w:ind w:right="564"/>
      </w:pPr>
      <w:r>
        <w:t>Preparation of provincial and district/city KEMs as references for drafting the 2026 RKPD and APBD.</w:t>
      </w:r>
    </w:p>
    <w:p w14:paraId="7FA2E75F" w14:textId="77777777" w:rsidR="00BC24A8" w:rsidRDefault="00000000">
      <w:pPr>
        <w:pStyle w:val="ListParagraph"/>
        <w:numPr>
          <w:ilvl w:val="5"/>
          <w:numId w:val="133"/>
        </w:numPr>
        <w:tabs>
          <w:tab w:val="left" w:pos="1583"/>
        </w:tabs>
        <w:ind w:right="568"/>
      </w:pPr>
      <w:r>
        <w:t>Training of two civil servants as facilitators for evaluating the alignment of district/city KUA-PPAS documents with KEM-PPKF.</w:t>
      </w:r>
    </w:p>
    <w:p w14:paraId="27932911" w14:textId="77777777" w:rsidR="00BC24A8" w:rsidRDefault="00000000">
      <w:pPr>
        <w:pStyle w:val="ListParagraph"/>
        <w:numPr>
          <w:ilvl w:val="5"/>
          <w:numId w:val="133"/>
        </w:numPr>
        <w:tabs>
          <w:tab w:val="left" w:pos="1583"/>
        </w:tabs>
        <w:ind w:right="565"/>
      </w:pPr>
      <w:r>
        <w:t>Socialisation for 32 participants (22 male, 10 female) from district/city KUA-PPAS drafting teams regarding the Provincial Government’s evaluation of KUA-PPAS alignment with KEM-PPKF for 2026.</w:t>
      </w:r>
    </w:p>
    <w:p w14:paraId="539B26E6" w14:textId="77777777" w:rsidR="00BC24A8" w:rsidRDefault="00000000">
      <w:pPr>
        <w:pStyle w:val="ListParagraph"/>
        <w:numPr>
          <w:ilvl w:val="3"/>
          <w:numId w:val="133"/>
        </w:numPr>
        <w:tabs>
          <w:tab w:val="left" w:pos="861"/>
        </w:tabs>
        <w:spacing w:before="160"/>
        <w:ind w:left="861" w:hanging="359"/>
      </w:pPr>
      <w:r>
        <w:t>SKALA</w:t>
      </w:r>
      <w:r>
        <w:rPr>
          <w:spacing w:val="-7"/>
        </w:rPr>
        <w:t xml:space="preserve"> </w:t>
      </w:r>
      <w:r>
        <w:t>strengthened</w:t>
      </w:r>
      <w:r>
        <w:rPr>
          <w:spacing w:val="-8"/>
        </w:rPr>
        <w:t xml:space="preserve"> </w:t>
      </w:r>
      <w:r>
        <w:t>MSS</w:t>
      </w:r>
      <w:r>
        <w:rPr>
          <w:spacing w:val="-5"/>
        </w:rPr>
        <w:t xml:space="preserve"> </w:t>
      </w:r>
      <w:r>
        <w:t>implementation</w:t>
      </w:r>
      <w:r>
        <w:rPr>
          <w:spacing w:val="-5"/>
        </w:rPr>
        <w:t xml:space="preserve"> </w:t>
      </w:r>
      <w:r>
        <w:rPr>
          <w:spacing w:val="-2"/>
        </w:rPr>
        <w:t>governance:</w:t>
      </w:r>
    </w:p>
    <w:p w14:paraId="02302877" w14:textId="77777777" w:rsidR="00BC24A8" w:rsidRDefault="00000000">
      <w:pPr>
        <w:pStyle w:val="ListParagraph"/>
        <w:numPr>
          <w:ilvl w:val="4"/>
          <w:numId w:val="133"/>
        </w:numPr>
        <w:tabs>
          <w:tab w:val="left" w:pos="1221"/>
          <w:tab w:val="left" w:pos="1223"/>
        </w:tabs>
        <w:spacing w:before="118" w:line="252" w:lineRule="auto"/>
        <w:ind w:right="562"/>
      </w:pPr>
      <w:r>
        <w:t>The draft Governor Regulation on the MSS Action Plan has been prepared and is under evaluation by the Ministry of Home Affairs.</w:t>
      </w:r>
    </w:p>
    <w:p w14:paraId="0C8D07B8" w14:textId="77777777" w:rsidR="00BC24A8" w:rsidRDefault="00000000">
      <w:pPr>
        <w:pStyle w:val="ListParagraph"/>
        <w:numPr>
          <w:ilvl w:val="4"/>
          <w:numId w:val="133"/>
        </w:numPr>
        <w:tabs>
          <w:tab w:val="left" w:pos="1221"/>
          <w:tab w:val="left" w:pos="1223"/>
        </w:tabs>
        <w:spacing w:before="9" w:line="252" w:lineRule="auto"/>
        <w:ind w:right="562"/>
      </w:pPr>
      <w:r>
        <w:t>MSS achievement index increased from 92.81% in 2023 to 100% in 2024, reflecting the impact of MSS implementation training facilitated by SKALA.</w:t>
      </w:r>
    </w:p>
    <w:p w14:paraId="196DD0F3" w14:textId="77777777" w:rsidR="00BC24A8" w:rsidRDefault="00000000">
      <w:pPr>
        <w:pStyle w:val="ListParagraph"/>
        <w:numPr>
          <w:ilvl w:val="4"/>
          <w:numId w:val="133"/>
        </w:numPr>
        <w:tabs>
          <w:tab w:val="left" w:pos="1221"/>
          <w:tab w:val="left" w:pos="1223"/>
        </w:tabs>
        <w:spacing w:before="10" w:line="254" w:lineRule="auto"/>
        <w:ind w:right="563"/>
      </w:pPr>
      <w:r>
        <w:t>e-MSS</w:t>
      </w:r>
      <w:r>
        <w:rPr>
          <w:spacing w:val="-7"/>
        </w:rPr>
        <w:t xml:space="preserve"> </w:t>
      </w:r>
      <w:r>
        <w:t>reports</w:t>
      </w:r>
      <w:r>
        <w:rPr>
          <w:spacing w:val="-7"/>
        </w:rPr>
        <w:t xml:space="preserve"> </w:t>
      </w:r>
      <w:r>
        <w:t>are</w:t>
      </w:r>
      <w:r>
        <w:rPr>
          <w:spacing w:val="-9"/>
        </w:rPr>
        <w:t xml:space="preserve"> </w:t>
      </w:r>
      <w:r>
        <w:t>being</w:t>
      </w:r>
      <w:r>
        <w:rPr>
          <w:spacing w:val="-8"/>
        </w:rPr>
        <w:t xml:space="preserve"> </w:t>
      </w:r>
      <w:r>
        <w:t>completed</w:t>
      </w:r>
      <w:r>
        <w:rPr>
          <w:spacing w:val="-7"/>
        </w:rPr>
        <w:t xml:space="preserve"> </w:t>
      </w:r>
      <w:r>
        <w:t>consistently,</w:t>
      </w:r>
      <w:r>
        <w:rPr>
          <w:spacing w:val="-7"/>
        </w:rPr>
        <w:t xml:space="preserve"> </w:t>
      </w:r>
      <w:r>
        <w:t>although</w:t>
      </w:r>
      <w:r>
        <w:rPr>
          <w:spacing w:val="-7"/>
        </w:rPr>
        <w:t xml:space="preserve"> </w:t>
      </w:r>
      <w:r>
        <w:t>the</w:t>
      </w:r>
      <w:r>
        <w:rPr>
          <w:spacing w:val="-9"/>
        </w:rPr>
        <w:t xml:space="preserve"> </w:t>
      </w:r>
      <w:r>
        <w:t>percentage</w:t>
      </w:r>
      <w:r>
        <w:rPr>
          <w:spacing w:val="-9"/>
        </w:rPr>
        <w:t xml:space="preserve"> </w:t>
      </w:r>
      <w:r>
        <w:t>of</w:t>
      </w:r>
      <w:r>
        <w:rPr>
          <w:spacing w:val="-9"/>
        </w:rPr>
        <w:t xml:space="preserve"> </w:t>
      </w:r>
      <w:r>
        <w:t>completeness fluctuates, indicating improved understanding and engagement of MSS officers following SKALA’s support.</w:t>
      </w:r>
    </w:p>
    <w:p w14:paraId="24F5C01A" w14:textId="77777777" w:rsidR="00BC24A8" w:rsidRDefault="00000000">
      <w:pPr>
        <w:pStyle w:val="ListParagraph"/>
        <w:numPr>
          <w:ilvl w:val="4"/>
          <w:numId w:val="133"/>
        </w:numPr>
        <w:tabs>
          <w:tab w:val="left" w:pos="1221"/>
          <w:tab w:val="left" w:pos="1223"/>
        </w:tabs>
        <w:spacing w:before="8" w:line="252" w:lineRule="auto"/>
        <w:ind w:right="564"/>
      </w:pPr>
      <w:r>
        <w:t>Continued</w:t>
      </w:r>
      <w:r>
        <w:rPr>
          <w:spacing w:val="-11"/>
        </w:rPr>
        <w:t xml:space="preserve"> </w:t>
      </w:r>
      <w:r>
        <w:t>support</w:t>
      </w:r>
      <w:r>
        <w:rPr>
          <w:spacing w:val="-12"/>
        </w:rPr>
        <w:t xml:space="preserve"> </w:t>
      </w:r>
      <w:r>
        <w:t>from</w:t>
      </w:r>
      <w:r>
        <w:rPr>
          <w:spacing w:val="-11"/>
        </w:rPr>
        <w:t xml:space="preserve"> </w:t>
      </w:r>
      <w:r>
        <w:t>the</w:t>
      </w:r>
      <w:r>
        <w:rPr>
          <w:spacing w:val="-12"/>
        </w:rPr>
        <w:t xml:space="preserve"> </w:t>
      </w:r>
      <w:r>
        <w:t>provincial</w:t>
      </w:r>
      <w:r>
        <w:rPr>
          <w:spacing w:val="-12"/>
        </w:rPr>
        <w:t xml:space="preserve"> </w:t>
      </w:r>
      <w:r>
        <w:t>MSS</w:t>
      </w:r>
      <w:r>
        <w:rPr>
          <w:spacing w:val="-13"/>
        </w:rPr>
        <w:t xml:space="preserve"> </w:t>
      </w:r>
      <w:r>
        <w:t>monitoring</w:t>
      </w:r>
      <w:r>
        <w:rPr>
          <w:spacing w:val="-12"/>
        </w:rPr>
        <w:t xml:space="preserve"> </w:t>
      </w:r>
      <w:r>
        <w:t>and</w:t>
      </w:r>
      <w:r>
        <w:rPr>
          <w:spacing w:val="-10"/>
        </w:rPr>
        <w:t xml:space="preserve"> </w:t>
      </w:r>
      <w:r>
        <w:t>supervision</w:t>
      </w:r>
      <w:r>
        <w:rPr>
          <w:spacing w:val="-10"/>
        </w:rPr>
        <w:t xml:space="preserve"> </w:t>
      </w:r>
      <w:r>
        <w:t>to</w:t>
      </w:r>
      <w:r>
        <w:rPr>
          <w:spacing w:val="-11"/>
        </w:rPr>
        <w:t xml:space="preserve"> </w:t>
      </w:r>
      <w:r>
        <w:t>districts/cities,</w:t>
      </w:r>
      <w:r>
        <w:rPr>
          <w:spacing w:val="-10"/>
        </w:rPr>
        <w:t xml:space="preserve"> </w:t>
      </w:r>
      <w:r>
        <w:t>in collaboration with SKALA, resulted in:</w:t>
      </w:r>
    </w:p>
    <w:p w14:paraId="02D77B21" w14:textId="77777777" w:rsidR="00BC24A8" w:rsidRDefault="00000000">
      <w:pPr>
        <w:pStyle w:val="ListParagraph"/>
        <w:numPr>
          <w:ilvl w:val="5"/>
          <w:numId w:val="133"/>
        </w:numPr>
        <w:tabs>
          <w:tab w:val="left" w:pos="1583"/>
        </w:tabs>
        <w:spacing w:before="247"/>
        <w:jc w:val="left"/>
      </w:pPr>
      <w:r>
        <w:t>The</w:t>
      </w:r>
      <w:r>
        <w:rPr>
          <w:spacing w:val="-4"/>
        </w:rPr>
        <w:t xml:space="preserve"> </w:t>
      </w:r>
      <w:r>
        <w:t>Regent</w:t>
      </w:r>
      <w:r>
        <w:rPr>
          <w:spacing w:val="-3"/>
        </w:rPr>
        <w:t xml:space="preserve"> </w:t>
      </w:r>
      <w:r>
        <w:t>Regulation</w:t>
      </w:r>
      <w:r>
        <w:rPr>
          <w:spacing w:val="-2"/>
        </w:rPr>
        <w:t xml:space="preserve"> </w:t>
      </w:r>
      <w:r>
        <w:t>on</w:t>
      </w:r>
      <w:r>
        <w:rPr>
          <w:spacing w:val="-2"/>
        </w:rPr>
        <w:t xml:space="preserve"> </w:t>
      </w:r>
      <w:r>
        <w:t>the</w:t>
      </w:r>
      <w:r>
        <w:rPr>
          <w:spacing w:val="-4"/>
        </w:rPr>
        <w:t xml:space="preserve"> </w:t>
      </w:r>
      <w:r>
        <w:t>MSS</w:t>
      </w:r>
      <w:r>
        <w:rPr>
          <w:spacing w:val="-4"/>
        </w:rPr>
        <w:t xml:space="preserve"> </w:t>
      </w:r>
      <w:r>
        <w:t>Action</w:t>
      </w:r>
      <w:r>
        <w:rPr>
          <w:spacing w:val="-2"/>
        </w:rPr>
        <w:t xml:space="preserve"> </w:t>
      </w:r>
      <w:r>
        <w:t>Plan</w:t>
      </w:r>
      <w:r>
        <w:rPr>
          <w:spacing w:val="-5"/>
        </w:rPr>
        <w:t xml:space="preserve"> </w:t>
      </w:r>
      <w:r>
        <w:t>for</w:t>
      </w:r>
      <w:r>
        <w:rPr>
          <w:spacing w:val="-5"/>
        </w:rPr>
        <w:t xml:space="preserve"> </w:t>
      </w:r>
      <w:r>
        <w:t>Pohuwato</w:t>
      </w:r>
      <w:r>
        <w:rPr>
          <w:spacing w:val="-3"/>
        </w:rPr>
        <w:t xml:space="preserve"> </w:t>
      </w:r>
      <w:r>
        <w:t>District</w:t>
      </w:r>
      <w:r>
        <w:rPr>
          <w:spacing w:val="-6"/>
        </w:rPr>
        <w:t xml:space="preserve"> </w:t>
      </w:r>
      <w:r>
        <w:t>has</w:t>
      </w:r>
      <w:r>
        <w:rPr>
          <w:spacing w:val="-3"/>
        </w:rPr>
        <w:t xml:space="preserve"> </w:t>
      </w:r>
      <w:r>
        <w:t>been</w:t>
      </w:r>
      <w:r>
        <w:rPr>
          <w:spacing w:val="-2"/>
        </w:rPr>
        <w:t xml:space="preserve"> issued.</w:t>
      </w:r>
    </w:p>
    <w:p w14:paraId="1F9B5C5F" w14:textId="77777777" w:rsidR="00BC24A8" w:rsidRDefault="00000000">
      <w:pPr>
        <w:pStyle w:val="ListParagraph"/>
        <w:numPr>
          <w:ilvl w:val="5"/>
          <w:numId w:val="133"/>
        </w:numPr>
        <w:tabs>
          <w:tab w:val="left" w:pos="1583"/>
        </w:tabs>
        <w:ind w:right="564"/>
      </w:pPr>
      <w:r>
        <w:t>The MSS Action Plans for North Gorontalo and Boalemo District are under harmonisation review at the Ministry of Home Affairs (MoHA).</w:t>
      </w:r>
    </w:p>
    <w:p w14:paraId="26336D43" w14:textId="77777777" w:rsidR="00BC24A8" w:rsidRDefault="00BC24A8">
      <w:pPr>
        <w:pStyle w:val="ListParagraph"/>
        <w:sectPr w:rsidR="00BC24A8">
          <w:pgSz w:w="11910" w:h="16840"/>
          <w:pgMar w:top="1360" w:right="850" w:bottom="1100" w:left="1275" w:header="0" w:footer="907" w:gutter="0"/>
          <w:cols w:space="720"/>
        </w:sectPr>
      </w:pPr>
    </w:p>
    <w:p w14:paraId="1DF373C7" w14:textId="77777777" w:rsidR="00BC24A8" w:rsidRDefault="00000000">
      <w:pPr>
        <w:pStyle w:val="Heading5"/>
        <w:spacing w:before="39"/>
      </w:pPr>
      <w:r>
        <w:rPr>
          <w:color w:val="17365A"/>
        </w:rPr>
        <w:lastRenderedPageBreak/>
        <w:t>GEDSI</w:t>
      </w:r>
      <w:r>
        <w:rPr>
          <w:color w:val="17365A"/>
          <w:spacing w:val="-5"/>
        </w:rPr>
        <w:t xml:space="preserve"> </w:t>
      </w:r>
      <w:r>
        <w:rPr>
          <w:color w:val="17365A"/>
        </w:rPr>
        <w:t>–</w:t>
      </w:r>
      <w:r>
        <w:rPr>
          <w:color w:val="17365A"/>
          <w:spacing w:val="-3"/>
        </w:rPr>
        <w:t xml:space="preserve"> </w:t>
      </w:r>
      <w:r>
        <w:rPr>
          <w:color w:val="17365A"/>
        </w:rPr>
        <w:t>Participation</w:t>
      </w:r>
      <w:r>
        <w:rPr>
          <w:color w:val="17365A"/>
          <w:spacing w:val="-4"/>
        </w:rPr>
        <w:t xml:space="preserve"> </w:t>
      </w:r>
      <w:r>
        <w:rPr>
          <w:color w:val="17365A"/>
        </w:rPr>
        <w:t>and</w:t>
      </w:r>
      <w:r>
        <w:rPr>
          <w:color w:val="17365A"/>
          <w:spacing w:val="-5"/>
        </w:rPr>
        <w:t xml:space="preserve"> </w:t>
      </w:r>
      <w:r>
        <w:rPr>
          <w:color w:val="17365A"/>
        </w:rPr>
        <w:t>Planning</w:t>
      </w:r>
      <w:r>
        <w:rPr>
          <w:color w:val="17365A"/>
          <w:spacing w:val="-4"/>
        </w:rPr>
        <w:t xml:space="preserve"> </w:t>
      </w:r>
      <w:r>
        <w:rPr>
          <w:color w:val="17365A"/>
        </w:rPr>
        <w:t>(IO</w:t>
      </w:r>
      <w:r>
        <w:rPr>
          <w:color w:val="17365A"/>
          <w:spacing w:val="-7"/>
        </w:rPr>
        <w:t xml:space="preserve"> </w:t>
      </w:r>
      <w:r>
        <w:rPr>
          <w:color w:val="17365A"/>
        </w:rPr>
        <w:t>7</w:t>
      </w:r>
      <w:r>
        <w:rPr>
          <w:color w:val="17365A"/>
          <w:spacing w:val="-3"/>
        </w:rPr>
        <w:t xml:space="preserve"> </w:t>
      </w:r>
      <w:r>
        <w:rPr>
          <w:color w:val="17365A"/>
        </w:rPr>
        <w:t>dan</w:t>
      </w:r>
      <w:r>
        <w:rPr>
          <w:color w:val="17365A"/>
          <w:spacing w:val="-4"/>
        </w:rPr>
        <w:t xml:space="preserve"> </w:t>
      </w:r>
      <w:r>
        <w:rPr>
          <w:color w:val="17365A"/>
          <w:spacing w:val="-5"/>
        </w:rPr>
        <w:t>8)</w:t>
      </w:r>
    </w:p>
    <w:p w14:paraId="1FAD5F9E" w14:textId="77777777" w:rsidR="00BC24A8" w:rsidRDefault="00000000">
      <w:pPr>
        <w:pStyle w:val="ListParagraph"/>
        <w:numPr>
          <w:ilvl w:val="3"/>
          <w:numId w:val="133"/>
        </w:numPr>
        <w:tabs>
          <w:tab w:val="left" w:pos="862"/>
        </w:tabs>
        <w:spacing w:before="159"/>
        <w:ind w:left="862" w:hanging="359"/>
      </w:pPr>
      <w:r>
        <w:t>SKALA</w:t>
      </w:r>
      <w:r>
        <w:rPr>
          <w:spacing w:val="-4"/>
        </w:rPr>
        <w:t xml:space="preserve"> </w:t>
      </w:r>
      <w:r>
        <w:t>supported</w:t>
      </w:r>
      <w:r>
        <w:rPr>
          <w:spacing w:val="-4"/>
        </w:rPr>
        <w:t xml:space="preserve"> </w:t>
      </w:r>
      <w:r>
        <w:t>government</w:t>
      </w:r>
      <w:r>
        <w:rPr>
          <w:spacing w:val="-5"/>
        </w:rPr>
        <w:t xml:space="preserve"> </w:t>
      </w:r>
      <w:r>
        <w:t>and</w:t>
      </w:r>
      <w:r>
        <w:rPr>
          <w:spacing w:val="-3"/>
        </w:rPr>
        <w:t xml:space="preserve"> </w:t>
      </w:r>
      <w:r>
        <w:t>civil</w:t>
      </w:r>
      <w:r>
        <w:rPr>
          <w:spacing w:val="-6"/>
        </w:rPr>
        <w:t xml:space="preserve"> </w:t>
      </w:r>
      <w:r>
        <w:t>society</w:t>
      </w:r>
      <w:r>
        <w:rPr>
          <w:spacing w:val="-5"/>
        </w:rPr>
        <w:t xml:space="preserve"> </w:t>
      </w:r>
      <w:r>
        <w:rPr>
          <w:spacing w:val="-2"/>
        </w:rPr>
        <w:t>forums:</w:t>
      </w:r>
    </w:p>
    <w:p w14:paraId="5939E2B6" w14:textId="77777777" w:rsidR="00BC24A8" w:rsidRDefault="00000000">
      <w:pPr>
        <w:pStyle w:val="ListParagraph"/>
        <w:numPr>
          <w:ilvl w:val="4"/>
          <w:numId w:val="133"/>
        </w:numPr>
        <w:tabs>
          <w:tab w:val="left" w:pos="1221"/>
          <w:tab w:val="left" w:pos="1223"/>
        </w:tabs>
        <w:spacing w:before="120" w:line="256" w:lineRule="auto"/>
        <w:ind w:right="565"/>
      </w:pPr>
      <w:r>
        <w:rPr>
          <w:spacing w:val="-2"/>
        </w:rPr>
        <w:t xml:space="preserve">Twenty-five provincial agencies, six district/city agencies, 31 disabled people’s organisations </w:t>
      </w:r>
      <w:r>
        <w:t xml:space="preserve">(DPOs), and various civil society and professional organisations participated in the first inclusive </w:t>
      </w:r>
      <w:r>
        <w:rPr>
          <w:i/>
        </w:rPr>
        <w:t xml:space="preserve">Musrenbang </w:t>
      </w:r>
      <w:r>
        <w:t>held in April 2025, resulting in 69 proposals.</w:t>
      </w:r>
    </w:p>
    <w:p w14:paraId="1CBB4C0E" w14:textId="77777777" w:rsidR="00BC24A8" w:rsidRDefault="00000000">
      <w:pPr>
        <w:pStyle w:val="ListParagraph"/>
        <w:numPr>
          <w:ilvl w:val="4"/>
          <w:numId w:val="133"/>
        </w:numPr>
        <w:tabs>
          <w:tab w:val="left" w:pos="1221"/>
          <w:tab w:val="left" w:pos="1223"/>
        </w:tabs>
        <w:spacing w:line="252" w:lineRule="auto"/>
        <w:ind w:right="562"/>
      </w:pPr>
      <w:r>
        <w:rPr>
          <w:spacing w:val="-2"/>
        </w:rPr>
        <w:t>A</w:t>
      </w:r>
      <w:r>
        <w:rPr>
          <w:spacing w:val="-5"/>
        </w:rPr>
        <w:t xml:space="preserve"> </w:t>
      </w:r>
      <w:r>
        <w:rPr>
          <w:spacing w:val="-2"/>
        </w:rPr>
        <w:t>draft</w:t>
      </w:r>
      <w:r>
        <w:rPr>
          <w:spacing w:val="-7"/>
        </w:rPr>
        <w:t xml:space="preserve"> </w:t>
      </w:r>
      <w:r>
        <w:rPr>
          <w:spacing w:val="-2"/>
        </w:rPr>
        <w:t>Guide</w:t>
      </w:r>
      <w:r>
        <w:rPr>
          <w:spacing w:val="-7"/>
        </w:rPr>
        <w:t xml:space="preserve"> </w:t>
      </w:r>
      <w:r>
        <w:rPr>
          <w:spacing w:val="-2"/>
        </w:rPr>
        <w:t>for</w:t>
      </w:r>
      <w:r>
        <w:rPr>
          <w:spacing w:val="-5"/>
        </w:rPr>
        <w:t xml:space="preserve"> </w:t>
      </w:r>
      <w:r>
        <w:rPr>
          <w:spacing w:val="-2"/>
        </w:rPr>
        <w:t>the</w:t>
      </w:r>
      <w:r>
        <w:rPr>
          <w:spacing w:val="-7"/>
        </w:rPr>
        <w:t xml:space="preserve"> </w:t>
      </w:r>
      <w:r>
        <w:rPr>
          <w:spacing w:val="-2"/>
        </w:rPr>
        <w:t>Implementation</w:t>
      </w:r>
      <w:r>
        <w:rPr>
          <w:spacing w:val="-8"/>
        </w:rPr>
        <w:t xml:space="preserve"> </w:t>
      </w:r>
      <w:r>
        <w:rPr>
          <w:spacing w:val="-2"/>
        </w:rPr>
        <w:t>of</w:t>
      </w:r>
      <w:r>
        <w:rPr>
          <w:spacing w:val="-7"/>
        </w:rPr>
        <w:t xml:space="preserve"> </w:t>
      </w:r>
      <w:r>
        <w:rPr>
          <w:spacing w:val="-2"/>
        </w:rPr>
        <w:t>Inclusive</w:t>
      </w:r>
      <w:r>
        <w:rPr>
          <w:spacing w:val="-7"/>
        </w:rPr>
        <w:t xml:space="preserve"> </w:t>
      </w:r>
      <w:r>
        <w:rPr>
          <w:i/>
          <w:spacing w:val="-2"/>
        </w:rPr>
        <w:t>Musrenbang</w:t>
      </w:r>
      <w:r>
        <w:rPr>
          <w:i/>
          <w:spacing w:val="-5"/>
        </w:rPr>
        <w:t xml:space="preserve"> </w:t>
      </w:r>
      <w:r>
        <w:rPr>
          <w:spacing w:val="-2"/>
        </w:rPr>
        <w:t>has</w:t>
      </w:r>
      <w:r>
        <w:rPr>
          <w:spacing w:val="-5"/>
        </w:rPr>
        <w:t xml:space="preserve"> </w:t>
      </w:r>
      <w:r>
        <w:rPr>
          <w:spacing w:val="-2"/>
        </w:rPr>
        <w:t>been</w:t>
      </w:r>
      <w:r>
        <w:rPr>
          <w:spacing w:val="-8"/>
        </w:rPr>
        <w:t xml:space="preserve"> </w:t>
      </w:r>
      <w:r>
        <w:rPr>
          <w:spacing w:val="-2"/>
        </w:rPr>
        <w:t>prepared</w:t>
      </w:r>
      <w:r>
        <w:rPr>
          <w:spacing w:val="-5"/>
        </w:rPr>
        <w:t xml:space="preserve"> </w:t>
      </w:r>
      <w:r>
        <w:rPr>
          <w:spacing w:val="-2"/>
        </w:rPr>
        <w:t>to</w:t>
      </w:r>
      <w:r>
        <w:rPr>
          <w:spacing w:val="-6"/>
        </w:rPr>
        <w:t xml:space="preserve"> </w:t>
      </w:r>
      <w:r>
        <w:rPr>
          <w:spacing w:val="-2"/>
        </w:rPr>
        <w:t xml:space="preserve">provide </w:t>
      </w:r>
      <w:r>
        <w:t xml:space="preserve">more structured guidance for </w:t>
      </w:r>
      <w:r>
        <w:rPr>
          <w:i/>
        </w:rPr>
        <w:t xml:space="preserve">Musrenbang </w:t>
      </w:r>
      <w:r>
        <w:t>activities.</w:t>
      </w:r>
    </w:p>
    <w:p w14:paraId="58616E7B" w14:textId="77777777" w:rsidR="00BC24A8" w:rsidRDefault="00000000">
      <w:pPr>
        <w:pStyle w:val="ListParagraph"/>
        <w:numPr>
          <w:ilvl w:val="4"/>
          <w:numId w:val="133"/>
        </w:numPr>
        <w:tabs>
          <w:tab w:val="left" w:pos="1221"/>
          <w:tab w:val="left" w:pos="1223"/>
        </w:tabs>
        <w:spacing w:before="10" w:line="254" w:lineRule="auto"/>
        <w:ind w:right="562"/>
      </w:pPr>
      <w:r>
        <w:t>Governor Decree No. 255/28/VII/2025 on the Implementation Team for the Gorontalo Inclusive</w:t>
      </w:r>
      <w:r>
        <w:rPr>
          <w:spacing w:val="-11"/>
        </w:rPr>
        <w:t xml:space="preserve"> </w:t>
      </w:r>
      <w:r>
        <w:t>Forum</w:t>
      </w:r>
      <w:r>
        <w:rPr>
          <w:spacing w:val="-12"/>
        </w:rPr>
        <w:t xml:space="preserve"> </w:t>
      </w:r>
      <w:r>
        <w:t>Dulohupa</w:t>
      </w:r>
      <w:r>
        <w:rPr>
          <w:spacing w:val="-13"/>
        </w:rPr>
        <w:t xml:space="preserve"> </w:t>
      </w:r>
      <w:r>
        <w:t>2025–2029</w:t>
      </w:r>
      <w:r>
        <w:rPr>
          <w:spacing w:val="-8"/>
        </w:rPr>
        <w:t xml:space="preserve"> </w:t>
      </w:r>
      <w:r>
        <w:t>has</w:t>
      </w:r>
      <w:r>
        <w:rPr>
          <w:spacing w:val="-9"/>
        </w:rPr>
        <w:t xml:space="preserve"> </w:t>
      </w:r>
      <w:r>
        <w:t>been</w:t>
      </w:r>
      <w:r>
        <w:rPr>
          <w:spacing w:val="-9"/>
        </w:rPr>
        <w:t xml:space="preserve"> </w:t>
      </w:r>
      <w:r>
        <w:t>issued</w:t>
      </w:r>
      <w:r>
        <w:rPr>
          <w:spacing w:val="-9"/>
        </w:rPr>
        <w:t xml:space="preserve"> </w:t>
      </w:r>
      <w:r>
        <w:t>to</w:t>
      </w:r>
      <w:r>
        <w:rPr>
          <w:spacing w:val="-10"/>
        </w:rPr>
        <w:t xml:space="preserve"> </w:t>
      </w:r>
      <w:r>
        <w:t>facilitate</w:t>
      </w:r>
      <w:r>
        <w:rPr>
          <w:spacing w:val="-11"/>
        </w:rPr>
        <w:t xml:space="preserve"> </w:t>
      </w:r>
      <w:r>
        <w:t>vulnerable</w:t>
      </w:r>
      <w:r>
        <w:rPr>
          <w:spacing w:val="-11"/>
        </w:rPr>
        <w:t xml:space="preserve"> </w:t>
      </w:r>
      <w:r>
        <w:t>groups’</w:t>
      </w:r>
      <w:r>
        <w:rPr>
          <w:spacing w:val="-8"/>
        </w:rPr>
        <w:t xml:space="preserve"> </w:t>
      </w:r>
      <w:r>
        <w:t>input to policymakers.</w:t>
      </w:r>
    </w:p>
    <w:p w14:paraId="2CD843C5" w14:textId="77777777" w:rsidR="00BC24A8" w:rsidRDefault="00000000">
      <w:pPr>
        <w:pStyle w:val="ListParagraph"/>
        <w:numPr>
          <w:ilvl w:val="4"/>
          <w:numId w:val="133"/>
        </w:numPr>
        <w:tabs>
          <w:tab w:val="left" w:pos="1221"/>
          <w:tab w:val="left" w:pos="1223"/>
        </w:tabs>
        <w:spacing w:before="7" w:line="256" w:lineRule="auto"/>
        <w:ind w:right="561"/>
      </w:pPr>
      <w:r>
        <w:t>Eight OPDs (10 men, 9 women), 16 CSOs (6 men, 12 women), and 2 academics (2 women) were</w:t>
      </w:r>
      <w:r>
        <w:rPr>
          <w:spacing w:val="-11"/>
        </w:rPr>
        <w:t xml:space="preserve"> </w:t>
      </w:r>
      <w:r>
        <w:t>trained</w:t>
      </w:r>
      <w:r>
        <w:rPr>
          <w:spacing w:val="-9"/>
        </w:rPr>
        <w:t xml:space="preserve"> </w:t>
      </w:r>
      <w:r>
        <w:t>in</w:t>
      </w:r>
      <w:r>
        <w:rPr>
          <w:spacing w:val="-9"/>
        </w:rPr>
        <w:t xml:space="preserve"> </w:t>
      </w:r>
      <w:r>
        <w:t>data</w:t>
      </w:r>
      <w:r>
        <w:rPr>
          <w:spacing w:val="-10"/>
        </w:rPr>
        <w:t xml:space="preserve"> </w:t>
      </w:r>
      <w:r>
        <w:t>analysis</w:t>
      </w:r>
      <w:r>
        <w:rPr>
          <w:spacing w:val="-9"/>
        </w:rPr>
        <w:t xml:space="preserve"> </w:t>
      </w:r>
      <w:r>
        <w:t>(REGSOSEK,</w:t>
      </w:r>
      <w:r>
        <w:rPr>
          <w:spacing w:val="-11"/>
        </w:rPr>
        <w:t xml:space="preserve"> </w:t>
      </w:r>
      <w:r>
        <w:t>GEDSI</w:t>
      </w:r>
      <w:r>
        <w:rPr>
          <w:spacing w:val="-11"/>
        </w:rPr>
        <w:t xml:space="preserve"> </w:t>
      </w:r>
      <w:r>
        <w:t>tagging,</w:t>
      </w:r>
      <w:r>
        <w:rPr>
          <w:spacing w:val="-8"/>
        </w:rPr>
        <w:t xml:space="preserve"> </w:t>
      </w:r>
      <w:r>
        <w:t>and</w:t>
      </w:r>
      <w:r>
        <w:rPr>
          <w:spacing w:val="-12"/>
        </w:rPr>
        <w:t xml:space="preserve"> </w:t>
      </w:r>
      <w:r>
        <w:t>MSS</w:t>
      </w:r>
      <w:r>
        <w:rPr>
          <w:spacing w:val="-9"/>
        </w:rPr>
        <w:t xml:space="preserve"> </w:t>
      </w:r>
      <w:r>
        <w:t>tagging)</w:t>
      </w:r>
      <w:r>
        <w:rPr>
          <w:spacing w:val="-11"/>
        </w:rPr>
        <w:t xml:space="preserve"> </w:t>
      </w:r>
      <w:r>
        <w:t>and</w:t>
      </w:r>
      <w:r>
        <w:rPr>
          <w:spacing w:val="-12"/>
        </w:rPr>
        <w:t xml:space="preserve"> </w:t>
      </w:r>
      <w:r>
        <w:t>advocacy</w:t>
      </w:r>
      <w:r>
        <w:rPr>
          <w:spacing w:val="-9"/>
        </w:rPr>
        <w:t xml:space="preserve"> </w:t>
      </w:r>
      <w:r>
        <w:t>for the needs of vulnerable groups to government authorities.</w:t>
      </w:r>
    </w:p>
    <w:p w14:paraId="7FACA34C" w14:textId="77777777" w:rsidR="00BC24A8" w:rsidRDefault="00000000">
      <w:pPr>
        <w:pStyle w:val="ListParagraph"/>
        <w:numPr>
          <w:ilvl w:val="3"/>
          <w:numId w:val="133"/>
        </w:numPr>
        <w:tabs>
          <w:tab w:val="left" w:pos="862"/>
        </w:tabs>
        <w:spacing w:before="240"/>
        <w:ind w:left="862" w:hanging="359"/>
      </w:pPr>
      <w:r>
        <w:t>SKALA</w:t>
      </w:r>
      <w:r>
        <w:rPr>
          <w:spacing w:val="-6"/>
        </w:rPr>
        <w:t xml:space="preserve"> </w:t>
      </w:r>
      <w:r>
        <w:t>support</w:t>
      </w:r>
      <w:r>
        <w:rPr>
          <w:spacing w:val="-5"/>
        </w:rPr>
        <w:t xml:space="preserve"> </w:t>
      </w:r>
      <w:r>
        <w:t>inclusive</w:t>
      </w:r>
      <w:r>
        <w:rPr>
          <w:spacing w:val="-5"/>
        </w:rPr>
        <w:t xml:space="preserve"> </w:t>
      </w:r>
      <w:r>
        <w:rPr>
          <w:spacing w:val="-2"/>
        </w:rPr>
        <w:t>planning:</w:t>
      </w:r>
    </w:p>
    <w:p w14:paraId="1D01866F" w14:textId="77777777" w:rsidR="00BC24A8" w:rsidRDefault="00000000">
      <w:pPr>
        <w:pStyle w:val="ListParagraph"/>
        <w:numPr>
          <w:ilvl w:val="4"/>
          <w:numId w:val="133"/>
        </w:numPr>
        <w:tabs>
          <w:tab w:val="left" w:pos="1222"/>
        </w:tabs>
        <w:spacing w:before="120"/>
        <w:ind w:left="1222" w:hanging="359"/>
      </w:pPr>
      <w:r>
        <w:t>The</w:t>
      </w:r>
      <w:r>
        <w:rPr>
          <w:spacing w:val="-7"/>
        </w:rPr>
        <w:t xml:space="preserve"> </w:t>
      </w:r>
      <w:r>
        <w:t>draft</w:t>
      </w:r>
      <w:r>
        <w:rPr>
          <w:spacing w:val="-6"/>
        </w:rPr>
        <w:t xml:space="preserve"> </w:t>
      </w:r>
      <w:r>
        <w:t>RAD</w:t>
      </w:r>
      <w:r>
        <w:rPr>
          <w:spacing w:val="-4"/>
        </w:rPr>
        <w:t xml:space="preserve"> </w:t>
      </w:r>
      <w:r>
        <w:t>PD</w:t>
      </w:r>
      <w:r>
        <w:rPr>
          <w:spacing w:val="-4"/>
        </w:rPr>
        <w:t xml:space="preserve"> </w:t>
      </w:r>
      <w:r>
        <w:t>has</w:t>
      </w:r>
      <w:r>
        <w:rPr>
          <w:spacing w:val="-5"/>
        </w:rPr>
        <w:t xml:space="preserve"> </w:t>
      </w:r>
      <w:r>
        <w:t>been</w:t>
      </w:r>
      <w:r>
        <w:rPr>
          <w:spacing w:val="-7"/>
        </w:rPr>
        <w:t xml:space="preserve"> </w:t>
      </w:r>
      <w:r>
        <w:t>prepared</w:t>
      </w:r>
      <w:r>
        <w:rPr>
          <w:spacing w:val="-4"/>
        </w:rPr>
        <w:t xml:space="preserve"> </w:t>
      </w:r>
      <w:r>
        <w:t>and</w:t>
      </w:r>
      <w:r>
        <w:rPr>
          <w:spacing w:val="-4"/>
        </w:rPr>
        <w:t xml:space="preserve"> </w:t>
      </w:r>
      <w:r>
        <w:t>is</w:t>
      </w:r>
      <w:r>
        <w:rPr>
          <w:spacing w:val="-6"/>
        </w:rPr>
        <w:t xml:space="preserve"> </w:t>
      </w:r>
      <w:r>
        <w:t>under</w:t>
      </w:r>
      <w:r>
        <w:rPr>
          <w:spacing w:val="-5"/>
        </w:rPr>
        <w:t xml:space="preserve"> </w:t>
      </w:r>
      <w:r>
        <w:t>review</w:t>
      </w:r>
      <w:r>
        <w:rPr>
          <w:spacing w:val="-6"/>
        </w:rPr>
        <w:t xml:space="preserve"> </w:t>
      </w:r>
      <w:r>
        <w:t>by</w:t>
      </w:r>
      <w:r>
        <w:rPr>
          <w:spacing w:val="-4"/>
        </w:rPr>
        <w:t xml:space="preserve"> </w:t>
      </w:r>
      <w:r>
        <w:rPr>
          <w:i/>
          <w:spacing w:val="-2"/>
        </w:rPr>
        <w:t>Bappeda</w:t>
      </w:r>
      <w:r>
        <w:rPr>
          <w:spacing w:val="-2"/>
        </w:rPr>
        <w:t>.</w:t>
      </w:r>
    </w:p>
    <w:p w14:paraId="5E8F127C" w14:textId="77777777" w:rsidR="00BC24A8" w:rsidRDefault="00000000">
      <w:pPr>
        <w:pStyle w:val="ListParagraph"/>
        <w:numPr>
          <w:ilvl w:val="4"/>
          <w:numId w:val="133"/>
        </w:numPr>
        <w:tabs>
          <w:tab w:val="left" w:pos="1222"/>
          <w:tab w:val="left" w:pos="1224"/>
        </w:tabs>
        <w:spacing w:before="15" w:line="256" w:lineRule="auto"/>
        <w:ind w:left="1224" w:right="564"/>
      </w:pPr>
      <w:r>
        <w:t>Technical</w:t>
      </w:r>
      <w:r>
        <w:rPr>
          <w:spacing w:val="-4"/>
        </w:rPr>
        <w:t xml:space="preserve"> </w:t>
      </w:r>
      <w:r>
        <w:t>guidelines</w:t>
      </w:r>
      <w:r>
        <w:rPr>
          <w:spacing w:val="-3"/>
        </w:rPr>
        <w:t xml:space="preserve"> </w:t>
      </w:r>
      <w:r>
        <w:t>and</w:t>
      </w:r>
      <w:r>
        <w:rPr>
          <w:spacing w:val="-3"/>
        </w:rPr>
        <w:t xml:space="preserve"> </w:t>
      </w:r>
      <w:r>
        <w:t>studies</w:t>
      </w:r>
      <w:r>
        <w:rPr>
          <w:spacing w:val="-3"/>
        </w:rPr>
        <w:t xml:space="preserve"> </w:t>
      </w:r>
      <w:r>
        <w:t>on</w:t>
      </w:r>
      <w:r>
        <w:rPr>
          <w:spacing w:val="-3"/>
        </w:rPr>
        <w:t xml:space="preserve"> </w:t>
      </w:r>
      <w:r>
        <w:t>gender</w:t>
      </w:r>
      <w:r>
        <w:rPr>
          <w:spacing w:val="-3"/>
        </w:rPr>
        <w:t xml:space="preserve"> </w:t>
      </w:r>
      <w:r>
        <w:t>and</w:t>
      </w:r>
      <w:r>
        <w:rPr>
          <w:spacing w:val="-3"/>
        </w:rPr>
        <w:t xml:space="preserve"> </w:t>
      </w:r>
      <w:r>
        <w:t>vulnerable</w:t>
      </w:r>
      <w:r>
        <w:rPr>
          <w:spacing w:val="-5"/>
        </w:rPr>
        <w:t xml:space="preserve"> </w:t>
      </w:r>
      <w:r>
        <w:t>group-responsive</w:t>
      </w:r>
      <w:r>
        <w:rPr>
          <w:spacing w:val="-5"/>
        </w:rPr>
        <w:t xml:space="preserve"> </w:t>
      </w:r>
      <w:r>
        <w:t>basic</w:t>
      </w:r>
      <w:r>
        <w:rPr>
          <w:spacing w:val="-4"/>
        </w:rPr>
        <w:t xml:space="preserve"> </w:t>
      </w:r>
      <w:r>
        <w:t>services have been developed with SKALA Technical Assistance (TA) support as a prerequisite for drafting the Gender Mainstreaming Regional Regulation (</w:t>
      </w:r>
      <w:r>
        <w:rPr>
          <w:i/>
        </w:rPr>
        <w:t>Perda PUG</w:t>
      </w:r>
      <w:r>
        <w:t>).</w:t>
      </w:r>
    </w:p>
    <w:p w14:paraId="31C507CC" w14:textId="77777777" w:rsidR="00BC24A8" w:rsidRDefault="00000000">
      <w:pPr>
        <w:pStyle w:val="ListParagraph"/>
        <w:numPr>
          <w:ilvl w:val="4"/>
          <w:numId w:val="133"/>
        </w:numPr>
        <w:tabs>
          <w:tab w:val="left" w:pos="1223"/>
        </w:tabs>
        <w:spacing w:line="275" w:lineRule="exact"/>
        <w:ind w:hanging="359"/>
      </w:pPr>
      <w:r>
        <w:t>The</w:t>
      </w:r>
      <w:r>
        <w:rPr>
          <w:spacing w:val="-8"/>
        </w:rPr>
        <w:t xml:space="preserve"> </w:t>
      </w:r>
      <w:r>
        <w:t>draft</w:t>
      </w:r>
      <w:r>
        <w:rPr>
          <w:spacing w:val="-7"/>
        </w:rPr>
        <w:t xml:space="preserve"> </w:t>
      </w:r>
      <w:r>
        <w:rPr>
          <w:i/>
        </w:rPr>
        <w:t>Perda</w:t>
      </w:r>
      <w:r>
        <w:rPr>
          <w:i/>
          <w:spacing w:val="-7"/>
        </w:rPr>
        <w:t xml:space="preserve"> </w:t>
      </w:r>
      <w:r>
        <w:rPr>
          <w:i/>
        </w:rPr>
        <w:t>PUG</w:t>
      </w:r>
      <w:r>
        <w:rPr>
          <w:i/>
          <w:spacing w:val="-8"/>
        </w:rPr>
        <w:t xml:space="preserve"> </w:t>
      </w:r>
      <w:r>
        <w:t>has</w:t>
      </w:r>
      <w:r>
        <w:rPr>
          <w:spacing w:val="-7"/>
        </w:rPr>
        <w:t xml:space="preserve"> </w:t>
      </w:r>
      <w:r>
        <w:t>been</w:t>
      </w:r>
      <w:r>
        <w:rPr>
          <w:spacing w:val="-5"/>
        </w:rPr>
        <w:t xml:space="preserve"> </w:t>
      </w:r>
      <w:r>
        <w:t>prepared</w:t>
      </w:r>
      <w:r>
        <w:rPr>
          <w:spacing w:val="-6"/>
        </w:rPr>
        <w:t xml:space="preserve"> </w:t>
      </w:r>
      <w:r>
        <w:t>and</w:t>
      </w:r>
      <w:r>
        <w:rPr>
          <w:spacing w:val="-8"/>
        </w:rPr>
        <w:t xml:space="preserve"> </w:t>
      </w:r>
      <w:r>
        <w:t>undergone</w:t>
      </w:r>
      <w:r>
        <w:rPr>
          <w:spacing w:val="-7"/>
        </w:rPr>
        <w:t xml:space="preserve"> </w:t>
      </w:r>
      <w:r>
        <w:t>public</w:t>
      </w:r>
      <w:r>
        <w:rPr>
          <w:spacing w:val="-6"/>
        </w:rPr>
        <w:t xml:space="preserve"> </w:t>
      </w:r>
      <w:r>
        <w:rPr>
          <w:spacing w:val="-2"/>
        </w:rPr>
        <w:t>consultation.</w:t>
      </w:r>
    </w:p>
    <w:p w14:paraId="6EC8F466" w14:textId="77777777" w:rsidR="00BC24A8" w:rsidRDefault="00BC24A8">
      <w:pPr>
        <w:pStyle w:val="BodyText"/>
      </w:pPr>
    </w:p>
    <w:p w14:paraId="2E54DE59" w14:textId="77777777" w:rsidR="00BC24A8" w:rsidRDefault="00BC24A8">
      <w:pPr>
        <w:pStyle w:val="BodyText"/>
        <w:spacing w:before="8"/>
      </w:pPr>
    </w:p>
    <w:p w14:paraId="08E2C863" w14:textId="77777777" w:rsidR="00BC24A8" w:rsidRDefault="00000000">
      <w:pPr>
        <w:pStyle w:val="Heading5"/>
        <w:ind w:left="144"/>
      </w:pPr>
      <w:r>
        <w:rPr>
          <w:color w:val="17365A"/>
        </w:rPr>
        <w:t>Impact</w:t>
      </w:r>
      <w:r>
        <w:rPr>
          <w:color w:val="17365A"/>
          <w:spacing w:val="-3"/>
        </w:rPr>
        <w:t xml:space="preserve"> </w:t>
      </w:r>
      <w:r>
        <w:rPr>
          <w:color w:val="17365A"/>
        </w:rPr>
        <w:t>of</w:t>
      </w:r>
      <w:r>
        <w:rPr>
          <w:color w:val="17365A"/>
          <w:spacing w:val="-2"/>
        </w:rPr>
        <w:t xml:space="preserve"> results/changes</w:t>
      </w:r>
    </w:p>
    <w:p w14:paraId="7F2E3F73" w14:textId="77777777" w:rsidR="00BC24A8" w:rsidRDefault="00BC24A8">
      <w:pPr>
        <w:pStyle w:val="BodyText"/>
        <w:spacing w:before="9"/>
        <w:rPr>
          <w:rFonts w:ascii="Calibri"/>
          <w:b/>
          <w:sz w:val="12"/>
        </w:rPr>
      </w:pPr>
    </w:p>
    <w:tbl>
      <w:tblPr>
        <w:tblW w:w="0" w:type="auto"/>
        <w:tblInd w:w="142" w:type="dxa"/>
        <w:tblLayout w:type="fixed"/>
        <w:tblCellMar>
          <w:left w:w="0" w:type="dxa"/>
          <w:right w:w="0" w:type="dxa"/>
        </w:tblCellMar>
        <w:tblLook w:val="01E0" w:firstRow="1" w:lastRow="1" w:firstColumn="1" w:lastColumn="1" w:noHBand="0" w:noVBand="0"/>
      </w:tblPr>
      <w:tblGrid>
        <w:gridCol w:w="1343"/>
        <w:gridCol w:w="7756"/>
      </w:tblGrid>
      <w:tr w:rsidR="00BC24A8" w14:paraId="5D98F098" w14:textId="77777777">
        <w:trPr>
          <w:trHeight w:val="467"/>
        </w:trPr>
        <w:tc>
          <w:tcPr>
            <w:tcW w:w="1343" w:type="dxa"/>
            <w:shd w:val="clear" w:color="auto" w:fill="17365A"/>
          </w:tcPr>
          <w:p w14:paraId="2C45158A" w14:textId="77777777" w:rsidR="00BC24A8" w:rsidRDefault="00000000">
            <w:pPr>
              <w:pStyle w:val="TableParagraph"/>
              <w:spacing w:before="112"/>
              <w:ind w:left="116"/>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756" w:type="dxa"/>
            <w:shd w:val="clear" w:color="auto" w:fill="17365A"/>
          </w:tcPr>
          <w:p w14:paraId="71582539" w14:textId="77777777" w:rsidR="00BC24A8" w:rsidRDefault="00000000">
            <w:pPr>
              <w:pStyle w:val="TableParagraph"/>
              <w:spacing w:before="167"/>
              <w:ind w:left="121"/>
              <w:rPr>
                <w:rFonts w:ascii="Calibri"/>
                <w:b/>
                <w:sz w:val="20"/>
              </w:rPr>
            </w:pPr>
            <w:r>
              <w:rPr>
                <w:rFonts w:ascii="Calibri"/>
                <w:b/>
                <w:color w:val="FFFFFF"/>
                <w:spacing w:val="-2"/>
                <w:sz w:val="20"/>
              </w:rPr>
              <w:t>Impact</w:t>
            </w:r>
          </w:p>
        </w:tc>
      </w:tr>
      <w:tr w:rsidR="00BC24A8" w14:paraId="51428306" w14:textId="77777777">
        <w:trPr>
          <w:trHeight w:val="3314"/>
        </w:trPr>
        <w:tc>
          <w:tcPr>
            <w:tcW w:w="1343" w:type="dxa"/>
            <w:tcBorders>
              <w:bottom w:val="single" w:sz="4" w:space="0" w:color="BEBEBE"/>
            </w:tcBorders>
          </w:tcPr>
          <w:p w14:paraId="4F52DED8" w14:textId="77777777" w:rsidR="00BC24A8" w:rsidRDefault="00000000">
            <w:pPr>
              <w:pStyle w:val="TableParagraph"/>
              <w:spacing w:before="162"/>
              <w:ind w:left="116"/>
              <w:rPr>
                <w:sz w:val="18"/>
              </w:rPr>
            </w:pPr>
            <w:r>
              <w:rPr>
                <w:spacing w:val="-2"/>
                <w:sz w:val="18"/>
              </w:rPr>
              <w:t>Methodological</w:t>
            </w:r>
            <w:r>
              <w:rPr>
                <w:sz w:val="18"/>
              </w:rPr>
              <w:t xml:space="preserve"> </w:t>
            </w:r>
            <w:r>
              <w:rPr>
                <w:spacing w:val="-2"/>
                <w:sz w:val="18"/>
              </w:rPr>
              <w:t>Impact</w:t>
            </w:r>
          </w:p>
        </w:tc>
        <w:tc>
          <w:tcPr>
            <w:tcW w:w="7756" w:type="dxa"/>
            <w:tcBorders>
              <w:bottom w:val="single" w:sz="4" w:space="0" w:color="BEBEBE"/>
            </w:tcBorders>
          </w:tcPr>
          <w:p w14:paraId="393BE653" w14:textId="77777777" w:rsidR="00BC24A8" w:rsidRDefault="00000000">
            <w:pPr>
              <w:pStyle w:val="TableParagraph"/>
              <w:spacing w:before="162"/>
              <w:ind w:left="121"/>
              <w:rPr>
                <w:sz w:val="18"/>
              </w:rPr>
            </w:pPr>
            <w:r>
              <w:rPr>
                <w:sz w:val="18"/>
              </w:rPr>
              <w:t>Guidelines,</w:t>
            </w:r>
            <w:r>
              <w:rPr>
                <w:spacing w:val="-4"/>
                <w:sz w:val="18"/>
              </w:rPr>
              <w:t xml:space="preserve"> </w:t>
            </w:r>
            <w:r>
              <w:rPr>
                <w:sz w:val="18"/>
              </w:rPr>
              <w:t>instruments,</w:t>
            </w:r>
            <w:r>
              <w:rPr>
                <w:spacing w:val="-4"/>
                <w:sz w:val="18"/>
              </w:rPr>
              <w:t xml:space="preserve"> </w:t>
            </w:r>
            <w:r>
              <w:rPr>
                <w:sz w:val="18"/>
              </w:rPr>
              <w:t>systems,</w:t>
            </w:r>
            <w:r>
              <w:rPr>
                <w:spacing w:val="-4"/>
                <w:sz w:val="18"/>
              </w:rPr>
              <w:t xml:space="preserve"> </w:t>
            </w:r>
            <w:r>
              <w:rPr>
                <w:sz w:val="18"/>
              </w:rPr>
              <w:t>strategies,</w:t>
            </w:r>
            <w:r>
              <w:rPr>
                <w:spacing w:val="-4"/>
                <w:sz w:val="18"/>
              </w:rPr>
              <w:t xml:space="preserve"> </w:t>
            </w:r>
            <w:r>
              <w:rPr>
                <w:sz w:val="18"/>
              </w:rPr>
              <w:t>and</w:t>
            </w:r>
            <w:r>
              <w:rPr>
                <w:spacing w:val="-3"/>
                <w:sz w:val="18"/>
              </w:rPr>
              <w:t xml:space="preserve"> </w:t>
            </w:r>
            <w:r>
              <w:rPr>
                <w:spacing w:val="-2"/>
                <w:sz w:val="18"/>
              </w:rPr>
              <w:t>evidence:</w:t>
            </w:r>
          </w:p>
          <w:p w14:paraId="49FFE088" w14:textId="77777777" w:rsidR="00BC24A8" w:rsidRDefault="00000000">
            <w:pPr>
              <w:pStyle w:val="TableParagraph"/>
              <w:numPr>
                <w:ilvl w:val="0"/>
                <w:numId w:val="125"/>
              </w:numPr>
              <w:tabs>
                <w:tab w:val="left" w:pos="452"/>
              </w:tabs>
              <w:spacing w:before="59"/>
              <w:ind w:left="452" w:hanging="359"/>
              <w:rPr>
                <w:i/>
                <w:sz w:val="18"/>
              </w:rPr>
            </w:pPr>
            <w:r>
              <w:rPr>
                <w:sz w:val="18"/>
              </w:rPr>
              <w:t>Guidelines</w:t>
            </w:r>
            <w:r>
              <w:rPr>
                <w:spacing w:val="-3"/>
                <w:sz w:val="18"/>
              </w:rPr>
              <w:t xml:space="preserve"> </w:t>
            </w:r>
            <w:r>
              <w:rPr>
                <w:sz w:val="18"/>
              </w:rPr>
              <w:t>and</w:t>
            </w:r>
            <w:r>
              <w:rPr>
                <w:spacing w:val="-2"/>
                <w:sz w:val="18"/>
              </w:rPr>
              <w:t xml:space="preserve"> </w:t>
            </w:r>
            <w:r>
              <w:rPr>
                <w:sz w:val="18"/>
              </w:rPr>
              <w:t>technical</w:t>
            </w:r>
            <w:r>
              <w:rPr>
                <w:spacing w:val="-3"/>
                <w:sz w:val="18"/>
              </w:rPr>
              <w:t xml:space="preserve"> </w:t>
            </w:r>
            <w:r>
              <w:rPr>
                <w:sz w:val="18"/>
              </w:rPr>
              <w:t>instructions</w:t>
            </w:r>
            <w:r>
              <w:rPr>
                <w:spacing w:val="-2"/>
                <w:sz w:val="18"/>
              </w:rPr>
              <w:t xml:space="preserve"> </w:t>
            </w:r>
            <w:r>
              <w:rPr>
                <w:sz w:val="18"/>
              </w:rPr>
              <w:t>for</w:t>
            </w:r>
            <w:r>
              <w:rPr>
                <w:spacing w:val="-2"/>
                <w:sz w:val="18"/>
              </w:rPr>
              <w:t xml:space="preserve"> </w:t>
            </w:r>
            <w:r>
              <w:rPr>
                <w:sz w:val="18"/>
              </w:rPr>
              <w:t>conducting</w:t>
            </w:r>
            <w:r>
              <w:rPr>
                <w:spacing w:val="-3"/>
                <w:sz w:val="18"/>
              </w:rPr>
              <w:t xml:space="preserve"> </w:t>
            </w:r>
            <w:r>
              <w:rPr>
                <w:sz w:val="18"/>
              </w:rPr>
              <w:t>inclusive</w:t>
            </w:r>
            <w:r>
              <w:rPr>
                <w:spacing w:val="-2"/>
                <w:sz w:val="18"/>
              </w:rPr>
              <w:t xml:space="preserve"> </w:t>
            </w:r>
            <w:r>
              <w:rPr>
                <w:i/>
                <w:spacing w:val="-2"/>
                <w:sz w:val="18"/>
              </w:rPr>
              <w:t>Musrenbang.</w:t>
            </w:r>
          </w:p>
          <w:p w14:paraId="7855AE33" w14:textId="77777777" w:rsidR="00BC24A8" w:rsidRDefault="00000000">
            <w:pPr>
              <w:pStyle w:val="TableParagraph"/>
              <w:numPr>
                <w:ilvl w:val="0"/>
                <w:numId w:val="125"/>
              </w:numPr>
              <w:tabs>
                <w:tab w:val="left" w:pos="452"/>
              </w:tabs>
              <w:spacing w:before="1"/>
              <w:ind w:left="452" w:hanging="359"/>
              <w:rPr>
                <w:sz w:val="18"/>
              </w:rPr>
            </w:pPr>
            <w:r>
              <w:rPr>
                <w:sz w:val="18"/>
              </w:rPr>
              <w:t>Technical</w:t>
            </w:r>
            <w:r>
              <w:rPr>
                <w:spacing w:val="-4"/>
                <w:sz w:val="18"/>
              </w:rPr>
              <w:t xml:space="preserve"> </w:t>
            </w:r>
            <w:r>
              <w:rPr>
                <w:sz w:val="18"/>
              </w:rPr>
              <w:t>guidelines</w:t>
            </w:r>
            <w:r>
              <w:rPr>
                <w:spacing w:val="-2"/>
                <w:sz w:val="18"/>
              </w:rPr>
              <w:t xml:space="preserve"> </w:t>
            </w:r>
            <w:r>
              <w:rPr>
                <w:sz w:val="18"/>
              </w:rPr>
              <w:t>and</w:t>
            </w:r>
            <w:r>
              <w:rPr>
                <w:spacing w:val="-2"/>
                <w:sz w:val="18"/>
              </w:rPr>
              <w:t xml:space="preserve"> </w:t>
            </w:r>
            <w:r>
              <w:rPr>
                <w:sz w:val="18"/>
              </w:rPr>
              <w:t>studies</w:t>
            </w:r>
            <w:r>
              <w:rPr>
                <w:spacing w:val="-2"/>
                <w:sz w:val="18"/>
              </w:rPr>
              <w:t xml:space="preserve"> </w:t>
            </w:r>
            <w:r>
              <w:rPr>
                <w:sz w:val="18"/>
              </w:rPr>
              <w:t>on</w:t>
            </w:r>
            <w:r>
              <w:rPr>
                <w:spacing w:val="-3"/>
                <w:sz w:val="18"/>
              </w:rPr>
              <w:t xml:space="preserve"> </w:t>
            </w:r>
            <w:r>
              <w:rPr>
                <w:sz w:val="18"/>
              </w:rPr>
              <w:t>gender-</w:t>
            </w:r>
            <w:r>
              <w:rPr>
                <w:spacing w:val="-2"/>
                <w:sz w:val="18"/>
              </w:rPr>
              <w:t xml:space="preserve"> </w:t>
            </w:r>
            <w:r>
              <w:rPr>
                <w:sz w:val="18"/>
              </w:rPr>
              <w:t>and</w:t>
            </w:r>
            <w:r>
              <w:rPr>
                <w:spacing w:val="-2"/>
                <w:sz w:val="18"/>
              </w:rPr>
              <w:t xml:space="preserve"> </w:t>
            </w:r>
            <w:r>
              <w:rPr>
                <w:sz w:val="18"/>
              </w:rPr>
              <w:t>vulnerable</w:t>
            </w:r>
            <w:r>
              <w:rPr>
                <w:spacing w:val="-2"/>
                <w:sz w:val="18"/>
              </w:rPr>
              <w:t xml:space="preserve"> </w:t>
            </w:r>
            <w:r>
              <w:rPr>
                <w:sz w:val="18"/>
              </w:rPr>
              <w:t>group-responsive</w:t>
            </w:r>
            <w:r>
              <w:rPr>
                <w:spacing w:val="-3"/>
                <w:sz w:val="18"/>
              </w:rPr>
              <w:t xml:space="preserve"> </w:t>
            </w:r>
            <w:r>
              <w:rPr>
                <w:sz w:val="18"/>
              </w:rPr>
              <w:t>basic</w:t>
            </w:r>
            <w:r>
              <w:rPr>
                <w:spacing w:val="-2"/>
                <w:sz w:val="18"/>
              </w:rPr>
              <w:t xml:space="preserve"> services.</w:t>
            </w:r>
          </w:p>
          <w:p w14:paraId="0A08D0D8" w14:textId="77777777" w:rsidR="00BC24A8" w:rsidRDefault="00000000">
            <w:pPr>
              <w:pStyle w:val="TableParagraph"/>
              <w:numPr>
                <w:ilvl w:val="0"/>
                <w:numId w:val="125"/>
              </w:numPr>
              <w:tabs>
                <w:tab w:val="left" w:pos="453"/>
              </w:tabs>
              <w:spacing w:before="1"/>
              <w:rPr>
                <w:sz w:val="18"/>
              </w:rPr>
            </w:pPr>
            <w:r>
              <w:rPr>
                <w:sz w:val="18"/>
              </w:rPr>
              <w:t>Integration</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PENTAGON</w:t>
            </w:r>
            <w:r>
              <w:rPr>
                <w:spacing w:val="-2"/>
                <w:sz w:val="18"/>
              </w:rPr>
              <w:t xml:space="preserve"> </w:t>
            </w:r>
            <w:r>
              <w:rPr>
                <w:sz w:val="18"/>
              </w:rPr>
              <w:t>Portal</w:t>
            </w:r>
            <w:r>
              <w:rPr>
                <w:spacing w:val="-1"/>
                <w:sz w:val="18"/>
              </w:rPr>
              <w:t xml:space="preserve"> </w:t>
            </w:r>
            <w:r>
              <w:rPr>
                <w:sz w:val="18"/>
              </w:rPr>
              <w:t>with</w:t>
            </w:r>
            <w:r>
              <w:rPr>
                <w:spacing w:val="-2"/>
                <w:sz w:val="18"/>
              </w:rPr>
              <w:t xml:space="preserve"> </w:t>
            </w:r>
            <w:r>
              <w:rPr>
                <w:sz w:val="18"/>
              </w:rPr>
              <w:t>the</w:t>
            </w:r>
            <w:r>
              <w:rPr>
                <w:spacing w:val="-3"/>
                <w:sz w:val="18"/>
              </w:rPr>
              <w:t xml:space="preserve"> </w:t>
            </w:r>
            <w:r>
              <w:rPr>
                <w:sz w:val="18"/>
              </w:rPr>
              <w:t>SDPDN</w:t>
            </w:r>
            <w:r>
              <w:rPr>
                <w:spacing w:val="-1"/>
                <w:sz w:val="18"/>
              </w:rPr>
              <w:t xml:space="preserve"> </w:t>
            </w:r>
            <w:r>
              <w:rPr>
                <w:spacing w:val="-2"/>
                <w:sz w:val="18"/>
              </w:rPr>
              <w:t>Portal.</w:t>
            </w:r>
          </w:p>
          <w:p w14:paraId="0F409AC1" w14:textId="77777777" w:rsidR="00BC24A8" w:rsidRDefault="00000000">
            <w:pPr>
              <w:pStyle w:val="TableParagraph"/>
              <w:spacing w:before="59"/>
              <w:ind w:left="122"/>
              <w:rPr>
                <w:sz w:val="18"/>
              </w:rPr>
            </w:pPr>
            <w:r>
              <w:rPr>
                <w:sz w:val="18"/>
              </w:rPr>
              <w:t>Capacity</w:t>
            </w:r>
            <w:r>
              <w:rPr>
                <w:spacing w:val="-3"/>
                <w:sz w:val="18"/>
              </w:rPr>
              <w:t xml:space="preserve"> </w:t>
            </w:r>
            <w:r>
              <w:rPr>
                <w:sz w:val="18"/>
              </w:rPr>
              <w:t>has</w:t>
            </w:r>
            <w:r>
              <w:rPr>
                <w:spacing w:val="-3"/>
                <w:sz w:val="18"/>
              </w:rPr>
              <w:t xml:space="preserve"> </w:t>
            </w:r>
            <w:r>
              <w:rPr>
                <w:sz w:val="18"/>
              </w:rPr>
              <w:t>been</w:t>
            </w:r>
            <w:r>
              <w:rPr>
                <w:spacing w:val="-3"/>
                <w:sz w:val="18"/>
              </w:rPr>
              <w:t xml:space="preserve"> </w:t>
            </w:r>
            <w:r>
              <w:rPr>
                <w:sz w:val="18"/>
              </w:rPr>
              <w:t>strengthened,</w:t>
            </w:r>
            <w:r>
              <w:rPr>
                <w:spacing w:val="-4"/>
                <w:sz w:val="18"/>
              </w:rPr>
              <w:t xml:space="preserve"> </w:t>
            </w:r>
            <w:r>
              <w:rPr>
                <w:sz w:val="18"/>
              </w:rPr>
              <w:t>and</w:t>
            </w:r>
            <w:r>
              <w:rPr>
                <w:spacing w:val="-3"/>
                <w:sz w:val="18"/>
              </w:rPr>
              <w:t xml:space="preserve"> </w:t>
            </w:r>
            <w:r>
              <w:rPr>
                <w:sz w:val="18"/>
              </w:rPr>
              <w:t>new</w:t>
            </w:r>
            <w:r>
              <w:rPr>
                <w:spacing w:val="-4"/>
                <w:sz w:val="18"/>
              </w:rPr>
              <w:t xml:space="preserve"> </w:t>
            </w:r>
            <w:r>
              <w:rPr>
                <w:sz w:val="18"/>
              </w:rPr>
              <w:t>practices</w:t>
            </w:r>
            <w:r>
              <w:rPr>
                <w:spacing w:val="-3"/>
                <w:sz w:val="18"/>
              </w:rPr>
              <w:t xml:space="preserve"> </w:t>
            </w:r>
            <w:r>
              <w:rPr>
                <w:sz w:val="18"/>
              </w:rPr>
              <w:t>introduced</w:t>
            </w:r>
            <w:r>
              <w:rPr>
                <w:spacing w:val="-3"/>
                <w:sz w:val="18"/>
              </w:rPr>
              <w:t xml:space="preserve"> </w:t>
            </w:r>
            <w:r>
              <w:rPr>
                <w:sz w:val="18"/>
              </w:rPr>
              <w:t>(models,</w:t>
            </w:r>
            <w:r>
              <w:rPr>
                <w:spacing w:val="-4"/>
                <w:sz w:val="18"/>
              </w:rPr>
              <w:t xml:space="preserve"> </w:t>
            </w:r>
            <w:r>
              <w:rPr>
                <w:sz w:val="18"/>
              </w:rPr>
              <w:t>initiatives,</w:t>
            </w:r>
            <w:r>
              <w:rPr>
                <w:spacing w:val="-4"/>
                <w:sz w:val="18"/>
              </w:rPr>
              <w:t xml:space="preserve"> </w:t>
            </w:r>
            <w:r>
              <w:rPr>
                <w:sz w:val="18"/>
              </w:rPr>
              <w:t>ways</w:t>
            </w:r>
            <w:r>
              <w:rPr>
                <w:spacing w:val="-3"/>
                <w:sz w:val="18"/>
              </w:rPr>
              <w:t xml:space="preserve"> </w:t>
            </w:r>
            <w:r>
              <w:rPr>
                <w:sz w:val="18"/>
              </w:rPr>
              <w:t>of</w:t>
            </w:r>
            <w:r>
              <w:rPr>
                <w:spacing w:val="-4"/>
                <w:sz w:val="18"/>
              </w:rPr>
              <w:t xml:space="preserve"> </w:t>
            </w:r>
            <w:r>
              <w:rPr>
                <w:sz w:val="18"/>
              </w:rPr>
              <w:t>working, approaches,</w:t>
            </w:r>
            <w:r>
              <w:rPr>
                <w:spacing w:val="-2"/>
                <w:sz w:val="18"/>
              </w:rPr>
              <w:t xml:space="preserve"> </w:t>
            </w:r>
            <w:r>
              <w:rPr>
                <w:sz w:val="18"/>
              </w:rPr>
              <w:t>innovations):</w:t>
            </w:r>
          </w:p>
          <w:p w14:paraId="3C7D9F00" w14:textId="77777777" w:rsidR="00BC24A8" w:rsidRDefault="00000000">
            <w:pPr>
              <w:pStyle w:val="TableParagraph"/>
              <w:numPr>
                <w:ilvl w:val="0"/>
                <w:numId w:val="125"/>
              </w:numPr>
              <w:tabs>
                <w:tab w:val="left" w:pos="453"/>
              </w:tabs>
              <w:spacing w:before="60" w:line="219" w:lineRule="exact"/>
              <w:rPr>
                <w:sz w:val="18"/>
              </w:rPr>
            </w:pPr>
            <w:r>
              <w:rPr>
                <w:sz w:val="18"/>
              </w:rPr>
              <w:t>Two</w:t>
            </w:r>
            <w:r>
              <w:rPr>
                <w:spacing w:val="-4"/>
                <w:sz w:val="18"/>
              </w:rPr>
              <w:t xml:space="preserve"> </w:t>
            </w:r>
            <w:r>
              <w:rPr>
                <w:sz w:val="18"/>
              </w:rPr>
              <w:t>provincial</w:t>
            </w:r>
            <w:r>
              <w:rPr>
                <w:spacing w:val="-1"/>
                <w:sz w:val="18"/>
              </w:rPr>
              <w:t xml:space="preserve"> </w:t>
            </w:r>
            <w:r>
              <w:rPr>
                <w:sz w:val="18"/>
              </w:rPr>
              <w:t>agencies</w:t>
            </w:r>
            <w:r>
              <w:rPr>
                <w:spacing w:val="-2"/>
                <w:sz w:val="18"/>
              </w:rPr>
              <w:t xml:space="preserve"> </w:t>
            </w:r>
            <w:r>
              <w:rPr>
                <w:sz w:val="18"/>
              </w:rPr>
              <w:t>received</w:t>
            </w:r>
            <w:r>
              <w:rPr>
                <w:spacing w:val="-5"/>
                <w:sz w:val="18"/>
              </w:rPr>
              <w:t xml:space="preserve"> </w:t>
            </w:r>
            <w:r>
              <w:rPr>
                <w:sz w:val="18"/>
              </w:rPr>
              <w:t>sectoral</w:t>
            </w:r>
            <w:r>
              <w:rPr>
                <w:spacing w:val="-1"/>
                <w:sz w:val="18"/>
              </w:rPr>
              <w:t xml:space="preserve"> </w:t>
            </w:r>
            <w:r>
              <w:rPr>
                <w:sz w:val="18"/>
              </w:rPr>
              <w:t>statistical</w:t>
            </w:r>
            <w:r>
              <w:rPr>
                <w:spacing w:val="-4"/>
                <w:sz w:val="18"/>
              </w:rPr>
              <w:t xml:space="preserve"> </w:t>
            </w:r>
            <w:r>
              <w:rPr>
                <w:spacing w:val="-2"/>
                <w:sz w:val="18"/>
              </w:rPr>
              <w:t>coaching.</w:t>
            </w:r>
          </w:p>
          <w:p w14:paraId="3A49A861" w14:textId="77777777" w:rsidR="00BC24A8" w:rsidRDefault="00000000">
            <w:pPr>
              <w:pStyle w:val="TableParagraph"/>
              <w:numPr>
                <w:ilvl w:val="0"/>
                <w:numId w:val="125"/>
              </w:numPr>
              <w:tabs>
                <w:tab w:val="left" w:pos="453"/>
              </w:tabs>
              <w:ind w:right="604" w:hanging="361"/>
              <w:rPr>
                <w:sz w:val="18"/>
              </w:rPr>
            </w:pPr>
            <w:r>
              <w:rPr>
                <w:sz w:val="18"/>
              </w:rPr>
              <w:t>Two</w:t>
            </w:r>
            <w:r>
              <w:rPr>
                <w:spacing w:val="-4"/>
                <w:sz w:val="18"/>
              </w:rPr>
              <w:t xml:space="preserve"> </w:t>
            </w:r>
            <w:r>
              <w:rPr>
                <w:sz w:val="18"/>
              </w:rPr>
              <w:t>civil</w:t>
            </w:r>
            <w:r>
              <w:rPr>
                <w:spacing w:val="-2"/>
                <w:sz w:val="18"/>
              </w:rPr>
              <w:t xml:space="preserve"> </w:t>
            </w:r>
            <w:r>
              <w:rPr>
                <w:sz w:val="18"/>
              </w:rPr>
              <w:t>servants</w:t>
            </w:r>
            <w:r>
              <w:rPr>
                <w:spacing w:val="-3"/>
                <w:sz w:val="18"/>
              </w:rPr>
              <w:t xml:space="preserve"> </w:t>
            </w:r>
            <w:r>
              <w:rPr>
                <w:sz w:val="18"/>
              </w:rPr>
              <w:t>served</w:t>
            </w:r>
            <w:r>
              <w:rPr>
                <w:spacing w:val="-3"/>
                <w:sz w:val="18"/>
              </w:rPr>
              <w:t xml:space="preserve"> </w:t>
            </w:r>
            <w:r>
              <w:rPr>
                <w:sz w:val="18"/>
              </w:rPr>
              <w:t>as</w:t>
            </w:r>
            <w:r>
              <w:rPr>
                <w:spacing w:val="-3"/>
                <w:sz w:val="18"/>
              </w:rPr>
              <w:t xml:space="preserve"> </w:t>
            </w:r>
            <w:r>
              <w:rPr>
                <w:sz w:val="18"/>
              </w:rPr>
              <w:t>facilitators</w:t>
            </w:r>
            <w:r>
              <w:rPr>
                <w:spacing w:val="-3"/>
                <w:sz w:val="18"/>
              </w:rPr>
              <w:t xml:space="preserve"> </w:t>
            </w:r>
            <w:r>
              <w:rPr>
                <w:sz w:val="18"/>
              </w:rPr>
              <w:t>for</w:t>
            </w:r>
            <w:r>
              <w:rPr>
                <w:spacing w:val="-3"/>
                <w:sz w:val="18"/>
              </w:rPr>
              <w:t xml:space="preserve"> </w:t>
            </w:r>
            <w:r>
              <w:rPr>
                <w:sz w:val="18"/>
              </w:rPr>
              <w:t>evaluating</w:t>
            </w:r>
            <w:r>
              <w:rPr>
                <w:spacing w:val="-4"/>
                <w:sz w:val="18"/>
              </w:rPr>
              <w:t xml:space="preserve"> </w:t>
            </w:r>
            <w:r>
              <w:rPr>
                <w:sz w:val="18"/>
              </w:rPr>
              <w:t>the</w:t>
            </w:r>
            <w:r>
              <w:rPr>
                <w:spacing w:val="-3"/>
                <w:sz w:val="18"/>
              </w:rPr>
              <w:t xml:space="preserve"> </w:t>
            </w:r>
            <w:r>
              <w:rPr>
                <w:sz w:val="18"/>
              </w:rPr>
              <w:t>alignment</w:t>
            </w:r>
            <w:r>
              <w:rPr>
                <w:spacing w:val="-2"/>
                <w:sz w:val="18"/>
              </w:rPr>
              <w:t xml:space="preserve"> </w:t>
            </w:r>
            <w:r>
              <w:rPr>
                <w:sz w:val="18"/>
              </w:rPr>
              <w:t>of</w:t>
            </w:r>
            <w:r>
              <w:rPr>
                <w:spacing w:val="-4"/>
                <w:sz w:val="18"/>
              </w:rPr>
              <w:t xml:space="preserve"> </w:t>
            </w:r>
            <w:r>
              <w:rPr>
                <w:sz w:val="18"/>
              </w:rPr>
              <w:t>district/city</w:t>
            </w:r>
            <w:r>
              <w:rPr>
                <w:spacing w:val="-6"/>
                <w:sz w:val="18"/>
              </w:rPr>
              <w:t xml:space="preserve"> </w:t>
            </w:r>
            <w:r>
              <w:rPr>
                <w:sz w:val="18"/>
              </w:rPr>
              <w:t>KUA-PPAS documents with KEM-PPKF.</w:t>
            </w:r>
          </w:p>
          <w:p w14:paraId="36CD61DD" w14:textId="77777777" w:rsidR="00BC24A8" w:rsidRDefault="00000000">
            <w:pPr>
              <w:pStyle w:val="TableParagraph"/>
              <w:numPr>
                <w:ilvl w:val="0"/>
                <w:numId w:val="125"/>
              </w:numPr>
              <w:tabs>
                <w:tab w:val="left" w:pos="453"/>
              </w:tabs>
              <w:spacing w:before="1"/>
              <w:ind w:right="282" w:hanging="361"/>
              <w:rPr>
                <w:sz w:val="18"/>
              </w:rPr>
            </w:pPr>
            <w:r>
              <w:rPr>
                <w:sz w:val="18"/>
              </w:rPr>
              <w:t>Thirty-two</w:t>
            </w:r>
            <w:r>
              <w:rPr>
                <w:spacing w:val="-5"/>
                <w:sz w:val="18"/>
              </w:rPr>
              <w:t xml:space="preserve"> </w:t>
            </w:r>
            <w:r>
              <w:rPr>
                <w:sz w:val="18"/>
              </w:rPr>
              <w:t>members</w:t>
            </w:r>
            <w:r>
              <w:rPr>
                <w:spacing w:val="-4"/>
                <w:sz w:val="18"/>
              </w:rPr>
              <w:t xml:space="preserve"> </w:t>
            </w:r>
            <w:r>
              <w:rPr>
                <w:sz w:val="18"/>
              </w:rPr>
              <w:t>of</w:t>
            </w:r>
            <w:r>
              <w:rPr>
                <w:spacing w:val="-5"/>
                <w:sz w:val="18"/>
              </w:rPr>
              <w:t xml:space="preserve"> </w:t>
            </w:r>
            <w:r>
              <w:rPr>
                <w:sz w:val="18"/>
              </w:rPr>
              <w:t>district/city</w:t>
            </w:r>
            <w:r>
              <w:rPr>
                <w:spacing w:val="-4"/>
                <w:sz w:val="18"/>
              </w:rPr>
              <w:t xml:space="preserve"> </w:t>
            </w:r>
            <w:r>
              <w:rPr>
                <w:sz w:val="18"/>
              </w:rPr>
              <w:t>KUA-PPAS</w:t>
            </w:r>
            <w:r>
              <w:rPr>
                <w:spacing w:val="-4"/>
                <w:sz w:val="18"/>
              </w:rPr>
              <w:t xml:space="preserve"> </w:t>
            </w:r>
            <w:r>
              <w:rPr>
                <w:sz w:val="18"/>
              </w:rPr>
              <w:t>design</w:t>
            </w:r>
            <w:r>
              <w:rPr>
                <w:spacing w:val="-4"/>
                <w:sz w:val="18"/>
              </w:rPr>
              <w:t xml:space="preserve"> </w:t>
            </w:r>
            <w:r>
              <w:rPr>
                <w:sz w:val="18"/>
              </w:rPr>
              <w:t>teams</w:t>
            </w:r>
            <w:r>
              <w:rPr>
                <w:spacing w:val="-4"/>
                <w:sz w:val="18"/>
              </w:rPr>
              <w:t xml:space="preserve"> </w:t>
            </w:r>
            <w:r>
              <w:rPr>
                <w:sz w:val="18"/>
              </w:rPr>
              <w:t>received</w:t>
            </w:r>
            <w:r>
              <w:rPr>
                <w:spacing w:val="-4"/>
                <w:sz w:val="18"/>
              </w:rPr>
              <w:t xml:space="preserve"> </w:t>
            </w:r>
            <w:r>
              <w:rPr>
                <w:sz w:val="18"/>
              </w:rPr>
              <w:t>provincial-level</w:t>
            </w:r>
            <w:r>
              <w:rPr>
                <w:spacing w:val="-3"/>
                <w:sz w:val="18"/>
              </w:rPr>
              <w:t xml:space="preserve"> </w:t>
            </w:r>
            <w:r>
              <w:rPr>
                <w:sz w:val="18"/>
              </w:rPr>
              <w:t>socialisation on aligning KUA-PPAS with KEM-PPKF.</w:t>
            </w:r>
          </w:p>
          <w:p w14:paraId="00301FD9" w14:textId="77777777" w:rsidR="00BC24A8" w:rsidRDefault="00000000">
            <w:pPr>
              <w:pStyle w:val="TableParagraph"/>
              <w:numPr>
                <w:ilvl w:val="0"/>
                <w:numId w:val="125"/>
              </w:numPr>
              <w:tabs>
                <w:tab w:val="left" w:pos="453"/>
              </w:tabs>
              <w:ind w:right="569"/>
              <w:rPr>
                <w:sz w:val="18"/>
              </w:rPr>
            </w:pPr>
            <w:r>
              <w:rPr>
                <w:sz w:val="18"/>
              </w:rPr>
              <w:t>Eight</w:t>
            </w:r>
            <w:r>
              <w:rPr>
                <w:spacing w:val="-2"/>
                <w:sz w:val="18"/>
              </w:rPr>
              <w:t xml:space="preserve"> </w:t>
            </w:r>
            <w:r>
              <w:rPr>
                <w:sz w:val="18"/>
              </w:rPr>
              <w:t>provincial</w:t>
            </w:r>
            <w:r>
              <w:rPr>
                <w:spacing w:val="-2"/>
                <w:sz w:val="18"/>
              </w:rPr>
              <w:t xml:space="preserve"> </w:t>
            </w:r>
            <w:r>
              <w:rPr>
                <w:sz w:val="18"/>
              </w:rPr>
              <w:t>agencies,</w:t>
            </w:r>
            <w:r>
              <w:rPr>
                <w:spacing w:val="-4"/>
                <w:sz w:val="18"/>
              </w:rPr>
              <w:t xml:space="preserve"> </w:t>
            </w:r>
            <w:r>
              <w:rPr>
                <w:sz w:val="18"/>
              </w:rPr>
              <w:t>sixteen</w:t>
            </w:r>
            <w:r>
              <w:rPr>
                <w:spacing w:val="-6"/>
                <w:sz w:val="18"/>
              </w:rPr>
              <w:t xml:space="preserve"> </w:t>
            </w:r>
            <w:r>
              <w:rPr>
                <w:sz w:val="18"/>
              </w:rPr>
              <w:t>CSOs,</w:t>
            </w:r>
            <w:r>
              <w:rPr>
                <w:spacing w:val="-4"/>
                <w:sz w:val="18"/>
              </w:rPr>
              <w:t xml:space="preserve"> </w:t>
            </w:r>
            <w:r>
              <w:rPr>
                <w:sz w:val="18"/>
              </w:rPr>
              <w:t>and</w:t>
            </w:r>
            <w:r>
              <w:rPr>
                <w:spacing w:val="-3"/>
                <w:sz w:val="18"/>
              </w:rPr>
              <w:t xml:space="preserve"> </w:t>
            </w:r>
            <w:r>
              <w:rPr>
                <w:sz w:val="18"/>
              </w:rPr>
              <w:t>two</w:t>
            </w:r>
            <w:r>
              <w:rPr>
                <w:spacing w:val="-4"/>
                <w:sz w:val="18"/>
              </w:rPr>
              <w:t xml:space="preserve"> </w:t>
            </w:r>
            <w:r>
              <w:rPr>
                <w:sz w:val="18"/>
              </w:rPr>
              <w:t>academics</w:t>
            </w:r>
            <w:r>
              <w:rPr>
                <w:spacing w:val="-3"/>
                <w:sz w:val="18"/>
              </w:rPr>
              <w:t xml:space="preserve"> </w:t>
            </w:r>
            <w:r>
              <w:rPr>
                <w:sz w:val="18"/>
              </w:rPr>
              <w:t>were</w:t>
            </w:r>
            <w:r>
              <w:rPr>
                <w:spacing w:val="-3"/>
                <w:sz w:val="18"/>
              </w:rPr>
              <w:t xml:space="preserve"> </w:t>
            </w:r>
            <w:r>
              <w:rPr>
                <w:sz w:val="18"/>
              </w:rPr>
              <w:t>trained</w:t>
            </w:r>
            <w:r>
              <w:rPr>
                <w:spacing w:val="-3"/>
                <w:sz w:val="18"/>
              </w:rPr>
              <w:t xml:space="preserve"> </w:t>
            </w:r>
            <w:r>
              <w:rPr>
                <w:sz w:val="18"/>
              </w:rPr>
              <w:t>on</w:t>
            </w:r>
            <w:r>
              <w:rPr>
                <w:spacing w:val="-3"/>
                <w:sz w:val="18"/>
              </w:rPr>
              <w:t xml:space="preserve"> </w:t>
            </w:r>
            <w:r>
              <w:rPr>
                <w:sz w:val="18"/>
              </w:rPr>
              <w:t>data</w:t>
            </w:r>
            <w:r>
              <w:rPr>
                <w:spacing w:val="-4"/>
                <w:sz w:val="18"/>
              </w:rPr>
              <w:t xml:space="preserve"> </w:t>
            </w:r>
            <w:r>
              <w:rPr>
                <w:sz w:val="18"/>
              </w:rPr>
              <w:t>analysis</w:t>
            </w:r>
            <w:r>
              <w:rPr>
                <w:spacing w:val="-3"/>
                <w:sz w:val="18"/>
              </w:rPr>
              <w:t xml:space="preserve"> </w:t>
            </w:r>
            <w:r>
              <w:rPr>
                <w:sz w:val="18"/>
              </w:rPr>
              <w:t xml:space="preserve">and </w:t>
            </w:r>
            <w:r>
              <w:rPr>
                <w:spacing w:val="-2"/>
                <w:sz w:val="18"/>
              </w:rPr>
              <w:t>advocacy.</w:t>
            </w:r>
          </w:p>
        </w:tc>
      </w:tr>
      <w:tr w:rsidR="00BC24A8" w14:paraId="0731040F" w14:textId="77777777">
        <w:trPr>
          <w:trHeight w:val="2430"/>
        </w:trPr>
        <w:tc>
          <w:tcPr>
            <w:tcW w:w="1343" w:type="dxa"/>
            <w:tcBorders>
              <w:top w:val="single" w:sz="4" w:space="0" w:color="BEBEBE"/>
              <w:bottom w:val="single" w:sz="4" w:space="0" w:color="BEBEBE"/>
            </w:tcBorders>
          </w:tcPr>
          <w:p w14:paraId="7FA96A0C" w14:textId="77777777" w:rsidR="00BC24A8" w:rsidRDefault="00000000">
            <w:pPr>
              <w:pStyle w:val="TableParagraph"/>
              <w:spacing w:before="116"/>
              <w:ind w:left="116"/>
              <w:rPr>
                <w:sz w:val="18"/>
              </w:rPr>
            </w:pPr>
            <w:r>
              <w:rPr>
                <w:spacing w:val="-2"/>
                <w:sz w:val="18"/>
              </w:rPr>
              <w:t>Ecosystemic</w:t>
            </w:r>
            <w:r>
              <w:rPr>
                <w:sz w:val="18"/>
              </w:rPr>
              <w:t xml:space="preserve"> </w:t>
            </w:r>
            <w:r>
              <w:rPr>
                <w:spacing w:val="-2"/>
                <w:sz w:val="18"/>
              </w:rPr>
              <w:t>Impact</w:t>
            </w:r>
          </w:p>
        </w:tc>
        <w:tc>
          <w:tcPr>
            <w:tcW w:w="7756" w:type="dxa"/>
            <w:tcBorders>
              <w:top w:val="single" w:sz="4" w:space="0" w:color="BEBEBE"/>
              <w:bottom w:val="single" w:sz="4" w:space="0" w:color="BEBEBE"/>
            </w:tcBorders>
          </w:tcPr>
          <w:p w14:paraId="21565A07" w14:textId="77777777" w:rsidR="00BC24A8" w:rsidRDefault="00000000">
            <w:pPr>
              <w:pStyle w:val="TableParagraph"/>
              <w:spacing w:before="119"/>
              <w:ind w:left="121"/>
              <w:rPr>
                <w:sz w:val="18"/>
              </w:rPr>
            </w:pPr>
            <w:r>
              <w:rPr>
                <w:sz w:val="18"/>
              </w:rPr>
              <w:t>Policies</w:t>
            </w:r>
            <w:r>
              <w:rPr>
                <w:spacing w:val="-1"/>
                <w:sz w:val="18"/>
              </w:rPr>
              <w:t xml:space="preserve"> </w:t>
            </w:r>
            <w:r>
              <w:rPr>
                <w:sz w:val="18"/>
              </w:rPr>
              <w:t xml:space="preserve">and </w:t>
            </w:r>
            <w:r>
              <w:rPr>
                <w:spacing w:val="-2"/>
                <w:sz w:val="18"/>
              </w:rPr>
              <w:t>regulations:</w:t>
            </w:r>
          </w:p>
          <w:p w14:paraId="08C88834" w14:textId="77777777" w:rsidR="00BC24A8" w:rsidRDefault="00000000">
            <w:pPr>
              <w:pStyle w:val="TableParagraph"/>
              <w:numPr>
                <w:ilvl w:val="0"/>
                <w:numId w:val="124"/>
              </w:numPr>
              <w:tabs>
                <w:tab w:val="left" w:pos="452"/>
              </w:tabs>
              <w:spacing w:before="58"/>
              <w:ind w:hanging="359"/>
              <w:rPr>
                <w:sz w:val="18"/>
              </w:rPr>
            </w:pPr>
            <w:r>
              <w:rPr>
                <w:sz w:val="18"/>
              </w:rPr>
              <w:t>Final</w:t>
            </w:r>
            <w:r>
              <w:rPr>
                <w:spacing w:val="-1"/>
                <w:sz w:val="18"/>
              </w:rPr>
              <w:t xml:space="preserve"> </w:t>
            </w:r>
            <w:r>
              <w:rPr>
                <w:sz w:val="18"/>
              </w:rPr>
              <w:t>draft of</w:t>
            </w:r>
            <w:r>
              <w:rPr>
                <w:spacing w:val="-3"/>
                <w:sz w:val="18"/>
              </w:rPr>
              <w:t xml:space="preserve"> </w:t>
            </w:r>
            <w:r>
              <w:rPr>
                <w:sz w:val="18"/>
              </w:rPr>
              <w:t>the</w:t>
            </w:r>
            <w:r>
              <w:rPr>
                <w:spacing w:val="-1"/>
                <w:sz w:val="18"/>
              </w:rPr>
              <w:t xml:space="preserve"> </w:t>
            </w:r>
            <w:r>
              <w:rPr>
                <w:sz w:val="18"/>
              </w:rPr>
              <w:t>2025–2029</w:t>
            </w:r>
            <w:r>
              <w:rPr>
                <w:spacing w:val="-1"/>
                <w:sz w:val="18"/>
              </w:rPr>
              <w:t xml:space="preserve"> </w:t>
            </w:r>
            <w:r>
              <w:rPr>
                <w:spacing w:val="-2"/>
                <w:sz w:val="18"/>
              </w:rPr>
              <w:t>RPJMD.</w:t>
            </w:r>
          </w:p>
          <w:p w14:paraId="101DD536" w14:textId="77777777" w:rsidR="00BC24A8" w:rsidRDefault="00000000">
            <w:pPr>
              <w:pStyle w:val="TableParagraph"/>
              <w:numPr>
                <w:ilvl w:val="0"/>
                <w:numId w:val="124"/>
              </w:numPr>
              <w:tabs>
                <w:tab w:val="left" w:pos="452"/>
              </w:tabs>
              <w:spacing w:before="2"/>
              <w:ind w:right="527"/>
              <w:rPr>
                <w:sz w:val="18"/>
              </w:rPr>
            </w:pPr>
            <w:r>
              <w:rPr>
                <w:sz w:val="18"/>
              </w:rPr>
              <w:t>Gorontalo</w:t>
            </w:r>
            <w:r>
              <w:rPr>
                <w:spacing w:val="-3"/>
                <w:sz w:val="18"/>
              </w:rPr>
              <w:t xml:space="preserve"> </w:t>
            </w:r>
            <w:r>
              <w:rPr>
                <w:sz w:val="18"/>
              </w:rPr>
              <w:t>Governor</w:t>
            </w:r>
            <w:r>
              <w:rPr>
                <w:spacing w:val="-3"/>
                <w:sz w:val="18"/>
              </w:rPr>
              <w:t xml:space="preserve"> </w:t>
            </w:r>
            <w:r>
              <w:rPr>
                <w:sz w:val="18"/>
              </w:rPr>
              <w:t>Regulation</w:t>
            </w:r>
            <w:r>
              <w:rPr>
                <w:spacing w:val="-3"/>
                <w:sz w:val="18"/>
              </w:rPr>
              <w:t xml:space="preserve"> </w:t>
            </w:r>
            <w:r>
              <w:rPr>
                <w:sz w:val="18"/>
              </w:rPr>
              <w:t>No.</w:t>
            </w:r>
            <w:r>
              <w:rPr>
                <w:spacing w:val="-3"/>
                <w:sz w:val="18"/>
              </w:rPr>
              <w:t xml:space="preserve"> </w:t>
            </w:r>
            <w:r>
              <w:rPr>
                <w:sz w:val="18"/>
              </w:rPr>
              <w:t>29</w:t>
            </w:r>
            <w:r>
              <w:rPr>
                <w:spacing w:val="-3"/>
                <w:sz w:val="18"/>
              </w:rPr>
              <w:t xml:space="preserve"> </w:t>
            </w:r>
            <w:r>
              <w:rPr>
                <w:sz w:val="18"/>
              </w:rPr>
              <w:t>of</w:t>
            </w:r>
            <w:r>
              <w:rPr>
                <w:spacing w:val="-3"/>
                <w:sz w:val="18"/>
              </w:rPr>
              <w:t xml:space="preserve"> </w:t>
            </w:r>
            <w:r>
              <w:rPr>
                <w:sz w:val="18"/>
              </w:rPr>
              <w:t>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Implementation</w:t>
            </w:r>
            <w:r>
              <w:rPr>
                <w:spacing w:val="-3"/>
                <w:sz w:val="18"/>
              </w:rPr>
              <w:t xml:space="preserve"> </w:t>
            </w:r>
            <w:r>
              <w:rPr>
                <w:sz w:val="18"/>
              </w:rPr>
              <w:t>of</w:t>
            </w:r>
            <w:r>
              <w:rPr>
                <w:spacing w:val="-3"/>
                <w:sz w:val="18"/>
              </w:rPr>
              <w:t xml:space="preserve"> </w:t>
            </w:r>
            <w:r>
              <w:rPr>
                <w:sz w:val="18"/>
              </w:rPr>
              <w:t>Sectoral</w:t>
            </w:r>
            <w:r>
              <w:rPr>
                <w:spacing w:val="-2"/>
                <w:sz w:val="18"/>
              </w:rPr>
              <w:t xml:space="preserve"> </w:t>
            </w:r>
            <w:r>
              <w:rPr>
                <w:sz w:val="18"/>
              </w:rPr>
              <w:t>Statistics</w:t>
            </w:r>
            <w:r>
              <w:rPr>
                <w:spacing w:val="-5"/>
                <w:sz w:val="18"/>
              </w:rPr>
              <w:t xml:space="preserve"> </w:t>
            </w:r>
            <w:r>
              <w:rPr>
                <w:sz w:val="18"/>
              </w:rPr>
              <w:t>in Gorontalo Local Government.</w:t>
            </w:r>
          </w:p>
          <w:p w14:paraId="6389336F" w14:textId="77777777" w:rsidR="00BC24A8" w:rsidRDefault="00000000">
            <w:pPr>
              <w:pStyle w:val="TableParagraph"/>
              <w:numPr>
                <w:ilvl w:val="0"/>
                <w:numId w:val="124"/>
              </w:numPr>
              <w:tabs>
                <w:tab w:val="left" w:pos="452"/>
              </w:tabs>
              <w:spacing w:line="219" w:lineRule="exact"/>
              <w:rPr>
                <w:sz w:val="18"/>
              </w:rPr>
            </w:pPr>
            <w:r>
              <w:rPr>
                <w:sz w:val="18"/>
              </w:rPr>
              <w:t>FY</w:t>
            </w:r>
            <w:r>
              <w:rPr>
                <w:spacing w:val="-5"/>
                <w:sz w:val="18"/>
              </w:rPr>
              <w:t xml:space="preserve"> </w:t>
            </w:r>
            <w:r>
              <w:rPr>
                <w:sz w:val="18"/>
              </w:rPr>
              <w:t>2025</w:t>
            </w:r>
            <w:r>
              <w:rPr>
                <w:spacing w:val="-1"/>
                <w:sz w:val="18"/>
              </w:rPr>
              <w:t xml:space="preserve"> </w:t>
            </w:r>
            <w:r>
              <w:rPr>
                <w:sz w:val="18"/>
              </w:rPr>
              <w:t>budget</w:t>
            </w:r>
            <w:r>
              <w:rPr>
                <w:spacing w:val="-1"/>
                <w:sz w:val="18"/>
              </w:rPr>
              <w:t xml:space="preserve"> </w:t>
            </w:r>
            <w:r>
              <w:rPr>
                <w:sz w:val="18"/>
              </w:rPr>
              <w:t>of</w:t>
            </w:r>
            <w:r>
              <w:rPr>
                <w:spacing w:val="-2"/>
                <w:sz w:val="18"/>
              </w:rPr>
              <w:t xml:space="preserve"> </w:t>
            </w:r>
            <w:r>
              <w:rPr>
                <w:sz w:val="18"/>
              </w:rPr>
              <w:t>IDR</w:t>
            </w:r>
            <w:r>
              <w:rPr>
                <w:spacing w:val="-1"/>
                <w:sz w:val="18"/>
              </w:rPr>
              <w:t xml:space="preserve"> </w:t>
            </w:r>
            <w:r>
              <w:rPr>
                <w:sz w:val="18"/>
              </w:rPr>
              <w:t>14</w:t>
            </w:r>
            <w:r>
              <w:rPr>
                <w:spacing w:val="-2"/>
                <w:sz w:val="18"/>
              </w:rPr>
              <w:t xml:space="preserve"> </w:t>
            </w:r>
            <w:r>
              <w:rPr>
                <w:sz w:val="18"/>
              </w:rPr>
              <w:t>million</w:t>
            </w:r>
            <w:r>
              <w:rPr>
                <w:spacing w:val="-4"/>
                <w:sz w:val="18"/>
              </w:rPr>
              <w:t xml:space="preserve"> </w:t>
            </w:r>
            <w:r>
              <w:rPr>
                <w:sz w:val="18"/>
              </w:rPr>
              <w:t>per</w:t>
            </w:r>
            <w:r>
              <w:rPr>
                <w:spacing w:val="-1"/>
                <w:sz w:val="18"/>
              </w:rPr>
              <w:t xml:space="preserve"> </w:t>
            </w:r>
            <w:r>
              <w:rPr>
                <w:sz w:val="18"/>
              </w:rPr>
              <w:t>year</w:t>
            </w:r>
            <w:r>
              <w:rPr>
                <w:spacing w:val="-1"/>
                <w:sz w:val="18"/>
              </w:rPr>
              <w:t xml:space="preserve"> </w:t>
            </w:r>
            <w:r>
              <w:rPr>
                <w:sz w:val="18"/>
              </w:rPr>
              <w:t>to</w:t>
            </w:r>
            <w:r>
              <w:rPr>
                <w:spacing w:val="-3"/>
                <w:sz w:val="18"/>
              </w:rPr>
              <w:t xml:space="preserve"> </w:t>
            </w:r>
            <w:r>
              <w:rPr>
                <w:sz w:val="18"/>
              </w:rPr>
              <w:t>support the</w:t>
            </w:r>
            <w:r>
              <w:rPr>
                <w:spacing w:val="-1"/>
                <w:sz w:val="18"/>
              </w:rPr>
              <w:t xml:space="preserve"> </w:t>
            </w:r>
            <w:r>
              <w:rPr>
                <w:sz w:val="18"/>
              </w:rPr>
              <w:t>One</w:t>
            </w:r>
            <w:r>
              <w:rPr>
                <w:spacing w:val="-2"/>
                <w:sz w:val="18"/>
              </w:rPr>
              <w:t xml:space="preserve"> </w:t>
            </w:r>
            <w:r>
              <w:rPr>
                <w:sz w:val="18"/>
              </w:rPr>
              <w:t>Data</w:t>
            </w:r>
            <w:r>
              <w:rPr>
                <w:spacing w:val="-2"/>
                <w:sz w:val="18"/>
              </w:rPr>
              <w:t xml:space="preserve"> </w:t>
            </w:r>
            <w:r>
              <w:rPr>
                <w:sz w:val="18"/>
              </w:rPr>
              <w:t xml:space="preserve">Secretariat </w:t>
            </w:r>
            <w:r>
              <w:rPr>
                <w:spacing w:val="-2"/>
                <w:sz w:val="18"/>
              </w:rPr>
              <w:t>operations.</w:t>
            </w:r>
          </w:p>
          <w:p w14:paraId="218719B8" w14:textId="77777777" w:rsidR="00BC24A8" w:rsidRDefault="00000000">
            <w:pPr>
              <w:pStyle w:val="TableParagraph"/>
              <w:numPr>
                <w:ilvl w:val="0"/>
                <w:numId w:val="124"/>
              </w:numPr>
              <w:tabs>
                <w:tab w:val="left" w:pos="452"/>
              </w:tabs>
              <w:spacing w:line="219" w:lineRule="exact"/>
              <w:rPr>
                <w:sz w:val="18"/>
              </w:rPr>
            </w:pPr>
            <w:r>
              <w:rPr>
                <w:sz w:val="18"/>
              </w:rPr>
              <w:t>Draft One</w:t>
            </w:r>
            <w:r>
              <w:rPr>
                <w:spacing w:val="-1"/>
                <w:sz w:val="18"/>
              </w:rPr>
              <w:t xml:space="preserve"> </w:t>
            </w:r>
            <w:r>
              <w:rPr>
                <w:sz w:val="18"/>
              </w:rPr>
              <w:t>Data</w:t>
            </w:r>
            <w:r>
              <w:rPr>
                <w:spacing w:val="-2"/>
                <w:sz w:val="18"/>
              </w:rPr>
              <w:t xml:space="preserve"> </w:t>
            </w:r>
            <w:r>
              <w:rPr>
                <w:sz w:val="18"/>
              </w:rPr>
              <w:t xml:space="preserve">Action </w:t>
            </w:r>
            <w:r>
              <w:rPr>
                <w:spacing w:val="-4"/>
                <w:sz w:val="18"/>
              </w:rPr>
              <w:t>Plan.</w:t>
            </w:r>
          </w:p>
          <w:p w14:paraId="56F26D00" w14:textId="77777777" w:rsidR="00BC24A8" w:rsidRDefault="00000000">
            <w:pPr>
              <w:pStyle w:val="TableParagraph"/>
              <w:numPr>
                <w:ilvl w:val="0"/>
                <w:numId w:val="124"/>
              </w:numPr>
              <w:tabs>
                <w:tab w:val="left" w:pos="452"/>
              </w:tabs>
              <w:spacing w:before="1" w:line="219" w:lineRule="exact"/>
              <w:rPr>
                <w:sz w:val="18"/>
              </w:rPr>
            </w:pPr>
            <w:r>
              <w:rPr>
                <w:sz w:val="18"/>
              </w:rPr>
              <w:t>Draft</w:t>
            </w:r>
            <w:r>
              <w:rPr>
                <w:spacing w:val="-1"/>
                <w:sz w:val="18"/>
              </w:rPr>
              <w:t xml:space="preserve"> </w:t>
            </w:r>
            <w:r>
              <w:rPr>
                <w:sz w:val="18"/>
              </w:rPr>
              <w:t>2025</w:t>
            </w:r>
            <w:r>
              <w:rPr>
                <w:spacing w:val="-1"/>
                <w:sz w:val="18"/>
              </w:rPr>
              <w:t xml:space="preserve"> </w:t>
            </w:r>
            <w:r>
              <w:rPr>
                <w:sz w:val="18"/>
              </w:rPr>
              <w:t>data</w:t>
            </w:r>
            <w:r>
              <w:rPr>
                <w:spacing w:val="-1"/>
                <w:sz w:val="18"/>
              </w:rPr>
              <w:t xml:space="preserve"> </w:t>
            </w:r>
            <w:r>
              <w:rPr>
                <w:spacing w:val="-2"/>
                <w:sz w:val="18"/>
              </w:rPr>
              <w:t>list.</w:t>
            </w:r>
          </w:p>
          <w:p w14:paraId="2D4C8BF1" w14:textId="77777777" w:rsidR="00BC24A8" w:rsidRDefault="00000000">
            <w:pPr>
              <w:pStyle w:val="TableParagraph"/>
              <w:numPr>
                <w:ilvl w:val="0"/>
                <w:numId w:val="124"/>
              </w:numPr>
              <w:tabs>
                <w:tab w:val="left" w:pos="452"/>
              </w:tabs>
              <w:ind w:right="695"/>
              <w:rPr>
                <w:sz w:val="18"/>
              </w:rPr>
            </w:pPr>
            <w:r>
              <w:rPr>
                <w:sz w:val="18"/>
              </w:rPr>
              <w:t>Governor’s</w:t>
            </w:r>
            <w:r>
              <w:rPr>
                <w:spacing w:val="-4"/>
                <w:sz w:val="18"/>
              </w:rPr>
              <w:t xml:space="preserve"> </w:t>
            </w:r>
            <w:r>
              <w:rPr>
                <w:sz w:val="18"/>
              </w:rPr>
              <w:t>decree</w:t>
            </w:r>
            <w:r>
              <w:rPr>
                <w:spacing w:val="-4"/>
                <w:sz w:val="18"/>
              </w:rPr>
              <w:t xml:space="preserve"> </w:t>
            </w:r>
            <w:r>
              <w:rPr>
                <w:sz w:val="18"/>
              </w:rPr>
              <w:t>appointing</w:t>
            </w:r>
            <w:r>
              <w:rPr>
                <w:spacing w:val="-5"/>
                <w:sz w:val="18"/>
              </w:rPr>
              <w:t xml:space="preserve"> </w:t>
            </w:r>
            <w:r>
              <w:rPr>
                <w:sz w:val="18"/>
              </w:rPr>
              <w:t>data</w:t>
            </w:r>
            <w:r>
              <w:rPr>
                <w:spacing w:val="-5"/>
                <w:sz w:val="18"/>
              </w:rPr>
              <w:t xml:space="preserve"> </w:t>
            </w:r>
            <w:r>
              <w:rPr>
                <w:sz w:val="18"/>
              </w:rPr>
              <w:t>custodians</w:t>
            </w:r>
            <w:r>
              <w:rPr>
                <w:spacing w:val="-4"/>
                <w:sz w:val="18"/>
              </w:rPr>
              <w:t xml:space="preserve"> </w:t>
            </w:r>
            <w:r>
              <w:rPr>
                <w:sz w:val="18"/>
              </w:rPr>
              <w:t>and</w:t>
            </w:r>
            <w:r>
              <w:rPr>
                <w:spacing w:val="-4"/>
                <w:sz w:val="18"/>
              </w:rPr>
              <w:t xml:space="preserve"> </w:t>
            </w:r>
            <w:r>
              <w:rPr>
                <w:sz w:val="18"/>
              </w:rPr>
              <w:t>sectoral</w:t>
            </w:r>
            <w:r>
              <w:rPr>
                <w:spacing w:val="-3"/>
                <w:sz w:val="18"/>
              </w:rPr>
              <w:t xml:space="preserve"> </w:t>
            </w:r>
            <w:r>
              <w:rPr>
                <w:sz w:val="18"/>
              </w:rPr>
              <w:t>data</w:t>
            </w:r>
            <w:r>
              <w:rPr>
                <w:spacing w:val="-5"/>
                <w:sz w:val="18"/>
              </w:rPr>
              <w:t xml:space="preserve"> </w:t>
            </w:r>
            <w:r>
              <w:rPr>
                <w:sz w:val="18"/>
              </w:rPr>
              <w:t>management</w:t>
            </w:r>
            <w:r>
              <w:rPr>
                <w:spacing w:val="-3"/>
                <w:sz w:val="18"/>
              </w:rPr>
              <w:t xml:space="preserve"> </w:t>
            </w:r>
            <w:r>
              <w:rPr>
                <w:sz w:val="18"/>
              </w:rPr>
              <w:t>teams</w:t>
            </w:r>
            <w:r>
              <w:rPr>
                <w:spacing w:val="-4"/>
                <w:sz w:val="18"/>
              </w:rPr>
              <w:t xml:space="preserve"> </w:t>
            </w:r>
            <w:r>
              <w:rPr>
                <w:sz w:val="18"/>
              </w:rPr>
              <w:t>within provincial agencies.</w:t>
            </w:r>
          </w:p>
          <w:p w14:paraId="6CA16873" w14:textId="77777777" w:rsidR="00BC24A8" w:rsidRDefault="00000000">
            <w:pPr>
              <w:pStyle w:val="TableParagraph"/>
              <w:numPr>
                <w:ilvl w:val="0"/>
                <w:numId w:val="124"/>
              </w:numPr>
              <w:tabs>
                <w:tab w:val="left" w:pos="453"/>
              </w:tabs>
              <w:spacing w:line="219" w:lineRule="exact"/>
              <w:ind w:left="453"/>
              <w:rPr>
                <w:sz w:val="18"/>
              </w:rPr>
            </w:pPr>
            <w:r>
              <w:rPr>
                <w:sz w:val="18"/>
              </w:rPr>
              <w:t>Draft</w:t>
            </w:r>
            <w:r>
              <w:rPr>
                <w:spacing w:val="-2"/>
                <w:sz w:val="18"/>
              </w:rPr>
              <w:t xml:space="preserve"> </w:t>
            </w:r>
            <w:r>
              <w:rPr>
                <w:sz w:val="18"/>
              </w:rPr>
              <w:t>Governor</w:t>
            </w:r>
            <w:r>
              <w:rPr>
                <w:spacing w:val="-2"/>
                <w:sz w:val="18"/>
              </w:rPr>
              <w:t xml:space="preserve"> </w:t>
            </w:r>
            <w:r>
              <w:rPr>
                <w:sz w:val="18"/>
              </w:rPr>
              <w:t>Regulation</w:t>
            </w:r>
            <w:r>
              <w:rPr>
                <w:spacing w:val="-2"/>
                <w:sz w:val="18"/>
              </w:rPr>
              <w:t xml:space="preserve"> </w:t>
            </w:r>
            <w:r>
              <w:rPr>
                <w:sz w:val="18"/>
              </w:rPr>
              <w:t>on</w:t>
            </w:r>
            <w:r>
              <w:rPr>
                <w:spacing w:val="-2"/>
                <w:sz w:val="18"/>
              </w:rPr>
              <w:t xml:space="preserve"> </w:t>
            </w:r>
            <w:r>
              <w:rPr>
                <w:sz w:val="18"/>
              </w:rPr>
              <w:t>MSS</w:t>
            </w:r>
            <w:r>
              <w:rPr>
                <w:spacing w:val="-2"/>
                <w:sz w:val="18"/>
              </w:rPr>
              <w:t xml:space="preserve"> </w:t>
            </w:r>
            <w:r>
              <w:rPr>
                <w:sz w:val="18"/>
              </w:rPr>
              <w:t>Action</w:t>
            </w:r>
            <w:r>
              <w:rPr>
                <w:spacing w:val="-2"/>
                <w:sz w:val="18"/>
              </w:rPr>
              <w:t xml:space="preserve"> </w:t>
            </w:r>
            <w:r>
              <w:rPr>
                <w:spacing w:val="-4"/>
                <w:sz w:val="18"/>
              </w:rPr>
              <w:t>Plan.</w:t>
            </w:r>
          </w:p>
        </w:tc>
      </w:tr>
    </w:tbl>
    <w:p w14:paraId="7E7565B9" w14:textId="77777777" w:rsidR="00BC24A8" w:rsidRDefault="00BC24A8">
      <w:pPr>
        <w:pStyle w:val="TableParagraph"/>
        <w:spacing w:line="219" w:lineRule="exact"/>
        <w:rPr>
          <w:sz w:val="18"/>
        </w:rPr>
        <w:sectPr w:rsidR="00BC24A8">
          <w:pgSz w:w="11910" w:h="16840"/>
          <w:pgMar w:top="1360" w:right="850" w:bottom="1100" w:left="1275" w:header="0" w:footer="907" w:gutter="0"/>
          <w:cols w:space="720"/>
        </w:sectPr>
      </w:pPr>
    </w:p>
    <w:tbl>
      <w:tblPr>
        <w:tblW w:w="0" w:type="auto"/>
        <w:tblInd w:w="136" w:type="dxa"/>
        <w:tblLayout w:type="fixed"/>
        <w:tblCellMar>
          <w:left w:w="0" w:type="dxa"/>
          <w:right w:w="0" w:type="dxa"/>
        </w:tblCellMar>
        <w:tblLook w:val="01E0" w:firstRow="1" w:lastRow="1" w:firstColumn="1" w:lastColumn="1" w:noHBand="0" w:noVBand="0"/>
      </w:tblPr>
      <w:tblGrid>
        <w:gridCol w:w="1212"/>
        <w:gridCol w:w="7894"/>
      </w:tblGrid>
      <w:tr w:rsidR="00BC24A8" w14:paraId="7EBE4DA8" w14:textId="77777777">
        <w:trPr>
          <w:trHeight w:val="3590"/>
        </w:trPr>
        <w:tc>
          <w:tcPr>
            <w:tcW w:w="1212" w:type="dxa"/>
            <w:tcBorders>
              <w:top w:val="single" w:sz="4" w:space="0" w:color="BEBEBE"/>
              <w:bottom w:val="single" w:sz="4" w:space="0" w:color="BEBEBE"/>
            </w:tcBorders>
          </w:tcPr>
          <w:p w14:paraId="78CC65D6" w14:textId="77777777" w:rsidR="00BC24A8" w:rsidRDefault="00BC24A8">
            <w:pPr>
              <w:pStyle w:val="TableParagraph"/>
              <w:rPr>
                <w:rFonts w:ascii="Times New Roman"/>
                <w:sz w:val="18"/>
              </w:rPr>
            </w:pPr>
          </w:p>
        </w:tc>
        <w:tc>
          <w:tcPr>
            <w:tcW w:w="7894" w:type="dxa"/>
            <w:tcBorders>
              <w:top w:val="single" w:sz="4" w:space="0" w:color="BEBEBE"/>
              <w:bottom w:val="single" w:sz="4" w:space="0" w:color="BEBEBE"/>
            </w:tcBorders>
          </w:tcPr>
          <w:p w14:paraId="546BB7DB" w14:textId="77777777" w:rsidR="00BC24A8" w:rsidRDefault="00000000">
            <w:pPr>
              <w:pStyle w:val="TableParagraph"/>
              <w:numPr>
                <w:ilvl w:val="0"/>
                <w:numId w:val="123"/>
              </w:numPr>
              <w:tabs>
                <w:tab w:val="left" w:pos="590"/>
              </w:tabs>
              <w:spacing w:before="56"/>
              <w:ind w:right="414"/>
              <w:rPr>
                <w:sz w:val="18"/>
              </w:rPr>
            </w:pPr>
            <w:r>
              <w:rPr>
                <w:sz w:val="18"/>
              </w:rPr>
              <w:t>Gorontalo</w:t>
            </w:r>
            <w:r>
              <w:rPr>
                <w:spacing w:val="-3"/>
                <w:sz w:val="18"/>
              </w:rPr>
              <w:t xml:space="preserve"> </w:t>
            </w:r>
            <w:r>
              <w:rPr>
                <w:sz w:val="18"/>
              </w:rPr>
              <w:t>Governor’s</w:t>
            </w:r>
            <w:r>
              <w:rPr>
                <w:spacing w:val="-3"/>
                <w:sz w:val="18"/>
              </w:rPr>
              <w:t xml:space="preserve"> </w:t>
            </w:r>
            <w:r>
              <w:rPr>
                <w:sz w:val="18"/>
              </w:rPr>
              <w:t>decree</w:t>
            </w:r>
            <w:r>
              <w:rPr>
                <w:spacing w:val="-3"/>
                <w:sz w:val="18"/>
              </w:rPr>
              <w:t xml:space="preserve"> </w:t>
            </w:r>
            <w:r>
              <w:rPr>
                <w:sz w:val="18"/>
              </w:rPr>
              <w:t>establishing</w:t>
            </w:r>
            <w:r>
              <w:rPr>
                <w:spacing w:val="-3"/>
                <w:sz w:val="18"/>
              </w:rPr>
              <w:t xml:space="preserve"> </w:t>
            </w:r>
            <w:r>
              <w:rPr>
                <w:sz w:val="18"/>
              </w:rPr>
              <w:t>the</w:t>
            </w:r>
            <w:r>
              <w:rPr>
                <w:spacing w:val="-5"/>
                <w:sz w:val="18"/>
              </w:rPr>
              <w:t xml:space="preserve"> </w:t>
            </w:r>
            <w:r>
              <w:rPr>
                <w:sz w:val="18"/>
              </w:rPr>
              <w:t>implementation</w:t>
            </w:r>
            <w:r>
              <w:rPr>
                <w:spacing w:val="-5"/>
                <w:sz w:val="18"/>
              </w:rPr>
              <w:t xml:space="preserve"> </w:t>
            </w:r>
            <w:r>
              <w:rPr>
                <w:sz w:val="18"/>
              </w:rPr>
              <w:t>team</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Inclusive</w:t>
            </w:r>
            <w:r>
              <w:rPr>
                <w:spacing w:val="-3"/>
                <w:sz w:val="18"/>
              </w:rPr>
              <w:t xml:space="preserve"> </w:t>
            </w:r>
            <w:r>
              <w:rPr>
                <w:sz w:val="18"/>
              </w:rPr>
              <w:t>Gorontalo Forum (Dulohupa) 2025–2029.</w:t>
            </w:r>
          </w:p>
          <w:p w14:paraId="437922CD" w14:textId="77777777" w:rsidR="00BC24A8" w:rsidRDefault="00000000">
            <w:pPr>
              <w:pStyle w:val="TableParagraph"/>
              <w:numPr>
                <w:ilvl w:val="0"/>
                <w:numId w:val="123"/>
              </w:numPr>
              <w:tabs>
                <w:tab w:val="left" w:pos="590"/>
              </w:tabs>
              <w:spacing w:line="219" w:lineRule="exact"/>
              <w:rPr>
                <w:sz w:val="18"/>
              </w:rPr>
            </w:pPr>
            <w:r>
              <w:rPr>
                <w:sz w:val="18"/>
              </w:rPr>
              <w:t>Draft</w:t>
            </w:r>
            <w:r>
              <w:rPr>
                <w:spacing w:val="-1"/>
                <w:sz w:val="18"/>
              </w:rPr>
              <w:t xml:space="preserve"> </w:t>
            </w:r>
            <w:r>
              <w:rPr>
                <w:sz w:val="18"/>
              </w:rPr>
              <w:t>Guidelines</w:t>
            </w:r>
            <w:r>
              <w:rPr>
                <w:spacing w:val="-2"/>
                <w:sz w:val="18"/>
              </w:rPr>
              <w:t xml:space="preserve"> </w:t>
            </w:r>
            <w:r>
              <w:rPr>
                <w:sz w:val="18"/>
              </w:rPr>
              <w:t>for</w:t>
            </w:r>
            <w:r>
              <w:rPr>
                <w:spacing w:val="-1"/>
                <w:sz w:val="18"/>
              </w:rPr>
              <w:t xml:space="preserve"> </w:t>
            </w:r>
            <w:r>
              <w:rPr>
                <w:sz w:val="18"/>
              </w:rPr>
              <w:t>Inclusive</w:t>
            </w:r>
            <w:r>
              <w:rPr>
                <w:spacing w:val="-1"/>
                <w:sz w:val="18"/>
              </w:rPr>
              <w:t xml:space="preserve"> </w:t>
            </w:r>
            <w:r>
              <w:rPr>
                <w:i/>
                <w:spacing w:val="-2"/>
                <w:sz w:val="18"/>
              </w:rPr>
              <w:t>Musrenbang</w:t>
            </w:r>
            <w:r>
              <w:rPr>
                <w:spacing w:val="-2"/>
                <w:sz w:val="18"/>
              </w:rPr>
              <w:t>.</w:t>
            </w:r>
          </w:p>
          <w:p w14:paraId="1938EEF0" w14:textId="77777777" w:rsidR="00BC24A8" w:rsidRDefault="00000000">
            <w:pPr>
              <w:pStyle w:val="TableParagraph"/>
              <w:numPr>
                <w:ilvl w:val="0"/>
                <w:numId w:val="123"/>
              </w:numPr>
              <w:tabs>
                <w:tab w:val="left" w:pos="590"/>
              </w:tabs>
              <w:spacing w:before="1"/>
              <w:rPr>
                <w:sz w:val="18"/>
              </w:rPr>
            </w:pPr>
            <w:r>
              <w:rPr>
                <w:sz w:val="18"/>
              </w:rPr>
              <w:t>Draft</w:t>
            </w:r>
            <w:r>
              <w:rPr>
                <w:spacing w:val="-1"/>
                <w:sz w:val="18"/>
              </w:rPr>
              <w:t xml:space="preserve"> </w:t>
            </w:r>
            <w:r>
              <w:rPr>
                <w:sz w:val="18"/>
              </w:rPr>
              <w:t>persons</w:t>
            </w:r>
            <w:r>
              <w:rPr>
                <w:spacing w:val="-2"/>
                <w:sz w:val="18"/>
              </w:rPr>
              <w:t xml:space="preserve"> </w:t>
            </w:r>
            <w:r>
              <w:rPr>
                <w:sz w:val="18"/>
              </w:rPr>
              <w:t>with</w:t>
            </w:r>
            <w:r>
              <w:rPr>
                <w:spacing w:val="-2"/>
                <w:sz w:val="18"/>
              </w:rPr>
              <w:t xml:space="preserve"> </w:t>
            </w:r>
            <w:r>
              <w:rPr>
                <w:sz w:val="18"/>
              </w:rPr>
              <w:t>disability</w:t>
            </w:r>
            <w:r>
              <w:rPr>
                <w:spacing w:val="-2"/>
                <w:sz w:val="18"/>
              </w:rPr>
              <w:t xml:space="preserve"> </w:t>
            </w:r>
            <w:r>
              <w:rPr>
                <w:sz w:val="18"/>
              </w:rPr>
              <w:t>action</w:t>
            </w:r>
            <w:r>
              <w:rPr>
                <w:spacing w:val="-1"/>
                <w:sz w:val="18"/>
              </w:rPr>
              <w:t xml:space="preserve"> </w:t>
            </w:r>
            <w:r>
              <w:rPr>
                <w:spacing w:val="-2"/>
                <w:sz w:val="18"/>
              </w:rPr>
              <w:t>plan.</w:t>
            </w:r>
          </w:p>
          <w:p w14:paraId="38332635" w14:textId="77777777" w:rsidR="00BC24A8" w:rsidRDefault="00000000">
            <w:pPr>
              <w:pStyle w:val="TableParagraph"/>
              <w:numPr>
                <w:ilvl w:val="0"/>
                <w:numId w:val="123"/>
              </w:numPr>
              <w:tabs>
                <w:tab w:val="left" w:pos="590"/>
              </w:tabs>
              <w:spacing w:before="1"/>
              <w:rPr>
                <w:sz w:val="18"/>
              </w:rPr>
            </w:pPr>
            <w:r>
              <w:rPr>
                <w:sz w:val="18"/>
              </w:rPr>
              <w:t>Draft</w:t>
            </w:r>
            <w:r>
              <w:rPr>
                <w:spacing w:val="-3"/>
                <w:sz w:val="18"/>
              </w:rPr>
              <w:t xml:space="preserve"> </w:t>
            </w:r>
            <w:r>
              <w:rPr>
                <w:sz w:val="18"/>
              </w:rPr>
              <w:t>Gender</w:t>
            </w:r>
            <w:r>
              <w:rPr>
                <w:spacing w:val="-4"/>
                <w:sz w:val="18"/>
              </w:rPr>
              <w:t xml:space="preserve"> </w:t>
            </w:r>
            <w:r>
              <w:rPr>
                <w:sz w:val="18"/>
              </w:rPr>
              <w:t>Mainstreaming</w:t>
            </w:r>
            <w:r>
              <w:rPr>
                <w:spacing w:val="-4"/>
                <w:sz w:val="18"/>
              </w:rPr>
              <w:t xml:space="preserve"> </w:t>
            </w:r>
            <w:r>
              <w:rPr>
                <w:sz w:val="18"/>
              </w:rPr>
              <w:t>Regional</w:t>
            </w:r>
            <w:r>
              <w:rPr>
                <w:spacing w:val="-2"/>
                <w:sz w:val="18"/>
              </w:rPr>
              <w:t xml:space="preserve"> Regulation.</w:t>
            </w:r>
          </w:p>
          <w:p w14:paraId="1D4DA1DD" w14:textId="77777777" w:rsidR="00BC24A8" w:rsidRDefault="00000000">
            <w:pPr>
              <w:pStyle w:val="TableParagraph"/>
              <w:numPr>
                <w:ilvl w:val="0"/>
                <w:numId w:val="123"/>
              </w:numPr>
              <w:tabs>
                <w:tab w:val="left" w:pos="259"/>
                <w:tab w:val="left" w:pos="590"/>
              </w:tabs>
              <w:spacing w:before="2" w:line="304" w:lineRule="auto"/>
              <w:ind w:left="259" w:right="659" w:hanging="30"/>
              <w:rPr>
                <w:sz w:val="18"/>
              </w:rPr>
            </w:pPr>
            <w:r>
              <w:rPr>
                <w:sz w:val="18"/>
              </w:rPr>
              <w:t>Technical</w:t>
            </w:r>
            <w:r>
              <w:rPr>
                <w:spacing w:val="-3"/>
                <w:sz w:val="18"/>
              </w:rPr>
              <w:t xml:space="preserve"> </w:t>
            </w:r>
            <w:r>
              <w:rPr>
                <w:sz w:val="18"/>
              </w:rPr>
              <w:t>guidelines</w:t>
            </w:r>
            <w:r>
              <w:rPr>
                <w:spacing w:val="-4"/>
                <w:sz w:val="18"/>
              </w:rPr>
              <w:t xml:space="preserve"> </w:t>
            </w:r>
            <w:r>
              <w:rPr>
                <w:sz w:val="18"/>
              </w:rPr>
              <w:t>and</w:t>
            </w:r>
            <w:r>
              <w:rPr>
                <w:spacing w:val="-4"/>
                <w:sz w:val="18"/>
              </w:rPr>
              <w:t xml:space="preserve"> </w:t>
            </w:r>
            <w:r>
              <w:rPr>
                <w:sz w:val="18"/>
              </w:rPr>
              <w:t>studies</w:t>
            </w:r>
            <w:r>
              <w:rPr>
                <w:spacing w:val="-4"/>
                <w:sz w:val="18"/>
              </w:rPr>
              <w:t xml:space="preserve"> </w:t>
            </w:r>
            <w:r>
              <w:rPr>
                <w:sz w:val="18"/>
              </w:rPr>
              <w:t>on</w:t>
            </w:r>
            <w:r>
              <w:rPr>
                <w:spacing w:val="-4"/>
                <w:sz w:val="18"/>
              </w:rPr>
              <w:t xml:space="preserve"> </w:t>
            </w:r>
            <w:r>
              <w:rPr>
                <w:sz w:val="18"/>
              </w:rPr>
              <w:t>gender-</w:t>
            </w:r>
            <w:r>
              <w:rPr>
                <w:spacing w:val="-4"/>
                <w:sz w:val="18"/>
              </w:rPr>
              <w:t xml:space="preserve"> </w:t>
            </w:r>
            <w:r>
              <w:rPr>
                <w:sz w:val="18"/>
              </w:rPr>
              <w:t>and</w:t>
            </w:r>
            <w:r>
              <w:rPr>
                <w:spacing w:val="-4"/>
                <w:sz w:val="18"/>
              </w:rPr>
              <w:t xml:space="preserve"> </w:t>
            </w:r>
            <w:r>
              <w:rPr>
                <w:sz w:val="18"/>
              </w:rPr>
              <w:t>vulnerable</w:t>
            </w:r>
            <w:r>
              <w:rPr>
                <w:spacing w:val="-4"/>
                <w:sz w:val="18"/>
              </w:rPr>
              <w:t xml:space="preserve"> </w:t>
            </w:r>
            <w:r>
              <w:rPr>
                <w:sz w:val="18"/>
              </w:rPr>
              <w:t>group-responsive</w:t>
            </w:r>
            <w:r>
              <w:rPr>
                <w:spacing w:val="-5"/>
                <w:sz w:val="18"/>
              </w:rPr>
              <w:t xml:space="preserve"> </w:t>
            </w:r>
            <w:r>
              <w:rPr>
                <w:sz w:val="18"/>
              </w:rPr>
              <w:t>basic</w:t>
            </w:r>
            <w:r>
              <w:rPr>
                <w:spacing w:val="-4"/>
                <w:sz w:val="18"/>
              </w:rPr>
              <w:t xml:space="preserve"> </w:t>
            </w:r>
            <w:r>
              <w:rPr>
                <w:sz w:val="18"/>
              </w:rPr>
              <w:t>services. Collaboration and participation of various stakeholders have been strengthened:</w:t>
            </w:r>
          </w:p>
          <w:p w14:paraId="46475042" w14:textId="77777777" w:rsidR="00BC24A8" w:rsidRDefault="00000000">
            <w:pPr>
              <w:pStyle w:val="TableParagraph"/>
              <w:numPr>
                <w:ilvl w:val="0"/>
                <w:numId w:val="123"/>
              </w:numPr>
              <w:tabs>
                <w:tab w:val="left" w:pos="590"/>
              </w:tabs>
              <w:ind w:right="424"/>
              <w:rPr>
                <w:sz w:val="18"/>
              </w:rPr>
            </w:pPr>
            <w:r>
              <w:rPr>
                <w:sz w:val="18"/>
              </w:rPr>
              <w:t>Poor</w:t>
            </w:r>
            <w:r>
              <w:rPr>
                <w:spacing w:val="-3"/>
                <w:sz w:val="18"/>
              </w:rPr>
              <w:t xml:space="preserve"> </w:t>
            </w:r>
            <w:r>
              <w:rPr>
                <w:sz w:val="18"/>
              </w:rPr>
              <w:t>and</w:t>
            </w:r>
            <w:r>
              <w:rPr>
                <w:spacing w:val="-3"/>
                <w:sz w:val="18"/>
              </w:rPr>
              <w:t xml:space="preserve"> </w:t>
            </w:r>
            <w:r>
              <w:rPr>
                <w:sz w:val="18"/>
              </w:rPr>
              <w:t>vulnerable</w:t>
            </w:r>
            <w:r>
              <w:rPr>
                <w:spacing w:val="-3"/>
                <w:sz w:val="18"/>
              </w:rPr>
              <w:t xml:space="preserve"> </w:t>
            </w:r>
            <w:r>
              <w:rPr>
                <w:sz w:val="18"/>
              </w:rPr>
              <w:t>families</w:t>
            </w:r>
            <w:r>
              <w:rPr>
                <w:spacing w:val="-3"/>
                <w:sz w:val="18"/>
              </w:rPr>
              <w:t xml:space="preserve"> </w:t>
            </w:r>
            <w:r>
              <w:rPr>
                <w:sz w:val="18"/>
              </w:rPr>
              <w:t>as</w:t>
            </w:r>
            <w:r>
              <w:rPr>
                <w:spacing w:val="-3"/>
                <w:sz w:val="18"/>
              </w:rPr>
              <w:t xml:space="preserve"> </w:t>
            </w:r>
            <w:r>
              <w:rPr>
                <w:sz w:val="18"/>
              </w:rPr>
              <w:t>beneficiaries</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Gorontalo</w:t>
            </w:r>
            <w:r>
              <w:rPr>
                <w:spacing w:val="-4"/>
                <w:sz w:val="18"/>
              </w:rPr>
              <w:t xml:space="preserve"> </w:t>
            </w:r>
            <w:r>
              <w:rPr>
                <w:sz w:val="18"/>
              </w:rPr>
              <w:t>Provincial</w:t>
            </w:r>
            <w:r>
              <w:rPr>
                <w:spacing w:val="-5"/>
                <w:sz w:val="18"/>
              </w:rPr>
              <w:t xml:space="preserve"> </w:t>
            </w:r>
            <w:r>
              <w:rPr>
                <w:sz w:val="18"/>
              </w:rPr>
              <w:t>Direct</w:t>
            </w:r>
            <w:r>
              <w:rPr>
                <w:spacing w:val="-2"/>
                <w:sz w:val="18"/>
              </w:rPr>
              <w:t xml:space="preserve"> </w:t>
            </w:r>
            <w:r>
              <w:rPr>
                <w:sz w:val="18"/>
              </w:rPr>
              <w:t>Food</w:t>
            </w:r>
            <w:r>
              <w:rPr>
                <w:spacing w:val="-3"/>
                <w:sz w:val="18"/>
              </w:rPr>
              <w:t xml:space="preserve"> </w:t>
            </w:r>
            <w:r>
              <w:rPr>
                <w:sz w:val="18"/>
              </w:rPr>
              <w:t>Assistance Program (BLP3G) are identified based on aligned data from REGSOSEK, P3KE, and DTKS.</w:t>
            </w:r>
          </w:p>
          <w:p w14:paraId="38DEDDED" w14:textId="77777777" w:rsidR="00BC24A8" w:rsidRDefault="00000000">
            <w:pPr>
              <w:pStyle w:val="TableParagraph"/>
              <w:numPr>
                <w:ilvl w:val="0"/>
                <w:numId w:val="123"/>
              </w:numPr>
              <w:tabs>
                <w:tab w:val="left" w:pos="590"/>
              </w:tabs>
              <w:spacing w:line="219" w:lineRule="exact"/>
              <w:rPr>
                <w:sz w:val="18"/>
              </w:rPr>
            </w:pPr>
            <w:r>
              <w:rPr>
                <w:sz w:val="18"/>
              </w:rPr>
              <w:t>MSS</w:t>
            </w:r>
            <w:r>
              <w:rPr>
                <w:spacing w:val="-2"/>
                <w:sz w:val="18"/>
              </w:rPr>
              <w:t xml:space="preserve"> </w:t>
            </w:r>
            <w:r>
              <w:rPr>
                <w:sz w:val="18"/>
              </w:rPr>
              <w:t>achievement</w:t>
            </w:r>
            <w:r>
              <w:rPr>
                <w:spacing w:val="-1"/>
                <w:sz w:val="18"/>
              </w:rPr>
              <w:t xml:space="preserve"> </w:t>
            </w:r>
            <w:r>
              <w:rPr>
                <w:sz w:val="18"/>
              </w:rPr>
              <w:t>index</w:t>
            </w:r>
            <w:r>
              <w:rPr>
                <w:spacing w:val="-3"/>
                <w:sz w:val="18"/>
              </w:rPr>
              <w:t xml:space="preserve"> </w:t>
            </w:r>
            <w:r>
              <w:rPr>
                <w:sz w:val="18"/>
              </w:rPr>
              <w:t>and</w:t>
            </w:r>
            <w:r>
              <w:rPr>
                <w:spacing w:val="-1"/>
                <w:sz w:val="18"/>
              </w:rPr>
              <w:t xml:space="preserve"> </w:t>
            </w:r>
            <w:r>
              <w:rPr>
                <w:sz w:val="18"/>
              </w:rPr>
              <w:t>report</w:t>
            </w:r>
            <w:r>
              <w:rPr>
                <w:spacing w:val="-1"/>
                <w:sz w:val="18"/>
              </w:rPr>
              <w:t xml:space="preserve"> </w:t>
            </w:r>
            <w:r>
              <w:rPr>
                <w:sz w:val="18"/>
              </w:rPr>
              <w:t>completion</w:t>
            </w:r>
            <w:r>
              <w:rPr>
                <w:spacing w:val="-4"/>
                <w:sz w:val="18"/>
              </w:rPr>
              <w:t xml:space="preserve"> </w:t>
            </w:r>
            <w:r>
              <w:rPr>
                <w:sz w:val="18"/>
              </w:rPr>
              <w:t>rates</w:t>
            </w:r>
            <w:r>
              <w:rPr>
                <w:spacing w:val="-2"/>
                <w:sz w:val="18"/>
              </w:rPr>
              <w:t xml:space="preserve"> </w:t>
            </w:r>
            <w:r>
              <w:rPr>
                <w:sz w:val="18"/>
              </w:rPr>
              <w:t>have</w:t>
            </w:r>
            <w:r>
              <w:rPr>
                <w:spacing w:val="-2"/>
                <w:sz w:val="18"/>
              </w:rPr>
              <w:t xml:space="preserve"> </w:t>
            </w:r>
            <w:r>
              <w:rPr>
                <w:sz w:val="18"/>
              </w:rPr>
              <w:t>improved</w:t>
            </w:r>
            <w:r>
              <w:rPr>
                <w:spacing w:val="-2"/>
                <w:sz w:val="18"/>
              </w:rPr>
              <w:t xml:space="preserve"> </w:t>
            </w:r>
            <w:r>
              <w:rPr>
                <w:sz w:val="18"/>
              </w:rPr>
              <w:t>from</w:t>
            </w:r>
            <w:r>
              <w:rPr>
                <w:spacing w:val="-2"/>
                <w:sz w:val="18"/>
              </w:rPr>
              <w:t xml:space="preserve"> </w:t>
            </w:r>
            <w:r>
              <w:rPr>
                <w:sz w:val="18"/>
              </w:rPr>
              <w:t>2023</w:t>
            </w:r>
            <w:r>
              <w:rPr>
                <w:spacing w:val="-2"/>
                <w:sz w:val="18"/>
              </w:rPr>
              <w:t xml:space="preserve"> </w:t>
            </w:r>
            <w:r>
              <w:rPr>
                <w:sz w:val="18"/>
              </w:rPr>
              <w:t>to</w:t>
            </w:r>
            <w:r>
              <w:rPr>
                <w:spacing w:val="-2"/>
                <w:sz w:val="18"/>
              </w:rPr>
              <w:t xml:space="preserve"> 2024.</w:t>
            </w:r>
          </w:p>
          <w:p w14:paraId="58F4A0CB" w14:textId="77777777" w:rsidR="00BC24A8" w:rsidRDefault="00000000">
            <w:pPr>
              <w:pStyle w:val="TableParagraph"/>
              <w:numPr>
                <w:ilvl w:val="0"/>
                <w:numId w:val="123"/>
              </w:numPr>
              <w:tabs>
                <w:tab w:val="left" w:pos="590"/>
              </w:tabs>
              <w:spacing w:line="219" w:lineRule="exact"/>
              <w:rPr>
                <w:sz w:val="18"/>
              </w:rPr>
            </w:pPr>
            <w:r>
              <w:rPr>
                <w:sz w:val="18"/>
              </w:rPr>
              <w:t>Provincial</w:t>
            </w:r>
            <w:r>
              <w:rPr>
                <w:spacing w:val="-2"/>
                <w:sz w:val="18"/>
              </w:rPr>
              <w:t xml:space="preserve"> </w:t>
            </w:r>
            <w:r>
              <w:rPr>
                <w:sz w:val="18"/>
              </w:rPr>
              <w:t>MSS</w:t>
            </w:r>
            <w:r>
              <w:rPr>
                <w:spacing w:val="-2"/>
                <w:sz w:val="18"/>
              </w:rPr>
              <w:t xml:space="preserve"> </w:t>
            </w:r>
            <w:r>
              <w:rPr>
                <w:sz w:val="18"/>
              </w:rPr>
              <w:t>Monitoring</w:t>
            </w:r>
            <w:r>
              <w:rPr>
                <w:spacing w:val="-3"/>
                <w:sz w:val="18"/>
              </w:rPr>
              <w:t xml:space="preserve"> </w:t>
            </w:r>
            <w:r>
              <w:rPr>
                <w:sz w:val="18"/>
              </w:rPr>
              <w:t>and</w:t>
            </w:r>
            <w:r>
              <w:rPr>
                <w:spacing w:val="-2"/>
                <w:sz w:val="18"/>
              </w:rPr>
              <w:t xml:space="preserve"> </w:t>
            </w:r>
            <w:r>
              <w:rPr>
                <w:sz w:val="18"/>
              </w:rPr>
              <w:t>Supervision</w:t>
            </w:r>
            <w:r>
              <w:rPr>
                <w:spacing w:val="-2"/>
                <w:sz w:val="18"/>
              </w:rPr>
              <w:t xml:space="preserve"> </w:t>
            </w:r>
            <w:r>
              <w:rPr>
                <w:sz w:val="18"/>
              </w:rPr>
              <w:t>results:</w:t>
            </w:r>
            <w:r>
              <w:rPr>
                <w:spacing w:val="-2"/>
                <w:sz w:val="18"/>
              </w:rPr>
              <w:t xml:space="preserve"> </w:t>
            </w:r>
            <w:r>
              <w:rPr>
                <w:sz w:val="18"/>
              </w:rPr>
              <w:t>MSS</w:t>
            </w:r>
            <w:r>
              <w:rPr>
                <w:spacing w:val="-2"/>
                <w:sz w:val="18"/>
              </w:rPr>
              <w:t xml:space="preserve"> </w:t>
            </w:r>
            <w:r>
              <w:rPr>
                <w:sz w:val="18"/>
              </w:rPr>
              <w:t>Action</w:t>
            </w:r>
            <w:r>
              <w:rPr>
                <w:spacing w:val="-2"/>
                <w:sz w:val="18"/>
              </w:rPr>
              <w:t xml:space="preserve"> </w:t>
            </w:r>
            <w:r>
              <w:rPr>
                <w:spacing w:val="-4"/>
                <w:sz w:val="18"/>
              </w:rPr>
              <w:t>Plan.</w:t>
            </w:r>
          </w:p>
          <w:p w14:paraId="3BC96177" w14:textId="77777777" w:rsidR="00BC24A8" w:rsidRDefault="00000000">
            <w:pPr>
              <w:pStyle w:val="TableParagraph"/>
              <w:numPr>
                <w:ilvl w:val="0"/>
                <w:numId w:val="123"/>
              </w:numPr>
              <w:tabs>
                <w:tab w:val="left" w:pos="590"/>
              </w:tabs>
              <w:ind w:right="491"/>
              <w:rPr>
                <w:sz w:val="18"/>
              </w:rPr>
            </w:pPr>
            <w:r>
              <w:rPr>
                <w:sz w:val="18"/>
              </w:rPr>
              <w:t>Regulation</w:t>
            </w:r>
            <w:r>
              <w:rPr>
                <w:spacing w:val="-3"/>
                <w:sz w:val="18"/>
              </w:rPr>
              <w:t xml:space="preserve"> </w:t>
            </w:r>
            <w:r>
              <w:rPr>
                <w:sz w:val="18"/>
              </w:rPr>
              <w:t>in</w:t>
            </w:r>
            <w:r>
              <w:rPr>
                <w:spacing w:val="-3"/>
                <w:sz w:val="18"/>
              </w:rPr>
              <w:t xml:space="preserve"> </w:t>
            </w:r>
            <w:r>
              <w:rPr>
                <w:sz w:val="18"/>
              </w:rPr>
              <w:t>Pohuwato</w:t>
            </w:r>
            <w:r>
              <w:rPr>
                <w:spacing w:val="-4"/>
                <w:sz w:val="18"/>
              </w:rPr>
              <w:t xml:space="preserve"> </w:t>
            </w:r>
            <w:r>
              <w:rPr>
                <w:sz w:val="18"/>
              </w:rPr>
              <w:t>District,</w:t>
            </w:r>
            <w:r>
              <w:rPr>
                <w:spacing w:val="-4"/>
                <w:sz w:val="18"/>
              </w:rPr>
              <w:t xml:space="preserve"> </w:t>
            </w:r>
            <w:r>
              <w:rPr>
                <w:sz w:val="18"/>
              </w:rPr>
              <w:t>and</w:t>
            </w:r>
            <w:r>
              <w:rPr>
                <w:spacing w:val="-3"/>
                <w:sz w:val="18"/>
              </w:rPr>
              <w:t xml:space="preserve"> </w:t>
            </w:r>
            <w:r>
              <w:rPr>
                <w:sz w:val="18"/>
              </w:rPr>
              <w:t>Draft</w:t>
            </w:r>
            <w:r>
              <w:rPr>
                <w:spacing w:val="-2"/>
                <w:sz w:val="18"/>
              </w:rPr>
              <w:t xml:space="preserve"> </w:t>
            </w:r>
            <w:r>
              <w:rPr>
                <w:sz w:val="18"/>
              </w:rPr>
              <w:t>MSS</w:t>
            </w:r>
            <w:r>
              <w:rPr>
                <w:spacing w:val="-3"/>
                <w:sz w:val="18"/>
              </w:rPr>
              <w:t xml:space="preserve"> </w:t>
            </w:r>
            <w:r>
              <w:rPr>
                <w:sz w:val="18"/>
              </w:rPr>
              <w:t>Action</w:t>
            </w:r>
            <w:r>
              <w:rPr>
                <w:spacing w:val="-3"/>
                <w:sz w:val="18"/>
              </w:rPr>
              <w:t xml:space="preserve"> </w:t>
            </w:r>
            <w:r>
              <w:rPr>
                <w:sz w:val="18"/>
              </w:rPr>
              <w:t>Plans</w:t>
            </w:r>
            <w:r>
              <w:rPr>
                <w:spacing w:val="-3"/>
                <w:sz w:val="18"/>
              </w:rPr>
              <w:t xml:space="preserve"> </w:t>
            </w:r>
            <w:r>
              <w:rPr>
                <w:sz w:val="18"/>
              </w:rPr>
              <w:t>for</w:t>
            </w:r>
            <w:r>
              <w:rPr>
                <w:spacing w:val="-3"/>
                <w:sz w:val="18"/>
              </w:rPr>
              <w:t xml:space="preserve"> </w:t>
            </w:r>
            <w:r>
              <w:rPr>
                <w:sz w:val="18"/>
              </w:rPr>
              <w:t>North</w:t>
            </w:r>
            <w:r>
              <w:rPr>
                <w:spacing w:val="-3"/>
                <w:sz w:val="18"/>
              </w:rPr>
              <w:t xml:space="preserve"> </w:t>
            </w:r>
            <w:r>
              <w:rPr>
                <w:sz w:val="18"/>
              </w:rPr>
              <w:t>Gorontalo</w:t>
            </w:r>
            <w:r>
              <w:rPr>
                <w:spacing w:val="-4"/>
                <w:sz w:val="18"/>
              </w:rPr>
              <w:t xml:space="preserve"> </w:t>
            </w:r>
            <w:r>
              <w:rPr>
                <w:sz w:val="18"/>
              </w:rPr>
              <w:t>and</w:t>
            </w:r>
            <w:r>
              <w:rPr>
                <w:spacing w:val="-3"/>
                <w:sz w:val="18"/>
              </w:rPr>
              <w:t xml:space="preserve"> </w:t>
            </w:r>
            <w:r>
              <w:rPr>
                <w:sz w:val="18"/>
              </w:rPr>
              <w:t xml:space="preserve">Boalemo </w:t>
            </w:r>
            <w:r>
              <w:rPr>
                <w:spacing w:val="-2"/>
                <w:sz w:val="18"/>
              </w:rPr>
              <w:t>District.</w:t>
            </w:r>
          </w:p>
          <w:p w14:paraId="37ACE447" w14:textId="77777777" w:rsidR="00BC24A8" w:rsidRDefault="00000000">
            <w:pPr>
              <w:pStyle w:val="TableParagraph"/>
              <w:numPr>
                <w:ilvl w:val="0"/>
                <w:numId w:val="123"/>
              </w:numPr>
              <w:tabs>
                <w:tab w:val="left" w:pos="590"/>
              </w:tabs>
              <w:ind w:right="549"/>
              <w:rPr>
                <w:sz w:val="18"/>
              </w:rPr>
            </w:pPr>
            <w:r>
              <w:rPr>
                <w:sz w:val="18"/>
              </w:rPr>
              <w:t>Inclusive</w:t>
            </w:r>
            <w:r>
              <w:rPr>
                <w:spacing w:val="-4"/>
                <w:sz w:val="18"/>
              </w:rPr>
              <w:t xml:space="preserve"> </w:t>
            </w:r>
            <w:r>
              <w:rPr>
                <w:sz w:val="18"/>
              </w:rPr>
              <w:t>Musrenbang</w:t>
            </w:r>
            <w:r>
              <w:rPr>
                <w:spacing w:val="-5"/>
                <w:sz w:val="18"/>
              </w:rPr>
              <w:t xml:space="preserve"> </w:t>
            </w:r>
            <w:r>
              <w:rPr>
                <w:sz w:val="18"/>
              </w:rPr>
              <w:t>(Inclusive</w:t>
            </w:r>
            <w:r>
              <w:rPr>
                <w:spacing w:val="-4"/>
                <w:sz w:val="18"/>
              </w:rPr>
              <w:t xml:space="preserve"> </w:t>
            </w:r>
            <w:r>
              <w:rPr>
                <w:sz w:val="18"/>
              </w:rPr>
              <w:t>Gorontalo</w:t>
            </w:r>
            <w:r>
              <w:rPr>
                <w:spacing w:val="-5"/>
                <w:sz w:val="18"/>
              </w:rPr>
              <w:t xml:space="preserve"> </w:t>
            </w:r>
            <w:r>
              <w:rPr>
                <w:sz w:val="18"/>
              </w:rPr>
              <w:t>Forum</w:t>
            </w:r>
            <w:r>
              <w:rPr>
                <w:spacing w:val="-5"/>
                <w:sz w:val="18"/>
              </w:rPr>
              <w:t xml:space="preserve"> </w:t>
            </w:r>
            <w:r>
              <w:rPr>
                <w:sz w:val="18"/>
              </w:rPr>
              <w:t>Dulohupa)</w:t>
            </w:r>
            <w:r>
              <w:rPr>
                <w:spacing w:val="-5"/>
                <w:sz w:val="18"/>
              </w:rPr>
              <w:t xml:space="preserve"> </w:t>
            </w:r>
            <w:r>
              <w:rPr>
                <w:sz w:val="18"/>
              </w:rPr>
              <w:t>generated</w:t>
            </w:r>
            <w:r>
              <w:rPr>
                <w:spacing w:val="-4"/>
                <w:sz w:val="18"/>
              </w:rPr>
              <w:t xml:space="preserve"> </w:t>
            </w:r>
            <w:r>
              <w:rPr>
                <w:sz w:val="18"/>
              </w:rPr>
              <w:t>69</w:t>
            </w:r>
            <w:r>
              <w:rPr>
                <w:spacing w:val="-4"/>
                <w:sz w:val="18"/>
              </w:rPr>
              <w:t xml:space="preserve"> </w:t>
            </w:r>
            <w:r>
              <w:rPr>
                <w:sz w:val="18"/>
              </w:rPr>
              <w:t>proposals</w:t>
            </w:r>
            <w:r>
              <w:rPr>
                <w:spacing w:val="-4"/>
                <w:sz w:val="18"/>
              </w:rPr>
              <w:t xml:space="preserve"> </w:t>
            </w:r>
            <w:r>
              <w:rPr>
                <w:sz w:val="18"/>
              </w:rPr>
              <w:t>from</w:t>
            </w:r>
            <w:r>
              <w:rPr>
                <w:spacing w:val="-5"/>
                <w:sz w:val="18"/>
              </w:rPr>
              <w:t xml:space="preserve"> </w:t>
            </w:r>
            <w:r>
              <w:rPr>
                <w:sz w:val="18"/>
              </w:rPr>
              <w:t>25 provincial agencies, 6 district/city agencies, 31 DPOs, and various community organisations.</w:t>
            </w:r>
          </w:p>
        </w:tc>
      </w:tr>
      <w:tr w:rsidR="00BC24A8" w14:paraId="3B3BB066" w14:textId="77777777">
        <w:trPr>
          <w:trHeight w:val="2051"/>
        </w:trPr>
        <w:tc>
          <w:tcPr>
            <w:tcW w:w="1212" w:type="dxa"/>
            <w:tcBorders>
              <w:top w:val="single" w:sz="4" w:space="0" w:color="BEBEBE"/>
              <w:bottom w:val="single" w:sz="4" w:space="0" w:color="BEBEBE"/>
            </w:tcBorders>
          </w:tcPr>
          <w:p w14:paraId="65B62C60" w14:textId="77777777" w:rsidR="00BC24A8" w:rsidRDefault="00000000">
            <w:pPr>
              <w:pStyle w:val="TableParagraph"/>
              <w:spacing w:before="116"/>
              <w:ind w:left="122"/>
              <w:rPr>
                <w:sz w:val="18"/>
              </w:rPr>
            </w:pPr>
            <w:r>
              <w:rPr>
                <w:spacing w:val="-2"/>
                <w:sz w:val="18"/>
              </w:rPr>
              <w:t>Operational</w:t>
            </w:r>
            <w:r>
              <w:rPr>
                <w:sz w:val="18"/>
              </w:rPr>
              <w:t xml:space="preserve"> </w:t>
            </w:r>
            <w:r>
              <w:rPr>
                <w:spacing w:val="-2"/>
                <w:sz w:val="18"/>
              </w:rPr>
              <w:t>Impact</w:t>
            </w:r>
          </w:p>
        </w:tc>
        <w:tc>
          <w:tcPr>
            <w:tcW w:w="7894" w:type="dxa"/>
            <w:tcBorders>
              <w:top w:val="single" w:sz="4" w:space="0" w:color="BEBEBE"/>
              <w:bottom w:val="single" w:sz="4" w:space="0" w:color="BEBEBE"/>
            </w:tcBorders>
          </w:tcPr>
          <w:p w14:paraId="18D152F1" w14:textId="77777777" w:rsidR="00BC24A8" w:rsidRDefault="00000000">
            <w:pPr>
              <w:pStyle w:val="TableParagraph"/>
              <w:spacing w:before="119"/>
              <w:ind w:left="259"/>
              <w:rPr>
                <w:sz w:val="18"/>
              </w:rPr>
            </w:pPr>
            <w:r>
              <w:rPr>
                <w:sz w:val="18"/>
              </w:rPr>
              <w:t>Changes</w:t>
            </w:r>
            <w:r>
              <w:rPr>
                <w:spacing w:val="-2"/>
                <w:sz w:val="18"/>
              </w:rPr>
              <w:t xml:space="preserve"> </w:t>
            </w:r>
            <w:r>
              <w:rPr>
                <w:sz w:val="18"/>
              </w:rPr>
              <w:t>in</w:t>
            </w:r>
            <w:r>
              <w:rPr>
                <w:spacing w:val="-1"/>
                <w:sz w:val="18"/>
              </w:rPr>
              <w:t xml:space="preserve"> </w:t>
            </w:r>
            <w:r>
              <w:rPr>
                <w:sz w:val="18"/>
              </w:rPr>
              <w:t>practices,</w:t>
            </w:r>
            <w:r>
              <w:rPr>
                <w:spacing w:val="-3"/>
                <w:sz w:val="18"/>
              </w:rPr>
              <w:t xml:space="preserve"> </w:t>
            </w:r>
            <w:r>
              <w:rPr>
                <w:sz w:val="18"/>
              </w:rPr>
              <w:t>ways</w:t>
            </w:r>
            <w:r>
              <w:rPr>
                <w:spacing w:val="-1"/>
                <w:sz w:val="18"/>
              </w:rPr>
              <w:t xml:space="preserve"> </w:t>
            </w:r>
            <w:r>
              <w:rPr>
                <w:sz w:val="18"/>
              </w:rPr>
              <w:t>of</w:t>
            </w:r>
            <w:r>
              <w:rPr>
                <w:spacing w:val="-3"/>
                <w:sz w:val="18"/>
              </w:rPr>
              <w:t xml:space="preserve"> </w:t>
            </w:r>
            <w:r>
              <w:rPr>
                <w:sz w:val="18"/>
              </w:rPr>
              <w:t>working,</w:t>
            </w:r>
            <w:r>
              <w:rPr>
                <w:spacing w:val="-2"/>
                <w:sz w:val="18"/>
              </w:rPr>
              <w:t xml:space="preserve"> </w:t>
            </w:r>
            <w:r>
              <w:rPr>
                <w:sz w:val="18"/>
              </w:rPr>
              <w:t>and</w:t>
            </w:r>
            <w:r>
              <w:rPr>
                <w:spacing w:val="-1"/>
                <w:sz w:val="18"/>
              </w:rPr>
              <w:t xml:space="preserve"> </w:t>
            </w:r>
            <w:r>
              <w:rPr>
                <w:spacing w:val="-2"/>
                <w:sz w:val="18"/>
              </w:rPr>
              <w:t>coordination:</w:t>
            </w:r>
          </w:p>
          <w:p w14:paraId="3167A8E4" w14:textId="77777777" w:rsidR="00BC24A8" w:rsidRDefault="00000000">
            <w:pPr>
              <w:pStyle w:val="TableParagraph"/>
              <w:numPr>
                <w:ilvl w:val="0"/>
                <w:numId w:val="122"/>
              </w:numPr>
              <w:tabs>
                <w:tab w:val="left" w:pos="590"/>
              </w:tabs>
              <w:spacing w:before="58"/>
              <w:ind w:right="308"/>
              <w:rPr>
                <w:sz w:val="18"/>
              </w:rPr>
            </w:pPr>
            <w:r>
              <w:rPr>
                <w:sz w:val="18"/>
              </w:rPr>
              <w:t>Provincial</w:t>
            </w:r>
            <w:r>
              <w:rPr>
                <w:spacing w:val="-2"/>
                <w:sz w:val="18"/>
              </w:rPr>
              <w:t xml:space="preserve"> </w:t>
            </w:r>
            <w:r>
              <w:rPr>
                <w:sz w:val="18"/>
              </w:rPr>
              <w:t>road</w:t>
            </w:r>
            <w:r>
              <w:rPr>
                <w:spacing w:val="-3"/>
                <w:sz w:val="18"/>
              </w:rPr>
              <w:t xml:space="preserve"> </w:t>
            </w:r>
            <w:r>
              <w:rPr>
                <w:sz w:val="18"/>
              </w:rPr>
              <w:t>infrastructure</w:t>
            </w:r>
            <w:r>
              <w:rPr>
                <w:spacing w:val="-3"/>
                <w:sz w:val="18"/>
              </w:rPr>
              <w:t xml:space="preserve"> </w:t>
            </w:r>
            <w:r>
              <w:rPr>
                <w:sz w:val="18"/>
              </w:rPr>
              <w:t>to</w:t>
            </w:r>
            <w:r>
              <w:rPr>
                <w:spacing w:val="-6"/>
                <w:sz w:val="18"/>
              </w:rPr>
              <w:t xml:space="preserve"> </w:t>
            </w:r>
            <w:r>
              <w:rPr>
                <w:sz w:val="18"/>
              </w:rPr>
              <w:t>improve</w:t>
            </w:r>
            <w:r>
              <w:rPr>
                <w:spacing w:val="-3"/>
                <w:sz w:val="18"/>
              </w:rPr>
              <w:t xml:space="preserve"> </w:t>
            </w:r>
            <w:r>
              <w:rPr>
                <w:sz w:val="18"/>
              </w:rPr>
              <w:t>community</w:t>
            </w:r>
            <w:r>
              <w:rPr>
                <w:spacing w:val="-3"/>
                <w:sz w:val="18"/>
              </w:rPr>
              <w:t xml:space="preserve"> </w:t>
            </w:r>
            <w:r>
              <w:rPr>
                <w:sz w:val="18"/>
              </w:rPr>
              <w:t>access</w:t>
            </w:r>
            <w:r>
              <w:rPr>
                <w:spacing w:val="-3"/>
                <w:sz w:val="18"/>
              </w:rPr>
              <w:t xml:space="preserve"> </w:t>
            </w:r>
            <w:r>
              <w:rPr>
                <w:sz w:val="18"/>
              </w:rPr>
              <w:t>to</w:t>
            </w:r>
            <w:r>
              <w:rPr>
                <w:spacing w:val="-4"/>
                <w:sz w:val="18"/>
              </w:rPr>
              <w:t xml:space="preserve"> </w:t>
            </w:r>
            <w:r>
              <w:rPr>
                <w:sz w:val="18"/>
              </w:rPr>
              <w:t>basic</w:t>
            </w:r>
            <w:r>
              <w:rPr>
                <w:spacing w:val="-3"/>
                <w:sz w:val="18"/>
              </w:rPr>
              <w:t xml:space="preserve"> </w:t>
            </w:r>
            <w:r>
              <w:rPr>
                <w:sz w:val="18"/>
              </w:rPr>
              <w:t>services</w:t>
            </w:r>
            <w:r>
              <w:rPr>
                <w:spacing w:val="-3"/>
                <w:sz w:val="18"/>
              </w:rPr>
              <w:t xml:space="preserve"> </w:t>
            </w:r>
            <w:r>
              <w:rPr>
                <w:sz w:val="18"/>
              </w:rPr>
              <w:t>under</w:t>
            </w:r>
            <w:r>
              <w:rPr>
                <w:spacing w:val="-3"/>
                <w:sz w:val="18"/>
              </w:rPr>
              <w:t xml:space="preserve"> </w:t>
            </w:r>
            <w:r>
              <w:rPr>
                <w:sz w:val="18"/>
              </w:rPr>
              <w:t>the</w:t>
            </w:r>
            <w:r>
              <w:rPr>
                <w:spacing w:val="-3"/>
                <w:sz w:val="18"/>
              </w:rPr>
              <w:t xml:space="preserve"> </w:t>
            </w:r>
            <w:r>
              <w:rPr>
                <w:sz w:val="18"/>
              </w:rPr>
              <w:t>RAD</w:t>
            </w:r>
            <w:r>
              <w:rPr>
                <w:spacing w:val="-2"/>
                <w:sz w:val="18"/>
              </w:rPr>
              <w:t xml:space="preserve"> </w:t>
            </w:r>
            <w:r>
              <w:rPr>
                <w:sz w:val="18"/>
              </w:rPr>
              <w:t>DBH Sawit program has been accommodated in the 2025 RKPD,</w:t>
            </w:r>
          </w:p>
          <w:p w14:paraId="70C6F549" w14:textId="77777777" w:rsidR="00BC24A8" w:rsidRDefault="00000000">
            <w:pPr>
              <w:pStyle w:val="TableParagraph"/>
              <w:numPr>
                <w:ilvl w:val="0"/>
                <w:numId w:val="122"/>
              </w:numPr>
              <w:tabs>
                <w:tab w:val="left" w:pos="590"/>
              </w:tabs>
              <w:ind w:right="639"/>
              <w:rPr>
                <w:sz w:val="18"/>
              </w:rPr>
            </w:pPr>
            <w:r>
              <w:rPr>
                <w:sz w:val="18"/>
              </w:rPr>
              <w:t>Bappeda,</w:t>
            </w:r>
            <w:r>
              <w:rPr>
                <w:spacing w:val="-3"/>
                <w:sz w:val="18"/>
              </w:rPr>
              <w:t xml:space="preserve"> </w:t>
            </w:r>
            <w:r>
              <w:rPr>
                <w:sz w:val="18"/>
              </w:rPr>
              <w:t>as</w:t>
            </w:r>
            <w:r>
              <w:rPr>
                <w:spacing w:val="-3"/>
                <w:sz w:val="18"/>
              </w:rPr>
              <w:t xml:space="preserve"> </w:t>
            </w:r>
            <w:r>
              <w:rPr>
                <w:sz w:val="18"/>
              </w:rPr>
              <w:t>the</w:t>
            </w:r>
            <w:r>
              <w:rPr>
                <w:spacing w:val="-3"/>
                <w:sz w:val="18"/>
              </w:rPr>
              <w:t xml:space="preserve"> </w:t>
            </w:r>
            <w:r>
              <w:rPr>
                <w:sz w:val="18"/>
              </w:rPr>
              <w:t>Coordinator</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One</w:t>
            </w:r>
            <w:r>
              <w:rPr>
                <w:spacing w:val="-3"/>
                <w:sz w:val="18"/>
              </w:rPr>
              <w:t xml:space="preserve"> </w:t>
            </w:r>
            <w:r>
              <w:rPr>
                <w:sz w:val="18"/>
              </w:rPr>
              <w:t>Data</w:t>
            </w:r>
            <w:r>
              <w:rPr>
                <w:spacing w:val="-3"/>
                <w:sz w:val="18"/>
              </w:rPr>
              <w:t xml:space="preserve"> </w:t>
            </w:r>
            <w:r>
              <w:rPr>
                <w:sz w:val="18"/>
              </w:rPr>
              <w:t>Forum,</w:t>
            </w:r>
            <w:r>
              <w:rPr>
                <w:spacing w:val="-3"/>
                <w:sz w:val="18"/>
              </w:rPr>
              <w:t xml:space="preserve"> </w:t>
            </w:r>
            <w:r>
              <w:rPr>
                <w:sz w:val="18"/>
              </w:rPr>
              <w:t>has</w:t>
            </w:r>
            <w:r>
              <w:rPr>
                <w:spacing w:val="-3"/>
                <w:sz w:val="18"/>
              </w:rPr>
              <w:t xml:space="preserve"> </w:t>
            </w:r>
            <w:r>
              <w:rPr>
                <w:sz w:val="18"/>
              </w:rPr>
              <w:t>been</w:t>
            </w:r>
            <w:r>
              <w:rPr>
                <w:spacing w:val="-3"/>
                <w:sz w:val="18"/>
              </w:rPr>
              <w:t xml:space="preserve"> </w:t>
            </w:r>
            <w:r>
              <w:rPr>
                <w:sz w:val="18"/>
              </w:rPr>
              <w:t>strengthened,</w:t>
            </w:r>
            <w:r>
              <w:rPr>
                <w:spacing w:val="-3"/>
                <w:sz w:val="18"/>
              </w:rPr>
              <w:t xml:space="preserve"> </w:t>
            </w:r>
            <w:r>
              <w:rPr>
                <w:sz w:val="18"/>
              </w:rPr>
              <w:t>leading</w:t>
            </w:r>
            <w:r>
              <w:rPr>
                <w:spacing w:val="-3"/>
                <w:sz w:val="18"/>
              </w:rPr>
              <w:t xml:space="preserve"> </w:t>
            </w:r>
            <w:r>
              <w:rPr>
                <w:sz w:val="18"/>
              </w:rPr>
              <w:t>all</w:t>
            </w:r>
            <w:r>
              <w:rPr>
                <w:spacing w:val="-2"/>
                <w:sz w:val="18"/>
              </w:rPr>
              <w:t xml:space="preserve"> </w:t>
            </w:r>
            <w:r>
              <w:rPr>
                <w:sz w:val="18"/>
              </w:rPr>
              <w:t>FSD meetings and independently producing various strategic outputs,</w:t>
            </w:r>
          </w:p>
          <w:p w14:paraId="1BBCF625" w14:textId="77777777" w:rsidR="00BC24A8" w:rsidRDefault="00000000">
            <w:pPr>
              <w:pStyle w:val="TableParagraph"/>
              <w:numPr>
                <w:ilvl w:val="0"/>
                <w:numId w:val="122"/>
              </w:numPr>
              <w:tabs>
                <w:tab w:val="left" w:pos="590"/>
              </w:tabs>
              <w:ind w:right="352"/>
              <w:rPr>
                <w:sz w:val="18"/>
              </w:rPr>
            </w:pPr>
            <w:r>
              <w:rPr>
                <w:sz w:val="18"/>
              </w:rPr>
              <w:t>Four CSO proposals have been incorporated into the 2025–2029 RPJMD: management of poor households’</w:t>
            </w:r>
            <w:r>
              <w:rPr>
                <w:spacing w:val="-4"/>
                <w:sz w:val="18"/>
              </w:rPr>
              <w:t xml:space="preserve"> </w:t>
            </w:r>
            <w:r>
              <w:rPr>
                <w:sz w:val="18"/>
              </w:rPr>
              <w:t>data,</w:t>
            </w:r>
            <w:r>
              <w:rPr>
                <w:spacing w:val="-4"/>
                <w:sz w:val="18"/>
              </w:rPr>
              <w:t xml:space="preserve"> </w:t>
            </w:r>
            <w:r>
              <w:rPr>
                <w:sz w:val="18"/>
              </w:rPr>
              <w:t>social</w:t>
            </w:r>
            <w:r>
              <w:rPr>
                <w:spacing w:val="-3"/>
                <w:sz w:val="18"/>
              </w:rPr>
              <w:t xml:space="preserve"> </w:t>
            </w:r>
            <w:r>
              <w:rPr>
                <w:sz w:val="18"/>
              </w:rPr>
              <w:t>rehabilitation</w:t>
            </w:r>
            <w:r>
              <w:rPr>
                <w:spacing w:val="-4"/>
                <w:sz w:val="18"/>
              </w:rPr>
              <w:t xml:space="preserve"> </w:t>
            </w:r>
            <w:r>
              <w:rPr>
                <w:sz w:val="18"/>
              </w:rPr>
              <w:t>for</w:t>
            </w:r>
            <w:r>
              <w:rPr>
                <w:spacing w:val="-4"/>
                <w:sz w:val="18"/>
              </w:rPr>
              <w:t xml:space="preserve"> </w:t>
            </w:r>
            <w:r>
              <w:rPr>
                <w:sz w:val="18"/>
              </w:rPr>
              <w:t>neglected</w:t>
            </w:r>
            <w:r>
              <w:rPr>
                <w:spacing w:val="-4"/>
                <w:sz w:val="18"/>
              </w:rPr>
              <w:t xml:space="preserve"> </w:t>
            </w:r>
            <w:r>
              <w:rPr>
                <w:sz w:val="18"/>
              </w:rPr>
              <w:t>persons</w:t>
            </w:r>
            <w:r>
              <w:rPr>
                <w:spacing w:val="-4"/>
                <w:sz w:val="18"/>
              </w:rPr>
              <w:t xml:space="preserve"> </w:t>
            </w:r>
            <w:r>
              <w:rPr>
                <w:sz w:val="18"/>
              </w:rPr>
              <w:t>with</w:t>
            </w:r>
            <w:r>
              <w:rPr>
                <w:spacing w:val="-4"/>
                <w:sz w:val="18"/>
              </w:rPr>
              <w:t xml:space="preserve"> </w:t>
            </w:r>
            <w:r>
              <w:rPr>
                <w:sz w:val="18"/>
              </w:rPr>
              <w:t>disabilities,</w:t>
            </w:r>
            <w:r>
              <w:rPr>
                <w:spacing w:val="-4"/>
                <w:sz w:val="18"/>
              </w:rPr>
              <w:t xml:space="preserve"> </w:t>
            </w:r>
            <w:r>
              <w:rPr>
                <w:sz w:val="18"/>
              </w:rPr>
              <w:t>implementation</w:t>
            </w:r>
            <w:r>
              <w:rPr>
                <w:spacing w:val="-4"/>
                <w:sz w:val="18"/>
              </w:rPr>
              <w:t xml:space="preserve"> </w:t>
            </w:r>
            <w:r>
              <w:rPr>
                <w:sz w:val="18"/>
              </w:rPr>
              <w:t>of sectoral statistics, and improvement of family quality.</w:t>
            </w:r>
          </w:p>
        </w:tc>
      </w:tr>
    </w:tbl>
    <w:p w14:paraId="7BEB136A" w14:textId="77777777" w:rsidR="00BC24A8" w:rsidRDefault="00BC24A8">
      <w:pPr>
        <w:pStyle w:val="BodyText"/>
        <w:spacing w:before="221"/>
        <w:rPr>
          <w:rFonts w:ascii="Calibri"/>
          <w:b/>
        </w:rPr>
      </w:pPr>
    </w:p>
    <w:p w14:paraId="0454CBF6" w14:textId="77777777" w:rsidR="00BC24A8" w:rsidRDefault="00000000">
      <w:pPr>
        <w:pStyle w:val="BodyText"/>
        <w:ind w:left="143"/>
        <w:rPr>
          <w:rFonts w:ascii="Calibri"/>
        </w:rPr>
      </w:pPr>
      <w:r>
        <w:rPr>
          <w:rFonts w:ascii="Calibri"/>
          <w:noProof/>
        </w:rPr>
        <mc:AlternateContent>
          <mc:Choice Requires="wpg">
            <w:drawing>
              <wp:anchor distT="0" distB="0" distL="0" distR="0" simplePos="0" relativeHeight="478666240" behindDoc="1" locked="0" layoutInCell="1" allowOverlap="1" wp14:anchorId="655DFFAB" wp14:editId="5829EF4A">
                <wp:simplePos x="0" y="0"/>
                <wp:positionH relativeFrom="page">
                  <wp:posOffset>897636</wp:posOffset>
                </wp:positionH>
                <wp:positionV relativeFrom="paragraph">
                  <wp:posOffset>185067</wp:posOffset>
                </wp:positionV>
                <wp:extent cx="5779135" cy="4328160"/>
                <wp:effectExtent l="0" t="0" r="0" b="0"/>
                <wp:wrapNone/>
                <wp:docPr id="86" name="Group 86" descr="F I R S T S T O RY:&#10;Strengthening Capacity and Synergy in Spatial Data Management Based on Indonesia’s One Data&#10;Principle&#10;&#10;For years, sectoral data management in Gorontalo ran in silos, with little coordination among data-producing provincial agencies. Without a standardised mechanism, data quality, consistency, and integration across agencies were hard to maintain, often slowing down data-driven planning and decision-making.&#10;Things, however, have started to change. Gorontalo Department of Communication, Informatics, and Statistics (Diskominfotik) has taken the lead in building the capacity of staff in data-producing agencies and fostering cross-agency collaboration through the One Data Forum. Trainings, technical assistance, and coordination meetings are now focused on applying the principles of Indonesia’s One Data.&#10;The Head of Statistics at Diskominfotik, one of the key drivers of this shift, emphasised that One Data is not just a policy slogan but a collaborative framework that should guide everyday work:&#10;&#10;&#10;&#10;Implementing Indonesia One Data principles, such as data standards, metadata, interoperability, and reference codes, must be a priority for every agency managing sectoral data,.&#10;Head of Statistics, Diskominfotik Gorontalo, May 2025&#10;&#10;&#10;&#10;With SKALA’s support, most agencies have begun adopting a uniform data management system, connected through the PENTAGON portal. The results are becoming evident: spatial mapping of basic services can now be accessed across agencies, and data synchronisation for territorial planning is faster and more accurate. Although challenges with consistency remain, these changes signal a real and hopeful shift toward more effective, inclusive, and sustainable data governance in Gorontalo.&#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4328160"/>
                          <a:chOff x="0" y="0"/>
                          <a:chExt cx="5779135" cy="4328160"/>
                        </a:xfrm>
                      </wpg:grpSpPr>
                      <wps:wsp>
                        <wps:cNvPr id="87" name="Graphic 87"/>
                        <wps:cNvSpPr/>
                        <wps:spPr>
                          <a:xfrm>
                            <a:off x="6095" y="6095"/>
                            <a:ext cx="5765800" cy="4316095"/>
                          </a:xfrm>
                          <a:custGeom>
                            <a:avLst/>
                            <a:gdLst/>
                            <a:ahLst/>
                            <a:cxnLst/>
                            <a:rect l="l" t="t" r="r" b="b"/>
                            <a:pathLst>
                              <a:path w="5765800" h="4316095">
                                <a:moveTo>
                                  <a:pt x="5765292" y="0"/>
                                </a:moveTo>
                                <a:lnTo>
                                  <a:pt x="0" y="0"/>
                                </a:lnTo>
                                <a:lnTo>
                                  <a:pt x="0" y="4315968"/>
                                </a:lnTo>
                                <a:lnTo>
                                  <a:pt x="5765292" y="4315968"/>
                                </a:lnTo>
                                <a:lnTo>
                                  <a:pt x="5765292" y="0"/>
                                </a:lnTo>
                                <a:close/>
                              </a:path>
                            </a:pathLst>
                          </a:custGeom>
                          <a:solidFill>
                            <a:srgbClr val="E1F1EF"/>
                          </a:solidFill>
                        </wps:spPr>
                        <wps:bodyPr wrap="square" lIns="0" tIns="0" rIns="0" bIns="0" rtlCol="0">
                          <a:prstTxWarp prst="textNoShape">
                            <a:avLst/>
                          </a:prstTxWarp>
                          <a:noAutofit/>
                        </wps:bodyPr>
                      </wps:wsp>
                      <wps:wsp>
                        <wps:cNvPr id="88" name="Graphic 88"/>
                        <wps:cNvSpPr/>
                        <wps:spPr>
                          <a:xfrm>
                            <a:off x="0" y="0"/>
                            <a:ext cx="5779135" cy="4328160"/>
                          </a:xfrm>
                          <a:custGeom>
                            <a:avLst/>
                            <a:gdLst/>
                            <a:ahLst/>
                            <a:cxnLst/>
                            <a:rect l="l" t="t" r="r" b="b"/>
                            <a:pathLst>
                              <a:path w="5779135" h="4328160">
                                <a:moveTo>
                                  <a:pt x="5779008" y="6108"/>
                                </a:moveTo>
                                <a:lnTo>
                                  <a:pt x="5772912" y="6108"/>
                                </a:lnTo>
                                <a:lnTo>
                                  <a:pt x="5772912" y="4322064"/>
                                </a:lnTo>
                                <a:lnTo>
                                  <a:pt x="6108" y="4322064"/>
                                </a:lnTo>
                                <a:lnTo>
                                  <a:pt x="6108" y="6108"/>
                                </a:lnTo>
                                <a:lnTo>
                                  <a:pt x="0" y="6108"/>
                                </a:lnTo>
                                <a:lnTo>
                                  <a:pt x="0" y="4322064"/>
                                </a:lnTo>
                                <a:lnTo>
                                  <a:pt x="0" y="4328160"/>
                                </a:lnTo>
                                <a:lnTo>
                                  <a:pt x="6096" y="4328160"/>
                                </a:lnTo>
                                <a:lnTo>
                                  <a:pt x="5772912" y="4328160"/>
                                </a:lnTo>
                                <a:lnTo>
                                  <a:pt x="5779008" y="4328160"/>
                                </a:lnTo>
                                <a:lnTo>
                                  <a:pt x="5779008" y="4322064"/>
                                </a:lnTo>
                                <a:lnTo>
                                  <a:pt x="5779008" y="6108"/>
                                </a:lnTo>
                                <a:close/>
                              </a:path>
                              <a:path w="5779135" h="4328160">
                                <a:moveTo>
                                  <a:pt x="5779008" y="0"/>
                                </a:moveTo>
                                <a:lnTo>
                                  <a:pt x="5772912" y="0"/>
                                </a:lnTo>
                                <a:lnTo>
                                  <a:pt x="6108" y="0"/>
                                </a:lnTo>
                                <a:lnTo>
                                  <a:pt x="0" y="0"/>
                                </a:lnTo>
                                <a:lnTo>
                                  <a:pt x="0" y="6096"/>
                                </a:lnTo>
                                <a:lnTo>
                                  <a:pt x="6096" y="6096"/>
                                </a:lnTo>
                                <a:lnTo>
                                  <a:pt x="5772912" y="6096"/>
                                </a:lnTo>
                                <a:lnTo>
                                  <a:pt x="5779008" y="6096"/>
                                </a:lnTo>
                                <a:lnTo>
                                  <a:pt x="5779008" y="0"/>
                                </a:lnTo>
                                <a:close/>
                              </a:path>
                            </a:pathLst>
                          </a:custGeom>
                          <a:solidFill>
                            <a:srgbClr val="BEBEBE"/>
                          </a:solidFill>
                        </wps:spPr>
                        <wps:bodyPr wrap="square" lIns="0" tIns="0" rIns="0" bIns="0" rtlCol="0">
                          <a:prstTxWarp prst="textNoShape">
                            <a:avLst/>
                          </a:prstTxWarp>
                          <a:noAutofit/>
                        </wps:bodyPr>
                      </wps:wsp>
                      <wps:wsp>
                        <wps:cNvPr id="89" name="Graphic 89"/>
                        <wps:cNvSpPr/>
                        <wps:spPr>
                          <a:xfrm>
                            <a:off x="177419" y="2452662"/>
                            <a:ext cx="5410200" cy="736600"/>
                          </a:xfrm>
                          <a:custGeom>
                            <a:avLst/>
                            <a:gdLst/>
                            <a:ahLst/>
                            <a:cxnLst/>
                            <a:rect l="l" t="t" r="r" b="b"/>
                            <a:pathLst>
                              <a:path w="5410200" h="736600">
                                <a:moveTo>
                                  <a:pt x="0" y="0"/>
                                </a:moveTo>
                                <a:lnTo>
                                  <a:pt x="5410200" y="0"/>
                                </a:lnTo>
                                <a:lnTo>
                                  <a:pt x="5410200" y="735977"/>
                                </a:lnTo>
                                <a:lnTo>
                                  <a:pt x="0" y="735977"/>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22" cstate="print"/>
                          <a:stretch>
                            <a:fillRect/>
                          </a:stretch>
                        </pic:blipFill>
                        <pic:spPr>
                          <a:xfrm>
                            <a:off x="238398" y="2298127"/>
                            <a:ext cx="223210" cy="205221"/>
                          </a:xfrm>
                          <a:prstGeom prst="rect">
                            <a:avLst/>
                          </a:prstGeom>
                        </pic:spPr>
                      </pic:pic>
                      <pic:pic xmlns:pic="http://schemas.openxmlformats.org/drawingml/2006/picture">
                        <pic:nvPicPr>
                          <pic:cNvPr id="91" name="Image 91"/>
                          <pic:cNvPicPr/>
                        </pic:nvPicPr>
                        <pic:blipFill>
                          <a:blip r:embed="rId20" cstate="print"/>
                          <a:stretch>
                            <a:fillRect/>
                          </a:stretch>
                        </pic:blipFill>
                        <pic:spPr>
                          <a:xfrm>
                            <a:off x="5294717" y="3136532"/>
                            <a:ext cx="223210" cy="205221"/>
                          </a:xfrm>
                          <a:prstGeom prst="rect">
                            <a:avLst/>
                          </a:prstGeom>
                        </pic:spPr>
                      </pic:pic>
                    </wpg:wgp>
                  </a:graphicData>
                </a:graphic>
              </wp:anchor>
            </w:drawing>
          </mc:Choice>
          <mc:Fallback>
            <w:pict>
              <v:group w14:anchorId="0E7F80EF" id="Group 86" o:spid="_x0000_s1026" alt="F I R S T S T O RY:&#10;Strengthening Capacity and Synergy in Spatial Data Management Based on Indonesia’s One Data&#10;Principle&#10;&#10;For years, sectoral data management in Gorontalo ran in silos, with little coordination among data-producing provincial agencies. Without a standardised mechanism, data quality, consistency, and integration across agencies were hard to maintain, often slowing down data-driven planning and decision-making.&#10;Things, however, have started to change. Gorontalo Department of Communication, Informatics, and Statistics (Diskominfotik) has taken the lead in building the capacity of staff in data-producing agencies and fostering cross-agency collaboration through the One Data Forum. Trainings, technical assistance, and coordination meetings are now focused on applying the principles of Indonesia’s One Data.&#10;The Head of Statistics at Diskominfotik, one of the key drivers of this shift, emphasised that One Data is not just a policy slogan but a collaborative framework that should guide everyday work:&#10;&#10;&#10;&#10;Implementing Indonesia One Data principles, such as data standards, metadata, interoperability, and reference codes, must be a priority for every agency managing sectoral data,.&#10;Head of Statistics, Diskominfotik Gorontalo, May 2025&#10;&#10;&#10;&#10;With SKALA’s support, most agencies have begun adopting a uniform data management system, connected through the PENTAGON portal. The results are becoming evident: spatial mapping of basic services can now be accessed across agencies, and data synchronisation for territorial planning is faster and more accurate. Although challenges with consistency remain, these changes signal a real and hopeful shift toward more effective, inclusive, and sustainable data governance in Gorontalo.&#10;" style="position:absolute;margin-left:70.7pt;margin-top:14.55pt;width:455.05pt;height:340.8pt;z-index:-24650240;mso-wrap-distance-left:0;mso-wrap-distance-right:0;mso-position-horizontal-relative:page" coordsize="57791,4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">
                <v:shape id="Graphic 87" o:spid="_x0000_s1027" style="position:absolute;left:60;top:60;width:57658;height:43161;visibility:visible;mso-wrap-style:square;v-text-anchor:top" coordsize="5765800,43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" path="m5765292,l,,,4315968r5765292,l5765292,xe" fillcolor="#e1f1ef" stroked="f">
                  <v:path arrowok="t"/>
                </v:shape>
                <v:shape id="Graphic 88" o:spid="_x0000_s1028" style="position:absolute;width:57791;height:43281;visibility:visible;mso-wrap-style:square;v-text-anchor:top" coordsize="5779135,432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" path="m5779008,6108r-6096,l5772912,4322064r-5766804,l6108,6108,,6108,,4322064r,6096l6096,4328160r5766816,l5779008,4328160r,-6096l5779008,6108xem5779008,r-6096,l6108,,,,,6096r6096,l5772912,6096r6096,l5779008,xe" fillcolor="#bebebe" stroked="f">
                  <v:path arrowok="t"/>
                </v:shape>
                <v:shape id="Graphic 89" o:spid="_x0000_s1029" style="position:absolute;left:1774;top:24526;width:54102;height:7366;visibility:visible;mso-wrap-style:square;v-text-anchor:top" coordsize="541020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" path="m,l5410200,r,735977l,735977,,xe" filled="f" strokecolor="#17365a" strokeweight="1pt">
                  <v:path arrowok="t"/>
                </v:shape>
                <v:shape id="Image 90" o:spid="_x0000_s1030" type="#_x0000_t75" style="position:absolute;left:2383;top:22981;width:2233;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">
                  <v:imagedata r:id="rId23" o:title=""/>
                </v:shape>
                <v:shape id="Image 91" o:spid="_x0000_s1031" type="#_x0000_t75" style="position:absolute;left:52947;top:31365;width:2232;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">
                  <v:imagedata r:id="rId21" o:title=""/>
                </v:shape>
                <w10:wrap anchorx="page"/>
              </v:group>
            </w:pict>
          </mc:Fallback>
        </mc:AlternateContent>
      </w:r>
      <w:r>
        <w:rPr>
          <w:rFonts w:ascii="Calibri"/>
          <w:color w:val="272727"/>
        </w:rPr>
        <w:t>Significant</w:t>
      </w:r>
      <w:r>
        <w:rPr>
          <w:rFonts w:ascii="Calibri"/>
          <w:color w:val="272727"/>
          <w:spacing w:val="-10"/>
        </w:rPr>
        <w:t xml:space="preserve"> </w:t>
      </w:r>
      <w:r>
        <w:rPr>
          <w:rFonts w:ascii="Calibri"/>
          <w:color w:val="272727"/>
        </w:rPr>
        <w:t>change</w:t>
      </w:r>
      <w:r>
        <w:rPr>
          <w:rFonts w:ascii="Calibri"/>
          <w:color w:val="272727"/>
          <w:spacing w:val="-11"/>
        </w:rPr>
        <w:t xml:space="preserve"> </w:t>
      </w:r>
      <w:r>
        <w:rPr>
          <w:rFonts w:ascii="Calibri"/>
          <w:color w:val="272727"/>
          <w:spacing w:val="-4"/>
        </w:rPr>
        <w:t>story</w:t>
      </w:r>
    </w:p>
    <w:p w14:paraId="442158FC" w14:textId="77777777" w:rsidR="00BC24A8" w:rsidRDefault="00000000">
      <w:pPr>
        <w:spacing w:before="154"/>
        <w:ind w:right="440"/>
        <w:jc w:val="center"/>
        <w:rPr>
          <w:sz w:val="20"/>
        </w:rPr>
      </w:pPr>
      <w:r>
        <w:rPr>
          <w:sz w:val="20"/>
        </w:rPr>
        <w:t>F</w:t>
      </w:r>
      <w:r>
        <w:rPr>
          <w:spacing w:val="-15"/>
          <w:sz w:val="20"/>
        </w:rPr>
        <w:t xml:space="preserve"> </w:t>
      </w:r>
      <w:r>
        <w:rPr>
          <w:sz w:val="20"/>
        </w:rPr>
        <w:t>I</w:t>
      </w:r>
      <w:r>
        <w:rPr>
          <w:spacing w:val="-13"/>
          <w:sz w:val="20"/>
        </w:rPr>
        <w:t xml:space="preserve"> </w:t>
      </w:r>
      <w:r>
        <w:rPr>
          <w:sz w:val="20"/>
        </w:rPr>
        <w:t>R</w:t>
      </w:r>
      <w:r>
        <w:rPr>
          <w:spacing w:val="-17"/>
          <w:sz w:val="20"/>
        </w:rPr>
        <w:t xml:space="preserve"> </w:t>
      </w:r>
      <w:r>
        <w:rPr>
          <w:sz w:val="20"/>
        </w:rPr>
        <w:t>S</w:t>
      </w:r>
      <w:r>
        <w:rPr>
          <w:spacing w:val="-13"/>
          <w:sz w:val="20"/>
        </w:rPr>
        <w:t xml:space="preserve"> </w:t>
      </w:r>
      <w:r>
        <w:rPr>
          <w:sz w:val="20"/>
        </w:rPr>
        <w:t>T</w:t>
      </w:r>
      <w:r>
        <w:rPr>
          <w:spacing w:val="56"/>
          <w:sz w:val="20"/>
        </w:rPr>
        <w:t xml:space="preserve"> </w:t>
      </w:r>
      <w:r>
        <w:rPr>
          <w:sz w:val="20"/>
        </w:rPr>
        <w:t>S</w:t>
      </w:r>
      <w:r>
        <w:rPr>
          <w:spacing w:val="-16"/>
          <w:sz w:val="20"/>
        </w:rPr>
        <w:t xml:space="preserve"> </w:t>
      </w:r>
      <w:r>
        <w:rPr>
          <w:sz w:val="20"/>
        </w:rPr>
        <w:t>T</w:t>
      </w:r>
      <w:r>
        <w:rPr>
          <w:spacing w:val="-17"/>
          <w:sz w:val="20"/>
        </w:rPr>
        <w:t xml:space="preserve"> </w:t>
      </w:r>
      <w:r>
        <w:rPr>
          <w:sz w:val="20"/>
        </w:rPr>
        <w:t>O</w:t>
      </w:r>
      <w:r>
        <w:rPr>
          <w:spacing w:val="-13"/>
          <w:sz w:val="20"/>
        </w:rPr>
        <w:t xml:space="preserve"> </w:t>
      </w:r>
      <w:r>
        <w:rPr>
          <w:spacing w:val="9"/>
          <w:sz w:val="20"/>
        </w:rPr>
        <w:t>RY:</w:t>
      </w:r>
    </w:p>
    <w:p w14:paraId="4E5F935D" w14:textId="77777777" w:rsidR="00BC24A8" w:rsidRDefault="00000000">
      <w:pPr>
        <w:spacing w:line="243" w:lineRule="exact"/>
        <w:ind w:left="40" w:right="440"/>
        <w:jc w:val="center"/>
        <w:rPr>
          <w:rFonts w:ascii="Calibri" w:hAnsi="Calibri"/>
          <w:b/>
          <w:sz w:val="20"/>
        </w:rPr>
      </w:pPr>
      <w:r>
        <w:rPr>
          <w:rFonts w:ascii="Calibri" w:hAnsi="Calibri"/>
          <w:b/>
          <w:color w:val="17365A"/>
          <w:sz w:val="20"/>
        </w:rPr>
        <w:t>Strengthening</w:t>
      </w:r>
      <w:r>
        <w:rPr>
          <w:rFonts w:ascii="Calibri" w:hAnsi="Calibri"/>
          <w:b/>
          <w:color w:val="17365A"/>
          <w:spacing w:val="-9"/>
          <w:sz w:val="20"/>
        </w:rPr>
        <w:t xml:space="preserve"> </w:t>
      </w:r>
      <w:r>
        <w:rPr>
          <w:rFonts w:ascii="Calibri" w:hAnsi="Calibri"/>
          <w:b/>
          <w:color w:val="17365A"/>
          <w:sz w:val="20"/>
        </w:rPr>
        <w:t>Capacity</w:t>
      </w:r>
      <w:r>
        <w:rPr>
          <w:rFonts w:ascii="Calibri" w:hAnsi="Calibri"/>
          <w:b/>
          <w:color w:val="17365A"/>
          <w:spacing w:val="-9"/>
          <w:sz w:val="20"/>
        </w:rPr>
        <w:t xml:space="preserve"> </w:t>
      </w:r>
      <w:r>
        <w:rPr>
          <w:rFonts w:ascii="Calibri" w:hAnsi="Calibri"/>
          <w:b/>
          <w:color w:val="17365A"/>
          <w:sz w:val="20"/>
        </w:rPr>
        <w:t>and</w:t>
      </w:r>
      <w:r>
        <w:rPr>
          <w:rFonts w:ascii="Calibri" w:hAnsi="Calibri"/>
          <w:b/>
          <w:color w:val="17365A"/>
          <w:spacing w:val="-7"/>
          <w:sz w:val="20"/>
        </w:rPr>
        <w:t xml:space="preserve"> </w:t>
      </w:r>
      <w:r>
        <w:rPr>
          <w:rFonts w:ascii="Calibri" w:hAnsi="Calibri"/>
          <w:b/>
          <w:color w:val="17365A"/>
          <w:sz w:val="20"/>
        </w:rPr>
        <w:t>Synergy</w:t>
      </w:r>
      <w:r>
        <w:rPr>
          <w:rFonts w:ascii="Calibri" w:hAnsi="Calibri"/>
          <w:b/>
          <w:color w:val="17365A"/>
          <w:spacing w:val="-9"/>
          <w:sz w:val="20"/>
        </w:rPr>
        <w:t xml:space="preserve"> </w:t>
      </w:r>
      <w:r>
        <w:rPr>
          <w:rFonts w:ascii="Calibri" w:hAnsi="Calibri"/>
          <w:b/>
          <w:color w:val="17365A"/>
          <w:sz w:val="20"/>
        </w:rPr>
        <w:t>in</w:t>
      </w:r>
      <w:r>
        <w:rPr>
          <w:rFonts w:ascii="Calibri" w:hAnsi="Calibri"/>
          <w:b/>
          <w:color w:val="17365A"/>
          <w:spacing w:val="-7"/>
          <w:sz w:val="20"/>
        </w:rPr>
        <w:t xml:space="preserve"> </w:t>
      </w:r>
      <w:r>
        <w:rPr>
          <w:rFonts w:ascii="Calibri" w:hAnsi="Calibri"/>
          <w:b/>
          <w:color w:val="17365A"/>
          <w:sz w:val="20"/>
        </w:rPr>
        <w:t>Spatial</w:t>
      </w:r>
      <w:r>
        <w:rPr>
          <w:rFonts w:ascii="Calibri" w:hAnsi="Calibri"/>
          <w:b/>
          <w:color w:val="17365A"/>
          <w:spacing w:val="-9"/>
          <w:sz w:val="20"/>
        </w:rPr>
        <w:t xml:space="preserve"> </w:t>
      </w:r>
      <w:r>
        <w:rPr>
          <w:rFonts w:ascii="Calibri" w:hAnsi="Calibri"/>
          <w:b/>
          <w:color w:val="17365A"/>
          <w:sz w:val="20"/>
        </w:rPr>
        <w:t>Data</w:t>
      </w:r>
      <w:r>
        <w:rPr>
          <w:rFonts w:ascii="Calibri" w:hAnsi="Calibri"/>
          <w:b/>
          <w:color w:val="17365A"/>
          <w:spacing w:val="-8"/>
          <w:sz w:val="20"/>
        </w:rPr>
        <w:t xml:space="preserve"> </w:t>
      </w:r>
      <w:r>
        <w:rPr>
          <w:rFonts w:ascii="Calibri" w:hAnsi="Calibri"/>
          <w:b/>
          <w:color w:val="17365A"/>
          <w:sz w:val="20"/>
        </w:rPr>
        <w:t>Management</w:t>
      </w:r>
      <w:r>
        <w:rPr>
          <w:rFonts w:ascii="Calibri" w:hAnsi="Calibri"/>
          <w:b/>
          <w:color w:val="17365A"/>
          <w:spacing w:val="-8"/>
          <w:sz w:val="20"/>
        </w:rPr>
        <w:t xml:space="preserve"> </w:t>
      </w:r>
      <w:r>
        <w:rPr>
          <w:rFonts w:ascii="Calibri" w:hAnsi="Calibri"/>
          <w:b/>
          <w:color w:val="17365A"/>
          <w:sz w:val="20"/>
        </w:rPr>
        <w:t>Based</w:t>
      </w:r>
      <w:r>
        <w:rPr>
          <w:rFonts w:ascii="Calibri" w:hAnsi="Calibri"/>
          <w:b/>
          <w:color w:val="17365A"/>
          <w:spacing w:val="-7"/>
          <w:sz w:val="20"/>
        </w:rPr>
        <w:t xml:space="preserve"> </w:t>
      </w:r>
      <w:r>
        <w:rPr>
          <w:rFonts w:ascii="Calibri" w:hAnsi="Calibri"/>
          <w:b/>
          <w:color w:val="17365A"/>
          <w:sz w:val="20"/>
        </w:rPr>
        <w:t>on</w:t>
      </w:r>
      <w:r>
        <w:rPr>
          <w:rFonts w:ascii="Calibri" w:hAnsi="Calibri"/>
          <w:b/>
          <w:color w:val="17365A"/>
          <w:spacing w:val="-9"/>
          <w:sz w:val="20"/>
        </w:rPr>
        <w:t xml:space="preserve"> </w:t>
      </w:r>
      <w:r>
        <w:rPr>
          <w:rFonts w:ascii="Calibri" w:hAnsi="Calibri"/>
          <w:b/>
          <w:color w:val="17365A"/>
          <w:sz w:val="20"/>
        </w:rPr>
        <w:t>Indonesia’s</w:t>
      </w:r>
      <w:r>
        <w:rPr>
          <w:rFonts w:ascii="Calibri" w:hAnsi="Calibri"/>
          <w:b/>
          <w:color w:val="17365A"/>
          <w:spacing w:val="-11"/>
          <w:sz w:val="20"/>
        </w:rPr>
        <w:t xml:space="preserve"> </w:t>
      </w:r>
      <w:r>
        <w:rPr>
          <w:rFonts w:ascii="Calibri" w:hAnsi="Calibri"/>
          <w:b/>
          <w:color w:val="17365A"/>
          <w:sz w:val="20"/>
        </w:rPr>
        <w:t>One</w:t>
      </w:r>
      <w:r>
        <w:rPr>
          <w:rFonts w:ascii="Calibri" w:hAnsi="Calibri"/>
          <w:b/>
          <w:color w:val="17365A"/>
          <w:spacing w:val="-8"/>
          <w:sz w:val="20"/>
        </w:rPr>
        <w:t xml:space="preserve"> </w:t>
      </w:r>
      <w:r>
        <w:rPr>
          <w:rFonts w:ascii="Calibri" w:hAnsi="Calibri"/>
          <w:b/>
          <w:color w:val="17365A"/>
          <w:spacing w:val="-4"/>
          <w:sz w:val="20"/>
        </w:rPr>
        <w:t>Data</w:t>
      </w:r>
    </w:p>
    <w:p w14:paraId="43A52C21" w14:textId="77777777" w:rsidR="00BC24A8" w:rsidRDefault="00000000">
      <w:pPr>
        <w:spacing w:line="243" w:lineRule="exact"/>
        <w:ind w:left="35" w:right="440"/>
        <w:jc w:val="center"/>
        <w:rPr>
          <w:rFonts w:ascii="Calibri"/>
          <w:b/>
          <w:sz w:val="20"/>
        </w:rPr>
      </w:pPr>
      <w:r>
        <w:rPr>
          <w:rFonts w:ascii="Calibri"/>
          <w:b/>
          <w:color w:val="17365A"/>
          <w:spacing w:val="-2"/>
          <w:sz w:val="20"/>
        </w:rPr>
        <w:t>Principle</w:t>
      </w:r>
    </w:p>
    <w:p w14:paraId="329AC38F" w14:textId="77777777" w:rsidR="00BC24A8" w:rsidRDefault="00BC24A8">
      <w:pPr>
        <w:pStyle w:val="BodyText"/>
        <w:spacing w:before="1"/>
        <w:rPr>
          <w:rFonts w:ascii="Calibri"/>
          <w:b/>
          <w:sz w:val="20"/>
        </w:rPr>
      </w:pPr>
    </w:p>
    <w:p w14:paraId="764D090E" w14:textId="77777777" w:rsidR="00BC24A8" w:rsidRDefault="00000000">
      <w:pPr>
        <w:spacing w:before="1"/>
        <w:ind w:left="395" w:right="796"/>
        <w:jc w:val="both"/>
        <w:rPr>
          <w:sz w:val="18"/>
        </w:rPr>
      </w:pPr>
      <w:r>
        <w:rPr>
          <w:sz w:val="18"/>
        </w:rPr>
        <w:t>For</w:t>
      </w:r>
      <w:r>
        <w:rPr>
          <w:spacing w:val="-4"/>
          <w:sz w:val="18"/>
        </w:rPr>
        <w:t xml:space="preserve"> </w:t>
      </w:r>
      <w:r>
        <w:rPr>
          <w:sz w:val="18"/>
        </w:rPr>
        <w:t>years,</w:t>
      </w:r>
      <w:r>
        <w:rPr>
          <w:spacing w:val="-5"/>
          <w:sz w:val="18"/>
        </w:rPr>
        <w:t xml:space="preserve"> </w:t>
      </w:r>
      <w:r>
        <w:rPr>
          <w:sz w:val="18"/>
        </w:rPr>
        <w:t>sectoral</w:t>
      </w:r>
      <w:r>
        <w:rPr>
          <w:spacing w:val="-3"/>
          <w:sz w:val="18"/>
        </w:rPr>
        <w:t xml:space="preserve"> </w:t>
      </w:r>
      <w:r>
        <w:rPr>
          <w:sz w:val="18"/>
        </w:rPr>
        <w:t>data</w:t>
      </w:r>
      <w:r>
        <w:rPr>
          <w:spacing w:val="-5"/>
          <w:sz w:val="18"/>
        </w:rPr>
        <w:t xml:space="preserve"> </w:t>
      </w:r>
      <w:r>
        <w:rPr>
          <w:sz w:val="18"/>
        </w:rPr>
        <w:t>management</w:t>
      </w:r>
      <w:r>
        <w:rPr>
          <w:spacing w:val="-3"/>
          <w:sz w:val="18"/>
        </w:rPr>
        <w:t xml:space="preserve"> </w:t>
      </w:r>
      <w:r>
        <w:rPr>
          <w:sz w:val="18"/>
        </w:rPr>
        <w:t>in</w:t>
      </w:r>
      <w:r>
        <w:rPr>
          <w:spacing w:val="-4"/>
          <w:sz w:val="18"/>
        </w:rPr>
        <w:t xml:space="preserve"> </w:t>
      </w:r>
      <w:r>
        <w:rPr>
          <w:sz w:val="18"/>
        </w:rPr>
        <w:t>Gorontalo</w:t>
      </w:r>
      <w:r>
        <w:rPr>
          <w:spacing w:val="-4"/>
          <w:sz w:val="18"/>
        </w:rPr>
        <w:t xml:space="preserve"> </w:t>
      </w:r>
      <w:r>
        <w:rPr>
          <w:sz w:val="18"/>
        </w:rPr>
        <w:t>ran</w:t>
      </w:r>
      <w:r>
        <w:rPr>
          <w:spacing w:val="-4"/>
          <w:sz w:val="18"/>
        </w:rPr>
        <w:t xml:space="preserve"> </w:t>
      </w:r>
      <w:r>
        <w:rPr>
          <w:sz w:val="18"/>
        </w:rPr>
        <w:t>in</w:t>
      </w:r>
      <w:r>
        <w:rPr>
          <w:spacing w:val="-4"/>
          <w:sz w:val="18"/>
        </w:rPr>
        <w:t xml:space="preserve"> </w:t>
      </w:r>
      <w:r>
        <w:rPr>
          <w:sz w:val="18"/>
        </w:rPr>
        <w:t>silos,</w:t>
      </w:r>
      <w:r>
        <w:rPr>
          <w:spacing w:val="-5"/>
          <w:sz w:val="18"/>
        </w:rPr>
        <w:t xml:space="preserve"> </w:t>
      </w:r>
      <w:r>
        <w:rPr>
          <w:sz w:val="18"/>
        </w:rPr>
        <w:t>with</w:t>
      </w:r>
      <w:r>
        <w:rPr>
          <w:spacing w:val="-6"/>
          <w:sz w:val="18"/>
        </w:rPr>
        <w:t xml:space="preserve"> </w:t>
      </w:r>
      <w:r>
        <w:rPr>
          <w:sz w:val="18"/>
        </w:rPr>
        <w:t>little</w:t>
      </w:r>
      <w:r>
        <w:rPr>
          <w:spacing w:val="-4"/>
          <w:sz w:val="18"/>
        </w:rPr>
        <w:t xml:space="preserve"> </w:t>
      </w:r>
      <w:r>
        <w:rPr>
          <w:sz w:val="18"/>
        </w:rPr>
        <w:t>coordination</w:t>
      </w:r>
      <w:r>
        <w:rPr>
          <w:spacing w:val="-4"/>
          <w:sz w:val="18"/>
        </w:rPr>
        <w:t xml:space="preserve"> </w:t>
      </w:r>
      <w:r>
        <w:rPr>
          <w:sz w:val="18"/>
        </w:rPr>
        <w:t>among</w:t>
      </w:r>
      <w:r>
        <w:rPr>
          <w:spacing w:val="-4"/>
          <w:sz w:val="18"/>
        </w:rPr>
        <w:t xml:space="preserve"> </w:t>
      </w:r>
      <w:r>
        <w:rPr>
          <w:sz w:val="18"/>
        </w:rPr>
        <w:t>data-producing</w:t>
      </w:r>
      <w:r>
        <w:rPr>
          <w:spacing w:val="-4"/>
          <w:sz w:val="18"/>
        </w:rPr>
        <w:t xml:space="preserve"> </w:t>
      </w:r>
      <w:r>
        <w:rPr>
          <w:sz w:val="18"/>
        </w:rPr>
        <w:t>provincial agencies. Without a standardised mechanism, data quality, consistency, and integration across agencies were hard to maintain, often slowing down data-driven planning and decision-making.</w:t>
      </w:r>
    </w:p>
    <w:p w14:paraId="04616290" w14:textId="77777777" w:rsidR="00BC24A8" w:rsidRDefault="00000000">
      <w:pPr>
        <w:spacing w:before="159"/>
        <w:ind w:left="395" w:right="794"/>
        <w:jc w:val="both"/>
        <w:rPr>
          <w:sz w:val="18"/>
        </w:rPr>
      </w:pPr>
      <w:r>
        <w:rPr>
          <w:sz w:val="18"/>
        </w:rPr>
        <w:t xml:space="preserve">Things, however, have started to change. Gorontalo Department of Communication, Informatics, and Statistics </w:t>
      </w:r>
      <w:r>
        <w:rPr>
          <w:i/>
          <w:sz w:val="18"/>
        </w:rPr>
        <w:t>(Diskominfotik)</w:t>
      </w:r>
      <w:r>
        <w:rPr>
          <w:i/>
          <w:spacing w:val="-9"/>
          <w:sz w:val="18"/>
        </w:rPr>
        <w:t xml:space="preserve"> </w:t>
      </w:r>
      <w:r>
        <w:rPr>
          <w:sz w:val="18"/>
        </w:rPr>
        <w:t>has</w:t>
      </w:r>
      <w:r>
        <w:rPr>
          <w:spacing w:val="-8"/>
          <w:sz w:val="18"/>
        </w:rPr>
        <w:t xml:space="preserve"> </w:t>
      </w:r>
      <w:r>
        <w:rPr>
          <w:sz w:val="18"/>
        </w:rPr>
        <w:t>taken</w:t>
      </w:r>
      <w:r>
        <w:rPr>
          <w:spacing w:val="-8"/>
          <w:sz w:val="18"/>
        </w:rPr>
        <w:t xml:space="preserve"> </w:t>
      </w:r>
      <w:r>
        <w:rPr>
          <w:sz w:val="18"/>
        </w:rPr>
        <w:t>the</w:t>
      </w:r>
      <w:r>
        <w:rPr>
          <w:spacing w:val="-9"/>
          <w:sz w:val="18"/>
        </w:rPr>
        <w:t xml:space="preserve"> </w:t>
      </w:r>
      <w:r>
        <w:rPr>
          <w:sz w:val="18"/>
        </w:rPr>
        <w:t>lead</w:t>
      </w:r>
      <w:r>
        <w:rPr>
          <w:spacing w:val="-9"/>
          <w:sz w:val="18"/>
        </w:rPr>
        <w:t xml:space="preserve"> </w:t>
      </w:r>
      <w:r>
        <w:rPr>
          <w:sz w:val="18"/>
        </w:rPr>
        <w:t>in</w:t>
      </w:r>
      <w:r>
        <w:rPr>
          <w:spacing w:val="-8"/>
          <w:sz w:val="18"/>
        </w:rPr>
        <w:t xml:space="preserve"> </w:t>
      </w:r>
      <w:r>
        <w:rPr>
          <w:sz w:val="18"/>
        </w:rPr>
        <w:t>building</w:t>
      </w:r>
      <w:r>
        <w:rPr>
          <w:spacing w:val="-8"/>
          <w:sz w:val="18"/>
        </w:rPr>
        <w:t xml:space="preserve"> </w:t>
      </w:r>
      <w:r>
        <w:rPr>
          <w:sz w:val="18"/>
        </w:rPr>
        <w:t>the</w:t>
      </w:r>
      <w:r>
        <w:rPr>
          <w:spacing w:val="-8"/>
          <w:sz w:val="18"/>
        </w:rPr>
        <w:t xml:space="preserve"> </w:t>
      </w:r>
      <w:r>
        <w:rPr>
          <w:sz w:val="18"/>
        </w:rPr>
        <w:t>capacity</w:t>
      </w:r>
      <w:r>
        <w:rPr>
          <w:spacing w:val="-8"/>
          <w:sz w:val="18"/>
        </w:rPr>
        <w:t xml:space="preserve"> </w:t>
      </w:r>
      <w:r>
        <w:rPr>
          <w:sz w:val="18"/>
        </w:rPr>
        <w:t>of</w:t>
      </w:r>
      <w:r>
        <w:rPr>
          <w:spacing w:val="-9"/>
          <w:sz w:val="18"/>
        </w:rPr>
        <w:t xml:space="preserve"> </w:t>
      </w:r>
      <w:r>
        <w:rPr>
          <w:sz w:val="18"/>
        </w:rPr>
        <w:t>staff</w:t>
      </w:r>
      <w:r>
        <w:rPr>
          <w:spacing w:val="-8"/>
          <w:sz w:val="18"/>
        </w:rPr>
        <w:t xml:space="preserve"> </w:t>
      </w:r>
      <w:r>
        <w:rPr>
          <w:sz w:val="18"/>
        </w:rPr>
        <w:t>in</w:t>
      </w:r>
      <w:r>
        <w:rPr>
          <w:spacing w:val="-9"/>
          <w:sz w:val="18"/>
        </w:rPr>
        <w:t xml:space="preserve"> </w:t>
      </w:r>
      <w:r>
        <w:rPr>
          <w:sz w:val="18"/>
        </w:rPr>
        <w:t>data-producing</w:t>
      </w:r>
      <w:r>
        <w:rPr>
          <w:spacing w:val="-8"/>
          <w:sz w:val="18"/>
        </w:rPr>
        <w:t xml:space="preserve"> </w:t>
      </w:r>
      <w:r>
        <w:rPr>
          <w:sz w:val="18"/>
        </w:rPr>
        <w:t>agencies</w:t>
      </w:r>
      <w:r>
        <w:rPr>
          <w:spacing w:val="-8"/>
          <w:sz w:val="18"/>
        </w:rPr>
        <w:t xml:space="preserve"> </w:t>
      </w:r>
      <w:r>
        <w:rPr>
          <w:sz w:val="18"/>
        </w:rPr>
        <w:t>and</w:t>
      </w:r>
      <w:r>
        <w:rPr>
          <w:spacing w:val="-9"/>
          <w:sz w:val="18"/>
        </w:rPr>
        <w:t xml:space="preserve"> </w:t>
      </w:r>
      <w:r>
        <w:rPr>
          <w:sz w:val="18"/>
        </w:rPr>
        <w:t>fostering</w:t>
      </w:r>
      <w:r>
        <w:rPr>
          <w:spacing w:val="-8"/>
          <w:sz w:val="18"/>
        </w:rPr>
        <w:t xml:space="preserve"> </w:t>
      </w:r>
      <w:r>
        <w:rPr>
          <w:sz w:val="18"/>
        </w:rPr>
        <w:t>cross-agency collaboration</w:t>
      </w:r>
      <w:r>
        <w:rPr>
          <w:spacing w:val="-4"/>
          <w:sz w:val="18"/>
        </w:rPr>
        <w:t xml:space="preserve"> </w:t>
      </w:r>
      <w:r>
        <w:rPr>
          <w:sz w:val="18"/>
        </w:rPr>
        <w:t>through</w:t>
      </w:r>
      <w:r>
        <w:rPr>
          <w:spacing w:val="-4"/>
          <w:sz w:val="18"/>
        </w:rPr>
        <w:t xml:space="preserve"> </w:t>
      </w:r>
      <w:r>
        <w:rPr>
          <w:sz w:val="18"/>
        </w:rPr>
        <w:t>the</w:t>
      </w:r>
      <w:r>
        <w:rPr>
          <w:spacing w:val="-4"/>
          <w:sz w:val="18"/>
        </w:rPr>
        <w:t xml:space="preserve"> </w:t>
      </w:r>
      <w:r>
        <w:rPr>
          <w:sz w:val="18"/>
        </w:rPr>
        <w:t>One</w:t>
      </w:r>
      <w:r>
        <w:rPr>
          <w:spacing w:val="-4"/>
          <w:sz w:val="18"/>
        </w:rPr>
        <w:t xml:space="preserve"> </w:t>
      </w:r>
      <w:r>
        <w:rPr>
          <w:sz w:val="18"/>
        </w:rPr>
        <w:t>Data</w:t>
      </w:r>
      <w:r>
        <w:rPr>
          <w:spacing w:val="-5"/>
          <w:sz w:val="18"/>
        </w:rPr>
        <w:t xml:space="preserve"> </w:t>
      </w:r>
      <w:r>
        <w:rPr>
          <w:sz w:val="18"/>
        </w:rPr>
        <w:t>Forum.</w:t>
      </w:r>
      <w:r>
        <w:rPr>
          <w:spacing w:val="-5"/>
          <w:sz w:val="18"/>
        </w:rPr>
        <w:t xml:space="preserve"> </w:t>
      </w:r>
      <w:r>
        <w:rPr>
          <w:sz w:val="18"/>
        </w:rPr>
        <w:t>Trainings,</w:t>
      </w:r>
      <w:r>
        <w:rPr>
          <w:spacing w:val="-5"/>
          <w:sz w:val="18"/>
        </w:rPr>
        <w:t xml:space="preserve"> </w:t>
      </w:r>
      <w:r>
        <w:rPr>
          <w:sz w:val="18"/>
        </w:rPr>
        <w:t>technical</w:t>
      </w:r>
      <w:r>
        <w:rPr>
          <w:spacing w:val="-4"/>
          <w:sz w:val="18"/>
        </w:rPr>
        <w:t xml:space="preserve"> </w:t>
      </w:r>
      <w:r>
        <w:rPr>
          <w:sz w:val="18"/>
        </w:rPr>
        <w:t>assistance,</w:t>
      </w:r>
      <w:r>
        <w:rPr>
          <w:spacing w:val="-5"/>
          <w:sz w:val="18"/>
        </w:rPr>
        <w:t xml:space="preserve"> </w:t>
      </w:r>
      <w:r>
        <w:rPr>
          <w:sz w:val="18"/>
        </w:rPr>
        <w:t>and</w:t>
      </w:r>
      <w:r>
        <w:rPr>
          <w:spacing w:val="-4"/>
          <w:sz w:val="18"/>
        </w:rPr>
        <w:t xml:space="preserve"> </w:t>
      </w:r>
      <w:r>
        <w:rPr>
          <w:sz w:val="18"/>
        </w:rPr>
        <w:t>coordination</w:t>
      </w:r>
      <w:r>
        <w:rPr>
          <w:spacing w:val="-4"/>
          <w:sz w:val="18"/>
        </w:rPr>
        <w:t xml:space="preserve"> </w:t>
      </w:r>
      <w:r>
        <w:rPr>
          <w:sz w:val="18"/>
        </w:rPr>
        <w:t>meetings</w:t>
      </w:r>
      <w:r>
        <w:rPr>
          <w:spacing w:val="-4"/>
          <w:sz w:val="18"/>
        </w:rPr>
        <w:t xml:space="preserve"> </w:t>
      </w:r>
      <w:r>
        <w:rPr>
          <w:sz w:val="18"/>
        </w:rPr>
        <w:t>are</w:t>
      </w:r>
      <w:r>
        <w:rPr>
          <w:spacing w:val="-4"/>
          <w:sz w:val="18"/>
        </w:rPr>
        <w:t xml:space="preserve"> </w:t>
      </w:r>
      <w:r>
        <w:rPr>
          <w:sz w:val="18"/>
        </w:rPr>
        <w:t>now</w:t>
      </w:r>
      <w:r>
        <w:rPr>
          <w:spacing w:val="-5"/>
          <w:sz w:val="18"/>
        </w:rPr>
        <w:t xml:space="preserve"> </w:t>
      </w:r>
      <w:r>
        <w:rPr>
          <w:sz w:val="18"/>
        </w:rPr>
        <w:t>focused on applying the principles of Indonesia’s One Data.</w:t>
      </w:r>
    </w:p>
    <w:p w14:paraId="270EE72F" w14:textId="77777777" w:rsidR="00BC24A8" w:rsidRDefault="00000000">
      <w:pPr>
        <w:spacing w:before="160"/>
        <w:ind w:left="395" w:right="796"/>
        <w:jc w:val="both"/>
        <w:rPr>
          <w:sz w:val="18"/>
        </w:rPr>
      </w:pPr>
      <w:r>
        <w:rPr>
          <w:sz w:val="18"/>
        </w:rPr>
        <w:t>The</w:t>
      </w:r>
      <w:r>
        <w:rPr>
          <w:spacing w:val="-3"/>
          <w:sz w:val="18"/>
        </w:rPr>
        <w:t xml:space="preserve"> </w:t>
      </w:r>
      <w:r>
        <w:rPr>
          <w:sz w:val="18"/>
        </w:rPr>
        <w:t>Head</w:t>
      </w:r>
      <w:r>
        <w:rPr>
          <w:spacing w:val="-1"/>
          <w:sz w:val="18"/>
        </w:rPr>
        <w:t xml:space="preserve"> </w:t>
      </w:r>
      <w:r>
        <w:rPr>
          <w:sz w:val="18"/>
        </w:rPr>
        <w:t>of</w:t>
      </w:r>
      <w:r>
        <w:rPr>
          <w:spacing w:val="-2"/>
          <w:sz w:val="18"/>
        </w:rPr>
        <w:t xml:space="preserve"> </w:t>
      </w:r>
      <w:r>
        <w:rPr>
          <w:sz w:val="18"/>
        </w:rPr>
        <w:t>Statistics</w:t>
      </w:r>
      <w:r>
        <w:rPr>
          <w:spacing w:val="-3"/>
          <w:sz w:val="18"/>
        </w:rPr>
        <w:t xml:space="preserve"> </w:t>
      </w:r>
      <w:r>
        <w:rPr>
          <w:sz w:val="18"/>
        </w:rPr>
        <w:t>at</w:t>
      </w:r>
      <w:r>
        <w:rPr>
          <w:spacing w:val="-2"/>
          <w:sz w:val="18"/>
        </w:rPr>
        <w:t xml:space="preserve"> </w:t>
      </w:r>
      <w:r>
        <w:rPr>
          <w:sz w:val="18"/>
        </w:rPr>
        <w:t>Diskominfotik,</w:t>
      </w:r>
      <w:r>
        <w:rPr>
          <w:spacing w:val="-4"/>
          <w:sz w:val="18"/>
        </w:rPr>
        <w:t xml:space="preserve"> </w:t>
      </w:r>
      <w:r>
        <w:rPr>
          <w:sz w:val="18"/>
        </w:rPr>
        <w:t>one</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key</w:t>
      </w:r>
      <w:r>
        <w:rPr>
          <w:spacing w:val="-3"/>
          <w:sz w:val="18"/>
        </w:rPr>
        <w:t xml:space="preserve"> </w:t>
      </w:r>
      <w:r>
        <w:rPr>
          <w:sz w:val="18"/>
        </w:rPr>
        <w:t>drivers</w:t>
      </w:r>
      <w:r>
        <w:rPr>
          <w:spacing w:val="-1"/>
          <w:sz w:val="18"/>
        </w:rPr>
        <w:t xml:space="preserve"> </w:t>
      </w:r>
      <w:r>
        <w:rPr>
          <w:sz w:val="18"/>
        </w:rPr>
        <w:t>of</w:t>
      </w:r>
      <w:r>
        <w:rPr>
          <w:spacing w:val="-4"/>
          <w:sz w:val="18"/>
        </w:rPr>
        <w:t xml:space="preserve"> </w:t>
      </w:r>
      <w:r>
        <w:rPr>
          <w:sz w:val="18"/>
        </w:rPr>
        <w:t>this</w:t>
      </w:r>
      <w:r>
        <w:rPr>
          <w:spacing w:val="-3"/>
          <w:sz w:val="18"/>
        </w:rPr>
        <w:t xml:space="preserve"> </w:t>
      </w:r>
      <w:r>
        <w:rPr>
          <w:sz w:val="18"/>
        </w:rPr>
        <w:t>shift,</w:t>
      </w:r>
      <w:r>
        <w:rPr>
          <w:spacing w:val="-4"/>
          <w:sz w:val="18"/>
        </w:rPr>
        <w:t xml:space="preserve"> </w:t>
      </w:r>
      <w:r>
        <w:rPr>
          <w:sz w:val="18"/>
        </w:rPr>
        <w:t>emphasised</w:t>
      </w:r>
      <w:r>
        <w:rPr>
          <w:spacing w:val="-4"/>
          <w:sz w:val="18"/>
        </w:rPr>
        <w:t xml:space="preserve"> </w:t>
      </w:r>
      <w:r>
        <w:rPr>
          <w:sz w:val="18"/>
        </w:rPr>
        <w:t>that</w:t>
      </w:r>
      <w:r>
        <w:rPr>
          <w:spacing w:val="-2"/>
          <w:sz w:val="18"/>
        </w:rPr>
        <w:t xml:space="preserve"> </w:t>
      </w:r>
      <w:r>
        <w:rPr>
          <w:sz w:val="18"/>
        </w:rPr>
        <w:t>One</w:t>
      </w:r>
      <w:r>
        <w:rPr>
          <w:spacing w:val="-3"/>
          <w:sz w:val="18"/>
        </w:rPr>
        <w:t xml:space="preserve"> </w:t>
      </w:r>
      <w:r>
        <w:rPr>
          <w:sz w:val="18"/>
        </w:rPr>
        <w:t>Data</w:t>
      </w:r>
      <w:r>
        <w:rPr>
          <w:spacing w:val="-6"/>
          <w:sz w:val="18"/>
        </w:rPr>
        <w:t xml:space="preserve"> </w:t>
      </w:r>
      <w:r>
        <w:rPr>
          <w:sz w:val="18"/>
        </w:rPr>
        <w:t>is</w:t>
      </w:r>
      <w:r>
        <w:rPr>
          <w:spacing w:val="-3"/>
          <w:sz w:val="18"/>
        </w:rPr>
        <w:t xml:space="preserve"> </w:t>
      </w:r>
      <w:r>
        <w:rPr>
          <w:sz w:val="18"/>
        </w:rPr>
        <w:t>not</w:t>
      </w:r>
      <w:r>
        <w:rPr>
          <w:spacing w:val="-2"/>
          <w:sz w:val="18"/>
        </w:rPr>
        <w:t xml:space="preserve"> </w:t>
      </w:r>
      <w:r>
        <w:rPr>
          <w:sz w:val="18"/>
        </w:rPr>
        <w:t>just</w:t>
      </w:r>
      <w:r>
        <w:rPr>
          <w:spacing w:val="-2"/>
          <w:sz w:val="18"/>
        </w:rPr>
        <w:t xml:space="preserve"> </w:t>
      </w:r>
      <w:r>
        <w:rPr>
          <w:sz w:val="18"/>
        </w:rPr>
        <w:t>a</w:t>
      </w:r>
      <w:r>
        <w:rPr>
          <w:spacing w:val="-4"/>
          <w:sz w:val="18"/>
        </w:rPr>
        <w:t xml:space="preserve"> </w:t>
      </w:r>
      <w:r>
        <w:rPr>
          <w:sz w:val="18"/>
        </w:rPr>
        <w:t>policy slogan but a collaborative framework that should guide everyday work:</w:t>
      </w:r>
    </w:p>
    <w:p w14:paraId="01C7CABF" w14:textId="77777777" w:rsidR="00BC24A8" w:rsidRDefault="00BC24A8">
      <w:pPr>
        <w:pStyle w:val="BodyText"/>
        <w:rPr>
          <w:sz w:val="18"/>
        </w:rPr>
      </w:pPr>
    </w:p>
    <w:p w14:paraId="68B9BE9A" w14:textId="77777777" w:rsidR="00BC24A8" w:rsidRDefault="00BC24A8">
      <w:pPr>
        <w:pStyle w:val="BodyText"/>
        <w:rPr>
          <w:sz w:val="18"/>
        </w:rPr>
      </w:pPr>
    </w:p>
    <w:p w14:paraId="38D20326" w14:textId="77777777" w:rsidR="00BC24A8" w:rsidRDefault="00BC24A8">
      <w:pPr>
        <w:pStyle w:val="BodyText"/>
        <w:spacing w:before="18"/>
        <w:rPr>
          <w:sz w:val="18"/>
        </w:rPr>
      </w:pPr>
    </w:p>
    <w:p w14:paraId="6BCF942E" w14:textId="77777777" w:rsidR="00BC24A8" w:rsidRDefault="00000000">
      <w:pPr>
        <w:spacing w:line="290" w:lineRule="auto"/>
        <w:ind w:left="716" w:right="648"/>
        <w:rPr>
          <w:rFonts w:ascii="Times New Roman"/>
          <w:b/>
          <w:i/>
          <w:sz w:val="18"/>
        </w:rPr>
      </w:pPr>
      <w:r>
        <w:rPr>
          <w:rFonts w:ascii="Times New Roman"/>
          <w:b/>
          <w:i/>
          <w:color w:val="17365A"/>
          <w:sz w:val="18"/>
        </w:rPr>
        <w:t>Implementing</w:t>
      </w:r>
      <w:r>
        <w:rPr>
          <w:rFonts w:ascii="Times New Roman"/>
          <w:b/>
          <w:i/>
          <w:color w:val="17365A"/>
          <w:spacing w:val="35"/>
          <w:sz w:val="18"/>
        </w:rPr>
        <w:t xml:space="preserve"> </w:t>
      </w:r>
      <w:r>
        <w:rPr>
          <w:rFonts w:ascii="Times New Roman"/>
          <w:b/>
          <w:i/>
          <w:color w:val="17365A"/>
          <w:sz w:val="18"/>
        </w:rPr>
        <w:t>Indonesia</w:t>
      </w:r>
      <w:r>
        <w:rPr>
          <w:rFonts w:ascii="Times New Roman"/>
          <w:b/>
          <w:i/>
          <w:color w:val="17365A"/>
          <w:spacing w:val="34"/>
          <w:sz w:val="18"/>
        </w:rPr>
        <w:t xml:space="preserve"> </w:t>
      </w:r>
      <w:r>
        <w:rPr>
          <w:rFonts w:ascii="Times New Roman"/>
          <w:b/>
          <w:i/>
          <w:color w:val="17365A"/>
          <w:sz w:val="18"/>
        </w:rPr>
        <w:t>One</w:t>
      </w:r>
      <w:r>
        <w:rPr>
          <w:rFonts w:ascii="Times New Roman"/>
          <w:b/>
          <w:i/>
          <w:color w:val="17365A"/>
          <w:spacing w:val="33"/>
          <w:sz w:val="18"/>
        </w:rPr>
        <w:t xml:space="preserve"> </w:t>
      </w:r>
      <w:r>
        <w:rPr>
          <w:rFonts w:ascii="Times New Roman"/>
          <w:b/>
          <w:i/>
          <w:color w:val="17365A"/>
          <w:sz w:val="18"/>
        </w:rPr>
        <w:t>Data</w:t>
      </w:r>
      <w:r>
        <w:rPr>
          <w:rFonts w:ascii="Times New Roman"/>
          <w:b/>
          <w:i/>
          <w:color w:val="17365A"/>
          <w:spacing w:val="34"/>
          <w:sz w:val="18"/>
        </w:rPr>
        <w:t xml:space="preserve"> </w:t>
      </w:r>
      <w:r>
        <w:rPr>
          <w:rFonts w:ascii="Times New Roman"/>
          <w:b/>
          <w:i/>
          <w:color w:val="17365A"/>
          <w:sz w:val="18"/>
        </w:rPr>
        <w:t>principles,</w:t>
      </w:r>
      <w:r>
        <w:rPr>
          <w:rFonts w:ascii="Times New Roman"/>
          <w:b/>
          <w:i/>
          <w:color w:val="17365A"/>
          <w:spacing w:val="35"/>
          <w:sz w:val="18"/>
        </w:rPr>
        <w:t xml:space="preserve"> </w:t>
      </w:r>
      <w:r>
        <w:rPr>
          <w:rFonts w:ascii="Times New Roman"/>
          <w:b/>
          <w:i/>
          <w:color w:val="17365A"/>
          <w:sz w:val="18"/>
        </w:rPr>
        <w:t>such</w:t>
      </w:r>
      <w:r>
        <w:rPr>
          <w:rFonts w:ascii="Times New Roman"/>
          <w:b/>
          <w:i/>
          <w:color w:val="17365A"/>
          <w:spacing w:val="34"/>
          <w:sz w:val="18"/>
        </w:rPr>
        <w:t xml:space="preserve"> </w:t>
      </w:r>
      <w:r>
        <w:rPr>
          <w:rFonts w:ascii="Times New Roman"/>
          <w:b/>
          <w:i/>
          <w:color w:val="17365A"/>
          <w:sz w:val="18"/>
        </w:rPr>
        <w:t>as</w:t>
      </w:r>
      <w:r>
        <w:rPr>
          <w:rFonts w:ascii="Times New Roman"/>
          <w:b/>
          <w:i/>
          <w:color w:val="17365A"/>
          <w:spacing w:val="35"/>
          <w:sz w:val="18"/>
        </w:rPr>
        <w:t xml:space="preserve"> </w:t>
      </w:r>
      <w:r>
        <w:rPr>
          <w:rFonts w:ascii="Times New Roman"/>
          <w:b/>
          <w:i/>
          <w:color w:val="17365A"/>
          <w:sz w:val="18"/>
        </w:rPr>
        <w:t>data</w:t>
      </w:r>
      <w:r>
        <w:rPr>
          <w:rFonts w:ascii="Times New Roman"/>
          <w:b/>
          <w:i/>
          <w:color w:val="17365A"/>
          <w:spacing w:val="34"/>
          <w:sz w:val="18"/>
        </w:rPr>
        <w:t xml:space="preserve"> </w:t>
      </w:r>
      <w:r>
        <w:rPr>
          <w:rFonts w:ascii="Times New Roman"/>
          <w:b/>
          <w:i/>
          <w:color w:val="17365A"/>
          <w:sz w:val="18"/>
        </w:rPr>
        <w:t>standards,</w:t>
      </w:r>
      <w:r>
        <w:rPr>
          <w:rFonts w:ascii="Times New Roman"/>
          <w:b/>
          <w:i/>
          <w:color w:val="17365A"/>
          <w:spacing w:val="35"/>
          <w:sz w:val="18"/>
        </w:rPr>
        <w:t xml:space="preserve"> </w:t>
      </w:r>
      <w:r>
        <w:rPr>
          <w:rFonts w:ascii="Times New Roman"/>
          <w:b/>
          <w:i/>
          <w:color w:val="17365A"/>
          <w:sz w:val="18"/>
        </w:rPr>
        <w:t>metadata,</w:t>
      </w:r>
      <w:r>
        <w:rPr>
          <w:rFonts w:ascii="Times New Roman"/>
          <w:b/>
          <w:i/>
          <w:color w:val="17365A"/>
          <w:spacing w:val="35"/>
          <w:sz w:val="18"/>
        </w:rPr>
        <w:t xml:space="preserve"> </w:t>
      </w:r>
      <w:r>
        <w:rPr>
          <w:rFonts w:ascii="Times New Roman"/>
          <w:b/>
          <w:i/>
          <w:color w:val="17365A"/>
          <w:sz w:val="18"/>
        </w:rPr>
        <w:t>interoperability,</w:t>
      </w:r>
      <w:r>
        <w:rPr>
          <w:rFonts w:ascii="Times New Roman"/>
          <w:b/>
          <w:i/>
          <w:color w:val="17365A"/>
          <w:spacing w:val="35"/>
          <w:sz w:val="18"/>
        </w:rPr>
        <w:t xml:space="preserve"> </w:t>
      </w:r>
      <w:r>
        <w:rPr>
          <w:rFonts w:ascii="Times New Roman"/>
          <w:b/>
          <w:i/>
          <w:color w:val="17365A"/>
          <w:sz w:val="18"/>
        </w:rPr>
        <w:t>and reference codes, must be a priority for every agency managing sectoral data,.</w:t>
      </w:r>
    </w:p>
    <w:p w14:paraId="15749E93" w14:textId="77777777" w:rsidR="00BC24A8" w:rsidRDefault="00000000">
      <w:pPr>
        <w:spacing w:line="203" w:lineRule="exact"/>
        <w:ind w:left="717"/>
        <w:rPr>
          <w:i/>
          <w:sz w:val="18"/>
        </w:rPr>
      </w:pPr>
      <w:r>
        <w:rPr>
          <w:i/>
          <w:color w:val="17365A"/>
          <w:sz w:val="18"/>
        </w:rPr>
        <w:t>Head</w:t>
      </w:r>
      <w:r>
        <w:rPr>
          <w:i/>
          <w:color w:val="17365A"/>
          <w:spacing w:val="-7"/>
          <w:sz w:val="18"/>
        </w:rPr>
        <w:t xml:space="preserve"> </w:t>
      </w:r>
      <w:r>
        <w:rPr>
          <w:i/>
          <w:color w:val="17365A"/>
          <w:sz w:val="18"/>
        </w:rPr>
        <w:t>of</w:t>
      </w:r>
      <w:r>
        <w:rPr>
          <w:i/>
          <w:color w:val="17365A"/>
          <w:spacing w:val="-6"/>
          <w:sz w:val="18"/>
        </w:rPr>
        <w:t xml:space="preserve"> </w:t>
      </w:r>
      <w:r>
        <w:rPr>
          <w:i/>
          <w:color w:val="17365A"/>
          <w:sz w:val="18"/>
        </w:rPr>
        <w:t>Statistics,</w:t>
      </w:r>
      <w:r>
        <w:rPr>
          <w:i/>
          <w:color w:val="17365A"/>
          <w:spacing w:val="-7"/>
          <w:sz w:val="18"/>
        </w:rPr>
        <w:t xml:space="preserve"> </w:t>
      </w:r>
      <w:r>
        <w:rPr>
          <w:i/>
          <w:color w:val="17365A"/>
          <w:sz w:val="18"/>
        </w:rPr>
        <w:t>Diskominfotik</w:t>
      </w:r>
      <w:r>
        <w:rPr>
          <w:i/>
          <w:color w:val="17365A"/>
          <w:spacing w:val="-7"/>
          <w:sz w:val="18"/>
        </w:rPr>
        <w:t xml:space="preserve"> </w:t>
      </w:r>
      <w:r>
        <w:rPr>
          <w:i/>
          <w:color w:val="17365A"/>
          <w:sz w:val="18"/>
        </w:rPr>
        <w:t>Gorontalo,</w:t>
      </w:r>
      <w:r>
        <w:rPr>
          <w:i/>
          <w:color w:val="17365A"/>
          <w:spacing w:val="-7"/>
          <w:sz w:val="18"/>
        </w:rPr>
        <w:t xml:space="preserve"> </w:t>
      </w:r>
      <w:r>
        <w:rPr>
          <w:i/>
          <w:color w:val="17365A"/>
          <w:sz w:val="18"/>
        </w:rPr>
        <w:t>May</w:t>
      </w:r>
      <w:r>
        <w:rPr>
          <w:i/>
          <w:color w:val="17365A"/>
          <w:spacing w:val="-5"/>
          <w:sz w:val="18"/>
        </w:rPr>
        <w:t xml:space="preserve"> </w:t>
      </w:r>
      <w:r>
        <w:rPr>
          <w:i/>
          <w:color w:val="17365A"/>
          <w:spacing w:val="-4"/>
          <w:sz w:val="18"/>
        </w:rPr>
        <w:t>2025</w:t>
      </w:r>
    </w:p>
    <w:p w14:paraId="35F43C9A" w14:textId="77777777" w:rsidR="00BC24A8" w:rsidRDefault="00BC24A8">
      <w:pPr>
        <w:pStyle w:val="BodyText"/>
        <w:rPr>
          <w:i/>
          <w:sz w:val="18"/>
        </w:rPr>
      </w:pPr>
    </w:p>
    <w:p w14:paraId="75C5B98E" w14:textId="77777777" w:rsidR="00BC24A8" w:rsidRDefault="00BC24A8">
      <w:pPr>
        <w:pStyle w:val="BodyText"/>
        <w:rPr>
          <w:i/>
          <w:sz w:val="18"/>
        </w:rPr>
      </w:pPr>
    </w:p>
    <w:p w14:paraId="3D6C8614" w14:textId="77777777" w:rsidR="00BC24A8" w:rsidRDefault="00BC24A8">
      <w:pPr>
        <w:pStyle w:val="BodyText"/>
        <w:spacing w:before="43"/>
        <w:rPr>
          <w:i/>
          <w:sz w:val="18"/>
        </w:rPr>
      </w:pPr>
    </w:p>
    <w:p w14:paraId="07609319" w14:textId="77777777" w:rsidR="00BC24A8" w:rsidRDefault="00000000">
      <w:pPr>
        <w:ind w:left="395" w:right="793"/>
        <w:jc w:val="both"/>
        <w:rPr>
          <w:sz w:val="18"/>
        </w:rPr>
      </w:pPr>
      <w:r>
        <w:rPr>
          <w:sz w:val="18"/>
        </w:rPr>
        <w:t>With</w:t>
      </w:r>
      <w:r>
        <w:rPr>
          <w:spacing w:val="-7"/>
          <w:sz w:val="18"/>
        </w:rPr>
        <w:t xml:space="preserve"> </w:t>
      </w:r>
      <w:r>
        <w:rPr>
          <w:sz w:val="18"/>
        </w:rPr>
        <w:t>SKALA’s</w:t>
      </w:r>
      <w:r>
        <w:rPr>
          <w:spacing w:val="-9"/>
          <w:sz w:val="18"/>
        </w:rPr>
        <w:t xml:space="preserve"> </w:t>
      </w:r>
      <w:r>
        <w:rPr>
          <w:sz w:val="18"/>
        </w:rPr>
        <w:t>support,</w:t>
      </w:r>
      <w:r>
        <w:rPr>
          <w:spacing w:val="-7"/>
          <w:sz w:val="18"/>
        </w:rPr>
        <w:t xml:space="preserve"> </w:t>
      </w:r>
      <w:r>
        <w:rPr>
          <w:sz w:val="18"/>
        </w:rPr>
        <w:t>most</w:t>
      </w:r>
      <w:r>
        <w:rPr>
          <w:spacing w:val="-8"/>
          <w:sz w:val="18"/>
        </w:rPr>
        <w:t xml:space="preserve"> </w:t>
      </w:r>
      <w:r>
        <w:rPr>
          <w:sz w:val="18"/>
        </w:rPr>
        <w:t>agencies</w:t>
      </w:r>
      <w:r>
        <w:rPr>
          <w:spacing w:val="-7"/>
          <w:sz w:val="18"/>
        </w:rPr>
        <w:t xml:space="preserve"> </w:t>
      </w:r>
      <w:r>
        <w:rPr>
          <w:sz w:val="18"/>
        </w:rPr>
        <w:t>have</w:t>
      </w:r>
      <w:r>
        <w:rPr>
          <w:spacing w:val="-7"/>
          <w:sz w:val="18"/>
        </w:rPr>
        <w:t xml:space="preserve"> </w:t>
      </w:r>
      <w:r>
        <w:rPr>
          <w:sz w:val="18"/>
        </w:rPr>
        <w:t>begun</w:t>
      </w:r>
      <w:r>
        <w:rPr>
          <w:spacing w:val="-7"/>
          <w:sz w:val="18"/>
        </w:rPr>
        <w:t xml:space="preserve"> </w:t>
      </w:r>
      <w:r>
        <w:rPr>
          <w:sz w:val="18"/>
        </w:rPr>
        <w:t>adopting</w:t>
      </w:r>
      <w:r>
        <w:rPr>
          <w:spacing w:val="-7"/>
          <w:sz w:val="18"/>
        </w:rPr>
        <w:t xml:space="preserve"> </w:t>
      </w:r>
      <w:r>
        <w:rPr>
          <w:sz w:val="18"/>
        </w:rPr>
        <w:t>a</w:t>
      </w:r>
      <w:r>
        <w:rPr>
          <w:spacing w:val="-7"/>
          <w:sz w:val="18"/>
        </w:rPr>
        <w:t xml:space="preserve"> </w:t>
      </w:r>
      <w:r>
        <w:rPr>
          <w:sz w:val="18"/>
        </w:rPr>
        <w:t>uniform</w:t>
      </w:r>
      <w:r>
        <w:rPr>
          <w:spacing w:val="-7"/>
          <w:sz w:val="18"/>
        </w:rPr>
        <w:t xml:space="preserve"> </w:t>
      </w:r>
      <w:r>
        <w:rPr>
          <w:sz w:val="18"/>
        </w:rPr>
        <w:t>data</w:t>
      </w:r>
      <w:r>
        <w:rPr>
          <w:spacing w:val="-7"/>
          <w:sz w:val="18"/>
        </w:rPr>
        <w:t xml:space="preserve"> </w:t>
      </w:r>
      <w:r>
        <w:rPr>
          <w:sz w:val="18"/>
        </w:rPr>
        <w:t>management</w:t>
      </w:r>
      <w:r>
        <w:rPr>
          <w:spacing w:val="-6"/>
          <w:sz w:val="18"/>
        </w:rPr>
        <w:t xml:space="preserve"> </w:t>
      </w:r>
      <w:r>
        <w:rPr>
          <w:sz w:val="18"/>
        </w:rPr>
        <w:t>system,</w:t>
      </w:r>
      <w:r>
        <w:rPr>
          <w:spacing w:val="-7"/>
          <w:sz w:val="18"/>
        </w:rPr>
        <w:t xml:space="preserve"> </w:t>
      </w:r>
      <w:r>
        <w:rPr>
          <w:sz w:val="18"/>
        </w:rPr>
        <w:t>connected</w:t>
      </w:r>
      <w:r>
        <w:rPr>
          <w:spacing w:val="-7"/>
          <w:sz w:val="18"/>
        </w:rPr>
        <w:t xml:space="preserve"> </w:t>
      </w:r>
      <w:r>
        <w:rPr>
          <w:sz w:val="18"/>
        </w:rPr>
        <w:t>through</w:t>
      </w:r>
      <w:r>
        <w:rPr>
          <w:spacing w:val="-7"/>
          <w:sz w:val="18"/>
        </w:rPr>
        <w:t xml:space="preserve"> </w:t>
      </w:r>
      <w:r>
        <w:rPr>
          <w:sz w:val="18"/>
        </w:rPr>
        <w:t>the PENTAGON portal. The results are becoming evident: spatial mapping of basic services can now be accessed across agencies, and data synchronisation for territorial planning is faster and more accurate. Although challenges with consistency</w:t>
      </w:r>
      <w:r>
        <w:rPr>
          <w:spacing w:val="-4"/>
          <w:sz w:val="18"/>
        </w:rPr>
        <w:t xml:space="preserve"> </w:t>
      </w:r>
      <w:r>
        <w:rPr>
          <w:sz w:val="18"/>
        </w:rPr>
        <w:t>remain,</w:t>
      </w:r>
      <w:r>
        <w:rPr>
          <w:spacing w:val="-5"/>
          <w:sz w:val="18"/>
        </w:rPr>
        <w:t xml:space="preserve"> </w:t>
      </w:r>
      <w:r>
        <w:rPr>
          <w:sz w:val="18"/>
        </w:rPr>
        <w:t>these</w:t>
      </w:r>
      <w:r>
        <w:rPr>
          <w:spacing w:val="-4"/>
          <w:sz w:val="18"/>
        </w:rPr>
        <w:t xml:space="preserve"> </w:t>
      </w:r>
      <w:r>
        <w:rPr>
          <w:sz w:val="18"/>
        </w:rPr>
        <w:t>changes</w:t>
      </w:r>
      <w:r>
        <w:rPr>
          <w:spacing w:val="-4"/>
          <w:sz w:val="18"/>
        </w:rPr>
        <w:t xml:space="preserve"> </w:t>
      </w:r>
      <w:r>
        <w:rPr>
          <w:sz w:val="18"/>
        </w:rPr>
        <w:t>signal</w:t>
      </w:r>
      <w:r>
        <w:rPr>
          <w:spacing w:val="-3"/>
          <w:sz w:val="18"/>
        </w:rPr>
        <w:t xml:space="preserve"> </w:t>
      </w:r>
      <w:r>
        <w:rPr>
          <w:sz w:val="18"/>
        </w:rPr>
        <w:t>a</w:t>
      </w:r>
      <w:r>
        <w:rPr>
          <w:spacing w:val="-5"/>
          <w:sz w:val="18"/>
        </w:rPr>
        <w:t xml:space="preserve"> </w:t>
      </w:r>
      <w:r>
        <w:rPr>
          <w:sz w:val="18"/>
        </w:rPr>
        <w:t>real</w:t>
      </w:r>
      <w:r>
        <w:rPr>
          <w:spacing w:val="-3"/>
          <w:sz w:val="18"/>
        </w:rPr>
        <w:t xml:space="preserve"> </w:t>
      </w:r>
      <w:r>
        <w:rPr>
          <w:sz w:val="18"/>
        </w:rPr>
        <w:t>and</w:t>
      </w:r>
      <w:r>
        <w:rPr>
          <w:spacing w:val="-4"/>
          <w:sz w:val="18"/>
        </w:rPr>
        <w:t xml:space="preserve"> </w:t>
      </w:r>
      <w:r>
        <w:rPr>
          <w:sz w:val="18"/>
        </w:rPr>
        <w:t>hopeful</w:t>
      </w:r>
      <w:r>
        <w:rPr>
          <w:spacing w:val="-3"/>
          <w:sz w:val="18"/>
        </w:rPr>
        <w:t xml:space="preserve"> </w:t>
      </w:r>
      <w:r>
        <w:rPr>
          <w:sz w:val="18"/>
        </w:rPr>
        <w:t>shift</w:t>
      </w:r>
      <w:r>
        <w:rPr>
          <w:spacing w:val="-5"/>
          <w:sz w:val="18"/>
        </w:rPr>
        <w:t xml:space="preserve"> </w:t>
      </w:r>
      <w:r>
        <w:rPr>
          <w:sz w:val="18"/>
        </w:rPr>
        <w:t>toward</w:t>
      </w:r>
      <w:r>
        <w:rPr>
          <w:spacing w:val="-4"/>
          <w:sz w:val="18"/>
        </w:rPr>
        <w:t xml:space="preserve"> </w:t>
      </w:r>
      <w:r>
        <w:rPr>
          <w:sz w:val="18"/>
        </w:rPr>
        <w:t>more</w:t>
      </w:r>
      <w:r>
        <w:rPr>
          <w:spacing w:val="-4"/>
          <w:sz w:val="18"/>
        </w:rPr>
        <w:t xml:space="preserve"> </w:t>
      </w:r>
      <w:r>
        <w:rPr>
          <w:sz w:val="18"/>
        </w:rPr>
        <w:t>effective,</w:t>
      </w:r>
      <w:r>
        <w:rPr>
          <w:spacing w:val="-5"/>
          <w:sz w:val="18"/>
        </w:rPr>
        <w:t xml:space="preserve"> </w:t>
      </w:r>
      <w:r>
        <w:rPr>
          <w:sz w:val="18"/>
        </w:rPr>
        <w:t>inclusive,</w:t>
      </w:r>
      <w:r>
        <w:rPr>
          <w:spacing w:val="-5"/>
          <w:sz w:val="18"/>
        </w:rPr>
        <w:t xml:space="preserve"> </w:t>
      </w:r>
      <w:r>
        <w:rPr>
          <w:sz w:val="18"/>
        </w:rPr>
        <w:t>and</w:t>
      </w:r>
      <w:r>
        <w:rPr>
          <w:spacing w:val="-4"/>
          <w:sz w:val="18"/>
        </w:rPr>
        <w:t xml:space="preserve"> </w:t>
      </w:r>
      <w:r>
        <w:rPr>
          <w:sz w:val="18"/>
        </w:rPr>
        <w:t>sustainable</w:t>
      </w:r>
      <w:r>
        <w:rPr>
          <w:spacing w:val="-4"/>
          <w:sz w:val="18"/>
        </w:rPr>
        <w:t xml:space="preserve"> </w:t>
      </w:r>
      <w:r>
        <w:rPr>
          <w:sz w:val="18"/>
        </w:rPr>
        <w:t>data governance in Gorontalo.</w:t>
      </w:r>
    </w:p>
    <w:p w14:paraId="1EF7D3CA" w14:textId="77777777" w:rsidR="00BC24A8" w:rsidRDefault="00BC24A8">
      <w:pPr>
        <w:jc w:val="both"/>
        <w:rPr>
          <w:sz w:val="18"/>
        </w:rPr>
        <w:sectPr w:rsidR="00BC24A8">
          <w:type w:val="continuous"/>
          <w:pgSz w:w="11910" w:h="16840"/>
          <w:pgMar w:top="1380" w:right="850" w:bottom="1100" w:left="1275" w:header="0" w:footer="907" w:gutter="0"/>
          <w:cols w:space="720"/>
        </w:sectPr>
      </w:pPr>
    </w:p>
    <w:p w14:paraId="2484BE95" w14:textId="77777777" w:rsidR="00BC24A8" w:rsidRDefault="00000000">
      <w:pPr>
        <w:pStyle w:val="BodyText"/>
        <w:ind w:left="138"/>
        <w:rPr>
          <w:sz w:val="20"/>
        </w:rPr>
      </w:pPr>
      <w:r>
        <w:rPr>
          <w:noProof/>
          <w:sz w:val="20"/>
        </w:rPr>
        <w:lastRenderedPageBreak/>
        <mc:AlternateContent>
          <mc:Choice Requires="wpg">
            <w:drawing>
              <wp:inline distT="0" distB="0" distL="0" distR="0" wp14:anchorId="6EACF2F2" wp14:editId="2FE0239C">
                <wp:extent cx="5779135" cy="4180840"/>
                <wp:effectExtent l="9525" t="0" r="0" b="635"/>
                <wp:docPr id="92" name="Group 92" descr="S E C O N D S T O R Y:&#10;Promoting Inclusive Dialogue between Government and Community in the Preparation of Gorontalo’s&#10;RAD PD&#10;Until recently, participatory dialogue spaces with persons with disabilities were very limited. Their aspirations were often voiced through forums that did not focus on inclusion, so their real needs were rarely heard directly by policymakers, and government responses frequently did not meet the needs of vulnerable groups.&#10;The situation began to change when SKALA initiated the Workshop on Recommendations for the Draft Regional Action Plan for Persons with Disabilities (RAD PD). The Gorontalo Provincial Government started involving organisations for persons with disabilities and other civil society organisations (CSOs) in open dialogue.&#10;For Yusuf Abdurahman, a special school teacher actively advocating for the rights of persons with disabilities, the involvement of organisations for persons with disabilities in open dialogue was significant. He felt it was a rare opportunity that had not been provided by the government before:&#10;&#10;&#10;&#10;This is the flrst time the government and community—from DPO as well as other disability-focused organisations—have dialogued about disability issues in Gorontalo. It is a rare moment to speak directly, and the government responds.&#10;&#10;&#10;&#10;Through this dialogue, a shared understanding and commitment have emerged to follow up on priority disability issues in the RAD PD document. For Yusuf and other participants, this step represents an important milestone toward more inclusive developmen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4180840"/>
                          <a:chOff x="0" y="0"/>
                          <a:chExt cx="5779135" cy="4180840"/>
                        </a:xfrm>
                      </wpg:grpSpPr>
                      <wps:wsp>
                        <wps:cNvPr id="93" name="Graphic 93"/>
                        <wps:cNvSpPr/>
                        <wps:spPr>
                          <a:xfrm>
                            <a:off x="6089" y="6102"/>
                            <a:ext cx="5765800" cy="4168140"/>
                          </a:xfrm>
                          <a:custGeom>
                            <a:avLst/>
                            <a:gdLst/>
                            <a:ahLst/>
                            <a:cxnLst/>
                            <a:rect l="l" t="t" r="r" b="b"/>
                            <a:pathLst>
                              <a:path w="5765800" h="4168140">
                                <a:moveTo>
                                  <a:pt x="5765292" y="0"/>
                                </a:moveTo>
                                <a:lnTo>
                                  <a:pt x="0" y="0"/>
                                </a:lnTo>
                                <a:lnTo>
                                  <a:pt x="0" y="4168140"/>
                                </a:lnTo>
                                <a:lnTo>
                                  <a:pt x="5765292" y="4168140"/>
                                </a:lnTo>
                                <a:lnTo>
                                  <a:pt x="5765292" y="0"/>
                                </a:lnTo>
                                <a:close/>
                              </a:path>
                            </a:pathLst>
                          </a:custGeom>
                          <a:solidFill>
                            <a:srgbClr val="E1F1EF"/>
                          </a:solidFill>
                        </wps:spPr>
                        <wps:bodyPr wrap="square" lIns="0" tIns="0" rIns="0" bIns="0" rtlCol="0">
                          <a:prstTxWarp prst="textNoShape">
                            <a:avLst/>
                          </a:prstTxWarp>
                          <a:noAutofit/>
                        </wps:bodyPr>
                      </wps:wsp>
                      <wps:wsp>
                        <wps:cNvPr id="94" name="Graphic 94"/>
                        <wps:cNvSpPr/>
                        <wps:spPr>
                          <a:xfrm>
                            <a:off x="190112" y="2506668"/>
                            <a:ext cx="5410200" cy="743585"/>
                          </a:xfrm>
                          <a:custGeom>
                            <a:avLst/>
                            <a:gdLst/>
                            <a:ahLst/>
                            <a:cxnLst/>
                            <a:rect l="l" t="t" r="r" b="b"/>
                            <a:pathLst>
                              <a:path w="5410200" h="743585">
                                <a:moveTo>
                                  <a:pt x="0" y="0"/>
                                </a:moveTo>
                                <a:lnTo>
                                  <a:pt x="5410200" y="0"/>
                                </a:lnTo>
                                <a:lnTo>
                                  <a:pt x="5410200" y="743432"/>
                                </a:lnTo>
                                <a:lnTo>
                                  <a:pt x="0" y="743432"/>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14" cstate="print"/>
                          <a:stretch>
                            <a:fillRect/>
                          </a:stretch>
                        </pic:blipFill>
                        <pic:spPr>
                          <a:xfrm>
                            <a:off x="251092" y="2352223"/>
                            <a:ext cx="223210" cy="205096"/>
                          </a:xfrm>
                          <a:prstGeom prst="rect">
                            <a:avLst/>
                          </a:prstGeom>
                        </pic:spPr>
                      </pic:pic>
                      <pic:pic xmlns:pic="http://schemas.openxmlformats.org/drawingml/2006/picture">
                        <pic:nvPicPr>
                          <pic:cNvPr id="96" name="Image 96"/>
                          <pic:cNvPicPr/>
                        </pic:nvPicPr>
                        <pic:blipFill>
                          <a:blip r:embed="rId20" cstate="print"/>
                          <a:stretch>
                            <a:fillRect/>
                          </a:stretch>
                        </pic:blipFill>
                        <pic:spPr>
                          <a:xfrm>
                            <a:off x="5307410" y="3190121"/>
                            <a:ext cx="223210" cy="205096"/>
                          </a:xfrm>
                          <a:prstGeom prst="rect">
                            <a:avLst/>
                          </a:prstGeom>
                        </pic:spPr>
                      </pic:pic>
                      <wps:wsp>
                        <wps:cNvPr id="97" name="Textbox 97"/>
                        <wps:cNvSpPr txBox="1"/>
                        <wps:spPr>
                          <a:xfrm>
                            <a:off x="3047" y="3047"/>
                            <a:ext cx="5773420" cy="4174490"/>
                          </a:xfrm>
                          <a:prstGeom prst="rect">
                            <a:avLst/>
                          </a:prstGeom>
                          <a:ln w="6096">
                            <a:solidFill>
                              <a:srgbClr val="BEBEBE"/>
                            </a:solidFill>
                            <a:prstDash val="solid"/>
                          </a:ln>
                        </wps:spPr>
                        <wps:txbx>
                          <w:txbxContent>
                            <w:p w14:paraId="1DFEAB07" w14:textId="77777777" w:rsidR="00BC24A8" w:rsidRDefault="00000000">
                              <w:pPr>
                                <w:spacing w:before="181" w:line="243" w:lineRule="exact"/>
                                <w:ind w:left="1" w:right="35"/>
                                <w:jc w:val="center"/>
                                <w:rPr>
                                  <w:sz w:val="20"/>
                                </w:rPr>
                              </w:pPr>
                              <w:r>
                                <w:rPr>
                                  <w:sz w:val="20"/>
                                </w:rPr>
                                <w:t>S</w:t>
                              </w:r>
                              <w:r>
                                <w:rPr>
                                  <w:spacing w:val="-13"/>
                                  <w:sz w:val="20"/>
                                </w:rPr>
                                <w:t xml:space="preserve"> </w:t>
                              </w:r>
                              <w:r>
                                <w:rPr>
                                  <w:sz w:val="20"/>
                                </w:rPr>
                                <w:t>E</w:t>
                              </w:r>
                              <w:r>
                                <w:rPr>
                                  <w:spacing w:val="-16"/>
                                  <w:sz w:val="20"/>
                                </w:rPr>
                                <w:t xml:space="preserve"> </w:t>
                              </w:r>
                              <w:r>
                                <w:rPr>
                                  <w:sz w:val="20"/>
                                </w:rPr>
                                <w:t>C</w:t>
                              </w:r>
                              <w:r>
                                <w:rPr>
                                  <w:spacing w:val="-15"/>
                                  <w:sz w:val="20"/>
                                </w:rPr>
                                <w:t xml:space="preserve"> </w:t>
                              </w:r>
                              <w:r>
                                <w:rPr>
                                  <w:sz w:val="20"/>
                                </w:rPr>
                                <w:t>O</w:t>
                              </w:r>
                              <w:r>
                                <w:rPr>
                                  <w:spacing w:val="-13"/>
                                  <w:sz w:val="20"/>
                                </w:rPr>
                                <w:t xml:space="preserve"> </w:t>
                              </w:r>
                              <w:r>
                                <w:rPr>
                                  <w:sz w:val="20"/>
                                </w:rPr>
                                <w:t>N</w:t>
                              </w:r>
                              <w:r>
                                <w:rPr>
                                  <w:spacing w:val="-12"/>
                                  <w:sz w:val="20"/>
                                </w:rPr>
                                <w:t xml:space="preserve"> </w:t>
                              </w:r>
                              <w:r>
                                <w:rPr>
                                  <w:sz w:val="20"/>
                                </w:rPr>
                                <w:t>D</w:t>
                              </w:r>
                              <w:r>
                                <w:rPr>
                                  <w:spacing w:val="53"/>
                                  <w:sz w:val="20"/>
                                </w:rPr>
                                <w:t xml:space="preserve"> </w:t>
                              </w:r>
                              <w:r>
                                <w:rPr>
                                  <w:sz w:val="20"/>
                                </w:rPr>
                                <w:t>S</w:t>
                              </w:r>
                              <w:r>
                                <w:rPr>
                                  <w:spacing w:val="-16"/>
                                  <w:sz w:val="20"/>
                                </w:rPr>
                                <w:t xml:space="preserve"> </w:t>
                              </w:r>
                              <w:r>
                                <w:rPr>
                                  <w:sz w:val="20"/>
                                </w:rPr>
                                <w:t>T</w:t>
                              </w:r>
                              <w:r>
                                <w:rPr>
                                  <w:spacing w:val="-17"/>
                                  <w:sz w:val="20"/>
                                </w:rPr>
                                <w:t xml:space="preserve"> </w:t>
                              </w:r>
                              <w:r>
                                <w:rPr>
                                  <w:sz w:val="20"/>
                                </w:rPr>
                                <w:t>O</w:t>
                              </w:r>
                              <w:r>
                                <w:rPr>
                                  <w:spacing w:val="-15"/>
                                  <w:sz w:val="20"/>
                                </w:rPr>
                                <w:t xml:space="preserve"> </w:t>
                              </w:r>
                              <w:r>
                                <w:rPr>
                                  <w:sz w:val="20"/>
                                </w:rPr>
                                <w:t>R</w:t>
                              </w:r>
                              <w:r>
                                <w:rPr>
                                  <w:spacing w:val="-15"/>
                                  <w:sz w:val="20"/>
                                </w:rPr>
                                <w:t xml:space="preserve"> </w:t>
                              </w:r>
                              <w:r>
                                <w:rPr>
                                  <w:spacing w:val="-5"/>
                                  <w:sz w:val="20"/>
                                </w:rPr>
                                <w:t>Y:</w:t>
                              </w:r>
                            </w:p>
                            <w:p w14:paraId="4DF3FBA4" w14:textId="77777777" w:rsidR="00BC24A8" w:rsidRDefault="00000000">
                              <w:pPr>
                                <w:spacing w:line="243" w:lineRule="exact"/>
                                <w:ind w:left="33" w:right="34"/>
                                <w:jc w:val="center"/>
                                <w:rPr>
                                  <w:rFonts w:ascii="Calibri" w:hAnsi="Calibri"/>
                                  <w:b/>
                                  <w:sz w:val="20"/>
                                </w:rPr>
                              </w:pPr>
                              <w:r>
                                <w:rPr>
                                  <w:rFonts w:ascii="Calibri" w:hAnsi="Calibri"/>
                                  <w:b/>
                                  <w:color w:val="17365A"/>
                                  <w:sz w:val="20"/>
                                </w:rPr>
                                <w:t>Promoting</w:t>
                              </w:r>
                              <w:r>
                                <w:rPr>
                                  <w:rFonts w:ascii="Calibri" w:hAnsi="Calibri"/>
                                  <w:b/>
                                  <w:color w:val="17365A"/>
                                  <w:spacing w:val="-10"/>
                                  <w:sz w:val="20"/>
                                </w:rPr>
                                <w:t xml:space="preserve"> </w:t>
                              </w:r>
                              <w:r>
                                <w:rPr>
                                  <w:rFonts w:ascii="Calibri" w:hAnsi="Calibri"/>
                                  <w:b/>
                                  <w:color w:val="17365A"/>
                                  <w:sz w:val="20"/>
                                </w:rPr>
                                <w:t>Inclusive</w:t>
                              </w:r>
                              <w:r>
                                <w:rPr>
                                  <w:rFonts w:ascii="Calibri" w:hAnsi="Calibri"/>
                                  <w:b/>
                                  <w:color w:val="17365A"/>
                                  <w:spacing w:val="-9"/>
                                  <w:sz w:val="20"/>
                                </w:rPr>
                                <w:t xml:space="preserve"> </w:t>
                              </w:r>
                              <w:r>
                                <w:rPr>
                                  <w:rFonts w:ascii="Calibri" w:hAnsi="Calibri"/>
                                  <w:b/>
                                  <w:color w:val="17365A"/>
                                  <w:sz w:val="20"/>
                                </w:rPr>
                                <w:t>Dialogue</w:t>
                              </w:r>
                              <w:r>
                                <w:rPr>
                                  <w:rFonts w:ascii="Calibri" w:hAnsi="Calibri"/>
                                  <w:b/>
                                  <w:color w:val="17365A"/>
                                  <w:spacing w:val="-7"/>
                                  <w:sz w:val="20"/>
                                </w:rPr>
                                <w:t xml:space="preserve"> </w:t>
                              </w:r>
                              <w:r>
                                <w:rPr>
                                  <w:rFonts w:ascii="Calibri" w:hAnsi="Calibri"/>
                                  <w:b/>
                                  <w:color w:val="17365A"/>
                                  <w:sz w:val="20"/>
                                </w:rPr>
                                <w:t>between</w:t>
                              </w:r>
                              <w:r>
                                <w:rPr>
                                  <w:rFonts w:ascii="Calibri" w:hAnsi="Calibri"/>
                                  <w:b/>
                                  <w:color w:val="17365A"/>
                                  <w:spacing w:val="-8"/>
                                  <w:sz w:val="20"/>
                                </w:rPr>
                                <w:t xml:space="preserve"> </w:t>
                              </w:r>
                              <w:r>
                                <w:rPr>
                                  <w:rFonts w:ascii="Calibri" w:hAnsi="Calibri"/>
                                  <w:b/>
                                  <w:color w:val="17365A"/>
                                  <w:sz w:val="20"/>
                                </w:rPr>
                                <w:t>Government</w:t>
                              </w:r>
                              <w:r>
                                <w:rPr>
                                  <w:rFonts w:ascii="Calibri" w:hAnsi="Calibri"/>
                                  <w:b/>
                                  <w:color w:val="17365A"/>
                                  <w:spacing w:val="-9"/>
                                  <w:sz w:val="20"/>
                                </w:rPr>
                                <w:t xml:space="preserve"> </w:t>
                              </w:r>
                              <w:r>
                                <w:rPr>
                                  <w:rFonts w:ascii="Calibri" w:hAnsi="Calibri"/>
                                  <w:b/>
                                  <w:color w:val="17365A"/>
                                  <w:sz w:val="20"/>
                                </w:rPr>
                                <w:t>and</w:t>
                              </w:r>
                              <w:r>
                                <w:rPr>
                                  <w:rFonts w:ascii="Calibri" w:hAnsi="Calibri"/>
                                  <w:b/>
                                  <w:color w:val="17365A"/>
                                  <w:spacing w:val="-8"/>
                                  <w:sz w:val="20"/>
                                </w:rPr>
                                <w:t xml:space="preserve"> </w:t>
                              </w:r>
                              <w:r>
                                <w:rPr>
                                  <w:rFonts w:ascii="Calibri" w:hAnsi="Calibri"/>
                                  <w:b/>
                                  <w:color w:val="17365A"/>
                                  <w:sz w:val="20"/>
                                </w:rPr>
                                <w:t>Community</w:t>
                              </w:r>
                              <w:r>
                                <w:rPr>
                                  <w:rFonts w:ascii="Calibri" w:hAnsi="Calibri"/>
                                  <w:b/>
                                  <w:color w:val="17365A"/>
                                  <w:spacing w:val="-9"/>
                                  <w:sz w:val="20"/>
                                </w:rPr>
                                <w:t xml:space="preserve"> </w:t>
                              </w:r>
                              <w:r>
                                <w:rPr>
                                  <w:rFonts w:ascii="Calibri" w:hAnsi="Calibri"/>
                                  <w:b/>
                                  <w:color w:val="17365A"/>
                                  <w:sz w:val="20"/>
                                </w:rPr>
                                <w:t>in</w:t>
                              </w:r>
                              <w:r>
                                <w:rPr>
                                  <w:rFonts w:ascii="Calibri" w:hAnsi="Calibri"/>
                                  <w:b/>
                                  <w:color w:val="17365A"/>
                                  <w:spacing w:val="-8"/>
                                  <w:sz w:val="20"/>
                                </w:rPr>
                                <w:t xml:space="preserve"> </w:t>
                              </w:r>
                              <w:r>
                                <w:rPr>
                                  <w:rFonts w:ascii="Calibri" w:hAnsi="Calibri"/>
                                  <w:b/>
                                  <w:color w:val="17365A"/>
                                  <w:sz w:val="20"/>
                                </w:rPr>
                                <w:t>the</w:t>
                              </w:r>
                              <w:r>
                                <w:rPr>
                                  <w:rFonts w:ascii="Calibri" w:hAnsi="Calibri"/>
                                  <w:b/>
                                  <w:color w:val="17365A"/>
                                  <w:spacing w:val="-9"/>
                                  <w:sz w:val="20"/>
                                </w:rPr>
                                <w:t xml:space="preserve"> </w:t>
                              </w:r>
                              <w:r>
                                <w:rPr>
                                  <w:rFonts w:ascii="Calibri" w:hAnsi="Calibri"/>
                                  <w:b/>
                                  <w:color w:val="17365A"/>
                                  <w:sz w:val="20"/>
                                </w:rPr>
                                <w:t>Preparation</w:t>
                              </w:r>
                              <w:r>
                                <w:rPr>
                                  <w:rFonts w:ascii="Calibri" w:hAnsi="Calibri"/>
                                  <w:b/>
                                  <w:color w:val="17365A"/>
                                  <w:spacing w:val="-10"/>
                                  <w:sz w:val="20"/>
                                </w:rPr>
                                <w:t xml:space="preserve"> </w:t>
                              </w:r>
                              <w:r>
                                <w:rPr>
                                  <w:rFonts w:ascii="Calibri" w:hAnsi="Calibri"/>
                                  <w:b/>
                                  <w:color w:val="17365A"/>
                                  <w:sz w:val="20"/>
                                </w:rPr>
                                <w:t>of</w:t>
                              </w:r>
                              <w:r>
                                <w:rPr>
                                  <w:rFonts w:ascii="Calibri" w:hAnsi="Calibri"/>
                                  <w:b/>
                                  <w:color w:val="17365A"/>
                                  <w:spacing w:val="-10"/>
                                  <w:sz w:val="20"/>
                                </w:rPr>
                                <w:t xml:space="preserve"> </w:t>
                              </w:r>
                              <w:r>
                                <w:rPr>
                                  <w:rFonts w:ascii="Calibri" w:hAnsi="Calibri"/>
                                  <w:b/>
                                  <w:color w:val="17365A"/>
                                  <w:spacing w:val="-2"/>
                                  <w:sz w:val="20"/>
                                </w:rPr>
                                <w:t>Gorontalo’s</w:t>
                              </w:r>
                            </w:p>
                            <w:p w14:paraId="2409A316" w14:textId="77777777" w:rsidR="00BC24A8" w:rsidRDefault="00000000">
                              <w:pPr>
                                <w:spacing w:before="1"/>
                                <w:ind w:left="33" w:right="34"/>
                                <w:jc w:val="center"/>
                                <w:rPr>
                                  <w:rFonts w:ascii="Calibri"/>
                                  <w:b/>
                                  <w:sz w:val="20"/>
                                </w:rPr>
                              </w:pPr>
                              <w:r>
                                <w:rPr>
                                  <w:rFonts w:ascii="Calibri"/>
                                  <w:b/>
                                  <w:color w:val="17365A"/>
                                  <w:sz w:val="20"/>
                                </w:rPr>
                                <w:t>RAD</w:t>
                              </w:r>
                              <w:r>
                                <w:rPr>
                                  <w:rFonts w:ascii="Calibri"/>
                                  <w:b/>
                                  <w:color w:val="17365A"/>
                                  <w:spacing w:val="-6"/>
                                  <w:sz w:val="20"/>
                                </w:rPr>
                                <w:t xml:space="preserve"> </w:t>
                              </w:r>
                              <w:r>
                                <w:rPr>
                                  <w:rFonts w:ascii="Calibri"/>
                                  <w:b/>
                                  <w:color w:val="17365A"/>
                                  <w:spacing w:val="-5"/>
                                  <w:sz w:val="20"/>
                                </w:rPr>
                                <w:t>PD</w:t>
                              </w:r>
                            </w:p>
                            <w:p w14:paraId="20C25B09" w14:textId="77777777" w:rsidR="00BC24A8" w:rsidRDefault="00000000">
                              <w:pPr>
                                <w:spacing w:before="219"/>
                                <w:ind w:left="247" w:right="242"/>
                                <w:jc w:val="both"/>
                                <w:rPr>
                                  <w:sz w:val="18"/>
                                </w:rPr>
                              </w:pPr>
                              <w:r>
                                <w:rPr>
                                  <w:sz w:val="18"/>
                                </w:rPr>
                                <w:t>Until</w:t>
                              </w:r>
                              <w:r>
                                <w:rPr>
                                  <w:spacing w:val="-11"/>
                                  <w:sz w:val="18"/>
                                </w:rPr>
                                <w:t xml:space="preserve"> </w:t>
                              </w:r>
                              <w:r>
                                <w:rPr>
                                  <w:sz w:val="18"/>
                                </w:rPr>
                                <w:t>recently,</w:t>
                              </w:r>
                              <w:r>
                                <w:rPr>
                                  <w:spacing w:val="-10"/>
                                  <w:sz w:val="18"/>
                                </w:rPr>
                                <w:t xml:space="preserve"> </w:t>
                              </w:r>
                              <w:r>
                                <w:rPr>
                                  <w:sz w:val="18"/>
                                </w:rPr>
                                <w:t>participatory</w:t>
                              </w:r>
                              <w:r>
                                <w:rPr>
                                  <w:spacing w:val="-10"/>
                                  <w:sz w:val="18"/>
                                </w:rPr>
                                <w:t xml:space="preserve"> </w:t>
                              </w:r>
                              <w:r>
                                <w:rPr>
                                  <w:sz w:val="18"/>
                                </w:rPr>
                                <w:t>dialogue</w:t>
                              </w:r>
                              <w:r>
                                <w:rPr>
                                  <w:spacing w:val="-10"/>
                                  <w:sz w:val="18"/>
                                </w:rPr>
                                <w:t xml:space="preserve"> </w:t>
                              </w:r>
                              <w:r>
                                <w:rPr>
                                  <w:sz w:val="18"/>
                                </w:rPr>
                                <w:t>spaces</w:t>
                              </w:r>
                              <w:r>
                                <w:rPr>
                                  <w:spacing w:val="-10"/>
                                  <w:sz w:val="18"/>
                                </w:rPr>
                                <w:t xml:space="preserve"> </w:t>
                              </w:r>
                              <w:r>
                                <w:rPr>
                                  <w:sz w:val="18"/>
                                </w:rPr>
                                <w:t>with</w:t>
                              </w:r>
                              <w:r>
                                <w:rPr>
                                  <w:spacing w:val="-11"/>
                                  <w:sz w:val="18"/>
                                </w:rPr>
                                <w:t xml:space="preserve"> </w:t>
                              </w:r>
                              <w:r>
                                <w:rPr>
                                  <w:sz w:val="18"/>
                                </w:rPr>
                                <w:t>persons</w:t>
                              </w:r>
                              <w:r>
                                <w:rPr>
                                  <w:spacing w:val="-10"/>
                                  <w:sz w:val="18"/>
                                </w:rPr>
                                <w:t xml:space="preserve"> </w:t>
                              </w:r>
                              <w:r>
                                <w:rPr>
                                  <w:sz w:val="18"/>
                                </w:rPr>
                                <w:t>with</w:t>
                              </w:r>
                              <w:r>
                                <w:rPr>
                                  <w:spacing w:val="-10"/>
                                  <w:sz w:val="18"/>
                                </w:rPr>
                                <w:t xml:space="preserve"> </w:t>
                              </w:r>
                              <w:r>
                                <w:rPr>
                                  <w:sz w:val="18"/>
                                </w:rPr>
                                <w:t>disabilities</w:t>
                              </w:r>
                              <w:r>
                                <w:rPr>
                                  <w:spacing w:val="-10"/>
                                  <w:sz w:val="18"/>
                                </w:rPr>
                                <w:t xml:space="preserve"> </w:t>
                              </w:r>
                              <w:r>
                                <w:rPr>
                                  <w:sz w:val="18"/>
                                </w:rPr>
                                <w:t>were</w:t>
                              </w:r>
                              <w:r>
                                <w:rPr>
                                  <w:spacing w:val="-10"/>
                                  <w:sz w:val="18"/>
                                </w:rPr>
                                <w:t xml:space="preserve"> </w:t>
                              </w:r>
                              <w:r>
                                <w:rPr>
                                  <w:sz w:val="18"/>
                                </w:rPr>
                                <w:t>very</w:t>
                              </w:r>
                              <w:r>
                                <w:rPr>
                                  <w:spacing w:val="-10"/>
                                  <w:sz w:val="18"/>
                                </w:rPr>
                                <w:t xml:space="preserve"> </w:t>
                              </w:r>
                              <w:r>
                                <w:rPr>
                                  <w:sz w:val="18"/>
                                </w:rPr>
                                <w:t>limited.</w:t>
                              </w:r>
                              <w:r>
                                <w:rPr>
                                  <w:spacing w:val="-11"/>
                                  <w:sz w:val="18"/>
                                </w:rPr>
                                <w:t xml:space="preserve"> </w:t>
                              </w:r>
                              <w:r>
                                <w:rPr>
                                  <w:sz w:val="18"/>
                                </w:rPr>
                                <w:t>Their</w:t>
                              </w:r>
                              <w:r>
                                <w:rPr>
                                  <w:spacing w:val="-10"/>
                                  <w:sz w:val="18"/>
                                </w:rPr>
                                <w:t xml:space="preserve"> </w:t>
                              </w:r>
                              <w:r>
                                <w:rPr>
                                  <w:sz w:val="18"/>
                                </w:rPr>
                                <w:t>aspirations</w:t>
                              </w:r>
                              <w:r>
                                <w:rPr>
                                  <w:spacing w:val="-10"/>
                                  <w:sz w:val="18"/>
                                </w:rPr>
                                <w:t xml:space="preserve"> </w:t>
                              </w:r>
                              <w:r>
                                <w:rPr>
                                  <w:sz w:val="18"/>
                                </w:rPr>
                                <w:t>were</w:t>
                              </w:r>
                              <w:r>
                                <w:rPr>
                                  <w:spacing w:val="-10"/>
                                  <w:sz w:val="18"/>
                                </w:rPr>
                                <w:t xml:space="preserve"> </w:t>
                              </w:r>
                              <w:r>
                                <w:rPr>
                                  <w:sz w:val="18"/>
                                </w:rPr>
                                <w:t>often voiced through forums that did not focus on inclusion, so their real needs were rarely heard directly by policymakers, and government responses frequently did not meet the needs of vulnerable groups.</w:t>
                              </w:r>
                            </w:p>
                            <w:p w14:paraId="5B2B2C27" w14:textId="77777777" w:rsidR="00BC24A8" w:rsidRDefault="00000000">
                              <w:pPr>
                                <w:spacing w:before="161"/>
                                <w:ind w:left="247" w:right="242"/>
                                <w:jc w:val="both"/>
                                <w:rPr>
                                  <w:sz w:val="18"/>
                                </w:rPr>
                              </w:pPr>
                              <w:r>
                                <w:rPr>
                                  <w:sz w:val="18"/>
                                </w:rPr>
                                <w:t>The</w:t>
                              </w:r>
                              <w:r>
                                <w:rPr>
                                  <w:spacing w:val="-1"/>
                                  <w:sz w:val="18"/>
                                </w:rPr>
                                <w:t xml:space="preserve"> </w:t>
                              </w:r>
                              <w:r>
                                <w:rPr>
                                  <w:sz w:val="18"/>
                                </w:rPr>
                                <w:t>situation</w:t>
                              </w:r>
                              <w:r>
                                <w:rPr>
                                  <w:spacing w:val="-1"/>
                                  <w:sz w:val="18"/>
                                </w:rPr>
                                <w:t xml:space="preserve"> </w:t>
                              </w:r>
                              <w:r>
                                <w:rPr>
                                  <w:sz w:val="18"/>
                                </w:rPr>
                                <w:t>began</w:t>
                              </w:r>
                              <w:r>
                                <w:rPr>
                                  <w:spacing w:val="-1"/>
                                  <w:sz w:val="18"/>
                                </w:rPr>
                                <w:t xml:space="preserve"> </w:t>
                              </w:r>
                              <w:r>
                                <w:rPr>
                                  <w:sz w:val="18"/>
                                </w:rPr>
                                <w:t>to</w:t>
                              </w:r>
                              <w:r>
                                <w:rPr>
                                  <w:spacing w:val="-1"/>
                                  <w:sz w:val="18"/>
                                </w:rPr>
                                <w:t xml:space="preserve"> </w:t>
                              </w:r>
                              <w:r>
                                <w:rPr>
                                  <w:sz w:val="18"/>
                                </w:rPr>
                                <w:t>change</w:t>
                              </w:r>
                              <w:r>
                                <w:rPr>
                                  <w:spacing w:val="-1"/>
                                  <w:sz w:val="18"/>
                                </w:rPr>
                                <w:t xml:space="preserve"> </w:t>
                              </w:r>
                              <w:r>
                                <w:rPr>
                                  <w:sz w:val="18"/>
                                </w:rPr>
                                <w:t>when</w:t>
                              </w:r>
                              <w:r>
                                <w:rPr>
                                  <w:spacing w:val="-1"/>
                                  <w:sz w:val="18"/>
                                </w:rPr>
                                <w:t xml:space="preserve"> </w:t>
                              </w:r>
                              <w:r>
                                <w:rPr>
                                  <w:sz w:val="18"/>
                                </w:rPr>
                                <w:t>SKALA</w:t>
                              </w:r>
                              <w:r>
                                <w:rPr>
                                  <w:spacing w:val="-1"/>
                                  <w:sz w:val="18"/>
                                </w:rPr>
                                <w:t xml:space="preserve"> </w:t>
                              </w:r>
                              <w:r>
                                <w:rPr>
                                  <w:sz w:val="18"/>
                                </w:rPr>
                                <w:t>initiated</w:t>
                              </w:r>
                              <w:r>
                                <w:rPr>
                                  <w:spacing w:val="-1"/>
                                  <w:sz w:val="18"/>
                                </w:rPr>
                                <w:t xml:space="preserve"> </w:t>
                              </w:r>
                              <w:r>
                                <w:rPr>
                                  <w:sz w:val="18"/>
                                </w:rPr>
                                <w:t>the</w:t>
                              </w:r>
                              <w:r>
                                <w:rPr>
                                  <w:spacing w:val="-3"/>
                                  <w:sz w:val="18"/>
                                </w:rPr>
                                <w:t xml:space="preserve"> </w:t>
                              </w:r>
                              <w:r>
                                <w:rPr>
                                  <w:sz w:val="18"/>
                                </w:rPr>
                                <w:t>Workshop</w:t>
                              </w:r>
                              <w:r>
                                <w:rPr>
                                  <w:spacing w:val="-1"/>
                                  <w:sz w:val="18"/>
                                </w:rPr>
                                <w:t xml:space="preserve"> </w:t>
                              </w:r>
                              <w:r>
                                <w:rPr>
                                  <w:sz w:val="18"/>
                                </w:rPr>
                                <w:t>on</w:t>
                              </w:r>
                              <w:r>
                                <w:rPr>
                                  <w:spacing w:val="-1"/>
                                  <w:sz w:val="18"/>
                                </w:rPr>
                                <w:t xml:space="preserve"> </w:t>
                              </w:r>
                              <w:r>
                                <w:rPr>
                                  <w:sz w:val="18"/>
                                </w:rPr>
                                <w:t>Recommendations</w:t>
                              </w:r>
                              <w:r>
                                <w:rPr>
                                  <w:spacing w:val="-1"/>
                                  <w:sz w:val="18"/>
                                </w:rPr>
                                <w:t xml:space="preserve"> </w:t>
                              </w:r>
                              <w:r>
                                <w:rPr>
                                  <w:sz w:val="18"/>
                                </w:rPr>
                                <w:t>for the</w:t>
                              </w:r>
                              <w:r>
                                <w:rPr>
                                  <w:spacing w:val="-3"/>
                                  <w:sz w:val="18"/>
                                </w:rPr>
                                <w:t xml:space="preserve"> </w:t>
                              </w:r>
                              <w:r>
                                <w:rPr>
                                  <w:sz w:val="18"/>
                                </w:rPr>
                                <w:t>Draft</w:t>
                              </w:r>
                              <w:r>
                                <w:rPr>
                                  <w:spacing w:val="-1"/>
                                  <w:sz w:val="18"/>
                                </w:rPr>
                                <w:t xml:space="preserve"> </w:t>
                              </w:r>
                              <w:r>
                                <w:rPr>
                                  <w:sz w:val="18"/>
                                </w:rPr>
                                <w:t>Regional Action Plan for Persons with Disabilities (RAD PD). The Gorontalo Provincial Government started involving organisations for persons with disabilities and other civil society organisations (CSOs) in open dialogue.</w:t>
                              </w:r>
                            </w:p>
                            <w:p w14:paraId="2249C3BD" w14:textId="77777777" w:rsidR="00BC24A8" w:rsidRDefault="00000000">
                              <w:pPr>
                                <w:spacing w:before="160"/>
                                <w:ind w:left="247" w:right="242"/>
                                <w:jc w:val="both"/>
                                <w:rPr>
                                  <w:sz w:val="18"/>
                                </w:rPr>
                              </w:pPr>
                              <w:r>
                                <w:rPr>
                                  <w:sz w:val="18"/>
                                </w:rPr>
                                <w:t>For Yusuf Abdurahman, a special school teacher actively advocating for the rights of persons with disabilities, the involvement of organisations for persons with disabilities in open dialogue was significant. He felt it was a rare opportunity that had not been provided by the government before:</w:t>
                              </w:r>
                            </w:p>
                            <w:p w14:paraId="02E6EEE6" w14:textId="77777777" w:rsidR="00BC24A8" w:rsidRDefault="00BC24A8">
                              <w:pPr>
                                <w:rPr>
                                  <w:sz w:val="18"/>
                                </w:rPr>
                              </w:pPr>
                            </w:p>
                            <w:p w14:paraId="70679ABC" w14:textId="77777777" w:rsidR="00BC24A8" w:rsidRDefault="00BC24A8">
                              <w:pPr>
                                <w:rPr>
                                  <w:sz w:val="18"/>
                                </w:rPr>
                              </w:pPr>
                            </w:p>
                            <w:p w14:paraId="51A80C71" w14:textId="77777777" w:rsidR="00BC24A8" w:rsidRDefault="00BC24A8">
                              <w:pPr>
                                <w:spacing w:before="67"/>
                                <w:rPr>
                                  <w:sz w:val="18"/>
                                </w:rPr>
                              </w:pPr>
                            </w:p>
                            <w:p w14:paraId="36F23C6B" w14:textId="77777777" w:rsidR="00BC24A8" w:rsidRDefault="00000000">
                              <w:pPr>
                                <w:spacing w:line="290" w:lineRule="auto"/>
                                <w:ind w:left="587" w:right="564"/>
                                <w:jc w:val="both"/>
                                <w:rPr>
                                  <w:rFonts w:ascii="Times New Roman" w:hAnsi="Times New Roman"/>
                                  <w:b/>
                                  <w:i/>
                                  <w:sz w:val="18"/>
                                </w:rPr>
                              </w:pPr>
                              <w:r>
                                <w:rPr>
                                  <w:rFonts w:ascii="Times New Roman" w:hAnsi="Times New Roman"/>
                                  <w:b/>
                                  <w:i/>
                                  <w:color w:val="17365A"/>
                                  <w:sz w:val="18"/>
                                </w:rPr>
                                <w:t xml:space="preserve">This is the flrst time the government and community—from DPO as well as other disability-focused </w:t>
                              </w:r>
                              <w:r>
                                <w:rPr>
                                  <w:rFonts w:ascii="Times New Roman" w:hAnsi="Times New Roman"/>
                                  <w:b/>
                                  <w:i/>
                                  <w:color w:val="17365A"/>
                                  <w:spacing w:val="-2"/>
                                  <w:sz w:val="18"/>
                                </w:rPr>
                                <w:t>organisations—have</w:t>
                              </w:r>
                              <w:r>
                                <w:rPr>
                                  <w:rFonts w:ascii="Times New Roman" w:hAnsi="Times New Roman"/>
                                  <w:b/>
                                  <w:i/>
                                  <w:color w:val="17365A"/>
                                  <w:spacing w:val="-4"/>
                                  <w:sz w:val="18"/>
                                </w:rPr>
                                <w:t xml:space="preserve"> </w:t>
                              </w:r>
                              <w:r>
                                <w:rPr>
                                  <w:rFonts w:ascii="Times New Roman" w:hAnsi="Times New Roman"/>
                                  <w:b/>
                                  <w:i/>
                                  <w:color w:val="17365A"/>
                                  <w:spacing w:val="-2"/>
                                  <w:sz w:val="18"/>
                                </w:rPr>
                                <w:t>dialogued</w:t>
                              </w:r>
                              <w:r>
                                <w:rPr>
                                  <w:rFonts w:ascii="Times New Roman" w:hAnsi="Times New Roman"/>
                                  <w:b/>
                                  <w:i/>
                                  <w:color w:val="17365A"/>
                                  <w:spacing w:val="-3"/>
                                  <w:sz w:val="18"/>
                                </w:rPr>
                                <w:t xml:space="preserve"> </w:t>
                              </w:r>
                              <w:r>
                                <w:rPr>
                                  <w:rFonts w:ascii="Times New Roman" w:hAnsi="Times New Roman"/>
                                  <w:b/>
                                  <w:i/>
                                  <w:color w:val="17365A"/>
                                  <w:spacing w:val="-2"/>
                                  <w:sz w:val="18"/>
                                </w:rPr>
                                <w:t>about</w:t>
                              </w:r>
                              <w:r>
                                <w:rPr>
                                  <w:rFonts w:ascii="Times New Roman" w:hAnsi="Times New Roman"/>
                                  <w:b/>
                                  <w:i/>
                                  <w:color w:val="17365A"/>
                                  <w:spacing w:val="-3"/>
                                  <w:sz w:val="18"/>
                                </w:rPr>
                                <w:t xml:space="preserve"> </w:t>
                              </w:r>
                              <w:r>
                                <w:rPr>
                                  <w:rFonts w:ascii="Times New Roman" w:hAnsi="Times New Roman"/>
                                  <w:b/>
                                  <w:i/>
                                  <w:color w:val="17365A"/>
                                  <w:spacing w:val="-2"/>
                                  <w:sz w:val="18"/>
                                </w:rPr>
                                <w:t>disability</w:t>
                              </w:r>
                              <w:r>
                                <w:rPr>
                                  <w:rFonts w:ascii="Times New Roman" w:hAnsi="Times New Roman"/>
                                  <w:b/>
                                  <w:i/>
                                  <w:color w:val="17365A"/>
                                  <w:spacing w:val="-3"/>
                                  <w:sz w:val="18"/>
                                </w:rPr>
                                <w:t xml:space="preserve"> </w:t>
                              </w:r>
                              <w:r>
                                <w:rPr>
                                  <w:rFonts w:ascii="Times New Roman" w:hAnsi="Times New Roman"/>
                                  <w:b/>
                                  <w:i/>
                                  <w:color w:val="17365A"/>
                                  <w:spacing w:val="-2"/>
                                  <w:sz w:val="18"/>
                                </w:rPr>
                                <w:t>issues in</w:t>
                              </w:r>
                              <w:r>
                                <w:rPr>
                                  <w:rFonts w:ascii="Times New Roman" w:hAnsi="Times New Roman"/>
                                  <w:b/>
                                  <w:i/>
                                  <w:color w:val="17365A"/>
                                  <w:spacing w:val="-3"/>
                                  <w:sz w:val="18"/>
                                </w:rPr>
                                <w:t xml:space="preserve"> </w:t>
                              </w:r>
                              <w:r>
                                <w:rPr>
                                  <w:rFonts w:ascii="Times New Roman" w:hAnsi="Times New Roman"/>
                                  <w:b/>
                                  <w:i/>
                                  <w:color w:val="17365A"/>
                                  <w:spacing w:val="-2"/>
                                  <w:sz w:val="18"/>
                                </w:rPr>
                                <w:t>Gorontalo. It</w:t>
                              </w:r>
                              <w:r>
                                <w:rPr>
                                  <w:rFonts w:ascii="Times New Roman" w:hAnsi="Times New Roman"/>
                                  <w:b/>
                                  <w:i/>
                                  <w:color w:val="17365A"/>
                                  <w:spacing w:val="-3"/>
                                  <w:sz w:val="18"/>
                                </w:rPr>
                                <w:t xml:space="preserve"> </w:t>
                              </w:r>
                              <w:r>
                                <w:rPr>
                                  <w:rFonts w:ascii="Times New Roman" w:hAnsi="Times New Roman"/>
                                  <w:b/>
                                  <w:i/>
                                  <w:color w:val="17365A"/>
                                  <w:spacing w:val="-2"/>
                                  <w:sz w:val="18"/>
                                </w:rPr>
                                <w:t>is a</w:t>
                              </w:r>
                              <w:r>
                                <w:rPr>
                                  <w:rFonts w:ascii="Times New Roman" w:hAnsi="Times New Roman"/>
                                  <w:b/>
                                  <w:i/>
                                  <w:color w:val="17365A"/>
                                  <w:spacing w:val="-3"/>
                                  <w:sz w:val="18"/>
                                </w:rPr>
                                <w:t xml:space="preserve"> </w:t>
                              </w:r>
                              <w:r>
                                <w:rPr>
                                  <w:rFonts w:ascii="Times New Roman" w:hAnsi="Times New Roman"/>
                                  <w:b/>
                                  <w:i/>
                                  <w:color w:val="17365A"/>
                                  <w:spacing w:val="-2"/>
                                  <w:sz w:val="18"/>
                                </w:rPr>
                                <w:t>rare</w:t>
                              </w:r>
                              <w:r>
                                <w:rPr>
                                  <w:rFonts w:ascii="Times New Roman" w:hAnsi="Times New Roman"/>
                                  <w:b/>
                                  <w:i/>
                                  <w:color w:val="17365A"/>
                                  <w:spacing w:val="-4"/>
                                  <w:sz w:val="18"/>
                                </w:rPr>
                                <w:t xml:space="preserve"> </w:t>
                              </w:r>
                              <w:r>
                                <w:rPr>
                                  <w:rFonts w:ascii="Times New Roman" w:hAnsi="Times New Roman"/>
                                  <w:b/>
                                  <w:i/>
                                  <w:color w:val="17365A"/>
                                  <w:spacing w:val="-2"/>
                                  <w:sz w:val="18"/>
                                </w:rPr>
                                <w:t>moment</w:t>
                              </w:r>
                              <w:r>
                                <w:rPr>
                                  <w:rFonts w:ascii="Times New Roman" w:hAnsi="Times New Roman"/>
                                  <w:b/>
                                  <w:i/>
                                  <w:color w:val="17365A"/>
                                  <w:spacing w:val="-3"/>
                                  <w:sz w:val="18"/>
                                </w:rPr>
                                <w:t xml:space="preserve"> </w:t>
                              </w:r>
                              <w:r>
                                <w:rPr>
                                  <w:rFonts w:ascii="Times New Roman" w:hAnsi="Times New Roman"/>
                                  <w:b/>
                                  <w:i/>
                                  <w:color w:val="17365A"/>
                                  <w:spacing w:val="-2"/>
                                  <w:sz w:val="18"/>
                                </w:rPr>
                                <w:t xml:space="preserve">to speak directly, and </w:t>
                              </w:r>
                              <w:r>
                                <w:rPr>
                                  <w:rFonts w:ascii="Times New Roman" w:hAnsi="Times New Roman"/>
                                  <w:b/>
                                  <w:i/>
                                  <w:color w:val="17365A"/>
                                  <w:sz w:val="18"/>
                                </w:rPr>
                                <w:t>the government responds.</w:t>
                              </w:r>
                            </w:p>
                            <w:p w14:paraId="0604A7E5" w14:textId="77777777" w:rsidR="00BC24A8" w:rsidRDefault="00BC24A8">
                              <w:pPr>
                                <w:rPr>
                                  <w:rFonts w:ascii="Times New Roman"/>
                                  <w:b/>
                                  <w:i/>
                                  <w:sz w:val="18"/>
                                </w:rPr>
                              </w:pPr>
                            </w:p>
                            <w:p w14:paraId="7BA9B98E" w14:textId="77777777" w:rsidR="00BC24A8" w:rsidRDefault="00BC24A8">
                              <w:pPr>
                                <w:rPr>
                                  <w:rFonts w:ascii="Times New Roman"/>
                                  <w:b/>
                                  <w:i/>
                                  <w:sz w:val="18"/>
                                </w:rPr>
                              </w:pPr>
                            </w:p>
                            <w:p w14:paraId="394073B9" w14:textId="77777777" w:rsidR="00BC24A8" w:rsidRDefault="00BC24A8">
                              <w:pPr>
                                <w:spacing w:before="76"/>
                                <w:rPr>
                                  <w:rFonts w:ascii="Times New Roman"/>
                                  <w:b/>
                                  <w:i/>
                                  <w:sz w:val="18"/>
                                </w:rPr>
                              </w:pPr>
                            </w:p>
                            <w:p w14:paraId="78A452DA" w14:textId="77777777" w:rsidR="00BC24A8" w:rsidRDefault="00000000">
                              <w:pPr>
                                <w:ind w:left="247" w:right="245"/>
                                <w:jc w:val="both"/>
                                <w:rPr>
                                  <w:sz w:val="18"/>
                                </w:rPr>
                              </w:pPr>
                              <w:r>
                                <w:rPr>
                                  <w:sz w:val="18"/>
                                </w:rPr>
                                <w:t>Through</w:t>
                              </w:r>
                              <w:r>
                                <w:rPr>
                                  <w:spacing w:val="-3"/>
                                  <w:sz w:val="18"/>
                                </w:rPr>
                                <w:t xml:space="preserve"> </w:t>
                              </w:r>
                              <w:r>
                                <w:rPr>
                                  <w:sz w:val="18"/>
                                </w:rPr>
                                <w:t>this</w:t>
                              </w:r>
                              <w:r>
                                <w:rPr>
                                  <w:spacing w:val="-3"/>
                                  <w:sz w:val="18"/>
                                </w:rPr>
                                <w:t xml:space="preserve"> </w:t>
                              </w:r>
                              <w:r>
                                <w:rPr>
                                  <w:sz w:val="18"/>
                                </w:rPr>
                                <w:t>dialogue,</w:t>
                              </w:r>
                              <w:r>
                                <w:rPr>
                                  <w:spacing w:val="-4"/>
                                  <w:sz w:val="18"/>
                                </w:rPr>
                                <w:t xml:space="preserve"> </w:t>
                              </w:r>
                              <w:r>
                                <w:rPr>
                                  <w:sz w:val="18"/>
                                </w:rPr>
                                <w:t>a</w:t>
                              </w:r>
                              <w:r>
                                <w:rPr>
                                  <w:spacing w:val="-4"/>
                                  <w:sz w:val="18"/>
                                </w:rPr>
                                <w:t xml:space="preserve"> </w:t>
                              </w:r>
                              <w:r>
                                <w:rPr>
                                  <w:sz w:val="18"/>
                                </w:rPr>
                                <w:t>shared</w:t>
                              </w:r>
                              <w:r>
                                <w:rPr>
                                  <w:spacing w:val="-3"/>
                                  <w:sz w:val="18"/>
                                </w:rPr>
                                <w:t xml:space="preserve"> </w:t>
                              </w:r>
                              <w:r>
                                <w:rPr>
                                  <w:sz w:val="18"/>
                                </w:rPr>
                                <w:t>understanding</w:t>
                              </w:r>
                              <w:r>
                                <w:rPr>
                                  <w:spacing w:val="-3"/>
                                  <w:sz w:val="18"/>
                                </w:rPr>
                                <w:t xml:space="preserve"> </w:t>
                              </w:r>
                              <w:r>
                                <w:rPr>
                                  <w:sz w:val="18"/>
                                </w:rPr>
                                <w:t>and</w:t>
                              </w:r>
                              <w:r>
                                <w:rPr>
                                  <w:spacing w:val="-3"/>
                                  <w:sz w:val="18"/>
                                </w:rPr>
                                <w:t xml:space="preserve"> </w:t>
                              </w:r>
                              <w:r>
                                <w:rPr>
                                  <w:sz w:val="18"/>
                                </w:rPr>
                                <w:t>commitment</w:t>
                              </w:r>
                              <w:r>
                                <w:rPr>
                                  <w:spacing w:val="-2"/>
                                  <w:sz w:val="18"/>
                                </w:rPr>
                                <w:t xml:space="preserve"> </w:t>
                              </w:r>
                              <w:r>
                                <w:rPr>
                                  <w:sz w:val="18"/>
                                </w:rPr>
                                <w:t>have</w:t>
                              </w:r>
                              <w:r>
                                <w:rPr>
                                  <w:spacing w:val="-3"/>
                                  <w:sz w:val="18"/>
                                </w:rPr>
                                <w:t xml:space="preserve"> </w:t>
                              </w:r>
                              <w:r>
                                <w:rPr>
                                  <w:sz w:val="18"/>
                                </w:rPr>
                                <w:t>emerged</w:t>
                              </w:r>
                              <w:r>
                                <w:rPr>
                                  <w:spacing w:val="-3"/>
                                  <w:sz w:val="18"/>
                                </w:rPr>
                                <w:t xml:space="preserve"> </w:t>
                              </w:r>
                              <w:r>
                                <w:rPr>
                                  <w:sz w:val="18"/>
                                </w:rPr>
                                <w:t>to</w:t>
                              </w:r>
                              <w:r>
                                <w:rPr>
                                  <w:spacing w:val="-3"/>
                                  <w:sz w:val="18"/>
                                </w:rPr>
                                <w:t xml:space="preserve"> </w:t>
                              </w:r>
                              <w:r>
                                <w:rPr>
                                  <w:sz w:val="18"/>
                                </w:rPr>
                                <w:t>follow</w:t>
                              </w:r>
                              <w:r>
                                <w:rPr>
                                  <w:spacing w:val="-4"/>
                                  <w:sz w:val="18"/>
                                </w:rPr>
                                <w:t xml:space="preserve"> </w:t>
                              </w:r>
                              <w:r>
                                <w:rPr>
                                  <w:sz w:val="18"/>
                                </w:rPr>
                                <w:t>up</w:t>
                              </w:r>
                              <w:r>
                                <w:rPr>
                                  <w:spacing w:val="-3"/>
                                  <w:sz w:val="18"/>
                                </w:rPr>
                                <w:t xml:space="preserve"> </w:t>
                              </w:r>
                              <w:r>
                                <w:rPr>
                                  <w:sz w:val="18"/>
                                </w:rPr>
                                <w:t>on</w:t>
                              </w:r>
                              <w:r>
                                <w:rPr>
                                  <w:spacing w:val="-3"/>
                                  <w:sz w:val="18"/>
                                </w:rPr>
                                <w:t xml:space="preserve"> </w:t>
                              </w:r>
                              <w:r>
                                <w:rPr>
                                  <w:sz w:val="18"/>
                                </w:rPr>
                                <w:t>priority</w:t>
                              </w:r>
                              <w:r>
                                <w:rPr>
                                  <w:spacing w:val="-3"/>
                                  <w:sz w:val="18"/>
                                </w:rPr>
                                <w:t xml:space="preserve"> </w:t>
                              </w:r>
                              <w:r>
                                <w:rPr>
                                  <w:sz w:val="18"/>
                                </w:rPr>
                                <w:t>disability</w:t>
                              </w:r>
                              <w:r>
                                <w:rPr>
                                  <w:spacing w:val="-4"/>
                                  <w:sz w:val="18"/>
                                </w:rPr>
                                <w:t xml:space="preserve"> </w:t>
                              </w:r>
                              <w:r>
                                <w:rPr>
                                  <w:sz w:val="18"/>
                                </w:rPr>
                                <w:t>issues in the RAD PD document. For Yusuf and other participants, this step represents an important milestone toward more inclusive</w:t>
                              </w:r>
                              <w:r>
                                <w:rPr>
                                  <w:spacing w:val="-4"/>
                                  <w:sz w:val="18"/>
                                </w:rPr>
                                <w:t xml:space="preserve"> </w:t>
                              </w:r>
                              <w:r>
                                <w:rPr>
                                  <w:sz w:val="18"/>
                                </w:rPr>
                                <w:t>development.</w:t>
                              </w:r>
                            </w:p>
                          </w:txbxContent>
                        </wps:txbx>
                        <wps:bodyPr wrap="square" lIns="0" tIns="0" rIns="0" bIns="0" rtlCol="0">
                          <a:noAutofit/>
                        </wps:bodyPr>
                      </wps:wsp>
                    </wpg:wgp>
                  </a:graphicData>
                </a:graphic>
              </wp:inline>
            </w:drawing>
          </mc:Choice>
          <mc:Fallback>
            <w:pict>
              <v:group w14:anchorId="6EACF2F2" id="Group 92" o:spid="_x0000_s1033" alt="S E C O N D S T O R Y:&#10;Promoting Inclusive Dialogue between Government and Community in the Preparation of Gorontalo’s&#10;RAD PD&#10;Until recently, participatory dialogue spaces with persons with disabilities were very limited. Their aspirations were often voiced through forums that did not focus on inclusion, so their real needs were rarely heard directly by policymakers, and government responses frequently did not meet the needs of vulnerable groups.&#10;The situation began to change when SKALA initiated the Workshop on Recommendations for the Draft Regional Action Plan for Persons with Disabilities (RAD PD). The Gorontalo Provincial Government started involving organisations for persons with disabilities and other civil society organisations (CSOs) in open dialogue.&#10;For Yusuf Abdurahman, a special school teacher actively advocating for the rights of persons with disabilities, the involvement of organisations for persons with disabilities in open dialogue was significant. He felt it was a rare opportunity that had not been provided by the government before:&#10;&#10;&#10;&#10;This is the flrst time the government and community—from DPO as well as other disability-focused organisations—have dialogued about disability issues in Gorontalo. It is a rare moment to speak directly, and the government responds.&#10;&#10;&#10;&#10;Through this dialogue, a shared understanding and commitment have emerged to follow up on priority disability issues in the RAD PD document. For Yusuf and other participants, this step represents an important milestone toward more inclusive development.&#10;" style="width:455.05pt;height:329.2pt;mso-position-horizontal-relative:char;mso-position-vertical-relative:line" coordsize="57791,4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">
                <v:shape id="Graphic 93" o:spid="_x0000_s1034" style="position:absolute;left:60;top:61;width:57658;height:41681;visibility:visible;mso-wrap-style:square;v-text-anchor:top" coordsize="5765800,416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" path="m5765292,l,,,4168140r5765292,l5765292,xe" fillcolor="#e1f1ef" stroked="f">
                  <v:path arrowok="t"/>
                </v:shape>
                <v:shape id="Graphic 94" o:spid="_x0000_s1035" style="position:absolute;left:1901;top:25066;width:54102;height:7436;visibility:visible;mso-wrap-style:square;v-text-anchor:top" coordsize="5410200,74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" path="m,l5410200,r,743432l,743432,,xe" filled="f" strokecolor="#17365a" strokeweight="1pt">
                  <v:path arrowok="t"/>
                </v:shape>
                <v:shape id="Image 95" o:spid="_x0000_s1036" type="#_x0000_t75" style="position:absolute;left:2510;top:23522;width:2233;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">
                  <v:imagedata r:id="rId16" o:title=""/>
                </v:shape>
                <v:shape id="Image 96" o:spid="_x0000_s1037" type="#_x0000_t75" style="position:absolute;left:53074;top:31901;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">
                  <v:imagedata r:id="rId21" o:title=""/>
                </v:shape>
                <v:shape id="Textbox 97" o:spid="_x0000_s1038" type="#_x0000_t202" style="position:absolute;left:30;top:30;width:57734;height:4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" filled="f" strokecolor="#bebebe" strokeweight=".48pt">
                  <v:textbox inset="0,0,0,0">
                    <w:txbxContent>
                      <w:p w14:paraId="1DFEAB07" w14:textId="77777777" w:rsidR="00BC24A8" w:rsidRDefault="00000000">
                        <w:pPr>
                          <w:spacing w:before="181" w:line="243" w:lineRule="exact"/>
                          <w:ind w:left="1" w:right="35"/>
                          <w:jc w:val="center"/>
                          <w:rPr>
                            <w:sz w:val="20"/>
                          </w:rPr>
                        </w:pPr>
                        <w:r>
                          <w:rPr>
                            <w:sz w:val="20"/>
                          </w:rPr>
                          <w:t>S</w:t>
                        </w:r>
                        <w:r>
                          <w:rPr>
                            <w:spacing w:val="-13"/>
                            <w:sz w:val="20"/>
                          </w:rPr>
                          <w:t xml:space="preserve"> </w:t>
                        </w:r>
                        <w:r>
                          <w:rPr>
                            <w:sz w:val="20"/>
                          </w:rPr>
                          <w:t>E</w:t>
                        </w:r>
                        <w:r>
                          <w:rPr>
                            <w:spacing w:val="-16"/>
                            <w:sz w:val="20"/>
                          </w:rPr>
                          <w:t xml:space="preserve"> </w:t>
                        </w:r>
                        <w:r>
                          <w:rPr>
                            <w:sz w:val="20"/>
                          </w:rPr>
                          <w:t>C</w:t>
                        </w:r>
                        <w:r>
                          <w:rPr>
                            <w:spacing w:val="-15"/>
                            <w:sz w:val="20"/>
                          </w:rPr>
                          <w:t xml:space="preserve"> </w:t>
                        </w:r>
                        <w:r>
                          <w:rPr>
                            <w:sz w:val="20"/>
                          </w:rPr>
                          <w:t>O</w:t>
                        </w:r>
                        <w:r>
                          <w:rPr>
                            <w:spacing w:val="-13"/>
                            <w:sz w:val="20"/>
                          </w:rPr>
                          <w:t xml:space="preserve"> </w:t>
                        </w:r>
                        <w:r>
                          <w:rPr>
                            <w:sz w:val="20"/>
                          </w:rPr>
                          <w:t>N</w:t>
                        </w:r>
                        <w:r>
                          <w:rPr>
                            <w:spacing w:val="-12"/>
                            <w:sz w:val="20"/>
                          </w:rPr>
                          <w:t xml:space="preserve"> </w:t>
                        </w:r>
                        <w:r>
                          <w:rPr>
                            <w:sz w:val="20"/>
                          </w:rPr>
                          <w:t>D</w:t>
                        </w:r>
                        <w:r>
                          <w:rPr>
                            <w:spacing w:val="53"/>
                            <w:sz w:val="20"/>
                          </w:rPr>
                          <w:t xml:space="preserve"> </w:t>
                        </w:r>
                        <w:r>
                          <w:rPr>
                            <w:sz w:val="20"/>
                          </w:rPr>
                          <w:t>S</w:t>
                        </w:r>
                        <w:r>
                          <w:rPr>
                            <w:spacing w:val="-16"/>
                            <w:sz w:val="20"/>
                          </w:rPr>
                          <w:t xml:space="preserve"> </w:t>
                        </w:r>
                        <w:r>
                          <w:rPr>
                            <w:sz w:val="20"/>
                          </w:rPr>
                          <w:t>T</w:t>
                        </w:r>
                        <w:r>
                          <w:rPr>
                            <w:spacing w:val="-17"/>
                            <w:sz w:val="20"/>
                          </w:rPr>
                          <w:t xml:space="preserve"> </w:t>
                        </w:r>
                        <w:r>
                          <w:rPr>
                            <w:sz w:val="20"/>
                          </w:rPr>
                          <w:t>O</w:t>
                        </w:r>
                        <w:r>
                          <w:rPr>
                            <w:spacing w:val="-15"/>
                            <w:sz w:val="20"/>
                          </w:rPr>
                          <w:t xml:space="preserve"> </w:t>
                        </w:r>
                        <w:r>
                          <w:rPr>
                            <w:sz w:val="20"/>
                          </w:rPr>
                          <w:t>R</w:t>
                        </w:r>
                        <w:r>
                          <w:rPr>
                            <w:spacing w:val="-15"/>
                            <w:sz w:val="20"/>
                          </w:rPr>
                          <w:t xml:space="preserve"> </w:t>
                        </w:r>
                        <w:r>
                          <w:rPr>
                            <w:spacing w:val="-5"/>
                            <w:sz w:val="20"/>
                          </w:rPr>
                          <w:t>Y:</w:t>
                        </w:r>
                      </w:p>
                      <w:p w14:paraId="4DF3FBA4" w14:textId="77777777" w:rsidR="00BC24A8" w:rsidRDefault="00000000">
                        <w:pPr>
                          <w:spacing w:line="243" w:lineRule="exact"/>
                          <w:ind w:left="33" w:right="34"/>
                          <w:jc w:val="center"/>
                          <w:rPr>
                            <w:rFonts w:ascii="Calibri" w:hAnsi="Calibri"/>
                            <w:b/>
                            <w:sz w:val="20"/>
                          </w:rPr>
                        </w:pPr>
                        <w:r>
                          <w:rPr>
                            <w:rFonts w:ascii="Calibri" w:hAnsi="Calibri"/>
                            <w:b/>
                            <w:color w:val="17365A"/>
                            <w:sz w:val="20"/>
                          </w:rPr>
                          <w:t>Promoting</w:t>
                        </w:r>
                        <w:r>
                          <w:rPr>
                            <w:rFonts w:ascii="Calibri" w:hAnsi="Calibri"/>
                            <w:b/>
                            <w:color w:val="17365A"/>
                            <w:spacing w:val="-10"/>
                            <w:sz w:val="20"/>
                          </w:rPr>
                          <w:t xml:space="preserve"> </w:t>
                        </w:r>
                        <w:r>
                          <w:rPr>
                            <w:rFonts w:ascii="Calibri" w:hAnsi="Calibri"/>
                            <w:b/>
                            <w:color w:val="17365A"/>
                            <w:sz w:val="20"/>
                          </w:rPr>
                          <w:t>Inclusive</w:t>
                        </w:r>
                        <w:r>
                          <w:rPr>
                            <w:rFonts w:ascii="Calibri" w:hAnsi="Calibri"/>
                            <w:b/>
                            <w:color w:val="17365A"/>
                            <w:spacing w:val="-9"/>
                            <w:sz w:val="20"/>
                          </w:rPr>
                          <w:t xml:space="preserve"> </w:t>
                        </w:r>
                        <w:r>
                          <w:rPr>
                            <w:rFonts w:ascii="Calibri" w:hAnsi="Calibri"/>
                            <w:b/>
                            <w:color w:val="17365A"/>
                            <w:sz w:val="20"/>
                          </w:rPr>
                          <w:t>Dialogue</w:t>
                        </w:r>
                        <w:r>
                          <w:rPr>
                            <w:rFonts w:ascii="Calibri" w:hAnsi="Calibri"/>
                            <w:b/>
                            <w:color w:val="17365A"/>
                            <w:spacing w:val="-7"/>
                            <w:sz w:val="20"/>
                          </w:rPr>
                          <w:t xml:space="preserve"> </w:t>
                        </w:r>
                        <w:r>
                          <w:rPr>
                            <w:rFonts w:ascii="Calibri" w:hAnsi="Calibri"/>
                            <w:b/>
                            <w:color w:val="17365A"/>
                            <w:sz w:val="20"/>
                          </w:rPr>
                          <w:t>between</w:t>
                        </w:r>
                        <w:r>
                          <w:rPr>
                            <w:rFonts w:ascii="Calibri" w:hAnsi="Calibri"/>
                            <w:b/>
                            <w:color w:val="17365A"/>
                            <w:spacing w:val="-8"/>
                            <w:sz w:val="20"/>
                          </w:rPr>
                          <w:t xml:space="preserve"> </w:t>
                        </w:r>
                        <w:r>
                          <w:rPr>
                            <w:rFonts w:ascii="Calibri" w:hAnsi="Calibri"/>
                            <w:b/>
                            <w:color w:val="17365A"/>
                            <w:sz w:val="20"/>
                          </w:rPr>
                          <w:t>Government</w:t>
                        </w:r>
                        <w:r>
                          <w:rPr>
                            <w:rFonts w:ascii="Calibri" w:hAnsi="Calibri"/>
                            <w:b/>
                            <w:color w:val="17365A"/>
                            <w:spacing w:val="-9"/>
                            <w:sz w:val="20"/>
                          </w:rPr>
                          <w:t xml:space="preserve"> </w:t>
                        </w:r>
                        <w:r>
                          <w:rPr>
                            <w:rFonts w:ascii="Calibri" w:hAnsi="Calibri"/>
                            <w:b/>
                            <w:color w:val="17365A"/>
                            <w:sz w:val="20"/>
                          </w:rPr>
                          <w:t>and</w:t>
                        </w:r>
                        <w:r>
                          <w:rPr>
                            <w:rFonts w:ascii="Calibri" w:hAnsi="Calibri"/>
                            <w:b/>
                            <w:color w:val="17365A"/>
                            <w:spacing w:val="-8"/>
                            <w:sz w:val="20"/>
                          </w:rPr>
                          <w:t xml:space="preserve"> </w:t>
                        </w:r>
                        <w:r>
                          <w:rPr>
                            <w:rFonts w:ascii="Calibri" w:hAnsi="Calibri"/>
                            <w:b/>
                            <w:color w:val="17365A"/>
                            <w:sz w:val="20"/>
                          </w:rPr>
                          <w:t>Community</w:t>
                        </w:r>
                        <w:r>
                          <w:rPr>
                            <w:rFonts w:ascii="Calibri" w:hAnsi="Calibri"/>
                            <w:b/>
                            <w:color w:val="17365A"/>
                            <w:spacing w:val="-9"/>
                            <w:sz w:val="20"/>
                          </w:rPr>
                          <w:t xml:space="preserve"> </w:t>
                        </w:r>
                        <w:r>
                          <w:rPr>
                            <w:rFonts w:ascii="Calibri" w:hAnsi="Calibri"/>
                            <w:b/>
                            <w:color w:val="17365A"/>
                            <w:sz w:val="20"/>
                          </w:rPr>
                          <w:t>in</w:t>
                        </w:r>
                        <w:r>
                          <w:rPr>
                            <w:rFonts w:ascii="Calibri" w:hAnsi="Calibri"/>
                            <w:b/>
                            <w:color w:val="17365A"/>
                            <w:spacing w:val="-8"/>
                            <w:sz w:val="20"/>
                          </w:rPr>
                          <w:t xml:space="preserve"> </w:t>
                        </w:r>
                        <w:r>
                          <w:rPr>
                            <w:rFonts w:ascii="Calibri" w:hAnsi="Calibri"/>
                            <w:b/>
                            <w:color w:val="17365A"/>
                            <w:sz w:val="20"/>
                          </w:rPr>
                          <w:t>the</w:t>
                        </w:r>
                        <w:r>
                          <w:rPr>
                            <w:rFonts w:ascii="Calibri" w:hAnsi="Calibri"/>
                            <w:b/>
                            <w:color w:val="17365A"/>
                            <w:spacing w:val="-9"/>
                            <w:sz w:val="20"/>
                          </w:rPr>
                          <w:t xml:space="preserve"> </w:t>
                        </w:r>
                        <w:r>
                          <w:rPr>
                            <w:rFonts w:ascii="Calibri" w:hAnsi="Calibri"/>
                            <w:b/>
                            <w:color w:val="17365A"/>
                            <w:sz w:val="20"/>
                          </w:rPr>
                          <w:t>Preparation</w:t>
                        </w:r>
                        <w:r>
                          <w:rPr>
                            <w:rFonts w:ascii="Calibri" w:hAnsi="Calibri"/>
                            <w:b/>
                            <w:color w:val="17365A"/>
                            <w:spacing w:val="-10"/>
                            <w:sz w:val="20"/>
                          </w:rPr>
                          <w:t xml:space="preserve"> </w:t>
                        </w:r>
                        <w:r>
                          <w:rPr>
                            <w:rFonts w:ascii="Calibri" w:hAnsi="Calibri"/>
                            <w:b/>
                            <w:color w:val="17365A"/>
                            <w:sz w:val="20"/>
                          </w:rPr>
                          <w:t>of</w:t>
                        </w:r>
                        <w:r>
                          <w:rPr>
                            <w:rFonts w:ascii="Calibri" w:hAnsi="Calibri"/>
                            <w:b/>
                            <w:color w:val="17365A"/>
                            <w:spacing w:val="-10"/>
                            <w:sz w:val="20"/>
                          </w:rPr>
                          <w:t xml:space="preserve"> </w:t>
                        </w:r>
                        <w:r>
                          <w:rPr>
                            <w:rFonts w:ascii="Calibri" w:hAnsi="Calibri"/>
                            <w:b/>
                            <w:color w:val="17365A"/>
                            <w:spacing w:val="-2"/>
                            <w:sz w:val="20"/>
                          </w:rPr>
                          <w:t>Gorontalo’s</w:t>
                        </w:r>
                      </w:p>
                      <w:p w14:paraId="2409A316" w14:textId="77777777" w:rsidR="00BC24A8" w:rsidRDefault="00000000">
                        <w:pPr>
                          <w:spacing w:before="1"/>
                          <w:ind w:left="33" w:right="34"/>
                          <w:jc w:val="center"/>
                          <w:rPr>
                            <w:rFonts w:ascii="Calibri"/>
                            <w:b/>
                            <w:sz w:val="20"/>
                          </w:rPr>
                        </w:pPr>
                        <w:r>
                          <w:rPr>
                            <w:rFonts w:ascii="Calibri"/>
                            <w:b/>
                            <w:color w:val="17365A"/>
                            <w:sz w:val="20"/>
                          </w:rPr>
                          <w:t>RAD</w:t>
                        </w:r>
                        <w:r>
                          <w:rPr>
                            <w:rFonts w:ascii="Calibri"/>
                            <w:b/>
                            <w:color w:val="17365A"/>
                            <w:spacing w:val="-6"/>
                            <w:sz w:val="20"/>
                          </w:rPr>
                          <w:t xml:space="preserve"> </w:t>
                        </w:r>
                        <w:r>
                          <w:rPr>
                            <w:rFonts w:ascii="Calibri"/>
                            <w:b/>
                            <w:color w:val="17365A"/>
                            <w:spacing w:val="-5"/>
                            <w:sz w:val="20"/>
                          </w:rPr>
                          <w:t>PD</w:t>
                        </w:r>
                      </w:p>
                      <w:p w14:paraId="20C25B09" w14:textId="77777777" w:rsidR="00BC24A8" w:rsidRDefault="00000000">
                        <w:pPr>
                          <w:spacing w:before="219"/>
                          <w:ind w:left="247" w:right="242"/>
                          <w:jc w:val="both"/>
                          <w:rPr>
                            <w:sz w:val="18"/>
                          </w:rPr>
                        </w:pPr>
                        <w:r>
                          <w:rPr>
                            <w:sz w:val="18"/>
                          </w:rPr>
                          <w:t>Until</w:t>
                        </w:r>
                        <w:r>
                          <w:rPr>
                            <w:spacing w:val="-11"/>
                            <w:sz w:val="18"/>
                          </w:rPr>
                          <w:t xml:space="preserve"> </w:t>
                        </w:r>
                        <w:r>
                          <w:rPr>
                            <w:sz w:val="18"/>
                          </w:rPr>
                          <w:t>recently,</w:t>
                        </w:r>
                        <w:r>
                          <w:rPr>
                            <w:spacing w:val="-10"/>
                            <w:sz w:val="18"/>
                          </w:rPr>
                          <w:t xml:space="preserve"> </w:t>
                        </w:r>
                        <w:r>
                          <w:rPr>
                            <w:sz w:val="18"/>
                          </w:rPr>
                          <w:t>participatory</w:t>
                        </w:r>
                        <w:r>
                          <w:rPr>
                            <w:spacing w:val="-10"/>
                            <w:sz w:val="18"/>
                          </w:rPr>
                          <w:t xml:space="preserve"> </w:t>
                        </w:r>
                        <w:r>
                          <w:rPr>
                            <w:sz w:val="18"/>
                          </w:rPr>
                          <w:t>dialogue</w:t>
                        </w:r>
                        <w:r>
                          <w:rPr>
                            <w:spacing w:val="-10"/>
                            <w:sz w:val="18"/>
                          </w:rPr>
                          <w:t xml:space="preserve"> </w:t>
                        </w:r>
                        <w:r>
                          <w:rPr>
                            <w:sz w:val="18"/>
                          </w:rPr>
                          <w:t>spaces</w:t>
                        </w:r>
                        <w:r>
                          <w:rPr>
                            <w:spacing w:val="-10"/>
                            <w:sz w:val="18"/>
                          </w:rPr>
                          <w:t xml:space="preserve"> </w:t>
                        </w:r>
                        <w:r>
                          <w:rPr>
                            <w:sz w:val="18"/>
                          </w:rPr>
                          <w:t>with</w:t>
                        </w:r>
                        <w:r>
                          <w:rPr>
                            <w:spacing w:val="-11"/>
                            <w:sz w:val="18"/>
                          </w:rPr>
                          <w:t xml:space="preserve"> </w:t>
                        </w:r>
                        <w:r>
                          <w:rPr>
                            <w:sz w:val="18"/>
                          </w:rPr>
                          <w:t>persons</w:t>
                        </w:r>
                        <w:r>
                          <w:rPr>
                            <w:spacing w:val="-10"/>
                            <w:sz w:val="18"/>
                          </w:rPr>
                          <w:t xml:space="preserve"> </w:t>
                        </w:r>
                        <w:r>
                          <w:rPr>
                            <w:sz w:val="18"/>
                          </w:rPr>
                          <w:t>with</w:t>
                        </w:r>
                        <w:r>
                          <w:rPr>
                            <w:spacing w:val="-10"/>
                            <w:sz w:val="18"/>
                          </w:rPr>
                          <w:t xml:space="preserve"> </w:t>
                        </w:r>
                        <w:r>
                          <w:rPr>
                            <w:sz w:val="18"/>
                          </w:rPr>
                          <w:t>disabilities</w:t>
                        </w:r>
                        <w:r>
                          <w:rPr>
                            <w:spacing w:val="-10"/>
                            <w:sz w:val="18"/>
                          </w:rPr>
                          <w:t xml:space="preserve"> </w:t>
                        </w:r>
                        <w:r>
                          <w:rPr>
                            <w:sz w:val="18"/>
                          </w:rPr>
                          <w:t>were</w:t>
                        </w:r>
                        <w:r>
                          <w:rPr>
                            <w:spacing w:val="-10"/>
                            <w:sz w:val="18"/>
                          </w:rPr>
                          <w:t xml:space="preserve"> </w:t>
                        </w:r>
                        <w:r>
                          <w:rPr>
                            <w:sz w:val="18"/>
                          </w:rPr>
                          <w:t>very</w:t>
                        </w:r>
                        <w:r>
                          <w:rPr>
                            <w:spacing w:val="-10"/>
                            <w:sz w:val="18"/>
                          </w:rPr>
                          <w:t xml:space="preserve"> </w:t>
                        </w:r>
                        <w:r>
                          <w:rPr>
                            <w:sz w:val="18"/>
                          </w:rPr>
                          <w:t>limited.</w:t>
                        </w:r>
                        <w:r>
                          <w:rPr>
                            <w:spacing w:val="-11"/>
                            <w:sz w:val="18"/>
                          </w:rPr>
                          <w:t xml:space="preserve"> </w:t>
                        </w:r>
                        <w:r>
                          <w:rPr>
                            <w:sz w:val="18"/>
                          </w:rPr>
                          <w:t>Their</w:t>
                        </w:r>
                        <w:r>
                          <w:rPr>
                            <w:spacing w:val="-10"/>
                            <w:sz w:val="18"/>
                          </w:rPr>
                          <w:t xml:space="preserve"> </w:t>
                        </w:r>
                        <w:r>
                          <w:rPr>
                            <w:sz w:val="18"/>
                          </w:rPr>
                          <w:t>aspirations</w:t>
                        </w:r>
                        <w:r>
                          <w:rPr>
                            <w:spacing w:val="-10"/>
                            <w:sz w:val="18"/>
                          </w:rPr>
                          <w:t xml:space="preserve"> </w:t>
                        </w:r>
                        <w:r>
                          <w:rPr>
                            <w:sz w:val="18"/>
                          </w:rPr>
                          <w:t>were</w:t>
                        </w:r>
                        <w:r>
                          <w:rPr>
                            <w:spacing w:val="-10"/>
                            <w:sz w:val="18"/>
                          </w:rPr>
                          <w:t xml:space="preserve"> </w:t>
                        </w:r>
                        <w:r>
                          <w:rPr>
                            <w:sz w:val="18"/>
                          </w:rPr>
                          <w:t>often voiced through forums that did not focus on inclusion, so their real needs were rarely heard directly by policymakers, and government responses frequently did not meet the needs of vulnerable groups.</w:t>
                        </w:r>
                      </w:p>
                      <w:p w14:paraId="5B2B2C27" w14:textId="77777777" w:rsidR="00BC24A8" w:rsidRDefault="00000000">
                        <w:pPr>
                          <w:spacing w:before="161"/>
                          <w:ind w:left="247" w:right="242"/>
                          <w:jc w:val="both"/>
                          <w:rPr>
                            <w:sz w:val="18"/>
                          </w:rPr>
                        </w:pPr>
                        <w:r>
                          <w:rPr>
                            <w:sz w:val="18"/>
                          </w:rPr>
                          <w:t>The</w:t>
                        </w:r>
                        <w:r>
                          <w:rPr>
                            <w:spacing w:val="-1"/>
                            <w:sz w:val="18"/>
                          </w:rPr>
                          <w:t xml:space="preserve"> </w:t>
                        </w:r>
                        <w:r>
                          <w:rPr>
                            <w:sz w:val="18"/>
                          </w:rPr>
                          <w:t>situation</w:t>
                        </w:r>
                        <w:r>
                          <w:rPr>
                            <w:spacing w:val="-1"/>
                            <w:sz w:val="18"/>
                          </w:rPr>
                          <w:t xml:space="preserve"> </w:t>
                        </w:r>
                        <w:r>
                          <w:rPr>
                            <w:sz w:val="18"/>
                          </w:rPr>
                          <w:t>began</w:t>
                        </w:r>
                        <w:r>
                          <w:rPr>
                            <w:spacing w:val="-1"/>
                            <w:sz w:val="18"/>
                          </w:rPr>
                          <w:t xml:space="preserve"> </w:t>
                        </w:r>
                        <w:r>
                          <w:rPr>
                            <w:sz w:val="18"/>
                          </w:rPr>
                          <w:t>to</w:t>
                        </w:r>
                        <w:r>
                          <w:rPr>
                            <w:spacing w:val="-1"/>
                            <w:sz w:val="18"/>
                          </w:rPr>
                          <w:t xml:space="preserve"> </w:t>
                        </w:r>
                        <w:r>
                          <w:rPr>
                            <w:sz w:val="18"/>
                          </w:rPr>
                          <w:t>change</w:t>
                        </w:r>
                        <w:r>
                          <w:rPr>
                            <w:spacing w:val="-1"/>
                            <w:sz w:val="18"/>
                          </w:rPr>
                          <w:t xml:space="preserve"> </w:t>
                        </w:r>
                        <w:r>
                          <w:rPr>
                            <w:sz w:val="18"/>
                          </w:rPr>
                          <w:t>when</w:t>
                        </w:r>
                        <w:r>
                          <w:rPr>
                            <w:spacing w:val="-1"/>
                            <w:sz w:val="18"/>
                          </w:rPr>
                          <w:t xml:space="preserve"> </w:t>
                        </w:r>
                        <w:r>
                          <w:rPr>
                            <w:sz w:val="18"/>
                          </w:rPr>
                          <w:t>SKALA</w:t>
                        </w:r>
                        <w:r>
                          <w:rPr>
                            <w:spacing w:val="-1"/>
                            <w:sz w:val="18"/>
                          </w:rPr>
                          <w:t xml:space="preserve"> </w:t>
                        </w:r>
                        <w:r>
                          <w:rPr>
                            <w:sz w:val="18"/>
                          </w:rPr>
                          <w:t>initiated</w:t>
                        </w:r>
                        <w:r>
                          <w:rPr>
                            <w:spacing w:val="-1"/>
                            <w:sz w:val="18"/>
                          </w:rPr>
                          <w:t xml:space="preserve"> </w:t>
                        </w:r>
                        <w:r>
                          <w:rPr>
                            <w:sz w:val="18"/>
                          </w:rPr>
                          <w:t>the</w:t>
                        </w:r>
                        <w:r>
                          <w:rPr>
                            <w:spacing w:val="-3"/>
                            <w:sz w:val="18"/>
                          </w:rPr>
                          <w:t xml:space="preserve"> </w:t>
                        </w:r>
                        <w:r>
                          <w:rPr>
                            <w:sz w:val="18"/>
                          </w:rPr>
                          <w:t>Workshop</w:t>
                        </w:r>
                        <w:r>
                          <w:rPr>
                            <w:spacing w:val="-1"/>
                            <w:sz w:val="18"/>
                          </w:rPr>
                          <w:t xml:space="preserve"> </w:t>
                        </w:r>
                        <w:r>
                          <w:rPr>
                            <w:sz w:val="18"/>
                          </w:rPr>
                          <w:t>on</w:t>
                        </w:r>
                        <w:r>
                          <w:rPr>
                            <w:spacing w:val="-1"/>
                            <w:sz w:val="18"/>
                          </w:rPr>
                          <w:t xml:space="preserve"> </w:t>
                        </w:r>
                        <w:r>
                          <w:rPr>
                            <w:sz w:val="18"/>
                          </w:rPr>
                          <w:t>Recommendations</w:t>
                        </w:r>
                        <w:r>
                          <w:rPr>
                            <w:spacing w:val="-1"/>
                            <w:sz w:val="18"/>
                          </w:rPr>
                          <w:t xml:space="preserve"> </w:t>
                        </w:r>
                        <w:r>
                          <w:rPr>
                            <w:sz w:val="18"/>
                          </w:rPr>
                          <w:t>for the</w:t>
                        </w:r>
                        <w:r>
                          <w:rPr>
                            <w:spacing w:val="-3"/>
                            <w:sz w:val="18"/>
                          </w:rPr>
                          <w:t xml:space="preserve"> </w:t>
                        </w:r>
                        <w:r>
                          <w:rPr>
                            <w:sz w:val="18"/>
                          </w:rPr>
                          <w:t>Draft</w:t>
                        </w:r>
                        <w:r>
                          <w:rPr>
                            <w:spacing w:val="-1"/>
                            <w:sz w:val="18"/>
                          </w:rPr>
                          <w:t xml:space="preserve"> </w:t>
                        </w:r>
                        <w:r>
                          <w:rPr>
                            <w:sz w:val="18"/>
                          </w:rPr>
                          <w:t>Regional Action Plan for Persons with Disabilities (RAD PD). The Gorontalo Provincial Government started involving organisations for persons with disabilities and other civil society organisations (CSOs) in open dialogue.</w:t>
                        </w:r>
                      </w:p>
                      <w:p w14:paraId="2249C3BD" w14:textId="77777777" w:rsidR="00BC24A8" w:rsidRDefault="00000000">
                        <w:pPr>
                          <w:spacing w:before="160"/>
                          <w:ind w:left="247" w:right="242"/>
                          <w:jc w:val="both"/>
                          <w:rPr>
                            <w:sz w:val="18"/>
                          </w:rPr>
                        </w:pPr>
                        <w:r>
                          <w:rPr>
                            <w:sz w:val="18"/>
                          </w:rPr>
                          <w:t>For Yusuf Abdurahman, a special school teacher actively advocating for the rights of persons with disabilities, the involvement of organisations for persons with disabilities in open dialogue was significant. He felt it was a rare opportunity that had not been provided by the government before:</w:t>
                        </w:r>
                      </w:p>
                      <w:p w14:paraId="02E6EEE6" w14:textId="77777777" w:rsidR="00BC24A8" w:rsidRDefault="00BC24A8">
                        <w:pPr>
                          <w:rPr>
                            <w:sz w:val="18"/>
                          </w:rPr>
                        </w:pPr>
                      </w:p>
                      <w:p w14:paraId="70679ABC" w14:textId="77777777" w:rsidR="00BC24A8" w:rsidRDefault="00BC24A8">
                        <w:pPr>
                          <w:rPr>
                            <w:sz w:val="18"/>
                          </w:rPr>
                        </w:pPr>
                      </w:p>
                      <w:p w14:paraId="51A80C71" w14:textId="77777777" w:rsidR="00BC24A8" w:rsidRDefault="00BC24A8">
                        <w:pPr>
                          <w:spacing w:before="67"/>
                          <w:rPr>
                            <w:sz w:val="18"/>
                          </w:rPr>
                        </w:pPr>
                      </w:p>
                      <w:p w14:paraId="36F23C6B" w14:textId="77777777" w:rsidR="00BC24A8" w:rsidRDefault="00000000">
                        <w:pPr>
                          <w:spacing w:line="290" w:lineRule="auto"/>
                          <w:ind w:left="587" w:right="564"/>
                          <w:jc w:val="both"/>
                          <w:rPr>
                            <w:rFonts w:ascii="Times New Roman" w:hAnsi="Times New Roman"/>
                            <w:b/>
                            <w:i/>
                            <w:sz w:val="18"/>
                          </w:rPr>
                        </w:pPr>
                        <w:r>
                          <w:rPr>
                            <w:rFonts w:ascii="Times New Roman" w:hAnsi="Times New Roman"/>
                            <w:b/>
                            <w:i/>
                            <w:color w:val="17365A"/>
                            <w:sz w:val="18"/>
                          </w:rPr>
                          <w:t xml:space="preserve">This is the flrst time the government and community—from DPO as well as other disability-focused </w:t>
                        </w:r>
                        <w:r>
                          <w:rPr>
                            <w:rFonts w:ascii="Times New Roman" w:hAnsi="Times New Roman"/>
                            <w:b/>
                            <w:i/>
                            <w:color w:val="17365A"/>
                            <w:spacing w:val="-2"/>
                            <w:sz w:val="18"/>
                          </w:rPr>
                          <w:t>organisations—have</w:t>
                        </w:r>
                        <w:r>
                          <w:rPr>
                            <w:rFonts w:ascii="Times New Roman" w:hAnsi="Times New Roman"/>
                            <w:b/>
                            <w:i/>
                            <w:color w:val="17365A"/>
                            <w:spacing w:val="-4"/>
                            <w:sz w:val="18"/>
                          </w:rPr>
                          <w:t xml:space="preserve"> </w:t>
                        </w:r>
                        <w:r>
                          <w:rPr>
                            <w:rFonts w:ascii="Times New Roman" w:hAnsi="Times New Roman"/>
                            <w:b/>
                            <w:i/>
                            <w:color w:val="17365A"/>
                            <w:spacing w:val="-2"/>
                            <w:sz w:val="18"/>
                          </w:rPr>
                          <w:t>dialogued</w:t>
                        </w:r>
                        <w:r>
                          <w:rPr>
                            <w:rFonts w:ascii="Times New Roman" w:hAnsi="Times New Roman"/>
                            <w:b/>
                            <w:i/>
                            <w:color w:val="17365A"/>
                            <w:spacing w:val="-3"/>
                            <w:sz w:val="18"/>
                          </w:rPr>
                          <w:t xml:space="preserve"> </w:t>
                        </w:r>
                        <w:r>
                          <w:rPr>
                            <w:rFonts w:ascii="Times New Roman" w:hAnsi="Times New Roman"/>
                            <w:b/>
                            <w:i/>
                            <w:color w:val="17365A"/>
                            <w:spacing w:val="-2"/>
                            <w:sz w:val="18"/>
                          </w:rPr>
                          <w:t>about</w:t>
                        </w:r>
                        <w:r>
                          <w:rPr>
                            <w:rFonts w:ascii="Times New Roman" w:hAnsi="Times New Roman"/>
                            <w:b/>
                            <w:i/>
                            <w:color w:val="17365A"/>
                            <w:spacing w:val="-3"/>
                            <w:sz w:val="18"/>
                          </w:rPr>
                          <w:t xml:space="preserve"> </w:t>
                        </w:r>
                        <w:r>
                          <w:rPr>
                            <w:rFonts w:ascii="Times New Roman" w:hAnsi="Times New Roman"/>
                            <w:b/>
                            <w:i/>
                            <w:color w:val="17365A"/>
                            <w:spacing w:val="-2"/>
                            <w:sz w:val="18"/>
                          </w:rPr>
                          <w:t>disability</w:t>
                        </w:r>
                        <w:r>
                          <w:rPr>
                            <w:rFonts w:ascii="Times New Roman" w:hAnsi="Times New Roman"/>
                            <w:b/>
                            <w:i/>
                            <w:color w:val="17365A"/>
                            <w:spacing w:val="-3"/>
                            <w:sz w:val="18"/>
                          </w:rPr>
                          <w:t xml:space="preserve"> </w:t>
                        </w:r>
                        <w:r>
                          <w:rPr>
                            <w:rFonts w:ascii="Times New Roman" w:hAnsi="Times New Roman"/>
                            <w:b/>
                            <w:i/>
                            <w:color w:val="17365A"/>
                            <w:spacing w:val="-2"/>
                            <w:sz w:val="18"/>
                          </w:rPr>
                          <w:t>issues in</w:t>
                        </w:r>
                        <w:r>
                          <w:rPr>
                            <w:rFonts w:ascii="Times New Roman" w:hAnsi="Times New Roman"/>
                            <w:b/>
                            <w:i/>
                            <w:color w:val="17365A"/>
                            <w:spacing w:val="-3"/>
                            <w:sz w:val="18"/>
                          </w:rPr>
                          <w:t xml:space="preserve"> </w:t>
                        </w:r>
                        <w:r>
                          <w:rPr>
                            <w:rFonts w:ascii="Times New Roman" w:hAnsi="Times New Roman"/>
                            <w:b/>
                            <w:i/>
                            <w:color w:val="17365A"/>
                            <w:spacing w:val="-2"/>
                            <w:sz w:val="18"/>
                          </w:rPr>
                          <w:t>Gorontalo. It</w:t>
                        </w:r>
                        <w:r>
                          <w:rPr>
                            <w:rFonts w:ascii="Times New Roman" w:hAnsi="Times New Roman"/>
                            <w:b/>
                            <w:i/>
                            <w:color w:val="17365A"/>
                            <w:spacing w:val="-3"/>
                            <w:sz w:val="18"/>
                          </w:rPr>
                          <w:t xml:space="preserve"> </w:t>
                        </w:r>
                        <w:r>
                          <w:rPr>
                            <w:rFonts w:ascii="Times New Roman" w:hAnsi="Times New Roman"/>
                            <w:b/>
                            <w:i/>
                            <w:color w:val="17365A"/>
                            <w:spacing w:val="-2"/>
                            <w:sz w:val="18"/>
                          </w:rPr>
                          <w:t>is a</w:t>
                        </w:r>
                        <w:r>
                          <w:rPr>
                            <w:rFonts w:ascii="Times New Roman" w:hAnsi="Times New Roman"/>
                            <w:b/>
                            <w:i/>
                            <w:color w:val="17365A"/>
                            <w:spacing w:val="-3"/>
                            <w:sz w:val="18"/>
                          </w:rPr>
                          <w:t xml:space="preserve"> </w:t>
                        </w:r>
                        <w:r>
                          <w:rPr>
                            <w:rFonts w:ascii="Times New Roman" w:hAnsi="Times New Roman"/>
                            <w:b/>
                            <w:i/>
                            <w:color w:val="17365A"/>
                            <w:spacing w:val="-2"/>
                            <w:sz w:val="18"/>
                          </w:rPr>
                          <w:t>rare</w:t>
                        </w:r>
                        <w:r>
                          <w:rPr>
                            <w:rFonts w:ascii="Times New Roman" w:hAnsi="Times New Roman"/>
                            <w:b/>
                            <w:i/>
                            <w:color w:val="17365A"/>
                            <w:spacing w:val="-4"/>
                            <w:sz w:val="18"/>
                          </w:rPr>
                          <w:t xml:space="preserve"> </w:t>
                        </w:r>
                        <w:r>
                          <w:rPr>
                            <w:rFonts w:ascii="Times New Roman" w:hAnsi="Times New Roman"/>
                            <w:b/>
                            <w:i/>
                            <w:color w:val="17365A"/>
                            <w:spacing w:val="-2"/>
                            <w:sz w:val="18"/>
                          </w:rPr>
                          <w:t>moment</w:t>
                        </w:r>
                        <w:r>
                          <w:rPr>
                            <w:rFonts w:ascii="Times New Roman" w:hAnsi="Times New Roman"/>
                            <w:b/>
                            <w:i/>
                            <w:color w:val="17365A"/>
                            <w:spacing w:val="-3"/>
                            <w:sz w:val="18"/>
                          </w:rPr>
                          <w:t xml:space="preserve"> </w:t>
                        </w:r>
                        <w:r>
                          <w:rPr>
                            <w:rFonts w:ascii="Times New Roman" w:hAnsi="Times New Roman"/>
                            <w:b/>
                            <w:i/>
                            <w:color w:val="17365A"/>
                            <w:spacing w:val="-2"/>
                            <w:sz w:val="18"/>
                          </w:rPr>
                          <w:t xml:space="preserve">to speak directly, and </w:t>
                        </w:r>
                        <w:r>
                          <w:rPr>
                            <w:rFonts w:ascii="Times New Roman" w:hAnsi="Times New Roman"/>
                            <w:b/>
                            <w:i/>
                            <w:color w:val="17365A"/>
                            <w:sz w:val="18"/>
                          </w:rPr>
                          <w:t>the government responds.</w:t>
                        </w:r>
                      </w:p>
                      <w:p w14:paraId="0604A7E5" w14:textId="77777777" w:rsidR="00BC24A8" w:rsidRDefault="00BC24A8">
                        <w:pPr>
                          <w:rPr>
                            <w:rFonts w:ascii="Times New Roman"/>
                            <w:b/>
                            <w:i/>
                            <w:sz w:val="18"/>
                          </w:rPr>
                        </w:pPr>
                      </w:p>
                      <w:p w14:paraId="7BA9B98E" w14:textId="77777777" w:rsidR="00BC24A8" w:rsidRDefault="00BC24A8">
                        <w:pPr>
                          <w:rPr>
                            <w:rFonts w:ascii="Times New Roman"/>
                            <w:b/>
                            <w:i/>
                            <w:sz w:val="18"/>
                          </w:rPr>
                        </w:pPr>
                      </w:p>
                      <w:p w14:paraId="394073B9" w14:textId="77777777" w:rsidR="00BC24A8" w:rsidRDefault="00BC24A8">
                        <w:pPr>
                          <w:spacing w:before="76"/>
                          <w:rPr>
                            <w:rFonts w:ascii="Times New Roman"/>
                            <w:b/>
                            <w:i/>
                            <w:sz w:val="18"/>
                          </w:rPr>
                        </w:pPr>
                      </w:p>
                      <w:p w14:paraId="78A452DA" w14:textId="77777777" w:rsidR="00BC24A8" w:rsidRDefault="00000000">
                        <w:pPr>
                          <w:ind w:left="247" w:right="245"/>
                          <w:jc w:val="both"/>
                          <w:rPr>
                            <w:sz w:val="18"/>
                          </w:rPr>
                        </w:pPr>
                        <w:r>
                          <w:rPr>
                            <w:sz w:val="18"/>
                          </w:rPr>
                          <w:t>Through</w:t>
                        </w:r>
                        <w:r>
                          <w:rPr>
                            <w:spacing w:val="-3"/>
                            <w:sz w:val="18"/>
                          </w:rPr>
                          <w:t xml:space="preserve"> </w:t>
                        </w:r>
                        <w:r>
                          <w:rPr>
                            <w:sz w:val="18"/>
                          </w:rPr>
                          <w:t>this</w:t>
                        </w:r>
                        <w:r>
                          <w:rPr>
                            <w:spacing w:val="-3"/>
                            <w:sz w:val="18"/>
                          </w:rPr>
                          <w:t xml:space="preserve"> </w:t>
                        </w:r>
                        <w:r>
                          <w:rPr>
                            <w:sz w:val="18"/>
                          </w:rPr>
                          <w:t>dialogue,</w:t>
                        </w:r>
                        <w:r>
                          <w:rPr>
                            <w:spacing w:val="-4"/>
                            <w:sz w:val="18"/>
                          </w:rPr>
                          <w:t xml:space="preserve"> </w:t>
                        </w:r>
                        <w:r>
                          <w:rPr>
                            <w:sz w:val="18"/>
                          </w:rPr>
                          <w:t>a</w:t>
                        </w:r>
                        <w:r>
                          <w:rPr>
                            <w:spacing w:val="-4"/>
                            <w:sz w:val="18"/>
                          </w:rPr>
                          <w:t xml:space="preserve"> </w:t>
                        </w:r>
                        <w:r>
                          <w:rPr>
                            <w:sz w:val="18"/>
                          </w:rPr>
                          <w:t>shared</w:t>
                        </w:r>
                        <w:r>
                          <w:rPr>
                            <w:spacing w:val="-3"/>
                            <w:sz w:val="18"/>
                          </w:rPr>
                          <w:t xml:space="preserve"> </w:t>
                        </w:r>
                        <w:r>
                          <w:rPr>
                            <w:sz w:val="18"/>
                          </w:rPr>
                          <w:t>understanding</w:t>
                        </w:r>
                        <w:r>
                          <w:rPr>
                            <w:spacing w:val="-3"/>
                            <w:sz w:val="18"/>
                          </w:rPr>
                          <w:t xml:space="preserve"> </w:t>
                        </w:r>
                        <w:r>
                          <w:rPr>
                            <w:sz w:val="18"/>
                          </w:rPr>
                          <w:t>and</w:t>
                        </w:r>
                        <w:r>
                          <w:rPr>
                            <w:spacing w:val="-3"/>
                            <w:sz w:val="18"/>
                          </w:rPr>
                          <w:t xml:space="preserve"> </w:t>
                        </w:r>
                        <w:r>
                          <w:rPr>
                            <w:sz w:val="18"/>
                          </w:rPr>
                          <w:t>commitment</w:t>
                        </w:r>
                        <w:r>
                          <w:rPr>
                            <w:spacing w:val="-2"/>
                            <w:sz w:val="18"/>
                          </w:rPr>
                          <w:t xml:space="preserve"> </w:t>
                        </w:r>
                        <w:r>
                          <w:rPr>
                            <w:sz w:val="18"/>
                          </w:rPr>
                          <w:t>have</w:t>
                        </w:r>
                        <w:r>
                          <w:rPr>
                            <w:spacing w:val="-3"/>
                            <w:sz w:val="18"/>
                          </w:rPr>
                          <w:t xml:space="preserve"> </w:t>
                        </w:r>
                        <w:r>
                          <w:rPr>
                            <w:sz w:val="18"/>
                          </w:rPr>
                          <w:t>emerged</w:t>
                        </w:r>
                        <w:r>
                          <w:rPr>
                            <w:spacing w:val="-3"/>
                            <w:sz w:val="18"/>
                          </w:rPr>
                          <w:t xml:space="preserve"> </w:t>
                        </w:r>
                        <w:r>
                          <w:rPr>
                            <w:sz w:val="18"/>
                          </w:rPr>
                          <w:t>to</w:t>
                        </w:r>
                        <w:r>
                          <w:rPr>
                            <w:spacing w:val="-3"/>
                            <w:sz w:val="18"/>
                          </w:rPr>
                          <w:t xml:space="preserve"> </w:t>
                        </w:r>
                        <w:r>
                          <w:rPr>
                            <w:sz w:val="18"/>
                          </w:rPr>
                          <w:t>follow</w:t>
                        </w:r>
                        <w:r>
                          <w:rPr>
                            <w:spacing w:val="-4"/>
                            <w:sz w:val="18"/>
                          </w:rPr>
                          <w:t xml:space="preserve"> </w:t>
                        </w:r>
                        <w:r>
                          <w:rPr>
                            <w:sz w:val="18"/>
                          </w:rPr>
                          <w:t>up</w:t>
                        </w:r>
                        <w:r>
                          <w:rPr>
                            <w:spacing w:val="-3"/>
                            <w:sz w:val="18"/>
                          </w:rPr>
                          <w:t xml:space="preserve"> </w:t>
                        </w:r>
                        <w:r>
                          <w:rPr>
                            <w:sz w:val="18"/>
                          </w:rPr>
                          <w:t>on</w:t>
                        </w:r>
                        <w:r>
                          <w:rPr>
                            <w:spacing w:val="-3"/>
                            <w:sz w:val="18"/>
                          </w:rPr>
                          <w:t xml:space="preserve"> </w:t>
                        </w:r>
                        <w:r>
                          <w:rPr>
                            <w:sz w:val="18"/>
                          </w:rPr>
                          <w:t>priority</w:t>
                        </w:r>
                        <w:r>
                          <w:rPr>
                            <w:spacing w:val="-3"/>
                            <w:sz w:val="18"/>
                          </w:rPr>
                          <w:t xml:space="preserve"> </w:t>
                        </w:r>
                        <w:r>
                          <w:rPr>
                            <w:sz w:val="18"/>
                          </w:rPr>
                          <w:t>disability</w:t>
                        </w:r>
                        <w:r>
                          <w:rPr>
                            <w:spacing w:val="-4"/>
                            <w:sz w:val="18"/>
                          </w:rPr>
                          <w:t xml:space="preserve"> </w:t>
                        </w:r>
                        <w:r>
                          <w:rPr>
                            <w:sz w:val="18"/>
                          </w:rPr>
                          <w:t>issues in the RAD PD document. For Yusuf and other participants, this step represents an important milestone toward more inclusive</w:t>
                        </w:r>
                        <w:r>
                          <w:rPr>
                            <w:spacing w:val="-4"/>
                            <w:sz w:val="18"/>
                          </w:rPr>
                          <w:t xml:space="preserve"> </w:t>
                        </w:r>
                        <w:r>
                          <w:rPr>
                            <w:sz w:val="18"/>
                          </w:rPr>
                          <w:t>development.</w:t>
                        </w:r>
                      </w:p>
                    </w:txbxContent>
                  </v:textbox>
                </v:shape>
                <w10:anchorlock/>
              </v:group>
            </w:pict>
          </mc:Fallback>
        </mc:AlternateContent>
      </w:r>
    </w:p>
    <w:p w14:paraId="13901793" w14:textId="77777777" w:rsidR="00BC24A8" w:rsidRDefault="00BC24A8">
      <w:pPr>
        <w:pStyle w:val="BodyText"/>
        <w:spacing w:before="184"/>
      </w:pPr>
    </w:p>
    <w:p w14:paraId="19E513C8" w14:textId="77777777" w:rsidR="00BC24A8" w:rsidRDefault="00000000">
      <w:pPr>
        <w:pStyle w:val="BodyText"/>
        <w:ind w:left="143"/>
        <w:rPr>
          <w:rFonts w:ascii="Calibri"/>
        </w:rPr>
      </w:pPr>
      <w:r>
        <w:rPr>
          <w:rFonts w:ascii="Calibri"/>
          <w:color w:val="272727"/>
        </w:rPr>
        <w:t>Challenges</w:t>
      </w:r>
      <w:r>
        <w:rPr>
          <w:rFonts w:ascii="Calibri"/>
          <w:color w:val="272727"/>
          <w:spacing w:val="-7"/>
        </w:rPr>
        <w:t xml:space="preserve"> </w:t>
      </w:r>
      <w:r>
        <w:rPr>
          <w:rFonts w:ascii="Calibri"/>
          <w:color w:val="272727"/>
        </w:rPr>
        <w:t>and</w:t>
      </w:r>
      <w:r>
        <w:rPr>
          <w:rFonts w:ascii="Calibri"/>
          <w:color w:val="272727"/>
          <w:spacing w:val="-5"/>
        </w:rPr>
        <w:t xml:space="preserve"> </w:t>
      </w:r>
      <w:r>
        <w:rPr>
          <w:rFonts w:ascii="Calibri"/>
          <w:color w:val="272727"/>
        </w:rPr>
        <w:t>lessons</w:t>
      </w:r>
      <w:r>
        <w:rPr>
          <w:rFonts w:ascii="Calibri"/>
          <w:color w:val="272727"/>
          <w:spacing w:val="-4"/>
        </w:rPr>
        <w:t xml:space="preserve"> </w:t>
      </w:r>
      <w:r>
        <w:rPr>
          <w:rFonts w:ascii="Calibri"/>
          <w:color w:val="272727"/>
          <w:spacing w:val="-2"/>
        </w:rPr>
        <w:t>learned</w:t>
      </w:r>
    </w:p>
    <w:p w14:paraId="0434AE09" w14:textId="77777777" w:rsidR="00BC24A8" w:rsidRDefault="00000000">
      <w:pPr>
        <w:pStyle w:val="Heading5"/>
        <w:spacing w:before="22" w:line="384" w:lineRule="auto"/>
        <w:ind w:right="3387"/>
      </w:pPr>
      <w:r>
        <w:rPr>
          <w:color w:val="17365A"/>
        </w:rPr>
        <w:t>Program</w:t>
      </w:r>
      <w:r>
        <w:rPr>
          <w:color w:val="17365A"/>
          <w:spacing w:val="-10"/>
        </w:rPr>
        <w:t xml:space="preserve"> </w:t>
      </w:r>
      <w:r>
        <w:rPr>
          <w:color w:val="17365A"/>
        </w:rPr>
        <w:t>implementation</w:t>
      </w:r>
      <w:r>
        <w:rPr>
          <w:color w:val="17365A"/>
          <w:spacing w:val="-11"/>
        </w:rPr>
        <w:t xml:space="preserve"> </w:t>
      </w:r>
      <w:r>
        <w:rPr>
          <w:color w:val="17365A"/>
        </w:rPr>
        <w:t>challenges,</w:t>
      </w:r>
      <w:r>
        <w:rPr>
          <w:color w:val="17365A"/>
          <w:spacing w:val="-12"/>
        </w:rPr>
        <w:t xml:space="preserve"> </w:t>
      </w:r>
      <w:r>
        <w:rPr>
          <w:color w:val="17365A"/>
        </w:rPr>
        <w:t>impacts,</w:t>
      </w:r>
      <w:r>
        <w:rPr>
          <w:color w:val="17365A"/>
          <w:spacing w:val="-10"/>
        </w:rPr>
        <w:t xml:space="preserve"> </w:t>
      </w:r>
      <w:r>
        <w:rPr>
          <w:color w:val="17365A"/>
        </w:rPr>
        <w:t>and</w:t>
      </w:r>
      <w:r>
        <w:rPr>
          <w:color w:val="17365A"/>
          <w:spacing w:val="-11"/>
        </w:rPr>
        <w:t xml:space="preserve"> </w:t>
      </w:r>
      <w:r>
        <w:rPr>
          <w:color w:val="17365A"/>
        </w:rPr>
        <w:t xml:space="preserve">solutions </w:t>
      </w:r>
      <w:r>
        <w:t>Technical challenges</w:t>
      </w:r>
    </w:p>
    <w:p w14:paraId="74054298" w14:textId="77777777" w:rsidR="00BC24A8" w:rsidRDefault="00000000">
      <w:pPr>
        <w:pStyle w:val="ListParagraph"/>
        <w:numPr>
          <w:ilvl w:val="0"/>
          <w:numId w:val="121"/>
        </w:numPr>
        <w:tabs>
          <w:tab w:val="left" w:pos="861"/>
          <w:tab w:val="left" w:pos="863"/>
        </w:tabs>
        <w:spacing w:line="259" w:lineRule="auto"/>
        <w:ind w:right="565"/>
        <w:jc w:val="both"/>
      </w:pPr>
      <w:r>
        <w:t>Technical standards or formats for tagging MSS spending are not yet available, hindering the monitoring of the effectiveness of basic service expenditures.</w:t>
      </w:r>
    </w:p>
    <w:p w14:paraId="08D8AB52" w14:textId="77777777" w:rsidR="00BC24A8" w:rsidRDefault="00000000">
      <w:pPr>
        <w:pStyle w:val="ListParagraph"/>
        <w:numPr>
          <w:ilvl w:val="0"/>
          <w:numId w:val="121"/>
        </w:numPr>
        <w:tabs>
          <w:tab w:val="left" w:pos="861"/>
          <w:tab w:val="left" w:pos="863"/>
        </w:tabs>
        <w:spacing w:line="259" w:lineRule="auto"/>
        <w:ind w:right="563"/>
        <w:jc w:val="both"/>
      </w:pPr>
      <w:r>
        <w:t>Interoperability of data systems across agencies remains limited and ineffective, resulting in duplication, inconsistencies, and difficulties in producing cross-sector analyses for evidence- based planning.</w:t>
      </w:r>
    </w:p>
    <w:p w14:paraId="7B31240E" w14:textId="77777777" w:rsidR="00BC24A8" w:rsidRDefault="00000000">
      <w:pPr>
        <w:pStyle w:val="ListParagraph"/>
        <w:numPr>
          <w:ilvl w:val="0"/>
          <w:numId w:val="121"/>
        </w:numPr>
        <w:tabs>
          <w:tab w:val="left" w:pos="860"/>
          <w:tab w:val="left" w:pos="862"/>
        </w:tabs>
        <w:spacing w:line="259" w:lineRule="auto"/>
        <w:ind w:left="862" w:right="565"/>
        <w:jc w:val="both"/>
      </w:pPr>
      <w:r>
        <w:t>Technical capacity</w:t>
      </w:r>
      <w:r>
        <w:rPr>
          <w:spacing w:val="-1"/>
        </w:rPr>
        <w:t xml:space="preserve"> </w:t>
      </w:r>
      <w:r>
        <w:t>of human resources in</w:t>
      </w:r>
      <w:r>
        <w:rPr>
          <w:spacing w:val="-1"/>
        </w:rPr>
        <w:t xml:space="preserve"> </w:t>
      </w:r>
      <w:r>
        <w:t>MSS-responsible agencies (planners, data managers, and budget staff) for conducting data-based analysis remains limited.</w:t>
      </w:r>
    </w:p>
    <w:p w14:paraId="274120ED" w14:textId="77777777" w:rsidR="00BC24A8" w:rsidRDefault="00000000">
      <w:pPr>
        <w:pStyle w:val="ListParagraph"/>
        <w:numPr>
          <w:ilvl w:val="0"/>
          <w:numId w:val="121"/>
        </w:numPr>
        <w:tabs>
          <w:tab w:val="left" w:pos="860"/>
          <w:tab w:val="left" w:pos="862"/>
        </w:tabs>
        <w:spacing w:line="256" w:lineRule="auto"/>
        <w:ind w:left="862" w:right="566"/>
        <w:jc w:val="both"/>
      </w:pPr>
      <w:r>
        <w:t xml:space="preserve">The Regional Data List, Action Plans, and Thematic </w:t>
      </w:r>
      <w:r>
        <w:rPr>
          <w:i/>
        </w:rPr>
        <w:t xml:space="preserve">Musrenbang </w:t>
      </w:r>
      <w:r>
        <w:t>are not yet fully supported by operational regulations and SOPs.</w:t>
      </w:r>
    </w:p>
    <w:p w14:paraId="0898F70C" w14:textId="77777777" w:rsidR="00BC24A8" w:rsidRDefault="00000000">
      <w:pPr>
        <w:pStyle w:val="ListParagraph"/>
        <w:numPr>
          <w:ilvl w:val="0"/>
          <w:numId w:val="121"/>
        </w:numPr>
        <w:tabs>
          <w:tab w:val="left" w:pos="860"/>
          <w:tab w:val="left" w:pos="862"/>
        </w:tabs>
        <w:spacing w:before="1" w:line="259" w:lineRule="auto"/>
        <w:ind w:left="862" w:right="564"/>
        <w:jc w:val="both"/>
      </w:pPr>
      <w:r>
        <w:t>Engagement of GEDSI-driving agencies and budget authorities remains limited in supporting inclusive development planning.</w:t>
      </w:r>
    </w:p>
    <w:p w14:paraId="6F4A3DC1" w14:textId="77777777" w:rsidR="00BC24A8" w:rsidRDefault="00000000">
      <w:pPr>
        <w:pStyle w:val="Heading5"/>
        <w:spacing w:before="159"/>
        <w:ind w:left="142"/>
      </w:pPr>
      <w:r>
        <w:rPr>
          <w:spacing w:val="-2"/>
        </w:rPr>
        <w:t>Non-technical</w:t>
      </w:r>
      <w:r>
        <w:rPr>
          <w:spacing w:val="11"/>
        </w:rPr>
        <w:t xml:space="preserve"> </w:t>
      </w:r>
      <w:r>
        <w:rPr>
          <w:spacing w:val="-2"/>
        </w:rPr>
        <w:t>challenges</w:t>
      </w:r>
    </w:p>
    <w:p w14:paraId="0E301060" w14:textId="77777777" w:rsidR="00BC24A8" w:rsidRDefault="00000000">
      <w:pPr>
        <w:pStyle w:val="ListParagraph"/>
        <w:numPr>
          <w:ilvl w:val="0"/>
          <w:numId w:val="120"/>
        </w:numPr>
        <w:tabs>
          <w:tab w:val="left" w:pos="860"/>
          <w:tab w:val="left" w:pos="862"/>
        </w:tabs>
        <w:spacing w:before="161" w:line="259" w:lineRule="auto"/>
        <w:ind w:right="565"/>
        <w:jc w:val="both"/>
      </w:pPr>
      <w:r>
        <w:t>Personnel rotations and leadership</w:t>
      </w:r>
      <w:r>
        <w:rPr>
          <w:spacing w:val="-2"/>
        </w:rPr>
        <w:t xml:space="preserve"> </w:t>
      </w:r>
      <w:r>
        <w:t>changes,</w:t>
      </w:r>
      <w:r>
        <w:rPr>
          <w:spacing w:val="-1"/>
        </w:rPr>
        <w:t xml:space="preserve"> </w:t>
      </w:r>
      <w:r>
        <w:t>especially</w:t>
      </w:r>
      <w:r>
        <w:rPr>
          <w:spacing w:val="-1"/>
        </w:rPr>
        <w:t xml:space="preserve"> </w:t>
      </w:r>
      <w:r>
        <w:t>in strategic positions, have</w:t>
      </w:r>
      <w:r>
        <w:rPr>
          <w:spacing w:val="-2"/>
        </w:rPr>
        <w:t xml:space="preserve"> </w:t>
      </w:r>
      <w:r>
        <w:t>led to</w:t>
      </w:r>
      <w:r>
        <w:rPr>
          <w:spacing w:val="-2"/>
        </w:rPr>
        <w:t xml:space="preserve"> </w:t>
      </w:r>
      <w:r>
        <w:t>a loss of continuity and commitment to previously established regional priorities.</w:t>
      </w:r>
    </w:p>
    <w:p w14:paraId="64F0DEB5" w14:textId="77777777" w:rsidR="00BC24A8" w:rsidRDefault="00000000">
      <w:pPr>
        <w:pStyle w:val="ListParagraph"/>
        <w:numPr>
          <w:ilvl w:val="0"/>
          <w:numId w:val="120"/>
        </w:numPr>
        <w:tabs>
          <w:tab w:val="left" w:pos="860"/>
          <w:tab w:val="left" w:pos="862"/>
        </w:tabs>
        <w:spacing w:line="259" w:lineRule="auto"/>
        <w:ind w:right="565"/>
        <w:jc w:val="both"/>
      </w:pPr>
      <w:r>
        <w:t>Cross-agency</w:t>
      </w:r>
      <w:r>
        <w:rPr>
          <w:spacing w:val="-9"/>
        </w:rPr>
        <w:t xml:space="preserve"> </w:t>
      </w:r>
      <w:r>
        <w:t>coordination</w:t>
      </w:r>
      <w:r>
        <w:rPr>
          <w:spacing w:val="-11"/>
        </w:rPr>
        <w:t xml:space="preserve"> </w:t>
      </w:r>
      <w:r>
        <w:t>is</w:t>
      </w:r>
      <w:r>
        <w:rPr>
          <w:spacing w:val="-9"/>
        </w:rPr>
        <w:t xml:space="preserve"> </w:t>
      </w:r>
      <w:r>
        <w:t>still</w:t>
      </w:r>
      <w:r>
        <w:rPr>
          <w:spacing w:val="-12"/>
        </w:rPr>
        <w:t xml:space="preserve"> </w:t>
      </w:r>
      <w:r>
        <w:t>mostly</w:t>
      </w:r>
      <w:r>
        <w:rPr>
          <w:spacing w:val="-10"/>
        </w:rPr>
        <w:t xml:space="preserve"> </w:t>
      </w:r>
      <w:r>
        <w:t>sector-based</w:t>
      </w:r>
      <w:r>
        <w:rPr>
          <w:spacing w:val="-9"/>
        </w:rPr>
        <w:t xml:space="preserve"> </w:t>
      </w:r>
      <w:r>
        <w:t>and</w:t>
      </w:r>
      <w:r>
        <w:rPr>
          <w:spacing w:val="-9"/>
        </w:rPr>
        <w:t xml:space="preserve"> </w:t>
      </w:r>
      <w:r>
        <w:t>follows</w:t>
      </w:r>
      <w:r>
        <w:rPr>
          <w:spacing w:val="-9"/>
        </w:rPr>
        <w:t xml:space="preserve"> </w:t>
      </w:r>
      <w:r>
        <w:t>institutional</w:t>
      </w:r>
      <w:r>
        <w:rPr>
          <w:spacing w:val="-10"/>
        </w:rPr>
        <w:t xml:space="preserve"> </w:t>
      </w:r>
      <w:r>
        <w:t>mandates</w:t>
      </w:r>
      <w:r>
        <w:rPr>
          <w:spacing w:val="-9"/>
        </w:rPr>
        <w:t xml:space="preserve"> </w:t>
      </w:r>
      <w:r>
        <w:t>rather than focusing on shared service objectives.</w:t>
      </w:r>
    </w:p>
    <w:p w14:paraId="079CA990" w14:textId="77777777" w:rsidR="00BC24A8" w:rsidRDefault="00BC24A8">
      <w:pPr>
        <w:pStyle w:val="ListParagraph"/>
        <w:spacing w:line="259" w:lineRule="auto"/>
        <w:sectPr w:rsidR="00BC24A8">
          <w:pgSz w:w="11910" w:h="16840"/>
          <w:pgMar w:top="1400" w:right="850" w:bottom="1100" w:left="1275" w:header="0" w:footer="907" w:gutter="0"/>
          <w:cols w:space="720"/>
        </w:sectPr>
      </w:pPr>
    </w:p>
    <w:p w14:paraId="2021AAB1" w14:textId="77777777" w:rsidR="00BC24A8" w:rsidRDefault="00000000">
      <w:pPr>
        <w:pStyle w:val="ListParagraph"/>
        <w:numPr>
          <w:ilvl w:val="0"/>
          <w:numId w:val="120"/>
        </w:numPr>
        <w:tabs>
          <w:tab w:val="left" w:pos="861"/>
          <w:tab w:val="left" w:pos="863"/>
        </w:tabs>
        <w:spacing w:before="39" w:line="259" w:lineRule="auto"/>
        <w:ind w:left="863" w:right="564"/>
        <w:jc w:val="both"/>
      </w:pPr>
      <w:r>
        <w:lastRenderedPageBreak/>
        <w:t>Support from regional or agency leadership for data-driven approaches, GEDSI, and MSS fulfilment</w:t>
      </w:r>
      <w:r>
        <w:rPr>
          <w:spacing w:val="-13"/>
        </w:rPr>
        <w:t xml:space="preserve"> </w:t>
      </w:r>
      <w:r>
        <w:t>is</w:t>
      </w:r>
      <w:r>
        <w:rPr>
          <w:spacing w:val="-12"/>
        </w:rPr>
        <w:t xml:space="preserve"> </w:t>
      </w:r>
      <w:r>
        <w:t>inconsistent,</w:t>
      </w:r>
      <w:r>
        <w:rPr>
          <w:spacing w:val="-13"/>
        </w:rPr>
        <w:t xml:space="preserve"> </w:t>
      </w:r>
      <w:r>
        <w:t>particularly</w:t>
      </w:r>
      <w:r>
        <w:rPr>
          <w:spacing w:val="-12"/>
        </w:rPr>
        <w:t xml:space="preserve"> </w:t>
      </w:r>
      <w:r>
        <w:t>when</w:t>
      </w:r>
      <w:r>
        <w:rPr>
          <w:spacing w:val="-13"/>
        </w:rPr>
        <w:t xml:space="preserve"> </w:t>
      </w:r>
      <w:r>
        <w:t>these</w:t>
      </w:r>
      <w:r>
        <w:rPr>
          <w:spacing w:val="-12"/>
        </w:rPr>
        <w:t xml:space="preserve"> </w:t>
      </w:r>
      <w:r>
        <w:t>are</w:t>
      </w:r>
      <w:r>
        <w:rPr>
          <w:spacing w:val="-13"/>
        </w:rPr>
        <w:t xml:space="preserve"> </w:t>
      </w:r>
      <w:r>
        <w:t>not</w:t>
      </w:r>
      <w:r>
        <w:rPr>
          <w:spacing w:val="-12"/>
        </w:rPr>
        <w:t xml:space="preserve"> </w:t>
      </w:r>
      <w:r>
        <w:t>prioritised</w:t>
      </w:r>
      <w:r>
        <w:rPr>
          <w:spacing w:val="-12"/>
        </w:rPr>
        <w:t xml:space="preserve"> </w:t>
      </w:r>
      <w:r>
        <w:t>by</w:t>
      </w:r>
      <w:r>
        <w:rPr>
          <w:spacing w:val="-13"/>
        </w:rPr>
        <w:t xml:space="preserve"> </w:t>
      </w:r>
      <w:r>
        <w:t>the</w:t>
      </w:r>
      <w:r>
        <w:rPr>
          <w:spacing w:val="-12"/>
        </w:rPr>
        <w:t xml:space="preserve"> </w:t>
      </w:r>
      <w:r>
        <w:t>agency</w:t>
      </w:r>
      <w:r>
        <w:rPr>
          <w:spacing w:val="-13"/>
        </w:rPr>
        <w:t xml:space="preserve"> </w:t>
      </w:r>
      <w:r>
        <w:t>or</w:t>
      </w:r>
      <w:r>
        <w:rPr>
          <w:spacing w:val="-12"/>
        </w:rPr>
        <w:t xml:space="preserve"> </w:t>
      </w:r>
      <w:r>
        <w:t>region</w:t>
      </w:r>
      <w:r>
        <w:rPr>
          <w:spacing w:val="-13"/>
        </w:rPr>
        <w:t xml:space="preserve"> </w:t>
      </w:r>
      <w:r>
        <w:t>and lack political support.</w:t>
      </w:r>
    </w:p>
    <w:p w14:paraId="469E16AD" w14:textId="77777777" w:rsidR="00BC24A8" w:rsidRDefault="00000000">
      <w:pPr>
        <w:pStyle w:val="Heading5"/>
        <w:spacing w:before="159"/>
      </w:pPr>
      <w:r>
        <w:t>Solutions</w:t>
      </w:r>
      <w:r>
        <w:rPr>
          <w:spacing w:val="-10"/>
        </w:rPr>
        <w:t xml:space="preserve"> </w:t>
      </w:r>
      <w:r>
        <w:rPr>
          <w:spacing w:val="-2"/>
        </w:rPr>
        <w:t>Implemented:</w:t>
      </w:r>
    </w:p>
    <w:p w14:paraId="39D8C48A" w14:textId="77777777" w:rsidR="00BC24A8" w:rsidRDefault="00000000">
      <w:pPr>
        <w:pStyle w:val="ListParagraph"/>
        <w:numPr>
          <w:ilvl w:val="0"/>
          <w:numId w:val="119"/>
        </w:numPr>
        <w:tabs>
          <w:tab w:val="left" w:pos="861"/>
          <w:tab w:val="left" w:pos="863"/>
        </w:tabs>
        <w:spacing w:before="159" w:line="259" w:lineRule="auto"/>
        <w:ind w:right="563"/>
        <w:jc w:val="both"/>
      </w:pPr>
      <w:r>
        <w:t>Strengthening</w:t>
      </w:r>
      <w:r>
        <w:rPr>
          <w:spacing w:val="-10"/>
        </w:rPr>
        <w:t xml:space="preserve"> </w:t>
      </w:r>
      <w:r>
        <w:t>policies</w:t>
      </w:r>
      <w:r>
        <w:rPr>
          <w:spacing w:val="-9"/>
        </w:rPr>
        <w:t xml:space="preserve"> </w:t>
      </w:r>
      <w:r>
        <w:t>and</w:t>
      </w:r>
      <w:r>
        <w:rPr>
          <w:spacing w:val="-12"/>
        </w:rPr>
        <w:t xml:space="preserve"> </w:t>
      </w:r>
      <w:r>
        <w:t>formal</w:t>
      </w:r>
      <w:r>
        <w:rPr>
          <w:spacing w:val="-10"/>
        </w:rPr>
        <w:t xml:space="preserve"> </w:t>
      </w:r>
      <w:r>
        <w:t>mechanisms</w:t>
      </w:r>
      <w:r>
        <w:rPr>
          <w:spacing w:val="-9"/>
        </w:rPr>
        <w:t xml:space="preserve"> </w:t>
      </w:r>
      <w:r>
        <w:t>through</w:t>
      </w:r>
      <w:r>
        <w:rPr>
          <w:spacing w:val="-12"/>
        </w:rPr>
        <w:t xml:space="preserve"> </w:t>
      </w:r>
      <w:r>
        <w:t>the</w:t>
      </w:r>
      <w:r>
        <w:rPr>
          <w:spacing w:val="-11"/>
        </w:rPr>
        <w:t xml:space="preserve"> </w:t>
      </w:r>
      <w:r>
        <w:t>development</w:t>
      </w:r>
      <w:r>
        <w:rPr>
          <w:spacing w:val="-10"/>
        </w:rPr>
        <w:t xml:space="preserve"> </w:t>
      </w:r>
      <w:r>
        <w:t>of</w:t>
      </w:r>
      <w:r>
        <w:rPr>
          <w:spacing w:val="-11"/>
        </w:rPr>
        <w:t xml:space="preserve"> </w:t>
      </w:r>
      <w:r>
        <w:t>SOPs</w:t>
      </w:r>
      <w:r>
        <w:rPr>
          <w:spacing w:val="-9"/>
        </w:rPr>
        <w:t xml:space="preserve"> </w:t>
      </w:r>
      <w:r>
        <w:t>and</w:t>
      </w:r>
      <w:r>
        <w:rPr>
          <w:spacing w:val="-9"/>
        </w:rPr>
        <w:t xml:space="preserve"> </w:t>
      </w:r>
      <w:r>
        <w:t>clear</w:t>
      </w:r>
      <w:r>
        <w:rPr>
          <w:spacing w:val="-9"/>
        </w:rPr>
        <w:t xml:space="preserve"> </w:t>
      </w:r>
      <w:r>
        <w:t>role distribution among agencies.</w:t>
      </w:r>
    </w:p>
    <w:p w14:paraId="4BF8A5DE" w14:textId="77777777" w:rsidR="00BC24A8" w:rsidRDefault="00000000">
      <w:pPr>
        <w:pStyle w:val="ListParagraph"/>
        <w:numPr>
          <w:ilvl w:val="0"/>
          <w:numId w:val="119"/>
        </w:numPr>
        <w:tabs>
          <w:tab w:val="left" w:pos="861"/>
          <w:tab w:val="left" w:pos="863"/>
        </w:tabs>
        <w:spacing w:before="1" w:line="259" w:lineRule="auto"/>
        <w:ind w:right="563"/>
        <w:jc w:val="both"/>
      </w:pPr>
      <w:r>
        <w:t>Applying a thematic approach and aligning with regional/agency priorities to enhance cross- agency coordination and collaboration on sector-spanning issues.</w:t>
      </w:r>
    </w:p>
    <w:p w14:paraId="1D001748" w14:textId="77777777" w:rsidR="00BC24A8" w:rsidRDefault="00000000">
      <w:pPr>
        <w:pStyle w:val="ListParagraph"/>
        <w:numPr>
          <w:ilvl w:val="0"/>
          <w:numId w:val="119"/>
        </w:numPr>
        <w:tabs>
          <w:tab w:val="left" w:pos="861"/>
          <w:tab w:val="left" w:pos="863"/>
        </w:tabs>
        <w:spacing w:line="259" w:lineRule="auto"/>
        <w:ind w:right="563"/>
        <w:jc w:val="both"/>
      </w:pPr>
      <w:r>
        <w:t>Continuing technical capacity building for SKALA partners through on-the-job learning and a sustainable mentoring system.</w:t>
      </w:r>
    </w:p>
    <w:p w14:paraId="2789F2A2" w14:textId="77777777" w:rsidR="00BC24A8" w:rsidRDefault="00000000">
      <w:pPr>
        <w:pStyle w:val="ListParagraph"/>
        <w:numPr>
          <w:ilvl w:val="0"/>
          <w:numId w:val="119"/>
        </w:numPr>
        <w:tabs>
          <w:tab w:val="left" w:pos="861"/>
          <w:tab w:val="left" w:pos="863"/>
        </w:tabs>
        <w:spacing w:line="259" w:lineRule="auto"/>
        <w:ind w:right="564"/>
        <w:jc w:val="both"/>
      </w:pPr>
      <w:r>
        <w:t>Conducting</w:t>
      </w:r>
      <w:r>
        <w:rPr>
          <w:spacing w:val="-9"/>
        </w:rPr>
        <w:t xml:space="preserve"> </w:t>
      </w:r>
      <w:r>
        <w:t>hearings</w:t>
      </w:r>
      <w:r>
        <w:rPr>
          <w:spacing w:val="-7"/>
        </w:rPr>
        <w:t xml:space="preserve"> </w:t>
      </w:r>
      <w:r>
        <w:t>with</w:t>
      </w:r>
      <w:r>
        <w:rPr>
          <w:spacing w:val="-6"/>
        </w:rPr>
        <w:t xml:space="preserve"> </w:t>
      </w:r>
      <w:r>
        <w:t>newly</w:t>
      </w:r>
      <w:r>
        <w:rPr>
          <w:spacing w:val="-6"/>
        </w:rPr>
        <w:t xml:space="preserve"> </w:t>
      </w:r>
      <w:r>
        <w:t>appointed</w:t>
      </w:r>
      <w:r>
        <w:rPr>
          <w:spacing w:val="-6"/>
        </w:rPr>
        <w:t xml:space="preserve"> </w:t>
      </w:r>
      <w:r>
        <w:t>leaders/officials</w:t>
      </w:r>
      <w:r>
        <w:rPr>
          <w:spacing w:val="-6"/>
        </w:rPr>
        <w:t xml:space="preserve"> </w:t>
      </w:r>
      <w:r>
        <w:t>to</w:t>
      </w:r>
      <w:r>
        <w:rPr>
          <w:spacing w:val="-7"/>
        </w:rPr>
        <w:t xml:space="preserve"> </w:t>
      </w:r>
      <w:r>
        <w:t>align</w:t>
      </w:r>
      <w:r>
        <w:rPr>
          <w:spacing w:val="-6"/>
        </w:rPr>
        <w:t xml:space="preserve"> </w:t>
      </w:r>
      <w:r>
        <w:t>understanding</w:t>
      </w:r>
      <w:r>
        <w:rPr>
          <w:spacing w:val="-11"/>
        </w:rPr>
        <w:t xml:space="preserve"> </w:t>
      </w:r>
      <w:r>
        <w:t>and</w:t>
      </w:r>
      <w:r>
        <w:rPr>
          <w:spacing w:val="-6"/>
        </w:rPr>
        <w:t xml:space="preserve"> </w:t>
      </w:r>
      <w:r>
        <w:t>support the continuity of SKALA activities.</w:t>
      </w:r>
    </w:p>
    <w:p w14:paraId="722E03A5" w14:textId="77777777" w:rsidR="00BC24A8" w:rsidRDefault="00000000">
      <w:pPr>
        <w:pStyle w:val="ListParagraph"/>
        <w:numPr>
          <w:ilvl w:val="0"/>
          <w:numId w:val="119"/>
        </w:numPr>
        <w:tabs>
          <w:tab w:val="left" w:pos="860"/>
          <w:tab w:val="left" w:pos="862"/>
        </w:tabs>
        <w:spacing w:line="259" w:lineRule="auto"/>
        <w:ind w:left="862" w:right="562"/>
        <w:jc w:val="both"/>
      </w:pPr>
      <w:r>
        <w:t>Strengthening</w:t>
      </w:r>
      <w:r>
        <w:rPr>
          <w:spacing w:val="-5"/>
        </w:rPr>
        <w:t xml:space="preserve"> </w:t>
      </w:r>
      <w:r>
        <w:t>coordination</w:t>
      </w:r>
      <w:r>
        <w:rPr>
          <w:spacing w:val="-6"/>
        </w:rPr>
        <w:t xml:space="preserve"> </w:t>
      </w:r>
      <w:r>
        <w:t>forums</w:t>
      </w:r>
      <w:r>
        <w:rPr>
          <w:spacing w:val="-3"/>
        </w:rPr>
        <w:t xml:space="preserve"> </w:t>
      </w:r>
      <w:r>
        <w:t>(Regional</w:t>
      </w:r>
      <w:r>
        <w:rPr>
          <w:spacing w:val="-5"/>
        </w:rPr>
        <w:t xml:space="preserve"> </w:t>
      </w:r>
      <w:r>
        <w:t>One</w:t>
      </w:r>
      <w:r>
        <w:rPr>
          <w:spacing w:val="-6"/>
        </w:rPr>
        <w:t xml:space="preserve"> </w:t>
      </w:r>
      <w:r>
        <w:t>Data</w:t>
      </w:r>
      <w:r>
        <w:rPr>
          <w:spacing w:val="-8"/>
        </w:rPr>
        <w:t xml:space="preserve"> </w:t>
      </w:r>
      <w:r>
        <w:t>Forum,</w:t>
      </w:r>
      <w:r>
        <w:rPr>
          <w:spacing w:val="-3"/>
        </w:rPr>
        <w:t xml:space="preserve"> </w:t>
      </w:r>
      <w:r>
        <w:t>Inclusive</w:t>
      </w:r>
      <w:r>
        <w:rPr>
          <w:spacing w:val="-8"/>
        </w:rPr>
        <w:t xml:space="preserve"> </w:t>
      </w:r>
      <w:r>
        <w:t>Gorontalo</w:t>
      </w:r>
      <w:r>
        <w:rPr>
          <w:spacing w:val="-4"/>
        </w:rPr>
        <w:t xml:space="preserve"> </w:t>
      </w:r>
      <w:r>
        <w:t>Forum,</w:t>
      </w:r>
      <w:r>
        <w:rPr>
          <w:spacing w:val="-3"/>
        </w:rPr>
        <w:t xml:space="preserve"> </w:t>
      </w:r>
      <w:r>
        <w:t xml:space="preserve">and MSS Implementation Team) as concrete cross-agency communication spaces rather than </w:t>
      </w:r>
      <w:r>
        <w:rPr>
          <w:spacing w:val="-2"/>
        </w:rPr>
        <w:t>formalities.</w:t>
      </w:r>
    </w:p>
    <w:p w14:paraId="6A4EC621" w14:textId="77777777" w:rsidR="00BC24A8" w:rsidRDefault="00000000">
      <w:pPr>
        <w:pStyle w:val="ListParagraph"/>
        <w:numPr>
          <w:ilvl w:val="0"/>
          <w:numId w:val="119"/>
        </w:numPr>
        <w:tabs>
          <w:tab w:val="left" w:pos="860"/>
          <w:tab w:val="left" w:pos="862"/>
        </w:tabs>
        <w:spacing w:line="256" w:lineRule="auto"/>
        <w:ind w:left="862" w:right="564"/>
        <w:jc w:val="both"/>
      </w:pPr>
      <w:r>
        <w:t>Digitalising and visualising data through dashboards, infographics, and spatial analytics, which have proven effective in communicating data to decision-makers and the public.</w:t>
      </w:r>
    </w:p>
    <w:p w14:paraId="6B13BD1F" w14:textId="77777777" w:rsidR="00BC24A8" w:rsidRDefault="00BC24A8">
      <w:pPr>
        <w:pStyle w:val="BodyText"/>
        <w:spacing w:before="23"/>
      </w:pPr>
    </w:p>
    <w:p w14:paraId="6F4B45FF" w14:textId="77777777" w:rsidR="00BC24A8" w:rsidRDefault="00000000">
      <w:pPr>
        <w:pStyle w:val="Heading5"/>
      </w:pPr>
      <w:r>
        <w:rPr>
          <w:color w:val="17365A"/>
        </w:rPr>
        <w:t>Lessons</w:t>
      </w:r>
      <w:r>
        <w:rPr>
          <w:color w:val="17365A"/>
          <w:spacing w:val="-6"/>
        </w:rPr>
        <w:t xml:space="preserve"> </w:t>
      </w:r>
      <w:r>
        <w:rPr>
          <w:color w:val="17365A"/>
          <w:spacing w:val="-2"/>
        </w:rPr>
        <w:t>learned</w:t>
      </w:r>
    </w:p>
    <w:p w14:paraId="35C92BAB" w14:textId="77777777" w:rsidR="00BC24A8" w:rsidRDefault="00BC24A8">
      <w:pPr>
        <w:pStyle w:val="BodyText"/>
        <w:spacing w:before="9"/>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531"/>
        <w:gridCol w:w="7568"/>
      </w:tblGrid>
      <w:tr w:rsidR="00BC24A8" w14:paraId="03A13874" w14:textId="77777777">
        <w:trPr>
          <w:trHeight w:val="420"/>
        </w:trPr>
        <w:tc>
          <w:tcPr>
            <w:tcW w:w="1531" w:type="dxa"/>
            <w:shd w:val="clear" w:color="auto" w:fill="17365A"/>
          </w:tcPr>
          <w:p w14:paraId="019D057C" w14:textId="77777777" w:rsidR="00BC24A8" w:rsidRDefault="00000000">
            <w:pPr>
              <w:pStyle w:val="TableParagraph"/>
              <w:spacing w:before="90"/>
              <w:ind w:left="115"/>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theme</w:t>
            </w:r>
          </w:p>
        </w:tc>
        <w:tc>
          <w:tcPr>
            <w:tcW w:w="7568" w:type="dxa"/>
            <w:shd w:val="clear" w:color="auto" w:fill="17365A"/>
          </w:tcPr>
          <w:p w14:paraId="7FE808A9" w14:textId="77777777" w:rsidR="00BC24A8" w:rsidRDefault="00000000">
            <w:pPr>
              <w:pStyle w:val="TableParagraph"/>
              <w:spacing w:before="90"/>
              <w:ind w:left="113"/>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description</w:t>
            </w:r>
          </w:p>
        </w:tc>
      </w:tr>
      <w:tr w:rsidR="00BC24A8" w14:paraId="7661BF89" w14:textId="77777777">
        <w:trPr>
          <w:trHeight w:val="2596"/>
        </w:trPr>
        <w:tc>
          <w:tcPr>
            <w:tcW w:w="1531" w:type="dxa"/>
            <w:tcBorders>
              <w:bottom w:val="single" w:sz="4" w:space="0" w:color="BEBEBE"/>
            </w:tcBorders>
          </w:tcPr>
          <w:p w14:paraId="5AFF7F4C" w14:textId="77777777" w:rsidR="00BC24A8" w:rsidRDefault="00000000">
            <w:pPr>
              <w:pStyle w:val="TableParagraph"/>
              <w:spacing w:before="102"/>
              <w:ind w:left="115" w:right="114"/>
              <w:rPr>
                <w:sz w:val="18"/>
              </w:rPr>
            </w:pPr>
            <w:r>
              <w:rPr>
                <w:sz w:val="18"/>
              </w:rPr>
              <w:t>Provision</w:t>
            </w:r>
            <w:r>
              <w:rPr>
                <w:spacing w:val="-11"/>
                <w:sz w:val="18"/>
              </w:rPr>
              <w:t xml:space="preserve"> </w:t>
            </w:r>
            <w:r>
              <w:rPr>
                <w:sz w:val="18"/>
              </w:rPr>
              <w:t>and</w:t>
            </w:r>
            <w:r>
              <w:rPr>
                <w:spacing w:val="-10"/>
                <w:sz w:val="18"/>
              </w:rPr>
              <w:t xml:space="preserve"> </w:t>
            </w:r>
            <w:r>
              <w:rPr>
                <w:sz w:val="18"/>
              </w:rPr>
              <w:t>use of</w:t>
            </w:r>
            <w:r>
              <w:rPr>
                <w:spacing w:val="-2"/>
                <w:sz w:val="18"/>
              </w:rPr>
              <w:t xml:space="preserve"> </w:t>
            </w:r>
            <w:r>
              <w:rPr>
                <w:sz w:val="18"/>
              </w:rPr>
              <w:t>data</w:t>
            </w:r>
          </w:p>
        </w:tc>
        <w:tc>
          <w:tcPr>
            <w:tcW w:w="7568" w:type="dxa"/>
            <w:tcBorders>
              <w:bottom w:val="single" w:sz="4" w:space="0" w:color="BEBEBE"/>
            </w:tcBorders>
          </w:tcPr>
          <w:p w14:paraId="16C3798D" w14:textId="77777777" w:rsidR="00BC24A8" w:rsidRDefault="00000000">
            <w:pPr>
              <w:pStyle w:val="TableParagraph"/>
              <w:spacing w:before="102"/>
              <w:ind w:left="113" w:right="106"/>
              <w:jc w:val="both"/>
              <w:rPr>
                <w:sz w:val="18"/>
              </w:rPr>
            </w:pPr>
            <w:r>
              <w:rPr>
                <w:sz w:val="18"/>
              </w:rPr>
              <w:t>The availability of valid and well-structured sectoral data has proven crucial for supporting evidence- based</w:t>
            </w:r>
            <w:r>
              <w:rPr>
                <w:spacing w:val="-11"/>
                <w:sz w:val="18"/>
              </w:rPr>
              <w:t xml:space="preserve"> </w:t>
            </w:r>
            <w:r>
              <w:rPr>
                <w:sz w:val="18"/>
              </w:rPr>
              <w:t>planning.</w:t>
            </w:r>
            <w:r>
              <w:rPr>
                <w:spacing w:val="-10"/>
                <w:sz w:val="18"/>
              </w:rPr>
              <w:t xml:space="preserve"> </w:t>
            </w:r>
            <w:r>
              <w:rPr>
                <w:sz w:val="18"/>
              </w:rPr>
              <w:t>Gorontalo’s</w:t>
            </w:r>
            <w:r>
              <w:rPr>
                <w:spacing w:val="-10"/>
                <w:sz w:val="18"/>
              </w:rPr>
              <w:t xml:space="preserve"> </w:t>
            </w:r>
            <w:r>
              <w:rPr>
                <w:sz w:val="18"/>
              </w:rPr>
              <w:t>experience</w:t>
            </w:r>
            <w:r>
              <w:rPr>
                <w:spacing w:val="-10"/>
                <w:sz w:val="18"/>
              </w:rPr>
              <w:t xml:space="preserve"> </w:t>
            </w:r>
            <w:r>
              <w:rPr>
                <w:sz w:val="18"/>
              </w:rPr>
              <w:t>shows</w:t>
            </w:r>
            <w:r>
              <w:rPr>
                <w:spacing w:val="-10"/>
                <w:sz w:val="18"/>
              </w:rPr>
              <w:t xml:space="preserve"> </w:t>
            </w:r>
            <w:r>
              <w:rPr>
                <w:sz w:val="18"/>
              </w:rPr>
              <w:t>that</w:t>
            </w:r>
            <w:r>
              <w:rPr>
                <w:spacing w:val="-11"/>
                <w:sz w:val="18"/>
              </w:rPr>
              <w:t xml:space="preserve"> </w:t>
            </w:r>
            <w:r>
              <w:rPr>
                <w:sz w:val="18"/>
              </w:rPr>
              <w:t>this</w:t>
            </w:r>
            <w:r>
              <w:rPr>
                <w:spacing w:val="-10"/>
                <w:sz w:val="18"/>
              </w:rPr>
              <w:t xml:space="preserve"> </w:t>
            </w:r>
            <w:r>
              <w:rPr>
                <w:sz w:val="18"/>
              </w:rPr>
              <w:t>can</w:t>
            </w:r>
            <w:r>
              <w:rPr>
                <w:spacing w:val="-10"/>
                <w:sz w:val="18"/>
              </w:rPr>
              <w:t xml:space="preserve"> </w:t>
            </w:r>
            <w:r>
              <w:rPr>
                <w:sz w:val="18"/>
              </w:rPr>
              <w:t>be</w:t>
            </w:r>
            <w:r>
              <w:rPr>
                <w:spacing w:val="-10"/>
                <w:sz w:val="18"/>
              </w:rPr>
              <w:t xml:space="preserve"> </w:t>
            </w:r>
            <w:r>
              <w:rPr>
                <w:sz w:val="18"/>
              </w:rPr>
              <w:t>achieved</w:t>
            </w:r>
            <w:r>
              <w:rPr>
                <w:spacing w:val="-10"/>
                <w:sz w:val="18"/>
              </w:rPr>
              <w:t xml:space="preserve"> </w:t>
            </w:r>
            <w:r>
              <w:rPr>
                <w:sz w:val="18"/>
              </w:rPr>
              <w:t>through</w:t>
            </w:r>
            <w:r>
              <w:rPr>
                <w:spacing w:val="-10"/>
                <w:sz w:val="18"/>
              </w:rPr>
              <w:t xml:space="preserve"> </w:t>
            </w:r>
            <w:r>
              <w:rPr>
                <w:sz w:val="18"/>
              </w:rPr>
              <w:t>several</w:t>
            </w:r>
            <w:r>
              <w:rPr>
                <w:spacing w:val="-11"/>
                <w:sz w:val="18"/>
              </w:rPr>
              <w:t xml:space="preserve"> </w:t>
            </w:r>
            <w:r>
              <w:rPr>
                <w:sz w:val="18"/>
              </w:rPr>
              <w:t>key</w:t>
            </w:r>
            <w:r>
              <w:rPr>
                <w:spacing w:val="-10"/>
                <w:sz w:val="18"/>
              </w:rPr>
              <w:t xml:space="preserve"> </w:t>
            </w:r>
            <w:r>
              <w:rPr>
                <w:sz w:val="18"/>
              </w:rPr>
              <w:t xml:space="preserve">measures: </w:t>
            </w:r>
            <w:r>
              <w:rPr>
                <w:spacing w:val="-2"/>
                <w:sz w:val="18"/>
              </w:rPr>
              <w:t>establishing formal mechanisms such as a Regional Priority</w:t>
            </w:r>
            <w:r>
              <w:rPr>
                <w:spacing w:val="-4"/>
                <w:sz w:val="18"/>
              </w:rPr>
              <w:t xml:space="preserve"> </w:t>
            </w:r>
            <w:r>
              <w:rPr>
                <w:spacing w:val="-2"/>
                <w:sz w:val="18"/>
              </w:rPr>
              <w:t>Data List recognised by all agencies; building</w:t>
            </w:r>
            <w:r>
              <w:rPr>
                <w:sz w:val="18"/>
              </w:rPr>
              <w:t xml:space="preserve"> awareness among data managers and planners about the importance of data; and fostering cross- agency synergy to enable data sharing and reduce duplication.</w:t>
            </w:r>
          </w:p>
          <w:p w14:paraId="641AE220" w14:textId="77777777" w:rsidR="00BC24A8" w:rsidRDefault="00000000">
            <w:pPr>
              <w:pStyle w:val="TableParagraph"/>
              <w:spacing w:before="120"/>
              <w:ind w:left="113" w:right="106"/>
              <w:jc w:val="both"/>
              <w:rPr>
                <w:sz w:val="18"/>
              </w:rPr>
            </w:pPr>
            <w:r>
              <w:rPr>
                <w:sz w:val="18"/>
              </w:rPr>
              <w:t xml:space="preserve">Regular data updates and the application of consistent standards are essential to maintain data relevance. Meanwhile, regulations and cross-agency coordination forums play an important role in resolving technical challenges and ensuring effective implementation. Considering these factors is essential for other regions seeking to replicate effective and sustainable sectoral data management </w:t>
            </w:r>
            <w:r>
              <w:rPr>
                <w:spacing w:val="-2"/>
                <w:sz w:val="18"/>
              </w:rPr>
              <w:t>practices.</w:t>
            </w:r>
          </w:p>
        </w:tc>
      </w:tr>
      <w:tr w:rsidR="00BC24A8" w14:paraId="75780263" w14:textId="77777777">
        <w:trPr>
          <w:trHeight w:val="2891"/>
        </w:trPr>
        <w:tc>
          <w:tcPr>
            <w:tcW w:w="1531" w:type="dxa"/>
            <w:tcBorders>
              <w:top w:val="single" w:sz="4" w:space="0" w:color="BEBEBE"/>
              <w:bottom w:val="single" w:sz="4" w:space="0" w:color="BEBEBE"/>
            </w:tcBorders>
          </w:tcPr>
          <w:p w14:paraId="1EFDE9C6" w14:textId="77777777" w:rsidR="00BC24A8" w:rsidRDefault="00000000">
            <w:pPr>
              <w:pStyle w:val="TableParagraph"/>
              <w:spacing w:before="56"/>
              <w:ind w:left="115"/>
              <w:rPr>
                <w:sz w:val="18"/>
              </w:rPr>
            </w:pPr>
            <w:r>
              <w:rPr>
                <w:spacing w:val="-5"/>
                <w:sz w:val="18"/>
              </w:rPr>
              <w:t>MSS</w:t>
            </w:r>
          </w:p>
          <w:p w14:paraId="0DFE2647" w14:textId="77777777" w:rsidR="00BC24A8" w:rsidRDefault="00000000">
            <w:pPr>
              <w:pStyle w:val="TableParagraph"/>
              <w:spacing w:before="1"/>
              <w:ind w:left="115" w:right="114"/>
              <w:rPr>
                <w:sz w:val="18"/>
              </w:rPr>
            </w:pPr>
            <w:r>
              <w:rPr>
                <w:spacing w:val="-2"/>
                <w:sz w:val="18"/>
              </w:rPr>
              <w:t>implementation</w:t>
            </w:r>
            <w:r>
              <w:rPr>
                <w:sz w:val="18"/>
              </w:rPr>
              <w:t xml:space="preserve"> </w:t>
            </w:r>
            <w:r>
              <w:rPr>
                <w:spacing w:val="-2"/>
                <w:sz w:val="18"/>
              </w:rPr>
              <w:t>(planning,</w:t>
            </w:r>
            <w:r>
              <w:rPr>
                <w:sz w:val="18"/>
              </w:rPr>
              <w:t xml:space="preserve"> achievement,</w:t>
            </w:r>
            <w:r>
              <w:rPr>
                <w:spacing w:val="-11"/>
                <w:sz w:val="18"/>
              </w:rPr>
              <w:t xml:space="preserve"> </w:t>
            </w:r>
            <w:r>
              <w:rPr>
                <w:sz w:val="18"/>
              </w:rPr>
              <w:t xml:space="preserve">and </w:t>
            </w:r>
            <w:r>
              <w:rPr>
                <w:spacing w:val="-2"/>
                <w:sz w:val="18"/>
              </w:rPr>
              <w:t>reporting)</w:t>
            </w:r>
          </w:p>
        </w:tc>
        <w:tc>
          <w:tcPr>
            <w:tcW w:w="7568" w:type="dxa"/>
            <w:tcBorders>
              <w:top w:val="single" w:sz="4" w:space="0" w:color="BEBEBE"/>
              <w:bottom w:val="single" w:sz="4" w:space="0" w:color="BEBEBE"/>
            </w:tcBorders>
          </w:tcPr>
          <w:p w14:paraId="6A0F20FF" w14:textId="77777777" w:rsidR="00BC24A8" w:rsidRDefault="00000000">
            <w:pPr>
              <w:pStyle w:val="TableParagraph"/>
              <w:spacing w:before="56"/>
              <w:ind w:left="113" w:right="105"/>
              <w:jc w:val="both"/>
              <w:rPr>
                <w:sz w:val="18"/>
              </w:rPr>
            </w:pPr>
            <w:r>
              <w:rPr>
                <w:sz w:val="18"/>
              </w:rPr>
              <w:t>Provincial MSS Implementation Team support during monitoring and supervision visits to districts/cities has proven effective in building a shared understanding of the importance of MSS reporting</w:t>
            </w:r>
            <w:r>
              <w:rPr>
                <w:spacing w:val="-3"/>
                <w:sz w:val="18"/>
              </w:rPr>
              <w:t xml:space="preserve"> </w:t>
            </w:r>
            <w:r>
              <w:rPr>
                <w:sz w:val="18"/>
              </w:rPr>
              <w:t>and</w:t>
            </w:r>
            <w:r>
              <w:rPr>
                <w:spacing w:val="-2"/>
                <w:sz w:val="18"/>
              </w:rPr>
              <w:t xml:space="preserve"> </w:t>
            </w:r>
            <w:r>
              <w:rPr>
                <w:sz w:val="18"/>
              </w:rPr>
              <w:t>planning</w:t>
            </w:r>
            <w:r>
              <w:rPr>
                <w:spacing w:val="-3"/>
                <w:sz w:val="18"/>
              </w:rPr>
              <w:t xml:space="preserve"> </w:t>
            </w:r>
            <w:r>
              <w:rPr>
                <w:sz w:val="18"/>
              </w:rPr>
              <w:t>through</w:t>
            </w:r>
            <w:r>
              <w:rPr>
                <w:spacing w:val="-2"/>
                <w:sz w:val="18"/>
              </w:rPr>
              <w:t xml:space="preserve"> </w:t>
            </w:r>
            <w:r>
              <w:rPr>
                <w:sz w:val="18"/>
              </w:rPr>
              <w:t>the</w:t>
            </w:r>
            <w:r>
              <w:rPr>
                <w:spacing w:val="-2"/>
                <w:sz w:val="18"/>
              </w:rPr>
              <w:t xml:space="preserve"> </w:t>
            </w:r>
            <w:r>
              <w:rPr>
                <w:sz w:val="18"/>
              </w:rPr>
              <w:t>MSS</w:t>
            </w:r>
            <w:r>
              <w:rPr>
                <w:spacing w:val="-2"/>
                <w:sz w:val="18"/>
              </w:rPr>
              <w:t xml:space="preserve"> </w:t>
            </w:r>
            <w:r>
              <w:rPr>
                <w:sz w:val="18"/>
              </w:rPr>
              <w:t>Action</w:t>
            </w:r>
            <w:r>
              <w:rPr>
                <w:spacing w:val="-2"/>
                <w:sz w:val="18"/>
              </w:rPr>
              <w:t xml:space="preserve"> </w:t>
            </w:r>
            <w:r>
              <w:rPr>
                <w:sz w:val="18"/>
              </w:rPr>
              <w:t>Plan,</w:t>
            </w:r>
            <w:r>
              <w:rPr>
                <w:spacing w:val="-3"/>
                <w:sz w:val="18"/>
              </w:rPr>
              <w:t xml:space="preserve"> </w:t>
            </w:r>
            <w:r>
              <w:rPr>
                <w:sz w:val="18"/>
              </w:rPr>
              <w:t>as</w:t>
            </w:r>
            <w:r>
              <w:rPr>
                <w:spacing w:val="-2"/>
                <w:sz w:val="18"/>
              </w:rPr>
              <w:t xml:space="preserve"> </w:t>
            </w:r>
            <w:r>
              <w:rPr>
                <w:sz w:val="18"/>
              </w:rPr>
              <w:t>well</w:t>
            </w:r>
            <w:r>
              <w:rPr>
                <w:spacing w:val="-1"/>
                <w:sz w:val="18"/>
              </w:rPr>
              <w:t xml:space="preserve"> </w:t>
            </w:r>
            <w:r>
              <w:rPr>
                <w:sz w:val="18"/>
              </w:rPr>
              <w:t>as</w:t>
            </w:r>
            <w:r>
              <w:rPr>
                <w:spacing w:val="-2"/>
                <w:sz w:val="18"/>
              </w:rPr>
              <w:t xml:space="preserve"> </w:t>
            </w:r>
            <w:r>
              <w:rPr>
                <w:sz w:val="18"/>
              </w:rPr>
              <w:t>strengthening</w:t>
            </w:r>
            <w:r>
              <w:rPr>
                <w:spacing w:val="-3"/>
                <w:sz w:val="18"/>
              </w:rPr>
              <w:t xml:space="preserve"> </w:t>
            </w:r>
            <w:r>
              <w:rPr>
                <w:sz w:val="18"/>
              </w:rPr>
              <w:t>coordination</w:t>
            </w:r>
            <w:r>
              <w:rPr>
                <w:spacing w:val="-2"/>
                <w:sz w:val="18"/>
              </w:rPr>
              <w:t xml:space="preserve"> </w:t>
            </w:r>
            <w:r>
              <w:rPr>
                <w:sz w:val="18"/>
              </w:rPr>
              <w:t>to</w:t>
            </w:r>
            <w:r>
              <w:rPr>
                <w:spacing w:val="-3"/>
                <w:sz w:val="18"/>
              </w:rPr>
              <w:t xml:space="preserve"> </w:t>
            </w:r>
            <w:r>
              <w:rPr>
                <w:sz w:val="18"/>
              </w:rPr>
              <w:t>achieve provincial</w:t>
            </w:r>
            <w:r>
              <w:rPr>
                <w:spacing w:val="-4"/>
                <w:sz w:val="18"/>
              </w:rPr>
              <w:t xml:space="preserve"> </w:t>
            </w:r>
            <w:r>
              <w:rPr>
                <w:sz w:val="18"/>
              </w:rPr>
              <w:t>targets.</w:t>
            </w:r>
          </w:p>
          <w:p w14:paraId="6171C11C" w14:textId="77777777" w:rsidR="00BC24A8" w:rsidRDefault="00000000">
            <w:pPr>
              <w:pStyle w:val="TableParagraph"/>
              <w:spacing w:before="122"/>
              <w:ind w:left="113" w:right="106"/>
              <w:jc w:val="both"/>
              <w:rPr>
                <w:sz w:val="18"/>
              </w:rPr>
            </w:pPr>
            <w:r>
              <w:rPr>
                <w:sz w:val="18"/>
              </w:rPr>
              <w:t>However,</w:t>
            </w:r>
            <w:r>
              <w:rPr>
                <w:spacing w:val="-3"/>
                <w:sz w:val="18"/>
              </w:rPr>
              <w:t xml:space="preserve"> </w:t>
            </w:r>
            <w:r>
              <w:rPr>
                <w:sz w:val="18"/>
              </w:rPr>
              <w:t>this</w:t>
            </w:r>
            <w:r>
              <w:rPr>
                <w:spacing w:val="-2"/>
                <w:sz w:val="18"/>
              </w:rPr>
              <w:t xml:space="preserve"> </w:t>
            </w:r>
            <w:r>
              <w:rPr>
                <w:sz w:val="18"/>
              </w:rPr>
              <w:t>experience</w:t>
            </w:r>
            <w:r>
              <w:rPr>
                <w:spacing w:val="-2"/>
                <w:sz w:val="18"/>
              </w:rPr>
              <w:t xml:space="preserve"> </w:t>
            </w:r>
            <w:r>
              <w:rPr>
                <w:sz w:val="18"/>
              </w:rPr>
              <w:t>highlights</w:t>
            </w:r>
            <w:r>
              <w:rPr>
                <w:spacing w:val="-2"/>
                <w:sz w:val="18"/>
              </w:rPr>
              <w:t xml:space="preserve"> </w:t>
            </w:r>
            <w:r>
              <w:rPr>
                <w:sz w:val="18"/>
              </w:rPr>
              <w:t>challenges</w:t>
            </w:r>
            <w:r>
              <w:rPr>
                <w:spacing w:val="-2"/>
                <w:sz w:val="18"/>
              </w:rPr>
              <w:t xml:space="preserve"> </w:t>
            </w:r>
            <w:r>
              <w:rPr>
                <w:sz w:val="18"/>
              </w:rPr>
              <w:t>in</w:t>
            </w:r>
            <w:r>
              <w:rPr>
                <w:spacing w:val="-4"/>
                <w:sz w:val="18"/>
              </w:rPr>
              <w:t xml:space="preserve"> </w:t>
            </w:r>
            <w:r>
              <w:rPr>
                <w:sz w:val="18"/>
              </w:rPr>
              <w:t>sustaining</w:t>
            </w:r>
            <w:r>
              <w:rPr>
                <w:spacing w:val="-2"/>
                <w:sz w:val="18"/>
              </w:rPr>
              <w:t xml:space="preserve"> </w:t>
            </w:r>
            <w:r>
              <w:rPr>
                <w:sz w:val="18"/>
              </w:rPr>
              <w:t>support</w:t>
            </w:r>
            <w:r>
              <w:rPr>
                <w:spacing w:val="-1"/>
                <w:sz w:val="18"/>
              </w:rPr>
              <w:t xml:space="preserve"> </w:t>
            </w:r>
            <w:r>
              <w:rPr>
                <w:sz w:val="18"/>
              </w:rPr>
              <w:t>after</w:t>
            </w:r>
            <w:r>
              <w:rPr>
                <w:spacing w:val="-2"/>
                <w:sz w:val="18"/>
              </w:rPr>
              <w:t xml:space="preserve"> </w:t>
            </w:r>
            <w:r>
              <w:rPr>
                <w:sz w:val="18"/>
              </w:rPr>
              <w:t>monitoring</w:t>
            </w:r>
            <w:r>
              <w:rPr>
                <w:spacing w:val="-2"/>
                <w:sz w:val="18"/>
              </w:rPr>
              <w:t xml:space="preserve"> </w:t>
            </w:r>
            <w:r>
              <w:rPr>
                <w:sz w:val="18"/>
              </w:rPr>
              <w:t>and</w:t>
            </w:r>
            <w:r>
              <w:rPr>
                <w:spacing w:val="-2"/>
                <w:sz w:val="18"/>
              </w:rPr>
              <w:t xml:space="preserve"> </w:t>
            </w:r>
            <w:r>
              <w:rPr>
                <w:sz w:val="18"/>
              </w:rPr>
              <w:t>supervision visits,</w:t>
            </w:r>
            <w:r>
              <w:rPr>
                <w:spacing w:val="-11"/>
                <w:sz w:val="18"/>
              </w:rPr>
              <w:t xml:space="preserve"> </w:t>
            </w:r>
            <w:r>
              <w:rPr>
                <w:sz w:val="18"/>
              </w:rPr>
              <w:t>including</w:t>
            </w:r>
            <w:r>
              <w:rPr>
                <w:spacing w:val="-10"/>
                <w:sz w:val="18"/>
              </w:rPr>
              <w:t xml:space="preserve"> </w:t>
            </w:r>
            <w:r>
              <w:rPr>
                <w:sz w:val="18"/>
              </w:rPr>
              <w:t>limited</w:t>
            </w:r>
            <w:r>
              <w:rPr>
                <w:spacing w:val="-10"/>
                <w:sz w:val="18"/>
              </w:rPr>
              <w:t xml:space="preserve"> </w:t>
            </w:r>
            <w:r>
              <w:rPr>
                <w:sz w:val="18"/>
              </w:rPr>
              <w:t>resources</w:t>
            </w:r>
            <w:r>
              <w:rPr>
                <w:spacing w:val="-10"/>
                <w:sz w:val="18"/>
              </w:rPr>
              <w:t xml:space="preserve"> </w:t>
            </w:r>
            <w:r>
              <w:rPr>
                <w:sz w:val="18"/>
              </w:rPr>
              <w:t>and</w:t>
            </w:r>
            <w:r>
              <w:rPr>
                <w:spacing w:val="-9"/>
                <w:sz w:val="18"/>
              </w:rPr>
              <w:t xml:space="preserve"> </w:t>
            </w:r>
            <w:r>
              <w:rPr>
                <w:sz w:val="18"/>
              </w:rPr>
              <w:t>differences</w:t>
            </w:r>
            <w:r>
              <w:rPr>
                <w:spacing w:val="-10"/>
                <w:sz w:val="18"/>
              </w:rPr>
              <w:t xml:space="preserve"> </w:t>
            </w:r>
            <w:r>
              <w:rPr>
                <w:sz w:val="18"/>
              </w:rPr>
              <w:t>in</w:t>
            </w:r>
            <w:r>
              <w:rPr>
                <w:spacing w:val="-10"/>
                <w:sz w:val="18"/>
              </w:rPr>
              <w:t xml:space="preserve"> </w:t>
            </w:r>
            <w:r>
              <w:rPr>
                <w:sz w:val="18"/>
              </w:rPr>
              <w:t>capacity</w:t>
            </w:r>
            <w:r>
              <w:rPr>
                <w:spacing w:val="-10"/>
                <w:sz w:val="18"/>
              </w:rPr>
              <w:t xml:space="preserve"> </w:t>
            </w:r>
            <w:r>
              <w:rPr>
                <w:sz w:val="18"/>
              </w:rPr>
              <w:t>across</w:t>
            </w:r>
            <w:r>
              <w:rPr>
                <w:spacing w:val="-7"/>
                <w:sz w:val="18"/>
              </w:rPr>
              <w:t xml:space="preserve"> </w:t>
            </w:r>
            <w:r>
              <w:rPr>
                <w:sz w:val="18"/>
              </w:rPr>
              <w:t>regions.</w:t>
            </w:r>
            <w:r>
              <w:rPr>
                <w:spacing w:val="-10"/>
                <w:sz w:val="18"/>
              </w:rPr>
              <w:t xml:space="preserve"> </w:t>
            </w:r>
            <w:r>
              <w:rPr>
                <w:sz w:val="18"/>
              </w:rPr>
              <w:t>While</w:t>
            </w:r>
            <w:r>
              <w:rPr>
                <w:spacing w:val="-10"/>
                <w:sz w:val="18"/>
              </w:rPr>
              <w:t xml:space="preserve"> </w:t>
            </w:r>
            <w:r>
              <w:rPr>
                <w:sz w:val="18"/>
              </w:rPr>
              <w:t>provincial-level</w:t>
            </w:r>
            <w:r>
              <w:rPr>
                <w:spacing w:val="-9"/>
                <w:sz w:val="18"/>
              </w:rPr>
              <w:t xml:space="preserve"> </w:t>
            </w:r>
            <w:r>
              <w:rPr>
                <w:sz w:val="18"/>
              </w:rPr>
              <w:t>MSS reporting has begun to improve, consistency and timeliness of</w:t>
            </w:r>
            <w:r>
              <w:rPr>
                <w:spacing w:val="-1"/>
                <w:sz w:val="18"/>
              </w:rPr>
              <w:t xml:space="preserve"> </w:t>
            </w:r>
            <w:r>
              <w:rPr>
                <w:sz w:val="18"/>
              </w:rPr>
              <w:t>reporting at the district/city level have not yet been fully achieved.</w:t>
            </w:r>
          </w:p>
          <w:p w14:paraId="640A2D48" w14:textId="77777777" w:rsidR="00BC24A8" w:rsidRDefault="00000000">
            <w:pPr>
              <w:pStyle w:val="TableParagraph"/>
              <w:spacing w:before="120"/>
              <w:ind w:left="113" w:right="105" w:hanging="1"/>
              <w:jc w:val="both"/>
              <w:rPr>
                <w:sz w:val="18"/>
              </w:rPr>
            </w:pPr>
            <w:r>
              <w:rPr>
                <w:sz w:val="18"/>
              </w:rPr>
              <w:t>To replicate this practice effectively, structured follow-up mechanisms—such as regular monitoring and</w:t>
            </w:r>
            <w:r>
              <w:rPr>
                <w:spacing w:val="-8"/>
                <w:sz w:val="18"/>
              </w:rPr>
              <w:t xml:space="preserve"> </w:t>
            </w:r>
            <w:r>
              <w:rPr>
                <w:sz w:val="18"/>
              </w:rPr>
              <w:t>additional</w:t>
            </w:r>
            <w:r>
              <w:rPr>
                <w:spacing w:val="-7"/>
                <w:sz w:val="18"/>
              </w:rPr>
              <w:t xml:space="preserve"> </w:t>
            </w:r>
            <w:r>
              <w:rPr>
                <w:sz w:val="18"/>
              </w:rPr>
              <w:t>technical</w:t>
            </w:r>
            <w:r>
              <w:rPr>
                <w:spacing w:val="-7"/>
                <w:sz w:val="18"/>
              </w:rPr>
              <w:t xml:space="preserve"> </w:t>
            </w:r>
            <w:r>
              <w:rPr>
                <w:sz w:val="18"/>
              </w:rPr>
              <w:t>support—are</w:t>
            </w:r>
            <w:r>
              <w:rPr>
                <w:spacing w:val="-8"/>
                <w:sz w:val="18"/>
              </w:rPr>
              <w:t xml:space="preserve"> </w:t>
            </w:r>
            <w:r>
              <w:rPr>
                <w:sz w:val="18"/>
              </w:rPr>
              <w:t>needed</w:t>
            </w:r>
            <w:r>
              <w:rPr>
                <w:spacing w:val="-8"/>
                <w:sz w:val="18"/>
              </w:rPr>
              <w:t xml:space="preserve"> </w:t>
            </w:r>
            <w:r>
              <w:rPr>
                <w:sz w:val="18"/>
              </w:rPr>
              <w:t>to</w:t>
            </w:r>
            <w:r>
              <w:rPr>
                <w:spacing w:val="-8"/>
                <w:sz w:val="18"/>
              </w:rPr>
              <w:t xml:space="preserve"> </w:t>
            </w:r>
            <w:r>
              <w:rPr>
                <w:sz w:val="18"/>
              </w:rPr>
              <w:t>ensure</w:t>
            </w:r>
            <w:r>
              <w:rPr>
                <w:spacing w:val="-8"/>
                <w:sz w:val="18"/>
              </w:rPr>
              <w:t xml:space="preserve"> </w:t>
            </w:r>
            <w:r>
              <w:rPr>
                <w:sz w:val="18"/>
              </w:rPr>
              <w:t>that</w:t>
            </w:r>
            <w:r>
              <w:rPr>
                <w:spacing w:val="-7"/>
                <w:sz w:val="18"/>
              </w:rPr>
              <w:t xml:space="preserve"> </w:t>
            </w:r>
            <w:r>
              <w:rPr>
                <w:sz w:val="18"/>
              </w:rPr>
              <w:t>the</w:t>
            </w:r>
            <w:r>
              <w:rPr>
                <w:spacing w:val="-8"/>
                <w:sz w:val="18"/>
              </w:rPr>
              <w:t xml:space="preserve"> </w:t>
            </w:r>
            <w:r>
              <w:rPr>
                <w:sz w:val="18"/>
              </w:rPr>
              <w:t>results</w:t>
            </w:r>
            <w:r>
              <w:rPr>
                <w:spacing w:val="-8"/>
                <w:sz w:val="18"/>
              </w:rPr>
              <w:t xml:space="preserve"> </w:t>
            </w:r>
            <w:r>
              <w:rPr>
                <w:sz w:val="18"/>
              </w:rPr>
              <w:t>of</w:t>
            </w:r>
            <w:r>
              <w:rPr>
                <w:spacing w:val="-9"/>
                <w:sz w:val="18"/>
              </w:rPr>
              <w:t xml:space="preserve"> </w:t>
            </w:r>
            <w:r>
              <w:rPr>
                <w:sz w:val="18"/>
              </w:rPr>
              <w:t>monitoring</w:t>
            </w:r>
            <w:r>
              <w:rPr>
                <w:spacing w:val="-9"/>
                <w:sz w:val="18"/>
              </w:rPr>
              <w:t xml:space="preserve"> </w:t>
            </w:r>
            <w:r>
              <w:rPr>
                <w:sz w:val="18"/>
              </w:rPr>
              <w:t>and</w:t>
            </w:r>
            <w:r>
              <w:rPr>
                <w:spacing w:val="-8"/>
                <w:sz w:val="18"/>
              </w:rPr>
              <w:t xml:space="preserve"> </w:t>
            </w:r>
            <w:r>
              <w:rPr>
                <w:sz w:val="18"/>
              </w:rPr>
              <w:t>supervision visits are fully utilised.</w:t>
            </w:r>
          </w:p>
        </w:tc>
      </w:tr>
      <w:tr w:rsidR="00BC24A8" w14:paraId="0F3DDA3C" w14:textId="77777777">
        <w:trPr>
          <w:trHeight w:val="1331"/>
        </w:trPr>
        <w:tc>
          <w:tcPr>
            <w:tcW w:w="1531" w:type="dxa"/>
            <w:tcBorders>
              <w:top w:val="single" w:sz="4" w:space="0" w:color="BEBEBE"/>
              <w:bottom w:val="single" w:sz="4" w:space="0" w:color="BEBEBE"/>
            </w:tcBorders>
          </w:tcPr>
          <w:p w14:paraId="18008B00" w14:textId="77777777" w:rsidR="00BC24A8" w:rsidRDefault="00000000">
            <w:pPr>
              <w:pStyle w:val="TableParagraph"/>
              <w:spacing w:before="56"/>
              <w:ind w:left="115" w:right="300"/>
              <w:rPr>
                <w:sz w:val="18"/>
              </w:rPr>
            </w:pPr>
            <w:r>
              <w:rPr>
                <w:sz w:val="18"/>
              </w:rPr>
              <w:t>Participation</w:t>
            </w:r>
            <w:r>
              <w:rPr>
                <w:spacing w:val="-11"/>
                <w:sz w:val="18"/>
              </w:rPr>
              <w:t xml:space="preserve"> </w:t>
            </w:r>
            <w:r>
              <w:rPr>
                <w:sz w:val="18"/>
              </w:rPr>
              <w:t xml:space="preserve">of </w:t>
            </w:r>
            <w:r>
              <w:rPr>
                <w:spacing w:val="-2"/>
                <w:sz w:val="18"/>
              </w:rPr>
              <w:t>Vulnerable</w:t>
            </w:r>
            <w:r>
              <w:rPr>
                <w:sz w:val="18"/>
              </w:rPr>
              <w:t xml:space="preserve"> </w:t>
            </w:r>
            <w:r>
              <w:rPr>
                <w:spacing w:val="-2"/>
                <w:sz w:val="18"/>
              </w:rPr>
              <w:t>Groups</w:t>
            </w:r>
          </w:p>
        </w:tc>
        <w:tc>
          <w:tcPr>
            <w:tcW w:w="7568" w:type="dxa"/>
            <w:tcBorders>
              <w:top w:val="single" w:sz="4" w:space="0" w:color="BEBEBE"/>
              <w:bottom w:val="single" w:sz="4" w:space="0" w:color="BEBEBE"/>
            </w:tcBorders>
          </w:tcPr>
          <w:p w14:paraId="67E13C5D" w14:textId="77777777" w:rsidR="00BC24A8" w:rsidRDefault="00000000">
            <w:pPr>
              <w:pStyle w:val="TableParagraph"/>
              <w:spacing w:before="56"/>
              <w:ind w:left="113" w:right="106"/>
              <w:jc w:val="both"/>
              <w:rPr>
                <w:sz w:val="18"/>
              </w:rPr>
            </w:pPr>
            <w:r>
              <w:rPr>
                <w:sz w:val="18"/>
              </w:rPr>
              <w:t xml:space="preserve">The Thematic </w:t>
            </w:r>
            <w:r>
              <w:rPr>
                <w:i/>
                <w:sz w:val="18"/>
              </w:rPr>
              <w:t xml:space="preserve">Musrenbang </w:t>
            </w:r>
            <w:r>
              <w:rPr>
                <w:sz w:val="18"/>
              </w:rPr>
              <w:t>and participatory preparation of the persons with disability action plan serve as examples of inclusive and contextually relevant policy products resulting from collaborative work among multiple stakeholders, including the participation of vulnerable groups.</w:t>
            </w:r>
          </w:p>
          <w:p w14:paraId="46D5B2EC" w14:textId="77777777" w:rsidR="00BC24A8" w:rsidRDefault="00000000">
            <w:pPr>
              <w:pStyle w:val="TableParagraph"/>
              <w:spacing w:before="121"/>
              <w:ind w:left="113" w:right="106"/>
              <w:jc w:val="both"/>
              <w:rPr>
                <w:sz w:val="18"/>
              </w:rPr>
            </w:pPr>
            <w:r>
              <w:rPr>
                <w:sz w:val="18"/>
              </w:rPr>
              <w:t>However,</w:t>
            </w:r>
            <w:r>
              <w:rPr>
                <w:spacing w:val="-9"/>
                <w:sz w:val="18"/>
              </w:rPr>
              <w:t xml:space="preserve"> </w:t>
            </w:r>
            <w:r>
              <w:rPr>
                <w:sz w:val="18"/>
              </w:rPr>
              <w:t>limited</w:t>
            </w:r>
            <w:r>
              <w:rPr>
                <w:spacing w:val="-8"/>
                <w:sz w:val="18"/>
              </w:rPr>
              <w:t xml:space="preserve"> </w:t>
            </w:r>
            <w:r>
              <w:rPr>
                <w:sz w:val="18"/>
              </w:rPr>
              <w:t>access</w:t>
            </w:r>
            <w:r>
              <w:rPr>
                <w:spacing w:val="-8"/>
                <w:sz w:val="18"/>
              </w:rPr>
              <w:t xml:space="preserve"> </w:t>
            </w:r>
            <w:r>
              <w:rPr>
                <w:sz w:val="18"/>
              </w:rPr>
              <w:t>to</w:t>
            </w:r>
            <w:r>
              <w:rPr>
                <w:spacing w:val="-8"/>
                <w:sz w:val="18"/>
              </w:rPr>
              <w:t xml:space="preserve"> </w:t>
            </w:r>
            <w:r>
              <w:rPr>
                <w:sz w:val="18"/>
              </w:rPr>
              <w:t>information,</w:t>
            </w:r>
            <w:r>
              <w:rPr>
                <w:spacing w:val="-9"/>
                <w:sz w:val="18"/>
              </w:rPr>
              <w:t xml:space="preserve"> </w:t>
            </w:r>
            <w:r>
              <w:rPr>
                <w:sz w:val="18"/>
              </w:rPr>
              <w:t>technical</w:t>
            </w:r>
            <w:r>
              <w:rPr>
                <w:spacing w:val="-7"/>
                <w:sz w:val="18"/>
              </w:rPr>
              <w:t xml:space="preserve"> </w:t>
            </w:r>
            <w:r>
              <w:rPr>
                <w:sz w:val="18"/>
              </w:rPr>
              <w:t>support,</w:t>
            </w:r>
            <w:r>
              <w:rPr>
                <w:spacing w:val="-9"/>
                <w:sz w:val="18"/>
              </w:rPr>
              <w:t xml:space="preserve"> </w:t>
            </w:r>
            <w:r>
              <w:rPr>
                <w:sz w:val="18"/>
              </w:rPr>
              <w:t>and</w:t>
            </w:r>
            <w:r>
              <w:rPr>
                <w:spacing w:val="-8"/>
                <w:sz w:val="18"/>
              </w:rPr>
              <w:t xml:space="preserve"> </w:t>
            </w:r>
            <w:r>
              <w:rPr>
                <w:sz w:val="18"/>
              </w:rPr>
              <w:t>capacity-building</w:t>
            </w:r>
            <w:r>
              <w:rPr>
                <w:spacing w:val="-9"/>
                <w:sz w:val="18"/>
              </w:rPr>
              <w:t xml:space="preserve"> </w:t>
            </w:r>
            <w:r>
              <w:rPr>
                <w:sz w:val="18"/>
              </w:rPr>
              <w:t>for</w:t>
            </w:r>
            <w:r>
              <w:rPr>
                <w:spacing w:val="-8"/>
                <w:sz w:val="18"/>
              </w:rPr>
              <w:t xml:space="preserve"> </w:t>
            </w:r>
            <w:r>
              <w:rPr>
                <w:sz w:val="18"/>
              </w:rPr>
              <w:t>vulnerable</w:t>
            </w:r>
            <w:r>
              <w:rPr>
                <w:spacing w:val="-8"/>
                <w:sz w:val="18"/>
              </w:rPr>
              <w:t xml:space="preserve"> </w:t>
            </w:r>
            <w:r>
              <w:rPr>
                <w:sz w:val="18"/>
              </w:rPr>
              <w:t>groups means</w:t>
            </w:r>
            <w:r>
              <w:rPr>
                <w:spacing w:val="-13"/>
                <w:sz w:val="18"/>
              </w:rPr>
              <w:t xml:space="preserve"> </w:t>
            </w:r>
            <w:r>
              <w:rPr>
                <w:sz w:val="18"/>
              </w:rPr>
              <w:t>their</w:t>
            </w:r>
            <w:r>
              <w:rPr>
                <w:spacing w:val="-10"/>
                <w:sz w:val="18"/>
              </w:rPr>
              <w:t xml:space="preserve"> </w:t>
            </w:r>
            <w:r>
              <w:rPr>
                <w:sz w:val="18"/>
              </w:rPr>
              <w:t>participation</w:t>
            </w:r>
            <w:r>
              <w:rPr>
                <w:spacing w:val="-10"/>
                <w:sz w:val="18"/>
              </w:rPr>
              <w:t xml:space="preserve"> </w:t>
            </w:r>
            <w:r>
              <w:rPr>
                <w:sz w:val="18"/>
              </w:rPr>
              <w:t>remains</w:t>
            </w:r>
            <w:r>
              <w:rPr>
                <w:spacing w:val="-10"/>
                <w:sz w:val="18"/>
              </w:rPr>
              <w:t xml:space="preserve"> </w:t>
            </w:r>
            <w:r>
              <w:rPr>
                <w:sz w:val="18"/>
              </w:rPr>
              <w:t>largely</w:t>
            </w:r>
            <w:r>
              <w:rPr>
                <w:spacing w:val="-10"/>
                <w:sz w:val="18"/>
              </w:rPr>
              <w:t xml:space="preserve"> </w:t>
            </w:r>
            <w:r>
              <w:rPr>
                <w:sz w:val="18"/>
              </w:rPr>
              <w:t>symbolic.</w:t>
            </w:r>
            <w:r>
              <w:rPr>
                <w:spacing w:val="-11"/>
                <w:sz w:val="18"/>
              </w:rPr>
              <w:t xml:space="preserve"> </w:t>
            </w:r>
            <w:r>
              <w:rPr>
                <w:sz w:val="18"/>
              </w:rPr>
              <w:t>Replicating</w:t>
            </w:r>
            <w:r>
              <w:rPr>
                <w:spacing w:val="-10"/>
                <w:sz w:val="18"/>
              </w:rPr>
              <w:t xml:space="preserve"> </w:t>
            </w:r>
            <w:r>
              <w:rPr>
                <w:sz w:val="18"/>
              </w:rPr>
              <w:t>and</w:t>
            </w:r>
            <w:r>
              <w:rPr>
                <w:spacing w:val="-10"/>
                <w:sz w:val="18"/>
              </w:rPr>
              <w:t xml:space="preserve"> </w:t>
            </w:r>
            <w:r>
              <w:rPr>
                <w:sz w:val="18"/>
              </w:rPr>
              <w:t>sustaining</w:t>
            </w:r>
            <w:r>
              <w:rPr>
                <w:spacing w:val="-10"/>
                <w:sz w:val="18"/>
              </w:rPr>
              <w:t xml:space="preserve"> </w:t>
            </w:r>
            <w:r>
              <w:rPr>
                <w:sz w:val="18"/>
              </w:rPr>
              <w:t>meaningful</w:t>
            </w:r>
            <w:r>
              <w:rPr>
                <w:spacing w:val="-8"/>
                <w:sz w:val="18"/>
              </w:rPr>
              <w:t xml:space="preserve"> </w:t>
            </w:r>
            <w:r>
              <w:rPr>
                <w:spacing w:val="-2"/>
                <w:sz w:val="18"/>
              </w:rPr>
              <w:t>participation</w:t>
            </w:r>
          </w:p>
        </w:tc>
      </w:tr>
    </w:tbl>
    <w:p w14:paraId="52E9E2BF" w14:textId="77777777" w:rsidR="00BC24A8" w:rsidRDefault="00BC24A8">
      <w:pPr>
        <w:pStyle w:val="TableParagraph"/>
        <w:jc w:val="both"/>
        <w:rPr>
          <w:sz w:val="18"/>
        </w:rPr>
        <w:sectPr w:rsidR="00BC24A8">
          <w:pgSz w:w="11910" w:h="16840"/>
          <w:pgMar w:top="1360" w:right="850" w:bottom="1100" w:left="1275" w:header="0" w:footer="907" w:gutter="0"/>
          <w:cols w:space="720"/>
        </w:sectPr>
      </w:pPr>
    </w:p>
    <w:p w14:paraId="71ACA701" w14:textId="77777777" w:rsidR="00BC24A8" w:rsidRDefault="00000000">
      <w:pPr>
        <w:pStyle w:val="BodyText"/>
        <w:spacing w:line="20" w:lineRule="exact"/>
        <w:ind w:left="143"/>
        <w:rPr>
          <w:rFonts w:ascii="Calibri"/>
          <w:sz w:val="2"/>
        </w:rPr>
      </w:pPr>
      <w:r>
        <w:rPr>
          <w:rFonts w:ascii="Calibri"/>
          <w:noProof/>
          <w:sz w:val="2"/>
        </w:rPr>
        <w:lastRenderedPageBreak/>
        <mc:AlternateContent>
          <mc:Choice Requires="wpg">
            <w:drawing>
              <wp:inline distT="0" distB="0" distL="0" distR="0" wp14:anchorId="6CB71B56" wp14:editId="44C2E958">
                <wp:extent cx="5773420" cy="6350"/>
                <wp:effectExtent l="0" t="0" r="0" b="0"/>
                <wp:docPr id="98" name="Group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6350"/>
                          <a:chOff x="0" y="0"/>
                          <a:chExt cx="5773420" cy="6350"/>
                        </a:xfrm>
                      </wpg:grpSpPr>
                      <wps:wsp>
                        <wps:cNvPr id="99" name="Graphic 99"/>
                        <wps:cNvSpPr/>
                        <wps:spPr>
                          <a:xfrm>
                            <a:off x="0" y="0"/>
                            <a:ext cx="5773420" cy="6350"/>
                          </a:xfrm>
                          <a:custGeom>
                            <a:avLst/>
                            <a:gdLst/>
                            <a:ahLst/>
                            <a:cxnLst/>
                            <a:rect l="l" t="t" r="r" b="b"/>
                            <a:pathLst>
                              <a:path w="5773420" h="6350">
                                <a:moveTo>
                                  <a:pt x="978395" y="0"/>
                                </a:moveTo>
                                <a:lnTo>
                                  <a:pt x="972312" y="0"/>
                                </a:lnTo>
                                <a:lnTo>
                                  <a:pt x="0" y="0"/>
                                </a:lnTo>
                                <a:lnTo>
                                  <a:pt x="0" y="6108"/>
                                </a:lnTo>
                                <a:lnTo>
                                  <a:pt x="972312" y="6108"/>
                                </a:lnTo>
                                <a:lnTo>
                                  <a:pt x="978395" y="6108"/>
                                </a:lnTo>
                                <a:lnTo>
                                  <a:pt x="978395" y="0"/>
                                </a:lnTo>
                                <a:close/>
                              </a:path>
                              <a:path w="5773420" h="6350">
                                <a:moveTo>
                                  <a:pt x="5772912" y="0"/>
                                </a:moveTo>
                                <a:lnTo>
                                  <a:pt x="978408" y="0"/>
                                </a:lnTo>
                                <a:lnTo>
                                  <a:pt x="978408" y="6108"/>
                                </a:lnTo>
                                <a:lnTo>
                                  <a:pt x="5772912" y="6108"/>
                                </a:lnTo>
                                <a:lnTo>
                                  <a:pt x="5772912" y="0"/>
                                </a:lnTo>
                                <a:close/>
                              </a:path>
                            </a:pathLst>
                          </a:custGeom>
                          <a:solidFill>
                            <a:srgbClr val="BEBEBE"/>
                          </a:solidFill>
                        </wps:spPr>
                        <wps:bodyPr wrap="square" lIns="0" tIns="0" rIns="0" bIns="0" rtlCol="0">
                          <a:prstTxWarp prst="textNoShape">
                            <a:avLst/>
                          </a:prstTxWarp>
                          <a:noAutofit/>
                        </wps:bodyPr>
                      </wps:wsp>
                    </wpg:wgp>
                  </a:graphicData>
                </a:graphic>
              </wp:inline>
            </w:drawing>
          </mc:Choice>
          <mc:Fallback>
            <w:pict>
              <v:group w14:anchorId="3526B2F5" id="Group 98" o:spid="_x0000_s1026" alt="&quot;&quot;" style="width:454.6pt;height:.5pt;mso-position-horizontal-relative:char;mso-position-vertical-relative:line" coordsize="577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">
                <v:shape id="Graphic 99" o:spid="_x0000_s1027" style="position:absolute;width:57734;height:63;visibility:visible;mso-wrap-style:square;v-text-anchor:top" coordsize="57734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" path="m978395,r-6083,l,,,6108r972312,l978395,6108r,-6108xem5772912,l978408,r,6108l5772912,6108r,-6108xe" fillcolor="#bebebe" stroked="f">
                  <v:path arrowok="t"/>
                </v:shape>
                <w10:anchorlock/>
              </v:group>
            </w:pict>
          </mc:Fallback>
        </mc:AlternateContent>
      </w:r>
    </w:p>
    <w:p w14:paraId="078FC79B" w14:textId="77777777" w:rsidR="00BC24A8" w:rsidRDefault="00000000">
      <w:pPr>
        <w:spacing w:before="46"/>
        <w:ind w:left="1780" w:right="648"/>
        <w:rPr>
          <w:sz w:val="18"/>
        </w:rPr>
      </w:pPr>
      <w:r>
        <w:rPr>
          <w:sz w:val="18"/>
        </w:rPr>
        <w:t>of</w:t>
      </w:r>
      <w:r>
        <w:rPr>
          <w:spacing w:val="20"/>
          <w:sz w:val="18"/>
        </w:rPr>
        <w:t xml:space="preserve"> </w:t>
      </w:r>
      <w:r>
        <w:rPr>
          <w:sz w:val="18"/>
        </w:rPr>
        <w:t>these</w:t>
      </w:r>
      <w:r>
        <w:rPr>
          <w:spacing w:val="21"/>
          <w:sz w:val="18"/>
        </w:rPr>
        <w:t xml:space="preserve"> </w:t>
      </w:r>
      <w:r>
        <w:rPr>
          <w:sz w:val="18"/>
        </w:rPr>
        <w:t>groups</w:t>
      </w:r>
      <w:r>
        <w:rPr>
          <w:spacing w:val="21"/>
          <w:sz w:val="18"/>
        </w:rPr>
        <w:t xml:space="preserve"> </w:t>
      </w:r>
      <w:r>
        <w:rPr>
          <w:sz w:val="18"/>
        </w:rPr>
        <w:t>requires</w:t>
      </w:r>
      <w:r>
        <w:rPr>
          <w:spacing w:val="21"/>
          <w:sz w:val="18"/>
        </w:rPr>
        <w:t xml:space="preserve"> </w:t>
      </w:r>
      <w:r>
        <w:rPr>
          <w:sz w:val="18"/>
        </w:rPr>
        <w:t>ongoing,</w:t>
      </w:r>
      <w:r>
        <w:rPr>
          <w:spacing w:val="20"/>
          <w:sz w:val="18"/>
        </w:rPr>
        <w:t xml:space="preserve"> </w:t>
      </w:r>
      <w:r>
        <w:rPr>
          <w:sz w:val="18"/>
        </w:rPr>
        <w:t>policy-based</w:t>
      </w:r>
      <w:r>
        <w:rPr>
          <w:spacing w:val="21"/>
          <w:sz w:val="18"/>
        </w:rPr>
        <w:t xml:space="preserve"> </w:t>
      </w:r>
      <w:r>
        <w:rPr>
          <w:sz w:val="18"/>
        </w:rPr>
        <w:t>interventions</w:t>
      </w:r>
      <w:r>
        <w:rPr>
          <w:spacing w:val="21"/>
          <w:sz w:val="18"/>
        </w:rPr>
        <w:t xml:space="preserve"> </w:t>
      </w:r>
      <w:r>
        <w:rPr>
          <w:sz w:val="18"/>
        </w:rPr>
        <w:t>to build</w:t>
      </w:r>
      <w:r>
        <w:rPr>
          <w:spacing w:val="21"/>
          <w:sz w:val="18"/>
        </w:rPr>
        <w:t xml:space="preserve"> </w:t>
      </w:r>
      <w:r>
        <w:rPr>
          <w:sz w:val="18"/>
        </w:rPr>
        <w:t>capacity,</w:t>
      </w:r>
      <w:r>
        <w:rPr>
          <w:spacing w:val="20"/>
          <w:sz w:val="18"/>
        </w:rPr>
        <w:t xml:space="preserve"> </w:t>
      </w:r>
      <w:r>
        <w:rPr>
          <w:sz w:val="18"/>
        </w:rPr>
        <w:t>ensure</w:t>
      </w:r>
      <w:r>
        <w:rPr>
          <w:spacing w:val="21"/>
          <w:sz w:val="18"/>
        </w:rPr>
        <w:t xml:space="preserve"> </w:t>
      </w:r>
      <w:r>
        <w:rPr>
          <w:sz w:val="18"/>
        </w:rPr>
        <w:t>access,</w:t>
      </w:r>
      <w:r>
        <w:rPr>
          <w:spacing w:val="20"/>
          <w:sz w:val="18"/>
        </w:rPr>
        <w:t xml:space="preserve"> </w:t>
      </w:r>
      <w:r>
        <w:rPr>
          <w:sz w:val="18"/>
        </w:rPr>
        <w:t>and guarantee that their voices are heard.</w:t>
      </w:r>
    </w:p>
    <w:p w14:paraId="31E92AB3" w14:textId="77777777" w:rsidR="00BC24A8" w:rsidRDefault="00000000">
      <w:pPr>
        <w:pStyle w:val="BodyText"/>
        <w:spacing w:before="8"/>
        <w:rPr>
          <w:sz w:val="12"/>
        </w:rPr>
      </w:pPr>
      <w:r>
        <w:rPr>
          <w:noProof/>
          <w:sz w:val="12"/>
        </w:rPr>
        <mc:AlternateContent>
          <mc:Choice Requires="wps">
            <w:drawing>
              <wp:anchor distT="0" distB="0" distL="0" distR="0" simplePos="0" relativeHeight="487609344" behindDoc="1" locked="0" layoutInCell="1" allowOverlap="1" wp14:anchorId="773BBB94" wp14:editId="047EAE5D">
                <wp:simplePos x="0" y="0"/>
                <wp:positionH relativeFrom="page">
                  <wp:posOffset>891540</wp:posOffset>
                </wp:positionH>
                <wp:positionV relativeFrom="paragraph">
                  <wp:posOffset>113364</wp:posOffset>
                </wp:positionV>
                <wp:extent cx="5782310" cy="6350"/>
                <wp:effectExtent l="0" t="0" r="0" b="0"/>
                <wp:wrapTopAndBottom/>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6350"/>
                        </a:xfrm>
                        <a:custGeom>
                          <a:avLst/>
                          <a:gdLst/>
                          <a:ahLst/>
                          <a:cxnLst/>
                          <a:rect l="l" t="t" r="r" b="b"/>
                          <a:pathLst>
                            <a:path w="5782310" h="6350">
                              <a:moveTo>
                                <a:pt x="5782056" y="0"/>
                              </a:moveTo>
                              <a:lnTo>
                                <a:pt x="5782056" y="0"/>
                              </a:lnTo>
                              <a:lnTo>
                                <a:pt x="0" y="0"/>
                              </a:lnTo>
                              <a:lnTo>
                                <a:pt x="0" y="6108"/>
                              </a:lnTo>
                              <a:lnTo>
                                <a:pt x="5782056" y="6108"/>
                              </a:lnTo>
                              <a:lnTo>
                                <a:pt x="578205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796B2E18" id="Graphic 100" o:spid="_x0000_s1026" alt="&quot;&quot;" style="position:absolute;margin-left:70.2pt;margin-top:8.95pt;width:455.3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57823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" path="m5782056,r,l,,,6108r5782056,l5782056,xe" fillcolor="#bebebe" stroked="f">
                <v:path arrowok="t"/>
                <w10:wrap type="topAndBottom" anchorx="page"/>
              </v:shape>
            </w:pict>
          </mc:Fallback>
        </mc:AlternateContent>
      </w:r>
    </w:p>
    <w:p w14:paraId="5917E101" w14:textId="77777777" w:rsidR="00BC24A8" w:rsidRDefault="00BC24A8">
      <w:pPr>
        <w:pStyle w:val="BodyText"/>
        <w:spacing w:before="81"/>
      </w:pPr>
    </w:p>
    <w:p w14:paraId="041FC440" w14:textId="77777777" w:rsidR="00BC24A8" w:rsidRDefault="00000000">
      <w:pPr>
        <w:ind w:left="143"/>
        <w:rPr>
          <w:i/>
        </w:rPr>
      </w:pPr>
      <w:r>
        <w:rPr>
          <w:i/>
          <w:color w:val="1F3762"/>
        </w:rPr>
        <w:t>FY</w:t>
      </w:r>
      <w:r>
        <w:rPr>
          <w:i/>
          <w:color w:val="1F3762"/>
          <w:spacing w:val="-6"/>
        </w:rPr>
        <w:t xml:space="preserve"> </w:t>
      </w:r>
      <w:r>
        <w:rPr>
          <w:i/>
          <w:color w:val="1F3762"/>
        </w:rPr>
        <w:t>2025/2026</w:t>
      </w:r>
      <w:r>
        <w:rPr>
          <w:i/>
          <w:color w:val="1F3762"/>
          <w:spacing w:val="-5"/>
        </w:rPr>
        <w:t xml:space="preserve"> </w:t>
      </w:r>
      <w:r>
        <w:rPr>
          <w:i/>
          <w:color w:val="1F3762"/>
        </w:rPr>
        <w:t>SKALA</w:t>
      </w:r>
      <w:r>
        <w:rPr>
          <w:i/>
          <w:color w:val="1F3762"/>
          <w:spacing w:val="-8"/>
        </w:rPr>
        <w:t xml:space="preserve"> </w:t>
      </w:r>
      <w:r>
        <w:rPr>
          <w:i/>
          <w:color w:val="1F3762"/>
        </w:rPr>
        <w:t>Program</w:t>
      </w:r>
      <w:r>
        <w:rPr>
          <w:i/>
          <w:color w:val="1F3762"/>
          <w:spacing w:val="-5"/>
        </w:rPr>
        <w:t xml:space="preserve"> </w:t>
      </w:r>
      <w:r>
        <w:rPr>
          <w:i/>
          <w:color w:val="1F3762"/>
          <w:spacing w:val="-2"/>
        </w:rPr>
        <w:t>Summary</w:t>
      </w:r>
    </w:p>
    <w:p w14:paraId="51B87968" w14:textId="77777777" w:rsidR="00BC24A8" w:rsidRDefault="00000000">
      <w:pPr>
        <w:pStyle w:val="ListParagraph"/>
        <w:numPr>
          <w:ilvl w:val="1"/>
          <w:numId w:val="118"/>
        </w:numPr>
        <w:tabs>
          <w:tab w:val="left" w:pos="683"/>
        </w:tabs>
        <w:spacing w:before="163"/>
        <w:ind w:hanging="631"/>
        <w:rPr>
          <w:rFonts w:ascii="Calibri"/>
          <w:b/>
        </w:rPr>
      </w:pPr>
      <w:r w:rsidRPr="00795364">
        <w:rPr>
          <w:rFonts w:ascii="Calibri"/>
          <w:b/>
          <w:color w:val="008279"/>
        </w:rPr>
        <w:t>Summary</w:t>
      </w:r>
      <w:r w:rsidRPr="00795364">
        <w:rPr>
          <w:rFonts w:ascii="Calibri"/>
          <w:b/>
          <w:color w:val="008279"/>
          <w:spacing w:val="-5"/>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intended</w:t>
      </w:r>
      <w:r w:rsidRPr="00795364">
        <w:rPr>
          <w:rFonts w:ascii="Calibri"/>
          <w:b/>
          <w:color w:val="008279"/>
          <w:spacing w:val="-6"/>
        </w:rPr>
        <w:t xml:space="preserve"> </w:t>
      </w:r>
      <w:r w:rsidRPr="00795364">
        <w:rPr>
          <w:rFonts w:ascii="Calibri"/>
          <w:b/>
          <w:color w:val="008279"/>
          <w:spacing w:val="-2"/>
        </w:rPr>
        <w:t>results</w:t>
      </w:r>
    </w:p>
    <w:p w14:paraId="2D16606D" w14:textId="77777777" w:rsidR="00BC24A8" w:rsidRDefault="00BC24A8">
      <w:pPr>
        <w:pStyle w:val="BodyText"/>
        <w:spacing w:before="2"/>
        <w:rPr>
          <w:rFonts w:ascii="Calibri"/>
          <w:b/>
          <w:sz w:val="19"/>
        </w:rPr>
      </w:pPr>
    </w:p>
    <w:tbl>
      <w:tblPr>
        <w:tblW w:w="0" w:type="auto"/>
        <w:tblInd w:w="143" w:type="dxa"/>
        <w:tblLayout w:type="fixed"/>
        <w:tblCellMar>
          <w:left w:w="0" w:type="dxa"/>
          <w:right w:w="0" w:type="dxa"/>
        </w:tblCellMar>
        <w:tblLook w:val="01E0" w:firstRow="1" w:lastRow="1" w:firstColumn="1" w:lastColumn="1" w:noHBand="0" w:noVBand="0"/>
      </w:tblPr>
      <w:tblGrid>
        <w:gridCol w:w="2084"/>
        <w:gridCol w:w="7015"/>
      </w:tblGrid>
      <w:tr w:rsidR="00BC24A8" w14:paraId="6094DF59" w14:textId="77777777">
        <w:trPr>
          <w:trHeight w:val="379"/>
        </w:trPr>
        <w:tc>
          <w:tcPr>
            <w:tcW w:w="2084" w:type="dxa"/>
            <w:shd w:val="clear" w:color="auto" w:fill="17365A"/>
          </w:tcPr>
          <w:p w14:paraId="4E7E00AD" w14:textId="77777777" w:rsidR="00BC24A8" w:rsidRDefault="00000000">
            <w:pPr>
              <w:pStyle w:val="TableParagraph"/>
              <w:spacing w:before="59"/>
              <w:ind w:left="115"/>
              <w:rPr>
                <w:rFonts w:ascii="Calibri"/>
                <w:b/>
                <w:sz w:val="20"/>
              </w:rPr>
            </w:pPr>
            <w:r>
              <w:rPr>
                <w:rFonts w:ascii="Calibri"/>
                <w:b/>
                <w:color w:val="FFFFFF"/>
                <w:spacing w:val="-2"/>
                <w:sz w:val="20"/>
              </w:rPr>
              <w:t>Narrative</w:t>
            </w:r>
          </w:p>
        </w:tc>
        <w:tc>
          <w:tcPr>
            <w:tcW w:w="7015" w:type="dxa"/>
            <w:shd w:val="clear" w:color="auto" w:fill="17365A"/>
          </w:tcPr>
          <w:p w14:paraId="52ECC6D6" w14:textId="77777777" w:rsidR="00BC24A8" w:rsidRDefault="00000000">
            <w:pPr>
              <w:pStyle w:val="TableParagraph"/>
              <w:spacing w:before="59"/>
              <w:ind w:left="124"/>
              <w:rPr>
                <w:rFonts w:ascii="Calibri"/>
                <w:b/>
                <w:sz w:val="20"/>
              </w:rPr>
            </w:pPr>
            <w:r>
              <w:rPr>
                <w:rFonts w:ascii="Calibri"/>
                <w:b/>
                <w:color w:val="FFFFFF"/>
                <w:sz w:val="20"/>
              </w:rPr>
              <w:t>Summary</w:t>
            </w:r>
            <w:r>
              <w:rPr>
                <w:rFonts w:ascii="Calibri"/>
                <w:b/>
                <w:color w:val="FFFFFF"/>
                <w:spacing w:val="-5"/>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key</w:t>
            </w:r>
            <w:r>
              <w:rPr>
                <w:rFonts w:ascii="Calibri"/>
                <w:b/>
                <w:color w:val="FFFFFF"/>
                <w:spacing w:val="-4"/>
                <w:sz w:val="20"/>
              </w:rPr>
              <w:t xml:space="preserve"> </w:t>
            </w:r>
            <w:r>
              <w:rPr>
                <w:rFonts w:ascii="Calibri"/>
                <w:b/>
                <w:color w:val="FFFFFF"/>
                <w:sz w:val="20"/>
              </w:rPr>
              <w:t>outputs</w:t>
            </w:r>
            <w:r>
              <w:rPr>
                <w:rFonts w:ascii="Calibri"/>
                <w:b/>
                <w:color w:val="FFFFFF"/>
                <w:spacing w:val="-4"/>
                <w:sz w:val="20"/>
              </w:rPr>
              <w:t xml:space="preserve"> </w:t>
            </w:r>
            <w:r>
              <w:rPr>
                <w:rFonts w:ascii="Calibri"/>
                <w:b/>
                <w:color w:val="FFFFFF"/>
                <w:sz w:val="20"/>
              </w:rPr>
              <w:t>to</w:t>
            </w:r>
            <w:r>
              <w:rPr>
                <w:rFonts w:ascii="Calibri"/>
                <w:b/>
                <w:color w:val="FFFFFF"/>
                <w:spacing w:val="-5"/>
                <w:sz w:val="20"/>
              </w:rPr>
              <w:t xml:space="preserve"> </w:t>
            </w:r>
            <w:r>
              <w:rPr>
                <w:rFonts w:ascii="Calibri"/>
                <w:b/>
                <w:color w:val="FFFFFF"/>
                <w:sz w:val="20"/>
              </w:rPr>
              <w:t>be</w:t>
            </w:r>
            <w:r>
              <w:rPr>
                <w:rFonts w:ascii="Calibri"/>
                <w:b/>
                <w:color w:val="FFFFFF"/>
                <w:spacing w:val="-4"/>
                <w:sz w:val="20"/>
              </w:rPr>
              <w:t xml:space="preserve"> </w:t>
            </w:r>
            <w:r>
              <w:rPr>
                <w:rFonts w:ascii="Calibri"/>
                <w:b/>
                <w:color w:val="FFFFFF"/>
                <w:sz w:val="20"/>
              </w:rPr>
              <w:t>delivered</w:t>
            </w:r>
            <w:r>
              <w:rPr>
                <w:rFonts w:ascii="Calibri"/>
                <w:b/>
                <w:color w:val="FFFFFF"/>
                <w:spacing w:val="-3"/>
                <w:sz w:val="20"/>
              </w:rPr>
              <w:t xml:space="preserve"> </w:t>
            </w:r>
            <w:r>
              <w:rPr>
                <w:rFonts w:ascii="Calibri"/>
                <w:b/>
                <w:color w:val="FFFFFF"/>
                <w:sz w:val="20"/>
              </w:rPr>
              <w:t>in</w:t>
            </w:r>
            <w:r>
              <w:rPr>
                <w:rFonts w:ascii="Calibri"/>
                <w:b/>
                <w:color w:val="FFFFFF"/>
                <w:spacing w:val="-3"/>
                <w:sz w:val="20"/>
              </w:rPr>
              <w:t xml:space="preserve"> </w:t>
            </w:r>
            <w:r>
              <w:rPr>
                <w:rFonts w:ascii="Calibri"/>
                <w:b/>
                <w:color w:val="FFFFFF"/>
                <w:sz w:val="20"/>
              </w:rPr>
              <w:t>order</w:t>
            </w:r>
            <w:r>
              <w:rPr>
                <w:rFonts w:ascii="Calibri"/>
                <w:b/>
                <w:color w:val="FFFFFF"/>
                <w:spacing w:val="-4"/>
                <w:sz w:val="20"/>
              </w:rPr>
              <w:t xml:space="preserve"> </w:t>
            </w:r>
            <w:r>
              <w:rPr>
                <w:rFonts w:ascii="Calibri"/>
                <w:b/>
                <w:color w:val="FFFFFF"/>
                <w:sz w:val="20"/>
              </w:rPr>
              <w:t>to</w:t>
            </w:r>
            <w:r>
              <w:rPr>
                <w:rFonts w:ascii="Calibri"/>
                <w:b/>
                <w:color w:val="FFFFFF"/>
                <w:spacing w:val="-3"/>
                <w:sz w:val="20"/>
              </w:rPr>
              <w:t xml:space="preserve"> </w:t>
            </w:r>
            <w:r>
              <w:rPr>
                <w:rFonts w:ascii="Calibri"/>
                <w:b/>
                <w:color w:val="FFFFFF"/>
                <w:sz w:val="20"/>
              </w:rPr>
              <w:t>achieve</w:t>
            </w:r>
            <w:r>
              <w:rPr>
                <w:rFonts w:ascii="Calibri"/>
                <w:b/>
                <w:color w:val="FFFFFF"/>
                <w:spacing w:val="-4"/>
                <w:sz w:val="20"/>
              </w:rPr>
              <w:t xml:space="preserve"> </w:t>
            </w:r>
            <w:r>
              <w:rPr>
                <w:rFonts w:ascii="Calibri"/>
                <w:b/>
                <w:color w:val="FFFFFF"/>
                <w:sz w:val="20"/>
              </w:rPr>
              <w:t>the</w:t>
            </w:r>
            <w:r>
              <w:rPr>
                <w:rFonts w:ascii="Calibri"/>
                <w:b/>
                <w:color w:val="FFFFFF"/>
                <w:spacing w:val="-3"/>
                <w:sz w:val="20"/>
              </w:rPr>
              <w:t xml:space="preserve"> </w:t>
            </w:r>
            <w:r>
              <w:rPr>
                <w:rFonts w:ascii="Calibri"/>
                <w:b/>
                <w:color w:val="FFFFFF"/>
                <w:spacing w:val="-2"/>
                <w:sz w:val="20"/>
              </w:rPr>
              <w:t>narrative</w:t>
            </w:r>
          </w:p>
        </w:tc>
      </w:tr>
      <w:tr w:rsidR="00BC24A8" w14:paraId="4D9C48EF" w14:textId="77777777">
        <w:trPr>
          <w:trHeight w:val="2695"/>
        </w:trPr>
        <w:tc>
          <w:tcPr>
            <w:tcW w:w="2084" w:type="dxa"/>
            <w:tcBorders>
              <w:bottom w:val="single" w:sz="4" w:space="0" w:color="BEBEBE"/>
            </w:tcBorders>
          </w:tcPr>
          <w:p w14:paraId="4A4950D8" w14:textId="77777777" w:rsidR="00BC24A8" w:rsidRDefault="00000000">
            <w:pPr>
              <w:pStyle w:val="TableParagraph"/>
              <w:spacing w:before="162"/>
              <w:ind w:left="115" w:right="109"/>
              <w:rPr>
                <w:sz w:val="18"/>
              </w:rPr>
            </w:pPr>
            <w:r>
              <w:rPr>
                <w:sz w:val="18"/>
              </w:rPr>
              <w:t xml:space="preserve">Develop and </w:t>
            </w:r>
            <w:r>
              <w:rPr>
                <w:spacing w:val="-2"/>
                <w:sz w:val="18"/>
              </w:rPr>
              <w:t>institutionalise</w:t>
            </w:r>
            <w:r>
              <w:rPr>
                <w:sz w:val="18"/>
              </w:rPr>
              <w:t xml:space="preserve"> consultation spaces and engagement</w:t>
            </w:r>
            <w:r>
              <w:rPr>
                <w:spacing w:val="-11"/>
                <w:sz w:val="18"/>
              </w:rPr>
              <w:t xml:space="preserve"> </w:t>
            </w:r>
            <w:r>
              <w:rPr>
                <w:sz w:val="18"/>
              </w:rPr>
              <w:t>mechanisms with vulnerable communities to promote more inclusive planning.</w:t>
            </w:r>
          </w:p>
        </w:tc>
        <w:tc>
          <w:tcPr>
            <w:tcW w:w="7015" w:type="dxa"/>
            <w:tcBorders>
              <w:bottom w:val="single" w:sz="4" w:space="0" w:color="BEBEBE"/>
            </w:tcBorders>
          </w:tcPr>
          <w:p w14:paraId="79AF3D71" w14:textId="77777777" w:rsidR="00BC24A8" w:rsidRDefault="00000000">
            <w:pPr>
              <w:pStyle w:val="TableParagraph"/>
              <w:spacing w:before="102"/>
              <w:ind w:left="124" w:right="212"/>
              <w:jc w:val="both"/>
              <w:rPr>
                <w:sz w:val="18"/>
              </w:rPr>
            </w:pPr>
            <w:r>
              <w:rPr>
                <w:sz w:val="18"/>
              </w:rPr>
              <w:t>Inclusive</w:t>
            </w:r>
            <w:r>
              <w:rPr>
                <w:spacing w:val="-4"/>
                <w:sz w:val="18"/>
              </w:rPr>
              <w:t xml:space="preserve"> </w:t>
            </w:r>
            <w:r>
              <w:rPr>
                <w:sz w:val="18"/>
              </w:rPr>
              <w:t>policy</w:t>
            </w:r>
            <w:r>
              <w:rPr>
                <w:spacing w:val="-4"/>
                <w:sz w:val="18"/>
              </w:rPr>
              <w:t xml:space="preserve"> </w:t>
            </w:r>
            <w:r>
              <w:rPr>
                <w:sz w:val="18"/>
              </w:rPr>
              <w:t>development</w:t>
            </w:r>
            <w:r>
              <w:rPr>
                <w:spacing w:val="-3"/>
                <w:sz w:val="18"/>
              </w:rPr>
              <w:t xml:space="preserve"> </w:t>
            </w:r>
            <w:r>
              <w:rPr>
                <w:sz w:val="18"/>
              </w:rPr>
              <w:t>will</w:t>
            </w:r>
            <w:r>
              <w:rPr>
                <w:spacing w:val="-6"/>
                <w:sz w:val="18"/>
              </w:rPr>
              <w:t xml:space="preserve"> </w:t>
            </w:r>
            <w:r>
              <w:rPr>
                <w:sz w:val="18"/>
              </w:rPr>
              <w:t>be</w:t>
            </w:r>
            <w:r>
              <w:rPr>
                <w:spacing w:val="-4"/>
                <w:sz w:val="18"/>
              </w:rPr>
              <w:t xml:space="preserve"> </w:t>
            </w:r>
            <w:r>
              <w:rPr>
                <w:sz w:val="18"/>
              </w:rPr>
              <w:t>advanced</w:t>
            </w:r>
            <w:r>
              <w:rPr>
                <w:spacing w:val="-4"/>
                <w:sz w:val="18"/>
              </w:rPr>
              <w:t xml:space="preserve"> </w:t>
            </w:r>
            <w:r>
              <w:rPr>
                <w:sz w:val="18"/>
              </w:rPr>
              <w:t>through</w:t>
            </w:r>
            <w:r>
              <w:rPr>
                <w:spacing w:val="-4"/>
                <w:sz w:val="18"/>
              </w:rPr>
              <w:t xml:space="preserve"> </w:t>
            </w:r>
            <w:r>
              <w:rPr>
                <w:sz w:val="18"/>
              </w:rPr>
              <w:t>the</w:t>
            </w:r>
            <w:r>
              <w:rPr>
                <w:spacing w:val="-4"/>
                <w:sz w:val="18"/>
              </w:rPr>
              <w:t xml:space="preserve"> </w:t>
            </w:r>
            <w:r>
              <w:rPr>
                <w:sz w:val="18"/>
              </w:rPr>
              <w:t>Gender</w:t>
            </w:r>
            <w:r>
              <w:rPr>
                <w:spacing w:val="-4"/>
                <w:sz w:val="18"/>
              </w:rPr>
              <w:t xml:space="preserve"> </w:t>
            </w:r>
            <w:r>
              <w:rPr>
                <w:sz w:val="18"/>
              </w:rPr>
              <w:t>Mainstreaming</w:t>
            </w:r>
            <w:r>
              <w:rPr>
                <w:spacing w:val="-5"/>
                <w:sz w:val="18"/>
              </w:rPr>
              <w:t xml:space="preserve"> </w:t>
            </w:r>
            <w:r>
              <w:rPr>
                <w:sz w:val="18"/>
              </w:rPr>
              <w:t>Technical Team</w:t>
            </w:r>
            <w:r>
              <w:rPr>
                <w:spacing w:val="-4"/>
                <w:sz w:val="18"/>
              </w:rPr>
              <w:t xml:space="preserve"> </w:t>
            </w:r>
            <w:r>
              <w:rPr>
                <w:sz w:val="18"/>
              </w:rPr>
              <w:t>(PUG),</w:t>
            </w:r>
            <w:r>
              <w:rPr>
                <w:spacing w:val="-4"/>
                <w:sz w:val="18"/>
              </w:rPr>
              <w:t xml:space="preserve"> </w:t>
            </w:r>
            <w:r>
              <w:rPr>
                <w:sz w:val="18"/>
              </w:rPr>
              <w:t>strengthened</w:t>
            </w:r>
            <w:r>
              <w:rPr>
                <w:spacing w:val="-3"/>
                <w:sz w:val="18"/>
              </w:rPr>
              <w:t xml:space="preserve"> </w:t>
            </w:r>
            <w:r>
              <w:rPr>
                <w:sz w:val="18"/>
              </w:rPr>
              <w:t>Musrenbang</w:t>
            </w:r>
            <w:r>
              <w:rPr>
                <w:spacing w:val="-4"/>
                <w:sz w:val="18"/>
              </w:rPr>
              <w:t xml:space="preserve"> </w:t>
            </w:r>
            <w:r>
              <w:rPr>
                <w:sz w:val="18"/>
              </w:rPr>
              <w:t>forums,</w:t>
            </w:r>
            <w:r>
              <w:rPr>
                <w:spacing w:val="-2"/>
                <w:sz w:val="18"/>
              </w:rPr>
              <w:t xml:space="preserve"> </w:t>
            </w:r>
            <w:r>
              <w:rPr>
                <w:sz w:val="18"/>
              </w:rPr>
              <w:t>and</w:t>
            </w:r>
            <w:r>
              <w:rPr>
                <w:spacing w:val="-3"/>
                <w:sz w:val="18"/>
              </w:rPr>
              <w:t xml:space="preserve"> </w:t>
            </w:r>
            <w:r>
              <w:rPr>
                <w:sz w:val="18"/>
              </w:rPr>
              <w:t>enhanced</w:t>
            </w:r>
            <w:r>
              <w:rPr>
                <w:spacing w:val="-3"/>
                <w:sz w:val="18"/>
              </w:rPr>
              <w:t xml:space="preserve"> </w:t>
            </w:r>
            <w:r>
              <w:rPr>
                <w:sz w:val="18"/>
              </w:rPr>
              <w:t>CSO</w:t>
            </w:r>
            <w:r>
              <w:rPr>
                <w:spacing w:val="-1"/>
                <w:sz w:val="18"/>
              </w:rPr>
              <w:t xml:space="preserve"> </w:t>
            </w:r>
            <w:r>
              <w:rPr>
                <w:sz w:val="18"/>
              </w:rPr>
              <w:t>capacity</w:t>
            </w:r>
            <w:r>
              <w:rPr>
                <w:spacing w:val="-3"/>
                <w:sz w:val="18"/>
              </w:rPr>
              <w:t xml:space="preserve"> </w:t>
            </w:r>
            <w:r>
              <w:rPr>
                <w:sz w:val="18"/>
              </w:rPr>
              <w:t>to</w:t>
            </w:r>
            <w:r>
              <w:rPr>
                <w:spacing w:val="-4"/>
                <w:sz w:val="18"/>
              </w:rPr>
              <w:t xml:space="preserve"> </w:t>
            </w:r>
            <w:r>
              <w:rPr>
                <w:sz w:val="18"/>
              </w:rPr>
              <w:t>advocate</w:t>
            </w:r>
            <w:r>
              <w:rPr>
                <w:spacing w:val="-3"/>
                <w:sz w:val="18"/>
              </w:rPr>
              <w:t xml:space="preserve"> </w:t>
            </w:r>
            <w:r>
              <w:rPr>
                <w:sz w:val="18"/>
              </w:rPr>
              <w:t>for fair and inclusive basic services, with support planned in the following areas:</w:t>
            </w:r>
          </w:p>
          <w:p w14:paraId="52D5031F" w14:textId="77777777" w:rsidR="00BC24A8" w:rsidRDefault="00000000">
            <w:pPr>
              <w:pStyle w:val="TableParagraph"/>
              <w:numPr>
                <w:ilvl w:val="0"/>
                <w:numId w:val="117"/>
              </w:numPr>
              <w:tabs>
                <w:tab w:val="left" w:pos="455"/>
              </w:tabs>
              <w:spacing w:before="61"/>
              <w:ind w:right="360"/>
              <w:rPr>
                <w:sz w:val="18"/>
              </w:rPr>
            </w:pPr>
            <w:r>
              <w:rPr>
                <w:sz w:val="18"/>
              </w:rPr>
              <w:t>Strengthening</w:t>
            </w:r>
            <w:r>
              <w:rPr>
                <w:spacing w:val="-5"/>
                <w:sz w:val="18"/>
              </w:rPr>
              <w:t xml:space="preserve"> </w:t>
            </w:r>
            <w:r>
              <w:rPr>
                <w:sz w:val="18"/>
              </w:rPr>
              <w:t>the</w:t>
            </w:r>
            <w:r>
              <w:rPr>
                <w:spacing w:val="-4"/>
                <w:sz w:val="18"/>
              </w:rPr>
              <w:t xml:space="preserve"> </w:t>
            </w:r>
            <w:r>
              <w:rPr>
                <w:sz w:val="18"/>
              </w:rPr>
              <w:t>Gorontalo</w:t>
            </w:r>
            <w:r>
              <w:rPr>
                <w:spacing w:val="-5"/>
                <w:sz w:val="18"/>
              </w:rPr>
              <w:t xml:space="preserve"> </w:t>
            </w:r>
            <w:r>
              <w:rPr>
                <w:sz w:val="18"/>
              </w:rPr>
              <w:t>Inclusive</w:t>
            </w:r>
            <w:r>
              <w:rPr>
                <w:spacing w:val="-4"/>
                <w:sz w:val="18"/>
              </w:rPr>
              <w:t xml:space="preserve"> </w:t>
            </w:r>
            <w:r>
              <w:rPr>
                <w:sz w:val="18"/>
              </w:rPr>
              <w:t>Forum</w:t>
            </w:r>
            <w:r>
              <w:rPr>
                <w:spacing w:val="-5"/>
                <w:sz w:val="18"/>
              </w:rPr>
              <w:t xml:space="preserve"> </w:t>
            </w:r>
            <w:r>
              <w:rPr>
                <w:sz w:val="18"/>
              </w:rPr>
              <w:t>Dulohupa</w:t>
            </w:r>
            <w:r>
              <w:rPr>
                <w:spacing w:val="-5"/>
                <w:sz w:val="18"/>
              </w:rPr>
              <w:t xml:space="preserve"> </w:t>
            </w:r>
            <w:r>
              <w:rPr>
                <w:sz w:val="18"/>
              </w:rPr>
              <w:t>(Inclusive</w:t>
            </w:r>
            <w:r>
              <w:rPr>
                <w:spacing w:val="-7"/>
                <w:sz w:val="18"/>
              </w:rPr>
              <w:t xml:space="preserve"> </w:t>
            </w:r>
            <w:r>
              <w:rPr>
                <w:i/>
                <w:sz w:val="18"/>
              </w:rPr>
              <w:t>Musrenbang</w:t>
            </w:r>
            <w:r>
              <w:rPr>
                <w:sz w:val="18"/>
              </w:rPr>
              <w:t>)</w:t>
            </w:r>
            <w:r>
              <w:rPr>
                <w:spacing w:val="-3"/>
                <w:sz w:val="18"/>
              </w:rPr>
              <w:t xml:space="preserve"> </w:t>
            </w:r>
            <w:r>
              <w:rPr>
                <w:sz w:val="18"/>
              </w:rPr>
              <w:t>at</w:t>
            </w:r>
            <w:r>
              <w:rPr>
                <w:spacing w:val="-3"/>
                <w:sz w:val="18"/>
              </w:rPr>
              <w:t xml:space="preserve"> </w:t>
            </w:r>
            <w:r>
              <w:rPr>
                <w:sz w:val="18"/>
              </w:rPr>
              <w:t>the provincial</w:t>
            </w:r>
            <w:r>
              <w:rPr>
                <w:spacing w:val="-4"/>
                <w:sz w:val="18"/>
              </w:rPr>
              <w:t xml:space="preserve"> </w:t>
            </w:r>
            <w:r>
              <w:rPr>
                <w:sz w:val="18"/>
              </w:rPr>
              <w:t>level.</w:t>
            </w:r>
          </w:p>
          <w:p w14:paraId="50E5ABD4" w14:textId="77777777" w:rsidR="00BC24A8" w:rsidRDefault="00000000">
            <w:pPr>
              <w:pStyle w:val="TableParagraph"/>
              <w:numPr>
                <w:ilvl w:val="0"/>
                <w:numId w:val="117"/>
              </w:numPr>
              <w:tabs>
                <w:tab w:val="left" w:pos="455"/>
              </w:tabs>
              <w:spacing w:line="219" w:lineRule="exact"/>
              <w:rPr>
                <w:sz w:val="18"/>
              </w:rPr>
            </w:pPr>
            <w:r>
              <w:rPr>
                <w:sz w:val="18"/>
              </w:rPr>
              <w:t>Drafting</w:t>
            </w:r>
            <w:r>
              <w:rPr>
                <w:spacing w:val="-4"/>
                <w:sz w:val="18"/>
              </w:rPr>
              <w:t xml:space="preserve"> </w:t>
            </w:r>
            <w:r>
              <w:rPr>
                <w:sz w:val="18"/>
              </w:rPr>
              <w:t>the</w:t>
            </w:r>
            <w:r>
              <w:rPr>
                <w:spacing w:val="-2"/>
                <w:sz w:val="18"/>
              </w:rPr>
              <w:t xml:space="preserve"> </w:t>
            </w:r>
            <w:r>
              <w:rPr>
                <w:sz w:val="18"/>
              </w:rPr>
              <w:t>Regional</w:t>
            </w:r>
            <w:r>
              <w:rPr>
                <w:spacing w:val="-2"/>
                <w:sz w:val="18"/>
              </w:rPr>
              <w:t xml:space="preserve"> </w:t>
            </w:r>
            <w:r>
              <w:rPr>
                <w:sz w:val="18"/>
              </w:rPr>
              <w:t>Head</w:t>
            </w:r>
            <w:r>
              <w:rPr>
                <w:spacing w:val="-3"/>
                <w:sz w:val="18"/>
              </w:rPr>
              <w:t xml:space="preserve"> </w:t>
            </w:r>
            <w:r>
              <w:rPr>
                <w:sz w:val="18"/>
              </w:rPr>
              <w:t>Regulation</w:t>
            </w:r>
            <w:r>
              <w:rPr>
                <w:spacing w:val="-2"/>
                <w:sz w:val="18"/>
              </w:rPr>
              <w:t xml:space="preserve"> </w:t>
            </w:r>
            <w:r>
              <w:rPr>
                <w:sz w:val="18"/>
              </w:rPr>
              <w:t>on</w:t>
            </w:r>
            <w:r>
              <w:rPr>
                <w:spacing w:val="-3"/>
                <w:sz w:val="18"/>
              </w:rPr>
              <w:t xml:space="preserve"> </w:t>
            </w:r>
            <w:r>
              <w:rPr>
                <w:sz w:val="18"/>
              </w:rPr>
              <w:t>Gender</w:t>
            </w:r>
            <w:r>
              <w:rPr>
                <w:spacing w:val="-2"/>
                <w:sz w:val="18"/>
              </w:rPr>
              <w:t xml:space="preserve"> </w:t>
            </w:r>
            <w:r>
              <w:rPr>
                <w:sz w:val="18"/>
              </w:rPr>
              <w:t>Mainstreaming</w:t>
            </w:r>
            <w:r>
              <w:rPr>
                <w:spacing w:val="-3"/>
                <w:sz w:val="18"/>
              </w:rPr>
              <w:t xml:space="preserve"> </w:t>
            </w:r>
            <w:r>
              <w:rPr>
                <w:spacing w:val="-2"/>
                <w:sz w:val="18"/>
              </w:rPr>
              <w:t>(PUG);</w:t>
            </w:r>
          </w:p>
          <w:p w14:paraId="15FDCF9E" w14:textId="77777777" w:rsidR="00BC24A8" w:rsidRDefault="00000000">
            <w:pPr>
              <w:pStyle w:val="TableParagraph"/>
              <w:numPr>
                <w:ilvl w:val="0"/>
                <w:numId w:val="117"/>
              </w:numPr>
              <w:tabs>
                <w:tab w:val="left" w:pos="455"/>
              </w:tabs>
              <w:spacing w:line="219" w:lineRule="exact"/>
              <w:rPr>
                <w:sz w:val="18"/>
              </w:rPr>
            </w:pPr>
            <w:r>
              <w:rPr>
                <w:sz w:val="18"/>
              </w:rPr>
              <w:t>Preparing</w:t>
            </w:r>
            <w:r>
              <w:rPr>
                <w:spacing w:val="-4"/>
                <w:sz w:val="18"/>
              </w:rPr>
              <w:t xml:space="preserve"> </w:t>
            </w:r>
            <w:r>
              <w:rPr>
                <w:sz w:val="18"/>
              </w:rPr>
              <w:t>the</w:t>
            </w:r>
            <w:r>
              <w:rPr>
                <w:spacing w:val="-2"/>
                <w:sz w:val="18"/>
              </w:rPr>
              <w:t xml:space="preserve"> </w:t>
            </w:r>
            <w:r>
              <w:rPr>
                <w:sz w:val="18"/>
              </w:rPr>
              <w:t>Regional</w:t>
            </w:r>
            <w:r>
              <w:rPr>
                <w:spacing w:val="-1"/>
                <w:sz w:val="18"/>
              </w:rPr>
              <w:t xml:space="preserve"> </w:t>
            </w:r>
            <w:r>
              <w:rPr>
                <w:sz w:val="18"/>
              </w:rPr>
              <w:t>Action</w:t>
            </w:r>
            <w:r>
              <w:rPr>
                <w:spacing w:val="-2"/>
                <w:sz w:val="18"/>
              </w:rPr>
              <w:t xml:space="preserve"> </w:t>
            </w:r>
            <w:r>
              <w:rPr>
                <w:sz w:val="18"/>
              </w:rPr>
              <w:t>Plan</w:t>
            </w:r>
            <w:r>
              <w:rPr>
                <w:spacing w:val="-3"/>
                <w:sz w:val="18"/>
              </w:rPr>
              <w:t xml:space="preserve"> </w:t>
            </w:r>
            <w:r>
              <w:rPr>
                <w:sz w:val="18"/>
              </w:rPr>
              <w:t>for</w:t>
            </w:r>
            <w:r>
              <w:rPr>
                <w:spacing w:val="-2"/>
                <w:sz w:val="18"/>
              </w:rPr>
              <w:t xml:space="preserve"> </w:t>
            </w:r>
            <w:r>
              <w:rPr>
                <w:sz w:val="18"/>
              </w:rPr>
              <w:t>Persons</w:t>
            </w:r>
            <w:r>
              <w:rPr>
                <w:spacing w:val="-2"/>
                <w:sz w:val="18"/>
              </w:rPr>
              <w:t xml:space="preserve"> </w:t>
            </w:r>
            <w:r>
              <w:rPr>
                <w:sz w:val="18"/>
              </w:rPr>
              <w:t>with</w:t>
            </w:r>
            <w:r>
              <w:rPr>
                <w:spacing w:val="-2"/>
                <w:sz w:val="18"/>
              </w:rPr>
              <w:t xml:space="preserve"> </w:t>
            </w:r>
            <w:r>
              <w:rPr>
                <w:sz w:val="18"/>
              </w:rPr>
              <w:t>Disabilities</w:t>
            </w:r>
            <w:r>
              <w:rPr>
                <w:spacing w:val="-2"/>
                <w:sz w:val="18"/>
              </w:rPr>
              <w:t xml:space="preserve"> </w:t>
            </w:r>
            <w:r>
              <w:rPr>
                <w:sz w:val="18"/>
              </w:rPr>
              <w:t>(RAD-</w:t>
            </w:r>
            <w:r>
              <w:rPr>
                <w:spacing w:val="-4"/>
                <w:sz w:val="18"/>
              </w:rPr>
              <w:t>PD);</w:t>
            </w:r>
          </w:p>
          <w:p w14:paraId="45128D95" w14:textId="77777777" w:rsidR="00BC24A8" w:rsidRDefault="00000000">
            <w:pPr>
              <w:pStyle w:val="TableParagraph"/>
              <w:numPr>
                <w:ilvl w:val="0"/>
                <w:numId w:val="117"/>
              </w:numPr>
              <w:tabs>
                <w:tab w:val="left" w:pos="455"/>
              </w:tabs>
              <w:spacing w:before="1"/>
              <w:ind w:right="660"/>
              <w:rPr>
                <w:sz w:val="18"/>
              </w:rPr>
            </w:pPr>
            <w:r>
              <w:rPr>
                <w:sz w:val="18"/>
              </w:rPr>
              <w:t>Developing</w:t>
            </w:r>
            <w:r>
              <w:rPr>
                <w:spacing w:val="-4"/>
                <w:sz w:val="18"/>
              </w:rPr>
              <w:t xml:space="preserve"> </w:t>
            </w:r>
            <w:r>
              <w:rPr>
                <w:sz w:val="18"/>
              </w:rPr>
              <w:t>technical</w:t>
            </w:r>
            <w:r>
              <w:rPr>
                <w:spacing w:val="-2"/>
                <w:sz w:val="18"/>
              </w:rPr>
              <w:t xml:space="preserve"> </w:t>
            </w:r>
            <w:r>
              <w:rPr>
                <w:sz w:val="18"/>
              </w:rPr>
              <w:t>guidance</w:t>
            </w:r>
            <w:r>
              <w:rPr>
                <w:spacing w:val="-3"/>
                <w:sz w:val="18"/>
              </w:rPr>
              <w:t xml:space="preserve"> </w:t>
            </w:r>
            <w:r>
              <w:rPr>
                <w:sz w:val="18"/>
              </w:rPr>
              <w:t>policies</w:t>
            </w:r>
            <w:r>
              <w:rPr>
                <w:spacing w:val="-6"/>
                <w:sz w:val="18"/>
              </w:rPr>
              <w:t xml:space="preserve"> </w:t>
            </w:r>
            <w:r>
              <w:rPr>
                <w:sz w:val="18"/>
              </w:rPr>
              <w:t>in</w:t>
            </w:r>
            <w:r>
              <w:rPr>
                <w:spacing w:val="-3"/>
                <w:sz w:val="18"/>
              </w:rPr>
              <w:t xml:space="preserve"> </w:t>
            </w:r>
            <w:r>
              <w:rPr>
                <w:sz w:val="18"/>
              </w:rPr>
              <w:t>the</w:t>
            </w:r>
            <w:r>
              <w:rPr>
                <w:spacing w:val="-3"/>
                <w:sz w:val="18"/>
              </w:rPr>
              <w:t xml:space="preserve"> </w:t>
            </w:r>
            <w:r>
              <w:rPr>
                <w:sz w:val="18"/>
              </w:rPr>
              <w:t>form</w:t>
            </w:r>
            <w:r>
              <w:rPr>
                <w:spacing w:val="-4"/>
                <w:sz w:val="18"/>
              </w:rPr>
              <w:t xml:space="preserve"> </w:t>
            </w:r>
            <w:r>
              <w:rPr>
                <w:sz w:val="18"/>
              </w:rPr>
              <w:t>of</w:t>
            </w:r>
            <w:r>
              <w:rPr>
                <w:spacing w:val="-4"/>
                <w:sz w:val="18"/>
              </w:rPr>
              <w:t xml:space="preserve"> </w:t>
            </w:r>
            <w:r>
              <w:rPr>
                <w:sz w:val="18"/>
              </w:rPr>
              <w:t>Governor</w:t>
            </w:r>
            <w:r>
              <w:rPr>
                <w:spacing w:val="-3"/>
                <w:sz w:val="18"/>
              </w:rPr>
              <w:t xml:space="preserve"> </w:t>
            </w:r>
            <w:r>
              <w:rPr>
                <w:sz w:val="18"/>
              </w:rPr>
              <w:t>Regulation</w:t>
            </w:r>
            <w:r>
              <w:rPr>
                <w:spacing w:val="-3"/>
                <w:sz w:val="18"/>
              </w:rPr>
              <w:t xml:space="preserve"> </w:t>
            </w:r>
            <w:r>
              <w:rPr>
                <w:sz w:val="18"/>
              </w:rPr>
              <w:t>for</w:t>
            </w:r>
            <w:r>
              <w:rPr>
                <w:spacing w:val="-3"/>
                <w:sz w:val="18"/>
              </w:rPr>
              <w:t xml:space="preserve"> </w:t>
            </w:r>
            <w:r>
              <w:rPr>
                <w:sz w:val="18"/>
              </w:rPr>
              <w:t>the Inclusive Planning Forum; and</w:t>
            </w:r>
          </w:p>
          <w:p w14:paraId="73CE54E8" w14:textId="77777777" w:rsidR="00BC24A8" w:rsidRDefault="00000000">
            <w:pPr>
              <w:pStyle w:val="TableParagraph"/>
              <w:numPr>
                <w:ilvl w:val="0"/>
                <w:numId w:val="117"/>
              </w:numPr>
              <w:tabs>
                <w:tab w:val="left" w:pos="455"/>
              </w:tabs>
              <w:ind w:right="355"/>
              <w:rPr>
                <w:sz w:val="18"/>
              </w:rPr>
            </w:pPr>
            <w:r>
              <w:rPr>
                <w:sz w:val="18"/>
              </w:rPr>
              <w:t>Enhancing</w:t>
            </w:r>
            <w:r>
              <w:rPr>
                <w:spacing w:val="-5"/>
                <w:sz w:val="18"/>
              </w:rPr>
              <w:t xml:space="preserve"> </w:t>
            </w:r>
            <w:r>
              <w:rPr>
                <w:sz w:val="18"/>
              </w:rPr>
              <w:t>civil</w:t>
            </w:r>
            <w:r>
              <w:rPr>
                <w:spacing w:val="-3"/>
                <w:sz w:val="18"/>
              </w:rPr>
              <w:t xml:space="preserve"> </w:t>
            </w:r>
            <w:r>
              <w:rPr>
                <w:sz w:val="18"/>
              </w:rPr>
              <w:t>society</w:t>
            </w:r>
            <w:r>
              <w:rPr>
                <w:spacing w:val="-4"/>
                <w:sz w:val="18"/>
              </w:rPr>
              <w:t xml:space="preserve"> </w:t>
            </w:r>
            <w:r>
              <w:rPr>
                <w:sz w:val="18"/>
              </w:rPr>
              <w:t>network</w:t>
            </w:r>
            <w:r>
              <w:rPr>
                <w:spacing w:val="-4"/>
                <w:sz w:val="18"/>
              </w:rPr>
              <w:t xml:space="preserve"> </w:t>
            </w:r>
            <w:r>
              <w:rPr>
                <w:sz w:val="18"/>
              </w:rPr>
              <w:t>capacity</w:t>
            </w:r>
            <w:r>
              <w:rPr>
                <w:spacing w:val="-4"/>
                <w:sz w:val="18"/>
              </w:rPr>
              <w:t xml:space="preserve"> </w:t>
            </w:r>
            <w:r>
              <w:rPr>
                <w:sz w:val="18"/>
              </w:rPr>
              <w:t>in</w:t>
            </w:r>
            <w:r>
              <w:rPr>
                <w:spacing w:val="-4"/>
                <w:sz w:val="18"/>
              </w:rPr>
              <w:t xml:space="preserve"> </w:t>
            </w:r>
            <w:r>
              <w:rPr>
                <w:sz w:val="18"/>
              </w:rPr>
              <w:t>data</w:t>
            </w:r>
            <w:r>
              <w:rPr>
                <w:spacing w:val="-5"/>
                <w:sz w:val="18"/>
              </w:rPr>
              <w:t xml:space="preserve"> </w:t>
            </w:r>
            <w:r>
              <w:rPr>
                <w:sz w:val="18"/>
              </w:rPr>
              <w:t>access,</w:t>
            </w:r>
            <w:r>
              <w:rPr>
                <w:spacing w:val="-5"/>
                <w:sz w:val="18"/>
              </w:rPr>
              <w:t xml:space="preserve"> </w:t>
            </w:r>
            <w:r>
              <w:rPr>
                <w:sz w:val="18"/>
              </w:rPr>
              <w:t>analysis,</w:t>
            </w:r>
            <w:r>
              <w:rPr>
                <w:spacing w:val="-5"/>
                <w:sz w:val="18"/>
              </w:rPr>
              <w:t xml:space="preserve"> </w:t>
            </w:r>
            <w:r>
              <w:rPr>
                <w:sz w:val="18"/>
              </w:rPr>
              <w:t>and</w:t>
            </w:r>
            <w:r>
              <w:rPr>
                <w:spacing w:val="-4"/>
                <w:sz w:val="18"/>
              </w:rPr>
              <w:t xml:space="preserve"> </w:t>
            </w:r>
            <w:r>
              <w:rPr>
                <w:sz w:val="18"/>
              </w:rPr>
              <w:t>advocacy</w:t>
            </w:r>
            <w:r>
              <w:rPr>
                <w:spacing w:val="-4"/>
                <w:sz w:val="18"/>
              </w:rPr>
              <w:t xml:space="preserve"> </w:t>
            </w:r>
            <w:r>
              <w:rPr>
                <w:sz w:val="18"/>
              </w:rPr>
              <w:t>toward local government.</w:t>
            </w:r>
          </w:p>
        </w:tc>
      </w:tr>
      <w:tr w:rsidR="00BC24A8" w14:paraId="07CD75B4" w14:textId="77777777">
        <w:trPr>
          <w:trHeight w:val="4189"/>
        </w:trPr>
        <w:tc>
          <w:tcPr>
            <w:tcW w:w="2084" w:type="dxa"/>
            <w:tcBorders>
              <w:top w:val="single" w:sz="4" w:space="0" w:color="BEBEBE"/>
              <w:bottom w:val="single" w:sz="4" w:space="0" w:color="BEBEBE"/>
            </w:tcBorders>
          </w:tcPr>
          <w:p w14:paraId="7FA6CE04" w14:textId="77777777" w:rsidR="00BC24A8" w:rsidRDefault="00000000">
            <w:pPr>
              <w:pStyle w:val="TableParagraph"/>
              <w:spacing w:before="119"/>
              <w:ind w:left="115"/>
              <w:rPr>
                <w:sz w:val="18"/>
              </w:rPr>
            </w:pPr>
            <w:r>
              <w:rPr>
                <w:sz w:val="18"/>
              </w:rPr>
              <w:t>Strengthen the data governance</w:t>
            </w:r>
            <w:r>
              <w:rPr>
                <w:spacing w:val="-11"/>
                <w:sz w:val="18"/>
              </w:rPr>
              <w:t xml:space="preserve"> </w:t>
            </w:r>
            <w:r>
              <w:rPr>
                <w:sz w:val="18"/>
              </w:rPr>
              <w:t>framework</w:t>
            </w:r>
            <w:r>
              <w:rPr>
                <w:spacing w:val="-10"/>
                <w:sz w:val="18"/>
              </w:rPr>
              <w:t xml:space="preserve"> </w:t>
            </w:r>
            <w:r>
              <w:rPr>
                <w:sz w:val="18"/>
              </w:rPr>
              <w:t>to support inclusive basic service</w:t>
            </w:r>
            <w:r>
              <w:rPr>
                <w:spacing w:val="-2"/>
                <w:sz w:val="18"/>
              </w:rPr>
              <w:t xml:space="preserve"> </w:t>
            </w:r>
            <w:r>
              <w:rPr>
                <w:sz w:val="18"/>
              </w:rPr>
              <w:t>delivery</w:t>
            </w:r>
          </w:p>
        </w:tc>
        <w:tc>
          <w:tcPr>
            <w:tcW w:w="7015" w:type="dxa"/>
            <w:tcBorders>
              <w:top w:val="single" w:sz="4" w:space="0" w:color="BEBEBE"/>
              <w:bottom w:val="single" w:sz="4" w:space="0" w:color="BEBEBE"/>
            </w:tcBorders>
          </w:tcPr>
          <w:p w14:paraId="3D3A5D73" w14:textId="77777777" w:rsidR="00BC24A8" w:rsidRDefault="00000000">
            <w:pPr>
              <w:pStyle w:val="TableParagraph"/>
              <w:spacing w:before="59"/>
              <w:ind w:left="124"/>
              <w:rPr>
                <w:sz w:val="18"/>
              </w:rPr>
            </w:pPr>
            <w:r>
              <w:rPr>
                <w:sz w:val="18"/>
              </w:rPr>
              <w:t>Efforts to strengthen data-based planning and integrate the PENTAGON platform with the National</w:t>
            </w:r>
            <w:r>
              <w:rPr>
                <w:spacing w:val="-2"/>
                <w:sz w:val="18"/>
              </w:rPr>
              <w:t xml:space="preserve"> </w:t>
            </w:r>
            <w:r>
              <w:rPr>
                <w:sz w:val="18"/>
              </w:rPr>
              <w:t>One</w:t>
            </w:r>
            <w:r>
              <w:rPr>
                <w:spacing w:val="-3"/>
                <w:sz w:val="18"/>
              </w:rPr>
              <w:t xml:space="preserve"> </w:t>
            </w:r>
            <w:r>
              <w:rPr>
                <w:sz w:val="18"/>
              </w:rPr>
              <w:t>Data</w:t>
            </w:r>
            <w:r>
              <w:rPr>
                <w:spacing w:val="-4"/>
                <w:sz w:val="18"/>
              </w:rPr>
              <w:t xml:space="preserve"> </w:t>
            </w:r>
            <w:r>
              <w:rPr>
                <w:sz w:val="18"/>
              </w:rPr>
              <w:t>Hub</w:t>
            </w:r>
            <w:r>
              <w:rPr>
                <w:spacing w:val="-3"/>
                <w:sz w:val="18"/>
              </w:rPr>
              <w:t xml:space="preserve"> </w:t>
            </w:r>
            <w:r>
              <w:rPr>
                <w:sz w:val="18"/>
              </w:rPr>
              <w:t>(SDPDN)</w:t>
            </w:r>
            <w:r>
              <w:rPr>
                <w:spacing w:val="-4"/>
                <w:sz w:val="18"/>
              </w:rPr>
              <w:t xml:space="preserve"> </w:t>
            </w:r>
            <w:r>
              <w:rPr>
                <w:sz w:val="18"/>
              </w:rPr>
              <w:t>aim</w:t>
            </w:r>
            <w:r>
              <w:rPr>
                <w:spacing w:val="-4"/>
                <w:sz w:val="18"/>
              </w:rPr>
              <w:t xml:space="preserve"> </w:t>
            </w:r>
            <w:r>
              <w:rPr>
                <w:sz w:val="18"/>
              </w:rPr>
              <w:t>to</w:t>
            </w:r>
            <w:r>
              <w:rPr>
                <w:spacing w:val="-4"/>
                <w:sz w:val="18"/>
              </w:rPr>
              <w:t xml:space="preserve"> </w:t>
            </w:r>
            <w:r>
              <w:rPr>
                <w:sz w:val="18"/>
              </w:rPr>
              <w:t>enhance</w:t>
            </w:r>
            <w:r>
              <w:rPr>
                <w:spacing w:val="-3"/>
                <w:sz w:val="18"/>
              </w:rPr>
              <w:t xml:space="preserve"> </w:t>
            </w:r>
            <w:r>
              <w:rPr>
                <w:sz w:val="18"/>
              </w:rPr>
              <w:t>planning</w:t>
            </w:r>
            <w:r>
              <w:rPr>
                <w:spacing w:val="-4"/>
                <w:sz w:val="18"/>
              </w:rPr>
              <w:t xml:space="preserve"> </w:t>
            </w:r>
            <w:r>
              <w:rPr>
                <w:sz w:val="18"/>
              </w:rPr>
              <w:t>and</w:t>
            </w:r>
            <w:r>
              <w:rPr>
                <w:spacing w:val="-3"/>
                <w:sz w:val="18"/>
              </w:rPr>
              <w:t xml:space="preserve"> </w:t>
            </w:r>
            <w:r>
              <w:rPr>
                <w:sz w:val="18"/>
              </w:rPr>
              <w:t>reporting</w:t>
            </w:r>
            <w:r>
              <w:rPr>
                <w:spacing w:val="-4"/>
                <w:sz w:val="18"/>
              </w:rPr>
              <w:t xml:space="preserve"> </w:t>
            </w:r>
            <w:r>
              <w:rPr>
                <w:sz w:val="18"/>
              </w:rPr>
              <w:t>systems.</w:t>
            </w:r>
            <w:r>
              <w:rPr>
                <w:spacing w:val="-4"/>
                <w:sz w:val="18"/>
              </w:rPr>
              <w:t xml:space="preserve"> </w:t>
            </w:r>
            <w:r>
              <w:rPr>
                <w:sz w:val="18"/>
              </w:rPr>
              <w:t>This</w:t>
            </w:r>
            <w:r>
              <w:rPr>
                <w:spacing w:val="-3"/>
                <w:sz w:val="18"/>
              </w:rPr>
              <w:t xml:space="preserve"> </w:t>
            </w:r>
            <w:r>
              <w:rPr>
                <w:sz w:val="18"/>
              </w:rPr>
              <w:t>can</w:t>
            </w:r>
            <w:r>
              <w:rPr>
                <w:spacing w:val="-3"/>
                <w:sz w:val="18"/>
              </w:rPr>
              <w:t xml:space="preserve"> </w:t>
            </w:r>
            <w:r>
              <w:rPr>
                <w:sz w:val="18"/>
              </w:rPr>
              <w:t>be achieved with support in the following areas:</w:t>
            </w:r>
          </w:p>
          <w:p w14:paraId="031FD122" w14:textId="77777777" w:rsidR="00BC24A8" w:rsidRDefault="00000000">
            <w:pPr>
              <w:pStyle w:val="TableParagraph"/>
              <w:numPr>
                <w:ilvl w:val="0"/>
                <w:numId w:val="116"/>
              </w:numPr>
              <w:tabs>
                <w:tab w:val="left" w:pos="455"/>
              </w:tabs>
              <w:spacing w:before="58"/>
              <w:ind w:right="482"/>
              <w:rPr>
                <w:sz w:val="18"/>
              </w:rPr>
            </w:pPr>
            <w:r>
              <w:rPr>
                <w:sz w:val="18"/>
              </w:rPr>
              <w:t>Developing</w:t>
            </w:r>
            <w:r>
              <w:rPr>
                <w:spacing w:val="-5"/>
                <w:sz w:val="18"/>
              </w:rPr>
              <w:t xml:space="preserve"> </w:t>
            </w:r>
            <w:r>
              <w:rPr>
                <w:sz w:val="18"/>
              </w:rPr>
              <w:t>regional</w:t>
            </w:r>
            <w:r>
              <w:rPr>
                <w:spacing w:val="-3"/>
                <w:sz w:val="18"/>
              </w:rPr>
              <w:t xml:space="preserve"> </w:t>
            </w:r>
            <w:r>
              <w:rPr>
                <w:sz w:val="18"/>
              </w:rPr>
              <w:t>regulations</w:t>
            </w:r>
            <w:r>
              <w:rPr>
                <w:spacing w:val="-7"/>
                <w:sz w:val="18"/>
              </w:rPr>
              <w:t xml:space="preserve"> </w:t>
            </w:r>
            <w:r>
              <w:rPr>
                <w:sz w:val="18"/>
              </w:rPr>
              <w:t>that</w:t>
            </w:r>
            <w:r>
              <w:rPr>
                <w:spacing w:val="-3"/>
                <w:sz w:val="18"/>
              </w:rPr>
              <w:t xml:space="preserve"> </w:t>
            </w:r>
            <w:r>
              <w:rPr>
                <w:sz w:val="18"/>
              </w:rPr>
              <w:t>support</w:t>
            </w:r>
            <w:r>
              <w:rPr>
                <w:spacing w:val="-3"/>
                <w:sz w:val="18"/>
              </w:rPr>
              <w:t xml:space="preserve"> </w:t>
            </w:r>
            <w:r>
              <w:rPr>
                <w:sz w:val="18"/>
              </w:rPr>
              <w:t>sectoral</w:t>
            </w:r>
            <w:r>
              <w:rPr>
                <w:spacing w:val="-3"/>
                <w:sz w:val="18"/>
              </w:rPr>
              <w:t xml:space="preserve"> </w:t>
            </w:r>
            <w:r>
              <w:rPr>
                <w:sz w:val="18"/>
              </w:rPr>
              <w:t>statistics</w:t>
            </w:r>
            <w:r>
              <w:rPr>
                <w:spacing w:val="-4"/>
                <w:sz w:val="18"/>
              </w:rPr>
              <w:t xml:space="preserve"> </w:t>
            </w:r>
            <w:r>
              <w:rPr>
                <w:sz w:val="18"/>
              </w:rPr>
              <w:t>and</w:t>
            </w:r>
            <w:r>
              <w:rPr>
                <w:spacing w:val="-7"/>
                <w:sz w:val="18"/>
              </w:rPr>
              <w:t xml:space="preserve"> </w:t>
            </w:r>
            <w:r>
              <w:rPr>
                <w:sz w:val="18"/>
              </w:rPr>
              <w:t>data</w:t>
            </w:r>
            <w:r>
              <w:rPr>
                <w:spacing w:val="-5"/>
                <w:sz w:val="18"/>
              </w:rPr>
              <w:t xml:space="preserve"> </w:t>
            </w:r>
            <w:r>
              <w:rPr>
                <w:sz w:val="18"/>
              </w:rPr>
              <w:t>governance (e.g., Data Lists or One Data Forum regulations).</w:t>
            </w:r>
          </w:p>
          <w:p w14:paraId="76A6BC59" w14:textId="77777777" w:rsidR="00BC24A8" w:rsidRDefault="00000000">
            <w:pPr>
              <w:pStyle w:val="TableParagraph"/>
              <w:numPr>
                <w:ilvl w:val="0"/>
                <w:numId w:val="116"/>
              </w:numPr>
              <w:tabs>
                <w:tab w:val="left" w:pos="455"/>
              </w:tabs>
              <w:ind w:right="112"/>
              <w:rPr>
                <w:sz w:val="18"/>
              </w:rPr>
            </w:pPr>
            <w:r>
              <w:rPr>
                <w:sz w:val="18"/>
              </w:rPr>
              <w:t>Updating</w:t>
            </w:r>
            <w:r>
              <w:rPr>
                <w:spacing w:val="-4"/>
                <w:sz w:val="18"/>
              </w:rPr>
              <w:t xml:space="preserve"> </w:t>
            </w:r>
            <w:r>
              <w:rPr>
                <w:sz w:val="18"/>
              </w:rPr>
              <w:t>and</w:t>
            </w:r>
            <w:r>
              <w:rPr>
                <w:spacing w:val="-3"/>
                <w:sz w:val="18"/>
              </w:rPr>
              <w:t xml:space="preserve"> </w:t>
            </w:r>
            <w:r>
              <w:rPr>
                <w:sz w:val="18"/>
              </w:rPr>
              <w:t>validating</w:t>
            </w:r>
            <w:r>
              <w:rPr>
                <w:spacing w:val="-4"/>
                <w:sz w:val="18"/>
              </w:rPr>
              <w:t xml:space="preserve"> </w:t>
            </w:r>
            <w:r>
              <w:rPr>
                <w:sz w:val="18"/>
              </w:rPr>
              <w:t>priority</w:t>
            </w:r>
            <w:r>
              <w:rPr>
                <w:spacing w:val="-3"/>
                <w:sz w:val="18"/>
              </w:rPr>
              <w:t xml:space="preserve"> </w:t>
            </w:r>
            <w:r>
              <w:rPr>
                <w:sz w:val="18"/>
              </w:rPr>
              <w:t>data</w:t>
            </w:r>
            <w:r>
              <w:rPr>
                <w:spacing w:val="-4"/>
                <w:sz w:val="18"/>
              </w:rPr>
              <w:t xml:space="preserve"> </w:t>
            </w:r>
            <w:r>
              <w:rPr>
                <w:sz w:val="18"/>
              </w:rPr>
              <w:t>for</w:t>
            </w:r>
            <w:r>
              <w:rPr>
                <w:spacing w:val="-3"/>
                <w:sz w:val="18"/>
              </w:rPr>
              <w:t xml:space="preserve"> </w:t>
            </w:r>
            <w:r>
              <w:rPr>
                <w:sz w:val="18"/>
              </w:rPr>
              <w:t>basic</w:t>
            </w:r>
            <w:r>
              <w:rPr>
                <w:spacing w:val="-3"/>
                <w:sz w:val="18"/>
              </w:rPr>
              <w:t xml:space="preserve"> </w:t>
            </w:r>
            <w:r>
              <w:rPr>
                <w:sz w:val="18"/>
              </w:rPr>
              <w:t>services,</w:t>
            </w:r>
            <w:r>
              <w:rPr>
                <w:spacing w:val="-4"/>
                <w:sz w:val="18"/>
              </w:rPr>
              <w:t xml:space="preserve"> </w:t>
            </w:r>
            <w:r>
              <w:rPr>
                <w:sz w:val="18"/>
              </w:rPr>
              <w:t>including</w:t>
            </w:r>
            <w:r>
              <w:rPr>
                <w:spacing w:val="-4"/>
                <w:sz w:val="18"/>
              </w:rPr>
              <w:t xml:space="preserve"> </w:t>
            </w:r>
            <w:r>
              <w:rPr>
                <w:sz w:val="18"/>
              </w:rPr>
              <w:t>MSS,</w:t>
            </w:r>
            <w:r>
              <w:rPr>
                <w:spacing w:val="-4"/>
                <w:sz w:val="18"/>
              </w:rPr>
              <w:t xml:space="preserve"> </w:t>
            </w:r>
            <w:r>
              <w:rPr>
                <w:sz w:val="18"/>
              </w:rPr>
              <w:t>vulnerable</w:t>
            </w:r>
            <w:r>
              <w:rPr>
                <w:spacing w:val="-3"/>
                <w:sz w:val="18"/>
              </w:rPr>
              <w:t xml:space="preserve"> </w:t>
            </w:r>
            <w:r>
              <w:rPr>
                <w:sz w:val="18"/>
              </w:rPr>
              <w:t>groups, and spatial service areas.</w:t>
            </w:r>
          </w:p>
          <w:p w14:paraId="7594889C" w14:textId="77777777" w:rsidR="00BC24A8" w:rsidRDefault="00000000">
            <w:pPr>
              <w:pStyle w:val="TableParagraph"/>
              <w:numPr>
                <w:ilvl w:val="0"/>
                <w:numId w:val="116"/>
              </w:numPr>
              <w:tabs>
                <w:tab w:val="left" w:pos="455"/>
              </w:tabs>
              <w:spacing w:before="2"/>
              <w:ind w:right="394"/>
              <w:rPr>
                <w:sz w:val="18"/>
              </w:rPr>
            </w:pPr>
            <w:r>
              <w:rPr>
                <w:sz w:val="18"/>
              </w:rPr>
              <w:t>Strengthening</w:t>
            </w:r>
            <w:r>
              <w:rPr>
                <w:spacing w:val="-4"/>
                <w:sz w:val="18"/>
              </w:rPr>
              <w:t xml:space="preserve"> </w:t>
            </w:r>
            <w:r>
              <w:rPr>
                <w:sz w:val="18"/>
              </w:rPr>
              <w:t>the</w:t>
            </w:r>
            <w:r>
              <w:rPr>
                <w:spacing w:val="-6"/>
                <w:sz w:val="18"/>
              </w:rPr>
              <w:t xml:space="preserve"> </w:t>
            </w:r>
            <w:r>
              <w:rPr>
                <w:sz w:val="18"/>
              </w:rPr>
              <w:t>Regional</w:t>
            </w:r>
            <w:r>
              <w:rPr>
                <w:spacing w:val="-2"/>
                <w:sz w:val="18"/>
              </w:rPr>
              <w:t xml:space="preserve"> </w:t>
            </w:r>
            <w:r>
              <w:rPr>
                <w:sz w:val="18"/>
              </w:rPr>
              <w:t>One</w:t>
            </w:r>
            <w:r>
              <w:rPr>
                <w:spacing w:val="-6"/>
                <w:sz w:val="18"/>
              </w:rPr>
              <w:t xml:space="preserve"> </w:t>
            </w:r>
            <w:r>
              <w:rPr>
                <w:sz w:val="18"/>
              </w:rPr>
              <w:t>Data</w:t>
            </w:r>
            <w:r>
              <w:rPr>
                <w:spacing w:val="-4"/>
                <w:sz w:val="18"/>
              </w:rPr>
              <w:t xml:space="preserve"> </w:t>
            </w:r>
            <w:r>
              <w:rPr>
                <w:sz w:val="18"/>
              </w:rPr>
              <w:t>Forum</w:t>
            </w:r>
            <w:r>
              <w:rPr>
                <w:spacing w:val="-4"/>
                <w:sz w:val="18"/>
              </w:rPr>
              <w:t xml:space="preserve"> </w:t>
            </w:r>
            <w:r>
              <w:rPr>
                <w:sz w:val="18"/>
              </w:rPr>
              <w:t>as</w:t>
            </w:r>
            <w:r>
              <w:rPr>
                <w:spacing w:val="-3"/>
                <w:sz w:val="18"/>
              </w:rPr>
              <w:t xml:space="preserve"> </w:t>
            </w:r>
            <w:r>
              <w:rPr>
                <w:sz w:val="18"/>
              </w:rPr>
              <w:t>a</w:t>
            </w:r>
            <w:r>
              <w:rPr>
                <w:spacing w:val="-4"/>
                <w:sz w:val="18"/>
              </w:rPr>
              <w:t xml:space="preserve"> </w:t>
            </w:r>
            <w:r>
              <w:rPr>
                <w:sz w:val="18"/>
              </w:rPr>
              <w:t>coordination</w:t>
            </w:r>
            <w:r>
              <w:rPr>
                <w:spacing w:val="-3"/>
                <w:sz w:val="18"/>
              </w:rPr>
              <w:t xml:space="preserve"> </w:t>
            </w:r>
            <w:r>
              <w:rPr>
                <w:sz w:val="18"/>
              </w:rPr>
              <w:t>space</w:t>
            </w:r>
            <w:r>
              <w:rPr>
                <w:spacing w:val="-3"/>
                <w:sz w:val="18"/>
              </w:rPr>
              <w:t xml:space="preserve"> </w:t>
            </w:r>
            <w:r>
              <w:rPr>
                <w:sz w:val="18"/>
              </w:rPr>
              <w:t>for</w:t>
            </w:r>
            <w:r>
              <w:rPr>
                <w:spacing w:val="-3"/>
                <w:sz w:val="18"/>
              </w:rPr>
              <w:t xml:space="preserve"> </w:t>
            </w:r>
            <w:r>
              <w:rPr>
                <w:sz w:val="18"/>
              </w:rPr>
              <w:t>cross-agency planning and data validation.</w:t>
            </w:r>
          </w:p>
          <w:p w14:paraId="5E49B731" w14:textId="77777777" w:rsidR="00BC24A8" w:rsidRDefault="00000000">
            <w:pPr>
              <w:pStyle w:val="TableParagraph"/>
              <w:numPr>
                <w:ilvl w:val="0"/>
                <w:numId w:val="116"/>
              </w:numPr>
              <w:tabs>
                <w:tab w:val="left" w:pos="455"/>
              </w:tabs>
              <w:spacing w:line="219" w:lineRule="exact"/>
              <w:rPr>
                <w:sz w:val="18"/>
              </w:rPr>
            </w:pPr>
            <w:r>
              <w:rPr>
                <w:sz w:val="18"/>
              </w:rPr>
              <w:t>Improving</w:t>
            </w:r>
            <w:r>
              <w:rPr>
                <w:spacing w:val="-4"/>
                <w:sz w:val="18"/>
              </w:rPr>
              <w:t xml:space="preserve"> </w:t>
            </w:r>
            <w:r>
              <w:rPr>
                <w:sz w:val="18"/>
              </w:rPr>
              <w:t>data</w:t>
            </w:r>
            <w:r>
              <w:rPr>
                <w:spacing w:val="-4"/>
                <w:sz w:val="18"/>
              </w:rPr>
              <w:t xml:space="preserve"> </w:t>
            </w:r>
            <w:r>
              <w:rPr>
                <w:sz w:val="18"/>
              </w:rPr>
              <w:t>interoperability</w:t>
            </w:r>
            <w:r>
              <w:rPr>
                <w:spacing w:val="-3"/>
                <w:sz w:val="18"/>
              </w:rPr>
              <w:t xml:space="preserve"> </w:t>
            </w:r>
            <w:r>
              <w:rPr>
                <w:sz w:val="18"/>
              </w:rPr>
              <w:t>across</w:t>
            </w:r>
            <w:r>
              <w:rPr>
                <w:spacing w:val="-3"/>
                <w:sz w:val="18"/>
              </w:rPr>
              <w:t xml:space="preserve"> </w:t>
            </w:r>
            <w:r>
              <w:rPr>
                <w:sz w:val="18"/>
              </w:rPr>
              <w:t>agencies</w:t>
            </w:r>
            <w:r>
              <w:rPr>
                <w:spacing w:val="-3"/>
                <w:sz w:val="18"/>
              </w:rPr>
              <w:t xml:space="preserve"> </w:t>
            </w:r>
            <w:r>
              <w:rPr>
                <w:sz w:val="18"/>
              </w:rPr>
              <w:t>for</w:t>
            </w:r>
            <w:r>
              <w:rPr>
                <w:spacing w:val="-3"/>
                <w:sz w:val="18"/>
              </w:rPr>
              <w:t xml:space="preserve"> </w:t>
            </w:r>
            <w:r>
              <w:rPr>
                <w:sz w:val="18"/>
              </w:rPr>
              <w:t>integrated,</w:t>
            </w:r>
            <w:r>
              <w:rPr>
                <w:spacing w:val="-4"/>
                <w:sz w:val="18"/>
              </w:rPr>
              <w:t xml:space="preserve"> </w:t>
            </w:r>
            <w:r>
              <w:rPr>
                <w:sz w:val="18"/>
              </w:rPr>
              <w:t>cross-sector</w:t>
            </w:r>
            <w:r>
              <w:rPr>
                <w:spacing w:val="-2"/>
                <w:sz w:val="18"/>
              </w:rPr>
              <w:t xml:space="preserve"> </w:t>
            </w:r>
            <w:r>
              <w:rPr>
                <w:spacing w:val="-4"/>
                <w:sz w:val="18"/>
              </w:rPr>
              <w:t>use.</w:t>
            </w:r>
          </w:p>
          <w:p w14:paraId="4D05A9A4" w14:textId="77777777" w:rsidR="00BC24A8" w:rsidRDefault="00000000">
            <w:pPr>
              <w:pStyle w:val="TableParagraph"/>
              <w:numPr>
                <w:ilvl w:val="0"/>
                <w:numId w:val="116"/>
              </w:numPr>
              <w:tabs>
                <w:tab w:val="left" w:pos="455"/>
              </w:tabs>
              <w:ind w:right="458"/>
              <w:rPr>
                <w:sz w:val="18"/>
              </w:rPr>
            </w:pPr>
            <w:r>
              <w:rPr>
                <w:sz w:val="18"/>
              </w:rPr>
              <w:t>Building</w:t>
            </w:r>
            <w:r>
              <w:rPr>
                <w:spacing w:val="-5"/>
                <w:sz w:val="18"/>
              </w:rPr>
              <w:t xml:space="preserve"> </w:t>
            </w:r>
            <w:r>
              <w:rPr>
                <w:sz w:val="18"/>
              </w:rPr>
              <w:t>agency</w:t>
            </w:r>
            <w:r>
              <w:rPr>
                <w:spacing w:val="-4"/>
                <w:sz w:val="18"/>
              </w:rPr>
              <w:t xml:space="preserve"> </w:t>
            </w:r>
            <w:r>
              <w:rPr>
                <w:sz w:val="18"/>
              </w:rPr>
              <w:t>capacity</w:t>
            </w:r>
            <w:r>
              <w:rPr>
                <w:spacing w:val="-6"/>
                <w:sz w:val="18"/>
              </w:rPr>
              <w:t xml:space="preserve"> </w:t>
            </w:r>
            <w:r>
              <w:rPr>
                <w:sz w:val="18"/>
              </w:rPr>
              <w:t>in</w:t>
            </w:r>
            <w:r>
              <w:rPr>
                <w:spacing w:val="-4"/>
                <w:sz w:val="18"/>
              </w:rPr>
              <w:t xml:space="preserve"> </w:t>
            </w:r>
            <w:r>
              <w:rPr>
                <w:sz w:val="18"/>
              </w:rPr>
              <w:t>inclusive</w:t>
            </w:r>
            <w:r>
              <w:rPr>
                <w:spacing w:val="-4"/>
                <w:sz w:val="18"/>
              </w:rPr>
              <w:t xml:space="preserve"> </w:t>
            </w:r>
            <w:r>
              <w:rPr>
                <w:sz w:val="18"/>
              </w:rPr>
              <w:t>and</w:t>
            </w:r>
            <w:r>
              <w:rPr>
                <w:spacing w:val="-4"/>
                <w:sz w:val="18"/>
              </w:rPr>
              <w:t xml:space="preserve"> </w:t>
            </w:r>
            <w:r>
              <w:rPr>
                <w:sz w:val="18"/>
              </w:rPr>
              <w:t>responsive</w:t>
            </w:r>
            <w:r>
              <w:rPr>
                <w:spacing w:val="-4"/>
                <w:sz w:val="18"/>
              </w:rPr>
              <w:t xml:space="preserve"> </w:t>
            </w:r>
            <w:r>
              <w:rPr>
                <w:sz w:val="18"/>
              </w:rPr>
              <w:t>data</w:t>
            </w:r>
            <w:r>
              <w:rPr>
                <w:spacing w:val="-5"/>
                <w:sz w:val="18"/>
              </w:rPr>
              <w:t xml:space="preserve"> </w:t>
            </w:r>
            <w:r>
              <w:rPr>
                <w:sz w:val="18"/>
              </w:rPr>
              <w:t>management,</w:t>
            </w:r>
            <w:r>
              <w:rPr>
                <w:spacing w:val="-5"/>
                <w:sz w:val="18"/>
              </w:rPr>
              <w:t xml:space="preserve"> </w:t>
            </w:r>
            <w:r>
              <w:rPr>
                <w:sz w:val="18"/>
              </w:rPr>
              <w:t>analysis,</w:t>
            </w:r>
            <w:r>
              <w:rPr>
                <w:spacing w:val="-5"/>
                <w:sz w:val="18"/>
              </w:rPr>
              <w:t xml:space="preserve"> </w:t>
            </w:r>
            <w:r>
              <w:rPr>
                <w:sz w:val="18"/>
              </w:rPr>
              <w:t xml:space="preserve">and </w:t>
            </w:r>
            <w:r>
              <w:rPr>
                <w:spacing w:val="-2"/>
                <w:sz w:val="18"/>
              </w:rPr>
              <w:t>presentation.</w:t>
            </w:r>
          </w:p>
          <w:p w14:paraId="6D49E66C" w14:textId="77777777" w:rsidR="00BC24A8" w:rsidRDefault="00000000">
            <w:pPr>
              <w:pStyle w:val="TableParagraph"/>
              <w:numPr>
                <w:ilvl w:val="0"/>
                <w:numId w:val="116"/>
              </w:numPr>
              <w:tabs>
                <w:tab w:val="left" w:pos="455"/>
              </w:tabs>
              <w:ind w:right="693"/>
              <w:rPr>
                <w:sz w:val="18"/>
              </w:rPr>
            </w:pPr>
            <w:r>
              <w:rPr>
                <w:sz w:val="18"/>
              </w:rPr>
              <w:t>Creating</w:t>
            </w:r>
            <w:r>
              <w:rPr>
                <w:spacing w:val="-5"/>
                <w:sz w:val="18"/>
              </w:rPr>
              <w:t xml:space="preserve"> </w:t>
            </w:r>
            <w:r>
              <w:rPr>
                <w:sz w:val="18"/>
              </w:rPr>
              <w:t>dashboards</w:t>
            </w:r>
            <w:r>
              <w:rPr>
                <w:spacing w:val="-4"/>
                <w:sz w:val="18"/>
              </w:rPr>
              <w:t xml:space="preserve"> </w:t>
            </w:r>
            <w:r>
              <w:rPr>
                <w:sz w:val="18"/>
              </w:rPr>
              <w:t>or</w:t>
            </w:r>
            <w:r>
              <w:rPr>
                <w:spacing w:val="-4"/>
                <w:sz w:val="18"/>
              </w:rPr>
              <w:t xml:space="preserve"> </w:t>
            </w:r>
            <w:r>
              <w:rPr>
                <w:sz w:val="18"/>
              </w:rPr>
              <w:t>visualisations</w:t>
            </w:r>
            <w:r>
              <w:rPr>
                <w:spacing w:val="-5"/>
                <w:sz w:val="18"/>
              </w:rPr>
              <w:t xml:space="preserve"> </w:t>
            </w:r>
            <w:r>
              <w:rPr>
                <w:sz w:val="18"/>
              </w:rPr>
              <w:t>for</w:t>
            </w:r>
            <w:r>
              <w:rPr>
                <w:spacing w:val="-4"/>
                <w:sz w:val="18"/>
              </w:rPr>
              <w:t xml:space="preserve"> </w:t>
            </w:r>
            <w:r>
              <w:rPr>
                <w:sz w:val="18"/>
              </w:rPr>
              <w:t>basic</w:t>
            </w:r>
            <w:r>
              <w:rPr>
                <w:spacing w:val="-4"/>
                <w:sz w:val="18"/>
              </w:rPr>
              <w:t xml:space="preserve"> </w:t>
            </w:r>
            <w:r>
              <w:rPr>
                <w:sz w:val="18"/>
              </w:rPr>
              <w:t>services,</w:t>
            </w:r>
            <w:r>
              <w:rPr>
                <w:spacing w:val="-5"/>
                <w:sz w:val="18"/>
              </w:rPr>
              <w:t xml:space="preserve"> </w:t>
            </w:r>
            <w:r>
              <w:rPr>
                <w:sz w:val="18"/>
              </w:rPr>
              <w:t>disaggregated</w:t>
            </w:r>
            <w:r>
              <w:rPr>
                <w:spacing w:val="-4"/>
                <w:sz w:val="18"/>
              </w:rPr>
              <w:t xml:space="preserve"> </w:t>
            </w:r>
            <w:r>
              <w:rPr>
                <w:sz w:val="18"/>
              </w:rPr>
              <w:t>by</w:t>
            </w:r>
            <w:r>
              <w:rPr>
                <w:spacing w:val="-4"/>
                <w:sz w:val="18"/>
              </w:rPr>
              <w:t xml:space="preserve"> </w:t>
            </w:r>
            <w:r>
              <w:rPr>
                <w:sz w:val="18"/>
              </w:rPr>
              <w:t>gender, disability, location, and other social groups.</w:t>
            </w:r>
          </w:p>
          <w:p w14:paraId="4719A203" w14:textId="77777777" w:rsidR="00BC24A8" w:rsidRDefault="00000000">
            <w:pPr>
              <w:pStyle w:val="TableParagraph"/>
              <w:numPr>
                <w:ilvl w:val="0"/>
                <w:numId w:val="116"/>
              </w:numPr>
              <w:tabs>
                <w:tab w:val="left" w:pos="455"/>
              </w:tabs>
              <w:ind w:right="177"/>
              <w:rPr>
                <w:sz w:val="18"/>
              </w:rPr>
            </w:pPr>
            <w:r>
              <w:rPr>
                <w:sz w:val="18"/>
              </w:rPr>
              <w:t>Collaborating</w:t>
            </w:r>
            <w:r>
              <w:rPr>
                <w:spacing w:val="-4"/>
                <w:sz w:val="18"/>
              </w:rPr>
              <w:t xml:space="preserve"> </w:t>
            </w:r>
            <w:r>
              <w:rPr>
                <w:sz w:val="18"/>
              </w:rPr>
              <w:t>with</w:t>
            </w:r>
            <w:r>
              <w:rPr>
                <w:spacing w:val="-3"/>
                <w:sz w:val="18"/>
              </w:rPr>
              <w:t xml:space="preserve"> </w:t>
            </w:r>
            <w:r>
              <w:rPr>
                <w:sz w:val="18"/>
              </w:rPr>
              <w:t>CSOs,</w:t>
            </w:r>
            <w:r>
              <w:rPr>
                <w:spacing w:val="-4"/>
                <w:sz w:val="18"/>
              </w:rPr>
              <w:t xml:space="preserve"> </w:t>
            </w:r>
            <w:r>
              <w:rPr>
                <w:sz w:val="18"/>
              </w:rPr>
              <w:t>academics,</w:t>
            </w:r>
            <w:r>
              <w:rPr>
                <w:spacing w:val="-4"/>
                <w:sz w:val="18"/>
              </w:rPr>
              <w:t xml:space="preserve"> </w:t>
            </w:r>
            <w:r>
              <w:rPr>
                <w:sz w:val="18"/>
              </w:rPr>
              <w:t>and</w:t>
            </w:r>
            <w:r>
              <w:rPr>
                <w:spacing w:val="-3"/>
                <w:sz w:val="18"/>
              </w:rPr>
              <w:t xml:space="preserve"> </w:t>
            </w:r>
            <w:r>
              <w:rPr>
                <w:sz w:val="18"/>
              </w:rPr>
              <w:t>communities</w:t>
            </w:r>
            <w:r>
              <w:rPr>
                <w:spacing w:val="-3"/>
                <w:sz w:val="18"/>
              </w:rPr>
              <w:t xml:space="preserve"> </w:t>
            </w:r>
            <w:r>
              <w:rPr>
                <w:sz w:val="18"/>
              </w:rPr>
              <w:t>in</w:t>
            </w:r>
            <w:r>
              <w:rPr>
                <w:spacing w:val="-3"/>
                <w:sz w:val="18"/>
              </w:rPr>
              <w:t xml:space="preserve"> </w:t>
            </w:r>
            <w:r>
              <w:rPr>
                <w:sz w:val="18"/>
              </w:rPr>
              <w:t>collecting,</w:t>
            </w:r>
            <w:r>
              <w:rPr>
                <w:spacing w:val="-7"/>
                <w:sz w:val="18"/>
              </w:rPr>
              <w:t xml:space="preserve"> </w:t>
            </w:r>
            <w:r>
              <w:rPr>
                <w:sz w:val="18"/>
              </w:rPr>
              <w:t>validating,</w:t>
            </w:r>
            <w:r>
              <w:rPr>
                <w:spacing w:val="-4"/>
                <w:sz w:val="18"/>
              </w:rPr>
              <w:t xml:space="preserve"> </w:t>
            </w:r>
            <w:r>
              <w:rPr>
                <w:sz w:val="18"/>
              </w:rPr>
              <w:t>and</w:t>
            </w:r>
            <w:r>
              <w:rPr>
                <w:spacing w:val="-3"/>
                <w:sz w:val="18"/>
              </w:rPr>
              <w:t xml:space="preserve"> </w:t>
            </w:r>
            <w:r>
              <w:rPr>
                <w:sz w:val="18"/>
              </w:rPr>
              <w:t>using inclusive data for planning and advocacy.</w:t>
            </w:r>
          </w:p>
          <w:p w14:paraId="3D6932C5" w14:textId="77777777" w:rsidR="00BC24A8" w:rsidRDefault="00000000">
            <w:pPr>
              <w:pStyle w:val="TableParagraph"/>
              <w:numPr>
                <w:ilvl w:val="0"/>
                <w:numId w:val="116"/>
              </w:numPr>
              <w:tabs>
                <w:tab w:val="left" w:pos="455"/>
              </w:tabs>
              <w:ind w:right="527"/>
              <w:rPr>
                <w:sz w:val="18"/>
              </w:rPr>
            </w:pPr>
            <w:r>
              <w:rPr>
                <w:sz w:val="18"/>
              </w:rPr>
              <w:t>Establishing</w:t>
            </w:r>
            <w:r>
              <w:rPr>
                <w:spacing w:val="-4"/>
                <w:sz w:val="18"/>
              </w:rPr>
              <w:t xml:space="preserve"> </w:t>
            </w:r>
            <w:r>
              <w:rPr>
                <w:sz w:val="18"/>
              </w:rPr>
              <w:t>SOPs</w:t>
            </w:r>
            <w:r>
              <w:rPr>
                <w:spacing w:val="-3"/>
                <w:sz w:val="18"/>
              </w:rPr>
              <w:t xml:space="preserve"> </w:t>
            </w:r>
            <w:r>
              <w:rPr>
                <w:sz w:val="18"/>
              </w:rPr>
              <w:t>and</w:t>
            </w:r>
            <w:r>
              <w:rPr>
                <w:spacing w:val="-3"/>
                <w:sz w:val="18"/>
              </w:rPr>
              <w:t xml:space="preserve"> </w:t>
            </w:r>
            <w:r>
              <w:rPr>
                <w:sz w:val="18"/>
              </w:rPr>
              <w:t>reporting</w:t>
            </w:r>
            <w:r>
              <w:rPr>
                <w:spacing w:val="-6"/>
                <w:sz w:val="18"/>
              </w:rPr>
              <w:t xml:space="preserve"> </w:t>
            </w:r>
            <w:r>
              <w:rPr>
                <w:sz w:val="18"/>
              </w:rPr>
              <w:t>mechanisms</w:t>
            </w:r>
            <w:r>
              <w:rPr>
                <w:spacing w:val="-3"/>
                <w:sz w:val="18"/>
              </w:rPr>
              <w:t xml:space="preserve"> </w:t>
            </w:r>
            <w:r>
              <w:rPr>
                <w:sz w:val="18"/>
              </w:rPr>
              <w:t>to</w:t>
            </w:r>
            <w:r>
              <w:rPr>
                <w:spacing w:val="-4"/>
                <w:sz w:val="18"/>
              </w:rPr>
              <w:t xml:space="preserve"> </w:t>
            </w:r>
            <w:r>
              <w:rPr>
                <w:sz w:val="18"/>
              </w:rPr>
              <w:t>support</w:t>
            </w:r>
            <w:r>
              <w:rPr>
                <w:spacing w:val="-2"/>
                <w:sz w:val="18"/>
              </w:rPr>
              <w:t xml:space="preserve"> </w:t>
            </w:r>
            <w:r>
              <w:rPr>
                <w:sz w:val="18"/>
              </w:rPr>
              <w:t>decisions</w:t>
            </w:r>
            <w:r>
              <w:rPr>
                <w:spacing w:val="-6"/>
                <w:sz w:val="18"/>
              </w:rPr>
              <w:t xml:space="preserve"> </w:t>
            </w:r>
            <w:r>
              <w:rPr>
                <w:sz w:val="18"/>
              </w:rPr>
              <w:t>on</w:t>
            </w:r>
            <w:r>
              <w:rPr>
                <w:spacing w:val="-3"/>
                <w:sz w:val="18"/>
              </w:rPr>
              <w:t xml:space="preserve"> </w:t>
            </w:r>
            <w:r>
              <w:rPr>
                <w:sz w:val="18"/>
              </w:rPr>
              <w:t>basic</w:t>
            </w:r>
            <w:r>
              <w:rPr>
                <w:spacing w:val="-3"/>
                <w:sz w:val="18"/>
              </w:rPr>
              <w:t xml:space="preserve"> </w:t>
            </w:r>
            <w:r>
              <w:rPr>
                <w:sz w:val="18"/>
              </w:rPr>
              <w:t>services, including MSS achievements and service gaps.</w:t>
            </w:r>
          </w:p>
        </w:tc>
      </w:tr>
      <w:tr w:rsidR="00BC24A8" w14:paraId="3AA6FA1B" w14:textId="77777777">
        <w:trPr>
          <w:trHeight w:val="2209"/>
        </w:trPr>
        <w:tc>
          <w:tcPr>
            <w:tcW w:w="2084" w:type="dxa"/>
            <w:tcBorders>
              <w:top w:val="single" w:sz="4" w:space="0" w:color="BEBEBE"/>
              <w:bottom w:val="single" w:sz="4" w:space="0" w:color="BEBEBE"/>
            </w:tcBorders>
          </w:tcPr>
          <w:p w14:paraId="70292E77" w14:textId="77777777" w:rsidR="00BC24A8" w:rsidRDefault="00000000">
            <w:pPr>
              <w:pStyle w:val="TableParagraph"/>
              <w:spacing w:before="116"/>
              <w:ind w:left="115" w:right="129"/>
              <w:rPr>
                <w:sz w:val="18"/>
              </w:rPr>
            </w:pPr>
            <w:r>
              <w:rPr>
                <w:sz w:val="18"/>
              </w:rPr>
              <w:t>Develop a more consolidated and inclusive framework for MSS</w:t>
            </w:r>
            <w:r>
              <w:rPr>
                <w:spacing w:val="-11"/>
                <w:sz w:val="18"/>
              </w:rPr>
              <w:t xml:space="preserve"> </w:t>
            </w:r>
            <w:r>
              <w:rPr>
                <w:sz w:val="18"/>
              </w:rPr>
              <w:t>implementation</w:t>
            </w:r>
            <w:r>
              <w:rPr>
                <w:spacing w:val="-10"/>
                <w:sz w:val="18"/>
              </w:rPr>
              <w:t xml:space="preserve"> </w:t>
            </w:r>
            <w:r>
              <w:rPr>
                <w:sz w:val="18"/>
              </w:rPr>
              <w:t>and routine planning</w:t>
            </w:r>
          </w:p>
        </w:tc>
        <w:tc>
          <w:tcPr>
            <w:tcW w:w="7015" w:type="dxa"/>
            <w:tcBorders>
              <w:top w:val="single" w:sz="4" w:space="0" w:color="BEBEBE"/>
              <w:bottom w:val="single" w:sz="4" w:space="0" w:color="BEBEBE"/>
            </w:tcBorders>
          </w:tcPr>
          <w:p w14:paraId="76E86E48" w14:textId="77777777" w:rsidR="00BC24A8" w:rsidRDefault="00000000">
            <w:pPr>
              <w:pStyle w:val="TableParagraph"/>
              <w:spacing w:before="56"/>
              <w:ind w:left="124" w:right="266"/>
              <w:jc w:val="both"/>
              <w:rPr>
                <w:sz w:val="18"/>
              </w:rPr>
            </w:pPr>
            <w:r>
              <w:rPr>
                <w:sz w:val="18"/>
              </w:rPr>
              <w:t>Efforts</w:t>
            </w:r>
            <w:r>
              <w:rPr>
                <w:spacing w:val="-3"/>
                <w:sz w:val="18"/>
              </w:rPr>
              <w:t xml:space="preserve"> </w:t>
            </w:r>
            <w:r>
              <w:rPr>
                <w:sz w:val="18"/>
              </w:rPr>
              <w:t>to</w:t>
            </w:r>
            <w:r>
              <w:rPr>
                <w:spacing w:val="-4"/>
                <w:sz w:val="18"/>
              </w:rPr>
              <w:t xml:space="preserve"> </w:t>
            </w:r>
            <w:r>
              <w:rPr>
                <w:sz w:val="18"/>
              </w:rPr>
              <w:t>integrate</w:t>
            </w:r>
            <w:r>
              <w:rPr>
                <w:spacing w:val="-3"/>
                <w:sz w:val="18"/>
              </w:rPr>
              <w:t xml:space="preserve"> </w:t>
            </w:r>
            <w:r>
              <w:rPr>
                <w:sz w:val="18"/>
              </w:rPr>
              <w:t>MSS</w:t>
            </w:r>
            <w:r>
              <w:rPr>
                <w:spacing w:val="-3"/>
                <w:sz w:val="18"/>
              </w:rPr>
              <w:t xml:space="preserve"> </w:t>
            </w:r>
            <w:r>
              <w:rPr>
                <w:sz w:val="18"/>
              </w:rPr>
              <w:t>across</w:t>
            </w:r>
            <w:r>
              <w:rPr>
                <w:spacing w:val="-3"/>
                <w:sz w:val="18"/>
              </w:rPr>
              <w:t xml:space="preserve"> </w:t>
            </w:r>
            <w:r>
              <w:rPr>
                <w:sz w:val="18"/>
              </w:rPr>
              <w:t>all</w:t>
            </w:r>
            <w:r>
              <w:rPr>
                <w:spacing w:val="-5"/>
                <w:sz w:val="18"/>
              </w:rPr>
              <w:t xml:space="preserve"> </w:t>
            </w:r>
            <w:r>
              <w:rPr>
                <w:sz w:val="18"/>
              </w:rPr>
              <w:t>regional</w:t>
            </w:r>
            <w:r>
              <w:rPr>
                <w:spacing w:val="-2"/>
                <w:sz w:val="18"/>
              </w:rPr>
              <w:t xml:space="preserve"> </w:t>
            </w:r>
            <w:r>
              <w:rPr>
                <w:sz w:val="18"/>
              </w:rPr>
              <w:t>planning</w:t>
            </w:r>
            <w:r>
              <w:rPr>
                <w:spacing w:val="-4"/>
                <w:sz w:val="18"/>
              </w:rPr>
              <w:t xml:space="preserve"> </w:t>
            </w:r>
            <w:r>
              <w:rPr>
                <w:sz w:val="18"/>
              </w:rPr>
              <w:t>and</w:t>
            </w:r>
            <w:r>
              <w:rPr>
                <w:spacing w:val="-3"/>
                <w:sz w:val="18"/>
              </w:rPr>
              <w:t xml:space="preserve"> </w:t>
            </w:r>
            <w:r>
              <w:rPr>
                <w:sz w:val="18"/>
              </w:rPr>
              <w:t>budgeting</w:t>
            </w:r>
            <w:r>
              <w:rPr>
                <w:spacing w:val="-6"/>
                <w:sz w:val="18"/>
              </w:rPr>
              <w:t xml:space="preserve"> </w:t>
            </w:r>
            <w:r>
              <w:rPr>
                <w:sz w:val="18"/>
              </w:rPr>
              <w:t>documents,</w:t>
            </w:r>
            <w:r>
              <w:rPr>
                <w:spacing w:val="-4"/>
                <w:sz w:val="18"/>
              </w:rPr>
              <w:t xml:space="preserve"> </w:t>
            </w:r>
            <w:r>
              <w:rPr>
                <w:sz w:val="18"/>
              </w:rPr>
              <w:t>as</w:t>
            </w:r>
            <w:r>
              <w:rPr>
                <w:spacing w:val="-3"/>
                <w:sz w:val="18"/>
              </w:rPr>
              <w:t xml:space="preserve"> </w:t>
            </w:r>
            <w:r>
              <w:rPr>
                <w:sz w:val="18"/>
              </w:rPr>
              <w:t>well</w:t>
            </w:r>
            <w:r>
              <w:rPr>
                <w:spacing w:val="-2"/>
                <w:sz w:val="18"/>
              </w:rPr>
              <w:t xml:space="preserve"> </w:t>
            </w:r>
            <w:r>
              <w:rPr>
                <w:sz w:val="18"/>
              </w:rPr>
              <w:t>as</w:t>
            </w:r>
            <w:r>
              <w:rPr>
                <w:spacing w:val="-3"/>
                <w:sz w:val="18"/>
              </w:rPr>
              <w:t xml:space="preserve"> </w:t>
            </w:r>
            <w:r>
              <w:rPr>
                <w:sz w:val="18"/>
              </w:rPr>
              <w:t>to strengthen the Provincial MSS Implementation Team in supervising and providing technical assistance to districts/cities, can be supported through:</w:t>
            </w:r>
          </w:p>
          <w:p w14:paraId="4DDBC574" w14:textId="77777777" w:rsidR="00BC24A8" w:rsidRDefault="00000000">
            <w:pPr>
              <w:pStyle w:val="TableParagraph"/>
              <w:numPr>
                <w:ilvl w:val="0"/>
                <w:numId w:val="115"/>
              </w:numPr>
              <w:tabs>
                <w:tab w:val="left" w:pos="455"/>
              </w:tabs>
              <w:spacing w:before="61" w:line="219" w:lineRule="exact"/>
              <w:rPr>
                <w:sz w:val="18"/>
              </w:rPr>
            </w:pPr>
            <w:r>
              <w:rPr>
                <w:sz w:val="18"/>
              </w:rPr>
              <w:t>Facilitating</w:t>
            </w:r>
            <w:r>
              <w:rPr>
                <w:spacing w:val="-5"/>
                <w:sz w:val="18"/>
              </w:rPr>
              <w:t xml:space="preserve"> </w:t>
            </w:r>
            <w:r>
              <w:rPr>
                <w:sz w:val="18"/>
              </w:rPr>
              <w:t>the</w:t>
            </w:r>
            <w:r>
              <w:rPr>
                <w:spacing w:val="-1"/>
                <w:sz w:val="18"/>
              </w:rPr>
              <w:t xml:space="preserve"> </w:t>
            </w:r>
            <w:r>
              <w:rPr>
                <w:sz w:val="18"/>
              </w:rPr>
              <w:t>calculation</w:t>
            </w:r>
            <w:r>
              <w:rPr>
                <w:spacing w:val="-2"/>
                <w:sz w:val="18"/>
              </w:rPr>
              <w:t xml:space="preserve"> </w:t>
            </w:r>
            <w:r>
              <w:rPr>
                <w:sz w:val="18"/>
              </w:rPr>
              <w:t>of</w:t>
            </w:r>
            <w:r>
              <w:rPr>
                <w:spacing w:val="-2"/>
                <w:sz w:val="18"/>
              </w:rPr>
              <w:t xml:space="preserve"> </w:t>
            </w:r>
            <w:r>
              <w:rPr>
                <w:sz w:val="18"/>
              </w:rPr>
              <w:t>MSS</w:t>
            </w:r>
            <w:r>
              <w:rPr>
                <w:spacing w:val="-1"/>
                <w:sz w:val="18"/>
              </w:rPr>
              <w:t xml:space="preserve"> </w:t>
            </w:r>
            <w:r>
              <w:rPr>
                <w:sz w:val="18"/>
              </w:rPr>
              <w:t>financing</w:t>
            </w:r>
            <w:r>
              <w:rPr>
                <w:spacing w:val="-2"/>
                <w:sz w:val="18"/>
              </w:rPr>
              <w:t xml:space="preserve"> needs.</w:t>
            </w:r>
          </w:p>
          <w:p w14:paraId="0332D261" w14:textId="77777777" w:rsidR="00BC24A8" w:rsidRDefault="00000000">
            <w:pPr>
              <w:pStyle w:val="TableParagraph"/>
              <w:numPr>
                <w:ilvl w:val="0"/>
                <w:numId w:val="115"/>
              </w:numPr>
              <w:tabs>
                <w:tab w:val="left" w:pos="455"/>
              </w:tabs>
              <w:ind w:right="1284"/>
              <w:rPr>
                <w:sz w:val="18"/>
              </w:rPr>
            </w:pPr>
            <w:r>
              <w:rPr>
                <w:sz w:val="18"/>
              </w:rPr>
              <w:t>Strengthening</w:t>
            </w:r>
            <w:r>
              <w:rPr>
                <w:spacing w:val="-5"/>
                <w:sz w:val="18"/>
              </w:rPr>
              <w:t xml:space="preserve"> </w:t>
            </w:r>
            <w:r>
              <w:rPr>
                <w:sz w:val="18"/>
              </w:rPr>
              <w:t>the</w:t>
            </w:r>
            <w:r>
              <w:rPr>
                <w:spacing w:val="-7"/>
                <w:sz w:val="18"/>
              </w:rPr>
              <w:t xml:space="preserve"> </w:t>
            </w:r>
            <w:r>
              <w:rPr>
                <w:sz w:val="18"/>
              </w:rPr>
              <w:t>coordination</w:t>
            </w:r>
            <w:r>
              <w:rPr>
                <w:spacing w:val="-4"/>
                <w:sz w:val="18"/>
              </w:rPr>
              <w:t xml:space="preserve"> </w:t>
            </w:r>
            <w:r>
              <w:rPr>
                <w:sz w:val="18"/>
              </w:rPr>
              <w:t>and</w:t>
            </w:r>
            <w:r>
              <w:rPr>
                <w:spacing w:val="-4"/>
                <w:sz w:val="18"/>
              </w:rPr>
              <w:t xml:space="preserve"> </w:t>
            </w:r>
            <w:r>
              <w:rPr>
                <w:sz w:val="18"/>
              </w:rPr>
              <w:t>mentoring</w:t>
            </w:r>
            <w:r>
              <w:rPr>
                <w:spacing w:val="-5"/>
                <w:sz w:val="18"/>
              </w:rPr>
              <w:t xml:space="preserve"> </w:t>
            </w:r>
            <w:r>
              <w:rPr>
                <w:sz w:val="18"/>
              </w:rPr>
              <w:t>role</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Provincial</w:t>
            </w:r>
            <w:r>
              <w:rPr>
                <w:spacing w:val="-3"/>
                <w:sz w:val="18"/>
              </w:rPr>
              <w:t xml:space="preserve"> </w:t>
            </w:r>
            <w:r>
              <w:rPr>
                <w:sz w:val="18"/>
              </w:rPr>
              <w:t>MSS Implementation Team.</w:t>
            </w:r>
          </w:p>
          <w:p w14:paraId="4FBD818B" w14:textId="77777777" w:rsidR="00BC24A8" w:rsidRDefault="00000000">
            <w:pPr>
              <w:pStyle w:val="TableParagraph"/>
              <w:numPr>
                <w:ilvl w:val="0"/>
                <w:numId w:val="115"/>
              </w:numPr>
              <w:tabs>
                <w:tab w:val="left" w:pos="455"/>
              </w:tabs>
              <w:spacing w:before="2"/>
              <w:ind w:right="401"/>
              <w:rPr>
                <w:sz w:val="18"/>
              </w:rPr>
            </w:pPr>
            <w:r>
              <w:rPr>
                <w:sz w:val="18"/>
              </w:rPr>
              <w:t>Enhancing</w:t>
            </w:r>
            <w:r>
              <w:rPr>
                <w:spacing w:val="-5"/>
                <w:sz w:val="18"/>
              </w:rPr>
              <w:t xml:space="preserve"> </w:t>
            </w:r>
            <w:r>
              <w:rPr>
                <w:sz w:val="18"/>
              </w:rPr>
              <w:t>capacity</w:t>
            </w:r>
            <w:r>
              <w:rPr>
                <w:spacing w:val="-4"/>
                <w:sz w:val="18"/>
              </w:rPr>
              <w:t xml:space="preserve"> </w:t>
            </w:r>
            <w:r>
              <w:rPr>
                <w:sz w:val="18"/>
              </w:rPr>
              <w:t>in</w:t>
            </w:r>
            <w:r>
              <w:rPr>
                <w:spacing w:val="-6"/>
                <w:sz w:val="18"/>
              </w:rPr>
              <w:t xml:space="preserve"> </w:t>
            </w:r>
            <w:r>
              <w:rPr>
                <w:sz w:val="18"/>
              </w:rPr>
              <w:t>regional</w:t>
            </w:r>
            <w:r>
              <w:rPr>
                <w:spacing w:val="-3"/>
                <w:sz w:val="18"/>
              </w:rPr>
              <w:t xml:space="preserve"> </w:t>
            </w:r>
            <w:r>
              <w:rPr>
                <w:sz w:val="18"/>
              </w:rPr>
              <w:t>planning,</w:t>
            </w:r>
            <w:r>
              <w:rPr>
                <w:spacing w:val="-5"/>
                <w:sz w:val="18"/>
              </w:rPr>
              <w:t xml:space="preserve"> </w:t>
            </w:r>
            <w:r>
              <w:rPr>
                <w:sz w:val="18"/>
              </w:rPr>
              <w:t>including</w:t>
            </w:r>
            <w:r>
              <w:rPr>
                <w:spacing w:val="-5"/>
                <w:sz w:val="18"/>
              </w:rPr>
              <w:t xml:space="preserve"> </w:t>
            </w:r>
            <w:r>
              <w:rPr>
                <w:sz w:val="18"/>
              </w:rPr>
              <w:t>integrating</w:t>
            </w:r>
            <w:r>
              <w:rPr>
                <w:spacing w:val="-5"/>
                <w:sz w:val="18"/>
              </w:rPr>
              <w:t xml:space="preserve"> </w:t>
            </w:r>
            <w:r>
              <w:rPr>
                <w:sz w:val="18"/>
              </w:rPr>
              <w:t>various</w:t>
            </w:r>
            <w:r>
              <w:rPr>
                <w:spacing w:val="-4"/>
                <w:sz w:val="18"/>
              </w:rPr>
              <w:t xml:space="preserve"> </w:t>
            </w:r>
            <w:r>
              <w:rPr>
                <w:sz w:val="18"/>
              </w:rPr>
              <w:t>thematic</w:t>
            </w:r>
            <w:r>
              <w:rPr>
                <w:spacing w:val="-4"/>
                <w:sz w:val="18"/>
              </w:rPr>
              <w:t xml:space="preserve"> </w:t>
            </w:r>
            <w:r>
              <w:rPr>
                <w:sz w:val="18"/>
              </w:rPr>
              <w:t xml:space="preserve">action </w:t>
            </w:r>
            <w:r>
              <w:rPr>
                <w:spacing w:val="-2"/>
                <w:sz w:val="18"/>
              </w:rPr>
              <w:t>plans.</w:t>
            </w:r>
          </w:p>
          <w:p w14:paraId="341F9514" w14:textId="77777777" w:rsidR="00BC24A8" w:rsidRDefault="00000000">
            <w:pPr>
              <w:pStyle w:val="TableParagraph"/>
              <w:numPr>
                <w:ilvl w:val="0"/>
                <w:numId w:val="115"/>
              </w:numPr>
              <w:tabs>
                <w:tab w:val="left" w:pos="455"/>
              </w:tabs>
              <w:spacing w:line="219" w:lineRule="exact"/>
              <w:rPr>
                <w:sz w:val="18"/>
              </w:rPr>
            </w:pPr>
            <w:r>
              <w:rPr>
                <w:sz w:val="18"/>
              </w:rPr>
              <w:t>Advocating</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preparation</w:t>
            </w:r>
            <w:r>
              <w:rPr>
                <w:spacing w:val="-2"/>
                <w:sz w:val="18"/>
              </w:rPr>
              <w:t xml:space="preserve"> </w:t>
            </w:r>
            <w:r>
              <w:rPr>
                <w:sz w:val="18"/>
              </w:rPr>
              <w:t>of</w:t>
            </w:r>
            <w:r>
              <w:rPr>
                <w:spacing w:val="-2"/>
                <w:sz w:val="18"/>
              </w:rPr>
              <w:t xml:space="preserve"> </w:t>
            </w:r>
            <w:r>
              <w:rPr>
                <w:sz w:val="18"/>
              </w:rPr>
              <w:t>regional</w:t>
            </w:r>
            <w:r>
              <w:rPr>
                <w:spacing w:val="-1"/>
                <w:sz w:val="18"/>
              </w:rPr>
              <w:t xml:space="preserve"> </w:t>
            </w:r>
            <w:r>
              <w:rPr>
                <w:sz w:val="18"/>
              </w:rPr>
              <w:t>planning</w:t>
            </w:r>
            <w:r>
              <w:rPr>
                <w:spacing w:val="-2"/>
                <w:sz w:val="18"/>
              </w:rPr>
              <w:t xml:space="preserve"> </w:t>
            </w:r>
            <w:r>
              <w:rPr>
                <w:sz w:val="18"/>
              </w:rPr>
              <w:t>and</w:t>
            </w:r>
            <w:r>
              <w:rPr>
                <w:spacing w:val="-2"/>
                <w:sz w:val="18"/>
              </w:rPr>
              <w:t xml:space="preserve"> </w:t>
            </w:r>
            <w:r>
              <w:rPr>
                <w:sz w:val="18"/>
              </w:rPr>
              <w:t>budgeting</w:t>
            </w:r>
            <w:r>
              <w:rPr>
                <w:spacing w:val="-4"/>
                <w:sz w:val="18"/>
              </w:rPr>
              <w:t xml:space="preserve"> </w:t>
            </w:r>
            <w:r>
              <w:rPr>
                <w:spacing w:val="-2"/>
                <w:sz w:val="18"/>
              </w:rPr>
              <w:t>documents.</w:t>
            </w:r>
          </w:p>
        </w:tc>
      </w:tr>
      <w:tr w:rsidR="00BC24A8" w14:paraId="115106A0" w14:textId="77777777">
        <w:trPr>
          <w:trHeight w:val="1773"/>
        </w:trPr>
        <w:tc>
          <w:tcPr>
            <w:tcW w:w="2084" w:type="dxa"/>
            <w:tcBorders>
              <w:top w:val="single" w:sz="4" w:space="0" w:color="BEBEBE"/>
              <w:bottom w:val="single" w:sz="4" w:space="0" w:color="BEBEBE"/>
            </w:tcBorders>
          </w:tcPr>
          <w:p w14:paraId="32D5AF7B" w14:textId="77777777" w:rsidR="00BC24A8" w:rsidRDefault="00000000">
            <w:pPr>
              <w:pStyle w:val="TableParagraph"/>
              <w:spacing w:before="119"/>
              <w:ind w:left="115" w:right="163"/>
              <w:rPr>
                <w:sz w:val="18"/>
              </w:rPr>
            </w:pPr>
            <w:r>
              <w:rPr>
                <w:sz w:val="18"/>
              </w:rPr>
              <w:t>Establish a more responsive</w:t>
            </w:r>
            <w:r>
              <w:rPr>
                <w:spacing w:val="-2"/>
                <w:sz w:val="18"/>
              </w:rPr>
              <w:t xml:space="preserve"> </w:t>
            </w:r>
            <w:r>
              <w:rPr>
                <w:sz w:val="18"/>
              </w:rPr>
              <w:t>local government budget management</w:t>
            </w:r>
            <w:r>
              <w:rPr>
                <w:spacing w:val="-11"/>
                <w:sz w:val="18"/>
              </w:rPr>
              <w:t xml:space="preserve"> </w:t>
            </w:r>
            <w:r>
              <w:rPr>
                <w:sz w:val="18"/>
              </w:rPr>
              <w:t>framework to ensure inclusive basic service</w:t>
            </w:r>
            <w:r>
              <w:rPr>
                <w:spacing w:val="-2"/>
                <w:sz w:val="18"/>
              </w:rPr>
              <w:t xml:space="preserve"> </w:t>
            </w:r>
            <w:r>
              <w:rPr>
                <w:sz w:val="18"/>
              </w:rPr>
              <w:t>delivery</w:t>
            </w:r>
          </w:p>
        </w:tc>
        <w:tc>
          <w:tcPr>
            <w:tcW w:w="7015" w:type="dxa"/>
            <w:tcBorders>
              <w:top w:val="single" w:sz="4" w:space="0" w:color="BEBEBE"/>
              <w:bottom w:val="single" w:sz="4" w:space="0" w:color="BEBEBE"/>
            </w:tcBorders>
          </w:tcPr>
          <w:p w14:paraId="4AB9DB13" w14:textId="77777777" w:rsidR="00BC24A8" w:rsidRDefault="00000000">
            <w:pPr>
              <w:pStyle w:val="TableParagraph"/>
              <w:spacing w:before="59"/>
              <w:ind w:left="124"/>
              <w:rPr>
                <w:sz w:val="18"/>
              </w:rPr>
            </w:pPr>
            <w:r>
              <w:rPr>
                <w:sz w:val="18"/>
              </w:rPr>
              <w:t>Efforts</w:t>
            </w:r>
            <w:r>
              <w:rPr>
                <w:spacing w:val="-3"/>
                <w:sz w:val="18"/>
              </w:rPr>
              <w:t xml:space="preserve"> </w:t>
            </w:r>
            <w:r>
              <w:rPr>
                <w:sz w:val="18"/>
              </w:rPr>
              <w:t>to</w:t>
            </w:r>
            <w:r>
              <w:rPr>
                <w:spacing w:val="-4"/>
                <w:sz w:val="18"/>
              </w:rPr>
              <w:t xml:space="preserve"> </w:t>
            </w:r>
            <w:r>
              <w:rPr>
                <w:sz w:val="18"/>
              </w:rPr>
              <w:t>ensure</w:t>
            </w:r>
            <w:r>
              <w:rPr>
                <w:spacing w:val="-3"/>
                <w:sz w:val="18"/>
              </w:rPr>
              <w:t xml:space="preserve"> </w:t>
            </w:r>
            <w:r>
              <w:rPr>
                <w:sz w:val="18"/>
              </w:rPr>
              <w:t>public</w:t>
            </w:r>
            <w:r>
              <w:rPr>
                <w:spacing w:val="-3"/>
                <w:sz w:val="18"/>
              </w:rPr>
              <w:t xml:space="preserve"> </w:t>
            </w:r>
            <w:r>
              <w:rPr>
                <w:sz w:val="18"/>
              </w:rPr>
              <w:t>budgets</w:t>
            </w:r>
            <w:r>
              <w:rPr>
                <w:spacing w:val="-3"/>
                <w:sz w:val="18"/>
              </w:rPr>
              <w:t xml:space="preserve"> </w:t>
            </w:r>
            <w:r>
              <w:rPr>
                <w:sz w:val="18"/>
              </w:rPr>
              <w:t>are</w:t>
            </w:r>
            <w:r>
              <w:rPr>
                <w:spacing w:val="-3"/>
                <w:sz w:val="18"/>
              </w:rPr>
              <w:t xml:space="preserve"> </w:t>
            </w:r>
            <w:r>
              <w:rPr>
                <w:sz w:val="18"/>
              </w:rPr>
              <w:t>targeted</w:t>
            </w:r>
            <w:r>
              <w:rPr>
                <w:spacing w:val="-3"/>
                <w:sz w:val="18"/>
              </w:rPr>
              <w:t xml:space="preserve"> </w:t>
            </w:r>
            <w:r>
              <w:rPr>
                <w:sz w:val="18"/>
              </w:rPr>
              <w:t>and</w:t>
            </w:r>
            <w:r>
              <w:rPr>
                <w:spacing w:val="-3"/>
                <w:sz w:val="18"/>
              </w:rPr>
              <w:t xml:space="preserve"> </w:t>
            </w:r>
            <w:r>
              <w:rPr>
                <w:sz w:val="18"/>
              </w:rPr>
              <w:t>have</w:t>
            </w:r>
            <w:r>
              <w:rPr>
                <w:spacing w:val="-3"/>
                <w:sz w:val="18"/>
              </w:rPr>
              <w:t xml:space="preserve"> </w:t>
            </w:r>
            <w:r>
              <w:rPr>
                <w:sz w:val="18"/>
              </w:rPr>
              <w:t>direct</w:t>
            </w:r>
            <w:r>
              <w:rPr>
                <w:spacing w:val="-2"/>
                <w:sz w:val="18"/>
              </w:rPr>
              <w:t xml:space="preserve"> </w:t>
            </w:r>
            <w:r>
              <w:rPr>
                <w:sz w:val="18"/>
              </w:rPr>
              <w:t>impact</w:t>
            </w:r>
            <w:r>
              <w:rPr>
                <w:spacing w:val="-2"/>
                <w:sz w:val="18"/>
              </w:rPr>
              <w:t xml:space="preserve"> </w:t>
            </w:r>
            <w:r>
              <w:rPr>
                <w:sz w:val="18"/>
              </w:rPr>
              <w:t>on</w:t>
            </w:r>
            <w:r>
              <w:rPr>
                <w:spacing w:val="-3"/>
                <w:sz w:val="18"/>
              </w:rPr>
              <w:t xml:space="preserve"> </w:t>
            </w:r>
            <w:r>
              <w:rPr>
                <w:sz w:val="18"/>
              </w:rPr>
              <w:t>communities</w:t>
            </w:r>
            <w:r>
              <w:rPr>
                <w:spacing w:val="-3"/>
                <w:sz w:val="18"/>
              </w:rPr>
              <w:t xml:space="preserve"> </w:t>
            </w:r>
            <w:r>
              <w:rPr>
                <w:sz w:val="18"/>
              </w:rPr>
              <w:t>can</w:t>
            </w:r>
            <w:r>
              <w:rPr>
                <w:spacing w:val="-3"/>
                <w:sz w:val="18"/>
              </w:rPr>
              <w:t xml:space="preserve"> </w:t>
            </w:r>
            <w:r>
              <w:rPr>
                <w:sz w:val="18"/>
              </w:rPr>
              <w:t>be supported through:</w:t>
            </w:r>
          </w:p>
          <w:p w14:paraId="57163620" w14:textId="77777777" w:rsidR="00BC24A8" w:rsidRDefault="00000000">
            <w:pPr>
              <w:pStyle w:val="TableParagraph"/>
              <w:numPr>
                <w:ilvl w:val="0"/>
                <w:numId w:val="114"/>
              </w:numPr>
              <w:tabs>
                <w:tab w:val="left" w:pos="455"/>
              </w:tabs>
              <w:spacing w:before="59"/>
              <w:ind w:right="511"/>
              <w:rPr>
                <w:sz w:val="18"/>
              </w:rPr>
            </w:pPr>
            <w:r>
              <w:rPr>
                <w:sz w:val="18"/>
              </w:rPr>
              <w:t>Developing</w:t>
            </w:r>
            <w:r>
              <w:rPr>
                <w:spacing w:val="-5"/>
                <w:sz w:val="18"/>
              </w:rPr>
              <w:t xml:space="preserve"> </w:t>
            </w:r>
            <w:r>
              <w:rPr>
                <w:sz w:val="18"/>
              </w:rPr>
              <w:t>and</w:t>
            </w:r>
            <w:r>
              <w:rPr>
                <w:spacing w:val="-4"/>
                <w:sz w:val="18"/>
              </w:rPr>
              <w:t xml:space="preserve"> </w:t>
            </w:r>
            <w:r>
              <w:rPr>
                <w:sz w:val="18"/>
              </w:rPr>
              <w:t>implementing</w:t>
            </w:r>
            <w:r>
              <w:rPr>
                <w:spacing w:val="-5"/>
                <w:sz w:val="18"/>
              </w:rPr>
              <w:t xml:space="preserve"> </w:t>
            </w:r>
            <w:r>
              <w:rPr>
                <w:sz w:val="18"/>
              </w:rPr>
              <w:t>regulations</w:t>
            </w:r>
            <w:r>
              <w:rPr>
                <w:spacing w:val="-4"/>
                <w:sz w:val="18"/>
              </w:rPr>
              <w:t xml:space="preserve"> </w:t>
            </w:r>
            <w:r>
              <w:rPr>
                <w:sz w:val="18"/>
              </w:rPr>
              <w:t>and</w:t>
            </w:r>
            <w:r>
              <w:rPr>
                <w:spacing w:val="-4"/>
                <w:sz w:val="18"/>
              </w:rPr>
              <w:t xml:space="preserve"> </w:t>
            </w:r>
            <w:r>
              <w:rPr>
                <w:sz w:val="18"/>
              </w:rPr>
              <w:t>policies</w:t>
            </w:r>
            <w:r>
              <w:rPr>
                <w:spacing w:val="-4"/>
                <w:sz w:val="18"/>
              </w:rPr>
              <w:t xml:space="preserve"> </w:t>
            </w:r>
            <w:r>
              <w:rPr>
                <w:sz w:val="18"/>
              </w:rPr>
              <w:t>on</w:t>
            </w:r>
            <w:r>
              <w:rPr>
                <w:spacing w:val="-4"/>
                <w:sz w:val="18"/>
              </w:rPr>
              <w:t xml:space="preserve"> </w:t>
            </w:r>
            <w:r>
              <w:rPr>
                <w:sz w:val="18"/>
              </w:rPr>
              <w:t>Regional</w:t>
            </w:r>
            <w:r>
              <w:rPr>
                <w:spacing w:val="-6"/>
                <w:sz w:val="18"/>
              </w:rPr>
              <w:t xml:space="preserve"> </w:t>
            </w:r>
            <w:r>
              <w:rPr>
                <w:sz w:val="18"/>
              </w:rPr>
              <w:t>Taxes</w:t>
            </w:r>
            <w:r>
              <w:rPr>
                <w:spacing w:val="-4"/>
                <w:sz w:val="18"/>
              </w:rPr>
              <w:t xml:space="preserve"> </w:t>
            </w:r>
            <w:r>
              <w:rPr>
                <w:sz w:val="18"/>
              </w:rPr>
              <w:t>and</w:t>
            </w:r>
            <w:r>
              <w:rPr>
                <w:spacing w:val="-2"/>
                <w:sz w:val="18"/>
              </w:rPr>
              <w:t xml:space="preserve"> </w:t>
            </w:r>
            <w:r>
              <w:rPr>
                <w:sz w:val="18"/>
              </w:rPr>
              <w:t xml:space="preserve">Levies </w:t>
            </w:r>
            <w:r>
              <w:rPr>
                <w:spacing w:val="-2"/>
                <w:sz w:val="18"/>
              </w:rPr>
              <w:t>(PDRD).</w:t>
            </w:r>
          </w:p>
          <w:p w14:paraId="0A275BBF" w14:textId="77777777" w:rsidR="00BC24A8" w:rsidRDefault="00000000">
            <w:pPr>
              <w:pStyle w:val="TableParagraph"/>
              <w:numPr>
                <w:ilvl w:val="0"/>
                <w:numId w:val="114"/>
              </w:numPr>
              <w:tabs>
                <w:tab w:val="left" w:pos="455"/>
              </w:tabs>
              <w:spacing w:line="219" w:lineRule="exact"/>
              <w:rPr>
                <w:sz w:val="18"/>
              </w:rPr>
            </w:pPr>
            <w:r>
              <w:rPr>
                <w:sz w:val="18"/>
              </w:rPr>
              <w:t>Strengthening</w:t>
            </w:r>
            <w:r>
              <w:rPr>
                <w:spacing w:val="-3"/>
                <w:sz w:val="18"/>
              </w:rPr>
              <w:t xml:space="preserve"> </w:t>
            </w:r>
            <w:r>
              <w:rPr>
                <w:sz w:val="18"/>
              </w:rPr>
              <w:t>capacity</w:t>
            </w:r>
            <w:r>
              <w:rPr>
                <w:spacing w:val="-4"/>
                <w:sz w:val="18"/>
              </w:rPr>
              <w:t xml:space="preserve"> </w:t>
            </w:r>
            <w:r>
              <w:rPr>
                <w:sz w:val="18"/>
              </w:rPr>
              <w:t>related</w:t>
            </w:r>
            <w:r>
              <w:rPr>
                <w:spacing w:val="-1"/>
                <w:sz w:val="18"/>
              </w:rPr>
              <w:t xml:space="preserve"> </w:t>
            </w:r>
            <w:r>
              <w:rPr>
                <w:sz w:val="18"/>
              </w:rPr>
              <w:t>to</w:t>
            </w:r>
            <w:r>
              <w:rPr>
                <w:spacing w:val="-4"/>
                <w:sz w:val="18"/>
              </w:rPr>
              <w:t xml:space="preserve"> PDRD.</w:t>
            </w:r>
          </w:p>
          <w:p w14:paraId="22F75401" w14:textId="77777777" w:rsidR="00BC24A8" w:rsidRDefault="00000000">
            <w:pPr>
              <w:pStyle w:val="TableParagraph"/>
              <w:numPr>
                <w:ilvl w:val="0"/>
                <w:numId w:val="114"/>
              </w:numPr>
              <w:tabs>
                <w:tab w:val="left" w:pos="455"/>
              </w:tabs>
              <w:spacing w:before="1"/>
              <w:rPr>
                <w:sz w:val="18"/>
              </w:rPr>
            </w:pPr>
            <w:r>
              <w:rPr>
                <w:sz w:val="18"/>
              </w:rPr>
              <w:t>Strengthening</w:t>
            </w:r>
            <w:r>
              <w:rPr>
                <w:spacing w:val="-3"/>
                <w:sz w:val="18"/>
              </w:rPr>
              <w:t xml:space="preserve"> </w:t>
            </w:r>
            <w:r>
              <w:rPr>
                <w:sz w:val="18"/>
              </w:rPr>
              <w:t>capacity</w:t>
            </w:r>
            <w:r>
              <w:rPr>
                <w:spacing w:val="-4"/>
                <w:sz w:val="18"/>
              </w:rPr>
              <w:t xml:space="preserve"> </w:t>
            </w:r>
            <w:r>
              <w:rPr>
                <w:sz w:val="18"/>
              </w:rPr>
              <w:t>related</w:t>
            </w:r>
            <w:r>
              <w:rPr>
                <w:spacing w:val="-2"/>
                <w:sz w:val="18"/>
              </w:rPr>
              <w:t xml:space="preserve"> </w:t>
            </w:r>
            <w:r>
              <w:rPr>
                <w:sz w:val="18"/>
              </w:rPr>
              <w:t>to</w:t>
            </w:r>
            <w:r>
              <w:rPr>
                <w:spacing w:val="-4"/>
                <w:sz w:val="18"/>
              </w:rPr>
              <w:t xml:space="preserve"> </w:t>
            </w:r>
            <w:r>
              <w:rPr>
                <w:sz w:val="18"/>
              </w:rPr>
              <w:t>the</w:t>
            </w:r>
            <w:r>
              <w:rPr>
                <w:spacing w:val="-1"/>
                <w:sz w:val="18"/>
              </w:rPr>
              <w:t xml:space="preserve"> </w:t>
            </w:r>
            <w:r>
              <w:rPr>
                <w:sz w:val="18"/>
              </w:rPr>
              <w:t>General</w:t>
            </w:r>
            <w:r>
              <w:rPr>
                <w:spacing w:val="-1"/>
                <w:sz w:val="18"/>
              </w:rPr>
              <w:t xml:space="preserve"> </w:t>
            </w:r>
            <w:r>
              <w:rPr>
                <w:sz w:val="18"/>
              </w:rPr>
              <w:t>Allocation</w:t>
            </w:r>
            <w:r>
              <w:rPr>
                <w:spacing w:val="-1"/>
                <w:sz w:val="18"/>
              </w:rPr>
              <w:t xml:space="preserve"> </w:t>
            </w:r>
            <w:r>
              <w:rPr>
                <w:sz w:val="18"/>
              </w:rPr>
              <w:t>Fund</w:t>
            </w:r>
            <w:r>
              <w:rPr>
                <w:spacing w:val="-1"/>
                <w:sz w:val="18"/>
              </w:rPr>
              <w:t xml:space="preserve"> </w:t>
            </w:r>
            <w:r>
              <w:rPr>
                <w:spacing w:val="-2"/>
                <w:sz w:val="18"/>
              </w:rPr>
              <w:t>(DAU).</w:t>
            </w:r>
          </w:p>
          <w:p w14:paraId="055E64E3" w14:textId="77777777" w:rsidR="00BC24A8" w:rsidRDefault="00000000">
            <w:pPr>
              <w:pStyle w:val="TableParagraph"/>
              <w:numPr>
                <w:ilvl w:val="0"/>
                <w:numId w:val="114"/>
              </w:numPr>
              <w:tabs>
                <w:tab w:val="left" w:pos="455"/>
              </w:tabs>
              <w:spacing w:before="2"/>
              <w:rPr>
                <w:sz w:val="18"/>
              </w:rPr>
            </w:pPr>
            <w:r>
              <w:rPr>
                <w:sz w:val="18"/>
              </w:rPr>
              <w:t>Strengthening</w:t>
            </w:r>
            <w:r>
              <w:rPr>
                <w:spacing w:val="-2"/>
                <w:sz w:val="18"/>
              </w:rPr>
              <w:t xml:space="preserve"> </w:t>
            </w:r>
            <w:r>
              <w:rPr>
                <w:sz w:val="18"/>
              </w:rPr>
              <w:t>capacity</w:t>
            </w:r>
            <w:r>
              <w:rPr>
                <w:spacing w:val="-4"/>
                <w:sz w:val="18"/>
              </w:rPr>
              <w:t xml:space="preserve"> </w:t>
            </w:r>
            <w:r>
              <w:rPr>
                <w:sz w:val="18"/>
              </w:rPr>
              <w:t>related</w:t>
            </w:r>
            <w:r>
              <w:rPr>
                <w:spacing w:val="-1"/>
                <w:sz w:val="18"/>
              </w:rPr>
              <w:t xml:space="preserve"> </w:t>
            </w:r>
            <w:r>
              <w:rPr>
                <w:sz w:val="18"/>
              </w:rPr>
              <w:t>to</w:t>
            </w:r>
            <w:r>
              <w:rPr>
                <w:spacing w:val="-4"/>
                <w:sz w:val="18"/>
              </w:rPr>
              <w:t xml:space="preserve"> </w:t>
            </w:r>
            <w:r>
              <w:rPr>
                <w:sz w:val="18"/>
              </w:rPr>
              <w:t>Revenue</w:t>
            </w:r>
            <w:r>
              <w:rPr>
                <w:spacing w:val="-1"/>
                <w:sz w:val="18"/>
              </w:rPr>
              <w:t xml:space="preserve"> </w:t>
            </w:r>
            <w:r>
              <w:rPr>
                <w:sz w:val="18"/>
              </w:rPr>
              <w:t>Sharing</w:t>
            </w:r>
            <w:r>
              <w:rPr>
                <w:spacing w:val="-2"/>
                <w:sz w:val="18"/>
              </w:rPr>
              <w:t xml:space="preserve"> </w:t>
            </w:r>
            <w:r>
              <w:rPr>
                <w:sz w:val="18"/>
              </w:rPr>
              <w:t xml:space="preserve">Funds </w:t>
            </w:r>
            <w:r>
              <w:rPr>
                <w:spacing w:val="-2"/>
                <w:sz w:val="18"/>
              </w:rPr>
              <w:t>(DBH).</w:t>
            </w:r>
          </w:p>
        </w:tc>
      </w:tr>
    </w:tbl>
    <w:p w14:paraId="6C77D767" w14:textId="77777777" w:rsidR="00BC24A8" w:rsidRDefault="00BC24A8">
      <w:pPr>
        <w:pStyle w:val="TableParagraph"/>
        <w:rPr>
          <w:sz w:val="18"/>
        </w:rPr>
        <w:sectPr w:rsidR="00BC24A8">
          <w:pgSz w:w="11910" w:h="16840"/>
          <w:pgMar w:top="1400" w:right="850" w:bottom="1100" w:left="1275" w:header="0" w:footer="907" w:gutter="0"/>
          <w:cols w:space="720"/>
        </w:sectPr>
      </w:pPr>
    </w:p>
    <w:p w14:paraId="4C8F7BDC" w14:textId="77777777" w:rsidR="00BC24A8" w:rsidRDefault="00000000">
      <w:pPr>
        <w:pStyle w:val="ListParagraph"/>
        <w:numPr>
          <w:ilvl w:val="1"/>
          <w:numId w:val="118"/>
        </w:numPr>
        <w:tabs>
          <w:tab w:val="left" w:pos="683"/>
        </w:tabs>
        <w:spacing w:before="39"/>
        <w:ind w:hanging="631"/>
        <w:rPr>
          <w:rFonts w:ascii="Calibri"/>
          <w:b/>
        </w:rPr>
      </w:pPr>
      <w:r w:rsidRPr="00795364">
        <w:rPr>
          <w:rFonts w:ascii="Calibri"/>
          <w:b/>
          <w:color w:val="008279"/>
        </w:rPr>
        <w:lastRenderedPageBreak/>
        <w:t>Summary</w:t>
      </w:r>
      <w:r w:rsidRPr="00795364">
        <w:rPr>
          <w:rFonts w:ascii="Calibri"/>
          <w:b/>
          <w:color w:val="008279"/>
          <w:spacing w:val="-6"/>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key</w:t>
      </w:r>
      <w:r w:rsidRPr="00795364">
        <w:rPr>
          <w:rFonts w:ascii="Calibri"/>
          <w:b/>
          <w:color w:val="008279"/>
          <w:spacing w:val="-5"/>
        </w:rPr>
        <w:t xml:space="preserve"> </w:t>
      </w:r>
      <w:r w:rsidRPr="00795364">
        <w:rPr>
          <w:rFonts w:ascii="Calibri"/>
          <w:b/>
          <w:color w:val="008279"/>
          <w:spacing w:val="-2"/>
        </w:rPr>
        <w:t>support/inputs</w:t>
      </w:r>
    </w:p>
    <w:p w14:paraId="378F8110" w14:textId="77777777" w:rsidR="00BC24A8" w:rsidRDefault="00BC24A8">
      <w:pPr>
        <w:pStyle w:val="BodyText"/>
        <w:spacing w:before="4"/>
        <w:rPr>
          <w:rFonts w:ascii="Calibri"/>
          <w:b/>
          <w:sz w:val="19"/>
        </w:rPr>
      </w:pPr>
    </w:p>
    <w:tbl>
      <w:tblPr>
        <w:tblW w:w="0" w:type="auto"/>
        <w:tblInd w:w="47" w:type="dxa"/>
        <w:tblLayout w:type="fixed"/>
        <w:tblCellMar>
          <w:left w:w="0" w:type="dxa"/>
          <w:right w:w="0" w:type="dxa"/>
        </w:tblCellMar>
        <w:tblLook w:val="01E0" w:firstRow="1" w:lastRow="1" w:firstColumn="1" w:lastColumn="1" w:noHBand="0" w:noVBand="0"/>
      </w:tblPr>
      <w:tblGrid>
        <w:gridCol w:w="2091"/>
        <w:gridCol w:w="3124"/>
        <w:gridCol w:w="3971"/>
      </w:tblGrid>
      <w:tr w:rsidR="00BC24A8" w14:paraId="15AE4061" w14:textId="77777777">
        <w:trPr>
          <w:trHeight w:val="379"/>
        </w:trPr>
        <w:tc>
          <w:tcPr>
            <w:tcW w:w="2091" w:type="dxa"/>
            <w:shd w:val="clear" w:color="auto" w:fill="17365A"/>
          </w:tcPr>
          <w:p w14:paraId="175709FF" w14:textId="77777777" w:rsidR="00BC24A8" w:rsidRDefault="00000000">
            <w:pPr>
              <w:pStyle w:val="TableParagraph"/>
              <w:spacing w:before="59"/>
              <w:ind w:left="115"/>
              <w:rPr>
                <w:rFonts w:ascii="Calibri"/>
                <w:b/>
                <w:sz w:val="20"/>
              </w:rPr>
            </w:pPr>
            <w:r>
              <w:rPr>
                <w:rFonts w:ascii="Calibri"/>
                <w:b/>
                <w:color w:val="FFFFFF"/>
                <w:spacing w:val="-2"/>
                <w:sz w:val="20"/>
              </w:rPr>
              <w:t>Theme</w:t>
            </w:r>
          </w:p>
        </w:tc>
        <w:tc>
          <w:tcPr>
            <w:tcW w:w="3124" w:type="dxa"/>
            <w:shd w:val="clear" w:color="auto" w:fill="17365A"/>
          </w:tcPr>
          <w:p w14:paraId="0127448C" w14:textId="77777777" w:rsidR="00BC24A8" w:rsidRDefault="00000000">
            <w:pPr>
              <w:pStyle w:val="TableParagraph"/>
              <w:spacing w:before="59"/>
              <w:ind w:left="4" w:right="223"/>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2"/>
                <w:sz w:val="20"/>
              </w:rPr>
              <w:t>workshop</w:t>
            </w:r>
          </w:p>
        </w:tc>
        <w:tc>
          <w:tcPr>
            <w:tcW w:w="3971" w:type="dxa"/>
            <w:shd w:val="clear" w:color="auto" w:fill="17365A"/>
          </w:tcPr>
          <w:p w14:paraId="5A7D5838" w14:textId="77777777" w:rsidR="00BC24A8" w:rsidRDefault="00000000">
            <w:pPr>
              <w:pStyle w:val="TableParagraph"/>
              <w:spacing w:before="59"/>
              <w:ind w:right="619"/>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5"/>
                <w:sz w:val="20"/>
              </w:rPr>
              <w:t>TAS</w:t>
            </w:r>
          </w:p>
        </w:tc>
      </w:tr>
      <w:tr w:rsidR="00BC24A8" w14:paraId="2EC9CD47" w14:textId="77777777">
        <w:trPr>
          <w:trHeight w:val="436"/>
        </w:trPr>
        <w:tc>
          <w:tcPr>
            <w:tcW w:w="2091" w:type="dxa"/>
            <w:tcBorders>
              <w:bottom w:val="single" w:sz="4" w:space="0" w:color="BEBEBE"/>
            </w:tcBorders>
          </w:tcPr>
          <w:p w14:paraId="58E8749F" w14:textId="77777777" w:rsidR="00BC24A8" w:rsidRDefault="00000000">
            <w:pPr>
              <w:pStyle w:val="TableParagraph"/>
              <w:spacing w:before="160"/>
              <w:ind w:left="115"/>
              <w:rPr>
                <w:sz w:val="18"/>
              </w:rPr>
            </w:pPr>
            <w:r>
              <w:rPr>
                <w:spacing w:val="-5"/>
                <w:sz w:val="18"/>
              </w:rPr>
              <w:t>DNA</w:t>
            </w:r>
          </w:p>
        </w:tc>
        <w:tc>
          <w:tcPr>
            <w:tcW w:w="3124" w:type="dxa"/>
            <w:tcBorders>
              <w:bottom w:val="single" w:sz="4" w:space="0" w:color="BEBEBE"/>
            </w:tcBorders>
          </w:tcPr>
          <w:p w14:paraId="68CED81E" w14:textId="77777777" w:rsidR="00BC24A8" w:rsidRDefault="00000000">
            <w:pPr>
              <w:pStyle w:val="TableParagraph"/>
              <w:spacing w:before="100"/>
              <w:ind w:right="223"/>
              <w:jc w:val="center"/>
              <w:rPr>
                <w:sz w:val="18"/>
              </w:rPr>
            </w:pPr>
            <w:r>
              <w:rPr>
                <w:spacing w:val="-10"/>
                <w:sz w:val="18"/>
              </w:rPr>
              <w:t>1</w:t>
            </w:r>
          </w:p>
        </w:tc>
        <w:tc>
          <w:tcPr>
            <w:tcW w:w="3971" w:type="dxa"/>
            <w:tcBorders>
              <w:bottom w:val="single" w:sz="4" w:space="0" w:color="BEBEBE"/>
            </w:tcBorders>
          </w:tcPr>
          <w:p w14:paraId="6245E75D" w14:textId="77777777" w:rsidR="00BC24A8" w:rsidRDefault="00000000">
            <w:pPr>
              <w:pStyle w:val="TableParagraph"/>
              <w:spacing w:before="102"/>
              <w:ind w:left="2" w:right="619"/>
              <w:jc w:val="center"/>
              <w:rPr>
                <w:sz w:val="18"/>
              </w:rPr>
            </w:pPr>
            <w:r>
              <w:rPr>
                <w:spacing w:val="-10"/>
                <w:sz w:val="18"/>
              </w:rPr>
              <w:t>1</w:t>
            </w:r>
          </w:p>
        </w:tc>
      </w:tr>
      <w:tr w:rsidR="00BC24A8" w14:paraId="6361EDB8" w14:textId="77777777">
        <w:trPr>
          <w:trHeight w:val="306"/>
        </w:trPr>
        <w:tc>
          <w:tcPr>
            <w:tcW w:w="2091" w:type="dxa"/>
            <w:tcBorders>
              <w:top w:val="single" w:sz="4" w:space="0" w:color="BEBEBE"/>
            </w:tcBorders>
          </w:tcPr>
          <w:p w14:paraId="0ED4E541" w14:textId="77777777" w:rsidR="00BC24A8" w:rsidRDefault="00000000">
            <w:pPr>
              <w:pStyle w:val="TableParagraph"/>
              <w:spacing w:before="119" w:line="168" w:lineRule="exact"/>
              <w:ind w:left="115"/>
              <w:rPr>
                <w:sz w:val="18"/>
              </w:rPr>
            </w:pPr>
            <w:r>
              <w:rPr>
                <w:spacing w:val="-5"/>
                <w:sz w:val="18"/>
              </w:rPr>
              <w:t>MSS</w:t>
            </w:r>
          </w:p>
        </w:tc>
        <w:tc>
          <w:tcPr>
            <w:tcW w:w="3124" w:type="dxa"/>
            <w:tcBorders>
              <w:top w:val="single" w:sz="4" w:space="0" w:color="BEBEBE"/>
            </w:tcBorders>
          </w:tcPr>
          <w:p w14:paraId="186B9488" w14:textId="77777777" w:rsidR="00BC24A8" w:rsidRDefault="00000000">
            <w:pPr>
              <w:pStyle w:val="TableParagraph"/>
              <w:spacing w:before="59"/>
              <w:ind w:right="223"/>
              <w:jc w:val="center"/>
              <w:rPr>
                <w:sz w:val="18"/>
              </w:rPr>
            </w:pPr>
            <w:r>
              <w:rPr>
                <w:spacing w:val="-10"/>
                <w:sz w:val="18"/>
              </w:rPr>
              <w:t>2</w:t>
            </w:r>
          </w:p>
        </w:tc>
        <w:tc>
          <w:tcPr>
            <w:tcW w:w="3971" w:type="dxa"/>
            <w:tcBorders>
              <w:top w:val="single" w:sz="4" w:space="0" w:color="BEBEBE"/>
            </w:tcBorders>
          </w:tcPr>
          <w:p w14:paraId="722DD56F" w14:textId="77777777" w:rsidR="00BC24A8" w:rsidRDefault="00BC24A8">
            <w:pPr>
              <w:pStyle w:val="TableParagraph"/>
              <w:rPr>
                <w:rFonts w:ascii="Times New Roman"/>
                <w:sz w:val="18"/>
              </w:rPr>
            </w:pPr>
          </w:p>
        </w:tc>
      </w:tr>
      <w:tr w:rsidR="00BC24A8" w14:paraId="064FB08A" w14:textId="77777777">
        <w:trPr>
          <w:trHeight w:val="181"/>
        </w:trPr>
        <w:tc>
          <w:tcPr>
            <w:tcW w:w="2091" w:type="dxa"/>
          </w:tcPr>
          <w:p w14:paraId="3EE9A959" w14:textId="77777777" w:rsidR="00BC24A8" w:rsidRDefault="00BC24A8">
            <w:pPr>
              <w:pStyle w:val="TableParagraph"/>
              <w:rPr>
                <w:rFonts w:ascii="Times New Roman"/>
                <w:sz w:val="12"/>
              </w:rPr>
            </w:pPr>
          </w:p>
        </w:tc>
        <w:tc>
          <w:tcPr>
            <w:tcW w:w="3124" w:type="dxa"/>
          </w:tcPr>
          <w:p w14:paraId="25129EB0" w14:textId="77777777" w:rsidR="00BC24A8" w:rsidRDefault="00BC24A8">
            <w:pPr>
              <w:pStyle w:val="TableParagraph"/>
              <w:rPr>
                <w:rFonts w:ascii="Times New Roman"/>
                <w:sz w:val="12"/>
              </w:rPr>
            </w:pPr>
          </w:p>
        </w:tc>
        <w:tc>
          <w:tcPr>
            <w:tcW w:w="3971" w:type="dxa"/>
          </w:tcPr>
          <w:p w14:paraId="565E9A3B" w14:textId="77777777" w:rsidR="00BC24A8" w:rsidRDefault="00000000">
            <w:pPr>
              <w:pStyle w:val="TableParagraph"/>
              <w:spacing w:line="161" w:lineRule="exact"/>
              <w:ind w:left="2" w:right="619"/>
              <w:jc w:val="center"/>
              <w:rPr>
                <w:sz w:val="18"/>
              </w:rPr>
            </w:pPr>
            <w:r>
              <w:rPr>
                <w:spacing w:val="-10"/>
                <w:sz w:val="18"/>
              </w:rPr>
              <w:t>1</w:t>
            </w:r>
          </w:p>
        </w:tc>
      </w:tr>
      <w:tr w:rsidR="00BC24A8" w14:paraId="02FEAD2A" w14:textId="77777777">
        <w:trPr>
          <w:trHeight w:val="311"/>
        </w:trPr>
        <w:tc>
          <w:tcPr>
            <w:tcW w:w="2091" w:type="dxa"/>
            <w:tcBorders>
              <w:bottom w:val="single" w:sz="4" w:space="0" w:color="BEBEBE"/>
            </w:tcBorders>
          </w:tcPr>
          <w:p w14:paraId="3A344F36" w14:textId="77777777" w:rsidR="00BC24A8" w:rsidRDefault="00000000">
            <w:pPr>
              <w:pStyle w:val="TableParagraph"/>
              <w:spacing w:before="34"/>
              <w:ind w:left="115"/>
              <w:rPr>
                <w:sz w:val="18"/>
              </w:rPr>
            </w:pPr>
            <w:r>
              <w:rPr>
                <w:noProof/>
                <w:sz w:val="18"/>
              </w:rPr>
              <mc:AlternateContent>
                <mc:Choice Requires="wpg">
                  <w:drawing>
                    <wp:anchor distT="0" distB="0" distL="0" distR="0" simplePos="0" relativeHeight="478668288" behindDoc="1" locked="0" layoutInCell="1" allowOverlap="1" wp14:anchorId="682F6F5C" wp14:editId="0AF3CDA7">
                      <wp:simplePos x="0" y="0"/>
                      <wp:positionH relativeFrom="column">
                        <wp:posOffset>4857</wp:posOffset>
                      </wp:positionH>
                      <wp:positionV relativeFrom="paragraph">
                        <wp:posOffset>-60092</wp:posOffset>
                      </wp:positionV>
                      <wp:extent cx="2915920" cy="6350"/>
                      <wp:effectExtent l="0" t="0" r="0" b="0"/>
                      <wp:wrapNone/>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5920" cy="6350"/>
                                <a:chOff x="0" y="0"/>
                                <a:chExt cx="2915920" cy="6350"/>
                              </a:xfrm>
                            </wpg:grpSpPr>
                            <wps:wsp>
                              <wps:cNvPr id="102" name="Graphic 102"/>
                              <wps:cNvSpPr/>
                              <wps:spPr>
                                <a:xfrm>
                                  <a:off x="0" y="0"/>
                                  <a:ext cx="2915920" cy="6350"/>
                                </a:xfrm>
                                <a:custGeom>
                                  <a:avLst/>
                                  <a:gdLst/>
                                  <a:ahLst/>
                                  <a:cxnLst/>
                                  <a:rect l="l" t="t" r="r" b="b"/>
                                  <a:pathLst>
                                    <a:path w="2915920" h="6350">
                                      <a:moveTo>
                                        <a:pt x="1574279" y="0"/>
                                      </a:moveTo>
                                      <a:lnTo>
                                        <a:pt x="0" y="0"/>
                                      </a:lnTo>
                                      <a:lnTo>
                                        <a:pt x="0" y="6108"/>
                                      </a:lnTo>
                                      <a:lnTo>
                                        <a:pt x="1574279" y="6108"/>
                                      </a:lnTo>
                                      <a:lnTo>
                                        <a:pt x="1574279" y="0"/>
                                      </a:lnTo>
                                      <a:close/>
                                    </a:path>
                                    <a:path w="2915920" h="6350">
                                      <a:moveTo>
                                        <a:pt x="2915412" y="0"/>
                                      </a:moveTo>
                                      <a:lnTo>
                                        <a:pt x="1580388" y="0"/>
                                      </a:lnTo>
                                      <a:lnTo>
                                        <a:pt x="1574292" y="0"/>
                                      </a:lnTo>
                                      <a:lnTo>
                                        <a:pt x="1574292" y="6108"/>
                                      </a:lnTo>
                                      <a:lnTo>
                                        <a:pt x="1580388" y="6108"/>
                                      </a:lnTo>
                                      <a:lnTo>
                                        <a:pt x="2915412" y="6108"/>
                                      </a:lnTo>
                                      <a:lnTo>
                                        <a:pt x="2915412"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4EBD49A7" id="Group 101" o:spid="_x0000_s1026" alt="&quot;&quot;" style="position:absolute;margin-left:.4pt;margin-top:-4.75pt;width:229.6pt;height:.5pt;z-index:-24648192;mso-wrap-distance-left:0;mso-wrap-distance-right:0" coordsize="291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">
                      <v:shape id="Graphic 102" o:spid="_x0000_s1027" style="position:absolute;width:29159;height:63;visibility:visible;mso-wrap-style:square;v-text-anchor:top" coordsize="29159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" path="m1574279,l,,,6108r1574279,l1574279,xem2915412,l1580388,r-6096,l1574292,6108r6096,l2915412,6108r,-6108xe" fillcolor="#bebebe" stroked="f">
                        <v:path arrowok="t"/>
                      </v:shape>
                    </v:group>
                  </w:pict>
                </mc:Fallback>
              </mc:AlternateContent>
            </w:r>
            <w:r>
              <w:rPr>
                <w:spacing w:val="-5"/>
                <w:sz w:val="18"/>
              </w:rPr>
              <w:t>PFM</w:t>
            </w:r>
          </w:p>
        </w:tc>
        <w:tc>
          <w:tcPr>
            <w:tcW w:w="3124" w:type="dxa"/>
            <w:tcBorders>
              <w:bottom w:val="single" w:sz="4" w:space="0" w:color="BEBEBE"/>
            </w:tcBorders>
          </w:tcPr>
          <w:p w14:paraId="03CFA37C" w14:textId="77777777" w:rsidR="00BC24A8" w:rsidRDefault="00000000">
            <w:pPr>
              <w:pStyle w:val="TableParagraph"/>
              <w:spacing w:line="194" w:lineRule="exact"/>
              <w:ind w:right="223"/>
              <w:jc w:val="center"/>
              <w:rPr>
                <w:sz w:val="18"/>
              </w:rPr>
            </w:pPr>
            <w:r>
              <w:rPr>
                <w:spacing w:val="-10"/>
                <w:sz w:val="18"/>
              </w:rPr>
              <w:t>5</w:t>
            </w:r>
          </w:p>
        </w:tc>
        <w:tc>
          <w:tcPr>
            <w:tcW w:w="3971" w:type="dxa"/>
            <w:tcBorders>
              <w:bottom w:val="single" w:sz="4" w:space="0" w:color="BEBEBE"/>
            </w:tcBorders>
          </w:tcPr>
          <w:p w14:paraId="4FBF8FDB" w14:textId="77777777" w:rsidR="00BC24A8" w:rsidRDefault="00BC24A8">
            <w:pPr>
              <w:pStyle w:val="TableParagraph"/>
              <w:rPr>
                <w:rFonts w:ascii="Times New Roman"/>
                <w:sz w:val="18"/>
              </w:rPr>
            </w:pPr>
          </w:p>
        </w:tc>
      </w:tr>
      <w:tr w:rsidR="00BC24A8" w14:paraId="30E9BDD5" w14:textId="77777777">
        <w:trPr>
          <w:trHeight w:val="393"/>
        </w:trPr>
        <w:tc>
          <w:tcPr>
            <w:tcW w:w="2091" w:type="dxa"/>
            <w:tcBorders>
              <w:top w:val="single" w:sz="4" w:space="0" w:color="BEBEBE"/>
              <w:bottom w:val="single" w:sz="4" w:space="0" w:color="BEBEBE"/>
            </w:tcBorders>
          </w:tcPr>
          <w:p w14:paraId="7F45C73F" w14:textId="77777777" w:rsidR="00BC24A8" w:rsidRDefault="00000000">
            <w:pPr>
              <w:pStyle w:val="TableParagraph"/>
              <w:spacing w:before="116"/>
              <w:ind w:left="115"/>
              <w:rPr>
                <w:sz w:val="18"/>
              </w:rPr>
            </w:pPr>
            <w:r>
              <w:rPr>
                <w:spacing w:val="-2"/>
                <w:sz w:val="18"/>
              </w:rPr>
              <w:t>GEDSI</w:t>
            </w:r>
          </w:p>
        </w:tc>
        <w:tc>
          <w:tcPr>
            <w:tcW w:w="3124" w:type="dxa"/>
            <w:tcBorders>
              <w:top w:val="single" w:sz="4" w:space="0" w:color="BEBEBE"/>
              <w:bottom w:val="single" w:sz="4" w:space="0" w:color="BEBEBE"/>
            </w:tcBorders>
          </w:tcPr>
          <w:p w14:paraId="32F9B56D" w14:textId="77777777" w:rsidR="00BC24A8" w:rsidRDefault="00000000">
            <w:pPr>
              <w:pStyle w:val="TableParagraph"/>
              <w:spacing w:before="56"/>
              <w:ind w:right="223"/>
              <w:jc w:val="center"/>
              <w:rPr>
                <w:sz w:val="18"/>
              </w:rPr>
            </w:pPr>
            <w:r>
              <w:rPr>
                <w:spacing w:val="-10"/>
                <w:sz w:val="18"/>
              </w:rPr>
              <w:t>4</w:t>
            </w:r>
          </w:p>
        </w:tc>
        <w:tc>
          <w:tcPr>
            <w:tcW w:w="3971" w:type="dxa"/>
            <w:tcBorders>
              <w:top w:val="single" w:sz="4" w:space="0" w:color="BEBEBE"/>
              <w:bottom w:val="single" w:sz="4" w:space="0" w:color="BEBEBE"/>
            </w:tcBorders>
          </w:tcPr>
          <w:p w14:paraId="30B1D29E" w14:textId="77777777" w:rsidR="00BC24A8" w:rsidRDefault="00000000">
            <w:pPr>
              <w:pStyle w:val="TableParagraph"/>
              <w:spacing w:before="59"/>
              <w:ind w:left="2" w:right="619"/>
              <w:jc w:val="center"/>
              <w:rPr>
                <w:sz w:val="18"/>
              </w:rPr>
            </w:pPr>
            <w:r>
              <w:rPr>
                <w:spacing w:val="-10"/>
                <w:sz w:val="18"/>
              </w:rPr>
              <w:t>1</w:t>
            </w:r>
          </w:p>
        </w:tc>
      </w:tr>
    </w:tbl>
    <w:p w14:paraId="12246455" w14:textId="77777777" w:rsidR="00BC24A8" w:rsidRDefault="00BC24A8">
      <w:pPr>
        <w:pStyle w:val="TableParagraph"/>
        <w:jc w:val="center"/>
        <w:rPr>
          <w:sz w:val="18"/>
        </w:rPr>
        <w:sectPr w:rsidR="00BC24A8">
          <w:pgSz w:w="11910" w:h="16840"/>
          <w:pgMar w:top="1360" w:right="850" w:bottom="1100" w:left="1275" w:header="0" w:footer="907" w:gutter="0"/>
          <w:cols w:space="720"/>
        </w:sectPr>
      </w:pPr>
    </w:p>
    <w:p w14:paraId="1929BD17" w14:textId="77777777" w:rsidR="00BC24A8" w:rsidRDefault="00000000">
      <w:pPr>
        <w:pStyle w:val="Heading3"/>
      </w:pPr>
      <w:bookmarkStart w:id="158" w:name="Kalimantan_Utara_Province_Semester_Repor"/>
      <w:bookmarkStart w:id="159" w:name="_bookmark107"/>
      <w:bookmarkEnd w:id="158"/>
      <w:bookmarkEnd w:id="159"/>
      <w:r>
        <w:rPr>
          <w:color w:val="137D87"/>
          <w:spacing w:val="-4"/>
        </w:rPr>
        <w:lastRenderedPageBreak/>
        <w:t>Kalimantan</w:t>
      </w:r>
      <w:r>
        <w:rPr>
          <w:color w:val="137D87"/>
          <w:spacing w:val="-23"/>
        </w:rPr>
        <w:t xml:space="preserve"> </w:t>
      </w:r>
      <w:r>
        <w:rPr>
          <w:color w:val="137D87"/>
          <w:spacing w:val="-4"/>
        </w:rPr>
        <w:t>Utara</w:t>
      </w:r>
      <w:r>
        <w:rPr>
          <w:color w:val="137D87"/>
          <w:spacing w:val="-24"/>
        </w:rPr>
        <w:t xml:space="preserve"> </w:t>
      </w:r>
      <w:r>
        <w:rPr>
          <w:color w:val="137D87"/>
          <w:spacing w:val="-4"/>
        </w:rPr>
        <w:t>Province</w:t>
      </w:r>
      <w:r>
        <w:rPr>
          <w:color w:val="137D87"/>
          <w:spacing w:val="-23"/>
        </w:rPr>
        <w:t xml:space="preserve"> </w:t>
      </w:r>
      <w:r>
        <w:rPr>
          <w:color w:val="137D87"/>
          <w:spacing w:val="-4"/>
        </w:rPr>
        <w:t>Semester</w:t>
      </w:r>
      <w:r>
        <w:rPr>
          <w:color w:val="137D87"/>
          <w:spacing w:val="-23"/>
        </w:rPr>
        <w:t xml:space="preserve"> </w:t>
      </w:r>
      <w:r>
        <w:rPr>
          <w:color w:val="137D87"/>
          <w:spacing w:val="-4"/>
        </w:rPr>
        <w:t>Report</w:t>
      </w:r>
    </w:p>
    <w:p w14:paraId="7147D546" w14:textId="77777777" w:rsidR="00BC24A8" w:rsidRDefault="00000000">
      <w:pPr>
        <w:pStyle w:val="BodyText"/>
        <w:spacing w:before="20"/>
        <w:ind w:left="143"/>
      </w:pPr>
      <w:r>
        <w:t>(January–June</w:t>
      </w:r>
      <w:r>
        <w:rPr>
          <w:spacing w:val="-9"/>
        </w:rPr>
        <w:t xml:space="preserve"> </w:t>
      </w:r>
      <w:r>
        <w:rPr>
          <w:spacing w:val="-4"/>
        </w:rPr>
        <w:t>2025)</w:t>
      </w:r>
    </w:p>
    <w:p w14:paraId="6BCDC7ED" w14:textId="77777777" w:rsidR="00BC24A8" w:rsidRDefault="00BC24A8">
      <w:pPr>
        <w:pStyle w:val="BodyText"/>
      </w:pPr>
    </w:p>
    <w:p w14:paraId="507BC5B5" w14:textId="77777777" w:rsidR="00BC24A8" w:rsidRDefault="00BC24A8">
      <w:pPr>
        <w:pStyle w:val="BodyText"/>
        <w:spacing w:before="15"/>
      </w:pPr>
    </w:p>
    <w:p w14:paraId="375C9F46" w14:textId="77777777" w:rsidR="00BC24A8" w:rsidRDefault="00000000">
      <w:pPr>
        <w:ind w:left="683"/>
        <w:rPr>
          <w:i/>
        </w:rPr>
      </w:pPr>
      <w:bookmarkStart w:id="160" w:name="Context_Kalimantan_Utara_(Kaltara)_Provi"/>
      <w:bookmarkEnd w:id="160"/>
      <w:r>
        <w:rPr>
          <w:i/>
          <w:color w:val="1F3762"/>
          <w:spacing w:val="-2"/>
        </w:rPr>
        <w:t>Context</w:t>
      </w:r>
      <w:r>
        <w:rPr>
          <w:i/>
          <w:color w:val="1F3762"/>
          <w:spacing w:val="2"/>
        </w:rPr>
        <w:t xml:space="preserve"> </w:t>
      </w:r>
      <w:r>
        <w:rPr>
          <w:i/>
          <w:color w:val="1F3762"/>
          <w:spacing w:val="-2"/>
        </w:rPr>
        <w:t>Kalimantan</w:t>
      </w:r>
      <w:r>
        <w:rPr>
          <w:i/>
          <w:color w:val="1F3762"/>
          <w:spacing w:val="3"/>
        </w:rPr>
        <w:t xml:space="preserve"> </w:t>
      </w:r>
      <w:r>
        <w:rPr>
          <w:i/>
          <w:color w:val="1F3762"/>
          <w:spacing w:val="-2"/>
        </w:rPr>
        <w:t>Utara</w:t>
      </w:r>
      <w:r>
        <w:rPr>
          <w:i/>
          <w:color w:val="1F3762"/>
          <w:spacing w:val="3"/>
        </w:rPr>
        <w:t xml:space="preserve"> </w:t>
      </w:r>
      <w:r>
        <w:rPr>
          <w:i/>
          <w:color w:val="1F3762"/>
          <w:spacing w:val="-2"/>
        </w:rPr>
        <w:t>(Kaltara)</w:t>
      </w:r>
      <w:r>
        <w:rPr>
          <w:i/>
          <w:color w:val="1F3762"/>
        </w:rPr>
        <w:t xml:space="preserve"> </w:t>
      </w:r>
      <w:r>
        <w:rPr>
          <w:i/>
          <w:color w:val="1F3762"/>
          <w:spacing w:val="-2"/>
        </w:rPr>
        <w:t>Province</w:t>
      </w:r>
    </w:p>
    <w:p w14:paraId="77571732" w14:textId="77777777" w:rsidR="00BC24A8" w:rsidRDefault="00000000">
      <w:pPr>
        <w:spacing w:before="43"/>
        <w:ind w:left="143"/>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5"/>
        </w:rPr>
        <w:t xml:space="preserve"> </w:t>
      </w:r>
      <w:r>
        <w:rPr>
          <w:rFonts w:ascii="Calibri"/>
          <w:i/>
          <w:color w:val="272727"/>
        </w:rPr>
        <w:t>basic</w:t>
      </w:r>
      <w:r>
        <w:rPr>
          <w:rFonts w:ascii="Calibri"/>
          <w:i/>
          <w:color w:val="272727"/>
          <w:spacing w:val="-5"/>
        </w:rPr>
        <w:t xml:space="preserve"> </w:t>
      </w:r>
      <w:r>
        <w:rPr>
          <w:rFonts w:ascii="Calibri"/>
          <w:i/>
          <w:color w:val="272727"/>
        </w:rPr>
        <w:t>services,</w:t>
      </w:r>
      <w:r>
        <w:rPr>
          <w:rFonts w:ascii="Calibri"/>
          <w:i/>
          <w:color w:val="272727"/>
          <w:spacing w:val="-7"/>
        </w:rPr>
        <w:t xml:space="preserve"> </w:t>
      </w:r>
      <w:r>
        <w:rPr>
          <w:rFonts w:ascii="Calibri"/>
          <w:i/>
          <w:color w:val="272727"/>
        </w:rPr>
        <w:t>vulnerable</w:t>
      </w:r>
      <w:r>
        <w:rPr>
          <w:rFonts w:ascii="Calibri"/>
          <w:i/>
          <w:color w:val="272727"/>
          <w:spacing w:val="-4"/>
        </w:rPr>
        <w:t xml:space="preserve"> </w:t>
      </w:r>
      <w:r>
        <w:rPr>
          <w:rFonts w:ascii="Calibri"/>
          <w:i/>
          <w:color w:val="272727"/>
        </w:rPr>
        <w:t>groups,</w:t>
      </w:r>
      <w:r>
        <w:rPr>
          <w:rFonts w:ascii="Calibri"/>
          <w:i/>
          <w:color w:val="272727"/>
          <w:spacing w:val="-5"/>
        </w:rPr>
        <w:t xml:space="preserve"> </w:t>
      </w:r>
      <w:r>
        <w:rPr>
          <w:rFonts w:ascii="Calibri"/>
          <w:i/>
          <w:color w:val="272727"/>
        </w:rPr>
        <w:t>and</w:t>
      </w:r>
      <w:r>
        <w:rPr>
          <w:rFonts w:ascii="Calibri"/>
          <w:i/>
          <w:color w:val="272727"/>
          <w:spacing w:val="-6"/>
        </w:rPr>
        <w:t xml:space="preserve"> </w:t>
      </w:r>
      <w:r>
        <w:rPr>
          <w:rFonts w:ascii="Calibri"/>
          <w:i/>
          <w:color w:val="272727"/>
        </w:rPr>
        <w:t>fiscal</w:t>
      </w:r>
      <w:r>
        <w:rPr>
          <w:rFonts w:ascii="Calibri"/>
          <w:i/>
          <w:color w:val="272727"/>
          <w:spacing w:val="-5"/>
        </w:rPr>
        <w:t xml:space="preserve"> </w:t>
      </w:r>
      <w:r>
        <w:rPr>
          <w:rFonts w:ascii="Calibri"/>
          <w:i/>
          <w:color w:val="272727"/>
          <w:spacing w:val="-2"/>
        </w:rPr>
        <w:t>capacity</w:t>
      </w:r>
    </w:p>
    <w:p w14:paraId="6321C00A" w14:textId="77777777" w:rsidR="00BC24A8" w:rsidRDefault="00BC24A8">
      <w:pPr>
        <w:pStyle w:val="BodyText"/>
        <w:spacing w:before="101"/>
        <w:rPr>
          <w:rFonts w:ascii="Calibri"/>
          <w:i/>
        </w:rPr>
      </w:pPr>
    </w:p>
    <w:p w14:paraId="20D1289C" w14:textId="77777777" w:rsidR="00BC24A8" w:rsidRDefault="00000000">
      <w:pPr>
        <w:pStyle w:val="Heading5"/>
      </w:pPr>
      <w:r>
        <w:rPr>
          <w:color w:val="767070"/>
        </w:rPr>
        <w:t>Key</w:t>
      </w:r>
      <w:r>
        <w:rPr>
          <w:color w:val="767070"/>
          <w:spacing w:val="-13"/>
        </w:rPr>
        <w:t xml:space="preserve"> </w:t>
      </w:r>
      <w:r>
        <w:rPr>
          <w:color w:val="767070"/>
        </w:rPr>
        <w:t>development</w:t>
      </w:r>
      <w:r>
        <w:rPr>
          <w:color w:val="767070"/>
          <w:spacing w:val="-11"/>
        </w:rPr>
        <w:t xml:space="preserve"> </w:t>
      </w:r>
      <w:r>
        <w:rPr>
          <w:color w:val="767070"/>
        </w:rPr>
        <w:t>outcome</w:t>
      </w:r>
      <w:r>
        <w:rPr>
          <w:color w:val="767070"/>
          <w:spacing w:val="-13"/>
        </w:rPr>
        <w:t xml:space="preserve"> </w:t>
      </w:r>
      <w:r>
        <w:rPr>
          <w:color w:val="767070"/>
        </w:rPr>
        <w:t>indicator</w:t>
      </w:r>
      <w:r>
        <w:rPr>
          <w:color w:val="767070"/>
          <w:spacing w:val="-10"/>
        </w:rPr>
        <w:t xml:space="preserve"> </w:t>
      </w:r>
      <w:r>
        <w:rPr>
          <w:color w:val="767070"/>
          <w:spacing w:val="-4"/>
        </w:rPr>
        <w:t>data</w:t>
      </w:r>
    </w:p>
    <w:p w14:paraId="130FAE82" w14:textId="77777777" w:rsidR="00BC24A8" w:rsidRDefault="00BC24A8">
      <w:pPr>
        <w:pStyle w:val="BodyText"/>
        <w:spacing w:before="11"/>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3187"/>
        <w:gridCol w:w="5641"/>
      </w:tblGrid>
      <w:tr w:rsidR="00BC24A8" w14:paraId="0AD3BA06" w14:textId="77777777">
        <w:trPr>
          <w:trHeight w:val="357"/>
        </w:trPr>
        <w:tc>
          <w:tcPr>
            <w:tcW w:w="3187" w:type="dxa"/>
            <w:shd w:val="clear" w:color="auto" w:fill="17365A"/>
          </w:tcPr>
          <w:p w14:paraId="5BA66FCA" w14:textId="77777777" w:rsidR="00BC24A8" w:rsidRDefault="00000000">
            <w:pPr>
              <w:pStyle w:val="TableParagraph"/>
              <w:spacing w:before="56"/>
              <w:ind w:left="115"/>
              <w:rPr>
                <w:rFonts w:ascii="Calibri"/>
                <w:b/>
                <w:sz w:val="20"/>
              </w:rPr>
            </w:pPr>
            <w:r>
              <w:rPr>
                <w:rFonts w:ascii="Calibri"/>
                <w:b/>
                <w:color w:val="FFFFFF"/>
                <w:sz w:val="20"/>
              </w:rPr>
              <w:t>Key</w:t>
            </w:r>
            <w:r>
              <w:rPr>
                <w:rFonts w:ascii="Calibri"/>
                <w:b/>
                <w:color w:val="FFFFFF"/>
                <w:spacing w:val="-8"/>
                <w:sz w:val="20"/>
              </w:rPr>
              <w:t xml:space="preserve"> </w:t>
            </w:r>
            <w:r>
              <w:rPr>
                <w:rFonts w:ascii="Calibri"/>
                <w:b/>
                <w:color w:val="FFFFFF"/>
                <w:sz w:val="20"/>
              </w:rPr>
              <w:t>development</w:t>
            </w:r>
            <w:r>
              <w:rPr>
                <w:rFonts w:ascii="Calibri"/>
                <w:b/>
                <w:color w:val="FFFFFF"/>
                <w:spacing w:val="-7"/>
                <w:sz w:val="20"/>
              </w:rPr>
              <w:t xml:space="preserve"> </w:t>
            </w:r>
            <w:r>
              <w:rPr>
                <w:rFonts w:ascii="Calibri"/>
                <w:b/>
                <w:color w:val="FFFFFF"/>
                <w:spacing w:val="-2"/>
                <w:sz w:val="20"/>
              </w:rPr>
              <w:t>indicators</w:t>
            </w:r>
          </w:p>
        </w:tc>
        <w:tc>
          <w:tcPr>
            <w:tcW w:w="5641" w:type="dxa"/>
            <w:shd w:val="clear" w:color="auto" w:fill="17365A"/>
          </w:tcPr>
          <w:p w14:paraId="1B1B8BED" w14:textId="77777777" w:rsidR="00BC24A8" w:rsidRDefault="00000000">
            <w:pPr>
              <w:pStyle w:val="TableParagraph"/>
              <w:spacing w:before="56"/>
              <w:ind w:left="708"/>
              <w:rPr>
                <w:rFonts w:ascii="Calibri"/>
                <w:b/>
                <w:sz w:val="20"/>
              </w:rPr>
            </w:pPr>
            <w:r>
              <w:rPr>
                <w:rFonts w:ascii="Calibri"/>
                <w:b/>
                <w:color w:val="FFFFFF"/>
                <w:spacing w:val="-4"/>
                <w:sz w:val="20"/>
              </w:rPr>
              <w:t>2024</w:t>
            </w:r>
          </w:p>
        </w:tc>
      </w:tr>
      <w:tr w:rsidR="00BC24A8" w14:paraId="39005EAF" w14:textId="77777777">
        <w:trPr>
          <w:trHeight w:val="1038"/>
        </w:trPr>
        <w:tc>
          <w:tcPr>
            <w:tcW w:w="3187" w:type="dxa"/>
            <w:tcBorders>
              <w:bottom w:val="single" w:sz="4" w:space="0" w:color="BEBEBE"/>
            </w:tcBorders>
          </w:tcPr>
          <w:p w14:paraId="7794311F" w14:textId="77777777" w:rsidR="00BC24A8" w:rsidRDefault="00000000">
            <w:pPr>
              <w:pStyle w:val="TableParagraph"/>
              <w:spacing w:before="102"/>
              <w:ind w:left="115"/>
              <w:rPr>
                <w:sz w:val="18"/>
              </w:rPr>
            </w:pPr>
            <w:r>
              <w:rPr>
                <w:sz w:val="18"/>
              </w:rPr>
              <w:t>Enrollment</w:t>
            </w:r>
            <w:r>
              <w:rPr>
                <w:spacing w:val="-3"/>
                <w:sz w:val="18"/>
              </w:rPr>
              <w:t xml:space="preserve"> </w:t>
            </w:r>
            <w:r>
              <w:rPr>
                <w:spacing w:val="-2"/>
                <w:sz w:val="18"/>
              </w:rPr>
              <w:t>rates</w:t>
            </w:r>
          </w:p>
        </w:tc>
        <w:tc>
          <w:tcPr>
            <w:tcW w:w="5641" w:type="dxa"/>
            <w:tcBorders>
              <w:bottom w:val="single" w:sz="4" w:space="0" w:color="BEBEBE"/>
            </w:tcBorders>
          </w:tcPr>
          <w:p w14:paraId="0B2D7444" w14:textId="77777777" w:rsidR="00BC24A8" w:rsidRDefault="00000000">
            <w:pPr>
              <w:pStyle w:val="TableParagraph"/>
              <w:spacing w:before="102"/>
              <w:ind w:left="679" w:right="1807" w:firstLine="28"/>
              <w:rPr>
                <w:sz w:val="18"/>
              </w:rPr>
            </w:pPr>
            <w:r>
              <w:rPr>
                <w:sz w:val="18"/>
              </w:rPr>
              <w:t>Net</w:t>
            </w:r>
            <w:r>
              <w:rPr>
                <w:spacing w:val="-7"/>
                <w:sz w:val="18"/>
              </w:rPr>
              <w:t xml:space="preserve"> </w:t>
            </w:r>
            <w:r>
              <w:rPr>
                <w:sz w:val="18"/>
              </w:rPr>
              <w:t>Enrollment</w:t>
            </w:r>
            <w:r>
              <w:rPr>
                <w:spacing w:val="-7"/>
                <w:sz w:val="18"/>
              </w:rPr>
              <w:t xml:space="preserve"> </w:t>
            </w:r>
            <w:r>
              <w:rPr>
                <w:sz w:val="18"/>
              </w:rPr>
              <w:t>Rate</w:t>
            </w:r>
            <w:r>
              <w:rPr>
                <w:spacing w:val="-8"/>
                <w:sz w:val="18"/>
              </w:rPr>
              <w:t xml:space="preserve"> </w:t>
            </w:r>
            <w:r>
              <w:rPr>
                <w:sz w:val="18"/>
              </w:rPr>
              <w:t>(NER)</w:t>
            </w:r>
            <w:r>
              <w:rPr>
                <w:spacing w:val="-10"/>
                <w:sz w:val="18"/>
              </w:rPr>
              <w:t xml:space="preserve"> </w:t>
            </w:r>
            <w:r>
              <w:rPr>
                <w:sz w:val="18"/>
              </w:rPr>
              <w:t>(Disdik,</w:t>
            </w:r>
            <w:r>
              <w:rPr>
                <w:spacing w:val="-9"/>
                <w:sz w:val="18"/>
              </w:rPr>
              <w:t xml:space="preserve"> </w:t>
            </w:r>
            <w:r>
              <w:rPr>
                <w:sz w:val="18"/>
              </w:rPr>
              <w:t>2024): SD (94.73%)</w:t>
            </w:r>
          </w:p>
          <w:p w14:paraId="69D20DDF" w14:textId="77777777" w:rsidR="00BC24A8" w:rsidRDefault="00000000">
            <w:pPr>
              <w:pStyle w:val="TableParagraph"/>
              <w:spacing w:line="219" w:lineRule="exact"/>
              <w:ind w:left="679"/>
              <w:rPr>
                <w:sz w:val="18"/>
              </w:rPr>
            </w:pPr>
            <w:r>
              <w:rPr>
                <w:sz w:val="18"/>
              </w:rPr>
              <w:t>SMP</w:t>
            </w:r>
            <w:r>
              <w:rPr>
                <w:spacing w:val="-4"/>
                <w:sz w:val="18"/>
              </w:rPr>
              <w:t xml:space="preserve"> </w:t>
            </w:r>
            <w:r>
              <w:rPr>
                <w:spacing w:val="-2"/>
                <w:sz w:val="18"/>
              </w:rPr>
              <w:t>(80.53%)</w:t>
            </w:r>
          </w:p>
          <w:p w14:paraId="3A6B148E" w14:textId="77777777" w:rsidR="00BC24A8" w:rsidRDefault="00000000">
            <w:pPr>
              <w:pStyle w:val="TableParagraph"/>
              <w:spacing w:before="1"/>
              <w:ind w:left="679"/>
              <w:rPr>
                <w:sz w:val="18"/>
              </w:rPr>
            </w:pPr>
            <w:r>
              <w:rPr>
                <w:sz w:val="18"/>
              </w:rPr>
              <w:t>SMA</w:t>
            </w:r>
            <w:r>
              <w:rPr>
                <w:spacing w:val="-2"/>
                <w:sz w:val="18"/>
              </w:rPr>
              <w:t xml:space="preserve"> (66.70%)</w:t>
            </w:r>
          </w:p>
        </w:tc>
      </w:tr>
      <w:tr w:rsidR="00BC24A8" w14:paraId="4E6F2C7B" w14:textId="77777777">
        <w:trPr>
          <w:trHeight w:val="333"/>
        </w:trPr>
        <w:tc>
          <w:tcPr>
            <w:tcW w:w="3187" w:type="dxa"/>
            <w:tcBorders>
              <w:top w:val="single" w:sz="4" w:space="0" w:color="BEBEBE"/>
              <w:bottom w:val="single" w:sz="4" w:space="0" w:color="BEBEBE"/>
            </w:tcBorders>
          </w:tcPr>
          <w:p w14:paraId="5E3D23E8" w14:textId="77777777" w:rsidR="00BC24A8" w:rsidRDefault="00000000">
            <w:pPr>
              <w:pStyle w:val="TableParagraph"/>
              <w:spacing w:before="56"/>
              <w:ind w:left="115"/>
              <w:rPr>
                <w:sz w:val="18"/>
              </w:rPr>
            </w:pPr>
            <w:r>
              <w:rPr>
                <w:sz w:val="18"/>
              </w:rPr>
              <w:t>Infant</w:t>
            </w:r>
            <w:r>
              <w:rPr>
                <w:spacing w:val="-5"/>
                <w:sz w:val="18"/>
              </w:rPr>
              <w:t xml:space="preserve"> </w:t>
            </w:r>
            <w:r>
              <w:rPr>
                <w:sz w:val="18"/>
              </w:rPr>
              <w:t>mortality</w:t>
            </w:r>
            <w:r>
              <w:rPr>
                <w:spacing w:val="-2"/>
                <w:sz w:val="18"/>
              </w:rPr>
              <w:t xml:space="preserve"> </w:t>
            </w:r>
            <w:r>
              <w:rPr>
                <w:spacing w:val="-4"/>
                <w:sz w:val="18"/>
              </w:rPr>
              <w:t>rate</w:t>
            </w:r>
          </w:p>
        </w:tc>
        <w:tc>
          <w:tcPr>
            <w:tcW w:w="5641" w:type="dxa"/>
            <w:tcBorders>
              <w:top w:val="single" w:sz="4" w:space="0" w:color="BEBEBE"/>
              <w:bottom w:val="single" w:sz="4" w:space="0" w:color="BEBEBE"/>
            </w:tcBorders>
          </w:tcPr>
          <w:p w14:paraId="6A976E4B" w14:textId="77777777" w:rsidR="00BC24A8" w:rsidRDefault="00000000">
            <w:pPr>
              <w:pStyle w:val="TableParagraph"/>
              <w:spacing w:before="56"/>
              <w:ind w:left="708"/>
              <w:rPr>
                <w:sz w:val="18"/>
              </w:rPr>
            </w:pPr>
            <w:r>
              <w:rPr>
                <w:sz w:val="18"/>
              </w:rPr>
              <w:t>12.1</w:t>
            </w:r>
            <w:r>
              <w:rPr>
                <w:spacing w:val="-1"/>
                <w:sz w:val="18"/>
              </w:rPr>
              <w:t xml:space="preserve"> </w:t>
            </w:r>
            <w:r>
              <w:rPr>
                <w:sz w:val="18"/>
              </w:rPr>
              <w:t>per</w:t>
            </w:r>
            <w:r>
              <w:rPr>
                <w:spacing w:val="-1"/>
                <w:sz w:val="18"/>
              </w:rPr>
              <w:t xml:space="preserve"> </w:t>
            </w:r>
            <w:r>
              <w:rPr>
                <w:sz w:val="18"/>
              </w:rPr>
              <w:t>1,000</w:t>
            </w:r>
            <w:r>
              <w:rPr>
                <w:spacing w:val="-1"/>
                <w:sz w:val="18"/>
              </w:rPr>
              <w:t xml:space="preserve"> </w:t>
            </w:r>
            <w:r>
              <w:rPr>
                <w:sz w:val="18"/>
              </w:rPr>
              <w:t>live</w:t>
            </w:r>
            <w:r>
              <w:rPr>
                <w:spacing w:val="-2"/>
                <w:sz w:val="18"/>
              </w:rPr>
              <w:t xml:space="preserve"> </w:t>
            </w:r>
            <w:r>
              <w:rPr>
                <w:sz w:val="18"/>
              </w:rPr>
              <w:t>births</w:t>
            </w:r>
            <w:r>
              <w:rPr>
                <w:spacing w:val="-1"/>
                <w:sz w:val="18"/>
              </w:rPr>
              <w:t xml:space="preserve"> </w:t>
            </w:r>
            <w:r>
              <w:rPr>
                <w:sz w:val="18"/>
              </w:rPr>
              <w:t>(DHO,</w:t>
            </w:r>
            <w:r>
              <w:rPr>
                <w:spacing w:val="-1"/>
                <w:sz w:val="18"/>
              </w:rPr>
              <w:t xml:space="preserve"> </w:t>
            </w:r>
            <w:r>
              <w:rPr>
                <w:spacing w:val="-2"/>
                <w:sz w:val="18"/>
              </w:rPr>
              <w:t>2023)</w:t>
            </w:r>
          </w:p>
        </w:tc>
      </w:tr>
      <w:tr w:rsidR="00BC24A8" w14:paraId="579AF1FD" w14:textId="77777777">
        <w:trPr>
          <w:trHeight w:val="333"/>
        </w:trPr>
        <w:tc>
          <w:tcPr>
            <w:tcW w:w="3187" w:type="dxa"/>
            <w:tcBorders>
              <w:top w:val="single" w:sz="4" w:space="0" w:color="BEBEBE"/>
              <w:bottom w:val="single" w:sz="4" w:space="0" w:color="BEBEBE"/>
            </w:tcBorders>
          </w:tcPr>
          <w:p w14:paraId="1A0A407B" w14:textId="77777777" w:rsidR="00BC24A8" w:rsidRDefault="00000000">
            <w:pPr>
              <w:pStyle w:val="TableParagraph"/>
              <w:spacing w:before="56"/>
              <w:ind w:left="115"/>
              <w:rPr>
                <w:sz w:val="18"/>
              </w:rPr>
            </w:pPr>
            <w:r>
              <w:rPr>
                <w:sz w:val="18"/>
              </w:rPr>
              <w:t>Maternal</w:t>
            </w:r>
            <w:r>
              <w:rPr>
                <w:spacing w:val="-4"/>
                <w:sz w:val="18"/>
              </w:rPr>
              <w:t xml:space="preserve"> </w:t>
            </w:r>
            <w:r>
              <w:rPr>
                <w:sz w:val="18"/>
              </w:rPr>
              <w:t>mortality</w:t>
            </w:r>
            <w:r>
              <w:rPr>
                <w:spacing w:val="-3"/>
                <w:sz w:val="18"/>
              </w:rPr>
              <w:t xml:space="preserve"> </w:t>
            </w:r>
            <w:r>
              <w:rPr>
                <w:spacing w:val="-4"/>
                <w:sz w:val="18"/>
              </w:rPr>
              <w:t>rate</w:t>
            </w:r>
          </w:p>
        </w:tc>
        <w:tc>
          <w:tcPr>
            <w:tcW w:w="5641" w:type="dxa"/>
            <w:tcBorders>
              <w:top w:val="single" w:sz="4" w:space="0" w:color="BEBEBE"/>
              <w:bottom w:val="single" w:sz="4" w:space="0" w:color="BEBEBE"/>
            </w:tcBorders>
          </w:tcPr>
          <w:p w14:paraId="16586157" w14:textId="77777777" w:rsidR="00BC24A8" w:rsidRDefault="00000000">
            <w:pPr>
              <w:pStyle w:val="TableParagraph"/>
              <w:spacing w:before="56"/>
              <w:ind w:left="708"/>
              <w:rPr>
                <w:sz w:val="18"/>
              </w:rPr>
            </w:pPr>
            <w:r>
              <w:rPr>
                <w:sz w:val="18"/>
              </w:rPr>
              <w:t>156.76</w:t>
            </w:r>
            <w:r>
              <w:rPr>
                <w:spacing w:val="-4"/>
                <w:sz w:val="18"/>
              </w:rPr>
              <w:t xml:space="preserve"> </w:t>
            </w:r>
            <w:r>
              <w:rPr>
                <w:sz w:val="18"/>
              </w:rPr>
              <w:t>per</w:t>
            </w:r>
            <w:r>
              <w:rPr>
                <w:spacing w:val="-1"/>
                <w:sz w:val="18"/>
              </w:rPr>
              <w:t xml:space="preserve"> </w:t>
            </w:r>
            <w:r>
              <w:rPr>
                <w:sz w:val="18"/>
              </w:rPr>
              <w:t>100,000</w:t>
            </w:r>
            <w:r>
              <w:rPr>
                <w:spacing w:val="-2"/>
                <w:sz w:val="18"/>
              </w:rPr>
              <w:t xml:space="preserve"> </w:t>
            </w:r>
            <w:r>
              <w:rPr>
                <w:sz w:val="18"/>
              </w:rPr>
              <w:t>live</w:t>
            </w:r>
            <w:r>
              <w:rPr>
                <w:spacing w:val="-2"/>
                <w:sz w:val="18"/>
              </w:rPr>
              <w:t xml:space="preserve"> </w:t>
            </w:r>
            <w:r>
              <w:rPr>
                <w:sz w:val="18"/>
              </w:rPr>
              <w:t>births</w:t>
            </w:r>
            <w:r>
              <w:rPr>
                <w:spacing w:val="-1"/>
                <w:sz w:val="18"/>
              </w:rPr>
              <w:t xml:space="preserve"> </w:t>
            </w:r>
            <w:r>
              <w:rPr>
                <w:sz w:val="18"/>
              </w:rPr>
              <w:t>(DHO,</w:t>
            </w:r>
            <w:r>
              <w:rPr>
                <w:spacing w:val="-2"/>
                <w:sz w:val="18"/>
              </w:rPr>
              <w:t xml:space="preserve"> 2023)</w:t>
            </w:r>
          </w:p>
        </w:tc>
      </w:tr>
      <w:tr w:rsidR="00BC24A8" w14:paraId="56B1B02F" w14:textId="77777777">
        <w:trPr>
          <w:trHeight w:val="333"/>
        </w:trPr>
        <w:tc>
          <w:tcPr>
            <w:tcW w:w="3187" w:type="dxa"/>
            <w:tcBorders>
              <w:top w:val="single" w:sz="4" w:space="0" w:color="BEBEBE"/>
              <w:bottom w:val="single" w:sz="4" w:space="0" w:color="BEBEBE"/>
            </w:tcBorders>
          </w:tcPr>
          <w:p w14:paraId="6E425744" w14:textId="77777777" w:rsidR="00BC24A8" w:rsidRDefault="00000000">
            <w:pPr>
              <w:pStyle w:val="TableParagraph"/>
              <w:spacing w:before="56"/>
              <w:ind w:left="115"/>
              <w:rPr>
                <w:sz w:val="18"/>
              </w:rPr>
            </w:pPr>
            <w:r>
              <w:rPr>
                <w:sz w:val="18"/>
              </w:rPr>
              <w:t>Stunting</w:t>
            </w:r>
            <w:r>
              <w:rPr>
                <w:spacing w:val="-2"/>
                <w:sz w:val="18"/>
              </w:rPr>
              <w:t xml:space="preserve"> prevalence</w:t>
            </w:r>
          </w:p>
        </w:tc>
        <w:tc>
          <w:tcPr>
            <w:tcW w:w="5641" w:type="dxa"/>
            <w:tcBorders>
              <w:top w:val="single" w:sz="4" w:space="0" w:color="BEBEBE"/>
              <w:bottom w:val="single" w:sz="4" w:space="0" w:color="BEBEBE"/>
            </w:tcBorders>
          </w:tcPr>
          <w:p w14:paraId="021ABC2D" w14:textId="77777777" w:rsidR="00BC24A8" w:rsidRDefault="00000000">
            <w:pPr>
              <w:pStyle w:val="TableParagraph"/>
              <w:spacing w:before="56"/>
              <w:ind w:left="708"/>
              <w:rPr>
                <w:sz w:val="18"/>
              </w:rPr>
            </w:pPr>
            <w:r>
              <w:rPr>
                <w:sz w:val="18"/>
              </w:rPr>
              <w:t>22.1%</w:t>
            </w:r>
            <w:r>
              <w:rPr>
                <w:spacing w:val="-3"/>
                <w:sz w:val="18"/>
              </w:rPr>
              <w:t xml:space="preserve"> </w:t>
            </w:r>
            <w:r>
              <w:rPr>
                <w:sz w:val="18"/>
              </w:rPr>
              <w:t>(RPJPD</w:t>
            </w:r>
            <w:r>
              <w:rPr>
                <w:spacing w:val="-2"/>
                <w:sz w:val="18"/>
              </w:rPr>
              <w:t xml:space="preserve"> 2025–2045)</w:t>
            </w:r>
          </w:p>
        </w:tc>
      </w:tr>
      <w:tr w:rsidR="00BC24A8" w14:paraId="680D3C43" w14:textId="77777777">
        <w:trPr>
          <w:trHeight w:val="333"/>
        </w:trPr>
        <w:tc>
          <w:tcPr>
            <w:tcW w:w="3187" w:type="dxa"/>
            <w:tcBorders>
              <w:top w:val="single" w:sz="4" w:space="0" w:color="BEBEBE"/>
              <w:bottom w:val="single" w:sz="4" w:space="0" w:color="BEBEBE"/>
            </w:tcBorders>
          </w:tcPr>
          <w:p w14:paraId="79C0F0DC" w14:textId="77777777" w:rsidR="00BC24A8" w:rsidRDefault="00000000">
            <w:pPr>
              <w:pStyle w:val="TableParagraph"/>
              <w:spacing w:before="59"/>
              <w:ind w:left="115"/>
              <w:rPr>
                <w:sz w:val="18"/>
              </w:rPr>
            </w:pPr>
            <w:r>
              <w:rPr>
                <w:sz w:val="18"/>
              </w:rPr>
              <w:t>Poverty</w:t>
            </w:r>
            <w:r>
              <w:rPr>
                <w:spacing w:val="-4"/>
                <w:sz w:val="18"/>
              </w:rPr>
              <w:t xml:space="preserve"> rate</w:t>
            </w:r>
          </w:p>
        </w:tc>
        <w:tc>
          <w:tcPr>
            <w:tcW w:w="5641" w:type="dxa"/>
            <w:tcBorders>
              <w:top w:val="single" w:sz="4" w:space="0" w:color="BEBEBE"/>
              <w:bottom w:val="single" w:sz="4" w:space="0" w:color="BEBEBE"/>
            </w:tcBorders>
          </w:tcPr>
          <w:p w14:paraId="79E52D71" w14:textId="77777777" w:rsidR="00BC24A8" w:rsidRDefault="00000000">
            <w:pPr>
              <w:pStyle w:val="TableParagraph"/>
              <w:spacing w:before="59"/>
              <w:ind w:left="708"/>
              <w:rPr>
                <w:sz w:val="18"/>
              </w:rPr>
            </w:pPr>
            <w:r>
              <w:rPr>
                <w:sz w:val="18"/>
              </w:rPr>
              <w:t>6.32%</w:t>
            </w:r>
            <w:r>
              <w:rPr>
                <w:spacing w:val="-3"/>
                <w:sz w:val="18"/>
              </w:rPr>
              <w:t xml:space="preserve"> </w:t>
            </w:r>
            <w:r>
              <w:rPr>
                <w:sz w:val="18"/>
              </w:rPr>
              <w:t>(BPS,</w:t>
            </w:r>
            <w:r>
              <w:rPr>
                <w:spacing w:val="-2"/>
                <w:sz w:val="18"/>
              </w:rPr>
              <w:t xml:space="preserve"> 2024)</w:t>
            </w:r>
          </w:p>
        </w:tc>
      </w:tr>
      <w:tr w:rsidR="00BC24A8" w14:paraId="3709B652" w14:textId="77777777">
        <w:trPr>
          <w:trHeight w:val="335"/>
        </w:trPr>
        <w:tc>
          <w:tcPr>
            <w:tcW w:w="3187" w:type="dxa"/>
            <w:tcBorders>
              <w:top w:val="single" w:sz="4" w:space="0" w:color="BEBEBE"/>
              <w:bottom w:val="single" w:sz="4" w:space="0" w:color="BEBEBE"/>
            </w:tcBorders>
          </w:tcPr>
          <w:p w14:paraId="5ECDCC0D" w14:textId="77777777" w:rsidR="00BC24A8" w:rsidRDefault="00000000">
            <w:pPr>
              <w:pStyle w:val="TableParagraph"/>
              <w:spacing w:before="59"/>
              <w:ind w:left="115"/>
              <w:rPr>
                <w:sz w:val="18"/>
              </w:rPr>
            </w:pPr>
            <w:r>
              <w:rPr>
                <w:sz w:val="18"/>
              </w:rPr>
              <w:t>Open</w:t>
            </w:r>
            <w:r>
              <w:rPr>
                <w:spacing w:val="-6"/>
                <w:sz w:val="18"/>
              </w:rPr>
              <w:t xml:space="preserve"> </w:t>
            </w:r>
            <w:r>
              <w:rPr>
                <w:sz w:val="18"/>
              </w:rPr>
              <w:t>unemployment</w:t>
            </w:r>
            <w:r>
              <w:rPr>
                <w:spacing w:val="-2"/>
                <w:sz w:val="18"/>
              </w:rPr>
              <w:t xml:space="preserve"> </w:t>
            </w:r>
            <w:r>
              <w:rPr>
                <w:spacing w:val="-4"/>
                <w:sz w:val="18"/>
              </w:rPr>
              <w:t>rate</w:t>
            </w:r>
          </w:p>
        </w:tc>
        <w:tc>
          <w:tcPr>
            <w:tcW w:w="5641" w:type="dxa"/>
            <w:tcBorders>
              <w:top w:val="single" w:sz="4" w:space="0" w:color="BEBEBE"/>
              <w:bottom w:val="single" w:sz="4" w:space="0" w:color="BEBEBE"/>
            </w:tcBorders>
          </w:tcPr>
          <w:p w14:paraId="1819F647" w14:textId="77777777" w:rsidR="00BC24A8" w:rsidRDefault="00000000">
            <w:pPr>
              <w:pStyle w:val="TableParagraph"/>
              <w:spacing w:before="59"/>
              <w:ind w:left="708"/>
              <w:rPr>
                <w:sz w:val="18"/>
              </w:rPr>
            </w:pPr>
            <w:r>
              <w:rPr>
                <w:sz w:val="18"/>
              </w:rPr>
              <w:t>4.01%</w:t>
            </w:r>
            <w:r>
              <w:rPr>
                <w:spacing w:val="-3"/>
                <w:sz w:val="18"/>
              </w:rPr>
              <w:t xml:space="preserve"> </w:t>
            </w:r>
            <w:r>
              <w:rPr>
                <w:sz w:val="18"/>
              </w:rPr>
              <w:t>(BPS,</w:t>
            </w:r>
            <w:r>
              <w:rPr>
                <w:spacing w:val="-2"/>
                <w:sz w:val="18"/>
              </w:rPr>
              <w:t xml:space="preserve"> 2024)</w:t>
            </w:r>
          </w:p>
        </w:tc>
      </w:tr>
      <w:tr w:rsidR="00BC24A8" w14:paraId="510710C9" w14:textId="77777777">
        <w:trPr>
          <w:trHeight w:val="333"/>
        </w:trPr>
        <w:tc>
          <w:tcPr>
            <w:tcW w:w="3187" w:type="dxa"/>
            <w:tcBorders>
              <w:top w:val="single" w:sz="4" w:space="0" w:color="BEBEBE"/>
              <w:bottom w:val="single" w:sz="4" w:space="0" w:color="BEBEBE"/>
            </w:tcBorders>
          </w:tcPr>
          <w:p w14:paraId="0AA427EE" w14:textId="77777777" w:rsidR="00BC24A8" w:rsidRDefault="00000000">
            <w:pPr>
              <w:pStyle w:val="TableParagraph"/>
              <w:spacing w:before="56"/>
              <w:ind w:left="115"/>
              <w:rPr>
                <w:sz w:val="18"/>
              </w:rPr>
            </w:pPr>
            <w:r>
              <w:rPr>
                <w:sz w:val="18"/>
              </w:rPr>
              <w:t>Gini-</w:t>
            </w:r>
            <w:r>
              <w:rPr>
                <w:spacing w:val="-2"/>
                <w:sz w:val="18"/>
              </w:rPr>
              <w:t>Coefficient</w:t>
            </w:r>
          </w:p>
        </w:tc>
        <w:tc>
          <w:tcPr>
            <w:tcW w:w="5641" w:type="dxa"/>
            <w:tcBorders>
              <w:top w:val="single" w:sz="4" w:space="0" w:color="BEBEBE"/>
              <w:bottom w:val="single" w:sz="4" w:space="0" w:color="BEBEBE"/>
            </w:tcBorders>
          </w:tcPr>
          <w:p w14:paraId="569C9B85" w14:textId="77777777" w:rsidR="00BC24A8" w:rsidRDefault="00000000">
            <w:pPr>
              <w:pStyle w:val="TableParagraph"/>
              <w:spacing w:before="56"/>
              <w:ind w:left="708"/>
              <w:rPr>
                <w:sz w:val="18"/>
              </w:rPr>
            </w:pPr>
            <w:r>
              <w:rPr>
                <w:sz w:val="18"/>
              </w:rPr>
              <w:t>0.277</w:t>
            </w:r>
            <w:r>
              <w:rPr>
                <w:spacing w:val="-3"/>
                <w:sz w:val="18"/>
              </w:rPr>
              <w:t xml:space="preserve"> </w:t>
            </w:r>
            <w:r>
              <w:rPr>
                <w:sz w:val="18"/>
              </w:rPr>
              <w:t>(BPS,</w:t>
            </w:r>
            <w:r>
              <w:rPr>
                <w:spacing w:val="-2"/>
                <w:sz w:val="18"/>
              </w:rPr>
              <w:t xml:space="preserve"> 2024)</w:t>
            </w:r>
          </w:p>
        </w:tc>
      </w:tr>
      <w:tr w:rsidR="00BC24A8" w14:paraId="53094E25" w14:textId="77777777">
        <w:trPr>
          <w:trHeight w:val="333"/>
        </w:trPr>
        <w:tc>
          <w:tcPr>
            <w:tcW w:w="3187" w:type="dxa"/>
            <w:tcBorders>
              <w:top w:val="single" w:sz="4" w:space="0" w:color="BEBEBE"/>
              <w:bottom w:val="single" w:sz="4" w:space="0" w:color="BEBEBE"/>
            </w:tcBorders>
          </w:tcPr>
          <w:p w14:paraId="171BD633" w14:textId="77777777" w:rsidR="00BC24A8" w:rsidRDefault="00000000">
            <w:pPr>
              <w:pStyle w:val="TableParagraph"/>
              <w:spacing w:before="56"/>
              <w:ind w:left="115"/>
              <w:rPr>
                <w:sz w:val="18"/>
              </w:rPr>
            </w:pPr>
            <w:r>
              <w:rPr>
                <w:sz w:val="18"/>
              </w:rPr>
              <w:t>HDI</w:t>
            </w:r>
            <w:r>
              <w:rPr>
                <w:spacing w:val="-4"/>
                <w:sz w:val="18"/>
              </w:rPr>
              <w:t xml:space="preserve"> </w:t>
            </w:r>
            <w:r>
              <w:rPr>
                <w:sz w:val="18"/>
              </w:rPr>
              <w:t>(Human</w:t>
            </w:r>
            <w:r>
              <w:rPr>
                <w:spacing w:val="-2"/>
                <w:sz w:val="18"/>
              </w:rPr>
              <w:t xml:space="preserve"> </w:t>
            </w:r>
            <w:r>
              <w:rPr>
                <w:sz w:val="18"/>
              </w:rPr>
              <w:t>Development</w:t>
            </w:r>
            <w:r>
              <w:rPr>
                <w:spacing w:val="-1"/>
                <w:sz w:val="18"/>
              </w:rPr>
              <w:t xml:space="preserve"> </w:t>
            </w:r>
            <w:r>
              <w:rPr>
                <w:spacing w:val="-2"/>
                <w:sz w:val="18"/>
              </w:rPr>
              <w:t>Index)</w:t>
            </w:r>
          </w:p>
        </w:tc>
        <w:tc>
          <w:tcPr>
            <w:tcW w:w="5641" w:type="dxa"/>
            <w:tcBorders>
              <w:top w:val="single" w:sz="4" w:space="0" w:color="BEBEBE"/>
              <w:bottom w:val="single" w:sz="4" w:space="0" w:color="BEBEBE"/>
            </w:tcBorders>
          </w:tcPr>
          <w:p w14:paraId="21F51A93" w14:textId="77777777" w:rsidR="00BC24A8" w:rsidRDefault="00000000">
            <w:pPr>
              <w:pStyle w:val="TableParagraph"/>
              <w:spacing w:before="56"/>
              <w:ind w:left="708"/>
              <w:rPr>
                <w:sz w:val="18"/>
              </w:rPr>
            </w:pPr>
            <w:r>
              <w:rPr>
                <w:sz w:val="18"/>
              </w:rPr>
              <w:t>72.88</w:t>
            </w:r>
            <w:r>
              <w:rPr>
                <w:spacing w:val="-3"/>
                <w:sz w:val="18"/>
              </w:rPr>
              <w:t xml:space="preserve"> </w:t>
            </w:r>
            <w:r>
              <w:rPr>
                <w:sz w:val="18"/>
              </w:rPr>
              <w:t>(BPS,</w:t>
            </w:r>
            <w:r>
              <w:rPr>
                <w:spacing w:val="-2"/>
                <w:sz w:val="18"/>
              </w:rPr>
              <w:t xml:space="preserve"> 2023)</w:t>
            </w:r>
          </w:p>
        </w:tc>
      </w:tr>
    </w:tbl>
    <w:p w14:paraId="2707CBFE" w14:textId="77777777" w:rsidR="00BC24A8" w:rsidRDefault="00000000">
      <w:pPr>
        <w:spacing w:before="127"/>
        <w:ind w:left="143"/>
        <w:rPr>
          <w:sz w:val="16"/>
        </w:rPr>
      </w:pPr>
      <w:r>
        <w:rPr>
          <w:spacing w:val="-2"/>
          <w:sz w:val="16"/>
        </w:rPr>
        <w:t>Data</w:t>
      </w:r>
      <w:r>
        <w:rPr>
          <w:spacing w:val="3"/>
          <w:sz w:val="16"/>
        </w:rPr>
        <w:t xml:space="preserve"> </w:t>
      </w:r>
      <w:r>
        <w:rPr>
          <w:spacing w:val="-2"/>
          <w:sz w:val="16"/>
        </w:rPr>
        <w:t>source:</w:t>
      </w:r>
      <w:r>
        <w:rPr>
          <w:spacing w:val="6"/>
          <w:sz w:val="16"/>
        </w:rPr>
        <w:t xml:space="preserve"> </w:t>
      </w:r>
      <w:r>
        <w:rPr>
          <w:spacing w:val="-2"/>
          <w:sz w:val="16"/>
        </w:rPr>
        <w:t>Kalimantan</w:t>
      </w:r>
      <w:r>
        <w:rPr>
          <w:spacing w:val="2"/>
          <w:sz w:val="16"/>
        </w:rPr>
        <w:t xml:space="preserve"> </w:t>
      </w:r>
      <w:r>
        <w:rPr>
          <w:spacing w:val="-2"/>
          <w:sz w:val="16"/>
        </w:rPr>
        <w:t>Utara</w:t>
      </w:r>
      <w:r>
        <w:rPr>
          <w:spacing w:val="6"/>
          <w:sz w:val="16"/>
        </w:rPr>
        <w:t xml:space="preserve"> </w:t>
      </w:r>
      <w:r>
        <w:rPr>
          <w:spacing w:val="-2"/>
          <w:sz w:val="16"/>
        </w:rPr>
        <w:t>Provincial</w:t>
      </w:r>
      <w:r>
        <w:rPr>
          <w:spacing w:val="2"/>
          <w:sz w:val="16"/>
        </w:rPr>
        <w:t xml:space="preserve"> </w:t>
      </w:r>
      <w:r>
        <w:rPr>
          <w:spacing w:val="-2"/>
          <w:sz w:val="16"/>
        </w:rPr>
        <w:t>Action</w:t>
      </w:r>
      <w:r>
        <w:rPr>
          <w:spacing w:val="6"/>
          <w:sz w:val="16"/>
        </w:rPr>
        <w:t xml:space="preserve"> </w:t>
      </w:r>
      <w:r>
        <w:rPr>
          <w:spacing w:val="-4"/>
          <w:sz w:val="16"/>
        </w:rPr>
        <w:t>Plan.</w:t>
      </w:r>
    </w:p>
    <w:p w14:paraId="71298DFC" w14:textId="77777777" w:rsidR="00BC24A8" w:rsidRDefault="00BC24A8">
      <w:pPr>
        <w:pStyle w:val="BodyText"/>
        <w:rPr>
          <w:sz w:val="16"/>
        </w:rPr>
      </w:pPr>
    </w:p>
    <w:p w14:paraId="6238FE05" w14:textId="77777777" w:rsidR="00BC24A8" w:rsidRDefault="00BC24A8">
      <w:pPr>
        <w:pStyle w:val="BodyText"/>
        <w:spacing w:before="151"/>
        <w:rPr>
          <w:sz w:val="16"/>
        </w:rPr>
      </w:pPr>
    </w:p>
    <w:p w14:paraId="3F760139" w14:textId="77777777" w:rsidR="00BC24A8" w:rsidRDefault="00000000">
      <w:pPr>
        <w:pStyle w:val="Heading5"/>
      </w:pPr>
      <w:r>
        <w:rPr>
          <w:color w:val="767070"/>
        </w:rPr>
        <w:t>MSS</w:t>
      </w:r>
      <w:r>
        <w:rPr>
          <w:color w:val="767070"/>
          <w:spacing w:val="-7"/>
        </w:rPr>
        <w:t xml:space="preserve"> </w:t>
      </w:r>
      <w:r>
        <w:rPr>
          <w:color w:val="767070"/>
        </w:rPr>
        <w:t>reporting,</w:t>
      </w:r>
      <w:r>
        <w:rPr>
          <w:color w:val="767070"/>
          <w:spacing w:val="-6"/>
        </w:rPr>
        <w:t xml:space="preserve"> </w:t>
      </w:r>
      <w:r>
        <w:rPr>
          <w:color w:val="767070"/>
        </w:rPr>
        <w:t>achievement</w:t>
      </w:r>
      <w:r>
        <w:rPr>
          <w:color w:val="767070"/>
          <w:spacing w:val="-8"/>
        </w:rPr>
        <w:t xml:space="preserve"> </w:t>
      </w:r>
      <w:r>
        <w:rPr>
          <w:color w:val="767070"/>
        </w:rPr>
        <w:t>index,</w:t>
      </w:r>
      <w:r>
        <w:rPr>
          <w:color w:val="767070"/>
          <w:spacing w:val="-5"/>
        </w:rPr>
        <w:t xml:space="preserve"> </w:t>
      </w:r>
      <w:r>
        <w:rPr>
          <w:color w:val="767070"/>
        </w:rPr>
        <w:t>and</w:t>
      </w:r>
      <w:r>
        <w:rPr>
          <w:color w:val="767070"/>
          <w:spacing w:val="-7"/>
        </w:rPr>
        <w:t xml:space="preserve"> </w:t>
      </w:r>
      <w:r>
        <w:rPr>
          <w:color w:val="767070"/>
        </w:rPr>
        <w:t>budget</w:t>
      </w:r>
      <w:r>
        <w:rPr>
          <w:color w:val="767070"/>
          <w:spacing w:val="-8"/>
        </w:rPr>
        <w:t xml:space="preserve"> </w:t>
      </w:r>
      <w:r>
        <w:rPr>
          <w:color w:val="767070"/>
          <w:spacing w:val="-4"/>
        </w:rPr>
        <w:t>data</w:t>
      </w:r>
    </w:p>
    <w:p w14:paraId="2D19C7C4" w14:textId="77777777" w:rsidR="00BC24A8" w:rsidRDefault="00BC24A8">
      <w:pPr>
        <w:pStyle w:val="BodyText"/>
        <w:spacing w:after="1"/>
        <w:rPr>
          <w:rFonts w:ascii="Calibri"/>
          <w:b/>
          <w:sz w:val="13"/>
        </w:rPr>
      </w:pPr>
    </w:p>
    <w:tbl>
      <w:tblPr>
        <w:tblW w:w="0" w:type="auto"/>
        <w:tblInd w:w="150" w:type="dxa"/>
        <w:tblLayout w:type="fixed"/>
        <w:tblCellMar>
          <w:left w:w="0" w:type="dxa"/>
          <w:right w:w="0" w:type="dxa"/>
        </w:tblCellMar>
        <w:tblLook w:val="01E0" w:firstRow="1" w:lastRow="1" w:firstColumn="1" w:lastColumn="1" w:noHBand="0" w:noVBand="0"/>
      </w:tblPr>
      <w:tblGrid>
        <w:gridCol w:w="2431"/>
        <w:gridCol w:w="1889"/>
        <w:gridCol w:w="1891"/>
        <w:gridCol w:w="812"/>
        <w:gridCol w:w="1796"/>
      </w:tblGrid>
      <w:tr w:rsidR="00BC24A8" w14:paraId="1AA6A500" w14:textId="77777777">
        <w:trPr>
          <w:trHeight w:val="643"/>
        </w:trPr>
        <w:tc>
          <w:tcPr>
            <w:tcW w:w="2431" w:type="dxa"/>
            <w:shd w:val="clear" w:color="auto" w:fill="17365A"/>
          </w:tcPr>
          <w:p w14:paraId="51117ECC" w14:textId="77777777" w:rsidR="00BC24A8" w:rsidRDefault="00000000">
            <w:pPr>
              <w:pStyle w:val="TableParagraph"/>
              <w:spacing w:before="191"/>
              <w:ind w:left="107"/>
              <w:rPr>
                <w:rFonts w:ascii="Calibri"/>
                <w:b/>
                <w:sz w:val="20"/>
              </w:rPr>
            </w:pPr>
            <w:r>
              <w:rPr>
                <w:rFonts w:ascii="Calibri"/>
                <w:b/>
                <w:color w:val="FFFFFF"/>
                <w:spacing w:val="-2"/>
                <w:sz w:val="20"/>
              </w:rPr>
              <w:t>Sector</w:t>
            </w:r>
          </w:p>
        </w:tc>
        <w:tc>
          <w:tcPr>
            <w:tcW w:w="1889" w:type="dxa"/>
            <w:shd w:val="clear" w:color="auto" w:fill="17365A"/>
          </w:tcPr>
          <w:p w14:paraId="273A34B9" w14:textId="77777777" w:rsidR="00BC24A8" w:rsidRDefault="00000000">
            <w:pPr>
              <w:pStyle w:val="TableParagraph"/>
              <w:spacing w:before="59" w:line="259" w:lineRule="auto"/>
              <w:ind w:left="194" w:right="162" w:hanging="34"/>
              <w:rPr>
                <w:rFonts w:ascii="Calibri"/>
                <w:b/>
                <w:sz w:val="20"/>
              </w:rPr>
            </w:pPr>
            <w:r>
              <w:rPr>
                <w:rFonts w:ascii="Calibri"/>
                <w:b/>
                <w:color w:val="FFFFFF"/>
                <w:sz w:val="20"/>
              </w:rPr>
              <w:t>Report</w:t>
            </w:r>
            <w:r>
              <w:rPr>
                <w:rFonts w:ascii="Calibri"/>
                <w:b/>
                <w:color w:val="FFFFFF"/>
                <w:spacing w:val="-12"/>
                <w:sz w:val="20"/>
              </w:rPr>
              <w:t xml:space="preserve"> </w:t>
            </w:r>
            <w:r>
              <w:rPr>
                <w:rFonts w:ascii="Calibri"/>
                <w:b/>
                <w:color w:val="FFFFFF"/>
                <w:sz w:val="20"/>
              </w:rPr>
              <w:t>completion in</w:t>
            </w:r>
            <w:r>
              <w:rPr>
                <w:rFonts w:ascii="Calibri"/>
                <w:b/>
                <w:color w:val="FFFFFF"/>
                <w:spacing w:val="-4"/>
                <w:sz w:val="20"/>
              </w:rPr>
              <w:t xml:space="preserve"> </w:t>
            </w:r>
            <w:r>
              <w:rPr>
                <w:rFonts w:ascii="Calibri"/>
                <w:b/>
                <w:color w:val="FFFFFF"/>
                <w:sz w:val="20"/>
              </w:rPr>
              <w:t>e-MSS</w:t>
            </w:r>
            <w:r>
              <w:rPr>
                <w:rFonts w:ascii="Calibri"/>
                <w:b/>
                <w:color w:val="FFFFFF"/>
                <w:spacing w:val="-5"/>
                <w:sz w:val="20"/>
              </w:rPr>
              <w:t xml:space="preserve"> </w:t>
            </w:r>
            <w:r>
              <w:rPr>
                <w:rFonts w:ascii="Calibri"/>
                <w:b/>
                <w:color w:val="FFFFFF"/>
                <w:sz w:val="20"/>
              </w:rPr>
              <w:t>2024</w:t>
            </w:r>
            <w:r>
              <w:rPr>
                <w:rFonts w:ascii="Calibri"/>
                <w:b/>
                <w:color w:val="FFFFFF"/>
                <w:spacing w:val="-4"/>
                <w:sz w:val="20"/>
              </w:rPr>
              <w:t xml:space="preserve"> </w:t>
            </w:r>
            <w:r>
              <w:rPr>
                <w:rFonts w:ascii="Calibri"/>
                <w:b/>
                <w:color w:val="FFFFFF"/>
                <w:spacing w:val="-5"/>
                <w:sz w:val="20"/>
              </w:rPr>
              <w:t>(%)</w:t>
            </w:r>
          </w:p>
        </w:tc>
        <w:tc>
          <w:tcPr>
            <w:tcW w:w="1891" w:type="dxa"/>
            <w:shd w:val="clear" w:color="auto" w:fill="17365A"/>
          </w:tcPr>
          <w:p w14:paraId="7F056429" w14:textId="77777777" w:rsidR="00BC24A8" w:rsidRDefault="00000000">
            <w:pPr>
              <w:pStyle w:val="TableParagraph"/>
              <w:spacing w:before="59" w:line="259" w:lineRule="auto"/>
              <w:ind w:left="333" w:right="198" w:hanging="132"/>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 index 2024 (%)</w:t>
            </w:r>
          </w:p>
        </w:tc>
        <w:tc>
          <w:tcPr>
            <w:tcW w:w="2608" w:type="dxa"/>
            <w:gridSpan w:val="2"/>
            <w:shd w:val="clear" w:color="auto" w:fill="17365A"/>
          </w:tcPr>
          <w:p w14:paraId="0CE079A0" w14:textId="77777777" w:rsidR="00BC24A8" w:rsidRDefault="00000000">
            <w:pPr>
              <w:pStyle w:val="TableParagraph"/>
              <w:spacing w:before="191"/>
              <w:ind w:left="105"/>
              <w:rPr>
                <w:rFonts w:ascii="Calibri"/>
                <w:b/>
                <w:sz w:val="20"/>
              </w:rPr>
            </w:pPr>
            <w:r>
              <w:rPr>
                <w:rFonts w:ascii="Calibri"/>
                <w:b/>
                <w:color w:val="FFFFFF"/>
                <w:sz w:val="20"/>
              </w:rPr>
              <w:t>2024</w:t>
            </w:r>
            <w:r>
              <w:rPr>
                <w:rFonts w:ascii="Calibri"/>
                <w:b/>
                <w:color w:val="FFFFFF"/>
                <w:spacing w:val="-6"/>
                <w:sz w:val="20"/>
              </w:rPr>
              <w:t xml:space="preserve"> </w:t>
            </w:r>
            <w:r>
              <w:rPr>
                <w:rFonts w:ascii="Calibri"/>
                <w:b/>
                <w:color w:val="FFFFFF"/>
                <w:sz w:val="20"/>
              </w:rPr>
              <w:t>MSS</w:t>
            </w:r>
            <w:r>
              <w:rPr>
                <w:rFonts w:ascii="Calibri"/>
                <w:b/>
                <w:color w:val="FFFFFF"/>
                <w:spacing w:val="-6"/>
                <w:sz w:val="20"/>
              </w:rPr>
              <w:t xml:space="preserve"> </w:t>
            </w:r>
            <w:r>
              <w:rPr>
                <w:rFonts w:ascii="Calibri"/>
                <w:b/>
                <w:color w:val="FFFFFF"/>
                <w:spacing w:val="-2"/>
                <w:sz w:val="20"/>
              </w:rPr>
              <w:t>budget</w:t>
            </w:r>
          </w:p>
        </w:tc>
      </w:tr>
      <w:tr w:rsidR="00BC24A8" w14:paraId="3ED00E3A" w14:textId="77777777">
        <w:trPr>
          <w:trHeight w:val="376"/>
        </w:trPr>
        <w:tc>
          <w:tcPr>
            <w:tcW w:w="2431" w:type="dxa"/>
            <w:tcBorders>
              <w:bottom w:val="single" w:sz="4" w:space="0" w:color="BEBEBE"/>
            </w:tcBorders>
          </w:tcPr>
          <w:p w14:paraId="0614BB7C" w14:textId="77777777" w:rsidR="00BC24A8" w:rsidRDefault="00000000">
            <w:pPr>
              <w:pStyle w:val="TableParagraph"/>
              <w:spacing w:before="102"/>
              <w:ind w:left="107"/>
              <w:rPr>
                <w:sz w:val="18"/>
              </w:rPr>
            </w:pPr>
            <w:r>
              <w:rPr>
                <w:spacing w:val="-2"/>
                <w:sz w:val="18"/>
              </w:rPr>
              <w:t>Education</w:t>
            </w:r>
          </w:p>
        </w:tc>
        <w:tc>
          <w:tcPr>
            <w:tcW w:w="1889" w:type="dxa"/>
            <w:tcBorders>
              <w:bottom w:val="single" w:sz="4" w:space="0" w:color="BEBEBE"/>
            </w:tcBorders>
          </w:tcPr>
          <w:p w14:paraId="6469264A" w14:textId="77777777" w:rsidR="00BC24A8" w:rsidRDefault="00000000">
            <w:pPr>
              <w:pStyle w:val="TableParagraph"/>
              <w:spacing w:before="102"/>
              <w:ind w:left="3" w:right="7"/>
              <w:jc w:val="center"/>
              <w:rPr>
                <w:sz w:val="18"/>
              </w:rPr>
            </w:pPr>
            <w:r>
              <w:rPr>
                <w:spacing w:val="-5"/>
                <w:sz w:val="18"/>
              </w:rPr>
              <w:t>100</w:t>
            </w:r>
          </w:p>
        </w:tc>
        <w:tc>
          <w:tcPr>
            <w:tcW w:w="1891" w:type="dxa"/>
            <w:tcBorders>
              <w:bottom w:val="single" w:sz="4" w:space="0" w:color="BEBEBE"/>
            </w:tcBorders>
          </w:tcPr>
          <w:p w14:paraId="30EEBF19" w14:textId="77777777" w:rsidR="00BC24A8" w:rsidRDefault="00000000">
            <w:pPr>
              <w:pStyle w:val="TableParagraph"/>
              <w:spacing w:before="102"/>
              <w:ind w:right="2"/>
              <w:jc w:val="center"/>
              <w:rPr>
                <w:sz w:val="18"/>
              </w:rPr>
            </w:pPr>
            <w:r>
              <w:rPr>
                <w:spacing w:val="-5"/>
                <w:sz w:val="18"/>
              </w:rPr>
              <w:t>100</w:t>
            </w:r>
          </w:p>
        </w:tc>
        <w:tc>
          <w:tcPr>
            <w:tcW w:w="812" w:type="dxa"/>
            <w:tcBorders>
              <w:bottom w:val="single" w:sz="4" w:space="0" w:color="BEBEBE"/>
            </w:tcBorders>
          </w:tcPr>
          <w:p w14:paraId="5225F03B" w14:textId="77777777" w:rsidR="00BC24A8" w:rsidRDefault="00000000">
            <w:pPr>
              <w:pStyle w:val="TableParagraph"/>
              <w:spacing w:before="102"/>
              <w:ind w:left="105"/>
              <w:rPr>
                <w:sz w:val="18"/>
              </w:rPr>
            </w:pPr>
            <w:r>
              <w:rPr>
                <w:spacing w:val="-5"/>
                <w:sz w:val="18"/>
              </w:rPr>
              <w:t>IDR</w:t>
            </w:r>
          </w:p>
        </w:tc>
        <w:tc>
          <w:tcPr>
            <w:tcW w:w="1796" w:type="dxa"/>
            <w:tcBorders>
              <w:bottom w:val="single" w:sz="4" w:space="0" w:color="BEBEBE"/>
            </w:tcBorders>
          </w:tcPr>
          <w:p w14:paraId="147DF296" w14:textId="77777777" w:rsidR="00BC24A8" w:rsidRDefault="00000000">
            <w:pPr>
              <w:pStyle w:val="TableParagraph"/>
              <w:spacing w:before="102"/>
              <w:ind w:right="108"/>
              <w:jc w:val="right"/>
              <w:rPr>
                <w:sz w:val="18"/>
              </w:rPr>
            </w:pPr>
            <w:r>
              <w:rPr>
                <w:spacing w:val="-2"/>
                <w:sz w:val="18"/>
              </w:rPr>
              <w:t>143,616,703,068</w:t>
            </w:r>
          </w:p>
        </w:tc>
      </w:tr>
      <w:tr w:rsidR="00BC24A8" w14:paraId="785FC3C1" w14:textId="77777777">
        <w:trPr>
          <w:trHeight w:val="335"/>
        </w:trPr>
        <w:tc>
          <w:tcPr>
            <w:tcW w:w="2431" w:type="dxa"/>
            <w:tcBorders>
              <w:top w:val="single" w:sz="4" w:space="0" w:color="BEBEBE"/>
              <w:bottom w:val="single" w:sz="4" w:space="0" w:color="BEBEBE"/>
            </w:tcBorders>
          </w:tcPr>
          <w:p w14:paraId="4EBEA794" w14:textId="77777777" w:rsidR="00BC24A8" w:rsidRDefault="00000000">
            <w:pPr>
              <w:pStyle w:val="TableParagraph"/>
              <w:spacing w:before="59"/>
              <w:ind w:left="107"/>
              <w:rPr>
                <w:sz w:val="18"/>
              </w:rPr>
            </w:pPr>
            <w:r>
              <w:rPr>
                <w:spacing w:val="-2"/>
                <w:sz w:val="18"/>
              </w:rPr>
              <w:t>Health</w:t>
            </w:r>
          </w:p>
        </w:tc>
        <w:tc>
          <w:tcPr>
            <w:tcW w:w="1889" w:type="dxa"/>
            <w:tcBorders>
              <w:top w:val="single" w:sz="4" w:space="0" w:color="BEBEBE"/>
              <w:bottom w:val="single" w:sz="4" w:space="0" w:color="BEBEBE"/>
            </w:tcBorders>
          </w:tcPr>
          <w:p w14:paraId="032FB0CF" w14:textId="77777777" w:rsidR="00BC24A8" w:rsidRDefault="00000000">
            <w:pPr>
              <w:pStyle w:val="TableParagraph"/>
              <w:spacing w:before="59"/>
              <w:ind w:left="3" w:right="7"/>
              <w:jc w:val="center"/>
              <w:rPr>
                <w:sz w:val="18"/>
              </w:rPr>
            </w:pPr>
            <w:r>
              <w:rPr>
                <w:spacing w:val="-5"/>
                <w:sz w:val="18"/>
              </w:rPr>
              <w:t>100</w:t>
            </w:r>
          </w:p>
        </w:tc>
        <w:tc>
          <w:tcPr>
            <w:tcW w:w="1891" w:type="dxa"/>
            <w:tcBorders>
              <w:top w:val="single" w:sz="4" w:space="0" w:color="BEBEBE"/>
              <w:bottom w:val="single" w:sz="4" w:space="0" w:color="BEBEBE"/>
            </w:tcBorders>
          </w:tcPr>
          <w:p w14:paraId="579EB915" w14:textId="77777777" w:rsidR="00BC24A8" w:rsidRDefault="00000000">
            <w:pPr>
              <w:pStyle w:val="TableParagraph"/>
              <w:spacing w:before="59"/>
              <w:ind w:right="2"/>
              <w:jc w:val="center"/>
              <w:rPr>
                <w:sz w:val="18"/>
              </w:rPr>
            </w:pPr>
            <w:r>
              <w:rPr>
                <w:spacing w:val="-5"/>
                <w:sz w:val="18"/>
              </w:rPr>
              <w:t>100</w:t>
            </w:r>
          </w:p>
        </w:tc>
        <w:tc>
          <w:tcPr>
            <w:tcW w:w="812" w:type="dxa"/>
            <w:tcBorders>
              <w:top w:val="single" w:sz="4" w:space="0" w:color="BEBEBE"/>
              <w:bottom w:val="single" w:sz="4" w:space="0" w:color="BEBEBE"/>
            </w:tcBorders>
          </w:tcPr>
          <w:p w14:paraId="7F2F4A32" w14:textId="77777777" w:rsidR="00BC24A8" w:rsidRDefault="00000000">
            <w:pPr>
              <w:pStyle w:val="TableParagraph"/>
              <w:spacing w:before="59"/>
              <w:ind w:left="105"/>
              <w:rPr>
                <w:sz w:val="18"/>
              </w:rPr>
            </w:pPr>
            <w:r>
              <w:rPr>
                <w:spacing w:val="-5"/>
                <w:sz w:val="18"/>
              </w:rPr>
              <w:t>IDR</w:t>
            </w:r>
          </w:p>
        </w:tc>
        <w:tc>
          <w:tcPr>
            <w:tcW w:w="1796" w:type="dxa"/>
            <w:tcBorders>
              <w:top w:val="single" w:sz="4" w:space="0" w:color="BEBEBE"/>
              <w:bottom w:val="single" w:sz="4" w:space="0" w:color="BEBEBE"/>
            </w:tcBorders>
          </w:tcPr>
          <w:p w14:paraId="543E62C3" w14:textId="77777777" w:rsidR="00BC24A8" w:rsidRDefault="00000000">
            <w:pPr>
              <w:pStyle w:val="TableParagraph"/>
              <w:spacing w:before="59"/>
              <w:ind w:right="109"/>
              <w:jc w:val="right"/>
              <w:rPr>
                <w:sz w:val="18"/>
              </w:rPr>
            </w:pPr>
            <w:r>
              <w:rPr>
                <w:spacing w:val="-2"/>
                <w:sz w:val="18"/>
              </w:rPr>
              <w:t>650,000,000</w:t>
            </w:r>
          </w:p>
        </w:tc>
      </w:tr>
      <w:tr w:rsidR="00BC24A8" w14:paraId="2A17238D" w14:textId="77777777">
        <w:trPr>
          <w:trHeight w:val="333"/>
        </w:trPr>
        <w:tc>
          <w:tcPr>
            <w:tcW w:w="2431" w:type="dxa"/>
            <w:tcBorders>
              <w:top w:val="single" w:sz="4" w:space="0" w:color="BEBEBE"/>
              <w:bottom w:val="single" w:sz="4" w:space="0" w:color="BEBEBE"/>
            </w:tcBorders>
          </w:tcPr>
          <w:p w14:paraId="0CE5B90E" w14:textId="77777777" w:rsidR="00BC24A8" w:rsidRDefault="00000000">
            <w:pPr>
              <w:pStyle w:val="TableParagraph"/>
              <w:spacing w:before="56"/>
              <w:ind w:left="107"/>
              <w:rPr>
                <w:sz w:val="18"/>
              </w:rPr>
            </w:pPr>
            <w:r>
              <w:rPr>
                <w:sz w:val="18"/>
              </w:rPr>
              <w:t xml:space="preserve">Social </w:t>
            </w:r>
            <w:r>
              <w:rPr>
                <w:spacing w:val="-2"/>
                <w:sz w:val="18"/>
              </w:rPr>
              <w:t>Affairs</w:t>
            </w:r>
          </w:p>
        </w:tc>
        <w:tc>
          <w:tcPr>
            <w:tcW w:w="1889" w:type="dxa"/>
            <w:tcBorders>
              <w:top w:val="single" w:sz="4" w:space="0" w:color="BEBEBE"/>
              <w:bottom w:val="single" w:sz="4" w:space="0" w:color="BEBEBE"/>
            </w:tcBorders>
          </w:tcPr>
          <w:p w14:paraId="63F8FDF7" w14:textId="77777777" w:rsidR="00BC24A8" w:rsidRDefault="00000000">
            <w:pPr>
              <w:pStyle w:val="TableParagraph"/>
              <w:spacing w:before="56"/>
              <w:ind w:left="3" w:right="7"/>
              <w:jc w:val="center"/>
              <w:rPr>
                <w:sz w:val="18"/>
              </w:rPr>
            </w:pPr>
            <w:r>
              <w:rPr>
                <w:spacing w:val="-5"/>
                <w:sz w:val="18"/>
              </w:rPr>
              <w:t>100</w:t>
            </w:r>
          </w:p>
        </w:tc>
        <w:tc>
          <w:tcPr>
            <w:tcW w:w="1891" w:type="dxa"/>
            <w:tcBorders>
              <w:top w:val="single" w:sz="4" w:space="0" w:color="BEBEBE"/>
              <w:bottom w:val="single" w:sz="4" w:space="0" w:color="BEBEBE"/>
            </w:tcBorders>
          </w:tcPr>
          <w:p w14:paraId="6233C931" w14:textId="77777777" w:rsidR="00BC24A8" w:rsidRDefault="00000000">
            <w:pPr>
              <w:pStyle w:val="TableParagraph"/>
              <w:spacing w:before="56"/>
              <w:ind w:right="2"/>
              <w:jc w:val="center"/>
              <w:rPr>
                <w:sz w:val="18"/>
              </w:rPr>
            </w:pPr>
            <w:r>
              <w:rPr>
                <w:spacing w:val="-5"/>
                <w:sz w:val="18"/>
              </w:rPr>
              <w:t>100</w:t>
            </w:r>
          </w:p>
        </w:tc>
        <w:tc>
          <w:tcPr>
            <w:tcW w:w="812" w:type="dxa"/>
            <w:tcBorders>
              <w:top w:val="single" w:sz="4" w:space="0" w:color="BEBEBE"/>
              <w:bottom w:val="single" w:sz="4" w:space="0" w:color="BEBEBE"/>
            </w:tcBorders>
          </w:tcPr>
          <w:p w14:paraId="77BA3C2E" w14:textId="77777777" w:rsidR="00BC24A8" w:rsidRDefault="00000000">
            <w:pPr>
              <w:pStyle w:val="TableParagraph"/>
              <w:spacing w:before="56"/>
              <w:ind w:left="105"/>
              <w:rPr>
                <w:sz w:val="18"/>
              </w:rPr>
            </w:pPr>
            <w:r>
              <w:rPr>
                <w:spacing w:val="-5"/>
                <w:sz w:val="18"/>
              </w:rPr>
              <w:t>IDR</w:t>
            </w:r>
          </w:p>
        </w:tc>
        <w:tc>
          <w:tcPr>
            <w:tcW w:w="1796" w:type="dxa"/>
            <w:tcBorders>
              <w:top w:val="single" w:sz="4" w:space="0" w:color="BEBEBE"/>
              <w:bottom w:val="single" w:sz="4" w:space="0" w:color="BEBEBE"/>
            </w:tcBorders>
          </w:tcPr>
          <w:p w14:paraId="3EA3B9AE" w14:textId="77777777" w:rsidR="00BC24A8" w:rsidRDefault="00000000">
            <w:pPr>
              <w:pStyle w:val="TableParagraph"/>
              <w:spacing w:before="56"/>
              <w:ind w:right="108"/>
              <w:jc w:val="right"/>
              <w:rPr>
                <w:sz w:val="18"/>
              </w:rPr>
            </w:pPr>
            <w:r>
              <w:rPr>
                <w:spacing w:val="-2"/>
                <w:sz w:val="18"/>
              </w:rPr>
              <w:t>3,793,376,410</w:t>
            </w:r>
          </w:p>
        </w:tc>
      </w:tr>
      <w:tr w:rsidR="00BC24A8" w14:paraId="3E1FEE9B" w14:textId="77777777">
        <w:trPr>
          <w:trHeight w:val="333"/>
        </w:trPr>
        <w:tc>
          <w:tcPr>
            <w:tcW w:w="2431" w:type="dxa"/>
            <w:tcBorders>
              <w:top w:val="single" w:sz="4" w:space="0" w:color="BEBEBE"/>
              <w:bottom w:val="single" w:sz="4" w:space="0" w:color="BEBEBE"/>
            </w:tcBorders>
          </w:tcPr>
          <w:p w14:paraId="54BB9BCF" w14:textId="77777777" w:rsidR="00BC24A8" w:rsidRDefault="00000000">
            <w:pPr>
              <w:pStyle w:val="TableParagraph"/>
              <w:spacing w:before="56"/>
              <w:ind w:left="107"/>
              <w:rPr>
                <w:sz w:val="18"/>
              </w:rPr>
            </w:pPr>
            <w:r>
              <w:rPr>
                <w:sz w:val="18"/>
              </w:rPr>
              <w:t>Public</w:t>
            </w:r>
            <w:r>
              <w:rPr>
                <w:spacing w:val="-1"/>
                <w:sz w:val="18"/>
              </w:rPr>
              <w:t xml:space="preserve"> </w:t>
            </w:r>
            <w:r>
              <w:rPr>
                <w:spacing w:val="-2"/>
                <w:sz w:val="18"/>
              </w:rPr>
              <w:t>Works</w:t>
            </w:r>
          </w:p>
        </w:tc>
        <w:tc>
          <w:tcPr>
            <w:tcW w:w="1889" w:type="dxa"/>
            <w:tcBorders>
              <w:top w:val="single" w:sz="4" w:space="0" w:color="BEBEBE"/>
              <w:bottom w:val="single" w:sz="4" w:space="0" w:color="BEBEBE"/>
            </w:tcBorders>
          </w:tcPr>
          <w:p w14:paraId="3C5527E5" w14:textId="77777777" w:rsidR="00BC24A8" w:rsidRDefault="00000000">
            <w:pPr>
              <w:pStyle w:val="TableParagraph"/>
              <w:spacing w:before="56"/>
              <w:ind w:left="3" w:right="7"/>
              <w:jc w:val="center"/>
              <w:rPr>
                <w:sz w:val="18"/>
              </w:rPr>
            </w:pPr>
            <w:r>
              <w:rPr>
                <w:spacing w:val="-5"/>
                <w:sz w:val="18"/>
              </w:rPr>
              <w:t>100</w:t>
            </w:r>
          </w:p>
        </w:tc>
        <w:tc>
          <w:tcPr>
            <w:tcW w:w="1891" w:type="dxa"/>
            <w:tcBorders>
              <w:top w:val="single" w:sz="4" w:space="0" w:color="BEBEBE"/>
              <w:bottom w:val="single" w:sz="4" w:space="0" w:color="BEBEBE"/>
            </w:tcBorders>
          </w:tcPr>
          <w:p w14:paraId="29E851E9" w14:textId="77777777" w:rsidR="00BC24A8" w:rsidRDefault="00000000">
            <w:pPr>
              <w:pStyle w:val="TableParagraph"/>
              <w:spacing w:before="56"/>
              <w:ind w:right="2"/>
              <w:jc w:val="center"/>
              <w:rPr>
                <w:sz w:val="18"/>
              </w:rPr>
            </w:pPr>
            <w:r>
              <w:rPr>
                <w:spacing w:val="-5"/>
                <w:sz w:val="18"/>
              </w:rPr>
              <w:t>100</w:t>
            </w:r>
          </w:p>
        </w:tc>
        <w:tc>
          <w:tcPr>
            <w:tcW w:w="812" w:type="dxa"/>
            <w:tcBorders>
              <w:top w:val="single" w:sz="4" w:space="0" w:color="BEBEBE"/>
              <w:bottom w:val="single" w:sz="4" w:space="0" w:color="BEBEBE"/>
            </w:tcBorders>
          </w:tcPr>
          <w:p w14:paraId="509B29B1" w14:textId="77777777" w:rsidR="00BC24A8" w:rsidRDefault="00000000">
            <w:pPr>
              <w:pStyle w:val="TableParagraph"/>
              <w:spacing w:before="56"/>
              <w:ind w:left="105"/>
              <w:rPr>
                <w:sz w:val="18"/>
              </w:rPr>
            </w:pPr>
            <w:r>
              <w:rPr>
                <w:spacing w:val="-5"/>
                <w:sz w:val="18"/>
              </w:rPr>
              <w:t>IDR</w:t>
            </w:r>
          </w:p>
        </w:tc>
        <w:tc>
          <w:tcPr>
            <w:tcW w:w="1796" w:type="dxa"/>
            <w:tcBorders>
              <w:top w:val="single" w:sz="4" w:space="0" w:color="BEBEBE"/>
              <w:bottom w:val="single" w:sz="4" w:space="0" w:color="BEBEBE"/>
            </w:tcBorders>
          </w:tcPr>
          <w:p w14:paraId="6B9B412B" w14:textId="77777777" w:rsidR="00BC24A8" w:rsidRDefault="00000000">
            <w:pPr>
              <w:pStyle w:val="TableParagraph"/>
              <w:spacing w:before="56"/>
              <w:ind w:right="108"/>
              <w:jc w:val="right"/>
              <w:rPr>
                <w:sz w:val="18"/>
              </w:rPr>
            </w:pPr>
            <w:r>
              <w:rPr>
                <w:spacing w:val="-2"/>
                <w:sz w:val="18"/>
              </w:rPr>
              <w:t>19,500,150,366</w:t>
            </w:r>
          </w:p>
        </w:tc>
      </w:tr>
      <w:tr w:rsidR="00BC24A8" w14:paraId="2C2A6B58" w14:textId="77777777">
        <w:trPr>
          <w:trHeight w:val="333"/>
        </w:trPr>
        <w:tc>
          <w:tcPr>
            <w:tcW w:w="2431" w:type="dxa"/>
            <w:tcBorders>
              <w:top w:val="single" w:sz="4" w:space="0" w:color="BEBEBE"/>
              <w:bottom w:val="single" w:sz="4" w:space="0" w:color="BEBEBE"/>
            </w:tcBorders>
          </w:tcPr>
          <w:p w14:paraId="6A117E02" w14:textId="77777777" w:rsidR="00BC24A8" w:rsidRDefault="00000000">
            <w:pPr>
              <w:pStyle w:val="TableParagraph"/>
              <w:spacing w:before="56"/>
              <w:ind w:left="107"/>
              <w:rPr>
                <w:sz w:val="18"/>
              </w:rPr>
            </w:pPr>
            <w:r>
              <w:rPr>
                <w:sz w:val="18"/>
              </w:rPr>
              <w:t>Public</w:t>
            </w:r>
            <w:r>
              <w:rPr>
                <w:spacing w:val="-1"/>
                <w:sz w:val="18"/>
              </w:rPr>
              <w:t xml:space="preserve"> </w:t>
            </w:r>
            <w:r>
              <w:rPr>
                <w:spacing w:val="-2"/>
                <w:sz w:val="18"/>
              </w:rPr>
              <w:t>Housing</w:t>
            </w:r>
          </w:p>
        </w:tc>
        <w:tc>
          <w:tcPr>
            <w:tcW w:w="1889" w:type="dxa"/>
            <w:tcBorders>
              <w:top w:val="single" w:sz="4" w:space="0" w:color="BEBEBE"/>
              <w:bottom w:val="single" w:sz="4" w:space="0" w:color="BEBEBE"/>
            </w:tcBorders>
          </w:tcPr>
          <w:p w14:paraId="3C1BFA6E" w14:textId="77777777" w:rsidR="00BC24A8" w:rsidRDefault="00000000">
            <w:pPr>
              <w:pStyle w:val="TableParagraph"/>
              <w:spacing w:before="56"/>
              <w:ind w:left="3" w:right="7"/>
              <w:jc w:val="center"/>
              <w:rPr>
                <w:sz w:val="18"/>
              </w:rPr>
            </w:pPr>
            <w:r>
              <w:rPr>
                <w:spacing w:val="-5"/>
                <w:sz w:val="18"/>
              </w:rPr>
              <w:t>100</w:t>
            </w:r>
          </w:p>
        </w:tc>
        <w:tc>
          <w:tcPr>
            <w:tcW w:w="1891" w:type="dxa"/>
            <w:tcBorders>
              <w:top w:val="single" w:sz="4" w:space="0" w:color="BEBEBE"/>
              <w:bottom w:val="single" w:sz="4" w:space="0" w:color="BEBEBE"/>
            </w:tcBorders>
          </w:tcPr>
          <w:p w14:paraId="1863106D" w14:textId="77777777" w:rsidR="00BC24A8" w:rsidRDefault="00000000">
            <w:pPr>
              <w:pStyle w:val="TableParagraph"/>
              <w:spacing w:before="56"/>
              <w:ind w:right="2"/>
              <w:jc w:val="center"/>
              <w:rPr>
                <w:sz w:val="18"/>
              </w:rPr>
            </w:pPr>
            <w:r>
              <w:rPr>
                <w:spacing w:val="-5"/>
                <w:sz w:val="18"/>
              </w:rPr>
              <w:t>100</w:t>
            </w:r>
          </w:p>
        </w:tc>
        <w:tc>
          <w:tcPr>
            <w:tcW w:w="812" w:type="dxa"/>
            <w:tcBorders>
              <w:top w:val="single" w:sz="4" w:space="0" w:color="BEBEBE"/>
              <w:bottom w:val="single" w:sz="4" w:space="0" w:color="BEBEBE"/>
            </w:tcBorders>
          </w:tcPr>
          <w:p w14:paraId="2B79DD7F" w14:textId="77777777" w:rsidR="00BC24A8" w:rsidRDefault="00000000">
            <w:pPr>
              <w:pStyle w:val="TableParagraph"/>
              <w:spacing w:before="56"/>
              <w:ind w:left="105"/>
              <w:rPr>
                <w:sz w:val="18"/>
              </w:rPr>
            </w:pPr>
            <w:r>
              <w:rPr>
                <w:spacing w:val="-5"/>
                <w:sz w:val="18"/>
              </w:rPr>
              <w:t>IDR</w:t>
            </w:r>
          </w:p>
        </w:tc>
        <w:tc>
          <w:tcPr>
            <w:tcW w:w="1796" w:type="dxa"/>
            <w:tcBorders>
              <w:top w:val="single" w:sz="4" w:space="0" w:color="BEBEBE"/>
              <w:bottom w:val="single" w:sz="4" w:space="0" w:color="BEBEBE"/>
            </w:tcBorders>
          </w:tcPr>
          <w:p w14:paraId="7D3317F1" w14:textId="77777777" w:rsidR="00BC24A8" w:rsidRDefault="00000000">
            <w:pPr>
              <w:pStyle w:val="TableParagraph"/>
              <w:spacing w:before="56"/>
              <w:ind w:right="109"/>
              <w:jc w:val="right"/>
              <w:rPr>
                <w:sz w:val="18"/>
              </w:rPr>
            </w:pPr>
            <w:r>
              <w:rPr>
                <w:spacing w:val="-2"/>
                <w:sz w:val="18"/>
              </w:rPr>
              <w:t>998,046,341</w:t>
            </w:r>
          </w:p>
        </w:tc>
      </w:tr>
      <w:tr w:rsidR="00BC24A8" w14:paraId="7D70E7D9" w14:textId="77777777">
        <w:trPr>
          <w:trHeight w:val="597"/>
        </w:trPr>
        <w:tc>
          <w:tcPr>
            <w:tcW w:w="2431" w:type="dxa"/>
            <w:tcBorders>
              <w:top w:val="single" w:sz="4" w:space="0" w:color="BEBEBE"/>
            </w:tcBorders>
          </w:tcPr>
          <w:p w14:paraId="7264CCEF" w14:textId="77777777" w:rsidR="00BC24A8" w:rsidRDefault="00000000">
            <w:pPr>
              <w:pStyle w:val="TableParagraph"/>
              <w:spacing w:before="59"/>
              <w:ind w:left="107"/>
              <w:rPr>
                <w:sz w:val="18"/>
              </w:rPr>
            </w:pPr>
            <w:r>
              <w:rPr>
                <w:sz w:val="18"/>
              </w:rPr>
              <w:t>Public</w:t>
            </w:r>
            <w:r>
              <w:rPr>
                <w:spacing w:val="29"/>
                <w:sz w:val="18"/>
              </w:rPr>
              <w:t xml:space="preserve"> </w:t>
            </w:r>
            <w:r>
              <w:rPr>
                <w:sz w:val="18"/>
              </w:rPr>
              <w:t>Order</w:t>
            </w:r>
            <w:r>
              <w:rPr>
                <w:spacing w:val="27"/>
                <w:sz w:val="18"/>
              </w:rPr>
              <w:t xml:space="preserve"> </w:t>
            </w:r>
            <w:r>
              <w:rPr>
                <w:sz w:val="18"/>
              </w:rPr>
              <w:t>and</w:t>
            </w:r>
            <w:r>
              <w:rPr>
                <w:spacing w:val="29"/>
                <w:sz w:val="18"/>
              </w:rPr>
              <w:t xml:space="preserve"> </w:t>
            </w:r>
            <w:r>
              <w:rPr>
                <w:sz w:val="18"/>
              </w:rPr>
              <w:t>Community Protection (Trantibumlinmas)</w:t>
            </w:r>
          </w:p>
        </w:tc>
        <w:tc>
          <w:tcPr>
            <w:tcW w:w="1889" w:type="dxa"/>
            <w:tcBorders>
              <w:top w:val="single" w:sz="4" w:space="0" w:color="BEBEBE"/>
            </w:tcBorders>
          </w:tcPr>
          <w:p w14:paraId="2016CEFC" w14:textId="77777777" w:rsidR="00BC24A8" w:rsidRDefault="00000000">
            <w:pPr>
              <w:pStyle w:val="TableParagraph"/>
              <w:spacing w:before="167"/>
              <w:ind w:left="3" w:right="7"/>
              <w:jc w:val="center"/>
              <w:rPr>
                <w:sz w:val="18"/>
              </w:rPr>
            </w:pPr>
            <w:r>
              <w:rPr>
                <w:spacing w:val="-5"/>
                <w:sz w:val="18"/>
              </w:rPr>
              <w:t>100</w:t>
            </w:r>
          </w:p>
        </w:tc>
        <w:tc>
          <w:tcPr>
            <w:tcW w:w="1891" w:type="dxa"/>
            <w:tcBorders>
              <w:top w:val="single" w:sz="4" w:space="0" w:color="BEBEBE"/>
            </w:tcBorders>
          </w:tcPr>
          <w:p w14:paraId="260F4B3A" w14:textId="77777777" w:rsidR="00BC24A8" w:rsidRDefault="00000000">
            <w:pPr>
              <w:pStyle w:val="TableParagraph"/>
              <w:spacing w:before="167"/>
              <w:ind w:right="2"/>
              <w:jc w:val="center"/>
              <w:rPr>
                <w:sz w:val="18"/>
              </w:rPr>
            </w:pPr>
            <w:r>
              <w:rPr>
                <w:spacing w:val="-5"/>
                <w:sz w:val="18"/>
              </w:rPr>
              <w:t>100</w:t>
            </w:r>
          </w:p>
        </w:tc>
        <w:tc>
          <w:tcPr>
            <w:tcW w:w="812" w:type="dxa"/>
            <w:tcBorders>
              <w:top w:val="single" w:sz="4" w:space="0" w:color="BEBEBE"/>
            </w:tcBorders>
          </w:tcPr>
          <w:p w14:paraId="33C5B3F5" w14:textId="77777777" w:rsidR="00BC24A8" w:rsidRDefault="00000000">
            <w:pPr>
              <w:pStyle w:val="TableParagraph"/>
              <w:spacing w:before="59"/>
              <w:ind w:left="105"/>
              <w:rPr>
                <w:sz w:val="18"/>
              </w:rPr>
            </w:pPr>
            <w:r>
              <w:rPr>
                <w:spacing w:val="-5"/>
                <w:sz w:val="18"/>
              </w:rPr>
              <w:t>IDR</w:t>
            </w:r>
          </w:p>
        </w:tc>
        <w:tc>
          <w:tcPr>
            <w:tcW w:w="1796" w:type="dxa"/>
            <w:tcBorders>
              <w:top w:val="single" w:sz="4" w:space="0" w:color="BEBEBE"/>
            </w:tcBorders>
          </w:tcPr>
          <w:p w14:paraId="42958736" w14:textId="77777777" w:rsidR="00BC24A8" w:rsidRDefault="00000000">
            <w:pPr>
              <w:pStyle w:val="TableParagraph"/>
              <w:spacing w:before="59"/>
              <w:ind w:right="109"/>
              <w:jc w:val="right"/>
              <w:rPr>
                <w:sz w:val="18"/>
              </w:rPr>
            </w:pPr>
            <w:r>
              <w:rPr>
                <w:spacing w:val="-2"/>
                <w:sz w:val="18"/>
              </w:rPr>
              <w:t>5,000,000</w:t>
            </w:r>
          </w:p>
        </w:tc>
      </w:tr>
      <w:tr w:rsidR="00BC24A8" w14:paraId="5EACE6A8" w14:textId="77777777">
        <w:trPr>
          <w:trHeight w:val="335"/>
        </w:trPr>
        <w:tc>
          <w:tcPr>
            <w:tcW w:w="2431" w:type="dxa"/>
            <w:tcBorders>
              <w:bottom w:val="single" w:sz="4" w:space="0" w:color="BEBEBE"/>
              <w:right w:val="single" w:sz="18" w:space="0" w:color="FFFFFF"/>
            </w:tcBorders>
            <w:shd w:val="clear" w:color="auto" w:fill="A7A9AC"/>
          </w:tcPr>
          <w:p w14:paraId="6F7B69BD" w14:textId="77777777" w:rsidR="00BC24A8" w:rsidRDefault="00000000">
            <w:pPr>
              <w:pStyle w:val="TableParagraph"/>
              <w:spacing w:before="59"/>
              <w:ind w:left="107"/>
              <w:rPr>
                <w:sz w:val="18"/>
              </w:rPr>
            </w:pPr>
            <w:r w:rsidRPr="00795364">
              <w:rPr>
                <w:color w:val="000000"/>
                <w:spacing w:val="-2"/>
                <w:sz w:val="18"/>
              </w:rPr>
              <w:t>TOTAL</w:t>
            </w:r>
          </w:p>
        </w:tc>
        <w:tc>
          <w:tcPr>
            <w:tcW w:w="1889" w:type="dxa"/>
            <w:tcBorders>
              <w:left w:val="single" w:sz="18" w:space="0" w:color="FFFFFF"/>
              <w:bottom w:val="single" w:sz="4" w:space="0" w:color="BEBEBE"/>
              <w:right w:val="single" w:sz="18" w:space="0" w:color="FFFFFF"/>
            </w:tcBorders>
            <w:shd w:val="clear" w:color="auto" w:fill="A7A9AC"/>
          </w:tcPr>
          <w:p w14:paraId="6C9465E1" w14:textId="77777777" w:rsidR="00BC24A8" w:rsidRDefault="00BC24A8">
            <w:pPr>
              <w:pStyle w:val="TableParagraph"/>
              <w:rPr>
                <w:rFonts w:ascii="Times New Roman"/>
                <w:sz w:val="18"/>
              </w:rPr>
            </w:pPr>
          </w:p>
        </w:tc>
        <w:tc>
          <w:tcPr>
            <w:tcW w:w="1891" w:type="dxa"/>
            <w:tcBorders>
              <w:left w:val="single" w:sz="18" w:space="0" w:color="FFFFFF"/>
              <w:bottom w:val="single" w:sz="4" w:space="0" w:color="BEBEBE"/>
              <w:right w:val="single" w:sz="18" w:space="0" w:color="FFFFFF"/>
            </w:tcBorders>
            <w:shd w:val="clear" w:color="auto" w:fill="A7A9AC"/>
          </w:tcPr>
          <w:p w14:paraId="14154A13" w14:textId="77777777" w:rsidR="00BC24A8" w:rsidRDefault="00BC24A8">
            <w:pPr>
              <w:pStyle w:val="TableParagraph"/>
              <w:rPr>
                <w:rFonts w:ascii="Times New Roman"/>
                <w:sz w:val="18"/>
              </w:rPr>
            </w:pPr>
          </w:p>
        </w:tc>
        <w:tc>
          <w:tcPr>
            <w:tcW w:w="812" w:type="dxa"/>
            <w:tcBorders>
              <w:left w:val="single" w:sz="18" w:space="0" w:color="FFFFFF"/>
              <w:bottom w:val="single" w:sz="4" w:space="0" w:color="BEBEBE"/>
            </w:tcBorders>
            <w:shd w:val="clear" w:color="auto" w:fill="A7A9AC"/>
          </w:tcPr>
          <w:p w14:paraId="0FC76C95" w14:textId="77777777" w:rsidR="00BC24A8" w:rsidRDefault="00000000">
            <w:pPr>
              <w:pStyle w:val="TableParagraph"/>
              <w:spacing w:before="59"/>
              <w:ind w:left="83"/>
              <w:rPr>
                <w:sz w:val="18"/>
              </w:rPr>
            </w:pPr>
            <w:r w:rsidRPr="00795364">
              <w:rPr>
                <w:color w:val="000000"/>
                <w:spacing w:val="-5"/>
                <w:sz w:val="18"/>
              </w:rPr>
              <w:t>IDR</w:t>
            </w:r>
          </w:p>
        </w:tc>
        <w:tc>
          <w:tcPr>
            <w:tcW w:w="1796" w:type="dxa"/>
            <w:tcBorders>
              <w:bottom w:val="single" w:sz="4" w:space="0" w:color="BEBEBE"/>
            </w:tcBorders>
            <w:shd w:val="clear" w:color="auto" w:fill="A7A9AC"/>
          </w:tcPr>
          <w:p w14:paraId="709D5403" w14:textId="77777777" w:rsidR="00BC24A8" w:rsidRDefault="00000000">
            <w:pPr>
              <w:pStyle w:val="TableParagraph"/>
              <w:spacing w:before="59"/>
              <w:ind w:right="106"/>
              <w:jc w:val="right"/>
              <w:rPr>
                <w:sz w:val="18"/>
              </w:rPr>
            </w:pPr>
            <w:r w:rsidRPr="00795364">
              <w:rPr>
                <w:color w:val="000000"/>
                <w:spacing w:val="-2"/>
                <w:sz w:val="18"/>
              </w:rPr>
              <w:t>168,563,276,185</w:t>
            </w:r>
          </w:p>
        </w:tc>
      </w:tr>
    </w:tbl>
    <w:p w14:paraId="2A19A6B4" w14:textId="77777777" w:rsidR="00BC24A8" w:rsidRDefault="00000000">
      <w:pPr>
        <w:spacing w:before="122"/>
        <w:ind w:left="143"/>
        <w:rPr>
          <w:sz w:val="16"/>
        </w:rPr>
      </w:pPr>
      <w:r>
        <w:rPr>
          <w:sz w:val="16"/>
        </w:rPr>
        <w:t>Data</w:t>
      </w:r>
      <w:r>
        <w:rPr>
          <w:spacing w:val="-9"/>
          <w:sz w:val="16"/>
        </w:rPr>
        <w:t xml:space="preserve"> </w:t>
      </w:r>
      <w:r>
        <w:rPr>
          <w:sz w:val="16"/>
        </w:rPr>
        <w:t>source:</w:t>
      </w:r>
      <w:r>
        <w:rPr>
          <w:spacing w:val="-7"/>
          <w:sz w:val="16"/>
        </w:rPr>
        <w:t xml:space="preserve"> </w:t>
      </w:r>
      <w:r>
        <w:rPr>
          <w:sz w:val="16"/>
        </w:rPr>
        <w:t>MSS</w:t>
      </w:r>
      <w:r>
        <w:rPr>
          <w:spacing w:val="-5"/>
          <w:sz w:val="16"/>
        </w:rPr>
        <w:t xml:space="preserve"> </w:t>
      </w:r>
      <w:r>
        <w:rPr>
          <w:sz w:val="16"/>
        </w:rPr>
        <w:t>Report</w:t>
      </w:r>
      <w:r>
        <w:rPr>
          <w:spacing w:val="-6"/>
          <w:sz w:val="16"/>
        </w:rPr>
        <w:t xml:space="preserve"> </w:t>
      </w:r>
      <w:r>
        <w:rPr>
          <w:sz w:val="16"/>
        </w:rPr>
        <w:t>2024</w:t>
      </w:r>
      <w:r>
        <w:rPr>
          <w:spacing w:val="-6"/>
          <w:sz w:val="16"/>
        </w:rPr>
        <w:t xml:space="preserve"> </w:t>
      </w:r>
      <w:r>
        <w:rPr>
          <w:sz w:val="16"/>
        </w:rPr>
        <w:t>&amp;</w:t>
      </w:r>
      <w:r>
        <w:rPr>
          <w:spacing w:val="-4"/>
          <w:sz w:val="16"/>
        </w:rPr>
        <w:t xml:space="preserve"> </w:t>
      </w:r>
      <w:r>
        <w:rPr>
          <w:sz w:val="16"/>
        </w:rPr>
        <w:t>BKAD</w:t>
      </w:r>
      <w:r>
        <w:rPr>
          <w:spacing w:val="-5"/>
          <w:sz w:val="16"/>
        </w:rPr>
        <w:t xml:space="preserve"> </w:t>
      </w:r>
      <w:r>
        <w:rPr>
          <w:sz w:val="16"/>
        </w:rPr>
        <w:t>(Regional</w:t>
      </w:r>
      <w:r>
        <w:rPr>
          <w:spacing w:val="-5"/>
          <w:sz w:val="16"/>
        </w:rPr>
        <w:t xml:space="preserve"> </w:t>
      </w:r>
      <w:r>
        <w:rPr>
          <w:sz w:val="16"/>
        </w:rPr>
        <w:t>Financial</w:t>
      </w:r>
      <w:r>
        <w:rPr>
          <w:spacing w:val="-5"/>
          <w:sz w:val="16"/>
        </w:rPr>
        <w:t xml:space="preserve"> </w:t>
      </w:r>
      <w:r>
        <w:rPr>
          <w:sz w:val="16"/>
        </w:rPr>
        <w:t>and</w:t>
      </w:r>
      <w:r>
        <w:rPr>
          <w:spacing w:val="-4"/>
          <w:sz w:val="16"/>
        </w:rPr>
        <w:t xml:space="preserve"> </w:t>
      </w:r>
      <w:r>
        <w:rPr>
          <w:sz w:val="16"/>
        </w:rPr>
        <w:t>Asset</w:t>
      </w:r>
      <w:r>
        <w:rPr>
          <w:spacing w:val="-8"/>
          <w:sz w:val="16"/>
        </w:rPr>
        <w:t xml:space="preserve"> </w:t>
      </w:r>
      <w:r>
        <w:rPr>
          <w:sz w:val="16"/>
        </w:rPr>
        <w:t>Management</w:t>
      </w:r>
      <w:r>
        <w:rPr>
          <w:spacing w:val="-5"/>
          <w:sz w:val="16"/>
        </w:rPr>
        <w:t xml:space="preserve"> </w:t>
      </w:r>
      <w:r>
        <w:rPr>
          <w:spacing w:val="-2"/>
          <w:sz w:val="16"/>
        </w:rPr>
        <w:t>Agency)</w:t>
      </w:r>
    </w:p>
    <w:p w14:paraId="351D21E8" w14:textId="77777777" w:rsidR="00BC24A8" w:rsidRDefault="00BC24A8">
      <w:pPr>
        <w:rPr>
          <w:sz w:val="16"/>
        </w:rPr>
        <w:sectPr w:rsidR="00BC24A8">
          <w:pgSz w:w="11910" w:h="16840"/>
          <w:pgMar w:top="1320" w:right="850" w:bottom="1100" w:left="1275" w:header="0" w:footer="907" w:gutter="0"/>
          <w:cols w:space="720"/>
        </w:sectPr>
      </w:pPr>
    </w:p>
    <w:p w14:paraId="39AA84F1" w14:textId="77777777" w:rsidR="00BC24A8" w:rsidRDefault="00000000">
      <w:pPr>
        <w:pStyle w:val="Heading5"/>
        <w:spacing w:before="39"/>
      </w:pPr>
      <w:r>
        <w:rPr>
          <w:color w:val="767070"/>
        </w:rPr>
        <w:lastRenderedPageBreak/>
        <w:t>Regional</w:t>
      </w:r>
      <w:r>
        <w:rPr>
          <w:color w:val="767070"/>
          <w:spacing w:val="-7"/>
        </w:rPr>
        <w:t xml:space="preserve"> </w:t>
      </w:r>
      <w:r>
        <w:rPr>
          <w:color w:val="767070"/>
        </w:rPr>
        <w:t>Revenue</w:t>
      </w:r>
      <w:r>
        <w:rPr>
          <w:color w:val="767070"/>
          <w:spacing w:val="-8"/>
        </w:rPr>
        <w:t xml:space="preserve"> </w:t>
      </w:r>
      <w:r>
        <w:rPr>
          <w:color w:val="767070"/>
        </w:rPr>
        <w:t>and</w:t>
      </w:r>
      <w:r>
        <w:rPr>
          <w:color w:val="767070"/>
          <w:spacing w:val="-8"/>
        </w:rPr>
        <w:t xml:space="preserve"> </w:t>
      </w:r>
      <w:r>
        <w:rPr>
          <w:color w:val="767070"/>
        </w:rPr>
        <w:t>Expenditure</w:t>
      </w:r>
      <w:r>
        <w:rPr>
          <w:color w:val="767070"/>
          <w:spacing w:val="-7"/>
        </w:rPr>
        <w:t xml:space="preserve"> </w:t>
      </w:r>
      <w:r>
        <w:rPr>
          <w:color w:val="767070"/>
        </w:rPr>
        <w:t>Budget</w:t>
      </w:r>
      <w:r>
        <w:rPr>
          <w:color w:val="767070"/>
          <w:spacing w:val="-9"/>
        </w:rPr>
        <w:t xml:space="preserve"> </w:t>
      </w:r>
      <w:r>
        <w:rPr>
          <w:color w:val="767070"/>
        </w:rPr>
        <w:t>(APBD)</w:t>
      </w:r>
      <w:r>
        <w:rPr>
          <w:color w:val="767070"/>
          <w:spacing w:val="-6"/>
        </w:rPr>
        <w:t xml:space="preserve"> </w:t>
      </w:r>
      <w:r>
        <w:rPr>
          <w:color w:val="767070"/>
          <w:spacing w:val="-4"/>
        </w:rPr>
        <w:t>Data</w:t>
      </w:r>
    </w:p>
    <w:p w14:paraId="5DBAEC36" w14:textId="77777777" w:rsidR="00BC24A8" w:rsidRDefault="00BC24A8">
      <w:pPr>
        <w:pStyle w:val="BodyText"/>
        <w:spacing w:before="8"/>
        <w:rPr>
          <w:rFonts w:ascii="Calibri"/>
          <w:b/>
          <w:sz w:val="12"/>
        </w:rPr>
      </w:pPr>
    </w:p>
    <w:tbl>
      <w:tblPr>
        <w:tblW w:w="0" w:type="auto"/>
        <w:tblInd w:w="150" w:type="dxa"/>
        <w:tblLayout w:type="fixed"/>
        <w:tblCellMar>
          <w:left w:w="0" w:type="dxa"/>
          <w:right w:w="0" w:type="dxa"/>
        </w:tblCellMar>
        <w:tblLook w:val="01E0" w:firstRow="1" w:lastRow="1" w:firstColumn="1" w:lastColumn="1" w:noHBand="0" w:noVBand="0"/>
      </w:tblPr>
      <w:tblGrid>
        <w:gridCol w:w="3420"/>
        <w:gridCol w:w="2395"/>
        <w:gridCol w:w="3276"/>
      </w:tblGrid>
      <w:tr w:rsidR="00BC24A8" w14:paraId="220CF866" w14:textId="77777777">
        <w:trPr>
          <w:trHeight w:val="379"/>
        </w:trPr>
        <w:tc>
          <w:tcPr>
            <w:tcW w:w="3420" w:type="dxa"/>
            <w:shd w:val="clear" w:color="auto" w:fill="17365A"/>
          </w:tcPr>
          <w:p w14:paraId="6704CB93" w14:textId="77777777" w:rsidR="00BC24A8" w:rsidRDefault="00000000">
            <w:pPr>
              <w:pStyle w:val="TableParagraph"/>
              <w:spacing w:before="59"/>
              <w:ind w:left="107"/>
              <w:rPr>
                <w:rFonts w:ascii="Calibri"/>
                <w:b/>
                <w:sz w:val="20"/>
              </w:rPr>
            </w:pPr>
            <w:r>
              <w:rPr>
                <w:rFonts w:ascii="Calibri"/>
                <w:b/>
                <w:color w:val="FFFFFF"/>
                <w:spacing w:val="-2"/>
                <w:sz w:val="20"/>
              </w:rPr>
              <w:t>Source</w:t>
            </w:r>
          </w:p>
        </w:tc>
        <w:tc>
          <w:tcPr>
            <w:tcW w:w="2395" w:type="dxa"/>
            <w:shd w:val="clear" w:color="auto" w:fill="17365A"/>
          </w:tcPr>
          <w:p w14:paraId="3E02BF30" w14:textId="77777777" w:rsidR="00BC24A8" w:rsidRDefault="00000000">
            <w:pPr>
              <w:pStyle w:val="TableParagraph"/>
              <w:spacing w:before="59"/>
              <w:ind w:left="2" w:right="2"/>
              <w:jc w:val="center"/>
              <w:rPr>
                <w:rFonts w:ascii="Calibri"/>
                <w:b/>
                <w:sz w:val="20"/>
              </w:rPr>
            </w:pPr>
            <w:r>
              <w:rPr>
                <w:rFonts w:ascii="Calibri"/>
                <w:b/>
                <w:color w:val="FFFFFF"/>
                <w:sz w:val="20"/>
              </w:rPr>
              <w:t>APBD</w:t>
            </w:r>
            <w:r>
              <w:rPr>
                <w:rFonts w:ascii="Calibri"/>
                <w:b/>
                <w:color w:val="FFFFFF"/>
                <w:spacing w:val="-6"/>
                <w:sz w:val="20"/>
              </w:rPr>
              <w:t xml:space="preserve"> </w:t>
            </w:r>
            <w:r>
              <w:rPr>
                <w:rFonts w:ascii="Calibri"/>
                <w:b/>
                <w:color w:val="FFFFFF"/>
                <w:sz w:val="20"/>
              </w:rPr>
              <w:t>2024</w:t>
            </w:r>
            <w:r>
              <w:rPr>
                <w:rFonts w:ascii="Calibri"/>
                <w:b/>
                <w:color w:val="FFFFFF"/>
                <w:spacing w:val="-5"/>
                <w:sz w:val="20"/>
              </w:rPr>
              <w:t xml:space="preserve"> </w:t>
            </w:r>
            <w:r>
              <w:rPr>
                <w:rFonts w:ascii="Calibri"/>
                <w:b/>
                <w:color w:val="FFFFFF"/>
                <w:spacing w:val="-2"/>
                <w:sz w:val="20"/>
              </w:rPr>
              <w:t>(IDR)</w:t>
            </w:r>
          </w:p>
        </w:tc>
        <w:tc>
          <w:tcPr>
            <w:tcW w:w="3276" w:type="dxa"/>
            <w:shd w:val="clear" w:color="auto" w:fill="17365A"/>
          </w:tcPr>
          <w:p w14:paraId="0A6D66CA" w14:textId="77777777" w:rsidR="00BC24A8" w:rsidRDefault="00000000">
            <w:pPr>
              <w:pStyle w:val="TableParagraph"/>
              <w:spacing w:before="59"/>
              <w:ind w:right="2"/>
              <w:jc w:val="center"/>
              <w:rPr>
                <w:rFonts w:ascii="Calibri"/>
                <w:b/>
                <w:sz w:val="20"/>
              </w:rPr>
            </w:pPr>
            <w:r>
              <w:rPr>
                <w:rFonts w:ascii="Calibri"/>
                <w:b/>
                <w:color w:val="FFFFFF"/>
                <w:sz w:val="20"/>
              </w:rPr>
              <w:t>APBD</w:t>
            </w:r>
            <w:r>
              <w:rPr>
                <w:rFonts w:ascii="Calibri"/>
                <w:b/>
                <w:color w:val="FFFFFF"/>
                <w:spacing w:val="-6"/>
                <w:sz w:val="20"/>
              </w:rPr>
              <w:t xml:space="preserve"> </w:t>
            </w:r>
            <w:r>
              <w:rPr>
                <w:rFonts w:ascii="Calibri"/>
                <w:b/>
                <w:color w:val="FFFFFF"/>
                <w:sz w:val="20"/>
              </w:rPr>
              <w:t>2025</w:t>
            </w:r>
            <w:r>
              <w:rPr>
                <w:rFonts w:ascii="Calibri"/>
                <w:b/>
                <w:color w:val="FFFFFF"/>
                <w:spacing w:val="-5"/>
                <w:sz w:val="20"/>
              </w:rPr>
              <w:t xml:space="preserve"> </w:t>
            </w:r>
            <w:r>
              <w:rPr>
                <w:rFonts w:ascii="Calibri"/>
                <w:b/>
                <w:color w:val="FFFFFF"/>
                <w:spacing w:val="-2"/>
                <w:sz w:val="20"/>
              </w:rPr>
              <w:t>(IDR)</w:t>
            </w:r>
          </w:p>
        </w:tc>
      </w:tr>
      <w:tr w:rsidR="00BC24A8" w14:paraId="14F70E2B" w14:textId="77777777">
        <w:trPr>
          <w:trHeight w:val="376"/>
        </w:trPr>
        <w:tc>
          <w:tcPr>
            <w:tcW w:w="3420" w:type="dxa"/>
            <w:tcBorders>
              <w:bottom w:val="single" w:sz="4" w:space="0" w:color="BEBEBE"/>
            </w:tcBorders>
          </w:tcPr>
          <w:p w14:paraId="66A2308D" w14:textId="77777777" w:rsidR="00BC24A8" w:rsidRDefault="00000000">
            <w:pPr>
              <w:pStyle w:val="TableParagraph"/>
              <w:spacing w:before="102"/>
              <w:ind w:left="107"/>
              <w:rPr>
                <w:sz w:val="18"/>
              </w:rPr>
            </w:pPr>
            <w:r>
              <w:rPr>
                <w:sz w:val="18"/>
              </w:rPr>
              <w:t>PAD</w:t>
            </w:r>
            <w:r>
              <w:rPr>
                <w:spacing w:val="-2"/>
                <w:sz w:val="18"/>
              </w:rPr>
              <w:t xml:space="preserve"> </w:t>
            </w:r>
            <w:r>
              <w:rPr>
                <w:sz w:val="18"/>
              </w:rPr>
              <w:t>(Regional</w:t>
            </w:r>
            <w:r>
              <w:rPr>
                <w:spacing w:val="-2"/>
                <w:sz w:val="18"/>
              </w:rPr>
              <w:t xml:space="preserve"> Revenue)</w:t>
            </w:r>
          </w:p>
        </w:tc>
        <w:tc>
          <w:tcPr>
            <w:tcW w:w="2395" w:type="dxa"/>
            <w:tcBorders>
              <w:bottom w:val="single" w:sz="4" w:space="0" w:color="BEBEBE"/>
            </w:tcBorders>
          </w:tcPr>
          <w:p w14:paraId="772D86B5" w14:textId="77777777" w:rsidR="00BC24A8" w:rsidRDefault="00000000">
            <w:pPr>
              <w:pStyle w:val="TableParagraph"/>
              <w:spacing w:before="102"/>
              <w:ind w:left="1" w:right="2"/>
              <w:jc w:val="center"/>
              <w:rPr>
                <w:sz w:val="18"/>
              </w:rPr>
            </w:pPr>
            <w:r>
              <w:rPr>
                <w:spacing w:val="-2"/>
                <w:sz w:val="18"/>
              </w:rPr>
              <w:t>1,066,531,465,270</w:t>
            </w:r>
          </w:p>
        </w:tc>
        <w:tc>
          <w:tcPr>
            <w:tcW w:w="3276" w:type="dxa"/>
            <w:tcBorders>
              <w:bottom w:val="single" w:sz="4" w:space="0" w:color="BEBEBE"/>
            </w:tcBorders>
          </w:tcPr>
          <w:p w14:paraId="2895C6C4" w14:textId="77777777" w:rsidR="00BC24A8" w:rsidRDefault="00000000">
            <w:pPr>
              <w:pStyle w:val="TableParagraph"/>
              <w:spacing w:before="102"/>
              <w:ind w:left="1" w:right="2"/>
              <w:jc w:val="center"/>
              <w:rPr>
                <w:sz w:val="18"/>
              </w:rPr>
            </w:pPr>
            <w:r>
              <w:rPr>
                <w:spacing w:val="-2"/>
                <w:sz w:val="18"/>
              </w:rPr>
              <w:t>1,026,394,628,085</w:t>
            </w:r>
          </w:p>
        </w:tc>
      </w:tr>
      <w:tr w:rsidR="00BC24A8" w14:paraId="05194D2D" w14:textId="77777777">
        <w:trPr>
          <w:trHeight w:val="335"/>
        </w:trPr>
        <w:tc>
          <w:tcPr>
            <w:tcW w:w="3420" w:type="dxa"/>
            <w:tcBorders>
              <w:top w:val="single" w:sz="4" w:space="0" w:color="BEBEBE"/>
              <w:bottom w:val="single" w:sz="4" w:space="0" w:color="BEBEBE"/>
            </w:tcBorders>
          </w:tcPr>
          <w:p w14:paraId="64E74D9A" w14:textId="77777777" w:rsidR="00BC24A8" w:rsidRDefault="00000000">
            <w:pPr>
              <w:pStyle w:val="TableParagraph"/>
              <w:spacing w:before="59"/>
              <w:ind w:left="107"/>
              <w:rPr>
                <w:sz w:val="18"/>
              </w:rPr>
            </w:pPr>
            <w:r>
              <w:rPr>
                <w:sz w:val="18"/>
              </w:rPr>
              <w:t xml:space="preserve">TKD (Fiscal </w:t>
            </w:r>
            <w:r>
              <w:rPr>
                <w:spacing w:val="-2"/>
                <w:sz w:val="18"/>
              </w:rPr>
              <w:t>Transfer)</w:t>
            </w:r>
          </w:p>
        </w:tc>
        <w:tc>
          <w:tcPr>
            <w:tcW w:w="2395" w:type="dxa"/>
            <w:tcBorders>
              <w:top w:val="single" w:sz="4" w:space="0" w:color="BEBEBE"/>
              <w:bottom w:val="single" w:sz="4" w:space="0" w:color="BEBEBE"/>
            </w:tcBorders>
          </w:tcPr>
          <w:p w14:paraId="1898FFD0" w14:textId="77777777" w:rsidR="00BC24A8" w:rsidRDefault="00000000">
            <w:pPr>
              <w:pStyle w:val="TableParagraph"/>
              <w:spacing w:before="59"/>
              <w:ind w:left="1" w:right="2"/>
              <w:jc w:val="center"/>
              <w:rPr>
                <w:sz w:val="18"/>
              </w:rPr>
            </w:pPr>
            <w:r>
              <w:rPr>
                <w:spacing w:val="-2"/>
                <w:sz w:val="18"/>
              </w:rPr>
              <w:t>2,040,116,614,000</w:t>
            </w:r>
          </w:p>
        </w:tc>
        <w:tc>
          <w:tcPr>
            <w:tcW w:w="3276" w:type="dxa"/>
            <w:tcBorders>
              <w:top w:val="single" w:sz="4" w:space="0" w:color="BEBEBE"/>
              <w:bottom w:val="single" w:sz="4" w:space="0" w:color="BEBEBE"/>
            </w:tcBorders>
          </w:tcPr>
          <w:p w14:paraId="409A937F" w14:textId="77777777" w:rsidR="00BC24A8" w:rsidRDefault="00000000">
            <w:pPr>
              <w:pStyle w:val="TableParagraph"/>
              <w:spacing w:before="59"/>
              <w:ind w:left="1" w:right="2"/>
              <w:jc w:val="center"/>
              <w:rPr>
                <w:sz w:val="18"/>
              </w:rPr>
            </w:pPr>
            <w:r>
              <w:rPr>
                <w:spacing w:val="-2"/>
                <w:sz w:val="18"/>
              </w:rPr>
              <w:t>1,920,378,771,000</w:t>
            </w:r>
          </w:p>
        </w:tc>
      </w:tr>
      <w:tr w:rsidR="00BC24A8" w14:paraId="75C49576" w14:textId="77777777">
        <w:trPr>
          <w:trHeight w:val="376"/>
        </w:trPr>
        <w:tc>
          <w:tcPr>
            <w:tcW w:w="3420" w:type="dxa"/>
            <w:tcBorders>
              <w:top w:val="single" w:sz="4" w:space="0" w:color="BEBEBE"/>
            </w:tcBorders>
          </w:tcPr>
          <w:p w14:paraId="36B26940" w14:textId="77777777" w:rsidR="00BC24A8" w:rsidRDefault="00000000">
            <w:pPr>
              <w:pStyle w:val="TableParagraph"/>
              <w:spacing w:before="56"/>
              <w:ind w:left="107"/>
              <w:rPr>
                <w:sz w:val="18"/>
              </w:rPr>
            </w:pPr>
            <w:r>
              <w:rPr>
                <w:sz w:val="18"/>
              </w:rPr>
              <w:t>Other</w:t>
            </w:r>
            <w:r>
              <w:rPr>
                <w:spacing w:val="-3"/>
                <w:sz w:val="18"/>
              </w:rPr>
              <w:t xml:space="preserve"> </w:t>
            </w:r>
            <w:r>
              <w:rPr>
                <w:sz w:val="18"/>
              </w:rPr>
              <w:t>sources:</w:t>
            </w:r>
            <w:r>
              <w:rPr>
                <w:spacing w:val="-2"/>
                <w:sz w:val="18"/>
              </w:rPr>
              <w:t xml:space="preserve"> </w:t>
            </w:r>
            <w:r>
              <w:rPr>
                <w:sz w:val="18"/>
              </w:rPr>
              <w:t>Grant</w:t>
            </w:r>
            <w:r>
              <w:rPr>
                <w:spacing w:val="-1"/>
                <w:sz w:val="18"/>
              </w:rPr>
              <w:t xml:space="preserve"> </w:t>
            </w:r>
            <w:r>
              <w:rPr>
                <w:spacing w:val="-2"/>
                <w:sz w:val="18"/>
              </w:rPr>
              <w:t>Income</w:t>
            </w:r>
          </w:p>
        </w:tc>
        <w:tc>
          <w:tcPr>
            <w:tcW w:w="2395" w:type="dxa"/>
            <w:tcBorders>
              <w:top w:val="single" w:sz="4" w:space="0" w:color="BEBEBE"/>
            </w:tcBorders>
          </w:tcPr>
          <w:p w14:paraId="757C9509" w14:textId="77777777" w:rsidR="00BC24A8" w:rsidRDefault="00000000">
            <w:pPr>
              <w:pStyle w:val="TableParagraph"/>
              <w:spacing w:before="56"/>
              <w:ind w:left="1" w:right="2"/>
              <w:jc w:val="center"/>
              <w:rPr>
                <w:sz w:val="18"/>
              </w:rPr>
            </w:pPr>
            <w:r>
              <w:rPr>
                <w:spacing w:val="-2"/>
                <w:sz w:val="18"/>
              </w:rPr>
              <w:t>350,000,000</w:t>
            </w:r>
          </w:p>
        </w:tc>
        <w:tc>
          <w:tcPr>
            <w:tcW w:w="3276" w:type="dxa"/>
            <w:tcBorders>
              <w:top w:val="single" w:sz="4" w:space="0" w:color="BEBEBE"/>
            </w:tcBorders>
          </w:tcPr>
          <w:p w14:paraId="476E83D6" w14:textId="77777777" w:rsidR="00BC24A8" w:rsidRDefault="00000000">
            <w:pPr>
              <w:pStyle w:val="TableParagraph"/>
              <w:spacing w:before="56"/>
              <w:ind w:left="1" w:right="2"/>
              <w:jc w:val="center"/>
              <w:rPr>
                <w:sz w:val="18"/>
              </w:rPr>
            </w:pPr>
            <w:r>
              <w:rPr>
                <w:spacing w:val="-2"/>
                <w:sz w:val="18"/>
              </w:rPr>
              <w:t>350,000,000</w:t>
            </w:r>
          </w:p>
        </w:tc>
      </w:tr>
      <w:tr w:rsidR="00BC24A8" w14:paraId="4E4DB21C" w14:textId="77777777">
        <w:trPr>
          <w:trHeight w:val="335"/>
        </w:trPr>
        <w:tc>
          <w:tcPr>
            <w:tcW w:w="3420" w:type="dxa"/>
            <w:tcBorders>
              <w:bottom w:val="single" w:sz="4" w:space="0" w:color="BEBEBE"/>
              <w:right w:val="single" w:sz="18" w:space="0" w:color="FFFFFF"/>
            </w:tcBorders>
            <w:shd w:val="clear" w:color="auto" w:fill="A7A9AC"/>
          </w:tcPr>
          <w:p w14:paraId="11A6BF37" w14:textId="77777777" w:rsidR="00BC24A8" w:rsidRDefault="00000000">
            <w:pPr>
              <w:pStyle w:val="TableParagraph"/>
              <w:spacing w:before="59"/>
              <w:ind w:left="107"/>
              <w:rPr>
                <w:sz w:val="18"/>
              </w:rPr>
            </w:pPr>
            <w:r w:rsidRPr="00795364">
              <w:rPr>
                <w:color w:val="000000"/>
                <w:spacing w:val="-2"/>
                <w:sz w:val="18"/>
              </w:rPr>
              <w:t>TOTAL</w:t>
            </w:r>
          </w:p>
        </w:tc>
        <w:tc>
          <w:tcPr>
            <w:tcW w:w="2395" w:type="dxa"/>
            <w:tcBorders>
              <w:left w:val="single" w:sz="18" w:space="0" w:color="FFFFFF"/>
              <w:bottom w:val="single" w:sz="4" w:space="0" w:color="BEBEBE"/>
              <w:right w:val="single" w:sz="18" w:space="0" w:color="FFFFFF"/>
            </w:tcBorders>
            <w:shd w:val="clear" w:color="auto" w:fill="A7A9AC"/>
          </w:tcPr>
          <w:p w14:paraId="45025176" w14:textId="77777777" w:rsidR="00BC24A8" w:rsidRDefault="00000000">
            <w:pPr>
              <w:pStyle w:val="TableParagraph"/>
              <w:spacing w:before="59"/>
              <w:ind w:left="1" w:right="2"/>
              <w:jc w:val="center"/>
              <w:rPr>
                <w:sz w:val="18"/>
              </w:rPr>
            </w:pPr>
            <w:r w:rsidRPr="00795364">
              <w:rPr>
                <w:color w:val="000000"/>
                <w:spacing w:val="-2"/>
                <w:sz w:val="18"/>
              </w:rPr>
              <w:t>3,106,998,079,270</w:t>
            </w:r>
          </w:p>
        </w:tc>
        <w:tc>
          <w:tcPr>
            <w:tcW w:w="3276" w:type="dxa"/>
            <w:tcBorders>
              <w:left w:val="single" w:sz="18" w:space="0" w:color="FFFFFF"/>
              <w:bottom w:val="single" w:sz="4" w:space="0" w:color="BEBEBE"/>
            </w:tcBorders>
            <w:shd w:val="clear" w:color="auto" w:fill="A7A9AC"/>
          </w:tcPr>
          <w:p w14:paraId="04FBE35A" w14:textId="77777777" w:rsidR="00BC24A8" w:rsidRDefault="00000000">
            <w:pPr>
              <w:pStyle w:val="TableParagraph"/>
              <w:spacing w:before="59"/>
              <w:ind w:right="23"/>
              <w:jc w:val="center"/>
              <w:rPr>
                <w:sz w:val="18"/>
              </w:rPr>
            </w:pPr>
            <w:r w:rsidRPr="00795364">
              <w:rPr>
                <w:color w:val="000000"/>
                <w:spacing w:val="-2"/>
                <w:sz w:val="18"/>
              </w:rPr>
              <w:t>2,947,123,399,085</w:t>
            </w:r>
          </w:p>
        </w:tc>
      </w:tr>
    </w:tbl>
    <w:p w14:paraId="15B6C1C7" w14:textId="77777777" w:rsidR="00BC24A8" w:rsidRDefault="00000000">
      <w:pPr>
        <w:spacing w:before="126"/>
        <w:ind w:left="143"/>
        <w:rPr>
          <w:sz w:val="16"/>
        </w:rPr>
      </w:pPr>
      <w:r>
        <w:rPr>
          <w:sz w:val="16"/>
        </w:rPr>
        <w:t>Data</w:t>
      </w:r>
      <w:r>
        <w:rPr>
          <w:spacing w:val="-9"/>
          <w:sz w:val="16"/>
        </w:rPr>
        <w:t xml:space="preserve"> </w:t>
      </w:r>
      <w:r>
        <w:rPr>
          <w:sz w:val="16"/>
        </w:rPr>
        <w:t>source:</w:t>
      </w:r>
      <w:r>
        <w:rPr>
          <w:spacing w:val="23"/>
          <w:sz w:val="16"/>
        </w:rPr>
        <w:t xml:space="preserve"> </w:t>
      </w:r>
      <w:r>
        <w:rPr>
          <w:sz w:val="16"/>
        </w:rPr>
        <w:t>Kalimantan</w:t>
      </w:r>
      <w:r>
        <w:rPr>
          <w:spacing w:val="-9"/>
          <w:sz w:val="16"/>
        </w:rPr>
        <w:t xml:space="preserve"> </w:t>
      </w:r>
      <w:r>
        <w:rPr>
          <w:sz w:val="16"/>
        </w:rPr>
        <w:t>Utara</w:t>
      </w:r>
      <w:r>
        <w:rPr>
          <w:spacing w:val="-7"/>
          <w:sz w:val="16"/>
        </w:rPr>
        <w:t xml:space="preserve"> </w:t>
      </w:r>
      <w:r>
        <w:rPr>
          <w:sz w:val="16"/>
        </w:rPr>
        <w:t>Province</w:t>
      </w:r>
      <w:r>
        <w:rPr>
          <w:spacing w:val="-7"/>
          <w:sz w:val="16"/>
        </w:rPr>
        <w:t xml:space="preserve"> </w:t>
      </w:r>
      <w:r>
        <w:rPr>
          <w:sz w:val="16"/>
        </w:rPr>
        <w:t>BKAD</w:t>
      </w:r>
      <w:r>
        <w:rPr>
          <w:spacing w:val="-9"/>
          <w:sz w:val="16"/>
        </w:rPr>
        <w:t xml:space="preserve"> </w:t>
      </w:r>
      <w:r>
        <w:rPr>
          <w:sz w:val="16"/>
        </w:rPr>
        <w:t>APBD</w:t>
      </w:r>
      <w:r>
        <w:rPr>
          <w:spacing w:val="-6"/>
          <w:sz w:val="16"/>
        </w:rPr>
        <w:t xml:space="preserve"> </w:t>
      </w:r>
      <w:r>
        <w:rPr>
          <w:spacing w:val="-2"/>
          <w:sz w:val="16"/>
        </w:rPr>
        <w:t>Report.</w:t>
      </w:r>
    </w:p>
    <w:p w14:paraId="1F34AE76" w14:textId="77777777" w:rsidR="00BC24A8" w:rsidRDefault="00BC24A8">
      <w:pPr>
        <w:pStyle w:val="BodyText"/>
        <w:rPr>
          <w:sz w:val="16"/>
        </w:rPr>
      </w:pPr>
    </w:p>
    <w:p w14:paraId="43159D10" w14:textId="77777777" w:rsidR="00BC24A8" w:rsidRDefault="00BC24A8">
      <w:pPr>
        <w:pStyle w:val="BodyText"/>
        <w:spacing w:before="91"/>
        <w:rPr>
          <w:sz w:val="16"/>
        </w:rPr>
      </w:pPr>
    </w:p>
    <w:p w14:paraId="2F37517F" w14:textId="77777777" w:rsidR="00BC24A8" w:rsidRDefault="00000000">
      <w:pPr>
        <w:ind w:left="143"/>
        <w:rPr>
          <w:rFonts w:ascii="Calibri"/>
          <w:i/>
        </w:rPr>
      </w:pPr>
      <w:r>
        <w:rPr>
          <w:rFonts w:ascii="Calibri"/>
          <w:i/>
          <w:color w:val="272727"/>
        </w:rPr>
        <w:t>Dynamics</w:t>
      </w:r>
      <w:r>
        <w:rPr>
          <w:rFonts w:ascii="Calibri"/>
          <w:i/>
          <w:color w:val="272727"/>
          <w:spacing w:val="-6"/>
        </w:rPr>
        <w:t xml:space="preserve"> </w:t>
      </w:r>
      <w:r>
        <w:rPr>
          <w:rFonts w:ascii="Calibri"/>
          <w:i/>
          <w:color w:val="272727"/>
        </w:rPr>
        <w:t>shaping</w:t>
      </w:r>
      <w:r>
        <w:rPr>
          <w:rFonts w:ascii="Calibri"/>
          <w:i/>
          <w:color w:val="272727"/>
          <w:spacing w:val="-6"/>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6"/>
        </w:rPr>
        <w:t xml:space="preserve"> </w:t>
      </w:r>
      <w:r>
        <w:rPr>
          <w:rFonts w:ascii="Calibri"/>
          <w:i/>
          <w:color w:val="272727"/>
          <w:spacing w:val="-2"/>
        </w:rPr>
        <w:t>implementation</w:t>
      </w:r>
    </w:p>
    <w:p w14:paraId="783E3114" w14:textId="77777777" w:rsidR="00BC24A8" w:rsidRDefault="00000000">
      <w:pPr>
        <w:pStyle w:val="BodyText"/>
        <w:spacing w:before="20" w:line="278" w:lineRule="auto"/>
        <w:ind w:left="143" w:right="561"/>
        <w:jc w:val="both"/>
      </w:pPr>
      <w:r>
        <w:t xml:space="preserve">The second semester of the 2024–2025 Annual Work Plan (AWP) coincides with the planning cycle in </w:t>
      </w:r>
      <w:r>
        <w:rPr>
          <w:spacing w:val="-2"/>
        </w:rPr>
        <w:t>Kalimantan Utara—the</w:t>
      </w:r>
      <w:r>
        <w:rPr>
          <w:spacing w:val="-3"/>
        </w:rPr>
        <w:t xml:space="preserve"> </w:t>
      </w:r>
      <w:r>
        <w:rPr>
          <w:spacing w:val="-2"/>
        </w:rPr>
        <w:t>25-year Regional</w:t>
      </w:r>
      <w:r>
        <w:rPr>
          <w:spacing w:val="-3"/>
        </w:rPr>
        <w:t xml:space="preserve"> </w:t>
      </w:r>
      <w:r>
        <w:rPr>
          <w:spacing w:val="-2"/>
        </w:rPr>
        <w:t>Long-Term Development</w:t>
      </w:r>
      <w:r>
        <w:rPr>
          <w:spacing w:val="-3"/>
        </w:rPr>
        <w:t xml:space="preserve"> </w:t>
      </w:r>
      <w:r>
        <w:rPr>
          <w:spacing w:val="-2"/>
        </w:rPr>
        <w:t>Plan (RPJPD), the</w:t>
      </w:r>
      <w:r>
        <w:rPr>
          <w:spacing w:val="-4"/>
        </w:rPr>
        <w:t xml:space="preserve"> </w:t>
      </w:r>
      <w:r>
        <w:rPr>
          <w:spacing w:val="-2"/>
        </w:rPr>
        <w:t xml:space="preserve">2025–2029 Regional </w:t>
      </w:r>
      <w:r>
        <w:t>Medium-Term Development Plan (RPJMD), the Provincial Agencies Strategic Plan (RENSTRA OPD), and the</w:t>
      </w:r>
      <w:r>
        <w:rPr>
          <w:spacing w:val="-13"/>
        </w:rPr>
        <w:t xml:space="preserve"> </w:t>
      </w:r>
      <w:r>
        <w:t>2026</w:t>
      </w:r>
      <w:r>
        <w:rPr>
          <w:spacing w:val="-11"/>
        </w:rPr>
        <w:t xml:space="preserve"> </w:t>
      </w:r>
      <w:r>
        <w:t>Regional</w:t>
      </w:r>
      <w:r>
        <w:rPr>
          <w:spacing w:val="-13"/>
        </w:rPr>
        <w:t xml:space="preserve"> </w:t>
      </w:r>
      <w:r>
        <w:t>Government</w:t>
      </w:r>
      <w:r>
        <w:rPr>
          <w:spacing w:val="-12"/>
        </w:rPr>
        <w:t xml:space="preserve"> </w:t>
      </w:r>
      <w:r>
        <w:t>Work</w:t>
      </w:r>
      <w:r>
        <w:rPr>
          <w:spacing w:val="-11"/>
        </w:rPr>
        <w:t xml:space="preserve"> </w:t>
      </w:r>
      <w:r>
        <w:t>Plan</w:t>
      </w:r>
      <w:r>
        <w:rPr>
          <w:spacing w:val="-12"/>
        </w:rPr>
        <w:t xml:space="preserve"> </w:t>
      </w:r>
      <w:r>
        <w:t>(RKPD).</w:t>
      </w:r>
      <w:r>
        <w:rPr>
          <w:spacing w:val="-11"/>
        </w:rPr>
        <w:t xml:space="preserve"> </w:t>
      </w:r>
      <w:r>
        <w:t>This</w:t>
      </w:r>
      <w:r>
        <w:rPr>
          <w:spacing w:val="-13"/>
        </w:rPr>
        <w:t xml:space="preserve"> </w:t>
      </w:r>
      <w:r>
        <w:t>momentum</w:t>
      </w:r>
      <w:r>
        <w:rPr>
          <w:spacing w:val="-10"/>
        </w:rPr>
        <w:t xml:space="preserve"> </w:t>
      </w:r>
      <w:r>
        <w:t>was</w:t>
      </w:r>
      <w:r>
        <w:rPr>
          <w:spacing w:val="-11"/>
        </w:rPr>
        <w:t xml:space="preserve"> </w:t>
      </w:r>
      <w:r>
        <w:t>leveraged</w:t>
      </w:r>
      <w:r>
        <w:rPr>
          <w:spacing w:val="-13"/>
        </w:rPr>
        <w:t xml:space="preserve"> </w:t>
      </w:r>
      <w:r>
        <w:t>by</w:t>
      </w:r>
      <w:r>
        <w:rPr>
          <w:spacing w:val="-10"/>
        </w:rPr>
        <w:t xml:space="preserve"> </w:t>
      </w:r>
      <w:r>
        <w:t>SKALA</w:t>
      </w:r>
      <w:r>
        <w:rPr>
          <w:spacing w:val="-12"/>
        </w:rPr>
        <w:t xml:space="preserve"> </w:t>
      </w:r>
      <w:r>
        <w:t>to</w:t>
      </w:r>
      <w:r>
        <w:rPr>
          <w:spacing w:val="-12"/>
        </w:rPr>
        <w:t xml:space="preserve"> </w:t>
      </w:r>
      <w:r>
        <w:t>advocate for the integration of Minimum Service Standards (MSS) and Gender Equality, Disability, and Social Inclusion (GEDSI) into the planning process.</w:t>
      </w:r>
      <w:r>
        <w:rPr>
          <w:spacing w:val="40"/>
        </w:rPr>
        <w:t xml:space="preserve"> </w:t>
      </w:r>
      <w:r>
        <w:t>SKALA also adjusted its mentoring strategy to better align with the new government’s vision and mission.</w:t>
      </w:r>
    </w:p>
    <w:p w14:paraId="04EDB219" w14:textId="77777777" w:rsidR="00BC24A8" w:rsidRDefault="00000000">
      <w:pPr>
        <w:pStyle w:val="BodyText"/>
        <w:spacing w:before="156" w:line="278" w:lineRule="auto"/>
        <w:ind w:left="143" w:right="562"/>
        <w:jc w:val="both"/>
      </w:pPr>
      <w:r>
        <w:t>On the other hand, Presidential Instruction No. 1 of 2025 on budget efficiency and 2025 expenditure resulted</w:t>
      </w:r>
      <w:r>
        <w:rPr>
          <w:spacing w:val="-3"/>
        </w:rPr>
        <w:t xml:space="preserve"> </w:t>
      </w:r>
      <w:r>
        <w:t>in</w:t>
      </w:r>
      <w:r>
        <w:rPr>
          <w:spacing w:val="40"/>
        </w:rPr>
        <w:t xml:space="preserve"> </w:t>
      </w:r>
      <w:r>
        <w:t>Kalimantan</w:t>
      </w:r>
      <w:r>
        <w:rPr>
          <w:spacing w:val="-3"/>
        </w:rPr>
        <w:t xml:space="preserve"> </w:t>
      </w:r>
      <w:r>
        <w:t>Utara’s</w:t>
      </w:r>
      <w:r>
        <w:rPr>
          <w:spacing w:val="-5"/>
        </w:rPr>
        <w:t xml:space="preserve"> </w:t>
      </w:r>
      <w:r>
        <w:t>2025</w:t>
      </w:r>
      <w:r>
        <w:rPr>
          <w:spacing w:val="-3"/>
        </w:rPr>
        <w:t xml:space="preserve"> </w:t>
      </w:r>
      <w:r>
        <w:t>Regional</w:t>
      </w:r>
      <w:r>
        <w:rPr>
          <w:spacing w:val="-4"/>
        </w:rPr>
        <w:t xml:space="preserve"> </w:t>
      </w:r>
      <w:r>
        <w:t>Revenue</w:t>
      </w:r>
      <w:r>
        <w:rPr>
          <w:spacing w:val="-6"/>
        </w:rPr>
        <w:t xml:space="preserve"> </w:t>
      </w:r>
      <w:r>
        <w:t>and</w:t>
      </w:r>
      <w:r>
        <w:rPr>
          <w:spacing w:val="-3"/>
        </w:rPr>
        <w:t xml:space="preserve"> </w:t>
      </w:r>
      <w:r>
        <w:t>Expenditure</w:t>
      </w:r>
      <w:r>
        <w:rPr>
          <w:spacing w:val="-5"/>
        </w:rPr>
        <w:t xml:space="preserve"> </w:t>
      </w:r>
      <w:r>
        <w:t>Budget</w:t>
      </w:r>
      <w:r>
        <w:rPr>
          <w:spacing w:val="-4"/>
        </w:rPr>
        <w:t xml:space="preserve"> </w:t>
      </w:r>
      <w:r>
        <w:t>(APBD)</w:t>
      </w:r>
      <w:r>
        <w:rPr>
          <w:spacing w:val="-5"/>
        </w:rPr>
        <w:t xml:space="preserve"> </w:t>
      </w:r>
      <w:r>
        <w:t>falling</w:t>
      </w:r>
      <w:r>
        <w:rPr>
          <w:spacing w:val="-4"/>
        </w:rPr>
        <w:t xml:space="preserve"> </w:t>
      </w:r>
      <w:r>
        <w:t>by</w:t>
      </w:r>
      <w:r>
        <w:rPr>
          <w:spacing w:val="-2"/>
        </w:rPr>
        <w:t xml:space="preserve"> </w:t>
      </w:r>
      <w:r>
        <w:t>5%</w:t>
      </w:r>
      <w:r>
        <w:rPr>
          <w:spacing w:val="-4"/>
        </w:rPr>
        <w:t xml:space="preserve"> </w:t>
      </w:r>
      <w:r>
        <w:t>to IDR</w:t>
      </w:r>
      <w:r>
        <w:rPr>
          <w:spacing w:val="-10"/>
        </w:rPr>
        <w:t xml:space="preserve"> </w:t>
      </w:r>
      <w:r>
        <w:t>2.94</w:t>
      </w:r>
      <w:r>
        <w:rPr>
          <w:spacing w:val="-9"/>
        </w:rPr>
        <w:t xml:space="preserve"> </w:t>
      </w:r>
      <w:r>
        <w:t>trillion</w:t>
      </w:r>
      <w:r>
        <w:rPr>
          <w:spacing w:val="-9"/>
        </w:rPr>
        <w:t xml:space="preserve"> </w:t>
      </w:r>
      <w:r>
        <w:t>(of</w:t>
      </w:r>
      <w:r>
        <w:rPr>
          <w:spacing w:val="-11"/>
        </w:rPr>
        <w:t xml:space="preserve"> </w:t>
      </w:r>
      <w:r>
        <w:t>which</w:t>
      </w:r>
      <w:r>
        <w:rPr>
          <w:spacing w:val="-9"/>
        </w:rPr>
        <w:t xml:space="preserve"> </w:t>
      </w:r>
      <w:r>
        <w:t>65%</w:t>
      </w:r>
      <w:r>
        <w:rPr>
          <w:spacing w:val="-10"/>
        </w:rPr>
        <w:t xml:space="preserve"> </w:t>
      </w:r>
      <w:r>
        <w:t>is</w:t>
      </w:r>
      <w:r>
        <w:rPr>
          <w:spacing w:val="-11"/>
        </w:rPr>
        <w:t xml:space="preserve"> </w:t>
      </w:r>
      <w:r>
        <w:t>sourced</w:t>
      </w:r>
      <w:r>
        <w:rPr>
          <w:spacing w:val="-9"/>
        </w:rPr>
        <w:t xml:space="preserve"> </w:t>
      </w:r>
      <w:r>
        <w:t>from</w:t>
      </w:r>
      <w:r>
        <w:rPr>
          <w:spacing w:val="-9"/>
        </w:rPr>
        <w:t xml:space="preserve"> </w:t>
      </w:r>
      <w:r>
        <w:t>Fiscal</w:t>
      </w:r>
      <w:r>
        <w:rPr>
          <w:spacing w:val="-11"/>
        </w:rPr>
        <w:t xml:space="preserve"> </w:t>
      </w:r>
      <w:r>
        <w:t>Transfer</w:t>
      </w:r>
      <w:r>
        <w:rPr>
          <w:spacing w:val="-9"/>
        </w:rPr>
        <w:t xml:space="preserve"> </w:t>
      </w:r>
      <w:r>
        <w:t>Revenue</w:t>
      </w:r>
      <w:r>
        <w:rPr>
          <w:spacing w:val="-11"/>
        </w:rPr>
        <w:t xml:space="preserve"> </w:t>
      </w:r>
      <w:r>
        <w:t>(TKD)).</w:t>
      </w:r>
      <w:r>
        <w:rPr>
          <w:spacing w:val="-8"/>
        </w:rPr>
        <w:t xml:space="preserve"> </w:t>
      </w:r>
      <w:r>
        <w:t>This</w:t>
      </w:r>
      <w:r>
        <w:rPr>
          <w:spacing w:val="-9"/>
        </w:rPr>
        <w:t xml:space="preserve"> </w:t>
      </w:r>
      <w:r>
        <w:t>reduction</w:t>
      </w:r>
      <w:r>
        <w:rPr>
          <w:spacing w:val="-9"/>
        </w:rPr>
        <w:t xml:space="preserve"> </w:t>
      </w:r>
      <w:r>
        <w:t>limited</w:t>
      </w:r>
      <w:r>
        <w:rPr>
          <w:spacing w:val="-9"/>
        </w:rPr>
        <w:t xml:space="preserve"> </w:t>
      </w:r>
      <w:r>
        <w:t>the budget for strategic activities, including the Regional One Data Forum at the Regional Development Planning</w:t>
      </w:r>
      <w:r>
        <w:rPr>
          <w:spacing w:val="-13"/>
        </w:rPr>
        <w:t xml:space="preserve"> </w:t>
      </w:r>
      <w:r>
        <w:t>Agency</w:t>
      </w:r>
      <w:r>
        <w:rPr>
          <w:spacing w:val="-12"/>
        </w:rPr>
        <w:t xml:space="preserve"> </w:t>
      </w:r>
      <w:r>
        <w:t>(Bappeda)</w:t>
      </w:r>
      <w:r>
        <w:rPr>
          <w:spacing w:val="-13"/>
        </w:rPr>
        <w:t xml:space="preserve"> </w:t>
      </w:r>
      <w:r>
        <w:t>and</w:t>
      </w:r>
      <w:r>
        <w:rPr>
          <w:spacing w:val="-11"/>
        </w:rPr>
        <w:t xml:space="preserve"> </w:t>
      </w:r>
      <w:r>
        <w:t>MSS</w:t>
      </w:r>
      <w:r>
        <w:rPr>
          <w:spacing w:val="-9"/>
        </w:rPr>
        <w:t xml:space="preserve"> </w:t>
      </w:r>
      <w:r>
        <w:t>and</w:t>
      </w:r>
      <w:r>
        <w:rPr>
          <w:spacing w:val="-12"/>
        </w:rPr>
        <w:t xml:space="preserve"> </w:t>
      </w:r>
      <w:r>
        <w:t>Regional</w:t>
      </w:r>
      <w:r>
        <w:rPr>
          <w:spacing w:val="-10"/>
        </w:rPr>
        <w:t xml:space="preserve"> </w:t>
      </w:r>
      <w:r>
        <w:t>One</w:t>
      </w:r>
      <w:r>
        <w:rPr>
          <w:spacing w:val="-13"/>
        </w:rPr>
        <w:t xml:space="preserve"> </w:t>
      </w:r>
      <w:r>
        <w:t>Data</w:t>
      </w:r>
      <w:r>
        <w:rPr>
          <w:spacing w:val="-10"/>
        </w:rPr>
        <w:t xml:space="preserve"> </w:t>
      </w:r>
      <w:r>
        <w:t>Team</w:t>
      </w:r>
      <w:r>
        <w:rPr>
          <w:spacing w:val="-9"/>
        </w:rPr>
        <w:t xml:space="preserve"> </w:t>
      </w:r>
      <w:r>
        <w:t>visits</w:t>
      </w:r>
      <w:r>
        <w:rPr>
          <w:spacing w:val="-9"/>
        </w:rPr>
        <w:t xml:space="preserve"> </w:t>
      </w:r>
      <w:r>
        <w:t>to</w:t>
      </w:r>
      <w:r>
        <w:rPr>
          <w:spacing w:val="-12"/>
        </w:rPr>
        <w:t xml:space="preserve"> </w:t>
      </w:r>
      <w:r>
        <w:t>districts/cities.</w:t>
      </w:r>
      <w:r>
        <w:rPr>
          <w:spacing w:val="-11"/>
        </w:rPr>
        <w:t xml:space="preserve"> </w:t>
      </w:r>
      <w:r>
        <w:t>This</w:t>
      </w:r>
      <w:r>
        <w:rPr>
          <w:spacing w:val="-11"/>
        </w:rPr>
        <w:t xml:space="preserve"> </w:t>
      </w:r>
      <w:r>
        <w:t>challenge requires optimising limited resources to continue meeting MSS.</w:t>
      </w:r>
    </w:p>
    <w:p w14:paraId="2DD616DD" w14:textId="77777777" w:rsidR="00BC24A8" w:rsidRDefault="00BC24A8">
      <w:pPr>
        <w:pStyle w:val="BodyText"/>
        <w:spacing w:before="200"/>
      </w:pPr>
    </w:p>
    <w:p w14:paraId="0937F574" w14:textId="77777777" w:rsidR="00BC24A8" w:rsidRDefault="00000000">
      <w:pPr>
        <w:ind w:left="143"/>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3"/>
        </w:rPr>
        <w:t xml:space="preserve"> </w:t>
      </w:r>
      <w:r>
        <w:rPr>
          <w:rFonts w:ascii="Calibri"/>
          <w:i/>
          <w:color w:val="272727"/>
        </w:rPr>
        <w:t>SKALA</w:t>
      </w:r>
      <w:r>
        <w:rPr>
          <w:rFonts w:ascii="Calibri"/>
          <w:i/>
          <w:color w:val="272727"/>
          <w:spacing w:val="-7"/>
        </w:rPr>
        <w:t xml:space="preserve"> </w:t>
      </w:r>
      <w:r>
        <w:rPr>
          <w:rFonts w:ascii="Calibri"/>
          <w:i/>
          <w:color w:val="272727"/>
        </w:rPr>
        <w:t>Program</w:t>
      </w:r>
      <w:r>
        <w:rPr>
          <w:rFonts w:ascii="Calibri"/>
          <w:i/>
          <w:color w:val="272727"/>
          <w:spacing w:val="-3"/>
        </w:rPr>
        <w:t xml:space="preserve"> </w:t>
      </w:r>
      <w:r>
        <w:rPr>
          <w:rFonts w:ascii="Calibri"/>
          <w:i/>
          <w:color w:val="272727"/>
        </w:rPr>
        <w:t>Priorities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Provinces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FY</w:t>
      </w:r>
      <w:r>
        <w:rPr>
          <w:rFonts w:ascii="Calibri"/>
          <w:i/>
          <w:color w:val="272727"/>
          <w:spacing w:val="-4"/>
        </w:rPr>
        <w:t xml:space="preserve"> </w:t>
      </w:r>
      <w:r>
        <w:rPr>
          <w:rFonts w:ascii="Calibri"/>
          <w:i/>
          <w:color w:val="272727"/>
          <w:spacing w:val="-2"/>
        </w:rPr>
        <w:t>2024/2025</w:t>
      </w:r>
    </w:p>
    <w:p w14:paraId="42D01C76" w14:textId="77777777" w:rsidR="00BC24A8" w:rsidRDefault="00000000">
      <w:pPr>
        <w:pStyle w:val="Heading5"/>
        <w:spacing w:before="22"/>
      </w:pPr>
      <w:r>
        <w:t>Focus</w:t>
      </w:r>
      <w:r>
        <w:rPr>
          <w:spacing w:val="-4"/>
        </w:rPr>
        <w:t xml:space="preserve"> </w:t>
      </w:r>
      <w:r>
        <w:t>areas</w:t>
      </w:r>
      <w:r>
        <w:rPr>
          <w:spacing w:val="-4"/>
        </w:rPr>
        <w:t xml:space="preserve"> </w:t>
      </w:r>
      <w:r>
        <w:t>of</w:t>
      </w:r>
      <w:r>
        <w:rPr>
          <w:spacing w:val="-4"/>
        </w:rPr>
        <w:t xml:space="preserve"> </w:t>
      </w:r>
      <w:r>
        <w:t>SKALA</w:t>
      </w:r>
      <w:r>
        <w:rPr>
          <w:spacing w:val="-7"/>
        </w:rPr>
        <w:t xml:space="preserve"> </w:t>
      </w:r>
      <w:r>
        <w:t>support</w:t>
      </w:r>
      <w:r>
        <w:rPr>
          <w:spacing w:val="-4"/>
        </w:rPr>
        <w:t xml:space="preserve"> </w:t>
      </w:r>
      <w:r>
        <w:rPr>
          <w:spacing w:val="-2"/>
        </w:rPr>
        <w:t>program</w:t>
      </w:r>
    </w:p>
    <w:p w14:paraId="44E0B2FC" w14:textId="77777777" w:rsidR="00BC24A8" w:rsidRDefault="00000000">
      <w:pPr>
        <w:pStyle w:val="BodyText"/>
        <w:spacing w:before="161"/>
        <w:ind w:left="143"/>
        <w:jc w:val="both"/>
      </w:pPr>
      <w:r>
        <w:t>SKALA</w:t>
      </w:r>
      <w:r>
        <w:rPr>
          <w:spacing w:val="-9"/>
        </w:rPr>
        <w:t xml:space="preserve"> </w:t>
      </w:r>
      <w:r>
        <w:t>supports</w:t>
      </w:r>
      <w:r>
        <w:rPr>
          <w:spacing w:val="-7"/>
        </w:rPr>
        <w:t xml:space="preserve"> </w:t>
      </w:r>
      <w:r>
        <w:t>the</w:t>
      </w:r>
      <w:r>
        <w:rPr>
          <w:spacing w:val="30"/>
        </w:rPr>
        <w:t xml:space="preserve"> </w:t>
      </w:r>
      <w:r>
        <w:t>Kalimantan</w:t>
      </w:r>
      <w:r>
        <w:rPr>
          <w:spacing w:val="-7"/>
        </w:rPr>
        <w:t xml:space="preserve"> </w:t>
      </w:r>
      <w:r>
        <w:t>Utara</w:t>
      </w:r>
      <w:r>
        <w:rPr>
          <w:spacing w:val="-9"/>
        </w:rPr>
        <w:t xml:space="preserve"> </w:t>
      </w:r>
      <w:r>
        <w:t>Provincial</w:t>
      </w:r>
      <w:r>
        <w:rPr>
          <w:spacing w:val="-9"/>
        </w:rPr>
        <w:t xml:space="preserve"> </w:t>
      </w:r>
      <w:r>
        <w:t>government</w:t>
      </w:r>
      <w:r>
        <w:rPr>
          <w:spacing w:val="-9"/>
        </w:rPr>
        <w:t xml:space="preserve"> </w:t>
      </w:r>
      <w:r>
        <w:t>with</w:t>
      </w:r>
      <w:r>
        <w:rPr>
          <w:spacing w:val="-10"/>
        </w:rPr>
        <w:t xml:space="preserve"> </w:t>
      </w:r>
      <w:r>
        <w:t>priorities</w:t>
      </w:r>
      <w:r>
        <w:rPr>
          <w:spacing w:val="-7"/>
        </w:rPr>
        <w:t xml:space="preserve"> </w:t>
      </w:r>
      <w:r>
        <w:rPr>
          <w:spacing w:val="-5"/>
        </w:rPr>
        <w:t>on:</w:t>
      </w:r>
    </w:p>
    <w:p w14:paraId="7B3F3866" w14:textId="77777777" w:rsidR="00BC24A8" w:rsidRDefault="00000000">
      <w:pPr>
        <w:pStyle w:val="ListParagraph"/>
        <w:numPr>
          <w:ilvl w:val="0"/>
          <w:numId w:val="113"/>
        </w:numPr>
        <w:tabs>
          <w:tab w:val="left" w:pos="863"/>
        </w:tabs>
        <w:spacing w:before="203"/>
        <w:ind w:right="563"/>
      </w:pPr>
      <w:r>
        <w:t>Strengthening Data-Driven Governance, Planning, and Development. SKALA strengthens One Data</w:t>
      </w:r>
      <w:r>
        <w:rPr>
          <w:spacing w:val="-7"/>
        </w:rPr>
        <w:t xml:space="preserve"> </w:t>
      </w:r>
      <w:r>
        <w:t>governance</w:t>
      </w:r>
      <w:r>
        <w:rPr>
          <w:spacing w:val="-6"/>
        </w:rPr>
        <w:t xml:space="preserve"> </w:t>
      </w:r>
      <w:r>
        <w:t>through</w:t>
      </w:r>
      <w:r>
        <w:rPr>
          <w:spacing w:val="-9"/>
        </w:rPr>
        <w:t xml:space="preserve"> </w:t>
      </w:r>
      <w:r>
        <w:t>the</w:t>
      </w:r>
      <w:r>
        <w:rPr>
          <w:spacing w:val="-8"/>
        </w:rPr>
        <w:t xml:space="preserve"> </w:t>
      </w:r>
      <w:r>
        <w:t>implementation</w:t>
      </w:r>
      <w:r>
        <w:rPr>
          <w:spacing w:val="-9"/>
        </w:rPr>
        <w:t xml:space="preserve"> </w:t>
      </w:r>
      <w:r>
        <w:t>of</w:t>
      </w:r>
      <w:r>
        <w:rPr>
          <w:spacing w:val="-8"/>
        </w:rPr>
        <w:t xml:space="preserve"> </w:t>
      </w:r>
      <w:r>
        <w:t>Data</w:t>
      </w:r>
      <w:r>
        <w:rPr>
          <w:spacing w:val="-10"/>
        </w:rPr>
        <w:t xml:space="preserve"> </w:t>
      </w:r>
      <w:r>
        <w:t>Cycle</w:t>
      </w:r>
      <w:r>
        <w:rPr>
          <w:spacing w:val="-8"/>
        </w:rPr>
        <w:t xml:space="preserve"> </w:t>
      </w:r>
      <w:r>
        <w:t>SOPs,</w:t>
      </w:r>
      <w:r>
        <w:rPr>
          <w:spacing w:val="-8"/>
        </w:rPr>
        <w:t xml:space="preserve"> </w:t>
      </w:r>
      <w:r>
        <w:t>portal</w:t>
      </w:r>
      <w:r>
        <w:rPr>
          <w:spacing w:val="-10"/>
        </w:rPr>
        <w:t xml:space="preserve"> </w:t>
      </w:r>
      <w:r>
        <w:t>development,</w:t>
      </w:r>
      <w:r>
        <w:rPr>
          <w:spacing w:val="-8"/>
        </w:rPr>
        <w:t xml:space="preserve"> </w:t>
      </w:r>
      <w:r>
        <w:t>and</w:t>
      </w:r>
      <w:r>
        <w:rPr>
          <w:spacing w:val="-9"/>
        </w:rPr>
        <w:t xml:space="preserve"> </w:t>
      </w:r>
      <w:r>
        <w:t>use of Data Lists to prioritise MSS and 2025 regional planning.</w:t>
      </w:r>
    </w:p>
    <w:p w14:paraId="43638C81" w14:textId="77777777" w:rsidR="00BC24A8" w:rsidRDefault="00000000">
      <w:pPr>
        <w:pStyle w:val="ListParagraph"/>
        <w:numPr>
          <w:ilvl w:val="0"/>
          <w:numId w:val="113"/>
        </w:numPr>
        <w:tabs>
          <w:tab w:val="left" w:pos="863"/>
        </w:tabs>
        <w:ind w:right="563"/>
      </w:pPr>
      <w:r>
        <w:t>Strengthening Governance of Minimum Service Standards (MSS): SKALA supports the integration</w:t>
      </w:r>
      <w:r>
        <w:rPr>
          <w:spacing w:val="-2"/>
        </w:rPr>
        <w:t xml:space="preserve"> </w:t>
      </w:r>
      <w:r>
        <w:t>of</w:t>
      </w:r>
      <w:r>
        <w:rPr>
          <w:spacing w:val="-2"/>
        </w:rPr>
        <w:t xml:space="preserve"> </w:t>
      </w:r>
      <w:r>
        <w:t>MSS</w:t>
      </w:r>
      <w:r>
        <w:rPr>
          <w:spacing w:val="-2"/>
        </w:rPr>
        <w:t xml:space="preserve"> </w:t>
      </w:r>
      <w:r>
        <w:t>and</w:t>
      </w:r>
      <w:r>
        <w:rPr>
          <w:spacing w:val="-2"/>
        </w:rPr>
        <w:t xml:space="preserve"> </w:t>
      </w:r>
      <w:r>
        <w:t>GEDSI</w:t>
      </w:r>
      <w:r>
        <w:rPr>
          <w:spacing w:val="-2"/>
        </w:rPr>
        <w:t xml:space="preserve"> </w:t>
      </w:r>
      <w:r>
        <w:t>into</w:t>
      </w:r>
      <w:r>
        <w:rPr>
          <w:spacing w:val="-3"/>
        </w:rPr>
        <w:t xml:space="preserve"> </w:t>
      </w:r>
      <w:r>
        <w:t>planning</w:t>
      </w:r>
      <w:r>
        <w:rPr>
          <w:spacing w:val="-5"/>
        </w:rPr>
        <w:t xml:space="preserve"> </w:t>
      </w:r>
      <w:r>
        <w:t>(RPJMD,</w:t>
      </w:r>
      <w:r>
        <w:rPr>
          <w:spacing w:val="-2"/>
        </w:rPr>
        <w:t xml:space="preserve"> </w:t>
      </w:r>
      <w:r>
        <w:t>RENSTRA,</w:t>
      </w:r>
      <w:r>
        <w:rPr>
          <w:spacing w:val="-2"/>
        </w:rPr>
        <w:t xml:space="preserve"> </w:t>
      </w:r>
      <w:r>
        <w:t>and</w:t>
      </w:r>
      <w:r>
        <w:rPr>
          <w:spacing w:val="-2"/>
        </w:rPr>
        <w:t xml:space="preserve"> </w:t>
      </w:r>
      <w:r>
        <w:t>RKPD</w:t>
      </w:r>
      <w:r>
        <w:rPr>
          <w:spacing w:val="-2"/>
        </w:rPr>
        <w:t xml:space="preserve"> </w:t>
      </w:r>
      <w:r>
        <w:t>2026).</w:t>
      </w:r>
      <w:r>
        <w:rPr>
          <w:spacing w:val="-2"/>
        </w:rPr>
        <w:t xml:space="preserve"> </w:t>
      </w:r>
      <w:r>
        <w:t>Strengthening MSS</w:t>
      </w:r>
      <w:r>
        <w:rPr>
          <w:spacing w:val="-13"/>
        </w:rPr>
        <w:t xml:space="preserve"> </w:t>
      </w:r>
      <w:r>
        <w:t>implementation</w:t>
      </w:r>
      <w:r>
        <w:rPr>
          <w:spacing w:val="-12"/>
        </w:rPr>
        <w:t xml:space="preserve"> </w:t>
      </w:r>
      <w:r>
        <w:t>through</w:t>
      </w:r>
      <w:r>
        <w:rPr>
          <w:spacing w:val="-13"/>
        </w:rPr>
        <w:t xml:space="preserve"> </w:t>
      </w:r>
      <w:r>
        <w:t>revised</w:t>
      </w:r>
      <w:r>
        <w:rPr>
          <w:spacing w:val="-12"/>
        </w:rPr>
        <w:t xml:space="preserve"> </w:t>
      </w:r>
      <w:r>
        <w:t>MSS</w:t>
      </w:r>
      <w:r>
        <w:rPr>
          <w:spacing w:val="-13"/>
        </w:rPr>
        <w:t xml:space="preserve"> </w:t>
      </w:r>
      <w:r>
        <w:t>Action</w:t>
      </w:r>
      <w:r>
        <w:rPr>
          <w:spacing w:val="-12"/>
        </w:rPr>
        <w:t xml:space="preserve"> </w:t>
      </w:r>
      <w:r>
        <w:t>Plans,</w:t>
      </w:r>
      <w:r>
        <w:rPr>
          <w:spacing w:val="-11"/>
        </w:rPr>
        <w:t xml:space="preserve"> </w:t>
      </w:r>
      <w:r>
        <w:t>improved</w:t>
      </w:r>
      <w:r>
        <w:rPr>
          <w:spacing w:val="-13"/>
        </w:rPr>
        <w:t xml:space="preserve"> </w:t>
      </w:r>
      <w:r>
        <w:t>costing,</w:t>
      </w:r>
      <w:r>
        <w:rPr>
          <w:spacing w:val="-11"/>
        </w:rPr>
        <w:t xml:space="preserve"> </w:t>
      </w:r>
      <w:r>
        <w:t>quarterly</w:t>
      </w:r>
      <w:r>
        <w:rPr>
          <w:spacing w:val="-12"/>
        </w:rPr>
        <w:t xml:space="preserve"> </w:t>
      </w:r>
      <w:r>
        <w:t>monitoring and evaluation, and cross-party collaboration.</w:t>
      </w:r>
    </w:p>
    <w:p w14:paraId="5D11F69F" w14:textId="77777777" w:rsidR="00BC24A8" w:rsidRDefault="00000000">
      <w:pPr>
        <w:pStyle w:val="ListParagraph"/>
        <w:numPr>
          <w:ilvl w:val="0"/>
          <w:numId w:val="113"/>
        </w:numPr>
        <w:tabs>
          <w:tab w:val="left" w:pos="863"/>
        </w:tabs>
        <w:ind w:right="561"/>
      </w:pPr>
      <w:r>
        <w:t>Public Financial Management (PFM): Technical assistance and advocacy for follow-up PAD studies</w:t>
      </w:r>
      <w:r>
        <w:rPr>
          <w:spacing w:val="-8"/>
        </w:rPr>
        <w:t xml:space="preserve"> </w:t>
      </w:r>
      <w:r>
        <w:t>and</w:t>
      </w:r>
      <w:r>
        <w:rPr>
          <w:spacing w:val="-9"/>
        </w:rPr>
        <w:t xml:space="preserve"> </w:t>
      </w:r>
      <w:r>
        <w:t>recommendations</w:t>
      </w:r>
      <w:r>
        <w:rPr>
          <w:spacing w:val="-8"/>
        </w:rPr>
        <w:t xml:space="preserve"> </w:t>
      </w:r>
      <w:r>
        <w:t>for</w:t>
      </w:r>
      <w:r>
        <w:rPr>
          <w:spacing w:val="-8"/>
        </w:rPr>
        <w:t xml:space="preserve"> </w:t>
      </w:r>
      <w:r>
        <w:t>optimising</w:t>
      </w:r>
      <w:r>
        <w:rPr>
          <w:spacing w:val="-7"/>
        </w:rPr>
        <w:t xml:space="preserve"> </w:t>
      </w:r>
      <w:r>
        <w:t>Fiscal</w:t>
      </w:r>
      <w:r>
        <w:rPr>
          <w:spacing w:val="-10"/>
        </w:rPr>
        <w:t xml:space="preserve"> </w:t>
      </w:r>
      <w:r>
        <w:t>Transfer</w:t>
      </w:r>
      <w:r>
        <w:rPr>
          <w:spacing w:val="-6"/>
        </w:rPr>
        <w:t xml:space="preserve"> </w:t>
      </w:r>
      <w:r>
        <w:t>to</w:t>
      </w:r>
      <w:r>
        <w:rPr>
          <w:spacing w:val="-9"/>
        </w:rPr>
        <w:t xml:space="preserve"> </w:t>
      </w:r>
      <w:r>
        <w:t>meet</w:t>
      </w:r>
      <w:r>
        <w:rPr>
          <w:spacing w:val="-10"/>
        </w:rPr>
        <w:t xml:space="preserve"> </w:t>
      </w:r>
      <w:r>
        <w:t>MSS</w:t>
      </w:r>
      <w:r>
        <w:rPr>
          <w:spacing w:val="-6"/>
        </w:rPr>
        <w:t xml:space="preserve"> </w:t>
      </w:r>
      <w:r>
        <w:t>and</w:t>
      </w:r>
      <w:r>
        <w:rPr>
          <w:spacing w:val="-9"/>
        </w:rPr>
        <w:t xml:space="preserve"> </w:t>
      </w:r>
      <w:r>
        <w:t>GEDSI</w:t>
      </w:r>
      <w:r>
        <w:rPr>
          <w:spacing w:val="-8"/>
        </w:rPr>
        <w:t xml:space="preserve"> </w:t>
      </w:r>
      <w:r>
        <w:t>objectives.</w:t>
      </w:r>
    </w:p>
    <w:p w14:paraId="152F0FBA" w14:textId="77777777" w:rsidR="00BC24A8" w:rsidRDefault="00000000">
      <w:pPr>
        <w:pStyle w:val="ListParagraph"/>
        <w:numPr>
          <w:ilvl w:val="0"/>
          <w:numId w:val="113"/>
        </w:numPr>
        <w:tabs>
          <w:tab w:val="left" w:pos="863"/>
        </w:tabs>
        <w:ind w:right="561"/>
      </w:pPr>
      <w:r>
        <w:t>Gender Equality, Disability, and Social Inclusion (GEDSI): SKALA supports strengthening government-community collaboration by enhancing civil society networks (</w:t>
      </w:r>
      <w:r>
        <w:rPr>
          <w:i/>
        </w:rPr>
        <w:t>Jaringan Masyarakat Sipil/</w:t>
      </w:r>
      <w:r>
        <w:t>JMS) capacity in accessing and analysing data, promoting integration of the Persons with</w:t>
      </w:r>
      <w:r>
        <w:rPr>
          <w:spacing w:val="-2"/>
        </w:rPr>
        <w:t xml:space="preserve"> </w:t>
      </w:r>
      <w:r>
        <w:t>Disabiliy Action Plan</w:t>
      </w:r>
      <w:r>
        <w:rPr>
          <w:spacing w:val="-2"/>
        </w:rPr>
        <w:t xml:space="preserve"> </w:t>
      </w:r>
      <w:r>
        <w:t>(RAD</w:t>
      </w:r>
      <w:r>
        <w:rPr>
          <w:spacing w:val="-2"/>
        </w:rPr>
        <w:t xml:space="preserve"> </w:t>
      </w:r>
      <w:r>
        <w:t>PD) into the</w:t>
      </w:r>
      <w:r>
        <w:rPr>
          <w:spacing w:val="-2"/>
        </w:rPr>
        <w:t xml:space="preserve"> </w:t>
      </w:r>
      <w:r>
        <w:t>RENSTRA, and assisting</w:t>
      </w:r>
      <w:r>
        <w:rPr>
          <w:spacing w:val="-3"/>
        </w:rPr>
        <w:t xml:space="preserve"> </w:t>
      </w:r>
      <w:r>
        <w:t>in drafting</w:t>
      </w:r>
      <w:r>
        <w:rPr>
          <w:spacing w:val="-1"/>
        </w:rPr>
        <w:t xml:space="preserve"> </w:t>
      </w:r>
      <w:r>
        <w:t>policies derived from the Regional Regulation on Persons with Disabilities.</w:t>
      </w:r>
    </w:p>
    <w:p w14:paraId="497AFD81" w14:textId="77777777" w:rsidR="00BC24A8" w:rsidRDefault="00BC24A8">
      <w:pPr>
        <w:pStyle w:val="ListParagraph"/>
        <w:sectPr w:rsidR="00BC24A8">
          <w:pgSz w:w="11910" w:h="16840"/>
          <w:pgMar w:top="1360" w:right="850" w:bottom="1100" w:left="1275" w:header="0" w:footer="907" w:gutter="0"/>
          <w:cols w:space="720"/>
        </w:sectPr>
      </w:pPr>
    </w:p>
    <w:p w14:paraId="0E5C1AC7" w14:textId="77777777" w:rsidR="00BC24A8" w:rsidRDefault="00000000">
      <w:pPr>
        <w:pStyle w:val="Heading5"/>
        <w:spacing w:before="39"/>
      </w:pPr>
      <w:r>
        <w:lastRenderedPageBreak/>
        <w:t>Implementation</w:t>
      </w:r>
      <w:r>
        <w:rPr>
          <w:spacing w:val="-13"/>
        </w:rPr>
        <w:t xml:space="preserve"> </w:t>
      </w:r>
      <w:r>
        <w:t>of</w:t>
      </w:r>
      <w:r>
        <w:rPr>
          <w:spacing w:val="-11"/>
        </w:rPr>
        <w:t xml:space="preserve"> </w:t>
      </w:r>
      <w:r>
        <w:t>Program</w:t>
      </w:r>
      <w:r>
        <w:rPr>
          <w:spacing w:val="-10"/>
        </w:rPr>
        <w:t xml:space="preserve"> </w:t>
      </w:r>
      <w:r>
        <w:t>Monitoring,</w:t>
      </w:r>
      <w:r>
        <w:rPr>
          <w:spacing w:val="-11"/>
        </w:rPr>
        <w:t xml:space="preserve"> </w:t>
      </w:r>
      <w:r>
        <w:t>Evaluation,</w:t>
      </w:r>
      <w:r>
        <w:rPr>
          <w:spacing w:val="-12"/>
        </w:rPr>
        <w:t xml:space="preserve"> </w:t>
      </w:r>
      <w:r>
        <w:t>and</w:t>
      </w:r>
      <w:r>
        <w:rPr>
          <w:spacing w:val="-12"/>
        </w:rPr>
        <w:t xml:space="preserve"> </w:t>
      </w:r>
      <w:r>
        <w:rPr>
          <w:spacing w:val="-2"/>
        </w:rPr>
        <w:t>Documentation</w:t>
      </w:r>
    </w:p>
    <w:p w14:paraId="7E7C00C2" w14:textId="77777777" w:rsidR="00BC24A8" w:rsidRDefault="00000000">
      <w:pPr>
        <w:pStyle w:val="BodyText"/>
        <w:spacing w:before="159" w:line="278" w:lineRule="auto"/>
        <w:ind w:left="143" w:right="562"/>
        <w:jc w:val="both"/>
      </w:pPr>
      <w:r>
        <w:t>SKALA conducts regular monitoring, evaluation, and learning to maintain program accountability. This semester, interviews and FGDs with provincial governments were conducted to collect evidence of progress, achievements, contributions, challenges, and lessons learned. The results were shared with the SKALA Program Team and used for the 2025/2026 annual work planning and reporting to the government and DFAT.</w:t>
      </w:r>
    </w:p>
    <w:p w14:paraId="763602B7" w14:textId="77777777" w:rsidR="00BC24A8" w:rsidRDefault="00BC24A8">
      <w:pPr>
        <w:pStyle w:val="BodyText"/>
        <w:spacing w:before="201"/>
      </w:pPr>
    </w:p>
    <w:p w14:paraId="11132A95" w14:textId="77777777" w:rsidR="00BC24A8" w:rsidRDefault="00000000">
      <w:pPr>
        <w:ind w:left="143"/>
        <w:jc w:val="both"/>
        <w:rPr>
          <w:i/>
        </w:rPr>
      </w:pPr>
      <w:r>
        <w:rPr>
          <w:i/>
          <w:color w:val="1F3762"/>
        </w:rPr>
        <w:t>Program</w:t>
      </w:r>
      <w:r>
        <w:rPr>
          <w:i/>
          <w:color w:val="1F3762"/>
          <w:spacing w:val="-9"/>
        </w:rPr>
        <w:t xml:space="preserve"> </w:t>
      </w:r>
      <w:r>
        <w:rPr>
          <w:i/>
          <w:color w:val="1F3762"/>
        </w:rPr>
        <w:t>Implementation</w:t>
      </w:r>
      <w:r>
        <w:rPr>
          <w:i/>
          <w:color w:val="1F3762"/>
          <w:spacing w:val="-9"/>
        </w:rPr>
        <w:t xml:space="preserve"> </w:t>
      </w:r>
      <w:r>
        <w:rPr>
          <w:i/>
          <w:color w:val="1F3762"/>
        </w:rPr>
        <w:t>and</w:t>
      </w:r>
      <w:r>
        <w:rPr>
          <w:i/>
          <w:color w:val="1F3762"/>
          <w:spacing w:val="-9"/>
        </w:rPr>
        <w:t xml:space="preserve"> </w:t>
      </w:r>
      <w:r>
        <w:rPr>
          <w:i/>
          <w:color w:val="1F3762"/>
        </w:rPr>
        <w:t>Learning</w:t>
      </w:r>
      <w:r>
        <w:rPr>
          <w:i/>
          <w:color w:val="1F3762"/>
          <w:spacing w:val="-7"/>
        </w:rPr>
        <w:t xml:space="preserve"> </w:t>
      </w:r>
      <w:r>
        <w:rPr>
          <w:i/>
          <w:color w:val="1F3762"/>
          <w:spacing w:val="-2"/>
        </w:rPr>
        <w:t>Results/Progress</w:t>
      </w:r>
    </w:p>
    <w:p w14:paraId="27555299" w14:textId="77777777" w:rsidR="00BC24A8" w:rsidRDefault="00000000">
      <w:pPr>
        <w:pStyle w:val="BodyText"/>
        <w:spacing w:before="41"/>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4"/>
        </w:rPr>
        <w:t xml:space="preserve"> </w:t>
      </w:r>
      <w:r>
        <w:rPr>
          <w:rFonts w:ascii="Calibri"/>
          <w:color w:val="272727"/>
        </w:rPr>
        <w:t>at</w:t>
      </w:r>
      <w:r>
        <w:rPr>
          <w:rFonts w:ascii="Calibri"/>
          <w:color w:val="272727"/>
          <w:spacing w:val="-5"/>
        </w:rPr>
        <w:t xml:space="preserve"> </w:t>
      </w:r>
      <w:r>
        <w:rPr>
          <w:rFonts w:ascii="Calibri"/>
          <w:color w:val="272727"/>
        </w:rPr>
        <w:t>the</w:t>
      </w:r>
      <w:r>
        <w:rPr>
          <w:rFonts w:ascii="Calibri"/>
          <w:color w:val="272727"/>
          <w:spacing w:val="-3"/>
        </w:rPr>
        <w:t xml:space="preserve"> </w:t>
      </w:r>
      <w:r>
        <w:rPr>
          <w:rFonts w:ascii="Calibri"/>
          <w:color w:val="272727"/>
        </w:rPr>
        <w:t>Input</w:t>
      </w:r>
      <w:r>
        <w:rPr>
          <w:rFonts w:ascii="Calibri"/>
          <w:color w:val="272727"/>
          <w:spacing w:val="-2"/>
        </w:rPr>
        <w:t xml:space="preserve"> </w:t>
      </w:r>
      <w:r>
        <w:rPr>
          <w:rFonts w:ascii="Calibri"/>
          <w:color w:val="272727"/>
          <w:spacing w:val="-4"/>
        </w:rPr>
        <w:t>level</w:t>
      </w:r>
    </w:p>
    <w:p w14:paraId="0F4E8177" w14:textId="77777777" w:rsidR="00BC24A8" w:rsidRDefault="00BC24A8">
      <w:pPr>
        <w:pStyle w:val="BodyText"/>
        <w:spacing w:before="65"/>
        <w:rPr>
          <w:rFonts w:ascii="Calibri"/>
        </w:rPr>
      </w:pPr>
    </w:p>
    <w:p w14:paraId="51C96974" w14:textId="77777777" w:rsidR="00BC24A8" w:rsidRDefault="00000000">
      <w:pPr>
        <w:pStyle w:val="Heading5"/>
        <w:spacing w:before="1"/>
      </w:pPr>
      <w:bookmarkStart w:id="161" w:name="_bookmark108"/>
      <w:bookmarkEnd w:id="161"/>
      <w:r>
        <w:rPr>
          <w:color w:val="767070"/>
        </w:rPr>
        <w:t>Table</w:t>
      </w:r>
      <w:r>
        <w:rPr>
          <w:color w:val="767070"/>
          <w:spacing w:val="-13"/>
        </w:rPr>
        <w:t xml:space="preserve"> </w:t>
      </w:r>
      <w:r>
        <w:rPr>
          <w:color w:val="767070"/>
        </w:rPr>
        <w:t>12:</w:t>
      </w:r>
      <w:r>
        <w:rPr>
          <w:color w:val="767070"/>
          <w:spacing w:val="-10"/>
        </w:rPr>
        <w:t xml:space="preserve"> </w:t>
      </w:r>
      <w:r>
        <w:rPr>
          <w:color w:val="767070"/>
        </w:rPr>
        <w:t>Table</w:t>
      </w:r>
      <w:r>
        <w:rPr>
          <w:color w:val="767070"/>
          <w:spacing w:val="-10"/>
        </w:rPr>
        <w:t xml:space="preserve"> </w:t>
      </w:r>
      <w:r>
        <w:rPr>
          <w:color w:val="767070"/>
        </w:rPr>
        <w:t>of</w:t>
      </w:r>
      <w:r>
        <w:rPr>
          <w:color w:val="767070"/>
          <w:spacing w:val="-10"/>
        </w:rPr>
        <w:t xml:space="preserve"> </w:t>
      </w:r>
      <w:r>
        <w:rPr>
          <w:color w:val="767070"/>
        </w:rPr>
        <w:t>program</w:t>
      </w:r>
      <w:r>
        <w:rPr>
          <w:color w:val="767070"/>
          <w:spacing w:val="-11"/>
        </w:rPr>
        <w:t xml:space="preserve"> </w:t>
      </w:r>
      <w:r>
        <w:rPr>
          <w:color w:val="767070"/>
        </w:rPr>
        <w:t>input</w:t>
      </w:r>
      <w:r>
        <w:rPr>
          <w:color w:val="767070"/>
          <w:spacing w:val="-9"/>
        </w:rPr>
        <w:t xml:space="preserve"> </w:t>
      </w:r>
      <w:r>
        <w:rPr>
          <w:color w:val="767070"/>
        </w:rPr>
        <w:t>summary</w:t>
      </w:r>
      <w:r>
        <w:rPr>
          <w:color w:val="767070"/>
          <w:spacing w:val="-10"/>
        </w:rPr>
        <w:t xml:space="preserve"> </w:t>
      </w:r>
      <w:r>
        <w:rPr>
          <w:color w:val="767070"/>
        </w:rPr>
        <w:t>(January–June</w:t>
      </w:r>
      <w:r>
        <w:rPr>
          <w:color w:val="767070"/>
          <w:spacing w:val="-10"/>
        </w:rPr>
        <w:t xml:space="preserve"> </w:t>
      </w:r>
      <w:r>
        <w:rPr>
          <w:color w:val="767070"/>
          <w:spacing w:val="-2"/>
        </w:rPr>
        <w:t>2025)</w:t>
      </w:r>
    </w:p>
    <w:p w14:paraId="36DF5BF6" w14:textId="77777777" w:rsidR="00BC24A8" w:rsidRDefault="00BC24A8">
      <w:pPr>
        <w:pStyle w:val="BodyText"/>
        <w:spacing w:before="4" w:after="1"/>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2563"/>
        <w:gridCol w:w="1159"/>
        <w:gridCol w:w="562"/>
        <w:gridCol w:w="1826"/>
        <w:gridCol w:w="2981"/>
      </w:tblGrid>
      <w:tr w:rsidR="00BC24A8" w14:paraId="68378EA4" w14:textId="77777777">
        <w:trPr>
          <w:trHeight w:val="640"/>
        </w:trPr>
        <w:tc>
          <w:tcPr>
            <w:tcW w:w="2563" w:type="dxa"/>
            <w:shd w:val="clear" w:color="auto" w:fill="17365A"/>
          </w:tcPr>
          <w:p w14:paraId="31D7B785" w14:textId="77777777" w:rsidR="00BC24A8" w:rsidRDefault="00000000">
            <w:pPr>
              <w:pStyle w:val="TableParagraph"/>
              <w:spacing w:before="191"/>
              <w:ind w:left="107"/>
              <w:rPr>
                <w:rFonts w:ascii="Calibri"/>
                <w:b/>
                <w:sz w:val="20"/>
              </w:rPr>
            </w:pPr>
            <w:r>
              <w:rPr>
                <w:rFonts w:ascii="Calibri"/>
                <w:b/>
                <w:color w:val="FFFFFF"/>
                <w:sz w:val="20"/>
              </w:rPr>
              <w:t>Input</w:t>
            </w:r>
            <w:r>
              <w:rPr>
                <w:rFonts w:ascii="Calibri"/>
                <w:b/>
                <w:color w:val="FFFFFF"/>
                <w:spacing w:val="-3"/>
                <w:sz w:val="20"/>
              </w:rPr>
              <w:t xml:space="preserve"> </w:t>
            </w:r>
            <w:r>
              <w:rPr>
                <w:rFonts w:ascii="Calibri"/>
                <w:b/>
                <w:color w:val="FFFFFF"/>
                <w:spacing w:val="-4"/>
                <w:sz w:val="20"/>
              </w:rPr>
              <w:t>type</w:t>
            </w:r>
          </w:p>
        </w:tc>
        <w:tc>
          <w:tcPr>
            <w:tcW w:w="1159" w:type="dxa"/>
            <w:shd w:val="clear" w:color="auto" w:fill="17365A"/>
          </w:tcPr>
          <w:p w14:paraId="3BA84A46" w14:textId="77777777" w:rsidR="00BC24A8" w:rsidRDefault="00000000">
            <w:pPr>
              <w:pStyle w:val="TableParagraph"/>
              <w:spacing w:before="59" w:line="256" w:lineRule="auto"/>
              <w:ind w:left="319" w:right="125" w:hanging="190"/>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 xml:space="preserve">of </w:t>
            </w:r>
            <w:r>
              <w:rPr>
                <w:rFonts w:ascii="Calibri"/>
                <w:b/>
                <w:color w:val="FFFFFF"/>
                <w:spacing w:val="-2"/>
                <w:sz w:val="20"/>
              </w:rPr>
              <w:t>inputs</w:t>
            </w:r>
          </w:p>
        </w:tc>
        <w:tc>
          <w:tcPr>
            <w:tcW w:w="2388" w:type="dxa"/>
            <w:gridSpan w:val="2"/>
            <w:shd w:val="clear" w:color="auto" w:fill="17365A"/>
          </w:tcPr>
          <w:p w14:paraId="42363AEB" w14:textId="77777777" w:rsidR="00BC24A8" w:rsidRDefault="00000000">
            <w:pPr>
              <w:pStyle w:val="TableParagraph"/>
              <w:spacing w:before="191"/>
              <w:ind w:left="108"/>
              <w:rPr>
                <w:rFonts w:ascii="Calibri"/>
                <w:b/>
                <w:sz w:val="20"/>
              </w:rPr>
            </w:pPr>
            <w:r>
              <w:rPr>
                <w:rFonts w:ascii="Calibri"/>
                <w:b/>
                <w:color w:val="FFFFFF"/>
                <w:sz w:val="20"/>
              </w:rPr>
              <w:t>Total</w:t>
            </w:r>
            <w:r>
              <w:rPr>
                <w:rFonts w:ascii="Calibri"/>
                <w:b/>
                <w:color w:val="FFFFFF"/>
                <w:spacing w:val="-6"/>
                <w:sz w:val="20"/>
              </w:rPr>
              <w:t xml:space="preserve"> </w:t>
            </w:r>
            <w:r>
              <w:rPr>
                <w:rFonts w:ascii="Calibri"/>
                <w:b/>
                <w:color w:val="FFFFFF"/>
                <w:sz w:val="20"/>
              </w:rPr>
              <w:t>budget</w:t>
            </w:r>
            <w:r>
              <w:rPr>
                <w:rFonts w:ascii="Calibri"/>
                <w:b/>
                <w:color w:val="FFFFFF"/>
                <w:spacing w:val="-5"/>
                <w:sz w:val="20"/>
              </w:rPr>
              <w:t xml:space="preserve"> </w:t>
            </w:r>
            <w:r>
              <w:rPr>
                <w:rFonts w:ascii="Calibri"/>
                <w:b/>
                <w:color w:val="FFFFFF"/>
                <w:spacing w:val="-2"/>
                <w:sz w:val="20"/>
              </w:rPr>
              <w:t>realisation</w:t>
            </w:r>
          </w:p>
        </w:tc>
        <w:tc>
          <w:tcPr>
            <w:tcW w:w="2981" w:type="dxa"/>
            <w:shd w:val="clear" w:color="auto" w:fill="17365A"/>
          </w:tcPr>
          <w:p w14:paraId="357F1AE5" w14:textId="77777777" w:rsidR="00BC24A8" w:rsidRDefault="00000000">
            <w:pPr>
              <w:pStyle w:val="TableParagraph"/>
              <w:spacing w:before="191"/>
              <w:ind w:left="108"/>
              <w:rPr>
                <w:rFonts w:ascii="Calibri"/>
                <w:b/>
                <w:sz w:val="20"/>
              </w:rPr>
            </w:pPr>
            <w:r>
              <w:rPr>
                <w:rFonts w:ascii="Calibri"/>
                <w:b/>
                <w:color w:val="FFFFFF"/>
                <w:sz w:val="20"/>
              </w:rPr>
              <w:t>Number</w:t>
            </w:r>
            <w:r>
              <w:rPr>
                <w:rFonts w:ascii="Calibri"/>
                <w:b/>
                <w:color w:val="FFFFFF"/>
                <w:spacing w:val="-6"/>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participants</w:t>
            </w:r>
            <w:r>
              <w:rPr>
                <w:rFonts w:ascii="Calibri"/>
                <w:b/>
                <w:color w:val="FFFFFF"/>
                <w:spacing w:val="-5"/>
                <w:sz w:val="20"/>
              </w:rPr>
              <w:t xml:space="preserve"> </w:t>
            </w:r>
            <w:r>
              <w:rPr>
                <w:rFonts w:ascii="Calibri"/>
                <w:b/>
                <w:color w:val="FFFFFF"/>
                <w:spacing w:val="-2"/>
                <w:sz w:val="20"/>
              </w:rPr>
              <w:t>involved</w:t>
            </w:r>
          </w:p>
        </w:tc>
      </w:tr>
      <w:tr w:rsidR="00BC24A8" w14:paraId="51C5E642" w14:textId="77777777">
        <w:trPr>
          <w:trHeight w:val="403"/>
        </w:trPr>
        <w:tc>
          <w:tcPr>
            <w:tcW w:w="2563" w:type="dxa"/>
            <w:tcBorders>
              <w:bottom w:val="single" w:sz="4" w:space="0" w:color="BEBEBE"/>
            </w:tcBorders>
          </w:tcPr>
          <w:p w14:paraId="36682669" w14:textId="77777777" w:rsidR="00BC24A8" w:rsidRDefault="00000000">
            <w:pPr>
              <w:pStyle w:val="TableParagraph"/>
              <w:spacing w:before="102"/>
              <w:ind w:left="107"/>
              <w:rPr>
                <w:sz w:val="18"/>
              </w:rPr>
            </w:pPr>
            <w:r>
              <w:rPr>
                <w:spacing w:val="-2"/>
                <w:sz w:val="18"/>
              </w:rPr>
              <w:t>Workshops</w:t>
            </w:r>
          </w:p>
        </w:tc>
        <w:tc>
          <w:tcPr>
            <w:tcW w:w="1159" w:type="dxa"/>
            <w:tcBorders>
              <w:bottom w:val="single" w:sz="4" w:space="0" w:color="BEBEBE"/>
            </w:tcBorders>
          </w:tcPr>
          <w:p w14:paraId="54965526" w14:textId="77777777" w:rsidR="00BC24A8" w:rsidRDefault="00000000">
            <w:pPr>
              <w:pStyle w:val="TableParagraph"/>
              <w:spacing w:before="102"/>
              <w:ind w:right="1"/>
              <w:jc w:val="center"/>
              <w:rPr>
                <w:sz w:val="18"/>
              </w:rPr>
            </w:pPr>
            <w:r>
              <w:rPr>
                <w:spacing w:val="-10"/>
                <w:sz w:val="18"/>
              </w:rPr>
              <w:t>9</w:t>
            </w:r>
          </w:p>
        </w:tc>
        <w:tc>
          <w:tcPr>
            <w:tcW w:w="562" w:type="dxa"/>
            <w:tcBorders>
              <w:bottom w:val="single" w:sz="4" w:space="0" w:color="BEBEBE"/>
            </w:tcBorders>
          </w:tcPr>
          <w:p w14:paraId="264D65D4" w14:textId="77777777" w:rsidR="00BC24A8" w:rsidRDefault="00000000">
            <w:pPr>
              <w:pStyle w:val="TableParagraph"/>
              <w:spacing w:before="102"/>
              <w:ind w:right="93"/>
              <w:jc w:val="center"/>
              <w:rPr>
                <w:sz w:val="18"/>
              </w:rPr>
            </w:pPr>
            <w:r>
              <w:rPr>
                <w:spacing w:val="-5"/>
                <w:sz w:val="18"/>
              </w:rPr>
              <w:t>IDR</w:t>
            </w:r>
          </w:p>
        </w:tc>
        <w:tc>
          <w:tcPr>
            <w:tcW w:w="1826" w:type="dxa"/>
            <w:tcBorders>
              <w:bottom w:val="single" w:sz="4" w:space="0" w:color="BEBEBE"/>
            </w:tcBorders>
          </w:tcPr>
          <w:p w14:paraId="02483363" w14:textId="77777777" w:rsidR="00BC24A8" w:rsidRDefault="00000000">
            <w:pPr>
              <w:pStyle w:val="TableParagraph"/>
              <w:spacing w:before="102"/>
              <w:ind w:right="104"/>
              <w:jc w:val="right"/>
              <w:rPr>
                <w:sz w:val="18"/>
              </w:rPr>
            </w:pPr>
            <w:r>
              <w:rPr>
                <w:spacing w:val="-2"/>
                <w:sz w:val="18"/>
              </w:rPr>
              <w:t>596,881,077</w:t>
            </w:r>
          </w:p>
        </w:tc>
        <w:tc>
          <w:tcPr>
            <w:tcW w:w="2981" w:type="dxa"/>
            <w:vMerge w:val="restart"/>
            <w:tcBorders>
              <w:bottom w:val="single" w:sz="4" w:space="0" w:color="BEBEBE"/>
            </w:tcBorders>
          </w:tcPr>
          <w:p w14:paraId="26E80760" w14:textId="77777777" w:rsidR="00BC24A8" w:rsidRDefault="00000000">
            <w:pPr>
              <w:pStyle w:val="TableParagraph"/>
              <w:spacing w:before="92"/>
              <w:ind w:left="828" w:right="634" w:hanging="720"/>
              <w:rPr>
                <w:sz w:val="18"/>
              </w:rPr>
            </w:pPr>
            <w:r>
              <w:rPr>
                <w:i/>
                <w:spacing w:val="-2"/>
                <w:sz w:val="19"/>
              </w:rPr>
              <w:t>Person</w:t>
            </w:r>
            <w:r>
              <w:rPr>
                <w:i/>
                <w:spacing w:val="-9"/>
                <w:sz w:val="19"/>
              </w:rPr>
              <w:t xml:space="preserve"> </w:t>
            </w:r>
            <w:r>
              <w:rPr>
                <w:i/>
                <w:spacing w:val="-2"/>
                <w:sz w:val="19"/>
              </w:rPr>
              <w:t>time</w:t>
            </w:r>
            <w:hyperlink w:anchor="_bookmark110" w:history="1">
              <w:r w:rsidR="00BC24A8">
                <w:rPr>
                  <w:spacing w:val="-2"/>
                  <w:position w:val="5"/>
                  <w:sz w:val="12"/>
                </w:rPr>
                <w:t>48</w:t>
              </w:r>
            </w:hyperlink>
            <w:r>
              <w:rPr>
                <w:spacing w:val="-2"/>
                <w:sz w:val="18"/>
              </w:rPr>
              <w:t>:</w:t>
            </w:r>
            <w:r>
              <w:rPr>
                <w:spacing w:val="-8"/>
                <w:sz w:val="18"/>
              </w:rPr>
              <w:t xml:space="preserve"> </w:t>
            </w:r>
            <w:r>
              <w:rPr>
                <w:spacing w:val="-2"/>
                <w:sz w:val="18"/>
              </w:rPr>
              <w:t>1,146</w:t>
            </w:r>
            <w:r>
              <w:rPr>
                <w:spacing w:val="-9"/>
                <w:sz w:val="18"/>
              </w:rPr>
              <w:t xml:space="preserve"> </w:t>
            </w:r>
            <w:r>
              <w:rPr>
                <w:spacing w:val="-2"/>
                <w:sz w:val="18"/>
              </w:rPr>
              <w:t>people</w:t>
            </w:r>
            <w:r>
              <w:rPr>
                <w:sz w:val="18"/>
              </w:rPr>
              <w:t xml:space="preserve"> 612 male</w:t>
            </w:r>
          </w:p>
          <w:p w14:paraId="2E6FC060" w14:textId="77777777" w:rsidR="00BC24A8" w:rsidRDefault="00000000">
            <w:pPr>
              <w:pStyle w:val="TableParagraph"/>
              <w:spacing w:line="217" w:lineRule="exact"/>
              <w:ind w:left="828"/>
              <w:rPr>
                <w:sz w:val="18"/>
              </w:rPr>
            </w:pPr>
            <w:r>
              <w:rPr>
                <w:sz w:val="18"/>
              </w:rPr>
              <w:t xml:space="preserve">534 </w:t>
            </w:r>
            <w:r>
              <w:rPr>
                <w:spacing w:val="-2"/>
                <w:sz w:val="18"/>
              </w:rPr>
              <w:t>female</w:t>
            </w:r>
          </w:p>
          <w:p w14:paraId="1033ECD5" w14:textId="77777777" w:rsidR="00BC24A8" w:rsidRDefault="00000000">
            <w:pPr>
              <w:pStyle w:val="TableParagraph"/>
              <w:spacing w:before="2"/>
              <w:ind w:left="108" w:firstLine="720"/>
              <w:rPr>
                <w:sz w:val="18"/>
              </w:rPr>
            </w:pPr>
            <w:r>
              <w:rPr>
                <w:sz w:val="18"/>
              </w:rPr>
              <w:t>22</w:t>
            </w:r>
            <w:r>
              <w:rPr>
                <w:spacing w:val="18"/>
                <w:sz w:val="18"/>
              </w:rPr>
              <w:t xml:space="preserve"> </w:t>
            </w:r>
            <w:r>
              <w:rPr>
                <w:sz w:val="18"/>
              </w:rPr>
              <w:t>persons</w:t>
            </w:r>
            <w:r>
              <w:rPr>
                <w:spacing w:val="18"/>
                <w:sz w:val="18"/>
              </w:rPr>
              <w:t xml:space="preserve"> </w:t>
            </w:r>
            <w:r>
              <w:rPr>
                <w:sz w:val="18"/>
              </w:rPr>
              <w:t>with</w:t>
            </w:r>
            <w:r>
              <w:rPr>
                <w:spacing w:val="18"/>
                <w:sz w:val="18"/>
              </w:rPr>
              <w:t xml:space="preserve"> </w:t>
            </w:r>
            <w:r>
              <w:rPr>
                <w:sz w:val="18"/>
              </w:rPr>
              <w:t>disabilities (M: 5, F: 17)</w:t>
            </w:r>
          </w:p>
          <w:p w14:paraId="33116592" w14:textId="77777777" w:rsidR="00BC24A8" w:rsidRDefault="00000000">
            <w:pPr>
              <w:pStyle w:val="TableParagraph"/>
              <w:spacing w:before="218"/>
              <w:ind w:left="108"/>
              <w:rPr>
                <w:sz w:val="18"/>
              </w:rPr>
            </w:pPr>
            <w:r>
              <w:rPr>
                <w:sz w:val="18"/>
              </w:rPr>
              <w:t>Headcount</w:t>
            </w:r>
            <w:r>
              <w:rPr>
                <w:position w:val="5"/>
                <w:sz w:val="12"/>
              </w:rPr>
              <w:t>1</w:t>
            </w:r>
            <w:r>
              <w:rPr>
                <w:sz w:val="18"/>
              </w:rPr>
              <w:t>:</w:t>
            </w:r>
            <w:r>
              <w:rPr>
                <w:spacing w:val="1"/>
                <w:sz w:val="18"/>
              </w:rPr>
              <w:t xml:space="preserve"> </w:t>
            </w:r>
            <w:r>
              <w:rPr>
                <w:sz w:val="18"/>
              </w:rPr>
              <w:t>502</w:t>
            </w:r>
            <w:r>
              <w:rPr>
                <w:spacing w:val="-1"/>
                <w:sz w:val="18"/>
              </w:rPr>
              <w:t xml:space="preserve"> </w:t>
            </w:r>
            <w:r>
              <w:rPr>
                <w:spacing w:val="-2"/>
                <w:sz w:val="18"/>
              </w:rPr>
              <w:t>people</w:t>
            </w:r>
          </w:p>
          <w:p w14:paraId="3D7262BD" w14:textId="77777777" w:rsidR="00BC24A8" w:rsidRDefault="00000000">
            <w:pPr>
              <w:pStyle w:val="TableParagraph"/>
              <w:spacing w:before="1" w:line="219" w:lineRule="exact"/>
              <w:ind w:left="828"/>
              <w:rPr>
                <w:sz w:val="18"/>
              </w:rPr>
            </w:pPr>
            <w:r>
              <w:rPr>
                <w:sz w:val="18"/>
              </w:rPr>
              <w:t xml:space="preserve">243 </w:t>
            </w:r>
            <w:r>
              <w:rPr>
                <w:spacing w:val="-4"/>
                <w:sz w:val="18"/>
              </w:rPr>
              <w:t>male</w:t>
            </w:r>
          </w:p>
          <w:p w14:paraId="6842B830" w14:textId="77777777" w:rsidR="00BC24A8" w:rsidRDefault="00000000">
            <w:pPr>
              <w:pStyle w:val="TableParagraph"/>
              <w:spacing w:line="219" w:lineRule="exact"/>
              <w:ind w:left="828"/>
              <w:rPr>
                <w:sz w:val="18"/>
              </w:rPr>
            </w:pPr>
            <w:r>
              <w:rPr>
                <w:sz w:val="18"/>
              </w:rPr>
              <w:t>259</w:t>
            </w:r>
            <w:r>
              <w:rPr>
                <w:spacing w:val="-2"/>
                <w:sz w:val="18"/>
              </w:rPr>
              <w:t xml:space="preserve"> female</w:t>
            </w:r>
          </w:p>
          <w:p w14:paraId="62A0E6DF" w14:textId="77777777" w:rsidR="00BC24A8" w:rsidRDefault="00000000">
            <w:pPr>
              <w:pStyle w:val="TableParagraph"/>
              <w:spacing w:before="1"/>
              <w:ind w:left="108" w:firstLine="720"/>
              <w:rPr>
                <w:sz w:val="18"/>
              </w:rPr>
            </w:pPr>
            <w:r>
              <w:rPr>
                <w:sz w:val="18"/>
              </w:rPr>
              <w:t>14</w:t>
            </w:r>
            <w:r>
              <w:rPr>
                <w:spacing w:val="18"/>
                <w:sz w:val="18"/>
              </w:rPr>
              <w:t xml:space="preserve"> </w:t>
            </w:r>
            <w:r>
              <w:rPr>
                <w:sz w:val="18"/>
              </w:rPr>
              <w:t>persons</w:t>
            </w:r>
            <w:r>
              <w:rPr>
                <w:spacing w:val="18"/>
                <w:sz w:val="18"/>
              </w:rPr>
              <w:t xml:space="preserve"> </w:t>
            </w:r>
            <w:r>
              <w:rPr>
                <w:sz w:val="18"/>
              </w:rPr>
              <w:t>with</w:t>
            </w:r>
            <w:r>
              <w:rPr>
                <w:spacing w:val="18"/>
                <w:sz w:val="18"/>
              </w:rPr>
              <w:t xml:space="preserve"> </w:t>
            </w:r>
            <w:r>
              <w:rPr>
                <w:sz w:val="18"/>
              </w:rPr>
              <w:t>disabilities (M: 4, F: 10)</w:t>
            </w:r>
          </w:p>
        </w:tc>
      </w:tr>
      <w:tr w:rsidR="00BC24A8" w14:paraId="2CB6278A" w14:textId="77777777">
        <w:trPr>
          <w:trHeight w:val="333"/>
        </w:trPr>
        <w:tc>
          <w:tcPr>
            <w:tcW w:w="2563" w:type="dxa"/>
            <w:tcBorders>
              <w:top w:val="single" w:sz="4" w:space="0" w:color="BEBEBE"/>
              <w:bottom w:val="single" w:sz="4" w:space="0" w:color="BEBEBE"/>
            </w:tcBorders>
          </w:tcPr>
          <w:p w14:paraId="301F4560" w14:textId="77777777" w:rsidR="00BC24A8" w:rsidRDefault="00000000">
            <w:pPr>
              <w:pStyle w:val="TableParagraph"/>
              <w:spacing w:before="56"/>
              <w:ind w:left="107"/>
              <w:rPr>
                <w:sz w:val="18"/>
              </w:rPr>
            </w:pPr>
            <w:r>
              <w:rPr>
                <w:sz w:val="18"/>
              </w:rPr>
              <w:t>Technical</w:t>
            </w:r>
            <w:r>
              <w:rPr>
                <w:spacing w:val="-3"/>
                <w:sz w:val="18"/>
              </w:rPr>
              <w:t xml:space="preserve"> </w:t>
            </w:r>
            <w:r>
              <w:rPr>
                <w:spacing w:val="-2"/>
                <w:sz w:val="18"/>
              </w:rPr>
              <w:t>Guidance</w:t>
            </w:r>
          </w:p>
        </w:tc>
        <w:tc>
          <w:tcPr>
            <w:tcW w:w="1159" w:type="dxa"/>
            <w:tcBorders>
              <w:top w:val="single" w:sz="4" w:space="0" w:color="BEBEBE"/>
              <w:bottom w:val="single" w:sz="4" w:space="0" w:color="BEBEBE"/>
            </w:tcBorders>
          </w:tcPr>
          <w:p w14:paraId="3AB52DB8" w14:textId="77777777" w:rsidR="00BC24A8" w:rsidRDefault="00000000">
            <w:pPr>
              <w:pStyle w:val="TableParagraph"/>
              <w:spacing w:before="56"/>
              <w:ind w:right="1"/>
              <w:jc w:val="center"/>
              <w:rPr>
                <w:sz w:val="18"/>
              </w:rPr>
            </w:pPr>
            <w:r>
              <w:rPr>
                <w:spacing w:val="-10"/>
                <w:sz w:val="18"/>
              </w:rPr>
              <w:t>3</w:t>
            </w:r>
          </w:p>
        </w:tc>
        <w:tc>
          <w:tcPr>
            <w:tcW w:w="562" w:type="dxa"/>
            <w:tcBorders>
              <w:top w:val="single" w:sz="4" w:space="0" w:color="BEBEBE"/>
              <w:bottom w:val="single" w:sz="4" w:space="0" w:color="BEBEBE"/>
            </w:tcBorders>
          </w:tcPr>
          <w:p w14:paraId="53A7CE60" w14:textId="77777777" w:rsidR="00BC24A8" w:rsidRDefault="00000000">
            <w:pPr>
              <w:pStyle w:val="TableParagraph"/>
              <w:spacing w:before="56"/>
              <w:ind w:right="93"/>
              <w:jc w:val="center"/>
              <w:rPr>
                <w:sz w:val="18"/>
              </w:rPr>
            </w:pPr>
            <w:r>
              <w:rPr>
                <w:spacing w:val="-5"/>
                <w:sz w:val="18"/>
              </w:rPr>
              <w:t>IDR</w:t>
            </w:r>
          </w:p>
        </w:tc>
        <w:tc>
          <w:tcPr>
            <w:tcW w:w="1826" w:type="dxa"/>
            <w:tcBorders>
              <w:top w:val="single" w:sz="4" w:space="0" w:color="BEBEBE"/>
              <w:bottom w:val="single" w:sz="4" w:space="0" w:color="BEBEBE"/>
            </w:tcBorders>
          </w:tcPr>
          <w:p w14:paraId="67A50D3E" w14:textId="77777777" w:rsidR="00BC24A8" w:rsidRDefault="00000000">
            <w:pPr>
              <w:pStyle w:val="TableParagraph"/>
              <w:spacing w:before="56"/>
              <w:ind w:right="104"/>
              <w:jc w:val="right"/>
              <w:rPr>
                <w:sz w:val="18"/>
              </w:rPr>
            </w:pPr>
            <w:r>
              <w:rPr>
                <w:spacing w:val="-2"/>
                <w:sz w:val="18"/>
              </w:rPr>
              <w:t>390,731,615</w:t>
            </w:r>
          </w:p>
        </w:tc>
        <w:tc>
          <w:tcPr>
            <w:tcW w:w="2981" w:type="dxa"/>
            <w:vMerge/>
            <w:tcBorders>
              <w:top w:val="nil"/>
              <w:bottom w:val="single" w:sz="4" w:space="0" w:color="BEBEBE"/>
            </w:tcBorders>
          </w:tcPr>
          <w:p w14:paraId="41F9F198" w14:textId="77777777" w:rsidR="00BC24A8" w:rsidRDefault="00BC24A8">
            <w:pPr>
              <w:rPr>
                <w:sz w:val="2"/>
                <w:szCs w:val="2"/>
              </w:rPr>
            </w:pPr>
          </w:p>
        </w:tc>
      </w:tr>
      <w:tr w:rsidR="00BC24A8" w14:paraId="1CC76A46" w14:textId="77777777">
        <w:trPr>
          <w:trHeight w:val="289"/>
        </w:trPr>
        <w:tc>
          <w:tcPr>
            <w:tcW w:w="2563" w:type="dxa"/>
            <w:tcBorders>
              <w:top w:val="single" w:sz="4" w:space="0" w:color="BEBEBE"/>
            </w:tcBorders>
          </w:tcPr>
          <w:p w14:paraId="6317B25F" w14:textId="77777777" w:rsidR="00BC24A8" w:rsidRDefault="00000000">
            <w:pPr>
              <w:pStyle w:val="TableParagraph"/>
              <w:spacing w:before="59" w:line="211" w:lineRule="exact"/>
              <w:ind w:left="107"/>
              <w:rPr>
                <w:sz w:val="18"/>
              </w:rPr>
            </w:pPr>
            <w:r>
              <w:rPr>
                <w:sz w:val="18"/>
              </w:rPr>
              <w:t>Learning</w:t>
            </w:r>
            <w:r>
              <w:rPr>
                <w:spacing w:val="-3"/>
                <w:sz w:val="18"/>
              </w:rPr>
              <w:t xml:space="preserve"> </w:t>
            </w:r>
            <w:r>
              <w:rPr>
                <w:sz w:val="18"/>
              </w:rPr>
              <w:t>Forum,</w:t>
            </w:r>
            <w:r>
              <w:rPr>
                <w:spacing w:val="-3"/>
                <w:sz w:val="18"/>
              </w:rPr>
              <w:t xml:space="preserve"> </w:t>
            </w:r>
            <w:r>
              <w:rPr>
                <w:spacing w:val="-2"/>
                <w:sz w:val="18"/>
              </w:rPr>
              <w:t>Evidence</w:t>
            </w:r>
          </w:p>
        </w:tc>
        <w:tc>
          <w:tcPr>
            <w:tcW w:w="1159" w:type="dxa"/>
            <w:tcBorders>
              <w:top w:val="single" w:sz="4" w:space="0" w:color="BEBEBE"/>
            </w:tcBorders>
          </w:tcPr>
          <w:p w14:paraId="1F22CD2A" w14:textId="77777777" w:rsidR="00BC24A8" w:rsidRDefault="00000000">
            <w:pPr>
              <w:pStyle w:val="TableParagraph"/>
              <w:spacing w:before="59" w:line="211" w:lineRule="exact"/>
              <w:ind w:right="1"/>
              <w:jc w:val="center"/>
              <w:rPr>
                <w:sz w:val="18"/>
              </w:rPr>
            </w:pPr>
            <w:r>
              <w:rPr>
                <w:spacing w:val="-10"/>
                <w:sz w:val="18"/>
              </w:rPr>
              <w:t>3</w:t>
            </w:r>
          </w:p>
        </w:tc>
        <w:tc>
          <w:tcPr>
            <w:tcW w:w="562" w:type="dxa"/>
            <w:tcBorders>
              <w:top w:val="single" w:sz="4" w:space="0" w:color="BEBEBE"/>
            </w:tcBorders>
          </w:tcPr>
          <w:p w14:paraId="15259841" w14:textId="77777777" w:rsidR="00BC24A8" w:rsidRDefault="00000000">
            <w:pPr>
              <w:pStyle w:val="TableParagraph"/>
              <w:spacing w:before="59" w:line="211" w:lineRule="exact"/>
              <w:ind w:right="93"/>
              <w:jc w:val="center"/>
              <w:rPr>
                <w:sz w:val="18"/>
              </w:rPr>
            </w:pPr>
            <w:r>
              <w:rPr>
                <w:spacing w:val="-5"/>
                <w:sz w:val="18"/>
              </w:rPr>
              <w:t>IDR</w:t>
            </w:r>
          </w:p>
        </w:tc>
        <w:tc>
          <w:tcPr>
            <w:tcW w:w="1826" w:type="dxa"/>
            <w:tcBorders>
              <w:top w:val="single" w:sz="4" w:space="0" w:color="BEBEBE"/>
            </w:tcBorders>
          </w:tcPr>
          <w:p w14:paraId="5E4EC0D7" w14:textId="77777777" w:rsidR="00BC24A8" w:rsidRDefault="00000000">
            <w:pPr>
              <w:pStyle w:val="TableParagraph"/>
              <w:spacing w:before="59" w:line="211" w:lineRule="exact"/>
              <w:ind w:right="104"/>
              <w:jc w:val="right"/>
              <w:rPr>
                <w:sz w:val="18"/>
              </w:rPr>
            </w:pPr>
            <w:r>
              <w:rPr>
                <w:spacing w:val="-2"/>
                <w:sz w:val="18"/>
              </w:rPr>
              <w:t>23,369,064</w:t>
            </w:r>
          </w:p>
        </w:tc>
        <w:tc>
          <w:tcPr>
            <w:tcW w:w="2981" w:type="dxa"/>
            <w:vMerge/>
            <w:tcBorders>
              <w:top w:val="nil"/>
              <w:bottom w:val="single" w:sz="4" w:space="0" w:color="BEBEBE"/>
            </w:tcBorders>
          </w:tcPr>
          <w:p w14:paraId="0E48E009" w14:textId="77777777" w:rsidR="00BC24A8" w:rsidRDefault="00BC24A8">
            <w:pPr>
              <w:rPr>
                <w:sz w:val="2"/>
                <w:szCs w:val="2"/>
              </w:rPr>
            </w:pPr>
          </w:p>
        </w:tc>
      </w:tr>
      <w:tr w:rsidR="00BC24A8" w14:paraId="593611CD" w14:textId="77777777">
        <w:trPr>
          <w:trHeight w:val="292"/>
        </w:trPr>
        <w:tc>
          <w:tcPr>
            <w:tcW w:w="2563" w:type="dxa"/>
            <w:tcBorders>
              <w:bottom w:val="single" w:sz="4" w:space="0" w:color="BEBEBE"/>
            </w:tcBorders>
          </w:tcPr>
          <w:p w14:paraId="2944D154" w14:textId="77777777" w:rsidR="00BC24A8" w:rsidRDefault="00000000">
            <w:pPr>
              <w:pStyle w:val="TableParagraph"/>
              <w:spacing w:line="198" w:lineRule="exact"/>
              <w:ind w:left="107"/>
              <w:rPr>
                <w:sz w:val="18"/>
              </w:rPr>
            </w:pPr>
            <w:r>
              <w:rPr>
                <w:sz w:val="18"/>
              </w:rPr>
              <w:t>Collection,</w:t>
            </w:r>
            <w:r>
              <w:rPr>
                <w:spacing w:val="-2"/>
                <w:sz w:val="18"/>
              </w:rPr>
              <w:t xml:space="preserve"> Review</w:t>
            </w:r>
          </w:p>
        </w:tc>
        <w:tc>
          <w:tcPr>
            <w:tcW w:w="1159" w:type="dxa"/>
            <w:tcBorders>
              <w:bottom w:val="single" w:sz="4" w:space="0" w:color="BEBEBE"/>
            </w:tcBorders>
          </w:tcPr>
          <w:p w14:paraId="501F4B72" w14:textId="77777777" w:rsidR="00BC24A8" w:rsidRDefault="00BC24A8">
            <w:pPr>
              <w:pStyle w:val="TableParagraph"/>
              <w:rPr>
                <w:rFonts w:ascii="Times New Roman"/>
                <w:sz w:val="18"/>
              </w:rPr>
            </w:pPr>
          </w:p>
        </w:tc>
        <w:tc>
          <w:tcPr>
            <w:tcW w:w="562" w:type="dxa"/>
            <w:tcBorders>
              <w:bottom w:val="single" w:sz="4" w:space="0" w:color="BEBEBE"/>
            </w:tcBorders>
          </w:tcPr>
          <w:p w14:paraId="5B9E3CA3" w14:textId="77777777" w:rsidR="00BC24A8" w:rsidRDefault="00BC24A8">
            <w:pPr>
              <w:pStyle w:val="TableParagraph"/>
              <w:rPr>
                <w:rFonts w:ascii="Times New Roman"/>
                <w:sz w:val="18"/>
              </w:rPr>
            </w:pPr>
          </w:p>
        </w:tc>
        <w:tc>
          <w:tcPr>
            <w:tcW w:w="1826" w:type="dxa"/>
            <w:tcBorders>
              <w:bottom w:val="single" w:sz="4" w:space="0" w:color="BEBEBE"/>
            </w:tcBorders>
          </w:tcPr>
          <w:p w14:paraId="60892C74" w14:textId="77777777" w:rsidR="00BC24A8" w:rsidRDefault="00BC24A8">
            <w:pPr>
              <w:pStyle w:val="TableParagraph"/>
              <w:rPr>
                <w:rFonts w:ascii="Times New Roman"/>
                <w:sz w:val="18"/>
              </w:rPr>
            </w:pPr>
          </w:p>
        </w:tc>
        <w:tc>
          <w:tcPr>
            <w:tcW w:w="2981" w:type="dxa"/>
            <w:vMerge/>
            <w:tcBorders>
              <w:top w:val="nil"/>
              <w:bottom w:val="single" w:sz="4" w:space="0" w:color="BEBEBE"/>
            </w:tcBorders>
          </w:tcPr>
          <w:p w14:paraId="097B45EC" w14:textId="77777777" w:rsidR="00BC24A8" w:rsidRDefault="00BC24A8">
            <w:pPr>
              <w:rPr>
                <w:sz w:val="2"/>
                <w:szCs w:val="2"/>
              </w:rPr>
            </w:pPr>
          </w:p>
        </w:tc>
      </w:tr>
      <w:tr w:rsidR="00BC24A8" w14:paraId="6135DDB1" w14:textId="77777777">
        <w:trPr>
          <w:trHeight w:val="383"/>
        </w:trPr>
        <w:tc>
          <w:tcPr>
            <w:tcW w:w="2563" w:type="dxa"/>
            <w:tcBorders>
              <w:top w:val="single" w:sz="4" w:space="0" w:color="BEBEBE"/>
              <w:bottom w:val="single" w:sz="4" w:space="0" w:color="BEBEBE"/>
            </w:tcBorders>
          </w:tcPr>
          <w:p w14:paraId="0A55BF9D" w14:textId="77777777" w:rsidR="00BC24A8" w:rsidRDefault="00000000">
            <w:pPr>
              <w:pStyle w:val="TableParagraph"/>
              <w:spacing w:before="56"/>
              <w:ind w:left="107"/>
              <w:rPr>
                <w:sz w:val="18"/>
              </w:rPr>
            </w:pPr>
            <w:r>
              <w:rPr>
                <w:spacing w:val="-2"/>
                <w:sz w:val="18"/>
              </w:rPr>
              <w:t>Outreach/Dissemination/Launch</w:t>
            </w:r>
          </w:p>
        </w:tc>
        <w:tc>
          <w:tcPr>
            <w:tcW w:w="1159" w:type="dxa"/>
            <w:tcBorders>
              <w:top w:val="single" w:sz="4" w:space="0" w:color="BEBEBE"/>
              <w:bottom w:val="single" w:sz="4" w:space="0" w:color="BEBEBE"/>
            </w:tcBorders>
          </w:tcPr>
          <w:p w14:paraId="16A4B138" w14:textId="77777777" w:rsidR="00BC24A8" w:rsidRDefault="00000000">
            <w:pPr>
              <w:pStyle w:val="TableParagraph"/>
              <w:spacing w:before="56"/>
              <w:ind w:right="1"/>
              <w:jc w:val="center"/>
              <w:rPr>
                <w:sz w:val="18"/>
              </w:rPr>
            </w:pPr>
            <w:r>
              <w:rPr>
                <w:spacing w:val="-10"/>
                <w:sz w:val="18"/>
              </w:rPr>
              <w:t>1</w:t>
            </w:r>
          </w:p>
        </w:tc>
        <w:tc>
          <w:tcPr>
            <w:tcW w:w="562" w:type="dxa"/>
            <w:tcBorders>
              <w:top w:val="single" w:sz="4" w:space="0" w:color="BEBEBE"/>
              <w:bottom w:val="single" w:sz="4" w:space="0" w:color="BEBEBE"/>
            </w:tcBorders>
          </w:tcPr>
          <w:p w14:paraId="472F7A40" w14:textId="77777777" w:rsidR="00BC24A8" w:rsidRDefault="00000000">
            <w:pPr>
              <w:pStyle w:val="TableParagraph"/>
              <w:spacing w:before="56"/>
              <w:ind w:right="93"/>
              <w:jc w:val="center"/>
              <w:rPr>
                <w:sz w:val="18"/>
              </w:rPr>
            </w:pPr>
            <w:r>
              <w:rPr>
                <w:spacing w:val="-5"/>
                <w:sz w:val="18"/>
              </w:rPr>
              <w:t>IDR</w:t>
            </w:r>
          </w:p>
        </w:tc>
        <w:tc>
          <w:tcPr>
            <w:tcW w:w="1826" w:type="dxa"/>
            <w:tcBorders>
              <w:top w:val="single" w:sz="4" w:space="0" w:color="BEBEBE"/>
              <w:bottom w:val="single" w:sz="4" w:space="0" w:color="BEBEBE"/>
            </w:tcBorders>
          </w:tcPr>
          <w:p w14:paraId="0371B8FA" w14:textId="77777777" w:rsidR="00BC24A8" w:rsidRDefault="00000000">
            <w:pPr>
              <w:pStyle w:val="TableParagraph"/>
              <w:spacing w:before="56"/>
              <w:ind w:right="140"/>
              <w:jc w:val="right"/>
              <w:rPr>
                <w:sz w:val="18"/>
              </w:rPr>
            </w:pPr>
            <w:r>
              <w:rPr>
                <w:spacing w:val="-2"/>
                <w:sz w:val="18"/>
              </w:rPr>
              <w:t>165,199,458</w:t>
            </w:r>
          </w:p>
        </w:tc>
        <w:tc>
          <w:tcPr>
            <w:tcW w:w="2981" w:type="dxa"/>
            <w:vMerge/>
            <w:tcBorders>
              <w:top w:val="nil"/>
              <w:bottom w:val="single" w:sz="4" w:space="0" w:color="BEBEBE"/>
            </w:tcBorders>
          </w:tcPr>
          <w:p w14:paraId="3CD20C7D" w14:textId="77777777" w:rsidR="00BC24A8" w:rsidRDefault="00BC24A8">
            <w:pPr>
              <w:rPr>
                <w:sz w:val="2"/>
                <w:szCs w:val="2"/>
              </w:rPr>
            </w:pPr>
          </w:p>
        </w:tc>
      </w:tr>
      <w:tr w:rsidR="00BC24A8" w14:paraId="5833AF2E" w14:textId="77777777">
        <w:trPr>
          <w:trHeight w:val="822"/>
        </w:trPr>
        <w:tc>
          <w:tcPr>
            <w:tcW w:w="2563" w:type="dxa"/>
            <w:tcBorders>
              <w:top w:val="single" w:sz="4" w:space="0" w:color="BEBEBE"/>
              <w:bottom w:val="single" w:sz="4" w:space="0" w:color="BEBEBE"/>
            </w:tcBorders>
          </w:tcPr>
          <w:p w14:paraId="6A86B7AC" w14:textId="77777777" w:rsidR="00BC24A8" w:rsidRDefault="00000000">
            <w:pPr>
              <w:pStyle w:val="TableParagraph"/>
              <w:spacing w:before="56"/>
              <w:ind w:left="107"/>
              <w:rPr>
                <w:sz w:val="18"/>
              </w:rPr>
            </w:pPr>
            <w:r>
              <w:rPr>
                <w:spacing w:val="-5"/>
                <w:sz w:val="18"/>
              </w:rPr>
              <w:t>TA</w:t>
            </w:r>
          </w:p>
        </w:tc>
        <w:tc>
          <w:tcPr>
            <w:tcW w:w="1159" w:type="dxa"/>
            <w:tcBorders>
              <w:top w:val="single" w:sz="4" w:space="0" w:color="BEBEBE"/>
              <w:bottom w:val="single" w:sz="4" w:space="0" w:color="BEBEBE"/>
            </w:tcBorders>
          </w:tcPr>
          <w:p w14:paraId="4D4142A9" w14:textId="77777777" w:rsidR="00BC24A8" w:rsidRDefault="00BC24A8">
            <w:pPr>
              <w:pStyle w:val="TableParagraph"/>
              <w:rPr>
                <w:rFonts w:ascii="Times New Roman"/>
                <w:sz w:val="18"/>
              </w:rPr>
            </w:pPr>
          </w:p>
        </w:tc>
        <w:tc>
          <w:tcPr>
            <w:tcW w:w="562" w:type="dxa"/>
            <w:tcBorders>
              <w:top w:val="single" w:sz="4" w:space="0" w:color="BEBEBE"/>
              <w:bottom w:val="single" w:sz="4" w:space="0" w:color="BEBEBE"/>
            </w:tcBorders>
          </w:tcPr>
          <w:p w14:paraId="5BA72CED" w14:textId="77777777" w:rsidR="00BC24A8" w:rsidRDefault="00000000">
            <w:pPr>
              <w:pStyle w:val="TableParagraph"/>
              <w:spacing w:before="56"/>
              <w:ind w:right="93"/>
              <w:jc w:val="center"/>
              <w:rPr>
                <w:sz w:val="18"/>
              </w:rPr>
            </w:pPr>
            <w:r>
              <w:rPr>
                <w:spacing w:val="-5"/>
                <w:sz w:val="18"/>
              </w:rPr>
              <w:t>IDR</w:t>
            </w:r>
          </w:p>
        </w:tc>
        <w:tc>
          <w:tcPr>
            <w:tcW w:w="1826" w:type="dxa"/>
            <w:tcBorders>
              <w:top w:val="single" w:sz="4" w:space="0" w:color="BEBEBE"/>
              <w:bottom w:val="single" w:sz="4" w:space="0" w:color="BEBEBE"/>
            </w:tcBorders>
          </w:tcPr>
          <w:p w14:paraId="377370A4" w14:textId="77777777" w:rsidR="00BC24A8" w:rsidRDefault="00000000">
            <w:pPr>
              <w:pStyle w:val="TableParagraph"/>
              <w:spacing w:before="56"/>
              <w:ind w:right="104"/>
              <w:jc w:val="right"/>
              <w:rPr>
                <w:sz w:val="18"/>
              </w:rPr>
            </w:pPr>
            <w:r>
              <w:rPr>
                <w:spacing w:val="-2"/>
                <w:sz w:val="18"/>
              </w:rPr>
              <w:t>235,575,139</w:t>
            </w:r>
          </w:p>
        </w:tc>
        <w:tc>
          <w:tcPr>
            <w:tcW w:w="2981" w:type="dxa"/>
            <w:vMerge/>
            <w:tcBorders>
              <w:top w:val="nil"/>
              <w:bottom w:val="single" w:sz="4" w:space="0" w:color="BEBEBE"/>
            </w:tcBorders>
          </w:tcPr>
          <w:p w14:paraId="62B516AC" w14:textId="77777777" w:rsidR="00BC24A8" w:rsidRDefault="00BC24A8">
            <w:pPr>
              <w:rPr>
                <w:sz w:val="2"/>
                <w:szCs w:val="2"/>
              </w:rPr>
            </w:pPr>
          </w:p>
        </w:tc>
      </w:tr>
      <w:tr w:rsidR="00BC24A8" w14:paraId="4BDCD12E" w14:textId="77777777">
        <w:trPr>
          <w:trHeight w:val="352"/>
        </w:trPr>
        <w:tc>
          <w:tcPr>
            <w:tcW w:w="2563" w:type="dxa"/>
            <w:tcBorders>
              <w:top w:val="single" w:sz="4" w:space="0" w:color="BEBEBE"/>
              <w:bottom w:val="single" w:sz="4" w:space="0" w:color="BEBEBE"/>
            </w:tcBorders>
            <w:shd w:val="clear" w:color="auto" w:fill="A7A9AC"/>
          </w:tcPr>
          <w:p w14:paraId="51D46ABA" w14:textId="77777777" w:rsidR="00BC24A8" w:rsidRDefault="00000000">
            <w:pPr>
              <w:pStyle w:val="TableParagraph"/>
              <w:spacing w:before="59"/>
              <w:ind w:left="107"/>
              <w:rPr>
                <w:sz w:val="18"/>
              </w:rPr>
            </w:pPr>
            <w:r w:rsidRPr="00795364">
              <w:rPr>
                <w:color w:val="000000"/>
                <w:spacing w:val="-2"/>
                <w:sz w:val="18"/>
              </w:rPr>
              <w:t>TOTAL</w:t>
            </w:r>
          </w:p>
        </w:tc>
        <w:tc>
          <w:tcPr>
            <w:tcW w:w="1159" w:type="dxa"/>
            <w:tcBorders>
              <w:top w:val="single" w:sz="4" w:space="0" w:color="BEBEBE"/>
              <w:bottom w:val="single" w:sz="4" w:space="0" w:color="BEBEBE"/>
            </w:tcBorders>
            <w:shd w:val="clear" w:color="auto" w:fill="A7A9AC"/>
          </w:tcPr>
          <w:p w14:paraId="5D0F3471" w14:textId="77777777" w:rsidR="00BC24A8" w:rsidRDefault="00000000">
            <w:pPr>
              <w:pStyle w:val="TableParagraph"/>
              <w:spacing w:before="59"/>
              <w:ind w:right="1"/>
              <w:jc w:val="center"/>
              <w:rPr>
                <w:sz w:val="18"/>
              </w:rPr>
            </w:pPr>
            <w:r w:rsidRPr="00795364">
              <w:rPr>
                <w:color w:val="000000"/>
                <w:spacing w:val="-5"/>
                <w:sz w:val="18"/>
              </w:rPr>
              <w:t>16</w:t>
            </w:r>
          </w:p>
        </w:tc>
        <w:tc>
          <w:tcPr>
            <w:tcW w:w="562" w:type="dxa"/>
            <w:tcBorders>
              <w:top w:val="single" w:sz="4" w:space="0" w:color="BEBEBE"/>
              <w:bottom w:val="single" w:sz="4" w:space="0" w:color="BEBEBE"/>
            </w:tcBorders>
            <w:shd w:val="clear" w:color="auto" w:fill="A7A9AC"/>
          </w:tcPr>
          <w:p w14:paraId="2B5BA8D8" w14:textId="77777777" w:rsidR="00BC24A8" w:rsidRDefault="00000000">
            <w:pPr>
              <w:pStyle w:val="TableParagraph"/>
              <w:spacing w:before="59"/>
              <w:ind w:right="93"/>
              <w:jc w:val="center"/>
              <w:rPr>
                <w:sz w:val="18"/>
              </w:rPr>
            </w:pPr>
            <w:r w:rsidRPr="00795364">
              <w:rPr>
                <w:color w:val="000000"/>
                <w:spacing w:val="-5"/>
                <w:sz w:val="18"/>
              </w:rPr>
              <w:t>IDR</w:t>
            </w:r>
          </w:p>
        </w:tc>
        <w:tc>
          <w:tcPr>
            <w:tcW w:w="1826" w:type="dxa"/>
            <w:tcBorders>
              <w:top w:val="single" w:sz="4" w:space="0" w:color="BEBEBE"/>
              <w:bottom w:val="single" w:sz="4" w:space="0" w:color="BEBEBE"/>
            </w:tcBorders>
            <w:shd w:val="clear" w:color="auto" w:fill="A7A9AC"/>
          </w:tcPr>
          <w:p w14:paraId="76693F7B" w14:textId="77777777" w:rsidR="00BC24A8" w:rsidRDefault="00000000">
            <w:pPr>
              <w:pStyle w:val="TableParagraph"/>
              <w:spacing w:before="59"/>
              <w:ind w:left="204"/>
              <w:rPr>
                <w:sz w:val="18"/>
              </w:rPr>
            </w:pPr>
            <w:r w:rsidRPr="00795364">
              <w:rPr>
                <w:color w:val="000000"/>
                <w:spacing w:val="-2"/>
                <w:sz w:val="18"/>
              </w:rPr>
              <w:t>1,411,756,354.92</w:t>
            </w:r>
          </w:p>
        </w:tc>
        <w:tc>
          <w:tcPr>
            <w:tcW w:w="2981" w:type="dxa"/>
            <w:tcBorders>
              <w:top w:val="single" w:sz="4" w:space="0" w:color="BEBEBE"/>
              <w:bottom w:val="single" w:sz="4" w:space="0" w:color="BEBEBE"/>
            </w:tcBorders>
            <w:shd w:val="clear" w:color="auto" w:fill="A7A9AC"/>
          </w:tcPr>
          <w:p w14:paraId="3EB549CB" w14:textId="77777777" w:rsidR="00BC24A8" w:rsidRDefault="00BC24A8">
            <w:pPr>
              <w:pStyle w:val="TableParagraph"/>
              <w:rPr>
                <w:rFonts w:ascii="Times New Roman"/>
                <w:sz w:val="18"/>
              </w:rPr>
            </w:pPr>
          </w:p>
        </w:tc>
      </w:tr>
    </w:tbl>
    <w:p w14:paraId="7151A2C8" w14:textId="77777777" w:rsidR="00BC24A8" w:rsidRDefault="00000000">
      <w:pPr>
        <w:spacing w:before="123"/>
        <w:ind w:left="143"/>
        <w:jc w:val="both"/>
        <w:rPr>
          <w:sz w:val="16"/>
        </w:rPr>
      </w:pPr>
      <w:r>
        <w:rPr>
          <w:sz w:val="16"/>
        </w:rPr>
        <w:t>Data</w:t>
      </w:r>
      <w:r>
        <w:rPr>
          <w:spacing w:val="-3"/>
          <w:sz w:val="16"/>
        </w:rPr>
        <w:t xml:space="preserve"> </w:t>
      </w:r>
      <w:r>
        <w:rPr>
          <w:sz w:val="16"/>
        </w:rPr>
        <w:t>Source:</w:t>
      </w:r>
      <w:r>
        <w:rPr>
          <w:spacing w:val="-3"/>
          <w:sz w:val="16"/>
        </w:rPr>
        <w:t xml:space="preserve"> </w:t>
      </w:r>
      <w:r>
        <w:rPr>
          <w:sz w:val="16"/>
        </w:rPr>
        <w:t>SKALA</w:t>
      </w:r>
      <w:r>
        <w:rPr>
          <w:spacing w:val="-4"/>
          <w:sz w:val="16"/>
        </w:rPr>
        <w:t xml:space="preserve"> </w:t>
      </w:r>
      <w:r>
        <w:rPr>
          <w:sz w:val="16"/>
        </w:rPr>
        <w:t>MIS</w:t>
      </w:r>
      <w:r>
        <w:rPr>
          <w:spacing w:val="-4"/>
          <w:sz w:val="16"/>
        </w:rPr>
        <w:t xml:space="preserve"> </w:t>
      </w:r>
      <w:r>
        <w:rPr>
          <w:sz w:val="16"/>
        </w:rPr>
        <w:t>as</w:t>
      </w:r>
      <w:r>
        <w:rPr>
          <w:spacing w:val="-3"/>
          <w:sz w:val="16"/>
        </w:rPr>
        <w:t xml:space="preserve"> </w:t>
      </w:r>
      <w:r>
        <w:rPr>
          <w:sz w:val="16"/>
        </w:rPr>
        <w:t>of</w:t>
      </w:r>
      <w:r>
        <w:rPr>
          <w:spacing w:val="-5"/>
          <w:sz w:val="16"/>
        </w:rPr>
        <w:t xml:space="preserve"> </w:t>
      </w:r>
      <w:r>
        <w:rPr>
          <w:sz w:val="16"/>
        </w:rPr>
        <w:t>August</w:t>
      </w:r>
      <w:r>
        <w:rPr>
          <w:spacing w:val="-6"/>
          <w:sz w:val="16"/>
        </w:rPr>
        <w:t xml:space="preserve"> </w:t>
      </w:r>
      <w:r>
        <w:rPr>
          <w:sz w:val="16"/>
        </w:rPr>
        <w:t>6,</w:t>
      </w:r>
      <w:r>
        <w:rPr>
          <w:spacing w:val="-4"/>
          <w:sz w:val="16"/>
        </w:rPr>
        <w:t xml:space="preserve"> </w:t>
      </w:r>
      <w:r>
        <w:rPr>
          <w:sz w:val="16"/>
        </w:rPr>
        <w:t>2025,</w:t>
      </w:r>
      <w:r>
        <w:rPr>
          <w:spacing w:val="-5"/>
          <w:sz w:val="16"/>
        </w:rPr>
        <w:t xml:space="preserve"> </w:t>
      </w:r>
      <w:r>
        <w:rPr>
          <w:sz w:val="16"/>
        </w:rPr>
        <w:t>09:20</w:t>
      </w:r>
      <w:r>
        <w:rPr>
          <w:spacing w:val="-3"/>
          <w:sz w:val="16"/>
        </w:rPr>
        <w:t xml:space="preserve"> </w:t>
      </w:r>
      <w:r>
        <w:rPr>
          <w:spacing w:val="-4"/>
          <w:sz w:val="16"/>
        </w:rPr>
        <w:t>WITA.</w:t>
      </w:r>
    </w:p>
    <w:p w14:paraId="63DEC106" w14:textId="77777777" w:rsidR="00BC24A8" w:rsidRDefault="00BC24A8">
      <w:pPr>
        <w:pStyle w:val="BodyText"/>
        <w:spacing w:before="147"/>
        <w:rPr>
          <w:sz w:val="16"/>
        </w:rPr>
      </w:pPr>
    </w:p>
    <w:p w14:paraId="739FF272" w14:textId="77777777" w:rsidR="00BC24A8" w:rsidRDefault="00000000">
      <w:pPr>
        <w:pStyle w:val="BodyText"/>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3"/>
        </w:rPr>
        <w:t xml:space="preserve"> </w:t>
      </w:r>
      <w:r>
        <w:rPr>
          <w:rFonts w:ascii="Calibri"/>
          <w:color w:val="272727"/>
        </w:rPr>
        <w:t>at</w:t>
      </w:r>
      <w:r>
        <w:rPr>
          <w:rFonts w:ascii="Calibri"/>
          <w:color w:val="272727"/>
          <w:spacing w:val="-4"/>
        </w:rPr>
        <w:t xml:space="preserve"> </w:t>
      </w:r>
      <w:r>
        <w:rPr>
          <w:rFonts w:ascii="Calibri"/>
          <w:color w:val="272727"/>
        </w:rPr>
        <w:t>the</w:t>
      </w:r>
      <w:r>
        <w:rPr>
          <w:rFonts w:ascii="Calibri"/>
          <w:color w:val="272727"/>
          <w:spacing w:val="-5"/>
        </w:rPr>
        <w:t xml:space="preserve"> </w:t>
      </w:r>
      <w:r>
        <w:rPr>
          <w:rFonts w:ascii="Calibri"/>
          <w:color w:val="272727"/>
        </w:rPr>
        <w:t>Output</w:t>
      </w:r>
      <w:r>
        <w:rPr>
          <w:rFonts w:ascii="Calibri"/>
          <w:color w:val="272727"/>
          <w:spacing w:val="-2"/>
        </w:rPr>
        <w:t xml:space="preserve"> </w:t>
      </w:r>
      <w:r>
        <w:rPr>
          <w:rFonts w:ascii="Calibri"/>
          <w:color w:val="272727"/>
          <w:spacing w:val="-4"/>
        </w:rPr>
        <w:t>level</w:t>
      </w:r>
    </w:p>
    <w:p w14:paraId="5A24F580" w14:textId="77777777" w:rsidR="00BC24A8" w:rsidRDefault="00BC24A8">
      <w:pPr>
        <w:pStyle w:val="BodyText"/>
        <w:spacing w:before="63"/>
        <w:rPr>
          <w:rFonts w:ascii="Calibri"/>
        </w:rPr>
      </w:pPr>
    </w:p>
    <w:p w14:paraId="56EB1387" w14:textId="77777777" w:rsidR="00BC24A8" w:rsidRDefault="00000000">
      <w:pPr>
        <w:pStyle w:val="Heading5"/>
      </w:pPr>
      <w:bookmarkStart w:id="162" w:name="_bookmark109"/>
      <w:bookmarkEnd w:id="162"/>
      <w:r>
        <w:rPr>
          <w:color w:val="767070"/>
        </w:rPr>
        <w:t>Table</w:t>
      </w:r>
      <w:r>
        <w:rPr>
          <w:color w:val="767070"/>
          <w:spacing w:val="-7"/>
        </w:rPr>
        <w:t xml:space="preserve"> </w:t>
      </w:r>
      <w:r>
        <w:rPr>
          <w:color w:val="767070"/>
        </w:rPr>
        <w:t>13:</w:t>
      </w:r>
      <w:r>
        <w:rPr>
          <w:color w:val="767070"/>
          <w:spacing w:val="-7"/>
        </w:rPr>
        <w:t xml:space="preserve"> </w:t>
      </w:r>
      <w:r>
        <w:rPr>
          <w:color w:val="767070"/>
        </w:rPr>
        <w:t>Table</w:t>
      </w:r>
      <w:r>
        <w:rPr>
          <w:color w:val="767070"/>
          <w:spacing w:val="-6"/>
        </w:rPr>
        <w:t xml:space="preserve"> </w:t>
      </w:r>
      <w:r>
        <w:rPr>
          <w:color w:val="767070"/>
        </w:rPr>
        <w:t>of</w:t>
      </w:r>
      <w:r>
        <w:rPr>
          <w:color w:val="767070"/>
          <w:spacing w:val="-7"/>
        </w:rPr>
        <w:t xml:space="preserve"> </w:t>
      </w:r>
      <w:r>
        <w:rPr>
          <w:color w:val="767070"/>
        </w:rPr>
        <w:t>summary</w:t>
      </w:r>
      <w:r>
        <w:rPr>
          <w:color w:val="767070"/>
          <w:spacing w:val="-5"/>
        </w:rPr>
        <w:t xml:space="preserve"> </w:t>
      </w:r>
      <w:r>
        <w:rPr>
          <w:color w:val="767070"/>
        </w:rPr>
        <w:t>of</w:t>
      </w:r>
      <w:r>
        <w:rPr>
          <w:color w:val="767070"/>
          <w:spacing w:val="-6"/>
        </w:rPr>
        <w:t xml:space="preserve"> </w:t>
      </w:r>
      <w:r>
        <w:rPr>
          <w:color w:val="767070"/>
        </w:rPr>
        <w:t>FY</w:t>
      </w:r>
      <w:r>
        <w:rPr>
          <w:color w:val="767070"/>
          <w:spacing w:val="-7"/>
        </w:rPr>
        <w:t xml:space="preserve"> </w:t>
      </w:r>
      <w:r>
        <w:rPr>
          <w:color w:val="767070"/>
        </w:rPr>
        <w:t>2024/2025</w:t>
      </w:r>
      <w:r>
        <w:rPr>
          <w:color w:val="767070"/>
          <w:spacing w:val="-7"/>
        </w:rPr>
        <w:t xml:space="preserve"> </w:t>
      </w:r>
      <w:r>
        <w:rPr>
          <w:color w:val="767070"/>
        </w:rPr>
        <w:t>work</w:t>
      </w:r>
      <w:r>
        <w:rPr>
          <w:color w:val="767070"/>
          <w:spacing w:val="-5"/>
        </w:rPr>
        <w:t xml:space="preserve"> </w:t>
      </w:r>
      <w:r>
        <w:rPr>
          <w:color w:val="767070"/>
        </w:rPr>
        <w:t>plan</w:t>
      </w:r>
      <w:r>
        <w:rPr>
          <w:color w:val="767070"/>
          <w:spacing w:val="-7"/>
        </w:rPr>
        <w:t xml:space="preserve"> </w:t>
      </w:r>
      <w:r>
        <w:rPr>
          <w:color w:val="767070"/>
        </w:rPr>
        <w:t>outputs</w:t>
      </w:r>
      <w:r>
        <w:rPr>
          <w:color w:val="767070"/>
          <w:spacing w:val="-5"/>
        </w:rPr>
        <w:t xml:space="preserve"> </w:t>
      </w:r>
      <w:r>
        <w:rPr>
          <w:color w:val="767070"/>
        </w:rPr>
        <w:t>as</w:t>
      </w:r>
      <w:r>
        <w:rPr>
          <w:color w:val="767070"/>
          <w:spacing w:val="-4"/>
        </w:rPr>
        <w:t xml:space="preserve"> </w:t>
      </w:r>
      <w:r>
        <w:rPr>
          <w:color w:val="767070"/>
        </w:rPr>
        <w:t>of</w:t>
      </w:r>
      <w:r>
        <w:rPr>
          <w:color w:val="767070"/>
          <w:spacing w:val="-6"/>
        </w:rPr>
        <w:t xml:space="preserve"> </w:t>
      </w:r>
      <w:r>
        <w:rPr>
          <w:color w:val="767070"/>
        </w:rPr>
        <w:t>June</w:t>
      </w:r>
      <w:r>
        <w:rPr>
          <w:color w:val="767070"/>
          <w:spacing w:val="-6"/>
        </w:rPr>
        <w:t xml:space="preserve"> </w:t>
      </w:r>
      <w:r>
        <w:rPr>
          <w:color w:val="767070"/>
          <w:spacing w:val="-4"/>
        </w:rPr>
        <w:t>2025</w:t>
      </w:r>
    </w:p>
    <w:p w14:paraId="13590EB1" w14:textId="77777777" w:rsidR="00BC24A8" w:rsidRDefault="00BC24A8">
      <w:pPr>
        <w:pStyle w:val="BodyText"/>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1379"/>
        <w:gridCol w:w="1861"/>
        <w:gridCol w:w="1711"/>
        <w:gridCol w:w="1529"/>
        <w:gridCol w:w="2611"/>
      </w:tblGrid>
      <w:tr w:rsidR="00BC24A8" w14:paraId="7DEDA815" w14:textId="77777777">
        <w:trPr>
          <w:trHeight w:val="386"/>
        </w:trPr>
        <w:tc>
          <w:tcPr>
            <w:tcW w:w="1379" w:type="dxa"/>
            <w:shd w:val="clear" w:color="auto" w:fill="17365A"/>
          </w:tcPr>
          <w:p w14:paraId="5A955E50" w14:textId="77777777" w:rsidR="00BC24A8" w:rsidRDefault="00000000">
            <w:pPr>
              <w:pStyle w:val="TableParagraph"/>
              <w:spacing w:before="64"/>
              <w:ind w:left="107"/>
              <w:rPr>
                <w:rFonts w:ascii="Calibri"/>
                <w:b/>
                <w:sz w:val="20"/>
              </w:rPr>
            </w:pPr>
            <w:r>
              <w:rPr>
                <w:rFonts w:ascii="Calibri"/>
                <w:b/>
                <w:color w:val="FFFFFF"/>
                <w:spacing w:val="-2"/>
                <w:sz w:val="20"/>
              </w:rPr>
              <w:t>Output</w:t>
            </w:r>
          </w:p>
        </w:tc>
        <w:tc>
          <w:tcPr>
            <w:tcW w:w="1861" w:type="dxa"/>
            <w:shd w:val="clear" w:color="auto" w:fill="17365A"/>
          </w:tcPr>
          <w:p w14:paraId="2F4FFDE0" w14:textId="77777777" w:rsidR="00BC24A8" w:rsidRDefault="00000000">
            <w:pPr>
              <w:pStyle w:val="TableParagraph"/>
              <w:spacing w:before="64"/>
              <w:ind w:right="13"/>
              <w:jc w:val="center"/>
              <w:rPr>
                <w:rFonts w:ascii="Calibri"/>
                <w:b/>
                <w:sz w:val="20"/>
              </w:rPr>
            </w:pPr>
            <w:r>
              <w:rPr>
                <w:rFonts w:ascii="Calibri"/>
                <w:b/>
                <w:color w:val="FFFFFF"/>
                <w:spacing w:val="-2"/>
                <w:sz w:val="20"/>
              </w:rPr>
              <w:t>Completed</w:t>
            </w:r>
          </w:p>
        </w:tc>
        <w:tc>
          <w:tcPr>
            <w:tcW w:w="1711" w:type="dxa"/>
            <w:shd w:val="clear" w:color="auto" w:fill="17365A"/>
          </w:tcPr>
          <w:p w14:paraId="2ACB59E9" w14:textId="77777777" w:rsidR="00BC24A8" w:rsidRDefault="00000000">
            <w:pPr>
              <w:pStyle w:val="TableParagraph"/>
              <w:spacing w:before="64"/>
              <w:ind w:left="7" w:right="8"/>
              <w:jc w:val="center"/>
              <w:rPr>
                <w:rFonts w:ascii="Calibri"/>
                <w:b/>
                <w:sz w:val="20"/>
              </w:rPr>
            </w:pPr>
            <w:r>
              <w:rPr>
                <w:rFonts w:ascii="Calibri"/>
                <w:b/>
                <w:color w:val="FFFFFF"/>
                <w:spacing w:val="-2"/>
                <w:sz w:val="20"/>
              </w:rPr>
              <w:t>Ongoing</w:t>
            </w:r>
          </w:p>
        </w:tc>
        <w:tc>
          <w:tcPr>
            <w:tcW w:w="1529" w:type="dxa"/>
            <w:shd w:val="clear" w:color="auto" w:fill="17365A"/>
          </w:tcPr>
          <w:p w14:paraId="564509D3" w14:textId="77777777" w:rsidR="00BC24A8" w:rsidRDefault="00000000">
            <w:pPr>
              <w:pStyle w:val="TableParagraph"/>
              <w:spacing w:before="64"/>
              <w:ind w:left="2" w:right="4"/>
              <w:jc w:val="center"/>
              <w:rPr>
                <w:rFonts w:ascii="Calibri"/>
                <w:b/>
                <w:sz w:val="20"/>
              </w:rPr>
            </w:pPr>
            <w:r>
              <w:rPr>
                <w:rFonts w:ascii="Calibri"/>
                <w:b/>
                <w:color w:val="FFFFFF"/>
                <w:sz w:val="20"/>
              </w:rPr>
              <w:t>Not</w:t>
            </w:r>
            <w:r>
              <w:rPr>
                <w:rFonts w:ascii="Calibri"/>
                <w:b/>
                <w:color w:val="FFFFFF"/>
                <w:spacing w:val="-4"/>
                <w:sz w:val="20"/>
              </w:rPr>
              <w:t xml:space="preserve"> </w:t>
            </w:r>
            <w:r>
              <w:rPr>
                <w:rFonts w:ascii="Calibri"/>
                <w:b/>
                <w:color w:val="FFFFFF"/>
                <w:spacing w:val="-2"/>
                <w:sz w:val="20"/>
              </w:rPr>
              <w:t>started</w:t>
            </w:r>
          </w:p>
        </w:tc>
        <w:tc>
          <w:tcPr>
            <w:tcW w:w="2611" w:type="dxa"/>
            <w:shd w:val="clear" w:color="auto" w:fill="17365A"/>
          </w:tcPr>
          <w:p w14:paraId="3196B6C0" w14:textId="77777777" w:rsidR="00BC24A8" w:rsidRDefault="00000000">
            <w:pPr>
              <w:pStyle w:val="TableParagraph"/>
              <w:spacing w:before="64"/>
              <w:ind w:right="2"/>
              <w:jc w:val="center"/>
              <w:rPr>
                <w:rFonts w:ascii="Calibri"/>
                <w:b/>
                <w:sz w:val="20"/>
              </w:rPr>
            </w:pPr>
            <w:r>
              <w:rPr>
                <w:rFonts w:ascii="Calibri"/>
                <w:b/>
                <w:color w:val="FFFFFF"/>
                <w:spacing w:val="-2"/>
                <w:sz w:val="20"/>
              </w:rPr>
              <w:t>TOTAL</w:t>
            </w:r>
          </w:p>
        </w:tc>
      </w:tr>
      <w:tr w:rsidR="00BC24A8" w14:paraId="020D8E34" w14:textId="77777777">
        <w:trPr>
          <w:trHeight w:val="378"/>
        </w:trPr>
        <w:tc>
          <w:tcPr>
            <w:tcW w:w="1379" w:type="dxa"/>
            <w:tcBorders>
              <w:bottom w:val="single" w:sz="4" w:space="0" w:color="BEBEBE"/>
            </w:tcBorders>
          </w:tcPr>
          <w:p w14:paraId="215620A5" w14:textId="77777777" w:rsidR="00BC24A8" w:rsidRDefault="00000000">
            <w:pPr>
              <w:pStyle w:val="TableParagraph"/>
              <w:spacing w:before="102"/>
              <w:ind w:left="107"/>
              <w:rPr>
                <w:sz w:val="18"/>
              </w:rPr>
            </w:pPr>
            <w:r>
              <w:rPr>
                <w:spacing w:val="-5"/>
                <w:sz w:val="18"/>
              </w:rPr>
              <w:t>MSS</w:t>
            </w:r>
          </w:p>
        </w:tc>
        <w:tc>
          <w:tcPr>
            <w:tcW w:w="1861" w:type="dxa"/>
            <w:tcBorders>
              <w:bottom w:val="single" w:sz="4" w:space="0" w:color="BEBEBE"/>
            </w:tcBorders>
          </w:tcPr>
          <w:p w14:paraId="002F2CE4" w14:textId="77777777" w:rsidR="00BC24A8" w:rsidRDefault="00000000">
            <w:pPr>
              <w:pStyle w:val="TableParagraph"/>
              <w:spacing w:before="102"/>
              <w:ind w:right="13"/>
              <w:jc w:val="center"/>
              <w:rPr>
                <w:sz w:val="18"/>
              </w:rPr>
            </w:pPr>
            <w:r>
              <w:rPr>
                <w:spacing w:val="-5"/>
                <w:sz w:val="18"/>
              </w:rPr>
              <w:t>18</w:t>
            </w:r>
          </w:p>
        </w:tc>
        <w:tc>
          <w:tcPr>
            <w:tcW w:w="1711" w:type="dxa"/>
            <w:tcBorders>
              <w:bottom w:val="single" w:sz="4" w:space="0" w:color="BEBEBE"/>
            </w:tcBorders>
          </w:tcPr>
          <w:p w14:paraId="2CD9DD3A" w14:textId="77777777" w:rsidR="00BC24A8" w:rsidRDefault="00000000">
            <w:pPr>
              <w:pStyle w:val="TableParagraph"/>
              <w:spacing w:before="102"/>
              <w:ind w:left="7" w:right="9"/>
              <w:jc w:val="center"/>
              <w:rPr>
                <w:sz w:val="18"/>
              </w:rPr>
            </w:pPr>
            <w:r>
              <w:rPr>
                <w:spacing w:val="-10"/>
                <w:sz w:val="18"/>
              </w:rPr>
              <w:t>-</w:t>
            </w:r>
          </w:p>
        </w:tc>
        <w:tc>
          <w:tcPr>
            <w:tcW w:w="1529" w:type="dxa"/>
            <w:tcBorders>
              <w:bottom w:val="single" w:sz="4" w:space="0" w:color="BEBEBE"/>
            </w:tcBorders>
          </w:tcPr>
          <w:p w14:paraId="3D08CEF7" w14:textId="77777777" w:rsidR="00BC24A8" w:rsidRDefault="00000000">
            <w:pPr>
              <w:pStyle w:val="TableParagraph"/>
              <w:spacing w:before="102"/>
              <w:ind w:right="4"/>
              <w:jc w:val="center"/>
              <w:rPr>
                <w:sz w:val="18"/>
              </w:rPr>
            </w:pPr>
            <w:r>
              <w:rPr>
                <w:spacing w:val="-10"/>
                <w:sz w:val="18"/>
              </w:rPr>
              <w:t>1</w:t>
            </w:r>
          </w:p>
        </w:tc>
        <w:tc>
          <w:tcPr>
            <w:tcW w:w="2611" w:type="dxa"/>
            <w:tcBorders>
              <w:bottom w:val="single" w:sz="4" w:space="0" w:color="BEBEBE"/>
            </w:tcBorders>
          </w:tcPr>
          <w:p w14:paraId="15F8BA3E" w14:textId="77777777" w:rsidR="00BC24A8" w:rsidRDefault="00000000">
            <w:pPr>
              <w:pStyle w:val="TableParagraph"/>
              <w:spacing w:before="102"/>
              <w:ind w:right="2"/>
              <w:jc w:val="center"/>
              <w:rPr>
                <w:sz w:val="18"/>
              </w:rPr>
            </w:pPr>
            <w:r>
              <w:rPr>
                <w:spacing w:val="-5"/>
                <w:sz w:val="18"/>
              </w:rPr>
              <w:t>19</w:t>
            </w:r>
          </w:p>
        </w:tc>
      </w:tr>
      <w:tr w:rsidR="00BC24A8" w14:paraId="1EB842CA" w14:textId="77777777">
        <w:trPr>
          <w:trHeight w:val="333"/>
        </w:trPr>
        <w:tc>
          <w:tcPr>
            <w:tcW w:w="1379" w:type="dxa"/>
            <w:tcBorders>
              <w:top w:val="single" w:sz="4" w:space="0" w:color="BEBEBE"/>
              <w:bottom w:val="single" w:sz="4" w:space="0" w:color="BEBEBE"/>
            </w:tcBorders>
          </w:tcPr>
          <w:p w14:paraId="5D1524C6" w14:textId="77777777" w:rsidR="00BC24A8" w:rsidRDefault="00000000">
            <w:pPr>
              <w:pStyle w:val="TableParagraph"/>
              <w:spacing w:before="56"/>
              <w:ind w:left="107"/>
              <w:rPr>
                <w:sz w:val="18"/>
              </w:rPr>
            </w:pPr>
            <w:r>
              <w:rPr>
                <w:spacing w:val="-5"/>
                <w:sz w:val="18"/>
              </w:rPr>
              <w:t>PFM</w:t>
            </w:r>
          </w:p>
        </w:tc>
        <w:tc>
          <w:tcPr>
            <w:tcW w:w="1861" w:type="dxa"/>
            <w:tcBorders>
              <w:top w:val="single" w:sz="4" w:space="0" w:color="BEBEBE"/>
              <w:bottom w:val="single" w:sz="4" w:space="0" w:color="BEBEBE"/>
            </w:tcBorders>
          </w:tcPr>
          <w:p w14:paraId="0F30AF81" w14:textId="77777777" w:rsidR="00BC24A8" w:rsidRDefault="00000000">
            <w:pPr>
              <w:pStyle w:val="TableParagraph"/>
              <w:spacing w:before="56"/>
              <w:ind w:right="13"/>
              <w:jc w:val="center"/>
              <w:rPr>
                <w:sz w:val="18"/>
              </w:rPr>
            </w:pPr>
            <w:r>
              <w:rPr>
                <w:spacing w:val="-10"/>
                <w:sz w:val="18"/>
              </w:rPr>
              <w:t>6</w:t>
            </w:r>
          </w:p>
        </w:tc>
        <w:tc>
          <w:tcPr>
            <w:tcW w:w="1711" w:type="dxa"/>
            <w:tcBorders>
              <w:top w:val="single" w:sz="4" w:space="0" w:color="BEBEBE"/>
              <w:bottom w:val="single" w:sz="4" w:space="0" w:color="BEBEBE"/>
            </w:tcBorders>
          </w:tcPr>
          <w:p w14:paraId="59C99DBC" w14:textId="77777777" w:rsidR="00BC24A8" w:rsidRDefault="00000000">
            <w:pPr>
              <w:pStyle w:val="TableParagraph"/>
              <w:spacing w:before="56"/>
              <w:ind w:left="7" w:right="9"/>
              <w:jc w:val="center"/>
              <w:rPr>
                <w:sz w:val="18"/>
              </w:rPr>
            </w:pPr>
            <w:r>
              <w:rPr>
                <w:spacing w:val="-10"/>
                <w:sz w:val="18"/>
              </w:rPr>
              <w:t>-</w:t>
            </w:r>
          </w:p>
        </w:tc>
        <w:tc>
          <w:tcPr>
            <w:tcW w:w="1529" w:type="dxa"/>
            <w:tcBorders>
              <w:top w:val="single" w:sz="4" w:space="0" w:color="BEBEBE"/>
              <w:bottom w:val="single" w:sz="4" w:space="0" w:color="BEBEBE"/>
            </w:tcBorders>
          </w:tcPr>
          <w:p w14:paraId="26B52624" w14:textId="77777777" w:rsidR="00BC24A8" w:rsidRDefault="00000000">
            <w:pPr>
              <w:pStyle w:val="TableParagraph"/>
              <w:spacing w:before="56"/>
              <w:ind w:right="4"/>
              <w:jc w:val="center"/>
              <w:rPr>
                <w:sz w:val="18"/>
              </w:rPr>
            </w:pPr>
            <w:r>
              <w:rPr>
                <w:spacing w:val="-10"/>
                <w:sz w:val="18"/>
              </w:rPr>
              <w:t>3</w:t>
            </w:r>
          </w:p>
        </w:tc>
        <w:tc>
          <w:tcPr>
            <w:tcW w:w="2611" w:type="dxa"/>
            <w:tcBorders>
              <w:top w:val="single" w:sz="4" w:space="0" w:color="BEBEBE"/>
              <w:bottom w:val="single" w:sz="4" w:space="0" w:color="BEBEBE"/>
            </w:tcBorders>
          </w:tcPr>
          <w:p w14:paraId="0E84FBB0" w14:textId="77777777" w:rsidR="00BC24A8" w:rsidRDefault="00000000">
            <w:pPr>
              <w:pStyle w:val="TableParagraph"/>
              <w:spacing w:before="56"/>
              <w:ind w:right="2"/>
              <w:jc w:val="center"/>
              <w:rPr>
                <w:sz w:val="18"/>
              </w:rPr>
            </w:pPr>
            <w:r>
              <w:rPr>
                <w:spacing w:val="-10"/>
                <w:sz w:val="18"/>
              </w:rPr>
              <w:t>9</w:t>
            </w:r>
          </w:p>
        </w:tc>
      </w:tr>
      <w:tr w:rsidR="00BC24A8" w14:paraId="42416572" w14:textId="77777777">
        <w:trPr>
          <w:trHeight w:val="333"/>
        </w:trPr>
        <w:tc>
          <w:tcPr>
            <w:tcW w:w="1379" w:type="dxa"/>
            <w:tcBorders>
              <w:top w:val="single" w:sz="4" w:space="0" w:color="BEBEBE"/>
              <w:bottom w:val="single" w:sz="4" w:space="0" w:color="BEBEBE"/>
            </w:tcBorders>
          </w:tcPr>
          <w:p w14:paraId="1DE70D89" w14:textId="77777777" w:rsidR="00BC24A8" w:rsidRDefault="00000000">
            <w:pPr>
              <w:pStyle w:val="TableParagraph"/>
              <w:spacing w:before="56"/>
              <w:ind w:left="107"/>
              <w:rPr>
                <w:sz w:val="18"/>
              </w:rPr>
            </w:pPr>
            <w:r>
              <w:rPr>
                <w:spacing w:val="-5"/>
                <w:sz w:val="18"/>
              </w:rPr>
              <w:t>DNA</w:t>
            </w:r>
          </w:p>
        </w:tc>
        <w:tc>
          <w:tcPr>
            <w:tcW w:w="1861" w:type="dxa"/>
            <w:tcBorders>
              <w:top w:val="single" w:sz="4" w:space="0" w:color="BEBEBE"/>
              <w:bottom w:val="single" w:sz="4" w:space="0" w:color="BEBEBE"/>
            </w:tcBorders>
          </w:tcPr>
          <w:p w14:paraId="43FF058E" w14:textId="77777777" w:rsidR="00BC24A8" w:rsidRDefault="00000000">
            <w:pPr>
              <w:pStyle w:val="TableParagraph"/>
              <w:spacing w:before="56"/>
              <w:ind w:right="13"/>
              <w:jc w:val="center"/>
              <w:rPr>
                <w:sz w:val="18"/>
              </w:rPr>
            </w:pPr>
            <w:r>
              <w:rPr>
                <w:spacing w:val="-5"/>
                <w:sz w:val="18"/>
              </w:rPr>
              <w:t>10</w:t>
            </w:r>
          </w:p>
        </w:tc>
        <w:tc>
          <w:tcPr>
            <w:tcW w:w="1711" w:type="dxa"/>
            <w:tcBorders>
              <w:top w:val="single" w:sz="4" w:space="0" w:color="BEBEBE"/>
              <w:bottom w:val="single" w:sz="4" w:space="0" w:color="BEBEBE"/>
            </w:tcBorders>
          </w:tcPr>
          <w:p w14:paraId="2984E8B0" w14:textId="77777777" w:rsidR="00BC24A8" w:rsidRDefault="00000000">
            <w:pPr>
              <w:pStyle w:val="TableParagraph"/>
              <w:spacing w:before="56"/>
              <w:ind w:left="7" w:right="7"/>
              <w:jc w:val="center"/>
              <w:rPr>
                <w:sz w:val="18"/>
              </w:rPr>
            </w:pPr>
            <w:r>
              <w:rPr>
                <w:spacing w:val="-10"/>
                <w:sz w:val="18"/>
              </w:rPr>
              <w:t>1</w:t>
            </w:r>
          </w:p>
        </w:tc>
        <w:tc>
          <w:tcPr>
            <w:tcW w:w="1529" w:type="dxa"/>
            <w:tcBorders>
              <w:top w:val="single" w:sz="4" w:space="0" w:color="BEBEBE"/>
              <w:bottom w:val="single" w:sz="4" w:space="0" w:color="BEBEBE"/>
            </w:tcBorders>
          </w:tcPr>
          <w:p w14:paraId="6ADF6214" w14:textId="77777777" w:rsidR="00BC24A8" w:rsidRDefault="00000000">
            <w:pPr>
              <w:pStyle w:val="TableParagraph"/>
              <w:spacing w:before="56"/>
              <w:ind w:right="4"/>
              <w:jc w:val="center"/>
              <w:rPr>
                <w:sz w:val="18"/>
              </w:rPr>
            </w:pPr>
            <w:r>
              <w:rPr>
                <w:spacing w:val="-10"/>
                <w:sz w:val="18"/>
              </w:rPr>
              <w:t>1</w:t>
            </w:r>
          </w:p>
        </w:tc>
        <w:tc>
          <w:tcPr>
            <w:tcW w:w="2611" w:type="dxa"/>
            <w:tcBorders>
              <w:top w:val="single" w:sz="4" w:space="0" w:color="BEBEBE"/>
              <w:bottom w:val="single" w:sz="4" w:space="0" w:color="BEBEBE"/>
            </w:tcBorders>
          </w:tcPr>
          <w:p w14:paraId="16C297AC" w14:textId="77777777" w:rsidR="00BC24A8" w:rsidRDefault="00000000">
            <w:pPr>
              <w:pStyle w:val="TableParagraph"/>
              <w:spacing w:before="56"/>
              <w:ind w:right="2"/>
              <w:jc w:val="center"/>
              <w:rPr>
                <w:sz w:val="18"/>
              </w:rPr>
            </w:pPr>
            <w:r>
              <w:rPr>
                <w:spacing w:val="-5"/>
                <w:sz w:val="18"/>
              </w:rPr>
              <w:t>12</w:t>
            </w:r>
          </w:p>
        </w:tc>
      </w:tr>
      <w:tr w:rsidR="00BC24A8" w14:paraId="2ADF5640" w14:textId="77777777">
        <w:trPr>
          <w:trHeight w:val="333"/>
        </w:trPr>
        <w:tc>
          <w:tcPr>
            <w:tcW w:w="1379" w:type="dxa"/>
            <w:tcBorders>
              <w:top w:val="single" w:sz="4" w:space="0" w:color="BEBEBE"/>
              <w:bottom w:val="single" w:sz="4" w:space="0" w:color="BEBEBE"/>
            </w:tcBorders>
          </w:tcPr>
          <w:p w14:paraId="61DD9696" w14:textId="77777777" w:rsidR="00BC24A8" w:rsidRDefault="00000000">
            <w:pPr>
              <w:pStyle w:val="TableParagraph"/>
              <w:spacing w:before="59"/>
              <w:ind w:left="107"/>
              <w:rPr>
                <w:sz w:val="18"/>
              </w:rPr>
            </w:pPr>
            <w:r>
              <w:rPr>
                <w:spacing w:val="-2"/>
                <w:sz w:val="18"/>
              </w:rPr>
              <w:t>GEDSI</w:t>
            </w:r>
          </w:p>
        </w:tc>
        <w:tc>
          <w:tcPr>
            <w:tcW w:w="1861" w:type="dxa"/>
            <w:tcBorders>
              <w:top w:val="single" w:sz="4" w:space="0" w:color="BEBEBE"/>
              <w:bottom w:val="single" w:sz="4" w:space="0" w:color="BEBEBE"/>
            </w:tcBorders>
          </w:tcPr>
          <w:p w14:paraId="0CE6DFF9" w14:textId="77777777" w:rsidR="00BC24A8" w:rsidRDefault="00000000">
            <w:pPr>
              <w:pStyle w:val="TableParagraph"/>
              <w:spacing w:before="59"/>
              <w:ind w:right="13"/>
              <w:jc w:val="center"/>
              <w:rPr>
                <w:sz w:val="18"/>
              </w:rPr>
            </w:pPr>
            <w:r>
              <w:rPr>
                <w:spacing w:val="-10"/>
                <w:sz w:val="18"/>
              </w:rPr>
              <w:t>6</w:t>
            </w:r>
          </w:p>
        </w:tc>
        <w:tc>
          <w:tcPr>
            <w:tcW w:w="1711" w:type="dxa"/>
            <w:tcBorders>
              <w:top w:val="single" w:sz="4" w:space="0" w:color="BEBEBE"/>
              <w:bottom w:val="single" w:sz="4" w:space="0" w:color="BEBEBE"/>
            </w:tcBorders>
          </w:tcPr>
          <w:p w14:paraId="102B0104" w14:textId="77777777" w:rsidR="00BC24A8" w:rsidRDefault="00000000">
            <w:pPr>
              <w:pStyle w:val="TableParagraph"/>
              <w:spacing w:before="59"/>
              <w:ind w:left="7" w:right="9"/>
              <w:jc w:val="center"/>
              <w:rPr>
                <w:sz w:val="18"/>
              </w:rPr>
            </w:pPr>
            <w:r>
              <w:rPr>
                <w:spacing w:val="-10"/>
                <w:sz w:val="18"/>
              </w:rPr>
              <w:t>-</w:t>
            </w:r>
          </w:p>
        </w:tc>
        <w:tc>
          <w:tcPr>
            <w:tcW w:w="1529" w:type="dxa"/>
            <w:tcBorders>
              <w:top w:val="single" w:sz="4" w:space="0" w:color="BEBEBE"/>
              <w:bottom w:val="single" w:sz="4" w:space="0" w:color="BEBEBE"/>
            </w:tcBorders>
          </w:tcPr>
          <w:p w14:paraId="5CD2BAB6" w14:textId="77777777" w:rsidR="00BC24A8" w:rsidRDefault="00000000">
            <w:pPr>
              <w:pStyle w:val="TableParagraph"/>
              <w:spacing w:before="59"/>
              <w:ind w:right="4"/>
              <w:jc w:val="center"/>
              <w:rPr>
                <w:sz w:val="18"/>
              </w:rPr>
            </w:pPr>
            <w:r>
              <w:rPr>
                <w:spacing w:val="-10"/>
                <w:sz w:val="18"/>
              </w:rPr>
              <w:t>1</w:t>
            </w:r>
          </w:p>
        </w:tc>
        <w:tc>
          <w:tcPr>
            <w:tcW w:w="2611" w:type="dxa"/>
            <w:tcBorders>
              <w:top w:val="single" w:sz="4" w:space="0" w:color="BEBEBE"/>
              <w:bottom w:val="single" w:sz="4" w:space="0" w:color="BEBEBE"/>
            </w:tcBorders>
          </w:tcPr>
          <w:p w14:paraId="1B51C42B" w14:textId="77777777" w:rsidR="00BC24A8" w:rsidRDefault="00000000">
            <w:pPr>
              <w:pStyle w:val="TableParagraph"/>
              <w:spacing w:before="59"/>
              <w:ind w:right="2"/>
              <w:jc w:val="center"/>
              <w:rPr>
                <w:sz w:val="18"/>
              </w:rPr>
            </w:pPr>
            <w:r>
              <w:rPr>
                <w:spacing w:val="-10"/>
                <w:sz w:val="18"/>
              </w:rPr>
              <w:t>7</w:t>
            </w:r>
          </w:p>
        </w:tc>
      </w:tr>
      <w:tr w:rsidR="00BC24A8" w14:paraId="217C599A" w14:textId="77777777">
        <w:trPr>
          <w:trHeight w:val="379"/>
        </w:trPr>
        <w:tc>
          <w:tcPr>
            <w:tcW w:w="1379" w:type="dxa"/>
            <w:tcBorders>
              <w:top w:val="single" w:sz="4" w:space="0" w:color="BEBEBE"/>
            </w:tcBorders>
          </w:tcPr>
          <w:p w14:paraId="54FCAAAB" w14:textId="77777777" w:rsidR="00BC24A8" w:rsidRDefault="00000000">
            <w:pPr>
              <w:pStyle w:val="TableParagraph"/>
              <w:spacing w:before="59"/>
              <w:ind w:left="107"/>
              <w:rPr>
                <w:sz w:val="18"/>
              </w:rPr>
            </w:pPr>
            <w:r>
              <w:rPr>
                <w:sz w:val="18"/>
              </w:rPr>
              <w:t>Cross</w:t>
            </w:r>
            <w:r>
              <w:rPr>
                <w:spacing w:val="-2"/>
                <w:sz w:val="18"/>
              </w:rPr>
              <w:t xml:space="preserve"> </w:t>
            </w:r>
            <w:r>
              <w:rPr>
                <w:spacing w:val="-5"/>
                <w:sz w:val="18"/>
              </w:rPr>
              <w:t>TAP</w:t>
            </w:r>
          </w:p>
        </w:tc>
        <w:tc>
          <w:tcPr>
            <w:tcW w:w="1861" w:type="dxa"/>
            <w:tcBorders>
              <w:top w:val="single" w:sz="4" w:space="0" w:color="BEBEBE"/>
            </w:tcBorders>
          </w:tcPr>
          <w:p w14:paraId="7C2C3EA7" w14:textId="77777777" w:rsidR="00BC24A8" w:rsidRDefault="00000000">
            <w:pPr>
              <w:pStyle w:val="TableParagraph"/>
              <w:spacing w:before="59"/>
              <w:ind w:right="13"/>
              <w:jc w:val="center"/>
              <w:rPr>
                <w:sz w:val="18"/>
              </w:rPr>
            </w:pPr>
            <w:r>
              <w:rPr>
                <w:spacing w:val="-10"/>
                <w:sz w:val="18"/>
              </w:rPr>
              <w:t>1</w:t>
            </w:r>
          </w:p>
        </w:tc>
        <w:tc>
          <w:tcPr>
            <w:tcW w:w="1711" w:type="dxa"/>
            <w:tcBorders>
              <w:top w:val="single" w:sz="4" w:space="0" w:color="BEBEBE"/>
            </w:tcBorders>
          </w:tcPr>
          <w:p w14:paraId="486C9962" w14:textId="77777777" w:rsidR="00BC24A8" w:rsidRDefault="00000000">
            <w:pPr>
              <w:pStyle w:val="TableParagraph"/>
              <w:spacing w:before="59"/>
              <w:ind w:left="7" w:right="9"/>
              <w:jc w:val="center"/>
              <w:rPr>
                <w:sz w:val="18"/>
              </w:rPr>
            </w:pPr>
            <w:r>
              <w:rPr>
                <w:spacing w:val="-10"/>
                <w:sz w:val="18"/>
              </w:rPr>
              <w:t>-</w:t>
            </w:r>
          </w:p>
        </w:tc>
        <w:tc>
          <w:tcPr>
            <w:tcW w:w="1529" w:type="dxa"/>
            <w:tcBorders>
              <w:top w:val="single" w:sz="4" w:space="0" w:color="BEBEBE"/>
            </w:tcBorders>
          </w:tcPr>
          <w:p w14:paraId="0945233D" w14:textId="77777777" w:rsidR="00BC24A8" w:rsidRDefault="00000000">
            <w:pPr>
              <w:pStyle w:val="TableParagraph"/>
              <w:spacing w:before="59"/>
              <w:ind w:left="2" w:right="4"/>
              <w:jc w:val="center"/>
              <w:rPr>
                <w:sz w:val="18"/>
              </w:rPr>
            </w:pPr>
            <w:r>
              <w:rPr>
                <w:spacing w:val="-10"/>
                <w:sz w:val="18"/>
              </w:rPr>
              <w:t>-</w:t>
            </w:r>
          </w:p>
        </w:tc>
        <w:tc>
          <w:tcPr>
            <w:tcW w:w="2611" w:type="dxa"/>
            <w:tcBorders>
              <w:top w:val="single" w:sz="4" w:space="0" w:color="BEBEBE"/>
            </w:tcBorders>
          </w:tcPr>
          <w:p w14:paraId="3C659E72" w14:textId="77777777" w:rsidR="00BC24A8" w:rsidRDefault="00000000">
            <w:pPr>
              <w:pStyle w:val="TableParagraph"/>
              <w:spacing w:before="59"/>
              <w:ind w:right="2"/>
              <w:jc w:val="center"/>
              <w:rPr>
                <w:sz w:val="18"/>
              </w:rPr>
            </w:pPr>
            <w:r>
              <w:rPr>
                <w:spacing w:val="-10"/>
                <w:sz w:val="18"/>
              </w:rPr>
              <w:t>1</w:t>
            </w:r>
          </w:p>
        </w:tc>
      </w:tr>
      <w:tr w:rsidR="00BC24A8" w14:paraId="027F6848" w14:textId="77777777">
        <w:trPr>
          <w:trHeight w:val="333"/>
        </w:trPr>
        <w:tc>
          <w:tcPr>
            <w:tcW w:w="1379" w:type="dxa"/>
            <w:vMerge w:val="restart"/>
            <w:tcBorders>
              <w:bottom w:val="single" w:sz="4" w:space="0" w:color="BEBEBE"/>
              <w:right w:val="single" w:sz="18" w:space="0" w:color="FFFFFF"/>
            </w:tcBorders>
            <w:shd w:val="clear" w:color="auto" w:fill="A7A9AC"/>
          </w:tcPr>
          <w:p w14:paraId="3A8628C9" w14:textId="77777777" w:rsidR="00BC24A8" w:rsidRDefault="00BC24A8">
            <w:pPr>
              <w:pStyle w:val="TableParagraph"/>
              <w:spacing w:before="36"/>
              <w:rPr>
                <w:rFonts w:ascii="Calibri"/>
                <w:b/>
                <w:sz w:val="18"/>
              </w:rPr>
            </w:pPr>
          </w:p>
          <w:p w14:paraId="47D77791" w14:textId="77777777" w:rsidR="00BC24A8" w:rsidRDefault="00000000">
            <w:pPr>
              <w:pStyle w:val="TableParagraph"/>
              <w:ind w:left="107"/>
              <w:rPr>
                <w:sz w:val="18"/>
              </w:rPr>
            </w:pPr>
            <w:r w:rsidRPr="00795364">
              <w:rPr>
                <w:color w:val="000000"/>
                <w:spacing w:val="-2"/>
                <w:sz w:val="18"/>
              </w:rPr>
              <w:t>Total</w:t>
            </w:r>
          </w:p>
        </w:tc>
        <w:tc>
          <w:tcPr>
            <w:tcW w:w="1861" w:type="dxa"/>
            <w:tcBorders>
              <w:left w:val="single" w:sz="18" w:space="0" w:color="FFFFFF"/>
              <w:bottom w:val="single" w:sz="18" w:space="0" w:color="FFFFFF"/>
              <w:right w:val="single" w:sz="18" w:space="0" w:color="FFFFFF"/>
            </w:tcBorders>
            <w:shd w:val="clear" w:color="auto" w:fill="A7A9AC"/>
          </w:tcPr>
          <w:p w14:paraId="3012D9A2" w14:textId="77777777" w:rsidR="00BC24A8" w:rsidRDefault="00000000">
            <w:pPr>
              <w:pStyle w:val="TableParagraph"/>
              <w:spacing w:before="59"/>
              <w:ind w:left="3" w:right="16"/>
              <w:jc w:val="center"/>
              <w:rPr>
                <w:sz w:val="18"/>
              </w:rPr>
            </w:pPr>
            <w:r w:rsidRPr="00795364">
              <w:rPr>
                <w:color w:val="000000"/>
                <w:spacing w:val="-5"/>
                <w:sz w:val="18"/>
              </w:rPr>
              <w:t>41</w:t>
            </w:r>
          </w:p>
        </w:tc>
        <w:tc>
          <w:tcPr>
            <w:tcW w:w="1711" w:type="dxa"/>
            <w:tcBorders>
              <w:left w:val="single" w:sz="18" w:space="0" w:color="FFFFFF"/>
              <w:bottom w:val="single" w:sz="18" w:space="0" w:color="FFFFFF"/>
              <w:right w:val="single" w:sz="18" w:space="0" w:color="FFFFFF"/>
            </w:tcBorders>
            <w:shd w:val="clear" w:color="auto" w:fill="A7A9AC"/>
          </w:tcPr>
          <w:p w14:paraId="5E33DB2A" w14:textId="77777777" w:rsidR="00BC24A8" w:rsidRDefault="00000000">
            <w:pPr>
              <w:pStyle w:val="TableParagraph"/>
              <w:spacing w:before="59"/>
              <w:jc w:val="center"/>
              <w:rPr>
                <w:sz w:val="18"/>
              </w:rPr>
            </w:pPr>
            <w:r w:rsidRPr="00795364">
              <w:rPr>
                <w:color w:val="000000"/>
                <w:spacing w:val="-10"/>
                <w:sz w:val="18"/>
              </w:rPr>
              <w:t>1</w:t>
            </w:r>
          </w:p>
        </w:tc>
        <w:tc>
          <w:tcPr>
            <w:tcW w:w="1529" w:type="dxa"/>
            <w:tcBorders>
              <w:left w:val="single" w:sz="18" w:space="0" w:color="FFFFFF"/>
              <w:bottom w:val="single" w:sz="18" w:space="0" w:color="FFFFFF"/>
              <w:right w:val="single" w:sz="18" w:space="0" w:color="FFFFFF"/>
            </w:tcBorders>
            <w:shd w:val="clear" w:color="auto" w:fill="A7A9AC"/>
          </w:tcPr>
          <w:p w14:paraId="066BC6C2" w14:textId="77777777" w:rsidR="00BC24A8" w:rsidRDefault="00000000">
            <w:pPr>
              <w:pStyle w:val="TableParagraph"/>
              <w:spacing w:before="59"/>
              <w:ind w:left="1" w:right="5"/>
              <w:jc w:val="center"/>
              <w:rPr>
                <w:sz w:val="18"/>
              </w:rPr>
            </w:pPr>
            <w:r w:rsidRPr="00795364">
              <w:rPr>
                <w:color w:val="000000"/>
                <w:spacing w:val="-10"/>
                <w:sz w:val="18"/>
              </w:rPr>
              <w:t>6</w:t>
            </w:r>
          </w:p>
        </w:tc>
        <w:tc>
          <w:tcPr>
            <w:tcW w:w="2611" w:type="dxa"/>
            <w:tcBorders>
              <w:left w:val="single" w:sz="18" w:space="0" w:color="FFFFFF"/>
              <w:bottom w:val="single" w:sz="18" w:space="0" w:color="FFFFFF"/>
            </w:tcBorders>
            <w:shd w:val="clear" w:color="auto" w:fill="A7A9AC"/>
          </w:tcPr>
          <w:p w14:paraId="6FB4B48D" w14:textId="77777777" w:rsidR="00BC24A8" w:rsidRDefault="00000000">
            <w:pPr>
              <w:pStyle w:val="TableParagraph"/>
              <w:spacing w:before="59"/>
              <w:ind w:right="24"/>
              <w:jc w:val="center"/>
              <w:rPr>
                <w:sz w:val="18"/>
              </w:rPr>
            </w:pPr>
            <w:r w:rsidRPr="00795364">
              <w:rPr>
                <w:color w:val="000000"/>
                <w:spacing w:val="-5"/>
                <w:sz w:val="18"/>
              </w:rPr>
              <w:t>48</w:t>
            </w:r>
          </w:p>
        </w:tc>
      </w:tr>
      <w:tr w:rsidR="00BC24A8" w14:paraId="3665A812" w14:textId="77777777">
        <w:trPr>
          <w:trHeight w:val="352"/>
        </w:trPr>
        <w:tc>
          <w:tcPr>
            <w:tcW w:w="1379" w:type="dxa"/>
            <w:vMerge/>
            <w:tcBorders>
              <w:top w:val="nil"/>
              <w:bottom w:val="single" w:sz="4" w:space="0" w:color="BEBEBE"/>
              <w:right w:val="single" w:sz="18" w:space="0" w:color="FFFFFF"/>
            </w:tcBorders>
            <w:shd w:val="clear" w:color="auto" w:fill="A7A9AC"/>
          </w:tcPr>
          <w:p w14:paraId="6CD04ABA" w14:textId="77777777" w:rsidR="00BC24A8" w:rsidRDefault="00BC24A8">
            <w:pPr>
              <w:rPr>
                <w:sz w:val="2"/>
                <w:szCs w:val="2"/>
              </w:rPr>
            </w:pPr>
          </w:p>
        </w:tc>
        <w:tc>
          <w:tcPr>
            <w:tcW w:w="1861" w:type="dxa"/>
            <w:tcBorders>
              <w:top w:val="single" w:sz="18" w:space="0" w:color="FFFFFF"/>
              <w:left w:val="single" w:sz="18" w:space="0" w:color="FFFFFF"/>
              <w:bottom w:val="single" w:sz="4" w:space="0" w:color="BEBEBE"/>
              <w:right w:val="single" w:sz="18" w:space="0" w:color="FFFFFF"/>
            </w:tcBorders>
            <w:shd w:val="clear" w:color="auto" w:fill="A7A9AC"/>
          </w:tcPr>
          <w:p w14:paraId="0DCFA0BC" w14:textId="77777777" w:rsidR="00BC24A8" w:rsidRDefault="00000000">
            <w:pPr>
              <w:pStyle w:val="TableParagraph"/>
              <w:spacing w:before="59"/>
              <w:ind w:right="16"/>
              <w:jc w:val="center"/>
              <w:rPr>
                <w:rFonts w:ascii="Trebuchet MS"/>
                <w:b/>
                <w:sz w:val="18"/>
              </w:rPr>
            </w:pPr>
            <w:r w:rsidRPr="00795364">
              <w:rPr>
                <w:rFonts w:ascii="Trebuchet MS"/>
                <w:b/>
                <w:color w:val="000000"/>
                <w:spacing w:val="-5"/>
                <w:sz w:val="18"/>
              </w:rPr>
              <w:t>85%</w:t>
            </w:r>
          </w:p>
        </w:tc>
        <w:tc>
          <w:tcPr>
            <w:tcW w:w="1711" w:type="dxa"/>
            <w:tcBorders>
              <w:top w:val="single" w:sz="18" w:space="0" w:color="FFFFFF"/>
              <w:left w:val="single" w:sz="18" w:space="0" w:color="FFFFFF"/>
              <w:bottom w:val="single" w:sz="4" w:space="0" w:color="BEBEBE"/>
              <w:right w:val="single" w:sz="18" w:space="0" w:color="FFFFFF"/>
            </w:tcBorders>
            <w:shd w:val="clear" w:color="auto" w:fill="A7A9AC"/>
          </w:tcPr>
          <w:p w14:paraId="71560AB6" w14:textId="77777777" w:rsidR="00BC24A8" w:rsidRDefault="00000000">
            <w:pPr>
              <w:pStyle w:val="TableParagraph"/>
              <w:spacing w:before="59"/>
              <w:jc w:val="center"/>
              <w:rPr>
                <w:rFonts w:ascii="Trebuchet MS"/>
                <w:b/>
                <w:sz w:val="18"/>
              </w:rPr>
            </w:pPr>
            <w:r w:rsidRPr="00795364">
              <w:rPr>
                <w:rFonts w:ascii="Trebuchet MS"/>
                <w:b/>
                <w:color w:val="000000"/>
                <w:spacing w:val="-4"/>
                <w:sz w:val="18"/>
              </w:rPr>
              <w:t>2.1%</w:t>
            </w:r>
          </w:p>
        </w:tc>
        <w:tc>
          <w:tcPr>
            <w:tcW w:w="1529" w:type="dxa"/>
            <w:tcBorders>
              <w:top w:val="single" w:sz="18" w:space="0" w:color="FFFFFF"/>
              <w:left w:val="single" w:sz="18" w:space="0" w:color="FFFFFF"/>
              <w:bottom w:val="single" w:sz="4" w:space="0" w:color="BEBEBE"/>
              <w:right w:val="single" w:sz="18" w:space="0" w:color="FFFFFF"/>
            </w:tcBorders>
            <w:shd w:val="clear" w:color="auto" w:fill="A7A9AC"/>
          </w:tcPr>
          <w:p w14:paraId="0CE5CDB9" w14:textId="77777777" w:rsidR="00BC24A8" w:rsidRDefault="00000000">
            <w:pPr>
              <w:pStyle w:val="TableParagraph"/>
              <w:spacing w:before="59"/>
              <w:ind w:right="5"/>
              <w:jc w:val="center"/>
              <w:rPr>
                <w:rFonts w:ascii="Trebuchet MS"/>
                <w:b/>
                <w:sz w:val="18"/>
              </w:rPr>
            </w:pPr>
            <w:r w:rsidRPr="00795364">
              <w:rPr>
                <w:rFonts w:ascii="Trebuchet MS"/>
                <w:b/>
                <w:color w:val="000000"/>
                <w:spacing w:val="-2"/>
                <w:sz w:val="18"/>
              </w:rPr>
              <w:t>12.5%</w:t>
            </w:r>
          </w:p>
        </w:tc>
        <w:tc>
          <w:tcPr>
            <w:tcW w:w="2611" w:type="dxa"/>
            <w:tcBorders>
              <w:top w:val="single" w:sz="18" w:space="0" w:color="FFFFFF"/>
              <w:left w:val="single" w:sz="18" w:space="0" w:color="FFFFFF"/>
              <w:bottom w:val="single" w:sz="4" w:space="0" w:color="BEBEBE"/>
            </w:tcBorders>
            <w:shd w:val="clear" w:color="auto" w:fill="A7A9AC"/>
          </w:tcPr>
          <w:p w14:paraId="6711F15F" w14:textId="77777777" w:rsidR="00BC24A8" w:rsidRDefault="00000000">
            <w:pPr>
              <w:pStyle w:val="TableParagraph"/>
              <w:spacing w:before="66"/>
              <w:ind w:left="2" w:right="24"/>
              <w:jc w:val="center"/>
              <w:rPr>
                <w:rFonts w:ascii="Trebuchet MS"/>
                <w:b/>
                <w:sz w:val="18"/>
              </w:rPr>
            </w:pPr>
            <w:r w:rsidRPr="00795364">
              <w:rPr>
                <w:rFonts w:ascii="Trebuchet MS"/>
                <w:b/>
                <w:color w:val="000000"/>
                <w:spacing w:val="-4"/>
                <w:sz w:val="18"/>
              </w:rPr>
              <w:t>100%</w:t>
            </w:r>
          </w:p>
        </w:tc>
      </w:tr>
    </w:tbl>
    <w:p w14:paraId="74ED9D37" w14:textId="77777777" w:rsidR="00BC24A8" w:rsidRDefault="00000000">
      <w:pPr>
        <w:spacing w:before="7"/>
        <w:ind w:left="143"/>
        <w:jc w:val="both"/>
        <w:rPr>
          <w:sz w:val="16"/>
        </w:rPr>
      </w:pPr>
      <w:r>
        <w:rPr>
          <w:sz w:val="16"/>
        </w:rPr>
        <w:t>Data</w:t>
      </w:r>
      <w:r>
        <w:rPr>
          <w:spacing w:val="-3"/>
          <w:sz w:val="16"/>
        </w:rPr>
        <w:t xml:space="preserve"> </w:t>
      </w:r>
      <w:r>
        <w:rPr>
          <w:sz w:val="16"/>
        </w:rPr>
        <w:t>Source:</w:t>
      </w:r>
      <w:r>
        <w:rPr>
          <w:spacing w:val="-3"/>
          <w:sz w:val="16"/>
        </w:rPr>
        <w:t xml:space="preserve"> </w:t>
      </w:r>
      <w:r>
        <w:rPr>
          <w:sz w:val="16"/>
        </w:rPr>
        <w:t>SKALA</w:t>
      </w:r>
      <w:r>
        <w:rPr>
          <w:spacing w:val="-4"/>
          <w:sz w:val="16"/>
        </w:rPr>
        <w:t xml:space="preserve"> </w:t>
      </w:r>
      <w:r>
        <w:rPr>
          <w:sz w:val="16"/>
        </w:rPr>
        <w:t>MIS</w:t>
      </w:r>
      <w:r>
        <w:rPr>
          <w:spacing w:val="-4"/>
          <w:sz w:val="16"/>
        </w:rPr>
        <w:t xml:space="preserve"> </w:t>
      </w:r>
      <w:r>
        <w:rPr>
          <w:sz w:val="16"/>
        </w:rPr>
        <w:t>as</w:t>
      </w:r>
      <w:r>
        <w:rPr>
          <w:spacing w:val="-3"/>
          <w:sz w:val="16"/>
        </w:rPr>
        <w:t xml:space="preserve"> </w:t>
      </w:r>
      <w:r>
        <w:rPr>
          <w:sz w:val="16"/>
        </w:rPr>
        <w:t>of</w:t>
      </w:r>
      <w:r>
        <w:rPr>
          <w:spacing w:val="-5"/>
          <w:sz w:val="16"/>
        </w:rPr>
        <w:t xml:space="preserve"> </w:t>
      </w:r>
      <w:r>
        <w:rPr>
          <w:sz w:val="16"/>
        </w:rPr>
        <w:t>August</w:t>
      </w:r>
      <w:r>
        <w:rPr>
          <w:spacing w:val="-6"/>
          <w:sz w:val="16"/>
        </w:rPr>
        <w:t xml:space="preserve"> </w:t>
      </w:r>
      <w:r>
        <w:rPr>
          <w:sz w:val="16"/>
        </w:rPr>
        <w:t>6,</w:t>
      </w:r>
      <w:r>
        <w:rPr>
          <w:spacing w:val="-4"/>
          <w:sz w:val="16"/>
        </w:rPr>
        <w:t xml:space="preserve"> </w:t>
      </w:r>
      <w:r>
        <w:rPr>
          <w:sz w:val="16"/>
        </w:rPr>
        <w:t>2025,</w:t>
      </w:r>
      <w:r>
        <w:rPr>
          <w:spacing w:val="-5"/>
          <w:sz w:val="16"/>
        </w:rPr>
        <w:t xml:space="preserve"> </w:t>
      </w:r>
      <w:r>
        <w:rPr>
          <w:sz w:val="16"/>
        </w:rPr>
        <w:t>09:20</w:t>
      </w:r>
      <w:r>
        <w:rPr>
          <w:spacing w:val="-3"/>
          <w:sz w:val="16"/>
        </w:rPr>
        <w:t xml:space="preserve"> </w:t>
      </w:r>
      <w:r>
        <w:rPr>
          <w:spacing w:val="-4"/>
          <w:sz w:val="16"/>
        </w:rPr>
        <w:t>WITA.</w:t>
      </w:r>
    </w:p>
    <w:p w14:paraId="5AB54FA6" w14:textId="77777777" w:rsidR="00BC24A8" w:rsidRDefault="00BC24A8">
      <w:pPr>
        <w:pStyle w:val="BodyText"/>
        <w:rPr>
          <w:sz w:val="20"/>
        </w:rPr>
      </w:pPr>
    </w:p>
    <w:p w14:paraId="78BD7921" w14:textId="77777777" w:rsidR="00BC24A8" w:rsidRDefault="00000000">
      <w:pPr>
        <w:pStyle w:val="BodyText"/>
        <w:spacing w:before="229"/>
        <w:rPr>
          <w:sz w:val="20"/>
        </w:rPr>
      </w:pPr>
      <w:r>
        <w:rPr>
          <w:noProof/>
          <w:sz w:val="20"/>
        </w:rPr>
        <mc:AlternateContent>
          <mc:Choice Requires="wps">
            <w:drawing>
              <wp:anchor distT="0" distB="0" distL="0" distR="0" simplePos="0" relativeHeight="487610368" behindDoc="1" locked="0" layoutInCell="1" allowOverlap="1" wp14:anchorId="0BD0D263" wp14:editId="4625250F">
                <wp:simplePos x="0" y="0"/>
                <wp:positionH relativeFrom="page">
                  <wp:posOffset>900683</wp:posOffset>
                </wp:positionH>
                <wp:positionV relativeFrom="paragraph">
                  <wp:posOffset>316196</wp:posOffset>
                </wp:positionV>
                <wp:extent cx="1828800" cy="9525"/>
                <wp:effectExtent l="0" t="0" r="0" b="0"/>
                <wp:wrapTopAndBottom/>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4D616" id="Graphic 103" o:spid="_x0000_s1026" alt="&quot;&quot;" style="position:absolute;margin-left:70.9pt;margin-top:24.9pt;width:2in;height:.7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" path="m1828800,l,,,9144r1828800,l1828800,xe" fillcolor="black" stroked="f">
                <v:path arrowok="t"/>
                <w10:wrap type="topAndBottom" anchorx="page"/>
              </v:shape>
            </w:pict>
          </mc:Fallback>
        </mc:AlternateContent>
      </w:r>
    </w:p>
    <w:p w14:paraId="17DCE16D" w14:textId="77777777" w:rsidR="00BC24A8" w:rsidRDefault="00BC24A8">
      <w:pPr>
        <w:pStyle w:val="BodyText"/>
        <w:spacing w:before="105"/>
        <w:rPr>
          <w:sz w:val="16"/>
        </w:rPr>
      </w:pPr>
    </w:p>
    <w:p w14:paraId="0FC0BE95" w14:textId="77777777" w:rsidR="00BC24A8" w:rsidRDefault="00000000">
      <w:pPr>
        <w:spacing w:before="1"/>
        <w:ind w:left="143" w:right="662" w:hanging="1"/>
        <w:rPr>
          <w:sz w:val="16"/>
        </w:rPr>
      </w:pPr>
      <w:bookmarkStart w:id="163" w:name="_bookmark110"/>
      <w:bookmarkEnd w:id="163"/>
      <w:r>
        <w:rPr>
          <w:color w:val="767070"/>
          <w:sz w:val="16"/>
          <w:vertAlign w:val="superscript"/>
        </w:rPr>
        <w:t>48</w:t>
      </w:r>
      <w:r>
        <w:rPr>
          <w:color w:val="767070"/>
          <w:spacing w:val="-5"/>
          <w:sz w:val="16"/>
        </w:rPr>
        <w:t xml:space="preserve"> </w:t>
      </w:r>
      <w:r>
        <w:rPr>
          <w:color w:val="767070"/>
          <w:sz w:val="16"/>
        </w:rPr>
        <w:t>Person</w:t>
      </w:r>
      <w:r>
        <w:rPr>
          <w:color w:val="767070"/>
          <w:spacing w:val="-4"/>
          <w:sz w:val="16"/>
        </w:rPr>
        <w:t xml:space="preserve"> </w:t>
      </w:r>
      <w:r>
        <w:rPr>
          <w:color w:val="767070"/>
          <w:sz w:val="16"/>
        </w:rPr>
        <w:t>time</w:t>
      </w:r>
      <w:r>
        <w:rPr>
          <w:color w:val="767070"/>
          <w:spacing w:val="-5"/>
          <w:sz w:val="16"/>
        </w:rPr>
        <w:t xml:space="preserve"> </w:t>
      </w:r>
      <w:r>
        <w:rPr>
          <w:color w:val="767070"/>
          <w:sz w:val="16"/>
        </w:rPr>
        <w:t>refers</w:t>
      </w:r>
      <w:r>
        <w:rPr>
          <w:color w:val="767070"/>
          <w:spacing w:val="-4"/>
          <w:sz w:val="16"/>
        </w:rPr>
        <w:t xml:space="preserve"> </w:t>
      </w:r>
      <w:r>
        <w:rPr>
          <w:color w:val="767070"/>
          <w:sz w:val="16"/>
        </w:rPr>
        <w:t>to</w:t>
      </w:r>
      <w:r>
        <w:rPr>
          <w:color w:val="767070"/>
          <w:spacing w:val="-4"/>
          <w:sz w:val="16"/>
        </w:rPr>
        <w:t xml:space="preserve"> </w:t>
      </w:r>
      <w:r>
        <w:rPr>
          <w:color w:val="767070"/>
          <w:sz w:val="16"/>
        </w:rPr>
        <w:t>the</w:t>
      </w:r>
      <w:r>
        <w:rPr>
          <w:color w:val="767070"/>
          <w:spacing w:val="-5"/>
          <w:sz w:val="16"/>
        </w:rPr>
        <w:t xml:space="preserve"> </w:t>
      </w:r>
      <w:r>
        <w:rPr>
          <w:color w:val="767070"/>
          <w:sz w:val="16"/>
        </w:rPr>
        <w:t>total</w:t>
      </w:r>
      <w:r>
        <w:rPr>
          <w:color w:val="767070"/>
          <w:spacing w:val="-7"/>
          <w:sz w:val="16"/>
        </w:rPr>
        <w:t xml:space="preserve"> </w:t>
      </w:r>
      <w:r>
        <w:rPr>
          <w:color w:val="767070"/>
          <w:sz w:val="16"/>
        </w:rPr>
        <w:t>instances</w:t>
      </w:r>
      <w:r>
        <w:rPr>
          <w:color w:val="767070"/>
          <w:spacing w:val="-4"/>
          <w:sz w:val="16"/>
        </w:rPr>
        <w:t xml:space="preserve"> </w:t>
      </w:r>
      <w:r>
        <w:rPr>
          <w:color w:val="767070"/>
          <w:sz w:val="16"/>
        </w:rPr>
        <w:t>of</w:t>
      </w:r>
      <w:r>
        <w:rPr>
          <w:color w:val="767070"/>
          <w:spacing w:val="-5"/>
          <w:sz w:val="16"/>
        </w:rPr>
        <w:t xml:space="preserve"> </w:t>
      </w:r>
      <w:r>
        <w:rPr>
          <w:color w:val="767070"/>
          <w:sz w:val="16"/>
        </w:rPr>
        <w:t>participation;</w:t>
      </w:r>
      <w:r>
        <w:rPr>
          <w:color w:val="767070"/>
          <w:spacing w:val="-4"/>
          <w:sz w:val="16"/>
        </w:rPr>
        <w:t xml:space="preserve"> </w:t>
      </w:r>
      <w:r>
        <w:rPr>
          <w:color w:val="767070"/>
          <w:sz w:val="16"/>
        </w:rPr>
        <w:t>one</w:t>
      </w:r>
      <w:r>
        <w:rPr>
          <w:color w:val="767070"/>
          <w:spacing w:val="-7"/>
          <w:sz w:val="16"/>
        </w:rPr>
        <w:t xml:space="preserve"> </w:t>
      </w:r>
      <w:r>
        <w:rPr>
          <w:color w:val="767070"/>
          <w:sz w:val="16"/>
        </w:rPr>
        <w:t>individual</w:t>
      </w:r>
      <w:r>
        <w:rPr>
          <w:color w:val="767070"/>
          <w:spacing w:val="-4"/>
          <w:sz w:val="16"/>
        </w:rPr>
        <w:t xml:space="preserve"> </w:t>
      </w:r>
      <w:r>
        <w:rPr>
          <w:color w:val="767070"/>
          <w:sz w:val="16"/>
        </w:rPr>
        <w:t>may</w:t>
      </w:r>
      <w:r>
        <w:rPr>
          <w:color w:val="767070"/>
          <w:spacing w:val="-6"/>
          <w:sz w:val="16"/>
        </w:rPr>
        <w:t xml:space="preserve"> </w:t>
      </w:r>
      <w:r>
        <w:rPr>
          <w:color w:val="767070"/>
          <w:sz w:val="16"/>
        </w:rPr>
        <w:t>participate</w:t>
      </w:r>
      <w:r>
        <w:rPr>
          <w:color w:val="767070"/>
          <w:spacing w:val="-5"/>
          <w:sz w:val="16"/>
        </w:rPr>
        <w:t xml:space="preserve"> </w:t>
      </w:r>
      <w:r>
        <w:rPr>
          <w:color w:val="767070"/>
          <w:sz w:val="16"/>
        </w:rPr>
        <w:t>more</w:t>
      </w:r>
      <w:r>
        <w:rPr>
          <w:color w:val="767070"/>
          <w:spacing w:val="-5"/>
          <w:sz w:val="16"/>
        </w:rPr>
        <w:t xml:space="preserve"> </w:t>
      </w:r>
      <w:r>
        <w:rPr>
          <w:color w:val="767070"/>
          <w:sz w:val="16"/>
        </w:rPr>
        <w:t>than</w:t>
      </w:r>
      <w:r>
        <w:rPr>
          <w:color w:val="767070"/>
          <w:spacing w:val="-4"/>
          <w:sz w:val="16"/>
        </w:rPr>
        <w:t xml:space="preserve"> </w:t>
      </w:r>
      <w:r>
        <w:rPr>
          <w:color w:val="767070"/>
          <w:sz w:val="16"/>
        </w:rPr>
        <w:t>once</w:t>
      </w:r>
      <w:r>
        <w:rPr>
          <w:color w:val="767070"/>
          <w:spacing w:val="-5"/>
          <w:sz w:val="16"/>
        </w:rPr>
        <w:t xml:space="preserve"> </w:t>
      </w:r>
      <w:r>
        <w:rPr>
          <w:color w:val="767070"/>
          <w:sz w:val="16"/>
        </w:rPr>
        <w:t>in</w:t>
      </w:r>
      <w:r>
        <w:rPr>
          <w:color w:val="767070"/>
          <w:spacing w:val="-4"/>
          <w:sz w:val="16"/>
        </w:rPr>
        <w:t xml:space="preserve"> </w:t>
      </w:r>
      <w:r>
        <w:rPr>
          <w:color w:val="767070"/>
          <w:sz w:val="16"/>
        </w:rPr>
        <w:t>SKALA-supported</w:t>
      </w:r>
      <w:r>
        <w:rPr>
          <w:color w:val="767070"/>
          <w:spacing w:val="-4"/>
          <w:sz w:val="16"/>
        </w:rPr>
        <w:t xml:space="preserve"> </w:t>
      </w:r>
      <w:r>
        <w:rPr>
          <w:color w:val="767070"/>
          <w:sz w:val="16"/>
        </w:rPr>
        <w:t>activities.</w:t>
      </w:r>
      <w:r>
        <w:rPr>
          <w:color w:val="767070"/>
          <w:spacing w:val="40"/>
          <w:sz w:val="16"/>
        </w:rPr>
        <w:t xml:space="preserve"> </w:t>
      </w:r>
      <w:r>
        <w:rPr>
          <w:color w:val="767070"/>
          <w:sz w:val="16"/>
        </w:rPr>
        <w:t>Headcount refers to participants whose costs are covered by SKALA.</w:t>
      </w:r>
    </w:p>
    <w:p w14:paraId="705C2581" w14:textId="77777777" w:rsidR="00BC24A8" w:rsidRDefault="00BC24A8">
      <w:pPr>
        <w:rPr>
          <w:sz w:val="16"/>
        </w:rPr>
        <w:sectPr w:rsidR="00BC24A8">
          <w:pgSz w:w="11910" w:h="16840"/>
          <w:pgMar w:top="1360" w:right="850" w:bottom="1100" w:left="1275" w:header="0" w:footer="907" w:gutter="0"/>
          <w:cols w:space="720"/>
        </w:sectPr>
      </w:pPr>
    </w:p>
    <w:p w14:paraId="1A17BBBA" w14:textId="77777777" w:rsidR="00BC24A8" w:rsidRDefault="00000000">
      <w:pPr>
        <w:pStyle w:val="Heading5"/>
        <w:spacing w:before="39"/>
      </w:pPr>
      <w:r>
        <w:lastRenderedPageBreak/>
        <w:t>Overview</w:t>
      </w:r>
      <w:r>
        <w:rPr>
          <w:spacing w:val="-8"/>
        </w:rPr>
        <w:t xml:space="preserve"> </w:t>
      </w:r>
      <w:r>
        <w:t>of</w:t>
      </w:r>
      <w:r>
        <w:rPr>
          <w:spacing w:val="-8"/>
        </w:rPr>
        <w:t xml:space="preserve"> </w:t>
      </w:r>
      <w:r>
        <w:t>completed</w:t>
      </w:r>
      <w:r>
        <w:rPr>
          <w:spacing w:val="-8"/>
        </w:rPr>
        <w:t xml:space="preserve"> </w:t>
      </w:r>
      <w:r>
        <w:rPr>
          <w:spacing w:val="-2"/>
        </w:rPr>
        <w:t>Outputs:</w:t>
      </w:r>
    </w:p>
    <w:p w14:paraId="1B899DC6" w14:textId="77777777" w:rsidR="00BC24A8" w:rsidRDefault="00000000">
      <w:pPr>
        <w:pStyle w:val="ListParagraph"/>
        <w:numPr>
          <w:ilvl w:val="2"/>
          <w:numId w:val="133"/>
        </w:numPr>
        <w:tabs>
          <w:tab w:val="left" w:pos="501"/>
        </w:tabs>
        <w:spacing w:before="159"/>
        <w:ind w:left="501" w:hanging="358"/>
        <w:jc w:val="left"/>
        <w:rPr>
          <w:rFonts w:ascii="Calibri"/>
          <w:b/>
        </w:rPr>
      </w:pPr>
      <w:r>
        <w:rPr>
          <w:rFonts w:ascii="Calibri"/>
          <w:b/>
        </w:rPr>
        <w:t>DNA</w:t>
      </w:r>
      <w:r>
        <w:rPr>
          <w:rFonts w:ascii="Calibri"/>
          <w:b/>
          <w:spacing w:val="-5"/>
        </w:rPr>
        <w:t xml:space="preserve"> </w:t>
      </w:r>
      <w:r>
        <w:rPr>
          <w:rFonts w:ascii="Calibri"/>
          <w:b/>
        </w:rPr>
        <w:t>(Data</w:t>
      </w:r>
      <w:r>
        <w:rPr>
          <w:rFonts w:ascii="Calibri"/>
          <w:b/>
          <w:spacing w:val="-4"/>
        </w:rPr>
        <w:t xml:space="preserve"> </w:t>
      </w:r>
      <w:r>
        <w:rPr>
          <w:rFonts w:ascii="Calibri"/>
          <w:b/>
        </w:rPr>
        <w:t>and</w:t>
      </w:r>
      <w:r>
        <w:rPr>
          <w:rFonts w:ascii="Calibri"/>
          <w:b/>
          <w:spacing w:val="-4"/>
        </w:rPr>
        <w:t xml:space="preserve"> </w:t>
      </w:r>
      <w:r>
        <w:rPr>
          <w:rFonts w:ascii="Calibri"/>
          <w:b/>
          <w:spacing w:val="-2"/>
        </w:rPr>
        <w:t>Analysis):</w:t>
      </w:r>
    </w:p>
    <w:p w14:paraId="0976682F" w14:textId="77777777" w:rsidR="00BC24A8" w:rsidRDefault="00000000">
      <w:pPr>
        <w:pStyle w:val="ListParagraph"/>
        <w:numPr>
          <w:ilvl w:val="3"/>
          <w:numId w:val="133"/>
        </w:numPr>
        <w:tabs>
          <w:tab w:val="left" w:pos="861"/>
          <w:tab w:val="left" w:pos="863"/>
        </w:tabs>
        <w:spacing w:before="183"/>
        <w:ind w:right="565"/>
      </w:pPr>
      <w:r>
        <w:t>SKALA provided facilitation and recommendations for the 2025 Data List, data cycle SOP, the revision of the Governor’s Decree on the One Data Forum and One Data Action Plan, and the draft One Data Governance Guidelines.</w:t>
      </w:r>
    </w:p>
    <w:p w14:paraId="1E878FD8" w14:textId="77777777" w:rsidR="00BC24A8" w:rsidRDefault="00000000">
      <w:pPr>
        <w:pStyle w:val="ListParagraph"/>
        <w:numPr>
          <w:ilvl w:val="3"/>
          <w:numId w:val="133"/>
        </w:numPr>
        <w:tabs>
          <w:tab w:val="left" w:pos="861"/>
          <w:tab w:val="left" w:pos="863"/>
        </w:tabs>
        <w:ind w:right="562"/>
      </w:pPr>
      <w:r>
        <w:t>SKALA provided technical assistance from data verification to dissemination and improve the One</w:t>
      </w:r>
      <w:r>
        <w:rPr>
          <w:spacing w:val="-10"/>
        </w:rPr>
        <w:t xml:space="preserve"> </w:t>
      </w:r>
      <w:r>
        <w:t>Data</w:t>
      </w:r>
      <w:r>
        <w:rPr>
          <w:spacing w:val="-10"/>
        </w:rPr>
        <w:t xml:space="preserve"> </w:t>
      </w:r>
      <w:r>
        <w:t>Portal</w:t>
      </w:r>
      <w:r>
        <w:rPr>
          <w:spacing w:val="-10"/>
        </w:rPr>
        <w:t xml:space="preserve"> </w:t>
      </w:r>
      <w:r>
        <w:t>through</w:t>
      </w:r>
      <w:r>
        <w:rPr>
          <w:spacing w:val="-11"/>
        </w:rPr>
        <w:t xml:space="preserve"> </w:t>
      </w:r>
      <w:r>
        <w:t>techincal</w:t>
      </w:r>
      <w:r>
        <w:rPr>
          <w:spacing w:val="-10"/>
        </w:rPr>
        <w:t xml:space="preserve"> </w:t>
      </w:r>
      <w:r>
        <w:t>assistance</w:t>
      </w:r>
      <w:r>
        <w:rPr>
          <w:spacing w:val="-10"/>
        </w:rPr>
        <w:t xml:space="preserve"> </w:t>
      </w:r>
      <w:r>
        <w:t>(TA),</w:t>
      </w:r>
      <w:r>
        <w:rPr>
          <w:spacing w:val="-8"/>
        </w:rPr>
        <w:t xml:space="preserve"> </w:t>
      </w:r>
      <w:r>
        <w:t>and</w:t>
      </w:r>
      <w:r>
        <w:rPr>
          <w:spacing w:val="-11"/>
        </w:rPr>
        <w:t xml:space="preserve"> </w:t>
      </w:r>
      <w:r>
        <w:t>the</w:t>
      </w:r>
      <w:r>
        <w:rPr>
          <w:spacing w:val="-8"/>
        </w:rPr>
        <w:t xml:space="preserve"> </w:t>
      </w:r>
      <w:r>
        <w:t>launch</w:t>
      </w:r>
      <w:r>
        <w:rPr>
          <w:spacing w:val="-11"/>
        </w:rPr>
        <w:t xml:space="preserve"> </w:t>
      </w:r>
      <w:r>
        <w:t>of</w:t>
      </w:r>
      <w:r>
        <w:rPr>
          <w:spacing w:val="-10"/>
        </w:rPr>
        <w:t xml:space="preserve"> </w:t>
      </w:r>
      <w:r>
        <w:t>the</w:t>
      </w:r>
      <w:r>
        <w:rPr>
          <w:spacing w:val="-8"/>
        </w:rPr>
        <w:t xml:space="preserve"> </w:t>
      </w:r>
      <w:r>
        <w:t>E-DataKU</w:t>
      </w:r>
      <w:r>
        <w:rPr>
          <w:spacing w:val="-13"/>
        </w:rPr>
        <w:t xml:space="preserve"> </w:t>
      </w:r>
      <w:r>
        <w:t>Sidara</w:t>
      </w:r>
      <w:r>
        <w:rPr>
          <w:spacing w:val="-9"/>
        </w:rPr>
        <w:t xml:space="preserve"> </w:t>
      </w:r>
      <w:r>
        <w:t>Cantik</w:t>
      </w:r>
    </w:p>
    <w:p w14:paraId="51A610DB" w14:textId="77777777" w:rsidR="00BC24A8" w:rsidRDefault="00000000">
      <w:pPr>
        <w:pStyle w:val="BodyText"/>
        <w:ind w:left="863"/>
        <w:jc w:val="both"/>
      </w:pPr>
      <w:r>
        <w:t>2.0</w:t>
      </w:r>
      <w:r>
        <w:rPr>
          <w:spacing w:val="-1"/>
        </w:rPr>
        <w:t xml:space="preserve"> </w:t>
      </w:r>
      <w:r>
        <w:rPr>
          <w:spacing w:val="-2"/>
        </w:rPr>
        <w:t>portal.</w:t>
      </w:r>
    </w:p>
    <w:p w14:paraId="6AE19505" w14:textId="77777777" w:rsidR="00BC24A8" w:rsidRDefault="00BC24A8">
      <w:pPr>
        <w:pStyle w:val="BodyText"/>
        <w:spacing w:before="179"/>
      </w:pPr>
    </w:p>
    <w:p w14:paraId="6B1EDD7F" w14:textId="77777777" w:rsidR="00BC24A8" w:rsidRDefault="00000000">
      <w:pPr>
        <w:pStyle w:val="Heading5"/>
        <w:numPr>
          <w:ilvl w:val="2"/>
          <w:numId w:val="133"/>
        </w:numPr>
        <w:tabs>
          <w:tab w:val="left" w:pos="501"/>
        </w:tabs>
        <w:ind w:left="501" w:hanging="358"/>
        <w:jc w:val="left"/>
      </w:pPr>
      <w:r>
        <w:t>MSS</w:t>
      </w:r>
      <w:r>
        <w:rPr>
          <w:spacing w:val="-5"/>
        </w:rPr>
        <w:t xml:space="preserve"> </w:t>
      </w:r>
      <w:r>
        <w:t>(Minimum</w:t>
      </w:r>
      <w:r>
        <w:rPr>
          <w:spacing w:val="-5"/>
        </w:rPr>
        <w:t xml:space="preserve"> </w:t>
      </w:r>
      <w:r>
        <w:t>Service</w:t>
      </w:r>
      <w:r>
        <w:rPr>
          <w:spacing w:val="-4"/>
        </w:rPr>
        <w:t xml:space="preserve"> </w:t>
      </w:r>
      <w:r>
        <w:rPr>
          <w:spacing w:val="-2"/>
        </w:rPr>
        <w:t>Standards):</w:t>
      </w:r>
    </w:p>
    <w:p w14:paraId="1A243492" w14:textId="77777777" w:rsidR="00BC24A8" w:rsidRDefault="00000000">
      <w:pPr>
        <w:pStyle w:val="ListParagraph"/>
        <w:numPr>
          <w:ilvl w:val="3"/>
          <w:numId w:val="133"/>
        </w:numPr>
        <w:tabs>
          <w:tab w:val="left" w:pos="864"/>
        </w:tabs>
        <w:spacing w:before="181"/>
        <w:ind w:left="864"/>
        <w:jc w:val="left"/>
      </w:pPr>
      <w:r>
        <w:t>SKALA</w:t>
      </w:r>
      <w:r>
        <w:rPr>
          <w:spacing w:val="-6"/>
        </w:rPr>
        <w:t xml:space="preserve"> </w:t>
      </w:r>
      <w:r>
        <w:t>facilitated</w:t>
      </w:r>
      <w:r>
        <w:rPr>
          <w:spacing w:val="-6"/>
        </w:rPr>
        <w:t xml:space="preserve"> </w:t>
      </w:r>
      <w:r>
        <w:t>the</w:t>
      </w:r>
      <w:r>
        <w:rPr>
          <w:spacing w:val="-5"/>
        </w:rPr>
        <w:t xml:space="preserve"> </w:t>
      </w:r>
      <w:r>
        <w:t>synchronisation</w:t>
      </w:r>
      <w:r>
        <w:rPr>
          <w:spacing w:val="-3"/>
        </w:rPr>
        <w:t xml:space="preserve"> </w:t>
      </w:r>
      <w:r>
        <w:t>of</w:t>
      </w:r>
      <w:r>
        <w:rPr>
          <w:spacing w:val="-3"/>
        </w:rPr>
        <w:t xml:space="preserve"> </w:t>
      </w:r>
      <w:r>
        <w:t>RENSTRA</w:t>
      </w:r>
      <w:r>
        <w:rPr>
          <w:spacing w:val="-4"/>
        </w:rPr>
        <w:t xml:space="preserve"> </w:t>
      </w:r>
      <w:r>
        <w:t>with</w:t>
      </w:r>
      <w:r>
        <w:rPr>
          <w:spacing w:val="-6"/>
        </w:rPr>
        <w:t xml:space="preserve"> </w:t>
      </w:r>
      <w:r>
        <w:t>RPJMD</w:t>
      </w:r>
      <w:r>
        <w:rPr>
          <w:spacing w:val="-3"/>
        </w:rPr>
        <w:t xml:space="preserve"> </w:t>
      </w:r>
      <w:r>
        <w:t>and</w:t>
      </w:r>
      <w:r>
        <w:rPr>
          <w:spacing w:val="-3"/>
        </w:rPr>
        <w:t xml:space="preserve"> </w:t>
      </w:r>
      <w:r>
        <w:rPr>
          <w:spacing w:val="-2"/>
        </w:rPr>
        <w:t>RKPD.</w:t>
      </w:r>
    </w:p>
    <w:p w14:paraId="7A017A03" w14:textId="77777777" w:rsidR="00BC24A8" w:rsidRDefault="00000000">
      <w:pPr>
        <w:pStyle w:val="ListParagraph"/>
        <w:numPr>
          <w:ilvl w:val="3"/>
          <w:numId w:val="133"/>
        </w:numPr>
        <w:tabs>
          <w:tab w:val="left" w:pos="862"/>
          <w:tab w:val="left" w:pos="864"/>
        </w:tabs>
        <w:ind w:left="864" w:right="563"/>
      </w:pPr>
      <w:r>
        <w:t>SKALA provided capacity building for civil servants in MSS Action Plan revisions, costing, and MSS monitoring and evaluation.</w:t>
      </w:r>
    </w:p>
    <w:p w14:paraId="25B2AF0A" w14:textId="77777777" w:rsidR="00BC24A8" w:rsidRDefault="00BC24A8">
      <w:pPr>
        <w:pStyle w:val="BodyText"/>
        <w:spacing w:before="181"/>
      </w:pPr>
    </w:p>
    <w:p w14:paraId="52F1E67A" w14:textId="77777777" w:rsidR="00BC24A8" w:rsidRDefault="00000000">
      <w:pPr>
        <w:pStyle w:val="Heading5"/>
        <w:numPr>
          <w:ilvl w:val="2"/>
          <w:numId w:val="133"/>
        </w:numPr>
        <w:tabs>
          <w:tab w:val="left" w:pos="502"/>
        </w:tabs>
        <w:ind w:left="502" w:hanging="358"/>
        <w:jc w:val="left"/>
      </w:pPr>
      <w:r>
        <w:t>PFM</w:t>
      </w:r>
      <w:r>
        <w:rPr>
          <w:spacing w:val="-5"/>
        </w:rPr>
        <w:t xml:space="preserve"> </w:t>
      </w:r>
      <w:r>
        <w:t>(Public</w:t>
      </w:r>
      <w:r>
        <w:rPr>
          <w:spacing w:val="-5"/>
        </w:rPr>
        <w:t xml:space="preserve"> </w:t>
      </w:r>
      <w:r>
        <w:t>Financial</w:t>
      </w:r>
      <w:r>
        <w:rPr>
          <w:spacing w:val="-3"/>
        </w:rPr>
        <w:t xml:space="preserve"> </w:t>
      </w:r>
      <w:r>
        <w:rPr>
          <w:spacing w:val="-2"/>
        </w:rPr>
        <w:t>Management):</w:t>
      </w:r>
    </w:p>
    <w:p w14:paraId="2523B9FA" w14:textId="77777777" w:rsidR="00BC24A8" w:rsidRDefault="00000000">
      <w:pPr>
        <w:pStyle w:val="ListParagraph"/>
        <w:numPr>
          <w:ilvl w:val="3"/>
          <w:numId w:val="133"/>
        </w:numPr>
        <w:tabs>
          <w:tab w:val="left" w:pos="862"/>
          <w:tab w:val="left" w:pos="864"/>
        </w:tabs>
        <w:spacing w:before="181"/>
        <w:ind w:left="864" w:right="563"/>
      </w:pPr>
      <w:r>
        <w:t xml:space="preserve">SKALA provided technical recommendations to increase regional revenue through water </w:t>
      </w:r>
      <w:r>
        <w:rPr>
          <w:spacing w:val="-2"/>
        </w:rPr>
        <w:t>transportation.</w:t>
      </w:r>
    </w:p>
    <w:p w14:paraId="66A2759F" w14:textId="77777777" w:rsidR="00BC24A8" w:rsidRDefault="00000000">
      <w:pPr>
        <w:pStyle w:val="ListParagraph"/>
        <w:numPr>
          <w:ilvl w:val="3"/>
          <w:numId w:val="133"/>
        </w:numPr>
        <w:tabs>
          <w:tab w:val="left" w:pos="862"/>
          <w:tab w:val="left" w:pos="864"/>
        </w:tabs>
        <w:ind w:left="864" w:right="563"/>
      </w:pPr>
      <w:r>
        <w:t>SKALA provided technical recommendations for optimising fiscal transfer to meet MSS and GEDSI requirements in accordance with regulations.</w:t>
      </w:r>
    </w:p>
    <w:p w14:paraId="018751BF" w14:textId="77777777" w:rsidR="00BC24A8" w:rsidRDefault="00BC24A8">
      <w:pPr>
        <w:pStyle w:val="BodyText"/>
        <w:spacing w:before="178"/>
      </w:pPr>
    </w:p>
    <w:p w14:paraId="3F57BEF7" w14:textId="77777777" w:rsidR="00BC24A8" w:rsidRDefault="00000000">
      <w:pPr>
        <w:pStyle w:val="Heading5"/>
        <w:numPr>
          <w:ilvl w:val="2"/>
          <w:numId w:val="133"/>
        </w:numPr>
        <w:tabs>
          <w:tab w:val="left" w:pos="502"/>
        </w:tabs>
        <w:spacing w:before="1"/>
        <w:ind w:left="502" w:hanging="358"/>
        <w:jc w:val="left"/>
      </w:pPr>
      <w:r>
        <w:t>Gender</w:t>
      </w:r>
      <w:r>
        <w:rPr>
          <w:spacing w:val="-10"/>
        </w:rPr>
        <w:t xml:space="preserve"> </w:t>
      </w:r>
      <w:r>
        <w:t>Equality,</w:t>
      </w:r>
      <w:r>
        <w:rPr>
          <w:spacing w:val="-12"/>
        </w:rPr>
        <w:t xml:space="preserve"> </w:t>
      </w:r>
      <w:r>
        <w:t>Disability,</w:t>
      </w:r>
      <w:r>
        <w:rPr>
          <w:spacing w:val="-11"/>
        </w:rPr>
        <w:t xml:space="preserve"> </w:t>
      </w:r>
      <w:r>
        <w:t>and</w:t>
      </w:r>
      <w:r>
        <w:rPr>
          <w:spacing w:val="-11"/>
        </w:rPr>
        <w:t xml:space="preserve"> </w:t>
      </w:r>
      <w:r>
        <w:t>Social</w:t>
      </w:r>
      <w:r>
        <w:rPr>
          <w:spacing w:val="-10"/>
        </w:rPr>
        <w:t xml:space="preserve"> </w:t>
      </w:r>
      <w:r>
        <w:t>Inclusion</w:t>
      </w:r>
      <w:r>
        <w:rPr>
          <w:spacing w:val="-10"/>
        </w:rPr>
        <w:t xml:space="preserve"> </w:t>
      </w:r>
      <w:r>
        <w:rPr>
          <w:spacing w:val="-2"/>
        </w:rPr>
        <w:t>(GEDSI):</w:t>
      </w:r>
    </w:p>
    <w:p w14:paraId="2445D483" w14:textId="77777777" w:rsidR="00BC24A8" w:rsidRDefault="00000000">
      <w:pPr>
        <w:pStyle w:val="ListParagraph"/>
        <w:numPr>
          <w:ilvl w:val="3"/>
          <w:numId w:val="133"/>
        </w:numPr>
        <w:tabs>
          <w:tab w:val="left" w:pos="862"/>
          <w:tab w:val="left" w:pos="864"/>
        </w:tabs>
        <w:spacing w:before="185" w:line="237" w:lineRule="auto"/>
        <w:ind w:left="864" w:right="564"/>
      </w:pPr>
      <w:r>
        <w:t>SKALA</w:t>
      </w:r>
      <w:r>
        <w:rPr>
          <w:spacing w:val="-5"/>
        </w:rPr>
        <w:t xml:space="preserve"> </w:t>
      </w:r>
      <w:r>
        <w:t>provided</w:t>
      </w:r>
      <w:r>
        <w:rPr>
          <w:spacing w:val="-5"/>
        </w:rPr>
        <w:t xml:space="preserve"> </w:t>
      </w:r>
      <w:r>
        <w:t>technical</w:t>
      </w:r>
      <w:r>
        <w:rPr>
          <w:spacing w:val="-6"/>
        </w:rPr>
        <w:t xml:space="preserve"> </w:t>
      </w:r>
      <w:r>
        <w:t>recommendations</w:t>
      </w:r>
      <w:r>
        <w:rPr>
          <w:spacing w:val="-4"/>
        </w:rPr>
        <w:t xml:space="preserve"> </w:t>
      </w:r>
      <w:r>
        <w:t>on</w:t>
      </w:r>
      <w:r>
        <w:rPr>
          <w:spacing w:val="-5"/>
        </w:rPr>
        <w:t xml:space="preserve"> </w:t>
      </w:r>
      <w:r>
        <w:t>the</w:t>
      </w:r>
      <w:r>
        <w:rPr>
          <w:spacing w:val="-4"/>
        </w:rPr>
        <w:t xml:space="preserve"> </w:t>
      </w:r>
      <w:r>
        <w:t>formation</w:t>
      </w:r>
      <w:r>
        <w:rPr>
          <w:spacing w:val="-5"/>
        </w:rPr>
        <w:t xml:space="preserve"> </w:t>
      </w:r>
      <w:r>
        <w:t>and</w:t>
      </w:r>
      <w:r>
        <w:rPr>
          <w:spacing w:val="-5"/>
        </w:rPr>
        <w:t xml:space="preserve"> </w:t>
      </w:r>
      <w:r>
        <w:t>governance</w:t>
      </w:r>
      <w:r>
        <w:rPr>
          <w:spacing w:val="-4"/>
        </w:rPr>
        <w:t xml:space="preserve"> </w:t>
      </w:r>
      <w:r>
        <w:t>structure</w:t>
      </w:r>
      <w:r>
        <w:rPr>
          <w:spacing w:val="-4"/>
        </w:rPr>
        <w:t xml:space="preserve"> </w:t>
      </w:r>
      <w:r>
        <w:t>of</w:t>
      </w:r>
      <w:r>
        <w:rPr>
          <w:spacing w:val="-4"/>
        </w:rPr>
        <w:t xml:space="preserve"> </w:t>
      </w:r>
      <w:r>
        <w:t>the MENTARI KALTARA Civil Society Network (JMS).</w:t>
      </w:r>
    </w:p>
    <w:p w14:paraId="25F66F2C" w14:textId="77777777" w:rsidR="00BC24A8" w:rsidRDefault="00000000">
      <w:pPr>
        <w:pStyle w:val="ListParagraph"/>
        <w:numPr>
          <w:ilvl w:val="3"/>
          <w:numId w:val="133"/>
        </w:numPr>
        <w:tabs>
          <w:tab w:val="left" w:pos="862"/>
          <w:tab w:val="left" w:pos="864"/>
        </w:tabs>
        <w:spacing w:before="1"/>
        <w:ind w:left="864" w:right="562"/>
      </w:pPr>
      <w:r>
        <w:t>SKALA provided technical recommendations for the Aspiration Screening Forum (technical guidelines and implementation).</w:t>
      </w:r>
    </w:p>
    <w:p w14:paraId="7A13ACB1" w14:textId="77777777" w:rsidR="00BC24A8" w:rsidRDefault="00000000">
      <w:pPr>
        <w:pStyle w:val="ListParagraph"/>
        <w:numPr>
          <w:ilvl w:val="3"/>
          <w:numId w:val="133"/>
        </w:numPr>
        <w:tabs>
          <w:tab w:val="left" w:pos="864"/>
        </w:tabs>
        <w:spacing w:before="1"/>
        <w:ind w:left="864" w:right="563" w:hanging="360"/>
      </w:pPr>
      <w:r>
        <w:t>SKALA provided capacity building for Civil Society Organisations (CSOs) and disabled people’s organisations (DPOs) on accessing and analysing government data (REGSOSEK</w:t>
      </w:r>
      <w:hyperlink w:anchor="_bookmark111" w:history="1">
        <w:r w:rsidR="00BC24A8">
          <w:rPr>
            <w:vertAlign w:val="superscript"/>
          </w:rPr>
          <w:t>49</w:t>
        </w:r>
      </w:hyperlink>
      <w:r>
        <w:t>, BPS, SIPD</w:t>
      </w:r>
      <w:hyperlink w:anchor="_bookmark112" w:history="1">
        <w:r w:rsidR="00BC24A8">
          <w:rPr>
            <w:vertAlign w:val="superscript"/>
          </w:rPr>
          <w:t>50</w:t>
        </w:r>
      </w:hyperlink>
      <w:r>
        <w:t>).</w:t>
      </w:r>
    </w:p>
    <w:p w14:paraId="5FD50DF7" w14:textId="77777777" w:rsidR="00BC24A8" w:rsidRDefault="00BC24A8">
      <w:pPr>
        <w:pStyle w:val="BodyText"/>
        <w:spacing w:before="181"/>
      </w:pPr>
    </w:p>
    <w:p w14:paraId="0B85ACC0" w14:textId="77777777" w:rsidR="00BC24A8" w:rsidRDefault="00000000">
      <w:pPr>
        <w:pStyle w:val="BodyText"/>
        <w:ind w:left="143"/>
        <w:rPr>
          <w:rFonts w:ascii="Calibri"/>
        </w:rPr>
      </w:pPr>
      <w:r>
        <w:rPr>
          <w:rFonts w:ascii="Calibri"/>
          <w:color w:val="272727"/>
        </w:rPr>
        <w:t>Summary</w:t>
      </w:r>
      <w:r>
        <w:rPr>
          <w:rFonts w:ascii="Calibri"/>
          <w:color w:val="272727"/>
          <w:spacing w:val="-6"/>
        </w:rPr>
        <w:t xml:space="preserve"> </w:t>
      </w:r>
      <w:r>
        <w:rPr>
          <w:rFonts w:ascii="Calibri"/>
          <w:color w:val="272727"/>
        </w:rPr>
        <w:t>of</w:t>
      </w:r>
      <w:r>
        <w:rPr>
          <w:rFonts w:ascii="Calibri"/>
          <w:color w:val="272727"/>
          <w:spacing w:val="-8"/>
        </w:rPr>
        <w:t xml:space="preserve"> </w:t>
      </w:r>
      <w:r>
        <w:rPr>
          <w:rFonts w:ascii="Calibri"/>
          <w:color w:val="272727"/>
        </w:rPr>
        <w:t>results</w:t>
      </w:r>
      <w:r>
        <w:rPr>
          <w:rFonts w:ascii="Calibri"/>
          <w:color w:val="272727"/>
          <w:spacing w:val="-6"/>
        </w:rPr>
        <w:t xml:space="preserve"> </w:t>
      </w:r>
      <w:r>
        <w:rPr>
          <w:rFonts w:ascii="Calibri"/>
          <w:color w:val="272727"/>
        </w:rPr>
        <w:t>at</w:t>
      </w:r>
      <w:r>
        <w:rPr>
          <w:rFonts w:ascii="Calibri"/>
          <w:color w:val="272727"/>
          <w:spacing w:val="-8"/>
        </w:rPr>
        <w:t xml:space="preserve"> </w:t>
      </w:r>
      <w:r>
        <w:rPr>
          <w:rFonts w:ascii="Calibri"/>
          <w:color w:val="272727"/>
        </w:rPr>
        <w:t>the</w:t>
      </w:r>
      <w:r>
        <w:rPr>
          <w:rFonts w:ascii="Calibri"/>
          <w:color w:val="272727"/>
          <w:spacing w:val="-5"/>
        </w:rPr>
        <w:t xml:space="preserve"> </w:t>
      </w:r>
      <w:r>
        <w:rPr>
          <w:rFonts w:ascii="Calibri"/>
          <w:color w:val="272727"/>
        </w:rPr>
        <w:t>Intermediate</w:t>
      </w:r>
      <w:r>
        <w:rPr>
          <w:rFonts w:ascii="Calibri"/>
          <w:color w:val="272727"/>
          <w:spacing w:val="-8"/>
        </w:rPr>
        <w:t xml:space="preserve"> </w:t>
      </w:r>
      <w:r>
        <w:rPr>
          <w:rFonts w:ascii="Calibri"/>
          <w:color w:val="272727"/>
        </w:rPr>
        <w:t>Outcome</w:t>
      </w:r>
      <w:r>
        <w:rPr>
          <w:rFonts w:ascii="Calibri"/>
          <w:color w:val="272727"/>
          <w:spacing w:val="-5"/>
        </w:rPr>
        <w:t xml:space="preserve"> </w:t>
      </w:r>
      <w:r>
        <w:rPr>
          <w:rFonts w:ascii="Calibri"/>
          <w:color w:val="272727"/>
          <w:spacing w:val="-2"/>
        </w:rPr>
        <w:t>level</w:t>
      </w:r>
    </w:p>
    <w:p w14:paraId="22410A6F" w14:textId="77777777" w:rsidR="00BC24A8" w:rsidRDefault="00000000">
      <w:pPr>
        <w:spacing w:before="19"/>
        <w:ind w:left="143"/>
        <w:rPr>
          <w:rFonts w:ascii="Calibri"/>
          <w:b/>
        </w:rPr>
      </w:pPr>
      <w:r>
        <w:rPr>
          <w:rFonts w:ascii="Calibri"/>
          <w:b/>
          <w:color w:val="17365A"/>
        </w:rPr>
        <w:t>Data</w:t>
      </w:r>
      <w:r>
        <w:rPr>
          <w:rFonts w:ascii="Calibri"/>
          <w:b/>
          <w:color w:val="17365A"/>
          <w:spacing w:val="-4"/>
        </w:rPr>
        <w:t xml:space="preserve"> </w:t>
      </w:r>
      <w:r>
        <w:rPr>
          <w:rFonts w:ascii="Calibri"/>
          <w:b/>
          <w:color w:val="17365A"/>
        </w:rPr>
        <w:t>availability,</w:t>
      </w:r>
      <w:r>
        <w:rPr>
          <w:rFonts w:ascii="Calibri"/>
          <w:b/>
          <w:color w:val="17365A"/>
          <w:spacing w:val="-1"/>
        </w:rPr>
        <w:t xml:space="preserve"> </w:t>
      </w:r>
      <w:r>
        <w:rPr>
          <w:rFonts w:ascii="Calibri"/>
          <w:b/>
          <w:color w:val="17365A"/>
        </w:rPr>
        <w:t>management,</w:t>
      </w:r>
      <w:r>
        <w:rPr>
          <w:rFonts w:ascii="Calibri"/>
          <w:b/>
          <w:color w:val="17365A"/>
          <w:spacing w:val="-1"/>
        </w:rPr>
        <w:t xml:space="preserve"> </w:t>
      </w:r>
      <w:r>
        <w:rPr>
          <w:rFonts w:ascii="Calibri"/>
          <w:b/>
          <w:color w:val="17365A"/>
        </w:rPr>
        <w:t>and</w:t>
      </w:r>
      <w:r>
        <w:rPr>
          <w:rFonts w:ascii="Calibri"/>
          <w:b/>
          <w:color w:val="17365A"/>
          <w:spacing w:val="-3"/>
        </w:rPr>
        <w:t xml:space="preserve"> </w:t>
      </w:r>
      <w:r>
        <w:rPr>
          <w:rFonts w:ascii="Calibri"/>
          <w:b/>
          <w:color w:val="17365A"/>
        </w:rPr>
        <w:t>utilisation</w:t>
      </w:r>
      <w:r>
        <w:rPr>
          <w:rFonts w:ascii="Calibri"/>
          <w:b/>
          <w:color w:val="17365A"/>
          <w:spacing w:val="-2"/>
        </w:rPr>
        <w:t xml:space="preserve"> </w:t>
      </w:r>
      <w:r>
        <w:rPr>
          <w:rFonts w:ascii="Calibri"/>
          <w:b/>
          <w:color w:val="17365A"/>
        </w:rPr>
        <w:t>to</w:t>
      </w:r>
      <w:r>
        <w:rPr>
          <w:rFonts w:ascii="Calibri"/>
          <w:b/>
          <w:color w:val="17365A"/>
          <w:spacing w:val="-3"/>
        </w:rPr>
        <w:t xml:space="preserve"> </w:t>
      </w:r>
      <w:r>
        <w:rPr>
          <w:rFonts w:ascii="Calibri"/>
          <w:b/>
          <w:color w:val="17365A"/>
        </w:rPr>
        <w:t>improve</w:t>
      </w:r>
      <w:r>
        <w:rPr>
          <w:rFonts w:ascii="Calibri"/>
          <w:b/>
          <w:color w:val="17365A"/>
          <w:spacing w:val="-3"/>
        </w:rPr>
        <w:t xml:space="preserve"> </w:t>
      </w:r>
      <w:r>
        <w:rPr>
          <w:rFonts w:ascii="Calibri"/>
          <w:b/>
          <w:color w:val="17365A"/>
        </w:rPr>
        <w:t>evidence-based</w:t>
      </w:r>
      <w:r>
        <w:rPr>
          <w:rFonts w:ascii="Calibri"/>
          <w:b/>
          <w:color w:val="17365A"/>
          <w:spacing w:val="-2"/>
        </w:rPr>
        <w:t xml:space="preserve"> </w:t>
      </w:r>
      <w:r>
        <w:rPr>
          <w:rFonts w:ascii="Calibri"/>
          <w:b/>
          <w:color w:val="17365A"/>
        </w:rPr>
        <w:t>planning</w:t>
      </w:r>
      <w:r>
        <w:rPr>
          <w:rFonts w:ascii="Calibri"/>
          <w:b/>
          <w:color w:val="17365A"/>
          <w:spacing w:val="-1"/>
        </w:rPr>
        <w:t xml:space="preserve"> </w:t>
      </w:r>
      <w:r>
        <w:rPr>
          <w:rFonts w:ascii="Calibri"/>
          <w:b/>
          <w:color w:val="17365A"/>
        </w:rPr>
        <w:t>processes</w:t>
      </w:r>
      <w:r>
        <w:rPr>
          <w:rFonts w:ascii="Calibri"/>
          <w:b/>
          <w:color w:val="17365A"/>
          <w:spacing w:val="-2"/>
        </w:rPr>
        <w:t xml:space="preserve"> </w:t>
      </w:r>
      <w:r>
        <w:rPr>
          <w:rFonts w:ascii="Calibri"/>
          <w:b/>
          <w:color w:val="17365A"/>
        </w:rPr>
        <w:t>(IO</w:t>
      </w:r>
      <w:r>
        <w:rPr>
          <w:rFonts w:ascii="Calibri"/>
          <w:b/>
          <w:color w:val="17365A"/>
          <w:spacing w:val="-4"/>
        </w:rPr>
        <w:t xml:space="preserve"> </w:t>
      </w:r>
      <w:r>
        <w:rPr>
          <w:rFonts w:ascii="Calibri"/>
          <w:b/>
          <w:color w:val="17365A"/>
          <w:spacing w:val="-10"/>
        </w:rPr>
        <w:t>5</w:t>
      </w:r>
    </w:p>
    <w:p w14:paraId="3439FF25" w14:textId="77777777" w:rsidR="00BC24A8" w:rsidRDefault="00000000">
      <w:pPr>
        <w:ind w:left="143"/>
        <w:rPr>
          <w:rFonts w:ascii="Calibri"/>
          <w:b/>
        </w:rPr>
      </w:pPr>
      <w:r>
        <w:rPr>
          <w:rFonts w:ascii="Calibri"/>
          <w:b/>
          <w:color w:val="17365A"/>
        </w:rPr>
        <w:t>and</w:t>
      </w:r>
      <w:r>
        <w:rPr>
          <w:rFonts w:ascii="Calibri"/>
          <w:b/>
          <w:color w:val="17365A"/>
          <w:spacing w:val="-5"/>
        </w:rPr>
        <w:t xml:space="preserve"> 9)</w:t>
      </w:r>
    </w:p>
    <w:p w14:paraId="2FFDF879" w14:textId="77777777" w:rsidR="00BC24A8" w:rsidRDefault="00000000">
      <w:pPr>
        <w:spacing w:before="162"/>
        <w:ind w:left="143"/>
        <w:rPr>
          <w:rFonts w:ascii="Calibri"/>
          <w:b/>
        </w:rPr>
      </w:pPr>
      <w:r>
        <w:rPr>
          <w:rFonts w:ascii="Calibri"/>
          <w:b/>
        </w:rPr>
        <w:t>SKALA</w:t>
      </w:r>
      <w:r>
        <w:rPr>
          <w:rFonts w:ascii="Calibri"/>
          <w:b/>
          <w:spacing w:val="-8"/>
        </w:rPr>
        <w:t xml:space="preserve"> </w:t>
      </w:r>
      <w:r>
        <w:rPr>
          <w:rFonts w:ascii="Calibri"/>
          <w:b/>
        </w:rPr>
        <w:t>strengthened</w:t>
      </w:r>
      <w:r>
        <w:rPr>
          <w:rFonts w:ascii="Calibri"/>
          <w:b/>
          <w:spacing w:val="-8"/>
        </w:rPr>
        <w:t xml:space="preserve"> </w:t>
      </w:r>
      <w:r>
        <w:rPr>
          <w:rFonts w:ascii="Calibri"/>
          <w:b/>
        </w:rPr>
        <w:t>data</w:t>
      </w:r>
      <w:r>
        <w:rPr>
          <w:rFonts w:ascii="Calibri"/>
          <w:b/>
          <w:spacing w:val="-11"/>
        </w:rPr>
        <w:t xml:space="preserve"> </w:t>
      </w:r>
      <w:r>
        <w:rPr>
          <w:rFonts w:ascii="Calibri"/>
          <w:b/>
        </w:rPr>
        <w:t>governance</w:t>
      </w:r>
      <w:r>
        <w:rPr>
          <w:rFonts w:ascii="Calibri"/>
          <w:b/>
          <w:spacing w:val="-9"/>
        </w:rPr>
        <w:t xml:space="preserve"> </w:t>
      </w:r>
      <w:r>
        <w:rPr>
          <w:rFonts w:ascii="Calibri"/>
          <w:b/>
        </w:rPr>
        <w:t>through</w:t>
      </w:r>
      <w:r>
        <w:rPr>
          <w:rFonts w:ascii="Calibri"/>
          <w:b/>
          <w:spacing w:val="-9"/>
        </w:rPr>
        <w:t xml:space="preserve"> </w:t>
      </w:r>
      <w:r>
        <w:rPr>
          <w:rFonts w:ascii="Calibri"/>
          <w:b/>
        </w:rPr>
        <w:t>policy</w:t>
      </w:r>
      <w:r>
        <w:rPr>
          <w:rFonts w:ascii="Calibri"/>
          <w:b/>
          <w:spacing w:val="-8"/>
        </w:rPr>
        <w:t xml:space="preserve"> </w:t>
      </w:r>
      <w:r>
        <w:rPr>
          <w:rFonts w:ascii="Calibri"/>
          <w:b/>
        </w:rPr>
        <w:t>and</w:t>
      </w:r>
      <w:r>
        <w:rPr>
          <w:rFonts w:ascii="Calibri"/>
          <w:b/>
          <w:spacing w:val="-9"/>
        </w:rPr>
        <w:t xml:space="preserve"> </w:t>
      </w:r>
      <w:r>
        <w:rPr>
          <w:rFonts w:ascii="Calibri"/>
          <w:b/>
        </w:rPr>
        <w:t>institutional</w:t>
      </w:r>
      <w:r>
        <w:rPr>
          <w:rFonts w:ascii="Calibri"/>
          <w:b/>
          <w:spacing w:val="-7"/>
        </w:rPr>
        <w:t xml:space="preserve"> </w:t>
      </w:r>
      <w:r>
        <w:rPr>
          <w:rFonts w:ascii="Calibri"/>
          <w:b/>
          <w:spacing w:val="-2"/>
        </w:rPr>
        <w:t>arrangements:</w:t>
      </w:r>
    </w:p>
    <w:p w14:paraId="3D31FF1E" w14:textId="77777777" w:rsidR="00BC24A8" w:rsidRDefault="00000000">
      <w:pPr>
        <w:pStyle w:val="ListParagraph"/>
        <w:numPr>
          <w:ilvl w:val="3"/>
          <w:numId w:val="133"/>
        </w:numPr>
        <w:tabs>
          <w:tab w:val="left" w:pos="861"/>
          <w:tab w:val="left" w:pos="863"/>
        </w:tabs>
        <w:spacing w:before="158"/>
        <w:ind w:right="562"/>
      </w:pPr>
      <w:r>
        <w:t>Governor Decree 100.3.3.1/173/2025 on the</w:t>
      </w:r>
      <w:r>
        <w:rPr>
          <w:spacing w:val="40"/>
        </w:rPr>
        <w:t xml:space="preserve"> </w:t>
      </w:r>
      <w:r>
        <w:t>Kalimantan Utara Regional One Data Organiser has</w:t>
      </w:r>
      <w:r>
        <w:rPr>
          <w:spacing w:val="-4"/>
        </w:rPr>
        <w:t xml:space="preserve"> </w:t>
      </w:r>
      <w:r>
        <w:t>been</w:t>
      </w:r>
      <w:r>
        <w:rPr>
          <w:spacing w:val="-5"/>
        </w:rPr>
        <w:t xml:space="preserve"> </w:t>
      </w:r>
      <w:r>
        <w:t>issued</w:t>
      </w:r>
      <w:r>
        <w:rPr>
          <w:spacing w:val="-5"/>
        </w:rPr>
        <w:t xml:space="preserve"> </w:t>
      </w:r>
      <w:r>
        <w:t>with</w:t>
      </w:r>
      <w:r>
        <w:rPr>
          <w:spacing w:val="-5"/>
        </w:rPr>
        <w:t xml:space="preserve"> </w:t>
      </w:r>
      <w:r>
        <w:t>adjustments</w:t>
      </w:r>
      <w:r>
        <w:rPr>
          <w:spacing w:val="-4"/>
        </w:rPr>
        <w:t xml:space="preserve"> </w:t>
      </w:r>
      <w:r>
        <w:t>to</w:t>
      </w:r>
      <w:r>
        <w:rPr>
          <w:spacing w:val="-5"/>
        </w:rPr>
        <w:t xml:space="preserve"> </w:t>
      </w:r>
      <w:r>
        <w:t>the</w:t>
      </w:r>
      <w:r>
        <w:rPr>
          <w:spacing w:val="-6"/>
        </w:rPr>
        <w:t xml:space="preserve"> </w:t>
      </w:r>
      <w:r>
        <w:t>data</w:t>
      </w:r>
      <w:r>
        <w:rPr>
          <w:spacing w:val="-6"/>
        </w:rPr>
        <w:t xml:space="preserve"> </w:t>
      </w:r>
      <w:r>
        <w:t>cycle,</w:t>
      </w:r>
      <w:r>
        <w:rPr>
          <w:spacing w:val="-6"/>
        </w:rPr>
        <w:t xml:space="preserve"> </w:t>
      </w:r>
      <w:r>
        <w:t>designating</w:t>
      </w:r>
      <w:r>
        <w:rPr>
          <w:spacing w:val="-6"/>
        </w:rPr>
        <w:t xml:space="preserve"> </w:t>
      </w:r>
      <w:r>
        <w:t>the</w:t>
      </w:r>
      <w:r>
        <w:rPr>
          <w:spacing w:val="-4"/>
        </w:rPr>
        <w:t xml:space="preserve"> </w:t>
      </w:r>
      <w:r>
        <w:t>governor</w:t>
      </w:r>
      <w:r>
        <w:rPr>
          <w:spacing w:val="-5"/>
        </w:rPr>
        <w:t xml:space="preserve"> </w:t>
      </w:r>
      <w:r>
        <w:t>a</w:t>
      </w:r>
      <w:r>
        <w:rPr>
          <w:spacing w:val="-7"/>
        </w:rPr>
        <w:t xml:space="preserve"> </w:t>
      </w:r>
      <w:r>
        <w:t>supervisor,</w:t>
      </w:r>
      <w:r>
        <w:rPr>
          <w:spacing w:val="-4"/>
        </w:rPr>
        <w:t xml:space="preserve"> </w:t>
      </w:r>
      <w:r>
        <w:t>and establishing the mechanism for preparing the One Data Action Plan.</w:t>
      </w:r>
    </w:p>
    <w:p w14:paraId="4214EE7A" w14:textId="77777777" w:rsidR="00BC24A8" w:rsidRDefault="00000000">
      <w:pPr>
        <w:pStyle w:val="ListParagraph"/>
        <w:numPr>
          <w:ilvl w:val="3"/>
          <w:numId w:val="133"/>
        </w:numPr>
        <w:tabs>
          <w:tab w:val="left" w:pos="861"/>
          <w:tab w:val="left" w:pos="863"/>
        </w:tabs>
        <w:spacing w:before="1"/>
        <w:ind w:right="562"/>
      </w:pPr>
      <w:r>
        <w:t>The draft revision of the One Data 2025–2029 Action Plan matrix is available and aligned with the RPJMD and RENSTRA 2025–2029.</w:t>
      </w:r>
    </w:p>
    <w:p w14:paraId="380D8A39" w14:textId="77777777" w:rsidR="00BC24A8" w:rsidRDefault="00BC24A8">
      <w:pPr>
        <w:pStyle w:val="BodyText"/>
        <w:rPr>
          <w:sz w:val="20"/>
        </w:rPr>
      </w:pPr>
    </w:p>
    <w:p w14:paraId="7A7C869E" w14:textId="77777777" w:rsidR="00BC24A8" w:rsidRDefault="00BC24A8">
      <w:pPr>
        <w:pStyle w:val="BodyText"/>
        <w:rPr>
          <w:sz w:val="20"/>
        </w:rPr>
      </w:pPr>
    </w:p>
    <w:p w14:paraId="16455A68" w14:textId="77777777" w:rsidR="00BC24A8" w:rsidRDefault="00000000">
      <w:pPr>
        <w:pStyle w:val="BodyText"/>
        <w:spacing w:before="49"/>
        <w:rPr>
          <w:sz w:val="20"/>
        </w:rPr>
      </w:pPr>
      <w:r>
        <w:rPr>
          <w:noProof/>
          <w:sz w:val="20"/>
        </w:rPr>
        <mc:AlternateContent>
          <mc:Choice Requires="wps">
            <w:drawing>
              <wp:anchor distT="0" distB="0" distL="0" distR="0" simplePos="0" relativeHeight="487610880" behindDoc="1" locked="0" layoutInCell="1" allowOverlap="1" wp14:anchorId="2873BEBF" wp14:editId="1A0B7C6E">
                <wp:simplePos x="0" y="0"/>
                <wp:positionH relativeFrom="page">
                  <wp:posOffset>900683</wp:posOffset>
                </wp:positionH>
                <wp:positionV relativeFrom="paragraph">
                  <wp:posOffset>201788</wp:posOffset>
                </wp:positionV>
                <wp:extent cx="1828800" cy="9525"/>
                <wp:effectExtent l="0" t="0" r="0" b="0"/>
                <wp:wrapTopAndBottom/>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A1B6F2" id="Graphic 104" o:spid="_x0000_s1026" alt="&quot;&quot;" style="position:absolute;margin-left:70.9pt;margin-top:15.9pt;width:2in;height:.75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" path="m1828800,l,,,9144r1828800,l1828800,xe" fillcolor="black" stroked="f">
                <v:path arrowok="t"/>
                <w10:wrap type="topAndBottom" anchorx="page"/>
              </v:shape>
            </w:pict>
          </mc:Fallback>
        </mc:AlternateContent>
      </w:r>
    </w:p>
    <w:p w14:paraId="7DA9F6C2" w14:textId="77777777" w:rsidR="00BC24A8" w:rsidRDefault="00BC24A8">
      <w:pPr>
        <w:pStyle w:val="BodyText"/>
        <w:spacing w:before="105"/>
        <w:rPr>
          <w:sz w:val="16"/>
        </w:rPr>
      </w:pPr>
    </w:p>
    <w:p w14:paraId="7C6C6C68" w14:textId="77777777" w:rsidR="00BC24A8" w:rsidRDefault="00000000">
      <w:pPr>
        <w:spacing w:before="1"/>
        <w:ind w:left="143" w:right="662" w:hanging="1"/>
        <w:rPr>
          <w:sz w:val="16"/>
        </w:rPr>
      </w:pPr>
      <w:bookmarkStart w:id="164" w:name="_bookmark111"/>
      <w:bookmarkEnd w:id="164"/>
      <w:r>
        <w:rPr>
          <w:color w:val="767070"/>
          <w:sz w:val="16"/>
          <w:vertAlign w:val="superscript"/>
        </w:rPr>
        <w:t>49</w:t>
      </w:r>
      <w:r>
        <w:rPr>
          <w:color w:val="767070"/>
          <w:spacing w:val="-5"/>
          <w:sz w:val="16"/>
        </w:rPr>
        <w:t xml:space="preserve"> </w:t>
      </w:r>
      <w:r>
        <w:rPr>
          <w:color w:val="767070"/>
          <w:sz w:val="16"/>
        </w:rPr>
        <w:t>REGSOSEK</w:t>
      </w:r>
      <w:r>
        <w:rPr>
          <w:color w:val="767070"/>
          <w:spacing w:val="-4"/>
          <w:sz w:val="16"/>
        </w:rPr>
        <w:t xml:space="preserve"> </w:t>
      </w:r>
      <w:r>
        <w:rPr>
          <w:color w:val="767070"/>
          <w:sz w:val="16"/>
        </w:rPr>
        <w:t>(Socio-Economic</w:t>
      </w:r>
      <w:r>
        <w:rPr>
          <w:color w:val="767070"/>
          <w:spacing w:val="-5"/>
          <w:sz w:val="16"/>
        </w:rPr>
        <w:t xml:space="preserve"> </w:t>
      </w:r>
      <w:r>
        <w:rPr>
          <w:color w:val="767070"/>
          <w:sz w:val="16"/>
        </w:rPr>
        <w:t>Registration)</w:t>
      </w:r>
      <w:r>
        <w:rPr>
          <w:color w:val="767070"/>
          <w:spacing w:val="-5"/>
          <w:sz w:val="16"/>
        </w:rPr>
        <w:t xml:space="preserve"> </w:t>
      </w:r>
      <w:r>
        <w:rPr>
          <w:color w:val="767070"/>
          <w:sz w:val="16"/>
        </w:rPr>
        <w:t>is</w:t>
      </w:r>
      <w:r>
        <w:rPr>
          <w:color w:val="767070"/>
          <w:spacing w:val="-6"/>
          <w:sz w:val="16"/>
        </w:rPr>
        <w:t xml:space="preserve"> </w:t>
      </w:r>
      <w:r>
        <w:rPr>
          <w:color w:val="767070"/>
          <w:sz w:val="16"/>
        </w:rPr>
        <w:t>a</w:t>
      </w:r>
      <w:r>
        <w:rPr>
          <w:color w:val="767070"/>
          <w:spacing w:val="-4"/>
          <w:sz w:val="16"/>
        </w:rPr>
        <w:t xml:space="preserve"> </w:t>
      </w:r>
      <w:r>
        <w:rPr>
          <w:color w:val="767070"/>
          <w:sz w:val="16"/>
        </w:rPr>
        <w:t>social</w:t>
      </w:r>
      <w:r>
        <w:rPr>
          <w:color w:val="767070"/>
          <w:spacing w:val="-4"/>
          <w:sz w:val="16"/>
        </w:rPr>
        <w:t xml:space="preserve"> </w:t>
      </w:r>
      <w:r>
        <w:rPr>
          <w:color w:val="767070"/>
          <w:sz w:val="16"/>
        </w:rPr>
        <w:t>welfare</w:t>
      </w:r>
      <w:r>
        <w:rPr>
          <w:color w:val="767070"/>
          <w:spacing w:val="-6"/>
          <w:sz w:val="16"/>
        </w:rPr>
        <w:t xml:space="preserve"> </w:t>
      </w:r>
      <w:r>
        <w:rPr>
          <w:color w:val="767070"/>
          <w:sz w:val="16"/>
        </w:rPr>
        <w:t>database</w:t>
      </w:r>
      <w:r>
        <w:rPr>
          <w:color w:val="767070"/>
          <w:spacing w:val="-5"/>
          <w:sz w:val="16"/>
        </w:rPr>
        <w:t xml:space="preserve"> </w:t>
      </w:r>
      <w:r>
        <w:rPr>
          <w:color w:val="767070"/>
          <w:sz w:val="16"/>
        </w:rPr>
        <w:t>launched</w:t>
      </w:r>
      <w:r>
        <w:rPr>
          <w:color w:val="767070"/>
          <w:spacing w:val="-4"/>
          <w:sz w:val="16"/>
        </w:rPr>
        <w:t xml:space="preserve"> </w:t>
      </w:r>
      <w:r>
        <w:rPr>
          <w:color w:val="767070"/>
          <w:sz w:val="16"/>
        </w:rPr>
        <w:t>by</w:t>
      </w:r>
      <w:r>
        <w:rPr>
          <w:color w:val="767070"/>
          <w:spacing w:val="-4"/>
          <w:sz w:val="16"/>
        </w:rPr>
        <w:t xml:space="preserve"> </w:t>
      </w:r>
      <w:r>
        <w:rPr>
          <w:color w:val="767070"/>
          <w:sz w:val="16"/>
        </w:rPr>
        <w:t>the</w:t>
      </w:r>
      <w:r>
        <w:rPr>
          <w:color w:val="767070"/>
          <w:spacing w:val="-6"/>
          <w:sz w:val="16"/>
        </w:rPr>
        <w:t xml:space="preserve"> </w:t>
      </w:r>
      <w:r>
        <w:rPr>
          <w:color w:val="767070"/>
          <w:sz w:val="16"/>
        </w:rPr>
        <w:t>Ministry</w:t>
      </w:r>
      <w:r>
        <w:rPr>
          <w:color w:val="767070"/>
          <w:spacing w:val="-4"/>
          <w:sz w:val="16"/>
        </w:rPr>
        <w:t xml:space="preserve"> </w:t>
      </w:r>
      <w:r>
        <w:rPr>
          <w:color w:val="767070"/>
          <w:sz w:val="16"/>
        </w:rPr>
        <w:t>of</w:t>
      </w:r>
      <w:r>
        <w:rPr>
          <w:color w:val="767070"/>
          <w:spacing w:val="-6"/>
          <w:sz w:val="16"/>
        </w:rPr>
        <w:t xml:space="preserve"> </w:t>
      </w:r>
      <w:r>
        <w:rPr>
          <w:color w:val="767070"/>
          <w:sz w:val="16"/>
        </w:rPr>
        <w:t>National</w:t>
      </w:r>
      <w:r>
        <w:rPr>
          <w:color w:val="767070"/>
          <w:spacing w:val="-6"/>
          <w:sz w:val="16"/>
        </w:rPr>
        <w:t xml:space="preserve"> </w:t>
      </w:r>
      <w:r>
        <w:rPr>
          <w:color w:val="767070"/>
          <w:sz w:val="16"/>
        </w:rPr>
        <w:t>Development</w:t>
      </w:r>
      <w:r>
        <w:rPr>
          <w:color w:val="767070"/>
          <w:spacing w:val="40"/>
          <w:sz w:val="16"/>
        </w:rPr>
        <w:t xml:space="preserve"> </w:t>
      </w:r>
      <w:r>
        <w:rPr>
          <w:color w:val="767070"/>
          <w:spacing w:val="-2"/>
          <w:sz w:val="16"/>
        </w:rPr>
        <w:t>Planning/Bappenas.</w:t>
      </w:r>
    </w:p>
    <w:p w14:paraId="6687BC67" w14:textId="77777777" w:rsidR="00BC24A8" w:rsidRDefault="00000000">
      <w:pPr>
        <w:ind w:left="143"/>
        <w:rPr>
          <w:sz w:val="16"/>
        </w:rPr>
      </w:pPr>
      <w:bookmarkStart w:id="165" w:name="_bookmark112"/>
      <w:bookmarkEnd w:id="165"/>
      <w:r>
        <w:rPr>
          <w:color w:val="767070"/>
          <w:sz w:val="16"/>
          <w:vertAlign w:val="superscript"/>
        </w:rPr>
        <w:t>50</w:t>
      </w:r>
      <w:r>
        <w:rPr>
          <w:color w:val="767070"/>
          <w:spacing w:val="-8"/>
          <w:sz w:val="16"/>
        </w:rPr>
        <w:t xml:space="preserve"> </w:t>
      </w:r>
      <w:r>
        <w:rPr>
          <w:color w:val="767070"/>
          <w:sz w:val="16"/>
        </w:rPr>
        <w:t>SIPD</w:t>
      </w:r>
      <w:r>
        <w:rPr>
          <w:color w:val="767070"/>
          <w:spacing w:val="-6"/>
          <w:sz w:val="16"/>
        </w:rPr>
        <w:t xml:space="preserve"> </w:t>
      </w:r>
      <w:r>
        <w:rPr>
          <w:color w:val="767070"/>
          <w:sz w:val="16"/>
        </w:rPr>
        <w:t>is</w:t>
      </w:r>
      <w:r>
        <w:rPr>
          <w:color w:val="767070"/>
          <w:spacing w:val="-6"/>
          <w:sz w:val="16"/>
        </w:rPr>
        <w:t xml:space="preserve"> </w:t>
      </w:r>
      <w:r>
        <w:rPr>
          <w:color w:val="767070"/>
          <w:sz w:val="16"/>
        </w:rPr>
        <w:t>a</w:t>
      </w:r>
      <w:r>
        <w:rPr>
          <w:color w:val="767070"/>
          <w:spacing w:val="-7"/>
          <w:sz w:val="16"/>
        </w:rPr>
        <w:t xml:space="preserve"> </w:t>
      </w:r>
      <w:r>
        <w:rPr>
          <w:color w:val="767070"/>
          <w:sz w:val="16"/>
        </w:rPr>
        <w:t>Regional</w:t>
      </w:r>
      <w:r>
        <w:rPr>
          <w:color w:val="767070"/>
          <w:spacing w:val="-8"/>
          <w:sz w:val="16"/>
        </w:rPr>
        <w:t xml:space="preserve"> </w:t>
      </w:r>
      <w:r>
        <w:rPr>
          <w:color w:val="767070"/>
          <w:sz w:val="16"/>
        </w:rPr>
        <w:t>Government</w:t>
      </w:r>
      <w:r>
        <w:rPr>
          <w:color w:val="767070"/>
          <w:spacing w:val="-8"/>
          <w:sz w:val="16"/>
        </w:rPr>
        <w:t xml:space="preserve"> </w:t>
      </w:r>
      <w:r>
        <w:rPr>
          <w:color w:val="767070"/>
          <w:sz w:val="16"/>
        </w:rPr>
        <w:t>Information</w:t>
      </w:r>
      <w:r>
        <w:rPr>
          <w:color w:val="767070"/>
          <w:spacing w:val="-8"/>
          <w:sz w:val="16"/>
        </w:rPr>
        <w:t xml:space="preserve"> </w:t>
      </w:r>
      <w:r>
        <w:rPr>
          <w:color w:val="767070"/>
          <w:sz w:val="16"/>
        </w:rPr>
        <w:t>System</w:t>
      </w:r>
      <w:r>
        <w:rPr>
          <w:color w:val="767070"/>
          <w:spacing w:val="-8"/>
          <w:sz w:val="16"/>
        </w:rPr>
        <w:t xml:space="preserve"> </w:t>
      </w:r>
      <w:r>
        <w:rPr>
          <w:color w:val="767070"/>
          <w:sz w:val="16"/>
        </w:rPr>
        <w:t>that</w:t>
      </w:r>
      <w:r>
        <w:rPr>
          <w:color w:val="767070"/>
          <w:spacing w:val="-7"/>
          <w:sz w:val="16"/>
        </w:rPr>
        <w:t xml:space="preserve"> </w:t>
      </w:r>
      <w:r>
        <w:rPr>
          <w:color w:val="767070"/>
          <w:sz w:val="16"/>
        </w:rPr>
        <w:t>provides</w:t>
      </w:r>
      <w:r>
        <w:rPr>
          <w:color w:val="767070"/>
          <w:spacing w:val="-6"/>
          <w:sz w:val="16"/>
        </w:rPr>
        <w:t xml:space="preserve"> </w:t>
      </w:r>
      <w:r>
        <w:rPr>
          <w:color w:val="767070"/>
          <w:sz w:val="16"/>
        </w:rPr>
        <w:t>regional</w:t>
      </w:r>
      <w:r>
        <w:rPr>
          <w:color w:val="767070"/>
          <w:spacing w:val="-9"/>
          <w:sz w:val="16"/>
        </w:rPr>
        <w:t xml:space="preserve"> </w:t>
      </w:r>
      <w:r>
        <w:rPr>
          <w:color w:val="767070"/>
          <w:sz w:val="16"/>
        </w:rPr>
        <w:t>development</w:t>
      </w:r>
      <w:r>
        <w:rPr>
          <w:color w:val="767070"/>
          <w:spacing w:val="-9"/>
          <w:sz w:val="16"/>
        </w:rPr>
        <w:t xml:space="preserve"> </w:t>
      </w:r>
      <w:r>
        <w:rPr>
          <w:color w:val="767070"/>
          <w:sz w:val="16"/>
        </w:rPr>
        <w:t>data</w:t>
      </w:r>
      <w:r>
        <w:rPr>
          <w:color w:val="767070"/>
          <w:spacing w:val="-6"/>
          <w:sz w:val="16"/>
        </w:rPr>
        <w:t xml:space="preserve"> </w:t>
      </w:r>
      <w:r>
        <w:rPr>
          <w:color w:val="767070"/>
          <w:sz w:val="16"/>
        </w:rPr>
        <w:t>and</w:t>
      </w:r>
      <w:r>
        <w:rPr>
          <w:color w:val="767070"/>
          <w:spacing w:val="-6"/>
          <w:sz w:val="16"/>
        </w:rPr>
        <w:t xml:space="preserve"> </w:t>
      </w:r>
      <w:r>
        <w:rPr>
          <w:color w:val="767070"/>
          <w:spacing w:val="-2"/>
          <w:sz w:val="16"/>
        </w:rPr>
        <w:t>information.</w:t>
      </w:r>
    </w:p>
    <w:p w14:paraId="0053A78B" w14:textId="77777777" w:rsidR="00BC24A8" w:rsidRDefault="00BC24A8">
      <w:pPr>
        <w:rPr>
          <w:sz w:val="16"/>
        </w:rPr>
        <w:sectPr w:rsidR="00BC24A8">
          <w:pgSz w:w="11910" w:h="16840"/>
          <w:pgMar w:top="1360" w:right="850" w:bottom="1100" w:left="1275" w:header="0" w:footer="907" w:gutter="0"/>
          <w:cols w:space="720"/>
        </w:sectPr>
      </w:pPr>
    </w:p>
    <w:p w14:paraId="244F3718" w14:textId="77777777" w:rsidR="00BC24A8" w:rsidRDefault="00000000">
      <w:pPr>
        <w:pStyle w:val="ListParagraph"/>
        <w:numPr>
          <w:ilvl w:val="3"/>
          <w:numId w:val="133"/>
        </w:numPr>
        <w:tabs>
          <w:tab w:val="left" w:pos="863"/>
        </w:tabs>
        <w:spacing w:before="79"/>
        <w:ind w:right="564" w:hanging="360"/>
      </w:pPr>
      <w:r>
        <w:lastRenderedPageBreak/>
        <w:t>Kaltara’s</w:t>
      </w:r>
      <w:r>
        <w:rPr>
          <w:spacing w:val="-6"/>
        </w:rPr>
        <w:t xml:space="preserve"> </w:t>
      </w:r>
      <w:r>
        <w:t>One</w:t>
      </w:r>
      <w:r>
        <w:rPr>
          <w:spacing w:val="-8"/>
        </w:rPr>
        <w:t xml:space="preserve"> </w:t>
      </w:r>
      <w:r>
        <w:t>Data</w:t>
      </w:r>
      <w:r>
        <w:rPr>
          <w:spacing w:val="-7"/>
        </w:rPr>
        <w:t xml:space="preserve"> </w:t>
      </w:r>
      <w:r>
        <w:t>Portal,</w:t>
      </w:r>
      <w:r>
        <w:rPr>
          <w:spacing w:val="-8"/>
        </w:rPr>
        <w:t xml:space="preserve"> </w:t>
      </w:r>
      <w:r>
        <w:t>E-DATAKU</w:t>
      </w:r>
      <w:r>
        <w:rPr>
          <w:spacing w:val="-8"/>
        </w:rPr>
        <w:t xml:space="preserve"> </w:t>
      </w:r>
      <w:r>
        <w:t>Sidara</w:t>
      </w:r>
      <w:r>
        <w:rPr>
          <w:spacing w:val="-10"/>
        </w:rPr>
        <w:t xml:space="preserve"> </w:t>
      </w:r>
      <w:r>
        <w:t>Cantik</w:t>
      </w:r>
      <w:r>
        <w:rPr>
          <w:spacing w:val="-8"/>
        </w:rPr>
        <w:t xml:space="preserve"> </w:t>
      </w:r>
      <w:r>
        <w:t>2.0,</w:t>
      </w:r>
      <w:r>
        <w:rPr>
          <w:spacing w:val="-8"/>
        </w:rPr>
        <w:t xml:space="preserve"> </w:t>
      </w:r>
      <w:r>
        <w:t>has</w:t>
      </w:r>
      <w:r>
        <w:rPr>
          <w:spacing w:val="-8"/>
        </w:rPr>
        <w:t xml:space="preserve"> </w:t>
      </w:r>
      <w:r>
        <w:t>been</w:t>
      </w:r>
      <w:r>
        <w:rPr>
          <w:spacing w:val="-9"/>
        </w:rPr>
        <w:t xml:space="preserve"> </w:t>
      </w:r>
      <w:r>
        <w:t>launched</w:t>
      </w:r>
      <w:r>
        <w:rPr>
          <w:spacing w:val="-6"/>
        </w:rPr>
        <w:t xml:space="preserve"> </w:t>
      </w:r>
      <w:r>
        <w:t>with</w:t>
      </w:r>
      <w:r>
        <w:rPr>
          <w:spacing w:val="-9"/>
        </w:rPr>
        <w:t xml:space="preserve"> </w:t>
      </w:r>
      <w:r>
        <w:t>feature</w:t>
      </w:r>
      <w:r>
        <w:rPr>
          <w:spacing w:val="-8"/>
        </w:rPr>
        <w:t xml:space="preserve"> </w:t>
      </w:r>
      <w:r>
        <w:t>updates such as affair-based data, cross-system interoperability (SDPDN &amp; SDI), accomodating of MSS and GEDSI data, and a more disability-friendly interface.</w:t>
      </w:r>
    </w:p>
    <w:p w14:paraId="0E016505" w14:textId="77777777" w:rsidR="00BC24A8" w:rsidRDefault="00000000">
      <w:pPr>
        <w:pStyle w:val="ListParagraph"/>
        <w:numPr>
          <w:ilvl w:val="3"/>
          <w:numId w:val="133"/>
        </w:numPr>
        <w:tabs>
          <w:tab w:val="left" w:pos="861"/>
          <w:tab w:val="left" w:pos="863"/>
        </w:tabs>
        <w:ind w:right="564"/>
      </w:pPr>
      <w:r>
        <w:t>The budget for the One Data Daerah in 2025 is IDR 327.2 million, a 49% increase from 2024, allocated through Bappeda as the data secretariat.</w:t>
      </w:r>
    </w:p>
    <w:p w14:paraId="668D35C0" w14:textId="77777777" w:rsidR="00BC24A8" w:rsidRDefault="00BC24A8">
      <w:pPr>
        <w:pStyle w:val="BodyText"/>
      </w:pPr>
    </w:p>
    <w:p w14:paraId="5253E4C9" w14:textId="77777777" w:rsidR="00BC24A8" w:rsidRDefault="00BC24A8">
      <w:pPr>
        <w:pStyle w:val="BodyText"/>
        <w:spacing w:before="12"/>
      </w:pPr>
    </w:p>
    <w:p w14:paraId="777CCB48" w14:textId="77777777" w:rsidR="00BC24A8" w:rsidRDefault="00000000">
      <w:pPr>
        <w:pStyle w:val="Heading5"/>
      </w:pPr>
      <w:r>
        <w:t>SKALA</w:t>
      </w:r>
      <w:r>
        <w:rPr>
          <w:spacing w:val="-7"/>
        </w:rPr>
        <w:t xml:space="preserve"> </w:t>
      </w:r>
      <w:r>
        <w:t>strengthened</w:t>
      </w:r>
      <w:r>
        <w:rPr>
          <w:spacing w:val="-8"/>
        </w:rPr>
        <w:t xml:space="preserve"> </w:t>
      </w:r>
      <w:r>
        <w:t>quality</w:t>
      </w:r>
      <w:r>
        <w:rPr>
          <w:spacing w:val="-6"/>
        </w:rPr>
        <w:t xml:space="preserve"> </w:t>
      </w:r>
      <w:r>
        <w:t>data</w:t>
      </w:r>
      <w:r>
        <w:rPr>
          <w:spacing w:val="-9"/>
        </w:rPr>
        <w:t xml:space="preserve"> </w:t>
      </w:r>
      <w:r>
        <w:t>collection</w:t>
      </w:r>
      <w:r>
        <w:rPr>
          <w:spacing w:val="-8"/>
        </w:rPr>
        <w:t xml:space="preserve"> </w:t>
      </w:r>
      <w:r>
        <w:t>and</w:t>
      </w:r>
      <w:r>
        <w:rPr>
          <w:spacing w:val="-8"/>
        </w:rPr>
        <w:t xml:space="preserve"> </w:t>
      </w:r>
      <w:r>
        <w:rPr>
          <w:spacing w:val="-2"/>
        </w:rPr>
        <w:t>dissemination:</w:t>
      </w:r>
    </w:p>
    <w:p w14:paraId="098F8850" w14:textId="77777777" w:rsidR="00BC24A8" w:rsidRDefault="00000000">
      <w:pPr>
        <w:pStyle w:val="ListParagraph"/>
        <w:numPr>
          <w:ilvl w:val="3"/>
          <w:numId w:val="133"/>
        </w:numPr>
        <w:tabs>
          <w:tab w:val="left" w:pos="861"/>
          <w:tab w:val="left" w:pos="863"/>
        </w:tabs>
        <w:spacing w:before="159"/>
        <w:ind w:right="564"/>
      </w:pPr>
      <w:r>
        <w:t>Effective implementation of the Regional One Data cycle SOP with “door to door” data verification, supported by strong collaboration among the Secretariat, Walidata, and Data Supervisors. Results:</w:t>
      </w:r>
    </w:p>
    <w:p w14:paraId="626D21FA" w14:textId="77777777" w:rsidR="00BC24A8" w:rsidRDefault="00000000">
      <w:pPr>
        <w:pStyle w:val="ListParagraph"/>
        <w:numPr>
          <w:ilvl w:val="3"/>
          <w:numId w:val="133"/>
        </w:numPr>
        <w:tabs>
          <w:tab w:val="left" w:pos="861"/>
          <w:tab w:val="left" w:pos="863"/>
        </w:tabs>
        <w:spacing w:before="3" w:line="237" w:lineRule="auto"/>
        <w:ind w:right="565"/>
      </w:pPr>
      <w:r>
        <w:t>A total of 1,961 subnational data points (including 94 MSS data) were completed and verified, with 85% assessed as meeting Regional One Data quality standards.</w:t>
      </w:r>
    </w:p>
    <w:p w14:paraId="0FBD6783" w14:textId="77777777" w:rsidR="00BC24A8" w:rsidRDefault="00000000">
      <w:pPr>
        <w:pStyle w:val="ListParagraph"/>
        <w:numPr>
          <w:ilvl w:val="3"/>
          <w:numId w:val="133"/>
        </w:numPr>
        <w:tabs>
          <w:tab w:val="left" w:pos="861"/>
          <w:tab w:val="left" w:pos="863"/>
        </w:tabs>
        <w:spacing w:before="2"/>
        <w:ind w:right="564"/>
      </w:pPr>
      <w:r>
        <w:t>The E-DATAKu SIDARA CANTIK 2.0 portal has provided 1,080 datasets (55% of the 2025 Data List) that have been used in various regional planning activities.</w:t>
      </w:r>
    </w:p>
    <w:p w14:paraId="7038D172" w14:textId="77777777" w:rsidR="00BC24A8" w:rsidRDefault="00BC24A8">
      <w:pPr>
        <w:pStyle w:val="BodyText"/>
      </w:pPr>
    </w:p>
    <w:p w14:paraId="4EC7FFD8" w14:textId="77777777" w:rsidR="00BC24A8" w:rsidRDefault="00BC24A8">
      <w:pPr>
        <w:pStyle w:val="BodyText"/>
        <w:spacing w:before="13"/>
      </w:pPr>
    </w:p>
    <w:p w14:paraId="69AEDE01" w14:textId="77777777" w:rsidR="00BC24A8" w:rsidRDefault="00000000">
      <w:pPr>
        <w:pStyle w:val="Heading5"/>
      </w:pPr>
      <w:r>
        <w:t>SKALA</w:t>
      </w:r>
      <w:r>
        <w:rPr>
          <w:spacing w:val="-8"/>
        </w:rPr>
        <w:t xml:space="preserve"> </w:t>
      </w:r>
      <w:r>
        <w:t>encouraged</w:t>
      </w:r>
      <w:r>
        <w:rPr>
          <w:spacing w:val="-9"/>
        </w:rPr>
        <w:t xml:space="preserve"> </w:t>
      </w:r>
      <w:r>
        <w:t>data</w:t>
      </w:r>
      <w:r>
        <w:rPr>
          <w:spacing w:val="-8"/>
        </w:rPr>
        <w:t xml:space="preserve"> </w:t>
      </w:r>
      <w:r>
        <w:rPr>
          <w:spacing w:val="-2"/>
        </w:rPr>
        <w:t>utilisation:</w:t>
      </w:r>
    </w:p>
    <w:p w14:paraId="7487B2B6" w14:textId="77777777" w:rsidR="00BC24A8" w:rsidRDefault="00000000">
      <w:pPr>
        <w:pStyle w:val="ListParagraph"/>
        <w:numPr>
          <w:ilvl w:val="3"/>
          <w:numId w:val="133"/>
        </w:numPr>
        <w:tabs>
          <w:tab w:val="left" w:pos="863"/>
        </w:tabs>
        <w:spacing w:before="159"/>
        <w:ind w:right="560" w:hanging="360"/>
      </w:pPr>
      <w:r>
        <w:t>Data on regional potential, service needs, disaster risk, and social issues listed in the data list have been utilised in preparing the RPJMD</w:t>
      </w:r>
      <w:r>
        <w:rPr>
          <w:spacing w:val="-1"/>
        </w:rPr>
        <w:t xml:space="preserve"> </w:t>
      </w:r>
      <w:r>
        <w:t>2025–2029, the Out-of-School Children Action Plan (RAD-ATS), and the Regional Poverty Reduction Plan (RPKD).</w:t>
      </w:r>
    </w:p>
    <w:p w14:paraId="14DFF4F8" w14:textId="77777777" w:rsidR="00BC24A8" w:rsidRDefault="00000000">
      <w:pPr>
        <w:pStyle w:val="ListParagraph"/>
        <w:numPr>
          <w:ilvl w:val="3"/>
          <w:numId w:val="133"/>
        </w:numPr>
        <w:tabs>
          <w:tab w:val="left" w:pos="861"/>
          <w:tab w:val="left" w:pos="863"/>
        </w:tabs>
        <w:spacing w:before="1"/>
        <w:ind w:right="563"/>
      </w:pPr>
      <w:r>
        <w:t>Six</w:t>
      </w:r>
      <w:r>
        <w:rPr>
          <w:spacing w:val="-5"/>
        </w:rPr>
        <w:t xml:space="preserve"> </w:t>
      </w:r>
      <w:r>
        <w:t>MSS-related</w:t>
      </w:r>
      <w:r>
        <w:rPr>
          <w:spacing w:val="-4"/>
        </w:rPr>
        <w:t xml:space="preserve"> </w:t>
      </w:r>
      <w:r>
        <w:t>agencies</w:t>
      </w:r>
      <w:r>
        <w:rPr>
          <w:spacing w:val="-6"/>
        </w:rPr>
        <w:t xml:space="preserve"> </w:t>
      </w:r>
      <w:r>
        <w:t>(16</w:t>
      </w:r>
      <w:r>
        <w:rPr>
          <w:spacing w:val="-3"/>
        </w:rPr>
        <w:t xml:space="preserve"> </w:t>
      </w:r>
      <w:r>
        <w:t>civil</w:t>
      </w:r>
      <w:r>
        <w:rPr>
          <w:spacing w:val="-5"/>
        </w:rPr>
        <w:t xml:space="preserve"> </w:t>
      </w:r>
      <w:r>
        <w:t>servants:</w:t>
      </w:r>
      <w:r>
        <w:rPr>
          <w:spacing w:val="-7"/>
        </w:rPr>
        <w:t xml:space="preserve"> </w:t>
      </w:r>
      <w:r>
        <w:t>11</w:t>
      </w:r>
      <w:r>
        <w:rPr>
          <w:spacing w:val="-6"/>
        </w:rPr>
        <w:t xml:space="preserve"> </w:t>
      </w:r>
      <w:r>
        <w:t>men,</w:t>
      </w:r>
      <w:r>
        <w:rPr>
          <w:spacing w:val="-5"/>
        </w:rPr>
        <w:t xml:space="preserve"> </w:t>
      </w:r>
      <w:r>
        <w:t>5</w:t>
      </w:r>
      <w:r>
        <w:rPr>
          <w:spacing w:val="-6"/>
        </w:rPr>
        <w:t xml:space="preserve"> </w:t>
      </w:r>
      <w:r>
        <w:t>women)</w:t>
      </w:r>
      <w:r>
        <w:rPr>
          <w:spacing w:val="-5"/>
        </w:rPr>
        <w:t xml:space="preserve"> </w:t>
      </w:r>
      <w:r>
        <w:t>utilised</w:t>
      </w:r>
      <w:r>
        <w:rPr>
          <w:spacing w:val="-6"/>
        </w:rPr>
        <w:t xml:space="preserve"> </w:t>
      </w:r>
      <w:r>
        <w:t>data</w:t>
      </w:r>
      <w:r>
        <w:rPr>
          <w:spacing w:val="-7"/>
        </w:rPr>
        <w:t xml:space="preserve"> </w:t>
      </w:r>
      <w:r>
        <w:t>from</w:t>
      </w:r>
      <w:r>
        <w:rPr>
          <w:spacing w:val="-4"/>
        </w:rPr>
        <w:t xml:space="preserve"> </w:t>
      </w:r>
      <w:r>
        <w:t>the</w:t>
      </w:r>
      <w:r>
        <w:rPr>
          <w:spacing w:val="-5"/>
        </w:rPr>
        <w:t xml:space="preserve"> </w:t>
      </w:r>
      <w:r>
        <w:t>2025</w:t>
      </w:r>
      <w:r>
        <w:rPr>
          <w:spacing w:val="-6"/>
        </w:rPr>
        <w:t xml:space="preserve"> </w:t>
      </w:r>
      <w:r>
        <w:t>Data List to develop five policy briefs that addressed issues related to MSS fulfillment.</w:t>
      </w:r>
    </w:p>
    <w:p w14:paraId="6EC58384" w14:textId="77777777" w:rsidR="00BC24A8" w:rsidRDefault="00BC24A8">
      <w:pPr>
        <w:pStyle w:val="BodyText"/>
        <w:spacing w:before="221"/>
      </w:pPr>
    </w:p>
    <w:p w14:paraId="2A534C5A" w14:textId="77777777" w:rsidR="00BC24A8" w:rsidRDefault="00000000">
      <w:pPr>
        <w:pStyle w:val="Heading5"/>
        <w:spacing w:line="384" w:lineRule="auto"/>
        <w:ind w:right="1346"/>
      </w:pPr>
      <w:r>
        <w:rPr>
          <w:color w:val="17365A"/>
        </w:rPr>
        <w:t>Better</w:t>
      </w:r>
      <w:r>
        <w:rPr>
          <w:color w:val="17365A"/>
          <w:spacing w:val="-6"/>
        </w:rPr>
        <w:t xml:space="preserve"> </w:t>
      </w:r>
      <w:r>
        <w:rPr>
          <w:color w:val="17365A"/>
        </w:rPr>
        <w:t>public</w:t>
      </w:r>
      <w:r>
        <w:rPr>
          <w:color w:val="17365A"/>
          <w:spacing w:val="-5"/>
        </w:rPr>
        <w:t xml:space="preserve"> </w:t>
      </w:r>
      <w:r>
        <w:rPr>
          <w:color w:val="17365A"/>
        </w:rPr>
        <w:t>financial</w:t>
      </w:r>
      <w:r>
        <w:rPr>
          <w:color w:val="17365A"/>
          <w:spacing w:val="-3"/>
        </w:rPr>
        <w:t xml:space="preserve"> </w:t>
      </w:r>
      <w:r>
        <w:rPr>
          <w:color w:val="17365A"/>
        </w:rPr>
        <w:t>management</w:t>
      </w:r>
      <w:r>
        <w:rPr>
          <w:color w:val="17365A"/>
          <w:spacing w:val="-6"/>
        </w:rPr>
        <w:t xml:space="preserve"> </w:t>
      </w:r>
      <w:r>
        <w:rPr>
          <w:color w:val="17365A"/>
        </w:rPr>
        <w:t>to</w:t>
      </w:r>
      <w:r>
        <w:rPr>
          <w:color w:val="17365A"/>
          <w:spacing w:val="-5"/>
        </w:rPr>
        <w:t xml:space="preserve"> </w:t>
      </w:r>
      <w:r>
        <w:rPr>
          <w:color w:val="17365A"/>
        </w:rPr>
        <w:t>support</w:t>
      </w:r>
      <w:r>
        <w:rPr>
          <w:color w:val="17365A"/>
          <w:spacing w:val="-6"/>
        </w:rPr>
        <w:t xml:space="preserve"> </w:t>
      </w:r>
      <w:r>
        <w:rPr>
          <w:color w:val="17365A"/>
        </w:rPr>
        <w:t>improved</w:t>
      </w:r>
      <w:r>
        <w:rPr>
          <w:color w:val="17365A"/>
          <w:spacing w:val="-5"/>
        </w:rPr>
        <w:t xml:space="preserve"> </w:t>
      </w:r>
      <w:r>
        <w:rPr>
          <w:color w:val="17365A"/>
        </w:rPr>
        <w:t>service</w:t>
      </w:r>
      <w:r>
        <w:rPr>
          <w:color w:val="17365A"/>
          <w:spacing w:val="-5"/>
        </w:rPr>
        <w:t xml:space="preserve"> </w:t>
      </w:r>
      <w:r>
        <w:rPr>
          <w:color w:val="17365A"/>
        </w:rPr>
        <w:t>delivery</w:t>
      </w:r>
      <w:r>
        <w:rPr>
          <w:color w:val="17365A"/>
          <w:spacing w:val="-3"/>
        </w:rPr>
        <w:t xml:space="preserve"> </w:t>
      </w:r>
      <w:r>
        <w:rPr>
          <w:color w:val="17365A"/>
        </w:rPr>
        <w:t>(IO</w:t>
      </w:r>
      <w:r>
        <w:rPr>
          <w:color w:val="17365A"/>
          <w:spacing w:val="-7"/>
        </w:rPr>
        <w:t xml:space="preserve"> </w:t>
      </w:r>
      <w:r>
        <w:rPr>
          <w:color w:val="17365A"/>
        </w:rPr>
        <w:t>4</w:t>
      </w:r>
      <w:r>
        <w:rPr>
          <w:color w:val="17365A"/>
          <w:spacing w:val="-3"/>
        </w:rPr>
        <w:t xml:space="preserve"> </w:t>
      </w:r>
      <w:r>
        <w:rPr>
          <w:color w:val="17365A"/>
        </w:rPr>
        <w:t>and</w:t>
      </w:r>
      <w:r>
        <w:rPr>
          <w:color w:val="17365A"/>
          <w:spacing w:val="-5"/>
        </w:rPr>
        <w:t xml:space="preserve"> </w:t>
      </w:r>
      <w:r>
        <w:rPr>
          <w:color w:val="17365A"/>
        </w:rPr>
        <w:t xml:space="preserve">6) </w:t>
      </w:r>
      <w:r>
        <w:t>SKALA supported the alignment of various local plans:</w:t>
      </w:r>
    </w:p>
    <w:p w14:paraId="58A4D3AA" w14:textId="77777777" w:rsidR="00BC24A8" w:rsidRDefault="00000000">
      <w:pPr>
        <w:pStyle w:val="ListParagraph"/>
        <w:numPr>
          <w:ilvl w:val="3"/>
          <w:numId w:val="133"/>
        </w:numPr>
        <w:tabs>
          <w:tab w:val="left" w:pos="861"/>
          <w:tab w:val="left" w:pos="863"/>
        </w:tabs>
        <w:ind w:right="563"/>
      </w:pPr>
      <w:r>
        <w:t>179</w:t>
      </w:r>
      <w:r>
        <w:rPr>
          <w:spacing w:val="-13"/>
        </w:rPr>
        <w:t xml:space="preserve"> </w:t>
      </w:r>
      <w:r>
        <w:t>provincial</w:t>
      </w:r>
      <w:r>
        <w:rPr>
          <w:spacing w:val="-11"/>
        </w:rPr>
        <w:t xml:space="preserve"> </w:t>
      </w:r>
      <w:r>
        <w:t>and</w:t>
      </w:r>
      <w:r>
        <w:rPr>
          <w:spacing w:val="-11"/>
        </w:rPr>
        <w:t xml:space="preserve"> </w:t>
      </w:r>
      <w:r>
        <w:t>district/city</w:t>
      </w:r>
      <w:r>
        <w:rPr>
          <w:spacing w:val="-10"/>
        </w:rPr>
        <w:t xml:space="preserve"> </w:t>
      </w:r>
      <w:r>
        <w:t>civil</w:t>
      </w:r>
      <w:r>
        <w:rPr>
          <w:spacing w:val="-12"/>
        </w:rPr>
        <w:t xml:space="preserve"> </w:t>
      </w:r>
      <w:r>
        <w:t>servants</w:t>
      </w:r>
      <w:r>
        <w:rPr>
          <w:spacing w:val="-13"/>
        </w:rPr>
        <w:t xml:space="preserve"> </w:t>
      </w:r>
      <w:r>
        <w:t>(88</w:t>
      </w:r>
      <w:r>
        <w:rPr>
          <w:spacing w:val="-12"/>
        </w:rPr>
        <w:t xml:space="preserve"> </w:t>
      </w:r>
      <w:r>
        <w:t>men,</w:t>
      </w:r>
      <w:r>
        <w:rPr>
          <w:spacing w:val="-13"/>
        </w:rPr>
        <w:t xml:space="preserve"> </w:t>
      </w:r>
      <w:r>
        <w:t>91</w:t>
      </w:r>
      <w:r>
        <w:rPr>
          <w:spacing w:val="-10"/>
        </w:rPr>
        <w:t xml:space="preserve"> </w:t>
      </w:r>
      <w:r>
        <w:t>women)</w:t>
      </w:r>
      <w:r>
        <w:rPr>
          <w:spacing w:val="-10"/>
        </w:rPr>
        <w:t xml:space="preserve"> </w:t>
      </w:r>
      <w:r>
        <w:t>received</w:t>
      </w:r>
      <w:r>
        <w:rPr>
          <w:spacing w:val="-11"/>
        </w:rPr>
        <w:t xml:space="preserve"> </w:t>
      </w:r>
      <w:r>
        <w:t>training</w:t>
      </w:r>
      <w:r>
        <w:rPr>
          <w:spacing w:val="-13"/>
        </w:rPr>
        <w:t xml:space="preserve"> </w:t>
      </w:r>
      <w:r>
        <w:t>on</w:t>
      </w:r>
      <w:r>
        <w:rPr>
          <w:spacing w:val="-11"/>
        </w:rPr>
        <w:t xml:space="preserve"> </w:t>
      </w:r>
      <w:r>
        <w:t>preparing cascading RPJMD into RENSTRA and RKPD 2026.</w:t>
      </w:r>
    </w:p>
    <w:p w14:paraId="4658F8B9" w14:textId="77777777" w:rsidR="00BC24A8" w:rsidRDefault="00000000">
      <w:pPr>
        <w:pStyle w:val="ListParagraph"/>
        <w:numPr>
          <w:ilvl w:val="3"/>
          <w:numId w:val="133"/>
        </w:numPr>
        <w:tabs>
          <w:tab w:val="left" w:pos="861"/>
          <w:tab w:val="left" w:pos="863"/>
        </w:tabs>
        <w:ind w:right="564"/>
      </w:pPr>
      <w:r>
        <w:t>The Governor’s Circular 900.1.5/1857/BKAD/GUB/2025, which mandates the integration of MSS in regional planning documents, demonstrates the success of SKALA’s advocacy and technical training with the Government Administration Bureau.</w:t>
      </w:r>
    </w:p>
    <w:p w14:paraId="5E4AB47C" w14:textId="77777777" w:rsidR="00BC24A8" w:rsidRDefault="00BC24A8">
      <w:pPr>
        <w:pStyle w:val="BodyText"/>
        <w:spacing w:before="160"/>
      </w:pPr>
    </w:p>
    <w:p w14:paraId="72FAECBC" w14:textId="77777777" w:rsidR="00BC24A8" w:rsidRDefault="00000000">
      <w:pPr>
        <w:pStyle w:val="Heading5"/>
      </w:pPr>
      <w:r>
        <w:t>SKALA</w:t>
      </w:r>
      <w:r>
        <w:rPr>
          <w:spacing w:val="-6"/>
        </w:rPr>
        <w:t xml:space="preserve"> </w:t>
      </w:r>
      <w:r>
        <w:t>supported</w:t>
      </w:r>
      <w:r>
        <w:rPr>
          <w:spacing w:val="-9"/>
        </w:rPr>
        <w:t xml:space="preserve"> </w:t>
      </w:r>
      <w:r>
        <w:t>increased</w:t>
      </w:r>
      <w:r>
        <w:rPr>
          <w:spacing w:val="-7"/>
        </w:rPr>
        <w:t xml:space="preserve"> </w:t>
      </w:r>
      <w:r>
        <w:t>local</w:t>
      </w:r>
      <w:r>
        <w:rPr>
          <w:spacing w:val="-5"/>
        </w:rPr>
        <w:t xml:space="preserve"> </w:t>
      </w:r>
      <w:r>
        <w:rPr>
          <w:spacing w:val="-2"/>
        </w:rPr>
        <w:t>revenue:</w:t>
      </w:r>
    </w:p>
    <w:p w14:paraId="1F58D386" w14:textId="77777777" w:rsidR="00BC24A8" w:rsidRDefault="00000000">
      <w:pPr>
        <w:pStyle w:val="ListParagraph"/>
        <w:numPr>
          <w:ilvl w:val="3"/>
          <w:numId w:val="133"/>
        </w:numPr>
        <w:tabs>
          <w:tab w:val="left" w:pos="861"/>
          <w:tab w:val="left" w:pos="863"/>
        </w:tabs>
        <w:spacing w:before="159"/>
        <w:ind w:right="564"/>
      </w:pPr>
      <w:r>
        <w:t>The</w:t>
      </w:r>
      <w:r>
        <w:rPr>
          <w:spacing w:val="40"/>
        </w:rPr>
        <w:t xml:space="preserve"> </w:t>
      </w:r>
      <w:r>
        <w:t>Kalimantan</w:t>
      </w:r>
      <w:r>
        <w:rPr>
          <w:spacing w:val="-6"/>
        </w:rPr>
        <w:t xml:space="preserve"> </w:t>
      </w:r>
      <w:r>
        <w:t>Utara</w:t>
      </w:r>
      <w:r>
        <w:rPr>
          <w:spacing w:val="-7"/>
        </w:rPr>
        <w:t xml:space="preserve"> </w:t>
      </w:r>
      <w:r>
        <w:t>Provincial</w:t>
      </w:r>
      <w:r>
        <w:rPr>
          <w:spacing w:val="-5"/>
        </w:rPr>
        <w:t xml:space="preserve"> </w:t>
      </w:r>
      <w:r>
        <w:t>Government</w:t>
      </w:r>
      <w:r>
        <w:rPr>
          <w:spacing w:val="-5"/>
        </w:rPr>
        <w:t xml:space="preserve"> </w:t>
      </w:r>
      <w:r>
        <w:t>generated</w:t>
      </w:r>
      <w:r>
        <w:rPr>
          <w:spacing w:val="-4"/>
        </w:rPr>
        <w:t xml:space="preserve"> </w:t>
      </w:r>
      <w:r>
        <w:t>new</w:t>
      </w:r>
      <w:r>
        <w:rPr>
          <w:spacing w:val="-7"/>
        </w:rPr>
        <w:t xml:space="preserve"> </w:t>
      </w:r>
      <w:r>
        <w:t>revenue</w:t>
      </w:r>
      <w:r>
        <w:rPr>
          <w:spacing w:val="-5"/>
        </w:rPr>
        <w:t xml:space="preserve"> </w:t>
      </w:r>
      <w:r>
        <w:t>of</w:t>
      </w:r>
      <w:r>
        <w:rPr>
          <w:spacing w:val="-5"/>
        </w:rPr>
        <w:t xml:space="preserve"> </w:t>
      </w:r>
      <w:r>
        <w:t>IDR</w:t>
      </w:r>
      <w:r>
        <w:rPr>
          <w:spacing w:val="-7"/>
        </w:rPr>
        <w:t xml:space="preserve"> </w:t>
      </w:r>
      <w:r>
        <w:t>86.6</w:t>
      </w:r>
      <w:r>
        <w:rPr>
          <w:spacing w:val="-8"/>
        </w:rPr>
        <w:t xml:space="preserve"> </w:t>
      </w:r>
      <w:r>
        <w:t>million</w:t>
      </w:r>
      <w:r>
        <w:rPr>
          <w:spacing w:val="-4"/>
        </w:rPr>
        <w:t xml:space="preserve"> </w:t>
      </w:r>
      <w:r>
        <w:t>in</w:t>
      </w:r>
      <w:r>
        <w:rPr>
          <w:spacing w:val="-4"/>
        </w:rPr>
        <w:t xml:space="preserve"> </w:t>
      </w:r>
      <w:r>
        <w:t>Q2 2025 from implementing Governor Regulation No. 40 of 2024 on the Calculation of PKB</w:t>
      </w:r>
      <w:hyperlink w:anchor="_bookmark113" w:history="1">
        <w:r w:rsidR="00BC24A8">
          <w:rPr>
            <w:vertAlign w:val="superscript"/>
          </w:rPr>
          <w:t>51</w:t>
        </w:r>
      </w:hyperlink>
      <w:r>
        <w:t xml:space="preserve"> for Water Vehicles, supported by SKALA.</w:t>
      </w:r>
    </w:p>
    <w:p w14:paraId="2DB76C76" w14:textId="77777777" w:rsidR="00BC24A8" w:rsidRDefault="00000000">
      <w:pPr>
        <w:pStyle w:val="ListParagraph"/>
        <w:numPr>
          <w:ilvl w:val="3"/>
          <w:numId w:val="133"/>
        </w:numPr>
        <w:tabs>
          <w:tab w:val="left" w:pos="861"/>
          <w:tab w:val="left" w:pos="863"/>
        </w:tabs>
        <w:spacing w:before="1"/>
        <w:ind w:right="565"/>
      </w:pPr>
      <w:r>
        <w:t>The nine regional revenue enhancement strategies from the study, supported by SKALA, have been integrated into the final draft of the RPJMD 2025–2029.</w:t>
      </w:r>
    </w:p>
    <w:p w14:paraId="70C8A7DB" w14:textId="77777777" w:rsidR="00BC24A8" w:rsidRDefault="00BC24A8">
      <w:pPr>
        <w:pStyle w:val="BodyText"/>
        <w:rPr>
          <w:sz w:val="20"/>
        </w:rPr>
      </w:pPr>
    </w:p>
    <w:p w14:paraId="5CDC7737" w14:textId="77777777" w:rsidR="00BC24A8" w:rsidRDefault="00BC24A8">
      <w:pPr>
        <w:pStyle w:val="BodyText"/>
        <w:rPr>
          <w:sz w:val="20"/>
        </w:rPr>
      </w:pPr>
    </w:p>
    <w:p w14:paraId="10D66029" w14:textId="77777777" w:rsidR="00BC24A8" w:rsidRDefault="00BC24A8">
      <w:pPr>
        <w:pStyle w:val="BodyText"/>
        <w:rPr>
          <w:sz w:val="20"/>
        </w:rPr>
      </w:pPr>
    </w:p>
    <w:p w14:paraId="0B33BCF2" w14:textId="77777777" w:rsidR="00BC24A8" w:rsidRDefault="00BC24A8">
      <w:pPr>
        <w:pStyle w:val="BodyText"/>
        <w:rPr>
          <w:sz w:val="20"/>
        </w:rPr>
      </w:pPr>
    </w:p>
    <w:p w14:paraId="5AE43E4B" w14:textId="77777777" w:rsidR="00BC24A8" w:rsidRDefault="00BC24A8">
      <w:pPr>
        <w:pStyle w:val="BodyText"/>
        <w:rPr>
          <w:sz w:val="20"/>
        </w:rPr>
      </w:pPr>
    </w:p>
    <w:p w14:paraId="0136ADCC" w14:textId="77777777" w:rsidR="00BC24A8" w:rsidRDefault="00000000">
      <w:pPr>
        <w:pStyle w:val="BodyText"/>
        <w:spacing w:before="176"/>
        <w:rPr>
          <w:sz w:val="20"/>
        </w:rPr>
      </w:pPr>
      <w:r>
        <w:rPr>
          <w:noProof/>
          <w:sz w:val="20"/>
        </w:rPr>
        <mc:AlternateContent>
          <mc:Choice Requires="wps">
            <w:drawing>
              <wp:anchor distT="0" distB="0" distL="0" distR="0" simplePos="0" relativeHeight="487611392" behindDoc="1" locked="0" layoutInCell="1" allowOverlap="1" wp14:anchorId="1423E0B8" wp14:editId="45B1427B">
                <wp:simplePos x="0" y="0"/>
                <wp:positionH relativeFrom="page">
                  <wp:posOffset>900683</wp:posOffset>
                </wp:positionH>
                <wp:positionV relativeFrom="paragraph">
                  <wp:posOffset>282152</wp:posOffset>
                </wp:positionV>
                <wp:extent cx="1828800" cy="9525"/>
                <wp:effectExtent l="0" t="0" r="0" b="0"/>
                <wp:wrapTopAndBottom/>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1B3040" id="Graphic 105" o:spid="_x0000_s1026" alt="&quot;&quot;" style="position:absolute;margin-left:70.9pt;margin-top:22.2pt;width:2in;height:.7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" path="m1828800,l,,,9143r1828800,l1828800,xe" fillcolor="black" stroked="f">
                <v:path arrowok="t"/>
                <w10:wrap type="topAndBottom" anchorx="page"/>
              </v:shape>
            </w:pict>
          </mc:Fallback>
        </mc:AlternateContent>
      </w:r>
    </w:p>
    <w:p w14:paraId="29B629D3" w14:textId="77777777" w:rsidR="00BC24A8" w:rsidRDefault="00BC24A8">
      <w:pPr>
        <w:pStyle w:val="BodyText"/>
        <w:spacing w:before="108"/>
        <w:rPr>
          <w:sz w:val="16"/>
        </w:rPr>
      </w:pPr>
    </w:p>
    <w:p w14:paraId="4C6F5EC4" w14:textId="77777777" w:rsidR="00BC24A8" w:rsidRDefault="00000000">
      <w:pPr>
        <w:ind w:left="143"/>
        <w:rPr>
          <w:sz w:val="16"/>
        </w:rPr>
      </w:pPr>
      <w:bookmarkStart w:id="166" w:name="_bookmark113"/>
      <w:bookmarkEnd w:id="166"/>
      <w:r>
        <w:rPr>
          <w:color w:val="767070"/>
          <w:sz w:val="16"/>
          <w:vertAlign w:val="superscript"/>
        </w:rPr>
        <w:t>51</w:t>
      </w:r>
      <w:r>
        <w:rPr>
          <w:color w:val="767070"/>
          <w:spacing w:val="-7"/>
          <w:sz w:val="16"/>
        </w:rPr>
        <w:t xml:space="preserve"> </w:t>
      </w:r>
      <w:r>
        <w:rPr>
          <w:color w:val="767070"/>
          <w:sz w:val="16"/>
        </w:rPr>
        <w:t>PKB</w:t>
      </w:r>
      <w:r>
        <w:rPr>
          <w:color w:val="767070"/>
          <w:spacing w:val="-5"/>
          <w:sz w:val="16"/>
        </w:rPr>
        <w:t xml:space="preserve"> </w:t>
      </w:r>
      <w:r>
        <w:rPr>
          <w:color w:val="767070"/>
          <w:sz w:val="16"/>
        </w:rPr>
        <w:t>stands</w:t>
      </w:r>
      <w:r>
        <w:rPr>
          <w:color w:val="767070"/>
          <w:spacing w:val="-6"/>
          <w:sz w:val="16"/>
        </w:rPr>
        <w:t xml:space="preserve"> </w:t>
      </w:r>
      <w:r>
        <w:rPr>
          <w:color w:val="767070"/>
          <w:sz w:val="16"/>
        </w:rPr>
        <w:t>for</w:t>
      </w:r>
      <w:r>
        <w:rPr>
          <w:color w:val="767070"/>
          <w:spacing w:val="-8"/>
          <w:sz w:val="16"/>
        </w:rPr>
        <w:t xml:space="preserve"> </w:t>
      </w:r>
      <w:r>
        <w:rPr>
          <w:color w:val="767070"/>
          <w:sz w:val="16"/>
        </w:rPr>
        <w:t>Motor</w:t>
      </w:r>
      <w:r>
        <w:rPr>
          <w:color w:val="767070"/>
          <w:spacing w:val="-6"/>
          <w:sz w:val="16"/>
        </w:rPr>
        <w:t xml:space="preserve"> </w:t>
      </w:r>
      <w:r>
        <w:rPr>
          <w:color w:val="767070"/>
          <w:sz w:val="16"/>
        </w:rPr>
        <w:t>Vehicle</w:t>
      </w:r>
      <w:r>
        <w:rPr>
          <w:color w:val="767070"/>
          <w:spacing w:val="-7"/>
          <w:sz w:val="16"/>
        </w:rPr>
        <w:t xml:space="preserve"> </w:t>
      </w:r>
      <w:r>
        <w:rPr>
          <w:color w:val="767070"/>
          <w:sz w:val="16"/>
        </w:rPr>
        <w:t>Tax.</w:t>
      </w:r>
      <w:r>
        <w:rPr>
          <w:color w:val="767070"/>
          <w:spacing w:val="-7"/>
          <w:sz w:val="16"/>
        </w:rPr>
        <w:t xml:space="preserve"> </w:t>
      </w:r>
      <w:r>
        <w:rPr>
          <w:color w:val="767070"/>
          <w:sz w:val="16"/>
        </w:rPr>
        <w:t>This</w:t>
      </w:r>
      <w:r>
        <w:rPr>
          <w:color w:val="767070"/>
          <w:spacing w:val="-5"/>
          <w:sz w:val="16"/>
        </w:rPr>
        <w:t xml:space="preserve"> </w:t>
      </w:r>
      <w:r>
        <w:rPr>
          <w:color w:val="767070"/>
          <w:sz w:val="16"/>
        </w:rPr>
        <w:t>tax</w:t>
      </w:r>
      <w:r>
        <w:rPr>
          <w:color w:val="767070"/>
          <w:spacing w:val="-7"/>
          <w:sz w:val="16"/>
        </w:rPr>
        <w:t xml:space="preserve"> </w:t>
      </w:r>
      <w:r>
        <w:rPr>
          <w:color w:val="767070"/>
          <w:sz w:val="16"/>
        </w:rPr>
        <w:t>is</w:t>
      </w:r>
      <w:r>
        <w:rPr>
          <w:color w:val="767070"/>
          <w:spacing w:val="-5"/>
          <w:sz w:val="16"/>
        </w:rPr>
        <w:t xml:space="preserve"> </w:t>
      </w:r>
      <w:r>
        <w:rPr>
          <w:color w:val="767070"/>
          <w:sz w:val="16"/>
        </w:rPr>
        <w:t>imposed</w:t>
      </w:r>
      <w:r>
        <w:rPr>
          <w:color w:val="767070"/>
          <w:spacing w:val="-6"/>
          <w:sz w:val="16"/>
        </w:rPr>
        <w:t xml:space="preserve"> </w:t>
      </w:r>
      <w:r>
        <w:rPr>
          <w:color w:val="767070"/>
          <w:sz w:val="16"/>
        </w:rPr>
        <w:t>on</w:t>
      </w:r>
      <w:r>
        <w:rPr>
          <w:color w:val="767070"/>
          <w:spacing w:val="-8"/>
          <w:sz w:val="16"/>
        </w:rPr>
        <w:t xml:space="preserve"> </w:t>
      </w:r>
      <w:r>
        <w:rPr>
          <w:color w:val="767070"/>
          <w:sz w:val="16"/>
        </w:rPr>
        <w:t>ownership</w:t>
      </w:r>
      <w:r>
        <w:rPr>
          <w:color w:val="767070"/>
          <w:spacing w:val="-8"/>
          <w:sz w:val="16"/>
        </w:rPr>
        <w:t xml:space="preserve"> </w:t>
      </w:r>
      <w:r>
        <w:rPr>
          <w:color w:val="767070"/>
          <w:sz w:val="16"/>
        </w:rPr>
        <w:t>and/or</w:t>
      </w:r>
      <w:r>
        <w:rPr>
          <w:color w:val="767070"/>
          <w:spacing w:val="-8"/>
          <w:sz w:val="16"/>
        </w:rPr>
        <w:t xml:space="preserve"> </w:t>
      </w:r>
      <w:r>
        <w:rPr>
          <w:color w:val="767070"/>
          <w:sz w:val="16"/>
        </w:rPr>
        <w:t>control</w:t>
      </w:r>
      <w:r>
        <w:rPr>
          <w:color w:val="767070"/>
          <w:spacing w:val="-8"/>
          <w:sz w:val="16"/>
        </w:rPr>
        <w:t xml:space="preserve"> </w:t>
      </w:r>
      <w:r>
        <w:rPr>
          <w:color w:val="767070"/>
          <w:sz w:val="16"/>
        </w:rPr>
        <w:t>of</w:t>
      </w:r>
      <w:r>
        <w:rPr>
          <w:color w:val="767070"/>
          <w:spacing w:val="-6"/>
          <w:sz w:val="16"/>
        </w:rPr>
        <w:t xml:space="preserve"> </w:t>
      </w:r>
      <w:r>
        <w:rPr>
          <w:color w:val="767070"/>
          <w:sz w:val="16"/>
        </w:rPr>
        <w:t>motorized</w:t>
      </w:r>
      <w:r>
        <w:rPr>
          <w:color w:val="767070"/>
          <w:spacing w:val="-5"/>
          <w:sz w:val="16"/>
        </w:rPr>
        <w:t xml:space="preserve"> </w:t>
      </w:r>
      <w:r>
        <w:rPr>
          <w:color w:val="767070"/>
          <w:spacing w:val="-2"/>
          <w:sz w:val="16"/>
        </w:rPr>
        <w:t>vehicles</w:t>
      </w:r>
    </w:p>
    <w:p w14:paraId="679365BF" w14:textId="77777777" w:rsidR="00BC24A8" w:rsidRDefault="00BC24A8">
      <w:pPr>
        <w:rPr>
          <w:sz w:val="16"/>
        </w:rPr>
        <w:sectPr w:rsidR="00BC24A8">
          <w:pgSz w:w="11910" w:h="16840"/>
          <w:pgMar w:top="1320" w:right="850" w:bottom="1100" w:left="1275" w:header="0" w:footer="907" w:gutter="0"/>
          <w:cols w:space="720"/>
        </w:sectPr>
      </w:pPr>
    </w:p>
    <w:p w14:paraId="1CB33F22" w14:textId="77777777" w:rsidR="00BC24A8" w:rsidRDefault="00000000">
      <w:pPr>
        <w:pStyle w:val="Heading5"/>
        <w:spacing w:before="39"/>
      </w:pPr>
      <w:r>
        <w:lastRenderedPageBreak/>
        <w:t>SKALA</w:t>
      </w:r>
      <w:r>
        <w:rPr>
          <w:spacing w:val="-7"/>
        </w:rPr>
        <w:t xml:space="preserve"> </w:t>
      </w:r>
      <w:r>
        <w:t>supported</w:t>
      </w:r>
      <w:r>
        <w:rPr>
          <w:spacing w:val="-8"/>
        </w:rPr>
        <w:t xml:space="preserve"> </w:t>
      </w:r>
      <w:r>
        <w:t>the</w:t>
      </w:r>
      <w:r>
        <w:rPr>
          <w:spacing w:val="-10"/>
        </w:rPr>
        <w:t xml:space="preserve"> </w:t>
      </w:r>
      <w:r>
        <w:t>implementation</w:t>
      </w:r>
      <w:r>
        <w:rPr>
          <w:spacing w:val="-8"/>
        </w:rPr>
        <w:t xml:space="preserve"> </w:t>
      </w:r>
      <w:r>
        <w:t>of</w:t>
      </w:r>
      <w:r>
        <w:rPr>
          <w:spacing w:val="-7"/>
        </w:rPr>
        <w:t xml:space="preserve"> </w:t>
      </w:r>
      <w:r>
        <w:t>inclusive</w:t>
      </w:r>
      <w:r>
        <w:rPr>
          <w:spacing w:val="-10"/>
        </w:rPr>
        <w:t xml:space="preserve"> </w:t>
      </w:r>
      <w:r>
        <w:t>finance</w:t>
      </w:r>
      <w:r>
        <w:rPr>
          <w:spacing w:val="-8"/>
        </w:rPr>
        <w:t xml:space="preserve"> </w:t>
      </w:r>
      <w:r>
        <w:rPr>
          <w:spacing w:val="-2"/>
        </w:rPr>
        <w:t>policies</w:t>
      </w:r>
    </w:p>
    <w:p w14:paraId="2389C0AA" w14:textId="77777777" w:rsidR="00BC24A8" w:rsidRDefault="00000000">
      <w:pPr>
        <w:pStyle w:val="ListParagraph"/>
        <w:numPr>
          <w:ilvl w:val="3"/>
          <w:numId w:val="133"/>
        </w:numPr>
        <w:tabs>
          <w:tab w:val="left" w:pos="863"/>
        </w:tabs>
        <w:spacing w:before="159"/>
        <w:ind w:right="567" w:hanging="360"/>
      </w:pPr>
      <w:r>
        <w:t>The SADAR BENUANTA Program provides significant PKB and BBNKB</w:t>
      </w:r>
      <w:hyperlink w:anchor="_bookmark114" w:history="1">
        <w:r w:rsidR="00BC24A8">
          <w:rPr>
            <w:vertAlign w:val="superscript"/>
          </w:rPr>
          <w:t>52</w:t>
        </w:r>
      </w:hyperlink>
      <w:r>
        <w:t xml:space="preserve"> relief for persons with disabilities, for example:</w:t>
      </w:r>
    </w:p>
    <w:p w14:paraId="76B0EDE8" w14:textId="77777777" w:rsidR="00BC24A8" w:rsidRDefault="00000000">
      <w:pPr>
        <w:pStyle w:val="ListParagraph"/>
        <w:numPr>
          <w:ilvl w:val="3"/>
          <w:numId w:val="133"/>
        </w:numPr>
        <w:tabs>
          <w:tab w:val="left" w:pos="863"/>
        </w:tabs>
        <w:spacing w:before="1"/>
        <w:ind w:right="565" w:hanging="360"/>
      </w:pPr>
      <w:r>
        <w:t>Twenty-five</w:t>
      </w:r>
      <w:r>
        <w:rPr>
          <w:spacing w:val="-4"/>
        </w:rPr>
        <w:t xml:space="preserve"> </w:t>
      </w:r>
      <w:r>
        <w:t>members</w:t>
      </w:r>
      <w:r>
        <w:rPr>
          <w:spacing w:val="-4"/>
        </w:rPr>
        <w:t xml:space="preserve"> </w:t>
      </w:r>
      <w:r>
        <w:t>of</w:t>
      </w:r>
      <w:r>
        <w:rPr>
          <w:spacing w:val="-6"/>
        </w:rPr>
        <w:t xml:space="preserve"> </w:t>
      </w:r>
      <w:r>
        <w:t>MENTARI</w:t>
      </w:r>
      <w:r>
        <w:rPr>
          <w:spacing w:val="-4"/>
        </w:rPr>
        <w:t xml:space="preserve"> </w:t>
      </w:r>
      <w:r>
        <w:t>KALTARA</w:t>
      </w:r>
      <w:r>
        <w:rPr>
          <w:spacing w:val="-5"/>
        </w:rPr>
        <w:t xml:space="preserve"> </w:t>
      </w:r>
      <w:r>
        <w:t>Civil</w:t>
      </w:r>
      <w:r>
        <w:rPr>
          <w:spacing w:val="-6"/>
        </w:rPr>
        <w:t xml:space="preserve"> </w:t>
      </w:r>
      <w:r>
        <w:t>Society</w:t>
      </w:r>
      <w:r>
        <w:rPr>
          <w:spacing w:val="-4"/>
        </w:rPr>
        <w:t xml:space="preserve"> </w:t>
      </w:r>
      <w:r>
        <w:t>Network</w:t>
      </w:r>
      <w:r>
        <w:rPr>
          <w:spacing w:val="-4"/>
        </w:rPr>
        <w:t xml:space="preserve"> </w:t>
      </w:r>
      <w:r>
        <w:t>(21</w:t>
      </w:r>
      <w:r>
        <w:rPr>
          <w:spacing w:val="-4"/>
        </w:rPr>
        <w:t xml:space="preserve"> </w:t>
      </w:r>
      <w:r>
        <w:t>persons</w:t>
      </w:r>
      <w:r>
        <w:rPr>
          <w:spacing w:val="-4"/>
        </w:rPr>
        <w:t xml:space="preserve"> </w:t>
      </w:r>
      <w:r>
        <w:t>with</w:t>
      </w:r>
      <w:r>
        <w:rPr>
          <w:spacing w:val="-5"/>
        </w:rPr>
        <w:t xml:space="preserve"> </w:t>
      </w:r>
      <w:r>
        <w:t>disabilities) participated in the program outreach for SADAR BENUANTA conducted by the Regional Revenue Agency (Bapenda) via a talk show on Television Republic of Indonesia (TVRI) Kalimantan Utara.</w:t>
      </w:r>
    </w:p>
    <w:p w14:paraId="7CA3C74D" w14:textId="77777777" w:rsidR="00BC24A8" w:rsidRDefault="00000000">
      <w:pPr>
        <w:pStyle w:val="ListParagraph"/>
        <w:numPr>
          <w:ilvl w:val="3"/>
          <w:numId w:val="133"/>
        </w:numPr>
        <w:tabs>
          <w:tab w:val="left" w:pos="862"/>
        </w:tabs>
        <w:spacing w:line="279" w:lineRule="exact"/>
        <w:ind w:left="862" w:hanging="359"/>
      </w:pPr>
      <w:r>
        <w:t>Two</w:t>
      </w:r>
      <w:r>
        <w:rPr>
          <w:spacing w:val="-6"/>
        </w:rPr>
        <w:t xml:space="preserve"> </w:t>
      </w:r>
      <w:r>
        <w:t>out</w:t>
      </w:r>
      <w:r>
        <w:rPr>
          <w:spacing w:val="-4"/>
        </w:rPr>
        <w:t xml:space="preserve"> </w:t>
      </w:r>
      <w:r>
        <w:t>of</w:t>
      </w:r>
      <w:r>
        <w:rPr>
          <w:spacing w:val="-3"/>
        </w:rPr>
        <w:t xml:space="preserve"> </w:t>
      </w:r>
      <w:r>
        <w:t>5</w:t>
      </w:r>
      <w:r>
        <w:rPr>
          <w:spacing w:val="-5"/>
        </w:rPr>
        <w:t xml:space="preserve"> </w:t>
      </w:r>
      <w:r>
        <w:t>districts/cities</w:t>
      </w:r>
      <w:r>
        <w:rPr>
          <w:spacing w:val="-7"/>
        </w:rPr>
        <w:t xml:space="preserve"> </w:t>
      </w:r>
      <w:r>
        <w:t>(Tarakan</w:t>
      </w:r>
      <w:r>
        <w:rPr>
          <w:spacing w:val="-3"/>
        </w:rPr>
        <w:t xml:space="preserve"> </w:t>
      </w:r>
      <w:r>
        <w:t>and</w:t>
      </w:r>
      <w:r>
        <w:rPr>
          <w:spacing w:val="-3"/>
        </w:rPr>
        <w:t xml:space="preserve"> </w:t>
      </w:r>
      <w:r>
        <w:t>Bulungan)</w:t>
      </w:r>
      <w:r>
        <w:rPr>
          <w:spacing w:val="-4"/>
        </w:rPr>
        <w:t xml:space="preserve"> </w:t>
      </w:r>
      <w:r>
        <w:t>have</w:t>
      </w:r>
      <w:r>
        <w:rPr>
          <w:spacing w:val="-5"/>
        </w:rPr>
        <w:t xml:space="preserve"> </w:t>
      </w:r>
      <w:r>
        <w:t>implemented</w:t>
      </w:r>
      <w:r>
        <w:rPr>
          <w:spacing w:val="-6"/>
        </w:rPr>
        <w:t xml:space="preserve"> </w:t>
      </w:r>
      <w:r>
        <w:t>PKB</w:t>
      </w:r>
      <w:r>
        <w:rPr>
          <w:spacing w:val="-3"/>
        </w:rPr>
        <w:t xml:space="preserve"> </w:t>
      </w:r>
      <w:r>
        <w:rPr>
          <w:spacing w:val="-2"/>
        </w:rPr>
        <w:t>waivers.</w:t>
      </w:r>
    </w:p>
    <w:p w14:paraId="3221D613" w14:textId="77777777" w:rsidR="00BC24A8" w:rsidRDefault="00000000">
      <w:pPr>
        <w:pStyle w:val="BodyText"/>
        <w:ind w:left="863" w:right="648"/>
      </w:pPr>
      <w:r>
        <w:t>Two persons with disabilities received a tax rebate of 43–53% of the total bill (approximately IDR 285,000–618,500), including 75% PKB, fines, and BBNKB fees.</w:t>
      </w:r>
    </w:p>
    <w:p w14:paraId="571E6F8B" w14:textId="77777777" w:rsidR="00BC24A8" w:rsidRDefault="00BC24A8">
      <w:pPr>
        <w:pStyle w:val="BodyText"/>
        <w:spacing w:before="104"/>
      </w:pPr>
    </w:p>
    <w:p w14:paraId="45A9FCC4" w14:textId="77777777" w:rsidR="00BC24A8" w:rsidRDefault="00000000">
      <w:pPr>
        <w:pStyle w:val="Heading5"/>
      </w:pPr>
      <w:r>
        <w:t>SKALA</w:t>
      </w:r>
      <w:r>
        <w:rPr>
          <w:spacing w:val="-8"/>
        </w:rPr>
        <w:t xml:space="preserve"> </w:t>
      </w:r>
      <w:r>
        <w:t>strengthened</w:t>
      </w:r>
      <w:r>
        <w:rPr>
          <w:spacing w:val="-7"/>
        </w:rPr>
        <w:t xml:space="preserve"> </w:t>
      </w:r>
      <w:r>
        <w:t>the</w:t>
      </w:r>
      <w:r>
        <w:rPr>
          <w:spacing w:val="-7"/>
        </w:rPr>
        <w:t xml:space="preserve"> </w:t>
      </w:r>
      <w:r>
        <w:t>capacity</w:t>
      </w:r>
      <w:r>
        <w:rPr>
          <w:spacing w:val="-6"/>
        </w:rPr>
        <w:t xml:space="preserve"> </w:t>
      </w:r>
      <w:r>
        <w:t>of</w:t>
      </w:r>
      <w:r>
        <w:rPr>
          <w:spacing w:val="-6"/>
        </w:rPr>
        <w:t xml:space="preserve"> </w:t>
      </w:r>
      <w:r>
        <w:t>planners</w:t>
      </w:r>
      <w:r>
        <w:rPr>
          <w:spacing w:val="-6"/>
        </w:rPr>
        <w:t xml:space="preserve"> </w:t>
      </w:r>
      <w:r>
        <w:t>through</w:t>
      </w:r>
      <w:r>
        <w:rPr>
          <w:spacing w:val="-7"/>
        </w:rPr>
        <w:t xml:space="preserve"> </w:t>
      </w:r>
      <w:r>
        <w:t>policy</w:t>
      </w:r>
      <w:r>
        <w:rPr>
          <w:spacing w:val="-5"/>
        </w:rPr>
        <w:t xml:space="preserve"> </w:t>
      </w:r>
      <w:r>
        <w:t>brief</w:t>
      </w:r>
      <w:r>
        <w:rPr>
          <w:spacing w:val="-8"/>
        </w:rPr>
        <w:t xml:space="preserve"> </w:t>
      </w:r>
      <w:r>
        <w:rPr>
          <w:spacing w:val="-2"/>
        </w:rPr>
        <w:t>writing</w:t>
      </w:r>
    </w:p>
    <w:p w14:paraId="2552B9CE" w14:textId="77777777" w:rsidR="00BC24A8" w:rsidRDefault="00000000">
      <w:pPr>
        <w:pStyle w:val="ListParagraph"/>
        <w:numPr>
          <w:ilvl w:val="3"/>
          <w:numId w:val="133"/>
        </w:numPr>
        <w:tabs>
          <w:tab w:val="left" w:pos="861"/>
          <w:tab w:val="left" w:pos="863"/>
        </w:tabs>
        <w:spacing w:before="159"/>
        <w:ind w:right="563"/>
      </w:pPr>
      <w:r>
        <w:t>20 Policy Briefs related to MSS and GEDSI were produced, and 17 were submitted to local governments. One of the Policy Briefs was also followed up by Regional Financial and Asset Management Agency (BKAD) in a review of the efficiency of APBD 2025 expenditure.</w:t>
      </w:r>
    </w:p>
    <w:p w14:paraId="71AEDC10" w14:textId="77777777" w:rsidR="00BC24A8" w:rsidRDefault="00BC24A8">
      <w:pPr>
        <w:pStyle w:val="BodyText"/>
        <w:spacing w:before="61"/>
      </w:pPr>
    </w:p>
    <w:p w14:paraId="5C3D55E9" w14:textId="77777777" w:rsidR="00BC24A8" w:rsidRDefault="00000000">
      <w:pPr>
        <w:pStyle w:val="Heading5"/>
      </w:pPr>
      <w:r>
        <w:t>SKALA</w:t>
      </w:r>
      <w:r>
        <w:rPr>
          <w:spacing w:val="-8"/>
        </w:rPr>
        <w:t xml:space="preserve"> </w:t>
      </w:r>
      <w:r>
        <w:t>strengthened</w:t>
      </w:r>
      <w:r>
        <w:rPr>
          <w:spacing w:val="-7"/>
        </w:rPr>
        <w:t xml:space="preserve"> </w:t>
      </w:r>
      <w:r>
        <w:t>capacity</w:t>
      </w:r>
      <w:r>
        <w:rPr>
          <w:spacing w:val="-7"/>
        </w:rPr>
        <w:t xml:space="preserve"> </w:t>
      </w:r>
      <w:r>
        <w:t>and</w:t>
      </w:r>
      <w:r>
        <w:rPr>
          <w:spacing w:val="-8"/>
        </w:rPr>
        <w:t xml:space="preserve"> </w:t>
      </w:r>
      <w:r>
        <w:t>monitoring</w:t>
      </w:r>
      <w:r>
        <w:rPr>
          <w:spacing w:val="-5"/>
        </w:rPr>
        <w:t xml:space="preserve"> </w:t>
      </w:r>
      <w:r>
        <w:t>of</w:t>
      </w:r>
      <w:r>
        <w:rPr>
          <w:spacing w:val="-6"/>
        </w:rPr>
        <w:t xml:space="preserve"> </w:t>
      </w:r>
      <w:r>
        <w:t>MSS</w:t>
      </w:r>
      <w:r>
        <w:rPr>
          <w:spacing w:val="-7"/>
        </w:rPr>
        <w:t xml:space="preserve"> </w:t>
      </w:r>
      <w:r>
        <w:rPr>
          <w:spacing w:val="-2"/>
        </w:rPr>
        <w:t>implementation</w:t>
      </w:r>
    </w:p>
    <w:p w14:paraId="3815AE7A" w14:textId="77777777" w:rsidR="00BC24A8" w:rsidRDefault="00000000">
      <w:pPr>
        <w:pStyle w:val="ListParagraph"/>
        <w:numPr>
          <w:ilvl w:val="3"/>
          <w:numId w:val="133"/>
        </w:numPr>
        <w:tabs>
          <w:tab w:val="left" w:pos="861"/>
          <w:tab w:val="left" w:pos="863"/>
        </w:tabs>
        <w:spacing w:before="159"/>
        <w:ind w:right="562"/>
      </w:pPr>
      <w:r>
        <w:t>Kaltara was ranked 4th nationally and best in the Kalimantan Utara region in the 2024 MSS Award with an MSS Fulfilment Index of 100. This achievement was supported by SKALA, particularly in capacity building and routine monitoring and evaluation:</w:t>
      </w:r>
    </w:p>
    <w:p w14:paraId="32D34833" w14:textId="77777777" w:rsidR="00BC24A8" w:rsidRDefault="00000000">
      <w:pPr>
        <w:pStyle w:val="ListParagraph"/>
        <w:numPr>
          <w:ilvl w:val="4"/>
          <w:numId w:val="133"/>
        </w:numPr>
        <w:tabs>
          <w:tab w:val="left" w:pos="1221"/>
          <w:tab w:val="left" w:pos="1223"/>
        </w:tabs>
        <w:spacing w:before="121" w:line="254" w:lineRule="auto"/>
        <w:ind w:right="563"/>
      </w:pPr>
      <w:r>
        <w:t>104 civil servants (66 men, 38 female) in provinces and districts/cities received technical training on the revision of the MSS 2026–2030 Action Plan, indicators, MSS costing, and data utilisation.</w:t>
      </w:r>
    </w:p>
    <w:p w14:paraId="6E85AA1C" w14:textId="77777777" w:rsidR="00BC24A8" w:rsidRDefault="00000000">
      <w:pPr>
        <w:pStyle w:val="ListParagraph"/>
        <w:numPr>
          <w:ilvl w:val="4"/>
          <w:numId w:val="133"/>
        </w:numPr>
        <w:tabs>
          <w:tab w:val="left" w:pos="1221"/>
          <w:tab w:val="left" w:pos="1223"/>
        </w:tabs>
        <w:spacing w:before="7" w:line="256" w:lineRule="auto"/>
        <w:ind w:right="561"/>
      </w:pPr>
      <w:r>
        <w:t>Quarterly M&amp;E Q3–Q4 2024 and Q1–Q2 2025, with SKALA support and collaboration of Bappeda, BKAD, the Inspectorate, and the Ministry of Home Affairs (MoHA), involved 6 provincial</w:t>
      </w:r>
      <w:r>
        <w:rPr>
          <w:spacing w:val="-7"/>
        </w:rPr>
        <w:t xml:space="preserve"> </w:t>
      </w:r>
      <w:r>
        <w:t>and</w:t>
      </w:r>
      <w:r>
        <w:rPr>
          <w:spacing w:val="-8"/>
        </w:rPr>
        <w:t xml:space="preserve"> </w:t>
      </w:r>
      <w:r>
        <w:t>5</w:t>
      </w:r>
      <w:r>
        <w:rPr>
          <w:spacing w:val="-7"/>
        </w:rPr>
        <w:t xml:space="preserve"> </w:t>
      </w:r>
      <w:r>
        <w:t>district/city</w:t>
      </w:r>
      <w:r>
        <w:rPr>
          <w:spacing w:val="-5"/>
        </w:rPr>
        <w:t xml:space="preserve"> </w:t>
      </w:r>
      <w:r>
        <w:t>authorities,</w:t>
      </w:r>
      <w:r>
        <w:rPr>
          <w:spacing w:val="-7"/>
        </w:rPr>
        <w:t xml:space="preserve"> </w:t>
      </w:r>
      <w:r>
        <w:t>strengthening</w:t>
      </w:r>
      <w:r>
        <w:rPr>
          <w:spacing w:val="-6"/>
        </w:rPr>
        <w:t xml:space="preserve"> </w:t>
      </w:r>
      <w:r>
        <w:t>MSS</w:t>
      </w:r>
      <w:r>
        <w:rPr>
          <w:spacing w:val="-5"/>
        </w:rPr>
        <w:t xml:space="preserve"> </w:t>
      </w:r>
      <w:r>
        <w:t>implementation</w:t>
      </w:r>
      <w:r>
        <w:rPr>
          <w:spacing w:val="-8"/>
        </w:rPr>
        <w:t xml:space="preserve"> </w:t>
      </w:r>
      <w:r>
        <w:t>and</w:t>
      </w:r>
      <w:r>
        <w:rPr>
          <w:spacing w:val="-5"/>
        </w:rPr>
        <w:t xml:space="preserve"> </w:t>
      </w:r>
      <w:r>
        <w:t>reporting.</w:t>
      </w:r>
    </w:p>
    <w:p w14:paraId="18DBEF5B" w14:textId="77777777" w:rsidR="00BC24A8" w:rsidRDefault="00BC24A8">
      <w:pPr>
        <w:pStyle w:val="BodyText"/>
      </w:pPr>
    </w:p>
    <w:p w14:paraId="487A4136" w14:textId="77777777" w:rsidR="00BC24A8" w:rsidRDefault="00BC24A8">
      <w:pPr>
        <w:pStyle w:val="BodyText"/>
        <w:spacing w:before="53"/>
      </w:pPr>
    </w:p>
    <w:p w14:paraId="15249594" w14:textId="77777777" w:rsidR="00BC24A8" w:rsidRDefault="00000000">
      <w:pPr>
        <w:pStyle w:val="Heading5"/>
        <w:spacing w:before="1"/>
      </w:pPr>
      <w:r>
        <w:rPr>
          <w:color w:val="17365A"/>
        </w:rPr>
        <w:t>GEDSI</w:t>
      </w:r>
      <w:r>
        <w:rPr>
          <w:color w:val="17365A"/>
          <w:spacing w:val="-5"/>
        </w:rPr>
        <w:t xml:space="preserve"> </w:t>
      </w:r>
      <w:r>
        <w:rPr>
          <w:color w:val="17365A"/>
        </w:rPr>
        <w:t>-</w:t>
      </w:r>
      <w:r>
        <w:rPr>
          <w:color w:val="17365A"/>
          <w:spacing w:val="-4"/>
        </w:rPr>
        <w:t xml:space="preserve"> </w:t>
      </w:r>
      <w:r>
        <w:rPr>
          <w:color w:val="17365A"/>
        </w:rPr>
        <w:t>Participation</w:t>
      </w:r>
      <w:r>
        <w:rPr>
          <w:color w:val="17365A"/>
          <w:spacing w:val="-5"/>
        </w:rPr>
        <w:t xml:space="preserve"> </w:t>
      </w:r>
      <w:r>
        <w:rPr>
          <w:color w:val="17365A"/>
        </w:rPr>
        <w:t>and</w:t>
      </w:r>
      <w:r>
        <w:rPr>
          <w:color w:val="17365A"/>
          <w:spacing w:val="-5"/>
        </w:rPr>
        <w:t xml:space="preserve"> </w:t>
      </w:r>
      <w:r>
        <w:rPr>
          <w:color w:val="17365A"/>
        </w:rPr>
        <w:t>Planning</w:t>
      </w:r>
      <w:r>
        <w:rPr>
          <w:color w:val="17365A"/>
          <w:spacing w:val="-3"/>
        </w:rPr>
        <w:t xml:space="preserve"> </w:t>
      </w:r>
      <w:r>
        <w:rPr>
          <w:color w:val="17365A"/>
        </w:rPr>
        <w:t>(IO</w:t>
      </w:r>
      <w:r>
        <w:rPr>
          <w:color w:val="17365A"/>
          <w:spacing w:val="-7"/>
        </w:rPr>
        <w:t xml:space="preserve"> </w:t>
      </w:r>
      <w:r>
        <w:rPr>
          <w:color w:val="17365A"/>
        </w:rPr>
        <w:t>7</w:t>
      </w:r>
      <w:r>
        <w:rPr>
          <w:color w:val="17365A"/>
          <w:spacing w:val="-3"/>
        </w:rPr>
        <w:t xml:space="preserve"> </w:t>
      </w:r>
      <w:r>
        <w:rPr>
          <w:color w:val="17365A"/>
        </w:rPr>
        <w:t>and</w:t>
      </w:r>
      <w:r>
        <w:rPr>
          <w:color w:val="17365A"/>
          <w:spacing w:val="-5"/>
        </w:rPr>
        <w:t xml:space="preserve"> 8)</w:t>
      </w:r>
    </w:p>
    <w:p w14:paraId="378B03E4" w14:textId="77777777" w:rsidR="00BC24A8" w:rsidRDefault="00000000">
      <w:pPr>
        <w:spacing w:before="161"/>
        <w:ind w:left="143"/>
        <w:rPr>
          <w:rFonts w:ascii="Calibri"/>
          <w:b/>
        </w:rPr>
      </w:pPr>
      <w:r>
        <w:rPr>
          <w:rFonts w:ascii="Calibri"/>
          <w:b/>
        </w:rPr>
        <w:t>SKALA</w:t>
      </w:r>
      <w:r>
        <w:rPr>
          <w:rFonts w:ascii="Calibri"/>
          <w:b/>
          <w:spacing w:val="-8"/>
        </w:rPr>
        <w:t xml:space="preserve"> </w:t>
      </w:r>
      <w:r>
        <w:rPr>
          <w:rFonts w:ascii="Calibri"/>
          <w:b/>
        </w:rPr>
        <w:t>encouraged</w:t>
      </w:r>
      <w:r>
        <w:rPr>
          <w:rFonts w:ascii="Calibri"/>
          <w:b/>
          <w:spacing w:val="-9"/>
        </w:rPr>
        <w:t xml:space="preserve"> </w:t>
      </w:r>
      <w:r>
        <w:rPr>
          <w:rFonts w:ascii="Calibri"/>
          <w:b/>
        </w:rPr>
        <w:t>increased</w:t>
      </w:r>
      <w:r>
        <w:rPr>
          <w:rFonts w:ascii="Calibri"/>
          <w:b/>
          <w:spacing w:val="-10"/>
        </w:rPr>
        <w:t xml:space="preserve"> </w:t>
      </w:r>
      <w:r>
        <w:rPr>
          <w:rFonts w:ascii="Calibri"/>
          <w:b/>
        </w:rPr>
        <w:t>community</w:t>
      </w:r>
      <w:r>
        <w:rPr>
          <w:rFonts w:ascii="Calibri"/>
          <w:b/>
          <w:spacing w:val="-9"/>
        </w:rPr>
        <w:t xml:space="preserve"> </w:t>
      </w:r>
      <w:r>
        <w:rPr>
          <w:rFonts w:ascii="Calibri"/>
          <w:b/>
        </w:rPr>
        <w:t>participation</w:t>
      </w:r>
      <w:r>
        <w:rPr>
          <w:rFonts w:ascii="Calibri"/>
          <w:b/>
          <w:spacing w:val="-9"/>
        </w:rPr>
        <w:t xml:space="preserve"> </w:t>
      </w:r>
      <w:r>
        <w:rPr>
          <w:rFonts w:ascii="Calibri"/>
          <w:b/>
        </w:rPr>
        <w:t>in</w:t>
      </w:r>
      <w:r>
        <w:rPr>
          <w:rFonts w:ascii="Calibri"/>
          <w:b/>
          <w:spacing w:val="-9"/>
        </w:rPr>
        <w:t xml:space="preserve"> </w:t>
      </w:r>
      <w:r>
        <w:rPr>
          <w:rFonts w:ascii="Calibri"/>
          <w:b/>
        </w:rPr>
        <w:t>inclusive</w:t>
      </w:r>
      <w:r>
        <w:rPr>
          <w:rFonts w:ascii="Calibri"/>
          <w:b/>
          <w:spacing w:val="-10"/>
        </w:rPr>
        <w:t xml:space="preserve"> </w:t>
      </w:r>
      <w:r>
        <w:rPr>
          <w:rFonts w:ascii="Calibri"/>
          <w:b/>
        </w:rPr>
        <w:t>and</w:t>
      </w:r>
      <w:r>
        <w:rPr>
          <w:rFonts w:ascii="Calibri"/>
          <w:b/>
          <w:spacing w:val="-9"/>
        </w:rPr>
        <w:t xml:space="preserve"> </w:t>
      </w:r>
      <w:r>
        <w:rPr>
          <w:rFonts w:ascii="Calibri"/>
          <w:b/>
        </w:rPr>
        <w:t>responsive</w:t>
      </w:r>
      <w:r>
        <w:rPr>
          <w:rFonts w:ascii="Calibri"/>
          <w:b/>
          <w:spacing w:val="-9"/>
        </w:rPr>
        <w:t xml:space="preserve"> </w:t>
      </w:r>
      <w:r>
        <w:rPr>
          <w:rFonts w:ascii="Calibri"/>
          <w:b/>
          <w:spacing w:val="-2"/>
        </w:rPr>
        <w:t>development:</w:t>
      </w:r>
    </w:p>
    <w:p w14:paraId="6B211359" w14:textId="77777777" w:rsidR="00BC24A8" w:rsidRDefault="00000000">
      <w:pPr>
        <w:pStyle w:val="ListParagraph"/>
        <w:numPr>
          <w:ilvl w:val="3"/>
          <w:numId w:val="133"/>
        </w:numPr>
        <w:tabs>
          <w:tab w:val="left" w:pos="861"/>
          <w:tab w:val="left" w:pos="863"/>
        </w:tabs>
        <w:spacing w:before="159"/>
        <w:ind w:right="563"/>
      </w:pPr>
      <w:r>
        <w:t>MENTARI KALTARA Civil Society Network held its</w:t>
      </w:r>
      <w:r>
        <w:rPr>
          <w:spacing w:val="-1"/>
        </w:rPr>
        <w:t xml:space="preserve"> </w:t>
      </w:r>
      <w:r>
        <w:t>first</w:t>
      </w:r>
      <w:r>
        <w:rPr>
          <w:spacing w:val="-2"/>
        </w:rPr>
        <w:t xml:space="preserve"> </w:t>
      </w:r>
      <w:r>
        <w:t>general assembly and</w:t>
      </w:r>
      <w:r>
        <w:rPr>
          <w:spacing w:val="-1"/>
        </w:rPr>
        <w:t xml:space="preserve"> </w:t>
      </w:r>
      <w:r>
        <w:t>established a daily management structure, replacing the name PUSPA BENUANTA as a model of government- community collaboration.</w:t>
      </w:r>
    </w:p>
    <w:p w14:paraId="6EF02F25" w14:textId="77777777" w:rsidR="00BC24A8" w:rsidRDefault="00000000">
      <w:pPr>
        <w:pStyle w:val="ListParagraph"/>
        <w:numPr>
          <w:ilvl w:val="3"/>
          <w:numId w:val="133"/>
        </w:numPr>
        <w:tabs>
          <w:tab w:val="left" w:pos="861"/>
          <w:tab w:val="left" w:pos="863"/>
        </w:tabs>
        <w:spacing w:before="1"/>
        <w:ind w:right="563"/>
      </w:pPr>
      <w:r>
        <w:t>The Technical Guidelines for the MENTARI KALTARA Inclusive Aspiration Screening Forum/</w:t>
      </w:r>
      <w:r>
        <w:rPr>
          <w:i/>
        </w:rPr>
        <w:t>Musrenbang</w:t>
      </w:r>
      <w:r>
        <w:rPr>
          <w:i/>
          <w:spacing w:val="-13"/>
        </w:rPr>
        <w:t xml:space="preserve"> </w:t>
      </w:r>
      <w:r>
        <w:t>were</w:t>
      </w:r>
      <w:r>
        <w:rPr>
          <w:spacing w:val="-12"/>
        </w:rPr>
        <w:t xml:space="preserve"> </w:t>
      </w:r>
      <w:r>
        <w:t>approved</w:t>
      </w:r>
      <w:r>
        <w:rPr>
          <w:spacing w:val="-13"/>
        </w:rPr>
        <w:t xml:space="preserve"> </w:t>
      </w:r>
      <w:r>
        <w:t>through</w:t>
      </w:r>
      <w:r>
        <w:rPr>
          <w:spacing w:val="-12"/>
        </w:rPr>
        <w:t xml:space="preserve"> </w:t>
      </w:r>
      <w:r>
        <w:t>a</w:t>
      </w:r>
      <w:r>
        <w:rPr>
          <w:spacing w:val="-13"/>
        </w:rPr>
        <w:t xml:space="preserve"> </w:t>
      </w:r>
      <w:r>
        <w:t>Decree</w:t>
      </w:r>
      <w:r>
        <w:rPr>
          <w:spacing w:val="-12"/>
        </w:rPr>
        <w:t xml:space="preserve"> </w:t>
      </w:r>
      <w:r>
        <w:t>of</w:t>
      </w:r>
      <w:r>
        <w:rPr>
          <w:spacing w:val="-13"/>
        </w:rPr>
        <w:t xml:space="preserve"> </w:t>
      </w:r>
      <w:r>
        <w:t>the</w:t>
      </w:r>
      <w:r>
        <w:rPr>
          <w:spacing w:val="-12"/>
        </w:rPr>
        <w:t xml:space="preserve"> </w:t>
      </w:r>
      <w:r>
        <w:t>Head</w:t>
      </w:r>
      <w:r>
        <w:rPr>
          <w:spacing w:val="-12"/>
        </w:rPr>
        <w:t xml:space="preserve"> </w:t>
      </w:r>
      <w:r>
        <w:t>of</w:t>
      </w:r>
      <w:r>
        <w:rPr>
          <w:spacing w:val="-13"/>
        </w:rPr>
        <w:t xml:space="preserve"> </w:t>
      </w:r>
      <w:r>
        <w:t>Bappeda</w:t>
      </w:r>
      <w:r>
        <w:rPr>
          <w:spacing w:val="-12"/>
        </w:rPr>
        <w:t xml:space="preserve"> </w:t>
      </w:r>
      <w:r>
        <w:t>Litbang,</w:t>
      </w:r>
      <w:r>
        <w:rPr>
          <w:spacing w:val="-13"/>
        </w:rPr>
        <w:t xml:space="preserve"> </w:t>
      </w:r>
      <w:r>
        <w:t>involving 10 CSOs and 5 DPOs.</w:t>
      </w:r>
    </w:p>
    <w:p w14:paraId="0F4D9B5A" w14:textId="77777777" w:rsidR="00BC24A8" w:rsidRDefault="00000000">
      <w:pPr>
        <w:pStyle w:val="ListParagraph"/>
        <w:numPr>
          <w:ilvl w:val="3"/>
          <w:numId w:val="133"/>
        </w:numPr>
        <w:tabs>
          <w:tab w:val="left" w:pos="861"/>
          <w:tab w:val="left" w:pos="863"/>
        </w:tabs>
        <w:ind w:right="561"/>
      </w:pPr>
      <w:r>
        <w:t>The Inclusive Aspiration Screening Forum was attended by 16 CSOs (4 men, 12 women) and 5 DPOs (1 men, 4 women), resulting in 71 proposals from vulnerable groups (women, children, persons disabilities, older adults, indigenous peoples, and others). The proposals have been accommodated in the 2026 RKPD musrenbang with a budget allocation of IDR 3 billion.</w:t>
      </w:r>
    </w:p>
    <w:p w14:paraId="2F4D7761" w14:textId="77777777" w:rsidR="00BC24A8" w:rsidRDefault="00000000">
      <w:pPr>
        <w:pStyle w:val="ListParagraph"/>
        <w:numPr>
          <w:ilvl w:val="3"/>
          <w:numId w:val="133"/>
        </w:numPr>
        <w:tabs>
          <w:tab w:val="left" w:pos="861"/>
          <w:tab w:val="left" w:pos="863"/>
        </w:tabs>
        <w:ind w:right="563"/>
      </w:pPr>
      <w:r>
        <w:t>19 CSOs and 5 DPOs members of MENTARI KALTARA Civil Society Network were trained to access and analyse Regsosek data, including MSS and GEDSI tagging in SIPD, to advocate with the government.</w:t>
      </w:r>
    </w:p>
    <w:p w14:paraId="49E99A1B" w14:textId="77777777" w:rsidR="00BC24A8" w:rsidRDefault="00000000">
      <w:pPr>
        <w:pStyle w:val="BodyText"/>
        <w:spacing w:before="21"/>
        <w:rPr>
          <w:sz w:val="20"/>
        </w:rPr>
      </w:pPr>
      <w:r>
        <w:rPr>
          <w:noProof/>
          <w:sz w:val="20"/>
        </w:rPr>
        <mc:AlternateContent>
          <mc:Choice Requires="wps">
            <w:drawing>
              <wp:anchor distT="0" distB="0" distL="0" distR="0" simplePos="0" relativeHeight="487611904" behindDoc="1" locked="0" layoutInCell="1" allowOverlap="1" wp14:anchorId="5F86EB03" wp14:editId="3C503D34">
                <wp:simplePos x="0" y="0"/>
                <wp:positionH relativeFrom="page">
                  <wp:posOffset>900683</wp:posOffset>
                </wp:positionH>
                <wp:positionV relativeFrom="paragraph">
                  <wp:posOffset>183657</wp:posOffset>
                </wp:positionV>
                <wp:extent cx="1828800" cy="9525"/>
                <wp:effectExtent l="0" t="0" r="0" b="0"/>
                <wp:wrapTopAndBottom/>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36FC20" id="Graphic 106" o:spid="_x0000_s1026" alt="&quot;&quot;" style="position:absolute;margin-left:70.9pt;margin-top:14.45pt;width:2in;height:.75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" path="m1828800,l,,,9143r1828800,l1828800,xe" fillcolor="black" stroked="f">
                <v:path arrowok="t"/>
                <w10:wrap type="topAndBottom" anchorx="page"/>
              </v:shape>
            </w:pict>
          </mc:Fallback>
        </mc:AlternateContent>
      </w:r>
    </w:p>
    <w:p w14:paraId="21C9DDCB" w14:textId="77777777" w:rsidR="00BC24A8" w:rsidRDefault="00BC24A8">
      <w:pPr>
        <w:pStyle w:val="BodyText"/>
        <w:spacing w:before="108"/>
        <w:rPr>
          <w:sz w:val="16"/>
        </w:rPr>
      </w:pPr>
    </w:p>
    <w:p w14:paraId="584E825F" w14:textId="77777777" w:rsidR="00BC24A8" w:rsidRDefault="00000000">
      <w:pPr>
        <w:ind w:left="143"/>
        <w:rPr>
          <w:sz w:val="16"/>
        </w:rPr>
      </w:pPr>
      <w:bookmarkStart w:id="167" w:name="_bookmark114"/>
      <w:bookmarkEnd w:id="167"/>
      <w:r>
        <w:rPr>
          <w:color w:val="767070"/>
          <w:sz w:val="16"/>
          <w:vertAlign w:val="superscript"/>
        </w:rPr>
        <w:t>52</w:t>
      </w:r>
      <w:r>
        <w:rPr>
          <w:color w:val="767070"/>
          <w:spacing w:val="-10"/>
          <w:sz w:val="16"/>
        </w:rPr>
        <w:t xml:space="preserve"> </w:t>
      </w:r>
      <w:r>
        <w:rPr>
          <w:color w:val="767070"/>
          <w:sz w:val="16"/>
        </w:rPr>
        <w:t>BBNKB</w:t>
      </w:r>
      <w:r>
        <w:rPr>
          <w:color w:val="767070"/>
          <w:spacing w:val="-8"/>
          <w:sz w:val="16"/>
        </w:rPr>
        <w:t xml:space="preserve"> </w:t>
      </w:r>
      <w:r>
        <w:rPr>
          <w:color w:val="767070"/>
          <w:sz w:val="16"/>
        </w:rPr>
        <w:t>stands</w:t>
      </w:r>
      <w:r>
        <w:rPr>
          <w:color w:val="767070"/>
          <w:spacing w:val="-8"/>
          <w:sz w:val="16"/>
        </w:rPr>
        <w:t xml:space="preserve"> </w:t>
      </w:r>
      <w:r>
        <w:rPr>
          <w:color w:val="767070"/>
          <w:sz w:val="16"/>
        </w:rPr>
        <w:t>for</w:t>
      </w:r>
      <w:r>
        <w:rPr>
          <w:color w:val="767070"/>
          <w:spacing w:val="-8"/>
          <w:sz w:val="16"/>
        </w:rPr>
        <w:t xml:space="preserve"> </w:t>
      </w:r>
      <w:r>
        <w:rPr>
          <w:color w:val="767070"/>
          <w:sz w:val="16"/>
        </w:rPr>
        <w:t>Vehicle</w:t>
      </w:r>
      <w:r>
        <w:rPr>
          <w:color w:val="767070"/>
          <w:spacing w:val="-8"/>
          <w:sz w:val="16"/>
        </w:rPr>
        <w:t xml:space="preserve"> </w:t>
      </w:r>
      <w:r>
        <w:rPr>
          <w:color w:val="767070"/>
          <w:sz w:val="16"/>
        </w:rPr>
        <w:t>Ownership</w:t>
      </w:r>
      <w:r>
        <w:rPr>
          <w:color w:val="767070"/>
          <w:spacing w:val="-9"/>
          <w:sz w:val="16"/>
        </w:rPr>
        <w:t xml:space="preserve"> </w:t>
      </w:r>
      <w:r>
        <w:rPr>
          <w:color w:val="767070"/>
          <w:sz w:val="16"/>
        </w:rPr>
        <w:t>Transfer</w:t>
      </w:r>
      <w:r>
        <w:rPr>
          <w:color w:val="767070"/>
          <w:spacing w:val="-8"/>
          <w:sz w:val="16"/>
        </w:rPr>
        <w:t xml:space="preserve"> </w:t>
      </w:r>
      <w:r>
        <w:rPr>
          <w:color w:val="767070"/>
          <w:sz w:val="16"/>
        </w:rPr>
        <w:t>Fee,</w:t>
      </w:r>
      <w:r>
        <w:rPr>
          <w:color w:val="767070"/>
          <w:spacing w:val="-9"/>
          <w:sz w:val="16"/>
        </w:rPr>
        <w:t xml:space="preserve"> </w:t>
      </w:r>
      <w:r>
        <w:rPr>
          <w:color w:val="767070"/>
          <w:sz w:val="16"/>
        </w:rPr>
        <w:t>a</w:t>
      </w:r>
      <w:r>
        <w:rPr>
          <w:color w:val="767070"/>
          <w:spacing w:val="-7"/>
          <w:sz w:val="16"/>
        </w:rPr>
        <w:t xml:space="preserve"> </w:t>
      </w:r>
      <w:r>
        <w:rPr>
          <w:color w:val="767070"/>
          <w:sz w:val="16"/>
        </w:rPr>
        <w:t>fee</w:t>
      </w:r>
      <w:r>
        <w:rPr>
          <w:color w:val="767070"/>
          <w:spacing w:val="-9"/>
          <w:sz w:val="16"/>
        </w:rPr>
        <w:t xml:space="preserve"> </w:t>
      </w:r>
      <w:r>
        <w:rPr>
          <w:color w:val="767070"/>
          <w:sz w:val="16"/>
        </w:rPr>
        <w:t>payable</w:t>
      </w:r>
      <w:r>
        <w:rPr>
          <w:color w:val="767070"/>
          <w:spacing w:val="-9"/>
          <w:sz w:val="16"/>
        </w:rPr>
        <w:t xml:space="preserve"> </w:t>
      </w:r>
      <w:r>
        <w:rPr>
          <w:color w:val="767070"/>
          <w:sz w:val="16"/>
        </w:rPr>
        <w:t>when</w:t>
      </w:r>
      <w:r>
        <w:rPr>
          <w:color w:val="767070"/>
          <w:spacing w:val="-8"/>
          <w:sz w:val="16"/>
        </w:rPr>
        <w:t xml:space="preserve"> </w:t>
      </w:r>
      <w:r>
        <w:rPr>
          <w:color w:val="767070"/>
          <w:sz w:val="16"/>
        </w:rPr>
        <w:t>transferring</w:t>
      </w:r>
      <w:r>
        <w:rPr>
          <w:color w:val="767070"/>
          <w:spacing w:val="-8"/>
          <w:sz w:val="16"/>
        </w:rPr>
        <w:t xml:space="preserve"> </w:t>
      </w:r>
      <w:r>
        <w:rPr>
          <w:color w:val="767070"/>
          <w:sz w:val="16"/>
        </w:rPr>
        <w:t>motor</w:t>
      </w:r>
      <w:r>
        <w:rPr>
          <w:color w:val="767070"/>
          <w:spacing w:val="-9"/>
          <w:sz w:val="16"/>
        </w:rPr>
        <w:t xml:space="preserve"> </w:t>
      </w:r>
      <w:r>
        <w:rPr>
          <w:color w:val="767070"/>
          <w:sz w:val="16"/>
        </w:rPr>
        <w:t>vehicle</w:t>
      </w:r>
      <w:r>
        <w:rPr>
          <w:color w:val="767070"/>
          <w:spacing w:val="-8"/>
          <w:sz w:val="16"/>
        </w:rPr>
        <w:t xml:space="preserve"> </w:t>
      </w:r>
      <w:r>
        <w:rPr>
          <w:color w:val="767070"/>
          <w:sz w:val="16"/>
        </w:rPr>
        <w:t>ownership</w:t>
      </w:r>
      <w:r>
        <w:rPr>
          <w:color w:val="767070"/>
          <w:spacing w:val="-7"/>
          <w:sz w:val="16"/>
        </w:rPr>
        <w:t xml:space="preserve"> </w:t>
      </w:r>
      <w:r>
        <w:rPr>
          <w:color w:val="767070"/>
          <w:sz w:val="16"/>
        </w:rPr>
        <w:t>from</w:t>
      </w:r>
      <w:r>
        <w:rPr>
          <w:color w:val="767070"/>
          <w:spacing w:val="-8"/>
          <w:sz w:val="16"/>
        </w:rPr>
        <w:t xml:space="preserve"> </w:t>
      </w:r>
      <w:r>
        <w:rPr>
          <w:color w:val="767070"/>
          <w:sz w:val="16"/>
        </w:rPr>
        <w:t>one</w:t>
      </w:r>
      <w:r>
        <w:rPr>
          <w:color w:val="767070"/>
          <w:spacing w:val="-8"/>
          <w:sz w:val="16"/>
        </w:rPr>
        <w:t xml:space="preserve"> </w:t>
      </w:r>
      <w:r>
        <w:rPr>
          <w:color w:val="767070"/>
          <w:sz w:val="16"/>
        </w:rPr>
        <w:t>person</w:t>
      </w:r>
      <w:r>
        <w:rPr>
          <w:color w:val="767070"/>
          <w:spacing w:val="-7"/>
          <w:sz w:val="16"/>
        </w:rPr>
        <w:t xml:space="preserve"> </w:t>
      </w:r>
      <w:r>
        <w:rPr>
          <w:color w:val="767070"/>
          <w:sz w:val="16"/>
        </w:rPr>
        <w:t>to</w:t>
      </w:r>
      <w:r>
        <w:rPr>
          <w:color w:val="767070"/>
          <w:spacing w:val="-9"/>
          <w:sz w:val="16"/>
        </w:rPr>
        <w:t xml:space="preserve"> </w:t>
      </w:r>
      <w:r>
        <w:rPr>
          <w:color w:val="767070"/>
          <w:spacing w:val="-2"/>
          <w:sz w:val="16"/>
        </w:rPr>
        <w:t>another.</w:t>
      </w:r>
    </w:p>
    <w:p w14:paraId="56EC573E" w14:textId="77777777" w:rsidR="00BC24A8" w:rsidRDefault="00BC24A8">
      <w:pPr>
        <w:rPr>
          <w:sz w:val="16"/>
        </w:rPr>
        <w:sectPr w:rsidR="00BC24A8">
          <w:pgSz w:w="11910" w:h="16840"/>
          <w:pgMar w:top="1360" w:right="850" w:bottom="1100" w:left="1275" w:header="0" w:footer="907" w:gutter="0"/>
          <w:cols w:space="720"/>
        </w:sectPr>
      </w:pPr>
    </w:p>
    <w:p w14:paraId="43DBD278" w14:textId="77777777" w:rsidR="00BC24A8" w:rsidRDefault="00000000">
      <w:pPr>
        <w:pStyle w:val="ListParagraph"/>
        <w:numPr>
          <w:ilvl w:val="3"/>
          <w:numId w:val="133"/>
        </w:numPr>
        <w:tabs>
          <w:tab w:val="left" w:pos="861"/>
          <w:tab w:val="left" w:pos="863"/>
        </w:tabs>
        <w:spacing w:before="79"/>
        <w:ind w:right="561"/>
      </w:pPr>
      <w:r>
        <w:lastRenderedPageBreak/>
        <w:t>Bulungan District Government adopted the implementation of an Inclusive Musrenbang through the Inclusive Forum of the Inclusive People’s Aspiration Network (JARI) in 2025. The district government was inspired following its involvement in the Forum for Aspiration Networking in the Province.</w:t>
      </w:r>
    </w:p>
    <w:p w14:paraId="6326237A" w14:textId="77777777" w:rsidR="00BC24A8" w:rsidRDefault="00BC24A8">
      <w:pPr>
        <w:pStyle w:val="BodyText"/>
        <w:spacing w:before="119"/>
      </w:pPr>
    </w:p>
    <w:p w14:paraId="492BF003" w14:textId="77777777" w:rsidR="00BC24A8" w:rsidRDefault="00000000">
      <w:pPr>
        <w:pStyle w:val="Heading5"/>
      </w:pPr>
      <w:r>
        <w:t>SKALA</w:t>
      </w:r>
      <w:r>
        <w:rPr>
          <w:spacing w:val="-6"/>
        </w:rPr>
        <w:t xml:space="preserve"> </w:t>
      </w:r>
      <w:r>
        <w:t>supported</w:t>
      </w:r>
      <w:r>
        <w:rPr>
          <w:spacing w:val="-9"/>
        </w:rPr>
        <w:t xml:space="preserve"> </w:t>
      </w:r>
      <w:r>
        <w:t>inclusive</w:t>
      </w:r>
      <w:r>
        <w:rPr>
          <w:spacing w:val="-9"/>
        </w:rPr>
        <w:t xml:space="preserve"> </w:t>
      </w:r>
      <w:r>
        <w:t>planning</w:t>
      </w:r>
      <w:r>
        <w:rPr>
          <w:spacing w:val="-5"/>
        </w:rPr>
        <w:t xml:space="preserve"> </w:t>
      </w:r>
      <w:r>
        <w:rPr>
          <w:spacing w:val="-2"/>
        </w:rPr>
        <w:t>policies:</w:t>
      </w:r>
    </w:p>
    <w:p w14:paraId="35A3841F" w14:textId="77777777" w:rsidR="00BC24A8" w:rsidRDefault="00000000">
      <w:pPr>
        <w:pStyle w:val="ListParagraph"/>
        <w:numPr>
          <w:ilvl w:val="3"/>
          <w:numId w:val="133"/>
        </w:numPr>
        <w:tabs>
          <w:tab w:val="left" w:pos="861"/>
          <w:tab w:val="left" w:pos="863"/>
        </w:tabs>
        <w:spacing w:before="161"/>
        <w:ind w:right="565"/>
      </w:pPr>
      <w:r>
        <w:t>Regional</w:t>
      </w:r>
      <w:r>
        <w:rPr>
          <w:spacing w:val="-13"/>
        </w:rPr>
        <w:t xml:space="preserve"> </w:t>
      </w:r>
      <w:r>
        <w:t>Regulation</w:t>
      </w:r>
      <w:r>
        <w:rPr>
          <w:spacing w:val="-11"/>
        </w:rPr>
        <w:t xml:space="preserve"> </w:t>
      </w:r>
      <w:r>
        <w:t>(Perda)</w:t>
      </w:r>
      <w:r>
        <w:rPr>
          <w:spacing w:val="-10"/>
        </w:rPr>
        <w:t xml:space="preserve"> </w:t>
      </w:r>
      <w:r>
        <w:t>No.</w:t>
      </w:r>
      <w:r>
        <w:rPr>
          <w:spacing w:val="-10"/>
        </w:rPr>
        <w:t xml:space="preserve"> </w:t>
      </w:r>
      <w:r>
        <w:t>17</w:t>
      </w:r>
      <w:r>
        <w:rPr>
          <w:spacing w:val="-11"/>
        </w:rPr>
        <w:t xml:space="preserve"> </w:t>
      </w:r>
      <w:r>
        <w:t>of</w:t>
      </w:r>
      <w:r>
        <w:rPr>
          <w:spacing w:val="-10"/>
        </w:rPr>
        <w:t xml:space="preserve"> </w:t>
      </w:r>
      <w:r>
        <w:t>2024</w:t>
      </w:r>
      <w:r>
        <w:rPr>
          <w:spacing w:val="-8"/>
        </w:rPr>
        <w:t xml:space="preserve"> </w:t>
      </w:r>
      <w:r>
        <w:t>on</w:t>
      </w:r>
      <w:r>
        <w:rPr>
          <w:spacing w:val="-9"/>
        </w:rPr>
        <w:t xml:space="preserve"> </w:t>
      </w:r>
      <w:r>
        <w:t>Respect,</w:t>
      </w:r>
      <w:r>
        <w:rPr>
          <w:spacing w:val="-13"/>
        </w:rPr>
        <w:t xml:space="preserve"> </w:t>
      </w:r>
      <w:r>
        <w:t>Protection,</w:t>
      </w:r>
      <w:r>
        <w:rPr>
          <w:spacing w:val="-10"/>
        </w:rPr>
        <w:t xml:space="preserve"> </w:t>
      </w:r>
      <w:r>
        <w:t>and</w:t>
      </w:r>
      <w:r>
        <w:rPr>
          <w:spacing w:val="-9"/>
        </w:rPr>
        <w:t xml:space="preserve"> </w:t>
      </w:r>
      <w:r>
        <w:t>Fulfillment</w:t>
      </w:r>
      <w:r>
        <w:rPr>
          <w:spacing w:val="-12"/>
        </w:rPr>
        <w:t xml:space="preserve"> </w:t>
      </w:r>
      <w:r>
        <w:t>of</w:t>
      </w:r>
      <w:r>
        <w:rPr>
          <w:spacing w:val="-8"/>
        </w:rPr>
        <w:t xml:space="preserve"> </w:t>
      </w:r>
      <w:r>
        <w:t>the</w:t>
      </w:r>
      <w:r>
        <w:rPr>
          <w:spacing w:val="-10"/>
        </w:rPr>
        <w:t xml:space="preserve"> </w:t>
      </w:r>
      <w:r>
        <w:t>Rights of Persons with Disabilities in</w:t>
      </w:r>
      <w:r>
        <w:rPr>
          <w:spacing w:val="40"/>
        </w:rPr>
        <w:t xml:space="preserve"> </w:t>
      </w:r>
      <w:r>
        <w:t>Kalimantan Utara has been enacted. The Perda has been introduced to provincial agencies, private agencies, and MENTARI KALTARA Civil Society Network (2 CSOs and 9 DPOs).</w:t>
      </w:r>
    </w:p>
    <w:p w14:paraId="5D107BB7" w14:textId="77777777" w:rsidR="00BC24A8" w:rsidRDefault="00000000">
      <w:pPr>
        <w:pStyle w:val="ListParagraph"/>
        <w:numPr>
          <w:ilvl w:val="3"/>
          <w:numId w:val="133"/>
        </w:numPr>
        <w:tabs>
          <w:tab w:val="left" w:pos="862"/>
          <w:tab w:val="left" w:pos="864"/>
        </w:tabs>
        <w:ind w:left="864" w:right="564"/>
      </w:pPr>
      <w:r>
        <w:t>The Governor Regulation Drafting Team (including 1 DPO) has been SK-appointed by the Governor (No.100.3.3.1/232/2025) and will develop 14 local regulations on disability.</w:t>
      </w:r>
    </w:p>
    <w:p w14:paraId="5C670F3E" w14:textId="77777777" w:rsidR="00BC24A8" w:rsidRDefault="00000000">
      <w:pPr>
        <w:pStyle w:val="ListParagraph"/>
        <w:numPr>
          <w:ilvl w:val="3"/>
          <w:numId w:val="133"/>
        </w:numPr>
        <w:tabs>
          <w:tab w:val="left" w:pos="862"/>
          <w:tab w:val="left" w:pos="864"/>
        </w:tabs>
        <w:ind w:left="864" w:right="559"/>
      </w:pPr>
      <w:r>
        <w:t>A decree on the coordination team for persons with disability action plan (RAD PD) implementation has been issued, involving 6 CSOs/DPOs from MENTARI KALTARA Civil Society Network,</w:t>
      </w:r>
      <w:r>
        <w:rPr>
          <w:spacing w:val="-2"/>
        </w:rPr>
        <w:t xml:space="preserve"> </w:t>
      </w:r>
      <w:r>
        <w:t>Program</w:t>
      </w:r>
      <w:r>
        <w:rPr>
          <w:spacing w:val="-5"/>
        </w:rPr>
        <w:t xml:space="preserve"> </w:t>
      </w:r>
      <w:r>
        <w:t>INOVASI,</w:t>
      </w:r>
      <w:r>
        <w:rPr>
          <w:spacing w:val="-2"/>
        </w:rPr>
        <w:t xml:space="preserve"> </w:t>
      </w:r>
      <w:r>
        <w:t>INKLUSI</w:t>
      </w:r>
      <w:r>
        <w:rPr>
          <w:spacing w:val="-4"/>
        </w:rPr>
        <w:t xml:space="preserve"> </w:t>
      </w:r>
      <w:r>
        <w:t>(PEKKA),</w:t>
      </w:r>
      <w:r>
        <w:rPr>
          <w:spacing w:val="-2"/>
        </w:rPr>
        <w:t xml:space="preserve"> </w:t>
      </w:r>
      <w:r>
        <w:t>and</w:t>
      </w:r>
      <w:r>
        <w:rPr>
          <w:spacing w:val="-2"/>
        </w:rPr>
        <w:t xml:space="preserve"> </w:t>
      </w:r>
      <w:r>
        <w:t>2</w:t>
      </w:r>
      <w:r>
        <w:rPr>
          <w:spacing w:val="-4"/>
        </w:rPr>
        <w:t xml:space="preserve"> </w:t>
      </w:r>
      <w:r>
        <w:t>private</w:t>
      </w:r>
      <w:r>
        <w:rPr>
          <w:spacing w:val="-2"/>
        </w:rPr>
        <w:t xml:space="preserve"> </w:t>
      </w:r>
      <w:r>
        <w:t>companies.</w:t>
      </w:r>
      <w:r>
        <w:rPr>
          <w:spacing w:val="-4"/>
        </w:rPr>
        <w:t xml:space="preserve"> </w:t>
      </w:r>
      <w:r>
        <w:t>This</w:t>
      </w:r>
      <w:r>
        <w:rPr>
          <w:spacing w:val="-2"/>
        </w:rPr>
        <w:t xml:space="preserve"> </w:t>
      </w:r>
      <w:r>
        <w:t>team</w:t>
      </w:r>
      <w:r>
        <w:rPr>
          <w:spacing w:val="-5"/>
        </w:rPr>
        <w:t xml:space="preserve"> </w:t>
      </w:r>
      <w:r>
        <w:t>has</w:t>
      </w:r>
      <w:r>
        <w:rPr>
          <w:spacing w:val="-2"/>
        </w:rPr>
        <w:t xml:space="preserve"> </w:t>
      </w:r>
      <w:r>
        <w:t>received dissemination of inclusiveness analysis for RAD-PD preparation.</w:t>
      </w:r>
    </w:p>
    <w:p w14:paraId="78C0AFB6" w14:textId="77777777" w:rsidR="00BC24A8" w:rsidRDefault="00000000">
      <w:pPr>
        <w:pStyle w:val="ListParagraph"/>
        <w:numPr>
          <w:ilvl w:val="3"/>
          <w:numId w:val="133"/>
        </w:numPr>
        <w:tabs>
          <w:tab w:val="left" w:pos="864"/>
        </w:tabs>
        <w:ind w:left="864" w:right="564" w:hanging="360"/>
      </w:pPr>
      <w:r>
        <w:t>The draft</w:t>
      </w:r>
      <w:r>
        <w:rPr>
          <w:spacing w:val="-1"/>
        </w:rPr>
        <w:t xml:space="preserve"> </w:t>
      </w:r>
      <w:r>
        <w:t>RAD-PD is being</w:t>
      </w:r>
      <w:r>
        <w:rPr>
          <w:spacing w:val="-1"/>
        </w:rPr>
        <w:t xml:space="preserve"> </w:t>
      </w:r>
      <w:r>
        <w:t>harmonised by the Kalimantan Utara</w:t>
      </w:r>
      <w:r>
        <w:rPr>
          <w:spacing w:val="-1"/>
        </w:rPr>
        <w:t xml:space="preserve"> </w:t>
      </w:r>
      <w:r>
        <w:t>Regional</w:t>
      </w:r>
      <w:r>
        <w:rPr>
          <w:spacing w:val="-1"/>
        </w:rPr>
        <w:t xml:space="preserve"> </w:t>
      </w:r>
      <w:r>
        <w:t>Office of</w:t>
      </w:r>
      <w:r>
        <w:rPr>
          <w:spacing w:val="-1"/>
        </w:rPr>
        <w:t xml:space="preserve"> </w:t>
      </w:r>
      <w:r>
        <w:t>the Ministry of</w:t>
      </w:r>
      <w:r>
        <w:rPr>
          <w:spacing w:val="-1"/>
        </w:rPr>
        <w:t xml:space="preserve"> </w:t>
      </w:r>
      <w:r>
        <w:t>Law</w:t>
      </w:r>
      <w:r>
        <w:rPr>
          <w:spacing w:val="-1"/>
        </w:rPr>
        <w:t xml:space="preserve"> </w:t>
      </w:r>
      <w:r>
        <w:t>and</w:t>
      </w:r>
      <w:r>
        <w:rPr>
          <w:spacing w:val="-2"/>
        </w:rPr>
        <w:t xml:space="preserve"> </w:t>
      </w:r>
      <w:r>
        <w:t>Human Rights</w:t>
      </w:r>
      <w:r>
        <w:rPr>
          <w:spacing w:val="-1"/>
        </w:rPr>
        <w:t xml:space="preserve"> </w:t>
      </w:r>
      <w:r>
        <w:t>(MoLHR).</w:t>
      </w:r>
      <w:r>
        <w:rPr>
          <w:spacing w:val="-1"/>
        </w:rPr>
        <w:t xml:space="preserve"> </w:t>
      </w:r>
      <w:r>
        <w:t>SKALA provides cross-party</w:t>
      </w:r>
      <w:r>
        <w:rPr>
          <w:spacing w:val="-1"/>
        </w:rPr>
        <w:t xml:space="preserve"> </w:t>
      </w:r>
      <w:r>
        <w:t>technical</w:t>
      </w:r>
      <w:r>
        <w:rPr>
          <w:spacing w:val="-1"/>
        </w:rPr>
        <w:t xml:space="preserve"> </w:t>
      </w:r>
      <w:r>
        <w:t>input</w:t>
      </w:r>
      <w:r>
        <w:rPr>
          <w:spacing w:val="-3"/>
        </w:rPr>
        <w:t xml:space="preserve"> </w:t>
      </w:r>
      <w:r>
        <w:t>and assistance.</w:t>
      </w:r>
    </w:p>
    <w:p w14:paraId="1321D26E" w14:textId="77777777" w:rsidR="00BC24A8" w:rsidRDefault="00000000">
      <w:pPr>
        <w:pStyle w:val="ListParagraph"/>
        <w:numPr>
          <w:ilvl w:val="3"/>
          <w:numId w:val="133"/>
        </w:numPr>
        <w:tabs>
          <w:tab w:val="left" w:pos="863"/>
        </w:tabs>
        <w:ind w:right="561" w:hanging="360"/>
      </w:pPr>
      <w:r>
        <w:t>Governor Circular Letter 000.7.2.2/0033/BAPP-LIT/GUB has been issued to encourage regions to prioritise persons with disabilities in the RPJMD 2025–2029, Strategic Plan 2025–2029, and RKPD 2026. With the support of SKALA, this circular letter also serves as the basis for implementing the 2025 disability thematic inclusion Musrenbang.</w:t>
      </w:r>
    </w:p>
    <w:p w14:paraId="13927C70" w14:textId="77777777" w:rsidR="00BC24A8" w:rsidRDefault="00000000">
      <w:pPr>
        <w:pStyle w:val="ListParagraph"/>
        <w:numPr>
          <w:ilvl w:val="3"/>
          <w:numId w:val="133"/>
        </w:numPr>
        <w:tabs>
          <w:tab w:val="left" w:pos="863"/>
        </w:tabs>
        <w:ind w:right="564" w:hanging="360"/>
      </w:pPr>
      <w:r>
        <w:t>The RAD-PD Matrix and the 2025–2029 Provincial Agencies Strategic Plan have been synchronised</w:t>
      </w:r>
      <w:r>
        <w:rPr>
          <w:spacing w:val="-13"/>
        </w:rPr>
        <w:t xml:space="preserve"> </w:t>
      </w:r>
      <w:r>
        <w:t>across</w:t>
      </w:r>
      <w:r>
        <w:rPr>
          <w:spacing w:val="-12"/>
        </w:rPr>
        <w:t xml:space="preserve"> </w:t>
      </w:r>
      <w:r>
        <w:t>18</w:t>
      </w:r>
      <w:r>
        <w:rPr>
          <w:spacing w:val="-13"/>
        </w:rPr>
        <w:t xml:space="preserve"> </w:t>
      </w:r>
      <w:r>
        <w:t>provincial</w:t>
      </w:r>
      <w:r>
        <w:rPr>
          <w:spacing w:val="-12"/>
        </w:rPr>
        <w:t xml:space="preserve"> </w:t>
      </w:r>
      <w:r>
        <w:t>agencies,</w:t>
      </w:r>
      <w:r>
        <w:rPr>
          <w:spacing w:val="-13"/>
        </w:rPr>
        <w:t xml:space="preserve"> </w:t>
      </w:r>
      <w:r>
        <w:t>involving</w:t>
      </w:r>
      <w:r>
        <w:rPr>
          <w:spacing w:val="-12"/>
        </w:rPr>
        <w:t xml:space="preserve"> </w:t>
      </w:r>
      <w:r>
        <w:t>13</w:t>
      </w:r>
      <w:r>
        <w:rPr>
          <w:spacing w:val="-13"/>
        </w:rPr>
        <w:t xml:space="preserve"> </w:t>
      </w:r>
      <w:r>
        <w:t>CSOs</w:t>
      </w:r>
      <w:r>
        <w:rPr>
          <w:spacing w:val="-11"/>
        </w:rPr>
        <w:t xml:space="preserve"> </w:t>
      </w:r>
      <w:r>
        <w:t>and</w:t>
      </w:r>
      <w:r>
        <w:rPr>
          <w:spacing w:val="-12"/>
        </w:rPr>
        <w:t xml:space="preserve"> </w:t>
      </w:r>
      <w:r>
        <w:t>4</w:t>
      </w:r>
      <w:r>
        <w:rPr>
          <w:spacing w:val="-13"/>
        </w:rPr>
        <w:t xml:space="preserve"> </w:t>
      </w:r>
      <w:r>
        <w:t>DPOs,</w:t>
      </w:r>
      <w:r>
        <w:rPr>
          <w:spacing w:val="-10"/>
        </w:rPr>
        <w:t xml:space="preserve"> </w:t>
      </w:r>
      <w:r>
        <w:t>to</w:t>
      </w:r>
      <w:r>
        <w:rPr>
          <w:spacing w:val="-12"/>
        </w:rPr>
        <w:t xml:space="preserve"> </w:t>
      </w:r>
      <w:r>
        <w:t>integrate</w:t>
      </w:r>
      <w:r>
        <w:rPr>
          <w:spacing w:val="-11"/>
        </w:rPr>
        <w:t xml:space="preserve"> </w:t>
      </w:r>
      <w:r>
        <w:t>disability needs into provincial agencies' planning.</w:t>
      </w:r>
    </w:p>
    <w:p w14:paraId="75BC8A2F" w14:textId="77777777" w:rsidR="00BC24A8" w:rsidRDefault="00BC24A8">
      <w:pPr>
        <w:pStyle w:val="BodyText"/>
      </w:pPr>
    </w:p>
    <w:p w14:paraId="5D0E2170" w14:textId="77777777" w:rsidR="00BC24A8" w:rsidRDefault="00BC24A8">
      <w:pPr>
        <w:pStyle w:val="BodyText"/>
        <w:spacing w:before="11"/>
      </w:pPr>
    </w:p>
    <w:p w14:paraId="0225A2FA" w14:textId="77777777" w:rsidR="00BC24A8" w:rsidRDefault="00000000">
      <w:pPr>
        <w:pStyle w:val="Heading5"/>
      </w:pPr>
      <w:r>
        <w:rPr>
          <w:color w:val="17365A"/>
        </w:rPr>
        <w:t>Impact</w:t>
      </w:r>
      <w:r>
        <w:rPr>
          <w:color w:val="17365A"/>
          <w:spacing w:val="-3"/>
        </w:rPr>
        <w:t xml:space="preserve"> </w:t>
      </w:r>
      <w:r>
        <w:rPr>
          <w:color w:val="17365A"/>
        </w:rPr>
        <w:t>of</w:t>
      </w:r>
      <w:r>
        <w:rPr>
          <w:color w:val="17365A"/>
          <w:spacing w:val="-2"/>
        </w:rPr>
        <w:t xml:space="preserve"> results/changes</w:t>
      </w:r>
    </w:p>
    <w:p w14:paraId="78EA09C3" w14:textId="77777777" w:rsidR="00BC24A8" w:rsidRDefault="00BC24A8">
      <w:pPr>
        <w:pStyle w:val="BodyText"/>
        <w:spacing w:before="9"/>
        <w:rPr>
          <w:rFonts w:ascii="Calibri"/>
          <w:b/>
          <w:sz w:val="12"/>
        </w:rPr>
      </w:pPr>
    </w:p>
    <w:tbl>
      <w:tblPr>
        <w:tblW w:w="0" w:type="auto"/>
        <w:tblInd w:w="141" w:type="dxa"/>
        <w:tblLayout w:type="fixed"/>
        <w:tblCellMar>
          <w:left w:w="0" w:type="dxa"/>
          <w:right w:w="0" w:type="dxa"/>
        </w:tblCellMar>
        <w:tblLook w:val="01E0" w:firstRow="1" w:lastRow="1" w:firstColumn="1" w:lastColumn="1" w:noHBand="0" w:noVBand="0"/>
      </w:tblPr>
      <w:tblGrid>
        <w:gridCol w:w="1378"/>
        <w:gridCol w:w="7722"/>
      </w:tblGrid>
      <w:tr w:rsidR="00BC24A8" w14:paraId="14F40830" w14:textId="77777777">
        <w:trPr>
          <w:trHeight w:val="360"/>
        </w:trPr>
        <w:tc>
          <w:tcPr>
            <w:tcW w:w="1378" w:type="dxa"/>
            <w:shd w:val="clear" w:color="auto" w:fill="17365A"/>
          </w:tcPr>
          <w:p w14:paraId="45857FD8" w14:textId="77777777" w:rsidR="00BC24A8" w:rsidRDefault="00000000">
            <w:pPr>
              <w:pStyle w:val="TableParagraph"/>
              <w:spacing w:before="59"/>
              <w:ind w:left="116"/>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722" w:type="dxa"/>
            <w:shd w:val="clear" w:color="auto" w:fill="17365A"/>
          </w:tcPr>
          <w:p w14:paraId="2D865192" w14:textId="77777777" w:rsidR="00BC24A8" w:rsidRDefault="00000000">
            <w:pPr>
              <w:pStyle w:val="TableParagraph"/>
              <w:spacing w:before="59"/>
              <w:ind w:left="155"/>
              <w:rPr>
                <w:rFonts w:ascii="Calibri"/>
                <w:b/>
                <w:sz w:val="20"/>
              </w:rPr>
            </w:pPr>
            <w:r>
              <w:rPr>
                <w:rFonts w:ascii="Calibri"/>
                <w:b/>
                <w:color w:val="FFFFFF"/>
                <w:spacing w:val="-2"/>
                <w:sz w:val="20"/>
              </w:rPr>
              <w:t>Impact</w:t>
            </w:r>
          </w:p>
        </w:tc>
      </w:tr>
      <w:tr w:rsidR="00BC24A8" w14:paraId="2E6498E3" w14:textId="77777777">
        <w:trPr>
          <w:trHeight w:val="5231"/>
        </w:trPr>
        <w:tc>
          <w:tcPr>
            <w:tcW w:w="1378" w:type="dxa"/>
            <w:tcBorders>
              <w:bottom w:val="single" w:sz="4" w:space="0" w:color="BEBEBE"/>
            </w:tcBorders>
          </w:tcPr>
          <w:p w14:paraId="70EACB1D" w14:textId="77777777" w:rsidR="00BC24A8" w:rsidRDefault="00000000">
            <w:pPr>
              <w:pStyle w:val="TableParagraph"/>
              <w:spacing w:before="102"/>
              <w:ind w:left="116"/>
              <w:rPr>
                <w:sz w:val="18"/>
              </w:rPr>
            </w:pPr>
            <w:r>
              <w:rPr>
                <w:spacing w:val="-2"/>
                <w:sz w:val="18"/>
              </w:rPr>
              <w:t>Methodological</w:t>
            </w:r>
            <w:r>
              <w:rPr>
                <w:sz w:val="18"/>
              </w:rPr>
              <w:t xml:space="preserve"> </w:t>
            </w:r>
            <w:r>
              <w:rPr>
                <w:spacing w:val="-2"/>
                <w:sz w:val="18"/>
              </w:rPr>
              <w:t>impact</w:t>
            </w:r>
          </w:p>
        </w:tc>
        <w:tc>
          <w:tcPr>
            <w:tcW w:w="7722" w:type="dxa"/>
            <w:tcBorders>
              <w:bottom w:val="single" w:sz="4" w:space="0" w:color="BEBEBE"/>
            </w:tcBorders>
          </w:tcPr>
          <w:p w14:paraId="7A7F01C8" w14:textId="77777777" w:rsidR="00BC24A8" w:rsidRDefault="00000000">
            <w:pPr>
              <w:pStyle w:val="TableParagraph"/>
              <w:spacing w:before="102"/>
              <w:ind w:left="155"/>
              <w:rPr>
                <w:sz w:val="18"/>
              </w:rPr>
            </w:pPr>
            <w:r>
              <w:rPr>
                <w:sz w:val="18"/>
              </w:rPr>
              <w:t>Guidelines,</w:t>
            </w:r>
            <w:r>
              <w:rPr>
                <w:spacing w:val="-4"/>
                <w:sz w:val="18"/>
              </w:rPr>
              <w:t xml:space="preserve"> </w:t>
            </w:r>
            <w:r>
              <w:rPr>
                <w:sz w:val="18"/>
              </w:rPr>
              <w:t>instruments,</w:t>
            </w:r>
            <w:r>
              <w:rPr>
                <w:spacing w:val="-4"/>
                <w:sz w:val="18"/>
              </w:rPr>
              <w:t xml:space="preserve"> </w:t>
            </w:r>
            <w:r>
              <w:rPr>
                <w:sz w:val="18"/>
              </w:rPr>
              <w:t>materials,</w:t>
            </w:r>
            <w:r>
              <w:rPr>
                <w:spacing w:val="-3"/>
                <w:sz w:val="18"/>
              </w:rPr>
              <w:t xml:space="preserve"> </w:t>
            </w:r>
            <w:r>
              <w:rPr>
                <w:sz w:val="18"/>
              </w:rPr>
              <w:t>systems,</w:t>
            </w:r>
            <w:r>
              <w:rPr>
                <w:spacing w:val="-4"/>
                <w:sz w:val="18"/>
              </w:rPr>
              <w:t xml:space="preserve"> </w:t>
            </w:r>
            <w:r>
              <w:rPr>
                <w:sz w:val="18"/>
              </w:rPr>
              <w:t>strategies,</w:t>
            </w:r>
            <w:r>
              <w:rPr>
                <w:spacing w:val="-2"/>
                <w:sz w:val="18"/>
              </w:rPr>
              <w:t xml:space="preserve"> </w:t>
            </w:r>
            <w:r>
              <w:rPr>
                <w:sz w:val="18"/>
              </w:rPr>
              <w:t>and</w:t>
            </w:r>
            <w:r>
              <w:rPr>
                <w:spacing w:val="-2"/>
                <w:sz w:val="18"/>
              </w:rPr>
              <w:t xml:space="preserve"> evidence/data:</w:t>
            </w:r>
          </w:p>
          <w:p w14:paraId="7574455F" w14:textId="77777777" w:rsidR="00BC24A8" w:rsidRDefault="00000000">
            <w:pPr>
              <w:pStyle w:val="TableParagraph"/>
              <w:numPr>
                <w:ilvl w:val="0"/>
                <w:numId w:val="112"/>
              </w:numPr>
              <w:tabs>
                <w:tab w:val="left" w:pos="486"/>
              </w:tabs>
              <w:spacing w:before="59"/>
              <w:ind w:right="105"/>
              <w:rPr>
                <w:sz w:val="18"/>
              </w:rPr>
            </w:pPr>
            <w:r>
              <w:rPr>
                <w:sz w:val="18"/>
              </w:rPr>
              <w:t>MENTARI KALTARA Inclusive Screening Forum Technical Guidelines</w:t>
            </w:r>
            <w:r>
              <w:rPr>
                <w:spacing w:val="-2"/>
                <w:sz w:val="18"/>
              </w:rPr>
              <w:t xml:space="preserve"> </w:t>
            </w:r>
            <w:r>
              <w:rPr>
                <w:sz w:val="18"/>
              </w:rPr>
              <w:t>as a guideline for</w:t>
            </w:r>
            <w:r>
              <w:rPr>
                <w:spacing w:val="-2"/>
                <w:sz w:val="18"/>
              </w:rPr>
              <w:t xml:space="preserve"> </w:t>
            </w:r>
            <w:r>
              <w:rPr>
                <w:sz w:val="18"/>
              </w:rPr>
              <w:t>government- community collaboration in regional planning.</w:t>
            </w:r>
          </w:p>
          <w:p w14:paraId="08964720" w14:textId="77777777" w:rsidR="00BC24A8" w:rsidRDefault="00000000">
            <w:pPr>
              <w:pStyle w:val="TableParagraph"/>
              <w:numPr>
                <w:ilvl w:val="0"/>
                <w:numId w:val="112"/>
              </w:numPr>
              <w:tabs>
                <w:tab w:val="left" w:pos="486"/>
              </w:tabs>
              <w:ind w:right="105"/>
              <w:rPr>
                <w:sz w:val="18"/>
              </w:rPr>
            </w:pPr>
            <w:r>
              <w:rPr>
                <w:sz w:val="18"/>
              </w:rPr>
              <w:t>Kaltara Province won the MSS Award 2024 with a 100% compliance index, ranked 4th nationally and best in the Kalimantan Utara region.</w:t>
            </w:r>
          </w:p>
          <w:p w14:paraId="0833429D" w14:textId="77777777" w:rsidR="00BC24A8" w:rsidRDefault="00000000">
            <w:pPr>
              <w:pStyle w:val="TableParagraph"/>
              <w:numPr>
                <w:ilvl w:val="0"/>
                <w:numId w:val="112"/>
              </w:numPr>
              <w:tabs>
                <w:tab w:val="left" w:pos="486"/>
              </w:tabs>
              <w:spacing w:line="219" w:lineRule="exact"/>
              <w:rPr>
                <w:sz w:val="18"/>
              </w:rPr>
            </w:pPr>
            <w:r>
              <w:rPr>
                <w:sz w:val="18"/>
              </w:rPr>
              <w:t>Utilisation</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2025</w:t>
            </w:r>
            <w:r>
              <w:rPr>
                <w:spacing w:val="-3"/>
                <w:sz w:val="18"/>
              </w:rPr>
              <w:t xml:space="preserve"> </w:t>
            </w:r>
            <w:r>
              <w:rPr>
                <w:sz w:val="18"/>
              </w:rPr>
              <w:t>Data</w:t>
            </w:r>
            <w:r>
              <w:rPr>
                <w:spacing w:val="-2"/>
                <w:sz w:val="18"/>
              </w:rPr>
              <w:t xml:space="preserve"> </w:t>
            </w:r>
            <w:r>
              <w:rPr>
                <w:sz w:val="18"/>
              </w:rPr>
              <w:t>List to</w:t>
            </w:r>
            <w:r>
              <w:rPr>
                <w:spacing w:val="-2"/>
                <w:sz w:val="18"/>
              </w:rPr>
              <w:t xml:space="preserve"> </w:t>
            </w:r>
            <w:r>
              <w:rPr>
                <w:sz w:val="18"/>
              </w:rPr>
              <w:t>develop</w:t>
            </w:r>
            <w:r>
              <w:rPr>
                <w:spacing w:val="-1"/>
                <w:sz w:val="18"/>
              </w:rPr>
              <w:t xml:space="preserve"> </w:t>
            </w:r>
            <w:r>
              <w:rPr>
                <w:sz w:val="18"/>
              </w:rPr>
              <w:t>5</w:t>
            </w:r>
            <w:r>
              <w:rPr>
                <w:spacing w:val="-1"/>
                <w:sz w:val="18"/>
              </w:rPr>
              <w:t xml:space="preserve"> </w:t>
            </w:r>
            <w:r>
              <w:rPr>
                <w:sz w:val="18"/>
              </w:rPr>
              <w:t>policy</w:t>
            </w:r>
            <w:r>
              <w:rPr>
                <w:spacing w:val="-1"/>
                <w:sz w:val="18"/>
              </w:rPr>
              <w:t xml:space="preserve"> </w:t>
            </w:r>
            <w:r>
              <w:rPr>
                <w:spacing w:val="-2"/>
                <w:sz w:val="18"/>
              </w:rPr>
              <w:t>briefs.</w:t>
            </w:r>
          </w:p>
          <w:p w14:paraId="318F260D" w14:textId="77777777" w:rsidR="00BC24A8" w:rsidRDefault="00000000">
            <w:pPr>
              <w:pStyle w:val="TableParagraph"/>
              <w:numPr>
                <w:ilvl w:val="0"/>
                <w:numId w:val="112"/>
              </w:numPr>
              <w:tabs>
                <w:tab w:val="left" w:pos="486"/>
              </w:tabs>
              <w:ind w:right="108"/>
              <w:rPr>
                <w:sz w:val="18"/>
              </w:rPr>
            </w:pPr>
            <w:r>
              <w:rPr>
                <w:sz w:val="18"/>
              </w:rPr>
              <w:t>The One Data</w:t>
            </w:r>
            <w:r>
              <w:rPr>
                <w:spacing w:val="-1"/>
                <w:sz w:val="18"/>
              </w:rPr>
              <w:t xml:space="preserve"> </w:t>
            </w:r>
            <w:r>
              <w:rPr>
                <w:sz w:val="18"/>
              </w:rPr>
              <w:t>Portal E-DATAKU Sidara</w:t>
            </w:r>
            <w:r>
              <w:rPr>
                <w:spacing w:val="-1"/>
                <w:sz w:val="18"/>
              </w:rPr>
              <w:t xml:space="preserve"> </w:t>
            </w:r>
            <w:r>
              <w:rPr>
                <w:sz w:val="18"/>
              </w:rPr>
              <w:t>Cantik 2.0 was officially launched,</w:t>
            </w:r>
            <w:r>
              <w:rPr>
                <w:spacing w:val="-1"/>
                <w:sz w:val="18"/>
              </w:rPr>
              <w:t xml:space="preserve"> </w:t>
            </w:r>
            <w:r>
              <w:rPr>
                <w:sz w:val="18"/>
              </w:rPr>
              <w:t>publishing 1,080 datasets (55% of the 2025 Data List).</w:t>
            </w:r>
          </w:p>
          <w:p w14:paraId="5BB39038" w14:textId="77777777" w:rsidR="00BC24A8" w:rsidRDefault="00000000">
            <w:pPr>
              <w:pStyle w:val="TableParagraph"/>
              <w:numPr>
                <w:ilvl w:val="0"/>
                <w:numId w:val="112"/>
              </w:numPr>
              <w:tabs>
                <w:tab w:val="left" w:pos="486"/>
              </w:tabs>
              <w:ind w:right="106"/>
              <w:rPr>
                <w:sz w:val="18"/>
              </w:rPr>
            </w:pPr>
            <w:r>
              <w:rPr>
                <w:sz w:val="18"/>
              </w:rPr>
              <w:t>Provincial agencies and district/city Bappeda were provided with working paper instruments for cascading RPJMD to OPD Strategic Plan and RKPD 2026.</w:t>
            </w:r>
          </w:p>
          <w:p w14:paraId="12B0A9D6" w14:textId="77777777" w:rsidR="00BC24A8" w:rsidRDefault="00000000">
            <w:pPr>
              <w:pStyle w:val="TableParagraph"/>
              <w:numPr>
                <w:ilvl w:val="0"/>
                <w:numId w:val="112"/>
              </w:numPr>
              <w:tabs>
                <w:tab w:val="left" w:pos="486"/>
              </w:tabs>
              <w:ind w:right="110"/>
              <w:rPr>
                <w:sz w:val="18"/>
              </w:rPr>
            </w:pPr>
            <w:r>
              <w:rPr>
                <w:sz w:val="18"/>
              </w:rPr>
              <w:t>18</w:t>
            </w:r>
            <w:r>
              <w:rPr>
                <w:spacing w:val="35"/>
                <w:sz w:val="18"/>
              </w:rPr>
              <w:t xml:space="preserve"> </w:t>
            </w:r>
            <w:r>
              <w:rPr>
                <w:sz w:val="18"/>
              </w:rPr>
              <w:t>OPDs</w:t>
            </w:r>
            <w:r>
              <w:rPr>
                <w:spacing w:val="35"/>
                <w:sz w:val="18"/>
              </w:rPr>
              <w:t xml:space="preserve"> </w:t>
            </w:r>
            <w:r>
              <w:rPr>
                <w:sz w:val="18"/>
              </w:rPr>
              <w:t>received</w:t>
            </w:r>
            <w:r>
              <w:rPr>
                <w:spacing w:val="35"/>
                <w:sz w:val="18"/>
              </w:rPr>
              <w:t xml:space="preserve"> </w:t>
            </w:r>
            <w:r>
              <w:rPr>
                <w:sz w:val="18"/>
              </w:rPr>
              <w:t>working</w:t>
            </w:r>
            <w:r>
              <w:rPr>
                <w:spacing w:val="35"/>
                <w:sz w:val="18"/>
              </w:rPr>
              <w:t xml:space="preserve"> </w:t>
            </w:r>
            <w:r>
              <w:rPr>
                <w:sz w:val="18"/>
              </w:rPr>
              <w:t>paper</w:t>
            </w:r>
            <w:r>
              <w:rPr>
                <w:spacing w:val="36"/>
                <w:sz w:val="18"/>
              </w:rPr>
              <w:t xml:space="preserve"> </w:t>
            </w:r>
            <w:r>
              <w:rPr>
                <w:sz w:val="18"/>
              </w:rPr>
              <w:t>instruments</w:t>
            </w:r>
            <w:r>
              <w:rPr>
                <w:spacing w:val="35"/>
                <w:sz w:val="18"/>
              </w:rPr>
              <w:t xml:space="preserve"> </w:t>
            </w:r>
            <w:r>
              <w:rPr>
                <w:sz w:val="18"/>
              </w:rPr>
              <w:t>to</w:t>
            </w:r>
            <w:r>
              <w:rPr>
                <w:spacing w:val="35"/>
                <w:sz w:val="18"/>
              </w:rPr>
              <w:t xml:space="preserve"> </w:t>
            </w:r>
            <w:r>
              <w:rPr>
                <w:sz w:val="18"/>
              </w:rPr>
              <w:t>synchronise</w:t>
            </w:r>
            <w:r>
              <w:rPr>
                <w:spacing w:val="35"/>
                <w:sz w:val="18"/>
              </w:rPr>
              <w:t xml:space="preserve"> </w:t>
            </w:r>
            <w:r>
              <w:rPr>
                <w:sz w:val="18"/>
              </w:rPr>
              <w:t>OPD</w:t>
            </w:r>
            <w:r>
              <w:rPr>
                <w:spacing w:val="36"/>
                <w:sz w:val="18"/>
              </w:rPr>
              <w:t xml:space="preserve"> </w:t>
            </w:r>
            <w:r>
              <w:rPr>
                <w:sz w:val="18"/>
              </w:rPr>
              <w:t>Action</w:t>
            </w:r>
            <w:r>
              <w:rPr>
                <w:spacing w:val="35"/>
                <w:sz w:val="18"/>
              </w:rPr>
              <w:t xml:space="preserve"> </w:t>
            </w:r>
            <w:r>
              <w:rPr>
                <w:sz w:val="18"/>
              </w:rPr>
              <w:t>Plans</w:t>
            </w:r>
            <w:r>
              <w:rPr>
                <w:spacing w:val="35"/>
                <w:sz w:val="18"/>
              </w:rPr>
              <w:t xml:space="preserve"> </w:t>
            </w:r>
            <w:r>
              <w:rPr>
                <w:sz w:val="18"/>
              </w:rPr>
              <w:t>(Renaksi)</w:t>
            </w:r>
            <w:r>
              <w:rPr>
                <w:spacing w:val="34"/>
                <w:sz w:val="18"/>
              </w:rPr>
              <w:t xml:space="preserve"> </w:t>
            </w:r>
            <w:r>
              <w:rPr>
                <w:sz w:val="18"/>
              </w:rPr>
              <w:t>and Strategic Plans (RENSTRA).</w:t>
            </w:r>
          </w:p>
          <w:p w14:paraId="1E702307" w14:textId="77777777" w:rsidR="00BC24A8" w:rsidRDefault="00000000">
            <w:pPr>
              <w:pStyle w:val="TableParagraph"/>
              <w:spacing w:before="62"/>
              <w:ind w:left="155"/>
              <w:rPr>
                <w:sz w:val="18"/>
              </w:rPr>
            </w:pPr>
            <w:r>
              <w:rPr>
                <w:sz w:val="18"/>
              </w:rPr>
              <w:t>New</w:t>
            </w:r>
            <w:r>
              <w:rPr>
                <w:spacing w:val="-5"/>
                <w:sz w:val="18"/>
              </w:rPr>
              <w:t xml:space="preserve"> </w:t>
            </w:r>
            <w:r>
              <w:rPr>
                <w:sz w:val="18"/>
              </w:rPr>
              <w:t>practices</w:t>
            </w:r>
            <w:r>
              <w:rPr>
                <w:spacing w:val="-1"/>
                <w:sz w:val="18"/>
              </w:rPr>
              <w:t xml:space="preserve"> </w:t>
            </w:r>
            <w:r>
              <w:rPr>
                <w:sz w:val="18"/>
              </w:rPr>
              <w:t>are</w:t>
            </w:r>
            <w:r>
              <w:rPr>
                <w:spacing w:val="-2"/>
                <w:sz w:val="18"/>
              </w:rPr>
              <w:t xml:space="preserve"> </w:t>
            </w:r>
            <w:r>
              <w:rPr>
                <w:sz w:val="18"/>
              </w:rPr>
              <w:t>introduced</w:t>
            </w:r>
            <w:r>
              <w:rPr>
                <w:spacing w:val="-1"/>
                <w:sz w:val="18"/>
              </w:rPr>
              <w:t xml:space="preserve"> </w:t>
            </w:r>
            <w:r>
              <w:rPr>
                <w:sz w:val="18"/>
              </w:rPr>
              <w:t>(models,</w:t>
            </w:r>
            <w:r>
              <w:rPr>
                <w:spacing w:val="-3"/>
                <w:sz w:val="18"/>
              </w:rPr>
              <w:t xml:space="preserve"> </w:t>
            </w:r>
            <w:r>
              <w:rPr>
                <w:sz w:val="18"/>
              </w:rPr>
              <w:t>initiatives,</w:t>
            </w:r>
            <w:r>
              <w:rPr>
                <w:spacing w:val="-2"/>
                <w:sz w:val="18"/>
              </w:rPr>
              <w:t xml:space="preserve"> </w:t>
            </w:r>
            <w:r>
              <w:rPr>
                <w:sz w:val="18"/>
              </w:rPr>
              <w:t>ways</w:t>
            </w:r>
            <w:r>
              <w:rPr>
                <w:spacing w:val="-2"/>
                <w:sz w:val="18"/>
              </w:rPr>
              <w:t xml:space="preserve"> </w:t>
            </w:r>
            <w:r>
              <w:rPr>
                <w:sz w:val="18"/>
              </w:rPr>
              <w:t>of working,</w:t>
            </w:r>
            <w:r>
              <w:rPr>
                <w:spacing w:val="-1"/>
                <w:sz w:val="18"/>
              </w:rPr>
              <w:t xml:space="preserve"> </w:t>
            </w:r>
            <w:r>
              <w:rPr>
                <w:sz w:val="18"/>
              </w:rPr>
              <w:t>approaches,</w:t>
            </w:r>
            <w:r>
              <w:rPr>
                <w:spacing w:val="-2"/>
                <w:sz w:val="18"/>
              </w:rPr>
              <w:t xml:space="preserve"> innovations):</w:t>
            </w:r>
          </w:p>
          <w:p w14:paraId="4EFC846E" w14:textId="77777777" w:rsidR="00BC24A8" w:rsidRDefault="00000000">
            <w:pPr>
              <w:pStyle w:val="TableParagraph"/>
              <w:numPr>
                <w:ilvl w:val="0"/>
                <w:numId w:val="112"/>
              </w:numPr>
              <w:tabs>
                <w:tab w:val="left" w:pos="486"/>
              </w:tabs>
              <w:spacing w:before="59"/>
              <w:ind w:right="109"/>
              <w:rPr>
                <w:sz w:val="18"/>
              </w:rPr>
            </w:pPr>
            <w:r>
              <w:rPr>
                <w:sz w:val="18"/>
              </w:rPr>
              <w:t>The</w:t>
            </w:r>
            <w:r>
              <w:rPr>
                <w:spacing w:val="-8"/>
                <w:sz w:val="18"/>
              </w:rPr>
              <w:t xml:space="preserve"> </w:t>
            </w:r>
            <w:r>
              <w:rPr>
                <w:sz w:val="18"/>
              </w:rPr>
              <w:t>SADAR</w:t>
            </w:r>
            <w:r>
              <w:rPr>
                <w:spacing w:val="-8"/>
                <w:sz w:val="18"/>
              </w:rPr>
              <w:t xml:space="preserve"> </w:t>
            </w:r>
            <w:r>
              <w:rPr>
                <w:sz w:val="18"/>
              </w:rPr>
              <w:t>BENUANTA</w:t>
            </w:r>
            <w:r>
              <w:rPr>
                <w:spacing w:val="-8"/>
                <w:sz w:val="18"/>
              </w:rPr>
              <w:t xml:space="preserve"> </w:t>
            </w:r>
            <w:r>
              <w:rPr>
                <w:sz w:val="18"/>
              </w:rPr>
              <w:t>vehicle</w:t>
            </w:r>
            <w:r>
              <w:rPr>
                <w:spacing w:val="-8"/>
                <w:sz w:val="18"/>
              </w:rPr>
              <w:t xml:space="preserve"> </w:t>
            </w:r>
            <w:r>
              <w:rPr>
                <w:sz w:val="18"/>
              </w:rPr>
              <w:t>tax</w:t>
            </w:r>
            <w:r>
              <w:rPr>
                <w:spacing w:val="-8"/>
                <w:sz w:val="18"/>
              </w:rPr>
              <w:t xml:space="preserve"> </w:t>
            </w:r>
            <w:r>
              <w:rPr>
                <w:sz w:val="18"/>
              </w:rPr>
              <w:t>relief</w:t>
            </w:r>
            <w:r>
              <w:rPr>
                <w:spacing w:val="-8"/>
                <w:sz w:val="18"/>
              </w:rPr>
              <w:t xml:space="preserve"> </w:t>
            </w:r>
            <w:r>
              <w:rPr>
                <w:sz w:val="18"/>
              </w:rPr>
              <w:t>program</w:t>
            </w:r>
            <w:r>
              <w:rPr>
                <w:spacing w:val="-8"/>
                <w:sz w:val="18"/>
              </w:rPr>
              <w:t xml:space="preserve"> </w:t>
            </w:r>
            <w:r>
              <w:rPr>
                <w:sz w:val="18"/>
              </w:rPr>
              <w:t>was</w:t>
            </w:r>
            <w:r>
              <w:rPr>
                <w:spacing w:val="-8"/>
                <w:sz w:val="18"/>
              </w:rPr>
              <w:t xml:space="preserve"> </w:t>
            </w:r>
            <w:r>
              <w:rPr>
                <w:sz w:val="18"/>
              </w:rPr>
              <w:t>disseminated</w:t>
            </w:r>
            <w:r>
              <w:rPr>
                <w:spacing w:val="-8"/>
                <w:sz w:val="18"/>
              </w:rPr>
              <w:t xml:space="preserve"> </w:t>
            </w:r>
            <w:r>
              <w:rPr>
                <w:sz w:val="18"/>
              </w:rPr>
              <w:t>through</w:t>
            </w:r>
            <w:r>
              <w:rPr>
                <w:spacing w:val="-8"/>
                <w:sz w:val="18"/>
              </w:rPr>
              <w:t xml:space="preserve"> </w:t>
            </w:r>
            <w:r>
              <w:rPr>
                <w:sz w:val="18"/>
              </w:rPr>
              <w:t>UPT</w:t>
            </w:r>
            <w:r>
              <w:rPr>
                <w:spacing w:val="-8"/>
                <w:sz w:val="18"/>
              </w:rPr>
              <w:t xml:space="preserve"> </w:t>
            </w:r>
            <w:r>
              <w:rPr>
                <w:sz w:val="18"/>
              </w:rPr>
              <w:t>Samsat</w:t>
            </w:r>
            <w:r>
              <w:rPr>
                <w:spacing w:val="-7"/>
                <w:sz w:val="18"/>
              </w:rPr>
              <w:t xml:space="preserve"> </w:t>
            </w:r>
            <w:r>
              <w:rPr>
                <w:sz w:val="18"/>
              </w:rPr>
              <w:t>and</w:t>
            </w:r>
            <w:r>
              <w:rPr>
                <w:spacing w:val="-8"/>
                <w:sz w:val="18"/>
              </w:rPr>
              <w:t xml:space="preserve"> </w:t>
            </w:r>
            <w:r>
              <w:rPr>
                <w:sz w:val="18"/>
              </w:rPr>
              <w:t>a</w:t>
            </w:r>
            <w:r>
              <w:rPr>
                <w:spacing w:val="-8"/>
                <w:sz w:val="18"/>
              </w:rPr>
              <w:t xml:space="preserve"> </w:t>
            </w:r>
            <w:r>
              <w:rPr>
                <w:sz w:val="18"/>
              </w:rPr>
              <w:t xml:space="preserve">TVRI </w:t>
            </w:r>
            <w:r>
              <w:rPr>
                <w:spacing w:val="-2"/>
                <w:sz w:val="18"/>
              </w:rPr>
              <w:t>Talkshow.</w:t>
            </w:r>
          </w:p>
          <w:p w14:paraId="48715557" w14:textId="77777777" w:rsidR="00BC24A8" w:rsidRDefault="00000000">
            <w:pPr>
              <w:pStyle w:val="TableParagraph"/>
              <w:numPr>
                <w:ilvl w:val="0"/>
                <w:numId w:val="112"/>
              </w:numPr>
              <w:tabs>
                <w:tab w:val="left" w:pos="486"/>
              </w:tabs>
              <w:ind w:right="105"/>
              <w:rPr>
                <w:sz w:val="18"/>
              </w:rPr>
            </w:pPr>
            <w:r>
              <w:rPr>
                <w:sz w:val="18"/>
              </w:rPr>
              <w:t>CSO</w:t>
            </w:r>
            <w:r>
              <w:rPr>
                <w:spacing w:val="28"/>
                <w:sz w:val="18"/>
              </w:rPr>
              <w:t xml:space="preserve"> </w:t>
            </w:r>
            <w:r>
              <w:rPr>
                <w:sz w:val="18"/>
              </w:rPr>
              <w:t>DPOs</w:t>
            </w:r>
            <w:r>
              <w:rPr>
                <w:spacing w:val="28"/>
                <w:sz w:val="18"/>
              </w:rPr>
              <w:t xml:space="preserve"> </w:t>
            </w:r>
            <w:r>
              <w:rPr>
                <w:sz w:val="18"/>
              </w:rPr>
              <w:t>with</w:t>
            </w:r>
            <w:r>
              <w:rPr>
                <w:spacing w:val="26"/>
                <w:sz w:val="18"/>
              </w:rPr>
              <w:t xml:space="preserve"> </w:t>
            </w:r>
            <w:r>
              <w:rPr>
                <w:sz w:val="18"/>
              </w:rPr>
              <w:t>21</w:t>
            </w:r>
            <w:r>
              <w:rPr>
                <w:spacing w:val="28"/>
                <w:sz w:val="18"/>
              </w:rPr>
              <w:t xml:space="preserve"> </w:t>
            </w:r>
            <w:r>
              <w:rPr>
                <w:sz w:val="18"/>
              </w:rPr>
              <w:t>persons</w:t>
            </w:r>
            <w:r>
              <w:rPr>
                <w:spacing w:val="26"/>
                <w:sz w:val="18"/>
              </w:rPr>
              <w:t xml:space="preserve"> </w:t>
            </w:r>
            <w:r>
              <w:rPr>
                <w:sz w:val="18"/>
              </w:rPr>
              <w:t>with</w:t>
            </w:r>
            <w:r>
              <w:rPr>
                <w:spacing w:val="26"/>
                <w:sz w:val="18"/>
              </w:rPr>
              <w:t xml:space="preserve"> </w:t>
            </w:r>
            <w:r>
              <w:rPr>
                <w:sz w:val="18"/>
              </w:rPr>
              <w:t>disabilities</w:t>
            </w:r>
            <w:r>
              <w:rPr>
                <w:spacing w:val="28"/>
                <w:sz w:val="18"/>
              </w:rPr>
              <w:t xml:space="preserve"> </w:t>
            </w:r>
            <w:r>
              <w:rPr>
                <w:sz w:val="18"/>
              </w:rPr>
              <w:t>(7</w:t>
            </w:r>
            <w:r>
              <w:rPr>
                <w:spacing w:val="28"/>
                <w:sz w:val="18"/>
              </w:rPr>
              <w:t xml:space="preserve"> </w:t>
            </w:r>
            <w:r>
              <w:rPr>
                <w:sz w:val="18"/>
              </w:rPr>
              <w:t>men,</w:t>
            </w:r>
            <w:r>
              <w:rPr>
                <w:spacing w:val="27"/>
                <w:sz w:val="18"/>
              </w:rPr>
              <w:t xml:space="preserve"> </w:t>
            </w:r>
            <w:r>
              <w:rPr>
                <w:sz w:val="18"/>
              </w:rPr>
              <w:t>14</w:t>
            </w:r>
            <w:r>
              <w:rPr>
                <w:spacing w:val="28"/>
                <w:sz w:val="18"/>
              </w:rPr>
              <w:t xml:space="preserve"> </w:t>
            </w:r>
            <w:r>
              <w:rPr>
                <w:sz w:val="18"/>
              </w:rPr>
              <w:t>women)</w:t>
            </w:r>
            <w:r>
              <w:rPr>
                <w:spacing w:val="27"/>
                <w:sz w:val="18"/>
              </w:rPr>
              <w:t xml:space="preserve"> </w:t>
            </w:r>
            <w:r>
              <w:rPr>
                <w:sz w:val="18"/>
              </w:rPr>
              <w:t>were</w:t>
            </w:r>
            <w:r>
              <w:rPr>
                <w:spacing w:val="28"/>
                <w:sz w:val="18"/>
              </w:rPr>
              <w:t xml:space="preserve"> </w:t>
            </w:r>
            <w:r>
              <w:rPr>
                <w:sz w:val="18"/>
              </w:rPr>
              <w:t>engaged</w:t>
            </w:r>
            <w:r>
              <w:rPr>
                <w:spacing w:val="28"/>
                <w:sz w:val="18"/>
              </w:rPr>
              <w:t xml:space="preserve"> </w:t>
            </w:r>
            <w:r>
              <w:rPr>
                <w:sz w:val="18"/>
              </w:rPr>
              <w:t>to</w:t>
            </w:r>
            <w:r>
              <w:rPr>
                <w:spacing w:val="28"/>
                <w:sz w:val="18"/>
              </w:rPr>
              <w:t xml:space="preserve"> </w:t>
            </w:r>
            <w:r>
              <w:rPr>
                <w:sz w:val="18"/>
              </w:rPr>
              <w:t>disseminate information on the SADAR BENUANTA program.</w:t>
            </w:r>
          </w:p>
          <w:p w14:paraId="3EE3BB3B" w14:textId="77777777" w:rsidR="00BC24A8" w:rsidRDefault="00000000">
            <w:pPr>
              <w:pStyle w:val="TableParagraph"/>
              <w:numPr>
                <w:ilvl w:val="0"/>
                <w:numId w:val="112"/>
              </w:numPr>
              <w:tabs>
                <w:tab w:val="left" w:pos="486"/>
              </w:tabs>
              <w:ind w:right="105"/>
              <w:rPr>
                <w:sz w:val="18"/>
              </w:rPr>
            </w:pPr>
            <w:r>
              <w:rPr>
                <w:sz w:val="18"/>
              </w:rPr>
              <w:t>The</w:t>
            </w:r>
            <w:r>
              <w:rPr>
                <w:spacing w:val="33"/>
                <w:sz w:val="18"/>
              </w:rPr>
              <w:t xml:space="preserve"> </w:t>
            </w:r>
            <w:r>
              <w:rPr>
                <w:sz w:val="18"/>
              </w:rPr>
              <w:t>MENTARI</w:t>
            </w:r>
            <w:r>
              <w:rPr>
                <w:spacing w:val="35"/>
                <w:sz w:val="18"/>
              </w:rPr>
              <w:t xml:space="preserve"> </w:t>
            </w:r>
            <w:r>
              <w:rPr>
                <w:sz w:val="18"/>
              </w:rPr>
              <w:t>KALTARA</w:t>
            </w:r>
            <w:r>
              <w:rPr>
                <w:spacing w:val="35"/>
                <w:sz w:val="18"/>
              </w:rPr>
              <w:t xml:space="preserve"> </w:t>
            </w:r>
            <w:r>
              <w:rPr>
                <w:sz w:val="18"/>
              </w:rPr>
              <w:t>Inclusive</w:t>
            </w:r>
            <w:r>
              <w:rPr>
                <w:spacing w:val="33"/>
                <w:sz w:val="18"/>
              </w:rPr>
              <w:t xml:space="preserve"> </w:t>
            </w:r>
            <w:r>
              <w:rPr>
                <w:sz w:val="18"/>
              </w:rPr>
              <w:t>Aspiration</w:t>
            </w:r>
            <w:r>
              <w:rPr>
                <w:spacing w:val="33"/>
                <w:sz w:val="18"/>
              </w:rPr>
              <w:t xml:space="preserve"> </w:t>
            </w:r>
            <w:r>
              <w:rPr>
                <w:sz w:val="18"/>
              </w:rPr>
              <w:t>Screening</w:t>
            </w:r>
            <w:r>
              <w:rPr>
                <w:spacing w:val="33"/>
                <w:sz w:val="18"/>
              </w:rPr>
              <w:t xml:space="preserve"> </w:t>
            </w:r>
            <w:r>
              <w:rPr>
                <w:sz w:val="18"/>
              </w:rPr>
              <w:t>Forum</w:t>
            </w:r>
            <w:r>
              <w:rPr>
                <w:spacing w:val="32"/>
                <w:sz w:val="18"/>
              </w:rPr>
              <w:t xml:space="preserve"> </w:t>
            </w:r>
            <w:r>
              <w:rPr>
                <w:sz w:val="18"/>
              </w:rPr>
              <w:t>collected</w:t>
            </w:r>
            <w:r>
              <w:rPr>
                <w:spacing w:val="33"/>
                <w:sz w:val="18"/>
              </w:rPr>
              <w:t xml:space="preserve"> </w:t>
            </w:r>
            <w:r>
              <w:rPr>
                <w:sz w:val="18"/>
              </w:rPr>
              <w:t>71</w:t>
            </w:r>
            <w:r>
              <w:rPr>
                <w:spacing w:val="33"/>
                <w:sz w:val="18"/>
              </w:rPr>
              <w:t xml:space="preserve"> </w:t>
            </w:r>
            <w:r>
              <w:rPr>
                <w:sz w:val="18"/>
              </w:rPr>
              <w:t>inputs</w:t>
            </w:r>
            <w:r>
              <w:rPr>
                <w:spacing w:val="33"/>
                <w:sz w:val="18"/>
              </w:rPr>
              <w:t xml:space="preserve"> </w:t>
            </w:r>
            <w:r>
              <w:rPr>
                <w:sz w:val="18"/>
              </w:rPr>
              <w:t>for</w:t>
            </w:r>
            <w:r>
              <w:rPr>
                <w:spacing w:val="33"/>
                <w:sz w:val="18"/>
              </w:rPr>
              <w:t xml:space="preserve"> </w:t>
            </w:r>
            <w:r>
              <w:rPr>
                <w:sz w:val="18"/>
              </w:rPr>
              <w:t>inclusive development in Kaltara.</w:t>
            </w:r>
          </w:p>
          <w:p w14:paraId="41928AFE" w14:textId="77777777" w:rsidR="00BC24A8" w:rsidRDefault="00000000">
            <w:pPr>
              <w:pStyle w:val="TableParagraph"/>
              <w:numPr>
                <w:ilvl w:val="0"/>
                <w:numId w:val="112"/>
              </w:numPr>
              <w:tabs>
                <w:tab w:val="left" w:pos="486"/>
              </w:tabs>
              <w:ind w:right="110" w:hanging="361"/>
              <w:rPr>
                <w:sz w:val="18"/>
              </w:rPr>
            </w:pPr>
            <w:r>
              <w:rPr>
                <w:sz w:val="18"/>
              </w:rPr>
              <w:t>16 ASNs from 6 OPDs responsible for MSS utilised the Data List 2025 to develop 5 Policy Briefs on MSS issues.</w:t>
            </w:r>
          </w:p>
          <w:p w14:paraId="2DEB13D5" w14:textId="77777777" w:rsidR="00BC24A8" w:rsidRDefault="00000000">
            <w:pPr>
              <w:pStyle w:val="TableParagraph"/>
              <w:numPr>
                <w:ilvl w:val="0"/>
                <w:numId w:val="112"/>
              </w:numPr>
              <w:tabs>
                <w:tab w:val="left" w:pos="486"/>
              </w:tabs>
              <w:spacing w:before="1"/>
              <w:rPr>
                <w:sz w:val="18"/>
              </w:rPr>
            </w:pPr>
            <w:r>
              <w:rPr>
                <w:sz w:val="18"/>
              </w:rPr>
              <w:t>A</w:t>
            </w:r>
            <w:r>
              <w:rPr>
                <w:spacing w:val="-5"/>
                <w:sz w:val="18"/>
              </w:rPr>
              <w:t xml:space="preserve"> </w:t>
            </w:r>
            <w:r>
              <w:rPr>
                <w:sz w:val="18"/>
              </w:rPr>
              <w:t>total of</w:t>
            </w:r>
            <w:r>
              <w:rPr>
                <w:spacing w:val="-3"/>
                <w:sz w:val="18"/>
              </w:rPr>
              <w:t xml:space="preserve"> </w:t>
            </w:r>
            <w:r>
              <w:rPr>
                <w:sz w:val="18"/>
              </w:rPr>
              <w:t>20</w:t>
            </w:r>
            <w:r>
              <w:rPr>
                <w:spacing w:val="-1"/>
                <w:sz w:val="18"/>
              </w:rPr>
              <w:t xml:space="preserve"> </w:t>
            </w:r>
            <w:r>
              <w:rPr>
                <w:sz w:val="18"/>
              </w:rPr>
              <w:t>Policy</w:t>
            </w:r>
            <w:r>
              <w:rPr>
                <w:spacing w:val="-2"/>
                <w:sz w:val="18"/>
              </w:rPr>
              <w:t xml:space="preserve"> </w:t>
            </w:r>
            <w:r>
              <w:rPr>
                <w:sz w:val="18"/>
              </w:rPr>
              <w:t>Briefs</w:t>
            </w:r>
            <w:r>
              <w:rPr>
                <w:spacing w:val="-1"/>
                <w:sz w:val="18"/>
              </w:rPr>
              <w:t xml:space="preserve"> </w:t>
            </w:r>
            <w:r>
              <w:rPr>
                <w:sz w:val="18"/>
              </w:rPr>
              <w:t>were</w:t>
            </w:r>
            <w:r>
              <w:rPr>
                <w:spacing w:val="-2"/>
                <w:sz w:val="18"/>
              </w:rPr>
              <w:t xml:space="preserve"> </w:t>
            </w:r>
            <w:r>
              <w:rPr>
                <w:sz w:val="18"/>
              </w:rPr>
              <w:t>produced</w:t>
            </w:r>
            <w:r>
              <w:rPr>
                <w:spacing w:val="-1"/>
                <w:sz w:val="18"/>
              </w:rPr>
              <w:t xml:space="preserve"> </w:t>
            </w:r>
            <w:r>
              <w:rPr>
                <w:sz w:val="18"/>
              </w:rPr>
              <w:t>as</w:t>
            </w:r>
            <w:r>
              <w:rPr>
                <w:spacing w:val="-2"/>
                <w:sz w:val="18"/>
              </w:rPr>
              <w:t xml:space="preserve"> </w:t>
            </w:r>
            <w:r>
              <w:rPr>
                <w:sz w:val="18"/>
              </w:rPr>
              <w:t>policy</w:t>
            </w:r>
            <w:r>
              <w:rPr>
                <w:spacing w:val="-1"/>
                <w:sz w:val="18"/>
              </w:rPr>
              <w:t xml:space="preserve"> </w:t>
            </w:r>
            <w:r>
              <w:rPr>
                <w:sz w:val="18"/>
              </w:rPr>
              <w:t>advocacy</w:t>
            </w:r>
            <w:r>
              <w:rPr>
                <w:spacing w:val="-2"/>
                <w:sz w:val="18"/>
              </w:rPr>
              <w:t xml:space="preserve"> </w:t>
            </w:r>
            <w:r>
              <w:rPr>
                <w:sz w:val="18"/>
              </w:rPr>
              <w:t>related</w:t>
            </w:r>
            <w:r>
              <w:rPr>
                <w:spacing w:val="-1"/>
                <w:sz w:val="18"/>
              </w:rPr>
              <w:t xml:space="preserve"> </w:t>
            </w:r>
            <w:r>
              <w:rPr>
                <w:sz w:val="18"/>
              </w:rPr>
              <w:t>to</w:t>
            </w:r>
            <w:r>
              <w:rPr>
                <w:spacing w:val="-3"/>
                <w:sz w:val="18"/>
              </w:rPr>
              <w:t xml:space="preserve"> </w:t>
            </w:r>
            <w:r>
              <w:rPr>
                <w:sz w:val="18"/>
              </w:rPr>
              <w:t>MSS</w:t>
            </w:r>
            <w:r>
              <w:rPr>
                <w:spacing w:val="-1"/>
                <w:sz w:val="18"/>
              </w:rPr>
              <w:t xml:space="preserve"> </w:t>
            </w:r>
            <w:r>
              <w:rPr>
                <w:sz w:val="18"/>
              </w:rPr>
              <w:t>and</w:t>
            </w:r>
            <w:r>
              <w:rPr>
                <w:spacing w:val="-1"/>
                <w:sz w:val="18"/>
              </w:rPr>
              <w:t xml:space="preserve"> </w:t>
            </w:r>
            <w:r>
              <w:rPr>
                <w:spacing w:val="-2"/>
                <w:sz w:val="18"/>
              </w:rPr>
              <w:t>GEDSI.</w:t>
            </w:r>
          </w:p>
        </w:tc>
      </w:tr>
    </w:tbl>
    <w:p w14:paraId="644A1361" w14:textId="77777777" w:rsidR="00BC24A8" w:rsidRDefault="00BC24A8">
      <w:pPr>
        <w:pStyle w:val="TableParagraph"/>
        <w:rPr>
          <w:sz w:val="18"/>
        </w:rPr>
        <w:sectPr w:rsidR="00BC24A8">
          <w:pgSz w:w="11910" w:h="16840"/>
          <w:pgMar w:top="1320" w:right="850" w:bottom="1100" w:left="1275" w:header="0" w:footer="907" w:gutter="0"/>
          <w:cols w:space="720"/>
        </w:sectPr>
      </w:pPr>
    </w:p>
    <w:p w14:paraId="08D6650E" w14:textId="77777777" w:rsidR="00BC24A8" w:rsidRDefault="00BC24A8">
      <w:pPr>
        <w:pStyle w:val="BodyText"/>
        <w:spacing w:before="3"/>
        <w:rPr>
          <w:rFonts w:ascii="Calibri"/>
          <w:b/>
          <w:sz w:val="2"/>
        </w:rPr>
      </w:pPr>
    </w:p>
    <w:tbl>
      <w:tblPr>
        <w:tblW w:w="0" w:type="auto"/>
        <w:tblInd w:w="143" w:type="dxa"/>
        <w:tblLayout w:type="fixed"/>
        <w:tblCellMar>
          <w:left w:w="0" w:type="dxa"/>
          <w:right w:w="0" w:type="dxa"/>
        </w:tblCellMar>
        <w:tblLook w:val="01E0" w:firstRow="1" w:lastRow="1" w:firstColumn="1" w:lastColumn="1" w:noHBand="0" w:noVBand="0"/>
      </w:tblPr>
      <w:tblGrid>
        <w:gridCol w:w="1238"/>
        <w:gridCol w:w="7860"/>
      </w:tblGrid>
      <w:tr w:rsidR="00BC24A8" w14:paraId="1C8101D4" w14:textId="77777777">
        <w:trPr>
          <w:trHeight w:val="5974"/>
        </w:trPr>
        <w:tc>
          <w:tcPr>
            <w:tcW w:w="1238" w:type="dxa"/>
            <w:tcBorders>
              <w:bottom w:val="single" w:sz="4" w:space="0" w:color="BEBEBE"/>
            </w:tcBorders>
          </w:tcPr>
          <w:p w14:paraId="23EF8462" w14:textId="77777777" w:rsidR="00BC24A8" w:rsidRDefault="00000000">
            <w:pPr>
              <w:pStyle w:val="TableParagraph"/>
              <w:spacing w:line="183" w:lineRule="exact"/>
              <w:ind w:left="115"/>
              <w:rPr>
                <w:sz w:val="18"/>
              </w:rPr>
            </w:pPr>
            <w:r>
              <w:rPr>
                <w:spacing w:val="-2"/>
                <w:sz w:val="18"/>
              </w:rPr>
              <w:t>Ecosystem</w:t>
            </w:r>
          </w:p>
          <w:p w14:paraId="36B66337" w14:textId="77777777" w:rsidR="00BC24A8" w:rsidRDefault="00000000">
            <w:pPr>
              <w:pStyle w:val="TableParagraph"/>
              <w:spacing w:before="1"/>
              <w:ind w:left="115"/>
              <w:rPr>
                <w:sz w:val="18"/>
              </w:rPr>
            </w:pPr>
            <w:r>
              <w:rPr>
                <w:spacing w:val="-2"/>
                <w:sz w:val="18"/>
              </w:rPr>
              <w:t>Impacts</w:t>
            </w:r>
          </w:p>
        </w:tc>
        <w:tc>
          <w:tcPr>
            <w:tcW w:w="7860" w:type="dxa"/>
            <w:tcBorders>
              <w:bottom w:val="single" w:sz="4" w:space="0" w:color="BEBEBE"/>
            </w:tcBorders>
          </w:tcPr>
          <w:p w14:paraId="0E0916FD" w14:textId="77777777" w:rsidR="00BC24A8" w:rsidRDefault="00000000">
            <w:pPr>
              <w:pStyle w:val="TableParagraph"/>
              <w:spacing w:line="186" w:lineRule="exact"/>
              <w:ind w:left="293"/>
              <w:jc w:val="both"/>
              <w:rPr>
                <w:sz w:val="18"/>
              </w:rPr>
            </w:pPr>
            <w:r>
              <w:rPr>
                <w:sz w:val="18"/>
              </w:rPr>
              <w:t>Policy/regulation</w:t>
            </w:r>
            <w:r>
              <w:rPr>
                <w:spacing w:val="-4"/>
                <w:sz w:val="18"/>
              </w:rPr>
              <w:t xml:space="preserve"> </w:t>
            </w:r>
            <w:r>
              <w:rPr>
                <w:sz w:val="18"/>
              </w:rPr>
              <w:t>as</w:t>
            </w:r>
            <w:r>
              <w:rPr>
                <w:spacing w:val="-1"/>
                <w:sz w:val="18"/>
              </w:rPr>
              <w:t xml:space="preserve"> </w:t>
            </w:r>
            <w:r>
              <w:rPr>
                <w:sz w:val="18"/>
              </w:rPr>
              <w:t>a</w:t>
            </w:r>
            <w:r>
              <w:rPr>
                <w:spacing w:val="-2"/>
                <w:sz w:val="18"/>
              </w:rPr>
              <w:t xml:space="preserve"> </w:t>
            </w:r>
            <w:r>
              <w:rPr>
                <w:sz w:val="18"/>
              </w:rPr>
              <w:t>tangible</w:t>
            </w:r>
            <w:r>
              <w:rPr>
                <w:spacing w:val="-2"/>
                <w:sz w:val="18"/>
              </w:rPr>
              <w:t xml:space="preserve"> </w:t>
            </w:r>
            <w:r>
              <w:rPr>
                <w:sz w:val="18"/>
              </w:rPr>
              <w:t>form of</w:t>
            </w:r>
            <w:r>
              <w:rPr>
                <w:spacing w:val="-2"/>
                <w:sz w:val="18"/>
              </w:rPr>
              <w:t xml:space="preserve"> commitment:</w:t>
            </w:r>
          </w:p>
          <w:p w14:paraId="0DC3B1DE" w14:textId="77777777" w:rsidR="00BC24A8" w:rsidRDefault="00000000">
            <w:pPr>
              <w:pStyle w:val="TableParagraph"/>
              <w:numPr>
                <w:ilvl w:val="0"/>
                <w:numId w:val="111"/>
              </w:numPr>
              <w:tabs>
                <w:tab w:val="left" w:pos="624"/>
              </w:tabs>
              <w:spacing w:before="58" w:line="219" w:lineRule="exact"/>
              <w:rPr>
                <w:sz w:val="18"/>
              </w:rPr>
            </w:pPr>
            <w:r>
              <w:rPr>
                <w:sz w:val="18"/>
              </w:rPr>
              <w:t>Governor’s</w:t>
            </w:r>
            <w:r>
              <w:rPr>
                <w:spacing w:val="-4"/>
                <w:sz w:val="18"/>
              </w:rPr>
              <w:t xml:space="preserve"> </w:t>
            </w:r>
            <w:r>
              <w:rPr>
                <w:sz w:val="18"/>
              </w:rPr>
              <w:t>Circular</w:t>
            </w:r>
            <w:r>
              <w:rPr>
                <w:spacing w:val="-2"/>
                <w:sz w:val="18"/>
              </w:rPr>
              <w:t xml:space="preserve"> </w:t>
            </w:r>
            <w:r>
              <w:rPr>
                <w:sz w:val="18"/>
              </w:rPr>
              <w:t>No.</w:t>
            </w:r>
            <w:r>
              <w:rPr>
                <w:spacing w:val="-2"/>
                <w:sz w:val="18"/>
              </w:rPr>
              <w:t xml:space="preserve"> </w:t>
            </w:r>
            <w:r>
              <w:rPr>
                <w:sz w:val="18"/>
              </w:rPr>
              <w:t>900</w:t>
            </w:r>
            <w:r>
              <w:rPr>
                <w:spacing w:val="-2"/>
                <w:sz w:val="18"/>
              </w:rPr>
              <w:t xml:space="preserve"> </w:t>
            </w:r>
            <w:r>
              <w:rPr>
                <w:sz w:val="18"/>
              </w:rPr>
              <w:t>of</w:t>
            </w:r>
            <w:r>
              <w:rPr>
                <w:spacing w:val="-3"/>
                <w:sz w:val="18"/>
              </w:rPr>
              <w:t xml:space="preserve"> </w:t>
            </w:r>
            <w:r>
              <w:rPr>
                <w:sz w:val="18"/>
              </w:rPr>
              <w:t>2025</w:t>
            </w:r>
            <w:r>
              <w:rPr>
                <w:spacing w:val="-1"/>
                <w:sz w:val="18"/>
              </w:rPr>
              <w:t xml:space="preserve"> </w:t>
            </w:r>
            <w:r>
              <w:rPr>
                <w:sz w:val="18"/>
              </w:rPr>
              <w:t>on</w:t>
            </w:r>
            <w:r>
              <w:rPr>
                <w:spacing w:val="-2"/>
                <w:sz w:val="18"/>
              </w:rPr>
              <w:t xml:space="preserve"> </w:t>
            </w:r>
            <w:r>
              <w:rPr>
                <w:sz w:val="18"/>
              </w:rPr>
              <w:t>the</w:t>
            </w:r>
            <w:r>
              <w:rPr>
                <w:spacing w:val="-2"/>
                <w:sz w:val="18"/>
              </w:rPr>
              <w:t xml:space="preserve"> </w:t>
            </w:r>
            <w:r>
              <w:rPr>
                <w:sz w:val="18"/>
              </w:rPr>
              <w:t>Implementation</w:t>
            </w:r>
            <w:r>
              <w:rPr>
                <w:spacing w:val="-2"/>
                <w:sz w:val="18"/>
              </w:rPr>
              <w:t xml:space="preserve"> </w:t>
            </w:r>
            <w:r>
              <w:rPr>
                <w:sz w:val="18"/>
              </w:rPr>
              <w:t>of</w:t>
            </w:r>
            <w:r>
              <w:rPr>
                <w:spacing w:val="36"/>
                <w:sz w:val="18"/>
              </w:rPr>
              <w:t xml:space="preserve"> </w:t>
            </w:r>
            <w:r>
              <w:rPr>
                <w:sz w:val="18"/>
              </w:rPr>
              <w:t>Kalimantan</w:t>
            </w:r>
            <w:r>
              <w:rPr>
                <w:spacing w:val="-1"/>
                <w:sz w:val="18"/>
              </w:rPr>
              <w:t xml:space="preserve"> </w:t>
            </w:r>
            <w:r>
              <w:rPr>
                <w:sz w:val="18"/>
              </w:rPr>
              <w:t>Utara</w:t>
            </w:r>
            <w:r>
              <w:rPr>
                <w:spacing w:val="-3"/>
                <w:sz w:val="18"/>
              </w:rPr>
              <w:t xml:space="preserve"> </w:t>
            </w:r>
            <w:r>
              <w:rPr>
                <w:sz w:val="18"/>
              </w:rPr>
              <w:t>MSS</w:t>
            </w:r>
            <w:r>
              <w:rPr>
                <w:spacing w:val="-2"/>
                <w:sz w:val="18"/>
              </w:rPr>
              <w:t xml:space="preserve"> </w:t>
            </w:r>
            <w:r>
              <w:rPr>
                <w:sz w:val="18"/>
              </w:rPr>
              <w:t>in</w:t>
            </w:r>
            <w:r>
              <w:rPr>
                <w:spacing w:val="-1"/>
                <w:sz w:val="18"/>
              </w:rPr>
              <w:t xml:space="preserve"> </w:t>
            </w:r>
            <w:r>
              <w:rPr>
                <w:spacing w:val="-4"/>
                <w:sz w:val="18"/>
              </w:rPr>
              <w:t>2025</w:t>
            </w:r>
          </w:p>
          <w:p w14:paraId="278B4FD7" w14:textId="77777777" w:rsidR="00BC24A8" w:rsidRDefault="00000000">
            <w:pPr>
              <w:pStyle w:val="TableParagraph"/>
              <w:numPr>
                <w:ilvl w:val="0"/>
                <w:numId w:val="111"/>
              </w:numPr>
              <w:tabs>
                <w:tab w:val="left" w:pos="624"/>
              </w:tabs>
              <w:ind w:right="106"/>
              <w:rPr>
                <w:sz w:val="18"/>
              </w:rPr>
            </w:pPr>
            <w:r>
              <w:rPr>
                <w:sz w:val="18"/>
              </w:rPr>
              <w:t>Regional</w:t>
            </w:r>
            <w:r>
              <w:rPr>
                <w:spacing w:val="-3"/>
                <w:sz w:val="18"/>
              </w:rPr>
              <w:t xml:space="preserve"> </w:t>
            </w:r>
            <w:r>
              <w:rPr>
                <w:sz w:val="18"/>
              </w:rPr>
              <w:t>Regulation</w:t>
            </w:r>
            <w:r>
              <w:rPr>
                <w:spacing w:val="-4"/>
                <w:sz w:val="18"/>
              </w:rPr>
              <w:t xml:space="preserve"> </w:t>
            </w:r>
            <w:r>
              <w:rPr>
                <w:sz w:val="18"/>
              </w:rPr>
              <w:t>No.</w:t>
            </w:r>
            <w:r>
              <w:rPr>
                <w:spacing w:val="-5"/>
                <w:sz w:val="18"/>
              </w:rPr>
              <w:t xml:space="preserve"> </w:t>
            </w:r>
            <w:r>
              <w:rPr>
                <w:sz w:val="18"/>
              </w:rPr>
              <w:t>17</w:t>
            </w:r>
            <w:r>
              <w:rPr>
                <w:spacing w:val="-4"/>
                <w:sz w:val="18"/>
              </w:rPr>
              <w:t xml:space="preserve"> </w:t>
            </w:r>
            <w:r>
              <w:rPr>
                <w:sz w:val="18"/>
              </w:rPr>
              <w:t>of</w:t>
            </w:r>
            <w:r>
              <w:rPr>
                <w:spacing w:val="-5"/>
                <w:sz w:val="18"/>
              </w:rPr>
              <w:t xml:space="preserve"> </w:t>
            </w:r>
            <w:r>
              <w:rPr>
                <w:sz w:val="18"/>
              </w:rPr>
              <w:t>2024</w:t>
            </w:r>
            <w:r>
              <w:rPr>
                <w:spacing w:val="-4"/>
                <w:sz w:val="18"/>
              </w:rPr>
              <w:t xml:space="preserve"> </w:t>
            </w:r>
            <w:r>
              <w:rPr>
                <w:sz w:val="18"/>
              </w:rPr>
              <w:t>on</w:t>
            </w:r>
            <w:r>
              <w:rPr>
                <w:spacing w:val="-4"/>
                <w:sz w:val="18"/>
              </w:rPr>
              <w:t xml:space="preserve"> </w:t>
            </w:r>
            <w:r>
              <w:rPr>
                <w:sz w:val="18"/>
              </w:rPr>
              <w:t>Respect,</w:t>
            </w:r>
            <w:r>
              <w:rPr>
                <w:spacing w:val="-5"/>
                <w:sz w:val="18"/>
              </w:rPr>
              <w:t xml:space="preserve"> </w:t>
            </w:r>
            <w:r>
              <w:rPr>
                <w:sz w:val="18"/>
              </w:rPr>
              <w:t>Protection,</w:t>
            </w:r>
            <w:r>
              <w:rPr>
                <w:spacing w:val="-5"/>
                <w:sz w:val="18"/>
              </w:rPr>
              <w:t xml:space="preserve"> </w:t>
            </w:r>
            <w:r>
              <w:rPr>
                <w:sz w:val="18"/>
              </w:rPr>
              <w:t>and</w:t>
            </w:r>
            <w:r>
              <w:rPr>
                <w:spacing w:val="-4"/>
                <w:sz w:val="18"/>
              </w:rPr>
              <w:t xml:space="preserve"> </w:t>
            </w:r>
            <w:r>
              <w:rPr>
                <w:sz w:val="18"/>
              </w:rPr>
              <w:t>Fulfillment</w:t>
            </w:r>
            <w:r>
              <w:rPr>
                <w:spacing w:val="-3"/>
                <w:sz w:val="18"/>
              </w:rPr>
              <w:t xml:space="preserve"> </w:t>
            </w:r>
            <w:r>
              <w:rPr>
                <w:sz w:val="18"/>
              </w:rPr>
              <w:t>of</w:t>
            </w:r>
            <w:r>
              <w:rPr>
                <w:spacing w:val="-5"/>
                <w:sz w:val="18"/>
              </w:rPr>
              <w:t xml:space="preserve"> </w:t>
            </w:r>
            <w:r>
              <w:rPr>
                <w:sz w:val="18"/>
              </w:rPr>
              <w:t>the</w:t>
            </w:r>
            <w:r>
              <w:rPr>
                <w:spacing w:val="-4"/>
                <w:sz w:val="18"/>
              </w:rPr>
              <w:t xml:space="preserve"> </w:t>
            </w:r>
            <w:r>
              <w:rPr>
                <w:sz w:val="18"/>
              </w:rPr>
              <w:t>Rights</w:t>
            </w:r>
            <w:r>
              <w:rPr>
                <w:spacing w:val="-4"/>
                <w:sz w:val="18"/>
              </w:rPr>
              <w:t xml:space="preserve"> </w:t>
            </w:r>
            <w:r>
              <w:rPr>
                <w:sz w:val="18"/>
              </w:rPr>
              <w:t>of</w:t>
            </w:r>
            <w:r>
              <w:rPr>
                <w:spacing w:val="-5"/>
                <w:sz w:val="18"/>
              </w:rPr>
              <w:t xml:space="preserve"> </w:t>
            </w:r>
            <w:r>
              <w:rPr>
                <w:sz w:val="18"/>
              </w:rPr>
              <w:t>Persons with Disabilities in</w:t>
            </w:r>
            <w:r>
              <w:rPr>
                <w:spacing w:val="40"/>
                <w:sz w:val="18"/>
              </w:rPr>
              <w:t xml:space="preserve"> </w:t>
            </w:r>
            <w:r>
              <w:rPr>
                <w:sz w:val="18"/>
              </w:rPr>
              <w:t>Kalimantan Utara has been enacted</w:t>
            </w:r>
          </w:p>
          <w:p w14:paraId="2682BBCE" w14:textId="77777777" w:rsidR="00BC24A8" w:rsidRDefault="00000000">
            <w:pPr>
              <w:pStyle w:val="TableParagraph"/>
              <w:numPr>
                <w:ilvl w:val="0"/>
                <w:numId w:val="111"/>
              </w:numPr>
              <w:tabs>
                <w:tab w:val="left" w:pos="624"/>
              </w:tabs>
              <w:ind w:right="104"/>
              <w:rPr>
                <w:sz w:val="18"/>
              </w:rPr>
            </w:pPr>
            <w:r>
              <w:rPr>
                <w:sz w:val="18"/>
              </w:rPr>
              <w:t>Governor’s</w:t>
            </w:r>
            <w:r>
              <w:rPr>
                <w:spacing w:val="20"/>
                <w:sz w:val="18"/>
              </w:rPr>
              <w:t xml:space="preserve"> </w:t>
            </w:r>
            <w:r>
              <w:rPr>
                <w:sz w:val="18"/>
              </w:rPr>
              <w:t>Instruction No.</w:t>
            </w:r>
            <w:r>
              <w:rPr>
                <w:spacing w:val="19"/>
                <w:sz w:val="18"/>
              </w:rPr>
              <w:t xml:space="preserve"> </w:t>
            </w:r>
            <w:r>
              <w:rPr>
                <w:sz w:val="18"/>
              </w:rPr>
              <w:t>000.7.2.2</w:t>
            </w:r>
            <w:r>
              <w:rPr>
                <w:spacing w:val="20"/>
                <w:sz w:val="18"/>
              </w:rPr>
              <w:t xml:space="preserve"> </w:t>
            </w:r>
            <w:r>
              <w:rPr>
                <w:sz w:val="18"/>
              </w:rPr>
              <w:t>of</w:t>
            </w:r>
            <w:r>
              <w:rPr>
                <w:spacing w:val="19"/>
                <w:sz w:val="18"/>
              </w:rPr>
              <w:t xml:space="preserve"> </w:t>
            </w:r>
            <w:r>
              <w:rPr>
                <w:sz w:val="18"/>
              </w:rPr>
              <w:t>2025</w:t>
            </w:r>
            <w:r>
              <w:rPr>
                <w:spacing w:val="20"/>
                <w:sz w:val="18"/>
              </w:rPr>
              <w:t xml:space="preserve"> </w:t>
            </w:r>
            <w:r>
              <w:rPr>
                <w:sz w:val="18"/>
              </w:rPr>
              <w:t>on</w:t>
            </w:r>
            <w:r>
              <w:rPr>
                <w:spacing w:val="20"/>
                <w:sz w:val="18"/>
              </w:rPr>
              <w:t xml:space="preserve"> </w:t>
            </w:r>
            <w:r>
              <w:rPr>
                <w:sz w:val="18"/>
              </w:rPr>
              <w:t>Planning,</w:t>
            </w:r>
            <w:r>
              <w:rPr>
                <w:spacing w:val="19"/>
                <w:sz w:val="18"/>
              </w:rPr>
              <w:t xml:space="preserve"> </w:t>
            </w:r>
            <w:r>
              <w:rPr>
                <w:sz w:val="18"/>
              </w:rPr>
              <w:t>Budgeting</w:t>
            </w:r>
            <w:r>
              <w:rPr>
                <w:spacing w:val="20"/>
                <w:sz w:val="18"/>
              </w:rPr>
              <w:t xml:space="preserve"> </w:t>
            </w:r>
            <w:r>
              <w:rPr>
                <w:sz w:val="18"/>
              </w:rPr>
              <w:t>and</w:t>
            </w:r>
            <w:r>
              <w:rPr>
                <w:spacing w:val="20"/>
                <w:sz w:val="18"/>
              </w:rPr>
              <w:t xml:space="preserve"> </w:t>
            </w:r>
            <w:r>
              <w:rPr>
                <w:sz w:val="18"/>
              </w:rPr>
              <w:t>Program</w:t>
            </w:r>
            <w:r>
              <w:rPr>
                <w:spacing w:val="19"/>
                <w:sz w:val="18"/>
              </w:rPr>
              <w:t xml:space="preserve"> </w:t>
            </w:r>
            <w:r>
              <w:rPr>
                <w:sz w:val="18"/>
              </w:rPr>
              <w:t>Priorities for Persons with Disabilities in the Region</w:t>
            </w:r>
          </w:p>
          <w:p w14:paraId="006B995E" w14:textId="77777777" w:rsidR="00BC24A8" w:rsidRDefault="00000000">
            <w:pPr>
              <w:pStyle w:val="TableParagraph"/>
              <w:numPr>
                <w:ilvl w:val="0"/>
                <w:numId w:val="111"/>
              </w:numPr>
              <w:tabs>
                <w:tab w:val="left" w:pos="624"/>
              </w:tabs>
              <w:spacing w:line="219" w:lineRule="exact"/>
              <w:rPr>
                <w:sz w:val="18"/>
              </w:rPr>
            </w:pPr>
            <w:r>
              <w:rPr>
                <w:sz w:val="18"/>
              </w:rPr>
              <w:t>Governor</w:t>
            </w:r>
            <w:r>
              <w:rPr>
                <w:spacing w:val="-2"/>
                <w:sz w:val="18"/>
              </w:rPr>
              <w:t xml:space="preserve"> </w:t>
            </w:r>
            <w:r>
              <w:rPr>
                <w:sz w:val="18"/>
              </w:rPr>
              <w:t>Decree</w:t>
            </w:r>
            <w:r>
              <w:rPr>
                <w:spacing w:val="-2"/>
                <w:sz w:val="18"/>
              </w:rPr>
              <w:t xml:space="preserve"> </w:t>
            </w:r>
            <w:r>
              <w:rPr>
                <w:sz w:val="18"/>
              </w:rPr>
              <w:t>No.</w:t>
            </w:r>
            <w:r>
              <w:rPr>
                <w:spacing w:val="-3"/>
                <w:sz w:val="18"/>
              </w:rPr>
              <w:t xml:space="preserve"> </w:t>
            </w:r>
            <w:r>
              <w:rPr>
                <w:sz w:val="18"/>
              </w:rPr>
              <w:t>100</w:t>
            </w:r>
            <w:r>
              <w:rPr>
                <w:spacing w:val="-2"/>
                <w:sz w:val="18"/>
              </w:rPr>
              <w:t xml:space="preserve"> </w:t>
            </w:r>
            <w:r>
              <w:rPr>
                <w:sz w:val="18"/>
              </w:rPr>
              <w:t>of</w:t>
            </w:r>
            <w:r>
              <w:rPr>
                <w:spacing w:val="-2"/>
                <w:sz w:val="18"/>
              </w:rPr>
              <w:t xml:space="preserve"> </w:t>
            </w:r>
            <w:r>
              <w:rPr>
                <w:sz w:val="18"/>
              </w:rPr>
              <w:t>2025</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Implementation</w:t>
            </w:r>
            <w:r>
              <w:rPr>
                <w:spacing w:val="-1"/>
                <w:sz w:val="18"/>
              </w:rPr>
              <w:t xml:space="preserve"> </w:t>
            </w:r>
            <w:r>
              <w:rPr>
                <w:sz w:val="18"/>
              </w:rPr>
              <w:t>of</w:t>
            </w:r>
            <w:r>
              <w:rPr>
                <w:spacing w:val="-3"/>
                <w:sz w:val="18"/>
              </w:rPr>
              <w:t xml:space="preserve"> </w:t>
            </w:r>
            <w:r>
              <w:rPr>
                <w:sz w:val="18"/>
              </w:rPr>
              <w:t>Regional</w:t>
            </w:r>
            <w:r>
              <w:rPr>
                <w:spacing w:val="-1"/>
                <w:sz w:val="18"/>
              </w:rPr>
              <w:t xml:space="preserve"> </w:t>
            </w:r>
            <w:r>
              <w:rPr>
                <w:sz w:val="18"/>
              </w:rPr>
              <w:t>One</w:t>
            </w:r>
            <w:r>
              <w:rPr>
                <w:spacing w:val="-2"/>
                <w:sz w:val="18"/>
              </w:rPr>
              <w:t xml:space="preserve"> </w:t>
            </w:r>
            <w:r>
              <w:rPr>
                <w:sz w:val="18"/>
              </w:rPr>
              <w:t>Data</w:t>
            </w:r>
            <w:r>
              <w:rPr>
                <w:spacing w:val="-2"/>
                <w:sz w:val="18"/>
              </w:rPr>
              <w:t xml:space="preserve"> Forum</w:t>
            </w:r>
          </w:p>
          <w:p w14:paraId="3AE76239" w14:textId="77777777" w:rsidR="00BC24A8" w:rsidRDefault="00000000">
            <w:pPr>
              <w:pStyle w:val="TableParagraph"/>
              <w:numPr>
                <w:ilvl w:val="0"/>
                <w:numId w:val="111"/>
              </w:numPr>
              <w:tabs>
                <w:tab w:val="left" w:pos="624"/>
              </w:tabs>
              <w:spacing w:before="1"/>
              <w:rPr>
                <w:sz w:val="18"/>
              </w:rPr>
            </w:pPr>
            <w:r>
              <w:rPr>
                <w:sz w:val="18"/>
              </w:rPr>
              <w:t>Governor</w:t>
            </w:r>
            <w:r>
              <w:rPr>
                <w:spacing w:val="-4"/>
                <w:sz w:val="18"/>
              </w:rPr>
              <w:t xml:space="preserve"> </w:t>
            </w:r>
            <w:r>
              <w:rPr>
                <w:sz w:val="18"/>
              </w:rPr>
              <w:t>Decree</w:t>
            </w:r>
            <w:r>
              <w:rPr>
                <w:spacing w:val="-1"/>
                <w:sz w:val="18"/>
              </w:rPr>
              <w:t xml:space="preserve"> </w:t>
            </w:r>
            <w:r>
              <w:rPr>
                <w:sz w:val="18"/>
              </w:rPr>
              <w:t>No.</w:t>
            </w:r>
            <w:r>
              <w:rPr>
                <w:spacing w:val="-2"/>
                <w:sz w:val="18"/>
              </w:rPr>
              <w:t xml:space="preserve"> </w:t>
            </w:r>
            <w:r>
              <w:rPr>
                <w:sz w:val="18"/>
              </w:rPr>
              <w:t>100</w:t>
            </w:r>
            <w:r>
              <w:rPr>
                <w:spacing w:val="-2"/>
                <w:sz w:val="18"/>
              </w:rPr>
              <w:t xml:space="preserve"> </w:t>
            </w:r>
            <w:r>
              <w:rPr>
                <w:sz w:val="18"/>
              </w:rPr>
              <w:t>of</w:t>
            </w:r>
            <w:r>
              <w:rPr>
                <w:spacing w:val="-2"/>
                <w:sz w:val="18"/>
              </w:rPr>
              <w:t xml:space="preserve"> </w:t>
            </w:r>
            <w:r>
              <w:rPr>
                <w:sz w:val="18"/>
              </w:rPr>
              <w:t>2024</w:t>
            </w:r>
            <w:r>
              <w:rPr>
                <w:spacing w:val="-1"/>
                <w:sz w:val="18"/>
              </w:rPr>
              <w:t xml:space="preserve"> </w:t>
            </w:r>
            <w:r>
              <w:rPr>
                <w:sz w:val="18"/>
              </w:rPr>
              <w:t>on</w:t>
            </w:r>
            <w:r>
              <w:rPr>
                <w:spacing w:val="-1"/>
                <w:sz w:val="18"/>
              </w:rPr>
              <w:t xml:space="preserve"> </w:t>
            </w:r>
            <w:r>
              <w:rPr>
                <w:sz w:val="18"/>
              </w:rPr>
              <w:t>the</w:t>
            </w:r>
            <w:r>
              <w:rPr>
                <w:spacing w:val="-2"/>
                <w:sz w:val="18"/>
              </w:rPr>
              <w:t xml:space="preserve"> </w:t>
            </w:r>
            <w:r>
              <w:rPr>
                <w:sz w:val="18"/>
              </w:rPr>
              <w:t>list of</w:t>
            </w:r>
            <w:r>
              <w:rPr>
                <w:spacing w:val="-2"/>
                <w:sz w:val="18"/>
              </w:rPr>
              <w:t xml:space="preserve"> </w:t>
            </w:r>
            <w:r>
              <w:rPr>
                <w:sz w:val="18"/>
              </w:rPr>
              <w:t>data</w:t>
            </w:r>
            <w:r>
              <w:rPr>
                <w:spacing w:val="-2"/>
                <w:sz w:val="18"/>
              </w:rPr>
              <w:t xml:space="preserve"> </w:t>
            </w:r>
            <w:r>
              <w:rPr>
                <w:sz w:val="18"/>
              </w:rPr>
              <w:t>for</w:t>
            </w:r>
            <w:r>
              <w:rPr>
                <w:spacing w:val="-2"/>
                <w:sz w:val="18"/>
              </w:rPr>
              <w:t xml:space="preserve"> </w:t>
            </w:r>
            <w:r>
              <w:rPr>
                <w:sz w:val="18"/>
              </w:rPr>
              <w:t>Kaltara</w:t>
            </w:r>
            <w:r>
              <w:rPr>
                <w:spacing w:val="-2"/>
                <w:sz w:val="18"/>
              </w:rPr>
              <w:t xml:space="preserve"> </w:t>
            </w:r>
            <w:r>
              <w:rPr>
                <w:sz w:val="18"/>
              </w:rPr>
              <w:t>Province</w:t>
            </w:r>
            <w:r>
              <w:rPr>
                <w:spacing w:val="-1"/>
                <w:sz w:val="18"/>
              </w:rPr>
              <w:t xml:space="preserve"> </w:t>
            </w:r>
            <w:r>
              <w:rPr>
                <w:sz w:val="18"/>
              </w:rPr>
              <w:t>in</w:t>
            </w:r>
            <w:r>
              <w:rPr>
                <w:spacing w:val="-1"/>
                <w:sz w:val="18"/>
              </w:rPr>
              <w:t xml:space="preserve"> </w:t>
            </w:r>
            <w:r>
              <w:rPr>
                <w:spacing w:val="-4"/>
                <w:sz w:val="18"/>
              </w:rPr>
              <w:t>2025</w:t>
            </w:r>
          </w:p>
          <w:p w14:paraId="59AFEB97" w14:textId="77777777" w:rsidR="00BC24A8" w:rsidRDefault="00000000">
            <w:pPr>
              <w:pStyle w:val="TableParagraph"/>
              <w:numPr>
                <w:ilvl w:val="0"/>
                <w:numId w:val="111"/>
              </w:numPr>
              <w:tabs>
                <w:tab w:val="left" w:pos="624"/>
              </w:tabs>
              <w:spacing w:before="1"/>
              <w:ind w:right="108"/>
              <w:rPr>
                <w:sz w:val="18"/>
              </w:rPr>
            </w:pPr>
            <w:r>
              <w:rPr>
                <w:sz w:val="18"/>
              </w:rPr>
              <w:t>Governor Regulation of Kaltara No. 40 of 2024 on the calculation of Motor Vehicle Tax (PKB) and Vehicle Transfer Fee (BBNKB) made before 2024</w:t>
            </w:r>
          </w:p>
          <w:p w14:paraId="4CEDDEB7" w14:textId="77777777" w:rsidR="00BC24A8" w:rsidRDefault="00000000">
            <w:pPr>
              <w:pStyle w:val="TableParagraph"/>
              <w:numPr>
                <w:ilvl w:val="0"/>
                <w:numId w:val="111"/>
              </w:numPr>
              <w:tabs>
                <w:tab w:val="left" w:pos="624"/>
              </w:tabs>
              <w:ind w:right="105"/>
              <w:rPr>
                <w:sz w:val="18"/>
              </w:rPr>
            </w:pPr>
            <w:r>
              <w:rPr>
                <w:sz w:val="18"/>
              </w:rPr>
              <w:t>Decree of the Governor of Kaltara No. 100 of 2025 concerning the Compilation Team of the Draft Local Regulation (Perkada) on Disability</w:t>
            </w:r>
          </w:p>
          <w:p w14:paraId="5C85EAAB" w14:textId="77777777" w:rsidR="00BC24A8" w:rsidRDefault="00000000">
            <w:pPr>
              <w:pStyle w:val="TableParagraph"/>
              <w:numPr>
                <w:ilvl w:val="0"/>
                <w:numId w:val="111"/>
              </w:numPr>
              <w:tabs>
                <w:tab w:val="left" w:pos="624"/>
              </w:tabs>
              <w:ind w:right="108"/>
              <w:rPr>
                <w:sz w:val="18"/>
              </w:rPr>
            </w:pPr>
            <w:r>
              <w:rPr>
                <w:sz w:val="18"/>
              </w:rPr>
              <w:t>Decree</w:t>
            </w:r>
            <w:r>
              <w:rPr>
                <w:spacing w:val="24"/>
                <w:sz w:val="18"/>
              </w:rPr>
              <w:t xml:space="preserve"> </w:t>
            </w:r>
            <w:r>
              <w:rPr>
                <w:sz w:val="18"/>
              </w:rPr>
              <w:t>of</w:t>
            </w:r>
            <w:r>
              <w:rPr>
                <w:spacing w:val="23"/>
                <w:sz w:val="18"/>
              </w:rPr>
              <w:t xml:space="preserve"> </w:t>
            </w:r>
            <w:r>
              <w:rPr>
                <w:sz w:val="18"/>
              </w:rPr>
              <w:t>the</w:t>
            </w:r>
            <w:r>
              <w:rPr>
                <w:spacing w:val="24"/>
                <w:sz w:val="18"/>
              </w:rPr>
              <w:t xml:space="preserve"> </w:t>
            </w:r>
            <w:r>
              <w:rPr>
                <w:sz w:val="18"/>
              </w:rPr>
              <w:t>Head</w:t>
            </w:r>
            <w:r>
              <w:rPr>
                <w:spacing w:val="24"/>
                <w:sz w:val="18"/>
              </w:rPr>
              <w:t xml:space="preserve"> </w:t>
            </w:r>
            <w:r>
              <w:rPr>
                <w:sz w:val="18"/>
              </w:rPr>
              <w:t>of</w:t>
            </w:r>
            <w:r>
              <w:rPr>
                <w:spacing w:val="23"/>
                <w:sz w:val="18"/>
              </w:rPr>
              <w:t xml:space="preserve"> </w:t>
            </w:r>
            <w:r>
              <w:rPr>
                <w:sz w:val="18"/>
              </w:rPr>
              <w:t>Bappeda</w:t>
            </w:r>
            <w:r>
              <w:rPr>
                <w:spacing w:val="26"/>
                <w:sz w:val="18"/>
              </w:rPr>
              <w:t xml:space="preserve"> </w:t>
            </w:r>
            <w:r>
              <w:rPr>
                <w:sz w:val="18"/>
              </w:rPr>
              <w:t>and</w:t>
            </w:r>
            <w:r>
              <w:rPr>
                <w:spacing w:val="24"/>
                <w:sz w:val="18"/>
              </w:rPr>
              <w:t xml:space="preserve"> </w:t>
            </w:r>
            <w:r>
              <w:rPr>
                <w:sz w:val="18"/>
              </w:rPr>
              <w:t>Research</w:t>
            </w:r>
            <w:r>
              <w:rPr>
                <w:spacing w:val="24"/>
                <w:sz w:val="18"/>
              </w:rPr>
              <w:t xml:space="preserve"> </w:t>
            </w:r>
            <w:r>
              <w:rPr>
                <w:sz w:val="18"/>
              </w:rPr>
              <w:t>and</w:t>
            </w:r>
            <w:r>
              <w:rPr>
                <w:spacing w:val="24"/>
                <w:sz w:val="18"/>
              </w:rPr>
              <w:t xml:space="preserve"> </w:t>
            </w:r>
            <w:r>
              <w:rPr>
                <w:sz w:val="18"/>
              </w:rPr>
              <w:t>Development</w:t>
            </w:r>
            <w:r>
              <w:rPr>
                <w:spacing w:val="28"/>
                <w:sz w:val="18"/>
              </w:rPr>
              <w:t xml:space="preserve"> </w:t>
            </w:r>
            <w:r>
              <w:rPr>
                <w:sz w:val="18"/>
              </w:rPr>
              <w:t>(Litbang)</w:t>
            </w:r>
            <w:r>
              <w:rPr>
                <w:spacing w:val="23"/>
                <w:sz w:val="18"/>
              </w:rPr>
              <w:t xml:space="preserve"> </w:t>
            </w:r>
            <w:r>
              <w:rPr>
                <w:sz w:val="18"/>
              </w:rPr>
              <w:t>No.</w:t>
            </w:r>
            <w:r>
              <w:rPr>
                <w:spacing w:val="23"/>
                <w:sz w:val="18"/>
              </w:rPr>
              <w:t xml:space="preserve"> </w:t>
            </w:r>
            <w:r>
              <w:rPr>
                <w:sz w:val="18"/>
              </w:rPr>
              <w:t>100</w:t>
            </w:r>
            <w:r>
              <w:rPr>
                <w:spacing w:val="24"/>
                <w:sz w:val="18"/>
              </w:rPr>
              <w:t xml:space="preserve"> </w:t>
            </w:r>
            <w:r>
              <w:rPr>
                <w:sz w:val="18"/>
              </w:rPr>
              <w:t>of</w:t>
            </w:r>
            <w:r>
              <w:rPr>
                <w:spacing w:val="23"/>
                <w:sz w:val="18"/>
              </w:rPr>
              <w:t xml:space="preserve"> </w:t>
            </w:r>
            <w:r>
              <w:rPr>
                <w:sz w:val="18"/>
              </w:rPr>
              <w:t>2025</w:t>
            </w:r>
            <w:r>
              <w:rPr>
                <w:spacing w:val="24"/>
                <w:sz w:val="18"/>
              </w:rPr>
              <w:t xml:space="preserve"> </w:t>
            </w:r>
            <w:r>
              <w:rPr>
                <w:sz w:val="18"/>
              </w:rPr>
              <w:t>on technical guidelines for the MENTARI KALTARA inclusive aspiration screening forum.</w:t>
            </w:r>
          </w:p>
          <w:p w14:paraId="18889A4F" w14:textId="77777777" w:rsidR="00BC24A8" w:rsidRDefault="00000000">
            <w:pPr>
              <w:pStyle w:val="TableParagraph"/>
              <w:numPr>
                <w:ilvl w:val="0"/>
                <w:numId w:val="111"/>
              </w:numPr>
              <w:tabs>
                <w:tab w:val="left" w:pos="624"/>
              </w:tabs>
              <w:spacing w:line="219" w:lineRule="exact"/>
              <w:rPr>
                <w:sz w:val="18"/>
              </w:rPr>
            </w:pPr>
            <w:r>
              <w:rPr>
                <w:sz w:val="18"/>
              </w:rPr>
              <w:t>Governor</w:t>
            </w:r>
            <w:r>
              <w:rPr>
                <w:spacing w:val="-6"/>
                <w:sz w:val="18"/>
              </w:rPr>
              <w:t xml:space="preserve"> </w:t>
            </w:r>
            <w:r>
              <w:rPr>
                <w:sz w:val="18"/>
              </w:rPr>
              <w:t>Decree</w:t>
            </w:r>
            <w:r>
              <w:rPr>
                <w:spacing w:val="-4"/>
                <w:sz w:val="18"/>
              </w:rPr>
              <w:t xml:space="preserve"> </w:t>
            </w:r>
            <w:r>
              <w:rPr>
                <w:sz w:val="18"/>
              </w:rPr>
              <w:t>No.</w:t>
            </w:r>
            <w:r>
              <w:rPr>
                <w:spacing w:val="-4"/>
                <w:sz w:val="18"/>
              </w:rPr>
              <w:t xml:space="preserve"> </w:t>
            </w:r>
            <w:r>
              <w:rPr>
                <w:sz w:val="18"/>
              </w:rPr>
              <w:t>188/2024</w:t>
            </w:r>
            <w:r>
              <w:rPr>
                <w:spacing w:val="-4"/>
                <w:sz w:val="18"/>
              </w:rPr>
              <w:t xml:space="preserve"> </w:t>
            </w:r>
            <w:r>
              <w:rPr>
                <w:sz w:val="18"/>
              </w:rPr>
              <w:t>on</w:t>
            </w:r>
            <w:r>
              <w:rPr>
                <w:spacing w:val="-3"/>
                <w:sz w:val="18"/>
              </w:rPr>
              <w:t xml:space="preserve"> </w:t>
            </w:r>
            <w:r>
              <w:rPr>
                <w:sz w:val="18"/>
              </w:rPr>
              <w:t>RAD-PD</w:t>
            </w:r>
            <w:r>
              <w:rPr>
                <w:spacing w:val="-3"/>
                <w:sz w:val="18"/>
              </w:rPr>
              <w:t xml:space="preserve"> </w:t>
            </w:r>
            <w:r>
              <w:rPr>
                <w:sz w:val="18"/>
              </w:rPr>
              <w:t>Implementation</w:t>
            </w:r>
            <w:r>
              <w:rPr>
                <w:spacing w:val="-3"/>
                <w:sz w:val="18"/>
              </w:rPr>
              <w:t xml:space="preserve"> </w:t>
            </w:r>
            <w:r>
              <w:rPr>
                <w:sz w:val="18"/>
              </w:rPr>
              <w:t>Coordination</w:t>
            </w:r>
            <w:r>
              <w:rPr>
                <w:spacing w:val="-3"/>
                <w:sz w:val="18"/>
              </w:rPr>
              <w:t xml:space="preserve"> </w:t>
            </w:r>
            <w:r>
              <w:rPr>
                <w:spacing w:val="-4"/>
                <w:sz w:val="18"/>
              </w:rPr>
              <w:t>Team</w:t>
            </w:r>
          </w:p>
          <w:p w14:paraId="4B9489A9" w14:textId="77777777" w:rsidR="00BC24A8" w:rsidRDefault="00BC24A8">
            <w:pPr>
              <w:pStyle w:val="TableParagraph"/>
              <w:spacing w:before="59"/>
              <w:rPr>
                <w:rFonts w:ascii="Calibri"/>
                <w:b/>
                <w:sz w:val="18"/>
              </w:rPr>
            </w:pPr>
          </w:p>
          <w:p w14:paraId="1C7204BE" w14:textId="77777777" w:rsidR="00BC24A8" w:rsidRDefault="00000000">
            <w:pPr>
              <w:pStyle w:val="TableParagraph"/>
              <w:ind w:left="293"/>
              <w:jc w:val="both"/>
              <w:rPr>
                <w:sz w:val="18"/>
              </w:rPr>
            </w:pPr>
            <w:r>
              <w:rPr>
                <w:sz w:val="18"/>
              </w:rPr>
              <w:t>Strengthened</w:t>
            </w:r>
            <w:r>
              <w:rPr>
                <w:spacing w:val="-3"/>
                <w:sz w:val="18"/>
              </w:rPr>
              <w:t xml:space="preserve"> </w:t>
            </w:r>
            <w:r>
              <w:rPr>
                <w:sz w:val="18"/>
              </w:rPr>
              <w:t>collaboration</w:t>
            </w:r>
            <w:r>
              <w:rPr>
                <w:spacing w:val="-2"/>
                <w:sz w:val="18"/>
              </w:rPr>
              <w:t xml:space="preserve"> </w:t>
            </w:r>
            <w:r>
              <w:rPr>
                <w:sz w:val="18"/>
              </w:rPr>
              <w:t>and</w:t>
            </w:r>
            <w:r>
              <w:rPr>
                <w:spacing w:val="-2"/>
                <w:sz w:val="18"/>
              </w:rPr>
              <w:t xml:space="preserve"> coordination:</w:t>
            </w:r>
          </w:p>
          <w:p w14:paraId="5D2CB986" w14:textId="77777777" w:rsidR="00BC24A8" w:rsidRDefault="00000000">
            <w:pPr>
              <w:pStyle w:val="TableParagraph"/>
              <w:numPr>
                <w:ilvl w:val="0"/>
                <w:numId w:val="111"/>
              </w:numPr>
              <w:tabs>
                <w:tab w:val="left" w:pos="624"/>
              </w:tabs>
              <w:spacing w:before="61"/>
              <w:ind w:right="105"/>
              <w:jc w:val="both"/>
              <w:rPr>
                <w:sz w:val="18"/>
              </w:rPr>
            </w:pPr>
            <w:r>
              <w:rPr>
                <w:sz w:val="18"/>
              </w:rPr>
              <w:t>Involvement of CSOs, private sector, academics, and the INOVASI and INKLUSI programs in the coordination team for RAD-PD and Draft Local Regulations (Ranperkada) Perda No. 17 of 2024 on Persons with Disabilities</w:t>
            </w:r>
          </w:p>
          <w:p w14:paraId="17D634FB" w14:textId="77777777" w:rsidR="00BC24A8" w:rsidRDefault="00000000">
            <w:pPr>
              <w:pStyle w:val="TableParagraph"/>
              <w:numPr>
                <w:ilvl w:val="0"/>
                <w:numId w:val="111"/>
              </w:numPr>
              <w:tabs>
                <w:tab w:val="left" w:pos="622"/>
                <w:tab w:val="left" w:pos="624"/>
              </w:tabs>
              <w:ind w:right="106" w:hanging="361"/>
              <w:jc w:val="both"/>
              <w:rPr>
                <w:sz w:val="18"/>
              </w:rPr>
            </w:pPr>
            <w:r>
              <w:rPr>
                <w:sz w:val="18"/>
              </w:rPr>
              <w:t xml:space="preserve">The collaboration among the main pillars of the Regional One Data Forum—Bappeda, DKISP (Walidata), and BPS (Central Statistics Agency, Data Supervisor)—has been strengthened in implementing the Data Cycle SOP agreed through the Kaltara Regional One Data Forum </w:t>
            </w:r>
            <w:r>
              <w:rPr>
                <w:spacing w:val="-2"/>
                <w:sz w:val="18"/>
              </w:rPr>
              <w:t>Coordination.</w:t>
            </w:r>
          </w:p>
          <w:p w14:paraId="0FBB38DC" w14:textId="77777777" w:rsidR="00BC24A8" w:rsidRDefault="00000000">
            <w:pPr>
              <w:pStyle w:val="TableParagraph"/>
              <w:numPr>
                <w:ilvl w:val="0"/>
                <w:numId w:val="111"/>
              </w:numPr>
              <w:tabs>
                <w:tab w:val="left" w:pos="624"/>
              </w:tabs>
              <w:ind w:right="107"/>
              <w:jc w:val="both"/>
              <w:rPr>
                <w:sz w:val="18"/>
              </w:rPr>
            </w:pPr>
            <w:r>
              <w:rPr>
                <w:sz w:val="18"/>
              </w:rPr>
              <w:t>Involvement of Inspectorate, Bappeda, and BKAD in the</w:t>
            </w:r>
            <w:r>
              <w:rPr>
                <w:spacing w:val="40"/>
                <w:sz w:val="18"/>
              </w:rPr>
              <w:t xml:space="preserve"> </w:t>
            </w:r>
            <w:r>
              <w:rPr>
                <w:sz w:val="18"/>
              </w:rPr>
              <w:t>Kalimantan Utara MSS monitoring and evaluation process initiated by the Tapem Otda Bureau.</w:t>
            </w:r>
          </w:p>
        </w:tc>
      </w:tr>
      <w:tr w:rsidR="00BC24A8" w14:paraId="7C4F31F9" w14:textId="77777777">
        <w:trPr>
          <w:trHeight w:val="2870"/>
        </w:trPr>
        <w:tc>
          <w:tcPr>
            <w:tcW w:w="1238" w:type="dxa"/>
            <w:tcBorders>
              <w:top w:val="single" w:sz="4" w:space="0" w:color="BEBEBE"/>
              <w:bottom w:val="single" w:sz="4" w:space="0" w:color="BEBEBE"/>
            </w:tcBorders>
          </w:tcPr>
          <w:p w14:paraId="1C2FD472" w14:textId="77777777" w:rsidR="00BC24A8" w:rsidRDefault="00000000">
            <w:pPr>
              <w:pStyle w:val="TableParagraph"/>
              <w:spacing w:before="56"/>
              <w:ind w:left="115"/>
              <w:rPr>
                <w:sz w:val="18"/>
              </w:rPr>
            </w:pPr>
            <w:r>
              <w:rPr>
                <w:spacing w:val="-2"/>
                <w:sz w:val="18"/>
              </w:rPr>
              <w:t>Operational</w:t>
            </w:r>
            <w:r>
              <w:rPr>
                <w:sz w:val="18"/>
              </w:rPr>
              <w:t xml:space="preserve"> </w:t>
            </w:r>
            <w:r>
              <w:rPr>
                <w:spacing w:val="-2"/>
                <w:sz w:val="18"/>
              </w:rPr>
              <w:t>impact</w:t>
            </w:r>
          </w:p>
        </w:tc>
        <w:tc>
          <w:tcPr>
            <w:tcW w:w="7860" w:type="dxa"/>
            <w:tcBorders>
              <w:top w:val="single" w:sz="4" w:space="0" w:color="BEBEBE"/>
              <w:bottom w:val="single" w:sz="4" w:space="0" w:color="BEBEBE"/>
            </w:tcBorders>
          </w:tcPr>
          <w:p w14:paraId="71F5D641" w14:textId="77777777" w:rsidR="00BC24A8" w:rsidRDefault="00000000">
            <w:pPr>
              <w:pStyle w:val="TableParagraph"/>
              <w:spacing w:before="59"/>
              <w:ind w:left="293"/>
              <w:rPr>
                <w:sz w:val="18"/>
              </w:rPr>
            </w:pPr>
            <w:r>
              <w:rPr>
                <w:sz w:val="18"/>
              </w:rPr>
              <w:t>Changes</w:t>
            </w:r>
            <w:r>
              <w:rPr>
                <w:spacing w:val="-2"/>
                <w:sz w:val="18"/>
              </w:rPr>
              <w:t xml:space="preserve"> </w:t>
            </w:r>
            <w:r>
              <w:rPr>
                <w:sz w:val="18"/>
              </w:rPr>
              <w:t>in</w:t>
            </w:r>
            <w:r>
              <w:rPr>
                <w:spacing w:val="-1"/>
                <w:sz w:val="18"/>
              </w:rPr>
              <w:t xml:space="preserve"> </w:t>
            </w:r>
            <w:r>
              <w:rPr>
                <w:sz w:val="18"/>
              </w:rPr>
              <w:t>practices,</w:t>
            </w:r>
            <w:r>
              <w:rPr>
                <w:spacing w:val="-2"/>
                <w:sz w:val="18"/>
              </w:rPr>
              <w:t xml:space="preserve"> </w:t>
            </w:r>
            <w:r>
              <w:rPr>
                <w:sz w:val="18"/>
              </w:rPr>
              <w:t>ways</w:t>
            </w:r>
            <w:r>
              <w:rPr>
                <w:spacing w:val="-1"/>
                <w:sz w:val="18"/>
              </w:rPr>
              <w:t xml:space="preserve"> </w:t>
            </w:r>
            <w:r>
              <w:rPr>
                <w:sz w:val="18"/>
              </w:rPr>
              <w:t>of</w:t>
            </w:r>
            <w:r>
              <w:rPr>
                <w:spacing w:val="-2"/>
                <w:sz w:val="18"/>
              </w:rPr>
              <w:t xml:space="preserve"> </w:t>
            </w:r>
            <w:r>
              <w:rPr>
                <w:sz w:val="18"/>
              </w:rPr>
              <w:t>working,</w:t>
            </w:r>
            <w:r>
              <w:rPr>
                <w:spacing w:val="-2"/>
                <w:sz w:val="18"/>
              </w:rPr>
              <w:t xml:space="preserve"> coordination:</w:t>
            </w:r>
          </w:p>
          <w:p w14:paraId="7F296855" w14:textId="77777777" w:rsidR="00BC24A8" w:rsidRDefault="00000000">
            <w:pPr>
              <w:pStyle w:val="TableParagraph"/>
              <w:numPr>
                <w:ilvl w:val="0"/>
                <w:numId w:val="110"/>
              </w:numPr>
              <w:tabs>
                <w:tab w:val="left" w:pos="624"/>
              </w:tabs>
              <w:spacing w:before="58" w:line="219" w:lineRule="exact"/>
              <w:rPr>
                <w:sz w:val="18"/>
              </w:rPr>
            </w:pPr>
            <w:r>
              <w:rPr>
                <w:sz w:val="18"/>
              </w:rPr>
              <w:t>Preparation</w:t>
            </w:r>
            <w:r>
              <w:rPr>
                <w:spacing w:val="-2"/>
                <w:sz w:val="18"/>
              </w:rPr>
              <w:t xml:space="preserve"> </w:t>
            </w:r>
            <w:r>
              <w:rPr>
                <w:sz w:val="18"/>
              </w:rPr>
              <w:t>of</w:t>
            </w:r>
            <w:r>
              <w:rPr>
                <w:spacing w:val="-2"/>
                <w:sz w:val="18"/>
              </w:rPr>
              <w:t xml:space="preserve"> </w:t>
            </w:r>
            <w:r>
              <w:rPr>
                <w:sz w:val="18"/>
              </w:rPr>
              <w:t>policy</w:t>
            </w:r>
            <w:r>
              <w:rPr>
                <w:spacing w:val="-2"/>
                <w:sz w:val="18"/>
              </w:rPr>
              <w:t xml:space="preserve"> </w:t>
            </w:r>
            <w:r>
              <w:rPr>
                <w:sz w:val="18"/>
              </w:rPr>
              <w:t>recommendations</w:t>
            </w:r>
            <w:r>
              <w:rPr>
                <w:spacing w:val="-1"/>
                <w:sz w:val="18"/>
              </w:rPr>
              <w:t xml:space="preserve"> </w:t>
            </w:r>
            <w:r>
              <w:rPr>
                <w:sz w:val="18"/>
              </w:rPr>
              <w:t>through</w:t>
            </w:r>
            <w:r>
              <w:rPr>
                <w:spacing w:val="-1"/>
                <w:sz w:val="18"/>
              </w:rPr>
              <w:t xml:space="preserve"> </w:t>
            </w:r>
            <w:r>
              <w:rPr>
                <w:sz w:val="18"/>
              </w:rPr>
              <w:t>policy</w:t>
            </w:r>
            <w:r>
              <w:rPr>
                <w:spacing w:val="-2"/>
                <w:sz w:val="18"/>
              </w:rPr>
              <w:t xml:space="preserve"> </w:t>
            </w:r>
            <w:r>
              <w:rPr>
                <w:sz w:val="18"/>
              </w:rPr>
              <w:t>briefs</w:t>
            </w:r>
            <w:r>
              <w:rPr>
                <w:spacing w:val="-1"/>
                <w:sz w:val="18"/>
              </w:rPr>
              <w:t xml:space="preserve"> </w:t>
            </w:r>
            <w:r>
              <w:rPr>
                <w:sz w:val="18"/>
              </w:rPr>
              <w:t>using</w:t>
            </w:r>
            <w:r>
              <w:rPr>
                <w:spacing w:val="-4"/>
                <w:sz w:val="18"/>
              </w:rPr>
              <w:t xml:space="preserve"> </w:t>
            </w:r>
            <w:r>
              <w:rPr>
                <w:sz w:val="18"/>
              </w:rPr>
              <w:t>the</w:t>
            </w:r>
            <w:r>
              <w:rPr>
                <w:spacing w:val="-2"/>
                <w:sz w:val="18"/>
              </w:rPr>
              <w:t xml:space="preserve"> </w:t>
            </w:r>
            <w:r>
              <w:rPr>
                <w:sz w:val="18"/>
              </w:rPr>
              <w:t>2025</w:t>
            </w:r>
            <w:r>
              <w:rPr>
                <w:spacing w:val="-1"/>
                <w:sz w:val="18"/>
              </w:rPr>
              <w:t xml:space="preserve"> </w:t>
            </w:r>
            <w:r>
              <w:rPr>
                <w:sz w:val="18"/>
              </w:rPr>
              <w:t>SDI</w:t>
            </w:r>
            <w:r>
              <w:rPr>
                <w:spacing w:val="-2"/>
                <w:sz w:val="18"/>
              </w:rPr>
              <w:t xml:space="preserve"> </w:t>
            </w:r>
            <w:r>
              <w:rPr>
                <w:sz w:val="18"/>
              </w:rPr>
              <w:t>Data</w:t>
            </w:r>
            <w:r>
              <w:rPr>
                <w:spacing w:val="-2"/>
                <w:sz w:val="18"/>
              </w:rPr>
              <w:t xml:space="preserve"> </w:t>
            </w:r>
            <w:r>
              <w:rPr>
                <w:spacing w:val="-4"/>
                <w:sz w:val="18"/>
              </w:rPr>
              <w:t>List</w:t>
            </w:r>
          </w:p>
          <w:p w14:paraId="7294744B" w14:textId="77777777" w:rsidR="00BC24A8" w:rsidRDefault="00000000">
            <w:pPr>
              <w:pStyle w:val="TableParagraph"/>
              <w:numPr>
                <w:ilvl w:val="0"/>
                <w:numId w:val="110"/>
              </w:numPr>
              <w:tabs>
                <w:tab w:val="left" w:pos="624"/>
              </w:tabs>
              <w:ind w:right="106"/>
              <w:rPr>
                <w:sz w:val="18"/>
              </w:rPr>
            </w:pPr>
            <w:r>
              <w:rPr>
                <w:sz w:val="18"/>
              </w:rPr>
              <w:t>Utilisation</w:t>
            </w:r>
            <w:r>
              <w:rPr>
                <w:spacing w:val="-3"/>
                <w:sz w:val="18"/>
              </w:rPr>
              <w:t xml:space="preserve"> </w:t>
            </w:r>
            <w:r>
              <w:rPr>
                <w:sz w:val="18"/>
              </w:rPr>
              <w:t>of</w:t>
            </w:r>
            <w:r>
              <w:rPr>
                <w:spacing w:val="-2"/>
                <w:sz w:val="18"/>
              </w:rPr>
              <w:t xml:space="preserve"> </w:t>
            </w:r>
            <w:r>
              <w:rPr>
                <w:sz w:val="18"/>
              </w:rPr>
              <w:t>sectoral</w:t>
            </w:r>
            <w:r>
              <w:rPr>
                <w:spacing w:val="-2"/>
                <w:sz w:val="18"/>
              </w:rPr>
              <w:t xml:space="preserve"> </w:t>
            </w:r>
            <w:r>
              <w:rPr>
                <w:sz w:val="18"/>
              </w:rPr>
              <w:t>statistics</w:t>
            </w:r>
            <w:r>
              <w:rPr>
                <w:spacing w:val="-1"/>
                <w:sz w:val="18"/>
              </w:rPr>
              <w:t xml:space="preserve"> </w:t>
            </w:r>
            <w:r>
              <w:rPr>
                <w:sz w:val="18"/>
              </w:rPr>
              <w:t>from</w:t>
            </w:r>
            <w:r>
              <w:rPr>
                <w:spacing w:val="-2"/>
                <w:sz w:val="18"/>
              </w:rPr>
              <w:t xml:space="preserve"> </w:t>
            </w:r>
            <w:r>
              <w:rPr>
                <w:sz w:val="18"/>
              </w:rPr>
              <w:t>the</w:t>
            </w:r>
            <w:r>
              <w:rPr>
                <w:spacing w:val="-1"/>
                <w:sz w:val="18"/>
              </w:rPr>
              <w:t xml:space="preserve"> </w:t>
            </w:r>
            <w:r>
              <w:rPr>
                <w:sz w:val="18"/>
              </w:rPr>
              <w:t>2025</w:t>
            </w:r>
            <w:r>
              <w:rPr>
                <w:spacing w:val="-3"/>
                <w:sz w:val="18"/>
              </w:rPr>
              <w:t xml:space="preserve"> </w:t>
            </w:r>
            <w:r>
              <w:rPr>
                <w:sz w:val="18"/>
              </w:rPr>
              <w:t>Data</w:t>
            </w:r>
            <w:r>
              <w:rPr>
                <w:spacing w:val="-2"/>
                <w:sz w:val="18"/>
              </w:rPr>
              <w:t xml:space="preserve"> </w:t>
            </w:r>
            <w:r>
              <w:rPr>
                <w:sz w:val="18"/>
              </w:rPr>
              <w:t>List</w:t>
            </w:r>
            <w:r>
              <w:rPr>
                <w:spacing w:val="-3"/>
                <w:sz w:val="18"/>
              </w:rPr>
              <w:t xml:space="preserve"> </w:t>
            </w:r>
            <w:r>
              <w:rPr>
                <w:sz w:val="18"/>
              </w:rPr>
              <w:t>for</w:t>
            </w:r>
            <w:r>
              <w:rPr>
                <w:spacing w:val="-1"/>
                <w:sz w:val="18"/>
              </w:rPr>
              <w:t xml:space="preserve"> </w:t>
            </w:r>
            <w:r>
              <w:rPr>
                <w:sz w:val="18"/>
              </w:rPr>
              <w:t>preparing</w:t>
            </w:r>
            <w:r>
              <w:rPr>
                <w:spacing w:val="-1"/>
                <w:sz w:val="18"/>
              </w:rPr>
              <w:t xml:space="preserve"> </w:t>
            </w:r>
            <w:r>
              <w:rPr>
                <w:sz w:val="18"/>
              </w:rPr>
              <w:t>RPJMD 2025–2029,</w:t>
            </w:r>
            <w:r>
              <w:rPr>
                <w:spacing w:val="-2"/>
                <w:sz w:val="18"/>
              </w:rPr>
              <w:t xml:space="preserve"> </w:t>
            </w:r>
            <w:r>
              <w:rPr>
                <w:sz w:val="18"/>
              </w:rPr>
              <w:t>RAD-ATS, and the Regional Poverty Reduction Plan (RPKD).</w:t>
            </w:r>
          </w:p>
          <w:p w14:paraId="443E6558" w14:textId="77777777" w:rsidR="00BC24A8" w:rsidRDefault="00000000">
            <w:pPr>
              <w:pStyle w:val="TableParagraph"/>
              <w:numPr>
                <w:ilvl w:val="0"/>
                <w:numId w:val="110"/>
              </w:numPr>
              <w:tabs>
                <w:tab w:val="left" w:pos="624"/>
              </w:tabs>
              <w:ind w:right="109"/>
              <w:rPr>
                <w:sz w:val="18"/>
              </w:rPr>
            </w:pPr>
            <w:r>
              <w:rPr>
                <w:sz w:val="18"/>
              </w:rPr>
              <w:t>Dissemination of sectoral statistics based on the 2025 Data List: 1,080 datasets (55%) have been published on the E-DATAKU Data Portal.</w:t>
            </w:r>
          </w:p>
          <w:p w14:paraId="28C2C3CD" w14:textId="77777777" w:rsidR="00BC24A8" w:rsidRDefault="00000000">
            <w:pPr>
              <w:pStyle w:val="TableParagraph"/>
              <w:numPr>
                <w:ilvl w:val="0"/>
                <w:numId w:val="110"/>
              </w:numPr>
              <w:tabs>
                <w:tab w:val="left" w:pos="624"/>
              </w:tabs>
              <w:ind w:right="104"/>
              <w:rPr>
                <w:sz w:val="18"/>
              </w:rPr>
            </w:pPr>
            <w:r>
              <w:rPr>
                <w:sz w:val="18"/>
              </w:rPr>
              <w:t>Follow-up</w:t>
            </w:r>
            <w:r>
              <w:rPr>
                <w:spacing w:val="-3"/>
                <w:sz w:val="18"/>
              </w:rPr>
              <w:t xml:space="preserve"> </w:t>
            </w:r>
            <w:r>
              <w:rPr>
                <w:sz w:val="18"/>
              </w:rPr>
              <w:t>on</w:t>
            </w:r>
            <w:r>
              <w:rPr>
                <w:spacing w:val="-6"/>
                <w:sz w:val="18"/>
              </w:rPr>
              <w:t xml:space="preserve"> </w:t>
            </w:r>
            <w:r>
              <w:rPr>
                <w:sz w:val="18"/>
              </w:rPr>
              <w:t>the</w:t>
            </w:r>
            <w:r>
              <w:rPr>
                <w:spacing w:val="32"/>
                <w:sz w:val="18"/>
              </w:rPr>
              <w:t xml:space="preserve"> </w:t>
            </w:r>
            <w:r>
              <w:rPr>
                <w:sz w:val="18"/>
              </w:rPr>
              <w:t>Kalimantan</w:t>
            </w:r>
            <w:r>
              <w:rPr>
                <w:spacing w:val="-3"/>
                <w:sz w:val="18"/>
              </w:rPr>
              <w:t xml:space="preserve"> </w:t>
            </w:r>
            <w:r>
              <w:rPr>
                <w:sz w:val="18"/>
              </w:rPr>
              <w:t>Utara</w:t>
            </w:r>
            <w:r>
              <w:rPr>
                <w:spacing w:val="-4"/>
                <w:sz w:val="18"/>
              </w:rPr>
              <w:t xml:space="preserve"> </w:t>
            </w:r>
            <w:r>
              <w:rPr>
                <w:sz w:val="18"/>
              </w:rPr>
              <w:t>PAD</w:t>
            </w:r>
            <w:r>
              <w:rPr>
                <w:spacing w:val="-2"/>
                <w:sz w:val="18"/>
              </w:rPr>
              <w:t xml:space="preserve"> </w:t>
            </w:r>
            <w:r>
              <w:rPr>
                <w:sz w:val="18"/>
              </w:rPr>
              <w:t>study</w:t>
            </w:r>
            <w:r>
              <w:rPr>
                <w:spacing w:val="-6"/>
                <w:sz w:val="18"/>
              </w:rPr>
              <w:t xml:space="preserve"> </w:t>
            </w:r>
            <w:r>
              <w:rPr>
                <w:sz w:val="18"/>
              </w:rPr>
              <w:t>through</w:t>
            </w:r>
            <w:r>
              <w:rPr>
                <w:spacing w:val="33"/>
                <w:sz w:val="18"/>
              </w:rPr>
              <w:t xml:space="preserve"> </w:t>
            </w:r>
            <w:r>
              <w:rPr>
                <w:sz w:val="18"/>
              </w:rPr>
              <w:t>Kalimantan</w:t>
            </w:r>
            <w:r>
              <w:rPr>
                <w:spacing w:val="-6"/>
                <w:sz w:val="18"/>
              </w:rPr>
              <w:t xml:space="preserve"> </w:t>
            </w:r>
            <w:r>
              <w:rPr>
                <w:sz w:val="18"/>
              </w:rPr>
              <w:t>Utara</w:t>
            </w:r>
            <w:r>
              <w:rPr>
                <w:spacing w:val="-4"/>
                <w:sz w:val="18"/>
              </w:rPr>
              <w:t xml:space="preserve"> </w:t>
            </w:r>
            <w:r>
              <w:rPr>
                <w:sz w:val="18"/>
              </w:rPr>
              <w:t>Governor</w:t>
            </w:r>
            <w:r>
              <w:rPr>
                <w:spacing w:val="-5"/>
                <w:sz w:val="18"/>
              </w:rPr>
              <w:t xml:space="preserve"> </w:t>
            </w:r>
            <w:r>
              <w:rPr>
                <w:sz w:val="18"/>
              </w:rPr>
              <w:t>Regulation</w:t>
            </w:r>
            <w:r>
              <w:rPr>
                <w:spacing w:val="-3"/>
                <w:sz w:val="18"/>
              </w:rPr>
              <w:t xml:space="preserve"> </w:t>
            </w:r>
            <w:r>
              <w:rPr>
                <w:sz w:val="18"/>
              </w:rPr>
              <w:t>No. 40 of 2024 on PKB on watercraft as a new source of local revenue</w:t>
            </w:r>
          </w:p>
          <w:p w14:paraId="52DE595A" w14:textId="77777777" w:rsidR="00BC24A8" w:rsidRDefault="00000000">
            <w:pPr>
              <w:pStyle w:val="TableParagraph"/>
              <w:numPr>
                <w:ilvl w:val="0"/>
                <w:numId w:val="110"/>
              </w:numPr>
              <w:tabs>
                <w:tab w:val="left" w:pos="624"/>
              </w:tabs>
              <w:spacing w:before="1"/>
              <w:ind w:right="105"/>
              <w:rPr>
                <w:sz w:val="18"/>
              </w:rPr>
            </w:pPr>
            <w:r>
              <w:rPr>
                <w:sz w:val="18"/>
              </w:rPr>
              <w:t>Screening</w:t>
            </w:r>
            <w:r>
              <w:rPr>
                <w:spacing w:val="19"/>
                <w:sz w:val="18"/>
              </w:rPr>
              <w:t xml:space="preserve"> </w:t>
            </w:r>
            <w:r>
              <w:rPr>
                <w:sz w:val="18"/>
              </w:rPr>
              <w:t>community</w:t>
            </w:r>
            <w:r>
              <w:rPr>
                <w:spacing w:val="19"/>
                <w:sz w:val="18"/>
              </w:rPr>
              <w:t xml:space="preserve"> </w:t>
            </w:r>
            <w:r>
              <w:rPr>
                <w:sz w:val="18"/>
              </w:rPr>
              <w:t>aspirations through</w:t>
            </w:r>
            <w:r>
              <w:rPr>
                <w:spacing w:val="19"/>
                <w:sz w:val="18"/>
              </w:rPr>
              <w:t xml:space="preserve"> </w:t>
            </w:r>
            <w:r>
              <w:rPr>
                <w:sz w:val="18"/>
              </w:rPr>
              <w:t>the</w:t>
            </w:r>
            <w:r>
              <w:rPr>
                <w:spacing w:val="19"/>
                <w:sz w:val="18"/>
              </w:rPr>
              <w:t xml:space="preserve"> </w:t>
            </w:r>
            <w:r>
              <w:rPr>
                <w:sz w:val="18"/>
              </w:rPr>
              <w:t>MENTARI</w:t>
            </w:r>
            <w:r>
              <w:rPr>
                <w:spacing w:val="18"/>
                <w:sz w:val="18"/>
              </w:rPr>
              <w:t xml:space="preserve"> </w:t>
            </w:r>
            <w:r>
              <w:rPr>
                <w:sz w:val="18"/>
              </w:rPr>
              <w:t>KALTARA</w:t>
            </w:r>
            <w:r>
              <w:rPr>
                <w:spacing w:val="21"/>
                <w:sz w:val="18"/>
              </w:rPr>
              <w:t xml:space="preserve"> </w:t>
            </w:r>
            <w:r>
              <w:rPr>
                <w:sz w:val="18"/>
              </w:rPr>
              <w:t>Inclusive</w:t>
            </w:r>
            <w:r>
              <w:rPr>
                <w:spacing w:val="19"/>
                <w:sz w:val="18"/>
              </w:rPr>
              <w:t xml:space="preserve"> </w:t>
            </w:r>
            <w:r>
              <w:rPr>
                <w:sz w:val="18"/>
              </w:rPr>
              <w:t>Aspiration</w:t>
            </w:r>
            <w:r>
              <w:rPr>
                <w:spacing w:val="19"/>
                <w:sz w:val="18"/>
              </w:rPr>
              <w:t xml:space="preserve"> </w:t>
            </w:r>
            <w:r>
              <w:rPr>
                <w:sz w:val="18"/>
              </w:rPr>
              <w:t>Screening Forum, integrated into the provincial government’s planning cycle.</w:t>
            </w:r>
          </w:p>
          <w:p w14:paraId="3716AF48" w14:textId="77777777" w:rsidR="00BC24A8" w:rsidRDefault="00000000">
            <w:pPr>
              <w:pStyle w:val="TableParagraph"/>
              <w:numPr>
                <w:ilvl w:val="0"/>
                <w:numId w:val="110"/>
              </w:numPr>
              <w:tabs>
                <w:tab w:val="left" w:pos="624"/>
              </w:tabs>
              <w:ind w:right="105"/>
              <w:rPr>
                <w:sz w:val="18"/>
              </w:rPr>
            </w:pPr>
            <w:r>
              <w:rPr>
                <w:sz w:val="18"/>
              </w:rPr>
              <w:t>As of June 2025, 2 persons with disabilities have received benefits or waivers ranging from IDR</w:t>
            </w:r>
            <w:r>
              <w:rPr>
                <w:spacing w:val="80"/>
                <w:w w:val="150"/>
                <w:sz w:val="18"/>
              </w:rPr>
              <w:t xml:space="preserve"> </w:t>
            </w:r>
            <w:r>
              <w:rPr>
                <w:sz w:val="18"/>
              </w:rPr>
              <w:t>285,000 to 618,500: 43–53% of the total tax bill (waivers for PKB, arrears fine, BBNKB).</w:t>
            </w:r>
          </w:p>
        </w:tc>
      </w:tr>
    </w:tbl>
    <w:p w14:paraId="053D0EFA" w14:textId="77777777" w:rsidR="00BC24A8" w:rsidRDefault="00BC24A8">
      <w:pPr>
        <w:pStyle w:val="BodyText"/>
        <w:spacing w:before="206"/>
        <w:rPr>
          <w:rFonts w:ascii="Calibri"/>
          <w:b/>
        </w:rPr>
      </w:pPr>
    </w:p>
    <w:p w14:paraId="1274477E" w14:textId="77777777" w:rsidR="00BC24A8" w:rsidRDefault="00000000">
      <w:pPr>
        <w:pStyle w:val="BodyText"/>
        <w:ind w:left="143"/>
        <w:rPr>
          <w:rFonts w:ascii="Calibri"/>
        </w:rPr>
      </w:pPr>
      <w:r>
        <w:rPr>
          <w:rFonts w:ascii="Calibri"/>
          <w:noProof/>
        </w:rPr>
        <mc:AlternateContent>
          <mc:Choice Requires="wpg">
            <w:drawing>
              <wp:anchor distT="0" distB="0" distL="0" distR="0" simplePos="0" relativeHeight="487612416" behindDoc="1" locked="0" layoutInCell="1" allowOverlap="1" wp14:anchorId="5B52C8C4" wp14:editId="517F55B8">
                <wp:simplePos x="0" y="0"/>
                <wp:positionH relativeFrom="page">
                  <wp:posOffset>897642</wp:posOffset>
                </wp:positionH>
                <wp:positionV relativeFrom="paragraph">
                  <wp:posOffset>175739</wp:posOffset>
                </wp:positionV>
                <wp:extent cx="5779135" cy="2478405"/>
                <wp:effectExtent l="0" t="0" r="0" b="0"/>
                <wp:wrapTopAndBottom/>
                <wp:docPr id="107" name="Group 107" descr="S TO R Y 1 :&#10;One Data Governance Transformation in Kalimantan Utara: The Journey to Quality and Accountable Data&#10;In Kalimantan Utara, improving data governance is not only about rules and procedures. This is a story of how consistent collaboration and mentoring transformed local government data management—from merely collecting data to a system that is accurate, high-quality, and trustworthy.&#10;&#10;&#10;&#10;In the past, they only collected data without veriflcation.Now, aer mentoring through veriflcation, the results have improved our data quality and we can be more accountable and transparent about the sources.&#10;Head of Planning Division, Kalimantan Utara Provincial Education Offic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2478405"/>
                          <a:chOff x="0" y="0"/>
                          <a:chExt cx="5779135" cy="2478405"/>
                        </a:xfrm>
                      </wpg:grpSpPr>
                      <wps:wsp>
                        <wps:cNvPr id="108" name="Graphic 108"/>
                        <wps:cNvSpPr/>
                        <wps:spPr>
                          <a:xfrm>
                            <a:off x="6089" y="6095"/>
                            <a:ext cx="5765800" cy="2466340"/>
                          </a:xfrm>
                          <a:custGeom>
                            <a:avLst/>
                            <a:gdLst/>
                            <a:ahLst/>
                            <a:cxnLst/>
                            <a:rect l="l" t="t" r="r" b="b"/>
                            <a:pathLst>
                              <a:path w="5765800" h="2466340">
                                <a:moveTo>
                                  <a:pt x="5765292" y="0"/>
                                </a:moveTo>
                                <a:lnTo>
                                  <a:pt x="0" y="0"/>
                                </a:lnTo>
                                <a:lnTo>
                                  <a:pt x="0" y="2465831"/>
                                </a:lnTo>
                                <a:lnTo>
                                  <a:pt x="5765292" y="2465831"/>
                                </a:lnTo>
                                <a:lnTo>
                                  <a:pt x="5765292" y="0"/>
                                </a:lnTo>
                                <a:close/>
                              </a:path>
                            </a:pathLst>
                          </a:custGeom>
                          <a:solidFill>
                            <a:srgbClr val="E1F1EF"/>
                          </a:solidFill>
                        </wps:spPr>
                        <wps:bodyPr wrap="square" lIns="0" tIns="0" rIns="0" bIns="0" rtlCol="0">
                          <a:prstTxWarp prst="textNoShape">
                            <a:avLst/>
                          </a:prstTxWarp>
                          <a:noAutofit/>
                        </wps:bodyPr>
                      </wps:wsp>
                      <wps:wsp>
                        <wps:cNvPr id="109" name="Graphic 109"/>
                        <wps:cNvSpPr/>
                        <wps:spPr>
                          <a:xfrm>
                            <a:off x="182492" y="1440459"/>
                            <a:ext cx="5410200" cy="736600"/>
                          </a:xfrm>
                          <a:custGeom>
                            <a:avLst/>
                            <a:gdLst/>
                            <a:ahLst/>
                            <a:cxnLst/>
                            <a:rect l="l" t="t" r="r" b="b"/>
                            <a:pathLst>
                              <a:path w="5410200" h="736600">
                                <a:moveTo>
                                  <a:pt x="0" y="0"/>
                                </a:moveTo>
                                <a:lnTo>
                                  <a:pt x="5410200" y="0"/>
                                </a:lnTo>
                                <a:lnTo>
                                  <a:pt x="5410200" y="735977"/>
                                </a:lnTo>
                                <a:lnTo>
                                  <a:pt x="0" y="735977"/>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2" cstate="print"/>
                          <a:stretch>
                            <a:fillRect/>
                          </a:stretch>
                        </pic:blipFill>
                        <pic:spPr>
                          <a:xfrm>
                            <a:off x="243471" y="1285926"/>
                            <a:ext cx="223210" cy="205221"/>
                          </a:xfrm>
                          <a:prstGeom prst="rect">
                            <a:avLst/>
                          </a:prstGeom>
                        </pic:spPr>
                      </pic:pic>
                      <pic:pic xmlns:pic="http://schemas.openxmlformats.org/drawingml/2006/picture">
                        <pic:nvPicPr>
                          <pic:cNvPr id="111" name="Image 111"/>
                          <pic:cNvPicPr/>
                        </pic:nvPicPr>
                        <pic:blipFill>
                          <a:blip r:embed="rId20" cstate="print"/>
                          <a:stretch>
                            <a:fillRect/>
                          </a:stretch>
                        </pic:blipFill>
                        <pic:spPr>
                          <a:xfrm>
                            <a:off x="5299790" y="2124330"/>
                            <a:ext cx="223210" cy="205221"/>
                          </a:xfrm>
                          <a:prstGeom prst="rect">
                            <a:avLst/>
                          </a:prstGeom>
                        </pic:spPr>
                      </pic:pic>
                      <wps:wsp>
                        <wps:cNvPr id="112" name="Textbox 112"/>
                        <wps:cNvSpPr txBox="1"/>
                        <wps:spPr>
                          <a:xfrm>
                            <a:off x="3047" y="3047"/>
                            <a:ext cx="5773420" cy="2472055"/>
                          </a:xfrm>
                          <a:prstGeom prst="rect">
                            <a:avLst/>
                          </a:prstGeom>
                          <a:ln w="6096">
                            <a:solidFill>
                              <a:srgbClr val="BEBEBE"/>
                            </a:solidFill>
                            <a:prstDash val="solid"/>
                          </a:ln>
                        </wps:spPr>
                        <wps:txbx>
                          <w:txbxContent>
                            <w:p w14:paraId="75E666F0" w14:textId="77777777" w:rsidR="00BC24A8" w:rsidRDefault="00000000">
                              <w:pPr>
                                <w:spacing w:before="121"/>
                                <w:ind w:left="2" w:right="34"/>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1</w:t>
                              </w:r>
                              <w:r>
                                <w:rPr>
                                  <w:spacing w:val="-15"/>
                                  <w:sz w:val="20"/>
                                </w:rPr>
                                <w:t xml:space="preserve"> </w:t>
                              </w:r>
                              <w:r>
                                <w:rPr>
                                  <w:spacing w:val="-10"/>
                                  <w:sz w:val="20"/>
                                </w:rPr>
                                <w:t>:</w:t>
                              </w:r>
                            </w:p>
                            <w:p w14:paraId="23080A1D" w14:textId="77777777" w:rsidR="00BC24A8" w:rsidRDefault="00000000">
                              <w:pPr>
                                <w:spacing w:before="1"/>
                                <w:ind w:left="606" w:right="604"/>
                                <w:jc w:val="center"/>
                                <w:rPr>
                                  <w:sz w:val="20"/>
                                </w:rPr>
                              </w:pPr>
                              <w:r>
                                <w:rPr>
                                  <w:color w:val="17365A"/>
                                  <w:sz w:val="20"/>
                                </w:rPr>
                                <w:t>One</w:t>
                              </w:r>
                              <w:r>
                                <w:rPr>
                                  <w:color w:val="17365A"/>
                                  <w:spacing w:val="-6"/>
                                  <w:sz w:val="20"/>
                                </w:rPr>
                                <w:t xml:space="preserve"> </w:t>
                              </w:r>
                              <w:r>
                                <w:rPr>
                                  <w:color w:val="17365A"/>
                                  <w:sz w:val="20"/>
                                </w:rPr>
                                <w:t>Data</w:t>
                              </w:r>
                              <w:r>
                                <w:rPr>
                                  <w:color w:val="17365A"/>
                                  <w:spacing w:val="-8"/>
                                  <w:sz w:val="20"/>
                                </w:rPr>
                                <w:t xml:space="preserve"> </w:t>
                              </w:r>
                              <w:r>
                                <w:rPr>
                                  <w:color w:val="17365A"/>
                                  <w:sz w:val="20"/>
                                </w:rPr>
                                <w:t>Governance</w:t>
                              </w:r>
                              <w:r>
                                <w:rPr>
                                  <w:color w:val="17365A"/>
                                  <w:spacing w:val="-6"/>
                                  <w:sz w:val="20"/>
                                </w:rPr>
                                <w:t xml:space="preserve"> </w:t>
                              </w:r>
                              <w:r>
                                <w:rPr>
                                  <w:color w:val="17365A"/>
                                  <w:sz w:val="20"/>
                                </w:rPr>
                                <w:t>Transformation</w:t>
                              </w:r>
                              <w:r>
                                <w:rPr>
                                  <w:color w:val="17365A"/>
                                  <w:spacing w:val="-6"/>
                                  <w:sz w:val="20"/>
                                </w:rPr>
                                <w:t xml:space="preserve"> </w:t>
                              </w:r>
                              <w:r>
                                <w:rPr>
                                  <w:color w:val="17365A"/>
                                  <w:sz w:val="20"/>
                                </w:rPr>
                                <w:t>in</w:t>
                              </w:r>
                              <w:r>
                                <w:rPr>
                                  <w:color w:val="17365A"/>
                                  <w:spacing w:val="30"/>
                                  <w:sz w:val="20"/>
                                </w:rPr>
                                <w:t xml:space="preserve"> </w:t>
                              </w:r>
                              <w:r>
                                <w:rPr>
                                  <w:color w:val="17365A"/>
                                  <w:sz w:val="20"/>
                                </w:rPr>
                                <w:t>Kalimantan</w:t>
                              </w:r>
                              <w:r>
                                <w:rPr>
                                  <w:color w:val="17365A"/>
                                  <w:spacing w:val="-8"/>
                                  <w:sz w:val="20"/>
                                </w:rPr>
                                <w:t xml:space="preserve"> </w:t>
                              </w:r>
                              <w:r>
                                <w:rPr>
                                  <w:color w:val="17365A"/>
                                  <w:sz w:val="20"/>
                                </w:rPr>
                                <w:t>Utara:</w:t>
                              </w:r>
                              <w:r>
                                <w:rPr>
                                  <w:color w:val="17365A"/>
                                  <w:spacing w:val="-10"/>
                                  <w:sz w:val="20"/>
                                </w:rPr>
                                <w:t xml:space="preserve"> </w:t>
                              </w:r>
                              <w:r>
                                <w:rPr>
                                  <w:color w:val="17365A"/>
                                  <w:sz w:val="20"/>
                                </w:rPr>
                                <w:t>The</w:t>
                              </w:r>
                              <w:r>
                                <w:rPr>
                                  <w:color w:val="17365A"/>
                                  <w:spacing w:val="-8"/>
                                  <w:sz w:val="20"/>
                                </w:rPr>
                                <w:t xml:space="preserve"> </w:t>
                              </w:r>
                              <w:r>
                                <w:rPr>
                                  <w:color w:val="17365A"/>
                                  <w:sz w:val="20"/>
                                </w:rPr>
                                <w:t>Journey</w:t>
                              </w:r>
                              <w:r>
                                <w:rPr>
                                  <w:color w:val="17365A"/>
                                  <w:spacing w:val="-7"/>
                                  <w:sz w:val="20"/>
                                </w:rPr>
                                <w:t xml:space="preserve"> </w:t>
                              </w:r>
                              <w:r>
                                <w:rPr>
                                  <w:color w:val="17365A"/>
                                  <w:sz w:val="20"/>
                                </w:rPr>
                                <w:t>to</w:t>
                              </w:r>
                              <w:r>
                                <w:rPr>
                                  <w:color w:val="17365A"/>
                                  <w:spacing w:val="-6"/>
                                  <w:sz w:val="20"/>
                                </w:rPr>
                                <w:t xml:space="preserve"> </w:t>
                              </w:r>
                              <w:r>
                                <w:rPr>
                                  <w:color w:val="17365A"/>
                                  <w:sz w:val="20"/>
                                </w:rPr>
                                <w:t>Quality</w:t>
                              </w:r>
                              <w:r>
                                <w:rPr>
                                  <w:color w:val="17365A"/>
                                  <w:spacing w:val="-7"/>
                                  <w:sz w:val="20"/>
                                </w:rPr>
                                <w:t xml:space="preserve"> </w:t>
                              </w:r>
                              <w:r>
                                <w:rPr>
                                  <w:color w:val="17365A"/>
                                  <w:sz w:val="20"/>
                                </w:rPr>
                                <w:t>and Accountable Data</w:t>
                              </w:r>
                            </w:p>
                            <w:p w14:paraId="0678B702" w14:textId="77777777" w:rsidR="00BC24A8" w:rsidRDefault="00000000">
                              <w:pPr>
                                <w:spacing w:before="219"/>
                                <w:ind w:left="247" w:right="246"/>
                                <w:jc w:val="both"/>
                                <w:rPr>
                                  <w:sz w:val="18"/>
                                </w:rPr>
                              </w:pPr>
                              <w:r>
                                <w:rPr>
                                  <w:sz w:val="18"/>
                                </w:rPr>
                                <w:t>In</w:t>
                              </w:r>
                              <w:r>
                                <w:rPr>
                                  <w:spacing w:val="19"/>
                                  <w:sz w:val="18"/>
                                </w:rPr>
                                <w:t xml:space="preserve"> </w:t>
                              </w:r>
                              <w:r>
                                <w:rPr>
                                  <w:sz w:val="18"/>
                                </w:rPr>
                                <w:t>Kalimantan</w:t>
                              </w:r>
                              <w:r>
                                <w:rPr>
                                  <w:spacing w:val="-10"/>
                                  <w:sz w:val="18"/>
                                </w:rPr>
                                <w:t xml:space="preserve"> </w:t>
                              </w:r>
                              <w:r>
                                <w:rPr>
                                  <w:sz w:val="18"/>
                                </w:rPr>
                                <w:t>Utara,</w:t>
                              </w:r>
                              <w:r>
                                <w:rPr>
                                  <w:spacing w:val="-10"/>
                                  <w:sz w:val="18"/>
                                </w:rPr>
                                <w:t xml:space="preserve"> </w:t>
                              </w:r>
                              <w:r>
                                <w:rPr>
                                  <w:sz w:val="18"/>
                                </w:rPr>
                                <w:t>improving</w:t>
                              </w:r>
                              <w:r>
                                <w:rPr>
                                  <w:spacing w:val="-10"/>
                                  <w:sz w:val="18"/>
                                </w:rPr>
                                <w:t xml:space="preserve"> </w:t>
                              </w:r>
                              <w:r>
                                <w:rPr>
                                  <w:sz w:val="18"/>
                                </w:rPr>
                                <w:t>data</w:t>
                              </w:r>
                              <w:r>
                                <w:rPr>
                                  <w:spacing w:val="-10"/>
                                  <w:sz w:val="18"/>
                                </w:rPr>
                                <w:t xml:space="preserve"> </w:t>
                              </w:r>
                              <w:r>
                                <w:rPr>
                                  <w:sz w:val="18"/>
                                </w:rPr>
                                <w:t>governance</w:t>
                              </w:r>
                              <w:r>
                                <w:rPr>
                                  <w:spacing w:val="-11"/>
                                  <w:sz w:val="18"/>
                                </w:rPr>
                                <w:t xml:space="preserve"> </w:t>
                              </w:r>
                              <w:r>
                                <w:rPr>
                                  <w:sz w:val="18"/>
                                </w:rPr>
                                <w:t>is</w:t>
                              </w:r>
                              <w:r>
                                <w:rPr>
                                  <w:spacing w:val="-8"/>
                                  <w:sz w:val="18"/>
                                </w:rPr>
                                <w:t xml:space="preserve"> </w:t>
                              </w:r>
                              <w:r>
                                <w:rPr>
                                  <w:sz w:val="18"/>
                                </w:rPr>
                                <w:t>not</w:t>
                              </w:r>
                              <w:r>
                                <w:rPr>
                                  <w:spacing w:val="-11"/>
                                  <w:sz w:val="18"/>
                                </w:rPr>
                                <w:t xml:space="preserve"> </w:t>
                              </w:r>
                              <w:r>
                                <w:rPr>
                                  <w:sz w:val="18"/>
                                </w:rPr>
                                <w:t>only</w:t>
                              </w:r>
                              <w:r>
                                <w:rPr>
                                  <w:spacing w:val="-8"/>
                                  <w:sz w:val="18"/>
                                </w:rPr>
                                <w:t xml:space="preserve"> </w:t>
                              </w:r>
                              <w:r>
                                <w:rPr>
                                  <w:sz w:val="18"/>
                                </w:rPr>
                                <w:t>about</w:t>
                              </w:r>
                              <w:r>
                                <w:rPr>
                                  <w:spacing w:val="-11"/>
                                  <w:sz w:val="18"/>
                                </w:rPr>
                                <w:t xml:space="preserve"> </w:t>
                              </w:r>
                              <w:r>
                                <w:rPr>
                                  <w:sz w:val="18"/>
                                </w:rPr>
                                <w:t>rules</w:t>
                              </w:r>
                              <w:r>
                                <w:rPr>
                                  <w:spacing w:val="-8"/>
                                  <w:sz w:val="18"/>
                                </w:rPr>
                                <w:t xml:space="preserve"> </w:t>
                              </w:r>
                              <w:r>
                                <w:rPr>
                                  <w:sz w:val="18"/>
                                </w:rPr>
                                <w:t>and</w:t>
                              </w:r>
                              <w:r>
                                <w:rPr>
                                  <w:spacing w:val="-9"/>
                                  <w:sz w:val="18"/>
                                </w:rPr>
                                <w:t xml:space="preserve"> </w:t>
                              </w:r>
                              <w:r>
                                <w:rPr>
                                  <w:sz w:val="18"/>
                                </w:rPr>
                                <w:t>procedures.</w:t>
                              </w:r>
                              <w:r>
                                <w:rPr>
                                  <w:spacing w:val="-10"/>
                                  <w:sz w:val="18"/>
                                </w:rPr>
                                <w:t xml:space="preserve"> </w:t>
                              </w:r>
                              <w:r>
                                <w:rPr>
                                  <w:sz w:val="18"/>
                                </w:rPr>
                                <w:t>This</w:t>
                              </w:r>
                              <w:r>
                                <w:rPr>
                                  <w:spacing w:val="-11"/>
                                  <w:sz w:val="18"/>
                                </w:rPr>
                                <w:t xml:space="preserve"> </w:t>
                              </w:r>
                              <w:r>
                                <w:rPr>
                                  <w:sz w:val="18"/>
                                </w:rPr>
                                <w:t>is</w:t>
                              </w:r>
                              <w:r>
                                <w:rPr>
                                  <w:spacing w:val="-8"/>
                                  <w:sz w:val="18"/>
                                </w:rPr>
                                <w:t xml:space="preserve"> </w:t>
                              </w:r>
                              <w:r>
                                <w:rPr>
                                  <w:sz w:val="18"/>
                                </w:rPr>
                                <w:t>a</w:t>
                              </w:r>
                              <w:r>
                                <w:rPr>
                                  <w:spacing w:val="-10"/>
                                  <w:sz w:val="18"/>
                                </w:rPr>
                                <w:t xml:space="preserve"> </w:t>
                              </w:r>
                              <w:r>
                                <w:rPr>
                                  <w:sz w:val="18"/>
                                </w:rPr>
                                <w:t>story</w:t>
                              </w:r>
                              <w:r>
                                <w:rPr>
                                  <w:spacing w:val="-9"/>
                                  <w:sz w:val="18"/>
                                </w:rPr>
                                <w:t xml:space="preserve"> </w:t>
                              </w:r>
                              <w:r>
                                <w:rPr>
                                  <w:sz w:val="18"/>
                                </w:rPr>
                                <w:t>of</w:t>
                              </w:r>
                              <w:r>
                                <w:rPr>
                                  <w:spacing w:val="-10"/>
                                  <w:sz w:val="18"/>
                                </w:rPr>
                                <w:t xml:space="preserve"> </w:t>
                              </w:r>
                              <w:r>
                                <w:rPr>
                                  <w:sz w:val="18"/>
                                </w:rPr>
                                <w:t>how</w:t>
                              </w:r>
                              <w:r>
                                <w:rPr>
                                  <w:spacing w:val="-10"/>
                                  <w:sz w:val="18"/>
                                </w:rPr>
                                <w:t xml:space="preserve"> </w:t>
                              </w:r>
                              <w:r>
                                <w:rPr>
                                  <w:sz w:val="18"/>
                                </w:rPr>
                                <w:t>consistent collaboration</w:t>
                              </w:r>
                              <w:r>
                                <w:rPr>
                                  <w:spacing w:val="-11"/>
                                  <w:sz w:val="18"/>
                                </w:rPr>
                                <w:t xml:space="preserve"> </w:t>
                              </w:r>
                              <w:r>
                                <w:rPr>
                                  <w:sz w:val="18"/>
                                </w:rPr>
                                <w:t>and</w:t>
                              </w:r>
                              <w:r>
                                <w:rPr>
                                  <w:spacing w:val="-10"/>
                                  <w:sz w:val="18"/>
                                </w:rPr>
                                <w:t xml:space="preserve"> </w:t>
                              </w:r>
                              <w:r>
                                <w:rPr>
                                  <w:sz w:val="18"/>
                                </w:rPr>
                                <w:t>mentoring</w:t>
                              </w:r>
                              <w:r>
                                <w:rPr>
                                  <w:spacing w:val="-10"/>
                                  <w:sz w:val="18"/>
                                </w:rPr>
                                <w:t xml:space="preserve"> </w:t>
                              </w:r>
                              <w:r>
                                <w:rPr>
                                  <w:sz w:val="18"/>
                                </w:rPr>
                                <w:t>transformed</w:t>
                              </w:r>
                              <w:r>
                                <w:rPr>
                                  <w:spacing w:val="-10"/>
                                  <w:sz w:val="18"/>
                                </w:rPr>
                                <w:t xml:space="preserve"> </w:t>
                              </w:r>
                              <w:r>
                                <w:rPr>
                                  <w:sz w:val="18"/>
                                </w:rPr>
                                <w:t>local</w:t>
                              </w:r>
                              <w:r>
                                <w:rPr>
                                  <w:spacing w:val="-10"/>
                                  <w:sz w:val="18"/>
                                </w:rPr>
                                <w:t xml:space="preserve"> </w:t>
                              </w:r>
                              <w:r>
                                <w:rPr>
                                  <w:sz w:val="18"/>
                                </w:rPr>
                                <w:t>government</w:t>
                              </w:r>
                              <w:r>
                                <w:rPr>
                                  <w:spacing w:val="-11"/>
                                  <w:sz w:val="18"/>
                                </w:rPr>
                                <w:t xml:space="preserve"> </w:t>
                              </w:r>
                              <w:r>
                                <w:rPr>
                                  <w:sz w:val="18"/>
                                </w:rPr>
                                <w:t>data</w:t>
                              </w:r>
                              <w:r>
                                <w:rPr>
                                  <w:spacing w:val="-10"/>
                                  <w:sz w:val="18"/>
                                </w:rPr>
                                <w:t xml:space="preserve"> </w:t>
                              </w:r>
                              <w:r>
                                <w:rPr>
                                  <w:sz w:val="18"/>
                                </w:rPr>
                                <w:t>management—from</w:t>
                              </w:r>
                              <w:r>
                                <w:rPr>
                                  <w:spacing w:val="-10"/>
                                  <w:sz w:val="18"/>
                                </w:rPr>
                                <w:t xml:space="preserve"> </w:t>
                              </w:r>
                              <w:r>
                                <w:rPr>
                                  <w:sz w:val="18"/>
                                </w:rPr>
                                <w:t>merely</w:t>
                              </w:r>
                              <w:r>
                                <w:rPr>
                                  <w:spacing w:val="-10"/>
                                  <w:sz w:val="18"/>
                                </w:rPr>
                                <w:t xml:space="preserve"> </w:t>
                              </w:r>
                              <w:r>
                                <w:rPr>
                                  <w:sz w:val="18"/>
                                </w:rPr>
                                <w:t>collecting</w:t>
                              </w:r>
                              <w:r>
                                <w:rPr>
                                  <w:spacing w:val="-10"/>
                                  <w:sz w:val="18"/>
                                </w:rPr>
                                <w:t xml:space="preserve"> </w:t>
                              </w:r>
                              <w:r>
                                <w:rPr>
                                  <w:sz w:val="18"/>
                                </w:rPr>
                                <w:t>data</w:t>
                              </w:r>
                              <w:r>
                                <w:rPr>
                                  <w:spacing w:val="-10"/>
                                  <w:sz w:val="18"/>
                                </w:rPr>
                                <w:t xml:space="preserve"> </w:t>
                              </w:r>
                              <w:r>
                                <w:rPr>
                                  <w:sz w:val="18"/>
                                </w:rPr>
                                <w:t>to</w:t>
                              </w:r>
                              <w:r>
                                <w:rPr>
                                  <w:spacing w:val="-11"/>
                                  <w:sz w:val="18"/>
                                </w:rPr>
                                <w:t xml:space="preserve"> </w:t>
                              </w:r>
                              <w:r>
                                <w:rPr>
                                  <w:sz w:val="18"/>
                                </w:rPr>
                                <w:t>a</w:t>
                              </w:r>
                              <w:r>
                                <w:rPr>
                                  <w:spacing w:val="-10"/>
                                  <w:sz w:val="18"/>
                                </w:rPr>
                                <w:t xml:space="preserve"> </w:t>
                              </w:r>
                              <w:r>
                                <w:rPr>
                                  <w:sz w:val="18"/>
                                </w:rPr>
                                <w:t>system that is accurate, high-quality, and trustworthy.</w:t>
                              </w:r>
                            </w:p>
                            <w:p w14:paraId="60116B3E" w14:textId="77777777" w:rsidR="00BC24A8" w:rsidRDefault="00BC24A8">
                              <w:pPr>
                                <w:rPr>
                                  <w:sz w:val="18"/>
                                </w:rPr>
                              </w:pPr>
                            </w:p>
                            <w:p w14:paraId="174C071D" w14:textId="77777777" w:rsidR="00BC24A8" w:rsidRDefault="00BC24A8">
                              <w:pPr>
                                <w:rPr>
                                  <w:sz w:val="18"/>
                                </w:rPr>
                              </w:pPr>
                            </w:p>
                            <w:p w14:paraId="5AB991FD" w14:textId="77777777" w:rsidR="00BC24A8" w:rsidRDefault="00BC24A8">
                              <w:pPr>
                                <w:spacing w:before="87"/>
                                <w:rPr>
                                  <w:sz w:val="18"/>
                                </w:rPr>
                              </w:pPr>
                            </w:p>
                            <w:p w14:paraId="1C22886E" w14:textId="77777777" w:rsidR="00BC24A8" w:rsidRDefault="00000000">
                              <w:pPr>
                                <w:spacing w:line="290" w:lineRule="auto"/>
                                <w:ind w:left="575" w:right="300"/>
                                <w:rPr>
                                  <w:rFonts w:ascii="Times New Roman" w:hAnsi="Times New Roman"/>
                                  <w:b/>
                                  <w:i/>
                                  <w:sz w:val="18"/>
                                </w:rPr>
                              </w:pPr>
                              <w:r>
                                <w:rPr>
                                  <w:rFonts w:ascii="Times New Roman" w:hAnsi="Times New Roman"/>
                                  <w:b/>
                                  <w:i/>
                                  <w:color w:val="17365A"/>
                                  <w:spacing w:val="-2"/>
                                  <w:sz w:val="18"/>
                                </w:rPr>
                                <w:t>In</w:t>
                              </w:r>
                              <w:r>
                                <w:rPr>
                                  <w:rFonts w:ascii="Times New Roman" w:hAnsi="Times New Roman"/>
                                  <w:b/>
                                  <w:i/>
                                  <w:color w:val="17365A"/>
                                  <w:spacing w:val="-12"/>
                                  <w:sz w:val="18"/>
                                </w:rPr>
                                <w:t xml:space="preserve"> </w:t>
                              </w:r>
                              <w:r>
                                <w:rPr>
                                  <w:rFonts w:ascii="Times New Roman" w:hAnsi="Times New Roman"/>
                                  <w:b/>
                                  <w:i/>
                                  <w:color w:val="17365A"/>
                                  <w:spacing w:val="-2"/>
                                  <w:sz w:val="18"/>
                                </w:rPr>
                                <w:t>the</w:t>
                              </w:r>
                              <w:r>
                                <w:rPr>
                                  <w:rFonts w:ascii="Times New Roman" w:hAnsi="Times New Roman"/>
                                  <w:b/>
                                  <w:i/>
                                  <w:color w:val="17365A"/>
                                  <w:spacing w:val="-10"/>
                                  <w:sz w:val="18"/>
                                </w:rPr>
                                <w:t xml:space="preserve"> </w:t>
                              </w:r>
                              <w:r>
                                <w:rPr>
                                  <w:rFonts w:ascii="Times New Roman" w:hAnsi="Times New Roman"/>
                                  <w:b/>
                                  <w:i/>
                                  <w:color w:val="17365A"/>
                                  <w:spacing w:val="-2"/>
                                  <w:sz w:val="18"/>
                                </w:rPr>
                                <w:t>past,</w:t>
                              </w:r>
                              <w:r>
                                <w:rPr>
                                  <w:rFonts w:ascii="Times New Roman" w:hAnsi="Times New Roman"/>
                                  <w:b/>
                                  <w:i/>
                                  <w:color w:val="17365A"/>
                                  <w:spacing w:val="-11"/>
                                  <w:sz w:val="18"/>
                                </w:rPr>
                                <w:t xml:space="preserve"> </w:t>
                              </w:r>
                              <w:r>
                                <w:rPr>
                                  <w:rFonts w:ascii="Times New Roman" w:hAnsi="Times New Roman"/>
                                  <w:b/>
                                  <w:i/>
                                  <w:color w:val="17365A"/>
                                  <w:spacing w:val="-2"/>
                                  <w:sz w:val="18"/>
                                </w:rPr>
                                <w:t>they</w:t>
                              </w:r>
                              <w:r>
                                <w:rPr>
                                  <w:rFonts w:ascii="Times New Roman" w:hAnsi="Times New Roman"/>
                                  <w:b/>
                                  <w:i/>
                                  <w:color w:val="17365A"/>
                                  <w:spacing w:val="-9"/>
                                  <w:sz w:val="18"/>
                                </w:rPr>
                                <w:t xml:space="preserve"> </w:t>
                              </w:r>
                              <w:r>
                                <w:rPr>
                                  <w:rFonts w:ascii="Times New Roman" w:hAnsi="Times New Roman"/>
                                  <w:b/>
                                  <w:i/>
                                  <w:color w:val="17365A"/>
                                  <w:spacing w:val="-2"/>
                                  <w:sz w:val="18"/>
                                </w:rPr>
                                <w:t>only</w:t>
                              </w:r>
                              <w:r>
                                <w:rPr>
                                  <w:rFonts w:ascii="Times New Roman" w:hAnsi="Times New Roman"/>
                                  <w:b/>
                                  <w:i/>
                                  <w:color w:val="17365A"/>
                                  <w:spacing w:val="-9"/>
                                  <w:sz w:val="18"/>
                                </w:rPr>
                                <w:t xml:space="preserve"> </w:t>
                              </w:r>
                              <w:r>
                                <w:rPr>
                                  <w:rFonts w:ascii="Times New Roman" w:hAnsi="Times New Roman"/>
                                  <w:b/>
                                  <w:i/>
                                  <w:color w:val="17365A"/>
                                  <w:spacing w:val="-2"/>
                                  <w:sz w:val="18"/>
                                </w:rPr>
                                <w:t>collected</w:t>
                              </w:r>
                              <w:r>
                                <w:rPr>
                                  <w:rFonts w:ascii="Times New Roman" w:hAnsi="Times New Roman"/>
                                  <w:b/>
                                  <w:i/>
                                  <w:color w:val="17365A"/>
                                  <w:spacing w:val="-9"/>
                                  <w:sz w:val="18"/>
                                </w:rPr>
                                <w:t xml:space="preserve"> </w:t>
                              </w:r>
                              <w:r>
                                <w:rPr>
                                  <w:rFonts w:ascii="Times New Roman" w:hAnsi="Times New Roman"/>
                                  <w:b/>
                                  <w:i/>
                                  <w:color w:val="17365A"/>
                                  <w:spacing w:val="-2"/>
                                  <w:sz w:val="18"/>
                                </w:rPr>
                                <w:t>data</w:t>
                              </w:r>
                              <w:r>
                                <w:rPr>
                                  <w:rFonts w:ascii="Times New Roman" w:hAnsi="Times New Roman"/>
                                  <w:b/>
                                  <w:i/>
                                  <w:color w:val="17365A"/>
                                  <w:spacing w:val="-11"/>
                                  <w:sz w:val="18"/>
                                </w:rPr>
                                <w:t xml:space="preserve"> </w:t>
                              </w:r>
                              <w:r>
                                <w:rPr>
                                  <w:rFonts w:ascii="Times New Roman" w:hAnsi="Times New Roman"/>
                                  <w:b/>
                                  <w:i/>
                                  <w:color w:val="17365A"/>
                                  <w:spacing w:val="-2"/>
                                  <w:sz w:val="18"/>
                                </w:rPr>
                                <w:t>without</w:t>
                              </w:r>
                              <w:r>
                                <w:rPr>
                                  <w:rFonts w:ascii="Times New Roman" w:hAnsi="Times New Roman"/>
                                  <w:b/>
                                  <w:i/>
                                  <w:color w:val="17365A"/>
                                  <w:spacing w:val="-11"/>
                                  <w:sz w:val="18"/>
                                </w:rPr>
                                <w:t xml:space="preserve"> </w:t>
                              </w:r>
                              <w:r>
                                <w:rPr>
                                  <w:rFonts w:ascii="Times New Roman" w:hAnsi="Times New Roman"/>
                                  <w:b/>
                                  <w:i/>
                                  <w:color w:val="17365A"/>
                                  <w:spacing w:val="-2"/>
                                  <w:sz w:val="18"/>
                                </w:rPr>
                                <w:t>veriflcation.Now,</w:t>
                              </w:r>
                              <w:r>
                                <w:rPr>
                                  <w:rFonts w:ascii="Times New Roman" w:hAnsi="Times New Roman"/>
                                  <w:b/>
                                  <w:i/>
                                  <w:color w:val="17365A"/>
                                  <w:spacing w:val="-11"/>
                                  <w:sz w:val="18"/>
                                </w:rPr>
                                <w:t xml:space="preserve"> </w:t>
                              </w:r>
                              <w:r>
                                <w:rPr>
                                  <w:rFonts w:ascii="Times New Roman" w:hAnsi="Times New Roman"/>
                                  <w:b/>
                                  <w:i/>
                                  <w:color w:val="17365A"/>
                                  <w:spacing w:val="-2"/>
                                  <w:sz w:val="18"/>
                                </w:rPr>
                                <w:t>aer</w:t>
                              </w:r>
                              <w:r>
                                <w:rPr>
                                  <w:rFonts w:ascii="Times New Roman" w:hAnsi="Times New Roman"/>
                                  <w:b/>
                                  <w:i/>
                                  <w:color w:val="17365A"/>
                                  <w:spacing w:val="-9"/>
                                  <w:sz w:val="18"/>
                                </w:rPr>
                                <w:t xml:space="preserve"> </w:t>
                              </w:r>
                              <w:r>
                                <w:rPr>
                                  <w:rFonts w:ascii="Times New Roman" w:hAnsi="Times New Roman"/>
                                  <w:b/>
                                  <w:i/>
                                  <w:color w:val="17365A"/>
                                  <w:spacing w:val="-2"/>
                                  <w:sz w:val="18"/>
                                </w:rPr>
                                <w:t>mentoring</w:t>
                              </w:r>
                              <w:r>
                                <w:rPr>
                                  <w:rFonts w:ascii="Times New Roman" w:hAnsi="Times New Roman"/>
                                  <w:b/>
                                  <w:i/>
                                  <w:color w:val="17365A"/>
                                  <w:spacing w:val="-11"/>
                                  <w:sz w:val="18"/>
                                </w:rPr>
                                <w:t xml:space="preserve"> </w:t>
                              </w:r>
                              <w:r>
                                <w:rPr>
                                  <w:rFonts w:ascii="Times New Roman" w:hAnsi="Times New Roman"/>
                                  <w:b/>
                                  <w:i/>
                                  <w:color w:val="17365A"/>
                                  <w:spacing w:val="-2"/>
                                  <w:sz w:val="18"/>
                                </w:rPr>
                                <w:t>through</w:t>
                              </w:r>
                              <w:r>
                                <w:rPr>
                                  <w:rFonts w:ascii="Times New Roman" w:hAnsi="Times New Roman"/>
                                  <w:b/>
                                  <w:i/>
                                  <w:color w:val="17365A"/>
                                  <w:spacing w:val="-11"/>
                                  <w:sz w:val="18"/>
                                </w:rPr>
                                <w:t xml:space="preserve"> </w:t>
                              </w:r>
                              <w:r>
                                <w:rPr>
                                  <w:rFonts w:ascii="Times New Roman" w:hAnsi="Times New Roman"/>
                                  <w:b/>
                                  <w:i/>
                                  <w:color w:val="17365A"/>
                                  <w:spacing w:val="-2"/>
                                  <w:sz w:val="18"/>
                                </w:rPr>
                                <w:t>veriflcation,</w:t>
                              </w:r>
                              <w:r>
                                <w:rPr>
                                  <w:rFonts w:ascii="Times New Roman" w:hAnsi="Times New Roman"/>
                                  <w:b/>
                                  <w:i/>
                                  <w:color w:val="17365A"/>
                                  <w:spacing w:val="-11"/>
                                  <w:sz w:val="18"/>
                                </w:rPr>
                                <w:t xml:space="preserve"> </w:t>
                              </w:r>
                              <w:r>
                                <w:rPr>
                                  <w:rFonts w:ascii="Times New Roman" w:hAnsi="Times New Roman"/>
                                  <w:b/>
                                  <w:i/>
                                  <w:color w:val="17365A"/>
                                  <w:spacing w:val="-2"/>
                                  <w:sz w:val="18"/>
                                </w:rPr>
                                <w:t>the</w:t>
                              </w:r>
                              <w:r>
                                <w:rPr>
                                  <w:rFonts w:ascii="Times New Roman" w:hAnsi="Times New Roman"/>
                                  <w:b/>
                                  <w:i/>
                                  <w:color w:val="17365A"/>
                                  <w:spacing w:val="-12"/>
                                  <w:sz w:val="18"/>
                                </w:rPr>
                                <w:t xml:space="preserve"> </w:t>
                              </w:r>
                              <w:r>
                                <w:rPr>
                                  <w:rFonts w:ascii="Times New Roman" w:hAnsi="Times New Roman"/>
                                  <w:b/>
                                  <w:i/>
                                  <w:color w:val="17365A"/>
                                  <w:spacing w:val="-2"/>
                                  <w:sz w:val="18"/>
                                </w:rPr>
                                <w:t xml:space="preserve">results </w:t>
                              </w:r>
                              <w:r>
                                <w:rPr>
                                  <w:rFonts w:ascii="Times New Roman" w:hAnsi="Times New Roman"/>
                                  <w:b/>
                                  <w:i/>
                                  <w:color w:val="17365A"/>
                                  <w:sz w:val="18"/>
                                </w:rPr>
                                <w:t>have improved our data quality and we can be more accountable and transparent about the sources.</w:t>
                              </w:r>
                            </w:p>
                            <w:p w14:paraId="73D89E8D" w14:textId="77777777" w:rsidR="00BC24A8" w:rsidRDefault="00000000">
                              <w:pPr>
                                <w:spacing w:line="203" w:lineRule="exact"/>
                                <w:ind w:left="575"/>
                                <w:rPr>
                                  <w:i/>
                                  <w:sz w:val="18"/>
                                </w:rPr>
                              </w:pPr>
                              <w:r>
                                <w:rPr>
                                  <w:i/>
                                  <w:color w:val="17365A"/>
                                  <w:sz w:val="18"/>
                                </w:rPr>
                                <w:t>Head</w:t>
                              </w:r>
                              <w:r>
                                <w:rPr>
                                  <w:i/>
                                  <w:color w:val="17365A"/>
                                  <w:spacing w:val="-4"/>
                                  <w:sz w:val="18"/>
                                </w:rPr>
                                <w:t xml:space="preserve"> </w:t>
                              </w:r>
                              <w:r>
                                <w:rPr>
                                  <w:i/>
                                  <w:color w:val="17365A"/>
                                  <w:sz w:val="18"/>
                                </w:rPr>
                                <w:t>of</w:t>
                              </w:r>
                              <w:r>
                                <w:rPr>
                                  <w:i/>
                                  <w:color w:val="17365A"/>
                                  <w:spacing w:val="-5"/>
                                  <w:sz w:val="18"/>
                                </w:rPr>
                                <w:t xml:space="preserve"> </w:t>
                              </w:r>
                              <w:r>
                                <w:rPr>
                                  <w:i/>
                                  <w:color w:val="17365A"/>
                                  <w:sz w:val="18"/>
                                </w:rPr>
                                <w:t>Planning</w:t>
                              </w:r>
                              <w:r>
                                <w:rPr>
                                  <w:i/>
                                  <w:color w:val="17365A"/>
                                  <w:spacing w:val="-3"/>
                                  <w:sz w:val="18"/>
                                </w:rPr>
                                <w:t xml:space="preserve"> </w:t>
                              </w:r>
                              <w:r>
                                <w:rPr>
                                  <w:i/>
                                  <w:color w:val="17365A"/>
                                  <w:sz w:val="18"/>
                                </w:rPr>
                                <w:t>Division,</w:t>
                              </w:r>
                              <w:r>
                                <w:rPr>
                                  <w:i/>
                                  <w:color w:val="17365A"/>
                                  <w:spacing w:val="32"/>
                                  <w:sz w:val="18"/>
                                </w:rPr>
                                <w:t xml:space="preserve"> </w:t>
                              </w:r>
                              <w:r>
                                <w:rPr>
                                  <w:i/>
                                  <w:color w:val="17365A"/>
                                  <w:sz w:val="18"/>
                                </w:rPr>
                                <w:t>Kalimantan</w:t>
                              </w:r>
                              <w:r>
                                <w:rPr>
                                  <w:i/>
                                  <w:color w:val="17365A"/>
                                  <w:spacing w:val="-4"/>
                                  <w:sz w:val="18"/>
                                </w:rPr>
                                <w:t xml:space="preserve"> </w:t>
                              </w:r>
                              <w:r>
                                <w:rPr>
                                  <w:i/>
                                  <w:color w:val="17365A"/>
                                  <w:sz w:val="18"/>
                                </w:rPr>
                                <w:t>Utara</w:t>
                              </w:r>
                              <w:r>
                                <w:rPr>
                                  <w:i/>
                                  <w:color w:val="17365A"/>
                                  <w:spacing w:val="-3"/>
                                  <w:sz w:val="18"/>
                                </w:rPr>
                                <w:t xml:space="preserve"> </w:t>
                              </w:r>
                              <w:r>
                                <w:rPr>
                                  <w:i/>
                                  <w:color w:val="17365A"/>
                                  <w:sz w:val="18"/>
                                </w:rPr>
                                <w:t>Provincial</w:t>
                              </w:r>
                              <w:r>
                                <w:rPr>
                                  <w:i/>
                                  <w:color w:val="17365A"/>
                                  <w:spacing w:val="-3"/>
                                  <w:sz w:val="18"/>
                                </w:rPr>
                                <w:t xml:space="preserve"> </w:t>
                              </w:r>
                              <w:r>
                                <w:rPr>
                                  <w:i/>
                                  <w:color w:val="17365A"/>
                                  <w:sz w:val="18"/>
                                </w:rPr>
                                <w:t>Education</w:t>
                              </w:r>
                              <w:r>
                                <w:rPr>
                                  <w:i/>
                                  <w:color w:val="17365A"/>
                                  <w:spacing w:val="-3"/>
                                  <w:sz w:val="18"/>
                                </w:rPr>
                                <w:t xml:space="preserve"> </w:t>
                              </w:r>
                              <w:r>
                                <w:rPr>
                                  <w:i/>
                                  <w:color w:val="17365A"/>
                                  <w:spacing w:val="-2"/>
                                  <w:sz w:val="18"/>
                                </w:rPr>
                                <w:t>Office</w:t>
                              </w:r>
                            </w:p>
                          </w:txbxContent>
                        </wps:txbx>
                        <wps:bodyPr wrap="square" lIns="0" tIns="0" rIns="0" bIns="0" rtlCol="0">
                          <a:noAutofit/>
                        </wps:bodyPr>
                      </wps:wsp>
                    </wpg:wgp>
                  </a:graphicData>
                </a:graphic>
              </wp:anchor>
            </w:drawing>
          </mc:Choice>
          <mc:Fallback>
            <w:pict>
              <v:group w14:anchorId="5B52C8C4" id="Group 107" o:spid="_x0000_s1039" alt="S TO R Y 1 :&#10;One Data Governance Transformation in Kalimantan Utara: The Journey to Quality and Accountable Data&#10;In Kalimantan Utara, improving data governance is not only about rules and procedures. This is a story of how consistent collaboration and mentoring transformed local government data management—from merely collecting data to a system that is accurate, high-quality, and trustworthy.&#10;&#10;&#10;&#10;In the past, they only collected data without veriflcation.Now, aer mentoring through veriflcation, the results have improved our data quality and we can be more accountable and transparent about the sources.&#10;Head of Planning Division, Kalimantan Utara Provincial Education Office&#10;" style="position:absolute;left:0;text-align:left;margin-left:70.7pt;margin-top:13.85pt;width:455.05pt;height:195.15pt;z-index:-15704064;mso-wrap-distance-left:0;mso-wrap-distance-right:0;mso-position-horizontal-relative:page;mso-position-vertical-relative:text" coordsize="57791,24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">
                <v:shape id="Graphic 108" o:spid="_x0000_s1040" style="position:absolute;left:60;top:60;width:57658;height:24664;visibility:visible;mso-wrap-style:square;v-text-anchor:top" coordsize="5765800,24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" path="m5765292,l,,,2465831r5765292,l5765292,xe" fillcolor="#e1f1ef" stroked="f">
                  <v:path arrowok="t"/>
                </v:shape>
                <v:shape id="Graphic 109" o:spid="_x0000_s1041" style="position:absolute;left:1824;top:14404;width:54102;height:7366;visibility:visible;mso-wrap-style:square;v-text-anchor:top" coordsize="541020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" path="m,l5410200,r,735977l,735977,,xe" filled="f" strokecolor="#17365a" strokeweight="1pt">
                  <v:path arrowok="t"/>
                </v:shape>
                <v:shape id="Image 110" o:spid="_x0000_s1042" type="#_x0000_t75" style="position:absolute;left:2434;top:12859;width:2232;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">
                  <v:imagedata r:id="rId23" o:title=""/>
                </v:shape>
                <v:shape id="Image 111" o:spid="_x0000_s1043" type="#_x0000_t75" style="position:absolute;left:52997;top:21243;width:2233;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">
                  <v:imagedata r:id="rId21" o:title=""/>
                </v:shape>
                <v:shape id="Textbox 112" o:spid="_x0000_s1044" type="#_x0000_t202" style="position:absolute;left:30;top:30;width:57734;height:2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" filled="f" strokecolor="#bebebe" strokeweight=".48pt">
                  <v:textbox inset="0,0,0,0">
                    <w:txbxContent>
                      <w:p w14:paraId="75E666F0" w14:textId="77777777" w:rsidR="00BC24A8" w:rsidRDefault="00000000">
                        <w:pPr>
                          <w:spacing w:before="121"/>
                          <w:ind w:left="2" w:right="34"/>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1</w:t>
                        </w:r>
                        <w:r>
                          <w:rPr>
                            <w:spacing w:val="-15"/>
                            <w:sz w:val="20"/>
                          </w:rPr>
                          <w:t xml:space="preserve"> </w:t>
                        </w:r>
                        <w:r>
                          <w:rPr>
                            <w:spacing w:val="-10"/>
                            <w:sz w:val="20"/>
                          </w:rPr>
                          <w:t>:</w:t>
                        </w:r>
                      </w:p>
                      <w:p w14:paraId="23080A1D" w14:textId="77777777" w:rsidR="00BC24A8" w:rsidRDefault="00000000">
                        <w:pPr>
                          <w:spacing w:before="1"/>
                          <w:ind w:left="606" w:right="604"/>
                          <w:jc w:val="center"/>
                          <w:rPr>
                            <w:sz w:val="20"/>
                          </w:rPr>
                        </w:pPr>
                        <w:r>
                          <w:rPr>
                            <w:color w:val="17365A"/>
                            <w:sz w:val="20"/>
                          </w:rPr>
                          <w:t>One</w:t>
                        </w:r>
                        <w:r>
                          <w:rPr>
                            <w:color w:val="17365A"/>
                            <w:spacing w:val="-6"/>
                            <w:sz w:val="20"/>
                          </w:rPr>
                          <w:t xml:space="preserve"> </w:t>
                        </w:r>
                        <w:r>
                          <w:rPr>
                            <w:color w:val="17365A"/>
                            <w:sz w:val="20"/>
                          </w:rPr>
                          <w:t>Data</w:t>
                        </w:r>
                        <w:r>
                          <w:rPr>
                            <w:color w:val="17365A"/>
                            <w:spacing w:val="-8"/>
                            <w:sz w:val="20"/>
                          </w:rPr>
                          <w:t xml:space="preserve"> </w:t>
                        </w:r>
                        <w:r>
                          <w:rPr>
                            <w:color w:val="17365A"/>
                            <w:sz w:val="20"/>
                          </w:rPr>
                          <w:t>Governance</w:t>
                        </w:r>
                        <w:r>
                          <w:rPr>
                            <w:color w:val="17365A"/>
                            <w:spacing w:val="-6"/>
                            <w:sz w:val="20"/>
                          </w:rPr>
                          <w:t xml:space="preserve"> </w:t>
                        </w:r>
                        <w:r>
                          <w:rPr>
                            <w:color w:val="17365A"/>
                            <w:sz w:val="20"/>
                          </w:rPr>
                          <w:t>Transformation</w:t>
                        </w:r>
                        <w:r>
                          <w:rPr>
                            <w:color w:val="17365A"/>
                            <w:spacing w:val="-6"/>
                            <w:sz w:val="20"/>
                          </w:rPr>
                          <w:t xml:space="preserve"> </w:t>
                        </w:r>
                        <w:r>
                          <w:rPr>
                            <w:color w:val="17365A"/>
                            <w:sz w:val="20"/>
                          </w:rPr>
                          <w:t>in</w:t>
                        </w:r>
                        <w:r>
                          <w:rPr>
                            <w:color w:val="17365A"/>
                            <w:spacing w:val="30"/>
                            <w:sz w:val="20"/>
                          </w:rPr>
                          <w:t xml:space="preserve"> </w:t>
                        </w:r>
                        <w:r>
                          <w:rPr>
                            <w:color w:val="17365A"/>
                            <w:sz w:val="20"/>
                          </w:rPr>
                          <w:t>Kalimantan</w:t>
                        </w:r>
                        <w:r>
                          <w:rPr>
                            <w:color w:val="17365A"/>
                            <w:spacing w:val="-8"/>
                            <w:sz w:val="20"/>
                          </w:rPr>
                          <w:t xml:space="preserve"> </w:t>
                        </w:r>
                        <w:r>
                          <w:rPr>
                            <w:color w:val="17365A"/>
                            <w:sz w:val="20"/>
                          </w:rPr>
                          <w:t>Utara:</w:t>
                        </w:r>
                        <w:r>
                          <w:rPr>
                            <w:color w:val="17365A"/>
                            <w:spacing w:val="-10"/>
                            <w:sz w:val="20"/>
                          </w:rPr>
                          <w:t xml:space="preserve"> </w:t>
                        </w:r>
                        <w:r>
                          <w:rPr>
                            <w:color w:val="17365A"/>
                            <w:sz w:val="20"/>
                          </w:rPr>
                          <w:t>The</w:t>
                        </w:r>
                        <w:r>
                          <w:rPr>
                            <w:color w:val="17365A"/>
                            <w:spacing w:val="-8"/>
                            <w:sz w:val="20"/>
                          </w:rPr>
                          <w:t xml:space="preserve"> </w:t>
                        </w:r>
                        <w:r>
                          <w:rPr>
                            <w:color w:val="17365A"/>
                            <w:sz w:val="20"/>
                          </w:rPr>
                          <w:t>Journey</w:t>
                        </w:r>
                        <w:r>
                          <w:rPr>
                            <w:color w:val="17365A"/>
                            <w:spacing w:val="-7"/>
                            <w:sz w:val="20"/>
                          </w:rPr>
                          <w:t xml:space="preserve"> </w:t>
                        </w:r>
                        <w:r>
                          <w:rPr>
                            <w:color w:val="17365A"/>
                            <w:sz w:val="20"/>
                          </w:rPr>
                          <w:t>to</w:t>
                        </w:r>
                        <w:r>
                          <w:rPr>
                            <w:color w:val="17365A"/>
                            <w:spacing w:val="-6"/>
                            <w:sz w:val="20"/>
                          </w:rPr>
                          <w:t xml:space="preserve"> </w:t>
                        </w:r>
                        <w:r>
                          <w:rPr>
                            <w:color w:val="17365A"/>
                            <w:sz w:val="20"/>
                          </w:rPr>
                          <w:t>Quality</w:t>
                        </w:r>
                        <w:r>
                          <w:rPr>
                            <w:color w:val="17365A"/>
                            <w:spacing w:val="-7"/>
                            <w:sz w:val="20"/>
                          </w:rPr>
                          <w:t xml:space="preserve"> </w:t>
                        </w:r>
                        <w:r>
                          <w:rPr>
                            <w:color w:val="17365A"/>
                            <w:sz w:val="20"/>
                          </w:rPr>
                          <w:t>and Accountable Data</w:t>
                        </w:r>
                      </w:p>
                      <w:p w14:paraId="0678B702" w14:textId="77777777" w:rsidR="00BC24A8" w:rsidRDefault="00000000">
                        <w:pPr>
                          <w:spacing w:before="219"/>
                          <w:ind w:left="247" w:right="246"/>
                          <w:jc w:val="both"/>
                          <w:rPr>
                            <w:sz w:val="18"/>
                          </w:rPr>
                        </w:pPr>
                        <w:r>
                          <w:rPr>
                            <w:sz w:val="18"/>
                          </w:rPr>
                          <w:t>In</w:t>
                        </w:r>
                        <w:r>
                          <w:rPr>
                            <w:spacing w:val="19"/>
                            <w:sz w:val="18"/>
                          </w:rPr>
                          <w:t xml:space="preserve"> </w:t>
                        </w:r>
                        <w:r>
                          <w:rPr>
                            <w:sz w:val="18"/>
                          </w:rPr>
                          <w:t>Kalimantan</w:t>
                        </w:r>
                        <w:r>
                          <w:rPr>
                            <w:spacing w:val="-10"/>
                            <w:sz w:val="18"/>
                          </w:rPr>
                          <w:t xml:space="preserve"> </w:t>
                        </w:r>
                        <w:r>
                          <w:rPr>
                            <w:sz w:val="18"/>
                          </w:rPr>
                          <w:t>Utara,</w:t>
                        </w:r>
                        <w:r>
                          <w:rPr>
                            <w:spacing w:val="-10"/>
                            <w:sz w:val="18"/>
                          </w:rPr>
                          <w:t xml:space="preserve"> </w:t>
                        </w:r>
                        <w:r>
                          <w:rPr>
                            <w:sz w:val="18"/>
                          </w:rPr>
                          <w:t>improving</w:t>
                        </w:r>
                        <w:r>
                          <w:rPr>
                            <w:spacing w:val="-10"/>
                            <w:sz w:val="18"/>
                          </w:rPr>
                          <w:t xml:space="preserve"> </w:t>
                        </w:r>
                        <w:r>
                          <w:rPr>
                            <w:sz w:val="18"/>
                          </w:rPr>
                          <w:t>data</w:t>
                        </w:r>
                        <w:r>
                          <w:rPr>
                            <w:spacing w:val="-10"/>
                            <w:sz w:val="18"/>
                          </w:rPr>
                          <w:t xml:space="preserve"> </w:t>
                        </w:r>
                        <w:r>
                          <w:rPr>
                            <w:sz w:val="18"/>
                          </w:rPr>
                          <w:t>governance</w:t>
                        </w:r>
                        <w:r>
                          <w:rPr>
                            <w:spacing w:val="-11"/>
                            <w:sz w:val="18"/>
                          </w:rPr>
                          <w:t xml:space="preserve"> </w:t>
                        </w:r>
                        <w:r>
                          <w:rPr>
                            <w:sz w:val="18"/>
                          </w:rPr>
                          <w:t>is</w:t>
                        </w:r>
                        <w:r>
                          <w:rPr>
                            <w:spacing w:val="-8"/>
                            <w:sz w:val="18"/>
                          </w:rPr>
                          <w:t xml:space="preserve"> </w:t>
                        </w:r>
                        <w:r>
                          <w:rPr>
                            <w:sz w:val="18"/>
                          </w:rPr>
                          <w:t>not</w:t>
                        </w:r>
                        <w:r>
                          <w:rPr>
                            <w:spacing w:val="-11"/>
                            <w:sz w:val="18"/>
                          </w:rPr>
                          <w:t xml:space="preserve"> </w:t>
                        </w:r>
                        <w:r>
                          <w:rPr>
                            <w:sz w:val="18"/>
                          </w:rPr>
                          <w:t>only</w:t>
                        </w:r>
                        <w:r>
                          <w:rPr>
                            <w:spacing w:val="-8"/>
                            <w:sz w:val="18"/>
                          </w:rPr>
                          <w:t xml:space="preserve"> </w:t>
                        </w:r>
                        <w:r>
                          <w:rPr>
                            <w:sz w:val="18"/>
                          </w:rPr>
                          <w:t>about</w:t>
                        </w:r>
                        <w:r>
                          <w:rPr>
                            <w:spacing w:val="-11"/>
                            <w:sz w:val="18"/>
                          </w:rPr>
                          <w:t xml:space="preserve"> </w:t>
                        </w:r>
                        <w:r>
                          <w:rPr>
                            <w:sz w:val="18"/>
                          </w:rPr>
                          <w:t>rules</w:t>
                        </w:r>
                        <w:r>
                          <w:rPr>
                            <w:spacing w:val="-8"/>
                            <w:sz w:val="18"/>
                          </w:rPr>
                          <w:t xml:space="preserve"> </w:t>
                        </w:r>
                        <w:r>
                          <w:rPr>
                            <w:sz w:val="18"/>
                          </w:rPr>
                          <w:t>and</w:t>
                        </w:r>
                        <w:r>
                          <w:rPr>
                            <w:spacing w:val="-9"/>
                            <w:sz w:val="18"/>
                          </w:rPr>
                          <w:t xml:space="preserve"> </w:t>
                        </w:r>
                        <w:r>
                          <w:rPr>
                            <w:sz w:val="18"/>
                          </w:rPr>
                          <w:t>procedures.</w:t>
                        </w:r>
                        <w:r>
                          <w:rPr>
                            <w:spacing w:val="-10"/>
                            <w:sz w:val="18"/>
                          </w:rPr>
                          <w:t xml:space="preserve"> </w:t>
                        </w:r>
                        <w:r>
                          <w:rPr>
                            <w:sz w:val="18"/>
                          </w:rPr>
                          <w:t>This</w:t>
                        </w:r>
                        <w:r>
                          <w:rPr>
                            <w:spacing w:val="-11"/>
                            <w:sz w:val="18"/>
                          </w:rPr>
                          <w:t xml:space="preserve"> </w:t>
                        </w:r>
                        <w:r>
                          <w:rPr>
                            <w:sz w:val="18"/>
                          </w:rPr>
                          <w:t>is</w:t>
                        </w:r>
                        <w:r>
                          <w:rPr>
                            <w:spacing w:val="-8"/>
                            <w:sz w:val="18"/>
                          </w:rPr>
                          <w:t xml:space="preserve"> </w:t>
                        </w:r>
                        <w:r>
                          <w:rPr>
                            <w:sz w:val="18"/>
                          </w:rPr>
                          <w:t>a</w:t>
                        </w:r>
                        <w:r>
                          <w:rPr>
                            <w:spacing w:val="-10"/>
                            <w:sz w:val="18"/>
                          </w:rPr>
                          <w:t xml:space="preserve"> </w:t>
                        </w:r>
                        <w:r>
                          <w:rPr>
                            <w:sz w:val="18"/>
                          </w:rPr>
                          <w:t>story</w:t>
                        </w:r>
                        <w:r>
                          <w:rPr>
                            <w:spacing w:val="-9"/>
                            <w:sz w:val="18"/>
                          </w:rPr>
                          <w:t xml:space="preserve"> </w:t>
                        </w:r>
                        <w:r>
                          <w:rPr>
                            <w:sz w:val="18"/>
                          </w:rPr>
                          <w:t>of</w:t>
                        </w:r>
                        <w:r>
                          <w:rPr>
                            <w:spacing w:val="-10"/>
                            <w:sz w:val="18"/>
                          </w:rPr>
                          <w:t xml:space="preserve"> </w:t>
                        </w:r>
                        <w:r>
                          <w:rPr>
                            <w:sz w:val="18"/>
                          </w:rPr>
                          <w:t>how</w:t>
                        </w:r>
                        <w:r>
                          <w:rPr>
                            <w:spacing w:val="-10"/>
                            <w:sz w:val="18"/>
                          </w:rPr>
                          <w:t xml:space="preserve"> </w:t>
                        </w:r>
                        <w:r>
                          <w:rPr>
                            <w:sz w:val="18"/>
                          </w:rPr>
                          <w:t>consistent collaboration</w:t>
                        </w:r>
                        <w:r>
                          <w:rPr>
                            <w:spacing w:val="-11"/>
                            <w:sz w:val="18"/>
                          </w:rPr>
                          <w:t xml:space="preserve"> </w:t>
                        </w:r>
                        <w:r>
                          <w:rPr>
                            <w:sz w:val="18"/>
                          </w:rPr>
                          <w:t>and</w:t>
                        </w:r>
                        <w:r>
                          <w:rPr>
                            <w:spacing w:val="-10"/>
                            <w:sz w:val="18"/>
                          </w:rPr>
                          <w:t xml:space="preserve"> </w:t>
                        </w:r>
                        <w:r>
                          <w:rPr>
                            <w:sz w:val="18"/>
                          </w:rPr>
                          <w:t>mentoring</w:t>
                        </w:r>
                        <w:r>
                          <w:rPr>
                            <w:spacing w:val="-10"/>
                            <w:sz w:val="18"/>
                          </w:rPr>
                          <w:t xml:space="preserve"> </w:t>
                        </w:r>
                        <w:r>
                          <w:rPr>
                            <w:sz w:val="18"/>
                          </w:rPr>
                          <w:t>transformed</w:t>
                        </w:r>
                        <w:r>
                          <w:rPr>
                            <w:spacing w:val="-10"/>
                            <w:sz w:val="18"/>
                          </w:rPr>
                          <w:t xml:space="preserve"> </w:t>
                        </w:r>
                        <w:r>
                          <w:rPr>
                            <w:sz w:val="18"/>
                          </w:rPr>
                          <w:t>local</w:t>
                        </w:r>
                        <w:r>
                          <w:rPr>
                            <w:spacing w:val="-10"/>
                            <w:sz w:val="18"/>
                          </w:rPr>
                          <w:t xml:space="preserve"> </w:t>
                        </w:r>
                        <w:r>
                          <w:rPr>
                            <w:sz w:val="18"/>
                          </w:rPr>
                          <w:t>government</w:t>
                        </w:r>
                        <w:r>
                          <w:rPr>
                            <w:spacing w:val="-11"/>
                            <w:sz w:val="18"/>
                          </w:rPr>
                          <w:t xml:space="preserve"> </w:t>
                        </w:r>
                        <w:r>
                          <w:rPr>
                            <w:sz w:val="18"/>
                          </w:rPr>
                          <w:t>data</w:t>
                        </w:r>
                        <w:r>
                          <w:rPr>
                            <w:spacing w:val="-10"/>
                            <w:sz w:val="18"/>
                          </w:rPr>
                          <w:t xml:space="preserve"> </w:t>
                        </w:r>
                        <w:r>
                          <w:rPr>
                            <w:sz w:val="18"/>
                          </w:rPr>
                          <w:t>management—from</w:t>
                        </w:r>
                        <w:r>
                          <w:rPr>
                            <w:spacing w:val="-10"/>
                            <w:sz w:val="18"/>
                          </w:rPr>
                          <w:t xml:space="preserve"> </w:t>
                        </w:r>
                        <w:r>
                          <w:rPr>
                            <w:sz w:val="18"/>
                          </w:rPr>
                          <w:t>merely</w:t>
                        </w:r>
                        <w:r>
                          <w:rPr>
                            <w:spacing w:val="-10"/>
                            <w:sz w:val="18"/>
                          </w:rPr>
                          <w:t xml:space="preserve"> </w:t>
                        </w:r>
                        <w:r>
                          <w:rPr>
                            <w:sz w:val="18"/>
                          </w:rPr>
                          <w:t>collecting</w:t>
                        </w:r>
                        <w:r>
                          <w:rPr>
                            <w:spacing w:val="-10"/>
                            <w:sz w:val="18"/>
                          </w:rPr>
                          <w:t xml:space="preserve"> </w:t>
                        </w:r>
                        <w:r>
                          <w:rPr>
                            <w:sz w:val="18"/>
                          </w:rPr>
                          <w:t>data</w:t>
                        </w:r>
                        <w:r>
                          <w:rPr>
                            <w:spacing w:val="-10"/>
                            <w:sz w:val="18"/>
                          </w:rPr>
                          <w:t xml:space="preserve"> </w:t>
                        </w:r>
                        <w:r>
                          <w:rPr>
                            <w:sz w:val="18"/>
                          </w:rPr>
                          <w:t>to</w:t>
                        </w:r>
                        <w:r>
                          <w:rPr>
                            <w:spacing w:val="-11"/>
                            <w:sz w:val="18"/>
                          </w:rPr>
                          <w:t xml:space="preserve"> </w:t>
                        </w:r>
                        <w:r>
                          <w:rPr>
                            <w:sz w:val="18"/>
                          </w:rPr>
                          <w:t>a</w:t>
                        </w:r>
                        <w:r>
                          <w:rPr>
                            <w:spacing w:val="-10"/>
                            <w:sz w:val="18"/>
                          </w:rPr>
                          <w:t xml:space="preserve"> </w:t>
                        </w:r>
                        <w:r>
                          <w:rPr>
                            <w:sz w:val="18"/>
                          </w:rPr>
                          <w:t>system that is accurate, high-quality, and trustworthy.</w:t>
                        </w:r>
                      </w:p>
                      <w:p w14:paraId="60116B3E" w14:textId="77777777" w:rsidR="00BC24A8" w:rsidRDefault="00BC24A8">
                        <w:pPr>
                          <w:rPr>
                            <w:sz w:val="18"/>
                          </w:rPr>
                        </w:pPr>
                      </w:p>
                      <w:p w14:paraId="174C071D" w14:textId="77777777" w:rsidR="00BC24A8" w:rsidRDefault="00BC24A8">
                        <w:pPr>
                          <w:rPr>
                            <w:sz w:val="18"/>
                          </w:rPr>
                        </w:pPr>
                      </w:p>
                      <w:p w14:paraId="5AB991FD" w14:textId="77777777" w:rsidR="00BC24A8" w:rsidRDefault="00BC24A8">
                        <w:pPr>
                          <w:spacing w:before="87"/>
                          <w:rPr>
                            <w:sz w:val="18"/>
                          </w:rPr>
                        </w:pPr>
                      </w:p>
                      <w:p w14:paraId="1C22886E" w14:textId="77777777" w:rsidR="00BC24A8" w:rsidRDefault="00000000">
                        <w:pPr>
                          <w:spacing w:line="290" w:lineRule="auto"/>
                          <w:ind w:left="575" w:right="300"/>
                          <w:rPr>
                            <w:rFonts w:ascii="Times New Roman" w:hAnsi="Times New Roman"/>
                            <w:b/>
                            <w:i/>
                            <w:sz w:val="18"/>
                          </w:rPr>
                        </w:pPr>
                        <w:r>
                          <w:rPr>
                            <w:rFonts w:ascii="Times New Roman" w:hAnsi="Times New Roman"/>
                            <w:b/>
                            <w:i/>
                            <w:color w:val="17365A"/>
                            <w:spacing w:val="-2"/>
                            <w:sz w:val="18"/>
                          </w:rPr>
                          <w:t>In</w:t>
                        </w:r>
                        <w:r>
                          <w:rPr>
                            <w:rFonts w:ascii="Times New Roman" w:hAnsi="Times New Roman"/>
                            <w:b/>
                            <w:i/>
                            <w:color w:val="17365A"/>
                            <w:spacing w:val="-12"/>
                            <w:sz w:val="18"/>
                          </w:rPr>
                          <w:t xml:space="preserve"> </w:t>
                        </w:r>
                        <w:r>
                          <w:rPr>
                            <w:rFonts w:ascii="Times New Roman" w:hAnsi="Times New Roman"/>
                            <w:b/>
                            <w:i/>
                            <w:color w:val="17365A"/>
                            <w:spacing w:val="-2"/>
                            <w:sz w:val="18"/>
                          </w:rPr>
                          <w:t>the</w:t>
                        </w:r>
                        <w:r>
                          <w:rPr>
                            <w:rFonts w:ascii="Times New Roman" w:hAnsi="Times New Roman"/>
                            <w:b/>
                            <w:i/>
                            <w:color w:val="17365A"/>
                            <w:spacing w:val="-10"/>
                            <w:sz w:val="18"/>
                          </w:rPr>
                          <w:t xml:space="preserve"> </w:t>
                        </w:r>
                        <w:r>
                          <w:rPr>
                            <w:rFonts w:ascii="Times New Roman" w:hAnsi="Times New Roman"/>
                            <w:b/>
                            <w:i/>
                            <w:color w:val="17365A"/>
                            <w:spacing w:val="-2"/>
                            <w:sz w:val="18"/>
                          </w:rPr>
                          <w:t>past,</w:t>
                        </w:r>
                        <w:r>
                          <w:rPr>
                            <w:rFonts w:ascii="Times New Roman" w:hAnsi="Times New Roman"/>
                            <w:b/>
                            <w:i/>
                            <w:color w:val="17365A"/>
                            <w:spacing w:val="-11"/>
                            <w:sz w:val="18"/>
                          </w:rPr>
                          <w:t xml:space="preserve"> </w:t>
                        </w:r>
                        <w:r>
                          <w:rPr>
                            <w:rFonts w:ascii="Times New Roman" w:hAnsi="Times New Roman"/>
                            <w:b/>
                            <w:i/>
                            <w:color w:val="17365A"/>
                            <w:spacing w:val="-2"/>
                            <w:sz w:val="18"/>
                          </w:rPr>
                          <w:t>they</w:t>
                        </w:r>
                        <w:r>
                          <w:rPr>
                            <w:rFonts w:ascii="Times New Roman" w:hAnsi="Times New Roman"/>
                            <w:b/>
                            <w:i/>
                            <w:color w:val="17365A"/>
                            <w:spacing w:val="-9"/>
                            <w:sz w:val="18"/>
                          </w:rPr>
                          <w:t xml:space="preserve"> </w:t>
                        </w:r>
                        <w:r>
                          <w:rPr>
                            <w:rFonts w:ascii="Times New Roman" w:hAnsi="Times New Roman"/>
                            <w:b/>
                            <w:i/>
                            <w:color w:val="17365A"/>
                            <w:spacing w:val="-2"/>
                            <w:sz w:val="18"/>
                          </w:rPr>
                          <w:t>only</w:t>
                        </w:r>
                        <w:r>
                          <w:rPr>
                            <w:rFonts w:ascii="Times New Roman" w:hAnsi="Times New Roman"/>
                            <w:b/>
                            <w:i/>
                            <w:color w:val="17365A"/>
                            <w:spacing w:val="-9"/>
                            <w:sz w:val="18"/>
                          </w:rPr>
                          <w:t xml:space="preserve"> </w:t>
                        </w:r>
                        <w:r>
                          <w:rPr>
                            <w:rFonts w:ascii="Times New Roman" w:hAnsi="Times New Roman"/>
                            <w:b/>
                            <w:i/>
                            <w:color w:val="17365A"/>
                            <w:spacing w:val="-2"/>
                            <w:sz w:val="18"/>
                          </w:rPr>
                          <w:t>collected</w:t>
                        </w:r>
                        <w:r>
                          <w:rPr>
                            <w:rFonts w:ascii="Times New Roman" w:hAnsi="Times New Roman"/>
                            <w:b/>
                            <w:i/>
                            <w:color w:val="17365A"/>
                            <w:spacing w:val="-9"/>
                            <w:sz w:val="18"/>
                          </w:rPr>
                          <w:t xml:space="preserve"> </w:t>
                        </w:r>
                        <w:r>
                          <w:rPr>
                            <w:rFonts w:ascii="Times New Roman" w:hAnsi="Times New Roman"/>
                            <w:b/>
                            <w:i/>
                            <w:color w:val="17365A"/>
                            <w:spacing w:val="-2"/>
                            <w:sz w:val="18"/>
                          </w:rPr>
                          <w:t>data</w:t>
                        </w:r>
                        <w:r>
                          <w:rPr>
                            <w:rFonts w:ascii="Times New Roman" w:hAnsi="Times New Roman"/>
                            <w:b/>
                            <w:i/>
                            <w:color w:val="17365A"/>
                            <w:spacing w:val="-11"/>
                            <w:sz w:val="18"/>
                          </w:rPr>
                          <w:t xml:space="preserve"> </w:t>
                        </w:r>
                        <w:r>
                          <w:rPr>
                            <w:rFonts w:ascii="Times New Roman" w:hAnsi="Times New Roman"/>
                            <w:b/>
                            <w:i/>
                            <w:color w:val="17365A"/>
                            <w:spacing w:val="-2"/>
                            <w:sz w:val="18"/>
                          </w:rPr>
                          <w:t>without</w:t>
                        </w:r>
                        <w:r>
                          <w:rPr>
                            <w:rFonts w:ascii="Times New Roman" w:hAnsi="Times New Roman"/>
                            <w:b/>
                            <w:i/>
                            <w:color w:val="17365A"/>
                            <w:spacing w:val="-11"/>
                            <w:sz w:val="18"/>
                          </w:rPr>
                          <w:t xml:space="preserve"> </w:t>
                        </w:r>
                        <w:r>
                          <w:rPr>
                            <w:rFonts w:ascii="Times New Roman" w:hAnsi="Times New Roman"/>
                            <w:b/>
                            <w:i/>
                            <w:color w:val="17365A"/>
                            <w:spacing w:val="-2"/>
                            <w:sz w:val="18"/>
                          </w:rPr>
                          <w:t>veriflcation.Now,</w:t>
                        </w:r>
                        <w:r>
                          <w:rPr>
                            <w:rFonts w:ascii="Times New Roman" w:hAnsi="Times New Roman"/>
                            <w:b/>
                            <w:i/>
                            <w:color w:val="17365A"/>
                            <w:spacing w:val="-11"/>
                            <w:sz w:val="18"/>
                          </w:rPr>
                          <w:t xml:space="preserve"> </w:t>
                        </w:r>
                        <w:r>
                          <w:rPr>
                            <w:rFonts w:ascii="Times New Roman" w:hAnsi="Times New Roman"/>
                            <w:b/>
                            <w:i/>
                            <w:color w:val="17365A"/>
                            <w:spacing w:val="-2"/>
                            <w:sz w:val="18"/>
                          </w:rPr>
                          <w:t>aer</w:t>
                        </w:r>
                        <w:r>
                          <w:rPr>
                            <w:rFonts w:ascii="Times New Roman" w:hAnsi="Times New Roman"/>
                            <w:b/>
                            <w:i/>
                            <w:color w:val="17365A"/>
                            <w:spacing w:val="-9"/>
                            <w:sz w:val="18"/>
                          </w:rPr>
                          <w:t xml:space="preserve"> </w:t>
                        </w:r>
                        <w:r>
                          <w:rPr>
                            <w:rFonts w:ascii="Times New Roman" w:hAnsi="Times New Roman"/>
                            <w:b/>
                            <w:i/>
                            <w:color w:val="17365A"/>
                            <w:spacing w:val="-2"/>
                            <w:sz w:val="18"/>
                          </w:rPr>
                          <w:t>mentoring</w:t>
                        </w:r>
                        <w:r>
                          <w:rPr>
                            <w:rFonts w:ascii="Times New Roman" w:hAnsi="Times New Roman"/>
                            <w:b/>
                            <w:i/>
                            <w:color w:val="17365A"/>
                            <w:spacing w:val="-11"/>
                            <w:sz w:val="18"/>
                          </w:rPr>
                          <w:t xml:space="preserve"> </w:t>
                        </w:r>
                        <w:r>
                          <w:rPr>
                            <w:rFonts w:ascii="Times New Roman" w:hAnsi="Times New Roman"/>
                            <w:b/>
                            <w:i/>
                            <w:color w:val="17365A"/>
                            <w:spacing w:val="-2"/>
                            <w:sz w:val="18"/>
                          </w:rPr>
                          <w:t>through</w:t>
                        </w:r>
                        <w:r>
                          <w:rPr>
                            <w:rFonts w:ascii="Times New Roman" w:hAnsi="Times New Roman"/>
                            <w:b/>
                            <w:i/>
                            <w:color w:val="17365A"/>
                            <w:spacing w:val="-11"/>
                            <w:sz w:val="18"/>
                          </w:rPr>
                          <w:t xml:space="preserve"> </w:t>
                        </w:r>
                        <w:r>
                          <w:rPr>
                            <w:rFonts w:ascii="Times New Roman" w:hAnsi="Times New Roman"/>
                            <w:b/>
                            <w:i/>
                            <w:color w:val="17365A"/>
                            <w:spacing w:val="-2"/>
                            <w:sz w:val="18"/>
                          </w:rPr>
                          <w:t>veriflcation,</w:t>
                        </w:r>
                        <w:r>
                          <w:rPr>
                            <w:rFonts w:ascii="Times New Roman" w:hAnsi="Times New Roman"/>
                            <w:b/>
                            <w:i/>
                            <w:color w:val="17365A"/>
                            <w:spacing w:val="-11"/>
                            <w:sz w:val="18"/>
                          </w:rPr>
                          <w:t xml:space="preserve"> </w:t>
                        </w:r>
                        <w:r>
                          <w:rPr>
                            <w:rFonts w:ascii="Times New Roman" w:hAnsi="Times New Roman"/>
                            <w:b/>
                            <w:i/>
                            <w:color w:val="17365A"/>
                            <w:spacing w:val="-2"/>
                            <w:sz w:val="18"/>
                          </w:rPr>
                          <w:t>the</w:t>
                        </w:r>
                        <w:r>
                          <w:rPr>
                            <w:rFonts w:ascii="Times New Roman" w:hAnsi="Times New Roman"/>
                            <w:b/>
                            <w:i/>
                            <w:color w:val="17365A"/>
                            <w:spacing w:val="-12"/>
                            <w:sz w:val="18"/>
                          </w:rPr>
                          <w:t xml:space="preserve"> </w:t>
                        </w:r>
                        <w:r>
                          <w:rPr>
                            <w:rFonts w:ascii="Times New Roman" w:hAnsi="Times New Roman"/>
                            <w:b/>
                            <w:i/>
                            <w:color w:val="17365A"/>
                            <w:spacing w:val="-2"/>
                            <w:sz w:val="18"/>
                          </w:rPr>
                          <w:t xml:space="preserve">results </w:t>
                        </w:r>
                        <w:r>
                          <w:rPr>
                            <w:rFonts w:ascii="Times New Roman" w:hAnsi="Times New Roman"/>
                            <w:b/>
                            <w:i/>
                            <w:color w:val="17365A"/>
                            <w:sz w:val="18"/>
                          </w:rPr>
                          <w:t>have improved our data quality and we can be more accountable and transparent about the sources.</w:t>
                        </w:r>
                      </w:p>
                      <w:p w14:paraId="73D89E8D" w14:textId="77777777" w:rsidR="00BC24A8" w:rsidRDefault="00000000">
                        <w:pPr>
                          <w:spacing w:line="203" w:lineRule="exact"/>
                          <w:ind w:left="575"/>
                          <w:rPr>
                            <w:i/>
                            <w:sz w:val="18"/>
                          </w:rPr>
                        </w:pPr>
                        <w:r>
                          <w:rPr>
                            <w:i/>
                            <w:color w:val="17365A"/>
                            <w:sz w:val="18"/>
                          </w:rPr>
                          <w:t>Head</w:t>
                        </w:r>
                        <w:r>
                          <w:rPr>
                            <w:i/>
                            <w:color w:val="17365A"/>
                            <w:spacing w:val="-4"/>
                            <w:sz w:val="18"/>
                          </w:rPr>
                          <w:t xml:space="preserve"> </w:t>
                        </w:r>
                        <w:r>
                          <w:rPr>
                            <w:i/>
                            <w:color w:val="17365A"/>
                            <w:sz w:val="18"/>
                          </w:rPr>
                          <w:t>of</w:t>
                        </w:r>
                        <w:r>
                          <w:rPr>
                            <w:i/>
                            <w:color w:val="17365A"/>
                            <w:spacing w:val="-5"/>
                            <w:sz w:val="18"/>
                          </w:rPr>
                          <w:t xml:space="preserve"> </w:t>
                        </w:r>
                        <w:r>
                          <w:rPr>
                            <w:i/>
                            <w:color w:val="17365A"/>
                            <w:sz w:val="18"/>
                          </w:rPr>
                          <w:t>Planning</w:t>
                        </w:r>
                        <w:r>
                          <w:rPr>
                            <w:i/>
                            <w:color w:val="17365A"/>
                            <w:spacing w:val="-3"/>
                            <w:sz w:val="18"/>
                          </w:rPr>
                          <w:t xml:space="preserve"> </w:t>
                        </w:r>
                        <w:r>
                          <w:rPr>
                            <w:i/>
                            <w:color w:val="17365A"/>
                            <w:sz w:val="18"/>
                          </w:rPr>
                          <w:t>Division,</w:t>
                        </w:r>
                        <w:r>
                          <w:rPr>
                            <w:i/>
                            <w:color w:val="17365A"/>
                            <w:spacing w:val="32"/>
                            <w:sz w:val="18"/>
                          </w:rPr>
                          <w:t xml:space="preserve"> </w:t>
                        </w:r>
                        <w:r>
                          <w:rPr>
                            <w:i/>
                            <w:color w:val="17365A"/>
                            <w:sz w:val="18"/>
                          </w:rPr>
                          <w:t>Kalimantan</w:t>
                        </w:r>
                        <w:r>
                          <w:rPr>
                            <w:i/>
                            <w:color w:val="17365A"/>
                            <w:spacing w:val="-4"/>
                            <w:sz w:val="18"/>
                          </w:rPr>
                          <w:t xml:space="preserve"> </w:t>
                        </w:r>
                        <w:r>
                          <w:rPr>
                            <w:i/>
                            <w:color w:val="17365A"/>
                            <w:sz w:val="18"/>
                          </w:rPr>
                          <w:t>Utara</w:t>
                        </w:r>
                        <w:r>
                          <w:rPr>
                            <w:i/>
                            <w:color w:val="17365A"/>
                            <w:spacing w:val="-3"/>
                            <w:sz w:val="18"/>
                          </w:rPr>
                          <w:t xml:space="preserve"> </w:t>
                        </w:r>
                        <w:r>
                          <w:rPr>
                            <w:i/>
                            <w:color w:val="17365A"/>
                            <w:sz w:val="18"/>
                          </w:rPr>
                          <w:t>Provincial</w:t>
                        </w:r>
                        <w:r>
                          <w:rPr>
                            <w:i/>
                            <w:color w:val="17365A"/>
                            <w:spacing w:val="-3"/>
                            <w:sz w:val="18"/>
                          </w:rPr>
                          <w:t xml:space="preserve"> </w:t>
                        </w:r>
                        <w:r>
                          <w:rPr>
                            <w:i/>
                            <w:color w:val="17365A"/>
                            <w:sz w:val="18"/>
                          </w:rPr>
                          <w:t>Education</w:t>
                        </w:r>
                        <w:r>
                          <w:rPr>
                            <w:i/>
                            <w:color w:val="17365A"/>
                            <w:spacing w:val="-3"/>
                            <w:sz w:val="18"/>
                          </w:rPr>
                          <w:t xml:space="preserve"> </w:t>
                        </w:r>
                        <w:r>
                          <w:rPr>
                            <w:i/>
                            <w:color w:val="17365A"/>
                            <w:spacing w:val="-2"/>
                            <w:sz w:val="18"/>
                          </w:rPr>
                          <w:t>Office</w:t>
                        </w:r>
                      </w:p>
                    </w:txbxContent>
                  </v:textbox>
                </v:shape>
                <w10:wrap type="topAndBottom" anchorx="page"/>
              </v:group>
            </w:pict>
          </mc:Fallback>
        </mc:AlternateContent>
      </w:r>
      <w:r>
        <w:rPr>
          <w:rFonts w:ascii="Calibri"/>
          <w:color w:val="272727"/>
        </w:rPr>
        <w:t>Significant</w:t>
      </w:r>
      <w:r>
        <w:rPr>
          <w:rFonts w:ascii="Calibri"/>
          <w:color w:val="272727"/>
          <w:spacing w:val="-10"/>
        </w:rPr>
        <w:t xml:space="preserve"> </w:t>
      </w:r>
      <w:r>
        <w:rPr>
          <w:rFonts w:ascii="Calibri"/>
          <w:color w:val="272727"/>
        </w:rPr>
        <w:t>change</w:t>
      </w:r>
      <w:r>
        <w:rPr>
          <w:rFonts w:ascii="Calibri"/>
          <w:color w:val="272727"/>
          <w:spacing w:val="-11"/>
        </w:rPr>
        <w:t xml:space="preserve"> </w:t>
      </w:r>
      <w:r>
        <w:rPr>
          <w:rFonts w:ascii="Calibri"/>
          <w:color w:val="272727"/>
          <w:spacing w:val="-4"/>
        </w:rPr>
        <w:t>story</w:t>
      </w:r>
    </w:p>
    <w:p w14:paraId="11E768DE" w14:textId="77777777" w:rsidR="00BC24A8" w:rsidRDefault="00BC24A8">
      <w:pPr>
        <w:pStyle w:val="BodyText"/>
        <w:rPr>
          <w:rFonts w:ascii="Calibri"/>
        </w:rPr>
        <w:sectPr w:rsidR="00BC24A8">
          <w:pgSz w:w="11910" w:h="16840"/>
          <w:pgMar w:top="1460" w:right="850" w:bottom="1100" w:left="1275" w:header="0" w:footer="907" w:gutter="0"/>
          <w:cols w:space="720"/>
        </w:sectPr>
      </w:pPr>
    </w:p>
    <w:p w14:paraId="75AEDA0C" w14:textId="77777777" w:rsidR="00BC24A8" w:rsidRDefault="00000000">
      <w:pPr>
        <w:pStyle w:val="BodyText"/>
        <w:rPr>
          <w:rFonts w:ascii="Calibri"/>
          <w:sz w:val="18"/>
        </w:rPr>
      </w:pPr>
      <w:r>
        <w:rPr>
          <w:rFonts w:ascii="Calibri"/>
          <w:noProof/>
          <w:sz w:val="18"/>
        </w:rPr>
        <w:lastRenderedPageBreak/>
        <mc:AlternateContent>
          <mc:Choice Requires="wpg">
            <w:drawing>
              <wp:anchor distT="0" distB="0" distL="0" distR="0" simplePos="0" relativeHeight="478671360" behindDoc="1" locked="0" layoutInCell="1" allowOverlap="1" wp14:anchorId="4BBB040B" wp14:editId="6ED63263">
                <wp:simplePos x="0" y="0"/>
                <wp:positionH relativeFrom="page">
                  <wp:posOffset>897636</wp:posOffset>
                </wp:positionH>
                <wp:positionV relativeFrom="page">
                  <wp:posOffset>900671</wp:posOffset>
                </wp:positionV>
                <wp:extent cx="5779135" cy="8443595"/>
                <wp:effectExtent l="0" t="0" r="0" b="0"/>
                <wp:wrapNone/>
                <wp:docPr id="113" name="Group 113" descr="&#10;From an institutional perspective, things are improving.We can generate SOPs and adjust the data cycle.The structure has also been revised since coaching in early September 2024&#10;DKISP (Walidata)&#10;&#10;&#10;&#10;&#10;Since 2025, support from the SKALA Program has driven change through a new approach. The One Data Forum team’s “door-to-door” verification method goes beyond simply collecting data from provincial agencies; it directly mentors them, ensuring each step in the data cycle is understood and properly executed.&#10;This approach has proven effective, as stated by a Data Coach from the Central Statistics Agency (BPS). They noted an 85% improvement in data quality of, with 89% data availability from a total of 1,961 verified data lists throughout 2025. The capacity of data producers in provincial agencies is also improving, particularly in understanding the importance of data validation. This marks a major shift from administrative data collection to standardised and trusted data governance.&#10;&#10;&#10;&#10;Now we feel that the data we submit has value, is accountable, and supports the decision-making process.&#10;&#10;&#10;&#10;The synergy between Bappeda, DKISP, and BPS, supported by SKALA, strengthens data governance through regular meetings that provide space for discussion, learning, and joint solutions. This collaboration has successfully improved the availability and quality of comprehensive sectoral statistical data, supporting evidence-based regional development planning and decision-making.&#10;&#10;&#10;&#10;Before SKALA, there was coaching but it was not optimal. The presence of SKALA allows us to collect complete metadata and makes it easier for provincial agencies to understand what needs to be done. We know the journey is still long, but now we have a true partner supporting us every step of the way.&#10;Data Supervisor (BPS Kalimantan Utara Province)&#10;&#10;&#10;&#10;S TO R Y 2 :&#10;Provincial Government’s Strong Commitment to Realising Inclusive Development Planning through Community Participation&#10;&#10;&#10;This forum shows the government's partiality to groups that have been marginalised&#10;Ingkong Ala, Vice Governor of Kalimantan Utara&#10;&#10;&#10;In Kalimantan Utara, the provincial government not only formulates policies but also seeks to directly hear the voices of the community, especially groups that have been underrepresented, such as women, children, persons with disabilities, and other vulnerable groups. The MENTARI KALTARA Inclusive Aspiration Screening Forum was established as a tangible manifestation of this commitment, institutionalised through a Decree of the Head of Bappeda Litbang and supported by the Governor’s instruction to make this inclusive forum an integral part of the regional development planning proces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8443595"/>
                          <a:chOff x="0" y="0"/>
                          <a:chExt cx="5779135" cy="8443595"/>
                        </a:xfrm>
                      </wpg:grpSpPr>
                      <wps:wsp>
                        <wps:cNvPr id="114" name="Graphic 114"/>
                        <wps:cNvSpPr/>
                        <wps:spPr>
                          <a:xfrm>
                            <a:off x="6095" y="6108"/>
                            <a:ext cx="5765800" cy="5948680"/>
                          </a:xfrm>
                          <a:custGeom>
                            <a:avLst/>
                            <a:gdLst/>
                            <a:ahLst/>
                            <a:cxnLst/>
                            <a:rect l="l" t="t" r="r" b="b"/>
                            <a:pathLst>
                              <a:path w="5765800" h="5948680">
                                <a:moveTo>
                                  <a:pt x="5765292" y="0"/>
                                </a:moveTo>
                                <a:lnTo>
                                  <a:pt x="0" y="0"/>
                                </a:lnTo>
                                <a:lnTo>
                                  <a:pt x="0" y="5948171"/>
                                </a:lnTo>
                                <a:lnTo>
                                  <a:pt x="5765292" y="5948171"/>
                                </a:lnTo>
                                <a:lnTo>
                                  <a:pt x="5765292" y="0"/>
                                </a:lnTo>
                                <a:close/>
                              </a:path>
                            </a:pathLst>
                          </a:custGeom>
                          <a:solidFill>
                            <a:srgbClr val="E1F1EF"/>
                          </a:solidFill>
                        </wps:spPr>
                        <wps:bodyPr wrap="square" lIns="0" tIns="0" rIns="0" bIns="0" rtlCol="0">
                          <a:prstTxWarp prst="textNoShape">
                            <a:avLst/>
                          </a:prstTxWarp>
                          <a:noAutofit/>
                        </wps:bodyPr>
                      </wps:wsp>
                      <wps:wsp>
                        <wps:cNvPr id="115" name="Graphic 115"/>
                        <wps:cNvSpPr/>
                        <wps:spPr>
                          <a:xfrm>
                            <a:off x="0" y="0"/>
                            <a:ext cx="5779135" cy="5954395"/>
                          </a:xfrm>
                          <a:custGeom>
                            <a:avLst/>
                            <a:gdLst/>
                            <a:ahLst/>
                            <a:cxnLst/>
                            <a:rect l="l" t="t" r="r" b="b"/>
                            <a:pathLst>
                              <a:path w="5779135" h="5954395">
                                <a:moveTo>
                                  <a:pt x="5779008" y="0"/>
                                </a:moveTo>
                                <a:lnTo>
                                  <a:pt x="5772912" y="0"/>
                                </a:lnTo>
                                <a:lnTo>
                                  <a:pt x="6108" y="0"/>
                                </a:lnTo>
                                <a:lnTo>
                                  <a:pt x="0" y="0"/>
                                </a:lnTo>
                                <a:lnTo>
                                  <a:pt x="0" y="6108"/>
                                </a:lnTo>
                                <a:lnTo>
                                  <a:pt x="0" y="5954280"/>
                                </a:lnTo>
                                <a:lnTo>
                                  <a:pt x="6108" y="5954280"/>
                                </a:lnTo>
                                <a:lnTo>
                                  <a:pt x="6108" y="6108"/>
                                </a:lnTo>
                                <a:lnTo>
                                  <a:pt x="5772912" y="6108"/>
                                </a:lnTo>
                                <a:lnTo>
                                  <a:pt x="5772912" y="5954280"/>
                                </a:lnTo>
                                <a:lnTo>
                                  <a:pt x="5779008" y="5954280"/>
                                </a:lnTo>
                                <a:lnTo>
                                  <a:pt x="5779008" y="6108"/>
                                </a:lnTo>
                                <a:lnTo>
                                  <a:pt x="5779008" y="0"/>
                                </a:lnTo>
                                <a:close/>
                              </a:path>
                            </a:pathLst>
                          </a:custGeom>
                          <a:solidFill>
                            <a:srgbClr val="BEBEBE"/>
                          </a:solidFill>
                        </wps:spPr>
                        <wps:bodyPr wrap="square" lIns="0" tIns="0" rIns="0" bIns="0" rtlCol="0">
                          <a:prstTxWarp prst="textNoShape">
                            <a:avLst/>
                          </a:prstTxWarp>
                          <a:noAutofit/>
                        </wps:bodyPr>
                      </wps:wsp>
                      <wps:wsp>
                        <wps:cNvPr id="116" name="Graphic 116"/>
                        <wps:cNvSpPr/>
                        <wps:spPr>
                          <a:xfrm>
                            <a:off x="6095" y="5961900"/>
                            <a:ext cx="5765800" cy="2475230"/>
                          </a:xfrm>
                          <a:custGeom>
                            <a:avLst/>
                            <a:gdLst/>
                            <a:ahLst/>
                            <a:cxnLst/>
                            <a:rect l="l" t="t" r="r" b="b"/>
                            <a:pathLst>
                              <a:path w="5765800" h="2475230">
                                <a:moveTo>
                                  <a:pt x="5765292" y="0"/>
                                </a:moveTo>
                                <a:lnTo>
                                  <a:pt x="0" y="0"/>
                                </a:lnTo>
                                <a:lnTo>
                                  <a:pt x="0" y="2474975"/>
                                </a:lnTo>
                                <a:lnTo>
                                  <a:pt x="5765292" y="2474975"/>
                                </a:lnTo>
                                <a:lnTo>
                                  <a:pt x="5765292" y="0"/>
                                </a:lnTo>
                                <a:close/>
                              </a:path>
                            </a:pathLst>
                          </a:custGeom>
                          <a:solidFill>
                            <a:srgbClr val="E1F1EF"/>
                          </a:solidFill>
                        </wps:spPr>
                        <wps:bodyPr wrap="square" lIns="0" tIns="0" rIns="0" bIns="0" rtlCol="0">
                          <a:prstTxWarp prst="textNoShape">
                            <a:avLst/>
                          </a:prstTxWarp>
                          <a:noAutofit/>
                        </wps:bodyPr>
                      </wps:wsp>
                      <wps:wsp>
                        <wps:cNvPr id="117" name="Graphic 117"/>
                        <wps:cNvSpPr/>
                        <wps:spPr>
                          <a:xfrm>
                            <a:off x="0" y="5954280"/>
                            <a:ext cx="5779135" cy="2489200"/>
                          </a:xfrm>
                          <a:custGeom>
                            <a:avLst/>
                            <a:gdLst/>
                            <a:ahLst/>
                            <a:cxnLst/>
                            <a:rect l="l" t="t" r="r" b="b"/>
                            <a:pathLst>
                              <a:path w="5779135" h="2489200">
                                <a:moveTo>
                                  <a:pt x="5779008" y="0"/>
                                </a:moveTo>
                                <a:lnTo>
                                  <a:pt x="5772912" y="0"/>
                                </a:lnTo>
                                <a:lnTo>
                                  <a:pt x="5772912" y="6096"/>
                                </a:lnTo>
                                <a:lnTo>
                                  <a:pt x="5772912" y="2482596"/>
                                </a:lnTo>
                                <a:lnTo>
                                  <a:pt x="6108" y="2482596"/>
                                </a:lnTo>
                                <a:lnTo>
                                  <a:pt x="6108" y="6096"/>
                                </a:lnTo>
                                <a:lnTo>
                                  <a:pt x="5772912" y="6096"/>
                                </a:lnTo>
                                <a:lnTo>
                                  <a:pt x="5772912" y="0"/>
                                </a:lnTo>
                                <a:lnTo>
                                  <a:pt x="6108" y="0"/>
                                </a:lnTo>
                                <a:lnTo>
                                  <a:pt x="0" y="0"/>
                                </a:lnTo>
                                <a:lnTo>
                                  <a:pt x="0" y="6096"/>
                                </a:lnTo>
                                <a:lnTo>
                                  <a:pt x="0" y="2482596"/>
                                </a:lnTo>
                                <a:lnTo>
                                  <a:pt x="0" y="2488692"/>
                                </a:lnTo>
                                <a:lnTo>
                                  <a:pt x="6096" y="2488692"/>
                                </a:lnTo>
                                <a:lnTo>
                                  <a:pt x="5772912" y="2488692"/>
                                </a:lnTo>
                                <a:lnTo>
                                  <a:pt x="5779008" y="2488692"/>
                                </a:lnTo>
                                <a:lnTo>
                                  <a:pt x="5779008" y="2482596"/>
                                </a:lnTo>
                                <a:lnTo>
                                  <a:pt x="5779008" y="6096"/>
                                </a:lnTo>
                                <a:lnTo>
                                  <a:pt x="5779008" y="0"/>
                                </a:lnTo>
                                <a:close/>
                              </a:path>
                            </a:pathLst>
                          </a:custGeom>
                          <a:solidFill>
                            <a:srgbClr val="BEBEBE"/>
                          </a:solidFill>
                        </wps:spPr>
                        <wps:bodyPr wrap="square" lIns="0" tIns="0" rIns="0" bIns="0" rtlCol="0">
                          <a:prstTxWarp prst="textNoShape">
                            <a:avLst/>
                          </a:prstTxWarp>
                          <a:noAutofit/>
                        </wps:bodyPr>
                      </wps:wsp>
                      <wps:wsp>
                        <wps:cNvPr id="118" name="Graphic 118"/>
                        <wps:cNvSpPr/>
                        <wps:spPr>
                          <a:xfrm>
                            <a:off x="182498" y="499541"/>
                            <a:ext cx="5410200" cy="736600"/>
                          </a:xfrm>
                          <a:custGeom>
                            <a:avLst/>
                            <a:gdLst/>
                            <a:ahLst/>
                            <a:cxnLst/>
                            <a:rect l="l" t="t" r="r" b="b"/>
                            <a:pathLst>
                              <a:path w="5410200" h="736600">
                                <a:moveTo>
                                  <a:pt x="0" y="0"/>
                                </a:moveTo>
                                <a:lnTo>
                                  <a:pt x="5410200" y="0"/>
                                </a:lnTo>
                                <a:lnTo>
                                  <a:pt x="5410200" y="735977"/>
                                </a:lnTo>
                                <a:lnTo>
                                  <a:pt x="0" y="735977"/>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24" cstate="print"/>
                          <a:stretch>
                            <a:fillRect/>
                          </a:stretch>
                        </pic:blipFill>
                        <pic:spPr>
                          <a:xfrm>
                            <a:off x="243477" y="345002"/>
                            <a:ext cx="223210" cy="205221"/>
                          </a:xfrm>
                          <a:prstGeom prst="rect">
                            <a:avLst/>
                          </a:prstGeom>
                        </pic:spPr>
                      </pic:pic>
                      <pic:pic xmlns:pic="http://schemas.openxmlformats.org/drawingml/2006/picture">
                        <pic:nvPicPr>
                          <pic:cNvPr id="120" name="Image 120"/>
                          <pic:cNvPicPr/>
                        </pic:nvPicPr>
                        <pic:blipFill>
                          <a:blip r:embed="rId25" cstate="print"/>
                          <a:stretch>
                            <a:fillRect/>
                          </a:stretch>
                        </pic:blipFill>
                        <pic:spPr>
                          <a:xfrm>
                            <a:off x="5299797" y="1183410"/>
                            <a:ext cx="223210" cy="205221"/>
                          </a:xfrm>
                          <a:prstGeom prst="rect">
                            <a:avLst/>
                          </a:prstGeom>
                        </pic:spPr>
                      </pic:pic>
                      <wps:wsp>
                        <wps:cNvPr id="121" name="Graphic 121"/>
                        <wps:cNvSpPr/>
                        <wps:spPr>
                          <a:xfrm>
                            <a:off x="174244" y="3092411"/>
                            <a:ext cx="5410200" cy="477520"/>
                          </a:xfrm>
                          <a:custGeom>
                            <a:avLst/>
                            <a:gdLst/>
                            <a:ahLst/>
                            <a:cxnLst/>
                            <a:rect l="l" t="t" r="r" b="b"/>
                            <a:pathLst>
                              <a:path w="5410200" h="477520">
                                <a:moveTo>
                                  <a:pt x="0" y="0"/>
                                </a:moveTo>
                                <a:lnTo>
                                  <a:pt x="5410200" y="0"/>
                                </a:lnTo>
                                <a:lnTo>
                                  <a:pt x="5410200" y="476935"/>
                                </a:lnTo>
                                <a:lnTo>
                                  <a:pt x="0" y="476935"/>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14" cstate="print"/>
                          <a:stretch>
                            <a:fillRect/>
                          </a:stretch>
                        </pic:blipFill>
                        <pic:spPr>
                          <a:xfrm>
                            <a:off x="235220" y="2937880"/>
                            <a:ext cx="223210" cy="205221"/>
                          </a:xfrm>
                          <a:prstGeom prst="rect">
                            <a:avLst/>
                          </a:prstGeom>
                        </pic:spPr>
                      </pic:pic>
                      <pic:pic xmlns:pic="http://schemas.openxmlformats.org/drawingml/2006/picture">
                        <pic:nvPicPr>
                          <pic:cNvPr id="123" name="Image 123"/>
                          <pic:cNvPicPr/>
                        </pic:nvPicPr>
                        <pic:blipFill>
                          <a:blip r:embed="rId20" cstate="print"/>
                          <a:stretch>
                            <a:fillRect/>
                          </a:stretch>
                        </pic:blipFill>
                        <pic:spPr>
                          <a:xfrm>
                            <a:off x="5290367" y="3510562"/>
                            <a:ext cx="223210" cy="205221"/>
                          </a:xfrm>
                          <a:prstGeom prst="rect">
                            <a:avLst/>
                          </a:prstGeom>
                        </pic:spPr>
                      </pic:pic>
                      <wps:wsp>
                        <wps:cNvPr id="124" name="Graphic 124"/>
                        <wps:cNvSpPr/>
                        <wps:spPr>
                          <a:xfrm>
                            <a:off x="172973" y="4727206"/>
                            <a:ext cx="5410200" cy="929005"/>
                          </a:xfrm>
                          <a:custGeom>
                            <a:avLst/>
                            <a:gdLst/>
                            <a:ahLst/>
                            <a:cxnLst/>
                            <a:rect l="l" t="t" r="r" b="b"/>
                            <a:pathLst>
                              <a:path w="5410200" h="929005">
                                <a:moveTo>
                                  <a:pt x="0" y="0"/>
                                </a:moveTo>
                                <a:lnTo>
                                  <a:pt x="5410200" y="0"/>
                                </a:lnTo>
                                <a:lnTo>
                                  <a:pt x="5410200" y="928598"/>
                                </a:lnTo>
                                <a:lnTo>
                                  <a:pt x="0" y="928598"/>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22" cstate="print"/>
                          <a:stretch>
                            <a:fillRect/>
                          </a:stretch>
                        </pic:blipFill>
                        <pic:spPr>
                          <a:xfrm>
                            <a:off x="233952" y="4572769"/>
                            <a:ext cx="223210" cy="205096"/>
                          </a:xfrm>
                          <a:prstGeom prst="rect">
                            <a:avLst/>
                          </a:prstGeom>
                        </pic:spPr>
                      </pic:pic>
                      <pic:pic xmlns:pic="http://schemas.openxmlformats.org/drawingml/2006/picture">
                        <pic:nvPicPr>
                          <pic:cNvPr id="126" name="Image 126"/>
                          <pic:cNvPicPr/>
                        </pic:nvPicPr>
                        <pic:blipFill>
                          <a:blip r:embed="rId20" cstate="print"/>
                          <a:stretch>
                            <a:fillRect/>
                          </a:stretch>
                        </pic:blipFill>
                        <pic:spPr>
                          <a:xfrm>
                            <a:off x="5290369" y="5609420"/>
                            <a:ext cx="223210" cy="205096"/>
                          </a:xfrm>
                          <a:prstGeom prst="rect">
                            <a:avLst/>
                          </a:prstGeom>
                        </pic:spPr>
                      </pic:pic>
                      <wps:wsp>
                        <wps:cNvPr id="127" name="Graphic 127"/>
                        <wps:cNvSpPr/>
                        <wps:spPr>
                          <a:xfrm>
                            <a:off x="172973" y="6776910"/>
                            <a:ext cx="5410200" cy="544195"/>
                          </a:xfrm>
                          <a:custGeom>
                            <a:avLst/>
                            <a:gdLst/>
                            <a:ahLst/>
                            <a:cxnLst/>
                            <a:rect l="l" t="t" r="r" b="b"/>
                            <a:pathLst>
                              <a:path w="5410200" h="544195">
                                <a:moveTo>
                                  <a:pt x="0" y="0"/>
                                </a:moveTo>
                                <a:lnTo>
                                  <a:pt x="5410200" y="0"/>
                                </a:lnTo>
                                <a:lnTo>
                                  <a:pt x="5410200" y="544144"/>
                                </a:lnTo>
                                <a:lnTo>
                                  <a:pt x="0" y="544144"/>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22" cstate="print"/>
                          <a:stretch>
                            <a:fillRect/>
                          </a:stretch>
                        </pic:blipFill>
                        <pic:spPr>
                          <a:xfrm>
                            <a:off x="233952" y="6622465"/>
                            <a:ext cx="223210" cy="205096"/>
                          </a:xfrm>
                          <a:prstGeom prst="rect">
                            <a:avLst/>
                          </a:prstGeom>
                        </pic:spPr>
                      </pic:pic>
                      <pic:pic xmlns:pic="http://schemas.openxmlformats.org/drawingml/2006/picture">
                        <pic:nvPicPr>
                          <pic:cNvPr id="129" name="Image 129"/>
                          <pic:cNvPicPr/>
                        </pic:nvPicPr>
                        <pic:blipFill>
                          <a:blip r:embed="rId20" cstate="print"/>
                          <a:stretch>
                            <a:fillRect/>
                          </a:stretch>
                        </pic:blipFill>
                        <pic:spPr>
                          <a:xfrm>
                            <a:off x="5289197" y="7252715"/>
                            <a:ext cx="223210" cy="205096"/>
                          </a:xfrm>
                          <a:prstGeom prst="rect">
                            <a:avLst/>
                          </a:prstGeom>
                        </pic:spPr>
                      </pic:pic>
                    </wpg:wgp>
                  </a:graphicData>
                </a:graphic>
              </wp:anchor>
            </w:drawing>
          </mc:Choice>
          <mc:Fallback>
            <w:pict>
              <v:group w14:anchorId="04E66776" id="Group 113" o:spid="_x0000_s1026" alt="&#10;From an institutional perspective, things are improving.We can generate SOPs and adjust the data cycle.The structure has also been revised since coaching in early September 2024&#10;DKISP (Walidata)&#10;&#10;&#10;&#10;&#10;Since 2025, support from the SKALA Program has driven change through a new approach. The One Data Forum team’s “door-to-door” verification method goes beyond simply collecting data from provincial agencies; it directly mentors them, ensuring each step in the data cycle is understood and properly executed.&#10;This approach has proven effective, as stated by a Data Coach from the Central Statistics Agency (BPS). They noted an 85% improvement in data quality of, with 89% data availability from a total of 1,961 verified data lists throughout 2025. The capacity of data producers in provincial agencies is also improving, particularly in understanding the importance of data validation. This marks a major shift from administrative data collection to standardised and trusted data governance.&#10;&#10;&#10;&#10;Now we feel that the data we submit has value, is accountable, and supports the decision-making process.&#10;&#10;&#10;&#10;The synergy between Bappeda, DKISP, and BPS, supported by SKALA, strengthens data governance through regular meetings that provide space for discussion, learning, and joint solutions. This collaboration has successfully improved the availability and quality of comprehensive sectoral statistical data, supporting evidence-based regional development planning and decision-making.&#10;&#10;&#10;&#10;Before SKALA, there was coaching but it was not optimal. The presence of SKALA allows us to collect complete metadata and makes it easier for provincial agencies to understand what needs to be done. We know the journey is still long, but now we have a true partner supporting us every step of the way.&#10;Data Supervisor (BPS Kalimantan Utara Province)&#10;&#10;&#10;&#10;S TO R Y 2 :&#10;Provincial Government’s Strong Commitment to Realising Inclusive Development Planning through Community Participation&#10;&#10;&#10;This forum shows the government's partiality to groups that have been marginalised&#10;Ingkong Ala, Vice Governor of Kalimantan Utara&#10;&#10;&#10;In Kalimantan Utara, the provincial government not only formulates policies but also seeks to directly hear the voices of the community, especially groups that have been underrepresented, such as women, children, persons with disabilities, and other vulnerable groups. The MENTARI KALTARA Inclusive Aspiration Screening Forum was established as a tangible manifestation of this commitment, institutionalised through a Decree of the Head of Bappeda Litbang and supported by the Governor’s instruction to make this inclusive forum an integral part of the regional development planning process.&#10;" style="position:absolute;margin-left:70.7pt;margin-top:70.9pt;width:455.05pt;height:664.85pt;z-index:-24645120;mso-wrap-distance-left:0;mso-wrap-distance-right:0;mso-position-horizontal-relative:page;mso-position-vertical-relative:page" coordsize="57791,84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">
                <v:shape id="Graphic 114" o:spid="_x0000_s1027" style="position:absolute;left:60;top:61;width:57658;height:59486;visibility:visible;mso-wrap-style:square;v-text-anchor:top" coordsize="5765800,594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" path="m5765292,l,,,5948171r5765292,l5765292,xe" fillcolor="#e1f1ef" stroked="f">
                  <v:path arrowok="t"/>
                </v:shape>
                <v:shape id="Graphic 115" o:spid="_x0000_s1028" style="position:absolute;width:57791;height:59543;visibility:visible;mso-wrap-style:square;v-text-anchor:top" coordsize="5779135,595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" path="m5779008,r-6096,l6108,,,,,6108,,5954280r6108,l6108,6108r5766804,l5772912,5954280r6096,l5779008,6108r,-6108xe" fillcolor="#bebebe" stroked="f">
                  <v:path arrowok="t"/>
                </v:shape>
                <v:shape id="Graphic 116" o:spid="_x0000_s1029" style="position:absolute;left:60;top:59619;width:57658;height:24752;visibility:visible;mso-wrap-style:square;v-text-anchor:top" coordsize="5765800,24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" path="m5765292,l,,,2474975r5765292,l5765292,xe" fillcolor="#e1f1ef" stroked="f">
                  <v:path arrowok="t"/>
                </v:shape>
                <v:shape id="Graphic 117" o:spid="_x0000_s1030" style="position:absolute;top:59542;width:57791;height:24892;visibility:visible;mso-wrap-style:square;v-text-anchor:top" coordsize="5779135,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" path="m5779008,r-6096,l5772912,6096r,2476500l6108,2482596,6108,6096r5766804,l5772912,,6108,,,,,6096,,2482596r,6096l6096,2488692r5766816,l5779008,2488692r,-6096l5779008,6096r,-6096xe" fillcolor="#bebebe" stroked="f">
                  <v:path arrowok="t"/>
                </v:shape>
                <v:shape id="Graphic 118" o:spid="_x0000_s1031" style="position:absolute;left:1824;top:4995;width:54102;height:7366;visibility:visible;mso-wrap-style:square;v-text-anchor:top" coordsize="541020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" path="m,l5410200,r,735977l,735977,,xe" filled="f" strokecolor="#17365a" strokeweight="1pt">
                  <v:path arrowok="t"/>
                </v:shape>
                <v:shape id="Image 119" o:spid="_x0000_s1032" type="#_x0000_t75" style="position:absolute;left:2434;top:3450;width:2232;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">
                  <v:imagedata r:id="rId26" o:title=""/>
                </v:shape>
                <v:shape id="Image 120" o:spid="_x0000_s1033" type="#_x0000_t75" style="position:absolute;left:52997;top:11834;width:2233;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">
                  <v:imagedata r:id="rId27" o:title=""/>
                </v:shape>
                <v:shape id="Graphic 121" o:spid="_x0000_s1034" style="position:absolute;left:1742;top:30924;width:54102;height:4775;visibility:visible;mso-wrap-style:square;v-text-anchor:top" coordsize="541020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" path="m,l5410200,r,476935l,476935,,xe" filled="f" strokecolor="#17365a" strokeweight="1pt">
                  <v:path arrowok="t"/>
                </v:shape>
                <v:shape id="Image 122" o:spid="_x0000_s1035" type="#_x0000_t75" style="position:absolute;left:2352;top:29378;width:2232;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">
                  <v:imagedata r:id="rId16" o:title=""/>
                </v:shape>
                <v:shape id="Image 123" o:spid="_x0000_s1036" type="#_x0000_t75" style="position:absolute;left:52903;top:35105;width:2232;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">
                  <v:imagedata r:id="rId21" o:title=""/>
                </v:shape>
                <v:shape id="Graphic 124" o:spid="_x0000_s1037" style="position:absolute;left:1729;top:47272;width:54102;height:9290;visibility:visible;mso-wrap-style:square;v-text-anchor:top" coordsize="5410200,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" path="m,l5410200,r,928598l,928598,,xe" filled="f" strokecolor="#17365a" strokeweight="1pt">
                  <v:path arrowok="t"/>
                </v:shape>
                <v:shape id="Image 125" o:spid="_x0000_s1038" type="#_x0000_t75" style="position:absolute;left:2339;top:45727;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">
                  <v:imagedata r:id="rId23" o:title=""/>
                </v:shape>
                <v:shape id="Image 126" o:spid="_x0000_s1039" type="#_x0000_t75" style="position:absolute;left:52903;top:56094;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">
                  <v:imagedata r:id="rId21" o:title=""/>
                </v:shape>
                <v:shape id="Graphic 127" o:spid="_x0000_s1040" style="position:absolute;left:1729;top:67769;width:54102;height:5442;visibility:visible;mso-wrap-style:square;v-text-anchor:top" coordsize="541020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" path="m,l5410200,r,544144l,544144,,xe" filled="f" strokecolor="#17365a" strokeweight="1pt">
                  <v:path arrowok="t"/>
                </v:shape>
                <v:shape id="Image 128" o:spid="_x0000_s1041" type="#_x0000_t75" style="position:absolute;left:2339;top:66224;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">
                  <v:imagedata r:id="rId23" o:title=""/>
                </v:shape>
                <v:shape id="Image 129" o:spid="_x0000_s1042" type="#_x0000_t75" style="position:absolute;left:52891;top:72527;width:2233;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">
                  <v:imagedata r:id="rId21" o:title=""/>
                </v:shape>
                <w10:wrap anchorx="page" anchory="page"/>
              </v:group>
            </w:pict>
          </mc:Fallback>
        </mc:AlternateContent>
      </w:r>
    </w:p>
    <w:p w14:paraId="4FEFF08D" w14:textId="77777777" w:rsidR="00BC24A8" w:rsidRDefault="00BC24A8">
      <w:pPr>
        <w:pStyle w:val="BodyText"/>
        <w:rPr>
          <w:rFonts w:ascii="Calibri"/>
          <w:sz w:val="18"/>
        </w:rPr>
      </w:pPr>
    </w:p>
    <w:p w14:paraId="42EC242B" w14:textId="77777777" w:rsidR="00BC24A8" w:rsidRDefault="00BC24A8">
      <w:pPr>
        <w:pStyle w:val="BodyText"/>
        <w:rPr>
          <w:rFonts w:ascii="Calibri"/>
          <w:sz w:val="18"/>
        </w:rPr>
      </w:pPr>
    </w:p>
    <w:p w14:paraId="78346261" w14:textId="77777777" w:rsidR="00BC24A8" w:rsidRDefault="00BC24A8">
      <w:pPr>
        <w:pStyle w:val="BodyText"/>
        <w:spacing w:before="126"/>
        <w:rPr>
          <w:rFonts w:ascii="Calibri"/>
          <w:sz w:val="18"/>
        </w:rPr>
      </w:pPr>
    </w:p>
    <w:p w14:paraId="0CAF1E80" w14:textId="77777777" w:rsidR="00BC24A8" w:rsidRDefault="00000000">
      <w:pPr>
        <w:spacing w:line="290" w:lineRule="auto"/>
        <w:ind w:left="724" w:right="648"/>
        <w:rPr>
          <w:rFonts w:ascii="Times New Roman"/>
          <w:b/>
          <w:i/>
          <w:sz w:val="18"/>
        </w:rPr>
      </w:pPr>
      <w:r>
        <w:rPr>
          <w:rFonts w:ascii="Times New Roman"/>
          <w:b/>
          <w:i/>
          <w:color w:val="17365A"/>
          <w:sz w:val="18"/>
        </w:rPr>
        <w:t>From</w:t>
      </w:r>
      <w:r>
        <w:rPr>
          <w:rFonts w:ascii="Times New Roman"/>
          <w:b/>
          <w:i/>
          <w:color w:val="17365A"/>
          <w:spacing w:val="-12"/>
          <w:sz w:val="18"/>
        </w:rPr>
        <w:t xml:space="preserve"> </w:t>
      </w:r>
      <w:r>
        <w:rPr>
          <w:rFonts w:ascii="Times New Roman"/>
          <w:b/>
          <w:i/>
          <w:color w:val="17365A"/>
          <w:sz w:val="18"/>
        </w:rPr>
        <w:t>an</w:t>
      </w:r>
      <w:r>
        <w:rPr>
          <w:rFonts w:ascii="Times New Roman"/>
          <w:b/>
          <w:i/>
          <w:color w:val="17365A"/>
          <w:spacing w:val="-11"/>
          <w:sz w:val="18"/>
        </w:rPr>
        <w:t xml:space="preserve"> </w:t>
      </w:r>
      <w:r>
        <w:rPr>
          <w:rFonts w:ascii="Times New Roman"/>
          <w:b/>
          <w:i/>
          <w:color w:val="17365A"/>
          <w:sz w:val="18"/>
        </w:rPr>
        <w:t>institutional</w:t>
      </w:r>
      <w:r>
        <w:rPr>
          <w:rFonts w:ascii="Times New Roman"/>
          <w:b/>
          <w:i/>
          <w:color w:val="17365A"/>
          <w:spacing w:val="-11"/>
          <w:sz w:val="18"/>
        </w:rPr>
        <w:t xml:space="preserve"> </w:t>
      </w:r>
      <w:r>
        <w:rPr>
          <w:rFonts w:ascii="Times New Roman"/>
          <w:b/>
          <w:i/>
          <w:color w:val="17365A"/>
          <w:sz w:val="18"/>
        </w:rPr>
        <w:t>perspective,</w:t>
      </w:r>
      <w:r>
        <w:rPr>
          <w:rFonts w:ascii="Times New Roman"/>
          <w:b/>
          <w:i/>
          <w:color w:val="17365A"/>
          <w:spacing w:val="-11"/>
          <w:sz w:val="18"/>
        </w:rPr>
        <w:t xml:space="preserve"> </w:t>
      </w:r>
      <w:r>
        <w:rPr>
          <w:rFonts w:ascii="Times New Roman"/>
          <w:b/>
          <w:i/>
          <w:color w:val="17365A"/>
          <w:sz w:val="18"/>
        </w:rPr>
        <w:t>things</w:t>
      </w:r>
      <w:r>
        <w:rPr>
          <w:rFonts w:ascii="Times New Roman"/>
          <w:b/>
          <w:i/>
          <w:color w:val="17365A"/>
          <w:spacing w:val="-12"/>
          <w:sz w:val="18"/>
        </w:rPr>
        <w:t xml:space="preserve"> </w:t>
      </w:r>
      <w:r>
        <w:rPr>
          <w:rFonts w:ascii="Times New Roman"/>
          <w:b/>
          <w:i/>
          <w:color w:val="17365A"/>
          <w:sz w:val="18"/>
        </w:rPr>
        <w:t>are</w:t>
      </w:r>
      <w:r>
        <w:rPr>
          <w:rFonts w:ascii="Times New Roman"/>
          <w:b/>
          <w:i/>
          <w:color w:val="17365A"/>
          <w:spacing w:val="-11"/>
          <w:sz w:val="18"/>
        </w:rPr>
        <w:t xml:space="preserve"> </w:t>
      </w:r>
      <w:r>
        <w:rPr>
          <w:rFonts w:ascii="Times New Roman"/>
          <w:b/>
          <w:i/>
          <w:color w:val="17365A"/>
          <w:sz w:val="18"/>
        </w:rPr>
        <w:t>improving.We</w:t>
      </w:r>
      <w:r>
        <w:rPr>
          <w:rFonts w:ascii="Times New Roman"/>
          <w:b/>
          <w:i/>
          <w:color w:val="17365A"/>
          <w:spacing w:val="-11"/>
          <w:sz w:val="18"/>
        </w:rPr>
        <w:t xml:space="preserve"> </w:t>
      </w:r>
      <w:r>
        <w:rPr>
          <w:rFonts w:ascii="Times New Roman"/>
          <w:b/>
          <w:i/>
          <w:color w:val="17365A"/>
          <w:sz w:val="18"/>
        </w:rPr>
        <w:t>can</w:t>
      </w:r>
      <w:r>
        <w:rPr>
          <w:rFonts w:ascii="Times New Roman"/>
          <w:b/>
          <w:i/>
          <w:color w:val="17365A"/>
          <w:spacing w:val="-11"/>
          <w:sz w:val="18"/>
        </w:rPr>
        <w:t xml:space="preserve"> </w:t>
      </w:r>
      <w:r>
        <w:rPr>
          <w:rFonts w:ascii="Times New Roman"/>
          <w:b/>
          <w:i/>
          <w:color w:val="17365A"/>
          <w:sz w:val="18"/>
        </w:rPr>
        <w:t>generate</w:t>
      </w:r>
      <w:r>
        <w:rPr>
          <w:rFonts w:ascii="Times New Roman"/>
          <w:b/>
          <w:i/>
          <w:color w:val="17365A"/>
          <w:spacing w:val="-12"/>
          <w:sz w:val="18"/>
        </w:rPr>
        <w:t xml:space="preserve"> </w:t>
      </w:r>
      <w:r>
        <w:rPr>
          <w:rFonts w:ascii="Times New Roman"/>
          <w:b/>
          <w:i/>
          <w:color w:val="17365A"/>
          <w:sz w:val="18"/>
        </w:rPr>
        <w:t>SOPs</w:t>
      </w:r>
      <w:r>
        <w:rPr>
          <w:rFonts w:ascii="Times New Roman"/>
          <w:b/>
          <w:i/>
          <w:color w:val="17365A"/>
          <w:spacing w:val="-11"/>
          <w:sz w:val="18"/>
        </w:rPr>
        <w:t xml:space="preserve"> </w:t>
      </w:r>
      <w:r>
        <w:rPr>
          <w:rFonts w:ascii="Times New Roman"/>
          <w:b/>
          <w:i/>
          <w:color w:val="17365A"/>
          <w:sz w:val="18"/>
        </w:rPr>
        <w:t>and</w:t>
      </w:r>
      <w:r>
        <w:rPr>
          <w:rFonts w:ascii="Times New Roman"/>
          <w:b/>
          <w:i/>
          <w:color w:val="17365A"/>
          <w:spacing w:val="-11"/>
          <w:sz w:val="18"/>
        </w:rPr>
        <w:t xml:space="preserve"> </w:t>
      </w:r>
      <w:r>
        <w:rPr>
          <w:rFonts w:ascii="Times New Roman"/>
          <w:b/>
          <w:i/>
          <w:color w:val="17365A"/>
          <w:sz w:val="18"/>
        </w:rPr>
        <w:t>adjust</w:t>
      </w:r>
      <w:r>
        <w:rPr>
          <w:rFonts w:ascii="Times New Roman"/>
          <w:b/>
          <w:i/>
          <w:color w:val="17365A"/>
          <w:spacing w:val="-11"/>
          <w:sz w:val="18"/>
        </w:rPr>
        <w:t xml:space="preserve"> </w:t>
      </w:r>
      <w:r>
        <w:rPr>
          <w:rFonts w:ascii="Times New Roman"/>
          <w:b/>
          <w:i/>
          <w:color w:val="17365A"/>
          <w:sz w:val="18"/>
        </w:rPr>
        <w:t>the</w:t>
      </w:r>
      <w:r>
        <w:rPr>
          <w:rFonts w:ascii="Times New Roman"/>
          <w:b/>
          <w:i/>
          <w:color w:val="17365A"/>
          <w:spacing w:val="-12"/>
          <w:sz w:val="18"/>
        </w:rPr>
        <w:t xml:space="preserve"> </w:t>
      </w:r>
      <w:r>
        <w:rPr>
          <w:rFonts w:ascii="Times New Roman"/>
          <w:b/>
          <w:i/>
          <w:color w:val="17365A"/>
          <w:sz w:val="18"/>
        </w:rPr>
        <w:t>data</w:t>
      </w:r>
      <w:r>
        <w:rPr>
          <w:rFonts w:ascii="Times New Roman"/>
          <w:b/>
          <w:i/>
          <w:color w:val="17365A"/>
          <w:spacing w:val="-11"/>
          <w:sz w:val="18"/>
        </w:rPr>
        <w:t xml:space="preserve"> </w:t>
      </w:r>
      <w:r>
        <w:rPr>
          <w:rFonts w:ascii="Times New Roman"/>
          <w:b/>
          <w:i/>
          <w:color w:val="17365A"/>
          <w:sz w:val="18"/>
        </w:rPr>
        <w:t>cycle.The structure</w:t>
      </w:r>
      <w:r>
        <w:rPr>
          <w:rFonts w:ascii="Times New Roman"/>
          <w:b/>
          <w:i/>
          <w:color w:val="17365A"/>
          <w:spacing w:val="-3"/>
          <w:sz w:val="18"/>
        </w:rPr>
        <w:t xml:space="preserve"> </w:t>
      </w:r>
      <w:r>
        <w:rPr>
          <w:rFonts w:ascii="Times New Roman"/>
          <w:b/>
          <w:i/>
          <w:color w:val="17365A"/>
          <w:sz w:val="18"/>
        </w:rPr>
        <w:t>has</w:t>
      </w:r>
      <w:r>
        <w:rPr>
          <w:rFonts w:ascii="Times New Roman"/>
          <w:b/>
          <w:i/>
          <w:color w:val="17365A"/>
          <w:spacing w:val="-1"/>
          <w:sz w:val="18"/>
        </w:rPr>
        <w:t xml:space="preserve"> </w:t>
      </w:r>
      <w:r>
        <w:rPr>
          <w:rFonts w:ascii="Times New Roman"/>
          <w:b/>
          <w:i/>
          <w:color w:val="17365A"/>
          <w:sz w:val="18"/>
        </w:rPr>
        <w:t>also</w:t>
      </w:r>
      <w:r>
        <w:rPr>
          <w:rFonts w:ascii="Times New Roman"/>
          <w:b/>
          <w:i/>
          <w:color w:val="17365A"/>
          <w:spacing w:val="-2"/>
          <w:sz w:val="18"/>
        </w:rPr>
        <w:t xml:space="preserve"> </w:t>
      </w:r>
      <w:r>
        <w:rPr>
          <w:rFonts w:ascii="Times New Roman"/>
          <w:b/>
          <w:i/>
          <w:color w:val="17365A"/>
          <w:sz w:val="18"/>
        </w:rPr>
        <w:t>been</w:t>
      </w:r>
      <w:r>
        <w:rPr>
          <w:rFonts w:ascii="Times New Roman"/>
          <w:b/>
          <w:i/>
          <w:color w:val="17365A"/>
          <w:spacing w:val="-3"/>
          <w:sz w:val="18"/>
        </w:rPr>
        <w:t xml:space="preserve"> </w:t>
      </w:r>
      <w:r>
        <w:rPr>
          <w:rFonts w:ascii="Times New Roman"/>
          <w:b/>
          <w:i/>
          <w:color w:val="17365A"/>
          <w:sz w:val="18"/>
        </w:rPr>
        <w:t>revised</w:t>
      </w:r>
      <w:r>
        <w:rPr>
          <w:rFonts w:ascii="Times New Roman"/>
          <w:b/>
          <w:i/>
          <w:color w:val="17365A"/>
          <w:spacing w:val="-3"/>
          <w:sz w:val="18"/>
        </w:rPr>
        <w:t xml:space="preserve"> </w:t>
      </w:r>
      <w:r>
        <w:rPr>
          <w:rFonts w:ascii="Times New Roman"/>
          <w:b/>
          <w:i/>
          <w:color w:val="17365A"/>
          <w:sz w:val="18"/>
        </w:rPr>
        <w:t>since</w:t>
      </w:r>
      <w:r>
        <w:rPr>
          <w:rFonts w:ascii="Times New Roman"/>
          <w:b/>
          <w:i/>
          <w:color w:val="17365A"/>
          <w:spacing w:val="-3"/>
          <w:sz w:val="18"/>
        </w:rPr>
        <w:t xml:space="preserve"> </w:t>
      </w:r>
      <w:r>
        <w:rPr>
          <w:rFonts w:ascii="Times New Roman"/>
          <w:b/>
          <w:i/>
          <w:color w:val="17365A"/>
          <w:sz w:val="18"/>
        </w:rPr>
        <w:t>coaching</w:t>
      </w:r>
      <w:r>
        <w:rPr>
          <w:rFonts w:ascii="Times New Roman"/>
          <w:b/>
          <w:i/>
          <w:color w:val="17365A"/>
          <w:spacing w:val="-1"/>
          <w:sz w:val="18"/>
        </w:rPr>
        <w:t xml:space="preserve"> </w:t>
      </w:r>
      <w:r>
        <w:rPr>
          <w:rFonts w:ascii="Times New Roman"/>
          <w:b/>
          <w:i/>
          <w:color w:val="17365A"/>
          <w:sz w:val="18"/>
        </w:rPr>
        <w:t>in</w:t>
      </w:r>
      <w:r>
        <w:rPr>
          <w:rFonts w:ascii="Times New Roman"/>
          <w:b/>
          <w:i/>
          <w:color w:val="17365A"/>
          <w:spacing w:val="-3"/>
          <w:sz w:val="18"/>
        </w:rPr>
        <w:t xml:space="preserve"> </w:t>
      </w:r>
      <w:r>
        <w:rPr>
          <w:rFonts w:ascii="Times New Roman"/>
          <w:b/>
          <w:i/>
          <w:color w:val="17365A"/>
          <w:sz w:val="18"/>
        </w:rPr>
        <w:t>early September 2024</w:t>
      </w:r>
    </w:p>
    <w:p w14:paraId="3531C056" w14:textId="77777777" w:rsidR="00BC24A8" w:rsidRDefault="00000000">
      <w:pPr>
        <w:spacing w:line="205" w:lineRule="exact"/>
        <w:ind w:left="724"/>
        <w:rPr>
          <w:i/>
          <w:sz w:val="18"/>
        </w:rPr>
      </w:pPr>
      <w:r>
        <w:rPr>
          <w:i/>
          <w:color w:val="17365A"/>
          <w:sz w:val="18"/>
        </w:rPr>
        <w:t>DKISP</w:t>
      </w:r>
      <w:r>
        <w:rPr>
          <w:i/>
          <w:color w:val="17365A"/>
          <w:spacing w:val="-2"/>
          <w:sz w:val="18"/>
        </w:rPr>
        <w:t xml:space="preserve"> (Walidata)</w:t>
      </w:r>
    </w:p>
    <w:p w14:paraId="50AC60AF" w14:textId="77777777" w:rsidR="00BC24A8" w:rsidRDefault="00BC24A8">
      <w:pPr>
        <w:pStyle w:val="BodyText"/>
        <w:rPr>
          <w:i/>
          <w:sz w:val="18"/>
        </w:rPr>
      </w:pPr>
    </w:p>
    <w:p w14:paraId="0005F152" w14:textId="77777777" w:rsidR="00BC24A8" w:rsidRDefault="00BC24A8">
      <w:pPr>
        <w:pStyle w:val="BodyText"/>
        <w:rPr>
          <w:i/>
          <w:sz w:val="18"/>
        </w:rPr>
      </w:pPr>
    </w:p>
    <w:p w14:paraId="7F077ECC" w14:textId="77777777" w:rsidR="00BC24A8" w:rsidRDefault="00BC24A8">
      <w:pPr>
        <w:pStyle w:val="BodyText"/>
        <w:rPr>
          <w:i/>
          <w:sz w:val="18"/>
        </w:rPr>
      </w:pPr>
    </w:p>
    <w:p w14:paraId="5D985829" w14:textId="77777777" w:rsidR="00BC24A8" w:rsidRDefault="00BC24A8">
      <w:pPr>
        <w:pStyle w:val="BodyText"/>
        <w:spacing w:before="42"/>
        <w:rPr>
          <w:i/>
          <w:sz w:val="18"/>
        </w:rPr>
      </w:pPr>
    </w:p>
    <w:p w14:paraId="387B14DB" w14:textId="77777777" w:rsidR="00BC24A8" w:rsidRDefault="00000000">
      <w:pPr>
        <w:ind w:left="395" w:right="796"/>
        <w:jc w:val="both"/>
        <w:rPr>
          <w:sz w:val="18"/>
        </w:rPr>
      </w:pPr>
      <w:r>
        <w:rPr>
          <w:sz w:val="18"/>
        </w:rPr>
        <w:t>Since 2025, support from the SKALA Program has driven change through a new</w:t>
      </w:r>
      <w:r>
        <w:rPr>
          <w:spacing w:val="-1"/>
          <w:sz w:val="18"/>
        </w:rPr>
        <w:t xml:space="preserve"> </w:t>
      </w:r>
      <w:r>
        <w:rPr>
          <w:sz w:val="18"/>
        </w:rPr>
        <w:t>approach. The One Data Forum team’s “door-to-door” verification method goes beyond simply collecting data from provincial agencies; it directly mentors them, ensuring each step in the data cycle is understood and properly executed.</w:t>
      </w:r>
    </w:p>
    <w:p w14:paraId="64DBE7FA" w14:textId="77777777" w:rsidR="00BC24A8" w:rsidRDefault="00000000">
      <w:pPr>
        <w:spacing w:before="219"/>
        <w:ind w:left="395" w:right="795"/>
        <w:jc w:val="both"/>
        <w:rPr>
          <w:sz w:val="18"/>
        </w:rPr>
      </w:pPr>
      <w:r>
        <w:rPr>
          <w:sz w:val="18"/>
        </w:rPr>
        <w:t>This approach has proven effective, as stated by a Data Coach from the Central Statistics Agency (BPS). They noted an 85%</w:t>
      </w:r>
      <w:r>
        <w:rPr>
          <w:spacing w:val="-4"/>
          <w:sz w:val="18"/>
        </w:rPr>
        <w:t xml:space="preserve"> </w:t>
      </w:r>
      <w:r>
        <w:rPr>
          <w:sz w:val="18"/>
        </w:rPr>
        <w:t>improvement</w:t>
      </w:r>
      <w:r>
        <w:rPr>
          <w:spacing w:val="-3"/>
          <w:sz w:val="18"/>
        </w:rPr>
        <w:t xml:space="preserve"> </w:t>
      </w:r>
      <w:r>
        <w:rPr>
          <w:sz w:val="18"/>
        </w:rPr>
        <w:t>in</w:t>
      </w:r>
      <w:r>
        <w:rPr>
          <w:spacing w:val="-4"/>
          <w:sz w:val="18"/>
        </w:rPr>
        <w:t xml:space="preserve"> </w:t>
      </w:r>
      <w:r>
        <w:rPr>
          <w:sz w:val="18"/>
        </w:rPr>
        <w:t>data</w:t>
      </w:r>
      <w:r>
        <w:rPr>
          <w:spacing w:val="-5"/>
          <w:sz w:val="18"/>
        </w:rPr>
        <w:t xml:space="preserve"> </w:t>
      </w:r>
      <w:r>
        <w:rPr>
          <w:sz w:val="18"/>
        </w:rPr>
        <w:t>quality</w:t>
      </w:r>
      <w:r>
        <w:rPr>
          <w:spacing w:val="-4"/>
          <w:sz w:val="18"/>
        </w:rPr>
        <w:t xml:space="preserve"> </w:t>
      </w:r>
      <w:r>
        <w:rPr>
          <w:sz w:val="18"/>
        </w:rPr>
        <w:t>of,</w:t>
      </w:r>
      <w:r>
        <w:rPr>
          <w:spacing w:val="-5"/>
          <w:sz w:val="18"/>
        </w:rPr>
        <w:t xml:space="preserve"> </w:t>
      </w:r>
      <w:r>
        <w:rPr>
          <w:sz w:val="18"/>
        </w:rPr>
        <w:t>with</w:t>
      </w:r>
      <w:r>
        <w:rPr>
          <w:spacing w:val="-4"/>
          <w:sz w:val="18"/>
        </w:rPr>
        <w:t xml:space="preserve"> </w:t>
      </w:r>
      <w:r>
        <w:rPr>
          <w:sz w:val="18"/>
        </w:rPr>
        <w:t>89%</w:t>
      </w:r>
      <w:r>
        <w:rPr>
          <w:spacing w:val="-4"/>
          <w:sz w:val="18"/>
        </w:rPr>
        <w:t xml:space="preserve"> </w:t>
      </w:r>
      <w:r>
        <w:rPr>
          <w:sz w:val="18"/>
        </w:rPr>
        <w:t>data</w:t>
      </w:r>
      <w:r>
        <w:rPr>
          <w:spacing w:val="-5"/>
          <w:sz w:val="18"/>
        </w:rPr>
        <w:t xml:space="preserve"> </w:t>
      </w:r>
      <w:r>
        <w:rPr>
          <w:sz w:val="18"/>
        </w:rPr>
        <w:t>availability</w:t>
      </w:r>
      <w:r>
        <w:rPr>
          <w:spacing w:val="-4"/>
          <w:sz w:val="18"/>
        </w:rPr>
        <w:t xml:space="preserve"> </w:t>
      </w:r>
      <w:r>
        <w:rPr>
          <w:sz w:val="18"/>
        </w:rPr>
        <w:t>from</w:t>
      </w:r>
      <w:r>
        <w:rPr>
          <w:spacing w:val="-5"/>
          <w:sz w:val="18"/>
        </w:rPr>
        <w:t xml:space="preserve"> </w:t>
      </w:r>
      <w:r>
        <w:rPr>
          <w:sz w:val="18"/>
        </w:rPr>
        <w:t>a</w:t>
      </w:r>
      <w:r>
        <w:rPr>
          <w:spacing w:val="-5"/>
          <w:sz w:val="18"/>
        </w:rPr>
        <w:t xml:space="preserve"> </w:t>
      </w:r>
      <w:r>
        <w:rPr>
          <w:sz w:val="18"/>
        </w:rPr>
        <w:t>total</w:t>
      </w:r>
      <w:r>
        <w:rPr>
          <w:spacing w:val="-3"/>
          <w:sz w:val="18"/>
        </w:rPr>
        <w:t xml:space="preserve"> </w:t>
      </w:r>
      <w:r>
        <w:rPr>
          <w:sz w:val="18"/>
        </w:rPr>
        <w:t>of</w:t>
      </w:r>
      <w:r>
        <w:rPr>
          <w:spacing w:val="-5"/>
          <w:sz w:val="18"/>
        </w:rPr>
        <w:t xml:space="preserve"> </w:t>
      </w:r>
      <w:r>
        <w:rPr>
          <w:sz w:val="18"/>
        </w:rPr>
        <w:t>1,961</w:t>
      </w:r>
      <w:r>
        <w:rPr>
          <w:spacing w:val="-4"/>
          <w:sz w:val="18"/>
        </w:rPr>
        <w:t xml:space="preserve"> </w:t>
      </w:r>
      <w:r>
        <w:rPr>
          <w:sz w:val="18"/>
        </w:rPr>
        <w:t>verified</w:t>
      </w:r>
      <w:r>
        <w:rPr>
          <w:spacing w:val="-4"/>
          <w:sz w:val="18"/>
        </w:rPr>
        <w:t xml:space="preserve"> </w:t>
      </w:r>
      <w:r>
        <w:rPr>
          <w:sz w:val="18"/>
        </w:rPr>
        <w:t>data</w:t>
      </w:r>
      <w:r>
        <w:rPr>
          <w:spacing w:val="-5"/>
          <w:sz w:val="18"/>
        </w:rPr>
        <w:t xml:space="preserve"> </w:t>
      </w:r>
      <w:r>
        <w:rPr>
          <w:sz w:val="18"/>
        </w:rPr>
        <w:t>lists</w:t>
      </w:r>
      <w:r>
        <w:rPr>
          <w:spacing w:val="-7"/>
          <w:sz w:val="18"/>
        </w:rPr>
        <w:t xml:space="preserve"> </w:t>
      </w:r>
      <w:r>
        <w:rPr>
          <w:sz w:val="18"/>
        </w:rPr>
        <w:t>throughout</w:t>
      </w:r>
      <w:r>
        <w:rPr>
          <w:spacing w:val="-3"/>
          <w:sz w:val="18"/>
        </w:rPr>
        <w:t xml:space="preserve"> </w:t>
      </w:r>
      <w:r>
        <w:rPr>
          <w:sz w:val="18"/>
        </w:rPr>
        <w:t>2025. The</w:t>
      </w:r>
      <w:r>
        <w:rPr>
          <w:spacing w:val="-1"/>
          <w:sz w:val="18"/>
        </w:rPr>
        <w:t xml:space="preserve"> </w:t>
      </w:r>
      <w:r>
        <w:rPr>
          <w:sz w:val="18"/>
        </w:rPr>
        <w:t>capacity</w:t>
      </w:r>
      <w:r>
        <w:rPr>
          <w:spacing w:val="-1"/>
          <w:sz w:val="18"/>
        </w:rPr>
        <w:t xml:space="preserve"> </w:t>
      </w:r>
      <w:r>
        <w:rPr>
          <w:sz w:val="18"/>
        </w:rPr>
        <w:t>of</w:t>
      </w:r>
      <w:r>
        <w:rPr>
          <w:spacing w:val="-2"/>
          <w:sz w:val="18"/>
        </w:rPr>
        <w:t xml:space="preserve"> </w:t>
      </w:r>
      <w:r>
        <w:rPr>
          <w:sz w:val="18"/>
        </w:rPr>
        <w:t>data</w:t>
      </w:r>
      <w:r>
        <w:rPr>
          <w:spacing w:val="-2"/>
          <w:sz w:val="18"/>
        </w:rPr>
        <w:t xml:space="preserve"> </w:t>
      </w:r>
      <w:r>
        <w:rPr>
          <w:sz w:val="18"/>
        </w:rPr>
        <w:t>producers</w:t>
      </w:r>
      <w:r>
        <w:rPr>
          <w:spacing w:val="-1"/>
          <w:sz w:val="18"/>
        </w:rPr>
        <w:t xml:space="preserve"> </w:t>
      </w:r>
      <w:r>
        <w:rPr>
          <w:sz w:val="18"/>
        </w:rPr>
        <w:t>in provincial agencies</w:t>
      </w:r>
      <w:r>
        <w:rPr>
          <w:spacing w:val="-3"/>
          <w:sz w:val="18"/>
        </w:rPr>
        <w:t xml:space="preserve"> </w:t>
      </w:r>
      <w:r>
        <w:rPr>
          <w:sz w:val="18"/>
        </w:rPr>
        <w:t>is</w:t>
      </w:r>
      <w:r>
        <w:rPr>
          <w:spacing w:val="-1"/>
          <w:sz w:val="18"/>
        </w:rPr>
        <w:t xml:space="preserve"> </w:t>
      </w:r>
      <w:r>
        <w:rPr>
          <w:sz w:val="18"/>
        </w:rPr>
        <w:t>also</w:t>
      </w:r>
      <w:r>
        <w:rPr>
          <w:spacing w:val="-1"/>
          <w:sz w:val="18"/>
        </w:rPr>
        <w:t xml:space="preserve"> </w:t>
      </w:r>
      <w:r>
        <w:rPr>
          <w:sz w:val="18"/>
        </w:rPr>
        <w:t>improving,</w:t>
      </w:r>
      <w:r>
        <w:rPr>
          <w:spacing w:val="-2"/>
          <w:sz w:val="18"/>
        </w:rPr>
        <w:t xml:space="preserve"> </w:t>
      </w:r>
      <w:r>
        <w:rPr>
          <w:sz w:val="18"/>
        </w:rPr>
        <w:t>particularly</w:t>
      </w:r>
      <w:r>
        <w:rPr>
          <w:spacing w:val="-1"/>
          <w:sz w:val="18"/>
        </w:rPr>
        <w:t xml:space="preserve"> </w:t>
      </w:r>
      <w:r>
        <w:rPr>
          <w:sz w:val="18"/>
        </w:rPr>
        <w:t>in</w:t>
      </w:r>
      <w:r>
        <w:rPr>
          <w:spacing w:val="-1"/>
          <w:sz w:val="18"/>
        </w:rPr>
        <w:t xml:space="preserve"> </w:t>
      </w:r>
      <w:r>
        <w:rPr>
          <w:sz w:val="18"/>
        </w:rPr>
        <w:t>understanding</w:t>
      </w:r>
      <w:r>
        <w:rPr>
          <w:spacing w:val="-1"/>
          <w:sz w:val="18"/>
        </w:rPr>
        <w:t xml:space="preserve"> </w:t>
      </w:r>
      <w:r>
        <w:rPr>
          <w:sz w:val="18"/>
        </w:rPr>
        <w:t>the</w:t>
      </w:r>
      <w:r>
        <w:rPr>
          <w:spacing w:val="-1"/>
          <w:sz w:val="18"/>
        </w:rPr>
        <w:t xml:space="preserve"> </w:t>
      </w:r>
      <w:r>
        <w:rPr>
          <w:sz w:val="18"/>
        </w:rPr>
        <w:t>importance</w:t>
      </w:r>
      <w:r>
        <w:rPr>
          <w:spacing w:val="-1"/>
          <w:sz w:val="18"/>
        </w:rPr>
        <w:t xml:space="preserve"> </w:t>
      </w:r>
      <w:r>
        <w:rPr>
          <w:sz w:val="18"/>
        </w:rPr>
        <w:t xml:space="preserve">of </w:t>
      </w:r>
      <w:r>
        <w:rPr>
          <w:spacing w:val="-2"/>
          <w:sz w:val="18"/>
        </w:rPr>
        <w:t>data</w:t>
      </w:r>
      <w:r>
        <w:rPr>
          <w:spacing w:val="-3"/>
          <w:sz w:val="18"/>
        </w:rPr>
        <w:t xml:space="preserve"> </w:t>
      </w:r>
      <w:r>
        <w:rPr>
          <w:spacing w:val="-2"/>
          <w:sz w:val="18"/>
        </w:rPr>
        <w:t>validation.</w:t>
      </w:r>
      <w:r>
        <w:rPr>
          <w:spacing w:val="-3"/>
          <w:sz w:val="18"/>
        </w:rPr>
        <w:t xml:space="preserve"> </w:t>
      </w:r>
      <w:r>
        <w:rPr>
          <w:spacing w:val="-2"/>
          <w:sz w:val="18"/>
        </w:rPr>
        <w:t>This marks a major shift</w:t>
      </w:r>
      <w:r>
        <w:rPr>
          <w:spacing w:val="-3"/>
          <w:sz w:val="18"/>
        </w:rPr>
        <w:t xml:space="preserve"> </w:t>
      </w:r>
      <w:r>
        <w:rPr>
          <w:spacing w:val="-2"/>
          <w:sz w:val="18"/>
        </w:rPr>
        <w:t>from</w:t>
      </w:r>
      <w:r>
        <w:rPr>
          <w:spacing w:val="-3"/>
          <w:sz w:val="18"/>
        </w:rPr>
        <w:t xml:space="preserve"> </w:t>
      </w:r>
      <w:r>
        <w:rPr>
          <w:spacing w:val="-2"/>
          <w:sz w:val="18"/>
        </w:rPr>
        <w:t>administrative data</w:t>
      </w:r>
      <w:r>
        <w:rPr>
          <w:spacing w:val="-3"/>
          <w:sz w:val="18"/>
        </w:rPr>
        <w:t xml:space="preserve"> </w:t>
      </w:r>
      <w:r>
        <w:rPr>
          <w:spacing w:val="-2"/>
          <w:sz w:val="18"/>
        </w:rPr>
        <w:t>collection to</w:t>
      </w:r>
      <w:r>
        <w:rPr>
          <w:spacing w:val="-3"/>
          <w:sz w:val="18"/>
        </w:rPr>
        <w:t xml:space="preserve"> </w:t>
      </w:r>
      <w:r>
        <w:rPr>
          <w:spacing w:val="-2"/>
          <w:sz w:val="18"/>
        </w:rPr>
        <w:t>standardised and trusted data</w:t>
      </w:r>
      <w:r>
        <w:rPr>
          <w:spacing w:val="-3"/>
          <w:sz w:val="18"/>
        </w:rPr>
        <w:t xml:space="preserve"> </w:t>
      </w:r>
      <w:r>
        <w:rPr>
          <w:spacing w:val="-2"/>
          <w:sz w:val="18"/>
        </w:rPr>
        <w:t>governance.</w:t>
      </w:r>
    </w:p>
    <w:p w14:paraId="635F5A87" w14:textId="77777777" w:rsidR="00BC24A8" w:rsidRDefault="00BC24A8">
      <w:pPr>
        <w:pStyle w:val="BodyText"/>
        <w:rPr>
          <w:sz w:val="18"/>
        </w:rPr>
      </w:pPr>
    </w:p>
    <w:p w14:paraId="5C20DEC8" w14:textId="77777777" w:rsidR="00BC24A8" w:rsidRDefault="00BC24A8">
      <w:pPr>
        <w:pStyle w:val="BodyText"/>
        <w:rPr>
          <w:sz w:val="18"/>
        </w:rPr>
      </w:pPr>
    </w:p>
    <w:p w14:paraId="740F9484" w14:textId="77777777" w:rsidR="00BC24A8" w:rsidRDefault="00BC24A8">
      <w:pPr>
        <w:pStyle w:val="BodyText"/>
        <w:spacing w:before="44"/>
        <w:rPr>
          <w:sz w:val="18"/>
        </w:rPr>
      </w:pPr>
    </w:p>
    <w:p w14:paraId="14C18172" w14:textId="77777777" w:rsidR="00BC24A8" w:rsidRDefault="00000000">
      <w:pPr>
        <w:ind w:left="712"/>
        <w:rPr>
          <w:rFonts w:ascii="Times New Roman"/>
          <w:b/>
          <w:i/>
          <w:sz w:val="18"/>
        </w:rPr>
      </w:pPr>
      <w:r>
        <w:rPr>
          <w:rFonts w:ascii="Times New Roman"/>
          <w:b/>
          <w:i/>
          <w:color w:val="17365A"/>
          <w:spacing w:val="-2"/>
          <w:sz w:val="18"/>
        </w:rPr>
        <w:t>Now</w:t>
      </w:r>
      <w:r>
        <w:rPr>
          <w:rFonts w:ascii="Times New Roman"/>
          <w:b/>
          <w:i/>
          <w:color w:val="17365A"/>
          <w:spacing w:val="-3"/>
          <w:sz w:val="18"/>
        </w:rPr>
        <w:t xml:space="preserve"> </w:t>
      </w:r>
      <w:r>
        <w:rPr>
          <w:rFonts w:ascii="Times New Roman"/>
          <w:b/>
          <w:i/>
          <w:color w:val="17365A"/>
          <w:spacing w:val="-2"/>
          <w:sz w:val="18"/>
        </w:rPr>
        <w:t>we</w:t>
      </w:r>
      <w:r>
        <w:rPr>
          <w:rFonts w:ascii="Times New Roman"/>
          <w:b/>
          <w:i/>
          <w:color w:val="17365A"/>
          <w:spacing w:val="-4"/>
          <w:sz w:val="18"/>
        </w:rPr>
        <w:t xml:space="preserve"> </w:t>
      </w:r>
      <w:r>
        <w:rPr>
          <w:rFonts w:ascii="Times New Roman"/>
          <w:b/>
          <w:i/>
          <w:color w:val="17365A"/>
          <w:spacing w:val="-2"/>
          <w:sz w:val="18"/>
        </w:rPr>
        <w:t>feel that</w:t>
      </w:r>
      <w:r>
        <w:rPr>
          <w:rFonts w:ascii="Times New Roman"/>
          <w:b/>
          <w:i/>
          <w:color w:val="17365A"/>
          <w:spacing w:val="-3"/>
          <w:sz w:val="18"/>
        </w:rPr>
        <w:t xml:space="preserve"> </w:t>
      </w:r>
      <w:r>
        <w:rPr>
          <w:rFonts w:ascii="Times New Roman"/>
          <w:b/>
          <w:i/>
          <w:color w:val="17365A"/>
          <w:spacing w:val="-2"/>
          <w:sz w:val="18"/>
        </w:rPr>
        <w:t>the</w:t>
      </w:r>
      <w:r>
        <w:rPr>
          <w:rFonts w:ascii="Times New Roman"/>
          <w:b/>
          <w:i/>
          <w:color w:val="17365A"/>
          <w:spacing w:val="-4"/>
          <w:sz w:val="18"/>
        </w:rPr>
        <w:t xml:space="preserve"> </w:t>
      </w:r>
      <w:r>
        <w:rPr>
          <w:rFonts w:ascii="Times New Roman"/>
          <w:b/>
          <w:i/>
          <w:color w:val="17365A"/>
          <w:spacing w:val="-2"/>
          <w:sz w:val="18"/>
        </w:rPr>
        <w:t>data</w:t>
      </w:r>
      <w:r>
        <w:rPr>
          <w:rFonts w:ascii="Times New Roman"/>
          <w:b/>
          <w:i/>
          <w:color w:val="17365A"/>
          <w:spacing w:val="-3"/>
          <w:sz w:val="18"/>
        </w:rPr>
        <w:t xml:space="preserve"> </w:t>
      </w:r>
      <w:r>
        <w:rPr>
          <w:rFonts w:ascii="Times New Roman"/>
          <w:b/>
          <w:i/>
          <w:color w:val="17365A"/>
          <w:spacing w:val="-2"/>
          <w:sz w:val="18"/>
        </w:rPr>
        <w:t>we</w:t>
      </w:r>
      <w:r>
        <w:rPr>
          <w:rFonts w:ascii="Times New Roman"/>
          <w:b/>
          <w:i/>
          <w:color w:val="17365A"/>
          <w:spacing w:val="-4"/>
          <w:sz w:val="18"/>
        </w:rPr>
        <w:t xml:space="preserve"> </w:t>
      </w:r>
      <w:r>
        <w:rPr>
          <w:rFonts w:ascii="Times New Roman"/>
          <w:b/>
          <w:i/>
          <w:color w:val="17365A"/>
          <w:spacing w:val="-2"/>
          <w:sz w:val="18"/>
        </w:rPr>
        <w:t>submit</w:t>
      </w:r>
      <w:r>
        <w:rPr>
          <w:rFonts w:ascii="Times New Roman"/>
          <w:b/>
          <w:i/>
          <w:color w:val="17365A"/>
          <w:spacing w:val="-3"/>
          <w:sz w:val="18"/>
        </w:rPr>
        <w:t xml:space="preserve"> </w:t>
      </w:r>
      <w:r>
        <w:rPr>
          <w:rFonts w:ascii="Times New Roman"/>
          <w:b/>
          <w:i/>
          <w:color w:val="17365A"/>
          <w:spacing w:val="-2"/>
          <w:sz w:val="18"/>
        </w:rPr>
        <w:t>has</w:t>
      </w:r>
      <w:r>
        <w:rPr>
          <w:rFonts w:ascii="Times New Roman"/>
          <w:b/>
          <w:i/>
          <w:color w:val="17365A"/>
          <w:spacing w:val="-1"/>
          <w:sz w:val="18"/>
        </w:rPr>
        <w:t xml:space="preserve"> </w:t>
      </w:r>
      <w:r>
        <w:rPr>
          <w:rFonts w:ascii="Times New Roman"/>
          <w:b/>
          <w:i/>
          <w:color w:val="17365A"/>
          <w:spacing w:val="-2"/>
          <w:sz w:val="18"/>
        </w:rPr>
        <w:t>value,</w:t>
      </w:r>
      <w:r>
        <w:rPr>
          <w:rFonts w:ascii="Times New Roman"/>
          <w:b/>
          <w:i/>
          <w:color w:val="17365A"/>
          <w:sz w:val="18"/>
        </w:rPr>
        <w:t xml:space="preserve"> </w:t>
      </w:r>
      <w:r>
        <w:rPr>
          <w:rFonts w:ascii="Times New Roman"/>
          <w:b/>
          <w:i/>
          <w:color w:val="17365A"/>
          <w:spacing w:val="-2"/>
          <w:sz w:val="18"/>
        </w:rPr>
        <w:t>is accountable,</w:t>
      </w:r>
      <w:r>
        <w:rPr>
          <w:rFonts w:ascii="Times New Roman"/>
          <w:b/>
          <w:i/>
          <w:color w:val="17365A"/>
          <w:spacing w:val="-3"/>
          <w:sz w:val="18"/>
        </w:rPr>
        <w:t xml:space="preserve"> </w:t>
      </w:r>
      <w:r>
        <w:rPr>
          <w:rFonts w:ascii="Times New Roman"/>
          <w:b/>
          <w:i/>
          <w:color w:val="17365A"/>
          <w:spacing w:val="-2"/>
          <w:sz w:val="18"/>
        </w:rPr>
        <w:t>and</w:t>
      </w:r>
      <w:r>
        <w:rPr>
          <w:rFonts w:ascii="Times New Roman"/>
          <w:b/>
          <w:i/>
          <w:color w:val="17365A"/>
          <w:spacing w:val="-3"/>
          <w:sz w:val="18"/>
        </w:rPr>
        <w:t xml:space="preserve"> </w:t>
      </w:r>
      <w:r>
        <w:rPr>
          <w:rFonts w:ascii="Times New Roman"/>
          <w:b/>
          <w:i/>
          <w:color w:val="17365A"/>
          <w:spacing w:val="-2"/>
          <w:sz w:val="18"/>
        </w:rPr>
        <w:t>supports</w:t>
      </w:r>
      <w:r>
        <w:rPr>
          <w:rFonts w:ascii="Times New Roman"/>
          <w:b/>
          <w:i/>
          <w:color w:val="17365A"/>
          <w:spacing w:val="-1"/>
          <w:sz w:val="18"/>
        </w:rPr>
        <w:t xml:space="preserve"> </w:t>
      </w:r>
      <w:r>
        <w:rPr>
          <w:rFonts w:ascii="Times New Roman"/>
          <w:b/>
          <w:i/>
          <w:color w:val="17365A"/>
          <w:spacing w:val="-2"/>
          <w:sz w:val="18"/>
        </w:rPr>
        <w:t>the</w:t>
      </w:r>
      <w:r>
        <w:rPr>
          <w:rFonts w:ascii="Times New Roman"/>
          <w:b/>
          <w:i/>
          <w:color w:val="17365A"/>
          <w:spacing w:val="-4"/>
          <w:sz w:val="18"/>
        </w:rPr>
        <w:t xml:space="preserve"> </w:t>
      </w:r>
      <w:r>
        <w:rPr>
          <w:rFonts w:ascii="Times New Roman"/>
          <w:b/>
          <w:i/>
          <w:color w:val="17365A"/>
          <w:spacing w:val="-2"/>
          <w:sz w:val="18"/>
        </w:rPr>
        <w:t>decision-making process.</w:t>
      </w:r>
    </w:p>
    <w:p w14:paraId="5E8F9EB2" w14:textId="77777777" w:rsidR="00BC24A8" w:rsidRDefault="00BC24A8">
      <w:pPr>
        <w:pStyle w:val="BodyText"/>
        <w:rPr>
          <w:rFonts w:ascii="Times New Roman"/>
          <w:b/>
          <w:i/>
          <w:sz w:val="18"/>
        </w:rPr>
      </w:pPr>
    </w:p>
    <w:p w14:paraId="46C7F9EA" w14:textId="77777777" w:rsidR="00BC24A8" w:rsidRDefault="00BC24A8">
      <w:pPr>
        <w:pStyle w:val="BodyText"/>
        <w:rPr>
          <w:rFonts w:ascii="Times New Roman"/>
          <w:b/>
          <w:i/>
          <w:sz w:val="18"/>
        </w:rPr>
      </w:pPr>
    </w:p>
    <w:p w14:paraId="00CB6B64" w14:textId="77777777" w:rsidR="00BC24A8" w:rsidRDefault="00BC24A8">
      <w:pPr>
        <w:pStyle w:val="BodyText"/>
        <w:spacing w:before="155"/>
        <w:rPr>
          <w:rFonts w:ascii="Times New Roman"/>
          <w:b/>
          <w:i/>
          <w:sz w:val="18"/>
        </w:rPr>
      </w:pPr>
    </w:p>
    <w:p w14:paraId="16E38597" w14:textId="77777777" w:rsidR="00BC24A8" w:rsidRDefault="00000000">
      <w:pPr>
        <w:spacing w:before="1"/>
        <w:ind w:left="395" w:right="797"/>
        <w:jc w:val="both"/>
        <w:rPr>
          <w:sz w:val="18"/>
        </w:rPr>
      </w:pPr>
      <w:r>
        <w:rPr>
          <w:sz w:val="18"/>
        </w:rPr>
        <w:t>The synergy between Bappeda, DKISP, and BPS, supported by SKALA, strengthens data governance through regular meetings that provide space for discussion, learning, and joint solutions. This collaboration has successfully improved the</w:t>
      </w:r>
      <w:r>
        <w:rPr>
          <w:spacing w:val="-5"/>
          <w:sz w:val="18"/>
        </w:rPr>
        <w:t xml:space="preserve"> </w:t>
      </w:r>
      <w:r>
        <w:rPr>
          <w:sz w:val="18"/>
        </w:rPr>
        <w:t>availability</w:t>
      </w:r>
      <w:r>
        <w:rPr>
          <w:spacing w:val="-7"/>
          <w:sz w:val="18"/>
        </w:rPr>
        <w:t xml:space="preserve"> </w:t>
      </w:r>
      <w:r>
        <w:rPr>
          <w:sz w:val="18"/>
        </w:rPr>
        <w:t>and</w:t>
      </w:r>
      <w:r>
        <w:rPr>
          <w:spacing w:val="-5"/>
          <w:sz w:val="18"/>
        </w:rPr>
        <w:t xml:space="preserve"> </w:t>
      </w:r>
      <w:r>
        <w:rPr>
          <w:sz w:val="18"/>
        </w:rPr>
        <w:t>quality</w:t>
      </w:r>
      <w:r>
        <w:rPr>
          <w:spacing w:val="-5"/>
          <w:sz w:val="18"/>
        </w:rPr>
        <w:t xml:space="preserve"> </w:t>
      </w:r>
      <w:r>
        <w:rPr>
          <w:sz w:val="18"/>
        </w:rPr>
        <w:t>of</w:t>
      </w:r>
      <w:r>
        <w:rPr>
          <w:spacing w:val="-5"/>
          <w:sz w:val="18"/>
        </w:rPr>
        <w:t xml:space="preserve"> </w:t>
      </w:r>
      <w:r>
        <w:rPr>
          <w:sz w:val="18"/>
        </w:rPr>
        <w:t>comprehensive</w:t>
      </w:r>
      <w:r>
        <w:rPr>
          <w:spacing w:val="-5"/>
          <w:sz w:val="18"/>
        </w:rPr>
        <w:t xml:space="preserve"> </w:t>
      </w:r>
      <w:r>
        <w:rPr>
          <w:sz w:val="18"/>
        </w:rPr>
        <w:t>sectoral</w:t>
      </w:r>
      <w:r>
        <w:rPr>
          <w:spacing w:val="-4"/>
          <w:sz w:val="18"/>
        </w:rPr>
        <w:t xml:space="preserve"> </w:t>
      </w:r>
      <w:r>
        <w:rPr>
          <w:sz w:val="18"/>
        </w:rPr>
        <w:t>statistical</w:t>
      </w:r>
      <w:r>
        <w:rPr>
          <w:spacing w:val="-4"/>
          <w:sz w:val="18"/>
        </w:rPr>
        <w:t xml:space="preserve"> </w:t>
      </w:r>
      <w:r>
        <w:rPr>
          <w:sz w:val="18"/>
        </w:rPr>
        <w:t>data,</w:t>
      </w:r>
      <w:r>
        <w:rPr>
          <w:spacing w:val="-5"/>
          <w:sz w:val="18"/>
        </w:rPr>
        <w:t xml:space="preserve"> </w:t>
      </w:r>
      <w:r>
        <w:rPr>
          <w:sz w:val="18"/>
        </w:rPr>
        <w:t>supporting</w:t>
      </w:r>
      <w:r>
        <w:rPr>
          <w:spacing w:val="-5"/>
          <w:sz w:val="18"/>
        </w:rPr>
        <w:t xml:space="preserve"> </w:t>
      </w:r>
      <w:r>
        <w:rPr>
          <w:sz w:val="18"/>
        </w:rPr>
        <w:t>evidence-based</w:t>
      </w:r>
      <w:r>
        <w:rPr>
          <w:spacing w:val="-5"/>
          <w:sz w:val="18"/>
        </w:rPr>
        <w:t xml:space="preserve"> </w:t>
      </w:r>
      <w:r>
        <w:rPr>
          <w:sz w:val="18"/>
        </w:rPr>
        <w:t>regional</w:t>
      </w:r>
      <w:r>
        <w:rPr>
          <w:spacing w:val="-4"/>
          <w:sz w:val="18"/>
        </w:rPr>
        <w:t xml:space="preserve"> </w:t>
      </w:r>
      <w:r>
        <w:rPr>
          <w:sz w:val="18"/>
        </w:rPr>
        <w:t>development planning and decision-making.</w:t>
      </w:r>
    </w:p>
    <w:p w14:paraId="3188B66B" w14:textId="77777777" w:rsidR="00BC24A8" w:rsidRDefault="00BC24A8">
      <w:pPr>
        <w:pStyle w:val="BodyText"/>
        <w:rPr>
          <w:sz w:val="18"/>
        </w:rPr>
      </w:pPr>
    </w:p>
    <w:p w14:paraId="64CAED90" w14:textId="77777777" w:rsidR="00BC24A8" w:rsidRDefault="00BC24A8">
      <w:pPr>
        <w:pStyle w:val="BodyText"/>
        <w:rPr>
          <w:sz w:val="18"/>
        </w:rPr>
      </w:pPr>
    </w:p>
    <w:p w14:paraId="5808A8D5" w14:textId="77777777" w:rsidR="00BC24A8" w:rsidRDefault="00BC24A8">
      <w:pPr>
        <w:pStyle w:val="BodyText"/>
        <w:spacing w:before="49"/>
        <w:rPr>
          <w:sz w:val="18"/>
        </w:rPr>
      </w:pPr>
    </w:p>
    <w:p w14:paraId="5F41CABE" w14:textId="77777777" w:rsidR="00BC24A8" w:rsidRDefault="00000000">
      <w:pPr>
        <w:spacing w:line="290" w:lineRule="auto"/>
        <w:ind w:left="709" w:right="1142"/>
        <w:jc w:val="both"/>
        <w:rPr>
          <w:rFonts w:ascii="Times New Roman"/>
          <w:b/>
          <w:i/>
          <w:sz w:val="18"/>
        </w:rPr>
      </w:pPr>
      <w:r>
        <w:rPr>
          <w:rFonts w:ascii="Times New Roman"/>
          <w:b/>
          <w:i/>
          <w:color w:val="17365A"/>
          <w:spacing w:val="-4"/>
          <w:sz w:val="18"/>
        </w:rPr>
        <w:t>Before</w:t>
      </w:r>
      <w:r>
        <w:rPr>
          <w:rFonts w:ascii="Times New Roman"/>
          <w:b/>
          <w:i/>
          <w:color w:val="17365A"/>
          <w:spacing w:val="-5"/>
          <w:sz w:val="18"/>
        </w:rPr>
        <w:t xml:space="preserve"> </w:t>
      </w:r>
      <w:r>
        <w:rPr>
          <w:rFonts w:ascii="Times New Roman"/>
          <w:b/>
          <w:i/>
          <w:color w:val="17365A"/>
          <w:spacing w:val="-4"/>
          <w:sz w:val="18"/>
        </w:rPr>
        <w:t>SKALA, there</w:t>
      </w:r>
      <w:r>
        <w:rPr>
          <w:rFonts w:ascii="Times New Roman"/>
          <w:b/>
          <w:i/>
          <w:color w:val="17365A"/>
          <w:spacing w:val="-5"/>
          <w:sz w:val="18"/>
        </w:rPr>
        <w:t xml:space="preserve"> </w:t>
      </w:r>
      <w:r>
        <w:rPr>
          <w:rFonts w:ascii="Times New Roman"/>
          <w:b/>
          <w:i/>
          <w:color w:val="17365A"/>
          <w:spacing w:val="-4"/>
          <w:sz w:val="18"/>
        </w:rPr>
        <w:t>was coaching but it was not optimal. The presence</w:t>
      </w:r>
      <w:r>
        <w:rPr>
          <w:rFonts w:ascii="Times New Roman"/>
          <w:b/>
          <w:i/>
          <w:color w:val="17365A"/>
          <w:spacing w:val="-5"/>
          <w:sz w:val="18"/>
        </w:rPr>
        <w:t xml:space="preserve"> </w:t>
      </w:r>
      <w:r>
        <w:rPr>
          <w:rFonts w:ascii="Times New Roman"/>
          <w:b/>
          <w:i/>
          <w:color w:val="17365A"/>
          <w:spacing w:val="-4"/>
          <w:sz w:val="18"/>
        </w:rPr>
        <w:t xml:space="preserve">of SKALA allows us to collect complete </w:t>
      </w:r>
      <w:r>
        <w:rPr>
          <w:rFonts w:ascii="Times New Roman"/>
          <w:b/>
          <w:i/>
          <w:color w:val="17365A"/>
          <w:sz w:val="18"/>
        </w:rPr>
        <w:t>metadata and makes it easier for provincial agencies to understand what needs to be done. We know the journey</w:t>
      </w:r>
      <w:r>
        <w:rPr>
          <w:rFonts w:ascii="Times New Roman"/>
          <w:b/>
          <w:i/>
          <w:color w:val="17365A"/>
          <w:spacing w:val="-1"/>
          <w:sz w:val="18"/>
        </w:rPr>
        <w:t xml:space="preserve"> </w:t>
      </w:r>
      <w:r>
        <w:rPr>
          <w:rFonts w:ascii="Times New Roman"/>
          <w:b/>
          <w:i/>
          <w:color w:val="17365A"/>
          <w:sz w:val="18"/>
        </w:rPr>
        <w:t>is still long, but now we</w:t>
      </w:r>
      <w:r>
        <w:rPr>
          <w:rFonts w:ascii="Times New Roman"/>
          <w:b/>
          <w:i/>
          <w:color w:val="17365A"/>
          <w:spacing w:val="-1"/>
          <w:sz w:val="18"/>
        </w:rPr>
        <w:t xml:space="preserve"> </w:t>
      </w:r>
      <w:r>
        <w:rPr>
          <w:rFonts w:ascii="Times New Roman"/>
          <w:b/>
          <w:i/>
          <w:color w:val="17365A"/>
          <w:sz w:val="18"/>
        </w:rPr>
        <w:t>have</w:t>
      </w:r>
      <w:r>
        <w:rPr>
          <w:rFonts w:ascii="Times New Roman"/>
          <w:b/>
          <w:i/>
          <w:color w:val="17365A"/>
          <w:spacing w:val="-1"/>
          <w:sz w:val="18"/>
        </w:rPr>
        <w:t xml:space="preserve"> </w:t>
      </w:r>
      <w:r>
        <w:rPr>
          <w:rFonts w:ascii="Times New Roman"/>
          <w:b/>
          <w:i/>
          <w:color w:val="17365A"/>
          <w:sz w:val="18"/>
        </w:rPr>
        <w:t>a true partner</w:t>
      </w:r>
      <w:r>
        <w:rPr>
          <w:rFonts w:ascii="Times New Roman"/>
          <w:b/>
          <w:i/>
          <w:color w:val="17365A"/>
          <w:spacing w:val="-1"/>
          <w:sz w:val="18"/>
        </w:rPr>
        <w:t xml:space="preserve"> </w:t>
      </w:r>
      <w:r>
        <w:rPr>
          <w:rFonts w:ascii="Times New Roman"/>
          <w:b/>
          <w:i/>
          <w:color w:val="17365A"/>
          <w:sz w:val="18"/>
        </w:rPr>
        <w:t>supporting us every</w:t>
      </w:r>
      <w:r>
        <w:rPr>
          <w:rFonts w:ascii="Times New Roman"/>
          <w:b/>
          <w:i/>
          <w:color w:val="17365A"/>
          <w:spacing w:val="-1"/>
          <w:sz w:val="18"/>
        </w:rPr>
        <w:t xml:space="preserve"> </w:t>
      </w:r>
      <w:r>
        <w:rPr>
          <w:rFonts w:ascii="Times New Roman"/>
          <w:b/>
          <w:i/>
          <w:color w:val="17365A"/>
          <w:sz w:val="18"/>
        </w:rPr>
        <w:t>step of the way.</w:t>
      </w:r>
    </w:p>
    <w:p w14:paraId="7A0BD348" w14:textId="77777777" w:rsidR="00BC24A8" w:rsidRDefault="00000000">
      <w:pPr>
        <w:spacing w:line="204" w:lineRule="exact"/>
        <w:ind w:left="709"/>
        <w:jc w:val="both"/>
        <w:rPr>
          <w:i/>
          <w:sz w:val="18"/>
        </w:rPr>
      </w:pPr>
      <w:r>
        <w:rPr>
          <w:i/>
          <w:color w:val="17365A"/>
          <w:sz w:val="18"/>
        </w:rPr>
        <w:t>Data</w:t>
      </w:r>
      <w:r>
        <w:rPr>
          <w:i/>
          <w:color w:val="17365A"/>
          <w:spacing w:val="-3"/>
          <w:sz w:val="18"/>
        </w:rPr>
        <w:t xml:space="preserve"> </w:t>
      </w:r>
      <w:r>
        <w:rPr>
          <w:i/>
          <w:color w:val="17365A"/>
          <w:sz w:val="18"/>
        </w:rPr>
        <w:t>Supervisor</w:t>
      </w:r>
      <w:r>
        <w:rPr>
          <w:i/>
          <w:color w:val="17365A"/>
          <w:spacing w:val="-4"/>
          <w:sz w:val="18"/>
        </w:rPr>
        <w:t xml:space="preserve"> </w:t>
      </w:r>
      <w:r>
        <w:rPr>
          <w:i/>
          <w:color w:val="17365A"/>
          <w:sz w:val="18"/>
        </w:rPr>
        <w:t>(BPS</w:t>
      </w:r>
      <w:r>
        <w:rPr>
          <w:i/>
          <w:color w:val="17365A"/>
          <w:spacing w:val="33"/>
          <w:sz w:val="18"/>
        </w:rPr>
        <w:t xml:space="preserve"> </w:t>
      </w:r>
      <w:r>
        <w:rPr>
          <w:i/>
          <w:color w:val="17365A"/>
          <w:sz w:val="18"/>
        </w:rPr>
        <w:t>Kalimantan</w:t>
      </w:r>
      <w:r>
        <w:rPr>
          <w:i/>
          <w:color w:val="17365A"/>
          <w:spacing w:val="-3"/>
          <w:sz w:val="18"/>
        </w:rPr>
        <w:t xml:space="preserve"> </w:t>
      </w:r>
      <w:r>
        <w:rPr>
          <w:i/>
          <w:color w:val="17365A"/>
          <w:sz w:val="18"/>
        </w:rPr>
        <w:t>Utara</w:t>
      </w:r>
      <w:r>
        <w:rPr>
          <w:i/>
          <w:color w:val="17365A"/>
          <w:spacing w:val="-2"/>
          <w:sz w:val="18"/>
        </w:rPr>
        <w:t xml:space="preserve"> Province)</w:t>
      </w:r>
    </w:p>
    <w:p w14:paraId="32B55F74" w14:textId="77777777" w:rsidR="00BC24A8" w:rsidRDefault="00BC24A8">
      <w:pPr>
        <w:pStyle w:val="BodyText"/>
        <w:rPr>
          <w:i/>
          <w:sz w:val="20"/>
        </w:rPr>
      </w:pPr>
    </w:p>
    <w:p w14:paraId="731BA700" w14:textId="77777777" w:rsidR="00BC24A8" w:rsidRDefault="00BC24A8">
      <w:pPr>
        <w:pStyle w:val="BodyText"/>
        <w:rPr>
          <w:i/>
          <w:sz w:val="20"/>
        </w:rPr>
      </w:pPr>
    </w:p>
    <w:p w14:paraId="06E29E3E" w14:textId="77777777" w:rsidR="00BC24A8" w:rsidRDefault="00BC24A8">
      <w:pPr>
        <w:pStyle w:val="BodyText"/>
        <w:spacing w:before="156"/>
        <w:rPr>
          <w:i/>
          <w:sz w:val="20"/>
        </w:rPr>
      </w:pPr>
    </w:p>
    <w:p w14:paraId="3EDD7216" w14:textId="77777777" w:rsidR="00BC24A8" w:rsidRDefault="00000000">
      <w:pPr>
        <w:spacing w:before="1"/>
        <w:ind w:left="5" w:right="440"/>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2</w:t>
      </w:r>
      <w:r>
        <w:rPr>
          <w:spacing w:val="-15"/>
          <w:sz w:val="20"/>
        </w:rPr>
        <w:t xml:space="preserve"> </w:t>
      </w:r>
      <w:r>
        <w:rPr>
          <w:spacing w:val="-10"/>
          <w:sz w:val="20"/>
        </w:rPr>
        <w:t>:</w:t>
      </w:r>
    </w:p>
    <w:p w14:paraId="506E8D5C" w14:textId="77777777" w:rsidR="00BC24A8" w:rsidRDefault="00000000">
      <w:pPr>
        <w:ind w:left="323" w:right="726"/>
        <w:jc w:val="center"/>
        <w:rPr>
          <w:sz w:val="20"/>
        </w:rPr>
      </w:pPr>
      <w:r>
        <w:rPr>
          <w:color w:val="17365A"/>
          <w:sz w:val="20"/>
        </w:rPr>
        <w:t>Provincial</w:t>
      </w:r>
      <w:r>
        <w:rPr>
          <w:color w:val="17365A"/>
          <w:spacing w:val="-9"/>
          <w:sz w:val="20"/>
        </w:rPr>
        <w:t xml:space="preserve"> </w:t>
      </w:r>
      <w:r>
        <w:rPr>
          <w:color w:val="17365A"/>
          <w:sz w:val="20"/>
        </w:rPr>
        <w:t>Government’s</w:t>
      </w:r>
      <w:r>
        <w:rPr>
          <w:color w:val="17365A"/>
          <w:spacing w:val="-8"/>
          <w:sz w:val="20"/>
        </w:rPr>
        <w:t xml:space="preserve"> </w:t>
      </w:r>
      <w:r>
        <w:rPr>
          <w:color w:val="17365A"/>
          <w:sz w:val="20"/>
        </w:rPr>
        <w:t>Strong</w:t>
      </w:r>
      <w:r>
        <w:rPr>
          <w:color w:val="17365A"/>
          <w:spacing w:val="-6"/>
          <w:sz w:val="20"/>
        </w:rPr>
        <w:t xml:space="preserve"> </w:t>
      </w:r>
      <w:r>
        <w:rPr>
          <w:color w:val="17365A"/>
          <w:sz w:val="20"/>
        </w:rPr>
        <w:t>Commitment</w:t>
      </w:r>
      <w:r>
        <w:rPr>
          <w:color w:val="17365A"/>
          <w:spacing w:val="-7"/>
          <w:sz w:val="20"/>
        </w:rPr>
        <w:t xml:space="preserve"> </w:t>
      </w:r>
      <w:r>
        <w:rPr>
          <w:color w:val="17365A"/>
          <w:sz w:val="20"/>
        </w:rPr>
        <w:t>to</w:t>
      </w:r>
      <w:r>
        <w:rPr>
          <w:color w:val="17365A"/>
          <w:spacing w:val="-7"/>
          <w:sz w:val="20"/>
        </w:rPr>
        <w:t xml:space="preserve"> </w:t>
      </w:r>
      <w:r>
        <w:rPr>
          <w:color w:val="17365A"/>
          <w:sz w:val="20"/>
        </w:rPr>
        <w:t>Realising</w:t>
      </w:r>
      <w:r>
        <w:rPr>
          <w:color w:val="17365A"/>
          <w:spacing w:val="-8"/>
          <w:sz w:val="20"/>
        </w:rPr>
        <w:t xml:space="preserve"> </w:t>
      </w:r>
      <w:r>
        <w:rPr>
          <w:color w:val="17365A"/>
          <w:sz w:val="20"/>
        </w:rPr>
        <w:t>Inclusive</w:t>
      </w:r>
      <w:r>
        <w:rPr>
          <w:color w:val="17365A"/>
          <w:spacing w:val="-8"/>
          <w:sz w:val="20"/>
        </w:rPr>
        <w:t xml:space="preserve"> </w:t>
      </w:r>
      <w:r>
        <w:rPr>
          <w:color w:val="17365A"/>
          <w:sz w:val="20"/>
        </w:rPr>
        <w:t>Development</w:t>
      </w:r>
      <w:r>
        <w:rPr>
          <w:color w:val="17365A"/>
          <w:spacing w:val="-7"/>
          <w:sz w:val="20"/>
        </w:rPr>
        <w:t xml:space="preserve"> </w:t>
      </w:r>
      <w:r>
        <w:rPr>
          <w:color w:val="17365A"/>
          <w:sz w:val="20"/>
        </w:rPr>
        <w:t>Planning</w:t>
      </w:r>
      <w:r>
        <w:rPr>
          <w:color w:val="17365A"/>
          <w:spacing w:val="-8"/>
          <w:sz w:val="20"/>
        </w:rPr>
        <w:t xml:space="preserve"> </w:t>
      </w:r>
      <w:r>
        <w:rPr>
          <w:color w:val="17365A"/>
          <w:sz w:val="20"/>
        </w:rPr>
        <w:t>through Community Participation</w:t>
      </w:r>
    </w:p>
    <w:p w14:paraId="3C31D452" w14:textId="77777777" w:rsidR="00BC24A8" w:rsidRDefault="00BC24A8">
      <w:pPr>
        <w:pStyle w:val="BodyText"/>
        <w:rPr>
          <w:sz w:val="18"/>
        </w:rPr>
      </w:pPr>
    </w:p>
    <w:p w14:paraId="5EAB15B8" w14:textId="77777777" w:rsidR="00BC24A8" w:rsidRDefault="00BC24A8">
      <w:pPr>
        <w:pStyle w:val="BodyText"/>
        <w:spacing w:before="211"/>
        <w:rPr>
          <w:sz w:val="18"/>
        </w:rPr>
      </w:pPr>
    </w:p>
    <w:p w14:paraId="646D1C11" w14:textId="77777777" w:rsidR="00BC24A8" w:rsidRDefault="00000000">
      <w:pPr>
        <w:ind w:left="709"/>
        <w:rPr>
          <w:rFonts w:ascii="Times New Roman"/>
          <w:b/>
          <w:i/>
          <w:sz w:val="18"/>
        </w:rPr>
      </w:pPr>
      <w:r>
        <w:rPr>
          <w:rFonts w:ascii="Times New Roman"/>
          <w:b/>
          <w:i/>
          <w:color w:val="17365A"/>
          <w:spacing w:val="-2"/>
          <w:sz w:val="18"/>
        </w:rPr>
        <w:t>This</w:t>
      </w:r>
      <w:r>
        <w:rPr>
          <w:rFonts w:ascii="Times New Roman"/>
          <w:b/>
          <w:i/>
          <w:color w:val="17365A"/>
          <w:spacing w:val="-4"/>
          <w:sz w:val="18"/>
        </w:rPr>
        <w:t xml:space="preserve"> </w:t>
      </w:r>
      <w:r>
        <w:rPr>
          <w:rFonts w:ascii="Times New Roman"/>
          <w:b/>
          <w:i/>
          <w:color w:val="17365A"/>
          <w:spacing w:val="-2"/>
          <w:sz w:val="18"/>
        </w:rPr>
        <w:t>forum</w:t>
      </w:r>
      <w:r>
        <w:rPr>
          <w:rFonts w:ascii="Times New Roman"/>
          <w:b/>
          <w:i/>
          <w:color w:val="17365A"/>
          <w:spacing w:val="-6"/>
          <w:sz w:val="18"/>
        </w:rPr>
        <w:t xml:space="preserve"> </w:t>
      </w:r>
      <w:r>
        <w:rPr>
          <w:rFonts w:ascii="Times New Roman"/>
          <w:b/>
          <w:i/>
          <w:color w:val="17365A"/>
          <w:spacing w:val="-2"/>
          <w:sz w:val="18"/>
        </w:rPr>
        <w:t>shows</w:t>
      </w:r>
      <w:r>
        <w:rPr>
          <w:rFonts w:ascii="Times New Roman"/>
          <w:b/>
          <w:i/>
          <w:color w:val="17365A"/>
          <w:spacing w:val="-4"/>
          <w:sz w:val="18"/>
        </w:rPr>
        <w:t xml:space="preserve"> </w:t>
      </w:r>
      <w:r>
        <w:rPr>
          <w:rFonts w:ascii="Times New Roman"/>
          <w:b/>
          <w:i/>
          <w:color w:val="17365A"/>
          <w:spacing w:val="-2"/>
          <w:sz w:val="18"/>
        </w:rPr>
        <w:t>the</w:t>
      </w:r>
      <w:r>
        <w:rPr>
          <w:rFonts w:ascii="Times New Roman"/>
          <w:b/>
          <w:i/>
          <w:color w:val="17365A"/>
          <w:spacing w:val="-6"/>
          <w:sz w:val="18"/>
        </w:rPr>
        <w:t xml:space="preserve"> </w:t>
      </w:r>
      <w:r>
        <w:rPr>
          <w:rFonts w:ascii="Times New Roman"/>
          <w:b/>
          <w:i/>
          <w:color w:val="17365A"/>
          <w:spacing w:val="-2"/>
          <w:sz w:val="18"/>
        </w:rPr>
        <w:t>government's</w:t>
      </w:r>
      <w:r>
        <w:rPr>
          <w:rFonts w:ascii="Times New Roman"/>
          <w:b/>
          <w:i/>
          <w:color w:val="17365A"/>
          <w:spacing w:val="-4"/>
          <w:sz w:val="18"/>
        </w:rPr>
        <w:t xml:space="preserve"> </w:t>
      </w:r>
      <w:r>
        <w:rPr>
          <w:rFonts w:ascii="Times New Roman"/>
          <w:b/>
          <w:i/>
          <w:color w:val="17365A"/>
          <w:spacing w:val="-2"/>
          <w:sz w:val="18"/>
        </w:rPr>
        <w:t>partiality</w:t>
      </w:r>
      <w:r>
        <w:rPr>
          <w:rFonts w:ascii="Times New Roman"/>
          <w:b/>
          <w:i/>
          <w:color w:val="17365A"/>
          <w:spacing w:val="-3"/>
          <w:sz w:val="18"/>
        </w:rPr>
        <w:t xml:space="preserve"> </w:t>
      </w:r>
      <w:r>
        <w:rPr>
          <w:rFonts w:ascii="Times New Roman"/>
          <w:b/>
          <w:i/>
          <w:color w:val="17365A"/>
          <w:spacing w:val="-2"/>
          <w:sz w:val="18"/>
        </w:rPr>
        <w:t>to</w:t>
      </w:r>
      <w:r>
        <w:rPr>
          <w:rFonts w:ascii="Times New Roman"/>
          <w:b/>
          <w:i/>
          <w:color w:val="17365A"/>
          <w:spacing w:val="-5"/>
          <w:sz w:val="18"/>
        </w:rPr>
        <w:t xml:space="preserve"> </w:t>
      </w:r>
      <w:r>
        <w:rPr>
          <w:rFonts w:ascii="Times New Roman"/>
          <w:b/>
          <w:i/>
          <w:color w:val="17365A"/>
          <w:spacing w:val="-2"/>
          <w:sz w:val="18"/>
        </w:rPr>
        <w:t>groups</w:t>
      </w:r>
      <w:r>
        <w:rPr>
          <w:rFonts w:ascii="Times New Roman"/>
          <w:b/>
          <w:i/>
          <w:color w:val="17365A"/>
          <w:spacing w:val="-4"/>
          <w:sz w:val="18"/>
        </w:rPr>
        <w:t xml:space="preserve"> </w:t>
      </w:r>
      <w:r>
        <w:rPr>
          <w:rFonts w:ascii="Times New Roman"/>
          <w:b/>
          <w:i/>
          <w:color w:val="17365A"/>
          <w:spacing w:val="-2"/>
          <w:sz w:val="18"/>
        </w:rPr>
        <w:t>that</w:t>
      </w:r>
      <w:r>
        <w:rPr>
          <w:rFonts w:ascii="Times New Roman"/>
          <w:b/>
          <w:i/>
          <w:color w:val="17365A"/>
          <w:spacing w:val="-5"/>
          <w:sz w:val="18"/>
        </w:rPr>
        <w:t xml:space="preserve"> </w:t>
      </w:r>
      <w:r>
        <w:rPr>
          <w:rFonts w:ascii="Times New Roman"/>
          <w:b/>
          <w:i/>
          <w:color w:val="17365A"/>
          <w:spacing w:val="-2"/>
          <w:sz w:val="18"/>
        </w:rPr>
        <w:t>have</w:t>
      </w:r>
      <w:r>
        <w:rPr>
          <w:rFonts w:ascii="Times New Roman"/>
          <w:b/>
          <w:i/>
          <w:color w:val="17365A"/>
          <w:spacing w:val="-6"/>
          <w:sz w:val="18"/>
        </w:rPr>
        <w:t xml:space="preserve"> </w:t>
      </w:r>
      <w:r>
        <w:rPr>
          <w:rFonts w:ascii="Times New Roman"/>
          <w:b/>
          <w:i/>
          <w:color w:val="17365A"/>
          <w:spacing w:val="-2"/>
          <w:sz w:val="18"/>
        </w:rPr>
        <w:t>been</w:t>
      </w:r>
      <w:r>
        <w:rPr>
          <w:rFonts w:ascii="Times New Roman"/>
          <w:b/>
          <w:i/>
          <w:color w:val="17365A"/>
          <w:spacing w:val="-6"/>
          <w:sz w:val="18"/>
        </w:rPr>
        <w:t xml:space="preserve"> </w:t>
      </w:r>
      <w:r>
        <w:rPr>
          <w:rFonts w:ascii="Times New Roman"/>
          <w:b/>
          <w:i/>
          <w:color w:val="17365A"/>
          <w:spacing w:val="-2"/>
          <w:sz w:val="18"/>
        </w:rPr>
        <w:t>marginalised</w:t>
      </w:r>
    </w:p>
    <w:p w14:paraId="48DAAB6A" w14:textId="77777777" w:rsidR="00BC24A8" w:rsidRDefault="00000000">
      <w:pPr>
        <w:spacing w:before="27"/>
        <w:ind w:left="709"/>
        <w:rPr>
          <w:i/>
          <w:sz w:val="18"/>
        </w:rPr>
      </w:pPr>
      <w:r>
        <w:rPr>
          <w:i/>
          <w:color w:val="17365A"/>
          <w:sz w:val="18"/>
        </w:rPr>
        <w:t>Ingkong</w:t>
      </w:r>
      <w:r>
        <w:rPr>
          <w:i/>
          <w:color w:val="17365A"/>
          <w:spacing w:val="-3"/>
          <w:sz w:val="18"/>
        </w:rPr>
        <w:t xml:space="preserve"> </w:t>
      </w:r>
      <w:r>
        <w:rPr>
          <w:i/>
          <w:color w:val="17365A"/>
          <w:sz w:val="18"/>
        </w:rPr>
        <w:t>Ala,</w:t>
      </w:r>
      <w:r>
        <w:rPr>
          <w:i/>
          <w:color w:val="17365A"/>
          <w:spacing w:val="-4"/>
          <w:sz w:val="18"/>
        </w:rPr>
        <w:t xml:space="preserve"> </w:t>
      </w:r>
      <w:r>
        <w:rPr>
          <w:i/>
          <w:color w:val="17365A"/>
          <w:sz w:val="18"/>
        </w:rPr>
        <w:t>Vice</w:t>
      </w:r>
      <w:r>
        <w:rPr>
          <w:i/>
          <w:color w:val="17365A"/>
          <w:spacing w:val="-3"/>
          <w:sz w:val="18"/>
        </w:rPr>
        <w:t xml:space="preserve"> </w:t>
      </w:r>
      <w:r>
        <w:rPr>
          <w:i/>
          <w:color w:val="17365A"/>
          <w:sz w:val="18"/>
        </w:rPr>
        <w:t>Governor</w:t>
      </w:r>
      <w:r>
        <w:rPr>
          <w:i/>
          <w:color w:val="17365A"/>
          <w:spacing w:val="-4"/>
          <w:sz w:val="18"/>
        </w:rPr>
        <w:t xml:space="preserve"> </w:t>
      </w:r>
      <w:r>
        <w:rPr>
          <w:i/>
          <w:color w:val="17365A"/>
          <w:sz w:val="18"/>
        </w:rPr>
        <w:t>of</w:t>
      </w:r>
      <w:r>
        <w:rPr>
          <w:i/>
          <w:color w:val="17365A"/>
          <w:spacing w:val="34"/>
          <w:sz w:val="18"/>
        </w:rPr>
        <w:t xml:space="preserve"> </w:t>
      </w:r>
      <w:r>
        <w:rPr>
          <w:i/>
          <w:color w:val="17365A"/>
          <w:sz w:val="18"/>
        </w:rPr>
        <w:t>Kalimantan</w:t>
      </w:r>
      <w:r>
        <w:rPr>
          <w:i/>
          <w:color w:val="17365A"/>
          <w:spacing w:val="-2"/>
          <w:sz w:val="18"/>
        </w:rPr>
        <w:t xml:space="preserve"> </w:t>
      </w:r>
      <w:r>
        <w:rPr>
          <w:i/>
          <w:color w:val="17365A"/>
          <w:spacing w:val="-4"/>
          <w:sz w:val="18"/>
        </w:rPr>
        <w:t>Utara</w:t>
      </w:r>
    </w:p>
    <w:p w14:paraId="07EEE94A" w14:textId="77777777" w:rsidR="00BC24A8" w:rsidRDefault="00BC24A8">
      <w:pPr>
        <w:pStyle w:val="BodyText"/>
        <w:rPr>
          <w:i/>
          <w:sz w:val="18"/>
        </w:rPr>
      </w:pPr>
    </w:p>
    <w:p w14:paraId="73785EF2" w14:textId="77777777" w:rsidR="00BC24A8" w:rsidRDefault="00BC24A8">
      <w:pPr>
        <w:pStyle w:val="BodyText"/>
        <w:spacing w:before="183"/>
        <w:rPr>
          <w:i/>
          <w:sz w:val="18"/>
        </w:rPr>
      </w:pPr>
    </w:p>
    <w:p w14:paraId="6BDF6A6A" w14:textId="77777777" w:rsidR="00BC24A8" w:rsidRDefault="00000000">
      <w:pPr>
        <w:ind w:left="395" w:right="793"/>
        <w:jc w:val="both"/>
        <w:rPr>
          <w:sz w:val="18"/>
        </w:rPr>
      </w:pPr>
      <w:r>
        <w:rPr>
          <w:sz w:val="18"/>
        </w:rPr>
        <w:t>In</w:t>
      </w:r>
      <w:r>
        <w:rPr>
          <w:spacing w:val="28"/>
          <w:sz w:val="18"/>
        </w:rPr>
        <w:t xml:space="preserve"> </w:t>
      </w:r>
      <w:r>
        <w:rPr>
          <w:sz w:val="18"/>
        </w:rPr>
        <w:t>Kalimantan</w:t>
      </w:r>
      <w:r>
        <w:rPr>
          <w:spacing w:val="-7"/>
          <w:sz w:val="18"/>
        </w:rPr>
        <w:t xml:space="preserve"> </w:t>
      </w:r>
      <w:r>
        <w:rPr>
          <w:sz w:val="18"/>
        </w:rPr>
        <w:t>Utara,</w:t>
      </w:r>
      <w:r>
        <w:rPr>
          <w:spacing w:val="-8"/>
          <w:sz w:val="18"/>
        </w:rPr>
        <w:t xml:space="preserve"> </w:t>
      </w:r>
      <w:r>
        <w:rPr>
          <w:sz w:val="18"/>
        </w:rPr>
        <w:t>the</w:t>
      </w:r>
      <w:r>
        <w:rPr>
          <w:spacing w:val="-7"/>
          <w:sz w:val="18"/>
        </w:rPr>
        <w:t xml:space="preserve"> </w:t>
      </w:r>
      <w:r>
        <w:rPr>
          <w:sz w:val="18"/>
        </w:rPr>
        <w:t>provincial</w:t>
      </w:r>
      <w:r>
        <w:rPr>
          <w:spacing w:val="-6"/>
          <w:sz w:val="18"/>
        </w:rPr>
        <w:t xml:space="preserve"> </w:t>
      </w:r>
      <w:r>
        <w:rPr>
          <w:sz w:val="18"/>
        </w:rPr>
        <w:t>government</w:t>
      </w:r>
      <w:r>
        <w:rPr>
          <w:spacing w:val="-6"/>
          <w:sz w:val="18"/>
        </w:rPr>
        <w:t xml:space="preserve"> </w:t>
      </w:r>
      <w:r>
        <w:rPr>
          <w:sz w:val="18"/>
        </w:rPr>
        <w:t>not</w:t>
      </w:r>
      <w:r>
        <w:rPr>
          <w:spacing w:val="-6"/>
          <w:sz w:val="18"/>
        </w:rPr>
        <w:t xml:space="preserve"> </w:t>
      </w:r>
      <w:r>
        <w:rPr>
          <w:sz w:val="18"/>
        </w:rPr>
        <w:t>only</w:t>
      </w:r>
      <w:r>
        <w:rPr>
          <w:spacing w:val="-9"/>
          <w:sz w:val="18"/>
        </w:rPr>
        <w:t xml:space="preserve"> </w:t>
      </w:r>
      <w:r>
        <w:rPr>
          <w:sz w:val="18"/>
        </w:rPr>
        <w:t>formulates</w:t>
      </w:r>
      <w:r>
        <w:rPr>
          <w:spacing w:val="-7"/>
          <w:sz w:val="18"/>
        </w:rPr>
        <w:t xml:space="preserve"> </w:t>
      </w:r>
      <w:r>
        <w:rPr>
          <w:sz w:val="18"/>
        </w:rPr>
        <w:t>policies</w:t>
      </w:r>
      <w:r>
        <w:rPr>
          <w:spacing w:val="-9"/>
          <w:sz w:val="18"/>
        </w:rPr>
        <w:t xml:space="preserve"> </w:t>
      </w:r>
      <w:r>
        <w:rPr>
          <w:sz w:val="18"/>
        </w:rPr>
        <w:t>but</w:t>
      </w:r>
      <w:r>
        <w:rPr>
          <w:spacing w:val="-6"/>
          <w:sz w:val="18"/>
        </w:rPr>
        <w:t xml:space="preserve"> </w:t>
      </w:r>
      <w:r>
        <w:rPr>
          <w:sz w:val="18"/>
        </w:rPr>
        <w:t>also</w:t>
      </w:r>
      <w:r>
        <w:rPr>
          <w:spacing w:val="-7"/>
          <w:sz w:val="18"/>
        </w:rPr>
        <w:t xml:space="preserve"> </w:t>
      </w:r>
      <w:r>
        <w:rPr>
          <w:sz w:val="18"/>
        </w:rPr>
        <w:t>seeks</w:t>
      </w:r>
      <w:r>
        <w:rPr>
          <w:spacing w:val="-7"/>
          <w:sz w:val="18"/>
        </w:rPr>
        <w:t xml:space="preserve"> </w:t>
      </w:r>
      <w:r>
        <w:rPr>
          <w:sz w:val="18"/>
        </w:rPr>
        <w:t>to</w:t>
      </w:r>
      <w:r>
        <w:rPr>
          <w:spacing w:val="-7"/>
          <w:sz w:val="18"/>
        </w:rPr>
        <w:t xml:space="preserve"> </w:t>
      </w:r>
      <w:r>
        <w:rPr>
          <w:sz w:val="18"/>
        </w:rPr>
        <w:t>directly</w:t>
      </w:r>
      <w:r>
        <w:rPr>
          <w:spacing w:val="-7"/>
          <w:sz w:val="18"/>
        </w:rPr>
        <w:t xml:space="preserve"> </w:t>
      </w:r>
      <w:r>
        <w:rPr>
          <w:sz w:val="18"/>
        </w:rPr>
        <w:t>hear</w:t>
      </w:r>
      <w:r>
        <w:rPr>
          <w:spacing w:val="-6"/>
          <w:sz w:val="18"/>
        </w:rPr>
        <w:t xml:space="preserve"> </w:t>
      </w:r>
      <w:r>
        <w:rPr>
          <w:sz w:val="18"/>
        </w:rPr>
        <w:t>the</w:t>
      </w:r>
      <w:r>
        <w:rPr>
          <w:spacing w:val="-7"/>
          <w:sz w:val="18"/>
        </w:rPr>
        <w:t xml:space="preserve"> </w:t>
      </w:r>
      <w:r>
        <w:rPr>
          <w:sz w:val="18"/>
        </w:rPr>
        <w:t>voices</w:t>
      </w:r>
      <w:r>
        <w:rPr>
          <w:spacing w:val="-7"/>
          <w:sz w:val="18"/>
        </w:rPr>
        <w:t xml:space="preserve"> </w:t>
      </w:r>
      <w:r>
        <w:rPr>
          <w:sz w:val="18"/>
        </w:rPr>
        <w:t>of the</w:t>
      </w:r>
      <w:r>
        <w:rPr>
          <w:spacing w:val="-6"/>
          <w:sz w:val="18"/>
        </w:rPr>
        <w:t xml:space="preserve"> </w:t>
      </w:r>
      <w:r>
        <w:rPr>
          <w:sz w:val="18"/>
        </w:rPr>
        <w:t>community,</w:t>
      </w:r>
      <w:r>
        <w:rPr>
          <w:spacing w:val="-7"/>
          <w:sz w:val="18"/>
        </w:rPr>
        <w:t xml:space="preserve"> </w:t>
      </w:r>
      <w:r>
        <w:rPr>
          <w:sz w:val="18"/>
        </w:rPr>
        <w:t>especially</w:t>
      </w:r>
      <w:r>
        <w:rPr>
          <w:spacing w:val="-6"/>
          <w:sz w:val="18"/>
        </w:rPr>
        <w:t xml:space="preserve"> </w:t>
      </w:r>
      <w:r>
        <w:rPr>
          <w:sz w:val="18"/>
        </w:rPr>
        <w:t>groups</w:t>
      </w:r>
      <w:r>
        <w:rPr>
          <w:spacing w:val="-9"/>
          <w:sz w:val="18"/>
        </w:rPr>
        <w:t xml:space="preserve"> </w:t>
      </w:r>
      <w:r>
        <w:rPr>
          <w:sz w:val="18"/>
        </w:rPr>
        <w:t>that</w:t>
      </w:r>
      <w:r>
        <w:rPr>
          <w:spacing w:val="-8"/>
          <w:sz w:val="18"/>
        </w:rPr>
        <w:t xml:space="preserve"> </w:t>
      </w:r>
      <w:r>
        <w:rPr>
          <w:sz w:val="18"/>
        </w:rPr>
        <w:t>have</w:t>
      </w:r>
      <w:r>
        <w:rPr>
          <w:spacing w:val="-6"/>
          <w:sz w:val="18"/>
        </w:rPr>
        <w:t xml:space="preserve"> </w:t>
      </w:r>
      <w:r>
        <w:rPr>
          <w:sz w:val="18"/>
        </w:rPr>
        <w:t>been</w:t>
      </w:r>
      <w:r>
        <w:rPr>
          <w:spacing w:val="-6"/>
          <w:sz w:val="18"/>
        </w:rPr>
        <w:t xml:space="preserve"> </w:t>
      </w:r>
      <w:r>
        <w:rPr>
          <w:sz w:val="18"/>
        </w:rPr>
        <w:t>underrepresented,</w:t>
      </w:r>
      <w:r>
        <w:rPr>
          <w:spacing w:val="-7"/>
          <w:sz w:val="18"/>
        </w:rPr>
        <w:t xml:space="preserve"> </w:t>
      </w:r>
      <w:r>
        <w:rPr>
          <w:sz w:val="18"/>
        </w:rPr>
        <w:t>such</w:t>
      </w:r>
      <w:r>
        <w:rPr>
          <w:spacing w:val="-6"/>
          <w:sz w:val="18"/>
        </w:rPr>
        <w:t xml:space="preserve"> </w:t>
      </w:r>
      <w:r>
        <w:rPr>
          <w:sz w:val="18"/>
        </w:rPr>
        <w:t>as</w:t>
      </w:r>
      <w:r>
        <w:rPr>
          <w:spacing w:val="-6"/>
          <w:sz w:val="18"/>
        </w:rPr>
        <w:t xml:space="preserve"> </w:t>
      </w:r>
      <w:r>
        <w:rPr>
          <w:sz w:val="18"/>
        </w:rPr>
        <w:t>women,</w:t>
      </w:r>
      <w:r>
        <w:rPr>
          <w:spacing w:val="-7"/>
          <w:sz w:val="18"/>
        </w:rPr>
        <w:t xml:space="preserve"> </w:t>
      </w:r>
      <w:r>
        <w:rPr>
          <w:sz w:val="18"/>
        </w:rPr>
        <w:t>children,</w:t>
      </w:r>
      <w:r>
        <w:rPr>
          <w:spacing w:val="-7"/>
          <w:sz w:val="18"/>
        </w:rPr>
        <w:t xml:space="preserve"> </w:t>
      </w:r>
      <w:r>
        <w:rPr>
          <w:sz w:val="18"/>
        </w:rPr>
        <w:t>persons</w:t>
      </w:r>
      <w:r>
        <w:rPr>
          <w:spacing w:val="-6"/>
          <w:sz w:val="18"/>
        </w:rPr>
        <w:t xml:space="preserve"> </w:t>
      </w:r>
      <w:r>
        <w:rPr>
          <w:sz w:val="18"/>
        </w:rPr>
        <w:t>with</w:t>
      </w:r>
      <w:r>
        <w:rPr>
          <w:spacing w:val="-6"/>
          <w:sz w:val="18"/>
        </w:rPr>
        <w:t xml:space="preserve"> </w:t>
      </w:r>
      <w:r>
        <w:rPr>
          <w:sz w:val="18"/>
        </w:rPr>
        <w:t>disabilities, and</w:t>
      </w:r>
      <w:r>
        <w:rPr>
          <w:spacing w:val="-7"/>
          <w:sz w:val="18"/>
        </w:rPr>
        <w:t xml:space="preserve"> </w:t>
      </w:r>
      <w:r>
        <w:rPr>
          <w:sz w:val="18"/>
        </w:rPr>
        <w:t>other</w:t>
      </w:r>
      <w:r>
        <w:rPr>
          <w:spacing w:val="-7"/>
          <w:sz w:val="18"/>
        </w:rPr>
        <w:t xml:space="preserve"> </w:t>
      </w:r>
      <w:r>
        <w:rPr>
          <w:sz w:val="18"/>
        </w:rPr>
        <w:t>vulnerable</w:t>
      </w:r>
      <w:r>
        <w:rPr>
          <w:spacing w:val="-7"/>
          <w:sz w:val="18"/>
        </w:rPr>
        <w:t xml:space="preserve"> </w:t>
      </w:r>
      <w:r>
        <w:rPr>
          <w:sz w:val="18"/>
        </w:rPr>
        <w:t>groups.</w:t>
      </w:r>
      <w:r>
        <w:rPr>
          <w:spacing w:val="-8"/>
          <w:sz w:val="18"/>
        </w:rPr>
        <w:t xml:space="preserve"> </w:t>
      </w:r>
      <w:r>
        <w:rPr>
          <w:sz w:val="18"/>
        </w:rPr>
        <w:t>The</w:t>
      </w:r>
      <w:r>
        <w:rPr>
          <w:spacing w:val="-7"/>
          <w:sz w:val="18"/>
        </w:rPr>
        <w:t xml:space="preserve"> </w:t>
      </w:r>
      <w:r>
        <w:rPr>
          <w:sz w:val="18"/>
        </w:rPr>
        <w:t>MENTARI</w:t>
      </w:r>
      <w:r>
        <w:rPr>
          <w:spacing w:val="-8"/>
          <w:sz w:val="18"/>
        </w:rPr>
        <w:t xml:space="preserve"> </w:t>
      </w:r>
      <w:r>
        <w:rPr>
          <w:sz w:val="18"/>
        </w:rPr>
        <w:t>KALTARA</w:t>
      </w:r>
      <w:r>
        <w:rPr>
          <w:spacing w:val="-8"/>
          <w:sz w:val="18"/>
        </w:rPr>
        <w:t xml:space="preserve"> </w:t>
      </w:r>
      <w:r>
        <w:rPr>
          <w:sz w:val="18"/>
        </w:rPr>
        <w:t>Inclusive</w:t>
      </w:r>
      <w:r>
        <w:rPr>
          <w:spacing w:val="-7"/>
          <w:sz w:val="18"/>
        </w:rPr>
        <w:t xml:space="preserve"> </w:t>
      </w:r>
      <w:r>
        <w:rPr>
          <w:sz w:val="18"/>
        </w:rPr>
        <w:t>Aspiration</w:t>
      </w:r>
      <w:r>
        <w:rPr>
          <w:spacing w:val="-7"/>
          <w:sz w:val="18"/>
        </w:rPr>
        <w:t xml:space="preserve"> </w:t>
      </w:r>
      <w:r>
        <w:rPr>
          <w:sz w:val="18"/>
        </w:rPr>
        <w:t>Screening</w:t>
      </w:r>
      <w:r>
        <w:rPr>
          <w:spacing w:val="-8"/>
          <w:sz w:val="18"/>
        </w:rPr>
        <w:t xml:space="preserve"> </w:t>
      </w:r>
      <w:r>
        <w:rPr>
          <w:sz w:val="18"/>
        </w:rPr>
        <w:t>Forum</w:t>
      </w:r>
      <w:r>
        <w:rPr>
          <w:spacing w:val="-8"/>
          <w:sz w:val="18"/>
        </w:rPr>
        <w:t xml:space="preserve"> </w:t>
      </w:r>
      <w:r>
        <w:rPr>
          <w:sz w:val="18"/>
        </w:rPr>
        <w:t>was</w:t>
      </w:r>
      <w:r>
        <w:rPr>
          <w:spacing w:val="-7"/>
          <w:sz w:val="18"/>
        </w:rPr>
        <w:t xml:space="preserve"> </w:t>
      </w:r>
      <w:r>
        <w:rPr>
          <w:sz w:val="18"/>
        </w:rPr>
        <w:t>established</w:t>
      </w:r>
      <w:r>
        <w:rPr>
          <w:spacing w:val="-7"/>
          <w:sz w:val="18"/>
        </w:rPr>
        <w:t xml:space="preserve"> </w:t>
      </w:r>
      <w:r>
        <w:rPr>
          <w:sz w:val="18"/>
        </w:rPr>
        <w:t>as</w:t>
      </w:r>
      <w:r>
        <w:rPr>
          <w:spacing w:val="-7"/>
          <w:sz w:val="18"/>
        </w:rPr>
        <w:t xml:space="preserve"> </w:t>
      </w:r>
      <w:r>
        <w:rPr>
          <w:sz w:val="18"/>
        </w:rPr>
        <w:t>a</w:t>
      </w:r>
      <w:r>
        <w:rPr>
          <w:spacing w:val="-8"/>
          <w:sz w:val="18"/>
        </w:rPr>
        <w:t xml:space="preserve"> </w:t>
      </w:r>
      <w:r>
        <w:rPr>
          <w:sz w:val="18"/>
        </w:rPr>
        <w:t>tangible manifestation</w:t>
      </w:r>
      <w:r>
        <w:rPr>
          <w:spacing w:val="-6"/>
          <w:sz w:val="18"/>
        </w:rPr>
        <w:t xml:space="preserve"> </w:t>
      </w:r>
      <w:r>
        <w:rPr>
          <w:sz w:val="18"/>
        </w:rPr>
        <w:t>of</w:t>
      </w:r>
      <w:r>
        <w:rPr>
          <w:spacing w:val="-7"/>
          <w:sz w:val="18"/>
        </w:rPr>
        <w:t xml:space="preserve"> </w:t>
      </w:r>
      <w:r>
        <w:rPr>
          <w:sz w:val="18"/>
        </w:rPr>
        <w:t>this</w:t>
      </w:r>
      <w:r>
        <w:rPr>
          <w:spacing w:val="-6"/>
          <w:sz w:val="18"/>
        </w:rPr>
        <w:t xml:space="preserve"> </w:t>
      </w:r>
      <w:r>
        <w:rPr>
          <w:sz w:val="18"/>
        </w:rPr>
        <w:t>commitment,</w:t>
      </w:r>
      <w:r>
        <w:rPr>
          <w:spacing w:val="-7"/>
          <w:sz w:val="18"/>
        </w:rPr>
        <w:t xml:space="preserve"> </w:t>
      </w:r>
      <w:r>
        <w:rPr>
          <w:sz w:val="18"/>
        </w:rPr>
        <w:t>institutionalised</w:t>
      </w:r>
      <w:r>
        <w:rPr>
          <w:spacing w:val="-6"/>
          <w:sz w:val="18"/>
        </w:rPr>
        <w:t xml:space="preserve"> </w:t>
      </w:r>
      <w:r>
        <w:rPr>
          <w:sz w:val="18"/>
        </w:rPr>
        <w:t>through</w:t>
      </w:r>
      <w:r>
        <w:rPr>
          <w:spacing w:val="-6"/>
          <w:sz w:val="18"/>
        </w:rPr>
        <w:t xml:space="preserve"> </w:t>
      </w:r>
      <w:r>
        <w:rPr>
          <w:sz w:val="18"/>
        </w:rPr>
        <w:t>a</w:t>
      </w:r>
      <w:r>
        <w:rPr>
          <w:spacing w:val="-7"/>
          <w:sz w:val="18"/>
        </w:rPr>
        <w:t xml:space="preserve"> </w:t>
      </w:r>
      <w:r>
        <w:rPr>
          <w:sz w:val="18"/>
        </w:rPr>
        <w:t>Decree</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Head</w:t>
      </w:r>
      <w:r>
        <w:rPr>
          <w:spacing w:val="-6"/>
          <w:sz w:val="18"/>
        </w:rPr>
        <w:t xml:space="preserve"> </w:t>
      </w:r>
      <w:r>
        <w:rPr>
          <w:sz w:val="18"/>
        </w:rPr>
        <w:t>of</w:t>
      </w:r>
      <w:r>
        <w:rPr>
          <w:spacing w:val="-7"/>
          <w:sz w:val="18"/>
        </w:rPr>
        <w:t xml:space="preserve"> </w:t>
      </w:r>
      <w:r>
        <w:rPr>
          <w:sz w:val="18"/>
        </w:rPr>
        <w:t>Bappeda</w:t>
      </w:r>
      <w:r>
        <w:rPr>
          <w:spacing w:val="-7"/>
          <w:sz w:val="18"/>
        </w:rPr>
        <w:t xml:space="preserve"> </w:t>
      </w:r>
      <w:r>
        <w:rPr>
          <w:sz w:val="18"/>
        </w:rPr>
        <w:t>Litbang</w:t>
      </w:r>
      <w:r>
        <w:rPr>
          <w:spacing w:val="-5"/>
          <w:sz w:val="18"/>
        </w:rPr>
        <w:t xml:space="preserve"> </w:t>
      </w:r>
      <w:r>
        <w:rPr>
          <w:sz w:val="18"/>
        </w:rPr>
        <w:t>and</w:t>
      </w:r>
      <w:r>
        <w:rPr>
          <w:spacing w:val="-6"/>
          <w:sz w:val="18"/>
        </w:rPr>
        <w:t xml:space="preserve"> </w:t>
      </w:r>
      <w:r>
        <w:rPr>
          <w:sz w:val="18"/>
        </w:rPr>
        <w:t>supported</w:t>
      </w:r>
      <w:r>
        <w:rPr>
          <w:spacing w:val="-6"/>
          <w:sz w:val="18"/>
        </w:rPr>
        <w:t xml:space="preserve"> </w:t>
      </w:r>
      <w:r>
        <w:rPr>
          <w:sz w:val="18"/>
        </w:rPr>
        <w:t>by the Governor’s</w:t>
      </w:r>
      <w:r>
        <w:rPr>
          <w:spacing w:val="-2"/>
          <w:sz w:val="18"/>
        </w:rPr>
        <w:t xml:space="preserve"> </w:t>
      </w:r>
      <w:r>
        <w:rPr>
          <w:sz w:val="18"/>
        </w:rPr>
        <w:t>instruction to make this inclusive forum an integral part of the regional development</w:t>
      </w:r>
      <w:r>
        <w:rPr>
          <w:spacing w:val="-1"/>
          <w:sz w:val="18"/>
        </w:rPr>
        <w:t xml:space="preserve"> </w:t>
      </w:r>
      <w:r>
        <w:rPr>
          <w:sz w:val="18"/>
        </w:rPr>
        <w:t>planning process.</w:t>
      </w:r>
    </w:p>
    <w:p w14:paraId="75025220" w14:textId="77777777" w:rsidR="00BC24A8" w:rsidRDefault="00BC24A8">
      <w:pPr>
        <w:jc w:val="both"/>
        <w:rPr>
          <w:sz w:val="18"/>
        </w:rPr>
        <w:sectPr w:rsidR="00BC24A8">
          <w:pgSz w:w="11910" w:h="16840"/>
          <w:pgMar w:top="1400" w:right="850" w:bottom="1100" w:left="1275" w:header="0" w:footer="907" w:gutter="0"/>
          <w:cols w:space="720"/>
        </w:sectPr>
      </w:pPr>
    </w:p>
    <w:p w14:paraId="75158BEF" w14:textId="77777777" w:rsidR="00BC24A8" w:rsidRDefault="00000000">
      <w:pPr>
        <w:spacing w:before="51"/>
        <w:ind w:left="395" w:right="662"/>
        <w:rPr>
          <w:sz w:val="18"/>
        </w:rPr>
      </w:pPr>
      <w:r>
        <w:rPr>
          <w:noProof/>
          <w:sz w:val="18"/>
        </w:rPr>
        <w:lastRenderedPageBreak/>
        <mc:AlternateContent>
          <mc:Choice Requires="wpg">
            <w:drawing>
              <wp:anchor distT="0" distB="0" distL="0" distR="0" simplePos="0" relativeHeight="478671872" behindDoc="1" locked="0" layoutInCell="1" allowOverlap="1" wp14:anchorId="17C5050F" wp14:editId="26D77C07">
                <wp:simplePos x="0" y="0"/>
                <wp:positionH relativeFrom="page">
                  <wp:posOffset>897636</wp:posOffset>
                </wp:positionH>
                <wp:positionV relativeFrom="paragraph">
                  <wp:posOffset>25387</wp:posOffset>
                </wp:positionV>
                <wp:extent cx="5779135" cy="7280275"/>
                <wp:effectExtent l="0" t="0" r="0" b="0"/>
                <wp:wrapNone/>
                <wp:docPr id="130" name="Group 130" descr="Through this forum, participation space is widely opened, ensuring that all members of society have the opportunity to express their aspirations and contribute to equitable and socially just development.&#10;&#10;&#10;&#10;&#10;This forum provides JMS with space to voice their aspirations and contribute to the formulation of more inclusive policies&#10;Regional Secretary of Kalimantan Utara Province&#10;&#10;&#10;&#10;The implementation of the MENTARI KALTARA Inclusive Aspiration Screening Forum has significantly increased community participation. From the Civil Society Network (JMS) consisting of 16 CSOs and 5 DPOs, 71 inclusive development proposals were collected. This is a significant increase from the 26 proposals in the previous year’s Inclusive Musrenbang pilot, confirming that inclusive participation spaces effectively open access to voices that have been previously unheard.&#10;&#10;&#10;&#10;As part of the Civil Society Network (JMS) in Kalimantan Utara, we consider civil society involvement in public consultation processes as a crucial element in achieving transparent, inclusive, and responsive governance. JMS holds a strategic position as a bridge between grassroots community interests and public decision-making processes, particularly in the context of sustainable and equitable regional development.&#10;MENTARI KALTARA, Kalimantan Utara Province&#10;&#10;&#10;&#10;These proposals have been incorporated into official regional planning documents, including RPJMD 2025–2029, RKPD Amendment 2025, and RKPD 2026, with a total budget allocation of Rp 3 billion. The government’s commitment to following up on these aspirations was reinforced by an official letter from the Head of Bappeda Litbang, requesting all district/city governments and regional apparatus to discuss and act upon the proposals in regional apparatus forums, while encouraging all stakeholders to actively oversee development implementation, creating a sustainable accountability cycle.&#10;&#10;&#10;&#10;Musrenbang is not merely a forum for submitting proposals, but a process of prioritising inputs from regional apparatus forums and previous planning. The proposals emerging today are expected to be prioritised and monitored until included in provincial agencies planning documents, including the 2025 RKPD Amendment and the 2026 RKPD&#10;Head of Bappeda Litbang, Kalimantan Utara Province&#10;&#10;&#10;&#10;The SKALA Program’s contribution has been crucial in this process, providing technical assistance and facilitation to ensure the inclusive forum and musrenbang run smoothly. SKALA strengthens participation mechanisms so that the aspirations of vulnerable groups are not only heard but genuinely integrated into tangible and sustainable development planning&#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7280275"/>
                          <a:chOff x="0" y="0"/>
                          <a:chExt cx="5779135" cy="7280275"/>
                        </a:xfrm>
                      </wpg:grpSpPr>
                      <wps:wsp>
                        <wps:cNvPr id="131" name="Graphic 131"/>
                        <wps:cNvSpPr/>
                        <wps:spPr>
                          <a:xfrm>
                            <a:off x="6095" y="6108"/>
                            <a:ext cx="5765800" cy="7268209"/>
                          </a:xfrm>
                          <a:custGeom>
                            <a:avLst/>
                            <a:gdLst/>
                            <a:ahLst/>
                            <a:cxnLst/>
                            <a:rect l="l" t="t" r="r" b="b"/>
                            <a:pathLst>
                              <a:path w="5765800" h="7268209">
                                <a:moveTo>
                                  <a:pt x="5765292" y="0"/>
                                </a:moveTo>
                                <a:lnTo>
                                  <a:pt x="0" y="0"/>
                                </a:lnTo>
                                <a:lnTo>
                                  <a:pt x="0" y="7267956"/>
                                </a:lnTo>
                                <a:lnTo>
                                  <a:pt x="5765292" y="7267956"/>
                                </a:lnTo>
                                <a:lnTo>
                                  <a:pt x="5765292" y="0"/>
                                </a:lnTo>
                                <a:close/>
                              </a:path>
                            </a:pathLst>
                          </a:custGeom>
                          <a:solidFill>
                            <a:srgbClr val="E1F1EF"/>
                          </a:solidFill>
                        </wps:spPr>
                        <wps:bodyPr wrap="square" lIns="0" tIns="0" rIns="0" bIns="0" rtlCol="0">
                          <a:prstTxWarp prst="textNoShape">
                            <a:avLst/>
                          </a:prstTxWarp>
                          <a:noAutofit/>
                        </wps:bodyPr>
                      </wps:wsp>
                      <wps:wsp>
                        <wps:cNvPr id="132" name="Graphic 132"/>
                        <wps:cNvSpPr/>
                        <wps:spPr>
                          <a:xfrm>
                            <a:off x="0" y="0"/>
                            <a:ext cx="5779135" cy="7280275"/>
                          </a:xfrm>
                          <a:custGeom>
                            <a:avLst/>
                            <a:gdLst/>
                            <a:ahLst/>
                            <a:cxnLst/>
                            <a:rect l="l" t="t" r="r" b="b"/>
                            <a:pathLst>
                              <a:path w="5779135" h="7280275">
                                <a:moveTo>
                                  <a:pt x="5779008" y="6121"/>
                                </a:moveTo>
                                <a:lnTo>
                                  <a:pt x="5772912" y="6121"/>
                                </a:lnTo>
                                <a:lnTo>
                                  <a:pt x="5772912" y="7274052"/>
                                </a:lnTo>
                                <a:lnTo>
                                  <a:pt x="6108" y="7274052"/>
                                </a:lnTo>
                                <a:lnTo>
                                  <a:pt x="6108" y="6121"/>
                                </a:lnTo>
                                <a:lnTo>
                                  <a:pt x="0" y="6121"/>
                                </a:lnTo>
                                <a:lnTo>
                                  <a:pt x="0" y="7274052"/>
                                </a:lnTo>
                                <a:lnTo>
                                  <a:pt x="0" y="7280161"/>
                                </a:lnTo>
                                <a:lnTo>
                                  <a:pt x="6096" y="7280161"/>
                                </a:lnTo>
                                <a:lnTo>
                                  <a:pt x="5772912" y="7280161"/>
                                </a:lnTo>
                                <a:lnTo>
                                  <a:pt x="5779008" y="7280161"/>
                                </a:lnTo>
                                <a:lnTo>
                                  <a:pt x="5779008" y="7274065"/>
                                </a:lnTo>
                                <a:lnTo>
                                  <a:pt x="5779008" y="6121"/>
                                </a:lnTo>
                                <a:close/>
                              </a:path>
                              <a:path w="5779135" h="7280275">
                                <a:moveTo>
                                  <a:pt x="5779008" y="0"/>
                                </a:moveTo>
                                <a:lnTo>
                                  <a:pt x="5772912" y="0"/>
                                </a:lnTo>
                                <a:lnTo>
                                  <a:pt x="6108" y="0"/>
                                </a:lnTo>
                                <a:lnTo>
                                  <a:pt x="0" y="0"/>
                                </a:lnTo>
                                <a:lnTo>
                                  <a:pt x="0" y="6108"/>
                                </a:lnTo>
                                <a:lnTo>
                                  <a:pt x="6096" y="6108"/>
                                </a:lnTo>
                                <a:lnTo>
                                  <a:pt x="5772912" y="6108"/>
                                </a:lnTo>
                                <a:lnTo>
                                  <a:pt x="5779008" y="6108"/>
                                </a:lnTo>
                                <a:lnTo>
                                  <a:pt x="5779008" y="0"/>
                                </a:lnTo>
                                <a:close/>
                              </a:path>
                            </a:pathLst>
                          </a:custGeom>
                          <a:solidFill>
                            <a:srgbClr val="BEBEBE"/>
                          </a:solidFill>
                        </wps:spPr>
                        <wps:bodyPr wrap="square" lIns="0" tIns="0" rIns="0" bIns="0" rtlCol="0">
                          <a:prstTxWarp prst="textNoShape">
                            <a:avLst/>
                          </a:prstTxWarp>
                          <a:noAutofit/>
                        </wps:bodyPr>
                      </wps:wsp>
                      <wps:wsp>
                        <wps:cNvPr id="133" name="Graphic 133"/>
                        <wps:cNvSpPr/>
                        <wps:spPr>
                          <a:xfrm>
                            <a:off x="174244" y="725423"/>
                            <a:ext cx="5410200" cy="746760"/>
                          </a:xfrm>
                          <a:custGeom>
                            <a:avLst/>
                            <a:gdLst/>
                            <a:ahLst/>
                            <a:cxnLst/>
                            <a:rect l="l" t="t" r="r" b="b"/>
                            <a:pathLst>
                              <a:path w="5410200" h="746760">
                                <a:moveTo>
                                  <a:pt x="0" y="0"/>
                                </a:moveTo>
                                <a:lnTo>
                                  <a:pt x="5410200" y="0"/>
                                </a:lnTo>
                                <a:lnTo>
                                  <a:pt x="5410200" y="746607"/>
                                </a:lnTo>
                                <a:lnTo>
                                  <a:pt x="0" y="746607"/>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28" cstate="print"/>
                          <a:stretch>
                            <a:fillRect/>
                          </a:stretch>
                        </pic:blipFill>
                        <pic:spPr>
                          <a:xfrm>
                            <a:off x="235220" y="570890"/>
                            <a:ext cx="223210" cy="205221"/>
                          </a:xfrm>
                          <a:prstGeom prst="rect">
                            <a:avLst/>
                          </a:prstGeom>
                        </pic:spPr>
                      </pic:pic>
                      <pic:pic xmlns:pic="http://schemas.openxmlformats.org/drawingml/2006/picture">
                        <pic:nvPicPr>
                          <pic:cNvPr id="135" name="Image 135"/>
                          <pic:cNvPicPr/>
                        </pic:nvPicPr>
                        <pic:blipFill>
                          <a:blip r:embed="rId20" cstate="print"/>
                          <a:stretch>
                            <a:fillRect/>
                          </a:stretch>
                        </pic:blipFill>
                        <pic:spPr>
                          <a:xfrm>
                            <a:off x="5293738" y="1410568"/>
                            <a:ext cx="223210" cy="205221"/>
                          </a:xfrm>
                          <a:prstGeom prst="rect">
                            <a:avLst/>
                          </a:prstGeom>
                        </pic:spPr>
                      </pic:pic>
                      <wps:wsp>
                        <wps:cNvPr id="136" name="Graphic 136"/>
                        <wps:cNvSpPr/>
                        <wps:spPr>
                          <a:xfrm>
                            <a:off x="180594" y="2753690"/>
                            <a:ext cx="5410200" cy="1094105"/>
                          </a:xfrm>
                          <a:custGeom>
                            <a:avLst/>
                            <a:gdLst/>
                            <a:ahLst/>
                            <a:cxnLst/>
                            <a:rect l="l" t="t" r="r" b="b"/>
                            <a:pathLst>
                              <a:path w="5410200" h="1094105">
                                <a:moveTo>
                                  <a:pt x="0" y="0"/>
                                </a:moveTo>
                                <a:lnTo>
                                  <a:pt x="5410200" y="0"/>
                                </a:lnTo>
                                <a:lnTo>
                                  <a:pt x="5410200" y="1094079"/>
                                </a:lnTo>
                                <a:lnTo>
                                  <a:pt x="0" y="1094079"/>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20" cstate="print"/>
                          <a:stretch>
                            <a:fillRect/>
                          </a:stretch>
                        </pic:blipFill>
                        <pic:spPr>
                          <a:xfrm>
                            <a:off x="5298577" y="3783992"/>
                            <a:ext cx="223210" cy="205015"/>
                          </a:xfrm>
                          <a:prstGeom prst="rect">
                            <a:avLst/>
                          </a:prstGeom>
                        </pic:spPr>
                      </pic:pic>
                      <pic:pic xmlns:pic="http://schemas.openxmlformats.org/drawingml/2006/picture">
                        <pic:nvPicPr>
                          <pic:cNvPr id="138" name="Image 138"/>
                          <pic:cNvPicPr/>
                        </pic:nvPicPr>
                        <pic:blipFill>
                          <a:blip r:embed="rId28" cstate="print"/>
                          <a:stretch>
                            <a:fillRect/>
                          </a:stretch>
                        </pic:blipFill>
                        <pic:spPr>
                          <a:xfrm>
                            <a:off x="241573" y="2599315"/>
                            <a:ext cx="223210" cy="205014"/>
                          </a:xfrm>
                          <a:prstGeom prst="rect">
                            <a:avLst/>
                          </a:prstGeom>
                        </pic:spPr>
                      </pic:pic>
                      <wps:wsp>
                        <wps:cNvPr id="139" name="Graphic 139"/>
                        <wps:cNvSpPr/>
                        <wps:spPr>
                          <a:xfrm>
                            <a:off x="174244" y="5264530"/>
                            <a:ext cx="5410200" cy="1090930"/>
                          </a:xfrm>
                          <a:custGeom>
                            <a:avLst/>
                            <a:gdLst/>
                            <a:ahLst/>
                            <a:cxnLst/>
                            <a:rect l="l" t="t" r="r" b="b"/>
                            <a:pathLst>
                              <a:path w="5410200" h="1090930">
                                <a:moveTo>
                                  <a:pt x="0" y="0"/>
                                </a:moveTo>
                                <a:lnTo>
                                  <a:pt x="5410200" y="0"/>
                                </a:lnTo>
                                <a:lnTo>
                                  <a:pt x="5410200" y="1090904"/>
                                </a:lnTo>
                                <a:lnTo>
                                  <a:pt x="0" y="1090904"/>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14" cstate="print"/>
                          <a:stretch>
                            <a:fillRect/>
                          </a:stretch>
                        </pic:blipFill>
                        <pic:spPr>
                          <a:xfrm>
                            <a:off x="235223" y="5110159"/>
                            <a:ext cx="223210" cy="205014"/>
                          </a:xfrm>
                          <a:prstGeom prst="rect">
                            <a:avLst/>
                          </a:prstGeom>
                        </pic:spPr>
                      </pic:pic>
                      <pic:pic xmlns:pic="http://schemas.openxmlformats.org/drawingml/2006/picture">
                        <pic:nvPicPr>
                          <pic:cNvPr id="141" name="Image 141"/>
                          <pic:cNvPicPr/>
                        </pic:nvPicPr>
                        <pic:blipFill>
                          <a:blip r:embed="rId20" cstate="print"/>
                          <a:stretch>
                            <a:fillRect/>
                          </a:stretch>
                        </pic:blipFill>
                        <pic:spPr>
                          <a:xfrm>
                            <a:off x="5292227" y="6294840"/>
                            <a:ext cx="223210" cy="205015"/>
                          </a:xfrm>
                          <a:prstGeom prst="rect">
                            <a:avLst/>
                          </a:prstGeom>
                        </pic:spPr>
                      </pic:pic>
                    </wpg:wgp>
                  </a:graphicData>
                </a:graphic>
              </wp:anchor>
            </w:drawing>
          </mc:Choice>
          <mc:Fallback>
            <w:pict>
              <v:group w14:anchorId="670759AD" id="Group 130" o:spid="_x0000_s1026" alt="Through this forum, participation space is widely opened, ensuring that all members of society have the opportunity to express their aspirations and contribute to equitable and socially just development.&#10;&#10;&#10;&#10;&#10;This forum provides JMS with space to voice their aspirations and contribute to the formulation of more inclusive policies&#10;Regional Secretary of Kalimantan Utara Province&#10;&#10;&#10;&#10;The implementation of the MENTARI KALTARA Inclusive Aspiration Screening Forum has significantly increased community participation. From the Civil Society Network (JMS) consisting of 16 CSOs and 5 DPOs, 71 inclusive development proposals were collected. This is a significant increase from the 26 proposals in the previous year’s Inclusive Musrenbang pilot, confirming that inclusive participation spaces effectively open access to voices that have been previously unheard.&#10;&#10;&#10;&#10;As part of the Civil Society Network (JMS) in Kalimantan Utara, we consider civil society involvement in public consultation processes as a crucial element in achieving transparent, inclusive, and responsive governance. JMS holds a strategic position as a bridge between grassroots community interests and public decision-making processes, particularly in the context of sustainable and equitable regional development.&#10;MENTARI KALTARA, Kalimantan Utara Province&#10;&#10;&#10;&#10;These proposals have been incorporated into official regional planning documents, including RPJMD 2025–2029, RKPD Amendment 2025, and RKPD 2026, with a total budget allocation of Rp 3 billion. The government’s commitment to following up on these aspirations was reinforced by an official letter from the Head of Bappeda Litbang, requesting all district/city governments and regional apparatus to discuss and act upon the proposals in regional apparatus forums, while encouraging all stakeholders to actively oversee development implementation, creating a sustainable accountability cycle.&#10;&#10;&#10;&#10;Musrenbang is not merely a forum for submitting proposals, but a process of prioritising inputs from regional apparatus forums and previous planning. The proposals emerging today are expected to be prioritised and monitored until included in provincial agencies planning documents, including the 2025 RKPD Amendment and the 2026 RKPD&#10;Head of Bappeda Litbang, Kalimantan Utara Province&#10;&#10;&#10;&#10;The SKALA Program’s contribution has been crucial in this process, providing technical assistance and facilitation to ensure the inclusive forum and musrenbang run smoothly. SKALA strengthens participation mechanisms so that the aspirations of vulnerable groups are not only heard but genuinely integrated into tangible and sustainable development planning&#10;" style="position:absolute;margin-left:70.7pt;margin-top:2pt;width:455.05pt;height:573.25pt;z-index:-24644608;mso-wrap-distance-left:0;mso-wrap-distance-right:0;mso-position-horizontal-relative:page" coordsize="57791,7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">
                <v:shape id="Graphic 131" o:spid="_x0000_s1027" style="position:absolute;left:60;top:61;width:57658;height:72682;visibility:visible;mso-wrap-style:square;v-text-anchor:top" coordsize="5765800,726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" path="m5765292,l,,,7267956r5765292,l5765292,xe" fillcolor="#e1f1ef" stroked="f">
                  <v:path arrowok="t"/>
                </v:shape>
                <v:shape id="Graphic 132" o:spid="_x0000_s1028" style="position:absolute;width:57791;height:72802;visibility:visible;mso-wrap-style:square;v-text-anchor:top" coordsize="5779135,728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" path="m5779008,6121r-6096,l5772912,7274052r-5766804,l6108,6121,,6121,,7274052r,6109l6096,7280161r5766816,l5779008,7280161r,-6096l5779008,6121xem5779008,r-6096,l6108,,,,,6108r6096,l5772912,6108r6096,l5779008,xe" fillcolor="#bebebe" stroked="f">
                  <v:path arrowok="t"/>
                </v:shape>
                <v:shape id="Graphic 133" o:spid="_x0000_s1029" style="position:absolute;left:1742;top:7254;width:54102;height:7467;visibility:visible;mso-wrap-style:square;v-text-anchor:top" coordsize="541020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" path="m,l5410200,r,746607l,746607,,xe" filled="f" strokecolor="#17365a" strokeweight="1pt">
                  <v:path arrowok="t"/>
                </v:shape>
                <v:shape id="Image 134" o:spid="_x0000_s1030" type="#_x0000_t75" style="position:absolute;left:2352;top:5708;width:2232;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">
                  <v:imagedata r:id="rId29" o:title=""/>
                </v:shape>
                <v:shape id="Image 135" o:spid="_x0000_s1031" type="#_x0000_t75" style="position:absolute;left:52937;top:14105;width:2232;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">
                  <v:imagedata r:id="rId21" o:title=""/>
                </v:shape>
                <v:shape id="Graphic 136" o:spid="_x0000_s1032" style="position:absolute;left:1805;top:27536;width:54102;height:10941;visibility:visible;mso-wrap-style:square;v-text-anchor:top" coordsize="5410200,109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" path="m,l5410200,r,1094079l,1094079,,xe" filled="f" strokecolor="#17365a" strokeweight="1pt">
                  <v:path arrowok="t"/>
                </v:shape>
                <v:shape id="Image 137" o:spid="_x0000_s1033" type="#_x0000_t75" style="position:absolute;left:52985;top:37839;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">
                  <v:imagedata r:id="rId21" o:title=""/>
                </v:shape>
                <v:shape id="Image 138" o:spid="_x0000_s1034" type="#_x0000_t75" style="position:absolute;left:2415;top:25993;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">
                  <v:imagedata r:id="rId29" o:title=""/>
                </v:shape>
                <v:shape id="Graphic 139" o:spid="_x0000_s1035" style="position:absolute;left:1742;top:52645;width:54102;height:10909;visibility:visible;mso-wrap-style:square;v-text-anchor:top" coordsize="5410200,109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" path="m,l5410200,r,1090904l,1090904,,xe" filled="f" strokecolor="#17365a" strokeweight="1pt">
                  <v:path arrowok="t"/>
                </v:shape>
                <v:shape id="Image 140" o:spid="_x0000_s1036" type="#_x0000_t75" style="position:absolute;left:2352;top:51101;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">
                  <v:imagedata r:id="rId16" o:title=""/>
                </v:shape>
                <v:shape id="Image 141" o:spid="_x0000_s1037" type="#_x0000_t75" style="position:absolute;left:52922;top:62948;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">
                  <v:imagedata r:id="rId21" o:title=""/>
                </v:shape>
                <w10:wrap anchorx="page"/>
              </v:group>
            </w:pict>
          </mc:Fallback>
        </mc:AlternateContent>
      </w:r>
      <w:r>
        <w:rPr>
          <w:sz w:val="18"/>
        </w:rPr>
        <w:t>Through</w:t>
      </w:r>
      <w:r>
        <w:rPr>
          <w:spacing w:val="-2"/>
          <w:sz w:val="18"/>
        </w:rPr>
        <w:t xml:space="preserve"> </w:t>
      </w:r>
      <w:r>
        <w:rPr>
          <w:sz w:val="18"/>
        </w:rPr>
        <w:t>this</w:t>
      </w:r>
      <w:r>
        <w:rPr>
          <w:spacing w:val="-2"/>
          <w:sz w:val="18"/>
        </w:rPr>
        <w:t xml:space="preserve"> </w:t>
      </w:r>
      <w:r>
        <w:rPr>
          <w:sz w:val="18"/>
        </w:rPr>
        <w:t>forum,</w:t>
      </w:r>
      <w:r>
        <w:rPr>
          <w:spacing w:val="-3"/>
          <w:sz w:val="18"/>
        </w:rPr>
        <w:t xml:space="preserve"> </w:t>
      </w:r>
      <w:r>
        <w:rPr>
          <w:sz w:val="18"/>
        </w:rPr>
        <w:t>participation</w:t>
      </w:r>
      <w:r>
        <w:rPr>
          <w:spacing w:val="-4"/>
          <w:sz w:val="18"/>
        </w:rPr>
        <w:t xml:space="preserve"> </w:t>
      </w:r>
      <w:r>
        <w:rPr>
          <w:sz w:val="18"/>
        </w:rPr>
        <w:t>space</w:t>
      </w:r>
      <w:r>
        <w:rPr>
          <w:spacing w:val="-2"/>
          <w:sz w:val="18"/>
        </w:rPr>
        <w:t xml:space="preserve"> </w:t>
      </w:r>
      <w:r>
        <w:rPr>
          <w:sz w:val="18"/>
        </w:rPr>
        <w:t>is</w:t>
      </w:r>
      <w:r>
        <w:rPr>
          <w:spacing w:val="-2"/>
          <w:sz w:val="18"/>
        </w:rPr>
        <w:t xml:space="preserve"> </w:t>
      </w:r>
      <w:r>
        <w:rPr>
          <w:sz w:val="18"/>
        </w:rPr>
        <w:t>widely</w:t>
      </w:r>
      <w:r>
        <w:rPr>
          <w:spacing w:val="-2"/>
          <w:sz w:val="18"/>
        </w:rPr>
        <w:t xml:space="preserve"> </w:t>
      </w:r>
      <w:r>
        <w:rPr>
          <w:sz w:val="18"/>
        </w:rPr>
        <w:t>opened,</w:t>
      </w:r>
      <w:r>
        <w:rPr>
          <w:spacing w:val="-3"/>
          <w:sz w:val="18"/>
        </w:rPr>
        <w:t xml:space="preserve"> </w:t>
      </w:r>
      <w:r>
        <w:rPr>
          <w:sz w:val="18"/>
        </w:rPr>
        <w:t>ensuring</w:t>
      </w:r>
      <w:r>
        <w:rPr>
          <w:spacing w:val="-4"/>
          <w:sz w:val="18"/>
        </w:rPr>
        <w:t xml:space="preserve"> </w:t>
      </w:r>
      <w:r>
        <w:rPr>
          <w:sz w:val="18"/>
        </w:rPr>
        <w:t>that</w:t>
      </w:r>
      <w:r>
        <w:rPr>
          <w:spacing w:val="-4"/>
          <w:sz w:val="18"/>
        </w:rPr>
        <w:t xml:space="preserve"> </w:t>
      </w:r>
      <w:r>
        <w:rPr>
          <w:sz w:val="18"/>
        </w:rPr>
        <w:t>all</w:t>
      </w:r>
      <w:r>
        <w:rPr>
          <w:spacing w:val="-3"/>
          <w:sz w:val="18"/>
        </w:rPr>
        <w:t xml:space="preserve"> </w:t>
      </w:r>
      <w:r>
        <w:rPr>
          <w:sz w:val="18"/>
        </w:rPr>
        <w:t>members</w:t>
      </w:r>
      <w:r>
        <w:rPr>
          <w:spacing w:val="-2"/>
          <w:sz w:val="18"/>
        </w:rPr>
        <w:t xml:space="preserve"> </w:t>
      </w:r>
      <w:r>
        <w:rPr>
          <w:sz w:val="18"/>
        </w:rPr>
        <w:t>of</w:t>
      </w:r>
      <w:r>
        <w:rPr>
          <w:spacing w:val="-3"/>
          <w:sz w:val="18"/>
        </w:rPr>
        <w:t xml:space="preserve"> </w:t>
      </w:r>
      <w:r>
        <w:rPr>
          <w:sz w:val="18"/>
        </w:rPr>
        <w:t>society</w:t>
      </w:r>
      <w:r>
        <w:rPr>
          <w:spacing w:val="-4"/>
          <w:sz w:val="18"/>
        </w:rPr>
        <w:t xml:space="preserve"> </w:t>
      </w:r>
      <w:r>
        <w:rPr>
          <w:sz w:val="18"/>
        </w:rPr>
        <w:t>have</w:t>
      </w:r>
      <w:r>
        <w:rPr>
          <w:spacing w:val="-2"/>
          <w:sz w:val="18"/>
        </w:rPr>
        <w:t xml:space="preserve"> </w:t>
      </w:r>
      <w:r>
        <w:rPr>
          <w:sz w:val="18"/>
        </w:rPr>
        <w:t>the</w:t>
      </w:r>
      <w:r>
        <w:rPr>
          <w:spacing w:val="-2"/>
          <w:sz w:val="18"/>
        </w:rPr>
        <w:t xml:space="preserve"> </w:t>
      </w:r>
      <w:r>
        <w:rPr>
          <w:sz w:val="18"/>
        </w:rPr>
        <w:t>opportunity</w:t>
      </w:r>
      <w:r>
        <w:rPr>
          <w:spacing w:val="-2"/>
          <w:sz w:val="18"/>
        </w:rPr>
        <w:t xml:space="preserve"> </w:t>
      </w:r>
      <w:r>
        <w:rPr>
          <w:sz w:val="18"/>
        </w:rPr>
        <w:t>to express their aspirations and contribute to equitable and socially just development.</w:t>
      </w:r>
    </w:p>
    <w:p w14:paraId="56A648D5" w14:textId="77777777" w:rsidR="00BC24A8" w:rsidRDefault="00BC24A8">
      <w:pPr>
        <w:pStyle w:val="BodyText"/>
        <w:rPr>
          <w:sz w:val="18"/>
        </w:rPr>
      </w:pPr>
    </w:p>
    <w:p w14:paraId="4444FAB5" w14:textId="77777777" w:rsidR="00BC24A8" w:rsidRDefault="00BC24A8">
      <w:pPr>
        <w:pStyle w:val="BodyText"/>
        <w:rPr>
          <w:sz w:val="18"/>
        </w:rPr>
      </w:pPr>
    </w:p>
    <w:p w14:paraId="2552B7BD" w14:textId="77777777" w:rsidR="00BC24A8" w:rsidRDefault="00BC24A8">
      <w:pPr>
        <w:pStyle w:val="BodyText"/>
        <w:rPr>
          <w:sz w:val="18"/>
        </w:rPr>
      </w:pPr>
    </w:p>
    <w:p w14:paraId="715F9A29" w14:textId="77777777" w:rsidR="00BC24A8" w:rsidRDefault="00BC24A8">
      <w:pPr>
        <w:pStyle w:val="BodyText"/>
        <w:spacing w:before="31"/>
        <w:rPr>
          <w:sz w:val="18"/>
        </w:rPr>
      </w:pPr>
    </w:p>
    <w:p w14:paraId="7BAA0230" w14:textId="77777777" w:rsidR="00BC24A8" w:rsidRDefault="00000000">
      <w:pPr>
        <w:spacing w:line="292" w:lineRule="auto"/>
        <w:ind w:left="712" w:right="1116"/>
        <w:rPr>
          <w:rFonts w:ascii="Times New Roman"/>
          <w:b/>
          <w:i/>
          <w:sz w:val="18"/>
        </w:rPr>
      </w:pPr>
      <w:r>
        <w:rPr>
          <w:rFonts w:ascii="Times New Roman"/>
          <w:b/>
          <w:i/>
          <w:color w:val="17365A"/>
          <w:sz w:val="18"/>
        </w:rPr>
        <w:t>This forum provides JMS with space to voice their aspirations and contribute to the formulation of more inclusive</w:t>
      </w:r>
      <w:r>
        <w:rPr>
          <w:rFonts w:ascii="Times New Roman"/>
          <w:b/>
          <w:i/>
          <w:color w:val="17365A"/>
          <w:spacing w:val="-12"/>
          <w:sz w:val="18"/>
        </w:rPr>
        <w:t xml:space="preserve"> </w:t>
      </w:r>
      <w:r>
        <w:rPr>
          <w:rFonts w:ascii="Times New Roman"/>
          <w:b/>
          <w:i/>
          <w:color w:val="17365A"/>
          <w:sz w:val="18"/>
        </w:rPr>
        <w:t>policies</w:t>
      </w:r>
    </w:p>
    <w:p w14:paraId="4422EFD6" w14:textId="77777777" w:rsidR="00BC24A8" w:rsidRDefault="00000000">
      <w:pPr>
        <w:spacing w:line="199" w:lineRule="exact"/>
        <w:ind w:left="712"/>
        <w:rPr>
          <w:i/>
          <w:sz w:val="18"/>
        </w:rPr>
      </w:pPr>
      <w:r>
        <w:rPr>
          <w:i/>
          <w:color w:val="17365A"/>
          <w:sz w:val="18"/>
        </w:rPr>
        <w:t>Regional</w:t>
      </w:r>
      <w:r>
        <w:rPr>
          <w:i/>
          <w:color w:val="17365A"/>
          <w:spacing w:val="-4"/>
          <w:sz w:val="18"/>
        </w:rPr>
        <w:t xml:space="preserve"> </w:t>
      </w:r>
      <w:r>
        <w:rPr>
          <w:i/>
          <w:color w:val="17365A"/>
          <w:sz w:val="18"/>
        </w:rPr>
        <w:t>Secretary</w:t>
      </w:r>
      <w:r>
        <w:rPr>
          <w:i/>
          <w:color w:val="17365A"/>
          <w:spacing w:val="-4"/>
          <w:sz w:val="18"/>
        </w:rPr>
        <w:t xml:space="preserve"> </w:t>
      </w:r>
      <w:r>
        <w:rPr>
          <w:i/>
          <w:color w:val="17365A"/>
          <w:sz w:val="18"/>
        </w:rPr>
        <w:t>of</w:t>
      </w:r>
      <w:r>
        <w:rPr>
          <w:i/>
          <w:color w:val="17365A"/>
          <w:spacing w:val="-5"/>
          <w:sz w:val="18"/>
        </w:rPr>
        <w:t xml:space="preserve"> </w:t>
      </w:r>
      <w:r>
        <w:rPr>
          <w:i/>
          <w:color w:val="17365A"/>
          <w:sz w:val="18"/>
        </w:rPr>
        <w:t>Kalimantan</w:t>
      </w:r>
      <w:r>
        <w:rPr>
          <w:i/>
          <w:color w:val="17365A"/>
          <w:spacing w:val="-7"/>
          <w:sz w:val="18"/>
        </w:rPr>
        <w:t xml:space="preserve"> </w:t>
      </w:r>
      <w:r>
        <w:rPr>
          <w:i/>
          <w:color w:val="17365A"/>
          <w:sz w:val="18"/>
        </w:rPr>
        <w:t>Utara</w:t>
      </w:r>
      <w:r>
        <w:rPr>
          <w:i/>
          <w:color w:val="17365A"/>
          <w:spacing w:val="-4"/>
          <w:sz w:val="18"/>
        </w:rPr>
        <w:t xml:space="preserve"> </w:t>
      </w:r>
      <w:r>
        <w:rPr>
          <w:i/>
          <w:color w:val="17365A"/>
          <w:spacing w:val="-2"/>
          <w:sz w:val="18"/>
        </w:rPr>
        <w:t>Province</w:t>
      </w:r>
    </w:p>
    <w:p w14:paraId="0B57BD16" w14:textId="77777777" w:rsidR="00BC24A8" w:rsidRDefault="00BC24A8">
      <w:pPr>
        <w:pStyle w:val="BodyText"/>
        <w:rPr>
          <w:i/>
          <w:sz w:val="18"/>
        </w:rPr>
      </w:pPr>
    </w:p>
    <w:p w14:paraId="3FFDAE63" w14:textId="77777777" w:rsidR="00BC24A8" w:rsidRDefault="00BC24A8">
      <w:pPr>
        <w:pStyle w:val="BodyText"/>
        <w:rPr>
          <w:i/>
          <w:sz w:val="18"/>
        </w:rPr>
      </w:pPr>
    </w:p>
    <w:p w14:paraId="0217EB0E" w14:textId="77777777" w:rsidR="00BC24A8" w:rsidRDefault="00BC24A8">
      <w:pPr>
        <w:pStyle w:val="BodyText"/>
        <w:spacing w:before="45"/>
        <w:rPr>
          <w:i/>
          <w:sz w:val="18"/>
        </w:rPr>
      </w:pPr>
    </w:p>
    <w:p w14:paraId="6AA11874" w14:textId="77777777" w:rsidR="00BC24A8" w:rsidRDefault="00000000">
      <w:pPr>
        <w:ind w:left="395" w:right="794"/>
        <w:jc w:val="both"/>
        <w:rPr>
          <w:sz w:val="18"/>
        </w:rPr>
      </w:pPr>
      <w:r>
        <w:rPr>
          <w:sz w:val="18"/>
        </w:rPr>
        <w:t xml:space="preserve">The implementation of the MENTARI KALTARA Inclusive Aspiration Screening Forum has significantly increased community participation. From the Civil Society Network (JMS) consisting of 16 CSOs and 5 DPOs, 71 inclusive </w:t>
      </w:r>
      <w:r>
        <w:rPr>
          <w:spacing w:val="-2"/>
          <w:sz w:val="18"/>
        </w:rPr>
        <w:t>development proposals were collected. This is a significant increase from the 26 proposals in the previous year’s Inclusive</w:t>
      </w:r>
      <w:r>
        <w:rPr>
          <w:sz w:val="18"/>
        </w:rPr>
        <w:t xml:space="preserve"> Musrenbang pilot, confirming that inclusive participation spaces effectively open access to voices that have been previously unheard.</w:t>
      </w:r>
    </w:p>
    <w:p w14:paraId="413405F7" w14:textId="77777777" w:rsidR="00BC24A8" w:rsidRDefault="00BC24A8">
      <w:pPr>
        <w:pStyle w:val="BodyText"/>
        <w:rPr>
          <w:sz w:val="18"/>
        </w:rPr>
      </w:pPr>
    </w:p>
    <w:p w14:paraId="03D5ADD3" w14:textId="77777777" w:rsidR="00BC24A8" w:rsidRDefault="00BC24A8">
      <w:pPr>
        <w:pStyle w:val="BodyText"/>
        <w:rPr>
          <w:sz w:val="18"/>
        </w:rPr>
      </w:pPr>
    </w:p>
    <w:p w14:paraId="377A2A01" w14:textId="77777777" w:rsidR="00BC24A8" w:rsidRDefault="00BC24A8">
      <w:pPr>
        <w:pStyle w:val="BodyText"/>
        <w:spacing w:before="29"/>
        <w:rPr>
          <w:sz w:val="18"/>
        </w:rPr>
      </w:pPr>
    </w:p>
    <w:p w14:paraId="64AA4499" w14:textId="77777777" w:rsidR="00BC24A8" w:rsidRDefault="00000000">
      <w:pPr>
        <w:spacing w:line="290" w:lineRule="auto"/>
        <w:ind w:left="721" w:right="1132"/>
        <w:jc w:val="both"/>
        <w:rPr>
          <w:rFonts w:ascii="Times New Roman"/>
          <w:b/>
          <w:i/>
          <w:sz w:val="18"/>
        </w:rPr>
      </w:pPr>
      <w:r>
        <w:rPr>
          <w:rFonts w:ascii="Times New Roman"/>
          <w:b/>
          <w:i/>
          <w:color w:val="17365A"/>
          <w:sz w:val="18"/>
        </w:rPr>
        <w:t>As part of the Civil Society Network (JMS) in</w:t>
      </w:r>
      <w:r>
        <w:rPr>
          <w:rFonts w:ascii="Times New Roman"/>
          <w:b/>
          <w:i/>
          <w:color w:val="17365A"/>
          <w:spacing w:val="40"/>
          <w:sz w:val="18"/>
        </w:rPr>
        <w:t xml:space="preserve"> </w:t>
      </w:r>
      <w:r>
        <w:rPr>
          <w:rFonts w:ascii="Times New Roman"/>
          <w:b/>
          <w:i/>
          <w:color w:val="17365A"/>
          <w:sz w:val="18"/>
        </w:rPr>
        <w:t>Kalimantan Utara, we consider civil society involvement in public consultation processes as a crucial element in achieving transparent, inclusive, and responsive governance. JMS holds a strategic position as a bridge between grassroots community interests and public decision-making processes,</w:t>
      </w:r>
      <w:r>
        <w:rPr>
          <w:rFonts w:ascii="Times New Roman"/>
          <w:b/>
          <w:i/>
          <w:color w:val="17365A"/>
          <w:spacing w:val="-2"/>
          <w:sz w:val="18"/>
        </w:rPr>
        <w:t xml:space="preserve"> </w:t>
      </w:r>
      <w:r>
        <w:rPr>
          <w:rFonts w:ascii="Times New Roman"/>
          <w:b/>
          <w:i/>
          <w:color w:val="17365A"/>
          <w:sz w:val="18"/>
        </w:rPr>
        <w:t>particularly</w:t>
      </w:r>
      <w:r>
        <w:rPr>
          <w:rFonts w:ascii="Times New Roman"/>
          <w:b/>
          <w:i/>
          <w:color w:val="17365A"/>
          <w:spacing w:val="-3"/>
          <w:sz w:val="18"/>
        </w:rPr>
        <w:t xml:space="preserve"> </w:t>
      </w:r>
      <w:r>
        <w:rPr>
          <w:rFonts w:ascii="Times New Roman"/>
          <w:b/>
          <w:i/>
          <w:color w:val="17365A"/>
          <w:sz w:val="18"/>
        </w:rPr>
        <w:t>in</w:t>
      </w:r>
      <w:r>
        <w:rPr>
          <w:rFonts w:ascii="Times New Roman"/>
          <w:b/>
          <w:i/>
          <w:color w:val="17365A"/>
          <w:spacing w:val="-3"/>
          <w:sz w:val="18"/>
        </w:rPr>
        <w:t xml:space="preserve"> </w:t>
      </w:r>
      <w:r>
        <w:rPr>
          <w:rFonts w:ascii="Times New Roman"/>
          <w:b/>
          <w:i/>
          <w:color w:val="17365A"/>
          <w:sz w:val="18"/>
        </w:rPr>
        <w:t>the</w:t>
      </w:r>
      <w:r>
        <w:rPr>
          <w:rFonts w:ascii="Times New Roman"/>
          <w:b/>
          <w:i/>
          <w:color w:val="17365A"/>
          <w:spacing w:val="-3"/>
          <w:sz w:val="18"/>
        </w:rPr>
        <w:t xml:space="preserve"> </w:t>
      </w:r>
      <w:r>
        <w:rPr>
          <w:rFonts w:ascii="Times New Roman"/>
          <w:b/>
          <w:i/>
          <w:color w:val="17365A"/>
          <w:sz w:val="18"/>
        </w:rPr>
        <w:t>context</w:t>
      </w:r>
      <w:r>
        <w:rPr>
          <w:rFonts w:ascii="Times New Roman"/>
          <w:b/>
          <w:i/>
          <w:color w:val="17365A"/>
          <w:spacing w:val="-2"/>
          <w:sz w:val="18"/>
        </w:rPr>
        <w:t xml:space="preserve"> </w:t>
      </w:r>
      <w:r>
        <w:rPr>
          <w:rFonts w:ascii="Times New Roman"/>
          <w:b/>
          <w:i/>
          <w:color w:val="17365A"/>
          <w:sz w:val="18"/>
        </w:rPr>
        <w:t>of sustainable</w:t>
      </w:r>
      <w:r>
        <w:rPr>
          <w:rFonts w:ascii="Times New Roman"/>
          <w:b/>
          <w:i/>
          <w:color w:val="17365A"/>
          <w:spacing w:val="-3"/>
          <w:sz w:val="18"/>
        </w:rPr>
        <w:t xml:space="preserve"> </w:t>
      </w:r>
      <w:r>
        <w:rPr>
          <w:rFonts w:ascii="Times New Roman"/>
          <w:b/>
          <w:i/>
          <w:color w:val="17365A"/>
          <w:sz w:val="18"/>
        </w:rPr>
        <w:t>and equitable</w:t>
      </w:r>
      <w:r>
        <w:rPr>
          <w:rFonts w:ascii="Times New Roman"/>
          <w:b/>
          <w:i/>
          <w:color w:val="17365A"/>
          <w:spacing w:val="-3"/>
          <w:sz w:val="18"/>
        </w:rPr>
        <w:t xml:space="preserve"> </w:t>
      </w:r>
      <w:r>
        <w:rPr>
          <w:rFonts w:ascii="Times New Roman"/>
          <w:b/>
          <w:i/>
          <w:color w:val="17365A"/>
          <w:sz w:val="18"/>
        </w:rPr>
        <w:t>regional development.</w:t>
      </w:r>
    </w:p>
    <w:p w14:paraId="7316926C" w14:textId="77777777" w:rsidR="00BC24A8" w:rsidRDefault="00000000">
      <w:pPr>
        <w:spacing w:line="206" w:lineRule="exact"/>
        <w:ind w:left="721"/>
        <w:jc w:val="both"/>
        <w:rPr>
          <w:i/>
          <w:sz w:val="18"/>
        </w:rPr>
      </w:pPr>
      <w:r>
        <w:rPr>
          <w:i/>
          <w:color w:val="17365A"/>
          <w:spacing w:val="-2"/>
          <w:sz w:val="18"/>
        </w:rPr>
        <w:t>MENTARI KALTARA,</w:t>
      </w:r>
      <w:r>
        <w:rPr>
          <w:i/>
          <w:color w:val="17365A"/>
          <w:spacing w:val="38"/>
          <w:sz w:val="18"/>
        </w:rPr>
        <w:t xml:space="preserve"> </w:t>
      </w:r>
      <w:r>
        <w:rPr>
          <w:i/>
          <w:color w:val="17365A"/>
          <w:spacing w:val="-2"/>
          <w:sz w:val="18"/>
        </w:rPr>
        <w:t>Kalimantan</w:t>
      </w:r>
      <w:r>
        <w:rPr>
          <w:i/>
          <w:color w:val="17365A"/>
          <w:spacing w:val="-1"/>
          <w:sz w:val="18"/>
        </w:rPr>
        <w:t xml:space="preserve"> </w:t>
      </w:r>
      <w:r>
        <w:rPr>
          <w:i/>
          <w:color w:val="17365A"/>
          <w:spacing w:val="-2"/>
          <w:sz w:val="18"/>
        </w:rPr>
        <w:t>Utara</w:t>
      </w:r>
      <w:r>
        <w:rPr>
          <w:i/>
          <w:color w:val="17365A"/>
          <w:sz w:val="18"/>
        </w:rPr>
        <w:t xml:space="preserve"> </w:t>
      </w:r>
      <w:r>
        <w:rPr>
          <w:i/>
          <w:color w:val="17365A"/>
          <w:spacing w:val="-2"/>
          <w:sz w:val="18"/>
        </w:rPr>
        <w:t>Province</w:t>
      </w:r>
    </w:p>
    <w:p w14:paraId="43FC2834" w14:textId="77777777" w:rsidR="00BC24A8" w:rsidRDefault="00BC24A8">
      <w:pPr>
        <w:pStyle w:val="BodyText"/>
        <w:rPr>
          <w:i/>
          <w:sz w:val="18"/>
        </w:rPr>
      </w:pPr>
    </w:p>
    <w:p w14:paraId="3B9F2D2E" w14:textId="77777777" w:rsidR="00BC24A8" w:rsidRDefault="00BC24A8">
      <w:pPr>
        <w:pStyle w:val="BodyText"/>
        <w:rPr>
          <w:i/>
          <w:sz w:val="18"/>
        </w:rPr>
      </w:pPr>
    </w:p>
    <w:p w14:paraId="649512D4" w14:textId="77777777" w:rsidR="00BC24A8" w:rsidRDefault="00BC24A8">
      <w:pPr>
        <w:pStyle w:val="BodyText"/>
        <w:spacing w:before="81"/>
        <w:rPr>
          <w:i/>
          <w:sz w:val="18"/>
        </w:rPr>
      </w:pPr>
    </w:p>
    <w:p w14:paraId="4600360B" w14:textId="77777777" w:rsidR="00BC24A8" w:rsidRDefault="00000000">
      <w:pPr>
        <w:ind w:left="395" w:right="795"/>
        <w:jc w:val="both"/>
        <w:rPr>
          <w:sz w:val="18"/>
        </w:rPr>
      </w:pPr>
      <w:r>
        <w:rPr>
          <w:sz w:val="18"/>
        </w:rPr>
        <w:t>These</w:t>
      </w:r>
      <w:r>
        <w:rPr>
          <w:spacing w:val="-1"/>
          <w:sz w:val="18"/>
        </w:rPr>
        <w:t xml:space="preserve"> </w:t>
      </w:r>
      <w:r>
        <w:rPr>
          <w:sz w:val="18"/>
        </w:rPr>
        <w:t>proposals</w:t>
      </w:r>
      <w:r>
        <w:rPr>
          <w:spacing w:val="-1"/>
          <w:sz w:val="18"/>
        </w:rPr>
        <w:t xml:space="preserve"> </w:t>
      </w:r>
      <w:r>
        <w:rPr>
          <w:sz w:val="18"/>
        </w:rPr>
        <w:t>have</w:t>
      </w:r>
      <w:r>
        <w:rPr>
          <w:spacing w:val="-1"/>
          <w:sz w:val="18"/>
        </w:rPr>
        <w:t xml:space="preserve"> </w:t>
      </w:r>
      <w:r>
        <w:rPr>
          <w:sz w:val="18"/>
        </w:rPr>
        <w:t>been incorporated</w:t>
      </w:r>
      <w:r>
        <w:rPr>
          <w:spacing w:val="-1"/>
          <w:sz w:val="18"/>
        </w:rPr>
        <w:t xml:space="preserve"> </w:t>
      </w:r>
      <w:r>
        <w:rPr>
          <w:sz w:val="18"/>
        </w:rPr>
        <w:t>into</w:t>
      </w:r>
      <w:r>
        <w:rPr>
          <w:spacing w:val="-1"/>
          <w:sz w:val="18"/>
        </w:rPr>
        <w:t xml:space="preserve"> </w:t>
      </w:r>
      <w:r>
        <w:rPr>
          <w:sz w:val="18"/>
        </w:rPr>
        <w:t>official regional planning</w:t>
      </w:r>
      <w:r>
        <w:rPr>
          <w:spacing w:val="-1"/>
          <w:sz w:val="18"/>
        </w:rPr>
        <w:t xml:space="preserve"> </w:t>
      </w:r>
      <w:r>
        <w:rPr>
          <w:sz w:val="18"/>
        </w:rPr>
        <w:t>documents,</w:t>
      </w:r>
      <w:r>
        <w:rPr>
          <w:spacing w:val="-1"/>
          <w:sz w:val="18"/>
        </w:rPr>
        <w:t xml:space="preserve"> </w:t>
      </w:r>
      <w:r>
        <w:rPr>
          <w:sz w:val="18"/>
        </w:rPr>
        <w:t>including</w:t>
      </w:r>
      <w:r>
        <w:rPr>
          <w:spacing w:val="-1"/>
          <w:sz w:val="18"/>
        </w:rPr>
        <w:t xml:space="preserve"> </w:t>
      </w:r>
      <w:r>
        <w:rPr>
          <w:sz w:val="18"/>
        </w:rPr>
        <w:t>RPJMD 2025–2029, RKPD Amendment 2025, and RKPD 2026, with a total budget allocation of Rp 3 billion. The government’s commitment to following up on these aspirations was reinforced by an official letter from the Head of Bappeda Litbang, requesting all district/city governments and regional apparatus to discuss and act upon the proposals in regional apparatus forums, while encouraging all stakeholders to actively oversee development implementation, creating a sustainable accountability cycle.</w:t>
      </w:r>
    </w:p>
    <w:p w14:paraId="11261479" w14:textId="77777777" w:rsidR="00BC24A8" w:rsidRDefault="00BC24A8">
      <w:pPr>
        <w:pStyle w:val="BodyText"/>
        <w:rPr>
          <w:sz w:val="18"/>
        </w:rPr>
      </w:pPr>
    </w:p>
    <w:p w14:paraId="7CEC1C94" w14:textId="77777777" w:rsidR="00BC24A8" w:rsidRDefault="00BC24A8">
      <w:pPr>
        <w:pStyle w:val="BodyText"/>
        <w:rPr>
          <w:sz w:val="18"/>
        </w:rPr>
      </w:pPr>
    </w:p>
    <w:p w14:paraId="09114391" w14:textId="77777777" w:rsidR="00BC24A8" w:rsidRDefault="00BC24A8">
      <w:pPr>
        <w:pStyle w:val="BodyText"/>
        <w:spacing w:before="29"/>
        <w:rPr>
          <w:sz w:val="18"/>
        </w:rPr>
      </w:pPr>
    </w:p>
    <w:p w14:paraId="7659D76E" w14:textId="77777777" w:rsidR="00BC24A8" w:rsidRDefault="00000000">
      <w:pPr>
        <w:spacing w:before="1" w:line="290" w:lineRule="auto"/>
        <w:ind w:left="712" w:right="1140"/>
        <w:jc w:val="both"/>
        <w:rPr>
          <w:rFonts w:ascii="Times New Roman"/>
          <w:b/>
          <w:i/>
          <w:sz w:val="18"/>
        </w:rPr>
      </w:pPr>
      <w:r>
        <w:rPr>
          <w:rFonts w:ascii="Times New Roman"/>
          <w:b/>
          <w:i/>
          <w:color w:val="17365A"/>
          <w:spacing w:val="-2"/>
          <w:sz w:val="18"/>
        </w:rPr>
        <w:t>Musrenbang</w:t>
      </w:r>
      <w:r>
        <w:rPr>
          <w:rFonts w:ascii="Times New Roman"/>
          <w:b/>
          <w:i/>
          <w:color w:val="17365A"/>
          <w:spacing w:val="-5"/>
          <w:sz w:val="18"/>
        </w:rPr>
        <w:t xml:space="preserve"> </w:t>
      </w:r>
      <w:r>
        <w:rPr>
          <w:rFonts w:ascii="Times New Roman"/>
          <w:b/>
          <w:i/>
          <w:color w:val="17365A"/>
          <w:spacing w:val="-2"/>
          <w:sz w:val="18"/>
        </w:rPr>
        <w:t>is</w:t>
      </w:r>
      <w:r>
        <w:rPr>
          <w:rFonts w:ascii="Times New Roman"/>
          <w:b/>
          <w:i/>
          <w:color w:val="17365A"/>
          <w:spacing w:val="-4"/>
          <w:sz w:val="18"/>
        </w:rPr>
        <w:t xml:space="preserve"> </w:t>
      </w:r>
      <w:r>
        <w:rPr>
          <w:rFonts w:ascii="Times New Roman"/>
          <w:b/>
          <w:i/>
          <w:color w:val="17365A"/>
          <w:spacing w:val="-2"/>
          <w:sz w:val="18"/>
        </w:rPr>
        <w:t>not</w:t>
      </w:r>
      <w:r>
        <w:rPr>
          <w:rFonts w:ascii="Times New Roman"/>
          <w:b/>
          <w:i/>
          <w:color w:val="17365A"/>
          <w:spacing w:val="-5"/>
          <w:sz w:val="18"/>
        </w:rPr>
        <w:t xml:space="preserve"> </w:t>
      </w:r>
      <w:r>
        <w:rPr>
          <w:rFonts w:ascii="Times New Roman"/>
          <w:b/>
          <w:i/>
          <w:color w:val="17365A"/>
          <w:spacing w:val="-2"/>
          <w:sz w:val="18"/>
        </w:rPr>
        <w:t>merely</w:t>
      </w:r>
      <w:r>
        <w:rPr>
          <w:rFonts w:ascii="Times New Roman"/>
          <w:b/>
          <w:i/>
          <w:color w:val="17365A"/>
          <w:spacing w:val="-6"/>
          <w:sz w:val="18"/>
        </w:rPr>
        <w:t xml:space="preserve"> </w:t>
      </w:r>
      <w:r>
        <w:rPr>
          <w:rFonts w:ascii="Times New Roman"/>
          <w:b/>
          <w:i/>
          <w:color w:val="17365A"/>
          <w:spacing w:val="-2"/>
          <w:sz w:val="18"/>
        </w:rPr>
        <w:t>a</w:t>
      </w:r>
      <w:r>
        <w:rPr>
          <w:rFonts w:ascii="Times New Roman"/>
          <w:b/>
          <w:i/>
          <w:color w:val="17365A"/>
          <w:spacing w:val="-3"/>
          <w:sz w:val="18"/>
        </w:rPr>
        <w:t xml:space="preserve"> </w:t>
      </w:r>
      <w:r>
        <w:rPr>
          <w:rFonts w:ascii="Times New Roman"/>
          <w:b/>
          <w:i/>
          <w:color w:val="17365A"/>
          <w:spacing w:val="-2"/>
          <w:sz w:val="18"/>
        </w:rPr>
        <w:t>forum</w:t>
      </w:r>
      <w:r>
        <w:rPr>
          <w:rFonts w:ascii="Times New Roman"/>
          <w:b/>
          <w:i/>
          <w:color w:val="17365A"/>
          <w:spacing w:val="-6"/>
          <w:sz w:val="18"/>
        </w:rPr>
        <w:t xml:space="preserve"> </w:t>
      </w:r>
      <w:r>
        <w:rPr>
          <w:rFonts w:ascii="Times New Roman"/>
          <w:b/>
          <w:i/>
          <w:color w:val="17365A"/>
          <w:spacing w:val="-2"/>
          <w:sz w:val="18"/>
        </w:rPr>
        <w:t>for</w:t>
      </w:r>
      <w:r>
        <w:rPr>
          <w:rFonts w:ascii="Times New Roman"/>
          <w:b/>
          <w:i/>
          <w:color w:val="17365A"/>
          <w:spacing w:val="-6"/>
          <w:sz w:val="18"/>
        </w:rPr>
        <w:t xml:space="preserve"> </w:t>
      </w:r>
      <w:r>
        <w:rPr>
          <w:rFonts w:ascii="Times New Roman"/>
          <w:b/>
          <w:i/>
          <w:color w:val="17365A"/>
          <w:spacing w:val="-2"/>
          <w:sz w:val="18"/>
        </w:rPr>
        <w:t>submitting proposals,</w:t>
      </w:r>
      <w:r>
        <w:rPr>
          <w:rFonts w:ascii="Times New Roman"/>
          <w:b/>
          <w:i/>
          <w:color w:val="17365A"/>
          <w:spacing w:val="-5"/>
          <w:sz w:val="18"/>
        </w:rPr>
        <w:t xml:space="preserve"> </w:t>
      </w:r>
      <w:r>
        <w:rPr>
          <w:rFonts w:ascii="Times New Roman"/>
          <w:b/>
          <w:i/>
          <w:color w:val="17365A"/>
          <w:spacing w:val="-2"/>
          <w:sz w:val="18"/>
        </w:rPr>
        <w:t>but</w:t>
      </w:r>
      <w:r>
        <w:rPr>
          <w:rFonts w:ascii="Times New Roman"/>
          <w:b/>
          <w:i/>
          <w:color w:val="17365A"/>
          <w:spacing w:val="-5"/>
          <w:sz w:val="18"/>
        </w:rPr>
        <w:t xml:space="preserve"> </w:t>
      </w:r>
      <w:r>
        <w:rPr>
          <w:rFonts w:ascii="Times New Roman"/>
          <w:b/>
          <w:i/>
          <w:color w:val="17365A"/>
          <w:spacing w:val="-2"/>
          <w:sz w:val="18"/>
        </w:rPr>
        <w:t>a</w:t>
      </w:r>
      <w:r>
        <w:rPr>
          <w:rFonts w:ascii="Times New Roman"/>
          <w:b/>
          <w:i/>
          <w:color w:val="17365A"/>
          <w:spacing w:val="-3"/>
          <w:sz w:val="18"/>
        </w:rPr>
        <w:t xml:space="preserve"> </w:t>
      </w:r>
      <w:r>
        <w:rPr>
          <w:rFonts w:ascii="Times New Roman"/>
          <w:b/>
          <w:i/>
          <w:color w:val="17365A"/>
          <w:spacing w:val="-2"/>
          <w:sz w:val="18"/>
        </w:rPr>
        <w:t>process</w:t>
      </w:r>
      <w:r>
        <w:rPr>
          <w:rFonts w:ascii="Times New Roman"/>
          <w:b/>
          <w:i/>
          <w:color w:val="17365A"/>
          <w:spacing w:val="-4"/>
          <w:sz w:val="18"/>
        </w:rPr>
        <w:t xml:space="preserve"> </w:t>
      </w:r>
      <w:r>
        <w:rPr>
          <w:rFonts w:ascii="Times New Roman"/>
          <w:b/>
          <w:i/>
          <w:color w:val="17365A"/>
          <w:spacing w:val="-2"/>
          <w:sz w:val="18"/>
        </w:rPr>
        <w:t>of</w:t>
      </w:r>
      <w:r>
        <w:rPr>
          <w:rFonts w:ascii="Times New Roman"/>
          <w:b/>
          <w:i/>
          <w:color w:val="17365A"/>
          <w:spacing w:val="-6"/>
          <w:sz w:val="18"/>
        </w:rPr>
        <w:t xml:space="preserve"> </w:t>
      </w:r>
      <w:r>
        <w:rPr>
          <w:rFonts w:ascii="Times New Roman"/>
          <w:b/>
          <w:i/>
          <w:color w:val="17365A"/>
          <w:spacing w:val="-2"/>
          <w:sz w:val="18"/>
        </w:rPr>
        <w:t>prioritising</w:t>
      </w:r>
      <w:r>
        <w:rPr>
          <w:rFonts w:ascii="Times New Roman"/>
          <w:b/>
          <w:i/>
          <w:color w:val="17365A"/>
          <w:spacing w:val="-5"/>
          <w:sz w:val="18"/>
        </w:rPr>
        <w:t xml:space="preserve"> </w:t>
      </w:r>
      <w:r>
        <w:rPr>
          <w:rFonts w:ascii="Times New Roman"/>
          <w:b/>
          <w:i/>
          <w:color w:val="17365A"/>
          <w:spacing w:val="-2"/>
          <w:sz w:val="18"/>
        </w:rPr>
        <w:t>inputs</w:t>
      </w:r>
      <w:r>
        <w:rPr>
          <w:rFonts w:ascii="Times New Roman"/>
          <w:b/>
          <w:i/>
          <w:color w:val="17365A"/>
          <w:spacing w:val="-4"/>
          <w:sz w:val="18"/>
        </w:rPr>
        <w:t xml:space="preserve"> </w:t>
      </w:r>
      <w:r>
        <w:rPr>
          <w:rFonts w:ascii="Times New Roman"/>
          <w:b/>
          <w:i/>
          <w:color w:val="17365A"/>
          <w:spacing w:val="-2"/>
          <w:sz w:val="18"/>
        </w:rPr>
        <w:t>from</w:t>
      </w:r>
      <w:r>
        <w:rPr>
          <w:rFonts w:ascii="Times New Roman"/>
          <w:b/>
          <w:i/>
          <w:color w:val="17365A"/>
          <w:spacing w:val="-6"/>
          <w:sz w:val="18"/>
        </w:rPr>
        <w:t xml:space="preserve"> </w:t>
      </w:r>
      <w:r>
        <w:rPr>
          <w:rFonts w:ascii="Times New Roman"/>
          <w:b/>
          <w:i/>
          <w:color w:val="17365A"/>
          <w:spacing w:val="-2"/>
          <w:sz w:val="18"/>
        </w:rPr>
        <w:t xml:space="preserve">regional </w:t>
      </w:r>
      <w:r>
        <w:rPr>
          <w:rFonts w:ascii="Times New Roman"/>
          <w:b/>
          <w:i/>
          <w:color w:val="17365A"/>
          <w:sz w:val="18"/>
        </w:rPr>
        <w:t>apparatus forums and previous planning. The proposals emerging today are expected to be prioritised and monitored</w:t>
      </w:r>
      <w:r>
        <w:rPr>
          <w:rFonts w:ascii="Times New Roman"/>
          <w:b/>
          <w:i/>
          <w:color w:val="17365A"/>
          <w:spacing w:val="-12"/>
          <w:sz w:val="18"/>
        </w:rPr>
        <w:t xml:space="preserve"> </w:t>
      </w:r>
      <w:r>
        <w:rPr>
          <w:rFonts w:ascii="Times New Roman"/>
          <w:b/>
          <w:i/>
          <w:color w:val="17365A"/>
          <w:sz w:val="18"/>
        </w:rPr>
        <w:t>until</w:t>
      </w:r>
      <w:r>
        <w:rPr>
          <w:rFonts w:ascii="Times New Roman"/>
          <w:b/>
          <w:i/>
          <w:color w:val="17365A"/>
          <w:spacing w:val="-11"/>
          <w:sz w:val="18"/>
        </w:rPr>
        <w:t xml:space="preserve"> </w:t>
      </w:r>
      <w:r>
        <w:rPr>
          <w:rFonts w:ascii="Times New Roman"/>
          <w:b/>
          <w:i/>
          <w:color w:val="17365A"/>
          <w:sz w:val="18"/>
        </w:rPr>
        <w:t>included</w:t>
      </w:r>
      <w:r>
        <w:rPr>
          <w:rFonts w:ascii="Times New Roman"/>
          <w:b/>
          <w:i/>
          <w:color w:val="17365A"/>
          <w:spacing w:val="-11"/>
          <w:sz w:val="18"/>
        </w:rPr>
        <w:t xml:space="preserve"> </w:t>
      </w:r>
      <w:r>
        <w:rPr>
          <w:rFonts w:ascii="Times New Roman"/>
          <w:b/>
          <w:i/>
          <w:color w:val="17365A"/>
          <w:sz w:val="18"/>
        </w:rPr>
        <w:t>in</w:t>
      </w:r>
      <w:r>
        <w:rPr>
          <w:rFonts w:ascii="Times New Roman"/>
          <w:b/>
          <w:i/>
          <w:color w:val="17365A"/>
          <w:spacing w:val="-11"/>
          <w:sz w:val="18"/>
        </w:rPr>
        <w:t xml:space="preserve"> </w:t>
      </w:r>
      <w:r>
        <w:rPr>
          <w:rFonts w:ascii="Times New Roman"/>
          <w:b/>
          <w:i/>
          <w:color w:val="17365A"/>
          <w:sz w:val="18"/>
        </w:rPr>
        <w:t>provincial</w:t>
      </w:r>
      <w:r>
        <w:rPr>
          <w:rFonts w:ascii="Times New Roman"/>
          <w:b/>
          <w:i/>
          <w:color w:val="17365A"/>
          <w:spacing w:val="-12"/>
          <w:sz w:val="18"/>
        </w:rPr>
        <w:t xml:space="preserve"> </w:t>
      </w:r>
      <w:r>
        <w:rPr>
          <w:rFonts w:ascii="Times New Roman"/>
          <w:b/>
          <w:i/>
          <w:color w:val="17365A"/>
          <w:sz w:val="18"/>
        </w:rPr>
        <w:t>agencies</w:t>
      </w:r>
      <w:r>
        <w:rPr>
          <w:rFonts w:ascii="Times New Roman"/>
          <w:b/>
          <w:i/>
          <w:color w:val="17365A"/>
          <w:spacing w:val="-11"/>
          <w:sz w:val="18"/>
        </w:rPr>
        <w:t xml:space="preserve"> </w:t>
      </w:r>
      <w:r>
        <w:rPr>
          <w:rFonts w:ascii="Times New Roman"/>
          <w:b/>
          <w:i/>
          <w:color w:val="17365A"/>
          <w:sz w:val="18"/>
        </w:rPr>
        <w:t>planning</w:t>
      </w:r>
      <w:r>
        <w:rPr>
          <w:rFonts w:ascii="Times New Roman"/>
          <w:b/>
          <w:i/>
          <w:color w:val="17365A"/>
          <w:spacing w:val="-11"/>
          <w:sz w:val="18"/>
        </w:rPr>
        <w:t xml:space="preserve"> </w:t>
      </w:r>
      <w:r>
        <w:rPr>
          <w:rFonts w:ascii="Times New Roman"/>
          <w:b/>
          <w:i/>
          <w:color w:val="17365A"/>
          <w:sz w:val="18"/>
        </w:rPr>
        <w:t>documents,</w:t>
      </w:r>
      <w:r>
        <w:rPr>
          <w:rFonts w:ascii="Times New Roman"/>
          <w:b/>
          <w:i/>
          <w:color w:val="17365A"/>
          <w:spacing w:val="-11"/>
          <w:sz w:val="18"/>
        </w:rPr>
        <w:t xml:space="preserve"> </w:t>
      </w:r>
      <w:r>
        <w:rPr>
          <w:rFonts w:ascii="Times New Roman"/>
          <w:b/>
          <w:i/>
          <w:color w:val="17365A"/>
          <w:sz w:val="18"/>
        </w:rPr>
        <w:t>including</w:t>
      </w:r>
      <w:r>
        <w:rPr>
          <w:rFonts w:ascii="Times New Roman"/>
          <w:b/>
          <w:i/>
          <w:color w:val="17365A"/>
          <w:spacing w:val="-11"/>
          <w:sz w:val="18"/>
        </w:rPr>
        <w:t xml:space="preserve"> </w:t>
      </w:r>
      <w:r>
        <w:rPr>
          <w:rFonts w:ascii="Times New Roman"/>
          <w:b/>
          <w:i/>
          <w:color w:val="17365A"/>
          <w:sz w:val="18"/>
        </w:rPr>
        <w:t>the</w:t>
      </w:r>
      <w:r>
        <w:rPr>
          <w:rFonts w:ascii="Times New Roman"/>
          <w:b/>
          <w:i/>
          <w:color w:val="17365A"/>
          <w:spacing w:val="-12"/>
          <w:sz w:val="18"/>
        </w:rPr>
        <w:t xml:space="preserve"> </w:t>
      </w:r>
      <w:r>
        <w:rPr>
          <w:rFonts w:ascii="Times New Roman"/>
          <w:b/>
          <w:i/>
          <w:color w:val="17365A"/>
          <w:sz w:val="18"/>
        </w:rPr>
        <w:t>2025</w:t>
      </w:r>
      <w:r>
        <w:rPr>
          <w:rFonts w:ascii="Times New Roman"/>
          <w:b/>
          <w:i/>
          <w:color w:val="17365A"/>
          <w:spacing w:val="-10"/>
          <w:sz w:val="18"/>
        </w:rPr>
        <w:t xml:space="preserve"> </w:t>
      </w:r>
      <w:r>
        <w:rPr>
          <w:rFonts w:ascii="Times New Roman"/>
          <w:b/>
          <w:i/>
          <w:color w:val="17365A"/>
          <w:sz w:val="18"/>
        </w:rPr>
        <w:t>RKPD</w:t>
      </w:r>
      <w:r>
        <w:rPr>
          <w:rFonts w:ascii="Times New Roman"/>
          <w:b/>
          <w:i/>
          <w:color w:val="17365A"/>
          <w:spacing w:val="-11"/>
          <w:sz w:val="18"/>
        </w:rPr>
        <w:t xml:space="preserve"> </w:t>
      </w:r>
      <w:r>
        <w:rPr>
          <w:rFonts w:ascii="Times New Roman"/>
          <w:b/>
          <w:i/>
          <w:color w:val="17365A"/>
          <w:sz w:val="18"/>
        </w:rPr>
        <w:t>Amendment and the 2026 RKPD</w:t>
      </w:r>
    </w:p>
    <w:p w14:paraId="6FAA9B48" w14:textId="77777777" w:rsidR="00BC24A8" w:rsidRDefault="00000000">
      <w:pPr>
        <w:spacing w:line="204" w:lineRule="exact"/>
        <w:ind w:left="712"/>
        <w:jc w:val="both"/>
        <w:rPr>
          <w:i/>
          <w:sz w:val="18"/>
        </w:rPr>
      </w:pPr>
      <w:r>
        <w:rPr>
          <w:i/>
          <w:color w:val="17365A"/>
          <w:sz w:val="18"/>
        </w:rPr>
        <w:t>Head</w:t>
      </w:r>
      <w:r>
        <w:rPr>
          <w:i/>
          <w:color w:val="17365A"/>
          <w:spacing w:val="-3"/>
          <w:sz w:val="18"/>
        </w:rPr>
        <w:t xml:space="preserve"> </w:t>
      </w:r>
      <w:r>
        <w:rPr>
          <w:i/>
          <w:color w:val="17365A"/>
          <w:sz w:val="18"/>
        </w:rPr>
        <w:t>of</w:t>
      </w:r>
      <w:r>
        <w:rPr>
          <w:i/>
          <w:color w:val="17365A"/>
          <w:spacing w:val="-4"/>
          <w:sz w:val="18"/>
        </w:rPr>
        <w:t xml:space="preserve"> </w:t>
      </w:r>
      <w:r>
        <w:rPr>
          <w:i/>
          <w:color w:val="17365A"/>
          <w:sz w:val="18"/>
        </w:rPr>
        <w:t>Bappeda</w:t>
      </w:r>
      <w:r>
        <w:rPr>
          <w:i/>
          <w:color w:val="17365A"/>
          <w:spacing w:val="-1"/>
          <w:sz w:val="18"/>
        </w:rPr>
        <w:t xml:space="preserve"> </w:t>
      </w:r>
      <w:r>
        <w:rPr>
          <w:i/>
          <w:color w:val="17365A"/>
          <w:sz w:val="18"/>
        </w:rPr>
        <w:t>Litbang,</w:t>
      </w:r>
      <w:r>
        <w:rPr>
          <w:i/>
          <w:color w:val="17365A"/>
          <w:spacing w:val="33"/>
          <w:sz w:val="18"/>
        </w:rPr>
        <w:t xml:space="preserve"> </w:t>
      </w:r>
      <w:r>
        <w:rPr>
          <w:i/>
          <w:color w:val="17365A"/>
          <w:sz w:val="18"/>
        </w:rPr>
        <w:t>Kalimantan</w:t>
      </w:r>
      <w:r>
        <w:rPr>
          <w:i/>
          <w:color w:val="17365A"/>
          <w:spacing w:val="-3"/>
          <w:sz w:val="18"/>
        </w:rPr>
        <w:t xml:space="preserve"> </w:t>
      </w:r>
      <w:r>
        <w:rPr>
          <w:i/>
          <w:color w:val="17365A"/>
          <w:sz w:val="18"/>
        </w:rPr>
        <w:t>Utara</w:t>
      </w:r>
      <w:r>
        <w:rPr>
          <w:i/>
          <w:color w:val="17365A"/>
          <w:spacing w:val="-2"/>
          <w:sz w:val="18"/>
        </w:rPr>
        <w:t xml:space="preserve"> Province</w:t>
      </w:r>
    </w:p>
    <w:p w14:paraId="7F1410F7" w14:textId="77777777" w:rsidR="00BC24A8" w:rsidRDefault="00BC24A8">
      <w:pPr>
        <w:pStyle w:val="BodyText"/>
        <w:rPr>
          <w:i/>
          <w:sz w:val="18"/>
        </w:rPr>
      </w:pPr>
    </w:p>
    <w:p w14:paraId="3FDBBEA7" w14:textId="77777777" w:rsidR="00BC24A8" w:rsidRDefault="00BC24A8">
      <w:pPr>
        <w:pStyle w:val="BodyText"/>
        <w:rPr>
          <w:i/>
          <w:sz w:val="18"/>
        </w:rPr>
      </w:pPr>
    </w:p>
    <w:p w14:paraId="6C2DEE4C" w14:textId="77777777" w:rsidR="00BC24A8" w:rsidRDefault="00BC24A8">
      <w:pPr>
        <w:pStyle w:val="BodyText"/>
        <w:spacing w:before="83"/>
        <w:rPr>
          <w:i/>
          <w:sz w:val="18"/>
        </w:rPr>
      </w:pPr>
    </w:p>
    <w:p w14:paraId="391BCD73" w14:textId="77777777" w:rsidR="00BC24A8" w:rsidRDefault="00000000">
      <w:pPr>
        <w:ind w:left="395" w:right="794"/>
        <w:jc w:val="both"/>
        <w:rPr>
          <w:sz w:val="18"/>
        </w:rPr>
      </w:pPr>
      <w:r>
        <w:rPr>
          <w:sz w:val="18"/>
        </w:rPr>
        <w:t>The SKALA Program’s contribution has been crucial in this process, providing technical assistance and facilitation to ensure the inclusive forum and musrenbang run smoothly. SKALA strengthens participation mechanisms so that the aspirations</w:t>
      </w:r>
      <w:r>
        <w:rPr>
          <w:spacing w:val="-6"/>
          <w:sz w:val="18"/>
        </w:rPr>
        <w:t xml:space="preserve"> </w:t>
      </w:r>
      <w:r>
        <w:rPr>
          <w:sz w:val="18"/>
        </w:rPr>
        <w:t>of</w:t>
      </w:r>
      <w:r>
        <w:rPr>
          <w:spacing w:val="-7"/>
          <w:sz w:val="18"/>
        </w:rPr>
        <w:t xml:space="preserve"> </w:t>
      </w:r>
      <w:r>
        <w:rPr>
          <w:sz w:val="18"/>
        </w:rPr>
        <w:t>vulnerable</w:t>
      </w:r>
      <w:r>
        <w:rPr>
          <w:spacing w:val="-6"/>
          <w:sz w:val="18"/>
        </w:rPr>
        <w:t xml:space="preserve"> </w:t>
      </w:r>
      <w:r>
        <w:rPr>
          <w:sz w:val="18"/>
        </w:rPr>
        <w:t>groups</w:t>
      </w:r>
      <w:r>
        <w:rPr>
          <w:spacing w:val="-6"/>
          <w:sz w:val="18"/>
        </w:rPr>
        <w:t xml:space="preserve"> </w:t>
      </w:r>
      <w:r>
        <w:rPr>
          <w:sz w:val="18"/>
        </w:rPr>
        <w:t>are</w:t>
      </w:r>
      <w:r>
        <w:rPr>
          <w:spacing w:val="-6"/>
          <w:sz w:val="18"/>
        </w:rPr>
        <w:t xml:space="preserve"> </w:t>
      </w:r>
      <w:r>
        <w:rPr>
          <w:sz w:val="18"/>
        </w:rPr>
        <w:t>not</w:t>
      </w:r>
      <w:r>
        <w:rPr>
          <w:spacing w:val="-5"/>
          <w:sz w:val="18"/>
        </w:rPr>
        <w:t xml:space="preserve"> </w:t>
      </w:r>
      <w:r>
        <w:rPr>
          <w:sz w:val="18"/>
        </w:rPr>
        <w:t>only</w:t>
      </w:r>
      <w:r>
        <w:rPr>
          <w:spacing w:val="-8"/>
          <w:sz w:val="18"/>
        </w:rPr>
        <w:t xml:space="preserve"> </w:t>
      </w:r>
      <w:r>
        <w:rPr>
          <w:sz w:val="18"/>
        </w:rPr>
        <w:t>heard</w:t>
      </w:r>
      <w:r>
        <w:rPr>
          <w:spacing w:val="-6"/>
          <w:sz w:val="18"/>
        </w:rPr>
        <w:t xml:space="preserve"> </w:t>
      </w:r>
      <w:r>
        <w:rPr>
          <w:sz w:val="18"/>
        </w:rPr>
        <w:t>but</w:t>
      </w:r>
      <w:r>
        <w:rPr>
          <w:spacing w:val="-7"/>
          <w:sz w:val="18"/>
        </w:rPr>
        <w:t xml:space="preserve"> </w:t>
      </w:r>
      <w:r>
        <w:rPr>
          <w:sz w:val="18"/>
        </w:rPr>
        <w:t>genuinely</w:t>
      </w:r>
      <w:r>
        <w:rPr>
          <w:spacing w:val="-8"/>
          <w:sz w:val="18"/>
        </w:rPr>
        <w:t xml:space="preserve"> </w:t>
      </w:r>
      <w:r>
        <w:rPr>
          <w:sz w:val="18"/>
        </w:rPr>
        <w:t>integrated</w:t>
      </w:r>
      <w:r>
        <w:rPr>
          <w:spacing w:val="-6"/>
          <w:sz w:val="18"/>
        </w:rPr>
        <w:t xml:space="preserve"> </w:t>
      </w:r>
      <w:r>
        <w:rPr>
          <w:sz w:val="18"/>
        </w:rPr>
        <w:t>into</w:t>
      </w:r>
      <w:r>
        <w:rPr>
          <w:spacing w:val="-7"/>
          <w:sz w:val="18"/>
        </w:rPr>
        <w:t xml:space="preserve"> </w:t>
      </w:r>
      <w:r>
        <w:rPr>
          <w:sz w:val="18"/>
        </w:rPr>
        <w:t>tangible</w:t>
      </w:r>
      <w:r>
        <w:rPr>
          <w:spacing w:val="-6"/>
          <w:sz w:val="18"/>
        </w:rPr>
        <w:t xml:space="preserve"> </w:t>
      </w:r>
      <w:r>
        <w:rPr>
          <w:sz w:val="18"/>
        </w:rPr>
        <w:t>and</w:t>
      </w:r>
      <w:r>
        <w:rPr>
          <w:spacing w:val="-6"/>
          <w:sz w:val="18"/>
        </w:rPr>
        <w:t xml:space="preserve"> </w:t>
      </w:r>
      <w:r>
        <w:rPr>
          <w:sz w:val="18"/>
        </w:rPr>
        <w:t>sustainable</w:t>
      </w:r>
      <w:r>
        <w:rPr>
          <w:spacing w:val="-6"/>
          <w:sz w:val="18"/>
        </w:rPr>
        <w:t xml:space="preserve"> </w:t>
      </w:r>
      <w:r>
        <w:rPr>
          <w:sz w:val="18"/>
        </w:rPr>
        <w:t xml:space="preserve">development </w:t>
      </w:r>
      <w:r>
        <w:rPr>
          <w:spacing w:val="-2"/>
          <w:sz w:val="18"/>
        </w:rPr>
        <w:t>planning.</w:t>
      </w:r>
    </w:p>
    <w:p w14:paraId="7AA587B8" w14:textId="77777777" w:rsidR="00BC24A8" w:rsidRDefault="00BC24A8">
      <w:pPr>
        <w:jc w:val="both"/>
        <w:rPr>
          <w:sz w:val="18"/>
        </w:rPr>
        <w:sectPr w:rsidR="00BC24A8">
          <w:pgSz w:w="11910" w:h="16840"/>
          <w:pgMar w:top="1360" w:right="850" w:bottom="1100" w:left="1275" w:header="0" w:footer="907" w:gutter="0"/>
          <w:cols w:space="720"/>
        </w:sectPr>
      </w:pPr>
    </w:p>
    <w:p w14:paraId="3B54A0F8" w14:textId="77777777" w:rsidR="00BC24A8" w:rsidRDefault="00000000">
      <w:pPr>
        <w:pStyle w:val="BodyText"/>
        <w:spacing w:before="39"/>
        <w:ind w:left="143"/>
        <w:rPr>
          <w:rFonts w:ascii="Calibri"/>
        </w:rPr>
      </w:pPr>
      <w:r>
        <w:rPr>
          <w:rFonts w:ascii="Calibri"/>
          <w:color w:val="272727"/>
        </w:rPr>
        <w:lastRenderedPageBreak/>
        <w:t>Challenges</w:t>
      </w:r>
      <w:r>
        <w:rPr>
          <w:rFonts w:ascii="Calibri"/>
          <w:color w:val="272727"/>
          <w:spacing w:val="-7"/>
        </w:rPr>
        <w:t xml:space="preserve"> </w:t>
      </w:r>
      <w:r>
        <w:rPr>
          <w:rFonts w:ascii="Calibri"/>
          <w:color w:val="272727"/>
        </w:rPr>
        <w:t>and</w:t>
      </w:r>
      <w:r>
        <w:rPr>
          <w:rFonts w:ascii="Calibri"/>
          <w:color w:val="272727"/>
          <w:spacing w:val="-5"/>
        </w:rPr>
        <w:t xml:space="preserve"> </w:t>
      </w:r>
      <w:r>
        <w:rPr>
          <w:rFonts w:ascii="Calibri"/>
          <w:color w:val="272727"/>
        </w:rPr>
        <w:t>lessons</w:t>
      </w:r>
      <w:r>
        <w:rPr>
          <w:rFonts w:ascii="Calibri"/>
          <w:color w:val="272727"/>
          <w:spacing w:val="-4"/>
        </w:rPr>
        <w:t xml:space="preserve"> </w:t>
      </w:r>
      <w:r>
        <w:rPr>
          <w:rFonts w:ascii="Calibri"/>
          <w:color w:val="272727"/>
          <w:spacing w:val="-2"/>
        </w:rPr>
        <w:t>learned</w:t>
      </w:r>
    </w:p>
    <w:p w14:paraId="38B01F23" w14:textId="77777777" w:rsidR="00BC24A8" w:rsidRDefault="00000000">
      <w:pPr>
        <w:pStyle w:val="Heading5"/>
        <w:spacing w:before="22" w:line="381" w:lineRule="auto"/>
        <w:ind w:right="3474"/>
      </w:pPr>
      <w:r>
        <w:rPr>
          <w:color w:val="17365A"/>
        </w:rPr>
        <w:t>Program</w:t>
      </w:r>
      <w:r>
        <w:rPr>
          <w:color w:val="17365A"/>
          <w:spacing w:val="-10"/>
        </w:rPr>
        <w:t xml:space="preserve"> </w:t>
      </w:r>
      <w:r>
        <w:rPr>
          <w:color w:val="17365A"/>
        </w:rPr>
        <w:t>implementation</w:t>
      </w:r>
      <w:r>
        <w:rPr>
          <w:color w:val="17365A"/>
          <w:spacing w:val="-11"/>
        </w:rPr>
        <w:t xml:space="preserve"> </w:t>
      </w:r>
      <w:r>
        <w:rPr>
          <w:color w:val="17365A"/>
        </w:rPr>
        <w:t>challenges,</w:t>
      </w:r>
      <w:r>
        <w:rPr>
          <w:color w:val="17365A"/>
          <w:spacing w:val="-12"/>
        </w:rPr>
        <w:t xml:space="preserve"> </w:t>
      </w:r>
      <w:r>
        <w:rPr>
          <w:color w:val="17365A"/>
        </w:rPr>
        <w:t>impacts,</w:t>
      </w:r>
      <w:r>
        <w:rPr>
          <w:color w:val="17365A"/>
          <w:spacing w:val="-10"/>
        </w:rPr>
        <w:t xml:space="preserve"> </w:t>
      </w:r>
      <w:r>
        <w:rPr>
          <w:color w:val="17365A"/>
        </w:rPr>
        <w:t>and</w:t>
      </w:r>
      <w:r>
        <w:rPr>
          <w:color w:val="17365A"/>
          <w:spacing w:val="-11"/>
        </w:rPr>
        <w:t xml:space="preserve"> </w:t>
      </w:r>
      <w:r>
        <w:rPr>
          <w:color w:val="17365A"/>
        </w:rPr>
        <w:t xml:space="preserve">solutions </w:t>
      </w:r>
      <w:r>
        <w:t>Technical Challenges</w:t>
      </w:r>
    </w:p>
    <w:p w14:paraId="57A761C6" w14:textId="77777777" w:rsidR="00BC24A8" w:rsidRDefault="00000000">
      <w:pPr>
        <w:pStyle w:val="ListParagraph"/>
        <w:numPr>
          <w:ilvl w:val="0"/>
          <w:numId w:val="109"/>
        </w:numPr>
        <w:tabs>
          <w:tab w:val="left" w:pos="861"/>
          <w:tab w:val="left" w:pos="863"/>
        </w:tabs>
        <w:spacing w:before="3" w:line="259" w:lineRule="auto"/>
        <w:ind w:right="564"/>
        <w:jc w:val="both"/>
      </w:pPr>
      <w:r>
        <w:t>Schemes</w:t>
      </w:r>
      <w:r>
        <w:rPr>
          <w:spacing w:val="-5"/>
        </w:rPr>
        <w:t xml:space="preserve"> </w:t>
      </w:r>
      <w:r>
        <w:t>and</w:t>
      </w:r>
      <w:r>
        <w:rPr>
          <w:spacing w:val="-5"/>
        </w:rPr>
        <w:t xml:space="preserve"> </w:t>
      </w:r>
      <w:r>
        <w:t>guidelines</w:t>
      </w:r>
      <w:r>
        <w:rPr>
          <w:spacing w:val="-2"/>
        </w:rPr>
        <w:t xml:space="preserve"> </w:t>
      </w:r>
      <w:r>
        <w:t>for</w:t>
      </w:r>
      <w:r>
        <w:rPr>
          <w:spacing w:val="-5"/>
        </w:rPr>
        <w:t xml:space="preserve"> </w:t>
      </w:r>
      <w:r>
        <w:t>the</w:t>
      </w:r>
      <w:r>
        <w:rPr>
          <w:spacing w:val="-5"/>
        </w:rPr>
        <w:t xml:space="preserve"> </w:t>
      </w:r>
      <w:r>
        <w:t>integration</w:t>
      </w:r>
      <w:r>
        <w:rPr>
          <w:spacing w:val="-5"/>
        </w:rPr>
        <w:t xml:space="preserve"> </w:t>
      </w:r>
      <w:r>
        <w:t>of</w:t>
      </w:r>
      <w:r>
        <w:rPr>
          <w:spacing w:val="-5"/>
        </w:rPr>
        <w:t xml:space="preserve"> </w:t>
      </w:r>
      <w:r>
        <w:t>the</w:t>
      </w:r>
      <w:r>
        <w:rPr>
          <w:spacing w:val="-5"/>
        </w:rPr>
        <w:t xml:space="preserve"> </w:t>
      </w:r>
      <w:r>
        <w:t>National</w:t>
      </w:r>
      <w:r>
        <w:rPr>
          <w:spacing w:val="-4"/>
        </w:rPr>
        <w:t xml:space="preserve"> </w:t>
      </w:r>
      <w:r>
        <w:t>Data</w:t>
      </w:r>
      <w:r>
        <w:rPr>
          <w:spacing w:val="-7"/>
        </w:rPr>
        <w:t xml:space="preserve"> </w:t>
      </w:r>
      <w:r>
        <w:t>System</w:t>
      </w:r>
      <w:r>
        <w:rPr>
          <w:spacing w:val="-3"/>
        </w:rPr>
        <w:t xml:space="preserve"> </w:t>
      </w:r>
      <w:r>
        <w:t>into</w:t>
      </w:r>
      <w:r>
        <w:rPr>
          <w:spacing w:val="-6"/>
        </w:rPr>
        <w:t xml:space="preserve"> </w:t>
      </w:r>
      <w:r>
        <w:t>Local</w:t>
      </w:r>
      <w:r>
        <w:rPr>
          <w:spacing w:val="-7"/>
        </w:rPr>
        <w:t xml:space="preserve"> </w:t>
      </w:r>
      <w:r>
        <w:t xml:space="preserve">Government data systems are not available, resulting in limited acceleration of interoperability between </w:t>
      </w:r>
      <w:r>
        <w:rPr>
          <w:spacing w:val="-2"/>
        </w:rPr>
        <w:t>systems.</w:t>
      </w:r>
    </w:p>
    <w:p w14:paraId="4B5EBD86" w14:textId="77777777" w:rsidR="00BC24A8" w:rsidRDefault="00000000">
      <w:pPr>
        <w:pStyle w:val="ListParagraph"/>
        <w:numPr>
          <w:ilvl w:val="0"/>
          <w:numId w:val="109"/>
        </w:numPr>
        <w:tabs>
          <w:tab w:val="left" w:pos="860"/>
          <w:tab w:val="left" w:pos="863"/>
        </w:tabs>
        <w:spacing w:line="259" w:lineRule="auto"/>
        <w:ind w:right="565" w:hanging="361"/>
        <w:jc w:val="both"/>
      </w:pPr>
      <w:r>
        <w:t>Basic public service data is not yet synchronised between provincial agencies at the provincial level,</w:t>
      </w:r>
      <w:r>
        <w:rPr>
          <w:spacing w:val="-1"/>
        </w:rPr>
        <w:t xml:space="preserve"> </w:t>
      </w:r>
      <w:r>
        <w:t>especially</w:t>
      </w:r>
      <w:r>
        <w:rPr>
          <w:spacing w:val="-1"/>
        </w:rPr>
        <w:t xml:space="preserve"> </w:t>
      </w:r>
      <w:r>
        <w:t>regarding</w:t>
      </w:r>
      <w:r>
        <w:rPr>
          <w:spacing w:val="-5"/>
        </w:rPr>
        <w:t xml:space="preserve"> </w:t>
      </w:r>
      <w:r>
        <w:t>MSS</w:t>
      </w:r>
      <w:r>
        <w:rPr>
          <w:spacing w:val="-1"/>
        </w:rPr>
        <w:t xml:space="preserve"> </w:t>
      </w:r>
      <w:r>
        <w:t>baseline</w:t>
      </w:r>
      <w:r>
        <w:rPr>
          <w:spacing w:val="-3"/>
        </w:rPr>
        <w:t xml:space="preserve"> </w:t>
      </w:r>
      <w:r>
        <w:t>data,</w:t>
      </w:r>
      <w:r>
        <w:rPr>
          <w:spacing w:val="-3"/>
        </w:rPr>
        <w:t xml:space="preserve"> </w:t>
      </w:r>
      <w:r>
        <w:t>basic</w:t>
      </w:r>
      <w:r>
        <w:rPr>
          <w:spacing w:val="-5"/>
        </w:rPr>
        <w:t xml:space="preserve"> </w:t>
      </w:r>
      <w:r>
        <w:t>service</w:t>
      </w:r>
      <w:r>
        <w:rPr>
          <w:spacing w:val="-3"/>
        </w:rPr>
        <w:t xml:space="preserve"> </w:t>
      </w:r>
      <w:r>
        <w:t>indicators,</w:t>
      </w:r>
      <w:r>
        <w:rPr>
          <w:spacing w:val="-1"/>
        </w:rPr>
        <w:t xml:space="preserve"> </w:t>
      </w:r>
      <w:r>
        <w:t>and</w:t>
      </w:r>
      <w:r>
        <w:rPr>
          <w:spacing w:val="-1"/>
        </w:rPr>
        <w:t xml:space="preserve"> </w:t>
      </w:r>
      <w:r>
        <w:t>statistical</w:t>
      </w:r>
      <w:r>
        <w:rPr>
          <w:spacing w:val="-3"/>
        </w:rPr>
        <w:t xml:space="preserve"> </w:t>
      </w:r>
      <w:r>
        <w:t>metadata.</w:t>
      </w:r>
    </w:p>
    <w:p w14:paraId="0C999A4B" w14:textId="77777777" w:rsidR="00BC24A8" w:rsidRDefault="00000000">
      <w:pPr>
        <w:pStyle w:val="ListParagraph"/>
        <w:numPr>
          <w:ilvl w:val="0"/>
          <w:numId w:val="109"/>
        </w:numPr>
        <w:tabs>
          <w:tab w:val="left" w:pos="861"/>
          <w:tab w:val="left" w:pos="863"/>
        </w:tabs>
        <w:spacing w:line="259" w:lineRule="auto"/>
        <w:ind w:right="563"/>
        <w:jc w:val="both"/>
      </w:pPr>
      <w:r>
        <w:t>Civil</w:t>
      </w:r>
      <w:r>
        <w:rPr>
          <w:spacing w:val="-5"/>
        </w:rPr>
        <w:t xml:space="preserve"> </w:t>
      </w:r>
      <w:r>
        <w:t>servants’</w:t>
      </w:r>
      <w:r>
        <w:rPr>
          <w:spacing w:val="-5"/>
        </w:rPr>
        <w:t xml:space="preserve"> </w:t>
      </w:r>
      <w:r>
        <w:t>technical</w:t>
      </w:r>
      <w:r>
        <w:rPr>
          <w:spacing w:val="-5"/>
        </w:rPr>
        <w:t xml:space="preserve"> </w:t>
      </w:r>
      <w:r>
        <w:t>capacity</w:t>
      </w:r>
      <w:r>
        <w:rPr>
          <w:spacing w:val="-4"/>
        </w:rPr>
        <w:t xml:space="preserve"> </w:t>
      </w:r>
      <w:r>
        <w:t>and</w:t>
      </w:r>
      <w:r>
        <w:rPr>
          <w:spacing w:val="-6"/>
        </w:rPr>
        <w:t xml:space="preserve"> </w:t>
      </w:r>
      <w:r>
        <w:t>the</w:t>
      </w:r>
      <w:r>
        <w:rPr>
          <w:spacing w:val="-7"/>
        </w:rPr>
        <w:t xml:space="preserve"> </w:t>
      </w:r>
      <w:r>
        <w:t>quality</w:t>
      </w:r>
      <w:r>
        <w:rPr>
          <w:spacing w:val="-4"/>
        </w:rPr>
        <w:t xml:space="preserve"> </w:t>
      </w:r>
      <w:r>
        <w:t>of</w:t>
      </w:r>
      <w:r>
        <w:rPr>
          <w:spacing w:val="-7"/>
        </w:rPr>
        <w:t xml:space="preserve"> </w:t>
      </w:r>
      <w:r>
        <w:t>planning</w:t>
      </w:r>
      <w:r>
        <w:rPr>
          <w:spacing w:val="-7"/>
        </w:rPr>
        <w:t xml:space="preserve"> </w:t>
      </w:r>
      <w:r>
        <w:t>documents</w:t>
      </w:r>
      <w:r>
        <w:rPr>
          <w:spacing w:val="-5"/>
        </w:rPr>
        <w:t xml:space="preserve"> </w:t>
      </w:r>
      <w:r>
        <w:t>are</w:t>
      </w:r>
      <w:r>
        <w:rPr>
          <w:spacing w:val="-5"/>
        </w:rPr>
        <w:t xml:space="preserve"> </w:t>
      </w:r>
      <w:r>
        <w:t>still</w:t>
      </w:r>
      <w:r>
        <w:rPr>
          <w:spacing w:val="-5"/>
        </w:rPr>
        <w:t xml:space="preserve"> </w:t>
      </w:r>
      <w:r>
        <w:t>limited,</w:t>
      </w:r>
      <w:r>
        <w:rPr>
          <w:spacing w:val="-4"/>
        </w:rPr>
        <w:t xml:space="preserve"> </w:t>
      </w:r>
      <w:r>
        <w:t>making it</w:t>
      </w:r>
      <w:r>
        <w:rPr>
          <w:spacing w:val="-13"/>
        </w:rPr>
        <w:t xml:space="preserve"> </w:t>
      </w:r>
      <w:r>
        <w:t>difficult</w:t>
      </w:r>
      <w:r>
        <w:rPr>
          <w:spacing w:val="-12"/>
        </w:rPr>
        <w:t xml:space="preserve"> </w:t>
      </w:r>
      <w:r>
        <w:t>to</w:t>
      </w:r>
      <w:r>
        <w:rPr>
          <w:spacing w:val="-13"/>
        </w:rPr>
        <w:t xml:space="preserve"> </w:t>
      </w:r>
      <w:r>
        <w:t>understand</w:t>
      </w:r>
      <w:r>
        <w:rPr>
          <w:spacing w:val="-12"/>
        </w:rPr>
        <w:t xml:space="preserve"> </w:t>
      </w:r>
      <w:r>
        <w:t>the</w:t>
      </w:r>
      <w:r>
        <w:rPr>
          <w:spacing w:val="-13"/>
        </w:rPr>
        <w:t xml:space="preserve"> </w:t>
      </w:r>
      <w:r>
        <w:t>cascading</w:t>
      </w:r>
      <w:r>
        <w:rPr>
          <w:spacing w:val="-12"/>
        </w:rPr>
        <w:t xml:space="preserve"> </w:t>
      </w:r>
      <w:r>
        <w:t>relationship</w:t>
      </w:r>
      <w:r>
        <w:rPr>
          <w:spacing w:val="-13"/>
        </w:rPr>
        <w:t xml:space="preserve"> </w:t>
      </w:r>
      <w:r>
        <w:t>(performance</w:t>
      </w:r>
      <w:r>
        <w:rPr>
          <w:spacing w:val="-12"/>
        </w:rPr>
        <w:t xml:space="preserve"> </w:t>
      </w:r>
      <w:r>
        <w:t>tree)</w:t>
      </w:r>
      <w:r>
        <w:rPr>
          <w:spacing w:val="-12"/>
        </w:rPr>
        <w:t xml:space="preserve"> </w:t>
      </w:r>
      <w:r>
        <w:t>between</w:t>
      </w:r>
      <w:r>
        <w:rPr>
          <w:spacing w:val="-13"/>
        </w:rPr>
        <w:t xml:space="preserve"> </w:t>
      </w:r>
      <w:r>
        <w:t>MSS</w:t>
      </w:r>
      <w:r>
        <w:rPr>
          <w:spacing w:val="-12"/>
        </w:rPr>
        <w:t xml:space="preserve"> </w:t>
      </w:r>
      <w:r>
        <w:t>and</w:t>
      </w:r>
      <w:r>
        <w:rPr>
          <w:spacing w:val="-13"/>
        </w:rPr>
        <w:t xml:space="preserve"> </w:t>
      </w:r>
      <w:r>
        <w:t>GEDSI in RPJMD, RENSTRA, and RKPD of MSS and GEDSI in RPJMD, RENSTRA, and RKPD.</w:t>
      </w:r>
    </w:p>
    <w:p w14:paraId="7BC0F633" w14:textId="77777777" w:rsidR="00BC24A8" w:rsidRDefault="00000000">
      <w:pPr>
        <w:pStyle w:val="ListParagraph"/>
        <w:numPr>
          <w:ilvl w:val="0"/>
          <w:numId w:val="109"/>
        </w:numPr>
        <w:tabs>
          <w:tab w:val="left" w:pos="861"/>
          <w:tab w:val="left" w:pos="863"/>
        </w:tabs>
        <w:spacing w:line="259" w:lineRule="auto"/>
        <w:ind w:right="563"/>
        <w:jc w:val="both"/>
      </w:pPr>
      <w:r>
        <w:t>Costing and e-costing guidelines are not yet available, hampering the implementation of accurate and efficient costing.</w:t>
      </w:r>
    </w:p>
    <w:p w14:paraId="34B20341" w14:textId="77777777" w:rsidR="00BC24A8" w:rsidRDefault="00BC24A8">
      <w:pPr>
        <w:pStyle w:val="BodyText"/>
        <w:spacing w:before="200"/>
      </w:pPr>
    </w:p>
    <w:p w14:paraId="2C33B0DA" w14:textId="77777777" w:rsidR="00BC24A8" w:rsidRDefault="00000000">
      <w:pPr>
        <w:pStyle w:val="Heading5"/>
      </w:pPr>
      <w:r>
        <w:t>Solutions</w:t>
      </w:r>
      <w:r>
        <w:rPr>
          <w:spacing w:val="-5"/>
        </w:rPr>
        <w:t xml:space="preserve"> </w:t>
      </w:r>
      <w:r>
        <w:t>that</w:t>
      </w:r>
      <w:r>
        <w:rPr>
          <w:spacing w:val="-5"/>
        </w:rPr>
        <w:t xml:space="preserve"> </w:t>
      </w:r>
      <w:r>
        <w:t>have</w:t>
      </w:r>
      <w:r>
        <w:rPr>
          <w:spacing w:val="-6"/>
        </w:rPr>
        <w:t xml:space="preserve"> </w:t>
      </w:r>
      <w:r>
        <w:t>been</w:t>
      </w:r>
      <w:r>
        <w:rPr>
          <w:spacing w:val="-6"/>
        </w:rPr>
        <w:t xml:space="preserve"> </w:t>
      </w:r>
      <w:r>
        <w:t>taken</w:t>
      </w:r>
      <w:r>
        <w:rPr>
          <w:spacing w:val="-6"/>
        </w:rPr>
        <w:t xml:space="preserve"> </w:t>
      </w:r>
      <w:r>
        <w:t>and</w:t>
      </w:r>
      <w:r>
        <w:rPr>
          <w:spacing w:val="-6"/>
        </w:rPr>
        <w:t xml:space="preserve"> </w:t>
      </w:r>
      <w:r>
        <w:t>need</w:t>
      </w:r>
      <w:r>
        <w:rPr>
          <w:spacing w:val="-6"/>
        </w:rPr>
        <w:t xml:space="preserve"> </w:t>
      </w:r>
      <w:r>
        <w:t>to</w:t>
      </w:r>
      <w:r>
        <w:rPr>
          <w:spacing w:val="-6"/>
        </w:rPr>
        <w:t xml:space="preserve"> </w:t>
      </w:r>
      <w:r>
        <w:t>be</w:t>
      </w:r>
      <w:r>
        <w:rPr>
          <w:spacing w:val="-6"/>
        </w:rPr>
        <w:t xml:space="preserve"> </w:t>
      </w:r>
      <w:r>
        <w:rPr>
          <w:spacing w:val="-4"/>
        </w:rPr>
        <w:t>done</w:t>
      </w:r>
    </w:p>
    <w:p w14:paraId="561465AC" w14:textId="77777777" w:rsidR="00BC24A8" w:rsidRDefault="00000000">
      <w:pPr>
        <w:pStyle w:val="ListParagraph"/>
        <w:numPr>
          <w:ilvl w:val="0"/>
          <w:numId w:val="109"/>
        </w:numPr>
        <w:tabs>
          <w:tab w:val="left" w:pos="861"/>
          <w:tab w:val="left" w:pos="863"/>
        </w:tabs>
        <w:spacing w:before="159" w:line="259" w:lineRule="auto"/>
        <w:ind w:right="565"/>
        <w:jc w:val="both"/>
      </w:pPr>
      <w:r>
        <w:t>Improvement</w:t>
      </w:r>
      <w:r>
        <w:rPr>
          <w:spacing w:val="-9"/>
        </w:rPr>
        <w:t xml:space="preserve"> </w:t>
      </w:r>
      <w:r>
        <w:t>of</w:t>
      </w:r>
      <w:r>
        <w:rPr>
          <w:spacing w:val="-10"/>
        </w:rPr>
        <w:t xml:space="preserve"> </w:t>
      </w:r>
      <w:r>
        <w:t>the</w:t>
      </w:r>
      <w:r>
        <w:rPr>
          <w:spacing w:val="-10"/>
        </w:rPr>
        <w:t xml:space="preserve"> </w:t>
      </w:r>
      <w:r>
        <w:t>E-DATAKU</w:t>
      </w:r>
      <w:r>
        <w:rPr>
          <w:spacing w:val="-10"/>
        </w:rPr>
        <w:t xml:space="preserve"> </w:t>
      </w:r>
      <w:r>
        <w:t>Sidara</w:t>
      </w:r>
      <w:r>
        <w:rPr>
          <w:spacing w:val="-10"/>
        </w:rPr>
        <w:t xml:space="preserve"> </w:t>
      </w:r>
      <w:r>
        <w:t>Cantik</w:t>
      </w:r>
      <w:r>
        <w:rPr>
          <w:spacing w:val="-10"/>
        </w:rPr>
        <w:t xml:space="preserve"> </w:t>
      </w:r>
      <w:r>
        <w:t>2.0</w:t>
      </w:r>
      <w:r>
        <w:rPr>
          <w:spacing w:val="-8"/>
        </w:rPr>
        <w:t xml:space="preserve"> </w:t>
      </w:r>
      <w:r>
        <w:t>Portal</w:t>
      </w:r>
      <w:r>
        <w:rPr>
          <w:spacing w:val="-11"/>
        </w:rPr>
        <w:t xml:space="preserve"> </w:t>
      </w:r>
      <w:r>
        <w:t>by</w:t>
      </w:r>
      <w:r>
        <w:rPr>
          <w:spacing w:val="-8"/>
        </w:rPr>
        <w:t xml:space="preserve"> </w:t>
      </w:r>
      <w:r>
        <w:t>the</w:t>
      </w:r>
      <w:r>
        <w:rPr>
          <w:spacing w:val="-10"/>
        </w:rPr>
        <w:t xml:space="preserve"> </w:t>
      </w:r>
      <w:r>
        <w:t>Kaltara</w:t>
      </w:r>
      <w:r>
        <w:rPr>
          <w:spacing w:val="-10"/>
        </w:rPr>
        <w:t xml:space="preserve"> </w:t>
      </w:r>
      <w:r>
        <w:t>Provincial</w:t>
      </w:r>
      <w:r>
        <w:rPr>
          <w:spacing w:val="-10"/>
        </w:rPr>
        <w:t xml:space="preserve"> </w:t>
      </w:r>
      <w:r>
        <w:t>Government</w:t>
      </w:r>
      <w:r>
        <w:rPr>
          <w:spacing w:val="-9"/>
        </w:rPr>
        <w:t xml:space="preserve"> </w:t>
      </w:r>
      <w:r>
        <w:t>as a data dissemination system with interoperability features between systems.</w:t>
      </w:r>
    </w:p>
    <w:p w14:paraId="678D6673" w14:textId="77777777" w:rsidR="00BC24A8" w:rsidRDefault="00000000">
      <w:pPr>
        <w:pStyle w:val="ListParagraph"/>
        <w:numPr>
          <w:ilvl w:val="0"/>
          <w:numId w:val="109"/>
        </w:numPr>
        <w:tabs>
          <w:tab w:val="left" w:pos="861"/>
          <w:tab w:val="left" w:pos="863"/>
        </w:tabs>
        <w:spacing w:before="1" w:line="256" w:lineRule="auto"/>
        <w:ind w:right="565"/>
        <w:jc w:val="both"/>
      </w:pPr>
      <w:r>
        <w:t>Strengthening</w:t>
      </w:r>
      <w:r>
        <w:rPr>
          <w:spacing w:val="-6"/>
        </w:rPr>
        <w:t xml:space="preserve"> </w:t>
      </w:r>
      <w:r>
        <w:t>the</w:t>
      </w:r>
      <w:r>
        <w:rPr>
          <w:spacing w:val="-7"/>
        </w:rPr>
        <w:t xml:space="preserve"> </w:t>
      </w:r>
      <w:r>
        <w:t>One</w:t>
      </w:r>
      <w:r>
        <w:rPr>
          <w:spacing w:val="-7"/>
        </w:rPr>
        <w:t xml:space="preserve"> </w:t>
      </w:r>
      <w:r>
        <w:t>Regional</w:t>
      </w:r>
      <w:r>
        <w:rPr>
          <w:spacing w:val="-7"/>
        </w:rPr>
        <w:t xml:space="preserve"> </w:t>
      </w:r>
      <w:r>
        <w:t>Data</w:t>
      </w:r>
      <w:r>
        <w:rPr>
          <w:spacing w:val="-7"/>
        </w:rPr>
        <w:t xml:space="preserve"> </w:t>
      </w:r>
      <w:r>
        <w:t>Forum</w:t>
      </w:r>
      <w:r>
        <w:rPr>
          <w:spacing w:val="-6"/>
        </w:rPr>
        <w:t xml:space="preserve"> </w:t>
      </w:r>
      <w:r>
        <w:t>and</w:t>
      </w:r>
      <w:r>
        <w:rPr>
          <w:spacing w:val="-8"/>
        </w:rPr>
        <w:t xml:space="preserve"> </w:t>
      </w:r>
      <w:r>
        <w:t>data</w:t>
      </w:r>
      <w:r>
        <w:rPr>
          <w:spacing w:val="-7"/>
        </w:rPr>
        <w:t xml:space="preserve"> </w:t>
      </w:r>
      <w:r>
        <w:t>governance</w:t>
      </w:r>
      <w:r>
        <w:rPr>
          <w:spacing w:val="-7"/>
        </w:rPr>
        <w:t xml:space="preserve"> </w:t>
      </w:r>
      <w:r>
        <w:t>through</w:t>
      </w:r>
      <w:r>
        <w:rPr>
          <w:spacing w:val="-6"/>
        </w:rPr>
        <w:t xml:space="preserve"> </w:t>
      </w:r>
      <w:r>
        <w:t>the</w:t>
      </w:r>
      <w:r>
        <w:rPr>
          <w:spacing w:val="-7"/>
        </w:rPr>
        <w:t xml:space="preserve"> </w:t>
      </w:r>
      <w:r>
        <w:t>implementation of data cycles and “door-to-door” verification to ensure accountable sectoral statistical data.</w:t>
      </w:r>
    </w:p>
    <w:p w14:paraId="36A04A5B" w14:textId="77777777" w:rsidR="00BC24A8" w:rsidRDefault="00000000">
      <w:pPr>
        <w:pStyle w:val="ListParagraph"/>
        <w:numPr>
          <w:ilvl w:val="0"/>
          <w:numId w:val="109"/>
        </w:numPr>
        <w:tabs>
          <w:tab w:val="left" w:pos="860"/>
          <w:tab w:val="left" w:pos="862"/>
        </w:tabs>
        <w:spacing w:before="3" w:line="259" w:lineRule="auto"/>
        <w:ind w:left="862" w:right="564"/>
        <w:jc w:val="both"/>
      </w:pPr>
      <w:r>
        <w:t>Facilitation of capacity building for cascading provincial agencies' performance trees and strategic plans through the</w:t>
      </w:r>
      <w:r>
        <w:rPr>
          <w:spacing w:val="-2"/>
        </w:rPr>
        <w:t xml:space="preserve"> </w:t>
      </w:r>
      <w:r>
        <w:t>provision of synchronisation instruments for RPJMD 2025–2029 to RENSTRA 2025–2029, and RKPD 2026.</w:t>
      </w:r>
    </w:p>
    <w:p w14:paraId="3E515336" w14:textId="77777777" w:rsidR="00BC24A8" w:rsidRDefault="00000000">
      <w:pPr>
        <w:pStyle w:val="ListParagraph"/>
        <w:numPr>
          <w:ilvl w:val="0"/>
          <w:numId w:val="109"/>
        </w:numPr>
        <w:tabs>
          <w:tab w:val="left" w:pos="860"/>
          <w:tab w:val="left" w:pos="862"/>
        </w:tabs>
        <w:spacing w:line="259" w:lineRule="auto"/>
        <w:ind w:left="862" w:right="564"/>
        <w:jc w:val="both"/>
      </w:pPr>
      <w:r>
        <w:t>Increased costing capacity using manual instruments while waiting for e-costing guidance to become available.</w:t>
      </w:r>
    </w:p>
    <w:p w14:paraId="50F20367" w14:textId="77777777" w:rsidR="00BC24A8" w:rsidRDefault="00BC24A8">
      <w:pPr>
        <w:pStyle w:val="BodyText"/>
        <w:spacing w:before="201"/>
      </w:pPr>
    </w:p>
    <w:p w14:paraId="6F795684" w14:textId="77777777" w:rsidR="00BC24A8" w:rsidRDefault="00000000">
      <w:pPr>
        <w:pStyle w:val="Heading5"/>
        <w:spacing w:before="1"/>
      </w:pPr>
      <w:r>
        <w:rPr>
          <w:spacing w:val="-2"/>
        </w:rPr>
        <w:t>Non-Technical</w:t>
      </w:r>
      <w:r>
        <w:rPr>
          <w:spacing w:val="-5"/>
        </w:rPr>
        <w:t xml:space="preserve"> </w:t>
      </w:r>
      <w:r>
        <w:rPr>
          <w:spacing w:val="-2"/>
        </w:rPr>
        <w:t>Challenges</w:t>
      </w:r>
    </w:p>
    <w:p w14:paraId="1CF8E677" w14:textId="77777777" w:rsidR="00BC24A8" w:rsidRDefault="00000000">
      <w:pPr>
        <w:pStyle w:val="ListParagraph"/>
        <w:numPr>
          <w:ilvl w:val="0"/>
          <w:numId w:val="109"/>
        </w:numPr>
        <w:tabs>
          <w:tab w:val="left" w:pos="861"/>
          <w:tab w:val="left" w:pos="863"/>
        </w:tabs>
        <w:spacing w:before="161" w:line="259" w:lineRule="auto"/>
        <w:ind w:right="564"/>
        <w:jc w:val="both"/>
      </w:pPr>
      <w:r>
        <w:t>Commitment and leadership among provincial agencies remain uneven across the One Data, MSS, and GEDSI areas, with understanding of GEDSI still largely dependent on individual and leadership initiatives.</w:t>
      </w:r>
    </w:p>
    <w:p w14:paraId="13AE14E9" w14:textId="77777777" w:rsidR="00BC24A8" w:rsidRDefault="00000000">
      <w:pPr>
        <w:pStyle w:val="ListParagraph"/>
        <w:numPr>
          <w:ilvl w:val="0"/>
          <w:numId w:val="109"/>
        </w:numPr>
        <w:tabs>
          <w:tab w:val="left" w:pos="861"/>
          <w:tab w:val="left" w:pos="863"/>
        </w:tabs>
        <w:spacing w:line="259" w:lineRule="auto"/>
        <w:ind w:right="564"/>
        <w:jc w:val="both"/>
      </w:pPr>
      <w:r>
        <w:t>Bureaucratic obstacles and key civil servants transfers disrupt program continuity and knowledge transfer.</w:t>
      </w:r>
    </w:p>
    <w:p w14:paraId="1864F288" w14:textId="77777777" w:rsidR="00BC24A8" w:rsidRDefault="00000000">
      <w:pPr>
        <w:pStyle w:val="ListParagraph"/>
        <w:numPr>
          <w:ilvl w:val="0"/>
          <w:numId w:val="109"/>
        </w:numPr>
        <w:tabs>
          <w:tab w:val="left" w:pos="860"/>
          <w:tab w:val="left" w:pos="862"/>
        </w:tabs>
        <w:spacing w:line="259" w:lineRule="auto"/>
        <w:ind w:left="862" w:right="563"/>
        <w:jc w:val="both"/>
      </w:pPr>
      <w:r>
        <w:t>Coordination</w:t>
      </w:r>
      <w:r>
        <w:rPr>
          <w:spacing w:val="-6"/>
        </w:rPr>
        <w:t xml:space="preserve"> </w:t>
      </w:r>
      <w:r>
        <w:t>between</w:t>
      </w:r>
      <w:r>
        <w:rPr>
          <w:spacing w:val="-4"/>
        </w:rPr>
        <w:t xml:space="preserve"> </w:t>
      </w:r>
      <w:r>
        <w:t>the</w:t>
      </w:r>
      <w:r>
        <w:rPr>
          <w:spacing w:val="-8"/>
        </w:rPr>
        <w:t xml:space="preserve"> </w:t>
      </w:r>
      <w:r>
        <w:t>PUB</w:t>
      </w:r>
      <w:r>
        <w:rPr>
          <w:spacing w:val="-5"/>
        </w:rPr>
        <w:t xml:space="preserve"> </w:t>
      </w:r>
      <w:r>
        <w:t>Working</w:t>
      </w:r>
      <w:r>
        <w:rPr>
          <w:spacing w:val="-7"/>
        </w:rPr>
        <w:t xml:space="preserve"> </w:t>
      </w:r>
      <w:r>
        <w:t>Group</w:t>
      </w:r>
      <w:r>
        <w:rPr>
          <w:spacing w:val="-4"/>
        </w:rPr>
        <w:t xml:space="preserve"> </w:t>
      </w:r>
      <w:r>
        <w:t>and</w:t>
      </w:r>
      <w:r>
        <w:rPr>
          <w:spacing w:val="-6"/>
        </w:rPr>
        <w:t xml:space="preserve"> </w:t>
      </w:r>
      <w:r>
        <w:t>key</w:t>
      </w:r>
      <w:r>
        <w:rPr>
          <w:spacing w:val="-3"/>
        </w:rPr>
        <w:t xml:space="preserve"> </w:t>
      </w:r>
      <w:r>
        <w:t>stakeholders</w:t>
      </w:r>
      <w:r>
        <w:rPr>
          <w:spacing w:val="-3"/>
        </w:rPr>
        <w:t xml:space="preserve"> </w:t>
      </w:r>
      <w:r>
        <w:t>in</w:t>
      </w:r>
      <w:r>
        <w:rPr>
          <w:spacing w:val="-4"/>
        </w:rPr>
        <w:t xml:space="preserve"> </w:t>
      </w:r>
      <w:r>
        <w:t>the</w:t>
      </w:r>
      <w:r>
        <w:rPr>
          <w:spacing w:val="-6"/>
        </w:rPr>
        <w:t xml:space="preserve"> </w:t>
      </w:r>
      <w:r>
        <w:t>Gender</w:t>
      </w:r>
      <w:r>
        <w:rPr>
          <w:spacing w:val="-4"/>
        </w:rPr>
        <w:t xml:space="preserve"> </w:t>
      </w:r>
      <w:r>
        <w:t>Responsive Planning</w:t>
      </w:r>
      <w:r>
        <w:rPr>
          <w:spacing w:val="-13"/>
        </w:rPr>
        <w:t xml:space="preserve"> </w:t>
      </w:r>
      <w:r>
        <w:t>and</w:t>
      </w:r>
      <w:r>
        <w:rPr>
          <w:spacing w:val="-12"/>
        </w:rPr>
        <w:t xml:space="preserve"> </w:t>
      </w:r>
      <w:r>
        <w:t>Budgeting</w:t>
      </w:r>
      <w:r>
        <w:rPr>
          <w:spacing w:val="-13"/>
        </w:rPr>
        <w:t xml:space="preserve"> </w:t>
      </w:r>
      <w:r>
        <w:t>(PPRG)</w:t>
      </w:r>
      <w:r>
        <w:rPr>
          <w:spacing w:val="-12"/>
        </w:rPr>
        <w:t xml:space="preserve"> </w:t>
      </w:r>
      <w:r>
        <w:t>has</w:t>
      </w:r>
      <w:r>
        <w:rPr>
          <w:spacing w:val="-13"/>
        </w:rPr>
        <w:t xml:space="preserve"> </w:t>
      </w:r>
      <w:r>
        <w:t>not</w:t>
      </w:r>
      <w:r>
        <w:rPr>
          <w:spacing w:val="-12"/>
        </w:rPr>
        <w:t xml:space="preserve"> </w:t>
      </w:r>
      <w:r>
        <w:t>been</w:t>
      </w:r>
      <w:r>
        <w:rPr>
          <w:spacing w:val="-13"/>
        </w:rPr>
        <w:t xml:space="preserve"> </w:t>
      </w:r>
      <w:r>
        <w:t>optimal,</w:t>
      </w:r>
      <w:r>
        <w:rPr>
          <w:spacing w:val="-12"/>
        </w:rPr>
        <w:t xml:space="preserve"> </w:t>
      </w:r>
      <w:r>
        <w:t>hampering</w:t>
      </w:r>
      <w:r>
        <w:rPr>
          <w:spacing w:val="-12"/>
        </w:rPr>
        <w:t xml:space="preserve"> </w:t>
      </w:r>
      <w:r>
        <w:t>the</w:t>
      </w:r>
      <w:r>
        <w:rPr>
          <w:spacing w:val="-13"/>
        </w:rPr>
        <w:t xml:space="preserve"> </w:t>
      </w:r>
      <w:r>
        <w:t>integration</w:t>
      </w:r>
      <w:r>
        <w:rPr>
          <w:spacing w:val="-12"/>
        </w:rPr>
        <w:t xml:space="preserve"> </w:t>
      </w:r>
      <w:r>
        <w:t>of</w:t>
      </w:r>
      <w:r>
        <w:rPr>
          <w:spacing w:val="-13"/>
        </w:rPr>
        <w:t xml:space="preserve"> </w:t>
      </w:r>
      <w:r>
        <w:t>GEDSI</w:t>
      </w:r>
      <w:r>
        <w:rPr>
          <w:spacing w:val="-12"/>
        </w:rPr>
        <w:t xml:space="preserve"> </w:t>
      </w:r>
      <w:r>
        <w:t>issues in planning and budgeting.</w:t>
      </w:r>
    </w:p>
    <w:p w14:paraId="73B9149C" w14:textId="77777777" w:rsidR="00BC24A8" w:rsidRDefault="00000000">
      <w:pPr>
        <w:pStyle w:val="ListParagraph"/>
        <w:numPr>
          <w:ilvl w:val="0"/>
          <w:numId w:val="109"/>
        </w:numPr>
        <w:tabs>
          <w:tab w:val="left" w:pos="860"/>
          <w:tab w:val="left" w:pos="862"/>
        </w:tabs>
        <w:spacing w:line="259" w:lineRule="auto"/>
        <w:ind w:left="862" w:right="567"/>
        <w:jc w:val="both"/>
      </w:pPr>
      <w:r>
        <w:t>Fragmentation and internal dynamics of Civil Society Organisations (CSOs), as well as weak structures, hinder knowledge transfer and communication within CSOs.</w:t>
      </w:r>
    </w:p>
    <w:p w14:paraId="1E589045" w14:textId="77777777" w:rsidR="00BC24A8" w:rsidRDefault="00BC24A8">
      <w:pPr>
        <w:pStyle w:val="BodyText"/>
        <w:spacing w:before="200"/>
      </w:pPr>
    </w:p>
    <w:p w14:paraId="46A37A9D" w14:textId="77777777" w:rsidR="00BC24A8" w:rsidRDefault="00000000">
      <w:pPr>
        <w:pStyle w:val="Heading5"/>
      </w:pPr>
      <w:r>
        <w:t>Solutions</w:t>
      </w:r>
      <w:r>
        <w:rPr>
          <w:spacing w:val="-5"/>
        </w:rPr>
        <w:t xml:space="preserve"> </w:t>
      </w:r>
      <w:r>
        <w:t>that</w:t>
      </w:r>
      <w:r>
        <w:rPr>
          <w:spacing w:val="-5"/>
        </w:rPr>
        <w:t xml:space="preserve"> </w:t>
      </w:r>
      <w:r>
        <w:t>have</w:t>
      </w:r>
      <w:r>
        <w:rPr>
          <w:spacing w:val="-6"/>
        </w:rPr>
        <w:t xml:space="preserve"> </w:t>
      </w:r>
      <w:r>
        <w:t>been</w:t>
      </w:r>
      <w:r>
        <w:rPr>
          <w:spacing w:val="-6"/>
        </w:rPr>
        <w:t xml:space="preserve"> </w:t>
      </w:r>
      <w:r>
        <w:t>taken</w:t>
      </w:r>
      <w:r>
        <w:rPr>
          <w:spacing w:val="-6"/>
        </w:rPr>
        <w:t xml:space="preserve"> </w:t>
      </w:r>
      <w:r>
        <w:t>and</w:t>
      </w:r>
      <w:r>
        <w:rPr>
          <w:spacing w:val="-6"/>
        </w:rPr>
        <w:t xml:space="preserve"> </w:t>
      </w:r>
      <w:r>
        <w:t>need</w:t>
      </w:r>
      <w:r>
        <w:rPr>
          <w:spacing w:val="-6"/>
        </w:rPr>
        <w:t xml:space="preserve"> </w:t>
      </w:r>
      <w:r>
        <w:t>to</w:t>
      </w:r>
      <w:r>
        <w:rPr>
          <w:spacing w:val="-6"/>
        </w:rPr>
        <w:t xml:space="preserve"> </w:t>
      </w:r>
      <w:r>
        <w:t>be</w:t>
      </w:r>
      <w:r>
        <w:rPr>
          <w:spacing w:val="-6"/>
        </w:rPr>
        <w:t xml:space="preserve"> </w:t>
      </w:r>
      <w:r>
        <w:rPr>
          <w:spacing w:val="-4"/>
        </w:rPr>
        <w:t>done</w:t>
      </w:r>
    </w:p>
    <w:p w14:paraId="08A3A0D2" w14:textId="77777777" w:rsidR="00BC24A8" w:rsidRDefault="00000000">
      <w:pPr>
        <w:pStyle w:val="ListParagraph"/>
        <w:numPr>
          <w:ilvl w:val="0"/>
          <w:numId w:val="109"/>
        </w:numPr>
        <w:tabs>
          <w:tab w:val="left" w:pos="860"/>
          <w:tab w:val="left" w:pos="862"/>
        </w:tabs>
        <w:spacing w:before="159" w:line="259" w:lineRule="auto"/>
        <w:ind w:left="862" w:right="561"/>
        <w:jc w:val="both"/>
      </w:pPr>
      <w:r>
        <w:t>The Regional One Data Forum initiated integrated sectoral statistical guidance with “door-to- door” data verification.</w:t>
      </w:r>
    </w:p>
    <w:p w14:paraId="085D4C38" w14:textId="77777777" w:rsidR="00BC24A8" w:rsidRDefault="00000000">
      <w:pPr>
        <w:pStyle w:val="ListParagraph"/>
        <w:numPr>
          <w:ilvl w:val="0"/>
          <w:numId w:val="109"/>
        </w:numPr>
        <w:tabs>
          <w:tab w:val="left" w:pos="860"/>
          <w:tab w:val="left" w:pos="862"/>
        </w:tabs>
        <w:spacing w:before="1" w:line="256" w:lineRule="auto"/>
        <w:ind w:left="862" w:right="564"/>
        <w:jc w:val="both"/>
      </w:pPr>
      <w:r>
        <w:t>CSO engagement in policy development and capacity building on data access and analysis to ensure CSO members have adequate capacity.</w:t>
      </w:r>
    </w:p>
    <w:p w14:paraId="7E41AF18" w14:textId="77777777" w:rsidR="00BC24A8" w:rsidRDefault="00BC24A8">
      <w:pPr>
        <w:pStyle w:val="ListParagraph"/>
        <w:spacing w:line="256" w:lineRule="auto"/>
        <w:sectPr w:rsidR="00BC24A8">
          <w:pgSz w:w="11910" w:h="16840"/>
          <w:pgMar w:top="1360" w:right="850" w:bottom="1100" w:left="1275" w:header="0" w:footer="907" w:gutter="0"/>
          <w:cols w:space="720"/>
        </w:sectPr>
      </w:pPr>
    </w:p>
    <w:p w14:paraId="38E7391C" w14:textId="77777777" w:rsidR="00BC24A8" w:rsidRDefault="00000000">
      <w:pPr>
        <w:pStyle w:val="Heading5"/>
        <w:spacing w:before="29"/>
      </w:pPr>
      <w:r>
        <w:rPr>
          <w:color w:val="17365A"/>
        </w:rPr>
        <w:lastRenderedPageBreak/>
        <w:t>Lessons</w:t>
      </w:r>
      <w:r>
        <w:rPr>
          <w:color w:val="17365A"/>
          <w:spacing w:val="-6"/>
        </w:rPr>
        <w:t xml:space="preserve"> </w:t>
      </w:r>
      <w:r>
        <w:rPr>
          <w:color w:val="17365A"/>
          <w:spacing w:val="-2"/>
        </w:rPr>
        <w:t>learned</w:t>
      </w:r>
    </w:p>
    <w:p w14:paraId="1986B7B9"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538"/>
        <w:gridCol w:w="7741"/>
      </w:tblGrid>
      <w:tr w:rsidR="00BC24A8" w14:paraId="3D1B7F84" w14:textId="77777777">
        <w:trPr>
          <w:trHeight w:val="420"/>
        </w:trPr>
        <w:tc>
          <w:tcPr>
            <w:tcW w:w="1538" w:type="dxa"/>
            <w:shd w:val="clear" w:color="auto" w:fill="17365A"/>
          </w:tcPr>
          <w:p w14:paraId="6042F1CC" w14:textId="77777777" w:rsidR="00BC24A8" w:rsidRDefault="00000000">
            <w:pPr>
              <w:pStyle w:val="TableParagraph"/>
              <w:spacing w:before="88"/>
              <w:ind w:left="115"/>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theme</w:t>
            </w:r>
          </w:p>
        </w:tc>
        <w:tc>
          <w:tcPr>
            <w:tcW w:w="7741" w:type="dxa"/>
            <w:shd w:val="clear" w:color="auto" w:fill="17365A"/>
          </w:tcPr>
          <w:p w14:paraId="034304CB" w14:textId="77777777" w:rsidR="00BC24A8" w:rsidRDefault="00000000">
            <w:pPr>
              <w:pStyle w:val="TableParagraph"/>
              <w:spacing w:before="88"/>
              <w:ind w:left="106"/>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description</w:t>
            </w:r>
          </w:p>
        </w:tc>
      </w:tr>
      <w:tr w:rsidR="00BC24A8" w14:paraId="66E7299E" w14:textId="77777777">
        <w:trPr>
          <w:trHeight w:val="2135"/>
        </w:trPr>
        <w:tc>
          <w:tcPr>
            <w:tcW w:w="1538" w:type="dxa"/>
            <w:tcBorders>
              <w:bottom w:val="single" w:sz="4" w:space="0" w:color="BEBEBE"/>
            </w:tcBorders>
          </w:tcPr>
          <w:p w14:paraId="62F7C564" w14:textId="77777777" w:rsidR="00BC24A8" w:rsidRDefault="00000000">
            <w:pPr>
              <w:pStyle w:val="TableParagraph"/>
              <w:spacing w:before="102"/>
              <w:ind w:left="115" w:right="22"/>
              <w:rPr>
                <w:sz w:val="18"/>
              </w:rPr>
            </w:pPr>
            <w:r>
              <w:rPr>
                <w:sz w:val="18"/>
              </w:rPr>
              <w:t>Provision</w:t>
            </w:r>
            <w:r>
              <w:rPr>
                <w:spacing w:val="5"/>
                <w:sz w:val="18"/>
              </w:rPr>
              <w:t xml:space="preserve"> </w:t>
            </w:r>
            <w:r>
              <w:rPr>
                <w:sz w:val="18"/>
              </w:rPr>
              <w:t>and use of</w:t>
            </w:r>
            <w:r>
              <w:rPr>
                <w:spacing w:val="-2"/>
                <w:sz w:val="18"/>
              </w:rPr>
              <w:t xml:space="preserve"> </w:t>
            </w:r>
            <w:r>
              <w:rPr>
                <w:sz w:val="18"/>
              </w:rPr>
              <w:t>data</w:t>
            </w:r>
          </w:p>
        </w:tc>
        <w:tc>
          <w:tcPr>
            <w:tcW w:w="7741" w:type="dxa"/>
            <w:tcBorders>
              <w:bottom w:val="single" w:sz="4" w:space="0" w:color="BEBEBE"/>
            </w:tcBorders>
          </w:tcPr>
          <w:p w14:paraId="565C8763" w14:textId="77777777" w:rsidR="00BC24A8" w:rsidRDefault="00000000">
            <w:pPr>
              <w:pStyle w:val="TableParagraph"/>
              <w:spacing w:before="102"/>
              <w:ind w:left="105" w:right="106"/>
              <w:jc w:val="both"/>
              <w:rPr>
                <w:sz w:val="18"/>
              </w:rPr>
            </w:pPr>
            <w:r>
              <w:rPr>
                <w:sz w:val="18"/>
              </w:rPr>
              <w:t>Technical support in the implementation of the Data Cycle SOP—planning, collecting, checking, and disseminating—backed</w:t>
            </w:r>
            <w:r>
              <w:rPr>
                <w:spacing w:val="-7"/>
                <w:sz w:val="18"/>
              </w:rPr>
              <w:t xml:space="preserve"> </w:t>
            </w:r>
            <w:r>
              <w:rPr>
                <w:sz w:val="18"/>
              </w:rPr>
              <w:t>by</w:t>
            </w:r>
            <w:r>
              <w:rPr>
                <w:spacing w:val="-7"/>
                <w:sz w:val="18"/>
              </w:rPr>
              <w:t xml:space="preserve"> </w:t>
            </w:r>
            <w:r>
              <w:rPr>
                <w:sz w:val="18"/>
              </w:rPr>
              <w:t>the</w:t>
            </w:r>
            <w:r>
              <w:rPr>
                <w:spacing w:val="-7"/>
                <w:sz w:val="18"/>
              </w:rPr>
              <w:t xml:space="preserve"> </w:t>
            </w:r>
            <w:r>
              <w:rPr>
                <w:sz w:val="18"/>
              </w:rPr>
              <w:t>commitment</w:t>
            </w:r>
            <w:r>
              <w:rPr>
                <w:spacing w:val="-6"/>
                <w:sz w:val="18"/>
              </w:rPr>
              <w:t xml:space="preserve"> </w:t>
            </w:r>
            <w:r>
              <w:rPr>
                <w:sz w:val="18"/>
              </w:rPr>
              <w:t>of</w:t>
            </w:r>
            <w:r>
              <w:rPr>
                <w:spacing w:val="-8"/>
                <w:sz w:val="18"/>
              </w:rPr>
              <w:t xml:space="preserve"> </w:t>
            </w:r>
            <w:r>
              <w:rPr>
                <w:sz w:val="18"/>
              </w:rPr>
              <w:t>Bappeda,</w:t>
            </w:r>
            <w:r>
              <w:rPr>
                <w:spacing w:val="-6"/>
                <w:sz w:val="18"/>
              </w:rPr>
              <w:t xml:space="preserve"> </w:t>
            </w:r>
            <w:r>
              <w:rPr>
                <w:sz w:val="18"/>
              </w:rPr>
              <w:t>DKISP,</w:t>
            </w:r>
            <w:r>
              <w:rPr>
                <w:spacing w:val="-8"/>
                <w:sz w:val="18"/>
              </w:rPr>
              <w:t xml:space="preserve"> </w:t>
            </w:r>
            <w:r>
              <w:rPr>
                <w:sz w:val="18"/>
              </w:rPr>
              <w:t>and</w:t>
            </w:r>
            <w:r>
              <w:rPr>
                <w:spacing w:val="-7"/>
                <w:sz w:val="18"/>
              </w:rPr>
              <w:t xml:space="preserve"> </w:t>
            </w:r>
            <w:r>
              <w:rPr>
                <w:sz w:val="18"/>
              </w:rPr>
              <w:t>the</w:t>
            </w:r>
            <w:r>
              <w:rPr>
                <w:spacing w:val="-7"/>
                <w:sz w:val="18"/>
              </w:rPr>
              <w:t xml:space="preserve"> </w:t>
            </w:r>
            <w:r>
              <w:rPr>
                <w:sz w:val="18"/>
              </w:rPr>
              <w:t>Data</w:t>
            </w:r>
            <w:r>
              <w:rPr>
                <w:spacing w:val="-8"/>
                <w:sz w:val="18"/>
              </w:rPr>
              <w:t xml:space="preserve"> </w:t>
            </w:r>
            <w:r>
              <w:rPr>
                <w:sz w:val="18"/>
              </w:rPr>
              <w:t>Supervisor</w:t>
            </w:r>
            <w:r>
              <w:rPr>
                <w:spacing w:val="-7"/>
                <w:sz w:val="18"/>
              </w:rPr>
              <w:t xml:space="preserve"> </w:t>
            </w:r>
            <w:r>
              <w:rPr>
                <w:sz w:val="18"/>
              </w:rPr>
              <w:t>(BPS)</w:t>
            </w:r>
            <w:r>
              <w:rPr>
                <w:spacing w:val="-6"/>
                <w:sz w:val="18"/>
              </w:rPr>
              <w:t xml:space="preserve"> </w:t>
            </w:r>
            <w:r>
              <w:rPr>
                <w:sz w:val="18"/>
              </w:rPr>
              <w:t>succeeded in improving data governance. Verified data not only improves quality but also encourages practical utilisation. For the first time, this data was analysed and used in the development of policy recommendations through Policy Briefs by provincial agencies responsible for MSS. This proves that accountable and quality data can produce relevant and evidence-based policies for decision-making.</w:t>
            </w:r>
          </w:p>
          <w:p w14:paraId="36C2B6AF" w14:textId="77777777" w:rsidR="00BC24A8" w:rsidRDefault="00000000">
            <w:pPr>
              <w:pStyle w:val="TableParagraph"/>
              <w:ind w:left="106" w:right="109"/>
              <w:jc w:val="both"/>
              <w:rPr>
                <w:sz w:val="18"/>
              </w:rPr>
            </w:pPr>
            <w:r>
              <w:rPr>
                <w:sz w:val="18"/>
              </w:rPr>
              <w:t>This</w:t>
            </w:r>
            <w:r>
              <w:rPr>
                <w:spacing w:val="-6"/>
                <w:sz w:val="18"/>
              </w:rPr>
              <w:t xml:space="preserve"> </w:t>
            </w:r>
            <w:r>
              <w:rPr>
                <w:sz w:val="18"/>
              </w:rPr>
              <w:t>approach</w:t>
            </w:r>
            <w:r>
              <w:rPr>
                <w:spacing w:val="-6"/>
                <w:sz w:val="18"/>
              </w:rPr>
              <w:t xml:space="preserve"> </w:t>
            </w:r>
            <w:r>
              <w:rPr>
                <w:sz w:val="18"/>
              </w:rPr>
              <w:t>can</w:t>
            </w:r>
            <w:r>
              <w:rPr>
                <w:spacing w:val="-6"/>
                <w:sz w:val="18"/>
              </w:rPr>
              <w:t xml:space="preserve"> </w:t>
            </w:r>
            <w:r>
              <w:rPr>
                <w:sz w:val="18"/>
              </w:rPr>
              <w:t>be</w:t>
            </w:r>
            <w:r>
              <w:rPr>
                <w:spacing w:val="-4"/>
                <w:sz w:val="18"/>
              </w:rPr>
              <w:t xml:space="preserve"> </w:t>
            </w:r>
            <w:r>
              <w:rPr>
                <w:sz w:val="18"/>
              </w:rPr>
              <w:t>replicated</w:t>
            </w:r>
            <w:r>
              <w:rPr>
                <w:spacing w:val="-6"/>
                <w:sz w:val="18"/>
              </w:rPr>
              <w:t xml:space="preserve"> </w:t>
            </w:r>
            <w:r>
              <w:rPr>
                <w:sz w:val="18"/>
              </w:rPr>
              <w:t>with</w:t>
            </w:r>
            <w:r>
              <w:rPr>
                <w:spacing w:val="-6"/>
                <w:sz w:val="18"/>
              </w:rPr>
              <w:t xml:space="preserve"> </w:t>
            </w:r>
            <w:r>
              <w:rPr>
                <w:sz w:val="18"/>
              </w:rPr>
              <w:t>key</w:t>
            </w:r>
            <w:r>
              <w:rPr>
                <w:spacing w:val="-6"/>
                <w:sz w:val="18"/>
              </w:rPr>
              <w:t xml:space="preserve"> </w:t>
            </w:r>
            <w:r>
              <w:rPr>
                <w:sz w:val="18"/>
              </w:rPr>
              <w:t>prerequisites:</w:t>
            </w:r>
            <w:r>
              <w:rPr>
                <w:spacing w:val="-5"/>
                <w:sz w:val="18"/>
              </w:rPr>
              <w:t xml:space="preserve"> </w:t>
            </w:r>
            <w:r>
              <w:rPr>
                <w:sz w:val="18"/>
              </w:rPr>
              <w:t>cross-agency</w:t>
            </w:r>
            <w:r>
              <w:rPr>
                <w:spacing w:val="-6"/>
                <w:sz w:val="18"/>
              </w:rPr>
              <w:t xml:space="preserve"> </w:t>
            </w:r>
            <w:r>
              <w:rPr>
                <w:sz w:val="18"/>
              </w:rPr>
              <w:t>commitment</w:t>
            </w:r>
            <w:r>
              <w:rPr>
                <w:spacing w:val="-5"/>
                <w:sz w:val="18"/>
              </w:rPr>
              <w:t xml:space="preserve"> </w:t>
            </w:r>
            <w:r>
              <w:rPr>
                <w:sz w:val="18"/>
              </w:rPr>
              <w:t>to</w:t>
            </w:r>
            <w:r>
              <w:rPr>
                <w:spacing w:val="-6"/>
                <w:sz w:val="18"/>
              </w:rPr>
              <w:t xml:space="preserve"> </w:t>
            </w:r>
            <w:r>
              <w:rPr>
                <w:sz w:val="18"/>
              </w:rPr>
              <w:t>data</w:t>
            </w:r>
            <w:r>
              <w:rPr>
                <w:spacing w:val="-4"/>
                <w:sz w:val="18"/>
              </w:rPr>
              <w:t xml:space="preserve"> </w:t>
            </w:r>
            <w:r>
              <w:rPr>
                <w:sz w:val="18"/>
              </w:rPr>
              <w:t>management, consistent</w:t>
            </w:r>
            <w:r>
              <w:rPr>
                <w:spacing w:val="-4"/>
                <w:sz w:val="18"/>
              </w:rPr>
              <w:t xml:space="preserve"> </w:t>
            </w:r>
            <w:r>
              <w:rPr>
                <w:sz w:val="18"/>
              </w:rPr>
              <w:t>implementation</w:t>
            </w:r>
            <w:r>
              <w:rPr>
                <w:spacing w:val="-5"/>
                <w:sz w:val="18"/>
              </w:rPr>
              <w:t xml:space="preserve"> </w:t>
            </w:r>
            <w:r>
              <w:rPr>
                <w:sz w:val="18"/>
              </w:rPr>
              <w:t>of</w:t>
            </w:r>
            <w:r>
              <w:rPr>
                <w:spacing w:val="-6"/>
                <w:sz w:val="18"/>
              </w:rPr>
              <w:t xml:space="preserve"> </w:t>
            </w:r>
            <w:r>
              <w:rPr>
                <w:sz w:val="18"/>
              </w:rPr>
              <w:t>data</w:t>
            </w:r>
            <w:r>
              <w:rPr>
                <w:spacing w:val="-6"/>
                <w:sz w:val="18"/>
              </w:rPr>
              <w:t xml:space="preserve"> </w:t>
            </w:r>
            <w:r>
              <w:rPr>
                <w:sz w:val="18"/>
              </w:rPr>
              <w:t>cycle</w:t>
            </w:r>
            <w:r>
              <w:rPr>
                <w:spacing w:val="-5"/>
                <w:sz w:val="18"/>
              </w:rPr>
              <w:t xml:space="preserve"> </w:t>
            </w:r>
            <w:r>
              <w:rPr>
                <w:sz w:val="18"/>
              </w:rPr>
              <w:t>SOPs,</w:t>
            </w:r>
            <w:r>
              <w:rPr>
                <w:spacing w:val="-6"/>
                <w:sz w:val="18"/>
              </w:rPr>
              <w:t xml:space="preserve"> </w:t>
            </w:r>
            <w:r>
              <w:rPr>
                <w:sz w:val="18"/>
              </w:rPr>
              <w:t>adequate</w:t>
            </w:r>
            <w:r>
              <w:rPr>
                <w:spacing w:val="-5"/>
                <w:sz w:val="18"/>
              </w:rPr>
              <w:t xml:space="preserve"> </w:t>
            </w:r>
            <w:r>
              <w:rPr>
                <w:sz w:val="18"/>
              </w:rPr>
              <w:t>technical</w:t>
            </w:r>
            <w:r>
              <w:rPr>
                <w:spacing w:val="-4"/>
                <w:sz w:val="18"/>
              </w:rPr>
              <w:t xml:space="preserve"> </w:t>
            </w:r>
            <w:r>
              <w:rPr>
                <w:sz w:val="18"/>
              </w:rPr>
              <w:t>capacity,</w:t>
            </w:r>
            <w:r>
              <w:rPr>
                <w:spacing w:val="-6"/>
                <w:sz w:val="18"/>
              </w:rPr>
              <w:t xml:space="preserve"> </w:t>
            </w:r>
            <w:r>
              <w:rPr>
                <w:sz w:val="18"/>
              </w:rPr>
              <w:t>open</w:t>
            </w:r>
            <w:r>
              <w:rPr>
                <w:spacing w:val="-5"/>
                <w:sz w:val="18"/>
              </w:rPr>
              <w:t xml:space="preserve"> </w:t>
            </w:r>
            <w:r>
              <w:rPr>
                <w:sz w:val="18"/>
              </w:rPr>
              <w:t>access</w:t>
            </w:r>
            <w:r>
              <w:rPr>
                <w:spacing w:val="-5"/>
                <w:sz w:val="18"/>
              </w:rPr>
              <w:t xml:space="preserve"> </w:t>
            </w:r>
            <w:r>
              <w:rPr>
                <w:sz w:val="18"/>
              </w:rPr>
              <w:t>to</w:t>
            </w:r>
            <w:r>
              <w:rPr>
                <w:spacing w:val="-5"/>
                <w:sz w:val="18"/>
              </w:rPr>
              <w:t xml:space="preserve"> </w:t>
            </w:r>
            <w:r>
              <w:rPr>
                <w:sz w:val="18"/>
              </w:rPr>
              <w:t>verified</w:t>
            </w:r>
            <w:r>
              <w:rPr>
                <w:spacing w:val="-2"/>
                <w:sz w:val="18"/>
              </w:rPr>
              <w:t xml:space="preserve"> </w:t>
            </w:r>
            <w:r>
              <w:rPr>
                <w:sz w:val="18"/>
              </w:rPr>
              <w:t>data, and provincial agencies' involvement in the analysis and policy formulation process.</w:t>
            </w:r>
          </w:p>
        </w:tc>
      </w:tr>
      <w:tr w:rsidR="00BC24A8" w14:paraId="002F5DDF" w14:textId="77777777">
        <w:trPr>
          <w:trHeight w:val="1871"/>
        </w:trPr>
        <w:tc>
          <w:tcPr>
            <w:tcW w:w="1538" w:type="dxa"/>
            <w:tcBorders>
              <w:top w:val="single" w:sz="4" w:space="0" w:color="BEBEBE"/>
              <w:bottom w:val="single" w:sz="4" w:space="0" w:color="BEBEBE"/>
            </w:tcBorders>
          </w:tcPr>
          <w:p w14:paraId="4D348EA1" w14:textId="77777777" w:rsidR="00BC24A8" w:rsidRDefault="00000000">
            <w:pPr>
              <w:pStyle w:val="TableParagraph"/>
              <w:spacing w:before="56"/>
              <w:ind w:left="115"/>
              <w:rPr>
                <w:sz w:val="18"/>
              </w:rPr>
            </w:pPr>
            <w:r>
              <w:rPr>
                <w:spacing w:val="-5"/>
                <w:sz w:val="18"/>
              </w:rPr>
              <w:t>MSS</w:t>
            </w:r>
          </w:p>
          <w:p w14:paraId="74509678" w14:textId="77777777" w:rsidR="00BC24A8" w:rsidRDefault="00000000">
            <w:pPr>
              <w:pStyle w:val="TableParagraph"/>
              <w:spacing w:before="1"/>
              <w:ind w:left="115"/>
              <w:rPr>
                <w:sz w:val="18"/>
              </w:rPr>
            </w:pPr>
            <w:r>
              <w:rPr>
                <w:spacing w:val="-2"/>
                <w:sz w:val="18"/>
              </w:rPr>
              <w:t>implementation</w:t>
            </w:r>
            <w:r>
              <w:rPr>
                <w:sz w:val="18"/>
              </w:rPr>
              <w:t xml:space="preserve"> </w:t>
            </w:r>
            <w:r>
              <w:rPr>
                <w:spacing w:val="-2"/>
                <w:sz w:val="18"/>
              </w:rPr>
              <w:t>(planning,</w:t>
            </w:r>
            <w:r>
              <w:rPr>
                <w:sz w:val="18"/>
              </w:rPr>
              <w:t xml:space="preserve"> achievement,</w:t>
            </w:r>
            <w:r>
              <w:rPr>
                <w:spacing w:val="-2"/>
                <w:sz w:val="18"/>
              </w:rPr>
              <w:t xml:space="preserve"> </w:t>
            </w:r>
            <w:r>
              <w:rPr>
                <w:sz w:val="18"/>
              </w:rPr>
              <w:t xml:space="preserve">and </w:t>
            </w:r>
            <w:r>
              <w:rPr>
                <w:spacing w:val="-2"/>
                <w:sz w:val="18"/>
              </w:rPr>
              <w:t>reporting)</w:t>
            </w:r>
          </w:p>
        </w:tc>
        <w:tc>
          <w:tcPr>
            <w:tcW w:w="7741" w:type="dxa"/>
            <w:tcBorders>
              <w:top w:val="single" w:sz="4" w:space="0" w:color="BEBEBE"/>
              <w:bottom w:val="single" w:sz="4" w:space="0" w:color="BEBEBE"/>
            </w:tcBorders>
          </w:tcPr>
          <w:p w14:paraId="52A96D95" w14:textId="77777777" w:rsidR="00BC24A8" w:rsidRDefault="00000000">
            <w:pPr>
              <w:pStyle w:val="TableParagraph"/>
              <w:spacing w:before="56"/>
              <w:ind w:left="106" w:right="105"/>
              <w:jc w:val="both"/>
              <w:rPr>
                <w:sz w:val="18"/>
              </w:rPr>
            </w:pPr>
            <w:r>
              <w:rPr>
                <w:sz w:val="18"/>
              </w:rPr>
              <w:t>Progress in implementing MSS in</w:t>
            </w:r>
            <w:r>
              <w:rPr>
                <w:spacing w:val="40"/>
                <w:sz w:val="18"/>
              </w:rPr>
              <w:t xml:space="preserve"> </w:t>
            </w:r>
            <w:r>
              <w:rPr>
                <w:sz w:val="18"/>
              </w:rPr>
              <w:t>Kalimantan Utara by 2024 was recognised through the Ministry of Home Affairs’ MSS Award 2025, which ranked the province 4th nationally and best in the Kalimantan Utara region. This achievement was driven by the key aspect of the Tapem Bureau’s commitment to conducting a</w:t>
            </w:r>
            <w:r>
              <w:rPr>
                <w:spacing w:val="-1"/>
                <w:sz w:val="18"/>
              </w:rPr>
              <w:t xml:space="preserve"> </w:t>
            </w:r>
            <w:r>
              <w:rPr>
                <w:sz w:val="18"/>
              </w:rPr>
              <w:t>rigorous,</w:t>
            </w:r>
            <w:r>
              <w:rPr>
                <w:spacing w:val="-1"/>
                <w:sz w:val="18"/>
              </w:rPr>
              <w:t xml:space="preserve"> </w:t>
            </w:r>
            <w:r>
              <w:rPr>
                <w:sz w:val="18"/>
              </w:rPr>
              <w:t>timely,</w:t>
            </w:r>
            <w:r>
              <w:rPr>
                <w:spacing w:val="-1"/>
                <w:sz w:val="18"/>
              </w:rPr>
              <w:t xml:space="preserve"> </w:t>
            </w:r>
            <w:r>
              <w:rPr>
                <w:sz w:val="18"/>
              </w:rPr>
              <w:t>and compliant quarterly monitoring</w:t>
            </w:r>
            <w:r>
              <w:rPr>
                <w:spacing w:val="-3"/>
                <w:sz w:val="18"/>
              </w:rPr>
              <w:t xml:space="preserve"> </w:t>
            </w:r>
            <w:r>
              <w:rPr>
                <w:sz w:val="18"/>
              </w:rPr>
              <w:t>and evaluation cycle at the provincial and district/city levels.</w:t>
            </w:r>
          </w:p>
          <w:p w14:paraId="48DDCDDC" w14:textId="77777777" w:rsidR="00BC24A8" w:rsidRDefault="00000000">
            <w:pPr>
              <w:pStyle w:val="TableParagraph"/>
              <w:spacing w:before="1"/>
              <w:ind w:left="106" w:right="108"/>
              <w:jc w:val="both"/>
              <w:rPr>
                <w:sz w:val="18"/>
              </w:rPr>
            </w:pPr>
            <w:r>
              <w:rPr>
                <w:sz w:val="18"/>
              </w:rPr>
              <w:t>While this approach proved effective in 2024, lessons learned indicate the need for increased collaboration across agencies—Bappeda, BKAD, and Inspectorate—to strengthen the quality of MSS implementation, through better use of data and more targeted planning and budgeting.</w:t>
            </w:r>
          </w:p>
        </w:tc>
      </w:tr>
      <w:tr w:rsidR="00BC24A8" w14:paraId="6C433B28" w14:textId="77777777">
        <w:trPr>
          <w:trHeight w:val="2092"/>
        </w:trPr>
        <w:tc>
          <w:tcPr>
            <w:tcW w:w="1538" w:type="dxa"/>
            <w:tcBorders>
              <w:top w:val="single" w:sz="4" w:space="0" w:color="BEBEBE"/>
              <w:bottom w:val="single" w:sz="4" w:space="0" w:color="BEBEBE"/>
            </w:tcBorders>
          </w:tcPr>
          <w:p w14:paraId="3430EB89" w14:textId="77777777" w:rsidR="00BC24A8" w:rsidRDefault="00000000">
            <w:pPr>
              <w:pStyle w:val="TableParagraph"/>
              <w:spacing w:before="59"/>
              <w:ind w:left="115"/>
              <w:rPr>
                <w:sz w:val="18"/>
              </w:rPr>
            </w:pPr>
            <w:r>
              <w:rPr>
                <w:sz w:val="18"/>
              </w:rPr>
              <w:t>Increased</w:t>
            </w:r>
            <w:r>
              <w:rPr>
                <w:spacing w:val="-4"/>
                <w:sz w:val="18"/>
              </w:rPr>
              <w:t xml:space="preserve"> </w:t>
            </w:r>
            <w:r>
              <w:rPr>
                <w:spacing w:val="-5"/>
                <w:sz w:val="18"/>
              </w:rPr>
              <w:t>PAD</w:t>
            </w:r>
          </w:p>
        </w:tc>
        <w:tc>
          <w:tcPr>
            <w:tcW w:w="7741" w:type="dxa"/>
            <w:tcBorders>
              <w:top w:val="single" w:sz="4" w:space="0" w:color="BEBEBE"/>
              <w:bottom w:val="single" w:sz="4" w:space="0" w:color="BEBEBE"/>
            </w:tcBorders>
          </w:tcPr>
          <w:p w14:paraId="53C8B119" w14:textId="77777777" w:rsidR="00BC24A8" w:rsidRDefault="00000000">
            <w:pPr>
              <w:pStyle w:val="TableParagraph"/>
              <w:spacing w:before="59"/>
              <w:ind w:left="106" w:right="106"/>
              <w:jc w:val="both"/>
              <w:rPr>
                <w:sz w:val="18"/>
              </w:rPr>
            </w:pPr>
            <w:r>
              <w:rPr>
                <w:sz w:val="18"/>
              </w:rPr>
              <w:t>The Kalimantan Utara government’s swift commitment to follow up on the study of the unexplored potential of watercraft tax, through the issuance of the Governor Regulation (Pergub), emphasises the importance of strong policy support to open new sources of revenue.</w:t>
            </w:r>
          </w:p>
          <w:p w14:paraId="553EFB80" w14:textId="77777777" w:rsidR="00BC24A8" w:rsidRDefault="00000000">
            <w:pPr>
              <w:pStyle w:val="TableParagraph"/>
              <w:ind w:left="106" w:right="106"/>
              <w:jc w:val="both"/>
              <w:rPr>
                <w:sz w:val="18"/>
              </w:rPr>
            </w:pPr>
            <w:r>
              <w:rPr>
                <w:sz w:val="18"/>
              </w:rPr>
              <w:t>Lessons learned from this experience show that the utilisation of untapped regional revenue potential requires a comprehensive study process and strong regulatory support as a basis for implementation. This</w:t>
            </w:r>
            <w:r>
              <w:rPr>
                <w:spacing w:val="-8"/>
                <w:sz w:val="18"/>
              </w:rPr>
              <w:t xml:space="preserve"> </w:t>
            </w:r>
            <w:r>
              <w:rPr>
                <w:sz w:val="18"/>
              </w:rPr>
              <w:t>approach</w:t>
            </w:r>
            <w:r>
              <w:rPr>
                <w:spacing w:val="-8"/>
                <w:sz w:val="18"/>
              </w:rPr>
              <w:t xml:space="preserve"> </w:t>
            </w:r>
            <w:r>
              <w:rPr>
                <w:sz w:val="18"/>
              </w:rPr>
              <w:t>can</w:t>
            </w:r>
            <w:r>
              <w:rPr>
                <w:spacing w:val="-8"/>
                <w:sz w:val="18"/>
              </w:rPr>
              <w:t xml:space="preserve"> </w:t>
            </w:r>
            <w:r>
              <w:rPr>
                <w:sz w:val="18"/>
              </w:rPr>
              <w:t>be</w:t>
            </w:r>
            <w:r>
              <w:rPr>
                <w:spacing w:val="-8"/>
                <w:sz w:val="18"/>
              </w:rPr>
              <w:t xml:space="preserve"> </w:t>
            </w:r>
            <w:r>
              <w:rPr>
                <w:sz w:val="18"/>
              </w:rPr>
              <w:t>replicated</w:t>
            </w:r>
            <w:r>
              <w:rPr>
                <w:spacing w:val="-8"/>
                <w:sz w:val="18"/>
              </w:rPr>
              <w:t xml:space="preserve"> </w:t>
            </w:r>
            <w:r>
              <w:rPr>
                <w:sz w:val="18"/>
              </w:rPr>
              <w:t>in</w:t>
            </w:r>
            <w:r>
              <w:rPr>
                <w:spacing w:val="-10"/>
                <w:sz w:val="18"/>
              </w:rPr>
              <w:t xml:space="preserve"> </w:t>
            </w:r>
            <w:r>
              <w:rPr>
                <w:sz w:val="18"/>
              </w:rPr>
              <w:t>other</w:t>
            </w:r>
            <w:r>
              <w:rPr>
                <w:spacing w:val="-8"/>
                <w:sz w:val="18"/>
              </w:rPr>
              <w:t xml:space="preserve"> </w:t>
            </w:r>
            <w:r>
              <w:rPr>
                <w:sz w:val="18"/>
              </w:rPr>
              <w:t>regions</w:t>
            </w:r>
            <w:r>
              <w:rPr>
                <w:spacing w:val="-8"/>
                <w:sz w:val="18"/>
              </w:rPr>
              <w:t xml:space="preserve"> </w:t>
            </w:r>
            <w:r>
              <w:rPr>
                <w:sz w:val="18"/>
              </w:rPr>
              <w:t>with</w:t>
            </w:r>
            <w:r>
              <w:rPr>
                <w:spacing w:val="-8"/>
                <w:sz w:val="18"/>
              </w:rPr>
              <w:t xml:space="preserve"> </w:t>
            </w:r>
            <w:r>
              <w:rPr>
                <w:sz w:val="18"/>
              </w:rPr>
              <w:t>the</w:t>
            </w:r>
            <w:r>
              <w:rPr>
                <w:spacing w:val="-10"/>
                <w:sz w:val="18"/>
              </w:rPr>
              <w:t xml:space="preserve"> </w:t>
            </w:r>
            <w:r>
              <w:rPr>
                <w:sz w:val="18"/>
              </w:rPr>
              <w:t>main</w:t>
            </w:r>
            <w:r>
              <w:rPr>
                <w:spacing w:val="-8"/>
                <w:sz w:val="18"/>
              </w:rPr>
              <w:t xml:space="preserve"> </w:t>
            </w:r>
            <w:r>
              <w:rPr>
                <w:sz w:val="18"/>
              </w:rPr>
              <w:t>prerequisites</w:t>
            </w:r>
            <w:r>
              <w:rPr>
                <w:spacing w:val="-8"/>
                <w:sz w:val="18"/>
              </w:rPr>
              <w:t xml:space="preserve"> </w:t>
            </w:r>
            <w:r>
              <w:rPr>
                <w:sz w:val="18"/>
              </w:rPr>
              <w:t>of</w:t>
            </w:r>
            <w:r>
              <w:rPr>
                <w:spacing w:val="-9"/>
                <w:sz w:val="18"/>
              </w:rPr>
              <w:t xml:space="preserve"> </w:t>
            </w:r>
            <w:r>
              <w:rPr>
                <w:sz w:val="18"/>
              </w:rPr>
              <w:t>seriousness</w:t>
            </w:r>
            <w:r>
              <w:rPr>
                <w:spacing w:val="-8"/>
                <w:sz w:val="18"/>
              </w:rPr>
              <w:t xml:space="preserve"> </w:t>
            </w:r>
            <w:r>
              <w:rPr>
                <w:sz w:val="18"/>
              </w:rPr>
              <w:t>in</w:t>
            </w:r>
            <w:r>
              <w:rPr>
                <w:spacing w:val="-10"/>
                <w:sz w:val="18"/>
              </w:rPr>
              <w:t xml:space="preserve"> </w:t>
            </w:r>
            <w:r>
              <w:rPr>
                <w:sz w:val="18"/>
              </w:rPr>
              <w:t>conducting an</w:t>
            </w:r>
            <w:r>
              <w:rPr>
                <w:spacing w:val="-3"/>
                <w:sz w:val="18"/>
              </w:rPr>
              <w:t xml:space="preserve"> </w:t>
            </w:r>
            <w:r>
              <w:rPr>
                <w:sz w:val="18"/>
              </w:rPr>
              <w:t>in-depth</w:t>
            </w:r>
            <w:r>
              <w:rPr>
                <w:spacing w:val="-3"/>
                <w:sz w:val="18"/>
              </w:rPr>
              <w:t xml:space="preserve"> </w:t>
            </w:r>
            <w:r>
              <w:rPr>
                <w:sz w:val="18"/>
              </w:rPr>
              <w:t>study</w:t>
            </w:r>
            <w:r>
              <w:rPr>
                <w:spacing w:val="-3"/>
                <w:sz w:val="18"/>
              </w:rPr>
              <w:t xml:space="preserve"> </w:t>
            </w:r>
            <w:r>
              <w:rPr>
                <w:sz w:val="18"/>
              </w:rPr>
              <w:t>of</w:t>
            </w:r>
            <w:r>
              <w:rPr>
                <w:spacing w:val="-4"/>
                <w:sz w:val="18"/>
              </w:rPr>
              <w:t xml:space="preserve"> </w:t>
            </w:r>
            <w:r>
              <w:rPr>
                <w:sz w:val="18"/>
              </w:rPr>
              <w:t>revenue</w:t>
            </w:r>
            <w:r>
              <w:rPr>
                <w:spacing w:val="-6"/>
                <w:sz w:val="18"/>
              </w:rPr>
              <w:t xml:space="preserve"> </w:t>
            </w:r>
            <w:r>
              <w:rPr>
                <w:sz w:val="18"/>
              </w:rPr>
              <w:t>potential,</w:t>
            </w:r>
            <w:r>
              <w:rPr>
                <w:spacing w:val="-4"/>
                <w:sz w:val="18"/>
              </w:rPr>
              <w:t xml:space="preserve"> </w:t>
            </w:r>
            <w:r>
              <w:rPr>
                <w:sz w:val="18"/>
              </w:rPr>
              <w:t>adequate</w:t>
            </w:r>
            <w:r>
              <w:rPr>
                <w:spacing w:val="-3"/>
                <w:sz w:val="18"/>
              </w:rPr>
              <w:t xml:space="preserve"> </w:t>
            </w:r>
            <w:r>
              <w:rPr>
                <w:sz w:val="18"/>
              </w:rPr>
              <w:t>policy</w:t>
            </w:r>
            <w:r>
              <w:rPr>
                <w:spacing w:val="-3"/>
                <w:sz w:val="18"/>
              </w:rPr>
              <w:t xml:space="preserve"> </w:t>
            </w:r>
            <w:r>
              <w:rPr>
                <w:sz w:val="18"/>
              </w:rPr>
              <w:t>and</w:t>
            </w:r>
            <w:r>
              <w:rPr>
                <w:spacing w:val="-6"/>
                <w:sz w:val="18"/>
              </w:rPr>
              <w:t xml:space="preserve"> </w:t>
            </w:r>
            <w:r>
              <w:rPr>
                <w:sz w:val="18"/>
              </w:rPr>
              <w:t>regulatory</w:t>
            </w:r>
            <w:r>
              <w:rPr>
                <w:spacing w:val="-3"/>
                <w:sz w:val="18"/>
              </w:rPr>
              <w:t xml:space="preserve"> </w:t>
            </w:r>
            <w:r>
              <w:rPr>
                <w:sz w:val="18"/>
              </w:rPr>
              <w:t>support,</w:t>
            </w:r>
            <w:r>
              <w:rPr>
                <w:spacing w:val="-4"/>
                <w:sz w:val="18"/>
              </w:rPr>
              <w:t xml:space="preserve"> </w:t>
            </w:r>
            <w:r>
              <w:rPr>
                <w:sz w:val="18"/>
              </w:rPr>
              <w:t>and</w:t>
            </w:r>
            <w:r>
              <w:rPr>
                <w:spacing w:val="-6"/>
                <w:sz w:val="18"/>
              </w:rPr>
              <w:t xml:space="preserve"> </w:t>
            </w:r>
            <w:r>
              <w:rPr>
                <w:sz w:val="18"/>
              </w:rPr>
              <w:t>the</w:t>
            </w:r>
            <w:r>
              <w:rPr>
                <w:spacing w:val="-3"/>
                <w:sz w:val="18"/>
              </w:rPr>
              <w:t xml:space="preserve"> </w:t>
            </w:r>
            <w:r>
              <w:rPr>
                <w:sz w:val="18"/>
              </w:rPr>
              <w:t>commitment</w:t>
            </w:r>
            <w:r>
              <w:rPr>
                <w:spacing w:val="-2"/>
                <w:sz w:val="18"/>
              </w:rPr>
              <w:t xml:space="preserve"> </w:t>
            </w:r>
            <w:r>
              <w:rPr>
                <w:sz w:val="18"/>
              </w:rPr>
              <w:t xml:space="preserve">of local governments to follow up on the results of the study in the form of regulations and consistent </w:t>
            </w:r>
            <w:r>
              <w:rPr>
                <w:spacing w:val="-2"/>
                <w:sz w:val="18"/>
              </w:rPr>
              <w:t>implementation.</w:t>
            </w:r>
          </w:p>
        </w:tc>
      </w:tr>
      <w:tr w:rsidR="00BC24A8" w14:paraId="0D29CF70" w14:textId="77777777">
        <w:trPr>
          <w:trHeight w:val="1871"/>
        </w:trPr>
        <w:tc>
          <w:tcPr>
            <w:tcW w:w="1538" w:type="dxa"/>
            <w:tcBorders>
              <w:top w:val="single" w:sz="4" w:space="0" w:color="BEBEBE"/>
              <w:bottom w:val="single" w:sz="4" w:space="0" w:color="BEBEBE"/>
            </w:tcBorders>
          </w:tcPr>
          <w:p w14:paraId="6A416FAE" w14:textId="77777777" w:rsidR="00BC24A8" w:rsidRDefault="00000000">
            <w:pPr>
              <w:pStyle w:val="TableParagraph"/>
              <w:tabs>
                <w:tab w:val="left" w:pos="1284"/>
              </w:tabs>
              <w:spacing w:before="56"/>
              <w:ind w:left="115" w:right="104"/>
              <w:rPr>
                <w:sz w:val="18"/>
              </w:rPr>
            </w:pPr>
            <w:r>
              <w:rPr>
                <w:spacing w:val="-2"/>
                <w:sz w:val="18"/>
              </w:rPr>
              <w:t>Participation</w:t>
            </w:r>
            <w:r>
              <w:rPr>
                <w:sz w:val="18"/>
              </w:rPr>
              <w:tab/>
            </w:r>
            <w:r>
              <w:rPr>
                <w:spacing w:val="-6"/>
                <w:sz w:val="18"/>
              </w:rPr>
              <w:t>of</w:t>
            </w:r>
            <w:r>
              <w:rPr>
                <w:sz w:val="18"/>
              </w:rPr>
              <w:t xml:space="preserve"> vulnerable </w:t>
            </w:r>
            <w:r>
              <w:rPr>
                <w:spacing w:val="-2"/>
                <w:sz w:val="18"/>
              </w:rPr>
              <w:t>groups</w:t>
            </w:r>
          </w:p>
        </w:tc>
        <w:tc>
          <w:tcPr>
            <w:tcW w:w="7741" w:type="dxa"/>
            <w:tcBorders>
              <w:top w:val="single" w:sz="4" w:space="0" w:color="BEBEBE"/>
              <w:bottom w:val="single" w:sz="4" w:space="0" w:color="BEBEBE"/>
            </w:tcBorders>
          </w:tcPr>
          <w:p w14:paraId="6B6653AE" w14:textId="77777777" w:rsidR="00BC24A8" w:rsidRDefault="00000000">
            <w:pPr>
              <w:pStyle w:val="TableParagraph"/>
              <w:spacing w:before="56"/>
              <w:ind w:left="106" w:right="106"/>
              <w:jc w:val="both"/>
              <w:rPr>
                <w:sz w:val="18"/>
              </w:rPr>
            </w:pPr>
            <w:r>
              <w:rPr>
                <w:sz w:val="18"/>
              </w:rPr>
              <w:t>The</w:t>
            </w:r>
            <w:r>
              <w:rPr>
                <w:spacing w:val="-11"/>
                <w:sz w:val="18"/>
              </w:rPr>
              <w:t xml:space="preserve"> </w:t>
            </w:r>
            <w:r>
              <w:rPr>
                <w:sz w:val="18"/>
              </w:rPr>
              <w:t>implementation</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2024</w:t>
            </w:r>
            <w:r>
              <w:rPr>
                <w:spacing w:val="-10"/>
                <w:sz w:val="18"/>
              </w:rPr>
              <w:t xml:space="preserve"> </w:t>
            </w:r>
            <w:r>
              <w:rPr>
                <w:sz w:val="18"/>
              </w:rPr>
              <w:t>Inclusive</w:t>
            </w:r>
            <w:r>
              <w:rPr>
                <w:spacing w:val="-11"/>
                <w:sz w:val="18"/>
              </w:rPr>
              <w:t xml:space="preserve"> </w:t>
            </w:r>
            <w:r>
              <w:rPr>
                <w:sz w:val="18"/>
              </w:rPr>
              <w:t>Musrenbang</w:t>
            </w:r>
            <w:r>
              <w:rPr>
                <w:spacing w:val="-10"/>
                <w:sz w:val="18"/>
              </w:rPr>
              <w:t xml:space="preserve"> </w:t>
            </w:r>
            <w:r>
              <w:rPr>
                <w:sz w:val="18"/>
              </w:rPr>
              <w:t>Pilot</w:t>
            </w:r>
            <w:r>
              <w:rPr>
                <w:spacing w:val="-10"/>
                <w:sz w:val="18"/>
              </w:rPr>
              <w:t xml:space="preserve"> </w:t>
            </w:r>
            <w:r>
              <w:rPr>
                <w:sz w:val="18"/>
              </w:rPr>
              <w:t>and</w:t>
            </w:r>
            <w:r>
              <w:rPr>
                <w:spacing w:val="-10"/>
                <w:sz w:val="18"/>
              </w:rPr>
              <w:t xml:space="preserve"> </w:t>
            </w:r>
            <w:r>
              <w:rPr>
                <w:sz w:val="18"/>
              </w:rPr>
              <w:t>the</w:t>
            </w:r>
            <w:r>
              <w:rPr>
                <w:spacing w:val="-10"/>
                <w:sz w:val="18"/>
              </w:rPr>
              <w:t xml:space="preserve"> </w:t>
            </w:r>
            <w:r>
              <w:rPr>
                <w:sz w:val="18"/>
              </w:rPr>
              <w:t>Kaltara</w:t>
            </w:r>
            <w:r>
              <w:rPr>
                <w:spacing w:val="-10"/>
                <w:sz w:val="18"/>
              </w:rPr>
              <w:t xml:space="preserve"> </w:t>
            </w:r>
            <w:r>
              <w:rPr>
                <w:sz w:val="18"/>
              </w:rPr>
              <w:t>Mentari</w:t>
            </w:r>
            <w:r>
              <w:rPr>
                <w:spacing w:val="-11"/>
                <w:sz w:val="18"/>
              </w:rPr>
              <w:t xml:space="preserve"> </w:t>
            </w:r>
            <w:r>
              <w:rPr>
                <w:sz w:val="18"/>
              </w:rPr>
              <w:t>Aspiration</w:t>
            </w:r>
            <w:r>
              <w:rPr>
                <w:spacing w:val="-10"/>
                <w:sz w:val="18"/>
              </w:rPr>
              <w:t xml:space="preserve"> </w:t>
            </w:r>
            <w:r>
              <w:rPr>
                <w:sz w:val="18"/>
              </w:rPr>
              <w:t>Screening Forum successfully increased the</w:t>
            </w:r>
            <w:r>
              <w:rPr>
                <w:spacing w:val="-1"/>
                <w:sz w:val="18"/>
              </w:rPr>
              <w:t xml:space="preserve"> </w:t>
            </w:r>
            <w:r>
              <w:rPr>
                <w:sz w:val="18"/>
              </w:rPr>
              <w:t>number of proposals to the government, but the quality of input from JMS is still limited due to suboptimal advocacy capacity despite data access and analysis training.</w:t>
            </w:r>
          </w:p>
          <w:p w14:paraId="4FA52283" w14:textId="77777777" w:rsidR="00BC24A8" w:rsidRDefault="00000000">
            <w:pPr>
              <w:pStyle w:val="TableParagraph"/>
              <w:spacing w:before="1"/>
              <w:ind w:left="106" w:right="106"/>
              <w:jc w:val="both"/>
              <w:rPr>
                <w:sz w:val="18"/>
              </w:rPr>
            </w:pPr>
            <w:r>
              <w:rPr>
                <w:sz w:val="18"/>
              </w:rPr>
              <w:t>An important lesson learned is that improving the quality of aspirations requires strengthening CSO advocacy</w:t>
            </w:r>
            <w:r>
              <w:rPr>
                <w:spacing w:val="-11"/>
                <w:sz w:val="18"/>
              </w:rPr>
              <w:t xml:space="preserve"> </w:t>
            </w:r>
            <w:r>
              <w:rPr>
                <w:sz w:val="18"/>
              </w:rPr>
              <w:t>capacity</w:t>
            </w:r>
            <w:r>
              <w:rPr>
                <w:spacing w:val="-10"/>
                <w:sz w:val="18"/>
              </w:rPr>
              <w:t xml:space="preserve"> </w:t>
            </w:r>
            <w:r>
              <w:rPr>
                <w:sz w:val="18"/>
              </w:rPr>
              <w:t>so</w:t>
            </w:r>
            <w:r>
              <w:rPr>
                <w:spacing w:val="-10"/>
                <w:sz w:val="18"/>
              </w:rPr>
              <w:t xml:space="preserve"> </w:t>
            </w:r>
            <w:r>
              <w:rPr>
                <w:sz w:val="18"/>
              </w:rPr>
              <w:t>that</w:t>
            </w:r>
            <w:r>
              <w:rPr>
                <w:spacing w:val="-10"/>
                <w:sz w:val="18"/>
              </w:rPr>
              <w:t xml:space="preserve"> </w:t>
            </w:r>
            <w:r>
              <w:rPr>
                <w:sz w:val="18"/>
              </w:rPr>
              <w:t>inputs</w:t>
            </w:r>
            <w:r>
              <w:rPr>
                <w:spacing w:val="-10"/>
                <w:sz w:val="18"/>
              </w:rPr>
              <w:t xml:space="preserve"> </w:t>
            </w:r>
            <w:r>
              <w:rPr>
                <w:sz w:val="18"/>
              </w:rPr>
              <w:t>are</w:t>
            </w:r>
            <w:r>
              <w:rPr>
                <w:spacing w:val="-11"/>
                <w:sz w:val="18"/>
              </w:rPr>
              <w:t xml:space="preserve"> </w:t>
            </w:r>
            <w:r>
              <w:rPr>
                <w:sz w:val="18"/>
              </w:rPr>
              <w:t>more</w:t>
            </w:r>
            <w:r>
              <w:rPr>
                <w:spacing w:val="-10"/>
                <w:sz w:val="18"/>
              </w:rPr>
              <w:t xml:space="preserve"> </w:t>
            </w:r>
            <w:r>
              <w:rPr>
                <w:sz w:val="18"/>
              </w:rPr>
              <w:t>targeted,</w:t>
            </w:r>
            <w:r>
              <w:rPr>
                <w:spacing w:val="-10"/>
                <w:sz w:val="18"/>
              </w:rPr>
              <w:t xml:space="preserve"> </w:t>
            </w:r>
            <w:r>
              <w:rPr>
                <w:sz w:val="18"/>
              </w:rPr>
              <w:t>representative</w:t>
            </w:r>
            <w:r>
              <w:rPr>
                <w:spacing w:val="-10"/>
                <w:sz w:val="18"/>
              </w:rPr>
              <w:t xml:space="preserve"> </w:t>
            </w:r>
            <w:r>
              <w:rPr>
                <w:sz w:val="18"/>
              </w:rPr>
              <w:t>and</w:t>
            </w:r>
            <w:r>
              <w:rPr>
                <w:spacing w:val="-10"/>
                <w:sz w:val="18"/>
              </w:rPr>
              <w:t xml:space="preserve"> </w:t>
            </w:r>
            <w:r>
              <w:rPr>
                <w:sz w:val="18"/>
              </w:rPr>
              <w:t>in</w:t>
            </w:r>
            <w:r>
              <w:rPr>
                <w:spacing w:val="-10"/>
                <w:sz w:val="18"/>
              </w:rPr>
              <w:t xml:space="preserve"> </w:t>
            </w:r>
            <w:r>
              <w:rPr>
                <w:sz w:val="18"/>
              </w:rPr>
              <w:t>line</w:t>
            </w:r>
            <w:r>
              <w:rPr>
                <w:spacing w:val="-11"/>
                <w:sz w:val="18"/>
              </w:rPr>
              <w:t xml:space="preserve"> </w:t>
            </w:r>
            <w:r>
              <w:rPr>
                <w:sz w:val="18"/>
              </w:rPr>
              <w:t>with</w:t>
            </w:r>
            <w:r>
              <w:rPr>
                <w:spacing w:val="-10"/>
                <w:sz w:val="18"/>
              </w:rPr>
              <w:t xml:space="preserve"> </w:t>
            </w:r>
            <w:r>
              <w:rPr>
                <w:sz w:val="18"/>
              </w:rPr>
              <w:t>government</w:t>
            </w:r>
            <w:r>
              <w:rPr>
                <w:spacing w:val="-10"/>
                <w:sz w:val="18"/>
              </w:rPr>
              <w:t xml:space="preserve"> </w:t>
            </w:r>
            <w:r>
              <w:rPr>
                <w:sz w:val="18"/>
              </w:rPr>
              <w:t>priorities. This</w:t>
            </w:r>
            <w:r>
              <w:rPr>
                <w:spacing w:val="-1"/>
                <w:sz w:val="18"/>
              </w:rPr>
              <w:t xml:space="preserve"> </w:t>
            </w:r>
            <w:r>
              <w:rPr>
                <w:sz w:val="18"/>
              </w:rPr>
              <w:t>approach</w:t>
            </w:r>
            <w:r>
              <w:rPr>
                <w:spacing w:val="-1"/>
                <w:sz w:val="18"/>
              </w:rPr>
              <w:t xml:space="preserve"> </w:t>
            </w:r>
            <w:r>
              <w:rPr>
                <w:sz w:val="18"/>
              </w:rPr>
              <w:t>can</w:t>
            </w:r>
            <w:r>
              <w:rPr>
                <w:spacing w:val="-1"/>
                <w:sz w:val="18"/>
              </w:rPr>
              <w:t xml:space="preserve"> </w:t>
            </w:r>
            <w:r>
              <w:rPr>
                <w:sz w:val="18"/>
              </w:rPr>
              <w:t>be</w:t>
            </w:r>
            <w:r>
              <w:rPr>
                <w:spacing w:val="-1"/>
                <w:sz w:val="18"/>
              </w:rPr>
              <w:t xml:space="preserve"> </w:t>
            </w:r>
            <w:r>
              <w:rPr>
                <w:sz w:val="18"/>
              </w:rPr>
              <w:t>replicated</w:t>
            </w:r>
            <w:r>
              <w:rPr>
                <w:spacing w:val="-3"/>
                <w:sz w:val="18"/>
              </w:rPr>
              <w:t xml:space="preserve"> </w:t>
            </w:r>
            <w:r>
              <w:rPr>
                <w:sz w:val="18"/>
              </w:rPr>
              <w:t>with</w:t>
            </w:r>
            <w:r>
              <w:rPr>
                <w:spacing w:val="-1"/>
                <w:sz w:val="18"/>
              </w:rPr>
              <w:t xml:space="preserve"> </w:t>
            </w:r>
            <w:r>
              <w:rPr>
                <w:sz w:val="18"/>
              </w:rPr>
              <w:t>the</w:t>
            </w:r>
            <w:r>
              <w:rPr>
                <w:spacing w:val="-1"/>
                <w:sz w:val="18"/>
              </w:rPr>
              <w:t xml:space="preserve"> </w:t>
            </w:r>
            <w:r>
              <w:rPr>
                <w:sz w:val="18"/>
              </w:rPr>
              <w:t>following</w:t>
            </w:r>
            <w:r>
              <w:rPr>
                <w:spacing w:val="-1"/>
                <w:sz w:val="18"/>
              </w:rPr>
              <w:t xml:space="preserve"> </w:t>
            </w:r>
            <w:r>
              <w:rPr>
                <w:sz w:val="18"/>
              </w:rPr>
              <w:t>prerequisites:</w:t>
            </w:r>
            <w:r>
              <w:rPr>
                <w:spacing w:val="-3"/>
                <w:sz w:val="18"/>
              </w:rPr>
              <w:t xml:space="preserve"> </w:t>
            </w:r>
            <w:r>
              <w:rPr>
                <w:sz w:val="18"/>
              </w:rPr>
              <w:t>advocacy</w:t>
            </w:r>
            <w:r>
              <w:rPr>
                <w:spacing w:val="-1"/>
                <w:sz w:val="18"/>
              </w:rPr>
              <w:t xml:space="preserve"> </w:t>
            </w:r>
            <w:r>
              <w:rPr>
                <w:sz w:val="18"/>
              </w:rPr>
              <w:t>capacity</w:t>
            </w:r>
            <w:r>
              <w:rPr>
                <w:spacing w:val="-1"/>
                <w:sz w:val="18"/>
              </w:rPr>
              <w:t xml:space="preserve"> </w:t>
            </w:r>
            <w:r>
              <w:rPr>
                <w:sz w:val="18"/>
              </w:rPr>
              <w:t>building</w:t>
            </w:r>
            <w:r>
              <w:rPr>
                <w:spacing w:val="-1"/>
                <w:sz w:val="18"/>
              </w:rPr>
              <w:t xml:space="preserve"> </w:t>
            </w:r>
            <w:r>
              <w:rPr>
                <w:sz w:val="18"/>
              </w:rPr>
              <w:t>support for CSOs, adequate access to data and analysis, and good coordination mechanisms between government and civil society.</w:t>
            </w:r>
          </w:p>
        </w:tc>
      </w:tr>
    </w:tbl>
    <w:p w14:paraId="1807B8FB" w14:textId="77777777" w:rsidR="00BC24A8" w:rsidRDefault="00BC24A8">
      <w:pPr>
        <w:pStyle w:val="BodyText"/>
        <w:spacing w:before="208"/>
        <w:rPr>
          <w:rFonts w:ascii="Calibri"/>
          <w:b/>
        </w:rPr>
      </w:pPr>
    </w:p>
    <w:p w14:paraId="7B503EFC" w14:textId="77777777" w:rsidR="00BC24A8" w:rsidRDefault="00000000">
      <w:pPr>
        <w:ind w:left="143"/>
        <w:rPr>
          <w:i/>
        </w:rPr>
      </w:pPr>
      <w:r>
        <w:rPr>
          <w:i/>
          <w:color w:val="1F3762"/>
        </w:rPr>
        <w:t>FY</w:t>
      </w:r>
      <w:r>
        <w:rPr>
          <w:i/>
          <w:color w:val="1F3762"/>
          <w:spacing w:val="-6"/>
        </w:rPr>
        <w:t xml:space="preserve"> </w:t>
      </w:r>
      <w:r>
        <w:rPr>
          <w:i/>
          <w:color w:val="1F3762"/>
        </w:rPr>
        <w:t>2025/2026</w:t>
      </w:r>
      <w:r>
        <w:rPr>
          <w:i/>
          <w:color w:val="1F3762"/>
          <w:spacing w:val="-5"/>
        </w:rPr>
        <w:t xml:space="preserve"> </w:t>
      </w:r>
      <w:r>
        <w:rPr>
          <w:i/>
          <w:color w:val="1F3762"/>
        </w:rPr>
        <w:t>SKALA</w:t>
      </w:r>
      <w:r>
        <w:rPr>
          <w:i/>
          <w:color w:val="1F3762"/>
          <w:spacing w:val="-8"/>
        </w:rPr>
        <w:t xml:space="preserve"> </w:t>
      </w:r>
      <w:r>
        <w:rPr>
          <w:i/>
          <w:color w:val="1F3762"/>
        </w:rPr>
        <w:t>Program</w:t>
      </w:r>
      <w:r>
        <w:rPr>
          <w:i/>
          <w:color w:val="1F3762"/>
          <w:spacing w:val="-5"/>
        </w:rPr>
        <w:t xml:space="preserve"> </w:t>
      </w:r>
      <w:r>
        <w:rPr>
          <w:i/>
          <w:color w:val="1F3762"/>
          <w:spacing w:val="-2"/>
        </w:rPr>
        <w:t>Summary</w:t>
      </w:r>
    </w:p>
    <w:p w14:paraId="508D4687" w14:textId="77777777" w:rsidR="00BC24A8" w:rsidRDefault="00000000">
      <w:pPr>
        <w:pStyle w:val="ListParagraph"/>
        <w:numPr>
          <w:ilvl w:val="1"/>
          <w:numId w:val="108"/>
        </w:numPr>
        <w:tabs>
          <w:tab w:val="left" w:pos="501"/>
        </w:tabs>
        <w:spacing w:before="163"/>
        <w:ind w:left="501" w:hanging="449"/>
        <w:rPr>
          <w:rFonts w:ascii="Calibri"/>
          <w:b/>
        </w:rPr>
      </w:pPr>
      <w:bookmarkStart w:id="168" w:name="3.3_Summary_of_intended_results"/>
      <w:bookmarkEnd w:id="168"/>
      <w:r w:rsidRPr="00795364">
        <w:rPr>
          <w:rFonts w:ascii="Calibri"/>
          <w:b/>
          <w:color w:val="008279"/>
        </w:rPr>
        <w:t>Summary</w:t>
      </w:r>
      <w:r w:rsidRPr="00795364">
        <w:rPr>
          <w:rFonts w:ascii="Calibri"/>
          <w:b/>
          <w:color w:val="008279"/>
          <w:spacing w:val="-5"/>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intended</w:t>
      </w:r>
      <w:r w:rsidRPr="00795364">
        <w:rPr>
          <w:rFonts w:ascii="Calibri"/>
          <w:b/>
          <w:color w:val="008279"/>
          <w:spacing w:val="-6"/>
        </w:rPr>
        <w:t xml:space="preserve"> </w:t>
      </w:r>
      <w:r w:rsidRPr="00795364">
        <w:rPr>
          <w:rFonts w:ascii="Calibri"/>
          <w:b/>
          <w:color w:val="008279"/>
          <w:spacing w:val="-2"/>
        </w:rPr>
        <w:t>results</w:t>
      </w:r>
    </w:p>
    <w:p w14:paraId="56D781FB" w14:textId="77777777" w:rsidR="00BC24A8" w:rsidRDefault="00BC24A8">
      <w:pPr>
        <w:pStyle w:val="BodyText"/>
        <w:spacing w:before="2"/>
        <w:rPr>
          <w:rFonts w:ascii="Calibri"/>
          <w:b/>
          <w:sz w:val="19"/>
        </w:rPr>
      </w:pPr>
    </w:p>
    <w:tbl>
      <w:tblPr>
        <w:tblW w:w="0" w:type="auto"/>
        <w:tblInd w:w="142" w:type="dxa"/>
        <w:tblLayout w:type="fixed"/>
        <w:tblCellMar>
          <w:left w:w="0" w:type="dxa"/>
          <w:right w:w="0" w:type="dxa"/>
        </w:tblCellMar>
        <w:tblLook w:val="01E0" w:firstRow="1" w:lastRow="1" w:firstColumn="1" w:lastColumn="1" w:noHBand="0" w:noVBand="0"/>
      </w:tblPr>
      <w:tblGrid>
        <w:gridCol w:w="2684"/>
        <w:gridCol w:w="6708"/>
      </w:tblGrid>
      <w:tr w:rsidR="00BC24A8" w14:paraId="37559795" w14:textId="77777777">
        <w:trPr>
          <w:trHeight w:val="379"/>
        </w:trPr>
        <w:tc>
          <w:tcPr>
            <w:tcW w:w="2684" w:type="dxa"/>
            <w:shd w:val="clear" w:color="auto" w:fill="17365A"/>
          </w:tcPr>
          <w:p w14:paraId="24A26B54" w14:textId="77777777" w:rsidR="00BC24A8" w:rsidRDefault="00000000">
            <w:pPr>
              <w:pStyle w:val="TableParagraph"/>
              <w:spacing w:before="59"/>
              <w:ind w:left="116"/>
              <w:rPr>
                <w:rFonts w:ascii="Calibri"/>
                <w:b/>
                <w:sz w:val="20"/>
              </w:rPr>
            </w:pPr>
            <w:r>
              <w:rPr>
                <w:rFonts w:ascii="Calibri"/>
                <w:b/>
                <w:color w:val="FFFFFF"/>
                <w:spacing w:val="-2"/>
                <w:sz w:val="20"/>
              </w:rPr>
              <w:t>Narrative</w:t>
            </w:r>
          </w:p>
        </w:tc>
        <w:tc>
          <w:tcPr>
            <w:tcW w:w="6708" w:type="dxa"/>
            <w:shd w:val="clear" w:color="auto" w:fill="17365A"/>
          </w:tcPr>
          <w:p w14:paraId="05FC33A3" w14:textId="77777777" w:rsidR="00BC24A8" w:rsidRDefault="00000000">
            <w:pPr>
              <w:pStyle w:val="TableParagraph"/>
              <w:spacing w:before="59"/>
              <w:ind w:left="124"/>
              <w:rPr>
                <w:rFonts w:ascii="Calibri"/>
                <w:b/>
                <w:sz w:val="20"/>
              </w:rPr>
            </w:pPr>
            <w:r>
              <w:rPr>
                <w:rFonts w:ascii="Calibri"/>
                <w:b/>
                <w:color w:val="FFFFFF"/>
                <w:sz w:val="20"/>
              </w:rPr>
              <w:t>Summary</w:t>
            </w:r>
            <w:r>
              <w:rPr>
                <w:rFonts w:ascii="Calibri"/>
                <w:b/>
                <w:color w:val="FFFFFF"/>
                <w:spacing w:val="-5"/>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key</w:t>
            </w:r>
            <w:r>
              <w:rPr>
                <w:rFonts w:ascii="Calibri"/>
                <w:b/>
                <w:color w:val="FFFFFF"/>
                <w:spacing w:val="-4"/>
                <w:sz w:val="20"/>
              </w:rPr>
              <w:t xml:space="preserve"> </w:t>
            </w:r>
            <w:r>
              <w:rPr>
                <w:rFonts w:ascii="Calibri"/>
                <w:b/>
                <w:color w:val="FFFFFF"/>
                <w:sz w:val="20"/>
              </w:rPr>
              <w:t>outputs</w:t>
            </w:r>
            <w:r>
              <w:rPr>
                <w:rFonts w:ascii="Calibri"/>
                <w:b/>
                <w:color w:val="FFFFFF"/>
                <w:spacing w:val="-4"/>
                <w:sz w:val="20"/>
              </w:rPr>
              <w:t xml:space="preserve"> </w:t>
            </w:r>
            <w:r>
              <w:rPr>
                <w:rFonts w:ascii="Calibri"/>
                <w:b/>
                <w:color w:val="FFFFFF"/>
                <w:sz w:val="20"/>
              </w:rPr>
              <w:t>to</w:t>
            </w:r>
            <w:r>
              <w:rPr>
                <w:rFonts w:ascii="Calibri"/>
                <w:b/>
                <w:color w:val="FFFFFF"/>
                <w:spacing w:val="-5"/>
                <w:sz w:val="20"/>
              </w:rPr>
              <w:t xml:space="preserve"> </w:t>
            </w:r>
            <w:r>
              <w:rPr>
                <w:rFonts w:ascii="Calibri"/>
                <w:b/>
                <w:color w:val="FFFFFF"/>
                <w:sz w:val="20"/>
              </w:rPr>
              <w:t>be</w:t>
            </w:r>
            <w:r>
              <w:rPr>
                <w:rFonts w:ascii="Calibri"/>
                <w:b/>
                <w:color w:val="FFFFFF"/>
                <w:spacing w:val="-4"/>
                <w:sz w:val="20"/>
              </w:rPr>
              <w:t xml:space="preserve"> </w:t>
            </w:r>
            <w:r>
              <w:rPr>
                <w:rFonts w:ascii="Calibri"/>
                <w:b/>
                <w:color w:val="FFFFFF"/>
                <w:sz w:val="20"/>
              </w:rPr>
              <w:t>delivered</w:t>
            </w:r>
            <w:r>
              <w:rPr>
                <w:rFonts w:ascii="Calibri"/>
                <w:b/>
                <w:color w:val="FFFFFF"/>
                <w:spacing w:val="-3"/>
                <w:sz w:val="20"/>
              </w:rPr>
              <w:t xml:space="preserve"> </w:t>
            </w:r>
            <w:r>
              <w:rPr>
                <w:rFonts w:ascii="Calibri"/>
                <w:b/>
                <w:color w:val="FFFFFF"/>
                <w:sz w:val="20"/>
              </w:rPr>
              <w:t>in</w:t>
            </w:r>
            <w:r>
              <w:rPr>
                <w:rFonts w:ascii="Calibri"/>
                <w:b/>
                <w:color w:val="FFFFFF"/>
                <w:spacing w:val="-3"/>
                <w:sz w:val="20"/>
              </w:rPr>
              <w:t xml:space="preserve"> </w:t>
            </w:r>
            <w:r>
              <w:rPr>
                <w:rFonts w:ascii="Calibri"/>
                <w:b/>
                <w:color w:val="FFFFFF"/>
                <w:sz w:val="20"/>
              </w:rPr>
              <w:t>order</w:t>
            </w:r>
            <w:r>
              <w:rPr>
                <w:rFonts w:ascii="Calibri"/>
                <w:b/>
                <w:color w:val="FFFFFF"/>
                <w:spacing w:val="-4"/>
                <w:sz w:val="20"/>
              </w:rPr>
              <w:t xml:space="preserve"> </w:t>
            </w:r>
            <w:r>
              <w:rPr>
                <w:rFonts w:ascii="Calibri"/>
                <w:b/>
                <w:color w:val="FFFFFF"/>
                <w:sz w:val="20"/>
              </w:rPr>
              <w:t>to</w:t>
            </w:r>
            <w:r>
              <w:rPr>
                <w:rFonts w:ascii="Calibri"/>
                <w:b/>
                <w:color w:val="FFFFFF"/>
                <w:spacing w:val="-3"/>
                <w:sz w:val="20"/>
              </w:rPr>
              <w:t xml:space="preserve"> </w:t>
            </w:r>
            <w:r>
              <w:rPr>
                <w:rFonts w:ascii="Calibri"/>
                <w:b/>
                <w:color w:val="FFFFFF"/>
                <w:sz w:val="20"/>
              </w:rPr>
              <w:t>achieve</w:t>
            </w:r>
            <w:r>
              <w:rPr>
                <w:rFonts w:ascii="Calibri"/>
                <w:b/>
                <w:color w:val="FFFFFF"/>
                <w:spacing w:val="-4"/>
                <w:sz w:val="20"/>
              </w:rPr>
              <w:t xml:space="preserve"> </w:t>
            </w:r>
            <w:r>
              <w:rPr>
                <w:rFonts w:ascii="Calibri"/>
                <w:b/>
                <w:color w:val="FFFFFF"/>
                <w:sz w:val="20"/>
              </w:rPr>
              <w:t>the</w:t>
            </w:r>
            <w:r>
              <w:rPr>
                <w:rFonts w:ascii="Calibri"/>
                <w:b/>
                <w:color w:val="FFFFFF"/>
                <w:spacing w:val="-3"/>
                <w:sz w:val="20"/>
              </w:rPr>
              <w:t xml:space="preserve"> </w:t>
            </w:r>
            <w:r>
              <w:rPr>
                <w:rFonts w:ascii="Calibri"/>
                <w:b/>
                <w:color w:val="FFFFFF"/>
                <w:spacing w:val="-2"/>
                <w:sz w:val="20"/>
              </w:rPr>
              <w:t>narrative</w:t>
            </w:r>
          </w:p>
        </w:tc>
      </w:tr>
      <w:tr w:rsidR="00BC24A8" w14:paraId="663E4136" w14:textId="77777777">
        <w:trPr>
          <w:trHeight w:val="2037"/>
        </w:trPr>
        <w:tc>
          <w:tcPr>
            <w:tcW w:w="2684" w:type="dxa"/>
            <w:tcBorders>
              <w:bottom w:val="single" w:sz="4" w:space="0" w:color="BEBEBE"/>
            </w:tcBorders>
          </w:tcPr>
          <w:p w14:paraId="69A4FEC7" w14:textId="77777777" w:rsidR="00BC24A8" w:rsidRDefault="00000000">
            <w:pPr>
              <w:pStyle w:val="TableParagraph"/>
              <w:spacing w:before="102"/>
              <w:ind w:left="116" w:right="16"/>
              <w:rPr>
                <w:sz w:val="18"/>
              </w:rPr>
            </w:pPr>
            <w:r>
              <w:rPr>
                <w:sz w:val="18"/>
              </w:rPr>
              <w:t>Result in the development and institutionalisation</w:t>
            </w:r>
            <w:r>
              <w:rPr>
                <w:spacing w:val="-11"/>
                <w:sz w:val="18"/>
              </w:rPr>
              <w:t xml:space="preserve"> </w:t>
            </w:r>
            <w:r>
              <w:rPr>
                <w:sz w:val="18"/>
              </w:rPr>
              <w:t>of</w:t>
            </w:r>
            <w:r>
              <w:rPr>
                <w:spacing w:val="-10"/>
                <w:sz w:val="18"/>
              </w:rPr>
              <w:t xml:space="preserve"> </w:t>
            </w:r>
            <w:r>
              <w:rPr>
                <w:sz w:val="18"/>
              </w:rPr>
              <w:t xml:space="preserve">consultation spaces and engagement with vulnerable communities to promote increasingly inclusive </w:t>
            </w:r>
            <w:r>
              <w:rPr>
                <w:spacing w:val="-2"/>
                <w:sz w:val="18"/>
              </w:rPr>
              <w:t>planning</w:t>
            </w:r>
          </w:p>
        </w:tc>
        <w:tc>
          <w:tcPr>
            <w:tcW w:w="6708" w:type="dxa"/>
            <w:tcBorders>
              <w:bottom w:val="single" w:sz="4" w:space="0" w:color="BEBEBE"/>
            </w:tcBorders>
          </w:tcPr>
          <w:p w14:paraId="79CEF55A" w14:textId="77777777" w:rsidR="00BC24A8" w:rsidRDefault="00000000">
            <w:pPr>
              <w:pStyle w:val="TableParagraph"/>
              <w:numPr>
                <w:ilvl w:val="0"/>
                <w:numId w:val="107"/>
              </w:numPr>
              <w:tabs>
                <w:tab w:val="left" w:pos="456"/>
              </w:tabs>
              <w:spacing w:before="162"/>
              <w:ind w:right="103"/>
              <w:jc w:val="both"/>
              <w:rPr>
                <w:sz w:val="18"/>
              </w:rPr>
            </w:pPr>
            <w:r>
              <w:rPr>
                <w:sz w:val="18"/>
              </w:rPr>
              <w:t xml:space="preserve">Formulation of regional head regulations on the implementation of regional regulations on persons with disabilities, Continuing Humanity and Gender </w:t>
            </w:r>
            <w:r>
              <w:rPr>
                <w:spacing w:val="-2"/>
                <w:sz w:val="18"/>
              </w:rPr>
              <w:t>Mainstreaming</w:t>
            </w:r>
          </w:p>
          <w:p w14:paraId="13A76E77" w14:textId="77777777" w:rsidR="00BC24A8" w:rsidRDefault="00000000">
            <w:pPr>
              <w:pStyle w:val="TableParagraph"/>
              <w:numPr>
                <w:ilvl w:val="0"/>
                <w:numId w:val="107"/>
              </w:numPr>
              <w:tabs>
                <w:tab w:val="left" w:pos="455"/>
              </w:tabs>
              <w:spacing w:before="1" w:line="219" w:lineRule="exact"/>
              <w:ind w:left="455" w:hanging="359"/>
              <w:jc w:val="both"/>
              <w:rPr>
                <w:sz w:val="18"/>
              </w:rPr>
            </w:pPr>
            <w:r>
              <w:rPr>
                <w:sz w:val="18"/>
              </w:rPr>
              <w:t>Regional</w:t>
            </w:r>
            <w:r>
              <w:rPr>
                <w:spacing w:val="-2"/>
                <w:sz w:val="18"/>
              </w:rPr>
              <w:t xml:space="preserve"> </w:t>
            </w:r>
            <w:r>
              <w:rPr>
                <w:sz w:val="18"/>
              </w:rPr>
              <w:t>Action</w:t>
            </w:r>
            <w:r>
              <w:rPr>
                <w:spacing w:val="-3"/>
                <w:sz w:val="18"/>
              </w:rPr>
              <w:t xml:space="preserve"> </w:t>
            </w:r>
            <w:r>
              <w:rPr>
                <w:sz w:val="18"/>
              </w:rPr>
              <w:t>Plan</w:t>
            </w:r>
            <w:r>
              <w:rPr>
                <w:spacing w:val="-2"/>
                <w:sz w:val="18"/>
              </w:rPr>
              <w:t xml:space="preserve"> </w:t>
            </w:r>
            <w:r>
              <w:rPr>
                <w:sz w:val="18"/>
              </w:rPr>
              <w:t>for</w:t>
            </w:r>
            <w:r>
              <w:rPr>
                <w:spacing w:val="-3"/>
                <w:sz w:val="18"/>
              </w:rPr>
              <w:t xml:space="preserve"> </w:t>
            </w:r>
            <w:r>
              <w:rPr>
                <w:sz w:val="18"/>
              </w:rPr>
              <w:t>Gender</w:t>
            </w:r>
            <w:r>
              <w:rPr>
                <w:spacing w:val="-2"/>
                <w:sz w:val="18"/>
              </w:rPr>
              <w:t xml:space="preserve"> </w:t>
            </w:r>
            <w:r>
              <w:rPr>
                <w:sz w:val="18"/>
              </w:rPr>
              <w:t>Equality</w:t>
            </w:r>
            <w:r>
              <w:rPr>
                <w:spacing w:val="-3"/>
                <w:sz w:val="18"/>
              </w:rPr>
              <w:t xml:space="preserve"> </w:t>
            </w:r>
            <w:r>
              <w:rPr>
                <w:sz w:val="18"/>
              </w:rPr>
              <w:t>Development</w:t>
            </w:r>
            <w:r>
              <w:rPr>
                <w:spacing w:val="-1"/>
                <w:sz w:val="18"/>
              </w:rPr>
              <w:t xml:space="preserve"> </w:t>
            </w:r>
            <w:r>
              <w:rPr>
                <w:sz w:val="18"/>
              </w:rPr>
              <w:t>(RAD-</w:t>
            </w:r>
            <w:r>
              <w:rPr>
                <w:spacing w:val="-5"/>
                <w:sz w:val="18"/>
              </w:rPr>
              <w:t>KG)</w:t>
            </w:r>
          </w:p>
          <w:p w14:paraId="19458CF2" w14:textId="77777777" w:rsidR="00BC24A8" w:rsidRDefault="00000000">
            <w:pPr>
              <w:pStyle w:val="TableParagraph"/>
              <w:numPr>
                <w:ilvl w:val="0"/>
                <w:numId w:val="107"/>
              </w:numPr>
              <w:tabs>
                <w:tab w:val="left" w:pos="456"/>
              </w:tabs>
              <w:ind w:right="103"/>
              <w:jc w:val="both"/>
              <w:rPr>
                <w:sz w:val="18"/>
              </w:rPr>
            </w:pPr>
            <w:r>
              <w:rPr>
                <w:sz w:val="18"/>
              </w:rPr>
              <w:t>Technical Guidance Policy in the form of Governor Regulation for the Inclusive Planning</w:t>
            </w:r>
            <w:r>
              <w:rPr>
                <w:spacing w:val="-2"/>
                <w:sz w:val="18"/>
              </w:rPr>
              <w:t xml:space="preserve"> </w:t>
            </w:r>
            <w:r>
              <w:rPr>
                <w:sz w:val="18"/>
              </w:rPr>
              <w:t>Forum</w:t>
            </w:r>
          </w:p>
          <w:p w14:paraId="1C3CDEDB" w14:textId="77777777" w:rsidR="00BC24A8" w:rsidRDefault="00000000">
            <w:pPr>
              <w:pStyle w:val="TableParagraph"/>
              <w:numPr>
                <w:ilvl w:val="0"/>
                <w:numId w:val="107"/>
              </w:numPr>
              <w:tabs>
                <w:tab w:val="left" w:pos="456"/>
              </w:tabs>
              <w:ind w:right="106"/>
              <w:jc w:val="both"/>
              <w:rPr>
                <w:sz w:val="18"/>
              </w:rPr>
            </w:pPr>
            <w:r>
              <w:rPr>
                <w:sz w:val="18"/>
              </w:rPr>
              <w:t>Strengthening</w:t>
            </w:r>
            <w:r>
              <w:rPr>
                <w:spacing w:val="-4"/>
                <w:sz w:val="18"/>
              </w:rPr>
              <w:t xml:space="preserve"> </w:t>
            </w:r>
            <w:r>
              <w:rPr>
                <w:sz w:val="18"/>
              </w:rPr>
              <w:t>the</w:t>
            </w:r>
            <w:r>
              <w:rPr>
                <w:spacing w:val="-3"/>
                <w:sz w:val="18"/>
              </w:rPr>
              <w:t xml:space="preserve"> </w:t>
            </w:r>
            <w:r>
              <w:rPr>
                <w:sz w:val="18"/>
              </w:rPr>
              <w:t>capacity</w:t>
            </w:r>
            <w:r>
              <w:rPr>
                <w:spacing w:val="-3"/>
                <w:sz w:val="18"/>
              </w:rPr>
              <w:t xml:space="preserve"> </w:t>
            </w:r>
            <w:r>
              <w:rPr>
                <w:sz w:val="18"/>
              </w:rPr>
              <w:t>of</w:t>
            </w:r>
            <w:r>
              <w:rPr>
                <w:spacing w:val="-4"/>
                <w:sz w:val="18"/>
              </w:rPr>
              <w:t xml:space="preserve"> </w:t>
            </w:r>
            <w:r>
              <w:rPr>
                <w:sz w:val="18"/>
              </w:rPr>
              <w:t>MENTARI</w:t>
            </w:r>
            <w:r>
              <w:rPr>
                <w:spacing w:val="-4"/>
                <w:sz w:val="18"/>
              </w:rPr>
              <w:t xml:space="preserve"> </w:t>
            </w:r>
            <w:r>
              <w:rPr>
                <w:sz w:val="18"/>
              </w:rPr>
              <w:t>KALTARA</w:t>
            </w:r>
            <w:r>
              <w:rPr>
                <w:spacing w:val="-4"/>
                <w:sz w:val="18"/>
              </w:rPr>
              <w:t xml:space="preserve"> </w:t>
            </w:r>
            <w:r>
              <w:rPr>
                <w:sz w:val="18"/>
              </w:rPr>
              <w:t>civil</w:t>
            </w:r>
            <w:r>
              <w:rPr>
                <w:spacing w:val="-2"/>
                <w:sz w:val="18"/>
              </w:rPr>
              <w:t xml:space="preserve"> </w:t>
            </w:r>
            <w:r>
              <w:rPr>
                <w:sz w:val="18"/>
              </w:rPr>
              <w:t>society</w:t>
            </w:r>
            <w:r>
              <w:rPr>
                <w:spacing w:val="-3"/>
                <w:sz w:val="18"/>
              </w:rPr>
              <w:t xml:space="preserve"> </w:t>
            </w:r>
            <w:r>
              <w:rPr>
                <w:sz w:val="18"/>
              </w:rPr>
              <w:t>network</w:t>
            </w:r>
            <w:r>
              <w:rPr>
                <w:spacing w:val="-3"/>
                <w:sz w:val="18"/>
              </w:rPr>
              <w:t xml:space="preserve"> </w:t>
            </w:r>
            <w:r>
              <w:rPr>
                <w:sz w:val="18"/>
              </w:rPr>
              <w:t>in</w:t>
            </w:r>
            <w:r>
              <w:rPr>
                <w:spacing w:val="-3"/>
                <w:sz w:val="18"/>
              </w:rPr>
              <w:t xml:space="preserve"> </w:t>
            </w:r>
            <w:r>
              <w:rPr>
                <w:sz w:val="18"/>
              </w:rPr>
              <w:t>data</w:t>
            </w:r>
            <w:r>
              <w:rPr>
                <w:spacing w:val="-4"/>
                <w:sz w:val="18"/>
              </w:rPr>
              <w:t xml:space="preserve"> </w:t>
            </w:r>
            <w:r>
              <w:rPr>
                <w:sz w:val="18"/>
              </w:rPr>
              <w:t>access, analysis and advocacy, and work plan</w:t>
            </w:r>
          </w:p>
        </w:tc>
      </w:tr>
      <w:tr w:rsidR="00BC24A8" w14:paraId="0401F525" w14:textId="77777777">
        <w:trPr>
          <w:trHeight w:val="614"/>
        </w:trPr>
        <w:tc>
          <w:tcPr>
            <w:tcW w:w="2684" w:type="dxa"/>
            <w:tcBorders>
              <w:top w:val="single" w:sz="4" w:space="0" w:color="BEBEBE"/>
              <w:bottom w:val="single" w:sz="4" w:space="0" w:color="BEBEBE"/>
            </w:tcBorders>
          </w:tcPr>
          <w:p w14:paraId="7D58A3A8" w14:textId="77777777" w:rsidR="00BC24A8" w:rsidRDefault="00000000">
            <w:pPr>
              <w:pStyle w:val="TableParagraph"/>
              <w:spacing w:before="56"/>
              <w:ind w:left="116"/>
              <w:rPr>
                <w:sz w:val="18"/>
              </w:rPr>
            </w:pPr>
            <w:r>
              <w:rPr>
                <w:sz w:val="18"/>
              </w:rPr>
              <w:t>Resulting</w:t>
            </w:r>
            <w:r>
              <w:rPr>
                <w:spacing w:val="-11"/>
                <w:sz w:val="18"/>
              </w:rPr>
              <w:t xml:space="preserve"> </w:t>
            </w:r>
            <w:r>
              <w:rPr>
                <w:sz w:val="18"/>
              </w:rPr>
              <w:t>in</w:t>
            </w:r>
            <w:r>
              <w:rPr>
                <w:spacing w:val="-8"/>
                <w:sz w:val="18"/>
              </w:rPr>
              <w:t xml:space="preserve"> </w:t>
            </w:r>
            <w:r>
              <w:rPr>
                <w:sz w:val="18"/>
              </w:rPr>
              <w:t>an</w:t>
            </w:r>
            <w:r>
              <w:rPr>
                <w:spacing w:val="-9"/>
                <w:sz w:val="18"/>
              </w:rPr>
              <w:t xml:space="preserve"> </w:t>
            </w:r>
            <w:r>
              <w:rPr>
                <w:sz w:val="18"/>
              </w:rPr>
              <w:t>improved</w:t>
            </w:r>
            <w:r>
              <w:rPr>
                <w:spacing w:val="-9"/>
                <w:sz w:val="18"/>
              </w:rPr>
              <w:t xml:space="preserve"> </w:t>
            </w:r>
            <w:r>
              <w:rPr>
                <w:sz w:val="18"/>
              </w:rPr>
              <w:t>data governance framework that</w:t>
            </w:r>
          </w:p>
        </w:tc>
        <w:tc>
          <w:tcPr>
            <w:tcW w:w="6708" w:type="dxa"/>
            <w:tcBorders>
              <w:top w:val="single" w:sz="4" w:space="0" w:color="BEBEBE"/>
              <w:bottom w:val="single" w:sz="4" w:space="0" w:color="BEBEBE"/>
            </w:tcBorders>
          </w:tcPr>
          <w:p w14:paraId="4C8B6B93" w14:textId="77777777" w:rsidR="00BC24A8" w:rsidRDefault="00000000">
            <w:pPr>
              <w:pStyle w:val="TableParagraph"/>
              <w:numPr>
                <w:ilvl w:val="0"/>
                <w:numId w:val="106"/>
              </w:numPr>
              <w:tabs>
                <w:tab w:val="left" w:pos="456"/>
              </w:tabs>
              <w:spacing w:before="116"/>
              <w:rPr>
                <w:sz w:val="18"/>
              </w:rPr>
            </w:pPr>
            <w:r>
              <w:rPr>
                <w:sz w:val="18"/>
              </w:rPr>
              <w:t>Institutional</w:t>
            </w:r>
            <w:r>
              <w:rPr>
                <w:spacing w:val="-4"/>
                <w:sz w:val="18"/>
              </w:rPr>
              <w:t xml:space="preserve"> </w:t>
            </w:r>
            <w:r>
              <w:rPr>
                <w:sz w:val="18"/>
              </w:rPr>
              <w:t>strengthening</w:t>
            </w:r>
            <w:r>
              <w:rPr>
                <w:spacing w:val="-3"/>
                <w:sz w:val="18"/>
              </w:rPr>
              <w:t xml:space="preserve"> </w:t>
            </w:r>
            <w:r>
              <w:rPr>
                <w:sz w:val="18"/>
              </w:rPr>
              <w:t>of</w:t>
            </w:r>
            <w:r>
              <w:rPr>
                <w:spacing w:val="-3"/>
                <w:sz w:val="18"/>
              </w:rPr>
              <w:t xml:space="preserve"> </w:t>
            </w:r>
            <w:r>
              <w:rPr>
                <w:sz w:val="18"/>
              </w:rPr>
              <w:t>the</w:t>
            </w:r>
            <w:r>
              <w:rPr>
                <w:spacing w:val="-5"/>
                <w:sz w:val="18"/>
              </w:rPr>
              <w:t xml:space="preserve"> </w:t>
            </w:r>
            <w:r>
              <w:rPr>
                <w:sz w:val="18"/>
              </w:rPr>
              <w:t>Kalimantan</w:t>
            </w:r>
            <w:r>
              <w:rPr>
                <w:spacing w:val="-3"/>
                <w:sz w:val="18"/>
              </w:rPr>
              <w:t xml:space="preserve"> </w:t>
            </w:r>
            <w:r>
              <w:rPr>
                <w:sz w:val="18"/>
              </w:rPr>
              <w:t>Utara</w:t>
            </w:r>
            <w:r>
              <w:rPr>
                <w:spacing w:val="-3"/>
                <w:sz w:val="18"/>
              </w:rPr>
              <w:t xml:space="preserve"> </w:t>
            </w:r>
            <w:r>
              <w:rPr>
                <w:sz w:val="18"/>
              </w:rPr>
              <w:t>Regional</w:t>
            </w:r>
            <w:r>
              <w:rPr>
                <w:spacing w:val="-1"/>
                <w:sz w:val="18"/>
              </w:rPr>
              <w:t xml:space="preserve"> </w:t>
            </w:r>
            <w:r>
              <w:rPr>
                <w:sz w:val="18"/>
              </w:rPr>
              <w:t>One</w:t>
            </w:r>
            <w:r>
              <w:rPr>
                <w:spacing w:val="-2"/>
                <w:sz w:val="18"/>
              </w:rPr>
              <w:t xml:space="preserve"> </w:t>
            </w:r>
            <w:r>
              <w:rPr>
                <w:sz w:val="18"/>
              </w:rPr>
              <w:t>Data</w:t>
            </w:r>
            <w:r>
              <w:rPr>
                <w:spacing w:val="-3"/>
                <w:sz w:val="18"/>
              </w:rPr>
              <w:t xml:space="preserve"> </w:t>
            </w:r>
            <w:r>
              <w:rPr>
                <w:spacing w:val="-2"/>
                <w:sz w:val="18"/>
              </w:rPr>
              <w:t>Manager</w:t>
            </w:r>
          </w:p>
          <w:p w14:paraId="1BAAD6DF" w14:textId="77777777" w:rsidR="00BC24A8" w:rsidRDefault="00000000">
            <w:pPr>
              <w:pStyle w:val="TableParagraph"/>
              <w:numPr>
                <w:ilvl w:val="0"/>
                <w:numId w:val="106"/>
              </w:numPr>
              <w:tabs>
                <w:tab w:val="left" w:pos="456"/>
              </w:tabs>
              <w:spacing w:before="1"/>
              <w:rPr>
                <w:sz w:val="18"/>
              </w:rPr>
            </w:pPr>
            <w:r>
              <w:rPr>
                <w:sz w:val="18"/>
              </w:rPr>
              <w:t>Strengthening</w:t>
            </w:r>
            <w:r>
              <w:rPr>
                <w:spacing w:val="-4"/>
                <w:sz w:val="18"/>
              </w:rPr>
              <w:t xml:space="preserve"> </w:t>
            </w:r>
            <w:r>
              <w:rPr>
                <w:sz w:val="18"/>
              </w:rPr>
              <w:t>and</w:t>
            </w:r>
            <w:r>
              <w:rPr>
                <w:spacing w:val="-3"/>
                <w:sz w:val="18"/>
              </w:rPr>
              <w:t xml:space="preserve"> </w:t>
            </w:r>
            <w:r>
              <w:rPr>
                <w:sz w:val="18"/>
              </w:rPr>
              <w:t>integration</w:t>
            </w:r>
            <w:r>
              <w:rPr>
                <w:spacing w:val="-2"/>
                <w:sz w:val="18"/>
              </w:rPr>
              <w:t xml:space="preserve"> </w:t>
            </w:r>
            <w:r>
              <w:rPr>
                <w:sz w:val="18"/>
              </w:rPr>
              <w:t>of</w:t>
            </w:r>
            <w:r>
              <w:rPr>
                <w:spacing w:val="-6"/>
                <w:sz w:val="18"/>
              </w:rPr>
              <w:t xml:space="preserve"> </w:t>
            </w:r>
            <w:r>
              <w:rPr>
                <w:sz w:val="18"/>
              </w:rPr>
              <w:t>regional</w:t>
            </w:r>
            <w:r>
              <w:rPr>
                <w:spacing w:val="-2"/>
                <w:sz w:val="18"/>
              </w:rPr>
              <w:t xml:space="preserve"> </w:t>
            </w:r>
            <w:r>
              <w:rPr>
                <w:sz w:val="18"/>
              </w:rPr>
              <w:t>and</w:t>
            </w:r>
            <w:r>
              <w:rPr>
                <w:spacing w:val="-3"/>
                <w:sz w:val="18"/>
              </w:rPr>
              <w:t xml:space="preserve"> </w:t>
            </w:r>
            <w:r>
              <w:rPr>
                <w:sz w:val="18"/>
              </w:rPr>
              <w:t>central</w:t>
            </w:r>
            <w:r>
              <w:rPr>
                <w:spacing w:val="-1"/>
                <w:sz w:val="18"/>
              </w:rPr>
              <w:t xml:space="preserve"> </w:t>
            </w:r>
            <w:r>
              <w:rPr>
                <w:sz w:val="18"/>
              </w:rPr>
              <w:t>data</w:t>
            </w:r>
            <w:r>
              <w:rPr>
                <w:spacing w:val="-4"/>
                <w:sz w:val="18"/>
              </w:rPr>
              <w:t xml:space="preserve"> </w:t>
            </w:r>
            <w:r>
              <w:rPr>
                <w:sz w:val="18"/>
              </w:rPr>
              <w:t>management</w:t>
            </w:r>
            <w:r>
              <w:rPr>
                <w:spacing w:val="-1"/>
                <w:sz w:val="18"/>
              </w:rPr>
              <w:t xml:space="preserve"> </w:t>
            </w:r>
            <w:r>
              <w:rPr>
                <w:spacing w:val="-2"/>
                <w:sz w:val="18"/>
              </w:rPr>
              <w:t>systems</w:t>
            </w:r>
          </w:p>
        </w:tc>
      </w:tr>
    </w:tbl>
    <w:p w14:paraId="5A262E88" w14:textId="77777777" w:rsidR="00BC24A8" w:rsidRDefault="00BC24A8">
      <w:pPr>
        <w:pStyle w:val="TableParagraph"/>
        <w:rPr>
          <w:sz w:val="18"/>
        </w:rPr>
        <w:sectPr w:rsidR="00BC24A8">
          <w:pgSz w:w="11910" w:h="16840"/>
          <w:pgMar w:top="1660" w:right="850" w:bottom="1100" w:left="1275" w:header="0" w:footer="907" w:gutter="0"/>
          <w:cols w:space="720"/>
        </w:sectPr>
      </w:pPr>
    </w:p>
    <w:tbl>
      <w:tblPr>
        <w:tblW w:w="0" w:type="auto"/>
        <w:tblInd w:w="143" w:type="dxa"/>
        <w:tblLayout w:type="fixed"/>
        <w:tblCellMar>
          <w:left w:w="0" w:type="dxa"/>
          <w:right w:w="0" w:type="dxa"/>
        </w:tblCellMar>
        <w:tblLook w:val="01E0" w:firstRow="1" w:lastRow="1" w:firstColumn="1" w:lastColumn="1" w:noHBand="0" w:noVBand="0"/>
      </w:tblPr>
      <w:tblGrid>
        <w:gridCol w:w="2667"/>
        <w:gridCol w:w="6724"/>
      </w:tblGrid>
      <w:tr w:rsidR="00BC24A8" w14:paraId="1662DCF3" w14:textId="77777777">
        <w:trPr>
          <w:trHeight w:val="994"/>
        </w:trPr>
        <w:tc>
          <w:tcPr>
            <w:tcW w:w="2667" w:type="dxa"/>
            <w:tcBorders>
              <w:bottom w:val="single" w:sz="4" w:space="0" w:color="BEBEBE"/>
            </w:tcBorders>
          </w:tcPr>
          <w:p w14:paraId="05D40A0D" w14:textId="77777777" w:rsidR="00BC24A8" w:rsidRDefault="00000000">
            <w:pPr>
              <w:pStyle w:val="TableParagraph"/>
              <w:ind w:left="115"/>
              <w:rPr>
                <w:sz w:val="18"/>
              </w:rPr>
            </w:pPr>
            <w:r>
              <w:rPr>
                <w:sz w:val="18"/>
              </w:rPr>
              <w:lastRenderedPageBreak/>
              <w:t>supports</w:t>
            </w:r>
            <w:r>
              <w:rPr>
                <w:spacing w:val="-11"/>
                <w:sz w:val="18"/>
              </w:rPr>
              <w:t xml:space="preserve"> </w:t>
            </w:r>
            <w:r>
              <w:rPr>
                <w:sz w:val="18"/>
              </w:rPr>
              <w:t>inclusive</w:t>
            </w:r>
            <w:r>
              <w:rPr>
                <w:spacing w:val="-10"/>
                <w:sz w:val="18"/>
              </w:rPr>
              <w:t xml:space="preserve"> </w:t>
            </w:r>
            <w:r>
              <w:rPr>
                <w:sz w:val="18"/>
              </w:rPr>
              <w:t>basic</w:t>
            </w:r>
            <w:r>
              <w:rPr>
                <w:spacing w:val="-10"/>
                <w:sz w:val="18"/>
              </w:rPr>
              <w:t xml:space="preserve"> </w:t>
            </w:r>
            <w:r>
              <w:rPr>
                <w:sz w:val="18"/>
              </w:rPr>
              <w:t xml:space="preserve">service </w:t>
            </w:r>
            <w:r>
              <w:rPr>
                <w:spacing w:val="-2"/>
                <w:sz w:val="18"/>
              </w:rPr>
              <w:t>delivery</w:t>
            </w:r>
          </w:p>
        </w:tc>
        <w:tc>
          <w:tcPr>
            <w:tcW w:w="6724" w:type="dxa"/>
            <w:tcBorders>
              <w:bottom w:val="single" w:sz="4" w:space="0" w:color="BEBEBE"/>
            </w:tcBorders>
          </w:tcPr>
          <w:p w14:paraId="329244C1" w14:textId="77777777" w:rsidR="00BC24A8" w:rsidRDefault="00000000">
            <w:pPr>
              <w:pStyle w:val="TableParagraph"/>
              <w:numPr>
                <w:ilvl w:val="0"/>
                <w:numId w:val="105"/>
              </w:numPr>
              <w:tabs>
                <w:tab w:val="left" w:pos="472"/>
              </w:tabs>
              <w:ind w:right="104"/>
              <w:rPr>
                <w:sz w:val="18"/>
              </w:rPr>
            </w:pPr>
            <w:r>
              <w:rPr>
                <w:sz w:val="18"/>
              </w:rPr>
              <w:t>Development of micro, macro, and sector data analysis frameworks for MSS needs analysis and regional planning</w:t>
            </w:r>
          </w:p>
          <w:p w14:paraId="30646426" w14:textId="77777777" w:rsidR="00BC24A8" w:rsidRDefault="00000000">
            <w:pPr>
              <w:pStyle w:val="TableParagraph"/>
              <w:numPr>
                <w:ilvl w:val="0"/>
                <w:numId w:val="105"/>
              </w:numPr>
              <w:tabs>
                <w:tab w:val="left" w:pos="472"/>
              </w:tabs>
              <w:ind w:right="104"/>
              <w:rPr>
                <w:sz w:val="18"/>
              </w:rPr>
            </w:pPr>
            <w:r>
              <w:rPr>
                <w:sz w:val="18"/>
              </w:rPr>
              <w:t>Capacity</w:t>
            </w:r>
            <w:r>
              <w:rPr>
                <w:spacing w:val="25"/>
                <w:sz w:val="18"/>
              </w:rPr>
              <w:t xml:space="preserve"> </w:t>
            </w:r>
            <w:r>
              <w:rPr>
                <w:sz w:val="18"/>
              </w:rPr>
              <w:t>building</w:t>
            </w:r>
            <w:r>
              <w:rPr>
                <w:spacing w:val="24"/>
                <w:sz w:val="18"/>
              </w:rPr>
              <w:t xml:space="preserve"> </w:t>
            </w:r>
            <w:r>
              <w:rPr>
                <w:sz w:val="18"/>
              </w:rPr>
              <w:t>related</w:t>
            </w:r>
            <w:r>
              <w:rPr>
                <w:spacing w:val="25"/>
                <w:sz w:val="18"/>
              </w:rPr>
              <w:t xml:space="preserve"> </w:t>
            </w:r>
            <w:r>
              <w:rPr>
                <w:sz w:val="18"/>
              </w:rPr>
              <w:t>to</w:t>
            </w:r>
            <w:r>
              <w:rPr>
                <w:spacing w:val="24"/>
                <w:sz w:val="18"/>
              </w:rPr>
              <w:t xml:space="preserve"> </w:t>
            </w:r>
            <w:r>
              <w:rPr>
                <w:sz w:val="18"/>
              </w:rPr>
              <w:t>disaggregated</w:t>
            </w:r>
            <w:r>
              <w:rPr>
                <w:spacing w:val="25"/>
                <w:sz w:val="18"/>
              </w:rPr>
              <w:t xml:space="preserve"> </w:t>
            </w:r>
            <w:r>
              <w:rPr>
                <w:sz w:val="18"/>
              </w:rPr>
              <w:t>micro</w:t>
            </w:r>
            <w:r>
              <w:rPr>
                <w:spacing w:val="24"/>
                <w:sz w:val="18"/>
              </w:rPr>
              <w:t xml:space="preserve"> </w:t>
            </w:r>
            <w:r>
              <w:rPr>
                <w:sz w:val="18"/>
              </w:rPr>
              <w:t>data</w:t>
            </w:r>
            <w:r>
              <w:rPr>
                <w:spacing w:val="24"/>
                <w:sz w:val="18"/>
              </w:rPr>
              <w:t xml:space="preserve"> </w:t>
            </w:r>
            <w:r>
              <w:rPr>
                <w:sz w:val="18"/>
              </w:rPr>
              <w:t>analysis</w:t>
            </w:r>
            <w:r>
              <w:rPr>
                <w:spacing w:val="25"/>
                <w:sz w:val="18"/>
              </w:rPr>
              <w:t xml:space="preserve"> </w:t>
            </w:r>
            <w:r>
              <w:rPr>
                <w:sz w:val="18"/>
              </w:rPr>
              <w:t>for</w:t>
            </w:r>
            <w:r>
              <w:rPr>
                <w:spacing w:val="25"/>
                <w:sz w:val="18"/>
              </w:rPr>
              <w:t xml:space="preserve"> </w:t>
            </w:r>
            <w:r>
              <w:rPr>
                <w:sz w:val="18"/>
              </w:rPr>
              <w:t>MSS</w:t>
            </w:r>
            <w:r>
              <w:rPr>
                <w:spacing w:val="25"/>
                <w:sz w:val="18"/>
              </w:rPr>
              <w:t xml:space="preserve"> </w:t>
            </w:r>
            <w:r>
              <w:rPr>
                <w:sz w:val="18"/>
              </w:rPr>
              <w:t>fulfillment needs analysis and regional planning</w:t>
            </w:r>
          </w:p>
        </w:tc>
      </w:tr>
      <w:tr w:rsidR="00BC24A8" w14:paraId="6461DF86" w14:textId="77777777">
        <w:trPr>
          <w:trHeight w:val="1770"/>
        </w:trPr>
        <w:tc>
          <w:tcPr>
            <w:tcW w:w="2667" w:type="dxa"/>
            <w:tcBorders>
              <w:top w:val="single" w:sz="4" w:space="0" w:color="BEBEBE"/>
              <w:bottom w:val="single" w:sz="4" w:space="0" w:color="BEBEBE"/>
            </w:tcBorders>
          </w:tcPr>
          <w:p w14:paraId="69C31344" w14:textId="77777777" w:rsidR="00BC24A8" w:rsidRDefault="00000000">
            <w:pPr>
              <w:pStyle w:val="TableParagraph"/>
              <w:spacing w:before="56"/>
              <w:ind w:left="115"/>
              <w:rPr>
                <w:sz w:val="18"/>
              </w:rPr>
            </w:pPr>
            <w:r>
              <w:rPr>
                <w:sz w:val="18"/>
              </w:rPr>
              <w:t>Resulting</w:t>
            </w:r>
            <w:r>
              <w:rPr>
                <w:spacing w:val="-9"/>
                <w:sz w:val="18"/>
              </w:rPr>
              <w:t xml:space="preserve"> </w:t>
            </w:r>
            <w:r>
              <w:rPr>
                <w:sz w:val="18"/>
              </w:rPr>
              <w:t>in</w:t>
            </w:r>
            <w:r>
              <w:rPr>
                <w:spacing w:val="-6"/>
                <w:sz w:val="18"/>
              </w:rPr>
              <w:t xml:space="preserve"> </w:t>
            </w:r>
            <w:r>
              <w:rPr>
                <w:sz w:val="18"/>
              </w:rPr>
              <w:t>a</w:t>
            </w:r>
            <w:r>
              <w:rPr>
                <w:spacing w:val="-7"/>
                <w:sz w:val="18"/>
              </w:rPr>
              <w:t xml:space="preserve"> </w:t>
            </w:r>
            <w:r>
              <w:rPr>
                <w:sz w:val="18"/>
              </w:rPr>
              <w:t>more</w:t>
            </w:r>
            <w:r>
              <w:rPr>
                <w:spacing w:val="-6"/>
                <w:sz w:val="18"/>
              </w:rPr>
              <w:t xml:space="preserve"> </w:t>
            </w:r>
            <w:r>
              <w:rPr>
                <w:sz w:val="18"/>
              </w:rPr>
              <w:t>consolidated and</w:t>
            </w:r>
            <w:r>
              <w:rPr>
                <w:spacing w:val="-10"/>
                <w:sz w:val="18"/>
              </w:rPr>
              <w:t xml:space="preserve"> </w:t>
            </w:r>
            <w:r>
              <w:rPr>
                <w:sz w:val="18"/>
              </w:rPr>
              <w:t>inclusive</w:t>
            </w:r>
            <w:r>
              <w:rPr>
                <w:spacing w:val="-10"/>
                <w:sz w:val="18"/>
              </w:rPr>
              <w:t xml:space="preserve"> </w:t>
            </w:r>
            <w:r>
              <w:rPr>
                <w:sz w:val="18"/>
              </w:rPr>
              <w:t>framework</w:t>
            </w:r>
            <w:r>
              <w:rPr>
                <w:spacing w:val="-10"/>
                <w:sz w:val="18"/>
              </w:rPr>
              <w:t xml:space="preserve"> </w:t>
            </w:r>
            <w:r>
              <w:rPr>
                <w:sz w:val="18"/>
              </w:rPr>
              <w:t>for</w:t>
            </w:r>
            <w:r>
              <w:rPr>
                <w:spacing w:val="-10"/>
                <w:sz w:val="18"/>
              </w:rPr>
              <w:t xml:space="preserve"> </w:t>
            </w:r>
            <w:r>
              <w:rPr>
                <w:sz w:val="18"/>
              </w:rPr>
              <w:t xml:space="preserve">MSS implementation and regular </w:t>
            </w:r>
            <w:r>
              <w:rPr>
                <w:spacing w:val="-2"/>
                <w:sz w:val="18"/>
              </w:rPr>
              <w:t>planning</w:t>
            </w:r>
          </w:p>
        </w:tc>
        <w:tc>
          <w:tcPr>
            <w:tcW w:w="6724" w:type="dxa"/>
            <w:tcBorders>
              <w:top w:val="single" w:sz="4" w:space="0" w:color="BEBEBE"/>
              <w:bottom w:val="single" w:sz="4" w:space="0" w:color="BEBEBE"/>
            </w:tcBorders>
          </w:tcPr>
          <w:p w14:paraId="7BC7125B" w14:textId="77777777" w:rsidR="00BC24A8" w:rsidRDefault="00000000">
            <w:pPr>
              <w:pStyle w:val="TableParagraph"/>
              <w:numPr>
                <w:ilvl w:val="0"/>
                <w:numId w:val="104"/>
              </w:numPr>
              <w:tabs>
                <w:tab w:val="left" w:pos="472"/>
              </w:tabs>
              <w:spacing w:before="116"/>
              <w:rPr>
                <w:sz w:val="18"/>
              </w:rPr>
            </w:pPr>
            <w:r>
              <w:rPr>
                <w:sz w:val="18"/>
              </w:rPr>
              <w:t>Facilitation</w:t>
            </w:r>
            <w:r>
              <w:rPr>
                <w:spacing w:val="-2"/>
                <w:sz w:val="18"/>
              </w:rPr>
              <w:t xml:space="preserve"> </w:t>
            </w:r>
            <w:r>
              <w:rPr>
                <w:sz w:val="18"/>
              </w:rPr>
              <w:t>of</w:t>
            </w:r>
            <w:r>
              <w:rPr>
                <w:spacing w:val="-3"/>
                <w:sz w:val="18"/>
              </w:rPr>
              <w:t xml:space="preserve"> </w:t>
            </w:r>
            <w:r>
              <w:rPr>
                <w:sz w:val="18"/>
              </w:rPr>
              <w:t>MSS</w:t>
            </w:r>
            <w:r>
              <w:rPr>
                <w:spacing w:val="-1"/>
                <w:sz w:val="18"/>
              </w:rPr>
              <w:t xml:space="preserve"> </w:t>
            </w:r>
            <w:r>
              <w:rPr>
                <w:sz w:val="18"/>
              </w:rPr>
              <w:t>financing</w:t>
            </w:r>
            <w:r>
              <w:rPr>
                <w:spacing w:val="-3"/>
                <w:sz w:val="18"/>
              </w:rPr>
              <w:t xml:space="preserve"> </w:t>
            </w:r>
            <w:r>
              <w:rPr>
                <w:sz w:val="18"/>
              </w:rPr>
              <w:t>needs</w:t>
            </w:r>
            <w:r>
              <w:rPr>
                <w:spacing w:val="-1"/>
                <w:sz w:val="18"/>
              </w:rPr>
              <w:t xml:space="preserve"> </w:t>
            </w:r>
            <w:r>
              <w:rPr>
                <w:sz w:val="18"/>
              </w:rPr>
              <w:t>calculation</w:t>
            </w:r>
            <w:r>
              <w:rPr>
                <w:spacing w:val="-5"/>
                <w:sz w:val="18"/>
              </w:rPr>
              <w:t xml:space="preserve"> </w:t>
            </w:r>
            <w:r>
              <w:rPr>
                <w:sz w:val="18"/>
              </w:rPr>
              <w:t>through</w:t>
            </w:r>
            <w:r>
              <w:rPr>
                <w:spacing w:val="-1"/>
                <w:sz w:val="18"/>
              </w:rPr>
              <w:t xml:space="preserve"> </w:t>
            </w:r>
            <w:r>
              <w:rPr>
                <w:sz w:val="18"/>
              </w:rPr>
              <w:t>e-</w:t>
            </w:r>
            <w:r>
              <w:rPr>
                <w:spacing w:val="-2"/>
                <w:sz w:val="18"/>
              </w:rPr>
              <w:t>costing</w:t>
            </w:r>
          </w:p>
          <w:p w14:paraId="1F183A87" w14:textId="77777777" w:rsidR="00BC24A8" w:rsidRDefault="00000000">
            <w:pPr>
              <w:pStyle w:val="TableParagraph"/>
              <w:numPr>
                <w:ilvl w:val="0"/>
                <w:numId w:val="104"/>
              </w:numPr>
              <w:tabs>
                <w:tab w:val="left" w:pos="472"/>
              </w:tabs>
              <w:spacing w:before="1"/>
              <w:ind w:right="103"/>
              <w:rPr>
                <w:sz w:val="18"/>
              </w:rPr>
            </w:pPr>
            <w:r>
              <w:rPr>
                <w:sz w:val="18"/>
              </w:rPr>
              <w:t>Strengthening</w:t>
            </w:r>
            <w:r>
              <w:rPr>
                <w:spacing w:val="80"/>
                <w:sz w:val="18"/>
              </w:rPr>
              <w:t xml:space="preserve"> </w:t>
            </w:r>
            <w:r>
              <w:rPr>
                <w:sz w:val="18"/>
              </w:rPr>
              <w:t>the</w:t>
            </w:r>
            <w:r>
              <w:rPr>
                <w:spacing w:val="80"/>
                <w:sz w:val="18"/>
              </w:rPr>
              <w:t xml:space="preserve"> </w:t>
            </w:r>
            <w:r>
              <w:rPr>
                <w:sz w:val="18"/>
              </w:rPr>
              <w:t>coordination</w:t>
            </w:r>
            <w:r>
              <w:rPr>
                <w:spacing w:val="80"/>
                <w:sz w:val="18"/>
              </w:rPr>
              <w:t xml:space="preserve"> </w:t>
            </w:r>
            <w:r>
              <w:rPr>
                <w:sz w:val="18"/>
              </w:rPr>
              <w:t>and</w:t>
            </w:r>
            <w:r>
              <w:rPr>
                <w:spacing w:val="80"/>
                <w:sz w:val="18"/>
              </w:rPr>
              <w:t xml:space="preserve"> </w:t>
            </w:r>
            <w:r>
              <w:rPr>
                <w:sz w:val="18"/>
              </w:rPr>
              <w:t>coaching</w:t>
            </w:r>
            <w:r>
              <w:rPr>
                <w:spacing w:val="80"/>
                <w:sz w:val="18"/>
              </w:rPr>
              <w:t xml:space="preserve"> </w:t>
            </w:r>
            <w:r>
              <w:rPr>
                <w:sz w:val="18"/>
              </w:rPr>
              <w:t>role</w:t>
            </w:r>
            <w:r>
              <w:rPr>
                <w:spacing w:val="80"/>
                <w:sz w:val="18"/>
              </w:rPr>
              <w:t xml:space="preserve"> </w:t>
            </w:r>
            <w:r>
              <w:rPr>
                <w:sz w:val="18"/>
              </w:rPr>
              <w:t>of</w:t>
            </w:r>
            <w:r>
              <w:rPr>
                <w:spacing w:val="80"/>
                <w:sz w:val="18"/>
              </w:rPr>
              <w:t xml:space="preserve"> </w:t>
            </w:r>
            <w:r>
              <w:rPr>
                <w:sz w:val="18"/>
              </w:rPr>
              <w:t>the</w:t>
            </w:r>
            <w:r>
              <w:rPr>
                <w:spacing w:val="80"/>
                <w:sz w:val="18"/>
              </w:rPr>
              <w:t xml:space="preserve"> </w:t>
            </w:r>
            <w:r>
              <w:rPr>
                <w:sz w:val="18"/>
              </w:rPr>
              <w:t>Provincial</w:t>
            </w:r>
            <w:r>
              <w:rPr>
                <w:spacing w:val="80"/>
                <w:sz w:val="18"/>
              </w:rPr>
              <w:t xml:space="preserve"> </w:t>
            </w:r>
            <w:r>
              <w:rPr>
                <w:sz w:val="18"/>
              </w:rPr>
              <w:t>MSS</w:t>
            </w:r>
            <w:r>
              <w:rPr>
                <w:spacing w:val="80"/>
                <w:sz w:val="18"/>
              </w:rPr>
              <w:t xml:space="preserve"> </w:t>
            </w:r>
            <w:r>
              <w:rPr>
                <w:sz w:val="18"/>
              </w:rPr>
              <w:t>implementation team</w:t>
            </w:r>
          </w:p>
          <w:p w14:paraId="7F89FE1E" w14:textId="77777777" w:rsidR="00BC24A8" w:rsidRDefault="00000000">
            <w:pPr>
              <w:pStyle w:val="TableParagraph"/>
              <w:numPr>
                <w:ilvl w:val="0"/>
                <w:numId w:val="104"/>
              </w:numPr>
              <w:tabs>
                <w:tab w:val="left" w:pos="472"/>
              </w:tabs>
              <w:ind w:right="103"/>
              <w:rPr>
                <w:sz w:val="18"/>
              </w:rPr>
            </w:pPr>
            <w:r>
              <w:rPr>
                <w:sz w:val="18"/>
              </w:rPr>
              <w:t>Capacity</w:t>
            </w:r>
            <w:r>
              <w:rPr>
                <w:spacing w:val="27"/>
                <w:sz w:val="18"/>
              </w:rPr>
              <w:t xml:space="preserve"> </w:t>
            </w:r>
            <w:r>
              <w:rPr>
                <w:sz w:val="18"/>
              </w:rPr>
              <w:t>building</w:t>
            </w:r>
            <w:r>
              <w:rPr>
                <w:spacing w:val="24"/>
                <w:sz w:val="18"/>
              </w:rPr>
              <w:t xml:space="preserve"> </w:t>
            </w:r>
            <w:r>
              <w:rPr>
                <w:sz w:val="18"/>
              </w:rPr>
              <w:t>related</w:t>
            </w:r>
            <w:r>
              <w:rPr>
                <w:spacing w:val="25"/>
                <w:sz w:val="18"/>
              </w:rPr>
              <w:t xml:space="preserve"> </w:t>
            </w:r>
            <w:r>
              <w:rPr>
                <w:sz w:val="18"/>
              </w:rPr>
              <w:t>to</w:t>
            </w:r>
            <w:r>
              <w:rPr>
                <w:spacing w:val="27"/>
                <w:sz w:val="18"/>
              </w:rPr>
              <w:t xml:space="preserve"> </w:t>
            </w:r>
            <w:r>
              <w:rPr>
                <w:sz w:val="18"/>
              </w:rPr>
              <w:t>regional</w:t>
            </w:r>
            <w:r>
              <w:rPr>
                <w:spacing w:val="28"/>
                <w:sz w:val="18"/>
              </w:rPr>
              <w:t xml:space="preserve"> </w:t>
            </w:r>
            <w:r>
              <w:rPr>
                <w:sz w:val="18"/>
              </w:rPr>
              <w:t>planning</w:t>
            </w:r>
            <w:r>
              <w:rPr>
                <w:spacing w:val="24"/>
                <w:sz w:val="18"/>
              </w:rPr>
              <w:t xml:space="preserve"> </w:t>
            </w:r>
            <w:r>
              <w:rPr>
                <w:sz w:val="18"/>
              </w:rPr>
              <w:t>including</w:t>
            </w:r>
            <w:r>
              <w:rPr>
                <w:spacing w:val="24"/>
                <w:sz w:val="18"/>
              </w:rPr>
              <w:t xml:space="preserve"> </w:t>
            </w:r>
            <w:r>
              <w:rPr>
                <w:sz w:val="18"/>
              </w:rPr>
              <w:t>the</w:t>
            </w:r>
            <w:r>
              <w:rPr>
                <w:spacing w:val="25"/>
                <w:sz w:val="18"/>
              </w:rPr>
              <w:t xml:space="preserve"> </w:t>
            </w:r>
            <w:r>
              <w:rPr>
                <w:sz w:val="18"/>
              </w:rPr>
              <w:t>integration</w:t>
            </w:r>
            <w:r>
              <w:rPr>
                <w:spacing w:val="27"/>
                <w:sz w:val="18"/>
              </w:rPr>
              <w:t xml:space="preserve"> </w:t>
            </w:r>
            <w:r>
              <w:rPr>
                <w:sz w:val="18"/>
              </w:rPr>
              <w:t>of</w:t>
            </w:r>
            <w:r>
              <w:rPr>
                <w:spacing w:val="26"/>
                <w:sz w:val="18"/>
              </w:rPr>
              <w:t xml:space="preserve"> </w:t>
            </w:r>
            <w:r>
              <w:rPr>
                <w:sz w:val="18"/>
              </w:rPr>
              <w:t>various thematic action plans</w:t>
            </w:r>
          </w:p>
          <w:p w14:paraId="6BE6C420" w14:textId="77777777" w:rsidR="00BC24A8" w:rsidRDefault="00000000">
            <w:pPr>
              <w:pStyle w:val="TableParagraph"/>
              <w:numPr>
                <w:ilvl w:val="0"/>
                <w:numId w:val="104"/>
              </w:numPr>
              <w:tabs>
                <w:tab w:val="left" w:pos="472"/>
              </w:tabs>
              <w:spacing w:line="219" w:lineRule="exact"/>
              <w:rPr>
                <w:sz w:val="18"/>
              </w:rPr>
            </w:pPr>
            <w:r>
              <w:rPr>
                <w:sz w:val="18"/>
              </w:rPr>
              <w:t>Advocacy</w:t>
            </w:r>
            <w:r>
              <w:rPr>
                <w:spacing w:val="-2"/>
                <w:sz w:val="18"/>
              </w:rPr>
              <w:t xml:space="preserve"> </w:t>
            </w:r>
            <w:r>
              <w:rPr>
                <w:sz w:val="18"/>
              </w:rPr>
              <w:t>for</w:t>
            </w:r>
            <w:r>
              <w:rPr>
                <w:spacing w:val="-2"/>
                <w:sz w:val="18"/>
              </w:rPr>
              <w:t xml:space="preserve"> </w:t>
            </w:r>
            <w:r>
              <w:rPr>
                <w:sz w:val="18"/>
              </w:rPr>
              <w:t>the</w:t>
            </w:r>
            <w:r>
              <w:rPr>
                <w:spacing w:val="-1"/>
                <w:sz w:val="18"/>
              </w:rPr>
              <w:t xml:space="preserve"> </w:t>
            </w:r>
            <w:r>
              <w:rPr>
                <w:sz w:val="18"/>
              </w:rPr>
              <w:t>preparation</w:t>
            </w:r>
            <w:r>
              <w:rPr>
                <w:spacing w:val="-2"/>
                <w:sz w:val="18"/>
              </w:rPr>
              <w:t xml:space="preserve"> </w:t>
            </w:r>
            <w:r>
              <w:rPr>
                <w:sz w:val="18"/>
              </w:rPr>
              <w:t>of</w:t>
            </w:r>
            <w:r>
              <w:rPr>
                <w:spacing w:val="-2"/>
                <w:sz w:val="18"/>
              </w:rPr>
              <w:t xml:space="preserve"> </w:t>
            </w:r>
            <w:r>
              <w:rPr>
                <w:sz w:val="18"/>
              </w:rPr>
              <w:t>regional</w:t>
            </w:r>
            <w:r>
              <w:rPr>
                <w:spacing w:val="-1"/>
                <w:sz w:val="18"/>
              </w:rPr>
              <w:t xml:space="preserve"> </w:t>
            </w:r>
            <w:r>
              <w:rPr>
                <w:sz w:val="18"/>
              </w:rPr>
              <w:t>planning</w:t>
            </w:r>
            <w:r>
              <w:rPr>
                <w:spacing w:val="-2"/>
                <w:sz w:val="18"/>
              </w:rPr>
              <w:t xml:space="preserve"> documents</w:t>
            </w:r>
          </w:p>
          <w:p w14:paraId="0EFEE9F4" w14:textId="77777777" w:rsidR="00BC24A8" w:rsidRDefault="00000000">
            <w:pPr>
              <w:pStyle w:val="TableParagraph"/>
              <w:numPr>
                <w:ilvl w:val="0"/>
                <w:numId w:val="104"/>
              </w:numPr>
              <w:tabs>
                <w:tab w:val="left" w:pos="472"/>
              </w:tabs>
              <w:spacing w:before="1"/>
              <w:rPr>
                <w:sz w:val="18"/>
              </w:rPr>
            </w:pPr>
            <w:r>
              <w:rPr>
                <w:sz w:val="18"/>
              </w:rPr>
              <w:t>Advocacy</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preparation</w:t>
            </w:r>
            <w:r>
              <w:rPr>
                <w:spacing w:val="-2"/>
                <w:sz w:val="18"/>
              </w:rPr>
              <w:t xml:space="preserve"> </w:t>
            </w:r>
            <w:r>
              <w:rPr>
                <w:sz w:val="18"/>
              </w:rPr>
              <w:t>of</w:t>
            </w:r>
            <w:r>
              <w:rPr>
                <w:spacing w:val="-3"/>
                <w:sz w:val="18"/>
              </w:rPr>
              <w:t xml:space="preserve"> </w:t>
            </w:r>
            <w:r>
              <w:rPr>
                <w:sz w:val="18"/>
              </w:rPr>
              <w:t>regional</w:t>
            </w:r>
            <w:r>
              <w:rPr>
                <w:spacing w:val="-1"/>
                <w:sz w:val="18"/>
              </w:rPr>
              <w:t xml:space="preserve"> </w:t>
            </w:r>
            <w:r>
              <w:rPr>
                <w:sz w:val="18"/>
              </w:rPr>
              <w:t>budgeting</w:t>
            </w:r>
            <w:r>
              <w:rPr>
                <w:spacing w:val="-2"/>
                <w:sz w:val="18"/>
              </w:rPr>
              <w:t xml:space="preserve"> documents</w:t>
            </w:r>
          </w:p>
        </w:tc>
      </w:tr>
      <w:tr w:rsidR="00BC24A8" w14:paraId="01011869" w14:textId="77777777">
        <w:trPr>
          <w:trHeight w:val="1333"/>
        </w:trPr>
        <w:tc>
          <w:tcPr>
            <w:tcW w:w="2667" w:type="dxa"/>
            <w:tcBorders>
              <w:top w:val="single" w:sz="4" w:space="0" w:color="BEBEBE"/>
              <w:bottom w:val="single" w:sz="4" w:space="0" w:color="BEBEBE"/>
            </w:tcBorders>
          </w:tcPr>
          <w:p w14:paraId="19C90620" w14:textId="77777777" w:rsidR="00BC24A8" w:rsidRDefault="00000000">
            <w:pPr>
              <w:pStyle w:val="TableParagraph"/>
              <w:spacing w:before="59"/>
              <w:ind w:left="115"/>
              <w:rPr>
                <w:sz w:val="18"/>
              </w:rPr>
            </w:pPr>
            <w:r>
              <w:rPr>
                <w:sz w:val="18"/>
              </w:rPr>
              <w:t>Generate</w:t>
            </w:r>
            <w:r>
              <w:rPr>
                <w:spacing w:val="-7"/>
                <w:sz w:val="18"/>
              </w:rPr>
              <w:t xml:space="preserve"> </w:t>
            </w:r>
            <w:r>
              <w:rPr>
                <w:sz w:val="18"/>
              </w:rPr>
              <w:t>a</w:t>
            </w:r>
            <w:r>
              <w:rPr>
                <w:spacing w:val="-7"/>
                <w:sz w:val="18"/>
              </w:rPr>
              <w:t xml:space="preserve"> </w:t>
            </w:r>
            <w:r>
              <w:rPr>
                <w:sz w:val="18"/>
              </w:rPr>
              <w:t>more</w:t>
            </w:r>
            <w:r>
              <w:rPr>
                <w:spacing w:val="-7"/>
                <w:sz w:val="18"/>
              </w:rPr>
              <w:t xml:space="preserve"> </w:t>
            </w:r>
            <w:r>
              <w:rPr>
                <w:sz w:val="18"/>
              </w:rPr>
              <w:t>responsive</w:t>
            </w:r>
            <w:r>
              <w:rPr>
                <w:spacing w:val="-7"/>
                <w:sz w:val="18"/>
              </w:rPr>
              <w:t xml:space="preserve"> </w:t>
            </w:r>
            <w:r>
              <w:rPr>
                <w:sz w:val="18"/>
              </w:rPr>
              <w:t>local government</w:t>
            </w:r>
            <w:r>
              <w:rPr>
                <w:spacing w:val="-11"/>
                <w:sz w:val="18"/>
              </w:rPr>
              <w:t xml:space="preserve"> </w:t>
            </w:r>
            <w:r>
              <w:rPr>
                <w:sz w:val="18"/>
              </w:rPr>
              <w:t>budget</w:t>
            </w:r>
            <w:r>
              <w:rPr>
                <w:spacing w:val="-10"/>
                <w:sz w:val="18"/>
              </w:rPr>
              <w:t xml:space="preserve"> </w:t>
            </w:r>
            <w:r>
              <w:rPr>
                <w:sz w:val="18"/>
              </w:rPr>
              <w:t xml:space="preserve">management base for inclusive basic service </w:t>
            </w:r>
            <w:r>
              <w:rPr>
                <w:spacing w:val="-2"/>
                <w:sz w:val="18"/>
              </w:rPr>
              <w:t>delivery</w:t>
            </w:r>
          </w:p>
        </w:tc>
        <w:tc>
          <w:tcPr>
            <w:tcW w:w="6724" w:type="dxa"/>
            <w:tcBorders>
              <w:top w:val="single" w:sz="4" w:space="0" w:color="BEBEBE"/>
              <w:bottom w:val="single" w:sz="4" w:space="0" w:color="BEBEBE"/>
            </w:tcBorders>
          </w:tcPr>
          <w:p w14:paraId="4FFCC96C" w14:textId="77777777" w:rsidR="00BC24A8" w:rsidRDefault="00000000">
            <w:pPr>
              <w:pStyle w:val="TableParagraph"/>
              <w:numPr>
                <w:ilvl w:val="0"/>
                <w:numId w:val="103"/>
              </w:numPr>
              <w:tabs>
                <w:tab w:val="left" w:pos="472"/>
              </w:tabs>
              <w:spacing w:before="119"/>
              <w:ind w:right="103"/>
              <w:rPr>
                <w:sz w:val="18"/>
              </w:rPr>
            </w:pPr>
            <w:r>
              <w:rPr>
                <w:sz w:val="18"/>
              </w:rPr>
              <w:t>Preparation</w:t>
            </w:r>
            <w:r>
              <w:rPr>
                <w:spacing w:val="-6"/>
                <w:sz w:val="18"/>
              </w:rPr>
              <w:t xml:space="preserve"> </w:t>
            </w:r>
            <w:r>
              <w:rPr>
                <w:sz w:val="18"/>
              </w:rPr>
              <w:t>and</w:t>
            </w:r>
            <w:r>
              <w:rPr>
                <w:spacing w:val="-6"/>
                <w:sz w:val="18"/>
              </w:rPr>
              <w:t xml:space="preserve"> </w:t>
            </w:r>
            <w:r>
              <w:rPr>
                <w:sz w:val="18"/>
              </w:rPr>
              <w:t>implementation</w:t>
            </w:r>
            <w:r>
              <w:rPr>
                <w:spacing w:val="-8"/>
                <w:sz w:val="18"/>
              </w:rPr>
              <w:t xml:space="preserve"> </w:t>
            </w:r>
            <w:r>
              <w:rPr>
                <w:sz w:val="18"/>
              </w:rPr>
              <w:t>of</w:t>
            </w:r>
            <w:r>
              <w:rPr>
                <w:spacing w:val="-7"/>
                <w:sz w:val="18"/>
              </w:rPr>
              <w:t xml:space="preserve"> </w:t>
            </w:r>
            <w:r>
              <w:rPr>
                <w:sz w:val="18"/>
              </w:rPr>
              <w:t>regulations</w:t>
            </w:r>
            <w:r>
              <w:rPr>
                <w:spacing w:val="-6"/>
                <w:sz w:val="18"/>
              </w:rPr>
              <w:t xml:space="preserve"> </w:t>
            </w:r>
            <w:r>
              <w:rPr>
                <w:sz w:val="18"/>
              </w:rPr>
              <w:t>and</w:t>
            </w:r>
            <w:r>
              <w:rPr>
                <w:spacing w:val="-6"/>
                <w:sz w:val="18"/>
              </w:rPr>
              <w:t xml:space="preserve"> </w:t>
            </w:r>
            <w:r>
              <w:rPr>
                <w:sz w:val="18"/>
              </w:rPr>
              <w:t>policies</w:t>
            </w:r>
            <w:r>
              <w:rPr>
                <w:spacing w:val="-6"/>
                <w:sz w:val="18"/>
              </w:rPr>
              <w:t xml:space="preserve"> </w:t>
            </w:r>
            <w:r>
              <w:rPr>
                <w:sz w:val="18"/>
              </w:rPr>
              <w:t>on</w:t>
            </w:r>
            <w:r>
              <w:rPr>
                <w:spacing w:val="-6"/>
                <w:sz w:val="18"/>
              </w:rPr>
              <w:t xml:space="preserve"> </w:t>
            </w:r>
            <w:r>
              <w:rPr>
                <w:sz w:val="18"/>
              </w:rPr>
              <w:t>Regional</w:t>
            </w:r>
            <w:r>
              <w:rPr>
                <w:spacing w:val="-6"/>
                <w:sz w:val="18"/>
              </w:rPr>
              <w:t xml:space="preserve"> </w:t>
            </w:r>
            <w:r>
              <w:rPr>
                <w:sz w:val="18"/>
              </w:rPr>
              <w:t>Revenue</w:t>
            </w:r>
            <w:r>
              <w:rPr>
                <w:spacing w:val="-6"/>
                <w:sz w:val="18"/>
              </w:rPr>
              <w:t xml:space="preserve"> </w:t>
            </w:r>
            <w:r>
              <w:rPr>
                <w:sz w:val="18"/>
              </w:rPr>
              <w:t>and Expenditure (PDRD)</w:t>
            </w:r>
          </w:p>
          <w:p w14:paraId="2FC81F3C" w14:textId="77777777" w:rsidR="00BC24A8" w:rsidRDefault="00000000">
            <w:pPr>
              <w:pStyle w:val="TableParagraph"/>
              <w:numPr>
                <w:ilvl w:val="0"/>
                <w:numId w:val="103"/>
              </w:numPr>
              <w:tabs>
                <w:tab w:val="left" w:pos="472"/>
              </w:tabs>
              <w:spacing w:line="219" w:lineRule="exact"/>
              <w:rPr>
                <w:sz w:val="18"/>
              </w:rPr>
            </w:pPr>
            <w:r>
              <w:rPr>
                <w:sz w:val="18"/>
              </w:rPr>
              <w:t>Capacity</w:t>
            </w:r>
            <w:r>
              <w:rPr>
                <w:spacing w:val="-2"/>
                <w:sz w:val="18"/>
              </w:rPr>
              <w:t xml:space="preserve"> </w:t>
            </w:r>
            <w:r>
              <w:rPr>
                <w:sz w:val="18"/>
              </w:rPr>
              <w:t>building</w:t>
            </w:r>
            <w:r>
              <w:rPr>
                <w:spacing w:val="-1"/>
                <w:sz w:val="18"/>
              </w:rPr>
              <w:t xml:space="preserve"> </w:t>
            </w:r>
            <w:r>
              <w:rPr>
                <w:sz w:val="18"/>
              </w:rPr>
              <w:t>related</w:t>
            </w:r>
            <w:r>
              <w:rPr>
                <w:spacing w:val="-2"/>
                <w:sz w:val="18"/>
              </w:rPr>
              <w:t xml:space="preserve"> </w:t>
            </w:r>
            <w:r>
              <w:rPr>
                <w:sz w:val="18"/>
              </w:rPr>
              <w:t>to</w:t>
            </w:r>
            <w:r>
              <w:rPr>
                <w:spacing w:val="-1"/>
                <w:sz w:val="18"/>
              </w:rPr>
              <w:t xml:space="preserve"> </w:t>
            </w:r>
            <w:r>
              <w:rPr>
                <w:spacing w:val="-4"/>
                <w:sz w:val="18"/>
              </w:rPr>
              <w:t>PDRD</w:t>
            </w:r>
          </w:p>
          <w:p w14:paraId="2B6302F6" w14:textId="77777777" w:rsidR="00BC24A8" w:rsidRDefault="00000000">
            <w:pPr>
              <w:pStyle w:val="TableParagraph"/>
              <w:numPr>
                <w:ilvl w:val="0"/>
                <w:numId w:val="103"/>
              </w:numPr>
              <w:tabs>
                <w:tab w:val="left" w:pos="472"/>
              </w:tabs>
              <w:spacing w:line="219" w:lineRule="exact"/>
              <w:rPr>
                <w:sz w:val="18"/>
              </w:rPr>
            </w:pPr>
            <w:r>
              <w:rPr>
                <w:sz w:val="18"/>
              </w:rPr>
              <w:t>Capacity</w:t>
            </w:r>
            <w:r>
              <w:rPr>
                <w:spacing w:val="-2"/>
                <w:sz w:val="18"/>
              </w:rPr>
              <w:t xml:space="preserve"> </w:t>
            </w:r>
            <w:r>
              <w:rPr>
                <w:sz w:val="18"/>
              </w:rPr>
              <w:t>building</w:t>
            </w:r>
            <w:r>
              <w:rPr>
                <w:spacing w:val="-2"/>
                <w:sz w:val="18"/>
              </w:rPr>
              <w:t xml:space="preserve"> </w:t>
            </w:r>
            <w:r>
              <w:rPr>
                <w:sz w:val="18"/>
              </w:rPr>
              <w:t>related</w:t>
            </w:r>
            <w:r>
              <w:rPr>
                <w:spacing w:val="-1"/>
                <w:sz w:val="18"/>
              </w:rPr>
              <w:t xml:space="preserve"> </w:t>
            </w:r>
            <w:r>
              <w:rPr>
                <w:sz w:val="18"/>
              </w:rPr>
              <w:t>to</w:t>
            </w:r>
            <w:r>
              <w:rPr>
                <w:spacing w:val="-4"/>
                <w:sz w:val="18"/>
              </w:rPr>
              <w:t xml:space="preserve"> </w:t>
            </w:r>
            <w:r>
              <w:rPr>
                <w:sz w:val="18"/>
              </w:rPr>
              <w:t>the</w:t>
            </w:r>
            <w:r>
              <w:rPr>
                <w:spacing w:val="-2"/>
                <w:sz w:val="18"/>
              </w:rPr>
              <w:t xml:space="preserve"> </w:t>
            </w:r>
            <w:r>
              <w:rPr>
                <w:sz w:val="18"/>
              </w:rPr>
              <w:t>General Allocation</w:t>
            </w:r>
            <w:r>
              <w:rPr>
                <w:spacing w:val="-4"/>
                <w:sz w:val="18"/>
              </w:rPr>
              <w:t xml:space="preserve"> </w:t>
            </w:r>
            <w:r>
              <w:rPr>
                <w:sz w:val="18"/>
              </w:rPr>
              <w:t>Fund</w:t>
            </w:r>
            <w:r>
              <w:rPr>
                <w:spacing w:val="-1"/>
                <w:sz w:val="18"/>
              </w:rPr>
              <w:t xml:space="preserve"> </w:t>
            </w:r>
            <w:r>
              <w:rPr>
                <w:spacing w:val="-4"/>
                <w:sz w:val="18"/>
              </w:rPr>
              <w:t>(DAU)</w:t>
            </w:r>
          </w:p>
          <w:p w14:paraId="107559C2" w14:textId="77777777" w:rsidR="00BC24A8" w:rsidRDefault="00000000">
            <w:pPr>
              <w:pStyle w:val="TableParagraph"/>
              <w:numPr>
                <w:ilvl w:val="0"/>
                <w:numId w:val="103"/>
              </w:numPr>
              <w:tabs>
                <w:tab w:val="left" w:pos="472"/>
              </w:tabs>
              <w:spacing w:before="1"/>
              <w:rPr>
                <w:sz w:val="18"/>
              </w:rPr>
            </w:pPr>
            <w:r>
              <w:rPr>
                <w:sz w:val="18"/>
              </w:rPr>
              <w:t>Capacity</w:t>
            </w:r>
            <w:r>
              <w:rPr>
                <w:spacing w:val="-2"/>
                <w:sz w:val="18"/>
              </w:rPr>
              <w:t xml:space="preserve"> </w:t>
            </w:r>
            <w:r>
              <w:rPr>
                <w:sz w:val="18"/>
              </w:rPr>
              <w:t>building</w:t>
            </w:r>
            <w:r>
              <w:rPr>
                <w:spacing w:val="-1"/>
                <w:sz w:val="18"/>
              </w:rPr>
              <w:t xml:space="preserve"> </w:t>
            </w:r>
            <w:r>
              <w:rPr>
                <w:sz w:val="18"/>
              </w:rPr>
              <w:t>related</w:t>
            </w:r>
            <w:r>
              <w:rPr>
                <w:spacing w:val="-1"/>
                <w:sz w:val="18"/>
              </w:rPr>
              <w:t xml:space="preserve"> </w:t>
            </w:r>
            <w:r>
              <w:rPr>
                <w:sz w:val="18"/>
              </w:rPr>
              <w:t>to</w:t>
            </w:r>
            <w:r>
              <w:rPr>
                <w:spacing w:val="-2"/>
                <w:sz w:val="18"/>
              </w:rPr>
              <w:t xml:space="preserve"> </w:t>
            </w:r>
            <w:r>
              <w:rPr>
                <w:sz w:val="18"/>
              </w:rPr>
              <w:t>Revenue</w:t>
            </w:r>
            <w:r>
              <w:rPr>
                <w:spacing w:val="-1"/>
                <w:sz w:val="18"/>
              </w:rPr>
              <w:t xml:space="preserve"> </w:t>
            </w:r>
            <w:r>
              <w:rPr>
                <w:sz w:val="18"/>
              </w:rPr>
              <w:t>Sharing</w:t>
            </w:r>
            <w:r>
              <w:rPr>
                <w:spacing w:val="-2"/>
                <w:sz w:val="18"/>
              </w:rPr>
              <w:t xml:space="preserve"> </w:t>
            </w:r>
            <w:r>
              <w:rPr>
                <w:sz w:val="18"/>
              </w:rPr>
              <w:t>Fund</w:t>
            </w:r>
            <w:r>
              <w:rPr>
                <w:spacing w:val="-1"/>
                <w:sz w:val="18"/>
              </w:rPr>
              <w:t xml:space="preserve"> </w:t>
            </w:r>
            <w:r>
              <w:rPr>
                <w:spacing w:val="-4"/>
                <w:sz w:val="18"/>
              </w:rPr>
              <w:t>(DBH)</w:t>
            </w:r>
          </w:p>
        </w:tc>
      </w:tr>
    </w:tbl>
    <w:p w14:paraId="221218B6" w14:textId="77777777" w:rsidR="00BC24A8" w:rsidRDefault="00BC24A8">
      <w:pPr>
        <w:pStyle w:val="BodyText"/>
        <w:spacing w:before="200"/>
        <w:rPr>
          <w:rFonts w:ascii="Calibri"/>
          <w:b/>
        </w:rPr>
      </w:pPr>
    </w:p>
    <w:p w14:paraId="2B4ACA2C" w14:textId="77777777" w:rsidR="00BC24A8" w:rsidRDefault="00000000">
      <w:pPr>
        <w:pStyle w:val="ListParagraph"/>
        <w:numPr>
          <w:ilvl w:val="1"/>
          <w:numId w:val="108"/>
        </w:numPr>
        <w:tabs>
          <w:tab w:val="left" w:pos="683"/>
        </w:tabs>
        <w:ind w:left="683" w:hanging="631"/>
        <w:rPr>
          <w:rFonts w:ascii="Calibri"/>
          <w:b/>
        </w:rPr>
      </w:pPr>
      <w:bookmarkStart w:id="169" w:name="3.4_Summary_of_key_support/inputs"/>
      <w:bookmarkEnd w:id="169"/>
      <w:r w:rsidRPr="00795364">
        <w:rPr>
          <w:rFonts w:ascii="Calibri"/>
          <w:b/>
          <w:color w:val="008279"/>
        </w:rPr>
        <w:t>Summary</w:t>
      </w:r>
      <w:r w:rsidRPr="00795364">
        <w:rPr>
          <w:rFonts w:ascii="Calibri"/>
          <w:b/>
          <w:color w:val="008279"/>
          <w:spacing w:val="-6"/>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key</w:t>
      </w:r>
      <w:r w:rsidRPr="00795364">
        <w:rPr>
          <w:rFonts w:ascii="Calibri"/>
          <w:b/>
          <w:color w:val="008279"/>
          <w:spacing w:val="-5"/>
        </w:rPr>
        <w:t xml:space="preserve"> </w:t>
      </w:r>
      <w:r w:rsidRPr="00795364">
        <w:rPr>
          <w:rFonts w:ascii="Calibri"/>
          <w:b/>
          <w:color w:val="008279"/>
          <w:spacing w:val="-2"/>
        </w:rPr>
        <w:t>support/inputs</w:t>
      </w:r>
    </w:p>
    <w:p w14:paraId="6F3AC6F8" w14:textId="77777777" w:rsidR="00BC24A8" w:rsidRDefault="00BC24A8">
      <w:pPr>
        <w:pStyle w:val="BodyText"/>
        <w:rPr>
          <w:rFonts w:ascii="Calibri"/>
          <w:b/>
          <w:sz w:val="20"/>
        </w:rPr>
      </w:pPr>
    </w:p>
    <w:p w14:paraId="3CF01D81" w14:textId="77777777" w:rsidR="00BC24A8" w:rsidRDefault="00BC24A8">
      <w:pPr>
        <w:pStyle w:val="BodyText"/>
        <w:spacing w:before="38" w:after="1"/>
        <w:rPr>
          <w:rFonts w:ascii="Calibri"/>
          <w:b/>
          <w:sz w:val="20"/>
        </w:rPr>
      </w:pPr>
    </w:p>
    <w:tbl>
      <w:tblPr>
        <w:tblW w:w="0" w:type="auto"/>
        <w:tblInd w:w="150" w:type="dxa"/>
        <w:tblLayout w:type="fixed"/>
        <w:tblCellMar>
          <w:left w:w="0" w:type="dxa"/>
          <w:right w:w="0" w:type="dxa"/>
        </w:tblCellMar>
        <w:tblLook w:val="01E0" w:firstRow="1" w:lastRow="1" w:firstColumn="1" w:lastColumn="1" w:noHBand="0" w:noVBand="0"/>
      </w:tblPr>
      <w:tblGrid>
        <w:gridCol w:w="1490"/>
        <w:gridCol w:w="1644"/>
        <w:gridCol w:w="1394"/>
        <w:gridCol w:w="2131"/>
        <w:gridCol w:w="2700"/>
      </w:tblGrid>
      <w:tr w:rsidR="00BC24A8" w14:paraId="27840086" w14:textId="77777777">
        <w:trPr>
          <w:trHeight w:val="640"/>
        </w:trPr>
        <w:tc>
          <w:tcPr>
            <w:tcW w:w="1490" w:type="dxa"/>
            <w:shd w:val="clear" w:color="auto" w:fill="17365A"/>
          </w:tcPr>
          <w:p w14:paraId="62A8B467" w14:textId="77777777" w:rsidR="00BC24A8" w:rsidRDefault="00000000">
            <w:pPr>
              <w:pStyle w:val="TableParagraph"/>
              <w:spacing w:before="188"/>
              <w:ind w:left="107"/>
              <w:rPr>
                <w:sz w:val="20"/>
              </w:rPr>
            </w:pPr>
            <w:r>
              <w:rPr>
                <w:color w:val="FFFFFF"/>
                <w:spacing w:val="-2"/>
                <w:sz w:val="20"/>
              </w:rPr>
              <w:t>Theme</w:t>
            </w:r>
          </w:p>
        </w:tc>
        <w:tc>
          <w:tcPr>
            <w:tcW w:w="1644" w:type="dxa"/>
            <w:shd w:val="clear" w:color="auto" w:fill="17365A"/>
          </w:tcPr>
          <w:p w14:paraId="7D1DCBC0" w14:textId="77777777" w:rsidR="00BC24A8" w:rsidRDefault="00000000">
            <w:pPr>
              <w:pStyle w:val="TableParagraph"/>
              <w:spacing w:before="59" w:line="256" w:lineRule="auto"/>
              <w:ind w:left="369" w:firstLine="16"/>
              <w:rPr>
                <w:sz w:val="20"/>
              </w:rPr>
            </w:pPr>
            <w:r>
              <w:rPr>
                <w:color w:val="FFFFFF"/>
                <w:sz w:val="20"/>
              </w:rPr>
              <w:t>Number</w:t>
            </w:r>
            <w:r>
              <w:rPr>
                <w:color w:val="FFFFFF"/>
                <w:spacing w:val="-12"/>
                <w:sz w:val="20"/>
              </w:rPr>
              <w:t xml:space="preserve"> </w:t>
            </w:r>
            <w:r>
              <w:rPr>
                <w:color w:val="FFFFFF"/>
                <w:sz w:val="20"/>
              </w:rPr>
              <w:t xml:space="preserve">of </w:t>
            </w:r>
            <w:r>
              <w:rPr>
                <w:color w:val="FFFFFF"/>
                <w:spacing w:val="-2"/>
                <w:sz w:val="20"/>
              </w:rPr>
              <w:t>Workshops</w:t>
            </w:r>
          </w:p>
        </w:tc>
        <w:tc>
          <w:tcPr>
            <w:tcW w:w="1394" w:type="dxa"/>
            <w:shd w:val="clear" w:color="auto" w:fill="17365A"/>
          </w:tcPr>
          <w:p w14:paraId="7B1E7A02" w14:textId="77777777" w:rsidR="00BC24A8" w:rsidRDefault="00000000">
            <w:pPr>
              <w:pStyle w:val="TableParagraph"/>
              <w:spacing w:before="59" w:line="256" w:lineRule="auto"/>
              <w:ind w:left="547" w:right="254" w:hanging="286"/>
              <w:rPr>
                <w:sz w:val="20"/>
              </w:rPr>
            </w:pPr>
            <w:r>
              <w:rPr>
                <w:color w:val="FFFFFF"/>
                <w:sz w:val="20"/>
              </w:rPr>
              <w:t>Number</w:t>
            </w:r>
            <w:r>
              <w:rPr>
                <w:color w:val="FFFFFF"/>
                <w:spacing w:val="-12"/>
                <w:sz w:val="20"/>
              </w:rPr>
              <w:t xml:space="preserve"> </w:t>
            </w:r>
            <w:r>
              <w:rPr>
                <w:color w:val="FFFFFF"/>
                <w:sz w:val="20"/>
              </w:rPr>
              <w:t xml:space="preserve">of </w:t>
            </w:r>
            <w:r>
              <w:rPr>
                <w:color w:val="FFFFFF"/>
                <w:spacing w:val="-4"/>
                <w:sz w:val="20"/>
              </w:rPr>
              <w:t>TAS</w:t>
            </w:r>
          </w:p>
        </w:tc>
        <w:tc>
          <w:tcPr>
            <w:tcW w:w="2131" w:type="dxa"/>
            <w:shd w:val="clear" w:color="auto" w:fill="17365A"/>
          </w:tcPr>
          <w:p w14:paraId="5B3BA945" w14:textId="77777777" w:rsidR="00BC24A8" w:rsidRDefault="00000000">
            <w:pPr>
              <w:pStyle w:val="TableParagraph"/>
              <w:spacing w:before="59" w:line="256" w:lineRule="auto"/>
              <w:ind w:left="377" w:hanging="152"/>
              <w:rPr>
                <w:sz w:val="20"/>
              </w:rPr>
            </w:pPr>
            <w:r>
              <w:rPr>
                <w:color w:val="FFFFFF"/>
                <w:sz w:val="20"/>
              </w:rPr>
              <w:t>Number</w:t>
            </w:r>
            <w:r>
              <w:rPr>
                <w:color w:val="FFFFFF"/>
                <w:spacing w:val="-12"/>
                <w:sz w:val="20"/>
              </w:rPr>
              <w:t xml:space="preserve"> </w:t>
            </w:r>
            <w:r>
              <w:rPr>
                <w:color w:val="FFFFFF"/>
                <w:sz w:val="20"/>
              </w:rPr>
              <w:t>of</w:t>
            </w:r>
            <w:r>
              <w:rPr>
                <w:color w:val="FFFFFF"/>
                <w:spacing w:val="-11"/>
                <w:sz w:val="20"/>
              </w:rPr>
              <w:t xml:space="preserve"> </w:t>
            </w:r>
            <w:r>
              <w:rPr>
                <w:color w:val="FFFFFF"/>
                <w:sz w:val="20"/>
              </w:rPr>
              <w:t>Technical Training Sessions</w:t>
            </w:r>
          </w:p>
        </w:tc>
        <w:tc>
          <w:tcPr>
            <w:tcW w:w="2700" w:type="dxa"/>
            <w:shd w:val="clear" w:color="auto" w:fill="17365A"/>
          </w:tcPr>
          <w:p w14:paraId="1AD9905D" w14:textId="77777777" w:rsidR="00BC24A8" w:rsidRDefault="00000000">
            <w:pPr>
              <w:pStyle w:val="TableParagraph"/>
              <w:spacing w:before="188"/>
              <w:ind w:left="8" w:right="8"/>
              <w:jc w:val="center"/>
              <w:rPr>
                <w:sz w:val="20"/>
              </w:rPr>
            </w:pPr>
            <w:r>
              <w:rPr>
                <w:color w:val="FFFFFF"/>
                <w:sz w:val="20"/>
              </w:rPr>
              <w:t>Total</w:t>
            </w:r>
            <w:r>
              <w:rPr>
                <w:color w:val="FFFFFF"/>
                <w:spacing w:val="-5"/>
                <w:sz w:val="20"/>
              </w:rPr>
              <w:t xml:space="preserve"> </w:t>
            </w:r>
            <w:r>
              <w:rPr>
                <w:color w:val="FFFFFF"/>
                <w:spacing w:val="-2"/>
                <w:sz w:val="20"/>
              </w:rPr>
              <w:t>Input</w:t>
            </w:r>
          </w:p>
        </w:tc>
      </w:tr>
      <w:tr w:rsidR="00BC24A8" w14:paraId="1C841521" w14:textId="77777777">
        <w:trPr>
          <w:trHeight w:val="379"/>
        </w:trPr>
        <w:tc>
          <w:tcPr>
            <w:tcW w:w="1490" w:type="dxa"/>
            <w:tcBorders>
              <w:bottom w:val="single" w:sz="4" w:space="0" w:color="BEBEBE"/>
            </w:tcBorders>
          </w:tcPr>
          <w:p w14:paraId="0E14EC20" w14:textId="77777777" w:rsidR="00BC24A8" w:rsidRDefault="00000000">
            <w:pPr>
              <w:pStyle w:val="TableParagraph"/>
              <w:spacing w:before="102"/>
              <w:ind w:left="107"/>
              <w:rPr>
                <w:sz w:val="18"/>
              </w:rPr>
            </w:pPr>
            <w:r>
              <w:rPr>
                <w:spacing w:val="-5"/>
                <w:sz w:val="18"/>
              </w:rPr>
              <w:t>MSS</w:t>
            </w:r>
          </w:p>
        </w:tc>
        <w:tc>
          <w:tcPr>
            <w:tcW w:w="1644" w:type="dxa"/>
            <w:tcBorders>
              <w:bottom w:val="single" w:sz="4" w:space="0" w:color="BEBEBE"/>
            </w:tcBorders>
          </w:tcPr>
          <w:p w14:paraId="53B33A20" w14:textId="77777777" w:rsidR="00BC24A8" w:rsidRDefault="00000000">
            <w:pPr>
              <w:pStyle w:val="TableParagraph"/>
              <w:spacing w:before="102"/>
              <w:ind w:right="1"/>
              <w:jc w:val="center"/>
              <w:rPr>
                <w:sz w:val="18"/>
              </w:rPr>
            </w:pPr>
            <w:r>
              <w:rPr>
                <w:spacing w:val="-5"/>
                <w:sz w:val="18"/>
              </w:rPr>
              <w:t>11</w:t>
            </w:r>
          </w:p>
        </w:tc>
        <w:tc>
          <w:tcPr>
            <w:tcW w:w="1394" w:type="dxa"/>
            <w:tcBorders>
              <w:bottom w:val="single" w:sz="4" w:space="0" w:color="BEBEBE"/>
            </w:tcBorders>
          </w:tcPr>
          <w:p w14:paraId="1DC9C7CD" w14:textId="77777777" w:rsidR="00BC24A8" w:rsidRDefault="00000000">
            <w:pPr>
              <w:pStyle w:val="TableParagraph"/>
              <w:spacing w:before="102"/>
              <w:ind w:left="1" w:right="2"/>
              <w:jc w:val="center"/>
              <w:rPr>
                <w:sz w:val="18"/>
              </w:rPr>
            </w:pPr>
            <w:r>
              <w:rPr>
                <w:spacing w:val="-10"/>
                <w:sz w:val="18"/>
              </w:rPr>
              <w:t>1</w:t>
            </w:r>
          </w:p>
        </w:tc>
        <w:tc>
          <w:tcPr>
            <w:tcW w:w="2131" w:type="dxa"/>
            <w:tcBorders>
              <w:bottom w:val="single" w:sz="4" w:space="0" w:color="BEBEBE"/>
            </w:tcBorders>
          </w:tcPr>
          <w:p w14:paraId="6102C5B5" w14:textId="77777777" w:rsidR="00BC24A8" w:rsidRDefault="00000000">
            <w:pPr>
              <w:pStyle w:val="TableParagraph"/>
              <w:spacing w:before="102"/>
              <w:ind w:left="3" w:right="3"/>
              <w:jc w:val="center"/>
              <w:rPr>
                <w:sz w:val="18"/>
              </w:rPr>
            </w:pPr>
            <w:r>
              <w:rPr>
                <w:spacing w:val="-10"/>
                <w:sz w:val="18"/>
              </w:rPr>
              <w:t>1</w:t>
            </w:r>
          </w:p>
        </w:tc>
        <w:tc>
          <w:tcPr>
            <w:tcW w:w="2700" w:type="dxa"/>
            <w:tcBorders>
              <w:bottom w:val="single" w:sz="4" w:space="0" w:color="BEBEBE"/>
            </w:tcBorders>
          </w:tcPr>
          <w:p w14:paraId="4267A079" w14:textId="77777777" w:rsidR="00BC24A8" w:rsidRDefault="00000000">
            <w:pPr>
              <w:pStyle w:val="TableParagraph"/>
              <w:spacing w:before="102"/>
              <w:ind w:left="8" w:right="8"/>
              <w:jc w:val="center"/>
              <w:rPr>
                <w:sz w:val="18"/>
              </w:rPr>
            </w:pPr>
            <w:r>
              <w:rPr>
                <w:spacing w:val="-5"/>
                <w:sz w:val="18"/>
              </w:rPr>
              <w:t>12</w:t>
            </w:r>
          </w:p>
        </w:tc>
      </w:tr>
      <w:tr w:rsidR="00BC24A8" w14:paraId="021A712B" w14:textId="77777777">
        <w:trPr>
          <w:trHeight w:val="333"/>
        </w:trPr>
        <w:tc>
          <w:tcPr>
            <w:tcW w:w="1490" w:type="dxa"/>
            <w:tcBorders>
              <w:top w:val="single" w:sz="4" w:space="0" w:color="BEBEBE"/>
              <w:bottom w:val="single" w:sz="4" w:space="0" w:color="BEBEBE"/>
            </w:tcBorders>
          </w:tcPr>
          <w:p w14:paraId="122B5E4B" w14:textId="77777777" w:rsidR="00BC24A8" w:rsidRDefault="00000000">
            <w:pPr>
              <w:pStyle w:val="TableParagraph"/>
              <w:spacing w:before="56"/>
              <w:ind w:left="107"/>
              <w:rPr>
                <w:sz w:val="18"/>
              </w:rPr>
            </w:pPr>
            <w:r>
              <w:rPr>
                <w:spacing w:val="-5"/>
                <w:sz w:val="18"/>
              </w:rPr>
              <w:t>PFM</w:t>
            </w:r>
          </w:p>
        </w:tc>
        <w:tc>
          <w:tcPr>
            <w:tcW w:w="1644" w:type="dxa"/>
            <w:tcBorders>
              <w:top w:val="single" w:sz="4" w:space="0" w:color="BEBEBE"/>
              <w:bottom w:val="single" w:sz="4" w:space="0" w:color="BEBEBE"/>
            </w:tcBorders>
          </w:tcPr>
          <w:p w14:paraId="24CD2BC7" w14:textId="77777777" w:rsidR="00BC24A8" w:rsidRDefault="00000000">
            <w:pPr>
              <w:pStyle w:val="TableParagraph"/>
              <w:spacing w:before="56"/>
              <w:ind w:right="1"/>
              <w:jc w:val="center"/>
              <w:rPr>
                <w:sz w:val="18"/>
              </w:rPr>
            </w:pPr>
            <w:r>
              <w:rPr>
                <w:spacing w:val="-10"/>
                <w:sz w:val="18"/>
              </w:rPr>
              <w:t>4</w:t>
            </w:r>
          </w:p>
        </w:tc>
        <w:tc>
          <w:tcPr>
            <w:tcW w:w="1394" w:type="dxa"/>
            <w:tcBorders>
              <w:top w:val="single" w:sz="4" w:space="0" w:color="BEBEBE"/>
              <w:bottom w:val="single" w:sz="4" w:space="0" w:color="BEBEBE"/>
            </w:tcBorders>
          </w:tcPr>
          <w:p w14:paraId="6E154489" w14:textId="77777777" w:rsidR="00BC24A8" w:rsidRDefault="00000000">
            <w:pPr>
              <w:pStyle w:val="TableParagraph"/>
              <w:spacing w:before="56"/>
              <w:ind w:left="2" w:right="1"/>
              <w:jc w:val="center"/>
              <w:rPr>
                <w:sz w:val="18"/>
              </w:rPr>
            </w:pPr>
            <w:r>
              <w:rPr>
                <w:spacing w:val="-10"/>
                <w:sz w:val="18"/>
              </w:rPr>
              <w:t>-</w:t>
            </w:r>
          </w:p>
        </w:tc>
        <w:tc>
          <w:tcPr>
            <w:tcW w:w="2131" w:type="dxa"/>
            <w:tcBorders>
              <w:top w:val="single" w:sz="4" w:space="0" w:color="BEBEBE"/>
              <w:bottom w:val="single" w:sz="4" w:space="0" w:color="BEBEBE"/>
            </w:tcBorders>
          </w:tcPr>
          <w:p w14:paraId="40F33468" w14:textId="77777777" w:rsidR="00BC24A8" w:rsidRDefault="00000000">
            <w:pPr>
              <w:pStyle w:val="TableParagraph"/>
              <w:spacing w:before="56"/>
              <w:ind w:left="3" w:right="3"/>
              <w:jc w:val="center"/>
              <w:rPr>
                <w:sz w:val="18"/>
              </w:rPr>
            </w:pPr>
            <w:r>
              <w:rPr>
                <w:spacing w:val="-10"/>
                <w:sz w:val="18"/>
              </w:rPr>
              <w:t>4</w:t>
            </w:r>
          </w:p>
        </w:tc>
        <w:tc>
          <w:tcPr>
            <w:tcW w:w="2700" w:type="dxa"/>
            <w:tcBorders>
              <w:top w:val="single" w:sz="4" w:space="0" w:color="BEBEBE"/>
              <w:bottom w:val="single" w:sz="4" w:space="0" w:color="BEBEBE"/>
            </w:tcBorders>
          </w:tcPr>
          <w:p w14:paraId="4D2E3E57" w14:textId="77777777" w:rsidR="00BC24A8" w:rsidRDefault="00000000">
            <w:pPr>
              <w:pStyle w:val="TableParagraph"/>
              <w:spacing w:before="56"/>
              <w:ind w:left="8" w:right="8"/>
              <w:jc w:val="center"/>
              <w:rPr>
                <w:sz w:val="18"/>
              </w:rPr>
            </w:pPr>
            <w:r>
              <w:rPr>
                <w:spacing w:val="-10"/>
                <w:sz w:val="18"/>
              </w:rPr>
              <w:t>8</w:t>
            </w:r>
          </w:p>
        </w:tc>
      </w:tr>
      <w:tr w:rsidR="00BC24A8" w14:paraId="702B7289" w14:textId="77777777">
        <w:trPr>
          <w:trHeight w:val="333"/>
        </w:trPr>
        <w:tc>
          <w:tcPr>
            <w:tcW w:w="1490" w:type="dxa"/>
            <w:tcBorders>
              <w:top w:val="single" w:sz="4" w:space="0" w:color="BEBEBE"/>
              <w:bottom w:val="single" w:sz="4" w:space="0" w:color="BEBEBE"/>
            </w:tcBorders>
          </w:tcPr>
          <w:p w14:paraId="4B741EC4" w14:textId="77777777" w:rsidR="00BC24A8" w:rsidRDefault="00000000">
            <w:pPr>
              <w:pStyle w:val="TableParagraph"/>
              <w:spacing w:before="56"/>
              <w:ind w:left="107"/>
              <w:rPr>
                <w:sz w:val="18"/>
              </w:rPr>
            </w:pPr>
            <w:r>
              <w:rPr>
                <w:spacing w:val="-5"/>
                <w:sz w:val="18"/>
              </w:rPr>
              <w:t>DNA</w:t>
            </w:r>
          </w:p>
        </w:tc>
        <w:tc>
          <w:tcPr>
            <w:tcW w:w="1644" w:type="dxa"/>
            <w:tcBorders>
              <w:top w:val="single" w:sz="4" w:space="0" w:color="BEBEBE"/>
              <w:bottom w:val="single" w:sz="4" w:space="0" w:color="BEBEBE"/>
            </w:tcBorders>
          </w:tcPr>
          <w:p w14:paraId="40CD1C1F" w14:textId="77777777" w:rsidR="00BC24A8" w:rsidRDefault="00000000">
            <w:pPr>
              <w:pStyle w:val="TableParagraph"/>
              <w:spacing w:before="56"/>
              <w:ind w:right="1"/>
              <w:jc w:val="center"/>
              <w:rPr>
                <w:sz w:val="18"/>
              </w:rPr>
            </w:pPr>
            <w:r>
              <w:rPr>
                <w:spacing w:val="-5"/>
                <w:sz w:val="18"/>
              </w:rPr>
              <w:t>11</w:t>
            </w:r>
          </w:p>
        </w:tc>
        <w:tc>
          <w:tcPr>
            <w:tcW w:w="1394" w:type="dxa"/>
            <w:tcBorders>
              <w:top w:val="single" w:sz="4" w:space="0" w:color="BEBEBE"/>
              <w:bottom w:val="single" w:sz="4" w:space="0" w:color="BEBEBE"/>
            </w:tcBorders>
          </w:tcPr>
          <w:p w14:paraId="17BCB6B8" w14:textId="77777777" w:rsidR="00BC24A8" w:rsidRDefault="00000000">
            <w:pPr>
              <w:pStyle w:val="TableParagraph"/>
              <w:spacing w:before="56"/>
              <w:ind w:left="1" w:right="2"/>
              <w:jc w:val="center"/>
              <w:rPr>
                <w:sz w:val="18"/>
              </w:rPr>
            </w:pPr>
            <w:r>
              <w:rPr>
                <w:spacing w:val="-10"/>
                <w:sz w:val="18"/>
              </w:rPr>
              <w:t>1</w:t>
            </w:r>
          </w:p>
        </w:tc>
        <w:tc>
          <w:tcPr>
            <w:tcW w:w="2131" w:type="dxa"/>
            <w:tcBorders>
              <w:top w:val="single" w:sz="4" w:space="0" w:color="BEBEBE"/>
              <w:bottom w:val="single" w:sz="4" w:space="0" w:color="BEBEBE"/>
            </w:tcBorders>
          </w:tcPr>
          <w:p w14:paraId="3DBA6212" w14:textId="77777777" w:rsidR="00BC24A8" w:rsidRDefault="00000000">
            <w:pPr>
              <w:pStyle w:val="TableParagraph"/>
              <w:spacing w:before="56"/>
              <w:ind w:right="3"/>
              <w:jc w:val="center"/>
              <w:rPr>
                <w:sz w:val="18"/>
              </w:rPr>
            </w:pPr>
            <w:r>
              <w:rPr>
                <w:spacing w:val="-10"/>
                <w:sz w:val="18"/>
              </w:rPr>
              <w:t>-</w:t>
            </w:r>
          </w:p>
        </w:tc>
        <w:tc>
          <w:tcPr>
            <w:tcW w:w="2700" w:type="dxa"/>
            <w:tcBorders>
              <w:top w:val="single" w:sz="4" w:space="0" w:color="BEBEBE"/>
              <w:bottom w:val="single" w:sz="4" w:space="0" w:color="BEBEBE"/>
            </w:tcBorders>
          </w:tcPr>
          <w:p w14:paraId="32513358" w14:textId="77777777" w:rsidR="00BC24A8" w:rsidRDefault="00000000">
            <w:pPr>
              <w:pStyle w:val="TableParagraph"/>
              <w:spacing w:before="56"/>
              <w:ind w:left="8" w:right="8"/>
              <w:jc w:val="center"/>
              <w:rPr>
                <w:sz w:val="18"/>
              </w:rPr>
            </w:pPr>
            <w:r>
              <w:rPr>
                <w:spacing w:val="-5"/>
                <w:sz w:val="18"/>
              </w:rPr>
              <w:t>11</w:t>
            </w:r>
          </w:p>
        </w:tc>
      </w:tr>
      <w:tr w:rsidR="00BC24A8" w14:paraId="05C9CCCD" w14:textId="77777777">
        <w:trPr>
          <w:trHeight w:val="376"/>
        </w:trPr>
        <w:tc>
          <w:tcPr>
            <w:tcW w:w="1490" w:type="dxa"/>
            <w:tcBorders>
              <w:top w:val="single" w:sz="4" w:space="0" w:color="BEBEBE"/>
            </w:tcBorders>
          </w:tcPr>
          <w:p w14:paraId="4DD5DB1E" w14:textId="77777777" w:rsidR="00BC24A8" w:rsidRDefault="00000000">
            <w:pPr>
              <w:pStyle w:val="TableParagraph"/>
              <w:spacing w:before="59"/>
              <w:ind w:left="107"/>
              <w:rPr>
                <w:sz w:val="18"/>
              </w:rPr>
            </w:pPr>
            <w:r>
              <w:rPr>
                <w:spacing w:val="-2"/>
                <w:sz w:val="18"/>
              </w:rPr>
              <w:t>GEDSI</w:t>
            </w:r>
          </w:p>
        </w:tc>
        <w:tc>
          <w:tcPr>
            <w:tcW w:w="1644" w:type="dxa"/>
            <w:tcBorders>
              <w:top w:val="single" w:sz="4" w:space="0" w:color="BEBEBE"/>
            </w:tcBorders>
          </w:tcPr>
          <w:p w14:paraId="2043F6BA" w14:textId="77777777" w:rsidR="00BC24A8" w:rsidRDefault="00000000">
            <w:pPr>
              <w:pStyle w:val="TableParagraph"/>
              <w:spacing w:before="59"/>
              <w:ind w:right="1"/>
              <w:jc w:val="center"/>
              <w:rPr>
                <w:sz w:val="18"/>
              </w:rPr>
            </w:pPr>
            <w:r>
              <w:rPr>
                <w:spacing w:val="-10"/>
                <w:sz w:val="18"/>
              </w:rPr>
              <w:t>9</w:t>
            </w:r>
          </w:p>
        </w:tc>
        <w:tc>
          <w:tcPr>
            <w:tcW w:w="1394" w:type="dxa"/>
            <w:tcBorders>
              <w:top w:val="single" w:sz="4" w:space="0" w:color="BEBEBE"/>
            </w:tcBorders>
          </w:tcPr>
          <w:p w14:paraId="6A5CF577" w14:textId="77777777" w:rsidR="00BC24A8" w:rsidRDefault="00000000">
            <w:pPr>
              <w:pStyle w:val="TableParagraph"/>
              <w:spacing w:before="59"/>
              <w:ind w:left="1" w:right="2"/>
              <w:jc w:val="center"/>
              <w:rPr>
                <w:sz w:val="18"/>
              </w:rPr>
            </w:pPr>
            <w:r>
              <w:rPr>
                <w:spacing w:val="-10"/>
                <w:sz w:val="18"/>
              </w:rPr>
              <w:t>1</w:t>
            </w:r>
          </w:p>
        </w:tc>
        <w:tc>
          <w:tcPr>
            <w:tcW w:w="2131" w:type="dxa"/>
            <w:tcBorders>
              <w:top w:val="single" w:sz="4" w:space="0" w:color="BEBEBE"/>
            </w:tcBorders>
          </w:tcPr>
          <w:p w14:paraId="0B41C368" w14:textId="77777777" w:rsidR="00BC24A8" w:rsidRDefault="00000000">
            <w:pPr>
              <w:pStyle w:val="TableParagraph"/>
              <w:spacing w:before="59"/>
              <w:ind w:right="3"/>
              <w:jc w:val="center"/>
              <w:rPr>
                <w:sz w:val="18"/>
              </w:rPr>
            </w:pPr>
            <w:r>
              <w:rPr>
                <w:spacing w:val="-10"/>
                <w:sz w:val="18"/>
              </w:rPr>
              <w:t>-</w:t>
            </w:r>
          </w:p>
        </w:tc>
        <w:tc>
          <w:tcPr>
            <w:tcW w:w="2700" w:type="dxa"/>
            <w:tcBorders>
              <w:top w:val="single" w:sz="4" w:space="0" w:color="BEBEBE"/>
            </w:tcBorders>
          </w:tcPr>
          <w:p w14:paraId="74F212D8" w14:textId="77777777" w:rsidR="00BC24A8" w:rsidRDefault="00000000">
            <w:pPr>
              <w:pStyle w:val="TableParagraph"/>
              <w:spacing w:before="59"/>
              <w:ind w:left="8" w:right="8"/>
              <w:jc w:val="center"/>
              <w:rPr>
                <w:sz w:val="18"/>
              </w:rPr>
            </w:pPr>
            <w:r>
              <w:rPr>
                <w:spacing w:val="-10"/>
                <w:sz w:val="18"/>
              </w:rPr>
              <w:t>9</w:t>
            </w:r>
          </w:p>
        </w:tc>
      </w:tr>
      <w:tr w:rsidR="00BC24A8" w14:paraId="29318A7E" w14:textId="77777777">
        <w:trPr>
          <w:trHeight w:val="335"/>
        </w:trPr>
        <w:tc>
          <w:tcPr>
            <w:tcW w:w="1490" w:type="dxa"/>
            <w:tcBorders>
              <w:bottom w:val="single" w:sz="4" w:space="0" w:color="BEBEBE"/>
              <w:right w:val="single" w:sz="18" w:space="0" w:color="FFFFFF"/>
            </w:tcBorders>
            <w:shd w:val="clear" w:color="auto" w:fill="A7A9AC"/>
          </w:tcPr>
          <w:p w14:paraId="29C29058" w14:textId="77777777" w:rsidR="00BC24A8" w:rsidRDefault="00000000">
            <w:pPr>
              <w:pStyle w:val="TableParagraph"/>
              <w:spacing w:before="59"/>
              <w:ind w:left="107"/>
              <w:rPr>
                <w:sz w:val="18"/>
              </w:rPr>
            </w:pPr>
            <w:r w:rsidRPr="00795364">
              <w:rPr>
                <w:color w:val="000000"/>
                <w:spacing w:val="-2"/>
                <w:sz w:val="18"/>
              </w:rPr>
              <w:t>TOTAL</w:t>
            </w:r>
          </w:p>
        </w:tc>
        <w:tc>
          <w:tcPr>
            <w:tcW w:w="1644" w:type="dxa"/>
            <w:tcBorders>
              <w:left w:val="single" w:sz="18" w:space="0" w:color="FFFFFF"/>
              <w:bottom w:val="single" w:sz="4" w:space="0" w:color="BEBEBE"/>
              <w:right w:val="single" w:sz="18" w:space="0" w:color="FFFFFF"/>
            </w:tcBorders>
            <w:shd w:val="clear" w:color="auto" w:fill="A7A9AC"/>
          </w:tcPr>
          <w:p w14:paraId="28283877" w14:textId="77777777" w:rsidR="00BC24A8" w:rsidRDefault="00000000">
            <w:pPr>
              <w:pStyle w:val="TableParagraph"/>
              <w:spacing w:before="59"/>
              <w:ind w:right="1"/>
              <w:jc w:val="center"/>
              <w:rPr>
                <w:sz w:val="18"/>
              </w:rPr>
            </w:pPr>
            <w:r w:rsidRPr="00795364">
              <w:rPr>
                <w:color w:val="000000"/>
                <w:spacing w:val="-5"/>
                <w:sz w:val="18"/>
              </w:rPr>
              <w:t>35</w:t>
            </w:r>
          </w:p>
        </w:tc>
        <w:tc>
          <w:tcPr>
            <w:tcW w:w="1394" w:type="dxa"/>
            <w:tcBorders>
              <w:left w:val="single" w:sz="18" w:space="0" w:color="FFFFFF"/>
              <w:bottom w:val="single" w:sz="4" w:space="0" w:color="BEBEBE"/>
              <w:right w:val="single" w:sz="18" w:space="0" w:color="FFFFFF"/>
            </w:tcBorders>
            <w:shd w:val="clear" w:color="auto" w:fill="A7A9AC"/>
          </w:tcPr>
          <w:p w14:paraId="2A0B056C" w14:textId="77777777" w:rsidR="00BC24A8" w:rsidRDefault="00000000">
            <w:pPr>
              <w:pStyle w:val="TableParagraph"/>
              <w:spacing w:before="59"/>
              <w:ind w:left="6" w:right="7"/>
              <w:jc w:val="center"/>
              <w:rPr>
                <w:sz w:val="18"/>
              </w:rPr>
            </w:pPr>
            <w:r w:rsidRPr="00795364">
              <w:rPr>
                <w:color w:val="000000"/>
                <w:spacing w:val="-10"/>
                <w:sz w:val="18"/>
              </w:rPr>
              <w:t>3</w:t>
            </w:r>
          </w:p>
        </w:tc>
        <w:tc>
          <w:tcPr>
            <w:tcW w:w="2131" w:type="dxa"/>
            <w:tcBorders>
              <w:left w:val="single" w:sz="18" w:space="0" w:color="FFFFFF"/>
              <w:bottom w:val="single" w:sz="4" w:space="0" w:color="BEBEBE"/>
              <w:right w:val="single" w:sz="18" w:space="0" w:color="FFFFFF"/>
            </w:tcBorders>
            <w:shd w:val="clear" w:color="auto" w:fill="A7A9AC"/>
          </w:tcPr>
          <w:p w14:paraId="03DBD20F" w14:textId="77777777" w:rsidR="00BC24A8" w:rsidRDefault="00000000">
            <w:pPr>
              <w:pStyle w:val="TableParagraph"/>
              <w:spacing w:before="59"/>
              <w:jc w:val="center"/>
              <w:rPr>
                <w:sz w:val="18"/>
              </w:rPr>
            </w:pPr>
            <w:r w:rsidRPr="00795364">
              <w:rPr>
                <w:color w:val="000000"/>
                <w:spacing w:val="-10"/>
                <w:sz w:val="18"/>
              </w:rPr>
              <w:t>5</w:t>
            </w:r>
          </w:p>
        </w:tc>
        <w:tc>
          <w:tcPr>
            <w:tcW w:w="2700" w:type="dxa"/>
            <w:tcBorders>
              <w:left w:val="single" w:sz="18" w:space="0" w:color="FFFFFF"/>
              <w:bottom w:val="single" w:sz="4" w:space="0" w:color="BEBEBE"/>
            </w:tcBorders>
            <w:shd w:val="clear" w:color="auto" w:fill="A7A9AC"/>
          </w:tcPr>
          <w:p w14:paraId="23164A6A" w14:textId="77777777" w:rsidR="00BC24A8" w:rsidRDefault="00000000">
            <w:pPr>
              <w:pStyle w:val="TableParagraph"/>
              <w:spacing w:before="59"/>
              <w:ind w:right="20"/>
              <w:jc w:val="center"/>
              <w:rPr>
                <w:sz w:val="18"/>
              </w:rPr>
            </w:pPr>
            <w:r w:rsidRPr="00795364">
              <w:rPr>
                <w:color w:val="000000"/>
                <w:spacing w:val="-5"/>
                <w:sz w:val="18"/>
              </w:rPr>
              <w:t>40</w:t>
            </w:r>
          </w:p>
        </w:tc>
      </w:tr>
    </w:tbl>
    <w:p w14:paraId="6C9AD046" w14:textId="77777777" w:rsidR="00BC24A8" w:rsidRDefault="00BC24A8">
      <w:pPr>
        <w:pStyle w:val="TableParagraph"/>
        <w:jc w:val="center"/>
        <w:rPr>
          <w:sz w:val="18"/>
        </w:rPr>
        <w:sectPr w:rsidR="00BC24A8">
          <w:type w:val="continuous"/>
          <w:pgSz w:w="11910" w:h="16840"/>
          <w:pgMar w:top="1440" w:right="850" w:bottom="1100" w:left="1275" w:header="0" w:footer="907" w:gutter="0"/>
          <w:cols w:space="720"/>
        </w:sectPr>
      </w:pPr>
    </w:p>
    <w:p w14:paraId="0A34F8BB" w14:textId="77777777" w:rsidR="00BC24A8" w:rsidRDefault="00000000">
      <w:pPr>
        <w:pStyle w:val="Heading3"/>
      </w:pPr>
      <w:bookmarkStart w:id="170" w:name="Maluku_Province_Semester_Report"/>
      <w:bookmarkStart w:id="171" w:name="_bookmark115"/>
      <w:bookmarkEnd w:id="170"/>
      <w:bookmarkEnd w:id="171"/>
      <w:r>
        <w:rPr>
          <w:color w:val="137D87"/>
          <w:spacing w:val="-2"/>
        </w:rPr>
        <w:lastRenderedPageBreak/>
        <w:t>Maluku</w:t>
      </w:r>
      <w:r>
        <w:rPr>
          <w:color w:val="137D87"/>
          <w:spacing w:val="-30"/>
        </w:rPr>
        <w:t xml:space="preserve"> </w:t>
      </w:r>
      <w:r>
        <w:rPr>
          <w:color w:val="137D87"/>
          <w:spacing w:val="-2"/>
        </w:rPr>
        <w:t>Province</w:t>
      </w:r>
      <w:r>
        <w:rPr>
          <w:color w:val="137D87"/>
          <w:spacing w:val="-29"/>
        </w:rPr>
        <w:t xml:space="preserve"> </w:t>
      </w:r>
      <w:r>
        <w:rPr>
          <w:color w:val="137D87"/>
          <w:spacing w:val="-2"/>
        </w:rPr>
        <w:t>Semester</w:t>
      </w:r>
      <w:r>
        <w:rPr>
          <w:color w:val="137D87"/>
          <w:spacing w:val="-28"/>
        </w:rPr>
        <w:t xml:space="preserve"> </w:t>
      </w:r>
      <w:r>
        <w:rPr>
          <w:color w:val="137D87"/>
          <w:spacing w:val="-2"/>
        </w:rPr>
        <w:t>Report</w:t>
      </w:r>
    </w:p>
    <w:p w14:paraId="2D36D59B" w14:textId="77777777" w:rsidR="00BC24A8" w:rsidRDefault="00000000">
      <w:pPr>
        <w:pStyle w:val="BodyText"/>
        <w:spacing w:before="20"/>
        <w:ind w:left="143"/>
      </w:pPr>
      <w:r>
        <w:rPr>
          <w:spacing w:val="-2"/>
        </w:rPr>
        <w:t>(January-June</w:t>
      </w:r>
      <w:r>
        <w:rPr>
          <w:spacing w:val="9"/>
        </w:rPr>
        <w:t xml:space="preserve"> </w:t>
      </w:r>
      <w:r>
        <w:rPr>
          <w:spacing w:val="-4"/>
        </w:rPr>
        <w:t>2025)</w:t>
      </w:r>
    </w:p>
    <w:p w14:paraId="2BAD7393" w14:textId="77777777" w:rsidR="00BC24A8" w:rsidRDefault="00BC24A8">
      <w:pPr>
        <w:pStyle w:val="BodyText"/>
      </w:pPr>
    </w:p>
    <w:p w14:paraId="3837A731" w14:textId="77777777" w:rsidR="00BC24A8" w:rsidRDefault="00BC24A8">
      <w:pPr>
        <w:pStyle w:val="BodyText"/>
        <w:spacing w:before="15"/>
      </w:pPr>
    </w:p>
    <w:p w14:paraId="4A15E601" w14:textId="77777777" w:rsidR="00BC24A8" w:rsidRDefault="00000000">
      <w:pPr>
        <w:ind w:left="143"/>
        <w:rPr>
          <w:i/>
        </w:rPr>
      </w:pPr>
      <w:bookmarkStart w:id="172" w:name="Context_of_Maluku_Province"/>
      <w:bookmarkEnd w:id="172"/>
      <w:r>
        <w:rPr>
          <w:i/>
          <w:color w:val="1F3762"/>
        </w:rPr>
        <w:t>Context</w:t>
      </w:r>
      <w:r>
        <w:rPr>
          <w:i/>
          <w:color w:val="1F3762"/>
          <w:spacing w:val="-8"/>
        </w:rPr>
        <w:t xml:space="preserve"> </w:t>
      </w:r>
      <w:r>
        <w:rPr>
          <w:i/>
          <w:color w:val="1F3762"/>
        </w:rPr>
        <w:t>of</w:t>
      </w:r>
      <w:r>
        <w:rPr>
          <w:i/>
          <w:color w:val="1F3762"/>
          <w:spacing w:val="-6"/>
        </w:rPr>
        <w:t xml:space="preserve"> </w:t>
      </w:r>
      <w:r>
        <w:rPr>
          <w:i/>
          <w:color w:val="1F3762"/>
        </w:rPr>
        <w:t>Maluku</w:t>
      </w:r>
      <w:r>
        <w:rPr>
          <w:i/>
          <w:color w:val="1F3762"/>
          <w:spacing w:val="-5"/>
        </w:rPr>
        <w:t xml:space="preserve"> </w:t>
      </w:r>
      <w:r>
        <w:rPr>
          <w:i/>
          <w:color w:val="1F3762"/>
          <w:spacing w:val="-2"/>
        </w:rPr>
        <w:t>Province</w:t>
      </w:r>
    </w:p>
    <w:p w14:paraId="4525A116" w14:textId="77777777" w:rsidR="00BC24A8" w:rsidRDefault="00000000">
      <w:pPr>
        <w:spacing w:before="43"/>
        <w:ind w:left="143"/>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5"/>
        </w:rPr>
        <w:t xml:space="preserve"> </w:t>
      </w:r>
      <w:r>
        <w:rPr>
          <w:rFonts w:ascii="Calibri"/>
          <w:i/>
          <w:color w:val="272727"/>
        </w:rPr>
        <w:t>basic</w:t>
      </w:r>
      <w:r>
        <w:rPr>
          <w:rFonts w:ascii="Calibri"/>
          <w:i/>
          <w:color w:val="272727"/>
          <w:spacing w:val="-5"/>
        </w:rPr>
        <w:t xml:space="preserve"> </w:t>
      </w:r>
      <w:r>
        <w:rPr>
          <w:rFonts w:ascii="Calibri"/>
          <w:i/>
          <w:color w:val="272727"/>
        </w:rPr>
        <w:t>services,</w:t>
      </w:r>
      <w:r>
        <w:rPr>
          <w:rFonts w:ascii="Calibri"/>
          <w:i/>
          <w:color w:val="272727"/>
          <w:spacing w:val="-7"/>
        </w:rPr>
        <w:t xml:space="preserve"> </w:t>
      </w:r>
      <w:r>
        <w:rPr>
          <w:rFonts w:ascii="Calibri"/>
          <w:i/>
          <w:color w:val="272727"/>
        </w:rPr>
        <w:t>vulnerable</w:t>
      </w:r>
      <w:r>
        <w:rPr>
          <w:rFonts w:ascii="Calibri"/>
          <w:i/>
          <w:color w:val="272727"/>
          <w:spacing w:val="-4"/>
        </w:rPr>
        <w:t xml:space="preserve"> </w:t>
      </w:r>
      <w:r>
        <w:rPr>
          <w:rFonts w:ascii="Calibri"/>
          <w:i/>
          <w:color w:val="272727"/>
        </w:rPr>
        <w:t>groups,</w:t>
      </w:r>
      <w:r>
        <w:rPr>
          <w:rFonts w:ascii="Calibri"/>
          <w:i/>
          <w:color w:val="272727"/>
          <w:spacing w:val="-5"/>
        </w:rPr>
        <w:t xml:space="preserve"> </w:t>
      </w:r>
      <w:r>
        <w:rPr>
          <w:rFonts w:ascii="Calibri"/>
          <w:i/>
          <w:color w:val="272727"/>
        </w:rPr>
        <w:t>and</w:t>
      </w:r>
      <w:r>
        <w:rPr>
          <w:rFonts w:ascii="Calibri"/>
          <w:i/>
          <w:color w:val="272727"/>
          <w:spacing w:val="-6"/>
        </w:rPr>
        <w:t xml:space="preserve"> </w:t>
      </w:r>
      <w:r>
        <w:rPr>
          <w:rFonts w:ascii="Calibri"/>
          <w:i/>
          <w:color w:val="272727"/>
        </w:rPr>
        <w:t>fiscal</w:t>
      </w:r>
      <w:r>
        <w:rPr>
          <w:rFonts w:ascii="Calibri"/>
          <w:i/>
          <w:color w:val="272727"/>
          <w:spacing w:val="-5"/>
        </w:rPr>
        <w:t xml:space="preserve"> </w:t>
      </w:r>
      <w:r>
        <w:rPr>
          <w:rFonts w:ascii="Calibri"/>
          <w:i/>
          <w:color w:val="272727"/>
          <w:spacing w:val="-2"/>
        </w:rPr>
        <w:t>capacity.</w:t>
      </w:r>
    </w:p>
    <w:p w14:paraId="4FA191F9" w14:textId="77777777" w:rsidR="00BC24A8" w:rsidRDefault="00BC24A8">
      <w:pPr>
        <w:pStyle w:val="BodyText"/>
        <w:spacing w:before="63"/>
        <w:rPr>
          <w:rFonts w:ascii="Calibri"/>
          <w:i/>
        </w:rPr>
      </w:pPr>
    </w:p>
    <w:p w14:paraId="0469D427" w14:textId="77777777" w:rsidR="00BC24A8" w:rsidRDefault="00000000">
      <w:pPr>
        <w:pStyle w:val="Heading5"/>
      </w:pPr>
      <w:r>
        <w:rPr>
          <w:color w:val="767070"/>
        </w:rPr>
        <w:t>Key</w:t>
      </w:r>
      <w:r>
        <w:rPr>
          <w:color w:val="767070"/>
          <w:spacing w:val="-13"/>
        </w:rPr>
        <w:t xml:space="preserve"> </w:t>
      </w:r>
      <w:r>
        <w:rPr>
          <w:color w:val="767070"/>
        </w:rPr>
        <w:t>development</w:t>
      </w:r>
      <w:r>
        <w:rPr>
          <w:color w:val="767070"/>
          <w:spacing w:val="-11"/>
        </w:rPr>
        <w:t xml:space="preserve"> </w:t>
      </w:r>
      <w:r>
        <w:rPr>
          <w:color w:val="767070"/>
        </w:rPr>
        <w:t>outcome</w:t>
      </w:r>
      <w:r>
        <w:rPr>
          <w:color w:val="767070"/>
          <w:spacing w:val="-13"/>
        </w:rPr>
        <w:t xml:space="preserve"> </w:t>
      </w:r>
      <w:r>
        <w:rPr>
          <w:color w:val="767070"/>
        </w:rPr>
        <w:t>indicator</w:t>
      </w:r>
      <w:r>
        <w:rPr>
          <w:color w:val="767070"/>
          <w:spacing w:val="-10"/>
        </w:rPr>
        <w:t xml:space="preserve"> </w:t>
      </w:r>
      <w:r>
        <w:rPr>
          <w:color w:val="767070"/>
          <w:spacing w:val="-4"/>
        </w:rPr>
        <w:t>data</w:t>
      </w:r>
    </w:p>
    <w:p w14:paraId="6AFC95B6"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4342"/>
        <w:gridCol w:w="4756"/>
      </w:tblGrid>
      <w:tr w:rsidR="00BC24A8" w14:paraId="697C3231" w14:textId="77777777">
        <w:trPr>
          <w:trHeight w:val="379"/>
        </w:trPr>
        <w:tc>
          <w:tcPr>
            <w:tcW w:w="4342" w:type="dxa"/>
            <w:shd w:val="clear" w:color="auto" w:fill="17365A"/>
          </w:tcPr>
          <w:p w14:paraId="77085423" w14:textId="77777777" w:rsidR="00BC24A8" w:rsidRDefault="00000000">
            <w:pPr>
              <w:pStyle w:val="TableParagraph"/>
              <w:spacing w:before="59"/>
              <w:ind w:left="115"/>
              <w:rPr>
                <w:rFonts w:ascii="Calibri"/>
                <w:b/>
                <w:sz w:val="20"/>
              </w:rPr>
            </w:pPr>
            <w:r>
              <w:rPr>
                <w:rFonts w:ascii="Calibri"/>
                <w:b/>
                <w:color w:val="FFFFFF"/>
                <w:sz w:val="20"/>
              </w:rPr>
              <w:t>Key</w:t>
            </w:r>
            <w:r>
              <w:rPr>
                <w:rFonts w:ascii="Calibri"/>
                <w:b/>
                <w:color w:val="FFFFFF"/>
                <w:spacing w:val="-8"/>
                <w:sz w:val="20"/>
              </w:rPr>
              <w:t xml:space="preserve"> </w:t>
            </w:r>
            <w:r>
              <w:rPr>
                <w:rFonts w:ascii="Calibri"/>
                <w:b/>
                <w:color w:val="FFFFFF"/>
                <w:sz w:val="20"/>
              </w:rPr>
              <w:t>development</w:t>
            </w:r>
            <w:r>
              <w:rPr>
                <w:rFonts w:ascii="Calibri"/>
                <w:b/>
                <w:color w:val="FFFFFF"/>
                <w:spacing w:val="-7"/>
                <w:sz w:val="20"/>
              </w:rPr>
              <w:t xml:space="preserve"> </w:t>
            </w:r>
            <w:r>
              <w:rPr>
                <w:rFonts w:ascii="Calibri"/>
                <w:b/>
                <w:color w:val="FFFFFF"/>
                <w:spacing w:val="-2"/>
                <w:sz w:val="20"/>
              </w:rPr>
              <w:t>indicators</w:t>
            </w:r>
          </w:p>
        </w:tc>
        <w:tc>
          <w:tcPr>
            <w:tcW w:w="4756" w:type="dxa"/>
            <w:shd w:val="clear" w:color="auto" w:fill="17365A"/>
          </w:tcPr>
          <w:p w14:paraId="1590A7A5" w14:textId="77777777" w:rsidR="00BC24A8" w:rsidRDefault="00000000">
            <w:pPr>
              <w:pStyle w:val="TableParagraph"/>
              <w:spacing w:before="59"/>
              <w:ind w:left="182"/>
              <w:rPr>
                <w:rFonts w:ascii="Calibri"/>
                <w:b/>
                <w:sz w:val="20"/>
              </w:rPr>
            </w:pPr>
            <w:r>
              <w:rPr>
                <w:rFonts w:ascii="Calibri"/>
                <w:b/>
                <w:color w:val="FFFFFF"/>
                <w:spacing w:val="-4"/>
                <w:sz w:val="20"/>
              </w:rPr>
              <w:t>2024</w:t>
            </w:r>
          </w:p>
        </w:tc>
      </w:tr>
      <w:tr w:rsidR="00BC24A8" w14:paraId="24446FB3" w14:textId="77777777">
        <w:trPr>
          <w:trHeight w:val="1156"/>
        </w:trPr>
        <w:tc>
          <w:tcPr>
            <w:tcW w:w="4342" w:type="dxa"/>
            <w:tcBorders>
              <w:bottom w:val="single" w:sz="4" w:space="0" w:color="BEBEBE"/>
            </w:tcBorders>
          </w:tcPr>
          <w:p w14:paraId="5C9E660E" w14:textId="77777777" w:rsidR="00BC24A8" w:rsidRDefault="00000000">
            <w:pPr>
              <w:pStyle w:val="TableParagraph"/>
              <w:spacing w:before="162"/>
              <w:ind w:left="115"/>
              <w:rPr>
                <w:sz w:val="18"/>
              </w:rPr>
            </w:pPr>
            <w:r>
              <w:rPr>
                <w:sz w:val="18"/>
              </w:rPr>
              <w:t>Education</w:t>
            </w:r>
            <w:r>
              <w:rPr>
                <w:spacing w:val="-7"/>
                <w:sz w:val="18"/>
              </w:rPr>
              <w:t xml:space="preserve"> </w:t>
            </w:r>
            <w:r>
              <w:rPr>
                <w:sz w:val="18"/>
              </w:rPr>
              <w:t>participation</w:t>
            </w:r>
            <w:r>
              <w:rPr>
                <w:spacing w:val="-7"/>
                <w:sz w:val="18"/>
              </w:rPr>
              <w:t xml:space="preserve"> </w:t>
            </w:r>
            <w:r>
              <w:rPr>
                <w:sz w:val="18"/>
              </w:rPr>
              <w:t>rate</w:t>
            </w:r>
            <w:r>
              <w:rPr>
                <w:spacing w:val="-7"/>
                <w:sz w:val="18"/>
              </w:rPr>
              <w:t xml:space="preserve"> </w:t>
            </w:r>
            <w:r>
              <w:rPr>
                <w:sz w:val="18"/>
              </w:rPr>
              <w:t>for</w:t>
            </w:r>
            <w:r>
              <w:rPr>
                <w:spacing w:val="-7"/>
                <w:sz w:val="18"/>
              </w:rPr>
              <w:t xml:space="preserve"> </w:t>
            </w:r>
            <w:r>
              <w:rPr>
                <w:sz w:val="18"/>
              </w:rPr>
              <w:t>Elementary,</w:t>
            </w:r>
            <w:r>
              <w:rPr>
                <w:spacing w:val="-7"/>
                <w:sz w:val="18"/>
              </w:rPr>
              <w:t xml:space="preserve"> </w:t>
            </w:r>
            <w:r>
              <w:rPr>
                <w:sz w:val="18"/>
              </w:rPr>
              <w:t>Junior</w:t>
            </w:r>
            <w:r>
              <w:rPr>
                <w:spacing w:val="-7"/>
                <w:sz w:val="18"/>
              </w:rPr>
              <w:t xml:space="preserve"> </w:t>
            </w:r>
            <w:r>
              <w:rPr>
                <w:sz w:val="18"/>
              </w:rPr>
              <w:t>High, and Senior High School</w:t>
            </w:r>
          </w:p>
        </w:tc>
        <w:tc>
          <w:tcPr>
            <w:tcW w:w="4756" w:type="dxa"/>
            <w:tcBorders>
              <w:bottom w:val="single" w:sz="4" w:space="0" w:color="BEBEBE"/>
            </w:tcBorders>
          </w:tcPr>
          <w:p w14:paraId="43BE0246" w14:textId="77777777" w:rsidR="00BC24A8" w:rsidRDefault="00000000">
            <w:pPr>
              <w:pStyle w:val="TableParagraph"/>
              <w:spacing w:before="102"/>
              <w:ind w:left="182"/>
              <w:rPr>
                <w:sz w:val="18"/>
              </w:rPr>
            </w:pPr>
            <w:r>
              <w:rPr>
                <w:sz w:val="18"/>
              </w:rPr>
              <w:t>School</w:t>
            </w:r>
            <w:r>
              <w:rPr>
                <w:spacing w:val="-2"/>
                <w:sz w:val="18"/>
              </w:rPr>
              <w:t xml:space="preserve"> </w:t>
            </w:r>
            <w:r>
              <w:rPr>
                <w:sz w:val="18"/>
              </w:rPr>
              <w:t>Enrollment</w:t>
            </w:r>
            <w:r>
              <w:rPr>
                <w:spacing w:val="-1"/>
                <w:sz w:val="18"/>
              </w:rPr>
              <w:t xml:space="preserve"> </w:t>
            </w:r>
            <w:r>
              <w:rPr>
                <w:sz w:val="18"/>
              </w:rPr>
              <w:t>Rate</w:t>
            </w:r>
            <w:r>
              <w:rPr>
                <w:spacing w:val="-2"/>
                <w:sz w:val="18"/>
              </w:rPr>
              <w:t xml:space="preserve"> (SER):</w:t>
            </w:r>
          </w:p>
          <w:p w14:paraId="6B6A1370" w14:textId="77777777" w:rsidR="00BC24A8" w:rsidRDefault="00000000">
            <w:pPr>
              <w:pStyle w:val="TableParagraph"/>
              <w:numPr>
                <w:ilvl w:val="0"/>
                <w:numId w:val="102"/>
              </w:numPr>
              <w:tabs>
                <w:tab w:val="left" w:pos="513"/>
              </w:tabs>
              <w:spacing w:before="61" w:line="219" w:lineRule="exact"/>
              <w:rPr>
                <w:sz w:val="18"/>
              </w:rPr>
            </w:pPr>
            <w:r>
              <w:rPr>
                <w:sz w:val="18"/>
              </w:rPr>
              <w:t>7-12</w:t>
            </w:r>
            <w:r>
              <w:rPr>
                <w:spacing w:val="-2"/>
                <w:sz w:val="18"/>
              </w:rPr>
              <w:t xml:space="preserve"> </w:t>
            </w:r>
            <w:r>
              <w:rPr>
                <w:sz w:val="18"/>
              </w:rPr>
              <w:t>years</w:t>
            </w:r>
            <w:r>
              <w:rPr>
                <w:spacing w:val="-1"/>
                <w:sz w:val="18"/>
              </w:rPr>
              <w:t xml:space="preserve"> </w:t>
            </w:r>
            <w:r>
              <w:rPr>
                <w:sz w:val="18"/>
              </w:rPr>
              <w:t>(%)</w:t>
            </w:r>
            <w:r>
              <w:rPr>
                <w:spacing w:val="-2"/>
                <w:sz w:val="18"/>
              </w:rPr>
              <w:t xml:space="preserve"> </w:t>
            </w:r>
            <w:r>
              <w:rPr>
                <w:sz w:val="18"/>
              </w:rPr>
              <w:t>=</w:t>
            </w:r>
            <w:r>
              <w:rPr>
                <w:spacing w:val="-2"/>
                <w:sz w:val="18"/>
              </w:rPr>
              <w:t xml:space="preserve"> 99.49</w:t>
            </w:r>
          </w:p>
          <w:p w14:paraId="5F78B1FC" w14:textId="77777777" w:rsidR="00BC24A8" w:rsidRDefault="00000000">
            <w:pPr>
              <w:pStyle w:val="TableParagraph"/>
              <w:numPr>
                <w:ilvl w:val="0"/>
                <w:numId w:val="102"/>
              </w:numPr>
              <w:tabs>
                <w:tab w:val="left" w:pos="512"/>
              </w:tabs>
              <w:spacing w:line="219" w:lineRule="exact"/>
              <w:ind w:left="512" w:hanging="359"/>
              <w:rPr>
                <w:sz w:val="18"/>
              </w:rPr>
            </w:pPr>
            <w:r>
              <w:rPr>
                <w:sz w:val="18"/>
              </w:rPr>
              <w:t>13-15</w:t>
            </w:r>
            <w:r>
              <w:rPr>
                <w:spacing w:val="-2"/>
                <w:sz w:val="18"/>
              </w:rPr>
              <w:t xml:space="preserve"> </w:t>
            </w:r>
            <w:r>
              <w:rPr>
                <w:sz w:val="18"/>
              </w:rPr>
              <w:t>Years</w:t>
            </w:r>
            <w:r>
              <w:rPr>
                <w:spacing w:val="-1"/>
                <w:sz w:val="18"/>
              </w:rPr>
              <w:t xml:space="preserve"> </w:t>
            </w:r>
            <w:r>
              <w:rPr>
                <w:sz w:val="18"/>
              </w:rPr>
              <w:t>(%) =</w:t>
            </w:r>
            <w:r>
              <w:rPr>
                <w:spacing w:val="-2"/>
                <w:sz w:val="18"/>
              </w:rPr>
              <w:t xml:space="preserve"> 97.83</w:t>
            </w:r>
          </w:p>
          <w:p w14:paraId="34510BF4" w14:textId="77777777" w:rsidR="00BC24A8" w:rsidRDefault="00000000">
            <w:pPr>
              <w:pStyle w:val="TableParagraph"/>
              <w:numPr>
                <w:ilvl w:val="0"/>
                <w:numId w:val="102"/>
              </w:numPr>
              <w:tabs>
                <w:tab w:val="left" w:pos="512"/>
              </w:tabs>
              <w:spacing w:before="1"/>
              <w:ind w:left="512" w:hanging="359"/>
              <w:rPr>
                <w:sz w:val="18"/>
              </w:rPr>
            </w:pPr>
            <w:r>
              <w:rPr>
                <w:sz w:val="18"/>
              </w:rPr>
              <w:t>16-18</w:t>
            </w:r>
            <w:r>
              <w:rPr>
                <w:spacing w:val="-4"/>
                <w:sz w:val="18"/>
              </w:rPr>
              <w:t xml:space="preserve"> </w:t>
            </w:r>
            <w:r>
              <w:rPr>
                <w:sz w:val="18"/>
              </w:rPr>
              <w:t>years</w:t>
            </w:r>
            <w:r>
              <w:rPr>
                <w:spacing w:val="-1"/>
                <w:sz w:val="18"/>
              </w:rPr>
              <w:t xml:space="preserve"> </w:t>
            </w:r>
            <w:r>
              <w:rPr>
                <w:sz w:val="18"/>
              </w:rPr>
              <w:t>(%)</w:t>
            </w:r>
            <w:r>
              <w:rPr>
                <w:spacing w:val="-2"/>
                <w:sz w:val="18"/>
              </w:rPr>
              <w:t xml:space="preserve"> </w:t>
            </w:r>
            <w:r>
              <w:rPr>
                <w:sz w:val="18"/>
              </w:rPr>
              <w:t>=</w:t>
            </w:r>
            <w:r>
              <w:rPr>
                <w:spacing w:val="-2"/>
                <w:sz w:val="18"/>
              </w:rPr>
              <w:t xml:space="preserve"> </w:t>
            </w:r>
            <w:r>
              <w:rPr>
                <w:spacing w:val="-4"/>
                <w:sz w:val="18"/>
              </w:rPr>
              <w:t>77.70</w:t>
            </w:r>
          </w:p>
        </w:tc>
      </w:tr>
      <w:tr w:rsidR="00BC24A8" w14:paraId="440A63D5" w14:textId="77777777">
        <w:trPr>
          <w:trHeight w:val="395"/>
        </w:trPr>
        <w:tc>
          <w:tcPr>
            <w:tcW w:w="4342" w:type="dxa"/>
            <w:tcBorders>
              <w:top w:val="single" w:sz="4" w:space="0" w:color="BEBEBE"/>
              <w:bottom w:val="single" w:sz="4" w:space="0" w:color="BEBEBE"/>
            </w:tcBorders>
          </w:tcPr>
          <w:p w14:paraId="707DFA9E" w14:textId="77777777" w:rsidR="00BC24A8" w:rsidRDefault="00000000">
            <w:pPr>
              <w:pStyle w:val="TableParagraph"/>
              <w:spacing w:before="119"/>
              <w:ind w:left="115"/>
              <w:rPr>
                <w:sz w:val="18"/>
              </w:rPr>
            </w:pPr>
            <w:r>
              <w:rPr>
                <w:sz w:val="18"/>
              </w:rPr>
              <w:t>Infant</w:t>
            </w:r>
            <w:r>
              <w:rPr>
                <w:spacing w:val="-5"/>
                <w:sz w:val="18"/>
              </w:rPr>
              <w:t xml:space="preserve"> </w:t>
            </w:r>
            <w:r>
              <w:rPr>
                <w:sz w:val="18"/>
              </w:rPr>
              <w:t>mortality</w:t>
            </w:r>
            <w:r>
              <w:rPr>
                <w:spacing w:val="-2"/>
                <w:sz w:val="18"/>
              </w:rPr>
              <w:t xml:space="preserve"> </w:t>
            </w:r>
            <w:r>
              <w:rPr>
                <w:spacing w:val="-4"/>
                <w:sz w:val="18"/>
              </w:rPr>
              <w:t>rate</w:t>
            </w:r>
          </w:p>
        </w:tc>
        <w:tc>
          <w:tcPr>
            <w:tcW w:w="4756" w:type="dxa"/>
            <w:tcBorders>
              <w:top w:val="single" w:sz="4" w:space="0" w:color="BEBEBE"/>
              <w:bottom w:val="single" w:sz="4" w:space="0" w:color="BEBEBE"/>
            </w:tcBorders>
          </w:tcPr>
          <w:p w14:paraId="2C048260" w14:textId="77777777" w:rsidR="00BC24A8" w:rsidRDefault="00000000">
            <w:pPr>
              <w:pStyle w:val="TableParagraph"/>
              <w:spacing w:before="59"/>
              <w:ind w:left="182"/>
              <w:rPr>
                <w:sz w:val="18"/>
              </w:rPr>
            </w:pPr>
            <w:r>
              <w:rPr>
                <w:sz w:val="18"/>
              </w:rPr>
              <w:t>29.82</w:t>
            </w:r>
            <w:r>
              <w:rPr>
                <w:spacing w:val="-1"/>
                <w:sz w:val="18"/>
              </w:rPr>
              <w:t xml:space="preserve"> </w:t>
            </w:r>
            <w:r>
              <w:rPr>
                <w:sz w:val="18"/>
              </w:rPr>
              <w:t>per 1000</w:t>
            </w:r>
            <w:r>
              <w:rPr>
                <w:spacing w:val="-1"/>
                <w:sz w:val="18"/>
              </w:rPr>
              <w:t xml:space="preserve"> </w:t>
            </w:r>
            <w:r>
              <w:rPr>
                <w:sz w:val="18"/>
              </w:rPr>
              <w:t>live</w:t>
            </w:r>
            <w:r>
              <w:rPr>
                <w:spacing w:val="-1"/>
                <w:sz w:val="18"/>
              </w:rPr>
              <w:t xml:space="preserve"> </w:t>
            </w:r>
            <w:r>
              <w:rPr>
                <w:spacing w:val="-2"/>
                <w:sz w:val="18"/>
              </w:rPr>
              <w:t>births</w:t>
            </w:r>
          </w:p>
        </w:tc>
      </w:tr>
      <w:tr w:rsidR="00BC24A8" w14:paraId="04D69215" w14:textId="77777777">
        <w:trPr>
          <w:trHeight w:val="393"/>
        </w:trPr>
        <w:tc>
          <w:tcPr>
            <w:tcW w:w="4342" w:type="dxa"/>
            <w:tcBorders>
              <w:top w:val="single" w:sz="4" w:space="0" w:color="BEBEBE"/>
              <w:bottom w:val="single" w:sz="4" w:space="0" w:color="BEBEBE"/>
            </w:tcBorders>
          </w:tcPr>
          <w:p w14:paraId="5DA4BCBE" w14:textId="77777777" w:rsidR="00BC24A8" w:rsidRDefault="00000000">
            <w:pPr>
              <w:pStyle w:val="TableParagraph"/>
              <w:spacing w:before="116"/>
              <w:ind w:left="115"/>
              <w:rPr>
                <w:sz w:val="18"/>
              </w:rPr>
            </w:pPr>
            <w:r>
              <w:rPr>
                <w:sz w:val="18"/>
              </w:rPr>
              <w:t>Maternal</w:t>
            </w:r>
            <w:r>
              <w:rPr>
                <w:spacing w:val="-4"/>
                <w:sz w:val="18"/>
              </w:rPr>
              <w:t xml:space="preserve"> </w:t>
            </w:r>
            <w:r>
              <w:rPr>
                <w:sz w:val="18"/>
              </w:rPr>
              <w:t>mortality</w:t>
            </w:r>
            <w:r>
              <w:rPr>
                <w:spacing w:val="-3"/>
                <w:sz w:val="18"/>
              </w:rPr>
              <w:t xml:space="preserve"> </w:t>
            </w:r>
            <w:r>
              <w:rPr>
                <w:spacing w:val="-4"/>
                <w:sz w:val="18"/>
              </w:rPr>
              <w:t>rate</w:t>
            </w:r>
          </w:p>
        </w:tc>
        <w:tc>
          <w:tcPr>
            <w:tcW w:w="4756" w:type="dxa"/>
            <w:tcBorders>
              <w:top w:val="single" w:sz="4" w:space="0" w:color="BEBEBE"/>
              <w:bottom w:val="single" w:sz="4" w:space="0" w:color="BEBEBE"/>
            </w:tcBorders>
          </w:tcPr>
          <w:p w14:paraId="13E9A11D" w14:textId="77777777" w:rsidR="00BC24A8" w:rsidRDefault="00000000">
            <w:pPr>
              <w:pStyle w:val="TableParagraph"/>
              <w:spacing w:before="59"/>
              <w:ind w:left="182"/>
              <w:rPr>
                <w:sz w:val="18"/>
              </w:rPr>
            </w:pPr>
            <w:r>
              <w:rPr>
                <w:sz w:val="18"/>
              </w:rPr>
              <w:t>261</w:t>
            </w:r>
            <w:r>
              <w:rPr>
                <w:spacing w:val="-1"/>
                <w:sz w:val="18"/>
              </w:rPr>
              <w:t xml:space="preserve"> </w:t>
            </w:r>
            <w:r>
              <w:rPr>
                <w:sz w:val="18"/>
              </w:rPr>
              <w:t>per 100,000</w:t>
            </w:r>
            <w:r>
              <w:rPr>
                <w:spacing w:val="-1"/>
                <w:sz w:val="18"/>
              </w:rPr>
              <w:t xml:space="preserve"> </w:t>
            </w:r>
            <w:r>
              <w:rPr>
                <w:sz w:val="18"/>
              </w:rPr>
              <w:t>live</w:t>
            </w:r>
            <w:r>
              <w:rPr>
                <w:spacing w:val="-1"/>
                <w:sz w:val="18"/>
              </w:rPr>
              <w:t xml:space="preserve"> </w:t>
            </w:r>
            <w:r>
              <w:rPr>
                <w:spacing w:val="-2"/>
                <w:sz w:val="18"/>
              </w:rPr>
              <w:t>births</w:t>
            </w:r>
          </w:p>
        </w:tc>
      </w:tr>
      <w:tr w:rsidR="00BC24A8" w14:paraId="29F32932" w14:textId="77777777">
        <w:trPr>
          <w:trHeight w:val="393"/>
        </w:trPr>
        <w:tc>
          <w:tcPr>
            <w:tcW w:w="4342" w:type="dxa"/>
            <w:tcBorders>
              <w:top w:val="single" w:sz="4" w:space="0" w:color="BEBEBE"/>
              <w:bottom w:val="single" w:sz="4" w:space="0" w:color="BEBEBE"/>
            </w:tcBorders>
          </w:tcPr>
          <w:p w14:paraId="36AEDA1D" w14:textId="77777777" w:rsidR="00BC24A8" w:rsidRDefault="00000000">
            <w:pPr>
              <w:pStyle w:val="TableParagraph"/>
              <w:spacing w:before="116"/>
              <w:ind w:left="115"/>
              <w:rPr>
                <w:sz w:val="18"/>
              </w:rPr>
            </w:pPr>
            <w:r>
              <w:rPr>
                <w:sz w:val="18"/>
              </w:rPr>
              <w:t>Stunting</w:t>
            </w:r>
            <w:r>
              <w:rPr>
                <w:spacing w:val="-2"/>
                <w:sz w:val="18"/>
              </w:rPr>
              <w:t xml:space="preserve"> Prevalence</w:t>
            </w:r>
          </w:p>
        </w:tc>
        <w:tc>
          <w:tcPr>
            <w:tcW w:w="4756" w:type="dxa"/>
            <w:tcBorders>
              <w:top w:val="single" w:sz="4" w:space="0" w:color="BEBEBE"/>
              <w:bottom w:val="single" w:sz="4" w:space="0" w:color="BEBEBE"/>
            </w:tcBorders>
          </w:tcPr>
          <w:p w14:paraId="6CF263FF" w14:textId="77777777" w:rsidR="00BC24A8" w:rsidRDefault="00000000">
            <w:pPr>
              <w:pStyle w:val="TableParagraph"/>
              <w:spacing w:before="59"/>
              <w:ind w:left="182"/>
              <w:rPr>
                <w:sz w:val="18"/>
              </w:rPr>
            </w:pPr>
            <w:r>
              <w:rPr>
                <w:sz w:val="18"/>
              </w:rPr>
              <w:t>26,1</w:t>
            </w:r>
            <w:r>
              <w:rPr>
                <w:spacing w:val="-1"/>
                <w:sz w:val="18"/>
              </w:rPr>
              <w:t xml:space="preserve"> </w:t>
            </w:r>
            <w:r>
              <w:rPr>
                <w:spacing w:val="-10"/>
                <w:sz w:val="18"/>
              </w:rPr>
              <w:t>%</w:t>
            </w:r>
          </w:p>
        </w:tc>
      </w:tr>
      <w:tr w:rsidR="00BC24A8" w14:paraId="21BD161F" w14:textId="77777777">
        <w:trPr>
          <w:trHeight w:val="393"/>
        </w:trPr>
        <w:tc>
          <w:tcPr>
            <w:tcW w:w="4342" w:type="dxa"/>
            <w:tcBorders>
              <w:top w:val="single" w:sz="4" w:space="0" w:color="BEBEBE"/>
              <w:bottom w:val="single" w:sz="4" w:space="0" w:color="BEBEBE"/>
            </w:tcBorders>
          </w:tcPr>
          <w:p w14:paraId="70802ADE" w14:textId="77777777" w:rsidR="00BC24A8" w:rsidRDefault="00000000">
            <w:pPr>
              <w:pStyle w:val="TableParagraph"/>
              <w:spacing w:before="119"/>
              <w:ind w:left="115"/>
              <w:rPr>
                <w:sz w:val="18"/>
              </w:rPr>
            </w:pPr>
            <w:r>
              <w:rPr>
                <w:sz w:val="18"/>
              </w:rPr>
              <w:t>Poverty</w:t>
            </w:r>
            <w:r>
              <w:rPr>
                <w:spacing w:val="-4"/>
                <w:sz w:val="18"/>
              </w:rPr>
              <w:t xml:space="preserve"> rate</w:t>
            </w:r>
          </w:p>
        </w:tc>
        <w:tc>
          <w:tcPr>
            <w:tcW w:w="4756" w:type="dxa"/>
            <w:tcBorders>
              <w:top w:val="single" w:sz="4" w:space="0" w:color="BEBEBE"/>
              <w:bottom w:val="single" w:sz="4" w:space="0" w:color="BEBEBE"/>
            </w:tcBorders>
          </w:tcPr>
          <w:p w14:paraId="7FF98054" w14:textId="77777777" w:rsidR="00BC24A8" w:rsidRDefault="00000000">
            <w:pPr>
              <w:pStyle w:val="TableParagraph"/>
              <w:spacing w:before="59"/>
              <w:ind w:left="182"/>
              <w:rPr>
                <w:sz w:val="18"/>
              </w:rPr>
            </w:pPr>
            <w:r>
              <w:rPr>
                <w:sz w:val="18"/>
              </w:rPr>
              <w:t>16,05</w:t>
            </w:r>
            <w:r>
              <w:rPr>
                <w:spacing w:val="-1"/>
                <w:sz w:val="18"/>
              </w:rPr>
              <w:t xml:space="preserve"> </w:t>
            </w:r>
            <w:r>
              <w:rPr>
                <w:spacing w:val="-10"/>
                <w:sz w:val="18"/>
              </w:rPr>
              <w:t>%</w:t>
            </w:r>
          </w:p>
        </w:tc>
      </w:tr>
      <w:tr w:rsidR="00BC24A8" w14:paraId="662A559C" w14:textId="77777777">
        <w:trPr>
          <w:trHeight w:val="395"/>
        </w:trPr>
        <w:tc>
          <w:tcPr>
            <w:tcW w:w="4342" w:type="dxa"/>
            <w:tcBorders>
              <w:top w:val="single" w:sz="4" w:space="0" w:color="BEBEBE"/>
              <w:bottom w:val="single" w:sz="4" w:space="0" w:color="BEBEBE"/>
            </w:tcBorders>
          </w:tcPr>
          <w:p w14:paraId="6E06639F" w14:textId="77777777" w:rsidR="00BC24A8" w:rsidRDefault="00000000">
            <w:pPr>
              <w:pStyle w:val="TableParagraph"/>
              <w:spacing w:before="119"/>
              <w:ind w:left="115"/>
              <w:rPr>
                <w:sz w:val="18"/>
              </w:rPr>
            </w:pPr>
            <w:r>
              <w:rPr>
                <w:sz w:val="18"/>
              </w:rPr>
              <w:t>Open</w:t>
            </w:r>
            <w:r>
              <w:rPr>
                <w:spacing w:val="-6"/>
                <w:sz w:val="18"/>
              </w:rPr>
              <w:t xml:space="preserve"> </w:t>
            </w:r>
            <w:r>
              <w:rPr>
                <w:sz w:val="18"/>
              </w:rPr>
              <w:t>unemployment</w:t>
            </w:r>
            <w:r>
              <w:rPr>
                <w:spacing w:val="-2"/>
                <w:sz w:val="18"/>
              </w:rPr>
              <w:t xml:space="preserve"> </w:t>
            </w:r>
            <w:r>
              <w:rPr>
                <w:spacing w:val="-4"/>
                <w:sz w:val="18"/>
              </w:rPr>
              <w:t>rate</w:t>
            </w:r>
          </w:p>
        </w:tc>
        <w:tc>
          <w:tcPr>
            <w:tcW w:w="4756" w:type="dxa"/>
            <w:tcBorders>
              <w:top w:val="single" w:sz="4" w:space="0" w:color="BEBEBE"/>
              <w:bottom w:val="single" w:sz="4" w:space="0" w:color="BEBEBE"/>
            </w:tcBorders>
          </w:tcPr>
          <w:p w14:paraId="0628CC18" w14:textId="77777777" w:rsidR="00BC24A8" w:rsidRDefault="00000000">
            <w:pPr>
              <w:pStyle w:val="TableParagraph"/>
              <w:spacing w:before="59"/>
              <w:ind w:left="182"/>
              <w:rPr>
                <w:sz w:val="18"/>
              </w:rPr>
            </w:pPr>
            <w:r>
              <w:rPr>
                <w:sz w:val="18"/>
              </w:rPr>
              <w:t>6,31</w:t>
            </w:r>
            <w:r>
              <w:rPr>
                <w:spacing w:val="-1"/>
                <w:sz w:val="18"/>
              </w:rPr>
              <w:t xml:space="preserve"> </w:t>
            </w:r>
            <w:r>
              <w:rPr>
                <w:spacing w:val="-10"/>
                <w:sz w:val="18"/>
              </w:rPr>
              <w:t>%</w:t>
            </w:r>
          </w:p>
        </w:tc>
      </w:tr>
      <w:tr w:rsidR="00BC24A8" w14:paraId="7DB0A24A" w14:textId="77777777">
        <w:trPr>
          <w:trHeight w:val="393"/>
        </w:trPr>
        <w:tc>
          <w:tcPr>
            <w:tcW w:w="4342" w:type="dxa"/>
            <w:tcBorders>
              <w:top w:val="single" w:sz="4" w:space="0" w:color="BEBEBE"/>
              <w:bottom w:val="single" w:sz="4" w:space="0" w:color="BEBEBE"/>
            </w:tcBorders>
          </w:tcPr>
          <w:p w14:paraId="012337EA" w14:textId="77777777" w:rsidR="00BC24A8" w:rsidRDefault="00000000">
            <w:pPr>
              <w:pStyle w:val="TableParagraph"/>
              <w:spacing w:before="116"/>
              <w:ind w:left="115"/>
              <w:rPr>
                <w:sz w:val="18"/>
              </w:rPr>
            </w:pPr>
            <w:r>
              <w:rPr>
                <w:spacing w:val="-2"/>
                <w:sz w:val="18"/>
              </w:rPr>
              <w:t>GINI-Coefficient</w:t>
            </w:r>
          </w:p>
        </w:tc>
        <w:tc>
          <w:tcPr>
            <w:tcW w:w="4756" w:type="dxa"/>
            <w:tcBorders>
              <w:top w:val="single" w:sz="4" w:space="0" w:color="BEBEBE"/>
              <w:bottom w:val="single" w:sz="4" w:space="0" w:color="BEBEBE"/>
            </w:tcBorders>
          </w:tcPr>
          <w:p w14:paraId="3F24B13F" w14:textId="77777777" w:rsidR="00BC24A8" w:rsidRDefault="00000000">
            <w:pPr>
              <w:pStyle w:val="TableParagraph"/>
              <w:spacing w:before="56"/>
              <w:ind w:left="182"/>
              <w:rPr>
                <w:sz w:val="18"/>
              </w:rPr>
            </w:pPr>
            <w:r>
              <w:rPr>
                <w:spacing w:val="-2"/>
                <w:sz w:val="18"/>
              </w:rPr>
              <w:t>0,282</w:t>
            </w:r>
          </w:p>
        </w:tc>
      </w:tr>
      <w:tr w:rsidR="00BC24A8" w14:paraId="4094F82B" w14:textId="77777777">
        <w:trPr>
          <w:trHeight w:val="393"/>
        </w:trPr>
        <w:tc>
          <w:tcPr>
            <w:tcW w:w="4342" w:type="dxa"/>
            <w:tcBorders>
              <w:top w:val="single" w:sz="4" w:space="0" w:color="BEBEBE"/>
              <w:bottom w:val="single" w:sz="4" w:space="0" w:color="BEBEBE"/>
            </w:tcBorders>
          </w:tcPr>
          <w:p w14:paraId="7C4EE578" w14:textId="77777777" w:rsidR="00BC24A8" w:rsidRDefault="00000000">
            <w:pPr>
              <w:pStyle w:val="TableParagraph"/>
              <w:spacing w:before="116"/>
              <w:ind w:left="115"/>
              <w:rPr>
                <w:sz w:val="18"/>
              </w:rPr>
            </w:pPr>
            <w:r>
              <w:rPr>
                <w:sz w:val="18"/>
              </w:rPr>
              <w:t>HDI</w:t>
            </w:r>
            <w:r>
              <w:rPr>
                <w:spacing w:val="-4"/>
                <w:sz w:val="18"/>
              </w:rPr>
              <w:t xml:space="preserve"> </w:t>
            </w:r>
            <w:r>
              <w:rPr>
                <w:sz w:val="18"/>
              </w:rPr>
              <w:t>(Human</w:t>
            </w:r>
            <w:r>
              <w:rPr>
                <w:spacing w:val="-2"/>
                <w:sz w:val="18"/>
              </w:rPr>
              <w:t xml:space="preserve"> </w:t>
            </w:r>
            <w:r>
              <w:rPr>
                <w:sz w:val="18"/>
              </w:rPr>
              <w:t>Development</w:t>
            </w:r>
            <w:r>
              <w:rPr>
                <w:spacing w:val="-1"/>
                <w:sz w:val="18"/>
              </w:rPr>
              <w:t xml:space="preserve"> </w:t>
            </w:r>
            <w:r>
              <w:rPr>
                <w:spacing w:val="-2"/>
                <w:sz w:val="18"/>
              </w:rPr>
              <w:t>Index)</w:t>
            </w:r>
          </w:p>
        </w:tc>
        <w:tc>
          <w:tcPr>
            <w:tcW w:w="4756" w:type="dxa"/>
            <w:tcBorders>
              <w:top w:val="single" w:sz="4" w:space="0" w:color="BEBEBE"/>
              <w:bottom w:val="single" w:sz="4" w:space="0" w:color="BEBEBE"/>
            </w:tcBorders>
          </w:tcPr>
          <w:p w14:paraId="79C61EB5" w14:textId="77777777" w:rsidR="00BC24A8" w:rsidRDefault="00000000">
            <w:pPr>
              <w:pStyle w:val="TableParagraph"/>
              <w:spacing w:before="59"/>
              <w:ind w:left="182"/>
              <w:rPr>
                <w:sz w:val="18"/>
              </w:rPr>
            </w:pPr>
            <w:r>
              <w:rPr>
                <w:spacing w:val="-2"/>
                <w:sz w:val="18"/>
              </w:rPr>
              <w:t>72.75</w:t>
            </w:r>
          </w:p>
        </w:tc>
      </w:tr>
    </w:tbl>
    <w:p w14:paraId="2E01718C" w14:textId="77777777" w:rsidR="00BC24A8" w:rsidRDefault="00000000">
      <w:pPr>
        <w:spacing w:before="126"/>
        <w:ind w:left="143"/>
        <w:jc w:val="both"/>
        <w:rPr>
          <w:sz w:val="16"/>
        </w:rPr>
      </w:pPr>
      <w:r>
        <w:rPr>
          <w:sz w:val="16"/>
        </w:rPr>
        <w:t>Data</w:t>
      </w:r>
      <w:r>
        <w:rPr>
          <w:spacing w:val="-8"/>
          <w:sz w:val="16"/>
        </w:rPr>
        <w:t xml:space="preserve"> </w:t>
      </w:r>
      <w:r>
        <w:rPr>
          <w:sz w:val="16"/>
        </w:rPr>
        <w:t>source:</w:t>
      </w:r>
      <w:r>
        <w:rPr>
          <w:spacing w:val="-8"/>
          <w:sz w:val="16"/>
        </w:rPr>
        <w:t xml:space="preserve"> </w:t>
      </w:r>
      <w:r>
        <w:rPr>
          <w:sz w:val="16"/>
        </w:rPr>
        <w:t>Analysis</w:t>
      </w:r>
      <w:r>
        <w:rPr>
          <w:spacing w:val="-6"/>
          <w:sz w:val="16"/>
        </w:rPr>
        <w:t xml:space="preserve"> </w:t>
      </w:r>
      <w:r>
        <w:rPr>
          <w:sz w:val="16"/>
        </w:rPr>
        <w:t>of</w:t>
      </w:r>
      <w:r>
        <w:rPr>
          <w:spacing w:val="-8"/>
          <w:sz w:val="16"/>
        </w:rPr>
        <w:t xml:space="preserve"> </w:t>
      </w:r>
      <w:r>
        <w:rPr>
          <w:sz w:val="16"/>
        </w:rPr>
        <w:t>Data</w:t>
      </w:r>
      <w:r>
        <w:rPr>
          <w:spacing w:val="-6"/>
          <w:sz w:val="16"/>
        </w:rPr>
        <w:t xml:space="preserve"> </w:t>
      </w:r>
      <w:r>
        <w:rPr>
          <w:sz w:val="16"/>
        </w:rPr>
        <w:t>from</w:t>
      </w:r>
      <w:r>
        <w:rPr>
          <w:spacing w:val="-7"/>
          <w:sz w:val="16"/>
        </w:rPr>
        <w:t xml:space="preserve"> </w:t>
      </w:r>
      <w:r>
        <w:rPr>
          <w:sz w:val="16"/>
        </w:rPr>
        <w:t>Statistics</w:t>
      </w:r>
      <w:r>
        <w:rPr>
          <w:spacing w:val="-6"/>
          <w:sz w:val="16"/>
        </w:rPr>
        <w:t xml:space="preserve"> </w:t>
      </w:r>
      <w:r>
        <w:rPr>
          <w:sz w:val="16"/>
        </w:rPr>
        <w:t>Indonesia/BPS</w:t>
      </w:r>
      <w:r>
        <w:rPr>
          <w:spacing w:val="-6"/>
          <w:sz w:val="16"/>
        </w:rPr>
        <w:t xml:space="preserve"> </w:t>
      </w:r>
      <w:r>
        <w:rPr>
          <w:sz w:val="16"/>
        </w:rPr>
        <w:t>(2022-2024)</w:t>
      </w:r>
      <w:r>
        <w:rPr>
          <w:spacing w:val="-9"/>
          <w:sz w:val="16"/>
        </w:rPr>
        <w:t xml:space="preserve"> </w:t>
      </w:r>
      <w:r>
        <w:rPr>
          <w:sz w:val="16"/>
        </w:rPr>
        <w:t>and</w:t>
      </w:r>
      <w:r>
        <w:rPr>
          <w:spacing w:val="-8"/>
          <w:sz w:val="16"/>
        </w:rPr>
        <w:t xml:space="preserve"> </w:t>
      </w:r>
      <w:r>
        <w:rPr>
          <w:sz w:val="16"/>
        </w:rPr>
        <w:t>various</w:t>
      </w:r>
      <w:r>
        <w:rPr>
          <w:spacing w:val="-6"/>
          <w:sz w:val="16"/>
        </w:rPr>
        <w:t xml:space="preserve"> </w:t>
      </w:r>
      <w:r>
        <w:rPr>
          <w:spacing w:val="-2"/>
          <w:sz w:val="16"/>
        </w:rPr>
        <w:t>sources</w:t>
      </w:r>
    </w:p>
    <w:p w14:paraId="086DDF3B" w14:textId="77777777" w:rsidR="00BC24A8" w:rsidRDefault="00BC24A8">
      <w:pPr>
        <w:pStyle w:val="BodyText"/>
        <w:spacing w:before="126"/>
        <w:rPr>
          <w:sz w:val="16"/>
        </w:rPr>
      </w:pPr>
    </w:p>
    <w:p w14:paraId="7A1985F7" w14:textId="77777777" w:rsidR="00BC24A8" w:rsidRDefault="00000000">
      <w:pPr>
        <w:pStyle w:val="Heading5"/>
      </w:pPr>
      <w:r>
        <w:rPr>
          <w:color w:val="767070"/>
        </w:rPr>
        <w:t>MSS</w:t>
      </w:r>
      <w:r>
        <w:rPr>
          <w:color w:val="767070"/>
          <w:spacing w:val="-7"/>
        </w:rPr>
        <w:t xml:space="preserve"> </w:t>
      </w:r>
      <w:r>
        <w:rPr>
          <w:color w:val="767070"/>
        </w:rPr>
        <w:t>achievement</w:t>
      </w:r>
      <w:r>
        <w:rPr>
          <w:color w:val="767070"/>
          <w:spacing w:val="-7"/>
        </w:rPr>
        <w:t xml:space="preserve"> </w:t>
      </w:r>
      <w:r>
        <w:rPr>
          <w:color w:val="767070"/>
        </w:rPr>
        <w:t>index</w:t>
      </w:r>
      <w:r>
        <w:rPr>
          <w:color w:val="767070"/>
          <w:spacing w:val="-6"/>
        </w:rPr>
        <w:t xml:space="preserve"> </w:t>
      </w:r>
      <w:r>
        <w:rPr>
          <w:color w:val="767070"/>
        </w:rPr>
        <w:t>and</w:t>
      </w:r>
      <w:r>
        <w:rPr>
          <w:color w:val="767070"/>
          <w:spacing w:val="-6"/>
        </w:rPr>
        <w:t xml:space="preserve"> </w:t>
      </w:r>
      <w:r>
        <w:rPr>
          <w:color w:val="767070"/>
        </w:rPr>
        <w:t>budget</w:t>
      </w:r>
      <w:r>
        <w:rPr>
          <w:color w:val="767070"/>
          <w:spacing w:val="-5"/>
        </w:rPr>
        <w:t xml:space="preserve"> </w:t>
      </w:r>
      <w:r>
        <w:rPr>
          <w:color w:val="767070"/>
          <w:spacing w:val="-4"/>
        </w:rPr>
        <w:t>data</w:t>
      </w:r>
    </w:p>
    <w:p w14:paraId="40354306"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3173"/>
        <w:gridCol w:w="3368"/>
        <w:gridCol w:w="776"/>
        <w:gridCol w:w="1781"/>
      </w:tblGrid>
      <w:tr w:rsidR="00BC24A8" w14:paraId="4E41BDA1" w14:textId="77777777">
        <w:trPr>
          <w:trHeight w:val="547"/>
        </w:trPr>
        <w:tc>
          <w:tcPr>
            <w:tcW w:w="3173" w:type="dxa"/>
            <w:shd w:val="clear" w:color="auto" w:fill="17365A"/>
          </w:tcPr>
          <w:p w14:paraId="56592567" w14:textId="77777777" w:rsidR="00BC24A8" w:rsidRDefault="00000000">
            <w:pPr>
              <w:pStyle w:val="TableParagraph"/>
              <w:spacing w:before="145"/>
              <w:ind w:left="115"/>
              <w:rPr>
                <w:rFonts w:ascii="Calibri"/>
                <w:b/>
                <w:sz w:val="20"/>
              </w:rPr>
            </w:pPr>
            <w:r>
              <w:rPr>
                <w:rFonts w:ascii="Calibri"/>
                <w:b/>
                <w:color w:val="FFFFFF"/>
                <w:spacing w:val="-2"/>
                <w:sz w:val="20"/>
              </w:rPr>
              <w:t>Sector</w:t>
            </w:r>
          </w:p>
        </w:tc>
        <w:tc>
          <w:tcPr>
            <w:tcW w:w="3368" w:type="dxa"/>
            <w:shd w:val="clear" w:color="auto" w:fill="17365A"/>
          </w:tcPr>
          <w:p w14:paraId="34FCD3A9" w14:textId="77777777" w:rsidR="00BC24A8" w:rsidRDefault="00000000">
            <w:pPr>
              <w:pStyle w:val="TableParagraph"/>
              <w:spacing w:before="145"/>
              <w:ind w:left="193" w:right="3"/>
              <w:jc w:val="center"/>
              <w:rPr>
                <w:rFonts w:ascii="Calibri"/>
                <w:b/>
                <w:sz w:val="20"/>
              </w:rPr>
            </w:pPr>
            <w:r>
              <w:rPr>
                <w:rFonts w:ascii="Calibri"/>
                <w:b/>
                <w:color w:val="FFFFFF"/>
                <w:sz w:val="20"/>
              </w:rPr>
              <w:t>MSS</w:t>
            </w:r>
            <w:r>
              <w:rPr>
                <w:rFonts w:ascii="Calibri"/>
                <w:b/>
                <w:color w:val="FFFFFF"/>
                <w:spacing w:val="-9"/>
                <w:sz w:val="20"/>
              </w:rPr>
              <w:t xml:space="preserve"> </w:t>
            </w:r>
            <w:r>
              <w:rPr>
                <w:rFonts w:ascii="Calibri"/>
                <w:b/>
                <w:color w:val="FFFFFF"/>
                <w:sz w:val="20"/>
              </w:rPr>
              <w:t>achievement</w:t>
            </w:r>
            <w:r>
              <w:rPr>
                <w:rFonts w:ascii="Calibri"/>
                <w:b/>
                <w:color w:val="FFFFFF"/>
                <w:spacing w:val="-6"/>
                <w:sz w:val="20"/>
              </w:rPr>
              <w:t xml:space="preserve"> </w:t>
            </w:r>
            <w:r>
              <w:rPr>
                <w:rFonts w:ascii="Calibri"/>
                <w:b/>
                <w:color w:val="FFFFFF"/>
                <w:sz w:val="20"/>
              </w:rPr>
              <w:t>index</w:t>
            </w:r>
            <w:r>
              <w:rPr>
                <w:rFonts w:ascii="Calibri"/>
                <w:b/>
                <w:color w:val="FFFFFF"/>
                <w:spacing w:val="-6"/>
                <w:sz w:val="20"/>
              </w:rPr>
              <w:t xml:space="preserve"> </w:t>
            </w:r>
            <w:r>
              <w:rPr>
                <w:rFonts w:ascii="Calibri"/>
                <w:b/>
                <w:color w:val="FFFFFF"/>
                <w:sz w:val="20"/>
              </w:rPr>
              <w:t>2024</w:t>
            </w:r>
            <w:r>
              <w:rPr>
                <w:rFonts w:ascii="Calibri"/>
                <w:b/>
                <w:color w:val="FFFFFF"/>
                <w:spacing w:val="-4"/>
                <w:sz w:val="20"/>
              </w:rPr>
              <w:t xml:space="preserve"> </w:t>
            </w:r>
            <w:r>
              <w:rPr>
                <w:rFonts w:ascii="Calibri"/>
                <w:b/>
                <w:color w:val="FFFFFF"/>
                <w:spacing w:val="-5"/>
                <w:sz w:val="20"/>
              </w:rPr>
              <w:t>(%)</w:t>
            </w:r>
          </w:p>
        </w:tc>
        <w:tc>
          <w:tcPr>
            <w:tcW w:w="2557" w:type="dxa"/>
            <w:gridSpan w:val="2"/>
            <w:shd w:val="clear" w:color="auto" w:fill="17365A"/>
          </w:tcPr>
          <w:p w14:paraId="6250BBCE" w14:textId="77777777" w:rsidR="00BC24A8" w:rsidRDefault="00000000">
            <w:pPr>
              <w:pStyle w:val="TableParagraph"/>
              <w:spacing w:before="145"/>
              <w:ind w:left="498"/>
              <w:rPr>
                <w:rFonts w:ascii="Calibri"/>
                <w:b/>
                <w:sz w:val="20"/>
              </w:rPr>
            </w:pPr>
            <w:r>
              <w:rPr>
                <w:rFonts w:ascii="Calibri"/>
                <w:b/>
                <w:color w:val="FFFFFF"/>
                <w:sz w:val="20"/>
              </w:rPr>
              <w:t>2024</w:t>
            </w:r>
            <w:r>
              <w:rPr>
                <w:rFonts w:ascii="Calibri"/>
                <w:b/>
                <w:color w:val="FFFFFF"/>
                <w:spacing w:val="-4"/>
                <w:sz w:val="20"/>
              </w:rPr>
              <w:t xml:space="preserve"> </w:t>
            </w:r>
            <w:r>
              <w:rPr>
                <w:rFonts w:ascii="Calibri"/>
                <w:b/>
                <w:color w:val="FFFFFF"/>
                <w:sz w:val="20"/>
              </w:rPr>
              <w:t>MSS</w:t>
            </w:r>
            <w:r>
              <w:rPr>
                <w:rFonts w:ascii="Calibri"/>
                <w:b/>
                <w:color w:val="FFFFFF"/>
                <w:spacing w:val="38"/>
                <w:sz w:val="20"/>
              </w:rPr>
              <w:t xml:space="preserve"> </w:t>
            </w:r>
            <w:r>
              <w:rPr>
                <w:rFonts w:ascii="Calibri"/>
                <w:b/>
                <w:color w:val="FFFFFF"/>
                <w:spacing w:val="-2"/>
                <w:sz w:val="20"/>
              </w:rPr>
              <w:t>Budget</w:t>
            </w:r>
          </w:p>
        </w:tc>
      </w:tr>
      <w:tr w:rsidR="00BC24A8" w14:paraId="48EAAF9F" w14:textId="77777777">
        <w:trPr>
          <w:trHeight w:val="438"/>
        </w:trPr>
        <w:tc>
          <w:tcPr>
            <w:tcW w:w="3173" w:type="dxa"/>
            <w:tcBorders>
              <w:bottom w:val="single" w:sz="4" w:space="0" w:color="BEBEBE"/>
            </w:tcBorders>
          </w:tcPr>
          <w:p w14:paraId="4B14A3A0" w14:textId="77777777" w:rsidR="00BC24A8" w:rsidRDefault="00000000">
            <w:pPr>
              <w:pStyle w:val="TableParagraph"/>
              <w:spacing w:before="162"/>
              <w:ind w:left="115"/>
              <w:rPr>
                <w:sz w:val="18"/>
              </w:rPr>
            </w:pPr>
            <w:r>
              <w:rPr>
                <w:spacing w:val="-2"/>
                <w:sz w:val="18"/>
              </w:rPr>
              <w:t>Education</w:t>
            </w:r>
          </w:p>
        </w:tc>
        <w:tc>
          <w:tcPr>
            <w:tcW w:w="3368" w:type="dxa"/>
            <w:tcBorders>
              <w:bottom w:val="single" w:sz="4" w:space="0" w:color="BEBEBE"/>
            </w:tcBorders>
          </w:tcPr>
          <w:p w14:paraId="71D61EAB" w14:textId="77777777" w:rsidR="00BC24A8" w:rsidRDefault="00000000">
            <w:pPr>
              <w:pStyle w:val="TableParagraph"/>
              <w:spacing w:before="102"/>
              <w:ind w:left="193"/>
              <w:jc w:val="center"/>
              <w:rPr>
                <w:sz w:val="18"/>
              </w:rPr>
            </w:pPr>
            <w:r>
              <w:rPr>
                <w:spacing w:val="-5"/>
                <w:sz w:val="18"/>
              </w:rPr>
              <w:t>100</w:t>
            </w:r>
          </w:p>
        </w:tc>
        <w:tc>
          <w:tcPr>
            <w:tcW w:w="776" w:type="dxa"/>
            <w:tcBorders>
              <w:bottom w:val="single" w:sz="4" w:space="0" w:color="BEBEBE"/>
            </w:tcBorders>
          </w:tcPr>
          <w:p w14:paraId="3E637564" w14:textId="77777777" w:rsidR="00BC24A8" w:rsidRDefault="00000000">
            <w:pPr>
              <w:pStyle w:val="TableParagraph"/>
              <w:spacing w:before="102"/>
              <w:ind w:right="99"/>
              <w:jc w:val="center"/>
              <w:rPr>
                <w:sz w:val="18"/>
              </w:rPr>
            </w:pPr>
            <w:r>
              <w:rPr>
                <w:spacing w:val="-5"/>
                <w:sz w:val="18"/>
              </w:rPr>
              <w:t>IDR</w:t>
            </w:r>
          </w:p>
        </w:tc>
        <w:tc>
          <w:tcPr>
            <w:tcW w:w="1781" w:type="dxa"/>
            <w:tcBorders>
              <w:bottom w:val="single" w:sz="4" w:space="0" w:color="BEBEBE"/>
            </w:tcBorders>
          </w:tcPr>
          <w:p w14:paraId="089B4D21" w14:textId="77777777" w:rsidR="00BC24A8" w:rsidRDefault="00000000">
            <w:pPr>
              <w:pStyle w:val="TableParagraph"/>
              <w:spacing w:before="104"/>
              <w:ind w:right="107"/>
              <w:jc w:val="right"/>
              <w:rPr>
                <w:position w:val="5"/>
                <w:sz w:val="12"/>
              </w:rPr>
            </w:pPr>
            <w:r>
              <w:rPr>
                <w:spacing w:val="-2"/>
                <w:sz w:val="18"/>
              </w:rPr>
              <w:t>147,417,265,050</w:t>
            </w:r>
            <w:hyperlink w:anchor="_bookmark116" w:history="1">
              <w:r w:rsidR="00BC24A8">
                <w:rPr>
                  <w:spacing w:val="-2"/>
                  <w:position w:val="5"/>
                  <w:sz w:val="12"/>
                </w:rPr>
                <w:t>53</w:t>
              </w:r>
            </w:hyperlink>
          </w:p>
        </w:tc>
      </w:tr>
      <w:tr w:rsidR="00BC24A8" w14:paraId="36DB9A67" w14:textId="77777777">
        <w:trPr>
          <w:trHeight w:val="393"/>
        </w:trPr>
        <w:tc>
          <w:tcPr>
            <w:tcW w:w="3173" w:type="dxa"/>
            <w:tcBorders>
              <w:top w:val="single" w:sz="4" w:space="0" w:color="BEBEBE"/>
              <w:bottom w:val="single" w:sz="4" w:space="0" w:color="BEBEBE"/>
            </w:tcBorders>
          </w:tcPr>
          <w:p w14:paraId="6E604F49" w14:textId="77777777" w:rsidR="00BC24A8" w:rsidRDefault="00000000">
            <w:pPr>
              <w:pStyle w:val="TableParagraph"/>
              <w:spacing w:before="119"/>
              <w:ind w:left="115"/>
              <w:rPr>
                <w:sz w:val="18"/>
              </w:rPr>
            </w:pPr>
            <w:r>
              <w:rPr>
                <w:spacing w:val="-2"/>
                <w:sz w:val="18"/>
              </w:rPr>
              <w:t>Health</w:t>
            </w:r>
          </w:p>
        </w:tc>
        <w:tc>
          <w:tcPr>
            <w:tcW w:w="3368" w:type="dxa"/>
            <w:tcBorders>
              <w:top w:val="single" w:sz="4" w:space="0" w:color="BEBEBE"/>
              <w:bottom w:val="single" w:sz="4" w:space="0" w:color="BEBEBE"/>
            </w:tcBorders>
          </w:tcPr>
          <w:p w14:paraId="7FCE8C44" w14:textId="77777777" w:rsidR="00BC24A8" w:rsidRDefault="00000000">
            <w:pPr>
              <w:pStyle w:val="TableParagraph"/>
              <w:spacing w:before="59"/>
              <w:ind w:left="193"/>
              <w:jc w:val="center"/>
              <w:rPr>
                <w:sz w:val="18"/>
              </w:rPr>
            </w:pPr>
            <w:r>
              <w:rPr>
                <w:spacing w:val="-5"/>
                <w:sz w:val="18"/>
              </w:rPr>
              <w:t>100</w:t>
            </w:r>
          </w:p>
        </w:tc>
        <w:tc>
          <w:tcPr>
            <w:tcW w:w="776" w:type="dxa"/>
            <w:tcBorders>
              <w:top w:val="single" w:sz="4" w:space="0" w:color="BEBEBE"/>
              <w:bottom w:val="single" w:sz="4" w:space="0" w:color="BEBEBE"/>
            </w:tcBorders>
          </w:tcPr>
          <w:p w14:paraId="31E80A82" w14:textId="77777777" w:rsidR="00BC24A8" w:rsidRDefault="00000000">
            <w:pPr>
              <w:pStyle w:val="TableParagraph"/>
              <w:spacing w:before="59"/>
              <w:ind w:right="99"/>
              <w:jc w:val="center"/>
              <w:rPr>
                <w:sz w:val="18"/>
              </w:rPr>
            </w:pPr>
            <w:r>
              <w:rPr>
                <w:spacing w:val="-5"/>
                <w:sz w:val="18"/>
              </w:rPr>
              <w:t>IDR</w:t>
            </w:r>
          </w:p>
        </w:tc>
        <w:tc>
          <w:tcPr>
            <w:tcW w:w="1781" w:type="dxa"/>
            <w:tcBorders>
              <w:top w:val="single" w:sz="4" w:space="0" w:color="BEBEBE"/>
              <w:bottom w:val="single" w:sz="4" w:space="0" w:color="BEBEBE"/>
            </w:tcBorders>
          </w:tcPr>
          <w:p w14:paraId="2DE7F62B" w14:textId="77777777" w:rsidR="00BC24A8" w:rsidRDefault="00000000">
            <w:pPr>
              <w:pStyle w:val="TableParagraph"/>
              <w:spacing w:before="59"/>
              <w:ind w:right="109"/>
              <w:jc w:val="right"/>
              <w:rPr>
                <w:sz w:val="18"/>
              </w:rPr>
            </w:pPr>
            <w:r>
              <w:rPr>
                <w:spacing w:val="-2"/>
                <w:sz w:val="18"/>
              </w:rPr>
              <w:t>447,730,000</w:t>
            </w:r>
          </w:p>
        </w:tc>
      </w:tr>
      <w:tr w:rsidR="00BC24A8" w14:paraId="4313F70D" w14:textId="77777777">
        <w:trPr>
          <w:trHeight w:val="393"/>
        </w:trPr>
        <w:tc>
          <w:tcPr>
            <w:tcW w:w="3173" w:type="dxa"/>
            <w:tcBorders>
              <w:top w:val="single" w:sz="4" w:space="0" w:color="BEBEBE"/>
              <w:bottom w:val="single" w:sz="4" w:space="0" w:color="BEBEBE"/>
            </w:tcBorders>
          </w:tcPr>
          <w:p w14:paraId="21BF1F89" w14:textId="77777777" w:rsidR="00BC24A8" w:rsidRDefault="00000000">
            <w:pPr>
              <w:pStyle w:val="TableParagraph"/>
              <w:spacing w:before="119"/>
              <w:ind w:left="115"/>
              <w:rPr>
                <w:sz w:val="18"/>
              </w:rPr>
            </w:pPr>
            <w:r>
              <w:rPr>
                <w:spacing w:val="-2"/>
                <w:sz w:val="18"/>
              </w:rPr>
              <w:t>Social</w:t>
            </w:r>
          </w:p>
        </w:tc>
        <w:tc>
          <w:tcPr>
            <w:tcW w:w="3368" w:type="dxa"/>
            <w:tcBorders>
              <w:top w:val="single" w:sz="4" w:space="0" w:color="BEBEBE"/>
              <w:bottom w:val="single" w:sz="4" w:space="0" w:color="BEBEBE"/>
            </w:tcBorders>
          </w:tcPr>
          <w:p w14:paraId="3C299480" w14:textId="77777777" w:rsidR="00BC24A8" w:rsidRDefault="00000000">
            <w:pPr>
              <w:pStyle w:val="TableParagraph"/>
              <w:spacing w:before="59"/>
              <w:ind w:left="193"/>
              <w:jc w:val="center"/>
              <w:rPr>
                <w:sz w:val="18"/>
              </w:rPr>
            </w:pPr>
            <w:r>
              <w:rPr>
                <w:spacing w:val="-5"/>
                <w:sz w:val="18"/>
              </w:rPr>
              <w:t>95</w:t>
            </w:r>
          </w:p>
        </w:tc>
        <w:tc>
          <w:tcPr>
            <w:tcW w:w="776" w:type="dxa"/>
            <w:tcBorders>
              <w:top w:val="single" w:sz="4" w:space="0" w:color="BEBEBE"/>
              <w:bottom w:val="single" w:sz="4" w:space="0" w:color="BEBEBE"/>
            </w:tcBorders>
          </w:tcPr>
          <w:p w14:paraId="2232C227" w14:textId="77777777" w:rsidR="00BC24A8" w:rsidRDefault="00000000">
            <w:pPr>
              <w:pStyle w:val="TableParagraph"/>
              <w:spacing w:before="59"/>
              <w:ind w:right="99"/>
              <w:jc w:val="center"/>
              <w:rPr>
                <w:sz w:val="18"/>
              </w:rPr>
            </w:pPr>
            <w:r>
              <w:rPr>
                <w:spacing w:val="-5"/>
                <w:sz w:val="18"/>
              </w:rPr>
              <w:t>IDR</w:t>
            </w:r>
          </w:p>
        </w:tc>
        <w:tc>
          <w:tcPr>
            <w:tcW w:w="1781" w:type="dxa"/>
            <w:tcBorders>
              <w:top w:val="single" w:sz="4" w:space="0" w:color="BEBEBE"/>
              <w:bottom w:val="single" w:sz="4" w:space="0" w:color="BEBEBE"/>
            </w:tcBorders>
          </w:tcPr>
          <w:p w14:paraId="104F08DE" w14:textId="77777777" w:rsidR="00BC24A8" w:rsidRDefault="00000000">
            <w:pPr>
              <w:pStyle w:val="TableParagraph"/>
              <w:spacing w:before="59"/>
              <w:ind w:right="109"/>
              <w:jc w:val="right"/>
              <w:rPr>
                <w:sz w:val="18"/>
              </w:rPr>
            </w:pPr>
            <w:r>
              <w:rPr>
                <w:spacing w:val="-2"/>
                <w:sz w:val="18"/>
              </w:rPr>
              <w:t>4,174,312,300</w:t>
            </w:r>
          </w:p>
        </w:tc>
      </w:tr>
      <w:tr w:rsidR="00BC24A8" w14:paraId="7D9C55E3" w14:textId="77777777">
        <w:trPr>
          <w:trHeight w:val="395"/>
        </w:trPr>
        <w:tc>
          <w:tcPr>
            <w:tcW w:w="3173" w:type="dxa"/>
            <w:tcBorders>
              <w:top w:val="single" w:sz="4" w:space="0" w:color="BEBEBE"/>
              <w:bottom w:val="single" w:sz="4" w:space="0" w:color="BEBEBE"/>
            </w:tcBorders>
          </w:tcPr>
          <w:p w14:paraId="6FF995B8" w14:textId="77777777" w:rsidR="00BC24A8" w:rsidRDefault="00000000">
            <w:pPr>
              <w:pStyle w:val="TableParagraph"/>
              <w:spacing w:before="119"/>
              <w:ind w:left="115"/>
              <w:rPr>
                <w:sz w:val="18"/>
              </w:rPr>
            </w:pPr>
            <w:r>
              <w:rPr>
                <w:sz w:val="18"/>
              </w:rPr>
              <w:t>Public</w:t>
            </w:r>
            <w:r>
              <w:rPr>
                <w:spacing w:val="-1"/>
                <w:sz w:val="18"/>
              </w:rPr>
              <w:t xml:space="preserve"> </w:t>
            </w:r>
            <w:r>
              <w:rPr>
                <w:spacing w:val="-2"/>
                <w:sz w:val="18"/>
              </w:rPr>
              <w:t>Works</w:t>
            </w:r>
          </w:p>
        </w:tc>
        <w:tc>
          <w:tcPr>
            <w:tcW w:w="3368" w:type="dxa"/>
            <w:tcBorders>
              <w:top w:val="single" w:sz="4" w:space="0" w:color="BEBEBE"/>
              <w:bottom w:val="single" w:sz="4" w:space="0" w:color="BEBEBE"/>
            </w:tcBorders>
          </w:tcPr>
          <w:p w14:paraId="54F1B88A" w14:textId="77777777" w:rsidR="00BC24A8" w:rsidRDefault="00000000">
            <w:pPr>
              <w:pStyle w:val="TableParagraph"/>
              <w:spacing w:before="59"/>
              <w:ind w:left="193"/>
              <w:jc w:val="center"/>
              <w:rPr>
                <w:sz w:val="18"/>
              </w:rPr>
            </w:pPr>
            <w:r>
              <w:rPr>
                <w:spacing w:val="-5"/>
                <w:sz w:val="18"/>
              </w:rPr>
              <w:t>100</w:t>
            </w:r>
          </w:p>
        </w:tc>
        <w:tc>
          <w:tcPr>
            <w:tcW w:w="776" w:type="dxa"/>
            <w:tcBorders>
              <w:top w:val="single" w:sz="4" w:space="0" w:color="BEBEBE"/>
              <w:bottom w:val="single" w:sz="4" w:space="0" w:color="BEBEBE"/>
            </w:tcBorders>
          </w:tcPr>
          <w:p w14:paraId="58417A58" w14:textId="77777777" w:rsidR="00BC24A8" w:rsidRDefault="00000000">
            <w:pPr>
              <w:pStyle w:val="TableParagraph"/>
              <w:spacing w:before="59"/>
              <w:ind w:right="99"/>
              <w:jc w:val="center"/>
              <w:rPr>
                <w:sz w:val="18"/>
              </w:rPr>
            </w:pPr>
            <w:r>
              <w:rPr>
                <w:spacing w:val="-5"/>
                <w:sz w:val="18"/>
              </w:rPr>
              <w:t>IDR</w:t>
            </w:r>
          </w:p>
        </w:tc>
        <w:tc>
          <w:tcPr>
            <w:tcW w:w="1781" w:type="dxa"/>
            <w:tcBorders>
              <w:top w:val="single" w:sz="4" w:space="0" w:color="BEBEBE"/>
              <w:bottom w:val="single" w:sz="4" w:space="0" w:color="BEBEBE"/>
            </w:tcBorders>
          </w:tcPr>
          <w:p w14:paraId="62FF779B" w14:textId="77777777" w:rsidR="00BC24A8" w:rsidRDefault="00000000">
            <w:pPr>
              <w:pStyle w:val="TableParagraph"/>
              <w:spacing w:before="59"/>
              <w:ind w:right="109"/>
              <w:jc w:val="right"/>
              <w:rPr>
                <w:sz w:val="18"/>
              </w:rPr>
            </w:pPr>
            <w:r>
              <w:rPr>
                <w:spacing w:val="-2"/>
                <w:sz w:val="18"/>
              </w:rPr>
              <w:t>6,822,510,732</w:t>
            </w:r>
          </w:p>
        </w:tc>
      </w:tr>
      <w:tr w:rsidR="00BC24A8" w14:paraId="4541F286" w14:textId="77777777">
        <w:trPr>
          <w:trHeight w:val="393"/>
        </w:trPr>
        <w:tc>
          <w:tcPr>
            <w:tcW w:w="3173" w:type="dxa"/>
            <w:tcBorders>
              <w:top w:val="single" w:sz="4" w:space="0" w:color="BEBEBE"/>
              <w:bottom w:val="single" w:sz="4" w:space="0" w:color="BEBEBE"/>
            </w:tcBorders>
          </w:tcPr>
          <w:p w14:paraId="7197EAD6" w14:textId="77777777" w:rsidR="00BC24A8" w:rsidRDefault="00000000">
            <w:pPr>
              <w:pStyle w:val="TableParagraph"/>
              <w:spacing w:before="116"/>
              <w:ind w:left="115"/>
              <w:rPr>
                <w:sz w:val="18"/>
              </w:rPr>
            </w:pPr>
            <w:r>
              <w:rPr>
                <w:sz w:val="18"/>
              </w:rPr>
              <w:t>People's</w:t>
            </w:r>
            <w:r>
              <w:rPr>
                <w:spacing w:val="-4"/>
                <w:sz w:val="18"/>
              </w:rPr>
              <w:t xml:space="preserve"> </w:t>
            </w:r>
            <w:r>
              <w:rPr>
                <w:spacing w:val="-2"/>
                <w:sz w:val="18"/>
              </w:rPr>
              <w:t>Housing</w:t>
            </w:r>
          </w:p>
        </w:tc>
        <w:tc>
          <w:tcPr>
            <w:tcW w:w="3368" w:type="dxa"/>
            <w:tcBorders>
              <w:top w:val="single" w:sz="4" w:space="0" w:color="BEBEBE"/>
              <w:bottom w:val="single" w:sz="4" w:space="0" w:color="BEBEBE"/>
            </w:tcBorders>
          </w:tcPr>
          <w:p w14:paraId="6C18F9DE" w14:textId="77777777" w:rsidR="00BC24A8" w:rsidRDefault="00000000">
            <w:pPr>
              <w:pStyle w:val="TableParagraph"/>
              <w:spacing w:before="56"/>
              <w:ind w:left="193"/>
              <w:jc w:val="center"/>
              <w:rPr>
                <w:sz w:val="18"/>
              </w:rPr>
            </w:pPr>
            <w:r>
              <w:rPr>
                <w:spacing w:val="-5"/>
                <w:sz w:val="18"/>
              </w:rPr>
              <w:t>95</w:t>
            </w:r>
          </w:p>
        </w:tc>
        <w:tc>
          <w:tcPr>
            <w:tcW w:w="776" w:type="dxa"/>
            <w:tcBorders>
              <w:top w:val="single" w:sz="4" w:space="0" w:color="BEBEBE"/>
              <w:bottom w:val="single" w:sz="4" w:space="0" w:color="BEBEBE"/>
            </w:tcBorders>
          </w:tcPr>
          <w:p w14:paraId="1536A9AB" w14:textId="77777777" w:rsidR="00BC24A8" w:rsidRDefault="00000000">
            <w:pPr>
              <w:pStyle w:val="TableParagraph"/>
              <w:spacing w:before="56"/>
              <w:ind w:right="99"/>
              <w:jc w:val="center"/>
              <w:rPr>
                <w:sz w:val="18"/>
              </w:rPr>
            </w:pPr>
            <w:r>
              <w:rPr>
                <w:spacing w:val="-5"/>
                <w:sz w:val="18"/>
              </w:rPr>
              <w:t>IDR</w:t>
            </w:r>
          </w:p>
        </w:tc>
        <w:tc>
          <w:tcPr>
            <w:tcW w:w="1781" w:type="dxa"/>
            <w:tcBorders>
              <w:top w:val="single" w:sz="4" w:space="0" w:color="BEBEBE"/>
              <w:bottom w:val="single" w:sz="4" w:space="0" w:color="BEBEBE"/>
            </w:tcBorders>
          </w:tcPr>
          <w:p w14:paraId="6D17CDE0" w14:textId="77777777" w:rsidR="00BC24A8" w:rsidRDefault="00000000">
            <w:pPr>
              <w:pStyle w:val="TableParagraph"/>
              <w:spacing w:before="59"/>
              <w:ind w:right="109"/>
              <w:jc w:val="right"/>
              <w:rPr>
                <w:sz w:val="18"/>
              </w:rPr>
            </w:pPr>
            <w:r>
              <w:rPr>
                <w:spacing w:val="-2"/>
                <w:sz w:val="18"/>
              </w:rPr>
              <w:t>556,000,000</w:t>
            </w:r>
          </w:p>
        </w:tc>
      </w:tr>
      <w:tr w:rsidR="00BC24A8" w14:paraId="04E719AA" w14:textId="77777777">
        <w:trPr>
          <w:trHeight w:val="249"/>
        </w:trPr>
        <w:tc>
          <w:tcPr>
            <w:tcW w:w="3173" w:type="dxa"/>
            <w:vMerge w:val="restart"/>
            <w:tcBorders>
              <w:top w:val="single" w:sz="4" w:space="0" w:color="BEBEBE"/>
              <w:bottom w:val="single" w:sz="4" w:space="0" w:color="BEBEBE"/>
            </w:tcBorders>
          </w:tcPr>
          <w:p w14:paraId="0E01EB1B" w14:textId="77777777" w:rsidR="00BC24A8" w:rsidRDefault="00000000">
            <w:pPr>
              <w:pStyle w:val="TableParagraph"/>
              <w:spacing w:before="116"/>
              <w:ind w:left="115"/>
              <w:rPr>
                <w:sz w:val="18"/>
              </w:rPr>
            </w:pPr>
            <w:r>
              <w:rPr>
                <w:sz w:val="18"/>
              </w:rPr>
              <w:t>Public</w:t>
            </w:r>
            <w:r>
              <w:rPr>
                <w:spacing w:val="-9"/>
                <w:sz w:val="18"/>
              </w:rPr>
              <w:t xml:space="preserve"> </w:t>
            </w:r>
            <w:r>
              <w:rPr>
                <w:sz w:val="18"/>
              </w:rPr>
              <w:t>Order,</w:t>
            </w:r>
            <w:r>
              <w:rPr>
                <w:spacing w:val="-10"/>
                <w:sz w:val="18"/>
              </w:rPr>
              <w:t xml:space="preserve"> </w:t>
            </w:r>
            <w:r>
              <w:rPr>
                <w:sz w:val="18"/>
              </w:rPr>
              <w:t>Peace,</w:t>
            </w:r>
            <w:r>
              <w:rPr>
                <w:spacing w:val="-10"/>
                <w:sz w:val="18"/>
              </w:rPr>
              <w:t xml:space="preserve"> </w:t>
            </w:r>
            <w:r>
              <w:rPr>
                <w:sz w:val="18"/>
              </w:rPr>
              <w:t>and</w:t>
            </w:r>
            <w:r>
              <w:rPr>
                <w:spacing w:val="-9"/>
                <w:sz w:val="18"/>
              </w:rPr>
              <w:t xml:space="preserve"> </w:t>
            </w:r>
            <w:r>
              <w:rPr>
                <w:sz w:val="18"/>
              </w:rPr>
              <w:t>Community Protection (Trantibumlinmas)</w:t>
            </w:r>
          </w:p>
        </w:tc>
        <w:tc>
          <w:tcPr>
            <w:tcW w:w="3368" w:type="dxa"/>
            <w:tcBorders>
              <w:top w:val="single" w:sz="4" w:space="0" w:color="BEBEBE"/>
            </w:tcBorders>
          </w:tcPr>
          <w:p w14:paraId="7AA517EA" w14:textId="77777777" w:rsidR="00BC24A8" w:rsidRDefault="00BC24A8">
            <w:pPr>
              <w:pStyle w:val="TableParagraph"/>
              <w:rPr>
                <w:rFonts w:ascii="Times New Roman"/>
                <w:sz w:val="18"/>
              </w:rPr>
            </w:pPr>
          </w:p>
        </w:tc>
        <w:tc>
          <w:tcPr>
            <w:tcW w:w="776" w:type="dxa"/>
            <w:tcBorders>
              <w:top w:val="single" w:sz="4" w:space="0" w:color="BEBEBE"/>
            </w:tcBorders>
          </w:tcPr>
          <w:p w14:paraId="2A935330" w14:textId="77777777" w:rsidR="00BC24A8" w:rsidRDefault="00000000">
            <w:pPr>
              <w:pStyle w:val="TableParagraph"/>
              <w:spacing w:before="56" w:line="173" w:lineRule="exact"/>
              <w:ind w:right="99"/>
              <w:jc w:val="center"/>
              <w:rPr>
                <w:sz w:val="18"/>
              </w:rPr>
            </w:pPr>
            <w:r>
              <w:rPr>
                <w:spacing w:val="-5"/>
                <w:sz w:val="18"/>
              </w:rPr>
              <w:t>IDR</w:t>
            </w:r>
          </w:p>
        </w:tc>
        <w:tc>
          <w:tcPr>
            <w:tcW w:w="1781" w:type="dxa"/>
            <w:tcBorders>
              <w:top w:val="single" w:sz="4" w:space="0" w:color="BEBEBE"/>
            </w:tcBorders>
          </w:tcPr>
          <w:p w14:paraId="70EB108E" w14:textId="77777777" w:rsidR="00BC24A8" w:rsidRDefault="00000000">
            <w:pPr>
              <w:pStyle w:val="TableParagraph"/>
              <w:spacing w:before="59" w:line="170" w:lineRule="exact"/>
              <w:ind w:right="107"/>
              <w:jc w:val="right"/>
              <w:rPr>
                <w:position w:val="5"/>
                <w:sz w:val="12"/>
              </w:rPr>
            </w:pPr>
            <w:r>
              <w:rPr>
                <w:spacing w:val="-2"/>
                <w:sz w:val="18"/>
              </w:rPr>
              <w:t>294,999,900</w:t>
            </w:r>
            <w:hyperlink w:anchor="_bookmark117" w:history="1">
              <w:r w:rsidR="00BC24A8">
                <w:rPr>
                  <w:spacing w:val="-2"/>
                  <w:position w:val="5"/>
                  <w:sz w:val="12"/>
                </w:rPr>
                <w:t>54</w:t>
              </w:r>
            </w:hyperlink>
          </w:p>
        </w:tc>
      </w:tr>
      <w:tr w:rsidR="00BC24A8" w14:paraId="240DDBAD" w14:textId="77777777">
        <w:trPr>
          <w:trHeight w:val="354"/>
        </w:trPr>
        <w:tc>
          <w:tcPr>
            <w:tcW w:w="3173" w:type="dxa"/>
            <w:vMerge/>
            <w:tcBorders>
              <w:top w:val="nil"/>
              <w:bottom w:val="single" w:sz="4" w:space="0" w:color="BEBEBE"/>
            </w:tcBorders>
          </w:tcPr>
          <w:p w14:paraId="30D04ED3" w14:textId="77777777" w:rsidR="00BC24A8" w:rsidRDefault="00BC24A8">
            <w:pPr>
              <w:rPr>
                <w:sz w:val="2"/>
                <w:szCs w:val="2"/>
              </w:rPr>
            </w:pPr>
          </w:p>
        </w:tc>
        <w:tc>
          <w:tcPr>
            <w:tcW w:w="3368" w:type="dxa"/>
            <w:tcBorders>
              <w:bottom w:val="single" w:sz="4" w:space="0" w:color="BEBEBE"/>
            </w:tcBorders>
          </w:tcPr>
          <w:p w14:paraId="426CB3BE" w14:textId="77777777" w:rsidR="00BC24A8" w:rsidRDefault="00000000">
            <w:pPr>
              <w:pStyle w:val="TableParagraph"/>
              <w:spacing w:line="159" w:lineRule="exact"/>
              <w:ind w:left="193"/>
              <w:jc w:val="center"/>
              <w:rPr>
                <w:sz w:val="18"/>
              </w:rPr>
            </w:pPr>
            <w:r>
              <w:rPr>
                <w:spacing w:val="-5"/>
                <w:sz w:val="18"/>
              </w:rPr>
              <w:t>97</w:t>
            </w:r>
          </w:p>
        </w:tc>
        <w:tc>
          <w:tcPr>
            <w:tcW w:w="776" w:type="dxa"/>
            <w:tcBorders>
              <w:bottom w:val="single" w:sz="4" w:space="0" w:color="BEBEBE"/>
            </w:tcBorders>
          </w:tcPr>
          <w:p w14:paraId="5F38579D" w14:textId="77777777" w:rsidR="00BC24A8" w:rsidRDefault="00BC24A8">
            <w:pPr>
              <w:pStyle w:val="TableParagraph"/>
              <w:rPr>
                <w:rFonts w:ascii="Times New Roman"/>
                <w:sz w:val="18"/>
              </w:rPr>
            </w:pPr>
          </w:p>
        </w:tc>
        <w:tc>
          <w:tcPr>
            <w:tcW w:w="1781" w:type="dxa"/>
            <w:tcBorders>
              <w:bottom w:val="single" w:sz="4" w:space="0" w:color="BEBEBE"/>
            </w:tcBorders>
          </w:tcPr>
          <w:p w14:paraId="0F8608D7" w14:textId="77777777" w:rsidR="00BC24A8" w:rsidRDefault="00BC24A8">
            <w:pPr>
              <w:pStyle w:val="TableParagraph"/>
              <w:rPr>
                <w:rFonts w:ascii="Times New Roman"/>
                <w:sz w:val="18"/>
              </w:rPr>
            </w:pPr>
          </w:p>
        </w:tc>
      </w:tr>
    </w:tbl>
    <w:p w14:paraId="42B13ED5" w14:textId="77777777" w:rsidR="00BC24A8" w:rsidRDefault="00000000">
      <w:pPr>
        <w:spacing w:before="127" w:line="278" w:lineRule="auto"/>
        <w:ind w:left="143" w:right="564"/>
        <w:jc w:val="both"/>
        <w:rPr>
          <w:sz w:val="16"/>
        </w:rPr>
      </w:pPr>
      <w:r>
        <w:rPr>
          <w:sz w:val="16"/>
        </w:rPr>
        <w:t>Data</w:t>
      </w:r>
      <w:r>
        <w:rPr>
          <w:spacing w:val="-5"/>
          <w:sz w:val="16"/>
        </w:rPr>
        <w:t xml:space="preserve"> </w:t>
      </w:r>
      <w:r>
        <w:rPr>
          <w:sz w:val="16"/>
        </w:rPr>
        <w:t>source:</w:t>
      </w:r>
      <w:r>
        <w:rPr>
          <w:spacing w:val="-5"/>
          <w:sz w:val="16"/>
        </w:rPr>
        <w:t xml:space="preserve"> </w:t>
      </w:r>
      <w:r>
        <w:rPr>
          <w:sz w:val="16"/>
        </w:rPr>
        <w:t>MSS</w:t>
      </w:r>
      <w:r>
        <w:rPr>
          <w:spacing w:val="-4"/>
          <w:sz w:val="16"/>
        </w:rPr>
        <w:t xml:space="preserve"> </w:t>
      </w:r>
      <w:r>
        <w:rPr>
          <w:sz w:val="16"/>
        </w:rPr>
        <w:t>budget</w:t>
      </w:r>
      <w:r>
        <w:rPr>
          <w:spacing w:val="-4"/>
          <w:sz w:val="16"/>
        </w:rPr>
        <w:t xml:space="preserve"> </w:t>
      </w:r>
      <w:r>
        <w:rPr>
          <w:sz w:val="16"/>
        </w:rPr>
        <w:t>data</w:t>
      </w:r>
      <w:r>
        <w:rPr>
          <w:spacing w:val="-5"/>
          <w:sz w:val="16"/>
        </w:rPr>
        <w:t xml:space="preserve"> </w:t>
      </w:r>
      <w:r>
        <w:rPr>
          <w:sz w:val="16"/>
        </w:rPr>
        <w:t>were</w:t>
      </w:r>
      <w:r>
        <w:rPr>
          <w:spacing w:val="-4"/>
          <w:sz w:val="16"/>
        </w:rPr>
        <w:t xml:space="preserve"> </w:t>
      </w:r>
      <w:r>
        <w:rPr>
          <w:sz w:val="16"/>
        </w:rPr>
        <w:t>retrieved</w:t>
      </w:r>
      <w:r>
        <w:rPr>
          <w:spacing w:val="-3"/>
          <w:sz w:val="16"/>
        </w:rPr>
        <w:t xml:space="preserve"> </w:t>
      </w:r>
      <w:r>
        <w:rPr>
          <w:sz w:val="16"/>
        </w:rPr>
        <w:t>from</w:t>
      </w:r>
      <w:r>
        <w:rPr>
          <w:spacing w:val="-4"/>
          <w:sz w:val="16"/>
        </w:rPr>
        <w:t xml:space="preserve"> </w:t>
      </w:r>
      <w:r>
        <w:rPr>
          <w:sz w:val="16"/>
        </w:rPr>
        <w:t>the</w:t>
      </w:r>
      <w:r>
        <w:rPr>
          <w:spacing w:val="-4"/>
          <w:sz w:val="16"/>
        </w:rPr>
        <w:t xml:space="preserve"> </w:t>
      </w:r>
      <w:r>
        <w:rPr>
          <w:sz w:val="16"/>
        </w:rPr>
        <w:t>e-SPM/e-MSS</w:t>
      </w:r>
      <w:r>
        <w:rPr>
          <w:spacing w:val="-7"/>
          <w:sz w:val="16"/>
        </w:rPr>
        <w:t xml:space="preserve"> </w:t>
      </w:r>
      <w:r>
        <w:rPr>
          <w:sz w:val="16"/>
        </w:rPr>
        <w:t>of</w:t>
      </w:r>
      <w:r>
        <w:rPr>
          <w:spacing w:val="-4"/>
          <w:sz w:val="16"/>
        </w:rPr>
        <w:t xml:space="preserve"> </w:t>
      </w:r>
      <w:r>
        <w:rPr>
          <w:sz w:val="16"/>
        </w:rPr>
        <w:t>the</w:t>
      </w:r>
      <w:r>
        <w:rPr>
          <w:spacing w:val="-6"/>
          <w:sz w:val="16"/>
        </w:rPr>
        <w:t xml:space="preserve"> </w:t>
      </w:r>
      <w:r>
        <w:rPr>
          <w:sz w:val="16"/>
        </w:rPr>
        <w:t>DG</w:t>
      </w:r>
      <w:r>
        <w:rPr>
          <w:spacing w:val="-4"/>
          <w:sz w:val="16"/>
        </w:rPr>
        <w:t xml:space="preserve"> </w:t>
      </w:r>
      <w:r>
        <w:rPr>
          <w:sz w:val="16"/>
        </w:rPr>
        <w:t>of</w:t>
      </w:r>
      <w:r>
        <w:rPr>
          <w:spacing w:val="-6"/>
          <w:sz w:val="16"/>
        </w:rPr>
        <w:t xml:space="preserve"> </w:t>
      </w:r>
      <w:r>
        <w:rPr>
          <w:sz w:val="16"/>
        </w:rPr>
        <w:t>Regional</w:t>
      </w:r>
      <w:r>
        <w:rPr>
          <w:spacing w:val="-6"/>
          <w:sz w:val="16"/>
        </w:rPr>
        <w:t xml:space="preserve"> </w:t>
      </w:r>
      <w:r>
        <w:rPr>
          <w:sz w:val="16"/>
        </w:rPr>
        <w:t>Development</w:t>
      </w:r>
      <w:r>
        <w:rPr>
          <w:spacing w:val="-6"/>
          <w:sz w:val="16"/>
        </w:rPr>
        <w:t xml:space="preserve"> </w:t>
      </w:r>
      <w:r>
        <w:rPr>
          <w:sz w:val="16"/>
        </w:rPr>
        <w:t>of</w:t>
      </w:r>
      <w:r>
        <w:rPr>
          <w:spacing w:val="-4"/>
          <w:sz w:val="16"/>
        </w:rPr>
        <w:t xml:space="preserve"> </w:t>
      </w:r>
      <w:r>
        <w:rPr>
          <w:sz w:val="16"/>
        </w:rPr>
        <w:t>the</w:t>
      </w:r>
      <w:r>
        <w:rPr>
          <w:spacing w:val="-6"/>
          <w:sz w:val="16"/>
        </w:rPr>
        <w:t xml:space="preserve"> </w:t>
      </w:r>
      <w:r>
        <w:rPr>
          <w:sz w:val="16"/>
        </w:rPr>
        <w:t>Ministry</w:t>
      </w:r>
      <w:r>
        <w:rPr>
          <w:spacing w:val="-5"/>
          <w:sz w:val="16"/>
        </w:rPr>
        <w:t xml:space="preserve"> </w:t>
      </w:r>
      <w:r>
        <w:rPr>
          <w:sz w:val="16"/>
        </w:rPr>
        <w:t>of</w:t>
      </w:r>
      <w:r>
        <w:rPr>
          <w:spacing w:val="-4"/>
          <w:sz w:val="16"/>
        </w:rPr>
        <w:t xml:space="preserve"> </w:t>
      </w:r>
      <w:r>
        <w:rPr>
          <w:sz w:val="16"/>
        </w:rPr>
        <w:t>Home</w:t>
      </w:r>
      <w:r>
        <w:rPr>
          <w:spacing w:val="-4"/>
          <w:sz w:val="16"/>
        </w:rPr>
        <w:t xml:space="preserve"> </w:t>
      </w:r>
      <w:r>
        <w:rPr>
          <w:sz w:val="16"/>
        </w:rPr>
        <w:t>Affairs,</w:t>
      </w:r>
      <w:r>
        <w:rPr>
          <w:spacing w:val="-7"/>
          <w:sz w:val="16"/>
        </w:rPr>
        <w:t xml:space="preserve"> </w:t>
      </w:r>
      <w:r>
        <w:rPr>
          <w:sz w:val="16"/>
        </w:rPr>
        <w:t>MSS</w:t>
      </w:r>
      <w:r>
        <w:rPr>
          <w:spacing w:val="40"/>
          <w:sz w:val="16"/>
        </w:rPr>
        <w:t xml:space="preserve"> </w:t>
      </w:r>
      <w:r>
        <w:rPr>
          <w:sz w:val="16"/>
        </w:rPr>
        <w:t>achievement</w:t>
      </w:r>
      <w:r>
        <w:rPr>
          <w:spacing w:val="-4"/>
          <w:sz w:val="16"/>
        </w:rPr>
        <w:t xml:space="preserve"> </w:t>
      </w:r>
      <w:r>
        <w:rPr>
          <w:sz w:val="16"/>
        </w:rPr>
        <w:t>Index</w:t>
      </w:r>
      <w:r>
        <w:rPr>
          <w:spacing w:val="-6"/>
          <w:sz w:val="16"/>
        </w:rPr>
        <w:t xml:space="preserve"> </w:t>
      </w:r>
      <w:r>
        <w:rPr>
          <w:sz w:val="16"/>
        </w:rPr>
        <w:t>data</w:t>
      </w:r>
      <w:r>
        <w:rPr>
          <w:spacing w:val="-3"/>
          <w:sz w:val="16"/>
        </w:rPr>
        <w:t xml:space="preserve"> </w:t>
      </w:r>
      <w:r>
        <w:rPr>
          <w:sz w:val="16"/>
        </w:rPr>
        <w:t>were</w:t>
      </w:r>
      <w:r>
        <w:rPr>
          <w:spacing w:val="-4"/>
          <w:sz w:val="16"/>
        </w:rPr>
        <w:t xml:space="preserve"> </w:t>
      </w:r>
      <w:r>
        <w:rPr>
          <w:sz w:val="16"/>
        </w:rPr>
        <w:t>retrieved</w:t>
      </w:r>
      <w:r>
        <w:rPr>
          <w:spacing w:val="-3"/>
          <w:sz w:val="16"/>
        </w:rPr>
        <w:t xml:space="preserve"> </w:t>
      </w:r>
      <w:r>
        <w:rPr>
          <w:sz w:val="16"/>
        </w:rPr>
        <w:t>from</w:t>
      </w:r>
      <w:r>
        <w:rPr>
          <w:spacing w:val="-4"/>
          <w:sz w:val="16"/>
        </w:rPr>
        <w:t xml:space="preserve"> </w:t>
      </w:r>
      <w:r>
        <w:rPr>
          <w:sz w:val="16"/>
        </w:rPr>
        <w:t>the</w:t>
      </w:r>
      <w:r>
        <w:rPr>
          <w:spacing w:val="-6"/>
          <w:sz w:val="16"/>
        </w:rPr>
        <w:t xml:space="preserve"> </w:t>
      </w:r>
      <w:r>
        <w:rPr>
          <w:sz w:val="16"/>
        </w:rPr>
        <w:t>publications</w:t>
      </w:r>
      <w:r>
        <w:rPr>
          <w:spacing w:val="-3"/>
          <w:sz w:val="16"/>
        </w:rPr>
        <w:t xml:space="preserve"> </w:t>
      </w:r>
      <w:r>
        <w:rPr>
          <w:sz w:val="16"/>
        </w:rPr>
        <w:t>of</w:t>
      </w:r>
      <w:r>
        <w:rPr>
          <w:spacing w:val="-6"/>
          <w:sz w:val="16"/>
        </w:rPr>
        <w:t xml:space="preserve"> </w:t>
      </w:r>
      <w:r>
        <w:rPr>
          <w:sz w:val="16"/>
        </w:rPr>
        <w:t>the</w:t>
      </w:r>
      <w:r>
        <w:rPr>
          <w:spacing w:val="-6"/>
          <w:sz w:val="16"/>
        </w:rPr>
        <w:t xml:space="preserve"> </w:t>
      </w:r>
      <w:r>
        <w:rPr>
          <w:sz w:val="16"/>
        </w:rPr>
        <w:t>DG</w:t>
      </w:r>
      <w:r>
        <w:rPr>
          <w:spacing w:val="-6"/>
          <w:sz w:val="16"/>
        </w:rPr>
        <w:t xml:space="preserve"> </w:t>
      </w:r>
      <w:r>
        <w:rPr>
          <w:sz w:val="16"/>
        </w:rPr>
        <w:t>of</w:t>
      </w:r>
      <w:r>
        <w:rPr>
          <w:spacing w:val="-4"/>
          <w:sz w:val="16"/>
        </w:rPr>
        <w:t xml:space="preserve"> </w:t>
      </w:r>
      <w:r>
        <w:rPr>
          <w:sz w:val="16"/>
        </w:rPr>
        <w:t>Regional</w:t>
      </w:r>
      <w:r>
        <w:rPr>
          <w:spacing w:val="-3"/>
          <w:sz w:val="16"/>
        </w:rPr>
        <w:t xml:space="preserve"> </w:t>
      </w:r>
      <w:r>
        <w:rPr>
          <w:sz w:val="16"/>
        </w:rPr>
        <w:t>Development</w:t>
      </w:r>
      <w:r>
        <w:rPr>
          <w:spacing w:val="-6"/>
          <w:sz w:val="16"/>
        </w:rPr>
        <w:t xml:space="preserve"> </w:t>
      </w:r>
      <w:r>
        <w:rPr>
          <w:sz w:val="16"/>
        </w:rPr>
        <w:t>of</w:t>
      </w:r>
      <w:r>
        <w:rPr>
          <w:spacing w:val="-6"/>
          <w:sz w:val="16"/>
        </w:rPr>
        <w:t xml:space="preserve"> </w:t>
      </w:r>
      <w:r>
        <w:rPr>
          <w:sz w:val="16"/>
        </w:rPr>
        <w:t>the</w:t>
      </w:r>
      <w:r>
        <w:rPr>
          <w:spacing w:val="-6"/>
          <w:sz w:val="16"/>
        </w:rPr>
        <w:t xml:space="preserve"> </w:t>
      </w:r>
      <w:r>
        <w:rPr>
          <w:sz w:val="16"/>
        </w:rPr>
        <w:t>Ministry</w:t>
      </w:r>
      <w:r>
        <w:rPr>
          <w:spacing w:val="-7"/>
          <w:sz w:val="16"/>
        </w:rPr>
        <w:t xml:space="preserve"> </w:t>
      </w:r>
      <w:r>
        <w:rPr>
          <w:sz w:val="16"/>
        </w:rPr>
        <w:t>of</w:t>
      </w:r>
      <w:r>
        <w:rPr>
          <w:spacing w:val="-4"/>
          <w:sz w:val="16"/>
        </w:rPr>
        <w:t xml:space="preserve"> </w:t>
      </w:r>
      <w:r>
        <w:rPr>
          <w:sz w:val="16"/>
        </w:rPr>
        <w:t>Home</w:t>
      </w:r>
      <w:r>
        <w:rPr>
          <w:spacing w:val="-6"/>
          <w:sz w:val="16"/>
        </w:rPr>
        <w:t xml:space="preserve"> </w:t>
      </w:r>
      <w:r>
        <w:rPr>
          <w:sz w:val="16"/>
        </w:rPr>
        <w:t>Affairs,</w:t>
      </w:r>
      <w:r>
        <w:rPr>
          <w:spacing w:val="-7"/>
          <w:sz w:val="16"/>
        </w:rPr>
        <w:t xml:space="preserve"> </w:t>
      </w:r>
      <w:r>
        <w:rPr>
          <w:sz w:val="16"/>
        </w:rPr>
        <w:t>accessed</w:t>
      </w:r>
      <w:r>
        <w:rPr>
          <w:spacing w:val="-6"/>
          <w:sz w:val="16"/>
        </w:rPr>
        <w:t xml:space="preserve"> </w:t>
      </w:r>
      <w:r>
        <w:rPr>
          <w:sz w:val="16"/>
        </w:rPr>
        <w:t>on</w:t>
      </w:r>
      <w:r>
        <w:rPr>
          <w:spacing w:val="40"/>
          <w:sz w:val="16"/>
        </w:rPr>
        <w:t xml:space="preserve"> </w:t>
      </w:r>
      <w:r>
        <w:rPr>
          <w:sz w:val="16"/>
        </w:rPr>
        <w:t>August 5, 2025</w:t>
      </w:r>
    </w:p>
    <w:p w14:paraId="24C45A0E" w14:textId="77777777" w:rsidR="00BC24A8" w:rsidRDefault="00BC24A8">
      <w:pPr>
        <w:pStyle w:val="BodyText"/>
        <w:rPr>
          <w:sz w:val="20"/>
        </w:rPr>
      </w:pPr>
    </w:p>
    <w:p w14:paraId="1BBF9B69" w14:textId="77777777" w:rsidR="00BC24A8" w:rsidRDefault="00BC24A8">
      <w:pPr>
        <w:pStyle w:val="BodyText"/>
        <w:rPr>
          <w:sz w:val="20"/>
        </w:rPr>
      </w:pPr>
    </w:p>
    <w:p w14:paraId="20B9DA32" w14:textId="77777777" w:rsidR="00BC24A8" w:rsidRDefault="00000000">
      <w:pPr>
        <w:pStyle w:val="BodyText"/>
        <w:spacing w:before="232"/>
        <w:rPr>
          <w:sz w:val="20"/>
        </w:rPr>
      </w:pPr>
      <w:r>
        <w:rPr>
          <w:noProof/>
          <w:sz w:val="20"/>
        </w:rPr>
        <mc:AlternateContent>
          <mc:Choice Requires="wps">
            <w:drawing>
              <wp:anchor distT="0" distB="0" distL="0" distR="0" simplePos="0" relativeHeight="487613952" behindDoc="1" locked="0" layoutInCell="1" allowOverlap="1" wp14:anchorId="0198A504" wp14:editId="33BDD144">
                <wp:simplePos x="0" y="0"/>
                <wp:positionH relativeFrom="page">
                  <wp:posOffset>900683</wp:posOffset>
                </wp:positionH>
                <wp:positionV relativeFrom="paragraph">
                  <wp:posOffset>318154</wp:posOffset>
                </wp:positionV>
                <wp:extent cx="1828800" cy="9525"/>
                <wp:effectExtent l="0" t="0" r="0" b="0"/>
                <wp:wrapTopAndBottom/>
                <wp:docPr id="142" name="Graphic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DC136" id="Graphic 142" o:spid="_x0000_s1026" alt="&quot;&quot;" style="position:absolute;margin-left:70.9pt;margin-top:25.05pt;width:2in;height:.75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" path="m1828800,l,,,9144r1828800,l1828800,xe" fillcolor="black" stroked="f">
                <v:path arrowok="t"/>
                <w10:wrap type="topAndBottom" anchorx="page"/>
              </v:shape>
            </w:pict>
          </mc:Fallback>
        </mc:AlternateContent>
      </w:r>
    </w:p>
    <w:p w14:paraId="14F47BD8" w14:textId="77777777" w:rsidR="00BC24A8" w:rsidRDefault="00BC24A8">
      <w:pPr>
        <w:pStyle w:val="BodyText"/>
        <w:spacing w:before="105"/>
        <w:rPr>
          <w:sz w:val="16"/>
        </w:rPr>
      </w:pPr>
    </w:p>
    <w:p w14:paraId="023FD27B" w14:textId="77777777" w:rsidR="00BC24A8" w:rsidRDefault="00000000">
      <w:pPr>
        <w:spacing w:before="1"/>
        <w:ind w:left="143"/>
        <w:rPr>
          <w:sz w:val="16"/>
        </w:rPr>
      </w:pPr>
      <w:bookmarkStart w:id="173" w:name="_bookmark116"/>
      <w:bookmarkEnd w:id="173"/>
      <w:r>
        <w:rPr>
          <w:color w:val="767070"/>
          <w:sz w:val="16"/>
          <w:vertAlign w:val="superscript"/>
        </w:rPr>
        <w:t>53</w:t>
      </w:r>
      <w:r>
        <w:rPr>
          <w:color w:val="767070"/>
          <w:spacing w:val="-8"/>
          <w:sz w:val="16"/>
        </w:rPr>
        <w:t xml:space="preserve"> </w:t>
      </w:r>
      <w:r>
        <w:rPr>
          <w:color w:val="767070"/>
          <w:sz w:val="16"/>
        </w:rPr>
        <w:t>Data</w:t>
      </w:r>
      <w:r>
        <w:rPr>
          <w:color w:val="767070"/>
          <w:spacing w:val="-6"/>
          <w:sz w:val="16"/>
        </w:rPr>
        <w:t xml:space="preserve"> </w:t>
      </w:r>
      <w:r>
        <w:rPr>
          <w:color w:val="767070"/>
          <w:sz w:val="16"/>
        </w:rPr>
        <w:t>retrieved</w:t>
      </w:r>
      <w:r>
        <w:rPr>
          <w:color w:val="767070"/>
          <w:spacing w:val="-6"/>
          <w:sz w:val="16"/>
        </w:rPr>
        <w:t xml:space="preserve"> </w:t>
      </w:r>
      <w:r>
        <w:rPr>
          <w:color w:val="767070"/>
          <w:sz w:val="16"/>
        </w:rPr>
        <w:t>from</w:t>
      </w:r>
      <w:r>
        <w:rPr>
          <w:color w:val="767070"/>
          <w:spacing w:val="-7"/>
          <w:sz w:val="16"/>
        </w:rPr>
        <w:t xml:space="preserve"> </w:t>
      </w:r>
      <w:r>
        <w:rPr>
          <w:color w:val="767070"/>
          <w:sz w:val="16"/>
        </w:rPr>
        <w:t>the</w:t>
      </w:r>
      <w:r>
        <w:rPr>
          <w:color w:val="767070"/>
          <w:spacing w:val="-9"/>
          <w:sz w:val="16"/>
        </w:rPr>
        <w:t xml:space="preserve"> </w:t>
      </w:r>
      <w:r>
        <w:rPr>
          <w:color w:val="767070"/>
          <w:sz w:val="16"/>
        </w:rPr>
        <w:t>Education</w:t>
      </w:r>
      <w:r>
        <w:rPr>
          <w:color w:val="767070"/>
          <w:spacing w:val="-7"/>
          <w:sz w:val="16"/>
        </w:rPr>
        <w:t xml:space="preserve"> </w:t>
      </w:r>
      <w:r>
        <w:rPr>
          <w:color w:val="767070"/>
          <w:sz w:val="16"/>
        </w:rPr>
        <w:t>Office</w:t>
      </w:r>
      <w:r>
        <w:rPr>
          <w:color w:val="767070"/>
          <w:spacing w:val="-7"/>
          <w:sz w:val="16"/>
        </w:rPr>
        <w:t xml:space="preserve"> </w:t>
      </w:r>
      <w:r>
        <w:rPr>
          <w:color w:val="767070"/>
          <w:sz w:val="16"/>
        </w:rPr>
        <w:t>because</w:t>
      </w:r>
      <w:r>
        <w:rPr>
          <w:color w:val="767070"/>
          <w:spacing w:val="-7"/>
          <w:sz w:val="16"/>
        </w:rPr>
        <w:t xml:space="preserve"> </w:t>
      </w:r>
      <w:r>
        <w:rPr>
          <w:color w:val="767070"/>
          <w:sz w:val="16"/>
        </w:rPr>
        <w:t>no</w:t>
      </w:r>
      <w:r>
        <w:rPr>
          <w:color w:val="767070"/>
          <w:spacing w:val="-6"/>
          <w:sz w:val="16"/>
        </w:rPr>
        <w:t xml:space="preserve"> </w:t>
      </w:r>
      <w:r>
        <w:rPr>
          <w:color w:val="767070"/>
          <w:sz w:val="16"/>
        </w:rPr>
        <w:t>relevant</w:t>
      </w:r>
      <w:r>
        <w:rPr>
          <w:color w:val="767070"/>
          <w:spacing w:val="-9"/>
          <w:sz w:val="16"/>
        </w:rPr>
        <w:t xml:space="preserve"> </w:t>
      </w:r>
      <w:r>
        <w:rPr>
          <w:color w:val="767070"/>
          <w:sz w:val="16"/>
        </w:rPr>
        <w:t>data</w:t>
      </w:r>
      <w:r>
        <w:rPr>
          <w:color w:val="767070"/>
          <w:spacing w:val="-6"/>
          <w:sz w:val="16"/>
        </w:rPr>
        <w:t xml:space="preserve"> </w:t>
      </w:r>
      <w:r>
        <w:rPr>
          <w:color w:val="767070"/>
          <w:sz w:val="16"/>
        </w:rPr>
        <w:t>were</w:t>
      </w:r>
      <w:r>
        <w:rPr>
          <w:color w:val="767070"/>
          <w:spacing w:val="-7"/>
          <w:sz w:val="16"/>
        </w:rPr>
        <w:t xml:space="preserve"> </w:t>
      </w:r>
      <w:r>
        <w:rPr>
          <w:color w:val="767070"/>
          <w:sz w:val="16"/>
        </w:rPr>
        <w:t>submitted</w:t>
      </w:r>
      <w:r>
        <w:rPr>
          <w:color w:val="767070"/>
          <w:spacing w:val="-7"/>
          <w:sz w:val="16"/>
        </w:rPr>
        <w:t xml:space="preserve"> </w:t>
      </w:r>
      <w:r>
        <w:rPr>
          <w:color w:val="767070"/>
          <w:sz w:val="16"/>
        </w:rPr>
        <w:t>in</w:t>
      </w:r>
      <w:r>
        <w:rPr>
          <w:color w:val="767070"/>
          <w:spacing w:val="-6"/>
          <w:sz w:val="16"/>
        </w:rPr>
        <w:t xml:space="preserve"> </w:t>
      </w:r>
      <w:r>
        <w:rPr>
          <w:color w:val="767070"/>
          <w:sz w:val="16"/>
        </w:rPr>
        <w:t>the</w:t>
      </w:r>
      <w:r>
        <w:rPr>
          <w:color w:val="767070"/>
          <w:spacing w:val="-7"/>
          <w:sz w:val="16"/>
        </w:rPr>
        <w:t xml:space="preserve"> </w:t>
      </w:r>
      <w:r>
        <w:rPr>
          <w:color w:val="767070"/>
          <w:sz w:val="16"/>
        </w:rPr>
        <w:t>e-SPM</w:t>
      </w:r>
      <w:r>
        <w:rPr>
          <w:color w:val="767070"/>
          <w:spacing w:val="-7"/>
          <w:sz w:val="16"/>
        </w:rPr>
        <w:t xml:space="preserve"> </w:t>
      </w:r>
      <w:r>
        <w:rPr>
          <w:color w:val="767070"/>
          <w:spacing w:val="-2"/>
          <w:sz w:val="16"/>
        </w:rPr>
        <w:t>report</w:t>
      </w:r>
    </w:p>
    <w:p w14:paraId="657A7752" w14:textId="77777777" w:rsidR="00BC24A8" w:rsidRDefault="00000000">
      <w:pPr>
        <w:spacing w:before="1"/>
        <w:ind w:left="143"/>
        <w:rPr>
          <w:sz w:val="16"/>
        </w:rPr>
      </w:pPr>
      <w:bookmarkStart w:id="174" w:name="_bookmark117"/>
      <w:bookmarkEnd w:id="174"/>
      <w:r>
        <w:rPr>
          <w:color w:val="767070"/>
          <w:sz w:val="16"/>
          <w:vertAlign w:val="superscript"/>
        </w:rPr>
        <w:t>54</w:t>
      </w:r>
      <w:r>
        <w:rPr>
          <w:color w:val="767070"/>
          <w:spacing w:val="-7"/>
          <w:sz w:val="16"/>
        </w:rPr>
        <w:t xml:space="preserve"> </w:t>
      </w:r>
      <w:r>
        <w:rPr>
          <w:color w:val="767070"/>
          <w:sz w:val="16"/>
        </w:rPr>
        <w:t>Data</w:t>
      </w:r>
      <w:r>
        <w:rPr>
          <w:color w:val="767070"/>
          <w:spacing w:val="-6"/>
          <w:sz w:val="16"/>
        </w:rPr>
        <w:t xml:space="preserve"> </w:t>
      </w:r>
      <w:r>
        <w:rPr>
          <w:color w:val="767070"/>
          <w:sz w:val="16"/>
        </w:rPr>
        <w:t>of</w:t>
      </w:r>
      <w:r>
        <w:rPr>
          <w:color w:val="767070"/>
          <w:spacing w:val="-6"/>
          <w:sz w:val="16"/>
        </w:rPr>
        <w:t xml:space="preserve"> </w:t>
      </w:r>
      <w:r>
        <w:rPr>
          <w:color w:val="767070"/>
          <w:sz w:val="16"/>
        </w:rPr>
        <w:t>the</w:t>
      </w:r>
      <w:r>
        <w:rPr>
          <w:color w:val="767070"/>
          <w:spacing w:val="-6"/>
          <w:sz w:val="16"/>
        </w:rPr>
        <w:t xml:space="preserve"> </w:t>
      </w:r>
      <w:r>
        <w:rPr>
          <w:color w:val="767070"/>
          <w:sz w:val="16"/>
        </w:rPr>
        <w:t>Budget</w:t>
      </w:r>
      <w:r>
        <w:rPr>
          <w:color w:val="767070"/>
          <w:spacing w:val="-6"/>
          <w:sz w:val="16"/>
        </w:rPr>
        <w:t xml:space="preserve"> </w:t>
      </w:r>
      <w:r>
        <w:rPr>
          <w:color w:val="767070"/>
          <w:sz w:val="16"/>
        </w:rPr>
        <w:t>of</w:t>
      </w:r>
      <w:r>
        <w:rPr>
          <w:color w:val="767070"/>
          <w:spacing w:val="-6"/>
          <w:sz w:val="16"/>
        </w:rPr>
        <w:t xml:space="preserve"> </w:t>
      </w:r>
      <w:r>
        <w:rPr>
          <w:color w:val="767070"/>
          <w:sz w:val="16"/>
        </w:rPr>
        <w:t>the</w:t>
      </w:r>
      <w:r>
        <w:rPr>
          <w:color w:val="767070"/>
          <w:spacing w:val="-8"/>
          <w:sz w:val="16"/>
        </w:rPr>
        <w:t xml:space="preserve"> </w:t>
      </w:r>
      <w:r>
        <w:rPr>
          <w:color w:val="767070"/>
          <w:sz w:val="16"/>
        </w:rPr>
        <w:t>five</w:t>
      </w:r>
      <w:r>
        <w:rPr>
          <w:color w:val="767070"/>
          <w:spacing w:val="-6"/>
          <w:sz w:val="16"/>
        </w:rPr>
        <w:t xml:space="preserve"> </w:t>
      </w:r>
      <w:r>
        <w:rPr>
          <w:color w:val="767070"/>
          <w:sz w:val="16"/>
        </w:rPr>
        <w:t>(5)</w:t>
      </w:r>
      <w:r>
        <w:rPr>
          <w:color w:val="767070"/>
          <w:spacing w:val="-6"/>
          <w:sz w:val="16"/>
        </w:rPr>
        <w:t xml:space="preserve"> </w:t>
      </w:r>
      <w:r>
        <w:rPr>
          <w:color w:val="767070"/>
          <w:sz w:val="16"/>
        </w:rPr>
        <w:t>Provincial</w:t>
      </w:r>
      <w:r>
        <w:rPr>
          <w:color w:val="767070"/>
          <w:spacing w:val="-8"/>
          <w:sz w:val="16"/>
        </w:rPr>
        <w:t xml:space="preserve"> </w:t>
      </w:r>
      <w:r>
        <w:rPr>
          <w:color w:val="767070"/>
          <w:sz w:val="16"/>
        </w:rPr>
        <w:t>Agencies</w:t>
      </w:r>
      <w:r>
        <w:rPr>
          <w:color w:val="767070"/>
          <w:spacing w:val="-5"/>
          <w:sz w:val="16"/>
        </w:rPr>
        <w:t xml:space="preserve"> </w:t>
      </w:r>
      <w:r>
        <w:rPr>
          <w:color w:val="767070"/>
          <w:sz w:val="16"/>
        </w:rPr>
        <w:t>(</w:t>
      </w:r>
      <w:r>
        <w:rPr>
          <w:i/>
          <w:color w:val="767070"/>
          <w:sz w:val="16"/>
        </w:rPr>
        <w:t>Organisasi</w:t>
      </w:r>
      <w:r>
        <w:rPr>
          <w:i/>
          <w:color w:val="767070"/>
          <w:spacing w:val="-5"/>
          <w:sz w:val="16"/>
        </w:rPr>
        <w:t xml:space="preserve"> </w:t>
      </w:r>
      <w:r>
        <w:rPr>
          <w:i/>
          <w:color w:val="767070"/>
          <w:sz w:val="16"/>
        </w:rPr>
        <w:t>Perangkat</w:t>
      </w:r>
      <w:r>
        <w:rPr>
          <w:i/>
          <w:color w:val="767070"/>
          <w:spacing w:val="-8"/>
          <w:sz w:val="16"/>
        </w:rPr>
        <w:t xml:space="preserve"> </w:t>
      </w:r>
      <w:r>
        <w:rPr>
          <w:i/>
          <w:color w:val="767070"/>
          <w:sz w:val="16"/>
        </w:rPr>
        <w:t>Daerah,</w:t>
      </w:r>
      <w:r>
        <w:rPr>
          <w:i/>
          <w:color w:val="767070"/>
          <w:spacing w:val="-7"/>
          <w:sz w:val="16"/>
        </w:rPr>
        <w:t xml:space="preserve"> </w:t>
      </w:r>
      <w:r>
        <w:rPr>
          <w:i/>
          <w:color w:val="767070"/>
          <w:sz w:val="16"/>
        </w:rPr>
        <w:t>OPD)</w:t>
      </w:r>
      <w:r>
        <w:rPr>
          <w:i/>
          <w:color w:val="767070"/>
          <w:spacing w:val="-6"/>
          <w:sz w:val="16"/>
        </w:rPr>
        <w:t xml:space="preserve"> </w:t>
      </w:r>
      <w:r>
        <w:rPr>
          <w:color w:val="767070"/>
          <w:sz w:val="16"/>
        </w:rPr>
        <w:t>were</w:t>
      </w:r>
      <w:r>
        <w:rPr>
          <w:color w:val="767070"/>
          <w:spacing w:val="-6"/>
          <w:sz w:val="16"/>
        </w:rPr>
        <w:t xml:space="preserve"> </w:t>
      </w:r>
      <w:r>
        <w:rPr>
          <w:color w:val="767070"/>
          <w:sz w:val="16"/>
        </w:rPr>
        <w:t>retrieved</w:t>
      </w:r>
      <w:r>
        <w:rPr>
          <w:color w:val="767070"/>
          <w:spacing w:val="-5"/>
          <w:sz w:val="16"/>
        </w:rPr>
        <w:t xml:space="preserve"> </w:t>
      </w:r>
      <w:r>
        <w:rPr>
          <w:color w:val="767070"/>
          <w:sz w:val="16"/>
        </w:rPr>
        <w:t>from</w:t>
      </w:r>
      <w:r>
        <w:rPr>
          <w:color w:val="767070"/>
          <w:spacing w:val="-6"/>
          <w:sz w:val="16"/>
        </w:rPr>
        <w:t xml:space="preserve"> </w:t>
      </w:r>
      <w:r>
        <w:rPr>
          <w:color w:val="767070"/>
          <w:sz w:val="16"/>
        </w:rPr>
        <w:t>the</w:t>
      </w:r>
      <w:r>
        <w:rPr>
          <w:color w:val="767070"/>
          <w:spacing w:val="-6"/>
          <w:sz w:val="16"/>
        </w:rPr>
        <w:t xml:space="preserve"> </w:t>
      </w:r>
      <w:r>
        <w:rPr>
          <w:color w:val="767070"/>
          <w:sz w:val="16"/>
        </w:rPr>
        <w:t>e-SPM</w:t>
      </w:r>
      <w:r>
        <w:rPr>
          <w:color w:val="767070"/>
          <w:spacing w:val="-5"/>
          <w:sz w:val="16"/>
        </w:rPr>
        <w:t xml:space="preserve"> </w:t>
      </w:r>
      <w:r>
        <w:rPr>
          <w:color w:val="767070"/>
          <w:spacing w:val="-2"/>
          <w:sz w:val="16"/>
        </w:rPr>
        <w:t>report</w:t>
      </w:r>
    </w:p>
    <w:p w14:paraId="26407F4D" w14:textId="77777777" w:rsidR="00BC24A8" w:rsidRDefault="00BC24A8">
      <w:pPr>
        <w:rPr>
          <w:sz w:val="16"/>
        </w:rPr>
        <w:sectPr w:rsidR="00BC24A8">
          <w:pgSz w:w="11910" w:h="16840"/>
          <w:pgMar w:top="1320" w:right="850" w:bottom="1100" w:left="1275" w:header="0" w:footer="907" w:gutter="0"/>
          <w:cols w:space="720"/>
        </w:sectPr>
      </w:pPr>
    </w:p>
    <w:p w14:paraId="136076C8" w14:textId="77777777" w:rsidR="00BC24A8" w:rsidRDefault="00000000">
      <w:pPr>
        <w:spacing w:before="39"/>
        <w:ind w:left="143"/>
        <w:jc w:val="both"/>
        <w:rPr>
          <w:rFonts w:ascii="Calibri"/>
          <w:b/>
          <w:sz w:val="24"/>
        </w:rPr>
      </w:pPr>
      <w:r>
        <w:rPr>
          <w:rFonts w:ascii="Calibri"/>
          <w:b/>
          <w:color w:val="585858"/>
          <w:sz w:val="24"/>
        </w:rPr>
        <w:lastRenderedPageBreak/>
        <w:t>Fiscal</w:t>
      </w:r>
      <w:r>
        <w:rPr>
          <w:rFonts w:ascii="Calibri"/>
          <w:b/>
          <w:color w:val="585858"/>
          <w:spacing w:val="-3"/>
          <w:sz w:val="24"/>
        </w:rPr>
        <w:t xml:space="preserve"> </w:t>
      </w:r>
      <w:r>
        <w:rPr>
          <w:rFonts w:ascii="Calibri"/>
          <w:b/>
          <w:color w:val="585858"/>
          <w:sz w:val="24"/>
        </w:rPr>
        <w:t>capacity</w:t>
      </w:r>
      <w:r>
        <w:rPr>
          <w:rFonts w:ascii="Calibri"/>
          <w:b/>
          <w:color w:val="585858"/>
          <w:spacing w:val="-5"/>
          <w:sz w:val="24"/>
        </w:rPr>
        <w:t xml:space="preserve"> </w:t>
      </w:r>
      <w:r>
        <w:rPr>
          <w:rFonts w:ascii="Calibri"/>
          <w:b/>
          <w:color w:val="585858"/>
          <w:sz w:val="24"/>
        </w:rPr>
        <w:t>data</w:t>
      </w:r>
      <w:r>
        <w:rPr>
          <w:rFonts w:ascii="Calibri"/>
          <w:b/>
          <w:color w:val="585858"/>
          <w:spacing w:val="-5"/>
          <w:sz w:val="24"/>
        </w:rPr>
        <w:t xml:space="preserve"> </w:t>
      </w:r>
      <w:r>
        <w:rPr>
          <w:rFonts w:ascii="Calibri"/>
          <w:b/>
          <w:color w:val="585858"/>
          <w:sz w:val="24"/>
        </w:rPr>
        <w:t>for</w:t>
      </w:r>
      <w:r>
        <w:rPr>
          <w:rFonts w:ascii="Calibri"/>
          <w:b/>
          <w:color w:val="585858"/>
          <w:spacing w:val="-6"/>
          <w:sz w:val="24"/>
        </w:rPr>
        <w:t xml:space="preserve"> </w:t>
      </w:r>
      <w:r>
        <w:rPr>
          <w:rFonts w:ascii="Calibri"/>
          <w:b/>
          <w:color w:val="585858"/>
          <w:sz w:val="24"/>
        </w:rPr>
        <w:t>Maluku</w:t>
      </w:r>
      <w:r>
        <w:rPr>
          <w:rFonts w:ascii="Calibri"/>
          <w:b/>
          <w:color w:val="585858"/>
          <w:spacing w:val="-3"/>
          <w:sz w:val="24"/>
        </w:rPr>
        <w:t xml:space="preserve"> </w:t>
      </w:r>
      <w:r>
        <w:rPr>
          <w:rFonts w:ascii="Calibri"/>
          <w:b/>
          <w:color w:val="585858"/>
          <w:spacing w:val="-2"/>
          <w:sz w:val="24"/>
        </w:rPr>
        <w:t>Province</w:t>
      </w:r>
    </w:p>
    <w:p w14:paraId="76B986E8" w14:textId="77777777" w:rsidR="00BC24A8" w:rsidRDefault="00000000">
      <w:pPr>
        <w:pStyle w:val="BodyText"/>
        <w:spacing w:before="264" w:line="278" w:lineRule="auto"/>
        <w:ind w:left="143" w:right="560"/>
        <w:jc w:val="both"/>
      </w:pPr>
      <w:r>
        <w:t>Maluku</w:t>
      </w:r>
      <w:r>
        <w:rPr>
          <w:spacing w:val="-13"/>
        </w:rPr>
        <w:t xml:space="preserve"> </w:t>
      </w:r>
      <w:r>
        <w:t>is</w:t>
      </w:r>
      <w:r>
        <w:rPr>
          <w:spacing w:val="-11"/>
        </w:rPr>
        <w:t xml:space="preserve"> </w:t>
      </w:r>
      <w:r>
        <w:t>highly</w:t>
      </w:r>
      <w:r>
        <w:rPr>
          <w:spacing w:val="-10"/>
        </w:rPr>
        <w:t xml:space="preserve"> </w:t>
      </w:r>
      <w:r>
        <w:t>dependent</w:t>
      </w:r>
      <w:r>
        <w:rPr>
          <w:spacing w:val="-13"/>
        </w:rPr>
        <w:t xml:space="preserve"> </w:t>
      </w:r>
      <w:r>
        <w:t>on</w:t>
      </w:r>
      <w:r>
        <w:rPr>
          <w:spacing w:val="-10"/>
        </w:rPr>
        <w:t xml:space="preserve"> </w:t>
      </w:r>
      <w:r>
        <w:t>the</w:t>
      </w:r>
      <w:r>
        <w:rPr>
          <w:spacing w:val="-12"/>
        </w:rPr>
        <w:t xml:space="preserve"> </w:t>
      </w:r>
      <w:r>
        <w:t>central</w:t>
      </w:r>
      <w:r>
        <w:rPr>
          <w:spacing w:val="-12"/>
        </w:rPr>
        <w:t xml:space="preserve"> </w:t>
      </w:r>
      <w:r>
        <w:t>government</w:t>
      </w:r>
      <w:r>
        <w:rPr>
          <w:spacing w:val="-13"/>
        </w:rPr>
        <w:t xml:space="preserve"> </w:t>
      </w:r>
      <w:r>
        <w:t>transfer</w:t>
      </w:r>
      <w:r>
        <w:rPr>
          <w:spacing w:val="-10"/>
        </w:rPr>
        <w:t xml:space="preserve"> </w:t>
      </w:r>
      <w:r>
        <w:t>(around</w:t>
      </w:r>
      <w:r>
        <w:rPr>
          <w:spacing w:val="-11"/>
        </w:rPr>
        <w:t xml:space="preserve"> </w:t>
      </w:r>
      <w:r>
        <w:t>76%</w:t>
      </w:r>
      <w:r>
        <w:rPr>
          <w:spacing w:val="-12"/>
        </w:rPr>
        <w:t xml:space="preserve"> </w:t>
      </w:r>
      <w:r>
        <w:t>of</w:t>
      </w:r>
      <w:r>
        <w:rPr>
          <w:spacing w:val="-12"/>
        </w:rPr>
        <w:t xml:space="preserve"> </w:t>
      </w:r>
      <w:r>
        <w:t>Regional</w:t>
      </w:r>
      <w:r>
        <w:rPr>
          <w:spacing w:val="-12"/>
        </w:rPr>
        <w:t xml:space="preserve"> </w:t>
      </w:r>
      <w:r>
        <w:t>Revenue</w:t>
      </w:r>
      <w:r>
        <w:rPr>
          <w:spacing w:val="-12"/>
        </w:rPr>
        <w:t xml:space="preserve"> </w:t>
      </w:r>
      <w:r>
        <w:t>in</w:t>
      </w:r>
      <w:r>
        <w:rPr>
          <w:spacing w:val="-11"/>
        </w:rPr>
        <w:t xml:space="preserve"> </w:t>
      </w:r>
      <w:r>
        <w:t>the 2014–2023</w:t>
      </w:r>
      <w:r>
        <w:rPr>
          <w:spacing w:val="-3"/>
        </w:rPr>
        <w:t xml:space="preserve"> </w:t>
      </w:r>
      <w:r>
        <w:t>period),</w:t>
      </w:r>
      <w:r>
        <w:rPr>
          <w:spacing w:val="-2"/>
        </w:rPr>
        <w:t xml:space="preserve"> </w:t>
      </w:r>
      <w:r>
        <w:t>with</w:t>
      </w:r>
      <w:r>
        <w:rPr>
          <w:spacing w:val="-3"/>
        </w:rPr>
        <w:t xml:space="preserve"> </w:t>
      </w:r>
      <w:r>
        <w:t>Regional</w:t>
      </w:r>
      <w:r>
        <w:rPr>
          <w:spacing w:val="-2"/>
        </w:rPr>
        <w:t xml:space="preserve"> </w:t>
      </w:r>
      <w:r>
        <w:t>Revenue</w:t>
      </w:r>
      <w:r>
        <w:rPr>
          <w:spacing w:val="-2"/>
        </w:rPr>
        <w:t xml:space="preserve"> </w:t>
      </w:r>
      <w:r>
        <w:t>(</w:t>
      </w:r>
      <w:r>
        <w:rPr>
          <w:i/>
        </w:rPr>
        <w:t>Pendapatan</w:t>
      </w:r>
      <w:r>
        <w:rPr>
          <w:i/>
          <w:spacing w:val="-3"/>
        </w:rPr>
        <w:t xml:space="preserve"> </w:t>
      </w:r>
      <w:r>
        <w:rPr>
          <w:i/>
        </w:rPr>
        <w:t>Asli</w:t>
      </w:r>
      <w:r>
        <w:rPr>
          <w:i/>
          <w:spacing w:val="-2"/>
        </w:rPr>
        <w:t xml:space="preserve"> </w:t>
      </w:r>
      <w:r>
        <w:rPr>
          <w:i/>
        </w:rPr>
        <w:t>Daerah,</w:t>
      </w:r>
      <w:r>
        <w:rPr>
          <w:i/>
          <w:spacing w:val="-4"/>
        </w:rPr>
        <w:t xml:space="preserve"> </w:t>
      </w:r>
      <w:r>
        <w:t>PAD)</w:t>
      </w:r>
      <w:r>
        <w:rPr>
          <w:spacing w:val="-4"/>
        </w:rPr>
        <w:t xml:space="preserve"> </w:t>
      </w:r>
      <w:r>
        <w:t>at</w:t>
      </w:r>
      <w:r>
        <w:rPr>
          <w:spacing w:val="-2"/>
        </w:rPr>
        <w:t xml:space="preserve"> </w:t>
      </w:r>
      <w:r>
        <w:t>about</w:t>
      </w:r>
      <w:r>
        <w:rPr>
          <w:spacing w:val="-2"/>
        </w:rPr>
        <w:t xml:space="preserve"> </w:t>
      </w:r>
      <w:r>
        <w:t>19%, limiting</w:t>
      </w:r>
      <w:r>
        <w:rPr>
          <w:spacing w:val="-3"/>
        </w:rPr>
        <w:t xml:space="preserve"> </w:t>
      </w:r>
      <w:r>
        <w:t>fiscal flexibility. With complex geographical, social, economic, and institutional conditions, Maluku needs an integrated development strategy that not only strengthens local infrastructure and economy, but also expands the participation space for vulnerable groups.</w:t>
      </w:r>
    </w:p>
    <w:p w14:paraId="46797196" w14:textId="77777777" w:rsidR="00BC24A8" w:rsidRDefault="00BC24A8">
      <w:pPr>
        <w:pStyle w:val="BodyText"/>
        <w:spacing w:before="219" w:after="1"/>
        <w:rPr>
          <w:sz w:val="20"/>
        </w:rPr>
      </w:pPr>
    </w:p>
    <w:tbl>
      <w:tblPr>
        <w:tblW w:w="0" w:type="auto"/>
        <w:tblInd w:w="150" w:type="dxa"/>
        <w:tblLayout w:type="fixed"/>
        <w:tblCellMar>
          <w:left w:w="0" w:type="dxa"/>
          <w:right w:w="0" w:type="dxa"/>
        </w:tblCellMar>
        <w:tblLook w:val="01E0" w:firstRow="1" w:lastRow="1" w:firstColumn="1" w:lastColumn="1" w:noHBand="0" w:noVBand="0"/>
      </w:tblPr>
      <w:tblGrid>
        <w:gridCol w:w="3005"/>
        <w:gridCol w:w="2395"/>
        <w:gridCol w:w="3691"/>
      </w:tblGrid>
      <w:tr w:rsidR="00BC24A8" w14:paraId="67CCE1C8" w14:textId="77777777">
        <w:trPr>
          <w:trHeight w:val="376"/>
        </w:trPr>
        <w:tc>
          <w:tcPr>
            <w:tcW w:w="3005" w:type="dxa"/>
            <w:shd w:val="clear" w:color="auto" w:fill="17365A"/>
          </w:tcPr>
          <w:p w14:paraId="3C075259" w14:textId="77777777" w:rsidR="00BC24A8" w:rsidRDefault="00000000">
            <w:pPr>
              <w:pStyle w:val="TableParagraph"/>
              <w:spacing w:before="59"/>
              <w:ind w:left="107"/>
              <w:rPr>
                <w:rFonts w:ascii="Calibri"/>
                <w:b/>
                <w:sz w:val="20"/>
              </w:rPr>
            </w:pPr>
            <w:r>
              <w:rPr>
                <w:rFonts w:ascii="Calibri"/>
                <w:b/>
                <w:color w:val="FFFFFF"/>
                <w:spacing w:val="-2"/>
                <w:sz w:val="20"/>
              </w:rPr>
              <w:t>Source</w:t>
            </w:r>
          </w:p>
        </w:tc>
        <w:tc>
          <w:tcPr>
            <w:tcW w:w="2395" w:type="dxa"/>
            <w:shd w:val="clear" w:color="auto" w:fill="17365A"/>
          </w:tcPr>
          <w:p w14:paraId="7FEEE56A" w14:textId="77777777" w:rsidR="00BC24A8" w:rsidRDefault="00000000">
            <w:pPr>
              <w:pStyle w:val="TableParagraph"/>
              <w:spacing w:before="59"/>
              <w:ind w:left="2" w:right="2"/>
              <w:jc w:val="center"/>
              <w:rPr>
                <w:rFonts w:ascii="Calibri"/>
                <w:b/>
                <w:sz w:val="20"/>
              </w:rPr>
            </w:pPr>
            <w:r>
              <w:rPr>
                <w:rFonts w:ascii="Calibri"/>
                <w:b/>
                <w:color w:val="FFFFFF"/>
                <w:sz w:val="20"/>
              </w:rPr>
              <w:t>APBD</w:t>
            </w:r>
            <w:r>
              <w:rPr>
                <w:rFonts w:ascii="Calibri"/>
                <w:b/>
                <w:color w:val="FFFFFF"/>
                <w:spacing w:val="-6"/>
                <w:sz w:val="20"/>
              </w:rPr>
              <w:t xml:space="preserve"> </w:t>
            </w:r>
            <w:r>
              <w:rPr>
                <w:rFonts w:ascii="Calibri"/>
                <w:b/>
                <w:color w:val="FFFFFF"/>
                <w:sz w:val="20"/>
              </w:rPr>
              <w:t>2024</w:t>
            </w:r>
            <w:r>
              <w:rPr>
                <w:rFonts w:ascii="Calibri"/>
                <w:b/>
                <w:color w:val="FFFFFF"/>
                <w:spacing w:val="-5"/>
                <w:sz w:val="20"/>
              </w:rPr>
              <w:t xml:space="preserve"> </w:t>
            </w:r>
            <w:r>
              <w:rPr>
                <w:rFonts w:ascii="Calibri"/>
                <w:b/>
                <w:color w:val="FFFFFF"/>
                <w:spacing w:val="-2"/>
                <w:sz w:val="20"/>
              </w:rPr>
              <w:t>(IDR)</w:t>
            </w:r>
          </w:p>
        </w:tc>
        <w:tc>
          <w:tcPr>
            <w:tcW w:w="3691" w:type="dxa"/>
            <w:shd w:val="clear" w:color="auto" w:fill="17365A"/>
          </w:tcPr>
          <w:p w14:paraId="0AE3FF7C" w14:textId="77777777" w:rsidR="00BC24A8" w:rsidRDefault="00000000">
            <w:pPr>
              <w:pStyle w:val="TableParagraph"/>
              <w:spacing w:before="59"/>
              <w:ind w:left="6" w:right="6"/>
              <w:jc w:val="center"/>
              <w:rPr>
                <w:rFonts w:ascii="Calibri"/>
                <w:b/>
                <w:sz w:val="20"/>
              </w:rPr>
            </w:pPr>
            <w:r>
              <w:rPr>
                <w:rFonts w:ascii="Calibri"/>
                <w:b/>
                <w:color w:val="FFFFFF"/>
                <w:sz w:val="20"/>
              </w:rPr>
              <w:t>APBD</w:t>
            </w:r>
            <w:r>
              <w:rPr>
                <w:rFonts w:ascii="Calibri"/>
                <w:b/>
                <w:color w:val="FFFFFF"/>
                <w:spacing w:val="38"/>
                <w:sz w:val="20"/>
              </w:rPr>
              <w:t xml:space="preserve"> </w:t>
            </w:r>
            <w:r>
              <w:rPr>
                <w:rFonts w:ascii="Calibri"/>
                <w:b/>
                <w:color w:val="FFFFFF"/>
                <w:sz w:val="20"/>
              </w:rPr>
              <w:t>2025</w:t>
            </w:r>
            <w:r>
              <w:rPr>
                <w:rFonts w:ascii="Calibri"/>
                <w:b/>
                <w:color w:val="FFFFFF"/>
                <w:spacing w:val="-3"/>
                <w:sz w:val="20"/>
              </w:rPr>
              <w:t xml:space="preserve"> </w:t>
            </w:r>
            <w:r>
              <w:rPr>
                <w:rFonts w:ascii="Calibri"/>
                <w:b/>
                <w:color w:val="FFFFFF"/>
                <w:spacing w:val="-2"/>
                <w:sz w:val="20"/>
              </w:rPr>
              <w:t>(IDR)</w:t>
            </w:r>
            <w:hyperlink w:anchor="_bookmark118" w:history="1">
              <w:r w:rsidR="00BC24A8">
                <w:rPr>
                  <w:rFonts w:ascii="Calibri"/>
                  <w:b/>
                  <w:color w:val="FFFFFF"/>
                  <w:spacing w:val="-2"/>
                  <w:sz w:val="20"/>
                  <w:vertAlign w:val="superscript"/>
                </w:rPr>
                <w:t>55</w:t>
              </w:r>
            </w:hyperlink>
          </w:p>
        </w:tc>
      </w:tr>
      <w:tr w:rsidR="00BC24A8" w14:paraId="37762347" w14:textId="77777777">
        <w:trPr>
          <w:trHeight w:val="438"/>
        </w:trPr>
        <w:tc>
          <w:tcPr>
            <w:tcW w:w="3005" w:type="dxa"/>
            <w:tcBorders>
              <w:bottom w:val="single" w:sz="4" w:space="0" w:color="BEBEBE"/>
            </w:tcBorders>
          </w:tcPr>
          <w:p w14:paraId="39FE962A" w14:textId="77777777" w:rsidR="00BC24A8" w:rsidRDefault="00000000">
            <w:pPr>
              <w:pStyle w:val="TableParagraph"/>
              <w:spacing w:before="162"/>
              <w:ind w:left="107"/>
              <w:rPr>
                <w:sz w:val="18"/>
              </w:rPr>
            </w:pPr>
            <w:r>
              <w:rPr>
                <w:sz w:val="18"/>
              </w:rPr>
              <w:t>PAD</w:t>
            </w:r>
            <w:r>
              <w:rPr>
                <w:spacing w:val="-2"/>
                <w:sz w:val="18"/>
              </w:rPr>
              <w:t xml:space="preserve"> </w:t>
            </w:r>
            <w:r>
              <w:rPr>
                <w:sz w:val="18"/>
              </w:rPr>
              <w:t>(Regional</w:t>
            </w:r>
            <w:r>
              <w:rPr>
                <w:spacing w:val="-2"/>
                <w:sz w:val="18"/>
              </w:rPr>
              <w:t xml:space="preserve"> Revenue)</w:t>
            </w:r>
          </w:p>
        </w:tc>
        <w:tc>
          <w:tcPr>
            <w:tcW w:w="2395" w:type="dxa"/>
            <w:tcBorders>
              <w:bottom w:val="single" w:sz="4" w:space="0" w:color="BEBEBE"/>
            </w:tcBorders>
          </w:tcPr>
          <w:p w14:paraId="76D3A14C" w14:textId="77777777" w:rsidR="00BC24A8" w:rsidRDefault="00000000">
            <w:pPr>
              <w:pStyle w:val="TableParagraph"/>
              <w:spacing w:before="133"/>
              <w:ind w:left="1" w:right="2"/>
              <w:jc w:val="center"/>
              <w:rPr>
                <w:sz w:val="18"/>
              </w:rPr>
            </w:pPr>
            <w:r>
              <w:rPr>
                <w:spacing w:val="-2"/>
                <w:sz w:val="18"/>
              </w:rPr>
              <w:t>757.451.808.188</w:t>
            </w:r>
          </w:p>
        </w:tc>
        <w:tc>
          <w:tcPr>
            <w:tcW w:w="3691" w:type="dxa"/>
            <w:tcBorders>
              <w:bottom w:val="single" w:sz="4" w:space="0" w:color="BEBEBE"/>
            </w:tcBorders>
          </w:tcPr>
          <w:p w14:paraId="2FDFCADC" w14:textId="77777777" w:rsidR="00BC24A8" w:rsidRDefault="00000000">
            <w:pPr>
              <w:pStyle w:val="TableParagraph"/>
              <w:spacing w:before="104"/>
              <w:ind w:left="5" w:right="6"/>
              <w:jc w:val="center"/>
              <w:rPr>
                <w:sz w:val="18"/>
              </w:rPr>
            </w:pPr>
            <w:r>
              <w:rPr>
                <w:spacing w:val="-2"/>
                <w:sz w:val="18"/>
              </w:rPr>
              <w:t>873.011.031.209</w:t>
            </w:r>
          </w:p>
        </w:tc>
      </w:tr>
      <w:tr w:rsidR="00BC24A8" w14:paraId="664EF0B7" w14:textId="77777777">
        <w:trPr>
          <w:trHeight w:val="393"/>
        </w:trPr>
        <w:tc>
          <w:tcPr>
            <w:tcW w:w="3005" w:type="dxa"/>
            <w:tcBorders>
              <w:top w:val="single" w:sz="4" w:space="0" w:color="BEBEBE"/>
              <w:bottom w:val="single" w:sz="4" w:space="0" w:color="BEBEBE"/>
            </w:tcBorders>
          </w:tcPr>
          <w:p w14:paraId="4A342DF7" w14:textId="77777777" w:rsidR="00BC24A8" w:rsidRDefault="00000000">
            <w:pPr>
              <w:pStyle w:val="TableParagraph"/>
              <w:spacing w:before="116"/>
              <w:ind w:left="107"/>
              <w:rPr>
                <w:sz w:val="18"/>
              </w:rPr>
            </w:pPr>
            <w:r>
              <w:rPr>
                <w:sz w:val="18"/>
              </w:rPr>
              <w:t xml:space="preserve">TKD (Fiscal </w:t>
            </w:r>
            <w:r>
              <w:rPr>
                <w:spacing w:val="-2"/>
                <w:sz w:val="18"/>
              </w:rPr>
              <w:t>Transfer)</w:t>
            </w:r>
          </w:p>
        </w:tc>
        <w:tc>
          <w:tcPr>
            <w:tcW w:w="2395" w:type="dxa"/>
            <w:tcBorders>
              <w:top w:val="single" w:sz="4" w:space="0" w:color="BEBEBE"/>
              <w:bottom w:val="single" w:sz="4" w:space="0" w:color="BEBEBE"/>
            </w:tcBorders>
          </w:tcPr>
          <w:p w14:paraId="4ED42808" w14:textId="77777777" w:rsidR="00BC24A8" w:rsidRDefault="00000000">
            <w:pPr>
              <w:pStyle w:val="TableParagraph"/>
              <w:spacing w:before="87"/>
              <w:ind w:left="1" w:right="2"/>
              <w:jc w:val="center"/>
              <w:rPr>
                <w:sz w:val="18"/>
              </w:rPr>
            </w:pPr>
            <w:r>
              <w:rPr>
                <w:spacing w:val="-2"/>
                <w:sz w:val="18"/>
              </w:rPr>
              <w:t>2.441.784.793.000</w:t>
            </w:r>
          </w:p>
        </w:tc>
        <w:tc>
          <w:tcPr>
            <w:tcW w:w="3691" w:type="dxa"/>
            <w:tcBorders>
              <w:top w:val="single" w:sz="4" w:space="0" w:color="BEBEBE"/>
              <w:bottom w:val="single" w:sz="4" w:space="0" w:color="BEBEBE"/>
            </w:tcBorders>
          </w:tcPr>
          <w:p w14:paraId="3C10A9CD" w14:textId="77777777" w:rsidR="00BC24A8" w:rsidRDefault="00000000">
            <w:pPr>
              <w:pStyle w:val="TableParagraph"/>
              <w:spacing w:before="59"/>
              <w:ind w:left="2" w:right="6"/>
              <w:jc w:val="center"/>
              <w:rPr>
                <w:sz w:val="18"/>
              </w:rPr>
            </w:pPr>
            <w:r>
              <w:rPr>
                <w:spacing w:val="-2"/>
                <w:sz w:val="18"/>
              </w:rPr>
              <w:t>2.374.340.731.000</w:t>
            </w:r>
          </w:p>
        </w:tc>
      </w:tr>
      <w:tr w:rsidR="00BC24A8" w14:paraId="37063E69" w14:textId="77777777">
        <w:trPr>
          <w:trHeight w:val="436"/>
        </w:trPr>
        <w:tc>
          <w:tcPr>
            <w:tcW w:w="3005" w:type="dxa"/>
            <w:tcBorders>
              <w:top w:val="single" w:sz="4" w:space="0" w:color="BEBEBE"/>
            </w:tcBorders>
          </w:tcPr>
          <w:p w14:paraId="7D75951D" w14:textId="77777777" w:rsidR="00BC24A8" w:rsidRDefault="00000000">
            <w:pPr>
              <w:pStyle w:val="TableParagraph"/>
              <w:spacing w:before="119"/>
              <w:ind w:left="107"/>
              <w:rPr>
                <w:sz w:val="18"/>
              </w:rPr>
            </w:pPr>
            <w:r>
              <w:rPr>
                <w:sz w:val="18"/>
              </w:rPr>
              <w:t>Other</w:t>
            </w:r>
            <w:r>
              <w:rPr>
                <w:spacing w:val="-4"/>
                <w:sz w:val="18"/>
              </w:rPr>
              <w:t xml:space="preserve"> </w:t>
            </w:r>
            <w:r>
              <w:rPr>
                <w:spacing w:val="-2"/>
                <w:sz w:val="18"/>
              </w:rPr>
              <w:t>sources</w:t>
            </w:r>
          </w:p>
        </w:tc>
        <w:tc>
          <w:tcPr>
            <w:tcW w:w="2395" w:type="dxa"/>
            <w:tcBorders>
              <w:top w:val="single" w:sz="4" w:space="0" w:color="BEBEBE"/>
            </w:tcBorders>
          </w:tcPr>
          <w:p w14:paraId="22E6644F" w14:textId="77777777" w:rsidR="00BC24A8" w:rsidRDefault="00000000">
            <w:pPr>
              <w:pStyle w:val="TableParagraph"/>
              <w:spacing w:before="87"/>
              <w:ind w:right="2"/>
              <w:jc w:val="center"/>
              <w:rPr>
                <w:sz w:val="18"/>
              </w:rPr>
            </w:pPr>
            <w:r>
              <w:rPr>
                <w:spacing w:val="-2"/>
                <w:sz w:val="18"/>
              </w:rPr>
              <w:t>420.000.000</w:t>
            </w:r>
          </w:p>
        </w:tc>
        <w:tc>
          <w:tcPr>
            <w:tcW w:w="3691" w:type="dxa"/>
            <w:tcBorders>
              <w:top w:val="single" w:sz="4" w:space="0" w:color="BEBEBE"/>
            </w:tcBorders>
          </w:tcPr>
          <w:p w14:paraId="7BA2FE64" w14:textId="77777777" w:rsidR="00BC24A8" w:rsidRDefault="00000000">
            <w:pPr>
              <w:pStyle w:val="TableParagraph"/>
              <w:spacing w:before="59"/>
              <w:ind w:left="5" w:right="6"/>
              <w:jc w:val="center"/>
              <w:rPr>
                <w:sz w:val="18"/>
              </w:rPr>
            </w:pPr>
            <w:r>
              <w:rPr>
                <w:spacing w:val="-2"/>
                <w:sz w:val="18"/>
              </w:rPr>
              <w:t>321.000.000</w:t>
            </w:r>
          </w:p>
        </w:tc>
      </w:tr>
      <w:tr w:rsidR="00BC24A8" w14:paraId="79A7126E" w14:textId="77777777">
        <w:trPr>
          <w:trHeight w:val="354"/>
        </w:trPr>
        <w:tc>
          <w:tcPr>
            <w:tcW w:w="3005" w:type="dxa"/>
            <w:tcBorders>
              <w:bottom w:val="single" w:sz="4" w:space="0" w:color="BEBEBE"/>
              <w:right w:val="single" w:sz="18" w:space="0" w:color="FFFFFF"/>
            </w:tcBorders>
            <w:shd w:val="clear" w:color="auto" w:fill="A7A9AC"/>
          </w:tcPr>
          <w:p w14:paraId="05951432" w14:textId="77777777" w:rsidR="00BC24A8" w:rsidRDefault="00000000">
            <w:pPr>
              <w:pStyle w:val="TableParagraph"/>
              <w:spacing w:before="61"/>
              <w:ind w:left="107"/>
              <w:rPr>
                <w:rFonts w:ascii="Calibri"/>
                <w:b/>
                <w:sz w:val="18"/>
              </w:rPr>
            </w:pPr>
            <w:r w:rsidRPr="00795364">
              <w:rPr>
                <w:rFonts w:ascii="Calibri"/>
                <w:b/>
                <w:color w:val="000000"/>
                <w:spacing w:val="-2"/>
                <w:sz w:val="18"/>
              </w:rPr>
              <w:t>Total</w:t>
            </w:r>
          </w:p>
        </w:tc>
        <w:tc>
          <w:tcPr>
            <w:tcW w:w="2395" w:type="dxa"/>
            <w:tcBorders>
              <w:left w:val="single" w:sz="18" w:space="0" w:color="FFFFFF"/>
              <w:bottom w:val="single" w:sz="4" w:space="0" w:color="BEBEBE"/>
              <w:right w:val="single" w:sz="18" w:space="0" w:color="FFFFFF"/>
            </w:tcBorders>
            <w:shd w:val="clear" w:color="auto" w:fill="A7A9AC"/>
          </w:tcPr>
          <w:p w14:paraId="433471AB" w14:textId="77777777" w:rsidR="00BC24A8" w:rsidRDefault="00000000">
            <w:pPr>
              <w:pStyle w:val="TableParagraph"/>
              <w:spacing w:before="61"/>
              <w:ind w:left="2" w:right="1"/>
              <w:jc w:val="center"/>
              <w:rPr>
                <w:rFonts w:ascii="Calibri"/>
                <w:b/>
                <w:sz w:val="18"/>
              </w:rPr>
            </w:pPr>
            <w:r w:rsidRPr="00795364">
              <w:rPr>
                <w:rFonts w:ascii="Calibri"/>
                <w:b/>
                <w:color w:val="000000"/>
                <w:spacing w:val="-2"/>
                <w:sz w:val="18"/>
              </w:rPr>
              <w:t>3.199.656.601.188</w:t>
            </w:r>
          </w:p>
        </w:tc>
        <w:tc>
          <w:tcPr>
            <w:tcW w:w="3691" w:type="dxa"/>
            <w:tcBorders>
              <w:left w:val="single" w:sz="18" w:space="0" w:color="FFFFFF"/>
              <w:bottom w:val="single" w:sz="4" w:space="0" w:color="BEBEBE"/>
            </w:tcBorders>
            <w:shd w:val="clear" w:color="auto" w:fill="A7A9AC"/>
          </w:tcPr>
          <w:p w14:paraId="4DF98D1B" w14:textId="77777777" w:rsidR="00BC24A8" w:rsidRDefault="00000000">
            <w:pPr>
              <w:pStyle w:val="TableParagraph"/>
              <w:spacing w:before="61"/>
              <w:ind w:right="23"/>
              <w:jc w:val="center"/>
              <w:rPr>
                <w:rFonts w:ascii="Calibri"/>
                <w:b/>
                <w:sz w:val="18"/>
              </w:rPr>
            </w:pPr>
            <w:r w:rsidRPr="00795364">
              <w:rPr>
                <w:rFonts w:ascii="Calibri"/>
                <w:b/>
                <w:color w:val="000000"/>
                <w:spacing w:val="-2"/>
                <w:sz w:val="18"/>
              </w:rPr>
              <w:t>3.247.672.762.209</w:t>
            </w:r>
          </w:p>
        </w:tc>
      </w:tr>
    </w:tbl>
    <w:p w14:paraId="197B0D0F" w14:textId="77777777" w:rsidR="00BC24A8" w:rsidRDefault="00000000">
      <w:pPr>
        <w:spacing w:before="127"/>
        <w:ind w:left="143"/>
        <w:rPr>
          <w:sz w:val="16"/>
        </w:rPr>
      </w:pPr>
      <w:r>
        <w:rPr>
          <w:sz w:val="16"/>
        </w:rPr>
        <w:t>Data</w:t>
      </w:r>
      <w:r>
        <w:rPr>
          <w:spacing w:val="-7"/>
          <w:sz w:val="16"/>
        </w:rPr>
        <w:t xml:space="preserve"> </w:t>
      </w:r>
      <w:r>
        <w:rPr>
          <w:sz w:val="16"/>
        </w:rPr>
        <w:t>source:</w:t>
      </w:r>
      <w:r>
        <w:rPr>
          <w:spacing w:val="-6"/>
          <w:sz w:val="16"/>
        </w:rPr>
        <w:t xml:space="preserve"> </w:t>
      </w:r>
      <w:r>
        <w:rPr>
          <w:sz w:val="16"/>
        </w:rPr>
        <w:t>Maluku</w:t>
      </w:r>
      <w:r>
        <w:rPr>
          <w:spacing w:val="-5"/>
          <w:sz w:val="16"/>
        </w:rPr>
        <w:t xml:space="preserve"> </w:t>
      </w:r>
      <w:r>
        <w:rPr>
          <w:sz w:val="16"/>
        </w:rPr>
        <w:t>Province</w:t>
      </w:r>
      <w:r>
        <w:rPr>
          <w:spacing w:val="-5"/>
          <w:sz w:val="16"/>
        </w:rPr>
        <w:t xml:space="preserve"> </w:t>
      </w:r>
      <w:r>
        <w:rPr>
          <w:sz w:val="16"/>
        </w:rPr>
        <w:t>2024</w:t>
      </w:r>
      <w:r>
        <w:rPr>
          <w:spacing w:val="-7"/>
          <w:sz w:val="16"/>
        </w:rPr>
        <w:t xml:space="preserve"> </w:t>
      </w:r>
      <w:r>
        <w:rPr>
          <w:sz w:val="16"/>
        </w:rPr>
        <w:t>and</w:t>
      </w:r>
      <w:r>
        <w:rPr>
          <w:spacing w:val="-5"/>
          <w:sz w:val="16"/>
        </w:rPr>
        <w:t xml:space="preserve"> </w:t>
      </w:r>
      <w:r>
        <w:rPr>
          <w:sz w:val="16"/>
        </w:rPr>
        <w:t>2025</w:t>
      </w:r>
      <w:r>
        <w:rPr>
          <w:spacing w:val="-7"/>
          <w:sz w:val="16"/>
        </w:rPr>
        <w:t xml:space="preserve"> </w:t>
      </w:r>
      <w:r>
        <w:rPr>
          <w:sz w:val="16"/>
        </w:rPr>
        <w:t>APBD</w:t>
      </w:r>
      <w:r>
        <w:rPr>
          <w:spacing w:val="-4"/>
          <w:sz w:val="16"/>
        </w:rPr>
        <w:t xml:space="preserve"> Data</w:t>
      </w:r>
    </w:p>
    <w:p w14:paraId="20B0BF1C" w14:textId="77777777" w:rsidR="00BC24A8" w:rsidRDefault="00BC24A8">
      <w:pPr>
        <w:pStyle w:val="BodyText"/>
        <w:rPr>
          <w:sz w:val="16"/>
        </w:rPr>
      </w:pPr>
    </w:p>
    <w:p w14:paraId="37A053AA" w14:textId="77777777" w:rsidR="00BC24A8" w:rsidRDefault="00BC24A8">
      <w:pPr>
        <w:pStyle w:val="BodyText"/>
        <w:spacing w:before="110"/>
        <w:rPr>
          <w:sz w:val="16"/>
        </w:rPr>
      </w:pPr>
    </w:p>
    <w:p w14:paraId="1CB666F8" w14:textId="77777777" w:rsidR="00BC24A8" w:rsidRDefault="00000000">
      <w:pPr>
        <w:ind w:left="143"/>
        <w:rPr>
          <w:rFonts w:ascii="Calibri"/>
          <w:i/>
        </w:rPr>
      </w:pPr>
      <w:r>
        <w:rPr>
          <w:rFonts w:ascii="Calibri"/>
          <w:i/>
          <w:color w:val="272727"/>
        </w:rPr>
        <w:t>Dynamics</w:t>
      </w:r>
      <w:r>
        <w:rPr>
          <w:rFonts w:ascii="Calibri"/>
          <w:i/>
          <w:color w:val="272727"/>
          <w:spacing w:val="-6"/>
        </w:rPr>
        <w:t xml:space="preserve"> </w:t>
      </w:r>
      <w:r>
        <w:rPr>
          <w:rFonts w:ascii="Calibri"/>
          <w:i/>
          <w:color w:val="272727"/>
        </w:rPr>
        <w:t>shaping</w:t>
      </w:r>
      <w:r>
        <w:rPr>
          <w:rFonts w:ascii="Calibri"/>
          <w:i/>
          <w:color w:val="272727"/>
          <w:spacing w:val="-6"/>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6"/>
        </w:rPr>
        <w:t xml:space="preserve"> </w:t>
      </w:r>
      <w:r>
        <w:rPr>
          <w:rFonts w:ascii="Calibri"/>
          <w:i/>
          <w:color w:val="272727"/>
          <w:spacing w:val="-2"/>
        </w:rPr>
        <w:t>implementation</w:t>
      </w:r>
    </w:p>
    <w:p w14:paraId="1C98F324" w14:textId="77777777" w:rsidR="00BC24A8" w:rsidRDefault="00000000">
      <w:pPr>
        <w:pStyle w:val="BodyText"/>
        <w:spacing w:before="22" w:line="278" w:lineRule="auto"/>
        <w:ind w:left="143" w:right="562"/>
        <w:jc w:val="both"/>
      </w:pPr>
      <w:r>
        <w:t>From January to June 2025, the local government focused on drafting the Regional Medium-Term Development</w:t>
      </w:r>
      <w:r>
        <w:rPr>
          <w:spacing w:val="-10"/>
        </w:rPr>
        <w:t xml:space="preserve"> </w:t>
      </w:r>
      <w:r>
        <w:t>Plan</w:t>
      </w:r>
      <w:r>
        <w:rPr>
          <w:spacing w:val="-10"/>
        </w:rPr>
        <w:t xml:space="preserve"> </w:t>
      </w:r>
      <w:r>
        <w:t>(RPJMD)</w:t>
      </w:r>
      <w:r>
        <w:rPr>
          <w:spacing w:val="-11"/>
        </w:rPr>
        <w:t xml:space="preserve"> </w:t>
      </w:r>
      <w:r>
        <w:t>and</w:t>
      </w:r>
      <w:r>
        <w:rPr>
          <w:spacing w:val="-10"/>
        </w:rPr>
        <w:t xml:space="preserve"> </w:t>
      </w:r>
      <w:r>
        <w:t>the</w:t>
      </w:r>
      <w:r>
        <w:rPr>
          <w:spacing w:val="-11"/>
        </w:rPr>
        <w:t xml:space="preserve"> </w:t>
      </w:r>
      <w:r>
        <w:t>Regional</w:t>
      </w:r>
      <w:r>
        <w:rPr>
          <w:spacing w:val="-10"/>
        </w:rPr>
        <w:t xml:space="preserve"> </w:t>
      </w:r>
      <w:r>
        <w:t>Government</w:t>
      </w:r>
      <w:r>
        <w:rPr>
          <w:spacing w:val="-10"/>
        </w:rPr>
        <w:t xml:space="preserve"> </w:t>
      </w:r>
      <w:r>
        <w:t>Work</w:t>
      </w:r>
      <w:r>
        <w:rPr>
          <w:spacing w:val="-11"/>
        </w:rPr>
        <w:t xml:space="preserve"> </w:t>
      </w:r>
      <w:r>
        <w:t>Plan</w:t>
      </w:r>
      <w:r>
        <w:rPr>
          <w:spacing w:val="-10"/>
        </w:rPr>
        <w:t xml:space="preserve"> </w:t>
      </w:r>
      <w:r>
        <w:t>(RKPD).</w:t>
      </w:r>
      <w:r>
        <w:rPr>
          <w:spacing w:val="-9"/>
        </w:rPr>
        <w:t xml:space="preserve"> </w:t>
      </w:r>
      <w:r>
        <w:t>The</w:t>
      </w:r>
      <w:r>
        <w:rPr>
          <w:spacing w:val="-11"/>
        </w:rPr>
        <w:t xml:space="preserve"> </w:t>
      </w:r>
      <w:r>
        <w:t>resulting</w:t>
      </w:r>
      <w:r>
        <w:rPr>
          <w:spacing w:val="-12"/>
        </w:rPr>
        <w:t xml:space="preserve"> </w:t>
      </w:r>
      <w:r>
        <w:t>slowdown</w:t>
      </w:r>
      <w:r>
        <w:rPr>
          <w:spacing w:val="-10"/>
        </w:rPr>
        <w:t xml:space="preserve"> </w:t>
      </w:r>
      <w:r>
        <w:t>of two to three months limited the implementation of activities in the region. This delay affected several activities; for instance, Data List Planning, originally scheduled for January 2025, was postponed until May. Additionally, SKALA's key Provincial Agencies (</w:t>
      </w:r>
      <w:r>
        <w:rPr>
          <w:i/>
        </w:rPr>
        <w:t xml:space="preserve">Organisasi Perangkat Daerah, </w:t>
      </w:r>
      <w:r>
        <w:t>OPD) partners faced significant budget cuts. The Communication and Informatics Office (Diskominfo), for example, has experienced budget cuts for sectoral statistical activities. The Housing and Settlement Office has also experienced budget cuts for the rehabilitation/relocation of houses affected by disasters.</w:t>
      </w:r>
    </w:p>
    <w:p w14:paraId="32B464A6" w14:textId="77777777" w:rsidR="00BC24A8" w:rsidRDefault="00000000">
      <w:pPr>
        <w:pStyle w:val="BodyText"/>
        <w:spacing w:before="157" w:line="278" w:lineRule="auto"/>
        <w:ind w:left="143" w:right="562"/>
        <w:jc w:val="both"/>
      </w:pPr>
      <w:r>
        <w:t>The operational dynamics of local government bureaucracy and the hierarchical and top-down communication</w:t>
      </w:r>
      <w:r>
        <w:rPr>
          <w:spacing w:val="-13"/>
        </w:rPr>
        <w:t xml:space="preserve"> </w:t>
      </w:r>
      <w:r>
        <w:t>patterns</w:t>
      </w:r>
      <w:r>
        <w:rPr>
          <w:spacing w:val="-11"/>
        </w:rPr>
        <w:t xml:space="preserve"> </w:t>
      </w:r>
      <w:r>
        <w:t>of</w:t>
      </w:r>
      <w:r>
        <w:rPr>
          <w:spacing w:val="-13"/>
        </w:rPr>
        <w:t xml:space="preserve"> </w:t>
      </w:r>
      <w:r>
        <w:t>the</w:t>
      </w:r>
      <w:r>
        <w:rPr>
          <w:spacing w:val="-12"/>
        </w:rPr>
        <w:t xml:space="preserve"> </w:t>
      </w:r>
      <w:r>
        <w:t>Provincial</w:t>
      </w:r>
      <w:r>
        <w:rPr>
          <w:spacing w:val="-11"/>
        </w:rPr>
        <w:t xml:space="preserve"> </w:t>
      </w:r>
      <w:r>
        <w:t>Agencies</w:t>
      </w:r>
      <w:r>
        <w:rPr>
          <w:spacing w:val="-11"/>
        </w:rPr>
        <w:t xml:space="preserve"> </w:t>
      </w:r>
      <w:r>
        <w:t>pose</w:t>
      </w:r>
      <w:r>
        <w:rPr>
          <w:spacing w:val="-12"/>
        </w:rPr>
        <w:t xml:space="preserve"> </w:t>
      </w:r>
      <w:r>
        <w:t>a</w:t>
      </w:r>
      <w:r>
        <w:rPr>
          <w:spacing w:val="-11"/>
        </w:rPr>
        <w:t xml:space="preserve"> </w:t>
      </w:r>
      <w:r>
        <w:t>challenge</w:t>
      </w:r>
      <w:r>
        <w:rPr>
          <w:spacing w:val="-12"/>
        </w:rPr>
        <w:t xml:space="preserve"> </w:t>
      </w:r>
      <w:r>
        <w:t>for</w:t>
      </w:r>
      <w:r>
        <w:rPr>
          <w:spacing w:val="-11"/>
        </w:rPr>
        <w:t xml:space="preserve"> </w:t>
      </w:r>
      <w:r>
        <w:t>SKALA.</w:t>
      </w:r>
      <w:r>
        <w:rPr>
          <w:spacing w:val="-10"/>
        </w:rPr>
        <w:t xml:space="preserve"> </w:t>
      </w:r>
      <w:r>
        <w:t>Most</w:t>
      </w:r>
      <w:r>
        <w:rPr>
          <w:spacing w:val="-11"/>
        </w:rPr>
        <w:t xml:space="preserve"> </w:t>
      </w:r>
      <w:r>
        <w:t>regional</w:t>
      </w:r>
      <w:r>
        <w:rPr>
          <w:spacing w:val="-11"/>
        </w:rPr>
        <w:t xml:space="preserve"> </w:t>
      </w:r>
      <w:r>
        <w:t xml:space="preserve">apparatus </w:t>
      </w:r>
      <w:r>
        <w:rPr>
          <w:spacing w:val="-2"/>
        </w:rPr>
        <w:t>are</w:t>
      </w:r>
      <w:r>
        <w:rPr>
          <w:spacing w:val="-5"/>
        </w:rPr>
        <w:t xml:space="preserve"> </w:t>
      </w:r>
      <w:r>
        <w:rPr>
          <w:spacing w:val="-2"/>
        </w:rPr>
        <w:t>highly dependent</w:t>
      </w:r>
      <w:r>
        <w:rPr>
          <w:spacing w:val="-4"/>
        </w:rPr>
        <w:t xml:space="preserve"> </w:t>
      </w:r>
      <w:r>
        <w:rPr>
          <w:spacing w:val="-2"/>
        </w:rPr>
        <w:t>on the</w:t>
      </w:r>
      <w:r>
        <w:rPr>
          <w:spacing w:val="-5"/>
        </w:rPr>
        <w:t xml:space="preserve"> </w:t>
      </w:r>
      <w:r>
        <w:rPr>
          <w:spacing w:val="-2"/>
        </w:rPr>
        <w:t>direction from</w:t>
      </w:r>
      <w:r>
        <w:rPr>
          <w:spacing w:val="-5"/>
        </w:rPr>
        <w:t xml:space="preserve"> </w:t>
      </w:r>
      <w:r>
        <w:rPr>
          <w:spacing w:val="-2"/>
        </w:rPr>
        <w:t>the</w:t>
      </w:r>
      <w:r>
        <w:rPr>
          <w:spacing w:val="-5"/>
        </w:rPr>
        <w:t xml:space="preserve"> </w:t>
      </w:r>
      <w:r>
        <w:rPr>
          <w:spacing w:val="-2"/>
        </w:rPr>
        <w:t>leadership,</w:t>
      </w:r>
      <w:r>
        <w:rPr>
          <w:spacing w:val="-5"/>
        </w:rPr>
        <w:t xml:space="preserve"> </w:t>
      </w:r>
      <w:r>
        <w:rPr>
          <w:spacing w:val="-2"/>
        </w:rPr>
        <w:t>even</w:t>
      </w:r>
      <w:r>
        <w:rPr>
          <w:spacing w:val="-6"/>
        </w:rPr>
        <w:t xml:space="preserve"> </w:t>
      </w:r>
      <w:r>
        <w:rPr>
          <w:spacing w:val="-2"/>
        </w:rPr>
        <w:t>for administrative</w:t>
      </w:r>
      <w:r>
        <w:rPr>
          <w:spacing w:val="-9"/>
        </w:rPr>
        <w:t xml:space="preserve"> </w:t>
      </w:r>
      <w:r>
        <w:rPr>
          <w:spacing w:val="-2"/>
        </w:rPr>
        <w:t>and technical</w:t>
      </w:r>
      <w:r>
        <w:rPr>
          <w:spacing w:val="-4"/>
        </w:rPr>
        <w:t xml:space="preserve"> </w:t>
      </w:r>
      <w:r>
        <w:rPr>
          <w:spacing w:val="-2"/>
        </w:rPr>
        <w:t xml:space="preserve">matters </w:t>
      </w:r>
      <w:r>
        <w:t>that</w:t>
      </w:r>
      <w:r>
        <w:rPr>
          <w:spacing w:val="-7"/>
        </w:rPr>
        <w:t xml:space="preserve"> </w:t>
      </w:r>
      <w:r>
        <w:t>should</w:t>
      </w:r>
      <w:r>
        <w:rPr>
          <w:spacing w:val="-6"/>
        </w:rPr>
        <w:t xml:space="preserve"> </w:t>
      </w:r>
      <w:r>
        <w:t>be</w:t>
      </w:r>
      <w:r>
        <w:rPr>
          <w:spacing w:val="-9"/>
        </w:rPr>
        <w:t xml:space="preserve"> </w:t>
      </w:r>
      <w:r>
        <w:t>handled</w:t>
      </w:r>
      <w:r>
        <w:rPr>
          <w:spacing w:val="-8"/>
        </w:rPr>
        <w:t xml:space="preserve"> </w:t>
      </w:r>
      <w:r>
        <w:t>directly</w:t>
      </w:r>
      <w:r>
        <w:rPr>
          <w:spacing w:val="-6"/>
        </w:rPr>
        <w:t xml:space="preserve"> </w:t>
      </w:r>
      <w:r>
        <w:t>by</w:t>
      </w:r>
      <w:r>
        <w:rPr>
          <w:spacing w:val="-6"/>
        </w:rPr>
        <w:t xml:space="preserve"> </w:t>
      </w:r>
      <w:r>
        <w:t>the</w:t>
      </w:r>
      <w:r>
        <w:rPr>
          <w:spacing w:val="-8"/>
        </w:rPr>
        <w:t xml:space="preserve"> </w:t>
      </w:r>
      <w:r>
        <w:t>executive</w:t>
      </w:r>
      <w:r>
        <w:rPr>
          <w:spacing w:val="-8"/>
        </w:rPr>
        <w:t xml:space="preserve"> </w:t>
      </w:r>
      <w:r>
        <w:t>staff.</w:t>
      </w:r>
      <w:r>
        <w:rPr>
          <w:spacing w:val="-8"/>
        </w:rPr>
        <w:t xml:space="preserve"> </w:t>
      </w:r>
      <w:r>
        <w:t>For</w:t>
      </w:r>
      <w:r>
        <w:rPr>
          <w:spacing w:val="-6"/>
        </w:rPr>
        <w:t xml:space="preserve"> </w:t>
      </w:r>
      <w:r>
        <w:t>example,</w:t>
      </w:r>
      <w:r>
        <w:rPr>
          <w:spacing w:val="-6"/>
        </w:rPr>
        <w:t xml:space="preserve"> </w:t>
      </w:r>
      <w:r>
        <w:t>the</w:t>
      </w:r>
      <w:r>
        <w:rPr>
          <w:spacing w:val="-8"/>
        </w:rPr>
        <w:t xml:space="preserve"> </w:t>
      </w:r>
      <w:r>
        <w:t>determination</w:t>
      </w:r>
      <w:r>
        <w:rPr>
          <w:spacing w:val="-6"/>
        </w:rPr>
        <w:t xml:space="preserve"> </w:t>
      </w:r>
      <w:r>
        <w:t>of</w:t>
      </w:r>
      <w:r>
        <w:rPr>
          <w:spacing w:val="-8"/>
        </w:rPr>
        <w:t xml:space="preserve"> </w:t>
      </w:r>
      <w:r>
        <w:t>the</w:t>
      </w:r>
      <w:r>
        <w:rPr>
          <w:spacing w:val="-8"/>
        </w:rPr>
        <w:t xml:space="preserve"> </w:t>
      </w:r>
      <w:r>
        <w:t>2024</w:t>
      </w:r>
      <w:r>
        <w:rPr>
          <w:spacing w:val="-6"/>
        </w:rPr>
        <w:t xml:space="preserve"> </w:t>
      </w:r>
      <w:r>
        <w:t>Data List Decree was delayed by</w:t>
      </w:r>
      <w:r>
        <w:rPr>
          <w:spacing w:val="-3"/>
        </w:rPr>
        <w:t xml:space="preserve"> </w:t>
      </w:r>
      <w:r>
        <w:t>up to</w:t>
      </w:r>
      <w:r>
        <w:rPr>
          <w:spacing w:val="-1"/>
        </w:rPr>
        <w:t xml:space="preserve"> </w:t>
      </w:r>
      <w:r>
        <w:t>two</w:t>
      </w:r>
      <w:r>
        <w:rPr>
          <w:spacing w:val="-1"/>
        </w:rPr>
        <w:t xml:space="preserve"> </w:t>
      </w:r>
      <w:r>
        <w:t>months, solely due to pending</w:t>
      </w:r>
      <w:r>
        <w:rPr>
          <w:spacing w:val="-2"/>
        </w:rPr>
        <w:t xml:space="preserve"> </w:t>
      </w:r>
      <w:r>
        <w:t>disposition from the</w:t>
      </w:r>
      <w:r>
        <w:rPr>
          <w:spacing w:val="-3"/>
        </w:rPr>
        <w:t xml:space="preserve"> </w:t>
      </w:r>
      <w:r>
        <w:t>leadership</w:t>
      </w:r>
      <w:r>
        <w:rPr>
          <w:spacing w:val="-1"/>
        </w:rPr>
        <w:t xml:space="preserve"> </w:t>
      </w:r>
      <w:r>
        <w:t>at the Satu Data Secretariat.</w:t>
      </w:r>
    </w:p>
    <w:p w14:paraId="4D861377" w14:textId="77777777" w:rsidR="00BC24A8" w:rsidRDefault="00000000">
      <w:pPr>
        <w:pStyle w:val="BodyText"/>
        <w:spacing w:before="156" w:line="278" w:lineRule="auto"/>
        <w:ind w:left="143" w:right="562"/>
        <w:jc w:val="both"/>
      </w:pPr>
      <w:r>
        <w:t>In</w:t>
      </w:r>
      <w:r>
        <w:rPr>
          <w:spacing w:val="-7"/>
        </w:rPr>
        <w:t xml:space="preserve"> </w:t>
      </w:r>
      <w:r>
        <w:t>addition,</w:t>
      </w:r>
      <w:r>
        <w:rPr>
          <w:spacing w:val="-8"/>
        </w:rPr>
        <w:t xml:space="preserve"> </w:t>
      </w:r>
      <w:r>
        <w:t>the</w:t>
      </w:r>
      <w:r>
        <w:rPr>
          <w:spacing w:val="-11"/>
        </w:rPr>
        <w:t xml:space="preserve"> </w:t>
      </w:r>
      <w:r>
        <w:t>dynamics</w:t>
      </w:r>
      <w:r>
        <w:rPr>
          <w:spacing w:val="-9"/>
        </w:rPr>
        <w:t xml:space="preserve"> </w:t>
      </w:r>
      <w:r>
        <w:t>of</w:t>
      </w:r>
      <w:r>
        <w:rPr>
          <w:spacing w:val="-11"/>
        </w:rPr>
        <w:t xml:space="preserve"> </w:t>
      </w:r>
      <w:r>
        <w:t>communication</w:t>
      </w:r>
      <w:r>
        <w:rPr>
          <w:spacing w:val="-7"/>
        </w:rPr>
        <w:t xml:space="preserve"> </w:t>
      </w:r>
      <w:r>
        <w:t>within</w:t>
      </w:r>
      <w:r>
        <w:rPr>
          <w:spacing w:val="-9"/>
        </w:rPr>
        <w:t xml:space="preserve"> </w:t>
      </w:r>
      <w:r>
        <w:t>Provincial</w:t>
      </w:r>
      <w:r>
        <w:rPr>
          <w:spacing w:val="-8"/>
        </w:rPr>
        <w:t xml:space="preserve"> </w:t>
      </w:r>
      <w:r>
        <w:t>Agencies,</w:t>
      </w:r>
      <w:r>
        <w:rPr>
          <w:spacing w:val="-8"/>
        </w:rPr>
        <w:t xml:space="preserve"> </w:t>
      </w:r>
      <w:r>
        <w:t>particularly</w:t>
      </w:r>
      <w:r>
        <w:rPr>
          <w:spacing w:val="-11"/>
        </w:rPr>
        <w:t xml:space="preserve"> </w:t>
      </w:r>
      <w:r>
        <w:t>between</w:t>
      </w:r>
      <w:r>
        <w:rPr>
          <w:spacing w:val="-7"/>
        </w:rPr>
        <w:t xml:space="preserve"> </w:t>
      </w:r>
      <w:r>
        <w:t xml:space="preserve">leadership and operational staff, influence the implementation of activities. Staff were often reluctant to present recommendations from SKALA’s activities to their superiors. As a result, knowledge transfer has been </w:t>
      </w:r>
      <w:r>
        <w:rPr>
          <w:spacing w:val="-2"/>
        </w:rPr>
        <w:t>hindered.</w:t>
      </w:r>
    </w:p>
    <w:p w14:paraId="2BA589EF" w14:textId="77777777" w:rsidR="00BC24A8" w:rsidRDefault="00BC24A8">
      <w:pPr>
        <w:pStyle w:val="BodyText"/>
        <w:rPr>
          <w:sz w:val="20"/>
        </w:rPr>
      </w:pPr>
    </w:p>
    <w:p w14:paraId="08A9572A" w14:textId="77777777" w:rsidR="00BC24A8" w:rsidRDefault="00BC24A8">
      <w:pPr>
        <w:pStyle w:val="BodyText"/>
        <w:rPr>
          <w:sz w:val="20"/>
        </w:rPr>
      </w:pPr>
    </w:p>
    <w:p w14:paraId="6381A8B8" w14:textId="77777777" w:rsidR="00BC24A8" w:rsidRDefault="00BC24A8">
      <w:pPr>
        <w:pStyle w:val="BodyText"/>
        <w:rPr>
          <w:sz w:val="20"/>
        </w:rPr>
      </w:pPr>
    </w:p>
    <w:p w14:paraId="0032791C" w14:textId="77777777" w:rsidR="00BC24A8" w:rsidRDefault="00BC24A8">
      <w:pPr>
        <w:pStyle w:val="BodyText"/>
        <w:rPr>
          <w:sz w:val="20"/>
        </w:rPr>
      </w:pPr>
    </w:p>
    <w:p w14:paraId="2B5CC79E" w14:textId="77777777" w:rsidR="00BC24A8" w:rsidRDefault="00BC24A8">
      <w:pPr>
        <w:pStyle w:val="BodyText"/>
        <w:rPr>
          <w:sz w:val="20"/>
        </w:rPr>
      </w:pPr>
    </w:p>
    <w:p w14:paraId="2162C4D4" w14:textId="77777777" w:rsidR="00BC24A8" w:rsidRDefault="00000000">
      <w:pPr>
        <w:pStyle w:val="BodyText"/>
        <w:spacing w:before="77"/>
        <w:rPr>
          <w:sz w:val="20"/>
        </w:rPr>
      </w:pPr>
      <w:r>
        <w:rPr>
          <w:noProof/>
          <w:sz w:val="20"/>
        </w:rPr>
        <mc:AlternateContent>
          <mc:Choice Requires="wps">
            <w:drawing>
              <wp:anchor distT="0" distB="0" distL="0" distR="0" simplePos="0" relativeHeight="487614464" behindDoc="1" locked="0" layoutInCell="1" allowOverlap="1" wp14:anchorId="735CC322" wp14:editId="1411E470">
                <wp:simplePos x="0" y="0"/>
                <wp:positionH relativeFrom="page">
                  <wp:posOffset>900683</wp:posOffset>
                </wp:positionH>
                <wp:positionV relativeFrom="paragraph">
                  <wp:posOffset>219445</wp:posOffset>
                </wp:positionV>
                <wp:extent cx="1828800" cy="9525"/>
                <wp:effectExtent l="0" t="0" r="0" b="0"/>
                <wp:wrapTopAndBottom/>
                <wp:docPr id="143" name="Graphic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768491" id="Graphic 143" o:spid="_x0000_s1026" alt="&quot;&quot;" style="position:absolute;margin-left:70.9pt;margin-top:17.3pt;width:2in;height:.75pt;z-index:-157020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" path="m1828800,l,,,9143r1828800,l1828800,xe" fillcolor="black" stroked="f">
                <v:path arrowok="t"/>
                <w10:wrap type="topAndBottom" anchorx="page"/>
              </v:shape>
            </w:pict>
          </mc:Fallback>
        </mc:AlternateContent>
      </w:r>
    </w:p>
    <w:p w14:paraId="6525C55E" w14:textId="77777777" w:rsidR="00BC24A8" w:rsidRDefault="00BC24A8">
      <w:pPr>
        <w:pStyle w:val="BodyText"/>
        <w:spacing w:before="108"/>
        <w:rPr>
          <w:sz w:val="16"/>
        </w:rPr>
      </w:pPr>
    </w:p>
    <w:p w14:paraId="75118482" w14:textId="77777777" w:rsidR="00BC24A8" w:rsidRDefault="00000000">
      <w:pPr>
        <w:ind w:left="143"/>
        <w:rPr>
          <w:sz w:val="16"/>
        </w:rPr>
      </w:pPr>
      <w:bookmarkStart w:id="175" w:name="_bookmark118"/>
      <w:bookmarkEnd w:id="175"/>
      <w:r>
        <w:rPr>
          <w:color w:val="767070"/>
          <w:sz w:val="16"/>
          <w:vertAlign w:val="superscript"/>
        </w:rPr>
        <w:t>55</w:t>
      </w:r>
      <w:r>
        <w:rPr>
          <w:color w:val="767070"/>
          <w:spacing w:val="-7"/>
          <w:sz w:val="16"/>
        </w:rPr>
        <w:t xml:space="preserve"> </w:t>
      </w:r>
      <w:r>
        <w:rPr>
          <w:color w:val="767070"/>
          <w:sz w:val="16"/>
        </w:rPr>
        <w:t>Data</w:t>
      </w:r>
      <w:r>
        <w:rPr>
          <w:color w:val="767070"/>
          <w:spacing w:val="-8"/>
          <w:sz w:val="16"/>
        </w:rPr>
        <w:t xml:space="preserve"> </w:t>
      </w:r>
      <w:r>
        <w:rPr>
          <w:color w:val="767070"/>
          <w:sz w:val="16"/>
        </w:rPr>
        <w:t>obtained</w:t>
      </w:r>
      <w:r>
        <w:rPr>
          <w:color w:val="767070"/>
          <w:spacing w:val="-5"/>
          <w:sz w:val="16"/>
        </w:rPr>
        <w:t xml:space="preserve"> </w:t>
      </w:r>
      <w:r>
        <w:rPr>
          <w:color w:val="767070"/>
          <w:sz w:val="16"/>
        </w:rPr>
        <w:t>from</w:t>
      </w:r>
      <w:r>
        <w:rPr>
          <w:color w:val="767070"/>
          <w:spacing w:val="-7"/>
          <w:sz w:val="16"/>
        </w:rPr>
        <w:t xml:space="preserve"> </w:t>
      </w:r>
      <w:r>
        <w:rPr>
          <w:color w:val="767070"/>
          <w:sz w:val="16"/>
        </w:rPr>
        <w:t>the</w:t>
      </w:r>
      <w:r>
        <w:rPr>
          <w:color w:val="767070"/>
          <w:spacing w:val="-6"/>
          <w:sz w:val="16"/>
        </w:rPr>
        <w:t xml:space="preserve"> </w:t>
      </w:r>
      <w:r>
        <w:rPr>
          <w:color w:val="767070"/>
          <w:sz w:val="16"/>
        </w:rPr>
        <w:t>2024</w:t>
      </w:r>
      <w:r>
        <w:rPr>
          <w:color w:val="767070"/>
          <w:spacing w:val="-9"/>
          <w:sz w:val="16"/>
        </w:rPr>
        <w:t xml:space="preserve"> </w:t>
      </w:r>
      <w:r>
        <w:rPr>
          <w:color w:val="767070"/>
          <w:sz w:val="16"/>
        </w:rPr>
        <w:t>and</w:t>
      </w:r>
      <w:r>
        <w:rPr>
          <w:color w:val="767070"/>
          <w:spacing w:val="-5"/>
          <w:sz w:val="16"/>
        </w:rPr>
        <w:t xml:space="preserve"> </w:t>
      </w:r>
      <w:r>
        <w:rPr>
          <w:color w:val="767070"/>
          <w:sz w:val="16"/>
        </w:rPr>
        <w:t>2025</w:t>
      </w:r>
      <w:r>
        <w:rPr>
          <w:color w:val="767070"/>
          <w:spacing w:val="-7"/>
          <w:sz w:val="16"/>
        </w:rPr>
        <w:t xml:space="preserve"> </w:t>
      </w:r>
      <w:r>
        <w:rPr>
          <w:color w:val="767070"/>
          <w:sz w:val="16"/>
        </w:rPr>
        <w:t>Maluku</w:t>
      </w:r>
      <w:r>
        <w:rPr>
          <w:color w:val="767070"/>
          <w:spacing w:val="-6"/>
          <w:sz w:val="16"/>
        </w:rPr>
        <w:t xml:space="preserve"> </w:t>
      </w:r>
      <w:r>
        <w:rPr>
          <w:color w:val="767070"/>
          <w:sz w:val="16"/>
        </w:rPr>
        <w:t>Provincial</w:t>
      </w:r>
      <w:r>
        <w:rPr>
          <w:color w:val="767070"/>
          <w:spacing w:val="-6"/>
          <w:sz w:val="16"/>
        </w:rPr>
        <w:t xml:space="preserve"> </w:t>
      </w:r>
      <w:r>
        <w:rPr>
          <w:color w:val="767070"/>
          <w:sz w:val="16"/>
        </w:rPr>
        <w:t>Budget</w:t>
      </w:r>
      <w:r>
        <w:rPr>
          <w:color w:val="767070"/>
          <w:spacing w:val="-6"/>
          <w:sz w:val="16"/>
        </w:rPr>
        <w:t xml:space="preserve"> </w:t>
      </w:r>
      <w:r>
        <w:rPr>
          <w:color w:val="767070"/>
          <w:sz w:val="16"/>
        </w:rPr>
        <w:t>(APBD),</w:t>
      </w:r>
      <w:r>
        <w:rPr>
          <w:color w:val="767070"/>
          <w:spacing w:val="-8"/>
          <w:sz w:val="16"/>
        </w:rPr>
        <w:t xml:space="preserve"> </w:t>
      </w:r>
      <w:r>
        <w:rPr>
          <w:color w:val="767070"/>
          <w:sz w:val="16"/>
        </w:rPr>
        <w:t>for</w:t>
      </w:r>
      <w:r>
        <w:rPr>
          <w:color w:val="767070"/>
          <w:spacing w:val="-6"/>
          <w:sz w:val="16"/>
        </w:rPr>
        <w:t xml:space="preserve"> </w:t>
      </w:r>
      <w:r>
        <w:rPr>
          <w:color w:val="767070"/>
          <w:sz w:val="16"/>
        </w:rPr>
        <w:t>the</w:t>
      </w:r>
      <w:r>
        <w:rPr>
          <w:color w:val="767070"/>
          <w:spacing w:val="-7"/>
          <w:sz w:val="16"/>
        </w:rPr>
        <w:t xml:space="preserve"> </w:t>
      </w:r>
      <w:r>
        <w:rPr>
          <w:color w:val="767070"/>
          <w:sz w:val="16"/>
        </w:rPr>
        <w:t>2025</w:t>
      </w:r>
      <w:r>
        <w:rPr>
          <w:color w:val="767070"/>
          <w:spacing w:val="-8"/>
          <w:sz w:val="16"/>
        </w:rPr>
        <w:t xml:space="preserve"> </w:t>
      </w:r>
      <w:r>
        <w:rPr>
          <w:color w:val="767070"/>
          <w:sz w:val="16"/>
        </w:rPr>
        <w:t>APBD,</w:t>
      </w:r>
      <w:r>
        <w:rPr>
          <w:color w:val="767070"/>
          <w:spacing w:val="-7"/>
          <w:sz w:val="16"/>
        </w:rPr>
        <w:t xml:space="preserve"> </w:t>
      </w:r>
      <w:r>
        <w:rPr>
          <w:color w:val="767070"/>
          <w:sz w:val="16"/>
        </w:rPr>
        <w:t>APBD</w:t>
      </w:r>
      <w:r>
        <w:rPr>
          <w:color w:val="767070"/>
          <w:spacing w:val="-6"/>
          <w:sz w:val="16"/>
        </w:rPr>
        <w:t xml:space="preserve"> </w:t>
      </w:r>
      <w:r>
        <w:rPr>
          <w:color w:val="767070"/>
          <w:sz w:val="16"/>
        </w:rPr>
        <w:t>before</w:t>
      </w:r>
      <w:r>
        <w:rPr>
          <w:color w:val="767070"/>
          <w:spacing w:val="-7"/>
          <w:sz w:val="16"/>
        </w:rPr>
        <w:t xml:space="preserve"> </w:t>
      </w:r>
      <w:r>
        <w:rPr>
          <w:color w:val="767070"/>
          <w:sz w:val="16"/>
        </w:rPr>
        <w:t>rationalisation</w:t>
      </w:r>
      <w:r>
        <w:rPr>
          <w:color w:val="767070"/>
          <w:spacing w:val="-5"/>
          <w:sz w:val="16"/>
        </w:rPr>
        <w:t xml:space="preserve"> </w:t>
      </w:r>
      <w:r>
        <w:rPr>
          <w:color w:val="767070"/>
          <w:sz w:val="16"/>
        </w:rPr>
        <w:t>was</w:t>
      </w:r>
      <w:r>
        <w:rPr>
          <w:color w:val="767070"/>
          <w:spacing w:val="-6"/>
          <w:sz w:val="16"/>
        </w:rPr>
        <w:t xml:space="preserve"> </w:t>
      </w:r>
      <w:r>
        <w:rPr>
          <w:color w:val="767070"/>
          <w:spacing w:val="-4"/>
          <w:sz w:val="16"/>
        </w:rPr>
        <w:t>used</w:t>
      </w:r>
    </w:p>
    <w:p w14:paraId="3C155581" w14:textId="77777777" w:rsidR="00BC24A8" w:rsidRDefault="00BC24A8">
      <w:pPr>
        <w:rPr>
          <w:sz w:val="16"/>
        </w:rPr>
        <w:sectPr w:rsidR="00BC24A8">
          <w:pgSz w:w="11910" w:h="16840"/>
          <w:pgMar w:top="1360" w:right="850" w:bottom="1100" w:left="1275" w:header="0" w:footer="907" w:gutter="0"/>
          <w:cols w:space="720"/>
        </w:sectPr>
      </w:pPr>
    </w:p>
    <w:p w14:paraId="197E0D75" w14:textId="77777777" w:rsidR="00BC24A8" w:rsidRDefault="00000000">
      <w:pPr>
        <w:pStyle w:val="BodyText"/>
        <w:ind w:left="122"/>
        <w:rPr>
          <w:sz w:val="20"/>
        </w:rPr>
      </w:pPr>
      <w:r>
        <w:rPr>
          <w:noProof/>
          <w:sz w:val="20"/>
        </w:rPr>
        <w:lastRenderedPageBreak/>
        <mc:AlternateContent>
          <mc:Choice Requires="wpg">
            <w:drawing>
              <wp:inline distT="0" distB="0" distL="0" distR="0" wp14:anchorId="2E447E92" wp14:editId="6241CD28">
                <wp:extent cx="5662930" cy="1283970"/>
                <wp:effectExtent l="0" t="0" r="0" b="1905"/>
                <wp:docPr id="144" name="Group 144" descr="We are functional (staﬀ), but we feel like structural staﬀ, we’re not accustomed to directly sharing ideas with the leadership if there are ideas; instead, we wait for the leader to ask questions, and then we respond. Otherwise, yes, we just stay occupied with the structural tasks. (Regional Development Planning Agency/Bappeda, Maluku Policy Brief Worksho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2930" cy="1283970"/>
                          <a:chOff x="0" y="0"/>
                          <a:chExt cx="5662930" cy="1283970"/>
                        </a:xfrm>
                      </wpg:grpSpPr>
                      <wps:wsp>
                        <wps:cNvPr id="145" name="Graphic 145"/>
                        <wps:cNvSpPr/>
                        <wps:spPr>
                          <a:xfrm>
                            <a:off x="6350" y="153298"/>
                            <a:ext cx="5650230" cy="996315"/>
                          </a:xfrm>
                          <a:custGeom>
                            <a:avLst/>
                            <a:gdLst/>
                            <a:ahLst/>
                            <a:cxnLst/>
                            <a:rect l="l" t="t" r="r" b="b"/>
                            <a:pathLst>
                              <a:path w="5650230" h="996315">
                                <a:moveTo>
                                  <a:pt x="0" y="0"/>
                                </a:moveTo>
                                <a:lnTo>
                                  <a:pt x="5650230" y="0"/>
                                </a:lnTo>
                                <a:lnTo>
                                  <a:pt x="5650230" y="995730"/>
                                </a:lnTo>
                                <a:lnTo>
                                  <a:pt x="0" y="995730"/>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14" cstate="print"/>
                          <a:stretch>
                            <a:fillRect/>
                          </a:stretch>
                        </pic:blipFill>
                        <pic:spPr>
                          <a:xfrm>
                            <a:off x="75718" y="0"/>
                            <a:ext cx="223237" cy="205149"/>
                          </a:xfrm>
                          <a:prstGeom prst="rect">
                            <a:avLst/>
                          </a:prstGeom>
                        </pic:spPr>
                      </pic:pic>
                      <pic:pic xmlns:pic="http://schemas.openxmlformats.org/drawingml/2006/picture">
                        <pic:nvPicPr>
                          <pic:cNvPr id="147" name="Image 147"/>
                          <pic:cNvPicPr/>
                        </pic:nvPicPr>
                        <pic:blipFill>
                          <a:blip r:embed="rId20" cstate="print"/>
                          <a:stretch>
                            <a:fillRect/>
                          </a:stretch>
                        </pic:blipFill>
                        <pic:spPr>
                          <a:xfrm>
                            <a:off x="5360023" y="1078509"/>
                            <a:ext cx="223237" cy="205149"/>
                          </a:xfrm>
                          <a:prstGeom prst="rect">
                            <a:avLst/>
                          </a:prstGeom>
                        </pic:spPr>
                      </pic:pic>
                      <wps:wsp>
                        <wps:cNvPr id="148" name="Textbox 148"/>
                        <wps:cNvSpPr txBox="1"/>
                        <wps:spPr>
                          <a:xfrm>
                            <a:off x="0" y="0"/>
                            <a:ext cx="5662930" cy="1283970"/>
                          </a:xfrm>
                          <a:prstGeom prst="rect">
                            <a:avLst/>
                          </a:prstGeom>
                        </wps:spPr>
                        <wps:txbx>
                          <w:txbxContent>
                            <w:p w14:paraId="4B626F80" w14:textId="77777777" w:rsidR="00BC24A8" w:rsidRDefault="00BC24A8">
                              <w:pPr>
                                <w:spacing w:before="195"/>
                              </w:pPr>
                            </w:p>
                            <w:p w14:paraId="1A5C53EC" w14:textId="77777777" w:rsidR="00BC24A8" w:rsidRDefault="00000000">
                              <w:pPr>
                                <w:spacing w:before="1" w:line="283" w:lineRule="auto"/>
                                <w:ind w:left="307" w:right="304"/>
                                <w:jc w:val="both"/>
                                <w:rPr>
                                  <w:rFonts w:ascii="Calibri" w:hAnsi="Calibri"/>
                                  <w:i/>
                                  <w:sz w:val="18"/>
                                </w:rPr>
                              </w:pPr>
                              <w:r>
                                <w:rPr>
                                  <w:rFonts w:ascii="Times New Roman" w:hAnsi="Times New Roman"/>
                                  <w:b/>
                                  <w:i/>
                                  <w:color w:val="17365A"/>
                                </w:rPr>
                                <w:t xml:space="preserve">We are functional (staﬀ), but we feel like structural staﬀ, we’re not accustomed to directly sharing ideas with the leadership if there are ideas; instead, we wait for the leader to ask </w:t>
                              </w:r>
                              <w:r>
                                <w:rPr>
                                  <w:rFonts w:ascii="Times New Roman" w:hAnsi="Times New Roman"/>
                                  <w:b/>
                                  <w:i/>
                                  <w:color w:val="17365A"/>
                                  <w:spacing w:val="-2"/>
                                </w:rPr>
                                <w:t>questions,</w:t>
                              </w:r>
                              <w:r>
                                <w:rPr>
                                  <w:rFonts w:ascii="Times New Roman" w:hAnsi="Times New Roman"/>
                                  <w:b/>
                                  <w:i/>
                                  <w:color w:val="17365A"/>
                                  <w:spacing w:val="-12"/>
                                </w:rPr>
                                <w:t xml:space="preserve"> </w:t>
                              </w:r>
                              <w:r>
                                <w:rPr>
                                  <w:rFonts w:ascii="Times New Roman" w:hAnsi="Times New Roman"/>
                                  <w:b/>
                                  <w:i/>
                                  <w:color w:val="17365A"/>
                                  <w:spacing w:val="-2"/>
                                </w:rPr>
                                <w:t>and</w:t>
                              </w:r>
                              <w:r>
                                <w:rPr>
                                  <w:rFonts w:ascii="Times New Roman" w:hAnsi="Times New Roman"/>
                                  <w:b/>
                                  <w:i/>
                                  <w:color w:val="17365A"/>
                                  <w:spacing w:val="-12"/>
                                </w:rPr>
                                <w:t xml:space="preserve"> </w:t>
                              </w:r>
                              <w:r>
                                <w:rPr>
                                  <w:rFonts w:ascii="Times New Roman" w:hAnsi="Times New Roman"/>
                                  <w:b/>
                                  <w:i/>
                                  <w:color w:val="17365A"/>
                                  <w:spacing w:val="-2"/>
                                </w:rPr>
                                <w:t>then</w:t>
                              </w:r>
                              <w:r>
                                <w:rPr>
                                  <w:rFonts w:ascii="Times New Roman" w:hAnsi="Times New Roman"/>
                                  <w:b/>
                                  <w:i/>
                                  <w:color w:val="17365A"/>
                                  <w:spacing w:val="-7"/>
                                </w:rPr>
                                <w:t xml:space="preserve"> </w:t>
                              </w:r>
                              <w:r>
                                <w:rPr>
                                  <w:rFonts w:ascii="Times New Roman" w:hAnsi="Times New Roman"/>
                                  <w:b/>
                                  <w:i/>
                                  <w:color w:val="17365A"/>
                                  <w:spacing w:val="-2"/>
                                </w:rPr>
                                <w:t>we</w:t>
                              </w:r>
                              <w:r>
                                <w:rPr>
                                  <w:rFonts w:ascii="Times New Roman" w:hAnsi="Times New Roman"/>
                                  <w:b/>
                                  <w:i/>
                                  <w:color w:val="17365A"/>
                                  <w:spacing w:val="-10"/>
                                </w:rPr>
                                <w:t xml:space="preserve"> </w:t>
                              </w:r>
                              <w:r>
                                <w:rPr>
                                  <w:rFonts w:ascii="Times New Roman" w:hAnsi="Times New Roman"/>
                                  <w:b/>
                                  <w:i/>
                                  <w:color w:val="17365A"/>
                                  <w:spacing w:val="-2"/>
                                </w:rPr>
                                <w:t>respond.</w:t>
                              </w:r>
                              <w:r>
                                <w:rPr>
                                  <w:rFonts w:ascii="Times New Roman" w:hAnsi="Times New Roman"/>
                                  <w:b/>
                                  <w:i/>
                                  <w:color w:val="17365A"/>
                                  <w:spacing w:val="-10"/>
                                </w:rPr>
                                <w:t xml:space="preserve"> </w:t>
                              </w:r>
                              <w:r>
                                <w:rPr>
                                  <w:rFonts w:ascii="Times New Roman" w:hAnsi="Times New Roman"/>
                                  <w:b/>
                                  <w:i/>
                                  <w:color w:val="17365A"/>
                                  <w:spacing w:val="-2"/>
                                </w:rPr>
                                <w:t>Otherwise,</w:t>
                              </w:r>
                              <w:r>
                                <w:rPr>
                                  <w:rFonts w:ascii="Times New Roman" w:hAnsi="Times New Roman"/>
                                  <w:b/>
                                  <w:i/>
                                  <w:color w:val="17365A"/>
                                  <w:spacing w:val="-10"/>
                                </w:rPr>
                                <w:t xml:space="preserve"> </w:t>
                              </w:r>
                              <w:r>
                                <w:rPr>
                                  <w:rFonts w:ascii="Times New Roman" w:hAnsi="Times New Roman"/>
                                  <w:b/>
                                  <w:i/>
                                  <w:color w:val="17365A"/>
                                  <w:spacing w:val="-2"/>
                                </w:rPr>
                                <w:t>yes,</w:t>
                              </w:r>
                              <w:r>
                                <w:rPr>
                                  <w:rFonts w:ascii="Times New Roman" w:hAnsi="Times New Roman"/>
                                  <w:b/>
                                  <w:i/>
                                  <w:color w:val="17365A"/>
                                  <w:spacing w:val="-12"/>
                                </w:rPr>
                                <w:t xml:space="preserve"> </w:t>
                              </w:r>
                              <w:r>
                                <w:rPr>
                                  <w:rFonts w:ascii="Times New Roman" w:hAnsi="Times New Roman"/>
                                  <w:b/>
                                  <w:i/>
                                  <w:color w:val="17365A"/>
                                  <w:spacing w:val="-2"/>
                                </w:rPr>
                                <w:t>we</w:t>
                              </w:r>
                              <w:r>
                                <w:rPr>
                                  <w:rFonts w:ascii="Times New Roman" w:hAnsi="Times New Roman"/>
                                  <w:b/>
                                  <w:i/>
                                  <w:color w:val="17365A"/>
                                  <w:spacing w:val="-9"/>
                                </w:rPr>
                                <w:t xml:space="preserve"> </w:t>
                              </w:r>
                              <w:r>
                                <w:rPr>
                                  <w:rFonts w:ascii="Times New Roman" w:hAnsi="Times New Roman"/>
                                  <w:b/>
                                  <w:i/>
                                  <w:color w:val="17365A"/>
                                  <w:spacing w:val="-2"/>
                                </w:rPr>
                                <w:t>just</w:t>
                              </w:r>
                              <w:r>
                                <w:rPr>
                                  <w:rFonts w:ascii="Times New Roman" w:hAnsi="Times New Roman"/>
                                  <w:b/>
                                  <w:i/>
                                  <w:color w:val="17365A"/>
                                  <w:spacing w:val="-10"/>
                                </w:rPr>
                                <w:t xml:space="preserve"> </w:t>
                              </w:r>
                              <w:r>
                                <w:rPr>
                                  <w:rFonts w:ascii="Times New Roman" w:hAnsi="Times New Roman"/>
                                  <w:b/>
                                  <w:i/>
                                  <w:color w:val="17365A"/>
                                  <w:spacing w:val="-2"/>
                                </w:rPr>
                                <w:t>stay</w:t>
                              </w:r>
                              <w:r>
                                <w:rPr>
                                  <w:rFonts w:ascii="Times New Roman" w:hAnsi="Times New Roman"/>
                                  <w:b/>
                                  <w:i/>
                                  <w:color w:val="17365A"/>
                                  <w:spacing w:val="-8"/>
                                </w:rPr>
                                <w:t xml:space="preserve"> </w:t>
                              </w:r>
                              <w:r>
                                <w:rPr>
                                  <w:rFonts w:ascii="Times New Roman" w:hAnsi="Times New Roman"/>
                                  <w:b/>
                                  <w:i/>
                                  <w:color w:val="17365A"/>
                                  <w:spacing w:val="-2"/>
                                </w:rPr>
                                <w:t>occupied</w:t>
                              </w:r>
                              <w:r>
                                <w:rPr>
                                  <w:rFonts w:ascii="Times New Roman" w:hAnsi="Times New Roman"/>
                                  <w:b/>
                                  <w:i/>
                                  <w:color w:val="17365A"/>
                                  <w:spacing w:val="-10"/>
                                </w:rPr>
                                <w:t xml:space="preserve"> </w:t>
                              </w:r>
                              <w:r>
                                <w:rPr>
                                  <w:rFonts w:ascii="Times New Roman" w:hAnsi="Times New Roman"/>
                                  <w:b/>
                                  <w:i/>
                                  <w:color w:val="17365A"/>
                                  <w:spacing w:val="-2"/>
                                </w:rPr>
                                <w:t>with</w:t>
                              </w:r>
                              <w:r>
                                <w:rPr>
                                  <w:rFonts w:ascii="Times New Roman" w:hAnsi="Times New Roman"/>
                                  <w:b/>
                                  <w:i/>
                                  <w:color w:val="17365A"/>
                                  <w:spacing w:val="-8"/>
                                </w:rPr>
                                <w:t xml:space="preserve"> </w:t>
                              </w:r>
                              <w:r>
                                <w:rPr>
                                  <w:rFonts w:ascii="Times New Roman" w:hAnsi="Times New Roman"/>
                                  <w:b/>
                                  <w:i/>
                                  <w:color w:val="17365A"/>
                                  <w:spacing w:val="-2"/>
                                </w:rPr>
                                <w:t>the</w:t>
                              </w:r>
                              <w:r>
                                <w:rPr>
                                  <w:rFonts w:ascii="Times New Roman" w:hAnsi="Times New Roman"/>
                                  <w:b/>
                                  <w:i/>
                                  <w:color w:val="17365A"/>
                                  <w:spacing w:val="-10"/>
                                </w:rPr>
                                <w:t xml:space="preserve"> </w:t>
                              </w:r>
                              <w:r>
                                <w:rPr>
                                  <w:rFonts w:ascii="Times New Roman" w:hAnsi="Times New Roman"/>
                                  <w:b/>
                                  <w:i/>
                                  <w:color w:val="17365A"/>
                                  <w:spacing w:val="-2"/>
                                </w:rPr>
                                <w:t>structural</w:t>
                              </w:r>
                              <w:r>
                                <w:rPr>
                                  <w:rFonts w:ascii="Times New Roman" w:hAnsi="Times New Roman"/>
                                  <w:b/>
                                  <w:i/>
                                  <w:color w:val="17365A"/>
                                  <w:spacing w:val="-10"/>
                                </w:rPr>
                                <w:t xml:space="preserve"> </w:t>
                              </w:r>
                              <w:r>
                                <w:rPr>
                                  <w:rFonts w:ascii="Times New Roman" w:hAnsi="Times New Roman"/>
                                  <w:b/>
                                  <w:i/>
                                  <w:color w:val="17365A"/>
                                  <w:spacing w:val="-2"/>
                                </w:rPr>
                                <w:t xml:space="preserve">tasks. </w:t>
                              </w:r>
                              <w:r>
                                <w:rPr>
                                  <w:rFonts w:ascii="Calibri" w:hAnsi="Calibri"/>
                                  <w:i/>
                                  <w:color w:val="767070"/>
                                  <w:sz w:val="18"/>
                                </w:rPr>
                                <w:t>(Regional Development Planning Agency/Bappeda, Maluku Policy Brief Workshop)</w:t>
                              </w:r>
                            </w:p>
                          </w:txbxContent>
                        </wps:txbx>
                        <wps:bodyPr wrap="square" lIns="0" tIns="0" rIns="0" bIns="0" rtlCol="0">
                          <a:noAutofit/>
                        </wps:bodyPr>
                      </wps:wsp>
                    </wpg:wgp>
                  </a:graphicData>
                </a:graphic>
              </wp:inline>
            </w:drawing>
          </mc:Choice>
          <mc:Fallback>
            <w:pict>
              <v:group w14:anchorId="2E447E92" id="Group 144" o:spid="_x0000_s1045" alt="We are functional (staﬀ), but we feel like structural staﬀ, we’re not accustomed to directly sharing ideas with the leadership if there are ideas; instead, we wait for the leader to ask questions, and then we respond. Otherwise, yes, we just stay occupied with the structural tasks. (Regional Development Planning Agency/Bappeda, Maluku Policy Brief Workshop)" style="width:445.9pt;height:101.1pt;mso-position-horizontal-relative:char;mso-position-vertical-relative:line" coordsize="56629,12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">
                <v:shape id="Graphic 145" o:spid="_x0000_s1046" style="position:absolute;left:63;top:1532;width:56502;height:9964;visibility:visible;mso-wrap-style:square;v-text-anchor:top" coordsize="5650230,99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" path="m,l5650230,r,995730l,995730,,xe" filled="f" strokecolor="#17365a" strokeweight="1pt">
                  <v:path arrowok="t"/>
                </v:shape>
                <v:shape id="Image 146" o:spid="_x0000_s1047" type="#_x0000_t75" style="position:absolute;left:757;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">
                  <v:imagedata r:id="rId16" o:title=""/>
                </v:shape>
                <v:shape id="Image 147" o:spid="_x0000_s1048" type="#_x0000_t75" style="position:absolute;left:53600;top:10785;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">
                  <v:imagedata r:id="rId21" o:title=""/>
                </v:shape>
                <v:shape id="Textbox 148" o:spid="_x0000_s1049" type="#_x0000_t202" style="position:absolute;width:56629;height:1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B626F80" w14:textId="77777777" w:rsidR="00BC24A8" w:rsidRDefault="00BC24A8">
                        <w:pPr>
                          <w:spacing w:before="195"/>
                        </w:pPr>
                      </w:p>
                      <w:p w14:paraId="1A5C53EC" w14:textId="77777777" w:rsidR="00BC24A8" w:rsidRDefault="00000000">
                        <w:pPr>
                          <w:spacing w:before="1" w:line="283" w:lineRule="auto"/>
                          <w:ind w:left="307" w:right="304"/>
                          <w:jc w:val="both"/>
                          <w:rPr>
                            <w:rFonts w:ascii="Calibri" w:hAnsi="Calibri"/>
                            <w:i/>
                            <w:sz w:val="18"/>
                          </w:rPr>
                        </w:pPr>
                        <w:r>
                          <w:rPr>
                            <w:rFonts w:ascii="Times New Roman" w:hAnsi="Times New Roman"/>
                            <w:b/>
                            <w:i/>
                            <w:color w:val="17365A"/>
                          </w:rPr>
                          <w:t xml:space="preserve">We are functional (staﬀ), but we feel like structural staﬀ, we’re not accustomed to directly sharing ideas with the leadership if there are ideas; instead, we wait for the leader to ask </w:t>
                        </w:r>
                        <w:r>
                          <w:rPr>
                            <w:rFonts w:ascii="Times New Roman" w:hAnsi="Times New Roman"/>
                            <w:b/>
                            <w:i/>
                            <w:color w:val="17365A"/>
                            <w:spacing w:val="-2"/>
                          </w:rPr>
                          <w:t>questions,</w:t>
                        </w:r>
                        <w:r>
                          <w:rPr>
                            <w:rFonts w:ascii="Times New Roman" w:hAnsi="Times New Roman"/>
                            <w:b/>
                            <w:i/>
                            <w:color w:val="17365A"/>
                            <w:spacing w:val="-12"/>
                          </w:rPr>
                          <w:t xml:space="preserve"> </w:t>
                        </w:r>
                        <w:r>
                          <w:rPr>
                            <w:rFonts w:ascii="Times New Roman" w:hAnsi="Times New Roman"/>
                            <w:b/>
                            <w:i/>
                            <w:color w:val="17365A"/>
                            <w:spacing w:val="-2"/>
                          </w:rPr>
                          <w:t>and</w:t>
                        </w:r>
                        <w:r>
                          <w:rPr>
                            <w:rFonts w:ascii="Times New Roman" w:hAnsi="Times New Roman"/>
                            <w:b/>
                            <w:i/>
                            <w:color w:val="17365A"/>
                            <w:spacing w:val="-12"/>
                          </w:rPr>
                          <w:t xml:space="preserve"> </w:t>
                        </w:r>
                        <w:r>
                          <w:rPr>
                            <w:rFonts w:ascii="Times New Roman" w:hAnsi="Times New Roman"/>
                            <w:b/>
                            <w:i/>
                            <w:color w:val="17365A"/>
                            <w:spacing w:val="-2"/>
                          </w:rPr>
                          <w:t>then</w:t>
                        </w:r>
                        <w:r>
                          <w:rPr>
                            <w:rFonts w:ascii="Times New Roman" w:hAnsi="Times New Roman"/>
                            <w:b/>
                            <w:i/>
                            <w:color w:val="17365A"/>
                            <w:spacing w:val="-7"/>
                          </w:rPr>
                          <w:t xml:space="preserve"> </w:t>
                        </w:r>
                        <w:r>
                          <w:rPr>
                            <w:rFonts w:ascii="Times New Roman" w:hAnsi="Times New Roman"/>
                            <w:b/>
                            <w:i/>
                            <w:color w:val="17365A"/>
                            <w:spacing w:val="-2"/>
                          </w:rPr>
                          <w:t>we</w:t>
                        </w:r>
                        <w:r>
                          <w:rPr>
                            <w:rFonts w:ascii="Times New Roman" w:hAnsi="Times New Roman"/>
                            <w:b/>
                            <w:i/>
                            <w:color w:val="17365A"/>
                            <w:spacing w:val="-10"/>
                          </w:rPr>
                          <w:t xml:space="preserve"> </w:t>
                        </w:r>
                        <w:r>
                          <w:rPr>
                            <w:rFonts w:ascii="Times New Roman" w:hAnsi="Times New Roman"/>
                            <w:b/>
                            <w:i/>
                            <w:color w:val="17365A"/>
                            <w:spacing w:val="-2"/>
                          </w:rPr>
                          <w:t>respond.</w:t>
                        </w:r>
                        <w:r>
                          <w:rPr>
                            <w:rFonts w:ascii="Times New Roman" w:hAnsi="Times New Roman"/>
                            <w:b/>
                            <w:i/>
                            <w:color w:val="17365A"/>
                            <w:spacing w:val="-10"/>
                          </w:rPr>
                          <w:t xml:space="preserve"> </w:t>
                        </w:r>
                        <w:r>
                          <w:rPr>
                            <w:rFonts w:ascii="Times New Roman" w:hAnsi="Times New Roman"/>
                            <w:b/>
                            <w:i/>
                            <w:color w:val="17365A"/>
                            <w:spacing w:val="-2"/>
                          </w:rPr>
                          <w:t>Otherwise,</w:t>
                        </w:r>
                        <w:r>
                          <w:rPr>
                            <w:rFonts w:ascii="Times New Roman" w:hAnsi="Times New Roman"/>
                            <w:b/>
                            <w:i/>
                            <w:color w:val="17365A"/>
                            <w:spacing w:val="-10"/>
                          </w:rPr>
                          <w:t xml:space="preserve"> </w:t>
                        </w:r>
                        <w:r>
                          <w:rPr>
                            <w:rFonts w:ascii="Times New Roman" w:hAnsi="Times New Roman"/>
                            <w:b/>
                            <w:i/>
                            <w:color w:val="17365A"/>
                            <w:spacing w:val="-2"/>
                          </w:rPr>
                          <w:t>yes,</w:t>
                        </w:r>
                        <w:r>
                          <w:rPr>
                            <w:rFonts w:ascii="Times New Roman" w:hAnsi="Times New Roman"/>
                            <w:b/>
                            <w:i/>
                            <w:color w:val="17365A"/>
                            <w:spacing w:val="-12"/>
                          </w:rPr>
                          <w:t xml:space="preserve"> </w:t>
                        </w:r>
                        <w:r>
                          <w:rPr>
                            <w:rFonts w:ascii="Times New Roman" w:hAnsi="Times New Roman"/>
                            <w:b/>
                            <w:i/>
                            <w:color w:val="17365A"/>
                            <w:spacing w:val="-2"/>
                          </w:rPr>
                          <w:t>we</w:t>
                        </w:r>
                        <w:r>
                          <w:rPr>
                            <w:rFonts w:ascii="Times New Roman" w:hAnsi="Times New Roman"/>
                            <w:b/>
                            <w:i/>
                            <w:color w:val="17365A"/>
                            <w:spacing w:val="-9"/>
                          </w:rPr>
                          <w:t xml:space="preserve"> </w:t>
                        </w:r>
                        <w:r>
                          <w:rPr>
                            <w:rFonts w:ascii="Times New Roman" w:hAnsi="Times New Roman"/>
                            <w:b/>
                            <w:i/>
                            <w:color w:val="17365A"/>
                            <w:spacing w:val="-2"/>
                          </w:rPr>
                          <w:t>just</w:t>
                        </w:r>
                        <w:r>
                          <w:rPr>
                            <w:rFonts w:ascii="Times New Roman" w:hAnsi="Times New Roman"/>
                            <w:b/>
                            <w:i/>
                            <w:color w:val="17365A"/>
                            <w:spacing w:val="-10"/>
                          </w:rPr>
                          <w:t xml:space="preserve"> </w:t>
                        </w:r>
                        <w:r>
                          <w:rPr>
                            <w:rFonts w:ascii="Times New Roman" w:hAnsi="Times New Roman"/>
                            <w:b/>
                            <w:i/>
                            <w:color w:val="17365A"/>
                            <w:spacing w:val="-2"/>
                          </w:rPr>
                          <w:t>stay</w:t>
                        </w:r>
                        <w:r>
                          <w:rPr>
                            <w:rFonts w:ascii="Times New Roman" w:hAnsi="Times New Roman"/>
                            <w:b/>
                            <w:i/>
                            <w:color w:val="17365A"/>
                            <w:spacing w:val="-8"/>
                          </w:rPr>
                          <w:t xml:space="preserve"> </w:t>
                        </w:r>
                        <w:r>
                          <w:rPr>
                            <w:rFonts w:ascii="Times New Roman" w:hAnsi="Times New Roman"/>
                            <w:b/>
                            <w:i/>
                            <w:color w:val="17365A"/>
                            <w:spacing w:val="-2"/>
                          </w:rPr>
                          <w:t>occupied</w:t>
                        </w:r>
                        <w:r>
                          <w:rPr>
                            <w:rFonts w:ascii="Times New Roman" w:hAnsi="Times New Roman"/>
                            <w:b/>
                            <w:i/>
                            <w:color w:val="17365A"/>
                            <w:spacing w:val="-10"/>
                          </w:rPr>
                          <w:t xml:space="preserve"> </w:t>
                        </w:r>
                        <w:r>
                          <w:rPr>
                            <w:rFonts w:ascii="Times New Roman" w:hAnsi="Times New Roman"/>
                            <w:b/>
                            <w:i/>
                            <w:color w:val="17365A"/>
                            <w:spacing w:val="-2"/>
                          </w:rPr>
                          <w:t>with</w:t>
                        </w:r>
                        <w:r>
                          <w:rPr>
                            <w:rFonts w:ascii="Times New Roman" w:hAnsi="Times New Roman"/>
                            <w:b/>
                            <w:i/>
                            <w:color w:val="17365A"/>
                            <w:spacing w:val="-8"/>
                          </w:rPr>
                          <w:t xml:space="preserve"> </w:t>
                        </w:r>
                        <w:r>
                          <w:rPr>
                            <w:rFonts w:ascii="Times New Roman" w:hAnsi="Times New Roman"/>
                            <w:b/>
                            <w:i/>
                            <w:color w:val="17365A"/>
                            <w:spacing w:val="-2"/>
                          </w:rPr>
                          <w:t>the</w:t>
                        </w:r>
                        <w:r>
                          <w:rPr>
                            <w:rFonts w:ascii="Times New Roman" w:hAnsi="Times New Roman"/>
                            <w:b/>
                            <w:i/>
                            <w:color w:val="17365A"/>
                            <w:spacing w:val="-10"/>
                          </w:rPr>
                          <w:t xml:space="preserve"> </w:t>
                        </w:r>
                        <w:r>
                          <w:rPr>
                            <w:rFonts w:ascii="Times New Roman" w:hAnsi="Times New Roman"/>
                            <w:b/>
                            <w:i/>
                            <w:color w:val="17365A"/>
                            <w:spacing w:val="-2"/>
                          </w:rPr>
                          <w:t>structural</w:t>
                        </w:r>
                        <w:r>
                          <w:rPr>
                            <w:rFonts w:ascii="Times New Roman" w:hAnsi="Times New Roman"/>
                            <w:b/>
                            <w:i/>
                            <w:color w:val="17365A"/>
                            <w:spacing w:val="-10"/>
                          </w:rPr>
                          <w:t xml:space="preserve"> </w:t>
                        </w:r>
                        <w:r>
                          <w:rPr>
                            <w:rFonts w:ascii="Times New Roman" w:hAnsi="Times New Roman"/>
                            <w:b/>
                            <w:i/>
                            <w:color w:val="17365A"/>
                            <w:spacing w:val="-2"/>
                          </w:rPr>
                          <w:t xml:space="preserve">tasks. </w:t>
                        </w:r>
                        <w:r>
                          <w:rPr>
                            <w:rFonts w:ascii="Calibri" w:hAnsi="Calibri"/>
                            <w:i/>
                            <w:color w:val="767070"/>
                            <w:sz w:val="18"/>
                          </w:rPr>
                          <w:t>(Regional Development Planning Agency/Bappeda, Maluku Policy Brief Workshop)</w:t>
                        </w:r>
                      </w:p>
                    </w:txbxContent>
                  </v:textbox>
                </v:shape>
                <w10:anchorlock/>
              </v:group>
            </w:pict>
          </mc:Fallback>
        </mc:AlternateContent>
      </w:r>
    </w:p>
    <w:p w14:paraId="13D701F2" w14:textId="77777777" w:rsidR="00BC24A8" w:rsidRDefault="00BC24A8">
      <w:pPr>
        <w:pStyle w:val="BodyText"/>
        <w:spacing w:before="176"/>
      </w:pPr>
    </w:p>
    <w:p w14:paraId="3A725C7C" w14:textId="77777777" w:rsidR="00BC24A8" w:rsidRDefault="00000000">
      <w:pPr>
        <w:pStyle w:val="BodyText"/>
        <w:spacing w:line="278" w:lineRule="auto"/>
        <w:ind w:left="143" w:right="564"/>
        <w:jc w:val="both"/>
      </w:pPr>
      <w:r>
        <w:t>The</w:t>
      </w:r>
      <w:r>
        <w:rPr>
          <w:spacing w:val="-1"/>
        </w:rPr>
        <w:t xml:space="preserve"> </w:t>
      </w:r>
      <w:r>
        <w:t>transition to the</w:t>
      </w:r>
      <w:r>
        <w:rPr>
          <w:spacing w:val="-1"/>
        </w:rPr>
        <w:t xml:space="preserve"> </w:t>
      </w:r>
      <w:r>
        <w:t>new</w:t>
      </w:r>
      <w:r>
        <w:rPr>
          <w:spacing w:val="-1"/>
        </w:rPr>
        <w:t xml:space="preserve"> </w:t>
      </w:r>
      <w:r>
        <w:t>head of</w:t>
      </w:r>
      <w:r>
        <w:rPr>
          <w:spacing w:val="-1"/>
        </w:rPr>
        <w:t xml:space="preserve"> </w:t>
      </w:r>
      <w:r>
        <w:t>the</w:t>
      </w:r>
      <w:r>
        <w:rPr>
          <w:spacing w:val="-1"/>
        </w:rPr>
        <w:t xml:space="preserve"> </w:t>
      </w:r>
      <w:r>
        <w:t>province/leadership also affects the</w:t>
      </w:r>
      <w:r>
        <w:rPr>
          <w:spacing w:val="-1"/>
        </w:rPr>
        <w:t xml:space="preserve"> </w:t>
      </w:r>
      <w:r>
        <w:t>implementation of</w:t>
      </w:r>
      <w:r>
        <w:rPr>
          <w:spacing w:val="-1"/>
        </w:rPr>
        <w:t xml:space="preserve"> </w:t>
      </w:r>
      <w:r>
        <w:t>activities in</w:t>
      </w:r>
      <w:r>
        <w:rPr>
          <w:spacing w:val="-6"/>
        </w:rPr>
        <w:t xml:space="preserve"> </w:t>
      </w:r>
      <w:r>
        <w:t>this</w:t>
      </w:r>
      <w:r>
        <w:rPr>
          <w:spacing w:val="-10"/>
        </w:rPr>
        <w:t xml:space="preserve"> </w:t>
      </w:r>
      <w:r>
        <w:t>semester.</w:t>
      </w:r>
      <w:r>
        <w:rPr>
          <w:spacing w:val="-6"/>
        </w:rPr>
        <w:t xml:space="preserve"> </w:t>
      </w:r>
      <w:r>
        <w:t>Changes</w:t>
      </w:r>
      <w:r>
        <w:rPr>
          <w:spacing w:val="-8"/>
        </w:rPr>
        <w:t xml:space="preserve"> </w:t>
      </w:r>
      <w:r>
        <w:t>or</w:t>
      </w:r>
      <w:r>
        <w:rPr>
          <w:spacing w:val="-8"/>
        </w:rPr>
        <w:t xml:space="preserve"> </w:t>
      </w:r>
      <w:r>
        <w:t>mutations</w:t>
      </w:r>
      <w:r>
        <w:rPr>
          <w:spacing w:val="-8"/>
        </w:rPr>
        <w:t xml:space="preserve"> </w:t>
      </w:r>
      <w:r>
        <w:t>of</w:t>
      </w:r>
      <w:r>
        <w:rPr>
          <w:spacing w:val="-9"/>
        </w:rPr>
        <w:t xml:space="preserve"> </w:t>
      </w:r>
      <w:r>
        <w:t>the</w:t>
      </w:r>
      <w:r>
        <w:rPr>
          <w:spacing w:val="-8"/>
        </w:rPr>
        <w:t xml:space="preserve"> </w:t>
      </w:r>
      <w:r>
        <w:t>leadership</w:t>
      </w:r>
      <w:r>
        <w:rPr>
          <w:spacing w:val="-6"/>
        </w:rPr>
        <w:t xml:space="preserve"> </w:t>
      </w:r>
      <w:r>
        <w:t>within</w:t>
      </w:r>
      <w:r>
        <w:rPr>
          <w:spacing w:val="-8"/>
        </w:rPr>
        <w:t xml:space="preserve"> </w:t>
      </w:r>
      <w:r>
        <w:t>the</w:t>
      </w:r>
      <w:r>
        <w:rPr>
          <w:spacing w:val="-8"/>
        </w:rPr>
        <w:t xml:space="preserve"> </w:t>
      </w:r>
      <w:r>
        <w:t>key</w:t>
      </w:r>
      <w:r>
        <w:rPr>
          <w:spacing w:val="-8"/>
        </w:rPr>
        <w:t xml:space="preserve"> </w:t>
      </w:r>
      <w:r>
        <w:t>partner</w:t>
      </w:r>
      <w:r>
        <w:rPr>
          <w:spacing w:val="-8"/>
        </w:rPr>
        <w:t xml:space="preserve"> </w:t>
      </w:r>
      <w:r>
        <w:t>Provincial</w:t>
      </w:r>
      <w:r>
        <w:rPr>
          <w:spacing w:val="-8"/>
        </w:rPr>
        <w:t xml:space="preserve"> </w:t>
      </w:r>
      <w:r>
        <w:t>Agencies</w:t>
      </w:r>
      <w:r>
        <w:rPr>
          <w:spacing w:val="-6"/>
        </w:rPr>
        <w:t xml:space="preserve"> </w:t>
      </w:r>
      <w:r>
        <w:t>also influence</w:t>
      </w:r>
      <w:r>
        <w:rPr>
          <w:spacing w:val="-10"/>
        </w:rPr>
        <w:t xml:space="preserve"> </w:t>
      </w:r>
      <w:r>
        <w:t>thRegie</w:t>
      </w:r>
      <w:r>
        <w:rPr>
          <w:spacing w:val="-10"/>
        </w:rPr>
        <w:t xml:space="preserve"> </w:t>
      </w:r>
      <w:r>
        <w:t>work</w:t>
      </w:r>
      <w:r>
        <w:rPr>
          <w:spacing w:val="-8"/>
        </w:rPr>
        <w:t xml:space="preserve"> </w:t>
      </w:r>
      <w:r>
        <w:t>motivation</w:t>
      </w:r>
      <w:r>
        <w:rPr>
          <w:spacing w:val="-8"/>
        </w:rPr>
        <w:t xml:space="preserve"> </w:t>
      </w:r>
      <w:r>
        <w:t>of</w:t>
      </w:r>
      <w:r>
        <w:rPr>
          <w:spacing w:val="-10"/>
        </w:rPr>
        <w:t xml:space="preserve"> </w:t>
      </w:r>
      <w:r>
        <w:t>technical</w:t>
      </w:r>
      <w:r>
        <w:rPr>
          <w:spacing w:val="-10"/>
        </w:rPr>
        <w:t xml:space="preserve"> </w:t>
      </w:r>
      <w:r>
        <w:t>implementation</w:t>
      </w:r>
      <w:r>
        <w:rPr>
          <w:spacing w:val="-8"/>
        </w:rPr>
        <w:t xml:space="preserve"> </w:t>
      </w:r>
      <w:r>
        <w:t>staff,</w:t>
      </w:r>
      <w:r>
        <w:rPr>
          <w:spacing w:val="-8"/>
        </w:rPr>
        <w:t xml:space="preserve"> </w:t>
      </w:r>
      <w:r>
        <w:t>resulting</w:t>
      </w:r>
      <w:r>
        <w:rPr>
          <w:spacing w:val="-9"/>
        </w:rPr>
        <w:t xml:space="preserve"> </w:t>
      </w:r>
      <w:r>
        <w:t>in</w:t>
      </w:r>
      <w:r>
        <w:rPr>
          <w:spacing w:val="-11"/>
        </w:rPr>
        <w:t xml:space="preserve"> </w:t>
      </w:r>
      <w:r>
        <w:t>delays</w:t>
      </w:r>
      <w:r>
        <w:rPr>
          <w:spacing w:val="-8"/>
        </w:rPr>
        <w:t xml:space="preserve"> </w:t>
      </w:r>
      <w:r>
        <w:t>to</w:t>
      </w:r>
      <w:r>
        <w:rPr>
          <w:spacing w:val="-9"/>
        </w:rPr>
        <w:t xml:space="preserve"> </w:t>
      </w:r>
      <w:r>
        <w:t>several</w:t>
      </w:r>
      <w:r>
        <w:rPr>
          <w:spacing w:val="-10"/>
        </w:rPr>
        <w:t xml:space="preserve"> </w:t>
      </w:r>
      <w:r>
        <w:t>plans previously agreed upon with SKALA.</w:t>
      </w:r>
    </w:p>
    <w:p w14:paraId="5052C408" w14:textId="77777777" w:rsidR="00BC24A8" w:rsidRDefault="00000000">
      <w:pPr>
        <w:pStyle w:val="BodyText"/>
        <w:spacing w:before="158" w:line="278" w:lineRule="auto"/>
        <w:ind w:left="143" w:right="561"/>
        <w:jc w:val="both"/>
      </w:pPr>
      <w:r>
        <w:t>From a fiscal perspective, Maluku Province’s level of independence is still very low. Findings from the Regional</w:t>
      </w:r>
      <w:r>
        <w:rPr>
          <w:spacing w:val="-4"/>
        </w:rPr>
        <w:t xml:space="preserve"> </w:t>
      </w:r>
      <w:r>
        <w:t>Revenue</w:t>
      </w:r>
      <w:r>
        <w:rPr>
          <w:spacing w:val="-4"/>
        </w:rPr>
        <w:t xml:space="preserve"> </w:t>
      </w:r>
      <w:r>
        <w:t>study</w:t>
      </w:r>
      <w:r>
        <w:rPr>
          <w:spacing w:val="-4"/>
        </w:rPr>
        <w:t xml:space="preserve"> </w:t>
      </w:r>
      <w:r>
        <w:t>supported</w:t>
      </w:r>
      <w:r>
        <w:rPr>
          <w:spacing w:val="-4"/>
        </w:rPr>
        <w:t xml:space="preserve"> </w:t>
      </w:r>
      <w:r>
        <w:t>by</w:t>
      </w:r>
      <w:r>
        <w:rPr>
          <w:spacing w:val="-4"/>
        </w:rPr>
        <w:t xml:space="preserve"> </w:t>
      </w:r>
      <w:r>
        <w:t>SKALA</w:t>
      </w:r>
      <w:r>
        <w:rPr>
          <w:spacing w:val="-3"/>
        </w:rPr>
        <w:t xml:space="preserve"> </w:t>
      </w:r>
      <w:r>
        <w:t>(2025)</w:t>
      </w:r>
      <w:r>
        <w:rPr>
          <w:spacing w:val="-4"/>
        </w:rPr>
        <w:t xml:space="preserve"> </w:t>
      </w:r>
      <w:r>
        <w:t>indicate</w:t>
      </w:r>
      <w:r>
        <w:rPr>
          <w:spacing w:val="-4"/>
        </w:rPr>
        <w:t xml:space="preserve"> </w:t>
      </w:r>
      <w:r>
        <w:t>that</w:t>
      </w:r>
      <w:r>
        <w:rPr>
          <w:spacing w:val="-4"/>
        </w:rPr>
        <w:t xml:space="preserve"> </w:t>
      </w:r>
      <w:r>
        <w:t>the</w:t>
      </w:r>
      <w:r>
        <w:rPr>
          <w:spacing w:val="-4"/>
        </w:rPr>
        <w:t xml:space="preserve"> </w:t>
      </w:r>
      <w:r>
        <w:t>Regional</w:t>
      </w:r>
      <w:r>
        <w:rPr>
          <w:spacing w:val="-4"/>
        </w:rPr>
        <w:t xml:space="preserve"> </w:t>
      </w:r>
      <w:r>
        <w:t>Revenue</w:t>
      </w:r>
      <w:r>
        <w:rPr>
          <w:spacing w:val="-4"/>
        </w:rPr>
        <w:t xml:space="preserve"> </w:t>
      </w:r>
      <w:r>
        <w:t>ratio</w:t>
      </w:r>
      <w:r>
        <w:rPr>
          <w:spacing w:val="-3"/>
        </w:rPr>
        <w:t xml:space="preserve"> </w:t>
      </w:r>
      <w:r>
        <w:t>in</w:t>
      </w:r>
      <w:r>
        <w:rPr>
          <w:spacing w:val="-4"/>
        </w:rPr>
        <w:t xml:space="preserve"> </w:t>
      </w:r>
      <w:r>
        <w:t>Maluku is</w:t>
      </w:r>
      <w:r>
        <w:rPr>
          <w:spacing w:val="-10"/>
        </w:rPr>
        <w:t xml:space="preserve"> </w:t>
      </w:r>
      <w:r>
        <w:t>relatively</w:t>
      </w:r>
      <w:r>
        <w:rPr>
          <w:spacing w:val="-9"/>
        </w:rPr>
        <w:t xml:space="preserve"> </w:t>
      </w:r>
      <w:r>
        <w:t>low</w:t>
      </w:r>
      <w:r>
        <w:rPr>
          <w:spacing w:val="-11"/>
        </w:rPr>
        <w:t xml:space="preserve"> </w:t>
      </w:r>
      <w:r>
        <w:t>and</w:t>
      </w:r>
      <w:r>
        <w:rPr>
          <w:spacing w:val="-10"/>
        </w:rPr>
        <w:t xml:space="preserve"> </w:t>
      </w:r>
      <w:r>
        <w:t>tends</w:t>
      </w:r>
      <w:r>
        <w:rPr>
          <w:spacing w:val="-10"/>
        </w:rPr>
        <w:t xml:space="preserve"> </w:t>
      </w:r>
      <w:r>
        <w:t>to</w:t>
      </w:r>
      <w:r>
        <w:rPr>
          <w:spacing w:val="-11"/>
        </w:rPr>
        <w:t xml:space="preserve"> </w:t>
      </w:r>
      <w:r>
        <w:t>decrease</w:t>
      </w:r>
      <w:r>
        <w:rPr>
          <w:spacing w:val="-12"/>
        </w:rPr>
        <w:t xml:space="preserve"> </w:t>
      </w:r>
      <w:r>
        <w:t>during</w:t>
      </w:r>
      <w:r>
        <w:rPr>
          <w:spacing w:val="-11"/>
        </w:rPr>
        <w:t xml:space="preserve"> </w:t>
      </w:r>
      <w:r>
        <w:t>2022-2024.</w:t>
      </w:r>
      <w:r>
        <w:rPr>
          <w:spacing w:val="-9"/>
        </w:rPr>
        <w:t xml:space="preserve"> </w:t>
      </w:r>
      <w:r>
        <w:t>The</w:t>
      </w:r>
      <w:r>
        <w:rPr>
          <w:spacing w:val="-12"/>
        </w:rPr>
        <w:t xml:space="preserve"> </w:t>
      </w:r>
      <w:r>
        <w:t>average</w:t>
      </w:r>
      <w:r>
        <w:rPr>
          <w:spacing w:val="-12"/>
        </w:rPr>
        <w:t xml:space="preserve"> </w:t>
      </w:r>
      <w:r>
        <w:t>ratio</w:t>
      </w:r>
      <w:r>
        <w:rPr>
          <w:spacing w:val="-11"/>
        </w:rPr>
        <w:t xml:space="preserve"> </w:t>
      </w:r>
      <w:r>
        <w:t>of</w:t>
      </w:r>
      <w:r>
        <w:rPr>
          <w:spacing w:val="-12"/>
        </w:rPr>
        <w:t xml:space="preserve"> </w:t>
      </w:r>
      <w:r>
        <w:t>Regional</w:t>
      </w:r>
      <w:r>
        <w:rPr>
          <w:spacing w:val="-11"/>
        </w:rPr>
        <w:t xml:space="preserve"> </w:t>
      </w:r>
      <w:r>
        <w:t>Revenue</w:t>
      </w:r>
      <w:r>
        <w:rPr>
          <w:spacing w:val="-12"/>
        </w:rPr>
        <w:t xml:space="preserve"> </w:t>
      </w:r>
      <w:r>
        <w:t>to</w:t>
      </w:r>
      <w:r>
        <w:rPr>
          <w:spacing w:val="-11"/>
        </w:rPr>
        <w:t xml:space="preserve"> </w:t>
      </w:r>
      <w:r>
        <w:t>total Regional Revenue is only 21.75% (categorised as "very low" as it falls below 25%).</w:t>
      </w:r>
      <w:hyperlink w:anchor="_bookmark119" w:history="1">
        <w:r w:rsidR="00BC24A8">
          <w:rPr>
            <w:vertAlign w:val="superscript"/>
          </w:rPr>
          <w:t>56</w:t>
        </w:r>
      </w:hyperlink>
    </w:p>
    <w:p w14:paraId="12374F96" w14:textId="77777777" w:rsidR="00BC24A8" w:rsidRDefault="00BC24A8">
      <w:pPr>
        <w:pStyle w:val="BodyText"/>
        <w:spacing w:before="201"/>
      </w:pPr>
    </w:p>
    <w:p w14:paraId="6EF4D773" w14:textId="77777777" w:rsidR="00BC24A8" w:rsidRDefault="00000000">
      <w:pPr>
        <w:ind w:left="143"/>
        <w:jc w:val="both"/>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3"/>
        </w:rPr>
        <w:t xml:space="preserve"> </w:t>
      </w:r>
      <w:r>
        <w:rPr>
          <w:rFonts w:ascii="Calibri"/>
          <w:i/>
          <w:color w:val="272727"/>
        </w:rPr>
        <w:t>SKALA</w:t>
      </w:r>
      <w:r>
        <w:rPr>
          <w:rFonts w:ascii="Calibri"/>
          <w:i/>
          <w:color w:val="272727"/>
          <w:spacing w:val="-7"/>
        </w:rPr>
        <w:t xml:space="preserve"> </w:t>
      </w:r>
      <w:r>
        <w:rPr>
          <w:rFonts w:ascii="Calibri"/>
          <w:i/>
          <w:color w:val="272727"/>
        </w:rPr>
        <w:t>Program</w:t>
      </w:r>
      <w:r>
        <w:rPr>
          <w:rFonts w:ascii="Calibri"/>
          <w:i/>
          <w:color w:val="272727"/>
          <w:spacing w:val="-3"/>
        </w:rPr>
        <w:t xml:space="preserve"> </w:t>
      </w:r>
      <w:r>
        <w:rPr>
          <w:rFonts w:ascii="Calibri"/>
          <w:i/>
          <w:color w:val="272727"/>
        </w:rPr>
        <w:t>Priorities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Provinces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FY</w:t>
      </w:r>
      <w:r>
        <w:rPr>
          <w:rFonts w:ascii="Calibri"/>
          <w:i/>
          <w:color w:val="272727"/>
          <w:spacing w:val="-4"/>
        </w:rPr>
        <w:t xml:space="preserve"> </w:t>
      </w:r>
      <w:r>
        <w:rPr>
          <w:rFonts w:ascii="Calibri"/>
          <w:i/>
          <w:color w:val="272727"/>
          <w:spacing w:val="-2"/>
        </w:rPr>
        <w:t>2024/2025</w:t>
      </w:r>
    </w:p>
    <w:p w14:paraId="41FA4C31" w14:textId="77777777" w:rsidR="00BC24A8" w:rsidRDefault="00000000">
      <w:pPr>
        <w:pStyle w:val="BodyText"/>
        <w:spacing w:before="22" w:line="276" w:lineRule="auto"/>
        <w:ind w:left="143" w:right="563"/>
        <w:jc w:val="both"/>
      </w:pPr>
      <w:r>
        <w:t>SKALA's</w:t>
      </w:r>
      <w:r>
        <w:rPr>
          <w:spacing w:val="-11"/>
        </w:rPr>
        <w:t xml:space="preserve"> </w:t>
      </w:r>
      <w:r>
        <w:t>focus</w:t>
      </w:r>
      <w:r>
        <w:rPr>
          <w:spacing w:val="-9"/>
        </w:rPr>
        <w:t xml:space="preserve"> </w:t>
      </w:r>
      <w:r>
        <w:t>in</w:t>
      </w:r>
      <w:r>
        <w:rPr>
          <w:spacing w:val="-12"/>
        </w:rPr>
        <w:t xml:space="preserve"> </w:t>
      </w:r>
      <w:r>
        <w:t>Maluku</w:t>
      </w:r>
      <w:r>
        <w:rPr>
          <w:spacing w:val="-9"/>
        </w:rPr>
        <w:t xml:space="preserve"> </w:t>
      </w:r>
      <w:r>
        <w:t>is</w:t>
      </w:r>
      <w:r>
        <w:rPr>
          <w:spacing w:val="-11"/>
        </w:rPr>
        <w:t xml:space="preserve"> </w:t>
      </w:r>
      <w:r>
        <w:t>to</w:t>
      </w:r>
      <w:r>
        <w:rPr>
          <w:spacing w:val="-10"/>
        </w:rPr>
        <w:t xml:space="preserve"> </w:t>
      </w:r>
      <w:r>
        <w:t>ensure</w:t>
      </w:r>
      <w:r>
        <w:rPr>
          <w:spacing w:val="-11"/>
        </w:rPr>
        <w:t xml:space="preserve"> </w:t>
      </w:r>
      <w:r>
        <w:t>a</w:t>
      </w:r>
      <w:r>
        <w:rPr>
          <w:spacing w:val="-10"/>
        </w:rPr>
        <w:t xml:space="preserve"> </w:t>
      </w:r>
      <w:r>
        <w:t>conducive</w:t>
      </w:r>
      <w:r>
        <w:rPr>
          <w:spacing w:val="-11"/>
        </w:rPr>
        <w:t xml:space="preserve"> </w:t>
      </w:r>
      <w:r>
        <w:t>policy</w:t>
      </w:r>
      <w:r>
        <w:rPr>
          <w:spacing w:val="-11"/>
        </w:rPr>
        <w:t xml:space="preserve"> </w:t>
      </w:r>
      <w:r>
        <w:t>environment</w:t>
      </w:r>
      <w:r>
        <w:rPr>
          <w:spacing w:val="-10"/>
        </w:rPr>
        <w:t xml:space="preserve"> </w:t>
      </w:r>
      <w:r>
        <w:t>to</w:t>
      </w:r>
      <w:r>
        <w:rPr>
          <w:spacing w:val="-10"/>
        </w:rPr>
        <w:t xml:space="preserve"> </w:t>
      </w:r>
      <w:r>
        <w:t>encourage</w:t>
      </w:r>
      <w:r>
        <w:rPr>
          <w:spacing w:val="-13"/>
        </w:rPr>
        <w:t xml:space="preserve"> </w:t>
      </w:r>
      <w:r>
        <w:t>improvements</w:t>
      </w:r>
      <w:r>
        <w:rPr>
          <w:spacing w:val="-9"/>
        </w:rPr>
        <w:t xml:space="preserve"> </w:t>
      </w:r>
      <w:r>
        <w:t>in</w:t>
      </w:r>
      <w:r>
        <w:rPr>
          <w:spacing w:val="-9"/>
        </w:rPr>
        <w:t xml:space="preserve"> </w:t>
      </w:r>
      <w:r>
        <w:t>the provision of basic services. SKALA's strategic support focuses on the following four</w:t>
      </w:r>
      <w:r>
        <w:rPr>
          <w:spacing w:val="-1"/>
        </w:rPr>
        <w:t xml:space="preserve"> </w:t>
      </w:r>
      <w:r>
        <w:t>key thematic</w:t>
      </w:r>
      <w:r>
        <w:rPr>
          <w:spacing w:val="-2"/>
        </w:rPr>
        <w:t xml:space="preserve"> </w:t>
      </w:r>
      <w:r>
        <w:t>areas:</w:t>
      </w:r>
    </w:p>
    <w:p w14:paraId="3A49BF8E" w14:textId="77777777" w:rsidR="00BC24A8" w:rsidRDefault="00000000">
      <w:pPr>
        <w:pStyle w:val="ListParagraph"/>
        <w:numPr>
          <w:ilvl w:val="0"/>
          <w:numId w:val="101"/>
        </w:numPr>
        <w:tabs>
          <w:tab w:val="left" w:pos="681"/>
          <w:tab w:val="left" w:pos="683"/>
        </w:tabs>
        <w:spacing w:before="163"/>
        <w:ind w:right="565" w:hanging="361"/>
      </w:pPr>
      <w:r>
        <w:t>Data and analytics: The availability and use of data, including data related to vulnerable groups that represent conditions in the field.</w:t>
      </w:r>
      <w:r>
        <w:rPr>
          <w:spacing w:val="40"/>
        </w:rPr>
        <w:t xml:space="preserve"> </w:t>
      </w:r>
      <w:r>
        <w:t>The data is useful for decision-making and supports the provision of inclusive services.</w:t>
      </w:r>
    </w:p>
    <w:p w14:paraId="3A467690" w14:textId="77777777" w:rsidR="00BC24A8" w:rsidRDefault="00000000">
      <w:pPr>
        <w:pStyle w:val="ListParagraph"/>
        <w:numPr>
          <w:ilvl w:val="0"/>
          <w:numId w:val="101"/>
        </w:numPr>
        <w:tabs>
          <w:tab w:val="left" w:pos="681"/>
          <w:tab w:val="left" w:pos="683"/>
        </w:tabs>
        <w:spacing w:before="1"/>
        <w:ind w:right="565" w:hanging="361"/>
      </w:pPr>
      <w:r>
        <w:t>Minimum Service Standards (MSS): The capacity of local governments to plan and manage the provision of quality and inclusive services.</w:t>
      </w:r>
    </w:p>
    <w:p w14:paraId="3C3F5332" w14:textId="77777777" w:rsidR="00BC24A8" w:rsidRDefault="00000000">
      <w:pPr>
        <w:pStyle w:val="ListParagraph"/>
        <w:numPr>
          <w:ilvl w:val="0"/>
          <w:numId w:val="101"/>
        </w:numPr>
        <w:tabs>
          <w:tab w:val="left" w:pos="683"/>
        </w:tabs>
        <w:spacing w:before="3" w:line="237" w:lineRule="auto"/>
        <w:ind w:right="565"/>
      </w:pPr>
      <w:r>
        <w:t>Public</w:t>
      </w:r>
      <w:r>
        <w:rPr>
          <w:spacing w:val="-6"/>
        </w:rPr>
        <w:t xml:space="preserve"> </w:t>
      </w:r>
      <w:r>
        <w:t>Financial</w:t>
      </w:r>
      <w:r>
        <w:rPr>
          <w:spacing w:val="-6"/>
        </w:rPr>
        <w:t xml:space="preserve"> </w:t>
      </w:r>
      <w:r>
        <w:t>Management</w:t>
      </w:r>
      <w:r>
        <w:rPr>
          <w:spacing w:val="-6"/>
        </w:rPr>
        <w:t xml:space="preserve"> </w:t>
      </w:r>
      <w:r>
        <w:t>(PFM):</w:t>
      </w:r>
      <w:r>
        <w:rPr>
          <w:spacing w:val="-8"/>
        </w:rPr>
        <w:t xml:space="preserve"> </w:t>
      </w:r>
      <w:r>
        <w:t>Strengthening</w:t>
      </w:r>
      <w:r>
        <w:rPr>
          <w:spacing w:val="-8"/>
        </w:rPr>
        <w:t xml:space="preserve"> </w:t>
      </w:r>
      <w:r>
        <w:t>regional</w:t>
      </w:r>
      <w:r>
        <w:rPr>
          <w:spacing w:val="-6"/>
        </w:rPr>
        <w:t xml:space="preserve"> </w:t>
      </w:r>
      <w:r>
        <w:t>fiscal</w:t>
      </w:r>
      <w:r>
        <w:rPr>
          <w:spacing w:val="-8"/>
        </w:rPr>
        <w:t xml:space="preserve"> </w:t>
      </w:r>
      <w:r>
        <w:t>capacity,</w:t>
      </w:r>
      <w:r>
        <w:rPr>
          <w:spacing w:val="-6"/>
        </w:rPr>
        <w:t xml:space="preserve"> </w:t>
      </w:r>
      <w:r>
        <w:t>improving</w:t>
      </w:r>
      <w:r>
        <w:rPr>
          <w:spacing w:val="-6"/>
        </w:rPr>
        <w:t xml:space="preserve"> </w:t>
      </w:r>
      <w:r>
        <w:t>the</w:t>
      </w:r>
      <w:r>
        <w:rPr>
          <w:spacing w:val="-6"/>
        </w:rPr>
        <w:t xml:space="preserve"> </w:t>
      </w:r>
      <w:r>
        <w:t>quality of regional spending for the provision of inclusive basic services.</w:t>
      </w:r>
    </w:p>
    <w:p w14:paraId="646779AE" w14:textId="77777777" w:rsidR="00BC24A8" w:rsidRDefault="00000000">
      <w:pPr>
        <w:pStyle w:val="ListParagraph"/>
        <w:numPr>
          <w:ilvl w:val="0"/>
          <w:numId w:val="101"/>
        </w:numPr>
        <w:tabs>
          <w:tab w:val="left" w:pos="683"/>
        </w:tabs>
        <w:spacing w:before="1"/>
        <w:ind w:right="564"/>
      </w:pPr>
      <w:r>
        <w:t>Gender Equality, Disability, and Social Inclusion (GEDSI): Participation, representation, and influence of women, persons with disabilities, and other vulnerable groups in the government's decision-making process.</w:t>
      </w:r>
    </w:p>
    <w:p w14:paraId="70B40437" w14:textId="77777777" w:rsidR="00BC24A8" w:rsidRDefault="00000000">
      <w:pPr>
        <w:pStyle w:val="ListParagraph"/>
        <w:numPr>
          <w:ilvl w:val="0"/>
          <w:numId w:val="101"/>
        </w:numPr>
        <w:tabs>
          <w:tab w:val="left" w:pos="683"/>
        </w:tabs>
        <w:spacing w:before="1"/>
        <w:ind w:right="563"/>
      </w:pPr>
      <w:r>
        <w:t>Implementation</w:t>
      </w:r>
      <w:r>
        <w:rPr>
          <w:spacing w:val="-13"/>
        </w:rPr>
        <w:t xml:space="preserve"> </w:t>
      </w:r>
      <w:r>
        <w:t>of</w:t>
      </w:r>
      <w:r>
        <w:rPr>
          <w:spacing w:val="-12"/>
        </w:rPr>
        <w:t xml:space="preserve"> </w:t>
      </w:r>
      <w:r>
        <w:t>Program</w:t>
      </w:r>
      <w:r>
        <w:rPr>
          <w:spacing w:val="-13"/>
        </w:rPr>
        <w:t xml:space="preserve"> </w:t>
      </w:r>
      <w:r>
        <w:t>Monitoring,</w:t>
      </w:r>
      <w:r>
        <w:rPr>
          <w:spacing w:val="-11"/>
        </w:rPr>
        <w:t xml:space="preserve"> </w:t>
      </w:r>
      <w:r>
        <w:t>Evaluation,</w:t>
      </w:r>
      <w:r>
        <w:rPr>
          <w:spacing w:val="-11"/>
        </w:rPr>
        <w:t xml:space="preserve"> </w:t>
      </w:r>
      <w:r>
        <w:t>and</w:t>
      </w:r>
      <w:r>
        <w:rPr>
          <w:spacing w:val="-12"/>
        </w:rPr>
        <w:t xml:space="preserve"> </w:t>
      </w:r>
      <w:r>
        <w:t>Documentation:</w:t>
      </w:r>
      <w:r>
        <w:rPr>
          <w:spacing w:val="-13"/>
        </w:rPr>
        <w:t xml:space="preserve"> </w:t>
      </w:r>
      <w:r>
        <w:t>SKALA</w:t>
      </w:r>
      <w:r>
        <w:rPr>
          <w:spacing w:val="-11"/>
        </w:rPr>
        <w:t xml:space="preserve"> </w:t>
      </w:r>
      <w:r>
        <w:t>conducts</w:t>
      </w:r>
      <w:r>
        <w:rPr>
          <w:spacing w:val="-11"/>
        </w:rPr>
        <w:t xml:space="preserve"> </w:t>
      </w:r>
      <w:r>
        <w:t>routine monitoring, as well as periodic evaluation and learning,</w:t>
      </w:r>
      <w:r>
        <w:rPr>
          <w:spacing w:val="-1"/>
        </w:rPr>
        <w:t xml:space="preserve"> </w:t>
      </w:r>
      <w:r>
        <w:t>to maintain program accountability.</w:t>
      </w:r>
      <w:r>
        <w:rPr>
          <w:spacing w:val="-1"/>
        </w:rPr>
        <w:t xml:space="preserve"> </w:t>
      </w:r>
      <w:r>
        <w:t>This activity includes the collection of primary and secondary data, both quantitative and qualitative. The results are then submitted to the SKALA Programme Team to be used in the planning of the 2025/26 annual work plan and reporting materials to the government and DFAT.</w:t>
      </w:r>
    </w:p>
    <w:p w14:paraId="4512A36C" w14:textId="77777777" w:rsidR="00BC24A8" w:rsidRDefault="00BC24A8">
      <w:pPr>
        <w:pStyle w:val="BodyText"/>
        <w:rPr>
          <w:sz w:val="20"/>
        </w:rPr>
      </w:pPr>
    </w:p>
    <w:p w14:paraId="7714405F" w14:textId="77777777" w:rsidR="00BC24A8" w:rsidRDefault="00BC24A8">
      <w:pPr>
        <w:pStyle w:val="BodyText"/>
        <w:rPr>
          <w:sz w:val="20"/>
        </w:rPr>
      </w:pPr>
    </w:p>
    <w:p w14:paraId="5EF66A0E" w14:textId="77777777" w:rsidR="00BC24A8" w:rsidRDefault="00BC24A8">
      <w:pPr>
        <w:pStyle w:val="BodyText"/>
        <w:rPr>
          <w:sz w:val="20"/>
        </w:rPr>
      </w:pPr>
    </w:p>
    <w:p w14:paraId="2E4F8A81" w14:textId="77777777" w:rsidR="00BC24A8" w:rsidRDefault="00BC24A8">
      <w:pPr>
        <w:pStyle w:val="BodyText"/>
        <w:rPr>
          <w:sz w:val="20"/>
        </w:rPr>
      </w:pPr>
    </w:p>
    <w:p w14:paraId="3C815486" w14:textId="77777777" w:rsidR="00BC24A8" w:rsidRDefault="00BC24A8">
      <w:pPr>
        <w:pStyle w:val="BodyText"/>
        <w:rPr>
          <w:sz w:val="20"/>
        </w:rPr>
      </w:pPr>
    </w:p>
    <w:p w14:paraId="48947477" w14:textId="77777777" w:rsidR="00BC24A8" w:rsidRDefault="00BC24A8">
      <w:pPr>
        <w:pStyle w:val="BodyText"/>
        <w:rPr>
          <w:sz w:val="20"/>
        </w:rPr>
      </w:pPr>
    </w:p>
    <w:p w14:paraId="0244E6A1" w14:textId="77777777" w:rsidR="00BC24A8" w:rsidRDefault="00BC24A8">
      <w:pPr>
        <w:pStyle w:val="BodyText"/>
        <w:rPr>
          <w:sz w:val="20"/>
        </w:rPr>
      </w:pPr>
    </w:p>
    <w:p w14:paraId="28506975" w14:textId="77777777" w:rsidR="00BC24A8" w:rsidRDefault="00BC24A8">
      <w:pPr>
        <w:pStyle w:val="BodyText"/>
        <w:rPr>
          <w:sz w:val="20"/>
        </w:rPr>
      </w:pPr>
    </w:p>
    <w:p w14:paraId="2FEA8579" w14:textId="77777777" w:rsidR="00BC24A8" w:rsidRDefault="00000000">
      <w:pPr>
        <w:pStyle w:val="BodyText"/>
        <w:spacing w:before="200"/>
        <w:rPr>
          <w:sz w:val="20"/>
        </w:rPr>
      </w:pPr>
      <w:r>
        <w:rPr>
          <w:noProof/>
          <w:sz w:val="20"/>
        </w:rPr>
        <mc:AlternateContent>
          <mc:Choice Requires="wps">
            <w:drawing>
              <wp:anchor distT="0" distB="0" distL="0" distR="0" simplePos="0" relativeHeight="487615488" behindDoc="1" locked="0" layoutInCell="1" allowOverlap="1" wp14:anchorId="046332DB" wp14:editId="11686F6B">
                <wp:simplePos x="0" y="0"/>
                <wp:positionH relativeFrom="page">
                  <wp:posOffset>900683</wp:posOffset>
                </wp:positionH>
                <wp:positionV relativeFrom="paragraph">
                  <wp:posOffset>297601</wp:posOffset>
                </wp:positionV>
                <wp:extent cx="1828800" cy="9525"/>
                <wp:effectExtent l="0" t="0" r="0" b="0"/>
                <wp:wrapTopAndBottom/>
                <wp:docPr id="149" name="Graphic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A3F937" id="Graphic 149" o:spid="_x0000_s1026" alt="&quot;&quot;" style="position:absolute;margin-left:70.9pt;margin-top:23.45pt;width:2in;height:.75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" path="m1828800,l,,,9143r1828800,l1828800,xe" fillcolor="black" stroked="f">
                <v:path arrowok="t"/>
                <w10:wrap type="topAndBottom" anchorx="page"/>
              </v:shape>
            </w:pict>
          </mc:Fallback>
        </mc:AlternateContent>
      </w:r>
    </w:p>
    <w:p w14:paraId="530F46E0" w14:textId="77777777" w:rsidR="00BC24A8" w:rsidRDefault="00BC24A8">
      <w:pPr>
        <w:pStyle w:val="BodyText"/>
        <w:spacing w:before="105"/>
        <w:rPr>
          <w:sz w:val="16"/>
        </w:rPr>
      </w:pPr>
    </w:p>
    <w:p w14:paraId="0C1EEA00" w14:textId="77777777" w:rsidR="00BC24A8" w:rsidRDefault="00000000">
      <w:pPr>
        <w:spacing w:before="1"/>
        <w:ind w:left="143"/>
        <w:rPr>
          <w:rFonts w:ascii="Trebuchet MS"/>
          <w:sz w:val="16"/>
        </w:rPr>
      </w:pPr>
      <w:bookmarkStart w:id="176" w:name="_bookmark119"/>
      <w:bookmarkEnd w:id="176"/>
      <w:r>
        <w:rPr>
          <w:color w:val="767070"/>
          <w:spacing w:val="-2"/>
          <w:position w:val="5"/>
          <w:sz w:val="10"/>
        </w:rPr>
        <w:t>56</w:t>
      </w:r>
      <w:r>
        <w:rPr>
          <w:color w:val="767070"/>
          <w:spacing w:val="-1"/>
          <w:position w:val="5"/>
          <w:sz w:val="10"/>
        </w:rPr>
        <w:t xml:space="preserve"> </w:t>
      </w:r>
      <w:r>
        <w:rPr>
          <w:rFonts w:ascii="Trebuchet MS"/>
          <w:color w:val="767070"/>
          <w:spacing w:val="-2"/>
          <w:sz w:val="16"/>
        </w:rPr>
        <w:t>The</w:t>
      </w:r>
      <w:r>
        <w:rPr>
          <w:rFonts w:ascii="Trebuchet MS"/>
          <w:color w:val="767070"/>
          <w:spacing w:val="-16"/>
          <w:sz w:val="16"/>
        </w:rPr>
        <w:t xml:space="preserve"> </w:t>
      </w:r>
      <w:r>
        <w:rPr>
          <w:rFonts w:ascii="Trebuchet MS"/>
          <w:color w:val="767070"/>
          <w:spacing w:val="-2"/>
          <w:sz w:val="16"/>
        </w:rPr>
        <w:t>current</w:t>
      </w:r>
      <w:r>
        <w:rPr>
          <w:rFonts w:ascii="Trebuchet MS"/>
          <w:color w:val="767070"/>
          <w:spacing w:val="-14"/>
          <w:sz w:val="16"/>
        </w:rPr>
        <w:t xml:space="preserve"> </w:t>
      </w:r>
      <w:r>
        <w:rPr>
          <w:rFonts w:ascii="Trebuchet MS"/>
          <w:color w:val="767070"/>
          <w:spacing w:val="-2"/>
          <w:sz w:val="16"/>
        </w:rPr>
        <w:t>national</w:t>
      </w:r>
      <w:r>
        <w:rPr>
          <w:rFonts w:ascii="Trebuchet MS"/>
          <w:color w:val="767070"/>
          <w:spacing w:val="-19"/>
          <w:sz w:val="16"/>
        </w:rPr>
        <w:t xml:space="preserve"> </w:t>
      </w:r>
      <w:r>
        <w:rPr>
          <w:rFonts w:ascii="Trebuchet MS"/>
          <w:color w:val="767070"/>
          <w:spacing w:val="-2"/>
          <w:sz w:val="16"/>
        </w:rPr>
        <w:t>average</w:t>
      </w:r>
      <w:r>
        <w:rPr>
          <w:rFonts w:ascii="Trebuchet MS"/>
          <w:color w:val="767070"/>
          <w:spacing w:val="-16"/>
          <w:sz w:val="16"/>
        </w:rPr>
        <w:t xml:space="preserve"> </w:t>
      </w:r>
      <w:r>
        <w:rPr>
          <w:color w:val="767070"/>
          <w:spacing w:val="-2"/>
          <w:sz w:val="16"/>
        </w:rPr>
        <w:t>Regional</w:t>
      </w:r>
      <w:r>
        <w:rPr>
          <w:color w:val="767070"/>
          <w:spacing w:val="-5"/>
          <w:sz w:val="16"/>
        </w:rPr>
        <w:t xml:space="preserve"> </w:t>
      </w:r>
      <w:r>
        <w:rPr>
          <w:color w:val="767070"/>
          <w:spacing w:val="-2"/>
          <w:sz w:val="16"/>
        </w:rPr>
        <w:t>Revenue</w:t>
      </w:r>
      <w:r>
        <w:rPr>
          <w:color w:val="767070"/>
          <w:spacing w:val="-7"/>
          <w:sz w:val="16"/>
        </w:rPr>
        <w:t xml:space="preserve"> </w:t>
      </w:r>
      <w:r>
        <w:rPr>
          <w:rFonts w:ascii="Trebuchet MS"/>
          <w:color w:val="767070"/>
          <w:spacing w:val="-2"/>
          <w:sz w:val="16"/>
        </w:rPr>
        <w:t>ratio</w:t>
      </w:r>
      <w:r>
        <w:rPr>
          <w:rFonts w:ascii="Trebuchet MS"/>
          <w:color w:val="767070"/>
          <w:spacing w:val="-17"/>
          <w:sz w:val="16"/>
        </w:rPr>
        <w:t xml:space="preserve"> </w:t>
      </w:r>
      <w:r>
        <w:rPr>
          <w:rFonts w:ascii="Trebuchet MS"/>
          <w:color w:val="767070"/>
          <w:spacing w:val="-2"/>
          <w:sz w:val="16"/>
        </w:rPr>
        <w:t>is</w:t>
      </w:r>
      <w:r>
        <w:rPr>
          <w:rFonts w:ascii="Trebuchet MS"/>
          <w:color w:val="767070"/>
          <w:spacing w:val="-16"/>
          <w:sz w:val="16"/>
        </w:rPr>
        <w:t xml:space="preserve"> </w:t>
      </w:r>
      <w:r>
        <w:rPr>
          <w:rFonts w:ascii="Trebuchet MS"/>
          <w:color w:val="767070"/>
          <w:spacing w:val="-2"/>
          <w:sz w:val="16"/>
        </w:rPr>
        <w:t>56.08%</w:t>
      </w:r>
      <w:r>
        <w:rPr>
          <w:rFonts w:ascii="Trebuchet MS"/>
          <w:color w:val="767070"/>
          <w:spacing w:val="-18"/>
          <w:sz w:val="16"/>
        </w:rPr>
        <w:t xml:space="preserve"> </w:t>
      </w:r>
      <w:r>
        <w:rPr>
          <w:rFonts w:ascii="Trebuchet MS"/>
          <w:color w:val="767070"/>
          <w:spacing w:val="-2"/>
          <w:sz w:val="16"/>
        </w:rPr>
        <w:t>(BPS,</w:t>
      </w:r>
      <w:r>
        <w:rPr>
          <w:rFonts w:ascii="Trebuchet MS"/>
          <w:color w:val="767070"/>
          <w:spacing w:val="-18"/>
          <w:sz w:val="16"/>
        </w:rPr>
        <w:t xml:space="preserve"> </w:t>
      </w:r>
      <w:r>
        <w:rPr>
          <w:rFonts w:ascii="Trebuchet MS"/>
          <w:color w:val="767070"/>
          <w:spacing w:val="-2"/>
          <w:sz w:val="16"/>
        </w:rPr>
        <w:t>2025).</w:t>
      </w:r>
    </w:p>
    <w:p w14:paraId="1903C7B0" w14:textId="77777777" w:rsidR="00BC24A8" w:rsidRDefault="00BC24A8">
      <w:pPr>
        <w:rPr>
          <w:rFonts w:ascii="Trebuchet MS"/>
          <w:sz w:val="16"/>
        </w:rPr>
        <w:sectPr w:rsidR="00BC24A8">
          <w:pgSz w:w="11910" w:h="16840"/>
          <w:pgMar w:top="1420" w:right="850" w:bottom="1100" w:left="1275" w:header="0" w:footer="907" w:gutter="0"/>
          <w:cols w:space="720"/>
        </w:sectPr>
      </w:pPr>
    </w:p>
    <w:p w14:paraId="41105B91" w14:textId="77777777" w:rsidR="00BC24A8" w:rsidRDefault="00000000">
      <w:pPr>
        <w:spacing w:before="39"/>
        <w:ind w:left="143"/>
        <w:rPr>
          <w:i/>
        </w:rPr>
      </w:pPr>
      <w:r>
        <w:rPr>
          <w:i/>
          <w:color w:val="1F3762"/>
        </w:rPr>
        <w:lastRenderedPageBreak/>
        <w:t>Program</w:t>
      </w:r>
      <w:r>
        <w:rPr>
          <w:i/>
          <w:color w:val="1F3762"/>
          <w:spacing w:val="-9"/>
        </w:rPr>
        <w:t xml:space="preserve"> </w:t>
      </w:r>
      <w:r>
        <w:rPr>
          <w:i/>
          <w:color w:val="1F3762"/>
        </w:rPr>
        <w:t>Implementation</w:t>
      </w:r>
      <w:r>
        <w:rPr>
          <w:i/>
          <w:color w:val="1F3762"/>
          <w:spacing w:val="-9"/>
        </w:rPr>
        <w:t xml:space="preserve"> </w:t>
      </w:r>
      <w:r>
        <w:rPr>
          <w:i/>
          <w:color w:val="1F3762"/>
        </w:rPr>
        <w:t>and</w:t>
      </w:r>
      <w:r>
        <w:rPr>
          <w:i/>
          <w:color w:val="1F3762"/>
          <w:spacing w:val="-9"/>
        </w:rPr>
        <w:t xml:space="preserve"> </w:t>
      </w:r>
      <w:r>
        <w:rPr>
          <w:i/>
          <w:color w:val="1F3762"/>
        </w:rPr>
        <w:t>Learning</w:t>
      </w:r>
      <w:r>
        <w:rPr>
          <w:i/>
          <w:color w:val="1F3762"/>
          <w:spacing w:val="-7"/>
        </w:rPr>
        <w:t xml:space="preserve"> </w:t>
      </w:r>
      <w:r>
        <w:rPr>
          <w:i/>
          <w:color w:val="1F3762"/>
          <w:spacing w:val="-2"/>
        </w:rPr>
        <w:t>Results/Progress</w:t>
      </w:r>
    </w:p>
    <w:p w14:paraId="2B959F18" w14:textId="77777777" w:rsidR="00BC24A8" w:rsidRDefault="00000000">
      <w:pPr>
        <w:pStyle w:val="BodyText"/>
        <w:spacing w:before="41"/>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4"/>
        </w:rPr>
        <w:t xml:space="preserve"> </w:t>
      </w:r>
      <w:r>
        <w:rPr>
          <w:rFonts w:ascii="Calibri"/>
          <w:color w:val="272727"/>
        </w:rPr>
        <w:t>at</w:t>
      </w:r>
      <w:r>
        <w:rPr>
          <w:rFonts w:ascii="Calibri"/>
          <w:color w:val="272727"/>
          <w:spacing w:val="-5"/>
        </w:rPr>
        <w:t xml:space="preserve"> </w:t>
      </w:r>
      <w:r>
        <w:rPr>
          <w:rFonts w:ascii="Calibri"/>
          <w:color w:val="272727"/>
        </w:rPr>
        <w:t>the</w:t>
      </w:r>
      <w:r>
        <w:rPr>
          <w:rFonts w:ascii="Calibri"/>
          <w:color w:val="272727"/>
          <w:spacing w:val="-3"/>
        </w:rPr>
        <w:t xml:space="preserve"> </w:t>
      </w:r>
      <w:r>
        <w:rPr>
          <w:rFonts w:ascii="Calibri"/>
          <w:color w:val="272727"/>
        </w:rPr>
        <w:t>Input</w:t>
      </w:r>
      <w:r>
        <w:rPr>
          <w:rFonts w:ascii="Calibri"/>
          <w:color w:val="272727"/>
          <w:spacing w:val="-2"/>
        </w:rPr>
        <w:t xml:space="preserve"> </w:t>
      </w:r>
      <w:r>
        <w:rPr>
          <w:rFonts w:ascii="Calibri"/>
          <w:color w:val="272727"/>
          <w:spacing w:val="-4"/>
        </w:rPr>
        <w:t>level</w:t>
      </w:r>
    </w:p>
    <w:p w14:paraId="26053842" w14:textId="77777777" w:rsidR="00BC24A8" w:rsidRDefault="00BC24A8">
      <w:pPr>
        <w:pStyle w:val="BodyText"/>
        <w:spacing w:before="43"/>
        <w:rPr>
          <w:rFonts w:ascii="Calibri"/>
        </w:rPr>
      </w:pPr>
    </w:p>
    <w:p w14:paraId="314BFBF7" w14:textId="77777777" w:rsidR="00BC24A8" w:rsidRDefault="00000000">
      <w:pPr>
        <w:pStyle w:val="Heading5"/>
        <w:spacing w:before="1"/>
      </w:pPr>
      <w:bookmarkStart w:id="177" w:name="_bookmark120"/>
      <w:bookmarkEnd w:id="177"/>
      <w:r>
        <w:rPr>
          <w:color w:val="767070"/>
        </w:rPr>
        <w:t>Table</w:t>
      </w:r>
      <w:r>
        <w:rPr>
          <w:color w:val="767070"/>
          <w:spacing w:val="-11"/>
        </w:rPr>
        <w:t xml:space="preserve"> </w:t>
      </w:r>
      <w:r>
        <w:rPr>
          <w:color w:val="767070"/>
        </w:rPr>
        <w:t>14:</w:t>
      </w:r>
      <w:r>
        <w:rPr>
          <w:color w:val="767070"/>
          <w:spacing w:val="-10"/>
        </w:rPr>
        <w:t xml:space="preserve"> </w:t>
      </w:r>
      <w:r>
        <w:rPr>
          <w:color w:val="767070"/>
        </w:rPr>
        <w:t>Program</w:t>
      </w:r>
      <w:r>
        <w:rPr>
          <w:color w:val="767070"/>
          <w:spacing w:val="-11"/>
        </w:rPr>
        <w:t xml:space="preserve"> </w:t>
      </w:r>
      <w:r>
        <w:rPr>
          <w:color w:val="767070"/>
        </w:rPr>
        <w:t>input</w:t>
      </w:r>
      <w:r>
        <w:rPr>
          <w:color w:val="767070"/>
          <w:spacing w:val="-10"/>
        </w:rPr>
        <w:t xml:space="preserve"> </w:t>
      </w:r>
      <w:r>
        <w:rPr>
          <w:color w:val="767070"/>
        </w:rPr>
        <w:t>count</w:t>
      </w:r>
      <w:r>
        <w:rPr>
          <w:color w:val="767070"/>
          <w:spacing w:val="-9"/>
        </w:rPr>
        <w:t xml:space="preserve"> </w:t>
      </w:r>
      <w:r>
        <w:rPr>
          <w:color w:val="767070"/>
        </w:rPr>
        <w:t>table</w:t>
      </w:r>
      <w:r>
        <w:rPr>
          <w:color w:val="767070"/>
          <w:spacing w:val="-12"/>
        </w:rPr>
        <w:t xml:space="preserve"> </w:t>
      </w:r>
      <w:r>
        <w:rPr>
          <w:color w:val="767070"/>
        </w:rPr>
        <w:t>(January-June</w:t>
      </w:r>
      <w:r>
        <w:rPr>
          <w:color w:val="767070"/>
          <w:spacing w:val="-10"/>
        </w:rPr>
        <w:t xml:space="preserve"> </w:t>
      </w:r>
      <w:r>
        <w:rPr>
          <w:color w:val="767070"/>
          <w:spacing w:val="-2"/>
        </w:rPr>
        <w:t>2025)</w:t>
      </w:r>
    </w:p>
    <w:p w14:paraId="4B0E1137" w14:textId="77777777" w:rsidR="00BC24A8" w:rsidRDefault="00BC24A8">
      <w:pPr>
        <w:pStyle w:val="BodyText"/>
        <w:spacing w:before="4" w:after="1"/>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2971"/>
        <w:gridCol w:w="1440"/>
        <w:gridCol w:w="490"/>
        <w:gridCol w:w="1490"/>
        <w:gridCol w:w="2700"/>
      </w:tblGrid>
      <w:tr w:rsidR="00BC24A8" w14:paraId="1C95BC49" w14:textId="77777777">
        <w:trPr>
          <w:trHeight w:val="602"/>
        </w:trPr>
        <w:tc>
          <w:tcPr>
            <w:tcW w:w="2971" w:type="dxa"/>
            <w:shd w:val="clear" w:color="auto" w:fill="17365A"/>
          </w:tcPr>
          <w:p w14:paraId="75B746B1" w14:textId="77777777" w:rsidR="00BC24A8" w:rsidRDefault="00000000">
            <w:pPr>
              <w:pStyle w:val="TableParagraph"/>
              <w:spacing w:before="181"/>
              <w:ind w:left="107"/>
              <w:rPr>
                <w:rFonts w:ascii="Calibri"/>
                <w:b/>
                <w:sz w:val="20"/>
              </w:rPr>
            </w:pPr>
            <w:r>
              <w:rPr>
                <w:rFonts w:ascii="Calibri"/>
                <w:b/>
                <w:color w:val="FFFFFF"/>
                <w:sz w:val="20"/>
              </w:rPr>
              <w:t>Input</w:t>
            </w:r>
            <w:r>
              <w:rPr>
                <w:rFonts w:ascii="Calibri"/>
                <w:b/>
                <w:color w:val="FFFFFF"/>
                <w:spacing w:val="-3"/>
                <w:sz w:val="20"/>
              </w:rPr>
              <w:t xml:space="preserve"> </w:t>
            </w:r>
            <w:r>
              <w:rPr>
                <w:rFonts w:ascii="Calibri"/>
                <w:b/>
                <w:color w:val="FFFFFF"/>
                <w:spacing w:val="-4"/>
                <w:sz w:val="20"/>
              </w:rPr>
              <w:t>type</w:t>
            </w:r>
          </w:p>
        </w:tc>
        <w:tc>
          <w:tcPr>
            <w:tcW w:w="1440" w:type="dxa"/>
            <w:shd w:val="clear" w:color="auto" w:fill="17365A"/>
          </w:tcPr>
          <w:p w14:paraId="131FDABB" w14:textId="77777777" w:rsidR="00BC24A8" w:rsidRDefault="00000000">
            <w:pPr>
              <w:pStyle w:val="TableParagraph"/>
              <w:spacing w:before="59"/>
              <w:ind w:left="456" w:right="267" w:hanging="188"/>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 xml:space="preserve">of </w:t>
            </w:r>
            <w:r>
              <w:rPr>
                <w:rFonts w:ascii="Calibri"/>
                <w:b/>
                <w:color w:val="FFFFFF"/>
                <w:spacing w:val="-2"/>
                <w:sz w:val="20"/>
              </w:rPr>
              <w:t>inputs</w:t>
            </w:r>
          </w:p>
        </w:tc>
        <w:tc>
          <w:tcPr>
            <w:tcW w:w="1980" w:type="dxa"/>
            <w:gridSpan w:val="2"/>
            <w:shd w:val="clear" w:color="auto" w:fill="17365A"/>
          </w:tcPr>
          <w:p w14:paraId="4816F719" w14:textId="77777777" w:rsidR="00BC24A8" w:rsidRDefault="00000000">
            <w:pPr>
              <w:pStyle w:val="TableParagraph"/>
              <w:spacing w:before="59" w:line="243" w:lineRule="exact"/>
              <w:ind w:left="456"/>
              <w:rPr>
                <w:rFonts w:ascii="Calibri"/>
                <w:b/>
                <w:sz w:val="20"/>
              </w:rPr>
            </w:pPr>
            <w:r>
              <w:rPr>
                <w:rFonts w:ascii="Calibri"/>
                <w:b/>
                <w:color w:val="FFFFFF"/>
                <w:sz w:val="20"/>
              </w:rPr>
              <w:t>Total</w:t>
            </w:r>
            <w:r>
              <w:rPr>
                <w:rFonts w:ascii="Calibri"/>
                <w:b/>
                <w:color w:val="FFFFFF"/>
                <w:spacing w:val="-7"/>
                <w:sz w:val="20"/>
              </w:rPr>
              <w:t xml:space="preserve"> </w:t>
            </w:r>
            <w:r>
              <w:rPr>
                <w:rFonts w:ascii="Calibri"/>
                <w:b/>
                <w:color w:val="FFFFFF"/>
                <w:spacing w:val="-2"/>
                <w:sz w:val="20"/>
              </w:rPr>
              <w:t>Budget</w:t>
            </w:r>
          </w:p>
          <w:p w14:paraId="341258A5" w14:textId="77777777" w:rsidR="00BC24A8" w:rsidRDefault="00000000">
            <w:pPr>
              <w:pStyle w:val="TableParagraph"/>
              <w:spacing w:line="243" w:lineRule="exact"/>
              <w:ind w:left="547"/>
              <w:rPr>
                <w:rFonts w:ascii="Calibri"/>
                <w:b/>
                <w:sz w:val="20"/>
              </w:rPr>
            </w:pPr>
            <w:r>
              <w:rPr>
                <w:rFonts w:ascii="Calibri"/>
                <w:b/>
                <w:color w:val="FFFFFF"/>
                <w:spacing w:val="-2"/>
                <w:sz w:val="20"/>
              </w:rPr>
              <w:t>realisation</w:t>
            </w:r>
          </w:p>
        </w:tc>
        <w:tc>
          <w:tcPr>
            <w:tcW w:w="2700" w:type="dxa"/>
            <w:shd w:val="clear" w:color="auto" w:fill="17365A"/>
          </w:tcPr>
          <w:p w14:paraId="3EDF6E42" w14:textId="77777777" w:rsidR="00BC24A8" w:rsidRDefault="00000000">
            <w:pPr>
              <w:pStyle w:val="TableParagraph"/>
              <w:spacing w:before="59"/>
              <w:ind w:left="105" w:right="10"/>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of</w:t>
            </w:r>
            <w:r>
              <w:rPr>
                <w:rFonts w:ascii="Calibri"/>
                <w:b/>
                <w:color w:val="FFFFFF"/>
                <w:spacing w:val="-11"/>
                <w:sz w:val="20"/>
              </w:rPr>
              <w:t xml:space="preserve"> </w:t>
            </w:r>
            <w:r>
              <w:rPr>
                <w:rFonts w:ascii="Calibri"/>
                <w:b/>
                <w:color w:val="FFFFFF"/>
                <w:sz w:val="20"/>
              </w:rPr>
              <w:t xml:space="preserve">participants </w:t>
            </w:r>
            <w:r>
              <w:rPr>
                <w:rFonts w:ascii="Calibri"/>
                <w:b/>
                <w:color w:val="FFFFFF"/>
                <w:spacing w:val="-2"/>
                <w:sz w:val="20"/>
              </w:rPr>
              <w:t>involved</w:t>
            </w:r>
          </w:p>
        </w:tc>
      </w:tr>
      <w:tr w:rsidR="00BC24A8" w14:paraId="21DC96BC" w14:textId="77777777">
        <w:trPr>
          <w:trHeight w:val="439"/>
        </w:trPr>
        <w:tc>
          <w:tcPr>
            <w:tcW w:w="2971" w:type="dxa"/>
            <w:tcBorders>
              <w:bottom w:val="single" w:sz="4" w:space="0" w:color="BEBEBE"/>
            </w:tcBorders>
          </w:tcPr>
          <w:p w14:paraId="3764FBFC" w14:textId="77777777" w:rsidR="00BC24A8" w:rsidRDefault="00000000">
            <w:pPr>
              <w:pStyle w:val="TableParagraph"/>
              <w:spacing w:before="162"/>
              <w:ind w:left="107"/>
              <w:rPr>
                <w:sz w:val="18"/>
              </w:rPr>
            </w:pPr>
            <w:r>
              <w:rPr>
                <w:spacing w:val="-2"/>
                <w:sz w:val="18"/>
              </w:rPr>
              <w:t>Workshops</w:t>
            </w:r>
          </w:p>
        </w:tc>
        <w:tc>
          <w:tcPr>
            <w:tcW w:w="1440" w:type="dxa"/>
            <w:tcBorders>
              <w:bottom w:val="single" w:sz="4" w:space="0" w:color="BEBEBE"/>
            </w:tcBorders>
          </w:tcPr>
          <w:p w14:paraId="3823C69E" w14:textId="77777777" w:rsidR="00BC24A8" w:rsidRDefault="00000000">
            <w:pPr>
              <w:pStyle w:val="TableParagraph"/>
              <w:spacing w:before="102"/>
              <w:ind w:left="3" w:right="5"/>
              <w:jc w:val="center"/>
              <w:rPr>
                <w:sz w:val="18"/>
              </w:rPr>
            </w:pPr>
            <w:r>
              <w:rPr>
                <w:spacing w:val="-5"/>
                <w:sz w:val="18"/>
              </w:rPr>
              <w:t>15</w:t>
            </w:r>
          </w:p>
        </w:tc>
        <w:tc>
          <w:tcPr>
            <w:tcW w:w="490" w:type="dxa"/>
            <w:tcBorders>
              <w:bottom w:val="single" w:sz="4" w:space="0" w:color="BEBEBE"/>
            </w:tcBorders>
          </w:tcPr>
          <w:p w14:paraId="4F876D98" w14:textId="77777777" w:rsidR="00BC24A8" w:rsidRDefault="00000000">
            <w:pPr>
              <w:pStyle w:val="TableParagraph"/>
              <w:spacing w:before="102"/>
              <w:ind w:right="27"/>
              <w:jc w:val="center"/>
              <w:rPr>
                <w:sz w:val="18"/>
              </w:rPr>
            </w:pPr>
            <w:r>
              <w:rPr>
                <w:spacing w:val="-5"/>
                <w:sz w:val="18"/>
              </w:rPr>
              <w:t>IDR</w:t>
            </w:r>
          </w:p>
        </w:tc>
        <w:tc>
          <w:tcPr>
            <w:tcW w:w="1490" w:type="dxa"/>
            <w:tcBorders>
              <w:bottom w:val="single" w:sz="4" w:space="0" w:color="BEBEBE"/>
            </w:tcBorders>
          </w:tcPr>
          <w:p w14:paraId="19844407" w14:textId="77777777" w:rsidR="00BC24A8" w:rsidRDefault="00000000">
            <w:pPr>
              <w:pStyle w:val="TableParagraph"/>
              <w:spacing w:before="102"/>
              <w:ind w:right="388"/>
              <w:jc w:val="right"/>
              <w:rPr>
                <w:sz w:val="18"/>
              </w:rPr>
            </w:pPr>
            <w:r>
              <w:rPr>
                <w:spacing w:val="-2"/>
                <w:sz w:val="18"/>
              </w:rPr>
              <w:t>647,829,222</w:t>
            </w:r>
          </w:p>
        </w:tc>
        <w:tc>
          <w:tcPr>
            <w:tcW w:w="2700" w:type="dxa"/>
            <w:vMerge w:val="restart"/>
          </w:tcPr>
          <w:p w14:paraId="023271ED" w14:textId="77777777" w:rsidR="00BC24A8" w:rsidRDefault="00000000">
            <w:pPr>
              <w:pStyle w:val="TableParagraph"/>
              <w:spacing w:before="102"/>
              <w:ind w:left="105"/>
              <w:rPr>
                <w:sz w:val="18"/>
              </w:rPr>
            </w:pPr>
            <w:r>
              <w:rPr>
                <w:sz w:val="18"/>
              </w:rPr>
              <w:t>Person</w:t>
            </w:r>
            <w:r>
              <w:rPr>
                <w:spacing w:val="4"/>
                <w:sz w:val="18"/>
              </w:rPr>
              <w:t xml:space="preserve"> </w:t>
            </w:r>
            <w:r>
              <w:rPr>
                <w:sz w:val="18"/>
              </w:rPr>
              <w:t>time</w:t>
            </w:r>
            <w:hyperlink w:anchor="_bookmark122" w:history="1">
              <w:r w:rsidR="00BC24A8">
                <w:rPr>
                  <w:position w:val="5"/>
                  <w:sz w:val="12"/>
                </w:rPr>
                <w:t>57</w:t>
              </w:r>
            </w:hyperlink>
            <w:r>
              <w:rPr>
                <w:sz w:val="18"/>
              </w:rPr>
              <w:t>:</w:t>
            </w:r>
            <w:r>
              <w:rPr>
                <w:spacing w:val="4"/>
                <w:sz w:val="18"/>
              </w:rPr>
              <w:t xml:space="preserve"> </w:t>
            </w:r>
            <w:r>
              <w:rPr>
                <w:spacing w:val="-2"/>
                <w:sz w:val="18"/>
              </w:rPr>
              <w:t>1,146</w:t>
            </w:r>
          </w:p>
          <w:p w14:paraId="6449391C" w14:textId="77777777" w:rsidR="00BC24A8" w:rsidRDefault="00BC24A8">
            <w:pPr>
              <w:pStyle w:val="TableParagraph"/>
              <w:spacing w:before="2"/>
              <w:rPr>
                <w:rFonts w:ascii="Calibri"/>
                <w:b/>
                <w:sz w:val="18"/>
              </w:rPr>
            </w:pPr>
          </w:p>
          <w:p w14:paraId="6820C0DC" w14:textId="77777777" w:rsidR="00BC24A8" w:rsidRDefault="00000000">
            <w:pPr>
              <w:pStyle w:val="TableParagraph"/>
              <w:ind w:left="105"/>
              <w:rPr>
                <w:sz w:val="18"/>
              </w:rPr>
            </w:pPr>
            <w:r>
              <w:rPr>
                <w:spacing w:val="-2"/>
                <w:sz w:val="18"/>
              </w:rPr>
              <w:t>Headcount</w:t>
            </w:r>
            <w:r>
              <w:rPr>
                <w:spacing w:val="-2"/>
                <w:position w:val="5"/>
                <w:sz w:val="12"/>
              </w:rPr>
              <w:t>5</w:t>
            </w:r>
            <w:r>
              <w:rPr>
                <w:spacing w:val="-2"/>
                <w:sz w:val="18"/>
              </w:rPr>
              <w:t>:</w:t>
            </w:r>
          </w:p>
          <w:p w14:paraId="4B93B906" w14:textId="77777777" w:rsidR="00BC24A8" w:rsidRDefault="00000000">
            <w:pPr>
              <w:pStyle w:val="TableParagraph"/>
              <w:numPr>
                <w:ilvl w:val="0"/>
                <w:numId w:val="100"/>
              </w:numPr>
              <w:tabs>
                <w:tab w:val="left" w:pos="437"/>
              </w:tabs>
              <w:spacing w:before="59" w:line="219" w:lineRule="exact"/>
              <w:rPr>
                <w:sz w:val="18"/>
              </w:rPr>
            </w:pPr>
            <w:r>
              <w:rPr>
                <w:sz w:val="18"/>
              </w:rPr>
              <w:t xml:space="preserve">245 </w:t>
            </w:r>
            <w:r>
              <w:rPr>
                <w:spacing w:val="-4"/>
                <w:sz w:val="18"/>
              </w:rPr>
              <w:t>male</w:t>
            </w:r>
          </w:p>
          <w:p w14:paraId="7D2DF3BE" w14:textId="77777777" w:rsidR="00BC24A8" w:rsidRDefault="00000000">
            <w:pPr>
              <w:pStyle w:val="TableParagraph"/>
              <w:numPr>
                <w:ilvl w:val="0"/>
                <w:numId w:val="100"/>
              </w:numPr>
              <w:tabs>
                <w:tab w:val="left" w:pos="437"/>
              </w:tabs>
              <w:spacing w:line="219" w:lineRule="exact"/>
              <w:rPr>
                <w:sz w:val="18"/>
              </w:rPr>
            </w:pPr>
            <w:r>
              <w:rPr>
                <w:sz w:val="18"/>
              </w:rPr>
              <w:t xml:space="preserve">299 </w:t>
            </w:r>
            <w:r>
              <w:rPr>
                <w:spacing w:val="-2"/>
                <w:sz w:val="18"/>
              </w:rPr>
              <w:t>female</w:t>
            </w:r>
          </w:p>
          <w:p w14:paraId="66ECB4AF" w14:textId="77777777" w:rsidR="00BC24A8" w:rsidRDefault="00000000">
            <w:pPr>
              <w:pStyle w:val="TableParagraph"/>
              <w:numPr>
                <w:ilvl w:val="0"/>
                <w:numId w:val="100"/>
              </w:numPr>
              <w:tabs>
                <w:tab w:val="left" w:pos="437"/>
              </w:tabs>
              <w:spacing w:before="1"/>
              <w:rPr>
                <w:sz w:val="18"/>
              </w:rPr>
            </w:pPr>
            <w:r>
              <w:rPr>
                <w:sz w:val="18"/>
              </w:rPr>
              <w:t>20</w:t>
            </w:r>
            <w:r>
              <w:rPr>
                <w:spacing w:val="-2"/>
                <w:sz w:val="18"/>
              </w:rPr>
              <w:t xml:space="preserve"> </w:t>
            </w:r>
            <w:r>
              <w:rPr>
                <w:sz w:val="18"/>
              </w:rPr>
              <w:t>persons</w:t>
            </w:r>
            <w:r>
              <w:rPr>
                <w:spacing w:val="-1"/>
                <w:sz w:val="18"/>
              </w:rPr>
              <w:t xml:space="preserve"> </w:t>
            </w:r>
            <w:r>
              <w:rPr>
                <w:sz w:val="18"/>
              </w:rPr>
              <w:t>with</w:t>
            </w:r>
            <w:r>
              <w:rPr>
                <w:spacing w:val="-1"/>
                <w:sz w:val="18"/>
              </w:rPr>
              <w:t xml:space="preserve"> </w:t>
            </w:r>
            <w:r>
              <w:rPr>
                <w:spacing w:val="-2"/>
                <w:sz w:val="18"/>
              </w:rPr>
              <w:t>disabilities</w:t>
            </w:r>
          </w:p>
        </w:tc>
      </w:tr>
      <w:tr w:rsidR="00BC24A8" w14:paraId="692D9907" w14:textId="77777777">
        <w:trPr>
          <w:trHeight w:val="393"/>
        </w:trPr>
        <w:tc>
          <w:tcPr>
            <w:tcW w:w="2971" w:type="dxa"/>
            <w:tcBorders>
              <w:top w:val="single" w:sz="4" w:space="0" w:color="BEBEBE"/>
              <w:bottom w:val="single" w:sz="4" w:space="0" w:color="BEBEBE"/>
            </w:tcBorders>
          </w:tcPr>
          <w:p w14:paraId="268F7920" w14:textId="77777777" w:rsidR="00BC24A8" w:rsidRDefault="00000000">
            <w:pPr>
              <w:pStyle w:val="TableParagraph"/>
              <w:spacing w:before="116"/>
              <w:ind w:left="107"/>
              <w:rPr>
                <w:sz w:val="18"/>
              </w:rPr>
            </w:pPr>
            <w:r>
              <w:rPr>
                <w:sz w:val="18"/>
              </w:rPr>
              <w:t>Technical</w:t>
            </w:r>
            <w:r>
              <w:rPr>
                <w:spacing w:val="-3"/>
                <w:sz w:val="18"/>
              </w:rPr>
              <w:t xml:space="preserve"> </w:t>
            </w:r>
            <w:r>
              <w:rPr>
                <w:spacing w:val="-2"/>
                <w:sz w:val="18"/>
              </w:rPr>
              <w:t>Guidance</w:t>
            </w:r>
          </w:p>
        </w:tc>
        <w:tc>
          <w:tcPr>
            <w:tcW w:w="1440" w:type="dxa"/>
            <w:tcBorders>
              <w:top w:val="single" w:sz="4" w:space="0" w:color="BEBEBE"/>
              <w:bottom w:val="single" w:sz="4" w:space="0" w:color="BEBEBE"/>
            </w:tcBorders>
          </w:tcPr>
          <w:p w14:paraId="69267765" w14:textId="77777777" w:rsidR="00BC24A8" w:rsidRDefault="00000000">
            <w:pPr>
              <w:pStyle w:val="TableParagraph"/>
              <w:spacing w:before="56"/>
              <w:ind w:left="3" w:right="5"/>
              <w:jc w:val="center"/>
              <w:rPr>
                <w:sz w:val="18"/>
              </w:rPr>
            </w:pPr>
            <w:r>
              <w:rPr>
                <w:spacing w:val="-10"/>
                <w:sz w:val="18"/>
              </w:rPr>
              <w:t>1</w:t>
            </w:r>
          </w:p>
        </w:tc>
        <w:tc>
          <w:tcPr>
            <w:tcW w:w="1980" w:type="dxa"/>
            <w:gridSpan w:val="2"/>
            <w:tcBorders>
              <w:top w:val="single" w:sz="4" w:space="0" w:color="BEBEBE"/>
              <w:bottom w:val="single" w:sz="4" w:space="0" w:color="BEBEBE"/>
            </w:tcBorders>
          </w:tcPr>
          <w:p w14:paraId="03BF556E" w14:textId="77777777" w:rsidR="00BC24A8" w:rsidRDefault="00000000">
            <w:pPr>
              <w:pStyle w:val="TableParagraph"/>
              <w:spacing w:before="56"/>
              <w:ind w:left="105"/>
              <w:rPr>
                <w:sz w:val="18"/>
              </w:rPr>
            </w:pPr>
            <w:r>
              <w:rPr>
                <w:spacing w:val="-10"/>
                <w:sz w:val="18"/>
              </w:rPr>
              <w:t>-</w:t>
            </w:r>
          </w:p>
        </w:tc>
        <w:tc>
          <w:tcPr>
            <w:tcW w:w="2700" w:type="dxa"/>
            <w:vMerge/>
            <w:tcBorders>
              <w:top w:val="nil"/>
            </w:tcBorders>
          </w:tcPr>
          <w:p w14:paraId="5E3D1A7A" w14:textId="77777777" w:rsidR="00BC24A8" w:rsidRDefault="00BC24A8">
            <w:pPr>
              <w:rPr>
                <w:sz w:val="2"/>
                <w:szCs w:val="2"/>
              </w:rPr>
            </w:pPr>
          </w:p>
        </w:tc>
      </w:tr>
      <w:tr w:rsidR="00BC24A8" w14:paraId="5F399A5D" w14:textId="77777777">
        <w:trPr>
          <w:trHeight w:val="393"/>
        </w:trPr>
        <w:tc>
          <w:tcPr>
            <w:tcW w:w="2971" w:type="dxa"/>
            <w:tcBorders>
              <w:top w:val="single" w:sz="4" w:space="0" w:color="BEBEBE"/>
              <w:bottom w:val="single" w:sz="4" w:space="0" w:color="BEBEBE"/>
            </w:tcBorders>
          </w:tcPr>
          <w:p w14:paraId="1554922A" w14:textId="77777777" w:rsidR="00BC24A8" w:rsidRDefault="00000000">
            <w:pPr>
              <w:pStyle w:val="TableParagraph"/>
              <w:spacing w:before="119"/>
              <w:ind w:left="107"/>
              <w:rPr>
                <w:sz w:val="18"/>
              </w:rPr>
            </w:pPr>
            <w:r>
              <w:rPr>
                <w:sz w:val="18"/>
              </w:rPr>
              <w:t>Learning</w:t>
            </w:r>
            <w:r>
              <w:rPr>
                <w:spacing w:val="-3"/>
                <w:sz w:val="18"/>
              </w:rPr>
              <w:t xml:space="preserve"> </w:t>
            </w:r>
            <w:r>
              <w:rPr>
                <w:sz w:val="18"/>
              </w:rPr>
              <w:t>Forums,</w:t>
            </w:r>
            <w:r>
              <w:rPr>
                <w:spacing w:val="-2"/>
                <w:sz w:val="18"/>
              </w:rPr>
              <w:t xml:space="preserve"> </w:t>
            </w:r>
            <w:r>
              <w:rPr>
                <w:sz w:val="18"/>
              </w:rPr>
              <w:t>Evidence</w:t>
            </w:r>
            <w:r>
              <w:rPr>
                <w:spacing w:val="-1"/>
                <w:sz w:val="18"/>
              </w:rPr>
              <w:t xml:space="preserve"> </w:t>
            </w:r>
            <w:r>
              <w:rPr>
                <w:spacing w:val="-2"/>
                <w:sz w:val="18"/>
              </w:rPr>
              <w:t>Collection</w:t>
            </w:r>
          </w:p>
        </w:tc>
        <w:tc>
          <w:tcPr>
            <w:tcW w:w="1440" w:type="dxa"/>
            <w:tcBorders>
              <w:top w:val="single" w:sz="4" w:space="0" w:color="BEBEBE"/>
              <w:bottom w:val="single" w:sz="4" w:space="0" w:color="BEBEBE"/>
            </w:tcBorders>
          </w:tcPr>
          <w:p w14:paraId="687808F5" w14:textId="77777777" w:rsidR="00BC24A8" w:rsidRDefault="00000000">
            <w:pPr>
              <w:pStyle w:val="TableParagraph"/>
              <w:spacing w:before="59"/>
              <w:ind w:left="3" w:right="5"/>
              <w:jc w:val="center"/>
              <w:rPr>
                <w:sz w:val="18"/>
              </w:rPr>
            </w:pPr>
            <w:r>
              <w:rPr>
                <w:spacing w:val="-10"/>
                <w:sz w:val="18"/>
              </w:rPr>
              <w:t>2</w:t>
            </w:r>
          </w:p>
        </w:tc>
        <w:tc>
          <w:tcPr>
            <w:tcW w:w="490" w:type="dxa"/>
            <w:tcBorders>
              <w:top w:val="single" w:sz="4" w:space="0" w:color="BEBEBE"/>
              <w:bottom w:val="single" w:sz="4" w:space="0" w:color="BEBEBE"/>
            </w:tcBorders>
          </w:tcPr>
          <w:p w14:paraId="5FFC8594" w14:textId="77777777" w:rsidR="00BC24A8" w:rsidRDefault="00000000">
            <w:pPr>
              <w:pStyle w:val="TableParagraph"/>
              <w:spacing w:before="59"/>
              <w:ind w:right="27"/>
              <w:jc w:val="center"/>
              <w:rPr>
                <w:sz w:val="18"/>
              </w:rPr>
            </w:pPr>
            <w:r>
              <w:rPr>
                <w:spacing w:val="-5"/>
                <w:sz w:val="18"/>
              </w:rPr>
              <w:t>IDR</w:t>
            </w:r>
          </w:p>
        </w:tc>
        <w:tc>
          <w:tcPr>
            <w:tcW w:w="1490" w:type="dxa"/>
            <w:tcBorders>
              <w:top w:val="single" w:sz="4" w:space="0" w:color="BEBEBE"/>
              <w:bottom w:val="single" w:sz="4" w:space="0" w:color="BEBEBE"/>
            </w:tcBorders>
          </w:tcPr>
          <w:p w14:paraId="759D7227" w14:textId="77777777" w:rsidR="00BC24A8" w:rsidRDefault="00000000">
            <w:pPr>
              <w:pStyle w:val="TableParagraph"/>
              <w:spacing w:before="59"/>
              <w:ind w:right="438"/>
              <w:jc w:val="right"/>
              <w:rPr>
                <w:sz w:val="18"/>
              </w:rPr>
            </w:pPr>
            <w:r>
              <w:rPr>
                <w:spacing w:val="-2"/>
                <w:sz w:val="18"/>
              </w:rPr>
              <w:t>21,620,959</w:t>
            </w:r>
          </w:p>
        </w:tc>
        <w:tc>
          <w:tcPr>
            <w:tcW w:w="2700" w:type="dxa"/>
            <w:vMerge/>
            <w:tcBorders>
              <w:top w:val="nil"/>
            </w:tcBorders>
          </w:tcPr>
          <w:p w14:paraId="343137E2" w14:textId="77777777" w:rsidR="00BC24A8" w:rsidRDefault="00BC24A8">
            <w:pPr>
              <w:rPr>
                <w:sz w:val="2"/>
                <w:szCs w:val="2"/>
              </w:rPr>
            </w:pPr>
          </w:p>
        </w:tc>
      </w:tr>
      <w:tr w:rsidR="00BC24A8" w14:paraId="2A781F1F" w14:textId="77777777">
        <w:trPr>
          <w:trHeight w:val="439"/>
        </w:trPr>
        <w:tc>
          <w:tcPr>
            <w:tcW w:w="2971" w:type="dxa"/>
            <w:tcBorders>
              <w:top w:val="single" w:sz="4" w:space="0" w:color="BEBEBE"/>
            </w:tcBorders>
          </w:tcPr>
          <w:p w14:paraId="3FE3C3A4" w14:textId="77777777" w:rsidR="00BC24A8" w:rsidRDefault="00000000">
            <w:pPr>
              <w:pStyle w:val="TableParagraph"/>
              <w:spacing w:before="119"/>
              <w:ind w:left="107"/>
              <w:rPr>
                <w:sz w:val="18"/>
              </w:rPr>
            </w:pPr>
            <w:r>
              <w:rPr>
                <w:sz w:val="18"/>
              </w:rPr>
              <w:t>Meetings/Coordination</w:t>
            </w:r>
            <w:r>
              <w:rPr>
                <w:spacing w:val="-7"/>
                <w:sz w:val="18"/>
              </w:rPr>
              <w:t xml:space="preserve"> </w:t>
            </w:r>
            <w:r>
              <w:rPr>
                <w:spacing w:val="-2"/>
                <w:sz w:val="18"/>
              </w:rPr>
              <w:t>Meetings</w:t>
            </w:r>
          </w:p>
        </w:tc>
        <w:tc>
          <w:tcPr>
            <w:tcW w:w="1440" w:type="dxa"/>
            <w:tcBorders>
              <w:top w:val="single" w:sz="4" w:space="0" w:color="BEBEBE"/>
            </w:tcBorders>
          </w:tcPr>
          <w:p w14:paraId="1FD54CF6" w14:textId="77777777" w:rsidR="00BC24A8" w:rsidRDefault="00000000">
            <w:pPr>
              <w:pStyle w:val="TableParagraph"/>
              <w:spacing w:before="59"/>
              <w:ind w:left="3" w:right="5"/>
              <w:jc w:val="center"/>
              <w:rPr>
                <w:sz w:val="18"/>
              </w:rPr>
            </w:pPr>
            <w:r>
              <w:rPr>
                <w:spacing w:val="-10"/>
                <w:sz w:val="18"/>
              </w:rPr>
              <w:t>1</w:t>
            </w:r>
          </w:p>
        </w:tc>
        <w:tc>
          <w:tcPr>
            <w:tcW w:w="490" w:type="dxa"/>
            <w:tcBorders>
              <w:top w:val="single" w:sz="4" w:space="0" w:color="BEBEBE"/>
            </w:tcBorders>
          </w:tcPr>
          <w:p w14:paraId="54F63FCD" w14:textId="77777777" w:rsidR="00BC24A8" w:rsidRDefault="00000000">
            <w:pPr>
              <w:pStyle w:val="TableParagraph"/>
              <w:spacing w:before="59"/>
              <w:ind w:right="27"/>
              <w:jc w:val="center"/>
              <w:rPr>
                <w:sz w:val="18"/>
              </w:rPr>
            </w:pPr>
            <w:r>
              <w:rPr>
                <w:spacing w:val="-5"/>
                <w:sz w:val="18"/>
              </w:rPr>
              <w:t>IDR</w:t>
            </w:r>
          </w:p>
        </w:tc>
        <w:tc>
          <w:tcPr>
            <w:tcW w:w="1490" w:type="dxa"/>
            <w:tcBorders>
              <w:top w:val="single" w:sz="4" w:space="0" w:color="BEBEBE"/>
            </w:tcBorders>
          </w:tcPr>
          <w:p w14:paraId="05FA6B6D" w14:textId="77777777" w:rsidR="00BC24A8" w:rsidRDefault="00000000">
            <w:pPr>
              <w:pStyle w:val="TableParagraph"/>
              <w:spacing w:before="59"/>
              <w:ind w:right="448"/>
              <w:jc w:val="right"/>
              <w:rPr>
                <w:sz w:val="18"/>
              </w:rPr>
            </w:pPr>
            <w:r>
              <w:rPr>
                <w:spacing w:val="-2"/>
                <w:sz w:val="18"/>
              </w:rPr>
              <w:t>1,818,253</w:t>
            </w:r>
          </w:p>
        </w:tc>
        <w:tc>
          <w:tcPr>
            <w:tcW w:w="2700" w:type="dxa"/>
            <w:vMerge/>
            <w:tcBorders>
              <w:top w:val="nil"/>
            </w:tcBorders>
          </w:tcPr>
          <w:p w14:paraId="72F7E0CD" w14:textId="77777777" w:rsidR="00BC24A8" w:rsidRDefault="00BC24A8">
            <w:pPr>
              <w:rPr>
                <w:sz w:val="2"/>
                <w:szCs w:val="2"/>
              </w:rPr>
            </w:pPr>
          </w:p>
        </w:tc>
      </w:tr>
      <w:tr w:rsidR="00BC24A8" w14:paraId="34DF9126" w14:textId="77777777">
        <w:trPr>
          <w:trHeight w:val="352"/>
        </w:trPr>
        <w:tc>
          <w:tcPr>
            <w:tcW w:w="2971" w:type="dxa"/>
            <w:tcBorders>
              <w:bottom w:val="single" w:sz="4" w:space="0" w:color="BEBEBE"/>
              <w:right w:val="single" w:sz="18" w:space="0" w:color="FFFFFF"/>
            </w:tcBorders>
            <w:shd w:val="clear" w:color="auto" w:fill="A7A9AC"/>
          </w:tcPr>
          <w:p w14:paraId="5D4EAB79" w14:textId="77777777" w:rsidR="00BC24A8" w:rsidRDefault="00000000">
            <w:pPr>
              <w:pStyle w:val="TableParagraph"/>
              <w:spacing w:before="59"/>
              <w:ind w:left="107"/>
              <w:rPr>
                <w:rFonts w:ascii="Calibri"/>
                <w:b/>
                <w:sz w:val="18"/>
              </w:rPr>
            </w:pPr>
            <w:r w:rsidRPr="00795364">
              <w:rPr>
                <w:rFonts w:ascii="Calibri"/>
                <w:b/>
                <w:color w:val="000000"/>
                <w:spacing w:val="-2"/>
                <w:sz w:val="18"/>
              </w:rPr>
              <w:t>TOTAL</w:t>
            </w:r>
          </w:p>
        </w:tc>
        <w:tc>
          <w:tcPr>
            <w:tcW w:w="1440" w:type="dxa"/>
            <w:tcBorders>
              <w:left w:val="single" w:sz="18" w:space="0" w:color="FFFFFF"/>
              <w:bottom w:val="single" w:sz="4" w:space="0" w:color="BEBEBE"/>
            </w:tcBorders>
            <w:shd w:val="clear" w:color="auto" w:fill="A7A9AC"/>
          </w:tcPr>
          <w:p w14:paraId="2E15182D" w14:textId="77777777" w:rsidR="00BC24A8" w:rsidRDefault="00BC24A8">
            <w:pPr>
              <w:pStyle w:val="TableParagraph"/>
              <w:rPr>
                <w:rFonts w:ascii="Times New Roman"/>
                <w:sz w:val="18"/>
              </w:rPr>
            </w:pPr>
          </w:p>
        </w:tc>
        <w:tc>
          <w:tcPr>
            <w:tcW w:w="490" w:type="dxa"/>
            <w:tcBorders>
              <w:bottom w:val="single" w:sz="4" w:space="0" w:color="BEBEBE"/>
            </w:tcBorders>
            <w:shd w:val="clear" w:color="auto" w:fill="A7A9AC"/>
          </w:tcPr>
          <w:p w14:paraId="7A4D3A4E" w14:textId="77777777" w:rsidR="00BC24A8" w:rsidRDefault="00000000">
            <w:pPr>
              <w:pStyle w:val="TableParagraph"/>
              <w:spacing w:before="59"/>
              <w:ind w:left="13" w:right="27"/>
              <w:jc w:val="center"/>
              <w:rPr>
                <w:rFonts w:ascii="Calibri"/>
                <w:b/>
                <w:sz w:val="18"/>
              </w:rPr>
            </w:pPr>
            <w:r w:rsidRPr="00795364">
              <w:rPr>
                <w:rFonts w:ascii="Calibri"/>
                <w:b/>
                <w:color w:val="000000"/>
                <w:spacing w:val="-5"/>
                <w:sz w:val="18"/>
              </w:rPr>
              <w:t>IDR</w:t>
            </w:r>
          </w:p>
        </w:tc>
        <w:tc>
          <w:tcPr>
            <w:tcW w:w="1490" w:type="dxa"/>
            <w:tcBorders>
              <w:bottom w:val="single" w:sz="4" w:space="0" w:color="BEBEBE"/>
            </w:tcBorders>
            <w:shd w:val="clear" w:color="auto" w:fill="A7A9AC"/>
          </w:tcPr>
          <w:p w14:paraId="7FC2B8DE" w14:textId="77777777" w:rsidR="00BC24A8" w:rsidRDefault="00000000">
            <w:pPr>
              <w:pStyle w:val="TableParagraph"/>
              <w:spacing w:before="59"/>
              <w:ind w:right="453"/>
              <w:jc w:val="right"/>
              <w:rPr>
                <w:rFonts w:ascii="Calibri"/>
                <w:b/>
                <w:sz w:val="18"/>
              </w:rPr>
            </w:pPr>
            <w:r w:rsidRPr="00795364">
              <w:rPr>
                <w:rFonts w:ascii="Calibri"/>
                <w:b/>
                <w:color w:val="000000"/>
                <w:spacing w:val="-2"/>
                <w:sz w:val="18"/>
              </w:rPr>
              <w:t>671,268,434</w:t>
            </w:r>
          </w:p>
        </w:tc>
        <w:tc>
          <w:tcPr>
            <w:tcW w:w="2700" w:type="dxa"/>
            <w:tcBorders>
              <w:bottom w:val="single" w:sz="4" w:space="0" w:color="BEBEBE"/>
            </w:tcBorders>
            <w:shd w:val="clear" w:color="auto" w:fill="A7A9AC"/>
          </w:tcPr>
          <w:p w14:paraId="6C3B2AA3" w14:textId="77777777" w:rsidR="00BC24A8" w:rsidRDefault="00BC24A8">
            <w:pPr>
              <w:pStyle w:val="TableParagraph"/>
              <w:rPr>
                <w:rFonts w:ascii="Times New Roman"/>
                <w:sz w:val="18"/>
              </w:rPr>
            </w:pPr>
          </w:p>
        </w:tc>
      </w:tr>
    </w:tbl>
    <w:p w14:paraId="7FD021DD" w14:textId="77777777" w:rsidR="00BC24A8" w:rsidRDefault="00000000">
      <w:pPr>
        <w:spacing w:before="120"/>
        <w:ind w:left="143"/>
        <w:rPr>
          <w:sz w:val="16"/>
        </w:rPr>
      </w:pPr>
      <w:r>
        <w:rPr>
          <w:sz w:val="16"/>
        </w:rPr>
        <w:t>Data</w:t>
      </w:r>
      <w:r>
        <w:rPr>
          <w:spacing w:val="-5"/>
          <w:sz w:val="16"/>
        </w:rPr>
        <w:t xml:space="preserve"> </w:t>
      </w:r>
      <w:r>
        <w:rPr>
          <w:sz w:val="16"/>
        </w:rPr>
        <w:t>source:</w:t>
      </w:r>
      <w:r>
        <w:rPr>
          <w:spacing w:val="-5"/>
          <w:sz w:val="16"/>
        </w:rPr>
        <w:t xml:space="preserve"> </w:t>
      </w:r>
      <w:r>
        <w:rPr>
          <w:sz w:val="16"/>
        </w:rPr>
        <w:t>MIS</w:t>
      </w:r>
      <w:r>
        <w:rPr>
          <w:spacing w:val="-3"/>
          <w:sz w:val="16"/>
        </w:rPr>
        <w:t xml:space="preserve"> </w:t>
      </w:r>
      <w:r>
        <w:rPr>
          <w:sz w:val="16"/>
        </w:rPr>
        <w:t>SKALA</w:t>
      </w:r>
      <w:r>
        <w:rPr>
          <w:spacing w:val="-3"/>
          <w:sz w:val="16"/>
        </w:rPr>
        <w:t xml:space="preserve"> </w:t>
      </w:r>
      <w:r>
        <w:rPr>
          <w:sz w:val="16"/>
        </w:rPr>
        <w:t>as</w:t>
      </w:r>
      <w:r>
        <w:rPr>
          <w:spacing w:val="-6"/>
          <w:sz w:val="16"/>
        </w:rPr>
        <w:t xml:space="preserve"> </w:t>
      </w:r>
      <w:r>
        <w:rPr>
          <w:sz w:val="16"/>
        </w:rPr>
        <w:t>of</w:t>
      </w:r>
      <w:r>
        <w:rPr>
          <w:spacing w:val="-3"/>
          <w:sz w:val="16"/>
        </w:rPr>
        <w:t xml:space="preserve"> </w:t>
      </w:r>
      <w:r>
        <w:rPr>
          <w:sz w:val="16"/>
        </w:rPr>
        <w:t>August</w:t>
      </w:r>
      <w:r>
        <w:rPr>
          <w:spacing w:val="-4"/>
          <w:sz w:val="16"/>
        </w:rPr>
        <w:t xml:space="preserve"> </w:t>
      </w:r>
      <w:r>
        <w:rPr>
          <w:sz w:val="16"/>
        </w:rPr>
        <w:t>6,</w:t>
      </w:r>
      <w:r>
        <w:rPr>
          <w:spacing w:val="-4"/>
          <w:sz w:val="16"/>
        </w:rPr>
        <w:t xml:space="preserve"> 2025</w:t>
      </w:r>
    </w:p>
    <w:p w14:paraId="6EB00AED" w14:textId="77777777" w:rsidR="00BC24A8" w:rsidRDefault="00BC24A8">
      <w:pPr>
        <w:pStyle w:val="BodyText"/>
        <w:rPr>
          <w:sz w:val="16"/>
        </w:rPr>
      </w:pPr>
    </w:p>
    <w:p w14:paraId="72A018CF" w14:textId="77777777" w:rsidR="00BC24A8" w:rsidRDefault="00BC24A8">
      <w:pPr>
        <w:pStyle w:val="BodyText"/>
        <w:spacing w:before="110"/>
        <w:rPr>
          <w:sz w:val="16"/>
        </w:rPr>
      </w:pPr>
    </w:p>
    <w:p w14:paraId="02E4C101" w14:textId="77777777" w:rsidR="00BC24A8" w:rsidRDefault="00000000">
      <w:pPr>
        <w:pStyle w:val="BodyText"/>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3"/>
        </w:rPr>
        <w:t xml:space="preserve"> </w:t>
      </w:r>
      <w:r>
        <w:rPr>
          <w:rFonts w:ascii="Calibri"/>
          <w:color w:val="272727"/>
        </w:rPr>
        <w:t>at</w:t>
      </w:r>
      <w:r>
        <w:rPr>
          <w:rFonts w:ascii="Calibri"/>
          <w:color w:val="272727"/>
          <w:spacing w:val="-4"/>
        </w:rPr>
        <w:t xml:space="preserve"> </w:t>
      </w:r>
      <w:r>
        <w:rPr>
          <w:rFonts w:ascii="Calibri"/>
          <w:color w:val="272727"/>
        </w:rPr>
        <w:t>the</w:t>
      </w:r>
      <w:r>
        <w:rPr>
          <w:rFonts w:ascii="Calibri"/>
          <w:color w:val="272727"/>
          <w:spacing w:val="-5"/>
        </w:rPr>
        <w:t xml:space="preserve"> </w:t>
      </w:r>
      <w:r>
        <w:rPr>
          <w:rFonts w:ascii="Calibri"/>
          <w:color w:val="272727"/>
        </w:rPr>
        <w:t>Output</w:t>
      </w:r>
      <w:r>
        <w:rPr>
          <w:rFonts w:ascii="Calibri"/>
          <w:color w:val="272727"/>
          <w:spacing w:val="-2"/>
        </w:rPr>
        <w:t xml:space="preserve"> </w:t>
      </w:r>
      <w:r>
        <w:rPr>
          <w:rFonts w:ascii="Calibri"/>
          <w:color w:val="272727"/>
          <w:spacing w:val="-4"/>
        </w:rPr>
        <w:t>Level</w:t>
      </w:r>
    </w:p>
    <w:p w14:paraId="1CCCE3F6" w14:textId="77777777" w:rsidR="00BC24A8" w:rsidRDefault="00BC24A8">
      <w:pPr>
        <w:pStyle w:val="BodyText"/>
        <w:spacing w:before="44"/>
        <w:rPr>
          <w:rFonts w:ascii="Calibri"/>
        </w:rPr>
      </w:pPr>
    </w:p>
    <w:p w14:paraId="7B52085E" w14:textId="77777777" w:rsidR="00BC24A8" w:rsidRDefault="00000000">
      <w:pPr>
        <w:pStyle w:val="Heading5"/>
      </w:pPr>
      <w:bookmarkStart w:id="178" w:name="_bookmark121"/>
      <w:bookmarkEnd w:id="178"/>
      <w:r>
        <w:rPr>
          <w:color w:val="767070"/>
        </w:rPr>
        <w:t>Table</w:t>
      </w:r>
      <w:r>
        <w:rPr>
          <w:color w:val="767070"/>
          <w:spacing w:val="-7"/>
        </w:rPr>
        <w:t xml:space="preserve"> </w:t>
      </w:r>
      <w:r>
        <w:rPr>
          <w:color w:val="767070"/>
        </w:rPr>
        <w:t>15:</w:t>
      </w:r>
      <w:r>
        <w:rPr>
          <w:color w:val="767070"/>
          <w:spacing w:val="-6"/>
        </w:rPr>
        <w:t xml:space="preserve"> </w:t>
      </w:r>
      <w:r>
        <w:rPr>
          <w:color w:val="767070"/>
        </w:rPr>
        <w:t>FY</w:t>
      </w:r>
      <w:r>
        <w:rPr>
          <w:color w:val="767070"/>
          <w:spacing w:val="-7"/>
        </w:rPr>
        <w:t xml:space="preserve"> </w:t>
      </w:r>
      <w:r>
        <w:rPr>
          <w:color w:val="767070"/>
        </w:rPr>
        <w:t>2024/2025</w:t>
      </w:r>
      <w:r>
        <w:rPr>
          <w:color w:val="767070"/>
          <w:spacing w:val="-6"/>
        </w:rPr>
        <w:t xml:space="preserve"> </w:t>
      </w:r>
      <w:r>
        <w:rPr>
          <w:color w:val="767070"/>
        </w:rPr>
        <w:t>work</w:t>
      </w:r>
      <w:r>
        <w:rPr>
          <w:color w:val="767070"/>
          <w:spacing w:val="-5"/>
        </w:rPr>
        <w:t xml:space="preserve"> </w:t>
      </w:r>
      <w:r>
        <w:rPr>
          <w:color w:val="767070"/>
        </w:rPr>
        <w:t>plan</w:t>
      </w:r>
      <w:r>
        <w:rPr>
          <w:color w:val="767070"/>
          <w:spacing w:val="-6"/>
        </w:rPr>
        <w:t xml:space="preserve"> </w:t>
      </w:r>
      <w:r>
        <w:rPr>
          <w:color w:val="767070"/>
        </w:rPr>
        <w:t>output</w:t>
      </w:r>
      <w:r>
        <w:rPr>
          <w:color w:val="767070"/>
          <w:spacing w:val="-5"/>
        </w:rPr>
        <w:t xml:space="preserve"> </w:t>
      </w:r>
      <w:r>
        <w:rPr>
          <w:color w:val="767070"/>
        </w:rPr>
        <w:t>table</w:t>
      </w:r>
      <w:r>
        <w:rPr>
          <w:color w:val="767070"/>
          <w:spacing w:val="-6"/>
        </w:rPr>
        <w:t xml:space="preserve"> </w:t>
      </w:r>
      <w:r>
        <w:rPr>
          <w:color w:val="767070"/>
        </w:rPr>
        <w:t>as</w:t>
      </w:r>
      <w:r>
        <w:rPr>
          <w:color w:val="767070"/>
          <w:spacing w:val="-4"/>
        </w:rPr>
        <w:t xml:space="preserve"> </w:t>
      </w:r>
      <w:r>
        <w:rPr>
          <w:color w:val="767070"/>
        </w:rPr>
        <w:t>of</w:t>
      </w:r>
      <w:r>
        <w:rPr>
          <w:color w:val="767070"/>
          <w:spacing w:val="-5"/>
        </w:rPr>
        <w:t xml:space="preserve"> </w:t>
      </w:r>
      <w:r>
        <w:rPr>
          <w:color w:val="767070"/>
        </w:rPr>
        <w:t>June</w:t>
      </w:r>
      <w:r>
        <w:rPr>
          <w:color w:val="767070"/>
          <w:spacing w:val="-6"/>
        </w:rPr>
        <w:t xml:space="preserve"> </w:t>
      </w:r>
      <w:r>
        <w:rPr>
          <w:color w:val="767070"/>
          <w:spacing w:val="-4"/>
        </w:rPr>
        <w:t>2025</w:t>
      </w:r>
    </w:p>
    <w:p w14:paraId="1517F13E" w14:textId="77777777" w:rsidR="00BC24A8" w:rsidRDefault="00BC24A8">
      <w:pPr>
        <w:pStyle w:val="BodyText"/>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2431"/>
        <w:gridCol w:w="1260"/>
        <w:gridCol w:w="1620"/>
        <w:gridCol w:w="1440"/>
        <w:gridCol w:w="2340"/>
      </w:tblGrid>
      <w:tr w:rsidR="00BC24A8" w14:paraId="7366A400" w14:textId="77777777">
        <w:trPr>
          <w:trHeight w:val="379"/>
        </w:trPr>
        <w:tc>
          <w:tcPr>
            <w:tcW w:w="2431" w:type="dxa"/>
            <w:shd w:val="clear" w:color="auto" w:fill="17365A"/>
          </w:tcPr>
          <w:p w14:paraId="528E8B00" w14:textId="77777777" w:rsidR="00BC24A8" w:rsidRDefault="00000000">
            <w:pPr>
              <w:pStyle w:val="TableParagraph"/>
              <w:spacing w:before="59"/>
              <w:ind w:left="107"/>
              <w:rPr>
                <w:rFonts w:ascii="Calibri"/>
                <w:b/>
                <w:sz w:val="20"/>
              </w:rPr>
            </w:pPr>
            <w:r>
              <w:rPr>
                <w:rFonts w:ascii="Calibri"/>
                <w:b/>
                <w:color w:val="FFFFFF"/>
                <w:spacing w:val="-2"/>
                <w:sz w:val="20"/>
              </w:rPr>
              <w:t>Theme</w:t>
            </w:r>
          </w:p>
        </w:tc>
        <w:tc>
          <w:tcPr>
            <w:tcW w:w="1260" w:type="dxa"/>
            <w:shd w:val="clear" w:color="auto" w:fill="17365A"/>
          </w:tcPr>
          <w:p w14:paraId="417750AC" w14:textId="77777777" w:rsidR="00BC24A8" w:rsidRDefault="00000000">
            <w:pPr>
              <w:pStyle w:val="TableParagraph"/>
              <w:spacing w:before="59"/>
              <w:ind w:left="5" w:right="5"/>
              <w:jc w:val="center"/>
              <w:rPr>
                <w:rFonts w:ascii="Calibri"/>
                <w:b/>
                <w:sz w:val="20"/>
              </w:rPr>
            </w:pPr>
            <w:r>
              <w:rPr>
                <w:rFonts w:ascii="Calibri"/>
                <w:b/>
                <w:color w:val="FFFFFF"/>
                <w:spacing w:val="-2"/>
                <w:sz w:val="20"/>
              </w:rPr>
              <w:t>Completed</w:t>
            </w:r>
          </w:p>
        </w:tc>
        <w:tc>
          <w:tcPr>
            <w:tcW w:w="1620" w:type="dxa"/>
            <w:shd w:val="clear" w:color="auto" w:fill="17365A"/>
          </w:tcPr>
          <w:p w14:paraId="195EAFE0" w14:textId="77777777" w:rsidR="00BC24A8" w:rsidRDefault="00000000">
            <w:pPr>
              <w:pStyle w:val="TableParagraph"/>
              <w:spacing w:before="59"/>
              <w:ind w:right="6"/>
              <w:jc w:val="center"/>
              <w:rPr>
                <w:rFonts w:ascii="Calibri"/>
                <w:b/>
                <w:sz w:val="20"/>
              </w:rPr>
            </w:pPr>
            <w:r>
              <w:rPr>
                <w:rFonts w:ascii="Calibri"/>
                <w:b/>
                <w:color w:val="FFFFFF"/>
                <w:spacing w:val="-2"/>
                <w:sz w:val="20"/>
              </w:rPr>
              <w:t>Ongoing</w:t>
            </w:r>
          </w:p>
        </w:tc>
        <w:tc>
          <w:tcPr>
            <w:tcW w:w="1440" w:type="dxa"/>
            <w:shd w:val="clear" w:color="auto" w:fill="17365A"/>
          </w:tcPr>
          <w:p w14:paraId="608DF299" w14:textId="77777777" w:rsidR="00BC24A8" w:rsidRDefault="00000000">
            <w:pPr>
              <w:pStyle w:val="TableParagraph"/>
              <w:spacing w:before="59"/>
              <w:ind w:left="5" w:right="5"/>
              <w:jc w:val="center"/>
              <w:rPr>
                <w:rFonts w:ascii="Calibri"/>
                <w:b/>
                <w:sz w:val="20"/>
              </w:rPr>
            </w:pPr>
            <w:r>
              <w:rPr>
                <w:rFonts w:ascii="Calibri"/>
                <w:b/>
                <w:color w:val="FFFFFF"/>
                <w:sz w:val="20"/>
              </w:rPr>
              <w:t>Not</w:t>
            </w:r>
            <w:r>
              <w:rPr>
                <w:rFonts w:ascii="Calibri"/>
                <w:b/>
                <w:color w:val="FFFFFF"/>
                <w:spacing w:val="-4"/>
                <w:sz w:val="20"/>
              </w:rPr>
              <w:t xml:space="preserve"> </w:t>
            </w:r>
            <w:r>
              <w:rPr>
                <w:rFonts w:ascii="Calibri"/>
                <w:b/>
                <w:color w:val="FFFFFF"/>
                <w:spacing w:val="-2"/>
                <w:sz w:val="20"/>
              </w:rPr>
              <w:t>started</w:t>
            </w:r>
          </w:p>
        </w:tc>
        <w:tc>
          <w:tcPr>
            <w:tcW w:w="2340" w:type="dxa"/>
            <w:shd w:val="clear" w:color="auto" w:fill="17365A"/>
          </w:tcPr>
          <w:p w14:paraId="40A0C9B3" w14:textId="77777777" w:rsidR="00BC24A8" w:rsidRDefault="00000000">
            <w:pPr>
              <w:pStyle w:val="TableParagraph"/>
              <w:spacing w:before="59"/>
              <w:ind w:left="1" w:right="4"/>
              <w:jc w:val="center"/>
              <w:rPr>
                <w:rFonts w:ascii="Calibri"/>
                <w:b/>
                <w:sz w:val="20"/>
              </w:rPr>
            </w:pPr>
            <w:r>
              <w:rPr>
                <w:rFonts w:ascii="Calibri"/>
                <w:b/>
                <w:color w:val="FFFFFF"/>
                <w:spacing w:val="-2"/>
                <w:sz w:val="20"/>
              </w:rPr>
              <w:t>Total</w:t>
            </w:r>
          </w:p>
        </w:tc>
      </w:tr>
      <w:tr w:rsidR="00BC24A8" w14:paraId="4659A197" w14:textId="77777777">
        <w:trPr>
          <w:trHeight w:val="436"/>
        </w:trPr>
        <w:tc>
          <w:tcPr>
            <w:tcW w:w="2431" w:type="dxa"/>
            <w:tcBorders>
              <w:bottom w:val="single" w:sz="4" w:space="0" w:color="BEBEBE"/>
            </w:tcBorders>
          </w:tcPr>
          <w:p w14:paraId="43AE9B3F" w14:textId="77777777" w:rsidR="00BC24A8" w:rsidRDefault="00000000">
            <w:pPr>
              <w:pStyle w:val="TableParagraph"/>
              <w:spacing w:before="160"/>
              <w:ind w:left="107"/>
              <w:rPr>
                <w:sz w:val="18"/>
              </w:rPr>
            </w:pPr>
            <w:r>
              <w:rPr>
                <w:spacing w:val="-5"/>
                <w:sz w:val="18"/>
              </w:rPr>
              <w:t>DNA</w:t>
            </w:r>
          </w:p>
        </w:tc>
        <w:tc>
          <w:tcPr>
            <w:tcW w:w="1260" w:type="dxa"/>
            <w:tcBorders>
              <w:bottom w:val="single" w:sz="4" w:space="0" w:color="BEBEBE"/>
            </w:tcBorders>
          </w:tcPr>
          <w:p w14:paraId="1C86947C" w14:textId="77777777" w:rsidR="00BC24A8" w:rsidRDefault="00000000">
            <w:pPr>
              <w:pStyle w:val="TableParagraph"/>
              <w:spacing w:before="131"/>
              <w:ind w:left="1" w:right="5"/>
              <w:jc w:val="center"/>
              <w:rPr>
                <w:sz w:val="18"/>
              </w:rPr>
            </w:pPr>
            <w:r>
              <w:rPr>
                <w:spacing w:val="-10"/>
                <w:sz w:val="18"/>
              </w:rPr>
              <w:t>9</w:t>
            </w:r>
          </w:p>
        </w:tc>
        <w:tc>
          <w:tcPr>
            <w:tcW w:w="1620" w:type="dxa"/>
            <w:tcBorders>
              <w:bottom w:val="single" w:sz="4" w:space="0" w:color="BEBEBE"/>
            </w:tcBorders>
          </w:tcPr>
          <w:p w14:paraId="71FB0F4B" w14:textId="77777777" w:rsidR="00BC24A8" w:rsidRDefault="00000000">
            <w:pPr>
              <w:pStyle w:val="TableParagraph"/>
              <w:spacing w:before="131"/>
              <w:ind w:left="2" w:right="6"/>
              <w:jc w:val="center"/>
              <w:rPr>
                <w:sz w:val="18"/>
              </w:rPr>
            </w:pPr>
            <w:r>
              <w:rPr>
                <w:spacing w:val="-10"/>
                <w:sz w:val="18"/>
              </w:rPr>
              <w:t>2</w:t>
            </w:r>
          </w:p>
        </w:tc>
        <w:tc>
          <w:tcPr>
            <w:tcW w:w="1440" w:type="dxa"/>
            <w:tcBorders>
              <w:bottom w:val="single" w:sz="4" w:space="0" w:color="BEBEBE"/>
            </w:tcBorders>
          </w:tcPr>
          <w:p w14:paraId="47869D91" w14:textId="77777777" w:rsidR="00BC24A8" w:rsidRDefault="00000000">
            <w:pPr>
              <w:pStyle w:val="TableParagraph"/>
              <w:spacing w:before="131"/>
              <w:ind w:left="3" w:right="5"/>
              <w:jc w:val="center"/>
              <w:rPr>
                <w:sz w:val="18"/>
              </w:rPr>
            </w:pPr>
            <w:r>
              <w:rPr>
                <w:spacing w:val="-10"/>
                <w:sz w:val="18"/>
              </w:rPr>
              <w:t>3</w:t>
            </w:r>
          </w:p>
        </w:tc>
        <w:tc>
          <w:tcPr>
            <w:tcW w:w="2340" w:type="dxa"/>
            <w:tcBorders>
              <w:bottom w:val="single" w:sz="4" w:space="0" w:color="BEBEBE"/>
            </w:tcBorders>
          </w:tcPr>
          <w:p w14:paraId="12579E1E" w14:textId="77777777" w:rsidR="00BC24A8" w:rsidRDefault="00000000">
            <w:pPr>
              <w:pStyle w:val="TableParagraph"/>
              <w:spacing w:before="102"/>
              <w:ind w:right="4"/>
              <w:jc w:val="center"/>
              <w:rPr>
                <w:sz w:val="18"/>
              </w:rPr>
            </w:pPr>
            <w:r>
              <w:rPr>
                <w:spacing w:val="-5"/>
                <w:sz w:val="18"/>
              </w:rPr>
              <w:t>14</w:t>
            </w:r>
          </w:p>
        </w:tc>
      </w:tr>
      <w:tr w:rsidR="00BC24A8" w14:paraId="23393C9F" w14:textId="77777777">
        <w:trPr>
          <w:trHeight w:val="393"/>
        </w:trPr>
        <w:tc>
          <w:tcPr>
            <w:tcW w:w="2431" w:type="dxa"/>
            <w:tcBorders>
              <w:top w:val="single" w:sz="4" w:space="0" w:color="BEBEBE"/>
              <w:bottom w:val="single" w:sz="4" w:space="0" w:color="BEBEBE"/>
            </w:tcBorders>
          </w:tcPr>
          <w:p w14:paraId="7798FCA3" w14:textId="77777777" w:rsidR="00BC24A8" w:rsidRDefault="00000000">
            <w:pPr>
              <w:pStyle w:val="TableParagraph"/>
              <w:spacing w:before="119"/>
              <w:ind w:left="107"/>
              <w:rPr>
                <w:sz w:val="18"/>
              </w:rPr>
            </w:pPr>
            <w:r>
              <w:rPr>
                <w:spacing w:val="-5"/>
                <w:sz w:val="18"/>
              </w:rPr>
              <w:t>MSS</w:t>
            </w:r>
          </w:p>
        </w:tc>
        <w:tc>
          <w:tcPr>
            <w:tcW w:w="1260" w:type="dxa"/>
            <w:tcBorders>
              <w:top w:val="single" w:sz="4" w:space="0" w:color="BEBEBE"/>
              <w:bottom w:val="single" w:sz="4" w:space="0" w:color="BEBEBE"/>
            </w:tcBorders>
          </w:tcPr>
          <w:p w14:paraId="4320F0CD" w14:textId="77777777" w:rsidR="00BC24A8" w:rsidRDefault="00000000">
            <w:pPr>
              <w:pStyle w:val="TableParagraph"/>
              <w:spacing w:before="87"/>
              <w:ind w:left="1" w:right="5"/>
              <w:jc w:val="center"/>
              <w:rPr>
                <w:sz w:val="18"/>
              </w:rPr>
            </w:pPr>
            <w:r>
              <w:rPr>
                <w:spacing w:val="-5"/>
                <w:sz w:val="18"/>
              </w:rPr>
              <w:t>11</w:t>
            </w:r>
          </w:p>
        </w:tc>
        <w:tc>
          <w:tcPr>
            <w:tcW w:w="1620" w:type="dxa"/>
            <w:tcBorders>
              <w:top w:val="single" w:sz="4" w:space="0" w:color="BEBEBE"/>
              <w:bottom w:val="single" w:sz="4" w:space="0" w:color="BEBEBE"/>
            </w:tcBorders>
          </w:tcPr>
          <w:p w14:paraId="61C2BE6A" w14:textId="77777777" w:rsidR="00BC24A8" w:rsidRDefault="00000000">
            <w:pPr>
              <w:pStyle w:val="TableParagraph"/>
              <w:spacing w:before="87"/>
              <w:ind w:left="2" w:right="6"/>
              <w:jc w:val="center"/>
              <w:rPr>
                <w:sz w:val="18"/>
              </w:rPr>
            </w:pPr>
            <w:r>
              <w:rPr>
                <w:spacing w:val="-10"/>
                <w:sz w:val="18"/>
              </w:rPr>
              <w:t>2</w:t>
            </w:r>
          </w:p>
        </w:tc>
        <w:tc>
          <w:tcPr>
            <w:tcW w:w="1440" w:type="dxa"/>
            <w:tcBorders>
              <w:top w:val="single" w:sz="4" w:space="0" w:color="BEBEBE"/>
              <w:bottom w:val="single" w:sz="4" w:space="0" w:color="BEBEBE"/>
            </w:tcBorders>
          </w:tcPr>
          <w:p w14:paraId="070FCF77" w14:textId="77777777" w:rsidR="00BC24A8" w:rsidRDefault="00000000">
            <w:pPr>
              <w:pStyle w:val="TableParagraph"/>
              <w:spacing w:before="87"/>
              <w:ind w:left="3" w:right="5"/>
              <w:jc w:val="center"/>
              <w:rPr>
                <w:sz w:val="18"/>
              </w:rPr>
            </w:pPr>
            <w:r>
              <w:rPr>
                <w:spacing w:val="-10"/>
                <w:sz w:val="18"/>
              </w:rPr>
              <w:t>2</w:t>
            </w:r>
          </w:p>
        </w:tc>
        <w:tc>
          <w:tcPr>
            <w:tcW w:w="2340" w:type="dxa"/>
            <w:tcBorders>
              <w:top w:val="single" w:sz="4" w:space="0" w:color="BEBEBE"/>
              <w:bottom w:val="single" w:sz="4" w:space="0" w:color="BEBEBE"/>
            </w:tcBorders>
          </w:tcPr>
          <w:p w14:paraId="0496AB60" w14:textId="77777777" w:rsidR="00BC24A8" w:rsidRDefault="00000000">
            <w:pPr>
              <w:pStyle w:val="TableParagraph"/>
              <w:spacing w:before="59"/>
              <w:ind w:right="4"/>
              <w:jc w:val="center"/>
              <w:rPr>
                <w:sz w:val="18"/>
              </w:rPr>
            </w:pPr>
            <w:r>
              <w:rPr>
                <w:spacing w:val="-5"/>
                <w:sz w:val="18"/>
              </w:rPr>
              <w:t>15</w:t>
            </w:r>
          </w:p>
        </w:tc>
      </w:tr>
      <w:tr w:rsidR="00BC24A8" w14:paraId="2A612D05" w14:textId="77777777">
        <w:trPr>
          <w:trHeight w:val="395"/>
        </w:trPr>
        <w:tc>
          <w:tcPr>
            <w:tcW w:w="2431" w:type="dxa"/>
            <w:tcBorders>
              <w:top w:val="single" w:sz="4" w:space="0" w:color="BEBEBE"/>
              <w:bottom w:val="single" w:sz="4" w:space="0" w:color="BEBEBE"/>
            </w:tcBorders>
          </w:tcPr>
          <w:p w14:paraId="65D762D2" w14:textId="77777777" w:rsidR="00BC24A8" w:rsidRDefault="00000000">
            <w:pPr>
              <w:pStyle w:val="TableParagraph"/>
              <w:spacing w:before="119"/>
              <w:ind w:left="107"/>
              <w:rPr>
                <w:sz w:val="18"/>
              </w:rPr>
            </w:pPr>
            <w:r>
              <w:rPr>
                <w:spacing w:val="-5"/>
                <w:sz w:val="18"/>
              </w:rPr>
              <w:t>PFM</w:t>
            </w:r>
          </w:p>
        </w:tc>
        <w:tc>
          <w:tcPr>
            <w:tcW w:w="1260" w:type="dxa"/>
            <w:tcBorders>
              <w:top w:val="single" w:sz="4" w:space="0" w:color="BEBEBE"/>
              <w:bottom w:val="single" w:sz="4" w:space="0" w:color="BEBEBE"/>
            </w:tcBorders>
          </w:tcPr>
          <w:p w14:paraId="12F701EF" w14:textId="77777777" w:rsidR="00BC24A8" w:rsidRDefault="00000000">
            <w:pPr>
              <w:pStyle w:val="TableParagraph"/>
              <w:spacing w:before="87"/>
              <w:ind w:left="1" w:right="5"/>
              <w:jc w:val="center"/>
              <w:rPr>
                <w:sz w:val="18"/>
              </w:rPr>
            </w:pPr>
            <w:r>
              <w:rPr>
                <w:spacing w:val="-10"/>
                <w:sz w:val="18"/>
              </w:rPr>
              <w:t>2</w:t>
            </w:r>
          </w:p>
        </w:tc>
        <w:tc>
          <w:tcPr>
            <w:tcW w:w="1620" w:type="dxa"/>
            <w:tcBorders>
              <w:top w:val="single" w:sz="4" w:space="0" w:color="BEBEBE"/>
              <w:bottom w:val="single" w:sz="4" w:space="0" w:color="BEBEBE"/>
            </w:tcBorders>
          </w:tcPr>
          <w:p w14:paraId="2911FA07" w14:textId="77777777" w:rsidR="00BC24A8" w:rsidRDefault="00000000">
            <w:pPr>
              <w:pStyle w:val="TableParagraph"/>
              <w:spacing w:before="87"/>
              <w:ind w:left="2" w:right="6"/>
              <w:jc w:val="center"/>
              <w:rPr>
                <w:sz w:val="18"/>
              </w:rPr>
            </w:pPr>
            <w:r>
              <w:rPr>
                <w:spacing w:val="-10"/>
                <w:sz w:val="18"/>
              </w:rPr>
              <w:t>5</w:t>
            </w:r>
          </w:p>
        </w:tc>
        <w:tc>
          <w:tcPr>
            <w:tcW w:w="1440" w:type="dxa"/>
            <w:tcBorders>
              <w:top w:val="single" w:sz="4" w:space="0" w:color="BEBEBE"/>
              <w:bottom w:val="single" w:sz="4" w:space="0" w:color="BEBEBE"/>
            </w:tcBorders>
          </w:tcPr>
          <w:p w14:paraId="31B1ADF8" w14:textId="77777777" w:rsidR="00BC24A8" w:rsidRDefault="00000000">
            <w:pPr>
              <w:pStyle w:val="TableParagraph"/>
              <w:spacing w:before="87"/>
              <w:ind w:left="3" w:right="5"/>
              <w:jc w:val="center"/>
              <w:rPr>
                <w:sz w:val="18"/>
              </w:rPr>
            </w:pPr>
            <w:r>
              <w:rPr>
                <w:spacing w:val="-10"/>
                <w:sz w:val="18"/>
              </w:rPr>
              <w:t>4</w:t>
            </w:r>
          </w:p>
        </w:tc>
        <w:tc>
          <w:tcPr>
            <w:tcW w:w="2340" w:type="dxa"/>
            <w:tcBorders>
              <w:top w:val="single" w:sz="4" w:space="0" w:color="BEBEBE"/>
              <w:bottom w:val="single" w:sz="4" w:space="0" w:color="BEBEBE"/>
            </w:tcBorders>
          </w:tcPr>
          <w:p w14:paraId="086BCB41" w14:textId="77777777" w:rsidR="00BC24A8" w:rsidRDefault="00000000">
            <w:pPr>
              <w:pStyle w:val="TableParagraph"/>
              <w:spacing w:before="59"/>
              <w:ind w:right="4"/>
              <w:jc w:val="center"/>
              <w:rPr>
                <w:sz w:val="18"/>
              </w:rPr>
            </w:pPr>
            <w:r>
              <w:rPr>
                <w:spacing w:val="-5"/>
                <w:sz w:val="18"/>
              </w:rPr>
              <w:t>11</w:t>
            </w:r>
          </w:p>
        </w:tc>
      </w:tr>
      <w:tr w:rsidR="00BC24A8" w14:paraId="6003A43B" w14:textId="77777777">
        <w:trPr>
          <w:trHeight w:val="436"/>
        </w:trPr>
        <w:tc>
          <w:tcPr>
            <w:tcW w:w="2431" w:type="dxa"/>
            <w:tcBorders>
              <w:top w:val="single" w:sz="4" w:space="0" w:color="BEBEBE"/>
            </w:tcBorders>
          </w:tcPr>
          <w:p w14:paraId="6D08D954" w14:textId="77777777" w:rsidR="00BC24A8" w:rsidRDefault="00000000">
            <w:pPr>
              <w:pStyle w:val="TableParagraph"/>
              <w:spacing w:before="116"/>
              <w:ind w:left="107"/>
              <w:rPr>
                <w:sz w:val="18"/>
              </w:rPr>
            </w:pPr>
            <w:r>
              <w:rPr>
                <w:spacing w:val="-2"/>
                <w:sz w:val="18"/>
              </w:rPr>
              <w:t>GEDSI</w:t>
            </w:r>
          </w:p>
        </w:tc>
        <w:tc>
          <w:tcPr>
            <w:tcW w:w="1260" w:type="dxa"/>
            <w:tcBorders>
              <w:top w:val="single" w:sz="4" w:space="0" w:color="BEBEBE"/>
            </w:tcBorders>
          </w:tcPr>
          <w:p w14:paraId="0786546B" w14:textId="77777777" w:rsidR="00BC24A8" w:rsidRDefault="00000000">
            <w:pPr>
              <w:pStyle w:val="TableParagraph"/>
              <w:spacing w:before="87"/>
              <w:ind w:left="1" w:right="5"/>
              <w:jc w:val="center"/>
              <w:rPr>
                <w:sz w:val="18"/>
              </w:rPr>
            </w:pPr>
            <w:r>
              <w:rPr>
                <w:spacing w:val="-10"/>
                <w:sz w:val="18"/>
              </w:rPr>
              <w:t>6</w:t>
            </w:r>
          </w:p>
        </w:tc>
        <w:tc>
          <w:tcPr>
            <w:tcW w:w="1620" w:type="dxa"/>
            <w:tcBorders>
              <w:top w:val="single" w:sz="4" w:space="0" w:color="BEBEBE"/>
            </w:tcBorders>
          </w:tcPr>
          <w:p w14:paraId="47614BBC" w14:textId="77777777" w:rsidR="00BC24A8" w:rsidRDefault="00000000">
            <w:pPr>
              <w:pStyle w:val="TableParagraph"/>
              <w:spacing w:before="87"/>
              <w:ind w:left="2" w:right="6"/>
              <w:jc w:val="center"/>
              <w:rPr>
                <w:sz w:val="18"/>
              </w:rPr>
            </w:pPr>
            <w:r>
              <w:rPr>
                <w:spacing w:val="-10"/>
                <w:sz w:val="18"/>
              </w:rPr>
              <w:t>2</w:t>
            </w:r>
          </w:p>
        </w:tc>
        <w:tc>
          <w:tcPr>
            <w:tcW w:w="1440" w:type="dxa"/>
            <w:tcBorders>
              <w:top w:val="single" w:sz="4" w:space="0" w:color="BEBEBE"/>
            </w:tcBorders>
          </w:tcPr>
          <w:p w14:paraId="7AA35458" w14:textId="77777777" w:rsidR="00BC24A8" w:rsidRDefault="00000000">
            <w:pPr>
              <w:pStyle w:val="TableParagraph"/>
              <w:spacing w:before="87"/>
              <w:ind w:left="3" w:right="5"/>
              <w:jc w:val="center"/>
              <w:rPr>
                <w:sz w:val="18"/>
              </w:rPr>
            </w:pPr>
            <w:r>
              <w:rPr>
                <w:spacing w:val="-10"/>
                <w:sz w:val="18"/>
              </w:rPr>
              <w:t>1</w:t>
            </w:r>
          </w:p>
        </w:tc>
        <w:tc>
          <w:tcPr>
            <w:tcW w:w="2340" w:type="dxa"/>
            <w:tcBorders>
              <w:top w:val="single" w:sz="4" w:space="0" w:color="BEBEBE"/>
            </w:tcBorders>
          </w:tcPr>
          <w:p w14:paraId="66E7A722" w14:textId="77777777" w:rsidR="00BC24A8" w:rsidRDefault="00000000">
            <w:pPr>
              <w:pStyle w:val="TableParagraph"/>
              <w:spacing w:before="59"/>
              <w:ind w:right="4"/>
              <w:jc w:val="center"/>
              <w:rPr>
                <w:sz w:val="18"/>
              </w:rPr>
            </w:pPr>
            <w:r>
              <w:rPr>
                <w:spacing w:val="-10"/>
                <w:sz w:val="18"/>
              </w:rPr>
              <w:t>9</w:t>
            </w:r>
          </w:p>
        </w:tc>
      </w:tr>
      <w:tr w:rsidR="00BC24A8" w14:paraId="63F8C08C" w14:textId="77777777">
        <w:trPr>
          <w:trHeight w:val="352"/>
        </w:trPr>
        <w:tc>
          <w:tcPr>
            <w:tcW w:w="2431" w:type="dxa"/>
            <w:tcBorders>
              <w:bottom w:val="single" w:sz="4" w:space="0" w:color="BEBEBE"/>
              <w:right w:val="single" w:sz="18" w:space="0" w:color="FFFFFF"/>
            </w:tcBorders>
            <w:shd w:val="clear" w:color="auto" w:fill="A7A9AC"/>
          </w:tcPr>
          <w:p w14:paraId="06C06652" w14:textId="77777777" w:rsidR="00BC24A8" w:rsidRDefault="00000000">
            <w:pPr>
              <w:pStyle w:val="TableParagraph"/>
              <w:spacing w:before="59"/>
              <w:ind w:left="107"/>
              <w:rPr>
                <w:rFonts w:ascii="Calibri"/>
                <w:b/>
                <w:sz w:val="18"/>
              </w:rPr>
            </w:pPr>
            <w:r w:rsidRPr="00795364">
              <w:rPr>
                <w:rFonts w:ascii="Calibri"/>
                <w:b/>
                <w:color w:val="000000"/>
                <w:spacing w:val="-2"/>
                <w:sz w:val="18"/>
              </w:rPr>
              <w:t>TOTAL</w:t>
            </w:r>
          </w:p>
        </w:tc>
        <w:tc>
          <w:tcPr>
            <w:tcW w:w="1260" w:type="dxa"/>
            <w:tcBorders>
              <w:left w:val="single" w:sz="18" w:space="0" w:color="FFFFFF"/>
              <w:bottom w:val="single" w:sz="4" w:space="0" w:color="BEBEBE"/>
              <w:right w:val="single" w:sz="18" w:space="0" w:color="FFFFFF"/>
            </w:tcBorders>
            <w:shd w:val="clear" w:color="auto" w:fill="A7A9AC"/>
          </w:tcPr>
          <w:p w14:paraId="1E220712" w14:textId="77777777" w:rsidR="00BC24A8" w:rsidRDefault="00000000">
            <w:pPr>
              <w:pStyle w:val="TableParagraph"/>
              <w:spacing w:before="59"/>
              <w:ind w:right="4"/>
              <w:jc w:val="center"/>
              <w:rPr>
                <w:rFonts w:ascii="Calibri"/>
                <w:b/>
                <w:sz w:val="18"/>
              </w:rPr>
            </w:pPr>
            <w:r w:rsidRPr="00795364">
              <w:rPr>
                <w:rFonts w:ascii="Calibri"/>
                <w:b/>
                <w:color w:val="000000"/>
                <w:spacing w:val="-5"/>
                <w:sz w:val="18"/>
              </w:rPr>
              <w:t>28</w:t>
            </w:r>
          </w:p>
        </w:tc>
        <w:tc>
          <w:tcPr>
            <w:tcW w:w="1620" w:type="dxa"/>
            <w:tcBorders>
              <w:left w:val="single" w:sz="18" w:space="0" w:color="FFFFFF"/>
              <w:bottom w:val="single" w:sz="4" w:space="0" w:color="BEBEBE"/>
              <w:right w:val="single" w:sz="18" w:space="0" w:color="FFFFFF"/>
            </w:tcBorders>
            <w:shd w:val="clear" w:color="auto" w:fill="A7A9AC"/>
          </w:tcPr>
          <w:p w14:paraId="1A76089F" w14:textId="77777777" w:rsidR="00BC24A8" w:rsidRDefault="00000000">
            <w:pPr>
              <w:pStyle w:val="TableParagraph"/>
              <w:spacing w:before="59"/>
              <w:ind w:right="4"/>
              <w:jc w:val="center"/>
              <w:rPr>
                <w:rFonts w:ascii="Calibri"/>
                <w:b/>
                <w:sz w:val="18"/>
              </w:rPr>
            </w:pPr>
            <w:r w:rsidRPr="00795364">
              <w:rPr>
                <w:rFonts w:ascii="Calibri"/>
                <w:b/>
                <w:color w:val="000000"/>
                <w:spacing w:val="-5"/>
                <w:sz w:val="18"/>
              </w:rPr>
              <w:t>12</w:t>
            </w:r>
          </w:p>
        </w:tc>
        <w:tc>
          <w:tcPr>
            <w:tcW w:w="1440" w:type="dxa"/>
            <w:tcBorders>
              <w:left w:val="single" w:sz="18" w:space="0" w:color="FFFFFF"/>
              <w:bottom w:val="single" w:sz="4" w:space="0" w:color="BEBEBE"/>
              <w:right w:val="single" w:sz="18" w:space="0" w:color="FFFFFF"/>
            </w:tcBorders>
            <w:shd w:val="clear" w:color="auto" w:fill="A7A9AC"/>
          </w:tcPr>
          <w:p w14:paraId="3D356F63" w14:textId="77777777" w:rsidR="00BC24A8" w:rsidRDefault="00000000">
            <w:pPr>
              <w:pStyle w:val="TableParagraph"/>
              <w:spacing w:before="59"/>
              <w:ind w:left="1" w:right="3"/>
              <w:jc w:val="center"/>
              <w:rPr>
                <w:rFonts w:ascii="Calibri"/>
                <w:b/>
                <w:sz w:val="18"/>
              </w:rPr>
            </w:pPr>
            <w:r w:rsidRPr="00795364">
              <w:rPr>
                <w:rFonts w:ascii="Calibri"/>
                <w:b/>
                <w:color w:val="000000"/>
                <w:spacing w:val="-5"/>
                <w:sz w:val="18"/>
              </w:rPr>
              <w:t>10</w:t>
            </w:r>
          </w:p>
        </w:tc>
        <w:tc>
          <w:tcPr>
            <w:tcW w:w="2340" w:type="dxa"/>
            <w:tcBorders>
              <w:left w:val="single" w:sz="18" w:space="0" w:color="FFFFFF"/>
              <w:bottom w:val="single" w:sz="4" w:space="0" w:color="BEBEBE"/>
            </w:tcBorders>
            <w:shd w:val="clear" w:color="auto" w:fill="A7A9AC"/>
          </w:tcPr>
          <w:p w14:paraId="45FF0893" w14:textId="77777777" w:rsidR="00BC24A8" w:rsidRDefault="00000000">
            <w:pPr>
              <w:pStyle w:val="TableParagraph"/>
              <w:spacing w:before="59"/>
              <w:ind w:right="27"/>
              <w:jc w:val="center"/>
              <w:rPr>
                <w:rFonts w:ascii="Calibri"/>
                <w:b/>
                <w:sz w:val="18"/>
              </w:rPr>
            </w:pPr>
            <w:r w:rsidRPr="00795364">
              <w:rPr>
                <w:rFonts w:ascii="Calibri"/>
                <w:b/>
                <w:color w:val="000000"/>
                <w:spacing w:val="-5"/>
                <w:sz w:val="18"/>
              </w:rPr>
              <w:t>39</w:t>
            </w:r>
          </w:p>
        </w:tc>
      </w:tr>
    </w:tbl>
    <w:p w14:paraId="58FFB032" w14:textId="77777777" w:rsidR="00BC24A8" w:rsidRDefault="00000000">
      <w:pPr>
        <w:spacing w:before="126"/>
        <w:ind w:left="143"/>
        <w:rPr>
          <w:sz w:val="16"/>
        </w:rPr>
      </w:pPr>
      <w:r>
        <w:rPr>
          <w:sz w:val="16"/>
        </w:rPr>
        <w:t>Data</w:t>
      </w:r>
      <w:r>
        <w:rPr>
          <w:spacing w:val="-3"/>
          <w:sz w:val="16"/>
        </w:rPr>
        <w:t xml:space="preserve"> </w:t>
      </w:r>
      <w:r>
        <w:rPr>
          <w:sz w:val="16"/>
        </w:rPr>
        <w:t>Source:</w:t>
      </w:r>
      <w:r>
        <w:rPr>
          <w:spacing w:val="-5"/>
          <w:sz w:val="16"/>
        </w:rPr>
        <w:t xml:space="preserve"> </w:t>
      </w:r>
      <w:r>
        <w:rPr>
          <w:sz w:val="16"/>
        </w:rPr>
        <w:t>MIS</w:t>
      </w:r>
      <w:r>
        <w:rPr>
          <w:spacing w:val="-4"/>
          <w:sz w:val="16"/>
        </w:rPr>
        <w:t xml:space="preserve"> </w:t>
      </w:r>
      <w:r>
        <w:rPr>
          <w:sz w:val="16"/>
        </w:rPr>
        <w:t>SKALA</w:t>
      </w:r>
      <w:r>
        <w:rPr>
          <w:spacing w:val="-4"/>
          <w:sz w:val="16"/>
        </w:rPr>
        <w:t xml:space="preserve"> </w:t>
      </w:r>
      <w:r>
        <w:rPr>
          <w:sz w:val="16"/>
        </w:rPr>
        <w:t>as</w:t>
      </w:r>
      <w:r>
        <w:rPr>
          <w:spacing w:val="-3"/>
          <w:sz w:val="16"/>
        </w:rPr>
        <w:t xml:space="preserve"> </w:t>
      </w:r>
      <w:r>
        <w:rPr>
          <w:sz w:val="16"/>
        </w:rPr>
        <w:t>of</w:t>
      </w:r>
      <w:r>
        <w:rPr>
          <w:spacing w:val="-5"/>
          <w:sz w:val="16"/>
        </w:rPr>
        <w:t xml:space="preserve"> </w:t>
      </w:r>
      <w:r>
        <w:rPr>
          <w:sz w:val="16"/>
        </w:rPr>
        <w:t>August</w:t>
      </w:r>
      <w:r>
        <w:rPr>
          <w:spacing w:val="-6"/>
          <w:sz w:val="16"/>
        </w:rPr>
        <w:t xml:space="preserve"> </w:t>
      </w:r>
      <w:r>
        <w:rPr>
          <w:sz w:val="16"/>
        </w:rPr>
        <w:t>6,</w:t>
      </w:r>
      <w:r>
        <w:rPr>
          <w:spacing w:val="-4"/>
          <w:sz w:val="16"/>
        </w:rPr>
        <w:t xml:space="preserve"> 2025</w:t>
      </w:r>
    </w:p>
    <w:p w14:paraId="6417593C" w14:textId="77777777" w:rsidR="00BC24A8" w:rsidRDefault="00BC24A8">
      <w:pPr>
        <w:pStyle w:val="BodyText"/>
        <w:rPr>
          <w:sz w:val="16"/>
        </w:rPr>
      </w:pPr>
    </w:p>
    <w:p w14:paraId="6EC7424A" w14:textId="77777777" w:rsidR="00BC24A8" w:rsidRDefault="00BC24A8">
      <w:pPr>
        <w:pStyle w:val="BodyText"/>
        <w:spacing w:before="113"/>
        <w:rPr>
          <w:sz w:val="16"/>
        </w:rPr>
      </w:pPr>
    </w:p>
    <w:p w14:paraId="6D46F582" w14:textId="77777777" w:rsidR="00BC24A8" w:rsidRDefault="00000000">
      <w:pPr>
        <w:pStyle w:val="BodyText"/>
        <w:ind w:left="143"/>
      </w:pPr>
      <w:r>
        <w:t>Overview</w:t>
      </w:r>
      <w:r>
        <w:rPr>
          <w:spacing w:val="-6"/>
        </w:rPr>
        <w:t xml:space="preserve"> </w:t>
      </w:r>
      <w:r>
        <w:t>of</w:t>
      </w:r>
      <w:r>
        <w:rPr>
          <w:spacing w:val="40"/>
        </w:rPr>
        <w:t xml:space="preserve"> </w:t>
      </w:r>
      <w:r>
        <w:t>completed</w:t>
      </w:r>
      <w:r>
        <w:rPr>
          <w:spacing w:val="-4"/>
        </w:rPr>
        <w:t xml:space="preserve"> </w:t>
      </w:r>
      <w:r>
        <w:t>FY</w:t>
      </w:r>
      <w:r>
        <w:rPr>
          <w:spacing w:val="-7"/>
        </w:rPr>
        <w:t xml:space="preserve"> </w:t>
      </w:r>
      <w:r>
        <w:t>2024/2025</w:t>
      </w:r>
      <w:r>
        <w:rPr>
          <w:spacing w:val="-4"/>
        </w:rPr>
        <w:t xml:space="preserve"> </w:t>
      </w:r>
      <w:r>
        <w:t>work</w:t>
      </w:r>
      <w:r>
        <w:rPr>
          <w:spacing w:val="-6"/>
        </w:rPr>
        <w:t xml:space="preserve"> </w:t>
      </w:r>
      <w:r>
        <w:t>plan</w:t>
      </w:r>
      <w:r>
        <w:rPr>
          <w:spacing w:val="-4"/>
        </w:rPr>
        <w:t xml:space="preserve"> </w:t>
      </w:r>
      <w:r>
        <w:rPr>
          <w:spacing w:val="-2"/>
        </w:rPr>
        <w:t>outputs:</w:t>
      </w:r>
    </w:p>
    <w:p w14:paraId="56457A54" w14:textId="77777777" w:rsidR="00BC24A8" w:rsidRDefault="00000000">
      <w:pPr>
        <w:pStyle w:val="Heading5"/>
        <w:numPr>
          <w:ilvl w:val="2"/>
          <w:numId w:val="108"/>
        </w:numPr>
        <w:tabs>
          <w:tab w:val="left" w:pos="501"/>
        </w:tabs>
        <w:spacing w:before="202"/>
        <w:ind w:left="501" w:hanging="358"/>
        <w:jc w:val="left"/>
      </w:pPr>
      <w:r>
        <w:t>DNA</w:t>
      </w:r>
      <w:r>
        <w:rPr>
          <w:spacing w:val="-5"/>
        </w:rPr>
        <w:t xml:space="preserve"> </w:t>
      </w:r>
      <w:r>
        <w:t>(Data</w:t>
      </w:r>
      <w:r>
        <w:rPr>
          <w:spacing w:val="-4"/>
        </w:rPr>
        <w:t xml:space="preserve"> </w:t>
      </w:r>
      <w:r>
        <w:t>and</w:t>
      </w:r>
      <w:r>
        <w:rPr>
          <w:spacing w:val="-4"/>
        </w:rPr>
        <w:t xml:space="preserve"> </w:t>
      </w:r>
      <w:r>
        <w:rPr>
          <w:spacing w:val="-2"/>
        </w:rPr>
        <w:t>Analysis):</w:t>
      </w:r>
    </w:p>
    <w:p w14:paraId="4272DD54" w14:textId="77777777" w:rsidR="00BC24A8" w:rsidRDefault="00000000">
      <w:pPr>
        <w:pStyle w:val="ListParagraph"/>
        <w:numPr>
          <w:ilvl w:val="3"/>
          <w:numId w:val="108"/>
        </w:numPr>
        <w:tabs>
          <w:tab w:val="left" w:pos="861"/>
          <w:tab w:val="left" w:pos="863"/>
        </w:tabs>
        <w:spacing w:before="180"/>
        <w:ind w:right="564"/>
      </w:pPr>
      <w:r>
        <w:t>SKALA supports Satu Data</w:t>
      </w:r>
      <w:r>
        <w:rPr>
          <w:spacing w:val="-1"/>
        </w:rPr>
        <w:t xml:space="preserve"> </w:t>
      </w:r>
      <w:r>
        <w:t>governance</w:t>
      </w:r>
      <w:r>
        <w:rPr>
          <w:spacing w:val="-2"/>
        </w:rPr>
        <w:t xml:space="preserve"> </w:t>
      </w:r>
      <w:r>
        <w:t>and</w:t>
      </w:r>
      <w:r>
        <w:rPr>
          <w:spacing w:val="-2"/>
        </w:rPr>
        <w:t xml:space="preserve"> </w:t>
      </w:r>
      <w:r>
        <w:t>the implementation</w:t>
      </w:r>
      <w:r>
        <w:rPr>
          <w:spacing w:val="-2"/>
        </w:rPr>
        <w:t xml:space="preserve"> </w:t>
      </w:r>
      <w:r>
        <w:t>of</w:t>
      </w:r>
      <w:r>
        <w:rPr>
          <w:spacing w:val="-2"/>
        </w:rPr>
        <w:t xml:space="preserve"> </w:t>
      </w:r>
      <w:r>
        <w:t>regional</w:t>
      </w:r>
      <w:r>
        <w:rPr>
          <w:spacing w:val="-1"/>
        </w:rPr>
        <w:t xml:space="preserve"> </w:t>
      </w:r>
      <w:r>
        <w:t>data</w:t>
      </w:r>
      <w:r>
        <w:rPr>
          <w:spacing w:val="-1"/>
        </w:rPr>
        <w:t xml:space="preserve"> </w:t>
      </w:r>
      <w:r>
        <w:t>cycles,</w:t>
      </w:r>
      <w:r>
        <w:rPr>
          <w:spacing w:val="-2"/>
        </w:rPr>
        <w:t xml:space="preserve"> </w:t>
      </w:r>
      <w:r>
        <w:t>such</w:t>
      </w:r>
      <w:r>
        <w:rPr>
          <w:spacing w:val="-2"/>
        </w:rPr>
        <w:t xml:space="preserve"> </w:t>
      </w:r>
      <w:r>
        <w:t>as the</w:t>
      </w:r>
      <w:r>
        <w:rPr>
          <w:spacing w:val="-12"/>
        </w:rPr>
        <w:t xml:space="preserve"> </w:t>
      </w:r>
      <w:r>
        <w:t>recommendation</w:t>
      </w:r>
      <w:r>
        <w:rPr>
          <w:spacing w:val="-11"/>
        </w:rPr>
        <w:t xml:space="preserve"> </w:t>
      </w:r>
      <w:r>
        <w:t>to</w:t>
      </w:r>
      <w:r>
        <w:rPr>
          <w:spacing w:val="-11"/>
        </w:rPr>
        <w:t xml:space="preserve"> </w:t>
      </w:r>
      <w:r>
        <w:t>include</w:t>
      </w:r>
      <w:r>
        <w:rPr>
          <w:spacing w:val="-13"/>
        </w:rPr>
        <w:t xml:space="preserve"> </w:t>
      </w:r>
      <w:r>
        <w:t>the</w:t>
      </w:r>
      <w:r>
        <w:rPr>
          <w:spacing w:val="-12"/>
        </w:rPr>
        <w:t xml:space="preserve"> </w:t>
      </w:r>
      <w:r>
        <w:t>Minimum</w:t>
      </w:r>
      <w:r>
        <w:rPr>
          <w:spacing w:val="-13"/>
        </w:rPr>
        <w:t xml:space="preserve"> </w:t>
      </w:r>
      <w:r>
        <w:t>Service</w:t>
      </w:r>
      <w:r>
        <w:rPr>
          <w:spacing w:val="-12"/>
        </w:rPr>
        <w:t xml:space="preserve"> </w:t>
      </w:r>
      <w:r>
        <w:t>Standards</w:t>
      </w:r>
      <w:r>
        <w:rPr>
          <w:spacing w:val="-10"/>
        </w:rPr>
        <w:t xml:space="preserve"> </w:t>
      </w:r>
      <w:r>
        <w:t>data</w:t>
      </w:r>
      <w:r>
        <w:rPr>
          <w:spacing w:val="-12"/>
        </w:rPr>
        <w:t xml:space="preserve"> </w:t>
      </w:r>
      <w:r>
        <w:t>variables</w:t>
      </w:r>
      <w:r>
        <w:rPr>
          <w:spacing w:val="-10"/>
        </w:rPr>
        <w:t xml:space="preserve"> </w:t>
      </w:r>
      <w:r>
        <w:t>in</w:t>
      </w:r>
      <w:r>
        <w:rPr>
          <w:spacing w:val="-11"/>
        </w:rPr>
        <w:t xml:space="preserve"> </w:t>
      </w:r>
      <w:r>
        <w:t>the</w:t>
      </w:r>
      <w:r>
        <w:rPr>
          <w:spacing w:val="-13"/>
        </w:rPr>
        <w:t xml:space="preserve"> </w:t>
      </w:r>
      <w:r>
        <w:t>2025</w:t>
      </w:r>
      <w:r>
        <w:rPr>
          <w:spacing w:val="-12"/>
        </w:rPr>
        <w:t xml:space="preserve"> </w:t>
      </w:r>
      <w:r>
        <w:t>Data List, and the development of the 'Baileo Maluku' Satu Data Portal.</w:t>
      </w:r>
    </w:p>
    <w:p w14:paraId="4BA1C02C" w14:textId="77777777" w:rsidR="00BC24A8" w:rsidRDefault="00000000">
      <w:pPr>
        <w:pStyle w:val="ListParagraph"/>
        <w:numPr>
          <w:ilvl w:val="3"/>
          <w:numId w:val="108"/>
        </w:numPr>
        <w:tabs>
          <w:tab w:val="left" w:pos="861"/>
          <w:tab w:val="left" w:pos="863"/>
        </w:tabs>
        <w:spacing w:before="1"/>
        <w:ind w:right="559"/>
      </w:pPr>
      <w:r>
        <w:t>To</w:t>
      </w:r>
      <w:r>
        <w:rPr>
          <w:spacing w:val="-9"/>
        </w:rPr>
        <w:t xml:space="preserve"> </w:t>
      </w:r>
      <w:r>
        <w:t>strengthen</w:t>
      </w:r>
      <w:r>
        <w:rPr>
          <w:spacing w:val="-6"/>
        </w:rPr>
        <w:t xml:space="preserve"> </w:t>
      </w:r>
      <w:r>
        <w:t>the</w:t>
      </w:r>
      <w:r>
        <w:rPr>
          <w:spacing w:val="-5"/>
        </w:rPr>
        <w:t xml:space="preserve"> </w:t>
      </w:r>
      <w:r>
        <w:t>implementation</w:t>
      </w:r>
      <w:r>
        <w:rPr>
          <w:spacing w:val="-6"/>
        </w:rPr>
        <w:t xml:space="preserve"> </w:t>
      </w:r>
      <w:r>
        <w:t>of</w:t>
      </w:r>
      <w:r>
        <w:rPr>
          <w:spacing w:val="-8"/>
        </w:rPr>
        <w:t xml:space="preserve"> </w:t>
      </w:r>
      <w:r>
        <w:t>Satu</w:t>
      </w:r>
      <w:r>
        <w:rPr>
          <w:spacing w:val="-6"/>
        </w:rPr>
        <w:t xml:space="preserve"> </w:t>
      </w:r>
      <w:r>
        <w:t>Data,</w:t>
      </w:r>
      <w:r>
        <w:rPr>
          <w:spacing w:val="-5"/>
        </w:rPr>
        <w:t xml:space="preserve"> </w:t>
      </w:r>
      <w:r>
        <w:t>SKALA</w:t>
      </w:r>
      <w:r>
        <w:rPr>
          <w:spacing w:val="-9"/>
        </w:rPr>
        <w:t xml:space="preserve"> </w:t>
      </w:r>
      <w:r>
        <w:t>provides</w:t>
      </w:r>
      <w:r>
        <w:rPr>
          <w:spacing w:val="-8"/>
        </w:rPr>
        <w:t xml:space="preserve"> </w:t>
      </w:r>
      <w:r>
        <w:t>recommendations</w:t>
      </w:r>
      <w:r>
        <w:rPr>
          <w:spacing w:val="-8"/>
        </w:rPr>
        <w:t xml:space="preserve"> </w:t>
      </w:r>
      <w:r>
        <w:t>for</w:t>
      </w:r>
      <w:r>
        <w:rPr>
          <w:spacing w:val="-6"/>
        </w:rPr>
        <w:t xml:space="preserve"> </w:t>
      </w:r>
      <w:r>
        <w:t>the</w:t>
      </w:r>
      <w:r>
        <w:rPr>
          <w:spacing w:val="-8"/>
        </w:rPr>
        <w:t xml:space="preserve"> </w:t>
      </w:r>
      <w:r>
        <w:t>Satu Data policy, such as Satu Data Action Plan and the SOP for the implementation of Satu Data Maluku.</w:t>
      </w:r>
      <w:r>
        <w:rPr>
          <w:spacing w:val="-13"/>
        </w:rPr>
        <w:t xml:space="preserve"> </w:t>
      </w:r>
      <w:r>
        <w:t>In</w:t>
      </w:r>
      <w:r>
        <w:rPr>
          <w:spacing w:val="-12"/>
        </w:rPr>
        <w:t xml:space="preserve"> </w:t>
      </w:r>
      <w:r>
        <w:t>addition,</w:t>
      </w:r>
      <w:r>
        <w:rPr>
          <w:spacing w:val="-13"/>
        </w:rPr>
        <w:t xml:space="preserve"> </w:t>
      </w:r>
      <w:r>
        <w:t>SKALA</w:t>
      </w:r>
      <w:r>
        <w:rPr>
          <w:spacing w:val="-12"/>
        </w:rPr>
        <w:t xml:space="preserve"> </w:t>
      </w:r>
      <w:r>
        <w:t>supports</w:t>
      </w:r>
      <w:r>
        <w:rPr>
          <w:spacing w:val="-12"/>
        </w:rPr>
        <w:t xml:space="preserve"> </w:t>
      </w:r>
      <w:r>
        <w:t>the</w:t>
      </w:r>
      <w:r>
        <w:rPr>
          <w:spacing w:val="-10"/>
        </w:rPr>
        <w:t xml:space="preserve"> </w:t>
      </w:r>
      <w:r>
        <w:t>preparation</w:t>
      </w:r>
      <w:r>
        <w:rPr>
          <w:spacing w:val="-13"/>
        </w:rPr>
        <w:t xml:space="preserve"> </w:t>
      </w:r>
      <w:r>
        <w:t>of</w:t>
      </w:r>
      <w:r>
        <w:rPr>
          <w:spacing w:val="-12"/>
        </w:rPr>
        <w:t xml:space="preserve"> </w:t>
      </w:r>
      <w:r>
        <w:t>the</w:t>
      </w:r>
      <w:r>
        <w:rPr>
          <w:spacing w:val="-13"/>
        </w:rPr>
        <w:t xml:space="preserve"> </w:t>
      </w:r>
      <w:r>
        <w:t>SPBE</w:t>
      </w:r>
      <w:r>
        <w:rPr>
          <w:spacing w:val="-11"/>
        </w:rPr>
        <w:t xml:space="preserve"> </w:t>
      </w:r>
      <w:r>
        <w:t>(Electronic-Based</w:t>
      </w:r>
      <w:r>
        <w:rPr>
          <w:spacing w:val="-12"/>
        </w:rPr>
        <w:t xml:space="preserve"> </w:t>
      </w:r>
      <w:r>
        <w:t>Government System) Architecture.</w:t>
      </w:r>
    </w:p>
    <w:p w14:paraId="17563DF7" w14:textId="77777777" w:rsidR="00BC24A8" w:rsidRDefault="00BC24A8">
      <w:pPr>
        <w:pStyle w:val="BodyText"/>
        <w:rPr>
          <w:sz w:val="20"/>
        </w:rPr>
      </w:pPr>
    </w:p>
    <w:p w14:paraId="6293E85F" w14:textId="77777777" w:rsidR="00BC24A8" w:rsidRDefault="00BC24A8">
      <w:pPr>
        <w:pStyle w:val="BodyText"/>
        <w:rPr>
          <w:sz w:val="20"/>
        </w:rPr>
      </w:pPr>
    </w:p>
    <w:p w14:paraId="5F4674D4" w14:textId="77777777" w:rsidR="00BC24A8" w:rsidRDefault="00BC24A8">
      <w:pPr>
        <w:pStyle w:val="BodyText"/>
        <w:rPr>
          <w:sz w:val="20"/>
        </w:rPr>
      </w:pPr>
    </w:p>
    <w:p w14:paraId="2CFCCD92" w14:textId="77777777" w:rsidR="00BC24A8" w:rsidRDefault="00000000">
      <w:pPr>
        <w:pStyle w:val="BodyText"/>
        <w:spacing w:before="52"/>
        <w:rPr>
          <w:sz w:val="20"/>
        </w:rPr>
      </w:pPr>
      <w:r>
        <w:rPr>
          <w:noProof/>
          <w:sz w:val="20"/>
        </w:rPr>
        <mc:AlternateContent>
          <mc:Choice Requires="wps">
            <w:drawing>
              <wp:anchor distT="0" distB="0" distL="0" distR="0" simplePos="0" relativeHeight="487616000" behindDoc="1" locked="0" layoutInCell="1" allowOverlap="1" wp14:anchorId="3727A932" wp14:editId="6E872752">
                <wp:simplePos x="0" y="0"/>
                <wp:positionH relativeFrom="page">
                  <wp:posOffset>900683</wp:posOffset>
                </wp:positionH>
                <wp:positionV relativeFrom="paragraph">
                  <wp:posOffset>203854</wp:posOffset>
                </wp:positionV>
                <wp:extent cx="1828800" cy="9525"/>
                <wp:effectExtent l="0" t="0" r="0" b="0"/>
                <wp:wrapTopAndBottom/>
                <wp:docPr id="150" name="Graphic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8CF62B" id="Graphic 150" o:spid="_x0000_s1026" alt="&quot;&quot;" style="position:absolute;margin-left:70.9pt;margin-top:16.05pt;width:2in;height:.75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" path="m1828800,l,,,9144r1828800,l1828800,xe" fillcolor="black" stroked="f">
                <v:path arrowok="t"/>
                <w10:wrap type="topAndBottom" anchorx="page"/>
              </v:shape>
            </w:pict>
          </mc:Fallback>
        </mc:AlternateContent>
      </w:r>
    </w:p>
    <w:p w14:paraId="79672ABC" w14:textId="77777777" w:rsidR="00BC24A8" w:rsidRDefault="00BC24A8">
      <w:pPr>
        <w:pStyle w:val="BodyText"/>
        <w:spacing w:before="105"/>
        <w:rPr>
          <w:sz w:val="16"/>
        </w:rPr>
      </w:pPr>
    </w:p>
    <w:p w14:paraId="05DF6031" w14:textId="77777777" w:rsidR="00BC24A8" w:rsidRDefault="00000000">
      <w:pPr>
        <w:spacing w:before="1"/>
        <w:ind w:left="143" w:right="662" w:hanging="1"/>
        <w:rPr>
          <w:sz w:val="16"/>
        </w:rPr>
      </w:pPr>
      <w:bookmarkStart w:id="179" w:name="_bookmark122"/>
      <w:bookmarkEnd w:id="179"/>
      <w:r>
        <w:rPr>
          <w:color w:val="767070"/>
          <w:sz w:val="16"/>
          <w:vertAlign w:val="superscript"/>
        </w:rPr>
        <w:t>57</w:t>
      </w:r>
      <w:r>
        <w:rPr>
          <w:color w:val="767070"/>
          <w:spacing w:val="-5"/>
          <w:sz w:val="16"/>
        </w:rPr>
        <w:t xml:space="preserve"> </w:t>
      </w:r>
      <w:r>
        <w:rPr>
          <w:color w:val="767070"/>
          <w:sz w:val="16"/>
        </w:rPr>
        <w:t>Person</w:t>
      </w:r>
      <w:r>
        <w:rPr>
          <w:color w:val="767070"/>
          <w:spacing w:val="-4"/>
          <w:sz w:val="16"/>
        </w:rPr>
        <w:t xml:space="preserve"> </w:t>
      </w:r>
      <w:r>
        <w:rPr>
          <w:color w:val="767070"/>
          <w:sz w:val="16"/>
        </w:rPr>
        <w:t>time</w:t>
      </w:r>
      <w:r>
        <w:rPr>
          <w:color w:val="767070"/>
          <w:spacing w:val="-5"/>
          <w:sz w:val="16"/>
        </w:rPr>
        <w:t xml:space="preserve"> </w:t>
      </w:r>
      <w:r>
        <w:rPr>
          <w:color w:val="767070"/>
          <w:sz w:val="16"/>
        </w:rPr>
        <w:t>refers</w:t>
      </w:r>
      <w:r>
        <w:rPr>
          <w:color w:val="767070"/>
          <w:spacing w:val="-4"/>
          <w:sz w:val="16"/>
        </w:rPr>
        <w:t xml:space="preserve"> </w:t>
      </w:r>
      <w:r>
        <w:rPr>
          <w:color w:val="767070"/>
          <w:sz w:val="16"/>
        </w:rPr>
        <w:t>to</w:t>
      </w:r>
      <w:r>
        <w:rPr>
          <w:color w:val="767070"/>
          <w:spacing w:val="-4"/>
          <w:sz w:val="16"/>
        </w:rPr>
        <w:t xml:space="preserve"> </w:t>
      </w:r>
      <w:r>
        <w:rPr>
          <w:color w:val="767070"/>
          <w:sz w:val="16"/>
        </w:rPr>
        <w:t>the</w:t>
      </w:r>
      <w:r>
        <w:rPr>
          <w:color w:val="767070"/>
          <w:spacing w:val="-5"/>
          <w:sz w:val="16"/>
        </w:rPr>
        <w:t xml:space="preserve"> </w:t>
      </w:r>
      <w:r>
        <w:rPr>
          <w:color w:val="767070"/>
          <w:sz w:val="16"/>
        </w:rPr>
        <w:t>total</w:t>
      </w:r>
      <w:r>
        <w:rPr>
          <w:color w:val="767070"/>
          <w:spacing w:val="-7"/>
          <w:sz w:val="16"/>
        </w:rPr>
        <w:t xml:space="preserve"> </w:t>
      </w:r>
      <w:r>
        <w:rPr>
          <w:color w:val="767070"/>
          <w:sz w:val="16"/>
        </w:rPr>
        <w:t>instances</w:t>
      </w:r>
      <w:r>
        <w:rPr>
          <w:color w:val="767070"/>
          <w:spacing w:val="-4"/>
          <w:sz w:val="16"/>
        </w:rPr>
        <w:t xml:space="preserve"> </w:t>
      </w:r>
      <w:r>
        <w:rPr>
          <w:color w:val="767070"/>
          <w:sz w:val="16"/>
        </w:rPr>
        <w:t>of</w:t>
      </w:r>
      <w:r>
        <w:rPr>
          <w:color w:val="767070"/>
          <w:spacing w:val="-5"/>
          <w:sz w:val="16"/>
        </w:rPr>
        <w:t xml:space="preserve"> </w:t>
      </w:r>
      <w:r>
        <w:rPr>
          <w:color w:val="767070"/>
          <w:sz w:val="16"/>
        </w:rPr>
        <w:t>participation;</w:t>
      </w:r>
      <w:r>
        <w:rPr>
          <w:color w:val="767070"/>
          <w:spacing w:val="-4"/>
          <w:sz w:val="16"/>
        </w:rPr>
        <w:t xml:space="preserve"> </w:t>
      </w:r>
      <w:r>
        <w:rPr>
          <w:color w:val="767070"/>
          <w:sz w:val="16"/>
        </w:rPr>
        <w:t>one</w:t>
      </w:r>
      <w:r>
        <w:rPr>
          <w:color w:val="767070"/>
          <w:spacing w:val="-7"/>
          <w:sz w:val="16"/>
        </w:rPr>
        <w:t xml:space="preserve"> </w:t>
      </w:r>
      <w:r>
        <w:rPr>
          <w:color w:val="767070"/>
          <w:sz w:val="16"/>
        </w:rPr>
        <w:t>individual</w:t>
      </w:r>
      <w:r>
        <w:rPr>
          <w:color w:val="767070"/>
          <w:spacing w:val="-4"/>
          <w:sz w:val="16"/>
        </w:rPr>
        <w:t xml:space="preserve"> </w:t>
      </w:r>
      <w:r>
        <w:rPr>
          <w:color w:val="767070"/>
          <w:sz w:val="16"/>
        </w:rPr>
        <w:t>may</w:t>
      </w:r>
      <w:r>
        <w:rPr>
          <w:color w:val="767070"/>
          <w:spacing w:val="-6"/>
          <w:sz w:val="16"/>
        </w:rPr>
        <w:t xml:space="preserve"> </w:t>
      </w:r>
      <w:r>
        <w:rPr>
          <w:color w:val="767070"/>
          <w:sz w:val="16"/>
        </w:rPr>
        <w:t>participate</w:t>
      </w:r>
      <w:r>
        <w:rPr>
          <w:color w:val="767070"/>
          <w:spacing w:val="-5"/>
          <w:sz w:val="16"/>
        </w:rPr>
        <w:t xml:space="preserve"> </w:t>
      </w:r>
      <w:r>
        <w:rPr>
          <w:color w:val="767070"/>
          <w:sz w:val="16"/>
        </w:rPr>
        <w:t>more</w:t>
      </w:r>
      <w:r>
        <w:rPr>
          <w:color w:val="767070"/>
          <w:spacing w:val="-5"/>
          <w:sz w:val="16"/>
        </w:rPr>
        <w:t xml:space="preserve"> </w:t>
      </w:r>
      <w:r>
        <w:rPr>
          <w:color w:val="767070"/>
          <w:sz w:val="16"/>
        </w:rPr>
        <w:t>than</w:t>
      </w:r>
      <w:r>
        <w:rPr>
          <w:color w:val="767070"/>
          <w:spacing w:val="-4"/>
          <w:sz w:val="16"/>
        </w:rPr>
        <w:t xml:space="preserve"> </w:t>
      </w:r>
      <w:r>
        <w:rPr>
          <w:color w:val="767070"/>
          <w:sz w:val="16"/>
        </w:rPr>
        <w:t>once</w:t>
      </w:r>
      <w:r>
        <w:rPr>
          <w:color w:val="767070"/>
          <w:spacing w:val="-5"/>
          <w:sz w:val="16"/>
        </w:rPr>
        <w:t xml:space="preserve"> </w:t>
      </w:r>
      <w:r>
        <w:rPr>
          <w:color w:val="767070"/>
          <w:sz w:val="16"/>
        </w:rPr>
        <w:t>in</w:t>
      </w:r>
      <w:r>
        <w:rPr>
          <w:color w:val="767070"/>
          <w:spacing w:val="-4"/>
          <w:sz w:val="16"/>
        </w:rPr>
        <w:t xml:space="preserve"> </w:t>
      </w:r>
      <w:r>
        <w:rPr>
          <w:color w:val="767070"/>
          <w:sz w:val="16"/>
        </w:rPr>
        <w:t>SKALA-supported</w:t>
      </w:r>
      <w:r>
        <w:rPr>
          <w:color w:val="767070"/>
          <w:spacing w:val="-4"/>
          <w:sz w:val="16"/>
        </w:rPr>
        <w:t xml:space="preserve"> </w:t>
      </w:r>
      <w:r>
        <w:rPr>
          <w:color w:val="767070"/>
          <w:sz w:val="16"/>
        </w:rPr>
        <w:t>activities.</w:t>
      </w:r>
      <w:r>
        <w:rPr>
          <w:color w:val="767070"/>
          <w:spacing w:val="40"/>
          <w:sz w:val="16"/>
        </w:rPr>
        <w:t xml:space="preserve"> </w:t>
      </w:r>
      <w:r>
        <w:rPr>
          <w:color w:val="767070"/>
          <w:sz w:val="16"/>
        </w:rPr>
        <w:t>Headcount refers to participants whose costs are covered by SKALA.</w:t>
      </w:r>
    </w:p>
    <w:p w14:paraId="6579EEDF" w14:textId="77777777" w:rsidR="00BC24A8" w:rsidRDefault="00BC24A8">
      <w:pPr>
        <w:rPr>
          <w:sz w:val="16"/>
        </w:rPr>
        <w:sectPr w:rsidR="00BC24A8">
          <w:pgSz w:w="11910" w:h="16840"/>
          <w:pgMar w:top="1360" w:right="850" w:bottom="1100" w:left="1275" w:header="0" w:footer="907" w:gutter="0"/>
          <w:cols w:space="720"/>
        </w:sectPr>
      </w:pPr>
    </w:p>
    <w:p w14:paraId="11CDCE43" w14:textId="77777777" w:rsidR="00BC24A8" w:rsidRDefault="00000000">
      <w:pPr>
        <w:pStyle w:val="ListParagraph"/>
        <w:numPr>
          <w:ilvl w:val="3"/>
          <w:numId w:val="108"/>
        </w:numPr>
        <w:tabs>
          <w:tab w:val="left" w:pos="861"/>
          <w:tab w:val="left" w:pos="863"/>
        </w:tabs>
        <w:spacing w:before="79"/>
        <w:ind w:right="564"/>
      </w:pPr>
      <w:r>
        <w:lastRenderedPageBreak/>
        <w:t>SKALA encourages the use of the results of the PAK (Credit Score Determination) analysis in various regional planning documents, including Minimum Service Standards, both at the provincial and district/city levels.</w:t>
      </w:r>
    </w:p>
    <w:p w14:paraId="1F6E8D60" w14:textId="77777777" w:rsidR="00BC24A8" w:rsidRDefault="00000000">
      <w:pPr>
        <w:pStyle w:val="Heading5"/>
        <w:numPr>
          <w:ilvl w:val="2"/>
          <w:numId w:val="108"/>
        </w:numPr>
        <w:tabs>
          <w:tab w:val="left" w:pos="502"/>
        </w:tabs>
        <w:spacing w:before="118"/>
        <w:ind w:left="502" w:hanging="282"/>
        <w:jc w:val="left"/>
      </w:pPr>
      <w:r>
        <w:t>MSS</w:t>
      </w:r>
      <w:r>
        <w:rPr>
          <w:spacing w:val="-5"/>
        </w:rPr>
        <w:t xml:space="preserve"> </w:t>
      </w:r>
      <w:r>
        <w:t>(Minimum</w:t>
      </w:r>
      <w:r>
        <w:rPr>
          <w:spacing w:val="-5"/>
        </w:rPr>
        <w:t xml:space="preserve"> </w:t>
      </w:r>
      <w:r>
        <w:t>Service</w:t>
      </w:r>
      <w:r>
        <w:rPr>
          <w:spacing w:val="-4"/>
        </w:rPr>
        <w:t xml:space="preserve"> </w:t>
      </w:r>
      <w:r>
        <w:rPr>
          <w:spacing w:val="-2"/>
        </w:rPr>
        <w:t>Standards):</w:t>
      </w:r>
    </w:p>
    <w:p w14:paraId="6F3255B8" w14:textId="77777777" w:rsidR="00BC24A8" w:rsidRDefault="00000000">
      <w:pPr>
        <w:pStyle w:val="ListParagraph"/>
        <w:numPr>
          <w:ilvl w:val="3"/>
          <w:numId w:val="108"/>
        </w:numPr>
        <w:tabs>
          <w:tab w:val="left" w:pos="861"/>
          <w:tab w:val="left" w:pos="863"/>
        </w:tabs>
        <w:spacing w:before="183"/>
        <w:ind w:right="564"/>
      </w:pPr>
      <w:r>
        <w:t>SKALA provides technical recommendations for the implementation of the four stages of MSS implementation in the MSS planning in 2026. SKALA also provides recommendations for MSS Plan</w:t>
      </w:r>
      <w:r>
        <w:rPr>
          <w:spacing w:val="-5"/>
        </w:rPr>
        <w:t xml:space="preserve"> </w:t>
      </w:r>
      <w:r>
        <w:t>revision,</w:t>
      </w:r>
      <w:r>
        <w:rPr>
          <w:spacing w:val="-6"/>
        </w:rPr>
        <w:t xml:space="preserve"> </w:t>
      </w:r>
      <w:r>
        <w:t>encouraging</w:t>
      </w:r>
      <w:r>
        <w:rPr>
          <w:spacing w:val="-6"/>
        </w:rPr>
        <w:t xml:space="preserve"> </w:t>
      </w:r>
      <w:r>
        <w:t>the</w:t>
      </w:r>
      <w:r>
        <w:rPr>
          <w:spacing w:val="-4"/>
        </w:rPr>
        <w:t xml:space="preserve"> </w:t>
      </w:r>
      <w:r>
        <w:t>active</w:t>
      </w:r>
      <w:r>
        <w:rPr>
          <w:spacing w:val="-4"/>
        </w:rPr>
        <w:t xml:space="preserve"> </w:t>
      </w:r>
      <w:r>
        <w:t>involvement</w:t>
      </w:r>
      <w:r>
        <w:rPr>
          <w:spacing w:val="-6"/>
        </w:rPr>
        <w:t xml:space="preserve"> </w:t>
      </w:r>
      <w:r>
        <w:t>of</w:t>
      </w:r>
      <w:r>
        <w:rPr>
          <w:spacing w:val="-4"/>
        </w:rPr>
        <w:t xml:space="preserve"> </w:t>
      </w:r>
      <w:r>
        <w:t>Bappeda</w:t>
      </w:r>
      <w:r>
        <w:rPr>
          <w:spacing w:val="-6"/>
        </w:rPr>
        <w:t xml:space="preserve"> </w:t>
      </w:r>
      <w:r>
        <w:t>(Regional</w:t>
      </w:r>
      <w:r>
        <w:rPr>
          <w:spacing w:val="-6"/>
        </w:rPr>
        <w:t xml:space="preserve"> </w:t>
      </w:r>
      <w:r>
        <w:t>Development</w:t>
      </w:r>
      <w:r>
        <w:rPr>
          <w:spacing w:val="-6"/>
        </w:rPr>
        <w:t xml:space="preserve"> </w:t>
      </w:r>
      <w:r>
        <w:t>Planning Agency) and BPKAD (Regional Financial and Asset Management Agency) in technical meetings of the MSS implementation team.</w:t>
      </w:r>
    </w:p>
    <w:p w14:paraId="790F565F" w14:textId="77777777" w:rsidR="00BC24A8" w:rsidRDefault="00000000">
      <w:pPr>
        <w:pStyle w:val="ListParagraph"/>
        <w:numPr>
          <w:ilvl w:val="3"/>
          <w:numId w:val="108"/>
        </w:numPr>
        <w:tabs>
          <w:tab w:val="left" w:pos="861"/>
          <w:tab w:val="left" w:pos="863"/>
        </w:tabs>
        <w:ind w:right="563"/>
      </w:pPr>
      <w:r>
        <w:t xml:space="preserve">SKALA provides support at the planning stages of the RPJMD and RKPD, by facilitating and providing technical recommendations for the implementation of the 2026 RKPD </w:t>
      </w:r>
      <w:r>
        <w:rPr>
          <w:i/>
        </w:rPr>
        <w:t>Rakortekrenbang</w:t>
      </w:r>
      <w:r>
        <w:rPr>
          <w:i/>
          <w:spacing w:val="-8"/>
        </w:rPr>
        <w:t xml:space="preserve"> </w:t>
      </w:r>
      <w:r>
        <w:rPr>
          <w:i/>
        </w:rPr>
        <w:t>(</w:t>
      </w:r>
      <w:r>
        <w:t>Technical</w:t>
      </w:r>
      <w:r>
        <w:rPr>
          <w:spacing w:val="-9"/>
        </w:rPr>
        <w:t xml:space="preserve"> </w:t>
      </w:r>
      <w:r>
        <w:t>Coordination</w:t>
      </w:r>
      <w:r>
        <w:rPr>
          <w:spacing w:val="-8"/>
        </w:rPr>
        <w:t xml:space="preserve"> </w:t>
      </w:r>
      <w:r>
        <w:t>Meeting</w:t>
      </w:r>
      <w:r>
        <w:rPr>
          <w:spacing w:val="-9"/>
        </w:rPr>
        <w:t xml:space="preserve"> </w:t>
      </w:r>
      <w:r>
        <w:t>for</w:t>
      </w:r>
      <w:r>
        <w:rPr>
          <w:spacing w:val="-8"/>
        </w:rPr>
        <w:t xml:space="preserve"> </w:t>
      </w:r>
      <w:r>
        <w:t>Development</w:t>
      </w:r>
      <w:r>
        <w:rPr>
          <w:spacing w:val="-9"/>
        </w:rPr>
        <w:t xml:space="preserve"> </w:t>
      </w:r>
      <w:r>
        <w:t>Planning),</w:t>
      </w:r>
      <w:r>
        <w:rPr>
          <w:spacing w:val="-7"/>
        </w:rPr>
        <w:t xml:space="preserve"> </w:t>
      </w:r>
      <w:r>
        <w:t>the</w:t>
      </w:r>
      <w:r>
        <w:rPr>
          <w:spacing w:val="-7"/>
        </w:rPr>
        <w:t xml:space="preserve"> </w:t>
      </w:r>
      <w:r>
        <w:t>preparation of</w:t>
      </w:r>
      <w:r>
        <w:rPr>
          <w:spacing w:val="-13"/>
        </w:rPr>
        <w:t xml:space="preserve"> </w:t>
      </w:r>
      <w:r>
        <w:t>performance</w:t>
      </w:r>
      <w:r>
        <w:rPr>
          <w:spacing w:val="-12"/>
        </w:rPr>
        <w:t xml:space="preserve"> </w:t>
      </w:r>
      <w:r>
        <w:t>trees,</w:t>
      </w:r>
      <w:r>
        <w:rPr>
          <w:spacing w:val="-13"/>
        </w:rPr>
        <w:t xml:space="preserve"> </w:t>
      </w:r>
      <w:r>
        <w:t>and</w:t>
      </w:r>
      <w:r>
        <w:rPr>
          <w:spacing w:val="-12"/>
        </w:rPr>
        <w:t xml:space="preserve"> </w:t>
      </w:r>
      <w:r>
        <w:t>cascading</w:t>
      </w:r>
      <w:r>
        <w:rPr>
          <w:spacing w:val="-13"/>
        </w:rPr>
        <w:t xml:space="preserve"> </w:t>
      </w:r>
      <w:r>
        <w:t>the</w:t>
      </w:r>
      <w:r>
        <w:rPr>
          <w:spacing w:val="-12"/>
        </w:rPr>
        <w:t xml:space="preserve"> </w:t>
      </w:r>
      <w:r>
        <w:t>Provincial</w:t>
      </w:r>
      <w:r>
        <w:rPr>
          <w:spacing w:val="-13"/>
        </w:rPr>
        <w:t xml:space="preserve"> </w:t>
      </w:r>
      <w:r>
        <w:t>Agencies</w:t>
      </w:r>
      <w:r>
        <w:rPr>
          <w:spacing w:val="-12"/>
        </w:rPr>
        <w:t xml:space="preserve"> </w:t>
      </w:r>
      <w:r>
        <w:t>Strategic</w:t>
      </w:r>
      <w:r>
        <w:rPr>
          <w:spacing w:val="-12"/>
        </w:rPr>
        <w:t xml:space="preserve"> </w:t>
      </w:r>
      <w:r>
        <w:t>Plan</w:t>
      </w:r>
      <w:r>
        <w:rPr>
          <w:spacing w:val="-13"/>
        </w:rPr>
        <w:t xml:space="preserve"> </w:t>
      </w:r>
      <w:r>
        <w:t>for</w:t>
      </w:r>
      <w:r>
        <w:rPr>
          <w:spacing w:val="-12"/>
        </w:rPr>
        <w:t xml:space="preserve"> </w:t>
      </w:r>
      <w:r>
        <w:t>MSS</w:t>
      </w:r>
      <w:r>
        <w:rPr>
          <w:spacing w:val="-13"/>
        </w:rPr>
        <w:t xml:space="preserve"> </w:t>
      </w:r>
      <w:r>
        <w:t>support</w:t>
      </w:r>
      <w:r>
        <w:rPr>
          <w:spacing w:val="-12"/>
        </w:rPr>
        <w:t xml:space="preserve"> </w:t>
      </w:r>
      <w:r>
        <w:t>with the 2025-2029 RPJMD.</w:t>
      </w:r>
    </w:p>
    <w:p w14:paraId="5C717551" w14:textId="77777777" w:rsidR="00BC24A8" w:rsidRDefault="00000000">
      <w:pPr>
        <w:pStyle w:val="Heading5"/>
        <w:numPr>
          <w:ilvl w:val="2"/>
          <w:numId w:val="108"/>
        </w:numPr>
        <w:tabs>
          <w:tab w:val="left" w:pos="502"/>
        </w:tabs>
        <w:spacing w:before="120"/>
        <w:ind w:left="502" w:hanging="282"/>
        <w:jc w:val="left"/>
      </w:pPr>
      <w:r>
        <w:t>PFM</w:t>
      </w:r>
      <w:r>
        <w:rPr>
          <w:spacing w:val="-5"/>
        </w:rPr>
        <w:t xml:space="preserve"> </w:t>
      </w:r>
      <w:r>
        <w:t>(Public</w:t>
      </w:r>
      <w:r>
        <w:rPr>
          <w:spacing w:val="-5"/>
        </w:rPr>
        <w:t xml:space="preserve"> </w:t>
      </w:r>
      <w:r>
        <w:t>Financial</w:t>
      </w:r>
      <w:r>
        <w:rPr>
          <w:spacing w:val="-3"/>
        </w:rPr>
        <w:t xml:space="preserve"> </w:t>
      </w:r>
      <w:r>
        <w:rPr>
          <w:spacing w:val="-2"/>
        </w:rPr>
        <w:t>Management):</w:t>
      </w:r>
    </w:p>
    <w:p w14:paraId="07AE998B" w14:textId="77777777" w:rsidR="00BC24A8" w:rsidRDefault="00000000">
      <w:pPr>
        <w:pStyle w:val="ListParagraph"/>
        <w:numPr>
          <w:ilvl w:val="3"/>
          <w:numId w:val="108"/>
        </w:numPr>
        <w:tabs>
          <w:tab w:val="left" w:pos="862"/>
          <w:tab w:val="left" w:pos="864"/>
        </w:tabs>
        <w:spacing w:before="181"/>
        <w:ind w:left="864" w:right="564"/>
      </w:pPr>
      <w:r>
        <w:t>SKALA continues its support for the preparation of the Governor's Regulation on Regional Tax Collection and Levy Procedures.</w:t>
      </w:r>
    </w:p>
    <w:p w14:paraId="5045194D" w14:textId="77777777" w:rsidR="00BC24A8" w:rsidRDefault="00000000">
      <w:pPr>
        <w:pStyle w:val="ListParagraph"/>
        <w:numPr>
          <w:ilvl w:val="3"/>
          <w:numId w:val="108"/>
        </w:numPr>
        <w:tabs>
          <w:tab w:val="left" w:pos="862"/>
          <w:tab w:val="left" w:pos="864"/>
        </w:tabs>
        <w:ind w:left="864" w:right="562"/>
      </w:pPr>
      <w:r>
        <w:t>As a first step to strengthen regional fiscal capacity, Bappenda (Regional Revenue Agency), together</w:t>
      </w:r>
      <w:r>
        <w:rPr>
          <w:spacing w:val="-4"/>
        </w:rPr>
        <w:t xml:space="preserve"> </w:t>
      </w:r>
      <w:r>
        <w:t>with</w:t>
      </w:r>
      <w:r>
        <w:rPr>
          <w:spacing w:val="-6"/>
        </w:rPr>
        <w:t xml:space="preserve"> </w:t>
      </w:r>
      <w:r>
        <w:t>SKALA,</w:t>
      </w:r>
      <w:r>
        <w:rPr>
          <w:spacing w:val="-3"/>
        </w:rPr>
        <w:t xml:space="preserve"> </w:t>
      </w:r>
      <w:r>
        <w:t>have</w:t>
      </w:r>
      <w:r>
        <w:rPr>
          <w:spacing w:val="-5"/>
        </w:rPr>
        <w:t xml:space="preserve"> </w:t>
      </w:r>
      <w:r>
        <w:t>carried</w:t>
      </w:r>
      <w:r>
        <w:rPr>
          <w:spacing w:val="-6"/>
        </w:rPr>
        <w:t xml:space="preserve"> </w:t>
      </w:r>
      <w:r>
        <w:t>out</w:t>
      </w:r>
      <w:r>
        <w:rPr>
          <w:spacing w:val="-5"/>
        </w:rPr>
        <w:t xml:space="preserve"> </w:t>
      </w:r>
      <w:r>
        <w:t>a</w:t>
      </w:r>
      <w:r>
        <w:rPr>
          <w:spacing w:val="-7"/>
        </w:rPr>
        <w:t xml:space="preserve"> </w:t>
      </w:r>
      <w:r>
        <w:t>study</w:t>
      </w:r>
      <w:r>
        <w:rPr>
          <w:spacing w:val="-6"/>
        </w:rPr>
        <w:t xml:space="preserve"> </w:t>
      </w:r>
      <w:r>
        <w:t>to</w:t>
      </w:r>
      <w:r>
        <w:rPr>
          <w:spacing w:val="-4"/>
        </w:rPr>
        <w:t xml:space="preserve"> </w:t>
      </w:r>
      <w:r>
        <w:t>increase</w:t>
      </w:r>
      <w:r>
        <w:rPr>
          <w:spacing w:val="-5"/>
        </w:rPr>
        <w:t xml:space="preserve"> </w:t>
      </w:r>
      <w:r>
        <w:t>Regional</w:t>
      </w:r>
      <w:r>
        <w:rPr>
          <w:spacing w:val="-5"/>
        </w:rPr>
        <w:t xml:space="preserve"> </w:t>
      </w:r>
      <w:r>
        <w:t>Revenue</w:t>
      </w:r>
      <w:r>
        <w:rPr>
          <w:spacing w:val="-5"/>
        </w:rPr>
        <w:t xml:space="preserve"> </w:t>
      </w:r>
      <w:r>
        <w:t>(PAD)</w:t>
      </w:r>
      <w:r>
        <w:rPr>
          <w:spacing w:val="-3"/>
        </w:rPr>
        <w:t xml:space="preserve"> </w:t>
      </w:r>
      <w:r>
        <w:t>and</w:t>
      </w:r>
      <w:r>
        <w:rPr>
          <w:spacing w:val="-6"/>
        </w:rPr>
        <w:t xml:space="preserve"> </w:t>
      </w:r>
      <w:r>
        <w:t>develop business processes for four levy-collecting Provincial Agencies.</w:t>
      </w:r>
    </w:p>
    <w:p w14:paraId="05E87478" w14:textId="77777777" w:rsidR="00BC24A8" w:rsidRDefault="00000000">
      <w:pPr>
        <w:pStyle w:val="Heading5"/>
        <w:numPr>
          <w:ilvl w:val="2"/>
          <w:numId w:val="108"/>
        </w:numPr>
        <w:tabs>
          <w:tab w:val="left" w:pos="503"/>
        </w:tabs>
        <w:spacing w:before="119"/>
        <w:ind w:hanging="282"/>
        <w:jc w:val="left"/>
      </w:pPr>
      <w:r>
        <w:t>GEDSI</w:t>
      </w:r>
      <w:r>
        <w:rPr>
          <w:spacing w:val="-11"/>
        </w:rPr>
        <w:t xml:space="preserve"> </w:t>
      </w:r>
      <w:r>
        <w:t>(Gender</w:t>
      </w:r>
      <w:r>
        <w:rPr>
          <w:spacing w:val="-9"/>
        </w:rPr>
        <w:t xml:space="preserve"> </w:t>
      </w:r>
      <w:r>
        <w:t>Equality,</w:t>
      </w:r>
      <w:r>
        <w:rPr>
          <w:spacing w:val="-12"/>
        </w:rPr>
        <w:t xml:space="preserve"> </w:t>
      </w:r>
      <w:r>
        <w:t>Disability,</w:t>
      </w:r>
      <w:r>
        <w:rPr>
          <w:spacing w:val="-9"/>
        </w:rPr>
        <w:t xml:space="preserve"> </w:t>
      </w:r>
      <w:r>
        <w:t>and</w:t>
      </w:r>
      <w:r>
        <w:rPr>
          <w:spacing w:val="-11"/>
        </w:rPr>
        <w:t xml:space="preserve"> </w:t>
      </w:r>
      <w:r>
        <w:t>Social</w:t>
      </w:r>
      <w:r>
        <w:rPr>
          <w:spacing w:val="-10"/>
        </w:rPr>
        <w:t xml:space="preserve"> </w:t>
      </w:r>
      <w:r>
        <w:rPr>
          <w:spacing w:val="-2"/>
        </w:rPr>
        <w:t>Inclusion):</w:t>
      </w:r>
    </w:p>
    <w:p w14:paraId="41C8DCBC" w14:textId="77777777" w:rsidR="00BC24A8" w:rsidRDefault="00000000">
      <w:pPr>
        <w:pStyle w:val="ListParagraph"/>
        <w:numPr>
          <w:ilvl w:val="3"/>
          <w:numId w:val="108"/>
        </w:numPr>
        <w:tabs>
          <w:tab w:val="left" w:pos="862"/>
          <w:tab w:val="left" w:pos="864"/>
        </w:tabs>
        <w:spacing w:before="180"/>
        <w:ind w:left="864" w:right="564"/>
      </w:pPr>
      <w:r>
        <w:t>In the second semester, SKALA Maluku provided facilitation supports, inputs, and technical recommendations</w:t>
      </w:r>
      <w:r>
        <w:rPr>
          <w:spacing w:val="-4"/>
        </w:rPr>
        <w:t xml:space="preserve"> </w:t>
      </w:r>
      <w:r>
        <w:t>for</w:t>
      </w:r>
      <w:r>
        <w:rPr>
          <w:spacing w:val="-2"/>
        </w:rPr>
        <w:t xml:space="preserve"> </w:t>
      </w:r>
      <w:r>
        <w:t>two</w:t>
      </w:r>
      <w:r>
        <w:rPr>
          <w:spacing w:val="-5"/>
        </w:rPr>
        <w:t xml:space="preserve"> </w:t>
      </w:r>
      <w:r>
        <w:t>policies:</w:t>
      </w:r>
      <w:r>
        <w:rPr>
          <w:spacing w:val="-3"/>
        </w:rPr>
        <w:t xml:space="preserve"> </w:t>
      </w:r>
      <w:r>
        <w:t>the</w:t>
      </w:r>
      <w:r>
        <w:rPr>
          <w:spacing w:val="-2"/>
        </w:rPr>
        <w:t xml:space="preserve"> </w:t>
      </w:r>
      <w:r>
        <w:t>Regional</w:t>
      </w:r>
      <w:r>
        <w:rPr>
          <w:spacing w:val="-1"/>
        </w:rPr>
        <w:t xml:space="preserve"> </w:t>
      </w:r>
      <w:r>
        <w:t>Regulation on</w:t>
      </w:r>
      <w:r>
        <w:rPr>
          <w:spacing w:val="-2"/>
        </w:rPr>
        <w:t xml:space="preserve"> </w:t>
      </w:r>
      <w:r>
        <w:t>Gender</w:t>
      </w:r>
      <w:r>
        <w:rPr>
          <w:spacing w:val="-2"/>
        </w:rPr>
        <w:t xml:space="preserve"> </w:t>
      </w:r>
      <w:r>
        <w:t>Mainstreaming</w:t>
      </w:r>
      <w:r>
        <w:rPr>
          <w:spacing w:val="-1"/>
        </w:rPr>
        <w:t xml:space="preserve"> </w:t>
      </w:r>
      <w:r>
        <w:t>and</w:t>
      </w:r>
      <w:r>
        <w:rPr>
          <w:spacing w:val="-2"/>
        </w:rPr>
        <w:t xml:space="preserve"> </w:t>
      </w:r>
      <w:r>
        <w:t>the Plan for Persons with Disabilities.</w:t>
      </w:r>
    </w:p>
    <w:p w14:paraId="51C8FA87" w14:textId="77777777" w:rsidR="00BC24A8" w:rsidRDefault="00000000">
      <w:pPr>
        <w:pStyle w:val="ListParagraph"/>
        <w:numPr>
          <w:ilvl w:val="3"/>
          <w:numId w:val="108"/>
        </w:numPr>
        <w:tabs>
          <w:tab w:val="left" w:pos="863"/>
        </w:tabs>
        <w:spacing w:before="1"/>
        <w:ind w:hanging="359"/>
      </w:pPr>
      <w:r>
        <w:t>SKALA</w:t>
      </w:r>
      <w:r>
        <w:rPr>
          <w:spacing w:val="-7"/>
        </w:rPr>
        <w:t xml:space="preserve"> </w:t>
      </w:r>
      <w:r>
        <w:t>provided</w:t>
      </w:r>
      <w:r>
        <w:rPr>
          <w:spacing w:val="-3"/>
        </w:rPr>
        <w:t xml:space="preserve"> </w:t>
      </w:r>
      <w:r>
        <w:t>policy</w:t>
      </w:r>
      <w:r>
        <w:rPr>
          <w:spacing w:val="-4"/>
        </w:rPr>
        <w:t xml:space="preserve"> </w:t>
      </w:r>
      <w:r>
        <w:t>paper</w:t>
      </w:r>
      <w:r>
        <w:rPr>
          <w:spacing w:val="-3"/>
        </w:rPr>
        <w:t xml:space="preserve"> </w:t>
      </w:r>
      <w:r>
        <w:t>writing</w:t>
      </w:r>
      <w:r>
        <w:rPr>
          <w:spacing w:val="-5"/>
        </w:rPr>
        <w:t xml:space="preserve"> </w:t>
      </w:r>
      <w:r>
        <w:t>training</w:t>
      </w:r>
      <w:r>
        <w:rPr>
          <w:spacing w:val="-4"/>
        </w:rPr>
        <w:t xml:space="preserve"> </w:t>
      </w:r>
      <w:r>
        <w:t>to</w:t>
      </w:r>
      <w:r>
        <w:rPr>
          <w:spacing w:val="-7"/>
        </w:rPr>
        <w:t xml:space="preserve"> </w:t>
      </w:r>
      <w:r>
        <w:t>20</w:t>
      </w:r>
      <w:r>
        <w:rPr>
          <w:spacing w:val="-3"/>
        </w:rPr>
        <w:t xml:space="preserve"> </w:t>
      </w:r>
      <w:r>
        <w:t>CSOs,</w:t>
      </w:r>
      <w:r>
        <w:rPr>
          <w:spacing w:val="-4"/>
        </w:rPr>
        <w:t xml:space="preserve"> </w:t>
      </w:r>
      <w:r>
        <w:t>including</w:t>
      </w:r>
      <w:r>
        <w:rPr>
          <w:spacing w:val="-7"/>
        </w:rPr>
        <w:t xml:space="preserve"> </w:t>
      </w:r>
      <w:r>
        <w:t>six</w:t>
      </w:r>
      <w:r>
        <w:rPr>
          <w:spacing w:val="-5"/>
        </w:rPr>
        <w:t xml:space="preserve"> </w:t>
      </w:r>
      <w:r>
        <w:t>Provincial</w:t>
      </w:r>
      <w:r>
        <w:rPr>
          <w:spacing w:val="-5"/>
        </w:rPr>
        <w:t xml:space="preserve"> </w:t>
      </w:r>
      <w:r>
        <w:rPr>
          <w:spacing w:val="-2"/>
        </w:rPr>
        <w:t>Agencies.</w:t>
      </w:r>
    </w:p>
    <w:p w14:paraId="263FEBE7" w14:textId="77777777" w:rsidR="00BC24A8" w:rsidRDefault="00000000">
      <w:pPr>
        <w:pStyle w:val="ListParagraph"/>
        <w:numPr>
          <w:ilvl w:val="3"/>
          <w:numId w:val="108"/>
        </w:numPr>
        <w:tabs>
          <w:tab w:val="left" w:pos="864"/>
        </w:tabs>
        <w:spacing w:before="1"/>
        <w:ind w:left="864" w:right="560" w:hanging="360"/>
      </w:pPr>
      <w:r>
        <w:t xml:space="preserve">SKALA also supports the implementation of the first Thematic </w:t>
      </w:r>
      <w:r>
        <w:rPr>
          <w:i/>
        </w:rPr>
        <w:t xml:space="preserve">Musrenbang </w:t>
      </w:r>
      <w:r>
        <w:t>(Development Planning</w:t>
      </w:r>
      <w:r>
        <w:rPr>
          <w:spacing w:val="-6"/>
        </w:rPr>
        <w:t xml:space="preserve"> </w:t>
      </w:r>
      <w:r>
        <w:t>Consultation</w:t>
      </w:r>
      <w:r>
        <w:rPr>
          <w:spacing w:val="-5"/>
        </w:rPr>
        <w:t xml:space="preserve"> </w:t>
      </w:r>
      <w:r>
        <w:t>Forum)</w:t>
      </w:r>
      <w:r>
        <w:rPr>
          <w:spacing w:val="-4"/>
        </w:rPr>
        <w:t xml:space="preserve"> </w:t>
      </w:r>
      <w:r>
        <w:t>in</w:t>
      </w:r>
      <w:r>
        <w:rPr>
          <w:spacing w:val="-5"/>
        </w:rPr>
        <w:t xml:space="preserve"> </w:t>
      </w:r>
      <w:r>
        <w:t>Maluku</w:t>
      </w:r>
      <w:r>
        <w:rPr>
          <w:spacing w:val="-5"/>
        </w:rPr>
        <w:t xml:space="preserve"> </w:t>
      </w:r>
      <w:r>
        <w:t>Province,</w:t>
      </w:r>
      <w:r>
        <w:rPr>
          <w:spacing w:val="-4"/>
        </w:rPr>
        <w:t xml:space="preserve"> </w:t>
      </w:r>
      <w:r>
        <w:t>guidelines</w:t>
      </w:r>
      <w:r>
        <w:rPr>
          <w:spacing w:val="-4"/>
        </w:rPr>
        <w:t xml:space="preserve"> </w:t>
      </w:r>
      <w:r>
        <w:t>preparation,</w:t>
      </w:r>
      <w:r>
        <w:rPr>
          <w:spacing w:val="-3"/>
        </w:rPr>
        <w:t xml:space="preserve"> </w:t>
      </w:r>
      <w:r>
        <w:t>and</w:t>
      </w:r>
      <w:r>
        <w:rPr>
          <w:spacing w:val="-5"/>
        </w:rPr>
        <w:t xml:space="preserve"> </w:t>
      </w:r>
      <w:r>
        <w:t xml:space="preserve">implementation </w:t>
      </w:r>
      <w:r>
        <w:rPr>
          <w:spacing w:val="-2"/>
        </w:rPr>
        <w:t>budget.</w:t>
      </w:r>
    </w:p>
    <w:p w14:paraId="7D49D51B" w14:textId="77777777" w:rsidR="00BC24A8" w:rsidRDefault="00BC24A8">
      <w:pPr>
        <w:pStyle w:val="BodyText"/>
        <w:spacing w:before="118"/>
      </w:pPr>
    </w:p>
    <w:p w14:paraId="148164FF" w14:textId="77777777" w:rsidR="00BC24A8" w:rsidRDefault="00000000">
      <w:pPr>
        <w:pStyle w:val="BodyText"/>
        <w:ind w:left="144"/>
        <w:rPr>
          <w:rFonts w:ascii="Calibri"/>
        </w:rPr>
      </w:pPr>
      <w:r>
        <w:rPr>
          <w:rFonts w:ascii="Calibri"/>
          <w:color w:val="272727"/>
        </w:rPr>
        <w:t>Summary</w:t>
      </w:r>
      <w:r>
        <w:rPr>
          <w:rFonts w:ascii="Calibri"/>
          <w:color w:val="272727"/>
          <w:spacing w:val="-6"/>
        </w:rPr>
        <w:t xml:space="preserve"> </w:t>
      </w:r>
      <w:r>
        <w:rPr>
          <w:rFonts w:ascii="Calibri"/>
          <w:color w:val="272727"/>
        </w:rPr>
        <w:t>of</w:t>
      </w:r>
      <w:r>
        <w:rPr>
          <w:rFonts w:ascii="Calibri"/>
          <w:color w:val="272727"/>
          <w:spacing w:val="-8"/>
        </w:rPr>
        <w:t xml:space="preserve"> </w:t>
      </w:r>
      <w:r>
        <w:rPr>
          <w:rFonts w:ascii="Calibri"/>
          <w:color w:val="272727"/>
        </w:rPr>
        <w:t>results</w:t>
      </w:r>
      <w:r>
        <w:rPr>
          <w:rFonts w:ascii="Calibri"/>
          <w:color w:val="272727"/>
          <w:spacing w:val="-6"/>
        </w:rPr>
        <w:t xml:space="preserve"> </w:t>
      </w:r>
      <w:r>
        <w:rPr>
          <w:rFonts w:ascii="Calibri"/>
          <w:color w:val="272727"/>
        </w:rPr>
        <w:t>at</w:t>
      </w:r>
      <w:r>
        <w:rPr>
          <w:rFonts w:ascii="Calibri"/>
          <w:color w:val="272727"/>
          <w:spacing w:val="-8"/>
        </w:rPr>
        <w:t xml:space="preserve"> </w:t>
      </w:r>
      <w:r>
        <w:rPr>
          <w:rFonts w:ascii="Calibri"/>
          <w:color w:val="272727"/>
        </w:rPr>
        <w:t>the</w:t>
      </w:r>
      <w:r>
        <w:rPr>
          <w:rFonts w:ascii="Calibri"/>
          <w:color w:val="272727"/>
          <w:spacing w:val="-5"/>
        </w:rPr>
        <w:t xml:space="preserve"> </w:t>
      </w:r>
      <w:r>
        <w:rPr>
          <w:rFonts w:ascii="Calibri"/>
          <w:color w:val="272727"/>
        </w:rPr>
        <w:t>Intermediate</w:t>
      </w:r>
      <w:r>
        <w:rPr>
          <w:rFonts w:ascii="Calibri"/>
          <w:color w:val="272727"/>
          <w:spacing w:val="-8"/>
        </w:rPr>
        <w:t xml:space="preserve"> </w:t>
      </w:r>
      <w:r>
        <w:rPr>
          <w:rFonts w:ascii="Calibri"/>
          <w:color w:val="272727"/>
        </w:rPr>
        <w:t>Outcome</w:t>
      </w:r>
      <w:r>
        <w:rPr>
          <w:rFonts w:ascii="Calibri"/>
          <w:color w:val="272727"/>
          <w:spacing w:val="-5"/>
        </w:rPr>
        <w:t xml:space="preserve"> </w:t>
      </w:r>
      <w:r>
        <w:rPr>
          <w:rFonts w:ascii="Calibri"/>
          <w:color w:val="272727"/>
          <w:spacing w:val="-2"/>
        </w:rPr>
        <w:t>level</w:t>
      </w:r>
    </w:p>
    <w:p w14:paraId="430C4B9A" w14:textId="77777777" w:rsidR="00BC24A8" w:rsidRDefault="00000000">
      <w:pPr>
        <w:pStyle w:val="Heading5"/>
        <w:spacing w:before="22"/>
        <w:ind w:left="144"/>
      </w:pPr>
      <w:r>
        <w:rPr>
          <w:color w:val="17365A"/>
        </w:rPr>
        <w:t>Better</w:t>
      </w:r>
      <w:r>
        <w:rPr>
          <w:color w:val="17365A"/>
          <w:spacing w:val="-8"/>
        </w:rPr>
        <w:t xml:space="preserve"> </w:t>
      </w:r>
      <w:r>
        <w:rPr>
          <w:color w:val="17365A"/>
        </w:rPr>
        <w:t>public</w:t>
      </w:r>
      <w:r>
        <w:rPr>
          <w:color w:val="17365A"/>
          <w:spacing w:val="-7"/>
        </w:rPr>
        <w:t xml:space="preserve"> </w:t>
      </w:r>
      <w:r>
        <w:rPr>
          <w:color w:val="17365A"/>
        </w:rPr>
        <w:t>financial</w:t>
      </w:r>
      <w:r>
        <w:rPr>
          <w:color w:val="17365A"/>
          <w:spacing w:val="-5"/>
        </w:rPr>
        <w:t xml:space="preserve"> </w:t>
      </w:r>
      <w:r>
        <w:rPr>
          <w:color w:val="17365A"/>
        </w:rPr>
        <w:t>management</w:t>
      </w:r>
      <w:r>
        <w:rPr>
          <w:color w:val="17365A"/>
          <w:spacing w:val="-8"/>
        </w:rPr>
        <w:t xml:space="preserve"> </w:t>
      </w:r>
      <w:r>
        <w:rPr>
          <w:color w:val="17365A"/>
        </w:rPr>
        <w:t>to</w:t>
      </w:r>
      <w:r>
        <w:rPr>
          <w:color w:val="17365A"/>
          <w:spacing w:val="-7"/>
        </w:rPr>
        <w:t xml:space="preserve"> </w:t>
      </w:r>
      <w:r>
        <w:rPr>
          <w:color w:val="17365A"/>
        </w:rPr>
        <w:t>support</w:t>
      </w:r>
      <w:r>
        <w:rPr>
          <w:color w:val="17365A"/>
          <w:spacing w:val="-8"/>
        </w:rPr>
        <w:t xml:space="preserve"> </w:t>
      </w:r>
      <w:r>
        <w:rPr>
          <w:color w:val="17365A"/>
        </w:rPr>
        <w:t>improved</w:t>
      </w:r>
      <w:r>
        <w:rPr>
          <w:color w:val="17365A"/>
          <w:spacing w:val="-7"/>
        </w:rPr>
        <w:t xml:space="preserve"> </w:t>
      </w:r>
      <w:r>
        <w:rPr>
          <w:color w:val="17365A"/>
        </w:rPr>
        <w:t>service</w:t>
      </w:r>
      <w:r>
        <w:rPr>
          <w:color w:val="17365A"/>
          <w:spacing w:val="-7"/>
        </w:rPr>
        <w:t xml:space="preserve"> </w:t>
      </w:r>
      <w:r>
        <w:rPr>
          <w:color w:val="17365A"/>
        </w:rPr>
        <w:t>delivery</w:t>
      </w:r>
      <w:r>
        <w:rPr>
          <w:color w:val="17365A"/>
          <w:spacing w:val="-5"/>
        </w:rPr>
        <w:t xml:space="preserve"> </w:t>
      </w:r>
      <w:r>
        <w:rPr>
          <w:color w:val="17365A"/>
        </w:rPr>
        <w:t>(IO</w:t>
      </w:r>
      <w:r>
        <w:rPr>
          <w:color w:val="17365A"/>
          <w:spacing w:val="-9"/>
        </w:rPr>
        <w:t xml:space="preserve"> </w:t>
      </w:r>
      <w:r>
        <w:rPr>
          <w:color w:val="17365A"/>
        </w:rPr>
        <w:t>4</w:t>
      </w:r>
      <w:r>
        <w:rPr>
          <w:color w:val="17365A"/>
          <w:spacing w:val="-5"/>
        </w:rPr>
        <w:t xml:space="preserve"> </w:t>
      </w:r>
      <w:r>
        <w:rPr>
          <w:color w:val="17365A"/>
        </w:rPr>
        <w:t>and</w:t>
      </w:r>
      <w:r>
        <w:rPr>
          <w:color w:val="17365A"/>
          <w:spacing w:val="-7"/>
        </w:rPr>
        <w:t xml:space="preserve"> </w:t>
      </w:r>
      <w:r>
        <w:rPr>
          <w:color w:val="17365A"/>
          <w:spacing w:val="-5"/>
        </w:rPr>
        <w:t>6)</w:t>
      </w:r>
    </w:p>
    <w:p w14:paraId="49BD18EE" w14:textId="77777777" w:rsidR="00BC24A8" w:rsidRDefault="00000000">
      <w:pPr>
        <w:pStyle w:val="ListParagraph"/>
        <w:numPr>
          <w:ilvl w:val="3"/>
          <w:numId w:val="108"/>
        </w:numPr>
        <w:tabs>
          <w:tab w:val="left" w:pos="863"/>
          <w:tab w:val="left" w:pos="865"/>
        </w:tabs>
        <w:spacing w:before="161"/>
        <w:ind w:left="865" w:right="563"/>
      </w:pPr>
      <w:r>
        <w:t>Maluku</w:t>
      </w:r>
      <w:r>
        <w:rPr>
          <w:spacing w:val="-13"/>
        </w:rPr>
        <w:t xml:space="preserve"> </w:t>
      </w:r>
      <w:r>
        <w:t>Provincial</w:t>
      </w:r>
      <w:r>
        <w:rPr>
          <w:spacing w:val="-12"/>
        </w:rPr>
        <w:t xml:space="preserve"> </w:t>
      </w:r>
      <w:r>
        <w:t>Government</w:t>
      </w:r>
      <w:r>
        <w:rPr>
          <w:spacing w:val="-13"/>
        </w:rPr>
        <w:t xml:space="preserve"> </w:t>
      </w:r>
      <w:r>
        <w:t>has</w:t>
      </w:r>
      <w:r>
        <w:rPr>
          <w:spacing w:val="-11"/>
        </w:rPr>
        <w:t xml:space="preserve"> </w:t>
      </w:r>
      <w:r>
        <w:t>issued</w:t>
      </w:r>
      <w:r>
        <w:rPr>
          <w:spacing w:val="-12"/>
        </w:rPr>
        <w:t xml:space="preserve"> </w:t>
      </w:r>
      <w:r>
        <w:t>derivative</w:t>
      </w:r>
      <w:r>
        <w:rPr>
          <w:spacing w:val="-11"/>
        </w:rPr>
        <w:t xml:space="preserve"> </w:t>
      </w:r>
      <w:r>
        <w:t>regulations</w:t>
      </w:r>
      <w:r>
        <w:rPr>
          <w:spacing w:val="-11"/>
        </w:rPr>
        <w:t xml:space="preserve"> </w:t>
      </w:r>
      <w:r>
        <w:t>from</w:t>
      </w:r>
      <w:r>
        <w:rPr>
          <w:spacing w:val="-12"/>
        </w:rPr>
        <w:t xml:space="preserve"> </w:t>
      </w:r>
      <w:r>
        <w:t>the</w:t>
      </w:r>
      <w:r>
        <w:rPr>
          <w:spacing w:val="-13"/>
        </w:rPr>
        <w:t xml:space="preserve"> </w:t>
      </w:r>
      <w:r>
        <w:t>PDRD</w:t>
      </w:r>
      <w:r>
        <w:rPr>
          <w:spacing w:val="-12"/>
        </w:rPr>
        <w:t xml:space="preserve"> </w:t>
      </w:r>
      <w:r>
        <w:t>(Regional</w:t>
      </w:r>
      <w:r>
        <w:rPr>
          <w:spacing w:val="-13"/>
        </w:rPr>
        <w:t xml:space="preserve"> </w:t>
      </w:r>
      <w:r>
        <w:t>Taxes and Levies) policy and operates according to the latest regulations.</w:t>
      </w:r>
    </w:p>
    <w:p w14:paraId="76722EF6" w14:textId="77777777" w:rsidR="00BC24A8" w:rsidRDefault="00000000">
      <w:pPr>
        <w:pStyle w:val="ListParagraph"/>
        <w:numPr>
          <w:ilvl w:val="4"/>
          <w:numId w:val="108"/>
        </w:numPr>
        <w:tabs>
          <w:tab w:val="left" w:pos="1224"/>
        </w:tabs>
        <w:spacing w:before="118"/>
        <w:ind w:right="562"/>
      </w:pPr>
      <w:r>
        <w:t>Two Governor's Regulations on tax collection and levy procedures are issued before the deadline</w:t>
      </w:r>
      <w:r>
        <w:rPr>
          <w:spacing w:val="-6"/>
        </w:rPr>
        <w:t xml:space="preserve"> </w:t>
      </w:r>
      <w:r>
        <w:t>from</w:t>
      </w:r>
      <w:r>
        <w:rPr>
          <w:spacing w:val="-7"/>
        </w:rPr>
        <w:t xml:space="preserve"> </w:t>
      </w:r>
      <w:r>
        <w:t>the</w:t>
      </w:r>
      <w:r>
        <w:rPr>
          <w:spacing w:val="-9"/>
        </w:rPr>
        <w:t xml:space="preserve"> </w:t>
      </w:r>
      <w:r>
        <w:t>Ministry</w:t>
      </w:r>
      <w:r>
        <w:rPr>
          <w:spacing w:val="-7"/>
        </w:rPr>
        <w:t xml:space="preserve"> </w:t>
      </w:r>
      <w:r>
        <w:t>of</w:t>
      </w:r>
      <w:r>
        <w:rPr>
          <w:spacing w:val="-4"/>
        </w:rPr>
        <w:t xml:space="preserve"> </w:t>
      </w:r>
      <w:r>
        <w:t>Finance.</w:t>
      </w:r>
      <w:r>
        <w:rPr>
          <w:spacing w:val="-6"/>
        </w:rPr>
        <w:t xml:space="preserve"> </w:t>
      </w:r>
      <w:r>
        <w:t>This</w:t>
      </w:r>
      <w:r>
        <w:rPr>
          <w:spacing w:val="-4"/>
        </w:rPr>
        <w:t xml:space="preserve"> </w:t>
      </w:r>
      <w:r>
        <w:t>allows</w:t>
      </w:r>
      <w:r>
        <w:rPr>
          <w:spacing w:val="-7"/>
        </w:rPr>
        <w:t xml:space="preserve"> </w:t>
      </w:r>
      <w:r>
        <w:t>the</w:t>
      </w:r>
      <w:r>
        <w:rPr>
          <w:spacing w:val="-4"/>
        </w:rPr>
        <w:t xml:space="preserve"> </w:t>
      </w:r>
      <w:r>
        <w:t>implementation</w:t>
      </w:r>
      <w:r>
        <w:rPr>
          <w:spacing w:val="-5"/>
        </w:rPr>
        <w:t xml:space="preserve"> </w:t>
      </w:r>
      <w:r>
        <w:t>of</w:t>
      </w:r>
      <w:r>
        <w:rPr>
          <w:spacing w:val="-6"/>
        </w:rPr>
        <w:t xml:space="preserve"> </w:t>
      </w:r>
      <w:r>
        <w:t>the</w:t>
      </w:r>
      <w:r>
        <w:rPr>
          <w:spacing w:val="-4"/>
        </w:rPr>
        <w:t xml:space="preserve"> </w:t>
      </w:r>
      <w:r>
        <w:t>tax</w:t>
      </w:r>
      <w:r>
        <w:rPr>
          <w:spacing w:val="-6"/>
        </w:rPr>
        <w:t xml:space="preserve"> </w:t>
      </w:r>
      <w:r>
        <w:t>Option</w:t>
      </w:r>
      <w:r>
        <w:rPr>
          <w:spacing w:val="-5"/>
        </w:rPr>
        <w:t xml:space="preserve"> </w:t>
      </w:r>
      <w:r>
        <w:t>on time,</w:t>
      </w:r>
      <w:r>
        <w:rPr>
          <w:spacing w:val="-13"/>
        </w:rPr>
        <w:t xml:space="preserve"> </w:t>
      </w:r>
      <w:r>
        <w:t>which</w:t>
      </w:r>
      <w:r>
        <w:rPr>
          <w:spacing w:val="-11"/>
        </w:rPr>
        <w:t xml:space="preserve"> </w:t>
      </w:r>
      <w:r>
        <w:t>is</w:t>
      </w:r>
      <w:r>
        <w:rPr>
          <w:spacing w:val="-11"/>
        </w:rPr>
        <w:t xml:space="preserve"> </w:t>
      </w:r>
      <w:r>
        <w:t>in</w:t>
      </w:r>
      <w:r>
        <w:rPr>
          <w:spacing w:val="-13"/>
        </w:rPr>
        <w:t xml:space="preserve"> </w:t>
      </w:r>
      <w:r>
        <w:t>January</w:t>
      </w:r>
      <w:r>
        <w:rPr>
          <w:spacing w:val="-10"/>
        </w:rPr>
        <w:t xml:space="preserve"> </w:t>
      </w:r>
      <w:r>
        <w:t>2025.</w:t>
      </w:r>
      <w:r>
        <w:rPr>
          <w:spacing w:val="-11"/>
        </w:rPr>
        <w:t xml:space="preserve"> </w:t>
      </w:r>
      <w:r>
        <w:t>However,</w:t>
      </w:r>
      <w:r>
        <w:rPr>
          <w:spacing w:val="-11"/>
        </w:rPr>
        <w:t xml:space="preserve"> </w:t>
      </w:r>
      <w:r>
        <w:t>the</w:t>
      </w:r>
      <w:r>
        <w:rPr>
          <w:spacing w:val="-11"/>
        </w:rPr>
        <w:t xml:space="preserve"> </w:t>
      </w:r>
      <w:r>
        <w:t>limited</w:t>
      </w:r>
      <w:r>
        <w:rPr>
          <w:spacing w:val="-12"/>
        </w:rPr>
        <w:t xml:space="preserve"> </w:t>
      </w:r>
      <w:r>
        <w:t>capacity</w:t>
      </w:r>
      <w:r>
        <w:rPr>
          <w:spacing w:val="-11"/>
        </w:rPr>
        <w:t xml:space="preserve"> </w:t>
      </w:r>
      <w:r>
        <w:t>of</w:t>
      </w:r>
      <w:r>
        <w:rPr>
          <w:spacing w:val="-11"/>
        </w:rPr>
        <w:t xml:space="preserve"> </w:t>
      </w:r>
      <w:r>
        <w:t>taxpayer</w:t>
      </w:r>
      <w:r>
        <w:rPr>
          <w:spacing w:val="-13"/>
        </w:rPr>
        <w:t xml:space="preserve"> </w:t>
      </w:r>
      <w:r>
        <w:t>data</w:t>
      </w:r>
      <w:r>
        <w:rPr>
          <w:spacing w:val="-12"/>
        </w:rPr>
        <w:t xml:space="preserve"> </w:t>
      </w:r>
      <w:r>
        <w:t>management and integration is still a challenge.</w:t>
      </w:r>
    </w:p>
    <w:p w14:paraId="15807EAB" w14:textId="77777777" w:rsidR="00BC24A8" w:rsidRDefault="00000000">
      <w:pPr>
        <w:pStyle w:val="ListParagraph"/>
        <w:numPr>
          <w:ilvl w:val="3"/>
          <w:numId w:val="108"/>
        </w:numPr>
        <w:tabs>
          <w:tab w:val="left" w:pos="863"/>
          <w:tab w:val="left" w:pos="865"/>
        </w:tabs>
        <w:spacing w:before="162"/>
        <w:ind w:left="865" w:right="566"/>
      </w:pPr>
      <w:r>
        <w:t>Recommendations</w:t>
      </w:r>
      <w:r>
        <w:rPr>
          <w:spacing w:val="-2"/>
        </w:rPr>
        <w:t xml:space="preserve"> </w:t>
      </w:r>
      <w:r>
        <w:t>for increasing</w:t>
      </w:r>
      <w:r>
        <w:rPr>
          <w:spacing w:val="-3"/>
        </w:rPr>
        <w:t xml:space="preserve"> </w:t>
      </w:r>
      <w:r>
        <w:t>Regional</w:t>
      </w:r>
      <w:r>
        <w:rPr>
          <w:spacing w:val="-1"/>
        </w:rPr>
        <w:t xml:space="preserve"> </w:t>
      </w:r>
      <w:r>
        <w:t>Revenue and business</w:t>
      </w:r>
      <w:r>
        <w:rPr>
          <w:spacing w:val="-2"/>
        </w:rPr>
        <w:t xml:space="preserve"> </w:t>
      </w:r>
      <w:r>
        <w:t>processes</w:t>
      </w:r>
      <w:r>
        <w:rPr>
          <w:spacing w:val="-2"/>
        </w:rPr>
        <w:t xml:space="preserve"> </w:t>
      </w:r>
      <w:r>
        <w:t>for optimising</w:t>
      </w:r>
      <w:r>
        <w:rPr>
          <w:spacing w:val="-1"/>
        </w:rPr>
        <w:t xml:space="preserve"> </w:t>
      </w:r>
      <w:r>
        <w:t>levy collection have been submitted to the Provincial Government.</w:t>
      </w:r>
    </w:p>
    <w:p w14:paraId="7D881DCA" w14:textId="77777777" w:rsidR="00BC24A8" w:rsidRDefault="00000000">
      <w:pPr>
        <w:pStyle w:val="ListParagraph"/>
        <w:numPr>
          <w:ilvl w:val="4"/>
          <w:numId w:val="108"/>
        </w:numPr>
        <w:tabs>
          <w:tab w:val="left" w:pos="1224"/>
        </w:tabs>
        <w:spacing w:before="118"/>
        <w:ind w:right="561"/>
      </w:pPr>
      <w:r>
        <w:t>SKALA studies the possibility of increasing Regional Revenue (PAD) through the option of expanding the Vehicle Tax on water and surface water. This is projected to increase Regional Revenue by around 17 billion/year.</w:t>
      </w:r>
    </w:p>
    <w:p w14:paraId="69EBCD02" w14:textId="77777777" w:rsidR="00BC24A8" w:rsidRDefault="00000000">
      <w:pPr>
        <w:pStyle w:val="ListParagraph"/>
        <w:numPr>
          <w:ilvl w:val="4"/>
          <w:numId w:val="108"/>
        </w:numPr>
        <w:tabs>
          <w:tab w:val="left" w:pos="1224"/>
        </w:tabs>
        <w:spacing w:before="1"/>
        <w:ind w:right="562"/>
      </w:pPr>
      <w:r>
        <w:t>Minimum</w:t>
      </w:r>
      <w:r>
        <w:rPr>
          <w:spacing w:val="-9"/>
        </w:rPr>
        <w:t xml:space="preserve"> </w:t>
      </w:r>
      <w:r>
        <w:t>Service</w:t>
      </w:r>
      <w:r>
        <w:rPr>
          <w:spacing w:val="-9"/>
        </w:rPr>
        <w:t xml:space="preserve"> </w:t>
      </w:r>
      <w:r>
        <w:t>Standards-supporting</w:t>
      </w:r>
      <w:r>
        <w:rPr>
          <w:spacing w:val="-10"/>
        </w:rPr>
        <w:t xml:space="preserve"> </w:t>
      </w:r>
      <w:r>
        <w:t>Provincial</w:t>
      </w:r>
      <w:r>
        <w:rPr>
          <w:spacing w:val="-9"/>
        </w:rPr>
        <w:t xml:space="preserve"> </w:t>
      </w:r>
      <w:r>
        <w:t>Agencies</w:t>
      </w:r>
      <w:r>
        <w:rPr>
          <w:spacing w:val="-9"/>
        </w:rPr>
        <w:t xml:space="preserve"> </w:t>
      </w:r>
      <w:r>
        <w:t>have</w:t>
      </w:r>
      <w:r>
        <w:rPr>
          <w:spacing w:val="-9"/>
        </w:rPr>
        <w:t xml:space="preserve"> </w:t>
      </w:r>
      <w:r>
        <w:t>the</w:t>
      </w:r>
      <w:r>
        <w:rPr>
          <w:spacing w:val="-9"/>
        </w:rPr>
        <w:t xml:space="preserve"> </w:t>
      </w:r>
      <w:r>
        <w:t>knowledge</w:t>
      </w:r>
      <w:r>
        <w:rPr>
          <w:spacing w:val="-7"/>
        </w:rPr>
        <w:t xml:space="preserve"> </w:t>
      </w:r>
      <w:r>
        <w:t>and</w:t>
      </w:r>
      <w:r>
        <w:rPr>
          <w:spacing w:val="-8"/>
        </w:rPr>
        <w:t xml:space="preserve"> </w:t>
      </w:r>
      <w:r>
        <w:t>ability to</w:t>
      </w:r>
      <w:r>
        <w:rPr>
          <w:spacing w:val="40"/>
        </w:rPr>
        <w:t xml:space="preserve"> </w:t>
      </w:r>
      <w:r>
        <w:t>make</w:t>
      </w:r>
      <w:r>
        <w:rPr>
          <w:spacing w:val="40"/>
        </w:rPr>
        <w:t xml:space="preserve"> </w:t>
      </w:r>
      <w:r>
        <w:t>ideal</w:t>
      </w:r>
      <w:r>
        <w:rPr>
          <w:spacing w:val="40"/>
        </w:rPr>
        <w:t xml:space="preserve"> </w:t>
      </w:r>
      <w:r>
        <w:t>plans</w:t>
      </w:r>
      <w:r>
        <w:rPr>
          <w:spacing w:val="40"/>
        </w:rPr>
        <w:t xml:space="preserve"> </w:t>
      </w:r>
      <w:r>
        <w:t>according</w:t>
      </w:r>
      <w:r>
        <w:rPr>
          <w:spacing w:val="40"/>
        </w:rPr>
        <w:t xml:space="preserve"> </w:t>
      </w:r>
      <w:r>
        <w:t>to</w:t>
      </w:r>
      <w:r>
        <w:rPr>
          <w:spacing w:val="40"/>
        </w:rPr>
        <w:t xml:space="preserve"> </w:t>
      </w:r>
      <w:r>
        <w:t>the</w:t>
      </w:r>
      <w:r>
        <w:rPr>
          <w:spacing w:val="40"/>
        </w:rPr>
        <w:t xml:space="preserve"> </w:t>
      </w:r>
      <w:r>
        <w:t>needs</w:t>
      </w:r>
      <w:r>
        <w:rPr>
          <w:spacing w:val="40"/>
        </w:rPr>
        <w:t xml:space="preserve"> </w:t>
      </w:r>
      <w:r>
        <w:t>and</w:t>
      </w:r>
      <w:r>
        <w:rPr>
          <w:spacing w:val="40"/>
        </w:rPr>
        <w:t xml:space="preserve"> </w:t>
      </w:r>
      <w:r>
        <w:t>indicators</w:t>
      </w:r>
      <w:r>
        <w:rPr>
          <w:spacing w:val="40"/>
        </w:rPr>
        <w:t xml:space="preserve"> </w:t>
      </w:r>
      <w:r>
        <w:t>that</w:t>
      </w:r>
      <w:r>
        <w:rPr>
          <w:spacing w:val="40"/>
        </w:rPr>
        <w:t xml:space="preserve"> </w:t>
      </w:r>
      <w:r>
        <w:t>must</w:t>
      </w:r>
      <w:r>
        <w:rPr>
          <w:spacing w:val="40"/>
        </w:rPr>
        <w:t xml:space="preserve"> </w:t>
      </w:r>
      <w:r>
        <w:t>be</w:t>
      </w:r>
      <w:r>
        <w:rPr>
          <w:spacing w:val="40"/>
        </w:rPr>
        <w:t xml:space="preserve"> </w:t>
      </w:r>
      <w:r>
        <w:t>met</w:t>
      </w:r>
      <w:r>
        <w:rPr>
          <w:spacing w:val="40"/>
        </w:rPr>
        <w:t xml:space="preserve"> </w:t>
      </w:r>
      <w:r>
        <w:t>for</w:t>
      </w:r>
      <w:r>
        <w:rPr>
          <w:spacing w:val="40"/>
        </w:rPr>
        <w:t xml:space="preserve"> </w:t>
      </w:r>
      <w:r>
        <w:t>the</w:t>
      </w:r>
    </w:p>
    <w:p w14:paraId="1624C508" w14:textId="77777777" w:rsidR="00BC24A8" w:rsidRDefault="00BC24A8">
      <w:pPr>
        <w:pStyle w:val="ListParagraph"/>
        <w:sectPr w:rsidR="00BC24A8">
          <w:pgSz w:w="11910" w:h="16840"/>
          <w:pgMar w:top="1320" w:right="850" w:bottom="1100" w:left="1275" w:header="0" w:footer="907" w:gutter="0"/>
          <w:cols w:space="720"/>
        </w:sectPr>
      </w:pPr>
    </w:p>
    <w:p w14:paraId="1BA78EB0" w14:textId="77777777" w:rsidR="00BC24A8" w:rsidRDefault="00000000">
      <w:pPr>
        <w:pStyle w:val="BodyText"/>
        <w:spacing w:before="39"/>
        <w:ind w:left="1223" w:right="562"/>
        <w:jc w:val="both"/>
      </w:pPr>
      <w:r>
        <w:lastRenderedPageBreak/>
        <w:t>implementation of Minimum Service Standards in 2026. For example, the Social Affairs Office</w:t>
      </w:r>
      <w:r>
        <w:rPr>
          <w:spacing w:val="-13"/>
        </w:rPr>
        <w:t xml:space="preserve"> </w:t>
      </w:r>
      <w:r>
        <w:t>budgets</w:t>
      </w:r>
      <w:r>
        <w:rPr>
          <w:spacing w:val="-12"/>
        </w:rPr>
        <w:t xml:space="preserve"> </w:t>
      </w:r>
      <w:r>
        <w:t>6</w:t>
      </w:r>
      <w:r>
        <w:rPr>
          <w:spacing w:val="-13"/>
        </w:rPr>
        <w:t xml:space="preserve"> </w:t>
      </w:r>
      <w:r>
        <w:t>billion</w:t>
      </w:r>
      <w:r>
        <w:rPr>
          <w:spacing w:val="-12"/>
        </w:rPr>
        <w:t xml:space="preserve"> </w:t>
      </w:r>
      <w:r>
        <w:t>for</w:t>
      </w:r>
      <w:r>
        <w:rPr>
          <w:spacing w:val="-13"/>
        </w:rPr>
        <w:t xml:space="preserve"> </w:t>
      </w:r>
      <w:r>
        <w:t>Minimum</w:t>
      </w:r>
      <w:r>
        <w:rPr>
          <w:spacing w:val="-12"/>
        </w:rPr>
        <w:t xml:space="preserve"> </w:t>
      </w:r>
      <w:r>
        <w:t>Service</w:t>
      </w:r>
      <w:r>
        <w:rPr>
          <w:spacing w:val="-13"/>
        </w:rPr>
        <w:t xml:space="preserve"> </w:t>
      </w:r>
      <w:r>
        <w:t>Standards</w:t>
      </w:r>
      <w:r>
        <w:rPr>
          <w:spacing w:val="-12"/>
        </w:rPr>
        <w:t xml:space="preserve"> </w:t>
      </w:r>
      <w:r>
        <w:t>in</w:t>
      </w:r>
      <w:r>
        <w:rPr>
          <w:spacing w:val="-12"/>
        </w:rPr>
        <w:t xml:space="preserve"> </w:t>
      </w:r>
      <w:r>
        <w:t>2026</w:t>
      </w:r>
      <w:r>
        <w:rPr>
          <w:spacing w:val="-13"/>
        </w:rPr>
        <w:t xml:space="preserve"> </w:t>
      </w:r>
      <w:r>
        <w:t>(an</w:t>
      </w:r>
      <w:r>
        <w:rPr>
          <w:spacing w:val="-12"/>
        </w:rPr>
        <w:t xml:space="preserve"> </w:t>
      </w:r>
      <w:r>
        <w:t>increase</w:t>
      </w:r>
      <w:r>
        <w:rPr>
          <w:spacing w:val="-13"/>
        </w:rPr>
        <w:t xml:space="preserve"> </w:t>
      </w:r>
      <w:r>
        <w:t>of</w:t>
      </w:r>
      <w:r>
        <w:rPr>
          <w:spacing w:val="-12"/>
        </w:rPr>
        <w:t xml:space="preserve"> </w:t>
      </w:r>
      <w:r>
        <w:t>2</w:t>
      </w:r>
      <w:r>
        <w:rPr>
          <w:spacing w:val="-13"/>
        </w:rPr>
        <w:t xml:space="preserve"> </w:t>
      </w:r>
      <w:r>
        <w:t>billion</w:t>
      </w:r>
      <w:r>
        <w:rPr>
          <w:spacing w:val="-12"/>
        </w:rPr>
        <w:t xml:space="preserve"> </w:t>
      </w:r>
      <w:r>
        <w:t>from 2025). The Health Office also adds 200 million from the 2025 budget.</w:t>
      </w:r>
    </w:p>
    <w:p w14:paraId="0619B40F" w14:textId="77777777" w:rsidR="00BC24A8" w:rsidRDefault="00000000">
      <w:pPr>
        <w:pStyle w:val="ListParagraph"/>
        <w:numPr>
          <w:ilvl w:val="4"/>
          <w:numId w:val="108"/>
        </w:numPr>
        <w:tabs>
          <w:tab w:val="left" w:pos="1222"/>
        </w:tabs>
        <w:ind w:left="1222" w:right="564"/>
      </w:pPr>
      <w:r>
        <w:t>Minimum Service Standards-supporting Provincial Agencies have begun to budget sub- activities that were not previously in the planning. For example, the Education Office includes two additional sub-activities for the Out-of-School Children Rate indicator and strengthening literacy. In addition, the Health Office has budgeted for pre-health crisis/disaster simulation sub-activities for 2026.</w:t>
      </w:r>
    </w:p>
    <w:p w14:paraId="231D46D1" w14:textId="77777777" w:rsidR="00BC24A8" w:rsidRDefault="00000000">
      <w:pPr>
        <w:pStyle w:val="ListParagraph"/>
        <w:numPr>
          <w:ilvl w:val="4"/>
          <w:numId w:val="108"/>
        </w:numPr>
        <w:tabs>
          <w:tab w:val="left" w:pos="1222"/>
        </w:tabs>
        <w:ind w:left="1222" w:right="564"/>
      </w:pPr>
      <w:r>
        <w:t>The results of the calculation of the Minimum Service Standards needs for 2026 have become a reference for the preparation of the 2026 Work Plan at the Health Office, Social Services Office, Public Works Office, Housing and Settlement Area Office (</w:t>
      </w:r>
      <w:r>
        <w:rPr>
          <w:i/>
        </w:rPr>
        <w:t xml:space="preserve">Perumahan dan Kawasan Permukiman, </w:t>
      </w:r>
      <w:r>
        <w:t>Perkim), and the Office of Public Order and Community Protection (</w:t>
      </w:r>
      <w:r>
        <w:rPr>
          <w:i/>
        </w:rPr>
        <w:t>Ketenteraman dan Ketertiban Umum serta Perlindungan Masyarakat</w:t>
      </w:r>
      <w:r>
        <w:t>, Trantibumlinmas).</w:t>
      </w:r>
    </w:p>
    <w:p w14:paraId="35328F93" w14:textId="77777777" w:rsidR="00BC24A8" w:rsidRDefault="00000000">
      <w:pPr>
        <w:pStyle w:val="ListParagraph"/>
        <w:numPr>
          <w:ilvl w:val="4"/>
          <w:numId w:val="108"/>
        </w:numPr>
        <w:tabs>
          <w:tab w:val="left" w:pos="1222"/>
        </w:tabs>
        <w:ind w:left="1222" w:right="564"/>
      </w:pPr>
      <w:r>
        <w:t>The</w:t>
      </w:r>
      <w:r>
        <w:rPr>
          <w:spacing w:val="-10"/>
        </w:rPr>
        <w:t xml:space="preserve"> </w:t>
      </w:r>
      <w:r>
        <w:t>Maluku</w:t>
      </w:r>
      <w:r>
        <w:rPr>
          <w:spacing w:val="-11"/>
        </w:rPr>
        <w:t xml:space="preserve"> </w:t>
      </w:r>
      <w:r>
        <w:t>Provincial</w:t>
      </w:r>
      <w:r>
        <w:rPr>
          <w:spacing w:val="-12"/>
        </w:rPr>
        <w:t xml:space="preserve"> </w:t>
      </w:r>
      <w:r>
        <w:t>Government</w:t>
      </w:r>
      <w:r>
        <w:rPr>
          <w:spacing w:val="-12"/>
        </w:rPr>
        <w:t xml:space="preserve"> </w:t>
      </w:r>
      <w:r>
        <w:t>won</w:t>
      </w:r>
      <w:r>
        <w:rPr>
          <w:spacing w:val="-11"/>
        </w:rPr>
        <w:t xml:space="preserve"> </w:t>
      </w:r>
      <w:r>
        <w:t>the</w:t>
      </w:r>
      <w:r>
        <w:rPr>
          <w:spacing w:val="30"/>
        </w:rPr>
        <w:t xml:space="preserve"> </w:t>
      </w:r>
      <w:r>
        <w:t>MSS</w:t>
      </w:r>
      <w:r>
        <w:rPr>
          <w:spacing w:val="-8"/>
        </w:rPr>
        <w:t xml:space="preserve"> </w:t>
      </w:r>
      <w:r>
        <w:t>Award</w:t>
      </w:r>
      <w:r>
        <w:rPr>
          <w:spacing w:val="-9"/>
        </w:rPr>
        <w:t xml:space="preserve"> </w:t>
      </w:r>
      <w:r>
        <w:t>2025</w:t>
      </w:r>
      <w:r>
        <w:rPr>
          <w:spacing w:val="-11"/>
        </w:rPr>
        <w:t xml:space="preserve"> </w:t>
      </w:r>
      <w:r>
        <w:t>as</w:t>
      </w:r>
      <w:r>
        <w:rPr>
          <w:spacing w:val="-10"/>
        </w:rPr>
        <w:t xml:space="preserve"> </w:t>
      </w:r>
      <w:r>
        <w:t>the</w:t>
      </w:r>
      <w:r>
        <w:rPr>
          <w:spacing w:val="-10"/>
        </w:rPr>
        <w:t xml:space="preserve"> </w:t>
      </w:r>
      <w:r>
        <w:t>province</w:t>
      </w:r>
      <w:r>
        <w:rPr>
          <w:spacing w:val="-8"/>
        </w:rPr>
        <w:t xml:space="preserve"> </w:t>
      </w:r>
      <w:r>
        <w:t>with</w:t>
      </w:r>
      <w:r>
        <w:rPr>
          <w:spacing w:val="-13"/>
        </w:rPr>
        <w:t xml:space="preserve"> </w:t>
      </w:r>
      <w:r>
        <w:t>the</w:t>
      </w:r>
      <w:r>
        <w:rPr>
          <w:spacing w:val="-10"/>
        </w:rPr>
        <w:t xml:space="preserve"> </w:t>
      </w:r>
      <w:r>
        <w:t>best performance</w:t>
      </w:r>
      <w:r>
        <w:rPr>
          <w:spacing w:val="-8"/>
        </w:rPr>
        <w:t xml:space="preserve"> </w:t>
      </w:r>
      <w:r>
        <w:t>for</w:t>
      </w:r>
      <w:r>
        <w:rPr>
          <w:spacing w:val="-7"/>
        </w:rPr>
        <w:t xml:space="preserve"> </w:t>
      </w:r>
      <w:r>
        <w:t>the</w:t>
      </w:r>
      <w:r>
        <w:rPr>
          <w:spacing w:val="-8"/>
        </w:rPr>
        <w:t xml:space="preserve"> </w:t>
      </w:r>
      <w:r>
        <w:t>Maluku</w:t>
      </w:r>
      <w:r>
        <w:rPr>
          <w:spacing w:val="-7"/>
        </w:rPr>
        <w:t xml:space="preserve"> </w:t>
      </w:r>
      <w:r>
        <w:t>and</w:t>
      </w:r>
      <w:r>
        <w:rPr>
          <w:spacing w:val="-9"/>
        </w:rPr>
        <w:t xml:space="preserve"> </w:t>
      </w:r>
      <w:r>
        <w:t>Papua</w:t>
      </w:r>
      <w:r>
        <w:rPr>
          <w:spacing w:val="-10"/>
        </w:rPr>
        <w:t xml:space="preserve"> </w:t>
      </w:r>
      <w:r>
        <w:t>regions.</w:t>
      </w:r>
      <w:r>
        <w:rPr>
          <w:spacing w:val="-8"/>
        </w:rPr>
        <w:t xml:space="preserve"> </w:t>
      </w:r>
      <w:r>
        <w:t>Nationally,</w:t>
      </w:r>
      <w:r>
        <w:rPr>
          <w:spacing w:val="-8"/>
        </w:rPr>
        <w:t xml:space="preserve"> </w:t>
      </w:r>
      <w:r>
        <w:t>Maluku's</w:t>
      </w:r>
      <w:r>
        <w:rPr>
          <w:spacing w:val="-8"/>
        </w:rPr>
        <w:t xml:space="preserve"> </w:t>
      </w:r>
      <w:r>
        <w:t>ranking</w:t>
      </w:r>
      <w:r>
        <w:rPr>
          <w:spacing w:val="-8"/>
        </w:rPr>
        <w:t xml:space="preserve"> </w:t>
      </w:r>
      <w:r>
        <w:t>rose</w:t>
      </w:r>
      <w:r>
        <w:rPr>
          <w:spacing w:val="-8"/>
        </w:rPr>
        <w:t xml:space="preserve"> </w:t>
      </w:r>
      <w:r>
        <w:t>from</w:t>
      </w:r>
      <w:r>
        <w:rPr>
          <w:spacing w:val="-8"/>
        </w:rPr>
        <w:t xml:space="preserve"> </w:t>
      </w:r>
      <w:r>
        <w:t>the 21</w:t>
      </w:r>
      <w:r>
        <w:rPr>
          <w:vertAlign w:val="superscript"/>
        </w:rPr>
        <w:t>st</w:t>
      </w:r>
      <w:r>
        <w:t xml:space="preserve"> position to the 17</w:t>
      </w:r>
      <w:r>
        <w:rPr>
          <w:vertAlign w:val="superscript"/>
        </w:rPr>
        <w:t>th</w:t>
      </w:r>
      <w:r>
        <w:t xml:space="preserve"> position.</w:t>
      </w:r>
    </w:p>
    <w:p w14:paraId="6FBAD776" w14:textId="77777777" w:rsidR="00BC24A8" w:rsidRDefault="00000000">
      <w:pPr>
        <w:pStyle w:val="ListParagraph"/>
        <w:numPr>
          <w:ilvl w:val="3"/>
          <w:numId w:val="108"/>
        </w:numPr>
        <w:tabs>
          <w:tab w:val="left" w:pos="861"/>
          <w:tab w:val="left" w:pos="863"/>
        </w:tabs>
        <w:spacing w:before="160"/>
        <w:ind w:right="561"/>
      </w:pPr>
      <w:r>
        <w:t>SKALA has performed training on the preparation of the Performance Tree and cascading the RPJMD</w:t>
      </w:r>
      <w:r>
        <w:rPr>
          <w:spacing w:val="-1"/>
        </w:rPr>
        <w:t xml:space="preserve"> </w:t>
      </w:r>
      <w:r>
        <w:t>into</w:t>
      </w:r>
      <w:r>
        <w:rPr>
          <w:spacing w:val="-4"/>
        </w:rPr>
        <w:t xml:space="preserve"> </w:t>
      </w:r>
      <w:r>
        <w:t>the</w:t>
      </w:r>
      <w:r>
        <w:rPr>
          <w:spacing w:val="-1"/>
        </w:rPr>
        <w:t xml:space="preserve"> </w:t>
      </w:r>
      <w:r>
        <w:t>Regional</w:t>
      </w:r>
      <w:r>
        <w:rPr>
          <w:spacing w:val="-5"/>
        </w:rPr>
        <w:t xml:space="preserve"> </w:t>
      </w:r>
      <w:r>
        <w:t>Strategic</w:t>
      </w:r>
      <w:r>
        <w:rPr>
          <w:spacing w:val="-2"/>
        </w:rPr>
        <w:t xml:space="preserve"> </w:t>
      </w:r>
      <w:r>
        <w:t>Plan</w:t>
      </w:r>
      <w:r>
        <w:rPr>
          <w:spacing w:val="-4"/>
        </w:rPr>
        <w:t xml:space="preserve"> </w:t>
      </w:r>
      <w:r>
        <w:t>to</w:t>
      </w:r>
      <w:r>
        <w:rPr>
          <w:spacing w:val="-4"/>
        </w:rPr>
        <w:t xml:space="preserve"> </w:t>
      </w:r>
      <w:r>
        <w:t>35</w:t>
      </w:r>
      <w:r>
        <w:rPr>
          <w:spacing w:val="-3"/>
        </w:rPr>
        <w:t xml:space="preserve"> </w:t>
      </w:r>
      <w:r>
        <w:t>people</w:t>
      </w:r>
      <w:r>
        <w:rPr>
          <w:spacing w:val="-1"/>
        </w:rPr>
        <w:t xml:space="preserve"> </w:t>
      </w:r>
      <w:r>
        <w:t>(M:13,</w:t>
      </w:r>
      <w:r>
        <w:rPr>
          <w:spacing w:val="-1"/>
        </w:rPr>
        <w:t xml:space="preserve"> </w:t>
      </w:r>
      <w:r>
        <w:t>F:22).</w:t>
      </w:r>
      <w:r>
        <w:rPr>
          <w:spacing w:val="-3"/>
        </w:rPr>
        <w:t xml:space="preserve"> </w:t>
      </w:r>
      <w:r>
        <w:t>This</w:t>
      </w:r>
      <w:r>
        <w:rPr>
          <w:spacing w:val="-1"/>
        </w:rPr>
        <w:t xml:space="preserve"> </w:t>
      </w:r>
      <w:r>
        <w:t>activity</w:t>
      </w:r>
      <w:r>
        <w:rPr>
          <w:spacing w:val="-1"/>
        </w:rPr>
        <w:t xml:space="preserve"> </w:t>
      </w:r>
      <w:r>
        <w:t>is</w:t>
      </w:r>
      <w:r>
        <w:rPr>
          <w:spacing w:val="-6"/>
        </w:rPr>
        <w:t xml:space="preserve"> </w:t>
      </w:r>
      <w:r>
        <w:t>focused</w:t>
      </w:r>
      <w:r>
        <w:rPr>
          <w:spacing w:val="-1"/>
        </w:rPr>
        <w:t xml:space="preserve"> </w:t>
      </w:r>
      <w:r>
        <w:t>on</w:t>
      </w:r>
      <w:r>
        <w:rPr>
          <w:spacing w:val="-4"/>
        </w:rPr>
        <w:t xml:space="preserve"> </w:t>
      </w:r>
      <w:r>
        <w:t>six Minimum</w:t>
      </w:r>
      <w:r>
        <w:rPr>
          <w:spacing w:val="-5"/>
        </w:rPr>
        <w:t xml:space="preserve"> </w:t>
      </w:r>
      <w:r>
        <w:t>Service</w:t>
      </w:r>
      <w:r>
        <w:rPr>
          <w:spacing w:val="-4"/>
        </w:rPr>
        <w:t xml:space="preserve"> </w:t>
      </w:r>
      <w:r>
        <w:t>Standards-supporting</w:t>
      </w:r>
      <w:r>
        <w:rPr>
          <w:spacing w:val="-6"/>
        </w:rPr>
        <w:t xml:space="preserve"> </w:t>
      </w:r>
      <w:r>
        <w:t>Provincial</w:t>
      </w:r>
      <w:r>
        <w:rPr>
          <w:spacing w:val="-6"/>
        </w:rPr>
        <w:t xml:space="preserve"> </w:t>
      </w:r>
      <w:r>
        <w:t>Agencies</w:t>
      </w:r>
      <w:r>
        <w:rPr>
          <w:spacing w:val="-4"/>
        </w:rPr>
        <w:t xml:space="preserve"> </w:t>
      </w:r>
      <w:r>
        <w:t>and</w:t>
      </w:r>
      <w:r>
        <w:rPr>
          <w:spacing w:val="-2"/>
        </w:rPr>
        <w:t xml:space="preserve"> </w:t>
      </w:r>
      <w:r>
        <w:t>two</w:t>
      </w:r>
      <w:r>
        <w:rPr>
          <w:spacing w:val="-5"/>
        </w:rPr>
        <w:t xml:space="preserve"> </w:t>
      </w:r>
      <w:r>
        <w:t>other</w:t>
      </w:r>
      <w:r>
        <w:rPr>
          <w:spacing w:val="-5"/>
        </w:rPr>
        <w:t xml:space="preserve"> </w:t>
      </w:r>
      <w:r>
        <w:t>key</w:t>
      </w:r>
      <w:r>
        <w:rPr>
          <w:spacing w:val="-4"/>
        </w:rPr>
        <w:t xml:space="preserve"> </w:t>
      </w:r>
      <w:r>
        <w:t>SKALA</w:t>
      </w:r>
      <w:r>
        <w:rPr>
          <w:spacing w:val="-5"/>
        </w:rPr>
        <w:t xml:space="preserve"> </w:t>
      </w:r>
      <w:r>
        <w:t>partners: the Office of Communication and Informatics (</w:t>
      </w:r>
      <w:r>
        <w:rPr>
          <w:i/>
        </w:rPr>
        <w:t xml:space="preserve">Dinas Komunikasi dan Informatika, </w:t>
      </w:r>
      <w:r>
        <w:t>Diskominfo) and the Office of Women’s Empowerment and Child Protection (</w:t>
      </w:r>
      <w:r>
        <w:rPr>
          <w:i/>
        </w:rPr>
        <w:t>Dinas Pemberdayaan Perempuan dan Perlindungan Anak</w:t>
      </w:r>
      <w:r>
        <w:t>, DP3A).</w:t>
      </w:r>
    </w:p>
    <w:p w14:paraId="6DE8BAA2" w14:textId="77777777" w:rsidR="00BC24A8" w:rsidRDefault="00000000">
      <w:pPr>
        <w:pStyle w:val="ListParagraph"/>
        <w:numPr>
          <w:ilvl w:val="3"/>
          <w:numId w:val="108"/>
        </w:numPr>
        <w:tabs>
          <w:tab w:val="left" w:pos="863"/>
        </w:tabs>
        <w:ind w:right="562" w:hanging="360"/>
      </w:pPr>
      <w:r>
        <w:t>Maluku Provincial Government has independently aligned the 2026 General Budget Policy (</w:t>
      </w:r>
      <w:r>
        <w:rPr>
          <w:i/>
        </w:rPr>
        <w:t>Kebijakan Umum Anggaran</w:t>
      </w:r>
      <w:r>
        <w:t>, KUA) and Provisional Budget Ceiling and Priorities (</w:t>
      </w:r>
      <w:r>
        <w:rPr>
          <w:i/>
        </w:rPr>
        <w:t>Prioritas dan Plafon Anggaran Sementara</w:t>
      </w:r>
      <w:r>
        <w:t>, PPAS) with the Regional Policy for Fiscal Capacity Strengthening (</w:t>
      </w:r>
      <w:r>
        <w:rPr>
          <w:i/>
        </w:rPr>
        <w:t>Penguatan</w:t>
      </w:r>
      <w:r>
        <w:rPr>
          <w:i/>
          <w:spacing w:val="-13"/>
        </w:rPr>
        <w:t xml:space="preserve"> </w:t>
      </w:r>
      <w:r>
        <w:rPr>
          <w:i/>
        </w:rPr>
        <w:t>Pendanaan</w:t>
      </w:r>
      <w:r>
        <w:rPr>
          <w:i/>
          <w:spacing w:val="-12"/>
        </w:rPr>
        <w:t xml:space="preserve"> </w:t>
      </w:r>
      <w:r>
        <w:rPr>
          <w:i/>
        </w:rPr>
        <w:t>Keuangan</w:t>
      </w:r>
      <w:r>
        <w:rPr>
          <w:i/>
          <w:spacing w:val="-13"/>
        </w:rPr>
        <w:t xml:space="preserve"> </w:t>
      </w:r>
      <w:r>
        <w:rPr>
          <w:i/>
        </w:rPr>
        <w:t>Ekonomi</w:t>
      </w:r>
      <w:r>
        <w:rPr>
          <w:i/>
          <w:spacing w:val="-12"/>
        </w:rPr>
        <w:t xml:space="preserve"> </w:t>
      </w:r>
      <w:r>
        <w:rPr>
          <w:i/>
        </w:rPr>
        <w:t>Daerah</w:t>
      </w:r>
      <w:r>
        <w:t>,</w:t>
      </w:r>
      <w:r>
        <w:rPr>
          <w:spacing w:val="-13"/>
        </w:rPr>
        <w:t xml:space="preserve"> </w:t>
      </w:r>
      <w:r>
        <w:t>PPKE</w:t>
      </w:r>
      <w:r>
        <w:rPr>
          <w:spacing w:val="-12"/>
        </w:rPr>
        <w:t xml:space="preserve"> </w:t>
      </w:r>
      <w:r>
        <w:t>KEM).</w:t>
      </w:r>
      <w:r>
        <w:rPr>
          <w:spacing w:val="-13"/>
        </w:rPr>
        <w:t xml:space="preserve"> </w:t>
      </w:r>
      <w:r>
        <w:t>This</w:t>
      </w:r>
      <w:r>
        <w:rPr>
          <w:spacing w:val="-12"/>
        </w:rPr>
        <w:t xml:space="preserve"> </w:t>
      </w:r>
      <w:r>
        <w:t>activity</w:t>
      </w:r>
      <w:r>
        <w:rPr>
          <w:spacing w:val="-12"/>
        </w:rPr>
        <w:t xml:space="preserve"> </w:t>
      </w:r>
      <w:r>
        <w:t>was</w:t>
      </w:r>
      <w:r>
        <w:rPr>
          <w:spacing w:val="-13"/>
        </w:rPr>
        <w:t xml:space="preserve"> </w:t>
      </w:r>
      <w:r>
        <w:t>also</w:t>
      </w:r>
      <w:r>
        <w:rPr>
          <w:spacing w:val="-12"/>
        </w:rPr>
        <w:t xml:space="preserve"> </w:t>
      </w:r>
      <w:r>
        <w:t>supported by cadres from the Ministry of Finance’s Strengthening Regional Capacity Program (</w:t>
      </w:r>
      <w:r>
        <w:rPr>
          <w:i/>
        </w:rPr>
        <w:t>Strategi Penguatan Kapasitas Daerah</w:t>
      </w:r>
      <w:r>
        <w:t>, SPEKTRA).</w:t>
      </w:r>
    </w:p>
    <w:p w14:paraId="144CC0EE" w14:textId="77777777" w:rsidR="00BC24A8" w:rsidRDefault="00000000">
      <w:pPr>
        <w:pStyle w:val="ListParagraph"/>
        <w:numPr>
          <w:ilvl w:val="3"/>
          <w:numId w:val="108"/>
        </w:numPr>
        <w:tabs>
          <w:tab w:val="left" w:pos="861"/>
          <w:tab w:val="left" w:pos="863"/>
        </w:tabs>
        <w:ind w:right="561"/>
      </w:pPr>
      <w:r>
        <w:t>SKALA provides inputs and implementation models for the 2026 Regional Government Work Plan</w:t>
      </w:r>
      <w:r>
        <w:rPr>
          <w:spacing w:val="-13"/>
        </w:rPr>
        <w:t xml:space="preserve"> </w:t>
      </w:r>
      <w:r>
        <w:t>(</w:t>
      </w:r>
      <w:r>
        <w:rPr>
          <w:i/>
        </w:rPr>
        <w:t>Rencana</w:t>
      </w:r>
      <w:r>
        <w:rPr>
          <w:i/>
          <w:spacing w:val="-11"/>
        </w:rPr>
        <w:t xml:space="preserve"> </w:t>
      </w:r>
      <w:r>
        <w:rPr>
          <w:i/>
        </w:rPr>
        <w:t>Kerja</w:t>
      </w:r>
      <w:r>
        <w:rPr>
          <w:i/>
          <w:spacing w:val="-11"/>
        </w:rPr>
        <w:t xml:space="preserve"> </w:t>
      </w:r>
      <w:r>
        <w:rPr>
          <w:i/>
        </w:rPr>
        <w:t>Pemerintah</w:t>
      </w:r>
      <w:r>
        <w:rPr>
          <w:i/>
          <w:spacing w:val="-13"/>
        </w:rPr>
        <w:t xml:space="preserve"> </w:t>
      </w:r>
      <w:r>
        <w:rPr>
          <w:i/>
        </w:rPr>
        <w:t>Daerah</w:t>
      </w:r>
      <w:r>
        <w:t>,</w:t>
      </w:r>
      <w:r>
        <w:rPr>
          <w:spacing w:val="-10"/>
        </w:rPr>
        <w:t xml:space="preserve"> </w:t>
      </w:r>
      <w:r>
        <w:t>RKPD)</w:t>
      </w:r>
      <w:r>
        <w:rPr>
          <w:spacing w:val="-10"/>
        </w:rPr>
        <w:t xml:space="preserve"> </w:t>
      </w:r>
      <w:r>
        <w:t>through</w:t>
      </w:r>
      <w:r>
        <w:rPr>
          <w:spacing w:val="-11"/>
        </w:rPr>
        <w:t xml:space="preserve"> </w:t>
      </w:r>
      <w:r>
        <w:t>the</w:t>
      </w:r>
      <w:r>
        <w:rPr>
          <w:spacing w:val="-13"/>
        </w:rPr>
        <w:t xml:space="preserve"> </w:t>
      </w:r>
      <w:r>
        <w:t>Technical</w:t>
      </w:r>
      <w:r>
        <w:rPr>
          <w:spacing w:val="-12"/>
        </w:rPr>
        <w:t xml:space="preserve"> </w:t>
      </w:r>
      <w:r>
        <w:t>Coordination</w:t>
      </w:r>
      <w:r>
        <w:rPr>
          <w:spacing w:val="-11"/>
        </w:rPr>
        <w:t xml:space="preserve"> </w:t>
      </w:r>
      <w:r>
        <w:t>Meeting</w:t>
      </w:r>
      <w:r>
        <w:rPr>
          <w:spacing w:val="-13"/>
        </w:rPr>
        <w:t xml:space="preserve"> </w:t>
      </w:r>
      <w:r>
        <w:t>for Development Planning (</w:t>
      </w:r>
      <w:r>
        <w:rPr>
          <w:i/>
        </w:rPr>
        <w:t>Rapat Koordinasi Teknis Perencanaan Pembangunan</w:t>
      </w:r>
      <w:r>
        <w:t>, Rakortekrenbang), in the context of strengthening planning synergy between the central government, provincial government, and district/city governments. This approach has not previously been undertaken by the Maluku Provincial Government.</w:t>
      </w:r>
    </w:p>
    <w:p w14:paraId="5F922979" w14:textId="77777777" w:rsidR="00BC24A8" w:rsidRDefault="00BC24A8">
      <w:pPr>
        <w:pStyle w:val="BodyText"/>
        <w:spacing w:before="57"/>
      </w:pPr>
    </w:p>
    <w:p w14:paraId="054DFDF2" w14:textId="77777777" w:rsidR="00BC24A8" w:rsidRDefault="00000000">
      <w:pPr>
        <w:pStyle w:val="Heading5"/>
      </w:pPr>
      <w:r>
        <w:rPr>
          <w:color w:val="17365A"/>
        </w:rPr>
        <w:t>Data</w:t>
      </w:r>
      <w:r>
        <w:rPr>
          <w:color w:val="17365A"/>
          <w:spacing w:val="-4"/>
        </w:rPr>
        <w:t xml:space="preserve"> </w:t>
      </w:r>
      <w:r>
        <w:rPr>
          <w:color w:val="17365A"/>
        </w:rPr>
        <w:t>availability,</w:t>
      </w:r>
      <w:r>
        <w:rPr>
          <w:color w:val="17365A"/>
          <w:spacing w:val="-1"/>
        </w:rPr>
        <w:t xml:space="preserve"> </w:t>
      </w:r>
      <w:r>
        <w:rPr>
          <w:color w:val="17365A"/>
        </w:rPr>
        <w:t>management,</w:t>
      </w:r>
      <w:r>
        <w:rPr>
          <w:color w:val="17365A"/>
          <w:spacing w:val="-1"/>
        </w:rPr>
        <w:t xml:space="preserve"> </w:t>
      </w:r>
      <w:r>
        <w:rPr>
          <w:color w:val="17365A"/>
        </w:rPr>
        <w:t>and</w:t>
      </w:r>
      <w:r>
        <w:rPr>
          <w:color w:val="17365A"/>
          <w:spacing w:val="-3"/>
        </w:rPr>
        <w:t xml:space="preserve"> </w:t>
      </w:r>
      <w:r>
        <w:rPr>
          <w:color w:val="17365A"/>
        </w:rPr>
        <w:t>utilisation</w:t>
      </w:r>
      <w:r>
        <w:rPr>
          <w:color w:val="17365A"/>
          <w:spacing w:val="-2"/>
        </w:rPr>
        <w:t xml:space="preserve"> </w:t>
      </w:r>
      <w:r>
        <w:rPr>
          <w:color w:val="17365A"/>
        </w:rPr>
        <w:t>to</w:t>
      </w:r>
      <w:r>
        <w:rPr>
          <w:color w:val="17365A"/>
          <w:spacing w:val="-3"/>
        </w:rPr>
        <w:t xml:space="preserve"> </w:t>
      </w:r>
      <w:r>
        <w:rPr>
          <w:color w:val="17365A"/>
        </w:rPr>
        <w:t>improve</w:t>
      </w:r>
      <w:r>
        <w:rPr>
          <w:color w:val="17365A"/>
          <w:spacing w:val="-3"/>
        </w:rPr>
        <w:t xml:space="preserve"> </w:t>
      </w:r>
      <w:r>
        <w:rPr>
          <w:color w:val="17365A"/>
        </w:rPr>
        <w:t>evidence-based</w:t>
      </w:r>
      <w:r>
        <w:rPr>
          <w:color w:val="17365A"/>
          <w:spacing w:val="-2"/>
        </w:rPr>
        <w:t xml:space="preserve"> </w:t>
      </w:r>
      <w:r>
        <w:rPr>
          <w:color w:val="17365A"/>
        </w:rPr>
        <w:t>planning</w:t>
      </w:r>
      <w:r>
        <w:rPr>
          <w:color w:val="17365A"/>
          <w:spacing w:val="-1"/>
        </w:rPr>
        <w:t xml:space="preserve"> </w:t>
      </w:r>
      <w:r>
        <w:rPr>
          <w:color w:val="17365A"/>
        </w:rPr>
        <w:t>processes</w:t>
      </w:r>
      <w:r>
        <w:rPr>
          <w:color w:val="17365A"/>
          <w:spacing w:val="-2"/>
        </w:rPr>
        <w:t xml:space="preserve"> </w:t>
      </w:r>
      <w:r>
        <w:rPr>
          <w:color w:val="17365A"/>
        </w:rPr>
        <w:t>(IO</w:t>
      </w:r>
      <w:r>
        <w:rPr>
          <w:color w:val="17365A"/>
          <w:spacing w:val="-4"/>
        </w:rPr>
        <w:t xml:space="preserve"> </w:t>
      </w:r>
      <w:r>
        <w:rPr>
          <w:color w:val="17365A"/>
          <w:spacing w:val="-10"/>
        </w:rPr>
        <w:t>5</w:t>
      </w:r>
    </w:p>
    <w:p w14:paraId="1C13F17A" w14:textId="77777777" w:rsidR="00BC24A8" w:rsidRDefault="00000000">
      <w:pPr>
        <w:spacing w:before="1"/>
        <w:ind w:left="143"/>
        <w:rPr>
          <w:rFonts w:ascii="Calibri"/>
          <w:b/>
        </w:rPr>
      </w:pPr>
      <w:r>
        <w:rPr>
          <w:rFonts w:ascii="Calibri"/>
          <w:b/>
          <w:color w:val="17365A"/>
        </w:rPr>
        <w:t>and</w:t>
      </w:r>
      <w:r>
        <w:rPr>
          <w:rFonts w:ascii="Calibri"/>
          <w:b/>
          <w:color w:val="17365A"/>
          <w:spacing w:val="-5"/>
        </w:rPr>
        <w:t xml:space="preserve"> 9)</w:t>
      </w:r>
    </w:p>
    <w:p w14:paraId="44239084" w14:textId="77777777" w:rsidR="00BC24A8" w:rsidRDefault="00000000">
      <w:pPr>
        <w:pStyle w:val="ListParagraph"/>
        <w:numPr>
          <w:ilvl w:val="3"/>
          <w:numId w:val="108"/>
        </w:numPr>
        <w:tabs>
          <w:tab w:val="left" w:pos="863"/>
        </w:tabs>
        <w:spacing w:before="161"/>
        <w:ind w:right="561"/>
        <w:jc w:val="left"/>
      </w:pPr>
      <w:r>
        <w:t>The</w:t>
      </w:r>
      <w:r>
        <w:rPr>
          <w:spacing w:val="30"/>
        </w:rPr>
        <w:t xml:space="preserve"> </w:t>
      </w:r>
      <w:r>
        <w:t>function</w:t>
      </w:r>
      <w:r>
        <w:rPr>
          <w:spacing w:val="27"/>
        </w:rPr>
        <w:t xml:space="preserve"> </w:t>
      </w:r>
      <w:r>
        <w:t>of</w:t>
      </w:r>
      <w:r>
        <w:rPr>
          <w:spacing w:val="30"/>
        </w:rPr>
        <w:t xml:space="preserve"> </w:t>
      </w:r>
      <w:r>
        <w:t>the</w:t>
      </w:r>
      <w:r>
        <w:rPr>
          <w:spacing w:val="28"/>
        </w:rPr>
        <w:t xml:space="preserve"> </w:t>
      </w:r>
      <w:r>
        <w:t>Satu</w:t>
      </w:r>
      <w:r>
        <w:rPr>
          <w:spacing w:val="27"/>
        </w:rPr>
        <w:t xml:space="preserve"> </w:t>
      </w:r>
      <w:r>
        <w:t>Data</w:t>
      </w:r>
      <w:r>
        <w:rPr>
          <w:spacing w:val="28"/>
        </w:rPr>
        <w:t xml:space="preserve"> </w:t>
      </w:r>
      <w:r>
        <w:t>Forum</w:t>
      </w:r>
      <w:r>
        <w:rPr>
          <w:spacing w:val="29"/>
        </w:rPr>
        <w:t xml:space="preserve"> </w:t>
      </w:r>
      <w:r>
        <w:t>is</w:t>
      </w:r>
      <w:r>
        <w:rPr>
          <w:spacing w:val="30"/>
        </w:rPr>
        <w:t xml:space="preserve"> </w:t>
      </w:r>
      <w:r>
        <w:t>beginning</w:t>
      </w:r>
      <w:r>
        <w:rPr>
          <w:spacing w:val="28"/>
        </w:rPr>
        <w:t xml:space="preserve"> </w:t>
      </w:r>
      <w:r>
        <w:t>to</w:t>
      </w:r>
      <w:r>
        <w:rPr>
          <w:spacing w:val="29"/>
        </w:rPr>
        <w:t xml:space="preserve"> </w:t>
      </w:r>
      <w:r>
        <w:t>emerge</w:t>
      </w:r>
      <w:r>
        <w:rPr>
          <w:spacing w:val="30"/>
        </w:rPr>
        <w:t xml:space="preserve"> </w:t>
      </w:r>
      <w:r>
        <w:t>in</w:t>
      </w:r>
      <w:r>
        <w:rPr>
          <w:spacing w:val="29"/>
        </w:rPr>
        <w:t xml:space="preserve"> </w:t>
      </w:r>
      <w:r>
        <w:t>promoting</w:t>
      </w:r>
      <w:r>
        <w:rPr>
          <w:spacing w:val="26"/>
        </w:rPr>
        <w:t xml:space="preserve"> </w:t>
      </w:r>
      <w:r>
        <w:t>regulations</w:t>
      </w:r>
      <w:r>
        <w:rPr>
          <w:spacing w:val="30"/>
        </w:rPr>
        <w:t xml:space="preserve"> </w:t>
      </w:r>
      <w:r>
        <w:t>and policies that strengthen Satu Data governance. Products of Satu Data Forum include:</w:t>
      </w:r>
    </w:p>
    <w:p w14:paraId="236BDE76" w14:textId="77777777" w:rsidR="00BC24A8" w:rsidRDefault="00000000">
      <w:pPr>
        <w:pStyle w:val="ListParagraph"/>
        <w:numPr>
          <w:ilvl w:val="4"/>
          <w:numId w:val="108"/>
        </w:numPr>
        <w:tabs>
          <w:tab w:val="left" w:pos="1223"/>
        </w:tabs>
        <w:spacing w:before="122" w:line="237" w:lineRule="auto"/>
        <w:ind w:left="1223" w:right="563"/>
        <w:jc w:val="left"/>
      </w:pPr>
      <w:r>
        <w:t>Final</w:t>
      </w:r>
      <w:r>
        <w:rPr>
          <w:spacing w:val="40"/>
        </w:rPr>
        <w:t xml:space="preserve"> </w:t>
      </w:r>
      <w:r>
        <w:t>draft</w:t>
      </w:r>
      <w:r>
        <w:rPr>
          <w:spacing w:val="40"/>
        </w:rPr>
        <w:t xml:space="preserve"> </w:t>
      </w:r>
      <w:r>
        <w:t>of</w:t>
      </w:r>
      <w:r>
        <w:rPr>
          <w:spacing w:val="40"/>
        </w:rPr>
        <w:t xml:space="preserve"> </w:t>
      </w:r>
      <w:r>
        <w:t>the</w:t>
      </w:r>
      <w:r>
        <w:rPr>
          <w:spacing w:val="40"/>
        </w:rPr>
        <w:t xml:space="preserve"> </w:t>
      </w:r>
      <w:r>
        <w:t>Satu</w:t>
      </w:r>
      <w:r>
        <w:rPr>
          <w:spacing w:val="40"/>
        </w:rPr>
        <w:t xml:space="preserve"> </w:t>
      </w:r>
      <w:r>
        <w:t>Data</w:t>
      </w:r>
      <w:r>
        <w:rPr>
          <w:spacing w:val="40"/>
        </w:rPr>
        <w:t xml:space="preserve"> </w:t>
      </w:r>
      <w:r>
        <w:t>Regional</w:t>
      </w:r>
      <w:r>
        <w:rPr>
          <w:spacing w:val="40"/>
        </w:rPr>
        <w:t xml:space="preserve"> </w:t>
      </w:r>
      <w:r>
        <w:t>Plan</w:t>
      </w:r>
      <w:r>
        <w:rPr>
          <w:spacing w:val="40"/>
        </w:rPr>
        <w:t xml:space="preserve"> </w:t>
      </w:r>
      <w:r>
        <w:t>is</w:t>
      </w:r>
      <w:r>
        <w:rPr>
          <w:spacing w:val="40"/>
        </w:rPr>
        <w:t xml:space="preserve"> </w:t>
      </w:r>
      <w:r>
        <w:t>aligned</w:t>
      </w:r>
      <w:r>
        <w:rPr>
          <w:spacing w:val="40"/>
        </w:rPr>
        <w:t xml:space="preserve"> </w:t>
      </w:r>
      <w:r>
        <w:t>with</w:t>
      </w:r>
      <w:r>
        <w:rPr>
          <w:spacing w:val="40"/>
        </w:rPr>
        <w:t xml:space="preserve"> </w:t>
      </w:r>
      <w:r>
        <w:t>the</w:t>
      </w:r>
      <w:r>
        <w:rPr>
          <w:spacing w:val="40"/>
        </w:rPr>
        <w:t xml:space="preserve"> </w:t>
      </w:r>
      <w:r>
        <w:t>One</w:t>
      </w:r>
      <w:r>
        <w:rPr>
          <w:spacing w:val="40"/>
        </w:rPr>
        <w:t xml:space="preserve"> </w:t>
      </w:r>
      <w:r>
        <w:t>Data</w:t>
      </w:r>
      <w:r>
        <w:rPr>
          <w:spacing w:val="40"/>
        </w:rPr>
        <w:t xml:space="preserve"> </w:t>
      </w:r>
      <w:r>
        <w:t>for</w:t>
      </w:r>
      <w:r>
        <w:rPr>
          <w:spacing w:val="40"/>
        </w:rPr>
        <w:t xml:space="preserve"> </w:t>
      </w:r>
      <w:r>
        <w:t>Domestic Governance Policy (</w:t>
      </w:r>
      <w:r>
        <w:rPr>
          <w:i/>
        </w:rPr>
        <w:t>Satu Data Pemerintahan Daerah Nasional</w:t>
      </w:r>
      <w:r>
        <w:t>, SDPDN).</w:t>
      </w:r>
    </w:p>
    <w:p w14:paraId="7C422BC8" w14:textId="77777777" w:rsidR="00BC24A8" w:rsidRDefault="00000000">
      <w:pPr>
        <w:pStyle w:val="ListParagraph"/>
        <w:numPr>
          <w:ilvl w:val="4"/>
          <w:numId w:val="108"/>
        </w:numPr>
        <w:tabs>
          <w:tab w:val="left" w:pos="1223"/>
        </w:tabs>
        <w:spacing w:before="2"/>
        <w:ind w:left="1223"/>
        <w:jc w:val="left"/>
      </w:pPr>
      <w:r>
        <w:t>SOP</w:t>
      </w:r>
      <w:r>
        <w:rPr>
          <w:spacing w:val="-3"/>
        </w:rPr>
        <w:t xml:space="preserve"> </w:t>
      </w:r>
      <w:r>
        <w:t>for</w:t>
      </w:r>
      <w:r>
        <w:rPr>
          <w:spacing w:val="-3"/>
        </w:rPr>
        <w:t xml:space="preserve"> </w:t>
      </w:r>
      <w:r>
        <w:t>Satu</w:t>
      </w:r>
      <w:r>
        <w:rPr>
          <w:spacing w:val="-3"/>
        </w:rPr>
        <w:t xml:space="preserve"> </w:t>
      </w:r>
      <w:r>
        <w:t>Data</w:t>
      </w:r>
      <w:r>
        <w:rPr>
          <w:spacing w:val="-2"/>
        </w:rPr>
        <w:t xml:space="preserve"> Maintenance.</w:t>
      </w:r>
    </w:p>
    <w:p w14:paraId="11968C79" w14:textId="77777777" w:rsidR="00BC24A8" w:rsidRDefault="00000000">
      <w:pPr>
        <w:pStyle w:val="ListParagraph"/>
        <w:numPr>
          <w:ilvl w:val="4"/>
          <w:numId w:val="108"/>
        </w:numPr>
        <w:tabs>
          <w:tab w:val="left" w:pos="1223"/>
        </w:tabs>
        <w:ind w:left="1223"/>
        <w:jc w:val="left"/>
      </w:pPr>
      <w:r>
        <w:t>Draft</w:t>
      </w:r>
      <w:r>
        <w:rPr>
          <w:spacing w:val="-8"/>
        </w:rPr>
        <w:t xml:space="preserve"> </w:t>
      </w:r>
      <w:r>
        <w:t>Decree</w:t>
      </w:r>
      <w:r>
        <w:rPr>
          <w:spacing w:val="-4"/>
        </w:rPr>
        <w:t xml:space="preserve"> </w:t>
      </w:r>
      <w:r>
        <w:t>on</w:t>
      </w:r>
      <w:r>
        <w:rPr>
          <w:spacing w:val="-2"/>
        </w:rPr>
        <w:t xml:space="preserve"> </w:t>
      </w:r>
      <w:r>
        <w:t>the</w:t>
      </w:r>
      <w:r>
        <w:rPr>
          <w:spacing w:val="-4"/>
        </w:rPr>
        <w:t xml:space="preserve"> </w:t>
      </w:r>
      <w:r>
        <w:t>Assignment</w:t>
      </w:r>
      <w:r>
        <w:rPr>
          <w:spacing w:val="-4"/>
        </w:rPr>
        <w:t xml:space="preserve"> </w:t>
      </w:r>
      <w:r>
        <w:t>of</w:t>
      </w:r>
      <w:r>
        <w:rPr>
          <w:spacing w:val="-2"/>
        </w:rPr>
        <w:t xml:space="preserve"> </w:t>
      </w:r>
      <w:r>
        <w:t>Supporting</w:t>
      </w:r>
      <w:r>
        <w:rPr>
          <w:spacing w:val="-5"/>
        </w:rPr>
        <w:t xml:space="preserve"> </w:t>
      </w:r>
      <w:r>
        <w:t>Data</w:t>
      </w:r>
      <w:r>
        <w:rPr>
          <w:spacing w:val="-4"/>
        </w:rPr>
        <w:t xml:space="preserve"> </w:t>
      </w:r>
      <w:r>
        <w:rPr>
          <w:spacing w:val="-2"/>
        </w:rPr>
        <w:t>Guardian.</w:t>
      </w:r>
    </w:p>
    <w:p w14:paraId="5797B853" w14:textId="77777777" w:rsidR="00BC24A8" w:rsidRDefault="00000000">
      <w:pPr>
        <w:pStyle w:val="ListParagraph"/>
        <w:numPr>
          <w:ilvl w:val="4"/>
          <w:numId w:val="108"/>
        </w:numPr>
        <w:tabs>
          <w:tab w:val="left" w:pos="1222"/>
        </w:tabs>
        <w:ind w:left="1222" w:right="566"/>
        <w:jc w:val="left"/>
      </w:pPr>
      <w:r>
        <w:t>Governor's</w:t>
      </w:r>
      <w:r>
        <w:rPr>
          <w:spacing w:val="25"/>
        </w:rPr>
        <w:t xml:space="preserve"> </w:t>
      </w:r>
      <w:r>
        <w:t>Decree</w:t>
      </w:r>
      <w:r>
        <w:rPr>
          <w:spacing w:val="25"/>
        </w:rPr>
        <w:t xml:space="preserve"> </w:t>
      </w:r>
      <w:r>
        <w:t>for</w:t>
      </w:r>
      <w:r>
        <w:rPr>
          <w:spacing w:val="25"/>
        </w:rPr>
        <w:t xml:space="preserve"> </w:t>
      </w:r>
      <w:r>
        <w:t>the</w:t>
      </w:r>
      <w:r>
        <w:rPr>
          <w:spacing w:val="25"/>
        </w:rPr>
        <w:t xml:space="preserve"> </w:t>
      </w:r>
      <w:r>
        <w:t>coordination</w:t>
      </w:r>
      <w:r>
        <w:rPr>
          <w:spacing w:val="27"/>
        </w:rPr>
        <w:t xml:space="preserve"> </w:t>
      </w:r>
      <w:r>
        <w:t>team for</w:t>
      </w:r>
      <w:r>
        <w:rPr>
          <w:spacing w:val="27"/>
        </w:rPr>
        <w:t xml:space="preserve"> </w:t>
      </w:r>
      <w:r>
        <w:t>the</w:t>
      </w:r>
      <w:r>
        <w:rPr>
          <w:spacing w:val="25"/>
        </w:rPr>
        <w:t xml:space="preserve"> </w:t>
      </w:r>
      <w:r>
        <w:t>implementation of</w:t>
      </w:r>
      <w:r>
        <w:rPr>
          <w:spacing w:val="25"/>
        </w:rPr>
        <w:t xml:space="preserve"> </w:t>
      </w:r>
      <w:r>
        <w:t>the</w:t>
      </w:r>
      <w:r>
        <w:rPr>
          <w:spacing w:val="25"/>
        </w:rPr>
        <w:t xml:space="preserve"> </w:t>
      </w:r>
      <w:r>
        <w:t>Electronic- Based Government System (SPBE).</w:t>
      </w:r>
    </w:p>
    <w:p w14:paraId="72873518" w14:textId="77777777" w:rsidR="00BC24A8" w:rsidRDefault="00000000">
      <w:pPr>
        <w:pStyle w:val="ListParagraph"/>
        <w:numPr>
          <w:ilvl w:val="3"/>
          <w:numId w:val="108"/>
        </w:numPr>
        <w:tabs>
          <w:tab w:val="left" w:pos="863"/>
        </w:tabs>
        <w:spacing w:before="162"/>
        <w:ind w:right="564"/>
        <w:jc w:val="left"/>
      </w:pPr>
      <w:r>
        <w:t>The</w:t>
      </w:r>
      <w:r>
        <w:rPr>
          <w:spacing w:val="32"/>
        </w:rPr>
        <w:t xml:space="preserve"> </w:t>
      </w:r>
      <w:r>
        <w:t>implementation</w:t>
      </w:r>
      <w:r>
        <w:rPr>
          <w:spacing w:val="32"/>
        </w:rPr>
        <w:t xml:space="preserve"> </w:t>
      </w:r>
      <w:r>
        <w:t>cycle</w:t>
      </w:r>
      <w:r>
        <w:rPr>
          <w:spacing w:val="30"/>
        </w:rPr>
        <w:t xml:space="preserve"> </w:t>
      </w:r>
      <w:r>
        <w:t>of</w:t>
      </w:r>
      <w:r>
        <w:rPr>
          <w:spacing w:val="30"/>
        </w:rPr>
        <w:t xml:space="preserve"> </w:t>
      </w:r>
      <w:r>
        <w:t>Satu</w:t>
      </w:r>
      <w:r>
        <w:rPr>
          <w:spacing w:val="29"/>
        </w:rPr>
        <w:t xml:space="preserve"> </w:t>
      </w:r>
      <w:r>
        <w:t>Data</w:t>
      </w:r>
      <w:r>
        <w:rPr>
          <w:spacing w:val="30"/>
        </w:rPr>
        <w:t xml:space="preserve"> </w:t>
      </w:r>
      <w:r>
        <w:t>has</w:t>
      </w:r>
      <w:r>
        <w:rPr>
          <w:spacing w:val="30"/>
        </w:rPr>
        <w:t xml:space="preserve"> </w:t>
      </w:r>
      <w:r>
        <w:t>begun</w:t>
      </w:r>
      <w:r>
        <w:rPr>
          <w:spacing w:val="29"/>
        </w:rPr>
        <w:t xml:space="preserve"> </w:t>
      </w:r>
      <w:r>
        <w:t>to</w:t>
      </w:r>
      <w:r>
        <w:rPr>
          <w:spacing w:val="29"/>
        </w:rPr>
        <w:t xml:space="preserve"> </w:t>
      </w:r>
      <w:r>
        <w:t>take</w:t>
      </w:r>
      <w:r>
        <w:rPr>
          <w:spacing w:val="30"/>
        </w:rPr>
        <w:t xml:space="preserve"> </w:t>
      </w:r>
      <w:r>
        <w:t>shape,</w:t>
      </w:r>
      <w:r>
        <w:rPr>
          <w:spacing w:val="30"/>
        </w:rPr>
        <w:t xml:space="preserve"> </w:t>
      </w:r>
      <w:r>
        <w:t>marked</w:t>
      </w:r>
      <w:r>
        <w:rPr>
          <w:spacing w:val="32"/>
        </w:rPr>
        <w:t xml:space="preserve"> </w:t>
      </w:r>
      <w:r>
        <w:t>by</w:t>
      </w:r>
      <w:r>
        <w:rPr>
          <w:spacing w:val="30"/>
        </w:rPr>
        <w:t xml:space="preserve"> </w:t>
      </w:r>
      <w:r>
        <w:t>the</w:t>
      </w:r>
      <w:r>
        <w:rPr>
          <w:spacing w:val="30"/>
        </w:rPr>
        <w:t xml:space="preserve"> </w:t>
      </w:r>
      <w:r>
        <w:t>emerging collaboration among key actors within the Satu Data Forum of Maluku Province.</w:t>
      </w:r>
    </w:p>
    <w:p w14:paraId="480CDDF8" w14:textId="77777777" w:rsidR="00BC24A8" w:rsidRDefault="00BC24A8">
      <w:pPr>
        <w:pStyle w:val="ListParagraph"/>
        <w:jc w:val="left"/>
        <w:sectPr w:rsidR="00BC24A8">
          <w:pgSz w:w="11910" w:h="16840"/>
          <w:pgMar w:top="1360" w:right="850" w:bottom="1100" w:left="1275" w:header="0" w:footer="907" w:gutter="0"/>
          <w:cols w:space="720"/>
        </w:sectPr>
      </w:pPr>
    </w:p>
    <w:p w14:paraId="30AC3D80" w14:textId="77777777" w:rsidR="00BC24A8" w:rsidRDefault="00000000">
      <w:pPr>
        <w:pStyle w:val="ListParagraph"/>
        <w:numPr>
          <w:ilvl w:val="4"/>
          <w:numId w:val="108"/>
        </w:numPr>
        <w:tabs>
          <w:tab w:val="left" w:pos="1222"/>
        </w:tabs>
        <w:spacing w:before="39"/>
        <w:ind w:left="1222" w:hanging="359"/>
        <w:rPr>
          <w:i/>
        </w:rPr>
      </w:pPr>
      <w:r>
        <w:rPr>
          <w:spacing w:val="-2"/>
        </w:rPr>
        <w:lastRenderedPageBreak/>
        <w:t>With</w:t>
      </w:r>
      <w:r>
        <w:rPr>
          <w:spacing w:val="-4"/>
        </w:rPr>
        <w:t xml:space="preserve"> </w:t>
      </w:r>
      <w:r>
        <w:rPr>
          <w:spacing w:val="-2"/>
        </w:rPr>
        <w:t>the</w:t>
      </w:r>
      <w:r>
        <w:rPr>
          <w:spacing w:val="-3"/>
        </w:rPr>
        <w:t xml:space="preserve"> </w:t>
      </w:r>
      <w:r>
        <w:rPr>
          <w:spacing w:val="-2"/>
        </w:rPr>
        <w:t>support of</w:t>
      </w:r>
      <w:r>
        <w:rPr>
          <w:spacing w:val="-4"/>
        </w:rPr>
        <w:t xml:space="preserve"> </w:t>
      </w:r>
      <w:r>
        <w:rPr>
          <w:spacing w:val="-2"/>
        </w:rPr>
        <w:t>SKALA,</w:t>
      </w:r>
      <w:r>
        <w:rPr>
          <w:spacing w:val="-3"/>
        </w:rPr>
        <w:t xml:space="preserve"> </w:t>
      </w:r>
      <w:r>
        <w:rPr>
          <w:spacing w:val="-2"/>
        </w:rPr>
        <w:t>the</w:t>
      </w:r>
      <w:r>
        <w:rPr>
          <w:spacing w:val="-4"/>
        </w:rPr>
        <w:t xml:space="preserve"> </w:t>
      </w:r>
      <w:r>
        <w:rPr>
          <w:spacing w:val="-2"/>
        </w:rPr>
        <w:t>Maluku</w:t>
      </w:r>
      <w:r>
        <w:rPr>
          <w:spacing w:val="-1"/>
        </w:rPr>
        <w:t xml:space="preserve"> </w:t>
      </w:r>
      <w:r>
        <w:rPr>
          <w:spacing w:val="-2"/>
        </w:rPr>
        <w:t>Provincial Government</w:t>
      </w:r>
      <w:r>
        <w:rPr>
          <w:spacing w:val="-5"/>
        </w:rPr>
        <w:t xml:space="preserve"> </w:t>
      </w:r>
      <w:r>
        <w:rPr>
          <w:spacing w:val="-2"/>
        </w:rPr>
        <w:t>develops</w:t>
      </w:r>
      <w:r>
        <w:t xml:space="preserve"> </w:t>
      </w:r>
      <w:r>
        <w:rPr>
          <w:spacing w:val="-2"/>
        </w:rPr>
        <w:t>the</w:t>
      </w:r>
      <w:r>
        <w:rPr>
          <w:spacing w:val="-3"/>
        </w:rPr>
        <w:t xml:space="preserve"> </w:t>
      </w:r>
      <w:r>
        <w:rPr>
          <w:spacing w:val="-2"/>
        </w:rPr>
        <w:t>Maluku</w:t>
      </w:r>
      <w:r>
        <w:rPr>
          <w:spacing w:val="-1"/>
        </w:rPr>
        <w:t xml:space="preserve"> </w:t>
      </w:r>
      <w:r>
        <w:rPr>
          <w:spacing w:val="-2"/>
        </w:rPr>
        <w:t>"</w:t>
      </w:r>
      <w:r>
        <w:rPr>
          <w:i/>
          <w:spacing w:val="-2"/>
        </w:rPr>
        <w:t>Baileo</w:t>
      </w:r>
    </w:p>
    <w:p w14:paraId="5AC01923" w14:textId="77777777" w:rsidR="00BC24A8" w:rsidRDefault="00000000">
      <w:pPr>
        <w:pStyle w:val="BodyText"/>
        <w:ind w:left="1223"/>
        <w:jc w:val="both"/>
      </w:pPr>
      <w:r>
        <w:rPr>
          <w:i/>
        </w:rPr>
        <w:t>Data"</w:t>
      </w:r>
      <w:r>
        <w:rPr>
          <w:i/>
          <w:spacing w:val="-7"/>
        </w:rPr>
        <w:t xml:space="preserve"> </w:t>
      </w:r>
      <w:r>
        <w:t>Portal,</w:t>
      </w:r>
      <w:r>
        <w:rPr>
          <w:spacing w:val="-2"/>
        </w:rPr>
        <w:t xml:space="preserve"> </w:t>
      </w:r>
      <w:r>
        <w:t>which</w:t>
      </w:r>
      <w:r>
        <w:rPr>
          <w:spacing w:val="-2"/>
        </w:rPr>
        <w:t xml:space="preserve"> </w:t>
      </w:r>
      <w:r>
        <w:t>has</w:t>
      </w:r>
      <w:r>
        <w:rPr>
          <w:spacing w:val="-3"/>
        </w:rPr>
        <w:t xml:space="preserve"> </w:t>
      </w:r>
      <w:r>
        <w:t>entered</w:t>
      </w:r>
      <w:r>
        <w:rPr>
          <w:spacing w:val="-2"/>
        </w:rPr>
        <w:t xml:space="preserve"> </w:t>
      </w:r>
      <w:r>
        <w:t>the</w:t>
      </w:r>
      <w:r>
        <w:rPr>
          <w:spacing w:val="-4"/>
        </w:rPr>
        <w:t xml:space="preserve"> </w:t>
      </w:r>
      <w:r>
        <w:t>final</w:t>
      </w:r>
      <w:r>
        <w:rPr>
          <w:spacing w:val="-5"/>
        </w:rPr>
        <w:t xml:space="preserve"> </w:t>
      </w:r>
      <w:r>
        <w:t>stage</w:t>
      </w:r>
      <w:r>
        <w:rPr>
          <w:spacing w:val="-4"/>
        </w:rPr>
        <w:t xml:space="preserve"> </w:t>
      </w:r>
      <w:r>
        <w:t>of</w:t>
      </w:r>
      <w:r>
        <w:rPr>
          <w:spacing w:val="-4"/>
        </w:rPr>
        <w:t xml:space="preserve"> </w:t>
      </w:r>
      <w:r>
        <w:t>the</w:t>
      </w:r>
      <w:r>
        <w:rPr>
          <w:spacing w:val="-1"/>
        </w:rPr>
        <w:t xml:space="preserve"> </w:t>
      </w:r>
      <w:r>
        <w:rPr>
          <w:spacing w:val="-2"/>
        </w:rPr>
        <w:t>trial.</w:t>
      </w:r>
    </w:p>
    <w:p w14:paraId="1691320D" w14:textId="77777777" w:rsidR="00BC24A8" w:rsidRDefault="00000000">
      <w:pPr>
        <w:pStyle w:val="ListParagraph"/>
        <w:numPr>
          <w:ilvl w:val="4"/>
          <w:numId w:val="108"/>
        </w:numPr>
        <w:tabs>
          <w:tab w:val="left" w:pos="1223"/>
        </w:tabs>
        <w:ind w:left="1223" w:right="565"/>
      </w:pPr>
      <w:r>
        <w:t>The 2025 data list has covered more Minimum Service Standards data variables than the previous</w:t>
      </w:r>
      <w:r>
        <w:rPr>
          <w:spacing w:val="-6"/>
        </w:rPr>
        <w:t xml:space="preserve"> </w:t>
      </w:r>
      <w:r>
        <w:t>year.</w:t>
      </w:r>
      <w:r>
        <w:rPr>
          <w:spacing w:val="-5"/>
        </w:rPr>
        <w:t xml:space="preserve"> </w:t>
      </w:r>
      <w:r>
        <w:t>In</w:t>
      </w:r>
      <w:r>
        <w:rPr>
          <w:spacing w:val="-6"/>
        </w:rPr>
        <w:t xml:space="preserve"> </w:t>
      </w:r>
      <w:r>
        <w:t>2024,</w:t>
      </w:r>
      <w:r>
        <w:rPr>
          <w:spacing w:val="-5"/>
        </w:rPr>
        <w:t xml:space="preserve"> </w:t>
      </w:r>
      <w:r>
        <w:t>the</w:t>
      </w:r>
      <w:r>
        <w:rPr>
          <w:spacing w:val="-8"/>
        </w:rPr>
        <w:t xml:space="preserve"> </w:t>
      </w:r>
      <w:r>
        <w:t>Satu</w:t>
      </w:r>
      <w:r>
        <w:rPr>
          <w:spacing w:val="-6"/>
        </w:rPr>
        <w:t xml:space="preserve"> </w:t>
      </w:r>
      <w:r>
        <w:t>Data</w:t>
      </w:r>
      <w:r>
        <w:rPr>
          <w:spacing w:val="-7"/>
        </w:rPr>
        <w:t xml:space="preserve"> </w:t>
      </w:r>
      <w:r>
        <w:t>Forum</w:t>
      </w:r>
      <w:r>
        <w:rPr>
          <w:spacing w:val="-6"/>
        </w:rPr>
        <w:t xml:space="preserve"> </w:t>
      </w:r>
      <w:r>
        <w:t>only</w:t>
      </w:r>
      <w:r>
        <w:rPr>
          <w:spacing w:val="-6"/>
        </w:rPr>
        <w:t xml:space="preserve"> </w:t>
      </w:r>
      <w:r>
        <w:t>identified</w:t>
      </w:r>
      <w:r>
        <w:rPr>
          <w:spacing w:val="-9"/>
        </w:rPr>
        <w:t xml:space="preserve"> </w:t>
      </w:r>
      <w:r>
        <w:t>10</w:t>
      </w:r>
      <w:r>
        <w:rPr>
          <w:spacing w:val="-8"/>
        </w:rPr>
        <w:t xml:space="preserve"> </w:t>
      </w:r>
      <w:r>
        <w:t>variables,</w:t>
      </w:r>
      <w:r>
        <w:rPr>
          <w:spacing w:val="-5"/>
        </w:rPr>
        <w:t xml:space="preserve"> </w:t>
      </w:r>
      <w:r>
        <w:t>but</w:t>
      </w:r>
      <w:r>
        <w:rPr>
          <w:spacing w:val="-10"/>
        </w:rPr>
        <w:t xml:space="preserve"> </w:t>
      </w:r>
      <w:r>
        <w:t>by</w:t>
      </w:r>
      <w:r>
        <w:rPr>
          <w:spacing w:val="-8"/>
        </w:rPr>
        <w:t xml:space="preserve"> </w:t>
      </w:r>
      <w:r>
        <w:t>2025,</w:t>
      </w:r>
      <w:r>
        <w:rPr>
          <w:spacing w:val="-5"/>
        </w:rPr>
        <w:t xml:space="preserve"> </w:t>
      </w:r>
      <w:r>
        <w:t>it</w:t>
      </w:r>
      <w:r>
        <w:rPr>
          <w:spacing w:val="-7"/>
        </w:rPr>
        <w:t xml:space="preserve"> </w:t>
      </w:r>
      <w:r>
        <w:t>will contain 308 data points supporting the implementation of Minimum Service Standards.</w:t>
      </w:r>
    </w:p>
    <w:p w14:paraId="5B39EA7F" w14:textId="77777777" w:rsidR="00BC24A8" w:rsidRDefault="00000000">
      <w:pPr>
        <w:pStyle w:val="ListParagraph"/>
        <w:numPr>
          <w:ilvl w:val="4"/>
          <w:numId w:val="108"/>
        </w:numPr>
        <w:tabs>
          <w:tab w:val="left" w:pos="1222"/>
        </w:tabs>
        <w:ind w:left="1222" w:right="565"/>
      </w:pPr>
      <w:r>
        <w:t>Bappeda, for the first time, independently initiated a meeting with Diskominfo and BPS to identify the 2025 data list.</w:t>
      </w:r>
    </w:p>
    <w:p w14:paraId="57E5F8CE" w14:textId="77777777" w:rsidR="00BC24A8" w:rsidRDefault="00000000">
      <w:pPr>
        <w:pStyle w:val="ListParagraph"/>
        <w:numPr>
          <w:ilvl w:val="4"/>
          <w:numId w:val="108"/>
        </w:numPr>
        <w:tabs>
          <w:tab w:val="left" w:pos="1222"/>
        </w:tabs>
        <w:ind w:left="1222" w:right="564"/>
      </w:pPr>
      <w:r>
        <w:t>The intensity of the meeting between Bappeda, Diskominfo, and BPS has increased, especially to prepare regulations and policies for one regional data.</w:t>
      </w:r>
    </w:p>
    <w:p w14:paraId="2C86DB8B" w14:textId="77777777" w:rsidR="00BC24A8" w:rsidRDefault="00000000">
      <w:pPr>
        <w:pStyle w:val="ListParagraph"/>
        <w:numPr>
          <w:ilvl w:val="3"/>
          <w:numId w:val="108"/>
        </w:numPr>
        <w:tabs>
          <w:tab w:val="left" w:pos="861"/>
          <w:tab w:val="left" w:pos="863"/>
        </w:tabs>
        <w:spacing w:before="158"/>
        <w:ind w:right="564"/>
      </w:pPr>
      <w:r>
        <w:t>Local governments are more independent in utilising SIPD (Regional Government Information System), especially e-walidata.</w:t>
      </w:r>
    </w:p>
    <w:p w14:paraId="4CA11BC4" w14:textId="77777777" w:rsidR="00BC24A8" w:rsidRDefault="00000000">
      <w:pPr>
        <w:pStyle w:val="ListParagraph"/>
        <w:numPr>
          <w:ilvl w:val="4"/>
          <w:numId w:val="108"/>
        </w:numPr>
        <w:tabs>
          <w:tab w:val="left" w:pos="1223"/>
        </w:tabs>
        <w:spacing w:before="120"/>
        <w:ind w:left="1223" w:right="564"/>
      </w:pPr>
      <w:r>
        <w:t>SKALA has provided training for local governments last semester. Now, they are able to input</w:t>
      </w:r>
      <w:r>
        <w:rPr>
          <w:spacing w:val="-13"/>
        </w:rPr>
        <w:t xml:space="preserve"> </w:t>
      </w:r>
      <w:r>
        <w:t>and</w:t>
      </w:r>
      <w:r>
        <w:rPr>
          <w:spacing w:val="-12"/>
        </w:rPr>
        <w:t xml:space="preserve"> </w:t>
      </w:r>
      <w:r>
        <w:t>verify</w:t>
      </w:r>
      <w:r>
        <w:rPr>
          <w:spacing w:val="-13"/>
        </w:rPr>
        <w:t xml:space="preserve"> </w:t>
      </w:r>
      <w:r>
        <w:t>e-walidata</w:t>
      </w:r>
      <w:r>
        <w:rPr>
          <w:spacing w:val="-12"/>
        </w:rPr>
        <w:t xml:space="preserve"> </w:t>
      </w:r>
      <w:r>
        <w:t>independently.</w:t>
      </w:r>
      <w:r>
        <w:rPr>
          <w:spacing w:val="-13"/>
        </w:rPr>
        <w:t xml:space="preserve"> </w:t>
      </w:r>
      <w:r>
        <w:t>Until</w:t>
      </w:r>
      <w:r>
        <w:rPr>
          <w:spacing w:val="-12"/>
        </w:rPr>
        <w:t xml:space="preserve"> </w:t>
      </w:r>
      <w:r>
        <w:t>July</w:t>
      </w:r>
      <w:r>
        <w:rPr>
          <w:spacing w:val="-13"/>
        </w:rPr>
        <w:t xml:space="preserve"> </w:t>
      </w:r>
      <w:r>
        <w:t>2025,</w:t>
      </w:r>
      <w:r>
        <w:rPr>
          <w:spacing w:val="-12"/>
        </w:rPr>
        <w:t xml:space="preserve"> </w:t>
      </w:r>
      <w:r>
        <w:t>the</w:t>
      </w:r>
      <w:r>
        <w:rPr>
          <w:spacing w:val="-12"/>
        </w:rPr>
        <w:t xml:space="preserve"> </w:t>
      </w:r>
      <w:r>
        <w:t>2024</w:t>
      </w:r>
      <w:r>
        <w:rPr>
          <w:spacing w:val="-13"/>
        </w:rPr>
        <w:t xml:space="preserve"> </w:t>
      </w:r>
      <w:r>
        <w:t>data</w:t>
      </w:r>
      <w:r>
        <w:rPr>
          <w:spacing w:val="-12"/>
        </w:rPr>
        <w:t xml:space="preserve"> </w:t>
      </w:r>
      <w:r>
        <w:t>entry</w:t>
      </w:r>
      <w:r>
        <w:rPr>
          <w:spacing w:val="-13"/>
        </w:rPr>
        <w:t xml:space="preserve"> </w:t>
      </w:r>
      <w:r>
        <w:t>in</w:t>
      </w:r>
      <w:r>
        <w:rPr>
          <w:spacing w:val="-12"/>
        </w:rPr>
        <w:t xml:space="preserve"> </w:t>
      </w:r>
      <w:r>
        <w:t>e-walidata has reached 95%. Only one Provincial Agency has not yet entered its data.</w:t>
      </w:r>
    </w:p>
    <w:p w14:paraId="5BB317DA" w14:textId="77777777" w:rsidR="00BC24A8" w:rsidRDefault="00000000">
      <w:pPr>
        <w:pStyle w:val="ListParagraph"/>
        <w:numPr>
          <w:ilvl w:val="3"/>
          <w:numId w:val="108"/>
        </w:numPr>
        <w:tabs>
          <w:tab w:val="left" w:pos="861"/>
          <w:tab w:val="left" w:pos="863"/>
        </w:tabs>
        <w:spacing w:before="160"/>
        <w:ind w:right="565"/>
      </w:pPr>
      <w:r>
        <w:t>The</w:t>
      </w:r>
      <w:r>
        <w:rPr>
          <w:spacing w:val="-13"/>
        </w:rPr>
        <w:t xml:space="preserve"> </w:t>
      </w:r>
      <w:r>
        <w:t>results</w:t>
      </w:r>
      <w:r>
        <w:rPr>
          <w:spacing w:val="-12"/>
        </w:rPr>
        <w:t xml:space="preserve"> </w:t>
      </w:r>
      <w:r>
        <w:t>of</w:t>
      </w:r>
      <w:r>
        <w:rPr>
          <w:spacing w:val="-13"/>
        </w:rPr>
        <w:t xml:space="preserve"> </w:t>
      </w:r>
      <w:r>
        <w:t>the</w:t>
      </w:r>
      <w:r>
        <w:rPr>
          <w:spacing w:val="-12"/>
        </w:rPr>
        <w:t xml:space="preserve"> </w:t>
      </w:r>
      <w:r>
        <w:t>SEPAKAT</w:t>
      </w:r>
      <w:r>
        <w:rPr>
          <w:spacing w:val="-13"/>
        </w:rPr>
        <w:t xml:space="preserve"> </w:t>
      </w:r>
      <w:r>
        <w:t>analysis</w:t>
      </w:r>
      <w:r>
        <w:rPr>
          <w:spacing w:val="-12"/>
        </w:rPr>
        <w:t xml:space="preserve"> </w:t>
      </w:r>
      <w:r>
        <w:t>have</w:t>
      </w:r>
      <w:r>
        <w:rPr>
          <w:spacing w:val="-13"/>
        </w:rPr>
        <w:t xml:space="preserve"> </w:t>
      </w:r>
      <w:r>
        <w:t>been</w:t>
      </w:r>
      <w:r>
        <w:rPr>
          <w:spacing w:val="-12"/>
        </w:rPr>
        <w:t xml:space="preserve"> </w:t>
      </w:r>
      <w:r>
        <w:t>used</w:t>
      </w:r>
      <w:r>
        <w:rPr>
          <w:spacing w:val="-12"/>
        </w:rPr>
        <w:t xml:space="preserve"> </w:t>
      </w:r>
      <w:r>
        <w:t>in</w:t>
      </w:r>
      <w:r>
        <w:rPr>
          <w:spacing w:val="-13"/>
        </w:rPr>
        <w:t xml:space="preserve"> </w:t>
      </w:r>
      <w:r>
        <w:t>planning</w:t>
      </w:r>
      <w:r>
        <w:rPr>
          <w:spacing w:val="-12"/>
        </w:rPr>
        <w:t xml:space="preserve"> </w:t>
      </w:r>
      <w:r>
        <w:t>at</w:t>
      </w:r>
      <w:r>
        <w:rPr>
          <w:spacing w:val="-13"/>
        </w:rPr>
        <w:t xml:space="preserve"> </w:t>
      </w:r>
      <w:r>
        <w:t>the</w:t>
      </w:r>
      <w:r>
        <w:rPr>
          <w:spacing w:val="-12"/>
        </w:rPr>
        <w:t xml:space="preserve"> </w:t>
      </w:r>
      <w:r>
        <w:t>Provincial</w:t>
      </w:r>
      <w:r>
        <w:rPr>
          <w:spacing w:val="-13"/>
        </w:rPr>
        <w:t xml:space="preserve"> </w:t>
      </w:r>
      <w:r>
        <w:t>and</w:t>
      </w:r>
      <w:r>
        <w:rPr>
          <w:spacing w:val="-12"/>
        </w:rPr>
        <w:t xml:space="preserve"> </w:t>
      </w:r>
      <w:r>
        <w:t>District/City levels, including for Minimum Service Standards planning. For example, in the calculation of drinking water needs for the Minimum Service Standards 2026 plan, the Public Works Office uses SEPAKAT analysis for drinking water distribution data.</w:t>
      </w:r>
    </w:p>
    <w:p w14:paraId="00A6E462" w14:textId="77777777" w:rsidR="00BC24A8" w:rsidRDefault="00BC24A8">
      <w:pPr>
        <w:pStyle w:val="BodyText"/>
        <w:spacing w:before="60"/>
      </w:pPr>
    </w:p>
    <w:p w14:paraId="1D944371" w14:textId="77777777" w:rsidR="00BC24A8" w:rsidRDefault="00000000">
      <w:pPr>
        <w:pStyle w:val="Heading5"/>
        <w:spacing w:before="1"/>
      </w:pPr>
      <w:r>
        <w:rPr>
          <w:color w:val="17365A"/>
        </w:rPr>
        <w:t>GEDSI</w:t>
      </w:r>
      <w:r>
        <w:rPr>
          <w:color w:val="17365A"/>
          <w:spacing w:val="-5"/>
        </w:rPr>
        <w:t xml:space="preserve"> </w:t>
      </w:r>
      <w:r>
        <w:rPr>
          <w:color w:val="17365A"/>
        </w:rPr>
        <w:t>–</w:t>
      </w:r>
      <w:r>
        <w:rPr>
          <w:color w:val="17365A"/>
          <w:spacing w:val="-3"/>
        </w:rPr>
        <w:t xml:space="preserve"> </w:t>
      </w:r>
      <w:r>
        <w:rPr>
          <w:color w:val="17365A"/>
        </w:rPr>
        <w:t>Participation</w:t>
      </w:r>
      <w:r>
        <w:rPr>
          <w:color w:val="17365A"/>
          <w:spacing w:val="-4"/>
        </w:rPr>
        <w:t xml:space="preserve"> </w:t>
      </w:r>
      <w:r>
        <w:rPr>
          <w:color w:val="17365A"/>
        </w:rPr>
        <w:t>and</w:t>
      </w:r>
      <w:r>
        <w:rPr>
          <w:color w:val="17365A"/>
          <w:spacing w:val="-5"/>
        </w:rPr>
        <w:t xml:space="preserve"> </w:t>
      </w:r>
      <w:r>
        <w:rPr>
          <w:color w:val="17365A"/>
        </w:rPr>
        <w:t>Planning</w:t>
      </w:r>
      <w:r>
        <w:rPr>
          <w:color w:val="17365A"/>
          <w:spacing w:val="-4"/>
        </w:rPr>
        <w:t xml:space="preserve"> </w:t>
      </w:r>
      <w:r>
        <w:rPr>
          <w:color w:val="17365A"/>
        </w:rPr>
        <w:t>(IO</w:t>
      </w:r>
      <w:r>
        <w:rPr>
          <w:color w:val="17365A"/>
          <w:spacing w:val="-7"/>
        </w:rPr>
        <w:t xml:space="preserve"> </w:t>
      </w:r>
      <w:r>
        <w:rPr>
          <w:color w:val="17365A"/>
        </w:rPr>
        <w:t>7</w:t>
      </w:r>
      <w:r>
        <w:rPr>
          <w:color w:val="17365A"/>
          <w:spacing w:val="-3"/>
        </w:rPr>
        <w:t xml:space="preserve"> </w:t>
      </w:r>
      <w:r>
        <w:rPr>
          <w:color w:val="17365A"/>
        </w:rPr>
        <w:t>and</w:t>
      </w:r>
      <w:r>
        <w:rPr>
          <w:color w:val="17365A"/>
          <w:spacing w:val="-4"/>
        </w:rPr>
        <w:t xml:space="preserve"> </w:t>
      </w:r>
      <w:r>
        <w:rPr>
          <w:color w:val="17365A"/>
          <w:spacing w:val="-5"/>
        </w:rPr>
        <w:t>8)</w:t>
      </w:r>
    </w:p>
    <w:p w14:paraId="5BEC1699" w14:textId="77777777" w:rsidR="00BC24A8" w:rsidRDefault="00000000">
      <w:pPr>
        <w:pStyle w:val="ListParagraph"/>
        <w:numPr>
          <w:ilvl w:val="3"/>
          <w:numId w:val="108"/>
        </w:numPr>
        <w:tabs>
          <w:tab w:val="left" w:pos="861"/>
          <w:tab w:val="left" w:pos="863"/>
        </w:tabs>
        <w:spacing w:before="160"/>
        <w:ind w:right="563"/>
      </w:pPr>
      <w:r>
        <w:t>The space for participation</w:t>
      </w:r>
      <w:r>
        <w:rPr>
          <w:spacing w:val="-1"/>
        </w:rPr>
        <w:t xml:space="preserve"> </w:t>
      </w:r>
      <w:r>
        <w:t>for CSOs is increasingly open in the regional development planning process, including for Disabled Persons Organisations.</w:t>
      </w:r>
    </w:p>
    <w:p w14:paraId="0B2BDB0B" w14:textId="77777777" w:rsidR="00BC24A8" w:rsidRDefault="00000000">
      <w:pPr>
        <w:pStyle w:val="ListParagraph"/>
        <w:numPr>
          <w:ilvl w:val="4"/>
          <w:numId w:val="108"/>
        </w:numPr>
        <w:tabs>
          <w:tab w:val="left" w:pos="1223"/>
        </w:tabs>
        <w:spacing w:before="120"/>
        <w:ind w:left="1223" w:right="564"/>
      </w:pPr>
      <w:r>
        <w:t>The</w:t>
      </w:r>
      <w:r>
        <w:rPr>
          <w:spacing w:val="-4"/>
        </w:rPr>
        <w:t xml:space="preserve"> </w:t>
      </w:r>
      <w:r>
        <w:t>first</w:t>
      </w:r>
      <w:r>
        <w:rPr>
          <w:spacing w:val="-6"/>
        </w:rPr>
        <w:t xml:space="preserve"> </w:t>
      </w:r>
      <w:r>
        <w:t>RPJMD</w:t>
      </w:r>
      <w:r>
        <w:rPr>
          <w:spacing w:val="-7"/>
        </w:rPr>
        <w:t xml:space="preserve"> </w:t>
      </w:r>
      <w:r>
        <w:t>Thematic</w:t>
      </w:r>
      <w:r>
        <w:rPr>
          <w:spacing w:val="-8"/>
        </w:rPr>
        <w:t xml:space="preserve"> </w:t>
      </w:r>
      <w:r>
        <w:rPr>
          <w:i/>
        </w:rPr>
        <w:t>Musrenbang</w:t>
      </w:r>
      <w:r>
        <w:rPr>
          <w:i/>
          <w:spacing w:val="-4"/>
        </w:rPr>
        <w:t xml:space="preserve"> </w:t>
      </w:r>
      <w:r>
        <w:t>in</w:t>
      </w:r>
      <w:r>
        <w:rPr>
          <w:spacing w:val="-7"/>
        </w:rPr>
        <w:t xml:space="preserve"> </w:t>
      </w:r>
      <w:r>
        <w:t>Maluku</w:t>
      </w:r>
      <w:r>
        <w:rPr>
          <w:spacing w:val="-5"/>
        </w:rPr>
        <w:t xml:space="preserve"> </w:t>
      </w:r>
      <w:r>
        <w:t>Province</w:t>
      </w:r>
      <w:r>
        <w:rPr>
          <w:spacing w:val="-4"/>
        </w:rPr>
        <w:t xml:space="preserve"> </w:t>
      </w:r>
      <w:r>
        <w:t>was</w:t>
      </w:r>
      <w:r>
        <w:rPr>
          <w:spacing w:val="-4"/>
        </w:rPr>
        <w:t xml:space="preserve"> </w:t>
      </w:r>
      <w:r>
        <w:t>held,</w:t>
      </w:r>
      <w:r>
        <w:rPr>
          <w:spacing w:val="-4"/>
        </w:rPr>
        <w:t xml:space="preserve"> </w:t>
      </w:r>
      <w:r>
        <w:t>with</w:t>
      </w:r>
      <w:r>
        <w:rPr>
          <w:spacing w:val="-5"/>
        </w:rPr>
        <w:t xml:space="preserve"> </w:t>
      </w:r>
      <w:r>
        <w:t>the</w:t>
      </w:r>
      <w:r>
        <w:rPr>
          <w:spacing w:val="-4"/>
        </w:rPr>
        <w:t xml:space="preserve"> </w:t>
      </w:r>
      <w:r>
        <w:t>participation of 23 CSOs, including six Disabled Persons Organisations. CSOs submitted 50 proposals to the government.</w:t>
      </w:r>
    </w:p>
    <w:p w14:paraId="2C7EDC8F" w14:textId="77777777" w:rsidR="00BC24A8" w:rsidRDefault="00000000">
      <w:pPr>
        <w:pStyle w:val="ListParagraph"/>
        <w:numPr>
          <w:ilvl w:val="4"/>
          <w:numId w:val="108"/>
        </w:numPr>
        <w:tabs>
          <w:tab w:val="left" w:pos="1223"/>
        </w:tabs>
        <w:spacing w:before="1"/>
        <w:ind w:left="1223" w:right="563"/>
      </w:pPr>
      <w:r>
        <w:t>CSOs' ability to advocate</w:t>
      </w:r>
      <w:r>
        <w:rPr>
          <w:spacing w:val="-2"/>
        </w:rPr>
        <w:t xml:space="preserve"> </w:t>
      </w:r>
      <w:r>
        <w:t>has increased, as they have written and submitted a</w:t>
      </w:r>
      <w:r>
        <w:rPr>
          <w:spacing w:val="-1"/>
        </w:rPr>
        <w:t xml:space="preserve"> </w:t>
      </w:r>
      <w:r>
        <w:t>policy paper to local governments.</w:t>
      </w:r>
    </w:p>
    <w:p w14:paraId="19E03032" w14:textId="77777777" w:rsidR="00BC24A8" w:rsidRDefault="00000000">
      <w:pPr>
        <w:pStyle w:val="ListParagraph"/>
        <w:numPr>
          <w:ilvl w:val="3"/>
          <w:numId w:val="108"/>
        </w:numPr>
        <w:tabs>
          <w:tab w:val="left" w:pos="861"/>
          <w:tab w:val="left" w:pos="863"/>
        </w:tabs>
        <w:spacing w:before="159"/>
        <w:ind w:right="564"/>
      </w:pPr>
      <w:r>
        <w:t xml:space="preserve">The understanding of the government and local apparatus towards GEDSI is no longer limited to women and children, but has begun to encompass persons with disabilities and indigenous </w:t>
      </w:r>
      <w:r>
        <w:rPr>
          <w:spacing w:val="-2"/>
        </w:rPr>
        <w:t>peoples.</w:t>
      </w:r>
    </w:p>
    <w:p w14:paraId="48A5A443" w14:textId="77777777" w:rsidR="00BC24A8" w:rsidRDefault="00000000">
      <w:pPr>
        <w:pStyle w:val="ListParagraph"/>
        <w:numPr>
          <w:ilvl w:val="4"/>
          <w:numId w:val="108"/>
        </w:numPr>
        <w:tabs>
          <w:tab w:val="left" w:pos="1223"/>
        </w:tabs>
        <w:spacing w:before="121"/>
        <w:ind w:left="1223" w:right="563"/>
      </w:pPr>
      <w:r>
        <w:t>The initial draft of the RPJMD document contains performance indicators of "the percentage</w:t>
      </w:r>
      <w:r>
        <w:rPr>
          <w:spacing w:val="-1"/>
        </w:rPr>
        <w:t xml:space="preserve"> </w:t>
      </w:r>
      <w:r>
        <w:t>of</w:t>
      </w:r>
      <w:r>
        <w:rPr>
          <w:spacing w:val="-3"/>
        </w:rPr>
        <w:t xml:space="preserve"> </w:t>
      </w:r>
      <w:r>
        <w:t>persons</w:t>
      </w:r>
      <w:r>
        <w:rPr>
          <w:spacing w:val="-1"/>
        </w:rPr>
        <w:t xml:space="preserve"> </w:t>
      </w:r>
      <w:r>
        <w:t>with</w:t>
      </w:r>
      <w:r>
        <w:rPr>
          <w:spacing w:val="-4"/>
        </w:rPr>
        <w:t xml:space="preserve"> </w:t>
      </w:r>
      <w:r>
        <w:t>disabilities</w:t>
      </w:r>
      <w:r>
        <w:rPr>
          <w:spacing w:val="-3"/>
        </w:rPr>
        <w:t xml:space="preserve"> </w:t>
      </w:r>
      <w:r>
        <w:t>working</w:t>
      </w:r>
      <w:r>
        <w:rPr>
          <w:spacing w:val="-2"/>
        </w:rPr>
        <w:t xml:space="preserve"> </w:t>
      </w:r>
      <w:r>
        <w:t>in</w:t>
      </w:r>
      <w:r>
        <w:rPr>
          <w:spacing w:val="-4"/>
        </w:rPr>
        <w:t xml:space="preserve"> </w:t>
      </w:r>
      <w:r>
        <w:t>the</w:t>
      </w:r>
      <w:r>
        <w:rPr>
          <w:spacing w:val="-3"/>
        </w:rPr>
        <w:t xml:space="preserve"> </w:t>
      </w:r>
      <w:r>
        <w:t>formal</w:t>
      </w:r>
      <w:r>
        <w:rPr>
          <w:spacing w:val="-5"/>
        </w:rPr>
        <w:t xml:space="preserve"> </w:t>
      </w:r>
      <w:r>
        <w:t>sector",</w:t>
      </w:r>
      <w:r>
        <w:rPr>
          <w:spacing w:val="-3"/>
        </w:rPr>
        <w:t xml:space="preserve"> </w:t>
      </w:r>
      <w:r>
        <w:t>which</w:t>
      </w:r>
      <w:r>
        <w:rPr>
          <w:spacing w:val="-1"/>
        </w:rPr>
        <w:t xml:space="preserve"> </w:t>
      </w:r>
      <w:r>
        <w:t>aligns</w:t>
      </w:r>
      <w:r>
        <w:rPr>
          <w:spacing w:val="-3"/>
        </w:rPr>
        <w:t xml:space="preserve"> </w:t>
      </w:r>
      <w:r>
        <w:t>with</w:t>
      </w:r>
      <w:r>
        <w:rPr>
          <w:spacing w:val="-1"/>
        </w:rPr>
        <w:t xml:space="preserve"> </w:t>
      </w:r>
      <w:r>
        <w:t xml:space="preserve">the proposal of Disabled Persons Organisations in the Thematic </w:t>
      </w:r>
      <w:r>
        <w:rPr>
          <w:i/>
        </w:rPr>
        <w:t>Musrenbang</w:t>
      </w:r>
      <w:r>
        <w:t>.</w:t>
      </w:r>
    </w:p>
    <w:p w14:paraId="159B7DBA" w14:textId="77777777" w:rsidR="00BC24A8" w:rsidRDefault="00000000">
      <w:pPr>
        <w:pStyle w:val="ListParagraph"/>
        <w:numPr>
          <w:ilvl w:val="3"/>
          <w:numId w:val="108"/>
        </w:numPr>
        <w:tabs>
          <w:tab w:val="left" w:pos="863"/>
        </w:tabs>
        <w:spacing w:before="159"/>
        <w:ind w:right="565" w:hanging="360"/>
      </w:pPr>
      <w:r>
        <w:t>Advocacy skills in CSOs and Disabled Persons Organisations have increased. The policy paper submitted</w:t>
      </w:r>
      <w:r>
        <w:rPr>
          <w:spacing w:val="-1"/>
        </w:rPr>
        <w:t xml:space="preserve"> </w:t>
      </w:r>
      <w:r>
        <w:t>to the</w:t>
      </w:r>
      <w:r>
        <w:rPr>
          <w:spacing w:val="-1"/>
        </w:rPr>
        <w:t xml:space="preserve"> </w:t>
      </w:r>
      <w:r>
        <w:t>Head of</w:t>
      </w:r>
      <w:r>
        <w:rPr>
          <w:spacing w:val="-1"/>
        </w:rPr>
        <w:t xml:space="preserve"> </w:t>
      </w:r>
      <w:r>
        <w:t>Research and Development</w:t>
      </w:r>
      <w:r>
        <w:rPr>
          <w:spacing w:val="-5"/>
        </w:rPr>
        <w:t xml:space="preserve"> </w:t>
      </w:r>
      <w:r>
        <w:t>of Bappeda has</w:t>
      </w:r>
      <w:r>
        <w:rPr>
          <w:spacing w:val="-1"/>
        </w:rPr>
        <w:t xml:space="preserve"> </w:t>
      </w:r>
      <w:r>
        <w:t>been</w:t>
      </w:r>
      <w:r>
        <w:rPr>
          <w:spacing w:val="-1"/>
        </w:rPr>
        <w:t xml:space="preserve"> </w:t>
      </w:r>
      <w:r>
        <w:t>followed</w:t>
      </w:r>
      <w:r>
        <w:rPr>
          <w:spacing w:val="-1"/>
        </w:rPr>
        <w:t xml:space="preserve"> </w:t>
      </w:r>
      <w:r>
        <w:t>up</w:t>
      </w:r>
      <w:r>
        <w:rPr>
          <w:spacing w:val="-1"/>
        </w:rPr>
        <w:t xml:space="preserve"> </w:t>
      </w:r>
      <w:r>
        <w:t xml:space="preserve">by the local government by implementing the RPJMD Thematic </w:t>
      </w:r>
      <w:r>
        <w:rPr>
          <w:i/>
        </w:rPr>
        <w:t>Musrenbang</w:t>
      </w:r>
      <w:r>
        <w:t>.</w:t>
      </w:r>
    </w:p>
    <w:p w14:paraId="093304D1" w14:textId="77777777" w:rsidR="00BC24A8" w:rsidRDefault="00000000">
      <w:pPr>
        <w:pStyle w:val="ListParagraph"/>
        <w:numPr>
          <w:ilvl w:val="3"/>
          <w:numId w:val="108"/>
        </w:numPr>
        <w:tabs>
          <w:tab w:val="left" w:pos="861"/>
          <w:tab w:val="left" w:pos="863"/>
        </w:tabs>
        <w:spacing w:before="1"/>
        <w:ind w:right="564"/>
      </w:pPr>
      <w:r>
        <w:t>The Minimum Service Standards implementation team has revised the Minimum Service Standards</w:t>
      </w:r>
      <w:r>
        <w:rPr>
          <w:spacing w:val="-4"/>
        </w:rPr>
        <w:t xml:space="preserve"> </w:t>
      </w:r>
      <w:r>
        <w:t>plan</w:t>
      </w:r>
      <w:r>
        <w:rPr>
          <w:spacing w:val="-5"/>
        </w:rPr>
        <w:t xml:space="preserve"> </w:t>
      </w:r>
      <w:r>
        <w:t>according</w:t>
      </w:r>
      <w:r>
        <w:rPr>
          <w:spacing w:val="-3"/>
        </w:rPr>
        <w:t xml:space="preserve"> </w:t>
      </w:r>
      <w:r>
        <w:t>to</w:t>
      </w:r>
      <w:r>
        <w:rPr>
          <w:spacing w:val="-3"/>
        </w:rPr>
        <w:t xml:space="preserve"> </w:t>
      </w:r>
      <w:r>
        <w:t>SKALA</w:t>
      </w:r>
      <w:r>
        <w:rPr>
          <w:spacing w:val="-5"/>
        </w:rPr>
        <w:t xml:space="preserve"> </w:t>
      </w:r>
      <w:r>
        <w:t>inputs</w:t>
      </w:r>
      <w:r>
        <w:rPr>
          <w:spacing w:val="-4"/>
        </w:rPr>
        <w:t xml:space="preserve"> </w:t>
      </w:r>
      <w:r>
        <w:t>and</w:t>
      </w:r>
      <w:r>
        <w:rPr>
          <w:spacing w:val="-2"/>
        </w:rPr>
        <w:t xml:space="preserve"> </w:t>
      </w:r>
      <w:r>
        <w:t>the</w:t>
      </w:r>
      <w:r>
        <w:rPr>
          <w:spacing w:val="-4"/>
        </w:rPr>
        <w:t xml:space="preserve"> </w:t>
      </w:r>
      <w:r>
        <w:t>results</w:t>
      </w:r>
      <w:r>
        <w:rPr>
          <w:spacing w:val="-2"/>
        </w:rPr>
        <w:t xml:space="preserve"> </w:t>
      </w:r>
      <w:r>
        <w:t>of</w:t>
      </w:r>
      <w:r>
        <w:rPr>
          <w:spacing w:val="-4"/>
        </w:rPr>
        <w:t xml:space="preserve"> </w:t>
      </w:r>
      <w:r>
        <w:t>Bappeda's</w:t>
      </w:r>
      <w:r>
        <w:rPr>
          <w:spacing w:val="-4"/>
        </w:rPr>
        <w:t xml:space="preserve"> </w:t>
      </w:r>
      <w:r>
        <w:t>evaluation</w:t>
      </w:r>
      <w:r>
        <w:rPr>
          <w:spacing w:val="-2"/>
        </w:rPr>
        <w:t xml:space="preserve"> </w:t>
      </w:r>
      <w:r>
        <w:t>to</w:t>
      </w:r>
      <w:r>
        <w:rPr>
          <w:spacing w:val="-5"/>
        </w:rPr>
        <w:t xml:space="preserve"> </w:t>
      </w:r>
      <w:r>
        <w:t>adjust</w:t>
      </w:r>
      <w:r>
        <w:rPr>
          <w:spacing w:val="-3"/>
        </w:rPr>
        <w:t xml:space="preserve"> </w:t>
      </w:r>
      <w:r>
        <w:t>the targets and needs, as well as for alignment with the</w:t>
      </w:r>
      <w:r>
        <w:rPr>
          <w:spacing w:val="40"/>
        </w:rPr>
        <w:t xml:space="preserve"> </w:t>
      </w:r>
      <w:r>
        <w:t>2025-2029 RPJMD.</w:t>
      </w:r>
    </w:p>
    <w:p w14:paraId="054C7AE7" w14:textId="77777777" w:rsidR="00BC24A8" w:rsidRDefault="00000000">
      <w:pPr>
        <w:pStyle w:val="ListParagraph"/>
        <w:numPr>
          <w:ilvl w:val="3"/>
          <w:numId w:val="108"/>
        </w:numPr>
        <w:tabs>
          <w:tab w:val="left" w:pos="861"/>
          <w:tab w:val="left" w:pos="863"/>
        </w:tabs>
        <w:ind w:right="562"/>
      </w:pPr>
      <w:r>
        <w:t>Through</w:t>
      </w:r>
      <w:r>
        <w:rPr>
          <w:spacing w:val="-13"/>
        </w:rPr>
        <w:t xml:space="preserve"> </w:t>
      </w:r>
      <w:r>
        <w:t>collaboration</w:t>
      </w:r>
      <w:r>
        <w:rPr>
          <w:spacing w:val="-12"/>
        </w:rPr>
        <w:t xml:space="preserve"> </w:t>
      </w:r>
      <w:r>
        <w:t>with</w:t>
      </w:r>
      <w:r>
        <w:rPr>
          <w:spacing w:val="-13"/>
        </w:rPr>
        <w:t xml:space="preserve"> </w:t>
      </w:r>
      <w:r>
        <w:t>SKALA,</w:t>
      </w:r>
      <w:r>
        <w:rPr>
          <w:spacing w:val="-12"/>
        </w:rPr>
        <w:t xml:space="preserve"> </w:t>
      </w:r>
      <w:r>
        <w:t>the</w:t>
      </w:r>
      <w:r>
        <w:rPr>
          <w:spacing w:val="-13"/>
        </w:rPr>
        <w:t xml:space="preserve"> </w:t>
      </w:r>
      <w:r>
        <w:t>regional</w:t>
      </w:r>
      <w:r>
        <w:rPr>
          <w:spacing w:val="-12"/>
        </w:rPr>
        <w:t xml:space="preserve"> </w:t>
      </w:r>
      <w:r>
        <w:t>government</w:t>
      </w:r>
      <w:r>
        <w:rPr>
          <w:spacing w:val="-13"/>
        </w:rPr>
        <w:t xml:space="preserve"> </w:t>
      </w:r>
      <w:r>
        <w:t>has</w:t>
      </w:r>
      <w:r>
        <w:rPr>
          <w:spacing w:val="-12"/>
        </w:rPr>
        <w:t xml:space="preserve"> </w:t>
      </w:r>
      <w:r>
        <w:t>improved</w:t>
      </w:r>
      <w:r>
        <w:rPr>
          <w:spacing w:val="-12"/>
        </w:rPr>
        <w:t xml:space="preserve"> </w:t>
      </w:r>
      <w:r>
        <w:t>the</w:t>
      </w:r>
      <w:r>
        <w:rPr>
          <w:spacing w:val="-13"/>
        </w:rPr>
        <w:t xml:space="preserve"> </w:t>
      </w:r>
      <w:r>
        <w:t>stages</w:t>
      </w:r>
      <w:r>
        <w:rPr>
          <w:spacing w:val="-12"/>
        </w:rPr>
        <w:t xml:space="preserve"> </w:t>
      </w:r>
      <w:r>
        <w:t>of</w:t>
      </w:r>
      <w:r>
        <w:rPr>
          <w:spacing w:val="-13"/>
        </w:rPr>
        <w:t xml:space="preserve"> </w:t>
      </w:r>
      <w:r>
        <w:t>regional planning</w:t>
      </w:r>
      <w:r>
        <w:rPr>
          <w:spacing w:val="-7"/>
        </w:rPr>
        <w:t xml:space="preserve"> </w:t>
      </w:r>
      <w:r>
        <w:t>for</w:t>
      </w:r>
      <w:r>
        <w:rPr>
          <w:spacing w:val="-4"/>
        </w:rPr>
        <w:t xml:space="preserve"> </w:t>
      </w:r>
      <w:r>
        <w:t>RPJMD</w:t>
      </w:r>
      <w:r>
        <w:rPr>
          <w:spacing w:val="-4"/>
        </w:rPr>
        <w:t xml:space="preserve"> </w:t>
      </w:r>
      <w:r>
        <w:t>and</w:t>
      </w:r>
      <w:r>
        <w:rPr>
          <w:spacing w:val="-6"/>
        </w:rPr>
        <w:t xml:space="preserve"> </w:t>
      </w:r>
      <w:r>
        <w:t>RKPD</w:t>
      </w:r>
      <w:r>
        <w:rPr>
          <w:spacing w:val="-6"/>
        </w:rPr>
        <w:t xml:space="preserve"> </w:t>
      </w:r>
      <w:r>
        <w:t>for</w:t>
      </w:r>
      <w:r>
        <w:rPr>
          <w:spacing w:val="-6"/>
        </w:rPr>
        <w:t xml:space="preserve"> </w:t>
      </w:r>
      <w:r>
        <w:t>the</w:t>
      </w:r>
      <w:r>
        <w:rPr>
          <w:spacing w:val="-5"/>
        </w:rPr>
        <w:t xml:space="preserve"> </w:t>
      </w:r>
      <w:r>
        <w:t>first</w:t>
      </w:r>
      <w:r>
        <w:rPr>
          <w:spacing w:val="-5"/>
        </w:rPr>
        <w:t xml:space="preserve"> </w:t>
      </w:r>
      <w:r>
        <w:t>time.</w:t>
      </w:r>
      <w:r>
        <w:rPr>
          <w:spacing w:val="-5"/>
        </w:rPr>
        <w:t xml:space="preserve"> </w:t>
      </w:r>
      <w:r>
        <w:t>Six</w:t>
      </w:r>
      <w:r>
        <w:rPr>
          <w:spacing w:val="-5"/>
        </w:rPr>
        <w:t xml:space="preserve"> </w:t>
      </w:r>
      <w:r>
        <w:t>supporting</w:t>
      </w:r>
      <w:r>
        <w:rPr>
          <w:spacing w:val="-7"/>
        </w:rPr>
        <w:t xml:space="preserve"> </w:t>
      </w:r>
      <w:r>
        <w:t>Provincial</w:t>
      </w:r>
      <w:r>
        <w:rPr>
          <w:spacing w:val="-5"/>
        </w:rPr>
        <w:t xml:space="preserve"> </w:t>
      </w:r>
      <w:r>
        <w:t>Agencies,</w:t>
      </w:r>
      <w:r>
        <w:rPr>
          <w:spacing w:val="-5"/>
        </w:rPr>
        <w:t xml:space="preserve"> </w:t>
      </w:r>
      <w:r>
        <w:t>Diskominfo, and DP3A have completed the Strategic Plan cascading matrix with the 2025-2029 RPJMD.</w:t>
      </w:r>
    </w:p>
    <w:p w14:paraId="6213B380" w14:textId="77777777" w:rsidR="00BC24A8" w:rsidRDefault="00BC24A8">
      <w:pPr>
        <w:pStyle w:val="ListParagraph"/>
        <w:sectPr w:rsidR="00BC24A8">
          <w:pgSz w:w="11910" w:h="16840"/>
          <w:pgMar w:top="1360" w:right="850" w:bottom="1100" w:left="1275" w:header="0" w:footer="907" w:gutter="0"/>
          <w:cols w:space="720"/>
        </w:sectPr>
      </w:pPr>
    </w:p>
    <w:p w14:paraId="28DA2F8F" w14:textId="77777777" w:rsidR="00BC24A8" w:rsidRDefault="00000000">
      <w:pPr>
        <w:spacing w:before="39"/>
        <w:ind w:left="143"/>
        <w:rPr>
          <w:rFonts w:ascii="Calibri"/>
          <w:b/>
        </w:rPr>
      </w:pPr>
      <w:r>
        <w:rPr>
          <w:rFonts w:ascii="Calibri"/>
          <w:b/>
          <w:color w:val="17365A"/>
        </w:rPr>
        <w:lastRenderedPageBreak/>
        <w:t>Impact</w:t>
      </w:r>
      <w:r>
        <w:rPr>
          <w:rFonts w:ascii="Calibri"/>
          <w:b/>
          <w:color w:val="17365A"/>
          <w:spacing w:val="-3"/>
        </w:rPr>
        <w:t xml:space="preserve"> </w:t>
      </w:r>
      <w:r>
        <w:rPr>
          <w:rFonts w:ascii="Calibri"/>
          <w:b/>
          <w:color w:val="17365A"/>
        </w:rPr>
        <w:t>of</w:t>
      </w:r>
      <w:r>
        <w:rPr>
          <w:rFonts w:ascii="Calibri"/>
          <w:b/>
          <w:color w:val="17365A"/>
          <w:spacing w:val="-2"/>
        </w:rPr>
        <w:t xml:space="preserve"> results/changes</w:t>
      </w:r>
    </w:p>
    <w:p w14:paraId="555F56AB" w14:textId="77777777" w:rsidR="00BC24A8" w:rsidRDefault="00BC24A8">
      <w:pPr>
        <w:pStyle w:val="BodyText"/>
        <w:rPr>
          <w:rFonts w:ascii="Calibri"/>
          <w:b/>
        </w:rPr>
      </w:pPr>
    </w:p>
    <w:p w14:paraId="458CB02B" w14:textId="77777777" w:rsidR="00BC24A8" w:rsidRDefault="00000000">
      <w:pPr>
        <w:ind w:left="143"/>
        <w:rPr>
          <w:rFonts w:ascii="Calibri"/>
          <w:b/>
        </w:rPr>
      </w:pPr>
      <w:r>
        <w:rPr>
          <w:rFonts w:ascii="Calibri"/>
          <w:b/>
          <w:color w:val="767070"/>
        </w:rPr>
        <w:t>Minimum</w:t>
      </w:r>
      <w:r>
        <w:rPr>
          <w:rFonts w:ascii="Calibri"/>
          <w:b/>
          <w:color w:val="767070"/>
          <w:spacing w:val="-9"/>
        </w:rPr>
        <w:t xml:space="preserve"> </w:t>
      </w:r>
      <w:r>
        <w:rPr>
          <w:rFonts w:ascii="Calibri"/>
          <w:b/>
          <w:color w:val="767070"/>
        </w:rPr>
        <w:t>Service</w:t>
      </w:r>
      <w:r>
        <w:rPr>
          <w:rFonts w:ascii="Calibri"/>
          <w:b/>
          <w:color w:val="767070"/>
          <w:spacing w:val="-7"/>
        </w:rPr>
        <w:t xml:space="preserve"> </w:t>
      </w:r>
      <w:r>
        <w:rPr>
          <w:rFonts w:ascii="Calibri"/>
          <w:b/>
          <w:color w:val="767070"/>
        </w:rPr>
        <w:t>Standards</w:t>
      </w:r>
      <w:r>
        <w:rPr>
          <w:rFonts w:ascii="Calibri"/>
          <w:b/>
          <w:color w:val="767070"/>
          <w:spacing w:val="-5"/>
        </w:rPr>
        <w:t xml:space="preserve"> </w:t>
      </w:r>
      <w:r>
        <w:rPr>
          <w:rFonts w:ascii="Calibri"/>
          <w:b/>
          <w:color w:val="767070"/>
          <w:spacing w:val="-4"/>
        </w:rPr>
        <w:t>Theme</w:t>
      </w:r>
    </w:p>
    <w:p w14:paraId="414F377D" w14:textId="77777777" w:rsidR="00BC24A8" w:rsidRDefault="00BC24A8">
      <w:pPr>
        <w:pStyle w:val="BodyText"/>
        <w:spacing w:before="8" w:after="1"/>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438"/>
        <w:gridCol w:w="7661"/>
      </w:tblGrid>
      <w:tr w:rsidR="00BC24A8" w14:paraId="5EA2FA28" w14:textId="77777777">
        <w:trPr>
          <w:trHeight w:val="415"/>
        </w:trPr>
        <w:tc>
          <w:tcPr>
            <w:tcW w:w="1438" w:type="dxa"/>
            <w:tcBorders>
              <w:bottom w:val="single" w:sz="4" w:space="0" w:color="BEBEBE"/>
            </w:tcBorders>
            <w:shd w:val="clear" w:color="auto" w:fill="17365A"/>
          </w:tcPr>
          <w:p w14:paraId="17109665" w14:textId="77777777" w:rsidR="00BC24A8" w:rsidRDefault="00000000">
            <w:pPr>
              <w:pStyle w:val="TableParagraph"/>
              <w:spacing w:before="85"/>
              <w:ind w:left="115"/>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661" w:type="dxa"/>
            <w:tcBorders>
              <w:bottom w:val="single" w:sz="4" w:space="0" w:color="BEBEBE"/>
            </w:tcBorders>
            <w:shd w:val="clear" w:color="auto" w:fill="17365A"/>
          </w:tcPr>
          <w:p w14:paraId="72666E50" w14:textId="77777777" w:rsidR="00BC24A8" w:rsidRDefault="00000000">
            <w:pPr>
              <w:pStyle w:val="TableParagraph"/>
              <w:spacing w:before="85"/>
              <w:ind w:left="187"/>
              <w:rPr>
                <w:rFonts w:ascii="Calibri"/>
                <w:b/>
                <w:sz w:val="20"/>
              </w:rPr>
            </w:pPr>
            <w:r>
              <w:rPr>
                <w:rFonts w:ascii="Calibri"/>
                <w:b/>
                <w:color w:val="FFFFFF"/>
                <w:spacing w:val="-2"/>
                <w:sz w:val="20"/>
              </w:rPr>
              <w:t>Impact</w:t>
            </w:r>
          </w:p>
        </w:tc>
      </w:tr>
      <w:tr w:rsidR="00BC24A8" w14:paraId="42D6FB5D" w14:textId="77777777">
        <w:trPr>
          <w:trHeight w:val="1252"/>
        </w:trPr>
        <w:tc>
          <w:tcPr>
            <w:tcW w:w="1438" w:type="dxa"/>
            <w:tcBorders>
              <w:top w:val="single" w:sz="4" w:space="0" w:color="BEBEBE"/>
              <w:bottom w:val="single" w:sz="4" w:space="0" w:color="BEBEBE"/>
            </w:tcBorders>
          </w:tcPr>
          <w:p w14:paraId="2D63BD8E" w14:textId="77777777" w:rsidR="00BC24A8" w:rsidRDefault="00000000">
            <w:pPr>
              <w:pStyle w:val="TableParagraph"/>
              <w:spacing w:before="116"/>
              <w:ind w:left="115"/>
              <w:rPr>
                <w:sz w:val="18"/>
              </w:rPr>
            </w:pPr>
            <w:r>
              <w:rPr>
                <w:spacing w:val="-2"/>
                <w:sz w:val="18"/>
              </w:rPr>
              <w:t>Methodological</w:t>
            </w:r>
            <w:r>
              <w:rPr>
                <w:sz w:val="18"/>
              </w:rPr>
              <w:t xml:space="preserve"> </w:t>
            </w:r>
            <w:r>
              <w:rPr>
                <w:spacing w:val="-2"/>
                <w:sz w:val="18"/>
              </w:rPr>
              <w:t>impact</w:t>
            </w:r>
          </w:p>
        </w:tc>
        <w:tc>
          <w:tcPr>
            <w:tcW w:w="7661" w:type="dxa"/>
            <w:tcBorders>
              <w:top w:val="single" w:sz="4" w:space="0" w:color="BEBEBE"/>
              <w:bottom w:val="single" w:sz="4" w:space="0" w:color="BEBEBE"/>
            </w:tcBorders>
          </w:tcPr>
          <w:p w14:paraId="666BAF13" w14:textId="77777777" w:rsidR="00BC24A8" w:rsidRDefault="00000000">
            <w:pPr>
              <w:pStyle w:val="TableParagraph"/>
              <w:numPr>
                <w:ilvl w:val="0"/>
                <w:numId w:val="99"/>
              </w:numPr>
              <w:tabs>
                <w:tab w:val="left" w:pos="907"/>
              </w:tabs>
              <w:spacing w:before="56"/>
              <w:ind w:right="218"/>
              <w:rPr>
                <w:sz w:val="18"/>
              </w:rPr>
            </w:pPr>
            <w:r>
              <w:rPr>
                <w:sz w:val="18"/>
              </w:rPr>
              <w:t>140 civil servants (M:72, F:68) in the Minimum Service Standards implementation teams from</w:t>
            </w:r>
            <w:r>
              <w:rPr>
                <w:spacing w:val="-4"/>
                <w:sz w:val="18"/>
              </w:rPr>
              <w:t xml:space="preserve"> </w:t>
            </w:r>
            <w:r>
              <w:rPr>
                <w:sz w:val="18"/>
              </w:rPr>
              <w:t>the</w:t>
            </w:r>
            <w:r>
              <w:rPr>
                <w:spacing w:val="-3"/>
                <w:sz w:val="18"/>
              </w:rPr>
              <w:t xml:space="preserve"> </w:t>
            </w:r>
            <w:r>
              <w:rPr>
                <w:sz w:val="18"/>
              </w:rPr>
              <w:t>Province</w:t>
            </w:r>
            <w:r>
              <w:rPr>
                <w:spacing w:val="-3"/>
                <w:sz w:val="18"/>
              </w:rPr>
              <w:t xml:space="preserve"> </w:t>
            </w:r>
            <w:r>
              <w:rPr>
                <w:sz w:val="18"/>
              </w:rPr>
              <w:t>and</w:t>
            </w:r>
            <w:r>
              <w:rPr>
                <w:spacing w:val="-3"/>
                <w:sz w:val="18"/>
              </w:rPr>
              <w:t xml:space="preserve"> </w:t>
            </w:r>
            <w:r>
              <w:rPr>
                <w:sz w:val="18"/>
              </w:rPr>
              <w:t>11</w:t>
            </w:r>
            <w:r>
              <w:rPr>
                <w:spacing w:val="-3"/>
                <w:sz w:val="18"/>
              </w:rPr>
              <w:t xml:space="preserve"> </w:t>
            </w:r>
            <w:r>
              <w:rPr>
                <w:sz w:val="18"/>
              </w:rPr>
              <w:t>districts/cities</w:t>
            </w:r>
            <w:r>
              <w:rPr>
                <w:spacing w:val="-3"/>
                <w:sz w:val="18"/>
              </w:rPr>
              <w:t xml:space="preserve"> </w:t>
            </w:r>
            <w:r>
              <w:rPr>
                <w:sz w:val="18"/>
              </w:rPr>
              <w:t>have</w:t>
            </w:r>
            <w:r>
              <w:rPr>
                <w:spacing w:val="-3"/>
                <w:sz w:val="18"/>
              </w:rPr>
              <w:t xml:space="preserve"> </w:t>
            </w:r>
            <w:r>
              <w:rPr>
                <w:sz w:val="18"/>
              </w:rPr>
              <w:t>been</w:t>
            </w:r>
            <w:r>
              <w:rPr>
                <w:spacing w:val="-3"/>
                <w:sz w:val="18"/>
              </w:rPr>
              <w:t xml:space="preserve"> </w:t>
            </w:r>
            <w:r>
              <w:rPr>
                <w:sz w:val="18"/>
              </w:rPr>
              <w:t>trained</w:t>
            </w:r>
            <w:r>
              <w:rPr>
                <w:spacing w:val="-6"/>
                <w:sz w:val="18"/>
              </w:rPr>
              <w:t xml:space="preserve"> </w:t>
            </w:r>
            <w:r>
              <w:rPr>
                <w:sz w:val="18"/>
              </w:rPr>
              <w:t>in</w:t>
            </w:r>
            <w:r>
              <w:rPr>
                <w:spacing w:val="-3"/>
                <w:sz w:val="18"/>
              </w:rPr>
              <w:t xml:space="preserve"> </w:t>
            </w:r>
            <w:r>
              <w:rPr>
                <w:sz w:val="18"/>
              </w:rPr>
              <w:t>4</w:t>
            </w:r>
            <w:r>
              <w:rPr>
                <w:spacing w:val="-3"/>
                <w:sz w:val="18"/>
              </w:rPr>
              <w:t xml:space="preserve"> </w:t>
            </w:r>
            <w:r>
              <w:rPr>
                <w:sz w:val="18"/>
              </w:rPr>
              <w:t>stages</w:t>
            </w:r>
            <w:r>
              <w:rPr>
                <w:spacing w:val="-3"/>
                <w:sz w:val="18"/>
              </w:rPr>
              <w:t xml:space="preserve"> </w:t>
            </w:r>
            <w:r>
              <w:rPr>
                <w:sz w:val="18"/>
              </w:rPr>
              <w:t>of</w:t>
            </w:r>
            <w:r>
              <w:rPr>
                <w:spacing w:val="-4"/>
                <w:sz w:val="18"/>
              </w:rPr>
              <w:t xml:space="preserve"> </w:t>
            </w:r>
            <w:r>
              <w:rPr>
                <w:sz w:val="18"/>
              </w:rPr>
              <w:t>Minimum</w:t>
            </w:r>
            <w:r>
              <w:rPr>
                <w:spacing w:val="-4"/>
                <w:sz w:val="18"/>
              </w:rPr>
              <w:t xml:space="preserve"> </w:t>
            </w:r>
            <w:r>
              <w:rPr>
                <w:sz w:val="18"/>
              </w:rPr>
              <w:t>Service Standards implementation.</w:t>
            </w:r>
          </w:p>
          <w:p w14:paraId="4C285879" w14:textId="77777777" w:rsidR="00BC24A8" w:rsidRDefault="00000000">
            <w:pPr>
              <w:pStyle w:val="TableParagraph"/>
              <w:numPr>
                <w:ilvl w:val="0"/>
                <w:numId w:val="99"/>
              </w:numPr>
              <w:tabs>
                <w:tab w:val="left" w:pos="907"/>
              </w:tabs>
              <w:spacing w:before="1"/>
              <w:ind w:right="440"/>
              <w:rPr>
                <w:sz w:val="18"/>
              </w:rPr>
            </w:pPr>
            <w:r>
              <w:rPr>
                <w:sz w:val="18"/>
              </w:rPr>
              <w:t>The</w:t>
            </w:r>
            <w:r>
              <w:rPr>
                <w:spacing w:val="-3"/>
                <w:sz w:val="18"/>
              </w:rPr>
              <w:t xml:space="preserve"> </w:t>
            </w:r>
            <w:r>
              <w:rPr>
                <w:sz w:val="18"/>
              </w:rPr>
              <w:t>list</w:t>
            </w:r>
            <w:r>
              <w:rPr>
                <w:spacing w:val="-2"/>
                <w:sz w:val="18"/>
              </w:rPr>
              <w:t xml:space="preserve"> </w:t>
            </w:r>
            <w:r>
              <w:rPr>
                <w:sz w:val="18"/>
              </w:rPr>
              <w:t>of</w:t>
            </w:r>
            <w:r>
              <w:rPr>
                <w:spacing w:val="-4"/>
                <w:sz w:val="18"/>
              </w:rPr>
              <w:t xml:space="preserve"> </w:t>
            </w:r>
            <w:r>
              <w:rPr>
                <w:sz w:val="18"/>
              </w:rPr>
              <w:t>regional</w:t>
            </w:r>
            <w:r>
              <w:rPr>
                <w:spacing w:val="-2"/>
                <w:sz w:val="18"/>
              </w:rPr>
              <w:t xml:space="preserve"> </w:t>
            </w:r>
            <w:r>
              <w:rPr>
                <w:sz w:val="18"/>
              </w:rPr>
              <w:t>data</w:t>
            </w:r>
            <w:r>
              <w:rPr>
                <w:spacing w:val="-4"/>
                <w:sz w:val="18"/>
              </w:rPr>
              <w:t xml:space="preserve"> </w:t>
            </w:r>
            <w:r>
              <w:rPr>
                <w:sz w:val="18"/>
              </w:rPr>
              <w:t>for</w:t>
            </w:r>
            <w:r>
              <w:rPr>
                <w:spacing w:val="-3"/>
                <w:sz w:val="18"/>
              </w:rPr>
              <w:t xml:space="preserve"> </w:t>
            </w:r>
            <w:r>
              <w:rPr>
                <w:sz w:val="18"/>
              </w:rPr>
              <w:t>2025</w:t>
            </w:r>
            <w:r>
              <w:rPr>
                <w:spacing w:val="-3"/>
                <w:sz w:val="18"/>
              </w:rPr>
              <w:t xml:space="preserve"> </w:t>
            </w:r>
            <w:r>
              <w:rPr>
                <w:sz w:val="18"/>
              </w:rPr>
              <w:t>includes</w:t>
            </w:r>
            <w:r>
              <w:rPr>
                <w:spacing w:val="-3"/>
                <w:sz w:val="18"/>
              </w:rPr>
              <w:t xml:space="preserve"> </w:t>
            </w:r>
            <w:r>
              <w:rPr>
                <w:sz w:val="18"/>
              </w:rPr>
              <w:t>308</w:t>
            </w:r>
            <w:r>
              <w:rPr>
                <w:spacing w:val="-3"/>
                <w:sz w:val="18"/>
              </w:rPr>
              <w:t xml:space="preserve"> </w:t>
            </w:r>
            <w:r>
              <w:rPr>
                <w:sz w:val="18"/>
              </w:rPr>
              <w:t>data</w:t>
            </w:r>
            <w:r>
              <w:rPr>
                <w:spacing w:val="-4"/>
                <w:sz w:val="18"/>
              </w:rPr>
              <w:t xml:space="preserve"> </w:t>
            </w:r>
            <w:r>
              <w:rPr>
                <w:sz w:val="18"/>
              </w:rPr>
              <w:t>on</w:t>
            </w:r>
            <w:r>
              <w:rPr>
                <w:spacing w:val="-3"/>
                <w:sz w:val="18"/>
              </w:rPr>
              <w:t xml:space="preserve"> </w:t>
            </w:r>
            <w:r>
              <w:rPr>
                <w:sz w:val="18"/>
              </w:rPr>
              <w:t>the</w:t>
            </w:r>
            <w:r>
              <w:rPr>
                <w:spacing w:val="-3"/>
                <w:sz w:val="18"/>
              </w:rPr>
              <w:t xml:space="preserve"> </w:t>
            </w:r>
            <w:r>
              <w:rPr>
                <w:sz w:val="18"/>
              </w:rPr>
              <w:t>implementation</w:t>
            </w:r>
            <w:r>
              <w:rPr>
                <w:spacing w:val="-3"/>
                <w:sz w:val="18"/>
              </w:rPr>
              <w:t xml:space="preserve"> </w:t>
            </w:r>
            <w:r>
              <w:rPr>
                <w:sz w:val="18"/>
              </w:rPr>
              <w:t>of</w:t>
            </w:r>
            <w:r>
              <w:rPr>
                <w:spacing w:val="-4"/>
                <w:sz w:val="18"/>
              </w:rPr>
              <w:t xml:space="preserve"> </w:t>
            </w:r>
            <w:r>
              <w:rPr>
                <w:sz w:val="18"/>
              </w:rPr>
              <w:t>Minimum Service Standards.</w:t>
            </w:r>
          </w:p>
        </w:tc>
      </w:tr>
      <w:tr w:rsidR="00BC24A8" w14:paraId="211266C5" w14:textId="77777777">
        <w:trPr>
          <w:trHeight w:val="2351"/>
        </w:trPr>
        <w:tc>
          <w:tcPr>
            <w:tcW w:w="1438" w:type="dxa"/>
            <w:tcBorders>
              <w:top w:val="single" w:sz="4" w:space="0" w:color="BEBEBE"/>
              <w:bottom w:val="single" w:sz="4" w:space="0" w:color="BEBEBE"/>
            </w:tcBorders>
          </w:tcPr>
          <w:p w14:paraId="4C75FDB8" w14:textId="77777777" w:rsidR="00BC24A8" w:rsidRDefault="00000000">
            <w:pPr>
              <w:pStyle w:val="TableParagraph"/>
              <w:spacing w:before="116"/>
              <w:ind w:left="115" w:right="37"/>
              <w:rPr>
                <w:sz w:val="18"/>
              </w:rPr>
            </w:pPr>
            <w:r>
              <w:rPr>
                <w:spacing w:val="-2"/>
                <w:sz w:val="18"/>
              </w:rPr>
              <w:t>Ecosystem</w:t>
            </w:r>
            <w:r>
              <w:rPr>
                <w:sz w:val="18"/>
              </w:rPr>
              <w:t xml:space="preserve"> </w:t>
            </w:r>
            <w:r>
              <w:rPr>
                <w:spacing w:val="-2"/>
                <w:sz w:val="18"/>
              </w:rPr>
              <w:t>Impacts</w:t>
            </w:r>
          </w:p>
        </w:tc>
        <w:tc>
          <w:tcPr>
            <w:tcW w:w="7661" w:type="dxa"/>
            <w:tcBorders>
              <w:top w:val="single" w:sz="4" w:space="0" w:color="BEBEBE"/>
              <w:bottom w:val="single" w:sz="4" w:space="0" w:color="BEBEBE"/>
            </w:tcBorders>
          </w:tcPr>
          <w:p w14:paraId="65935B00" w14:textId="77777777" w:rsidR="00BC24A8" w:rsidRDefault="00000000">
            <w:pPr>
              <w:pStyle w:val="TableParagraph"/>
              <w:numPr>
                <w:ilvl w:val="0"/>
                <w:numId w:val="98"/>
              </w:numPr>
              <w:tabs>
                <w:tab w:val="left" w:pos="907"/>
              </w:tabs>
              <w:spacing w:before="56"/>
              <w:ind w:right="323"/>
              <w:rPr>
                <w:sz w:val="18"/>
              </w:rPr>
            </w:pPr>
            <w:r>
              <w:rPr>
                <w:sz w:val="18"/>
              </w:rPr>
              <w:t>The</w:t>
            </w:r>
            <w:r>
              <w:rPr>
                <w:spacing w:val="-3"/>
                <w:sz w:val="18"/>
              </w:rPr>
              <w:t xml:space="preserve"> </w:t>
            </w:r>
            <w:r>
              <w:rPr>
                <w:sz w:val="18"/>
              </w:rPr>
              <w:t>existing</w:t>
            </w:r>
            <w:r>
              <w:rPr>
                <w:spacing w:val="-4"/>
                <w:sz w:val="18"/>
              </w:rPr>
              <w:t xml:space="preserve"> </w:t>
            </w:r>
            <w:r>
              <w:rPr>
                <w:sz w:val="18"/>
              </w:rPr>
              <w:t>Minimum</w:t>
            </w:r>
            <w:r>
              <w:rPr>
                <w:spacing w:val="-4"/>
                <w:sz w:val="18"/>
              </w:rPr>
              <w:t xml:space="preserve"> </w:t>
            </w:r>
            <w:r>
              <w:rPr>
                <w:sz w:val="18"/>
              </w:rPr>
              <w:t>Service</w:t>
            </w:r>
            <w:r>
              <w:rPr>
                <w:spacing w:val="-3"/>
                <w:sz w:val="18"/>
              </w:rPr>
              <w:t xml:space="preserve"> </w:t>
            </w:r>
            <w:r>
              <w:rPr>
                <w:sz w:val="18"/>
              </w:rPr>
              <w:t>Standards</w:t>
            </w:r>
            <w:r>
              <w:rPr>
                <w:spacing w:val="-3"/>
                <w:sz w:val="18"/>
              </w:rPr>
              <w:t xml:space="preserve"> </w:t>
            </w:r>
            <w:r>
              <w:rPr>
                <w:sz w:val="18"/>
              </w:rPr>
              <w:t>action</w:t>
            </w:r>
            <w:r>
              <w:rPr>
                <w:spacing w:val="-3"/>
                <w:sz w:val="18"/>
              </w:rPr>
              <w:t xml:space="preserve"> </w:t>
            </w:r>
            <w:r>
              <w:rPr>
                <w:sz w:val="18"/>
              </w:rPr>
              <w:t>plan</w:t>
            </w:r>
            <w:r>
              <w:rPr>
                <w:spacing w:val="-3"/>
                <w:sz w:val="18"/>
              </w:rPr>
              <w:t xml:space="preserve"> </w:t>
            </w:r>
            <w:r>
              <w:rPr>
                <w:sz w:val="18"/>
              </w:rPr>
              <w:t>is</w:t>
            </w:r>
            <w:r>
              <w:rPr>
                <w:spacing w:val="-3"/>
                <w:sz w:val="18"/>
              </w:rPr>
              <w:t xml:space="preserve"> </w:t>
            </w:r>
            <w:r>
              <w:rPr>
                <w:sz w:val="18"/>
              </w:rPr>
              <w:t>being</w:t>
            </w:r>
            <w:r>
              <w:rPr>
                <w:spacing w:val="-4"/>
                <w:sz w:val="18"/>
              </w:rPr>
              <w:t xml:space="preserve"> </w:t>
            </w:r>
            <w:r>
              <w:rPr>
                <w:sz w:val="18"/>
              </w:rPr>
              <w:t>revised</w:t>
            </w:r>
            <w:r>
              <w:rPr>
                <w:spacing w:val="-3"/>
                <w:sz w:val="18"/>
              </w:rPr>
              <w:t xml:space="preserve"> </w:t>
            </w:r>
            <w:r>
              <w:rPr>
                <w:sz w:val="18"/>
              </w:rPr>
              <w:t>to</w:t>
            </w:r>
            <w:r>
              <w:rPr>
                <w:spacing w:val="-4"/>
                <w:sz w:val="18"/>
              </w:rPr>
              <w:t xml:space="preserve"> </w:t>
            </w:r>
            <w:r>
              <w:rPr>
                <w:sz w:val="18"/>
              </w:rPr>
              <w:t>adjust</w:t>
            </w:r>
            <w:r>
              <w:rPr>
                <w:spacing w:val="-2"/>
                <w:sz w:val="18"/>
              </w:rPr>
              <w:t xml:space="preserve"> </w:t>
            </w:r>
            <w:r>
              <w:rPr>
                <w:sz w:val="18"/>
              </w:rPr>
              <w:t>the</w:t>
            </w:r>
            <w:r>
              <w:rPr>
                <w:spacing w:val="-3"/>
                <w:sz w:val="18"/>
              </w:rPr>
              <w:t xml:space="preserve"> </w:t>
            </w:r>
            <w:r>
              <w:rPr>
                <w:sz w:val="18"/>
              </w:rPr>
              <w:t xml:space="preserve">service </w:t>
            </w:r>
            <w:r>
              <w:rPr>
                <w:spacing w:val="-2"/>
                <w:sz w:val="18"/>
              </w:rPr>
              <w:t>targets.</w:t>
            </w:r>
          </w:p>
          <w:p w14:paraId="61170310" w14:textId="77777777" w:rsidR="00BC24A8" w:rsidRDefault="00000000">
            <w:pPr>
              <w:pStyle w:val="TableParagraph"/>
              <w:numPr>
                <w:ilvl w:val="0"/>
                <w:numId w:val="98"/>
              </w:numPr>
              <w:tabs>
                <w:tab w:val="left" w:pos="907"/>
              </w:tabs>
              <w:ind w:right="428"/>
              <w:rPr>
                <w:sz w:val="18"/>
              </w:rPr>
            </w:pPr>
            <w:r>
              <w:rPr>
                <w:sz w:val="18"/>
              </w:rPr>
              <w:t>The Minimum Service Standards implementation team collaborates with Bappeda and BPKAD</w:t>
            </w:r>
            <w:r>
              <w:rPr>
                <w:spacing w:val="-2"/>
                <w:sz w:val="18"/>
              </w:rPr>
              <w:t xml:space="preserve"> </w:t>
            </w:r>
            <w:r>
              <w:rPr>
                <w:sz w:val="18"/>
              </w:rPr>
              <w:t>to</w:t>
            </w:r>
            <w:r>
              <w:rPr>
                <w:spacing w:val="-4"/>
                <w:sz w:val="18"/>
              </w:rPr>
              <w:t xml:space="preserve"> </w:t>
            </w:r>
            <w:r>
              <w:rPr>
                <w:sz w:val="18"/>
              </w:rPr>
              <w:t>calculate</w:t>
            </w:r>
            <w:r>
              <w:rPr>
                <w:spacing w:val="-5"/>
                <w:sz w:val="18"/>
              </w:rPr>
              <w:t xml:space="preserve"> </w:t>
            </w:r>
            <w:r>
              <w:rPr>
                <w:sz w:val="18"/>
              </w:rPr>
              <w:t>the</w:t>
            </w:r>
            <w:r>
              <w:rPr>
                <w:spacing w:val="-3"/>
                <w:sz w:val="18"/>
              </w:rPr>
              <w:t xml:space="preserve"> </w:t>
            </w:r>
            <w:r>
              <w:rPr>
                <w:sz w:val="18"/>
              </w:rPr>
              <w:t>needs</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2026</w:t>
            </w:r>
            <w:r>
              <w:rPr>
                <w:spacing w:val="-3"/>
                <w:sz w:val="18"/>
              </w:rPr>
              <w:t xml:space="preserve"> </w:t>
            </w:r>
            <w:r>
              <w:rPr>
                <w:sz w:val="18"/>
              </w:rPr>
              <w:t>Minimum</w:t>
            </w:r>
            <w:r>
              <w:rPr>
                <w:spacing w:val="-4"/>
                <w:sz w:val="18"/>
              </w:rPr>
              <w:t xml:space="preserve"> </w:t>
            </w:r>
            <w:r>
              <w:rPr>
                <w:sz w:val="18"/>
              </w:rPr>
              <w:t>Service</w:t>
            </w:r>
            <w:r>
              <w:rPr>
                <w:spacing w:val="-3"/>
                <w:sz w:val="18"/>
              </w:rPr>
              <w:t xml:space="preserve"> </w:t>
            </w:r>
            <w:r>
              <w:rPr>
                <w:sz w:val="18"/>
              </w:rPr>
              <w:t>Standards</w:t>
            </w:r>
            <w:r>
              <w:rPr>
                <w:spacing w:val="-3"/>
                <w:sz w:val="18"/>
              </w:rPr>
              <w:t xml:space="preserve"> </w:t>
            </w:r>
            <w:r>
              <w:rPr>
                <w:sz w:val="18"/>
              </w:rPr>
              <w:t>according</w:t>
            </w:r>
            <w:r>
              <w:rPr>
                <w:spacing w:val="-4"/>
                <w:sz w:val="18"/>
              </w:rPr>
              <w:t xml:space="preserve"> </w:t>
            </w:r>
            <w:r>
              <w:rPr>
                <w:sz w:val="18"/>
              </w:rPr>
              <w:t>to</w:t>
            </w:r>
            <w:r>
              <w:rPr>
                <w:spacing w:val="-4"/>
                <w:sz w:val="18"/>
              </w:rPr>
              <w:t xml:space="preserve"> </w:t>
            </w:r>
            <w:r>
              <w:rPr>
                <w:sz w:val="18"/>
              </w:rPr>
              <w:t>SSH (Standard Unit Prices).</w:t>
            </w:r>
          </w:p>
          <w:p w14:paraId="4ADD6483" w14:textId="77777777" w:rsidR="00BC24A8" w:rsidRDefault="00000000">
            <w:pPr>
              <w:pStyle w:val="TableParagraph"/>
              <w:numPr>
                <w:ilvl w:val="0"/>
                <w:numId w:val="98"/>
              </w:numPr>
              <w:tabs>
                <w:tab w:val="left" w:pos="907"/>
              </w:tabs>
              <w:spacing w:before="1"/>
              <w:ind w:right="225"/>
              <w:rPr>
                <w:sz w:val="18"/>
              </w:rPr>
            </w:pPr>
            <w:r>
              <w:rPr>
                <w:sz w:val="18"/>
              </w:rPr>
              <w:t>The</w:t>
            </w:r>
            <w:r>
              <w:rPr>
                <w:spacing w:val="-4"/>
                <w:sz w:val="18"/>
              </w:rPr>
              <w:t xml:space="preserve"> </w:t>
            </w:r>
            <w:r>
              <w:rPr>
                <w:sz w:val="18"/>
              </w:rPr>
              <w:t>Minimum</w:t>
            </w:r>
            <w:r>
              <w:rPr>
                <w:spacing w:val="-5"/>
                <w:sz w:val="18"/>
              </w:rPr>
              <w:t xml:space="preserve"> </w:t>
            </w:r>
            <w:r>
              <w:rPr>
                <w:sz w:val="18"/>
              </w:rPr>
              <w:t>Service</w:t>
            </w:r>
            <w:r>
              <w:rPr>
                <w:spacing w:val="-4"/>
                <w:sz w:val="18"/>
              </w:rPr>
              <w:t xml:space="preserve"> </w:t>
            </w:r>
            <w:r>
              <w:rPr>
                <w:sz w:val="18"/>
              </w:rPr>
              <w:t>Standards</w:t>
            </w:r>
            <w:r>
              <w:rPr>
                <w:spacing w:val="-4"/>
                <w:sz w:val="18"/>
              </w:rPr>
              <w:t xml:space="preserve"> </w:t>
            </w:r>
            <w:r>
              <w:rPr>
                <w:sz w:val="18"/>
              </w:rPr>
              <w:t>implementation</w:t>
            </w:r>
            <w:r>
              <w:rPr>
                <w:spacing w:val="-4"/>
                <w:sz w:val="18"/>
              </w:rPr>
              <w:t xml:space="preserve"> </w:t>
            </w:r>
            <w:r>
              <w:rPr>
                <w:sz w:val="18"/>
              </w:rPr>
              <w:t>team</w:t>
            </w:r>
            <w:r>
              <w:rPr>
                <w:spacing w:val="-5"/>
                <w:sz w:val="18"/>
              </w:rPr>
              <w:t xml:space="preserve"> </w:t>
            </w:r>
            <w:r>
              <w:rPr>
                <w:sz w:val="18"/>
              </w:rPr>
              <w:t>held</w:t>
            </w:r>
            <w:r>
              <w:rPr>
                <w:spacing w:val="-4"/>
                <w:sz w:val="18"/>
              </w:rPr>
              <w:t xml:space="preserve"> </w:t>
            </w:r>
            <w:r>
              <w:rPr>
                <w:sz w:val="18"/>
              </w:rPr>
              <w:t>4</w:t>
            </w:r>
            <w:r>
              <w:rPr>
                <w:spacing w:val="-4"/>
                <w:sz w:val="18"/>
              </w:rPr>
              <w:t xml:space="preserve"> </w:t>
            </w:r>
            <w:r>
              <w:rPr>
                <w:sz w:val="18"/>
              </w:rPr>
              <w:t>technical</w:t>
            </w:r>
            <w:r>
              <w:rPr>
                <w:spacing w:val="-3"/>
                <w:sz w:val="18"/>
              </w:rPr>
              <w:t xml:space="preserve"> </w:t>
            </w:r>
            <w:r>
              <w:rPr>
                <w:sz w:val="18"/>
              </w:rPr>
              <w:t>meetings</w:t>
            </w:r>
            <w:r>
              <w:rPr>
                <w:spacing w:val="-4"/>
                <w:sz w:val="18"/>
              </w:rPr>
              <w:t xml:space="preserve"> </w:t>
            </w:r>
            <w:r>
              <w:rPr>
                <w:sz w:val="18"/>
              </w:rPr>
              <w:t>involving Bappeda and BPKAD (M:11, F:12) for Minimum Service Standards planning in 2026.</w:t>
            </w:r>
          </w:p>
          <w:p w14:paraId="2A65DE6B" w14:textId="77777777" w:rsidR="00BC24A8" w:rsidRDefault="00000000">
            <w:pPr>
              <w:pStyle w:val="TableParagraph"/>
              <w:numPr>
                <w:ilvl w:val="0"/>
                <w:numId w:val="98"/>
              </w:numPr>
              <w:tabs>
                <w:tab w:val="left" w:pos="907"/>
              </w:tabs>
              <w:ind w:right="129"/>
              <w:rPr>
                <w:sz w:val="18"/>
              </w:rPr>
            </w:pPr>
            <w:r>
              <w:rPr>
                <w:sz w:val="18"/>
              </w:rPr>
              <w:t>Provincial Public Works Office, Provincial Housing and Settlement Office, and those in two Districts</w:t>
            </w:r>
            <w:r>
              <w:rPr>
                <w:spacing w:val="-3"/>
                <w:sz w:val="18"/>
              </w:rPr>
              <w:t xml:space="preserve"> </w:t>
            </w:r>
            <w:r>
              <w:rPr>
                <w:sz w:val="18"/>
              </w:rPr>
              <w:t>/Cities</w:t>
            </w:r>
            <w:r>
              <w:rPr>
                <w:spacing w:val="-3"/>
                <w:sz w:val="18"/>
              </w:rPr>
              <w:t xml:space="preserve"> </w:t>
            </w:r>
            <w:r>
              <w:rPr>
                <w:sz w:val="18"/>
              </w:rPr>
              <w:t>have</w:t>
            </w:r>
            <w:r>
              <w:rPr>
                <w:spacing w:val="-3"/>
                <w:sz w:val="18"/>
              </w:rPr>
              <w:t xml:space="preserve"> </w:t>
            </w:r>
            <w:r>
              <w:rPr>
                <w:sz w:val="18"/>
              </w:rPr>
              <w:t>utilised</w:t>
            </w:r>
            <w:r>
              <w:rPr>
                <w:spacing w:val="-3"/>
                <w:sz w:val="18"/>
              </w:rPr>
              <w:t xml:space="preserve"> </w:t>
            </w:r>
            <w:r>
              <w:rPr>
                <w:sz w:val="18"/>
              </w:rPr>
              <w:t>data</w:t>
            </w:r>
            <w:r>
              <w:rPr>
                <w:spacing w:val="-6"/>
                <w:sz w:val="18"/>
              </w:rPr>
              <w:t xml:space="preserve"> </w:t>
            </w:r>
            <w:r>
              <w:rPr>
                <w:sz w:val="18"/>
              </w:rPr>
              <w:t>from</w:t>
            </w:r>
            <w:r>
              <w:rPr>
                <w:spacing w:val="-4"/>
                <w:sz w:val="18"/>
              </w:rPr>
              <w:t xml:space="preserve"> </w:t>
            </w:r>
            <w:r>
              <w:rPr>
                <w:sz w:val="18"/>
              </w:rPr>
              <w:t>the</w:t>
            </w:r>
            <w:r>
              <w:rPr>
                <w:spacing w:val="-3"/>
                <w:sz w:val="18"/>
              </w:rPr>
              <w:t xml:space="preserve"> </w:t>
            </w:r>
            <w:r>
              <w:rPr>
                <w:sz w:val="18"/>
              </w:rPr>
              <w:t>results</w:t>
            </w:r>
            <w:r>
              <w:rPr>
                <w:spacing w:val="-3"/>
                <w:sz w:val="18"/>
              </w:rPr>
              <w:t xml:space="preserve"> </w:t>
            </w:r>
            <w:r>
              <w:rPr>
                <w:sz w:val="18"/>
              </w:rPr>
              <w:t>of</w:t>
            </w:r>
            <w:r>
              <w:rPr>
                <w:spacing w:val="-4"/>
                <w:sz w:val="18"/>
              </w:rPr>
              <w:t xml:space="preserve"> </w:t>
            </w:r>
            <w:r>
              <w:rPr>
                <w:sz w:val="18"/>
              </w:rPr>
              <w:t>SEPAKAT</w:t>
            </w:r>
            <w:r>
              <w:rPr>
                <w:spacing w:val="-4"/>
                <w:sz w:val="18"/>
              </w:rPr>
              <w:t xml:space="preserve"> </w:t>
            </w:r>
            <w:r>
              <w:rPr>
                <w:sz w:val="18"/>
              </w:rPr>
              <w:t>analysis</w:t>
            </w:r>
            <w:r>
              <w:rPr>
                <w:spacing w:val="-3"/>
                <w:sz w:val="18"/>
              </w:rPr>
              <w:t xml:space="preserve"> </w:t>
            </w:r>
            <w:r>
              <w:rPr>
                <w:sz w:val="18"/>
              </w:rPr>
              <w:t>for</w:t>
            </w:r>
            <w:r>
              <w:rPr>
                <w:spacing w:val="-3"/>
                <w:sz w:val="18"/>
              </w:rPr>
              <w:t xml:space="preserve"> </w:t>
            </w:r>
            <w:r>
              <w:rPr>
                <w:sz w:val="18"/>
              </w:rPr>
              <w:t>Minimum</w:t>
            </w:r>
            <w:r>
              <w:rPr>
                <w:spacing w:val="-4"/>
                <w:sz w:val="18"/>
              </w:rPr>
              <w:t xml:space="preserve"> </w:t>
            </w:r>
            <w:r>
              <w:rPr>
                <w:sz w:val="18"/>
              </w:rPr>
              <w:t>Service Standards planning.</w:t>
            </w:r>
          </w:p>
        </w:tc>
      </w:tr>
      <w:tr w:rsidR="00BC24A8" w14:paraId="56502B4D" w14:textId="77777777">
        <w:trPr>
          <w:trHeight w:val="1031"/>
        </w:trPr>
        <w:tc>
          <w:tcPr>
            <w:tcW w:w="1438" w:type="dxa"/>
            <w:tcBorders>
              <w:top w:val="single" w:sz="4" w:space="0" w:color="BEBEBE"/>
              <w:bottom w:val="single" w:sz="4" w:space="0" w:color="BEBEBE"/>
            </w:tcBorders>
          </w:tcPr>
          <w:p w14:paraId="59FD5A5F" w14:textId="77777777" w:rsidR="00BC24A8" w:rsidRDefault="00000000">
            <w:pPr>
              <w:pStyle w:val="TableParagraph"/>
              <w:spacing w:before="116"/>
              <w:ind w:left="115" w:right="37"/>
              <w:rPr>
                <w:sz w:val="18"/>
              </w:rPr>
            </w:pPr>
            <w:r>
              <w:rPr>
                <w:spacing w:val="-2"/>
                <w:sz w:val="18"/>
              </w:rPr>
              <w:t>Operational</w:t>
            </w:r>
            <w:r>
              <w:rPr>
                <w:sz w:val="18"/>
              </w:rPr>
              <w:t xml:space="preserve"> </w:t>
            </w:r>
            <w:r>
              <w:rPr>
                <w:spacing w:val="-2"/>
                <w:sz w:val="18"/>
              </w:rPr>
              <w:t>impact</w:t>
            </w:r>
          </w:p>
        </w:tc>
        <w:tc>
          <w:tcPr>
            <w:tcW w:w="7661" w:type="dxa"/>
            <w:tcBorders>
              <w:top w:val="single" w:sz="4" w:space="0" w:color="BEBEBE"/>
              <w:bottom w:val="single" w:sz="4" w:space="0" w:color="BEBEBE"/>
            </w:tcBorders>
          </w:tcPr>
          <w:p w14:paraId="6780E14D" w14:textId="77777777" w:rsidR="00BC24A8" w:rsidRDefault="00000000">
            <w:pPr>
              <w:pStyle w:val="TableParagraph"/>
              <w:numPr>
                <w:ilvl w:val="0"/>
                <w:numId w:val="97"/>
              </w:numPr>
              <w:tabs>
                <w:tab w:val="left" w:pos="907"/>
              </w:tabs>
              <w:spacing w:before="56"/>
              <w:ind w:right="117"/>
              <w:rPr>
                <w:sz w:val="18"/>
              </w:rPr>
            </w:pPr>
            <w:r>
              <w:rPr>
                <w:sz w:val="18"/>
              </w:rPr>
              <w:t>In</w:t>
            </w:r>
            <w:r>
              <w:rPr>
                <w:spacing w:val="-4"/>
                <w:sz w:val="18"/>
              </w:rPr>
              <w:t xml:space="preserve"> </w:t>
            </w:r>
            <w:r>
              <w:rPr>
                <w:sz w:val="18"/>
              </w:rPr>
              <w:t>the</w:t>
            </w:r>
            <w:r>
              <w:rPr>
                <w:spacing w:val="-4"/>
                <w:sz w:val="18"/>
              </w:rPr>
              <w:t xml:space="preserve"> </w:t>
            </w:r>
            <w:r>
              <w:rPr>
                <w:sz w:val="18"/>
              </w:rPr>
              <w:t>2026</w:t>
            </w:r>
            <w:r>
              <w:rPr>
                <w:spacing w:val="-4"/>
                <w:sz w:val="18"/>
              </w:rPr>
              <w:t xml:space="preserve"> </w:t>
            </w:r>
            <w:r>
              <w:rPr>
                <w:sz w:val="18"/>
              </w:rPr>
              <w:t>Minimum</w:t>
            </w:r>
            <w:r>
              <w:rPr>
                <w:spacing w:val="-5"/>
                <w:sz w:val="18"/>
              </w:rPr>
              <w:t xml:space="preserve"> </w:t>
            </w:r>
            <w:r>
              <w:rPr>
                <w:sz w:val="18"/>
              </w:rPr>
              <w:t>Service</w:t>
            </w:r>
            <w:r>
              <w:rPr>
                <w:spacing w:val="-4"/>
                <w:sz w:val="18"/>
              </w:rPr>
              <w:t xml:space="preserve"> </w:t>
            </w:r>
            <w:r>
              <w:rPr>
                <w:sz w:val="18"/>
              </w:rPr>
              <w:t>Standards</w:t>
            </w:r>
            <w:r>
              <w:rPr>
                <w:spacing w:val="-4"/>
                <w:sz w:val="18"/>
              </w:rPr>
              <w:t xml:space="preserve"> </w:t>
            </w:r>
            <w:r>
              <w:rPr>
                <w:sz w:val="18"/>
              </w:rPr>
              <w:t>planning,</w:t>
            </w:r>
            <w:r>
              <w:rPr>
                <w:spacing w:val="-5"/>
                <w:sz w:val="18"/>
              </w:rPr>
              <w:t xml:space="preserve"> </w:t>
            </w:r>
            <w:r>
              <w:rPr>
                <w:sz w:val="18"/>
              </w:rPr>
              <w:t>5</w:t>
            </w:r>
            <w:r>
              <w:rPr>
                <w:spacing w:val="-4"/>
                <w:sz w:val="18"/>
              </w:rPr>
              <w:t xml:space="preserve"> </w:t>
            </w:r>
            <w:r>
              <w:rPr>
                <w:sz w:val="18"/>
              </w:rPr>
              <w:t>Minimum</w:t>
            </w:r>
            <w:r>
              <w:rPr>
                <w:spacing w:val="-5"/>
                <w:sz w:val="18"/>
              </w:rPr>
              <w:t xml:space="preserve"> </w:t>
            </w:r>
            <w:r>
              <w:rPr>
                <w:sz w:val="18"/>
              </w:rPr>
              <w:t>Service</w:t>
            </w:r>
            <w:r>
              <w:rPr>
                <w:spacing w:val="-4"/>
                <w:sz w:val="18"/>
              </w:rPr>
              <w:t xml:space="preserve"> </w:t>
            </w:r>
            <w:r>
              <w:rPr>
                <w:sz w:val="18"/>
              </w:rPr>
              <w:t>Standards-supporting Provincial Agencies (Health Office, Social Affair Office, Public Works Office, Housing and Settlement Office, and Public Order, Peace, and Community Protection) have aligned the needs calculation form with the 2026 Provincial Agencies Work Plan.</w:t>
            </w:r>
          </w:p>
        </w:tc>
      </w:tr>
    </w:tbl>
    <w:p w14:paraId="5C9A0B21" w14:textId="77777777" w:rsidR="00BC24A8" w:rsidRDefault="00BC24A8">
      <w:pPr>
        <w:pStyle w:val="BodyText"/>
        <w:spacing w:before="24"/>
        <w:rPr>
          <w:rFonts w:ascii="Calibri"/>
          <w:b/>
        </w:rPr>
      </w:pPr>
    </w:p>
    <w:p w14:paraId="1CA9C8E2" w14:textId="77777777" w:rsidR="00BC24A8" w:rsidRDefault="00000000">
      <w:pPr>
        <w:spacing w:before="1"/>
        <w:ind w:left="143"/>
        <w:rPr>
          <w:rFonts w:ascii="Calibri"/>
          <w:b/>
        </w:rPr>
      </w:pPr>
      <w:r>
        <w:rPr>
          <w:rFonts w:ascii="Calibri"/>
          <w:b/>
          <w:color w:val="767070"/>
        </w:rPr>
        <w:t>PFM</w:t>
      </w:r>
      <w:r>
        <w:rPr>
          <w:rFonts w:ascii="Calibri"/>
          <w:b/>
          <w:color w:val="767070"/>
          <w:spacing w:val="-4"/>
        </w:rPr>
        <w:t xml:space="preserve"> </w:t>
      </w:r>
      <w:r>
        <w:rPr>
          <w:rFonts w:ascii="Calibri"/>
          <w:b/>
          <w:color w:val="767070"/>
          <w:spacing w:val="-2"/>
        </w:rPr>
        <w:t>Theme</w:t>
      </w:r>
    </w:p>
    <w:p w14:paraId="388C3C0D" w14:textId="77777777" w:rsidR="00BC24A8" w:rsidRDefault="00BC24A8">
      <w:pPr>
        <w:pStyle w:val="BodyText"/>
        <w:spacing w:before="10"/>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423"/>
        <w:gridCol w:w="7675"/>
      </w:tblGrid>
      <w:tr w:rsidR="00BC24A8" w14:paraId="4FB85255" w14:textId="77777777">
        <w:trPr>
          <w:trHeight w:val="412"/>
        </w:trPr>
        <w:tc>
          <w:tcPr>
            <w:tcW w:w="1423" w:type="dxa"/>
            <w:tcBorders>
              <w:bottom w:val="single" w:sz="4" w:space="0" w:color="BEBEBE"/>
            </w:tcBorders>
            <w:shd w:val="clear" w:color="auto" w:fill="17365A"/>
          </w:tcPr>
          <w:p w14:paraId="76E8902B" w14:textId="77777777" w:rsidR="00BC24A8" w:rsidRDefault="00000000">
            <w:pPr>
              <w:pStyle w:val="TableParagraph"/>
              <w:spacing w:before="85"/>
              <w:ind w:left="115"/>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675" w:type="dxa"/>
            <w:tcBorders>
              <w:bottom w:val="single" w:sz="4" w:space="0" w:color="BEBEBE"/>
            </w:tcBorders>
            <w:shd w:val="clear" w:color="auto" w:fill="17365A"/>
          </w:tcPr>
          <w:p w14:paraId="52EFAC78" w14:textId="77777777" w:rsidR="00BC24A8" w:rsidRDefault="00000000">
            <w:pPr>
              <w:pStyle w:val="TableParagraph"/>
              <w:spacing w:before="85"/>
              <w:ind w:left="202"/>
              <w:rPr>
                <w:rFonts w:ascii="Calibri"/>
                <w:b/>
                <w:sz w:val="20"/>
              </w:rPr>
            </w:pPr>
            <w:r>
              <w:rPr>
                <w:rFonts w:ascii="Calibri"/>
                <w:b/>
                <w:color w:val="FFFFFF"/>
                <w:spacing w:val="-2"/>
                <w:sz w:val="20"/>
              </w:rPr>
              <w:t>Impact</w:t>
            </w:r>
          </w:p>
        </w:tc>
      </w:tr>
      <w:tr w:rsidR="00BC24A8" w14:paraId="7B7F6B9D" w14:textId="77777777">
        <w:trPr>
          <w:trHeight w:val="1113"/>
        </w:trPr>
        <w:tc>
          <w:tcPr>
            <w:tcW w:w="1423" w:type="dxa"/>
            <w:tcBorders>
              <w:top w:val="single" w:sz="4" w:space="0" w:color="BEBEBE"/>
              <w:bottom w:val="single" w:sz="4" w:space="0" w:color="BEBEBE"/>
            </w:tcBorders>
          </w:tcPr>
          <w:p w14:paraId="6D3B5F71" w14:textId="77777777" w:rsidR="00BC24A8" w:rsidRDefault="00000000">
            <w:pPr>
              <w:pStyle w:val="TableParagraph"/>
              <w:spacing w:before="119"/>
              <w:ind w:left="115"/>
              <w:rPr>
                <w:sz w:val="18"/>
              </w:rPr>
            </w:pPr>
            <w:r>
              <w:rPr>
                <w:spacing w:val="-2"/>
                <w:sz w:val="18"/>
              </w:rPr>
              <w:t>Methodological</w:t>
            </w:r>
            <w:r>
              <w:rPr>
                <w:sz w:val="18"/>
              </w:rPr>
              <w:t xml:space="preserve"> </w:t>
            </w:r>
            <w:r>
              <w:rPr>
                <w:spacing w:val="-2"/>
                <w:sz w:val="18"/>
              </w:rPr>
              <w:t>impact</w:t>
            </w:r>
          </w:p>
        </w:tc>
        <w:tc>
          <w:tcPr>
            <w:tcW w:w="7675" w:type="dxa"/>
            <w:tcBorders>
              <w:top w:val="single" w:sz="4" w:space="0" w:color="BEBEBE"/>
              <w:bottom w:val="single" w:sz="4" w:space="0" w:color="BEBEBE"/>
            </w:tcBorders>
          </w:tcPr>
          <w:p w14:paraId="19C966B7" w14:textId="77777777" w:rsidR="00BC24A8" w:rsidRDefault="00000000">
            <w:pPr>
              <w:pStyle w:val="TableParagraph"/>
              <w:numPr>
                <w:ilvl w:val="0"/>
                <w:numId w:val="96"/>
              </w:numPr>
              <w:tabs>
                <w:tab w:val="left" w:pos="533"/>
              </w:tabs>
              <w:spacing w:before="119"/>
              <w:ind w:right="361"/>
              <w:rPr>
                <w:sz w:val="18"/>
              </w:rPr>
            </w:pPr>
            <w:r>
              <w:rPr>
                <w:sz w:val="18"/>
              </w:rPr>
              <w:t>There</w:t>
            </w:r>
            <w:r>
              <w:rPr>
                <w:spacing w:val="-3"/>
                <w:sz w:val="18"/>
              </w:rPr>
              <w:t xml:space="preserve"> </w:t>
            </w:r>
            <w:r>
              <w:rPr>
                <w:sz w:val="18"/>
              </w:rPr>
              <w:t>is</w:t>
            </w:r>
            <w:r>
              <w:rPr>
                <w:spacing w:val="-3"/>
                <w:sz w:val="18"/>
              </w:rPr>
              <w:t xml:space="preserve"> </w:t>
            </w:r>
            <w:r>
              <w:rPr>
                <w:sz w:val="18"/>
              </w:rPr>
              <w:t>one</w:t>
            </w:r>
            <w:r>
              <w:rPr>
                <w:spacing w:val="-3"/>
                <w:sz w:val="18"/>
              </w:rPr>
              <w:t xml:space="preserve"> </w:t>
            </w:r>
            <w:r>
              <w:rPr>
                <w:sz w:val="18"/>
              </w:rPr>
              <w:t>(1)</w:t>
            </w:r>
            <w:r>
              <w:rPr>
                <w:spacing w:val="-4"/>
                <w:sz w:val="18"/>
              </w:rPr>
              <w:t xml:space="preserve"> </w:t>
            </w:r>
            <w:r>
              <w:rPr>
                <w:sz w:val="18"/>
              </w:rPr>
              <w:t>trained</w:t>
            </w:r>
            <w:r>
              <w:rPr>
                <w:spacing w:val="-3"/>
                <w:sz w:val="18"/>
              </w:rPr>
              <w:t xml:space="preserve"> </w:t>
            </w:r>
            <w:r>
              <w:rPr>
                <w:sz w:val="18"/>
              </w:rPr>
              <w:t>facilitator</w:t>
            </w:r>
            <w:r>
              <w:rPr>
                <w:spacing w:val="-4"/>
                <w:sz w:val="18"/>
              </w:rPr>
              <w:t xml:space="preserve"> </w:t>
            </w:r>
            <w:r>
              <w:rPr>
                <w:sz w:val="18"/>
              </w:rPr>
              <w:t>available</w:t>
            </w:r>
            <w:r>
              <w:rPr>
                <w:spacing w:val="-3"/>
                <w:sz w:val="18"/>
              </w:rPr>
              <w:t xml:space="preserve"> </w:t>
            </w:r>
            <w:r>
              <w:rPr>
                <w:sz w:val="18"/>
              </w:rPr>
              <w:t>to</w:t>
            </w:r>
            <w:r>
              <w:rPr>
                <w:spacing w:val="-4"/>
                <w:sz w:val="18"/>
              </w:rPr>
              <w:t xml:space="preserve"> </w:t>
            </w:r>
            <w:r>
              <w:rPr>
                <w:sz w:val="18"/>
              </w:rPr>
              <w:t>evaluate</w:t>
            </w:r>
            <w:r>
              <w:rPr>
                <w:spacing w:val="-3"/>
                <w:sz w:val="18"/>
              </w:rPr>
              <w:t xml:space="preserve"> </w:t>
            </w:r>
            <w:r>
              <w:rPr>
                <w:sz w:val="18"/>
              </w:rPr>
              <w:t>the</w:t>
            </w:r>
            <w:r>
              <w:rPr>
                <w:spacing w:val="-3"/>
                <w:sz w:val="18"/>
              </w:rPr>
              <w:t xml:space="preserve"> </w:t>
            </w:r>
            <w:r>
              <w:rPr>
                <w:sz w:val="18"/>
              </w:rPr>
              <w:t>alignment</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District/City</w:t>
            </w:r>
            <w:r>
              <w:rPr>
                <w:spacing w:val="-3"/>
                <w:sz w:val="18"/>
              </w:rPr>
              <w:t xml:space="preserve"> </w:t>
            </w:r>
            <w:r>
              <w:rPr>
                <w:sz w:val="18"/>
              </w:rPr>
              <w:t>PPAS KUA document with the National PPKF KEM.</w:t>
            </w:r>
          </w:p>
          <w:p w14:paraId="5E764D46" w14:textId="77777777" w:rsidR="00BC24A8" w:rsidRDefault="00000000">
            <w:pPr>
              <w:pStyle w:val="TableParagraph"/>
              <w:numPr>
                <w:ilvl w:val="0"/>
                <w:numId w:val="96"/>
              </w:numPr>
              <w:tabs>
                <w:tab w:val="left" w:pos="533"/>
              </w:tabs>
              <w:ind w:right="631"/>
              <w:rPr>
                <w:sz w:val="18"/>
              </w:rPr>
            </w:pPr>
            <w:r>
              <w:rPr>
                <w:sz w:val="18"/>
              </w:rPr>
              <w:t>A</w:t>
            </w:r>
            <w:r>
              <w:rPr>
                <w:spacing w:val="-3"/>
                <w:sz w:val="18"/>
              </w:rPr>
              <w:t xml:space="preserve"> </w:t>
            </w:r>
            <w:r>
              <w:rPr>
                <w:sz w:val="18"/>
              </w:rPr>
              <w:t>form</w:t>
            </w:r>
            <w:r>
              <w:rPr>
                <w:spacing w:val="-3"/>
                <w:sz w:val="18"/>
              </w:rPr>
              <w:t xml:space="preserve"> </w:t>
            </w:r>
            <w:r>
              <w:rPr>
                <w:sz w:val="18"/>
              </w:rPr>
              <w:t>for</w:t>
            </w:r>
            <w:r>
              <w:rPr>
                <w:spacing w:val="-3"/>
                <w:sz w:val="18"/>
              </w:rPr>
              <w:t xml:space="preserve"> </w:t>
            </w:r>
            <w:r>
              <w:rPr>
                <w:sz w:val="18"/>
              </w:rPr>
              <w:t>calculating</w:t>
            </w:r>
            <w:r>
              <w:rPr>
                <w:spacing w:val="-3"/>
                <w:sz w:val="18"/>
              </w:rPr>
              <w:t xml:space="preserve"> </w:t>
            </w:r>
            <w:r>
              <w:rPr>
                <w:sz w:val="18"/>
              </w:rPr>
              <w:t>the</w:t>
            </w:r>
            <w:r>
              <w:rPr>
                <w:spacing w:val="-3"/>
                <w:sz w:val="18"/>
              </w:rPr>
              <w:t xml:space="preserve"> </w:t>
            </w:r>
            <w:r>
              <w:rPr>
                <w:sz w:val="18"/>
              </w:rPr>
              <w:t>Minimum</w:t>
            </w:r>
            <w:r>
              <w:rPr>
                <w:spacing w:val="-3"/>
                <w:sz w:val="18"/>
              </w:rPr>
              <w:t xml:space="preserve"> </w:t>
            </w:r>
            <w:r>
              <w:rPr>
                <w:sz w:val="18"/>
              </w:rPr>
              <w:t>Service</w:t>
            </w:r>
            <w:r>
              <w:rPr>
                <w:spacing w:val="-3"/>
                <w:sz w:val="18"/>
              </w:rPr>
              <w:t xml:space="preserve"> </w:t>
            </w:r>
            <w:r>
              <w:rPr>
                <w:sz w:val="18"/>
              </w:rPr>
              <w:t>Standards</w:t>
            </w:r>
            <w:r>
              <w:rPr>
                <w:spacing w:val="-3"/>
                <w:sz w:val="18"/>
              </w:rPr>
              <w:t xml:space="preserve"> </w:t>
            </w:r>
            <w:r>
              <w:rPr>
                <w:sz w:val="18"/>
              </w:rPr>
              <w:t>needed</w:t>
            </w:r>
            <w:r>
              <w:rPr>
                <w:spacing w:val="-3"/>
                <w:sz w:val="18"/>
              </w:rPr>
              <w:t xml:space="preserve"> </w:t>
            </w:r>
            <w:r>
              <w:rPr>
                <w:sz w:val="18"/>
              </w:rPr>
              <w:t>in</w:t>
            </w:r>
            <w:r>
              <w:rPr>
                <w:spacing w:val="-3"/>
                <w:sz w:val="18"/>
              </w:rPr>
              <w:t xml:space="preserve"> </w:t>
            </w:r>
            <w:r>
              <w:rPr>
                <w:sz w:val="18"/>
              </w:rPr>
              <w:t>2026</w:t>
            </w:r>
            <w:r>
              <w:rPr>
                <w:spacing w:val="-3"/>
                <w:sz w:val="18"/>
              </w:rPr>
              <w:t xml:space="preserve"> </w:t>
            </w:r>
            <w:r>
              <w:rPr>
                <w:sz w:val="18"/>
              </w:rPr>
              <w:t>in</w:t>
            </w:r>
            <w:r>
              <w:rPr>
                <w:spacing w:val="-3"/>
                <w:sz w:val="18"/>
              </w:rPr>
              <w:t xml:space="preserve"> </w:t>
            </w:r>
            <w:r>
              <w:rPr>
                <w:sz w:val="18"/>
              </w:rPr>
              <w:t>line</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SSH (Standard Unit Prices) is available.</w:t>
            </w:r>
          </w:p>
        </w:tc>
      </w:tr>
      <w:tr w:rsidR="00BC24A8" w14:paraId="314A159B" w14:textId="77777777">
        <w:trPr>
          <w:trHeight w:val="1113"/>
        </w:trPr>
        <w:tc>
          <w:tcPr>
            <w:tcW w:w="1423" w:type="dxa"/>
            <w:tcBorders>
              <w:top w:val="single" w:sz="4" w:space="0" w:color="BEBEBE"/>
              <w:bottom w:val="single" w:sz="4" w:space="0" w:color="BEBEBE"/>
            </w:tcBorders>
          </w:tcPr>
          <w:p w14:paraId="62506988" w14:textId="77777777" w:rsidR="00BC24A8" w:rsidRDefault="00000000">
            <w:pPr>
              <w:pStyle w:val="TableParagraph"/>
              <w:spacing w:before="119"/>
              <w:ind w:left="115" w:right="22"/>
              <w:rPr>
                <w:sz w:val="18"/>
              </w:rPr>
            </w:pPr>
            <w:r>
              <w:rPr>
                <w:spacing w:val="-2"/>
                <w:sz w:val="18"/>
              </w:rPr>
              <w:t>Ecosystem</w:t>
            </w:r>
            <w:r>
              <w:rPr>
                <w:sz w:val="18"/>
              </w:rPr>
              <w:t xml:space="preserve"> </w:t>
            </w:r>
            <w:r>
              <w:rPr>
                <w:spacing w:val="-2"/>
                <w:sz w:val="18"/>
              </w:rPr>
              <w:t>Impacts</w:t>
            </w:r>
          </w:p>
        </w:tc>
        <w:tc>
          <w:tcPr>
            <w:tcW w:w="7675" w:type="dxa"/>
            <w:tcBorders>
              <w:top w:val="single" w:sz="4" w:space="0" w:color="BEBEBE"/>
              <w:bottom w:val="single" w:sz="4" w:space="0" w:color="BEBEBE"/>
            </w:tcBorders>
          </w:tcPr>
          <w:p w14:paraId="41ED7E37" w14:textId="77777777" w:rsidR="00BC24A8" w:rsidRDefault="00000000">
            <w:pPr>
              <w:pStyle w:val="TableParagraph"/>
              <w:numPr>
                <w:ilvl w:val="0"/>
                <w:numId w:val="95"/>
              </w:numPr>
              <w:tabs>
                <w:tab w:val="left" w:pos="533"/>
              </w:tabs>
              <w:spacing w:before="119"/>
              <w:ind w:right="427"/>
              <w:rPr>
                <w:sz w:val="18"/>
              </w:rPr>
            </w:pPr>
            <w:r>
              <w:rPr>
                <w:sz w:val="18"/>
              </w:rPr>
              <w:t>Regional Regulation no. 2/2024 on Regional Taxes and Levies, Governor's Regulation no. 35/2024,</w:t>
            </w:r>
            <w:r>
              <w:rPr>
                <w:spacing w:val="-5"/>
                <w:sz w:val="18"/>
              </w:rPr>
              <w:t xml:space="preserve"> </w:t>
            </w:r>
            <w:r>
              <w:rPr>
                <w:sz w:val="18"/>
              </w:rPr>
              <w:t>and</w:t>
            </w:r>
            <w:r>
              <w:rPr>
                <w:spacing w:val="-4"/>
                <w:sz w:val="18"/>
              </w:rPr>
              <w:t xml:space="preserve"> </w:t>
            </w:r>
            <w:r>
              <w:rPr>
                <w:sz w:val="18"/>
              </w:rPr>
              <w:t>Governor's</w:t>
            </w:r>
            <w:r>
              <w:rPr>
                <w:spacing w:val="-4"/>
                <w:sz w:val="18"/>
              </w:rPr>
              <w:t xml:space="preserve"> </w:t>
            </w:r>
            <w:r>
              <w:rPr>
                <w:sz w:val="18"/>
              </w:rPr>
              <w:t>Regulation</w:t>
            </w:r>
            <w:r>
              <w:rPr>
                <w:spacing w:val="-4"/>
                <w:sz w:val="18"/>
              </w:rPr>
              <w:t xml:space="preserve"> </w:t>
            </w:r>
            <w:r>
              <w:rPr>
                <w:sz w:val="18"/>
              </w:rPr>
              <w:t>no.</w:t>
            </w:r>
            <w:r>
              <w:rPr>
                <w:spacing w:val="-5"/>
                <w:sz w:val="18"/>
              </w:rPr>
              <w:t xml:space="preserve"> </w:t>
            </w:r>
            <w:r>
              <w:rPr>
                <w:sz w:val="18"/>
              </w:rPr>
              <w:t>36/2024</w:t>
            </w:r>
            <w:r>
              <w:rPr>
                <w:spacing w:val="-4"/>
                <w:sz w:val="18"/>
              </w:rPr>
              <w:t xml:space="preserve"> </w:t>
            </w:r>
            <w:r>
              <w:rPr>
                <w:sz w:val="18"/>
              </w:rPr>
              <w:t>on</w:t>
            </w:r>
            <w:r>
              <w:rPr>
                <w:spacing w:val="-4"/>
                <w:sz w:val="18"/>
              </w:rPr>
              <w:t xml:space="preserve"> </w:t>
            </w:r>
            <w:r>
              <w:rPr>
                <w:sz w:val="18"/>
              </w:rPr>
              <w:t>Procedures</w:t>
            </w:r>
            <w:r>
              <w:rPr>
                <w:spacing w:val="-4"/>
                <w:sz w:val="18"/>
              </w:rPr>
              <w:t xml:space="preserve"> </w:t>
            </w:r>
            <w:r>
              <w:rPr>
                <w:sz w:val="18"/>
              </w:rPr>
              <w:t>for</w:t>
            </w:r>
            <w:r>
              <w:rPr>
                <w:spacing w:val="-2"/>
                <w:sz w:val="18"/>
              </w:rPr>
              <w:t xml:space="preserve"> </w:t>
            </w:r>
            <w:r>
              <w:rPr>
                <w:sz w:val="18"/>
              </w:rPr>
              <w:t>Levy</w:t>
            </w:r>
            <w:r>
              <w:rPr>
                <w:spacing w:val="-4"/>
                <w:sz w:val="18"/>
              </w:rPr>
              <w:t xml:space="preserve"> </w:t>
            </w:r>
            <w:r>
              <w:rPr>
                <w:sz w:val="18"/>
              </w:rPr>
              <w:t>and</w:t>
            </w:r>
            <w:r>
              <w:rPr>
                <w:spacing w:val="-4"/>
                <w:sz w:val="18"/>
              </w:rPr>
              <w:t xml:space="preserve"> </w:t>
            </w:r>
            <w:r>
              <w:rPr>
                <w:sz w:val="18"/>
              </w:rPr>
              <w:t>Regional</w:t>
            </w:r>
            <w:r>
              <w:rPr>
                <w:spacing w:val="-3"/>
                <w:sz w:val="18"/>
              </w:rPr>
              <w:t xml:space="preserve"> </w:t>
            </w:r>
            <w:r>
              <w:rPr>
                <w:sz w:val="18"/>
              </w:rPr>
              <w:t>Taxes.</w:t>
            </w:r>
          </w:p>
          <w:p w14:paraId="4F0FEED4" w14:textId="77777777" w:rsidR="00BC24A8" w:rsidRDefault="00000000">
            <w:pPr>
              <w:pStyle w:val="TableParagraph"/>
              <w:numPr>
                <w:ilvl w:val="0"/>
                <w:numId w:val="95"/>
              </w:numPr>
              <w:tabs>
                <w:tab w:val="left" w:pos="533"/>
              </w:tabs>
              <w:ind w:right="882"/>
              <w:rPr>
                <w:sz w:val="18"/>
              </w:rPr>
            </w:pPr>
            <w:r>
              <w:rPr>
                <w:sz w:val="18"/>
              </w:rPr>
              <w:t>MoU</w:t>
            </w:r>
            <w:r>
              <w:rPr>
                <w:spacing w:val="-4"/>
                <w:sz w:val="18"/>
              </w:rPr>
              <w:t xml:space="preserve"> </w:t>
            </w:r>
            <w:r>
              <w:rPr>
                <w:sz w:val="18"/>
              </w:rPr>
              <w:t>and</w:t>
            </w:r>
            <w:r>
              <w:rPr>
                <w:spacing w:val="-4"/>
                <w:sz w:val="18"/>
              </w:rPr>
              <w:t xml:space="preserve"> </w:t>
            </w:r>
            <w:r>
              <w:rPr>
                <w:sz w:val="18"/>
              </w:rPr>
              <w:t>Collaboration</w:t>
            </w:r>
            <w:r>
              <w:rPr>
                <w:spacing w:val="-4"/>
                <w:sz w:val="18"/>
              </w:rPr>
              <w:t xml:space="preserve"> </w:t>
            </w:r>
            <w:r>
              <w:rPr>
                <w:sz w:val="18"/>
              </w:rPr>
              <w:t>Agreement</w:t>
            </w:r>
            <w:r>
              <w:rPr>
                <w:spacing w:val="-3"/>
                <w:sz w:val="18"/>
              </w:rPr>
              <w:t xml:space="preserve"> </w:t>
            </w:r>
            <w:r>
              <w:rPr>
                <w:sz w:val="18"/>
              </w:rPr>
              <w:t>between</w:t>
            </w:r>
            <w:r>
              <w:rPr>
                <w:spacing w:val="-4"/>
                <w:sz w:val="18"/>
              </w:rPr>
              <w:t xml:space="preserve"> </w:t>
            </w:r>
            <w:r>
              <w:rPr>
                <w:sz w:val="18"/>
              </w:rPr>
              <w:t>the</w:t>
            </w:r>
            <w:r>
              <w:rPr>
                <w:spacing w:val="-4"/>
                <w:sz w:val="18"/>
              </w:rPr>
              <w:t xml:space="preserve"> </w:t>
            </w:r>
            <w:r>
              <w:rPr>
                <w:sz w:val="18"/>
              </w:rPr>
              <w:t>Province</w:t>
            </w:r>
            <w:r>
              <w:rPr>
                <w:spacing w:val="-4"/>
                <w:sz w:val="18"/>
              </w:rPr>
              <w:t xml:space="preserve"> </w:t>
            </w:r>
            <w:r>
              <w:rPr>
                <w:sz w:val="18"/>
              </w:rPr>
              <w:t>and</w:t>
            </w:r>
            <w:r>
              <w:rPr>
                <w:spacing w:val="-4"/>
                <w:sz w:val="18"/>
              </w:rPr>
              <w:t xml:space="preserve"> </w:t>
            </w:r>
            <w:r>
              <w:rPr>
                <w:sz w:val="18"/>
              </w:rPr>
              <w:t>Cities</w:t>
            </w:r>
            <w:r>
              <w:rPr>
                <w:spacing w:val="-4"/>
                <w:sz w:val="18"/>
              </w:rPr>
              <w:t xml:space="preserve"> </w:t>
            </w:r>
            <w:r>
              <w:rPr>
                <w:sz w:val="18"/>
              </w:rPr>
              <w:t>on</w:t>
            </w:r>
            <w:r>
              <w:rPr>
                <w:spacing w:val="-4"/>
                <w:sz w:val="18"/>
              </w:rPr>
              <w:t xml:space="preserve"> </w:t>
            </w:r>
            <w:r>
              <w:rPr>
                <w:sz w:val="18"/>
              </w:rPr>
              <w:t>Cooperation</w:t>
            </w:r>
            <w:r>
              <w:rPr>
                <w:spacing w:val="-4"/>
                <w:sz w:val="18"/>
              </w:rPr>
              <w:t xml:space="preserve"> </w:t>
            </w:r>
            <w:r>
              <w:rPr>
                <w:sz w:val="18"/>
              </w:rPr>
              <w:t>in Optimising Tax Collection and Synergy of Additional Tax Levy (opsen) Collection.</w:t>
            </w:r>
          </w:p>
        </w:tc>
      </w:tr>
      <w:tr w:rsidR="00BC24A8" w14:paraId="4266DDE8" w14:textId="77777777">
        <w:trPr>
          <w:trHeight w:val="673"/>
        </w:trPr>
        <w:tc>
          <w:tcPr>
            <w:tcW w:w="1423" w:type="dxa"/>
            <w:tcBorders>
              <w:top w:val="single" w:sz="4" w:space="0" w:color="BEBEBE"/>
              <w:bottom w:val="single" w:sz="4" w:space="0" w:color="BEBEBE"/>
            </w:tcBorders>
          </w:tcPr>
          <w:p w14:paraId="022BA5F1" w14:textId="77777777" w:rsidR="00BC24A8" w:rsidRDefault="00000000">
            <w:pPr>
              <w:pStyle w:val="TableParagraph"/>
              <w:spacing w:before="116"/>
              <w:ind w:left="115" w:right="22"/>
              <w:rPr>
                <w:sz w:val="18"/>
              </w:rPr>
            </w:pPr>
            <w:r>
              <w:rPr>
                <w:spacing w:val="-2"/>
                <w:sz w:val="18"/>
              </w:rPr>
              <w:t>Operational</w:t>
            </w:r>
            <w:r>
              <w:rPr>
                <w:sz w:val="18"/>
              </w:rPr>
              <w:t xml:space="preserve"> </w:t>
            </w:r>
            <w:r>
              <w:rPr>
                <w:spacing w:val="-2"/>
                <w:sz w:val="18"/>
              </w:rPr>
              <w:t>impact</w:t>
            </w:r>
          </w:p>
        </w:tc>
        <w:tc>
          <w:tcPr>
            <w:tcW w:w="7675" w:type="dxa"/>
            <w:tcBorders>
              <w:top w:val="single" w:sz="4" w:space="0" w:color="BEBEBE"/>
              <w:bottom w:val="single" w:sz="4" w:space="0" w:color="BEBEBE"/>
            </w:tcBorders>
          </w:tcPr>
          <w:p w14:paraId="5F89BEBA" w14:textId="77777777" w:rsidR="00BC24A8" w:rsidRDefault="00000000">
            <w:pPr>
              <w:pStyle w:val="TableParagraph"/>
              <w:numPr>
                <w:ilvl w:val="0"/>
                <w:numId w:val="94"/>
              </w:numPr>
              <w:tabs>
                <w:tab w:val="left" w:pos="533"/>
              </w:tabs>
              <w:spacing w:before="116"/>
              <w:ind w:right="428" w:hanging="361"/>
              <w:rPr>
                <w:sz w:val="18"/>
              </w:rPr>
            </w:pPr>
            <w:r>
              <w:rPr>
                <w:sz w:val="18"/>
              </w:rPr>
              <w:t>BPKAD</w:t>
            </w:r>
            <w:r>
              <w:rPr>
                <w:spacing w:val="-3"/>
                <w:sz w:val="18"/>
              </w:rPr>
              <w:t xml:space="preserve"> </w:t>
            </w:r>
            <w:r>
              <w:rPr>
                <w:sz w:val="18"/>
              </w:rPr>
              <w:t>independently</w:t>
            </w:r>
            <w:r>
              <w:rPr>
                <w:spacing w:val="-3"/>
                <w:sz w:val="18"/>
              </w:rPr>
              <w:t xml:space="preserve"> </w:t>
            </w:r>
            <w:r>
              <w:rPr>
                <w:sz w:val="18"/>
              </w:rPr>
              <w:t>socialises</w:t>
            </w:r>
            <w:r>
              <w:rPr>
                <w:spacing w:val="-3"/>
                <w:sz w:val="18"/>
              </w:rPr>
              <w:t xml:space="preserve"> </w:t>
            </w:r>
            <w:r>
              <w:rPr>
                <w:sz w:val="18"/>
              </w:rPr>
              <w:t>and</w:t>
            </w:r>
            <w:r>
              <w:rPr>
                <w:spacing w:val="-3"/>
                <w:sz w:val="18"/>
              </w:rPr>
              <w:t xml:space="preserve"> </w:t>
            </w:r>
            <w:r>
              <w:rPr>
                <w:sz w:val="18"/>
              </w:rPr>
              <w:t>provides</w:t>
            </w:r>
            <w:r>
              <w:rPr>
                <w:spacing w:val="-3"/>
                <w:sz w:val="18"/>
              </w:rPr>
              <w:t xml:space="preserve"> </w:t>
            </w:r>
            <w:r>
              <w:rPr>
                <w:sz w:val="18"/>
              </w:rPr>
              <w:t>guidance</w:t>
            </w:r>
            <w:r>
              <w:rPr>
                <w:spacing w:val="-3"/>
                <w:sz w:val="18"/>
              </w:rPr>
              <w:t xml:space="preserve"> </w:t>
            </w:r>
            <w:r>
              <w:rPr>
                <w:sz w:val="18"/>
              </w:rPr>
              <w:t>to</w:t>
            </w:r>
            <w:r>
              <w:rPr>
                <w:spacing w:val="-4"/>
                <w:sz w:val="18"/>
              </w:rPr>
              <w:t xml:space="preserve"> </w:t>
            </w:r>
            <w:r>
              <w:rPr>
                <w:sz w:val="18"/>
              </w:rPr>
              <w:t>11</w:t>
            </w:r>
            <w:r>
              <w:rPr>
                <w:spacing w:val="-3"/>
                <w:sz w:val="18"/>
              </w:rPr>
              <w:t xml:space="preserve"> </w:t>
            </w:r>
            <w:r>
              <w:rPr>
                <w:sz w:val="18"/>
              </w:rPr>
              <w:t>districts/cities</w:t>
            </w:r>
            <w:r>
              <w:rPr>
                <w:spacing w:val="-3"/>
                <w:sz w:val="18"/>
              </w:rPr>
              <w:t xml:space="preserve"> </w:t>
            </w:r>
            <w:r>
              <w:rPr>
                <w:sz w:val="18"/>
              </w:rPr>
              <w:t>to</w:t>
            </w:r>
            <w:r>
              <w:rPr>
                <w:spacing w:val="-4"/>
                <w:sz w:val="18"/>
              </w:rPr>
              <w:t xml:space="preserve"> </w:t>
            </w:r>
            <w:r>
              <w:rPr>
                <w:sz w:val="18"/>
              </w:rPr>
              <w:t>harmonise</w:t>
            </w:r>
            <w:r>
              <w:rPr>
                <w:spacing w:val="-4"/>
                <w:sz w:val="18"/>
              </w:rPr>
              <w:t xml:space="preserve"> </w:t>
            </w:r>
            <w:r>
              <w:rPr>
                <w:sz w:val="18"/>
              </w:rPr>
              <w:t>the KUA PPAS and KEM PPKF in 2026.</w:t>
            </w:r>
          </w:p>
        </w:tc>
      </w:tr>
    </w:tbl>
    <w:p w14:paraId="7F5BF32E" w14:textId="77777777" w:rsidR="00BC24A8" w:rsidRDefault="00BC24A8">
      <w:pPr>
        <w:pStyle w:val="BodyText"/>
        <w:spacing w:before="25"/>
        <w:rPr>
          <w:rFonts w:ascii="Calibri"/>
          <w:b/>
        </w:rPr>
      </w:pPr>
    </w:p>
    <w:p w14:paraId="058D2D1E" w14:textId="77777777" w:rsidR="00BC24A8" w:rsidRDefault="00000000">
      <w:pPr>
        <w:ind w:left="143"/>
        <w:rPr>
          <w:rFonts w:ascii="Calibri"/>
          <w:b/>
        </w:rPr>
      </w:pPr>
      <w:r>
        <w:rPr>
          <w:rFonts w:ascii="Calibri"/>
          <w:b/>
          <w:color w:val="767070"/>
        </w:rPr>
        <w:t>DNA</w:t>
      </w:r>
      <w:r>
        <w:rPr>
          <w:rFonts w:ascii="Calibri"/>
          <w:b/>
          <w:color w:val="767070"/>
          <w:spacing w:val="-2"/>
        </w:rPr>
        <w:t xml:space="preserve"> </w:t>
      </w:r>
      <w:r>
        <w:rPr>
          <w:rFonts w:ascii="Calibri"/>
          <w:b/>
          <w:color w:val="767070"/>
          <w:spacing w:val="-4"/>
        </w:rPr>
        <w:t>theme</w:t>
      </w:r>
    </w:p>
    <w:p w14:paraId="14087FB0" w14:textId="77777777" w:rsidR="00BC24A8" w:rsidRDefault="00BC24A8">
      <w:pPr>
        <w:pStyle w:val="BodyText"/>
        <w:spacing w:before="8"/>
        <w:rPr>
          <w:rFonts w:ascii="Calibri"/>
          <w:b/>
          <w:sz w:val="12"/>
        </w:rPr>
      </w:pPr>
    </w:p>
    <w:tbl>
      <w:tblPr>
        <w:tblW w:w="0" w:type="auto"/>
        <w:tblInd w:w="141" w:type="dxa"/>
        <w:tblLayout w:type="fixed"/>
        <w:tblCellMar>
          <w:left w:w="0" w:type="dxa"/>
          <w:right w:w="0" w:type="dxa"/>
        </w:tblCellMar>
        <w:tblLook w:val="01E0" w:firstRow="1" w:lastRow="1" w:firstColumn="1" w:lastColumn="1" w:noHBand="0" w:noVBand="0"/>
      </w:tblPr>
      <w:tblGrid>
        <w:gridCol w:w="1425"/>
        <w:gridCol w:w="7676"/>
      </w:tblGrid>
      <w:tr w:rsidR="00BC24A8" w14:paraId="44DA14D8" w14:textId="77777777">
        <w:trPr>
          <w:trHeight w:val="415"/>
        </w:trPr>
        <w:tc>
          <w:tcPr>
            <w:tcW w:w="1425" w:type="dxa"/>
            <w:tcBorders>
              <w:bottom w:val="single" w:sz="4" w:space="0" w:color="BEBEBE"/>
            </w:tcBorders>
            <w:shd w:val="clear" w:color="auto" w:fill="17365A"/>
          </w:tcPr>
          <w:p w14:paraId="251747B9" w14:textId="77777777" w:rsidR="00BC24A8" w:rsidRDefault="00000000">
            <w:pPr>
              <w:pStyle w:val="TableParagraph"/>
              <w:spacing w:before="85"/>
              <w:ind w:left="116"/>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676" w:type="dxa"/>
            <w:tcBorders>
              <w:bottom w:val="single" w:sz="4" w:space="0" w:color="BEBEBE"/>
            </w:tcBorders>
            <w:shd w:val="clear" w:color="auto" w:fill="17365A"/>
          </w:tcPr>
          <w:p w14:paraId="0927544F" w14:textId="77777777" w:rsidR="00BC24A8" w:rsidRDefault="00000000">
            <w:pPr>
              <w:pStyle w:val="TableParagraph"/>
              <w:spacing w:before="85"/>
              <w:ind w:left="201"/>
              <w:rPr>
                <w:rFonts w:ascii="Calibri"/>
                <w:b/>
                <w:sz w:val="20"/>
              </w:rPr>
            </w:pPr>
            <w:r>
              <w:rPr>
                <w:rFonts w:ascii="Calibri"/>
                <w:b/>
                <w:color w:val="FFFFFF"/>
                <w:spacing w:val="-2"/>
                <w:sz w:val="20"/>
              </w:rPr>
              <w:t>Impact</w:t>
            </w:r>
          </w:p>
        </w:tc>
      </w:tr>
      <w:tr w:rsidR="00BC24A8" w14:paraId="05D28E37" w14:textId="77777777">
        <w:trPr>
          <w:trHeight w:val="2370"/>
        </w:trPr>
        <w:tc>
          <w:tcPr>
            <w:tcW w:w="1425" w:type="dxa"/>
            <w:tcBorders>
              <w:top w:val="single" w:sz="4" w:space="0" w:color="BEBEBE"/>
              <w:bottom w:val="single" w:sz="4" w:space="0" w:color="BEBEBE"/>
            </w:tcBorders>
          </w:tcPr>
          <w:p w14:paraId="7D5E7A82" w14:textId="77777777" w:rsidR="00BC24A8" w:rsidRDefault="00000000">
            <w:pPr>
              <w:pStyle w:val="TableParagraph"/>
              <w:spacing w:before="116"/>
              <w:ind w:left="116"/>
              <w:rPr>
                <w:sz w:val="18"/>
              </w:rPr>
            </w:pPr>
            <w:r>
              <w:rPr>
                <w:spacing w:val="-2"/>
                <w:sz w:val="18"/>
              </w:rPr>
              <w:t>Methodological</w:t>
            </w:r>
            <w:r>
              <w:rPr>
                <w:sz w:val="18"/>
              </w:rPr>
              <w:t xml:space="preserve"> </w:t>
            </w:r>
            <w:r>
              <w:rPr>
                <w:spacing w:val="-2"/>
                <w:sz w:val="18"/>
              </w:rPr>
              <w:t>impact</w:t>
            </w:r>
          </w:p>
        </w:tc>
        <w:tc>
          <w:tcPr>
            <w:tcW w:w="7676" w:type="dxa"/>
            <w:tcBorders>
              <w:top w:val="single" w:sz="4" w:space="0" w:color="BEBEBE"/>
              <w:bottom w:val="single" w:sz="4" w:space="0" w:color="BEBEBE"/>
            </w:tcBorders>
          </w:tcPr>
          <w:p w14:paraId="2C8EB77A" w14:textId="77777777" w:rsidR="00BC24A8" w:rsidRDefault="00000000">
            <w:pPr>
              <w:pStyle w:val="TableParagraph"/>
              <w:numPr>
                <w:ilvl w:val="0"/>
                <w:numId w:val="93"/>
              </w:numPr>
              <w:tabs>
                <w:tab w:val="left" w:pos="532"/>
              </w:tabs>
              <w:spacing w:before="116"/>
              <w:ind w:right="439"/>
              <w:rPr>
                <w:sz w:val="18"/>
              </w:rPr>
            </w:pPr>
            <w:r>
              <w:rPr>
                <w:sz w:val="18"/>
              </w:rPr>
              <w:t>The</w:t>
            </w:r>
            <w:r>
              <w:rPr>
                <w:spacing w:val="-2"/>
                <w:sz w:val="18"/>
              </w:rPr>
              <w:t xml:space="preserve"> </w:t>
            </w:r>
            <w:r>
              <w:rPr>
                <w:sz w:val="18"/>
              </w:rPr>
              <w:t>expansion</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reference</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preparation</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data</w:t>
            </w:r>
            <w:r>
              <w:rPr>
                <w:spacing w:val="-3"/>
                <w:sz w:val="18"/>
              </w:rPr>
              <w:t xml:space="preserve"> </w:t>
            </w:r>
            <w:r>
              <w:rPr>
                <w:sz w:val="18"/>
              </w:rPr>
              <w:t>list</w:t>
            </w:r>
            <w:r>
              <w:rPr>
                <w:spacing w:val="-4"/>
                <w:sz w:val="18"/>
              </w:rPr>
              <w:t xml:space="preserve"> </w:t>
            </w:r>
            <w:r>
              <w:rPr>
                <w:sz w:val="18"/>
              </w:rPr>
              <w:t>now</w:t>
            </w:r>
            <w:r>
              <w:rPr>
                <w:spacing w:val="-3"/>
                <w:sz w:val="18"/>
              </w:rPr>
              <w:t xml:space="preserve"> </w:t>
            </w:r>
            <w:r>
              <w:rPr>
                <w:sz w:val="18"/>
              </w:rPr>
              <w:t>contains</w:t>
            </w:r>
            <w:r>
              <w:rPr>
                <w:spacing w:val="-2"/>
                <w:sz w:val="18"/>
              </w:rPr>
              <w:t xml:space="preserve"> </w:t>
            </w:r>
            <w:r>
              <w:rPr>
                <w:sz w:val="18"/>
              </w:rPr>
              <w:t>data</w:t>
            </w:r>
            <w:r>
              <w:rPr>
                <w:spacing w:val="-3"/>
                <w:sz w:val="18"/>
              </w:rPr>
              <w:t xml:space="preserve"> </w:t>
            </w:r>
            <w:r>
              <w:rPr>
                <w:sz w:val="18"/>
              </w:rPr>
              <w:t>on</w:t>
            </w:r>
            <w:r>
              <w:rPr>
                <w:spacing w:val="-2"/>
                <w:sz w:val="18"/>
              </w:rPr>
              <w:t xml:space="preserve"> </w:t>
            </w:r>
            <w:r>
              <w:rPr>
                <w:sz w:val="18"/>
              </w:rPr>
              <w:t>KPIs (Key Performance Indicators), MPIs (Main Performance Indicators), National Priority Data, Minimum Service Standards data, e-walidata data, and BPS recommendation data.</w:t>
            </w:r>
          </w:p>
          <w:p w14:paraId="7A218CAC" w14:textId="77777777" w:rsidR="00BC24A8" w:rsidRDefault="00000000">
            <w:pPr>
              <w:pStyle w:val="TableParagraph"/>
              <w:numPr>
                <w:ilvl w:val="0"/>
                <w:numId w:val="93"/>
              </w:numPr>
              <w:tabs>
                <w:tab w:val="left" w:pos="532"/>
              </w:tabs>
              <w:spacing w:before="1"/>
              <w:ind w:hanging="359"/>
              <w:rPr>
                <w:sz w:val="18"/>
              </w:rPr>
            </w:pPr>
            <w:r>
              <w:rPr>
                <w:sz w:val="18"/>
              </w:rPr>
              <w:t>Increased</w:t>
            </w:r>
            <w:r>
              <w:rPr>
                <w:spacing w:val="-4"/>
                <w:sz w:val="18"/>
              </w:rPr>
              <w:t xml:space="preserve"> </w:t>
            </w:r>
            <w:r>
              <w:rPr>
                <w:sz w:val="18"/>
              </w:rPr>
              <w:t>number</w:t>
            </w:r>
            <w:r>
              <w:rPr>
                <w:spacing w:val="-1"/>
                <w:sz w:val="18"/>
              </w:rPr>
              <w:t xml:space="preserve"> </w:t>
            </w:r>
            <w:r>
              <w:rPr>
                <w:sz w:val="18"/>
              </w:rPr>
              <w:t>of</w:t>
            </w:r>
            <w:r>
              <w:rPr>
                <w:spacing w:val="-3"/>
                <w:sz w:val="18"/>
              </w:rPr>
              <w:t xml:space="preserve"> </w:t>
            </w:r>
            <w:r>
              <w:rPr>
                <w:sz w:val="18"/>
              </w:rPr>
              <w:t>data</w:t>
            </w:r>
            <w:r>
              <w:rPr>
                <w:spacing w:val="-2"/>
                <w:sz w:val="18"/>
              </w:rPr>
              <w:t xml:space="preserve"> </w:t>
            </w:r>
            <w:r>
              <w:rPr>
                <w:sz w:val="18"/>
              </w:rPr>
              <w:t>lists</w:t>
            </w:r>
            <w:r>
              <w:rPr>
                <w:spacing w:val="-2"/>
                <w:sz w:val="18"/>
              </w:rPr>
              <w:t xml:space="preserve"> </w:t>
            </w:r>
            <w:r>
              <w:rPr>
                <w:sz w:val="18"/>
              </w:rPr>
              <w:t>in</w:t>
            </w:r>
            <w:r>
              <w:rPr>
                <w:spacing w:val="-4"/>
                <w:sz w:val="18"/>
              </w:rPr>
              <w:t xml:space="preserve"> </w:t>
            </w:r>
            <w:r>
              <w:rPr>
                <w:sz w:val="18"/>
              </w:rPr>
              <w:t>the</w:t>
            </w:r>
            <w:r>
              <w:rPr>
                <w:spacing w:val="-1"/>
                <w:sz w:val="18"/>
              </w:rPr>
              <w:t xml:space="preserve"> </w:t>
            </w:r>
            <w:r>
              <w:rPr>
                <w:sz w:val="18"/>
              </w:rPr>
              <w:t>last</w:t>
            </w:r>
            <w:r>
              <w:rPr>
                <w:spacing w:val="-1"/>
                <w:sz w:val="18"/>
              </w:rPr>
              <w:t xml:space="preserve"> </w:t>
            </w:r>
            <w:r>
              <w:rPr>
                <w:sz w:val="18"/>
              </w:rPr>
              <w:t>3</w:t>
            </w:r>
            <w:r>
              <w:rPr>
                <w:spacing w:val="-1"/>
                <w:sz w:val="18"/>
              </w:rPr>
              <w:t xml:space="preserve"> </w:t>
            </w:r>
            <w:r>
              <w:rPr>
                <w:sz w:val="18"/>
              </w:rPr>
              <w:t>years,</w:t>
            </w:r>
            <w:r>
              <w:rPr>
                <w:spacing w:val="-3"/>
                <w:sz w:val="18"/>
              </w:rPr>
              <w:t xml:space="preserve"> </w:t>
            </w:r>
            <w:r>
              <w:rPr>
                <w:sz w:val="18"/>
              </w:rPr>
              <w:t>280</w:t>
            </w:r>
            <w:r>
              <w:rPr>
                <w:spacing w:val="-1"/>
                <w:sz w:val="18"/>
              </w:rPr>
              <w:t xml:space="preserve"> </w:t>
            </w:r>
            <w:r>
              <w:rPr>
                <w:sz w:val="18"/>
              </w:rPr>
              <w:t>(2023)</w:t>
            </w:r>
            <w:r>
              <w:rPr>
                <w:spacing w:val="-2"/>
                <w:sz w:val="18"/>
              </w:rPr>
              <w:t xml:space="preserve"> </w:t>
            </w:r>
            <w:r>
              <w:rPr>
                <w:sz w:val="18"/>
              </w:rPr>
              <w:t>to</w:t>
            </w:r>
            <w:r>
              <w:rPr>
                <w:spacing w:val="-3"/>
                <w:sz w:val="18"/>
              </w:rPr>
              <w:t xml:space="preserve"> </w:t>
            </w:r>
            <w:r>
              <w:rPr>
                <w:sz w:val="18"/>
              </w:rPr>
              <w:t>1,470</w:t>
            </w:r>
            <w:r>
              <w:rPr>
                <w:spacing w:val="-1"/>
                <w:sz w:val="18"/>
              </w:rPr>
              <w:t xml:space="preserve"> </w:t>
            </w:r>
            <w:r>
              <w:rPr>
                <w:sz w:val="18"/>
              </w:rPr>
              <w:t>(2024),</w:t>
            </w:r>
            <w:r>
              <w:rPr>
                <w:spacing w:val="-3"/>
                <w:sz w:val="18"/>
              </w:rPr>
              <w:t xml:space="preserve"> </w:t>
            </w:r>
            <w:r>
              <w:rPr>
                <w:sz w:val="18"/>
              </w:rPr>
              <w:t>and</w:t>
            </w:r>
            <w:r>
              <w:rPr>
                <w:spacing w:val="-1"/>
                <w:sz w:val="18"/>
              </w:rPr>
              <w:t xml:space="preserve"> </w:t>
            </w:r>
            <w:r>
              <w:rPr>
                <w:sz w:val="18"/>
              </w:rPr>
              <w:t>then</w:t>
            </w:r>
            <w:r>
              <w:rPr>
                <w:spacing w:val="-1"/>
                <w:sz w:val="18"/>
              </w:rPr>
              <w:t xml:space="preserve"> </w:t>
            </w:r>
            <w:r>
              <w:rPr>
                <w:spacing w:val="-2"/>
                <w:sz w:val="18"/>
              </w:rPr>
              <w:t>2,029</w:t>
            </w:r>
          </w:p>
          <w:p w14:paraId="741E9C04" w14:textId="77777777" w:rsidR="00BC24A8" w:rsidRDefault="00000000">
            <w:pPr>
              <w:pStyle w:val="TableParagraph"/>
              <w:spacing w:before="1" w:line="219" w:lineRule="exact"/>
              <w:ind w:left="533"/>
              <w:rPr>
                <w:sz w:val="18"/>
              </w:rPr>
            </w:pPr>
            <w:r>
              <w:rPr>
                <w:spacing w:val="-2"/>
                <w:sz w:val="18"/>
              </w:rPr>
              <w:t>(2025).</w:t>
            </w:r>
          </w:p>
          <w:p w14:paraId="55543745" w14:textId="77777777" w:rsidR="00BC24A8" w:rsidRDefault="00000000">
            <w:pPr>
              <w:pStyle w:val="TableParagraph"/>
              <w:numPr>
                <w:ilvl w:val="0"/>
                <w:numId w:val="93"/>
              </w:numPr>
              <w:tabs>
                <w:tab w:val="left" w:pos="533"/>
              </w:tabs>
              <w:ind w:left="533" w:right="799"/>
              <w:rPr>
                <w:sz w:val="18"/>
              </w:rPr>
            </w:pPr>
            <w:r>
              <w:rPr>
                <w:sz w:val="18"/>
              </w:rPr>
              <w:t>54</w:t>
            </w:r>
            <w:r>
              <w:rPr>
                <w:spacing w:val="-3"/>
                <w:sz w:val="18"/>
              </w:rPr>
              <w:t xml:space="preserve"> </w:t>
            </w:r>
            <w:r>
              <w:rPr>
                <w:sz w:val="18"/>
              </w:rPr>
              <w:t>Civil</w:t>
            </w:r>
            <w:r>
              <w:rPr>
                <w:spacing w:val="-2"/>
                <w:sz w:val="18"/>
              </w:rPr>
              <w:t xml:space="preserve"> </w:t>
            </w:r>
            <w:r>
              <w:rPr>
                <w:sz w:val="18"/>
              </w:rPr>
              <w:t>Servants</w:t>
            </w:r>
            <w:r>
              <w:rPr>
                <w:spacing w:val="-6"/>
                <w:sz w:val="18"/>
              </w:rPr>
              <w:t xml:space="preserve"> </w:t>
            </w:r>
            <w:r>
              <w:rPr>
                <w:sz w:val="18"/>
              </w:rPr>
              <w:t>(M:24,</w:t>
            </w:r>
            <w:r>
              <w:rPr>
                <w:spacing w:val="-4"/>
                <w:sz w:val="18"/>
              </w:rPr>
              <w:t xml:space="preserve"> </w:t>
            </w:r>
            <w:r>
              <w:rPr>
                <w:sz w:val="18"/>
              </w:rPr>
              <w:t>F:30)</w:t>
            </w:r>
            <w:r>
              <w:rPr>
                <w:spacing w:val="-4"/>
                <w:sz w:val="18"/>
              </w:rPr>
              <w:t xml:space="preserve"> </w:t>
            </w:r>
            <w:r>
              <w:rPr>
                <w:sz w:val="18"/>
              </w:rPr>
              <w:t>from</w:t>
            </w:r>
            <w:r>
              <w:rPr>
                <w:spacing w:val="-4"/>
                <w:sz w:val="18"/>
              </w:rPr>
              <w:t xml:space="preserve"> </w:t>
            </w:r>
            <w:r>
              <w:rPr>
                <w:sz w:val="18"/>
              </w:rPr>
              <w:t>35</w:t>
            </w:r>
            <w:r>
              <w:rPr>
                <w:spacing w:val="-3"/>
                <w:sz w:val="18"/>
              </w:rPr>
              <w:t xml:space="preserve"> </w:t>
            </w:r>
            <w:r>
              <w:rPr>
                <w:sz w:val="18"/>
              </w:rPr>
              <w:t>data-producing</w:t>
            </w:r>
            <w:r>
              <w:rPr>
                <w:spacing w:val="-4"/>
                <w:sz w:val="18"/>
              </w:rPr>
              <w:t xml:space="preserve"> </w:t>
            </w:r>
            <w:r>
              <w:rPr>
                <w:sz w:val="18"/>
              </w:rPr>
              <w:t>Provincial</w:t>
            </w:r>
            <w:r>
              <w:rPr>
                <w:spacing w:val="-2"/>
                <w:sz w:val="18"/>
              </w:rPr>
              <w:t xml:space="preserve"> </w:t>
            </w:r>
            <w:r>
              <w:rPr>
                <w:sz w:val="18"/>
              </w:rPr>
              <w:t>Agencies</w:t>
            </w:r>
            <w:r>
              <w:rPr>
                <w:spacing w:val="-3"/>
                <w:sz w:val="18"/>
              </w:rPr>
              <w:t xml:space="preserve"> </w:t>
            </w:r>
            <w:r>
              <w:rPr>
                <w:sz w:val="18"/>
              </w:rPr>
              <w:t>have</w:t>
            </w:r>
            <w:r>
              <w:rPr>
                <w:spacing w:val="-3"/>
                <w:sz w:val="18"/>
              </w:rPr>
              <w:t xml:space="preserve"> </w:t>
            </w:r>
            <w:r>
              <w:rPr>
                <w:sz w:val="18"/>
              </w:rPr>
              <w:t>received assistance in preparing data and metadata standards.</w:t>
            </w:r>
          </w:p>
          <w:p w14:paraId="1AD9289C" w14:textId="77777777" w:rsidR="00BC24A8" w:rsidRDefault="00000000">
            <w:pPr>
              <w:pStyle w:val="TableParagraph"/>
              <w:numPr>
                <w:ilvl w:val="0"/>
                <w:numId w:val="93"/>
              </w:numPr>
              <w:tabs>
                <w:tab w:val="left" w:pos="532"/>
              </w:tabs>
              <w:spacing w:line="219" w:lineRule="exact"/>
              <w:ind w:hanging="359"/>
              <w:rPr>
                <w:sz w:val="18"/>
              </w:rPr>
            </w:pPr>
            <w:r>
              <w:rPr>
                <w:sz w:val="18"/>
              </w:rPr>
              <w:t>4</w:t>
            </w:r>
            <w:r>
              <w:rPr>
                <w:spacing w:val="-2"/>
                <w:sz w:val="18"/>
              </w:rPr>
              <w:t xml:space="preserve"> </w:t>
            </w:r>
            <w:r>
              <w:rPr>
                <w:sz w:val="18"/>
              </w:rPr>
              <w:t>facilitators</w:t>
            </w:r>
            <w:r>
              <w:rPr>
                <w:spacing w:val="-2"/>
                <w:sz w:val="18"/>
              </w:rPr>
              <w:t xml:space="preserve"> </w:t>
            </w:r>
            <w:r>
              <w:rPr>
                <w:sz w:val="18"/>
              </w:rPr>
              <w:t>(M:2,</w:t>
            </w:r>
            <w:r>
              <w:rPr>
                <w:spacing w:val="-3"/>
                <w:sz w:val="18"/>
              </w:rPr>
              <w:t xml:space="preserve"> </w:t>
            </w:r>
            <w:r>
              <w:rPr>
                <w:sz w:val="18"/>
              </w:rPr>
              <w:t>F:2)</w:t>
            </w:r>
            <w:r>
              <w:rPr>
                <w:spacing w:val="-2"/>
                <w:sz w:val="18"/>
              </w:rPr>
              <w:t xml:space="preserve"> </w:t>
            </w:r>
            <w:r>
              <w:rPr>
                <w:sz w:val="18"/>
              </w:rPr>
              <w:t>for</w:t>
            </w:r>
            <w:r>
              <w:rPr>
                <w:spacing w:val="-2"/>
                <w:sz w:val="18"/>
              </w:rPr>
              <w:t xml:space="preserve"> </w:t>
            </w:r>
            <w:r>
              <w:rPr>
                <w:sz w:val="18"/>
              </w:rPr>
              <w:t>SIPD</w:t>
            </w:r>
            <w:r>
              <w:rPr>
                <w:spacing w:val="-1"/>
                <w:sz w:val="18"/>
              </w:rPr>
              <w:t xml:space="preserve"> </w:t>
            </w:r>
            <w:r>
              <w:rPr>
                <w:sz w:val="18"/>
              </w:rPr>
              <w:t>e-Walidata</w:t>
            </w:r>
            <w:r>
              <w:rPr>
                <w:spacing w:val="-3"/>
                <w:sz w:val="18"/>
              </w:rPr>
              <w:t xml:space="preserve"> </w:t>
            </w:r>
            <w:r>
              <w:rPr>
                <w:sz w:val="18"/>
              </w:rPr>
              <w:t>and</w:t>
            </w:r>
            <w:r>
              <w:rPr>
                <w:spacing w:val="-1"/>
                <w:sz w:val="18"/>
              </w:rPr>
              <w:t xml:space="preserve"> </w:t>
            </w:r>
            <w:r>
              <w:rPr>
                <w:spacing w:val="-2"/>
                <w:sz w:val="18"/>
              </w:rPr>
              <w:t>planning.</w:t>
            </w:r>
          </w:p>
          <w:p w14:paraId="17F7BAA5" w14:textId="77777777" w:rsidR="00BC24A8" w:rsidRDefault="00000000">
            <w:pPr>
              <w:pStyle w:val="TableParagraph"/>
              <w:numPr>
                <w:ilvl w:val="0"/>
                <w:numId w:val="93"/>
              </w:numPr>
              <w:tabs>
                <w:tab w:val="left" w:pos="532"/>
              </w:tabs>
              <w:spacing w:line="219" w:lineRule="exact"/>
              <w:rPr>
                <w:sz w:val="18"/>
              </w:rPr>
            </w:pPr>
            <w:r>
              <w:rPr>
                <w:sz w:val="18"/>
              </w:rPr>
              <w:t>61</w:t>
            </w:r>
            <w:r>
              <w:rPr>
                <w:spacing w:val="-2"/>
                <w:sz w:val="18"/>
              </w:rPr>
              <w:t xml:space="preserve"> </w:t>
            </w:r>
            <w:r>
              <w:rPr>
                <w:sz w:val="18"/>
              </w:rPr>
              <w:t>Civil</w:t>
            </w:r>
            <w:r>
              <w:rPr>
                <w:spacing w:val="-1"/>
                <w:sz w:val="18"/>
              </w:rPr>
              <w:t xml:space="preserve"> </w:t>
            </w:r>
            <w:r>
              <w:rPr>
                <w:sz w:val="18"/>
              </w:rPr>
              <w:t>Servants</w:t>
            </w:r>
            <w:r>
              <w:rPr>
                <w:spacing w:val="-5"/>
                <w:sz w:val="18"/>
              </w:rPr>
              <w:t xml:space="preserve"> </w:t>
            </w:r>
            <w:r>
              <w:rPr>
                <w:sz w:val="18"/>
              </w:rPr>
              <w:t>(M:30,</w:t>
            </w:r>
            <w:r>
              <w:rPr>
                <w:spacing w:val="-3"/>
                <w:sz w:val="18"/>
              </w:rPr>
              <w:t xml:space="preserve"> </w:t>
            </w:r>
            <w:r>
              <w:rPr>
                <w:sz w:val="18"/>
              </w:rPr>
              <w:t>F:30)</w:t>
            </w:r>
            <w:r>
              <w:rPr>
                <w:spacing w:val="-2"/>
                <w:sz w:val="18"/>
              </w:rPr>
              <w:t xml:space="preserve"> </w:t>
            </w:r>
            <w:r>
              <w:rPr>
                <w:sz w:val="18"/>
              </w:rPr>
              <w:t>from</w:t>
            </w:r>
            <w:r>
              <w:rPr>
                <w:spacing w:val="-3"/>
                <w:sz w:val="18"/>
              </w:rPr>
              <w:t xml:space="preserve"> </w:t>
            </w:r>
            <w:r>
              <w:rPr>
                <w:sz w:val="18"/>
              </w:rPr>
              <w:t>35</w:t>
            </w:r>
            <w:r>
              <w:rPr>
                <w:spacing w:val="-2"/>
                <w:sz w:val="18"/>
              </w:rPr>
              <w:t xml:space="preserve"> </w:t>
            </w:r>
            <w:r>
              <w:rPr>
                <w:sz w:val="18"/>
              </w:rPr>
              <w:t>Provincial</w:t>
            </w:r>
            <w:r>
              <w:rPr>
                <w:spacing w:val="-1"/>
                <w:sz w:val="18"/>
              </w:rPr>
              <w:t xml:space="preserve"> </w:t>
            </w:r>
            <w:r>
              <w:rPr>
                <w:sz w:val="18"/>
              </w:rPr>
              <w:t>Provincial</w:t>
            </w:r>
            <w:r>
              <w:rPr>
                <w:spacing w:val="-1"/>
                <w:sz w:val="18"/>
              </w:rPr>
              <w:t xml:space="preserve"> </w:t>
            </w:r>
            <w:r>
              <w:rPr>
                <w:sz w:val="18"/>
              </w:rPr>
              <w:t>Agencies</w:t>
            </w:r>
            <w:r>
              <w:rPr>
                <w:spacing w:val="-1"/>
                <w:sz w:val="18"/>
              </w:rPr>
              <w:t xml:space="preserve"> </w:t>
            </w:r>
            <w:r>
              <w:rPr>
                <w:sz w:val="18"/>
              </w:rPr>
              <w:t>have</w:t>
            </w:r>
            <w:r>
              <w:rPr>
                <w:spacing w:val="-2"/>
                <w:sz w:val="18"/>
              </w:rPr>
              <w:t xml:space="preserve"> </w:t>
            </w:r>
            <w:r>
              <w:rPr>
                <w:sz w:val="18"/>
              </w:rPr>
              <w:t>been</w:t>
            </w:r>
            <w:r>
              <w:rPr>
                <w:spacing w:val="-2"/>
                <w:sz w:val="18"/>
              </w:rPr>
              <w:t xml:space="preserve"> </w:t>
            </w:r>
            <w:r>
              <w:rPr>
                <w:sz w:val="18"/>
              </w:rPr>
              <w:t>trained</w:t>
            </w:r>
            <w:r>
              <w:rPr>
                <w:spacing w:val="-2"/>
                <w:sz w:val="18"/>
              </w:rPr>
              <w:t xml:space="preserve"> </w:t>
            </w:r>
            <w:r>
              <w:rPr>
                <w:sz w:val="18"/>
              </w:rPr>
              <w:t>to</w:t>
            </w:r>
            <w:r>
              <w:rPr>
                <w:spacing w:val="-2"/>
                <w:sz w:val="18"/>
              </w:rPr>
              <w:t xml:space="preserve"> enter</w:t>
            </w:r>
          </w:p>
          <w:p w14:paraId="15C01AD8" w14:textId="77777777" w:rsidR="00BC24A8" w:rsidRDefault="00000000">
            <w:pPr>
              <w:pStyle w:val="TableParagraph"/>
              <w:spacing w:line="219" w:lineRule="exact"/>
              <w:ind w:left="532"/>
              <w:rPr>
                <w:sz w:val="18"/>
              </w:rPr>
            </w:pPr>
            <w:r>
              <w:rPr>
                <w:spacing w:val="-2"/>
                <w:sz w:val="18"/>
              </w:rPr>
              <w:t>e-walidata.</w:t>
            </w:r>
          </w:p>
        </w:tc>
      </w:tr>
    </w:tbl>
    <w:p w14:paraId="79A67ADD" w14:textId="77777777" w:rsidR="00BC24A8" w:rsidRDefault="00BC24A8">
      <w:pPr>
        <w:pStyle w:val="TableParagraph"/>
        <w:spacing w:line="219" w:lineRule="exact"/>
        <w:rPr>
          <w:sz w:val="18"/>
        </w:rPr>
        <w:sectPr w:rsidR="00BC24A8">
          <w:pgSz w:w="11910" w:h="16840"/>
          <w:pgMar w:top="1360" w:right="850" w:bottom="1591" w:left="1275" w:header="0" w:footer="907" w:gutter="0"/>
          <w:cols w:space="720"/>
        </w:sectPr>
      </w:pPr>
    </w:p>
    <w:tbl>
      <w:tblPr>
        <w:tblW w:w="0" w:type="auto"/>
        <w:tblInd w:w="136" w:type="dxa"/>
        <w:tblLayout w:type="fixed"/>
        <w:tblCellMar>
          <w:left w:w="0" w:type="dxa"/>
          <w:right w:w="0" w:type="dxa"/>
        </w:tblCellMar>
        <w:tblLook w:val="01E0" w:firstRow="1" w:lastRow="1" w:firstColumn="1" w:lastColumn="1" w:noHBand="0" w:noVBand="0"/>
      </w:tblPr>
      <w:tblGrid>
        <w:gridCol w:w="1524"/>
        <w:gridCol w:w="7582"/>
      </w:tblGrid>
      <w:tr w:rsidR="00BC24A8" w14:paraId="47A16690" w14:textId="77777777">
        <w:trPr>
          <w:trHeight w:val="414"/>
        </w:trPr>
        <w:tc>
          <w:tcPr>
            <w:tcW w:w="1524" w:type="dxa"/>
            <w:tcBorders>
              <w:bottom w:val="single" w:sz="4" w:space="0" w:color="BEBEBE"/>
            </w:tcBorders>
          </w:tcPr>
          <w:p w14:paraId="02C47AE8" w14:textId="77777777" w:rsidR="00BC24A8" w:rsidRDefault="00BC24A8">
            <w:pPr>
              <w:pStyle w:val="TableParagraph"/>
              <w:rPr>
                <w:rFonts w:ascii="Times New Roman"/>
                <w:sz w:val="16"/>
              </w:rPr>
            </w:pPr>
          </w:p>
        </w:tc>
        <w:tc>
          <w:tcPr>
            <w:tcW w:w="7582" w:type="dxa"/>
            <w:tcBorders>
              <w:top w:val="single" w:sz="4" w:space="0" w:color="BEBEBE"/>
              <w:bottom w:val="single" w:sz="4" w:space="0" w:color="BEBEBE"/>
            </w:tcBorders>
          </w:tcPr>
          <w:p w14:paraId="46ABCB41" w14:textId="77777777" w:rsidR="00BC24A8" w:rsidRDefault="00000000">
            <w:pPr>
              <w:pStyle w:val="TableParagraph"/>
              <w:numPr>
                <w:ilvl w:val="0"/>
                <w:numId w:val="92"/>
              </w:numPr>
              <w:tabs>
                <w:tab w:val="left" w:pos="439"/>
              </w:tabs>
              <w:spacing w:before="59"/>
              <w:rPr>
                <w:sz w:val="18"/>
              </w:rPr>
            </w:pPr>
            <w:r>
              <w:rPr>
                <w:sz w:val="18"/>
              </w:rPr>
              <w:t>19</w:t>
            </w:r>
            <w:r>
              <w:rPr>
                <w:spacing w:val="-2"/>
                <w:sz w:val="18"/>
              </w:rPr>
              <w:t xml:space="preserve"> </w:t>
            </w:r>
            <w:r>
              <w:rPr>
                <w:sz w:val="18"/>
              </w:rPr>
              <w:t>Civil</w:t>
            </w:r>
            <w:r>
              <w:rPr>
                <w:spacing w:val="-1"/>
                <w:sz w:val="18"/>
              </w:rPr>
              <w:t xml:space="preserve"> </w:t>
            </w:r>
            <w:r>
              <w:rPr>
                <w:sz w:val="18"/>
              </w:rPr>
              <w:t>Servants</w:t>
            </w:r>
            <w:r>
              <w:rPr>
                <w:spacing w:val="-4"/>
                <w:sz w:val="18"/>
              </w:rPr>
              <w:t xml:space="preserve"> </w:t>
            </w:r>
            <w:r>
              <w:rPr>
                <w:sz w:val="18"/>
              </w:rPr>
              <w:t>(M:13,</w:t>
            </w:r>
            <w:r>
              <w:rPr>
                <w:spacing w:val="-3"/>
                <w:sz w:val="18"/>
              </w:rPr>
              <w:t xml:space="preserve"> </w:t>
            </w:r>
            <w:r>
              <w:rPr>
                <w:sz w:val="18"/>
              </w:rPr>
              <w:t>F:6)</w:t>
            </w:r>
            <w:r>
              <w:rPr>
                <w:spacing w:val="-3"/>
                <w:sz w:val="18"/>
              </w:rPr>
              <w:t xml:space="preserve"> </w:t>
            </w:r>
            <w:r>
              <w:rPr>
                <w:sz w:val="18"/>
              </w:rPr>
              <w:t>became</w:t>
            </w:r>
            <w:r>
              <w:rPr>
                <w:spacing w:val="-1"/>
                <w:sz w:val="18"/>
              </w:rPr>
              <w:t xml:space="preserve"> </w:t>
            </w:r>
            <w:r>
              <w:rPr>
                <w:sz w:val="18"/>
              </w:rPr>
              <w:t>SEPAKAT</w:t>
            </w:r>
            <w:r>
              <w:rPr>
                <w:spacing w:val="-3"/>
                <w:sz w:val="18"/>
              </w:rPr>
              <w:t xml:space="preserve"> </w:t>
            </w:r>
            <w:r>
              <w:rPr>
                <w:sz w:val="18"/>
              </w:rPr>
              <w:t>trainers</w:t>
            </w:r>
            <w:r>
              <w:rPr>
                <w:spacing w:val="-1"/>
                <w:sz w:val="18"/>
              </w:rPr>
              <w:t xml:space="preserve"> </w:t>
            </w:r>
            <w:r>
              <w:rPr>
                <w:sz w:val="18"/>
              </w:rPr>
              <w:t>at</w:t>
            </w:r>
            <w:r>
              <w:rPr>
                <w:spacing w:val="-1"/>
                <w:sz w:val="18"/>
              </w:rPr>
              <w:t xml:space="preserve"> </w:t>
            </w:r>
            <w:r>
              <w:rPr>
                <w:sz w:val="18"/>
              </w:rPr>
              <w:t>the</w:t>
            </w:r>
            <w:r>
              <w:rPr>
                <w:spacing w:val="-2"/>
                <w:sz w:val="18"/>
              </w:rPr>
              <w:t xml:space="preserve"> </w:t>
            </w:r>
            <w:r>
              <w:rPr>
                <w:sz w:val="18"/>
              </w:rPr>
              <w:t xml:space="preserve">Provincial </w:t>
            </w:r>
            <w:r>
              <w:rPr>
                <w:spacing w:val="-2"/>
                <w:sz w:val="18"/>
              </w:rPr>
              <w:t>level.</w:t>
            </w:r>
          </w:p>
        </w:tc>
      </w:tr>
      <w:tr w:rsidR="00BC24A8" w14:paraId="64300491" w14:textId="77777777">
        <w:trPr>
          <w:trHeight w:val="3088"/>
        </w:trPr>
        <w:tc>
          <w:tcPr>
            <w:tcW w:w="1524" w:type="dxa"/>
            <w:tcBorders>
              <w:top w:val="single" w:sz="4" w:space="0" w:color="BEBEBE"/>
              <w:bottom w:val="single" w:sz="4" w:space="0" w:color="BEBEBE"/>
            </w:tcBorders>
          </w:tcPr>
          <w:p w14:paraId="15E88D03" w14:textId="77777777" w:rsidR="00BC24A8" w:rsidRDefault="00000000">
            <w:pPr>
              <w:pStyle w:val="TableParagraph"/>
              <w:spacing w:before="116"/>
              <w:ind w:left="122" w:right="116"/>
              <w:rPr>
                <w:sz w:val="18"/>
              </w:rPr>
            </w:pPr>
            <w:r>
              <w:rPr>
                <w:spacing w:val="-2"/>
                <w:sz w:val="18"/>
              </w:rPr>
              <w:t>Ecosystem</w:t>
            </w:r>
            <w:r>
              <w:rPr>
                <w:sz w:val="18"/>
              </w:rPr>
              <w:t xml:space="preserve"> </w:t>
            </w:r>
            <w:r>
              <w:rPr>
                <w:spacing w:val="-2"/>
                <w:sz w:val="18"/>
              </w:rPr>
              <w:t>Impacts</w:t>
            </w:r>
          </w:p>
        </w:tc>
        <w:tc>
          <w:tcPr>
            <w:tcW w:w="7582" w:type="dxa"/>
            <w:tcBorders>
              <w:top w:val="single" w:sz="4" w:space="0" w:color="BEBEBE"/>
              <w:bottom w:val="single" w:sz="4" w:space="0" w:color="BEBEBE"/>
            </w:tcBorders>
          </w:tcPr>
          <w:p w14:paraId="157678BF" w14:textId="77777777" w:rsidR="00BC24A8" w:rsidRDefault="00000000">
            <w:pPr>
              <w:pStyle w:val="TableParagraph"/>
              <w:numPr>
                <w:ilvl w:val="0"/>
                <w:numId w:val="91"/>
              </w:numPr>
              <w:tabs>
                <w:tab w:val="left" w:pos="439"/>
              </w:tabs>
              <w:spacing w:before="116"/>
              <w:ind w:right="141"/>
              <w:rPr>
                <w:sz w:val="18"/>
              </w:rPr>
            </w:pPr>
            <w:r>
              <w:rPr>
                <w:sz w:val="18"/>
              </w:rPr>
              <w:t>Satu Data Maluku Action Plan (which has been adjusted to the Regulation of the Minister of Home</w:t>
            </w:r>
            <w:r>
              <w:rPr>
                <w:spacing w:val="-3"/>
                <w:sz w:val="18"/>
              </w:rPr>
              <w:t xml:space="preserve"> </w:t>
            </w:r>
            <w:r>
              <w:rPr>
                <w:sz w:val="18"/>
              </w:rPr>
              <w:t>Affairs</w:t>
            </w:r>
            <w:r>
              <w:rPr>
                <w:spacing w:val="-3"/>
                <w:sz w:val="18"/>
              </w:rPr>
              <w:t xml:space="preserve"> </w:t>
            </w:r>
            <w:r>
              <w:rPr>
                <w:sz w:val="18"/>
              </w:rPr>
              <w:t>on</w:t>
            </w:r>
            <w:r>
              <w:rPr>
                <w:spacing w:val="-3"/>
                <w:sz w:val="18"/>
              </w:rPr>
              <w:t xml:space="preserve"> </w:t>
            </w:r>
            <w:r>
              <w:rPr>
                <w:sz w:val="18"/>
              </w:rPr>
              <w:t>One</w:t>
            </w:r>
            <w:r>
              <w:rPr>
                <w:spacing w:val="-3"/>
                <w:sz w:val="18"/>
              </w:rPr>
              <w:t xml:space="preserve"> </w:t>
            </w:r>
            <w:r>
              <w:rPr>
                <w:sz w:val="18"/>
              </w:rPr>
              <w:t>Data</w:t>
            </w:r>
            <w:r>
              <w:rPr>
                <w:spacing w:val="-4"/>
                <w:sz w:val="18"/>
              </w:rPr>
              <w:t xml:space="preserve"> </w:t>
            </w:r>
            <w:r>
              <w:rPr>
                <w:sz w:val="18"/>
              </w:rPr>
              <w:t>for</w:t>
            </w:r>
            <w:r>
              <w:rPr>
                <w:spacing w:val="-3"/>
                <w:sz w:val="18"/>
              </w:rPr>
              <w:t xml:space="preserve"> </w:t>
            </w:r>
            <w:r>
              <w:rPr>
                <w:sz w:val="18"/>
              </w:rPr>
              <w:t>Domestic</w:t>
            </w:r>
            <w:r>
              <w:rPr>
                <w:spacing w:val="-3"/>
                <w:sz w:val="18"/>
              </w:rPr>
              <w:t xml:space="preserve"> </w:t>
            </w:r>
            <w:r>
              <w:rPr>
                <w:sz w:val="18"/>
              </w:rPr>
              <w:t>Governance/SDPDN)</w:t>
            </w:r>
            <w:r>
              <w:rPr>
                <w:spacing w:val="-4"/>
                <w:sz w:val="18"/>
              </w:rPr>
              <w:t xml:space="preserve"> </w:t>
            </w:r>
            <w:r>
              <w:rPr>
                <w:sz w:val="18"/>
              </w:rPr>
              <w:t>has</w:t>
            </w:r>
            <w:r>
              <w:rPr>
                <w:spacing w:val="-3"/>
                <w:sz w:val="18"/>
              </w:rPr>
              <w:t xml:space="preserve"> </w:t>
            </w:r>
            <w:r>
              <w:rPr>
                <w:sz w:val="18"/>
              </w:rPr>
              <w:t>been</w:t>
            </w:r>
            <w:r>
              <w:rPr>
                <w:spacing w:val="-3"/>
                <w:sz w:val="18"/>
              </w:rPr>
              <w:t xml:space="preserve"> </w:t>
            </w:r>
            <w:r>
              <w:rPr>
                <w:sz w:val="18"/>
              </w:rPr>
              <w:t>completed.</w:t>
            </w:r>
            <w:r>
              <w:rPr>
                <w:spacing w:val="-4"/>
                <w:sz w:val="18"/>
              </w:rPr>
              <w:t xml:space="preserve"> </w:t>
            </w:r>
            <w:r>
              <w:rPr>
                <w:sz w:val="18"/>
              </w:rPr>
              <w:t>Currently,</w:t>
            </w:r>
            <w:r>
              <w:rPr>
                <w:spacing w:val="-4"/>
                <w:sz w:val="18"/>
              </w:rPr>
              <w:t xml:space="preserve"> </w:t>
            </w:r>
            <w:r>
              <w:rPr>
                <w:sz w:val="18"/>
              </w:rPr>
              <w:t>the draft Governor's Regulation is being prepared.</w:t>
            </w:r>
          </w:p>
          <w:p w14:paraId="7D02E3E4" w14:textId="77777777" w:rsidR="00BC24A8" w:rsidRDefault="00000000">
            <w:pPr>
              <w:pStyle w:val="TableParagraph"/>
              <w:numPr>
                <w:ilvl w:val="0"/>
                <w:numId w:val="91"/>
              </w:numPr>
              <w:tabs>
                <w:tab w:val="left" w:pos="439"/>
              </w:tabs>
              <w:spacing w:before="1"/>
              <w:ind w:right="208"/>
              <w:rPr>
                <w:sz w:val="18"/>
              </w:rPr>
            </w:pPr>
            <w:r>
              <w:rPr>
                <w:sz w:val="18"/>
              </w:rPr>
              <w:t>Governor's</w:t>
            </w:r>
            <w:r>
              <w:rPr>
                <w:spacing w:val="-3"/>
                <w:sz w:val="18"/>
              </w:rPr>
              <w:t xml:space="preserve"> </w:t>
            </w:r>
            <w:r>
              <w:rPr>
                <w:sz w:val="18"/>
              </w:rPr>
              <w:t>Decree</w:t>
            </w:r>
            <w:r>
              <w:rPr>
                <w:spacing w:val="-3"/>
                <w:sz w:val="18"/>
              </w:rPr>
              <w:t xml:space="preserve"> </w:t>
            </w:r>
            <w:r>
              <w:rPr>
                <w:sz w:val="18"/>
              </w:rPr>
              <w:t>in</w:t>
            </w:r>
            <w:r>
              <w:rPr>
                <w:spacing w:val="-3"/>
                <w:sz w:val="18"/>
              </w:rPr>
              <w:t xml:space="preserve"> </w:t>
            </w:r>
            <w:r>
              <w:rPr>
                <w:sz w:val="18"/>
              </w:rPr>
              <w:t>2024</w:t>
            </w:r>
            <w:r>
              <w:rPr>
                <w:spacing w:val="-3"/>
                <w:sz w:val="18"/>
              </w:rPr>
              <w:t xml:space="preserve"> </w:t>
            </w:r>
            <w:r>
              <w:rPr>
                <w:sz w:val="18"/>
              </w:rPr>
              <w:t>on</w:t>
            </w:r>
            <w:r>
              <w:rPr>
                <w:spacing w:val="-3"/>
                <w:sz w:val="18"/>
              </w:rPr>
              <w:t xml:space="preserve"> </w:t>
            </w:r>
            <w:r>
              <w:rPr>
                <w:sz w:val="18"/>
              </w:rPr>
              <w:t>the</w:t>
            </w:r>
            <w:r>
              <w:rPr>
                <w:spacing w:val="-5"/>
                <w:sz w:val="18"/>
              </w:rPr>
              <w:t xml:space="preserve"> </w:t>
            </w:r>
            <w:r>
              <w:rPr>
                <w:sz w:val="18"/>
              </w:rPr>
              <w:t>establishment</w:t>
            </w:r>
            <w:r>
              <w:rPr>
                <w:spacing w:val="-2"/>
                <w:sz w:val="18"/>
              </w:rPr>
              <w:t xml:space="preserve"> </w:t>
            </w:r>
            <w:r>
              <w:rPr>
                <w:sz w:val="18"/>
              </w:rPr>
              <w:t>of</w:t>
            </w:r>
            <w:r>
              <w:rPr>
                <w:spacing w:val="-4"/>
                <w:sz w:val="18"/>
              </w:rPr>
              <w:t xml:space="preserve"> </w:t>
            </w:r>
            <w:r>
              <w:rPr>
                <w:sz w:val="18"/>
              </w:rPr>
              <w:t>a</w:t>
            </w:r>
            <w:r>
              <w:rPr>
                <w:spacing w:val="-4"/>
                <w:sz w:val="18"/>
              </w:rPr>
              <w:t xml:space="preserve"> </w:t>
            </w:r>
            <w:r>
              <w:rPr>
                <w:sz w:val="18"/>
              </w:rPr>
              <w:t>coordination</w:t>
            </w:r>
            <w:r>
              <w:rPr>
                <w:spacing w:val="-5"/>
                <w:sz w:val="18"/>
              </w:rPr>
              <w:t xml:space="preserve"> </w:t>
            </w:r>
            <w:r>
              <w:rPr>
                <w:sz w:val="18"/>
              </w:rPr>
              <w:t>team</w:t>
            </w:r>
            <w:r>
              <w:rPr>
                <w:spacing w:val="-4"/>
                <w:sz w:val="18"/>
              </w:rPr>
              <w:t xml:space="preserve"> </w:t>
            </w:r>
            <w:r>
              <w:rPr>
                <w:sz w:val="18"/>
              </w:rPr>
              <w:t>for</w:t>
            </w:r>
            <w:r>
              <w:rPr>
                <w:spacing w:val="-3"/>
                <w:sz w:val="18"/>
              </w:rPr>
              <w:t xml:space="preserve"> </w:t>
            </w:r>
            <w:r>
              <w:rPr>
                <w:sz w:val="18"/>
              </w:rPr>
              <w:t>the</w:t>
            </w:r>
            <w:r>
              <w:rPr>
                <w:spacing w:val="-3"/>
                <w:sz w:val="18"/>
              </w:rPr>
              <w:t xml:space="preserve"> </w:t>
            </w:r>
            <w:r>
              <w:rPr>
                <w:sz w:val="18"/>
              </w:rPr>
              <w:t>implementation of</w:t>
            </w:r>
            <w:r>
              <w:rPr>
                <w:spacing w:val="-2"/>
                <w:sz w:val="18"/>
              </w:rPr>
              <w:t xml:space="preserve"> </w:t>
            </w:r>
            <w:r>
              <w:rPr>
                <w:sz w:val="18"/>
              </w:rPr>
              <w:t>SPBE.</w:t>
            </w:r>
          </w:p>
          <w:p w14:paraId="72ED9DFB" w14:textId="77777777" w:rsidR="00BC24A8" w:rsidRDefault="00000000">
            <w:pPr>
              <w:pStyle w:val="TableParagraph"/>
              <w:numPr>
                <w:ilvl w:val="0"/>
                <w:numId w:val="91"/>
              </w:numPr>
              <w:tabs>
                <w:tab w:val="left" w:pos="439"/>
              </w:tabs>
              <w:ind w:right="375"/>
              <w:rPr>
                <w:sz w:val="18"/>
              </w:rPr>
            </w:pPr>
            <w:r>
              <w:rPr>
                <w:sz w:val="18"/>
              </w:rPr>
              <w:t>Governor's</w:t>
            </w:r>
            <w:r>
              <w:rPr>
                <w:spacing w:val="-2"/>
                <w:sz w:val="18"/>
              </w:rPr>
              <w:t xml:space="preserve"> </w:t>
            </w:r>
            <w:r>
              <w:rPr>
                <w:sz w:val="18"/>
              </w:rPr>
              <w:t>Decree</w:t>
            </w:r>
            <w:r>
              <w:rPr>
                <w:spacing w:val="-2"/>
                <w:sz w:val="18"/>
              </w:rPr>
              <w:t xml:space="preserve"> </w:t>
            </w:r>
            <w:r>
              <w:rPr>
                <w:sz w:val="18"/>
              </w:rPr>
              <w:t>in</w:t>
            </w:r>
            <w:r>
              <w:rPr>
                <w:spacing w:val="-2"/>
                <w:sz w:val="18"/>
              </w:rPr>
              <w:t xml:space="preserve"> </w:t>
            </w:r>
            <w:r>
              <w:rPr>
                <w:sz w:val="18"/>
              </w:rPr>
              <w:t>2025</w:t>
            </w:r>
            <w:r>
              <w:rPr>
                <w:spacing w:val="-2"/>
                <w:sz w:val="18"/>
              </w:rPr>
              <w:t xml:space="preserve"> </w:t>
            </w:r>
            <w:r>
              <w:rPr>
                <w:sz w:val="18"/>
              </w:rPr>
              <w:t>on</w:t>
            </w:r>
            <w:r>
              <w:rPr>
                <w:spacing w:val="-2"/>
                <w:sz w:val="18"/>
              </w:rPr>
              <w:t xml:space="preserve"> </w:t>
            </w:r>
            <w:r>
              <w:rPr>
                <w:sz w:val="18"/>
              </w:rPr>
              <w:t>the</w:t>
            </w:r>
            <w:r>
              <w:rPr>
                <w:spacing w:val="-5"/>
                <w:sz w:val="18"/>
              </w:rPr>
              <w:t xml:space="preserve"> </w:t>
            </w:r>
            <w:r>
              <w:rPr>
                <w:sz w:val="18"/>
              </w:rPr>
              <w:t>Establishment</w:t>
            </w:r>
            <w:r>
              <w:rPr>
                <w:spacing w:val="-2"/>
                <w:sz w:val="18"/>
              </w:rPr>
              <w:t xml:space="preserve"> </w:t>
            </w:r>
            <w:r>
              <w:rPr>
                <w:sz w:val="18"/>
              </w:rPr>
              <w:t>of</w:t>
            </w:r>
            <w:r>
              <w:rPr>
                <w:spacing w:val="-3"/>
                <w:sz w:val="18"/>
              </w:rPr>
              <w:t xml:space="preserve"> </w:t>
            </w:r>
            <w:r>
              <w:rPr>
                <w:sz w:val="18"/>
              </w:rPr>
              <w:t>a</w:t>
            </w:r>
            <w:r>
              <w:rPr>
                <w:spacing w:val="-3"/>
                <w:sz w:val="18"/>
              </w:rPr>
              <w:t xml:space="preserve"> </w:t>
            </w:r>
            <w:r>
              <w:rPr>
                <w:sz w:val="18"/>
              </w:rPr>
              <w:t>Facilitator</w:t>
            </w:r>
            <w:r>
              <w:rPr>
                <w:spacing w:val="-2"/>
                <w:sz w:val="18"/>
              </w:rPr>
              <w:t xml:space="preserve"> </w:t>
            </w:r>
            <w:r>
              <w:rPr>
                <w:sz w:val="18"/>
              </w:rPr>
              <w:t>Team</w:t>
            </w:r>
            <w:r>
              <w:rPr>
                <w:spacing w:val="-3"/>
                <w:sz w:val="18"/>
              </w:rPr>
              <w:t xml:space="preserve"> </w:t>
            </w:r>
            <w:r>
              <w:rPr>
                <w:sz w:val="18"/>
              </w:rPr>
              <w:t>for</w:t>
            </w:r>
            <w:r>
              <w:rPr>
                <w:spacing w:val="-2"/>
                <w:sz w:val="18"/>
              </w:rPr>
              <w:t xml:space="preserve"> </w:t>
            </w:r>
            <w:r>
              <w:rPr>
                <w:sz w:val="18"/>
              </w:rPr>
              <w:t>the</w:t>
            </w:r>
            <w:r>
              <w:rPr>
                <w:spacing w:val="-2"/>
                <w:sz w:val="18"/>
              </w:rPr>
              <w:t xml:space="preserve"> </w:t>
            </w:r>
            <w:r>
              <w:rPr>
                <w:sz w:val="18"/>
              </w:rPr>
              <w:t>Preparation</w:t>
            </w:r>
            <w:r>
              <w:rPr>
                <w:spacing w:val="-2"/>
                <w:sz w:val="18"/>
              </w:rPr>
              <w:t xml:space="preserve"> </w:t>
            </w:r>
            <w:r>
              <w:rPr>
                <w:sz w:val="18"/>
              </w:rPr>
              <w:t>of</w:t>
            </w:r>
            <w:r>
              <w:rPr>
                <w:spacing w:val="-3"/>
                <w:sz w:val="18"/>
              </w:rPr>
              <w:t xml:space="preserve"> </w:t>
            </w:r>
            <w:r>
              <w:rPr>
                <w:sz w:val="18"/>
              </w:rPr>
              <w:t>a Business Process Map for the Regional Apparatus of the Maluku Provincial Government.</w:t>
            </w:r>
          </w:p>
          <w:p w14:paraId="20D2A5A4" w14:textId="77777777" w:rsidR="00BC24A8" w:rsidRDefault="00000000">
            <w:pPr>
              <w:pStyle w:val="TableParagraph"/>
              <w:numPr>
                <w:ilvl w:val="0"/>
                <w:numId w:val="91"/>
              </w:numPr>
              <w:tabs>
                <w:tab w:val="left" w:pos="439"/>
              </w:tabs>
              <w:ind w:right="552"/>
              <w:rPr>
                <w:sz w:val="18"/>
              </w:rPr>
            </w:pPr>
            <w:r>
              <w:rPr>
                <w:sz w:val="18"/>
              </w:rPr>
              <w:t>19</w:t>
            </w:r>
            <w:r>
              <w:rPr>
                <w:spacing w:val="-3"/>
                <w:sz w:val="18"/>
              </w:rPr>
              <w:t xml:space="preserve"> </w:t>
            </w:r>
            <w:r>
              <w:rPr>
                <w:sz w:val="18"/>
              </w:rPr>
              <w:t>SEPAKAT</w:t>
            </w:r>
            <w:r>
              <w:rPr>
                <w:spacing w:val="-4"/>
                <w:sz w:val="18"/>
              </w:rPr>
              <w:t xml:space="preserve"> </w:t>
            </w:r>
            <w:r>
              <w:rPr>
                <w:sz w:val="18"/>
              </w:rPr>
              <w:t>trainers</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province</w:t>
            </w:r>
            <w:r>
              <w:rPr>
                <w:spacing w:val="-3"/>
                <w:sz w:val="18"/>
              </w:rPr>
              <w:t xml:space="preserve"> </w:t>
            </w:r>
            <w:r>
              <w:rPr>
                <w:sz w:val="18"/>
              </w:rPr>
              <w:t>have</w:t>
            </w:r>
            <w:r>
              <w:rPr>
                <w:spacing w:val="-3"/>
                <w:sz w:val="18"/>
              </w:rPr>
              <w:t xml:space="preserve"> </w:t>
            </w:r>
            <w:r>
              <w:rPr>
                <w:sz w:val="18"/>
              </w:rPr>
              <w:t>conducted</w:t>
            </w:r>
            <w:r>
              <w:rPr>
                <w:spacing w:val="-3"/>
                <w:sz w:val="18"/>
              </w:rPr>
              <w:t xml:space="preserve"> </w:t>
            </w:r>
            <w:r>
              <w:rPr>
                <w:sz w:val="18"/>
              </w:rPr>
              <w:t>technical</w:t>
            </w:r>
            <w:r>
              <w:rPr>
                <w:spacing w:val="-5"/>
                <w:sz w:val="18"/>
              </w:rPr>
              <w:t xml:space="preserve"> </w:t>
            </w:r>
            <w:r>
              <w:rPr>
                <w:sz w:val="18"/>
              </w:rPr>
              <w:t>guidance</w:t>
            </w:r>
            <w:r>
              <w:rPr>
                <w:spacing w:val="-3"/>
                <w:sz w:val="18"/>
              </w:rPr>
              <w:t xml:space="preserve"> </w:t>
            </w:r>
            <w:r>
              <w:rPr>
                <w:sz w:val="18"/>
              </w:rPr>
              <w:t>to</w:t>
            </w:r>
            <w:r>
              <w:rPr>
                <w:spacing w:val="-4"/>
                <w:sz w:val="18"/>
              </w:rPr>
              <w:t xml:space="preserve"> </w:t>
            </w:r>
            <w:r>
              <w:rPr>
                <w:sz w:val="18"/>
              </w:rPr>
              <w:t>39</w:t>
            </w:r>
            <w:r>
              <w:rPr>
                <w:spacing w:val="-3"/>
                <w:sz w:val="18"/>
              </w:rPr>
              <w:t xml:space="preserve"> </w:t>
            </w:r>
            <w:r>
              <w:rPr>
                <w:sz w:val="18"/>
              </w:rPr>
              <w:t>Civil</w:t>
            </w:r>
            <w:r>
              <w:rPr>
                <w:spacing w:val="-2"/>
                <w:sz w:val="18"/>
              </w:rPr>
              <w:t xml:space="preserve"> </w:t>
            </w:r>
            <w:r>
              <w:rPr>
                <w:sz w:val="18"/>
              </w:rPr>
              <w:t>Servants (M:21, F:14) from 5 districts/cities on how to use SEPAKAT.</w:t>
            </w:r>
          </w:p>
          <w:p w14:paraId="4C293701" w14:textId="77777777" w:rsidR="00BC24A8" w:rsidRDefault="00000000">
            <w:pPr>
              <w:pStyle w:val="TableParagraph"/>
              <w:numPr>
                <w:ilvl w:val="0"/>
                <w:numId w:val="91"/>
              </w:numPr>
              <w:tabs>
                <w:tab w:val="left" w:pos="439"/>
              </w:tabs>
              <w:ind w:right="189" w:hanging="361"/>
              <w:rPr>
                <w:sz w:val="18"/>
              </w:rPr>
            </w:pPr>
            <w:r>
              <w:rPr>
                <w:sz w:val="18"/>
              </w:rPr>
              <w:t>The</w:t>
            </w:r>
            <w:r>
              <w:rPr>
                <w:spacing w:val="-3"/>
                <w:sz w:val="18"/>
              </w:rPr>
              <w:t xml:space="preserve"> </w:t>
            </w:r>
            <w:r>
              <w:rPr>
                <w:sz w:val="18"/>
              </w:rPr>
              <w:t>results</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SEPAKAT</w:t>
            </w:r>
            <w:r>
              <w:rPr>
                <w:spacing w:val="-4"/>
                <w:sz w:val="18"/>
              </w:rPr>
              <w:t xml:space="preserve"> </w:t>
            </w:r>
            <w:r>
              <w:rPr>
                <w:sz w:val="18"/>
              </w:rPr>
              <w:t>analysis</w:t>
            </w:r>
            <w:r>
              <w:rPr>
                <w:spacing w:val="-3"/>
                <w:sz w:val="18"/>
              </w:rPr>
              <w:t xml:space="preserve"> </w:t>
            </w:r>
            <w:r>
              <w:rPr>
                <w:sz w:val="18"/>
              </w:rPr>
              <w:t>have</w:t>
            </w:r>
            <w:r>
              <w:rPr>
                <w:spacing w:val="-3"/>
                <w:sz w:val="18"/>
              </w:rPr>
              <w:t xml:space="preserve"> </w:t>
            </w:r>
            <w:r>
              <w:rPr>
                <w:sz w:val="18"/>
              </w:rPr>
              <w:t>been</w:t>
            </w:r>
            <w:r>
              <w:rPr>
                <w:spacing w:val="-3"/>
                <w:sz w:val="18"/>
              </w:rPr>
              <w:t xml:space="preserve"> </w:t>
            </w:r>
            <w:r>
              <w:rPr>
                <w:sz w:val="18"/>
              </w:rPr>
              <w:t>utilised</w:t>
            </w:r>
            <w:r>
              <w:rPr>
                <w:spacing w:val="-4"/>
                <w:sz w:val="18"/>
              </w:rPr>
              <w:t xml:space="preserve"> </w:t>
            </w:r>
            <w:r>
              <w:rPr>
                <w:sz w:val="18"/>
              </w:rPr>
              <w:t>across</w:t>
            </w:r>
            <w:r>
              <w:rPr>
                <w:spacing w:val="-3"/>
                <w:sz w:val="18"/>
              </w:rPr>
              <w:t xml:space="preserve"> </w:t>
            </w:r>
            <w:r>
              <w:rPr>
                <w:sz w:val="18"/>
              </w:rPr>
              <w:t>various</w:t>
            </w:r>
            <w:r>
              <w:rPr>
                <w:spacing w:val="-3"/>
                <w:sz w:val="18"/>
              </w:rPr>
              <w:t xml:space="preserve"> </w:t>
            </w:r>
            <w:r>
              <w:rPr>
                <w:sz w:val="18"/>
              </w:rPr>
              <w:t>planning</w:t>
            </w:r>
            <w:r>
              <w:rPr>
                <w:spacing w:val="-4"/>
                <w:sz w:val="18"/>
              </w:rPr>
              <w:t xml:space="preserve"> </w:t>
            </w:r>
            <w:r>
              <w:rPr>
                <w:sz w:val="18"/>
              </w:rPr>
              <w:t>documents</w:t>
            </w:r>
            <w:r>
              <w:rPr>
                <w:spacing w:val="-3"/>
                <w:sz w:val="18"/>
              </w:rPr>
              <w:t xml:space="preserve"> </w:t>
            </w:r>
            <w:r>
              <w:rPr>
                <w:sz w:val="18"/>
              </w:rPr>
              <w:t>at</w:t>
            </w:r>
            <w:r>
              <w:rPr>
                <w:spacing w:val="-2"/>
                <w:sz w:val="18"/>
              </w:rPr>
              <w:t xml:space="preserve"> </w:t>
            </w:r>
            <w:r>
              <w:rPr>
                <w:sz w:val="18"/>
              </w:rPr>
              <w:t>the provincial</w:t>
            </w:r>
            <w:r>
              <w:rPr>
                <w:spacing w:val="-1"/>
                <w:sz w:val="18"/>
              </w:rPr>
              <w:t xml:space="preserve"> </w:t>
            </w:r>
            <w:r>
              <w:rPr>
                <w:sz w:val="18"/>
              </w:rPr>
              <w:t>and</w:t>
            </w:r>
            <w:r>
              <w:rPr>
                <w:spacing w:val="-2"/>
                <w:sz w:val="18"/>
              </w:rPr>
              <w:t xml:space="preserve"> </w:t>
            </w:r>
            <w:r>
              <w:rPr>
                <w:sz w:val="18"/>
              </w:rPr>
              <w:t>district/city</w:t>
            </w:r>
            <w:r>
              <w:rPr>
                <w:spacing w:val="-2"/>
                <w:sz w:val="18"/>
              </w:rPr>
              <w:t xml:space="preserve"> </w:t>
            </w:r>
            <w:r>
              <w:rPr>
                <w:sz w:val="18"/>
              </w:rPr>
              <w:t>levels,</w:t>
            </w:r>
            <w:r>
              <w:rPr>
                <w:spacing w:val="-6"/>
                <w:sz w:val="18"/>
              </w:rPr>
              <w:t xml:space="preserve"> </w:t>
            </w:r>
            <w:r>
              <w:rPr>
                <w:sz w:val="18"/>
              </w:rPr>
              <w:t>including</w:t>
            </w:r>
            <w:r>
              <w:rPr>
                <w:spacing w:val="-3"/>
                <w:sz w:val="18"/>
              </w:rPr>
              <w:t xml:space="preserve"> </w:t>
            </w:r>
            <w:r>
              <w:rPr>
                <w:sz w:val="18"/>
              </w:rPr>
              <w:t>the</w:t>
            </w:r>
            <w:r>
              <w:rPr>
                <w:spacing w:val="-2"/>
                <w:sz w:val="18"/>
              </w:rPr>
              <w:t xml:space="preserve"> </w:t>
            </w:r>
            <w:r>
              <w:rPr>
                <w:sz w:val="18"/>
              </w:rPr>
              <w:t>academic</w:t>
            </w:r>
            <w:r>
              <w:rPr>
                <w:spacing w:val="-2"/>
                <w:sz w:val="18"/>
              </w:rPr>
              <w:t xml:space="preserve"> </w:t>
            </w:r>
            <w:r>
              <w:rPr>
                <w:sz w:val="18"/>
              </w:rPr>
              <w:t>manuscript</w:t>
            </w:r>
            <w:r>
              <w:rPr>
                <w:spacing w:val="-1"/>
                <w:sz w:val="18"/>
              </w:rPr>
              <w:t xml:space="preserve"> </w:t>
            </w:r>
            <w:r>
              <w:rPr>
                <w:sz w:val="18"/>
              </w:rPr>
              <w:t>for</w:t>
            </w:r>
            <w:r>
              <w:rPr>
                <w:spacing w:val="-2"/>
                <w:sz w:val="18"/>
              </w:rPr>
              <w:t xml:space="preserve"> </w:t>
            </w:r>
            <w:r>
              <w:rPr>
                <w:sz w:val="18"/>
              </w:rPr>
              <w:t>the</w:t>
            </w:r>
            <w:r>
              <w:rPr>
                <w:spacing w:val="-2"/>
                <w:sz w:val="18"/>
              </w:rPr>
              <w:t xml:space="preserve"> </w:t>
            </w:r>
            <w:r>
              <w:rPr>
                <w:sz w:val="18"/>
              </w:rPr>
              <w:t>Regional</w:t>
            </w:r>
            <w:r>
              <w:rPr>
                <w:spacing w:val="-1"/>
                <w:sz w:val="18"/>
              </w:rPr>
              <w:t xml:space="preserve"> </w:t>
            </w:r>
            <w:r>
              <w:rPr>
                <w:sz w:val="18"/>
              </w:rPr>
              <w:t>Regulation on Gender Mainstreaming and the gap analysis for the Regional Action Plan (RAD) concerning Persons with Disabilities.</w:t>
            </w:r>
          </w:p>
        </w:tc>
      </w:tr>
      <w:tr w:rsidR="00BC24A8" w14:paraId="569B7946" w14:textId="77777777">
        <w:trPr>
          <w:trHeight w:val="894"/>
        </w:trPr>
        <w:tc>
          <w:tcPr>
            <w:tcW w:w="1524" w:type="dxa"/>
            <w:tcBorders>
              <w:top w:val="single" w:sz="4" w:space="0" w:color="BEBEBE"/>
              <w:bottom w:val="single" w:sz="4" w:space="0" w:color="BEBEBE"/>
            </w:tcBorders>
          </w:tcPr>
          <w:p w14:paraId="212C1B66" w14:textId="77777777" w:rsidR="00BC24A8" w:rsidRDefault="00000000">
            <w:pPr>
              <w:pStyle w:val="TableParagraph"/>
              <w:spacing w:before="119"/>
              <w:ind w:left="122" w:right="116"/>
              <w:rPr>
                <w:sz w:val="18"/>
              </w:rPr>
            </w:pPr>
            <w:r>
              <w:rPr>
                <w:spacing w:val="-2"/>
                <w:sz w:val="18"/>
              </w:rPr>
              <w:t>Operational</w:t>
            </w:r>
            <w:r>
              <w:rPr>
                <w:sz w:val="18"/>
              </w:rPr>
              <w:t xml:space="preserve"> </w:t>
            </w:r>
            <w:r>
              <w:rPr>
                <w:spacing w:val="-2"/>
                <w:sz w:val="18"/>
              </w:rPr>
              <w:t>impact</w:t>
            </w:r>
          </w:p>
        </w:tc>
        <w:tc>
          <w:tcPr>
            <w:tcW w:w="7582" w:type="dxa"/>
            <w:tcBorders>
              <w:top w:val="single" w:sz="4" w:space="0" w:color="BEBEBE"/>
              <w:bottom w:val="single" w:sz="4" w:space="0" w:color="BEBEBE"/>
            </w:tcBorders>
          </w:tcPr>
          <w:p w14:paraId="3423E109" w14:textId="77777777" w:rsidR="00BC24A8" w:rsidRDefault="00000000">
            <w:pPr>
              <w:pStyle w:val="TableParagraph"/>
              <w:numPr>
                <w:ilvl w:val="0"/>
                <w:numId w:val="90"/>
              </w:numPr>
              <w:tabs>
                <w:tab w:val="left" w:pos="439"/>
              </w:tabs>
              <w:spacing w:before="119"/>
              <w:ind w:right="347"/>
              <w:rPr>
                <w:sz w:val="18"/>
              </w:rPr>
            </w:pPr>
            <w:r>
              <w:rPr>
                <w:sz w:val="18"/>
              </w:rPr>
              <w:t>Bappeda,</w:t>
            </w:r>
            <w:r>
              <w:rPr>
                <w:spacing w:val="-4"/>
                <w:sz w:val="18"/>
              </w:rPr>
              <w:t xml:space="preserve"> </w:t>
            </w:r>
            <w:r>
              <w:rPr>
                <w:sz w:val="18"/>
              </w:rPr>
              <w:t>Office</w:t>
            </w:r>
            <w:r>
              <w:rPr>
                <w:spacing w:val="-3"/>
                <w:sz w:val="18"/>
              </w:rPr>
              <w:t xml:space="preserve"> </w:t>
            </w:r>
            <w:r>
              <w:rPr>
                <w:sz w:val="18"/>
              </w:rPr>
              <w:t>for</w:t>
            </w:r>
            <w:r>
              <w:rPr>
                <w:spacing w:val="-3"/>
                <w:sz w:val="18"/>
              </w:rPr>
              <w:t xml:space="preserve"> </w:t>
            </w:r>
            <w:r>
              <w:rPr>
                <w:sz w:val="18"/>
              </w:rPr>
              <w:t>Communication</w:t>
            </w:r>
            <w:r>
              <w:rPr>
                <w:spacing w:val="-3"/>
                <w:sz w:val="18"/>
              </w:rPr>
              <w:t xml:space="preserve"> </w:t>
            </w:r>
            <w:r>
              <w:rPr>
                <w:sz w:val="18"/>
              </w:rPr>
              <w:t>and</w:t>
            </w:r>
            <w:r>
              <w:rPr>
                <w:spacing w:val="-3"/>
                <w:sz w:val="18"/>
              </w:rPr>
              <w:t xml:space="preserve"> </w:t>
            </w:r>
            <w:r>
              <w:rPr>
                <w:sz w:val="18"/>
              </w:rPr>
              <w:t>Informatics,</w:t>
            </w:r>
            <w:r>
              <w:rPr>
                <w:spacing w:val="-4"/>
                <w:sz w:val="18"/>
              </w:rPr>
              <w:t xml:space="preserve"> </w:t>
            </w:r>
            <w:r>
              <w:rPr>
                <w:sz w:val="18"/>
              </w:rPr>
              <w:t>and</w:t>
            </w:r>
            <w:r>
              <w:rPr>
                <w:spacing w:val="-3"/>
                <w:sz w:val="18"/>
              </w:rPr>
              <w:t xml:space="preserve"> </w:t>
            </w:r>
            <w:r>
              <w:rPr>
                <w:sz w:val="18"/>
              </w:rPr>
              <w:t>BPS</w:t>
            </w:r>
            <w:r>
              <w:rPr>
                <w:spacing w:val="-3"/>
                <w:sz w:val="18"/>
              </w:rPr>
              <w:t xml:space="preserve"> </w:t>
            </w:r>
            <w:r>
              <w:rPr>
                <w:sz w:val="18"/>
              </w:rPr>
              <w:t>independently</w:t>
            </w:r>
            <w:r>
              <w:rPr>
                <w:spacing w:val="-4"/>
                <w:sz w:val="18"/>
              </w:rPr>
              <w:t xml:space="preserve"> </w:t>
            </w:r>
            <w:r>
              <w:rPr>
                <w:sz w:val="18"/>
              </w:rPr>
              <w:t>compiled</w:t>
            </w:r>
            <w:r>
              <w:rPr>
                <w:spacing w:val="-3"/>
                <w:sz w:val="18"/>
              </w:rPr>
              <w:t xml:space="preserve"> </w:t>
            </w:r>
            <w:r>
              <w:rPr>
                <w:sz w:val="18"/>
              </w:rPr>
              <w:t>a</w:t>
            </w:r>
            <w:r>
              <w:rPr>
                <w:spacing w:val="-6"/>
                <w:sz w:val="18"/>
              </w:rPr>
              <w:t xml:space="preserve"> </w:t>
            </w:r>
            <w:r>
              <w:rPr>
                <w:sz w:val="18"/>
              </w:rPr>
              <w:t>list</w:t>
            </w:r>
            <w:r>
              <w:rPr>
                <w:spacing w:val="-2"/>
                <w:sz w:val="18"/>
              </w:rPr>
              <w:t xml:space="preserve"> </w:t>
            </w:r>
            <w:r>
              <w:rPr>
                <w:sz w:val="18"/>
              </w:rPr>
              <w:t>of 2025 data</w:t>
            </w:r>
          </w:p>
          <w:p w14:paraId="5F7CECF6" w14:textId="77777777" w:rsidR="00BC24A8" w:rsidRDefault="00000000">
            <w:pPr>
              <w:pStyle w:val="TableParagraph"/>
              <w:numPr>
                <w:ilvl w:val="0"/>
                <w:numId w:val="90"/>
              </w:numPr>
              <w:tabs>
                <w:tab w:val="left" w:pos="439"/>
              </w:tabs>
              <w:spacing w:line="219" w:lineRule="exact"/>
              <w:rPr>
                <w:sz w:val="18"/>
              </w:rPr>
            </w:pPr>
            <w:r>
              <w:rPr>
                <w:sz w:val="18"/>
              </w:rPr>
              <w:t>Completion</w:t>
            </w:r>
            <w:r>
              <w:rPr>
                <w:spacing w:val="-2"/>
                <w:sz w:val="18"/>
              </w:rPr>
              <w:t xml:space="preserve"> </w:t>
            </w:r>
            <w:r>
              <w:rPr>
                <w:sz w:val="18"/>
              </w:rPr>
              <w:t>rate</w:t>
            </w:r>
            <w:r>
              <w:rPr>
                <w:spacing w:val="-3"/>
                <w:sz w:val="18"/>
              </w:rPr>
              <w:t xml:space="preserve"> </w:t>
            </w:r>
            <w:r>
              <w:rPr>
                <w:sz w:val="18"/>
              </w:rPr>
              <w:t>of</w:t>
            </w:r>
            <w:r>
              <w:rPr>
                <w:spacing w:val="-3"/>
                <w:sz w:val="18"/>
              </w:rPr>
              <w:t xml:space="preserve"> </w:t>
            </w:r>
            <w:r>
              <w:rPr>
                <w:sz w:val="18"/>
              </w:rPr>
              <w:t>e-walidata</w:t>
            </w:r>
            <w:r>
              <w:rPr>
                <w:spacing w:val="-3"/>
                <w:sz w:val="18"/>
              </w:rPr>
              <w:t xml:space="preserve"> </w:t>
            </w:r>
            <w:r>
              <w:rPr>
                <w:sz w:val="18"/>
              </w:rPr>
              <w:t>for</w:t>
            </w:r>
            <w:r>
              <w:rPr>
                <w:spacing w:val="-1"/>
                <w:sz w:val="18"/>
              </w:rPr>
              <w:t xml:space="preserve"> </w:t>
            </w:r>
            <w:r>
              <w:rPr>
                <w:sz w:val="18"/>
              </w:rPr>
              <w:t>the</w:t>
            </w:r>
            <w:r>
              <w:rPr>
                <w:spacing w:val="-2"/>
                <w:sz w:val="18"/>
              </w:rPr>
              <w:t xml:space="preserve"> </w:t>
            </w:r>
            <w:r>
              <w:rPr>
                <w:sz w:val="18"/>
              </w:rPr>
              <w:t>2024</w:t>
            </w:r>
            <w:r>
              <w:rPr>
                <w:spacing w:val="-2"/>
                <w:sz w:val="18"/>
              </w:rPr>
              <w:t xml:space="preserve"> </w:t>
            </w:r>
            <w:r>
              <w:rPr>
                <w:sz w:val="18"/>
              </w:rPr>
              <w:t>data</w:t>
            </w:r>
            <w:r>
              <w:rPr>
                <w:spacing w:val="-3"/>
                <w:sz w:val="18"/>
              </w:rPr>
              <w:t xml:space="preserve"> </w:t>
            </w:r>
            <w:r>
              <w:rPr>
                <w:sz w:val="18"/>
              </w:rPr>
              <w:t>has</w:t>
            </w:r>
            <w:r>
              <w:rPr>
                <w:spacing w:val="-2"/>
                <w:sz w:val="18"/>
              </w:rPr>
              <w:t xml:space="preserve"> </w:t>
            </w:r>
            <w:r>
              <w:rPr>
                <w:sz w:val="18"/>
              </w:rPr>
              <w:t>reached</w:t>
            </w:r>
            <w:r>
              <w:rPr>
                <w:spacing w:val="-1"/>
                <w:sz w:val="18"/>
              </w:rPr>
              <w:t xml:space="preserve"> </w:t>
            </w:r>
            <w:r>
              <w:rPr>
                <w:spacing w:val="-4"/>
                <w:sz w:val="18"/>
              </w:rPr>
              <w:t>95%.</w:t>
            </w:r>
          </w:p>
        </w:tc>
      </w:tr>
    </w:tbl>
    <w:p w14:paraId="25885F74" w14:textId="77777777" w:rsidR="00BC24A8" w:rsidRDefault="00BC24A8">
      <w:pPr>
        <w:pStyle w:val="BodyText"/>
        <w:spacing w:before="40"/>
        <w:rPr>
          <w:rFonts w:ascii="Calibri"/>
          <w:b/>
        </w:rPr>
      </w:pPr>
    </w:p>
    <w:p w14:paraId="7BC2A3A1" w14:textId="77777777" w:rsidR="00BC24A8" w:rsidRDefault="00000000">
      <w:pPr>
        <w:ind w:left="143"/>
        <w:rPr>
          <w:rFonts w:ascii="Calibri"/>
          <w:b/>
        </w:rPr>
      </w:pPr>
      <w:r>
        <w:rPr>
          <w:rFonts w:ascii="Calibri"/>
          <w:b/>
          <w:color w:val="767070"/>
        </w:rPr>
        <w:t>GEDSI</w:t>
      </w:r>
      <w:r>
        <w:rPr>
          <w:rFonts w:ascii="Calibri"/>
          <w:b/>
          <w:color w:val="767070"/>
          <w:spacing w:val="-5"/>
        </w:rPr>
        <w:t xml:space="preserve"> </w:t>
      </w:r>
      <w:r>
        <w:rPr>
          <w:rFonts w:ascii="Calibri"/>
          <w:b/>
          <w:color w:val="767070"/>
          <w:spacing w:val="-2"/>
        </w:rPr>
        <w:t>Theme</w:t>
      </w:r>
    </w:p>
    <w:p w14:paraId="750C440E"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423"/>
        <w:gridCol w:w="7675"/>
      </w:tblGrid>
      <w:tr w:rsidR="00BC24A8" w14:paraId="64FF6EC4" w14:textId="77777777">
        <w:trPr>
          <w:trHeight w:val="415"/>
        </w:trPr>
        <w:tc>
          <w:tcPr>
            <w:tcW w:w="1423" w:type="dxa"/>
            <w:tcBorders>
              <w:bottom w:val="single" w:sz="4" w:space="0" w:color="BEBEBE"/>
            </w:tcBorders>
            <w:shd w:val="clear" w:color="auto" w:fill="17365A"/>
          </w:tcPr>
          <w:p w14:paraId="729BD4EE" w14:textId="77777777" w:rsidR="00BC24A8" w:rsidRDefault="00000000">
            <w:pPr>
              <w:pStyle w:val="TableParagraph"/>
              <w:spacing w:before="85"/>
              <w:ind w:left="115"/>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675" w:type="dxa"/>
            <w:tcBorders>
              <w:bottom w:val="single" w:sz="4" w:space="0" w:color="BEBEBE"/>
            </w:tcBorders>
            <w:shd w:val="clear" w:color="auto" w:fill="17365A"/>
          </w:tcPr>
          <w:p w14:paraId="5F449470" w14:textId="77777777" w:rsidR="00BC24A8" w:rsidRDefault="00000000">
            <w:pPr>
              <w:pStyle w:val="TableParagraph"/>
              <w:spacing w:before="85"/>
              <w:ind w:left="202"/>
              <w:rPr>
                <w:rFonts w:ascii="Calibri"/>
                <w:b/>
                <w:sz w:val="20"/>
              </w:rPr>
            </w:pPr>
            <w:r>
              <w:rPr>
                <w:rFonts w:ascii="Calibri"/>
                <w:b/>
                <w:color w:val="FFFFFF"/>
                <w:spacing w:val="-2"/>
                <w:sz w:val="20"/>
              </w:rPr>
              <w:t>Impact</w:t>
            </w:r>
          </w:p>
        </w:tc>
      </w:tr>
      <w:tr w:rsidR="00BC24A8" w14:paraId="5678D2C7" w14:textId="77777777">
        <w:trPr>
          <w:trHeight w:val="2870"/>
        </w:trPr>
        <w:tc>
          <w:tcPr>
            <w:tcW w:w="1423" w:type="dxa"/>
            <w:tcBorders>
              <w:top w:val="single" w:sz="4" w:space="0" w:color="BEBEBE"/>
              <w:bottom w:val="single" w:sz="4" w:space="0" w:color="BEBEBE"/>
            </w:tcBorders>
          </w:tcPr>
          <w:p w14:paraId="36494C7D" w14:textId="77777777" w:rsidR="00BC24A8" w:rsidRDefault="00000000">
            <w:pPr>
              <w:pStyle w:val="TableParagraph"/>
              <w:spacing w:before="116"/>
              <w:ind w:left="115"/>
              <w:rPr>
                <w:sz w:val="18"/>
              </w:rPr>
            </w:pPr>
            <w:r>
              <w:rPr>
                <w:spacing w:val="-2"/>
                <w:sz w:val="18"/>
              </w:rPr>
              <w:t>Methodological</w:t>
            </w:r>
            <w:r>
              <w:rPr>
                <w:sz w:val="18"/>
              </w:rPr>
              <w:t xml:space="preserve"> </w:t>
            </w:r>
            <w:r>
              <w:rPr>
                <w:spacing w:val="-2"/>
                <w:sz w:val="18"/>
              </w:rPr>
              <w:t>impact</w:t>
            </w:r>
          </w:p>
        </w:tc>
        <w:tc>
          <w:tcPr>
            <w:tcW w:w="7675" w:type="dxa"/>
            <w:tcBorders>
              <w:top w:val="single" w:sz="4" w:space="0" w:color="BEBEBE"/>
              <w:bottom w:val="single" w:sz="4" w:space="0" w:color="BEBEBE"/>
            </w:tcBorders>
          </w:tcPr>
          <w:p w14:paraId="350837D8" w14:textId="77777777" w:rsidR="00BC24A8" w:rsidRDefault="00000000">
            <w:pPr>
              <w:pStyle w:val="TableParagraph"/>
              <w:numPr>
                <w:ilvl w:val="0"/>
                <w:numId w:val="89"/>
              </w:numPr>
              <w:tabs>
                <w:tab w:val="left" w:pos="533"/>
              </w:tabs>
              <w:spacing w:before="116"/>
              <w:rPr>
                <w:sz w:val="18"/>
              </w:rPr>
            </w:pPr>
            <w:r>
              <w:rPr>
                <w:sz w:val="18"/>
              </w:rPr>
              <w:t>The</w:t>
            </w:r>
            <w:r>
              <w:rPr>
                <w:spacing w:val="-4"/>
                <w:sz w:val="18"/>
              </w:rPr>
              <w:t xml:space="preserve"> </w:t>
            </w:r>
            <w:r>
              <w:rPr>
                <w:sz w:val="18"/>
              </w:rPr>
              <w:t>guidelines</w:t>
            </w:r>
            <w:r>
              <w:rPr>
                <w:spacing w:val="-3"/>
                <w:sz w:val="18"/>
              </w:rPr>
              <w:t xml:space="preserve"> </w:t>
            </w:r>
            <w:r>
              <w:rPr>
                <w:sz w:val="18"/>
              </w:rPr>
              <w:t>for</w:t>
            </w:r>
            <w:r>
              <w:rPr>
                <w:spacing w:val="-2"/>
                <w:sz w:val="18"/>
              </w:rPr>
              <w:t xml:space="preserve"> </w:t>
            </w:r>
            <w:r>
              <w:rPr>
                <w:sz w:val="18"/>
              </w:rPr>
              <w:t>the</w:t>
            </w:r>
            <w:r>
              <w:rPr>
                <w:spacing w:val="-2"/>
                <w:sz w:val="18"/>
              </w:rPr>
              <w:t xml:space="preserve"> </w:t>
            </w:r>
            <w:r>
              <w:rPr>
                <w:sz w:val="18"/>
              </w:rPr>
              <w:t>implementation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thematic</w:t>
            </w:r>
            <w:r>
              <w:rPr>
                <w:spacing w:val="-3"/>
                <w:sz w:val="18"/>
              </w:rPr>
              <w:t xml:space="preserve"> </w:t>
            </w:r>
            <w:r>
              <w:rPr>
                <w:sz w:val="18"/>
              </w:rPr>
              <w:t>musrenbang</w:t>
            </w:r>
            <w:r>
              <w:rPr>
                <w:spacing w:val="-2"/>
                <w:sz w:val="18"/>
              </w:rPr>
              <w:t xml:space="preserve"> </w:t>
            </w:r>
            <w:r>
              <w:rPr>
                <w:sz w:val="18"/>
              </w:rPr>
              <w:t>have</w:t>
            </w:r>
            <w:r>
              <w:rPr>
                <w:spacing w:val="-2"/>
                <w:sz w:val="18"/>
              </w:rPr>
              <w:t xml:space="preserve"> </w:t>
            </w:r>
            <w:r>
              <w:rPr>
                <w:sz w:val="18"/>
              </w:rPr>
              <w:t>been</w:t>
            </w:r>
            <w:r>
              <w:rPr>
                <w:spacing w:val="-2"/>
                <w:sz w:val="18"/>
              </w:rPr>
              <w:t xml:space="preserve"> </w:t>
            </w:r>
            <w:r>
              <w:rPr>
                <w:sz w:val="18"/>
              </w:rPr>
              <w:t>submitted</w:t>
            </w:r>
            <w:r>
              <w:rPr>
                <w:spacing w:val="-2"/>
                <w:sz w:val="18"/>
              </w:rPr>
              <w:t xml:space="preserve"> </w:t>
            </w:r>
            <w:r>
              <w:rPr>
                <w:spacing w:val="-5"/>
                <w:sz w:val="18"/>
              </w:rPr>
              <w:t>to</w:t>
            </w:r>
          </w:p>
          <w:p w14:paraId="17532A8B" w14:textId="77777777" w:rsidR="00BC24A8" w:rsidRDefault="00000000">
            <w:pPr>
              <w:pStyle w:val="TableParagraph"/>
              <w:spacing w:before="1" w:line="219" w:lineRule="exact"/>
              <w:ind w:left="533"/>
              <w:rPr>
                <w:sz w:val="18"/>
              </w:rPr>
            </w:pPr>
            <w:r>
              <w:rPr>
                <w:spacing w:val="-2"/>
                <w:sz w:val="18"/>
              </w:rPr>
              <w:t>Bappeda.</w:t>
            </w:r>
          </w:p>
          <w:p w14:paraId="6C93DE80" w14:textId="77777777" w:rsidR="00BC24A8" w:rsidRDefault="00000000">
            <w:pPr>
              <w:pStyle w:val="TableParagraph"/>
              <w:numPr>
                <w:ilvl w:val="0"/>
                <w:numId w:val="89"/>
              </w:numPr>
              <w:tabs>
                <w:tab w:val="left" w:pos="533"/>
              </w:tabs>
              <w:ind w:right="507"/>
              <w:rPr>
                <w:sz w:val="18"/>
              </w:rPr>
            </w:pPr>
            <w:r>
              <w:rPr>
                <w:sz w:val="18"/>
              </w:rPr>
              <w:t>39</w:t>
            </w:r>
            <w:r>
              <w:rPr>
                <w:spacing w:val="-3"/>
                <w:sz w:val="18"/>
              </w:rPr>
              <w:t xml:space="preserve"> </w:t>
            </w:r>
            <w:r>
              <w:rPr>
                <w:sz w:val="18"/>
              </w:rPr>
              <w:t>civil</w:t>
            </w:r>
            <w:r>
              <w:rPr>
                <w:spacing w:val="-2"/>
                <w:sz w:val="18"/>
              </w:rPr>
              <w:t xml:space="preserve"> </w:t>
            </w:r>
            <w:r>
              <w:rPr>
                <w:sz w:val="18"/>
              </w:rPr>
              <w:t>servants</w:t>
            </w:r>
            <w:r>
              <w:rPr>
                <w:spacing w:val="-3"/>
                <w:sz w:val="18"/>
              </w:rPr>
              <w:t xml:space="preserve"> </w:t>
            </w:r>
            <w:r>
              <w:rPr>
                <w:sz w:val="18"/>
              </w:rPr>
              <w:t>from</w:t>
            </w:r>
            <w:r>
              <w:rPr>
                <w:spacing w:val="-4"/>
                <w:sz w:val="18"/>
              </w:rPr>
              <w:t xml:space="preserve"> </w:t>
            </w:r>
            <w:r>
              <w:rPr>
                <w:sz w:val="18"/>
              </w:rPr>
              <w:t>15</w:t>
            </w:r>
            <w:r>
              <w:rPr>
                <w:spacing w:val="-3"/>
                <w:sz w:val="18"/>
              </w:rPr>
              <w:t xml:space="preserve"> </w:t>
            </w:r>
            <w:r>
              <w:rPr>
                <w:sz w:val="18"/>
              </w:rPr>
              <w:t>Provincial</w:t>
            </w:r>
            <w:r>
              <w:rPr>
                <w:spacing w:val="-2"/>
                <w:sz w:val="18"/>
              </w:rPr>
              <w:t xml:space="preserve"> </w:t>
            </w:r>
            <w:r>
              <w:rPr>
                <w:sz w:val="18"/>
              </w:rPr>
              <w:t>Agencies</w:t>
            </w:r>
            <w:r>
              <w:rPr>
                <w:spacing w:val="-3"/>
                <w:sz w:val="18"/>
              </w:rPr>
              <w:t xml:space="preserve"> </w:t>
            </w:r>
            <w:r>
              <w:rPr>
                <w:sz w:val="18"/>
              </w:rPr>
              <w:t>in</w:t>
            </w:r>
            <w:r>
              <w:rPr>
                <w:spacing w:val="-3"/>
                <w:sz w:val="18"/>
              </w:rPr>
              <w:t xml:space="preserve"> </w:t>
            </w:r>
            <w:r>
              <w:rPr>
                <w:sz w:val="18"/>
              </w:rPr>
              <w:t>Maluku</w:t>
            </w:r>
            <w:r>
              <w:rPr>
                <w:spacing w:val="-3"/>
                <w:sz w:val="18"/>
              </w:rPr>
              <w:t xml:space="preserve"> </w:t>
            </w:r>
            <w:r>
              <w:rPr>
                <w:sz w:val="18"/>
              </w:rPr>
              <w:t>Province</w:t>
            </w:r>
            <w:r>
              <w:rPr>
                <w:spacing w:val="-3"/>
                <w:sz w:val="18"/>
              </w:rPr>
              <w:t xml:space="preserve"> </w:t>
            </w:r>
            <w:r>
              <w:rPr>
                <w:sz w:val="18"/>
              </w:rPr>
              <w:t>have</w:t>
            </w:r>
            <w:r>
              <w:rPr>
                <w:spacing w:val="-3"/>
                <w:sz w:val="18"/>
              </w:rPr>
              <w:t xml:space="preserve"> </w:t>
            </w:r>
            <w:r>
              <w:rPr>
                <w:sz w:val="18"/>
              </w:rPr>
              <w:t>been</w:t>
            </w:r>
            <w:r>
              <w:rPr>
                <w:spacing w:val="-3"/>
                <w:sz w:val="18"/>
              </w:rPr>
              <w:t xml:space="preserve"> </w:t>
            </w:r>
            <w:r>
              <w:rPr>
                <w:sz w:val="18"/>
              </w:rPr>
              <w:t>trained</w:t>
            </w:r>
            <w:r>
              <w:rPr>
                <w:spacing w:val="-3"/>
                <w:sz w:val="18"/>
              </w:rPr>
              <w:t xml:space="preserve"> </w:t>
            </w:r>
            <w:r>
              <w:rPr>
                <w:sz w:val="18"/>
              </w:rPr>
              <w:t>on</w:t>
            </w:r>
            <w:r>
              <w:rPr>
                <w:spacing w:val="-3"/>
                <w:sz w:val="18"/>
              </w:rPr>
              <w:t xml:space="preserve"> </w:t>
            </w:r>
            <w:r>
              <w:rPr>
                <w:sz w:val="18"/>
              </w:rPr>
              <w:t>GRPB (Gender-Responsive Planning and Budgeting).</w:t>
            </w:r>
          </w:p>
          <w:p w14:paraId="7FCBC3B1" w14:textId="77777777" w:rsidR="00BC24A8" w:rsidRDefault="00000000">
            <w:pPr>
              <w:pStyle w:val="TableParagraph"/>
              <w:numPr>
                <w:ilvl w:val="0"/>
                <w:numId w:val="89"/>
              </w:numPr>
              <w:tabs>
                <w:tab w:val="left" w:pos="533"/>
              </w:tabs>
              <w:spacing w:line="219" w:lineRule="exact"/>
              <w:rPr>
                <w:sz w:val="18"/>
              </w:rPr>
            </w:pPr>
            <w:r>
              <w:rPr>
                <w:sz w:val="18"/>
              </w:rPr>
              <w:t>A</w:t>
            </w:r>
            <w:r>
              <w:rPr>
                <w:spacing w:val="-3"/>
                <w:sz w:val="18"/>
              </w:rPr>
              <w:t xml:space="preserve"> </w:t>
            </w:r>
            <w:r>
              <w:rPr>
                <w:sz w:val="18"/>
              </w:rPr>
              <w:t>gap</w:t>
            </w:r>
            <w:r>
              <w:rPr>
                <w:spacing w:val="-1"/>
                <w:sz w:val="18"/>
              </w:rPr>
              <w:t xml:space="preserve"> </w:t>
            </w:r>
            <w:r>
              <w:rPr>
                <w:sz w:val="18"/>
              </w:rPr>
              <w:t>analysis</w:t>
            </w:r>
            <w:r>
              <w:rPr>
                <w:spacing w:val="-2"/>
                <w:sz w:val="18"/>
              </w:rPr>
              <w:t xml:space="preserve"> </w:t>
            </w:r>
            <w:r>
              <w:rPr>
                <w:sz w:val="18"/>
              </w:rPr>
              <w:t>matrix</w:t>
            </w:r>
            <w:r>
              <w:rPr>
                <w:spacing w:val="-2"/>
                <w:sz w:val="18"/>
              </w:rPr>
              <w:t xml:space="preserve"> </w:t>
            </w:r>
            <w:r>
              <w:rPr>
                <w:sz w:val="18"/>
              </w:rPr>
              <w:t>for</w:t>
            </w:r>
            <w:r>
              <w:rPr>
                <w:spacing w:val="-1"/>
                <w:sz w:val="18"/>
              </w:rPr>
              <w:t xml:space="preserve"> </w:t>
            </w:r>
            <w:r>
              <w:rPr>
                <w:sz w:val="18"/>
              </w:rPr>
              <w:t>RAD</w:t>
            </w:r>
            <w:r>
              <w:rPr>
                <w:spacing w:val="-1"/>
                <w:sz w:val="18"/>
              </w:rPr>
              <w:t xml:space="preserve"> </w:t>
            </w:r>
            <w:r>
              <w:rPr>
                <w:sz w:val="18"/>
              </w:rPr>
              <w:t>for</w:t>
            </w:r>
            <w:r>
              <w:rPr>
                <w:spacing w:val="1"/>
                <w:sz w:val="18"/>
              </w:rPr>
              <w:t xml:space="preserve"> </w:t>
            </w:r>
            <w:r>
              <w:rPr>
                <w:sz w:val="18"/>
              </w:rPr>
              <w:t>persons</w:t>
            </w:r>
            <w:r>
              <w:rPr>
                <w:spacing w:val="-1"/>
                <w:sz w:val="18"/>
              </w:rPr>
              <w:t xml:space="preserve"> </w:t>
            </w:r>
            <w:r>
              <w:rPr>
                <w:sz w:val="18"/>
              </w:rPr>
              <w:t>with</w:t>
            </w:r>
            <w:r>
              <w:rPr>
                <w:spacing w:val="-2"/>
                <w:sz w:val="18"/>
              </w:rPr>
              <w:t xml:space="preserve"> </w:t>
            </w:r>
            <w:r>
              <w:rPr>
                <w:sz w:val="18"/>
              </w:rPr>
              <w:t>disabilities</w:t>
            </w:r>
            <w:r>
              <w:rPr>
                <w:spacing w:val="-1"/>
                <w:sz w:val="18"/>
              </w:rPr>
              <w:t xml:space="preserve"> </w:t>
            </w:r>
            <w:r>
              <w:rPr>
                <w:sz w:val="18"/>
              </w:rPr>
              <w:t>is</w:t>
            </w:r>
            <w:r>
              <w:rPr>
                <w:spacing w:val="-1"/>
                <w:sz w:val="18"/>
              </w:rPr>
              <w:t xml:space="preserve"> </w:t>
            </w:r>
            <w:r>
              <w:rPr>
                <w:spacing w:val="-2"/>
                <w:sz w:val="18"/>
              </w:rPr>
              <w:t>available.</w:t>
            </w:r>
          </w:p>
          <w:p w14:paraId="471F4C6B" w14:textId="77777777" w:rsidR="00BC24A8" w:rsidRDefault="00000000">
            <w:pPr>
              <w:pStyle w:val="TableParagraph"/>
              <w:numPr>
                <w:ilvl w:val="0"/>
                <w:numId w:val="89"/>
              </w:numPr>
              <w:tabs>
                <w:tab w:val="left" w:pos="533"/>
              </w:tabs>
              <w:spacing w:before="1"/>
              <w:ind w:right="157"/>
              <w:rPr>
                <w:sz w:val="18"/>
              </w:rPr>
            </w:pPr>
            <w:r>
              <w:rPr>
                <w:sz w:val="18"/>
              </w:rPr>
              <w:t>Revision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Decree</w:t>
            </w:r>
            <w:r>
              <w:rPr>
                <w:spacing w:val="-3"/>
                <w:sz w:val="18"/>
              </w:rPr>
              <w:t xml:space="preserve"> </w:t>
            </w:r>
            <w:r>
              <w:rPr>
                <w:sz w:val="18"/>
              </w:rPr>
              <w:t>on</w:t>
            </w:r>
            <w:r>
              <w:rPr>
                <w:spacing w:val="-3"/>
                <w:sz w:val="18"/>
              </w:rPr>
              <w:t xml:space="preserve"> </w:t>
            </w:r>
            <w:r>
              <w:rPr>
                <w:sz w:val="18"/>
              </w:rPr>
              <w:t>Puspa</w:t>
            </w:r>
            <w:r>
              <w:rPr>
                <w:spacing w:val="-4"/>
                <w:sz w:val="18"/>
              </w:rPr>
              <w:t xml:space="preserve"> </w:t>
            </w:r>
            <w:r>
              <w:rPr>
                <w:sz w:val="18"/>
              </w:rPr>
              <w:t>Forum</w:t>
            </w:r>
            <w:r>
              <w:rPr>
                <w:spacing w:val="-4"/>
                <w:sz w:val="18"/>
              </w:rPr>
              <w:t xml:space="preserve"> </w:t>
            </w:r>
            <w:r>
              <w:rPr>
                <w:sz w:val="18"/>
              </w:rPr>
              <w:t>into</w:t>
            </w:r>
            <w:r>
              <w:rPr>
                <w:spacing w:val="-4"/>
                <w:sz w:val="18"/>
              </w:rPr>
              <w:t xml:space="preserve"> </w:t>
            </w:r>
            <w:r>
              <w:rPr>
                <w:sz w:val="18"/>
              </w:rPr>
              <w:t>the</w:t>
            </w:r>
            <w:r>
              <w:rPr>
                <w:spacing w:val="-3"/>
                <w:sz w:val="18"/>
              </w:rPr>
              <w:t xml:space="preserve"> </w:t>
            </w:r>
            <w:r>
              <w:rPr>
                <w:sz w:val="18"/>
              </w:rPr>
              <w:t>Civil</w:t>
            </w:r>
            <w:r>
              <w:rPr>
                <w:spacing w:val="-2"/>
                <w:sz w:val="18"/>
              </w:rPr>
              <w:t xml:space="preserve"> </w:t>
            </w:r>
            <w:r>
              <w:rPr>
                <w:sz w:val="18"/>
              </w:rPr>
              <w:t>Society</w:t>
            </w:r>
            <w:r>
              <w:rPr>
                <w:spacing w:val="-3"/>
                <w:sz w:val="18"/>
              </w:rPr>
              <w:t xml:space="preserve"> </w:t>
            </w:r>
            <w:r>
              <w:rPr>
                <w:sz w:val="18"/>
              </w:rPr>
              <w:t>Network</w:t>
            </w:r>
            <w:r>
              <w:rPr>
                <w:spacing w:val="-4"/>
                <w:sz w:val="18"/>
              </w:rPr>
              <w:t xml:space="preserve"> </w:t>
            </w:r>
            <w:r>
              <w:rPr>
                <w:sz w:val="18"/>
              </w:rPr>
              <w:t>(JMS)</w:t>
            </w:r>
            <w:r>
              <w:rPr>
                <w:spacing w:val="-2"/>
                <w:sz w:val="18"/>
              </w:rPr>
              <w:t xml:space="preserve"> </w:t>
            </w:r>
            <w:r>
              <w:rPr>
                <w:sz w:val="18"/>
              </w:rPr>
              <w:t>forum</w:t>
            </w:r>
            <w:r>
              <w:rPr>
                <w:spacing w:val="-4"/>
                <w:sz w:val="18"/>
              </w:rPr>
              <w:t xml:space="preserve"> </w:t>
            </w:r>
            <w:r>
              <w:rPr>
                <w:sz w:val="18"/>
              </w:rPr>
              <w:t>in</w:t>
            </w:r>
            <w:r>
              <w:rPr>
                <w:spacing w:val="-3"/>
                <w:sz w:val="18"/>
              </w:rPr>
              <w:t xml:space="preserve"> </w:t>
            </w:r>
            <w:r>
              <w:rPr>
                <w:sz w:val="18"/>
              </w:rPr>
              <w:t>Maluku</w:t>
            </w:r>
            <w:r>
              <w:rPr>
                <w:spacing w:val="-3"/>
                <w:sz w:val="18"/>
              </w:rPr>
              <w:t xml:space="preserve"> </w:t>
            </w:r>
            <w:r>
              <w:rPr>
                <w:sz w:val="18"/>
              </w:rPr>
              <w:t>has been done.</w:t>
            </w:r>
          </w:p>
          <w:p w14:paraId="16C38D19" w14:textId="77777777" w:rsidR="00BC24A8" w:rsidRDefault="00000000">
            <w:pPr>
              <w:pStyle w:val="TableParagraph"/>
              <w:numPr>
                <w:ilvl w:val="0"/>
                <w:numId w:val="89"/>
              </w:numPr>
              <w:tabs>
                <w:tab w:val="left" w:pos="533"/>
              </w:tabs>
              <w:ind w:right="287"/>
              <w:rPr>
                <w:sz w:val="18"/>
              </w:rPr>
            </w:pPr>
            <w:r>
              <w:rPr>
                <w:sz w:val="18"/>
              </w:rPr>
              <w:t>24</w:t>
            </w:r>
            <w:r>
              <w:rPr>
                <w:spacing w:val="-3"/>
                <w:sz w:val="18"/>
              </w:rPr>
              <w:t xml:space="preserve"> </w:t>
            </w:r>
            <w:r>
              <w:rPr>
                <w:sz w:val="18"/>
              </w:rPr>
              <w:t>representatives</w:t>
            </w:r>
            <w:r>
              <w:rPr>
                <w:spacing w:val="-3"/>
                <w:sz w:val="18"/>
              </w:rPr>
              <w:t xml:space="preserve"> </w:t>
            </w:r>
            <w:r>
              <w:rPr>
                <w:sz w:val="18"/>
              </w:rPr>
              <w:t>(M:4,</w:t>
            </w:r>
            <w:r>
              <w:rPr>
                <w:spacing w:val="-4"/>
                <w:sz w:val="18"/>
              </w:rPr>
              <w:t xml:space="preserve"> </w:t>
            </w:r>
            <w:r>
              <w:rPr>
                <w:sz w:val="18"/>
              </w:rPr>
              <w:t>F:20)</w:t>
            </w:r>
            <w:r>
              <w:rPr>
                <w:spacing w:val="-4"/>
                <w:sz w:val="18"/>
              </w:rPr>
              <w:t xml:space="preserve"> </w:t>
            </w:r>
            <w:r>
              <w:rPr>
                <w:sz w:val="18"/>
              </w:rPr>
              <w:t>from</w:t>
            </w:r>
            <w:r>
              <w:rPr>
                <w:spacing w:val="-4"/>
                <w:sz w:val="18"/>
              </w:rPr>
              <w:t xml:space="preserve"> </w:t>
            </w:r>
            <w:r>
              <w:rPr>
                <w:sz w:val="18"/>
              </w:rPr>
              <w:t>20</w:t>
            </w:r>
            <w:r>
              <w:rPr>
                <w:spacing w:val="-3"/>
                <w:sz w:val="18"/>
              </w:rPr>
              <w:t xml:space="preserve"> </w:t>
            </w:r>
            <w:r>
              <w:rPr>
                <w:sz w:val="18"/>
              </w:rPr>
              <w:t>CSOs</w:t>
            </w:r>
            <w:r>
              <w:rPr>
                <w:spacing w:val="-3"/>
                <w:sz w:val="18"/>
              </w:rPr>
              <w:t xml:space="preserve"> </w:t>
            </w:r>
            <w:r>
              <w:rPr>
                <w:sz w:val="18"/>
              </w:rPr>
              <w:t>(including</w:t>
            </w:r>
            <w:r>
              <w:rPr>
                <w:spacing w:val="-4"/>
                <w:sz w:val="18"/>
              </w:rPr>
              <w:t xml:space="preserve"> </w:t>
            </w:r>
            <w:r>
              <w:rPr>
                <w:sz w:val="18"/>
              </w:rPr>
              <w:t>6</w:t>
            </w:r>
            <w:r>
              <w:rPr>
                <w:spacing w:val="-3"/>
                <w:sz w:val="18"/>
              </w:rPr>
              <w:t xml:space="preserve"> </w:t>
            </w:r>
            <w:r>
              <w:rPr>
                <w:sz w:val="18"/>
              </w:rPr>
              <w:t>Disabled</w:t>
            </w:r>
            <w:r>
              <w:rPr>
                <w:spacing w:val="-3"/>
                <w:sz w:val="18"/>
              </w:rPr>
              <w:t xml:space="preserve"> </w:t>
            </w:r>
            <w:r>
              <w:rPr>
                <w:sz w:val="18"/>
              </w:rPr>
              <w:t>Persons</w:t>
            </w:r>
            <w:r>
              <w:rPr>
                <w:spacing w:val="-3"/>
                <w:sz w:val="18"/>
              </w:rPr>
              <w:t xml:space="preserve"> </w:t>
            </w:r>
            <w:r>
              <w:rPr>
                <w:sz w:val="18"/>
              </w:rPr>
              <w:t>Organisations)</w:t>
            </w:r>
            <w:r>
              <w:rPr>
                <w:spacing w:val="-4"/>
                <w:sz w:val="18"/>
              </w:rPr>
              <w:t xml:space="preserve"> </w:t>
            </w:r>
            <w:r>
              <w:rPr>
                <w:sz w:val="18"/>
              </w:rPr>
              <w:t>were trained to write policy papers.</w:t>
            </w:r>
          </w:p>
          <w:p w14:paraId="6708C4F5" w14:textId="77777777" w:rsidR="00BC24A8" w:rsidRDefault="00000000">
            <w:pPr>
              <w:pStyle w:val="TableParagraph"/>
              <w:numPr>
                <w:ilvl w:val="0"/>
                <w:numId w:val="89"/>
              </w:numPr>
              <w:tabs>
                <w:tab w:val="left" w:pos="533"/>
              </w:tabs>
              <w:ind w:right="296"/>
              <w:rPr>
                <w:sz w:val="18"/>
              </w:rPr>
            </w:pPr>
            <w:r>
              <w:rPr>
                <w:sz w:val="18"/>
              </w:rPr>
              <w:t>7 (M:2, F:5) representatives from (2 CSOs and 4 DPOs/disabled people’s organisations) have been</w:t>
            </w:r>
            <w:r>
              <w:rPr>
                <w:spacing w:val="-2"/>
                <w:sz w:val="18"/>
              </w:rPr>
              <w:t xml:space="preserve"> </w:t>
            </w:r>
            <w:r>
              <w:rPr>
                <w:sz w:val="18"/>
              </w:rPr>
              <w:t>trained</w:t>
            </w:r>
            <w:r>
              <w:rPr>
                <w:spacing w:val="-2"/>
                <w:sz w:val="18"/>
              </w:rPr>
              <w:t xml:space="preserve"> </w:t>
            </w:r>
            <w:r>
              <w:rPr>
                <w:sz w:val="18"/>
              </w:rPr>
              <w:t>as</w:t>
            </w:r>
            <w:r>
              <w:rPr>
                <w:spacing w:val="-2"/>
                <w:sz w:val="18"/>
              </w:rPr>
              <w:t xml:space="preserve"> </w:t>
            </w:r>
            <w:r>
              <w:rPr>
                <w:sz w:val="18"/>
              </w:rPr>
              <w:t>facilitators</w:t>
            </w:r>
            <w:r>
              <w:rPr>
                <w:spacing w:val="-2"/>
                <w:sz w:val="18"/>
              </w:rPr>
              <w:t xml:space="preserve"> </w:t>
            </w:r>
            <w:r>
              <w:rPr>
                <w:sz w:val="18"/>
              </w:rPr>
              <w:t>to</w:t>
            </w:r>
            <w:r>
              <w:rPr>
                <w:spacing w:val="-3"/>
                <w:sz w:val="18"/>
              </w:rPr>
              <w:t xml:space="preserve"> </w:t>
            </w:r>
            <w:r>
              <w:rPr>
                <w:sz w:val="18"/>
              </w:rPr>
              <w:t>compile</w:t>
            </w:r>
            <w:r>
              <w:rPr>
                <w:spacing w:val="-2"/>
                <w:sz w:val="18"/>
              </w:rPr>
              <w:t xml:space="preserve"> </w:t>
            </w:r>
            <w:r>
              <w:rPr>
                <w:sz w:val="18"/>
              </w:rPr>
              <w:t>a</w:t>
            </w:r>
            <w:r>
              <w:rPr>
                <w:spacing w:val="-3"/>
                <w:sz w:val="18"/>
              </w:rPr>
              <w:t xml:space="preserve"> </w:t>
            </w:r>
            <w:r>
              <w:rPr>
                <w:sz w:val="18"/>
              </w:rPr>
              <w:t>matrix</w:t>
            </w:r>
            <w:r>
              <w:rPr>
                <w:spacing w:val="-3"/>
                <w:sz w:val="18"/>
              </w:rPr>
              <w:t xml:space="preserve"> </w:t>
            </w:r>
            <w:r>
              <w:rPr>
                <w:sz w:val="18"/>
              </w:rPr>
              <w:t>for</w:t>
            </w:r>
            <w:r>
              <w:rPr>
                <w:spacing w:val="-2"/>
                <w:sz w:val="18"/>
              </w:rPr>
              <w:t xml:space="preserve"> </w:t>
            </w:r>
            <w:r>
              <w:rPr>
                <w:sz w:val="18"/>
              </w:rPr>
              <w:t>the</w:t>
            </w:r>
            <w:r>
              <w:rPr>
                <w:spacing w:val="-2"/>
                <w:sz w:val="18"/>
              </w:rPr>
              <w:t xml:space="preserve"> </w:t>
            </w:r>
            <w:r>
              <w:rPr>
                <w:sz w:val="18"/>
              </w:rPr>
              <w:t>analysis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RAD</w:t>
            </w:r>
            <w:r>
              <w:rPr>
                <w:spacing w:val="-1"/>
                <w:sz w:val="18"/>
              </w:rPr>
              <w:t xml:space="preserve"> </w:t>
            </w:r>
            <w:r>
              <w:rPr>
                <w:sz w:val="18"/>
              </w:rPr>
              <w:t>gap</w:t>
            </w:r>
            <w:r>
              <w:rPr>
                <w:spacing w:val="-2"/>
                <w:sz w:val="18"/>
              </w:rPr>
              <w:t xml:space="preserve"> </w:t>
            </w:r>
            <w:r>
              <w:rPr>
                <w:sz w:val="18"/>
              </w:rPr>
              <w:t>for</w:t>
            </w:r>
            <w:r>
              <w:rPr>
                <w:spacing w:val="-2"/>
                <w:sz w:val="18"/>
              </w:rPr>
              <w:t xml:space="preserve"> </w:t>
            </w:r>
            <w:r>
              <w:rPr>
                <w:sz w:val="18"/>
              </w:rPr>
              <w:t>persons</w:t>
            </w:r>
            <w:r>
              <w:rPr>
                <w:spacing w:val="-2"/>
                <w:sz w:val="18"/>
              </w:rPr>
              <w:t xml:space="preserve"> </w:t>
            </w:r>
            <w:r>
              <w:rPr>
                <w:sz w:val="18"/>
              </w:rPr>
              <w:t xml:space="preserve">with </w:t>
            </w:r>
            <w:r>
              <w:rPr>
                <w:spacing w:val="-2"/>
                <w:sz w:val="18"/>
              </w:rPr>
              <w:t>disabilities.</w:t>
            </w:r>
          </w:p>
        </w:tc>
      </w:tr>
      <w:tr w:rsidR="00BC24A8" w14:paraId="4A9B7631" w14:textId="77777777">
        <w:trPr>
          <w:trHeight w:val="2212"/>
        </w:trPr>
        <w:tc>
          <w:tcPr>
            <w:tcW w:w="1423" w:type="dxa"/>
            <w:tcBorders>
              <w:top w:val="single" w:sz="4" w:space="0" w:color="BEBEBE"/>
              <w:bottom w:val="single" w:sz="4" w:space="0" w:color="BEBEBE"/>
            </w:tcBorders>
          </w:tcPr>
          <w:p w14:paraId="743B0C15" w14:textId="77777777" w:rsidR="00BC24A8" w:rsidRDefault="00000000">
            <w:pPr>
              <w:pStyle w:val="TableParagraph"/>
              <w:spacing w:before="119"/>
              <w:ind w:left="115" w:right="22"/>
              <w:rPr>
                <w:sz w:val="18"/>
              </w:rPr>
            </w:pPr>
            <w:r>
              <w:rPr>
                <w:spacing w:val="-2"/>
                <w:sz w:val="18"/>
              </w:rPr>
              <w:t>Ecosystem</w:t>
            </w:r>
            <w:r>
              <w:rPr>
                <w:sz w:val="18"/>
              </w:rPr>
              <w:t xml:space="preserve"> </w:t>
            </w:r>
            <w:r>
              <w:rPr>
                <w:spacing w:val="-2"/>
                <w:sz w:val="18"/>
              </w:rPr>
              <w:t>Impacts</w:t>
            </w:r>
          </w:p>
        </w:tc>
        <w:tc>
          <w:tcPr>
            <w:tcW w:w="7675" w:type="dxa"/>
            <w:tcBorders>
              <w:top w:val="single" w:sz="4" w:space="0" w:color="BEBEBE"/>
              <w:bottom w:val="single" w:sz="4" w:space="0" w:color="BEBEBE"/>
            </w:tcBorders>
          </w:tcPr>
          <w:p w14:paraId="184B8222" w14:textId="77777777" w:rsidR="00BC24A8" w:rsidRDefault="00000000">
            <w:pPr>
              <w:pStyle w:val="TableParagraph"/>
              <w:numPr>
                <w:ilvl w:val="0"/>
                <w:numId w:val="88"/>
              </w:numPr>
              <w:tabs>
                <w:tab w:val="left" w:pos="533"/>
              </w:tabs>
              <w:spacing w:before="119" w:line="219" w:lineRule="exact"/>
              <w:rPr>
                <w:sz w:val="18"/>
              </w:rPr>
            </w:pPr>
            <w:r>
              <w:rPr>
                <w:sz w:val="18"/>
              </w:rPr>
              <w:t>Regional</w:t>
            </w:r>
            <w:r>
              <w:rPr>
                <w:spacing w:val="-3"/>
                <w:sz w:val="18"/>
              </w:rPr>
              <w:t xml:space="preserve"> </w:t>
            </w:r>
            <w:r>
              <w:rPr>
                <w:sz w:val="18"/>
              </w:rPr>
              <w:t>Regulation</w:t>
            </w:r>
            <w:r>
              <w:rPr>
                <w:spacing w:val="-2"/>
                <w:sz w:val="18"/>
              </w:rPr>
              <w:t xml:space="preserve"> </w:t>
            </w:r>
            <w:r>
              <w:rPr>
                <w:sz w:val="18"/>
              </w:rPr>
              <w:t>No.</w:t>
            </w:r>
            <w:r>
              <w:rPr>
                <w:spacing w:val="-3"/>
                <w:sz w:val="18"/>
              </w:rPr>
              <w:t xml:space="preserve"> </w:t>
            </w:r>
            <w:r>
              <w:rPr>
                <w:sz w:val="18"/>
              </w:rPr>
              <w:t>7</w:t>
            </w:r>
            <w:r>
              <w:rPr>
                <w:spacing w:val="-2"/>
                <w:sz w:val="18"/>
              </w:rPr>
              <w:t xml:space="preserve"> </w:t>
            </w:r>
            <w:r>
              <w:rPr>
                <w:sz w:val="18"/>
              </w:rPr>
              <w:t>of</w:t>
            </w:r>
            <w:r>
              <w:rPr>
                <w:spacing w:val="-2"/>
                <w:sz w:val="18"/>
              </w:rPr>
              <w:t xml:space="preserve"> </w:t>
            </w:r>
            <w:r>
              <w:rPr>
                <w:sz w:val="18"/>
              </w:rPr>
              <w:t>2024</w:t>
            </w:r>
            <w:r>
              <w:rPr>
                <w:spacing w:val="-2"/>
                <w:sz w:val="18"/>
              </w:rPr>
              <w:t xml:space="preserve"> </w:t>
            </w:r>
            <w:r>
              <w:rPr>
                <w:sz w:val="18"/>
              </w:rPr>
              <w:t>on</w:t>
            </w:r>
            <w:r>
              <w:rPr>
                <w:spacing w:val="-2"/>
                <w:sz w:val="18"/>
              </w:rPr>
              <w:t xml:space="preserve"> </w:t>
            </w:r>
            <w:r>
              <w:rPr>
                <w:sz w:val="18"/>
              </w:rPr>
              <w:t>Gender</w:t>
            </w:r>
            <w:r>
              <w:rPr>
                <w:spacing w:val="-1"/>
                <w:sz w:val="18"/>
              </w:rPr>
              <w:t xml:space="preserve"> </w:t>
            </w:r>
            <w:r>
              <w:rPr>
                <w:spacing w:val="-2"/>
                <w:sz w:val="18"/>
              </w:rPr>
              <w:t>Mainstreaming</w:t>
            </w:r>
          </w:p>
          <w:p w14:paraId="23CC199C" w14:textId="77777777" w:rsidR="00BC24A8" w:rsidRDefault="00000000">
            <w:pPr>
              <w:pStyle w:val="TableParagraph"/>
              <w:numPr>
                <w:ilvl w:val="0"/>
                <w:numId w:val="88"/>
              </w:numPr>
              <w:tabs>
                <w:tab w:val="left" w:pos="533"/>
              </w:tabs>
              <w:ind w:right="106"/>
              <w:rPr>
                <w:sz w:val="18"/>
              </w:rPr>
            </w:pPr>
            <w:r>
              <w:rPr>
                <w:sz w:val="18"/>
              </w:rPr>
              <w:t>Decree</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Head</w:t>
            </w:r>
            <w:r>
              <w:rPr>
                <w:spacing w:val="-2"/>
                <w:sz w:val="18"/>
              </w:rPr>
              <w:t xml:space="preserve"> </w:t>
            </w:r>
            <w:r>
              <w:rPr>
                <w:sz w:val="18"/>
              </w:rPr>
              <w:t>of</w:t>
            </w:r>
            <w:r>
              <w:rPr>
                <w:spacing w:val="-3"/>
                <w:sz w:val="18"/>
              </w:rPr>
              <w:t xml:space="preserve"> </w:t>
            </w:r>
            <w:r>
              <w:rPr>
                <w:sz w:val="18"/>
              </w:rPr>
              <w:t>Bappeda</w:t>
            </w:r>
            <w:r>
              <w:rPr>
                <w:spacing w:val="-3"/>
                <w:sz w:val="18"/>
              </w:rPr>
              <w:t xml:space="preserve"> </w:t>
            </w:r>
            <w:r>
              <w:rPr>
                <w:sz w:val="18"/>
              </w:rPr>
              <w:t>regarding</w:t>
            </w:r>
            <w:r>
              <w:rPr>
                <w:spacing w:val="-3"/>
                <w:sz w:val="18"/>
              </w:rPr>
              <w:t xml:space="preserve"> </w:t>
            </w:r>
            <w:r>
              <w:rPr>
                <w:sz w:val="18"/>
              </w:rPr>
              <w:t>the</w:t>
            </w:r>
            <w:r>
              <w:rPr>
                <w:spacing w:val="-2"/>
                <w:sz w:val="18"/>
              </w:rPr>
              <w:t xml:space="preserve"> </w:t>
            </w:r>
            <w:r>
              <w:rPr>
                <w:sz w:val="18"/>
              </w:rPr>
              <w:t>facilitator</w:t>
            </w:r>
            <w:r>
              <w:rPr>
                <w:spacing w:val="-2"/>
                <w:sz w:val="18"/>
              </w:rPr>
              <w:t xml:space="preserve"> </w:t>
            </w:r>
            <w:r>
              <w:rPr>
                <w:sz w:val="18"/>
              </w:rPr>
              <w:t>team</w:t>
            </w:r>
            <w:r>
              <w:rPr>
                <w:spacing w:val="-3"/>
                <w:sz w:val="18"/>
              </w:rPr>
              <w:t xml:space="preserve"> </w:t>
            </w:r>
            <w:r>
              <w:rPr>
                <w:sz w:val="18"/>
              </w:rPr>
              <w:t>for</w:t>
            </w:r>
            <w:r>
              <w:rPr>
                <w:spacing w:val="-2"/>
                <w:sz w:val="18"/>
              </w:rPr>
              <w:t xml:space="preserve"> </w:t>
            </w:r>
            <w:r>
              <w:rPr>
                <w:sz w:val="18"/>
              </w:rPr>
              <w:t>the</w:t>
            </w:r>
            <w:r>
              <w:rPr>
                <w:spacing w:val="-2"/>
                <w:sz w:val="18"/>
              </w:rPr>
              <w:t xml:space="preserve"> </w:t>
            </w:r>
            <w:r>
              <w:rPr>
                <w:sz w:val="18"/>
              </w:rPr>
              <w:t>preparation</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Disability Action Plan (6 CSO representatives, including 4 DPO representatives).</w:t>
            </w:r>
          </w:p>
          <w:p w14:paraId="67FF458B" w14:textId="77777777" w:rsidR="00BC24A8" w:rsidRDefault="00000000">
            <w:pPr>
              <w:pStyle w:val="TableParagraph"/>
              <w:numPr>
                <w:ilvl w:val="0"/>
                <w:numId w:val="88"/>
              </w:numPr>
              <w:tabs>
                <w:tab w:val="left" w:pos="533"/>
              </w:tabs>
              <w:ind w:right="109"/>
              <w:rPr>
                <w:sz w:val="18"/>
              </w:rPr>
            </w:pPr>
            <w:r>
              <w:rPr>
                <w:sz w:val="18"/>
              </w:rPr>
              <w:t>2</w:t>
            </w:r>
            <w:r>
              <w:rPr>
                <w:spacing w:val="-2"/>
                <w:sz w:val="18"/>
              </w:rPr>
              <w:t xml:space="preserve"> </w:t>
            </w:r>
            <w:r>
              <w:rPr>
                <w:sz w:val="18"/>
              </w:rPr>
              <w:t>Civil</w:t>
            </w:r>
            <w:r>
              <w:rPr>
                <w:spacing w:val="-1"/>
                <w:sz w:val="18"/>
              </w:rPr>
              <w:t xml:space="preserve"> </w:t>
            </w:r>
            <w:r>
              <w:rPr>
                <w:sz w:val="18"/>
              </w:rPr>
              <w:t>Servants</w:t>
            </w:r>
            <w:r>
              <w:rPr>
                <w:spacing w:val="-5"/>
                <w:sz w:val="18"/>
              </w:rPr>
              <w:t xml:space="preserve"> </w:t>
            </w:r>
            <w:r>
              <w:rPr>
                <w:sz w:val="18"/>
              </w:rPr>
              <w:t>from</w:t>
            </w:r>
            <w:r>
              <w:rPr>
                <w:spacing w:val="-3"/>
                <w:sz w:val="18"/>
              </w:rPr>
              <w:t xml:space="preserve"> </w:t>
            </w:r>
            <w:r>
              <w:rPr>
                <w:sz w:val="18"/>
              </w:rPr>
              <w:t>DP3A</w:t>
            </w:r>
            <w:r>
              <w:rPr>
                <w:spacing w:val="-3"/>
                <w:sz w:val="18"/>
              </w:rPr>
              <w:t xml:space="preserve"> </w:t>
            </w:r>
            <w:r>
              <w:rPr>
                <w:sz w:val="18"/>
              </w:rPr>
              <w:t>and</w:t>
            </w:r>
            <w:r>
              <w:rPr>
                <w:spacing w:val="-2"/>
                <w:sz w:val="18"/>
              </w:rPr>
              <w:t xml:space="preserve"> </w:t>
            </w:r>
            <w:r>
              <w:rPr>
                <w:sz w:val="18"/>
              </w:rPr>
              <w:t>Bappeda</w:t>
            </w:r>
            <w:r>
              <w:rPr>
                <w:spacing w:val="-3"/>
                <w:sz w:val="18"/>
              </w:rPr>
              <w:t xml:space="preserve"> </w:t>
            </w:r>
            <w:r>
              <w:rPr>
                <w:sz w:val="18"/>
              </w:rPr>
              <w:t>who</w:t>
            </w:r>
            <w:r>
              <w:rPr>
                <w:spacing w:val="-3"/>
                <w:sz w:val="18"/>
              </w:rPr>
              <w:t xml:space="preserve"> </w:t>
            </w:r>
            <w:r>
              <w:rPr>
                <w:sz w:val="18"/>
              </w:rPr>
              <w:t>received</w:t>
            </w:r>
            <w:r>
              <w:rPr>
                <w:spacing w:val="-2"/>
                <w:sz w:val="18"/>
              </w:rPr>
              <w:t xml:space="preserve"> </w:t>
            </w:r>
            <w:r>
              <w:rPr>
                <w:sz w:val="18"/>
              </w:rPr>
              <w:t>GRPB</w:t>
            </w:r>
            <w:r>
              <w:rPr>
                <w:spacing w:val="-3"/>
                <w:sz w:val="18"/>
              </w:rPr>
              <w:t xml:space="preserve"> </w:t>
            </w:r>
            <w:r>
              <w:rPr>
                <w:sz w:val="18"/>
              </w:rPr>
              <w:t>training</w:t>
            </w:r>
            <w:r>
              <w:rPr>
                <w:spacing w:val="-3"/>
                <w:sz w:val="18"/>
              </w:rPr>
              <w:t xml:space="preserve"> </w:t>
            </w:r>
            <w:r>
              <w:rPr>
                <w:sz w:val="18"/>
              </w:rPr>
              <w:t>from</w:t>
            </w:r>
            <w:r>
              <w:rPr>
                <w:spacing w:val="-3"/>
                <w:sz w:val="18"/>
              </w:rPr>
              <w:t xml:space="preserve"> </w:t>
            </w:r>
            <w:r>
              <w:rPr>
                <w:sz w:val="18"/>
              </w:rPr>
              <w:t>SKALA</w:t>
            </w:r>
            <w:r>
              <w:rPr>
                <w:spacing w:val="-3"/>
                <w:sz w:val="18"/>
              </w:rPr>
              <w:t xml:space="preserve"> </w:t>
            </w:r>
            <w:r>
              <w:rPr>
                <w:sz w:val="18"/>
              </w:rPr>
              <w:t>have</w:t>
            </w:r>
            <w:r>
              <w:rPr>
                <w:spacing w:val="-2"/>
                <w:sz w:val="18"/>
              </w:rPr>
              <w:t xml:space="preserve"> </w:t>
            </w:r>
            <w:r>
              <w:rPr>
                <w:sz w:val="18"/>
              </w:rPr>
              <w:t>conducted GRPB training in 2 districts/cities in Maluku.</w:t>
            </w:r>
          </w:p>
          <w:p w14:paraId="471BD776" w14:textId="77777777" w:rsidR="00BC24A8" w:rsidRDefault="00000000">
            <w:pPr>
              <w:pStyle w:val="TableParagraph"/>
              <w:numPr>
                <w:ilvl w:val="0"/>
                <w:numId w:val="88"/>
              </w:numPr>
              <w:tabs>
                <w:tab w:val="left" w:pos="533"/>
              </w:tabs>
              <w:ind w:right="619"/>
              <w:rPr>
                <w:sz w:val="18"/>
              </w:rPr>
            </w:pPr>
            <w:r>
              <w:rPr>
                <w:sz w:val="18"/>
              </w:rPr>
              <w:t>1</w:t>
            </w:r>
            <w:r>
              <w:rPr>
                <w:spacing w:val="-3"/>
                <w:sz w:val="18"/>
              </w:rPr>
              <w:t xml:space="preserve"> </w:t>
            </w:r>
            <w:r>
              <w:rPr>
                <w:sz w:val="18"/>
              </w:rPr>
              <w:t>policy</w:t>
            </w:r>
            <w:r>
              <w:rPr>
                <w:spacing w:val="-3"/>
                <w:sz w:val="18"/>
              </w:rPr>
              <w:t xml:space="preserve"> </w:t>
            </w:r>
            <w:r>
              <w:rPr>
                <w:sz w:val="18"/>
              </w:rPr>
              <w:t>paper</w:t>
            </w:r>
            <w:r>
              <w:rPr>
                <w:spacing w:val="-3"/>
                <w:sz w:val="18"/>
              </w:rPr>
              <w:t xml:space="preserve"> </w:t>
            </w:r>
            <w:r>
              <w:rPr>
                <w:sz w:val="18"/>
              </w:rPr>
              <w:t>from</w:t>
            </w:r>
            <w:r>
              <w:rPr>
                <w:spacing w:val="-4"/>
                <w:sz w:val="18"/>
              </w:rPr>
              <w:t xml:space="preserve"> </w:t>
            </w:r>
            <w:r>
              <w:rPr>
                <w:sz w:val="18"/>
              </w:rPr>
              <w:t>CSO</w:t>
            </w:r>
            <w:r>
              <w:rPr>
                <w:spacing w:val="-4"/>
                <w:sz w:val="18"/>
              </w:rPr>
              <w:t xml:space="preserve"> </w:t>
            </w:r>
            <w:r>
              <w:rPr>
                <w:sz w:val="18"/>
              </w:rPr>
              <w:t>has</w:t>
            </w:r>
            <w:r>
              <w:rPr>
                <w:spacing w:val="-3"/>
                <w:sz w:val="18"/>
              </w:rPr>
              <w:t xml:space="preserve"> </w:t>
            </w:r>
            <w:r>
              <w:rPr>
                <w:sz w:val="18"/>
              </w:rPr>
              <w:t>been</w:t>
            </w:r>
            <w:r>
              <w:rPr>
                <w:spacing w:val="-3"/>
                <w:sz w:val="18"/>
              </w:rPr>
              <w:t xml:space="preserve"> </w:t>
            </w:r>
            <w:r>
              <w:rPr>
                <w:sz w:val="18"/>
              </w:rPr>
              <w:t>followed</w:t>
            </w:r>
            <w:r>
              <w:rPr>
                <w:spacing w:val="-3"/>
                <w:sz w:val="18"/>
              </w:rPr>
              <w:t xml:space="preserve"> </w:t>
            </w:r>
            <w:r>
              <w:rPr>
                <w:sz w:val="18"/>
              </w:rPr>
              <w:t>up</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Regional</w:t>
            </w:r>
            <w:r>
              <w:rPr>
                <w:spacing w:val="-2"/>
                <w:sz w:val="18"/>
              </w:rPr>
              <w:t xml:space="preserve"> </w:t>
            </w:r>
            <w:r>
              <w:rPr>
                <w:sz w:val="18"/>
              </w:rPr>
              <w:t>Government</w:t>
            </w:r>
            <w:r>
              <w:rPr>
                <w:spacing w:val="-2"/>
                <w:sz w:val="18"/>
              </w:rPr>
              <w:t xml:space="preserve"> </w:t>
            </w:r>
            <w:r>
              <w:rPr>
                <w:sz w:val="18"/>
              </w:rPr>
              <w:t>by</w:t>
            </w:r>
            <w:r>
              <w:rPr>
                <w:spacing w:val="-4"/>
                <w:sz w:val="18"/>
              </w:rPr>
              <w:t xml:space="preserve"> </w:t>
            </w:r>
            <w:r>
              <w:rPr>
                <w:sz w:val="18"/>
              </w:rPr>
              <w:t>performing thematic musrenbang.</w:t>
            </w:r>
          </w:p>
          <w:p w14:paraId="1225AE46" w14:textId="77777777" w:rsidR="00BC24A8" w:rsidRDefault="00000000">
            <w:pPr>
              <w:pStyle w:val="TableParagraph"/>
              <w:numPr>
                <w:ilvl w:val="0"/>
                <w:numId w:val="88"/>
              </w:numPr>
              <w:tabs>
                <w:tab w:val="left" w:pos="533"/>
              </w:tabs>
              <w:ind w:right="461" w:hanging="361"/>
              <w:rPr>
                <w:sz w:val="18"/>
              </w:rPr>
            </w:pPr>
            <w:r>
              <w:rPr>
                <w:sz w:val="18"/>
              </w:rPr>
              <w:t>DP3A</w:t>
            </w:r>
            <w:r>
              <w:rPr>
                <w:spacing w:val="-4"/>
                <w:sz w:val="18"/>
              </w:rPr>
              <w:t xml:space="preserve"> </w:t>
            </w:r>
            <w:r>
              <w:rPr>
                <w:sz w:val="18"/>
              </w:rPr>
              <w:t>Ambon</w:t>
            </w:r>
            <w:r>
              <w:rPr>
                <w:spacing w:val="-3"/>
                <w:sz w:val="18"/>
              </w:rPr>
              <w:t xml:space="preserve"> </w:t>
            </w:r>
            <w:r>
              <w:rPr>
                <w:sz w:val="18"/>
              </w:rPr>
              <w:t>City,</w:t>
            </w:r>
            <w:r>
              <w:rPr>
                <w:spacing w:val="-4"/>
                <w:sz w:val="18"/>
              </w:rPr>
              <w:t xml:space="preserve"> </w:t>
            </w:r>
            <w:r>
              <w:rPr>
                <w:sz w:val="18"/>
              </w:rPr>
              <w:t>who</w:t>
            </w:r>
            <w:r>
              <w:rPr>
                <w:spacing w:val="-4"/>
                <w:sz w:val="18"/>
              </w:rPr>
              <w:t xml:space="preserve"> </w:t>
            </w:r>
            <w:r>
              <w:rPr>
                <w:sz w:val="18"/>
              </w:rPr>
              <w:t>participated</w:t>
            </w:r>
            <w:r>
              <w:rPr>
                <w:spacing w:val="-3"/>
                <w:sz w:val="18"/>
              </w:rPr>
              <w:t xml:space="preserve"> </w:t>
            </w:r>
            <w:r>
              <w:rPr>
                <w:sz w:val="18"/>
              </w:rPr>
              <w:t>in</w:t>
            </w:r>
            <w:r>
              <w:rPr>
                <w:spacing w:val="-3"/>
                <w:sz w:val="18"/>
              </w:rPr>
              <w:t xml:space="preserve"> </w:t>
            </w:r>
            <w:r>
              <w:rPr>
                <w:sz w:val="18"/>
              </w:rPr>
              <w:t>GRPB</w:t>
            </w:r>
            <w:r>
              <w:rPr>
                <w:spacing w:val="-4"/>
                <w:sz w:val="18"/>
              </w:rPr>
              <w:t xml:space="preserve"> </w:t>
            </w:r>
            <w:r>
              <w:rPr>
                <w:sz w:val="18"/>
              </w:rPr>
              <w:t>training</w:t>
            </w:r>
            <w:r>
              <w:rPr>
                <w:spacing w:val="-4"/>
                <w:sz w:val="18"/>
              </w:rPr>
              <w:t xml:space="preserve"> </w:t>
            </w:r>
            <w:r>
              <w:rPr>
                <w:sz w:val="18"/>
              </w:rPr>
              <w:t>activities</w:t>
            </w:r>
            <w:r>
              <w:rPr>
                <w:spacing w:val="-3"/>
                <w:sz w:val="18"/>
              </w:rPr>
              <w:t xml:space="preserve"> </w:t>
            </w:r>
            <w:r>
              <w:rPr>
                <w:sz w:val="18"/>
              </w:rPr>
              <w:t>from</w:t>
            </w:r>
            <w:r>
              <w:rPr>
                <w:spacing w:val="-4"/>
                <w:sz w:val="18"/>
              </w:rPr>
              <w:t xml:space="preserve"> </w:t>
            </w:r>
            <w:r>
              <w:rPr>
                <w:sz w:val="18"/>
              </w:rPr>
              <w:t>SKALA,</w:t>
            </w:r>
            <w:r>
              <w:rPr>
                <w:spacing w:val="-4"/>
                <w:sz w:val="18"/>
              </w:rPr>
              <w:t xml:space="preserve"> </w:t>
            </w:r>
            <w:r>
              <w:rPr>
                <w:sz w:val="18"/>
              </w:rPr>
              <w:t>has</w:t>
            </w:r>
            <w:r>
              <w:rPr>
                <w:spacing w:val="-3"/>
                <w:sz w:val="18"/>
              </w:rPr>
              <w:t xml:space="preserve"> </w:t>
            </w:r>
            <w:r>
              <w:rPr>
                <w:sz w:val="18"/>
              </w:rPr>
              <w:t>established</w:t>
            </w:r>
            <w:r>
              <w:rPr>
                <w:spacing w:val="-3"/>
                <w:sz w:val="18"/>
              </w:rPr>
              <w:t xml:space="preserve"> </w:t>
            </w:r>
            <w:r>
              <w:rPr>
                <w:sz w:val="18"/>
              </w:rPr>
              <w:t>a consultation clinic for GRPB at the city level.</w:t>
            </w:r>
          </w:p>
        </w:tc>
      </w:tr>
      <w:tr w:rsidR="00BC24A8" w14:paraId="19F9EAB4" w14:textId="77777777">
        <w:trPr>
          <w:trHeight w:val="1331"/>
        </w:trPr>
        <w:tc>
          <w:tcPr>
            <w:tcW w:w="1423" w:type="dxa"/>
            <w:tcBorders>
              <w:top w:val="single" w:sz="4" w:space="0" w:color="BEBEBE"/>
              <w:bottom w:val="single" w:sz="4" w:space="0" w:color="BEBEBE"/>
            </w:tcBorders>
          </w:tcPr>
          <w:p w14:paraId="49120992" w14:textId="77777777" w:rsidR="00BC24A8" w:rsidRDefault="00000000">
            <w:pPr>
              <w:pStyle w:val="TableParagraph"/>
              <w:spacing w:before="116"/>
              <w:ind w:left="115" w:right="22"/>
              <w:rPr>
                <w:sz w:val="18"/>
              </w:rPr>
            </w:pPr>
            <w:r>
              <w:rPr>
                <w:spacing w:val="-2"/>
                <w:sz w:val="18"/>
              </w:rPr>
              <w:t>Operational</w:t>
            </w:r>
            <w:r>
              <w:rPr>
                <w:sz w:val="18"/>
              </w:rPr>
              <w:t xml:space="preserve"> </w:t>
            </w:r>
            <w:r>
              <w:rPr>
                <w:spacing w:val="-2"/>
                <w:sz w:val="18"/>
              </w:rPr>
              <w:t>impact</w:t>
            </w:r>
          </w:p>
        </w:tc>
        <w:tc>
          <w:tcPr>
            <w:tcW w:w="7675" w:type="dxa"/>
            <w:tcBorders>
              <w:top w:val="single" w:sz="4" w:space="0" w:color="BEBEBE"/>
              <w:bottom w:val="single" w:sz="4" w:space="0" w:color="BEBEBE"/>
            </w:tcBorders>
          </w:tcPr>
          <w:p w14:paraId="540602B9" w14:textId="77777777" w:rsidR="00BC24A8" w:rsidRDefault="00000000">
            <w:pPr>
              <w:pStyle w:val="TableParagraph"/>
              <w:numPr>
                <w:ilvl w:val="0"/>
                <w:numId w:val="87"/>
              </w:numPr>
              <w:tabs>
                <w:tab w:val="left" w:pos="533"/>
              </w:tabs>
              <w:spacing w:before="116"/>
              <w:rPr>
                <w:sz w:val="18"/>
              </w:rPr>
            </w:pPr>
            <w:r>
              <w:rPr>
                <w:sz w:val="18"/>
              </w:rPr>
              <w:t>50</w:t>
            </w:r>
            <w:r>
              <w:rPr>
                <w:spacing w:val="-2"/>
                <w:sz w:val="18"/>
              </w:rPr>
              <w:t xml:space="preserve"> </w:t>
            </w:r>
            <w:r>
              <w:rPr>
                <w:sz w:val="18"/>
              </w:rPr>
              <w:t>proposals</w:t>
            </w:r>
            <w:r>
              <w:rPr>
                <w:spacing w:val="-2"/>
                <w:sz w:val="18"/>
              </w:rPr>
              <w:t xml:space="preserve"> </w:t>
            </w:r>
            <w:r>
              <w:rPr>
                <w:sz w:val="18"/>
              </w:rPr>
              <w:t>from</w:t>
            </w:r>
            <w:r>
              <w:rPr>
                <w:spacing w:val="-3"/>
                <w:sz w:val="18"/>
              </w:rPr>
              <w:t xml:space="preserve"> </w:t>
            </w:r>
            <w:r>
              <w:rPr>
                <w:sz w:val="18"/>
              </w:rPr>
              <w:t>CSO</w:t>
            </w:r>
            <w:r>
              <w:rPr>
                <w:spacing w:val="-2"/>
                <w:sz w:val="18"/>
              </w:rPr>
              <w:t xml:space="preserve"> </w:t>
            </w:r>
            <w:r>
              <w:rPr>
                <w:sz w:val="18"/>
              </w:rPr>
              <w:t>representatives</w:t>
            </w:r>
            <w:r>
              <w:rPr>
                <w:spacing w:val="-2"/>
                <w:sz w:val="18"/>
              </w:rPr>
              <w:t xml:space="preserve"> </w:t>
            </w:r>
            <w:r>
              <w:rPr>
                <w:sz w:val="18"/>
              </w:rPr>
              <w:t>have</w:t>
            </w:r>
            <w:r>
              <w:rPr>
                <w:spacing w:val="-2"/>
                <w:sz w:val="18"/>
              </w:rPr>
              <w:t xml:space="preserve"> </w:t>
            </w:r>
            <w:r>
              <w:rPr>
                <w:sz w:val="18"/>
              </w:rPr>
              <w:t>been</w:t>
            </w:r>
            <w:r>
              <w:rPr>
                <w:spacing w:val="-1"/>
                <w:sz w:val="18"/>
              </w:rPr>
              <w:t xml:space="preserve"> </w:t>
            </w:r>
            <w:r>
              <w:rPr>
                <w:sz w:val="18"/>
              </w:rPr>
              <w:t>submitted</w:t>
            </w:r>
            <w:r>
              <w:rPr>
                <w:spacing w:val="-2"/>
                <w:sz w:val="18"/>
              </w:rPr>
              <w:t xml:space="preserve"> </w:t>
            </w:r>
            <w:r>
              <w:rPr>
                <w:sz w:val="18"/>
              </w:rPr>
              <w:t>to</w:t>
            </w:r>
            <w:r>
              <w:rPr>
                <w:spacing w:val="-5"/>
                <w:sz w:val="18"/>
              </w:rPr>
              <w:t xml:space="preserve"> </w:t>
            </w:r>
            <w:r>
              <w:rPr>
                <w:sz w:val="18"/>
              </w:rPr>
              <w:t>the</w:t>
            </w:r>
            <w:r>
              <w:rPr>
                <w:spacing w:val="-1"/>
                <w:sz w:val="18"/>
              </w:rPr>
              <w:t xml:space="preserve"> </w:t>
            </w:r>
            <w:r>
              <w:rPr>
                <w:spacing w:val="-2"/>
                <w:sz w:val="18"/>
              </w:rPr>
              <w:t>government.</w:t>
            </w:r>
          </w:p>
          <w:p w14:paraId="05A36780" w14:textId="77777777" w:rsidR="00BC24A8" w:rsidRDefault="00000000">
            <w:pPr>
              <w:pStyle w:val="TableParagraph"/>
              <w:numPr>
                <w:ilvl w:val="0"/>
                <w:numId w:val="87"/>
              </w:numPr>
              <w:tabs>
                <w:tab w:val="left" w:pos="533"/>
              </w:tabs>
              <w:spacing w:before="1"/>
              <w:ind w:right="519"/>
              <w:rPr>
                <w:sz w:val="18"/>
              </w:rPr>
            </w:pPr>
            <w:r>
              <w:rPr>
                <w:sz w:val="18"/>
              </w:rPr>
              <w:t>One</w:t>
            </w:r>
            <w:r>
              <w:rPr>
                <w:spacing w:val="-3"/>
                <w:sz w:val="18"/>
              </w:rPr>
              <w:t xml:space="preserve"> </w:t>
            </w:r>
            <w:r>
              <w:rPr>
                <w:sz w:val="18"/>
              </w:rPr>
              <w:t>proposal</w:t>
            </w:r>
            <w:r>
              <w:rPr>
                <w:spacing w:val="-2"/>
                <w:sz w:val="18"/>
              </w:rPr>
              <w:t xml:space="preserve"> </w:t>
            </w:r>
            <w:r>
              <w:rPr>
                <w:sz w:val="18"/>
              </w:rPr>
              <w:t>by</w:t>
            </w:r>
            <w:r>
              <w:rPr>
                <w:spacing w:val="-3"/>
                <w:sz w:val="18"/>
              </w:rPr>
              <w:t xml:space="preserve"> </w:t>
            </w:r>
            <w:r>
              <w:rPr>
                <w:sz w:val="18"/>
              </w:rPr>
              <w:t>CSO</w:t>
            </w:r>
            <w:r>
              <w:rPr>
                <w:spacing w:val="-4"/>
                <w:sz w:val="18"/>
              </w:rPr>
              <w:t xml:space="preserve"> </w:t>
            </w:r>
            <w:r>
              <w:rPr>
                <w:sz w:val="18"/>
              </w:rPr>
              <w:t>representatives</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policy</w:t>
            </w:r>
            <w:r>
              <w:rPr>
                <w:spacing w:val="-3"/>
                <w:sz w:val="18"/>
              </w:rPr>
              <w:t xml:space="preserve"> </w:t>
            </w:r>
            <w:r>
              <w:rPr>
                <w:sz w:val="18"/>
              </w:rPr>
              <w:t>paper</w:t>
            </w:r>
            <w:r>
              <w:rPr>
                <w:spacing w:val="-3"/>
                <w:sz w:val="18"/>
              </w:rPr>
              <w:t xml:space="preserve"> </w:t>
            </w:r>
            <w:r>
              <w:rPr>
                <w:sz w:val="18"/>
              </w:rPr>
              <w:t>for</w:t>
            </w:r>
            <w:r>
              <w:rPr>
                <w:spacing w:val="-3"/>
                <w:sz w:val="18"/>
              </w:rPr>
              <w:t xml:space="preserve"> </w:t>
            </w:r>
            <w:r>
              <w:rPr>
                <w:sz w:val="18"/>
              </w:rPr>
              <w:t>GEDSI</w:t>
            </w:r>
            <w:r>
              <w:rPr>
                <w:spacing w:val="-7"/>
                <w:sz w:val="18"/>
              </w:rPr>
              <w:t xml:space="preserve"> </w:t>
            </w:r>
            <w:r>
              <w:rPr>
                <w:sz w:val="18"/>
              </w:rPr>
              <w:t>mainstreaming</w:t>
            </w:r>
            <w:r>
              <w:rPr>
                <w:spacing w:val="-4"/>
                <w:sz w:val="18"/>
              </w:rPr>
              <w:t xml:space="preserve"> </w:t>
            </w:r>
            <w:r>
              <w:rPr>
                <w:sz w:val="18"/>
              </w:rPr>
              <w:t>has</w:t>
            </w:r>
            <w:r>
              <w:rPr>
                <w:spacing w:val="-3"/>
                <w:sz w:val="18"/>
              </w:rPr>
              <w:t xml:space="preserve"> </w:t>
            </w:r>
            <w:r>
              <w:rPr>
                <w:sz w:val="18"/>
              </w:rPr>
              <w:t xml:space="preserve">been followed up by the implementation of the Thematic </w:t>
            </w:r>
            <w:r>
              <w:rPr>
                <w:i/>
                <w:sz w:val="18"/>
              </w:rPr>
              <w:t>Musrenbang</w:t>
            </w:r>
            <w:r>
              <w:rPr>
                <w:sz w:val="18"/>
              </w:rPr>
              <w:t>.</w:t>
            </w:r>
          </w:p>
          <w:p w14:paraId="68C64961" w14:textId="77777777" w:rsidR="00BC24A8" w:rsidRDefault="00000000">
            <w:pPr>
              <w:pStyle w:val="TableParagraph"/>
              <w:numPr>
                <w:ilvl w:val="0"/>
                <w:numId w:val="87"/>
              </w:numPr>
              <w:tabs>
                <w:tab w:val="left" w:pos="533"/>
              </w:tabs>
              <w:ind w:right="147"/>
              <w:rPr>
                <w:sz w:val="18"/>
              </w:rPr>
            </w:pPr>
            <w:r>
              <w:rPr>
                <w:sz w:val="18"/>
              </w:rPr>
              <w:t>The</w:t>
            </w:r>
            <w:r>
              <w:rPr>
                <w:spacing w:val="-3"/>
                <w:sz w:val="18"/>
              </w:rPr>
              <w:t xml:space="preserve"> </w:t>
            </w:r>
            <w:r>
              <w:rPr>
                <w:sz w:val="18"/>
              </w:rPr>
              <w:t>indicator</w:t>
            </w:r>
            <w:r>
              <w:rPr>
                <w:spacing w:val="-3"/>
                <w:sz w:val="18"/>
              </w:rPr>
              <w:t xml:space="preserve"> </w:t>
            </w:r>
            <w:r>
              <w:rPr>
                <w:sz w:val="18"/>
              </w:rPr>
              <w:t>"Percentage</w:t>
            </w:r>
            <w:r>
              <w:rPr>
                <w:spacing w:val="-3"/>
                <w:sz w:val="18"/>
              </w:rPr>
              <w:t xml:space="preserve"> </w:t>
            </w:r>
            <w:r>
              <w:rPr>
                <w:sz w:val="18"/>
              </w:rPr>
              <w:t>of</w:t>
            </w:r>
            <w:r>
              <w:rPr>
                <w:spacing w:val="-4"/>
                <w:sz w:val="18"/>
              </w:rPr>
              <w:t xml:space="preserve"> </w:t>
            </w:r>
            <w:r>
              <w:rPr>
                <w:sz w:val="18"/>
              </w:rPr>
              <w:t>Persons</w:t>
            </w:r>
            <w:r>
              <w:rPr>
                <w:spacing w:val="-3"/>
                <w:sz w:val="18"/>
              </w:rPr>
              <w:t xml:space="preserve"> </w:t>
            </w:r>
            <w:r>
              <w:rPr>
                <w:sz w:val="18"/>
              </w:rPr>
              <w:t>with</w:t>
            </w:r>
            <w:r>
              <w:rPr>
                <w:spacing w:val="-3"/>
                <w:sz w:val="18"/>
              </w:rPr>
              <w:t xml:space="preserve"> </w:t>
            </w:r>
            <w:r>
              <w:rPr>
                <w:sz w:val="18"/>
              </w:rPr>
              <w:t>Disabilities</w:t>
            </w:r>
            <w:r>
              <w:rPr>
                <w:spacing w:val="-3"/>
                <w:sz w:val="18"/>
              </w:rPr>
              <w:t xml:space="preserve"> </w:t>
            </w:r>
            <w:r>
              <w:rPr>
                <w:sz w:val="18"/>
              </w:rPr>
              <w:t>working</w:t>
            </w:r>
            <w:r>
              <w:rPr>
                <w:spacing w:val="-6"/>
                <w:sz w:val="18"/>
              </w:rPr>
              <w:t xml:space="preserve"> </w:t>
            </w:r>
            <w:r>
              <w:rPr>
                <w:sz w:val="18"/>
              </w:rPr>
              <w:t>in</w:t>
            </w:r>
            <w:r>
              <w:rPr>
                <w:spacing w:val="-3"/>
                <w:sz w:val="18"/>
              </w:rPr>
              <w:t xml:space="preserve"> </w:t>
            </w:r>
            <w:r>
              <w:rPr>
                <w:sz w:val="18"/>
              </w:rPr>
              <w:t>the</w:t>
            </w:r>
            <w:r>
              <w:rPr>
                <w:spacing w:val="-3"/>
                <w:sz w:val="18"/>
              </w:rPr>
              <w:t xml:space="preserve"> </w:t>
            </w:r>
            <w:r>
              <w:rPr>
                <w:sz w:val="18"/>
              </w:rPr>
              <w:t>formal</w:t>
            </w:r>
            <w:r>
              <w:rPr>
                <w:spacing w:val="-2"/>
                <w:sz w:val="18"/>
              </w:rPr>
              <w:t xml:space="preserve"> </w:t>
            </w:r>
            <w:r>
              <w:rPr>
                <w:sz w:val="18"/>
              </w:rPr>
              <w:t>sector"</w:t>
            </w:r>
            <w:r>
              <w:rPr>
                <w:spacing w:val="-2"/>
                <w:sz w:val="18"/>
              </w:rPr>
              <w:t xml:space="preserve"> </w:t>
            </w:r>
            <w:r>
              <w:rPr>
                <w:sz w:val="18"/>
              </w:rPr>
              <w:t>is</w:t>
            </w:r>
            <w:r>
              <w:rPr>
                <w:spacing w:val="-3"/>
                <w:sz w:val="18"/>
              </w:rPr>
              <w:t xml:space="preserve"> </w:t>
            </w:r>
            <w:r>
              <w:rPr>
                <w:sz w:val="18"/>
              </w:rPr>
              <w:t>included</w:t>
            </w:r>
            <w:r>
              <w:rPr>
                <w:spacing w:val="-3"/>
                <w:sz w:val="18"/>
              </w:rPr>
              <w:t xml:space="preserve"> </w:t>
            </w:r>
            <w:r>
              <w:rPr>
                <w:sz w:val="18"/>
              </w:rPr>
              <w:t>in the initial planning of RPJMD.</w:t>
            </w:r>
          </w:p>
        </w:tc>
      </w:tr>
    </w:tbl>
    <w:p w14:paraId="23ADB46A" w14:textId="77777777" w:rsidR="00BC24A8" w:rsidRDefault="00BC24A8">
      <w:pPr>
        <w:pStyle w:val="TableParagraph"/>
        <w:rPr>
          <w:sz w:val="18"/>
        </w:rPr>
        <w:sectPr w:rsidR="00BC24A8">
          <w:type w:val="continuous"/>
          <w:pgSz w:w="11910" w:h="16840"/>
          <w:pgMar w:top="1380" w:right="850" w:bottom="1100" w:left="1275" w:header="0" w:footer="907" w:gutter="0"/>
          <w:cols w:space="720"/>
        </w:sectPr>
      </w:pPr>
    </w:p>
    <w:p w14:paraId="59EF02C0" w14:textId="77777777" w:rsidR="00BC24A8" w:rsidRDefault="00000000">
      <w:pPr>
        <w:pStyle w:val="BodyText"/>
        <w:spacing w:before="39" w:after="23"/>
        <w:ind w:left="143"/>
        <w:rPr>
          <w:rFonts w:ascii="Calibri"/>
        </w:rPr>
      </w:pPr>
      <w:bookmarkStart w:id="180" w:name="Stories_of_significant_change"/>
      <w:bookmarkEnd w:id="180"/>
      <w:r>
        <w:rPr>
          <w:rFonts w:ascii="Calibri"/>
          <w:color w:val="272727"/>
        </w:rPr>
        <w:lastRenderedPageBreak/>
        <w:t>Stories</w:t>
      </w:r>
      <w:r>
        <w:rPr>
          <w:rFonts w:ascii="Calibri"/>
          <w:color w:val="272727"/>
          <w:spacing w:val="-8"/>
        </w:rPr>
        <w:t xml:space="preserve"> </w:t>
      </w:r>
      <w:r>
        <w:rPr>
          <w:rFonts w:ascii="Calibri"/>
          <w:color w:val="272727"/>
        </w:rPr>
        <w:t>of</w:t>
      </w:r>
      <w:r>
        <w:rPr>
          <w:rFonts w:ascii="Calibri"/>
          <w:color w:val="272727"/>
          <w:spacing w:val="-8"/>
        </w:rPr>
        <w:t xml:space="preserve"> </w:t>
      </w:r>
      <w:r>
        <w:rPr>
          <w:rFonts w:ascii="Calibri"/>
          <w:color w:val="272727"/>
        </w:rPr>
        <w:t>significant</w:t>
      </w:r>
      <w:r>
        <w:rPr>
          <w:rFonts w:ascii="Calibri"/>
          <w:color w:val="272727"/>
          <w:spacing w:val="-5"/>
        </w:rPr>
        <w:t xml:space="preserve"> </w:t>
      </w:r>
      <w:r>
        <w:rPr>
          <w:rFonts w:ascii="Calibri"/>
          <w:color w:val="272727"/>
          <w:spacing w:val="-2"/>
        </w:rPr>
        <w:t>change</w:t>
      </w:r>
    </w:p>
    <w:tbl>
      <w:tblPr>
        <w:tblW w:w="0" w:type="auto"/>
        <w:tblInd w:w="14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091"/>
      </w:tblGrid>
      <w:tr w:rsidR="00BC24A8" w14:paraId="37A97649" w14:textId="77777777">
        <w:trPr>
          <w:trHeight w:val="7938"/>
        </w:trPr>
        <w:tc>
          <w:tcPr>
            <w:tcW w:w="9091" w:type="dxa"/>
          </w:tcPr>
          <w:p w14:paraId="41495B16" w14:textId="77777777" w:rsidR="00BC24A8" w:rsidRDefault="00000000">
            <w:pPr>
              <w:pStyle w:val="TableParagraph"/>
              <w:spacing w:before="119"/>
              <w:ind w:left="11" w:right="33"/>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1</w:t>
            </w:r>
            <w:r>
              <w:rPr>
                <w:spacing w:val="-15"/>
                <w:sz w:val="20"/>
              </w:rPr>
              <w:t xml:space="preserve"> </w:t>
            </w:r>
            <w:r>
              <w:rPr>
                <w:spacing w:val="-10"/>
                <w:sz w:val="20"/>
              </w:rPr>
              <w:t>:</w:t>
            </w:r>
          </w:p>
          <w:p w14:paraId="363844F1" w14:textId="77777777" w:rsidR="00BC24A8" w:rsidRDefault="00000000">
            <w:pPr>
              <w:pStyle w:val="TableParagraph"/>
              <w:ind w:left="35" w:right="27"/>
              <w:jc w:val="center"/>
              <w:rPr>
                <w:rFonts w:ascii="Calibri"/>
                <w:b/>
                <w:sz w:val="20"/>
              </w:rPr>
            </w:pPr>
            <w:r>
              <w:rPr>
                <w:rFonts w:ascii="Calibri"/>
                <w:b/>
                <w:color w:val="17365A"/>
                <w:sz w:val="20"/>
              </w:rPr>
              <w:t>Strengthening</w:t>
            </w:r>
            <w:r>
              <w:rPr>
                <w:rFonts w:ascii="Calibri"/>
                <w:b/>
                <w:color w:val="17365A"/>
                <w:spacing w:val="-12"/>
                <w:sz w:val="20"/>
              </w:rPr>
              <w:t xml:space="preserve"> </w:t>
            </w:r>
            <w:r>
              <w:rPr>
                <w:rFonts w:ascii="Calibri"/>
                <w:b/>
                <w:color w:val="17365A"/>
                <w:sz w:val="20"/>
              </w:rPr>
              <w:t>Collaboration</w:t>
            </w:r>
            <w:r>
              <w:rPr>
                <w:rFonts w:ascii="Calibri"/>
                <w:b/>
                <w:color w:val="17365A"/>
                <w:spacing w:val="-9"/>
                <w:sz w:val="20"/>
              </w:rPr>
              <w:t xml:space="preserve"> </w:t>
            </w:r>
            <w:r>
              <w:rPr>
                <w:rFonts w:ascii="Calibri"/>
                <w:b/>
                <w:color w:val="17365A"/>
                <w:sz w:val="20"/>
              </w:rPr>
              <w:t>in</w:t>
            </w:r>
            <w:r>
              <w:rPr>
                <w:rFonts w:ascii="Calibri"/>
                <w:b/>
                <w:color w:val="17365A"/>
                <w:spacing w:val="-10"/>
                <w:sz w:val="20"/>
              </w:rPr>
              <w:t xml:space="preserve"> </w:t>
            </w:r>
            <w:r>
              <w:rPr>
                <w:rFonts w:ascii="Calibri"/>
                <w:b/>
                <w:color w:val="17365A"/>
                <w:sz w:val="20"/>
              </w:rPr>
              <w:t>the</w:t>
            </w:r>
            <w:r>
              <w:rPr>
                <w:rFonts w:ascii="Calibri"/>
                <w:b/>
                <w:color w:val="17365A"/>
                <w:spacing w:val="-11"/>
                <w:sz w:val="20"/>
              </w:rPr>
              <w:t xml:space="preserve"> </w:t>
            </w:r>
            <w:r>
              <w:rPr>
                <w:rFonts w:ascii="Calibri"/>
                <w:b/>
                <w:color w:val="17365A"/>
                <w:sz w:val="20"/>
              </w:rPr>
              <w:t>Minimum</w:t>
            </w:r>
            <w:r>
              <w:rPr>
                <w:rFonts w:ascii="Calibri"/>
                <w:b/>
                <w:color w:val="17365A"/>
                <w:spacing w:val="-9"/>
                <w:sz w:val="20"/>
              </w:rPr>
              <w:t xml:space="preserve"> </w:t>
            </w:r>
            <w:r>
              <w:rPr>
                <w:rFonts w:ascii="Calibri"/>
                <w:b/>
                <w:color w:val="17365A"/>
                <w:sz w:val="20"/>
              </w:rPr>
              <w:t>Service</w:t>
            </w:r>
            <w:r>
              <w:rPr>
                <w:rFonts w:ascii="Calibri"/>
                <w:b/>
                <w:color w:val="17365A"/>
                <w:spacing w:val="-11"/>
                <w:sz w:val="20"/>
              </w:rPr>
              <w:t xml:space="preserve"> </w:t>
            </w:r>
            <w:r>
              <w:rPr>
                <w:rFonts w:ascii="Calibri"/>
                <w:b/>
                <w:color w:val="17365A"/>
                <w:sz w:val="20"/>
              </w:rPr>
              <w:t>Standards</w:t>
            </w:r>
            <w:r>
              <w:rPr>
                <w:rFonts w:ascii="Calibri"/>
                <w:b/>
                <w:color w:val="17365A"/>
                <w:spacing w:val="-10"/>
                <w:sz w:val="20"/>
              </w:rPr>
              <w:t xml:space="preserve"> </w:t>
            </w:r>
            <w:r>
              <w:rPr>
                <w:rFonts w:ascii="Calibri"/>
                <w:b/>
                <w:color w:val="17365A"/>
                <w:sz w:val="20"/>
              </w:rPr>
              <w:t>Implementation</w:t>
            </w:r>
            <w:r>
              <w:rPr>
                <w:rFonts w:ascii="Calibri"/>
                <w:b/>
                <w:color w:val="17365A"/>
                <w:spacing w:val="-10"/>
                <w:sz w:val="20"/>
              </w:rPr>
              <w:t xml:space="preserve"> </w:t>
            </w:r>
            <w:r>
              <w:rPr>
                <w:rFonts w:ascii="Calibri"/>
                <w:b/>
                <w:color w:val="17365A"/>
                <w:spacing w:val="-4"/>
                <w:sz w:val="20"/>
              </w:rPr>
              <w:t>Team</w:t>
            </w:r>
          </w:p>
          <w:p w14:paraId="27B9A53F" w14:textId="77777777" w:rsidR="00BC24A8" w:rsidRDefault="00000000">
            <w:pPr>
              <w:pStyle w:val="TableParagraph"/>
              <w:spacing w:before="243"/>
              <w:ind w:left="251" w:right="239"/>
              <w:jc w:val="both"/>
              <w:rPr>
                <w:sz w:val="18"/>
              </w:rPr>
            </w:pPr>
            <w:r>
              <w:rPr>
                <w:noProof/>
                <w:sz w:val="18"/>
              </w:rPr>
              <mc:AlternateContent>
                <mc:Choice Requires="wpg">
                  <w:drawing>
                    <wp:anchor distT="0" distB="0" distL="0" distR="0" simplePos="0" relativeHeight="478674944" behindDoc="1" locked="0" layoutInCell="1" allowOverlap="1" wp14:anchorId="1F984D02" wp14:editId="0EAA1A46">
                      <wp:simplePos x="0" y="0"/>
                      <wp:positionH relativeFrom="column">
                        <wp:posOffset>3041</wp:posOffset>
                      </wp:positionH>
                      <wp:positionV relativeFrom="paragraph">
                        <wp:posOffset>-386088</wp:posOffset>
                      </wp:positionV>
                      <wp:extent cx="5765800" cy="5041900"/>
                      <wp:effectExtent l="0" t="0" r="0" b="0"/>
                      <wp:wrapNone/>
                      <wp:docPr id="151" name="Group 151" descr="S TO R Y 1 :&#10;Strengthening Collaboration in the Minimum Service Standards Implementation Team&#10;The provincial Minimum Service Standards implementation team plays a crucial role in ensuring the implementation of the 4 stages of Minimum Service Standards implementation in the regions. Before the presence of SKALA, the involvement of Bappeda and BKAD Maluku was still very limited. For example, in the preparation of the 2023–2027 Minimum Service Standards action plan, only the Government Bureau and six supporting Provincial Agencies were involved.&#10;In response to these conditions, SKALA, in collaboration with the Government Bureau, initiated efforts to establish communication with Bappeda and BPKAD. Bappeda emphasised the importance of Provincial Agency planning that is grounded in actual issues and field-level challenges. Meanwhile, BPKAD has begun to assume a more strategic role in overseeing the allocation of the Minimum Service Standards budget, which has often been deprioritised.&#10;Signs of progress are becoming evident. Both Bappeda and BPKAD now actively participate in technical meetings held by the Minimum Service Standards implementation team. During the data collection phase, Bappeda and the Provincial Agencies have started utilising SEPAKAT analysis results to support more evidence-based planning. Concurrently, BPKAD contributes technical input to the process of calculating Minimum Service Standards budget requirements.&#10;&#10; &#10;We also have to thank SKALA and the Government Bureau Until now, we’ve oen heard about Minimum Service Standards, but lacked a complete understanding. Technical meetings like this are extremely helpful for us in monitoring budget discussions within TAPD (Regional Government Budget Team) and DPRD (Regional House of Representatives).&#10;Head of Budget Department of Maluku Province BPKAD, in the 2026 Minimum Service Standards Requirement&#10;Calculation Technical Meeting&#10;&#10; &#10;&#10;As a result of strengthened collaboration, the Minimum Service Standards-supporting Provincial Agencies have now completed the calculation of ideal budgetary needs for 2026 planning. Notably, each Provincial Agency has reported a significant increase in its estimated budget requirement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5041900"/>
                                <a:chOff x="0" y="0"/>
                                <a:chExt cx="5765800" cy="5041900"/>
                              </a:xfrm>
                            </wpg:grpSpPr>
                            <wps:wsp>
                              <wps:cNvPr id="152" name="Graphic 152"/>
                              <wps:cNvSpPr/>
                              <wps:spPr>
                                <a:xfrm>
                                  <a:off x="0" y="0"/>
                                  <a:ext cx="5765800" cy="5041900"/>
                                </a:xfrm>
                                <a:custGeom>
                                  <a:avLst/>
                                  <a:gdLst/>
                                  <a:ahLst/>
                                  <a:cxnLst/>
                                  <a:rect l="l" t="t" r="r" b="b"/>
                                  <a:pathLst>
                                    <a:path w="5765800" h="5041900">
                                      <a:moveTo>
                                        <a:pt x="5765292" y="0"/>
                                      </a:moveTo>
                                      <a:lnTo>
                                        <a:pt x="0" y="0"/>
                                      </a:lnTo>
                                      <a:lnTo>
                                        <a:pt x="0" y="5041392"/>
                                      </a:lnTo>
                                      <a:lnTo>
                                        <a:pt x="5765292" y="5041392"/>
                                      </a:lnTo>
                                      <a:lnTo>
                                        <a:pt x="5765292" y="0"/>
                                      </a:lnTo>
                                      <a:close/>
                                    </a:path>
                                  </a:pathLst>
                                </a:custGeom>
                                <a:solidFill>
                                  <a:srgbClr val="E1F1EF"/>
                                </a:solidFill>
                              </wps:spPr>
                              <wps:bodyPr wrap="square" lIns="0" tIns="0" rIns="0" bIns="0" rtlCol="0">
                                <a:prstTxWarp prst="textNoShape">
                                  <a:avLst/>
                                </a:prstTxWarp>
                                <a:noAutofit/>
                              </wps:bodyPr>
                            </wps:wsp>
                            <wps:wsp>
                              <wps:cNvPr id="153" name="Graphic 153"/>
                              <wps:cNvSpPr/>
                              <wps:spPr>
                                <a:xfrm>
                                  <a:off x="204343" y="2870593"/>
                                  <a:ext cx="5410200" cy="1222375"/>
                                </a:xfrm>
                                <a:custGeom>
                                  <a:avLst/>
                                  <a:gdLst/>
                                  <a:ahLst/>
                                  <a:cxnLst/>
                                  <a:rect l="l" t="t" r="r" b="b"/>
                                  <a:pathLst>
                                    <a:path w="5410200" h="1222375">
                                      <a:moveTo>
                                        <a:pt x="0" y="0"/>
                                      </a:moveTo>
                                      <a:lnTo>
                                        <a:pt x="5410200" y="0"/>
                                      </a:lnTo>
                                      <a:lnTo>
                                        <a:pt x="5410200" y="1221981"/>
                                      </a:lnTo>
                                      <a:lnTo>
                                        <a:pt x="0" y="1221981"/>
                                      </a:lnTo>
                                      <a:lnTo>
                                        <a:pt x="0" y="0"/>
                                      </a:lnTo>
                                      <a:close/>
                                    </a:path>
                                  </a:pathLst>
                                </a:custGeom>
                                <a:ln w="12699">
                                  <a:solidFill>
                                    <a:srgbClr val="17365A"/>
                                  </a:solidFill>
                                  <a:prstDash val="solid"/>
                                </a:ln>
                              </wps:spPr>
                              <wps:bodyPr wrap="square" lIns="0" tIns="0" rIns="0" bIns="0" rtlCol="0">
                                <a:prstTxWarp prst="textNoShape">
                                  <a:avLst/>
                                </a:prstTxWarp>
                                <a:noAutofit/>
                              </wps:bodyPr>
                            </wps:wsp>
                          </wpg:wgp>
                        </a:graphicData>
                      </a:graphic>
                    </wp:anchor>
                  </w:drawing>
                </mc:Choice>
                <mc:Fallback>
                  <w:pict>
                    <v:group w14:anchorId="667366AE" id="Group 151" o:spid="_x0000_s1026" alt="S TO R Y 1 :&#10;Strengthening Collaboration in the Minimum Service Standards Implementation Team&#10;The provincial Minimum Service Standards implementation team plays a crucial role in ensuring the implementation of the 4 stages of Minimum Service Standards implementation in the regions. Before the presence of SKALA, the involvement of Bappeda and BKAD Maluku was still very limited. For example, in the preparation of the 2023–2027 Minimum Service Standards action plan, only the Government Bureau and six supporting Provincial Agencies were involved.&#10;In response to these conditions, SKALA, in collaboration with the Government Bureau, initiated efforts to establish communication with Bappeda and BPKAD. Bappeda emphasised the importance of Provincial Agency planning that is grounded in actual issues and field-level challenges. Meanwhile, BPKAD has begun to assume a more strategic role in overseeing the allocation of the Minimum Service Standards budget, which has often been deprioritised.&#10;Signs of progress are becoming evident. Both Bappeda and BPKAD now actively participate in technical meetings held by the Minimum Service Standards implementation team. During the data collection phase, Bappeda and the Provincial Agencies have started utilising SEPAKAT analysis results to support more evidence-based planning. Concurrently, BPKAD contributes technical input to the process of calculating Minimum Service Standards budget requirements.&#10;&#10; &#10;We also have to thank SKALA and the Government Bureau Until now, we’ve oen heard about Minimum Service Standards, but lacked a complete understanding. Technical meetings like this are extremely helpful for us in monitoring budget discussions within TAPD (Regional Government Budget Team) and DPRD (Regional House of Representatives).&#10;Head of Budget Department of Maluku Province BPKAD, in the 2026 Minimum Service Standards Requirement&#10;Calculation Technical Meeting&#10;&#10; &#10;&#10;As a result of strengthened collaboration, the Minimum Service Standards-supporting Provincial Agencies have now completed the calculation of ideal budgetary needs for 2026 planning. Notably, each Provincial Agency has reported a significant increase in its estimated budget requirements.&#10;" style="position:absolute;margin-left:.25pt;margin-top:-30.4pt;width:454pt;height:397pt;z-index:-24641536;mso-wrap-distance-left:0;mso-wrap-distance-right:0" coordsize="57658,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">
                      <v:shape id="Graphic 152" o:spid="_x0000_s1027" style="position:absolute;width:57658;height:50419;visibility:visible;mso-wrap-style:square;v-text-anchor:top" coordsize="5765800,504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" path="m5765292,l,,,5041392r5765292,l5765292,xe" fillcolor="#e1f1ef" stroked="f">
                        <v:path arrowok="t"/>
                      </v:shape>
                      <v:shape id="Graphic 153" o:spid="_x0000_s1028" style="position:absolute;left:2043;top:28705;width:54102;height:12224;visibility:visible;mso-wrap-style:square;v-text-anchor:top" coordsize="541020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" path="m,l5410200,r,1221981l,1221981,,xe" filled="f" strokecolor="#17365a" strokeweight=".35275mm">
                        <v:path arrowok="t"/>
                      </v:shape>
                    </v:group>
                  </w:pict>
                </mc:Fallback>
              </mc:AlternateContent>
            </w:r>
            <w:r>
              <w:rPr>
                <w:sz w:val="18"/>
              </w:rPr>
              <w:t>The</w:t>
            </w:r>
            <w:r>
              <w:rPr>
                <w:spacing w:val="-2"/>
                <w:sz w:val="18"/>
              </w:rPr>
              <w:t xml:space="preserve"> </w:t>
            </w:r>
            <w:r>
              <w:rPr>
                <w:sz w:val="18"/>
              </w:rPr>
              <w:t>provincial</w:t>
            </w:r>
            <w:r>
              <w:rPr>
                <w:spacing w:val="-1"/>
                <w:sz w:val="18"/>
              </w:rPr>
              <w:t xml:space="preserve"> </w:t>
            </w:r>
            <w:r>
              <w:rPr>
                <w:sz w:val="18"/>
              </w:rPr>
              <w:t>Minimum</w:t>
            </w:r>
            <w:r>
              <w:rPr>
                <w:spacing w:val="-3"/>
                <w:sz w:val="18"/>
              </w:rPr>
              <w:t xml:space="preserve"> </w:t>
            </w:r>
            <w:r>
              <w:rPr>
                <w:sz w:val="18"/>
              </w:rPr>
              <w:t>Service</w:t>
            </w:r>
            <w:r>
              <w:rPr>
                <w:spacing w:val="-2"/>
                <w:sz w:val="18"/>
              </w:rPr>
              <w:t xml:space="preserve"> </w:t>
            </w:r>
            <w:r>
              <w:rPr>
                <w:sz w:val="18"/>
              </w:rPr>
              <w:t>Standards</w:t>
            </w:r>
            <w:r>
              <w:rPr>
                <w:spacing w:val="-2"/>
                <w:sz w:val="18"/>
              </w:rPr>
              <w:t xml:space="preserve"> </w:t>
            </w:r>
            <w:r>
              <w:rPr>
                <w:sz w:val="18"/>
              </w:rPr>
              <w:t>implementation</w:t>
            </w:r>
            <w:r>
              <w:rPr>
                <w:spacing w:val="-2"/>
                <w:sz w:val="18"/>
              </w:rPr>
              <w:t xml:space="preserve"> </w:t>
            </w:r>
            <w:r>
              <w:rPr>
                <w:sz w:val="18"/>
              </w:rPr>
              <w:t>team</w:t>
            </w:r>
            <w:r>
              <w:rPr>
                <w:spacing w:val="-3"/>
                <w:sz w:val="18"/>
              </w:rPr>
              <w:t xml:space="preserve"> </w:t>
            </w:r>
            <w:r>
              <w:rPr>
                <w:sz w:val="18"/>
              </w:rPr>
              <w:t>plays</w:t>
            </w:r>
            <w:r>
              <w:rPr>
                <w:spacing w:val="-2"/>
                <w:sz w:val="18"/>
              </w:rPr>
              <w:t xml:space="preserve"> </w:t>
            </w:r>
            <w:r>
              <w:rPr>
                <w:sz w:val="18"/>
              </w:rPr>
              <w:t>a</w:t>
            </w:r>
            <w:r>
              <w:rPr>
                <w:spacing w:val="-3"/>
                <w:sz w:val="18"/>
              </w:rPr>
              <w:t xml:space="preserve"> </w:t>
            </w:r>
            <w:r>
              <w:rPr>
                <w:sz w:val="18"/>
              </w:rPr>
              <w:t>crucial</w:t>
            </w:r>
            <w:r>
              <w:rPr>
                <w:spacing w:val="-1"/>
                <w:sz w:val="18"/>
              </w:rPr>
              <w:t xml:space="preserve"> </w:t>
            </w:r>
            <w:r>
              <w:rPr>
                <w:sz w:val="18"/>
              </w:rPr>
              <w:t>role</w:t>
            </w:r>
            <w:r>
              <w:rPr>
                <w:spacing w:val="-2"/>
                <w:sz w:val="18"/>
              </w:rPr>
              <w:t xml:space="preserve"> </w:t>
            </w:r>
            <w:r>
              <w:rPr>
                <w:sz w:val="18"/>
              </w:rPr>
              <w:t>in</w:t>
            </w:r>
            <w:r>
              <w:rPr>
                <w:spacing w:val="-2"/>
                <w:sz w:val="18"/>
              </w:rPr>
              <w:t xml:space="preserve"> </w:t>
            </w:r>
            <w:r>
              <w:rPr>
                <w:sz w:val="18"/>
              </w:rPr>
              <w:t>ensuring</w:t>
            </w:r>
            <w:r>
              <w:rPr>
                <w:spacing w:val="-2"/>
                <w:sz w:val="18"/>
              </w:rPr>
              <w:t xml:space="preserve"> </w:t>
            </w:r>
            <w:r>
              <w:rPr>
                <w:sz w:val="18"/>
              </w:rPr>
              <w:t>the</w:t>
            </w:r>
            <w:r>
              <w:rPr>
                <w:spacing w:val="-2"/>
                <w:sz w:val="18"/>
              </w:rPr>
              <w:t xml:space="preserve"> </w:t>
            </w:r>
            <w:r>
              <w:rPr>
                <w:sz w:val="18"/>
              </w:rPr>
              <w:t>implementation</w:t>
            </w:r>
            <w:r>
              <w:rPr>
                <w:spacing w:val="-2"/>
                <w:sz w:val="18"/>
              </w:rPr>
              <w:t xml:space="preserve"> </w:t>
            </w:r>
            <w:r>
              <w:rPr>
                <w:sz w:val="18"/>
              </w:rPr>
              <w:t xml:space="preserve">of the 4 stages of Minimum Service Standards implementation in the regions. Before the presence of SKALA, the involvement of Bappeda and BKAD Maluku was still very limited. For example, in the preparation of the 2023–2027 Minimum Service Standards action plan, only the Government Bureau and six supporting Provincial Agencies were </w:t>
            </w:r>
            <w:r>
              <w:rPr>
                <w:spacing w:val="-2"/>
                <w:sz w:val="18"/>
              </w:rPr>
              <w:t>involved.</w:t>
            </w:r>
          </w:p>
          <w:p w14:paraId="1805379C" w14:textId="77777777" w:rsidR="00BC24A8" w:rsidRDefault="00000000">
            <w:pPr>
              <w:pStyle w:val="TableParagraph"/>
              <w:spacing w:before="162"/>
              <w:ind w:left="251" w:right="237"/>
              <w:jc w:val="both"/>
              <w:rPr>
                <w:sz w:val="18"/>
              </w:rPr>
            </w:pPr>
            <w:r>
              <w:rPr>
                <w:sz w:val="18"/>
              </w:rPr>
              <w:t>In response to these conditions, SKALA, in collaboration with the Government Bureau, initiated efforts to establish communication with Bappeda and BPKAD. Bappeda emphasised the importance of Provincial Agency planning that is grounded in actual issues and field-level challenges. Meanwhile, BPKAD has begun to assume a more strategic role in overseeing the allocation of the Minimum Service Standards budget, which has often been deprioritised.</w:t>
            </w:r>
          </w:p>
          <w:p w14:paraId="1B33075C" w14:textId="77777777" w:rsidR="00BC24A8" w:rsidRDefault="00000000">
            <w:pPr>
              <w:pStyle w:val="TableParagraph"/>
              <w:spacing w:before="160"/>
              <w:ind w:left="251" w:right="237"/>
              <w:jc w:val="both"/>
              <w:rPr>
                <w:sz w:val="18"/>
              </w:rPr>
            </w:pPr>
            <w:r>
              <w:rPr>
                <w:sz w:val="18"/>
              </w:rPr>
              <w:t>Signs of progress are becoming evident. Both Bappeda and BPKAD now actively participate in technical meetings held by</w:t>
            </w:r>
            <w:r>
              <w:rPr>
                <w:spacing w:val="-4"/>
                <w:sz w:val="18"/>
              </w:rPr>
              <w:t xml:space="preserve"> </w:t>
            </w:r>
            <w:r>
              <w:rPr>
                <w:sz w:val="18"/>
              </w:rPr>
              <w:t>the</w:t>
            </w:r>
            <w:r>
              <w:rPr>
                <w:spacing w:val="-4"/>
                <w:sz w:val="18"/>
              </w:rPr>
              <w:t xml:space="preserve"> </w:t>
            </w:r>
            <w:r>
              <w:rPr>
                <w:sz w:val="18"/>
              </w:rPr>
              <w:t>Minimum</w:t>
            </w:r>
            <w:r>
              <w:rPr>
                <w:spacing w:val="-5"/>
                <w:sz w:val="18"/>
              </w:rPr>
              <w:t xml:space="preserve"> </w:t>
            </w:r>
            <w:r>
              <w:rPr>
                <w:sz w:val="18"/>
              </w:rPr>
              <w:t>Service</w:t>
            </w:r>
            <w:r>
              <w:rPr>
                <w:spacing w:val="-4"/>
                <w:sz w:val="18"/>
              </w:rPr>
              <w:t xml:space="preserve"> </w:t>
            </w:r>
            <w:r>
              <w:rPr>
                <w:sz w:val="18"/>
              </w:rPr>
              <w:t>Standards</w:t>
            </w:r>
            <w:r>
              <w:rPr>
                <w:spacing w:val="-4"/>
                <w:sz w:val="18"/>
              </w:rPr>
              <w:t xml:space="preserve"> </w:t>
            </w:r>
            <w:r>
              <w:rPr>
                <w:sz w:val="18"/>
              </w:rPr>
              <w:t>implementation</w:t>
            </w:r>
            <w:r>
              <w:rPr>
                <w:spacing w:val="-4"/>
                <w:sz w:val="18"/>
              </w:rPr>
              <w:t xml:space="preserve"> </w:t>
            </w:r>
            <w:r>
              <w:rPr>
                <w:sz w:val="18"/>
              </w:rPr>
              <w:t>team.</w:t>
            </w:r>
            <w:r>
              <w:rPr>
                <w:spacing w:val="-5"/>
                <w:sz w:val="18"/>
              </w:rPr>
              <w:t xml:space="preserve"> </w:t>
            </w:r>
            <w:r>
              <w:rPr>
                <w:sz w:val="18"/>
              </w:rPr>
              <w:t>During</w:t>
            </w:r>
            <w:r>
              <w:rPr>
                <w:spacing w:val="-5"/>
                <w:sz w:val="18"/>
              </w:rPr>
              <w:t xml:space="preserve"> </w:t>
            </w:r>
            <w:r>
              <w:rPr>
                <w:sz w:val="18"/>
              </w:rPr>
              <w:t>the</w:t>
            </w:r>
            <w:r>
              <w:rPr>
                <w:spacing w:val="-4"/>
                <w:sz w:val="18"/>
              </w:rPr>
              <w:t xml:space="preserve"> </w:t>
            </w:r>
            <w:r>
              <w:rPr>
                <w:sz w:val="18"/>
              </w:rPr>
              <w:t>data</w:t>
            </w:r>
            <w:r>
              <w:rPr>
                <w:spacing w:val="-5"/>
                <w:sz w:val="18"/>
              </w:rPr>
              <w:t xml:space="preserve"> </w:t>
            </w:r>
            <w:r>
              <w:rPr>
                <w:sz w:val="18"/>
              </w:rPr>
              <w:t>collection</w:t>
            </w:r>
            <w:r>
              <w:rPr>
                <w:spacing w:val="-4"/>
                <w:sz w:val="18"/>
              </w:rPr>
              <w:t xml:space="preserve"> </w:t>
            </w:r>
            <w:r>
              <w:rPr>
                <w:sz w:val="18"/>
              </w:rPr>
              <w:t>phase,</w:t>
            </w:r>
            <w:r>
              <w:rPr>
                <w:spacing w:val="-5"/>
                <w:sz w:val="18"/>
              </w:rPr>
              <w:t xml:space="preserve"> </w:t>
            </w:r>
            <w:r>
              <w:rPr>
                <w:sz w:val="18"/>
              </w:rPr>
              <w:t>Bappeda</w:t>
            </w:r>
            <w:r>
              <w:rPr>
                <w:spacing w:val="-5"/>
                <w:sz w:val="18"/>
              </w:rPr>
              <w:t xml:space="preserve"> </w:t>
            </w:r>
            <w:r>
              <w:rPr>
                <w:sz w:val="18"/>
              </w:rPr>
              <w:t>and</w:t>
            </w:r>
            <w:r>
              <w:rPr>
                <w:spacing w:val="-4"/>
                <w:sz w:val="18"/>
              </w:rPr>
              <w:t xml:space="preserve"> </w:t>
            </w:r>
            <w:r>
              <w:rPr>
                <w:sz w:val="18"/>
              </w:rPr>
              <w:t>the</w:t>
            </w:r>
            <w:r>
              <w:rPr>
                <w:spacing w:val="-4"/>
                <w:sz w:val="18"/>
              </w:rPr>
              <w:t xml:space="preserve"> </w:t>
            </w:r>
            <w:r>
              <w:rPr>
                <w:sz w:val="18"/>
              </w:rPr>
              <w:t>Provincial Agencies</w:t>
            </w:r>
            <w:r>
              <w:rPr>
                <w:spacing w:val="-8"/>
                <w:sz w:val="18"/>
              </w:rPr>
              <w:t xml:space="preserve"> </w:t>
            </w:r>
            <w:r>
              <w:rPr>
                <w:sz w:val="18"/>
              </w:rPr>
              <w:t>have</w:t>
            </w:r>
            <w:r>
              <w:rPr>
                <w:spacing w:val="-8"/>
                <w:sz w:val="18"/>
              </w:rPr>
              <w:t xml:space="preserve"> </w:t>
            </w:r>
            <w:r>
              <w:rPr>
                <w:sz w:val="18"/>
              </w:rPr>
              <w:t>started</w:t>
            </w:r>
            <w:r>
              <w:rPr>
                <w:spacing w:val="-8"/>
                <w:sz w:val="18"/>
              </w:rPr>
              <w:t xml:space="preserve"> </w:t>
            </w:r>
            <w:r>
              <w:rPr>
                <w:sz w:val="18"/>
              </w:rPr>
              <w:t>utilising</w:t>
            </w:r>
            <w:r>
              <w:rPr>
                <w:spacing w:val="-9"/>
                <w:sz w:val="18"/>
              </w:rPr>
              <w:t xml:space="preserve"> </w:t>
            </w:r>
            <w:r>
              <w:rPr>
                <w:sz w:val="18"/>
              </w:rPr>
              <w:t>SEPAKAT</w:t>
            </w:r>
            <w:r>
              <w:rPr>
                <w:spacing w:val="-9"/>
                <w:sz w:val="18"/>
              </w:rPr>
              <w:t xml:space="preserve"> </w:t>
            </w:r>
            <w:r>
              <w:rPr>
                <w:sz w:val="18"/>
              </w:rPr>
              <w:t>analysis</w:t>
            </w:r>
            <w:r>
              <w:rPr>
                <w:spacing w:val="-8"/>
                <w:sz w:val="18"/>
              </w:rPr>
              <w:t xml:space="preserve"> </w:t>
            </w:r>
            <w:r>
              <w:rPr>
                <w:sz w:val="18"/>
              </w:rPr>
              <w:t>results</w:t>
            </w:r>
            <w:r>
              <w:rPr>
                <w:spacing w:val="-8"/>
                <w:sz w:val="18"/>
              </w:rPr>
              <w:t xml:space="preserve"> </w:t>
            </w:r>
            <w:r>
              <w:rPr>
                <w:sz w:val="18"/>
              </w:rPr>
              <w:t>to</w:t>
            </w:r>
            <w:r>
              <w:rPr>
                <w:spacing w:val="-9"/>
                <w:sz w:val="18"/>
              </w:rPr>
              <w:t xml:space="preserve"> </w:t>
            </w:r>
            <w:r>
              <w:rPr>
                <w:sz w:val="18"/>
              </w:rPr>
              <w:t>support</w:t>
            </w:r>
            <w:r>
              <w:rPr>
                <w:spacing w:val="-10"/>
                <w:sz w:val="18"/>
              </w:rPr>
              <w:t xml:space="preserve"> </w:t>
            </w:r>
            <w:r>
              <w:rPr>
                <w:sz w:val="18"/>
              </w:rPr>
              <w:t>more</w:t>
            </w:r>
            <w:r>
              <w:rPr>
                <w:spacing w:val="-8"/>
                <w:sz w:val="18"/>
              </w:rPr>
              <w:t xml:space="preserve"> </w:t>
            </w:r>
            <w:r>
              <w:rPr>
                <w:sz w:val="18"/>
              </w:rPr>
              <w:t>evidence-based</w:t>
            </w:r>
            <w:r>
              <w:rPr>
                <w:spacing w:val="-8"/>
                <w:sz w:val="18"/>
              </w:rPr>
              <w:t xml:space="preserve"> </w:t>
            </w:r>
            <w:r>
              <w:rPr>
                <w:sz w:val="18"/>
              </w:rPr>
              <w:t>planning.</w:t>
            </w:r>
            <w:r>
              <w:rPr>
                <w:spacing w:val="-9"/>
                <w:sz w:val="18"/>
              </w:rPr>
              <w:t xml:space="preserve"> </w:t>
            </w:r>
            <w:r>
              <w:rPr>
                <w:sz w:val="18"/>
              </w:rPr>
              <w:t>Concurrently,</w:t>
            </w:r>
            <w:r>
              <w:rPr>
                <w:spacing w:val="-9"/>
                <w:sz w:val="18"/>
              </w:rPr>
              <w:t xml:space="preserve"> </w:t>
            </w:r>
            <w:r>
              <w:rPr>
                <w:sz w:val="18"/>
              </w:rPr>
              <w:t>BPKAD contributes technical input to the process of calculating Minimum Service Standards budget requirements.</w:t>
            </w:r>
          </w:p>
          <w:p w14:paraId="0FAE03EE" w14:textId="77777777" w:rsidR="00BC24A8" w:rsidRDefault="00BC24A8">
            <w:pPr>
              <w:pStyle w:val="TableParagraph"/>
              <w:spacing w:before="4"/>
              <w:rPr>
                <w:rFonts w:ascii="Calibri"/>
                <w:sz w:val="20"/>
              </w:rPr>
            </w:pPr>
          </w:p>
          <w:p w14:paraId="21D97B15" w14:textId="77777777" w:rsidR="00BC24A8" w:rsidRDefault="00000000">
            <w:pPr>
              <w:pStyle w:val="TableParagraph"/>
              <w:ind w:left="422"/>
              <w:rPr>
                <w:rFonts w:ascii="Calibri"/>
                <w:sz w:val="20"/>
              </w:rPr>
            </w:pPr>
            <w:r>
              <w:rPr>
                <w:rFonts w:ascii="Calibri"/>
                <w:noProof/>
                <w:sz w:val="20"/>
              </w:rPr>
              <w:drawing>
                <wp:inline distT="0" distB="0" distL="0" distR="0" wp14:anchorId="122C2FAF" wp14:editId="2EBEA6BA">
                  <wp:extent cx="223072" cy="204787"/>
                  <wp:effectExtent l="0" t="0" r="0" b="0"/>
                  <wp:docPr id="154" name="Imag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23072" cy="204787"/>
                          </a:xfrm>
                          <a:prstGeom prst="rect">
                            <a:avLst/>
                          </a:prstGeom>
                        </pic:spPr>
                      </pic:pic>
                    </a:graphicData>
                  </a:graphic>
                </wp:inline>
              </w:drawing>
            </w:r>
          </w:p>
          <w:p w14:paraId="2F53A242" w14:textId="77777777" w:rsidR="00BC24A8" w:rsidRDefault="00000000">
            <w:pPr>
              <w:pStyle w:val="TableParagraph"/>
              <w:spacing w:before="139" w:line="290" w:lineRule="auto"/>
              <w:ind w:left="623" w:right="529"/>
              <w:jc w:val="both"/>
              <w:rPr>
                <w:rFonts w:ascii="Times New Roman" w:hAnsi="Times New Roman"/>
                <w:b/>
                <w:i/>
                <w:sz w:val="18"/>
              </w:rPr>
            </w:pPr>
            <w:r>
              <w:rPr>
                <w:rFonts w:ascii="Times New Roman" w:hAnsi="Times New Roman"/>
                <w:b/>
                <w:i/>
                <w:color w:val="17365A"/>
                <w:sz w:val="18"/>
              </w:rPr>
              <w:t>We</w:t>
            </w:r>
            <w:r>
              <w:rPr>
                <w:rFonts w:ascii="Times New Roman" w:hAnsi="Times New Roman"/>
                <w:b/>
                <w:i/>
                <w:color w:val="17365A"/>
                <w:spacing w:val="-4"/>
                <w:sz w:val="18"/>
              </w:rPr>
              <w:t xml:space="preserve"> </w:t>
            </w:r>
            <w:r>
              <w:rPr>
                <w:rFonts w:ascii="Times New Roman" w:hAnsi="Times New Roman"/>
                <w:b/>
                <w:i/>
                <w:color w:val="17365A"/>
                <w:sz w:val="18"/>
              </w:rPr>
              <w:t>also</w:t>
            </w:r>
            <w:r>
              <w:rPr>
                <w:rFonts w:ascii="Times New Roman" w:hAnsi="Times New Roman"/>
                <w:b/>
                <w:i/>
                <w:color w:val="17365A"/>
                <w:spacing w:val="-3"/>
                <w:sz w:val="18"/>
              </w:rPr>
              <w:t xml:space="preserve"> </w:t>
            </w:r>
            <w:r>
              <w:rPr>
                <w:rFonts w:ascii="Times New Roman" w:hAnsi="Times New Roman"/>
                <w:b/>
                <w:i/>
                <w:color w:val="17365A"/>
                <w:sz w:val="18"/>
              </w:rPr>
              <w:t>have</w:t>
            </w:r>
            <w:r>
              <w:rPr>
                <w:rFonts w:ascii="Times New Roman" w:hAnsi="Times New Roman"/>
                <w:b/>
                <w:i/>
                <w:color w:val="17365A"/>
                <w:spacing w:val="-4"/>
                <w:sz w:val="18"/>
              </w:rPr>
              <w:t xml:space="preserve"> </w:t>
            </w:r>
            <w:r>
              <w:rPr>
                <w:rFonts w:ascii="Times New Roman" w:hAnsi="Times New Roman"/>
                <w:b/>
                <w:i/>
                <w:color w:val="17365A"/>
                <w:sz w:val="18"/>
              </w:rPr>
              <w:t>to</w:t>
            </w:r>
            <w:r>
              <w:rPr>
                <w:rFonts w:ascii="Times New Roman" w:hAnsi="Times New Roman"/>
                <w:b/>
                <w:i/>
                <w:color w:val="17365A"/>
                <w:spacing w:val="-3"/>
                <w:sz w:val="18"/>
              </w:rPr>
              <w:t xml:space="preserve"> </w:t>
            </w:r>
            <w:r>
              <w:rPr>
                <w:rFonts w:ascii="Times New Roman" w:hAnsi="Times New Roman"/>
                <w:b/>
                <w:i/>
                <w:color w:val="17365A"/>
                <w:sz w:val="18"/>
              </w:rPr>
              <w:t>thank</w:t>
            </w:r>
            <w:r>
              <w:rPr>
                <w:rFonts w:ascii="Times New Roman" w:hAnsi="Times New Roman"/>
                <w:b/>
                <w:i/>
                <w:color w:val="17365A"/>
                <w:spacing w:val="-2"/>
                <w:sz w:val="18"/>
              </w:rPr>
              <w:t xml:space="preserve"> </w:t>
            </w:r>
            <w:r>
              <w:rPr>
                <w:rFonts w:ascii="Times New Roman" w:hAnsi="Times New Roman"/>
                <w:b/>
                <w:i/>
                <w:color w:val="17365A"/>
                <w:sz w:val="18"/>
              </w:rPr>
              <w:t>SKALA</w:t>
            </w:r>
            <w:r>
              <w:rPr>
                <w:rFonts w:ascii="Times New Roman" w:hAnsi="Times New Roman"/>
                <w:b/>
                <w:i/>
                <w:color w:val="17365A"/>
                <w:spacing w:val="-2"/>
                <w:sz w:val="18"/>
              </w:rPr>
              <w:t xml:space="preserve"> </w:t>
            </w:r>
            <w:r>
              <w:rPr>
                <w:rFonts w:ascii="Times New Roman" w:hAnsi="Times New Roman"/>
                <w:b/>
                <w:i/>
                <w:color w:val="17365A"/>
                <w:sz w:val="18"/>
              </w:rPr>
              <w:t>and</w:t>
            </w:r>
            <w:r>
              <w:rPr>
                <w:rFonts w:ascii="Times New Roman" w:hAnsi="Times New Roman"/>
                <w:b/>
                <w:i/>
                <w:color w:val="17365A"/>
                <w:spacing w:val="-4"/>
                <w:sz w:val="18"/>
              </w:rPr>
              <w:t xml:space="preserve"> </w:t>
            </w:r>
            <w:r>
              <w:rPr>
                <w:rFonts w:ascii="Times New Roman" w:hAnsi="Times New Roman"/>
                <w:b/>
                <w:i/>
                <w:color w:val="17365A"/>
                <w:sz w:val="18"/>
              </w:rPr>
              <w:t>the</w:t>
            </w:r>
            <w:r>
              <w:rPr>
                <w:rFonts w:ascii="Times New Roman" w:hAnsi="Times New Roman"/>
                <w:b/>
                <w:i/>
                <w:color w:val="17365A"/>
                <w:spacing w:val="-4"/>
                <w:sz w:val="18"/>
              </w:rPr>
              <w:t xml:space="preserve"> </w:t>
            </w:r>
            <w:r>
              <w:rPr>
                <w:rFonts w:ascii="Times New Roman" w:hAnsi="Times New Roman"/>
                <w:b/>
                <w:i/>
                <w:color w:val="17365A"/>
                <w:sz w:val="18"/>
              </w:rPr>
              <w:t>Government</w:t>
            </w:r>
            <w:r>
              <w:rPr>
                <w:rFonts w:ascii="Times New Roman" w:hAnsi="Times New Roman"/>
                <w:b/>
                <w:i/>
                <w:color w:val="17365A"/>
                <w:spacing w:val="-3"/>
                <w:sz w:val="18"/>
              </w:rPr>
              <w:t xml:space="preserve"> </w:t>
            </w:r>
            <w:r>
              <w:rPr>
                <w:rFonts w:ascii="Times New Roman" w:hAnsi="Times New Roman"/>
                <w:b/>
                <w:i/>
                <w:color w:val="17365A"/>
                <w:sz w:val="18"/>
              </w:rPr>
              <w:t>Bureau</w:t>
            </w:r>
            <w:r>
              <w:rPr>
                <w:rFonts w:ascii="Times New Roman" w:hAnsi="Times New Roman"/>
                <w:b/>
                <w:i/>
                <w:color w:val="17365A"/>
                <w:spacing w:val="-3"/>
                <w:sz w:val="18"/>
              </w:rPr>
              <w:t xml:space="preserve"> </w:t>
            </w:r>
            <w:r>
              <w:rPr>
                <w:rFonts w:ascii="Times New Roman" w:hAnsi="Times New Roman"/>
                <w:b/>
                <w:i/>
                <w:color w:val="17365A"/>
                <w:sz w:val="18"/>
              </w:rPr>
              <w:t>Until</w:t>
            </w:r>
            <w:r>
              <w:rPr>
                <w:rFonts w:ascii="Times New Roman" w:hAnsi="Times New Roman"/>
                <w:b/>
                <w:i/>
                <w:color w:val="17365A"/>
                <w:spacing w:val="-2"/>
                <w:sz w:val="18"/>
              </w:rPr>
              <w:t xml:space="preserve"> </w:t>
            </w:r>
            <w:r>
              <w:rPr>
                <w:rFonts w:ascii="Times New Roman" w:hAnsi="Times New Roman"/>
                <w:b/>
                <w:i/>
                <w:color w:val="17365A"/>
                <w:sz w:val="18"/>
              </w:rPr>
              <w:t>now,</w:t>
            </w:r>
            <w:r>
              <w:rPr>
                <w:rFonts w:ascii="Times New Roman" w:hAnsi="Times New Roman"/>
                <w:b/>
                <w:i/>
                <w:color w:val="17365A"/>
                <w:spacing w:val="-3"/>
                <w:sz w:val="18"/>
              </w:rPr>
              <w:t xml:space="preserve"> </w:t>
            </w:r>
            <w:r>
              <w:rPr>
                <w:rFonts w:ascii="Times New Roman" w:hAnsi="Times New Roman"/>
                <w:b/>
                <w:i/>
                <w:color w:val="17365A"/>
                <w:sz w:val="18"/>
              </w:rPr>
              <w:t>we’ve</w:t>
            </w:r>
            <w:r>
              <w:rPr>
                <w:rFonts w:ascii="Times New Roman" w:hAnsi="Times New Roman"/>
                <w:b/>
                <w:i/>
                <w:color w:val="17365A"/>
                <w:spacing w:val="-4"/>
                <w:sz w:val="18"/>
              </w:rPr>
              <w:t xml:space="preserve"> </w:t>
            </w:r>
            <w:r>
              <w:rPr>
                <w:rFonts w:ascii="Times New Roman" w:hAnsi="Times New Roman"/>
                <w:b/>
                <w:i/>
                <w:color w:val="17365A"/>
                <w:sz w:val="18"/>
              </w:rPr>
              <w:t>oen</w:t>
            </w:r>
            <w:r>
              <w:rPr>
                <w:rFonts w:ascii="Times New Roman" w:hAnsi="Times New Roman"/>
                <w:b/>
                <w:i/>
                <w:color w:val="17365A"/>
                <w:spacing w:val="-4"/>
                <w:sz w:val="18"/>
              </w:rPr>
              <w:t xml:space="preserve"> </w:t>
            </w:r>
            <w:r>
              <w:rPr>
                <w:rFonts w:ascii="Times New Roman" w:hAnsi="Times New Roman"/>
                <w:b/>
                <w:i/>
                <w:color w:val="17365A"/>
                <w:sz w:val="18"/>
              </w:rPr>
              <w:t>heard</w:t>
            </w:r>
            <w:r>
              <w:rPr>
                <w:rFonts w:ascii="Times New Roman" w:hAnsi="Times New Roman"/>
                <w:b/>
                <w:i/>
                <w:color w:val="17365A"/>
                <w:spacing w:val="-4"/>
                <w:sz w:val="18"/>
              </w:rPr>
              <w:t xml:space="preserve"> </w:t>
            </w:r>
            <w:r>
              <w:rPr>
                <w:rFonts w:ascii="Times New Roman" w:hAnsi="Times New Roman"/>
                <w:b/>
                <w:i/>
                <w:color w:val="17365A"/>
                <w:sz w:val="18"/>
              </w:rPr>
              <w:t>about</w:t>
            </w:r>
            <w:r>
              <w:rPr>
                <w:rFonts w:ascii="Times New Roman" w:hAnsi="Times New Roman"/>
                <w:b/>
                <w:i/>
                <w:color w:val="17365A"/>
                <w:spacing w:val="-3"/>
                <w:sz w:val="18"/>
              </w:rPr>
              <w:t xml:space="preserve"> </w:t>
            </w:r>
            <w:r>
              <w:rPr>
                <w:rFonts w:ascii="Times New Roman" w:hAnsi="Times New Roman"/>
                <w:b/>
                <w:i/>
                <w:color w:val="17365A"/>
                <w:sz w:val="18"/>
              </w:rPr>
              <w:t xml:space="preserve">Minimum </w:t>
            </w:r>
            <w:r>
              <w:rPr>
                <w:rFonts w:ascii="Times New Roman" w:hAnsi="Times New Roman"/>
                <w:b/>
                <w:i/>
                <w:color w:val="17365A"/>
                <w:spacing w:val="-2"/>
                <w:sz w:val="18"/>
              </w:rPr>
              <w:t>Service</w:t>
            </w:r>
            <w:r>
              <w:rPr>
                <w:rFonts w:ascii="Times New Roman" w:hAnsi="Times New Roman"/>
                <w:b/>
                <w:i/>
                <w:color w:val="17365A"/>
                <w:spacing w:val="-10"/>
                <w:sz w:val="18"/>
              </w:rPr>
              <w:t xml:space="preserve"> </w:t>
            </w:r>
            <w:r>
              <w:rPr>
                <w:rFonts w:ascii="Times New Roman" w:hAnsi="Times New Roman"/>
                <w:b/>
                <w:i/>
                <w:color w:val="17365A"/>
                <w:spacing w:val="-2"/>
                <w:sz w:val="18"/>
              </w:rPr>
              <w:t>Standards,</w:t>
            </w:r>
            <w:r>
              <w:rPr>
                <w:rFonts w:ascii="Times New Roman" w:hAnsi="Times New Roman"/>
                <w:b/>
                <w:i/>
                <w:color w:val="17365A"/>
                <w:spacing w:val="-9"/>
                <w:sz w:val="18"/>
              </w:rPr>
              <w:t xml:space="preserve"> </w:t>
            </w:r>
            <w:r>
              <w:rPr>
                <w:rFonts w:ascii="Times New Roman" w:hAnsi="Times New Roman"/>
                <w:b/>
                <w:i/>
                <w:color w:val="17365A"/>
                <w:spacing w:val="-2"/>
                <w:sz w:val="18"/>
              </w:rPr>
              <w:t>but</w:t>
            </w:r>
            <w:r>
              <w:rPr>
                <w:rFonts w:ascii="Times New Roman" w:hAnsi="Times New Roman"/>
                <w:b/>
                <w:i/>
                <w:color w:val="17365A"/>
                <w:spacing w:val="-9"/>
                <w:sz w:val="18"/>
              </w:rPr>
              <w:t xml:space="preserve"> </w:t>
            </w:r>
            <w:r>
              <w:rPr>
                <w:rFonts w:ascii="Times New Roman" w:hAnsi="Times New Roman"/>
                <w:b/>
                <w:i/>
                <w:color w:val="17365A"/>
                <w:spacing w:val="-2"/>
                <w:sz w:val="18"/>
              </w:rPr>
              <w:t>lacked</w:t>
            </w:r>
            <w:r>
              <w:rPr>
                <w:rFonts w:ascii="Times New Roman" w:hAnsi="Times New Roman"/>
                <w:b/>
                <w:i/>
                <w:color w:val="17365A"/>
                <w:spacing w:val="-9"/>
                <w:sz w:val="18"/>
              </w:rPr>
              <w:t xml:space="preserve"> </w:t>
            </w:r>
            <w:r>
              <w:rPr>
                <w:rFonts w:ascii="Times New Roman" w:hAnsi="Times New Roman"/>
                <w:b/>
                <w:i/>
                <w:color w:val="17365A"/>
                <w:spacing w:val="-2"/>
                <w:sz w:val="18"/>
              </w:rPr>
              <w:t>a</w:t>
            </w:r>
            <w:r>
              <w:rPr>
                <w:rFonts w:ascii="Times New Roman" w:hAnsi="Times New Roman"/>
                <w:b/>
                <w:i/>
                <w:color w:val="17365A"/>
                <w:spacing w:val="-10"/>
                <w:sz w:val="18"/>
              </w:rPr>
              <w:t xml:space="preserve"> </w:t>
            </w:r>
            <w:r>
              <w:rPr>
                <w:rFonts w:ascii="Times New Roman" w:hAnsi="Times New Roman"/>
                <w:b/>
                <w:i/>
                <w:color w:val="17365A"/>
                <w:spacing w:val="-2"/>
                <w:sz w:val="18"/>
              </w:rPr>
              <w:t>complete</w:t>
            </w:r>
            <w:r>
              <w:rPr>
                <w:rFonts w:ascii="Times New Roman" w:hAnsi="Times New Roman"/>
                <w:b/>
                <w:i/>
                <w:color w:val="17365A"/>
                <w:spacing w:val="-9"/>
                <w:sz w:val="18"/>
              </w:rPr>
              <w:t xml:space="preserve"> </w:t>
            </w:r>
            <w:r>
              <w:rPr>
                <w:rFonts w:ascii="Times New Roman" w:hAnsi="Times New Roman"/>
                <w:b/>
                <w:i/>
                <w:color w:val="17365A"/>
                <w:spacing w:val="-2"/>
                <w:sz w:val="18"/>
              </w:rPr>
              <w:t>understanding.</w:t>
            </w:r>
            <w:r>
              <w:rPr>
                <w:rFonts w:ascii="Times New Roman" w:hAnsi="Times New Roman"/>
                <w:b/>
                <w:i/>
                <w:color w:val="17365A"/>
                <w:spacing w:val="-9"/>
                <w:sz w:val="18"/>
              </w:rPr>
              <w:t xml:space="preserve"> </w:t>
            </w:r>
            <w:r>
              <w:rPr>
                <w:rFonts w:ascii="Times New Roman" w:hAnsi="Times New Roman"/>
                <w:b/>
                <w:i/>
                <w:color w:val="17365A"/>
                <w:spacing w:val="-2"/>
                <w:sz w:val="18"/>
              </w:rPr>
              <w:t>Technical</w:t>
            </w:r>
            <w:r>
              <w:rPr>
                <w:rFonts w:ascii="Times New Roman" w:hAnsi="Times New Roman"/>
                <w:b/>
                <w:i/>
                <w:color w:val="17365A"/>
                <w:spacing w:val="-9"/>
                <w:sz w:val="18"/>
              </w:rPr>
              <w:t xml:space="preserve"> </w:t>
            </w:r>
            <w:r>
              <w:rPr>
                <w:rFonts w:ascii="Times New Roman" w:hAnsi="Times New Roman"/>
                <w:b/>
                <w:i/>
                <w:color w:val="17365A"/>
                <w:spacing w:val="-2"/>
                <w:sz w:val="18"/>
              </w:rPr>
              <w:t>meetings</w:t>
            </w:r>
            <w:r>
              <w:rPr>
                <w:rFonts w:ascii="Times New Roman" w:hAnsi="Times New Roman"/>
                <w:b/>
                <w:i/>
                <w:color w:val="17365A"/>
                <w:spacing w:val="-10"/>
                <w:sz w:val="18"/>
              </w:rPr>
              <w:t xml:space="preserve"> </w:t>
            </w:r>
            <w:r>
              <w:rPr>
                <w:rFonts w:ascii="Times New Roman" w:hAnsi="Times New Roman"/>
                <w:b/>
                <w:i/>
                <w:color w:val="17365A"/>
                <w:spacing w:val="-2"/>
                <w:sz w:val="18"/>
              </w:rPr>
              <w:t>like</w:t>
            </w:r>
            <w:r>
              <w:rPr>
                <w:rFonts w:ascii="Times New Roman" w:hAnsi="Times New Roman"/>
                <w:b/>
                <w:i/>
                <w:color w:val="17365A"/>
                <w:spacing w:val="-9"/>
                <w:sz w:val="18"/>
              </w:rPr>
              <w:t xml:space="preserve"> </w:t>
            </w:r>
            <w:r>
              <w:rPr>
                <w:rFonts w:ascii="Times New Roman" w:hAnsi="Times New Roman"/>
                <w:b/>
                <w:i/>
                <w:color w:val="17365A"/>
                <w:spacing w:val="-2"/>
                <w:sz w:val="18"/>
              </w:rPr>
              <w:t>this</w:t>
            </w:r>
            <w:r>
              <w:rPr>
                <w:rFonts w:ascii="Times New Roman" w:hAnsi="Times New Roman"/>
                <w:b/>
                <w:i/>
                <w:color w:val="17365A"/>
                <w:spacing w:val="-9"/>
                <w:sz w:val="18"/>
              </w:rPr>
              <w:t xml:space="preserve"> </w:t>
            </w:r>
            <w:r>
              <w:rPr>
                <w:rFonts w:ascii="Times New Roman" w:hAnsi="Times New Roman"/>
                <w:b/>
                <w:i/>
                <w:color w:val="17365A"/>
                <w:spacing w:val="-2"/>
                <w:sz w:val="18"/>
              </w:rPr>
              <w:t>are</w:t>
            </w:r>
            <w:r>
              <w:rPr>
                <w:rFonts w:ascii="Times New Roman" w:hAnsi="Times New Roman"/>
                <w:b/>
                <w:i/>
                <w:color w:val="17365A"/>
                <w:spacing w:val="-9"/>
                <w:sz w:val="18"/>
              </w:rPr>
              <w:t xml:space="preserve"> </w:t>
            </w:r>
            <w:r>
              <w:rPr>
                <w:rFonts w:ascii="Times New Roman" w:hAnsi="Times New Roman"/>
                <w:b/>
                <w:i/>
                <w:color w:val="17365A"/>
                <w:spacing w:val="-2"/>
                <w:sz w:val="18"/>
              </w:rPr>
              <w:t>extremely</w:t>
            </w:r>
            <w:r>
              <w:rPr>
                <w:rFonts w:ascii="Times New Roman" w:hAnsi="Times New Roman"/>
                <w:b/>
                <w:i/>
                <w:color w:val="17365A"/>
                <w:spacing w:val="-10"/>
                <w:sz w:val="18"/>
              </w:rPr>
              <w:t xml:space="preserve"> </w:t>
            </w:r>
            <w:r>
              <w:rPr>
                <w:rFonts w:ascii="Times New Roman" w:hAnsi="Times New Roman"/>
                <w:b/>
                <w:i/>
                <w:color w:val="17365A"/>
                <w:spacing w:val="-2"/>
                <w:sz w:val="18"/>
              </w:rPr>
              <w:t>helpful</w:t>
            </w:r>
            <w:r>
              <w:rPr>
                <w:rFonts w:ascii="Times New Roman" w:hAnsi="Times New Roman"/>
                <w:b/>
                <w:i/>
                <w:color w:val="17365A"/>
                <w:spacing w:val="-8"/>
                <w:sz w:val="18"/>
              </w:rPr>
              <w:t xml:space="preserve"> </w:t>
            </w:r>
            <w:r>
              <w:rPr>
                <w:rFonts w:ascii="Times New Roman" w:hAnsi="Times New Roman"/>
                <w:b/>
                <w:i/>
                <w:color w:val="17365A"/>
                <w:spacing w:val="-2"/>
                <w:sz w:val="18"/>
              </w:rPr>
              <w:t>for us</w:t>
            </w:r>
            <w:r>
              <w:rPr>
                <w:rFonts w:ascii="Times New Roman" w:hAnsi="Times New Roman"/>
                <w:b/>
                <w:i/>
                <w:color w:val="17365A"/>
                <w:spacing w:val="-10"/>
                <w:sz w:val="18"/>
              </w:rPr>
              <w:t xml:space="preserve"> </w:t>
            </w:r>
            <w:r>
              <w:rPr>
                <w:rFonts w:ascii="Times New Roman" w:hAnsi="Times New Roman"/>
                <w:b/>
                <w:i/>
                <w:color w:val="17365A"/>
                <w:spacing w:val="-2"/>
                <w:sz w:val="18"/>
              </w:rPr>
              <w:t>in</w:t>
            </w:r>
            <w:r>
              <w:rPr>
                <w:rFonts w:ascii="Times New Roman" w:hAnsi="Times New Roman"/>
                <w:b/>
                <w:i/>
                <w:color w:val="17365A"/>
                <w:spacing w:val="-9"/>
                <w:sz w:val="18"/>
              </w:rPr>
              <w:t xml:space="preserve"> </w:t>
            </w:r>
            <w:r>
              <w:rPr>
                <w:rFonts w:ascii="Times New Roman" w:hAnsi="Times New Roman"/>
                <w:b/>
                <w:i/>
                <w:color w:val="17365A"/>
                <w:spacing w:val="-2"/>
                <w:sz w:val="18"/>
              </w:rPr>
              <w:t>monitoring</w:t>
            </w:r>
            <w:r>
              <w:rPr>
                <w:rFonts w:ascii="Times New Roman" w:hAnsi="Times New Roman"/>
                <w:b/>
                <w:i/>
                <w:color w:val="17365A"/>
                <w:spacing w:val="-9"/>
                <w:sz w:val="18"/>
              </w:rPr>
              <w:t xml:space="preserve"> </w:t>
            </w:r>
            <w:r>
              <w:rPr>
                <w:rFonts w:ascii="Times New Roman" w:hAnsi="Times New Roman"/>
                <w:b/>
                <w:i/>
                <w:color w:val="17365A"/>
                <w:spacing w:val="-2"/>
                <w:sz w:val="18"/>
              </w:rPr>
              <w:t>budget</w:t>
            </w:r>
            <w:r>
              <w:rPr>
                <w:rFonts w:ascii="Times New Roman" w:hAnsi="Times New Roman"/>
                <w:b/>
                <w:i/>
                <w:color w:val="17365A"/>
                <w:spacing w:val="-9"/>
                <w:sz w:val="18"/>
              </w:rPr>
              <w:t xml:space="preserve"> </w:t>
            </w:r>
            <w:r>
              <w:rPr>
                <w:rFonts w:ascii="Times New Roman" w:hAnsi="Times New Roman"/>
                <w:b/>
                <w:i/>
                <w:color w:val="17365A"/>
                <w:spacing w:val="-2"/>
                <w:sz w:val="18"/>
              </w:rPr>
              <w:t>discussions</w:t>
            </w:r>
            <w:r>
              <w:rPr>
                <w:rFonts w:ascii="Times New Roman" w:hAnsi="Times New Roman"/>
                <w:b/>
                <w:i/>
                <w:color w:val="17365A"/>
                <w:spacing w:val="-8"/>
                <w:sz w:val="18"/>
              </w:rPr>
              <w:t xml:space="preserve"> </w:t>
            </w:r>
            <w:r>
              <w:rPr>
                <w:rFonts w:ascii="Times New Roman" w:hAnsi="Times New Roman"/>
                <w:b/>
                <w:i/>
                <w:color w:val="17365A"/>
                <w:spacing w:val="-2"/>
                <w:sz w:val="18"/>
              </w:rPr>
              <w:t>within</w:t>
            </w:r>
            <w:r>
              <w:rPr>
                <w:rFonts w:ascii="Times New Roman" w:hAnsi="Times New Roman"/>
                <w:b/>
                <w:i/>
                <w:color w:val="17365A"/>
                <w:spacing w:val="-10"/>
                <w:sz w:val="18"/>
              </w:rPr>
              <w:t xml:space="preserve"> </w:t>
            </w:r>
            <w:r>
              <w:rPr>
                <w:rFonts w:ascii="Times New Roman" w:hAnsi="Times New Roman"/>
                <w:b/>
                <w:i/>
                <w:color w:val="17365A"/>
                <w:spacing w:val="-2"/>
                <w:sz w:val="18"/>
              </w:rPr>
              <w:t>TAPD</w:t>
            </w:r>
            <w:r>
              <w:rPr>
                <w:rFonts w:ascii="Times New Roman" w:hAnsi="Times New Roman"/>
                <w:b/>
                <w:i/>
                <w:color w:val="17365A"/>
                <w:spacing w:val="-9"/>
                <w:sz w:val="18"/>
              </w:rPr>
              <w:t xml:space="preserve"> </w:t>
            </w:r>
            <w:r>
              <w:rPr>
                <w:rFonts w:ascii="Times New Roman" w:hAnsi="Times New Roman"/>
                <w:b/>
                <w:i/>
                <w:color w:val="17365A"/>
                <w:spacing w:val="-2"/>
                <w:sz w:val="18"/>
              </w:rPr>
              <w:t>(Regional</w:t>
            </w:r>
            <w:r>
              <w:rPr>
                <w:rFonts w:ascii="Times New Roman" w:hAnsi="Times New Roman"/>
                <w:b/>
                <w:i/>
                <w:color w:val="17365A"/>
                <w:spacing w:val="-8"/>
                <w:sz w:val="18"/>
              </w:rPr>
              <w:t xml:space="preserve"> </w:t>
            </w:r>
            <w:r>
              <w:rPr>
                <w:rFonts w:ascii="Times New Roman" w:hAnsi="Times New Roman"/>
                <w:b/>
                <w:i/>
                <w:color w:val="17365A"/>
                <w:spacing w:val="-2"/>
                <w:sz w:val="18"/>
              </w:rPr>
              <w:t>Government</w:t>
            </w:r>
            <w:r>
              <w:rPr>
                <w:rFonts w:ascii="Times New Roman" w:hAnsi="Times New Roman"/>
                <w:b/>
                <w:i/>
                <w:color w:val="17365A"/>
                <w:spacing w:val="-9"/>
                <w:sz w:val="18"/>
              </w:rPr>
              <w:t xml:space="preserve"> </w:t>
            </w:r>
            <w:r>
              <w:rPr>
                <w:rFonts w:ascii="Times New Roman" w:hAnsi="Times New Roman"/>
                <w:b/>
                <w:i/>
                <w:color w:val="17365A"/>
                <w:spacing w:val="-2"/>
                <w:sz w:val="18"/>
              </w:rPr>
              <w:t>Budget</w:t>
            </w:r>
            <w:r>
              <w:rPr>
                <w:rFonts w:ascii="Times New Roman" w:hAnsi="Times New Roman"/>
                <w:b/>
                <w:i/>
                <w:color w:val="17365A"/>
                <w:spacing w:val="-9"/>
                <w:sz w:val="18"/>
              </w:rPr>
              <w:t xml:space="preserve"> </w:t>
            </w:r>
            <w:r>
              <w:rPr>
                <w:rFonts w:ascii="Times New Roman" w:hAnsi="Times New Roman"/>
                <w:b/>
                <w:i/>
                <w:color w:val="17365A"/>
                <w:spacing w:val="-2"/>
                <w:sz w:val="18"/>
              </w:rPr>
              <w:t>Team)</w:t>
            </w:r>
            <w:r>
              <w:rPr>
                <w:rFonts w:ascii="Times New Roman" w:hAnsi="Times New Roman"/>
                <w:b/>
                <w:i/>
                <w:color w:val="17365A"/>
                <w:spacing w:val="-7"/>
                <w:sz w:val="18"/>
              </w:rPr>
              <w:t xml:space="preserve"> </w:t>
            </w:r>
            <w:r>
              <w:rPr>
                <w:rFonts w:ascii="Times New Roman" w:hAnsi="Times New Roman"/>
                <w:b/>
                <w:i/>
                <w:color w:val="17365A"/>
                <w:spacing w:val="-2"/>
                <w:sz w:val="18"/>
              </w:rPr>
              <w:t>and</w:t>
            </w:r>
            <w:r>
              <w:rPr>
                <w:rFonts w:ascii="Times New Roman" w:hAnsi="Times New Roman"/>
                <w:b/>
                <w:i/>
                <w:color w:val="17365A"/>
                <w:spacing w:val="-10"/>
                <w:sz w:val="18"/>
              </w:rPr>
              <w:t xml:space="preserve"> </w:t>
            </w:r>
            <w:r>
              <w:rPr>
                <w:rFonts w:ascii="Times New Roman" w:hAnsi="Times New Roman"/>
                <w:b/>
                <w:i/>
                <w:color w:val="17365A"/>
                <w:spacing w:val="-2"/>
                <w:sz w:val="18"/>
              </w:rPr>
              <w:t>DPRD</w:t>
            </w:r>
            <w:r>
              <w:rPr>
                <w:rFonts w:ascii="Times New Roman" w:hAnsi="Times New Roman"/>
                <w:b/>
                <w:i/>
                <w:color w:val="17365A"/>
                <w:spacing w:val="-9"/>
                <w:sz w:val="18"/>
              </w:rPr>
              <w:t xml:space="preserve"> </w:t>
            </w:r>
            <w:r>
              <w:rPr>
                <w:rFonts w:ascii="Times New Roman" w:hAnsi="Times New Roman"/>
                <w:b/>
                <w:i/>
                <w:color w:val="17365A"/>
                <w:spacing w:val="-2"/>
                <w:sz w:val="18"/>
              </w:rPr>
              <w:t xml:space="preserve">(Regional </w:t>
            </w:r>
            <w:r>
              <w:rPr>
                <w:rFonts w:ascii="Times New Roman" w:hAnsi="Times New Roman"/>
                <w:b/>
                <w:i/>
                <w:color w:val="17365A"/>
                <w:sz w:val="18"/>
              </w:rPr>
              <w:t>House of Representatives).</w:t>
            </w:r>
          </w:p>
          <w:p w14:paraId="36847859" w14:textId="77777777" w:rsidR="00BC24A8" w:rsidRDefault="00000000">
            <w:pPr>
              <w:pStyle w:val="TableParagraph"/>
              <w:spacing w:line="204" w:lineRule="exact"/>
              <w:ind w:left="623"/>
              <w:jc w:val="both"/>
              <w:rPr>
                <w:i/>
                <w:sz w:val="18"/>
              </w:rPr>
            </w:pPr>
            <w:r>
              <w:rPr>
                <w:i/>
                <w:color w:val="17365A"/>
                <w:sz w:val="18"/>
              </w:rPr>
              <w:t>Head</w:t>
            </w:r>
            <w:r>
              <w:rPr>
                <w:i/>
                <w:color w:val="17365A"/>
                <w:spacing w:val="-2"/>
                <w:sz w:val="18"/>
              </w:rPr>
              <w:t xml:space="preserve"> </w:t>
            </w:r>
            <w:r>
              <w:rPr>
                <w:i/>
                <w:color w:val="17365A"/>
                <w:sz w:val="18"/>
              </w:rPr>
              <w:t>of</w:t>
            </w:r>
            <w:r>
              <w:rPr>
                <w:i/>
                <w:color w:val="17365A"/>
                <w:spacing w:val="1"/>
                <w:sz w:val="18"/>
              </w:rPr>
              <w:t xml:space="preserve"> </w:t>
            </w:r>
            <w:r>
              <w:rPr>
                <w:i/>
                <w:color w:val="17365A"/>
                <w:sz w:val="18"/>
              </w:rPr>
              <w:t>Budget</w:t>
            </w:r>
            <w:r>
              <w:rPr>
                <w:i/>
                <w:color w:val="17365A"/>
                <w:spacing w:val="2"/>
                <w:sz w:val="18"/>
              </w:rPr>
              <w:t xml:space="preserve"> </w:t>
            </w:r>
            <w:r>
              <w:rPr>
                <w:i/>
                <w:color w:val="17365A"/>
                <w:sz w:val="18"/>
              </w:rPr>
              <w:t>Department</w:t>
            </w:r>
            <w:r>
              <w:rPr>
                <w:i/>
                <w:color w:val="17365A"/>
                <w:spacing w:val="1"/>
                <w:sz w:val="18"/>
              </w:rPr>
              <w:t xml:space="preserve"> </w:t>
            </w:r>
            <w:r>
              <w:rPr>
                <w:i/>
                <w:color w:val="17365A"/>
                <w:sz w:val="18"/>
              </w:rPr>
              <w:t>of</w:t>
            </w:r>
            <w:r>
              <w:rPr>
                <w:i/>
                <w:color w:val="17365A"/>
                <w:spacing w:val="-1"/>
                <w:sz w:val="18"/>
              </w:rPr>
              <w:t xml:space="preserve"> </w:t>
            </w:r>
            <w:r>
              <w:rPr>
                <w:i/>
                <w:color w:val="17365A"/>
                <w:sz w:val="18"/>
              </w:rPr>
              <w:t>Maluku</w:t>
            </w:r>
            <w:r>
              <w:rPr>
                <w:i/>
                <w:color w:val="17365A"/>
                <w:spacing w:val="1"/>
                <w:sz w:val="18"/>
              </w:rPr>
              <w:t xml:space="preserve"> </w:t>
            </w:r>
            <w:r>
              <w:rPr>
                <w:i/>
                <w:color w:val="17365A"/>
                <w:sz w:val="18"/>
              </w:rPr>
              <w:t>Province</w:t>
            </w:r>
            <w:r>
              <w:rPr>
                <w:i/>
                <w:color w:val="17365A"/>
                <w:spacing w:val="-1"/>
                <w:sz w:val="18"/>
              </w:rPr>
              <w:t xml:space="preserve"> </w:t>
            </w:r>
            <w:r>
              <w:rPr>
                <w:i/>
                <w:color w:val="17365A"/>
                <w:sz w:val="18"/>
              </w:rPr>
              <w:t>BPKAD,</w:t>
            </w:r>
            <w:r>
              <w:rPr>
                <w:i/>
                <w:color w:val="17365A"/>
                <w:spacing w:val="-1"/>
                <w:sz w:val="18"/>
              </w:rPr>
              <w:t xml:space="preserve"> </w:t>
            </w:r>
            <w:r>
              <w:rPr>
                <w:i/>
                <w:color w:val="17365A"/>
                <w:sz w:val="18"/>
              </w:rPr>
              <w:t>in</w:t>
            </w:r>
            <w:r>
              <w:rPr>
                <w:i/>
                <w:color w:val="17365A"/>
                <w:spacing w:val="1"/>
                <w:sz w:val="18"/>
              </w:rPr>
              <w:t xml:space="preserve"> </w:t>
            </w:r>
            <w:r>
              <w:rPr>
                <w:i/>
                <w:color w:val="17365A"/>
                <w:sz w:val="18"/>
              </w:rPr>
              <w:t>the</w:t>
            </w:r>
            <w:r>
              <w:rPr>
                <w:i/>
                <w:color w:val="17365A"/>
                <w:spacing w:val="-1"/>
                <w:sz w:val="18"/>
              </w:rPr>
              <w:t xml:space="preserve"> </w:t>
            </w:r>
            <w:r>
              <w:rPr>
                <w:i/>
                <w:color w:val="17365A"/>
                <w:sz w:val="18"/>
              </w:rPr>
              <w:t>2026</w:t>
            </w:r>
            <w:r>
              <w:rPr>
                <w:i/>
                <w:color w:val="17365A"/>
                <w:spacing w:val="1"/>
                <w:sz w:val="18"/>
              </w:rPr>
              <w:t xml:space="preserve"> </w:t>
            </w:r>
            <w:r>
              <w:rPr>
                <w:i/>
                <w:color w:val="17365A"/>
                <w:sz w:val="18"/>
              </w:rPr>
              <w:t>Minimum Service</w:t>
            </w:r>
            <w:r>
              <w:rPr>
                <w:i/>
                <w:color w:val="17365A"/>
                <w:spacing w:val="2"/>
                <w:sz w:val="18"/>
              </w:rPr>
              <w:t xml:space="preserve"> </w:t>
            </w:r>
            <w:r>
              <w:rPr>
                <w:i/>
                <w:color w:val="17365A"/>
                <w:sz w:val="18"/>
              </w:rPr>
              <w:t>Standards</w:t>
            </w:r>
            <w:r>
              <w:rPr>
                <w:i/>
                <w:color w:val="17365A"/>
                <w:spacing w:val="3"/>
                <w:sz w:val="18"/>
              </w:rPr>
              <w:t xml:space="preserve"> </w:t>
            </w:r>
            <w:r>
              <w:rPr>
                <w:i/>
                <w:color w:val="17365A"/>
                <w:spacing w:val="-2"/>
                <w:sz w:val="18"/>
              </w:rPr>
              <w:t>Requirement</w:t>
            </w:r>
          </w:p>
          <w:p w14:paraId="1309B4EB" w14:textId="77777777" w:rsidR="00BC24A8" w:rsidRDefault="00000000">
            <w:pPr>
              <w:pStyle w:val="TableParagraph"/>
              <w:spacing w:before="1"/>
              <w:ind w:left="623"/>
              <w:jc w:val="both"/>
              <w:rPr>
                <w:i/>
                <w:sz w:val="18"/>
              </w:rPr>
            </w:pPr>
            <w:r>
              <w:rPr>
                <w:i/>
                <w:color w:val="17365A"/>
                <w:spacing w:val="-2"/>
                <w:sz w:val="18"/>
              </w:rPr>
              <w:t>Calculation</w:t>
            </w:r>
            <w:r>
              <w:rPr>
                <w:i/>
                <w:color w:val="17365A"/>
                <w:spacing w:val="8"/>
                <w:sz w:val="18"/>
              </w:rPr>
              <w:t xml:space="preserve"> </w:t>
            </w:r>
            <w:r>
              <w:rPr>
                <w:i/>
                <w:color w:val="17365A"/>
                <w:spacing w:val="-2"/>
                <w:sz w:val="18"/>
              </w:rPr>
              <w:t>Technical</w:t>
            </w:r>
            <w:r>
              <w:rPr>
                <w:i/>
                <w:color w:val="17365A"/>
                <w:spacing w:val="11"/>
                <w:sz w:val="18"/>
              </w:rPr>
              <w:t xml:space="preserve"> </w:t>
            </w:r>
            <w:r>
              <w:rPr>
                <w:i/>
                <w:color w:val="17365A"/>
                <w:spacing w:val="-2"/>
                <w:sz w:val="18"/>
              </w:rPr>
              <w:t>Meeting</w:t>
            </w:r>
          </w:p>
          <w:p w14:paraId="766E52E4" w14:textId="77777777" w:rsidR="00BC24A8" w:rsidRDefault="00BC24A8">
            <w:pPr>
              <w:pStyle w:val="TableParagraph"/>
              <w:spacing w:before="8" w:after="1"/>
              <w:rPr>
                <w:rFonts w:ascii="Calibri"/>
                <w:sz w:val="14"/>
              </w:rPr>
            </w:pPr>
          </w:p>
          <w:p w14:paraId="016EE586" w14:textId="77777777" w:rsidR="00BC24A8" w:rsidRDefault="00000000">
            <w:pPr>
              <w:pStyle w:val="TableParagraph"/>
              <w:ind w:left="8385"/>
              <w:rPr>
                <w:rFonts w:ascii="Calibri"/>
                <w:sz w:val="20"/>
              </w:rPr>
            </w:pPr>
            <w:r>
              <w:rPr>
                <w:rFonts w:ascii="Calibri"/>
                <w:noProof/>
                <w:sz w:val="20"/>
              </w:rPr>
              <w:drawing>
                <wp:inline distT="0" distB="0" distL="0" distR="0" wp14:anchorId="32DECEBE" wp14:editId="630F095B">
                  <wp:extent cx="223072" cy="204787"/>
                  <wp:effectExtent l="0" t="0" r="0" b="0"/>
                  <wp:docPr id="155" name="Imag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3072" cy="204787"/>
                          </a:xfrm>
                          <a:prstGeom prst="rect">
                            <a:avLst/>
                          </a:prstGeom>
                        </pic:spPr>
                      </pic:pic>
                    </a:graphicData>
                  </a:graphic>
                </wp:inline>
              </w:drawing>
            </w:r>
          </w:p>
          <w:p w14:paraId="1668005A" w14:textId="77777777" w:rsidR="00BC24A8" w:rsidRDefault="00BC24A8">
            <w:pPr>
              <w:pStyle w:val="TableParagraph"/>
              <w:spacing w:before="152"/>
              <w:rPr>
                <w:rFonts w:ascii="Calibri"/>
                <w:sz w:val="18"/>
              </w:rPr>
            </w:pPr>
          </w:p>
          <w:p w14:paraId="2EE238CA" w14:textId="77777777" w:rsidR="00BC24A8" w:rsidRDefault="00000000">
            <w:pPr>
              <w:pStyle w:val="TableParagraph"/>
              <w:ind w:left="251" w:right="239"/>
              <w:jc w:val="both"/>
              <w:rPr>
                <w:sz w:val="18"/>
              </w:rPr>
            </w:pPr>
            <w:r>
              <w:rPr>
                <w:sz w:val="18"/>
              </w:rPr>
              <w:t>As a result of strengthened collaboration, the Minimum Service Standards-supporting Provincial Agencies have now completed the calculation of ideal budgetary needs for 2026 planning. Notably, each Provincial Agency has reported a significant increase in its estimated budget requirements.</w:t>
            </w:r>
          </w:p>
        </w:tc>
      </w:tr>
      <w:tr w:rsidR="00BC24A8" w14:paraId="57F43EB9" w14:textId="77777777">
        <w:trPr>
          <w:trHeight w:val="5032"/>
        </w:trPr>
        <w:tc>
          <w:tcPr>
            <w:tcW w:w="9091" w:type="dxa"/>
            <w:shd w:val="clear" w:color="auto" w:fill="E1F1EF"/>
          </w:tcPr>
          <w:p w14:paraId="7B2BA8FE" w14:textId="77777777" w:rsidR="00BC24A8" w:rsidRDefault="00000000">
            <w:pPr>
              <w:pStyle w:val="TableParagraph"/>
              <w:spacing w:before="121"/>
              <w:ind w:left="11" w:right="33"/>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2</w:t>
            </w:r>
            <w:r>
              <w:rPr>
                <w:spacing w:val="-15"/>
                <w:sz w:val="20"/>
              </w:rPr>
              <w:t xml:space="preserve"> </w:t>
            </w:r>
            <w:r>
              <w:rPr>
                <w:spacing w:val="-10"/>
                <w:sz w:val="20"/>
              </w:rPr>
              <w:t>:</w:t>
            </w:r>
          </w:p>
          <w:p w14:paraId="54FF11F5" w14:textId="77777777" w:rsidR="00BC24A8" w:rsidRDefault="00000000">
            <w:pPr>
              <w:pStyle w:val="TableParagraph"/>
              <w:spacing w:before="1"/>
              <w:ind w:left="35" w:right="27"/>
              <w:jc w:val="center"/>
              <w:rPr>
                <w:rFonts w:ascii="Calibri"/>
                <w:b/>
                <w:sz w:val="20"/>
              </w:rPr>
            </w:pPr>
            <w:r>
              <w:rPr>
                <w:rFonts w:ascii="Calibri"/>
                <w:b/>
                <w:color w:val="17365A"/>
                <w:sz w:val="20"/>
              </w:rPr>
              <w:t>Maluku</w:t>
            </w:r>
            <w:r>
              <w:rPr>
                <w:rFonts w:ascii="Calibri"/>
                <w:b/>
                <w:color w:val="17365A"/>
                <w:spacing w:val="-12"/>
                <w:sz w:val="20"/>
              </w:rPr>
              <w:t xml:space="preserve"> </w:t>
            </w:r>
            <w:r>
              <w:rPr>
                <w:rFonts w:ascii="Calibri"/>
                <w:b/>
                <w:color w:val="17365A"/>
                <w:sz w:val="20"/>
              </w:rPr>
              <w:t>Satu</w:t>
            </w:r>
            <w:r>
              <w:rPr>
                <w:rFonts w:ascii="Calibri"/>
                <w:b/>
                <w:color w:val="17365A"/>
                <w:spacing w:val="-11"/>
                <w:sz w:val="20"/>
              </w:rPr>
              <w:t xml:space="preserve"> </w:t>
            </w:r>
            <w:r>
              <w:rPr>
                <w:rFonts w:ascii="Calibri"/>
                <w:b/>
                <w:color w:val="17365A"/>
                <w:sz w:val="20"/>
              </w:rPr>
              <w:t>Data</w:t>
            </w:r>
            <w:r>
              <w:rPr>
                <w:rFonts w:ascii="Calibri"/>
                <w:b/>
                <w:color w:val="17365A"/>
                <w:spacing w:val="-11"/>
                <w:sz w:val="20"/>
              </w:rPr>
              <w:t xml:space="preserve"> </w:t>
            </w:r>
            <w:r>
              <w:rPr>
                <w:rFonts w:ascii="Calibri"/>
                <w:b/>
                <w:color w:val="17365A"/>
                <w:sz w:val="20"/>
              </w:rPr>
              <w:t>Forum:</w:t>
            </w:r>
            <w:r>
              <w:rPr>
                <w:rFonts w:ascii="Calibri"/>
                <w:b/>
                <w:color w:val="17365A"/>
                <w:spacing w:val="-12"/>
                <w:sz w:val="20"/>
              </w:rPr>
              <w:t xml:space="preserve"> </w:t>
            </w:r>
            <w:r>
              <w:rPr>
                <w:rFonts w:ascii="Calibri"/>
                <w:b/>
                <w:color w:val="17365A"/>
                <w:sz w:val="20"/>
              </w:rPr>
              <w:t>Strengthening</w:t>
            </w:r>
            <w:r>
              <w:rPr>
                <w:rFonts w:ascii="Calibri"/>
                <w:b/>
                <w:color w:val="17365A"/>
                <w:spacing w:val="-11"/>
                <w:sz w:val="20"/>
              </w:rPr>
              <w:t xml:space="preserve"> </w:t>
            </w:r>
            <w:r>
              <w:rPr>
                <w:rFonts w:ascii="Calibri"/>
                <w:b/>
                <w:color w:val="17365A"/>
                <w:sz w:val="20"/>
              </w:rPr>
              <w:t>Collaboration</w:t>
            </w:r>
            <w:r>
              <w:rPr>
                <w:rFonts w:ascii="Calibri"/>
                <w:b/>
                <w:color w:val="17365A"/>
                <w:spacing w:val="-11"/>
                <w:sz w:val="20"/>
              </w:rPr>
              <w:t xml:space="preserve"> </w:t>
            </w:r>
            <w:r>
              <w:rPr>
                <w:rFonts w:ascii="Calibri"/>
                <w:b/>
                <w:color w:val="17365A"/>
                <w:sz w:val="20"/>
              </w:rPr>
              <w:t>towards</w:t>
            </w:r>
            <w:r>
              <w:rPr>
                <w:rFonts w:ascii="Calibri"/>
                <w:b/>
                <w:color w:val="17365A"/>
                <w:spacing w:val="-11"/>
                <w:sz w:val="20"/>
              </w:rPr>
              <w:t xml:space="preserve"> </w:t>
            </w:r>
            <w:r>
              <w:rPr>
                <w:rFonts w:ascii="Calibri"/>
                <w:b/>
                <w:color w:val="17365A"/>
                <w:sz w:val="20"/>
              </w:rPr>
              <w:t>Improving</w:t>
            </w:r>
            <w:r>
              <w:rPr>
                <w:rFonts w:ascii="Calibri"/>
                <w:b/>
                <w:color w:val="17365A"/>
                <w:spacing w:val="-11"/>
                <w:sz w:val="20"/>
              </w:rPr>
              <w:t xml:space="preserve"> </w:t>
            </w:r>
            <w:r>
              <w:rPr>
                <w:rFonts w:ascii="Calibri"/>
                <w:b/>
                <w:color w:val="17365A"/>
                <w:sz w:val="20"/>
              </w:rPr>
              <w:t>the</w:t>
            </w:r>
            <w:r>
              <w:rPr>
                <w:rFonts w:ascii="Calibri"/>
                <w:b/>
                <w:color w:val="17365A"/>
                <w:spacing w:val="-12"/>
                <w:sz w:val="20"/>
              </w:rPr>
              <w:t xml:space="preserve"> </w:t>
            </w:r>
            <w:r>
              <w:rPr>
                <w:rFonts w:ascii="Calibri"/>
                <w:b/>
                <w:color w:val="17365A"/>
                <w:sz w:val="20"/>
              </w:rPr>
              <w:t>Implementation</w:t>
            </w:r>
            <w:r>
              <w:rPr>
                <w:rFonts w:ascii="Calibri"/>
                <w:b/>
                <w:color w:val="17365A"/>
                <w:spacing w:val="-10"/>
                <w:sz w:val="20"/>
              </w:rPr>
              <w:t xml:space="preserve"> </w:t>
            </w:r>
            <w:r>
              <w:rPr>
                <w:rFonts w:ascii="Calibri"/>
                <w:b/>
                <w:color w:val="17365A"/>
                <w:spacing w:val="-5"/>
                <w:sz w:val="20"/>
              </w:rPr>
              <w:t>of</w:t>
            </w:r>
          </w:p>
          <w:p w14:paraId="5860BD3E" w14:textId="77777777" w:rsidR="00BC24A8" w:rsidRDefault="00000000">
            <w:pPr>
              <w:pStyle w:val="TableParagraph"/>
              <w:ind w:left="34" w:right="27"/>
              <w:jc w:val="center"/>
              <w:rPr>
                <w:rFonts w:ascii="Calibri"/>
                <w:b/>
                <w:sz w:val="20"/>
              </w:rPr>
            </w:pPr>
            <w:r>
              <w:rPr>
                <w:rFonts w:ascii="Calibri"/>
                <w:b/>
                <w:color w:val="17365A"/>
                <w:sz w:val="20"/>
              </w:rPr>
              <w:t>One</w:t>
            </w:r>
            <w:r>
              <w:rPr>
                <w:rFonts w:ascii="Calibri"/>
                <w:b/>
                <w:color w:val="17365A"/>
                <w:spacing w:val="-7"/>
                <w:sz w:val="20"/>
              </w:rPr>
              <w:t xml:space="preserve"> </w:t>
            </w:r>
            <w:r>
              <w:rPr>
                <w:rFonts w:ascii="Calibri"/>
                <w:b/>
                <w:color w:val="17365A"/>
                <w:sz w:val="20"/>
              </w:rPr>
              <w:t>Regional</w:t>
            </w:r>
            <w:r>
              <w:rPr>
                <w:rFonts w:ascii="Calibri"/>
                <w:b/>
                <w:color w:val="17365A"/>
                <w:spacing w:val="-8"/>
                <w:sz w:val="20"/>
              </w:rPr>
              <w:t xml:space="preserve"> </w:t>
            </w:r>
            <w:r>
              <w:rPr>
                <w:rFonts w:ascii="Calibri"/>
                <w:b/>
                <w:color w:val="17365A"/>
                <w:spacing w:val="-4"/>
                <w:sz w:val="20"/>
              </w:rPr>
              <w:t>Data</w:t>
            </w:r>
          </w:p>
          <w:p w14:paraId="1248DA2E" w14:textId="77777777" w:rsidR="00BC24A8" w:rsidRDefault="00000000">
            <w:pPr>
              <w:pStyle w:val="TableParagraph"/>
              <w:spacing w:before="243"/>
              <w:ind w:left="251" w:right="237"/>
              <w:jc w:val="both"/>
              <w:rPr>
                <w:sz w:val="18"/>
              </w:rPr>
            </w:pPr>
            <w:r>
              <w:rPr>
                <w:sz w:val="18"/>
              </w:rPr>
              <w:t>The</w:t>
            </w:r>
            <w:r>
              <w:rPr>
                <w:spacing w:val="-2"/>
                <w:sz w:val="18"/>
              </w:rPr>
              <w:t xml:space="preserve"> </w:t>
            </w:r>
            <w:r>
              <w:rPr>
                <w:sz w:val="18"/>
              </w:rPr>
              <w:t>Satu</w:t>
            </w:r>
            <w:r>
              <w:rPr>
                <w:spacing w:val="-2"/>
                <w:sz w:val="18"/>
              </w:rPr>
              <w:t xml:space="preserve"> </w:t>
            </w:r>
            <w:r>
              <w:rPr>
                <w:sz w:val="18"/>
              </w:rPr>
              <w:t>Data</w:t>
            </w:r>
            <w:r>
              <w:rPr>
                <w:spacing w:val="-3"/>
                <w:sz w:val="18"/>
              </w:rPr>
              <w:t xml:space="preserve"> </w:t>
            </w:r>
            <w:r>
              <w:rPr>
                <w:sz w:val="18"/>
              </w:rPr>
              <w:t>Forum</w:t>
            </w:r>
            <w:r>
              <w:rPr>
                <w:spacing w:val="-3"/>
                <w:sz w:val="18"/>
              </w:rPr>
              <w:t xml:space="preserve"> </w:t>
            </w:r>
            <w:r>
              <w:rPr>
                <w:sz w:val="18"/>
              </w:rPr>
              <w:t>in</w:t>
            </w:r>
            <w:r>
              <w:rPr>
                <w:spacing w:val="-4"/>
                <w:sz w:val="18"/>
              </w:rPr>
              <w:t xml:space="preserve"> </w:t>
            </w:r>
            <w:r>
              <w:rPr>
                <w:sz w:val="18"/>
              </w:rPr>
              <w:t>Maluku</w:t>
            </w:r>
            <w:r>
              <w:rPr>
                <w:spacing w:val="-2"/>
                <w:sz w:val="18"/>
              </w:rPr>
              <w:t xml:space="preserve"> </w:t>
            </w:r>
            <w:r>
              <w:rPr>
                <w:sz w:val="18"/>
              </w:rPr>
              <w:t>Province</w:t>
            </w:r>
            <w:r>
              <w:rPr>
                <w:spacing w:val="-2"/>
                <w:sz w:val="18"/>
              </w:rPr>
              <w:t xml:space="preserve"> </w:t>
            </w:r>
            <w:r>
              <w:rPr>
                <w:sz w:val="18"/>
              </w:rPr>
              <w:t>was</w:t>
            </w:r>
            <w:r>
              <w:rPr>
                <w:spacing w:val="-2"/>
                <w:sz w:val="18"/>
              </w:rPr>
              <w:t xml:space="preserve"> </w:t>
            </w:r>
            <w:r>
              <w:rPr>
                <w:sz w:val="18"/>
              </w:rPr>
              <w:t>initiated</w:t>
            </w:r>
            <w:r>
              <w:rPr>
                <w:spacing w:val="-2"/>
                <w:sz w:val="18"/>
              </w:rPr>
              <w:t xml:space="preserve"> </w:t>
            </w:r>
            <w:r>
              <w:rPr>
                <w:sz w:val="18"/>
              </w:rPr>
              <w:t>in</w:t>
            </w:r>
            <w:r>
              <w:rPr>
                <w:spacing w:val="-4"/>
                <w:sz w:val="18"/>
              </w:rPr>
              <w:t xml:space="preserve"> </w:t>
            </w:r>
            <w:r>
              <w:rPr>
                <w:sz w:val="18"/>
              </w:rPr>
              <w:t>2020,</w:t>
            </w:r>
            <w:r>
              <w:rPr>
                <w:spacing w:val="-3"/>
                <w:sz w:val="18"/>
              </w:rPr>
              <w:t xml:space="preserve"> </w:t>
            </w:r>
            <w:r>
              <w:rPr>
                <w:sz w:val="18"/>
              </w:rPr>
              <w:t>but</w:t>
            </w:r>
            <w:r>
              <w:rPr>
                <w:spacing w:val="-3"/>
                <w:sz w:val="18"/>
              </w:rPr>
              <w:t xml:space="preserve"> </w:t>
            </w:r>
            <w:r>
              <w:rPr>
                <w:sz w:val="18"/>
              </w:rPr>
              <w:t>its</w:t>
            </w:r>
            <w:r>
              <w:rPr>
                <w:spacing w:val="-2"/>
                <w:sz w:val="18"/>
              </w:rPr>
              <w:t xml:space="preserve"> </w:t>
            </w:r>
            <w:r>
              <w:rPr>
                <w:sz w:val="18"/>
              </w:rPr>
              <w:t>implementation</w:t>
            </w:r>
            <w:r>
              <w:rPr>
                <w:spacing w:val="-4"/>
                <w:sz w:val="18"/>
              </w:rPr>
              <w:t xml:space="preserve"> </w:t>
            </w:r>
            <w:r>
              <w:rPr>
                <w:sz w:val="18"/>
              </w:rPr>
              <w:t>remained</w:t>
            </w:r>
            <w:r>
              <w:rPr>
                <w:spacing w:val="-2"/>
                <w:sz w:val="18"/>
              </w:rPr>
              <w:t xml:space="preserve"> </w:t>
            </w:r>
            <w:r>
              <w:rPr>
                <w:sz w:val="18"/>
              </w:rPr>
              <w:t>sluggish</w:t>
            </w:r>
            <w:r>
              <w:rPr>
                <w:spacing w:val="-2"/>
                <w:sz w:val="18"/>
              </w:rPr>
              <w:t xml:space="preserve"> </w:t>
            </w:r>
            <w:r>
              <w:rPr>
                <w:sz w:val="18"/>
              </w:rPr>
              <w:t>until</w:t>
            </w:r>
            <w:r>
              <w:rPr>
                <w:spacing w:val="-1"/>
                <w:sz w:val="18"/>
              </w:rPr>
              <w:t xml:space="preserve"> </w:t>
            </w:r>
            <w:r>
              <w:rPr>
                <w:sz w:val="18"/>
              </w:rPr>
              <w:t>2022,</w:t>
            </w:r>
            <w:r>
              <w:rPr>
                <w:spacing w:val="-3"/>
                <w:sz w:val="18"/>
              </w:rPr>
              <w:t xml:space="preserve"> </w:t>
            </w:r>
            <w:r>
              <w:rPr>
                <w:sz w:val="18"/>
              </w:rPr>
              <w:t>as Bappeda and Diskominfo had yet to fully grasp their respective roles and functions.</w:t>
            </w:r>
          </w:p>
          <w:p w14:paraId="0FE6C458" w14:textId="77777777" w:rsidR="00BC24A8" w:rsidRDefault="00000000">
            <w:pPr>
              <w:pStyle w:val="TableParagraph"/>
              <w:spacing w:before="161"/>
              <w:ind w:left="251" w:right="237"/>
              <w:jc w:val="both"/>
              <w:rPr>
                <w:sz w:val="18"/>
              </w:rPr>
            </w:pPr>
            <w:r>
              <w:rPr>
                <w:sz w:val="18"/>
              </w:rPr>
              <w:t>Since</w:t>
            </w:r>
            <w:r>
              <w:rPr>
                <w:spacing w:val="-10"/>
                <w:sz w:val="18"/>
              </w:rPr>
              <w:t xml:space="preserve"> </w:t>
            </w:r>
            <w:r>
              <w:rPr>
                <w:sz w:val="18"/>
              </w:rPr>
              <w:t>SKALA</w:t>
            </w:r>
            <w:r>
              <w:rPr>
                <w:spacing w:val="-10"/>
                <w:sz w:val="18"/>
              </w:rPr>
              <w:t xml:space="preserve"> </w:t>
            </w:r>
            <w:r>
              <w:rPr>
                <w:sz w:val="18"/>
              </w:rPr>
              <w:t>began</w:t>
            </w:r>
            <w:r>
              <w:rPr>
                <w:spacing w:val="-9"/>
                <w:sz w:val="18"/>
              </w:rPr>
              <w:t xml:space="preserve"> </w:t>
            </w:r>
            <w:r>
              <w:rPr>
                <w:sz w:val="18"/>
              </w:rPr>
              <w:t>its</w:t>
            </w:r>
            <w:r>
              <w:rPr>
                <w:spacing w:val="-9"/>
                <w:sz w:val="18"/>
              </w:rPr>
              <w:t xml:space="preserve"> </w:t>
            </w:r>
            <w:r>
              <w:rPr>
                <w:sz w:val="18"/>
              </w:rPr>
              <w:t>facilitation</w:t>
            </w:r>
            <w:r>
              <w:rPr>
                <w:spacing w:val="-9"/>
                <w:sz w:val="18"/>
              </w:rPr>
              <w:t xml:space="preserve"> </w:t>
            </w:r>
            <w:r>
              <w:rPr>
                <w:sz w:val="18"/>
              </w:rPr>
              <w:t>in</w:t>
            </w:r>
            <w:r>
              <w:rPr>
                <w:spacing w:val="-9"/>
                <w:sz w:val="18"/>
              </w:rPr>
              <w:t xml:space="preserve"> </w:t>
            </w:r>
            <w:r>
              <w:rPr>
                <w:sz w:val="18"/>
              </w:rPr>
              <w:t>2024,</w:t>
            </w:r>
            <w:r>
              <w:rPr>
                <w:spacing w:val="-10"/>
                <w:sz w:val="18"/>
              </w:rPr>
              <w:t xml:space="preserve"> </w:t>
            </w:r>
            <w:r>
              <w:rPr>
                <w:sz w:val="18"/>
              </w:rPr>
              <w:t>the</w:t>
            </w:r>
            <w:r>
              <w:rPr>
                <w:spacing w:val="-9"/>
                <w:sz w:val="18"/>
              </w:rPr>
              <w:t xml:space="preserve"> </w:t>
            </w:r>
            <w:r>
              <w:rPr>
                <w:sz w:val="18"/>
              </w:rPr>
              <w:t>number</w:t>
            </w:r>
            <w:r>
              <w:rPr>
                <w:spacing w:val="-9"/>
                <w:sz w:val="18"/>
              </w:rPr>
              <w:t xml:space="preserve"> </w:t>
            </w:r>
            <w:r>
              <w:rPr>
                <w:sz w:val="18"/>
              </w:rPr>
              <w:t>of</w:t>
            </w:r>
            <w:r>
              <w:rPr>
                <w:spacing w:val="-10"/>
                <w:sz w:val="18"/>
              </w:rPr>
              <w:t xml:space="preserve"> </w:t>
            </w:r>
            <w:r>
              <w:rPr>
                <w:sz w:val="18"/>
              </w:rPr>
              <w:t>previously</w:t>
            </w:r>
            <w:r>
              <w:rPr>
                <w:spacing w:val="-9"/>
                <w:sz w:val="18"/>
              </w:rPr>
              <w:t xml:space="preserve"> </w:t>
            </w:r>
            <w:r>
              <w:rPr>
                <w:sz w:val="18"/>
              </w:rPr>
              <w:t>stagnant</w:t>
            </w:r>
            <w:r>
              <w:rPr>
                <w:spacing w:val="-8"/>
                <w:sz w:val="18"/>
              </w:rPr>
              <w:t xml:space="preserve"> </w:t>
            </w:r>
            <w:r>
              <w:rPr>
                <w:sz w:val="18"/>
              </w:rPr>
              <w:t>Data</w:t>
            </w:r>
            <w:r>
              <w:rPr>
                <w:spacing w:val="-10"/>
                <w:sz w:val="18"/>
              </w:rPr>
              <w:t xml:space="preserve"> </w:t>
            </w:r>
            <w:r>
              <w:rPr>
                <w:sz w:val="18"/>
              </w:rPr>
              <w:t>Lists</w:t>
            </w:r>
            <w:r>
              <w:rPr>
                <w:spacing w:val="-9"/>
                <w:sz w:val="18"/>
              </w:rPr>
              <w:t xml:space="preserve"> </w:t>
            </w:r>
            <w:r>
              <w:rPr>
                <w:sz w:val="18"/>
              </w:rPr>
              <w:t>has</w:t>
            </w:r>
            <w:r>
              <w:rPr>
                <w:spacing w:val="-9"/>
                <w:sz w:val="18"/>
              </w:rPr>
              <w:t xml:space="preserve"> </w:t>
            </w:r>
            <w:r>
              <w:rPr>
                <w:sz w:val="18"/>
              </w:rPr>
              <w:t>increased</w:t>
            </w:r>
            <w:r>
              <w:rPr>
                <w:spacing w:val="-11"/>
                <w:sz w:val="18"/>
              </w:rPr>
              <w:t xml:space="preserve"> </w:t>
            </w:r>
            <w:r>
              <w:rPr>
                <w:sz w:val="18"/>
              </w:rPr>
              <w:t>significantly—from 280</w:t>
            </w:r>
            <w:r>
              <w:rPr>
                <w:spacing w:val="-3"/>
                <w:sz w:val="18"/>
              </w:rPr>
              <w:t xml:space="preserve"> </w:t>
            </w:r>
            <w:r>
              <w:rPr>
                <w:sz w:val="18"/>
              </w:rPr>
              <w:t>in</w:t>
            </w:r>
            <w:r>
              <w:rPr>
                <w:spacing w:val="-3"/>
                <w:sz w:val="18"/>
              </w:rPr>
              <w:t xml:space="preserve"> </w:t>
            </w:r>
            <w:r>
              <w:rPr>
                <w:sz w:val="18"/>
              </w:rPr>
              <w:t>2023</w:t>
            </w:r>
            <w:r>
              <w:rPr>
                <w:spacing w:val="-3"/>
                <w:sz w:val="18"/>
              </w:rPr>
              <w:t xml:space="preserve"> </w:t>
            </w:r>
            <w:r>
              <w:rPr>
                <w:sz w:val="18"/>
              </w:rPr>
              <w:t>to</w:t>
            </w:r>
            <w:r>
              <w:rPr>
                <w:spacing w:val="-4"/>
                <w:sz w:val="18"/>
              </w:rPr>
              <w:t xml:space="preserve"> </w:t>
            </w:r>
            <w:r>
              <w:rPr>
                <w:sz w:val="18"/>
              </w:rPr>
              <w:t>1,470</w:t>
            </w:r>
            <w:r>
              <w:rPr>
                <w:spacing w:val="-3"/>
                <w:sz w:val="18"/>
              </w:rPr>
              <w:t xml:space="preserve"> </w:t>
            </w:r>
            <w:r>
              <w:rPr>
                <w:sz w:val="18"/>
              </w:rPr>
              <w:t>in</w:t>
            </w:r>
            <w:r>
              <w:rPr>
                <w:spacing w:val="-3"/>
                <w:sz w:val="18"/>
              </w:rPr>
              <w:t xml:space="preserve"> </w:t>
            </w:r>
            <w:r>
              <w:rPr>
                <w:sz w:val="18"/>
              </w:rPr>
              <w:t>2024,</w:t>
            </w:r>
            <w:r>
              <w:rPr>
                <w:spacing w:val="-4"/>
                <w:sz w:val="18"/>
              </w:rPr>
              <w:t xml:space="preserve"> </w:t>
            </w:r>
            <w:r>
              <w:rPr>
                <w:sz w:val="18"/>
              </w:rPr>
              <w:t>and</w:t>
            </w:r>
            <w:r>
              <w:rPr>
                <w:spacing w:val="-3"/>
                <w:sz w:val="18"/>
              </w:rPr>
              <w:t xml:space="preserve"> </w:t>
            </w:r>
            <w:r>
              <w:rPr>
                <w:sz w:val="18"/>
              </w:rPr>
              <w:t>reaching</w:t>
            </w:r>
            <w:r>
              <w:rPr>
                <w:spacing w:val="-4"/>
                <w:sz w:val="18"/>
              </w:rPr>
              <w:t xml:space="preserve"> </w:t>
            </w:r>
            <w:r>
              <w:rPr>
                <w:sz w:val="18"/>
              </w:rPr>
              <w:t>2,029</w:t>
            </w:r>
            <w:r>
              <w:rPr>
                <w:spacing w:val="-3"/>
                <w:sz w:val="18"/>
              </w:rPr>
              <w:t xml:space="preserve"> </w:t>
            </w:r>
            <w:r>
              <w:rPr>
                <w:sz w:val="18"/>
              </w:rPr>
              <w:t>in</w:t>
            </w:r>
            <w:r>
              <w:rPr>
                <w:spacing w:val="-3"/>
                <w:sz w:val="18"/>
              </w:rPr>
              <w:t xml:space="preserve"> </w:t>
            </w:r>
            <w:r>
              <w:rPr>
                <w:sz w:val="18"/>
              </w:rPr>
              <w:t>2025.</w:t>
            </w:r>
            <w:r>
              <w:rPr>
                <w:spacing w:val="-4"/>
                <w:sz w:val="18"/>
              </w:rPr>
              <w:t xml:space="preserve"> </w:t>
            </w:r>
            <w:r>
              <w:rPr>
                <w:sz w:val="18"/>
              </w:rPr>
              <w:t>The</w:t>
            </w:r>
            <w:r>
              <w:rPr>
                <w:spacing w:val="-3"/>
                <w:sz w:val="18"/>
              </w:rPr>
              <w:t xml:space="preserve"> </w:t>
            </w:r>
            <w:r>
              <w:rPr>
                <w:sz w:val="18"/>
              </w:rPr>
              <w:t>preparation</w:t>
            </w:r>
            <w:r>
              <w:rPr>
                <w:spacing w:val="-3"/>
                <w:sz w:val="18"/>
              </w:rPr>
              <w:t xml:space="preserve"> </w:t>
            </w:r>
            <w:r>
              <w:rPr>
                <w:sz w:val="18"/>
              </w:rPr>
              <w:t>process</w:t>
            </w:r>
            <w:r>
              <w:rPr>
                <w:spacing w:val="-3"/>
                <w:sz w:val="18"/>
              </w:rPr>
              <w:t xml:space="preserve"> </w:t>
            </w:r>
            <w:r>
              <w:rPr>
                <w:sz w:val="18"/>
              </w:rPr>
              <w:t>has</w:t>
            </w:r>
            <w:r>
              <w:rPr>
                <w:spacing w:val="-3"/>
                <w:sz w:val="18"/>
              </w:rPr>
              <w:t xml:space="preserve"> </w:t>
            </w:r>
            <w:r>
              <w:rPr>
                <w:sz w:val="18"/>
              </w:rPr>
              <w:t>also</w:t>
            </w:r>
            <w:r>
              <w:rPr>
                <w:spacing w:val="-4"/>
                <w:sz w:val="18"/>
              </w:rPr>
              <w:t xml:space="preserve"> </w:t>
            </w:r>
            <w:r>
              <w:rPr>
                <w:sz w:val="18"/>
              </w:rPr>
              <w:t>become</w:t>
            </w:r>
            <w:r>
              <w:rPr>
                <w:spacing w:val="-2"/>
                <w:sz w:val="18"/>
              </w:rPr>
              <w:t xml:space="preserve"> </w:t>
            </w:r>
            <w:r>
              <w:rPr>
                <w:sz w:val="18"/>
              </w:rPr>
              <w:t>more</w:t>
            </w:r>
            <w:r>
              <w:rPr>
                <w:spacing w:val="-3"/>
                <w:sz w:val="18"/>
              </w:rPr>
              <w:t xml:space="preserve"> </w:t>
            </w:r>
            <w:r>
              <w:rPr>
                <w:sz w:val="18"/>
              </w:rPr>
              <w:t>participatory and comprehensive, now encompassing not only KPIs and MPIs, but also National Priority Data, Minimum Service Standards indicators, and suggestions from data steward (BPS).</w:t>
            </w:r>
          </w:p>
          <w:p w14:paraId="23072F33" w14:textId="77777777" w:rsidR="00BC24A8" w:rsidRDefault="00000000">
            <w:pPr>
              <w:pStyle w:val="TableParagraph"/>
              <w:spacing w:before="158"/>
              <w:ind w:left="251" w:right="238"/>
              <w:jc w:val="both"/>
              <w:rPr>
                <w:sz w:val="18"/>
              </w:rPr>
            </w:pPr>
            <w:r>
              <w:rPr>
                <w:sz w:val="18"/>
              </w:rPr>
              <w:t>Notably, the process introduced by SKALA during the 2024 data list preparation has now been independently adopted by Bappeda, Diskominfo, and BPS in compiling the 2025 data list. In its initial stages, Bappeda allocates its own budget to convene a small forum with all Provincial Agencies partner divisions within Bappeda and Diskominfo.</w:t>
            </w:r>
          </w:p>
          <w:p w14:paraId="65AA7916" w14:textId="77777777" w:rsidR="00BC24A8" w:rsidRDefault="00000000">
            <w:pPr>
              <w:pStyle w:val="TableParagraph"/>
              <w:spacing w:before="161"/>
              <w:ind w:left="251" w:right="236"/>
              <w:jc w:val="both"/>
              <w:rPr>
                <w:sz w:val="18"/>
              </w:rPr>
            </w:pPr>
            <w:r>
              <w:rPr>
                <w:sz w:val="18"/>
              </w:rPr>
              <w:t>SKALA has actively promoted institutional strengthening and communication among key stakeholders—Bappeda, Diskominfo,</w:t>
            </w:r>
            <w:r>
              <w:rPr>
                <w:spacing w:val="-1"/>
                <w:sz w:val="18"/>
              </w:rPr>
              <w:t xml:space="preserve"> </w:t>
            </w:r>
            <w:r>
              <w:rPr>
                <w:sz w:val="18"/>
              </w:rPr>
              <w:t>and BPS.</w:t>
            </w:r>
            <w:r>
              <w:rPr>
                <w:spacing w:val="-1"/>
                <w:sz w:val="18"/>
              </w:rPr>
              <w:t xml:space="preserve"> </w:t>
            </w:r>
            <w:r>
              <w:rPr>
                <w:sz w:val="18"/>
              </w:rPr>
              <w:t>The</w:t>
            </w:r>
            <w:r>
              <w:rPr>
                <w:spacing w:val="-1"/>
                <w:sz w:val="18"/>
              </w:rPr>
              <w:t xml:space="preserve"> </w:t>
            </w:r>
            <w:r>
              <w:rPr>
                <w:sz w:val="18"/>
              </w:rPr>
              <w:t>SDI</w:t>
            </w:r>
            <w:r>
              <w:rPr>
                <w:spacing w:val="-1"/>
                <w:sz w:val="18"/>
              </w:rPr>
              <w:t xml:space="preserve"> </w:t>
            </w:r>
            <w:r>
              <w:rPr>
                <w:sz w:val="18"/>
              </w:rPr>
              <w:t>(Satu</w:t>
            </w:r>
            <w:r>
              <w:rPr>
                <w:spacing w:val="-1"/>
                <w:sz w:val="18"/>
              </w:rPr>
              <w:t xml:space="preserve"> </w:t>
            </w:r>
            <w:r>
              <w:rPr>
                <w:sz w:val="18"/>
              </w:rPr>
              <w:t>Data</w:t>
            </w:r>
            <w:r>
              <w:rPr>
                <w:spacing w:val="-1"/>
                <w:sz w:val="18"/>
              </w:rPr>
              <w:t xml:space="preserve"> </w:t>
            </w:r>
            <w:r>
              <w:rPr>
                <w:sz w:val="18"/>
              </w:rPr>
              <w:t>Indonesia)</w:t>
            </w:r>
            <w:r>
              <w:rPr>
                <w:spacing w:val="-2"/>
                <w:sz w:val="18"/>
              </w:rPr>
              <w:t xml:space="preserve"> </w:t>
            </w:r>
            <w:r>
              <w:rPr>
                <w:sz w:val="18"/>
              </w:rPr>
              <w:t>Forum,</w:t>
            </w:r>
            <w:r>
              <w:rPr>
                <w:spacing w:val="-1"/>
                <w:sz w:val="18"/>
              </w:rPr>
              <w:t xml:space="preserve"> </w:t>
            </w:r>
            <w:r>
              <w:rPr>
                <w:sz w:val="18"/>
              </w:rPr>
              <w:t>which previously</w:t>
            </w:r>
            <w:r>
              <w:rPr>
                <w:spacing w:val="-1"/>
                <w:sz w:val="18"/>
              </w:rPr>
              <w:t xml:space="preserve"> </w:t>
            </w:r>
            <w:r>
              <w:rPr>
                <w:sz w:val="18"/>
              </w:rPr>
              <w:t>convened</w:t>
            </w:r>
            <w:r>
              <w:rPr>
                <w:spacing w:val="-1"/>
                <w:sz w:val="18"/>
              </w:rPr>
              <w:t xml:space="preserve"> </w:t>
            </w:r>
            <w:r>
              <w:rPr>
                <w:sz w:val="18"/>
              </w:rPr>
              <w:t>only</w:t>
            </w:r>
            <w:r>
              <w:rPr>
                <w:spacing w:val="-1"/>
                <w:sz w:val="18"/>
              </w:rPr>
              <w:t xml:space="preserve"> </w:t>
            </w:r>
            <w:r>
              <w:rPr>
                <w:sz w:val="18"/>
              </w:rPr>
              <w:t>once</w:t>
            </w:r>
            <w:r>
              <w:rPr>
                <w:spacing w:val="-1"/>
                <w:sz w:val="18"/>
              </w:rPr>
              <w:t xml:space="preserve"> </w:t>
            </w:r>
            <w:r>
              <w:rPr>
                <w:sz w:val="18"/>
              </w:rPr>
              <w:t>a</w:t>
            </w:r>
            <w:r>
              <w:rPr>
                <w:spacing w:val="-1"/>
                <w:sz w:val="18"/>
              </w:rPr>
              <w:t xml:space="preserve"> </w:t>
            </w:r>
            <w:r>
              <w:rPr>
                <w:sz w:val="18"/>
              </w:rPr>
              <w:t>year,</w:t>
            </w:r>
            <w:r>
              <w:rPr>
                <w:spacing w:val="-1"/>
                <w:sz w:val="18"/>
              </w:rPr>
              <w:t xml:space="preserve"> </w:t>
            </w:r>
            <w:r>
              <w:rPr>
                <w:sz w:val="18"/>
              </w:rPr>
              <w:t>now</w:t>
            </w:r>
            <w:r>
              <w:rPr>
                <w:spacing w:val="-2"/>
                <w:sz w:val="18"/>
              </w:rPr>
              <w:t xml:space="preserve"> </w:t>
            </w:r>
            <w:r>
              <w:rPr>
                <w:sz w:val="18"/>
              </w:rPr>
              <w:t>routinely meets</w:t>
            </w:r>
            <w:r>
              <w:rPr>
                <w:spacing w:val="-11"/>
                <w:sz w:val="18"/>
              </w:rPr>
              <w:t xml:space="preserve"> </w:t>
            </w:r>
            <w:r>
              <w:rPr>
                <w:sz w:val="18"/>
              </w:rPr>
              <w:t>to</w:t>
            </w:r>
            <w:r>
              <w:rPr>
                <w:spacing w:val="-10"/>
                <w:sz w:val="18"/>
              </w:rPr>
              <w:t xml:space="preserve"> </w:t>
            </w:r>
            <w:r>
              <w:rPr>
                <w:sz w:val="18"/>
              </w:rPr>
              <w:t>discuss</w:t>
            </w:r>
            <w:r>
              <w:rPr>
                <w:spacing w:val="-10"/>
                <w:sz w:val="18"/>
              </w:rPr>
              <w:t xml:space="preserve"> </w:t>
            </w:r>
            <w:r>
              <w:rPr>
                <w:sz w:val="18"/>
              </w:rPr>
              <w:t>and</w:t>
            </w:r>
            <w:r>
              <w:rPr>
                <w:spacing w:val="-10"/>
                <w:sz w:val="18"/>
              </w:rPr>
              <w:t xml:space="preserve"> </w:t>
            </w:r>
            <w:r>
              <w:rPr>
                <w:sz w:val="18"/>
              </w:rPr>
              <w:t>prepare</w:t>
            </w:r>
            <w:r>
              <w:rPr>
                <w:spacing w:val="-10"/>
                <w:sz w:val="18"/>
              </w:rPr>
              <w:t xml:space="preserve"> </w:t>
            </w:r>
            <w:r>
              <w:rPr>
                <w:sz w:val="18"/>
              </w:rPr>
              <w:t>strategic</w:t>
            </w:r>
            <w:r>
              <w:rPr>
                <w:spacing w:val="-11"/>
                <w:sz w:val="18"/>
              </w:rPr>
              <w:t xml:space="preserve"> </w:t>
            </w:r>
            <w:r>
              <w:rPr>
                <w:sz w:val="18"/>
              </w:rPr>
              <w:t>documents.</w:t>
            </w:r>
            <w:r>
              <w:rPr>
                <w:spacing w:val="-10"/>
                <w:sz w:val="18"/>
              </w:rPr>
              <w:t xml:space="preserve"> </w:t>
            </w:r>
            <w:r>
              <w:rPr>
                <w:sz w:val="18"/>
              </w:rPr>
              <w:t>Between</w:t>
            </w:r>
            <w:r>
              <w:rPr>
                <w:spacing w:val="-10"/>
                <w:sz w:val="18"/>
              </w:rPr>
              <w:t xml:space="preserve"> </w:t>
            </w:r>
            <w:r>
              <w:rPr>
                <w:sz w:val="18"/>
              </w:rPr>
              <w:t>July</w:t>
            </w:r>
            <w:r>
              <w:rPr>
                <w:spacing w:val="-10"/>
                <w:sz w:val="18"/>
              </w:rPr>
              <w:t xml:space="preserve"> </w:t>
            </w:r>
            <w:r>
              <w:rPr>
                <w:sz w:val="18"/>
              </w:rPr>
              <w:t>2024</w:t>
            </w:r>
            <w:r>
              <w:rPr>
                <w:spacing w:val="-10"/>
                <w:sz w:val="18"/>
              </w:rPr>
              <w:t xml:space="preserve"> </w:t>
            </w:r>
            <w:r>
              <w:rPr>
                <w:sz w:val="18"/>
              </w:rPr>
              <w:t>and</w:t>
            </w:r>
            <w:r>
              <w:rPr>
                <w:spacing w:val="-9"/>
                <w:sz w:val="18"/>
              </w:rPr>
              <w:t xml:space="preserve"> </w:t>
            </w:r>
            <w:r>
              <w:rPr>
                <w:sz w:val="18"/>
              </w:rPr>
              <w:t>June</w:t>
            </w:r>
            <w:r>
              <w:rPr>
                <w:spacing w:val="-10"/>
                <w:sz w:val="18"/>
              </w:rPr>
              <w:t xml:space="preserve"> </w:t>
            </w:r>
            <w:r>
              <w:rPr>
                <w:sz w:val="18"/>
              </w:rPr>
              <w:t>2025,</w:t>
            </w:r>
            <w:r>
              <w:rPr>
                <w:spacing w:val="-10"/>
                <w:sz w:val="18"/>
              </w:rPr>
              <w:t xml:space="preserve"> </w:t>
            </w:r>
            <w:r>
              <w:rPr>
                <w:sz w:val="18"/>
              </w:rPr>
              <w:t>at</w:t>
            </w:r>
            <w:r>
              <w:rPr>
                <w:spacing w:val="-11"/>
                <w:sz w:val="18"/>
              </w:rPr>
              <w:t xml:space="preserve"> </w:t>
            </w:r>
            <w:r>
              <w:rPr>
                <w:sz w:val="18"/>
              </w:rPr>
              <w:t>least</w:t>
            </w:r>
            <w:r>
              <w:rPr>
                <w:spacing w:val="-8"/>
                <w:sz w:val="18"/>
              </w:rPr>
              <w:t xml:space="preserve"> </w:t>
            </w:r>
            <w:r>
              <w:rPr>
                <w:sz w:val="18"/>
              </w:rPr>
              <w:t>eight</w:t>
            </w:r>
            <w:r>
              <w:rPr>
                <w:spacing w:val="-9"/>
                <w:sz w:val="18"/>
              </w:rPr>
              <w:t xml:space="preserve"> </w:t>
            </w:r>
            <w:r>
              <w:rPr>
                <w:sz w:val="18"/>
              </w:rPr>
              <w:t>meetings</w:t>
            </w:r>
            <w:r>
              <w:rPr>
                <w:spacing w:val="-10"/>
                <w:sz w:val="18"/>
              </w:rPr>
              <w:t xml:space="preserve"> </w:t>
            </w:r>
            <w:r>
              <w:rPr>
                <w:sz w:val="18"/>
              </w:rPr>
              <w:t>have</w:t>
            </w:r>
            <w:r>
              <w:rPr>
                <w:spacing w:val="-10"/>
                <w:sz w:val="18"/>
              </w:rPr>
              <w:t xml:space="preserve"> </w:t>
            </w:r>
            <w:r>
              <w:rPr>
                <w:sz w:val="18"/>
              </w:rPr>
              <w:t>taken place. Provincial Agency perceptions of Diskominfo and Bappeda (as the coordinator and custodian</w:t>
            </w:r>
            <w:r>
              <w:rPr>
                <w:spacing w:val="-1"/>
                <w:sz w:val="18"/>
              </w:rPr>
              <w:t xml:space="preserve"> </w:t>
            </w:r>
            <w:r>
              <w:rPr>
                <w:sz w:val="18"/>
              </w:rPr>
              <w:t>of the data forum) have grown increasingly positive. Where data requests were once frequently overlooked, data producers now better understand the forum’s role and the importance of standardised data.</w:t>
            </w:r>
          </w:p>
        </w:tc>
      </w:tr>
    </w:tbl>
    <w:p w14:paraId="5017111A" w14:textId="77777777" w:rsidR="00BC24A8" w:rsidRDefault="00BC24A8">
      <w:pPr>
        <w:pStyle w:val="TableParagraph"/>
        <w:jc w:val="both"/>
        <w:rPr>
          <w:sz w:val="18"/>
        </w:rPr>
        <w:sectPr w:rsidR="00BC24A8">
          <w:pgSz w:w="11910" w:h="16840"/>
          <w:pgMar w:top="1360" w:right="850" w:bottom="1100" w:left="1275" w:header="0" w:footer="907" w:gutter="0"/>
          <w:cols w:space="720"/>
        </w:sectPr>
      </w:pPr>
    </w:p>
    <w:tbl>
      <w:tblPr>
        <w:tblW w:w="0" w:type="auto"/>
        <w:tblInd w:w="14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091"/>
      </w:tblGrid>
      <w:tr w:rsidR="00BC24A8" w14:paraId="5C687E66" w14:textId="77777777">
        <w:trPr>
          <w:trHeight w:val="2894"/>
        </w:trPr>
        <w:tc>
          <w:tcPr>
            <w:tcW w:w="9091" w:type="dxa"/>
          </w:tcPr>
          <w:p w14:paraId="1FF800BE" w14:textId="77777777" w:rsidR="00BC24A8" w:rsidRDefault="00BC24A8">
            <w:pPr>
              <w:pStyle w:val="TableParagraph"/>
              <w:spacing w:before="102" w:after="1"/>
              <w:rPr>
                <w:rFonts w:ascii="Calibri"/>
                <w:sz w:val="20"/>
              </w:rPr>
            </w:pPr>
          </w:p>
          <w:p w14:paraId="08413AE4" w14:textId="77777777" w:rsidR="00BC24A8" w:rsidRDefault="00000000">
            <w:pPr>
              <w:pStyle w:val="TableParagraph"/>
              <w:ind w:left="375"/>
              <w:rPr>
                <w:rFonts w:ascii="Calibri"/>
                <w:sz w:val="20"/>
              </w:rPr>
            </w:pPr>
            <w:r>
              <w:rPr>
                <w:rFonts w:ascii="Calibri"/>
                <w:noProof/>
                <w:sz w:val="20"/>
              </w:rPr>
              <mc:AlternateContent>
                <mc:Choice Requires="wpg">
                  <w:drawing>
                    <wp:anchor distT="0" distB="0" distL="0" distR="0" simplePos="0" relativeHeight="478675456" behindDoc="1" locked="0" layoutInCell="1" allowOverlap="1" wp14:anchorId="39FB53A2" wp14:editId="719C6D5F">
                      <wp:simplePos x="0" y="0"/>
                      <wp:positionH relativeFrom="column">
                        <wp:posOffset>3041</wp:posOffset>
                      </wp:positionH>
                      <wp:positionV relativeFrom="paragraph">
                        <wp:posOffset>-220505</wp:posOffset>
                      </wp:positionV>
                      <wp:extent cx="5765800" cy="5983605"/>
                      <wp:effectExtent l="0" t="0" r="0" b="0"/>
                      <wp:wrapNone/>
                      <wp:docPr id="156" name="Group 156" descr="Indirectly, SKALA’s presence has strengthened our control and room to maneuver, simply because now we understand our position and Provincial Agencies also recognize the big role of Diskominfo in the forum.&#10;Diskominfo Staff&#10;&#10; &#10;While challenges persist—particularly in terms of budget limitations and institutional sustainability—the forum’s spirit and capacity have notably improved. The Maluku Satu Data Forum is now preparing to launch the 2025 data cycle with a more focused, collaborative, and SDI-based approach.&#10;S TO R Y 3 :&#10;Bacarita Manise: A New Participatory Space for the Voice of Vulnerable Communities in Maluku&#10;The presence of participatory spaces is vital for Civil Society Organisations (CSOs) in Maluku Province. To date, their involvement in forums such as the regular Musrenbang has remained largely symbolic.&#10;A shift toward more meaningful participation is set to begin in 2025 through the RPJMD Thematic Musrenbang initiative, known as Bacarita Manise. SKALA has taken the lead in initiating ideas, developing implementation guidelines, and gathering input for the Musrenbang model through informal discussions with CSOs and Disabled Persons Organisations (DPOs).&#10;In collaboration with another DFAT partner—program INKLUSI—SKALA organised the Bacarita Manise pre-Forum. As a result, 23 CSOs, including six organisations representing persons with disabilities, actively participated. The thematic Musrenbang also drew attendance from 27 representatives of Provincial Agencies (OPD). To foster two-way dialogue, SKALA recommends a structured discussion format organised around three thematic desks: Economics and Natural Resources, Infrastructure and Spatial Planning, and Governance and Human Empowerment.&#10;The opportunity and space to provide inputs is wide open, as JMS is directly involved in discussions with the relevant Provincial Agencies.&#10;&#10; &#10;Active discussions as well as new information and perspectives from persons with disabilities and related institutions (CSOs) really help us to be better in future planning, for the fulflllment and improvement of the quality of both access and quality of education in Maluku Province.&#10;Provincial Agency of the Education Office, in a post-Bacarita Manise feedback survey&#10;&#10;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5983605"/>
                                <a:chOff x="0" y="0"/>
                                <a:chExt cx="5765800" cy="5983605"/>
                              </a:xfrm>
                            </wpg:grpSpPr>
                            <wps:wsp>
                              <wps:cNvPr id="157" name="Graphic 157"/>
                              <wps:cNvSpPr/>
                              <wps:spPr>
                                <a:xfrm>
                                  <a:off x="0" y="0"/>
                                  <a:ext cx="5765800" cy="5983605"/>
                                </a:xfrm>
                                <a:custGeom>
                                  <a:avLst/>
                                  <a:gdLst/>
                                  <a:ahLst/>
                                  <a:cxnLst/>
                                  <a:rect l="l" t="t" r="r" b="b"/>
                                  <a:pathLst>
                                    <a:path w="5765800" h="5983605">
                                      <a:moveTo>
                                        <a:pt x="5765292" y="1844052"/>
                                      </a:moveTo>
                                      <a:lnTo>
                                        <a:pt x="0" y="1844052"/>
                                      </a:lnTo>
                                      <a:lnTo>
                                        <a:pt x="0" y="5983224"/>
                                      </a:lnTo>
                                      <a:lnTo>
                                        <a:pt x="5765292" y="5983224"/>
                                      </a:lnTo>
                                      <a:lnTo>
                                        <a:pt x="5765292" y="1844052"/>
                                      </a:lnTo>
                                      <a:close/>
                                    </a:path>
                                    <a:path w="5765800" h="5983605">
                                      <a:moveTo>
                                        <a:pt x="5765292" y="0"/>
                                      </a:moveTo>
                                      <a:lnTo>
                                        <a:pt x="0" y="0"/>
                                      </a:lnTo>
                                      <a:lnTo>
                                        <a:pt x="0" y="1837944"/>
                                      </a:lnTo>
                                      <a:lnTo>
                                        <a:pt x="5765292" y="1837944"/>
                                      </a:lnTo>
                                      <a:lnTo>
                                        <a:pt x="5765292" y="0"/>
                                      </a:lnTo>
                                      <a:close/>
                                    </a:path>
                                  </a:pathLst>
                                </a:custGeom>
                                <a:solidFill>
                                  <a:srgbClr val="E1F1EF"/>
                                </a:solidFill>
                              </wps:spPr>
                              <wps:bodyPr wrap="square" lIns="0" tIns="0" rIns="0" bIns="0" rtlCol="0">
                                <a:prstTxWarp prst="textNoShape">
                                  <a:avLst/>
                                </a:prstTxWarp>
                                <a:noAutofit/>
                              </wps:bodyPr>
                            </wps:wsp>
                            <wps:wsp>
                              <wps:cNvPr id="158" name="Graphic 158"/>
                              <wps:cNvSpPr/>
                              <wps:spPr>
                                <a:xfrm>
                                  <a:off x="173228" y="374764"/>
                                  <a:ext cx="5411470" cy="5237480"/>
                                </a:xfrm>
                                <a:custGeom>
                                  <a:avLst/>
                                  <a:gdLst/>
                                  <a:ahLst/>
                                  <a:cxnLst/>
                                  <a:rect l="l" t="t" r="r" b="b"/>
                                  <a:pathLst>
                                    <a:path w="5411470" h="5237480">
                                      <a:moveTo>
                                        <a:pt x="1270" y="0"/>
                                      </a:moveTo>
                                      <a:lnTo>
                                        <a:pt x="5411470" y="0"/>
                                      </a:lnTo>
                                      <a:lnTo>
                                        <a:pt x="5411470" y="752754"/>
                                      </a:lnTo>
                                      <a:lnTo>
                                        <a:pt x="1270" y="752754"/>
                                      </a:lnTo>
                                      <a:lnTo>
                                        <a:pt x="1270" y="0"/>
                                      </a:lnTo>
                                      <a:close/>
                                    </a:path>
                                    <a:path w="5411470" h="5237480">
                                      <a:moveTo>
                                        <a:pt x="0" y="4402632"/>
                                      </a:moveTo>
                                      <a:lnTo>
                                        <a:pt x="5410200" y="4402632"/>
                                      </a:lnTo>
                                      <a:lnTo>
                                        <a:pt x="5410200" y="5237276"/>
                                      </a:lnTo>
                                      <a:lnTo>
                                        <a:pt x="0" y="5237276"/>
                                      </a:lnTo>
                                      <a:lnTo>
                                        <a:pt x="0" y="4402632"/>
                                      </a:lnTo>
                                      <a:close/>
                                    </a:path>
                                  </a:pathLst>
                                </a:custGeom>
                                <a:ln w="12700">
                                  <a:solidFill>
                                    <a:srgbClr val="17365A"/>
                                  </a:solidFill>
                                  <a:prstDash val="solid"/>
                                </a:ln>
                              </wps:spPr>
                              <wps:bodyPr wrap="square" lIns="0" tIns="0" rIns="0" bIns="0" rtlCol="0">
                                <a:prstTxWarp prst="textNoShape">
                                  <a:avLst/>
                                </a:prstTxWarp>
                                <a:noAutofit/>
                              </wps:bodyPr>
                            </wps:wsp>
                          </wpg:wgp>
                        </a:graphicData>
                      </a:graphic>
                    </wp:anchor>
                  </w:drawing>
                </mc:Choice>
                <mc:Fallback>
                  <w:pict>
                    <v:group w14:anchorId="5F0158EE" id="Group 156" o:spid="_x0000_s1026" alt="Indirectly, SKALA’s presence has strengthened our control and room to maneuver, simply because now we understand our position and Provincial Agencies also recognize the big role of Diskominfo in the forum.&#10;Diskominfo Staff&#10;&#10; &#10;While challenges persist—particularly in terms of budget limitations and institutional sustainability—the forum’s spirit and capacity have notably improved. The Maluku Satu Data Forum is now preparing to launch the 2025 data cycle with a more focused, collaborative, and SDI-based approach.&#10;S TO R Y 3 :&#10;Bacarita Manise: A New Participatory Space for the Voice of Vulnerable Communities in Maluku&#10;The presence of participatory spaces is vital for Civil Society Organisations (CSOs) in Maluku Province. To date, their involvement in forums such as the regular Musrenbang has remained largely symbolic.&#10;A shift toward more meaningful participation is set to begin in 2025 through the RPJMD Thematic Musrenbang initiative, known as Bacarita Manise. SKALA has taken the lead in initiating ideas, developing implementation guidelines, and gathering input for the Musrenbang model through informal discussions with CSOs and Disabled Persons Organisations (DPOs).&#10;In collaboration with another DFAT partner—program INKLUSI—SKALA organised the Bacarita Manise pre-Forum. As a result, 23 CSOs, including six organisations representing persons with disabilities, actively participated. The thematic Musrenbang also drew attendance from 27 representatives of Provincial Agencies (OPD). To foster two-way dialogue, SKALA recommends a structured discussion format organised around three thematic desks: Economics and Natural Resources, Infrastructure and Spatial Planning, and Governance and Human Empowerment.&#10;The opportunity and space to provide inputs is wide open, as JMS is directly involved in discussions with the relevant Provincial Agencies.&#10;&#10; &#10;Active discussions as well as new information and perspectives from persons with disabilities and related institutions (CSOs) really help us to be better in future planning, for the fulflllment and improvement of the quality of both access and quality of education in Maluku Province.&#10;Provincial Agency of the Education Office, in a post-Bacarita Manise feedback survey&#10;&#10; &#10;&#10;" style="position:absolute;margin-left:.25pt;margin-top:-17.35pt;width:454pt;height:471.15pt;z-index:-24641024;mso-wrap-distance-left:0;mso-wrap-distance-right:0" coordsize="57658,59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">
                      <v:shape id="Graphic 157" o:spid="_x0000_s1027" style="position:absolute;width:57658;height:59836;visibility:visible;mso-wrap-style:square;v-text-anchor:top" coordsize="5765800,598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" path="m5765292,1844052l,1844052,,5983224r5765292,l5765292,1844052xem5765292,l,,,1837944r5765292,l5765292,xe" fillcolor="#e1f1ef" stroked="f">
                        <v:path arrowok="t"/>
                      </v:shape>
                      <v:shape id="Graphic 158" o:spid="_x0000_s1028" style="position:absolute;left:1732;top:3747;width:54114;height:52375;visibility:visible;mso-wrap-style:square;v-text-anchor:top" coordsize="5411470,523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" path="m1270,l5411470,r,752754l1270,752754,1270,xem,4402632r5410200,l5410200,5237276,,5237276,,4402632xe" filled="f" strokecolor="#17365a" strokeweight="1pt">
                        <v:path arrowok="t"/>
                      </v:shape>
                    </v:group>
                  </w:pict>
                </mc:Fallback>
              </mc:AlternateContent>
            </w:r>
            <w:r>
              <w:rPr>
                <w:rFonts w:ascii="Calibri"/>
                <w:noProof/>
                <w:sz w:val="20"/>
              </w:rPr>
              <w:drawing>
                <wp:inline distT="0" distB="0" distL="0" distR="0" wp14:anchorId="79DCA485" wp14:editId="191CB81F">
                  <wp:extent cx="223128" cy="204787"/>
                  <wp:effectExtent l="0" t="0" r="0" b="0"/>
                  <wp:docPr id="159" name="Imag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23128" cy="204787"/>
                          </a:xfrm>
                          <a:prstGeom prst="rect">
                            <a:avLst/>
                          </a:prstGeom>
                        </pic:spPr>
                      </pic:pic>
                    </a:graphicData>
                  </a:graphic>
                </wp:inline>
              </w:drawing>
            </w:r>
          </w:p>
          <w:p w14:paraId="497CE357" w14:textId="77777777" w:rsidR="00BC24A8" w:rsidRDefault="00000000">
            <w:pPr>
              <w:pStyle w:val="TableParagraph"/>
              <w:spacing w:before="138" w:line="290" w:lineRule="auto"/>
              <w:ind w:left="578" w:right="198"/>
              <w:rPr>
                <w:rFonts w:ascii="Times New Roman" w:hAnsi="Times New Roman"/>
                <w:b/>
                <w:i/>
                <w:sz w:val="18"/>
              </w:rPr>
            </w:pPr>
            <w:r>
              <w:rPr>
                <w:rFonts w:ascii="Times New Roman" w:hAnsi="Times New Roman"/>
                <w:b/>
                <w:i/>
                <w:color w:val="17365A"/>
                <w:sz w:val="18"/>
              </w:rPr>
              <w:t>Indirectly,</w:t>
            </w:r>
            <w:r>
              <w:rPr>
                <w:rFonts w:ascii="Times New Roman" w:hAnsi="Times New Roman"/>
                <w:b/>
                <w:i/>
                <w:color w:val="17365A"/>
                <w:spacing w:val="-3"/>
                <w:sz w:val="18"/>
              </w:rPr>
              <w:t xml:space="preserve"> </w:t>
            </w:r>
            <w:r>
              <w:rPr>
                <w:rFonts w:ascii="Times New Roman" w:hAnsi="Times New Roman"/>
                <w:b/>
                <w:i/>
                <w:color w:val="17365A"/>
                <w:sz w:val="18"/>
              </w:rPr>
              <w:t>SKALA’s</w:t>
            </w:r>
            <w:r>
              <w:rPr>
                <w:rFonts w:ascii="Times New Roman" w:hAnsi="Times New Roman"/>
                <w:b/>
                <w:i/>
                <w:color w:val="17365A"/>
                <w:spacing w:val="-3"/>
                <w:sz w:val="18"/>
              </w:rPr>
              <w:t xml:space="preserve"> </w:t>
            </w:r>
            <w:r>
              <w:rPr>
                <w:rFonts w:ascii="Times New Roman" w:hAnsi="Times New Roman"/>
                <w:b/>
                <w:i/>
                <w:color w:val="17365A"/>
                <w:sz w:val="18"/>
              </w:rPr>
              <w:t>presence</w:t>
            </w:r>
            <w:r>
              <w:rPr>
                <w:rFonts w:ascii="Times New Roman" w:hAnsi="Times New Roman"/>
                <w:b/>
                <w:i/>
                <w:color w:val="17365A"/>
                <w:spacing w:val="-5"/>
                <w:sz w:val="18"/>
              </w:rPr>
              <w:t xml:space="preserve"> </w:t>
            </w:r>
            <w:r>
              <w:rPr>
                <w:rFonts w:ascii="Times New Roman" w:hAnsi="Times New Roman"/>
                <w:b/>
                <w:i/>
                <w:color w:val="17365A"/>
                <w:sz w:val="18"/>
              </w:rPr>
              <w:t>has</w:t>
            </w:r>
            <w:r>
              <w:rPr>
                <w:rFonts w:ascii="Times New Roman" w:hAnsi="Times New Roman"/>
                <w:b/>
                <w:i/>
                <w:color w:val="17365A"/>
                <w:spacing w:val="-5"/>
                <w:sz w:val="18"/>
              </w:rPr>
              <w:t xml:space="preserve"> </w:t>
            </w:r>
            <w:r>
              <w:rPr>
                <w:rFonts w:ascii="Times New Roman" w:hAnsi="Times New Roman"/>
                <w:b/>
                <w:i/>
                <w:color w:val="17365A"/>
                <w:sz w:val="18"/>
              </w:rPr>
              <w:t>strengthened</w:t>
            </w:r>
            <w:r>
              <w:rPr>
                <w:rFonts w:ascii="Times New Roman" w:hAnsi="Times New Roman"/>
                <w:b/>
                <w:i/>
                <w:color w:val="17365A"/>
                <w:spacing w:val="-4"/>
                <w:sz w:val="18"/>
              </w:rPr>
              <w:t xml:space="preserve"> </w:t>
            </w:r>
            <w:r>
              <w:rPr>
                <w:rFonts w:ascii="Times New Roman" w:hAnsi="Times New Roman"/>
                <w:b/>
                <w:i/>
                <w:color w:val="17365A"/>
                <w:sz w:val="18"/>
              </w:rPr>
              <w:t>our</w:t>
            </w:r>
            <w:r>
              <w:rPr>
                <w:rFonts w:ascii="Times New Roman" w:hAnsi="Times New Roman"/>
                <w:b/>
                <w:i/>
                <w:color w:val="17365A"/>
                <w:spacing w:val="-4"/>
                <w:sz w:val="18"/>
              </w:rPr>
              <w:t xml:space="preserve"> </w:t>
            </w:r>
            <w:r>
              <w:rPr>
                <w:rFonts w:ascii="Times New Roman" w:hAnsi="Times New Roman"/>
                <w:b/>
                <w:i/>
                <w:color w:val="17365A"/>
                <w:sz w:val="18"/>
              </w:rPr>
              <w:t>control</w:t>
            </w:r>
            <w:r>
              <w:rPr>
                <w:rFonts w:ascii="Times New Roman" w:hAnsi="Times New Roman"/>
                <w:b/>
                <w:i/>
                <w:color w:val="17365A"/>
                <w:spacing w:val="-3"/>
                <w:sz w:val="18"/>
              </w:rPr>
              <w:t xml:space="preserve"> </w:t>
            </w:r>
            <w:r>
              <w:rPr>
                <w:rFonts w:ascii="Times New Roman" w:hAnsi="Times New Roman"/>
                <w:b/>
                <w:i/>
                <w:color w:val="17365A"/>
                <w:sz w:val="18"/>
              </w:rPr>
              <w:t>and</w:t>
            </w:r>
            <w:r>
              <w:rPr>
                <w:rFonts w:ascii="Times New Roman" w:hAnsi="Times New Roman"/>
                <w:b/>
                <w:i/>
                <w:color w:val="17365A"/>
                <w:spacing w:val="-4"/>
                <w:sz w:val="18"/>
              </w:rPr>
              <w:t xml:space="preserve"> </w:t>
            </w:r>
            <w:r>
              <w:rPr>
                <w:rFonts w:ascii="Times New Roman" w:hAnsi="Times New Roman"/>
                <w:b/>
                <w:i/>
                <w:color w:val="17365A"/>
                <w:sz w:val="18"/>
              </w:rPr>
              <w:t>room</w:t>
            </w:r>
            <w:r>
              <w:rPr>
                <w:rFonts w:ascii="Times New Roman" w:hAnsi="Times New Roman"/>
                <w:b/>
                <w:i/>
                <w:color w:val="17365A"/>
                <w:spacing w:val="-4"/>
                <w:sz w:val="18"/>
              </w:rPr>
              <w:t xml:space="preserve"> </w:t>
            </w:r>
            <w:r>
              <w:rPr>
                <w:rFonts w:ascii="Times New Roman" w:hAnsi="Times New Roman"/>
                <w:b/>
                <w:i/>
                <w:color w:val="17365A"/>
                <w:sz w:val="18"/>
              </w:rPr>
              <w:t>to</w:t>
            </w:r>
            <w:r>
              <w:rPr>
                <w:rFonts w:ascii="Times New Roman" w:hAnsi="Times New Roman"/>
                <w:b/>
                <w:i/>
                <w:color w:val="17365A"/>
                <w:spacing w:val="-4"/>
                <w:sz w:val="18"/>
              </w:rPr>
              <w:t xml:space="preserve"> </w:t>
            </w:r>
            <w:r>
              <w:rPr>
                <w:rFonts w:ascii="Times New Roman" w:hAnsi="Times New Roman"/>
                <w:b/>
                <w:i/>
                <w:color w:val="17365A"/>
                <w:sz w:val="18"/>
              </w:rPr>
              <w:t>maneuver,</w:t>
            </w:r>
            <w:r>
              <w:rPr>
                <w:rFonts w:ascii="Times New Roman" w:hAnsi="Times New Roman"/>
                <w:b/>
                <w:i/>
                <w:color w:val="17365A"/>
                <w:spacing w:val="-3"/>
                <w:sz w:val="18"/>
              </w:rPr>
              <w:t xml:space="preserve"> </w:t>
            </w:r>
            <w:r>
              <w:rPr>
                <w:rFonts w:ascii="Times New Roman" w:hAnsi="Times New Roman"/>
                <w:b/>
                <w:i/>
                <w:color w:val="17365A"/>
                <w:sz w:val="18"/>
              </w:rPr>
              <w:t>simply</w:t>
            </w:r>
            <w:r>
              <w:rPr>
                <w:rFonts w:ascii="Times New Roman" w:hAnsi="Times New Roman"/>
                <w:b/>
                <w:i/>
                <w:color w:val="17365A"/>
                <w:spacing w:val="-4"/>
                <w:sz w:val="18"/>
              </w:rPr>
              <w:t xml:space="preserve"> </w:t>
            </w:r>
            <w:r>
              <w:rPr>
                <w:rFonts w:ascii="Times New Roman" w:hAnsi="Times New Roman"/>
                <w:b/>
                <w:i/>
                <w:color w:val="17365A"/>
                <w:sz w:val="18"/>
              </w:rPr>
              <w:t>because</w:t>
            </w:r>
            <w:r>
              <w:rPr>
                <w:rFonts w:ascii="Times New Roman" w:hAnsi="Times New Roman"/>
                <w:b/>
                <w:i/>
                <w:color w:val="17365A"/>
                <w:spacing w:val="-2"/>
                <w:sz w:val="18"/>
              </w:rPr>
              <w:t xml:space="preserve"> </w:t>
            </w:r>
            <w:r>
              <w:rPr>
                <w:rFonts w:ascii="Times New Roman" w:hAnsi="Times New Roman"/>
                <w:b/>
                <w:i/>
                <w:color w:val="17365A"/>
                <w:sz w:val="18"/>
              </w:rPr>
              <w:t>now</w:t>
            </w:r>
            <w:r>
              <w:rPr>
                <w:rFonts w:ascii="Times New Roman" w:hAnsi="Times New Roman"/>
                <w:b/>
                <w:i/>
                <w:color w:val="17365A"/>
                <w:spacing w:val="-4"/>
                <w:sz w:val="18"/>
              </w:rPr>
              <w:t xml:space="preserve"> </w:t>
            </w:r>
            <w:r>
              <w:rPr>
                <w:rFonts w:ascii="Times New Roman" w:hAnsi="Times New Roman"/>
                <w:b/>
                <w:i/>
                <w:color w:val="17365A"/>
                <w:sz w:val="18"/>
              </w:rPr>
              <w:t>we understand</w:t>
            </w:r>
            <w:r>
              <w:rPr>
                <w:rFonts w:ascii="Times New Roman" w:hAnsi="Times New Roman"/>
                <w:b/>
                <w:i/>
                <w:color w:val="17365A"/>
                <w:spacing w:val="-6"/>
                <w:sz w:val="18"/>
              </w:rPr>
              <w:t xml:space="preserve"> </w:t>
            </w:r>
            <w:r>
              <w:rPr>
                <w:rFonts w:ascii="Times New Roman" w:hAnsi="Times New Roman"/>
                <w:b/>
                <w:i/>
                <w:color w:val="17365A"/>
                <w:sz w:val="18"/>
              </w:rPr>
              <w:t>our</w:t>
            </w:r>
            <w:r>
              <w:rPr>
                <w:rFonts w:ascii="Times New Roman" w:hAnsi="Times New Roman"/>
                <w:b/>
                <w:i/>
                <w:color w:val="17365A"/>
                <w:spacing w:val="-6"/>
                <w:sz w:val="18"/>
              </w:rPr>
              <w:t xml:space="preserve"> </w:t>
            </w:r>
            <w:r>
              <w:rPr>
                <w:rFonts w:ascii="Times New Roman" w:hAnsi="Times New Roman"/>
                <w:b/>
                <w:i/>
                <w:color w:val="17365A"/>
                <w:sz w:val="18"/>
              </w:rPr>
              <w:t>position</w:t>
            </w:r>
            <w:r>
              <w:rPr>
                <w:rFonts w:ascii="Times New Roman" w:hAnsi="Times New Roman"/>
                <w:b/>
                <w:i/>
                <w:color w:val="17365A"/>
                <w:spacing w:val="-6"/>
                <w:sz w:val="18"/>
              </w:rPr>
              <w:t xml:space="preserve"> </w:t>
            </w:r>
            <w:r>
              <w:rPr>
                <w:rFonts w:ascii="Times New Roman" w:hAnsi="Times New Roman"/>
                <w:b/>
                <w:i/>
                <w:color w:val="17365A"/>
                <w:sz w:val="18"/>
              </w:rPr>
              <w:t>and</w:t>
            </w:r>
            <w:r>
              <w:rPr>
                <w:rFonts w:ascii="Times New Roman" w:hAnsi="Times New Roman"/>
                <w:b/>
                <w:i/>
                <w:color w:val="17365A"/>
                <w:spacing w:val="-3"/>
                <w:sz w:val="18"/>
              </w:rPr>
              <w:t xml:space="preserve"> </w:t>
            </w:r>
            <w:r>
              <w:rPr>
                <w:rFonts w:ascii="Times New Roman" w:hAnsi="Times New Roman"/>
                <w:b/>
                <w:i/>
                <w:color w:val="17365A"/>
                <w:sz w:val="18"/>
              </w:rPr>
              <w:t>Provincial</w:t>
            </w:r>
            <w:r>
              <w:rPr>
                <w:rFonts w:ascii="Times New Roman" w:hAnsi="Times New Roman"/>
                <w:b/>
                <w:i/>
                <w:color w:val="17365A"/>
                <w:spacing w:val="-4"/>
                <w:sz w:val="18"/>
              </w:rPr>
              <w:t xml:space="preserve"> </w:t>
            </w:r>
            <w:r>
              <w:rPr>
                <w:rFonts w:ascii="Times New Roman" w:hAnsi="Times New Roman"/>
                <w:b/>
                <w:i/>
                <w:color w:val="17365A"/>
                <w:sz w:val="18"/>
              </w:rPr>
              <w:t>Agencies</w:t>
            </w:r>
            <w:r>
              <w:rPr>
                <w:rFonts w:ascii="Times New Roman" w:hAnsi="Times New Roman"/>
                <w:b/>
                <w:i/>
                <w:color w:val="17365A"/>
                <w:spacing w:val="-4"/>
                <w:sz w:val="18"/>
              </w:rPr>
              <w:t xml:space="preserve"> </w:t>
            </w:r>
            <w:r>
              <w:rPr>
                <w:rFonts w:ascii="Times New Roman" w:hAnsi="Times New Roman"/>
                <w:b/>
                <w:i/>
                <w:color w:val="17365A"/>
                <w:sz w:val="18"/>
              </w:rPr>
              <w:t>also</w:t>
            </w:r>
            <w:r>
              <w:rPr>
                <w:rFonts w:ascii="Times New Roman" w:hAnsi="Times New Roman"/>
                <w:b/>
                <w:i/>
                <w:color w:val="17365A"/>
                <w:spacing w:val="-5"/>
                <w:sz w:val="18"/>
              </w:rPr>
              <w:t xml:space="preserve"> </w:t>
            </w:r>
            <w:r>
              <w:rPr>
                <w:rFonts w:ascii="Times New Roman" w:hAnsi="Times New Roman"/>
                <w:b/>
                <w:i/>
                <w:color w:val="17365A"/>
                <w:sz w:val="18"/>
              </w:rPr>
              <w:t>recognize</w:t>
            </w:r>
            <w:r>
              <w:rPr>
                <w:rFonts w:ascii="Times New Roman" w:hAnsi="Times New Roman"/>
                <w:b/>
                <w:i/>
                <w:color w:val="17365A"/>
                <w:spacing w:val="-6"/>
                <w:sz w:val="18"/>
              </w:rPr>
              <w:t xml:space="preserve"> </w:t>
            </w:r>
            <w:r>
              <w:rPr>
                <w:rFonts w:ascii="Times New Roman" w:hAnsi="Times New Roman"/>
                <w:b/>
                <w:i/>
                <w:color w:val="17365A"/>
                <w:sz w:val="18"/>
              </w:rPr>
              <w:t>the</w:t>
            </w:r>
            <w:r>
              <w:rPr>
                <w:rFonts w:ascii="Times New Roman" w:hAnsi="Times New Roman"/>
                <w:b/>
                <w:i/>
                <w:color w:val="17365A"/>
                <w:spacing w:val="-6"/>
                <w:sz w:val="18"/>
              </w:rPr>
              <w:t xml:space="preserve"> </w:t>
            </w:r>
            <w:r>
              <w:rPr>
                <w:rFonts w:ascii="Times New Roman" w:hAnsi="Times New Roman"/>
                <w:b/>
                <w:i/>
                <w:color w:val="17365A"/>
                <w:sz w:val="18"/>
              </w:rPr>
              <w:t>big</w:t>
            </w:r>
            <w:r>
              <w:rPr>
                <w:rFonts w:ascii="Times New Roman" w:hAnsi="Times New Roman"/>
                <w:b/>
                <w:i/>
                <w:color w:val="17365A"/>
                <w:spacing w:val="-4"/>
                <w:sz w:val="18"/>
              </w:rPr>
              <w:t xml:space="preserve"> </w:t>
            </w:r>
            <w:r>
              <w:rPr>
                <w:rFonts w:ascii="Times New Roman" w:hAnsi="Times New Roman"/>
                <w:b/>
                <w:i/>
                <w:color w:val="17365A"/>
                <w:sz w:val="18"/>
              </w:rPr>
              <w:t>role</w:t>
            </w:r>
            <w:r>
              <w:rPr>
                <w:rFonts w:ascii="Times New Roman" w:hAnsi="Times New Roman"/>
                <w:b/>
                <w:i/>
                <w:color w:val="17365A"/>
                <w:spacing w:val="-6"/>
                <w:sz w:val="18"/>
              </w:rPr>
              <w:t xml:space="preserve"> </w:t>
            </w:r>
            <w:r>
              <w:rPr>
                <w:rFonts w:ascii="Times New Roman" w:hAnsi="Times New Roman"/>
                <w:b/>
                <w:i/>
                <w:color w:val="17365A"/>
                <w:sz w:val="18"/>
              </w:rPr>
              <w:t>of</w:t>
            </w:r>
            <w:r>
              <w:rPr>
                <w:rFonts w:ascii="Times New Roman" w:hAnsi="Times New Roman"/>
                <w:b/>
                <w:i/>
                <w:color w:val="17365A"/>
                <w:spacing w:val="-3"/>
                <w:sz w:val="18"/>
              </w:rPr>
              <w:t xml:space="preserve"> </w:t>
            </w:r>
            <w:r>
              <w:rPr>
                <w:rFonts w:ascii="Times New Roman" w:hAnsi="Times New Roman"/>
                <w:b/>
                <w:i/>
                <w:color w:val="17365A"/>
                <w:sz w:val="18"/>
              </w:rPr>
              <w:t>Diskominfo</w:t>
            </w:r>
            <w:r>
              <w:rPr>
                <w:rFonts w:ascii="Times New Roman" w:hAnsi="Times New Roman"/>
                <w:b/>
                <w:i/>
                <w:color w:val="17365A"/>
                <w:spacing w:val="-5"/>
                <w:sz w:val="18"/>
              </w:rPr>
              <w:t xml:space="preserve"> </w:t>
            </w:r>
            <w:r>
              <w:rPr>
                <w:rFonts w:ascii="Times New Roman" w:hAnsi="Times New Roman"/>
                <w:b/>
                <w:i/>
                <w:color w:val="17365A"/>
                <w:sz w:val="18"/>
              </w:rPr>
              <w:t>in</w:t>
            </w:r>
            <w:r>
              <w:rPr>
                <w:rFonts w:ascii="Times New Roman" w:hAnsi="Times New Roman"/>
                <w:b/>
                <w:i/>
                <w:color w:val="17365A"/>
                <w:spacing w:val="-6"/>
                <w:sz w:val="18"/>
              </w:rPr>
              <w:t xml:space="preserve"> </w:t>
            </w:r>
            <w:r>
              <w:rPr>
                <w:rFonts w:ascii="Times New Roman" w:hAnsi="Times New Roman"/>
                <w:b/>
                <w:i/>
                <w:color w:val="17365A"/>
                <w:sz w:val="18"/>
              </w:rPr>
              <w:t>the</w:t>
            </w:r>
            <w:r>
              <w:rPr>
                <w:rFonts w:ascii="Times New Roman" w:hAnsi="Times New Roman"/>
                <w:b/>
                <w:i/>
                <w:color w:val="17365A"/>
                <w:spacing w:val="-6"/>
                <w:sz w:val="18"/>
              </w:rPr>
              <w:t xml:space="preserve"> </w:t>
            </w:r>
            <w:r>
              <w:rPr>
                <w:rFonts w:ascii="Times New Roman" w:hAnsi="Times New Roman"/>
                <w:b/>
                <w:i/>
                <w:color w:val="17365A"/>
                <w:sz w:val="18"/>
              </w:rPr>
              <w:t>forum.</w:t>
            </w:r>
          </w:p>
          <w:p w14:paraId="572A6861" w14:textId="77777777" w:rsidR="00BC24A8" w:rsidRDefault="00000000">
            <w:pPr>
              <w:pStyle w:val="TableParagraph"/>
              <w:spacing w:line="205" w:lineRule="exact"/>
              <w:ind w:left="578"/>
              <w:rPr>
                <w:i/>
                <w:sz w:val="18"/>
              </w:rPr>
            </w:pPr>
            <w:r>
              <w:rPr>
                <w:i/>
                <w:color w:val="17365A"/>
                <w:sz w:val="18"/>
              </w:rPr>
              <w:t>Diskominfo</w:t>
            </w:r>
            <w:r>
              <w:rPr>
                <w:i/>
                <w:color w:val="17365A"/>
                <w:spacing w:val="-9"/>
                <w:sz w:val="18"/>
              </w:rPr>
              <w:t xml:space="preserve"> </w:t>
            </w:r>
            <w:r>
              <w:rPr>
                <w:i/>
                <w:color w:val="17365A"/>
                <w:spacing w:val="-2"/>
                <w:sz w:val="18"/>
              </w:rPr>
              <w:t>Staff</w:t>
            </w:r>
          </w:p>
          <w:p w14:paraId="10F34109" w14:textId="77777777" w:rsidR="00BC24A8" w:rsidRDefault="00BC24A8">
            <w:pPr>
              <w:pStyle w:val="TableParagraph"/>
              <w:spacing w:before="4"/>
              <w:rPr>
                <w:rFonts w:ascii="Calibri"/>
                <w:sz w:val="12"/>
              </w:rPr>
            </w:pPr>
          </w:p>
          <w:p w14:paraId="5F12AA0B" w14:textId="77777777" w:rsidR="00BC24A8" w:rsidRDefault="00000000">
            <w:pPr>
              <w:pStyle w:val="TableParagraph"/>
              <w:ind w:left="8338"/>
              <w:rPr>
                <w:rFonts w:ascii="Calibri"/>
                <w:sz w:val="20"/>
              </w:rPr>
            </w:pPr>
            <w:r>
              <w:rPr>
                <w:rFonts w:ascii="Calibri"/>
                <w:noProof/>
                <w:sz w:val="20"/>
              </w:rPr>
              <w:drawing>
                <wp:inline distT="0" distB="0" distL="0" distR="0" wp14:anchorId="4A59E771" wp14:editId="7DD0323C">
                  <wp:extent cx="223128" cy="204787"/>
                  <wp:effectExtent l="0" t="0" r="0" b="0"/>
                  <wp:docPr id="160" name="Imag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3128" cy="204787"/>
                          </a:xfrm>
                          <a:prstGeom prst="rect">
                            <a:avLst/>
                          </a:prstGeom>
                        </pic:spPr>
                      </pic:pic>
                    </a:graphicData>
                  </a:graphic>
                </wp:inline>
              </w:drawing>
            </w:r>
          </w:p>
          <w:p w14:paraId="6A12558A" w14:textId="77777777" w:rsidR="00BC24A8" w:rsidRDefault="00000000">
            <w:pPr>
              <w:pStyle w:val="TableParagraph"/>
              <w:spacing w:before="7"/>
              <w:ind w:left="251" w:right="235"/>
              <w:jc w:val="both"/>
              <w:rPr>
                <w:sz w:val="18"/>
              </w:rPr>
            </w:pPr>
            <w:r>
              <w:rPr>
                <w:sz w:val="18"/>
              </w:rPr>
              <w:t>While challenges persist—particularly in terms of budget limitations and institutional sustainability—the forum’s spirit and</w:t>
            </w:r>
            <w:r>
              <w:rPr>
                <w:spacing w:val="-1"/>
                <w:sz w:val="18"/>
              </w:rPr>
              <w:t xml:space="preserve"> </w:t>
            </w:r>
            <w:r>
              <w:rPr>
                <w:sz w:val="18"/>
              </w:rPr>
              <w:t>capacity</w:t>
            </w:r>
            <w:r>
              <w:rPr>
                <w:spacing w:val="-1"/>
                <w:sz w:val="18"/>
              </w:rPr>
              <w:t xml:space="preserve"> </w:t>
            </w:r>
            <w:r>
              <w:rPr>
                <w:sz w:val="18"/>
              </w:rPr>
              <w:t>have</w:t>
            </w:r>
            <w:r>
              <w:rPr>
                <w:spacing w:val="-1"/>
                <w:sz w:val="18"/>
              </w:rPr>
              <w:t xml:space="preserve"> </w:t>
            </w:r>
            <w:r>
              <w:rPr>
                <w:sz w:val="18"/>
              </w:rPr>
              <w:t>notably</w:t>
            </w:r>
            <w:r>
              <w:rPr>
                <w:spacing w:val="-1"/>
                <w:sz w:val="18"/>
              </w:rPr>
              <w:t xml:space="preserve"> </w:t>
            </w:r>
            <w:r>
              <w:rPr>
                <w:sz w:val="18"/>
              </w:rPr>
              <w:t>improved.</w:t>
            </w:r>
            <w:r>
              <w:rPr>
                <w:spacing w:val="-2"/>
                <w:sz w:val="18"/>
              </w:rPr>
              <w:t xml:space="preserve"> </w:t>
            </w:r>
            <w:r>
              <w:rPr>
                <w:sz w:val="18"/>
              </w:rPr>
              <w:t>The</w:t>
            </w:r>
            <w:r>
              <w:rPr>
                <w:spacing w:val="-1"/>
                <w:sz w:val="18"/>
              </w:rPr>
              <w:t xml:space="preserve"> </w:t>
            </w:r>
            <w:r>
              <w:rPr>
                <w:sz w:val="18"/>
              </w:rPr>
              <w:t>Maluku</w:t>
            </w:r>
            <w:r>
              <w:rPr>
                <w:spacing w:val="-1"/>
                <w:sz w:val="18"/>
              </w:rPr>
              <w:t xml:space="preserve"> </w:t>
            </w:r>
            <w:r>
              <w:rPr>
                <w:sz w:val="18"/>
              </w:rPr>
              <w:t>Satu</w:t>
            </w:r>
            <w:r>
              <w:rPr>
                <w:spacing w:val="-1"/>
                <w:sz w:val="18"/>
              </w:rPr>
              <w:t xml:space="preserve"> </w:t>
            </w:r>
            <w:r>
              <w:rPr>
                <w:sz w:val="18"/>
              </w:rPr>
              <w:t>Data</w:t>
            </w:r>
            <w:r>
              <w:rPr>
                <w:spacing w:val="-2"/>
                <w:sz w:val="18"/>
              </w:rPr>
              <w:t xml:space="preserve"> </w:t>
            </w:r>
            <w:r>
              <w:rPr>
                <w:sz w:val="18"/>
              </w:rPr>
              <w:t>Forum</w:t>
            </w:r>
            <w:r>
              <w:rPr>
                <w:spacing w:val="-2"/>
                <w:sz w:val="18"/>
              </w:rPr>
              <w:t xml:space="preserve"> </w:t>
            </w:r>
            <w:r>
              <w:rPr>
                <w:sz w:val="18"/>
              </w:rPr>
              <w:t>is</w:t>
            </w:r>
            <w:r>
              <w:rPr>
                <w:spacing w:val="-1"/>
                <w:sz w:val="18"/>
              </w:rPr>
              <w:t xml:space="preserve"> </w:t>
            </w:r>
            <w:r>
              <w:rPr>
                <w:sz w:val="18"/>
              </w:rPr>
              <w:t>now</w:t>
            </w:r>
            <w:r>
              <w:rPr>
                <w:spacing w:val="-2"/>
                <w:sz w:val="18"/>
              </w:rPr>
              <w:t xml:space="preserve"> </w:t>
            </w:r>
            <w:r>
              <w:rPr>
                <w:sz w:val="18"/>
              </w:rPr>
              <w:t>preparing</w:t>
            </w:r>
            <w:r>
              <w:rPr>
                <w:spacing w:val="-1"/>
                <w:sz w:val="18"/>
              </w:rPr>
              <w:t xml:space="preserve"> </w:t>
            </w:r>
            <w:r>
              <w:rPr>
                <w:sz w:val="18"/>
              </w:rPr>
              <w:t>to</w:t>
            </w:r>
            <w:r>
              <w:rPr>
                <w:spacing w:val="-1"/>
                <w:sz w:val="18"/>
              </w:rPr>
              <w:t xml:space="preserve"> </w:t>
            </w:r>
            <w:r>
              <w:rPr>
                <w:sz w:val="18"/>
              </w:rPr>
              <w:t>launch</w:t>
            </w:r>
            <w:r>
              <w:rPr>
                <w:spacing w:val="-3"/>
                <w:sz w:val="18"/>
              </w:rPr>
              <w:t xml:space="preserve"> </w:t>
            </w:r>
            <w:r>
              <w:rPr>
                <w:sz w:val="18"/>
              </w:rPr>
              <w:t>the</w:t>
            </w:r>
            <w:r>
              <w:rPr>
                <w:spacing w:val="-1"/>
                <w:sz w:val="18"/>
              </w:rPr>
              <w:t xml:space="preserve"> </w:t>
            </w:r>
            <w:r>
              <w:rPr>
                <w:sz w:val="18"/>
              </w:rPr>
              <w:t>2025</w:t>
            </w:r>
            <w:r>
              <w:rPr>
                <w:spacing w:val="-1"/>
                <w:sz w:val="18"/>
              </w:rPr>
              <w:t xml:space="preserve"> </w:t>
            </w:r>
            <w:r>
              <w:rPr>
                <w:sz w:val="18"/>
              </w:rPr>
              <w:t>data</w:t>
            </w:r>
            <w:r>
              <w:rPr>
                <w:spacing w:val="-2"/>
                <w:sz w:val="18"/>
              </w:rPr>
              <w:t xml:space="preserve"> </w:t>
            </w:r>
            <w:r>
              <w:rPr>
                <w:sz w:val="18"/>
              </w:rPr>
              <w:t>cycle</w:t>
            </w:r>
            <w:r>
              <w:rPr>
                <w:spacing w:val="-1"/>
                <w:sz w:val="18"/>
              </w:rPr>
              <w:t xml:space="preserve"> </w:t>
            </w:r>
            <w:r>
              <w:rPr>
                <w:sz w:val="18"/>
              </w:rPr>
              <w:t>with a more focused, collaborative, and SDI-based approach.</w:t>
            </w:r>
          </w:p>
        </w:tc>
      </w:tr>
      <w:tr w:rsidR="00BC24A8" w14:paraId="06CE4D78" w14:textId="77777777">
        <w:trPr>
          <w:trHeight w:val="6517"/>
        </w:trPr>
        <w:tc>
          <w:tcPr>
            <w:tcW w:w="9091" w:type="dxa"/>
          </w:tcPr>
          <w:p w14:paraId="2FC60525" w14:textId="77777777" w:rsidR="00BC24A8" w:rsidRDefault="00000000">
            <w:pPr>
              <w:pStyle w:val="TableParagraph"/>
              <w:spacing w:before="121"/>
              <w:ind w:left="11" w:right="33"/>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3</w:t>
            </w:r>
            <w:r>
              <w:rPr>
                <w:spacing w:val="-15"/>
                <w:sz w:val="20"/>
              </w:rPr>
              <w:t xml:space="preserve"> </w:t>
            </w:r>
            <w:r>
              <w:rPr>
                <w:spacing w:val="-10"/>
                <w:sz w:val="20"/>
              </w:rPr>
              <w:t>:</w:t>
            </w:r>
          </w:p>
          <w:p w14:paraId="5AC01A1B" w14:textId="77777777" w:rsidR="00BC24A8" w:rsidRDefault="00000000">
            <w:pPr>
              <w:pStyle w:val="TableParagraph"/>
              <w:spacing w:before="1"/>
              <w:ind w:left="38" w:right="27"/>
              <w:jc w:val="center"/>
              <w:rPr>
                <w:rFonts w:ascii="Calibri"/>
                <w:b/>
                <w:sz w:val="20"/>
              </w:rPr>
            </w:pPr>
            <w:r>
              <w:rPr>
                <w:rFonts w:ascii="Calibri"/>
                <w:b/>
                <w:i/>
                <w:color w:val="17365A"/>
                <w:sz w:val="20"/>
              </w:rPr>
              <w:t>Bacarita</w:t>
            </w:r>
            <w:r>
              <w:rPr>
                <w:rFonts w:ascii="Calibri"/>
                <w:b/>
                <w:i/>
                <w:color w:val="17365A"/>
                <w:spacing w:val="-9"/>
                <w:sz w:val="20"/>
              </w:rPr>
              <w:t xml:space="preserve"> </w:t>
            </w:r>
            <w:r>
              <w:rPr>
                <w:rFonts w:ascii="Calibri"/>
                <w:b/>
                <w:i/>
                <w:color w:val="17365A"/>
                <w:sz w:val="20"/>
              </w:rPr>
              <w:t>Manise</w:t>
            </w:r>
            <w:r>
              <w:rPr>
                <w:rFonts w:ascii="Calibri"/>
                <w:b/>
                <w:color w:val="17365A"/>
                <w:sz w:val="20"/>
              </w:rPr>
              <w:t>:</w:t>
            </w:r>
            <w:r>
              <w:rPr>
                <w:rFonts w:ascii="Calibri"/>
                <w:b/>
                <w:color w:val="17365A"/>
                <w:spacing w:val="-8"/>
                <w:sz w:val="20"/>
              </w:rPr>
              <w:t xml:space="preserve"> </w:t>
            </w:r>
            <w:r>
              <w:rPr>
                <w:rFonts w:ascii="Calibri"/>
                <w:b/>
                <w:color w:val="17365A"/>
                <w:sz w:val="20"/>
              </w:rPr>
              <w:t>A</w:t>
            </w:r>
            <w:r>
              <w:rPr>
                <w:rFonts w:ascii="Calibri"/>
                <w:b/>
                <w:color w:val="17365A"/>
                <w:spacing w:val="-9"/>
                <w:sz w:val="20"/>
              </w:rPr>
              <w:t xml:space="preserve"> </w:t>
            </w:r>
            <w:r>
              <w:rPr>
                <w:rFonts w:ascii="Calibri"/>
                <w:b/>
                <w:color w:val="17365A"/>
                <w:sz w:val="20"/>
              </w:rPr>
              <w:t>New</w:t>
            </w:r>
            <w:r>
              <w:rPr>
                <w:rFonts w:ascii="Calibri"/>
                <w:b/>
                <w:color w:val="17365A"/>
                <w:spacing w:val="-8"/>
                <w:sz w:val="20"/>
              </w:rPr>
              <w:t xml:space="preserve"> </w:t>
            </w:r>
            <w:r>
              <w:rPr>
                <w:rFonts w:ascii="Calibri"/>
                <w:b/>
                <w:color w:val="17365A"/>
                <w:sz w:val="20"/>
              </w:rPr>
              <w:t>Participatory</w:t>
            </w:r>
            <w:r>
              <w:rPr>
                <w:rFonts w:ascii="Calibri"/>
                <w:b/>
                <w:color w:val="17365A"/>
                <w:spacing w:val="-9"/>
                <w:sz w:val="20"/>
              </w:rPr>
              <w:t xml:space="preserve"> </w:t>
            </w:r>
            <w:r>
              <w:rPr>
                <w:rFonts w:ascii="Calibri"/>
                <w:b/>
                <w:color w:val="17365A"/>
                <w:sz w:val="20"/>
              </w:rPr>
              <w:t>Space</w:t>
            </w:r>
            <w:r>
              <w:rPr>
                <w:rFonts w:ascii="Calibri"/>
                <w:b/>
                <w:color w:val="17365A"/>
                <w:spacing w:val="-8"/>
                <w:sz w:val="20"/>
              </w:rPr>
              <w:t xml:space="preserve"> </w:t>
            </w:r>
            <w:r>
              <w:rPr>
                <w:rFonts w:ascii="Calibri"/>
                <w:b/>
                <w:color w:val="17365A"/>
                <w:sz w:val="20"/>
              </w:rPr>
              <w:t>for</w:t>
            </w:r>
            <w:r>
              <w:rPr>
                <w:rFonts w:ascii="Calibri"/>
                <w:b/>
                <w:color w:val="17365A"/>
                <w:spacing w:val="-7"/>
                <w:sz w:val="20"/>
              </w:rPr>
              <w:t xml:space="preserve"> </w:t>
            </w:r>
            <w:r>
              <w:rPr>
                <w:rFonts w:ascii="Calibri"/>
                <w:b/>
                <w:color w:val="17365A"/>
                <w:sz w:val="20"/>
              </w:rPr>
              <w:t>the</w:t>
            </w:r>
            <w:r>
              <w:rPr>
                <w:rFonts w:ascii="Calibri"/>
                <w:b/>
                <w:color w:val="17365A"/>
                <w:spacing w:val="-8"/>
                <w:sz w:val="20"/>
              </w:rPr>
              <w:t xml:space="preserve"> </w:t>
            </w:r>
            <w:r>
              <w:rPr>
                <w:rFonts w:ascii="Calibri"/>
                <w:b/>
                <w:color w:val="17365A"/>
                <w:sz w:val="20"/>
              </w:rPr>
              <w:t>Voice</w:t>
            </w:r>
            <w:r>
              <w:rPr>
                <w:rFonts w:ascii="Calibri"/>
                <w:b/>
                <w:color w:val="17365A"/>
                <w:spacing w:val="-8"/>
                <w:sz w:val="20"/>
              </w:rPr>
              <w:t xml:space="preserve"> </w:t>
            </w:r>
            <w:r>
              <w:rPr>
                <w:rFonts w:ascii="Calibri"/>
                <w:b/>
                <w:color w:val="17365A"/>
                <w:sz w:val="20"/>
              </w:rPr>
              <w:t>of</w:t>
            </w:r>
            <w:r>
              <w:rPr>
                <w:rFonts w:ascii="Calibri"/>
                <w:b/>
                <w:color w:val="17365A"/>
                <w:spacing w:val="-9"/>
                <w:sz w:val="20"/>
              </w:rPr>
              <w:t xml:space="preserve"> </w:t>
            </w:r>
            <w:r>
              <w:rPr>
                <w:rFonts w:ascii="Calibri"/>
                <w:b/>
                <w:color w:val="17365A"/>
                <w:sz w:val="20"/>
              </w:rPr>
              <w:t>Vulnerable</w:t>
            </w:r>
            <w:r>
              <w:rPr>
                <w:rFonts w:ascii="Calibri"/>
                <w:b/>
                <w:color w:val="17365A"/>
                <w:spacing w:val="-8"/>
                <w:sz w:val="20"/>
              </w:rPr>
              <w:t xml:space="preserve"> </w:t>
            </w:r>
            <w:r>
              <w:rPr>
                <w:rFonts w:ascii="Calibri"/>
                <w:b/>
                <w:color w:val="17365A"/>
                <w:sz w:val="20"/>
              </w:rPr>
              <w:t>Communities</w:t>
            </w:r>
            <w:r>
              <w:rPr>
                <w:rFonts w:ascii="Calibri"/>
                <w:b/>
                <w:color w:val="17365A"/>
                <w:spacing w:val="-8"/>
                <w:sz w:val="20"/>
              </w:rPr>
              <w:t xml:space="preserve"> </w:t>
            </w:r>
            <w:r>
              <w:rPr>
                <w:rFonts w:ascii="Calibri"/>
                <w:b/>
                <w:color w:val="17365A"/>
                <w:sz w:val="20"/>
              </w:rPr>
              <w:t>in</w:t>
            </w:r>
            <w:r>
              <w:rPr>
                <w:rFonts w:ascii="Calibri"/>
                <w:b/>
                <w:color w:val="17365A"/>
                <w:spacing w:val="-7"/>
                <w:sz w:val="20"/>
              </w:rPr>
              <w:t xml:space="preserve"> </w:t>
            </w:r>
            <w:r>
              <w:rPr>
                <w:rFonts w:ascii="Calibri"/>
                <w:b/>
                <w:color w:val="17365A"/>
                <w:spacing w:val="-2"/>
                <w:sz w:val="20"/>
              </w:rPr>
              <w:t>Maluku</w:t>
            </w:r>
          </w:p>
          <w:p w14:paraId="16B66A75" w14:textId="77777777" w:rsidR="00BC24A8" w:rsidRDefault="00000000">
            <w:pPr>
              <w:pStyle w:val="TableParagraph"/>
              <w:spacing w:before="243"/>
              <w:ind w:left="251" w:right="240"/>
              <w:jc w:val="both"/>
              <w:rPr>
                <w:sz w:val="18"/>
              </w:rPr>
            </w:pPr>
            <w:r>
              <w:rPr>
                <w:sz w:val="18"/>
              </w:rPr>
              <w:t>The presence of participatory spaces is vital for Civil Society Organisations (CSOs) in Maluku Province. To date, their involvement in forums such as the regular Musrenbang has remained largely symbolic.</w:t>
            </w:r>
          </w:p>
          <w:p w14:paraId="6F1ECC83" w14:textId="77777777" w:rsidR="00BC24A8" w:rsidRDefault="00000000">
            <w:pPr>
              <w:pStyle w:val="TableParagraph"/>
              <w:spacing w:before="160"/>
              <w:ind w:left="251" w:right="239"/>
              <w:jc w:val="both"/>
              <w:rPr>
                <w:sz w:val="18"/>
              </w:rPr>
            </w:pPr>
            <w:r>
              <w:rPr>
                <w:sz w:val="18"/>
              </w:rPr>
              <w:t>A</w:t>
            </w:r>
            <w:r>
              <w:rPr>
                <w:spacing w:val="-11"/>
                <w:sz w:val="18"/>
              </w:rPr>
              <w:t xml:space="preserve"> </w:t>
            </w:r>
            <w:r>
              <w:rPr>
                <w:sz w:val="18"/>
              </w:rPr>
              <w:t>shift</w:t>
            </w:r>
            <w:r>
              <w:rPr>
                <w:spacing w:val="-10"/>
                <w:sz w:val="18"/>
              </w:rPr>
              <w:t xml:space="preserve"> </w:t>
            </w:r>
            <w:r>
              <w:rPr>
                <w:sz w:val="18"/>
              </w:rPr>
              <w:t>toward</w:t>
            </w:r>
            <w:r>
              <w:rPr>
                <w:spacing w:val="-10"/>
                <w:sz w:val="18"/>
              </w:rPr>
              <w:t xml:space="preserve"> </w:t>
            </w:r>
            <w:r>
              <w:rPr>
                <w:sz w:val="18"/>
              </w:rPr>
              <w:t>more</w:t>
            </w:r>
            <w:r>
              <w:rPr>
                <w:spacing w:val="-8"/>
                <w:sz w:val="18"/>
              </w:rPr>
              <w:t xml:space="preserve"> </w:t>
            </w:r>
            <w:r>
              <w:rPr>
                <w:sz w:val="18"/>
              </w:rPr>
              <w:t>meaningful</w:t>
            </w:r>
            <w:r>
              <w:rPr>
                <w:spacing w:val="-9"/>
                <w:sz w:val="18"/>
              </w:rPr>
              <w:t xml:space="preserve"> </w:t>
            </w:r>
            <w:r>
              <w:rPr>
                <w:sz w:val="18"/>
              </w:rPr>
              <w:t>participation</w:t>
            </w:r>
            <w:r>
              <w:rPr>
                <w:spacing w:val="-10"/>
                <w:sz w:val="18"/>
              </w:rPr>
              <w:t xml:space="preserve"> </w:t>
            </w:r>
            <w:r>
              <w:rPr>
                <w:sz w:val="18"/>
              </w:rPr>
              <w:t>is</w:t>
            </w:r>
            <w:r>
              <w:rPr>
                <w:spacing w:val="-10"/>
                <w:sz w:val="18"/>
              </w:rPr>
              <w:t xml:space="preserve"> </w:t>
            </w:r>
            <w:r>
              <w:rPr>
                <w:sz w:val="18"/>
              </w:rPr>
              <w:t>set</w:t>
            </w:r>
            <w:r>
              <w:rPr>
                <w:spacing w:val="-9"/>
                <w:sz w:val="18"/>
              </w:rPr>
              <w:t xml:space="preserve"> </w:t>
            </w:r>
            <w:r>
              <w:rPr>
                <w:sz w:val="18"/>
              </w:rPr>
              <w:t>to</w:t>
            </w:r>
            <w:r>
              <w:rPr>
                <w:spacing w:val="-10"/>
                <w:sz w:val="18"/>
              </w:rPr>
              <w:t xml:space="preserve"> </w:t>
            </w:r>
            <w:r>
              <w:rPr>
                <w:sz w:val="18"/>
              </w:rPr>
              <w:t>begin</w:t>
            </w:r>
            <w:r>
              <w:rPr>
                <w:spacing w:val="-11"/>
                <w:sz w:val="18"/>
              </w:rPr>
              <w:t xml:space="preserve"> </w:t>
            </w:r>
            <w:r>
              <w:rPr>
                <w:sz w:val="18"/>
              </w:rPr>
              <w:t>in</w:t>
            </w:r>
            <w:r>
              <w:rPr>
                <w:spacing w:val="-9"/>
                <w:sz w:val="18"/>
              </w:rPr>
              <w:t xml:space="preserve"> </w:t>
            </w:r>
            <w:r>
              <w:rPr>
                <w:sz w:val="18"/>
              </w:rPr>
              <w:t>2025</w:t>
            </w:r>
            <w:r>
              <w:rPr>
                <w:spacing w:val="-10"/>
                <w:sz w:val="18"/>
              </w:rPr>
              <w:t xml:space="preserve"> </w:t>
            </w:r>
            <w:r>
              <w:rPr>
                <w:sz w:val="18"/>
              </w:rPr>
              <w:t>through</w:t>
            </w:r>
            <w:r>
              <w:rPr>
                <w:spacing w:val="-10"/>
                <w:sz w:val="18"/>
              </w:rPr>
              <w:t xml:space="preserve"> </w:t>
            </w:r>
            <w:r>
              <w:rPr>
                <w:sz w:val="18"/>
              </w:rPr>
              <w:t>the</w:t>
            </w:r>
            <w:r>
              <w:rPr>
                <w:spacing w:val="-10"/>
                <w:sz w:val="18"/>
              </w:rPr>
              <w:t xml:space="preserve"> </w:t>
            </w:r>
            <w:r>
              <w:rPr>
                <w:sz w:val="18"/>
              </w:rPr>
              <w:t>RPJMD</w:t>
            </w:r>
            <w:r>
              <w:rPr>
                <w:spacing w:val="-9"/>
                <w:sz w:val="18"/>
              </w:rPr>
              <w:t xml:space="preserve"> </w:t>
            </w:r>
            <w:r>
              <w:rPr>
                <w:sz w:val="18"/>
              </w:rPr>
              <w:t>Thematic</w:t>
            </w:r>
            <w:r>
              <w:rPr>
                <w:spacing w:val="-10"/>
                <w:sz w:val="18"/>
              </w:rPr>
              <w:t xml:space="preserve"> </w:t>
            </w:r>
            <w:r>
              <w:rPr>
                <w:sz w:val="18"/>
              </w:rPr>
              <w:t>Musrenbang</w:t>
            </w:r>
            <w:r>
              <w:rPr>
                <w:spacing w:val="-11"/>
                <w:sz w:val="18"/>
              </w:rPr>
              <w:t xml:space="preserve"> </w:t>
            </w:r>
            <w:r>
              <w:rPr>
                <w:sz w:val="18"/>
              </w:rPr>
              <w:t>initiative, known as Bacarita Manise. SKALA has taken the lead in initiating ideas, developing implementation guidelines, and gathering</w:t>
            </w:r>
            <w:r>
              <w:rPr>
                <w:spacing w:val="-4"/>
                <w:sz w:val="18"/>
              </w:rPr>
              <w:t xml:space="preserve"> </w:t>
            </w:r>
            <w:r>
              <w:rPr>
                <w:sz w:val="18"/>
              </w:rPr>
              <w:t>input</w:t>
            </w:r>
            <w:r>
              <w:rPr>
                <w:spacing w:val="-3"/>
                <w:sz w:val="18"/>
              </w:rPr>
              <w:t xml:space="preserve"> </w:t>
            </w:r>
            <w:r>
              <w:rPr>
                <w:sz w:val="18"/>
              </w:rPr>
              <w:t>for</w:t>
            </w:r>
            <w:r>
              <w:rPr>
                <w:spacing w:val="-6"/>
                <w:sz w:val="18"/>
              </w:rPr>
              <w:t xml:space="preserve"> </w:t>
            </w:r>
            <w:r>
              <w:rPr>
                <w:sz w:val="18"/>
              </w:rPr>
              <w:t>the</w:t>
            </w:r>
            <w:r>
              <w:rPr>
                <w:spacing w:val="-4"/>
                <w:sz w:val="18"/>
              </w:rPr>
              <w:t xml:space="preserve"> </w:t>
            </w:r>
            <w:r>
              <w:rPr>
                <w:sz w:val="18"/>
              </w:rPr>
              <w:t>Musrenbang</w:t>
            </w:r>
            <w:r>
              <w:rPr>
                <w:spacing w:val="-4"/>
                <w:sz w:val="18"/>
              </w:rPr>
              <w:t xml:space="preserve"> </w:t>
            </w:r>
            <w:r>
              <w:rPr>
                <w:sz w:val="18"/>
              </w:rPr>
              <w:t>model</w:t>
            </w:r>
            <w:r>
              <w:rPr>
                <w:spacing w:val="-3"/>
                <w:sz w:val="18"/>
              </w:rPr>
              <w:t xml:space="preserve"> </w:t>
            </w:r>
            <w:r>
              <w:rPr>
                <w:sz w:val="18"/>
              </w:rPr>
              <w:t>through</w:t>
            </w:r>
            <w:r>
              <w:rPr>
                <w:spacing w:val="-4"/>
                <w:sz w:val="18"/>
              </w:rPr>
              <w:t xml:space="preserve"> </w:t>
            </w:r>
            <w:r>
              <w:rPr>
                <w:sz w:val="18"/>
              </w:rPr>
              <w:t>informal</w:t>
            </w:r>
            <w:r>
              <w:rPr>
                <w:spacing w:val="-3"/>
                <w:sz w:val="18"/>
              </w:rPr>
              <w:t xml:space="preserve"> </w:t>
            </w:r>
            <w:r>
              <w:rPr>
                <w:sz w:val="18"/>
              </w:rPr>
              <w:t>discussions</w:t>
            </w:r>
            <w:r>
              <w:rPr>
                <w:spacing w:val="-4"/>
                <w:sz w:val="18"/>
              </w:rPr>
              <w:t xml:space="preserve"> </w:t>
            </w:r>
            <w:r>
              <w:rPr>
                <w:sz w:val="18"/>
              </w:rPr>
              <w:t>with</w:t>
            </w:r>
            <w:r>
              <w:rPr>
                <w:spacing w:val="-4"/>
                <w:sz w:val="18"/>
              </w:rPr>
              <w:t xml:space="preserve"> </w:t>
            </w:r>
            <w:r>
              <w:rPr>
                <w:sz w:val="18"/>
              </w:rPr>
              <w:t>CSOs</w:t>
            </w:r>
            <w:r>
              <w:rPr>
                <w:spacing w:val="-6"/>
                <w:sz w:val="18"/>
              </w:rPr>
              <w:t xml:space="preserve"> </w:t>
            </w:r>
            <w:r>
              <w:rPr>
                <w:sz w:val="18"/>
              </w:rPr>
              <w:t>and</w:t>
            </w:r>
            <w:r>
              <w:rPr>
                <w:spacing w:val="-4"/>
                <w:sz w:val="18"/>
              </w:rPr>
              <w:t xml:space="preserve"> </w:t>
            </w:r>
            <w:r>
              <w:rPr>
                <w:sz w:val="18"/>
              </w:rPr>
              <w:t>Disabled</w:t>
            </w:r>
            <w:r>
              <w:rPr>
                <w:spacing w:val="-4"/>
                <w:sz w:val="18"/>
              </w:rPr>
              <w:t xml:space="preserve"> </w:t>
            </w:r>
            <w:r>
              <w:rPr>
                <w:sz w:val="18"/>
              </w:rPr>
              <w:t>Persons</w:t>
            </w:r>
            <w:r>
              <w:rPr>
                <w:spacing w:val="-4"/>
                <w:sz w:val="18"/>
              </w:rPr>
              <w:t xml:space="preserve"> </w:t>
            </w:r>
            <w:r>
              <w:rPr>
                <w:sz w:val="18"/>
              </w:rPr>
              <w:t xml:space="preserve">Organisations </w:t>
            </w:r>
            <w:r>
              <w:rPr>
                <w:spacing w:val="-2"/>
                <w:sz w:val="18"/>
              </w:rPr>
              <w:t>(DPOs).</w:t>
            </w:r>
          </w:p>
          <w:p w14:paraId="0B98BEC5" w14:textId="77777777" w:rsidR="00BC24A8" w:rsidRDefault="00000000">
            <w:pPr>
              <w:pStyle w:val="TableParagraph"/>
              <w:spacing w:before="160"/>
              <w:ind w:left="251" w:right="237"/>
              <w:jc w:val="both"/>
              <w:rPr>
                <w:sz w:val="18"/>
              </w:rPr>
            </w:pPr>
            <w:r>
              <w:rPr>
                <w:sz w:val="18"/>
              </w:rPr>
              <w:t>In</w:t>
            </w:r>
            <w:r>
              <w:rPr>
                <w:spacing w:val="-1"/>
                <w:sz w:val="18"/>
              </w:rPr>
              <w:t xml:space="preserve"> </w:t>
            </w:r>
            <w:r>
              <w:rPr>
                <w:sz w:val="18"/>
              </w:rPr>
              <w:t>collaboration</w:t>
            </w:r>
            <w:r>
              <w:rPr>
                <w:spacing w:val="-1"/>
                <w:sz w:val="18"/>
              </w:rPr>
              <w:t xml:space="preserve"> </w:t>
            </w:r>
            <w:r>
              <w:rPr>
                <w:sz w:val="18"/>
              </w:rPr>
              <w:t>with</w:t>
            </w:r>
            <w:r>
              <w:rPr>
                <w:spacing w:val="-1"/>
                <w:sz w:val="18"/>
              </w:rPr>
              <w:t xml:space="preserve"> </w:t>
            </w:r>
            <w:r>
              <w:rPr>
                <w:sz w:val="18"/>
              </w:rPr>
              <w:t>another</w:t>
            </w:r>
            <w:r>
              <w:rPr>
                <w:spacing w:val="-3"/>
                <w:sz w:val="18"/>
              </w:rPr>
              <w:t xml:space="preserve"> </w:t>
            </w:r>
            <w:r>
              <w:rPr>
                <w:sz w:val="18"/>
              </w:rPr>
              <w:t>DFAT</w:t>
            </w:r>
            <w:r>
              <w:rPr>
                <w:spacing w:val="-2"/>
                <w:sz w:val="18"/>
              </w:rPr>
              <w:t xml:space="preserve"> </w:t>
            </w:r>
            <w:r>
              <w:rPr>
                <w:sz w:val="18"/>
              </w:rPr>
              <w:t>partner—program</w:t>
            </w:r>
            <w:r>
              <w:rPr>
                <w:spacing w:val="-2"/>
                <w:sz w:val="18"/>
              </w:rPr>
              <w:t xml:space="preserve"> </w:t>
            </w:r>
            <w:r>
              <w:rPr>
                <w:sz w:val="18"/>
              </w:rPr>
              <w:t>INKLUSI—SKALA</w:t>
            </w:r>
            <w:r>
              <w:rPr>
                <w:spacing w:val="-2"/>
                <w:sz w:val="18"/>
              </w:rPr>
              <w:t xml:space="preserve"> </w:t>
            </w:r>
            <w:r>
              <w:rPr>
                <w:sz w:val="18"/>
              </w:rPr>
              <w:t>organised</w:t>
            </w:r>
            <w:r>
              <w:rPr>
                <w:spacing w:val="-1"/>
                <w:sz w:val="18"/>
              </w:rPr>
              <w:t xml:space="preserve"> </w:t>
            </w:r>
            <w:r>
              <w:rPr>
                <w:sz w:val="18"/>
              </w:rPr>
              <w:t>the</w:t>
            </w:r>
            <w:r>
              <w:rPr>
                <w:spacing w:val="-1"/>
                <w:sz w:val="18"/>
              </w:rPr>
              <w:t xml:space="preserve"> </w:t>
            </w:r>
            <w:r>
              <w:rPr>
                <w:i/>
                <w:sz w:val="18"/>
              </w:rPr>
              <w:t>Bacarita</w:t>
            </w:r>
            <w:r>
              <w:rPr>
                <w:i/>
                <w:spacing w:val="-1"/>
                <w:sz w:val="18"/>
              </w:rPr>
              <w:t xml:space="preserve"> </w:t>
            </w:r>
            <w:r>
              <w:rPr>
                <w:i/>
                <w:sz w:val="18"/>
              </w:rPr>
              <w:t>Manise</w:t>
            </w:r>
            <w:r>
              <w:rPr>
                <w:i/>
                <w:spacing w:val="-2"/>
                <w:sz w:val="18"/>
              </w:rPr>
              <w:t xml:space="preserve"> </w:t>
            </w:r>
            <w:r>
              <w:rPr>
                <w:sz w:val="18"/>
              </w:rPr>
              <w:t>pre-Forum.</w:t>
            </w:r>
            <w:r>
              <w:rPr>
                <w:spacing w:val="-2"/>
                <w:sz w:val="18"/>
              </w:rPr>
              <w:t xml:space="preserve"> </w:t>
            </w:r>
            <w:r>
              <w:rPr>
                <w:sz w:val="18"/>
              </w:rPr>
              <w:t>As</w:t>
            </w:r>
            <w:r>
              <w:rPr>
                <w:spacing w:val="-1"/>
                <w:sz w:val="18"/>
              </w:rPr>
              <w:t xml:space="preserve"> </w:t>
            </w:r>
            <w:r>
              <w:rPr>
                <w:sz w:val="18"/>
              </w:rPr>
              <w:t xml:space="preserve">a result, 23 CSOs, including six organisations representing persons with disabilities, actively participated. The thematic </w:t>
            </w:r>
            <w:r>
              <w:rPr>
                <w:i/>
                <w:sz w:val="18"/>
              </w:rPr>
              <w:t xml:space="preserve">Musrenbang </w:t>
            </w:r>
            <w:r>
              <w:rPr>
                <w:sz w:val="18"/>
              </w:rPr>
              <w:t>also drew attendance from 27 representatives of Provincial Agencies (OPD). To foster two-way dialogue, SKALA recommends a structured discussion format organised around three thematic desks: Economics and Natural Resources, Infrastructure and Spatial Planning, and Governance and Human Empowerment.</w:t>
            </w:r>
          </w:p>
          <w:p w14:paraId="7DDB44BC" w14:textId="77777777" w:rsidR="00BC24A8" w:rsidRDefault="00000000">
            <w:pPr>
              <w:pStyle w:val="TableParagraph"/>
              <w:spacing w:before="159"/>
              <w:ind w:left="251" w:right="238"/>
              <w:jc w:val="both"/>
              <w:rPr>
                <w:sz w:val="18"/>
              </w:rPr>
            </w:pPr>
            <w:r>
              <w:rPr>
                <w:sz w:val="18"/>
              </w:rPr>
              <w:t>The opportunity and space to provide inputs is wide open, as JMS is directly involved in discussions with the relevant Provincial Agencies.</w:t>
            </w:r>
          </w:p>
          <w:p w14:paraId="5FE8D0D6" w14:textId="77777777" w:rsidR="00BC24A8" w:rsidRDefault="00BC24A8">
            <w:pPr>
              <w:pStyle w:val="TableParagraph"/>
              <w:spacing w:before="4"/>
              <w:rPr>
                <w:rFonts w:ascii="Calibri"/>
                <w:sz w:val="15"/>
              </w:rPr>
            </w:pPr>
          </w:p>
          <w:p w14:paraId="01A09B5B" w14:textId="77777777" w:rsidR="00BC24A8" w:rsidRDefault="00000000">
            <w:pPr>
              <w:pStyle w:val="TableParagraph"/>
              <w:ind w:left="373"/>
              <w:rPr>
                <w:rFonts w:ascii="Calibri"/>
                <w:sz w:val="20"/>
              </w:rPr>
            </w:pPr>
            <w:r>
              <w:rPr>
                <w:rFonts w:ascii="Calibri"/>
                <w:noProof/>
                <w:sz w:val="20"/>
              </w:rPr>
              <w:drawing>
                <wp:inline distT="0" distB="0" distL="0" distR="0" wp14:anchorId="781A3749" wp14:editId="372411BF">
                  <wp:extent cx="223409" cy="204787"/>
                  <wp:effectExtent l="0" t="0" r="0" b="0"/>
                  <wp:docPr id="161" name="Imag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23409" cy="204787"/>
                          </a:xfrm>
                          <a:prstGeom prst="rect">
                            <a:avLst/>
                          </a:prstGeom>
                        </pic:spPr>
                      </pic:pic>
                    </a:graphicData>
                  </a:graphic>
                </wp:inline>
              </w:drawing>
            </w:r>
          </w:p>
          <w:p w14:paraId="09749DF8" w14:textId="77777777" w:rsidR="00BC24A8" w:rsidRDefault="00000000">
            <w:pPr>
              <w:pStyle w:val="TableParagraph"/>
              <w:spacing w:before="18" w:line="290" w:lineRule="auto"/>
              <w:ind w:left="575" w:right="576"/>
              <w:jc w:val="both"/>
              <w:rPr>
                <w:rFonts w:ascii="Times New Roman"/>
                <w:b/>
                <w:i/>
                <w:sz w:val="18"/>
              </w:rPr>
            </w:pPr>
            <w:r>
              <w:rPr>
                <w:rFonts w:ascii="Times New Roman"/>
                <w:b/>
                <w:i/>
                <w:color w:val="17365A"/>
                <w:sz w:val="18"/>
              </w:rPr>
              <w:t>Active discussions as well as new information and perspectives from persons with disabilities and related institutions</w:t>
            </w:r>
            <w:r>
              <w:rPr>
                <w:rFonts w:ascii="Times New Roman"/>
                <w:b/>
                <w:i/>
                <w:color w:val="17365A"/>
                <w:spacing w:val="-4"/>
                <w:sz w:val="18"/>
              </w:rPr>
              <w:t xml:space="preserve"> </w:t>
            </w:r>
            <w:r>
              <w:rPr>
                <w:rFonts w:ascii="Times New Roman"/>
                <w:b/>
                <w:i/>
                <w:color w:val="17365A"/>
                <w:sz w:val="18"/>
              </w:rPr>
              <w:t>(CSOs)</w:t>
            </w:r>
            <w:r>
              <w:rPr>
                <w:rFonts w:ascii="Times New Roman"/>
                <w:b/>
                <w:i/>
                <w:color w:val="17365A"/>
                <w:spacing w:val="-5"/>
                <w:sz w:val="18"/>
              </w:rPr>
              <w:t xml:space="preserve"> </w:t>
            </w:r>
            <w:r>
              <w:rPr>
                <w:rFonts w:ascii="Times New Roman"/>
                <w:b/>
                <w:i/>
                <w:color w:val="17365A"/>
                <w:sz w:val="18"/>
              </w:rPr>
              <w:t>really</w:t>
            </w:r>
            <w:r>
              <w:rPr>
                <w:rFonts w:ascii="Times New Roman"/>
                <w:b/>
                <w:i/>
                <w:color w:val="17365A"/>
                <w:spacing w:val="-5"/>
                <w:sz w:val="18"/>
              </w:rPr>
              <w:t xml:space="preserve"> </w:t>
            </w:r>
            <w:r>
              <w:rPr>
                <w:rFonts w:ascii="Times New Roman"/>
                <w:b/>
                <w:i/>
                <w:color w:val="17365A"/>
                <w:sz w:val="18"/>
              </w:rPr>
              <w:t>help</w:t>
            </w:r>
            <w:r>
              <w:rPr>
                <w:rFonts w:ascii="Times New Roman"/>
                <w:b/>
                <w:i/>
                <w:color w:val="17365A"/>
                <w:spacing w:val="-6"/>
                <w:sz w:val="18"/>
              </w:rPr>
              <w:t xml:space="preserve"> </w:t>
            </w:r>
            <w:r>
              <w:rPr>
                <w:rFonts w:ascii="Times New Roman"/>
                <w:b/>
                <w:i/>
                <w:color w:val="17365A"/>
                <w:sz w:val="18"/>
              </w:rPr>
              <w:t>us</w:t>
            </w:r>
            <w:r>
              <w:rPr>
                <w:rFonts w:ascii="Times New Roman"/>
                <w:b/>
                <w:i/>
                <w:color w:val="17365A"/>
                <w:spacing w:val="-4"/>
                <w:sz w:val="18"/>
              </w:rPr>
              <w:t xml:space="preserve"> </w:t>
            </w:r>
            <w:r>
              <w:rPr>
                <w:rFonts w:ascii="Times New Roman"/>
                <w:b/>
                <w:i/>
                <w:color w:val="17365A"/>
                <w:sz w:val="18"/>
              </w:rPr>
              <w:t>to</w:t>
            </w:r>
            <w:r>
              <w:rPr>
                <w:rFonts w:ascii="Times New Roman"/>
                <w:b/>
                <w:i/>
                <w:color w:val="17365A"/>
                <w:spacing w:val="-5"/>
                <w:sz w:val="18"/>
              </w:rPr>
              <w:t xml:space="preserve"> </w:t>
            </w:r>
            <w:r>
              <w:rPr>
                <w:rFonts w:ascii="Times New Roman"/>
                <w:b/>
                <w:i/>
                <w:color w:val="17365A"/>
                <w:sz w:val="18"/>
              </w:rPr>
              <w:t>be</w:t>
            </w:r>
            <w:r>
              <w:rPr>
                <w:rFonts w:ascii="Times New Roman"/>
                <w:b/>
                <w:i/>
                <w:color w:val="17365A"/>
                <w:spacing w:val="-6"/>
                <w:sz w:val="18"/>
              </w:rPr>
              <w:t xml:space="preserve"> </w:t>
            </w:r>
            <w:r>
              <w:rPr>
                <w:rFonts w:ascii="Times New Roman"/>
                <w:b/>
                <w:i/>
                <w:color w:val="17365A"/>
                <w:sz w:val="18"/>
              </w:rPr>
              <w:t>better</w:t>
            </w:r>
            <w:r>
              <w:rPr>
                <w:rFonts w:ascii="Times New Roman"/>
                <w:b/>
                <w:i/>
                <w:color w:val="17365A"/>
                <w:spacing w:val="-6"/>
                <w:sz w:val="18"/>
              </w:rPr>
              <w:t xml:space="preserve"> </w:t>
            </w:r>
            <w:r>
              <w:rPr>
                <w:rFonts w:ascii="Times New Roman"/>
                <w:b/>
                <w:i/>
                <w:color w:val="17365A"/>
                <w:sz w:val="18"/>
              </w:rPr>
              <w:t>in</w:t>
            </w:r>
            <w:r>
              <w:rPr>
                <w:rFonts w:ascii="Times New Roman"/>
                <w:b/>
                <w:i/>
                <w:color w:val="17365A"/>
                <w:spacing w:val="-5"/>
                <w:sz w:val="18"/>
              </w:rPr>
              <w:t xml:space="preserve"> </w:t>
            </w:r>
            <w:r>
              <w:rPr>
                <w:rFonts w:ascii="Times New Roman"/>
                <w:b/>
                <w:i/>
                <w:color w:val="17365A"/>
                <w:sz w:val="18"/>
              </w:rPr>
              <w:t>future</w:t>
            </w:r>
            <w:r>
              <w:rPr>
                <w:rFonts w:ascii="Times New Roman"/>
                <w:b/>
                <w:i/>
                <w:color w:val="17365A"/>
                <w:spacing w:val="-6"/>
                <w:sz w:val="18"/>
              </w:rPr>
              <w:t xml:space="preserve"> </w:t>
            </w:r>
            <w:r>
              <w:rPr>
                <w:rFonts w:ascii="Times New Roman"/>
                <w:b/>
                <w:i/>
                <w:color w:val="17365A"/>
                <w:sz w:val="18"/>
              </w:rPr>
              <w:t>planning,</w:t>
            </w:r>
            <w:r>
              <w:rPr>
                <w:rFonts w:ascii="Times New Roman"/>
                <w:b/>
                <w:i/>
                <w:color w:val="17365A"/>
                <w:spacing w:val="-4"/>
                <w:sz w:val="18"/>
              </w:rPr>
              <w:t xml:space="preserve"> </w:t>
            </w:r>
            <w:r>
              <w:rPr>
                <w:rFonts w:ascii="Times New Roman"/>
                <w:b/>
                <w:i/>
                <w:color w:val="17365A"/>
                <w:sz w:val="18"/>
              </w:rPr>
              <w:t>for</w:t>
            </w:r>
            <w:r>
              <w:rPr>
                <w:rFonts w:ascii="Times New Roman"/>
                <w:b/>
                <w:i/>
                <w:color w:val="17365A"/>
                <w:spacing w:val="-6"/>
                <w:sz w:val="18"/>
              </w:rPr>
              <w:t xml:space="preserve"> </w:t>
            </w:r>
            <w:r>
              <w:rPr>
                <w:rFonts w:ascii="Times New Roman"/>
                <w:b/>
                <w:i/>
                <w:color w:val="17365A"/>
                <w:sz w:val="18"/>
              </w:rPr>
              <w:t>the</w:t>
            </w:r>
            <w:r>
              <w:rPr>
                <w:rFonts w:ascii="Times New Roman"/>
                <w:b/>
                <w:i/>
                <w:color w:val="17365A"/>
                <w:spacing w:val="-6"/>
                <w:sz w:val="18"/>
              </w:rPr>
              <w:t xml:space="preserve"> </w:t>
            </w:r>
            <w:r>
              <w:rPr>
                <w:rFonts w:ascii="Times New Roman"/>
                <w:b/>
                <w:i/>
                <w:color w:val="17365A"/>
                <w:sz w:val="18"/>
              </w:rPr>
              <w:t>fulflllment</w:t>
            </w:r>
            <w:r>
              <w:rPr>
                <w:rFonts w:ascii="Times New Roman"/>
                <w:b/>
                <w:i/>
                <w:color w:val="17365A"/>
                <w:spacing w:val="-5"/>
                <w:sz w:val="18"/>
              </w:rPr>
              <w:t xml:space="preserve"> </w:t>
            </w:r>
            <w:r>
              <w:rPr>
                <w:rFonts w:ascii="Times New Roman"/>
                <w:b/>
                <w:i/>
                <w:color w:val="17365A"/>
                <w:sz w:val="18"/>
              </w:rPr>
              <w:t>and</w:t>
            </w:r>
            <w:r>
              <w:rPr>
                <w:rFonts w:ascii="Times New Roman"/>
                <w:b/>
                <w:i/>
                <w:color w:val="17365A"/>
                <w:spacing w:val="-5"/>
                <w:sz w:val="18"/>
              </w:rPr>
              <w:t xml:space="preserve"> </w:t>
            </w:r>
            <w:r>
              <w:rPr>
                <w:rFonts w:ascii="Times New Roman"/>
                <w:b/>
                <w:i/>
                <w:color w:val="17365A"/>
                <w:sz w:val="18"/>
              </w:rPr>
              <w:t>improvement</w:t>
            </w:r>
            <w:r>
              <w:rPr>
                <w:rFonts w:ascii="Times New Roman"/>
                <w:b/>
                <w:i/>
                <w:color w:val="17365A"/>
                <w:spacing w:val="-5"/>
                <w:sz w:val="18"/>
              </w:rPr>
              <w:t xml:space="preserve"> </w:t>
            </w:r>
            <w:r>
              <w:rPr>
                <w:rFonts w:ascii="Times New Roman"/>
                <w:b/>
                <w:i/>
                <w:color w:val="17365A"/>
                <w:sz w:val="18"/>
              </w:rPr>
              <w:t>of</w:t>
            </w:r>
            <w:r>
              <w:rPr>
                <w:rFonts w:ascii="Times New Roman"/>
                <w:b/>
                <w:i/>
                <w:color w:val="17365A"/>
                <w:spacing w:val="-5"/>
                <w:sz w:val="18"/>
              </w:rPr>
              <w:t xml:space="preserve"> </w:t>
            </w:r>
            <w:r>
              <w:rPr>
                <w:rFonts w:ascii="Times New Roman"/>
                <w:b/>
                <w:i/>
                <w:color w:val="17365A"/>
                <w:sz w:val="18"/>
              </w:rPr>
              <w:t>the quality of both access and quality of education in Maluku Province.</w:t>
            </w:r>
          </w:p>
          <w:p w14:paraId="59DCF781" w14:textId="77777777" w:rsidR="00BC24A8" w:rsidRDefault="00000000">
            <w:pPr>
              <w:pStyle w:val="TableParagraph"/>
              <w:spacing w:line="204" w:lineRule="exact"/>
              <w:ind w:left="575"/>
              <w:jc w:val="both"/>
              <w:rPr>
                <w:i/>
                <w:sz w:val="18"/>
              </w:rPr>
            </w:pPr>
            <w:r>
              <w:rPr>
                <w:i/>
                <w:color w:val="17365A"/>
                <w:sz w:val="18"/>
              </w:rPr>
              <w:t>Provincial</w:t>
            </w:r>
            <w:r>
              <w:rPr>
                <w:i/>
                <w:color w:val="17365A"/>
                <w:spacing w:val="-4"/>
                <w:sz w:val="18"/>
              </w:rPr>
              <w:t xml:space="preserve"> </w:t>
            </w:r>
            <w:r>
              <w:rPr>
                <w:i/>
                <w:color w:val="17365A"/>
                <w:sz w:val="18"/>
              </w:rPr>
              <w:t>Agency</w:t>
            </w:r>
            <w:r>
              <w:rPr>
                <w:i/>
                <w:color w:val="17365A"/>
                <w:spacing w:val="-4"/>
                <w:sz w:val="18"/>
              </w:rPr>
              <w:t xml:space="preserve"> </w:t>
            </w:r>
            <w:r>
              <w:rPr>
                <w:i/>
                <w:color w:val="17365A"/>
                <w:sz w:val="18"/>
              </w:rPr>
              <w:t>of</w:t>
            </w:r>
            <w:r>
              <w:rPr>
                <w:i/>
                <w:color w:val="17365A"/>
                <w:spacing w:val="-6"/>
                <w:sz w:val="18"/>
              </w:rPr>
              <w:t xml:space="preserve"> </w:t>
            </w:r>
            <w:r>
              <w:rPr>
                <w:i/>
                <w:color w:val="17365A"/>
                <w:sz w:val="18"/>
              </w:rPr>
              <w:t>the</w:t>
            </w:r>
            <w:r>
              <w:rPr>
                <w:i/>
                <w:color w:val="17365A"/>
                <w:spacing w:val="-5"/>
                <w:sz w:val="18"/>
              </w:rPr>
              <w:t xml:space="preserve"> </w:t>
            </w:r>
            <w:r>
              <w:rPr>
                <w:i/>
                <w:color w:val="17365A"/>
                <w:sz w:val="18"/>
              </w:rPr>
              <w:t>Education</w:t>
            </w:r>
            <w:r>
              <w:rPr>
                <w:i/>
                <w:color w:val="17365A"/>
                <w:spacing w:val="-5"/>
                <w:sz w:val="18"/>
              </w:rPr>
              <w:t xml:space="preserve"> </w:t>
            </w:r>
            <w:r>
              <w:rPr>
                <w:i/>
                <w:color w:val="17365A"/>
                <w:sz w:val="18"/>
              </w:rPr>
              <w:t>Office,</w:t>
            </w:r>
            <w:r>
              <w:rPr>
                <w:i/>
                <w:color w:val="17365A"/>
                <w:spacing w:val="-5"/>
                <w:sz w:val="18"/>
              </w:rPr>
              <w:t xml:space="preserve"> </w:t>
            </w:r>
            <w:r>
              <w:rPr>
                <w:i/>
                <w:color w:val="17365A"/>
                <w:sz w:val="18"/>
              </w:rPr>
              <w:t>in</w:t>
            </w:r>
            <w:r>
              <w:rPr>
                <w:i/>
                <w:color w:val="17365A"/>
                <w:spacing w:val="-5"/>
                <w:sz w:val="18"/>
              </w:rPr>
              <w:t xml:space="preserve"> </w:t>
            </w:r>
            <w:r>
              <w:rPr>
                <w:i/>
                <w:color w:val="17365A"/>
                <w:sz w:val="18"/>
              </w:rPr>
              <w:t>a</w:t>
            </w:r>
            <w:r>
              <w:rPr>
                <w:i/>
                <w:color w:val="17365A"/>
                <w:spacing w:val="-5"/>
                <w:sz w:val="18"/>
              </w:rPr>
              <w:t xml:space="preserve"> </w:t>
            </w:r>
            <w:r>
              <w:rPr>
                <w:i/>
                <w:color w:val="17365A"/>
                <w:sz w:val="18"/>
              </w:rPr>
              <w:t>post-Bacarita</w:t>
            </w:r>
            <w:r>
              <w:rPr>
                <w:i/>
                <w:color w:val="17365A"/>
                <w:spacing w:val="-4"/>
                <w:sz w:val="18"/>
              </w:rPr>
              <w:t xml:space="preserve"> </w:t>
            </w:r>
            <w:r>
              <w:rPr>
                <w:i/>
                <w:color w:val="17365A"/>
                <w:sz w:val="18"/>
              </w:rPr>
              <w:t>Manise</w:t>
            </w:r>
            <w:r>
              <w:rPr>
                <w:i/>
                <w:color w:val="17365A"/>
                <w:spacing w:val="-6"/>
                <w:sz w:val="18"/>
              </w:rPr>
              <w:t xml:space="preserve"> </w:t>
            </w:r>
            <w:r>
              <w:rPr>
                <w:i/>
                <w:color w:val="17365A"/>
                <w:sz w:val="18"/>
              </w:rPr>
              <w:t>feedback</w:t>
            </w:r>
            <w:r>
              <w:rPr>
                <w:i/>
                <w:color w:val="17365A"/>
                <w:spacing w:val="-5"/>
                <w:sz w:val="18"/>
              </w:rPr>
              <w:t xml:space="preserve"> </w:t>
            </w:r>
            <w:r>
              <w:rPr>
                <w:i/>
                <w:color w:val="17365A"/>
                <w:spacing w:val="-2"/>
                <w:sz w:val="18"/>
              </w:rPr>
              <w:t>survey</w:t>
            </w:r>
          </w:p>
          <w:p w14:paraId="0D0FEEFD" w14:textId="77777777" w:rsidR="00BC24A8" w:rsidRDefault="00BC24A8">
            <w:pPr>
              <w:pStyle w:val="TableParagraph"/>
              <w:spacing w:before="11"/>
              <w:rPr>
                <w:rFonts w:ascii="Calibri"/>
                <w:sz w:val="12"/>
              </w:rPr>
            </w:pPr>
          </w:p>
          <w:p w14:paraId="375016E9" w14:textId="77777777" w:rsidR="00BC24A8" w:rsidRDefault="00000000">
            <w:pPr>
              <w:pStyle w:val="TableParagraph"/>
              <w:ind w:left="8336"/>
              <w:rPr>
                <w:rFonts w:ascii="Calibri"/>
                <w:sz w:val="20"/>
              </w:rPr>
            </w:pPr>
            <w:r>
              <w:rPr>
                <w:rFonts w:ascii="Calibri"/>
                <w:noProof/>
                <w:sz w:val="20"/>
              </w:rPr>
              <w:drawing>
                <wp:inline distT="0" distB="0" distL="0" distR="0" wp14:anchorId="2D5DCFFA" wp14:editId="7DC9A03A">
                  <wp:extent cx="223409" cy="204787"/>
                  <wp:effectExtent l="0" t="0" r="0" b="0"/>
                  <wp:docPr id="162" name="Imag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23409" cy="204787"/>
                          </a:xfrm>
                          <a:prstGeom prst="rect">
                            <a:avLst/>
                          </a:prstGeom>
                        </pic:spPr>
                      </pic:pic>
                    </a:graphicData>
                  </a:graphic>
                </wp:inline>
              </w:drawing>
            </w:r>
          </w:p>
          <w:p w14:paraId="168BA890" w14:textId="77777777" w:rsidR="00BC24A8" w:rsidRDefault="00BC24A8">
            <w:pPr>
              <w:pStyle w:val="TableParagraph"/>
              <w:spacing w:before="119"/>
              <w:rPr>
                <w:rFonts w:ascii="Calibri"/>
                <w:sz w:val="20"/>
              </w:rPr>
            </w:pPr>
          </w:p>
        </w:tc>
      </w:tr>
    </w:tbl>
    <w:p w14:paraId="337EAE11" w14:textId="77777777" w:rsidR="00BC24A8" w:rsidRDefault="00BC24A8">
      <w:pPr>
        <w:pStyle w:val="BodyText"/>
        <w:spacing w:before="224"/>
        <w:rPr>
          <w:rFonts w:ascii="Calibri"/>
        </w:rPr>
      </w:pPr>
    </w:p>
    <w:p w14:paraId="1DE881DE" w14:textId="77777777" w:rsidR="00BC24A8" w:rsidRDefault="00000000">
      <w:pPr>
        <w:ind w:left="143"/>
        <w:rPr>
          <w:rFonts w:ascii="Calibri"/>
          <w:b/>
        </w:rPr>
      </w:pPr>
      <w:r>
        <w:rPr>
          <w:rFonts w:ascii="Calibri"/>
          <w:b/>
          <w:color w:val="272727"/>
        </w:rPr>
        <w:t>Challenges</w:t>
      </w:r>
      <w:r>
        <w:rPr>
          <w:rFonts w:ascii="Calibri"/>
          <w:b/>
          <w:color w:val="272727"/>
          <w:spacing w:val="-7"/>
        </w:rPr>
        <w:t xml:space="preserve"> </w:t>
      </w:r>
      <w:r>
        <w:rPr>
          <w:rFonts w:ascii="Calibri"/>
          <w:b/>
          <w:color w:val="272727"/>
        </w:rPr>
        <w:t>and</w:t>
      </w:r>
      <w:r>
        <w:rPr>
          <w:rFonts w:ascii="Calibri"/>
          <w:b/>
          <w:color w:val="272727"/>
          <w:spacing w:val="-5"/>
        </w:rPr>
        <w:t xml:space="preserve"> </w:t>
      </w:r>
      <w:r>
        <w:rPr>
          <w:rFonts w:ascii="Calibri"/>
          <w:b/>
          <w:color w:val="272727"/>
        </w:rPr>
        <w:t>Lessons</w:t>
      </w:r>
      <w:r>
        <w:rPr>
          <w:rFonts w:ascii="Calibri"/>
          <w:b/>
          <w:color w:val="272727"/>
          <w:spacing w:val="-6"/>
        </w:rPr>
        <w:t xml:space="preserve"> </w:t>
      </w:r>
      <w:r>
        <w:rPr>
          <w:rFonts w:ascii="Calibri"/>
          <w:b/>
          <w:color w:val="272727"/>
          <w:spacing w:val="-2"/>
        </w:rPr>
        <w:t>Learned</w:t>
      </w:r>
    </w:p>
    <w:p w14:paraId="7BCAE442" w14:textId="77777777" w:rsidR="00BC24A8" w:rsidRDefault="00000000">
      <w:pPr>
        <w:spacing w:before="19"/>
        <w:ind w:left="143"/>
        <w:rPr>
          <w:rFonts w:ascii="Calibri"/>
          <w:b/>
        </w:rPr>
      </w:pPr>
      <w:r>
        <w:rPr>
          <w:rFonts w:ascii="Calibri"/>
          <w:b/>
          <w:color w:val="17365A"/>
        </w:rPr>
        <w:t>Program</w:t>
      </w:r>
      <w:r>
        <w:rPr>
          <w:rFonts w:ascii="Calibri"/>
          <w:b/>
          <w:color w:val="17365A"/>
          <w:spacing w:val="-9"/>
        </w:rPr>
        <w:t xml:space="preserve"> </w:t>
      </w:r>
      <w:r>
        <w:rPr>
          <w:rFonts w:ascii="Calibri"/>
          <w:b/>
          <w:color w:val="17365A"/>
        </w:rPr>
        <w:t>implementation</w:t>
      </w:r>
      <w:r>
        <w:rPr>
          <w:rFonts w:ascii="Calibri"/>
          <w:b/>
          <w:color w:val="17365A"/>
          <w:spacing w:val="-11"/>
        </w:rPr>
        <w:t xml:space="preserve"> </w:t>
      </w:r>
      <w:r>
        <w:rPr>
          <w:rFonts w:ascii="Calibri"/>
          <w:b/>
          <w:color w:val="17365A"/>
        </w:rPr>
        <w:t>challenges,</w:t>
      </w:r>
      <w:r>
        <w:rPr>
          <w:rFonts w:ascii="Calibri"/>
          <w:b/>
          <w:color w:val="17365A"/>
          <w:spacing w:val="-11"/>
        </w:rPr>
        <w:t xml:space="preserve"> </w:t>
      </w:r>
      <w:r>
        <w:rPr>
          <w:rFonts w:ascii="Calibri"/>
          <w:b/>
          <w:color w:val="17365A"/>
        </w:rPr>
        <w:t>impacts,</w:t>
      </w:r>
      <w:r>
        <w:rPr>
          <w:rFonts w:ascii="Calibri"/>
          <w:b/>
          <w:color w:val="17365A"/>
          <w:spacing w:val="-9"/>
        </w:rPr>
        <w:t xml:space="preserve"> </w:t>
      </w:r>
      <w:r>
        <w:rPr>
          <w:rFonts w:ascii="Calibri"/>
          <w:b/>
          <w:color w:val="17365A"/>
        </w:rPr>
        <w:t>and</w:t>
      </w:r>
      <w:r>
        <w:rPr>
          <w:rFonts w:ascii="Calibri"/>
          <w:b/>
          <w:color w:val="17365A"/>
          <w:spacing w:val="-11"/>
        </w:rPr>
        <w:t xml:space="preserve"> </w:t>
      </w:r>
      <w:r>
        <w:rPr>
          <w:rFonts w:ascii="Calibri"/>
          <w:b/>
          <w:color w:val="17365A"/>
          <w:spacing w:val="-2"/>
        </w:rPr>
        <w:t>solutions</w:t>
      </w:r>
    </w:p>
    <w:p w14:paraId="31A3A42D" w14:textId="77777777" w:rsidR="00BC24A8" w:rsidRDefault="00BC24A8">
      <w:pPr>
        <w:pStyle w:val="BodyText"/>
        <w:rPr>
          <w:rFonts w:ascii="Calibri"/>
          <w:b/>
        </w:rPr>
      </w:pPr>
    </w:p>
    <w:p w14:paraId="6DDE10E9" w14:textId="77777777" w:rsidR="00BC24A8" w:rsidRDefault="00000000">
      <w:pPr>
        <w:ind w:left="143"/>
        <w:rPr>
          <w:rFonts w:ascii="Calibri"/>
          <w:b/>
        </w:rPr>
      </w:pPr>
      <w:r>
        <w:rPr>
          <w:rFonts w:ascii="Calibri"/>
          <w:b/>
          <w:spacing w:val="-2"/>
        </w:rPr>
        <w:t>Technical</w:t>
      </w:r>
      <w:r>
        <w:rPr>
          <w:rFonts w:ascii="Calibri"/>
          <w:b/>
          <w:spacing w:val="-8"/>
        </w:rPr>
        <w:t xml:space="preserve"> </w:t>
      </w:r>
      <w:r>
        <w:rPr>
          <w:rFonts w:ascii="Calibri"/>
          <w:b/>
          <w:spacing w:val="-2"/>
        </w:rPr>
        <w:t>Challenges</w:t>
      </w:r>
    </w:p>
    <w:p w14:paraId="7B3BAE2E" w14:textId="77777777" w:rsidR="00BC24A8" w:rsidRDefault="00000000">
      <w:pPr>
        <w:pStyle w:val="ListParagraph"/>
        <w:numPr>
          <w:ilvl w:val="0"/>
          <w:numId w:val="86"/>
        </w:numPr>
        <w:tabs>
          <w:tab w:val="left" w:pos="861"/>
          <w:tab w:val="left" w:pos="863"/>
        </w:tabs>
        <w:spacing w:before="162" w:line="259" w:lineRule="auto"/>
        <w:ind w:right="563"/>
        <w:jc w:val="both"/>
      </w:pPr>
      <w:r>
        <w:rPr>
          <w:spacing w:val="-2"/>
        </w:rPr>
        <w:t xml:space="preserve">Limitations of human resources for the implementation of sectoral statistics; Functional position </w:t>
      </w:r>
      <w:r>
        <w:t>(</w:t>
      </w:r>
      <w:r>
        <w:rPr>
          <w:i/>
        </w:rPr>
        <w:t>Jabfung</w:t>
      </w:r>
      <w:r>
        <w:t>)</w:t>
      </w:r>
      <w:r>
        <w:rPr>
          <w:spacing w:val="-1"/>
        </w:rPr>
        <w:t xml:space="preserve"> </w:t>
      </w:r>
      <w:r>
        <w:t>is not</w:t>
      </w:r>
      <w:r>
        <w:rPr>
          <w:spacing w:val="-1"/>
        </w:rPr>
        <w:t xml:space="preserve"> </w:t>
      </w:r>
      <w:r>
        <w:t>available</w:t>
      </w:r>
      <w:r>
        <w:rPr>
          <w:spacing w:val="-1"/>
        </w:rPr>
        <w:t xml:space="preserve"> </w:t>
      </w:r>
      <w:r>
        <w:t>for Statistician and ICT</w:t>
      </w:r>
      <w:r>
        <w:rPr>
          <w:spacing w:val="-1"/>
        </w:rPr>
        <w:t xml:space="preserve"> </w:t>
      </w:r>
      <w:r>
        <w:t>Officer</w:t>
      </w:r>
      <w:r>
        <w:rPr>
          <w:spacing w:val="-2"/>
        </w:rPr>
        <w:t xml:space="preserve"> </w:t>
      </w:r>
      <w:r>
        <w:t>for all</w:t>
      </w:r>
      <w:r>
        <w:rPr>
          <w:spacing w:val="-1"/>
        </w:rPr>
        <w:t xml:space="preserve"> </w:t>
      </w:r>
      <w:r>
        <w:t>data</w:t>
      </w:r>
      <w:r>
        <w:rPr>
          <w:spacing w:val="-1"/>
        </w:rPr>
        <w:t xml:space="preserve"> </w:t>
      </w:r>
      <w:r>
        <w:t>producers. The</w:t>
      </w:r>
      <w:r>
        <w:rPr>
          <w:spacing w:val="-1"/>
        </w:rPr>
        <w:t xml:space="preserve"> </w:t>
      </w:r>
      <w:r>
        <w:t>role</w:t>
      </w:r>
      <w:r>
        <w:rPr>
          <w:spacing w:val="-1"/>
        </w:rPr>
        <w:t xml:space="preserve"> </w:t>
      </w:r>
      <w:r>
        <w:t>of</w:t>
      </w:r>
      <w:r>
        <w:rPr>
          <w:spacing w:val="-1"/>
        </w:rPr>
        <w:t xml:space="preserve"> </w:t>
      </w:r>
      <w:r>
        <w:t>data staff</w:t>
      </w:r>
      <w:r>
        <w:rPr>
          <w:spacing w:val="-5"/>
        </w:rPr>
        <w:t xml:space="preserve"> </w:t>
      </w:r>
      <w:r>
        <w:t>in</w:t>
      </w:r>
      <w:r>
        <w:rPr>
          <w:spacing w:val="-8"/>
        </w:rPr>
        <w:t xml:space="preserve"> </w:t>
      </w:r>
      <w:r>
        <w:t>data</w:t>
      </w:r>
      <w:r>
        <w:rPr>
          <w:spacing w:val="-9"/>
        </w:rPr>
        <w:t xml:space="preserve"> </w:t>
      </w:r>
      <w:r>
        <w:t>producers</w:t>
      </w:r>
      <w:r>
        <w:rPr>
          <w:spacing w:val="-7"/>
        </w:rPr>
        <w:t xml:space="preserve"> </w:t>
      </w:r>
      <w:r>
        <w:t>is</w:t>
      </w:r>
      <w:r>
        <w:rPr>
          <w:spacing w:val="-7"/>
        </w:rPr>
        <w:t xml:space="preserve"> </w:t>
      </w:r>
      <w:r>
        <w:t>carried</w:t>
      </w:r>
      <w:r>
        <w:rPr>
          <w:spacing w:val="-8"/>
        </w:rPr>
        <w:t xml:space="preserve"> </w:t>
      </w:r>
      <w:r>
        <w:t>out</w:t>
      </w:r>
      <w:r>
        <w:rPr>
          <w:spacing w:val="-6"/>
        </w:rPr>
        <w:t xml:space="preserve"> </w:t>
      </w:r>
      <w:r>
        <w:t>by</w:t>
      </w:r>
      <w:r>
        <w:rPr>
          <w:spacing w:val="-7"/>
        </w:rPr>
        <w:t xml:space="preserve"> </w:t>
      </w:r>
      <w:r>
        <w:t>planning</w:t>
      </w:r>
      <w:r>
        <w:rPr>
          <w:spacing w:val="-9"/>
        </w:rPr>
        <w:t xml:space="preserve"> </w:t>
      </w:r>
      <w:r>
        <w:t>staff</w:t>
      </w:r>
      <w:r>
        <w:rPr>
          <w:spacing w:val="-8"/>
        </w:rPr>
        <w:t xml:space="preserve"> </w:t>
      </w:r>
      <w:r>
        <w:t>who</w:t>
      </w:r>
      <w:r>
        <w:rPr>
          <w:spacing w:val="-8"/>
        </w:rPr>
        <w:t xml:space="preserve"> </w:t>
      </w:r>
      <w:r>
        <w:t>do</w:t>
      </w:r>
      <w:r>
        <w:rPr>
          <w:spacing w:val="-8"/>
        </w:rPr>
        <w:t xml:space="preserve"> </w:t>
      </w:r>
      <w:r>
        <w:t>not</w:t>
      </w:r>
      <w:r>
        <w:rPr>
          <w:spacing w:val="-9"/>
        </w:rPr>
        <w:t xml:space="preserve"> </w:t>
      </w:r>
      <w:r>
        <w:t>have</w:t>
      </w:r>
      <w:r>
        <w:rPr>
          <w:spacing w:val="-7"/>
        </w:rPr>
        <w:t xml:space="preserve"> </w:t>
      </w:r>
      <w:r>
        <w:t>a</w:t>
      </w:r>
      <w:r>
        <w:rPr>
          <w:spacing w:val="-9"/>
        </w:rPr>
        <w:t xml:space="preserve"> </w:t>
      </w:r>
      <w:r>
        <w:t>statistical</w:t>
      </w:r>
      <w:r>
        <w:rPr>
          <w:spacing w:val="-7"/>
        </w:rPr>
        <w:t xml:space="preserve"> </w:t>
      </w:r>
      <w:r>
        <w:t>background. This makes the process of compiling data and metadata standards difficult.</w:t>
      </w:r>
    </w:p>
    <w:p w14:paraId="3B961E83" w14:textId="77777777" w:rsidR="00BC24A8" w:rsidRDefault="00000000">
      <w:pPr>
        <w:pStyle w:val="ListParagraph"/>
        <w:numPr>
          <w:ilvl w:val="0"/>
          <w:numId w:val="86"/>
        </w:numPr>
        <w:tabs>
          <w:tab w:val="left" w:pos="861"/>
          <w:tab w:val="left" w:pos="863"/>
        </w:tabs>
        <w:spacing w:line="259" w:lineRule="auto"/>
        <w:ind w:right="562"/>
        <w:jc w:val="both"/>
      </w:pPr>
      <w:r>
        <w:t>Limited</w:t>
      </w:r>
      <w:r>
        <w:rPr>
          <w:spacing w:val="-8"/>
        </w:rPr>
        <w:t xml:space="preserve"> </w:t>
      </w:r>
      <w:r>
        <w:t>technical</w:t>
      </w:r>
      <w:r>
        <w:rPr>
          <w:spacing w:val="-9"/>
        </w:rPr>
        <w:t xml:space="preserve"> </w:t>
      </w:r>
      <w:r>
        <w:t>capacity</w:t>
      </w:r>
      <w:r>
        <w:rPr>
          <w:spacing w:val="-7"/>
        </w:rPr>
        <w:t xml:space="preserve"> </w:t>
      </w:r>
      <w:r>
        <w:t>of</w:t>
      </w:r>
      <w:r>
        <w:rPr>
          <w:spacing w:val="-9"/>
        </w:rPr>
        <w:t xml:space="preserve"> </w:t>
      </w:r>
      <w:r>
        <w:t>human</w:t>
      </w:r>
      <w:r>
        <w:rPr>
          <w:spacing w:val="-8"/>
        </w:rPr>
        <w:t xml:space="preserve"> </w:t>
      </w:r>
      <w:r>
        <w:t>resources:</w:t>
      </w:r>
      <w:r>
        <w:rPr>
          <w:spacing w:val="-10"/>
        </w:rPr>
        <w:t xml:space="preserve"> </w:t>
      </w:r>
      <w:r>
        <w:t>planners,</w:t>
      </w:r>
      <w:r>
        <w:rPr>
          <w:spacing w:val="-7"/>
        </w:rPr>
        <w:t xml:space="preserve"> </w:t>
      </w:r>
      <w:r>
        <w:t>data</w:t>
      </w:r>
      <w:r>
        <w:rPr>
          <w:spacing w:val="-10"/>
        </w:rPr>
        <w:t xml:space="preserve"> </w:t>
      </w:r>
      <w:r>
        <w:t>managers,</w:t>
      </w:r>
      <w:r>
        <w:rPr>
          <w:spacing w:val="-7"/>
        </w:rPr>
        <w:t xml:space="preserve"> </w:t>
      </w:r>
      <w:r>
        <w:t>and</w:t>
      </w:r>
      <w:r>
        <w:rPr>
          <w:spacing w:val="-8"/>
        </w:rPr>
        <w:t xml:space="preserve"> </w:t>
      </w:r>
      <w:r>
        <w:t>budgeting</w:t>
      </w:r>
      <w:r>
        <w:rPr>
          <w:spacing w:val="-9"/>
        </w:rPr>
        <w:t xml:space="preserve"> </w:t>
      </w:r>
      <w:r>
        <w:t>staff</w:t>
      </w:r>
      <w:r>
        <w:rPr>
          <w:spacing w:val="-8"/>
        </w:rPr>
        <w:t xml:space="preserve"> </w:t>
      </w:r>
      <w:r>
        <w:t>in some</w:t>
      </w:r>
      <w:r>
        <w:rPr>
          <w:spacing w:val="-12"/>
        </w:rPr>
        <w:t xml:space="preserve"> </w:t>
      </w:r>
      <w:r>
        <w:t>Provincial</w:t>
      </w:r>
      <w:r>
        <w:rPr>
          <w:spacing w:val="-9"/>
        </w:rPr>
        <w:t xml:space="preserve"> </w:t>
      </w:r>
      <w:r>
        <w:t>Agencies</w:t>
      </w:r>
      <w:r>
        <w:rPr>
          <w:spacing w:val="-8"/>
        </w:rPr>
        <w:t xml:space="preserve"> </w:t>
      </w:r>
      <w:r>
        <w:t>lack</w:t>
      </w:r>
      <w:r>
        <w:rPr>
          <w:spacing w:val="-10"/>
        </w:rPr>
        <w:t xml:space="preserve"> </w:t>
      </w:r>
      <w:r>
        <w:t>sufficient</w:t>
      </w:r>
      <w:r>
        <w:rPr>
          <w:spacing w:val="-9"/>
        </w:rPr>
        <w:t xml:space="preserve"> </w:t>
      </w:r>
      <w:r>
        <w:t>analytical</w:t>
      </w:r>
      <w:r>
        <w:rPr>
          <w:spacing w:val="-9"/>
        </w:rPr>
        <w:t xml:space="preserve"> </w:t>
      </w:r>
      <w:r>
        <w:t>capacity</w:t>
      </w:r>
      <w:r>
        <w:rPr>
          <w:spacing w:val="-8"/>
        </w:rPr>
        <w:t xml:space="preserve"> </w:t>
      </w:r>
      <w:r>
        <w:t>and</w:t>
      </w:r>
      <w:r>
        <w:rPr>
          <w:spacing w:val="-10"/>
        </w:rPr>
        <w:t xml:space="preserve"> </w:t>
      </w:r>
      <w:r>
        <w:t>data</w:t>
      </w:r>
      <w:r>
        <w:rPr>
          <w:spacing w:val="-9"/>
        </w:rPr>
        <w:t xml:space="preserve"> </w:t>
      </w:r>
      <w:r>
        <w:t>literacy</w:t>
      </w:r>
      <w:r>
        <w:rPr>
          <w:spacing w:val="-8"/>
        </w:rPr>
        <w:t xml:space="preserve"> </w:t>
      </w:r>
      <w:r>
        <w:t>to</w:t>
      </w:r>
      <w:r>
        <w:rPr>
          <w:spacing w:val="-11"/>
        </w:rPr>
        <w:t xml:space="preserve"> </w:t>
      </w:r>
      <w:r>
        <w:t>implement</w:t>
      </w:r>
      <w:r>
        <w:rPr>
          <w:spacing w:val="-9"/>
        </w:rPr>
        <w:t xml:space="preserve"> </w:t>
      </w:r>
      <w:r>
        <w:t>data- driven approaches.</w:t>
      </w:r>
    </w:p>
    <w:p w14:paraId="091D4E8D" w14:textId="77777777" w:rsidR="00BC24A8" w:rsidRDefault="00BC24A8">
      <w:pPr>
        <w:pStyle w:val="ListParagraph"/>
        <w:spacing w:line="259" w:lineRule="auto"/>
        <w:sectPr w:rsidR="00BC24A8">
          <w:type w:val="continuous"/>
          <w:pgSz w:w="11910" w:h="16840"/>
          <w:pgMar w:top="1380" w:right="850" w:bottom="1100" w:left="1275" w:header="0" w:footer="907" w:gutter="0"/>
          <w:cols w:space="720"/>
        </w:sectPr>
      </w:pPr>
    </w:p>
    <w:p w14:paraId="445B2B39" w14:textId="77777777" w:rsidR="00BC24A8" w:rsidRDefault="00000000">
      <w:pPr>
        <w:pStyle w:val="ListParagraph"/>
        <w:numPr>
          <w:ilvl w:val="0"/>
          <w:numId w:val="86"/>
        </w:numPr>
        <w:tabs>
          <w:tab w:val="left" w:pos="861"/>
          <w:tab w:val="left" w:pos="863"/>
        </w:tabs>
        <w:spacing w:before="39" w:line="259" w:lineRule="auto"/>
        <w:ind w:right="565"/>
        <w:jc w:val="both"/>
      </w:pPr>
      <w:r>
        <w:lastRenderedPageBreak/>
        <w:t>Presidential Instruction 1/2025 implies budget rationalisation for the key partner Provincial Agencies despite their heavy reliance on the Fiscal Transfer (TKD).</w:t>
      </w:r>
    </w:p>
    <w:p w14:paraId="789605CA" w14:textId="77777777" w:rsidR="00BC24A8" w:rsidRDefault="00000000">
      <w:pPr>
        <w:pStyle w:val="ListParagraph"/>
        <w:numPr>
          <w:ilvl w:val="0"/>
          <w:numId w:val="86"/>
        </w:numPr>
        <w:tabs>
          <w:tab w:val="left" w:pos="863"/>
          <w:tab w:val="left" w:pos="911"/>
        </w:tabs>
        <w:spacing w:line="259" w:lineRule="auto"/>
        <w:ind w:right="562"/>
        <w:jc w:val="both"/>
      </w:pPr>
      <w:r>
        <w:t>The</w:t>
      </w:r>
      <w:r>
        <w:rPr>
          <w:spacing w:val="40"/>
        </w:rPr>
        <w:t xml:space="preserve"> </w:t>
      </w:r>
      <w:r>
        <w:t>absence of monitoring and evaluation guidelines for the implementation of Minimum Service Standards (MSS) from the Central Government has resulted in unsystematic oversight from the provincial to the district/city level.</w:t>
      </w:r>
    </w:p>
    <w:p w14:paraId="2E691FA7" w14:textId="77777777" w:rsidR="00BC24A8" w:rsidRDefault="00000000">
      <w:pPr>
        <w:pStyle w:val="ListParagraph"/>
        <w:numPr>
          <w:ilvl w:val="0"/>
          <w:numId w:val="86"/>
        </w:numPr>
        <w:tabs>
          <w:tab w:val="left" w:pos="861"/>
          <w:tab w:val="left" w:pos="863"/>
        </w:tabs>
        <w:spacing w:line="259" w:lineRule="auto"/>
        <w:ind w:right="562"/>
        <w:jc w:val="both"/>
      </w:pPr>
      <w:r>
        <w:t>The policy on allocating the General Allocation Fund Earmarked Grant (Dana Alokasi Umum Spesifik</w:t>
      </w:r>
      <w:r>
        <w:rPr>
          <w:spacing w:val="-11"/>
        </w:rPr>
        <w:t xml:space="preserve"> </w:t>
      </w:r>
      <w:r>
        <w:t>Grant</w:t>
      </w:r>
      <w:r>
        <w:rPr>
          <w:spacing w:val="-12"/>
        </w:rPr>
        <w:t xml:space="preserve"> </w:t>
      </w:r>
      <w:r>
        <w:t>or</w:t>
      </w:r>
      <w:r>
        <w:rPr>
          <w:spacing w:val="-11"/>
        </w:rPr>
        <w:t xml:space="preserve"> </w:t>
      </w:r>
      <w:r>
        <w:t>DAU</w:t>
      </w:r>
      <w:r>
        <w:rPr>
          <w:spacing w:val="-11"/>
        </w:rPr>
        <w:t xml:space="preserve"> </w:t>
      </w:r>
      <w:r>
        <w:t>SG)</w:t>
      </w:r>
      <w:r>
        <w:rPr>
          <w:spacing w:val="-11"/>
        </w:rPr>
        <w:t xml:space="preserve"> </w:t>
      </w:r>
      <w:r>
        <w:t>for</w:t>
      </w:r>
      <w:r>
        <w:rPr>
          <w:spacing w:val="-9"/>
        </w:rPr>
        <w:t xml:space="preserve"> </w:t>
      </w:r>
      <w:r>
        <w:t>cross-provincial</w:t>
      </w:r>
      <w:r>
        <w:rPr>
          <w:spacing w:val="-10"/>
        </w:rPr>
        <w:t xml:space="preserve"> </w:t>
      </w:r>
      <w:r>
        <w:t>agencies</w:t>
      </w:r>
      <w:r>
        <w:rPr>
          <w:spacing w:val="-9"/>
        </w:rPr>
        <w:t xml:space="preserve"> </w:t>
      </w:r>
      <w:r>
        <w:t>(OPD)</w:t>
      </w:r>
      <w:r>
        <w:rPr>
          <w:spacing w:val="-11"/>
        </w:rPr>
        <w:t xml:space="preserve"> </w:t>
      </w:r>
      <w:r>
        <w:t>use</w:t>
      </w:r>
      <w:r>
        <w:rPr>
          <w:spacing w:val="-11"/>
        </w:rPr>
        <w:t xml:space="preserve"> </w:t>
      </w:r>
      <w:r>
        <w:t>is</w:t>
      </w:r>
      <w:r>
        <w:rPr>
          <w:spacing w:val="-11"/>
        </w:rPr>
        <w:t xml:space="preserve"> </w:t>
      </w:r>
      <w:r>
        <w:t>not</w:t>
      </w:r>
      <w:r>
        <w:rPr>
          <w:spacing w:val="-12"/>
        </w:rPr>
        <w:t xml:space="preserve"> </w:t>
      </w:r>
      <w:r>
        <w:t>clearly</w:t>
      </w:r>
      <w:r>
        <w:rPr>
          <w:spacing w:val="-9"/>
        </w:rPr>
        <w:t xml:space="preserve"> </w:t>
      </w:r>
      <w:r>
        <w:t>articulated</w:t>
      </w:r>
      <w:r>
        <w:rPr>
          <w:spacing w:val="-9"/>
        </w:rPr>
        <w:t xml:space="preserve"> </w:t>
      </w:r>
      <w:r>
        <w:t>in</w:t>
      </w:r>
      <w:r>
        <w:rPr>
          <w:spacing w:val="-9"/>
        </w:rPr>
        <w:t xml:space="preserve"> </w:t>
      </w:r>
      <w:r>
        <w:t>the Technical Instructions. However, Minister of Finance Regulation Number 102 of 2024 (102/2024) provides scope for using DAU SG to support Social Affair Office Minimum Service Standards indicators.</w:t>
      </w:r>
    </w:p>
    <w:p w14:paraId="11F01A85" w14:textId="77777777" w:rsidR="00BC24A8" w:rsidRDefault="00000000">
      <w:pPr>
        <w:pStyle w:val="ListParagraph"/>
        <w:numPr>
          <w:ilvl w:val="0"/>
          <w:numId w:val="86"/>
        </w:numPr>
        <w:tabs>
          <w:tab w:val="left" w:pos="861"/>
          <w:tab w:val="left" w:pos="863"/>
        </w:tabs>
        <w:spacing w:line="259" w:lineRule="auto"/>
        <w:ind w:right="561"/>
        <w:jc w:val="both"/>
      </w:pPr>
      <w:r>
        <w:t>Policy derivatives from the Regional Regulation on Gender Mainstreaming (</w:t>
      </w:r>
      <w:r>
        <w:rPr>
          <w:i/>
        </w:rPr>
        <w:t xml:space="preserve">Pengarusutamaan Gender </w:t>
      </w:r>
      <w:r>
        <w:t>or PUG) have not been followed up, limiting the effectiveness of the PUG Working Group’s role.</w:t>
      </w:r>
    </w:p>
    <w:p w14:paraId="4336136B" w14:textId="77777777" w:rsidR="00BC24A8" w:rsidRDefault="00000000">
      <w:pPr>
        <w:pStyle w:val="ListParagraph"/>
        <w:numPr>
          <w:ilvl w:val="0"/>
          <w:numId w:val="86"/>
        </w:numPr>
        <w:tabs>
          <w:tab w:val="left" w:pos="861"/>
          <w:tab w:val="left" w:pos="863"/>
        </w:tabs>
        <w:spacing w:line="256" w:lineRule="auto"/>
        <w:ind w:right="562"/>
        <w:jc w:val="both"/>
      </w:pPr>
      <w:r>
        <w:t>Policies related to the National Digital Talent Ecosystem (Digital Talent Nasional or DTSEN) remain poorly understood by local governments.</w:t>
      </w:r>
    </w:p>
    <w:p w14:paraId="0C93C511" w14:textId="77777777" w:rsidR="00BC24A8" w:rsidRDefault="00BC24A8">
      <w:pPr>
        <w:pStyle w:val="BodyText"/>
        <w:spacing w:before="22"/>
      </w:pPr>
    </w:p>
    <w:p w14:paraId="1BFBE4CF" w14:textId="77777777" w:rsidR="00BC24A8" w:rsidRDefault="00000000">
      <w:pPr>
        <w:pStyle w:val="Heading5"/>
      </w:pPr>
      <w:r>
        <w:rPr>
          <w:spacing w:val="-2"/>
        </w:rPr>
        <w:t>Non-Technical</w:t>
      </w:r>
      <w:r>
        <w:rPr>
          <w:spacing w:val="-5"/>
        </w:rPr>
        <w:t xml:space="preserve"> </w:t>
      </w:r>
      <w:r>
        <w:rPr>
          <w:spacing w:val="-2"/>
        </w:rPr>
        <w:t>Challenges</w:t>
      </w:r>
    </w:p>
    <w:p w14:paraId="2985A58E" w14:textId="77777777" w:rsidR="00BC24A8" w:rsidRDefault="00000000">
      <w:pPr>
        <w:pStyle w:val="ListParagraph"/>
        <w:numPr>
          <w:ilvl w:val="0"/>
          <w:numId w:val="85"/>
        </w:numPr>
        <w:tabs>
          <w:tab w:val="left" w:pos="861"/>
          <w:tab w:val="left" w:pos="863"/>
        </w:tabs>
        <w:spacing w:before="159" w:line="259" w:lineRule="auto"/>
        <w:ind w:right="562"/>
        <w:jc w:val="both"/>
      </w:pPr>
      <w:r>
        <w:t>Several</w:t>
      </w:r>
      <w:r>
        <w:rPr>
          <w:spacing w:val="-2"/>
        </w:rPr>
        <w:t xml:space="preserve"> </w:t>
      </w:r>
      <w:r>
        <w:t>key officials who</w:t>
      </w:r>
      <w:r>
        <w:rPr>
          <w:spacing w:val="-1"/>
        </w:rPr>
        <w:t xml:space="preserve"> </w:t>
      </w:r>
      <w:r>
        <w:t>were</w:t>
      </w:r>
      <w:r>
        <w:rPr>
          <w:spacing w:val="-2"/>
        </w:rPr>
        <w:t xml:space="preserve"> </w:t>
      </w:r>
      <w:r>
        <w:t>previously the</w:t>
      </w:r>
      <w:r>
        <w:rPr>
          <w:spacing w:val="-2"/>
        </w:rPr>
        <w:t xml:space="preserve"> </w:t>
      </w:r>
      <w:r>
        <w:t>main</w:t>
      </w:r>
      <w:r>
        <w:rPr>
          <w:spacing w:val="-1"/>
        </w:rPr>
        <w:t xml:space="preserve"> </w:t>
      </w:r>
      <w:r>
        <w:t>motors (champions)</w:t>
      </w:r>
      <w:r>
        <w:rPr>
          <w:spacing w:val="-2"/>
        </w:rPr>
        <w:t xml:space="preserve"> </w:t>
      </w:r>
      <w:r>
        <w:t>in</w:t>
      </w:r>
      <w:r>
        <w:rPr>
          <w:spacing w:val="-1"/>
        </w:rPr>
        <w:t xml:space="preserve"> </w:t>
      </w:r>
      <w:r>
        <w:t>key partners such</w:t>
      </w:r>
      <w:r>
        <w:rPr>
          <w:spacing w:val="-1"/>
        </w:rPr>
        <w:t xml:space="preserve"> </w:t>
      </w:r>
      <w:r>
        <w:t>as DP3A and the Office for Communication and Informatics have retired.</w:t>
      </w:r>
    </w:p>
    <w:p w14:paraId="072CEF96" w14:textId="77777777" w:rsidR="00BC24A8" w:rsidRDefault="00000000">
      <w:pPr>
        <w:pStyle w:val="ListParagraph"/>
        <w:numPr>
          <w:ilvl w:val="0"/>
          <w:numId w:val="85"/>
        </w:numPr>
        <w:tabs>
          <w:tab w:val="left" w:pos="861"/>
          <w:tab w:val="left" w:pos="863"/>
        </w:tabs>
        <w:spacing w:line="259" w:lineRule="auto"/>
        <w:ind w:right="563"/>
        <w:jc w:val="both"/>
      </w:pPr>
      <w:r>
        <w:t>There has been a change of technical staff in the Minimum Service Standards-supporting Provincial Agencies, such as the Public Works Office and the Education Office. Meanwhile, the knowledge transfer process within Provincial Agencies has not yet occurred.</w:t>
      </w:r>
    </w:p>
    <w:p w14:paraId="61F00D67" w14:textId="77777777" w:rsidR="00BC24A8" w:rsidRDefault="00000000">
      <w:pPr>
        <w:pStyle w:val="ListParagraph"/>
        <w:numPr>
          <w:ilvl w:val="0"/>
          <w:numId w:val="85"/>
        </w:numPr>
        <w:tabs>
          <w:tab w:val="left" w:pos="861"/>
          <w:tab w:val="left" w:pos="863"/>
        </w:tabs>
        <w:spacing w:line="259" w:lineRule="auto"/>
        <w:ind w:right="565"/>
        <w:jc w:val="both"/>
      </w:pPr>
      <w:r>
        <w:t>There is still a low level of</w:t>
      </w:r>
      <w:r>
        <w:rPr>
          <w:spacing w:val="-1"/>
        </w:rPr>
        <w:t xml:space="preserve"> </w:t>
      </w:r>
      <w:r>
        <w:t>independent collaboration between regional apparatus institutions, if not facilitated by SKALA.</w:t>
      </w:r>
    </w:p>
    <w:p w14:paraId="513F264C" w14:textId="77777777" w:rsidR="00BC24A8" w:rsidRDefault="00000000">
      <w:pPr>
        <w:pStyle w:val="ListParagraph"/>
        <w:numPr>
          <w:ilvl w:val="0"/>
          <w:numId w:val="85"/>
        </w:numPr>
        <w:tabs>
          <w:tab w:val="left" w:pos="860"/>
          <w:tab w:val="left" w:pos="862"/>
        </w:tabs>
        <w:spacing w:line="259" w:lineRule="auto"/>
        <w:ind w:left="862" w:right="563"/>
        <w:jc w:val="both"/>
      </w:pPr>
      <w:r>
        <w:t>Commitment to the Minimum Service Standards and GEDSI issues is still partial. Often, the knowledge is owned by technical staff who do not have the authority to make decisions.</w:t>
      </w:r>
    </w:p>
    <w:p w14:paraId="7EAD1170" w14:textId="77777777" w:rsidR="00BC24A8" w:rsidRDefault="00000000">
      <w:pPr>
        <w:pStyle w:val="ListParagraph"/>
        <w:numPr>
          <w:ilvl w:val="0"/>
          <w:numId w:val="85"/>
        </w:numPr>
        <w:tabs>
          <w:tab w:val="left" w:pos="860"/>
          <w:tab w:val="left" w:pos="862"/>
        </w:tabs>
        <w:spacing w:line="259" w:lineRule="auto"/>
        <w:ind w:left="862" w:right="563"/>
        <w:jc w:val="both"/>
      </w:pPr>
      <w:r>
        <w:t>The bureaucratic culture within the Maluku Provincial Government remains highly dependent on top-down leadership directives, limiting the flexibility and initiative needed to pursue changes and innovations.</w:t>
      </w:r>
    </w:p>
    <w:p w14:paraId="5083021A" w14:textId="77777777" w:rsidR="00BC24A8" w:rsidRDefault="00000000">
      <w:pPr>
        <w:pStyle w:val="ListParagraph"/>
        <w:numPr>
          <w:ilvl w:val="0"/>
          <w:numId w:val="85"/>
        </w:numPr>
        <w:tabs>
          <w:tab w:val="left" w:pos="860"/>
          <w:tab w:val="left" w:pos="862"/>
        </w:tabs>
        <w:spacing w:line="259" w:lineRule="auto"/>
        <w:ind w:left="862" w:right="563"/>
        <w:jc w:val="both"/>
      </w:pPr>
      <w:r>
        <w:t>Regional leaders are currently prioritising the implementation of national flagship programs mandated</w:t>
      </w:r>
      <w:r>
        <w:rPr>
          <w:spacing w:val="-7"/>
        </w:rPr>
        <w:t xml:space="preserve"> </w:t>
      </w:r>
      <w:r>
        <w:t>by</w:t>
      </w:r>
      <w:r>
        <w:rPr>
          <w:spacing w:val="-6"/>
        </w:rPr>
        <w:t xml:space="preserve"> </w:t>
      </w:r>
      <w:r>
        <w:t>the</w:t>
      </w:r>
      <w:r>
        <w:rPr>
          <w:spacing w:val="-8"/>
        </w:rPr>
        <w:t xml:space="preserve"> </w:t>
      </w:r>
      <w:r>
        <w:t>President</w:t>
      </w:r>
      <w:r>
        <w:rPr>
          <w:spacing w:val="-10"/>
        </w:rPr>
        <w:t xml:space="preserve"> </w:t>
      </w:r>
      <w:r>
        <w:t>of</w:t>
      </w:r>
      <w:r>
        <w:rPr>
          <w:spacing w:val="-8"/>
        </w:rPr>
        <w:t xml:space="preserve"> </w:t>
      </w:r>
      <w:r>
        <w:t>the</w:t>
      </w:r>
      <w:r>
        <w:rPr>
          <w:spacing w:val="-8"/>
        </w:rPr>
        <w:t xml:space="preserve"> </w:t>
      </w:r>
      <w:r>
        <w:t>Republic</w:t>
      </w:r>
      <w:r>
        <w:rPr>
          <w:spacing w:val="-8"/>
        </w:rPr>
        <w:t xml:space="preserve"> </w:t>
      </w:r>
      <w:r>
        <w:t>of</w:t>
      </w:r>
      <w:r>
        <w:rPr>
          <w:spacing w:val="-8"/>
        </w:rPr>
        <w:t xml:space="preserve"> </w:t>
      </w:r>
      <w:r>
        <w:t>Indonesia,</w:t>
      </w:r>
      <w:r>
        <w:rPr>
          <w:spacing w:val="-6"/>
        </w:rPr>
        <w:t xml:space="preserve"> </w:t>
      </w:r>
      <w:r>
        <w:t>such</w:t>
      </w:r>
      <w:r>
        <w:rPr>
          <w:spacing w:val="-7"/>
        </w:rPr>
        <w:t xml:space="preserve"> </w:t>
      </w:r>
      <w:r>
        <w:t>as</w:t>
      </w:r>
      <w:r>
        <w:rPr>
          <w:spacing w:val="-6"/>
        </w:rPr>
        <w:t xml:space="preserve"> </w:t>
      </w:r>
      <w:r>
        <w:t>stunting</w:t>
      </w:r>
      <w:r>
        <w:rPr>
          <w:spacing w:val="-8"/>
        </w:rPr>
        <w:t xml:space="preserve"> </w:t>
      </w:r>
      <w:r>
        <w:t>prevention</w:t>
      </w:r>
      <w:r>
        <w:rPr>
          <w:spacing w:val="-7"/>
        </w:rPr>
        <w:t xml:space="preserve"> </w:t>
      </w:r>
      <w:r>
        <w:t xml:space="preserve">initiatives, </w:t>
      </w:r>
      <w:r>
        <w:rPr>
          <w:i/>
        </w:rPr>
        <w:t>Koperasi Merah Putih</w:t>
      </w:r>
      <w:r>
        <w:t>, and the Free Nutritious Meals (</w:t>
      </w:r>
      <w:r>
        <w:rPr>
          <w:i/>
        </w:rPr>
        <w:t>Makan Bergizi Gratis</w:t>
      </w:r>
      <w:r>
        <w:t>) program.</w:t>
      </w:r>
    </w:p>
    <w:p w14:paraId="4CF48892" w14:textId="77777777" w:rsidR="00BC24A8" w:rsidRDefault="00BC24A8">
      <w:pPr>
        <w:pStyle w:val="BodyText"/>
        <w:spacing w:before="19"/>
      </w:pPr>
    </w:p>
    <w:p w14:paraId="5C281CCF" w14:textId="77777777" w:rsidR="00BC24A8" w:rsidRDefault="00000000">
      <w:pPr>
        <w:pStyle w:val="Heading5"/>
        <w:ind w:left="142"/>
      </w:pPr>
      <w:r>
        <w:t>Solutions</w:t>
      </w:r>
      <w:r>
        <w:rPr>
          <w:spacing w:val="-5"/>
        </w:rPr>
        <w:t xml:space="preserve"> </w:t>
      </w:r>
      <w:r>
        <w:t>that</w:t>
      </w:r>
      <w:r>
        <w:rPr>
          <w:spacing w:val="-5"/>
        </w:rPr>
        <w:t xml:space="preserve"> </w:t>
      </w:r>
      <w:r>
        <w:t>have</w:t>
      </w:r>
      <w:r>
        <w:rPr>
          <w:spacing w:val="-6"/>
        </w:rPr>
        <w:t xml:space="preserve"> </w:t>
      </w:r>
      <w:r>
        <w:t>been</w:t>
      </w:r>
      <w:r>
        <w:rPr>
          <w:spacing w:val="-6"/>
        </w:rPr>
        <w:t xml:space="preserve"> </w:t>
      </w:r>
      <w:r>
        <w:t>taken</w:t>
      </w:r>
      <w:r>
        <w:rPr>
          <w:spacing w:val="-6"/>
        </w:rPr>
        <w:t xml:space="preserve"> </w:t>
      </w:r>
      <w:r>
        <w:t>and</w:t>
      </w:r>
      <w:r>
        <w:rPr>
          <w:spacing w:val="-6"/>
        </w:rPr>
        <w:t xml:space="preserve"> </w:t>
      </w:r>
      <w:r>
        <w:t>need</w:t>
      </w:r>
      <w:r>
        <w:rPr>
          <w:spacing w:val="-6"/>
        </w:rPr>
        <w:t xml:space="preserve"> </w:t>
      </w:r>
      <w:r>
        <w:t>to</w:t>
      </w:r>
      <w:r>
        <w:rPr>
          <w:spacing w:val="-6"/>
        </w:rPr>
        <w:t xml:space="preserve"> </w:t>
      </w:r>
      <w:r>
        <w:t>be</w:t>
      </w:r>
      <w:r>
        <w:rPr>
          <w:spacing w:val="-6"/>
        </w:rPr>
        <w:t xml:space="preserve"> </w:t>
      </w:r>
      <w:r>
        <w:rPr>
          <w:spacing w:val="-4"/>
        </w:rPr>
        <w:t>done</w:t>
      </w:r>
    </w:p>
    <w:p w14:paraId="09E60DE4" w14:textId="77777777" w:rsidR="00BC24A8" w:rsidRDefault="00000000">
      <w:pPr>
        <w:pStyle w:val="ListParagraph"/>
        <w:numPr>
          <w:ilvl w:val="0"/>
          <w:numId w:val="84"/>
        </w:numPr>
        <w:tabs>
          <w:tab w:val="left" w:pos="860"/>
          <w:tab w:val="left" w:pos="862"/>
        </w:tabs>
        <w:spacing w:before="159" w:line="259" w:lineRule="auto"/>
        <w:ind w:right="566"/>
        <w:jc w:val="both"/>
      </w:pPr>
      <w:r>
        <w:t>SKALA has provided technical assistance to address various human resource and budgetary challenges, including the development of the Satu Data Action Plan and the Action Plan for Persons with Disabilities.</w:t>
      </w:r>
    </w:p>
    <w:p w14:paraId="59AF8B64" w14:textId="77777777" w:rsidR="00BC24A8" w:rsidRDefault="00000000">
      <w:pPr>
        <w:pStyle w:val="ListParagraph"/>
        <w:numPr>
          <w:ilvl w:val="0"/>
          <w:numId w:val="84"/>
        </w:numPr>
        <w:tabs>
          <w:tab w:val="left" w:pos="860"/>
          <w:tab w:val="left" w:pos="862"/>
        </w:tabs>
        <w:spacing w:line="259" w:lineRule="auto"/>
        <w:ind w:right="563"/>
        <w:jc w:val="both"/>
      </w:pPr>
      <w:r>
        <w:t>To enhance regional planning capacity, SKALA has promoted a range of activities, such as the formulation of performance trees and cascading mechanisms, to help the Provincial Agencies (OPD),</w:t>
      </w:r>
      <w:r>
        <w:rPr>
          <w:spacing w:val="-5"/>
        </w:rPr>
        <w:t xml:space="preserve"> </w:t>
      </w:r>
      <w:r>
        <w:t>particularly</w:t>
      </w:r>
      <w:r>
        <w:rPr>
          <w:spacing w:val="-5"/>
        </w:rPr>
        <w:t xml:space="preserve"> </w:t>
      </w:r>
      <w:r>
        <w:t>those</w:t>
      </w:r>
      <w:r>
        <w:rPr>
          <w:spacing w:val="-7"/>
        </w:rPr>
        <w:t xml:space="preserve"> </w:t>
      </w:r>
      <w:r>
        <w:t>supporting</w:t>
      </w:r>
      <w:r>
        <w:rPr>
          <w:spacing w:val="-6"/>
        </w:rPr>
        <w:t xml:space="preserve"> </w:t>
      </w:r>
      <w:r>
        <w:t>Minimum</w:t>
      </w:r>
      <w:r>
        <w:rPr>
          <w:spacing w:val="-5"/>
        </w:rPr>
        <w:t xml:space="preserve"> </w:t>
      </w:r>
      <w:r>
        <w:t>Service</w:t>
      </w:r>
      <w:r>
        <w:rPr>
          <w:spacing w:val="-7"/>
        </w:rPr>
        <w:t xml:space="preserve"> </w:t>
      </w:r>
      <w:r>
        <w:t>Standards,</w:t>
      </w:r>
      <w:r>
        <w:rPr>
          <w:spacing w:val="-5"/>
        </w:rPr>
        <w:t xml:space="preserve"> </w:t>
      </w:r>
      <w:r>
        <w:t>better</w:t>
      </w:r>
      <w:r>
        <w:rPr>
          <w:spacing w:val="-5"/>
        </w:rPr>
        <w:t xml:space="preserve"> </w:t>
      </w:r>
      <w:r>
        <w:t>understand</w:t>
      </w:r>
      <w:r>
        <w:rPr>
          <w:spacing w:val="-4"/>
        </w:rPr>
        <w:t xml:space="preserve"> </w:t>
      </w:r>
      <w:r>
        <w:t>their</w:t>
      </w:r>
      <w:r>
        <w:rPr>
          <w:spacing w:val="-4"/>
        </w:rPr>
        <w:t xml:space="preserve"> </w:t>
      </w:r>
      <w:r>
        <w:t>roles and responsibilities.</w:t>
      </w:r>
    </w:p>
    <w:p w14:paraId="3E835192" w14:textId="77777777" w:rsidR="00BC24A8" w:rsidRDefault="00000000">
      <w:pPr>
        <w:pStyle w:val="ListParagraph"/>
        <w:numPr>
          <w:ilvl w:val="0"/>
          <w:numId w:val="84"/>
        </w:numPr>
        <w:tabs>
          <w:tab w:val="left" w:pos="860"/>
          <w:tab w:val="left" w:pos="862"/>
        </w:tabs>
        <w:spacing w:line="259" w:lineRule="auto"/>
        <w:ind w:right="564"/>
        <w:jc w:val="both"/>
      </w:pPr>
      <w:r>
        <w:t>The</w:t>
      </w:r>
      <w:r>
        <w:rPr>
          <w:spacing w:val="-8"/>
        </w:rPr>
        <w:t xml:space="preserve"> </w:t>
      </w:r>
      <w:r>
        <w:t>integration</w:t>
      </w:r>
      <w:r>
        <w:rPr>
          <w:spacing w:val="-7"/>
        </w:rPr>
        <w:t xml:space="preserve"> </w:t>
      </w:r>
      <w:r>
        <w:t>of</w:t>
      </w:r>
      <w:r>
        <w:rPr>
          <w:spacing w:val="-11"/>
        </w:rPr>
        <w:t xml:space="preserve"> </w:t>
      </w:r>
      <w:r>
        <w:t>multiple</w:t>
      </w:r>
      <w:r>
        <w:rPr>
          <w:spacing w:val="-11"/>
        </w:rPr>
        <w:t xml:space="preserve"> </w:t>
      </w:r>
      <w:r>
        <w:t>action</w:t>
      </w:r>
      <w:r>
        <w:rPr>
          <w:spacing w:val="-9"/>
        </w:rPr>
        <w:t xml:space="preserve"> </w:t>
      </w:r>
      <w:r>
        <w:t>plans</w:t>
      </w:r>
      <w:r>
        <w:rPr>
          <w:spacing w:val="-9"/>
        </w:rPr>
        <w:t xml:space="preserve"> </w:t>
      </w:r>
      <w:r>
        <w:t>still</w:t>
      </w:r>
      <w:r>
        <w:rPr>
          <w:spacing w:val="-8"/>
        </w:rPr>
        <w:t xml:space="preserve"> </w:t>
      </w:r>
      <w:r>
        <w:t>needs</w:t>
      </w:r>
      <w:r>
        <w:rPr>
          <w:spacing w:val="-9"/>
        </w:rPr>
        <w:t xml:space="preserve"> </w:t>
      </w:r>
      <w:r>
        <w:t>to</w:t>
      </w:r>
      <w:r>
        <w:rPr>
          <w:spacing w:val="-10"/>
        </w:rPr>
        <w:t xml:space="preserve"> </w:t>
      </w:r>
      <w:r>
        <w:t>be</w:t>
      </w:r>
      <w:r>
        <w:rPr>
          <w:spacing w:val="-8"/>
        </w:rPr>
        <w:t xml:space="preserve"> </w:t>
      </w:r>
      <w:r>
        <w:t>completed</w:t>
      </w:r>
      <w:r>
        <w:rPr>
          <w:spacing w:val="-9"/>
        </w:rPr>
        <w:t xml:space="preserve"> </w:t>
      </w:r>
      <w:r>
        <w:t>before</w:t>
      </w:r>
      <w:r>
        <w:rPr>
          <w:spacing w:val="-8"/>
        </w:rPr>
        <w:t xml:space="preserve"> </w:t>
      </w:r>
      <w:r>
        <w:t>finalising</w:t>
      </w:r>
      <w:r>
        <w:rPr>
          <w:spacing w:val="-8"/>
        </w:rPr>
        <w:t xml:space="preserve"> </w:t>
      </w:r>
      <w:r>
        <w:t>the</w:t>
      </w:r>
      <w:r>
        <w:rPr>
          <w:spacing w:val="-8"/>
        </w:rPr>
        <w:t xml:space="preserve"> </w:t>
      </w:r>
      <w:r>
        <w:t>draft</w:t>
      </w:r>
      <w:r>
        <w:rPr>
          <w:spacing w:val="-9"/>
        </w:rPr>
        <w:t xml:space="preserve"> </w:t>
      </w:r>
      <w:r>
        <w:t>of the Regional Medium-Term Development Plan (RPJMD).</w:t>
      </w:r>
    </w:p>
    <w:p w14:paraId="4EDD2A80" w14:textId="77777777" w:rsidR="00BC24A8" w:rsidRDefault="00000000">
      <w:pPr>
        <w:pStyle w:val="ListParagraph"/>
        <w:numPr>
          <w:ilvl w:val="0"/>
          <w:numId w:val="84"/>
        </w:numPr>
        <w:tabs>
          <w:tab w:val="left" w:pos="859"/>
          <w:tab w:val="left" w:pos="861"/>
        </w:tabs>
        <w:spacing w:line="259" w:lineRule="auto"/>
        <w:ind w:left="861" w:right="567"/>
        <w:jc w:val="both"/>
      </w:pPr>
      <w:r>
        <w:t>Intensive advocacy efforts targeting regional leaders are needed to ensure that their commitments are effectively transmitted to the Provincial Agencies' leadership.</w:t>
      </w:r>
    </w:p>
    <w:p w14:paraId="15B44FE3" w14:textId="77777777" w:rsidR="00BC24A8" w:rsidRDefault="00BC24A8">
      <w:pPr>
        <w:pStyle w:val="ListParagraph"/>
        <w:spacing w:line="259" w:lineRule="auto"/>
        <w:sectPr w:rsidR="00BC24A8">
          <w:pgSz w:w="11910" w:h="16840"/>
          <w:pgMar w:top="1360" w:right="850" w:bottom="1100" w:left="1275" w:header="0" w:footer="907" w:gutter="0"/>
          <w:cols w:space="720"/>
        </w:sectPr>
      </w:pPr>
    </w:p>
    <w:p w14:paraId="416973B5" w14:textId="77777777" w:rsidR="00BC24A8" w:rsidRDefault="00000000">
      <w:pPr>
        <w:pStyle w:val="ListParagraph"/>
        <w:numPr>
          <w:ilvl w:val="0"/>
          <w:numId w:val="84"/>
        </w:numPr>
        <w:tabs>
          <w:tab w:val="left" w:pos="860"/>
          <w:tab w:val="left" w:pos="863"/>
        </w:tabs>
        <w:spacing w:before="39" w:line="259" w:lineRule="auto"/>
        <w:ind w:left="863" w:right="565" w:hanging="361"/>
      </w:pPr>
      <w:r>
        <w:lastRenderedPageBreak/>
        <w:t xml:space="preserve">SKALA continues to support the development of regulatory frameworks to institutionalise the Thematic </w:t>
      </w:r>
      <w:r>
        <w:rPr>
          <w:i/>
        </w:rPr>
        <w:t>Musrenbang</w:t>
      </w:r>
      <w:r>
        <w:t>.</w:t>
      </w:r>
    </w:p>
    <w:p w14:paraId="0588C218" w14:textId="77777777" w:rsidR="00BC24A8" w:rsidRDefault="00BC24A8">
      <w:pPr>
        <w:pStyle w:val="BodyText"/>
        <w:spacing w:before="181"/>
      </w:pPr>
    </w:p>
    <w:p w14:paraId="6A8AD64D" w14:textId="77777777" w:rsidR="00BC24A8" w:rsidRDefault="00000000">
      <w:pPr>
        <w:pStyle w:val="Heading5"/>
      </w:pPr>
      <w:r>
        <w:rPr>
          <w:color w:val="17365A"/>
        </w:rPr>
        <w:t>Lessons</w:t>
      </w:r>
      <w:r>
        <w:rPr>
          <w:color w:val="17365A"/>
          <w:spacing w:val="-3"/>
        </w:rPr>
        <w:t xml:space="preserve"> </w:t>
      </w:r>
      <w:r>
        <w:rPr>
          <w:color w:val="17365A"/>
          <w:spacing w:val="-2"/>
        </w:rPr>
        <w:t>Learned</w:t>
      </w:r>
    </w:p>
    <w:p w14:paraId="6B4C4207"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2500"/>
        <w:gridCol w:w="6598"/>
      </w:tblGrid>
      <w:tr w:rsidR="00BC24A8" w14:paraId="11B31BDB" w14:textId="77777777">
        <w:trPr>
          <w:trHeight w:val="420"/>
        </w:trPr>
        <w:tc>
          <w:tcPr>
            <w:tcW w:w="2500" w:type="dxa"/>
            <w:shd w:val="clear" w:color="auto" w:fill="17365A"/>
          </w:tcPr>
          <w:p w14:paraId="678E029F" w14:textId="77777777" w:rsidR="00BC24A8" w:rsidRDefault="00000000">
            <w:pPr>
              <w:pStyle w:val="TableParagraph"/>
              <w:spacing w:before="88"/>
              <w:ind w:left="115"/>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theme</w:t>
            </w:r>
          </w:p>
        </w:tc>
        <w:tc>
          <w:tcPr>
            <w:tcW w:w="6598" w:type="dxa"/>
            <w:shd w:val="clear" w:color="auto" w:fill="17365A"/>
          </w:tcPr>
          <w:p w14:paraId="4E07862C" w14:textId="77777777" w:rsidR="00BC24A8" w:rsidRDefault="00000000">
            <w:pPr>
              <w:pStyle w:val="TableParagraph"/>
              <w:spacing w:before="88"/>
              <w:ind w:left="135"/>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description</w:t>
            </w:r>
          </w:p>
        </w:tc>
      </w:tr>
      <w:tr w:rsidR="00BC24A8" w14:paraId="71F29867" w14:textId="77777777">
        <w:trPr>
          <w:trHeight w:val="1595"/>
        </w:trPr>
        <w:tc>
          <w:tcPr>
            <w:tcW w:w="2500" w:type="dxa"/>
            <w:tcBorders>
              <w:bottom w:val="single" w:sz="4" w:space="0" w:color="BEBEBE"/>
            </w:tcBorders>
          </w:tcPr>
          <w:p w14:paraId="1F405A2E" w14:textId="77777777" w:rsidR="00BC24A8" w:rsidRDefault="00000000">
            <w:pPr>
              <w:pStyle w:val="TableParagraph"/>
              <w:spacing w:before="162"/>
              <w:ind w:left="115"/>
              <w:rPr>
                <w:sz w:val="18"/>
              </w:rPr>
            </w:pPr>
            <w:r>
              <w:rPr>
                <w:sz w:val="18"/>
              </w:rPr>
              <w:t>Provision</w:t>
            </w:r>
            <w:r>
              <w:rPr>
                <w:spacing w:val="-3"/>
                <w:sz w:val="18"/>
              </w:rPr>
              <w:t xml:space="preserve"> </w:t>
            </w:r>
            <w:r>
              <w:rPr>
                <w:sz w:val="18"/>
              </w:rPr>
              <w:t>and</w:t>
            </w:r>
            <w:r>
              <w:rPr>
                <w:spacing w:val="-2"/>
                <w:sz w:val="18"/>
              </w:rPr>
              <w:t xml:space="preserve"> </w:t>
            </w:r>
            <w:r>
              <w:rPr>
                <w:sz w:val="18"/>
              </w:rPr>
              <w:t>use</w:t>
            </w:r>
            <w:r>
              <w:rPr>
                <w:spacing w:val="-1"/>
                <w:sz w:val="18"/>
              </w:rPr>
              <w:t xml:space="preserve"> </w:t>
            </w:r>
            <w:r>
              <w:rPr>
                <w:sz w:val="18"/>
              </w:rPr>
              <w:t>of</w:t>
            </w:r>
            <w:r>
              <w:rPr>
                <w:spacing w:val="-1"/>
                <w:sz w:val="18"/>
              </w:rPr>
              <w:t xml:space="preserve"> </w:t>
            </w:r>
            <w:r>
              <w:rPr>
                <w:spacing w:val="-4"/>
                <w:sz w:val="18"/>
              </w:rPr>
              <w:t>data</w:t>
            </w:r>
          </w:p>
        </w:tc>
        <w:tc>
          <w:tcPr>
            <w:tcW w:w="6598" w:type="dxa"/>
            <w:tcBorders>
              <w:bottom w:val="single" w:sz="4" w:space="0" w:color="BEBEBE"/>
            </w:tcBorders>
          </w:tcPr>
          <w:p w14:paraId="02D06457" w14:textId="77777777" w:rsidR="00BC24A8" w:rsidRDefault="00000000">
            <w:pPr>
              <w:pStyle w:val="TableParagraph"/>
              <w:numPr>
                <w:ilvl w:val="0"/>
                <w:numId w:val="83"/>
              </w:numPr>
              <w:tabs>
                <w:tab w:val="left" w:pos="466"/>
              </w:tabs>
              <w:spacing w:before="162"/>
              <w:ind w:right="347"/>
              <w:rPr>
                <w:sz w:val="18"/>
              </w:rPr>
            </w:pPr>
            <w:r>
              <w:rPr>
                <w:sz w:val="18"/>
              </w:rPr>
              <w:t>The</w:t>
            </w:r>
            <w:r>
              <w:rPr>
                <w:spacing w:val="-3"/>
                <w:sz w:val="18"/>
              </w:rPr>
              <w:t xml:space="preserve"> </w:t>
            </w:r>
            <w:r>
              <w:rPr>
                <w:sz w:val="18"/>
              </w:rPr>
              <w:t>process</w:t>
            </w:r>
            <w:r>
              <w:rPr>
                <w:spacing w:val="-3"/>
                <w:sz w:val="18"/>
              </w:rPr>
              <w:t xml:space="preserve"> </w:t>
            </w:r>
            <w:r>
              <w:rPr>
                <w:sz w:val="18"/>
              </w:rPr>
              <w:t>of</w:t>
            </w:r>
            <w:r>
              <w:rPr>
                <w:spacing w:val="-4"/>
                <w:sz w:val="18"/>
              </w:rPr>
              <w:t xml:space="preserve"> </w:t>
            </w:r>
            <w:r>
              <w:rPr>
                <w:sz w:val="18"/>
              </w:rPr>
              <w:t>strengthening</w:t>
            </w:r>
            <w:r>
              <w:rPr>
                <w:spacing w:val="-4"/>
                <w:sz w:val="18"/>
              </w:rPr>
              <w:t xml:space="preserve"> </w:t>
            </w:r>
            <w:r>
              <w:rPr>
                <w:sz w:val="18"/>
              </w:rPr>
              <w:t>the</w:t>
            </w:r>
            <w:r>
              <w:rPr>
                <w:spacing w:val="-6"/>
                <w:sz w:val="18"/>
              </w:rPr>
              <w:t xml:space="preserve"> </w:t>
            </w:r>
            <w:r>
              <w:rPr>
                <w:sz w:val="18"/>
              </w:rPr>
              <w:t>implementation</w:t>
            </w:r>
            <w:r>
              <w:rPr>
                <w:spacing w:val="-3"/>
                <w:sz w:val="18"/>
              </w:rPr>
              <w:t xml:space="preserve"> </w:t>
            </w:r>
            <w:r>
              <w:rPr>
                <w:sz w:val="18"/>
              </w:rPr>
              <w:t>of</w:t>
            </w:r>
            <w:r>
              <w:rPr>
                <w:spacing w:val="-4"/>
                <w:sz w:val="18"/>
              </w:rPr>
              <w:t xml:space="preserve"> </w:t>
            </w:r>
            <w:r>
              <w:rPr>
                <w:sz w:val="18"/>
              </w:rPr>
              <w:t>Satu</w:t>
            </w:r>
            <w:r>
              <w:rPr>
                <w:spacing w:val="-3"/>
                <w:sz w:val="18"/>
              </w:rPr>
              <w:t xml:space="preserve"> </w:t>
            </w:r>
            <w:r>
              <w:rPr>
                <w:sz w:val="18"/>
              </w:rPr>
              <w:t>Data</w:t>
            </w:r>
            <w:r>
              <w:rPr>
                <w:spacing w:val="-4"/>
                <w:sz w:val="18"/>
              </w:rPr>
              <w:t xml:space="preserve"> </w:t>
            </w:r>
            <w:r>
              <w:rPr>
                <w:sz w:val="18"/>
              </w:rPr>
              <w:t>in</w:t>
            </w:r>
            <w:r>
              <w:rPr>
                <w:spacing w:val="-3"/>
                <w:sz w:val="18"/>
              </w:rPr>
              <w:t xml:space="preserve"> </w:t>
            </w:r>
            <w:r>
              <w:rPr>
                <w:sz w:val="18"/>
              </w:rPr>
              <w:t>Maluku</w:t>
            </w:r>
            <w:r>
              <w:rPr>
                <w:spacing w:val="-3"/>
                <w:sz w:val="18"/>
              </w:rPr>
              <w:t xml:space="preserve"> </w:t>
            </w:r>
            <w:r>
              <w:rPr>
                <w:sz w:val="18"/>
              </w:rPr>
              <w:t>begins with strengthening collaboration between key actors in the Satu Data Forum. Strengthening collaboration is built through events held by SKALA or by encouraging informal communication.</w:t>
            </w:r>
          </w:p>
          <w:p w14:paraId="0FA617FA" w14:textId="77777777" w:rsidR="00BC24A8" w:rsidRDefault="00000000">
            <w:pPr>
              <w:pStyle w:val="TableParagraph"/>
              <w:numPr>
                <w:ilvl w:val="0"/>
                <w:numId w:val="83"/>
              </w:numPr>
              <w:tabs>
                <w:tab w:val="left" w:pos="466"/>
              </w:tabs>
              <w:ind w:right="782"/>
              <w:rPr>
                <w:sz w:val="18"/>
              </w:rPr>
            </w:pPr>
            <w:r>
              <w:rPr>
                <w:sz w:val="18"/>
              </w:rPr>
              <w:t>The</w:t>
            </w:r>
            <w:r>
              <w:rPr>
                <w:spacing w:val="-3"/>
                <w:sz w:val="18"/>
              </w:rPr>
              <w:t xml:space="preserve"> </w:t>
            </w:r>
            <w:r>
              <w:rPr>
                <w:sz w:val="18"/>
              </w:rPr>
              <w:t>data</w:t>
            </w:r>
            <w:r>
              <w:rPr>
                <w:spacing w:val="-4"/>
                <w:sz w:val="18"/>
              </w:rPr>
              <w:t xml:space="preserve"> </w:t>
            </w:r>
            <w:r>
              <w:rPr>
                <w:sz w:val="18"/>
              </w:rPr>
              <w:t>literacy</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Regional</w:t>
            </w:r>
            <w:r>
              <w:rPr>
                <w:spacing w:val="-5"/>
                <w:sz w:val="18"/>
              </w:rPr>
              <w:t xml:space="preserve"> </w:t>
            </w:r>
            <w:r>
              <w:rPr>
                <w:sz w:val="18"/>
              </w:rPr>
              <w:t>Apparatus</w:t>
            </w:r>
            <w:r>
              <w:rPr>
                <w:spacing w:val="-3"/>
                <w:sz w:val="18"/>
              </w:rPr>
              <w:t xml:space="preserve"> </w:t>
            </w:r>
            <w:r>
              <w:rPr>
                <w:sz w:val="18"/>
              </w:rPr>
              <w:t>is</w:t>
            </w:r>
            <w:r>
              <w:rPr>
                <w:spacing w:val="-3"/>
                <w:sz w:val="18"/>
              </w:rPr>
              <w:t xml:space="preserve"> </w:t>
            </w:r>
            <w:r>
              <w:rPr>
                <w:sz w:val="18"/>
              </w:rPr>
              <w:t>still</w:t>
            </w:r>
            <w:r>
              <w:rPr>
                <w:spacing w:val="-2"/>
                <w:sz w:val="18"/>
              </w:rPr>
              <w:t xml:space="preserve"> </w:t>
            </w:r>
            <w:r>
              <w:rPr>
                <w:sz w:val="18"/>
              </w:rPr>
              <w:t>limited,</w:t>
            </w:r>
            <w:r>
              <w:rPr>
                <w:spacing w:val="-4"/>
                <w:sz w:val="18"/>
              </w:rPr>
              <w:t xml:space="preserve"> </w:t>
            </w:r>
            <w:r>
              <w:rPr>
                <w:sz w:val="18"/>
              </w:rPr>
              <w:t>so</w:t>
            </w:r>
            <w:r>
              <w:rPr>
                <w:spacing w:val="-4"/>
                <w:sz w:val="18"/>
              </w:rPr>
              <w:t xml:space="preserve"> </w:t>
            </w:r>
            <w:r>
              <w:rPr>
                <w:sz w:val="18"/>
              </w:rPr>
              <w:t>the</w:t>
            </w:r>
            <w:r>
              <w:rPr>
                <w:spacing w:val="-3"/>
                <w:sz w:val="18"/>
              </w:rPr>
              <w:t xml:space="preserve"> </w:t>
            </w:r>
            <w:r>
              <w:rPr>
                <w:sz w:val="18"/>
              </w:rPr>
              <w:t>results</w:t>
            </w:r>
            <w:r>
              <w:rPr>
                <w:spacing w:val="-3"/>
                <w:sz w:val="18"/>
              </w:rPr>
              <w:t xml:space="preserve"> </w:t>
            </w:r>
            <w:r>
              <w:rPr>
                <w:sz w:val="18"/>
              </w:rPr>
              <w:t>of SEPAKAT analysis have not been utilised optimally.</w:t>
            </w:r>
          </w:p>
        </w:tc>
      </w:tr>
      <w:tr w:rsidR="00BC24A8" w14:paraId="7D261639" w14:textId="77777777">
        <w:trPr>
          <w:trHeight w:val="1113"/>
        </w:trPr>
        <w:tc>
          <w:tcPr>
            <w:tcW w:w="2500" w:type="dxa"/>
            <w:tcBorders>
              <w:top w:val="single" w:sz="4" w:space="0" w:color="BEBEBE"/>
              <w:bottom w:val="single" w:sz="4" w:space="0" w:color="BEBEBE"/>
            </w:tcBorders>
          </w:tcPr>
          <w:p w14:paraId="02CD9C4F" w14:textId="77777777" w:rsidR="00BC24A8" w:rsidRDefault="00000000">
            <w:pPr>
              <w:pStyle w:val="TableParagraph"/>
              <w:spacing w:before="119"/>
              <w:ind w:left="115"/>
              <w:rPr>
                <w:sz w:val="18"/>
              </w:rPr>
            </w:pPr>
            <w:r>
              <w:rPr>
                <w:sz w:val="18"/>
              </w:rPr>
              <w:t>MSS</w:t>
            </w:r>
            <w:r>
              <w:rPr>
                <w:spacing w:val="-11"/>
                <w:sz w:val="18"/>
              </w:rPr>
              <w:t xml:space="preserve"> </w:t>
            </w:r>
            <w:r>
              <w:rPr>
                <w:sz w:val="18"/>
              </w:rPr>
              <w:t>implementation</w:t>
            </w:r>
            <w:r>
              <w:rPr>
                <w:spacing w:val="-10"/>
                <w:sz w:val="18"/>
              </w:rPr>
              <w:t xml:space="preserve"> </w:t>
            </w:r>
            <w:r>
              <w:rPr>
                <w:sz w:val="18"/>
              </w:rPr>
              <w:t>(planning, achievement, and reporting)</w:t>
            </w:r>
          </w:p>
        </w:tc>
        <w:tc>
          <w:tcPr>
            <w:tcW w:w="6598" w:type="dxa"/>
            <w:tcBorders>
              <w:top w:val="single" w:sz="4" w:space="0" w:color="BEBEBE"/>
              <w:bottom w:val="single" w:sz="4" w:space="0" w:color="BEBEBE"/>
            </w:tcBorders>
          </w:tcPr>
          <w:p w14:paraId="24F243F7" w14:textId="77777777" w:rsidR="00BC24A8" w:rsidRDefault="00000000">
            <w:pPr>
              <w:pStyle w:val="TableParagraph"/>
              <w:numPr>
                <w:ilvl w:val="0"/>
                <w:numId w:val="82"/>
              </w:numPr>
              <w:tabs>
                <w:tab w:val="left" w:pos="464"/>
                <w:tab w:val="left" w:pos="466"/>
              </w:tabs>
              <w:spacing w:before="119"/>
              <w:ind w:right="217" w:hanging="361"/>
              <w:jc w:val="both"/>
              <w:rPr>
                <w:sz w:val="18"/>
              </w:rPr>
            </w:pPr>
            <w:r>
              <w:rPr>
                <w:sz w:val="18"/>
              </w:rPr>
              <w:t>The change in the four-stage Technical Guidance method for the implementation of</w:t>
            </w:r>
            <w:r>
              <w:rPr>
                <w:spacing w:val="-4"/>
                <w:sz w:val="18"/>
              </w:rPr>
              <w:t xml:space="preserve"> </w:t>
            </w:r>
            <w:r>
              <w:rPr>
                <w:sz w:val="18"/>
              </w:rPr>
              <w:t>Minimum</w:t>
            </w:r>
            <w:r>
              <w:rPr>
                <w:spacing w:val="-4"/>
                <w:sz w:val="18"/>
              </w:rPr>
              <w:t xml:space="preserve"> </w:t>
            </w:r>
            <w:r>
              <w:rPr>
                <w:sz w:val="18"/>
              </w:rPr>
              <w:t>Service</w:t>
            </w:r>
            <w:r>
              <w:rPr>
                <w:spacing w:val="-3"/>
                <w:sz w:val="18"/>
              </w:rPr>
              <w:t xml:space="preserve"> </w:t>
            </w:r>
            <w:r>
              <w:rPr>
                <w:sz w:val="18"/>
              </w:rPr>
              <w:t>Standards</w:t>
            </w:r>
            <w:r>
              <w:rPr>
                <w:spacing w:val="-3"/>
                <w:sz w:val="18"/>
              </w:rPr>
              <w:t xml:space="preserve"> </w:t>
            </w:r>
            <w:r>
              <w:rPr>
                <w:sz w:val="18"/>
              </w:rPr>
              <w:t>to</w:t>
            </w:r>
            <w:r>
              <w:rPr>
                <w:spacing w:val="-4"/>
                <w:sz w:val="18"/>
              </w:rPr>
              <w:t xml:space="preserve"> </w:t>
            </w:r>
            <w:r>
              <w:rPr>
                <w:sz w:val="18"/>
              </w:rPr>
              <w:t>a</w:t>
            </w:r>
            <w:r>
              <w:rPr>
                <w:spacing w:val="-4"/>
                <w:sz w:val="18"/>
              </w:rPr>
              <w:t xml:space="preserve"> </w:t>
            </w:r>
            <w:r>
              <w:rPr>
                <w:sz w:val="18"/>
              </w:rPr>
              <w:t>smaller</w:t>
            </w:r>
            <w:r>
              <w:rPr>
                <w:spacing w:val="-3"/>
                <w:sz w:val="18"/>
              </w:rPr>
              <w:t xml:space="preserve"> </w:t>
            </w:r>
            <w:r>
              <w:rPr>
                <w:sz w:val="18"/>
              </w:rPr>
              <w:t>and</w:t>
            </w:r>
            <w:r>
              <w:rPr>
                <w:spacing w:val="-3"/>
                <w:sz w:val="18"/>
              </w:rPr>
              <w:t xml:space="preserve"> </w:t>
            </w:r>
            <w:r>
              <w:rPr>
                <w:sz w:val="18"/>
              </w:rPr>
              <w:t>targeted</w:t>
            </w:r>
            <w:r>
              <w:rPr>
                <w:spacing w:val="-3"/>
                <w:sz w:val="18"/>
              </w:rPr>
              <w:t xml:space="preserve"> </w:t>
            </w:r>
            <w:r>
              <w:rPr>
                <w:sz w:val="18"/>
              </w:rPr>
              <w:t>technical</w:t>
            </w:r>
            <w:r>
              <w:rPr>
                <w:spacing w:val="-5"/>
                <w:sz w:val="18"/>
              </w:rPr>
              <w:t xml:space="preserve"> </w:t>
            </w:r>
            <w:r>
              <w:rPr>
                <w:sz w:val="18"/>
              </w:rPr>
              <w:t>meeting</w:t>
            </w:r>
            <w:r>
              <w:rPr>
                <w:spacing w:val="-4"/>
                <w:sz w:val="18"/>
              </w:rPr>
              <w:t xml:space="preserve"> </w:t>
            </w:r>
            <w:r>
              <w:rPr>
                <w:sz w:val="18"/>
              </w:rPr>
              <w:t>makes knowledge</w:t>
            </w:r>
            <w:r>
              <w:rPr>
                <w:spacing w:val="-4"/>
                <w:sz w:val="18"/>
              </w:rPr>
              <w:t xml:space="preserve"> </w:t>
            </w:r>
            <w:r>
              <w:rPr>
                <w:sz w:val="18"/>
              </w:rPr>
              <w:t>transfer</w:t>
            </w:r>
            <w:r>
              <w:rPr>
                <w:spacing w:val="-4"/>
                <w:sz w:val="18"/>
              </w:rPr>
              <w:t xml:space="preserve"> </w:t>
            </w:r>
            <w:r>
              <w:rPr>
                <w:sz w:val="18"/>
              </w:rPr>
              <w:t>happen</w:t>
            </w:r>
            <w:r>
              <w:rPr>
                <w:spacing w:val="-4"/>
                <w:sz w:val="18"/>
              </w:rPr>
              <w:t xml:space="preserve"> </w:t>
            </w:r>
            <w:r>
              <w:rPr>
                <w:sz w:val="18"/>
              </w:rPr>
              <w:t>faster.</w:t>
            </w:r>
            <w:r>
              <w:rPr>
                <w:spacing w:val="-5"/>
                <w:sz w:val="18"/>
              </w:rPr>
              <w:t xml:space="preserve"> </w:t>
            </w:r>
            <w:r>
              <w:rPr>
                <w:sz w:val="18"/>
              </w:rPr>
              <w:t>The</w:t>
            </w:r>
            <w:r>
              <w:rPr>
                <w:spacing w:val="-4"/>
                <w:sz w:val="18"/>
              </w:rPr>
              <w:t xml:space="preserve"> </w:t>
            </w:r>
            <w:r>
              <w:rPr>
                <w:sz w:val="18"/>
              </w:rPr>
              <w:t>discussion</w:t>
            </w:r>
            <w:r>
              <w:rPr>
                <w:spacing w:val="-4"/>
                <w:sz w:val="18"/>
              </w:rPr>
              <w:t xml:space="preserve"> </w:t>
            </w:r>
            <w:r>
              <w:rPr>
                <w:sz w:val="18"/>
              </w:rPr>
              <w:t>process</w:t>
            </w:r>
            <w:r>
              <w:rPr>
                <w:spacing w:val="-4"/>
                <w:sz w:val="18"/>
              </w:rPr>
              <w:t xml:space="preserve"> </w:t>
            </w:r>
            <w:r>
              <w:rPr>
                <w:sz w:val="18"/>
              </w:rPr>
              <w:t>between</w:t>
            </w:r>
            <w:r>
              <w:rPr>
                <w:spacing w:val="-4"/>
                <w:sz w:val="18"/>
              </w:rPr>
              <w:t xml:space="preserve"> </w:t>
            </w:r>
            <w:r>
              <w:rPr>
                <w:sz w:val="18"/>
              </w:rPr>
              <w:t>various</w:t>
            </w:r>
            <w:r>
              <w:rPr>
                <w:spacing w:val="-4"/>
                <w:sz w:val="18"/>
              </w:rPr>
              <w:t xml:space="preserve"> </w:t>
            </w:r>
            <w:r>
              <w:rPr>
                <w:sz w:val="18"/>
              </w:rPr>
              <w:t>actors became more open.</w:t>
            </w:r>
          </w:p>
        </w:tc>
      </w:tr>
      <w:tr w:rsidR="00BC24A8" w14:paraId="540A6CC4" w14:textId="77777777">
        <w:trPr>
          <w:trHeight w:val="1333"/>
        </w:trPr>
        <w:tc>
          <w:tcPr>
            <w:tcW w:w="2500" w:type="dxa"/>
            <w:tcBorders>
              <w:top w:val="single" w:sz="4" w:space="0" w:color="BEBEBE"/>
              <w:bottom w:val="single" w:sz="4" w:space="0" w:color="BEBEBE"/>
            </w:tcBorders>
          </w:tcPr>
          <w:p w14:paraId="392F8217" w14:textId="77777777" w:rsidR="00BC24A8" w:rsidRDefault="00000000">
            <w:pPr>
              <w:pStyle w:val="TableParagraph"/>
              <w:spacing w:before="119"/>
              <w:ind w:left="115" w:right="30"/>
              <w:rPr>
                <w:sz w:val="18"/>
              </w:rPr>
            </w:pPr>
            <w:r>
              <w:rPr>
                <w:sz w:val="18"/>
              </w:rPr>
              <w:t>Participation</w:t>
            </w:r>
            <w:r>
              <w:rPr>
                <w:spacing w:val="-11"/>
                <w:sz w:val="18"/>
              </w:rPr>
              <w:t xml:space="preserve"> </w:t>
            </w:r>
            <w:r>
              <w:rPr>
                <w:sz w:val="18"/>
              </w:rPr>
              <w:t>of</w:t>
            </w:r>
            <w:r>
              <w:rPr>
                <w:spacing w:val="-10"/>
                <w:sz w:val="18"/>
              </w:rPr>
              <w:t xml:space="preserve"> </w:t>
            </w:r>
            <w:r>
              <w:rPr>
                <w:sz w:val="18"/>
              </w:rPr>
              <w:t xml:space="preserve">vulnerable </w:t>
            </w:r>
            <w:r>
              <w:rPr>
                <w:spacing w:val="-2"/>
                <w:sz w:val="18"/>
              </w:rPr>
              <w:t>groups</w:t>
            </w:r>
          </w:p>
        </w:tc>
        <w:tc>
          <w:tcPr>
            <w:tcW w:w="6598" w:type="dxa"/>
            <w:tcBorders>
              <w:top w:val="single" w:sz="4" w:space="0" w:color="BEBEBE"/>
              <w:bottom w:val="single" w:sz="4" w:space="0" w:color="BEBEBE"/>
            </w:tcBorders>
          </w:tcPr>
          <w:p w14:paraId="6E9E9015" w14:textId="77777777" w:rsidR="00BC24A8" w:rsidRDefault="00000000">
            <w:pPr>
              <w:pStyle w:val="TableParagraph"/>
              <w:numPr>
                <w:ilvl w:val="0"/>
                <w:numId w:val="81"/>
              </w:numPr>
              <w:tabs>
                <w:tab w:val="left" w:pos="466"/>
              </w:tabs>
              <w:spacing w:before="119"/>
              <w:ind w:right="119"/>
              <w:rPr>
                <w:sz w:val="18"/>
              </w:rPr>
            </w:pPr>
            <w:r>
              <w:rPr>
                <w:sz w:val="18"/>
              </w:rPr>
              <w:t>Since the beginning, SKALA has encouraged the consolidation of Civil Society Organisations</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preparation</w:t>
            </w:r>
            <w:r>
              <w:rPr>
                <w:spacing w:val="-6"/>
                <w:sz w:val="18"/>
              </w:rPr>
              <w:t xml:space="preserve"> </w:t>
            </w:r>
            <w:r>
              <w:rPr>
                <w:sz w:val="18"/>
              </w:rPr>
              <w:t>of</w:t>
            </w:r>
            <w:r>
              <w:rPr>
                <w:spacing w:val="-4"/>
                <w:sz w:val="18"/>
              </w:rPr>
              <w:t xml:space="preserve"> </w:t>
            </w:r>
            <w:r>
              <w:rPr>
                <w:sz w:val="18"/>
              </w:rPr>
              <w:t>regulations</w:t>
            </w:r>
            <w:r>
              <w:rPr>
                <w:spacing w:val="-3"/>
                <w:sz w:val="18"/>
              </w:rPr>
              <w:t xml:space="preserve"> </w:t>
            </w:r>
            <w:r>
              <w:rPr>
                <w:sz w:val="18"/>
              </w:rPr>
              <w:t>and</w:t>
            </w:r>
            <w:r>
              <w:rPr>
                <w:spacing w:val="-3"/>
                <w:sz w:val="18"/>
              </w:rPr>
              <w:t xml:space="preserve"> </w:t>
            </w:r>
            <w:r>
              <w:rPr>
                <w:sz w:val="18"/>
              </w:rPr>
              <w:t>inclusive</w:t>
            </w:r>
            <w:r>
              <w:rPr>
                <w:spacing w:val="-3"/>
                <w:sz w:val="18"/>
              </w:rPr>
              <w:t xml:space="preserve"> </w:t>
            </w:r>
            <w:r>
              <w:rPr>
                <w:sz w:val="18"/>
              </w:rPr>
              <w:t>policies,</w:t>
            </w:r>
            <w:r>
              <w:rPr>
                <w:spacing w:val="-4"/>
                <w:sz w:val="18"/>
              </w:rPr>
              <w:t xml:space="preserve"> </w:t>
            </w:r>
            <w:r>
              <w:rPr>
                <w:sz w:val="18"/>
              </w:rPr>
              <w:t>such</w:t>
            </w:r>
            <w:r>
              <w:rPr>
                <w:spacing w:val="-3"/>
                <w:sz w:val="18"/>
              </w:rPr>
              <w:t xml:space="preserve"> </w:t>
            </w:r>
            <w:r>
              <w:rPr>
                <w:sz w:val="18"/>
              </w:rPr>
              <w:t>as</w:t>
            </w:r>
            <w:r>
              <w:rPr>
                <w:spacing w:val="-3"/>
                <w:sz w:val="18"/>
              </w:rPr>
              <w:t xml:space="preserve"> </w:t>
            </w:r>
            <w:r>
              <w:rPr>
                <w:sz w:val="18"/>
              </w:rPr>
              <w:t>in</w:t>
            </w:r>
            <w:r>
              <w:rPr>
                <w:spacing w:val="-3"/>
                <w:sz w:val="18"/>
              </w:rPr>
              <w:t xml:space="preserve"> </w:t>
            </w:r>
            <w:r>
              <w:rPr>
                <w:sz w:val="18"/>
              </w:rPr>
              <w:t>the Regional Regulation on Gender Mainstreaming and the Action Plan for Persons</w:t>
            </w:r>
            <w:r>
              <w:rPr>
                <w:spacing w:val="40"/>
                <w:sz w:val="18"/>
              </w:rPr>
              <w:t xml:space="preserve"> </w:t>
            </w:r>
            <w:r>
              <w:rPr>
                <w:sz w:val="18"/>
              </w:rPr>
              <w:t>with Disabilities. This method of engagement strengthens trust between the government and Civil Society Organisations.</w:t>
            </w:r>
          </w:p>
        </w:tc>
      </w:tr>
      <w:tr w:rsidR="00BC24A8" w14:paraId="0E79DC03" w14:textId="77777777">
        <w:trPr>
          <w:trHeight w:val="1552"/>
        </w:trPr>
        <w:tc>
          <w:tcPr>
            <w:tcW w:w="2500" w:type="dxa"/>
            <w:tcBorders>
              <w:top w:val="single" w:sz="4" w:space="0" w:color="BEBEBE"/>
              <w:bottom w:val="single" w:sz="4" w:space="0" w:color="BEBEBE"/>
            </w:tcBorders>
          </w:tcPr>
          <w:p w14:paraId="2EFB6DDA" w14:textId="77777777" w:rsidR="00BC24A8" w:rsidRDefault="00000000">
            <w:pPr>
              <w:pStyle w:val="TableParagraph"/>
              <w:spacing w:before="116"/>
              <w:ind w:left="115"/>
              <w:rPr>
                <w:sz w:val="18"/>
              </w:rPr>
            </w:pPr>
            <w:r>
              <w:rPr>
                <w:sz w:val="18"/>
              </w:rPr>
              <w:t>Coordination</w:t>
            </w:r>
            <w:r>
              <w:rPr>
                <w:spacing w:val="-11"/>
                <w:sz w:val="18"/>
              </w:rPr>
              <w:t xml:space="preserve"> </w:t>
            </w:r>
            <w:r>
              <w:rPr>
                <w:sz w:val="18"/>
              </w:rPr>
              <w:t>and</w:t>
            </w:r>
            <w:r>
              <w:rPr>
                <w:spacing w:val="-10"/>
                <w:sz w:val="18"/>
              </w:rPr>
              <w:t xml:space="preserve"> </w:t>
            </w:r>
            <w:r>
              <w:rPr>
                <w:sz w:val="18"/>
              </w:rPr>
              <w:t>collaboration (between Provincial Agencies, central and regional, local governments, and JMS/CSOs/ vulnerable groups)</w:t>
            </w:r>
          </w:p>
        </w:tc>
        <w:tc>
          <w:tcPr>
            <w:tcW w:w="6598" w:type="dxa"/>
            <w:tcBorders>
              <w:top w:val="single" w:sz="4" w:space="0" w:color="BEBEBE"/>
              <w:bottom w:val="single" w:sz="4" w:space="0" w:color="BEBEBE"/>
            </w:tcBorders>
          </w:tcPr>
          <w:p w14:paraId="7EB20514" w14:textId="77777777" w:rsidR="00BC24A8" w:rsidRDefault="00000000">
            <w:pPr>
              <w:pStyle w:val="TableParagraph"/>
              <w:numPr>
                <w:ilvl w:val="0"/>
                <w:numId w:val="80"/>
              </w:numPr>
              <w:tabs>
                <w:tab w:val="left" w:pos="466"/>
              </w:tabs>
              <w:spacing w:before="116"/>
              <w:ind w:right="130"/>
              <w:rPr>
                <w:i/>
                <w:sz w:val="18"/>
              </w:rPr>
            </w:pPr>
            <w:r>
              <w:rPr>
                <w:sz w:val="18"/>
              </w:rPr>
              <w:t>Collaboration among DFAT-supported programs at the regional level is essential. During</w:t>
            </w:r>
            <w:r>
              <w:rPr>
                <w:spacing w:val="-4"/>
                <w:sz w:val="18"/>
              </w:rPr>
              <w:t xml:space="preserve"> </w:t>
            </w:r>
            <w:r>
              <w:rPr>
                <w:sz w:val="18"/>
              </w:rPr>
              <w:t>the</w:t>
            </w:r>
            <w:r>
              <w:rPr>
                <w:spacing w:val="-6"/>
                <w:sz w:val="18"/>
              </w:rPr>
              <w:t xml:space="preserve"> </w:t>
            </w:r>
            <w:r>
              <w:rPr>
                <w:sz w:val="18"/>
              </w:rPr>
              <w:t>temporary</w:t>
            </w:r>
            <w:r>
              <w:rPr>
                <w:spacing w:val="-3"/>
                <w:sz w:val="18"/>
              </w:rPr>
              <w:t xml:space="preserve"> </w:t>
            </w:r>
            <w:r>
              <w:rPr>
                <w:sz w:val="18"/>
              </w:rPr>
              <w:t>suspension</w:t>
            </w:r>
            <w:r>
              <w:rPr>
                <w:spacing w:val="-6"/>
                <w:sz w:val="18"/>
              </w:rPr>
              <w:t xml:space="preserve"> </w:t>
            </w:r>
            <w:r>
              <w:rPr>
                <w:sz w:val="18"/>
              </w:rPr>
              <w:t>of</w:t>
            </w:r>
            <w:r>
              <w:rPr>
                <w:spacing w:val="-4"/>
                <w:sz w:val="18"/>
              </w:rPr>
              <w:t xml:space="preserve"> </w:t>
            </w:r>
            <w:r>
              <w:rPr>
                <w:sz w:val="18"/>
              </w:rPr>
              <w:t>SKALA</w:t>
            </w:r>
            <w:r>
              <w:rPr>
                <w:spacing w:val="-4"/>
                <w:sz w:val="18"/>
              </w:rPr>
              <w:t xml:space="preserve"> </w:t>
            </w:r>
            <w:r>
              <w:rPr>
                <w:sz w:val="18"/>
              </w:rPr>
              <w:t>activities</w:t>
            </w:r>
            <w:r>
              <w:rPr>
                <w:spacing w:val="-3"/>
                <w:sz w:val="18"/>
              </w:rPr>
              <w:t xml:space="preserve"> </w:t>
            </w:r>
            <w:r>
              <w:rPr>
                <w:sz w:val="18"/>
              </w:rPr>
              <w:t>from</w:t>
            </w:r>
            <w:r>
              <w:rPr>
                <w:spacing w:val="-4"/>
                <w:sz w:val="18"/>
              </w:rPr>
              <w:t xml:space="preserve"> </w:t>
            </w:r>
            <w:r>
              <w:rPr>
                <w:sz w:val="18"/>
              </w:rPr>
              <w:t>January</w:t>
            </w:r>
            <w:r>
              <w:rPr>
                <w:spacing w:val="-3"/>
                <w:sz w:val="18"/>
              </w:rPr>
              <w:t xml:space="preserve"> </w:t>
            </w:r>
            <w:r>
              <w:rPr>
                <w:sz w:val="18"/>
              </w:rPr>
              <w:t>to</w:t>
            </w:r>
            <w:r>
              <w:rPr>
                <w:spacing w:val="-4"/>
                <w:sz w:val="18"/>
              </w:rPr>
              <w:t xml:space="preserve"> </w:t>
            </w:r>
            <w:r>
              <w:rPr>
                <w:sz w:val="18"/>
              </w:rPr>
              <w:t>March,</w:t>
            </w:r>
            <w:r>
              <w:rPr>
                <w:spacing w:val="-4"/>
                <w:sz w:val="18"/>
              </w:rPr>
              <w:t xml:space="preserve"> </w:t>
            </w:r>
            <w:r>
              <w:rPr>
                <w:sz w:val="18"/>
              </w:rPr>
              <w:t xml:space="preserve">SKALA established a partnership with another DFAT initiative, INKLUSI, to jointly promote the organisation of discussion forums between Civil Society Organisations (CSOs) and Regional Development Planning Agencies (Bappeda) in preparation for the Thematic </w:t>
            </w:r>
            <w:r>
              <w:rPr>
                <w:i/>
                <w:sz w:val="18"/>
              </w:rPr>
              <w:t>Musrenbang.</w:t>
            </w:r>
          </w:p>
        </w:tc>
      </w:tr>
    </w:tbl>
    <w:p w14:paraId="73FA096C" w14:textId="77777777" w:rsidR="00BC24A8" w:rsidRDefault="00BC24A8">
      <w:pPr>
        <w:pStyle w:val="BodyText"/>
        <w:spacing w:before="208"/>
        <w:rPr>
          <w:rFonts w:ascii="Calibri"/>
          <w:b/>
        </w:rPr>
      </w:pPr>
    </w:p>
    <w:p w14:paraId="5A486620" w14:textId="77777777" w:rsidR="00BC24A8" w:rsidRDefault="00000000">
      <w:pPr>
        <w:ind w:left="143"/>
        <w:rPr>
          <w:i/>
        </w:rPr>
      </w:pPr>
      <w:r>
        <w:rPr>
          <w:i/>
          <w:color w:val="1F3762"/>
        </w:rPr>
        <w:t>FY</w:t>
      </w:r>
      <w:r>
        <w:rPr>
          <w:i/>
          <w:color w:val="1F3762"/>
          <w:spacing w:val="-6"/>
        </w:rPr>
        <w:t xml:space="preserve"> </w:t>
      </w:r>
      <w:r>
        <w:rPr>
          <w:i/>
          <w:color w:val="1F3762"/>
        </w:rPr>
        <w:t>2025/2026</w:t>
      </w:r>
      <w:r>
        <w:rPr>
          <w:i/>
          <w:color w:val="1F3762"/>
          <w:spacing w:val="-5"/>
        </w:rPr>
        <w:t xml:space="preserve"> </w:t>
      </w:r>
      <w:r>
        <w:rPr>
          <w:i/>
          <w:color w:val="1F3762"/>
        </w:rPr>
        <w:t>SKALA</w:t>
      </w:r>
      <w:r>
        <w:rPr>
          <w:i/>
          <w:color w:val="1F3762"/>
          <w:spacing w:val="-8"/>
        </w:rPr>
        <w:t xml:space="preserve"> </w:t>
      </w:r>
      <w:r>
        <w:rPr>
          <w:i/>
          <w:color w:val="1F3762"/>
        </w:rPr>
        <w:t>Program</w:t>
      </w:r>
      <w:r>
        <w:rPr>
          <w:i/>
          <w:color w:val="1F3762"/>
          <w:spacing w:val="-5"/>
        </w:rPr>
        <w:t xml:space="preserve"> </w:t>
      </w:r>
      <w:r>
        <w:rPr>
          <w:i/>
          <w:color w:val="1F3762"/>
          <w:spacing w:val="-2"/>
        </w:rPr>
        <w:t>Summary</w:t>
      </w:r>
    </w:p>
    <w:p w14:paraId="2682B710" w14:textId="77777777" w:rsidR="00BC24A8" w:rsidRDefault="00000000">
      <w:pPr>
        <w:pStyle w:val="ListParagraph"/>
        <w:numPr>
          <w:ilvl w:val="1"/>
          <w:numId w:val="79"/>
        </w:numPr>
        <w:tabs>
          <w:tab w:val="left" w:pos="683"/>
        </w:tabs>
        <w:spacing w:before="163"/>
        <w:ind w:hanging="631"/>
        <w:rPr>
          <w:rFonts w:ascii="Calibri"/>
          <w:b/>
        </w:rPr>
      </w:pPr>
      <w:r w:rsidRPr="00795364">
        <w:rPr>
          <w:rFonts w:ascii="Calibri"/>
          <w:b/>
          <w:color w:val="008279"/>
        </w:rPr>
        <w:t>Summary</w:t>
      </w:r>
      <w:r w:rsidRPr="00795364">
        <w:rPr>
          <w:rFonts w:ascii="Calibri"/>
          <w:b/>
          <w:color w:val="008279"/>
          <w:spacing w:val="-5"/>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intended</w:t>
      </w:r>
      <w:r w:rsidRPr="00795364">
        <w:rPr>
          <w:rFonts w:ascii="Calibri"/>
          <w:b/>
          <w:color w:val="008279"/>
          <w:spacing w:val="-6"/>
        </w:rPr>
        <w:t xml:space="preserve"> </w:t>
      </w:r>
      <w:r w:rsidRPr="00795364">
        <w:rPr>
          <w:rFonts w:ascii="Calibri"/>
          <w:b/>
          <w:color w:val="008279"/>
          <w:spacing w:val="-2"/>
        </w:rPr>
        <w:t>results</w:t>
      </w:r>
    </w:p>
    <w:p w14:paraId="7FB5A7B1" w14:textId="77777777" w:rsidR="00BC24A8" w:rsidRDefault="00BC24A8">
      <w:pPr>
        <w:pStyle w:val="BodyText"/>
        <w:spacing w:before="2"/>
        <w:rPr>
          <w:rFonts w:ascii="Calibri"/>
          <w:b/>
          <w:sz w:val="19"/>
        </w:rPr>
      </w:pPr>
    </w:p>
    <w:tbl>
      <w:tblPr>
        <w:tblW w:w="0" w:type="auto"/>
        <w:tblInd w:w="142" w:type="dxa"/>
        <w:tblLayout w:type="fixed"/>
        <w:tblCellMar>
          <w:left w:w="0" w:type="dxa"/>
          <w:right w:w="0" w:type="dxa"/>
        </w:tblCellMar>
        <w:tblLook w:val="01E0" w:firstRow="1" w:lastRow="1" w:firstColumn="1" w:lastColumn="1" w:noHBand="0" w:noVBand="0"/>
      </w:tblPr>
      <w:tblGrid>
        <w:gridCol w:w="2309"/>
        <w:gridCol w:w="6791"/>
      </w:tblGrid>
      <w:tr w:rsidR="00BC24A8" w14:paraId="37C8F582" w14:textId="77777777">
        <w:trPr>
          <w:trHeight w:val="427"/>
        </w:trPr>
        <w:tc>
          <w:tcPr>
            <w:tcW w:w="2309" w:type="dxa"/>
            <w:shd w:val="clear" w:color="auto" w:fill="17365A"/>
          </w:tcPr>
          <w:p w14:paraId="76EF2B0E" w14:textId="77777777" w:rsidR="00BC24A8" w:rsidRDefault="00000000">
            <w:pPr>
              <w:pStyle w:val="TableParagraph"/>
              <w:spacing w:before="83"/>
              <w:ind w:left="116"/>
              <w:rPr>
                <w:rFonts w:ascii="Calibri"/>
                <w:b/>
                <w:sz w:val="20"/>
              </w:rPr>
            </w:pPr>
            <w:r>
              <w:rPr>
                <w:rFonts w:ascii="Calibri"/>
                <w:b/>
                <w:color w:val="FFFFFF"/>
                <w:spacing w:val="-2"/>
                <w:sz w:val="20"/>
              </w:rPr>
              <w:t>Narrative</w:t>
            </w:r>
          </w:p>
        </w:tc>
        <w:tc>
          <w:tcPr>
            <w:tcW w:w="6791" w:type="dxa"/>
            <w:shd w:val="clear" w:color="auto" w:fill="17365A"/>
          </w:tcPr>
          <w:p w14:paraId="5053BEBB" w14:textId="77777777" w:rsidR="00BC24A8" w:rsidRDefault="00000000">
            <w:pPr>
              <w:pStyle w:val="TableParagraph"/>
              <w:spacing w:before="83"/>
              <w:ind w:left="147"/>
              <w:rPr>
                <w:rFonts w:ascii="Calibri"/>
                <w:b/>
                <w:sz w:val="20"/>
              </w:rPr>
            </w:pPr>
            <w:r>
              <w:rPr>
                <w:rFonts w:ascii="Calibri"/>
                <w:b/>
                <w:color w:val="FFFFFF"/>
                <w:sz w:val="20"/>
              </w:rPr>
              <w:t>Summary</w:t>
            </w:r>
            <w:r>
              <w:rPr>
                <w:rFonts w:ascii="Calibri"/>
                <w:b/>
                <w:color w:val="FFFFFF"/>
                <w:spacing w:val="-5"/>
                <w:sz w:val="20"/>
              </w:rPr>
              <w:t xml:space="preserve"> </w:t>
            </w:r>
            <w:r>
              <w:rPr>
                <w:rFonts w:ascii="Calibri"/>
                <w:b/>
                <w:color w:val="FFFFFF"/>
                <w:sz w:val="20"/>
              </w:rPr>
              <w:t>of</w:t>
            </w:r>
            <w:r>
              <w:rPr>
                <w:rFonts w:ascii="Calibri"/>
                <w:b/>
                <w:color w:val="FFFFFF"/>
                <w:spacing w:val="38"/>
                <w:sz w:val="20"/>
              </w:rPr>
              <w:t xml:space="preserve"> </w:t>
            </w:r>
            <w:r>
              <w:rPr>
                <w:rFonts w:ascii="Calibri"/>
                <w:b/>
                <w:color w:val="FFFFFF"/>
                <w:sz w:val="20"/>
              </w:rPr>
              <w:t>the</w:t>
            </w:r>
            <w:r>
              <w:rPr>
                <w:rFonts w:ascii="Calibri"/>
                <w:b/>
                <w:color w:val="FFFFFF"/>
                <w:spacing w:val="-4"/>
                <w:sz w:val="20"/>
              </w:rPr>
              <w:t xml:space="preserve"> </w:t>
            </w:r>
            <w:r>
              <w:rPr>
                <w:rFonts w:ascii="Calibri"/>
                <w:b/>
                <w:color w:val="FFFFFF"/>
                <w:sz w:val="20"/>
              </w:rPr>
              <w:t>key</w:t>
            </w:r>
            <w:r>
              <w:rPr>
                <w:rFonts w:ascii="Calibri"/>
                <w:b/>
                <w:color w:val="FFFFFF"/>
                <w:spacing w:val="-4"/>
                <w:sz w:val="20"/>
              </w:rPr>
              <w:t xml:space="preserve"> </w:t>
            </w:r>
            <w:r>
              <w:rPr>
                <w:rFonts w:ascii="Calibri"/>
                <w:b/>
                <w:color w:val="FFFFFF"/>
                <w:sz w:val="20"/>
              </w:rPr>
              <w:t>outputs</w:t>
            </w:r>
            <w:r>
              <w:rPr>
                <w:rFonts w:ascii="Calibri"/>
                <w:b/>
                <w:color w:val="FFFFFF"/>
                <w:spacing w:val="-7"/>
                <w:sz w:val="20"/>
              </w:rPr>
              <w:t xml:space="preserve"> </w:t>
            </w:r>
            <w:r>
              <w:rPr>
                <w:rFonts w:ascii="Calibri"/>
                <w:b/>
                <w:color w:val="FFFFFF"/>
                <w:sz w:val="20"/>
              </w:rPr>
              <w:t>to</w:t>
            </w:r>
            <w:r>
              <w:rPr>
                <w:rFonts w:ascii="Calibri"/>
                <w:b/>
                <w:color w:val="FFFFFF"/>
                <w:spacing w:val="-3"/>
                <w:sz w:val="20"/>
              </w:rPr>
              <w:t xml:space="preserve"> </w:t>
            </w:r>
            <w:r>
              <w:rPr>
                <w:rFonts w:ascii="Calibri"/>
                <w:b/>
                <w:color w:val="FFFFFF"/>
                <w:sz w:val="20"/>
              </w:rPr>
              <w:t>be</w:t>
            </w:r>
            <w:r>
              <w:rPr>
                <w:rFonts w:ascii="Calibri"/>
                <w:b/>
                <w:color w:val="FFFFFF"/>
                <w:spacing w:val="-3"/>
                <w:sz w:val="20"/>
              </w:rPr>
              <w:t xml:space="preserve"> </w:t>
            </w:r>
            <w:r>
              <w:rPr>
                <w:rFonts w:ascii="Calibri"/>
                <w:b/>
                <w:color w:val="FFFFFF"/>
                <w:sz w:val="20"/>
              </w:rPr>
              <w:t>delivered</w:t>
            </w:r>
            <w:r>
              <w:rPr>
                <w:rFonts w:ascii="Calibri"/>
                <w:b/>
                <w:color w:val="FFFFFF"/>
                <w:spacing w:val="-3"/>
                <w:sz w:val="20"/>
              </w:rPr>
              <w:t xml:space="preserve"> </w:t>
            </w:r>
            <w:r>
              <w:rPr>
                <w:rFonts w:ascii="Calibri"/>
                <w:b/>
                <w:color w:val="FFFFFF"/>
                <w:sz w:val="20"/>
              </w:rPr>
              <w:t>in</w:t>
            </w:r>
            <w:r>
              <w:rPr>
                <w:rFonts w:ascii="Calibri"/>
                <w:b/>
                <w:color w:val="FFFFFF"/>
                <w:spacing w:val="-3"/>
                <w:sz w:val="20"/>
              </w:rPr>
              <w:t xml:space="preserve"> </w:t>
            </w:r>
            <w:r>
              <w:rPr>
                <w:rFonts w:ascii="Calibri"/>
                <w:b/>
                <w:color w:val="FFFFFF"/>
                <w:sz w:val="20"/>
              </w:rPr>
              <w:t>order</w:t>
            </w:r>
            <w:r>
              <w:rPr>
                <w:rFonts w:ascii="Calibri"/>
                <w:b/>
                <w:color w:val="FFFFFF"/>
                <w:spacing w:val="-3"/>
                <w:sz w:val="20"/>
              </w:rPr>
              <w:t xml:space="preserve"> </w:t>
            </w:r>
            <w:r>
              <w:rPr>
                <w:rFonts w:ascii="Calibri"/>
                <w:b/>
                <w:color w:val="FFFFFF"/>
                <w:sz w:val="20"/>
              </w:rPr>
              <w:t>to</w:t>
            </w:r>
            <w:r>
              <w:rPr>
                <w:rFonts w:ascii="Calibri"/>
                <w:b/>
                <w:color w:val="FFFFFF"/>
                <w:spacing w:val="-2"/>
                <w:sz w:val="20"/>
              </w:rPr>
              <w:t xml:space="preserve"> </w:t>
            </w:r>
            <w:r>
              <w:rPr>
                <w:rFonts w:ascii="Calibri"/>
                <w:b/>
                <w:color w:val="FFFFFF"/>
                <w:sz w:val="20"/>
              </w:rPr>
              <w:t>achieve</w:t>
            </w:r>
            <w:r>
              <w:rPr>
                <w:rFonts w:ascii="Calibri"/>
                <w:b/>
                <w:color w:val="FFFFFF"/>
                <w:spacing w:val="-4"/>
                <w:sz w:val="20"/>
              </w:rPr>
              <w:t xml:space="preserve"> </w:t>
            </w:r>
            <w:r>
              <w:rPr>
                <w:rFonts w:ascii="Calibri"/>
                <w:b/>
                <w:color w:val="FFFFFF"/>
                <w:sz w:val="20"/>
              </w:rPr>
              <w:t>the</w:t>
            </w:r>
            <w:r>
              <w:rPr>
                <w:rFonts w:ascii="Calibri"/>
                <w:b/>
                <w:color w:val="FFFFFF"/>
                <w:spacing w:val="-4"/>
                <w:sz w:val="20"/>
              </w:rPr>
              <w:t xml:space="preserve"> </w:t>
            </w:r>
            <w:r>
              <w:rPr>
                <w:rFonts w:ascii="Calibri"/>
                <w:b/>
                <w:color w:val="FFFFFF"/>
                <w:spacing w:val="-2"/>
                <w:sz w:val="20"/>
              </w:rPr>
              <w:t>narrative</w:t>
            </w:r>
          </w:p>
        </w:tc>
      </w:tr>
      <w:tr w:rsidR="00BC24A8" w14:paraId="618CF7A9" w14:textId="77777777">
        <w:trPr>
          <w:trHeight w:val="1816"/>
        </w:trPr>
        <w:tc>
          <w:tcPr>
            <w:tcW w:w="2309" w:type="dxa"/>
            <w:tcBorders>
              <w:bottom w:val="single" w:sz="4" w:space="0" w:color="BEBEBE"/>
            </w:tcBorders>
          </w:tcPr>
          <w:p w14:paraId="337F5372" w14:textId="77777777" w:rsidR="00BC24A8" w:rsidRDefault="00000000">
            <w:pPr>
              <w:pStyle w:val="TableParagraph"/>
              <w:spacing w:before="160"/>
              <w:ind w:left="116" w:right="99"/>
              <w:rPr>
                <w:sz w:val="18"/>
              </w:rPr>
            </w:pPr>
            <w:r>
              <w:rPr>
                <w:sz w:val="18"/>
              </w:rPr>
              <w:t>Result in the development and institutionalisation of consultation spaces and engagement</w:t>
            </w:r>
            <w:r>
              <w:rPr>
                <w:spacing w:val="-11"/>
                <w:sz w:val="18"/>
              </w:rPr>
              <w:t xml:space="preserve"> </w:t>
            </w:r>
            <w:r>
              <w:rPr>
                <w:sz w:val="18"/>
              </w:rPr>
              <w:t>with</w:t>
            </w:r>
            <w:r>
              <w:rPr>
                <w:spacing w:val="-10"/>
                <w:sz w:val="18"/>
              </w:rPr>
              <w:t xml:space="preserve"> </w:t>
            </w:r>
            <w:r>
              <w:rPr>
                <w:sz w:val="18"/>
              </w:rPr>
              <w:t>vulnerable communities to promote increasingly</w:t>
            </w:r>
            <w:r>
              <w:rPr>
                <w:spacing w:val="-6"/>
                <w:sz w:val="18"/>
              </w:rPr>
              <w:t xml:space="preserve"> </w:t>
            </w:r>
            <w:r>
              <w:rPr>
                <w:sz w:val="18"/>
              </w:rPr>
              <w:t xml:space="preserve">inclusive </w:t>
            </w:r>
            <w:r>
              <w:rPr>
                <w:spacing w:val="-2"/>
                <w:sz w:val="18"/>
              </w:rPr>
              <w:t>planning</w:t>
            </w:r>
          </w:p>
        </w:tc>
        <w:tc>
          <w:tcPr>
            <w:tcW w:w="6791" w:type="dxa"/>
            <w:tcBorders>
              <w:bottom w:val="single" w:sz="4" w:space="0" w:color="BEBEBE"/>
            </w:tcBorders>
          </w:tcPr>
          <w:p w14:paraId="36B10060" w14:textId="77777777" w:rsidR="00BC24A8" w:rsidRDefault="00000000">
            <w:pPr>
              <w:pStyle w:val="TableParagraph"/>
              <w:spacing w:before="102"/>
              <w:ind w:left="147"/>
              <w:rPr>
                <w:sz w:val="18"/>
              </w:rPr>
            </w:pPr>
            <w:r>
              <w:rPr>
                <w:sz w:val="18"/>
              </w:rPr>
              <w:t>In</w:t>
            </w:r>
            <w:r>
              <w:rPr>
                <w:spacing w:val="-2"/>
                <w:sz w:val="18"/>
              </w:rPr>
              <w:t xml:space="preserve"> </w:t>
            </w:r>
            <w:r>
              <w:rPr>
                <w:sz w:val="18"/>
              </w:rPr>
              <w:t>2025/2026,</w:t>
            </w:r>
            <w:r>
              <w:rPr>
                <w:spacing w:val="-3"/>
                <w:sz w:val="18"/>
              </w:rPr>
              <w:t xml:space="preserve"> </w:t>
            </w:r>
            <w:r>
              <w:rPr>
                <w:sz w:val="18"/>
              </w:rPr>
              <w:t>efforts</w:t>
            </w:r>
            <w:r>
              <w:rPr>
                <w:spacing w:val="-2"/>
                <w:sz w:val="18"/>
              </w:rPr>
              <w:t xml:space="preserve"> </w:t>
            </w:r>
            <w:r>
              <w:rPr>
                <w:sz w:val="18"/>
              </w:rPr>
              <w:t>to</w:t>
            </w:r>
            <w:r>
              <w:rPr>
                <w:spacing w:val="-3"/>
                <w:sz w:val="18"/>
              </w:rPr>
              <w:t xml:space="preserve"> </w:t>
            </w:r>
            <w:r>
              <w:rPr>
                <w:sz w:val="18"/>
              </w:rPr>
              <w:t>achieve</w:t>
            </w:r>
            <w:r>
              <w:rPr>
                <w:spacing w:val="-2"/>
                <w:sz w:val="18"/>
              </w:rPr>
              <w:t xml:space="preserve"> </w:t>
            </w:r>
            <w:r>
              <w:rPr>
                <w:sz w:val="18"/>
              </w:rPr>
              <w:t>the</w:t>
            </w:r>
            <w:r>
              <w:rPr>
                <w:spacing w:val="-2"/>
                <w:sz w:val="18"/>
              </w:rPr>
              <w:t xml:space="preserve"> </w:t>
            </w:r>
            <w:r>
              <w:rPr>
                <w:sz w:val="18"/>
              </w:rPr>
              <w:t>narrative</w:t>
            </w:r>
            <w:r>
              <w:rPr>
                <w:spacing w:val="-2"/>
                <w:sz w:val="18"/>
              </w:rPr>
              <w:t xml:space="preserve"> </w:t>
            </w:r>
            <w:r>
              <w:rPr>
                <w:sz w:val="18"/>
              </w:rPr>
              <w:t>will</w:t>
            </w:r>
            <w:r>
              <w:rPr>
                <w:spacing w:val="-3"/>
                <w:sz w:val="18"/>
              </w:rPr>
              <w:t xml:space="preserve"> </w:t>
            </w:r>
            <w:r>
              <w:rPr>
                <w:spacing w:val="-2"/>
                <w:sz w:val="18"/>
              </w:rPr>
              <w:t>include:</w:t>
            </w:r>
          </w:p>
          <w:p w14:paraId="3F68330C" w14:textId="77777777" w:rsidR="00BC24A8" w:rsidRDefault="00000000">
            <w:pPr>
              <w:pStyle w:val="TableParagraph"/>
              <w:numPr>
                <w:ilvl w:val="0"/>
                <w:numId w:val="78"/>
              </w:numPr>
              <w:tabs>
                <w:tab w:val="left" w:pos="478"/>
              </w:tabs>
              <w:spacing w:before="59"/>
              <w:ind w:right="404" w:hanging="361"/>
              <w:rPr>
                <w:sz w:val="18"/>
              </w:rPr>
            </w:pPr>
            <w:r>
              <w:rPr>
                <w:sz w:val="18"/>
              </w:rPr>
              <w:t>Promote the establishment of local regulations to institutionalise Thematic Development Planning Forums (</w:t>
            </w:r>
            <w:r>
              <w:rPr>
                <w:i/>
                <w:sz w:val="18"/>
              </w:rPr>
              <w:t>Musrenbang Tematik</w:t>
            </w:r>
            <w:r>
              <w:rPr>
                <w:sz w:val="18"/>
              </w:rPr>
              <w:t xml:space="preserve">) and enhance existing </w:t>
            </w:r>
            <w:r>
              <w:rPr>
                <w:i/>
                <w:sz w:val="18"/>
              </w:rPr>
              <w:t>Musrenbang</w:t>
            </w:r>
            <w:r>
              <w:rPr>
                <w:i/>
                <w:spacing w:val="-5"/>
                <w:sz w:val="18"/>
              </w:rPr>
              <w:t xml:space="preserve"> </w:t>
            </w:r>
            <w:r>
              <w:rPr>
                <w:sz w:val="18"/>
              </w:rPr>
              <w:t>Guidelines,</w:t>
            </w:r>
            <w:r>
              <w:rPr>
                <w:spacing w:val="-5"/>
                <w:sz w:val="18"/>
              </w:rPr>
              <w:t xml:space="preserve"> </w:t>
            </w:r>
            <w:r>
              <w:rPr>
                <w:sz w:val="18"/>
              </w:rPr>
              <w:t>including</w:t>
            </w:r>
            <w:r>
              <w:rPr>
                <w:spacing w:val="-5"/>
                <w:sz w:val="18"/>
              </w:rPr>
              <w:t xml:space="preserve"> </w:t>
            </w:r>
            <w:r>
              <w:rPr>
                <w:sz w:val="18"/>
              </w:rPr>
              <w:t>the</w:t>
            </w:r>
            <w:r>
              <w:rPr>
                <w:spacing w:val="-4"/>
                <w:sz w:val="18"/>
              </w:rPr>
              <w:t xml:space="preserve"> </w:t>
            </w:r>
            <w:r>
              <w:rPr>
                <w:sz w:val="18"/>
              </w:rPr>
              <w:t>incorporation</w:t>
            </w:r>
            <w:r>
              <w:rPr>
                <w:spacing w:val="-4"/>
                <w:sz w:val="18"/>
              </w:rPr>
              <w:t xml:space="preserve"> </w:t>
            </w:r>
            <w:r>
              <w:rPr>
                <w:sz w:val="18"/>
              </w:rPr>
              <w:t>of</w:t>
            </w:r>
            <w:r>
              <w:rPr>
                <w:spacing w:val="-5"/>
                <w:sz w:val="18"/>
              </w:rPr>
              <w:t xml:space="preserve"> </w:t>
            </w:r>
            <w:r>
              <w:rPr>
                <w:sz w:val="18"/>
              </w:rPr>
              <w:t>monitoring</w:t>
            </w:r>
            <w:r>
              <w:rPr>
                <w:spacing w:val="-7"/>
                <w:sz w:val="18"/>
              </w:rPr>
              <w:t xml:space="preserve"> </w:t>
            </w:r>
            <w:r>
              <w:rPr>
                <w:sz w:val="18"/>
              </w:rPr>
              <w:t>and</w:t>
            </w:r>
            <w:r>
              <w:rPr>
                <w:spacing w:val="-4"/>
                <w:sz w:val="18"/>
              </w:rPr>
              <w:t xml:space="preserve"> </w:t>
            </w:r>
            <w:r>
              <w:rPr>
                <w:sz w:val="18"/>
              </w:rPr>
              <w:t>evaluation mechanisms for CSO proposals.</w:t>
            </w:r>
          </w:p>
          <w:p w14:paraId="1B7B3AD7" w14:textId="77777777" w:rsidR="00BC24A8" w:rsidRDefault="00000000">
            <w:pPr>
              <w:pStyle w:val="TableParagraph"/>
              <w:numPr>
                <w:ilvl w:val="0"/>
                <w:numId w:val="78"/>
              </w:numPr>
              <w:tabs>
                <w:tab w:val="left" w:pos="478"/>
              </w:tabs>
              <w:ind w:right="304"/>
              <w:rPr>
                <w:sz w:val="18"/>
              </w:rPr>
            </w:pPr>
            <w:r>
              <w:rPr>
                <w:sz w:val="18"/>
              </w:rPr>
              <w:t>Ensure that the CSO network operates effectively and is supported</w:t>
            </w:r>
            <w:r>
              <w:rPr>
                <w:spacing w:val="-2"/>
                <w:sz w:val="18"/>
              </w:rPr>
              <w:t xml:space="preserve"> </w:t>
            </w:r>
            <w:r>
              <w:rPr>
                <w:sz w:val="18"/>
              </w:rPr>
              <w:t>by a structured work</w:t>
            </w:r>
            <w:r>
              <w:rPr>
                <w:spacing w:val="-4"/>
                <w:sz w:val="18"/>
              </w:rPr>
              <w:t xml:space="preserve"> </w:t>
            </w:r>
            <w:r>
              <w:rPr>
                <w:sz w:val="18"/>
              </w:rPr>
              <w:t>plan</w:t>
            </w:r>
            <w:r>
              <w:rPr>
                <w:spacing w:val="-4"/>
                <w:sz w:val="18"/>
              </w:rPr>
              <w:t xml:space="preserve"> </w:t>
            </w:r>
            <w:r>
              <w:rPr>
                <w:sz w:val="18"/>
              </w:rPr>
              <w:t>to</w:t>
            </w:r>
            <w:r>
              <w:rPr>
                <w:spacing w:val="-4"/>
                <w:sz w:val="18"/>
              </w:rPr>
              <w:t xml:space="preserve"> </w:t>
            </w:r>
            <w:r>
              <w:rPr>
                <w:sz w:val="18"/>
              </w:rPr>
              <w:t>function</w:t>
            </w:r>
            <w:r>
              <w:rPr>
                <w:spacing w:val="-4"/>
                <w:sz w:val="18"/>
              </w:rPr>
              <w:t xml:space="preserve"> </w:t>
            </w:r>
            <w:r>
              <w:rPr>
                <w:sz w:val="18"/>
              </w:rPr>
              <w:t>as</w:t>
            </w:r>
            <w:r>
              <w:rPr>
                <w:spacing w:val="-4"/>
                <w:sz w:val="18"/>
              </w:rPr>
              <w:t xml:space="preserve"> </w:t>
            </w:r>
            <w:r>
              <w:rPr>
                <w:sz w:val="18"/>
              </w:rPr>
              <w:t>a</w:t>
            </w:r>
            <w:r>
              <w:rPr>
                <w:spacing w:val="-4"/>
                <w:sz w:val="18"/>
              </w:rPr>
              <w:t xml:space="preserve"> </w:t>
            </w:r>
            <w:r>
              <w:rPr>
                <w:sz w:val="18"/>
              </w:rPr>
              <w:t>strategic</w:t>
            </w:r>
            <w:r>
              <w:rPr>
                <w:spacing w:val="-4"/>
                <w:sz w:val="18"/>
              </w:rPr>
              <w:t xml:space="preserve"> </w:t>
            </w:r>
            <w:r>
              <w:rPr>
                <w:sz w:val="18"/>
              </w:rPr>
              <w:t>partner</w:t>
            </w:r>
            <w:r>
              <w:rPr>
                <w:spacing w:val="-4"/>
                <w:sz w:val="18"/>
              </w:rPr>
              <w:t xml:space="preserve"> </w:t>
            </w:r>
            <w:r>
              <w:rPr>
                <w:sz w:val="18"/>
              </w:rPr>
              <w:t>in</w:t>
            </w:r>
            <w:r>
              <w:rPr>
                <w:spacing w:val="-4"/>
                <w:sz w:val="18"/>
              </w:rPr>
              <w:t xml:space="preserve"> </w:t>
            </w:r>
            <w:r>
              <w:rPr>
                <w:sz w:val="18"/>
              </w:rPr>
              <w:t>government</w:t>
            </w:r>
            <w:r>
              <w:rPr>
                <w:spacing w:val="-3"/>
                <w:sz w:val="18"/>
              </w:rPr>
              <w:t xml:space="preserve"> </w:t>
            </w:r>
            <w:r>
              <w:rPr>
                <w:sz w:val="18"/>
              </w:rPr>
              <w:t>development</w:t>
            </w:r>
            <w:r>
              <w:rPr>
                <w:spacing w:val="-3"/>
                <w:sz w:val="18"/>
              </w:rPr>
              <w:t xml:space="preserve"> </w:t>
            </w:r>
            <w:r>
              <w:rPr>
                <w:sz w:val="18"/>
              </w:rPr>
              <w:t>initiatives.</w:t>
            </w:r>
          </w:p>
        </w:tc>
      </w:tr>
      <w:tr w:rsidR="00BC24A8" w14:paraId="463B3000" w14:textId="77777777">
        <w:trPr>
          <w:trHeight w:val="2149"/>
        </w:trPr>
        <w:tc>
          <w:tcPr>
            <w:tcW w:w="2309" w:type="dxa"/>
            <w:tcBorders>
              <w:top w:val="single" w:sz="4" w:space="0" w:color="BEBEBE"/>
              <w:bottom w:val="single" w:sz="4" w:space="0" w:color="BEBEBE"/>
            </w:tcBorders>
          </w:tcPr>
          <w:p w14:paraId="7805F904" w14:textId="77777777" w:rsidR="00BC24A8" w:rsidRDefault="00000000">
            <w:pPr>
              <w:pStyle w:val="TableParagraph"/>
              <w:spacing w:before="116"/>
              <w:ind w:left="116"/>
              <w:rPr>
                <w:sz w:val="20"/>
              </w:rPr>
            </w:pPr>
            <w:r>
              <w:rPr>
                <w:sz w:val="20"/>
              </w:rPr>
              <w:t>Resulting</w:t>
            </w:r>
            <w:r>
              <w:rPr>
                <w:spacing w:val="-9"/>
                <w:sz w:val="20"/>
              </w:rPr>
              <w:t xml:space="preserve"> </w:t>
            </w:r>
            <w:r>
              <w:rPr>
                <w:sz w:val="20"/>
              </w:rPr>
              <w:t>in</w:t>
            </w:r>
            <w:r>
              <w:rPr>
                <w:spacing w:val="-9"/>
                <w:sz w:val="20"/>
              </w:rPr>
              <w:t xml:space="preserve"> </w:t>
            </w:r>
            <w:r>
              <w:rPr>
                <w:sz w:val="20"/>
              </w:rPr>
              <w:t>an</w:t>
            </w:r>
            <w:r>
              <w:rPr>
                <w:spacing w:val="-7"/>
                <w:sz w:val="20"/>
              </w:rPr>
              <w:t xml:space="preserve"> </w:t>
            </w:r>
            <w:r>
              <w:rPr>
                <w:sz w:val="20"/>
              </w:rPr>
              <w:t>improved data governance framework</w:t>
            </w:r>
            <w:r>
              <w:rPr>
                <w:spacing w:val="-12"/>
                <w:sz w:val="20"/>
              </w:rPr>
              <w:t xml:space="preserve"> </w:t>
            </w:r>
            <w:r>
              <w:rPr>
                <w:sz w:val="20"/>
              </w:rPr>
              <w:t>that</w:t>
            </w:r>
            <w:r>
              <w:rPr>
                <w:spacing w:val="-11"/>
                <w:sz w:val="20"/>
              </w:rPr>
              <w:t xml:space="preserve"> </w:t>
            </w:r>
            <w:r>
              <w:rPr>
                <w:sz w:val="20"/>
              </w:rPr>
              <w:t xml:space="preserve">supports inclusive basic service </w:t>
            </w:r>
            <w:r>
              <w:rPr>
                <w:spacing w:val="-2"/>
                <w:sz w:val="20"/>
              </w:rPr>
              <w:t>delivery</w:t>
            </w:r>
          </w:p>
        </w:tc>
        <w:tc>
          <w:tcPr>
            <w:tcW w:w="6791" w:type="dxa"/>
            <w:tcBorders>
              <w:top w:val="single" w:sz="4" w:space="0" w:color="BEBEBE"/>
              <w:bottom w:val="single" w:sz="4" w:space="0" w:color="BEBEBE"/>
            </w:tcBorders>
          </w:tcPr>
          <w:p w14:paraId="182EFA81" w14:textId="77777777" w:rsidR="00BC24A8" w:rsidRDefault="00000000">
            <w:pPr>
              <w:pStyle w:val="TableParagraph"/>
              <w:spacing w:before="56"/>
              <w:ind w:left="147"/>
              <w:rPr>
                <w:sz w:val="18"/>
              </w:rPr>
            </w:pPr>
            <w:r>
              <w:rPr>
                <w:sz w:val="18"/>
              </w:rPr>
              <w:t>In</w:t>
            </w:r>
            <w:r>
              <w:rPr>
                <w:spacing w:val="-2"/>
                <w:sz w:val="18"/>
              </w:rPr>
              <w:t xml:space="preserve"> </w:t>
            </w:r>
            <w:r>
              <w:rPr>
                <w:sz w:val="18"/>
              </w:rPr>
              <w:t>2025/2026</w:t>
            </w:r>
            <w:r>
              <w:rPr>
                <w:spacing w:val="-1"/>
                <w:sz w:val="18"/>
              </w:rPr>
              <w:t xml:space="preserve"> </w:t>
            </w:r>
            <w:r>
              <w:rPr>
                <w:sz w:val="18"/>
              </w:rPr>
              <w:t>efforts</w:t>
            </w:r>
            <w:r>
              <w:rPr>
                <w:spacing w:val="-2"/>
                <w:sz w:val="18"/>
              </w:rPr>
              <w:t xml:space="preserve"> </w:t>
            </w:r>
            <w:r>
              <w:rPr>
                <w:sz w:val="18"/>
              </w:rPr>
              <w:t>to</w:t>
            </w:r>
            <w:r>
              <w:rPr>
                <w:spacing w:val="-2"/>
                <w:sz w:val="18"/>
              </w:rPr>
              <w:t xml:space="preserve"> </w:t>
            </w:r>
            <w:r>
              <w:rPr>
                <w:sz w:val="18"/>
              </w:rPr>
              <w:t>achieve</w:t>
            </w:r>
            <w:r>
              <w:rPr>
                <w:spacing w:val="-1"/>
                <w:sz w:val="18"/>
              </w:rPr>
              <w:t xml:space="preserve"> </w:t>
            </w:r>
            <w:r>
              <w:rPr>
                <w:sz w:val="18"/>
              </w:rPr>
              <w:t>a</w:t>
            </w:r>
            <w:r>
              <w:rPr>
                <w:spacing w:val="-1"/>
                <w:sz w:val="18"/>
              </w:rPr>
              <w:t xml:space="preserve"> </w:t>
            </w:r>
            <w:r>
              <w:rPr>
                <w:sz w:val="18"/>
              </w:rPr>
              <w:t>narrative</w:t>
            </w:r>
            <w:r>
              <w:rPr>
                <w:spacing w:val="-1"/>
                <w:sz w:val="18"/>
              </w:rPr>
              <w:t xml:space="preserve"> </w:t>
            </w:r>
            <w:r>
              <w:rPr>
                <w:sz w:val="18"/>
              </w:rPr>
              <w:t>will</w:t>
            </w:r>
            <w:r>
              <w:rPr>
                <w:spacing w:val="-1"/>
                <w:sz w:val="18"/>
              </w:rPr>
              <w:t xml:space="preserve"> </w:t>
            </w:r>
            <w:r>
              <w:rPr>
                <w:sz w:val="18"/>
              </w:rPr>
              <w:t>be</w:t>
            </w:r>
            <w:r>
              <w:rPr>
                <w:spacing w:val="-4"/>
                <w:sz w:val="18"/>
              </w:rPr>
              <w:t xml:space="preserve"> </w:t>
            </w:r>
            <w:r>
              <w:rPr>
                <w:sz w:val="18"/>
              </w:rPr>
              <w:t>driven</w:t>
            </w:r>
            <w:r>
              <w:rPr>
                <w:spacing w:val="-1"/>
                <w:sz w:val="18"/>
              </w:rPr>
              <w:t xml:space="preserve"> </w:t>
            </w:r>
            <w:r>
              <w:rPr>
                <w:spacing w:val="-5"/>
                <w:sz w:val="18"/>
              </w:rPr>
              <w:t>by:</w:t>
            </w:r>
          </w:p>
          <w:p w14:paraId="5D4CD7A4" w14:textId="77777777" w:rsidR="00BC24A8" w:rsidRDefault="00000000">
            <w:pPr>
              <w:pStyle w:val="TableParagraph"/>
              <w:numPr>
                <w:ilvl w:val="0"/>
                <w:numId w:val="77"/>
              </w:numPr>
              <w:tabs>
                <w:tab w:val="left" w:pos="478"/>
              </w:tabs>
              <w:spacing w:before="61"/>
              <w:ind w:right="278"/>
              <w:rPr>
                <w:sz w:val="18"/>
              </w:rPr>
            </w:pPr>
            <w:r>
              <w:rPr>
                <w:sz w:val="18"/>
              </w:rPr>
              <w:t>Completing various regulations and policies for the implementation of Satu Data, especially the review and revision of the Satu Data Governor's Regulation and the Satu</w:t>
            </w:r>
            <w:r>
              <w:rPr>
                <w:spacing w:val="-3"/>
                <w:sz w:val="18"/>
              </w:rPr>
              <w:t xml:space="preserve"> </w:t>
            </w:r>
            <w:r>
              <w:rPr>
                <w:sz w:val="18"/>
              </w:rPr>
              <w:t>Data</w:t>
            </w:r>
            <w:r>
              <w:rPr>
                <w:spacing w:val="-4"/>
                <w:sz w:val="18"/>
              </w:rPr>
              <w:t xml:space="preserve"> </w:t>
            </w:r>
            <w:r>
              <w:rPr>
                <w:sz w:val="18"/>
              </w:rPr>
              <w:t>Forum</w:t>
            </w:r>
            <w:r>
              <w:rPr>
                <w:spacing w:val="-4"/>
                <w:sz w:val="18"/>
              </w:rPr>
              <w:t xml:space="preserve"> </w:t>
            </w:r>
            <w:r>
              <w:rPr>
                <w:sz w:val="18"/>
              </w:rPr>
              <w:t>Decree</w:t>
            </w:r>
            <w:r>
              <w:rPr>
                <w:spacing w:val="-3"/>
                <w:sz w:val="18"/>
              </w:rPr>
              <w:t xml:space="preserve"> </w:t>
            </w:r>
            <w:r>
              <w:rPr>
                <w:sz w:val="18"/>
              </w:rPr>
              <w:t>(adjusted</w:t>
            </w:r>
            <w:r>
              <w:rPr>
                <w:spacing w:val="-3"/>
                <w:sz w:val="18"/>
              </w:rPr>
              <w:t xml:space="preserve"> </w:t>
            </w:r>
            <w:r>
              <w:rPr>
                <w:sz w:val="18"/>
              </w:rPr>
              <w:t>to</w:t>
            </w:r>
            <w:r>
              <w:rPr>
                <w:spacing w:val="-4"/>
                <w:sz w:val="18"/>
              </w:rPr>
              <w:t xml:space="preserve"> </w:t>
            </w:r>
            <w:r>
              <w:rPr>
                <w:sz w:val="18"/>
              </w:rPr>
              <w:t>the</w:t>
            </w:r>
            <w:r>
              <w:rPr>
                <w:spacing w:val="-3"/>
                <w:sz w:val="18"/>
              </w:rPr>
              <w:t xml:space="preserve"> </w:t>
            </w:r>
            <w:r>
              <w:rPr>
                <w:sz w:val="18"/>
              </w:rPr>
              <w:t>regulation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Minister</w:t>
            </w:r>
            <w:r>
              <w:rPr>
                <w:spacing w:val="-3"/>
                <w:sz w:val="18"/>
              </w:rPr>
              <w:t xml:space="preserve"> </w:t>
            </w:r>
            <w:r>
              <w:rPr>
                <w:sz w:val="18"/>
              </w:rPr>
              <w:t>of</w:t>
            </w:r>
            <w:r>
              <w:rPr>
                <w:spacing w:val="-4"/>
                <w:sz w:val="18"/>
              </w:rPr>
              <w:t xml:space="preserve"> </w:t>
            </w:r>
            <w:r>
              <w:rPr>
                <w:sz w:val="18"/>
              </w:rPr>
              <w:t>Home</w:t>
            </w:r>
            <w:r>
              <w:rPr>
                <w:spacing w:val="-3"/>
                <w:sz w:val="18"/>
              </w:rPr>
              <w:t xml:space="preserve"> </w:t>
            </w:r>
            <w:r>
              <w:rPr>
                <w:sz w:val="18"/>
              </w:rPr>
              <w:t>Affairs on One Data for Domestic Governance/SDPDN).</w:t>
            </w:r>
          </w:p>
          <w:p w14:paraId="67F991EE" w14:textId="77777777" w:rsidR="00BC24A8" w:rsidRDefault="00000000">
            <w:pPr>
              <w:pStyle w:val="TableParagraph"/>
              <w:numPr>
                <w:ilvl w:val="0"/>
                <w:numId w:val="77"/>
              </w:numPr>
              <w:tabs>
                <w:tab w:val="left" w:pos="478"/>
              </w:tabs>
              <w:ind w:right="309"/>
              <w:rPr>
                <w:sz w:val="18"/>
              </w:rPr>
            </w:pPr>
            <w:r>
              <w:rPr>
                <w:sz w:val="18"/>
              </w:rPr>
              <w:t>The</w:t>
            </w:r>
            <w:r>
              <w:rPr>
                <w:spacing w:val="-2"/>
                <w:sz w:val="18"/>
              </w:rPr>
              <w:t xml:space="preserve"> </w:t>
            </w:r>
            <w:r>
              <w:rPr>
                <w:sz w:val="18"/>
              </w:rPr>
              <w:t>data</w:t>
            </w:r>
            <w:r>
              <w:rPr>
                <w:spacing w:val="-3"/>
                <w:sz w:val="18"/>
              </w:rPr>
              <w:t xml:space="preserve"> </w:t>
            </w:r>
            <w:r>
              <w:rPr>
                <w:sz w:val="18"/>
              </w:rPr>
              <w:t>cycle</w:t>
            </w:r>
            <w:r>
              <w:rPr>
                <w:spacing w:val="-2"/>
                <w:sz w:val="18"/>
              </w:rPr>
              <w:t xml:space="preserve"> </w:t>
            </w:r>
            <w:r>
              <w:rPr>
                <w:sz w:val="18"/>
              </w:rPr>
              <w:t>is</w:t>
            </w:r>
            <w:r>
              <w:rPr>
                <w:spacing w:val="-2"/>
                <w:sz w:val="18"/>
              </w:rPr>
              <w:t xml:space="preserve"> </w:t>
            </w:r>
            <w:r>
              <w:rPr>
                <w:sz w:val="18"/>
              </w:rPr>
              <w:t>carried</w:t>
            </w:r>
            <w:r>
              <w:rPr>
                <w:spacing w:val="-2"/>
                <w:sz w:val="18"/>
              </w:rPr>
              <w:t xml:space="preserve"> </w:t>
            </w:r>
            <w:r>
              <w:rPr>
                <w:sz w:val="18"/>
              </w:rPr>
              <w:t>out</w:t>
            </w:r>
            <w:r>
              <w:rPr>
                <w:spacing w:val="-1"/>
                <w:sz w:val="18"/>
              </w:rPr>
              <w:t xml:space="preserve"> </w:t>
            </w:r>
            <w:r>
              <w:rPr>
                <w:sz w:val="18"/>
              </w:rPr>
              <w:t>on</w:t>
            </w:r>
            <w:r>
              <w:rPr>
                <w:spacing w:val="-5"/>
                <w:sz w:val="18"/>
              </w:rPr>
              <w:t xml:space="preserve"> </w:t>
            </w:r>
            <w:r>
              <w:rPr>
                <w:sz w:val="18"/>
              </w:rPr>
              <w:t>time,</w:t>
            </w:r>
            <w:r>
              <w:rPr>
                <w:spacing w:val="-3"/>
                <w:sz w:val="18"/>
              </w:rPr>
              <w:t xml:space="preserve"> </w:t>
            </w:r>
            <w:r>
              <w:rPr>
                <w:sz w:val="18"/>
              </w:rPr>
              <w:t>including</w:t>
            </w:r>
            <w:r>
              <w:rPr>
                <w:spacing w:val="-3"/>
                <w:sz w:val="18"/>
              </w:rPr>
              <w:t xml:space="preserve"> </w:t>
            </w:r>
            <w:r>
              <w:rPr>
                <w:sz w:val="18"/>
              </w:rPr>
              <w:t>the</w:t>
            </w:r>
            <w:r>
              <w:rPr>
                <w:spacing w:val="-2"/>
                <w:sz w:val="18"/>
              </w:rPr>
              <w:t xml:space="preserve"> </w:t>
            </w:r>
            <w:r>
              <w:rPr>
                <w:sz w:val="18"/>
              </w:rPr>
              <w:t>use</w:t>
            </w:r>
            <w:r>
              <w:rPr>
                <w:spacing w:val="-2"/>
                <w:sz w:val="18"/>
              </w:rPr>
              <w:t xml:space="preserve"> </w:t>
            </w:r>
            <w:r>
              <w:rPr>
                <w:sz w:val="18"/>
              </w:rPr>
              <w:t>of</w:t>
            </w:r>
            <w:r>
              <w:rPr>
                <w:spacing w:val="-3"/>
                <w:sz w:val="18"/>
              </w:rPr>
              <w:t xml:space="preserve"> </w:t>
            </w:r>
            <w:r>
              <w:rPr>
                <w:sz w:val="18"/>
              </w:rPr>
              <w:t>a</w:t>
            </w:r>
            <w:r>
              <w:rPr>
                <w:spacing w:val="-3"/>
                <w:sz w:val="18"/>
              </w:rPr>
              <w:t xml:space="preserve"> </w:t>
            </w:r>
            <w:r>
              <w:rPr>
                <w:sz w:val="18"/>
              </w:rPr>
              <w:t>single</w:t>
            </w:r>
            <w:r>
              <w:rPr>
                <w:spacing w:val="-2"/>
                <w:sz w:val="18"/>
              </w:rPr>
              <w:t xml:space="preserve"> </w:t>
            </w:r>
            <w:r>
              <w:rPr>
                <w:sz w:val="18"/>
              </w:rPr>
              <w:t>data</w:t>
            </w:r>
            <w:r>
              <w:rPr>
                <w:spacing w:val="-3"/>
                <w:sz w:val="18"/>
              </w:rPr>
              <w:t xml:space="preserve"> </w:t>
            </w:r>
            <w:r>
              <w:rPr>
                <w:sz w:val="18"/>
              </w:rPr>
              <w:t>portal</w:t>
            </w:r>
            <w:r>
              <w:rPr>
                <w:spacing w:val="-1"/>
                <w:sz w:val="18"/>
              </w:rPr>
              <w:t xml:space="preserve"> </w:t>
            </w:r>
            <w:r>
              <w:rPr>
                <w:sz w:val="18"/>
              </w:rPr>
              <w:t>in</w:t>
            </w:r>
            <w:r>
              <w:rPr>
                <w:spacing w:val="-2"/>
                <w:sz w:val="18"/>
              </w:rPr>
              <w:t xml:space="preserve"> </w:t>
            </w:r>
            <w:r>
              <w:rPr>
                <w:sz w:val="18"/>
              </w:rPr>
              <w:t>the planning</w:t>
            </w:r>
            <w:r>
              <w:rPr>
                <w:spacing w:val="-2"/>
                <w:sz w:val="18"/>
              </w:rPr>
              <w:t xml:space="preserve"> </w:t>
            </w:r>
            <w:r>
              <w:rPr>
                <w:sz w:val="18"/>
              </w:rPr>
              <w:t>process.</w:t>
            </w:r>
          </w:p>
          <w:p w14:paraId="6C60521E" w14:textId="77777777" w:rsidR="00BC24A8" w:rsidRDefault="00000000">
            <w:pPr>
              <w:pStyle w:val="TableParagraph"/>
              <w:numPr>
                <w:ilvl w:val="0"/>
                <w:numId w:val="77"/>
              </w:numPr>
              <w:tabs>
                <w:tab w:val="left" w:pos="478"/>
              </w:tabs>
              <w:ind w:right="151"/>
              <w:rPr>
                <w:sz w:val="18"/>
              </w:rPr>
            </w:pPr>
            <w:r>
              <w:rPr>
                <w:sz w:val="18"/>
              </w:rPr>
              <w:t>Ensure</w:t>
            </w:r>
            <w:r>
              <w:rPr>
                <w:spacing w:val="-3"/>
                <w:sz w:val="18"/>
              </w:rPr>
              <w:t xml:space="preserve"> </w:t>
            </w:r>
            <w:r>
              <w:rPr>
                <w:sz w:val="18"/>
              </w:rPr>
              <w:t>the</w:t>
            </w:r>
            <w:r>
              <w:rPr>
                <w:spacing w:val="-3"/>
                <w:sz w:val="18"/>
              </w:rPr>
              <w:t xml:space="preserve"> </w:t>
            </w:r>
            <w:r>
              <w:rPr>
                <w:sz w:val="18"/>
              </w:rPr>
              <w:t>use</w:t>
            </w:r>
            <w:r>
              <w:rPr>
                <w:spacing w:val="-3"/>
                <w:sz w:val="18"/>
              </w:rPr>
              <w:t xml:space="preserve"> </w:t>
            </w:r>
            <w:r>
              <w:rPr>
                <w:sz w:val="18"/>
              </w:rPr>
              <w:t>of</w:t>
            </w:r>
            <w:r>
              <w:rPr>
                <w:spacing w:val="-4"/>
                <w:sz w:val="18"/>
              </w:rPr>
              <w:t xml:space="preserve"> </w:t>
            </w:r>
            <w:r>
              <w:rPr>
                <w:sz w:val="18"/>
              </w:rPr>
              <w:t>various</w:t>
            </w:r>
            <w:r>
              <w:rPr>
                <w:spacing w:val="-3"/>
                <w:sz w:val="18"/>
              </w:rPr>
              <w:t xml:space="preserve"> </w:t>
            </w:r>
            <w:r>
              <w:rPr>
                <w:sz w:val="18"/>
              </w:rPr>
              <w:t>data</w:t>
            </w:r>
            <w:r>
              <w:rPr>
                <w:spacing w:val="-4"/>
                <w:sz w:val="18"/>
              </w:rPr>
              <w:t xml:space="preserve"> </w:t>
            </w:r>
            <w:r>
              <w:rPr>
                <w:sz w:val="18"/>
              </w:rPr>
              <w:t>sources</w:t>
            </w:r>
            <w:r>
              <w:rPr>
                <w:spacing w:val="-3"/>
                <w:sz w:val="18"/>
              </w:rPr>
              <w:t xml:space="preserve"> </w:t>
            </w:r>
            <w:r>
              <w:rPr>
                <w:sz w:val="18"/>
              </w:rPr>
              <w:t>for</w:t>
            </w:r>
            <w:r>
              <w:rPr>
                <w:spacing w:val="-3"/>
                <w:sz w:val="18"/>
              </w:rPr>
              <w:t xml:space="preserve"> </w:t>
            </w:r>
            <w:r>
              <w:rPr>
                <w:sz w:val="18"/>
              </w:rPr>
              <w:t>beneficiary</w:t>
            </w:r>
            <w:r>
              <w:rPr>
                <w:spacing w:val="-3"/>
                <w:sz w:val="18"/>
              </w:rPr>
              <w:t xml:space="preserve"> </w:t>
            </w:r>
            <w:r>
              <w:rPr>
                <w:sz w:val="18"/>
              </w:rPr>
              <w:t>mapping,</w:t>
            </w:r>
            <w:r>
              <w:rPr>
                <w:spacing w:val="-4"/>
                <w:sz w:val="18"/>
              </w:rPr>
              <w:t xml:space="preserve"> </w:t>
            </w:r>
            <w:r>
              <w:rPr>
                <w:sz w:val="18"/>
              </w:rPr>
              <w:t>including</w:t>
            </w:r>
            <w:r>
              <w:rPr>
                <w:spacing w:val="-4"/>
                <w:sz w:val="18"/>
              </w:rPr>
              <w:t xml:space="preserve"> </w:t>
            </w:r>
            <w:r>
              <w:rPr>
                <w:sz w:val="18"/>
              </w:rPr>
              <w:t>their</w:t>
            </w:r>
            <w:r>
              <w:rPr>
                <w:spacing w:val="-3"/>
                <w:sz w:val="18"/>
              </w:rPr>
              <w:t xml:space="preserve"> </w:t>
            </w:r>
            <w:r>
              <w:rPr>
                <w:sz w:val="18"/>
              </w:rPr>
              <w:t>use</w:t>
            </w:r>
            <w:r>
              <w:rPr>
                <w:spacing w:val="-3"/>
                <w:sz w:val="18"/>
              </w:rPr>
              <w:t xml:space="preserve"> </w:t>
            </w:r>
            <w:r>
              <w:rPr>
                <w:sz w:val="18"/>
              </w:rPr>
              <w:t>as the basis for setting Minimum Service Standards targets.</w:t>
            </w:r>
          </w:p>
        </w:tc>
      </w:tr>
    </w:tbl>
    <w:p w14:paraId="67AD4770" w14:textId="77777777" w:rsidR="00BC24A8" w:rsidRDefault="00BC24A8">
      <w:pPr>
        <w:pStyle w:val="TableParagraph"/>
        <w:rPr>
          <w:sz w:val="18"/>
        </w:rPr>
        <w:sectPr w:rsidR="00BC24A8">
          <w:pgSz w:w="11910" w:h="16840"/>
          <w:pgMar w:top="1360" w:right="850" w:bottom="1100" w:left="1275" w:header="0" w:footer="907" w:gutter="0"/>
          <w:cols w:space="720"/>
        </w:sectPr>
      </w:pPr>
    </w:p>
    <w:p w14:paraId="7D9A92EA" w14:textId="77777777" w:rsidR="00BC24A8" w:rsidRDefault="00BC24A8">
      <w:pPr>
        <w:pStyle w:val="BodyText"/>
        <w:rPr>
          <w:rFonts w:ascii="Calibri"/>
          <w:b/>
          <w:sz w:val="2"/>
        </w:rPr>
      </w:pPr>
    </w:p>
    <w:tbl>
      <w:tblPr>
        <w:tblW w:w="0" w:type="auto"/>
        <w:tblInd w:w="136" w:type="dxa"/>
        <w:tblLayout w:type="fixed"/>
        <w:tblCellMar>
          <w:left w:w="0" w:type="dxa"/>
          <w:right w:w="0" w:type="dxa"/>
        </w:tblCellMar>
        <w:tblLook w:val="01E0" w:firstRow="1" w:lastRow="1" w:firstColumn="1" w:lastColumn="1" w:noHBand="0" w:noVBand="0"/>
      </w:tblPr>
      <w:tblGrid>
        <w:gridCol w:w="2333"/>
        <w:gridCol w:w="6773"/>
      </w:tblGrid>
      <w:tr w:rsidR="00BC24A8" w14:paraId="77CB0C49" w14:textId="77777777">
        <w:trPr>
          <w:trHeight w:val="614"/>
        </w:trPr>
        <w:tc>
          <w:tcPr>
            <w:tcW w:w="2333" w:type="dxa"/>
            <w:tcBorders>
              <w:top w:val="single" w:sz="4" w:space="0" w:color="BEBEBE"/>
              <w:bottom w:val="single" w:sz="4" w:space="0" w:color="BEBEBE"/>
            </w:tcBorders>
          </w:tcPr>
          <w:p w14:paraId="2E03052F" w14:textId="77777777" w:rsidR="00BC24A8" w:rsidRDefault="00BC24A8">
            <w:pPr>
              <w:pStyle w:val="TableParagraph"/>
              <w:rPr>
                <w:rFonts w:ascii="Times New Roman"/>
                <w:sz w:val="18"/>
              </w:rPr>
            </w:pPr>
          </w:p>
        </w:tc>
        <w:tc>
          <w:tcPr>
            <w:tcW w:w="6773" w:type="dxa"/>
            <w:tcBorders>
              <w:top w:val="single" w:sz="4" w:space="0" w:color="BEBEBE"/>
              <w:bottom w:val="single" w:sz="4" w:space="0" w:color="BEBEBE"/>
            </w:tcBorders>
          </w:tcPr>
          <w:p w14:paraId="44EA9E63" w14:textId="77777777" w:rsidR="00BC24A8" w:rsidRDefault="00000000">
            <w:pPr>
              <w:pStyle w:val="TableParagraph"/>
              <w:numPr>
                <w:ilvl w:val="0"/>
                <w:numId w:val="76"/>
              </w:numPr>
              <w:tabs>
                <w:tab w:val="left" w:pos="460"/>
              </w:tabs>
              <w:spacing w:before="56"/>
              <w:ind w:right="917"/>
              <w:rPr>
                <w:sz w:val="18"/>
              </w:rPr>
            </w:pPr>
            <w:r>
              <w:rPr>
                <w:sz w:val="18"/>
              </w:rPr>
              <w:t>Supporting</w:t>
            </w:r>
            <w:r>
              <w:rPr>
                <w:spacing w:val="-5"/>
                <w:sz w:val="18"/>
              </w:rPr>
              <w:t xml:space="preserve"> </w:t>
            </w:r>
            <w:r>
              <w:rPr>
                <w:sz w:val="18"/>
              </w:rPr>
              <w:t>the</w:t>
            </w:r>
            <w:r>
              <w:rPr>
                <w:spacing w:val="-7"/>
                <w:sz w:val="18"/>
              </w:rPr>
              <w:t xml:space="preserve"> </w:t>
            </w:r>
            <w:r>
              <w:rPr>
                <w:sz w:val="18"/>
              </w:rPr>
              <w:t>implementation</w:t>
            </w:r>
            <w:r>
              <w:rPr>
                <w:spacing w:val="-4"/>
                <w:sz w:val="18"/>
              </w:rPr>
              <w:t xml:space="preserve"> </w:t>
            </w:r>
            <w:r>
              <w:rPr>
                <w:sz w:val="18"/>
              </w:rPr>
              <w:t>of</w:t>
            </w:r>
            <w:r>
              <w:rPr>
                <w:spacing w:val="-5"/>
                <w:sz w:val="18"/>
              </w:rPr>
              <w:t xml:space="preserve"> </w:t>
            </w:r>
            <w:r>
              <w:rPr>
                <w:sz w:val="18"/>
              </w:rPr>
              <w:t>coordination,</w:t>
            </w:r>
            <w:r>
              <w:rPr>
                <w:spacing w:val="-5"/>
                <w:sz w:val="18"/>
              </w:rPr>
              <w:t xml:space="preserve"> </w:t>
            </w:r>
            <w:r>
              <w:rPr>
                <w:sz w:val="18"/>
              </w:rPr>
              <w:t>guidance,</w:t>
            </w:r>
            <w:r>
              <w:rPr>
                <w:spacing w:val="-5"/>
                <w:sz w:val="18"/>
              </w:rPr>
              <w:t xml:space="preserve"> </w:t>
            </w:r>
            <w:r>
              <w:rPr>
                <w:sz w:val="18"/>
              </w:rPr>
              <w:t>and</w:t>
            </w:r>
            <w:r>
              <w:rPr>
                <w:spacing w:val="-4"/>
                <w:sz w:val="18"/>
              </w:rPr>
              <w:t xml:space="preserve"> </w:t>
            </w:r>
            <w:r>
              <w:rPr>
                <w:sz w:val="18"/>
              </w:rPr>
              <w:t>supervision (</w:t>
            </w:r>
            <w:r>
              <w:rPr>
                <w:i/>
                <w:sz w:val="18"/>
              </w:rPr>
              <w:t>korbinwas</w:t>
            </w:r>
            <w:r>
              <w:rPr>
                <w:sz w:val="18"/>
              </w:rPr>
              <w:t>) for the implementation of one data in districts/cities.</w:t>
            </w:r>
          </w:p>
        </w:tc>
      </w:tr>
      <w:tr w:rsidR="00BC24A8" w14:paraId="20F78BCD" w14:textId="77777777">
        <w:trPr>
          <w:trHeight w:val="374"/>
        </w:trPr>
        <w:tc>
          <w:tcPr>
            <w:tcW w:w="2333" w:type="dxa"/>
            <w:tcBorders>
              <w:top w:val="single" w:sz="4" w:space="0" w:color="BEBEBE"/>
            </w:tcBorders>
          </w:tcPr>
          <w:p w14:paraId="43A341EF" w14:textId="77777777" w:rsidR="00BC24A8" w:rsidRDefault="00000000">
            <w:pPr>
              <w:pStyle w:val="TableParagraph"/>
              <w:spacing w:before="116" w:line="238" w:lineRule="exact"/>
              <w:ind w:left="122"/>
              <w:rPr>
                <w:sz w:val="20"/>
              </w:rPr>
            </w:pPr>
            <w:r>
              <w:rPr>
                <w:sz w:val="20"/>
              </w:rPr>
              <w:t>Resulting</w:t>
            </w:r>
            <w:r>
              <w:rPr>
                <w:spacing w:val="-5"/>
                <w:sz w:val="20"/>
              </w:rPr>
              <w:t xml:space="preserve"> </w:t>
            </w:r>
            <w:r>
              <w:rPr>
                <w:sz w:val="20"/>
              </w:rPr>
              <w:t>in</w:t>
            </w:r>
            <w:r>
              <w:rPr>
                <w:spacing w:val="-5"/>
                <w:sz w:val="20"/>
              </w:rPr>
              <w:t xml:space="preserve"> </w:t>
            </w:r>
            <w:r>
              <w:rPr>
                <w:sz w:val="20"/>
              </w:rPr>
              <w:t>a</w:t>
            </w:r>
            <w:r>
              <w:rPr>
                <w:spacing w:val="-5"/>
                <w:sz w:val="20"/>
              </w:rPr>
              <w:t xml:space="preserve"> </w:t>
            </w:r>
            <w:r>
              <w:rPr>
                <w:spacing w:val="-4"/>
                <w:sz w:val="20"/>
              </w:rPr>
              <w:t>more</w:t>
            </w:r>
          </w:p>
        </w:tc>
        <w:tc>
          <w:tcPr>
            <w:tcW w:w="6773" w:type="dxa"/>
            <w:vMerge w:val="restart"/>
            <w:tcBorders>
              <w:top w:val="single" w:sz="4" w:space="0" w:color="BEBEBE"/>
              <w:bottom w:val="single" w:sz="4" w:space="0" w:color="BEBEBE"/>
            </w:tcBorders>
          </w:tcPr>
          <w:p w14:paraId="69253993" w14:textId="77777777" w:rsidR="00BC24A8" w:rsidRDefault="00000000">
            <w:pPr>
              <w:pStyle w:val="TableParagraph"/>
              <w:numPr>
                <w:ilvl w:val="0"/>
                <w:numId w:val="75"/>
              </w:numPr>
              <w:tabs>
                <w:tab w:val="left" w:pos="460"/>
              </w:tabs>
              <w:spacing w:before="116"/>
              <w:ind w:right="496"/>
              <w:jc w:val="both"/>
              <w:rPr>
                <w:sz w:val="18"/>
              </w:rPr>
            </w:pPr>
            <w:r>
              <w:rPr>
                <w:sz w:val="18"/>
              </w:rPr>
              <w:t>Expanding</w:t>
            </w:r>
            <w:r>
              <w:rPr>
                <w:spacing w:val="-5"/>
                <w:sz w:val="18"/>
              </w:rPr>
              <w:t xml:space="preserve"> </w:t>
            </w:r>
            <w:r>
              <w:rPr>
                <w:sz w:val="18"/>
              </w:rPr>
              <w:t>the</w:t>
            </w:r>
            <w:r>
              <w:rPr>
                <w:spacing w:val="-4"/>
                <w:sz w:val="18"/>
              </w:rPr>
              <w:t xml:space="preserve"> </w:t>
            </w:r>
            <w:r>
              <w:rPr>
                <w:sz w:val="18"/>
              </w:rPr>
              <w:t>involvement</w:t>
            </w:r>
            <w:r>
              <w:rPr>
                <w:spacing w:val="-3"/>
                <w:sz w:val="18"/>
              </w:rPr>
              <w:t xml:space="preserve"> </w:t>
            </w:r>
            <w:r>
              <w:rPr>
                <w:sz w:val="18"/>
              </w:rPr>
              <w:t>of</w:t>
            </w:r>
            <w:r>
              <w:rPr>
                <w:spacing w:val="-5"/>
                <w:sz w:val="18"/>
              </w:rPr>
              <w:t xml:space="preserve"> </w:t>
            </w:r>
            <w:r>
              <w:rPr>
                <w:sz w:val="18"/>
              </w:rPr>
              <w:t>key</w:t>
            </w:r>
            <w:r>
              <w:rPr>
                <w:spacing w:val="-6"/>
                <w:sz w:val="18"/>
              </w:rPr>
              <w:t xml:space="preserve"> </w:t>
            </w:r>
            <w:r>
              <w:rPr>
                <w:sz w:val="18"/>
              </w:rPr>
              <w:t>Provincial</w:t>
            </w:r>
            <w:r>
              <w:rPr>
                <w:spacing w:val="-3"/>
                <w:sz w:val="18"/>
              </w:rPr>
              <w:t xml:space="preserve"> </w:t>
            </w:r>
            <w:r>
              <w:rPr>
                <w:sz w:val="18"/>
              </w:rPr>
              <w:t>Agencies</w:t>
            </w:r>
            <w:r>
              <w:rPr>
                <w:spacing w:val="-6"/>
                <w:sz w:val="18"/>
              </w:rPr>
              <w:t xml:space="preserve"> </w:t>
            </w:r>
            <w:r>
              <w:rPr>
                <w:sz w:val="18"/>
              </w:rPr>
              <w:t>in</w:t>
            </w:r>
            <w:r>
              <w:rPr>
                <w:spacing w:val="-4"/>
                <w:sz w:val="18"/>
              </w:rPr>
              <w:t xml:space="preserve"> </w:t>
            </w:r>
            <w:r>
              <w:rPr>
                <w:sz w:val="18"/>
              </w:rPr>
              <w:t>the</w:t>
            </w:r>
            <w:r>
              <w:rPr>
                <w:spacing w:val="-4"/>
                <w:sz w:val="18"/>
              </w:rPr>
              <w:t xml:space="preserve"> </w:t>
            </w:r>
            <w:r>
              <w:rPr>
                <w:sz w:val="18"/>
              </w:rPr>
              <w:t>provincial</w:t>
            </w:r>
            <w:r>
              <w:rPr>
                <w:spacing w:val="-3"/>
                <w:sz w:val="18"/>
              </w:rPr>
              <w:t xml:space="preserve"> </w:t>
            </w:r>
            <w:r>
              <w:rPr>
                <w:sz w:val="18"/>
              </w:rPr>
              <w:t>Minimum Service</w:t>
            </w:r>
            <w:r>
              <w:rPr>
                <w:spacing w:val="-3"/>
                <w:sz w:val="18"/>
              </w:rPr>
              <w:t xml:space="preserve"> </w:t>
            </w:r>
            <w:r>
              <w:rPr>
                <w:sz w:val="18"/>
              </w:rPr>
              <w:t>Standards</w:t>
            </w:r>
            <w:r>
              <w:rPr>
                <w:spacing w:val="-3"/>
                <w:sz w:val="18"/>
              </w:rPr>
              <w:t xml:space="preserve"> </w:t>
            </w:r>
            <w:r>
              <w:rPr>
                <w:sz w:val="18"/>
              </w:rPr>
              <w:t>implementation</w:t>
            </w:r>
            <w:r>
              <w:rPr>
                <w:spacing w:val="-3"/>
                <w:sz w:val="18"/>
              </w:rPr>
              <w:t xml:space="preserve"> </w:t>
            </w:r>
            <w:r>
              <w:rPr>
                <w:sz w:val="18"/>
              </w:rPr>
              <w:t>team,</w:t>
            </w:r>
            <w:r>
              <w:rPr>
                <w:spacing w:val="-4"/>
                <w:sz w:val="18"/>
              </w:rPr>
              <w:t xml:space="preserve"> </w:t>
            </w:r>
            <w:r>
              <w:rPr>
                <w:sz w:val="18"/>
              </w:rPr>
              <w:t>especially</w:t>
            </w:r>
            <w:r>
              <w:rPr>
                <w:spacing w:val="-3"/>
                <w:sz w:val="18"/>
              </w:rPr>
              <w:t xml:space="preserve"> </w:t>
            </w:r>
            <w:r>
              <w:rPr>
                <w:sz w:val="18"/>
              </w:rPr>
              <w:t>the</w:t>
            </w:r>
            <w:r>
              <w:rPr>
                <w:spacing w:val="-3"/>
                <w:sz w:val="18"/>
              </w:rPr>
              <w:t xml:space="preserve"> </w:t>
            </w:r>
            <w:r>
              <w:rPr>
                <w:sz w:val="18"/>
              </w:rPr>
              <w:t>inspectorate,</w:t>
            </w:r>
            <w:r>
              <w:rPr>
                <w:spacing w:val="-4"/>
                <w:sz w:val="18"/>
              </w:rPr>
              <w:t xml:space="preserve"> </w:t>
            </w:r>
            <w:r>
              <w:rPr>
                <w:sz w:val="18"/>
              </w:rPr>
              <w:t>in</w:t>
            </w:r>
            <w:r>
              <w:rPr>
                <w:spacing w:val="-3"/>
                <w:sz w:val="18"/>
              </w:rPr>
              <w:t xml:space="preserve"> </w:t>
            </w:r>
            <w:r>
              <w:rPr>
                <w:sz w:val="18"/>
              </w:rPr>
              <w:t>ensuring alignment of planning and budgeting.</w:t>
            </w:r>
          </w:p>
          <w:p w14:paraId="541EAEBE" w14:textId="77777777" w:rsidR="00BC24A8" w:rsidRDefault="00000000">
            <w:pPr>
              <w:pStyle w:val="TableParagraph"/>
              <w:numPr>
                <w:ilvl w:val="0"/>
                <w:numId w:val="75"/>
              </w:numPr>
              <w:tabs>
                <w:tab w:val="left" w:pos="460"/>
              </w:tabs>
              <w:spacing w:before="1"/>
              <w:ind w:right="249"/>
              <w:rPr>
                <w:sz w:val="18"/>
              </w:rPr>
            </w:pPr>
            <w:r>
              <w:rPr>
                <w:sz w:val="18"/>
              </w:rPr>
              <w:t>Encourage the integration of the Minimum Service Standards action plan into the RPJMD,</w:t>
            </w:r>
            <w:r>
              <w:rPr>
                <w:spacing w:val="-5"/>
                <w:sz w:val="18"/>
              </w:rPr>
              <w:t xml:space="preserve"> </w:t>
            </w:r>
            <w:r>
              <w:rPr>
                <w:sz w:val="18"/>
              </w:rPr>
              <w:t>Strategic</w:t>
            </w:r>
            <w:r>
              <w:rPr>
                <w:spacing w:val="-4"/>
                <w:sz w:val="18"/>
              </w:rPr>
              <w:t xml:space="preserve"> </w:t>
            </w:r>
            <w:r>
              <w:rPr>
                <w:sz w:val="18"/>
              </w:rPr>
              <w:t>Plan,</w:t>
            </w:r>
            <w:r>
              <w:rPr>
                <w:spacing w:val="-5"/>
                <w:sz w:val="18"/>
              </w:rPr>
              <w:t xml:space="preserve"> </w:t>
            </w:r>
            <w:r>
              <w:rPr>
                <w:sz w:val="18"/>
              </w:rPr>
              <w:t>and</w:t>
            </w:r>
            <w:r>
              <w:rPr>
                <w:spacing w:val="-4"/>
                <w:sz w:val="18"/>
              </w:rPr>
              <w:t xml:space="preserve"> </w:t>
            </w:r>
            <w:r>
              <w:rPr>
                <w:sz w:val="18"/>
              </w:rPr>
              <w:t>the</w:t>
            </w:r>
            <w:r>
              <w:rPr>
                <w:spacing w:val="-4"/>
                <w:sz w:val="18"/>
              </w:rPr>
              <w:t xml:space="preserve"> </w:t>
            </w:r>
            <w:r>
              <w:rPr>
                <w:sz w:val="18"/>
              </w:rPr>
              <w:t>work</w:t>
            </w:r>
            <w:r>
              <w:rPr>
                <w:spacing w:val="-4"/>
                <w:sz w:val="18"/>
              </w:rPr>
              <w:t xml:space="preserve"> </w:t>
            </w:r>
            <w:r>
              <w:rPr>
                <w:sz w:val="18"/>
              </w:rPr>
              <w:t>plan</w:t>
            </w:r>
            <w:r>
              <w:rPr>
                <w:spacing w:val="-4"/>
                <w:sz w:val="18"/>
              </w:rPr>
              <w:t xml:space="preserve"> </w:t>
            </w:r>
            <w:r>
              <w:rPr>
                <w:sz w:val="18"/>
              </w:rPr>
              <w:t>of</w:t>
            </w:r>
            <w:r>
              <w:rPr>
                <w:spacing w:val="-5"/>
                <w:sz w:val="18"/>
              </w:rPr>
              <w:t xml:space="preserve"> </w:t>
            </w:r>
            <w:r>
              <w:rPr>
                <w:sz w:val="18"/>
              </w:rPr>
              <w:t>Minimum</w:t>
            </w:r>
            <w:r>
              <w:rPr>
                <w:spacing w:val="-5"/>
                <w:sz w:val="18"/>
              </w:rPr>
              <w:t xml:space="preserve"> </w:t>
            </w:r>
            <w:r>
              <w:rPr>
                <w:sz w:val="18"/>
              </w:rPr>
              <w:t>Service</w:t>
            </w:r>
            <w:r>
              <w:rPr>
                <w:spacing w:val="-4"/>
                <w:sz w:val="18"/>
              </w:rPr>
              <w:t xml:space="preserve"> </w:t>
            </w:r>
            <w:r>
              <w:rPr>
                <w:sz w:val="18"/>
              </w:rPr>
              <w:t>Standards-supporting Provincial Agencies.</w:t>
            </w:r>
          </w:p>
          <w:p w14:paraId="38228FE8" w14:textId="77777777" w:rsidR="00BC24A8" w:rsidRDefault="00000000">
            <w:pPr>
              <w:pStyle w:val="TableParagraph"/>
              <w:numPr>
                <w:ilvl w:val="0"/>
                <w:numId w:val="75"/>
              </w:numPr>
              <w:tabs>
                <w:tab w:val="left" w:pos="460"/>
              </w:tabs>
              <w:ind w:right="202"/>
              <w:rPr>
                <w:sz w:val="18"/>
              </w:rPr>
            </w:pPr>
            <w:r>
              <w:rPr>
                <w:sz w:val="18"/>
              </w:rPr>
              <w:t>Strengthening</w:t>
            </w:r>
            <w:r>
              <w:rPr>
                <w:spacing w:val="-5"/>
                <w:sz w:val="18"/>
              </w:rPr>
              <w:t xml:space="preserve"> </w:t>
            </w:r>
            <w:r>
              <w:rPr>
                <w:sz w:val="18"/>
              </w:rPr>
              <w:t>the</w:t>
            </w:r>
            <w:r>
              <w:rPr>
                <w:spacing w:val="-7"/>
                <w:sz w:val="18"/>
              </w:rPr>
              <w:t xml:space="preserve"> </w:t>
            </w:r>
            <w:r>
              <w:rPr>
                <w:sz w:val="18"/>
              </w:rPr>
              <w:t>role</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Provincial</w:t>
            </w:r>
            <w:r>
              <w:rPr>
                <w:spacing w:val="-3"/>
                <w:sz w:val="18"/>
              </w:rPr>
              <w:t xml:space="preserve"> </w:t>
            </w:r>
            <w:r>
              <w:rPr>
                <w:sz w:val="18"/>
              </w:rPr>
              <w:t>Minimum</w:t>
            </w:r>
            <w:r>
              <w:rPr>
                <w:spacing w:val="-5"/>
                <w:sz w:val="18"/>
              </w:rPr>
              <w:t xml:space="preserve"> </w:t>
            </w:r>
            <w:r>
              <w:rPr>
                <w:sz w:val="18"/>
              </w:rPr>
              <w:t>Service</w:t>
            </w:r>
            <w:r>
              <w:rPr>
                <w:spacing w:val="-4"/>
                <w:sz w:val="18"/>
              </w:rPr>
              <w:t xml:space="preserve"> </w:t>
            </w:r>
            <w:r>
              <w:rPr>
                <w:sz w:val="18"/>
              </w:rPr>
              <w:t>Standards</w:t>
            </w:r>
            <w:r>
              <w:rPr>
                <w:spacing w:val="-4"/>
                <w:sz w:val="18"/>
              </w:rPr>
              <w:t xml:space="preserve"> </w:t>
            </w:r>
            <w:r>
              <w:rPr>
                <w:sz w:val="18"/>
              </w:rPr>
              <w:t>implementation team to provide guidance and supervision to the District/City.</w:t>
            </w:r>
          </w:p>
        </w:tc>
      </w:tr>
      <w:tr w:rsidR="00BC24A8" w14:paraId="0AC60AD0" w14:textId="77777777">
        <w:trPr>
          <w:trHeight w:val="234"/>
        </w:trPr>
        <w:tc>
          <w:tcPr>
            <w:tcW w:w="2333" w:type="dxa"/>
          </w:tcPr>
          <w:p w14:paraId="53BB0D1D" w14:textId="77777777" w:rsidR="00BC24A8" w:rsidRDefault="00000000">
            <w:pPr>
              <w:pStyle w:val="TableParagraph"/>
              <w:spacing w:line="215" w:lineRule="exact"/>
              <w:ind w:left="122"/>
              <w:rPr>
                <w:sz w:val="20"/>
              </w:rPr>
            </w:pPr>
            <w:r>
              <w:rPr>
                <w:sz w:val="20"/>
              </w:rPr>
              <w:t>consolidated</w:t>
            </w:r>
            <w:r>
              <w:rPr>
                <w:spacing w:val="-8"/>
                <w:sz w:val="20"/>
              </w:rPr>
              <w:t xml:space="preserve"> </w:t>
            </w:r>
            <w:r>
              <w:rPr>
                <w:sz w:val="20"/>
              </w:rPr>
              <w:t>and</w:t>
            </w:r>
            <w:r>
              <w:rPr>
                <w:spacing w:val="-8"/>
                <w:sz w:val="20"/>
              </w:rPr>
              <w:t xml:space="preserve"> </w:t>
            </w:r>
            <w:r>
              <w:rPr>
                <w:spacing w:val="-2"/>
                <w:sz w:val="20"/>
              </w:rPr>
              <w:t>inclusive</w:t>
            </w:r>
          </w:p>
        </w:tc>
        <w:tc>
          <w:tcPr>
            <w:tcW w:w="6773" w:type="dxa"/>
            <w:vMerge/>
            <w:tcBorders>
              <w:top w:val="nil"/>
              <w:bottom w:val="single" w:sz="4" w:space="0" w:color="BEBEBE"/>
            </w:tcBorders>
          </w:tcPr>
          <w:p w14:paraId="49F302FA" w14:textId="77777777" w:rsidR="00BC24A8" w:rsidRDefault="00BC24A8">
            <w:pPr>
              <w:rPr>
                <w:sz w:val="2"/>
                <w:szCs w:val="2"/>
              </w:rPr>
            </w:pPr>
          </w:p>
        </w:tc>
      </w:tr>
      <w:tr w:rsidR="00BC24A8" w14:paraId="00431950" w14:textId="77777777">
        <w:trPr>
          <w:trHeight w:val="233"/>
        </w:trPr>
        <w:tc>
          <w:tcPr>
            <w:tcW w:w="2333" w:type="dxa"/>
          </w:tcPr>
          <w:p w14:paraId="6A9986CE" w14:textId="77777777" w:rsidR="00BC24A8" w:rsidRDefault="00000000">
            <w:pPr>
              <w:pStyle w:val="TableParagraph"/>
              <w:spacing w:line="214" w:lineRule="exact"/>
              <w:ind w:left="122"/>
              <w:rPr>
                <w:sz w:val="20"/>
              </w:rPr>
            </w:pPr>
            <w:r>
              <w:rPr>
                <w:sz w:val="20"/>
              </w:rPr>
              <w:t>framework</w:t>
            </w:r>
            <w:r>
              <w:rPr>
                <w:spacing w:val="-7"/>
                <w:sz w:val="20"/>
              </w:rPr>
              <w:t xml:space="preserve"> </w:t>
            </w:r>
            <w:r>
              <w:rPr>
                <w:sz w:val="20"/>
              </w:rPr>
              <w:t>for</w:t>
            </w:r>
            <w:r>
              <w:rPr>
                <w:spacing w:val="-7"/>
                <w:sz w:val="20"/>
              </w:rPr>
              <w:t xml:space="preserve"> </w:t>
            </w:r>
            <w:r>
              <w:rPr>
                <w:spacing w:val="-5"/>
                <w:sz w:val="20"/>
              </w:rPr>
              <w:t>MSS</w:t>
            </w:r>
          </w:p>
        </w:tc>
        <w:tc>
          <w:tcPr>
            <w:tcW w:w="6773" w:type="dxa"/>
            <w:vMerge/>
            <w:tcBorders>
              <w:top w:val="nil"/>
              <w:bottom w:val="single" w:sz="4" w:space="0" w:color="BEBEBE"/>
            </w:tcBorders>
          </w:tcPr>
          <w:p w14:paraId="1ED58459" w14:textId="77777777" w:rsidR="00BC24A8" w:rsidRDefault="00BC24A8">
            <w:pPr>
              <w:rPr>
                <w:sz w:val="2"/>
                <w:szCs w:val="2"/>
              </w:rPr>
            </w:pPr>
          </w:p>
        </w:tc>
      </w:tr>
      <w:tr w:rsidR="00BC24A8" w14:paraId="4DC9F172" w14:textId="77777777">
        <w:trPr>
          <w:trHeight w:val="233"/>
        </w:trPr>
        <w:tc>
          <w:tcPr>
            <w:tcW w:w="2333" w:type="dxa"/>
          </w:tcPr>
          <w:p w14:paraId="292EB069" w14:textId="77777777" w:rsidR="00BC24A8" w:rsidRDefault="00000000">
            <w:pPr>
              <w:pStyle w:val="TableParagraph"/>
              <w:spacing w:line="214" w:lineRule="exact"/>
              <w:ind w:left="122"/>
              <w:rPr>
                <w:sz w:val="20"/>
              </w:rPr>
            </w:pPr>
            <w:r>
              <w:rPr>
                <w:spacing w:val="-2"/>
                <w:sz w:val="20"/>
              </w:rPr>
              <w:t>implementation</w:t>
            </w:r>
            <w:r>
              <w:rPr>
                <w:spacing w:val="12"/>
                <w:sz w:val="20"/>
              </w:rPr>
              <w:t xml:space="preserve"> </w:t>
            </w:r>
            <w:r>
              <w:rPr>
                <w:spacing w:val="-5"/>
                <w:sz w:val="20"/>
              </w:rPr>
              <w:t>and</w:t>
            </w:r>
          </w:p>
        </w:tc>
        <w:tc>
          <w:tcPr>
            <w:tcW w:w="6773" w:type="dxa"/>
            <w:vMerge/>
            <w:tcBorders>
              <w:top w:val="nil"/>
              <w:bottom w:val="single" w:sz="4" w:space="0" w:color="BEBEBE"/>
            </w:tcBorders>
          </w:tcPr>
          <w:p w14:paraId="7F327546" w14:textId="77777777" w:rsidR="00BC24A8" w:rsidRDefault="00BC24A8">
            <w:pPr>
              <w:rPr>
                <w:sz w:val="2"/>
                <w:szCs w:val="2"/>
              </w:rPr>
            </w:pPr>
          </w:p>
        </w:tc>
      </w:tr>
      <w:tr w:rsidR="00BC24A8" w14:paraId="4B630AF8" w14:textId="77777777">
        <w:trPr>
          <w:trHeight w:val="874"/>
        </w:trPr>
        <w:tc>
          <w:tcPr>
            <w:tcW w:w="2333" w:type="dxa"/>
            <w:tcBorders>
              <w:bottom w:val="single" w:sz="4" w:space="0" w:color="BEBEBE"/>
            </w:tcBorders>
          </w:tcPr>
          <w:p w14:paraId="5740755C" w14:textId="77777777" w:rsidR="00BC24A8" w:rsidRDefault="00000000">
            <w:pPr>
              <w:pStyle w:val="TableParagraph"/>
              <w:spacing w:line="221" w:lineRule="exact"/>
              <w:ind w:left="122"/>
              <w:rPr>
                <w:sz w:val="20"/>
              </w:rPr>
            </w:pPr>
            <w:r>
              <w:rPr>
                <w:sz w:val="20"/>
              </w:rPr>
              <w:t>regular</w:t>
            </w:r>
            <w:r>
              <w:rPr>
                <w:spacing w:val="-9"/>
                <w:sz w:val="20"/>
              </w:rPr>
              <w:t xml:space="preserve"> </w:t>
            </w:r>
            <w:r>
              <w:rPr>
                <w:spacing w:val="-2"/>
                <w:sz w:val="20"/>
              </w:rPr>
              <w:t>planning</w:t>
            </w:r>
          </w:p>
        </w:tc>
        <w:tc>
          <w:tcPr>
            <w:tcW w:w="6773" w:type="dxa"/>
            <w:vMerge/>
            <w:tcBorders>
              <w:top w:val="nil"/>
              <w:bottom w:val="single" w:sz="4" w:space="0" w:color="BEBEBE"/>
            </w:tcBorders>
          </w:tcPr>
          <w:p w14:paraId="5EE3272E" w14:textId="77777777" w:rsidR="00BC24A8" w:rsidRDefault="00BC24A8">
            <w:pPr>
              <w:rPr>
                <w:sz w:val="2"/>
                <w:szCs w:val="2"/>
              </w:rPr>
            </w:pPr>
          </w:p>
        </w:tc>
      </w:tr>
      <w:tr w:rsidR="00BC24A8" w14:paraId="3463EC62" w14:textId="77777777">
        <w:trPr>
          <w:trHeight w:val="374"/>
        </w:trPr>
        <w:tc>
          <w:tcPr>
            <w:tcW w:w="2333" w:type="dxa"/>
            <w:tcBorders>
              <w:top w:val="single" w:sz="4" w:space="0" w:color="BEBEBE"/>
            </w:tcBorders>
          </w:tcPr>
          <w:p w14:paraId="31A89E37" w14:textId="77777777" w:rsidR="00BC24A8" w:rsidRDefault="00000000">
            <w:pPr>
              <w:pStyle w:val="TableParagraph"/>
              <w:spacing w:before="116" w:line="238" w:lineRule="exact"/>
              <w:ind w:left="122"/>
              <w:rPr>
                <w:sz w:val="20"/>
              </w:rPr>
            </w:pPr>
            <w:r>
              <w:rPr>
                <w:sz w:val="20"/>
              </w:rPr>
              <w:t>Generate</w:t>
            </w:r>
            <w:r>
              <w:rPr>
                <w:spacing w:val="-6"/>
                <w:sz w:val="20"/>
              </w:rPr>
              <w:t xml:space="preserve"> </w:t>
            </w:r>
            <w:r>
              <w:rPr>
                <w:sz w:val="20"/>
              </w:rPr>
              <w:t>a</w:t>
            </w:r>
            <w:r>
              <w:rPr>
                <w:spacing w:val="-7"/>
                <w:sz w:val="20"/>
              </w:rPr>
              <w:t xml:space="preserve"> </w:t>
            </w:r>
            <w:r>
              <w:rPr>
                <w:spacing w:val="-4"/>
                <w:sz w:val="20"/>
              </w:rPr>
              <w:t>more</w:t>
            </w:r>
          </w:p>
        </w:tc>
        <w:tc>
          <w:tcPr>
            <w:tcW w:w="6773" w:type="dxa"/>
            <w:vMerge w:val="restart"/>
            <w:tcBorders>
              <w:top w:val="single" w:sz="4" w:space="0" w:color="BEBEBE"/>
              <w:bottom w:val="single" w:sz="4" w:space="0" w:color="BEBEBE"/>
            </w:tcBorders>
          </w:tcPr>
          <w:p w14:paraId="2CCA80D1" w14:textId="77777777" w:rsidR="00BC24A8" w:rsidRDefault="00000000">
            <w:pPr>
              <w:pStyle w:val="TableParagraph"/>
              <w:numPr>
                <w:ilvl w:val="0"/>
                <w:numId w:val="74"/>
              </w:numPr>
              <w:tabs>
                <w:tab w:val="left" w:pos="460"/>
              </w:tabs>
              <w:spacing w:before="116"/>
              <w:rPr>
                <w:sz w:val="18"/>
              </w:rPr>
            </w:pPr>
            <w:r>
              <w:rPr>
                <w:sz w:val="18"/>
              </w:rPr>
              <w:t>Regional</w:t>
            </w:r>
            <w:r>
              <w:rPr>
                <w:spacing w:val="-1"/>
                <w:sz w:val="18"/>
              </w:rPr>
              <w:t xml:space="preserve"> </w:t>
            </w:r>
            <w:r>
              <w:rPr>
                <w:sz w:val="18"/>
              </w:rPr>
              <w:t>Revenue</w:t>
            </w:r>
            <w:r>
              <w:rPr>
                <w:spacing w:val="-2"/>
                <w:sz w:val="18"/>
              </w:rPr>
              <w:t xml:space="preserve"> </w:t>
            </w:r>
            <w:r>
              <w:rPr>
                <w:sz w:val="18"/>
              </w:rPr>
              <w:t>studies</w:t>
            </w:r>
            <w:r>
              <w:rPr>
                <w:spacing w:val="-2"/>
                <w:sz w:val="18"/>
              </w:rPr>
              <w:t xml:space="preserve"> </w:t>
            </w:r>
            <w:r>
              <w:rPr>
                <w:sz w:val="18"/>
              </w:rPr>
              <w:t>are</w:t>
            </w:r>
            <w:r>
              <w:rPr>
                <w:spacing w:val="-2"/>
                <w:sz w:val="18"/>
              </w:rPr>
              <w:t xml:space="preserve"> </w:t>
            </w:r>
            <w:r>
              <w:rPr>
                <w:sz w:val="18"/>
              </w:rPr>
              <w:t>implemented</w:t>
            </w:r>
            <w:r>
              <w:rPr>
                <w:spacing w:val="-1"/>
                <w:sz w:val="18"/>
              </w:rPr>
              <w:t xml:space="preserve"> </w:t>
            </w:r>
            <w:r>
              <w:rPr>
                <w:sz w:val="18"/>
              </w:rPr>
              <w:t>and</w:t>
            </w:r>
            <w:r>
              <w:rPr>
                <w:spacing w:val="-2"/>
                <w:sz w:val="18"/>
              </w:rPr>
              <w:t xml:space="preserve"> </w:t>
            </w:r>
            <w:r>
              <w:rPr>
                <w:sz w:val="18"/>
              </w:rPr>
              <w:t>used</w:t>
            </w:r>
            <w:r>
              <w:rPr>
                <w:spacing w:val="-2"/>
                <w:sz w:val="18"/>
              </w:rPr>
              <w:t xml:space="preserve"> </w:t>
            </w:r>
            <w:r>
              <w:rPr>
                <w:sz w:val="18"/>
              </w:rPr>
              <w:t>by</w:t>
            </w:r>
            <w:r>
              <w:rPr>
                <w:spacing w:val="-2"/>
                <w:sz w:val="18"/>
              </w:rPr>
              <w:t xml:space="preserve"> </w:t>
            </w:r>
            <w:r>
              <w:rPr>
                <w:sz w:val="18"/>
              </w:rPr>
              <w:t xml:space="preserve">local </w:t>
            </w:r>
            <w:r>
              <w:rPr>
                <w:spacing w:val="-2"/>
                <w:sz w:val="18"/>
              </w:rPr>
              <w:t>governments.</w:t>
            </w:r>
          </w:p>
          <w:p w14:paraId="6FBCADC9" w14:textId="77777777" w:rsidR="00BC24A8" w:rsidRDefault="00000000">
            <w:pPr>
              <w:pStyle w:val="TableParagraph"/>
              <w:numPr>
                <w:ilvl w:val="0"/>
                <w:numId w:val="74"/>
              </w:numPr>
              <w:tabs>
                <w:tab w:val="left" w:pos="460"/>
              </w:tabs>
              <w:spacing w:before="1"/>
              <w:ind w:right="515"/>
              <w:rPr>
                <w:sz w:val="18"/>
              </w:rPr>
            </w:pPr>
            <w:r>
              <w:rPr>
                <w:sz w:val="18"/>
              </w:rPr>
              <w:t>Facilitating</w:t>
            </w:r>
            <w:r>
              <w:rPr>
                <w:spacing w:val="-4"/>
                <w:sz w:val="18"/>
              </w:rPr>
              <w:t xml:space="preserve"> </w:t>
            </w:r>
            <w:r>
              <w:rPr>
                <w:sz w:val="18"/>
              </w:rPr>
              <w:t>and</w:t>
            </w:r>
            <w:r>
              <w:rPr>
                <w:spacing w:val="-3"/>
                <w:sz w:val="18"/>
              </w:rPr>
              <w:t xml:space="preserve"> </w:t>
            </w:r>
            <w:r>
              <w:rPr>
                <w:sz w:val="18"/>
              </w:rPr>
              <w:t>advocating</w:t>
            </w:r>
            <w:r>
              <w:rPr>
                <w:spacing w:val="-4"/>
                <w:sz w:val="18"/>
              </w:rPr>
              <w:t xml:space="preserve"> </w:t>
            </w:r>
            <w:r>
              <w:rPr>
                <w:sz w:val="18"/>
              </w:rPr>
              <w:t>for</w:t>
            </w:r>
            <w:r>
              <w:rPr>
                <w:spacing w:val="-3"/>
                <w:sz w:val="18"/>
              </w:rPr>
              <w:t xml:space="preserve"> </w:t>
            </w:r>
            <w:r>
              <w:rPr>
                <w:sz w:val="18"/>
              </w:rPr>
              <w:t>TAPD</w:t>
            </w:r>
            <w:r>
              <w:rPr>
                <w:spacing w:val="-3"/>
                <w:sz w:val="18"/>
              </w:rPr>
              <w:t xml:space="preserve"> </w:t>
            </w:r>
            <w:r>
              <w:rPr>
                <w:sz w:val="18"/>
              </w:rPr>
              <w:t>to</w:t>
            </w:r>
            <w:r>
              <w:rPr>
                <w:spacing w:val="-4"/>
                <w:sz w:val="18"/>
              </w:rPr>
              <w:t xml:space="preserve"> </w:t>
            </w:r>
            <w:r>
              <w:rPr>
                <w:sz w:val="18"/>
              </w:rPr>
              <w:t>encourage</w:t>
            </w:r>
            <w:r>
              <w:rPr>
                <w:spacing w:val="-3"/>
                <w:sz w:val="18"/>
              </w:rPr>
              <w:t xml:space="preserve"> </w:t>
            </w:r>
            <w:r>
              <w:rPr>
                <w:sz w:val="18"/>
              </w:rPr>
              <w:t>the</w:t>
            </w:r>
            <w:r>
              <w:rPr>
                <w:spacing w:val="-3"/>
                <w:sz w:val="18"/>
              </w:rPr>
              <w:t xml:space="preserve"> </w:t>
            </w:r>
            <w:r>
              <w:rPr>
                <w:sz w:val="18"/>
              </w:rPr>
              <w:t>prioritisation</w:t>
            </w:r>
            <w:r>
              <w:rPr>
                <w:spacing w:val="-6"/>
                <w:sz w:val="18"/>
              </w:rPr>
              <w:t xml:space="preserve"> </w:t>
            </w:r>
            <w:r>
              <w:rPr>
                <w:sz w:val="18"/>
              </w:rPr>
              <w:t>of</w:t>
            </w:r>
            <w:r>
              <w:rPr>
                <w:spacing w:val="-4"/>
                <w:sz w:val="18"/>
              </w:rPr>
              <w:t xml:space="preserve"> </w:t>
            </w:r>
            <w:r>
              <w:rPr>
                <w:sz w:val="18"/>
              </w:rPr>
              <w:t>Minimum Service Standards implementation budget.</w:t>
            </w:r>
          </w:p>
        </w:tc>
      </w:tr>
      <w:tr w:rsidR="00BC24A8" w14:paraId="1E358692" w14:textId="77777777">
        <w:trPr>
          <w:trHeight w:val="234"/>
        </w:trPr>
        <w:tc>
          <w:tcPr>
            <w:tcW w:w="2333" w:type="dxa"/>
          </w:tcPr>
          <w:p w14:paraId="787048E2" w14:textId="77777777" w:rsidR="00BC24A8" w:rsidRDefault="00000000">
            <w:pPr>
              <w:pStyle w:val="TableParagraph"/>
              <w:spacing w:line="215" w:lineRule="exact"/>
              <w:ind w:left="122"/>
              <w:rPr>
                <w:sz w:val="20"/>
              </w:rPr>
            </w:pPr>
            <w:r>
              <w:rPr>
                <w:spacing w:val="-2"/>
                <w:sz w:val="20"/>
              </w:rPr>
              <w:t>responsive</w:t>
            </w:r>
            <w:r>
              <w:rPr>
                <w:spacing w:val="8"/>
                <w:sz w:val="20"/>
              </w:rPr>
              <w:t xml:space="preserve"> </w:t>
            </w:r>
            <w:r>
              <w:rPr>
                <w:spacing w:val="-2"/>
                <w:sz w:val="20"/>
              </w:rPr>
              <w:t>local</w:t>
            </w:r>
          </w:p>
        </w:tc>
        <w:tc>
          <w:tcPr>
            <w:tcW w:w="6773" w:type="dxa"/>
            <w:vMerge/>
            <w:tcBorders>
              <w:top w:val="nil"/>
              <w:bottom w:val="single" w:sz="4" w:space="0" w:color="BEBEBE"/>
            </w:tcBorders>
          </w:tcPr>
          <w:p w14:paraId="06A90BC7" w14:textId="77777777" w:rsidR="00BC24A8" w:rsidRDefault="00BC24A8">
            <w:pPr>
              <w:rPr>
                <w:sz w:val="2"/>
                <w:szCs w:val="2"/>
              </w:rPr>
            </w:pPr>
          </w:p>
        </w:tc>
      </w:tr>
      <w:tr w:rsidR="00BC24A8" w14:paraId="36794051" w14:textId="77777777">
        <w:trPr>
          <w:trHeight w:val="234"/>
        </w:trPr>
        <w:tc>
          <w:tcPr>
            <w:tcW w:w="2333" w:type="dxa"/>
          </w:tcPr>
          <w:p w14:paraId="06784823" w14:textId="77777777" w:rsidR="00BC24A8" w:rsidRDefault="00000000">
            <w:pPr>
              <w:pStyle w:val="TableParagraph"/>
              <w:spacing w:line="215" w:lineRule="exact"/>
              <w:ind w:left="122"/>
              <w:rPr>
                <w:sz w:val="20"/>
              </w:rPr>
            </w:pPr>
            <w:r>
              <w:rPr>
                <w:spacing w:val="-2"/>
                <w:sz w:val="20"/>
              </w:rPr>
              <w:t>government</w:t>
            </w:r>
            <w:r>
              <w:rPr>
                <w:spacing w:val="5"/>
                <w:sz w:val="20"/>
              </w:rPr>
              <w:t xml:space="preserve"> </w:t>
            </w:r>
            <w:r>
              <w:rPr>
                <w:spacing w:val="-2"/>
                <w:sz w:val="20"/>
              </w:rPr>
              <w:t>budget</w:t>
            </w:r>
          </w:p>
        </w:tc>
        <w:tc>
          <w:tcPr>
            <w:tcW w:w="6773" w:type="dxa"/>
            <w:vMerge/>
            <w:tcBorders>
              <w:top w:val="nil"/>
              <w:bottom w:val="single" w:sz="4" w:space="0" w:color="BEBEBE"/>
            </w:tcBorders>
          </w:tcPr>
          <w:p w14:paraId="4F7429ED" w14:textId="77777777" w:rsidR="00BC24A8" w:rsidRDefault="00BC24A8">
            <w:pPr>
              <w:rPr>
                <w:sz w:val="2"/>
                <w:szCs w:val="2"/>
              </w:rPr>
            </w:pPr>
          </w:p>
        </w:tc>
      </w:tr>
      <w:tr w:rsidR="00BC24A8" w14:paraId="1B381332" w14:textId="77777777">
        <w:trPr>
          <w:trHeight w:val="233"/>
        </w:trPr>
        <w:tc>
          <w:tcPr>
            <w:tcW w:w="2333" w:type="dxa"/>
          </w:tcPr>
          <w:p w14:paraId="64A52762" w14:textId="77777777" w:rsidR="00BC24A8" w:rsidRDefault="00000000">
            <w:pPr>
              <w:pStyle w:val="TableParagraph"/>
              <w:spacing w:line="214" w:lineRule="exact"/>
              <w:ind w:left="122"/>
              <w:rPr>
                <w:sz w:val="20"/>
              </w:rPr>
            </w:pPr>
            <w:r>
              <w:rPr>
                <w:sz w:val="20"/>
              </w:rPr>
              <w:t>management</w:t>
            </w:r>
            <w:r>
              <w:rPr>
                <w:spacing w:val="-12"/>
                <w:sz w:val="20"/>
              </w:rPr>
              <w:t xml:space="preserve"> </w:t>
            </w:r>
            <w:r>
              <w:rPr>
                <w:sz w:val="20"/>
              </w:rPr>
              <w:t>base</w:t>
            </w:r>
            <w:r>
              <w:rPr>
                <w:spacing w:val="-10"/>
                <w:sz w:val="20"/>
              </w:rPr>
              <w:t xml:space="preserve"> </w:t>
            </w:r>
            <w:r>
              <w:rPr>
                <w:spacing w:val="-5"/>
                <w:sz w:val="20"/>
              </w:rPr>
              <w:t>for</w:t>
            </w:r>
          </w:p>
        </w:tc>
        <w:tc>
          <w:tcPr>
            <w:tcW w:w="6773" w:type="dxa"/>
            <w:vMerge/>
            <w:tcBorders>
              <w:top w:val="nil"/>
              <w:bottom w:val="single" w:sz="4" w:space="0" w:color="BEBEBE"/>
            </w:tcBorders>
          </w:tcPr>
          <w:p w14:paraId="2EE4D124" w14:textId="77777777" w:rsidR="00BC24A8" w:rsidRDefault="00BC24A8">
            <w:pPr>
              <w:rPr>
                <w:sz w:val="2"/>
                <w:szCs w:val="2"/>
              </w:rPr>
            </w:pPr>
          </w:p>
        </w:tc>
      </w:tr>
      <w:tr w:rsidR="00BC24A8" w14:paraId="36E74C47" w14:textId="77777777">
        <w:trPr>
          <w:trHeight w:val="233"/>
        </w:trPr>
        <w:tc>
          <w:tcPr>
            <w:tcW w:w="2333" w:type="dxa"/>
          </w:tcPr>
          <w:p w14:paraId="514512B8" w14:textId="77777777" w:rsidR="00BC24A8" w:rsidRDefault="00000000">
            <w:pPr>
              <w:pStyle w:val="TableParagraph"/>
              <w:spacing w:line="214" w:lineRule="exact"/>
              <w:ind w:left="122"/>
              <w:rPr>
                <w:sz w:val="20"/>
              </w:rPr>
            </w:pPr>
            <w:r>
              <w:rPr>
                <w:sz w:val="20"/>
              </w:rPr>
              <w:t>inclusive</w:t>
            </w:r>
            <w:r>
              <w:rPr>
                <w:spacing w:val="-8"/>
                <w:sz w:val="20"/>
              </w:rPr>
              <w:t xml:space="preserve"> </w:t>
            </w:r>
            <w:r>
              <w:rPr>
                <w:sz w:val="20"/>
              </w:rPr>
              <w:t>basic</w:t>
            </w:r>
            <w:r>
              <w:rPr>
                <w:spacing w:val="-7"/>
                <w:sz w:val="20"/>
              </w:rPr>
              <w:t xml:space="preserve"> </w:t>
            </w:r>
            <w:r>
              <w:rPr>
                <w:spacing w:val="-2"/>
                <w:sz w:val="20"/>
              </w:rPr>
              <w:t>service</w:t>
            </w:r>
          </w:p>
        </w:tc>
        <w:tc>
          <w:tcPr>
            <w:tcW w:w="6773" w:type="dxa"/>
            <w:vMerge/>
            <w:tcBorders>
              <w:top w:val="nil"/>
              <w:bottom w:val="single" w:sz="4" w:space="0" w:color="BEBEBE"/>
            </w:tcBorders>
          </w:tcPr>
          <w:p w14:paraId="61EC0777" w14:textId="77777777" w:rsidR="00BC24A8" w:rsidRDefault="00BC24A8">
            <w:pPr>
              <w:rPr>
                <w:sz w:val="2"/>
                <w:szCs w:val="2"/>
              </w:rPr>
            </w:pPr>
          </w:p>
        </w:tc>
      </w:tr>
      <w:tr w:rsidR="00BC24A8" w14:paraId="64558F39" w14:textId="77777777">
        <w:trPr>
          <w:trHeight w:val="337"/>
        </w:trPr>
        <w:tc>
          <w:tcPr>
            <w:tcW w:w="2333" w:type="dxa"/>
            <w:tcBorders>
              <w:bottom w:val="single" w:sz="4" w:space="0" w:color="BEBEBE"/>
            </w:tcBorders>
          </w:tcPr>
          <w:p w14:paraId="626616C8" w14:textId="77777777" w:rsidR="00BC24A8" w:rsidRDefault="00000000">
            <w:pPr>
              <w:pStyle w:val="TableParagraph"/>
              <w:spacing w:line="221" w:lineRule="exact"/>
              <w:ind w:left="122"/>
              <w:rPr>
                <w:sz w:val="20"/>
              </w:rPr>
            </w:pPr>
            <w:r>
              <w:rPr>
                <w:spacing w:val="-2"/>
                <w:sz w:val="20"/>
              </w:rPr>
              <w:t>delivery</w:t>
            </w:r>
          </w:p>
        </w:tc>
        <w:tc>
          <w:tcPr>
            <w:tcW w:w="6773" w:type="dxa"/>
            <w:vMerge/>
            <w:tcBorders>
              <w:top w:val="nil"/>
              <w:bottom w:val="single" w:sz="4" w:space="0" w:color="BEBEBE"/>
            </w:tcBorders>
          </w:tcPr>
          <w:p w14:paraId="0184F271" w14:textId="77777777" w:rsidR="00BC24A8" w:rsidRDefault="00BC24A8">
            <w:pPr>
              <w:rPr>
                <w:sz w:val="2"/>
                <w:szCs w:val="2"/>
              </w:rPr>
            </w:pPr>
          </w:p>
        </w:tc>
      </w:tr>
    </w:tbl>
    <w:p w14:paraId="4164640F" w14:textId="77777777" w:rsidR="00BC24A8" w:rsidRDefault="00BC24A8">
      <w:pPr>
        <w:rPr>
          <w:sz w:val="2"/>
          <w:szCs w:val="2"/>
        </w:rPr>
        <w:sectPr w:rsidR="00BC24A8">
          <w:pgSz w:w="11910" w:h="16840"/>
          <w:pgMar w:top="1380" w:right="850" w:bottom="1100" w:left="1275" w:header="0" w:footer="907" w:gutter="0"/>
          <w:cols w:space="720"/>
        </w:sectPr>
      </w:pPr>
    </w:p>
    <w:p w14:paraId="435F7D66" w14:textId="77777777" w:rsidR="00BC24A8" w:rsidRDefault="00000000">
      <w:pPr>
        <w:pStyle w:val="Heading3"/>
        <w:spacing w:before="20" w:line="391" w:lineRule="exact"/>
        <w:rPr>
          <w:rFonts w:ascii="Calibri"/>
        </w:rPr>
      </w:pPr>
      <w:r>
        <w:rPr>
          <w:rFonts w:ascii="Calibri"/>
          <w:noProof/>
        </w:rPr>
        <w:lastRenderedPageBreak/>
        <mc:AlternateContent>
          <mc:Choice Requires="wps">
            <w:drawing>
              <wp:anchor distT="0" distB="0" distL="0" distR="0" simplePos="0" relativeHeight="15758336" behindDoc="0" locked="0" layoutInCell="1" allowOverlap="1" wp14:anchorId="445AAC7E" wp14:editId="3B14DB17">
                <wp:simplePos x="0" y="0"/>
                <wp:positionH relativeFrom="page">
                  <wp:posOffset>339423</wp:posOffset>
                </wp:positionH>
                <wp:positionV relativeFrom="page">
                  <wp:posOffset>9938919</wp:posOffset>
                </wp:positionV>
                <wp:extent cx="564515" cy="753745"/>
                <wp:effectExtent l="0" t="0" r="0" b="0"/>
                <wp:wrapNone/>
                <wp:docPr id="163" name="Graphic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 cy="753745"/>
                        </a:xfrm>
                        <a:custGeom>
                          <a:avLst/>
                          <a:gdLst/>
                          <a:ahLst/>
                          <a:cxnLst/>
                          <a:rect l="l" t="t" r="r" b="b"/>
                          <a:pathLst>
                            <a:path w="564515" h="753745">
                              <a:moveTo>
                                <a:pt x="563887" y="753464"/>
                              </a:moveTo>
                              <a:lnTo>
                                <a:pt x="0" y="753464"/>
                              </a:lnTo>
                              <a:lnTo>
                                <a:pt x="0" y="0"/>
                              </a:lnTo>
                              <a:lnTo>
                                <a:pt x="563887" y="0"/>
                              </a:lnTo>
                              <a:lnTo>
                                <a:pt x="563887" y="753464"/>
                              </a:lnTo>
                              <a:close/>
                            </a:path>
                          </a:pathLst>
                        </a:custGeom>
                        <a:solidFill>
                          <a:srgbClr val="00ACA3"/>
                        </a:solidFill>
                      </wps:spPr>
                      <wps:bodyPr wrap="square" lIns="0" tIns="0" rIns="0" bIns="0" rtlCol="0">
                        <a:prstTxWarp prst="textNoShape">
                          <a:avLst/>
                        </a:prstTxWarp>
                        <a:noAutofit/>
                      </wps:bodyPr>
                    </wps:wsp>
                  </a:graphicData>
                </a:graphic>
              </wp:anchor>
            </w:drawing>
          </mc:Choice>
          <mc:Fallback>
            <w:pict>
              <v:shape w14:anchorId="16498BD8" id="Graphic 163" o:spid="_x0000_s1026" alt="&quot;&quot;" style="position:absolute;margin-left:26.75pt;margin-top:782.6pt;width:44.45pt;height:59.35pt;z-index:15758336;visibility:visible;mso-wrap-style:square;mso-wrap-distance-left:0;mso-wrap-distance-top:0;mso-wrap-distance-right:0;mso-wrap-distance-bottom:0;mso-position-horizontal:absolute;mso-position-horizontal-relative:page;mso-position-vertical:absolute;mso-position-vertical-relative:page;v-text-anchor:top" coordsize="564515,75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" path="m563887,753464l,753464,,,563887,r,753464xe" fillcolor="#00aca3" stroked="f">
                <v:path arrowok="t"/>
                <w10:wrap anchorx="page" anchory="page"/>
              </v:shape>
            </w:pict>
          </mc:Fallback>
        </mc:AlternateContent>
      </w:r>
      <w:bookmarkStart w:id="181" w:name="West_Nusa_Tenggara_(NTB)_Province_Semest"/>
      <w:bookmarkStart w:id="182" w:name="_bookmark123"/>
      <w:bookmarkEnd w:id="181"/>
      <w:bookmarkEnd w:id="182"/>
      <w:r>
        <w:rPr>
          <w:rFonts w:ascii="Calibri"/>
          <w:color w:val="137D87"/>
          <w:spacing w:val="-2"/>
        </w:rPr>
        <w:t>West</w:t>
      </w:r>
      <w:r>
        <w:rPr>
          <w:rFonts w:ascii="Calibri"/>
          <w:color w:val="137D87"/>
          <w:spacing w:val="-9"/>
        </w:rPr>
        <w:t xml:space="preserve"> </w:t>
      </w:r>
      <w:r>
        <w:rPr>
          <w:rFonts w:ascii="Calibri"/>
          <w:color w:val="137D87"/>
          <w:spacing w:val="-2"/>
        </w:rPr>
        <w:t>Nusa</w:t>
      </w:r>
      <w:r>
        <w:rPr>
          <w:rFonts w:ascii="Calibri"/>
          <w:color w:val="137D87"/>
          <w:spacing w:val="-9"/>
        </w:rPr>
        <w:t xml:space="preserve"> </w:t>
      </w:r>
      <w:r>
        <w:rPr>
          <w:rFonts w:ascii="Calibri"/>
          <w:color w:val="137D87"/>
          <w:spacing w:val="-2"/>
        </w:rPr>
        <w:t>Tenggara</w:t>
      </w:r>
      <w:r>
        <w:rPr>
          <w:rFonts w:ascii="Calibri"/>
          <w:color w:val="137D87"/>
          <w:spacing w:val="-8"/>
        </w:rPr>
        <w:t xml:space="preserve"> </w:t>
      </w:r>
      <w:r>
        <w:rPr>
          <w:rFonts w:ascii="Calibri"/>
          <w:color w:val="137D87"/>
          <w:spacing w:val="-2"/>
        </w:rPr>
        <w:t>(NTB)</w:t>
      </w:r>
      <w:r>
        <w:rPr>
          <w:rFonts w:ascii="Calibri"/>
          <w:color w:val="137D87"/>
          <w:spacing w:val="-10"/>
        </w:rPr>
        <w:t xml:space="preserve"> </w:t>
      </w:r>
      <w:r>
        <w:rPr>
          <w:rFonts w:ascii="Calibri"/>
          <w:color w:val="137D87"/>
          <w:spacing w:val="-2"/>
        </w:rPr>
        <w:t>Province</w:t>
      </w:r>
      <w:r>
        <w:rPr>
          <w:rFonts w:ascii="Calibri"/>
          <w:color w:val="137D87"/>
          <w:spacing w:val="-6"/>
        </w:rPr>
        <w:t xml:space="preserve"> </w:t>
      </w:r>
      <w:r>
        <w:rPr>
          <w:rFonts w:ascii="Calibri"/>
          <w:color w:val="137D87"/>
          <w:spacing w:val="-2"/>
        </w:rPr>
        <w:t>Semester</w:t>
      </w:r>
      <w:r>
        <w:rPr>
          <w:rFonts w:ascii="Calibri"/>
          <w:color w:val="137D87"/>
          <w:spacing w:val="-9"/>
        </w:rPr>
        <w:t xml:space="preserve"> </w:t>
      </w:r>
      <w:r>
        <w:rPr>
          <w:rFonts w:ascii="Calibri"/>
          <w:color w:val="137D87"/>
          <w:spacing w:val="-2"/>
        </w:rPr>
        <w:t>Report</w:t>
      </w:r>
    </w:p>
    <w:p w14:paraId="415A85C0" w14:textId="77777777" w:rsidR="00BC24A8" w:rsidRDefault="00000000">
      <w:pPr>
        <w:pStyle w:val="BodyText"/>
        <w:ind w:left="143"/>
      </w:pPr>
      <w:r>
        <w:rPr>
          <w:spacing w:val="-2"/>
        </w:rPr>
        <w:t>(January-June</w:t>
      </w:r>
      <w:r>
        <w:rPr>
          <w:spacing w:val="9"/>
        </w:rPr>
        <w:t xml:space="preserve"> </w:t>
      </w:r>
      <w:r>
        <w:rPr>
          <w:spacing w:val="-4"/>
        </w:rPr>
        <w:t>2025)</w:t>
      </w:r>
    </w:p>
    <w:p w14:paraId="48C9EC78" w14:textId="77777777" w:rsidR="00BC24A8" w:rsidRDefault="00000000">
      <w:pPr>
        <w:spacing w:before="201"/>
        <w:ind w:left="503"/>
        <w:rPr>
          <w:i/>
        </w:rPr>
      </w:pPr>
      <w:bookmarkStart w:id="183" w:name="West_Nusa_Tenggara_Province_Context"/>
      <w:bookmarkEnd w:id="183"/>
      <w:r>
        <w:rPr>
          <w:i/>
          <w:color w:val="1F3762"/>
          <w:spacing w:val="-2"/>
        </w:rPr>
        <w:t>West</w:t>
      </w:r>
      <w:r>
        <w:rPr>
          <w:i/>
          <w:color w:val="1F3762"/>
          <w:spacing w:val="-3"/>
        </w:rPr>
        <w:t xml:space="preserve"> </w:t>
      </w:r>
      <w:r>
        <w:rPr>
          <w:i/>
          <w:color w:val="1F3762"/>
          <w:spacing w:val="-2"/>
        </w:rPr>
        <w:t>Nusa</w:t>
      </w:r>
      <w:r>
        <w:rPr>
          <w:i/>
          <w:color w:val="1F3762"/>
          <w:spacing w:val="-1"/>
        </w:rPr>
        <w:t xml:space="preserve"> </w:t>
      </w:r>
      <w:r>
        <w:rPr>
          <w:i/>
          <w:color w:val="1F3762"/>
          <w:spacing w:val="-2"/>
        </w:rPr>
        <w:t>Tenggara Province Context</w:t>
      </w:r>
    </w:p>
    <w:p w14:paraId="058189A5" w14:textId="77777777" w:rsidR="00BC24A8" w:rsidRDefault="00000000">
      <w:pPr>
        <w:spacing w:before="42"/>
        <w:ind w:left="143"/>
        <w:rPr>
          <w:rFonts w:ascii="Calibri"/>
          <w:i/>
        </w:rPr>
      </w:pPr>
      <w:r>
        <w:rPr>
          <w:rFonts w:ascii="Calibri"/>
          <w:i/>
          <w:color w:val="272727"/>
        </w:rPr>
        <w:t>Overview</w:t>
      </w:r>
      <w:r>
        <w:rPr>
          <w:rFonts w:ascii="Calibri"/>
          <w:i/>
          <w:color w:val="272727"/>
          <w:spacing w:val="-5"/>
        </w:rPr>
        <w:t xml:space="preserve"> </w:t>
      </w:r>
      <w:r>
        <w:rPr>
          <w:rFonts w:ascii="Calibri"/>
          <w:i/>
          <w:color w:val="272727"/>
        </w:rPr>
        <w:t>of</w:t>
      </w:r>
      <w:r>
        <w:rPr>
          <w:rFonts w:ascii="Calibri"/>
          <w:i/>
          <w:color w:val="272727"/>
          <w:spacing w:val="-4"/>
        </w:rPr>
        <w:t xml:space="preserve"> </w:t>
      </w:r>
      <w:r>
        <w:rPr>
          <w:rFonts w:ascii="Calibri"/>
          <w:i/>
          <w:color w:val="272727"/>
        </w:rPr>
        <w:t>basic</w:t>
      </w:r>
      <w:r>
        <w:rPr>
          <w:rFonts w:ascii="Calibri"/>
          <w:i/>
          <w:color w:val="272727"/>
          <w:spacing w:val="-5"/>
        </w:rPr>
        <w:t xml:space="preserve"> </w:t>
      </w:r>
      <w:r>
        <w:rPr>
          <w:rFonts w:ascii="Calibri"/>
          <w:i/>
          <w:color w:val="272727"/>
        </w:rPr>
        <w:t>services,</w:t>
      </w:r>
      <w:r>
        <w:rPr>
          <w:rFonts w:ascii="Calibri"/>
          <w:i/>
          <w:color w:val="272727"/>
          <w:spacing w:val="-7"/>
        </w:rPr>
        <w:t xml:space="preserve"> </w:t>
      </w:r>
      <w:r>
        <w:rPr>
          <w:rFonts w:ascii="Calibri"/>
          <w:i/>
          <w:color w:val="272727"/>
        </w:rPr>
        <w:t>vulnerable</w:t>
      </w:r>
      <w:r>
        <w:rPr>
          <w:rFonts w:ascii="Calibri"/>
          <w:i/>
          <w:color w:val="272727"/>
          <w:spacing w:val="-5"/>
        </w:rPr>
        <w:t xml:space="preserve"> </w:t>
      </w:r>
      <w:r>
        <w:rPr>
          <w:rFonts w:ascii="Calibri"/>
          <w:i/>
          <w:color w:val="272727"/>
        </w:rPr>
        <w:t>groups,</w:t>
      </w:r>
      <w:r>
        <w:rPr>
          <w:rFonts w:ascii="Calibri"/>
          <w:i/>
          <w:color w:val="272727"/>
          <w:spacing w:val="-5"/>
        </w:rPr>
        <w:t xml:space="preserve"> </w:t>
      </w:r>
      <w:r>
        <w:rPr>
          <w:rFonts w:ascii="Calibri"/>
          <w:i/>
          <w:color w:val="272727"/>
        </w:rPr>
        <w:t>and</w:t>
      </w:r>
      <w:r>
        <w:rPr>
          <w:rFonts w:ascii="Calibri"/>
          <w:i/>
          <w:color w:val="272727"/>
          <w:spacing w:val="-6"/>
        </w:rPr>
        <w:t xml:space="preserve"> </w:t>
      </w:r>
      <w:r>
        <w:rPr>
          <w:rFonts w:ascii="Calibri"/>
          <w:i/>
          <w:color w:val="272727"/>
        </w:rPr>
        <w:t>fiscal</w:t>
      </w:r>
      <w:r>
        <w:rPr>
          <w:rFonts w:ascii="Calibri"/>
          <w:i/>
          <w:color w:val="272727"/>
          <w:spacing w:val="-5"/>
        </w:rPr>
        <w:t xml:space="preserve"> </w:t>
      </w:r>
      <w:r>
        <w:rPr>
          <w:rFonts w:ascii="Calibri"/>
          <w:i/>
          <w:color w:val="272727"/>
        </w:rPr>
        <w:t>capacity</w:t>
      </w:r>
      <w:r>
        <w:rPr>
          <w:rFonts w:ascii="Calibri"/>
          <w:i/>
          <w:color w:val="272727"/>
          <w:spacing w:val="-5"/>
        </w:rPr>
        <w:t xml:space="preserve"> </w:t>
      </w:r>
      <w:r>
        <w:rPr>
          <w:rFonts w:ascii="Calibri"/>
          <w:i/>
          <w:color w:val="272727"/>
          <w:spacing w:val="-2"/>
        </w:rPr>
        <w:t>situation.</w:t>
      </w:r>
    </w:p>
    <w:p w14:paraId="558A2E72" w14:textId="77777777" w:rsidR="00BC24A8" w:rsidRDefault="00BC24A8">
      <w:pPr>
        <w:pStyle w:val="BodyText"/>
        <w:spacing w:before="225"/>
        <w:rPr>
          <w:rFonts w:ascii="Calibri"/>
          <w:i/>
        </w:rPr>
      </w:pPr>
    </w:p>
    <w:p w14:paraId="3124AB66" w14:textId="77777777" w:rsidR="00BC24A8" w:rsidRDefault="00000000">
      <w:pPr>
        <w:pStyle w:val="Heading5"/>
        <w:spacing w:before="1"/>
      </w:pPr>
      <w:r>
        <w:rPr>
          <w:color w:val="767070"/>
          <w:spacing w:val="-2"/>
        </w:rPr>
        <w:t>Key</w:t>
      </w:r>
      <w:r>
        <w:rPr>
          <w:color w:val="767070"/>
          <w:spacing w:val="4"/>
        </w:rPr>
        <w:t xml:space="preserve"> </w:t>
      </w:r>
      <w:r>
        <w:rPr>
          <w:color w:val="767070"/>
          <w:spacing w:val="-2"/>
        </w:rPr>
        <w:t>development</w:t>
      </w:r>
      <w:r>
        <w:rPr>
          <w:color w:val="767070"/>
          <w:spacing w:val="4"/>
        </w:rPr>
        <w:t xml:space="preserve"> </w:t>
      </w:r>
      <w:r>
        <w:rPr>
          <w:color w:val="767070"/>
          <w:spacing w:val="-2"/>
        </w:rPr>
        <w:t>outcome</w:t>
      </w:r>
      <w:r>
        <w:rPr>
          <w:color w:val="767070"/>
        </w:rPr>
        <w:t xml:space="preserve"> </w:t>
      </w:r>
      <w:r>
        <w:rPr>
          <w:color w:val="767070"/>
          <w:spacing w:val="-2"/>
        </w:rPr>
        <w:t>indicators</w:t>
      </w:r>
      <w:r>
        <w:rPr>
          <w:color w:val="767070"/>
          <w:spacing w:val="2"/>
        </w:rPr>
        <w:t xml:space="preserve"> </w:t>
      </w:r>
      <w:r>
        <w:rPr>
          <w:color w:val="767070"/>
          <w:spacing w:val="-4"/>
        </w:rPr>
        <w:t>data</w:t>
      </w:r>
    </w:p>
    <w:p w14:paraId="66D035AE"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3858"/>
        <w:gridCol w:w="5240"/>
      </w:tblGrid>
      <w:tr w:rsidR="00BC24A8" w14:paraId="7DE15C05" w14:textId="77777777">
        <w:trPr>
          <w:trHeight w:val="381"/>
        </w:trPr>
        <w:tc>
          <w:tcPr>
            <w:tcW w:w="3858" w:type="dxa"/>
            <w:shd w:val="clear" w:color="auto" w:fill="17365A"/>
          </w:tcPr>
          <w:p w14:paraId="5CA834F1" w14:textId="77777777" w:rsidR="00BC24A8" w:rsidRDefault="00000000">
            <w:pPr>
              <w:pStyle w:val="TableParagraph"/>
              <w:spacing w:before="59"/>
              <w:ind w:left="115"/>
              <w:rPr>
                <w:rFonts w:ascii="Calibri"/>
                <w:b/>
                <w:sz w:val="20"/>
              </w:rPr>
            </w:pPr>
            <w:r>
              <w:rPr>
                <w:rFonts w:ascii="Calibri"/>
                <w:b/>
                <w:color w:val="FFFFFF"/>
                <w:sz w:val="20"/>
              </w:rPr>
              <w:t>Key</w:t>
            </w:r>
            <w:r>
              <w:rPr>
                <w:rFonts w:ascii="Calibri"/>
                <w:b/>
                <w:color w:val="FFFFFF"/>
                <w:spacing w:val="-6"/>
                <w:sz w:val="20"/>
              </w:rPr>
              <w:t xml:space="preserve"> </w:t>
            </w:r>
            <w:r>
              <w:rPr>
                <w:rFonts w:ascii="Calibri"/>
                <w:b/>
                <w:color w:val="FFFFFF"/>
                <w:sz w:val="20"/>
              </w:rPr>
              <w:t>indicators</w:t>
            </w:r>
            <w:r>
              <w:rPr>
                <w:rFonts w:ascii="Calibri"/>
                <w:b/>
                <w:color w:val="FFFFFF"/>
                <w:spacing w:val="-4"/>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pacing w:val="-2"/>
                <w:sz w:val="20"/>
              </w:rPr>
              <w:t>development</w:t>
            </w:r>
          </w:p>
        </w:tc>
        <w:tc>
          <w:tcPr>
            <w:tcW w:w="5240" w:type="dxa"/>
            <w:shd w:val="clear" w:color="auto" w:fill="17365A"/>
          </w:tcPr>
          <w:p w14:paraId="3C03EE7F" w14:textId="77777777" w:rsidR="00BC24A8" w:rsidRDefault="00000000">
            <w:pPr>
              <w:pStyle w:val="TableParagraph"/>
              <w:spacing w:before="59"/>
              <w:ind w:left="126"/>
              <w:rPr>
                <w:rFonts w:ascii="Calibri"/>
                <w:b/>
                <w:sz w:val="20"/>
              </w:rPr>
            </w:pPr>
            <w:r>
              <w:rPr>
                <w:rFonts w:ascii="Calibri"/>
                <w:b/>
                <w:color w:val="FFFFFF"/>
                <w:sz w:val="20"/>
              </w:rPr>
              <w:t>Year</w:t>
            </w:r>
            <w:r>
              <w:rPr>
                <w:rFonts w:ascii="Calibri"/>
                <w:b/>
                <w:color w:val="FFFFFF"/>
                <w:spacing w:val="-4"/>
                <w:sz w:val="20"/>
              </w:rPr>
              <w:t xml:space="preserve"> 2024</w:t>
            </w:r>
          </w:p>
        </w:tc>
      </w:tr>
      <w:tr w:rsidR="00BC24A8" w14:paraId="7AFE721E" w14:textId="77777777">
        <w:trPr>
          <w:trHeight w:val="3011"/>
        </w:trPr>
        <w:tc>
          <w:tcPr>
            <w:tcW w:w="3858" w:type="dxa"/>
            <w:tcBorders>
              <w:bottom w:val="single" w:sz="4" w:space="0" w:color="BEBEBE"/>
            </w:tcBorders>
          </w:tcPr>
          <w:p w14:paraId="49941C82" w14:textId="77777777" w:rsidR="00BC24A8" w:rsidRDefault="00000000">
            <w:pPr>
              <w:pStyle w:val="TableParagraph"/>
              <w:spacing w:before="97"/>
              <w:ind w:left="115"/>
              <w:rPr>
                <w:sz w:val="18"/>
              </w:rPr>
            </w:pPr>
            <w:r>
              <w:rPr>
                <w:sz w:val="18"/>
              </w:rPr>
              <w:t>Education</w:t>
            </w:r>
            <w:r>
              <w:rPr>
                <w:spacing w:val="-8"/>
                <w:sz w:val="18"/>
              </w:rPr>
              <w:t xml:space="preserve"> </w:t>
            </w:r>
            <w:r>
              <w:rPr>
                <w:sz w:val="18"/>
              </w:rPr>
              <w:t>participation</w:t>
            </w:r>
            <w:r>
              <w:rPr>
                <w:spacing w:val="-8"/>
                <w:sz w:val="18"/>
              </w:rPr>
              <w:t xml:space="preserve"> </w:t>
            </w:r>
            <w:r>
              <w:rPr>
                <w:sz w:val="18"/>
              </w:rPr>
              <w:t>rate</w:t>
            </w:r>
            <w:r>
              <w:rPr>
                <w:spacing w:val="-8"/>
                <w:sz w:val="18"/>
              </w:rPr>
              <w:t xml:space="preserve"> </w:t>
            </w:r>
            <w:r>
              <w:rPr>
                <w:sz w:val="18"/>
              </w:rPr>
              <w:t>for</w:t>
            </w:r>
            <w:r>
              <w:rPr>
                <w:spacing w:val="-8"/>
                <w:sz w:val="18"/>
              </w:rPr>
              <w:t xml:space="preserve"> </w:t>
            </w:r>
            <w:r>
              <w:rPr>
                <w:sz w:val="18"/>
              </w:rPr>
              <w:t>elementary,</w:t>
            </w:r>
            <w:r>
              <w:rPr>
                <w:spacing w:val="-9"/>
                <w:sz w:val="18"/>
              </w:rPr>
              <w:t xml:space="preserve"> </w:t>
            </w:r>
            <w:r>
              <w:rPr>
                <w:sz w:val="18"/>
              </w:rPr>
              <w:t>junior high, and senior high school education</w:t>
            </w:r>
          </w:p>
        </w:tc>
        <w:tc>
          <w:tcPr>
            <w:tcW w:w="5240" w:type="dxa"/>
            <w:tcBorders>
              <w:bottom w:val="single" w:sz="4" w:space="0" w:color="BEBEBE"/>
            </w:tcBorders>
          </w:tcPr>
          <w:p w14:paraId="52168842" w14:textId="77777777" w:rsidR="00BC24A8" w:rsidRDefault="00000000">
            <w:pPr>
              <w:pStyle w:val="TableParagraph"/>
              <w:spacing w:before="97"/>
              <w:ind w:left="126"/>
              <w:rPr>
                <w:sz w:val="18"/>
              </w:rPr>
            </w:pPr>
            <w:r>
              <w:rPr>
                <w:sz w:val="18"/>
              </w:rPr>
              <w:t>Gross</w:t>
            </w:r>
            <w:r>
              <w:rPr>
                <w:spacing w:val="-2"/>
                <w:sz w:val="18"/>
              </w:rPr>
              <w:t xml:space="preserve"> </w:t>
            </w:r>
            <w:r>
              <w:rPr>
                <w:sz w:val="18"/>
              </w:rPr>
              <w:t>Enrollment Rate</w:t>
            </w:r>
            <w:r>
              <w:rPr>
                <w:spacing w:val="-1"/>
                <w:sz w:val="18"/>
              </w:rPr>
              <w:t xml:space="preserve"> </w:t>
            </w:r>
            <w:r>
              <w:rPr>
                <w:spacing w:val="-2"/>
                <w:sz w:val="18"/>
              </w:rPr>
              <w:t>(GER):</w:t>
            </w:r>
          </w:p>
          <w:p w14:paraId="45762E6F" w14:textId="77777777" w:rsidR="00BC24A8" w:rsidRDefault="00000000">
            <w:pPr>
              <w:pStyle w:val="TableParagraph"/>
              <w:numPr>
                <w:ilvl w:val="0"/>
                <w:numId w:val="73"/>
              </w:numPr>
              <w:tabs>
                <w:tab w:val="left" w:pos="457"/>
              </w:tabs>
              <w:spacing w:before="1"/>
              <w:ind w:left="457"/>
              <w:rPr>
                <w:sz w:val="18"/>
              </w:rPr>
            </w:pPr>
            <w:r>
              <w:rPr>
                <w:sz w:val="18"/>
              </w:rPr>
              <w:t>SD/MI/equivalent(%)</w:t>
            </w:r>
            <w:r>
              <w:rPr>
                <w:spacing w:val="-4"/>
                <w:sz w:val="18"/>
              </w:rPr>
              <w:t xml:space="preserve"> </w:t>
            </w:r>
            <w:r>
              <w:rPr>
                <w:sz w:val="18"/>
              </w:rPr>
              <w:t>=</w:t>
            </w:r>
            <w:r>
              <w:rPr>
                <w:spacing w:val="-4"/>
                <w:sz w:val="18"/>
              </w:rPr>
              <w:t xml:space="preserve"> </w:t>
            </w:r>
            <w:r>
              <w:rPr>
                <w:spacing w:val="-2"/>
                <w:sz w:val="18"/>
              </w:rPr>
              <w:t>105.8</w:t>
            </w:r>
          </w:p>
          <w:p w14:paraId="61E025B9" w14:textId="77777777" w:rsidR="00BC24A8" w:rsidRDefault="00000000">
            <w:pPr>
              <w:pStyle w:val="TableParagraph"/>
              <w:numPr>
                <w:ilvl w:val="0"/>
                <w:numId w:val="73"/>
              </w:numPr>
              <w:tabs>
                <w:tab w:val="left" w:pos="457"/>
              </w:tabs>
              <w:spacing w:before="1" w:line="219" w:lineRule="exact"/>
              <w:ind w:left="457"/>
              <w:rPr>
                <w:sz w:val="18"/>
              </w:rPr>
            </w:pPr>
            <w:r>
              <w:rPr>
                <w:sz w:val="18"/>
              </w:rPr>
              <w:t>SMP/MTS/equivalent</w:t>
            </w:r>
            <w:r>
              <w:rPr>
                <w:spacing w:val="-4"/>
                <w:sz w:val="18"/>
              </w:rPr>
              <w:t xml:space="preserve"> </w:t>
            </w:r>
            <w:r>
              <w:rPr>
                <w:sz w:val="18"/>
              </w:rPr>
              <w:t>(%)=</w:t>
            </w:r>
            <w:r>
              <w:rPr>
                <w:spacing w:val="-4"/>
                <w:sz w:val="18"/>
              </w:rPr>
              <w:t xml:space="preserve"> </w:t>
            </w:r>
            <w:r>
              <w:rPr>
                <w:spacing w:val="-2"/>
                <w:sz w:val="18"/>
              </w:rPr>
              <w:t>92.28</w:t>
            </w:r>
          </w:p>
          <w:p w14:paraId="6F141C65" w14:textId="77777777" w:rsidR="00BC24A8" w:rsidRDefault="00000000">
            <w:pPr>
              <w:pStyle w:val="TableParagraph"/>
              <w:numPr>
                <w:ilvl w:val="0"/>
                <w:numId w:val="73"/>
              </w:numPr>
              <w:tabs>
                <w:tab w:val="left" w:pos="457"/>
              </w:tabs>
              <w:spacing w:line="219" w:lineRule="exact"/>
              <w:ind w:left="457"/>
              <w:rPr>
                <w:sz w:val="18"/>
              </w:rPr>
            </w:pPr>
            <w:r>
              <w:rPr>
                <w:sz w:val="18"/>
              </w:rPr>
              <w:t>SMA/MA/SMK/equivalent</w:t>
            </w:r>
            <w:r>
              <w:rPr>
                <w:spacing w:val="-6"/>
                <w:sz w:val="18"/>
              </w:rPr>
              <w:t xml:space="preserve"> </w:t>
            </w:r>
            <w:r>
              <w:rPr>
                <w:sz w:val="18"/>
              </w:rPr>
              <w:t>(%)=</w:t>
            </w:r>
            <w:r>
              <w:rPr>
                <w:spacing w:val="-5"/>
                <w:sz w:val="18"/>
              </w:rPr>
              <w:t xml:space="preserve"> </w:t>
            </w:r>
            <w:r>
              <w:rPr>
                <w:spacing w:val="-2"/>
                <w:sz w:val="18"/>
              </w:rPr>
              <w:t>95.79</w:t>
            </w:r>
          </w:p>
          <w:p w14:paraId="719247FF" w14:textId="77777777" w:rsidR="00BC24A8" w:rsidRDefault="00000000">
            <w:pPr>
              <w:pStyle w:val="TableParagraph"/>
              <w:numPr>
                <w:ilvl w:val="0"/>
                <w:numId w:val="73"/>
              </w:numPr>
              <w:tabs>
                <w:tab w:val="left" w:pos="457"/>
              </w:tabs>
              <w:spacing w:before="1" w:line="219" w:lineRule="exact"/>
              <w:ind w:left="457"/>
              <w:rPr>
                <w:sz w:val="18"/>
              </w:rPr>
            </w:pPr>
            <w:r>
              <w:rPr>
                <w:sz w:val="18"/>
              </w:rPr>
              <w:t>Net</w:t>
            </w:r>
            <w:r>
              <w:rPr>
                <w:spacing w:val="-2"/>
                <w:sz w:val="18"/>
              </w:rPr>
              <w:t xml:space="preserve"> </w:t>
            </w:r>
            <w:r>
              <w:rPr>
                <w:sz w:val="18"/>
              </w:rPr>
              <w:t>Enrollment</w:t>
            </w:r>
            <w:r>
              <w:rPr>
                <w:spacing w:val="-1"/>
                <w:sz w:val="18"/>
              </w:rPr>
              <w:t xml:space="preserve"> </w:t>
            </w:r>
            <w:r>
              <w:rPr>
                <w:sz w:val="18"/>
              </w:rPr>
              <w:t>Rate</w:t>
            </w:r>
            <w:r>
              <w:rPr>
                <w:spacing w:val="-1"/>
                <w:sz w:val="18"/>
              </w:rPr>
              <w:t xml:space="preserve"> </w:t>
            </w:r>
            <w:r>
              <w:rPr>
                <w:spacing w:val="-2"/>
                <w:sz w:val="18"/>
              </w:rPr>
              <w:t>(NER):</w:t>
            </w:r>
          </w:p>
          <w:p w14:paraId="13E104D7" w14:textId="77777777" w:rsidR="00BC24A8" w:rsidRDefault="00000000">
            <w:pPr>
              <w:pStyle w:val="TableParagraph"/>
              <w:numPr>
                <w:ilvl w:val="0"/>
                <w:numId w:val="73"/>
              </w:numPr>
              <w:tabs>
                <w:tab w:val="left" w:pos="457"/>
              </w:tabs>
              <w:spacing w:line="219" w:lineRule="exact"/>
              <w:ind w:left="457"/>
              <w:rPr>
                <w:sz w:val="18"/>
              </w:rPr>
            </w:pPr>
            <w:r>
              <w:rPr>
                <w:sz w:val="18"/>
              </w:rPr>
              <w:t>SD/MI/equivalent</w:t>
            </w:r>
            <w:r>
              <w:rPr>
                <w:spacing w:val="-2"/>
                <w:sz w:val="18"/>
              </w:rPr>
              <w:t xml:space="preserve"> </w:t>
            </w:r>
            <w:r>
              <w:rPr>
                <w:sz w:val="18"/>
              </w:rPr>
              <w:t>(%)</w:t>
            </w:r>
            <w:r>
              <w:rPr>
                <w:spacing w:val="-3"/>
                <w:sz w:val="18"/>
              </w:rPr>
              <w:t xml:space="preserve"> </w:t>
            </w:r>
            <w:r>
              <w:rPr>
                <w:sz w:val="18"/>
              </w:rPr>
              <w:t>=</w:t>
            </w:r>
            <w:r>
              <w:rPr>
                <w:spacing w:val="-2"/>
                <w:sz w:val="18"/>
              </w:rPr>
              <w:t xml:space="preserve"> 98.57</w:t>
            </w:r>
          </w:p>
          <w:p w14:paraId="3A8361AE" w14:textId="77777777" w:rsidR="00BC24A8" w:rsidRDefault="00000000">
            <w:pPr>
              <w:pStyle w:val="TableParagraph"/>
              <w:numPr>
                <w:ilvl w:val="0"/>
                <w:numId w:val="73"/>
              </w:numPr>
              <w:tabs>
                <w:tab w:val="left" w:pos="457"/>
              </w:tabs>
              <w:spacing w:before="2" w:line="219" w:lineRule="exact"/>
              <w:ind w:left="457"/>
              <w:rPr>
                <w:sz w:val="18"/>
              </w:rPr>
            </w:pPr>
            <w:r>
              <w:rPr>
                <w:sz w:val="18"/>
              </w:rPr>
              <w:t>SMP/MTS/equivalent</w:t>
            </w:r>
            <w:r>
              <w:rPr>
                <w:spacing w:val="-4"/>
                <w:sz w:val="18"/>
              </w:rPr>
              <w:t xml:space="preserve"> </w:t>
            </w:r>
            <w:r>
              <w:rPr>
                <w:sz w:val="18"/>
              </w:rPr>
              <w:t>(%)=</w:t>
            </w:r>
            <w:r>
              <w:rPr>
                <w:spacing w:val="-4"/>
                <w:sz w:val="18"/>
              </w:rPr>
              <w:t xml:space="preserve"> </w:t>
            </w:r>
            <w:r>
              <w:rPr>
                <w:spacing w:val="-2"/>
                <w:sz w:val="18"/>
              </w:rPr>
              <w:t>83.55</w:t>
            </w:r>
          </w:p>
          <w:p w14:paraId="5D47252E" w14:textId="77777777" w:rsidR="00BC24A8" w:rsidRDefault="00000000">
            <w:pPr>
              <w:pStyle w:val="TableParagraph"/>
              <w:numPr>
                <w:ilvl w:val="0"/>
                <w:numId w:val="73"/>
              </w:numPr>
              <w:tabs>
                <w:tab w:val="left" w:pos="126"/>
                <w:tab w:val="left" w:pos="457"/>
              </w:tabs>
              <w:ind w:right="2098" w:hanging="29"/>
              <w:rPr>
                <w:sz w:val="18"/>
              </w:rPr>
            </w:pPr>
            <w:r>
              <w:rPr>
                <w:sz w:val="18"/>
              </w:rPr>
              <w:t>SMA/MA/SMK/equivalent</w:t>
            </w:r>
            <w:r>
              <w:rPr>
                <w:spacing w:val="-11"/>
                <w:sz w:val="18"/>
              </w:rPr>
              <w:t xml:space="preserve"> </w:t>
            </w:r>
            <w:r>
              <w:rPr>
                <w:sz w:val="18"/>
              </w:rPr>
              <w:t>(%)=</w:t>
            </w:r>
            <w:r>
              <w:rPr>
                <w:spacing w:val="-10"/>
                <w:sz w:val="18"/>
              </w:rPr>
              <w:t xml:space="preserve"> </w:t>
            </w:r>
            <w:r>
              <w:rPr>
                <w:sz w:val="18"/>
              </w:rPr>
              <w:t>71.09 School Enrollment Rate (SER):</w:t>
            </w:r>
          </w:p>
          <w:p w14:paraId="0D6A2ECE" w14:textId="77777777" w:rsidR="00BC24A8" w:rsidRDefault="00000000">
            <w:pPr>
              <w:pStyle w:val="TableParagraph"/>
              <w:numPr>
                <w:ilvl w:val="0"/>
                <w:numId w:val="73"/>
              </w:numPr>
              <w:tabs>
                <w:tab w:val="left" w:pos="457"/>
              </w:tabs>
              <w:spacing w:line="219" w:lineRule="exact"/>
              <w:ind w:left="457"/>
              <w:rPr>
                <w:sz w:val="18"/>
              </w:rPr>
            </w:pPr>
            <w:r>
              <w:rPr>
                <w:sz w:val="18"/>
              </w:rPr>
              <w:t>7-12</w:t>
            </w:r>
            <w:r>
              <w:rPr>
                <w:spacing w:val="-2"/>
                <w:sz w:val="18"/>
              </w:rPr>
              <w:t xml:space="preserve"> </w:t>
            </w:r>
            <w:r>
              <w:rPr>
                <w:sz w:val="18"/>
              </w:rPr>
              <w:t>Years</w:t>
            </w:r>
            <w:r>
              <w:rPr>
                <w:spacing w:val="-1"/>
                <w:sz w:val="18"/>
              </w:rPr>
              <w:t xml:space="preserve"> </w:t>
            </w:r>
            <w:r>
              <w:rPr>
                <w:sz w:val="18"/>
              </w:rPr>
              <w:t>(%) =</w:t>
            </w:r>
            <w:r>
              <w:rPr>
                <w:spacing w:val="-2"/>
                <w:sz w:val="18"/>
              </w:rPr>
              <w:t xml:space="preserve"> 99.47</w:t>
            </w:r>
          </w:p>
          <w:p w14:paraId="3D924730" w14:textId="77777777" w:rsidR="00BC24A8" w:rsidRDefault="00000000">
            <w:pPr>
              <w:pStyle w:val="TableParagraph"/>
              <w:numPr>
                <w:ilvl w:val="0"/>
                <w:numId w:val="73"/>
              </w:numPr>
              <w:tabs>
                <w:tab w:val="left" w:pos="457"/>
              </w:tabs>
              <w:ind w:left="457"/>
              <w:rPr>
                <w:sz w:val="18"/>
              </w:rPr>
            </w:pPr>
            <w:r>
              <w:rPr>
                <w:sz w:val="18"/>
              </w:rPr>
              <w:t>13-15</w:t>
            </w:r>
            <w:r>
              <w:rPr>
                <w:spacing w:val="-2"/>
                <w:sz w:val="18"/>
              </w:rPr>
              <w:t xml:space="preserve"> </w:t>
            </w:r>
            <w:r>
              <w:rPr>
                <w:sz w:val="18"/>
              </w:rPr>
              <w:t>Years</w:t>
            </w:r>
            <w:r>
              <w:rPr>
                <w:spacing w:val="-1"/>
                <w:sz w:val="18"/>
              </w:rPr>
              <w:t xml:space="preserve"> </w:t>
            </w:r>
            <w:r>
              <w:rPr>
                <w:sz w:val="18"/>
              </w:rPr>
              <w:t>(%) =</w:t>
            </w:r>
            <w:r>
              <w:rPr>
                <w:spacing w:val="-2"/>
                <w:sz w:val="18"/>
              </w:rPr>
              <w:t xml:space="preserve"> 97.86</w:t>
            </w:r>
          </w:p>
          <w:p w14:paraId="2FC1D8AD" w14:textId="77777777" w:rsidR="00BC24A8" w:rsidRDefault="00000000">
            <w:pPr>
              <w:pStyle w:val="TableParagraph"/>
              <w:numPr>
                <w:ilvl w:val="0"/>
                <w:numId w:val="73"/>
              </w:numPr>
              <w:tabs>
                <w:tab w:val="left" w:pos="457"/>
              </w:tabs>
              <w:spacing w:before="1" w:line="219" w:lineRule="exact"/>
              <w:ind w:left="457"/>
              <w:rPr>
                <w:sz w:val="18"/>
              </w:rPr>
            </w:pPr>
            <w:r>
              <w:rPr>
                <w:sz w:val="18"/>
              </w:rPr>
              <w:t>16-18</w:t>
            </w:r>
            <w:r>
              <w:rPr>
                <w:spacing w:val="-4"/>
                <w:sz w:val="18"/>
              </w:rPr>
              <w:t xml:space="preserve"> </w:t>
            </w:r>
            <w:r>
              <w:rPr>
                <w:sz w:val="18"/>
              </w:rPr>
              <w:t>years</w:t>
            </w:r>
            <w:r>
              <w:rPr>
                <w:spacing w:val="-1"/>
                <w:sz w:val="18"/>
              </w:rPr>
              <w:t xml:space="preserve"> </w:t>
            </w:r>
            <w:r>
              <w:rPr>
                <w:sz w:val="18"/>
              </w:rPr>
              <w:t>(%)</w:t>
            </w:r>
            <w:r>
              <w:rPr>
                <w:spacing w:val="-2"/>
                <w:sz w:val="18"/>
              </w:rPr>
              <w:t xml:space="preserve"> </w:t>
            </w:r>
            <w:r>
              <w:rPr>
                <w:sz w:val="18"/>
              </w:rPr>
              <w:t>=</w:t>
            </w:r>
            <w:r>
              <w:rPr>
                <w:spacing w:val="-2"/>
                <w:sz w:val="18"/>
              </w:rPr>
              <w:t xml:space="preserve"> </w:t>
            </w:r>
            <w:r>
              <w:rPr>
                <w:spacing w:val="-4"/>
                <w:sz w:val="18"/>
              </w:rPr>
              <w:t>77.81</w:t>
            </w:r>
          </w:p>
          <w:p w14:paraId="3AA22F54" w14:textId="77777777" w:rsidR="00BC24A8" w:rsidRDefault="00000000">
            <w:pPr>
              <w:pStyle w:val="TableParagraph"/>
              <w:numPr>
                <w:ilvl w:val="0"/>
                <w:numId w:val="73"/>
              </w:numPr>
              <w:tabs>
                <w:tab w:val="left" w:pos="457"/>
              </w:tabs>
              <w:spacing w:line="219" w:lineRule="exact"/>
              <w:ind w:left="457"/>
              <w:rPr>
                <w:sz w:val="18"/>
              </w:rPr>
            </w:pPr>
            <w:r>
              <w:rPr>
                <w:sz w:val="18"/>
              </w:rPr>
              <w:t>19-24</w:t>
            </w:r>
            <w:r>
              <w:rPr>
                <w:spacing w:val="-4"/>
                <w:sz w:val="18"/>
              </w:rPr>
              <w:t xml:space="preserve"> </w:t>
            </w:r>
            <w:r>
              <w:rPr>
                <w:sz w:val="18"/>
              </w:rPr>
              <w:t>years</w:t>
            </w:r>
            <w:r>
              <w:rPr>
                <w:spacing w:val="-1"/>
                <w:sz w:val="18"/>
              </w:rPr>
              <w:t xml:space="preserve"> </w:t>
            </w:r>
            <w:r>
              <w:rPr>
                <w:sz w:val="18"/>
              </w:rPr>
              <w:t>(%)</w:t>
            </w:r>
            <w:r>
              <w:rPr>
                <w:spacing w:val="-2"/>
                <w:sz w:val="18"/>
              </w:rPr>
              <w:t xml:space="preserve"> </w:t>
            </w:r>
            <w:r>
              <w:rPr>
                <w:sz w:val="18"/>
              </w:rPr>
              <w:t>=</w:t>
            </w:r>
            <w:r>
              <w:rPr>
                <w:spacing w:val="-2"/>
                <w:sz w:val="18"/>
              </w:rPr>
              <w:t xml:space="preserve"> </w:t>
            </w:r>
            <w:r>
              <w:rPr>
                <w:spacing w:val="-4"/>
                <w:sz w:val="18"/>
              </w:rPr>
              <w:t>28.88</w:t>
            </w:r>
          </w:p>
        </w:tc>
      </w:tr>
      <w:tr w:rsidR="00BC24A8" w14:paraId="2535D5BE" w14:textId="77777777">
        <w:trPr>
          <w:trHeight w:val="333"/>
        </w:trPr>
        <w:tc>
          <w:tcPr>
            <w:tcW w:w="3858" w:type="dxa"/>
            <w:tcBorders>
              <w:top w:val="single" w:sz="4" w:space="0" w:color="BEBEBE"/>
              <w:bottom w:val="single" w:sz="4" w:space="0" w:color="BEBEBE"/>
            </w:tcBorders>
          </w:tcPr>
          <w:p w14:paraId="0E6CE97B" w14:textId="77777777" w:rsidR="00BC24A8" w:rsidRDefault="00000000">
            <w:pPr>
              <w:pStyle w:val="TableParagraph"/>
              <w:spacing w:before="56"/>
              <w:ind w:left="115"/>
              <w:rPr>
                <w:sz w:val="18"/>
              </w:rPr>
            </w:pPr>
            <w:r>
              <w:rPr>
                <w:sz w:val="18"/>
              </w:rPr>
              <w:t>Infant</w:t>
            </w:r>
            <w:r>
              <w:rPr>
                <w:spacing w:val="-5"/>
                <w:sz w:val="18"/>
              </w:rPr>
              <w:t xml:space="preserve"> </w:t>
            </w:r>
            <w:r>
              <w:rPr>
                <w:sz w:val="18"/>
              </w:rPr>
              <w:t>mortality</w:t>
            </w:r>
            <w:r>
              <w:rPr>
                <w:spacing w:val="-2"/>
                <w:sz w:val="18"/>
              </w:rPr>
              <w:t xml:space="preserve"> </w:t>
            </w:r>
            <w:r>
              <w:rPr>
                <w:spacing w:val="-4"/>
                <w:sz w:val="18"/>
              </w:rPr>
              <w:t>rate</w:t>
            </w:r>
          </w:p>
        </w:tc>
        <w:tc>
          <w:tcPr>
            <w:tcW w:w="5240" w:type="dxa"/>
            <w:tcBorders>
              <w:top w:val="single" w:sz="4" w:space="0" w:color="BEBEBE"/>
              <w:bottom w:val="single" w:sz="4" w:space="0" w:color="BEBEBE"/>
            </w:tcBorders>
          </w:tcPr>
          <w:p w14:paraId="0345BB79" w14:textId="77777777" w:rsidR="00BC24A8" w:rsidRDefault="00000000">
            <w:pPr>
              <w:pStyle w:val="TableParagraph"/>
              <w:spacing w:before="56"/>
              <w:ind w:left="126"/>
              <w:rPr>
                <w:sz w:val="18"/>
              </w:rPr>
            </w:pPr>
            <w:r>
              <w:rPr>
                <w:sz w:val="18"/>
              </w:rPr>
              <w:t>8.76</w:t>
            </w:r>
            <w:r>
              <w:rPr>
                <w:spacing w:val="-2"/>
                <w:sz w:val="18"/>
              </w:rPr>
              <w:t xml:space="preserve"> </w:t>
            </w:r>
            <w:r>
              <w:rPr>
                <w:sz w:val="18"/>
              </w:rPr>
              <w:t>per</w:t>
            </w:r>
            <w:r>
              <w:rPr>
                <w:spacing w:val="-2"/>
                <w:sz w:val="18"/>
              </w:rPr>
              <w:t xml:space="preserve"> </w:t>
            </w:r>
            <w:r>
              <w:rPr>
                <w:sz w:val="18"/>
              </w:rPr>
              <w:t>1,000</w:t>
            </w:r>
            <w:r>
              <w:rPr>
                <w:spacing w:val="-1"/>
                <w:sz w:val="18"/>
              </w:rPr>
              <w:t xml:space="preserve"> </w:t>
            </w:r>
            <w:r>
              <w:rPr>
                <w:sz w:val="18"/>
              </w:rPr>
              <w:t>Live</w:t>
            </w:r>
            <w:r>
              <w:rPr>
                <w:spacing w:val="-2"/>
                <w:sz w:val="18"/>
              </w:rPr>
              <w:t xml:space="preserve"> Births</w:t>
            </w:r>
          </w:p>
        </w:tc>
      </w:tr>
      <w:tr w:rsidR="00BC24A8" w14:paraId="2A7CA0E8" w14:textId="77777777">
        <w:trPr>
          <w:trHeight w:val="333"/>
        </w:trPr>
        <w:tc>
          <w:tcPr>
            <w:tcW w:w="3858" w:type="dxa"/>
            <w:tcBorders>
              <w:top w:val="single" w:sz="4" w:space="0" w:color="BEBEBE"/>
              <w:bottom w:val="single" w:sz="4" w:space="0" w:color="BEBEBE"/>
            </w:tcBorders>
          </w:tcPr>
          <w:p w14:paraId="1D55AA20" w14:textId="77777777" w:rsidR="00BC24A8" w:rsidRDefault="00000000">
            <w:pPr>
              <w:pStyle w:val="TableParagraph"/>
              <w:spacing w:before="56"/>
              <w:ind w:left="115"/>
              <w:rPr>
                <w:sz w:val="18"/>
              </w:rPr>
            </w:pPr>
            <w:r>
              <w:rPr>
                <w:sz w:val="18"/>
              </w:rPr>
              <w:t>Maternal</w:t>
            </w:r>
            <w:r>
              <w:rPr>
                <w:spacing w:val="-4"/>
                <w:sz w:val="18"/>
              </w:rPr>
              <w:t xml:space="preserve"> </w:t>
            </w:r>
            <w:r>
              <w:rPr>
                <w:sz w:val="18"/>
              </w:rPr>
              <w:t>mortality</w:t>
            </w:r>
            <w:r>
              <w:rPr>
                <w:spacing w:val="-3"/>
                <w:sz w:val="18"/>
              </w:rPr>
              <w:t xml:space="preserve"> </w:t>
            </w:r>
            <w:r>
              <w:rPr>
                <w:spacing w:val="-4"/>
                <w:sz w:val="18"/>
              </w:rPr>
              <w:t>rate</w:t>
            </w:r>
          </w:p>
        </w:tc>
        <w:tc>
          <w:tcPr>
            <w:tcW w:w="5240" w:type="dxa"/>
            <w:tcBorders>
              <w:top w:val="single" w:sz="4" w:space="0" w:color="BEBEBE"/>
              <w:bottom w:val="single" w:sz="4" w:space="0" w:color="BEBEBE"/>
            </w:tcBorders>
          </w:tcPr>
          <w:p w14:paraId="7A6C5EC5" w14:textId="77777777" w:rsidR="00BC24A8" w:rsidRDefault="00000000">
            <w:pPr>
              <w:pStyle w:val="TableParagraph"/>
              <w:spacing w:before="56"/>
              <w:ind w:left="126"/>
              <w:rPr>
                <w:sz w:val="18"/>
              </w:rPr>
            </w:pPr>
            <w:r>
              <w:rPr>
                <w:sz w:val="18"/>
              </w:rPr>
              <w:t>102.51</w:t>
            </w:r>
            <w:r>
              <w:rPr>
                <w:spacing w:val="-2"/>
                <w:sz w:val="18"/>
              </w:rPr>
              <w:t xml:space="preserve"> </w:t>
            </w:r>
            <w:r>
              <w:rPr>
                <w:sz w:val="18"/>
              </w:rPr>
              <w:t>per</w:t>
            </w:r>
            <w:r>
              <w:rPr>
                <w:spacing w:val="-1"/>
                <w:sz w:val="18"/>
              </w:rPr>
              <w:t xml:space="preserve"> </w:t>
            </w:r>
            <w:r>
              <w:rPr>
                <w:sz w:val="18"/>
              </w:rPr>
              <w:t>100.000</w:t>
            </w:r>
            <w:r>
              <w:rPr>
                <w:spacing w:val="-1"/>
                <w:sz w:val="18"/>
              </w:rPr>
              <w:t xml:space="preserve"> </w:t>
            </w:r>
            <w:r>
              <w:rPr>
                <w:sz w:val="18"/>
              </w:rPr>
              <w:t>Live</w:t>
            </w:r>
            <w:r>
              <w:rPr>
                <w:spacing w:val="-2"/>
                <w:sz w:val="18"/>
              </w:rPr>
              <w:t xml:space="preserve"> Births</w:t>
            </w:r>
          </w:p>
        </w:tc>
      </w:tr>
      <w:tr w:rsidR="00BC24A8" w14:paraId="5E80E4D4" w14:textId="77777777">
        <w:trPr>
          <w:trHeight w:val="333"/>
        </w:trPr>
        <w:tc>
          <w:tcPr>
            <w:tcW w:w="3858" w:type="dxa"/>
            <w:tcBorders>
              <w:top w:val="single" w:sz="4" w:space="0" w:color="BEBEBE"/>
              <w:bottom w:val="single" w:sz="4" w:space="0" w:color="BEBEBE"/>
            </w:tcBorders>
          </w:tcPr>
          <w:p w14:paraId="0A35A925" w14:textId="77777777" w:rsidR="00BC24A8" w:rsidRDefault="00000000">
            <w:pPr>
              <w:pStyle w:val="TableParagraph"/>
              <w:spacing w:before="59"/>
              <w:ind w:left="115"/>
              <w:rPr>
                <w:sz w:val="18"/>
              </w:rPr>
            </w:pPr>
            <w:r>
              <w:rPr>
                <w:sz w:val="18"/>
              </w:rPr>
              <w:t>Prevalence</w:t>
            </w:r>
            <w:r>
              <w:rPr>
                <w:spacing w:val="-3"/>
                <w:sz w:val="18"/>
              </w:rPr>
              <w:t xml:space="preserve"> </w:t>
            </w:r>
            <w:r>
              <w:rPr>
                <w:sz w:val="18"/>
              </w:rPr>
              <w:t>of</w:t>
            </w:r>
            <w:r>
              <w:rPr>
                <w:spacing w:val="-2"/>
                <w:sz w:val="18"/>
              </w:rPr>
              <w:t xml:space="preserve"> Stunting</w:t>
            </w:r>
          </w:p>
        </w:tc>
        <w:tc>
          <w:tcPr>
            <w:tcW w:w="5240" w:type="dxa"/>
            <w:tcBorders>
              <w:top w:val="single" w:sz="4" w:space="0" w:color="BEBEBE"/>
              <w:bottom w:val="single" w:sz="4" w:space="0" w:color="BEBEBE"/>
            </w:tcBorders>
          </w:tcPr>
          <w:p w14:paraId="47A6A125" w14:textId="77777777" w:rsidR="00BC24A8" w:rsidRDefault="00000000">
            <w:pPr>
              <w:pStyle w:val="TableParagraph"/>
              <w:spacing w:before="59"/>
              <w:ind w:left="126"/>
              <w:rPr>
                <w:sz w:val="18"/>
              </w:rPr>
            </w:pPr>
            <w:r>
              <w:rPr>
                <w:spacing w:val="-2"/>
                <w:sz w:val="18"/>
              </w:rPr>
              <w:t>12.17%</w:t>
            </w:r>
          </w:p>
        </w:tc>
      </w:tr>
      <w:tr w:rsidR="00BC24A8" w14:paraId="30F48DE7" w14:textId="77777777">
        <w:trPr>
          <w:trHeight w:val="335"/>
        </w:trPr>
        <w:tc>
          <w:tcPr>
            <w:tcW w:w="3858" w:type="dxa"/>
            <w:tcBorders>
              <w:top w:val="single" w:sz="4" w:space="0" w:color="BEBEBE"/>
              <w:bottom w:val="single" w:sz="4" w:space="0" w:color="BEBEBE"/>
            </w:tcBorders>
          </w:tcPr>
          <w:p w14:paraId="11D7716F" w14:textId="77777777" w:rsidR="00BC24A8" w:rsidRDefault="00000000">
            <w:pPr>
              <w:pStyle w:val="TableParagraph"/>
              <w:spacing w:before="59"/>
              <w:ind w:left="115"/>
              <w:rPr>
                <w:sz w:val="18"/>
              </w:rPr>
            </w:pPr>
            <w:r>
              <w:rPr>
                <w:sz w:val="18"/>
              </w:rPr>
              <w:t>Poverty</w:t>
            </w:r>
            <w:r>
              <w:rPr>
                <w:spacing w:val="-4"/>
                <w:sz w:val="18"/>
              </w:rPr>
              <w:t xml:space="preserve"> </w:t>
            </w:r>
            <w:r>
              <w:rPr>
                <w:spacing w:val="-2"/>
                <w:sz w:val="18"/>
              </w:rPr>
              <w:t>level</w:t>
            </w:r>
          </w:p>
        </w:tc>
        <w:tc>
          <w:tcPr>
            <w:tcW w:w="5240" w:type="dxa"/>
            <w:tcBorders>
              <w:top w:val="single" w:sz="4" w:space="0" w:color="BEBEBE"/>
              <w:bottom w:val="single" w:sz="4" w:space="0" w:color="BEBEBE"/>
            </w:tcBorders>
          </w:tcPr>
          <w:p w14:paraId="11276FB1" w14:textId="77777777" w:rsidR="00BC24A8" w:rsidRDefault="00000000">
            <w:pPr>
              <w:pStyle w:val="TableParagraph"/>
              <w:spacing w:before="59"/>
              <w:ind w:left="126"/>
              <w:rPr>
                <w:sz w:val="18"/>
              </w:rPr>
            </w:pPr>
            <w:r>
              <w:rPr>
                <w:spacing w:val="-2"/>
                <w:sz w:val="18"/>
              </w:rPr>
              <w:t>11.91%</w:t>
            </w:r>
          </w:p>
        </w:tc>
      </w:tr>
      <w:tr w:rsidR="00BC24A8" w14:paraId="666D2687" w14:textId="77777777">
        <w:trPr>
          <w:trHeight w:val="333"/>
        </w:trPr>
        <w:tc>
          <w:tcPr>
            <w:tcW w:w="3858" w:type="dxa"/>
            <w:tcBorders>
              <w:top w:val="single" w:sz="4" w:space="0" w:color="BEBEBE"/>
              <w:bottom w:val="single" w:sz="4" w:space="0" w:color="BEBEBE"/>
            </w:tcBorders>
          </w:tcPr>
          <w:p w14:paraId="30F49E07" w14:textId="77777777" w:rsidR="00BC24A8" w:rsidRDefault="00000000">
            <w:pPr>
              <w:pStyle w:val="TableParagraph"/>
              <w:spacing w:before="56"/>
              <w:ind w:left="115"/>
              <w:rPr>
                <w:sz w:val="18"/>
              </w:rPr>
            </w:pPr>
            <w:r>
              <w:rPr>
                <w:sz w:val="18"/>
              </w:rPr>
              <w:t>Open</w:t>
            </w:r>
            <w:r>
              <w:rPr>
                <w:spacing w:val="-6"/>
                <w:sz w:val="18"/>
              </w:rPr>
              <w:t xml:space="preserve"> </w:t>
            </w:r>
            <w:r>
              <w:rPr>
                <w:sz w:val="18"/>
              </w:rPr>
              <w:t>unemployment</w:t>
            </w:r>
            <w:r>
              <w:rPr>
                <w:spacing w:val="-2"/>
                <w:sz w:val="18"/>
              </w:rPr>
              <w:t xml:space="preserve"> </w:t>
            </w:r>
            <w:r>
              <w:rPr>
                <w:spacing w:val="-4"/>
                <w:sz w:val="18"/>
              </w:rPr>
              <w:t>rate</w:t>
            </w:r>
          </w:p>
        </w:tc>
        <w:tc>
          <w:tcPr>
            <w:tcW w:w="5240" w:type="dxa"/>
            <w:tcBorders>
              <w:top w:val="single" w:sz="4" w:space="0" w:color="BEBEBE"/>
              <w:bottom w:val="single" w:sz="4" w:space="0" w:color="BEBEBE"/>
            </w:tcBorders>
          </w:tcPr>
          <w:p w14:paraId="335F347B" w14:textId="77777777" w:rsidR="00BC24A8" w:rsidRDefault="00000000">
            <w:pPr>
              <w:pStyle w:val="TableParagraph"/>
              <w:spacing w:before="56"/>
              <w:ind w:left="126"/>
              <w:rPr>
                <w:sz w:val="18"/>
              </w:rPr>
            </w:pPr>
            <w:r>
              <w:rPr>
                <w:spacing w:val="-2"/>
                <w:sz w:val="18"/>
              </w:rPr>
              <w:t>2.73%</w:t>
            </w:r>
          </w:p>
        </w:tc>
      </w:tr>
      <w:tr w:rsidR="00BC24A8" w14:paraId="13B0BA00" w14:textId="77777777">
        <w:trPr>
          <w:trHeight w:val="333"/>
        </w:trPr>
        <w:tc>
          <w:tcPr>
            <w:tcW w:w="3858" w:type="dxa"/>
            <w:tcBorders>
              <w:top w:val="single" w:sz="4" w:space="0" w:color="BEBEBE"/>
              <w:bottom w:val="single" w:sz="4" w:space="0" w:color="BEBEBE"/>
            </w:tcBorders>
          </w:tcPr>
          <w:p w14:paraId="046BECB4" w14:textId="77777777" w:rsidR="00BC24A8" w:rsidRDefault="00000000">
            <w:pPr>
              <w:pStyle w:val="TableParagraph"/>
              <w:spacing w:before="56"/>
              <w:ind w:left="115"/>
              <w:rPr>
                <w:sz w:val="18"/>
              </w:rPr>
            </w:pPr>
            <w:r>
              <w:rPr>
                <w:sz w:val="18"/>
              </w:rPr>
              <w:t>GINI</w:t>
            </w:r>
            <w:r>
              <w:rPr>
                <w:spacing w:val="-3"/>
                <w:sz w:val="18"/>
              </w:rPr>
              <w:t xml:space="preserve"> </w:t>
            </w:r>
            <w:r>
              <w:rPr>
                <w:spacing w:val="-2"/>
                <w:sz w:val="18"/>
              </w:rPr>
              <w:t>coefficient</w:t>
            </w:r>
          </w:p>
        </w:tc>
        <w:tc>
          <w:tcPr>
            <w:tcW w:w="5240" w:type="dxa"/>
            <w:tcBorders>
              <w:top w:val="single" w:sz="4" w:space="0" w:color="BEBEBE"/>
              <w:bottom w:val="single" w:sz="4" w:space="0" w:color="BEBEBE"/>
            </w:tcBorders>
          </w:tcPr>
          <w:p w14:paraId="3B6458D5" w14:textId="77777777" w:rsidR="00BC24A8" w:rsidRDefault="00000000">
            <w:pPr>
              <w:pStyle w:val="TableParagraph"/>
              <w:spacing w:before="56"/>
              <w:ind w:left="126"/>
              <w:rPr>
                <w:sz w:val="18"/>
              </w:rPr>
            </w:pPr>
            <w:r>
              <w:rPr>
                <w:spacing w:val="-2"/>
                <w:sz w:val="18"/>
              </w:rPr>
              <w:t>0.364</w:t>
            </w:r>
          </w:p>
        </w:tc>
      </w:tr>
      <w:tr w:rsidR="00BC24A8" w14:paraId="53CB3520" w14:textId="77777777">
        <w:trPr>
          <w:trHeight w:val="335"/>
        </w:trPr>
        <w:tc>
          <w:tcPr>
            <w:tcW w:w="3858" w:type="dxa"/>
            <w:tcBorders>
              <w:top w:val="single" w:sz="4" w:space="0" w:color="BEBEBE"/>
              <w:bottom w:val="single" w:sz="4" w:space="0" w:color="BEBEBE"/>
            </w:tcBorders>
          </w:tcPr>
          <w:p w14:paraId="7DDC4493" w14:textId="77777777" w:rsidR="00BC24A8" w:rsidRDefault="00000000">
            <w:pPr>
              <w:pStyle w:val="TableParagraph"/>
              <w:spacing w:before="59"/>
              <w:ind w:left="115"/>
              <w:rPr>
                <w:sz w:val="18"/>
              </w:rPr>
            </w:pPr>
            <w:r>
              <w:rPr>
                <w:sz w:val="18"/>
              </w:rPr>
              <w:t>HDI</w:t>
            </w:r>
            <w:r>
              <w:rPr>
                <w:spacing w:val="-4"/>
                <w:sz w:val="18"/>
              </w:rPr>
              <w:t xml:space="preserve"> </w:t>
            </w:r>
            <w:r>
              <w:rPr>
                <w:sz w:val="18"/>
              </w:rPr>
              <w:t>(Human</w:t>
            </w:r>
            <w:r>
              <w:rPr>
                <w:spacing w:val="-2"/>
                <w:sz w:val="18"/>
              </w:rPr>
              <w:t xml:space="preserve"> </w:t>
            </w:r>
            <w:r>
              <w:rPr>
                <w:sz w:val="18"/>
              </w:rPr>
              <w:t>Development</w:t>
            </w:r>
            <w:r>
              <w:rPr>
                <w:spacing w:val="-1"/>
                <w:sz w:val="18"/>
              </w:rPr>
              <w:t xml:space="preserve"> </w:t>
            </w:r>
            <w:r>
              <w:rPr>
                <w:spacing w:val="-2"/>
                <w:sz w:val="18"/>
              </w:rPr>
              <w:t>Index)</w:t>
            </w:r>
          </w:p>
        </w:tc>
        <w:tc>
          <w:tcPr>
            <w:tcW w:w="5240" w:type="dxa"/>
            <w:tcBorders>
              <w:top w:val="single" w:sz="4" w:space="0" w:color="BEBEBE"/>
              <w:bottom w:val="single" w:sz="4" w:space="0" w:color="BEBEBE"/>
            </w:tcBorders>
          </w:tcPr>
          <w:p w14:paraId="063FAC8C" w14:textId="77777777" w:rsidR="00BC24A8" w:rsidRDefault="00000000">
            <w:pPr>
              <w:pStyle w:val="TableParagraph"/>
              <w:spacing w:before="59"/>
              <w:ind w:left="126"/>
              <w:rPr>
                <w:sz w:val="18"/>
              </w:rPr>
            </w:pPr>
            <w:r>
              <w:rPr>
                <w:spacing w:val="-2"/>
                <w:sz w:val="18"/>
              </w:rPr>
              <w:t>73.10</w:t>
            </w:r>
          </w:p>
        </w:tc>
      </w:tr>
    </w:tbl>
    <w:p w14:paraId="35C1E44B" w14:textId="77777777" w:rsidR="00BC24A8" w:rsidRDefault="00000000">
      <w:pPr>
        <w:spacing w:before="127"/>
        <w:ind w:left="143"/>
        <w:rPr>
          <w:sz w:val="16"/>
        </w:rPr>
      </w:pPr>
      <w:r>
        <w:rPr>
          <w:sz w:val="16"/>
        </w:rPr>
        <w:t>Source:</w:t>
      </w:r>
      <w:r>
        <w:rPr>
          <w:spacing w:val="-10"/>
          <w:sz w:val="16"/>
        </w:rPr>
        <w:t xml:space="preserve"> </w:t>
      </w:r>
      <w:r>
        <w:rPr>
          <w:sz w:val="16"/>
        </w:rPr>
        <w:t>Analysed</w:t>
      </w:r>
      <w:r>
        <w:rPr>
          <w:spacing w:val="-9"/>
          <w:sz w:val="16"/>
        </w:rPr>
        <w:t xml:space="preserve"> </w:t>
      </w:r>
      <w:r>
        <w:rPr>
          <w:sz w:val="16"/>
        </w:rPr>
        <w:t>based</w:t>
      </w:r>
      <w:r>
        <w:rPr>
          <w:spacing w:val="-7"/>
          <w:sz w:val="16"/>
        </w:rPr>
        <w:t xml:space="preserve"> </w:t>
      </w:r>
      <w:r>
        <w:rPr>
          <w:sz w:val="16"/>
        </w:rPr>
        <w:t>on</w:t>
      </w:r>
      <w:r>
        <w:rPr>
          <w:spacing w:val="-9"/>
          <w:sz w:val="16"/>
        </w:rPr>
        <w:t xml:space="preserve"> </w:t>
      </w:r>
      <w:r>
        <w:rPr>
          <w:sz w:val="16"/>
        </w:rPr>
        <w:t>data</w:t>
      </w:r>
      <w:r>
        <w:rPr>
          <w:spacing w:val="-7"/>
          <w:sz w:val="16"/>
        </w:rPr>
        <w:t xml:space="preserve"> </w:t>
      </w:r>
      <w:r>
        <w:rPr>
          <w:sz w:val="16"/>
        </w:rPr>
        <w:t>from</w:t>
      </w:r>
      <w:r>
        <w:rPr>
          <w:spacing w:val="-9"/>
          <w:sz w:val="16"/>
        </w:rPr>
        <w:t xml:space="preserve"> </w:t>
      </w:r>
      <w:r>
        <w:rPr>
          <w:sz w:val="16"/>
        </w:rPr>
        <w:t>RPJMD</w:t>
      </w:r>
      <w:r>
        <w:rPr>
          <w:spacing w:val="-7"/>
          <w:sz w:val="16"/>
        </w:rPr>
        <w:t xml:space="preserve"> </w:t>
      </w:r>
      <w:r>
        <w:rPr>
          <w:sz w:val="16"/>
        </w:rPr>
        <w:t>NTB</w:t>
      </w:r>
      <w:r>
        <w:rPr>
          <w:spacing w:val="-7"/>
          <w:sz w:val="16"/>
        </w:rPr>
        <w:t xml:space="preserve"> </w:t>
      </w:r>
      <w:r>
        <w:rPr>
          <w:sz w:val="16"/>
        </w:rPr>
        <w:t>Year</w:t>
      </w:r>
      <w:r>
        <w:rPr>
          <w:spacing w:val="-7"/>
          <w:sz w:val="16"/>
        </w:rPr>
        <w:t xml:space="preserve"> </w:t>
      </w:r>
      <w:r>
        <w:rPr>
          <w:sz w:val="16"/>
        </w:rPr>
        <w:t>2025-</w:t>
      </w:r>
      <w:r>
        <w:rPr>
          <w:spacing w:val="-4"/>
          <w:sz w:val="16"/>
        </w:rPr>
        <w:t>2029</w:t>
      </w:r>
    </w:p>
    <w:p w14:paraId="6A5FD8A7" w14:textId="77777777" w:rsidR="00BC24A8" w:rsidRDefault="00000000">
      <w:pPr>
        <w:spacing w:before="30" w:line="278" w:lineRule="auto"/>
        <w:ind w:left="143" w:right="662"/>
        <w:rPr>
          <w:sz w:val="16"/>
        </w:rPr>
      </w:pPr>
      <w:r>
        <w:rPr>
          <w:sz w:val="16"/>
        </w:rPr>
        <w:t>Notes: SD=Elementary School, SMP=Junior High School, SMA=Senior High School, MI=Islamic Elementary School, MTS=Islamic Junior High</w:t>
      </w:r>
      <w:r>
        <w:rPr>
          <w:spacing w:val="40"/>
          <w:sz w:val="16"/>
        </w:rPr>
        <w:t xml:space="preserve"> </w:t>
      </w:r>
      <w:r>
        <w:rPr>
          <w:sz w:val="16"/>
        </w:rPr>
        <w:t>School, MA=Islamic Senior High School, SMK=Vocational High School</w:t>
      </w:r>
    </w:p>
    <w:p w14:paraId="7A075C7A" w14:textId="77777777" w:rsidR="00BC24A8" w:rsidRDefault="00BC24A8">
      <w:pPr>
        <w:pStyle w:val="BodyText"/>
        <w:rPr>
          <w:sz w:val="16"/>
        </w:rPr>
      </w:pPr>
    </w:p>
    <w:p w14:paraId="07739E0C" w14:textId="77777777" w:rsidR="00BC24A8" w:rsidRDefault="00BC24A8">
      <w:pPr>
        <w:pStyle w:val="BodyText"/>
        <w:spacing w:before="37"/>
        <w:rPr>
          <w:sz w:val="16"/>
        </w:rPr>
      </w:pPr>
    </w:p>
    <w:p w14:paraId="7982F139" w14:textId="77777777" w:rsidR="00BC24A8" w:rsidRDefault="00000000">
      <w:pPr>
        <w:pStyle w:val="Heading5"/>
        <w:spacing w:before="1"/>
      </w:pPr>
      <w:r>
        <w:rPr>
          <w:color w:val="767070"/>
        </w:rPr>
        <w:t>MSS</w:t>
      </w:r>
      <w:r>
        <w:rPr>
          <w:color w:val="767070"/>
          <w:spacing w:val="-7"/>
        </w:rPr>
        <w:t xml:space="preserve"> </w:t>
      </w:r>
      <w:r>
        <w:rPr>
          <w:color w:val="767070"/>
        </w:rPr>
        <w:t>reporting,</w:t>
      </w:r>
      <w:r>
        <w:rPr>
          <w:color w:val="767070"/>
          <w:spacing w:val="-6"/>
        </w:rPr>
        <w:t xml:space="preserve"> </w:t>
      </w:r>
      <w:r>
        <w:rPr>
          <w:color w:val="767070"/>
        </w:rPr>
        <w:t>achievement</w:t>
      </w:r>
      <w:r>
        <w:rPr>
          <w:color w:val="767070"/>
          <w:spacing w:val="-8"/>
        </w:rPr>
        <w:t xml:space="preserve"> </w:t>
      </w:r>
      <w:r>
        <w:rPr>
          <w:color w:val="767070"/>
        </w:rPr>
        <w:t>index,</w:t>
      </w:r>
      <w:r>
        <w:rPr>
          <w:color w:val="767070"/>
          <w:spacing w:val="-5"/>
        </w:rPr>
        <w:t xml:space="preserve"> </w:t>
      </w:r>
      <w:r>
        <w:rPr>
          <w:color w:val="767070"/>
        </w:rPr>
        <w:t>and</w:t>
      </w:r>
      <w:r>
        <w:rPr>
          <w:color w:val="767070"/>
          <w:spacing w:val="-7"/>
        </w:rPr>
        <w:t xml:space="preserve"> </w:t>
      </w:r>
      <w:r>
        <w:rPr>
          <w:color w:val="767070"/>
        </w:rPr>
        <w:t>budget</w:t>
      </w:r>
      <w:r>
        <w:rPr>
          <w:color w:val="767070"/>
          <w:spacing w:val="-8"/>
        </w:rPr>
        <w:t xml:space="preserve"> </w:t>
      </w:r>
      <w:r>
        <w:rPr>
          <w:color w:val="767070"/>
          <w:spacing w:val="-4"/>
        </w:rPr>
        <w:t>data</w:t>
      </w:r>
    </w:p>
    <w:p w14:paraId="2F6D00C2" w14:textId="77777777" w:rsidR="00BC24A8" w:rsidRDefault="00BC24A8">
      <w:pPr>
        <w:pStyle w:val="BodyText"/>
        <w:rPr>
          <w:rFonts w:ascii="Calibri"/>
          <w:b/>
          <w:sz w:val="13"/>
        </w:rPr>
      </w:pPr>
    </w:p>
    <w:tbl>
      <w:tblPr>
        <w:tblW w:w="0" w:type="auto"/>
        <w:tblInd w:w="150" w:type="dxa"/>
        <w:tblLayout w:type="fixed"/>
        <w:tblCellMar>
          <w:left w:w="0" w:type="dxa"/>
          <w:right w:w="0" w:type="dxa"/>
        </w:tblCellMar>
        <w:tblLook w:val="01E0" w:firstRow="1" w:lastRow="1" w:firstColumn="1" w:lastColumn="1" w:noHBand="0" w:noVBand="0"/>
      </w:tblPr>
      <w:tblGrid>
        <w:gridCol w:w="2700"/>
        <w:gridCol w:w="2160"/>
        <w:gridCol w:w="2071"/>
        <w:gridCol w:w="2160"/>
      </w:tblGrid>
      <w:tr w:rsidR="00BC24A8" w14:paraId="761B205C" w14:textId="77777777">
        <w:trPr>
          <w:trHeight w:val="643"/>
        </w:trPr>
        <w:tc>
          <w:tcPr>
            <w:tcW w:w="2700" w:type="dxa"/>
            <w:shd w:val="clear" w:color="auto" w:fill="17365A"/>
          </w:tcPr>
          <w:p w14:paraId="03C2DF6F" w14:textId="77777777" w:rsidR="00BC24A8" w:rsidRDefault="00000000">
            <w:pPr>
              <w:pStyle w:val="TableParagraph"/>
              <w:spacing w:before="191"/>
              <w:ind w:left="107"/>
              <w:rPr>
                <w:rFonts w:ascii="Calibri"/>
                <w:b/>
                <w:sz w:val="20"/>
              </w:rPr>
            </w:pPr>
            <w:r>
              <w:rPr>
                <w:rFonts w:ascii="Calibri"/>
                <w:b/>
                <w:color w:val="FFFFFF"/>
                <w:spacing w:val="-2"/>
                <w:sz w:val="20"/>
              </w:rPr>
              <w:t>Sector/Affairs</w:t>
            </w:r>
          </w:p>
        </w:tc>
        <w:tc>
          <w:tcPr>
            <w:tcW w:w="2160" w:type="dxa"/>
            <w:shd w:val="clear" w:color="auto" w:fill="17365A"/>
          </w:tcPr>
          <w:p w14:paraId="66024757" w14:textId="77777777" w:rsidR="00BC24A8" w:rsidRDefault="00000000">
            <w:pPr>
              <w:pStyle w:val="TableParagraph"/>
              <w:spacing w:before="59" w:line="259" w:lineRule="auto"/>
              <w:ind w:left="427" w:right="198" w:hanging="228"/>
              <w:rPr>
                <w:rFonts w:ascii="Calibri"/>
                <w:b/>
                <w:sz w:val="20"/>
              </w:rPr>
            </w:pPr>
            <w:r>
              <w:rPr>
                <w:rFonts w:ascii="Calibri"/>
                <w:b/>
                <w:color w:val="FFFFFF"/>
                <w:sz w:val="20"/>
              </w:rPr>
              <w:t>Report</w:t>
            </w:r>
            <w:r>
              <w:rPr>
                <w:rFonts w:ascii="Calibri"/>
                <w:b/>
                <w:color w:val="FFFFFF"/>
                <w:spacing w:val="-12"/>
                <w:sz w:val="20"/>
              </w:rPr>
              <w:t xml:space="preserve"> </w:t>
            </w:r>
            <w:r>
              <w:rPr>
                <w:rFonts w:ascii="Calibri"/>
                <w:b/>
                <w:color w:val="FFFFFF"/>
                <w:sz w:val="20"/>
              </w:rPr>
              <w:t>completion</w:t>
            </w:r>
            <w:r>
              <w:rPr>
                <w:rFonts w:ascii="Calibri"/>
                <w:b/>
                <w:color w:val="FFFFFF"/>
                <w:spacing w:val="-11"/>
                <w:sz w:val="20"/>
              </w:rPr>
              <w:t xml:space="preserve"> </w:t>
            </w:r>
            <w:r>
              <w:rPr>
                <w:rFonts w:ascii="Calibri"/>
                <w:b/>
                <w:color w:val="FFFFFF"/>
                <w:sz w:val="20"/>
              </w:rPr>
              <w:t>in e-SPM 2024 (%)</w:t>
            </w:r>
          </w:p>
        </w:tc>
        <w:tc>
          <w:tcPr>
            <w:tcW w:w="2071" w:type="dxa"/>
            <w:shd w:val="clear" w:color="auto" w:fill="17365A"/>
          </w:tcPr>
          <w:p w14:paraId="0077C048" w14:textId="77777777" w:rsidR="00BC24A8" w:rsidRDefault="00000000">
            <w:pPr>
              <w:pStyle w:val="TableParagraph"/>
              <w:spacing w:before="59" w:line="259" w:lineRule="auto"/>
              <w:ind w:left="422" w:right="287" w:hanging="130"/>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 index 2024 (%)</w:t>
            </w:r>
          </w:p>
        </w:tc>
        <w:tc>
          <w:tcPr>
            <w:tcW w:w="2160" w:type="dxa"/>
            <w:shd w:val="clear" w:color="auto" w:fill="17365A"/>
          </w:tcPr>
          <w:p w14:paraId="0D183E4F" w14:textId="77777777" w:rsidR="00BC24A8" w:rsidRDefault="00000000">
            <w:pPr>
              <w:pStyle w:val="TableParagraph"/>
              <w:spacing w:before="191"/>
              <w:ind w:right="2"/>
              <w:jc w:val="center"/>
              <w:rPr>
                <w:rFonts w:ascii="Calibri"/>
                <w:b/>
                <w:sz w:val="20"/>
              </w:rPr>
            </w:pPr>
            <w:r>
              <w:rPr>
                <w:rFonts w:ascii="Calibri"/>
                <w:b/>
                <w:color w:val="FFFFFF"/>
                <w:sz w:val="20"/>
              </w:rPr>
              <w:t>2024</w:t>
            </w:r>
            <w:r>
              <w:rPr>
                <w:rFonts w:ascii="Calibri"/>
                <w:b/>
                <w:color w:val="FFFFFF"/>
                <w:spacing w:val="-6"/>
                <w:sz w:val="20"/>
              </w:rPr>
              <w:t xml:space="preserve"> </w:t>
            </w:r>
            <w:r>
              <w:rPr>
                <w:rFonts w:ascii="Calibri"/>
                <w:b/>
                <w:color w:val="FFFFFF"/>
                <w:sz w:val="20"/>
              </w:rPr>
              <w:t>SPM</w:t>
            </w:r>
            <w:r>
              <w:rPr>
                <w:rFonts w:ascii="Calibri"/>
                <w:b/>
                <w:color w:val="FFFFFF"/>
                <w:spacing w:val="-4"/>
                <w:sz w:val="20"/>
              </w:rPr>
              <w:t xml:space="preserve"> </w:t>
            </w:r>
            <w:r>
              <w:rPr>
                <w:rFonts w:ascii="Calibri"/>
                <w:b/>
                <w:color w:val="FFFFFF"/>
                <w:spacing w:val="-2"/>
                <w:sz w:val="20"/>
              </w:rPr>
              <w:t>Budget</w:t>
            </w:r>
          </w:p>
        </w:tc>
      </w:tr>
      <w:tr w:rsidR="00BC24A8" w14:paraId="5140B9B3" w14:textId="77777777">
        <w:trPr>
          <w:trHeight w:val="376"/>
        </w:trPr>
        <w:tc>
          <w:tcPr>
            <w:tcW w:w="2700" w:type="dxa"/>
            <w:tcBorders>
              <w:bottom w:val="single" w:sz="4" w:space="0" w:color="BEBEBE"/>
            </w:tcBorders>
          </w:tcPr>
          <w:p w14:paraId="09B54F97" w14:textId="77777777" w:rsidR="00BC24A8" w:rsidRDefault="00000000">
            <w:pPr>
              <w:pStyle w:val="TableParagraph"/>
              <w:spacing w:before="102"/>
              <w:ind w:left="107"/>
              <w:rPr>
                <w:rFonts w:ascii="Calibri"/>
                <w:sz w:val="18"/>
              </w:rPr>
            </w:pPr>
            <w:r>
              <w:rPr>
                <w:rFonts w:ascii="Calibri"/>
                <w:spacing w:val="-2"/>
                <w:sz w:val="18"/>
              </w:rPr>
              <w:t>Education</w:t>
            </w:r>
          </w:p>
        </w:tc>
        <w:tc>
          <w:tcPr>
            <w:tcW w:w="2160" w:type="dxa"/>
            <w:tcBorders>
              <w:bottom w:val="single" w:sz="4" w:space="0" w:color="BEBEBE"/>
            </w:tcBorders>
          </w:tcPr>
          <w:p w14:paraId="0BBB0DC7" w14:textId="77777777" w:rsidR="00BC24A8" w:rsidRDefault="00000000">
            <w:pPr>
              <w:pStyle w:val="TableParagraph"/>
              <w:spacing w:before="102"/>
              <w:jc w:val="center"/>
              <w:rPr>
                <w:rFonts w:ascii="Calibri"/>
                <w:sz w:val="18"/>
              </w:rPr>
            </w:pPr>
            <w:r>
              <w:rPr>
                <w:rFonts w:ascii="Calibri"/>
                <w:spacing w:val="-5"/>
                <w:sz w:val="18"/>
              </w:rPr>
              <w:t>100</w:t>
            </w:r>
          </w:p>
        </w:tc>
        <w:tc>
          <w:tcPr>
            <w:tcW w:w="2071" w:type="dxa"/>
            <w:tcBorders>
              <w:bottom w:val="single" w:sz="4" w:space="0" w:color="BEBEBE"/>
            </w:tcBorders>
          </w:tcPr>
          <w:p w14:paraId="220C4E6E" w14:textId="77777777" w:rsidR="00BC24A8" w:rsidRDefault="00000000">
            <w:pPr>
              <w:pStyle w:val="TableParagraph"/>
              <w:spacing w:before="102"/>
              <w:ind w:left="7" w:right="9"/>
              <w:jc w:val="center"/>
              <w:rPr>
                <w:rFonts w:ascii="Calibri"/>
                <w:sz w:val="18"/>
              </w:rPr>
            </w:pPr>
            <w:r>
              <w:rPr>
                <w:rFonts w:ascii="Calibri"/>
                <w:spacing w:val="-2"/>
                <w:sz w:val="18"/>
              </w:rPr>
              <w:t>99,02</w:t>
            </w:r>
          </w:p>
        </w:tc>
        <w:tc>
          <w:tcPr>
            <w:tcW w:w="2160" w:type="dxa"/>
            <w:tcBorders>
              <w:bottom w:val="single" w:sz="4" w:space="0" w:color="BEBEBE"/>
            </w:tcBorders>
          </w:tcPr>
          <w:p w14:paraId="4D29A235" w14:textId="77777777" w:rsidR="00BC24A8" w:rsidRDefault="00000000">
            <w:pPr>
              <w:pStyle w:val="TableParagraph"/>
              <w:tabs>
                <w:tab w:val="left" w:pos="693"/>
              </w:tabs>
              <w:spacing w:before="102"/>
              <w:ind w:right="20"/>
              <w:jc w:val="center"/>
              <w:rPr>
                <w:rFonts w:ascii="Calibri"/>
                <w:sz w:val="18"/>
              </w:rPr>
            </w:pPr>
            <w:r>
              <w:rPr>
                <w:rFonts w:ascii="Calibri"/>
                <w:spacing w:val="-5"/>
                <w:sz w:val="18"/>
              </w:rPr>
              <w:t>IDR</w:t>
            </w:r>
            <w:r>
              <w:rPr>
                <w:rFonts w:ascii="Calibri"/>
                <w:sz w:val="18"/>
              </w:rPr>
              <w:tab/>
            </w:r>
            <w:r>
              <w:rPr>
                <w:rFonts w:ascii="Calibri"/>
                <w:spacing w:val="-2"/>
                <w:sz w:val="18"/>
              </w:rPr>
              <w:t>558,330,877,263</w:t>
            </w:r>
          </w:p>
        </w:tc>
      </w:tr>
      <w:tr w:rsidR="00BC24A8" w14:paraId="239F2B5E" w14:textId="77777777">
        <w:trPr>
          <w:trHeight w:val="335"/>
        </w:trPr>
        <w:tc>
          <w:tcPr>
            <w:tcW w:w="2700" w:type="dxa"/>
            <w:tcBorders>
              <w:top w:val="single" w:sz="4" w:space="0" w:color="BEBEBE"/>
              <w:bottom w:val="single" w:sz="4" w:space="0" w:color="BEBEBE"/>
            </w:tcBorders>
          </w:tcPr>
          <w:p w14:paraId="3B20D7D4" w14:textId="77777777" w:rsidR="00BC24A8" w:rsidRDefault="00000000">
            <w:pPr>
              <w:pStyle w:val="TableParagraph"/>
              <w:spacing w:before="59"/>
              <w:ind w:left="107"/>
              <w:rPr>
                <w:rFonts w:ascii="Calibri"/>
                <w:sz w:val="18"/>
              </w:rPr>
            </w:pPr>
            <w:r>
              <w:rPr>
                <w:rFonts w:ascii="Calibri"/>
                <w:spacing w:val="-2"/>
                <w:sz w:val="18"/>
              </w:rPr>
              <w:t>Health</w:t>
            </w:r>
          </w:p>
        </w:tc>
        <w:tc>
          <w:tcPr>
            <w:tcW w:w="2160" w:type="dxa"/>
            <w:tcBorders>
              <w:top w:val="single" w:sz="4" w:space="0" w:color="BEBEBE"/>
              <w:bottom w:val="single" w:sz="4" w:space="0" w:color="BEBEBE"/>
            </w:tcBorders>
          </w:tcPr>
          <w:p w14:paraId="7604A4A6" w14:textId="77777777" w:rsidR="00BC24A8" w:rsidRDefault="00000000">
            <w:pPr>
              <w:pStyle w:val="TableParagraph"/>
              <w:spacing w:before="59"/>
              <w:jc w:val="center"/>
              <w:rPr>
                <w:rFonts w:ascii="Calibri"/>
                <w:sz w:val="18"/>
              </w:rPr>
            </w:pPr>
            <w:r>
              <w:rPr>
                <w:rFonts w:ascii="Calibri"/>
                <w:spacing w:val="-5"/>
                <w:sz w:val="18"/>
              </w:rPr>
              <w:t>100</w:t>
            </w:r>
          </w:p>
        </w:tc>
        <w:tc>
          <w:tcPr>
            <w:tcW w:w="2071" w:type="dxa"/>
            <w:tcBorders>
              <w:top w:val="single" w:sz="4" w:space="0" w:color="BEBEBE"/>
              <w:bottom w:val="single" w:sz="4" w:space="0" w:color="BEBEBE"/>
            </w:tcBorders>
          </w:tcPr>
          <w:p w14:paraId="2B2D5CD5" w14:textId="77777777" w:rsidR="00BC24A8" w:rsidRDefault="00000000">
            <w:pPr>
              <w:pStyle w:val="TableParagraph"/>
              <w:spacing w:before="59"/>
              <w:ind w:left="7" w:right="7"/>
              <w:jc w:val="center"/>
              <w:rPr>
                <w:rFonts w:ascii="Calibri"/>
                <w:sz w:val="18"/>
              </w:rPr>
            </w:pPr>
            <w:r>
              <w:rPr>
                <w:rFonts w:ascii="Calibri"/>
                <w:spacing w:val="-5"/>
                <w:sz w:val="18"/>
              </w:rPr>
              <w:t>100</w:t>
            </w:r>
          </w:p>
        </w:tc>
        <w:tc>
          <w:tcPr>
            <w:tcW w:w="2160" w:type="dxa"/>
            <w:tcBorders>
              <w:top w:val="single" w:sz="4" w:space="0" w:color="BEBEBE"/>
              <w:bottom w:val="single" w:sz="4" w:space="0" w:color="BEBEBE"/>
            </w:tcBorders>
          </w:tcPr>
          <w:p w14:paraId="064F19D8" w14:textId="77777777" w:rsidR="00BC24A8" w:rsidRDefault="00000000">
            <w:pPr>
              <w:pStyle w:val="TableParagraph"/>
              <w:tabs>
                <w:tab w:val="left" w:pos="873"/>
              </w:tabs>
              <w:spacing w:before="59"/>
              <w:ind w:right="24"/>
              <w:jc w:val="center"/>
              <w:rPr>
                <w:rFonts w:ascii="Calibri"/>
                <w:sz w:val="18"/>
              </w:rPr>
            </w:pPr>
            <w:r>
              <w:rPr>
                <w:rFonts w:ascii="Calibri"/>
                <w:spacing w:val="-5"/>
                <w:sz w:val="18"/>
              </w:rPr>
              <w:t>IDR</w:t>
            </w:r>
            <w:r>
              <w:rPr>
                <w:rFonts w:ascii="Calibri"/>
                <w:sz w:val="18"/>
              </w:rPr>
              <w:tab/>
            </w:r>
            <w:r>
              <w:rPr>
                <w:rFonts w:ascii="Calibri"/>
                <w:spacing w:val="-2"/>
                <w:sz w:val="18"/>
              </w:rPr>
              <w:t>1,794,036,739</w:t>
            </w:r>
          </w:p>
        </w:tc>
      </w:tr>
      <w:tr w:rsidR="00BC24A8" w14:paraId="525A34E4" w14:textId="77777777">
        <w:trPr>
          <w:trHeight w:val="333"/>
        </w:trPr>
        <w:tc>
          <w:tcPr>
            <w:tcW w:w="2700" w:type="dxa"/>
            <w:tcBorders>
              <w:top w:val="single" w:sz="4" w:space="0" w:color="BEBEBE"/>
              <w:bottom w:val="single" w:sz="4" w:space="0" w:color="BEBEBE"/>
            </w:tcBorders>
          </w:tcPr>
          <w:p w14:paraId="2C4F7BF5" w14:textId="77777777" w:rsidR="00BC24A8" w:rsidRDefault="00000000">
            <w:pPr>
              <w:pStyle w:val="TableParagraph"/>
              <w:spacing w:before="56"/>
              <w:ind w:left="107"/>
              <w:rPr>
                <w:rFonts w:ascii="Calibri"/>
                <w:sz w:val="18"/>
              </w:rPr>
            </w:pPr>
            <w:r>
              <w:rPr>
                <w:rFonts w:ascii="Calibri"/>
                <w:spacing w:val="-2"/>
                <w:sz w:val="18"/>
              </w:rPr>
              <w:t>Social</w:t>
            </w:r>
          </w:p>
        </w:tc>
        <w:tc>
          <w:tcPr>
            <w:tcW w:w="2160" w:type="dxa"/>
            <w:tcBorders>
              <w:top w:val="single" w:sz="4" w:space="0" w:color="BEBEBE"/>
              <w:bottom w:val="single" w:sz="4" w:space="0" w:color="BEBEBE"/>
            </w:tcBorders>
          </w:tcPr>
          <w:p w14:paraId="0053326F" w14:textId="77777777" w:rsidR="00BC24A8" w:rsidRDefault="00000000">
            <w:pPr>
              <w:pStyle w:val="TableParagraph"/>
              <w:spacing w:before="56"/>
              <w:jc w:val="center"/>
              <w:rPr>
                <w:rFonts w:ascii="Calibri"/>
                <w:sz w:val="18"/>
              </w:rPr>
            </w:pPr>
            <w:r>
              <w:rPr>
                <w:rFonts w:ascii="Calibri"/>
                <w:spacing w:val="-2"/>
                <w:sz w:val="18"/>
              </w:rPr>
              <w:t>98,18</w:t>
            </w:r>
          </w:p>
        </w:tc>
        <w:tc>
          <w:tcPr>
            <w:tcW w:w="2071" w:type="dxa"/>
            <w:tcBorders>
              <w:top w:val="single" w:sz="4" w:space="0" w:color="BEBEBE"/>
              <w:bottom w:val="single" w:sz="4" w:space="0" w:color="BEBEBE"/>
            </w:tcBorders>
          </w:tcPr>
          <w:p w14:paraId="12C28A4B" w14:textId="77777777" w:rsidR="00BC24A8" w:rsidRDefault="00000000">
            <w:pPr>
              <w:pStyle w:val="TableParagraph"/>
              <w:spacing w:before="56"/>
              <w:ind w:left="7" w:right="9"/>
              <w:jc w:val="center"/>
              <w:rPr>
                <w:rFonts w:ascii="Calibri"/>
                <w:sz w:val="18"/>
              </w:rPr>
            </w:pPr>
            <w:r>
              <w:rPr>
                <w:rFonts w:ascii="Calibri"/>
                <w:spacing w:val="-4"/>
                <w:sz w:val="18"/>
              </w:rPr>
              <w:t>99.2</w:t>
            </w:r>
          </w:p>
        </w:tc>
        <w:tc>
          <w:tcPr>
            <w:tcW w:w="2160" w:type="dxa"/>
            <w:tcBorders>
              <w:top w:val="single" w:sz="4" w:space="0" w:color="BEBEBE"/>
              <w:bottom w:val="single" w:sz="4" w:space="0" w:color="BEBEBE"/>
            </w:tcBorders>
          </w:tcPr>
          <w:p w14:paraId="4C401B0A" w14:textId="77777777" w:rsidR="00BC24A8" w:rsidRDefault="00000000">
            <w:pPr>
              <w:pStyle w:val="TableParagraph"/>
              <w:tabs>
                <w:tab w:val="left" w:pos="782"/>
              </w:tabs>
              <w:spacing w:before="56"/>
              <w:ind w:right="22"/>
              <w:jc w:val="center"/>
              <w:rPr>
                <w:rFonts w:ascii="Calibri"/>
                <w:sz w:val="18"/>
              </w:rPr>
            </w:pPr>
            <w:r>
              <w:rPr>
                <w:rFonts w:ascii="Calibri"/>
                <w:spacing w:val="-5"/>
                <w:sz w:val="18"/>
              </w:rPr>
              <w:t>IDR</w:t>
            </w:r>
            <w:r>
              <w:rPr>
                <w:rFonts w:ascii="Calibri"/>
                <w:sz w:val="18"/>
              </w:rPr>
              <w:tab/>
            </w:r>
            <w:r>
              <w:rPr>
                <w:rFonts w:ascii="Calibri"/>
                <w:spacing w:val="-2"/>
                <w:sz w:val="18"/>
              </w:rPr>
              <w:t>16,040,950,695</w:t>
            </w:r>
          </w:p>
        </w:tc>
      </w:tr>
      <w:tr w:rsidR="00BC24A8" w14:paraId="6DA8509B" w14:textId="77777777">
        <w:trPr>
          <w:trHeight w:val="333"/>
        </w:trPr>
        <w:tc>
          <w:tcPr>
            <w:tcW w:w="2700" w:type="dxa"/>
            <w:tcBorders>
              <w:top w:val="single" w:sz="4" w:space="0" w:color="BEBEBE"/>
              <w:bottom w:val="single" w:sz="4" w:space="0" w:color="BEBEBE"/>
            </w:tcBorders>
          </w:tcPr>
          <w:p w14:paraId="69ABEE36" w14:textId="77777777" w:rsidR="00BC24A8" w:rsidRDefault="00000000">
            <w:pPr>
              <w:pStyle w:val="TableParagraph"/>
              <w:spacing w:before="56"/>
              <w:ind w:left="107"/>
              <w:rPr>
                <w:rFonts w:ascii="Calibri"/>
                <w:sz w:val="18"/>
              </w:rPr>
            </w:pPr>
            <w:r>
              <w:rPr>
                <w:rFonts w:ascii="Calibri"/>
                <w:sz w:val="18"/>
              </w:rPr>
              <w:t>Public</w:t>
            </w:r>
            <w:r>
              <w:rPr>
                <w:rFonts w:ascii="Calibri"/>
                <w:spacing w:val="-4"/>
                <w:sz w:val="18"/>
              </w:rPr>
              <w:t xml:space="preserve"> </w:t>
            </w:r>
            <w:r>
              <w:rPr>
                <w:rFonts w:ascii="Calibri"/>
                <w:spacing w:val="-2"/>
                <w:sz w:val="18"/>
              </w:rPr>
              <w:t>Works</w:t>
            </w:r>
          </w:p>
        </w:tc>
        <w:tc>
          <w:tcPr>
            <w:tcW w:w="2160" w:type="dxa"/>
            <w:tcBorders>
              <w:top w:val="single" w:sz="4" w:space="0" w:color="BEBEBE"/>
              <w:bottom w:val="single" w:sz="4" w:space="0" w:color="BEBEBE"/>
            </w:tcBorders>
          </w:tcPr>
          <w:p w14:paraId="03DE703A" w14:textId="77777777" w:rsidR="00BC24A8" w:rsidRDefault="00000000">
            <w:pPr>
              <w:pStyle w:val="TableParagraph"/>
              <w:spacing w:before="56"/>
              <w:jc w:val="center"/>
              <w:rPr>
                <w:rFonts w:ascii="Calibri"/>
                <w:sz w:val="18"/>
              </w:rPr>
            </w:pPr>
            <w:r>
              <w:rPr>
                <w:rFonts w:ascii="Calibri"/>
                <w:spacing w:val="-5"/>
                <w:sz w:val="18"/>
              </w:rPr>
              <w:t>100</w:t>
            </w:r>
          </w:p>
        </w:tc>
        <w:tc>
          <w:tcPr>
            <w:tcW w:w="2071" w:type="dxa"/>
            <w:tcBorders>
              <w:top w:val="single" w:sz="4" w:space="0" w:color="BEBEBE"/>
              <w:bottom w:val="single" w:sz="4" w:space="0" w:color="BEBEBE"/>
            </w:tcBorders>
          </w:tcPr>
          <w:p w14:paraId="0784160C" w14:textId="77777777" w:rsidR="00BC24A8" w:rsidRDefault="00000000">
            <w:pPr>
              <w:pStyle w:val="TableParagraph"/>
              <w:spacing w:before="56"/>
              <w:ind w:left="7" w:right="9"/>
              <w:jc w:val="center"/>
              <w:rPr>
                <w:rFonts w:ascii="Calibri"/>
                <w:sz w:val="18"/>
              </w:rPr>
            </w:pPr>
            <w:r>
              <w:rPr>
                <w:rFonts w:ascii="Calibri"/>
                <w:spacing w:val="-4"/>
                <w:sz w:val="18"/>
              </w:rPr>
              <w:t>98.5</w:t>
            </w:r>
          </w:p>
        </w:tc>
        <w:tc>
          <w:tcPr>
            <w:tcW w:w="2160" w:type="dxa"/>
            <w:tcBorders>
              <w:top w:val="single" w:sz="4" w:space="0" w:color="BEBEBE"/>
              <w:bottom w:val="single" w:sz="4" w:space="0" w:color="BEBEBE"/>
            </w:tcBorders>
          </w:tcPr>
          <w:p w14:paraId="714E8DF1" w14:textId="77777777" w:rsidR="00BC24A8" w:rsidRDefault="00000000">
            <w:pPr>
              <w:pStyle w:val="TableParagraph"/>
              <w:tabs>
                <w:tab w:val="left" w:pos="782"/>
              </w:tabs>
              <w:spacing w:before="56"/>
              <w:ind w:right="22"/>
              <w:jc w:val="center"/>
              <w:rPr>
                <w:rFonts w:ascii="Calibri"/>
                <w:sz w:val="18"/>
              </w:rPr>
            </w:pPr>
            <w:r>
              <w:rPr>
                <w:rFonts w:ascii="Calibri"/>
                <w:spacing w:val="-5"/>
                <w:sz w:val="18"/>
              </w:rPr>
              <w:t>IDR</w:t>
            </w:r>
            <w:r>
              <w:rPr>
                <w:rFonts w:ascii="Calibri"/>
                <w:sz w:val="18"/>
              </w:rPr>
              <w:tab/>
            </w:r>
            <w:r>
              <w:rPr>
                <w:rFonts w:ascii="Calibri"/>
                <w:spacing w:val="-2"/>
                <w:sz w:val="18"/>
              </w:rPr>
              <w:t>27,643,714,980</w:t>
            </w:r>
          </w:p>
        </w:tc>
      </w:tr>
      <w:tr w:rsidR="00BC24A8" w14:paraId="418A24D1" w14:textId="77777777">
        <w:trPr>
          <w:trHeight w:val="333"/>
        </w:trPr>
        <w:tc>
          <w:tcPr>
            <w:tcW w:w="2700" w:type="dxa"/>
            <w:tcBorders>
              <w:top w:val="single" w:sz="4" w:space="0" w:color="BEBEBE"/>
              <w:bottom w:val="single" w:sz="4" w:space="0" w:color="BEBEBE"/>
            </w:tcBorders>
          </w:tcPr>
          <w:p w14:paraId="6D294676" w14:textId="77777777" w:rsidR="00BC24A8" w:rsidRDefault="00000000">
            <w:pPr>
              <w:pStyle w:val="TableParagraph"/>
              <w:spacing w:before="56"/>
              <w:ind w:left="107"/>
              <w:rPr>
                <w:rFonts w:ascii="Calibri"/>
                <w:sz w:val="18"/>
              </w:rPr>
            </w:pPr>
            <w:r>
              <w:rPr>
                <w:rFonts w:ascii="Calibri"/>
                <w:sz w:val="18"/>
              </w:rPr>
              <w:t>People's</w:t>
            </w:r>
            <w:r>
              <w:rPr>
                <w:rFonts w:ascii="Calibri"/>
                <w:spacing w:val="-5"/>
                <w:sz w:val="18"/>
              </w:rPr>
              <w:t xml:space="preserve"> </w:t>
            </w:r>
            <w:r>
              <w:rPr>
                <w:rFonts w:ascii="Calibri"/>
                <w:spacing w:val="-2"/>
                <w:sz w:val="18"/>
              </w:rPr>
              <w:t>Housing</w:t>
            </w:r>
          </w:p>
        </w:tc>
        <w:tc>
          <w:tcPr>
            <w:tcW w:w="2160" w:type="dxa"/>
            <w:tcBorders>
              <w:top w:val="single" w:sz="4" w:space="0" w:color="BEBEBE"/>
              <w:bottom w:val="single" w:sz="4" w:space="0" w:color="BEBEBE"/>
            </w:tcBorders>
          </w:tcPr>
          <w:p w14:paraId="63811C52" w14:textId="77777777" w:rsidR="00BC24A8" w:rsidRDefault="00000000">
            <w:pPr>
              <w:pStyle w:val="TableParagraph"/>
              <w:spacing w:before="56"/>
              <w:jc w:val="center"/>
              <w:rPr>
                <w:rFonts w:ascii="Calibri"/>
                <w:sz w:val="18"/>
              </w:rPr>
            </w:pPr>
            <w:r>
              <w:rPr>
                <w:rFonts w:ascii="Calibri"/>
                <w:spacing w:val="-5"/>
                <w:sz w:val="18"/>
              </w:rPr>
              <w:t>100</w:t>
            </w:r>
          </w:p>
        </w:tc>
        <w:tc>
          <w:tcPr>
            <w:tcW w:w="2071" w:type="dxa"/>
            <w:tcBorders>
              <w:top w:val="single" w:sz="4" w:space="0" w:color="BEBEBE"/>
              <w:bottom w:val="single" w:sz="4" w:space="0" w:color="BEBEBE"/>
            </w:tcBorders>
          </w:tcPr>
          <w:p w14:paraId="6B284E94" w14:textId="77777777" w:rsidR="00BC24A8" w:rsidRDefault="00000000">
            <w:pPr>
              <w:pStyle w:val="TableParagraph"/>
              <w:spacing w:before="56"/>
              <w:ind w:left="7" w:right="7"/>
              <w:jc w:val="center"/>
              <w:rPr>
                <w:rFonts w:ascii="Calibri"/>
                <w:sz w:val="18"/>
              </w:rPr>
            </w:pPr>
            <w:r>
              <w:rPr>
                <w:rFonts w:ascii="Calibri"/>
                <w:spacing w:val="-5"/>
                <w:sz w:val="18"/>
              </w:rPr>
              <w:t>100</w:t>
            </w:r>
          </w:p>
        </w:tc>
        <w:tc>
          <w:tcPr>
            <w:tcW w:w="2160" w:type="dxa"/>
            <w:tcBorders>
              <w:top w:val="single" w:sz="4" w:space="0" w:color="BEBEBE"/>
              <w:bottom w:val="single" w:sz="4" w:space="0" w:color="BEBEBE"/>
            </w:tcBorders>
          </w:tcPr>
          <w:p w14:paraId="045B66FA" w14:textId="77777777" w:rsidR="00BC24A8" w:rsidRDefault="00000000">
            <w:pPr>
              <w:pStyle w:val="TableParagraph"/>
              <w:tabs>
                <w:tab w:val="left" w:pos="873"/>
              </w:tabs>
              <w:spacing w:before="56"/>
              <w:ind w:right="24"/>
              <w:jc w:val="center"/>
              <w:rPr>
                <w:rFonts w:ascii="Calibri"/>
                <w:sz w:val="18"/>
              </w:rPr>
            </w:pPr>
            <w:r>
              <w:rPr>
                <w:rFonts w:ascii="Calibri"/>
                <w:spacing w:val="-5"/>
                <w:sz w:val="18"/>
              </w:rPr>
              <w:t>IDR</w:t>
            </w:r>
            <w:r>
              <w:rPr>
                <w:rFonts w:ascii="Calibri"/>
                <w:sz w:val="18"/>
              </w:rPr>
              <w:tab/>
            </w:r>
            <w:r>
              <w:rPr>
                <w:rFonts w:ascii="Calibri"/>
                <w:spacing w:val="-2"/>
                <w:sz w:val="18"/>
              </w:rPr>
              <w:t>1,574,987,400</w:t>
            </w:r>
          </w:p>
        </w:tc>
      </w:tr>
      <w:tr w:rsidR="00BC24A8" w14:paraId="01BC5996" w14:textId="77777777">
        <w:trPr>
          <w:trHeight w:val="593"/>
        </w:trPr>
        <w:tc>
          <w:tcPr>
            <w:tcW w:w="2700" w:type="dxa"/>
            <w:tcBorders>
              <w:top w:val="single" w:sz="4" w:space="0" w:color="BEBEBE"/>
            </w:tcBorders>
          </w:tcPr>
          <w:p w14:paraId="6BB32EE7" w14:textId="77777777" w:rsidR="00BC24A8" w:rsidRDefault="00000000">
            <w:pPr>
              <w:pStyle w:val="TableParagraph"/>
              <w:spacing w:before="59"/>
              <w:ind w:left="107" w:right="10"/>
              <w:rPr>
                <w:rFonts w:ascii="Calibri"/>
                <w:sz w:val="18"/>
              </w:rPr>
            </w:pPr>
            <w:r>
              <w:rPr>
                <w:rFonts w:ascii="Calibri"/>
                <w:sz w:val="18"/>
              </w:rPr>
              <w:t>Public</w:t>
            </w:r>
            <w:r>
              <w:rPr>
                <w:rFonts w:ascii="Calibri"/>
                <w:spacing w:val="80"/>
                <w:sz w:val="18"/>
              </w:rPr>
              <w:t xml:space="preserve"> </w:t>
            </w:r>
            <w:r>
              <w:rPr>
                <w:rFonts w:ascii="Calibri"/>
                <w:sz w:val="18"/>
              </w:rPr>
              <w:t>Order</w:t>
            </w:r>
            <w:r>
              <w:rPr>
                <w:rFonts w:ascii="Calibri"/>
                <w:spacing w:val="80"/>
                <w:sz w:val="18"/>
              </w:rPr>
              <w:t xml:space="preserve"> </w:t>
            </w:r>
            <w:r>
              <w:rPr>
                <w:rFonts w:ascii="Calibri"/>
                <w:sz w:val="18"/>
              </w:rPr>
              <w:t>and</w:t>
            </w:r>
            <w:r>
              <w:rPr>
                <w:rFonts w:ascii="Calibri"/>
                <w:spacing w:val="80"/>
                <w:sz w:val="18"/>
              </w:rPr>
              <w:t xml:space="preserve"> </w:t>
            </w:r>
            <w:r>
              <w:rPr>
                <w:rFonts w:ascii="Calibri"/>
                <w:sz w:val="18"/>
              </w:rPr>
              <w:t>Community Protection</w:t>
            </w:r>
            <w:r>
              <w:rPr>
                <w:rFonts w:ascii="Calibri"/>
                <w:spacing w:val="-2"/>
                <w:sz w:val="18"/>
              </w:rPr>
              <w:t xml:space="preserve"> </w:t>
            </w:r>
            <w:r>
              <w:rPr>
                <w:rFonts w:ascii="Calibri"/>
                <w:sz w:val="18"/>
              </w:rPr>
              <w:t>(Trantibumlinmas)</w:t>
            </w:r>
          </w:p>
        </w:tc>
        <w:tc>
          <w:tcPr>
            <w:tcW w:w="2160" w:type="dxa"/>
            <w:tcBorders>
              <w:top w:val="single" w:sz="4" w:space="0" w:color="BEBEBE"/>
            </w:tcBorders>
          </w:tcPr>
          <w:p w14:paraId="541B50F9" w14:textId="77777777" w:rsidR="00BC24A8" w:rsidRDefault="00000000">
            <w:pPr>
              <w:pStyle w:val="TableParagraph"/>
              <w:spacing w:before="59"/>
              <w:jc w:val="center"/>
              <w:rPr>
                <w:rFonts w:ascii="Calibri"/>
                <w:sz w:val="18"/>
              </w:rPr>
            </w:pPr>
            <w:r>
              <w:rPr>
                <w:rFonts w:ascii="Calibri"/>
                <w:spacing w:val="-5"/>
                <w:sz w:val="18"/>
              </w:rPr>
              <w:t>100</w:t>
            </w:r>
          </w:p>
        </w:tc>
        <w:tc>
          <w:tcPr>
            <w:tcW w:w="2071" w:type="dxa"/>
            <w:tcBorders>
              <w:top w:val="single" w:sz="4" w:space="0" w:color="BEBEBE"/>
            </w:tcBorders>
          </w:tcPr>
          <w:p w14:paraId="36FE4071" w14:textId="77777777" w:rsidR="00BC24A8" w:rsidRDefault="00000000">
            <w:pPr>
              <w:pStyle w:val="TableParagraph"/>
              <w:spacing w:before="59"/>
              <w:ind w:left="7" w:right="7"/>
              <w:jc w:val="center"/>
              <w:rPr>
                <w:rFonts w:ascii="Calibri"/>
                <w:sz w:val="18"/>
              </w:rPr>
            </w:pPr>
            <w:r>
              <w:rPr>
                <w:rFonts w:ascii="Calibri"/>
                <w:spacing w:val="-5"/>
                <w:sz w:val="18"/>
              </w:rPr>
              <w:t>100</w:t>
            </w:r>
          </w:p>
        </w:tc>
        <w:tc>
          <w:tcPr>
            <w:tcW w:w="2160" w:type="dxa"/>
            <w:tcBorders>
              <w:top w:val="single" w:sz="4" w:space="0" w:color="BEBEBE"/>
            </w:tcBorders>
          </w:tcPr>
          <w:p w14:paraId="52FAFCAD" w14:textId="77777777" w:rsidR="00BC24A8" w:rsidRDefault="00000000">
            <w:pPr>
              <w:pStyle w:val="TableParagraph"/>
              <w:tabs>
                <w:tab w:val="left" w:pos="989"/>
              </w:tabs>
              <w:spacing w:before="59"/>
              <w:ind w:right="43"/>
              <w:jc w:val="center"/>
              <w:rPr>
                <w:rFonts w:ascii="Calibri"/>
                <w:sz w:val="18"/>
              </w:rPr>
            </w:pPr>
            <w:r>
              <w:rPr>
                <w:rFonts w:ascii="Calibri"/>
                <w:spacing w:val="-5"/>
                <w:sz w:val="18"/>
              </w:rPr>
              <w:t>IDR</w:t>
            </w:r>
            <w:r>
              <w:rPr>
                <w:rFonts w:ascii="Calibri"/>
                <w:sz w:val="18"/>
              </w:rPr>
              <w:tab/>
            </w:r>
            <w:r>
              <w:rPr>
                <w:rFonts w:ascii="Calibri"/>
                <w:spacing w:val="-2"/>
                <w:sz w:val="18"/>
              </w:rPr>
              <w:t>329,012,500</w:t>
            </w:r>
          </w:p>
        </w:tc>
      </w:tr>
      <w:tr w:rsidR="00BC24A8" w14:paraId="6C41A9A3" w14:textId="77777777">
        <w:trPr>
          <w:trHeight w:val="279"/>
        </w:trPr>
        <w:tc>
          <w:tcPr>
            <w:tcW w:w="2700" w:type="dxa"/>
            <w:shd w:val="clear" w:color="auto" w:fill="A7A9AC"/>
          </w:tcPr>
          <w:p w14:paraId="31C56FB6" w14:textId="77777777" w:rsidR="00BC24A8" w:rsidRDefault="00000000">
            <w:pPr>
              <w:pStyle w:val="TableParagraph"/>
              <w:spacing w:before="63" w:line="196" w:lineRule="exact"/>
              <w:ind w:left="107"/>
              <w:rPr>
                <w:rFonts w:ascii="Calibri"/>
                <w:b/>
                <w:sz w:val="18"/>
              </w:rPr>
            </w:pPr>
            <w:r>
              <w:rPr>
                <w:rFonts w:ascii="Calibri"/>
                <w:b/>
                <w:noProof/>
                <w:sz w:val="18"/>
              </w:rPr>
              <mc:AlternateContent>
                <mc:Choice Requires="wpg">
                  <w:drawing>
                    <wp:anchor distT="0" distB="0" distL="0" distR="0" simplePos="0" relativeHeight="478676480" behindDoc="1" locked="0" layoutInCell="1" allowOverlap="1" wp14:anchorId="197B2328" wp14:editId="2A25CB50">
                      <wp:simplePos x="0" y="0"/>
                      <wp:positionH relativeFrom="column">
                        <wp:posOffset>-9144</wp:posOffset>
                      </wp:positionH>
                      <wp:positionV relativeFrom="paragraph">
                        <wp:posOffset>2531</wp:posOffset>
                      </wp:positionV>
                      <wp:extent cx="5782310" cy="219710"/>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219710"/>
                                <a:chOff x="0" y="0"/>
                                <a:chExt cx="5782310" cy="219710"/>
                              </a:xfrm>
                            </wpg:grpSpPr>
                            <wps:wsp>
                              <wps:cNvPr id="165" name="Graphic 165"/>
                              <wps:cNvSpPr/>
                              <wps:spPr>
                                <a:xfrm>
                                  <a:off x="9144" y="0"/>
                                  <a:ext cx="5773420" cy="213360"/>
                                </a:xfrm>
                                <a:custGeom>
                                  <a:avLst/>
                                  <a:gdLst/>
                                  <a:ahLst/>
                                  <a:cxnLst/>
                                  <a:rect l="l" t="t" r="r" b="b"/>
                                  <a:pathLst>
                                    <a:path w="5773420" h="213360">
                                      <a:moveTo>
                                        <a:pt x="1700784" y="176796"/>
                                      </a:moveTo>
                                      <a:lnTo>
                                        <a:pt x="1700771" y="0"/>
                                      </a:lnTo>
                                      <a:lnTo>
                                        <a:pt x="0" y="0"/>
                                      </a:lnTo>
                                      <a:lnTo>
                                        <a:pt x="0" y="176796"/>
                                      </a:lnTo>
                                      <a:lnTo>
                                        <a:pt x="0" y="213360"/>
                                      </a:lnTo>
                                      <a:lnTo>
                                        <a:pt x="1700771" y="213360"/>
                                      </a:lnTo>
                                      <a:lnTo>
                                        <a:pt x="1700784" y="176796"/>
                                      </a:lnTo>
                                      <a:close/>
                                    </a:path>
                                    <a:path w="5773420" h="213360">
                                      <a:moveTo>
                                        <a:pt x="3072384" y="0"/>
                                      </a:moveTo>
                                      <a:lnTo>
                                        <a:pt x="1728216" y="0"/>
                                      </a:lnTo>
                                      <a:lnTo>
                                        <a:pt x="1728216" y="213360"/>
                                      </a:lnTo>
                                      <a:lnTo>
                                        <a:pt x="3072384" y="213360"/>
                                      </a:lnTo>
                                      <a:lnTo>
                                        <a:pt x="3072384" y="0"/>
                                      </a:lnTo>
                                      <a:close/>
                                    </a:path>
                                    <a:path w="5773420" h="213360">
                                      <a:moveTo>
                                        <a:pt x="4387596" y="0"/>
                                      </a:moveTo>
                                      <a:lnTo>
                                        <a:pt x="4386072" y="0"/>
                                      </a:lnTo>
                                      <a:lnTo>
                                        <a:pt x="3127248" y="0"/>
                                      </a:lnTo>
                                      <a:lnTo>
                                        <a:pt x="3099816" y="0"/>
                                      </a:lnTo>
                                      <a:lnTo>
                                        <a:pt x="3099816" y="213360"/>
                                      </a:lnTo>
                                      <a:lnTo>
                                        <a:pt x="4386072" y="213360"/>
                                      </a:lnTo>
                                      <a:lnTo>
                                        <a:pt x="4386072" y="38100"/>
                                      </a:lnTo>
                                      <a:lnTo>
                                        <a:pt x="4387596" y="38100"/>
                                      </a:lnTo>
                                      <a:lnTo>
                                        <a:pt x="4387596" y="0"/>
                                      </a:lnTo>
                                      <a:close/>
                                    </a:path>
                                    <a:path w="5773420" h="213360">
                                      <a:moveTo>
                                        <a:pt x="5772912" y="0"/>
                                      </a:moveTo>
                                      <a:lnTo>
                                        <a:pt x="5771388" y="0"/>
                                      </a:lnTo>
                                      <a:lnTo>
                                        <a:pt x="4442460" y="0"/>
                                      </a:lnTo>
                                      <a:lnTo>
                                        <a:pt x="4415028" y="0"/>
                                      </a:lnTo>
                                      <a:lnTo>
                                        <a:pt x="4415028" y="213360"/>
                                      </a:lnTo>
                                      <a:lnTo>
                                        <a:pt x="5771388" y="213360"/>
                                      </a:lnTo>
                                      <a:lnTo>
                                        <a:pt x="5771388" y="38100"/>
                                      </a:lnTo>
                                      <a:lnTo>
                                        <a:pt x="5772912" y="38100"/>
                                      </a:lnTo>
                                      <a:lnTo>
                                        <a:pt x="5772912" y="0"/>
                                      </a:lnTo>
                                      <a:close/>
                                    </a:path>
                                  </a:pathLst>
                                </a:custGeom>
                                <a:solidFill>
                                  <a:srgbClr val="A7A9AC"/>
                                </a:solidFill>
                              </wps:spPr>
                              <wps:bodyPr wrap="square" lIns="0" tIns="0" rIns="0" bIns="0" rtlCol="0">
                                <a:prstTxWarp prst="textNoShape">
                                  <a:avLst/>
                                </a:prstTxWarp>
                                <a:noAutofit/>
                              </wps:bodyPr>
                            </wps:wsp>
                            <wps:wsp>
                              <wps:cNvPr id="166" name="Graphic 166"/>
                              <wps:cNvSpPr/>
                              <wps:spPr>
                                <a:xfrm>
                                  <a:off x="0" y="213359"/>
                                  <a:ext cx="1710055" cy="6350"/>
                                </a:xfrm>
                                <a:custGeom>
                                  <a:avLst/>
                                  <a:gdLst/>
                                  <a:ahLst/>
                                  <a:cxnLst/>
                                  <a:rect l="l" t="t" r="r" b="b"/>
                                  <a:pathLst>
                                    <a:path w="1710055" h="6350">
                                      <a:moveTo>
                                        <a:pt x="1709927" y="0"/>
                                      </a:moveTo>
                                      <a:lnTo>
                                        <a:pt x="0" y="0"/>
                                      </a:lnTo>
                                      <a:lnTo>
                                        <a:pt x="0" y="6095"/>
                                      </a:lnTo>
                                      <a:lnTo>
                                        <a:pt x="1709927" y="6095"/>
                                      </a:lnTo>
                                      <a:lnTo>
                                        <a:pt x="1709927" y="0"/>
                                      </a:lnTo>
                                      <a:close/>
                                    </a:path>
                                  </a:pathLst>
                                </a:custGeom>
                                <a:solidFill>
                                  <a:srgbClr val="BEBEBE"/>
                                </a:solidFill>
                              </wps:spPr>
                              <wps:bodyPr wrap="square" lIns="0" tIns="0" rIns="0" bIns="0" rtlCol="0">
                                <a:prstTxWarp prst="textNoShape">
                                  <a:avLst/>
                                </a:prstTxWarp>
                                <a:noAutofit/>
                              </wps:bodyPr>
                            </wps:wsp>
                            <wps:wsp>
                              <wps:cNvPr id="167" name="Graphic 167"/>
                              <wps:cNvSpPr/>
                              <wps:spPr>
                                <a:xfrm>
                                  <a:off x="1737360" y="176784"/>
                                  <a:ext cx="1344295" cy="36830"/>
                                </a:xfrm>
                                <a:custGeom>
                                  <a:avLst/>
                                  <a:gdLst/>
                                  <a:ahLst/>
                                  <a:cxnLst/>
                                  <a:rect l="l" t="t" r="r" b="b"/>
                                  <a:pathLst>
                                    <a:path w="1344295" h="36830">
                                      <a:moveTo>
                                        <a:pt x="0" y="36575"/>
                                      </a:moveTo>
                                      <a:lnTo>
                                        <a:pt x="1344167" y="36575"/>
                                      </a:lnTo>
                                      <a:lnTo>
                                        <a:pt x="1344167" y="0"/>
                                      </a:lnTo>
                                      <a:lnTo>
                                        <a:pt x="0" y="0"/>
                                      </a:lnTo>
                                      <a:lnTo>
                                        <a:pt x="0" y="36575"/>
                                      </a:lnTo>
                                      <a:close/>
                                    </a:path>
                                  </a:pathLst>
                                </a:custGeom>
                                <a:solidFill>
                                  <a:srgbClr val="A7A9AC"/>
                                </a:solidFill>
                              </wps:spPr>
                              <wps:bodyPr wrap="square" lIns="0" tIns="0" rIns="0" bIns="0" rtlCol="0">
                                <a:prstTxWarp prst="textNoShape">
                                  <a:avLst/>
                                </a:prstTxWarp>
                                <a:noAutofit/>
                              </wps:bodyPr>
                            </wps:wsp>
                            <wps:wsp>
                              <wps:cNvPr id="168" name="Graphic 168"/>
                              <wps:cNvSpPr/>
                              <wps:spPr>
                                <a:xfrm>
                                  <a:off x="1709928" y="213359"/>
                                  <a:ext cx="1371600" cy="6350"/>
                                </a:xfrm>
                                <a:custGeom>
                                  <a:avLst/>
                                  <a:gdLst/>
                                  <a:ahLst/>
                                  <a:cxnLst/>
                                  <a:rect l="l" t="t" r="r" b="b"/>
                                  <a:pathLst>
                                    <a:path w="1371600" h="6350">
                                      <a:moveTo>
                                        <a:pt x="1371600" y="0"/>
                                      </a:moveTo>
                                      <a:lnTo>
                                        <a:pt x="6096" y="0"/>
                                      </a:lnTo>
                                      <a:lnTo>
                                        <a:pt x="0" y="0"/>
                                      </a:lnTo>
                                      <a:lnTo>
                                        <a:pt x="0" y="6096"/>
                                      </a:lnTo>
                                      <a:lnTo>
                                        <a:pt x="6096" y="6096"/>
                                      </a:lnTo>
                                      <a:lnTo>
                                        <a:pt x="1371600" y="6096"/>
                                      </a:lnTo>
                                      <a:lnTo>
                                        <a:pt x="1371600" y="0"/>
                                      </a:lnTo>
                                      <a:close/>
                                    </a:path>
                                  </a:pathLst>
                                </a:custGeom>
                                <a:solidFill>
                                  <a:srgbClr val="BEBEBE"/>
                                </a:solidFill>
                              </wps:spPr>
                              <wps:bodyPr wrap="square" lIns="0" tIns="0" rIns="0" bIns="0" rtlCol="0">
                                <a:prstTxWarp prst="textNoShape">
                                  <a:avLst/>
                                </a:prstTxWarp>
                                <a:noAutofit/>
                              </wps:bodyPr>
                            </wps:wsp>
                            <wps:wsp>
                              <wps:cNvPr id="169" name="Graphic 169"/>
                              <wps:cNvSpPr/>
                              <wps:spPr>
                                <a:xfrm>
                                  <a:off x="3108960" y="176784"/>
                                  <a:ext cx="1287780" cy="36830"/>
                                </a:xfrm>
                                <a:custGeom>
                                  <a:avLst/>
                                  <a:gdLst/>
                                  <a:ahLst/>
                                  <a:cxnLst/>
                                  <a:rect l="l" t="t" r="r" b="b"/>
                                  <a:pathLst>
                                    <a:path w="1287780" h="36830">
                                      <a:moveTo>
                                        <a:pt x="0" y="36575"/>
                                      </a:moveTo>
                                      <a:lnTo>
                                        <a:pt x="1287779" y="36575"/>
                                      </a:lnTo>
                                      <a:lnTo>
                                        <a:pt x="1287779" y="0"/>
                                      </a:lnTo>
                                      <a:lnTo>
                                        <a:pt x="0" y="0"/>
                                      </a:lnTo>
                                      <a:lnTo>
                                        <a:pt x="0" y="36575"/>
                                      </a:lnTo>
                                      <a:close/>
                                    </a:path>
                                  </a:pathLst>
                                </a:custGeom>
                                <a:solidFill>
                                  <a:srgbClr val="A7A9AC"/>
                                </a:solidFill>
                              </wps:spPr>
                              <wps:bodyPr wrap="square" lIns="0" tIns="0" rIns="0" bIns="0" rtlCol="0">
                                <a:prstTxWarp prst="textNoShape">
                                  <a:avLst/>
                                </a:prstTxWarp>
                                <a:noAutofit/>
                              </wps:bodyPr>
                            </wps:wsp>
                            <wps:wsp>
                              <wps:cNvPr id="170" name="Graphic 170"/>
                              <wps:cNvSpPr/>
                              <wps:spPr>
                                <a:xfrm>
                                  <a:off x="3081528" y="213359"/>
                                  <a:ext cx="1315720" cy="6350"/>
                                </a:xfrm>
                                <a:custGeom>
                                  <a:avLst/>
                                  <a:gdLst/>
                                  <a:ahLst/>
                                  <a:cxnLst/>
                                  <a:rect l="l" t="t" r="r" b="b"/>
                                  <a:pathLst>
                                    <a:path w="1315720" h="6350">
                                      <a:moveTo>
                                        <a:pt x="1315224" y="0"/>
                                      </a:moveTo>
                                      <a:lnTo>
                                        <a:pt x="6096" y="0"/>
                                      </a:lnTo>
                                      <a:lnTo>
                                        <a:pt x="0" y="0"/>
                                      </a:lnTo>
                                      <a:lnTo>
                                        <a:pt x="0" y="6096"/>
                                      </a:lnTo>
                                      <a:lnTo>
                                        <a:pt x="6096" y="6096"/>
                                      </a:lnTo>
                                      <a:lnTo>
                                        <a:pt x="1315224" y="6096"/>
                                      </a:lnTo>
                                      <a:lnTo>
                                        <a:pt x="1315224" y="0"/>
                                      </a:lnTo>
                                      <a:close/>
                                    </a:path>
                                  </a:pathLst>
                                </a:custGeom>
                                <a:solidFill>
                                  <a:srgbClr val="BEBEBE"/>
                                </a:solidFill>
                              </wps:spPr>
                              <wps:bodyPr wrap="square" lIns="0" tIns="0" rIns="0" bIns="0" rtlCol="0">
                                <a:prstTxWarp prst="textNoShape">
                                  <a:avLst/>
                                </a:prstTxWarp>
                                <a:noAutofit/>
                              </wps:bodyPr>
                            </wps:wsp>
                            <wps:wsp>
                              <wps:cNvPr id="171" name="Graphic 171"/>
                              <wps:cNvSpPr/>
                              <wps:spPr>
                                <a:xfrm>
                                  <a:off x="4424171" y="176784"/>
                                  <a:ext cx="1358265" cy="36830"/>
                                </a:xfrm>
                                <a:custGeom>
                                  <a:avLst/>
                                  <a:gdLst/>
                                  <a:ahLst/>
                                  <a:cxnLst/>
                                  <a:rect l="l" t="t" r="r" b="b"/>
                                  <a:pathLst>
                                    <a:path w="1358265" h="36830">
                                      <a:moveTo>
                                        <a:pt x="0" y="36575"/>
                                      </a:moveTo>
                                      <a:lnTo>
                                        <a:pt x="1357884" y="36575"/>
                                      </a:lnTo>
                                      <a:lnTo>
                                        <a:pt x="1357884" y="0"/>
                                      </a:lnTo>
                                      <a:lnTo>
                                        <a:pt x="0" y="0"/>
                                      </a:lnTo>
                                      <a:lnTo>
                                        <a:pt x="0" y="36575"/>
                                      </a:lnTo>
                                      <a:close/>
                                    </a:path>
                                  </a:pathLst>
                                </a:custGeom>
                                <a:solidFill>
                                  <a:srgbClr val="A7A9AC"/>
                                </a:solidFill>
                              </wps:spPr>
                              <wps:bodyPr wrap="square" lIns="0" tIns="0" rIns="0" bIns="0" rtlCol="0">
                                <a:prstTxWarp prst="textNoShape">
                                  <a:avLst/>
                                </a:prstTxWarp>
                                <a:noAutofit/>
                              </wps:bodyPr>
                            </wps:wsp>
                            <wps:wsp>
                              <wps:cNvPr id="172" name="Graphic 172"/>
                              <wps:cNvSpPr/>
                              <wps:spPr>
                                <a:xfrm>
                                  <a:off x="4396740" y="213359"/>
                                  <a:ext cx="1385570" cy="6350"/>
                                </a:xfrm>
                                <a:custGeom>
                                  <a:avLst/>
                                  <a:gdLst/>
                                  <a:ahLst/>
                                  <a:cxnLst/>
                                  <a:rect l="l" t="t" r="r" b="b"/>
                                  <a:pathLst>
                                    <a:path w="1385570" h="6350">
                                      <a:moveTo>
                                        <a:pt x="1385316" y="0"/>
                                      </a:moveTo>
                                      <a:lnTo>
                                        <a:pt x="6096" y="0"/>
                                      </a:lnTo>
                                      <a:lnTo>
                                        <a:pt x="0" y="0"/>
                                      </a:lnTo>
                                      <a:lnTo>
                                        <a:pt x="0" y="6096"/>
                                      </a:lnTo>
                                      <a:lnTo>
                                        <a:pt x="6096" y="6096"/>
                                      </a:lnTo>
                                      <a:lnTo>
                                        <a:pt x="1385316" y="6096"/>
                                      </a:lnTo>
                                      <a:lnTo>
                                        <a:pt x="1385316"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14F9C156" id="Group 164" o:spid="_x0000_s1026" alt="&quot;&quot;" style="position:absolute;margin-left:-.7pt;margin-top:.2pt;width:455.3pt;height:17.3pt;z-index:-24640000;mso-wrap-distance-left:0;mso-wrap-distance-right:0" coordsize="57823,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">
                      <v:shape id="Graphic 165" o:spid="_x0000_s1027" style="position:absolute;left:91;width:57734;height:2133;visibility:visible;mso-wrap-style:square;v-text-anchor:top" coordsize="577342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" path="m1700784,176796l1700771,,,,,176796r,36564l1700771,213360r13,-36564xem3072384,l1728216,r,213360l3072384,213360,3072384,xem4387596,r-1524,l3127248,r-27432,l3099816,213360r1286256,l4386072,38100r1524,l4387596,xem5772912,r-1524,l4442460,r-27432,l4415028,213360r1356360,l5771388,38100r1524,l5772912,xe" fillcolor="#a7a9ac" stroked="f">
                        <v:path arrowok="t"/>
                      </v:shape>
                      <v:shape id="Graphic 166" o:spid="_x0000_s1028" style="position:absolute;top:2133;width:17100;height:64;visibility:visible;mso-wrap-style:square;v-text-anchor:top" coordsize="17100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" path="m1709927,l,,,6095r1709927,l1709927,xe" fillcolor="#bebebe" stroked="f">
                        <v:path arrowok="t"/>
                      </v:shape>
                      <v:shape id="Graphic 167" o:spid="_x0000_s1029" style="position:absolute;left:17373;top:1767;width:13443;height:369;visibility:visible;mso-wrap-style:square;v-text-anchor:top" coordsize="13442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" path="m,36575r1344167,l1344167,,,,,36575xe" fillcolor="#a7a9ac" stroked="f">
                        <v:path arrowok="t"/>
                      </v:shape>
                      <v:shape id="Graphic 168" o:spid="_x0000_s1030" style="position:absolute;left:17099;top:2133;width:13716;height:64;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" path="m1371600,l6096,,,,,6096r6096,l1371600,6096r,-6096xe" fillcolor="#bebebe" stroked="f">
                        <v:path arrowok="t"/>
                      </v:shape>
                      <v:shape id="Graphic 169" o:spid="_x0000_s1031" style="position:absolute;left:31089;top:1767;width:12878;height:369;visibility:visible;mso-wrap-style:square;v-text-anchor:top" coordsize="128778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" path="m,36575r1287779,l1287779,,,,,36575xe" fillcolor="#a7a9ac" stroked="f">
                        <v:path arrowok="t"/>
                      </v:shape>
                      <v:shape id="Graphic 170" o:spid="_x0000_s1032" style="position:absolute;left:30815;top:2133;width:13157;height:64;visibility:visible;mso-wrap-style:square;v-text-anchor:top" coordsize="131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" path="m1315224,l6096,,,,,6096r6096,l1315224,6096r,-6096xe" fillcolor="#bebebe" stroked="f">
                        <v:path arrowok="t"/>
                      </v:shape>
                      <v:shape id="Graphic 171" o:spid="_x0000_s1033" style="position:absolute;left:44241;top:1767;width:13583;height:369;visibility:visible;mso-wrap-style:square;v-text-anchor:top" coordsize="13582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" path="m,36575r1357884,l1357884,,,,,36575xe" fillcolor="#a7a9ac" stroked="f">
                        <v:path arrowok="t"/>
                      </v:shape>
                      <v:shape id="Graphic 172" o:spid="_x0000_s1034" style="position:absolute;left:43967;top:2133;width:13856;height:64;visibility:visible;mso-wrap-style:square;v-text-anchor:top" coordsize="1385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" path="m1385316,l6096,,,,,6096r6096,l1385316,6096r,-6096xe" fillcolor="#bebebe" stroked="f">
                        <v:path arrowok="t"/>
                      </v:shape>
                    </v:group>
                  </w:pict>
                </mc:Fallback>
              </mc:AlternateContent>
            </w:r>
            <w:r w:rsidRPr="00795364">
              <w:rPr>
                <w:rFonts w:ascii="Calibri"/>
                <w:b/>
                <w:color w:val="000000"/>
                <w:spacing w:val="-5"/>
                <w:sz w:val="18"/>
              </w:rPr>
              <w:t>NTB</w:t>
            </w:r>
          </w:p>
        </w:tc>
        <w:tc>
          <w:tcPr>
            <w:tcW w:w="2160" w:type="dxa"/>
            <w:shd w:val="clear" w:color="auto" w:fill="A7A9AC"/>
          </w:tcPr>
          <w:p w14:paraId="7E5B7700" w14:textId="77777777" w:rsidR="00BC24A8" w:rsidRDefault="00000000">
            <w:pPr>
              <w:pStyle w:val="TableParagraph"/>
              <w:spacing w:before="63" w:line="196" w:lineRule="exact"/>
              <w:jc w:val="center"/>
              <w:rPr>
                <w:rFonts w:ascii="Calibri"/>
                <w:b/>
                <w:sz w:val="18"/>
              </w:rPr>
            </w:pPr>
            <w:r w:rsidRPr="00795364">
              <w:rPr>
                <w:rFonts w:ascii="Calibri"/>
                <w:b/>
                <w:color w:val="000000"/>
                <w:spacing w:val="-2"/>
                <w:sz w:val="18"/>
              </w:rPr>
              <w:t>99,70</w:t>
            </w:r>
          </w:p>
        </w:tc>
        <w:tc>
          <w:tcPr>
            <w:tcW w:w="2071" w:type="dxa"/>
            <w:shd w:val="clear" w:color="auto" w:fill="A7A9AC"/>
          </w:tcPr>
          <w:p w14:paraId="15F142B3" w14:textId="77777777" w:rsidR="00BC24A8" w:rsidRDefault="00000000">
            <w:pPr>
              <w:pStyle w:val="TableParagraph"/>
              <w:spacing w:before="63" w:line="196" w:lineRule="exact"/>
              <w:ind w:left="7" w:right="8"/>
              <w:jc w:val="center"/>
              <w:rPr>
                <w:rFonts w:ascii="Calibri"/>
                <w:b/>
                <w:sz w:val="18"/>
              </w:rPr>
            </w:pPr>
            <w:r w:rsidRPr="00795364">
              <w:rPr>
                <w:rFonts w:ascii="Calibri"/>
                <w:b/>
                <w:color w:val="000000"/>
                <w:spacing w:val="-2"/>
                <w:sz w:val="18"/>
              </w:rPr>
              <w:t>99.45</w:t>
            </w:r>
          </w:p>
        </w:tc>
        <w:tc>
          <w:tcPr>
            <w:tcW w:w="2160" w:type="dxa"/>
            <w:shd w:val="clear" w:color="auto" w:fill="A7A9AC"/>
          </w:tcPr>
          <w:p w14:paraId="63987EB4" w14:textId="77777777" w:rsidR="00BC24A8" w:rsidRDefault="00000000">
            <w:pPr>
              <w:pStyle w:val="TableParagraph"/>
              <w:tabs>
                <w:tab w:val="left" w:pos="693"/>
              </w:tabs>
              <w:spacing w:before="63" w:line="196" w:lineRule="exact"/>
              <w:ind w:right="20"/>
              <w:jc w:val="center"/>
              <w:rPr>
                <w:rFonts w:ascii="Calibri"/>
                <w:b/>
                <w:sz w:val="18"/>
              </w:rPr>
            </w:pPr>
            <w:r w:rsidRPr="00795364">
              <w:rPr>
                <w:rFonts w:ascii="Calibri"/>
                <w:b/>
                <w:color w:val="000000"/>
                <w:spacing w:val="-5"/>
                <w:sz w:val="18"/>
              </w:rPr>
              <w:t>IDR</w:t>
            </w:r>
            <w:r w:rsidRPr="00795364">
              <w:rPr>
                <w:rFonts w:ascii="Calibri"/>
                <w:b/>
                <w:color w:val="000000"/>
                <w:sz w:val="18"/>
              </w:rPr>
              <w:tab/>
            </w:r>
            <w:r w:rsidRPr="00795364">
              <w:rPr>
                <w:rFonts w:ascii="Calibri"/>
                <w:b/>
                <w:color w:val="000000"/>
                <w:spacing w:val="-2"/>
                <w:sz w:val="18"/>
              </w:rPr>
              <w:t>605,713,579,577</w:t>
            </w:r>
          </w:p>
        </w:tc>
      </w:tr>
    </w:tbl>
    <w:p w14:paraId="2E15C1C9" w14:textId="77777777" w:rsidR="00BC24A8" w:rsidRDefault="00000000">
      <w:pPr>
        <w:spacing w:before="192"/>
        <w:ind w:left="143"/>
        <w:rPr>
          <w:sz w:val="16"/>
        </w:rPr>
      </w:pPr>
      <w:r>
        <w:rPr>
          <w:sz w:val="16"/>
        </w:rPr>
        <w:t>Source:</w:t>
      </w:r>
      <w:r>
        <w:rPr>
          <w:spacing w:val="-5"/>
          <w:sz w:val="16"/>
        </w:rPr>
        <w:t xml:space="preserve"> </w:t>
      </w:r>
      <w:r>
        <w:rPr>
          <w:sz w:val="16"/>
        </w:rPr>
        <w:t>Data</w:t>
      </w:r>
      <w:r>
        <w:rPr>
          <w:spacing w:val="-7"/>
          <w:sz w:val="16"/>
        </w:rPr>
        <w:t xml:space="preserve"> </w:t>
      </w:r>
      <w:r>
        <w:rPr>
          <w:sz w:val="16"/>
        </w:rPr>
        <w:t>analysed</w:t>
      </w:r>
      <w:r>
        <w:rPr>
          <w:spacing w:val="-5"/>
          <w:sz w:val="16"/>
        </w:rPr>
        <w:t xml:space="preserve"> </w:t>
      </w:r>
      <w:r>
        <w:rPr>
          <w:sz w:val="16"/>
        </w:rPr>
        <w:t>from</w:t>
      </w:r>
      <w:r>
        <w:rPr>
          <w:spacing w:val="-5"/>
          <w:sz w:val="16"/>
        </w:rPr>
        <w:t xml:space="preserve"> </w:t>
      </w:r>
      <w:r>
        <w:rPr>
          <w:sz w:val="16"/>
        </w:rPr>
        <w:t>e-SPM</w:t>
      </w:r>
      <w:r>
        <w:rPr>
          <w:spacing w:val="-5"/>
          <w:sz w:val="16"/>
        </w:rPr>
        <w:t xml:space="preserve"> </w:t>
      </w:r>
      <w:r>
        <w:rPr>
          <w:sz w:val="16"/>
        </w:rPr>
        <w:t>TW-IV</w:t>
      </w:r>
      <w:r>
        <w:rPr>
          <w:spacing w:val="-6"/>
          <w:sz w:val="16"/>
        </w:rPr>
        <w:t xml:space="preserve"> </w:t>
      </w:r>
      <w:r>
        <w:rPr>
          <w:sz w:val="16"/>
        </w:rPr>
        <w:t>2024</w:t>
      </w:r>
      <w:r>
        <w:rPr>
          <w:spacing w:val="-6"/>
          <w:sz w:val="16"/>
        </w:rPr>
        <w:t xml:space="preserve"> </w:t>
      </w:r>
      <w:r>
        <w:rPr>
          <w:sz w:val="16"/>
        </w:rPr>
        <w:t>as</w:t>
      </w:r>
      <w:r>
        <w:rPr>
          <w:spacing w:val="-4"/>
          <w:sz w:val="16"/>
        </w:rPr>
        <w:t xml:space="preserve"> </w:t>
      </w:r>
      <w:r>
        <w:rPr>
          <w:sz w:val="16"/>
        </w:rPr>
        <w:t>retrieved</w:t>
      </w:r>
      <w:r>
        <w:rPr>
          <w:spacing w:val="-5"/>
          <w:sz w:val="16"/>
        </w:rPr>
        <w:t xml:space="preserve"> </w:t>
      </w:r>
      <w:r>
        <w:rPr>
          <w:sz w:val="16"/>
        </w:rPr>
        <w:t>on</w:t>
      </w:r>
      <w:r>
        <w:rPr>
          <w:spacing w:val="-5"/>
          <w:sz w:val="16"/>
        </w:rPr>
        <w:t xml:space="preserve"> </w:t>
      </w:r>
      <w:r>
        <w:rPr>
          <w:sz w:val="16"/>
        </w:rPr>
        <w:t>July</w:t>
      </w:r>
      <w:r>
        <w:rPr>
          <w:spacing w:val="-5"/>
          <w:sz w:val="16"/>
        </w:rPr>
        <w:t xml:space="preserve"> </w:t>
      </w:r>
      <w:r>
        <w:rPr>
          <w:sz w:val="16"/>
        </w:rPr>
        <w:t>30,</w:t>
      </w:r>
      <w:r>
        <w:rPr>
          <w:spacing w:val="-6"/>
          <w:sz w:val="16"/>
        </w:rPr>
        <w:t xml:space="preserve"> </w:t>
      </w:r>
      <w:r>
        <w:rPr>
          <w:sz w:val="16"/>
        </w:rPr>
        <w:t>2025</w:t>
      </w:r>
      <w:r>
        <w:rPr>
          <w:spacing w:val="-6"/>
          <w:sz w:val="16"/>
        </w:rPr>
        <w:t xml:space="preserve"> </w:t>
      </w:r>
      <w:r>
        <w:rPr>
          <w:sz w:val="16"/>
        </w:rPr>
        <w:t>at</w:t>
      </w:r>
      <w:r>
        <w:rPr>
          <w:spacing w:val="-6"/>
          <w:sz w:val="16"/>
        </w:rPr>
        <w:t xml:space="preserve"> </w:t>
      </w:r>
      <w:r>
        <w:rPr>
          <w:sz w:val="16"/>
        </w:rPr>
        <w:t>16.30</w:t>
      </w:r>
      <w:r>
        <w:rPr>
          <w:spacing w:val="-5"/>
          <w:sz w:val="16"/>
        </w:rPr>
        <w:t xml:space="preserve"> WIB</w:t>
      </w:r>
    </w:p>
    <w:p w14:paraId="13B80155" w14:textId="77777777" w:rsidR="00BC24A8" w:rsidRDefault="00BC24A8">
      <w:pPr>
        <w:rPr>
          <w:sz w:val="16"/>
        </w:rPr>
        <w:sectPr w:rsidR="00BC24A8">
          <w:pgSz w:w="11910" w:h="16840"/>
          <w:pgMar w:top="1380" w:right="850" w:bottom="1100" w:left="1275" w:header="0" w:footer="907" w:gutter="0"/>
          <w:cols w:space="720"/>
        </w:sectPr>
      </w:pPr>
    </w:p>
    <w:p w14:paraId="1517CE08" w14:textId="77777777" w:rsidR="00BC24A8" w:rsidRDefault="00000000">
      <w:pPr>
        <w:pStyle w:val="Heading5"/>
        <w:spacing w:before="39"/>
        <w:jc w:val="both"/>
      </w:pPr>
      <w:r>
        <w:rPr>
          <w:color w:val="17365A"/>
        </w:rPr>
        <w:lastRenderedPageBreak/>
        <w:t>NTB</w:t>
      </w:r>
      <w:r>
        <w:rPr>
          <w:color w:val="17365A"/>
          <w:spacing w:val="-5"/>
        </w:rPr>
        <w:t xml:space="preserve"> </w:t>
      </w:r>
      <w:r>
        <w:rPr>
          <w:color w:val="17365A"/>
        </w:rPr>
        <w:t>fiscal</w:t>
      </w:r>
      <w:r>
        <w:rPr>
          <w:color w:val="17365A"/>
          <w:spacing w:val="-7"/>
        </w:rPr>
        <w:t xml:space="preserve"> </w:t>
      </w:r>
      <w:r>
        <w:rPr>
          <w:color w:val="17365A"/>
        </w:rPr>
        <w:t>capacity</w:t>
      </w:r>
      <w:r>
        <w:rPr>
          <w:color w:val="17365A"/>
          <w:spacing w:val="-5"/>
        </w:rPr>
        <w:t xml:space="preserve"> </w:t>
      </w:r>
      <w:r>
        <w:rPr>
          <w:color w:val="17365A"/>
          <w:spacing w:val="-4"/>
        </w:rPr>
        <w:t>data</w:t>
      </w:r>
    </w:p>
    <w:p w14:paraId="4D47CC91" w14:textId="77777777" w:rsidR="00BC24A8" w:rsidRDefault="00000000">
      <w:pPr>
        <w:pStyle w:val="BodyText"/>
        <w:spacing w:before="159" w:line="278" w:lineRule="auto"/>
        <w:ind w:left="143" w:right="563"/>
        <w:jc w:val="both"/>
      </w:pPr>
      <w:r>
        <w:t>The</w:t>
      </w:r>
      <w:r>
        <w:rPr>
          <w:spacing w:val="-10"/>
        </w:rPr>
        <w:t xml:space="preserve"> </w:t>
      </w:r>
      <w:r>
        <w:t>NTB</w:t>
      </w:r>
      <w:r>
        <w:rPr>
          <w:spacing w:val="-10"/>
        </w:rPr>
        <w:t xml:space="preserve"> </w:t>
      </w:r>
      <w:r>
        <w:t>Regional</w:t>
      </w:r>
      <w:r>
        <w:rPr>
          <w:spacing w:val="-10"/>
        </w:rPr>
        <w:t xml:space="preserve"> </w:t>
      </w:r>
      <w:r>
        <w:t>Medium-Term</w:t>
      </w:r>
      <w:r>
        <w:rPr>
          <w:spacing w:val="-9"/>
        </w:rPr>
        <w:t xml:space="preserve"> </w:t>
      </w:r>
      <w:r>
        <w:t>Development</w:t>
      </w:r>
      <w:r>
        <w:rPr>
          <w:spacing w:val="-10"/>
        </w:rPr>
        <w:t xml:space="preserve"> </w:t>
      </w:r>
      <w:r>
        <w:t>Plan</w:t>
      </w:r>
      <w:r>
        <w:rPr>
          <w:spacing w:val="-9"/>
        </w:rPr>
        <w:t xml:space="preserve"> </w:t>
      </w:r>
      <w:r>
        <w:t>(RPJMD)</w:t>
      </w:r>
      <w:r>
        <w:rPr>
          <w:spacing w:val="-10"/>
        </w:rPr>
        <w:t xml:space="preserve"> </w:t>
      </w:r>
      <w:r>
        <w:t>2025–2029</w:t>
      </w:r>
      <w:r>
        <w:rPr>
          <w:spacing w:val="-9"/>
        </w:rPr>
        <w:t xml:space="preserve"> </w:t>
      </w:r>
      <w:r>
        <w:t>recorded</w:t>
      </w:r>
      <w:r>
        <w:rPr>
          <w:spacing w:val="-11"/>
        </w:rPr>
        <w:t xml:space="preserve"> </w:t>
      </w:r>
      <w:r>
        <w:t>a</w:t>
      </w:r>
      <w:r>
        <w:rPr>
          <w:spacing w:val="-10"/>
        </w:rPr>
        <w:t xml:space="preserve"> </w:t>
      </w:r>
      <w:r>
        <w:t>downward</w:t>
      </w:r>
      <w:r>
        <w:rPr>
          <w:spacing w:val="-9"/>
        </w:rPr>
        <w:t xml:space="preserve"> </w:t>
      </w:r>
      <w:r>
        <w:t>trend</w:t>
      </w:r>
      <w:r>
        <w:rPr>
          <w:spacing w:val="-9"/>
        </w:rPr>
        <w:t xml:space="preserve"> </w:t>
      </w:r>
      <w:r>
        <w:t>in the Regional Fiscal Capacity Ratio (</w:t>
      </w:r>
      <w:r>
        <w:rPr>
          <w:i/>
        </w:rPr>
        <w:t xml:space="preserve">Rasio Kapasitas Fiskal Daerah, </w:t>
      </w:r>
      <w:r>
        <w:t>RKFD)</w:t>
      </w:r>
      <w:hyperlink w:anchor="_bookmark124" w:history="1">
        <w:r w:rsidR="00BC24A8">
          <w:rPr>
            <w:vertAlign w:val="superscript"/>
          </w:rPr>
          <w:t>58</w:t>
        </w:r>
      </w:hyperlink>
      <w:r>
        <w:t xml:space="preserve"> from 1,465 (2022) to 1,241 (2024).</w:t>
      </w:r>
      <w:r>
        <w:rPr>
          <w:spacing w:val="-2"/>
        </w:rPr>
        <w:t xml:space="preserve"> </w:t>
      </w:r>
      <w:r>
        <w:t>This</w:t>
      </w:r>
      <w:r>
        <w:rPr>
          <w:spacing w:val="-2"/>
        </w:rPr>
        <w:t xml:space="preserve"> </w:t>
      </w:r>
      <w:r>
        <w:t>decline</w:t>
      </w:r>
      <w:r>
        <w:rPr>
          <w:spacing w:val="-5"/>
        </w:rPr>
        <w:t xml:space="preserve"> </w:t>
      </w:r>
      <w:r>
        <w:t>indicates</w:t>
      </w:r>
      <w:r>
        <w:rPr>
          <w:spacing w:val="-2"/>
        </w:rPr>
        <w:t xml:space="preserve"> </w:t>
      </w:r>
      <w:r>
        <w:t>that</w:t>
      </w:r>
      <w:r>
        <w:rPr>
          <w:spacing w:val="-4"/>
        </w:rPr>
        <w:t xml:space="preserve"> </w:t>
      </w:r>
      <w:r>
        <w:t>the</w:t>
      </w:r>
      <w:r>
        <w:rPr>
          <w:spacing w:val="-5"/>
        </w:rPr>
        <w:t xml:space="preserve"> </w:t>
      </w:r>
      <w:r>
        <w:t>Regional</w:t>
      </w:r>
      <w:r>
        <w:rPr>
          <w:spacing w:val="-4"/>
        </w:rPr>
        <w:t xml:space="preserve"> </w:t>
      </w:r>
      <w:r>
        <w:t>Revenue</w:t>
      </w:r>
      <w:r>
        <w:rPr>
          <w:spacing w:val="-5"/>
        </w:rPr>
        <w:t xml:space="preserve"> </w:t>
      </w:r>
      <w:r>
        <w:t>(</w:t>
      </w:r>
      <w:r>
        <w:rPr>
          <w:i/>
        </w:rPr>
        <w:t>Pendapatan</w:t>
      </w:r>
      <w:r>
        <w:rPr>
          <w:i/>
          <w:spacing w:val="-5"/>
        </w:rPr>
        <w:t xml:space="preserve"> </w:t>
      </w:r>
      <w:r>
        <w:rPr>
          <w:i/>
        </w:rPr>
        <w:t>Asli</w:t>
      </w:r>
      <w:r>
        <w:rPr>
          <w:i/>
          <w:spacing w:val="-7"/>
        </w:rPr>
        <w:t xml:space="preserve"> </w:t>
      </w:r>
      <w:r>
        <w:rPr>
          <w:i/>
        </w:rPr>
        <w:t>Daerah,</w:t>
      </w:r>
      <w:r>
        <w:rPr>
          <w:i/>
          <w:spacing w:val="-5"/>
        </w:rPr>
        <w:t xml:space="preserve"> </w:t>
      </w:r>
      <w:r>
        <w:t>PAD)</w:t>
      </w:r>
      <w:r>
        <w:rPr>
          <w:spacing w:val="-5"/>
        </w:rPr>
        <w:t xml:space="preserve"> </w:t>
      </w:r>
      <w:r>
        <w:t>has</w:t>
      </w:r>
      <w:r>
        <w:rPr>
          <w:spacing w:val="-5"/>
        </w:rPr>
        <w:t xml:space="preserve"> </w:t>
      </w:r>
      <w:r>
        <w:t>decreased. In addition, the ratio indicates that NTB's fiscal capacity is only 1,241 times higher than its employee expenditure.</w:t>
      </w:r>
      <w:r>
        <w:rPr>
          <w:spacing w:val="-2"/>
        </w:rPr>
        <w:t xml:space="preserve"> </w:t>
      </w:r>
      <w:r>
        <w:t>This</w:t>
      </w:r>
      <w:r>
        <w:rPr>
          <w:spacing w:val="-2"/>
        </w:rPr>
        <w:t xml:space="preserve"> </w:t>
      </w:r>
      <w:r>
        <w:t>suggests</w:t>
      </w:r>
      <w:r>
        <w:rPr>
          <w:spacing w:val="-2"/>
        </w:rPr>
        <w:t xml:space="preserve"> </w:t>
      </w:r>
      <w:r>
        <w:t>that,</w:t>
      </w:r>
      <w:r>
        <w:rPr>
          <w:spacing w:val="-2"/>
        </w:rPr>
        <w:t xml:space="preserve"> </w:t>
      </w:r>
      <w:r>
        <w:t>after</w:t>
      </w:r>
      <w:r>
        <w:rPr>
          <w:spacing w:val="-3"/>
        </w:rPr>
        <w:t xml:space="preserve"> </w:t>
      </w:r>
      <w:r>
        <w:t>covering</w:t>
      </w:r>
      <w:r>
        <w:rPr>
          <w:spacing w:val="-4"/>
        </w:rPr>
        <w:t xml:space="preserve"> </w:t>
      </w:r>
      <w:r>
        <w:t>the</w:t>
      </w:r>
      <w:r>
        <w:rPr>
          <w:spacing w:val="-5"/>
        </w:rPr>
        <w:t xml:space="preserve"> </w:t>
      </w:r>
      <w:r>
        <w:t>employee</w:t>
      </w:r>
      <w:r>
        <w:rPr>
          <w:spacing w:val="-5"/>
        </w:rPr>
        <w:t xml:space="preserve"> </w:t>
      </w:r>
      <w:r>
        <w:t>expenditure,</w:t>
      </w:r>
      <w:r>
        <w:rPr>
          <w:spacing w:val="-2"/>
        </w:rPr>
        <w:t xml:space="preserve"> </w:t>
      </w:r>
      <w:r>
        <w:t>the</w:t>
      </w:r>
      <w:r>
        <w:rPr>
          <w:spacing w:val="-5"/>
        </w:rPr>
        <w:t xml:space="preserve"> </w:t>
      </w:r>
      <w:r>
        <w:t>remaining</w:t>
      </w:r>
      <w:r>
        <w:rPr>
          <w:spacing w:val="-4"/>
        </w:rPr>
        <w:t xml:space="preserve"> </w:t>
      </w:r>
      <w:r>
        <w:t>regional</w:t>
      </w:r>
      <w:r>
        <w:rPr>
          <w:spacing w:val="-4"/>
        </w:rPr>
        <w:t xml:space="preserve"> </w:t>
      </w:r>
      <w:r>
        <w:t>fiscal capacity is highly constrained, limiting the province’s ability to finance development programs, capital expenditures,</w:t>
      </w:r>
      <w:r>
        <w:rPr>
          <w:spacing w:val="-5"/>
        </w:rPr>
        <w:t xml:space="preserve"> </w:t>
      </w:r>
      <w:r>
        <w:t>and</w:t>
      </w:r>
      <w:r>
        <w:rPr>
          <w:spacing w:val="-5"/>
        </w:rPr>
        <w:t xml:space="preserve"> </w:t>
      </w:r>
      <w:r>
        <w:t>priority</w:t>
      </w:r>
      <w:r>
        <w:rPr>
          <w:spacing w:val="-5"/>
        </w:rPr>
        <w:t xml:space="preserve"> </w:t>
      </w:r>
      <w:r>
        <w:t>activities</w:t>
      </w:r>
      <w:r>
        <w:rPr>
          <w:spacing w:val="-5"/>
        </w:rPr>
        <w:t xml:space="preserve"> </w:t>
      </w:r>
      <w:r>
        <w:t>beyond</w:t>
      </w:r>
      <w:r>
        <w:rPr>
          <w:spacing w:val="-7"/>
        </w:rPr>
        <w:t xml:space="preserve"> </w:t>
      </w:r>
      <w:r>
        <w:t>routine</w:t>
      </w:r>
      <w:r>
        <w:rPr>
          <w:spacing w:val="-7"/>
        </w:rPr>
        <w:t xml:space="preserve"> </w:t>
      </w:r>
      <w:r>
        <w:t>expenditures.</w:t>
      </w:r>
      <w:r>
        <w:rPr>
          <w:spacing w:val="-5"/>
        </w:rPr>
        <w:t xml:space="preserve"> </w:t>
      </w:r>
      <w:r>
        <w:t>The</w:t>
      </w:r>
      <w:r>
        <w:rPr>
          <w:spacing w:val="-7"/>
        </w:rPr>
        <w:t xml:space="preserve"> </w:t>
      </w:r>
      <w:r>
        <w:t>following</w:t>
      </w:r>
      <w:r>
        <w:rPr>
          <w:spacing w:val="-6"/>
        </w:rPr>
        <w:t xml:space="preserve"> </w:t>
      </w:r>
      <w:r>
        <w:t>table</w:t>
      </w:r>
      <w:r>
        <w:rPr>
          <w:spacing w:val="-7"/>
        </w:rPr>
        <w:t xml:space="preserve"> </w:t>
      </w:r>
      <w:r>
        <w:t>presents</w:t>
      </w:r>
      <w:r>
        <w:rPr>
          <w:spacing w:val="-5"/>
        </w:rPr>
        <w:t xml:space="preserve"> </w:t>
      </w:r>
      <w:r>
        <w:t>the</w:t>
      </w:r>
      <w:r>
        <w:rPr>
          <w:spacing w:val="-7"/>
        </w:rPr>
        <w:t xml:space="preserve"> </w:t>
      </w:r>
      <w:r>
        <w:t>NTB Provincial Government’s budget categorised by revenue sources:</w:t>
      </w:r>
    </w:p>
    <w:p w14:paraId="567FB157" w14:textId="77777777" w:rsidR="00BC24A8" w:rsidRDefault="00BC24A8">
      <w:pPr>
        <w:pStyle w:val="BodyText"/>
        <w:rPr>
          <w:sz w:val="20"/>
        </w:rPr>
      </w:pPr>
    </w:p>
    <w:p w14:paraId="7BC32833" w14:textId="77777777" w:rsidR="00BC24A8" w:rsidRDefault="00BC24A8">
      <w:pPr>
        <w:pStyle w:val="BodyText"/>
        <w:spacing w:before="56"/>
        <w:rPr>
          <w:sz w:val="20"/>
        </w:rPr>
      </w:pPr>
    </w:p>
    <w:tbl>
      <w:tblPr>
        <w:tblW w:w="0" w:type="auto"/>
        <w:tblInd w:w="150" w:type="dxa"/>
        <w:tblLayout w:type="fixed"/>
        <w:tblCellMar>
          <w:left w:w="0" w:type="dxa"/>
          <w:right w:w="0" w:type="dxa"/>
        </w:tblCellMar>
        <w:tblLook w:val="01E0" w:firstRow="1" w:lastRow="1" w:firstColumn="1" w:lastColumn="1" w:noHBand="0" w:noVBand="0"/>
      </w:tblPr>
      <w:tblGrid>
        <w:gridCol w:w="4771"/>
        <w:gridCol w:w="2160"/>
        <w:gridCol w:w="2160"/>
      </w:tblGrid>
      <w:tr w:rsidR="00BC24A8" w14:paraId="51502F2E" w14:textId="77777777">
        <w:trPr>
          <w:trHeight w:val="376"/>
        </w:trPr>
        <w:tc>
          <w:tcPr>
            <w:tcW w:w="4771" w:type="dxa"/>
            <w:tcBorders>
              <w:bottom w:val="single" w:sz="4" w:space="0" w:color="BEBEBE"/>
            </w:tcBorders>
            <w:shd w:val="clear" w:color="auto" w:fill="17365A"/>
          </w:tcPr>
          <w:p w14:paraId="08EA2551" w14:textId="77777777" w:rsidR="00BC24A8" w:rsidRDefault="00000000">
            <w:pPr>
              <w:pStyle w:val="TableParagraph"/>
              <w:spacing w:before="59"/>
              <w:ind w:left="107"/>
              <w:rPr>
                <w:rFonts w:ascii="Calibri"/>
                <w:b/>
                <w:sz w:val="20"/>
              </w:rPr>
            </w:pPr>
            <w:r>
              <w:rPr>
                <w:rFonts w:ascii="Calibri"/>
                <w:b/>
                <w:color w:val="FFFFFF"/>
                <w:spacing w:val="-2"/>
                <w:sz w:val="20"/>
              </w:rPr>
              <w:t>Source</w:t>
            </w:r>
          </w:p>
        </w:tc>
        <w:tc>
          <w:tcPr>
            <w:tcW w:w="2160" w:type="dxa"/>
            <w:tcBorders>
              <w:bottom w:val="single" w:sz="4" w:space="0" w:color="BEBEBE"/>
            </w:tcBorders>
            <w:shd w:val="clear" w:color="auto" w:fill="17365A"/>
          </w:tcPr>
          <w:p w14:paraId="19A64069" w14:textId="77777777" w:rsidR="00BC24A8" w:rsidRDefault="00000000">
            <w:pPr>
              <w:pStyle w:val="TableParagraph"/>
              <w:spacing w:before="59"/>
              <w:ind w:left="619"/>
              <w:rPr>
                <w:rFonts w:ascii="Calibri"/>
                <w:b/>
                <w:sz w:val="20"/>
              </w:rPr>
            </w:pPr>
            <w:r>
              <w:rPr>
                <w:rFonts w:ascii="Calibri"/>
                <w:b/>
                <w:color w:val="FFFFFF"/>
                <w:sz w:val="20"/>
              </w:rPr>
              <w:t>2024</w:t>
            </w:r>
            <w:r>
              <w:rPr>
                <w:rFonts w:ascii="Calibri"/>
                <w:b/>
                <w:color w:val="FFFFFF"/>
                <w:spacing w:val="-8"/>
                <w:sz w:val="20"/>
              </w:rPr>
              <w:t xml:space="preserve"> </w:t>
            </w:r>
            <w:r>
              <w:rPr>
                <w:rFonts w:ascii="Calibri"/>
                <w:b/>
                <w:color w:val="FFFFFF"/>
                <w:spacing w:val="-4"/>
                <w:sz w:val="20"/>
              </w:rPr>
              <w:t>APBD</w:t>
            </w:r>
          </w:p>
        </w:tc>
        <w:tc>
          <w:tcPr>
            <w:tcW w:w="2160" w:type="dxa"/>
            <w:tcBorders>
              <w:bottom w:val="single" w:sz="4" w:space="0" w:color="BEBEBE"/>
            </w:tcBorders>
            <w:shd w:val="clear" w:color="auto" w:fill="17365A"/>
          </w:tcPr>
          <w:p w14:paraId="1A01C786" w14:textId="77777777" w:rsidR="00BC24A8" w:rsidRDefault="00000000">
            <w:pPr>
              <w:pStyle w:val="TableParagraph"/>
              <w:spacing w:before="59"/>
              <w:ind w:left="619"/>
              <w:rPr>
                <w:rFonts w:ascii="Calibri"/>
                <w:b/>
                <w:sz w:val="20"/>
              </w:rPr>
            </w:pPr>
            <w:r>
              <w:rPr>
                <w:rFonts w:ascii="Calibri"/>
                <w:b/>
                <w:color w:val="FFFFFF"/>
                <w:sz w:val="20"/>
              </w:rPr>
              <w:t>2025</w:t>
            </w:r>
            <w:r>
              <w:rPr>
                <w:rFonts w:ascii="Calibri"/>
                <w:b/>
                <w:color w:val="FFFFFF"/>
                <w:spacing w:val="-8"/>
                <w:sz w:val="20"/>
              </w:rPr>
              <w:t xml:space="preserve"> </w:t>
            </w:r>
            <w:r>
              <w:rPr>
                <w:rFonts w:ascii="Calibri"/>
                <w:b/>
                <w:color w:val="FFFFFF"/>
                <w:spacing w:val="-4"/>
                <w:sz w:val="20"/>
              </w:rPr>
              <w:t>APBD</w:t>
            </w:r>
          </w:p>
        </w:tc>
      </w:tr>
      <w:tr w:rsidR="00BC24A8" w14:paraId="2263AE83" w14:textId="77777777">
        <w:trPr>
          <w:trHeight w:val="393"/>
        </w:trPr>
        <w:tc>
          <w:tcPr>
            <w:tcW w:w="4771" w:type="dxa"/>
            <w:tcBorders>
              <w:top w:val="single" w:sz="4" w:space="0" w:color="BEBEBE"/>
              <w:bottom w:val="single" w:sz="4" w:space="0" w:color="BEBEBE"/>
            </w:tcBorders>
          </w:tcPr>
          <w:p w14:paraId="0C2EC6D7" w14:textId="77777777" w:rsidR="00BC24A8" w:rsidRDefault="00000000">
            <w:pPr>
              <w:pStyle w:val="TableParagraph"/>
              <w:spacing w:before="119"/>
              <w:ind w:left="107"/>
              <w:rPr>
                <w:sz w:val="18"/>
              </w:rPr>
            </w:pPr>
            <w:r>
              <w:rPr>
                <w:sz w:val="18"/>
              </w:rPr>
              <w:t>PAD</w:t>
            </w:r>
            <w:r>
              <w:rPr>
                <w:spacing w:val="-2"/>
                <w:sz w:val="18"/>
              </w:rPr>
              <w:t xml:space="preserve"> </w:t>
            </w:r>
            <w:r>
              <w:rPr>
                <w:sz w:val="18"/>
              </w:rPr>
              <w:t>(Regional</w:t>
            </w:r>
            <w:r>
              <w:rPr>
                <w:spacing w:val="-2"/>
                <w:sz w:val="18"/>
              </w:rPr>
              <w:t xml:space="preserve"> Revenue)</w:t>
            </w:r>
          </w:p>
        </w:tc>
        <w:tc>
          <w:tcPr>
            <w:tcW w:w="2160" w:type="dxa"/>
            <w:tcBorders>
              <w:top w:val="single" w:sz="4" w:space="0" w:color="BEBEBE"/>
              <w:bottom w:val="single" w:sz="4" w:space="0" w:color="BEBEBE"/>
            </w:tcBorders>
          </w:tcPr>
          <w:p w14:paraId="798ED263" w14:textId="77777777" w:rsidR="00BC24A8" w:rsidRDefault="00000000">
            <w:pPr>
              <w:pStyle w:val="TableParagraph"/>
              <w:tabs>
                <w:tab w:val="left" w:pos="886"/>
              </w:tabs>
              <w:spacing w:before="59"/>
              <w:ind w:left="105"/>
              <w:rPr>
                <w:sz w:val="18"/>
              </w:rPr>
            </w:pPr>
            <w:r>
              <w:rPr>
                <w:spacing w:val="-5"/>
                <w:sz w:val="18"/>
              </w:rPr>
              <w:t>IDR</w:t>
            </w:r>
            <w:r>
              <w:rPr>
                <w:sz w:val="18"/>
              </w:rPr>
              <w:tab/>
            </w:r>
            <w:r>
              <w:rPr>
                <w:spacing w:val="-2"/>
                <w:sz w:val="18"/>
              </w:rPr>
              <w:t>3,294,373,42</w:t>
            </w:r>
          </w:p>
        </w:tc>
        <w:tc>
          <w:tcPr>
            <w:tcW w:w="2160" w:type="dxa"/>
            <w:tcBorders>
              <w:top w:val="single" w:sz="4" w:space="0" w:color="BEBEBE"/>
              <w:bottom w:val="single" w:sz="4" w:space="0" w:color="BEBEBE"/>
            </w:tcBorders>
          </w:tcPr>
          <w:p w14:paraId="772A0737" w14:textId="77777777" w:rsidR="00BC24A8" w:rsidRDefault="00000000">
            <w:pPr>
              <w:pStyle w:val="TableParagraph"/>
              <w:tabs>
                <w:tab w:val="left" w:pos="886"/>
              </w:tabs>
              <w:spacing w:before="59"/>
              <w:ind w:left="105"/>
              <w:rPr>
                <w:sz w:val="18"/>
              </w:rPr>
            </w:pPr>
            <w:r>
              <w:rPr>
                <w:spacing w:val="-5"/>
                <w:sz w:val="18"/>
              </w:rPr>
              <w:t>IDR</w:t>
            </w:r>
            <w:r>
              <w:rPr>
                <w:sz w:val="18"/>
              </w:rPr>
              <w:tab/>
            </w:r>
            <w:r>
              <w:rPr>
                <w:spacing w:val="-2"/>
                <w:sz w:val="18"/>
              </w:rPr>
              <w:t>2,513,229,45</w:t>
            </w:r>
          </w:p>
        </w:tc>
      </w:tr>
      <w:tr w:rsidR="00BC24A8" w14:paraId="4ABE47E9" w14:textId="77777777">
        <w:trPr>
          <w:trHeight w:val="395"/>
        </w:trPr>
        <w:tc>
          <w:tcPr>
            <w:tcW w:w="4771" w:type="dxa"/>
            <w:tcBorders>
              <w:top w:val="single" w:sz="4" w:space="0" w:color="BEBEBE"/>
              <w:bottom w:val="single" w:sz="4" w:space="0" w:color="BEBEBE"/>
            </w:tcBorders>
          </w:tcPr>
          <w:p w14:paraId="652A8FDC" w14:textId="77777777" w:rsidR="00BC24A8" w:rsidRDefault="00000000">
            <w:pPr>
              <w:pStyle w:val="TableParagraph"/>
              <w:spacing w:before="119"/>
              <w:ind w:left="107"/>
              <w:rPr>
                <w:sz w:val="18"/>
              </w:rPr>
            </w:pPr>
            <w:r>
              <w:rPr>
                <w:sz w:val="18"/>
              </w:rPr>
              <w:t xml:space="preserve">TKD (Fiscal </w:t>
            </w:r>
            <w:r>
              <w:rPr>
                <w:spacing w:val="-2"/>
                <w:sz w:val="18"/>
              </w:rPr>
              <w:t>Transfer)</w:t>
            </w:r>
          </w:p>
        </w:tc>
        <w:tc>
          <w:tcPr>
            <w:tcW w:w="2160" w:type="dxa"/>
            <w:tcBorders>
              <w:top w:val="single" w:sz="4" w:space="0" w:color="BEBEBE"/>
              <w:bottom w:val="single" w:sz="4" w:space="0" w:color="BEBEBE"/>
            </w:tcBorders>
          </w:tcPr>
          <w:p w14:paraId="2CDDD492" w14:textId="77777777" w:rsidR="00BC24A8" w:rsidRDefault="00000000">
            <w:pPr>
              <w:pStyle w:val="TableParagraph"/>
              <w:tabs>
                <w:tab w:val="left" w:pos="886"/>
              </w:tabs>
              <w:spacing w:before="59"/>
              <w:ind w:left="105"/>
              <w:rPr>
                <w:sz w:val="18"/>
              </w:rPr>
            </w:pPr>
            <w:r>
              <w:rPr>
                <w:spacing w:val="-5"/>
                <w:sz w:val="18"/>
              </w:rPr>
              <w:t>IDR</w:t>
            </w:r>
            <w:r>
              <w:rPr>
                <w:sz w:val="18"/>
              </w:rPr>
              <w:tab/>
            </w:r>
            <w:r>
              <w:rPr>
                <w:spacing w:val="-2"/>
                <w:sz w:val="18"/>
              </w:rPr>
              <w:t>3,327,187,77</w:t>
            </w:r>
          </w:p>
        </w:tc>
        <w:tc>
          <w:tcPr>
            <w:tcW w:w="2160" w:type="dxa"/>
            <w:tcBorders>
              <w:top w:val="single" w:sz="4" w:space="0" w:color="BEBEBE"/>
              <w:bottom w:val="single" w:sz="4" w:space="0" w:color="BEBEBE"/>
            </w:tcBorders>
          </w:tcPr>
          <w:p w14:paraId="5530C339" w14:textId="77777777" w:rsidR="00BC24A8" w:rsidRDefault="00000000">
            <w:pPr>
              <w:pStyle w:val="TableParagraph"/>
              <w:tabs>
                <w:tab w:val="left" w:pos="886"/>
              </w:tabs>
              <w:spacing w:before="59"/>
              <w:ind w:left="105"/>
              <w:rPr>
                <w:sz w:val="18"/>
              </w:rPr>
            </w:pPr>
            <w:r>
              <w:rPr>
                <w:spacing w:val="-5"/>
                <w:sz w:val="18"/>
              </w:rPr>
              <w:t>IDR</w:t>
            </w:r>
            <w:r>
              <w:rPr>
                <w:sz w:val="18"/>
              </w:rPr>
              <w:tab/>
            </w:r>
            <w:r>
              <w:rPr>
                <w:spacing w:val="-2"/>
                <w:sz w:val="18"/>
              </w:rPr>
              <w:t>3,462,818,36</w:t>
            </w:r>
          </w:p>
        </w:tc>
      </w:tr>
      <w:tr w:rsidR="00BC24A8" w14:paraId="4CC31B61" w14:textId="77777777">
        <w:trPr>
          <w:trHeight w:val="436"/>
        </w:trPr>
        <w:tc>
          <w:tcPr>
            <w:tcW w:w="4771" w:type="dxa"/>
            <w:tcBorders>
              <w:top w:val="single" w:sz="4" w:space="0" w:color="BEBEBE"/>
            </w:tcBorders>
          </w:tcPr>
          <w:p w14:paraId="00D98632" w14:textId="77777777" w:rsidR="00BC24A8" w:rsidRDefault="00000000">
            <w:pPr>
              <w:pStyle w:val="TableParagraph"/>
              <w:spacing w:before="116"/>
              <w:ind w:left="107"/>
              <w:rPr>
                <w:sz w:val="18"/>
              </w:rPr>
            </w:pPr>
            <w:r>
              <w:rPr>
                <w:sz w:val="18"/>
              </w:rPr>
              <w:t>Other</w:t>
            </w:r>
            <w:r>
              <w:rPr>
                <w:spacing w:val="-4"/>
                <w:sz w:val="18"/>
              </w:rPr>
              <w:t xml:space="preserve"> </w:t>
            </w:r>
            <w:r>
              <w:rPr>
                <w:spacing w:val="-2"/>
                <w:sz w:val="18"/>
              </w:rPr>
              <w:t>sources</w:t>
            </w:r>
          </w:p>
        </w:tc>
        <w:tc>
          <w:tcPr>
            <w:tcW w:w="2160" w:type="dxa"/>
            <w:tcBorders>
              <w:top w:val="single" w:sz="4" w:space="0" w:color="BEBEBE"/>
            </w:tcBorders>
          </w:tcPr>
          <w:p w14:paraId="33FDE9C2" w14:textId="77777777" w:rsidR="00BC24A8" w:rsidRDefault="00000000">
            <w:pPr>
              <w:pStyle w:val="TableParagraph"/>
              <w:spacing w:before="56"/>
              <w:ind w:left="105"/>
              <w:rPr>
                <w:sz w:val="18"/>
              </w:rPr>
            </w:pPr>
            <w:r>
              <w:rPr>
                <w:spacing w:val="-10"/>
                <w:sz w:val="18"/>
              </w:rPr>
              <w:t>-</w:t>
            </w:r>
          </w:p>
        </w:tc>
        <w:tc>
          <w:tcPr>
            <w:tcW w:w="2160" w:type="dxa"/>
            <w:tcBorders>
              <w:top w:val="single" w:sz="4" w:space="0" w:color="BEBEBE"/>
            </w:tcBorders>
          </w:tcPr>
          <w:p w14:paraId="2EFD76CB" w14:textId="77777777" w:rsidR="00BC24A8" w:rsidRDefault="00000000">
            <w:pPr>
              <w:pStyle w:val="TableParagraph"/>
              <w:tabs>
                <w:tab w:val="left" w:pos="1009"/>
              </w:tabs>
              <w:spacing w:before="59"/>
              <w:ind w:left="105"/>
              <w:rPr>
                <w:sz w:val="18"/>
              </w:rPr>
            </w:pPr>
            <w:r>
              <w:rPr>
                <w:spacing w:val="-5"/>
                <w:sz w:val="18"/>
              </w:rPr>
              <w:t>IDR</w:t>
            </w:r>
            <w:r>
              <w:rPr>
                <w:sz w:val="18"/>
              </w:rPr>
              <w:tab/>
            </w:r>
            <w:r>
              <w:rPr>
                <w:spacing w:val="-2"/>
                <w:sz w:val="18"/>
              </w:rPr>
              <w:t>210,101,14</w:t>
            </w:r>
          </w:p>
        </w:tc>
      </w:tr>
      <w:tr w:rsidR="00BC24A8" w14:paraId="7E0CCC45" w14:textId="77777777">
        <w:trPr>
          <w:trHeight w:val="352"/>
        </w:trPr>
        <w:tc>
          <w:tcPr>
            <w:tcW w:w="4771" w:type="dxa"/>
            <w:tcBorders>
              <w:bottom w:val="single" w:sz="4" w:space="0" w:color="BEBEBE"/>
              <w:right w:val="single" w:sz="18" w:space="0" w:color="FFFFFF"/>
            </w:tcBorders>
            <w:shd w:val="clear" w:color="auto" w:fill="A7A9AC"/>
          </w:tcPr>
          <w:p w14:paraId="73FE4153" w14:textId="77777777" w:rsidR="00BC24A8" w:rsidRDefault="00000000">
            <w:pPr>
              <w:pStyle w:val="TableParagraph"/>
              <w:spacing w:before="59"/>
              <w:ind w:left="107"/>
              <w:rPr>
                <w:rFonts w:ascii="Calibri"/>
                <w:b/>
                <w:sz w:val="18"/>
              </w:rPr>
            </w:pPr>
            <w:r w:rsidRPr="00795364">
              <w:rPr>
                <w:rFonts w:ascii="Calibri"/>
                <w:b/>
                <w:color w:val="000000"/>
                <w:spacing w:val="-2"/>
                <w:sz w:val="18"/>
              </w:rPr>
              <w:t>TOTAL</w:t>
            </w:r>
          </w:p>
        </w:tc>
        <w:tc>
          <w:tcPr>
            <w:tcW w:w="2160" w:type="dxa"/>
            <w:tcBorders>
              <w:left w:val="single" w:sz="18" w:space="0" w:color="FFFFFF"/>
              <w:bottom w:val="single" w:sz="4" w:space="0" w:color="BEBEBE"/>
              <w:right w:val="single" w:sz="18" w:space="0" w:color="FFFFFF"/>
            </w:tcBorders>
            <w:shd w:val="clear" w:color="auto" w:fill="A7A9AC"/>
          </w:tcPr>
          <w:p w14:paraId="7C1CF0A7" w14:textId="77777777" w:rsidR="00BC24A8" w:rsidRDefault="00000000">
            <w:pPr>
              <w:pStyle w:val="TableParagraph"/>
              <w:tabs>
                <w:tab w:val="left" w:pos="835"/>
              </w:tabs>
              <w:spacing w:before="59"/>
              <w:ind w:left="83"/>
              <w:rPr>
                <w:rFonts w:ascii="Calibri"/>
                <w:b/>
                <w:sz w:val="18"/>
              </w:rPr>
            </w:pPr>
            <w:r w:rsidRPr="00795364">
              <w:rPr>
                <w:rFonts w:ascii="Calibri"/>
                <w:b/>
                <w:color w:val="000000"/>
                <w:spacing w:val="-5"/>
                <w:sz w:val="18"/>
              </w:rPr>
              <w:t>IDR</w:t>
            </w:r>
            <w:r w:rsidRPr="00795364">
              <w:rPr>
                <w:rFonts w:ascii="Calibri"/>
                <w:b/>
                <w:color w:val="000000"/>
                <w:sz w:val="18"/>
              </w:rPr>
              <w:tab/>
            </w:r>
            <w:r w:rsidRPr="00795364">
              <w:rPr>
                <w:rFonts w:ascii="Calibri"/>
                <w:b/>
                <w:color w:val="000000"/>
                <w:spacing w:val="-2"/>
                <w:sz w:val="18"/>
              </w:rPr>
              <w:t>6,621,561,19</w:t>
            </w:r>
          </w:p>
        </w:tc>
        <w:tc>
          <w:tcPr>
            <w:tcW w:w="2160" w:type="dxa"/>
            <w:tcBorders>
              <w:left w:val="single" w:sz="18" w:space="0" w:color="FFFFFF"/>
              <w:bottom w:val="single" w:sz="4" w:space="0" w:color="BEBEBE"/>
            </w:tcBorders>
            <w:shd w:val="clear" w:color="auto" w:fill="A7A9AC"/>
          </w:tcPr>
          <w:p w14:paraId="7D493F42" w14:textId="77777777" w:rsidR="00BC24A8" w:rsidRDefault="00000000">
            <w:pPr>
              <w:pStyle w:val="TableParagraph"/>
              <w:tabs>
                <w:tab w:val="left" w:pos="875"/>
              </w:tabs>
              <w:spacing w:before="59"/>
              <w:ind w:left="83"/>
              <w:rPr>
                <w:rFonts w:ascii="Calibri"/>
                <w:b/>
                <w:sz w:val="18"/>
              </w:rPr>
            </w:pPr>
            <w:r w:rsidRPr="00795364">
              <w:rPr>
                <w:rFonts w:ascii="Calibri"/>
                <w:b/>
                <w:color w:val="000000"/>
                <w:spacing w:val="-5"/>
                <w:sz w:val="18"/>
              </w:rPr>
              <w:t>IDR</w:t>
            </w:r>
            <w:r w:rsidRPr="00795364">
              <w:rPr>
                <w:rFonts w:ascii="Calibri"/>
                <w:b/>
                <w:color w:val="000000"/>
                <w:sz w:val="18"/>
              </w:rPr>
              <w:tab/>
            </w:r>
            <w:r w:rsidRPr="00795364">
              <w:rPr>
                <w:rFonts w:ascii="Calibri"/>
                <w:b/>
                <w:color w:val="000000"/>
                <w:spacing w:val="-2"/>
                <w:sz w:val="18"/>
              </w:rPr>
              <w:t>6,186,148,95</w:t>
            </w:r>
          </w:p>
        </w:tc>
      </w:tr>
    </w:tbl>
    <w:p w14:paraId="4C0578AA" w14:textId="77777777" w:rsidR="00BC24A8" w:rsidRDefault="00000000">
      <w:pPr>
        <w:spacing w:before="126"/>
        <w:ind w:left="143"/>
        <w:rPr>
          <w:sz w:val="16"/>
        </w:rPr>
      </w:pPr>
      <w:r>
        <w:rPr>
          <w:sz w:val="16"/>
        </w:rPr>
        <w:t>Source:</w:t>
      </w:r>
      <w:r>
        <w:rPr>
          <w:spacing w:val="-6"/>
          <w:sz w:val="16"/>
        </w:rPr>
        <w:t xml:space="preserve"> </w:t>
      </w:r>
      <w:r>
        <w:rPr>
          <w:sz w:val="16"/>
        </w:rPr>
        <w:t>Analysed</w:t>
      </w:r>
      <w:r>
        <w:rPr>
          <w:spacing w:val="-5"/>
          <w:sz w:val="16"/>
        </w:rPr>
        <w:t xml:space="preserve"> </w:t>
      </w:r>
      <w:r>
        <w:rPr>
          <w:sz w:val="16"/>
        </w:rPr>
        <w:t>from</w:t>
      </w:r>
      <w:r>
        <w:rPr>
          <w:spacing w:val="-6"/>
          <w:sz w:val="16"/>
        </w:rPr>
        <w:t xml:space="preserve"> </w:t>
      </w:r>
      <w:r>
        <w:rPr>
          <w:sz w:val="16"/>
        </w:rPr>
        <w:t>the</w:t>
      </w:r>
      <w:r>
        <w:rPr>
          <w:spacing w:val="-6"/>
          <w:sz w:val="16"/>
        </w:rPr>
        <w:t xml:space="preserve"> </w:t>
      </w:r>
      <w:r>
        <w:rPr>
          <w:sz w:val="16"/>
        </w:rPr>
        <w:t>NTB</w:t>
      </w:r>
      <w:r>
        <w:rPr>
          <w:spacing w:val="-5"/>
          <w:sz w:val="16"/>
        </w:rPr>
        <w:t xml:space="preserve"> </w:t>
      </w:r>
      <w:r>
        <w:rPr>
          <w:sz w:val="16"/>
        </w:rPr>
        <w:t>RPJMD</w:t>
      </w:r>
      <w:r>
        <w:rPr>
          <w:spacing w:val="-5"/>
          <w:sz w:val="16"/>
        </w:rPr>
        <w:t xml:space="preserve"> </w:t>
      </w:r>
      <w:r>
        <w:rPr>
          <w:sz w:val="16"/>
        </w:rPr>
        <w:t>for</w:t>
      </w:r>
      <w:r>
        <w:rPr>
          <w:spacing w:val="-6"/>
          <w:sz w:val="16"/>
        </w:rPr>
        <w:t xml:space="preserve"> </w:t>
      </w:r>
      <w:r>
        <w:rPr>
          <w:sz w:val="16"/>
        </w:rPr>
        <w:t>2025-2029</w:t>
      </w:r>
      <w:r>
        <w:rPr>
          <w:spacing w:val="-6"/>
          <w:sz w:val="16"/>
        </w:rPr>
        <w:t xml:space="preserve"> </w:t>
      </w:r>
      <w:r>
        <w:rPr>
          <w:sz w:val="16"/>
        </w:rPr>
        <w:t>(in</w:t>
      </w:r>
      <w:r>
        <w:rPr>
          <w:spacing w:val="-6"/>
          <w:sz w:val="16"/>
        </w:rPr>
        <w:t xml:space="preserve"> </w:t>
      </w:r>
      <w:r>
        <w:rPr>
          <w:sz w:val="16"/>
        </w:rPr>
        <w:t>millions</w:t>
      </w:r>
      <w:r>
        <w:rPr>
          <w:spacing w:val="-7"/>
          <w:sz w:val="16"/>
        </w:rPr>
        <w:t xml:space="preserve"> </w:t>
      </w:r>
      <w:r>
        <w:rPr>
          <w:sz w:val="16"/>
        </w:rPr>
        <w:t>of</w:t>
      </w:r>
      <w:r>
        <w:rPr>
          <w:spacing w:val="-6"/>
          <w:sz w:val="16"/>
        </w:rPr>
        <w:t xml:space="preserve"> </w:t>
      </w:r>
      <w:r>
        <w:rPr>
          <w:spacing w:val="-2"/>
          <w:sz w:val="16"/>
        </w:rPr>
        <w:t>Rupiah)</w:t>
      </w:r>
    </w:p>
    <w:p w14:paraId="08F2E681" w14:textId="77777777" w:rsidR="00BC24A8" w:rsidRDefault="00BC24A8">
      <w:pPr>
        <w:pStyle w:val="BodyText"/>
        <w:rPr>
          <w:sz w:val="16"/>
        </w:rPr>
      </w:pPr>
    </w:p>
    <w:p w14:paraId="6981A70C" w14:textId="77777777" w:rsidR="00BC24A8" w:rsidRDefault="00BC24A8">
      <w:pPr>
        <w:pStyle w:val="BodyText"/>
        <w:spacing w:before="112"/>
        <w:rPr>
          <w:sz w:val="16"/>
        </w:rPr>
      </w:pPr>
    </w:p>
    <w:p w14:paraId="2DF25C70" w14:textId="77777777" w:rsidR="00BC24A8" w:rsidRDefault="00000000">
      <w:pPr>
        <w:spacing w:before="1"/>
        <w:ind w:left="143"/>
        <w:rPr>
          <w:rFonts w:ascii="Calibri"/>
          <w:i/>
        </w:rPr>
      </w:pPr>
      <w:bookmarkStart w:id="184" w:name="Dynamics_affecting_program_implementatio"/>
      <w:bookmarkEnd w:id="184"/>
      <w:r>
        <w:rPr>
          <w:rFonts w:ascii="Calibri"/>
          <w:i/>
          <w:color w:val="272727"/>
        </w:rPr>
        <w:t>Dynamics</w:t>
      </w:r>
      <w:r>
        <w:rPr>
          <w:rFonts w:ascii="Calibri"/>
          <w:i/>
          <w:color w:val="272727"/>
          <w:spacing w:val="-12"/>
        </w:rPr>
        <w:t xml:space="preserve"> </w:t>
      </w:r>
      <w:r>
        <w:rPr>
          <w:rFonts w:ascii="Calibri"/>
          <w:i/>
          <w:color w:val="272727"/>
        </w:rPr>
        <w:t>affecting</w:t>
      </w:r>
      <w:r>
        <w:rPr>
          <w:rFonts w:ascii="Calibri"/>
          <w:i/>
          <w:color w:val="272727"/>
          <w:spacing w:val="-13"/>
        </w:rPr>
        <w:t xml:space="preserve"> </w:t>
      </w:r>
      <w:r>
        <w:rPr>
          <w:rFonts w:ascii="Calibri"/>
          <w:i/>
          <w:color w:val="272727"/>
        </w:rPr>
        <w:t>program</w:t>
      </w:r>
      <w:r>
        <w:rPr>
          <w:rFonts w:ascii="Calibri"/>
          <w:i/>
          <w:color w:val="272727"/>
          <w:spacing w:val="-11"/>
        </w:rPr>
        <w:t xml:space="preserve"> </w:t>
      </w:r>
      <w:r>
        <w:rPr>
          <w:rFonts w:ascii="Calibri"/>
          <w:i/>
          <w:color w:val="272727"/>
          <w:spacing w:val="-2"/>
        </w:rPr>
        <w:t>implementation</w:t>
      </w:r>
    </w:p>
    <w:p w14:paraId="45D10FCD" w14:textId="77777777" w:rsidR="00BC24A8" w:rsidRDefault="00000000">
      <w:pPr>
        <w:pStyle w:val="BodyText"/>
        <w:spacing w:before="19" w:line="278" w:lineRule="auto"/>
        <w:ind w:left="143" w:right="563"/>
        <w:jc w:val="both"/>
      </w:pPr>
      <w:r>
        <w:t>Changes</w:t>
      </w:r>
      <w:r>
        <w:rPr>
          <w:spacing w:val="-3"/>
        </w:rPr>
        <w:t xml:space="preserve"> </w:t>
      </w:r>
      <w:r>
        <w:t>in</w:t>
      </w:r>
      <w:r>
        <w:rPr>
          <w:spacing w:val="-4"/>
        </w:rPr>
        <w:t xml:space="preserve"> </w:t>
      </w:r>
      <w:r>
        <w:t>the</w:t>
      </w:r>
      <w:r>
        <w:rPr>
          <w:spacing w:val="-5"/>
        </w:rPr>
        <w:t xml:space="preserve"> </w:t>
      </w:r>
      <w:r>
        <w:t>organisational</w:t>
      </w:r>
      <w:r>
        <w:rPr>
          <w:spacing w:val="-4"/>
        </w:rPr>
        <w:t xml:space="preserve"> </w:t>
      </w:r>
      <w:r>
        <w:t>structure</w:t>
      </w:r>
      <w:r>
        <w:rPr>
          <w:spacing w:val="-5"/>
        </w:rPr>
        <w:t xml:space="preserve"> </w:t>
      </w:r>
      <w:r>
        <w:t>and</w:t>
      </w:r>
      <w:r>
        <w:rPr>
          <w:spacing w:val="-4"/>
        </w:rPr>
        <w:t xml:space="preserve"> </w:t>
      </w:r>
      <w:r>
        <w:t>various</w:t>
      </w:r>
      <w:r>
        <w:rPr>
          <w:spacing w:val="-3"/>
        </w:rPr>
        <w:t xml:space="preserve"> </w:t>
      </w:r>
      <w:r>
        <w:t>key</w:t>
      </w:r>
      <w:r>
        <w:rPr>
          <w:spacing w:val="-5"/>
        </w:rPr>
        <w:t xml:space="preserve"> </w:t>
      </w:r>
      <w:r>
        <w:t>positions,</w:t>
      </w:r>
      <w:r>
        <w:rPr>
          <w:spacing w:val="-5"/>
        </w:rPr>
        <w:t xml:space="preserve"> </w:t>
      </w:r>
      <w:r>
        <w:t>such</w:t>
      </w:r>
      <w:r>
        <w:rPr>
          <w:spacing w:val="-5"/>
        </w:rPr>
        <w:t xml:space="preserve"> </w:t>
      </w:r>
      <w:r>
        <w:t>as</w:t>
      </w:r>
      <w:r>
        <w:rPr>
          <w:spacing w:val="-3"/>
        </w:rPr>
        <w:t xml:space="preserve"> </w:t>
      </w:r>
      <w:r>
        <w:t>the</w:t>
      </w:r>
      <w:r>
        <w:rPr>
          <w:spacing w:val="-5"/>
        </w:rPr>
        <w:t xml:space="preserve"> </w:t>
      </w:r>
      <w:r>
        <w:t>Regional</w:t>
      </w:r>
      <w:r>
        <w:rPr>
          <w:spacing w:val="-4"/>
        </w:rPr>
        <w:t xml:space="preserve"> </w:t>
      </w:r>
      <w:r>
        <w:t>Secretary,</w:t>
      </w:r>
      <w:r>
        <w:rPr>
          <w:spacing w:val="-3"/>
        </w:rPr>
        <w:t xml:space="preserve"> </w:t>
      </w:r>
      <w:r>
        <w:t xml:space="preserve">Head </w:t>
      </w:r>
      <w:r>
        <w:rPr>
          <w:spacing w:val="-2"/>
        </w:rPr>
        <w:t>of</w:t>
      </w:r>
      <w:r>
        <w:rPr>
          <w:spacing w:val="-6"/>
        </w:rPr>
        <w:t xml:space="preserve"> </w:t>
      </w:r>
      <w:r>
        <w:rPr>
          <w:spacing w:val="-2"/>
        </w:rPr>
        <w:t>Office, and</w:t>
      </w:r>
      <w:r>
        <w:rPr>
          <w:spacing w:val="-6"/>
        </w:rPr>
        <w:t xml:space="preserve"> </w:t>
      </w:r>
      <w:r>
        <w:rPr>
          <w:spacing w:val="-2"/>
        </w:rPr>
        <w:t>Head</w:t>
      </w:r>
      <w:r>
        <w:rPr>
          <w:spacing w:val="-3"/>
        </w:rPr>
        <w:t xml:space="preserve"> </w:t>
      </w:r>
      <w:r>
        <w:rPr>
          <w:spacing w:val="-2"/>
        </w:rPr>
        <w:t>of</w:t>
      </w:r>
      <w:r>
        <w:rPr>
          <w:spacing w:val="-6"/>
        </w:rPr>
        <w:t xml:space="preserve"> </w:t>
      </w:r>
      <w:r>
        <w:rPr>
          <w:spacing w:val="-2"/>
        </w:rPr>
        <w:t>Technical</w:t>
      </w:r>
      <w:r>
        <w:rPr>
          <w:spacing w:val="-4"/>
        </w:rPr>
        <w:t xml:space="preserve"> </w:t>
      </w:r>
      <w:r>
        <w:rPr>
          <w:spacing w:val="-2"/>
        </w:rPr>
        <w:t>Divisions,</w:t>
      </w:r>
      <w:r>
        <w:rPr>
          <w:spacing w:val="-6"/>
        </w:rPr>
        <w:t xml:space="preserve"> </w:t>
      </w:r>
      <w:r>
        <w:rPr>
          <w:spacing w:val="-2"/>
        </w:rPr>
        <w:t>require</w:t>
      </w:r>
      <w:r>
        <w:rPr>
          <w:spacing w:val="-4"/>
        </w:rPr>
        <w:t xml:space="preserve"> </w:t>
      </w:r>
      <w:r>
        <w:rPr>
          <w:spacing w:val="-2"/>
        </w:rPr>
        <w:t>SKALA</w:t>
      </w:r>
      <w:r>
        <w:rPr>
          <w:spacing w:val="-6"/>
        </w:rPr>
        <w:t xml:space="preserve"> </w:t>
      </w:r>
      <w:r>
        <w:rPr>
          <w:spacing w:val="-2"/>
        </w:rPr>
        <w:t>to</w:t>
      </w:r>
      <w:r>
        <w:rPr>
          <w:spacing w:val="-3"/>
        </w:rPr>
        <w:t xml:space="preserve"> </w:t>
      </w:r>
      <w:r>
        <w:rPr>
          <w:spacing w:val="-2"/>
        </w:rPr>
        <w:t>re-engage</w:t>
      </w:r>
      <w:r>
        <w:rPr>
          <w:spacing w:val="-6"/>
        </w:rPr>
        <w:t xml:space="preserve"> </w:t>
      </w:r>
      <w:r>
        <w:rPr>
          <w:spacing w:val="-2"/>
        </w:rPr>
        <w:t>and</w:t>
      </w:r>
      <w:r>
        <w:rPr>
          <w:spacing w:val="-3"/>
        </w:rPr>
        <w:t xml:space="preserve"> </w:t>
      </w:r>
      <w:r>
        <w:rPr>
          <w:spacing w:val="-2"/>
        </w:rPr>
        <w:t>rebuild</w:t>
      </w:r>
      <w:r>
        <w:rPr>
          <w:spacing w:val="-3"/>
        </w:rPr>
        <w:t xml:space="preserve"> </w:t>
      </w:r>
      <w:r>
        <w:rPr>
          <w:spacing w:val="-2"/>
        </w:rPr>
        <w:t>relationships with</w:t>
      </w:r>
      <w:r>
        <w:rPr>
          <w:spacing w:val="-6"/>
        </w:rPr>
        <w:t xml:space="preserve"> </w:t>
      </w:r>
      <w:r>
        <w:rPr>
          <w:spacing w:val="-2"/>
        </w:rPr>
        <w:t xml:space="preserve">new </w:t>
      </w:r>
      <w:r>
        <w:t>officials.</w:t>
      </w:r>
      <w:r>
        <w:rPr>
          <w:spacing w:val="-8"/>
        </w:rPr>
        <w:t xml:space="preserve"> </w:t>
      </w:r>
      <w:r>
        <w:t>These</w:t>
      </w:r>
      <w:r>
        <w:rPr>
          <w:spacing w:val="-8"/>
        </w:rPr>
        <w:t xml:space="preserve"> </w:t>
      </w:r>
      <w:r>
        <w:t>transitions</w:t>
      </w:r>
      <w:r>
        <w:rPr>
          <w:spacing w:val="-8"/>
        </w:rPr>
        <w:t xml:space="preserve"> </w:t>
      </w:r>
      <w:r>
        <w:t>affect</w:t>
      </w:r>
      <w:r>
        <w:rPr>
          <w:spacing w:val="-7"/>
        </w:rPr>
        <w:t xml:space="preserve"> </w:t>
      </w:r>
      <w:r>
        <w:t>the</w:t>
      </w:r>
      <w:r>
        <w:rPr>
          <w:spacing w:val="-8"/>
        </w:rPr>
        <w:t xml:space="preserve"> </w:t>
      </w:r>
      <w:r>
        <w:t>continuity</w:t>
      </w:r>
      <w:r>
        <w:rPr>
          <w:spacing w:val="-8"/>
        </w:rPr>
        <w:t xml:space="preserve"> </w:t>
      </w:r>
      <w:r>
        <w:t>of</w:t>
      </w:r>
      <w:r>
        <w:rPr>
          <w:spacing w:val="-8"/>
        </w:rPr>
        <w:t xml:space="preserve"> </w:t>
      </w:r>
      <w:r>
        <w:t>policies</w:t>
      </w:r>
      <w:r>
        <w:rPr>
          <w:spacing w:val="-6"/>
        </w:rPr>
        <w:t xml:space="preserve"> </w:t>
      </w:r>
      <w:r>
        <w:t>previously</w:t>
      </w:r>
      <w:r>
        <w:rPr>
          <w:spacing w:val="-6"/>
        </w:rPr>
        <w:t xml:space="preserve"> </w:t>
      </w:r>
      <w:r>
        <w:t>advocated</w:t>
      </w:r>
      <w:r>
        <w:rPr>
          <w:spacing w:val="-6"/>
        </w:rPr>
        <w:t xml:space="preserve"> </w:t>
      </w:r>
      <w:r>
        <w:t>by</w:t>
      </w:r>
      <w:r>
        <w:rPr>
          <w:spacing w:val="-8"/>
        </w:rPr>
        <w:t xml:space="preserve"> </w:t>
      </w:r>
      <w:r>
        <w:t>SKALA</w:t>
      </w:r>
      <w:r>
        <w:rPr>
          <w:spacing w:val="-7"/>
        </w:rPr>
        <w:t xml:space="preserve"> </w:t>
      </w:r>
      <w:r>
        <w:t>and</w:t>
      </w:r>
      <w:r>
        <w:rPr>
          <w:spacing w:val="-6"/>
        </w:rPr>
        <w:t xml:space="preserve"> </w:t>
      </w:r>
      <w:r>
        <w:t>endorsed by</w:t>
      </w:r>
      <w:r>
        <w:rPr>
          <w:spacing w:val="-9"/>
        </w:rPr>
        <w:t xml:space="preserve"> </w:t>
      </w:r>
      <w:r>
        <w:t>the</w:t>
      </w:r>
      <w:r>
        <w:rPr>
          <w:spacing w:val="-11"/>
        </w:rPr>
        <w:t xml:space="preserve"> </w:t>
      </w:r>
      <w:r>
        <w:t>former</w:t>
      </w:r>
      <w:r>
        <w:rPr>
          <w:spacing w:val="-10"/>
        </w:rPr>
        <w:t xml:space="preserve"> </w:t>
      </w:r>
      <w:r>
        <w:t>administration,</w:t>
      </w:r>
      <w:r>
        <w:rPr>
          <w:spacing w:val="-9"/>
        </w:rPr>
        <w:t xml:space="preserve"> </w:t>
      </w:r>
      <w:r>
        <w:t>including</w:t>
      </w:r>
      <w:r>
        <w:rPr>
          <w:spacing w:val="-11"/>
        </w:rPr>
        <w:t xml:space="preserve"> </w:t>
      </w:r>
      <w:r>
        <w:t>initiatives</w:t>
      </w:r>
      <w:r>
        <w:rPr>
          <w:spacing w:val="-9"/>
        </w:rPr>
        <w:t xml:space="preserve"> </w:t>
      </w:r>
      <w:r>
        <w:t>like</w:t>
      </w:r>
      <w:r>
        <w:rPr>
          <w:spacing w:val="-11"/>
        </w:rPr>
        <w:t xml:space="preserve"> </w:t>
      </w:r>
      <w:r>
        <w:t>vehicle</w:t>
      </w:r>
      <w:r>
        <w:rPr>
          <w:spacing w:val="-11"/>
        </w:rPr>
        <w:t xml:space="preserve"> </w:t>
      </w:r>
      <w:r>
        <w:t>tax</w:t>
      </w:r>
      <w:r>
        <w:rPr>
          <w:spacing w:val="-11"/>
        </w:rPr>
        <w:t xml:space="preserve"> </w:t>
      </w:r>
      <w:r>
        <w:t>exemption</w:t>
      </w:r>
      <w:r>
        <w:rPr>
          <w:spacing w:val="-10"/>
        </w:rPr>
        <w:t xml:space="preserve"> </w:t>
      </w:r>
      <w:r>
        <w:t>for</w:t>
      </w:r>
      <w:r>
        <w:rPr>
          <w:spacing w:val="-12"/>
        </w:rPr>
        <w:t xml:space="preserve"> </w:t>
      </w:r>
      <w:r>
        <w:t>persons</w:t>
      </w:r>
      <w:r>
        <w:rPr>
          <w:spacing w:val="-9"/>
        </w:rPr>
        <w:t xml:space="preserve"> </w:t>
      </w:r>
      <w:r>
        <w:t>with</w:t>
      </w:r>
      <w:r>
        <w:rPr>
          <w:spacing w:val="-12"/>
        </w:rPr>
        <w:t xml:space="preserve"> </w:t>
      </w:r>
      <w:r>
        <w:t>disabilities and data management collaboration.</w:t>
      </w:r>
    </w:p>
    <w:p w14:paraId="00580085" w14:textId="77777777" w:rsidR="00BC24A8" w:rsidRDefault="00000000">
      <w:pPr>
        <w:pStyle w:val="BodyText"/>
        <w:spacing w:before="158" w:line="278" w:lineRule="auto"/>
        <w:ind w:left="143" w:right="562"/>
        <w:jc w:val="both"/>
      </w:pPr>
      <w:r>
        <w:t>On</w:t>
      </w:r>
      <w:r>
        <w:rPr>
          <w:spacing w:val="-13"/>
        </w:rPr>
        <w:t xml:space="preserve"> </w:t>
      </w:r>
      <w:r>
        <w:t>the</w:t>
      </w:r>
      <w:r>
        <w:rPr>
          <w:spacing w:val="-12"/>
        </w:rPr>
        <w:t xml:space="preserve"> </w:t>
      </w:r>
      <w:r>
        <w:t>other</w:t>
      </w:r>
      <w:r>
        <w:rPr>
          <w:spacing w:val="-13"/>
        </w:rPr>
        <w:t xml:space="preserve"> </w:t>
      </w:r>
      <w:r>
        <w:t>hand,</w:t>
      </w:r>
      <w:r>
        <w:rPr>
          <w:spacing w:val="-10"/>
        </w:rPr>
        <w:t xml:space="preserve"> </w:t>
      </w:r>
      <w:r>
        <w:t>the</w:t>
      </w:r>
      <w:r>
        <w:rPr>
          <w:spacing w:val="-13"/>
        </w:rPr>
        <w:t xml:space="preserve"> </w:t>
      </w:r>
      <w:r>
        <w:t>preparation</w:t>
      </w:r>
      <w:r>
        <w:rPr>
          <w:spacing w:val="-11"/>
        </w:rPr>
        <w:t xml:space="preserve"> </w:t>
      </w:r>
      <w:r>
        <w:t>of</w:t>
      </w:r>
      <w:r>
        <w:rPr>
          <w:spacing w:val="-13"/>
        </w:rPr>
        <w:t xml:space="preserve"> </w:t>
      </w:r>
      <w:r>
        <w:t>regional</w:t>
      </w:r>
      <w:r>
        <w:rPr>
          <w:spacing w:val="-12"/>
        </w:rPr>
        <w:t xml:space="preserve"> </w:t>
      </w:r>
      <w:r>
        <w:t>strategic</w:t>
      </w:r>
      <w:r>
        <w:rPr>
          <w:spacing w:val="-13"/>
        </w:rPr>
        <w:t xml:space="preserve"> </w:t>
      </w:r>
      <w:r>
        <w:t>planning</w:t>
      </w:r>
      <w:r>
        <w:rPr>
          <w:spacing w:val="-12"/>
        </w:rPr>
        <w:t xml:space="preserve"> </w:t>
      </w:r>
      <w:r>
        <w:t>documents</w:t>
      </w:r>
      <w:r>
        <w:rPr>
          <w:spacing w:val="-12"/>
        </w:rPr>
        <w:t xml:space="preserve"> </w:t>
      </w:r>
      <w:r>
        <w:t>(RPJPD,</w:t>
      </w:r>
      <w:r>
        <w:rPr>
          <w:spacing w:val="-11"/>
        </w:rPr>
        <w:t xml:space="preserve"> </w:t>
      </w:r>
      <w:r>
        <w:t>RPJMD,</w:t>
      </w:r>
      <w:r>
        <w:rPr>
          <w:spacing w:val="-11"/>
        </w:rPr>
        <w:t xml:space="preserve"> </w:t>
      </w:r>
      <w:r>
        <w:t>RKPD)</w:t>
      </w:r>
      <w:r>
        <w:rPr>
          <w:spacing w:val="-13"/>
        </w:rPr>
        <w:t xml:space="preserve"> </w:t>
      </w:r>
      <w:r>
        <w:t>was conducted under a tight timeline, spanning from the end of last year through the current semester. Regional planners, particularly within the Regional Development Planning Agency (</w:t>
      </w:r>
      <w:r>
        <w:rPr>
          <w:i/>
        </w:rPr>
        <w:t>Bappeda</w:t>
      </w:r>
      <w:r>
        <w:t>), have concentrated efforts on ensuring alignment with national policy directives. As a result, the implementation of SKALA-supported activities has required adjustments in resource personnel, scheduling, materials, and other technical planning components.</w:t>
      </w:r>
    </w:p>
    <w:p w14:paraId="4B18A803" w14:textId="77777777" w:rsidR="00BC24A8" w:rsidRDefault="00000000">
      <w:pPr>
        <w:pStyle w:val="BodyText"/>
        <w:spacing w:before="157" w:line="278" w:lineRule="auto"/>
        <w:ind w:left="143" w:right="561"/>
        <w:jc w:val="both"/>
      </w:pPr>
      <w:r>
        <w:t xml:space="preserve">Presidential Instruction 1/2025 promotes budget and expenditure efficiency in 2025. This has led to adjustments and shifts in program priorities. For example, the budget allocations for the </w:t>
      </w:r>
      <w:r>
        <w:rPr>
          <w:i/>
        </w:rPr>
        <w:t xml:space="preserve">Bappeda </w:t>
      </w:r>
      <w:r>
        <w:t>and the</w:t>
      </w:r>
      <w:r>
        <w:rPr>
          <w:spacing w:val="-5"/>
        </w:rPr>
        <w:t xml:space="preserve"> </w:t>
      </w:r>
      <w:r>
        <w:t>Communication,</w:t>
      </w:r>
      <w:r>
        <w:rPr>
          <w:spacing w:val="-3"/>
        </w:rPr>
        <w:t xml:space="preserve"> </w:t>
      </w:r>
      <w:r>
        <w:t>Informatics,</w:t>
      </w:r>
      <w:r>
        <w:rPr>
          <w:spacing w:val="-3"/>
        </w:rPr>
        <w:t xml:space="preserve"> </w:t>
      </w:r>
      <w:r>
        <w:t>and</w:t>
      </w:r>
      <w:r>
        <w:rPr>
          <w:spacing w:val="-3"/>
        </w:rPr>
        <w:t xml:space="preserve"> </w:t>
      </w:r>
      <w:r>
        <w:t>Statistics</w:t>
      </w:r>
      <w:r>
        <w:rPr>
          <w:spacing w:val="-3"/>
        </w:rPr>
        <w:t xml:space="preserve"> </w:t>
      </w:r>
      <w:r>
        <w:t>Office</w:t>
      </w:r>
      <w:r>
        <w:rPr>
          <w:spacing w:val="-5"/>
        </w:rPr>
        <w:t xml:space="preserve"> </w:t>
      </w:r>
      <w:r>
        <w:t>(</w:t>
      </w:r>
      <w:r>
        <w:rPr>
          <w:i/>
        </w:rPr>
        <w:t>Diskominfotik</w:t>
      </w:r>
      <w:r>
        <w:t>)</w:t>
      </w:r>
      <w:r>
        <w:rPr>
          <w:spacing w:val="-5"/>
        </w:rPr>
        <w:t xml:space="preserve"> </w:t>
      </w:r>
      <w:r>
        <w:t>for</w:t>
      </w:r>
      <w:r>
        <w:rPr>
          <w:spacing w:val="-3"/>
        </w:rPr>
        <w:t xml:space="preserve"> </w:t>
      </w:r>
      <w:r>
        <w:t>the</w:t>
      </w:r>
      <w:r>
        <w:rPr>
          <w:spacing w:val="-5"/>
        </w:rPr>
        <w:t xml:space="preserve"> </w:t>
      </w:r>
      <w:r>
        <w:t>One</w:t>
      </w:r>
      <w:r>
        <w:rPr>
          <w:spacing w:val="-7"/>
        </w:rPr>
        <w:t xml:space="preserve"> </w:t>
      </w:r>
      <w:r>
        <w:t>Data</w:t>
      </w:r>
      <w:r>
        <w:rPr>
          <w:spacing w:val="-4"/>
        </w:rPr>
        <w:t xml:space="preserve"> </w:t>
      </w:r>
      <w:r>
        <w:t>Forum</w:t>
      </w:r>
      <w:r>
        <w:rPr>
          <w:spacing w:val="-3"/>
        </w:rPr>
        <w:t xml:space="preserve"> </w:t>
      </w:r>
      <w:r>
        <w:t>has</w:t>
      </w:r>
      <w:r>
        <w:rPr>
          <w:spacing w:val="-5"/>
        </w:rPr>
        <w:t xml:space="preserve"> </w:t>
      </w:r>
      <w:r>
        <w:t>been reduced. Additionally, the frequency of field visits by the Provincial Minimum Service Standards (MSS) Implementation Team to districts and cities has been limited.</w:t>
      </w:r>
    </w:p>
    <w:p w14:paraId="0BF24FB0" w14:textId="77777777" w:rsidR="00BC24A8" w:rsidRDefault="00BC24A8">
      <w:pPr>
        <w:pStyle w:val="BodyText"/>
        <w:rPr>
          <w:sz w:val="20"/>
        </w:rPr>
      </w:pPr>
    </w:p>
    <w:p w14:paraId="69E7D792" w14:textId="77777777" w:rsidR="00BC24A8" w:rsidRDefault="00BC24A8">
      <w:pPr>
        <w:pStyle w:val="BodyText"/>
        <w:rPr>
          <w:sz w:val="20"/>
        </w:rPr>
      </w:pPr>
    </w:p>
    <w:p w14:paraId="7E45E490" w14:textId="77777777" w:rsidR="00BC24A8" w:rsidRDefault="00000000">
      <w:pPr>
        <w:pStyle w:val="BodyText"/>
        <w:spacing w:before="192"/>
        <w:rPr>
          <w:sz w:val="20"/>
        </w:rPr>
      </w:pPr>
      <w:r>
        <w:rPr>
          <w:noProof/>
          <w:sz w:val="20"/>
        </w:rPr>
        <mc:AlternateContent>
          <mc:Choice Requires="wps">
            <w:drawing>
              <wp:anchor distT="0" distB="0" distL="0" distR="0" simplePos="0" relativeHeight="487618560" behindDoc="1" locked="0" layoutInCell="1" allowOverlap="1" wp14:anchorId="3F19BFC7" wp14:editId="06F57A42">
                <wp:simplePos x="0" y="0"/>
                <wp:positionH relativeFrom="page">
                  <wp:posOffset>900683</wp:posOffset>
                </wp:positionH>
                <wp:positionV relativeFrom="paragraph">
                  <wp:posOffset>292513</wp:posOffset>
                </wp:positionV>
                <wp:extent cx="1828800" cy="9525"/>
                <wp:effectExtent l="0" t="0" r="0" b="0"/>
                <wp:wrapTopAndBottom/>
                <wp:docPr id="173" name="Graphic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89D254" id="Graphic 173" o:spid="_x0000_s1026" alt="&quot;&quot;" style="position:absolute;margin-left:70.9pt;margin-top:23.05pt;width:2in;height:.75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" path="m1828800,l,,,9144r1828800,l1828800,xe" fillcolor="black" stroked="f">
                <v:path arrowok="t"/>
                <w10:wrap type="topAndBottom" anchorx="page"/>
              </v:shape>
            </w:pict>
          </mc:Fallback>
        </mc:AlternateContent>
      </w:r>
    </w:p>
    <w:p w14:paraId="5A5E5110" w14:textId="77777777" w:rsidR="00BC24A8" w:rsidRDefault="00BC24A8">
      <w:pPr>
        <w:pStyle w:val="BodyText"/>
        <w:spacing w:before="105"/>
        <w:rPr>
          <w:sz w:val="16"/>
        </w:rPr>
      </w:pPr>
    </w:p>
    <w:p w14:paraId="6F58AA40" w14:textId="77777777" w:rsidR="00BC24A8" w:rsidRDefault="00000000">
      <w:pPr>
        <w:spacing w:before="1"/>
        <w:ind w:left="143" w:right="465"/>
        <w:rPr>
          <w:sz w:val="16"/>
        </w:rPr>
      </w:pPr>
      <w:bookmarkStart w:id="185" w:name="_bookmark124"/>
      <w:bookmarkEnd w:id="185"/>
      <w:r>
        <w:rPr>
          <w:color w:val="767070"/>
          <w:sz w:val="16"/>
          <w:vertAlign w:val="superscript"/>
        </w:rPr>
        <w:t>58</w:t>
      </w:r>
      <w:r>
        <w:rPr>
          <w:color w:val="767070"/>
          <w:spacing w:val="-3"/>
          <w:sz w:val="16"/>
        </w:rPr>
        <w:t xml:space="preserve"> </w:t>
      </w:r>
      <w:r>
        <w:rPr>
          <w:color w:val="767070"/>
          <w:sz w:val="16"/>
        </w:rPr>
        <w:t>The</w:t>
      </w:r>
      <w:r>
        <w:rPr>
          <w:color w:val="767070"/>
          <w:spacing w:val="-3"/>
          <w:sz w:val="16"/>
        </w:rPr>
        <w:t xml:space="preserve"> </w:t>
      </w:r>
      <w:r>
        <w:rPr>
          <w:color w:val="767070"/>
          <w:sz w:val="16"/>
        </w:rPr>
        <w:t>Regional</w:t>
      </w:r>
      <w:r>
        <w:rPr>
          <w:color w:val="767070"/>
          <w:spacing w:val="-5"/>
          <w:sz w:val="16"/>
        </w:rPr>
        <w:t xml:space="preserve"> </w:t>
      </w:r>
      <w:r>
        <w:rPr>
          <w:color w:val="767070"/>
          <w:sz w:val="16"/>
        </w:rPr>
        <w:t>Fiscal</w:t>
      </w:r>
      <w:r>
        <w:rPr>
          <w:color w:val="767070"/>
          <w:spacing w:val="-5"/>
          <w:sz w:val="16"/>
        </w:rPr>
        <w:t xml:space="preserve"> </w:t>
      </w:r>
      <w:r>
        <w:rPr>
          <w:color w:val="767070"/>
          <w:sz w:val="16"/>
        </w:rPr>
        <w:t>Capacity</w:t>
      </w:r>
      <w:r>
        <w:rPr>
          <w:color w:val="767070"/>
          <w:spacing w:val="-2"/>
          <w:sz w:val="16"/>
        </w:rPr>
        <w:t xml:space="preserve"> </w:t>
      </w:r>
      <w:r>
        <w:rPr>
          <w:color w:val="767070"/>
          <w:sz w:val="16"/>
        </w:rPr>
        <w:t>Ratio</w:t>
      </w:r>
      <w:r>
        <w:rPr>
          <w:color w:val="767070"/>
          <w:spacing w:val="-2"/>
          <w:sz w:val="16"/>
        </w:rPr>
        <w:t xml:space="preserve"> </w:t>
      </w:r>
      <w:r>
        <w:rPr>
          <w:color w:val="767070"/>
          <w:sz w:val="16"/>
        </w:rPr>
        <w:t>(RKFD)</w:t>
      </w:r>
      <w:r>
        <w:rPr>
          <w:color w:val="767070"/>
          <w:spacing w:val="-3"/>
          <w:sz w:val="16"/>
        </w:rPr>
        <w:t xml:space="preserve"> </w:t>
      </w:r>
      <w:r>
        <w:rPr>
          <w:color w:val="767070"/>
          <w:sz w:val="16"/>
        </w:rPr>
        <w:t>is</w:t>
      </w:r>
      <w:r>
        <w:rPr>
          <w:color w:val="767070"/>
          <w:spacing w:val="-5"/>
          <w:sz w:val="16"/>
        </w:rPr>
        <w:t xml:space="preserve"> </w:t>
      </w:r>
      <w:r>
        <w:rPr>
          <w:color w:val="767070"/>
          <w:sz w:val="16"/>
        </w:rPr>
        <w:t>a</w:t>
      </w:r>
      <w:r>
        <w:rPr>
          <w:color w:val="767070"/>
          <w:spacing w:val="-2"/>
          <w:sz w:val="16"/>
        </w:rPr>
        <w:t xml:space="preserve"> </w:t>
      </w:r>
      <w:r>
        <w:rPr>
          <w:color w:val="767070"/>
          <w:sz w:val="16"/>
        </w:rPr>
        <w:t>measure</w:t>
      </w:r>
      <w:r>
        <w:rPr>
          <w:color w:val="767070"/>
          <w:spacing w:val="-5"/>
          <w:sz w:val="16"/>
        </w:rPr>
        <w:t xml:space="preserve"> </w:t>
      </w:r>
      <w:r>
        <w:rPr>
          <w:color w:val="767070"/>
          <w:sz w:val="16"/>
        </w:rPr>
        <w:t>used</w:t>
      </w:r>
      <w:r>
        <w:rPr>
          <w:color w:val="767070"/>
          <w:spacing w:val="-2"/>
          <w:sz w:val="16"/>
        </w:rPr>
        <w:t xml:space="preserve"> </w:t>
      </w:r>
      <w:r>
        <w:rPr>
          <w:color w:val="767070"/>
          <w:sz w:val="16"/>
        </w:rPr>
        <w:t>to</w:t>
      </w:r>
      <w:r>
        <w:rPr>
          <w:color w:val="767070"/>
          <w:spacing w:val="-5"/>
          <w:sz w:val="16"/>
        </w:rPr>
        <w:t xml:space="preserve"> </w:t>
      </w:r>
      <w:r>
        <w:rPr>
          <w:color w:val="767070"/>
          <w:sz w:val="16"/>
        </w:rPr>
        <w:t>evaluate</w:t>
      </w:r>
      <w:r>
        <w:rPr>
          <w:color w:val="767070"/>
          <w:spacing w:val="-3"/>
          <w:sz w:val="16"/>
        </w:rPr>
        <w:t xml:space="preserve"> </w:t>
      </w:r>
      <w:r>
        <w:rPr>
          <w:color w:val="767070"/>
          <w:sz w:val="16"/>
        </w:rPr>
        <w:t>the</w:t>
      </w:r>
      <w:r>
        <w:rPr>
          <w:color w:val="767070"/>
          <w:spacing w:val="-5"/>
          <w:sz w:val="16"/>
        </w:rPr>
        <w:t xml:space="preserve"> </w:t>
      </w:r>
      <w:r>
        <w:rPr>
          <w:color w:val="767070"/>
          <w:sz w:val="16"/>
        </w:rPr>
        <w:t>ability</w:t>
      </w:r>
      <w:r>
        <w:rPr>
          <w:color w:val="767070"/>
          <w:spacing w:val="-2"/>
          <w:sz w:val="16"/>
        </w:rPr>
        <w:t xml:space="preserve"> </w:t>
      </w:r>
      <w:r>
        <w:rPr>
          <w:color w:val="767070"/>
          <w:sz w:val="16"/>
        </w:rPr>
        <w:t>of</w:t>
      </w:r>
      <w:r>
        <w:rPr>
          <w:color w:val="767070"/>
          <w:spacing w:val="-3"/>
          <w:sz w:val="16"/>
        </w:rPr>
        <w:t xml:space="preserve"> </w:t>
      </w:r>
      <w:r>
        <w:rPr>
          <w:color w:val="767070"/>
          <w:sz w:val="16"/>
        </w:rPr>
        <w:t>the</w:t>
      </w:r>
      <w:r>
        <w:rPr>
          <w:color w:val="767070"/>
          <w:spacing w:val="-3"/>
          <w:sz w:val="16"/>
        </w:rPr>
        <w:t xml:space="preserve"> </w:t>
      </w:r>
      <w:r>
        <w:rPr>
          <w:color w:val="767070"/>
          <w:sz w:val="16"/>
        </w:rPr>
        <w:t>regional</w:t>
      </w:r>
      <w:r>
        <w:rPr>
          <w:color w:val="767070"/>
          <w:spacing w:val="-2"/>
          <w:sz w:val="16"/>
        </w:rPr>
        <w:t xml:space="preserve"> </w:t>
      </w:r>
      <w:r>
        <w:rPr>
          <w:color w:val="767070"/>
          <w:sz w:val="16"/>
        </w:rPr>
        <w:t>government</w:t>
      </w:r>
      <w:r>
        <w:rPr>
          <w:color w:val="767070"/>
          <w:spacing w:val="-3"/>
          <w:sz w:val="16"/>
        </w:rPr>
        <w:t xml:space="preserve"> </w:t>
      </w:r>
      <w:r>
        <w:rPr>
          <w:color w:val="767070"/>
          <w:sz w:val="16"/>
        </w:rPr>
        <w:t>to</w:t>
      </w:r>
      <w:r>
        <w:rPr>
          <w:color w:val="767070"/>
          <w:spacing w:val="-5"/>
          <w:sz w:val="16"/>
        </w:rPr>
        <w:t xml:space="preserve"> </w:t>
      </w:r>
      <w:r>
        <w:rPr>
          <w:color w:val="767070"/>
          <w:sz w:val="16"/>
        </w:rPr>
        <w:t>manage</w:t>
      </w:r>
      <w:r>
        <w:rPr>
          <w:color w:val="767070"/>
          <w:spacing w:val="-3"/>
          <w:sz w:val="16"/>
        </w:rPr>
        <w:t xml:space="preserve"> </w:t>
      </w:r>
      <w:r>
        <w:rPr>
          <w:color w:val="767070"/>
          <w:sz w:val="16"/>
        </w:rPr>
        <w:t>regional</w:t>
      </w:r>
      <w:r>
        <w:rPr>
          <w:color w:val="767070"/>
          <w:spacing w:val="-2"/>
          <w:sz w:val="16"/>
        </w:rPr>
        <w:t xml:space="preserve"> </w:t>
      </w:r>
      <w:r>
        <w:rPr>
          <w:color w:val="767070"/>
          <w:sz w:val="16"/>
        </w:rPr>
        <w:t>financial</w:t>
      </w:r>
      <w:r>
        <w:rPr>
          <w:color w:val="767070"/>
          <w:spacing w:val="40"/>
          <w:sz w:val="16"/>
        </w:rPr>
        <w:t xml:space="preserve"> </w:t>
      </w:r>
      <w:r>
        <w:rPr>
          <w:color w:val="767070"/>
          <w:sz w:val="16"/>
        </w:rPr>
        <w:t>capabilities or indicators of fiscal independence, i.e., the proportion of local own-source revenue (PAD) to total revenue (including from</w:t>
      </w:r>
      <w:r>
        <w:rPr>
          <w:color w:val="767070"/>
          <w:spacing w:val="40"/>
          <w:sz w:val="16"/>
        </w:rPr>
        <w:t xml:space="preserve"> </w:t>
      </w:r>
      <w:r>
        <w:rPr>
          <w:color w:val="767070"/>
          <w:sz w:val="16"/>
        </w:rPr>
        <w:t>Transfers to Regions/TKD) (Regulation of the Minister of Finance 65/2024).</w:t>
      </w:r>
    </w:p>
    <w:p w14:paraId="3788587B" w14:textId="77777777" w:rsidR="00BC24A8" w:rsidRDefault="00BC24A8">
      <w:pPr>
        <w:rPr>
          <w:sz w:val="16"/>
        </w:rPr>
        <w:sectPr w:rsidR="00BC24A8">
          <w:pgSz w:w="11910" w:h="16840"/>
          <w:pgMar w:top="1360" w:right="850" w:bottom="1100" w:left="1275" w:header="0" w:footer="907" w:gutter="0"/>
          <w:cols w:space="720"/>
        </w:sectPr>
      </w:pPr>
    </w:p>
    <w:p w14:paraId="04B72AA6" w14:textId="77777777" w:rsidR="00BC24A8" w:rsidRDefault="00000000">
      <w:pPr>
        <w:pStyle w:val="Heading5"/>
        <w:spacing w:before="39"/>
      </w:pPr>
      <w:r>
        <w:lastRenderedPageBreak/>
        <w:t>New</w:t>
      </w:r>
      <w:r>
        <w:rPr>
          <w:spacing w:val="-4"/>
        </w:rPr>
        <w:t xml:space="preserve"> </w:t>
      </w:r>
      <w:r>
        <w:t>priorities</w:t>
      </w:r>
      <w:r>
        <w:rPr>
          <w:spacing w:val="-4"/>
        </w:rPr>
        <w:t xml:space="preserve"> </w:t>
      </w:r>
      <w:r>
        <w:t>of</w:t>
      </w:r>
      <w:r>
        <w:rPr>
          <w:spacing w:val="-5"/>
        </w:rPr>
        <w:t xml:space="preserve"> </w:t>
      </w:r>
      <w:r>
        <w:t>the</w:t>
      </w:r>
      <w:r>
        <w:rPr>
          <w:spacing w:val="-7"/>
        </w:rPr>
        <w:t xml:space="preserve"> </w:t>
      </w:r>
      <w:r>
        <w:t>NTB</w:t>
      </w:r>
      <w:r>
        <w:rPr>
          <w:spacing w:val="-6"/>
        </w:rPr>
        <w:t xml:space="preserve"> </w:t>
      </w:r>
      <w:r>
        <w:t>Provincial</w:t>
      </w:r>
      <w:r>
        <w:rPr>
          <w:spacing w:val="-6"/>
        </w:rPr>
        <w:t xml:space="preserve"> </w:t>
      </w:r>
      <w:r>
        <w:rPr>
          <w:spacing w:val="-2"/>
        </w:rPr>
        <w:t>Government</w:t>
      </w:r>
    </w:p>
    <w:p w14:paraId="01EBCC1E" w14:textId="77777777" w:rsidR="00BC24A8" w:rsidRDefault="00000000">
      <w:pPr>
        <w:pStyle w:val="BodyText"/>
        <w:spacing w:before="159" w:line="278" w:lineRule="auto"/>
        <w:ind w:left="143" w:right="562"/>
        <w:jc w:val="both"/>
      </w:pPr>
      <w:r>
        <w:t>The</w:t>
      </w:r>
      <w:r>
        <w:rPr>
          <w:spacing w:val="-1"/>
        </w:rPr>
        <w:t xml:space="preserve"> </w:t>
      </w:r>
      <w:r>
        <w:t>2025–2029</w:t>
      </w:r>
      <w:r>
        <w:rPr>
          <w:spacing w:val="-1"/>
        </w:rPr>
        <w:t xml:space="preserve"> </w:t>
      </w:r>
      <w:r>
        <w:t>NTB Province</w:t>
      </w:r>
      <w:r>
        <w:rPr>
          <w:spacing w:val="-1"/>
        </w:rPr>
        <w:t xml:space="preserve"> </w:t>
      </w:r>
      <w:r>
        <w:t>Regional Medium-Term</w:t>
      </w:r>
      <w:r>
        <w:rPr>
          <w:spacing w:val="-1"/>
        </w:rPr>
        <w:t xml:space="preserve"> </w:t>
      </w:r>
      <w:r>
        <w:t>Development Plan (RPJMD)</w:t>
      </w:r>
      <w:r>
        <w:rPr>
          <w:spacing w:val="-3"/>
        </w:rPr>
        <w:t xml:space="preserve"> </w:t>
      </w:r>
      <w:r>
        <w:t>declares 10 regional priority flagship programs</w:t>
      </w:r>
      <w:hyperlink w:anchor="_bookmark125" w:history="1">
        <w:r w:rsidR="00BC24A8">
          <w:rPr>
            <w:vertAlign w:val="superscript"/>
          </w:rPr>
          <w:t>59</w:t>
        </w:r>
      </w:hyperlink>
      <w:r>
        <w:t>. There are several strategic opportunities that the SKALA Program can leverage to drive inclusive basic services, such as:</w:t>
      </w:r>
    </w:p>
    <w:p w14:paraId="4E025C03" w14:textId="77777777" w:rsidR="00BC24A8" w:rsidRDefault="00000000">
      <w:pPr>
        <w:pStyle w:val="ListParagraph"/>
        <w:numPr>
          <w:ilvl w:val="0"/>
          <w:numId w:val="72"/>
        </w:numPr>
        <w:tabs>
          <w:tab w:val="left" w:pos="683"/>
        </w:tabs>
        <w:spacing w:before="160" w:line="279" w:lineRule="exact"/>
        <w:ind w:left="683" w:hanging="360"/>
        <w:jc w:val="left"/>
      </w:pPr>
      <w:r>
        <w:t>Healthy</w:t>
      </w:r>
      <w:r>
        <w:rPr>
          <w:spacing w:val="-7"/>
        </w:rPr>
        <w:t xml:space="preserve"> </w:t>
      </w:r>
      <w:r>
        <w:t>and</w:t>
      </w:r>
      <w:r>
        <w:rPr>
          <w:spacing w:val="-5"/>
        </w:rPr>
        <w:t xml:space="preserve"> </w:t>
      </w:r>
      <w:r>
        <w:t>smart</w:t>
      </w:r>
      <w:r>
        <w:rPr>
          <w:spacing w:val="-4"/>
        </w:rPr>
        <w:t xml:space="preserve"> </w:t>
      </w:r>
      <w:r>
        <w:t>NTB:</w:t>
      </w:r>
      <w:r>
        <w:rPr>
          <w:spacing w:val="-6"/>
        </w:rPr>
        <w:t xml:space="preserve"> </w:t>
      </w:r>
      <w:r>
        <w:t>SKALA</w:t>
      </w:r>
      <w:r>
        <w:rPr>
          <w:spacing w:val="-6"/>
        </w:rPr>
        <w:t xml:space="preserve"> </w:t>
      </w:r>
      <w:r>
        <w:t>strengthens</w:t>
      </w:r>
      <w:r>
        <w:rPr>
          <w:spacing w:val="-4"/>
        </w:rPr>
        <w:t xml:space="preserve"> </w:t>
      </w:r>
      <w:r>
        <w:t>the</w:t>
      </w:r>
      <w:r>
        <w:rPr>
          <w:spacing w:val="-3"/>
        </w:rPr>
        <w:t xml:space="preserve"> </w:t>
      </w:r>
      <w:r>
        <w:t>governance</w:t>
      </w:r>
      <w:r>
        <w:rPr>
          <w:spacing w:val="-3"/>
        </w:rPr>
        <w:t xml:space="preserve"> </w:t>
      </w:r>
      <w:r>
        <w:t>of</w:t>
      </w:r>
      <w:r>
        <w:rPr>
          <w:spacing w:val="-4"/>
        </w:rPr>
        <w:t xml:space="preserve"> </w:t>
      </w:r>
      <w:r>
        <w:t>MSS</w:t>
      </w:r>
      <w:r>
        <w:rPr>
          <w:spacing w:val="-3"/>
        </w:rPr>
        <w:t xml:space="preserve"> </w:t>
      </w:r>
      <w:r>
        <w:t>in</w:t>
      </w:r>
      <w:r>
        <w:rPr>
          <w:spacing w:val="-5"/>
        </w:rPr>
        <w:t xml:space="preserve"> </w:t>
      </w:r>
      <w:r>
        <w:t>education</w:t>
      </w:r>
      <w:r>
        <w:rPr>
          <w:spacing w:val="-3"/>
        </w:rPr>
        <w:t xml:space="preserve"> </w:t>
      </w:r>
      <w:r>
        <w:t>and</w:t>
      </w:r>
      <w:r>
        <w:rPr>
          <w:spacing w:val="-2"/>
        </w:rPr>
        <w:t xml:space="preserve"> health.</w:t>
      </w:r>
    </w:p>
    <w:p w14:paraId="4B90B303" w14:textId="77777777" w:rsidR="00BC24A8" w:rsidRDefault="00000000">
      <w:pPr>
        <w:pStyle w:val="ListParagraph"/>
        <w:numPr>
          <w:ilvl w:val="0"/>
          <w:numId w:val="72"/>
        </w:numPr>
        <w:tabs>
          <w:tab w:val="left" w:pos="683"/>
        </w:tabs>
        <w:ind w:left="683" w:right="564"/>
        <w:jc w:val="left"/>
      </w:pPr>
      <w:r>
        <w:t>Empowered village and NTB Good &amp; Smart Governance: SKALA improves the data governance system from province to village.</w:t>
      </w:r>
    </w:p>
    <w:p w14:paraId="0930555B" w14:textId="77777777" w:rsidR="00BC24A8" w:rsidRDefault="00000000">
      <w:pPr>
        <w:pStyle w:val="ListParagraph"/>
        <w:numPr>
          <w:ilvl w:val="0"/>
          <w:numId w:val="72"/>
        </w:numPr>
        <w:tabs>
          <w:tab w:val="left" w:pos="684"/>
        </w:tabs>
        <w:ind w:right="566"/>
        <w:jc w:val="left"/>
      </w:pPr>
      <w:r>
        <w:t>Inclusive NTB: SKALA encourages the participation of vulnerable groups in policy, planning, and budgeting processes, especially for basic services.</w:t>
      </w:r>
    </w:p>
    <w:p w14:paraId="1E4740AE" w14:textId="77777777" w:rsidR="00BC24A8" w:rsidRDefault="00BC24A8">
      <w:pPr>
        <w:pStyle w:val="BodyText"/>
        <w:spacing w:before="240"/>
      </w:pPr>
    </w:p>
    <w:p w14:paraId="2E8904AA" w14:textId="77777777" w:rsidR="00BC24A8" w:rsidRDefault="00000000">
      <w:pPr>
        <w:ind w:left="144"/>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3"/>
        </w:rPr>
        <w:t xml:space="preserve"> </w:t>
      </w:r>
      <w:r>
        <w:rPr>
          <w:rFonts w:ascii="Calibri"/>
          <w:i/>
          <w:color w:val="272727"/>
        </w:rPr>
        <w:t>SKALA</w:t>
      </w:r>
      <w:r>
        <w:rPr>
          <w:rFonts w:ascii="Calibri"/>
          <w:i/>
          <w:color w:val="272727"/>
          <w:spacing w:val="-7"/>
        </w:rPr>
        <w:t xml:space="preserve"> </w:t>
      </w:r>
      <w:r>
        <w:rPr>
          <w:rFonts w:ascii="Calibri"/>
          <w:i/>
          <w:color w:val="272727"/>
        </w:rPr>
        <w:t>Program</w:t>
      </w:r>
      <w:r>
        <w:rPr>
          <w:rFonts w:ascii="Calibri"/>
          <w:i/>
          <w:color w:val="272727"/>
          <w:spacing w:val="-3"/>
        </w:rPr>
        <w:t xml:space="preserve"> </w:t>
      </w:r>
      <w:r>
        <w:rPr>
          <w:rFonts w:ascii="Calibri"/>
          <w:i/>
          <w:color w:val="272727"/>
        </w:rPr>
        <w:t>Priorities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Provinces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FY</w:t>
      </w:r>
      <w:r>
        <w:rPr>
          <w:rFonts w:ascii="Calibri"/>
          <w:i/>
          <w:color w:val="272727"/>
          <w:spacing w:val="-4"/>
        </w:rPr>
        <w:t xml:space="preserve"> </w:t>
      </w:r>
      <w:r>
        <w:rPr>
          <w:rFonts w:ascii="Calibri"/>
          <w:i/>
          <w:color w:val="272727"/>
          <w:spacing w:val="-2"/>
        </w:rPr>
        <w:t>2024/2025</w:t>
      </w:r>
    </w:p>
    <w:p w14:paraId="5984C31A" w14:textId="77777777" w:rsidR="00BC24A8" w:rsidRDefault="00000000">
      <w:pPr>
        <w:pStyle w:val="Heading5"/>
        <w:spacing w:before="22"/>
        <w:ind w:left="144"/>
      </w:pPr>
      <w:r>
        <w:t>SKALA</w:t>
      </w:r>
      <w:r>
        <w:rPr>
          <w:spacing w:val="-7"/>
        </w:rPr>
        <w:t xml:space="preserve"> </w:t>
      </w:r>
      <w:r>
        <w:t>program</w:t>
      </w:r>
      <w:r>
        <w:rPr>
          <w:spacing w:val="-8"/>
        </w:rPr>
        <w:t xml:space="preserve"> </w:t>
      </w:r>
      <w:r>
        <w:t>support</w:t>
      </w:r>
      <w:r>
        <w:rPr>
          <w:spacing w:val="-7"/>
        </w:rPr>
        <w:t xml:space="preserve"> </w:t>
      </w:r>
      <w:r>
        <w:rPr>
          <w:spacing w:val="-4"/>
        </w:rPr>
        <w:t>focus</w:t>
      </w:r>
    </w:p>
    <w:p w14:paraId="553D9203" w14:textId="77777777" w:rsidR="00BC24A8" w:rsidRDefault="00000000">
      <w:pPr>
        <w:pStyle w:val="BodyText"/>
        <w:spacing w:before="159" w:line="278" w:lineRule="auto"/>
        <w:ind w:left="144" w:right="562"/>
        <w:jc w:val="both"/>
      </w:pPr>
      <w:r>
        <w:t>SKALA supports the NTB provincial government in ensuring policies that are inclusive and oriented towards the fulfillment of basic services according to MSS. SKALA's strategic support focuses on four themes that are interrelated and aligned with regional priorities as listed below:</w:t>
      </w:r>
    </w:p>
    <w:p w14:paraId="36176790" w14:textId="77777777" w:rsidR="00BC24A8" w:rsidRDefault="00000000">
      <w:pPr>
        <w:pStyle w:val="ListParagraph"/>
        <w:numPr>
          <w:ilvl w:val="1"/>
          <w:numId w:val="72"/>
        </w:numPr>
        <w:tabs>
          <w:tab w:val="left" w:pos="863"/>
        </w:tabs>
        <w:spacing w:before="160"/>
        <w:ind w:right="563"/>
      </w:pPr>
      <w:r>
        <w:t>Strengthening Data and Analysis</w:t>
      </w:r>
      <w:r>
        <w:rPr>
          <w:spacing w:val="-1"/>
        </w:rPr>
        <w:t xml:space="preserve"> </w:t>
      </w:r>
      <w:r>
        <w:t>(D&amp;A):</w:t>
      </w:r>
      <w:r>
        <w:rPr>
          <w:spacing w:val="-2"/>
        </w:rPr>
        <w:t xml:space="preserve"> </w:t>
      </w:r>
      <w:r>
        <w:t>SKALA</w:t>
      </w:r>
      <w:r>
        <w:rPr>
          <w:spacing w:val="-2"/>
        </w:rPr>
        <w:t xml:space="preserve"> </w:t>
      </w:r>
      <w:r>
        <w:t>encourages the</w:t>
      </w:r>
      <w:r>
        <w:rPr>
          <w:spacing w:val="-1"/>
        </w:rPr>
        <w:t xml:space="preserve"> </w:t>
      </w:r>
      <w:r>
        <w:t>strengthening</w:t>
      </w:r>
      <w:r>
        <w:rPr>
          <w:spacing w:val="-2"/>
        </w:rPr>
        <w:t xml:space="preserve"> </w:t>
      </w:r>
      <w:r>
        <w:t>of</w:t>
      </w:r>
      <w:r>
        <w:rPr>
          <w:spacing w:val="-3"/>
        </w:rPr>
        <w:t xml:space="preserve"> </w:t>
      </w:r>
      <w:r>
        <w:t>NTB One Data policies</w:t>
      </w:r>
      <w:r>
        <w:rPr>
          <w:spacing w:val="-3"/>
        </w:rPr>
        <w:t xml:space="preserve"> </w:t>
      </w:r>
      <w:r>
        <w:t>and</w:t>
      </w:r>
      <w:r>
        <w:rPr>
          <w:spacing w:val="-4"/>
        </w:rPr>
        <w:t xml:space="preserve"> </w:t>
      </w:r>
      <w:r>
        <w:t>institutions</w:t>
      </w:r>
      <w:r>
        <w:rPr>
          <w:spacing w:val="-6"/>
        </w:rPr>
        <w:t xml:space="preserve"> </w:t>
      </w:r>
      <w:r>
        <w:t>(action</w:t>
      </w:r>
      <w:r>
        <w:rPr>
          <w:spacing w:val="-4"/>
        </w:rPr>
        <w:t xml:space="preserve"> </w:t>
      </w:r>
      <w:r>
        <w:t>plans,</w:t>
      </w:r>
      <w:r>
        <w:rPr>
          <w:spacing w:val="-3"/>
        </w:rPr>
        <w:t xml:space="preserve"> </w:t>
      </w:r>
      <w:r>
        <w:t>data</w:t>
      </w:r>
      <w:r>
        <w:rPr>
          <w:spacing w:val="-5"/>
        </w:rPr>
        <w:t xml:space="preserve"> </w:t>
      </w:r>
      <w:r>
        <w:t>lists,</w:t>
      </w:r>
      <w:r>
        <w:rPr>
          <w:spacing w:val="-5"/>
        </w:rPr>
        <w:t xml:space="preserve"> </w:t>
      </w:r>
      <w:r>
        <w:t>forum),</w:t>
      </w:r>
      <w:r>
        <w:rPr>
          <w:spacing w:val="-3"/>
        </w:rPr>
        <w:t xml:space="preserve"> </w:t>
      </w:r>
      <w:r>
        <w:t>the</w:t>
      </w:r>
      <w:r>
        <w:rPr>
          <w:spacing w:val="-5"/>
        </w:rPr>
        <w:t xml:space="preserve"> </w:t>
      </w:r>
      <w:r>
        <w:t>use</w:t>
      </w:r>
      <w:r>
        <w:rPr>
          <w:spacing w:val="-3"/>
        </w:rPr>
        <w:t xml:space="preserve"> </w:t>
      </w:r>
      <w:r>
        <w:t>of</w:t>
      </w:r>
      <w:r>
        <w:rPr>
          <w:spacing w:val="-3"/>
        </w:rPr>
        <w:t xml:space="preserve"> </w:t>
      </w:r>
      <w:r>
        <w:t>the</w:t>
      </w:r>
      <w:r>
        <w:rPr>
          <w:spacing w:val="-3"/>
        </w:rPr>
        <w:t xml:space="preserve"> </w:t>
      </w:r>
      <w:r>
        <w:t>One</w:t>
      </w:r>
      <w:r>
        <w:rPr>
          <w:spacing w:val="-3"/>
        </w:rPr>
        <w:t xml:space="preserve"> </w:t>
      </w:r>
      <w:r>
        <w:t>Data</w:t>
      </w:r>
      <w:r>
        <w:rPr>
          <w:spacing w:val="-5"/>
        </w:rPr>
        <w:t xml:space="preserve"> </w:t>
      </w:r>
      <w:r>
        <w:t>portal</w:t>
      </w:r>
      <w:r>
        <w:rPr>
          <w:spacing w:val="-5"/>
        </w:rPr>
        <w:t xml:space="preserve"> </w:t>
      </w:r>
      <w:r>
        <w:t>and</w:t>
      </w:r>
      <w:r>
        <w:rPr>
          <w:spacing w:val="-4"/>
        </w:rPr>
        <w:t xml:space="preserve"> </w:t>
      </w:r>
      <w:r>
        <w:t>the use</w:t>
      </w:r>
      <w:r>
        <w:rPr>
          <w:spacing w:val="-13"/>
        </w:rPr>
        <w:t xml:space="preserve"> </w:t>
      </w:r>
      <w:r>
        <w:t>of</w:t>
      </w:r>
      <w:r>
        <w:rPr>
          <w:spacing w:val="-12"/>
        </w:rPr>
        <w:t xml:space="preserve"> </w:t>
      </w:r>
      <w:r>
        <w:t>Social</w:t>
      </w:r>
      <w:r>
        <w:rPr>
          <w:spacing w:val="-13"/>
        </w:rPr>
        <w:t xml:space="preserve"> </w:t>
      </w:r>
      <w:r>
        <w:t>and</w:t>
      </w:r>
      <w:r>
        <w:rPr>
          <w:spacing w:val="-12"/>
        </w:rPr>
        <w:t xml:space="preserve"> </w:t>
      </w:r>
      <w:r>
        <w:t>Economic</w:t>
      </w:r>
      <w:r>
        <w:rPr>
          <w:spacing w:val="-13"/>
        </w:rPr>
        <w:t xml:space="preserve"> </w:t>
      </w:r>
      <w:r>
        <w:t>Registration</w:t>
      </w:r>
      <w:r>
        <w:rPr>
          <w:spacing w:val="-12"/>
        </w:rPr>
        <w:t xml:space="preserve"> </w:t>
      </w:r>
      <w:r>
        <w:t>(</w:t>
      </w:r>
      <w:r>
        <w:rPr>
          <w:i/>
        </w:rPr>
        <w:t>REGSOSEK</w:t>
      </w:r>
      <w:r>
        <w:t>)</w:t>
      </w:r>
      <w:r>
        <w:rPr>
          <w:spacing w:val="-13"/>
        </w:rPr>
        <w:t xml:space="preserve"> </w:t>
      </w:r>
      <w:r>
        <w:t>data</w:t>
      </w:r>
      <w:r>
        <w:rPr>
          <w:spacing w:val="-12"/>
        </w:rPr>
        <w:t xml:space="preserve"> </w:t>
      </w:r>
      <w:r>
        <w:t>and</w:t>
      </w:r>
      <w:r>
        <w:rPr>
          <w:spacing w:val="-12"/>
        </w:rPr>
        <w:t xml:space="preserve"> </w:t>
      </w:r>
      <w:r>
        <w:t>sectoral</w:t>
      </w:r>
      <w:r>
        <w:rPr>
          <w:spacing w:val="-13"/>
        </w:rPr>
        <w:t xml:space="preserve"> </w:t>
      </w:r>
      <w:r>
        <w:t>data.</w:t>
      </w:r>
      <w:r>
        <w:rPr>
          <w:spacing w:val="-12"/>
        </w:rPr>
        <w:t xml:space="preserve"> </w:t>
      </w:r>
      <w:r>
        <w:t>SKALA</w:t>
      </w:r>
      <w:r>
        <w:rPr>
          <w:spacing w:val="-13"/>
        </w:rPr>
        <w:t xml:space="preserve"> </w:t>
      </w:r>
      <w:r>
        <w:t>also</w:t>
      </w:r>
      <w:r>
        <w:rPr>
          <w:spacing w:val="-12"/>
        </w:rPr>
        <w:t xml:space="preserve"> </w:t>
      </w:r>
      <w:r>
        <w:t>supports the development of village information systems in Dompu District.</w:t>
      </w:r>
    </w:p>
    <w:p w14:paraId="3AECDD6C" w14:textId="77777777" w:rsidR="00BC24A8" w:rsidRDefault="00000000">
      <w:pPr>
        <w:pStyle w:val="ListParagraph"/>
        <w:numPr>
          <w:ilvl w:val="1"/>
          <w:numId w:val="72"/>
        </w:numPr>
        <w:tabs>
          <w:tab w:val="left" w:pos="863"/>
        </w:tabs>
        <w:ind w:right="562"/>
      </w:pPr>
      <w:r>
        <w:t>Strengthening</w:t>
      </w:r>
      <w:r>
        <w:rPr>
          <w:spacing w:val="-13"/>
        </w:rPr>
        <w:t xml:space="preserve"> </w:t>
      </w:r>
      <w:r>
        <w:t>Public</w:t>
      </w:r>
      <w:r>
        <w:rPr>
          <w:spacing w:val="-12"/>
        </w:rPr>
        <w:t xml:space="preserve"> </w:t>
      </w:r>
      <w:r>
        <w:t>Financial</w:t>
      </w:r>
      <w:r>
        <w:rPr>
          <w:spacing w:val="-13"/>
        </w:rPr>
        <w:t xml:space="preserve"> </w:t>
      </w:r>
      <w:r>
        <w:t>Management</w:t>
      </w:r>
      <w:r>
        <w:rPr>
          <w:spacing w:val="-12"/>
        </w:rPr>
        <w:t xml:space="preserve"> </w:t>
      </w:r>
      <w:r>
        <w:t>(PFM):</w:t>
      </w:r>
      <w:r>
        <w:rPr>
          <w:spacing w:val="-13"/>
        </w:rPr>
        <w:t xml:space="preserve"> </w:t>
      </w:r>
      <w:r>
        <w:t>SKALA</w:t>
      </w:r>
      <w:r>
        <w:rPr>
          <w:spacing w:val="-12"/>
        </w:rPr>
        <w:t xml:space="preserve"> </w:t>
      </w:r>
      <w:r>
        <w:t>supports</w:t>
      </w:r>
      <w:r>
        <w:rPr>
          <w:spacing w:val="-13"/>
        </w:rPr>
        <w:t xml:space="preserve"> </w:t>
      </w:r>
      <w:r>
        <w:t>the</w:t>
      </w:r>
      <w:r>
        <w:rPr>
          <w:spacing w:val="-12"/>
        </w:rPr>
        <w:t xml:space="preserve"> </w:t>
      </w:r>
      <w:r>
        <w:t>development</w:t>
      </w:r>
      <w:r>
        <w:rPr>
          <w:spacing w:val="-12"/>
        </w:rPr>
        <w:t xml:space="preserve"> </w:t>
      </w:r>
      <w:r>
        <w:t>of</w:t>
      </w:r>
      <w:r>
        <w:rPr>
          <w:spacing w:val="-13"/>
        </w:rPr>
        <w:t xml:space="preserve"> </w:t>
      </w:r>
      <w:r>
        <w:t>various derivative policies related to Regional Taxes and Levies (</w:t>
      </w:r>
      <w:r>
        <w:rPr>
          <w:i/>
        </w:rPr>
        <w:t>Pajak dan Retribusi Daerah</w:t>
      </w:r>
      <w:r>
        <w:t>, PDRD), strengthens synergy between provincial and district/city governments regarding tax revenue sharing (</w:t>
      </w:r>
      <w:r>
        <w:rPr>
          <w:i/>
        </w:rPr>
        <w:t>Opsen</w:t>
      </w:r>
      <w:r>
        <w:t>), and promotes inclusive policies, such as vehicle tax exemptions for persons with disabilities.</w:t>
      </w:r>
    </w:p>
    <w:p w14:paraId="2BF75778" w14:textId="77777777" w:rsidR="00BC24A8" w:rsidRDefault="00000000">
      <w:pPr>
        <w:pStyle w:val="ListParagraph"/>
        <w:numPr>
          <w:ilvl w:val="1"/>
          <w:numId w:val="72"/>
        </w:numPr>
        <w:tabs>
          <w:tab w:val="left" w:pos="861"/>
          <w:tab w:val="left" w:pos="863"/>
        </w:tabs>
        <w:ind w:right="562" w:hanging="361"/>
      </w:pPr>
      <w:r>
        <w:t>Strengthening the Minimum Service Standards (MSS) Governance: SKALA supports the enhancement of governance in implementing</w:t>
      </w:r>
      <w:r>
        <w:rPr>
          <w:spacing w:val="-1"/>
        </w:rPr>
        <w:t xml:space="preserve"> </w:t>
      </w:r>
      <w:r>
        <w:t>MSS through capacity building, improvement of data quality, development of monitoring and evaluation tools, and advocacy for the inclusion of MSS data in the list of regional priority data.</w:t>
      </w:r>
    </w:p>
    <w:p w14:paraId="4AE36B43" w14:textId="77777777" w:rsidR="00BC24A8" w:rsidRDefault="00000000">
      <w:pPr>
        <w:pStyle w:val="ListParagraph"/>
        <w:numPr>
          <w:ilvl w:val="1"/>
          <w:numId w:val="72"/>
        </w:numPr>
        <w:tabs>
          <w:tab w:val="left" w:pos="863"/>
        </w:tabs>
        <w:ind w:right="563"/>
      </w:pPr>
      <w:r>
        <w:t>Mainstreaming Gender, Disability, and Social Inclusion (GEDSI): SKALA supports capacity building of Civil Society Networks (</w:t>
      </w:r>
      <w:r>
        <w:rPr>
          <w:i/>
        </w:rPr>
        <w:t xml:space="preserve">Jaringan Masyarakat Sipil, </w:t>
      </w:r>
      <w:r>
        <w:t>JMS) to be able to advocate and participate in various government policy processes. SKALA also facilitates collaboration between the government and civil society in the Thematic Development Planning Forum (</w:t>
      </w:r>
      <w:r>
        <w:rPr>
          <w:i/>
        </w:rPr>
        <w:t>Musyawarah Perencanaan Pembangunan, Musrenbang</w:t>
      </w:r>
      <w:r>
        <w:t>) to accommodate the needs of vulnerable groups in planning.</w:t>
      </w:r>
    </w:p>
    <w:p w14:paraId="1196CCEC" w14:textId="77777777" w:rsidR="00BC24A8" w:rsidRDefault="00000000">
      <w:pPr>
        <w:pStyle w:val="ListParagraph"/>
        <w:numPr>
          <w:ilvl w:val="1"/>
          <w:numId w:val="72"/>
        </w:numPr>
        <w:tabs>
          <w:tab w:val="left" w:pos="861"/>
          <w:tab w:val="left" w:pos="863"/>
        </w:tabs>
        <w:ind w:right="561" w:hanging="361"/>
      </w:pPr>
      <w:r>
        <w:t>Implementation of Program Monitoring, Evaluation, and Documentation: SKALA conducts routine monitoring, as well as periodic evaluation and lessons learned to maintain program accountability. This activity includes the collection of primary and secondary data, both quantitative and qualitative data. This semester, SKALA conducted interviews and FGDs with provincial</w:t>
      </w:r>
      <w:r>
        <w:rPr>
          <w:spacing w:val="-3"/>
        </w:rPr>
        <w:t xml:space="preserve"> </w:t>
      </w:r>
      <w:r>
        <w:t>governments</w:t>
      </w:r>
      <w:r>
        <w:rPr>
          <w:spacing w:val="-2"/>
        </w:rPr>
        <w:t xml:space="preserve"> </w:t>
      </w:r>
      <w:r>
        <w:t>to</w:t>
      </w:r>
      <w:r>
        <w:rPr>
          <w:spacing w:val="-4"/>
        </w:rPr>
        <w:t xml:space="preserve"> </w:t>
      </w:r>
      <w:r>
        <w:t>dig</w:t>
      </w:r>
      <w:r>
        <w:rPr>
          <w:spacing w:val="-2"/>
        </w:rPr>
        <w:t xml:space="preserve"> </w:t>
      </w:r>
      <w:r>
        <w:t>up</w:t>
      </w:r>
      <w:r>
        <w:rPr>
          <w:spacing w:val="-4"/>
        </w:rPr>
        <w:t xml:space="preserve"> </w:t>
      </w:r>
      <w:r>
        <w:t>evidence</w:t>
      </w:r>
      <w:r>
        <w:rPr>
          <w:spacing w:val="-3"/>
        </w:rPr>
        <w:t xml:space="preserve"> </w:t>
      </w:r>
      <w:r>
        <w:t>on</w:t>
      </w:r>
      <w:r>
        <w:rPr>
          <w:spacing w:val="-2"/>
        </w:rPr>
        <w:t xml:space="preserve"> </w:t>
      </w:r>
      <w:r>
        <w:t>progress,</w:t>
      </w:r>
      <w:r>
        <w:rPr>
          <w:spacing w:val="-2"/>
        </w:rPr>
        <w:t xml:space="preserve"> </w:t>
      </w:r>
      <w:r>
        <w:t>achievements,</w:t>
      </w:r>
      <w:r>
        <w:rPr>
          <w:spacing w:val="-2"/>
        </w:rPr>
        <w:t xml:space="preserve"> </w:t>
      </w:r>
      <w:r>
        <w:t>contributions</w:t>
      </w:r>
      <w:r>
        <w:rPr>
          <w:spacing w:val="-2"/>
        </w:rPr>
        <w:t xml:space="preserve"> </w:t>
      </w:r>
      <w:r>
        <w:t>of</w:t>
      </w:r>
      <w:r>
        <w:rPr>
          <w:spacing w:val="-3"/>
        </w:rPr>
        <w:t xml:space="preserve"> </w:t>
      </w:r>
      <w:r>
        <w:t>SKALA, challenges,</w:t>
      </w:r>
      <w:r>
        <w:rPr>
          <w:spacing w:val="-13"/>
        </w:rPr>
        <w:t xml:space="preserve"> </w:t>
      </w:r>
      <w:r>
        <w:t>and</w:t>
      </w:r>
      <w:r>
        <w:rPr>
          <w:spacing w:val="-12"/>
        </w:rPr>
        <w:t xml:space="preserve"> </w:t>
      </w:r>
      <w:r>
        <w:t>lessons.</w:t>
      </w:r>
      <w:r>
        <w:rPr>
          <w:spacing w:val="-13"/>
        </w:rPr>
        <w:t xml:space="preserve"> </w:t>
      </w:r>
      <w:r>
        <w:t>The</w:t>
      </w:r>
      <w:r>
        <w:rPr>
          <w:spacing w:val="-12"/>
        </w:rPr>
        <w:t xml:space="preserve"> </w:t>
      </w:r>
      <w:r>
        <w:t>results</w:t>
      </w:r>
      <w:r>
        <w:rPr>
          <w:spacing w:val="-13"/>
        </w:rPr>
        <w:t xml:space="preserve"> </w:t>
      </w:r>
      <w:r>
        <w:t>have</w:t>
      </w:r>
      <w:r>
        <w:rPr>
          <w:spacing w:val="-12"/>
        </w:rPr>
        <w:t xml:space="preserve"> </w:t>
      </w:r>
      <w:r>
        <w:t>been</w:t>
      </w:r>
      <w:r>
        <w:rPr>
          <w:spacing w:val="-13"/>
        </w:rPr>
        <w:t xml:space="preserve"> </w:t>
      </w:r>
      <w:r>
        <w:t>submitted</w:t>
      </w:r>
      <w:r>
        <w:rPr>
          <w:spacing w:val="-12"/>
        </w:rPr>
        <w:t xml:space="preserve"> </w:t>
      </w:r>
      <w:r>
        <w:t>to</w:t>
      </w:r>
      <w:r>
        <w:rPr>
          <w:spacing w:val="-12"/>
        </w:rPr>
        <w:t xml:space="preserve"> </w:t>
      </w:r>
      <w:r>
        <w:t>the</w:t>
      </w:r>
      <w:r>
        <w:rPr>
          <w:spacing w:val="-13"/>
        </w:rPr>
        <w:t xml:space="preserve"> </w:t>
      </w:r>
      <w:r>
        <w:t>SKALA</w:t>
      </w:r>
      <w:r>
        <w:rPr>
          <w:spacing w:val="-12"/>
        </w:rPr>
        <w:t xml:space="preserve"> </w:t>
      </w:r>
      <w:r>
        <w:t>Programme</w:t>
      </w:r>
      <w:r>
        <w:rPr>
          <w:spacing w:val="-13"/>
        </w:rPr>
        <w:t xml:space="preserve"> </w:t>
      </w:r>
      <w:r>
        <w:t>Team,</w:t>
      </w:r>
      <w:r>
        <w:rPr>
          <w:spacing w:val="-12"/>
        </w:rPr>
        <w:t xml:space="preserve"> </w:t>
      </w:r>
      <w:r>
        <w:t>which is</w:t>
      </w:r>
      <w:r>
        <w:rPr>
          <w:spacing w:val="-13"/>
        </w:rPr>
        <w:t xml:space="preserve"> </w:t>
      </w:r>
      <w:r>
        <w:t>then</w:t>
      </w:r>
      <w:r>
        <w:rPr>
          <w:spacing w:val="-12"/>
        </w:rPr>
        <w:t xml:space="preserve"> </w:t>
      </w:r>
      <w:r>
        <w:t>used</w:t>
      </w:r>
      <w:r>
        <w:rPr>
          <w:spacing w:val="-13"/>
        </w:rPr>
        <w:t xml:space="preserve"> </w:t>
      </w:r>
      <w:r>
        <w:t>as</w:t>
      </w:r>
      <w:r>
        <w:rPr>
          <w:spacing w:val="-12"/>
        </w:rPr>
        <w:t xml:space="preserve"> </w:t>
      </w:r>
      <w:r>
        <w:t>an</w:t>
      </w:r>
      <w:r>
        <w:rPr>
          <w:spacing w:val="-10"/>
        </w:rPr>
        <w:t xml:space="preserve"> </w:t>
      </w:r>
      <w:r>
        <w:t>input</w:t>
      </w:r>
      <w:r>
        <w:rPr>
          <w:spacing w:val="-12"/>
        </w:rPr>
        <w:t xml:space="preserve"> </w:t>
      </w:r>
      <w:r>
        <w:t>in</w:t>
      </w:r>
      <w:r>
        <w:rPr>
          <w:spacing w:val="-11"/>
        </w:rPr>
        <w:t xml:space="preserve"> </w:t>
      </w:r>
      <w:r>
        <w:t>the</w:t>
      </w:r>
      <w:r>
        <w:rPr>
          <w:spacing w:val="-13"/>
        </w:rPr>
        <w:t xml:space="preserve"> </w:t>
      </w:r>
      <w:r>
        <w:t>planning</w:t>
      </w:r>
      <w:r>
        <w:rPr>
          <w:spacing w:val="-12"/>
        </w:rPr>
        <w:t xml:space="preserve"> </w:t>
      </w:r>
      <w:r>
        <w:t>of</w:t>
      </w:r>
      <w:r>
        <w:rPr>
          <w:spacing w:val="-13"/>
        </w:rPr>
        <w:t xml:space="preserve"> </w:t>
      </w:r>
      <w:r>
        <w:t>the</w:t>
      </w:r>
      <w:r>
        <w:rPr>
          <w:spacing w:val="-12"/>
        </w:rPr>
        <w:t xml:space="preserve"> </w:t>
      </w:r>
      <w:r>
        <w:t>2025/26</w:t>
      </w:r>
      <w:r>
        <w:rPr>
          <w:spacing w:val="-12"/>
        </w:rPr>
        <w:t xml:space="preserve"> </w:t>
      </w:r>
      <w:r>
        <w:t>annual</w:t>
      </w:r>
      <w:r>
        <w:rPr>
          <w:spacing w:val="-12"/>
        </w:rPr>
        <w:t xml:space="preserve"> </w:t>
      </w:r>
      <w:r>
        <w:t>work</w:t>
      </w:r>
      <w:r>
        <w:rPr>
          <w:spacing w:val="-13"/>
        </w:rPr>
        <w:t xml:space="preserve"> </w:t>
      </w:r>
      <w:r>
        <w:t>plan</w:t>
      </w:r>
      <w:r>
        <w:rPr>
          <w:spacing w:val="-12"/>
        </w:rPr>
        <w:t xml:space="preserve"> </w:t>
      </w:r>
      <w:r>
        <w:t>and</w:t>
      </w:r>
      <w:r>
        <w:rPr>
          <w:spacing w:val="-13"/>
        </w:rPr>
        <w:t xml:space="preserve"> </w:t>
      </w:r>
      <w:r>
        <w:t>reporting</w:t>
      </w:r>
      <w:r>
        <w:rPr>
          <w:spacing w:val="-12"/>
        </w:rPr>
        <w:t xml:space="preserve"> </w:t>
      </w:r>
      <w:r>
        <w:t>materials to the government and DFAT.</w:t>
      </w:r>
    </w:p>
    <w:p w14:paraId="61403C92" w14:textId="77777777" w:rsidR="00BC24A8" w:rsidRDefault="00000000">
      <w:pPr>
        <w:pStyle w:val="BodyText"/>
        <w:spacing w:before="213"/>
        <w:rPr>
          <w:sz w:val="20"/>
        </w:rPr>
      </w:pPr>
      <w:r>
        <w:rPr>
          <w:noProof/>
          <w:sz w:val="20"/>
        </w:rPr>
        <mc:AlternateContent>
          <mc:Choice Requires="wps">
            <w:drawing>
              <wp:anchor distT="0" distB="0" distL="0" distR="0" simplePos="0" relativeHeight="487619072" behindDoc="1" locked="0" layoutInCell="1" allowOverlap="1" wp14:anchorId="5D379E51" wp14:editId="125FE050">
                <wp:simplePos x="0" y="0"/>
                <wp:positionH relativeFrom="page">
                  <wp:posOffset>900683</wp:posOffset>
                </wp:positionH>
                <wp:positionV relativeFrom="paragraph">
                  <wp:posOffset>305775</wp:posOffset>
                </wp:positionV>
                <wp:extent cx="1828800" cy="9525"/>
                <wp:effectExtent l="0" t="0" r="0" b="0"/>
                <wp:wrapTopAndBottom/>
                <wp:docPr id="174" name="Graphic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566740" id="Graphic 174" o:spid="_x0000_s1026" alt="&quot;&quot;" style="position:absolute;margin-left:70.9pt;margin-top:24.1pt;width:2in;height:.75pt;z-index:-156974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" path="m1828800,l,,,9144r1828800,l1828800,xe" fillcolor="black" stroked="f">
                <v:path arrowok="t"/>
                <w10:wrap type="topAndBottom" anchorx="page"/>
              </v:shape>
            </w:pict>
          </mc:Fallback>
        </mc:AlternateContent>
      </w:r>
    </w:p>
    <w:p w14:paraId="786087C6" w14:textId="77777777" w:rsidR="00BC24A8" w:rsidRDefault="00BC24A8">
      <w:pPr>
        <w:pStyle w:val="BodyText"/>
        <w:spacing w:before="105"/>
        <w:rPr>
          <w:sz w:val="16"/>
        </w:rPr>
      </w:pPr>
    </w:p>
    <w:p w14:paraId="2A45B5DC" w14:textId="77777777" w:rsidR="00BC24A8" w:rsidRDefault="00000000">
      <w:pPr>
        <w:spacing w:before="1"/>
        <w:ind w:left="143" w:right="648"/>
        <w:rPr>
          <w:sz w:val="16"/>
        </w:rPr>
      </w:pPr>
      <w:bookmarkStart w:id="186" w:name="_bookmark125"/>
      <w:bookmarkEnd w:id="186"/>
      <w:r>
        <w:rPr>
          <w:color w:val="767070"/>
          <w:sz w:val="16"/>
          <w:vertAlign w:val="superscript"/>
        </w:rPr>
        <w:t>59</w:t>
      </w:r>
      <w:r>
        <w:rPr>
          <w:color w:val="767070"/>
          <w:spacing w:val="-4"/>
          <w:sz w:val="16"/>
        </w:rPr>
        <w:t xml:space="preserve"> </w:t>
      </w:r>
      <w:r>
        <w:rPr>
          <w:color w:val="767070"/>
          <w:sz w:val="16"/>
        </w:rPr>
        <w:t>Healthy</w:t>
      </w:r>
      <w:r>
        <w:rPr>
          <w:color w:val="767070"/>
          <w:spacing w:val="-5"/>
          <w:sz w:val="16"/>
        </w:rPr>
        <w:t xml:space="preserve"> </w:t>
      </w:r>
      <w:r>
        <w:rPr>
          <w:color w:val="767070"/>
          <w:sz w:val="16"/>
        </w:rPr>
        <w:t>and</w:t>
      </w:r>
      <w:r>
        <w:rPr>
          <w:color w:val="767070"/>
          <w:spacing w:val="-4"/>
          <w:sz w:val="16"/>
        </w:rPr>
        <w:t xml:space="preserve"> </w:t>
      </w:r>
      <w:r>
        <w:rPr>
          <w:color w:val="767070"/>
          <w:sz w:val="16"/>
        </w:rPr>
        <w:t>Smart</w:t>
      </w:r>
      <w:r>
        <w:rPr>
          <w:color w:val="767070"/>
          <w:spacing w:val="-4"/>
          <w:sz w:val="16"/>
        </w:rPr>
        <w:t xml:space="preserve"> </w:t>
      </w:r>
      <w:r>
        <w:rPr>
          <w:color w:val="767070"/>
          <w:sz w:val="16"/>
        </w:rPr>
        <w:t>NTB,</w:t>
      </w:r>
      <w:r>
        <w:rPr>
          <w:color w:val="767070"/>
          <w:spacing w:val="-5"/>
          <w:sz w:val="16"/>
        </w:rPr>
        <w:t xml:space="preserve"> </w:t>
      </w:r>
      <w:r>
        <w:rPr>
          <w:color w:val="767070"/>
          <w:sz w:val="16"/>
        </w:rPr>
        <w:t>Empowered</w:t>
      </w:r>
      <w:r>
        <w:rPr>
          <w:color w:val="767070"/>
          <w:spacing w:val="-6"/>
          <w:sz w:val="16"/>
        </w:rPr>
        <w:t xml:space="preserve"> </w:t>
      </w:r>
      <w:r>
        <w:rPr>
          <w:color w:val="767070"/>
          <w:sz w:val="16"/>
        </w:rPr>
        <w:t>Village,</w:t>
      </w:r>
      <w:r>
        <w:rPr>
          <w:color w:val="767070"/>
          <w:spacing w:val="-5"/>
          <w:sz w:val="16"/>
        </w:rPr>
        <w:t xml:space="preserve"> </w:t>
      </w:r>
      <w:r>
        <w:rPr>
          <w:color w:val="767070"/>
          <w:sz w:val="16"/>
        </w:rPr>
        <w:t>Inclusive</w:t>
      </w:r>
      <w:r>
        <w:rPr>
          <w:color w:val="767070"/>
          <w:spacing w:val="-4"/>
          <w:sz w:val="16"/>
        </w:rPr>
        <w:t xml:space="preserve"> </w:t>
      </w:r>
      <w:r>
        <w:rPr>
          <w:color w:val="767070"/>
          <w:sz w:val="16"/>
        </w:rPr>
        <w:t>NTB,</w:t>
      </w:r>
      <w:r>
        <w:rPr>
          <w:color w:val="767070"/>
          <w:spacing w:val="-5"/>
          <w:sz w:val="16"/>
        </w:rPr>
        <w:t xml:space="preserve"> </w:t>
      </w:r>
      <w:r>
        <w:rPr>
          <w:color w:val="767070"/>
          <w:sz w:val="16"/>
        </w:rPr>
        <w:t>NTB</w:t>
      </w:r>
      <w:r>
        <w:rPr>
          <w:color w:val="767070"/>
          <w:spacing w:val="-6"/>
          <w:sz w:val="16"/>
        </w:rPr>
        <w:t xml:space="preserve"> </w:t>
      </w:r>
      <w:r>
        <w:rPr>
          <w:color w:val="767070"/>
          <w:sz w:val="16"/>
        </w:rPr>
        <w:t>Argo</w:t>
      </w:r>
      <w:r>
        <w:rPr>
          <w:color w:val="767070"/>
          <w:spacing w:val="-6"/>
          <w:sz w:val="16"/>
        </w:rPr>
        <w:t xml:space="preserve"> </w:t>
      </w:r>
      <w:r>
        <w:rPr>
          <w:color w:val="767070"/>
          <w:sz w:val="16"/>
        </w:rPr>
        <w:t>Maritim,</w:t>
      </w:r>
      <w:r>
        <w:rPr>
          <w:color w:val="767070"/>
          <w:spacing w:val="-5"/>
          <w:sz w:val="16"/>
        </w:rPr>
        <w:t xml:space="preserve"> </w:t>
      </w:r>
      <w:r>
        <w:rPr>
          <w:color w:val="767070"/>
          <w:sz w:val="16"/>
        </w:rPr>
        <w:t>NTB</w:t>
      </w:r>
      <w:r>
        <w:rPr>
          <w:color w:val="767070"/>
          <w:spacing w:val="-4"/>
          <w:sz w:val="16"/>
        </w:rPr>
        <w:t xml:space="preserve"> </w:t>
      </w:r>
      <w:r>
        <w:rPr>
          <w:color w:val="767070"/>
          <w:sz w:val="16"/>
        </w:rPr>
        <w:t>Quality</w:t>
      </w:r>
      <w:r>
        <w:rPr>
          <w:color w:val="767070"/>
          <w:spacing w:val="-4"/>
          <w:sz w:val="16"/>
        </w:rPr>
        <w:t xml:space="preserve"> </w:t>
      </w:r>
      <w:r>
        <w:rPr>
          <w:color w:val="767070"/>
          <w:sz w:val="16"/>
        </w:rPr>
        <w:t>Tourism,</w:t>
      </w:r>
      <w:r>
        <w:rPr>
          <w:color w:val="767070"/>
          <w:spacing w:val="-5"/>
          <w:sz w:val="16"/>
        </w:rPr>
        <w:t xml:space="preserve"> </w:t>
      </w:r>
      <w:r>
        <w:rPr>
          <w:color w:val="767070"/>
          <w:sz w:val="16"/>
        </w:rPr>
        <w:t>E-Mania</w:t>
      </w:r>
      <w:r>
        <w:rPr>
          <w:color w:val="767070"/>
          <w:spacing w:val="-4"/>
          <w:sz w:val="16"/>
        </w:rPr>
        <w:t xml:space="preserve"> </w:t>
      </w:r>
      <w:r>
        <w:rPr>
          <w:color w:val="767070"/>
          <w:sz w:val="16"/>
        </w:rPr>
        <w:t>(Global</w:t>
      </w:r>
      <w:r>
        <w:rPr>
          <w:color w:val="767070"/>
          <w:spacing w:val="-6"/>
          <w:sz w:val="16"/>
        </w:rPr>
        <w:t xml:space="preserve"> </w:t>
      </w:r>
      <w:r>
        <w:rPr>
          <w:color w:val="767070"/>
          <w:sz w:val="16"/>
        </w:rPr>
        <w:t>Creative</w:t>
      </w:r>
      <w:r>
        <w:rPr>
          <w:color w:val="767070"/>
          <w:spacing w:val="-4"/>
          <w:sz w:val="16"/>
        </w:rPr>
        <w:t xml:space="preserve"> </w:t>
      </w:r>
      <w:r>
        <w:rPr>
          <w:color w:val="767070"/>
          <w:sz w:val="16"/>
        </w:rPr>
        <w:t>Economy),</w:t>
      </w:r>
      <w:r>
        <w:rPr>
          <w:color w:val="767070"/>
          <w:spacing w:val="40"/>
          <w:sz w:val="16"/>
        </w:rPr>
        <w:t xml:space="preserve"> </w:t>
      </w:r>
      <w:r>
        <w:rPr>
          <w:color w:val="767070"/>
          <w:sz w:val="16"/>
        </w:rPr>
        <w:t>NTB Skilled and Agile, Sustainable Natural NTB, NTB Good &amp; Smart Governance, NTB Connected</w:t>
      </w:r>
    </w:p>
    <w:p w14:paraId="4F5E875F" w14:textId="77777777" w:rsidR="00BC24A8" w:rsidRDefault="00BC24A8">
      <w:pPr>
        <w:rPr>
          <w:sz w:val="16"/>
        </w:rPr>
        <w:sectPr w:rsidR="00BC24A8">
          <w:pgSz w:w="11910" w:h="16840"/>
          <w:pgMar w:top="1360" w:right="850" w:bottom="1100" w:left="1275" w:header="0" w:footer="907" w:gutter="0"/>
          <w:cols w:space="720"/>
        </w:sectPr>
      </w:pPr>
    </w:p>
    <w:p w14:paraId="787C282B" w14:textId="77777777" w:rsidR="00BC24A8" w:rsidRDefault="00000000">
      <w:pPr>
        <w:spacing w:before="39"/>
        <w:ind w:left="143"/>
        <w:rPr>
          <w:i/>
        </w:rPr>
      </w:pPr>
      <w:bookmarkStart w:id="187" w:name="Program_Implementation_Progress/Outcomes"/>
      <w:bookmarkEnd w:id="187"/>
      <w:r>
        <w:rPr>
          <w:i/>
          <w:color w:val="1F3762"/>
        </w:rPr>
        <w:lastRenderedPageBreak/>
        <w:t>Program</w:t>
      </w:r>
      <w:r>
        <w:rPr>
          <w:i/>
          <w:color w:val="1F3762"/>
          <w:spacing w:val="-11"/>
        </w:rPr>
        <w:t xml:space="preserve"> </w:t>
      </w:r>
      <w:r>
        <w:rPr>
          <w:i/>
          <w:color w:val="1F3762"/>
        </w:rPr>
        <w:t>Implementation</w:t>
      </w:r>
      <w:r>
        <w:rPr>
          <w:i/>
          <w:color w:val="1F3762"/>
          <w:spacing w:val="-12"/>
        </w:rPr>
        <w:t xml:space="preserve"> </w:t>
      </w:r>
      <w:r>
        <w:rPr>
          <w:i/>
          <w:color w:val="1F3762"/>
        </w:rPr>
        <w:t>Progress/Outcomes</w:t>
      </w:r>
      <w:r>
        <w:rPr>
          <w:i/>
          <w:color w:val="1F3762"/>
          <w:spacing w:val="-11"/>
        </w:rPr>
        <w:t xml:space="preserve"> </w:t>
      </w:r>
      <w:r>
        <w:rPr>
          <w:i/>
          <w:color w:val="1F3762"/>
        </w:rPr>
        <w:t>and</w:t>
      </w:r>
      <w:r>
        <w:rPr>
          <w:i/>
          <w:color w:val="1F3762"/>
          <w:spacing w:val="-11"/>
        </w:rPr>
        <w:t xml:space="preserve"> </w:t>
      </w:r>
      <w:r>
        <w:rPr>
          <w:i/>
          <w:color w:val="1F3762"/>
        </w:rPr>
        <w:t>Lessons</w:t>
      </w:r>
      <w:r>
        <w:rPr>
          <w:i/>
          <w:color w:val="1F3762"/>
          <w:spacing w:val="-12"/>
        </w:rPr>
        <w:t xml:space="preserve"> </w:t>
      </w:r>
      <w:r>
        <w:rPr>
          <w:i/>
          <w:color w:val="1F3762"/>
          <w:spacing w:val="-2"/>
        </w:rPr>
        <w:t>Learned</w:t>
      </w:r>
    </w:p>
    <w:p w14:paraId="4E1DDF99" w14:textId="77777777" w:rsidR="00BC24A8" w:rsidRDefault="00000000">
      <w:pPr>
        <w:pStyle w:val="BodyText"/>
        <w:spacing w:before="41"/>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4"/>
        </w:rPr>
        <w:t xml:space="preserve"> </w:t>
      </w:r>
      <w:r>
        <w:rPr>
          <w:rFonts w:ascii="Calibri"/>
          <w:color w:val="272727"/>
        </w:rPr>
        <w:t>at</w:t>
      </w:r>
      <w:r>
        <w:rPr>
          <w:rFonts w:ascii="Calibri"/>
          <w:color w:val="272727"/>
          <w:spacing w:val="-5"/>
        </w:rPr>
        <w:t xml:space="preserve"> </w:t>
      </w:r>
      <w:r>
        <w:rPr>
          <w:rFonts w:ascii="Calibri"/>
          <w:color w:val="272727"/>
        </w:rPr>
        <w:t>the</w:t>
      </w:r>
      <w:r>
        <w:rPr>
          <w:rFonts w:ascii="Calibri"/>
          <w:color w:val="272727"/>
          <w:spacing w:val="-3"/>
        </w:rPr>
        <w:t xml:space="preserve"> </w:t>
      </w:r>
      <w:r>
        <w:rPr>
          <w:rFonts w:ascii="Calibri"/>
          <w:color w:val="272727"/>
        </w:rPr>
        <w:t>input</w:t>
      </w:r>
      <w:r>
        <w:rPr>
          <w:rFonts w:ascii="Calibri"/>
          <w:color w:val="272727"/>
          <w:spacing w:val="-2"/>
        </w:rPr>
        <w:t xml:space="preserve"> </w:t>
      </w:r>
      <w:r>
        <w:rPr>
          <w:rFonts w:ascii="Calibri"/>
          <w:color w:val="272727"/>
          <w:spacing w:val="-4"/>
        </w:rPr>
        <w:t>level</w:t>
      </w:r>
    </w:p>
    <w:p w14:paraId="6B17D2A9" w14:textId="77777777" w:rsidR="00BC24A8" w:rsidRDefault="00BC24A8">
      <w:pPr>
        <w:pStyle w:val="BodyText"/>
        <w:spacing w:before="22"/>
        <w:rPr>
          <w:rFonts w:ascii="Calibri"/>
        </w:rPr>
      </w:pPr>
    </w:p>
    <w:p w14:paraId="0BF994AF" w14:textId="77777777" w:rsidR="00BC24A8" w:rsidRDefault="00000000">
      <w:pPr>
        <w:pStyle w:val="Heading5"/>
      </w:pPr>
      <w:bookmarkStart w:id="188" w:name="_bookmark126"/>
      <w:bookmarkEnd w:id="188"/>
      <w:r>
        <w:rPr>
          <w:color w:val="767070"/>
        </w:rPr>
        <w:t>Table</w:t>
      </w:r>
      <w:r>
        <w:rPr>
          <w:color w:val="767070"/>
          <w:spacing w:val="-10"/>
        </w:rPr>
        <w:t xml:space="preserve"> </w:t>
      </w:r>
      <w:r>
        <w:rPr>
          <w:color w:val="767070"/>
        </w:rPr>
        <w:t>16:</w:t>
      </w:r>
      <w:r>
        <w:rPr>
          <w:color w:val="767070"/>
          <w:spacing w:val="-9"/>
        </w:rPr>
        <w:t xml:space="preserve"> </w:t>
      </w:r>
      <w:r>
        <w:rPr>
          <w:color w:val="767070"/>
        </w:rPr>
        <w:t>Table</w:t>
      </w:r>
      <w:r>
        <w:rPr>
          <w:color w:val="767070"/>
          <w:spacing w:val="-9"/>
        </w:rPr>
        <w:t xml:space="preserve"> </w:t>
      </w:r>
      <w:r>
        <w:rPr>
          <w:color w:val="767070"/>
        </w:rPr>
        <w:t>of</w:t>
      </w:r>
      <w:r>
        <w:rPr>
          <w:color w:val="767070"/>
          <w:spacing w:val="-9"/>
        </w:rPr>
        <w:t xml:space="preserve"> </w:t>
      </w:r>
      <w:r>
        <w:rPr>
          <w:color w:val="767070"/>
        </w:rPr>
        <w:t>number</w:t>
      </w:r>
      <w:r>
        <w:rPr>
          <w:color w:val="767070"/>
          <w:spacing w:val="-10"/>
        </w:rPr>
        <w:t xml:space="preserve"> </w:t>
      </w:r>
      <w:r>
        <w:rPr>
          <w:color w:val="767070"/>
        </w:rPr>
        <w:t>of</w:t>
      </w:r>
      <w:r>
        <w:rPr>
          <w:color w:val="767070"/>
          <w:spacing w:val="-8"/>
        </w:rPr>
        <w:t xml:space="preserve"> </w:t>
      </w:r>
      <w:r>
        <w:rPr>
          <w:color w:val="767070"/>
        </w:rPr>
        <w:t>program</w:t>
      </w:r>
      <w:r>
        <w:rPr>
          <w:color w:val="767070"/>
          <w:spacing w:val="-10"/>
        </w:rPr>
        <w:t xml:space="preserve"> </w:t>
      </w:r>
      <w:r>
        <w:rPr>
          <w:color w:val="767070"/>
        </w:rPr>
        <w:t>inputs</w:t>
      </w:r>
      <w:r>
        <w:rPr>
          <w:color w:val="767070"/>
          <w:spacing w:val="-10"/>
        </w:rPr>
        <w:t xml:space="preserve"> </w:t>
      </w:r>
      <w:r>
        <w:rPr>
          <w:color w:val="767070"/>
        </w:rPr>
        <w:t>(January-June</w:t>
      </w:r>
      <w:r>
        <w:rPr>
          <w:color w:val="767070"/>
          <w:spacing w:val="-9"/>
        </w:rPr>
        <w:t xml:space="preserve"> </w:t>
      </w:r>
      <w:r>
        <w:rPr>
          <w:color w:val="767070"/>
          <w:spacing w:val="-4"/>
        </w:rPr>
        <w:t>2025</w:t>
      </w:r>
    </w:p>
    <w:p w14:paraId="00C9B7A6" w14:textId="77777777" w:rsidR="00BC24A8" w:rsidRDefault="00BC24A8">
      <w:pPr>
        <w:pStyle w:val="BodyText"/>
        <w:spacing w:before="7"/>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1891"/>
        <w:gridCol w:w="1709"/>
        <w:gridCol w:w="2071"/>
        <w:gridCol w:w="2969"/>
      </w:tblGrid>
      <w:tr w:rsidR="00BC24A8" w14:paraId="252CB314" w14:textId="77777777">
        <w:trPr>
          <w:trHeight w:val="376"/>
        </w:trPr>
        <w:tc>
          <w:tcPr>
            <w:tcW w:w="1891" w:type="dxa"/>
            <w:shd w:val="clear" w:color="auto" w:fill="17365A"/>
          </w:tcPr>
          <w:p w14:paraId="55970603" w14:textId="77777777" w:rsidR="00BC24A8" w:rsidRDefault="00000000">
            <w:pPr>
              <w:pStyle w:val="TableParagraph"/>
              <w:spacing w:before="56"/>
              <w:ind w:left="513"/>
              <w:rPr>
                <w:rFonts w:ascii="Calibri"/>
                <w:b/>
                <w:sz w:val="20"/>
              </w:rPr>
            </w:pPr>
            <w:r>
              <w:rPr>
                <w:rFonts w:ascii="Calibri"/>
                <w:b/>
                <w:color w:val="FFFFFF"/>
                <w:sz w:val="20"/>
              </w:rPr>
              <w:t>Input</w:t>
            </w:r>
            <w:r>
              <w:rPr>
                <w:rFonts w:ascii="Calibri"/>
                <w:b/>
                <w:color w:val="FFFFFF"/>
                <w:spacing w:val="-3"/>
                <w:sz w:val="20"/>
              </w:rPr>
              <w:t xml:space="preserve"> </w:t>
            </w:r>
            <w:r>
              <w:rPr>
                <w:rFonts w:ascii="Calibri"/>
                <w:b/>
                <w:color w:val="FFFFFF"/>
                <w:spacing w:val="-4"/>
                <w:sz w:val="20"/>
              </w:rPr>
              <w:t>type</w:t>
            </w:r>
          </w:p>
        </w:tc>
        <w:tc>
          <w:tcPr>
            <w:tcW w:w="1709" w:type="dxa"/>
            <w:shd w:val="clear" w:color="auto" w:fill="17365A"/>
          </w:tcPr>
          <w:p w14:paraId="1DCE8F76" w14:textId="77777777" w:rsidR="00BC24A8" w:rsidRDefault="00000000">
            <w:pPr>
              <w:pStyle w:val="TableParagraph"/>
              <w:spacing w:before="56"/>
              <w:ind w:left="120"/>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2"/>
                <w:sz w:val="20"/>
              </w:rPr>
              <w:t>inputs</w:t>
            </w:r>
          </w:p>
        </w:tc>
        <w:tc>
          <w:tcPr>
            <w:tcW w:w="2071" w:type="dxa"/>
            <w:shd w:val="clear" w:color="auto" w:fill="17365A"/>
          </w:tcPr>
          <w:p w14:paraId="1862762A" w14:textId="77777777" w:rsidR="00BC24A8" w:rsidRDefault="00000000">
            <w:pPr>
              <w:pStyle w:val="TableParagraph"/>
              <w:spacing w:before="56"/>
              <w:ind w:left="276"/>
              <w:rPr>
                <w:rFonts w:ascii="Calibri"/>
                <w:b/>
                <w:sz w:val="20"/>
              </w:rPr>
            </w:pPr>
            <w:r>
              <w:rPr>
                <w:rFonts w:ascii="Calibri"/>
                <w:b/>
                <w:color w:val="FFFFFF"/>
                <w:sz w:val="20"/>
              </w:rPr>
              <w:t>Budget</w:t>
            </w:r>
            <w:r>
              <w:rPr>
                <w:rFonts w:ascii="Calibri"/>
                <w:b/>
                <w:color w:val="FFFFFF"/>
                <w:spacing w:val="-4"/>
                <w:sz w:val="20"/>
              </w:rPr>
              <w:t xml:space="preserve"> </w:t>
            </w:r>
            <w:r>
              <w:rPr>
                <w:rFonts w:ascii="Calibri"/>
                <w:b/>
                <w:color w:val="FFFFFF"/>
                <w:spacing w:val="-2"/>
                <w:sz w:val="20"/>
              </w:rPr>
              <w:t>realisation</w:t>
            </w:r>
          </w:p>
        </w:tc>
        <w:tc>
          <w:tcPr>
            <w:tcW w:w="2969" w:type="dxa"/>
            <w:shd w:val="clear" w:color="auto" w:fill="17365A"/>
          </w:tcPr>
          <w:p w14:paraId="145BEA00" w14:textId="77777777" w:rsidR="00BC24A8" w:rsidRDefault="00000000">
            <w:pPr>
              <w:pStyle w:val="TableParagraph"/>
              <w:spacing w:before="56"/>
              <w:ind w:left="136"/>
              <w:rPr>
                <w:rFonts w:ascii="Calibri"/>
                <w:b/>
                <w:sz w:val="20"/>
              </w:rPr>
            </w:pPr>
            <w:r>
              <w:rPr>
                <w:rFonts w:ascii="Calibri"/>
                <w:b/>
                <w:color w:val="FFFFFF"/>
                <w:sz w:val="20"/>
              </w:rPr>
              <w:t>Number</w:t>
            </w:r>
            <w:r>
              <w:rPr>
                <w:rFonts w:ascii="Calibri"/>
                <w:b/>
                <w:color w:val="FFFFFF"/>
                <w:spacing w:val="-6"/>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participants</w:t>
            </w:r>
            <w:r>
              <w:rPr>
                <w:rFonts w:ascii="Calibri"/>
                <w:b/>
                <w:color w:val="FFFFFF"/>
                <w:spacing w:val="-5"/>
                <w:sz w:val="20"/>
              </w:rPr>
              <w:t xml:space="preserve"> </w:t>
            </w:r>
            <w:r>
              <w:rPr>
                <w:rFonts w:ascii="Calibri"/>
                <w:b/>
                <w:color w:val="FFFFFF"/>
                <w:spacing w:val="-2"/>
                <w:sz w:val="20"/>
              </w:rPr>
              <w:t>involved</w:t>
            </w:r>
          </w:p>
        </w:tc>
      </w:tr>
    </w:tbl>
    <w:p w14:paraId="3EDEDF22" w14:textId="77777777" w:rsidR="00BC24A8" w:rsidRDefault="00BC24A8">
      <w:pPr>
        <w:pStyle w:val="BodyText"/>
        <w:spacing w:before="2"/>
        <w:rPr>
          <w:rFonts w:ascii="Calibri"/>
          <w:b/>
          <w:sz w:val="11"/>
        </w:rPr>
      </w:pPr>
    </w:p>
    <w:tbl>
      <w:tblPr>
        <w:tblW w:w="0" w:type="auto"/>
        <w:tblInd w:w="150" w:type="dxa"/>
        <w:tblLayout w:type="fixed"/>
        <w:tblCellMar>
          <w:left w:w="0" w:type="dxa"/>
          <w:right w:w="0" w:type="dxa"/>
        </w:tblCellMar>
        <w:tblLook w:val="01E0" w:firstRow="1" w:lastRow="1" w:firstColumn="1" w:lastColumn="1" w:noHBand="0" w:noVBand="0"/>
      </w:tblPr>
      <w:tblGrid>
        <w:gridCol w:w="1891"/>
        <w:gridCol w:w="1709"/>
        <w:gridCol w:w="708"/>
        <w:gridCol w:w="1359"/>
        <w:gridCol w:w="2971"/>
      </w:tblGrid>
      <w:tr w:rsidR="00BC24A8" w14:paraId="17ABD89E" w14:textId="77777777">
        <w:trPr>
          <w:trHeight w:val="185"/>
        </w:trPr>
        <w:tc>
          <w:tcPr>
            <w:tcW w:w="1891" w:type="dxa"/>
          </w:tcPr>
          <w:p w14:paraId="0722DF2A" w14:textId="77777777" w:rsidR="00BC24A8" w:rsidRDefault="00000000">
            <w:pPr>
              <w:pStyle w:val="TableParagraph"/>
              <w:spacing w:line="165" w:lineRule="exact"/>
              <w:ind w:left="107"/>
              <w:rPr>
                <w:sz w:val="18"/>
              </w:rPr>
            </w:pPr>
            <w:r>
              <w:rPr>
                <w:spacing w:val="-2"/>
                <w:sz w:val="18"/>
              </w:rPr>
              <w:t>Workshops</w:t>
            </w:r>
          </w:p>
        </w:tc>
        <w:tc>
          <w:tcPr>
            <w:tcW w:w="1709" w:type="dxa"/>
          </w:tcPr>
          <w:p w14:paraId="5FD8107E" w14:textId="77777777" w:rsidR="00BC24A8" w:rsidRDefault="00000000">
            <w:pPr>
              <w:pStyle w:val="TableParagraph"/>
              <w:spacing w:line="165" w:lineRule="exact"/>
              <w:ind w:right="2"/>
              <w:jc w:val="center"/>
              <w:rPr>
                <w:sz w:val="18"/>
              </w:rPr>
            </w:pPr>
            <w:r>
              <w:rPr>
                <w:spacing w:val="-5"/>
                <w:sz w:val="18"/>
              </w:rPr>
              <w:t>13</w:t>
            </w:r>
          </w:p>
        </w:tc>
        <w:tc>
          <w:tcPr>
            <w:tcW w:w="708" w:type="dxa"/>
          </w:tcPr>
          <w:p w14:paraId="7EFDA17D" w14:textId="77777777" w:rsidR="00BC24A8" w:rsidRDefault="00000000">
            <w:pPr>
              <w:pStyle w:val="TableParagraph"/>
              <w:spacing w:line="165" w:lineRule="exact"/>
              <w:ind w:left="107"/>
              <w:rPr>
                <w:sz w:val="18"/>
              </w:rPr>
            </w:pPr>
            <w:r>
              <w:rPr>
                <w:spacing w:val="-5"/>
                <w:sz w:val="18"/>
              </w:rPr>
              <w:t>IDR</w:t>
            </w:r>
          </w:p>
        </w:tc>
        <w:tc>
          <w:tcPr>
            <w:tcW w:w="1359" w:type="dxa"/>
          </w:tcPr>
          <w:p w14:paraId="632931F1" w14:textId="77777777" w:rsidR="00BC24A8" w:rsidRDefault="00000000">
            <w:pPr>
              <w:pStyle w:val="TableParagraph"/>
              <w:spacing w:line="165" w:lineRule="exact"/>
              <w:ind w:left="343"/>
              <w:rPr>
                <w:sz w:val="18"/>
              </w:rPr>
            </w:pPr>
            <w:r>
              <w:rPr>
                <w:spacing w:val="-2"/>
                <w:sz w:val="18"/>
              </w:rPr>
              <w:t>638,048,835</w:t>
            </w:r>
          </w:p>
        </w:tc>
        <w:tc>
          <w:tcPr>
            <w:tcW w:w="2971" w:type="dxa"/>
          </w:tcPr>
          <w:p w14:paraId="3E6DDC5E" w14:textId="77777777" w:rsidR="00BC24A8" w:rsidRDefault="00000000">
            <w:pPr>
              <w:pStyle w:val="TableParagraph"/>
              <w:spacing w:line="165" w:lineRule="exact"/>
              <w:ind w:left="109"/>
              <w:rPr>
                <w:sz w:val="18"/>
              </w:rPr>
            </w:pPr>
            <w:r>
              <w:rPr>
                <w:sz w:val="18"/>
              </w:rPr>
              <w:t>Person</w:t>
            </w:r>
            <w:r>
              <w:rPr>
                <w:spacing w:val="-5"/>
                <w:sz w:val="18"/>
              </w:rPr>
              <w:t xml:space="preserve"> </w:t>
            </w:r>
            <w:r>
              <w:rPr>
                <w:spacing w:val="-2"/>
                <w:sz w:val="18"/>
              </w:rPr>
              <w:t>time</w:t>
            </w:r>
            <w:hyperlink w:anchor="_bookmark128" w:history="1">
              <w:r w:rsidR="00BC24A8">
                <w:rPr>
                  <w:spacing w:val="-2"/>
                  <w:position w:val="5"/>
                  <w:sz w:val="12"/>
                </w:rPr>
                <w:t>60</w:t>
              </w:r>
            </w:hyperlink>
            <w:r>
              <w:rPr>
                <w:spacing w:val="-2"/>
                <w:sz w:val="18"/>
              </w:rPr>
              <w:t>:</w:t>
            </w:r>
          </w:p>
        </w:tc>
      </w:tr>
      <w:tr w:rsidR="00BC24A8" w14:paraId="2983166B" w14:textId="77777777">
        <w:trPr>
          <w:trHeight w:val="770"/>
        </w:trPr>
        <w:tc>
          <w:tcPr>
            <w:tcW w:w="8638" w:type="dxa"/>
            <w:gridSpan w:val="5"/>
          </w:tcPr>
          <w:p w14:paraId="36A1F067" w14:textId="77777777" w:rsidR="00BC24A8" w:rsidRDefault="00000000">
            <w:pPr>
              <w:pStyle w:val="TableParagraph"/>
              <w:tabs>
                <w:tab w:val="left" w:pos="2697"/>
                <w:tab w:val="left" w:pos="3707"/>
                <w:tab w:val="left" w:pos="4651"/>
                <w:tab w:val="left" w:pos="5671"/>
                <w:tab w:val="left" w:pos="6107"/>
              </w:tabs>
              <w:spacing w:before="70" w:line="228" w:lineRule="auto"/>
              <w:ind w:left="107" w:right="1637" w:hanging="108"/>
              <w:rPr>
                <w:sz w:val="18"/>
              </w:rPr>
            </w:pPr>
            <w:r>
              <w:rPr>
                <w:rFonts w:ascii="Trebuchet MS" w:hAnsi="Trebuchet MS"/>
                <w:sz w:val="18"/>
                <w:u w:val="single" w:color="BEBEBE"/>
              </w:rPr>
              <w:tab/>
            </w:r>
            <w:r>
              <w:rPr>
                <w:rFonts w:ascii="Trebuchet MS" w:hAnsi="Trebuchet MS"/>
                <w:sz w:val="18"/>
                <w:u w:val="single" w:color="BEBEBE"/>
              </w:rPr>
              <w:tab/>
            </w:r>
            <w:r>
              <w:rPr>
                <w:rFonts w:ascii="Trebuchet MS" w:hAnsi="Trebuchet MS"/>
                <w:sz w:val="18"/>
                <w:u w:val="single" w:color="BEBEBE"/>
              </w:rPr>
              <w:tab/>
            </w:r>
            <w:r>
              <w:rPr>
                <w:rFonts w:ascii="Trebuchet MS" w:hAnsi="Trebuchet MS"/>
                <w:sz w:val="18"/>
                <w:u w:val="single" w:color="BEBEBE"/>
              </w:rPr>
              <w:tab/>
            </w:r>
            <w:r>
              <w:rPr>
                <w:rFonts w:ascii="Trebuchet MS" w:hAnsi="Trebuchet MS"/>
                <w:sz w:val="18"/>
                <w:u w:val="single" w:color="BEBEBE"/>
              </w:rPr>
              <w:tab/>
            </w:r>
            <w:r>
              <w:rPr>
                <w:rFonts w:ascii="Trebuchet MS" w:hAnsi="Trebuchet MS"/>
                <w:sz w:val="18"/>
              </w:rPr>
              <w:t xml:space="preserve"> •</w:t>
            </w:r>
            <w:r>
              <w:rPr>
                <w:rFonts w:ascii="Trebuchet MS" w:hAnsi="Trebuchet MS"/>
                <w:sz w:val="18"/>
              </w:rPr>
              <w:tab/>
            </w:r>
            <w:r>
              <w:rPr>
                <w:sz w:val="18"/>
              </w:rPr>
              <w:t xml:space="preserve">514 Men </w:t>
            </w:r>
            <w:r>
              <w:rPr>
                <w:position w:val="1"/>
                <w:sz w:val="18"/>
              </w:rPr>
              <w:t>Technical Guidance</w:t>
            </w:r>
            <w:r>
              <w:rPr>
                <w:position w:val="1"/>
                <w:sz w:val="18"/>
              </w:rPr>
              <w:tab/>
            </w:r>
            <w:r>
              <w:rPr>
                <w:spacing w:val="-10"/>
                <w:position w:val="1"/>
                <w:sz w:val="18"/>
              </w:rPr>
              <w:t>4</w:t>
            </w:r>
            <w:r>
              <w:rPr>
                <w:position w:val="1"/>
                <w:sz w:val="18"/>
              </w:rPr>
              <w:tab/>
            </w:r>
            <w:r>
              <w:rPr>
                <w:spacing w:val="-4"/>
                <w:position w:val="1"/>
                <w:sz w:val="18"/>
              </w:rPr>
              <w:t>IDR</w:t>
            </w:r>
            <w:r>
              <w:rPr>
                <w:position w:val="1"/>
                <w:sz w:val="18"/>
              </w:rPr>
              <w:tab/>
              <w:t>389,980,925</w:t>
            </w:r>
            <w:r>
              <w:rPr>
                <w:spacing w:val="80"/>
                <w:w w:val="150"/>
                <w:position w:val="1"/>
                <w:sz w:val="18"/>
              </w:rPr>
              <w:t xml:space="preserve"> </w:t>
            </w:r>
            <w:r>
              <w:rPr>
                <w:rFonts w:ascii="Trebuchet MS" w:hAnsi="Trebuchet MS"/>
                <w:sz w:val="18"/>
              </w:rPr>
              <w:t>•</w:t>
            </w:r>
            <w:r>
              <w:rPr>
                <w:rFonts w:ascii="Trebuchet MS" w:hAnsi="Trebuchet MS"/>
                <w:sz w:val="18"/>
              </w:rPr>
              <w:tab/>
            </w:r>
            <w:r>
              <w:rPr>
                <w:sz w:val="18"/>
              </w:rPr>
              <w:t>358</w:t>
            </w:r>
            <w:r>
              <w:rPr>
                <w:spacing w:val="-11"/>
                <w:sz w:val="18"/>
              </w:rPr>
              <w:t xml:space="preserve"> </w:t>
            </w:r>
            <w:r>
              <w:rPr>
                <w:sz w:val="18"/>
              </w:rPr>
              <w:t>Women</w:t>
            </w:r>
          </w:p>
          <w:p w14:paraId="7D90726F" w14:textId="77777777" w:rsidR="00BC24A8" w:rsidRDefault="00000000">
            <w:pPr>
              <w:pStyle w:val="TableParagraph"/>
              <w:numPr>
                <w:ilvl w:val="0"/>
                <w:numId w:val="71"/>
              </w:numPr>
              <w:tabs>
                <w:tab w:val="left" w:pos="6107"/>
              </w:tabs>
              <w:spacing w:before="3"/>
              <w:ind w:left="6107" w:hanging="359"/>
              <w:rPr>
                <w:sz w:val="18"/>
              </w:rPr>
            </w:pPr>
            <w:r>
              <w:rPr>
                <w:sz w:val="18"/>
              </w:rPr>
              <w:t>23</w:t>
            </w:r>
            <w:r>
              <w:rPr>
                <w:spacing w:val="-2"/>
                <w:sz w:val="18"/>
              </w:rPr>
              <w:t xml:space="preserve"> </w:t>
            </w:r>
            <w:r>
              <w:rPr>
                <w:sz w:val="18"/>
              </w:rPr>
              <w:t>Persons</w:t>
            </w:r>
            <w:r>
              <w:rPr>
                <w:spacing w:val="-2"/>
                <w:sz w:val="18"/>
              </w:rPr>
              <w:t xml:space="preserve"> </w:t>
            </w:r>
            <w:r>
              <w:rPr>
                <w:sz w:val="18"/>
              </w:rPr>
              <w:t>with</w:t>
            </w:r>
            <w:r>
              <w:rPr>
                <w:spacing w:val="-1"/>
                <w:sz w:val="18"/>
              </w:rPr>
              <w:t xml:space="preserve"> </w:t>
            </w:r>
            <w:r>
              <w:rPr>
                <w:spacing w:val="-2"/>
                <w:sz w:val="18"/>
              </w:rPr>
              <w:t>Disabilities</w:t>
            </w:r>
          </w:p>
        </w:tc>
      </w:tr>
      <w:tr w:rsidR="00BC24A8" w14:paraId="4437C77C" w14:textId="77777777">
        <w:trPr>
          <w:trHeight w:val="662"/>
        </w:trPr>
        <w:tc>
          <w:tcPr>
            <w:tcW w:w="1891" w:type="dxa"/>
            <w:tcBorders>
              <w:top w:val="single" w:sz="4" w:space="0" w:color="BEBEBE"/>
              <w:bottom w:val="single" w:sz="4" w:space="0" w:color="BEBEBE"/>
            </w:tcBorders>
          </w:tcPr>
          <w:p w14:paraId="24FFD7B8" w14:textId="77777777" w:rsidR="00BC24A8" w:rsidRDefault="00000000">
            <w:pPr>
              <w:pStyle w:val="TableParagraph"/>
              <w:spacing w:before="56"/>
              <w:ind w:left="107" w:right="566"/>
              <w:rPr>
                <w:sz w:val="18"/>
              </w:rPr>
            </w:pPr>
            <w:r>
              <w:rPr>
                <w:sz w:val="18"/>
              </w:rPr>
              <w:t>Focus Group Discussion</w:t>
            </w:r>
            <w:r>
              <w:rPr>
                <w:spacing w:val="-11"/>
                <w:sz w:val="18"/>
              </w:rPr>
              <w:t xml:space="preserve"> </w:t>
            </w:r>
            <w:r>
              <w:rPr>
                <w:sz w:val="18"/>
              </w:rPr>
              <w:t>(FGD)</w:t>
            </w:r>
          </w:p>
        </w:tc>
        <w:tc>
          <w:tcPr>
            <w:tcW w:w="1709" w:type="dxa"/>
            <w:tcBorders>
              <w:top w:val="single" w:sz="4" w:space="0" w:color="BEBEBE"/>
              <w:bottom w:val="single" w:sz="4" w:space="0" w:color="BEBEBE"/>
            </w:tcBorders>
          </w:tcPr>
          <w:p w14:paraId="06038750" w14:textId="77777777" w:rsidR="00BC24A8" w:rsidRDefault="00000000">
            <w:pPr>
              <w:pStyle w:val="TableParagraph"/>
              <w:spacing w:before="56"/>
              <w:ind w:right="2"/>
              <w:jc w:val="center"/>
              <w:rPr>
                <w:sz w:val="18"/>
              </w:rPr>
            </w:pPr>
            <w:r>
              <w:rPr>
                <w:spacing w:val="-10"/>
                <w:sz w:val="18"/>
              </w:rPr>
              <w:t>1</w:t>
            </w:r>
          </w:p>
        </w:tc>
        <w:tc>
          <w:tcPr>
            <w:tcW w:w="708" w:type="dxa"/>
            <w:tcBorders>
              <w:top w:val="single" w:sz="4" w:space="0" w:color="BEBEBE"/>
              <w:bottom w:val="single" w:sz="4" w:space="0" w:color="BEBEBE"/>
            </w:tcBorders>
          </w:tcPr>
          <w:p w14:paraId="506AB6E4" w14:textId="77777777" w:rsidR="00BC24A8" w:rsidRDefault="00000000">
            <w:pPr>
              <w:pStyle w:val="TableParagraph"/>
              <w:spacing w:before="56"/>
              <w:ind w:left="107"/>
              <w:rPr>
                <w:sz w:val="18"/>
              </w:rPr>
            </w:pPr>
            <w:r>
              <w:rPr>
                <w:spacing w:val="-5"/>
                <w:sz w:val="18"/>
              </w:rPr>
              <w:t>IDR</w:t>
            </w:r>
          </w:p>
        </w:tc>
        <w:tc>
          <w:tcPr>
            <w:tcW w:w="4330" w:type="dxa"/>
            <w:gridSpan w:val="2"/>
            <w:tcBorders>
              <w:top w:val="single" w:sz="4" w:space="0" w:color="BEBEBE"/>
            </w:tcBorders>
          </w:tcPr>
          <w:p w14:paraId="28F736D3" w14:textId="77777777" w:rsidR="00BC24A8" w:rsidRDefault="00000000">
            <w:pPr>
              <w:pStyle w:val="TableParagraph"/>
              <w:tabs>
                <w:tab w:val="left" w:pos="1468"/>
              </w:tabs>
              <w:spacing w:before="2"/>
              <w:ind w:left="412"/>
              <w:rPr>
                <w:sz w:val="18"/>
              </w:rPr>
            </w:pPr>
            <w:r>
              <w:rPr>
                <w:spacing w:val="-2"/>
                <w:position w:val="-5"/>
                <w:sz w:val="18"/>
              </w:rPr>
              <w:t>15,764,783</w:t>
            </w:r>
            <w:r>
              <w:rPr>
                <w:position w:val="-5"/>
                <w:sz w:val="18"/>
              </w:rPr>
              <w:tab/>
            </w:r>
            <w:r>
              <w:rPr>
                <w:spacing w:val="-2"/>
                <w:sz w:val="18"/>
              </w:rPr>
              <w:t>Headcounts</w:t>
            </w:r>
            <w:r>
              <w:rPr>
                <w:spacing w:val="-2"/>
                <w:position w:val="5"/>
                <w:sz w:val="12"/>
              </w:rPr>
              <w:t>125</w:t>
            </w:r>
            <w:r>
              <w:rPr>
                <w:spacing w:val="-2"/>
                <w:sz w:val="18"/>
              </w:rPr>
              <w:t>:</w:t>
            </w:r>
          </w:p>
          <w:p w14:paraId="2EFF0901" w14:textId="77777777" w:rsidR="00BC24A8" w:rsidRDefault="00000000">
            <w:pPr>
              <w:pStyle w:val="TableParagraph"/>
              <w:numPr>
                <w:ilvl w:val="0"/>
                <w:numId w:val="70"/>
              </w:numPr>
              <w:tabs>
                <w:tab w:val="left" w:pos="1799"/>
              </w:tabs>
              <w:spacing w:line="219" w:lineRule="exact"/>
              <w:ind w:left="1799" w:hanging="359"/>
              <w:rPr>
                <w:sz w:val="18"/>
              </w:rPr>
            </w:pPr>
            <w:r>
              <w:rPr>
                <w:sz w:val="18"/>
              </w:rPr>
              <w:t xml:space="preserve">237 </w:t>
            </w:r>
            <w:r>
              <w:rPr>
                <w:spacing w:val="-5"/>
                <w:sz w:val="18"/>
              </w:rPr>
              <w:t>Men</w:t>
            </w:r>
          </w:p>
          <w:p w14:paraId="090948BA" w14:textId="77777777" w:rsidR="00BC24A8" w:rsidRDefault="00000000">
            <w:pPr>
              <w:pStyle w:val="TableParagraph"/>
              <w:numPr>
                <w:ilvl w:val="0"/>
                <w:numId w:val="70"/>
              </w:numPr>
              <w:tabs>
                <w:tab w:val="left" w:pos="1799"/>
              </w:tabs>
              <w:spacing w:before="1" w:line="142" w:lineRule="exact"/>
              <w:ind w:left="1799" w:hanging="359"/>
              <w:rPr>
                <w:sz w:val="18"/>
              </w:rPr>
            </w:pPr>
            <w:r>
              <w:rPr>
                <w:sz w:val="18"/>
              </w:rPr>
              <w:t>226</w:t>
            </w:r>
            <w:r>
              <w:rPr>
                <w:spacing w:val="-2"/>
                <w:sz w:val="18"/>
              </w:rPr>
              <w:t xml:space="preserve"> Women</w:t>
            </w:r>
          </w:p>
        </w:tc>
      </w:tr>
      <w:tr w:rsidR="00BC24A8" w14:paraId="12C85196" w14:textId="77777777">
        <w:trPr>
          <w:trHeight w:val="376"/>
        </w:trPr>
        <w:tc>
          <w:tcPr>
            <w:tcW w:w="1891" w:type="dxa"/>
            <w:tcBorders>
              <w:top w:val="single" w:sz="4" w:space="0" w:color="BEBEBE"/>
            </w:tcBorders>
          </w:tcPr>
          <w:p w14:paraId="2AECB791" w14:textId="77777777" w:rsidR="00BC24A8" w:rsidRDefault="00000000">
            <w:pPr>
              <w:pStyle w:val="TableParagraph"/>
              <w:spacing w:before="56"/>
              <w:ind w:left="107"/>
              <w:rPr>
                <w:sz w:val="18"/>
              </w:rPr>
            </w:pPr>
            <w:r>
              <w:rPr>
                <w:sz w:val="18"/>
              </w:rPr>
              <w:t>Other</w:t>
            </w:r>
            <w:r>
              <w:rPr>
                <w:spacing w:val="-2"/>
                <w:sz w:val="18"/>
              </w:rPr>
              <w:t xml:space="preserve"> Event</w:t>
            </w:r>
          </w:p>
        </w:tc>
        <w:tc>
          <w:tcPr>
            <w:tcW w:w="1709" w:type="dxa"/>
            <w:tcBorders>
              <w:top w:val="single" w:sz="4" w:space="0" w:color="BEBEBE"/>
            </w:tcBorders>
          </w:tcPr>
          <w:p w14:paraId="564AEF25" w14:textId="77777777" w:rsidR="00BC24A8" w:rsidRDefault="00000000">
            <w:pPr>
              <w:pStyle w:val="TableParagraph"/>
              <w:spacing w:before="56"/>
              <w:ind w:right="2"/>
              <w:jc w:val="center"/>
              <w:rPr>
                <w:sz w:val="18"/>
              </w:rPr>
            </w:pPr>
            <w:r>
              <w:rPr>
                <w:spacing w:val="-10"/>
                <w:sz w:val="18"/>
              </w:rPr>
              <w:t>1</w:t>
            </w:r>
          </w:p>
        </w:tc>
        <w:tc>
          <w:tcPr>
            <w:tcW w:w="708" w:type="dxa"/>
            <w:tcBorders>
              <w:top w:val="single" w:sz="4" w:space="0" w:color="BEBEBE"/>
            </w:tcBorders>
          </w:tcPr>
          <w:p w14:paraId="13C5447F" w14:textId="77777777" w:rsidR="00BC24A8" w:rsidRDefault="00000000">
            <w:pPr>
              <w:pStyle w:val="TableParagraph"/>
              <w:spacing w:before="56"/>
              <w:ind w:left="107"/>
              <w:rPr>
                <w:sz w:val="18"/>
              </w:rPr>
            </w:pPr>
            <w:r>
              <w:rPr>
                <w:spacing w:val="-5"/>
                <w:sz w:val="18"/>
              </w:rPr>
              <w:t>IDR</w:t>
            </w:r>
          </w:p>
        </w:tc>
        <w:tc>
          <w:tcPr>
            <w:tcW w:w="4330" w:type="dxa"/>
            <w:gridSpan w:val="2"/>
            <w:tcBorders>
              <w:top w:val="single" w:sz="4" w:space="0" w:color="BEBEBE"/>
            </w:tcBorders>
          </w:tcPr>
          <w:p w14:paraId="11E17EC0" w14:textId="77777777" w:rsidR="00BC24A8" w:rsidRDefault="00000000">
            <w:pPr>
              <w:pStyle w:val="TableParagraph"/>
              <w:spacing w:before="56"/>
              <w:ind w:left="525"/>
              <w:rPr>
                <w:sz w:val="18"/>
              </w:rPr>
            </w:pPr>
            <w:r>
              <w:rPr>
                <w:spacing w:val="-2"/>
                <w:sz w:val="18"/>
              </w:rPr>
              <w:t>4,486,546</w:t>
            </w:r>
          </w:p>
        </w:tc>
      </w:tr>
      <w:tr w:rsidR="00BC24A8" w14:paraId="4C771DC7" w14:textId="77777777">
        <w:trPr>
          <w:trHeight w:val="352"/>
        </w:trPr>
        <w:tc>
          <w:tcPr>
            <w:tcW w:w="1891" w:type="dxa"/>
            <w:tcBorders>
              <w:bottom w:val="single" w:sz="4" w:space="0" w:color="BEBEBE"/>
              <w:right w:val="single" w:sz="18" w:space="0" w:color="FFFFFF"/>
            </w:tcBorders>
            <w:shd w:val="clear" w:color="auto" w:fill="A7A9AC"/>
          </w:tcPr>
          <w:p w14:paraId="29EEA60F" w14:textId="77777777" w:rsidR="00BC24A8" w:rsidRDefault="00000000">
            <w:pPr>
              <w:pStyle w:val="TableParagraph"/>
              <w:spacing w:before="59"/>
              <w:ind w:left="107"/>
              <w:rPr>
                <w:rFonts w:ascii="Calibri"/>
                <w:b/>
                <w:sz w:val="18"/>
              </w:rPr>
            </w:pPr>
            <w:r w:rsidRPr="00795364">
              <w:rPr>
                <w:rFonts w:ascii="Calibri"/>
                <w:b/>
                <w:color w:val="000000"/>
                <w:spacing w:val="-2"/>
                <w:sz w:val="18"/>
              </w:rPr>
              <w:t>TOTAL</w:t>
            </w:r>
          </w:p>
        </w:tc>
        <w:tc>
          <w:tcPr>
            <w:tcW w:w="1709" w:type="dxa"/>
            <w:tcBorders>
              <w:left w:val="single" w:sz="18" w:space="0" w:color="FFFFFF"/>
              <w:bottom w:val="single" w:sz="4" w:space="0" w:color="BEBEBE"/>
              <w:right w:val="single" w:sz="18" w:space="0" w:color="FFFFFF"/>
            </w:tcBorders>
            <w:shd w:val="clear" w:color="auto" w:fill="A7A9AC"/>
          </w:tcPr>
          <w:p w14:paraId="43655AA0" w14:textId="77777777" w:rsidR="00BC24A8" w:rsidRDefault="00000000">
            <w:pPr>
              <w:pStyle w:val="TableParagraph"/>
              <w:spacing w:before="59"/>
              <w:ind w:right="2"/>
              <w:jc w:val="center"/>
              <w:rPr>
                <w:rFonts w:ascii="Calibri"/>
                <w:b/>
                <w:sz w:val="18"/>
              </w:rPr>
            </w:pPr>
            <w:r w:rsidRPr="00795364">
              <w:rPr>
                <w:rFonts w:ascii="Calibri"/>
                <w:b/>
                <w:color w:val="000000"/>
                <w:spacing w:val="-5"/>
                <w:sz w:val="18"/>
              </w:rPr>
              <w:t>19</w:t>
            </w:r>
          </w:p>
        </w:tc>
        <w:tc>
          <w:tcPr>
            <w:tcW w:w="708" w:type="dxa"/>
            <w:tcBorders>
              <w:left w:val="single" w:sz="18" w:space="0" w:color="FFFFFF"/>
              <w:bottom w:val="single" w:sz="4" w:space="0" w:color="BEBEBE"/>
            </w:tcBorders>
            <w:shd w:val="clear" w:color="auto" w:fill="A7A9AC"/>
          </w:tcPr>
          <w:p w14:paraId="2252896A" w14:textId="77777777" w:rsidR="00BC24A8" w:rsidRDefault="00000000">
            <w:pPr>
              <w:pStyle w:val="TableParagraph"/>
              <w:spacing w:before="59"/>
              <w:ind w:left="85"/>
              <w:rPr>
                <w:rFonts w:ascii="Calibri"/>
                <w:b/>
                <w:sz w:val="18"/>
              </w:rPr>
            </w:pPr>
            <w:r w:rsidRPr="00795364">
              <w:rPr>
                <w:rFonts w:ascii="Calibri"/>
                <w:b/>
                <w:color w:val="000000"/>
                <w:spacing w:val="-5"/>
                <w:sz w:val="18"/>
              </w:rPr>
              <w:t>IDR</w:t>
            </w:r>
          </w:p>
        </w:tc>
        <w:tc>
          <w:tcPr>
            <w:tcW w:w="4330" w:type="dxa"/>
            <w:gridSpan w:val="2"/>
            <w:tcBorders>
              <w:bottom w:val="single" w:sz="4" w:space="0" w:color="BEBEBE"/>
            </w:tcBorders>
            <w:shd w:val="clear" w:color="auto" w:fill="A7A9AC"/>
          </w:tcPr>
          <w:p w14:paraId="536E6074" w14:textId="77777777" w:rsidR="00BC24A8" w:rsidRDefault="00000000">
            <w:pPr>
              <w:pStyle w:val="TableParagraph"/>
              <w:spacing w:before="59"/>
              <w:ind w:left="338"/>
              <w:rPr>
                <w:rFonts w:ascii="Calibri"/>
                <w:b/>
                <w:sz w:val="18"/>
              </w:rPr>
            </w:pPr>
            <w:r w:rsidRPr="00795364">
              <w:rPr>
                <w:rFonts w:ascii="Calibri"/>
                <w:b/>
                <w:color w:val="000000"/>
                <w:spacing w:val="-2"/>
                <w:sz w:val="18"/>
              </w:rPr>
              <w:t>722,517,166</w:t>
            </w:r>
          </w:p>
        </w:tc>
      </w:tr>
    </w:tbl>
    <w:p w14:paraId="10BE3AC1" w14:textId="77777777" w:rsidR="00BC24A8" w:rsidRDefault="00000000">
      <w:pPr>
        <w:spacing w:before="121"/>
        <w:ind w:left="143"/>
        <w:rPr>
          <w:sz w:val="16"/>
        </w:rPr>
      </w:pPr>
      <w:r>
        <w:rPr>
          <w:sz w:val="16"/>
        </w:rPr>
        <w:t>Source:</w:t>
      </w:r>
      <w:r>
        <w:rPr>
          <w:spacing w:val="-3"/>
          <w:sz w:val="16"/>
        </w:rPr>
        <w:t xml:space="preserve"> </w:t>
      </w:r>
      <w:r>
        <w:rPr>
          <w:sz w:val="16"/>
        </w:rPr>
        <w:t>SAMA</w:t>
      </w:r>
      <w:r>
        <w:rPr>
          <w:spacing w:val="-4"/>
          <w:sz w:val="16"/>
        </w:rPr>
        <w:t xml:space="preserve"> </w:t>
      </w:r>
      <w:r>
        <w:rPr>
          <w:sz w:val="16"/>
        </w:rPr>
        <w:t>data</w:t>
      </w:r>
      <w:r>
        <w:rPr>
          <w:spacing w:val="-4"/>
          <w:sz w:val="16"/>
        </w:rPr>
        <w:t xml:space="preserve"> </w:t>
      </w:r>
      <w:r>
        <w:rPr>
          <w:sz w:val="16"/>
        </w:rPr>
        <w:t>in</w:t>
      </w:r>
      <w:r>
        <w:rPr>
          <w:spacing w:val="-3"/>
          <w:sz w:val="16"/>
        </w:rPr>
        <w:t xml:space="preserve"> </w:t>
      </w:r>
      <w:r>
        <w:rPr>
          <w:sz w:val="16"/>
        </w:rPr>
        <w:t>SKALA</w:t>
      </w:r>
      <w:r>
        <w:rPr>
          <w:spacing w:val="-4"/>
          <w:sz w:val="16"/>
        </w:rPr>
        <w:t xml:space="preserve"> </w:t>
      </w:r>
      <w:r>
        <w:rPr>
          <w:sz w:val="16"/>
        </w:rPr>
        <w:t>MIS</w:t>
      </w:r>
      <w:r>
        <w:rPr>
          <w:spacing w:val="-3"/>
          <w:sz w:val="16"/>
        </w:rPr>
        <w:t xml:space="preserve"> </w:t>
      </w:r>
      <w:r>
        <w:rPr>
          <w:sz w:val="16"/>
        </w:rPr>
        <w:t>as</w:t>
      </w:r>
      <w:r>
        <w:rPr>
          <w:spacing w:val="-2"/>
          <w:sz w:val="16"/>
        </w:rPr>
        <w:t xml:space="preserve"> </w:t>
      </w:r>
      <w:r>
        <w:rPr>
          <w:sz w:val="16"/>
        </w:rPr>
        <w:t>of</w:t>
      </w:r>
      <w:r>
        <w:rPr>
          <w:spacing w:val="-6"/>
          <w:sz w:val="16"/>
        </w:rPr>
        <w:t xml:space="preserve"> </w:t>
      </w:r>
      <w:r>
        <w:rPr>
          <w:sz w:val="16"/>
        </w:rPr>
        <w:t>August</w:t>
      </w:r>
      <w:r>
        <w:rPr>
          <w:spacing w:val="-3"/>
          <w:sz w:val="16"/>
        </w:rPr>
        <w:t xml:space="preserve"> </w:t>
      </w:r>
      <w:r>
        <w:rPr>
          <w:sz w:val="16"/>
        </w:rPr>
        <w:t>6,</w:t>
      </w:r>
      <w:r>
        <w:rPr>
          <w:spacing w:val="-4"/>
          <w:sz w:val="16"/>
        </w:rPr>
        <w:t xml:space="preserve"> </w:t>
      </w:r>
      <w:r>
        <w:rPr>
          <w:sz w:val="16"/>
        </w:rPr>
        <w:t>2025,</w:t>
      </w:r>
      <w:r>
        <w:rPr>
          <w:spacing w:val="-4"/>
          <w:sz w:val="16"/>
        </w:rPr>
        <w:t xml:space="preserve"> </w:t>
      </w:r>
      <w:r>
        <w:rPr>
          <w:sz w:val="16"/>
        </w:rPr>
        <w:t>09.20</w:t>
      </w:r>
      <w:r>
        <w:rPr>
          <w:spacing w:val="-3"/>
          <w:sz w:val="16"/>
        </w:rPr>
        <w:t xml:space="preserve"> </w:t>
      </w:r>
      <w:r>
        <w:rPr>
          <w:spacing w:val="-4"/>
          <w:sz w:val="16"/>
        </w:rPr>
        <w:t>WITA</w:t>
      </w:r>
    </w:p>
    <w:p w14:paraId="6CE0C152" w14:textId="77777777" w:rsidR="00BC24A8" w:rsidRDefault="00BC24A8">
      <w:pPr>
        <w:pStyle w:val="BodyText"/>
        <w:rPr>
          <w:sz w:val="16"/>
        </w:rPr>
      </w:pPr>
    </w:p>
    <w:p w14:paraId="0565645F" w14:textId="77777777" w:rsidR="00BC24A8" w:rsidRDefault="00BC24A8">
      <w:pPr>
        <w:pStyle w:val="BodyText"/>
        <w:spacing w:before="112"/>
        <w:rPr>
          <w:sz w:val="16"/>
        </w:rPr>
      </w:pPr>
    </w:p>
    <w:p w14:paraId="1DC85479" w14:textId="77777777" w:rsidR="00BC24A8" w:rsidRDefault="00000000">
      <w:pPr>
        <w:pStyle w:val="BodyText"/>
        <w:spacing w:before="1"/>
        <w:ind w:left="143"/>
        <w:rPr>
          <w:rFonts w:ascii="Calibri"/>
        </w:rPr>
      </w:pPr>
      <w:r>
        <w:rPr>
          <w:rFonts w:ascii="Calibri"/>
          <w:color w:val="272727"/>
        </w:rPr>
        <w:t>Summary</w:t>
      </w:r>
      <w:r>
        <w:rPr>
          <w:rFonts w:ascii="Calibri"/>
          <w:color w:val="272727"/>
          <w:spacing w:val="-2"/>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3"/>
        </w:rPr>
        <w:t xml:space="preserve"> </w:t>
      </w:r>
      <w:r>
        <w:rPr>
          <w:rFonts w:ascii="Calibri"/>
          <w:color w:val="272727"/>
        </w:rPr>
        <w:t>at</w:t>
      </w:r>
      <w:r>
        <w:rPr>
          <w:rFonts w:ascii="Calibri"/>
          <w:color w:val="272727"/>
          <w:spacing w:val="-5"/>
        </w:rPr>
        <w:t xml:space="preserve"> </w:t>
      </w:r>
      <w:r>
        <w:rPr>
          <w:rFonts w:ascii="Calibri"/>
          <w:color w:val="272727"/>
        </w:rPr>
        <w:t>the</w:t>
      </w:r>
      <w:r>
        <w:rPr>
          <w:rFonts w:ascii="Calibri"/>
          <w:color w:val="272727"/>
          <w:spacing w:val="-5"/>
        </w:rPr>
        <w:t xml:space="preserve"> </w:t>
      </w:r>
      <w:r>
        <w:rPr>
          <w:rFonts w:ascii="Calibri"/>
          <w:color w:val="272727"/>
        </w:rPr>
        <w:t>output</w:t>
      </w:r>
      <w:r>
        <w:rPr>
          <w:rFonts w:ascii="Calibri"/>
          <w:color w:val="272727"/>
          <w:spacing w:val="-1"/>
        </w:rPr>
        <w:t xml:space="preserve"> </w:t>
      </w:r>
      <w:r>
        <w:rPr>
          <w:rFonts w:ascii="Calibri"/>
          <w:color w:val="272727"/>
          <w:spacing w:val="-4"/>
        </w:rPr>
        <w:t>level</w:t>
      </w:r>
    </w:p>
    <w:p w14:paraId="295D7622" w14:textId="77777777" w:rsidR="00BC24A8" w:rsidRDefault="00BC24A8">
      <w:pPr>
        <w:pStyle w:val="BodyText"/>
        <w:spacing w:before="19"/>
        <w:rPr>
          <w:rFonts w:ascii="Calibri"/>
        </w:rPr>
      </w:pPr>
    </w:p>
    <w:p w14:paraId="0189B778" w14:textId="77777777" w:rsidR="00BC24A8" w:rsidRDefault="00000000">
      <w:pPr>
        <w:pStyle w:val="Heading5"/>
      </w:pPr>
      <w:bookmarkStart w:id="189" w:name="_bookmark127"/>
      <w:bookmarkEnd w:id="189"/>
      <w:r>
        <w:rPr>
          <w:color w:val="767070"/>
        </w:rPr>
        <w:t>Table</w:t>
      </w:r>
      <w:r>
        <w:rPr>
          <w:color w:val="767070"/>
          <w:spacing w:val="-7"/>
        </w:rPr>
        <w:t xml:space="preserve"> </w:t>
      </w:r>
      <w:r>
        <w:rPr>
          <w:color w:val="767070"/>
        </w:rPr>
        <w:t>17:</w:t>
      </w:r>
      <w:r>
        <w:rPr>
          <w:color w:val="767070"/>
          <w:spacing w:val="-6"/>
        </w:rPr>
        <w:t xml:space="preserve"> </w:t>
      </w:r>
      <w:r>
        <w:rPr>
          <w:color w:val="767070"/>
        </w:rPr>
        <w:t>Table</w:t>
      </w:r>
      <w:r>
        <w:rPr>
          <w:color w:val="767070"/>
          <w:spacing w:val="-6"/>
        </w:rPr>
        <w:t xml:space="preserve"> </w:t>
      </w:r>
      <w:r>
        <w:rPr>
          <w:color w:val="767070"/>
        </w:rPr>
        <w:t>of</w:t>
      </w:r>
      <w:r>
        <w:rPr>
          <w:color w:val="767070"/>
          <w:spacing w:val="-8"/>
        </w:rPr>
        <w:t xml:space="preserve"> </w:t>
      </w:r>
      <w:r>
        <w:rPr>
          <w:color w:val="767070"/>
        </w:rPr>
        <w:t>total</w:t>
      </w:r>
      <w:r>
        <w:rPr>
          <w:color w:val="767070"/>
          <w:spacing w:val="-4"/>
        </w:rPr>
        <w:t xml:space="preserve"> </w:t>
      </w:r>
      <w:r>
        <w:rPr>
          <w:color w:val="767070"/>
        </w:rPr>
        <w:t>outputs</w:t>
      </w:r>
      <w:r>
        <w:rPr>
          <w:color w:val="767070"/>
          <w:spacing w:val="-5"/>
        </w:rPr>
        <w:t xml:space="preserve"> </w:t>
      </w:r>
      <w:r>
        <w:rPr>
          <w:color w:val="767070"/>
        </w:rPr>
        <w:t>of</w:t>
      </w:r>
      <w:r>
        <w:rPr>
          <w:color w:val="767070"/>
          <w:spacing w:val="-5"/>
        </w:rPr>
        <w:t xml:space="preserve"> </w:t>
      </w:r>
      <w:r>
        <w:rPr>
          <w:color w:val="767070"/>
        </w:rPr>
        <w:t>FY</w:t>
      </w:r>
      <w:r>
        <w:rPr>
          <w:color w:val="767070"/>
          <w:spacing w:val="-7"/>
        </w:rPr>
        <w:t xml:space="preserve"> </w:t>
      </w:r>
      <w:r>
        <w:rPr>
          <w:color w:val="767070"/>
        </w:rPr>
        <w:t>24/25</w:t>
      </w:r>
      <w:r>
        <w:rPr>
          <w:color w:val="767070"/>
          <w:spacing w:val="-7"/>
        </w:rPr>
        <w:t xml:space="preserve"> </w:t>
      </w:r>
      <w:r>
        <w:rPr>
          <w:color w:val="767070"/>
        </w:rPr>
        <w:t>work</w:t>
      </w:r>
      <w:r>
        <w:rPr>
          <w:color w:val="767070"/>
          <w:spacing w:val="-5"/>
        </w:rPr>
        <w:t xml:space="preserve"> </w:t>
      </w:r>
      <w:r>
        <w:rPr>
          <w:color w:val="767070"/>
        </w:rPr>
        <w:t>plan</w:t>
      </w:r>
      <w:r>
        <w:rPr>
          <w:color w:val="767070"/>
          <w:spacing w:val="-8"/>
        </w:rPr>
        <w:t xml:space="preserve"> </w:t>
      </w:r>
      <w:r>
        <w:rPr>
          <w:color w:val="767070"/>
        </w:rPr>
        <w:t>as</w:t>
      </w:r>
      <w:r>
        <w:rPr>
          <w:color w:val="767070"/>
          <w:spacing w:val="-5"/>
        </w:rPr>
        <w:t xml:space="preserve"> </w:t>
      </w:r>
      <w:r>
        <w:rPr>
          <w:color w:val="767070"/>
        </w:rPr>
        <w:t>of</w:t>
      </w:r>
      <w:r>
        <w:rPr>
          <w:color w:val="767070"/>
          <w:spacing w:val="-5"/>
        </w:rPr>
        <w:t xml:space="preserve"> </w:t>
      </w:r>
      <w:r>
        <w:rPr>
          <w:color w:val="767070"/>
        </w:rPr>
        <w:t>June</w:t>
      </w:r>
      <w:r>
        <w:rPr>
          <w:color w:val="767070"/>
          <w:spacing w:val="-6"/>
        </w:rPr>
        <w:t xml:space="preserve"> </w:t>
      </w:r>
      <w:r>
        <w:rPr>
          <w:color w:val="767070"/>
          <w:spacing w:val="-4"/>
        </w:rPr>
        <w:t>2025</w:t>
      </w:r>
    </w:p>
    <w:p w14:paraId="1B502427" w14:textId="77777777" w:rsidR="00BC24A8" w:rsidRDefault="00BC24A8">
      <w:pPr>
        <w:pStyle w:val="BodyText"/>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1348"/>
        <w:gridCol w:w="2101"/>
        <w:gridCol w:w="1682"/>
        <w:gridCol w:w="2003"/>
        <w:gridCol w:w="1527"/>
      </w:tblGrid>
      <w:tr w:rsidR="00BC24A8" w14:paraId="6BDFCE81" w14:textId="77777777">
        <w:trPr>
          <w:trHeight w:val="378"/>
        </w:trPr>
        <w:tc>
          <w:tcPr>
            <w:tcW w:w="1348" w:type="dxa"/>
            <w:tcBorders>
              <w:bottom w:val="single" w:sz="4" w:space="0" w:color="BEBEBE"/>
            </w:tcBorders>
            <w:shd w:val="clear" w:color="auto" w:fill="17365A"/>
          </w:tcPr>
          <w:p w14:paraId="6C87B06D" w14:textId="77777777" w:rsidR="00BC24A8" w:rsidRDefault="00000000">
            <w:pPr>
              <w:pStyle w:val="TableParagraph"/>
              <w:spacing w:before="59"/>
              <w:ind w:left="107"/>
              <w:rPr>
                <w:rFonts w:ascii="Calibri"/>
                <w:b/>
                <w:sz w:val="20"/>
              </w:rPr>
            </w:pPr>
            <w:r>
              <w:rPr>
                <w:rFonts w:ascii="Calibri"/>
                <w:b/>
                <w:color w:val="FFFFFF"/>
                <w:spacing w:val="-2"/>
                <w:sz w:val="20"/>
              </w:rPr>
              <w:t>Theme</w:t>
            </w:r>
          </w:p>
        </w:tc>
        <w:tc>
          <w:tcPr>
            <w:tcW w:w="2101" w:type="dxa"/>
            <w:tcBorders>
              <w:bottom w:val="single" w:sz="4" w:space="0" w:color="BEBEBE"/>
            </w:tcBorders>
            <w:shd w:val="clear" w:color="auto" w:fill="17365A"/>
          </w:tcPr>
          <w:p w14:paraId="2C883D26" w14:textId="77777777" w:rsidR="00BC24A8" w:rsidRDefault="00000000">
            <w:pPr>
              <w:pStyle w:val="TableParagraph"/>
              <w:spacing w:before="59"/>
              <w:ind w:left="147" w:right="1"/>
              <w:jc w:val="center"/>
              <w:rPr>
                <w:rFonts w:ascii="Calibri"/>
                <w:b/>
                <w:sz w:val="20"/>
              </w:rPr>
            </w:pPr>
            <w:r>
              <w:rPr>
                <w:rFonts w:ascii="Calibri"/>
                <w:b/>
                <w:color w:val="FFFFFF"/>
                <w:spacing w:val="-2"/>
                <w:sz w:val="20"/>
              </w:rPr>
              <w:t>Completed</w:t>
            </w:r>
          </w:p>
        </w:tc>
        <w:tc>
          <w:tcPr>
            <w:tcW w:w="1682" w:type="dxa"/>
            <w:tcBorders>
              <w:bottom w:val="single" w:sz="4" w:space="0" w:color="BEBEBE"/>
            </w:tcBorders>
            <w:shd w:val="clear" w:color="auto" w:fill="17365A"/>
          </w:tcPr>
          <w:p w14:paraId="019E9A20" w14:textId="77777777" w:rsidR="00BC24A8" w:rsidRDefault="00000000">
            <w:pPr>
              <w:pStyle w:val="TableParagraph"/>
              <w:spacing w:before="59"/>
              <w:ind w:left="55" w:right="2"/>
              <w:jc w:val="center"/>
              <w:rPr>
                <w:rFonts w:ascii="Calibri"/>
                <w:b/>
                <w:sz w:val="20"/>
              </w:rPr>
            </w:pPr>
            <w:r>
              <w:rPr>
                <w:rFonts w:ascii="Calibri"/>
                <w:b/>
                <w:color w:val="FFFFFF"/>
                <w:spacing w:val="-2"/>
                <w:sz w:val="20"/>
              </w:rPr>
              <w:t>Ongoing</w:t>
            </w:r>
          </w:p>
        </w:tc>
        <w:tc>
          <w:tcPr>
            <w:tcW w:w="2003" w:type="dxa"/>
            <w:tcBorders>
              <w:bottom w:val="single" w:sz="4" w:space="0" w:color="BEBEBE"/>
            </w:tcBorders>
            <w:shd w:val="clear" w:color="auto" w:fill="17365A"/>
          </w:tcPr>
          <w:p w14:paraId="3C8B5D65" w14:textId="77777777" w:rsidR="00BC24A8" w:rsidRDefault="00000000">
            <w:pPr>
              <w:pStyle w:val="TableParagraph"/>
              <w:spacing w:before="59"/>
              <w:ind w:left="2" w:right="118"/>
              <w:jc w:val="center"/>
              <w:rPr>
                <w:rFonts w:ascii="Calibri"/>
                <w:b/>
                <w:sz w:val="20"/>
              </w:rPr>
            </w:pPr>
            <w:r>
              <w:rPr>
                <w:rFonts w:ascii="Calibri"/>
                <w:b/>
                <w:color w:val="FFFFFF"/>
                <w:sz w:val="20"/>
              </w:rPr>
              <w:t>Not</w:t>
            </w:r>
            <w:r>
              <w:rPr>
                <w:rFonts w:ascii="Calibri"/>
                <w:b/>
                <w:color w:val="FFFFFF"/>
                <w:spacing w:val="-4"/>
                <w:sz w:val="20"/>
              </w:rPr>
              <w:t xml:space="preserve"> </w:t>
            </w:r>
            <w:r>
              <w:rPr>
                <w:rFonts w:ascii="Calibri"/>
                <w:b/>
                <w:color w:val="FFFFFF"/>
                <w:spacing w:val="-2"/>
                <w:sz w:val="20"/>
              </w:rPr>
              <w:t>started</w:t>
            </w:r>
          </w:p>
        </w:tc>
        <w:tc>
          <w:tcPr>
            <w:tcW w:w="1527" w:type="dxa"/>
            <w:tcBorders>
              <w:bottom w:val="single" w:sz="4" w:space="0" w:color="BEBEBE"/>
            </w:tcBorders>
            <w:shd w:val="clear" w:color="auto" w:fill="17365A"/>
          </w:tcPr>
          <w:p w14:paraId="498AC621" w14:textId="77777777" w:rsidR="00BC24A8" w:rsidRDefault="00000000">
            <w:pPr>
              <w:pStyle w:val="TableParagraph"/>
              <w:spacing w:before="59"/>
              <w:ind w:left="64" w:right="4"/>
              <w:jc w:val="center"/>
              <w:rPr>
                <w:rFonts w:ascii="Calibri"/>
                <w:b/>
                <w:sz w:val="20"/>
              </w:rPr>
            </w:pPr>
            <w:r>
              <w:rPr>
                <w:rFonts w:ascii="Calibri"/>
                <w:b/>
                <w:color w:val="FFFFFF"/>
                <w:spacing w:val="-2"/>
                <w:sz w:val="20"/>
              </w:rPr>
              <w:t>Total</w:t>
            </w:r>
          </w:p>
        </w:tc>
      </w:tr>
      <w:tr w:rsidR="00BC24A8" w14:paraId="366D4751" w14:textId="77777777">
        <w:trPr>
          <w:trHeight w:val="393"/>
        </w:trPr>
        <w:tc>
          <w:tcPr>
            <w:tcW w:w="1348" w:type="dxa"/>
            <w:tcBorders>
              <w:top w:val="single" w:sz="4" w:space="0" w:color="BEBEBE"/>
              <w:bottom w:val="single" w:sz="4" w:space="0" w:color="BEBEBE"/>
            </w:tcBorders>
          </w:tcPr>
          <w:p w14:paraId="040227FF" w14:textId="77777777" w:rsidR="00BC24A8" w:rsidRDefault="00000000">
            <w:pPr>
              <w:pStyle w:val="TableParagraph"/>
              <w:spacing w:before="116"/>
              <w:ind w:left="107"/>
              <w:rPr>
                <w:sz w:val="18"/>
              </w:rPr>
            </w:pPr>
            <w:r>
              <w:rPr>
                <w:spacing w:val="-5"/>
                <w:sz w:val="18"/>
              </w:rPr>
              <w:t>DNA</w:t>
            </w:r>
          </w:p>
        </w:tc>
        <w:tc>
          <w:tcPr>
            <w:tcW w:w="2101" w:type="dxa"/>
            <w:tcBorders>
              <w:top w:val="single" w:sz="4" w:space="0" w:color="BEBEBE"/>
              <w:bottom w:val="single" w:sz="4" w:space="0" w:color="BEBEBE"/>
            </w:tcBorders>
          </w:tcPr>
          <w:p w14:paraId="61C5224C" w14:textId="77777777" w:rsidR="00BC24A8" w:rsidRDefault="00000000">
            <w:pPr>
              <w:pStyle w:val="TableParagraph"/>
              <w:spacing w:before="87"/>
              <w:ind w:left="147"/>
              <w:jc w:val="center"/>
              <w:rPr>
                <w:sz w:val="18"/>
              </w:rPr>
            </w:pPr>
            <w:r>
              <w:rPr>
                <w:spacing w:val="-5"/>
                <w:sz w:val="18"/>
              </w:rPr>
              <w:t>11</w:t>
            </w:r>
          </w:p>
        </w:tc>
        <w:tc>
          <w:tcPr>
            <w:tcW w:w="1682" w:type="dxa"/>
            <w:tcBorders>
              <w:top w:val="single" w:sz="4" w:space="0" w:color="BEBEBE"/>
              <w:bottom w:val="single" w:sz="4" w:space="0" w:color="BEBEBE"/>
            </w:tcBorders>
          </w:tcPr>
          <w:p w14:paraId="62C1B472" w14:textId="77777777" w:rsidR="00BC24A8" w:rsidRDefault="00000000">
            <w:pPr>
              <w:pStyle w:val="TableParagraph"/>
              <w:spacing w:before="87"/>
              <w:ind w:left="55"/>
              <w:jc w:val="center"/>
              <w:rPr>
                <w:sz w:val="18"/>
              </w:rPr>
            </w:pPr>
            <w:r>
              <w:rPr>
                <w:spacing w:val="-10"/>
                <w:sz w:val="18"/>
              </w:rPr>
              <w:t>0</w:t>
            </w:r>
          </w:p>
        </w:tc>
        <w:tc>
          <w:tcPr>
            <w:tcW w:w="2003" w:type="dxa"/>
            <w:tcBorders>
              <w:top w:val="single" w:sz="4" w:space="0" w:color="BEBEBE"/>
              <w:bottom w:val="single" w:sz="4" w:space="0" w:color="BEBEBE"/>
            </w:tcBorders>
          </w:tcPr>
          <w:p w14:paraId="3C345667" w14:textId="77777777" w:rsidR="00BC24A8" w:rsidRDefault="00000000">
            <w:pPr>
              <w:pStyle w:val="TableParagraph"/>
              <w:spacing w:before="87"/>
              <w:ind w:right="118"/>
              <w:jc w:val="center"/>
              <w:rPr>
                <w:sz w:val="18"/>
              </w:rPr>
            </w:pPr>
            <w:r>
              <w:rPr>
                <w:spacing w:val="-10"/>
                <w:sz w:val="18"/>
              </w:rPr>
              <w:t>4</w:t>
            </w:r>
          </w:p>
        </w:tc>
        <w:tc>
          <w:tcPr>
            <w:tcW w:w="1527" w:type="dxa"/>
            <w:tcBorders>
              <w:top w:val="single" w:sz="4" w:space="0" w:color="BEBEBE"/>
              <w:bottom w:val="single" w:sz="4" w:space="0" w:color="BEBEBE"/>
            </w:tcBorders>
          </w:tcPr>
          <w:p w14:paraId="3EE370DB" w14:textId="77777777" w:rsidR="00BC24A8" w:rsidRDefault="00000000">
            <w:pPr>
              <w:pStyle w:val="TableParagraph"/>
              <w:spacing w:before="59"/>
              <w:ind w:left="64"/>
              <w:jc w:val="center"/>
              <w:rPr>
                <w:sz w:val="18"/>
              </w:rPr>
            </w:pPr>
            <w:r>
              <w:rPr>
                <w:spacing w:val="-5"/>
                <w:sz w:val="18"/>
              </w:rPr>
              <w:t>15</w:t>
            </w:r>
          </w:p>
        </w:tc>
      </w:tr>
      <w:tr w:rsidR="00BC24A8" w14:paraId="410B8BAF" w14:textId="77777777">
        <w:trPr>
          <w:trHeight w:val="393"/>
        </w:trPr>
        <w:tc>
          <w:tcPr>
            <w:tcW w:w="1348" w:type="dxa"/>
            <w:tcBorders>
              <w:top w:val="single" w:sz="4" w:space="0" w:color="BEBEBE"/>
              <w:bottom w:val="single" w:sz="4" w:space="0" w:color="BEBEBE"/>
            </w:tcBorders>
          </w:tcPr>
          <w:p w14:paraId="1955CC63" w14:textId="77777777" w:rsidR="00BC24A8" w:rsidRDefault="00000000">
            <w:pPr>
              <w:pStyle w:val="TableParagraph"/>
              <w:spacing w:before="116"/>
              <w:ind w:left="107"/>
              <w:rPr>
                <w:sz w:val="18"/>
              </w:rPr>
            </w:pPr>
            <w:r>
              <w:rPr>
                <w:spacing w:val="-5"/>
                <w:sz w:val="18"/>
              </w:rPr>
              <w:t>SPM</w:t>
            </w:r>
          </w:p>
        </w:tc>
        <w:tc>
          <w:tcPr>
            <w:tcW w:w="2101" w:type="dxa"/>
            <w:tcBorders>
              <w:top w:val="single" w:sz="4" w:space="0" w:color="BEBEBE"/>
              <w:bottom w:val="single" w:sz="4" w:space="0" w:color="BEBEBE"/>
            </w:tcBorders>
          </w:tcPr>
          <w:p w14:paraId="0B8EC344" w14:textId="77777777" w:rsidR="00BC24A8" w:rsidRDefault="00000000">
            <w:pPr>
              <w:pStyle w:val="TableParagraph"/>
              <w:spacing w:before="87"/>
              <w:ind w:left="147"/>
              <w:jc w:val="center"/>
              <w:rPr>
                <w:sz w:val="18"/>
              </w:rPr>
            </w:pPr>
            <w:r>
              <w:rPr>
                <w:spacing w:val="-5"/>
                <w:sz w:val="18"/>
              </w:rPr>
              <w:t>15</w:t>
            </w:r>
          </w:p>
        </w:tc>
        <w:tc>
          <w:tcPr>
            <w:tcW w:w="1682" w:type="dxa"/>
            <w:tcBorders>
              <w:top w:val="single" w:sz="4" w:space="0" w:color="BEBEBE"/>
              <w:bottom w:val="single" w:sz="4" w:space="0" w:color="BEBEBE"/>
            </w:tcBorders>
          </w:tcPr>
          <w:p w14:paraId="7EE5BE3F" w14:textId="77777777" w:rsidR="00BC24A8" w:rsidRDefault="00000000">
            <w:pPr>
              <w:pStyle w:val="TableParagraph"/>
              <w:spacing w:before="87"/>
              <w:ind w:left="55"/>
              <w:jc w:val="center"/>
              <w:rPr>
                <w:sz w:val="18"/>
              </w:rPr>
            </w:pPr>
            <w:r>
              <w:rPr>
                <w:spacing w:val="-10"/>
                <w:sz w:val="18"/>
              </w:rPr>
              <w:t>1</w:t>
            </w:r>
          </w:p>
        </w:tc>
        <w:tc>
          <w:tcPr>
            <w:tcW w:w="2003" w:type="dxa"/>
            <w:tcBorders>
              <w:top w:val="single" w:sz="4" w:space="0" w:color="BEBEBE"/>
              <w:bottom w:val="single" w:sz="4" w:space="0" w:color="BEBEBE"/>
            </w:tcBorders>
          </w:tcPr>
          <w:p w14:paraId="4EC08014" w14:textId="77777777" w:rsidR="00BC24A8" w:rsidRDefault="00000000">
            <w:pPr>
              <w:pStyle w:val="TableParagraph"/>
              <w:spacing w:before="87"/>
              <w:ind w:right="118"/>
              <w:jc w:val="center"/>
              <w:rPr>
                <w:sz w:val="18"/>
              </w:rPr>
            </w:pPr>
            <w:r>
              <w:rPr>
                <w:spacing w:val="-10"/>
                <w:sz w:val="18"/>
              </w:rPr>
              <w:t>3</w:t>
            </w:r>
          </w:p>
        </w:tc>
        <w:tc>
          <w:tcPr>
            <w:tcW w:w="1527" w:type="dxa"/>
            <w:tcBorders>
              <w:top w:val="single" w:sz="4" w:space="0" w:color="BEBEBE"/>
              <w:bottom w:val="single" w:sz="4" w:space="0" w:color="BEBEBE"/>
            </w:tcBorders>
          </w:tcPr>
          <w:p w14:paraId="49FE6F95" w14:textId="77777777" w:rsidR="00BC24A8" w:rsidRDefault="00000000">
            <w:pPr>
              <w:pStyle w:val="TableParagraph"/>
              <w:spacing w:before="59"/>
              <w:ind w:left="64"/>
              <w:jc w:val="center"/>
              <w:rPr>
                <w:sz w:val="18"/>
              </w:rPr>
            </w:pPr>
            <w:r>
              <w:rPr>
                <w:spacing w:val="-5"/>
                <w:sz w:val="18"/>
              </w:rPr>
              <w:t>19</w:t>
            </w:r>
          </w:p>
        </w:tc>
      </w:tr>
      <w:tr w:rsidR="00BC24A8" w14:paraId="402B768D" w14:textId="77777777">
        <w:trPr>
          <w:trHeight w:val="393"/>
        </w:trPr>
        <w:tc>
          <w:tcPr>
            <w:tcW w:w="1348" w:type="dxa"/>
            <w:tcBorders>
              <w:top w:val="single" w:sz="4" w:space="0" w:color="BEBEBE"/>
              <w:bottom w:val="single" w:sz="4" w:space="0" w:color="BEBEBE"/>
            </w:tcBorders>
          </w:tcPr>
          <w:p w14:paraId="72FA8945" w14:textId="77777777" w:rsidR="00BC24A8" w:rsidRDefault="00000000">
            <w:pPr>
              <w:pStyle w:val="TableParagraph"/>
              <w:spacing w:before="119"/>
              <w:ind w:left="107"/>
              <w:rPr>
                <w:sz w:val="18"/>
              </w:rPr>
            </w:pPr>
            <w:r>
              <w:rPr>
                <w:spacing w:val="-5"/>
                <w:sz w:val="18"/>
              </w:rPr>
              <w:t>PFM</w:t>
            </w:r>
          </w:p>
        </w:tc>
        <w:tc>
          <w:tcPr>
            <w:tcW w:w="2101" w:type="dxa"/>
            <w:tcBorders>
              <w:top w:val="single" w:sz="4" w:space="0" w:color="BEBEBE"/>
              <w:bottom w:val="single" w:sz="4" w:space="0" w:color="BEBEBE"/>
            </w:tcBorders>
          </w:tcPr>
          <w:p w14:paraId="10710DF6" w14:textId="77777777" w:rsidR="00BC24A8" w:rsidRDefault="00000000">
            <w:pPr>
              <w:pStyle w:val="TableParagraph"/>
              <w:spacing w:before="87"/>
              <w:ind w:left="147"/>
              <w:jc w:val="center"/>
              <w:rPr>
                <w:sz w:val="18"/>
              </w:rPr>
            </w:pPr>
            <w:r>
              <w:rPr>
                <w:spacing w:val="-10"/>
                <w:sz w:val="18"/>
              </w:rPr>
              <w:t>5</w:t>
            </w:r>
          </w:p>
        </w:tc>
        <w:tc>
          <w:tcPr>
            <w:tcW w:w="1682" w:type="dxa"/>
            <w:tcBorders>
              <w:top w:val="single" w:sz="4" w:space="0" w:color="BEBEBE"/>
              <w:bottom w:val="single" w:sz="4" w:space="0" w:color="BEBEBE"/>
            </w:tcBorders>
          </w:tcPr>
          <w:p w14:paraId="5C314D70" w14:textId="77777777" w:rsidR="00BC24A8" w:rsidRDefault="00000000">
            <w:pPr>
              <w:pStyle w:val="TableParagraph"/>
              <w:spacing w:before="87"/>
              <w:ind w:left="55"/>
              <w:jc w:val="center"/>
              <w:rPr>
                <w:sz w:val="18"/>
              </w:rPr>
            </w:pPr>
            <w:r>
              <w:rPr>
                <w:spacing w:val="-10"/>
                <w:sz w:val="18"/>
              </w:rPr>
              <w:t>2</w:t>
            </w:r>
          </w:p>
        </w:tc>
        <w:tc>
          <w:tcPr>
            <w:tcW w:w="2003" w:type="dxa"/>
            <w:tcBorders>
              <w:top w:val="single" w:sz="4" w:space="0" w:color="BEBEBE"/>
              <w:bottom w:val="single" w:sz="4" w:space="0" w:color="BEBEBE"/>
            </w:tcBorders>
          </w:tcPr>
          <w:p w14:paraId="6A74AEEE" w14:textId="77777777" w:rsidR="00BC24A8" w:rsidRDefault="00000000">
            <w:pPr>
              <w:pStyle w:val="TableParagraph"/>
              <w:spacing w:before="87"/>
              <w:ind w:right="118"/>
              <w:jc w:val="center"/>
              <w:rPr>
                <w:sz w:val="18"/>
              </w:rPr>
            </w:pPr>
            <w:r>
              <w:rPr>
                <w:spacing w:val="-10"/>
                <w:sz w:val="18"/>
              </w:rPr>
              <w:t>4</w:t>
            </w:r>
          </w:p>
        </w:tc>
        <w:tc>
          <w:tcPr>
            <w:tcW w:w="1527" w:type="dxa"/>
            <w:tcBorders>
              <w:top w:val="single" w:sz="4" w:space="0" w:color="BEBEBE"/>
              <w:bottom w:val="single" w:sz="4" w:space="0" w:color="BEBEBE"/>
            </w:tcBorders>
          </w:tcPr>
          <w:p w14:paraId="1967DA39" w14:textId="77777777" w:rsidR="00BC24A8" w:rsidRDefault="00000000">
            <w:pPr>
              <w:pStyle w:val="TableParagraph"/>
              <w:spacing w:before="59"/>
              <w:ind w:left="64"/>
              <w:jc w:val="center"/>
              <w:rPr>
                <w:sz w:val="18"/>
              </w:rPr>
            </w:pPr>
            <w:r>
              <w:rPr>
                <w:spacing w:val="-5"/>
                <w:sz w:val="18"/>
              </w:rPr>
              <w:t>11</w:t>
            </w:r>
          </w:p>
        </w:tc>
      </w:tr>
      <w:tr w:rsidR="00BC24A8" w14:paraId="5585F9F7" w14:textId="77777777">
        <w:trPr>
          <w:trHeight w:val="395"/>
        </w:trPr>
        <w:tc>
          <w:tcPr>
            <w:tcW w:w="1348" w:type="dxa"/>
            <w:tcBorders>
              <w:top w:val="single" w:sz="4" w:space="0" w:color="BEBEBE"/>
              <w:bottom w:val="single" w:sz="4" w:space="0" w:color="BEBEBE"/>
            </w:tcBorders>
          </w:tcPr>
          <w:p w14:paraId="5E6FE1C0" w14:textId="77777777" w:rsidR="00BC24A8" w:rsidRDefault="00000000">
            <w:pPr>
              <w:pStyle w:val="TableParagraph"/>
              <w:spacing w:before="119"/>
              <w:ind w:left="107"/>
              <w:rPr>
                <w:sz w:val="18"/>
              </w:rPr>
            </w:pPr>
            <w:r>
              <w:rPr>
                <w:spacing w:val="-2"/>
                <w:sz w:val="18"/>
              </w:rPr>
              <w:t>GEDSI</w:t>
            </w:r>
          </w:p>
        </w:tc>
        <w:tc>
          <w:tcPr>
            <w:tcW w:w="2101" w:type="dxa"/>
            <w:tcBorders>
              <w:top w:val="single" w:sz="4" w:space="0" w:color="BEBEBE"/>
              <w:bottom w:val="single" w:sz="4" w:space="0" w:color="BEBEBE"/>
            </w:tcBorders>
          </w:tcPr>
          <w:p w14:paraId="05347D7D" w14:textId="77777777" w:rsidR="00BC24A8" w:rsidRDefault="00000000">
            <w:pPr>
              <w:pStyle w:val="TableParagraph"/>
              <w:spacing w:before="87"/>
              <w:ind w:left="147"/>
              <w:jc w:val="center"/>
              <w:rPr>
                <w:sz w:val="18"/>
              </w:rPr>
            </w:pPr>
            <w:r>
              <w:rPr>
                <w:spacing w:val="-10"/>
                <w:sz w:val="18"/>
              </w:rPr>
              <w:t>1</w:t>
            </w:r>
          </w:p>
        </w:tc>
        <w:tc>
          <w:tcPr>
            <w:tcW w:w="1682" w:type="dxa"/>
            <w:tcBorders>
              <w:top w:val="single" w:sz="4" w:space="0" w:color="BEBEBE"/>
              <w:bottom w:val="single" w:sz="4" w:space="0" w:color="BEBEBE"/>
            </w:tcBorders>
          </w:tcPr>
          <w:p w14:paraId="49BEC5C1" w14:textId="77777777" w:rsidR="00BC24A8" w:rsidRDefault="00000000">
            <w:pPr>
              <w:pStyle w:val="TableParagraph"/>
              <w:spacing w:before="87"/>
              <w:ind w:left="55"/>
              <w:jc w:val="center"/>
              <w:rPr>
                <w:sz w:val="18"/>
              </w:rPr>
            </w:pPr>
            <w:r>
              <w:rPr>
                <w:spacing w:val="-10"/>
                <w:sz w:val="18"/>
              </w:rPr>
              <w:t>3</w:t>
            </w:r>
          </w:p>
        </w:tc>
        <w:tc>
          <w:tcPr>
            <w:tcW w:w="2003" w:type="dxa"/>
            <w:tcBorders>
              <w:top w:val="single" w:sz="4" w:space="0" w:color="BEBEBE"/>
              <w:bottom w:val="single" w:sz="4" w:space="0" w:color="BEBEBE"/>
            </w:tcBorders>
          </w:tcPr>
          <w:p w14:paraId="36B5506F" w14:textId="77777777" w:rsidR="00BC24A8" w:rsidRDefault="00000000">
            <w:pPr>
              <w:pStyle w:val="TableParagraph"/>
              <w:spacing w:before="87"/>
              <w:ind w:right="118"/>
              <w:jc w:val="center"/>
              <w:rPr>
                <w:sz w:val="18"/>
              </w:rPr>
            </w:pPr>
            <w:r>
              <w:rPr>
                <w:spacing w:val="-10"/>
                <w:sz w:val="18"/>
              </w:rPr>
              <w:t>1</w:t>
            </w:r>
          </w:p>
        </w:tc>
        <w:tc>
          <w:tcPr>
            <w:tcW w:w="1527" w:type="dxa"/>
            <w:tcBorders>
              <w:top w:val="single" w:sz="4" w:space="0" w:color="BEBEBE"/>
              <w:bottom w:val="single" w:sz="4" w:space="0" w:color="BEBEBE"/>
            </w:tcBorders>
          </w:tcPr>
          <w:p w14:paraId="64DB8B90" w14:textId="77777777" w:rsidR="00BC24A8" w:rsidRDefault="00000000">
            <w:pPr>
              <w:pStyle w:val="TableParagraph"/>
              <w:spacing w:before="59"/>
              <w:ind w:left="64"/>
              <w:jc w:val="center"/>
              <w:rPr>
                <w:sz w:val="18"/>
              </w:rPr>
            </w:pPr>
            <w:r>
              <w:rPr>
                <w:spacing w:val="-10"/>
                <w:sz w:val="18"/>
              </w:rPr>
              <w:t>5</w:t>
            </w:r>
          </w:p>
        </w:tc>
      </w:tr>
      <w:tr w:rsidR="00BC24A8" w14:paraId="56B63B77" w14:textId="77777777">
        <w:trPr>
          <w:trHeight w:val="412"/>
        </w:trPr>
        <w:tc>
          <w:tcPr>
            <w:tcW w:w="1348" w:type="dxa"/>
            <w:tcBorders>
              <w:top w:val="single" w:sz="4" w:space="0" w:color="BEBEBE"/>
              <w:bottom w:val="single" w:sz="4" w:space="0" w:color="BEBEBE"/>
            </w:tcBorders>
            <w:shd w:val="clear" w:color="auto" w:fill="A7A9AC"/>
          </w:tcPr>
          <w:p w14:paraId="0FD34CBA" w14:textId="77777777" w:rsidR="00BC24A8" w:rsidRDefault="00000000">
            <w:pPr>
              <w:pStyle w:val="TableParagraph"/>
              <w:spacing w:before="90"/>
              <w:ind w:left="107"/>
              <w:rPr>
                <w:rFonts w:ascii="Calibri"/>
                <w:b/>
                <w:sz w:val="18"/>
              </w:rPr>
            </w:pPr>
            <w:r w:rsidRPr="00795364">
              <w:rPr>
                <w:rFonts w:ascii="Calibri"/>
                <w:b/>
                <w:color w:val="000000"/>
                <w:spacing w:val="-2"/>
                <w:sz w:val="18"/>
              </w:rPr>
              <w:t>Total</w:t>
            </w:r>
          </w:p>
        </w:tc>
        <w:tc>
          <w:tcPr>
            <w:tcW w:w="2101" w:type="dxa"/>
            <w:tcBorders>
              <w:top w:val="single" w:sz="4" w:space="0" w:color="BEBEBE"/>
              <w:bottom w:val="single" w:sz="4" w:space="0" w:color="BEBEBE"/>
            </w:tcBorders>
            <w:shd w:val="clear" w:color="auto" w:fill="A7A9AC"/>
          </w:tcPr>
          <w:p w14:paraId="383346CD" w14:textId="77777777" w:rsidR="00BC24A8" w:rsidRDefault="00000000">
            <w:pPr>
              <w:pStyle w:val="TableParagraph"/>
              <w:spacing w:before="90"/>
              <w:ind w:left="147"/>
              <w:jc w:val="center"/>
              <w:rPr>
                <w:rFonts w:ascii="Calibri"/>
                <w:b/>
                <w:sz w:val="18"/>
              </w:rPr>
            </w:pPr>
            <w:r w:rsidRPr="00795364">
              <w:rPr>
                <w:rFonts w:ascii="Calibri"/>
                <w:b/>
                <w:color w:val="000000"/>
                <w:spacing w:val="-5"/>
                <w:sz w:val="18"/>
              </w:rPr>
              <w:t>32</w:t>
            </w:r>
          </w:p>
        </w:tc>
        <w:tc>
          <w:tcPr>
            <w:tcW w:w="1682" w:type="dxa"/>
            <w:tcBorders>
              <w:top w:val="single" w:sz="4" w:space="0" w:color="BEBEBE"/>
              <w:bottom w:val="single" w:sz="4" w:space="0" w:color="BEBEBE"/>
            </w:tcBorders>
            <w:shd w:val="clear" w:color="auto" w:fill="A7A9AC"/>
          </w:tcPr>
          <w:p w14:paraId="222FE809" w14:textId="77777777" w:rsidR="00BC24A8" w:rsidRDefault="00000000">
            <w:pPr>
              <w:pStyle w:val="TableParagraph"/>
              <w:spacing w:before="90"/>
              <w:ind w:left="55"/>
              <w:jc w:val="center"/>
              <w:rPr>
                <w:rFonts w:ascii="Calibri"/>
                <w:b/>
                <w:sz w:val="18"/>
              </w:rPr>
            </w:pPr>
            <w:r w:rsidRPr="00795364">
              <w:rPr>
                <w:rFonts w:ascii="Calibri"/>
                <w:b/>
                <w:color w:val="000000"/>
                <w:spacing w:val="-10"/>
                <w:sz w:val="18"/>
              </w:rPr>
              <w:t>6</w:t>
            </w:r>
          </w:p>
        </w:tc>
        <w:tc>
          <w:tcPr>
            <w:tcW w:w="2003" w:type="dxa"/>
            <w:tcBorders>
              <w:top w:val="single" w:sz="4" w:space="0" w:color="BEBEBE"/>
              <w:bottom w:val="single" w:sz="4" w:space="0" w:color="BEBEBE"/>
            </w:tcBorders>
            <w:shd w:val="clear" w:color="auto" w:fill="A7A9AC"/>
          </w:tcPr>
          <w:p w14:paraId="22E578A3" w14:textId="77777777" w:rsidR="00BC24A8" w:rsidRDefault="00000000">
            <w:pPr>
              <w:pStyle w:val="TableParagraph"/>
              <w:spacing w:before="90"/>
              <w:ind w:right="118"/>
              <w:jc w:val="center"/>
              <w:rPr>
                <w:rFonts w:ascii="Calibri"/>
                <w:b/>
                <w:sz w:val="18"/>
              </w:rPr>
            </w:pPr>
            <w:r w:rsidRPr="00795364">
              <w:rPr>
                <w:rFonts w:ascii="Calibri"/>
                <w:b/>
                <w:color w:val="000000"/>
                <w:spacing w:val="-5"/>
                <w:sz w:val="18"/>
              </w:rPr>
              <w:t>12</w:t>
            </w:r>
          </w:p>
        </w:tc>
        <w:tc>
          <w:tcPr>
            <w:tcW w:w="1527" w:type="dxa"/>
            <w:tcBorders>
              <w:top w:val="single" w:sz="4" w:space="0" w:color="BEBEBE"/>
              <w:bottom w:val="single" w:sz="4" w:space="0" w:color="BEBEBE"/>
            </w:tcBorders>
            <w:shd w:val="clear" w:color="auto" w:fill="A7A9AC"/>
          </w:tcPr>
          <w:p w14:paraId="5851D71C" w14:textId="77777777" w:rsidR="00BC24A8" w:rsidRDefault="00000000">
            <w:pPr>
              <w:pStyle w:val="TableParagraph"/>
              <w:spacing w:before="90"/>
              <w:ind w:left="64"/>
              <w:jc w:val="center"/>
              <w:rPr>
                <w:rFonts w:ascii="Calibri"/>
                <w:b/>
                <w:sz w:val="18"/>
              </w:rPr>
            </w:pPr>
            <w:r w:rsidRPr="00795364">
              <w:rPr>
                <w:rFonts w:ascii="Calibri"/>
                <w:b/>
                <w:color w:val="000000"/>
                <w:spacing w:val="-5"/>
                <w:sz w:val="18"/>
              </w:rPr>
              <w:t>50</w:t>
            </w:r>
          </w:p>
        </w:tc>
      </w:tr>
    </w:tbl>
    <w:p w14:paraId="28142C75" w14:textId="77777777" w:rsidR="00BC24A8" w:rsidRDefault="00000000">
      <w:pPr>
        <w:spacing w:before="126"/>
        <w:ind w:left="143"/>
        <w:rPr>
          <w:sz w:val="16"/>
        </w:rPr>
      </w:pPr>
      <w:r>
        <w:rPr>
          <w:sz w:val="16"/>
        </w:rPr>
        <w:t>Source:</w:t>
      </w:r>
      <w:r>
        <w:rPr>
          <w:spacing w:val="-6"/>
          <w:sz w:val="16"/>
        </w:rPr>
        <w:t xml:space="preserve"> </w:t>
      </w:r>
      <w:r>
        <w:rPr>
          <w:sz w:val="16"/>
        </w:rPr>
        <w:t>MIS</w:t>
      </w:r>
      <w:r>
        <w:rPr>
          <w:spacing w:val="-6"/>
          <w:sz w:val="16"/>
        </w:rPr>
        <w:t xml:space="preserve"> </w:t>
      </w:r>
      <w:r>
        <w:rPr>
          <w:sz w:val="16"/>
        </w:rPr>
        <w:t>Data</w:t>
      </w:r>
      <w:r>
        <w:rPr>
          <w:spacing w:val="-5"/>
          <w:sz w:val="16"/>
        </w:rPr>
        <w:t xml:space="preserve"> </w:t>
      </w:r>
      <w:r>
        <w:rPr>
          <w:sz w:val="16"/>
        </w:rPr>
        <w:t>for</w:t>
      </w:r>
      <w:r>
        <w:rPr>
          <w:spacing w:val="-6"/>
          <w:sz w:val="16"/>
        </w:rPr>
        <w:t xml:space="preserve"> </w:t>
      </w:r>
      <w:r>
        <w:rPr>
          <w:sz w:val="16"/>
        </w:rPr>
        <w:t>Provincial</w:t>
      </w:r>
      <w:r>
        <w:rPr>
          <w:spacing w:val="-5"/>
          <w:sz w:val="16"/>
        </w:rPr>
        <w:t xml:space="preserve"> </w:t>
      </w:r>
      <w:r>
        <w:rPr>
          <w:sz w:val="16"/>
        </w:rPr>
        <w:t>Report</w:t>
      </w:r>
      <w:r>
        <w:rPr>
          <w:spacing w:val="-8"/>
          <w:sz w:val="16"/>
        </w:rPr>
        <w:t xml:space="preserve"> </w:t>
      </w:r>
      <w:r>
        <w:rPr>
          <w:sz w:val="16"/>
        </w:rPr>
        <w:t>retrieved</w:t>
      </w:r>
      <w:r>
        <w:rPr>
          <w:spacing w:val="-5"/>
          <w:sz w:val="16"/>
        </w:rPr>
        <w:t xml:space="preserve"> </w:t>
      </w:r>
      <w:r>
        <w:rPr>
          <w:sz w:val="16"/>
        </w:rPr>
        <w:t>on</w:t>
      </w:r>
      <w:r>
        <w:rPr>
          <w:spacing w:val="-8"/>
          <w:sz w:val="16"/>
        </w:rPr>
        <w:t xml:space="preserve"> </w:t>
      </w:r>
      <w:r>
        <w:rPr>
          <w:sz w:val="16"/>
        </w:rPr>
        <w:t>August</w:t>
      </w:r>
      <w:r>
        <w:rPr>
          <w:spacing w:val="-6"/>
          <w:sz w:val="16"/>
        </w:rPr>
        <w:t xml:space="preserve"> </w:t>
      </w:r>
      <w:r>
        <w:rPr>
          <w:sz w:val="16"/>
        </w:rPr>
        <w:t>6,</w:t>
      </w:r>
      <w:r>
        <w:rPr>
          <w:spacing w:val="-7"/>
          <w:sz w:val="16"/>
        </w:rPr>
        <w:t xml:space="preserve"> </w:t>
      </w:r>
      <w:r>
        <w:rPr>
          <w:sz w:val="16"/>
        </w:rPr>
        <w:t>2025,</w:t>
      </w:r>
      <w:r>
        <w:rPr>
          <w:spacing w:val="-6"/>
          <w:sz w:val="16"/>
        </w:rPr>
        <w:t xml:space="preserve"> </w:t>
      </w:r>
      <w:r>
        <w:rPr>
          <w:sz w:val="16"/>
        </w:rPr>
        <w:t>09.20</w:t>
      </w:r>
      <w:r>
        <w:rPr>
          <w:spacing w:val="-6"/>
          <w:sz w:val="16"/>
        </w:rPr>
        <w:t xml:space="preserve"> </w:t>
      </w:r>
      <w:r>
        <w:rPr>
          <w:spacing w:val="-4"/>
          <w:sz w:val="16"/>
        </w:rPr>
        <w:t>WITA</w:t>
      </w:r>
    </w:p>
    <w:p w14:paraId="28FA5162" w14:textId="77777777" w:rsidR="00BC24A8" w:rsidRDefault="00BC24A8">
      <w:pPr>
        <w:pStyle w:val="BodyText"/>
        <w:rPr>
          <w:sz w:val="16"/>
        </w:rPr>
      </w:pPr>
    </w:p>
    <w:p w14:paraId="2610DE04" w14:textId="77777777" w:rsidR="00BC24A8" w:rsidRDefault="00BC24A8">
      <w:pPr>
        <w:pStyle w:val="BodyText"/>
        <w:rPr>
          <w:sz w:val="16"/>
        </w:rPr>
      </w:pPr>
    </w:p>
    <w:p w14:paraId="702208E1" w14:textId="77777777" w:rsidR="00BC24A8" w:rsidRDefault="00BC24A8">
      <w:pPr>
        <w:pStyle w:val="BodyText"/>
        <w:spacing w:before="56"/>
        <w:rPr>
          <w:sz w:val="16"/>
        </w:rPr>
      </w:pPr>
    </w:p>
    <w:p w14:paraId="64BBA03D" w14:textId="77777777" w:rsidR="00BC24A8" w:rsidRDefault="00000000">
      <w:pPr>
        <w:pStyle w:val="Heading5"/>
      </w:pPr>
      <w:r>
        <w:t>Overview</w:t>
      </w:r>
      <w:r>
        <w:rPr>
          <w:spacing w:val="-5"/>
        </w:rPr>
        <w:t xml:space="preserve"> </w:t>
      </w:r>
      <w:r>
        <w:t>of</w:t>
      </w:r>
      <w:r>
        <w:rPr>
          <w:spacing w:val="-5"/>
        </w:rPr>
        <w:t xml:space="preserve"> </w:t>
      </w:r>
      <w:r>
        <w:t>completed</w:t>
      </w:r>
      <w:r>
        <w:rPr>
          <w:spacing w:val="-6"/>
        </w:rPr>
        <w:t xml:space="preserve"> </w:t>
      </w:r>
      <w:r>
        <w:t>outputs</w:t>
      </w:r>
      <w:r>
        <w:rPr>
          <w:spacing w:val="-4"/>
        </w:rPr>
        <w:t xml:space="preserve"> </w:t>
      </w:r>
      <w:r>
        <w:t>from</w:t>
      </w:r>
      <w:r>
        <w:rPr>
          <w:spacing w:val="-7"/>
        </w:rPr>
        <w:t xml:space="preserve"> </w:t>
      </w:r>
      <w:r>
        <w:t>the</w:t>
      </w:r>
      <w:r>
        <w:rPr>
          <w:spacing w:val="-6"/>
        </w:rPr>
        <w:t xml:space="preserve"> </w:t>
      </w:r>
      <w:r>
        <w:t>FY</w:t>
      </w:r>
      <w:r>
        <w:rPr>
          <w:spacing w:val="-7"/>
        </w:rPr>
        <w:t xml:space="preserve"> </w:t>
      </w:r>
      <w:r>
        <w:t>24/25</w:t>
      </w:r>
      <w:r>
        <w:rPr>
          <w:spacing w:val="-6"/>
        </w:rPr>
        <w:t xml:space="preserve"> </w:t>
      </w:r>
      <w:r>
        <w:t>work</w:t>
      </w:r>
      <w:r>
        <w:rPr>
          <w:spacing w:val="-5"/>
        </w:rPr>
        <w:t xml:space="preserve"> </w:t>
      </w:r>
      <w:r>
        <w:rPr>
          <w:spacing w:val="-2"/>
        </w:rPr>
        <w:t>plan:</w:t>
      </w:r>
    </w:p>
    <w:p w14:paraId="0CFF31C9" w14:textId="77777777" w:rsidR="00BC24A8" w:rsidRDefault="00000000">
      <w:pPr>
        <w:pStyle w:val="ListParagraph"/>
        <w:numPr>
          <w:ilvl w:val="2"/>
          <w:numId w:val="79"/>
        </w:numPr>
        <w:tabs>
          <w:tab w:val="left" w:pos="501"/>
        </w:tabs>
        <w:spacing w:before="159"/>
        <w:ind w:left="501" w:hanging="358"/>
        <w:jc w:val="left"/>
        <w:rPr>
          <w:rFonts w:ascii="Calibri"/>
          <w:b/>
        </w:rPr>
      </w:pPr>
      <w:r>
        <w:rPr>
          <w:rFonts w:ascii="Calibri"/>
          <w:b/>
          <w:spacing w:val="-5"/>
        </w:rPr>
        <w:t>DNA</w:t>
      </w:r>
    </w:p>
    <w:p w14:paraId="35259588" w14:textId="77777777" w:rsidR="00BC24A8" w:rsidRDefault="00000000">
      <w:pPr>
        <w:pStyle w:val="ListParagraph"/>
        <w:numPr>
          <w:ilvl w:val="3"/>
          <w:numId w:val="79"/>
        </w:numPr>
        <w:tabs>
          <w:tab w:val="left" w:pos="861"/>
          <w:tab w:val="left" w:pos="863"/>
        </w:tabs>
        <w:spacing w:before="183"/>
        <w:ind w:right="563"/>
      </w:pPr>
      <w:r>
        <w:t>SKALA provides five technical recommendations for the Regional One Data Action Plan, strengthening the One Data Forum, regional data lists, use of SEPAKAT-REGSOSEK results, and a collaboration model for the expansion of the Village Information System (</w:t>
      </w:r>
      <w:r>
        <w:rPr>
          <w:i/>
        </w:rPr>
        <w:t xml:space="preserve">Sistem Informasi Desa, </w:t>
      </w:r>
      <w:r>
        <w:t>SID).</w:t>
      </w:r>
    </w:p>
    <w:p w14:paraId="7DE64E01" w14:textId="77777777" w:rsidR="00BC24A8" w:rsidRDefault="00000000">
      <w:pPr>
        <w:pStyle w:val="ListParagraph"/>
        <w:numPr>
          <w:ilvl w:val="3"/>
          <w:numId w:val="79"/>
        </w:numPr>
        <w:tabs>
          <w:tab w:val="left" w:pos="861"/>
          <w:tab w:val="left" w:pos="863"/>
        </w:tabs>
        <w:ind w:right="565"/>
      </w:pPr>
      <w:r>
        <w:t>SKALA</w:t>
      </w:r>
      <w:r>
        <w:rPr>
          <w:spacing w:val="-4"/>
        </w:rPr>
        <w:t xml:space="preserve"> </w:t>
      </w:r>
      <w:r>
        <w:t>provides</w:t>
      </w:r>
      <w:r>
        <w:rPr>
          <w:spacing w:val="-3"/>
        </w:rPr>
        <w:t xml:space="preserve"> </w:t>
      </w:r>
      <w:r>
        <w:t>two</w:t>
      </w:r>
      <w:r>
        <w:rPr>
          <w:spacing w:val="-2"/>
        </w:rPr>
        <w:t xml:space="preserve"> </w:t>
      </w:r>
      <w:r>
        <w:t>technical</w:t>
      </w:r>
      <w:r>
        <w:rPr>
          <w:spacing w:val="-3"/>
        </w:rPr>
        <w:t xml:space="preserve"> </w:t>
      </w:r>
      <w:r>
        <w:t>inputs</w:t>
      </w:r>
      <w:r>
        <w:rPr>
          <w:spacing w:val="-3"/>
        </w:rPr>
        <w:t xml:space="preserve"> </w:t>
      </w:r>
      <w:r>
        <w:t>for</w:t>
      </w:r>
      <w:r>
        <w:rPr>
          <w:spacing w:val="-4"/>
        </w:rPr>
        <w:t xml:space="preserve"> </w:t>
      </w:r>
      <w:r>
        <w:t>the</w:t>
      </w:r>
      <w:r>
        <w:rPr>
          <w:spacing w:val="-3"/>
        </w:rPr>
        <w:t xml:space="preserve"> </w:t>
      </w:r>
      <w:r>
        <w:t>more</w:t>
      </w:r>
      <w:r>
        <w:rPr>
          <w:spacing w:val="-3"/>
        </w:rPr>
        <w:t xml:space="preserve"> </w:t>
      </w:r>
      <w:r>
        <w:t>inclusive</w:t>
      </w:r>
      <w:r>
        <w:rPr>
          <w:spacing w:val="-3"/>
        </w:rPr>
        <w:t xml:space="preserve"> </w:t>
      </w:r>
      <w:r>
        <w:t>use</w:t>
      </w:r>
      <w:r>
        <w:rPr>
          <w:spacing w:val="-3"/>
        </w:rPr>
        <w:t xml:space="preserve"> </w:t>
      </w:r>
      <w:r>
        <w:t>of</w:t>
      </w:r>
      <w:r>
        <w:rPr>
          <w:spacing w:val="-3"/>
        </w:rPr>
        <w:t xml:space="preserve"> </w:t>
      </w:r>
      <w:r>
        <w:t>the</w:t>
      </w:r>
      <w:r>
        <w:rPr>
          <w:spacing w:val="-3"/>
        </w:rPr>
        <w:t xml:space="preserve"> </w:t>
      </w:r>
      <w:r>
        <w:t>NTB</w:t>
      </w:r>
      <w:r>
        <w:rPr>
          <w:spacing w:val="-2"/>
        </w:rPr>
        <w:t xml:space="preserve"> </w:t>
      </w:r>
      <w:r>
        <w:t>One</w:t>
      </w:r>
      <w:r>
        <w:rPr>
          <w:spacing w:val="-3"/>
        </w:rPr>
        <w:t xml:space="preserve"> </w:t>
      </w:r>
      <w:r>
        <w:t>Data</w:t>
      </w:r>
      <w:r>
        <w:rPr>
          <w:spacing w:val="-3"/>
        </w:rPr>
        <w:t xml:space="preserve"> </w:t>
      </w:r>
      <w:r>
        <w:t>Portal</w:t>
      </w:r>
      <w:r>
        <w:rPr>
          <w:spacing w:val="-3"/>
        </w:rPr>
        <w:t xml:space="preserve"> </w:t>
      </w:r>
      <w:r>
        <w:t>and the upgrade of the Village Information System.</w:t>
      </w:r>
    </w:p>
    <w:p w14:paraId="074B8722" w14:textId="77777777" w:rsidR="00BC24A8" w:rsidRDefault="00000000">
      <w:pPr>
        <w:pStyle w:val="ListParagraph"/>
        <w:numPr>
          <w:ilvl w:val="3"/>
          <w:numId w:val="79"/>
        </w:numPr>
        <w:tabs>
          <w:tab w:val="left" w:pos="861"/>
          <w:tab w:val="left" w:pos="863"/>
        </w:tabs>
        <w:ind w:right="562"/>
      </w:pPr>
      <w:r>
        <w:t>SKALA strengthens the role and capacity of the provincial SEPAKAT Analysis Team as the resource</w:t>
      </w:r>
      <w:r>
        <w:rPr>
          <w:spacing w:val="-13"/>
        </w:rPr>
        <w:t xml:space="preserve"> </w:t>
      </w:r>
      <w:r>
        <w:t>person,</w:t>
      </w:r>
      <w:r>
        <w:rPr>
          <w:spacing w:val="-13"/>
        </w:rPr>
        <w:t xml:space="preserve"> </w:t>
      </w:r>
      <w:r>
        <w:t>civil</w:t>
      </w:r>
      <w:r>
        <w:rPr>
          <w:spacing w:val="-13"/>
        </w:rPr>
        <w:t xml:space="preserve"> </w:t>
      </w:r>
      <w:r>
        <w:t>servants</w:t>
      </w:r>
      <w:r>
        <w:rPr>
          <w:spacing w:val="-12"/>
        </w:rPr>
        <w:t xml:space="preserve"> </w:t>
      </w:r>
      <w:r>
        <w:t>in</w:t>
      </w:r>
      <w:r>
        <w:rPr>
          <w:spacing w:val="-14"/>
        </w:rPr>
        <w:t xml:space="preserve"> </w:t>
      </w:r>
      <w:r>
        <w:t>all</w:t>
      </w:r>
      <w:r>
        <w:rPr>
          <w:spacing w:val="-13"/>
        </w:rPr>
        <w:t xml:space="preserve"> </w:t>
      </w:r>
      <w:r>
        <w:t>provincial</w:t>
      </w:r>
      <w:r>
        <w:rPr>
          <w:spacing w:val="-13"/>
        </w:rPr>
        <w:t xml:space="preserve"> </w:t>
      </w:r>
      <w:r>
        <w:t>agencies</w:t>
      </w:r>
      <w:r>
        <w:rPr>
          <w:spacing w:val="-13"/>
        </w:rPr>
        <w:t xml:space="preserve"> </w:t>
      </w:r>
      <w:r>
        <w:t>in</w:t>
      </w:r>
      <w:r>
        <w:rPr>
          <w:spacing w:val="-13"/>
        </w:rPr>
        <w:t xml:space="preserve"> </w:t>
      </w:r>
      <w:r>
        <w:t>the</w:t>
      </w:r>
      <w:r>
        <w:rPr>
          <w:spacing w:val="-13"/>
        </w:rPr>
        <w:t xml:space="preserve"> </w:t>
      </w:r>
      <w:r>
        <w:t>management</w:t>
      </w:r>
      <w:r>
        <w:rPr>
          <w:spacing w:val="-12"/>
        </w:rPr>
        <w:t xml:space="preserve"> </w:t>
      </w:r>
      <w:r>
        <w:t>of</w:t>
      </w:r>
      <w:r>
        <w:rPr>
          <w:spacing w:val="-13"/>
        </w:rPr>
        <w:t xml:space="preserve"> </w:t>
      </w:r>
      <w:r>
        <w:t>the</w:t>
      </w:r>
      <w:r>
        <w:rPr>
          <w:spacing w:val="-13"/>
        </w:rPr>
        <w:t xml:space="preserve"> </w:t>
      </w:r>
      <w:r>
        <w:t>2025</w:t>
      </w:r>
      <w:r>
        <w:rPr>
          <w:spacing w:val="-12"/>
        </w:rPr>
        <w:t xml:space="preserve"> </w:t>
      </w:r>
      <w:r>
        <w:t>Regional</w:t>
      </w:r>
    </w:p>
    <w:p w14:paraId="778BE61C" w14:textId="77777777" w:rsidR="00BC24A8" w:rsidRDefault="00000000">
      <w:pPr>
        <w:pStyle w:val="BodyText"/>
        <w:spacing w:before="225"/>
        <w:rPr>
          <w:sz w:val="20"/>
        </w:rPr>
      </w:pPr>
      <w:r>
        <w:rPr>
          <w:noProof/>
          <w:sz w:val="20"/>
        </w:rPr>
        <mc:AlternateContent>
          <mc:Choice Requires="wps">
            <w:drawing>
              <wp:anchor distT="0" distB="0" distL="0" distR="0" simplePos="0" relativeHeight="487619584" behindDoc="1" locked="0" layoutInCell="1" allowOverlap="1" wp14:anchorId="4B65F53C" wp14:editId="032D2898">
                <wp:simplePos x="0" y="0"/>
                <wp:positionH relativeFrom="page">
                  <wp:posOffset>900683</wp:posOffset>
                </wp:positionH>
                <wp:positionV relativeFrom="paragraph">
                  <wp:posOffset>313236</wp:posOffset>
                </wp:positionV>
                <wp:extent cx="1828800" cy="9525"/>
                <wp:effectExtent l="0" t="0" r="0" b="0"/>
                <wp:wrapTopAndBottom/>
                <wp:docPr id="175" name="Graphic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40EED8" id="Graphic 175" o:spid="_x0000_s1026" alt="&quot;&quot;" style="position:absolute;margin-left:70.9pt;margin-top:24.65pt;width:2in;height:.75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" path="m1828800,l,,,9144r1828800,l1828800,xe" fillcolor="black" stroked="f">
                <v:path arrowok="t"/>
                <w10:wrap type="topAndBottom" anchorx="page"/>
              </v:shape>
            </w:pict>
          </mc:Fallback>
        </mc:AlternateContent>
      </w:r>
    </w:p>
    <w:p w14:paraId="4D07BA4E" w14:textId="77777777" w:rsidR="00BC24A8" w:rsidRDefault="00BC24A8">
      <w:pPr>
        <w:pStyle w:val="BodyText"/>
        <w:spacing w:before="105"/>
        <w:rPr>
          <w:sz w:val="16"/>
        </w:rPr>
      </w:pPr>
    </w:p>
    <w:p w14:paraId="3C831F2C" w14:textId="77777777" w:rsidR="00BC24A8" w:rsidRDefault="00000000">
      <w:pPr>
        <w:spacing w:before="1"/>
        <w:ind w:left="143" w:right="662"/>
        <w:rPr>
          <w:sz w:val="16"/>
        </w:rPr>
      </w:pPr>
      <w:bookmarkStart w:id="190" w:name="_bookmark128"/>
      <w:bookmarkEnd w:id="190"/>
      <w:r>
        <w:rPr>
          <w:color w:val="767070"/>
          <w:sz w:val="16"/>
          <w:vertAlign w:val="superscript"/>
        </w:rPr>
        <w:t>60</w:t>
      </w:r>
      <w:r>
        <w:rPr>
          <w:color w:val="767070"/>
          <w:spacing w:val="-4"/>
          <w:sz w:val="16"/>
        </w:rPr>
        <w:t xml:space="preserve"> </w:t>
      </w:r>
      <w:r>
        <w:rPr>
          <w:color w:val="767070"/>
          <w:sz w:val="16"/>
        </w:rPr>
        <w:t>Person</w:t>
      </w:r>
      <w:r>
        <w:rPr>
          <w:color w:val="767070"/>
          <w:spacing w:val="-3"/>
          <w:sz w:val="16"/>
        </w:rPr>
        <w:t xml:space="preserve"> </w:t>
      </w:r>
      <w:r>
        <w:rPr>
          <w:color w:val="767070"/>
          <w:sz w:val="16"/>
        </w:rPr>
        <w:t>time</w:t>
      </w:r>
      <w:r>
        <w:rPr>
          <w:color w:val="767070"/>
          <w:spacing w:val="-4"/>
          <w:sz w:val="16"/>
        </w:rPr>
        <w:t xml:space="preserve"> </w:t>
      </w:r>
      <w:r>
        <w:rPr>
          <w:color w:val="767070"/>
          <w:sz w:val="16"/>
        </w:rPr>
        <w:t>is</w:t>
      </w:r>
      <w:r>
        <w:rPr>
          <w:color w:val="767070"/>
          <w:spacing w:val="-3"/>
          <w:sz w:val="16"/>
        </w:rPr>
        <w:t xml:space="preserve"> </w:t>
      </w:r>
      <w:r>
        <w:rPr>
          <w:color w:val="767070"/>
          <w:sz w:val="16"/>
        </w:rPr>
        <w:t>the</w:t>
      </w:r>
      <w:r>
        <w:rPr>
          <w:color w:val="767070"/>
          <w:spacing w:val="-4"/>
          <w:sz w:val="16"/>
        </w:rPr>
        <w:t xml:space="preserve"> </w:t>
      </w:r>
      <w:r>
        <w:rPr>
          <w:color w:val="767070"/>
          <w:sz w:val="16"/>
        </w:rPr>
        <w:t>number</w:t>
      </w:r>
      <w:r>
        <w:rPr>
          <w:color w:val="767070"/>
          <w:spacing w:val="-4"/>
          <w:sz w:val="16"/>
        </w:rPr>
        <w:t xml:space="preserve"> </w:t>
      </w:r>
      <w:r>
        <w:rPr>
          <w:color w:val="767070"/>
          <w:sz w:val="16"/>
        </w:rPr>
        <w:t>of</w:t>
      </w:r>
      <w:r>
        <w:rPr>
          <w:color w:val="767070"/>
          <w:spacing w:val="-6"/>
          <w:sz w:val="16"/>
        </w:rPr>
        <w:t xml:space="preserve"> </w:t>
      </w:r>
      <w:r>
        <w:rPr>
          <w:color w:val="767070"/>
          <w:sz w:val="16"/>
        </w:rPr>
        <w:t>participants;</w:t>
      </w:r>
      <w:r>
        <w:rPr>
          <w:color w:val="767070"/>
          <w:spacing w:val="-5"/>
          <w:sz w:val="16"/>
        </w:rPr>
        <w:t xml:space="preserve"> </w:t>
      </w:r>
      <w:r>
        <w:rPr>
          <w:color w:val="767070"/>
          <w:sz w:val="16"/>
        </w:rPr>
        <w:t>one</w:t>
      </w:r>
      <w:r>
        <w:rPr>
          <w:color w:val="767070"/>
          <w:spacing w:val="-4"/>
          <w:sz w:val="16"/>
        </w:rPr>
        <w:t xml:space="preserve"> </w:t>
      </w:r>
      <w:r>
        <w:rPr>
          <w:color w:val="767070"/>
          <w:sz w:val="16"/>
        </w:rPr>
        <w:t>person</w:t>
      </w:r>
      <w:r>
        <w:rPr>
          <w:color w:val="767070"/>
          <w:spacing w:val="-6"/>
          <w:sz w:val="16"/>
        </w:rPr>
        <w:t xml:space="preserve"> </w:t>
      </w:r>
      <w:r>
        <w:rPr>
          <w:color w:val="767070"/>
          <w:sz w:val="16"/>
        </w:rPr>
        <w:t>may</w:t>
      </w:r>
      <w:r>
        <w:rPr>
          <w:color w:val="767070"/>
          <w:spacing w:val="-3"/>
          <w:sz w:val="16"/>
        </w:rPr>
        <w:t xml:space="preserve"> </w:t>
      </w:r>
      <w:r>
        <w:rPr>
          <w:color w:val="767070"/>
          <w:sz w:val="16"/>
        </w:rPr>
        <w:t>have</w:t>
      </w:r>
      <w:r>
        <w:rPr>
          <w:color w:val="767070"/>
          <w:spacing w:val="-4"/>
          <w:sz w:val="16"/>
        </w:rPr>
        <w:t xml:space="preserve"> </w:t>
      </w:r>
      <w:r>
        <w:rPr>
          <w:color w:val="767070"/>
          <w:sz w:val="16"/>
        </w:rPr>
        <w:t>participated</w:t>
      </w:r>
      <w:r>
        <w:rPr>
          <w:color w:val="767070"/>
          <w:spacing w:val="-3"/>
          <w:sz w:val="16"/>
        </w:rPr>
        <w:t xml:space="preserve"> </w:t>
      </w:r>
      <w:r>
        <w:rPr>
          <w:color w:val="767070"/>
          <w:sz w:val="16"/>
        </w:rPr>
        <w:t>more</w:t>
      </w:r>
      <w:r>
        <w:rPr>
          <w:color w:val="767070"/>
          <w:spacing w:val="-4"/>
          <w:sz w:val="16"/>
        </w:rPr>
        <w:t xml:space="preserve"> </w:t>
      </w:r>
      <w:r>
        <w:rPr>
          <w:color w:val="767070"/>
          <w:sz w:val="16"/>
        </w:rPr>
        <w:t>than</w:t>
      </w:r>
      <w:r>
        <w:rPr>
          <w:color w:val="767070"/>
          <w:spacing w:val="-3"/>
          <w:sz w:val="16"/>
        </w:rPr>
        <w:t xml:space="preserve"> </w:t>
      </w:r>
      <w:r>
        <w:rPr>
          <w:color w:val="767070"/>
          <w:sz w:val="16"/>
        </w:rPr>
        <w:t>once</w:t>
      </w:r>
      <w:r>
        <w:rPr>
          <w:color w:val="767070"/>
          <w:spacing w:val="-4"/>
          <w:sz w:val="16"/>
        </w:rPr>
        <w:t xml:space="preserve"> </w:t>
      </w:r>
      <w:r>
        <w:rPr>
          <w:color w:val="767070"/>
          <w:sz w:val="16"/>
        </w:rPr>
        <w:t>in</w:t>
      </w:r>
      <w:r>
        <w:rPr>
          <w:color w:val="767070"/>
          <w:spacing w:val="-3"/>
          <w:sz w:val="16"/>
        </w:rPr>
        <w:t xml:space="preserve"> </w:t>
      </w:r>
      <w:r>
        <w:rPr>
          <w:color w:val="767070"/>
          <w:sz w:val="16"/>
        </w:rPr>
        <w:t>SKALA's</w:t>
      </w:r>
      <w:r>
        <w:rPr>
          <w:color w:val="767070"/>
          <w:spacing w:val="-3"/>
          <w:sz w:val="16"/>
        </w:rPr>
        <w:t xml:space="preserve"> </w:t>
      </w:r>
      <w:r>
        <w:rPr>
          <w:color w:val="767070"/>
          <w:sz w:val="16"/>
        </w:rPr>
        <w:t>support</w:t>
      </w:r>
      <w:r>
        <w:rPr>
          <w:color w:val="767070"/>
          <w:spacing w:val="-4"/>
          <w:sz w:val="16"/>
        </w:rPr>
        <w:t xml:space="preserve"> </w:t>
      </w:r>
      <w:r>
        <w:rPr>
          <w:color w:val="767070"/>
          <w:sz w:val="16"/>
        </w:rPr>
        <w:t>activities.</w:t>
      </w:r>
      <w:r>
        <w:rPr>
          <w:color w:val="767070"/>
          <w:spacing w:val="-5"/>
          <w:sz w:val="16"/>
        </w:rPr>
        <w:t xml:space="preserve"> </w:t>
      </w:r>
      <w:r>
        <w:rPr>
          <w:color w:val="767070"/>
          <w:sz w:val="16"/>
        </w:rPr>
        <w:t>Headcount</w:t>
      </w:r>
      <w:r>
        <w:rPr>
          <w:color w:val="767070"/>
          <w:spacing w:val="40"/>
          <w:sz w:val="16"/>
        </w:rPr>
        <w:t xml:space="preserve"> </w:t>
      </w:r>
      <w:r>
        <w:rPr>
          <w:color w:val="767070"/>
          <w:sz w:val="16"/>
        </w:rPr>
        <w:t>refers to participants whose costs are covered by SKALA</w:t>
      </w:r>
    </w:p>
    <w:p w14:paraId="0D4FB6DA" w14:textId="77777777" w:rsidR="00BC24A8" w:rsidRDefault="00BC24A8">
      <w:pPr>
        <w:rPr>
          <w:sz w:val="16"/>
        </w:rPr>
        <w:sectPr w:rsidR="00BC24A8">
          <w:pgSz w:w="11910" w:h="16840"/>
          <w:pgMar w:top="1360" w:right="850" w:bottom="1100" w:left="1275" w:header="0" w:footer="907" w:gutter="0"/>
          <w:cols w:space="720"/>
        </w:sectPr>
      </w:pPr>
    </w:p>
    <w:p w14:paraId="462670D5" w14:textId="77777777" w:rsidR="00BC24A8" w:rsidRDefault="00000000">
      <w:pPr>
        <w:pStyle w:val="BodyText"/>
        <w:spacing w:before="39"/>
        <w:ind w:left="863" w:right="465"/>
      </w:pPr>
      <w:r>
        <w:lastRenderedPageBreak/>
        <w:t>Data</w:t>
      </w:r>
      <w:r>
        <w:rPr>
          <w:spacing w:val="-3"/>
        </w:rPr>
        <w:t xml:space="preserve"> </w:t>
      </w:r>
      <w:r>
        <w:t>List,</w:t>
      </w:r>
      <w:r>
        <w:rPr>
          <w:spacing w:val="-1"/>
        </w:rPr>
        <w:t xml:space="preserve"> </w:t>
      </w:r>
      <w:r>
        <w:t>as</w:t>
      </w:r>
      <w:r>
        <w:rPr>
          <w:spacing w:val="-1"/>
        </w:rPr>
        <w:t xml:space="preserve"> </w:t>
      </w:r>
      <w:r>
        <w:t>well</w:t>
      </w:r>
      <w:r>
        <w:rPr>
          <w:spacing w:val="-3"/>
        </w:rPr>
        <w:t xml:space="preserve"> </w:t>
      </w:r>
      <w:r>
        <w:t>as</w:t>
      </w:r>
      <w:r>
        <w:rPr>
          <w:spacing w:val="-1"/>
        </w:rPr>
        <w:t xml:space="preserve"> </w:t>
      </w:r>
      <w:r>
        <w:t>training</w:t>
      </w:r>
      <w:r>
        <w:rPr>
          <w:spacing w:val="-5"/>
        </w:rPr>
        <w:t xml:space="preserve"> </w:t>
      </w:r>
      <w:r>
        <w:t>village</w:t>
      </w:r>
      <w:r>
        <w:rPr>
          <w:spacing w:val="-1"/>
        </w:rPr>
        <w:t xml:space="preserve"> </w:t>
      </w:r>
      <w:r>
        <w:t>operators</w:t>
      </w:r>
      <w:r>
        <w:rPr>
          <w:spacing w:val="-1"/>
        </w:rPr>
        <w:t xml:space="preserve"> </w:t>
      </w:r>
      <w:r>
        <w:t>to</w:t>
      </w:r>
      <w:r>
        <w:rPr>
          <w:spacing w:val="-2"/>
        </w:rPr>
        <w:t xml:space="preserve"> </w:t>
      </w:r>
      <w:r>
        <w:t>use</w:t>
      </w:r>
      <w:r>
        <w:rPr>
          <w:spacing w:val="-1"/>
        </w:rPr>
        <w:t xml:space="preserve"> </w:t>
      </w:r>
      <w:r>
        <w:t>the</w:t>
      </w:r>
      <w:r>
        <w:rPr>
          <w:spacing w:val="-1"/>
        </w:rPr>
        <w:t xml:space="preserve"> </w:t>
      </w:r>
      <w:r>
        <w:t>Village</w:t>
      </w:r>
      <w:r>
        <w:rPr>
          <w:spacing w:val="-1"/>
        </w:rPr>
        <w:t xml:space="preserve"> </w:t>
      </w:r>
      <w:r>
        <w:t>Information</w:t>
      </w:r>
      <w:r>
        <w:rPr>
          <w:spacing w:val="-4"/>
        </w:rPr>
        <w:t xml:space="preserve"> </w:t>
      </w:r>
      <w:r>
        <w:t>System</w:t>
      </w:r>
      <w:r>
        <w:rPr>
          <w:spacing w:val="-1"/>
        </w:rPr>
        <w:t xml:space="preserve"> </w:t>
      </w:r>
      <w:r>
        <w:t>application in Dompu District.</w:t>
      </w:r>
    </w:p>
    <w:p w14:paraId="4BC37897" w14:textId="77777777" w:rsidR="00BC24A8" w:rsidRDefault="00BC24A8">
      <w:pPr>
        <w:pStyle w:val="BodyText"/>
        <w:spacing w:before="60"/>
      </w:pPr>
    </w:p>
    <w:p w14:paraId="24F61133" w14:textId="77777777" w:rsidR="00BC24A8" w:rsidRDefault="00000000">
      <w:pPr>
        <w:pStyle w:val="Heading5"/>
        <w:numPr>
          <w:ilvl w:val="2"/>
          <w:numId w:val="79"/>
        </w:numPr>
        <w:tabs>
          <w:tab w:val="left" w:pos="501"/>
        </w:tabs>
        <w:spacing w:before="1"/>
        <w:ind w:left="501" w:hanging="282"/>
        <w:jc w:val="left"/>
      </w:pPr>
      <w:r>
        <w:rPr>
          <w:spacing w:val="-5"/>
        </w:rPr>
        <w:t>MSS</w:t>
      </w:r>
    </w:p>
    <w:p w14:paraId="0EFE8AED" w14:textId="77777777" w:rsidR="00BC24A8" w:rsidRDefault="00000000">
      <w:pPr>
        <w:pStyle w:val="ListParagraph"/>
        <w:numPr>
          <w:ilvl w:val="3"/>
          <w:numId w:val="79"/>
        </w:numPr>
        <w:tabs>
          <w:tab w:val="left" w:pos="861"/>
          <w:tab w:val="left" w:pos="863"/>
        </w:tabs>
        <w:spacing w:before="180"/>
        <w:ind w:right="564"/>
      </w:pPr>
      <w:r>
        <w:t xml:space="preserve">SKALA provided six technical recommendations covering </w:t>
      </w:r>
      <w:r>
        <w:rPr>
          <w:i/>
        </w:rPr>
        <w:t xml:space="preserve">Posyandu </w:t>
      </w:r>
      <w:r>
        <w:t>governance guidelines, revisions to the MSS Action Plan Governor Regulation, expenditure components and standard unit costs for MSS services, MSS implementation financing calculations, KUA-PPAS</w:t>
      </w:r>
      <w:hyperlink w:anchor="_bookmark129" w:history="1">
        <w:r w:rsidR="00BC24A8">
          <w:rPr>
            <w:vertAlign w:val="superscript"/>
          </w:rPr>
          <w:t>61</w:t>
        </w:r>
      </w:hyperlink>
      <w:r>
        <w:t xml:space="preserve"> aligned with basic service delivery, and integration of MSS data into the regional data list.</w:t>
      </w:r>
    </w:p>
    <w:p w14:paraId="56245ED1" w14:textId="77777777" w:rsidR="00BC24A8" w:rsidRDefault="00000000">
      <w:pPr>
        <w:pStyle w:val="ListParagraph"/>
        <w:numPr>
          <w:ilvl w:val="3"/>
          <w:numId w:val="79"/>
        </w:numPr>
        <w:tabs>
          <w:tab w:val="left" w:pos="861"/>
          <w:tab w:val="left" w:pos="863"/>
        </w:tabs>
        <w:ind w:right="562"/>
      </w:pPr>
      <w:r>
        <w:t>SKALA provides four technical inputs for analysing and mapping basic service issues, and for drafting RPJPD, RPJMD, and RKPD documents oriented toward inclusive basic service delivery.</w:t>
      </w:r>
    </w:p>
    <w:p w14:paraId="4C566505" w14:textId="77777777" w:rsidR="00BC24A8" w:rsidRDefault="00000000">
      <w:pPr>
        <w:pStyle w:val="ListParagraph"/>
        <w:numPr>
          <w:ilvl w:val="3"/>
          <w:numId w:val="79"/>
        </w:numPr>
        <w:tabs>
          <w:tab w:val="left" w:pos="863"/>
        </w:tabs>
        <w:ind w:right="563" w:hanging="360"/>
      </w:pPr>
      <w:r>
        <w:t>SKALA provides five technical facilitation and capacity building sessions for civil servants in preparing the RPJMD, RENSTRA, MSS Action Plan, use of nomenclatures in the Regional Government</w:t>
      </w:r>
      <w:r>
        <w:rPr>
          <w:spacing w:val="-10"/>
        </w:rPr>
        <w:t xml:space="preserve"> </w:t>
      </w:r>
      <w:r>
        <w:t>Information</w:t>
      </w:r>
      <w:r>
        <w:rPr>
          <w:spacing w:val="-6"/>
        </w:rPr>
        <w:t xml:space="preserve"> </w:t>
      </w:r>
      <w:r>
        <w:t>System</w:t>
      </w:r>
      <w:r>
        <w:rPr>
          <w:spacing w:val="-8"/>
        </w:rPr>
        <w:t xml:space="preserve"> </w:t>
      </w:r>
      <w:r>
        <w:t>(</w:t>
      </w:r>
      <w:r>
        <w:rPr>
          <w:i/>
        </w:rPr>
        <w:t>Sistem</w:t>
      </w:r>
      <w:r>
        <w:rPr>
          <w:i/>
          <w:spacing w:val="-7"/>
        </w:rPr>
        <w:t xml:space="preserve"> </w:t>
      </w:r>
      <w:r>
        <w:rPr>
          <w:i/>
        </w:rPr>
        <w:t>Informasi</w:t>
      </w:r>
      <w:r>
        <w:rPr>
          <w:i/>
          <w:spacing w:val="-7"/>
        </w:rPr>
        <w:t xml:space="preserve"> </w:t>
      </w:r>
      <w:r>
        <w:rPr>
          <w:i/>
        </w:rPr>
        <w:t>Pemerintah</w:t>
      </w:r>
      <w:r>
        <w:rPr>
          <w:i/>
          <w:spacing w:val="-6"/>
        </w:rPr>
        <w:t xml:space="preserve"> </w:t>
      </w:r>
      <w:r>
        <w:rPr>
          <w:i/>
        </w:rPr>
        <w:t>Daerah,</w:t>
      </w:r>
      <w:r>
        <w:rPr>
          <w:i/>
          <w:spacing w:val="-5"/>
        </w:rPr>
        <w:t xml:space="preserve"> </w:t>
      </w:r>
      <w:r>
        <w:t>SIPD),</w:t>
      </w:r>
      <w:r>
        <w:rPr>
          <w:spacing w:val="-6"/>
        </w:rPr>
        <w:t xml:space="preserve"> </w:t>
      </w:r>
      <w:r>
        <w:t>alignment</w:t>
      </w:r>
      <w:r>
        <w:rPr>
          <w:spacing w:val="-7"/>
        </w:rPr>
        <w:t xml:space="preserve"> </w:t>
      </w:r>
      <w:r>
        <w:t>of</w:t>
      </w:r>
      <w:r>
        <w:rPr>
          <w:spacing w:val="-6"/>
        </w:rPr>
        <w:t xml:space="preserve"> </w:t>
      </w:r>
      <w:r>
        <w:t>the KUA-PPAS and KEM-PPKF</w:t>
      </w:r>
      <w:hyperlink w:anchor="_bookmark130" w:history="1">
        <w:r w:rsidR="00BC24A8">
          <w:rPr>
            <w:vertAlign w:val="superscript"/>
          </w:rPr>
          <w:t>62</w:t>
        </w:r>
      </w:hyperlink>
      <w:r>
        <w:t>, and preparation of Gender-Responsive Planning and Budgeting (</w:t>
      </w:r>
      <w:r>
        <w:rPr>
          <w:i/>
        </w:rPr>
        <w:t xml:space="preserve">Perancanaan dan Penganggaran Responsive Gender, </w:t>
      </w:r>
      <w:r>
        <w:t>PPRG).</w:t>
      </w:r>
    </w:p>
    <w:p w14:paraId="296E5CA4" w14:textId="77777777" w:rsidR="00BC24A8" w:rsidRDefault="00BC24A8">
      <w:pPr>
        <w:pStyle w:val="BodyText"/>
        <w:spacing w:before="59"/>
      </w:pPr>
    </w:p>
    <w:p w14:paraId="09E4C1AB" w14:textId="77777777" w:rsidR="00BC24A8" w:rsidRDefault="00000000">
      <w:pPr>
        <w:pStyle w:val="Heading5"/>
        <w:numPr>
          <w:ilvl w:val="2"/>
          <w:numId w:val="79"/>
        </w:numPr>
        <w:tabs>
          <w:tab w:val="left" w:pos="502"/>
        </w:tabs>
        <w:ind w:left="502" w:hanging="282"/>
        <w:jc w:val="left"/>
      </w:pPr>
      <w:r>
        <w:rPr>
          <w:spacing w:val="-5"/>
        </w:rPr>
        <w:t>PFM</w:t>
      </w:r>
    </w:p>
    <w:p w14:paraId="27E6788B" w14:textId="77777777" w:rsidR="00BC24A8" w:rsidRDefault="00000000">
      <w:pPr>
        <w:pStyle w:val="ListParagraph"/>
        <w:numPr>
          <w:ilvl w:val="3"/>
          <w:numId w:val="79"/>
        </w:numPr>
        <w:tabs>
          <w:tab w:val="left" w:pos="861"/>
          <w:tab w:val="left" w:pos="863"/>
        </w:tabs>
        <w:spacing w:before="183"/>
        <w:ind w:right="565"/>
      </w:pPr>
      <w:r>
        <w:t>SKALA provided two technical recommendations to strengthen the synergy of motor vehicle tax-non-metal</w:t>
      </w:r>
      <w:r>
        <w:rPr>
          <w:spacing w:val="-7"/>
        </w:rPr>
        <w:t xml:space="preserve"> </w:t>
      </w:r>
      <w:r>
        <w:t>minerals</w:t>
      </w:r>
      <w:r>
        <w:rPr>
          <w:spacing w:val="-6"/>
        </w:rPr>
        <w:t xml:space="preserve"> </w:t>
      </w:r>
      <w:r>
        <w:t>and</w:t>
      </w:r>
      <w:r>
        <w:rPr>
          <w:spacing w:val="-9"/>
        </w:rPr>
        <w:t xml:space="preserve"> </w:t>
      </w:r>
      <w:r>
        <w:t>rocks</w:t>
      </w:r>
      <w:r>
        <w:rPr>
          <w:spacing w:val="-6"/>
        </w:rPr>
        <w:t xml:space="preserve"> </w:t>
      </w:r>
      <w:r>
        <w:t>tax</w:t>
      </w:r>
      <w:r>
        <w:rPr>
          <w:spacing w:val="-5"/>
        </w:rPr>
        <w:t xml:space="preserve"> </w:t>
      </w:r>
      <w:r>
        <w:t>(PKB-MBLB)</w:t>
      </w:r>
      <w:hyperlink w:anchor="_bookmark131" w:history="1">
        <w:r w:rsidR="00BC24A8">
          <w:rPr>
            <w:vertAlign w:val="superscript"/>
          </w:rPr>
          <w:t>63</w:t>
        </w:r>
      </w:hyperlink>
      <w:r>
        <w:rPr>
          <w:spacing w:val="-7"/>
        </w:rPr>
        <w:t xml:space="preserve"> </w:t>
      </w:r>
      <w:r>
        <w:t>collection</w:t>
      </w:r>
      <w:r>
        <w:rPr>
          <w:spacing w:val="-6"/>
        </w:rPr>
        <w:t xml:space="preserve"> </w:t>
      </w:r>
      <w:r>
        <w:t>across</w:t>
      </w:r>
      <w:r>
        <w:rPr>
          <w:spacing w:val="-6"/>
        </w:rPr>
        <w:t xml:space="preserve"> </w:t>
      </w:r>
      <w:r>
        <w:t>provincial</w:t>
      </w:r>
      <w:r>
        <w:rPr>
          <w:spacing w:val="-7"/>
        </w:rPr>
        <w:t xml:space="preserve"> </w:t>
      </w:r>
      <w:r>
        <w:t>and</w:t>
      </w:r>
      <w:r>
        <w:rPr>
          <w:spacing w:val="-9"/>
        </w:rPr>
        <w:t xml:space="preserve"> </w:t>
      </w:r>
      <w:r>
        <w:t>district/city levels,</w:t>
      </w:r>
      <w:r>
        <w:rPr>
          <w:spacing w:val="-4"/>
        </w:rPr>
        <w:t xml:space="preserve"> </w:t>
      </w:r>
      <w:r>
        <w:t>as</w:t>
      </w:r>
      <w:r>
        <w:rPr>
          <w:spacing w:val="-4"/>
        </w:rPr>
        <w:t xml:space="preserve"> </w:t>
      </w:r>
      <w:r>
        <w:t>well</w:t>
      </w:r>
      <w:r>
        <w:rPr>
          <w:spacing w:val="-6"/>
        </w:rPr>
        <w:t xml:space="preserve"> </w:t>
      </w:r>
      <w:r>
        <w:t>as</w:t>
      </w:r>
      <w:r>
        <w:rPr>
          <w:spacing w:val="-7"/>
        </w:rPr>
        <w:t xml:space="preserve"> </w:t>
      </w:r>
      <w:r>
        <w:t>the</w:t>
      </w:r>
      <w:r>
        <w:rPr>
          <w:spacing w:val="-6"/>
        </w:rPr>
        <w:t xml:space="preserve"> </w:t>
      </w:r>
      <w:r>
        <w:t>allocation</w:t>
      </w:r>
      <w:r>
        <w:rPr>
          <w:spacing w:val="-5"/>
        </w:rPr>
        <w:t xml:space="preserve"> </w:t>
      </w:r>
      <w:r>
        <w:t>of</w:t>
      </w:r>
      <w:r>
        <w:rPr>
          <w:spacing w:val="-6"/>
        </w:rPr>
        <w:t xml:space="preserve"> </w:t>
      </w:r>
      <w:r>
        <w:t>fiscal</w:t>
      </w:r>
      <w:r>
        <w:rPr>
          <w:spacing w:val="-8"/>
        </w:rPr>
        <w:t xml:space="preserve"> </w:t>
      </w:r>
      <w:r>
        <w:t>transfer</w:t>
      </w:r>
      <w:r>
        <w:rPr>
          <w:spacing w:val="-7"/>
        </w:rPr>
        <w:t xml:space="preserve"> </w:t>
      </w:r>
      <w:r>
        <w:t>to</w:t>
      </w:r>
      <w:r>
        <w:rPr>
          <w:spacing w:val="-8"/>
        </w:rPr>
        <w:t xml:space="preserve"> </w:t>
      </w:r>
      <w:r>
        <w:t>support</w:t>
      </w:r>
      <w:r>
        <w:rPr>
          <w:spacing w:val="-8"/>
        </w:rPr>
        <w:t xml:space="preserve"> </w:t>
      </w:r>
      <w:r>
        <w:t>MSS</w:t>
      </w:r>
      <w:r>
        <w:rPr>
          <w:spacing w:val="-4"/>
        </w:rPr>
        <w:t xml:space="preserve"> </w:t>
      </w:r>
      <w:r>
        <w:t>implementation</w:t>
      </w:r>
      <w:r>
        <w:rPr>
          <w:spacing w:val="-5"/>
        </w:rPr>
        <w:t xml:space="preserve"> </w:t>
      </w:r>
      <w:r>
        <w:t>and</w:t>
      </w:r>
      <w:r>
        <w:rPr>
          <w:spacing w:val="-7"/>
        </w:rPr>
        <w:t xml:space="preserve"> </w:t>
      </w:r>
      <w:r>
        <w:t>fulfilment.</w:t>
      </w:r>
    </w:p>
    <w:p w14:paraId="4FAB218B" w14:textId="77777777" w:rsidR="00BC24A8" w:rsidRDefault="00000000">
      <w:pPr>
        <w:pStyle w:val="ListParagraph"/>
        <w:numPr>
          <w:ilvl w:val="3"/>
          <w:numId w:val="79"/>
        </w:numPr>
        <w:tabs>
          <w:tab w:val="left" w:pos="861"/>
          <w:tab w:val="left" w:pos="863"/>
        </w:tabs>
        <w:ind w:right="563"/>
      </w:pPr>
      <w:r>
        <w:t>SKALA supports the capacity building of civil servants for provincial and district/city PKB-MBLB tax collection, as well as in planning for the fulfilment of infrastructure spending.</w:t>
      </w:r>
    </w:p>
    <w:p w14:paraId="7332C269" w14:textId="77777777" w:rsidR="00BC24A8" w:rsidRDefault="00BC24A8">
      <w:pPr>
        <w:pStyle w:val="BodyText"/>
        <w:spacing w:before="59"/>
      </w:pPr>
    </w:p>
    <w:p w14:paraId="7D592C14" w14:textId="77777777" w:rsidR="00BC24A8" w:rsidRDefault="00000000">
      <w:pPr>
        <w:pStyle w:val="Heading5"/>
        <w:numPr>
          <w:ilvl w:val="2"/>
          <w:numId w:val="79"/>
        </w:numPr>
        <w:tabs>
          <w:tab w:val="left" w:pos="502"/>
        </w:tabs>
        <w:ind w:left="502" w:hanging="282"/>
        <w:jc w:val="left"/>
      </w:pPr>
      <w:r>
        <w:rPr>
          <w:spacing w:val="-2"/>
        </w:rPr>
        <w:t>GEDSI</w:t>
      </w:r>
    </w:p>
    <w:p w14:paraId="60FCF7DF" w14:textId="77777777" w:rsidR="00BC24A8" w:rsidRDefault="00000000">
      <w:pPr>
        <w:pStyle w:val="ListParagraph"/>
        <w:numPr>
          <w:ilvl w:val="3"/>
          <w:numId w:val="79"/>
        </w:numPr>
        <w:tabs>
          <w:tab w:val="left" w:pos="861"/>
          <w:tab w:val="left" w:pos="863"/>
        </w:tabs>
        <w:spacing w:before="181"/>
        <w:ind w:right="565"/>
      </w:pPr>
      <w:r>
        <w:t xml:space="preserve">SKALA facilitated a GEDSI Thematic </w:t>
      </w:r>
      <w:r>
        <w:rPr>
          <w:i/>
        </w:rPr>
        <w:t xml:space="preserve">Musrenbang </w:t>
      </w:r>
      <w:r>
        <w:t>involving 54 parties (CSOs, DPOs, INKLUSI partners, provincial agencies, schools).</w:t>
      </w:r>
    </w:p>
    <w:p w14:paraId="63BE028C" w14:textId="77777777" w:rsidR="00BC24A8" w:rsidRDefault="00BC24A8">
      <w:pPr>
        <w:pStyle w:val="BodyText"/>
        <w:spacing w:before="60"/>
      </w:pPr>
    </w:p>
    <w:p w14:paraId="0B749B37" w14:textId="77777777" w:rsidR="00BC24A8" w:rsidRDefault="00000000">
      <w:pPr>
        <w:pStyle w:val="BodyText"/>
        <w:ind w:left="143"/>
        <w:rPr>
          <w:rFonts w:ascii="Calibri"/>
        </w:rPr>
      </w:pPr>
      <w:r>
        <w:rPr>
          <w:rFonts w:ascii="Calibri"/>
          <w:color w:val="272727"/>
        </w:rPr>
        <w:t>Summary</w:t>
      </w:r>
      <w:r>
        <w:rPr>
          <w:rFonts w:ascii="Calibri"/>
          <w:color w:val="272727"/>
          <w:spacing w:val="-5"/>
        </w:rPr>
        <w:t xml:space="preserve"> </w:t>
      </w:r>
      <w:r>
        <w:rPr>
          <w:rFonts w:ascii="Calibri"/>
          <w:color w:val="272727"/>
        </w:rPr>
        <w:t>of</w:t>
      </w:r>
      <w:r>
        <w:rPr>
          <w:rFonts w:ascii="Calibri"/>
          <w:color w:val="272727"/>
          <w:spacing w:val="-8"/>
        </w:rPr>
        <w:t xml:space="preserve"> </w:t>
      </w:r>
      <w:r>
        <w:rPr>
          <w:rFonts w:ascii="Calibri"/>
          <w:color w:val="272727"/>
        </w:rPr>
        <w:t>results</w:t>
      </w:r>
      <w:r>
        <w:rPr>
          <w:rFonts w:ascii="Calibri"/>
          <w:color w:val="272727"/>
          <w:spacing w:val="-5"/>
        </w:rPr>
        <w:t xml:space="preserve"> </w:t>
      </w:r>
      <w:r>
        <w:rPr>
          <w:rFonts w:ascii="Calibri"/>
          <w:color w:val="272727"/>
        </w:rPr>
        <w:t>at</w:t>
      </w:r>
      <w:r>
        <w:rPr>
          <w:rFonts w:ascii="Calibri"/>
          <w:color w:val="272727"/>
          <w:spacing w:val="-8"/>
        </w:rPr>
        <w:t xml:space="preserve"> </w:t>
      </w:r>
      <w:r>
        <w:rPr>
          <w:rFonts w:ascii="Calibri"/>
          <w:color w:val="272727"/>
        </w:rPr>
        <w:t>the</w:t>
      </w:r>
      <w:r>
        <w:rPr>
          <w:rFonts w:ascii="Calibri"/>
          <w:color w:val="272727"/>
          <w:spacing w:val="-4"/>
        </w:rPr>
        <w:t xml:space="preserve"> </w:t>
      </w:r>
      <w:r>
        <w:rPr>
          <w:rFonts w:ascii="Calibri"/>
          <w:color w:val="272727"/>
        </w:rPr>
        <w:t>Intermediate</w:t>
      </w:r>
      <w:r>
        <w:rPr>
          <w:rFonts w:ascii="Calibri"/>
          <w:color w:val="272727"/>
          <w:spacing w:val="-8"/>
        </w:rPr>
        <w:t xml:space="preserve"> </w:t>
      </w:r>
      <w:r>
        <w:rPr>
          <w:rFonts w:ascii="Calibri"/>
          <w:color w:val="272727"/>
        </w:rPr>
        <w:t>Outcome</w:t>
      </w:r>
      <w:r>
        <w:rPr>
          <w:rFonts w:ascii="Calibri"/>
          <w:color w:val="272727"/>
          <w:spacing w:val="-4"/>
        </w:rPr>
        <w:t xml:space="preserve"> </w:t>
      </w:r>
      <w:r>
        <w:rPr>
          <w:rFonts w:ascii="Calibri"/>
          <w:color w:val="272727"/>
        </w:rPr>
        <w:t>(IO)</w:t>
      </w:r>
      <w:r>
        <w:rPr>
          <w:rFonts w:ascii="Calibri"/>
          <w:color w:val="272727"/>
          <w:spacing w:val="-9"/>
        </w:rPr>
        <w:t xml:space="preserve"> </w:t>
      </w:r>
      <w:r>
        <w:rPr>
          <w:rFonts w:ascii="Calibri"/>
          <w:color w:val="272727"/>
          <w:spacing w:val="-2"/>
        </w:rPr>
        <w:t>level</w:t>
      </w:r>
    </w:p>
    <w:p w14:paraId="1373451B" w14:textId="77777777" w:rsidR="00BC24A8" w:rsidRDefault="00000000">
      <w:pPr>
        <w:spacing w:before="22"/>
        <w:ind w:left="143"/>
        <w:rPr>
          <w:rFonts w:ascii="Calibri"/>
          <w:b/>
        </w:rPr>
      </w:pPr>
      <w:r>
        <w:rPr>
          <w:rFonts w:ascii="Calibri"/>
          <w:b/>
          <w:color w:val="17365A"/>
        </w:rPr>
        <w:t>Availability,</w:t>
      </w:r>
      <w:r>
        <w:rPr>
          <w:rFonts w:ascii="Calibri"/>
          <w:b/>
          <w:color w:val="17365A"/>
          <w:spacing w:val="-9"/>
        </w:rPr>
        <w:t xml:space="preserve"> </w:t>
      </w:r>
      <w:r>
        <w:rPr>
          <w:rFonts w:ascii="Calibri"/>
          <w:b/>
          <w:color w:val="17365A"/>
        </w:rPr>
        <w:t>management,</w:t>
      </w:r>
      <w:r>
        <w:rPr>
          <w:rFonts w:ascii="Calibri"/>
          <w:b/>
          <w:color w:val="17365A"/>
          <w:spacing w:val="-11"/>
        </w:rPr>
        <w:t xml:space="preserve"> </w:t>
      </w:r>
      <w:r>
        <w:rPr>
          <w:rFonts w:ascii="Calibri"/>
          <w:b/>
          <w:color w:val="17365A"/>
        </w:rPr>
        <w:t>and</w:t>
      </w:r>
      <w:r>
        <w:rPr>
          <w:rFonts w:ascii="Calibri"/>
          <w:b/>
          <w:color w:val="17365A"/>
          <w:spacing w:val="-10"/>
        </w:rPr>
        <w:t xml:space="preserve"> </w:t>
      </w:r>
      <w:r>
        <w:rPr>
          <w:rFonts w:ascii="Calibri"/>
          <w:b/>
          <w:color w:val="17365A"/>
        </w:rPr>
        <w:t>utilisation</w:t>
      </w:r>
      <w:r>
        <w:rPr>
          <w:rFonts w:ascii="Calibri"/>
          <w:b/>
          <w:color w:val="17365A"/>
          <w:spacing w:val="-10"/>
        </w:rPr>
        <w:t xml:space="preserve"> </w:t>
      </w:r>
      <w:r>
        <w:rPr>
          <w:rFonts w:ascii="Calibri"/>
          <w:b/>
          <w:color w:val="17365A"/>
        </w:rPr>
        <w:t>of</w:t>
      </w:r>
      <w:r>
        <w:rPr>
          <w:rFonts w:ascii="Calibri"/>
          <w:b/>
          <w:color w:val="17365A"/>
          <w:spacing w:val="-9"/>
        </w:rPr>
        <w:t xml:space="preserve"> </w:t>
      </w:r>
      <w:r>
        <w:rPr>
          <w:rFonts w:ascii="Calibri"/>
          <w:b/>
          <w:color w:val="17365A"/>
        </w:rPr>
        <w:t>data</w:t>
      </w:r>
      <w:r>
        <w:rPr>
          <w:rFonts w:ascii="Calibri"/>
          <w:b/>
          <w:color w:val="17365A"/>
          <w:spacing w:val="-11"/>
        </w:rPr>
        <w:t xml:space="preserve"> </w:t>
      </w:r>
      <w:r>
        <w:rPr>
          <w:rFonts w:ascii="Calibri"/>
          <w:b/>
          <w:color w:val="17365A"/>
        </w:rPr>
        <w:t>to</w:t>
      </w:r>
      <w:r>
        <w:rPr>
          <w:rFonts w:ascii="Calibri"/>
          <w:b/>
          <w:color w:val="17365A"/>
          <w:spacing w:val="-10"/>
        </w:rPr>
        <w:t xml:space="preserve"> </w:t>
      </w:r>
      <w:r>
        <w:rPr>
          <w:rFonts w:ascii="Calibri"/>
          <w:b/>
          <w:color w:val="17365A"/>
        </w:rPr>
        <w:t>improve</w:t>
      </w:r>
      <w:r>
        <w:rPr>
          <w:rFonts w:ascii="Calibri"/>
          <w:b/>
          <w:color w:val="17365A"/>
          <w:spacing w:val="-10"/>
        </w:rPr>
        <w:t xml:space="preserve"> </w:t>
      </w:r>
      <w:r>
        <w:rPr>
          <w:rFonts w:ascii="Calibri"/>
          <w:b/>
          <w:color w:val="17365A"/>
        </w:rPr>
        <w:t>evidence-based</w:t>
      </w:r>
      <w:r>
        <w:rPr>
          <w:rFonts w:ascii="Calibri"/>
          <w:b/>
          <w:color w:val="17365A"/>
          <w:spacing w:val="-10"/>
        </w:rPr>
        <w:t xml:space="preserve"> </w:t>
      </w:r>
      <w:r>
        <w:rPr>
          <w:rFonts w:ascii="Calibri"/>
          <w:b/>
          <w:color w:val="17365A"/>
        </w:rPr>
        <w:t>planning</w:t>
      </w:r>
      <w:r>
        <w:rPr>
          <w:rFonts w:ascii="Calibri"/>
          <w:b/>
          <w:color w:val="17365A"/>
          <w:spacing w:val="-8"/>
        </w:rPr>
        <w:t xml:space="preserve"> </w:t>
      </w:r>
      <w:r>
        <w:rPr>
          <w:rFonts w:ascii="Calibri"/>
          <w:b/>
          <w:color w:val="17365A"/>
        </w:rPr>
        <w:t>processes</w:t>
      </w:r>
      <w:r>
        <w:rPr>
          <w:rFonts w:ascii="Calibri"/>
          <w:b/>
          <w:color w:val="17365A"/>
          <w:spacing w:val="-9"/>
        </w:rPr>
        <w:t xml:space="preserve"> </w:t>
      </w:r>
      <w:r>
        <w:rPr>
          <w:rFonts w:ascii="Calibri"/>
          <w:b/>
          <w:color w:val="17365A"/>
          <w:spacing w:val="-5"/>
        </w:rPr>
        <w:t>(IO</w:t>
      </w:r>
    </w:p>
    <w:p w14:paraId="482ED228" w14:textId="77777777" w:rsidR="00BC24A8" w:rsidRDefault="00000000">
      <w:pPr>
        <w:ind w:left="143"/>
        <w:rPr>
          <w:rFonts w:ascii="Calibri"/>
          <w:b/>
        </w:rPr>
      </w:pPr>
      <w:r>
        <w:rPr>
          <w:rFonts w:ascii="Calibri"/>
          <w:b/>
          <w:color w:val="17365A"/>
        </w:rPr>
        <w:t>5</w:t>
      </w:r>
      <w:r>
        <w:rPr>
          <w:rFonts w:ascii="Calibri"/>
          <w:b/>
          <w:color w:val="17365A"/>
          <w:spacing w:val="-1"/>
        </w:rPr>
        <w:t xml:space="preserve"> </w:t>
      </w:r>
      <w:r>
        <w:rPr>
          <w:rFonts w:ascii="Calibri"/>
          <w:b/>
          <w:color w:val="17365A"/>
        </w:rPr>
        <w:t>and</w:t>
      </w:r>
      <w:r>
        <w:rPr>
          <w:rFonts w:ascii="Calibri"/>
          <w:b/>
          <w:color w:val="17365A"/>
          <w:spacing w:val="-1"/>
        </w:rPr>
        <w:t xml:space="preserve"> </w:t>
      </w:r>
      <w:r>
        <w:rPr>
          <w:rFonts w:ascii="Calibri"/>
          <w:b/>
          <w:color w:val="17365A"/>
          <w:spacing w:val="-5"/>
        </w:rPr>
        <w:t>9)</w:t>
      </w:r>
    </w:p>
    <w:p w14:paraId="47412EF5" w14:textId="77777777" w:rsidR="00BC24A8" w:rsidRDefault="00000000">
      <w:pPr>
        <w:spacing w:before="159"/>
        <w:ind w:left="143"/>
        <w:rPr>
          <w:rFonts w:ascii="Calibri"/>
          <w:b/>
        </w:rPr>
      </w:pPr>
      <w:r>
        <w:rPr>
          <w:rFonts w:ascii="Calibri"/>
          <w:b/>
        </w:rPr>
        <w:t>Evaluation</w:t>
      </w:r>
      <w:r>
        <w:rPr>
          <w:rFonts w:ascii="Calibri"/>
          <w:b/>
          <w:spacing w:val="-7"/>
        </w:rPr>
        <w:t xml:space="preserve"> </w:t>
      </w:r>
      <w:r>
        <w:rPr>
          <w:rFonts w:ascii="Calibri"/>
          <w:b/>
        </w:rPr>
        <w:t>and</w:t>
      </w:r>
      <w:r>
        <w:rPr>
          <w:rFonts w:ascii="Calibri"/>
          <w:b/>
          <w:spacing w:val="-6"/>
        </w:rPr>
        <w:t xml:space="preserve"> </w:t>
      </w:r>
      <w:r>
        <w:rPr>
          <w:rFonts w:ascii="Calibri"/>
          <w:b/>
        </w:rPr>
        <w:t>Revision</w:t>
      </w:r>
      <w:r>
        <w:rPr>
          <w:rFonts w:ascii="Calibri"/>
          <w:b/>
          <w:spacing w:val="-7"/>
        </w:rPr>
        <w:t xml:space="preserve"> </w:t>
      </w:r>
      <w:r>
        <w:rPr>
          <w:rFonts w:ascii="Calibri"/>
          <w:b/>
        </w:rPr>
        <w:t>of</w:t>
      </w:r>
      <w:r>
        <w:rPr>
          <w:rFonts w:ascii="Calibri"/>
          <w:b/>
          <w:spacing w:val="-7"/>
        </w:rPr>
        <w:t xml:space="preserve"> </w:t>
      </w:r>
      <w:r>
        <w:rPr>
          <w:rFonts w:ascii="Calibri"/>
          <w:b/>
        </w:rPr>
        <w:t>the</w:t>
      </w:r>
      <w:r>
        <w:rPr>
          <w:rFonts w:ascii="Calibri"/>
          <w:b/>
          <w:spacing w:val="-6"/>
        </w:rPr>
        <w:t xml:space="preserve"> </w:t>
      </w:r>
      <w:r>
        <w:rPr>
          <w:rFonts w:ascii="Calibri"/>
          <w:b/>
        </w:rPr>
        <w:t>One</w:t>
      </w:r>
      <w:r>
        <w:rPr>
          <w:rFonts w:ascii="Calibri"/>
          <w:b/>
          <w:spacing w:val="-6"/>
        </w:rPr>
        <w:t xml:space="preserve"> </w:t>
      </w:r>
      <w:r>
        <w:rPr>
          <w:rFonts w:ascii="Calibri"/>
          <w:b/>
        </w:rPr>
        <w:t>Data</w:t>
      </w:r>
      <w:r>
        <w:rPr>
          <w:rFonts w:ascii="Calibri"/>
          <w:b/>
          <w:spacing w:val="-7"/>
        </w:rPr>
        <w:t xml:space="preserve"> </w:t>
      </w:r>
      <w:r>
        <w:rPr>
          <w:rFonts w:ascii="Calibri"/>
          <w:b/>
        </w:rPr>
        <w:t>Action</w:t>
      </w:r>
      <w:r>
        <w:rPr>
          <w:rFonts w:ascii="Calibri"/>
          <w:b/>
          <w:spacing w:val="-6"/>
        </w:rPr>
        <w:t xml:space="preserve"> </w:t>
      </w:r>
      <w:r>
        <w:rPr>
          <w:rFonts w:ascii="Calibri"/>
          <w:b/>
          <w:spacing w:val="-4"/>
        </w:rPr>
        <w:t>Plan:</w:t>
      </w:r>
    </w:p>
    <w:p w14:paraId="2AB35275" w14:textId="77777777" w:rsidR="00BC24A8" w:rsidRDefault="00000000">
      <w:pPr>
        <w:pStyle w:val="ListParagraph"/>
        <w:numPr>
          <w:ilvl w:val="3"/>
          <w:numId w:val="79"/>
        </w:numPr>
        <w:tabs>
          <w:tab w:val="left" w:pos="861"/>
          <w:tab w:val="left" w:pos="863"/>
        </w:tabs>
        <w:spacing w:before="159"/>
        <w:ind w:right="563"/>
      </w:pPr>
      <w:r>
        <w:t>The</w:t>
      </w:r>
      <w:r>
        <w:rPr>
          <w:spacing w:val="-5"/>
        </w:rPr>
        <w:t xml:space="preserve"> </w:t>
      </w:r>
      <w:r>
        <w:t>draft</w:t>
      </w:r>
      <w:r>
        <w:rPr>
          <w:spacing w:val="-7"/>
        </w:rPr>
        <w:t xml:space="preserve"> </w:t>
      </w:r>
      <w:r>
        <w:t>2025–2029</w:t>
      </w:r>
      <w:r>
        <w:rPr>
          <w:spacing w:val="-6"/>
        </w:rPr>
        <w:t xml:space="preserve"> </w:t>
      </w:r>
      <w:r>
        <w:t>NTB</w:t>
      </w:r>
      <w:r>
        <w:rPr>
          <w:spacing w:val="-7"/>
        </w:rPr>
        <w:t xml:space="preserve"> </w:t>
      </w:r>
      <w:r>
        <w:t>One</w:t>
      </w:r>
      <w:r>
        <w:rPr>
          <w:spacing w:val="-5"/>
        </w:rPr>
        <w:t xml:space="preserve"> </w:t>
      </w:r>
      <w:r>
        <w:t>Data</w:t>
      </w:r>
      <w:r>
        <w:rPr>
          <w:spacing w:val="-5"/>
        </w:rPr>
        <w:t xml:space="preserve"> </w:t>
      </w:r>
      <w:r>
        <w:t>Action</w:t>
      </w:r>
      <w:r>
        <w:rPr>
          <w:spacing w:val="-4"/>
        </w:rPr>
        <w:t xml:space="preserve"> </w:t>
      </w:r>
      <w:r>
        <w:t>Plan</w:t>
      </w:r>
      <w:r>
        <w:rPr>
          <w:spacing w:val="-6"/>
        </w:rPr>
        <w:t xml:space="preserve"> </w:t>
      </w:r>
      <w:r>
        <w:t>has</w:t>
      </w:r>
      <w:r>
        <w:rPr>
          <w:spacing w:val="-3"/>
        </w:rPr>
        <w:t xml:space="preserve"> </w:t>
      </w:r>
      <w:r>
        <w:t>been</w:t>
      </w:r>
      <w:r>
        <w:rPr>
          <w:spacing w:val="-6"/>
        </w:rPr>
        <w:t xml:space="preserve"> </w:t>
      </w:r>
      <w:r>
        <w:t>prepared</w:t>
      </w:r>
      <w:r>
        <w:rPr>
          <w:spacing w:val="-6"/>
        </w:rPr>
        <w:t xml:space="preserve"> </w:t>
      </w:r>
      <w:r>
        <w:t>in</w:t>
      </w:r>
      <w:r>
        <w:rPr>
          <w:spacing w:val="-4"/>
        </w:rPr>
        <w:t xml:space="preserve"> </w:t>
      </w:r>
      <w:r>
        <w:t>accordance</w:t>
      </w:r>
      <w:r>
        <w:rPr>
          <w:spacing w:val="-3"/>
        </w:rPr>
        <w:t xml:space="preserve"> </w:t>
      </w:r>
      <w:r>
        <w:t>with</w:t>
      </w:r>
      <w:r>
        <w:rPr>
          <w:spacing w:val="-6"/>
        </w:rPr>
        <w:t xml:space="preserve"> </w:t>
      </w:r>
      <w:r>
        <w:t>the</w:t>
      </w:r>
      <w:r>
        <w:rPr>
          <w:spacing w:val="-3"/>
        </w:rPr>
        <w:t xml:space="preserve"> </w:t>
      </w:r>
      <w:r>
        <w:t>One Data Home Affairs Government (</w:t>
      </w:r>
      <w:r>
        <w:rPr>
          <w:i/>
        </w:rPr>
        <w:t xml:space="preserve">Satu Data Pemerintahan Dalam Negeri, </w:t>
      </w:r>
      <w:r>
        <w:t>SDPDN) and is being reviewed by the Legal Bureau. Although it is not final yet, this document has been used in the provinces' agencies for technical assistance on data management. SKALA has been involved since the beginning, starting from mapping issues, providing technical input, to facilitating multiparty discussions.</w:t>
      </w:r>
    </w:p>
    <w:p w14:paraId="3C6F2A18" w14:textId="77777777" w:rsidR="00BC24A8" w:rsidRDefault="00000000">
      <w:pPr>
        <w:pStyle w:val="ListParagraph"/>
        <w:numPr>
          <w:ilvl w:val="3"/>
          <w:numId w:val="79"/>
        </w:numPr>
        <w:tabs>
          <w:tab w:val="left" w:pos="862"/>
          <w:tab w:val="left" w:pos="864"/>
        </w:tabs>
        <w:spacing w:before="1"/>
        <w:ind w:left="864" w:right="562"/>
      </w:pPr>
      <w:r>
        <w:t>NTB Governor</w:t>
      </w:r>
      <w:r>
        <w:rPr>
          <w:spacing w:val="-1"/>
        </w:rPr>
        <w:t xml:space="preserve"> </w:t>
      </w:r>
      <w:r>
        <w:t>Decree</w:t>
      </w:r>
      <w:r>
        <w:rPr>
          <w:spacing w:val="-1"/>
        </w:rPr>
        <w:t xml:space="preserve"> </w:t>
      </w:r>
      <w:r>
        <w:t>Number</w:t>
      </w:r>
      <w:r>
        <w:rPr>
          <w:spacing w:val="-1"/>
        </w:rPr>
        <w:t xml:space="preserve"> </w:t>
      </w:r>
      <w:r>
        <w:t>100.3.3.1-71 of 2025 has been issued to establish</w:t>
      </w:r>
      <w:r>
        <w:rPr>
          <w:spacing w:val="-1"/>
        </w:rPr>
        <w:t xml:space="preserve"> </w:t>
      </w:r>
      <w:r>
        <w:t>the NTB One Data</w:t>
      </w:r>
      <w:r>
        <w:rPr>
          <w:spacing w:val="-4"/>
        </w:rPr>
        <w:t xml:space="preserve"> </w:t>
      </w:r>
      <w:r>
        <w:t>Governance</w:t>
      </w:r>
      <w:r>
        <w:rPr>
          <w:spacing w:val="-4"/>
        </w:rPr>
        <w:t xml:space="preserve"> </w:t>
      </w:r>
      <w:r>
        <w:t>Team</w:t>
      </w:r>
      <w:r>
        <w:rPr>
          <w:spacing w:val="-2"/>
        </w:rPr>
        <w:t xml:space="preserve"> </w:t>
      </w:r>
      <w:r>
        <w:t>to</w:t>
      </w:r>
      <w:r>
        <w:rPr>
          <w:spacing w:val="-3"/>
        </w:rPr>
        <w:t xml:space="preserve"> </w:t>
      </w:r>
      <w:r>
        <w:t>strengthen</w:t>
      </w:r>
      <w:r>
        <w:rPr>
          <w:spacing w:val="-2"/>
        </w:rPr>
        <w:t xml:space="preserve"> </w:t>
      </w:r>
      <w:r>
        <w:t>the</w:t>
      </w:r>
      <w:r>
        <w:rPr>
          <w:spacing w:val="-2"/>
        </w:rPr>
        <w:t xml:space="preserve"> </w:t>
      </w:r>
      <w:r>
        <w:t>role</w:t>
      </w:r>
      <w:r>
        <w:rPr>
          <w:spacing w:val="-2"/>
        </w:rPr>
        <w:t xml:space="preserve"> </w:t>
      </w:r>
      <w:r>
        <w:t>of</w:t>
      </w:r>
      <w:r>
        <w:rPr>
          <w:spacing w:val="-2"/>
        </w:rPr>
        <w:t xml:space="preserve"> </w:t>
      </w:r>
      <w:r>
        <w:rPr>
          <w:i/>
        </w:rPr>
        <w:t>Bappeda</w:t>
      </w:r>
      <w:r>
        <w:rPr>
          <w:i/>
          <w:spacing w:val="-2"/>
        </w:rPr>
        <w:t xml:space="preserve"> </w:t>
      </w:r>
      <w:r>
        <w:t>as</w:t>
      </w:r>
      <w:r>
        <w:rPr>
          <w:spacing w:val="-4"/>
        </w:rPr>
        <w:t xml:space="preserve"> </w:t>
      </w:r>
      <w:r>
        <w:t>the</w:t>
      </w:r>
      <w:r>
        <w:rPr>
          <w:spacing w:val="-2"/>
        </w:rPr>
        <w:t xml:space="preserve"> </w:t>
      </w:r>
      <w:r>
        <w:t>Chairman</w:t>
      </w:r>
      <w:r>
        <w:rPr>
          <w:spacing w:val="-2"/>
        </w:rPr>
        <w:t xml:space="preserve"> </w:t>
      </w:r>
      <w:r>
        <w:t>and</w:t>
      </w:r>
      <w:r>
        <w:rPr>
          <w:spacing w:val="-2"/>
        </w:rPr>
        <w:t xml:space="preserve"> </w:t>
      </w:r>
      <w:r>
        <w:t>Coordinator</w:t>
      </w:r>
      <w:r>
        <w:rPr>
          <w:spacing w:val="-2"/>
        </w:rPr>
        <w:t xml:space="preserve"> </w:t>
      </w:r>
      <w:r>
        <w:t>of the NTB One Data Forum Secretariat.</w:t>
      </w:r>
    </w:p>
    <w:p w14:paraId="0FAEC186" w14:textId="77777777" w:rsidR="00BC24A8" w:rsidRDefault="00000000">
      <w:pPr>
        <w:pStyle w:val="BodyText"/>
        <w:spacing w:before="3"/>
        <w:rPr>
          <w:sz w:val="20"/>
        </w:rPr>
      </w:pPr>
      <w:r>
        <w:rPr>
          <w:noProof/>
          <w:sz w:val="20"/>
        </w:rPr>
        <mc:AlternateContent>
          <mc:Choice Requires="wps">
            <w:drawing>
              <wp:anchor distT="0" distB="0" distL="0" distR="0" simplePos="0" relativeHeight="487620096" behindDoc="1" locked="0" layoutInCell="1" allowOverlap="1" wp14:anchorId="7717526A" wp14:editId="767B064A">
                <wp:simplePos x="0" y="0"/>
                <wp:positionH relativeFrom="page">
                  <wp:posOffset>900683</wp:posOffset>
                </wp:positionH>
                <wp:positionV relativeFrom="paragraph">
                  <wp:posOffset>172428</wp:posOffset>
                </wp:positionV>
                <wp:extent cx="1828800" cy="9525"/>
                <wp:effectExtent l="0" t="0" r="0" b="0"/>
                <wp:wrapTopAndBottom/>
                <wp:docPr id="176" name="Graphic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672A3B" id="Graphic 176" o:spid="_x0000_s1026" alt="&quot;&quot;" style="position:absolute;margin-left:70.9pt;margin-top:13.6pt;width:2in;height:.75pt;z-index:-1569638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" path="m1828800,l,,,9144r1828800,l1828800,xe" fillcolor="black" stroked="f">
                <v:path arrowok="t"/>
                <w10:wrap type="topAndBottom" anchorx="page"/>
              </v:shape>
            </w:pict>
          </mc:Fallback>
        </mc:AlternateContent>
      </w:r>
    </w:p>
    <w:p w14:paraId="3E42ED40" w14:textId="77777777" w:rsidR="00BC24A8" w:rsidRDefault="00BC24A8">
      <w:pPr>
        <w:pStyle w:val="BodyText"/>
        <w:spacing w:before="105"/>
        <w:rPr>
          <w:sz w:val="16"/>
        </w:rPr>
      </w:pPr>
    </w:p>
    <w:p w14:paraId="2894733D" w14:textId="77777777" w:rsidR="00BC24A8" w:rsidRDefault="00000000">
      <w:pPr>
        <w:spacing w:before="1"/>
        <w:ind w:left="143" w:right="662" w:hanging="1"/>
        <w:rPr>
          <w:sz w:val="16"/>
        </w:rPr>
      </w:pPr>
      <w:bookmarkStart w:id="191" w:name="_bookmark129"/>
      <w:bookmarkEnd w:id="191"/>
      <w:r>
        <w:rPr>
          <w:color w:val="767070"/>
          <w:sz w:val="16"/>
          <w:vertAlign w:val="superscript"/>
        </w:rPr>
        <w:t>61</w:t>
      </w:r>
      <w:r>
        <w:rPr>
          <w:color w:val="767070"/>
          <w:spacing w:val="-6"/>
          <w:sz w:val="16"/>
        </w:rPr>
        <w:t xml:space="preserve"> </w:t>
      </w:r>
      <w:r>
        <w:rPr>
          <w:color w:val="767070"/>
          <w:sz w:val="16"/>
        </w:rPr>
        <w:t>KUA–PPAS:</w:t>
      </w:r>
      <w:r>
        <w:rPr>
          <w:color w:val="767070"/>
          <w:spacing w:val="-5"/>
          <w:sz w:val="16"/>
        </w:rPr>
        <w:t xml:space="preserve"> </w:t>
      </w:r>
      <w:r>
        <w:rPr>
          <w:color w:val="767070"/>
          <w:sz w:val="16"/>
        </w:rPr>
        <w:t>General</w:t>
      </w:r>
      <w:r>
        <w:rPr>
          <w:color w:val="767070"/>
          <w:spacing w:val="-5"/>
          <w:sz w:val="16"/>
        </w:rPr>
        <w:t xml:space="preserve"> </w:t>
      </w:r>
      <w:r>
        <w:rPr>
          <w:color w:val="767070"/>
          <w:sz w:val="16"/>
        </w:rPr>
        <w:t>Budget</w:t>
      </w:r>
      <w:r>
        <w:rPr>
          <w:color w:val="767070"/>
          <w:spacing w:val="-6"/>
          <w:sz w:val="16"/>
        </w:rPr>
        <w:t xml:space="preserve"> </w:t>
      </w:r>
      <w:r>
        <w:rPr>
          <w:color w:val="767070"/>
          <w:sz w:val="16"/>
        </w:rPr>
        <w:t>Policy</w:t>
      </w:r>
      <w:r>
        <w:rPr>
          <w:color w:val="767070"/>
          <w:spacing w:val="-4"/>
          <w:sz w:val="16"/>
        </w:rPr>
        <w:t xml:space="preserve"> </w:t>
      </w:r>
      <w:r>
        <w:rPr>
          <w:color w:val="767070"/>
          <w:sz w:val="16"/>
        </w:rPr>
        <w:t>–</w:t>
      </w:r>
      <w:r>
        <w:rPr>
          <w:color w:val="767070"/>
          <w:spacing w:val="-6"/>
          <w:sz w:val="16"/>
        </w:rPr>
        <w:t xml:space="preserve"> </w:t>
      </w:r>
      <w:r>
        <w:rPr>
          <w:color w:val="767070"/>
          <w:sz w:val="16"/>
        </w:rPr>
        <w:t>Temporary</w:t>
      </w:r>
      <w:r>
        <w:rPr>
          <w:color w:val="767070"/>
          <w:spacing w:val="-5"/>
          <w:sz w:val="16"/>
        </w:rPr>
        <w:t xml:space="preserve"> </w:t>
      </w:r>
      <w:r>
        <w:rPr>
          <w:color w:val="767070"/>
          <w:sz w:val="16"/>
        </w:rPr>
        <w:t>Budget</w:t>
      </w:r>
      <w:r>
        <w:rPr>
          <w:color w:val="767070"/>
          <w:spacing w:val="-6"/>
          <w:sz w:val="16"/>
        </w:rPr>
        <w:t xml:space="preserve"> </w:t>
      </w:r>
      <w:r>
        <w:rPr>
          <w:color w:val="767070"/>
          <w:sz w:val="16"/>
        </w:rPr>
        <w:t>Priorities</w:t>
      </w:r>
      <w:r>
        <w:rPr>
          <w:color w:val="767070"/>
          <w:spacing w:val="-5"/>
          <w:sz w:val="16"/>
        </w:rPr>
        <w:t xml:space="preserve"> </w:t>
      </w:r>
      <w:r>
        <w:rPr>
          <w:color w:val="767070"/>
          <w:sz w:val="16"/>
        </w:rPr>
        <w:t>and</w:t>
      </w:r>
      <w:r>
        <w:rPr>
          <w:color w:val="767070"/>
          <w:spacing w:val="-5"/>
          <w:sz w:val="16"/>
        </w:rPr>
        <w:t xml:space="preserve"> </w:t>
      </w:r>
      <w:r>
        <w:rPr>
          <w:color w:val="767070"/>
          <w:sz w:val="16"/>
        </w:rPr>
        <w:t>Ceilings,</w:t>
      </w:r>
      <w:r>
        <w:rPr>
          <w:color w:val="767070"/>
          <w:spacing w:val="-7"/>
          <w:sz w:val="16"/>
        </w:rPr>
        <w:t xml:space="preserve"> </w:t>
      </w:r>
      <w:r>
        <w:rPr>
          <w:color w:val="767070"/>
          <w:sz w:val="16"/>
        </w:rPr>
        <w:t>a</w:t>
      </w:r>
      <w:r>
        <w:rPr>
          <w:color w:val="767070"/>
          <w:spacing w:val="-5"/>
          <w:sz w:val="16"/>
        </w:rPr>
        <w:t xml:space="preserve"> </w:t>
      </w:r>
      <w:r>
        <w:rPr>
          <w:color w:val="767070"/>
          <w:sz w:val="16"/>
        </w:rPr>
        <w:t>document</w:t>
      </w:r>
      <w:r>
        <w:rPr>
          <w:color w:val="767070"/>
          <w:spacing w:val="-6"/>
          <w:sz w:val="16"/>
        </w:rPr>
        <w:t xml:space="preserve"> </w:t>
      </w:r>
      <w:r>
        <w:rPr>
          <w:color w:val="767070"/>
          <w:sz w:val="16"/>
        </w:rPr>
        <w:t>outlining</w:t>
      </w:r>
      <w:r>
        <w:rPr>
          <w:color w:val="767070"/>
          <w:spacing w:val="-7"/>
          <w:sz w:val="16"/>
        </w:rPr>
        <w:t xml:space="preserve"> </w:t>
      </w:r>
      <w:r>
        <w:rPr>
          <w:color w:val="767070"/>
          <w:sz w:val="16"/>
        </w:rPr>
        <w:t>APBD</w:t>
      </w:r>
      <w:r>
        <w:rPr>
          <w:color w:val="767070"/>
          <w:spacing w:val="-7"/>
          <w:sz w:val="16"/>
        </w:rPr>
        <w:t xml:space="preserve"> </w:t>
      </w:r>
      <w:r>
        <w:rPr>
          <w:color w:val="767070"/>
          <w:sz w:val="16"/>
        </w:rPr>
        <w:t>assumptions,</w:t>
      </w:r>
      <w:r>
        <w:rPr>
          <w:color w:val="767070"/>
          <w:spacing w:val="-7"/>
          <w:sz w:val="16"/>
        </w:rPr>
        <w:t xml:space="preserve"> </w:t>
      </w:r>
      <w:r>
        <w:rPr>
          <w:color w:val="767070"/>
          <w:sz w:val="16"/>
        </w:rPr>
        <w:t>program</w:t>
      </w:r>
      <w:r>
        <w:rPr>
          <w:color w:val="767070"/>
          <w:spacing w:val="-6"/>
          <w:sz w:val="16"/>
        </w:rPr>
        <w:t xml:space="preserve"> </w:t>
      </w:r>
      <w:r>
        <w:rPr>
          <w:color w:val="767070"/>
          <w:sz w:val="16"/>
        </w:rPr>
        <w:t>priorities,</w:t>
      </w:r>
      <w:r>
        <w:rPr>
          <w:color w:val="767070"/>
          <w:spacing w:val="40"/>
          <w:sz w:val="16"/>
        </w:rPr>
        <w:t xml:space="preserve"> </w:t>
      </w:r>
      <w:r>
        <w:rPr>
          <w:color w:val="767070"/>
          <w:sz w:val="16"/>
        </w:rPr>
        <w:t>and budget ceilings.</w:t>
      </w:r>
    </w:p>
    <w:p w14:paraId="6215AD78" w14:textId="77777777" w:rsidR="00BC24A8" w:rsidRDefault="00000000">
      <w:pPr>
        <w:ind w:left="143" w:right="648"/>
        <w:rPr>
          <w:sz w:val="16"/>
        </w:rPr>
      </w:pPr>
      <w:bookmarkStart w:id="192" w:name="_bookmark130"/>
      <w:bookmarkEnd w:id="192"/>
      <w:r>
        <w:rPr>
          <w:color w:val="767070"/>
          <w:sz w:val="16"/>
          <w:vertAlign w:val="superscript"/>
        </w:rPr>
        <w:t>62</w:t>
      </w:r>
      <w:r>
        <w:rPr>
          <w:color w:val="767070"/>
          <w:spacing w:val="-5"/>
          <w:sz w:val="16"/>
        </w:rPr>
        <w:t xml:space="preserve"> </w:t>
      </w:r>
      <w:r>
        <w:rPr>
          <w:color w:val="767070"/>
          <w:sz w:val="16"/>
        </w:rPr>
        <w:t>KEM–PPKF:</w:t>
      </w:r>
      <w:r>
        <w:rPr>
          <w:color w:val="767070"/>
          <w:spacing w:val="-6"/>
          <w:sz w:val="16"/>
        </w:rPr>
        <w:t xml:space="preserve"> </w:t>
      </w:r>
      <w:r>
        <w:rPr>
          <w:color w:val="767070"/>
          <w:sz w:val="16"/>
        </w:rPr>
        <w:t>Macroeconomic</w:t>
      </w:r>
      <w:r>
        <w:rPr>
          <w:color w:val="767070"/>
          <w:spacing w:val="-6"/>
          <w:sz w:val="16"/>
        </w:rPr>
        <w:t xml:space="preserve"> </w:t>
      </w:r>
      <w:r>
        <w:rPr>
          <w:color w:val="767070"/>
          <w:sz w:val="16"/>
        </w:rPr>
        <w:t>Framework</w:t>
      </w:r>
      <w:r>
        <w:rPr>
          <w:color w:val="767070"/>
          <w:spacing w:val="-4"/>
          <w:sz w:val="16"/>
        </w:rPr>
        <w:t xml:space="preserve"> </w:t>
      </w:r>
      <w:r>
        <w:rPr>
          <w:color w:val="767070"/>
          <w:sz w:val="16"/>
        </w:rPr>
        <w:t>and</w:t>
      </w:r>
      <w:r>
        <w:rPr>
          <w:color w:val="767070"/>
          <w:spacing w:val="-4"/>
          <w:sz w:val="16"/>
        </w:rPr>
        <w:t xml:space="preserve"> </w:t>
      </w:r>
      <w:r>
        <w:rPr>
          <w:color w:val="767070"/>
          <w:sz w:val="16"/>
        </w:rPr>
        <w:t>Fiscal</w:t>
      </w:r>
      <w:r>
        <w:rPr>
          <w:color w:val="767070"/>
          <w:spacing w:val="-7"/>
          <w:sz w:val="16"/>
        </w:rPr>
        <w:t xml:space="preserve"> </w:t>
      </w:r>
      <w:r>
        <w:rPr>
          <w:color w:val="767070"/>
          <w:sz w:val="16"/>
        </w:rPr>
        <w:t>Policy</w:t>
      </w:r>
      <w:r>
        <w:rPr>
          <w:color w:val="767070"/>
          <w:spacing w:val="-4"/>
          <w:sz w:val="16"/>
        </w:rPr>
        <w:t xml:space="preserve"> </w:t>
      </w:r>
      <w:r>
        <w:rPr>
          <w:color w:val="767070"/>
          <w:sz w:val="16"/>
        </w:rPr>
        <w:t>Guidelines,</w:t>
      </w:r>
      <w:r>
        <w:rPr>
          <w:color w:val="767070"/>
          <w:spacing w:val="-6"/>
          <w:sz w:val="16"/>
        </w:rPr>
        <w:t xml:space="preserve"> </w:t>
      </w:r>
      <w:r>
        <w:rPr>
          <w:color w:val="767070"/>
          <w:sz w:val="16"/>
        </w:rPr>
        <w:t>an</w:t>
      </w:r>
      <w:r>
        <w:rPr>
          <w:color w:val="767070"/>
          <w:spacing w:val="-4"/>
          <w:sz w:val="16"/>
        </w:rPr>
        <w:t xml:space="preserve"> </w:t>
      </w:r>
      <w:r>
        <w:rPr>
          <w:color w:val="767070"/>
          <w:sz w:val="16"/>
        </w:rPr>
        <w:t>official</w:t>
      </w:r>
      <w:r>
        <w:rPr>
          <w:color w:val="767070"/>
          <w:spacing w:val="-4"/>
          <w:sz w:val="16"/>
        </w:rPr>
        <w:t xml:space="preserve"> </w:t>
      </w:r>
      <w:r>
        <w:rPr>
          <w:color w:val="767070"/>
          <w:sz w:val="16"/>
        </w:rPr>
        <w:t>document</w:t>
      </w:r>
      <w:r>
        <w:rPr>
          <w:color w:val="767070"/>
          <w:spacing w:val="-5"/>
          <w:sz w:val="16"/>
        </w:rPr>
        <w:t xml:space="preserve"> </w:t>
      </w:r>
      <w:r>
        <w:rPr>
          <w:color w:val="767070"/>
          <w:sz w:val="16"/>
        </w:rPr>
        <w:t>providing</w:t>
      </w:r>
      <w:r>
        <w:rPr>
          <w:color w:val="767070"/>
          <w:spacing w:val="-6"/>
          <w:sz w:val="16"/>
        </w:rPr>
        <w:t xml:space="preserve"> </w:t>
      </w:r>
      <w:r>
        <w:rPr>
          <w:color w:val="767070"/>
          <w:sz w:val="16"/>
        </w:rPr>
        <w:t>economic</w:t>
      </w:r>
      <w:r>
        <w:rPr>
          <w:color w:val="767070"/>
          <w:spacing w:val="-6"/>
          <w:sz w:val="16"/>
        </w:rPr>
        <w:t xml:space="preserve"> </w:t>
      </w:r>
      <w:r>
        <w:rPr>
          <w:color w:val="767070"/>
          <w:sz w:val="16"/>
        </w:rPr>
        <w:t>projections</w:t>
      </w:r>
      <w:r>
        <w:rPr>
          <w:color w:val="767070"/>
          <w:spacing w:val="-4"/>
          <w:sz w:val="16"/>
        </w:rPr>
        <w:t xml:space="preserve"> </w:t>
      </w:r>
      <w:r>
        <w:rPr>
          <w:color w:val="767070"/>
          <w:sz w:val="16"/>
        </w:rPr>
        <w:t>and</w:t>
      </w:r>
      <w:r>
        <w:rPr>
          <w:color w:val="767070"/>
          <w:spacing w:val="-4"/>
          <w:sz w:val="16"/>
        </w:rPr>
        <w:t xml:space="preserve"> </w:t>
      </w:r>
      <w:r>
        <w:rPr>
          <w:color w:val="767070"/>
          <w:sz w:val="16"/>
        </w:rPr>
        <w:t>fiscal</w:t>
      </w:r>
      <w:r>
        <w:rPr>
          <w:color w:val="767070"/>
          <w:spacing w:val="-4"/>
          <w:sz w:val="16"/>
        </w:rPr>
        <w:t xml:space="preserve"> </w:t>
      </w:r>
      <w:r>
        <w:rPr>
          <w:color w:val="767070"/>
          <w:sz w:val="16"/>
        </w:rPr>
        <w:t>policy</w:t>
      </w:r>
      <w:r>
        <w:rPr>
          <w:color w:val="767070"/>
          <w:spacing w:val="40"/>
          <w:sz w:val="16"/>
        </w:rPr>
        <w:t xml:space="preserve"> </w:t>
      </w:r>
      <w:r>
        <w:rPr>
          <w:color w:val="767070"/>
          <w:sz w:val="16"/>
        </w:rPr>
        <w:t>directions for RAPBN preparation.</w:t>
      </w:r>
    </w:p>
    <w:p w14:paraId="74ACCB47" w14:textId="77777777" w:rsidR="00BC24A8" w:rsidRDefault="00000000">
      <w:pPr>
        <w:ind w:left="143" w:right="662" w:hanging="1"/>
        <w:rPr>
          <w:sz w:val="16"/>
        </w:rPr>
      </w:pPr>
      <w:bookmarkStart w:id="193" w:name="_bookmark131"/>
      <w:bookmarkEnd w:id="193"/>
      <w:r>
        <w:rPr>
          <w:color w:val="767070"/>
          <w:sz w:val="16"/>
          <w:vertAlign w:val="superscript"/>
        </w:rPr>
        <w:t>63</w:t>
      </w:r>
      <w:r>
        <w:rPr>
          <w:color w:val="767070"/>
          <w:spacing w:val="-5"/>
          <w:sz w:val="16"/>
        </w:rPr>
        <w:t xml:space="preserve"> </w:t>
      </w:r>
      <w:r>
        <w:rPr>
          <w:color w:val="767070"/>
          <w:sz w:val="16"/>
        </w:rPr>
        <w:t>PKB</w:t>
      </w:r>
      <w:r>
        <w:rPr>
          <w:color w:val="767070"/>
          <w:spacing w:val="-4"/>
          <w:sz w:val="16"/>
        </w:rPr>
        <w:t xml:space="preserve"> </w:t>
      </w:r>
      <w:r>
        <w:rPr>
          <w:color w:val="767070"/>
          <w:sz w:val="16"/>
        </w:rPr>
        <w:t>stands</w:t>
      </w:r>
      <w:r>
        <w:rPr>
          <w:color w:val="767070"/>
          <w:spacing w:val="-4"/>
          <w:sz w:val="16"/>
        </w:rPr>
        <w:t xml:space="preserve"> </w:t>
      </w:r>
      <w:r>
        <w:rPr>
          <w:color w:val="767070"/>
          <w:sz w:val="16"/>
        </w:rPr>
        <w:t>for</w:t>
      </w:r>
      <w:r>
        <w:rPr>
          <w:color w:val="767070"/>
          <w:spacing w:val="-7"/>
          <w:sz w:val="16"/>
        </w:rPr>
        <w:t xml:space="preserve"> </w:t>
      </w:r>
      <w:r>
        <w:rPr>
          <w:color w:val="767070"/>
          <w:sz w:val="16"/>
        </w:rPr>
        <w:t>Motor</w:t>
      </w:r>
      <w:r>
        <w:rPr>
          <w:color w:val="767070"/>
          <w:spacing w:val="-5"/>
          <w:sz w:val="16"/>
        </w:rPr>
        <w:t xml:space="preserve"> </w:t>
      </w:r>
      <w:r>
        <w:rPr>
          <w:color w:val="767070"/>
          <w:sz w:val="16"/>
        </w:rPr>
        <w:t>Vehicle</w:t>
      </w:r>
      <w:r>
        <w:rPr>
          <w:color w:val="767070"/>
          <w:spacing w:val="-5"/>
          <w:sz w:val="16"/>
        </w:rPr>
        <w:t xml:space="preserve"> </w:t>
      </w:r>
      <w:r>
        <w:rPr>
          <w:color w:val="767070"/>
          <w:sz w:val="16"/>
        </w:rPr>
        <w:t>Tax.</w:t>
      </w:r>
      <w:r>
        <w:rPr>
          <w:color w:val="767070"/>
          <w:spacing w:val="-6"/>
          <w:sz w:val="16"/>
        </w:rPr>
        <w:t xml:space="preserve"> </w:t>
      </w:r>
      <w:r>
        <w:rPr>
          <w:color w:val="767070"/>
          <w:sz w:val="16"/>
        </w:rPr>
        <w:t>This</w:t>
      </w:r>
      <w:r>
        <w:rPr>
          <w:color w:val="767070"/>
          <w:spacing w:val="-4"/>
          <w:sz w:val="16"/>
        </w:rPr>
        <w:t xml:space="preserve"> </w:t>
      </w:r>
      <w:r>
        <w:rPr>
          <w:color w:val="767070"/>
          <w:sz w:val="16"/>
        </w:rPr>
        <w:t>tax</w:t>
      </w:r>
      <w:r>
        <w:rPr>
          <w:color w:val="767070"/>
          <w:spacing w:val="-5"/>
          <w:sz w:val="16"/>
        </w:rPr>
        <w:t xml:space="preserve"> </w:t>
      </w:r>
      <w:r>
        <w:rPr>
          <w:color w:val="767070"/>
          <w:sz w:val="16"/>
        </w:rPr>
        <w:t>is</w:t>
      </w:r>
      <w:r>
        <w:rPr>
          <w:color w:val="767070"/>
          <w:spacing w:val="-4"/>
          <w:sz w:val="16"/>
        </w:rPr>
        <w:t xml:space="preserve"> </w:t>
      </w:r>
      <w:r>
        <w:rPr>
          <w:color w:val="767070"/>
          <w:sz w:val="16"/>
        </w:rPr>
        <w:t>imposed</w:t>
      </w:r>
      <w:r>
        <w:rPr>
          <w:color w:val="767070"/>
          <w:spacing w:val="-4"/>
          <w:sz w:val="16"/>
        </w:rPr>
        <w:t xml:space="preserve"> </w:t>
      </w:r>
      <w:r>
        <w:rPr>
          <w:color w:val="767070"/>
          <w:sz w:val="16"/>
        </w:rPr>
        <w:t>on</w:t>
      </w:r>
      <w:r>
        <w:rPr>
          <w:color w:val="767070"/>
          <w:spacing w:val="-4"/>
          <w:sz w:val="16"/>
        </w:rPr>
        <w:t xml:space="preserve"> </w:t>
      </w:r>
      <w:r>
        <w:rPr>
          <w:color w:val="767070"/>
          <w:sz w:val="16"/>
        </w:rPr>
        <w:t>the</w:t>
      </w:r>
      <w:r>
        <w:rPr>
          <w:color w:val="767070"/>
          <w:spacing w:val="-5"/>
          <w:sz w:val="16"/>
        </w:rPr>
        <w:t xml:space="preserve"> </w:t>
      </w:r>
      <w:r>
        <w:rPr>
          <w:color w:val="767070"/>
          <w:sz w:val="16"/>
        </w:rPr>
        <w:t>ownership</w:t>
      </w:r>
      <w:r>
        <w:rPr>
          <w:color w:val="767070"/>
          <w:spacing w:val="-4"/>
          <w:sz w:val="16"/>
        </w:rPr>
        <w:t xml:space="preserve"> </w:t>
      </w:r>
      <w:r>
        <w:rPr>
          <w:color w:val="767070"/>
          <w:sz w:val="16"/>
        </w:rPr>
        <w:t>and/or</w:t>
      </w:r>
      <w:r>
        <w:rPr>
          <w:color w:val="767070"/>
          <w:spacing w:val="-5"/>
          <w:sz w:val="16"/>
        </w:rPr>
        <w:t xml:space="preserve"> </w:t>
      </w:r>
      <w:r>
        <w:rPr>
          <w:color w:val="767070"/>
          <w:sz w:val="16"/>
        </w:rPr>
        <w:t>control</w:t>
      </w:r>
      <w:r>
        <w:rPr>
          <w:color w:val="767070"/>
          <w:spacing w:val="-7"/>
          <w:sz w:val="16"/>
        </w:rPr>
        <w:t xml:space="preserve"> </w:t>
      </w:r>
      <w:r>
        <w:rPr>
          <w:color w:val="767070"/>
          <w:sz w:val="16"/>
        </w:rPr>
        <w:t>of</w:t>
      </w:r>
      <w:r>
        <w:rPr>
          <w:color w:val="767070"/>
          <w:spacing w:val="-5"/>
          <w:sz w:val="16"/>
        </w:rPr>
        <w:t xml:space="preserve"> </w:t>
      </w:r>
      <w:r>
        <w:rPr>
          <w:color w:val="767070"/>
          <w:sz w:val="16"/>
        </w:rPr>
        <w:t>motor</w:t>
      </w:r>
      <w:r>
        <w:rPr>
          <w:color w:val="767070"/>
          <w:spacing w:val="-5"/>
          <w:sz w:val="16"/>
        </w:rPr>
        <w:t xml:space="preserve"> </w:t>
      </w:r>
      <w:r>
        <w:rPr>
          <w:color w:val="767070"/>
          <w:sz w:val="16"/>
        </w:rPr>
        <w:t>vehicles.</w:t>
      </w:r>
      <w:r>
        <w:rPr>
          <w:color w:val="767070"/>
          <w:spacing w:val="-7"/>
          <w:sz w:val="16"/>
        </w:rPr>
        <w:t xml:space="preserve"> </w:t>
      </w:r>
      <w:r>
        <w:rPr>
          <w:color w:val="767070"/>
          <w:sz w:val="16"/>
        </w:rPr>
        <w:t>MBLB</w:t>
      </w:r>
      <w:r>
        <w:rPr>
          <w:color w:val="767070"/>
          <w:spacing w:val="-4"/>
          <w:sz w:val="16"/>
        </w:rPr>
        <w:t xml:space="preserve"> </w:t>
      </w:r>
      <w:r>
        <w:rPr>
          <w:color w:val="767070"/>
          <w:sz w:val="16"/>
        </w:rPr>
        <w:t>stands</w:t>
      </w:r>
      <w:r>
        <w:rPr>
          <w:color w:val="767070"/>
          <w:spacing w:val="-4"/>
          <w:sz w:val="16"/>
        </w:rPr>
        <w:t xml:space="preserve"> </w:t>
      </w:r>
      <w:r>
        <w:rPr>
          <w:color w:val="767070"/>
          <w:sz w:val="16"/>
        </w:rPr>
        <w:t>for</w:t>
      </w:r>
      <w:r>
        <w:rPr>
          <w:color w:val="767070"/>
          <w:spacing w:val="-5"/>
          <w:sz w:val="16"/>
        </w:rPr>
        <w:t xml:space="preserve"> </w:t>
      </w:r>
      <w:r>
        <w:rPr>
          <w:color w:val="767070"/>
          <w:sz w:val="16"/>
        </w:rPr>
        <w:t>Non-Metallic</w:t>
      </w:r>
      <w:r>
        <w:rPr>
          <w:color w:val="767070"/>
          <w:spacing w:val="40"/>
          <w:sz w:val="16"/>
        </w:rPr>
        <w:t xml:space="preserve"> </w:t>
      </w:r>
      <w:r>
        <w:rPr>
          <w:color w:val="767070"/>
          <w:sz w:val="16"/>
        </w:rPr>
        <w:t>Minerals and Rocks Tax. This tax is imposed on the extraction of non-metallic minerals and rocks from nature for use.</w:t>
      </w:r>
    </w:p>
    <w:p w14:paraId="23FF5835" w14:textId="77777777" w:rsidR="00BC24A8" w:rsidRDefault="00BC24A8">
      <w:pPr>
        <w:rPr>
          <w:sz w:val="16"/>
        </w:rPr>
        <w:sectPr w:rsidR="00BC24A8">
          <w:pgSz w:w="11910" w:h="16840"/>
          <w:pgMar w:top="1360" w:right="850" w:bottom="1100" w:left="1275" w:header="0" w:footer="907" w:gutter="0"/>
          <w:cols w:space="720"/>
        </w:sectPr>
      </w:pPr>
    </w:p>
    <w:p w14:paraId="15E7B502" w14:textId="77777777" w:rsidR="00BC24A8" w:rsidRDefault="00000000">
      <w:pPr>
        <w:pStyle w:val="Heading5"/>
        <w:spacing w:before="39"/>
      </w:pPr>
      <w:r>
        <w:lastRenderedPageBreak/>
        <w:t>Publication</w:t>
      </w:r>
      <w:r>
        <w:rPr>
          <w:spacing w:val="-9"/>
        </w:rPr>
        <w:t xml:space="preserve"> </w:t>
      </w:r>
      <w:r>
        <w:t>of</w:t>
      </w:r>
      <w:r>
        <w:rPr>
          <w:spacing w:val="-8"/>
        </w:rPr>
        <w:t xml:space="preserve"> </w:t>
      </w:r>
      <w:r>
        <w:t>Regional</w:t>
      </w:r>
      <w:r>
        <w:rPr>
          <w:spacing w:val="-8"/>
        </w:rPr>
        <w:t xml:space="preserve"> </w:t>
      </w:r>
      <w:r>
        <w:t>Data</w:t>
      </w:r>
      <w:r>
        <w:rPr>
          <w:spacing w:val="-9"/>
        </w:rPr>
        <w:t xml:space="preserve"> </w:t>
      </w:r>
      <w:r>
        <w:t>Registers</w:t>
      </w:r>
      <w:r>
        <w:rPr>
          <w:spacing w:val="-9"/>
        </w:rPr>
        <w:t xml:space="preserve"> </w:t>
      </w:r>
      <w:r>
        <w:t>and</w:t>
      </w:r>
      <w:r>
        <w:rPr>
          <w:spacing w:val="-9"/>
        </w:rPr>
        <w:t xml:space="preserve"> </w:t>
      </w:r>
      <w:r>
        <w:t>Data</w:t>
      </w:r>
      <w:r>
        <w:rPr>
          <w:spacing w:val="-10"/>
        </w:rPr>
        <w:t xml:space="preserve"> </w:t>
      </w:r>
      <w:r>
        <w:rPr>
          <w:spacing w:val="-2"/>
        </w:rPr>
        <w:t>Collection:</w:t>
      </w:r>
    </w:p>
    <w:p w14:paraId="7517D9B3" w14:textId="77777777" w:rsidR="00BC24A8" w:rsidRDefault="00000000">
      <w:pPr>
        <w:pStyle w:val="ListParagraph"/>
        <w:numPr>
          <w:ilvl w:val="3"/>
          <w:numId w:val="79"/>
        </w:numPr>
        <w:tabs>
          <w:tab w:val="left" w:pos="863"/>
        </w:tabs>
        <w:spacing w:before="159"/>
        <w:ind w:right="563" w:hanging="360"/>
      </w:pPr>
      <w:r>
        <w:t>NTB</w:t>
      </w:r>
      <w:r>
        <w:rPr>
          <w:spacing w:val="-12"/>
        </w:rPr>
        <w:t xml:space="preserve"> </w:t>
      </w:r>
      <w:r>
        <w:t>Governor's</w:t>
      </w:r>
      <w:r>
        <w:rPr>
          <w:spacing w:val="-10"/>
        </w:rPr>
        <w:t xml:space="preserve"> </w:t>
      </w:r>
      <w:r>
        <w:t>Decree</w:t>
      </w:r>
      <w:r>
        <w:rPr>
          <w:spacing w:val="-10"/>
        </w:rPr>
        <w:t xml:space="preserve"> </w:t>
      </w:r>
      <w:r>
        <w:t>Number</w:t>
      </w:r>
      <w:r>
        <w:rPr>
          <w:spacing w:val="-9"/>
        </w:rPr>
        <w:t xml:space="preserve"> </w:t>
      </w:r>
      <w:r>
        <w:t>100-3-3.1-201</w:t>
      </w:r>
      <w:r>
        <w:rPr>
          <w:spacing w:val="-9"/>
        </w:rPr>
        <w:t xml:space="preserve"> </w:t>
      </w:r>
      <w:r>
        <w:t>of</w:t>
      </w:r>
      <w:r>
        <w:rPr>
          <w:spacing w:val="-9"/>
        </w:rPr>
        <w:t xml:space="preserve"> </w:t>
      </w:r>
      <w:r>
        <w:t>2025</w:t>
      </w:r>
      <w:r>
        <w:rPr>
          <w:spacing w:val="-9"/>
        </w:rPr>
        <w:t xml:space="preserve"> </w:t>
      </w:r>
      <w:r>
        <w:t>on</w:t>
      </w:r>
      <w:r>
        <w:rPr>
          <w:spacing w:val="-9"/>
        </w:rPr>
        <w:t xml:space="preserve"> </w:t>
      </w:r>
      <w:r>
        <w:t>Determination</w:t>
      </w:r>
      <w:r>
        <w:rPr>
          <w:spacing w:val="-9"/>
        </w:rPr>
        <w:t xml:space="preserve"> </w:t>
      </w:r>
      <w:r>
        <w:t>of</w:t>
      </w:r>
      <w:r>
        <w:rPr>
          <w:spacing w:val="-9"/>
        </w:rPr>
        <w:t xml:space="preserve"> </w:t>
      </w:r>
      <w:r>
        <w:t>Regional</w:t>
      </w:r>
      <w:r>
        <w:rPr>
          <w:spacing w:val="-10"/>
        </w:rPr>
        <w:t xml:space="preserve"> </w:t>
      </w:r>
      <w:r>
        <w:t>Data</w:t>
      </w:r>
      <w:r>
        <w:rPr>
          <w:spacing w:val="-10"/>
        </w:rPr>
        <w:t xml:space="preserve"> </w:t>
      </w:r>
      <w:r>
        <w:t>Lists has been issued. The lists include MSS, sectoral data, General Service Indicators, Key Government Performance Indicators (IUP), and national priorities.</w:t>
      </w:r>
    </w:p>
    <w:p w14:paraId="2F07AF46" w14:textId="77777777" w:rsidR="00BC24A8" w:rsidRDefault="00000000">
      <w:pPr>
        <w:pStyle w:val="ListParagraph"/>
        <w:numPr>
          <w:ilvl w:val="3"/>
          <w:numId w:val="79"/>
        </w:numPr>
        <w:tabs>
          <w:tab w:val="left" w:pos="861"/>
          <w:tab w:val="left" w:pos="863"/>
        </w:tabs>
        <w:spacing w:before="1"/>
        <w:ind w:right="562"/>
      </w:pPr>
      <w:r>
        <w:t>The metadata of the 2025 NTB Data List has been compiled for the first time. This metadata is a reference for manufacturers, data guardians, and users in understanding the definitions, formats, and data standards used.</w:t>
      </w:r>
    </w:p>
    <w:p w14:paraId="54DBE506" w14:textId="77777777" w:rsidR="00BC24A8" w:rsidRDefault="00000000">
      <w:pPr>
        <w:pStyle w:val="ListParagraph"/>
        <w:numPr>
          <w:ilvl w:val="3"/>
          <w:numId w:val="79"/>
        </w:numPr>
        <w:tabs>
          <w:tab w:val="left" w:pos="863"/>
        </w:tabs>
        <w:ind w:right="563" w:hanging="360"/>
      </w:pPr>
      <w:r>
        <w:t>68 planning staff and</w:t>
      </w:r>
      <w:r>
        <w:rPr>
          <w:spacing w:val="40"/>
        </w:rPr>
        <w:t xml:space="preserve"> </w:t>
      </w:r>
      <w:r>
        <w:t>data entry officers (39 men, 29 women) from 36 provincial agencies received</w:t>
      </w:r>
      <w:r>
        <w:rPr>
          <w:spacing w:val="-1"/>
        </w:rPr>
        <w:t xml:space="preserve"> </w:t>
      </w:r>
      <w:r>
        <w:t>technical</w:t>
      </w:r>
      <w:r>
        <w:rPr>
          <w:spacing w:val="-3"/>
        </w:rPr>
        <w:t xml:space="preserve"> </w:t>
      </w:r>
      <w:r>
        <w:t>guidance</w:t>
      </w:r>
      <w:r>
        <w:rPr>
          <w:spacing w:val="-3"/>
        </w:rPr>
        <w:t xml:space="preserve"> </w:t>
      </w:r>
      <w:r>
        <w:t>from</w:t>
      </w:r>
      <w:r>
        <w:rPr>
          <w:spacing w:val="-1"/>
        </w:rPr>
        <w:t xml:space="preserve"> </w:t>
      </w:r>
      <w:r>
        <w:rPr>
          <w:i/>
        </w:rPr>
        <w:t>Bappeda</w:t>
      </w:r>
      <w:r>
        <w:t>,</w:t>
      </w:r>
      <w:r>
        <w:rPr>
          <w:spacing w:val="-3"/>
        </w:rPr>
        <w:t xml:space="preserve"> </w:t>
      </w:r>
      <w:r>
        <w:rPr>
          <w:i/>
        </w:rPr>
        <w:t>Diskominfotik</w:t>
      </w:r>
      <w:r>
        <w:t>,</w:t>
      </w:r>
      <w:r>
        <w:rPr>
          <w:spacing w:val="-1"/>
        </w:rPr>
        <w:t xml:space="preserve"> </w:t>
      </w:r>
      <w:r>
        <w:rPr>
          <w:i/>
        </w:rPr>
        <w:t>BPS</w:t>
      </w:r>
      <w:r>
        <w:t>,</w:t>
      </w:r>
      <w:r>
        <w:rPr>
          <w:spacing w:val="-1"/>
        </w:rPr>
        <w:t xml:space="preserve"> </w:t>
      </w:r>
      <w:r>
        <w:t>and</w:t>
      </w:r>
      <w:r>
        <w:rPr>
          <w:spacing w:val="-1"/>
        </w:rPr>
        <w:t xml:space="preserve"> </w:t>
      </w:r>
      <w:r>
        <w:t>SKALA</w:t>
      </w:r>
      <w:r>
        <w:rPr>
          <w:spacing w:val="-2"/>
        </w:rPr>
        <w:t xml:space="preserve"> </w:t>
      </w:r>
      <w:r>
        <w:t>to</w:t>
      </w:r>
      <w:r>
        <w:rPr>
          <w:spacing w:val="-4"/>
        </w:rPr>
        <w:t xml:space="preserve"> </w:t>
      </w:r>
      <w:r>
        <w:t>be</w:t>
      </w:r>
      <w:r>
        <w:rPr>
          <w:spacing w:val="-1"/>
        </w:rPr>
        <w:t xml:space="preserve"> </w:t>
      </w:r>
      <w:r>
        <w:t>able</w:t>
      </w:r>
      <w:r>
        <w:rPr>
          <w:spacing w:val="-1"/>
        </w:rPr>
        <w:t xml:space="preserve"> </w:t>
      </w:r>
      <w:r>
        <w:t>to</w:t>
      </w:r>
      <w:r>
        <w:rPr>
          <w:spacing w:val="-2"/>
        </w:rPr>
        <w:t xml:space="preserve"> </w:t>
      </w:r>
      <w:r>
        <w:t>collect data according to the data list and metadata.</w:t>
      </w:r>
    </w:p>
    <w:p w14:paraId="12EDF3CB" w14:textId="77777777" w:rsidR="00BC24A8" w:rsidRDefault="00000000">
      <w:pPr>
        <w:pStyle w:val="ListParagraph"/>
        <w:numPr>
          <w:ilvl w:val="3"/>
          <w:numId w:val="79"/>
        </w:numPr>
        <w:tabs>
          <w:tab w:val="left" w:pos="861"/>
          <w:tab w:val="left" w:pos="863"/>
        </w:tabs>
        <w:ind w:right="562"/>
      </w:pPr>
      <w:r>
        <w:t>As a result, data collection has increased significantly, where by the end of the first quarter of 2025, 97% (of the 921 2025 Data Lists) had been collected by data producers.</w:t>
      </w:r>
    </w:p>
    <w:p w14:paraId="4DAE79B4" w14:textId="77777777" w:rsidR="00BC24A8" w:rsidRDefault="00000000">
      <w:pPr>
        <w:pStyle w:val="ListParagraph"/>
        <w:numPr>
          <w:ilvl w:val="3"/>
          <w:numId w:val="79"/>
        </w:numPr>
        <w:tabs>
          <w:tab w:val="left" w:pos="861"/>
          <w:tab w:val="left" w:pos="863"/>
        </w:tabs>
        <w:spacing w:before="2" w:line="237" w:lineRule="auto"/>
        <w:ind w:right="563"/>
      </w:pPr>
      <w:r>
        <w:rPr>
          <w:i/>
        </w:rPr>
        <w:t>Diskominfotik</w:t>
      </w:r>
      <w:r>
        <w:t>,</w:t>
      </w:r>
      <w:r>
        <w:rPr>
          <w:spacing w:val="-13"/>
        </w:rPr>
        <w:t xml:space="preserve"> </w:t>
      </w:r>
      <w:r>
        <w:t>as</w:t>
      </w:r>
      <w:r>
        <w:rPr>
          <w:spacing w:val="-12"/>
        </w:rPr>
        <w:t xml:space="preserve"> </w:t>
      </w:r>
      <w:r>
        <w:rPr>
          <w:i/>
        </w:rPr>
        <w:t>Walidata,</w:t>
      </w:r>
      <w:r>
        <w:rPr>
          <w:i/>
          <w:spacing w:val="-13"/>
        </w:rPr>
        <w:t xml:space="preserve"> </w:t>
      </w:r>
      <w:r>
        <w:t>has</w:t>
      </w:r>
      <w:r>
        <w:rPr>
          <w:spacing w:val="-11"/>
        </w:rPr>
        <w:t xml:space="preserve"> </w:t>
      </w:r>
      <w:r>
        <w:t>developed</w:t>
      </w:r>
      <w:r>
        <w:rPr>
          <w:spacing w:val="-11"/>
        </w:rPr>
        <w:t xml:space="preserve"> </w:t>
      </w:r>
      <w:r>
        <w:t>a</w:t>
      </w:r>
      <w:r>
        <w:rPr>
          <w:spacing w:val="-13"/>
        </w:rPr>
        <w:t xml:space="preserve"> </w:t>
      </w:r>
      <w:r>
        <w:t>quality</w:t>
      </w:r>
      <w:r>
        <w:rPr>
          <w:spacing w:val="-10"/>
        </w:rPr>
        <w:t xml:space="preserve"> </w:t>
      </w:r>
      <w:r>
        <w:t>assurance</w:t>
      </w:r>
      <w:r>
        <w:rPr>
          <w:spacing w:val="-11"/>
        </w:rPr>
        <w:t xml:space="preserve"> </w:t>
      </w:r>
      <w:r>
        <w:t>instrument</w:t>
      </w:r>
      <w:r>
        <w:rPr>
          <w:spacing w:val="-13"/>
        </w:rPr>
        <w:t xml:space="preserve"> </w:t>
      </w:r>
      <w:r>
        <w:t>and</w:t>
      </w:r>
      <w:r>
        <w:rPr>
          <w:spacing w:val="-12"/>
        </w:rPr>
        <w:t xml:space="preserve"> </w:t>
      </w:r>
      <w:r>
        <w:t>has</w:t>
      </w:r>
      <w:r>
        <w:rPr>
          <w:spacing w:val="-13"/>
        </w:rPr>
        <w:t xml:space="preserve"> </w:t>
      </w:r>
      <w:r>
        <w:t>checked</w:t>
      </w:r>
      <w:r>
        <w:rPr>
          <w:spacing w:val="-11"/>
        </w:rPr>
        <w:t xml:space="preserve"> </w:t>
      </w:r>
      <w:r>
        <w:t>data from 23 provincial agencies.</w:t>
      </w:r>
    </w:p>
    <w:p w14:paraId="397FC8C1" w14:textId="77777777" w:rsidR="00BC24A8" w:rsidRDefault="00BC24A8">
      <w:pPr>
        <w:pStyle w:val="BodyText"/>
        <w:spacing w:before="62"/>
      </w:pPr>
    </w:p>
    <w:p w14:paraId="76457032" w14:textId="77777777" w:rsidR="00BC24A8" w:rsidRDefault="00000000">
      <w:pPr>
        <w:pStyle w:val="Heading5"/>
      </w:pPr>
      <w:r>
        <w:t>Strengthening</w:t>
      </w:r>
      <w:r>
        <w:rPr>
          <w:spacing w:val="-6"/>
        </w:rPr>
        <w:t xml:space="preserve"> </w:t>
      </w:r>
      <w:r>
        <w:t>the</w:t>
      </w:r>
      <w:r>
        <w:rPr>
          <w:spacing w:val="-8"/>
        </w:rPr>
        <w:t xml:space="preserve"> </w:t>
      </w:r>
      <w:r>
        <w:t>Regional</w:t>
      </w:r>
      <w:r>
        <w:rPr>
          <w:spacing w:val="-6"/>
        </w:rPr>
        <w:t xml:space="preserve"> </w:t>
      </w:r>
      <w:r>
        <w:t>One</w:t>
      </w:r>
      <w:r>
        <w:rPr>
          <w:spacing w:val="-8"/>
        </w:rPr>
        <w:t xml:space="preserve"> </w:t>
      </w:r>
      <w:r>
        <w:t>Data</w:t>
      </w:r>
      <w:r>
        <w:rPr>
          <w:spacing w:val="-7"/>
        </w:rPr>
        <w:t xml:space="preserve"> </w:t>
      </w:r>
      <w:r>
        <w:rPr>
          <w:spacing w:val="-4"/>
        </w:rPr>
        <w:t>Forum</w:t>
      </w:r>
    </w:p>
    <w:p w14:paraId="60EE376E" w14:textId="77777777" w:rsidR="00BC24A8" w:rsidRDefault="00000000">
      <w:pPr>
        <w:pStyle w:val="ListParagraph"/>
        <w:numPr>
          <w:ilvl w:val="3"/>
          <w:numId w:val="79"/>
        </w:numPr>
        <w:tabs>
          <w:tab w:val="left" w:pos="861"/>
          <w:tab w:val="left" w:pos="863"/>
        </w:tabs>
        <w:spacing w:before="161"/>
        <w:ind w:right="563"/>
      </w:pPr>
      <w:r>
        <w:t>NTB Governor's Decree Number 100.3.3.1-70 of 2025 on the Establishment of the One Data Forum</w:t>
      </w:r>
      <w:r>
        <w:rPr>
          <w:spacing w:val="-11"/>
        </w:rPr>
        <w:t xml:space="preserve"> </w:t>
      </w:r>
      <w:r>
        <w:t>Secretariat</w:t>
      </w:r>
      <w:r>
        <w:rPr>
          <w:spacing w:val="-12"/>
        </w:rPr>
        <w:t xml:space="preserve"> </w:t>
      </w:r>
      <w:r>
        <w:t>has</w:t>
      </w:r>
      <w:r>
        <w:rPr>
          <w:spacing w:val="-10"/>
        </w:rPr>
        <w:t xml:space="preserve"> </w:t>
      </w:r>
      <w:r>
        <w:t>been</w:t>
      </w:r>
      <w:r>
        <w:rPr>
          <w:spacing w:val="-11"/>
        </w:rPr>
        <w:t xml:space="preserve"> </w:t>
      </w:r>
      <w:r>
        <w:t>published.</w:t>
      </w:r>
      <w:r>
        <w:rPr>
          <w:spacing w:val="-10"/>
        </w:rPr>
        <w:t xml:space="preserve"> </w:t>
      </w:r>
      <w:r>
        <w:t>To</w:t>
      </w:r>
      <w:r>
        <w:rPr>
          <w:spacing w:val="-11"/>
        </w:rPr>
        <w:t xml:space="preserve"> </w:t>
      </w:r>
      <w:r>
        <w:t>date,</w:t>
      </w:r>
      <w:r>
        <w:rPr>
          <w:spacing w:val="-10"/>
        </w:rPr>
        <w:t xml:space="preserve"> </w:t>
      </w:r>
      <w:r>
        <w:t>the</w:t>
      </w:r>
      <w:r>
        <w:rPr>
          <w:spacing w:val="-10"/>
        </w:rPr>
        <w:t xml:space="preserve"> </w:t>
      </w:r>
      <w:r>
        <w:t>forum</w:t>
      </w:r>
      <w:r>
        <w:rPr>
          <w:spacing w:val="-11"/>
        </w:rPr>
        <w:t xml:space="preserve"> </w:t>
      </w:r>
      <w:r>
        <w:t>has</w:t>
      </w:r>
      <w:r>
        <w:rPr>
          <w:spacing w:val="-10"/>
        </w:rPr>
        <w:t xml:space="preserve"> </w:t>
      </w:r>
      <w:r>
        <w:t>produced</w:t>
      </w:r>
      <w:r>
        <w:rPr>
          <w:spacing w:val="-11"/>
        </w:rPr>
        <w:t xml:space="preserve"> </w:t>
      </w:r>
      <w:r>
        <w:t>921</w:t>
      </w:r>
      <w:r>
        <w:rPr>
          <w:spacing w:val="-8"/>
        </w:rPr>
        <w:t xml:space="preserve"> </w:t>
      </w:r>
      <w:r>
        <w:t>Regional</w:t>
      </w:r>
      <w:r>
        <w:rPr>
          <w:spacing w:val="-10"/>
        </w:rPr>
        <w:t xml:space="preserve"> </w:t>
      </w:r>
      <w:r>
        <w:t>Data</w:t>
      </w:r>
      <w:r>
        <w:rPr>
          <w:spacing w:val="-12"/>
        </w:rPr>
        <w:t xml:space="preserve"> </w:t>
      </w:r>
      <w:r>
        <w:t>Lists for 2025, Metadata, and Data Cycle SOPs.</w:t>
      </w:r>
    </w:p>
    <w:p w14:paraId="2DD16E2C" w14:textId="77777777" w:rsidR="00BC24A8" w:rsidRDefault="00000000">
      <w:pPr>
        <w:pStyle w:val="ListParagraph"/>
        <w:numPr>
          <w:ilvl w:val="3"/>
          <w:numId w:val="79"/>
        </w:numPr>
        <w:tabs>
          <w:tab w:val="left" w:pos="861"/>
          <w:tab w:val="left" w:pos="863"/>
        </w:tabs>
        <w:ind w:right="564"/>
      </w:pPr>
      <w:r>
        <w:t>The</w:t>
      </w:r>
      <w:r>
        <w:rPr>
          <w:spacing w:val="-5"/>
        </w:rPr>
        <w:t xml:space="preserve"> </w:t>
      </w:r>
      <w:r>
        <w:t>One</w:t>
      </w:r>
      <w:r>
        <w:rPr>
          <w:spacing w:val="-8"/>
        </w:rPr>
        <w:t xml:space="preserve"> </w:t>
      </w:r>
      <w:r>
        <w:t>Data</w:t>
      </w:r>
      <w:r>
        <w:rPr>
          <w:spacing w:val="-10"/>
        </w:rPr>
        <w:t xml:space="preserve"> </w:t>
      </w:r>
      <w:r>
        <w:t>Forum</w:t>
      </w:r>
      <w:r>
        <w:rPr>
          <w:spacing w:val="-8"/>
        </w:rPr>
        <w:t xml:space="preserve"> </w:t>
      </w:r>
      <w:r>
        <w:t>meetings</w:t>
      </w:r>
      <w:r>
        <w:rPr>
          <w:spacing w:val="-8"/>
        </w:rPr>
        <w:t xml:space="preserve"> </w:t>
      </w:r>
      <w:r>
        <w:t>are</w:t>
      </w:r>
      <w:r>
        <w:rPr>
          <w:spacing w:val="-5"/>
        </w:rPr>
        <w:t xml:space="preserve"> </w:t>
      </w:r>
      <w:r>
        <w:t>now</w:t>
      </w:r>
      <w:r>
        <w:rPr>
          <w:spacing w:val="-10"/>
        </w:rPr>
        <w:t xml:space="preserve"> </w:t>
      </w:r>
      <w:r>
        <w:t>more</w:t>
      </w:r>
      <w:r>
        <w:rPr>
          <w:spacing w:val="-8"/>
        </w:rPr>
        <w:t xml:space="preserve"> </w:t>
      </w:r>
      <w:r>
        <w:t>frequent,</w:t>
      </w:r>
      <w:r>
        <w:rPr>
          <w:spacing w:val="-8"/>
        </w:rPr>
        <w:t xml:space="preserve"> </w:t>
      </w:r>
      <w:r>
        <w:t>from</w:t>
      </w:r>
      <w:r>
        <w:rPr>
          <w:spacing w:val="-8"/>
        </w:rPr>
        <w:t xml:space="preserve"> </w:t>
      </w:r>
      <w:r>
        <w:t>one</w:t>
      </w:r>
      <w:r>
        <w:rPr>
          <w:spacing w:val="-8"/>
        </w:rPr>
        <w:t xml:space="preserve"> </w:t>
      </w:r>
      <w:r>
        <w:t>time</w:t>
      </w:r>
      <w:r>
        <w:rPr>
          <w:spacing w:val="-8"/>
        </w:rPr>
        <w:t xml:space="preserve"> </w:t>
      </w:r>
      <w:r>
        <w:t>(2023)</w:t>
      </w:r>
      <w:r>
        <w:rPr>
          <w:spacing w:val="-5"/>
        </w:rPr>
        <w:t xml:space="preserve"> </w:t>
      </w:r>
      <w:r>
        <w:t>to</w:t>
      </w:r>
      <w:r>
        <w:rPr>
          <w:spacing w:val="-9"/>
        </w:rPr>
        <w:t xml:space="preserve"> </w:t>
      </w:r>
      <w:r>
        <w:t>3</w:t>
      </w:r>
      <w:r>
        <w:rPr>
          <w:spacing w:val="-8"/>
        </w:rPr>
        <w:t xml:space="preserve"> </w:t>
      </w:r>
      <w:r>
        <w:t>times</w:t>
      </w:r>
      <w:r>
        <w:rPr>
          <w:spacing w:val="-8"/>
        </w:rPr>
        <w:t xml:space="preserve"> </w:t>
      </w:r>
      <w:r>
        <w:t>(2024), and has been held 2 times in the first semester of 2025.</w:t>
      </w:r>
    </w:p>
    <w:p w14:paraId="567C6773" w14:textId="77777777" w:rsidR="00BC24A8" w:rsidRDefault="00000000">
      <w:pPr>
        <w:pStyle w:val="ListParagraph"/>
        <w:numPr>
          <w:ilvl w:val="3"/>
          <w:numId w:val="79"/>
        </w:numPr>
        <w:tabs>
          <w:tab w:val="left" w:pos="861"/>
          <w:tab w:val="left" w:pos="863"/>
        </w:tabs>
        <w:ind w:right="564"/>
      </w:pPr>
      <w:r>
        <w:t>SKALA</w:t>
      </w:r>
      <w:r>
        <w:rPr>
          <w:spacing w:val="-7"/>
        </w:rPr>
        <w:t xml:space="preserve"> </w:t>
      </w:r>
      <w:r>
        <w:t>strengthens</w:t>
      </w:r>
      <w:r>
        <w:rPr>
          <w:spacing w:val="-7"/>
        </w:rPr>
        <w:t xml:space="preserve"> </w:t>
      </w:r>
      <w:r>
        <w:t>collaboration</w:t>
      </w:r>
      <w:r>
        <w:rPr>
          <w:spacing w:val="-7"/>
        </w:rPr>
        <w:t xml:space="preserve"> </w:t>
      </w:r>
      <w:r>
        <w:t>between</w:t>
      </w:r>
      <w:r>
        <w:rPr>
          <w:spacing w:val="-7"/>
        </w:rPr>
        <w:t xml:space="preserve"> </w:t>
      </w:r>
      <w:r>
        <w:t>decision</w:t>
      </w:r>
      <w:r>
        <w:rPr>
          <w:spacing w:val="-7"/>
        </w:rPr>
        <w:t xml:space="preserve"> </w:t>
      </w:r>
      <w:r>
        <w:t>makers,</w:t>
      </w:r>
      <w:r>
        <w:rPr>
          <w:spacing w:val="-6"/>
        </w:rPr>
        <w:t xml:space="preserve"> </w:t>
      </w:r>
      <w:r>
        <w:t>as</w:t>
      </w:r>
      <w:r>
        <w:rPr>
          <w:spacing w:val="-9"/>
        </w:rPr>
        <w:t xml:space="preserve"> </w:t>
      </w:r>
      <w:r>
        <w:t>evidenced</w:t>
      </w:r>
      <w:r>
        <w:rPr>
          <w:spacing w:val="-7"/>
        </w:rPr>
        <w:t xml:space="preserve"> </w:t>
      </w:r>
      <w:r>
        <w:t>by</w:t>
      </w:r>
      <w:r>
        <w:rPr>
          <w:spacing w:val="-7"/>
        </w:rPr>
        <w:t xml:space="preserve"> </w:t>
      </w:r>
      <w:r>
        <w:t>the</w:t>
      </w:r>
      <w:r>
        <w:rPr>
          <w:spacing w:val="-6"/>
        </w:rPr>
        <w:t xml:space="preserve"> </w:t>
      </w:r>
      <w:r>
        <w:t>joint</w:t>
      </w:r>
      <w:r>
        <w:rPr>
          <w:spacing w:val="-8"/>
        </w:rPr>
        <w:t xml:space="preserve"> </w:t>
      </w:r>
      <w:r>
        <w:t>work</w:t>
      </w:r>
      <w:r>
        <w:rPr>
          <w:spacing w:val="-9"/>
        </w:rPr>
        <w:t xml:space="preserve"> </w:t>
      </w:r>
      <w:r>
        <w:t xml:space="preserve">plan between </w:t>
      </w:r>
      <w:r>
        <w:rPr>
          <w:i/>
        </w:rPr>
        <w:t>Bappeda</w:t>
      </w:r>
      <w:r>
        <w:t xml:space="preserve">, </w:t>
      </w:r>
      <w:r>
        <w:rPr>
          <w:i/>
        </w:rPr>
        <w:t>Diskominfotik</w:t>
      </w:r>
      <w:r>
        <w:t xml:space="preserve">, and </w:t>
      </w:r>
      <w:r>
        <w:rPr>
          <w:i/>
        </w:rPr>
        <w:t xml:space="preserve">BPS </w:t>
      </w:r>
      <w:r>
        <w:t>NTB to strengthen the One Data Forum.</w:t>
      </w:r>
    </w:p>
    <w:p w14:paraId="7D997BF8" w14:textId="77777777" w:rsidR="00BC24A8" w:rsidRDefault="00BC24A8">
      <w:pPr>
        <w:pStyle w:val="BodyText"/>
        <w:spacing w:before="60"/>
      </w:pPr>
    </w:p>
    <w:p w14:paraId="0435C718" w14:textId="77777777" w:rsidR="00BC24A8" w:rsidRDefault="00000000">
      <w:pPr>
        <w:pStyle w:val="Heading5"/>
      </w:pPr>
      <w:r>
        <w:t>Strengthening</w:t>
      </w:r>
      <w:r>
        <w:rPr>
          <w:spacing w:val="-4"/>
        </w:rPr>
        <w:t xml:space="preserve"> </w:t>
      </w:r>
      <w:r>
        <w:t>the</w:t>
      </w:r>
      <w:r>
        <w:rPr>
          <w:spacing w:val="-8"/>
        </w:rPr>
        <w:t xml:space="preserve"> </w:t>
      </w:r>
      <w:r>
        <w:t>NTB</w:t>
      </w:r>
      <w:r>
        <w:rPr>
          <w:spacing w:val="-4"/>
        </w:rPr>
        <w:t xml:space="preserve"> </w:t>
      </w:r>
      <w:r>
        <w:t>One</w:t>
      </w:r>
      <w:r>
        <w:rPr>
          <w:spacing w:val="-6"/>
        </w:rPr>
        <w:t xml:space="preserve"> </w:t>
      </w:r>
      <w:r>
        <w:t>Data</w:t>
      </w:r>
      <w:r>
        <w:rPr>
          <w:spacing w:val="-5"/>
        </w:rPr>
        <w:t xml:space="preserve"> </w:t>
      </w:r>
      <w:r>
        <w:rPr>
          <w:spacing w:val="-2"/>
        </w:rPr>
        <w:t>Portal</w:t>
      </w:r>
    </w:p>
    <w:p w14:paraId="1E2389B6" w14:textId="77777777" w:rsidR="00BC24A8" w:rsidRDefault="00000000">
      <w:pPr>
        <w:pStyle w:val="ListParagraph"/>
        <w:numPr>
          <w:ilvl w:val="3"/>
          <w:numId w:val="79"/>
        </w:numPr>
        <w:tabs>
          <w:tab w:val="left" w:pos="862"/>
          <w:tab w:val="left" w:pos="864"/>
        </w:tabs>
        <w:spacing w:before="159"/>
        <w:ind w:left="864" w:right="561"/>
      </w:pPr>
      <w:r>
        <w:t>The NTB One Data Portal version 2.0 shows significant progress in data presentation and accessibility, as well as in its integration with the One Data Indonesia Portal.</w:t>
      </w:r>
      <w:r>
        <w:rPr>
          <w:spacing w:val="-1"/>
        </w:rPr>
        <w:t xml:space="preserve"> </w:t>
      </w:r>
      <w:r>
        <w:t>This</w:t>
      </w:r>
      <w:r>
        <w:rPr>
          <w:spacing w:val="-1"/>
        </w:rPr>
        <w:t xml:space="preserve"> </w:t>
      </w:r>
      <w:r>
        <w:t>integration is not just about linking features, it also encompasses interactions between systems.</w:t>
      </w:r>
    </w:p>
    <w:p w14:paraId="5466C21D" w14:textId="77777777" w:rsidR="00BC24A8" w:rsidRDefault="00000000">
      <w:pPr>
        <w:pStyle w:val="ListParagraph"/>
        <w:numPr>
          <w:ilvl w:val="3"/>
          <w:numId w:val="79"/>
        </w:numPr>
        <w:tabs>
          <w:tab w:val="left" w:pos="862"/>
          <w:tab w:val="left" w:pos="864"/>
        </w:tabs>
        <w:spacing w:before="1"/>
        <w:ind w:left="864" w:right="567"/>
      </w:pPr>
      <w:r>
        <w:t>780</w:t>
      </w:r>
      <w:r>
        <w:rPr>
          <w:spacing w:val="-3"/>
        </w:rPr>
        <w:t xml:space="preserve"> </w:t>
      </w:r>
      <w:r>
        <w:t>data</w:t>
      </w:r>
      <w:r>
        <w:rPr>
          <w:spacing w:val="-5"/>
        </w:rPr>
        <w:t xml:space="preserve"> </w:t>
      </w:r>
      <w:r>
        <w:t>items</w:t>
      </w:r>
      <w:r>
        <w:rPr>
          <w:spacing w:val="-6"/>
        </w:rPr>
        <w:t xml:space="preserve"> </w:t>
      </w:r>
      <w:r>
        <w:t>(85%</w:t>
      </w:r>
      <w:r>
        <w:rPr>
          <w:spacing w:val="-7"/>
        </w:rPr>
        <w:t xml:space="preserve"> </w:t>
      </w:r>
      <w:r>
        <w:t>from</w:t>
      </w:r>
      <w:r>
        <w:rPr>
          <w:spacing w:val="-6"/>
        </w:rPr>
        <w:t xml:space="preserve"> </w:t>
      </w:r>
      <w:r>
        <w:t>921</w:t>
      </w:r>
      <w:r>
        <w:rPr>
          <w:spacing w:val="-6"/>
        </w:rPr>
        <w:t xml:space="preserve"> </w:t>
      </w:r>
      <w:r>
        <w:t>data)</w:t>
      </w:r>
      <w:r>
        <w:rPr>
          <w:spacing w:val="-5"/>
        </w:rPr>
        <w:t xml:space="preserve"> </w:t>
      </w:r>
      <w:r>
        <w:t>of</w:t>
      </w:r>
      <w:r>
        <w:rPr>
          <w:spacing w:val="-6"/>
        </w:rPr>
        <w:t xml:space="preserve"> </w:t>
      </w:r>
      <w:r>
        <w:t>the</w:t>
      </w:r>
      <w:r>
        <w:rPr>
          <w:spacing w:val="-5"/>
        </w:rPr>
        <w:t xml:space="preserve"> </w:t>
      </w:r>
      <w:r>
        <w:t>2025</w:t>
      </w:r>
      <w:r>
        <w:rPr>
          <w:spacing w:val="-6"/>
        </w:rPr>
        <w:t xml:space="preserve"> </w:t>
      </w:r>
      <w:r>
        <w:t>Data</w:t>
      </w:r>
      <w:r>
        <w:rPr>
          <w:spacing w:val="-7"/>
        </w:rPr>
        <w:t xml:space="preserve"> </w:t>
      </w:r>
      <w:r>
        <w:t>List</w:t>
      </w:r>
      <w:r>
        <w:rPr>
          <w:spacing w:val="-5"/>
        </w:rPr>
        <w:t xml:space="preserve"> </w:t>
      </w:r>
      <w:r>
        <w:t>have</w:t>
      </w:r>
      <w:r>
        <w:rPr>
          <w:spacing w:val="-5"/>
        </w:rPr>
        <w:t xml:space="preserve"> </w:t>
      </w:r>
      <w:r>
        <w:t>been</w:t>
      </w:r>
      <w:r>
        <w:rPr>
          <w:spacing w:val="-6"/>
        </w:rPr>
        <w:t xml:space="preserve"> </w:t>
      </w:r>
      <w:r>
        <w:t>published</w:t>
      </w:r>
      <w:r>
        <w:rPr>
          <w:spacing w:val="-6"/>
        </w:rPr>
        <w:t xml:space="preserve"> </w:t>
      </w:r>
      <w:r>
        <w:t>on</w:t>
      </w:r>
      <w:r>
        <w:rPr>
          <w:spacing w:val="-6"/>
        </w:rPr>
        <w:t xml:space="preserve"> </w:t>
      </w:r>
      <w:r>
        <w:t>the</w:t>
      </w:r>
      <w:r>
        <w:rPr>
          <w:spacing w:val="-5"/>
        </w:rPr>
        <w:t xml:space="preserve"> </w:t>
      </w:r>
      <w:r>
        <w:t>NTB</w:t>
      </w:r>
      <w:r>
        <w:rPr>
          <w:spacing w:val="-5"/>
        </w:rPr>
        <w:t xml:space="preserve"> </w:t>
      </w:r>
      <w:r>
        <w:t>One Data Portal.</w:t>
      </w:r>
    </w:p>
    <w:p w14:paraId="0531B8D1" w14:textId="77777777" w:rsidR="00BC24A8" w:rsidRDefault="00000000">
      <w:pPr>
        <w:pStyle w:val="ListParagraph"/>
        <w:numPr>
          <w:ilvl w:val="3"/>
          <w:numId w:val="79"/>
        </w:numPr>
        <w:tabs>
          <w:tab w:val="left" w:pos="862"/>
          <w:tab w:val="left" w:pos="864"/>
        </w:tabs>
        <w:ind w:left="864" w:right="561"/>
      </w:pPr>
      <w:r>
        <w:t>An</w:t>
      </w:r>
      <w:r>
        <w:rPr>
          <w:spacing w:val="-6"/>
        </w:rPr>
        <w:t xml:space="preserve"> </w:t>
      </w:r>
      <w:r>
        <w:t>integration</w:t>
      </w:r>
      <w:r>
        <w:rPr>
          <w:spacing w:val="-9"/>
        </w:rPr>
        <w:t xml:space="preserve"> </w:t>
      </w:r>
      <w:r>
        <w:t>design</w:t>
      </w:r>
      <w:r>
        <w:rPr>
          <w:spacing w:val="-9"/>
        </w:rPr>
        <w:t xml:space="preserve"> </w:t>
      </w:r>
      <w:r>
        <w:t>between</w:t>
      </w:r>
      <w:r>
        <w:rPr>
          <w:spacing w:val="-9"/>
        </w:rPr>
        <w:t xml:space="preserve"> </w:t>
      </w:r>
      <w:r>
        <w:t>service</w:t>
      </w:r>
      <w:r>
        <w:rPr>
          <w:spacing w:val="-8"/>
        </w:rPr>
        <w:t xml:space="preserve"> </w:t>
      </w:r>
      <w:r>
        <w:t>data</w:t>
      </w:r>
      <w:r>
        <w:rPr>
          <w:spacing w:val="-7"/>
        </w:rPr>
        <w:t xml:space="preserve"> </w:t>
      </w:r>
      <w:r>
        <w:t>platforms</w:t>
      </w:r>
      <w:r>
        <w:rPr>
          <w:spacing w:val="-6"/>
        </w:rPr>
        <w:t xml:space="preserve"> </w:t>
      </w:r>
      <w:r>
        <w:t>in</w:t>
      </w:r>
      <w:r>
        <w:rPr>
          <w:spacing w:val="-6"/>
        </w:rPr>
        <w:t xml:space="preserve"> </w:t>
      </w:r>
      <w:r>
        <w:t>8</w:t>
      </w:r>
      <w:r>
        <w:rPr>
          <w:spacing w:val="-8"/>
        </w:rPr>
        <w:t xml:space="preserve"> </w:t>
      </w:r>
      <w:r>
        <w:t>provincial</w:t>
      </w:r>
      <w:r>
        <w:rPr>
          <w:spacing w:val="-7"/>
        </w:rPr>
        <w:t xml:space="preserve"> </w:t>
      </w:r>
      <w:r>
        <w:t>agencies</w:t>
      </w:r>
      <w:r>
        <w:rPr>
          <w:spacing w:val="-8"/>
        </w:rPr>
        <w:t xml:space="preserve"> </w:t>
      </w:r>
      <w:r>
        <w:t>(including</w:t>
      </w:r>
      <w:r>
        <w:rPr>
          <w:spacing w:val="-9"/>
        </w:rPr>
        <w:t xml:space="preserve"> </w:t>
      </w:r>
      <w:r>
        <w:t>health, education, and public works sectors) and the NTB One Data Portal is being prepared. SKALA provides recommendations on data that needs to be integrated.</w:t>
      </w:r>
    </w:p>
    <w:p w14:paraId="5F8BDB14" w14:textId="77777777" w:rsidR="00BC24A8" w:rsidRDefault="00000000">
      <w:pPr>
        <w:pStyle w:val="ListParagraph"/>
        <w:numPr>
          <w:ilvl w:val="3"/>
          <w:numId w:val="79"/>
        </w:numPr>
        <w:tabs>
          <w:tab w:val="left" w:pos="864"/>
        </w:tabs>
        <w:ind w:left="864" w:right="561" w:hanging="360"/>
      </w:pPr>
      <w:r>
        <w:rPr>
          <w:i/>
        </w:rPr>
        <w:t xml:space="preserve">Bappeda </w:t>
      </w:r>
      <w:r>
        <w:t>routinely provides technical guidance in a hybrid manner to E-</w:t>
      </w:r>
      <w:r>
        <w:rPr>
          <w:i/>
        </w:rPr>
        <w:t xml:space="preserve">Walidata </w:t>
      </w:r>
      <w:r>
        <w:t>managers in the province and districts/cities. SKALA encourages data input into e-Walidata to be aligned with regional data lists and the use of data for planning.</w:t>
      </w:r>
    </w:p>
    <w:p w14:paraId="13606E1A" w14:textId="77777777" w:rsidR="00BC24A8" w:rsidRDefault="00BC24A8">
      <w:pPr>
        <w:pStyle w:val="BodyText"/>
        <w:spacing w:before="60"/>
      </w:pPr>
    </w:p>
    <w:p w14:paraId="756C9B22" w14:textId="77777777" w:rsidR="00BC24A8" w:rsidRDefault="00000000">
      <w:pPr>
        <w:pStyle w:val="Heading5"/>
        <w:ind w:left="144"/>
      </w:pPr>
      <w:r>
        <w:t>Sustainability</w:t>
      </w:r>
      <w:r>
        <w:rPr>
          <w:spacing w:val="-9"/>
        </w:rPr>
        <w:t xml:space="preserve"> </w:t>
      </w:r>
      <w:r>
        <w:t>of</w:t>
      </w:r>
      <w:r>
        <w:rPr>
          <w:spacing w:val="-10"/>
        </w:rPr>
        <w:t xml:space="preserve"> </w:t>
      </w:r>
      <w:r>
        <w:t>Social</w:t>
      </w:r>
      <w:r>
        <w:rPr>
          <w:spacing w:val="-8"/>
        </w:rPr>
        <w:t xml:space="preserve"> </w:t>
      </w:r>
      <w:r>
        <w:t>and</w:t>
      </w:r>
      <w:r>
        <w:rPr>
          <w:spacing w:val="-12"/>
        </w:rPr>
        <w:t xml:space="preserve"> </w:t>
      </w:r>
      <w:r>
        <w:t>Economic</w:t>
      </w:r>
      <w:r>
        <w:rPr>
          <w:spacing w:val="-11"/>
        </w:rPr>
        <w:t xml:space="preserve"> </w:t>
      </w:r>
      <w:r>
        <w:t>Registration</w:t>
      </w:r>
      <w:r>
        <w:rPr>
          <w:spacing w:val="-12"/>
        </w:rPr>
        <w:t xml:space="preserve"> </w:t>
      </w:r>
      <w:r>
        <w:t>(</w:t>
      </w:r>
      <w:r>
        <w:rPr>
          <w:i/>
        </w:rPr>
        <w:t>REGSOSEK</w:t>
      </w:r>
      <w:r>
        <w:t>)</w:t>
      </w:r>
      <w:r>
        <w:rPr>
          <w:spacing w:val="-8"/>
        </w:rPr>
        <w:t xml:space="preserve"> </w:t>
      </w:r>
      <w:r>
        <w:t>data</w:t>
      </w:r>
      <w:r>
        <w:rPr>
          <w:spacing w:val="-11"/>
        </w:rPr>
        <w:t xml:space="preserve"> </w:t>
      </w:r>
      <w:r>
        <w:rPr>
          <w:spacing w:val="-2"/>
        </w:rPr>
        <w:t>utilisation</w:t>
      </w:r>
    </w:p>
    <w:p w14:paraId="62885053" w14:textId="77777777" w:rsidR="00BC24A8" w:rsidRDefault="00000000">
      <w:pPr>
        <w:pStyle w:val="ListParagraph"/>
        <w:numPr>
          <w:ilvl w:val="3"/>
          <w:numId w:val="79"/>
        </w:numPr>
        <w:tabs>
          <w:tab w:val="left" w:pos="862"/>
          <w:tab w:val="left" w:pos="864"/>
        </w:tabs>
        <w:spacing w:before="159"/>
        <w:ind w:left="864" w:right="563"/>
      </w:pPr>
      <w:r>
        <w:t xml:space="preserve">Six people who have been trained in </w:t>
      </w:r>
      <w:r>
        <w:rPr>
          <w:i/>
        </w:rPr>
        <w:t xml:space="preserve">REGSOSEK </w:t>
      </w:r>
      <w:r>
        <w:t xml:space="preserve">become part of the data analysis team at the provincial level. They present </w:t>
      </w:r>
      <w:r>
        <w:rPr>
          <w:i/>
        </w:rPr>
        <w:t xml:space="preserve">REGSOSEK </w:t>
      </w:r>
      <w:r>
        <w:t>data analysis and other priority data to support the data-driven planning process. This team is also a "helpdesk" for MSS data.</w:t>
      </w:r>
    </w:p>
    <w:p w14:paraId="227E6C6D" w14:textId="77777777" w:rsidR="00BC24A8" w:rsidRDefault="00000000">
      <w:pPr>
        <w:pStyle w:val="ListParagraph"/>
        <w:numPr>
          <w:ilvl w:val="3"/>
          <w:numId w:val="79"/>
        </w:numPr>
        <w:tabs>
          <w:tab w:val="left" w:pos="862"/>
          <w:tab w:val="left" w:pos="864"/>
        </w:tabs>
        <w:spacing w:before="1"/>
        <w:ind w:left="864" w:right="561"/>
      </w:pPr>
      <w:r>
        <w:t xml:space="preserve">Sustainability of </w:t>
      </w:r>
      <w:r>
        <w:rPr>
          <w:i/>
        </w:rPr>
        <w:t xml:space="preserve">REGSOSEK </w:t>
      </w:r>
      <w:r>
        <w:t>continues to be utilised in setting the MSS target data in the Provincial Education Office, Public Works Office, and Public Housing and Settlement Office. It also informs the preparation of persons with disability action plan (</w:t>
      </w:r>
      <w:r>
        <w:rPr>
          <w:i/>
        </w:rPr>
        <w:t>Rencana Aksi Daerah Perangkat</w:t>
      </w:r>
      <w:r>
        <w:rPr>
          <w:i/>
          <w:spacing w:val="-10"/>
        </w:rPr>
        <w:t xml:space="preserve"> </w:t>
      </w:r>
      <w:r>
        <w:rPr>
          <w:i/>
        </w:rPr>
        <w:t>Daerah,</w:t>
      </w:r>
      <w:r>
        <w:rPr>
          <w:i/>
          <w:spacing w:val="-8"/>
        </w:rPr>
        <w:t xml:space="preserve"> </w:t>
      </w:r>
      <w:r>
        <w:rPr>
          <w:i/>
        </w:rPr>
        <w:t>RAD</w:t>
      </w:r>
      <w:r>
        <w:rPr>
          <w:i/>
          <w:spacing w:val="-9"/>
        </w:rPr>
        <w:t xml:space="preserve"> </w:t>
      </w:r>
      <w:r>
        <w:rPr>
          <w:i/>
        </w:rPr>
        <w:t>PD</w:t>
      </w:r>
      <w:r>
        <w:t>)</w:t>
      </w:r>
      <w:r>
        <w:rPr>
          <w:spacing w:val="-8"/>
        </w:rPr>
        <w:t xml:space="preserve"> </w:t>
      </w:r>
      <w:r>
        <w:t>and</w:t>
      </w:r>
      <w:r>
        <w:rPr>
          <w:spacing w:val="-8"/>
        </w:rPr>
        <w:t xml:space="preserve"> </w:t>
      </w:r>
      <w:r>
        <w:t>supports</w:t>
      </w:r>
      <w:r>
        <w:rPr>
          <w:spacing w:val="-8"/>
        </w:rPr>
        <w:t xml:space="preserve"> </w:t>
      </w:r>
      <w:r>
        <w:t>problem</w:t>
      </w:r>
      <w:r>
        <w:rPr>
          <w:spacing w:val="-6"/>
        </w:rPr>
        <w:t xml:space="preserve"> </w:t>
      </w:r>
      <w:r>
        <w:t>analysis</w:t>
      </w:r>
      <w:r>
        <w:rPr>
          <w:spacing w:val="-8"/>
        </w:rPr>
        <w:t xml:space="preserve"> </w:t>
      </w:r>
      <w:r>
        <w:t>during</w:t>
      </w:r>
      <w:r>
        <w:rPr>
          <w:spacing w:val="-9"/>
        </w:rPr>
        <w:t xml:space="preserve"> </w:t>
      </w:r>
      <w:r>
        <w:t>discussions</w:t>
      </w:r>
      <w:r>
        <w:rPr>
          <w:spacing w:val="-6"/>
        </w:rPr>
        <w:t xml:space="preserve"> </w:t>
      </w:r>
      <w:r>
        <w:t>held</w:t>
      </w:r>
      <w:r>
        <w:rPr>
          <w:spacing w:val="-11"/>
        </w:rPr>
        <w:t xml:space="preserve"> </w:t>
      </w:r>
      <w:r>
        <w:t>in</w:t>
      </w:r>
      <w:r>
        <w:rPr>
          <w:spacing w:val="-6"/>
        </w:rPr>
        <w:t xml:space="preserve"> </w:t>
      </w:r>
      <w:r>
        <w:t>the</w:t>
      </w:r>
      <w:r>
        <w:rPr>
          <w:spacing w:val="-8"/>
        </w:rPr>
        <w:t xml:space="preserve"> </w:t>
      </w:r>
      <w:r>
        <w:t xml:space="preserve">GEDSI Thematic </w:t>
      </w:r>
      <w:r>
        <w:rPr>
          <w:i/>
        </w:rPr>
        <w:t>Musrenbang</w:t>
      </w:r>
      <w:r>
        <w:t>.</w:t>
      </w:r>
    </w:p>
    <w:p w14:paraId="67125721" w14:textId="77777777" w:rsidR="00BC24A8" w:rsidRDefault="00BC24A8">
      <w:pPr>
        <w:pStyle w:val="ListParagraph"/>
        <w:sectPr w:rsidR="00BC24A8">
          <w:pgSz w:w="11910" w:h="16840"/>
          <w:pgMar w:top="1360" w:right="850" w:bottom="1100" w:left="1275" w:header="0" w:footer="907" w:gutter="0"/>
          <w:cols w:space="720"/>
        </w:sectPr>
      </w:pPr>
    </w:p>
    <w:p w14:paraId="45A57C68" w14:textId="77777777" w:rsidR="00BC24A8" w:rsidRDefault="00000000">
      <w:pPr>
        <w:pStyle w:val="Heading5"/>
        <w:spacing w:before="39"/>
      </w:pPr>
      <w:r>
        <w:lastRenderedPageBreak/>
        <w:t>Expanding</w:t>
      </w:r>
      <w:r>
        <w:rPr>
          <w:spacing w:val="-7"/>
        </w:rPr>
        <w:t xml:space="preserve"> </w:t>
      </w:r>
      <w:r>
        <w:t>and</w:t>
      </w:r>
      <w:r>
        <w:rPr>
          <w:spacing w:val="-7"/>
        </w:rPr>
        <w:t xml:space="preserve"> </w:t>
      </w:r>
      <w:r>
        <w:t>strengthening</w:t>
      </w:r>
      <w:r>
        <w:rPr>
          <w:spacing w:val="-6"/>
        </w:rPr>
        <w:t xml:space="preserve"> </w:t>
      </w:r>
      <w:r>
        <w:t>the</w:t>
      </w:r>
      <w:r>
        <w:rPr>
          <w:spacing w:val="-8"/>
        </w:rPr>
        <w:t xml:space="preserve"> </w:t>
      </w:r>
      <w:r>
        <w:t>governance</w:t>
      </w:r>
      <w:r>
        <w:rPr>
          <w:spacing w:val="-8"/>
        </w:rPr>
        <w:t xml:space="preserve"> </w:t>
      </w:r>
      <w:r>
        <w:t>of</w:t>
      </w:r>
      <w:r>
        <w:rPr>
          <w:spacing w:val="-7"/>
        </w:rPr>
        <w:t xml:space="preserve"> </w:t>
      </w:r>
      <w:r>
        <w:t>the</w:t>
      </w:r>
      <w:r>
        <w:rPr>
          <w:spacing w:val="-7"/>
        </w:rPr>
        <w:t xml:space="preserve"> </w:t>
      </w:r>
      <w:r>
        <w:t>Village</w:t>
      </w:r>
      <w:r>
        <w:rPr>
          <w:spacing w:val="-8"/>
        </w:rPr>
        <w:t xml:space="preserve"> </w:t>
      </w:r>
      <w:r>
        <w:t>Information</w:t>
      </w:r>
      <w:r>
        <w:rPr>
          <w:spacing w:val="-8"/>
        </w:rPr>
        <w:t xml:space="preserve"> </w:t>
      </w:r>
      <w:r>
        <w:rPr>
          <w:spacing w:val="-2"/>
        </w:rPr>
        <w:t>System</w:t>
      </w:r>
    </w:p>
    <w:p w14:paraId="78A27F70" w14:textId="77777777" w:rsidR="00BC24A8" w:rsidRDefault="00000000">
      <w:pPr>
        <w:pStyle w:val="ListParagraph"/>
        <w:numPr>
          <w:ilvl w:val="3"/>
          <w:numId w:val="79"/>
        </w:numPr>
        <w:tabs>
          <w:tab w:val="left" w:pos="861"/>
          <w:tab w:val="left" w:pos="863"/>
        </w:tabs>
        <w:spacing w:before="159"/>
        <w:ind w:right="562"/>
      </w:pPr>
      <w:r>
        <w:t>The Village Information System has been designated as one of the pillars of the Empowered Village Flagship Program in the 2025–2029 NTB RPJMD.</w:t>
      </w:r>
    </w:p>
    <w:p w14:paraId="0CFFEDD7" w14:textId="77777777" w:rsidR="00BC24A8" w:rsidRDefault="00000000">
      <w:pPr>
        <w:pStyle w:val="ListParagraph"/>
        <w:numPr>
          <w:ilvl w:val="3"/>
          <w:numId w:val="79"/>
        </w:numPr>
        <w:tabs>
          <w:tab w:val="left" w:pos="861"/>
          <w:tab w:val="left" w:pos="863"/>
        </w:tabs>
        <w:spacing w:before="1"/>
        <w:ind w:right="561"/>
      </w:pPr>
      <w:r>
        <w:t>As of mid-July 2025, 1.6 million people (29% of the population of NTB) have been recorded on Village Information System in 830 (71%) villages (out of 1,166) that have used OpenSID.</w:t>
      </w:r>
    </w:p>
    <w:p w14:paraId="51541836" w14:textId="77777777" w:rsidR="00BC24A8" w:rsidRDefault="00000000">
      <w:pPr>
        <w:pStyle w:val="ListParagraph"/>
        <w:numPr>
          <w:ilvl w:val="3"/>
          <w:numId w:val="79"/>
        </w:numPr>
        <w:tabs>
          <w:tab w:val="left" w:pos="862"/>
          <w:tab w:val="left" w:pos="864"/>
        </w:tabs>
        <w:spacing w:before="3" w:line="237" w:lineRule="auto"/>
        <w:ind w:left="864" w:right="563"/>
      </w:pPr>
      <w:r>
        <w:t xml:space="preserve">The OpenSID application has been updated to include villager socio-economic condition </w:t>
      </w:r>
      <w:r>
        <w:rPr>
          <w:spacing w:val="-2"/>
        </w:rPr>
        <w:t>features.</w:t>
      </w:r>
    </w:p>
    <w:p w14:paraId="2231B7EB" w14:textId="77777777" w:rsidR="00BC24A8" w:rsidRDefault="00000000">
      <w:pPr>
        <w:pStyle w:val="ListParagraph"/>
        <w:numPr>
          <w:ilvl w:val="3"/>
          <w:numId w:val="79"/>
        </w:numPr>
        <w:tabs>
          <w:tab w:val="left" w:pos="863"/>
        </w:tabs>
        <w:spacing w:before="1"/>
        <w:ind w:right="564" w:hanging="360"/>
      </w:pPr>
      <w:r>
        <w:rPr>
          <w:i/>
        </w:rPr>
        <w:t>Bappeda, Diskominfotik</w:t>
      </w:r>
      <w:r>
        <w:t xml:space="preserve">, and </w:t>
      </w:r>
      <w:r>
        <w:rPr>
          <w:i/>
        </w:rPr>
        <w:t>DPMPD</w:t>
      </w:r>
      <w:hyperlink w:anchor="_bookmark132" w:history="1">
        <w:r w:rsidR="00BC24A8">
          <w:rPr>
            <w:i/>
            <w:vertAlign w:val="superscript"/>
          </w:rPr>
          <w:t>64</w:t>
        </w:r>
      </w:hyperlink>
      <w:r>
        <w:rPr>
          <w:i/>
        </w:rPr>
        <w:t xml:space="preserve"> </w:t>
      </w:r>
      <w:r>
        <w:t>NTB are actively strengthening Village Information System in Dompu District. A total of 81 village/sub-district heads are committed to strengthening the management of Village Information System. Technical guidance has been given to 43 village/sub-district operators (31 men, 12 women).</w:t>
      </w:r>
    </w:p>
    <w:p w14:paraId="68698637" w14:textId="77777777" w:rsidR="00BC24A8" w:rsidRDefault="00000000">
      <w:pPr>
        <w:pStyle w:val="ListParagraph"/>
        <w:numPr>
          <w:ilvl w:val="3"/>
          <w:numId w:val="79"/>
        </w:numPr>
        <w:tabs>
          <w:tab w:val="left" w:pos="862"/>
        </w:tabs>
        <w:spacing w:before="1"/>
        <w:ind w:left="862" w:right="564" w:hanging="360"/>
      </w:pPr>
      <w:r>
        <w:t>The</w:t>
      </w:r>
      <w:r>
        <w:rPr>
          <w:spacing w:val="40"/>
        </w:rPr>
        <w:t xml:space="preserve"> </w:t>
      </w:r>
      <w:r>
        <w:t xml:space="preserve">Dompu District Government and the </w:t>
      </w:r>
      <w:r>
        <w:rPr>
          <w:i/>
        </w:rPr>
        <w:t xml:space="preserve">OpenDesa </w:t>
      </w:r>
      <w:r>
        <w:t>Development Team have agreed on an MoU. The district government has allocated IDR 125 million in its 2026 APBD to support One Data in Dompu District.</w:t>
      </w:r>
    </w:p>
    <w:p w14:paraId="334ECFA3" w14:textId="77777777" w:rsidR="00BC24A8" w:rsidRDefault="00000000">
      <w:pPr>
        <w:pStyle w:val="Heading5"/>
        <w:spacing w:before="66" w:line="530" w:lineRule="atLeast"/>
        <w:ind w:right="115"/>
      </w:pPr>
      <w:r>
        <w:rPr>
          <w:color w:val="17365A"/>
        </w:rPr>
        <w:t xml:space="preserve">Better management of public finances to support improved provision of basic services (IO 4 and 6) </w:t>
      </w:r>
      <w:r>
        <w:t>SKALA</w:t>
      </w:r>
      <w:r>
        <w:rPr>
          <w:spacing w:val="-2"/>
        </w:rPr>
        <w:t xml:space="preserve"> </w:t>
      </w:r>
      <w:r>
        <w:t>strengthens</w:t>
      </w:r>
      <w:r>
        <w:rPr>
          <w:spacing w:val="-2"/>
        </w:rPr>
        <w:t xml:space="preserve"> </w:t>
      </w:r>
      <w:r>
        <w:t>the</w:t>
      </w:r>
      <w:r>
        <w:rPr>
          <w:spacing w:val="-3"/>
        </w:rPr>
        <w:t xml:space="preserve"> </w:t>
      </w:r>
      <w:r>
        <w:t>coordination,</w:t>
      </w:r>
      <w:r>
        <w:rPr>
          <w:spacing w:val="-2"/>
        </w:rPr>
        <w:t xml:space="preserve"> </w:t>
      </w:r>
      <w:r>
        <w:t>coaching, and</w:t>
      </w:r>
      <w:r>
        <w:rPr>
          <w:spacing w:val="-3"/>
        </w:rPr>
        <w:t xml:space="preserve"> </w:t>
      </w:r>
      <w:r>
        <w:t>supervision</w:t>
      </w:r>
      <w:r>
        <w:rPr>
          <w:spacing w:val="-1"/>
        </w:rPr>
        <w:t xml:space="preserve"> </w:t>
      </w:r>
      <w:r>
        <w:t>functions of the</w:t>
      </w:r>
      <w:r>
        <w:rPr>
          <w:spacing w:val="-1"/>
        </w:rPr>
        <w:t xml:space="preserve"> </w:t>
      </w:r>
      <w:r>
        <w:t>Provincial</w:t>
      </w:r>
      <w:r>
        <w:rPr>
          <w:spacing w:val="-1"/>
        </w:rPr>
        <w:t xml:space="preserve"> </w:t>
      </w:r>
      <w:r>
        <w:t>Revenue</w:t>
      </w:r>
    </w:p>
    <w:p w14:paraId="71806A04" w14:textId="77777777" w:rsidR="00BC24A8" w:rsidRDefault="00000000">
      <w:pPr>
        <w:spacing w:before="8"/>
        <w:ind w:left="143"/>
        <w:rPr>
          <w:rFonts w:ascii="Calibri"/>
          <w:b/>
        </w:rPr>
      </w:pPr>
      <w:r>
        <w:rPr>
          <w:rFonts w:ascii="Calibri"/>
          <w:b/>
        </w:rPr>
        <w:t>Agency</w:t>
      </w:r>
      <w:r>
        <w:rPr>
          <w:rFonts w:ascii="Calibri"/>
          <w:b/>
          <w:spacing w:val="-8"/>
        </w:rPr>
        <w:t xml:space="preserve"> </w:t>
      </w:r>
      <w:r>
        <w:rPr>
          <w:rFonts w:ascii="Calibri"/>
          <w:b/>
        </w:rPr>
        <w:t>(</w:t>
      </w:r>
      <w:r>
        <w:rPr>
          <w:rFonts w:ascii="Calibri"/>
          <w:b/>
          <w:i/>
        </w:rPr>
        <w:t>Badan</w:t>
      </w:r>
      <w:r>
        <w:rPr>
          <w:rFonts w:ascii="Calibri"/>
          <w:b/>
          <w:i/>
          <w:spacing w:val="-6"/>
        </w:rPr>
        <w:t xml:space="preserve"> </w:t>
      </w:r>
      <w:r>
        <w:rPr>
          <w:rFonts w:ascii="Calibri"/>
          <w:b/>
          <w:i/>
        </w:rPr>
        <w:t>Pendapatan</w:t>
      </w:r>
      <w:r>
        <w:rPr>
          <w:rFonts w:ascii="Calibri"/>
          <w:b/>
          <w:i/>
          <w:spacing w:val="-5"/>
        </w:rPr>
        <w:t xml:space="preserve"> </w:t>
      </w:r>
      <w:r>
        <w:rPr>
          <w:rFonts w:ascii="Calibri"/>
          <w:b/>
          <w:i/>
        </w:rPr>
        <w:t>Daerah,</w:t>
      </w:r>
      <w:r>
        <w:rPr>
          <w:rFonts w:ascii="Calibri"/>
          <w:b/>
          <w:i/>
          <w:spacing w:val="-8"/>
        </w:rPr>
        <w:t xml:space="preserve"> </w:t>
      </w:r>
      <w:r>
        <w:rPr>
          <w:rFonts w:ascii="Calibri"/>
          <w:b/>
        </w:rPr>
        <w:t>Bappenda)</w:t>
      </w:r>
      <w:r>
        <w:rPr>
          <w:rFonts w:ascii="Calibri"/>
          <w:b/>
          <w:spacing w:val="-6"/>
        </w:rPr>
        <w:t xml:space="preserve"> </w:t>
      </w:r>
      <w:r>
        <w:rPr>
          <w:rFonts w:ascii="Calibri"/>
          <w:b/>
        </w:rPr>
        <w:t>to</w:t>
      </w:r>
      <w:r>
        <w:rPr>
          <w:rFonts w:ascii="Calibri"/>
          <w:b/>
          <w:spacing w:val="-7"/>
        </w:rPr>
        <w:t xml:space="preserve"> </w:t>
      </w:r>
      <w:r>
        <w:rPr>
          <w:rFonts w:ascii="Calibri"/>
          <w:b/>
        </w:rPr>
        <w:t>all</w:t>
      </w:r>
      <w:r>
        <w:rPr>
          <w:rFonts w:ascii="Calibri"/>
          <w:b/>
          <w:spacing w:val="-8"/>
        </w:rPr>
        <w:t xml:space="preserve"> </w:t>
      </w:r>
      <w:r>
        <w:rPr>
          <w:rFonts w:ascii="Calibri"/>
          <w:b/>
        </w:rPr>
        <w:t>Districts/Cities</w:t>
      </w:r>
      <w:r>
        <w:rPr>
          <w:rFonts w:ascii="Calibri"/>
          <w:b/>
          <w:spacing w:val="-5"/>
        </w:rPr>
        <w:t xml:space="preserve"> </w:t>
      </w:r>
      <w:r>
        <w:rPr>
          <w:rFonts w:ascii="Calibri"/>
          <w:b/>
        </w:rPr>
        <w:t>of</w:t>
      </w:r>
      <w:r>
        <w:rPr>
          <w:rFonts w:ascii="Calibri"/>
          <w:b/>
          <w:spacing w:val="-9"/>
        </w:rPr>
        <w:t xml:space="preserve"> </w:t>
      </w:r>
      <w:r>
        <w:rPr>
          <w:rFonts w:ascii="Calibri"/>
          <w:b/>
          <w:spacing w:val="-4"/>
        </w:rPr>
        <w:t>NTB:</w:t>
      </w:r>
    </w:p>
    <w:p w14:paraId="6670186E" w14:textId="77777777" w:rsidR="00BC24A8" w:rsidRDefault="00000000">
      <w:pPr>
        <w:pStyle w:val="ListParagraph"/>
        <w:numPr>
          <w:ilvl w:val="3"/>
          <w:numId w:val="79"/>
        </w:numPr>
        <w:tabs>
          <w:tab w:val="left" w:pos="861"/>
          <w:tab w:val="left" w:pos="863"/>
        </w:tabs>
        <w:spacing w:before="158"/>
        <w:ind w:right="562"/>
      </w:pPr>
      <w:r>
        <w:t>SKALA</w:t>
      </w:r>
      <w:r>
        <w:rPr>
          <w:spacing w:val="-10"/>
        </w:rPr>
        <w:t xml:space="preserve"> </w:t>
      </w:r>
      <w:r>
        <w:t>supports</w:t>
      </w:r>
      <w:r>
        <w:rPr>
          <w:spacing w:val="-9"/>
        </w:rPr>
        <w:t xml:space="preserve"> </w:t>
      </w:r>
      <w:r>
        <w:rPr>
          <w:i/>
        </w:rPr>
        <w:t>Bappenda</w:t>
      </w:r>
      <w:r>
        <w:rPr>
          <w:i/>
          <w:spacing w:val="-9"/>
        </w:rPr>
        <w:t xml:space="preserve"> </w:t>
      </w:r>
      <w:r>
        <w:t>in</w:t>
      </w:r>
      <w:r>
        <w:rPr>
          <w:spacing w:val="-10"/>
        </w:rPr>
        <w:t xml:space="preserve"> </w:t>
      </w:r>
      <w:r>
        <w:t>evaluating</w:t>
      </w:r>
      <w:r>
        <w:rPr>
          <w:spacing w:val="-10"/>
        </w:rPr>
        <w:t xml:space="preserve"> </w:t>
      </w:r>
      <w:r>
        <w:t>the</w:t>
      </w:r>
      <w:r>
        <w:rPr>
          <w:spacing w:val="-9"/>
        </w:rPr>
        <w:t xml:space="preserve"> </w:t>
      </w:r>
      <w:r>
        <w:t>implementation</w:t>
      </w:r>
      <w:r>
        <w:rPr>
          <w:spacing w:val="-10"/>
        </w:rPr>
        <w:t xml:space="preserve"> </w:t>
      </w:r>
      <w:r>
        <w:t>of</w:t>
      </w:r>
      <w:r>
        <w:rPr>
          <w:spacing w:val="-9"/>
        </w:rPr>
        <w:t xml:space="preserve"> </w:t>
      </w:r>
      <w:r>
        <w:t>Regional</w:t>
      </w:r>
      <w:r>
        <w:rPr>
          <w:spacing w:val="-11"/>
        </w:rPr>
        <w:t xml:space="preserve"> </w:t>
      </w:r>
      <w:r>
        <w:t>Regulation</w:t>
      </w:r>
      <w:r>
        <w:rPr>
          <w:spacing w:val="-10"/>
        </w:rPr>
        <w:t xml:space="preserve"> </w:t>
      </w:r>
      <w:r>
        <w:t>2/2024,</w:t>
      </w:r>
      <w:r>
        <w:rPr>
          <w:spacing w:val="-11"/>
        </w:rPr>
        <w:t xml:space="preserve"> </w:t>
      </w:r>
      <w:r>
        <w:t>the MoU on Optimising Motor Vehicle Tax Collection, and Tax Revenue sharing. The NTB Province discovered that:</w:t>
      </w:r>
    </w:p>
    <w:p w14:paraId="75663343" w14:textId="77777777" w:rsidR="00BC24A8" w:rsidRDefault="00000000">
      <w:pPr>
        <w:pStyle w:val="ListParagraph"/>
        <w:numPr>
          <w:ilvl w:val="4"/>
          <w:numId w:val="79"/>
        </w:numPr>
        <w:tabs>
          <w:tab w:val="left" w:pos="1223"/>
        </w:tabs>
        <w:spacing w:before="121" w:line="256" w:lineRule="auto"/>
        <w:ind w:right="564" w:hanging="360"/>
      </w:pPr>
      <w:r>
        <w:t>Local</w:t>
      </w:r>
      <w:r>
        <w:rPr>
          <w:spacing w:val="-7"/>
        </w:rPr>
        <w:t xml:space="preserve"> </w:t>
      </w:r>
      <w:r>
        <w:t>capacity</w:t>
      </w:r>
      <w:r>
        <w:rPr>
          <w:spacing w:val="-7"/>
        </w:rPr>
        <w:t xml:space="preserve"> </w:t>
      </w:r>
      <w:r>
        <w:t>to</w:t>
      </w:r>
      <w:r>
        <w:rPr>
          <w:spacing w:val="-6"/>
        </w:rPr>
        <w:t xml:space="preserve"> </w:t>
      </w:r>
      <w:r>
        <w:t>collect</w:t>
      </w:r>
      <w:r>
        <w:rPr>
          <w:spacing w:val="-7"/>
        </w:rPr>
        <w:t xml:space="preserve"> </w:t>
      </w:r>
      <w:r>
        <w:t>Motor</w:t>
      </w:r>
      <w:r>
        <w:rPr>
          <w:spacing w:val="-6"/>
        </w:rPr>
        <w:t xml:space="preserve"> </w:t>
      </w:r>
      <w:r>
        <w:t>Vehicle</w:t>
      </w:r>
      <w:r>
        <w:rPr>
          <w:spacing w:val="-7"/>
        </w:rPr>
        <w:t xml:space="preserve"> </w:t>
      </w:r>
      <w:r>
        <w:t>Tax</w:t>
      </w:r>
      <w:r>
        <w:rPr>
          <w:spacing w:val="-8"/>
        </w:rPr>
        <w:t xml:space="preserve"> </w:t>
      </w:r>
      <w:r>
        <w:t>varies</w:t>
      </w:r>
      <w:r>
        <w:rPr>
          <w:spacing w:val="-5"/>
        </w:rPr>
        <w:t xml:space="preserve"> </w:t>
      </w:r>
      <w:r>
        <w:t>greatly,</w:t>
      </w:r>
      <w:r>
        <w:rPr>
          <w:spacing w:val="-5"/>
        </w:rPr>
        <w:t xml:space="preserve"> </w:t>
      </w:r>
      <w:r>
        <w:t>as</w:t>
      </w:r>
      <w:r>
        <w:rPr>
          <w:spacing w:val="-7"/>
        </w:rPr>
        <w:t xml:space="preserve"> </w:t>
      </w:r>
      <w:r>
        <w:t>evidenced</w:t>
      </w:r>
      <w:r>
        <w:rPr>
          <w:spacing w:val="-6"/>
        </w:rPr>
        <w:t xml:space="preserve"> </w:t>
      </w:r>
      <w:r>
        <w:t>by</w:t>
      </w:r>
      <w:r>
        <w:rPr>
          <w:spacing w:val="-5"/>
        </w:rPr>
        <w:t xml:space="preserve"> </w:t>
      </w:r>
      <w:r>
        <w:t>the</w:t>
      </w:r>
      <w:r>
        <w:rPr>
          <w:spacing w:val="-7"/>
        </w:rPr>
        <w:t xml:space="preserve"> </w:t>
      </w:r>
      <w:r>
        <w:t>realisation</w:t>
      </w:r>
      <w:r>
        <w:rPr>
          <w:spacing w:val="-7"/>
        </w:rPr>
        <w:t xml:space="preserve"> </w:t>
      </w:r>
      <w:r>
        <w:t>of the first quarter of 2025 target (25%), which differs between districts/cities, ranging from 2% to 26%.</w:t>
      </w:r>
    </w:p>
    <w:p w14:paraId="6CC9827B" w14:textId="77777777" w:rsidR="00BC24A8" w:rsidRDefault="00000000">
      <w:pPr>
        <w:pStyle w:val="ListParagraph"/>
        <w:numPr>
          <w:ilvl w:val="4"/>
          <w:numId w:val="79"/>
        </w:numPr>
        <w:tabs>
          <w:tab w:val="left" w:pos="1222"/>
        </w:tabs>
        <w:spacing w:line="275" w:lineRule="exact"/>
        <w:ind w:left="1222" w:hanging="359"/>
      </w:pPr>
      <w:r>
        <w:t>Only</w:t>
      </w:r>
      <w:r>
        <w:rPr>
          <w:spacing w:val="-8"/>
        </w:rPr>
        <w:t xml:space="preserve"> </w:t>
      </w:r>
      <w:r>
        <w:t>Mataram</w:t>
      </w:r>
      <w:r>
        <w:rPr>
          <w:spacing w:val="-5"/>
        </w:rPr>
        <w:t xml:space="preserve"> </w:t>
      </w:r>
      <w:r>
        <w:t>City</w:t>
      </w:r>
      <w:r>
        <w:rPr>
          <w:spacing w:val="-7"/>
        </w:rPr>
        <w:t xml:space="preserve"> </w:t>
      </w:r>
      <w:r>
        <w:t>(out</w:t>
      </w:r>
      <w:r>
        <w:rPr>
          <w:spacing w:val="-7"/>
        </w:rPr>
        <w:t xml:space="preserve"> </w:t>
      </w:r>
      <w:r>
        <w:t>of</w:t>
      </w:r>
      <w:r>
        <w:rPr>
          <w:spacing w:val="-9"/>
        </w:rPr>
        <w:t xml:space="preserve"> </w:t>
      </w:r>
      <w:r>
        <w:t>10</w:t>
      </w:r>
      <w:r>
        <w:rPr>
          <w:spacing w:val="-5"/>
        </w:rPr>
        <w:t xml:space="preserve"> </w:t>
      </w:r>
      <w:r>
        <w:t>districts/cities</w:t>
      </w:r>
      <w:r>
        <w:rPr>
          <w:spacing w:val="-6"/>
        </w:rPr>
        <w:t xml:space="preserve"> </w:t>
      </w:r>
      <w:r>
        <w:t>in</w:t>
      </w:r>
      <w:r>
        <w:rPr>
          <w:spacing w:val="-8"/>
        </w:rPr>
        <w:t xml:space="preserve"> </w:t>
      </w:r>
      <w:r>
        <w:t>NTB)</w:t>
      </w:r>
      <w:r>
        <w:rPr>
          <w:spacing w:val="-7"/>
        </w:rPr>
        <w:t xml:space="preserve"> </w:t>
      </w:r>
      <w:r>
        <w:t>exceeded</w:t>
      </w:r>
      <w:r>
        <w:rPr>
          <w:spacing w:val="-6"/>
        </w:rPr>
        <w:t xml:space="preserve"> </w:t>
      </w:r>
      <w:r>
        <w:t>the</w:t>
      </w:r>
      <w:r>
        <w:rPr>
          <w:spacing w:val="-7"/>
        </w:rPr>
        <w:t xml:space="preserve"> </w:t>
      </w:r>
      <w:r>
        <w:t>target,</w:t>
      </w:r>
      <w:r>
        <w:rPr>
          <w:spacing w:val="-5"/>
        </w:rPr>
        <w:t xml:space="preserve"> </w:t>
      </w:r>
      <w:r>
        <w:t>which</w:t>
      </w:r>
      <w:r>
        <w:rPr>
          <w:spacing w:val="-8"/>
        </w:rPr>
        <w:t xml:space="preserve"> </w:t>
      </w:r>
      <w:r>
        <w:t>was</w:t>
      </w:r>
      <w:r>
        <w:rPr>
          <w:spacing w:val="-6"/>
        </w:rPr>
        <w:t xml:space="preserve"> </w:t>
      </w:r>
      <w:r>
        <w:rPr>
          <w:spacing w:val="-4"/>
        </w:rPr>
        <w:t>26%.</w:t>
      </w:r>
    </w:p>
    <w:p w14:paraId="099F8D51" w14:textId="77777777" w:rsidR="00BC24A8" w:rsidRDefault="00000000">
      <w:pPr>
        <w:pStyle w:val="ListParagraph"/>
        <w:numPr>
          <w:ilvl w:val="4"/>
          <w:numId w:val="79"/>
        </w:numPr>
        <w:tabs>
          <w:tab w:val="left" w:pos="1223"/>
        </w:tabs>
        <w:spacing w:before="15" w:line="256" w:lineRule="auto"/>
        <w:ind w:right="563" w:hanging="360"/>
      </w:pPr>
      <w:r>
        <w:t>The</w:t>
      </w:r>
      <w:r>
        <w:rPr>
          <w:spacing w:val="-7"/>
        </w:rPr>
        <w:t xml:space="preserve"> </w:t>
      </w:r>
      <w:r>
        <w:t>low</w:t>
      </w:r>
      <w:r>
        <w:rPr>
          <w:spacing w:val="-7"/>
        </w:rPr>
        <w:t xml:space="preserve"> </w:t>
      </w:r>
      <w:r>
        <w:t>achievement</w:t>
      </w:r>
      <w:r>
        <w:rPr>
          <w:spacing w:val="-9"/>
        </w:rPr>
        <w:t xml:space="preserve"> </w:t>
      </w:r>
      <w:r>
        <w:t>of</w:t>
      </w:r>
      <w:r>
        <w:rPr>
          <w:spacing w:val="-7"/>
        </w:rPr>
        <w:t xml:space="preserve"> </w:t>
      </w:r>
      <w:r>
        <w:t>this</w:t>
      </w:r>
      <w:r>
        <w:rPr>
          <w:spacing w:val="-5"/>
        </w:rPr>
        <w:t xml:space="preserve"> </w:t>
      </w:r>
      <w:r>
        <w:t>target</w:t>
      </w:r>
      <w:r>
        <w:rPr>
          <w:spacing w:val="-6"/>
        </w:rPr>
        <w:t xml:space="preserve"> </w:t>
      </w:r>
      <w:r>
        <w:t>is</w:t>
      </w:r>
      <w:r>
        <w:rPr>
          <w:spacing w:val="-7"/>
        </w:rPr>
        <w:t xml:space="preserve"> </w:t>
      </w:r>
      <w:r>
        <w:t>due</w:t>
      </w:r>
      <w:r>
        <w:rPr>
          <w:spacing w:val="-9"/>
        </w:rPr>
        <w:t xml:space="preserve"> </w:t>
      </w:r>
      <w:r>
        <w:t>to</w:t>
      </w:r>
      <w:r>
        <w:rPr>
          <w:spacing w:val="-6"/>
        </w:rPr>
        <w:t xml:space="preserve"> </w:t>
      </w:r>
      <w:r>
        <w:t>the</w:t>
      </w:r>
      <w:r>
        <w:rPr>
          <w:spacing w:val="-9"/>
        </w:rPr>
        <w:t xml:space="preserve"> </w:t>
      </w:r>
      <w:r>
        <w:t>high</w:t>
      </w:r>
      <w:r>
        <w:rPr>
          <w:spacing w:val="-10"/>
        </w:rPr>
        <w:t xml:space="preserve"> </w:t>
      </w:r>
      <w:r>
        <w:t>Motor</w:t>
      </w:r>
      <w:r>
        <w:rPr>
          <w:spacing w:val="-8"/>
        </w:rPr>
        <w:t xml:space="preserve"> </w:t>
      </w:r>
      <w:r>
        <w:t>Vehicle</w:t>
      </w:r>
      <w:r>
        <w:rPr>
          <w:spacing w:val="-7"/>
        </w:rPr>
        <w:t xml:space="preserve"> </w:t>
      </w:r>
      <w:r>
        <w:t>Tax</w:t>
      </w:r>
      <w:r>
        <w:rPr>
          <w:spacing w:val="-7"/>
        </w:rPr>
        <w:t xml:space="preserve"> </w:t>
      </w:r>
      <w:r>
        <w:t>arrears</w:t>
      </w:r>
      <w:r>
        <w:rPr>
          <w:spacing w:val="-5"/>
        </w:rPr>
        <w:t xml:space="preserve"> </w:t>
      </w:r>
      <w:r>
        <w:t>(&gt;50%),</w:t>
      </w:r>
      <w:r>
        <w:rPr>
          <w:spacing w:val="-5"/>
        </w:rPr>
        <w:t xml:space="preserve"> </w:t>
      </w:r>
      <w:r>
        <w:t>the tax</w:t>
      </w:r>
      <w:r>
        <w:rPr>
          <w:spacing w:val="-7"/>
        </w:rPr>
        <w:t xml:space="preserve"> </w:t>
      </w:r>
      <w:r>
        <w:t>object</w:t>
      </w:r>
      <w:r>
        <w:rPr>
          <w:spacing w:val="-6"/>
        </w:rPr>
        <w:t xml:space="preserve"> </w:t>
      </w:r>
      <w:r>
        <w:t>data</w:t>
      </w:r>
      <w:r>
        <w:rPr>
          <w:spacing w:val="-7"/>
        </w:rPr>
        <w:t xml:space="preserve"> </w:t>
      </w:r>
      <w:r>
        <w:t>is</w:t>
      </w:r>
      <w:r>
        <w:rPr>
          <w:spacing w:val="-5"/>
        </w:rPr>
        <w:t xml:space="preserve"> </w:t>
      </w:r>
      <w:r>
        <w:t>not</w:t>
      </w:r>
      <w:r>
        <w:rPr>
          <w:spacing w:val="-6"/>
        </w:rPr>
        <w:t xml:space="preserve"> </w:t>
      </w:r>
      <w:r>
        <w:t>accurate,</w:t>
      </w:r>
      <w:r>
        <w:rPr>
          <w:spacing w:val="-5"/>
        </w:rPr>
        <w:t xml:space="preserve"> </w:t>
      </w:r>
      <w:r>
        <w:t>and</w:t>
      </w:r>
      <w:r>
        <w:rPr>
          <w:spacing w:val="-5"/>
        </w:rPr>
        <w:t xml:space="preserve"> </w:t>
      </w:r>
      <w:r>
        <w:t>the</w:t>
      </w:r>
      <w:r>
        <w:rPr>
          <w:spacing w:val="-7"/>
        </w:rPr>
        <w:t xml:space="preserve"> </w:t>
      </w:r>
      <w:r>
        <w:t>capacity</w:t>
      </w:r>
      <w:r>
        <w:rPr>
          <w:spacing w:val="-5"/>
        </w:rPr>
        <w:t xml:space="preserve"> </w:t>
      </w:r>
      <w:r>
        <w:t>of</w:t>
      </w:r>
      <w:r>
        <w:rPr>
          <w:spacing w:val="-7"/>
        </w:rPr>
        <w:t xml:space="preserve"> </w:t>
      </w:r>
      <w:r>
        <w:t>the</w:t>
      </w:r>
      <w:r>
        <w:rPr>
          <w:spacing w:val="-7"/>
        </w:rPr>
        <w:t xml:space="preserve"> </w:t>
      </w:r>
      <w:r>
        <w:t>One-Roof</w:t>
      </w:r>
      <w:r>
        <w:rPr>
          <w:spacing w:val="-7"/>
        </w:rPr>
        <w:t xml:space="preserve"> </w:t>
      </w:r>
      <w:r>
        <w:t>Integrated</w:t>
      </w:r>
      <w:r>
        <w:rPr>
          <w:spacing w:val="-5"/>
        </w:rPr>
        <w:t xml:space="preserve"> </w:t>
      </w:r>
      <w:r>
        <w:t>Administration System</w:t>
      </w:r>
      <w:r>
        <w:rPr>
          <w:spacing w:val="-13"/>
        </w:rPr>
        <w:t xml:space="preserve"> </w:t>
      </w:r>
      <w:r>
        <w:t>(</w:t>
      </w:r>
      <w:r>
        <w:rPr>
          <w:i/>
        </w:rPr>
        <w:t>Sistem</w:t>
      </w:r>
      <w:r>
        <w:rPr>
          <w:i/>
          <w:spacing w:val="-12"/>
        </w:rPr>
        <w:t xml:space="preserve"> </w:t>
      </w:r>
      <w:r>
        <w:rPr>
          <w:i/>
        </w:rPr>
        <w:t>Administrasi</w:t>
      </w:r>
      <w:r>
        <w:rPr>
          <w:i/>
          <w:spacing w:val="-13"/>
        </w:rPr>
        <w:t xml:space="preserve"> </w:t>
      </w:r>
      <w:r>
        <w:rPr>
          <w:i/>
        </w:rPr>
        <w:t>Manunggal</w:t>
      </w:r>
      <w:r>
        <w:rPr>
          <w:i/>
          <w:spacing w:val="-12"/>
        </w:rPr>
        <w:t xml:space="preserve"> </w:t>
      </w:r>
      <w:r>
        <w:rPr>
          <w:i/>
        </w:rPr>
        <w:t>Satu</w:t>
      </w:r>
      <w:r>
        <w:rPr>
          <w:i/>
          <w:spacing w:val="-13"/>
        </w:rPr>
        <w:t xml:space="preserve"> </w:t>
      </w:r>
      <w:r>
        <w:rPr>
          <w:i/>
        </w:rPr>
        <w:t>Atap,</w:t>
      </w:r>
      <w:r>
        <w:rPr>
          <w:i/>
          <w:spacing w:val="-12"/>
        </w:rPr>
        <w:t xml:space="preserve"> </w:t>
      </w:r>
      <w:r>
        <w:t>SAMSAT)</w:t>
      </w:r>
      <w:r>
        <w:rPr>
          <w:spacing w:val="-13"/>
        </w:rPr>
        <w:t xml:space="preserve"> </w:t>
      </w:r>
      <w:r>
        <w:t>to</w:t>
      </w:r>
      <w:r>
        <w:rPr>
          <w:spacing w:val="-12"/>
        </w:rPr>
        <w:t xml:space="preserve"> </w:t>
      </w:r>
      <w:r>
        <w:t>reach</w:t>
      </w:r>
      <w:r>
        <w:rPr>
          <w:spacing w:val="-12"/>
        </w:rPr>
        <w:t xml:space="preserve"> </w:t>
      </w:r>
      <w:r>
        <w:t>all</w:t>
      </w:r>
      <w:r>
        <w:rPr>
          <w:spacing w:val="-13"/>
        </w:rPr>
        <w:t xml:space="preserve"> </w:t>
      </w:r>
      <w:r>
        <w:t>potential</w:t>
      </w:r>
      <w:r>
        <w:rPr>
          <w:spacing w:val="-12"/>
        </w:rPr>
        <w:t xml:space="preserve"> </w:t>
      </w:r>
      <w:r>
        <w:t>tax</w:t>
      </w:r>
      <w:r>
        <w:rPr>
          <w:spacing w:val="-13"/>
        </w:rPr>
        <w:t xml:space="preserve"> </w:t>
      </w:r>
      <w:r>
        <w:t>areas.</w:t>
      </w:r>
    </w:p>
    <w:p w14:paraId="48FD0DCE" w14:textId="77777777" w:rsidR="00BC24A8" w:rsidRDefault="00BC24A8">
      <w:pPr>
        <w:pStyle w:val="BodyText"/>
        <w:spacing w:before="21"/>
      </w:pPr>
    </w:p>
    <w:p w14:paraId="2F076636" w14:textId="77777777" w:rsidR="00BC24A8" w:rsidRDefault="00000000">
      <w:pPr>
        <w:pStyle w:val="Heading5"/>
      </w:pPr>
      <w:r>
        <w:t>SKALA</w:t>
      </w:r>
      <w:r>
        <w:rPr>
          <w:spacing w:val="-6"/>
        </w:rPr>
        <w:t xml:space="preserve"> </w:t>
      </w:r>
      <w:r>
        <w:t>supports</w:t>
      </w:r>
      <w:r>
        <w:rPr>
          <w:spacing w:val="-5"/>
        </w:rPr>
        <w:t xml:space="preserve"> </w:t>
      </w:r>
      <w:r>
        <w:t>the</w:t>
      </w:r>
      <w:r>
        <w:rPr>
          <w:spacing w:val="-7"/>
        </w:rPr>
        <w:t xml:space="preserve"> </w:t>
      </w:r>
      <w:r>
        <w:t>Provincial</w:t>
      </w:r>
      <w:r>
        <w:rPr>
          <w:spacing w:val="-6"/>
        </w:rPr>
        <w:t xml:space="preserve"> </w:t>
      </w:r>
      <w:r>
        <w:rPr>
          <w:i/>
        </w:rPr>
        <w:t>Bappenda</w:t>
      </w:r>
      <w:r>
        <w:rPr>
          <w:i/>
          <w:spacing w:val="-7"/>
        </w:rPr>
        <w:t xml:space="preserve"> </w:t>
      </w:r>
      <w:r>
        <w:t>in</w:t>
      </w:r>
      <w:r>
        <w:rPr>
          <w:spacing w:val="-7"/>
        </w:rPr>
        <w:t xml:space="preserve"> </w:t>
      </w:r>
      <w:r>
        <w:t>implementing</w:t>
      </w:r>
      <w:r>
        <w:rPr>
          <w:spacing w:val="-7"/>
        </w:rPr>
        <w:t xml:space="preserve"> </w:t>
      </w:r>
      <w:r>
        <w:t>an</w:t>
      </w:r>
      <w:r>
        <w:rPr>
          <w:spacing w:val="-7"/>
        </w:rPr>
        <w:t xml:space="preserve"> </w:t>
      </w:r>
      <w:r>
        <w:t>inclusive</w:t>
      </w:r>
      <w:r>
        <w:rPr>
          <w:spacing w:val="-9"/>
        </w:rPr>
        <w:t xml:space="preserve"> </w:t>
      </w:r>
      <w:r>
        <w:t>regional</w:t>
      </w:r>
      <w:r>
        <w:rPr>
          <w:spacing w:val="-7"/>
        </w:rPr>
        <w:t xml:space="preserve"> </w:t>
      </w:r>
      <w:r>
        <w:t>tax</w:t>
      </w:r>
      <w:r>
        <w:rPr>
          <w:spacing w:val="-6"/>
        </w:rPr>
        <w:t xml:space="preserve"> </w:t>
      </w:r>
      <w:r>
        <w:rPr>
          <w:spacing w:val="-2"/>
        </w:rPr>
        <w:t>policy:</w:t>
      </w:r>
    </w:p>
    <w:p w14:paraId="49E8FF4E" w14:textId="77777777" w:rsidR="00BC24A8" w:rsidRDefault="00000000">
      <w:pPr>
        <w:pStyle w:val="ListParagraph"/>
        <w:numPr>
          <w:ilvl w:val="3"/>
          <w:numId w:val="79"/>
        </w:numPr>
        <w:tabs>
          <w:tab w:val="left" w:pos="861"/>
          <w:tab w:val="left" w:pos="863"/>
        </w:tabs>
        <w:spacing w:before="162"/>
        <w:ind w:right="564"/>
      </w:pPr>
      <w:r>
        <w:t>25 people from 8 disabled persons organisations (DPOs) have received the socialisation of Governor's Regulation 23/2024 regarding Motor Vehicle Tax waivers for modified vehicles belonging to persons with disabilities, effective from January 5, 2025.</w:t>
      </w:r>
    </w:p>
    <w:p w14:paraId="0A973D70" w14:textId="77777777" w:rsidR="00BC24A8" w:rsidRDefault="00000000">
      <w:pPr>
        <w:pStyle w:val="ListParagraph"/>
        <w:numPr>
          <w:ilvl w:val="3"/>
          <w:numId w:val="79"/>
        </w:numPr>
        <w:tabs>
          <w:tab w:val="left" w:pos="862"/>
          <w:tab w:val="left" w:pos="864"/>
        </w:tabs>
        <w:ind w:left="864" w:right="563"/>
      </w:pPr>
      <w:r>
        <w:t>42 representatives (24 men, 18 women) from Bappenda, SAMSAT technical units throughout NTB, Police, and Jasa Raharja received the socialisation and evaluation of the Governor's Regulation 23/2024. The results of the evaluation of the implementation of the Motor Vehicle Tax waiver policy are:</w:t>
      </w:r>
    </w:p>
    <w:p w14:paraId="671CACF4" w14:textId="77777777" w:rsidR="00BC24A8" w:rsidRDefault="00000000">
      <w:pPr>
        <w:pStyle w:val="ListParagraph"/>
        <w:numPr>
          <w:ilvl w:val="4"/>
          <w:numId w:val="79"/>
        </w:numPr>
        <w:tabs>
          <w:tab w:val="left" w:pos="1222"/>
          <w:tab w:val="left" w:pos="1224"/>
        </w:tabs>
        <w:spacing w:before="119" w:line="252" w:lineRule="auto"/>
        <w:ind w:left="1224" w:right="564"/>
      </w:pPr>
      <w:r>
        <w:t>4</w:t>
      </w:r>
      <w:r>
        <w:rPr>
          <w:spacing w:val="-11"/>
        </w:rPr>
        <w:t xml:space="preserve"> </w:t>
      </w:r>
      <w:r>
        <w:t>out</w:t>
      </w:r>
      <w:r>
        <w:rPr>
          <w:spacing w:val="-12"/>
        </w:rPr>
        <w:t xml:space="preserve"> </w:t>
      </w:r>
      <w:r>
        <w:t>of</w:t>
      </w:r>
      <w:r>
        <w:rPr>
          <w:spacing w:val="-13"/>
        </w:rPr>
        <w:t xml:space="preserve"> </w:t>
      </w:r>
      <w:r>
        <w:t>10</w:t>
      </w:r>
      <w:r>
        <w:rPr>
          <w:spacing w:val="-10"/>
        </w:rPr>
        <w:t xml:space="preserve"> </w:t>
      </w:r>
      <w:r>
        <w:t>districts/cities</w:t>
      </w:r>
      <w:r>
        <w:rPr>
          <w:spacing w:val="-11"/>
        </w:rPr>
        <w:t xml:space="preserve"> </w:t>
      </w:r>
      <w:r>
        <w:t>(40%)</w:t>
      </w:r>
      <w:r>
        <w:rPr>
          <w:spacing w:val="-13"/>
        </w:rPr>
        <w:t xml:space="preserve"> </w:t>
      </w:r>
      <w:r>
        <w:t>have</w:t>
      </w:r>
      <w:r>
        <w:rPr>
          <w:spacing w:val="-12"/>
        </w:rPr>
        <w:t xml:space="preserve"> </w:t>
      </w:r>
      <w:r>
        <w:t>started</w:t>
      </w:r>
      <w:r>
        <w:rPr>
          <w:spacing w:val="-11"/>
        </w:rPr>
        <w:t xml:space="preserve"> </w:t>
      </w:r>
      <w:r>
        <w:t>implementing</w:t>
      </w:r>
      <w:r>
        <w:rPr>
          <w:spacing w:val="-12"/>
        </w:rPr>
        <w:t xml:space="preserve"> </w:t>
      </w:r>
      <w:r>
        <w:t>Motor</w:t>
      </w:r>
      <w:r>
        <w:rPr>
          <w:spacing w:val="-11"/>
        </w:rPr>
        <w:t xml:space="preserve"> </w:t>
      </w:r>
      <w:r>
        <w:t>Vehicle</w:t>
      </w:r>
      <w:r>
        <w:rPr>
          <w:spacing w:val="-13"/>
        </w:rPr>
        <w:t xml:space="preserve"> </w:t>
      </w:r>
      <w:r>
        <w:t>Tax</w:t>
      </w:r>
      <w:r>
        <w:rPr>
          <w:spacing w:val="-12"/>
        </w:rPr>
        <w:t xml:space="preserve"> </w:t>
      </w:r>
      <w:r>
        <w:t>waiver</w:t>
      </w:r>
      <w:r>
        <w:rPr>
          <w:spacing w:val="-11"/>
        </w:rPr>
        <w:t xml:space="preserve"> </w:t>
      </w:r>
      <w:r>
        <w:t>policy (Mataram City, West Lombok, East Lombok, and North Lombok).</w:t>
      </w:r>
    </w:p>
    <w:p w14:paraId="5224007B" w14:textId="77777777" w:rsidR="00BC24A8" w:rsidRDefault="00000000">
      <w:pPr>
        <w:pStyle w:val="ListParagraph"/>
        <w:numPr>
          <w:ilvl w:val="4"/>
          <w:numId w:val="79"/>
        </w:numPr>
        <w:tabs>
          <w:tab w:val="left" w:pos="1223"/>
        </w:tabs>
        <w:spacing w:before="7"/>
        <w:ind w:hanging="359"/>
      </w:pPr>
      <w:r>
        <w:t>17</w:t>
      </w:r>
      <w:r>
        <w:rPr>
          <w:spacing w:val="-11"/>
        </w:rPr>
        <w:t xml:space="preserve"> </w:t>
      </w:r>
      <w:r>
        <w:t>persons</w:t>
      </w:r>
      <w:r>
        <w:rPr>
          <w:spacing w:val="-10"/>
        </w:rPr>
        <w:t xml:space="preserve"> </w:t>
      </w:r>
      <w:r>
        <w:t>with</w:t>
      </w:r>
      <w:r>
        <w:rPr>
          <w:spacing w:val="-9"/>
        </w:rPr>
        <w:t xml:space="preserve"> </w:t>
      </w:r>
      <w:r>
        <w:t>disabilities</w:t>
      </w:r>
      <w:r>
        <w:rPr>
          <w:spacing w:val="-11"/>
        </w:rPr>
        <w:t xml:space="preserve"> </w:t>
      </w:r>
      <w:r>
        <w:t>have</w:t>
      </w:r>
      <w:r>
        <w:rPr>
          <w:spacing w:val="-10"/>
        </w:rPr>
        <w:t xml:space="preserve"> </w:t>
      </w:r>
      <w:r>
        <w:t>received</w:t>
      </w:r>
      <w:r>
        <w:rPr>
          <w:spacing w:val="-11"/>
        </w:rPr>
        <w:t xml:space="preserve"> </w:t>
      </w:r>
      <w:r>
        <w:t>Motor</w:t>
      </w:r>
      <w:r>
        <w:rPr>
          <w:spacing w:val="-12"/>
        </w:rPr>
        <w:t xml:space="preserve"> </w:t>
      </w:r>
      <w:r>
        <w:t>Vehicle</w:t>
      </w:r>
      <w:r>
        <w:rPr>
          <w:spacing w:val="-10"/>
        </w:rPr>
        <w:t xml:space="preserve"> </w:t>
      </w:r>
      <w:r>
        <w:t>Tax</w:t>
      </w:r>
      <w:r>
        <w:rPr>
          <w:spacing w:val="-11"/>
        </w:rPr>
        <w:t xml:space="preserve"> </w:t>
      </w:r>
      <w:r>
        <w:t>waivers</w:t>
      </w:r>
      <w:r>
        <w:rPr>
          <w:spacing w:val="-9"/>
        </w:rPr>
        <w:t xml:space="preserve"> </w:t>
      </w:r>
      <w:r>
        <w:t>for</w:t>
      </w:r>
      <w:r>
        <w:rPr>
          <w:spacing w:val="-11"/>
        </w:rPr>
        <w:t xml:space="preserve"> </w:t>
      </w:r>
      <w:r>
        <w:t>modified</w:t>
      </w:r>
      <w:r>
        <w:rPr>
          <w:spacing w:val="-11"/>
        </w:rPr>
        <w:t xml:space="preserve"> </w:t>
      </w:r>
      <w:r>
        <w:rPr>
          <w:spacing w:val="-2"/>
        </w:rPr>
        <w:t>vehicles.</w:t>
      </w:r>
    </w:p>
    <w:p w14:paraId="4A33417B" w14:textId="77777777" w:rsidR="00BC24A8" w:rsidRDefault="00000000">
      <w:pPr>
        <w:pStyle w:val="ListParagraph"/>
        <w:numPr>
          <w:ilvl w:val="4"/>
          <w:numId w:val="79"/>
        </w:numPr>
        <w:tabs>
          <w:tab w:val="left" w:pos="1222"/>
          <w:tab w:val="left" w:pos="1224"/>
        </w:tabs>
        <w:spacing w:before="15" w:line="252" w:lineRule="auto"/>
        <w:ind w:left="1224" w:right="564"/>
      </w:pPr>
      <w:r>
        <w:t>The</w:t>
      </w:r>
      <w:r>
        <w:rPr>
          <w:spacing w:val="-12"/>
        </w:rPr>
        <w:t xml:space="preserve"> </w:t>
      </w:r>
      <w:r>
        <w:t>waiver</w:t>
      </w:r>
      <w:r>
        <w:rPr>
          <w:spacing w:val="-10"/>
        </w:rPr>
        <w:t xml:space="preserve"> </w:t>
      </w:r>
      <w:r>
        <w:t>obtained</w:t>
      </w:r>
      <w:r>
        <w:rPr>
          <w:spacing w:val="-10"/>
        </w:rPr>
        <w:t xml:space="preserve"> </w:t>
      </w:r>
      <w:r>
        <w:t>ranges</w:t>
      </w:r>
      <w:r>
        <w:rPr>
          <w:spacing w:val="-12"/>
        </w:rPr>
        <w:t xml:space="preserve"> </w:t>
      </w:r>
      <w:r>
        <w:t>from</w:t>
      </w:r>
      <w:r>
        <w:rPr>
          <w:spacing w:val="-11"/>
        </w:rPr>
        <w:t xml:space="preserve"> </w:t>
      </w:r>
      <w:r>
        <w:t>124</w:t>
      </w:r>
      <w:r>
        <w:rPr>
          <w:spacing w:val="-10"/>
        </w:rPr>
        <w:t xml:space="preserve"> </w:t>
      </w:r>
      <w:r>
        <w:t>thousand</w:t>
      </w:r>
      <w:r>
        <w:rPr>
          <w:spacing w:val="-10"/>
        </w:rPr>
        <w:t xml:space="preserve"> </w:t>
      </w:r>
      <w:r>
        <w:t>to</w:t>
      </w:r>
      <w:r>
        <w:rPr>
          <w:spacing w:val="-11"/>
        </w:rPr>
        <w:t xml:space="preserve"> </w:t>
      </w:r>
      <w:r>
        <w:t>2</w:t>
      </w:r>
      <w:r>
        <w:rPr>
          <w:spacing w:val="-13"/>
        </w:rPr>
        <w:t xml:space="preserve"> </w:t>
      </w:r>
      <w:r>
        <w:t>million</w:t>
      </w:r>
      <w:r>
        <w:rPr>
          <w:spacing w:val="-10"/>
        </w:rPr>
        <w:t xml:space="preserve"> </w:t>
      </w:r>
      <w:r>
        <w:t>rupiah</w:t>
      </w:r>
      <w:r>
        <w:rPr>
          <w:spacing w:val="-13"/>
        </w:rPr>
        <w:t xml:space="preserve"> </w:t>
      </w:r>
      <w:r>
        <w:t>per</w:t>
      </w:r>
      <w:r>
        <w:rPr>
          <w:spacing w:val="-10"/>
        </w:rPr>
        <w:t xml:space="preserve"> </w:t>
      </w:r>
      <w:r>
        <w:t>vehicle</w:t>
      </w:r>
      <w:r>
        <w:rPr>
          <w:spacing w:val="-12"/>
        </w:rPr>
        <w:t xml:space="preserve"> </w:t>
      </w:r>
      <w:r>
        <w:t>(including</w:t>
      </w:r>
      <w:r>
        <w:rPr>
          <w:spacing w:val="-11"/>
        </w:rPr>
        <w:t xml:space="preserve"> </w:t>
      </w:r>
      <w:r>
        <w:t>tax principal, fines, and tax revenue sharing).</w:t>
      </w:r>
    </w:p>
    <w:p w14:paraId="2B63DA82" w14:textId="77777777" w:rsidR="00BC24A8" w:rsidRDefault="00BC24A8">
      <w:pPr>
        <w:pStyle w:val="BodyText"/>
        <w:rPr>
          <w:sz w:val="20"/>
        </w:rPr>
      </w:pPr>
    </w:p>
    <w:p w14:paraId="30C28A5D" w14:textId="77777777" w:rsidR="00BC24A8" w:rsidRDefault="00000000">
      <w:pPr>
        <w:pStyle w:val="BodyText"/>
        <w:spacing w:before="6"/>
        <w:rPr>
          <w:sz w:val="20"/>
        </w:rPr>
      </w:pPr>
      <w:r>
        <w:rPr>
          <w:noProof/>
          <w:sz w:val="20"/>
        </w:rPr>
        <mc:AlternateContent>
          <mc:Choice Requires="wps">
            <w:drawing>
              <wp:anchor distT="0" distB="0" distL="0" distR="0" simplePos="0" relativeHeight="487620608" behindDoc="1" locked="0" layoutInCell="1" allowOverlap="1" wp14:anchorId="234B280A" wp14:editId="68AD3221">
                <wp:simplePos x="0" y="0"/>
                <wp:positionH relativeFrom="page">
                  <wp:posOffset>900683</wp:posOffset>
                </wp:positionH>
                <wp:positionV relativeFrom="paragraph">
                  <wp:posOffset>174467</wp:posOffset>
                </wp:positionV>
                <wp:extent cx="1828800" cy="9525"/>
                <wp:effectExtent l="0" t="0" r="0" b="0"/>
                <wp:wrapTopAndBottom/>
                <wp:docPr id="177" name="Graphic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D92029" id="Graphic 177" o:spid="_x0000_s1026" alt="&quot;&quot;" style="position:absolute;margin-left:70.9pt;margin-top:13.75pt;width:2in;height:.75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" path="m1828800,l,,,9143r1828800,l1828800,xe" fillcolor="black" stroked="f">
                <v:path arrowok="t"/>
                <w10:wrap type="topAndBottom" anchorx="page"/>
              </v:shape>
            </w:pict>
          </mc:Fallback>
        </mc:AlternateContent>
      </w:r>
    </w:p>
    <w:p w14:paraId="3242E329" w14:textId="77777777" w:rsidR="00BC24A8" w:rsidRDefault="00BC24A8">
      <w:pPr>
        <w:pStyle w:val="BodyText"/>
        <w:spacing w:before="108"/>
        <w:rPr>
          <w:sz w:val="16"/>
        </w:rPr>
      </w:pPr>
    </w:p>
    <w:p w14:paraId="4B115969" w14:textId="77777777" w:rsidR="00BC24A8" w:rsidRDefault="00000000">
      <w:pPr>
        <w:ind w:left="143"/>
        <w:rPr>
          <w:sz w:val="16"/>
        </w:rPr>
      </w:pPr>
      <w:bookmarkStart w:id="194" w:name="_bookmark132"/>
      <w:bookmarkEnd w:id="194"/>
      <w:r>
        <w:rPr>
          <w:color w:val="767070"/>
          <w:sz w:val="16"/>
          <w:vertAlign w:val="superscript"/>
        </w:rPr>
        <w:t>64</w:t>
      </w:r>
      <w:r>
        <w:rPr>
          <w:color w:val="767070"/>
          <w:spacing w:val="-7"/>
          <w:sz w:val="16"/>
        </w:rPr>
        <w:t xml:space="preserve"> </w:t>
      </w:r>
      <w:r>
        <w:rPr>
          <w:color w:val="767070"/>
          <w:sz w:val="16"/>
        </w:rPr>
        <w:t>Community</w:t>
      </w:r>
      <w:r>
        <w:rPr>
          <w:color w:val="767070"/>
          <w:spacing w:val="-5"/>
          <w:sz w:val="16"/>
        </w:rPr>
        <w:t xml:space="preserve"> </w:t>
      </w:r>
      <w:r>
        <w:rPr>
          <w:color w:val="767070"/>
          <w:sz w:val="16"/>
        </w:rPr>
        <w:t>and</w:t>
      </w:r>
      <w:r>
        <w:rPr>
          <w:color w:val="767070"/>
          <w:spacing w:val="-6"/>
          <w:sz w:val="16"/>
        </w:rPr>
        <w:t xml:space="preserve"> </w:t>
      </w:r>
      <w:r>
        <w:rPr>
          <w:color w:val="767070"/>
          <w:sz w:val="16"/>
        </w:rPr>
        <w:t>Village</w:t>
      </w:r>
      <w:r>
        <w:rPr>
          <w:color w:val="767070"/>
          <w:spacing w:val="-6"/>
          <w:sz w:val="16"/>
        </w:rPr>
        <w:t xml:space="preserve"> </w:t>
      </w:r>
      <w:r>
        <w:rPr>
          <w:color w:val="767070"/>
          <w:sz w:val="16"/>
        </w:rPr>
        <w:t>Empowerment</w:t>
      </w:r>
      <w:r>
        <w:rPr>
          <w:color w:val="767070"/>
          <w:spacing w:val="-6"/>
          <w:sz w:val="16"/>
        </w:rPr>
        <w:t xml:space="preserve"> </w:t>
      </w:r>
      <w:r>
        <w:rPr>
          <w:color w:val="767070"/>
          <w:spacing w:val="-2"/>
          <w:sz w:val="16"/>
        </w:rPr>
        <w:t>Office</w:t>
      </w:r>
    </w:p>
    <w:p w14:paraId="739FEFDA" w14:textId="77777777" w:rsidR="00BC24A8" w:rsidRDefault="00BC24A8">
      <w:pPr>
        <w:rPr>
          <w:sz w:val="16"/>
        </w:rPr>
        <w:sectPr w:rsidR="00BC24A8">
          <w:pgSz w:w="11910" w:h="16840"/>
          <w:pgMar w:top="1360" w:right="850" w:bottom="1100" w:left="1275" w:header="0" w:footer="907" w:gutter="0"/>
          <w:cols w:space="720"/>
        </w:sectPr>
      </w:pPr>
    </w:p>
    <w:p w14:paraId="59C16ED0" w14:textId="77777777" w:rsidR="00BC24A8" w:rsidRDefault="00000000">
      <w:pPr>
        <w:pStyle w:val="ListParagraph"/>
        <w:numPr>
          <w:ilvl w:val="4"/>
          <w:numId w:val="79"/>
        </w:numPr>
        <w:tabs>
          <w:tab w:val="left" w:pos="1221"/>
          <w:tab w:val="left" w:pos="1223"/>
        </w:tabs>
        <w:spacing w:before="59" w:line="252" w:lineRule="auto"/>
        <w:ind w:right="562"/>
        <w:jc w:val="left"/>
      </w:pPr>
      <w:r>
        <w:lastRenderedPageBreak/>
        <w:t>This policy is</w:t>
      </w:r>
      <w:r>
        <w:rPr>
          <w:spacing w:val="-3"/>
        </w:rPr>
        <w:t xml:space="preserve"> </w:t>
      </w:r>
      <w:r>
        <w:t>very significant</w:t>
      </w:r>
      <w:r>
        <w:rPr>
          <w:spacing w:val="-2"/>
        </w:rPr>
        <w:t xml:space="preserve"> </w:t>
      </w:r>
      <w:r>
        <w:t>in</w:t>
      </w:r>
      <w:r>
        <w:rPr>
          <w:spacing w:val="-1"/>
        </w:rPr>
        <w:t xml:space="preserve"> </w:t>
      </w:r>
      <w:r>
        <w:t>helping</w:t>
      </w:r>
      <w:r>
        <w:rPr>
          <w:spacing w:val="-2"/>
        </w:rPr>
        <w:t xml:space="preserve"> </w:t>
      </w:r>
      <w:r>
        <w:t>persons with</w:t>
      </w:r>
      <w:r>
        <w:rPr>
          <w:spacing w:val="-1"/>
        </w:rPr>
        <w:t xml:space="preserve"> </w:t>
      </w:r>
      <w:r>
        <w:t>disabilities, especially those</w:t>
      </w:r>
      <w:r>
        <w:rPr>
          <w:spacing w:val="-4"/>
        </w:rPr>
        <w:t xml:space="preserve"> </w:t>
      </w:r>
      <w:r>
        <w:t>who</w:t>
      </w:r>
      <w:r>
        <w:rPr>
          <w:spacing w:val="-1"/>
        </w:rPr>
        <w:t xml:space="preserve"> </w:t>
      </w:r>
      <w:r>
        <w:t>have been in arrears of taxes for years.</w:t>
      </w:r>
    </w:p>
    <w:p w14:paraId="6CC4FBB3" w14:textId="77777777" w:rsidR="00BC24A8" w:rsidRDefault="00000000">
      <w:pPr>
        <w:pStyle w:val="Heading5"/>
        <w:spacing w:before="247"/>
      </w:pPr>
      <w:r>
        <w:t>SKALA</w:t>
      </w:r>
      <w:r>
        <w:rPr>
          <w:spacing w:val="36"/>
        </w:rPr>
        <w:t xml:space="preserve"> </w:t>
      </w:r>
      <w:r>
        <w:t>strengthens</w:t>
      </w:r>
      <w:r>
        <w:rPr>
          <w:spacing w:val="36"/>
        </w:rPr>
        <w:t xml:space="preserve"> </w:t>
      </w:r>
      <w:r>
        <w:t>the</w:t>
      </w:r>
      <w:r>
        <w:rPr>
          <w:spacing w:val="33"/>
        </w:rPr>
        <w:t xml:space="preserve"> </w:t>
      </w:r>
      <w:r>
        <w:t>governance</w:t>
      </w:r>
      <w:r>
        <w:rPr>
          <w:spacing w:val="34"/>
        </w:rPr>
        <w:t xml:space="preserve"> </w:t>
      </w:r>
      <w:r>
        <w:t>of</w:t>
      </w:r>
      <w:r>
        <w:rPr>
          <w:spacing w:val="35"/>
        </w:rPr>
        <w:t xml:space="preserve"> </w:t>
      </w:r>
      <w:r>
        <w:t>MSS</w:t>
      </w:r>
      <w:r>
        <w:rPr>
          <w:spacing w:val="34"/>
        </w:rPr>
        <w:t xml:space="preserve"> </w:t>
      </w:r>
      <w:r>
        <w:t>implementation</w:t>
      </w:r>
      <w:r>
        <w:rPr>
          <w:spacing w:val="34"/>
        </w:rPr>
        <w:t xml:space="preserve"> </w:t>
      </w:r>
      <w:r>
        <w:t>through</w:t>
      </w:r>
      <w:r>
        <w:rPr>
          <w:spacing w:val="33"/>
        </w:rPr>
        <w:t xml:space="preserve"> </w:t>
      </w:r>
      <w:r>
        <w:t>evaluation</w:t>
      </w:r>
      <w:r>
        <w:rPr>
          <w:spacing w:val="34"/>
        </w:rPr>
        <w:t xml:space="preserve"> </w:t>
      </w:r>
      <w:r>
        <w:t>of</w:t>
      </w:r>
      <w:r>
        <w:rPr>
          <w:spacing w:val="35"/>
        </w:rPr>
        <w:t xml:space="preserve"> </w:t>
      </w:r>
      <w:r>
        <w:t>action</w:t>
      </w:r>
      <w:r>
        <w:rPr>
          <w:spacing w:val="34"/>
        </w:rPr>
        <w:t xml:space="preserve"> </w:t>
      </w:r>
      <w:r>
        <w:t>plans, preparation of supporting policies, and capacity building:</w:t>
      </w:r>
    </w:p>
    <w:p w14:paraId="5BF8EF92" w14:textId="77777777" w:rsidR="00BC24A8" w:rsidRDefault="00000000">
      <w:pPr>
        <w:pStyle w:val="ListParagraph"/>
        <w:numPr>
          <w:ilvl w:val="3"/>
          <w:numId w:val="79"/>
        </w:numPr>
        <w:tabs>
          <w:tab w:val="left" w:pos="863"/>
        </w:tabs>
        <w:spacing w:before="162" w:line="279" w:lineRule="exact"/>
        <w:ind w:hanging="360"/>
        <w:jc w:val="left"/>
      </w:pPr>
      <w:r>
        <w:t>NTB</w:t>
      </w:r>
      <w:r>
        <w:rPr>
          <w:spacing w:val="-8"/>
        </w:rPr>
        <w:t xml:space="preserve"> </w:t>
      </w:r>
      <w:r>
        <w:t>won</w:t>
      </w:r>
      <w:r>
        <w:rPr>
          <w:spacing w:val="-5"/>
        </w:rPr>
        <w:t xml:space="preserve"> </w:t>
      </w:r>
      <w:r>
        <w:t>the</w:t>
      </w:r>
      <w:r>
        <w:rPr>
          <w:spacing w:val="-3"/>
        </w:rPr>
        <w:t xml:space="preserve"> </w:t>
      </w:r>
      <w:r>
        <w:t>MSS</w:t>
      </w:r>
      <w:r>
        <w:rPr>
          <w:spacing w:val="-2"/>
        </w:rPr>
        <w:t xml:space="preserve"> </w:t>
      </w:r>
      <w:r>
        <w:t>Award</w:t>
      </w:r>
      <w:r>
        <w:rPr>
          <w:spacing w:val="-2"/>
        </w:rPr>
        <w:t xml:space="preserve"> </w:t>
      </w:r>
      <w:r>
        <w:t>in</w:t>
      </w:r>
      <w:r>
        <w:rPr>
          <w:spacing w:val="-4"/>
        </w:rPr>
        <w:t xml:space="preserve"> </w:t>
      </w:r>
      <w:r>
        <w:t>2025,</w:t>
      </w:r>
      <w:r>
        <w:rPr>
          <w:spacing w:val="-4"/>
        </w:rPr>
        <w:t xml:space="preserve"> </w:t>
      </w:r>
      <w:r>
        <w:t>one</w:t>
      </w:r>
      <w:r>
        <w:rPr>
          <w:spacing w:val="-3"/>
        </w:rPr>
        <w:t xml:space="preserve"> </w:t>
      </w:r>
      <w:r>
        <w:t>of</w:t>
      </w:r>
      <w:r>
        <w:rPr>
          <w:spacing w:val="-4"/>
        </w:rPr>
        <w:t xml:space="preserve"> </w:t>
      </w:r>
      <w:r>
        <w:t>which</w:t>
      </w:r>
      <w:r>
        <w:rPr>
          <w:spacing w:val="-4"/>
        </w:rPr>
        <w:t xml:space="preserve"> </w:t>
      </w:r>
      <w:r>
        <w:t>is</w:t>
      </w:r>
      <w:r>
        <w:rPr>
          <w:spacing w:val="-4"/>
        </w:rPr>
        <w:t xml:space="preserve"> </w:t>
      </w:r>
      <w:r>
        <w:t>because</w:t>
      </w:r>
      <w:r>
        <w:rPr>
          <w:spacing w:val="-2"/>
        </w:rPr>
        <w:t xml:space="preserve"> </w:t>
      </w:r>
      <w:r>
        <w:t>the</w:t>
      </w:r>
      <w:r>
        <w:rPr>
          <w:spacing w:val="-3"/>
        </w:rPr>
        <w:t xml:space="preserve"> </w:t>
      </w:r>
      <w:r>
        <w:t>MSS</w:t>
      </w:r>
      <w:r>
        <w:rPr>
          <w:spacing w:val="-4"/>
        </w:rPr>
        <w:t xml:space="preserve"> </w:t>
      </w:r>
      <w:r>
        <w:t>data</w:t>
      </w:r>
      <w:r>
        <w:rPr>
          <w:spacing w:val="-4"/>
        </w:rPr>
        <w:t xml:space="preserve"> </w:t>
      </w:r>
      <w:r>
        <w:t>completion</w:t>
      </w:r>
      <w:r>
        <w:rPr>
          <w:spacing w:val="-1"/>
        </w:rPr>
        <w:t xml:space="preserve"> </w:t>
      </w:r>
      <w:r>
        <w:t>rate</w:t>
      </w:r>
      <w:r>
        <w:rPr>
          <w:spacing w:val="-2"/>
        </w:rPr>
        <w:t xml:space="preserve"> </w:t>
      </w:r>
      <w:r>
        <w:t>in</w:t>
      </w:r>
      <w:r>
        <w:rPr>
          <w:spacing w:val="-4"/>
        </w:rPr>
        <w:t xml:space="preserve"> </w:t>
      </w:r>
      <w:r>
        <w:rPr>
          <w:spacing w:val="-5"/>
        </w:rPr>
        <w:t>the</w:t>
      </w:r>
    </w:p>
    <w:p w14:paraId="780BA374" w14:textId="77777777" w:rsidR="00BC24A8" w:rsidRDefault="00000000">
      <w:pPr>
        <w:pStyle w:val="BodyText"/>
        <w:spacing w:line="268" w:lineRule="exact"/>
        <w:ind w:left="863"/>
        <w:jc w:val="both"/>
      </w:pPr>
      <w:r>
        <w:t>e-SPM</w:t>
      </w:r>
      <w:r>
        <w:rPr>
          <w:spacing w:val="-9"/>
        </w:rPr>
        <w:t xml:space="preserve"> </w:t>
      </w:r>
      <w:r>
        <w:t>has</w:t>
      </w:r>
      <w:r>
        <w:rPr>
          <w:spacing w:val="-3"/>
        </w:rPr>
        <w:t xml:space="preserve"> </w:t>
      </w:r>
      <w:r>
        <w:t>increased</w:t>
      </w:r>
      <w:r>
        <w:rPr>
          <w:spacing w:val="-6"/>
        </w:rPr>
        <w:t xml:space="preserve"> </w:t>
      </w:r>
      <w:r>
        <w:t>significantly</w:t>
      </w:r>
      <w:r>
        <w:rPr>
          <w:spacing w:val="-3"/>
        </w:rPr>
        <w:t xml:space="preserve"> </w:t>
      </w:r>
      <w:r>
        <w:t>from</w:t>
      </w:r>
      <w:r>
        <w:rPr>
          <w:spacing w:val="-7"/>
        </w:rPr>
        <w:t xml:space="preserve"> </w:t>
      </w:r>
      <w:r>
        <w:t>81.3%</w:t>
      </w:r>
      <w:r>
        <w:rPr>
          <w:spacing w:val="-6"/>
        </w:rPr>
        <w:t xml:space="preserve"> </w:t>
      </w:r>
      <w:r>
        <w:t>(2023)</w:t>
      </w:r>
      <w:r>
        <w:rPr>
          <w:spacing w:val="-3"/>
        </w:rPr>
        <w:t xml:space="preserve"> </w:t>
      </w:r>
      <w:r>
        <w:t>to</w:t>
      </w:r>
      <w:r>
        <w:rPr>
          <w:spacing w:val="-4"/>
        </w:rPr>
        <w:t xml:space="preserve"> </w:t>
      </w:r>
      <w:r>
        <w:t>99.7%</w:t>
      </w:r>
      <w:r>
        <w:rPr>
          <w:spacing w:val="-6"/>
        </w:rPr>
        <w:t xml:space="preserve"> </w:t>
      </w:r>
      <w:r>
        <w:rPr>
          <w:spacing w:val="-2"/>
        </w:rPr>
        <w:t>(2024).</w:t>
      </w:r>
    </w:p>
    <w:p w14:paraId="718A9D29" w14:textId="77777777" w:rsidR="00BC24A8" w:rsidRDefault="00000000">
      <w:pPr>
        <w:pStyle w:val="ListParagraph"/>
        <w:numPr>
          <w:ilvl w:val="3"/>
          <w:numId w:val="79"/>
        </w:numPr>
        <w:tabs>
          <w:tab w:val="left" w:pos="863"/>
        </w:tabs>
        <w:ind w:right="561" w:hanging="360"/>
      </w:pPr>
      <w:r>
        <w:t>The Decree of the Governor of NTB Number 100-3-3.1-201 of 2025 on determination of supporting</w:t>
      </w:r>
      <w:r>
        <w:rPr>
          <w:spacing w:val="-12"/>
        </w:rPr>
        <w:t xml:space="preserve"> </w:t>
      </w:r>
      <w:r>
        <w:t>data</w:t>
      </w:r>
      <w:r>
        <w:rPr>
          <w:spacing w:val="-12"/>
        </w:rPr>
        <w:t xml:space="preserve"> </w:t>
      </w:r>
      <w:r>
        <w:t>for</w:t>
      </w:r>
      <w:r>
        <w:rPr>
          <w:spacing w:val="-11"/>
        </w:rPr>
        <w:t xml:space="preserve"> </w:t>
      </w:r>
      <w:r>
        <w:t>the</w:t>
      </w:r>
      <w:r>
        <w:rPr>
          <w:spacing w:val="-8"/>
        </w:rPr>
        <w:t xml:space="preserve"> </w:t>
      </w:r>
      <w:r>
        <w:t>implementation</w:t>
      </w:r>
      <w:r>
        <w:rPr>
          <w:spacing w:val="-11"/>
        </w:rPr>
        <w:t xml:space="preserve"> </w:t>
      </w:r>
      <w:r>
        <w:t>of</w:t>
      </w:r>
      <w:r>
        <w:rPr>
          <w:spacing w:val="-13"/>
        </w:rPr>
        <w:t xml:space="preserve"> </w:t>
      </w:r>
      <w:r>
        <w:t>MSS</w:t>
      </w:r>
      <w:r>
        <w:rPr>
          <w:spacing w:val="-7"/>
        </w:rPr>
        <w:t xml:space="preserve"> </w:t>
      </w:r>
      <w:r>
        <w:t>as</w:t>
      </w:r>
      <w:r>
        <w:rPr>
          <w:spacing w:val="-10"/>
        </w:rPr>
        <w:t xml:space="preserve"> </w:t>
      </w:r>
      <w:r>
        <w:t>part</w:t>
      </w:r>
      <w:r>
        <w:rPr>
          <w:spacing w:val="-12"/>
        </w:rPr>
        <w:t xml:space="preserve"> </w:t>
      </w:r>
      <w:r>
        <w:t>of</w:t>
      </w:r>
      <w:r>
        <w:rPr>
          <w:spacing w:val="-8"/>
        </w:rPr>
        <w:t xml:space="preserve"> </w:t>
      </w:r>
      <w:r>
        <w:t>the</w:t>
      </w:r>
      <w:r>
        <w:rPr>
          <w:spacing w:val="-10"/>
        </w:rPr>
        <w:t xml:space="preserve"> </w:t>
      </w:r>
      <w:r>
        <w:t>Basic</w:t>
      </w:r>
      <w:r>
        <w:rPr>
          <w:spacing w:val="-12"/>
        </w:rPr>
        <w:t xml:space="preserve"> </w:t>
      </w:r>
      <w:r>
        <w:t>Development</w:t>
      </w:r>
      <w:r>
        <w:rPr>
          <w:spacing w:val="-10"/>
        </w:rPr>
        <w:t xml:space="preserve"> </w:t>
      </w:r>
      <w:r>
        <w:t>Data</w:t>
      </w:r>
      <w:r>
        <w:rPr>
          <w:spacing w:val="-10"/>
        </w:rPr>
        <w:t xml:space="preserve"> </w:t>
      </w:r>
      <w:r>
        <w:t>has</w:t>
      </w:r>
      <w:r>
        <w:rPr>
          <w:spacing w:val="-10"/>
        </w:rPr>
        <w:t xml:space="preserve"> </w:t>
      </w:r>
      <w:r>
        <w:t>been issued. This Governor's Decree is used as the reference for the data management cycle, including the preparation of regional data lists by districts/cities.</w:t>
      </w:r>
    </w:p>
    <w:p w14:paraId="6DBC3031" w14:textId="77777777" w:rsidR="00BC24A8" w:rsidRDefault="00000000">
      <w:pPr>
        <w:pStyle w:val="ListParagraph"/>
        <w:numPr>
          <w:ilvl w:val="3"/>
          <w:numId w:val="79"/>
        </w:numPr>
        <w:tabs>
          <w:tab w:val="left" w:pos="861"/>
          <w:tab w:val="left" w:pos="863"/>
        </w:tabs>
        <w:spacing w:before="2"/>
        <w:ind w:right="563"/>
      </w:pPr>
      <w:r>
        <w:t>The MSS and SKALA Implementation Teams have evaluated the implementation of the 2023 NTB MSS Action Plan. Furthermore, the MSS Action Plan will be revised to ensure alignment with the RPJMD.</w:t>
      </w:r>
    </w:p>
    <w:p w14:paraId="6791C335" w14:textId="77777777" w:rsidR="00BC24A8" w:rsidRDefault="00000000">
      <w:pPr>
        <w:pStyle w:val="ListParagraph"/>
        <w:numPr>
          <w:ilvl w:val="3"/>
          <w:numId w:val="79"/>
        </w:numPr>
        <w:tabs>
          <w:tab w:val="left" w:pos="863"/>
        </w:tabs>
        <w:ind w:right="563" w:hanging="360"/>
      </w:pPr>
      <w:r>
        <w:t>The</w:t>
      </w:r>
      <w:r>
        <w:rPr>
          <w:spacing w:val="-1"/>
        </w:rPr>
        <w:t xml:space="preserve"> </w:t>
      </w:r>
      <w:r>
        <w:t>Decree</w:t>
      </w:r>
      <w:r>
        <w:rPr>
          <w:spacing w:val="-1"/>
        </w:rPr>
        <w:t xml:space="preserve"> </w:t>
      </w:r>
      <w:r>
        <w:t>of</w:t>
      </w:r>
      <w:r>
        <w:rPr>
          <w:spacing w:val="-1"/>
        </w:rPr>
        <w:t xml:space="preserve"> </w:t>
      </w:r>
      <w:r>
        <w:t>the</w:t>
      </w:r>
      <w:r>
        <w:rPr>
          <w:spacing w:val="-1"/>
        </w:rPr>
        <w:t xml:space="preserve"> </w:t>
      </w:r>
      <w:r>
        <w:t>Governor</w:t>
      </w:r>
      <w:r>
        <w:rPr>
          <w:spacing w:val="-1"/>
        </w:rPr>
        <w:t xml:space="preserve"> </w:t>
      </w:r>
      <w:r>
        <w:t>of</w:t>
      </w:r>
      <w:r>
        <w:rPr>
          <w:spacing w:val="-1"/>
        </w:rPr>
        <w:t xml:space="preserve"> </w:t>
      </w:r>
      <w:r>
        <w:t>NTB</w:t>
      </w:r>
      <w:r>
        <w:rPr>
          <w:spacing w:val="-2"/>
        </w:rPr>
        <w:t xml:space="preserve"> </w:t>
      </w:r>
      <w:r>
        <w:t>Number</w:t>
      </w:r>
      <w:r>
        <w:rPr>
          <w:spacing w:val="-1"/>
        </w:rPr>
        <w:t xml:space="preserve"> </w:t>
      </w:r>
      <w:r>
        <w:t>027-326</w:t>
      </w:r>
      <w:r>
        <w:rPr>
          <w:spacing w:val="-1"/>
        </w:rPr>
        <w:t xml:space="preserve"> </w:t>
      </w:r>
      <w:r>
        <w:t>of</w:t>
      </w:r>
      <w:r>
        <w:rPr>
          <w:spacing w:val="-1"/>
        </w:rPr>
        <w:t xml:space="preserve"> </w:t>
      </w:r>
      <w:r>
        <w:t>2024</w:t>
      </w:r>
      <w:r>
        <w:rPr>
          <w:spacing w:val="-1"/>
        </w:rPr>
        <w:t xml:space="preserve"> </w:t>
      </w:r>
      <w:r>
        <w:t>on</w:t>
      </w:r>
      <w:r>
        <w:rPr>
          <w:spacing w:val="-4"/>
        </w:rPr>
        <w:t xml:space="preserve"> </w:t>
      </w:r>
      <w:r>
        <w:t>Unit</w:t>
      </w:r>
      <w:r>
        <w:rPr>
          <w:spacing w:val="-2"/>
        </w:rPr>
        <w:t xml:space="preserve"> </w:t>
      </w:r>
      <w:r>
        <w:t>Price</w:t>
      </w:r>
      <w:r>
        <w:rPr>
          <w:spacing w:val="-1"/>
        </w:rPr>
        <w:t xml:space="preserve"> </w:t>
      </w:r>
      <w:r>
        <w:t>Standards</w:t>
      </w:r>
      <w:r>
        <w:rPr>
          <w:spacing w:val="-3"/>
        </w:rPr>
        <w:t xml:space="preserve"> </w:t>
      </w:r>
      <w:r>
        <w:t>(</w:t>
      </w:r>
      <w:r>
        <w:rPr>
          <w:i/>
        </w:rPr>
        <w:t xml:space="preserve">Standar Harga Satuan, </w:t>
      </w:r>
      <w:r>
        <w:t>SHS) for the 2025 Fiscal Year has been used as the reference for regional expenditures. This SHS regulates the budgeting of goods and services that support inclusive basic service provisions by provincial agencies.</w:t>
      </w:r>
    </w:p>
    <w:p w14:paraId="5DFAA863" w14:textId="77777777" w:rsidR="00BC24A8" w:rsidRDefault="00BC24A8">
      <w:pPr>
        <w:pStyle w:val="BodyText"/>
        <w:spacing w:before="59"/>
      </w:pPr>
    </w:p>
    <w:p w14:paraId="741AB986" w14:textId="77777777" w:rsidR="00BC24A8" w:rsidRDefault="00000000">
      <w:pPr>
        <w:pStyle w:val="Heading5"/>
      </w:pPr>
      <w:r>
        <w:t>SKALA</w:t>
      </w:r>
      <w:r>
        <w:rPr>
          <w:spacing w:val="-6"/>
        </w:rPr>
        <w:t xml:space="preserve"> </w:t>
      </w:r>
      <w:r>
        <w:t>strengthens</w:t>
      </w:r>
      <w:r>
        <w:rPr>
          <w:spacing w:val="-9"/>
        </w:rPr>
        <w:t xml:space="preserve"> </w:t>
      </w:r>
      <w:r>
        <w:t>the</w:t>
      </w:r>
      <w:r>
        <w:rPr>
          <w:spacing w:val="-7"/>
        </w:rPr>
        <w:t xml:space="preserve"> </w:t>
      </w:r>
      <w:r>
        <w:t>implementation</w:t>
      </w:r>
      <w:r>
        <w:rPr>
          <w:spacing w:val="-8"/>
        </w:rPr>
        <w:t xml:space="preserve"> </w:t>
      </w:r>
      <w:r>
        <w:t>of</w:t>
      </w:r>
      <w:r>
        <w:rPr>
          <w:spacing w:val="-6"/>
        </w:rPr>
        <w:t xml:space="preserve"> </w:t>
      </w:r>
      <w:r>
        <w:t>MSS</w:t>
      </w:r>
      <w:r>
        <w:rPr>
          <w:spacing w:val="-8"/>
        </w:rPr>
        <w:t xml:space="preserve"> </w:t>
      </w:r>
      <w:r>
        <w:t>to</w:t>
      </w:r>
      <w:r>
        <w:rPr>
          <w:spacing w:val="-7"/>
        </w:rPr>
        <w:t xml:space="preserve"> </w:t>
      </w:r>
      <w:r>
        <w:t>the</w:t>
      </w:r>
      <w:r>
        <w:rPr>
          <w:spacing w:val="-8"/>
        </w:rPr>
        <w:t xml:space="preserve"> </w:t>
      </w:r>
      <w:r>
        <w:t>community</w:t>
      </w:r>
      <w:r>
        <w:rPr>
          <w:spacing w:val="-6"/>
        </w:rPr>
        <w:t xml:space="preserve"> </w:t>
      </w:r>
      <w:r>
        <w:t>level</w:t>
      </w:r>
      <w:r>
        <w:rPr>
          <w:spacing w:val="-5"/>
        </w:rPr>
        <w:t xml:space="preserve"> </w:t>
      </w:r>
      <w:r>
        <w:t>through</w:t>
      </w:r>
      <w:r>
        <w:rPr>
          <w:spacing w:val="-8"/>
        </w:rPr>
        <w:t xml:space="preserve"> </w:t>
      </w:r>
      <w:r>
        <w:rPr>
          <w:spacing w:val="-2"/>
        </w:rPr>
        <w:t>Posyandu:</w:t>
      </w:r>
    </w:p>
    <w:p w14:paraId="404C4889" w14:textId="77777777" w:rsidR="00BC24A8" w:rsidRDefault="00000000">
      <w:pPr>
        <w:pStyle w:val="BodyText"/>
        <w:spacing w:before="159" w:line="278" w:lineRule="auto"/>
        <w:ind w:left="143" w:right="561"/>
        <w:jc w:val="both"/>
      </w:pPr>
      <w:r>
        <w:t xml:space="preserve">SKALA supported the development of monitoring and evaluation (M&amp;E) instruments for the </w:t>
      </w:r>
      <w:r>
        <w:rPr>
          <w:spacing w:val="-2"/>
        </w:rPr>
        <w:t>implementation</w:t>
      </w:r>
      <w:r>
        <w:rPr>
          <w:spacing w:val="-4"/>
        </w:rPr>
        <w:t xml:space="preserve"> </w:t>
      </w:r>
      <w:r>
        <w:rPr>
          <w:spacing w:val="-2"/>
        </w:rPr>
        <w:t>of</w:t>
      </w:r>
      <w:r>
        <w:rPr>
          <w:spacing w:val="-6"/>
        </w:rPr>
        <w:t xml:space="preserve"> </w:t>
      </w:r>
      <w:r>
        <w:rPr>
          <w:spacing w:val="-2"/>
        </w:rPr>
        <w:t>MSS by</w:t>
      </w:r>
      <w:r>
        <w:rPr>
          <w:spacing w:val="-4"/>
        </w:rPr>
        <w:t xml:space="preserve"> </w:t>
      </w:r>
      <w:r>
        <w:rPr>
          <w:spacing w:val="-2"/>
        </w:rPr>
        <w:t>provincial</w:t>
      </w:r>
      <w:r>
        <w:rPr>
          <w:spacing w:val="-3"/>
        </w:rPr>
        <w:t xml:space="preserve"> </w:t>
      </w:r>
      <w:r>
        <w:rPr>
          <w:spacing w:val="-2"/>
        </w:rPr>
        <w:t>governments to</w:t>
      </w:r>
      <w:r>
        <w:rPr>
          <w:spacing w:val="-5"/>
        </w:rPr>
        <w:t xml:space="preserve"> </w:t>
      </w:r>
      <w:r>
        <w:rPr>
          <w:spacing w:val="-2"/>
        </w:rPr>
        <w:t>districts/cities during</w:t>
      </w:r>
      <w:r>
        <w:rPr>
          <w:spacing w:val="-5"/>
        </w:rPr>
        <w:t xml:space="preserve"> </w:t>
      </w:r>
      <w:r>
        <w:rPr>
          <w:spacing w:val="-2"/>
        </w:rPr>
        <w:t>the</w:t>
      </w:r>
      <w:r>
        <w:rPr>
          <w:spacing w:val="-4"/>
        </w:rPr>
        <w:t xml:space="preserve"> </w:t>
      </w:r>
      <w:r>
        <w:rPr>
          <w:spacing w:val="-2"/>
        </w:rPr>
        <w:t>previous</w:t>
      </w:r>
      <w:r>
        <w:rPr>
          <w:spacing w:val="-4"/>
        </w:rPr>
        <w:t xml:space="preserve"> </w:t>
      </w:r>
      <w:r>
        <w:rPr>
          <w:spacing w:val="-2"/>
        </w:rPr>
        <w:t xml:space="preserve">semester. These </w:t>
      </w:r>
      <w:r>
        <w:t>instruments</w:t>
      </w:r>
      <w:r>
        <w:rPr>
          <w:spacing w:val="-3"/>
        </w:rPr>
        <w:t xml:space="preserve"> </w:t>
      </w:r>
      <w:r>
        <w:t>primarily aimed</w:t>
      </w:r>
      <w:r>
        <w:rPr>
          <w:spacing w:val="-1"/>
        </w:rPr>
        <w:t xml:space="preserve"> </w:t>
      </w:r>
      <w:r>
        <w:t>to</w:t>
      </w:r>
      <w:r>
        <w:rPr>
          <w:spacing w:val="-1"/>
        </w:rPr>
        <w:t xml:space="preserve"> </w:t>
      </w:r>
      <w:r>
        <w:t>encourage</w:t>
      </w:r>
      <w:r>
        <w:rPr>
          <w:spacing w:val="-3"/>
        </w:rPr>
        <w:t xml:space="preserve"> </w:t>
      </w:r>
      <w:r>
        <w:t>the</w:t>
      </w:r>
      <w:r>
        <w:rPr>
          <w:spacing w:val="-3"/>
        </w:rPr>
        <w:t xml:space="preserve"> </w:t>
      </w:r>
      <w:r>
        <w:t>formulation</w:t>
      </w:r>
      <w:r>
        <w:rPr>
          <w:spacing w:val="-1"/>
        </w:rPr>
        <w:t xml:space="preserve"> </w:t>
      </w:r>
      <w:r>
        <w:t>of</w:t>
      </w:r>
      <w:r>
        <w:rPr>
          <w:spacing w:val="-3"/>
        </w:rPr>
        <w:t xml:space="preserve"> </w:t>
      </w:r>
      <w:r>
        <w:t>MSS</w:t>
      </w:r>
      <w:r>
        <w:rPr>
          <w:spacing w:val="-1"/>
        </w:rPr>
        <w:t xml:space="preserve"> </w:t>
      </w:r>
      <w:r>
        <w:t>Action</w:t>
      </w:r>
      <w:r>
        <w:rPr>
          <w:spacing w:val="-3"/>
        </w:rPr>
        <w:t xml:space="preserve"> </w:t>
      </w:r>
      <w:r>
        <w:t>Plans. Following</w:t>
      </w:r>
      <w:r>
        <w:rPr>
          <w:spacing w:val="-2"/>
        </w:rPr>
        <w:t xml:space="preserve"> </w:t>
      </w:r>
      <w:r>
        <w:t>the</w:t>
      </w:r>
      <w:r>
        <w:rPr>
          <w:spacing w:val="-3"/>
        </w:rPr>
        <w:t xml:space="preserve"> </w:t>
      </w:r>
      <w:r>
        <w:t>issuance of</w:t>
      </w:r>
      <w:r>
        <w:rPr>
          <w:spacing w:val="-7"/>
        </w:rPr>
        <w:t xml:space="preserve"> </w:t>
      </w:r>
      <w:r>
        <w:t>Minister</w:t>
      </w:r>
      <w:r>
        <w:rPr>
          <w:spacing w:val="-5"/>
        </w:rPr>
        <w:t xml:space="preserve"> </w:t>
      </w:r>
      <w:r>
        <w:t>of</w:t>
      </w:r>
      <w:r>
        <w:rPr>
          <w:spacing w:val="-7"/>
        </w:rPr>
        <w:t xml:space="preserve"> </w:t>
      </w:r>
      <w:r>
        <w:t>Home</w:t>
      </w:r>
      <w:r>
        <w:rPr>
          <w:spacing w:val="-9"/>
        </w:rPr>
        <w:t xml:space="preserve"> </w:t>
      </w:r>
      <w:r>
        <w:t>Affairs</w:t>
      </w:r>
      <w:r>
        <w:rPr>
          <w:spacing w:val="-10"/>
        </w:rPr>
        <w:t xml:space="preserve"> </w:t>
      </w:r>
      <w:r>
        <w:t>(MoHA)</w:t>
      </w:r>
      <w:r>
        <w:rPr>
          <w:spacing w:val="-7"/>
        </w:rPr>
        <w:t xml:space="preserve"> </w:t>
      </w:r>
      <w:r>
        <w:t>Regulation</w:t>
      </w:r>
      <w:r>
        <w:rPr>
          <w:spacing w:val="-8"/>
        </w:rPr>
        <w:t xml:space="preserve"> </w:t>
      </w:r>
      <w:r>
        <w:t>No.</w:t>
      </w:r>
      <w:r>
        <w:rPr>
          <w:spacing w:val="-7"/>
        </w:rPr>
        <w:t xml:space="preserve"> </w:t>
      </w:r>
      <w:r>
        <w:t>13/2024</w:t>
      </w:r>
      <w:r>
        <w:rPr>
          <w:spacing w:val="-7"/>
        </w:rPr>
        <w:t xml:space="preserve"> </w:t>
      </w:r>
      <w:r>
        <w:t>on</w:t>
      </w:r>
      <w:r>
        <w:rPr>
          <w:spacing w:val="-8"/>
        </w:rPr>
        <w:t xml:space="preserve"> </w:t>
      </w:r>
      <w:r>
        <w:rPr>
          <w:i/>
        </w:rPr>
        <w:t>Posyandu</w:t>
      </w:r>
      <w:r>
        <w:rPr>
          <w:i/>
          <w:spacing w:val="-7"/>
        </w:rPr>
        <w:t xml:space="preserve"> </w:t>
      </w:r>
      <w:r>
        <w:t>(Integrated</w:t>
      </w:r>
      <w:r>
        <w:rPr>
          <w:spacing w:val="-5"/>
        </w:rPr>
        <w:t xml:space="preserve"> </w:t>
      </w:r>
      <w:r>
        <w:t>Service</w:t>
      </w:r>
      <w:r>
        <w:rPr>
          <w:spacing w:val="-7"/>
        </w:rPr>
        <w:t xml:space="preserve"> </w:t>
      </w:r>
      <w:r>
        <w:t>Post),</w:t>
      </w:r>
      <w:r>
        <w:rPr>
          <w:spacing w:val="-5"/>
        </w:rPr>
        <w:t xml:space="preserve"> </w:t>
      </w:r>
      <w:r>
        <w:t>and the</w:t>
      </w:r>
      <w:r>
        <w:rPr>
          <w:spacing w:val="-13"/>
        </w:rPr>
        <w:t xml:space="preserve"> </w:t>
      </w:r>
      <w:r>
        <w:t>designation</w:t>
      </w:r>
      <w:r>
        <w:rPr>
          <w:spacing w:val="-12"/>
        </w:rPr>
        <w:t xml:space="preserve"> </w:t>
      </w:r>
      <w:r>
        <w:t>of</w:t>
      </w:r>
      <w:r>
        <w:rPr>
          <w:spacing w:val="-13"/>
        </w:rPr>
        <w:t xml:space="preserve"> </w:t>
      </w:r>
      <w:r>
        <w:rPr>
          <w:i/>
        </w:rPr>
        <w:t>Posyandu</w:t>
      </w:r>
      <w:r>
        <w:rPr>
          <w:i/>
          <w:spacing w:val="-12"/>
        </w:rPr>
        <w:t xml:space="preserve"> </w:t>
      </w:r>
      <w:r>
        <w:t>as</w:t>
      </w:r>
      <w:r>
        <w:rPr>
          <w:spacing w:val="-13"/>
        </w:rPr>
        <w:t xml:space="preserve"> </w:t>
      </w:r>
      <w:r>
        <w:t>a</w:t>
      </w:r>
      <w:r>
        <w:rPr>
          <w:spacing w:val="-12"/>
        </w:rPr>
        <w:t xml:space="preserve"> </w:t>
      </w:r>
      <w:r>
        <w:t>flagship</w:t>
      </w:r>
      <w:r>
        <w:rPr>
          <w:spacing w:val="-13"/>
        </w:rPr>
        <w:t xml:space="preserve"> </w:t>
      </w:r>
      <w:r>
        <w:t>program</w:t>
      </w:r>
      <w:r>
        <w:rPr>
          <w:spacing w:val="-12"/>
        </w:rPr>
        <w:t xml:space="preserve"> </w:t>
      </w:r>
      <w:r>
        <w:t>by</w:t>
      </w:r>
      <w:r>
        <w:rPr>
          <w:spacing w:val="-12"/>
        </w:rPr>
        <w:t xml:space="preserve"> </w:t>
      </w:r>
      <w:r>
        <w:t>the</w:t>
      </w:r>
      <w:r>
        <w:rPr>
          <w:spacing w:val="-13"/>
        </w:rPr>
        <w:t xml:space="preserve"> </w:t>
      </w:r>
      <w:r>
        <w:t>Governor,</w:t>
      </w:r>
      <w:r>
        <w:rPr>
          <w:spacing w:val="-12"/>
        </w:rPr>
        <w:t xml:space="preserve"> </w:t>
      </w:r>
      <w:r>
        <w:t>SKALA</w:t>
      </w:r>
      <w:r>
        <w:rPr>
          <w:spacing w:val="-13"/>
        </w:rPr>
        <w:t xml:space="preserve"> </w:t>
      </w:r>
      <w:r>
        <w:t>is</w:t>
      </w:r>
      <w:r>
        <w:rPr>
          <w:spacing w:val="-12"/>
        </w:rPr>
        <w:t xml:space="preserve"> </w:t>
      </w:r>
      <w:r>
        <w:t>now</w:t>
      </w:r>
      <w:r>
        <w:rPr>
          <w:spacing w:val="-13"/>
        </w:rPr>
        <w:t xml:space="preserve"> </w:t>
      </w:r>
      <w:r>
        <w:t>assisting</w:t>
      </w:r>
      <w:r>
        <w:rPr>
          <w:spacing w:val="-12"/>
        </w:rPr>
        <w:t xml:space="preserve"> </w:t>
      </w:r>
      <w:r>
        <w:t>the</w:t>
      </w:r>
      <w:r>
        <w:rPr>
          <w:spacing w:val="-12"/>
        </w:rPr>
        <w:t xml:space="preserve"> </w:t>
      </w:r>
      <w:r>
        <w:t>provincial government in revising the substance of the M&amp;E instruments to incorporate MSS implementation at the village level. The progress achieved includes:</w:t>
      </w:r>
    </w:p>
    <w:p w14:paraId="4987772D" w14:textId="77777777" w:rsidR="00BC24A8" w:rsidRDefault="00000000">
      <w:pPr>
        <w:pStyle w:val="ListParagraph"/>
        <w:numPr>
          <w:ilvl w:val="3"/>
          <w:numId w:val="79"/>
        </w:numPr>
        <w:tabs>
          <w:tab w:val="left" w:pos="863"/>
        </w:tabs>
        <w:spacing w:before="157"/>
        <w:ind w:right="566" w:hanging="360"/>
        <w:jc w:val="left"/>
      </w:pPr>
      <w:r>
        <w:t>The</w:t>
      </w:r>
      <w:r>
        <w:rPr>
          <w:spacing w:val="36"/>
        </w:rPr>
        <w:t xml:space="preserve"> </w:t>
      </w:r>
      <w:r>
        <w:t>Draft</w:t>
      </w:r>
      <w:r>
        <w:rPr>
          <w:spacing w:val="34"/>
        </w:rPr>
        <w:t xml:space="preserve"> </w:t>
      </w:r>
      <w:r>
        <w:t>Governor's</w:t>
      </w:r>
      <w:r>
        <w:rPr>
          <w:spacing w:val="38"/>
        </w:rPr>
        <w:t xml:space="preserve"> </w:t>
      </w:r>
      <w:r>
        <w:t>Regulation</w:t>
      </w:r>
      <w:r>
        <w:rPr>
          <w:spacing w:val="38"/>
        </w:rPr>
        <w:t xml:space="preserve"> </w:t>
      </w:r>
      <w:r>
        <w:t>on</w:t>
      </w:r>
      <w:r>
        <w:rPr>
          <w:spacing w:val="33"/>
        </w:rPr>
        <w:t xml:space="preserve"> </w:t>
      </w:r>
      <w:r>
        <w:t>Guidelines</w:t>
      </w:r>
      <w:r>
        <w:rPr>
          <w:spacing w:val="36"/>
        </w:rPr>
        <w:t xml:space="preserve"> </w:t>
      </w:r>
      <w:r>
        <w:t>for</w:t>
      </w:r>
      <w:r>
        <w:rPr>
          <w:spacing w:val="33"/>
        </w:rPr>
        <w:t xml:space="preserve"> </w:t>
      </w:r>
      <w:r>
        <w:t>Empowered</w:t>
      </w:r>
      <w:r>
        <w:rPr>
          <w:spacing w:val="35"/>
        </w:rPr>
        <w:t xml:space="preserve"> </w:t>
      </w:r>
      <w:r>
        <w:t>Family</w:t>
      </w:r>
      <w:r>
        <w:rPr>
          <w:spacing w:val="36"/>
        </w:rPr>
        <w:t xml:space="preserve"> </w:t>
      </w:r>
      <w:r>
        <w:rPr>
          <w:i/>
        </w:rPr>
        <w:t>Posyandu</w:t>
      </w:r>
      <w:r>
        <w:rPr>
          <w:i/>
          <w:spacing w:val="36"/>
        </w:rPr>
        <w:t xml:space="preserve"> </w:t>
      </w:r>
      <w:r>
        <w:t>(</w:t>
      </w:r>
      <w:r>
        <w:rPr>
          <w:i/>
        </w:rPr>
        <w:t>Keluarga Berdaya Posyandu</w:t>
      </w:r>
      <w:r>
        <w:t>/</w:t>
      </w:r>
      <w:r>
        <w:rPr>
          <w:i/>
        </w:rPr>
        <w:t xml:space="preserve">Posyandu </w:t>
      </w:r>
      <w:r>
        <w:t>MSS) has been</w:t>
      </w:r>
      <w:r>
        <w:rPr>
          <w:spacing w:val="-1"/>
        </w:rPr>
        <w:t xml:space="preserve"> </w:t>
      </w:r>
      <w:r>
        <w:t>prepared,</w:t>
      </w:r>
      <w:r>
        <w:rPr>
          <w:spacing w:val="-2"/>
        </w:rPr>
        <w:t xml:space="preserve"> </w:t>
      </w:r>
      <w:r>
        <w:t>covering</w:t>
      </w:r>
      <w:r>
        <w:rPr>
          <w:spacing w:val="-2"/>
        </w:rPr>
        <w:t xml:space="preserve"> </w:t>
      </w:r>
      <w:r>
        <w:t>six MSS services in</w:t>
      </w:r>
      <w:r>
        <w:rPr>
          <w:spacing w:val="-1"/>
        </w:rPr>
        <w:t xml:space="preserve"> </w:t>
      </w:r>
      <w:r>
        <w:t>the village.</w:t>
      </w:r>
    </w:p>
    <w:p w14:paraId="6CF3D728" w14:textId="77777777" w:rsidR="00BC24A8" w:rsidRDefault="00000000">
      <w:pPr>
        <w:pStyle w:val="ListParagraph"/>
        <w:numPr>
          <w:ilvl w:val="3"/>
          <w:numId w:val="79"/>
        </w:numPr>
        <w:tabs>
          <w:tab w:val="left" w:pos="863"/>
        </w:tabs>
        <w:ind w:hanging="360"/>
        <w:jc w:val="left"/>
      </w:pPr>
      <w:r>
        <w:t>The</w:t>
      </w:r>
      <w:r>
        <w:rPr>
          <w:spacing w:val="-4"/>
        </w:rPr>
        <w:t xml:space="preserve"> </w:t>
      </w:r>
      <w:r>
        <w:rPr>
          <w:i/>
        </w:rPr>
        <w:t>Posyandu</w:t>
      </w:r>
      <w:r>
        <w:rPr>
          <w:i/>
          <w:spacing w:val="-3"/>
        </w:rPr>
        <w:t xml:space="preserve"> </w:t>
      </w:r>
      <w:r>
        <w:t>MSS</w:t>
      </w:r>
      <w:r>
        <w:rPr>
          <w:spacing w:val="-2"/>
        </w:rPr>
        <w:t xml:space="preserve"> </w:t>
      </w:r>
      <w:r>
        <w:t>is</w:t>
      </w:r>
      <w:r>
        <w:rPr>
          <w:spacing w:val="-3"/>
        </w:rPr>
        <w:t xml:space="preserve"> </w:t>
      </w:r>
      <w:r>
        <w:t>a</w:t>
      </w:r>
      <w:r>
        <w:rPr>
          <w:spacing w:val="-4"/>
        </w:rPr>
        <w:t xml:space="preserve"> </w:t>
      </w:r>
      <w:r>
        <w:t>part</w:t>
      </w:r>
      <w:r>
        <w:rPr>
          <w:spacing w:val="-5"/>
        </w:rPr>
        <w:t xml:space="preserve"> </w:t>
      </w:r>
      <w:r>
        <w:t>of</w:t>
      </w:r>
      <w:r>
        <w:rPr>
          <w:spacing w:val="-1"/>
        </w:rPr>
        <w:t xml:space="preserve"> </w:t>
      </w:r>
      <w:r>
        <w:t>the</w:t>
      </w:r>
      <w:r>
        <w:rPr>
          <w:spacing w:val="-4"/>
        </w:rPr>
        <w:t xml:space="preserve"> </w:t>
      </w:r>
      <w:r>
        <w:t>NTB</w:t>
      </w:r>
      <w:r>
        <w:rPr>
          <w:spacing w:val="-2"/>
        </w:rPr>
        <w:t xml:space="preserve"> </w:t>
      </w:r>
      <w:r>
        <w:t>Smart</w:t>
      </w:r>
      <w:r>
        <w:rPr>
          <w:spacing w:val="-5"/>
        </w:rPr>
        <w:t xml:space="preserve"> </w:t>
      </w:r>
      <w:r>
        <w:t>Health</w:t>
      </w:r>
      <w:r>
        <w:rPr>
          <w:spacing w:val="-2"/>
        </w:rPr>
        <w:t xml:space="preserve"> </w:t>
      </w:r>
      <w:r>
        <w:t>Flagship</w:t>
      </w:r>
      <w:r>
        <w:rPr>
          <w:spacing w:val="-4"/>
        </w:rPr>
        <w:t xml:space="preserve"> </w:t>
      </w:r>
      <w:r>
        <w:t>Program</w:t>
      </w:r>
      <w:r>
        <w:rPr>
          <w:spacing w:val="-2"/>
        </w:rPr>
        <w:t xml:space="preserve"> </w:t>
      </w:r>
      <w:r>
        <w:t>in</w:t>
      </w:r>
      <w:r>
        <w:rPr>
          <w:spacing w:val="-4"/>
        </w:rPr>
        <w:t xml:space="preserve"> </w:t>
      </w:r>
      <w:r>
        <w:t>the</w:t>
      </w:r>
      <w:r>
        <w:rPr>
          <w:spacing w:val="-1"/>
        </w:rPr>
        <w:t xml:space="preserve"> </w:t>
      </w:r>
      <w:r>
        <w:rPr>
          <w:spacing w:val="-2"/>
        </w:rPr>
        <w:t>RPJMD.</w:t>
      </w:r>
    </w:p>
    <w:p w14:paraId="61920341" w14:textId="77777777" w:rsidR="00BC24A8" w:rsidRDefault="00000000">
      <w:pPr>
        <w:pStyle w:val="ListParagraph"/>
        <w:numPr>
          <w:ilvl w:val="3"/>
          <w:numId w:val="79"/>
        </w:numPr>
        <w:tabs>
          <w:tab w:val="left" w:pos="863"/>
        </w:tabs>
        <w:spacing w:before="1"/>
        <w:ind w:hanging="360"/>
        <w:jc w:val="left"/>
      </w:pPr>
      <w:r>
        <w:t>SKALA</w:t>
      </w:r>
      <w:r>
        <w:rPr>
          <w:spacing w:val="-7"/>
        </w:rPr>
        <w:t xml:space="preserve"> </w:t>
      </w:r>
      <w:r>
        <w:t>provides</w:t>
      </w:r>
      <w:r>
        <w:rPr>
          <w:spacing w:val="-5"/>
        </w:rPr>
        <w:t xml:space="preserve"> </w:t>
      </w:r>
      <w:r>
        <w:t>technical</w:t>
      </w:r>
      <w:r>
        <w:rPr>
          <w:spacing w:val="-9"/>
        </w:rPr>
        <w:t xml:space="preserve"> </w:t>
      </w:r>
      <w:r>
        <w:t>recommendations</w:t>
      </w:r>
      <w:r>
        <w:rPr>
          <w:spacing w:val="-7"/>
        </w:rPr>
        <w:t xml:space="preserve"> </w:t>
      </w:r>
      <w:r>
        <w:rPr>
          <w:spacing w:val="-2"/>
        </w:rPr>
        <w:t>regarding:</w:t>
      </w:r>
    </w:p>
    <w:p w14:paraId="3993B9D8" w14:textId="77777777" w:rsidR="00BC24A8" w:rsidRDefault="00000000">
      <w:pPr>
        <w:pStyle w:val="ListParagraph"/>
        <w:numPr>
          <w:ilvl w:val="4"/>
          <w:numId w:val="79"/>
        </w:numPr>
        <w:tabs>
          <w:tab w:val="left" w:pos="1222"/>
        </w:tabs>
        <w:spacing w:before="120"/>
        <w:ind w:left="1222" w:hanging="359"/>
        <w:jc w:val="left"/>
      </w:pPr>
      <w:r>
        <w:t>Design,</w:t>
      </w:r>
      <w:r>
        <w:rPr>
          <w:spacing w:val="-10"/>
        </w:rPr>
        <w:t xml:space="preserve"> </w:t>
      </w:r>
      <w:r>
        <w:t>components,</w:t>
      </w:r>
      <w:r>
        <w:rPr>
          <w:spacing w:val="-6"/>
        </w:rPr>
        <w:t xml:space="preserve"> </w:t>
      </w:r>
      <w:r>
        <w:t>and</w:t>
      </w:r>
      <w:r>
        <w:rPr>
          <w:spacing w:val="-7"/>
        </w:rPr>
        <w:t xml:space="preserve"> </w:t>
      </w:r>
      <w:r>
        <w:t>indicators</w:t>
      </w:r>
      <w:r>
        <w:rPr>
          <w:spacing w:val="-6"/>
        </w:rPr>
        <w:t xml:space="preserve"> </w:t>
      </w:r>
      <w:r>
        <w:t>of</w:t>
      </w:r>
      <w:r>
        <w:rPr>
          <w:spacing w:val="-8"/>
        </w:rPr>
        <w:t xml:space="preserve"> </w:t>
      </w:r>
      <w:r>
        <w:t>Posyandu</w:t>
      </w:r>
      <w:r>
        <w:rPr>
          <w:spacing w:val="-8"/>
        </w:rPr>
        <w:t xml:space="preserve"> </w:t>
      </w:r>
      <w:r>
        <w:t>MSS</w:t>
      </w:r>
      <w:r>
        <w:rPr>
          <w:spacing w:val="-6"/>
        </w:rPr>
        <w:t xml:space="preserve"> </w:t>
      </w:r>
      <w:r>
        <w:t>in</w:t>
      </w:r>
      <w:r>
        <w:rPr>
          <w:spacing w:val="-7"/>
        </w:rPr>
        <w:t xml:space="preserve"> </w:t>
      </w:r>
      <w:r>
        <w:t>the</w:t>
      </w:r>
      <w:r>
        <w:rPr>
          <w:spacing w:val="-7"/>
        </w:rPr>
        <w:t xml:space="preserve"> </w:t>
      </w:r>
      <w:r>
        <w:rPr>
          <w:spacing w:val="-2"/>
        </w:rPr>
        <w:t>RPJMD.</w:t>
      </w:r>
    </w:p>
    <w:p w14:paraId="734D5627" w14:textId="77777777" w:rsidR="00BC24A8" w:rsidRDefault="00000000">
      <w:pPr>
        <w:pStyle w:val="ListParagraph"/>
        <w:numPr>
          <w:ilvl w:val="4"/>
          <w:numId w:val="79"/>
        </w:numPr>
        <w:tabs>
          <w:tab w:val="left" w:pos="1221"/>
          <w:tab w:val="left" w:pos="1223"/>
        </w:tabs>
        <w:spacing w:before="13" w:line="252" w:lineRule="auto"/>
        <w:ind w:right="562"/>
        <w:jc w:val="left"/>
      </w:pPr>
      <w:r>
        <w:t>District/city/village MSS monitoring instruments which include data collection process of vulnerable groups that are targeted at the village Posyandu.</w:t>
      </w:r>
    </w:p>
    <w:p w14:paraId="78EF0954" w14:textId="77777777" w:rsidR="00BC24A8" w:rsidRDefault="00000000">
      <w:pPr>
        <w:pStyle w:val="ListParagraph"/>
        <w:numPr>
          <w:ilvl w:val="4"/>
          <w:numId w:val="79"/>
        </w:numPr>
        <w:tabs>
          <w:tab w:val="left" w:pos="1221"/>
          <w:tab w:val="left" w:pos="1223"/>
        </w:tabs>
        <w:spacing w:before="9" w:line="252" w:lineRule="auto"/>
        <w:ind w:right="561"/>
        <w:jc w:val="left"/>
      </w:pPr>
      <w:r>
        <w:t>District/city</w:t>
      </w:r>
      <w:r>
        <w:rPr>
          <w:spacing w:val="-3"/>
        </w:rPr>
        <w:t xml:space="preserve"> </w:t>
      </w:r>
      <w:r>
        <w:t>government</w:t>
      </w:r>
      <w:r>
        <w:rPr>
          <w:spacing w:val="-5"/>
        </w:rPr>
        <w:t xml:space="preserve"> </w:t>
      </w:r>
      <w:r>
        <w:t>processes</w:t>
      </w:r>
      <w:r>
        <w:rPr>
          <w:spacing w:val="-3"/>
        </w:rPr>
        <w:t xml:space="preserve"> </w:t>
      </w:r>
      <w:r>
        <w:t>in</w:t>
      </w:r>
      <w:r>
        <w:rPr>
          <w:spacing w:val="-4"/>
        </w:rPr>
        <w:t xml:space="preserve"> </w:t>
      </w:r>
      <w:r>
        <w:t>providing</w:t>
      </w:r>
      <w:r>
        <w:rPr>
          <w:spacing w:val="-5"/>
        </w:rPr>
        <w:t xml:space="preserve"> </w:t>
      </w:r>
      <w:r>
        <w:t>assistance,</w:t>
      </w:r>
      <w:r>
        <w:rPr>
          <w:spacing w:val="-3"/>
        </w:rPr>
        <w:t xml:space="preserve"> </w:t>
      </w:r>
      <w:r>
        <w:t>supervising</w:t>
      </w:r>
      <w:r>
        <w:rPr>
          <w:spacing w:val="-7"/>
        </w:rPr>
        <w:t xml:space="preserve"> </w:t>
      </w:r>
      <w:r>
        <w:t>data</w:t>
      </w:r>
      <w:r>
        <w:rPr>
          <w:spacing w:val="-5"/>
        </w:rPr>
        <w:t xml:space="preserve"> </w:t>
      </w:r>
      <w:r>
        <w:t>collection,</w:t>
      </w:r>
      <w:r>
        <w:rPr>
          <w:spacing w:val="-6"/>
        </w:rPr>
        <w:t xml:space="preserve"> </w:t>
      </w:r>
      <w:r>
        <w:t>and utilising data from villages.</w:t>
      </w:r>
    </w:p>
    <w:p w14:paraId="0545E2C4" w14:textId="77777777" w:rsidR="00BC24A8" w:rsidRDefault="00BC24A8">
      <w:pPr>
        <w:pStyle w:val="BodyText"/>
        <w:spacing w:before="29"/>
      </w:pPr>
    </w:p>
    <w:p w14:paraId="6519276F" w14:textId="77777777" w:rsidR="00BC24A8" w:rsidRDefault="00000000">
      <w:pPr>
        <w:pStyle w:val="Heading5"/>
        <w:spacing w:before="1" w:line="384" w:lineRule="auto"/>
        <w:ind w:right="4427"/>
      </w:pPr>
      <w:r>
        <w:rPr>
          <w:color w:val="17365A"/>
        </w:rPr>
        <w:t>GEDSI</w:t>
      </w:r>
      <w:r>
        <w:rPr>
          <w:color w:val="17365A"/>
          <w:spacing w:val="-6"/>
        </w:rPr>
        <w:t xml:space="preserve"> </w:t>
      </w:r>
      <w:r>
        <w:rPr>
          <w:color w:val="17365A"/>
        </w:rPr>
        <w:t>–</w:t>
      </w:r>
      <w:r>
        <w:rPr>
          <w:color w:val="17365A"/>
          <w:spacing w:val="-4"/>
        </w:rPr>
        <w:t xml:space="preserve"> </w:t>
      </w:r>
      <w:r>
        <w:rPr>
          <w:color w:val="17365A"/>
        </w:rPr>
        <w:t>Participation</w:t>
      </w:r>
      <w:r>
        <w:rPr>
          <w:color w:val="17365A"/>
          <w:spacing w:val="-6"/>
        </w:rPr>
        <w:t xml:space="preserve"> </w:t>
      </w:r>
      <w:r>
        <w:rPr>
          <w:color w:val="17365A"/>
        </w:rPr>
        <w:t>and</w:t>
      </w:r>
      <w:r>
        <w:rPr>
          <w:color w:val="17365A"/>
          <w:spacing w:val="-6"/>
        </w:rPr>
        <w:t xml:space="preserve"> </w:t>
      </w:r>
      <w:r>
        <w:rPr>
          <w:color w:val="17365A"/>
        </w:rPr>
        <w:t>Planning</w:t>
      </w:r>
      <w:r>
        <w:rPr>
          <w:color w:val="17365A"/>
          <w:spacing w:val="-6"/>
        </w:rPr>
        <w:t xml:space="preserve"> </w:t>
      </w:r>
      <w:r>
        <w:rPr>
          <w:color w:val="17365A"/>
        </w:rPr>
        <w:t>(IO</w:t>
      </w:r>
      <w:r>
        <w:rPr>
          <w:color w:val="17365A"/>
          <w:spacing w:val="-8"/>
        </w:rPr>
        <w:t xml:space="preserve"> </w:t>
      </w:r>
      <w:r>
        <w:rPr>
          <w:color w:val="17365A"/>
        </w:rPr>
        <w:t>7</w:t>
      </w:r>
      <w:r>
        <w:rPr>
          <w:color w:val="17365A"/>
          <w:spacing w:val="-4"/>
        </w:rPr>
        <w:t xml:space="preserve"> </w:t>
      </w:r>
      <w:r>
        <w:rPr>
          <w:color w:val="17365A"/>
        </w:rPr>
        <w:t>and</w:t>
      </w:r>
      <w:r>
        <w:rPr>
          <w:color w:val="17365A"/>
          <w:spacing w:val="-6"/>
        </w:rPr>
        <w:t xml:space="preserve"> </w:t>
      </w:r>
      <w:r>
        <w:rPr>
          <w:color w:val="17365A"/>
        </w:rPr>
        <w:t xml:space="preserve">8) </w:t>
      </w:r>
      <w:r>
        <w:t>Facilitating participatory planning forums</w:t>
      </w:r>
    </w:p>
    <w:p w14:paraId="110AA9F0" w14:textId="77777777" w:rsidR="00BC24A8" w:rsidRDefault="00000000">
      <w:pPr>
        <w:pStyle w:val="ListParagraph"/>
        <w:numPr>
          <w:ilvl w:val="3"/>
          <w:numId w:val="79"/>
        </w:numPr>
        <w:tabs>
          <w:tab w:val="left" w:pos="913"/>
        </w:tabs>
        <w:spacing w:line="278" w:lineRule="exact"/>
        <w:ind w:left="913" w:hanging="410"/>
        <w:jc w:val="left"/>
      </w:pPr>
      <w:r>
        <w:t>The</w:t>
      </w:r>
      <w:r>
        <w:rPr>
          <w:spacing w:val="-5"/>
        </w:rPr>
        <w:t xml:space="preserve"> </w:t>
      </w:r>
      <w:r>
        <w:t>NTB</w:t>
      </w:r>
      <w:r>
        <w:rPr>
          <w:spacing w:val="-6"/>
        </w:rPr>
        <w:t xml:space="preserve"> </w:t>
      </w:r>
      <w:r>
        <w:t>Provincial</w:t>
      </w:r>
      <w:r>
        <w:rPr>
          <w:spacing w:val="-4"/>
        </w:rPr>
        <w:t xml:space="preserve"> </w:t>
      </w:r>
      <w:r>
        <w:t>GEDSI</w:t>
      </w:r>
      <w:r>
        <w:rPr>
          <w:spacing w:val="-4"/>
        </w:rPr>
        <w:t xml:space="preserve"> </w:t>
      </w:r>
      <w:r>
        <w:t>Thematic</w:t>
      </w:r>
      <w:r>
        <w:rPr>
          <w:spacing w:val="-3"/>
        </w:rPr>
        <w:t xml:space="preserve"> </w:t>
      </w:r>
      <w:r>
        <w:rPr>
          <w:i/>
        </w:rPr>
        <w:t>Musrenbang</w:t>
      </w:r>
      <w:r>
        <w:rPr>
          <w:i/>
          <w:spacing w:val="-2"/>
        </w:rPr>
        <w:t xml:space="preserve"> </w:t>
      </w:r>
      <w:r>
        <w:t>was</w:t>
      </w:r>
      <w:r>
        <w:rPr>
          <w:spacing w:val="-4"/>
        </w:rPr>
        <w:t xml:space="preserve"> </w:t>
      </w:r>
      <w:r>
        <w:t>held</w:t>
      </w:r>
      <w:r>
        <w:rPr>
          <w:spacing w:val="-5"/>
        </w:rPr>
        <w:t xml:space="preserve"> </w:t>
      </w:r>
      <w:r>
        <w:t>for</w:t>
      </w:r>
      <w:r>
        <w:rPr>
          <w:spacing w:val="-5"/>
        </w:rPr>
        <w:t xml:space="preserve"> </w:t>
      </w:r>
      <w:r>
        <w:t>the</w:t>
      </w:r>
      <w:r>
        <w:rPr>
          <w:spacing w:val="-2"/>
        </w:rPr>
        <w:t xml:space="preserve"> </w:t>
      </w:r>
      <w:r>
        <w:t>first</w:t>
      </w:r>
      <w:r>
        <w:rPr>
          <w:spacing w:val="-3"/>
        </w:rPr>
        <w:t xml:space="preserve"> </w:t>
      </w:r>
      <w:r>
        <w:rPr>
          <w:spacing w:val="-2"/>
        </w:rPr>
        <w:t>time:</w:t>
      </w:r>
    </w:p>
    <w:p w14:paraId="61262325" w14:textId="77777777" w:rsidR="00BC24A8" w:rsidRDefault="00000000">
      <w:pPr>
        <w:pStyle w:val="ListParagraph"/>
        <w:numPr>
          <w:ilvl w:val="4"/>
          <w:numId w:val="79"/>
        </w:numPr>
        <w:tabs>
          <w:tab w:val="left" w:pos="1223"/>
        </w:tabs>
        <w:spacing w:before="120" w:line="252" w:lineRule="auto"/>
        <w:ind w:right="565" w:hanging="360"/>
        <w:jc w:val="left"/>
      </w:pPr>
      <w:r>
        <w:t>It was attended by 27 CSOs, 7 DPOS, 5 INKLUSI Partners, 14 agencies, and 1 SLB-A (special school for children with visual impairment or blindness).</w:t>
      </w:r>
    </w:p>
    <w:p w14:paraId="0F1F1CCF" w14:textId="77777777" w:rsidR="00BC24A8" w:rsidRDefault="00BC24A8">
      <w:pPr>
        <w:pStyle w:val="ListParagraph"/>
        <w:spacing w:line="252" w:lineRule="auto"/>
        <w:jc w:val="left"/>
        <w:sectPr w:rsidR="00BC24A8">
          <w:pgSz w:w="11910" w:h="16840"/>
          <w:pgMar w:top="1340" w:right="850" w:bottom="1100" w:left="1275" w:header="0" w:footer="907" w:gutter="0"/>
          <w:cols w:space="720"/>
        </w:sectPr>
      </w:pPr>
    </w:p>
    <w:p w14:paraId="37A0E6EC" w14:textId="77777777" w:rsidR="00BC24A8" w:rsidRDefault="00000000">
      <w:pPr>
        <w:pStyle w:val="ListParagraph"/>
        <w:numPr>
          <w:ilvl w:val="4"/>
          <w:numId w:val="79"/>
        </w:numPr>
        <w:tabs>
          <w:tab w:val="left" w:pos="1221"/>
          <w:tab w:val="left" w:pos="1223"/>
        </w:tabs>
        <w:spacing w:before="59" w:line="254" w:lineRule="auto"/>
        <w:ind w:right="564"/>
      </w:pPr>
      <w:r>
        <w:lastRenderedPageBreak/>
        <w:t xml:space="preserve">A total of 137 activity proposals were generated from thematic </w:t>
      </w:r>
      <w:r>
        <w:rPr>
          <w:i/>
        </w:rPr>
        <w:t>Musrenbang</w:t>
      </w:r>
      <w:r>
        <w:t>: children (37 proposals),</w:t>
      </w:r>
      <w:r>
        <w:rPr>
          <w:spacing w:val="-7"/>
        </w:rPr>
        <w:t xml:space="preserve"> </w:t>
      </w:r>
      <w:r>
        <w:t>women</w:t>
      </w:r>
      <w:r>
        <w:rPr>
          <w:spacing w:val="-8"/>
        </w:rPr>
        <w:t xml:space="preserve"> </w:t>
      </w:r>
      <w:r>
        <w:t>(10</w:t>
      </w:r>
      <w:r>
        <w:rPr>
          <w:spacing w:val="-7"/>
        </w:rPr>
        <w:t xml:space="preserve"> </w:t>
      </w:r>
      <w:r>
        <w:t>proposals),</w:t>
      </w:r>
      <w:r>
        <w:rPr>
          <w:spacing w:val="-9"/>
        </w:rPr>
        <w:t xml:space="preserve"> </w:t>
      </w:r>
      <w:r>
        <w:t>persons</w:t>
      </w:r>
      <w:r>
        <w:rPr>
          <w:spacing w:val="-7"/>
        </w:rPr>
        <w:t xml:space="preserve"> </w:t>
      </w:r>
      <w:r>
        <w:t>with</w:t>
      </w:r>
      <w:r>
        <w:rPr>
          <w:spacing w:val="-8"/>
        </w:rPr>
        <w:t xml:space="preserve"> </w:t>
      </w:r>
      <w:r>
        <w:t>disabilities</w:t>
      </w:r>
      <w:r>
        <w:rPr>
          <w:spacing w:val="-7"/>
        </w:rPr>
        <w:t xml:space="preserve"> </w:t>
      </w:r>
      <w:r>
        <w:t>(42),</w:t>
      </w:r>
      <w:r>
        <w:rPr>
          <w:spacing w:val="-7"/>
        </w:rPr>
        <w:t xml:space="preserve"> </w:t>
      </w:r>
      <w:r>
        <w:t>the</w:t>
      </w:r>
      <w:r>
        <w:rPr>
          <w:spacing w:val="-9"/>
        </w:rPr>
        <w:t xml:space="preserve"> </w:t>
      </w:r>
      <w:r>
        <w:t>elderly</w:t>
      </w:r>
      <w:r>
        <w:rPr>
          <w:spacing w:val="-7"/>
        </w:rPr>
        <w:t xml:space="preserve"> </w:t>
      </w:r>
      <w:r>
        <w:t>(35</w:t>
      </w:r>
      <w:r>
        <w:rPr>
          <w:spacing w:val="-7"/>
        </w:rPr>
        <w:t xml:space="preserve"> </w:t>
      </w:r>
      <w:r>
        <w:t>proposals), and migrant workers (13 proposals).</w:t>
      </w:r>
    </w:p>
    <w:p w14:paraId="32C7CEA4" w14:textId="77777777" w:rsidR="00BC24A8" w:rsidRDefault="00000000">
      <w:pPr>
        <w:pStyle w:val="ListParagraph"/>
        <w:numPr>
          <w:ilvl w:val="4"/>
          <w:numId w:val="79"/>
        </w:numPr>
        <w:tabs>
          <w:tab w:val="left" w:pos="1221"/>
          <w:tab w:val="left" w:pos="1223"/>
        </w:tabs>
        <w:spacing w:before="8" w:line="252" w:lineRule="auto"/>
        <w:ind w:right="564"/>
        <w:rPr>
          <w:i/>
        </w:rPr>
      </w:pPr>
      <w:r>
        <w:t xml:space="preserve">The proposed activities were adjusted to the regional planning program and has been submitted to </w:t>
      </w:r>
      <w:r>
        <w:rPr>
          <w:i/>
        </w:rPr>
        <w:t xml:space="preserve">Bappeda </w:t>
      </w:r>
      <w:r>
        <w:t xml:space="preserve">in the RPJMD and RKPD </w:t>
      </w:r>
      <w:r>
        <w:rPr>
          <w:i/>
        </w:rPr>
        <w:t>Musrenbang.</w:t>
      </w:r>
    </w:p>
    <w:p w14:paraId="364F3A6D" w14:textId="77777777" w:rsidR="00BC24A8" w:rsidRDefault="00000000">
      <w:pPr>
        <w:pStyle w:val="ListParagraph"/>
        <w:numPr>
          <w:ilvl w:val="3"/>
          <w:numId w:val="79"/>
        </w:numPr>
        <w:tabs>
          <w:tab w:val="left" w:pos="862"/>
          <w:tab w:val="left" w:pos="864"/>
        </w:tabs>
        <w:spacing w:before="247"/>
        <w:ind w:left="864" w:right="563"/>
      </w:pPr>
      <w:r>
        <w:t xml:space="preserve">The draft of Thematic </w:t>
      </w:r>
      <w:r>
        <w:rPr>
          <w:i/>
        </w:rPr>
        <w:t xml:space="preserve">Musrenbang </w:t>
      </w:r>
      <w:r>
        <w:t xml:space="preserve">Guideline is being prepared by </w:t>
      </w:r>
      <w:r>
        <w:rPr>
          <w:i/>
        </w:rPr>
        <w:t xml:space="preserve">Bappeda </w:t>
      </w:r>
      <w:r>
        <w:t>in collaboration with 9 CSOs (Gerkatin, Pertuni, HWDI, LIDI, LPSDM, LPA, LRC, and Migrant Care).</w:t>
      </w:r>
    </w:p>
    <w:p w14:paraId="18814111" w14:textId="77777777" w:rsidR="00BC24A8" w:rsidRDefault="00BC24A8">
      <w:pPr>
        <w:pStyle w:val="BodyText"/>
        <w:spacing w:before="61"/>
      </w:pPr>
    </w:p>
    <w:p w14:paraId="31A9D802" w14:textId="77777777" w:rsidR="00BC24A8" w:rsidRDefault="00000000">
      <w:pPr>
        <w:pStyle w:val="Heading5"/>
        <w:ind w:left="144" w:right="662"/>
      </w:pPr>
      <w:r>
        <w:t>Strengthening the capacity of the Government and Civil Society Networks (JMS) in implementing</w:t>
      </w:r>
      <w:r>
        <w:rPr>
          <w:spacing w:val="40"/>
        </w:rPr>
        <w:t xml:space="preserve"> </w:t>
      </w:r>
      <w:r>
        <w:t>participatory planning</w:t>
      </w:r>
    </w:p>
    <w:p w14:paraId="5BD08C5B" w14:textId="77777777" w:rsidR="00BC24A8" w:rsidRDefault="00000000">
      <w:pPr>
        <w:pStyle w:val="ListParagraph"/>
        <w:numPr>
          <w:ilvl w:val="3"/>
          <w:numId w:val="79"/>
        </w:numPr>
        <w:tabs>
          <w:tab w:val="left" w:pos="863"/>
        </w:tabs>
        <w:spacing w:before="160"/>
        <w:ind w:right="565" w:hanging="360"/>
      </w:pPr>
      <w:r>
        <w:t>18 people (4 men, 14 women) from 4 provincial agencies</w:t>
      </w:r>
      <w:hyperlink w:anchor="_bookmark133" w:history="1">
        <w:r w:rsidR="00BC24A8">
          <w:rPr>
            <w:vertAlign w:val="superscript"/>
          </w:rPr>
          <w:t>65</w:t>
        </w:r>
      </w:hyperlink>
      <w:r>
        <w:t xml:space="preserve"> and 5 CSO/DPOs</w:t>
      </w:r>
      <w:hyperlink w:anchor="_bookmark134" w:history="1">
        <w:r w:rsidR="00BC24A8">
          <w:rPr>
            <w:vertAlign w:val="superscript"/>
          </w:rPr>
          <w:t>66</w:t>
        </w:r>
      </w:hyperlink>
      <w:r>
        <w:t xml:space="preserve"> were equipped to</w:t>
      </w:r>
      <w:r>
        <w:rPr>
          <w:spacing w:val="-4"/>
        </w:rPr>
        <w:t xml:space="preserve"> </w:t>
      </w:r>
      <w:r>
        <w:t>be</w:t>
      </w:r>
      <w:r>
        <w:rPr>
          <w:spacing w:val="-3"/>
        </w:rPr>
        <w:t xml:space="preserve"> </w:t>
      </w:r>
      <w:r>
        <w:t>a</w:t>
      </w:r>
      <w:r>
        <w:rPr>
          <w:spacing w:val="-5"/>
        </w:rPr>
        <w:t xml:space="preserve"> </w:t>
      </w:r>
      <w:r>
        <w:t>team</w:t>
      </w:r>
      <w:r>
        <w:rPr>
          <w:spacing w:val="-4"/>
        </w:rPr>
        <w:t xml:space="preserve"> </w:t>
      </w:r>
      <w:r>
        <w:t>of</w:t>
      </w:r>
      <w:r>
        <w:rPr>
          <w:spacing w:val="-5"/>
        </w:rPr>
        <w:t xml:space="preserve"> </w:t>
      </w:r>
      <w:r>
        <w:t>Thematic</w:t>
      </w:r>
      <w:r>
        <w:rPr>
          <w:spacing w:val="-5"/>
        </w:rPr>
        <w:t xml:space="preserve"> </w:t>
      </w:r>
      <w:r>
        <w:rPr>
          <w:i/>
        </w:rPr>
        <w:t>Musrenbang</w:t>
      </w:r>
      <w:r>
        <w:t>.</w:t>
      </w:r>
      <w:r>
        <w:rPr>
          <w:spacing w:val="-5"/>
        </w:rPr>
        <w:t xml:space="preserve"> </w:t>
      </w:r>
      <w:r>
        <w:t>This</w:t>
      </w:r>
      <w:r>
        <w:rPr>
          <w:spacing w:val="-3"/>
        </w:rPr>
        <w:t xml:space="preserve"> </w:t>
      </w:r>
      <w:r>
        <w:t>team</w:t>
      </w:r>
      <w:r>
        <w:rPr>
          <w:spacing w:val="-6"/>
        </w:rPr>
        <w:t xml:space="preserve"> </w:t>
      </w:r>
      <w:r>
        <w:t>plays</w:t>
      </w:r>
      <w:r>
        <w:rPr>
          <w:spacing w:val="-6"/>
        </w:rPr>
        <w:t xml:space="preserve"> </w:t>
      </w:r>
      <w:r>
        <w:t>a</w:t>
      </w:r>
      <w:r>
        <w:rPr>
          <w:spacing w:val="-5"/>
        </w:rPr>
        <w:t xml:space="preserve"> </w:t>
      </w:r>
      <w:r>
        <w:t>role</w:t>
      </w:r>
      <w:r>
        <w:rPr>
          <w:spacing w:val="-3"/>
        </w:rPr>
        <w:t xml:space="preserve"> </w:t>
      </w:r>
      <w:r>
        <w:t>in</w:t>
      </w:r>
      <w:r>
        <w:rPr>
          <w:spacing w:val="-4"/>
        </w:rPr>
        <w:t xml:space="preserve"> </w:t>
      </w:r>
      <w:r>
        <w:t>designing</w:t>
      </w:r>
      <w:r>
        <w:rPr>
          <w:spacing w:val="-5"/>
        </w:rPr>
        <w:t xml:space="preserve"> </w:t>
      </w:r>
      <w:r>
        <w:t>the</w:t>
      </w:r>
      <w:r>
        <w:rPr>
          <w:spacing w:val="-3"/>
        </w:rPr>
        <w:t xml:space="preserve"> </w:t>
      </w:r>
      <w:r>
        <w:t>implementation, facilitating group discussions, and compiling minutes of proposed activities.</w:t>
      </w:r>
    </w:p>
    <w:p w14:paraId="6AA571C6" w14:textId="77777777" w:rsidR="00BC24A8" w:rsidRDefault="00000000">
      <w:pPr>
        <w:pStyle w:val="ListParagraph"/>
        <w:numPr>
          <w:ilvl w:val="3"/>
          <w:numId w:val="79"/>
        </w:numPr>
        <w:tabs>
          <w:tab w:val="left" w:pos="863"/>
        </w:tabs>
        <w:ind w:right="564" w:hanging="360"/>
      </w:pPr>
      <w:r>
        <w:t>LIDI and LPA are part of the team preparing the RAD-PD and the draft Governor’s Decree for the RAD-PD drafting team. The final draft of RAD-PD is currently under review by Bappenas.</w:t>
      </w:r>
    </w:p>
    <w:p w14:paraId="680A964A" w14:textId="77777777" w:rsidR="00BC24A8" w:rsidRDefault="00BC24A8">
      <w:pPr>
        <w:pStyle w:val="BodyText"/>
        <w:spacing w:before="203"/>
      </w:pPr>
    </w:p>
    <w:p w14:paraId="79347B28" w14:textId="77777777" w:rsidR="00BC24A8" w:rsidRDefault="00000000">
      <w:pPr>
        <w:pStyle w:val="Heading5"/>
      </w:pPr>
      <w:r>
        <w:rPr>
          <w:color w:val="17365A"/>
        </w:rPr>
        <w:t>Impact</w:t>
      </w:r>
      <w:r>
        <w:rPr>
          <w:color w:val="17365A"/>
          <w:spacing w:val="-3"/>
        </w:rPr>
        <w:t xml:space="preserve"> </w:t>
      </w:r>
      <w:r>
        <w:rPr>
          <w:color w:val="17365A"/>
        </w:rPr>
        <w:t>of</w:t>
      </w:r>
      <w:r>
        <w:rPr>
          <w:color w:val="17365A"/>
          <w:spacing w:val="-2"/>
        </w:rPr>
        <w:t xml:space="preserve"> results/changes</w:t>
      </w:r>
    </w:p>
    <w:p w14:paraId="6D65AB69" w14:textId="77777777" w:rsidR="00BC24A8" w:rsidRDefault="00BC24A8">
      <w:pPr>
        <w:pStyle w:val="BodyText"/>
        <w:spacing w:before="8"/>
        <w:rPr>
          <w:rFonts w:ascii="Calibri"/>
          <w:b/>
          <w:sz w:val="12"/>
        </w:rPr>
      </w:pPr>
    </w:p>
    <w:tbl>
      <w:tblPr>
        <w:tblW w:w="0" w:type="auto"/>
        <w:tblInd w:w="142" w:type="dxa"/>
        <w:tblLayout w:type="fixed"/>
        <w:tblCellMar>
          <w:left w:w="0" w:type="dxa"/>
          <w:right w:w="0" w:type="dxa"/>
        </w:tblCellMar>
        <w:tblLook w:val="01E0" w:firstRow="1" w:lastRow="1" w:firstColumn="1" w:lastColumn="1" w:noHBand="0" w:noVBand="0"/>
      </w:tblPr>
      <w:tblGrid>
        <w:gridCol w:w="1343"/>
        <w:gridCol w:w="7755"/>
      </w:tblGrid>
      <w:tr w:rsidR="00BC24A8" w14:paraId="049DA9F0" w14:textId="77777777">
        <w:trPr>
          <w:trHeight w:val="360"/>
        </w:trPr>
        <w:tc>
          <w:tcPr>
            <w:tcW w:w="1343" w:type="dxa"/>
            <w:shd w:val="clear" w:color="auto" w:fill="17365A"/>
          </w:tcPr>
          <w:p w14:paraId="706DBAFA" w14:textId="77777777" w:rsidR="00BC24A8" w:rsidRDefault="00000000">
            <w:pPr>
              <w:pStyle w:val="TableParagraph"/>
              <w:spacing w:before="59"/>
              <w:ind w:left="116"/>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2"/>
                <w:sz w:val="20"/>
              </w:rPr>
              <w:t>Level</w:t>
            </w:r>
          </w:p>
        </w:tc>
        <w:tc>
          <w:tcPr>
            <w:tcW w:w="7755" w:type="dxa"/>
            <w:shd w:val="clear" w:color="auto" w:fill="17365A"/>
          </w:tcPr>
          <w:p w14:paraId="3CAAEEF3" w14:textId="77777777" w:rsidR="00BC24A8" w:rsidRDefault="00000000">
            <w:pPr>
              <w:pStyle w:val="TableParagraph"/>
              <w:spacing w:before="59"/>
              <w:ind w:left="121"/>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2"/>
                <w:sz w:val="20"/>
              </w:rPr>
              <w:t>Description</w:t>
            </w:r>
          </w:p>
        </w:tc>
      </w:tr>
      <w:tr w:rsidR="00BC24A8" w14:paraId="1FD67191" w14:textId="77777777">
        <w:trPr>
          <w:trHeight w:val="4571"/>
        </w:trPr>
        <w:tc>
          <w:tcPr>
            <w:tcW w:w="1343" w:type="dxa"/>
            <w:tcBorders>
              <w:bottom w:val="single" w:sz="4" w:space="0" w:color="BEBEBE"/>
            </w:tcBorders>
          </w:tcPr>
          <w:p w14:paraId="2F8CFE82" w14:textId="77777777" w:rsidR="00BC24A8" w:rsidRDefault="00000000">
            <w:pPr>
              <w:pStyle w:val="TableParagraph"/>
              <w:spacing w:before="160"/>
              <w:ind w:left="116"/>
              <w:rPr>
                <w:sz w:val="18"/>
              </w:rPr>
            </w:pPr>
            <w:r>
              <w:rPr>
                <w:spacing w:val="-2"/>
                <w:sz w:val="18"/>
              </w:rPr>
              <w:t>Methodological</w:t>
            </w:r>
            <w:r>
              <w:rPr>
                <w:sz w:val="18"/>
              </w:rPr>
              <w:t xml:space="preserve"> </w:t>
            </w:r>
            <w:r>
              <w:rPr>
                <w:spacing w:val="-2"/>
                <w:sz w:val="18"/>
              </w:rPr>
              <w:t>impact</w:t>
            </w:r>
          </w:p>
        </w:tc>
        <w:tc>
          <w:tcPr>
            <w:tcW w:w="7755" w:type="dxa"/>
            <w:tcBorders>
              <w:bottom w:val="single" w:sz="4" w:space="0" w:color="BEBEBE"/>
            </w:tcBorders>
          </w:tcPr>
          <w:p w14:paraId="4F0C7C0B" w14:textId="77777777" w:rsidR="00BC24A8" w:rsidRDefault="00000000">
            <w:pPr>
              <w:pStyle w:val="TableParagraph"/>
              <w:spacing w:before="102"/>
              <w:ind w:left="121"/>
              <w:rPr>
                <w:sz w:val="18"/>
              </w:rPr>
            </w:pPr>
            <w:r>
              <w:rPr>
                <w:sz w:val="18"/>
              </w:rPr>
              <w:t>Guides,</w:t>
            </w:r>
            <w:r>
              <w:rPr>
                <w:spacing w:val="-3"/>
                <w:sz w:val="18"/>
              </w:rPr>
              <w:t xml:space="preserve"> </w:t>
            </w:r>
            <w:r>
              <w:rPr>
                <w:sz w:val="18"/>
              </w:rPr>
              <w:t>instruments,</w:t>
            </w:r>
            <w:r>
              <w:rPr>
                <w:spacing w:val="-3"/>
                <w:sz w:val="18"/>
              </w:rPr>
              <w:t xml:space="preserve"> </w:t>
            </w:r>
            <w:r>
              <w:rPr>
                <w:sz w:val="18"/>
              </w:rPr>
              <w:t>materials,</w:t>
            </w:r>
            <w:r>
              <w:rPr>
                <w:spacing w:val="-2"/>
                <w:sz w:val="18"/>
              </w:rPr>
              <w:t xml:space="preserve"> </w:t>
            </w:r>
            <w:r>
              <w:rPr>
                <w:sz w:val="18"/>
              </w:rPr>
              <w:t>systems,</w:t>
            </w:r>
            <w:r>
              <w:rPr>
                <w:spacing w:val="-3"/>
                <w:sz w:val="18"/>
              </w:rPr>
              <w:t xml:space="preserve"> </w:t>
            </w:r>
            <w:r>
              <w:rPr>
                <w:sz w:val="18"/>
              </w:rPr>
              <w:t>strategies,</w:t>
            </w:r>
            <w:r>
              <w:rPr>
                <w:spacing w:val="-3"/>
                <w:sz w:val="18"/>
              </w:rPr>
              <w:t xml:space="preserve"> </w:t>
            </w:r>
            <w:r>
              <w:rPr>
                <w:sz w:val="18"/>
              </w:rPr>
              <w:t>and</w:t>
            </w:r>
            <w:r>
              <w:rPr>
                <w:spacing w:val="-1"/>
                <w:sz w:val="18"/>
              </w:rPr>
              <w:t xml:space="preserve"> </w:t>
            </w:r>
            <w:r>
              <w:rPr>
                <w:spacing w:val="-2"/>
                <w:sz w:val="18"/>
              </w:rPr>
              <w:t>evidence/data:</w:t>
            </w:r>
          </w:p>
          <w:p w14:paraId="2CFFA264" w14:textId="77777777" w:rsidR="00BC24A8" w:rsidRDefault="00000000">
            <w:pPr>
              <w:pStyle w:val="TableParagraph"/>
              <w:numPr>
                <w:ilvl w:val="0"/>
                <w:numId w:val="69"/>
              </w:numPr>
              <w:tabs>
                <w:tab w:val="left" w:pos="453"/>
              </w:tabs>
              <w:spacing w:before="59"/>
              <w:ind w:right="143"/>
              <w:rPr>
                <w:sz w:val="18"/>
              </w:rPr>
            </w:pPr>
            <w:r>
              <w:rPr>
                <w:sz w:val="18"/>
              </w:rPr>
              <w:t>The</w:t>
            </w:r>
            <w:r>
              <w:rPr>
                <w:spacing w:val="-3"/>
                <w:sz w:val="18"/>
              </w:rPr>
              <w:t xml:space="preserve"> </w:t>
            </w:r>
            <w:r>
              <w:rPr>
                <w:sz w:val="18"/>
              </w:rPr>
              <w:t>MSS</w:t>
            </w:r>
            <w:r>
              <w:rPr>
                <w:spacing w:val="-3"/>
                <w:sz w:val="18"/>
              </w:rPr>
              <w:t xml:space="preserve"> </w:t>
            </w:r>
            <w:r>
              <w:rPr>
                <w:sz w:val="18"/>
              </w:rPr>
              <w:t>action</w:t>
            </w:r>
            <w:r>
              <w:rPr>
                <w:spacing w:val="-3"/>
                <w:sz w:val="18"/>
              </w:rPr>
              <w:t xml:space="preserve"> </w:t>
            </w:r>
            <w:r>
              <w:rPr>
                <w:sz w:val="18"/>
              </w:rPr>
              <w:t>plan</w:t>
            </w:r>
            <w:r>
              <w:rPr>
                <w:spacing w:val="-3"/>
                <w:sz w:val="18"/>
              </w:rPr>
              <w:t xml:space="preserve"> </w:t>
            </w:r>
            <w:r>
              <w:rPr>
                <w:sz w:val="18"/>
              </w:rPr>
              <w:t>review</w:t>
            </w:r>
            <w:r>
              <w:rPr>
                <w:spacing w:val="-4"/>
                <w:sz w:val="18"/>
              </w:rPr>
              <w:t xml:space="preserve"> </w:t>
            </w:r>
            <w:r>
              <w:rPr>
                <w:sz w:val="18"/>
              </w:rPr>
              <w:t>instrument</w:t>
            </w:r>
            <w:r>
              <w:rPr>
                <w:spacing w:val="-2"/>
                <w:sz w:val="18"/>
              </w:rPr>
              <w:t xml:space="preserve"> </w:t>
            </w:r>
            <w:r>
              <w:rPr>
                <w:sz w:val="18"/>
              </w:rPr>
              <w:t>has</w:t>
            </w:r>
            <w:r>
              <w:rPr>
                <w:spacing w:val="-3"/>
                <w:sz w:val="18"/>
              </w:rPr>
              <w:t xml:space="preserve"> </w:t>
            </w:r>
            <w:r>
              <w:rPr>
                <w:sz w:val="18"/>
              </w:rPr>
              <w:t>been</w:t>
            </w:r>
            <w:r>
              <w:rPr>
                <w:spacing w:val="-3"/>
                <w:sz w:val="18"/>
              </w:rPr>
              <w:t xml:space="preserve"> </w:t>
            </w:r>
            <w:r>
              <w:rPr>
                <w:sz w:val="18"/>
              </w:rPr>
              <w:t>used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Provincial</w:t>
            </w:r>
            <w:r>
              <w:rPr>
                <w:spacing w:val="-2"/>
                <w:sz w:val="18"/>
              </w:rPr>
              <w:t xml:space="preserve"> </w:t>
            </w:r>
            <w:r>
              <w:rPr>
                <w:sz w:val="18"/>
              </w:rPr>
              <w:t>MSS</w:t>
            </w:r>
            <w:r>
              <w:rPr>
                <w:spacing w:val="-3"/>
                <w:sz w:val="18"/>
              </w:rPr>
              <w:t xml:space="preserve"> </w:t>
            </w:r>
            <w:r>
              <w:rPr>
                <w:sz w:val="18"/>
              </w:rPr>
              <w:t>Implementation</w:t>
            </w:r>
            <w:r>
              <w:rPr>
                <w:spacing w:val="-3"/>
                <w:sz w:val="18"/>
              </w:rPr>
              <w:t xml:space="preserve"> </w:t>
            </w:r>
            <w:r>
              <w:rPr>
                <w:sz w:val="18"/>
              </w:rPr>
              <w:t>Team to assist districts/cities in preparing their action plan.</w:t>
            </w:r>
          </w:p>
          <w:p w14:paraId="66059B7C" w14:textId="77777777" w:rsidR="00BC24A8" w:rsidRDefault="00000000">
            <w:pPr>
              <w:pStyle w:val="TableParagraph"/>
              <w:numPr>
                <w:ilvl w:val="0"/>
                <w:numId w:val="69"/>
              </w:numPr>
              <w:tabs>
                <w:tab w:val="left" w:pos="453"/>
              </w:tabs>
              <w:spacing w:line="219" w:lineRule="exact"/>
              <w:rPr>
                <w:sz w:val="18"/>
              </w:rPr>
            </w:pPr>
            <w:r>
              <w:rPr>
                <w:sz w:val="18"/>
              </w:rPr>
              <w:t>The</w:t>
            </w:r>
            <w:r>
              <w:rPr>
                <w:spacing w:val="-5"/>
                <w:sz w:val="18"/>
              </w:rPr>
              <w:t xml:space="preserve"> </w:t>
            </w:r>
            <w:r>
              <w:rPr>
                <w:sz w:val="18"/>
              </w:rPr>
              <w:t>e-SPM</w:t>
            </w:r>
            <w:r>
              <w:rPr>
                <w:spacing w:val="35"/>
                <w:sz w:val="18"/>
              </w:rPr>
              <w:t xml:space="preserve"> </w:t>
            </w:r>
            <w:r>
              <w:rPr>
                <w:sz w:val="18"/>
              </w:rPr>
              <w:t>completion</w:t>
            </w:r>
            <w:r>
              <w:rPr>
                <w:spacing w:val="-2"/>
                <w:sz w:val="18"/>
              </w:rPr>
              <w:t xml:space="preserve"> </w:t>
            </w:r>
            <w:r>
              <w:rPr>
                <w:sz w:val="18"/>
              </w:rPr>
              <w:t>rate</w:t>
            </w:r>
            <w:r>
              <w:rPr>
                <w:spacing w:val="-2"/>
                <w:sz w:val="18"/>
              </w:rPr>
              <w:t xml:space="preserve"> </w:t>
            </w:r>
            <w:r>
              <w:rPr>
                <w:sz w:val="18"/>
              </w:rPr>
              <w:t>increased</w:t>
            </w:r>
            <w:r>
              <w:rPr>
                <w:spacing w:val="-2"/>
                <w:sz w:val="18"/>
              </w:rPr>
              <w:t xml:space="preserve"> </w:t>
            </w:r>
            <w:r>
              <w:rPr>
                <w:sz w:val="18"/>
              </w:rPr>
              <w:t>significantly</w:t>
            </w:r>
            <w:r>
              <w:rPr>
                <w:spacing w:val="-2"/>
                <w:sz w:val="18"/>
              </w:rPr>
              <w:t xml:space="preserve"> </w:t>
            </w:r>
            <w:r>
              <w:rPr>
                <w:sz w:val="18"/>
              </w:rPr>
              <w:t>from</w:t>
            </w:r>
            <w:r>
              <w:rPr>
                <w:spacing w:val="-3"/>
                <w:sz w:val="18"/>
              </w:rPr>
              <w:t xml:space="preserve"> </w:t>
            </w:r>
            <w:r>
              <w:rPr>
                <w:sz w:val="18"/>
              </w:rPr>
              <w:t>81.3%</w:t>
            </w:r>
            <w:r>
              <w:rPr>
                <w:spacing w:val="-2"/>
                <w:sz w:val="18"/>
              </w:rPr>
              <w:t xml:space="preserve"> </w:t>
            </w:r>
            <w:r>
              <w:rPr>
                <w:sz w:val="18"/>
              </w:rPr>
              <w:t>(2023)</w:t>
            </w:r>
            <w:r>
              <w:rPr>
                <w:spacing w:val="-3"/>
                <w:sz w:val="18"/>
              </w:rPr>
              <w:t xml:space="preserve"> </w:t>
            </w:r>
            <w:r>
              <w:rPr>
                <w:sz w:val="18"/>
              </w:rPr>
              <w:t>to</w:t>
            </w:r>
            <w:r>
              <w:rPr>
                <w:spacing w:val="-3"/>
                <w:sz w:val="18"/>
              </w:rPr>
              <w:t xml:space="preserve"> </w:t>
            </w:r>
            <w:r>
              <w:rPr>
                <w:sz w:val="18"/>
              </w:rPr>
              <w:t>99.7%</w:t>
            </w:r>
            <w:r>
              <w:rPr>
                <w:spacing w:val="-2"/>
                <w:sz w:val="18"/>
              </w:rPr>
              <w:t xml:space="preserve"> (2024)</w:t>
            </w:r>
          </w:p>
          <w:p w14:paraId="002AD6FE" w14:textId="77777777" w:rsidR="00BC24A8" w:rsidRDefault="00000000">
            <w:pPr>
              <w:pStyle w:val="TableParagraph"/>
              <w:numPr>
                <w:ilvl w:val="0"/>
                <w:numId w:val="69"/>
              </w:numPr>
              <w:tabs>
                <w:tab w:val="left" w:pos="453"/>
              </w:tabs>
              <w:spacing w:before="1" w:line="219" w:lineRule="exact"/>
              <w:rPr>
                <w:sz w:val="18"/>
              </w:rPr>
            </w:pPr>
            <w:r>
              <w:rPr>
                <w:sz w:val="18"/>
              </w:rPr>
              <w:t>NTB</w:t>
            </w:r>
            <w:r>
              <w:rPr>
                <w:spacing w:val="-2"/>
                <w:sz w:val="18"/>
              </w:rPr>
              <w:t xml:space="preserve"> </w:t>
            </w:r>
            <w:r>
              <w:rPr>
                <w:sz w:val="18"/>
              </w:rPr>
              <w:t>won</w:t>
            </w:r>
            <w:r>
              <w:rPr>
                <w:spacing w:val="-1"/>
                <w:sz w:val="18"/>
              </w:rPr>
              <w:t xml:space="preserve"> </w:t>
            </w:r>
            <w:r>
              <w:rPr>
                <w:sz w:val="18"/>
              </w:rPr>
              <w:t>the MSS</w:t>
            </w:r>
            <w:r>
              <w:rPr>
                <w:spacing w:val="-1"/>
                <w:sz w:val="18"/>
              </w:rPr>
              <w:t xml:space="preserve"> </w:t>
            </w:r>
            <w:r>
              <w:rPr>
                <w:sz w:val="18"/>
              </w:rPr>
              <w:t>Award</w:t>
            </w:r>
            <w:r>
              <w:rPr>
                <w:spacing w:val="-1"/>
                <w:sz w:val="18"/>
              </w:rPr>
              <w:t xml:space="preserve"> </w:t>
            </w:r>
            <w:r>
              <w:rPr>
                <w:sz w:val="18"/>
              </w:rPr>
              <w:t xml:space="preserve">in </w:t>
            </w:r>
            <w:r>
              <w:rPr>
                <w:spacing w:val="-2"/>
                <w:sz w:val="18"/>
              </w:rPr>
              <w:t>2025.</w:t>
            </w:r>
          </w:p>
          <w:p w14:paraId="068673D1" w14:textId="77777777" w:rsidR="00BC24A8" w:rsidRDefault="00000000">
            <w:pPr>
              <w:pStyle w:val="TableParagraph"/>
              <w:numPr>
                <w:ilvl w:val="0"/>
                <w:numId w:val="69"/>
              </w:numPr>
              <w:tabs>
                <w:tab w:val="left" w:pos="453"/>
              </w:tabs>
              <w:spacing w:line="219" w:lineRule="exact"/>
              <w:rPr>
                <w:sz w:val="18"/>
              </w:rPr>
            </w:pPr>
            <w:r>
              <w:rPr>
                <w:sz w:val="18"/>
              </w:rPr>
              <w:t>97%</w:t>
            </w:r>
            <w:r>
              <w:rPr>
                <w:spacing w:val="-2"/>
                <w:sz w:val="18"/>
              </w:rPr>
              <w:t xml:space="preserve"> </w:t>
            </w:r>
            <w:r>
              <w:rPr>
                <w:sz w:val="18"/>
              </w:rPr>
              <w:t>of</w:t>
            </w:r>
            <w:r>
              <w:rPr>
                <w:spacing w:val="-2"/>
                <w:sz w:val="18"/>
              </w:rPr>
              <w:t xml:space="preserve"> </w:t>
            </w:r>
            <w:r>
              <w:rPr>
                <w:sz w:val="18"/>
              </w:rPr>
              <w:t>the</w:t>
            </w:r>
            <w:r>
              <w:rPr>
                <w:spacing w:val="-1"/>
                <w:sz w:val="18"/>
              </w:rPr>
              <w:t xml:space="preserve"> </w:t>
            </w:r>
            <w:r>
              <w:rPr>
                <w:sz w:val="18"/>
              </w:rPr>
              <w:t>2025</w:t>
            </w:r>
            <w:r>
              <w:rPr>
                <w:spacing w:val="-1"/>
                <w:sz w:val="18"/>
              </w:rPr>
              <w:t xml:space="preserve"> </w:t>
            </w:r>
            <w:r>
              <w:rPr>
                <w:sz w:val="18"/>
              </w:rPr>
              <w:t>Data</w:t>
            </w:r>
            <w:r>
              <w:rPr>
                <w:spacing w:val="-3"/>
                <w:sz w:val="18"/>
              </w:rPr>
              <w:t xml:space="preserve"> </w:t>
            </w:r>
            <w:r>
              <w:rPr>
                <w:sz w:val="18"/>
              </w:rPr>
              <w:t>List has</w:t>
            </w:r>
            <w:r>
              <w:rPr>
                <w:spacing w:val="-1"/>
                <w:sz w:val="18"/>
              </w:rPr>
              <w:t xml:space="preserve"> </w:t>
            </w:r>
            <w:r>
              <w:rPr>
                <w:sz w:val="18"/>
              </w:rPr>
              <w:t>been</w:t>
            </w:r>
            <w:r>
              <w:rPr>
                <w:spacing w:val="-1"/>
                <w:sz w:val="18"/>
              </w:rPr>
              <w:t xml:space="preserve"> </w:t>
            </w:r>
            <w:r>
              <w:rPr>
                <w:spacing w:val="-2"/>
                <w:sz w:val="18"/>
              </w:rPr>
              <w:t>collected.</w:t>
            </w:r>
          </w:p>
          <w:p w14:paraId="6F15CC7A" w14:textId="77777777" w:rsidR="00BC24A8" w:rsidRDefault="00000000">
            <w:pPr>
              <w:pStyle w:val="TableParagraph"/>
              <w:numPr>
                <w:ilvl w:val="0"/>
                <w:numId w:val="69"/>
              </w:numPr>
              <w:tabs>
                <w:tab w:val="left" w:pos="453"/>
              </w:tabs>
              <w:spacing w:before="1"/>
              <w:rPr>
                <w:sz w:val="18"/>
              </w:rPr>
            </w:pPr>
            <w:r>
              <w:rPr>
                <w:sz w:val="18"/>
              </w:rPr>
              <w:t>85%</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2025</w:t>
            </w:r>
            <w:r>
              <w:rPr>
                <w:spacing w:val="-1"/>
                <w:sz w:val="18"/>
              </w:rPr>
              <w:t xml:space="preserve"> </w:t>
            </w:r>
            <w:r>
              <w:rPr>
                <w:sz w:val="18"/>
              </w:rPr>
              <w:t>Data</w:t>
            </w:r>
            <w:r>
              <w:rPr>
                <w:spacing w:val="-2"/>
                <w:sz w:val="18"/>
              </w:rPr>
              <w:t xml:space="preserve"> </w:t>
            </w:r>
            <w:r>
              <w:rPr>
                <w:sz w:val="18"/>
              </w:rPr>
              <w:t>List has</w:t>
            </w:r>
            <w:r>
              <w:rPr>
                <w:spacing w:val="-2"/>
                <w:sz w:val="18"/>
              </w:rPr>
              <w:t xml:space="preserve"> </w:t>
            </w:r>
            <w:r>
              <w:rPr>
                <w:sz w:val="18"/>
              </w:rPr>
              <w:t>been</w:t>
            </w:r>
            <w:r>
              <w:rPr>
                <w:spacing w:val="-1"/>
                <w:sz w:val="18"/>
              </w:rPr>
              <w:t xml:space="preserve"> </w:t>
            </w:r>
            <w:r>
              <w:rPr>
                <w:sz w:val="18"/>
              </w:rPr>
              <w:t>published</w:t>
            </w:r>
            <w:r>
              <w:rPr>
                <w:spacing w:val="-1"/>
                <w:sz w:val="18"/>
              </w:rPr>
              <w:t xml:space="preserve"> </w:t>
            </w:r>
            <w:r>
              <w:rPr>
                <w:sz w:val="18"/>
              </w:rPr>
              <w:t>through</w:t>
            </w:r>
            <w:r>
              <w:rPr>
                <w:spacing w:val="-1"/>
                <w:sz w:val="18"/>
              </w:rPr>
              <w:t xml:space="preserve"> </w:t>
            </w:r>
            <w:r>
              <w:rPr>
                <w:sz w:val="18"/>
              </w:rPr>
              <w:t>the</w:t>
            </w:r>
            <w:r>
              <w:rPr>
                <w:spacing w:val="-1"/>
                <w:sz w:val="18"/>
              </w:rPr>
              <w:t xml:space="preserve"> </w:t>
            </w:r>
            <w:r>
              <w:rPr>
                <w:sz w:val="18"/>
              </w:rPr>
              <w:t>NTB</w:t>
            </w:r>
            <w:r>
              <w:rPr>
                <w:spacing w:val="-2"/>
                <w:sz w:val="18"/>
              </w:rPr>
              <w:t xml:space="preserve"> </w:t>
            </w:r>
            <w:r>
              <w:rPr>
                <w:sz w:val="18"/>
              </w:rPr>
              <w:t>One</w:t>
            </w:r>
            <w:r>
              <w:rPr>
                <w:spacing w:val="-1"/>
                <w:sz w:val="18"/>
              </w:rPr>
              <w:t xml:space="preserve"> </w:t>
            </w:r>
            <w:r>
              <w:rPr>
                <w:sz w:val="18"/>
              </w:rPr>
              <w:t>Data</w:t>
            </w:r>
            <w:r>
              <w:rPr>
                <w:spacing w:val="-2"/>
                <w:sz w:val="18"/>
              </w:rPr>
              <w:t xml:space="preserve"> Portal.</w:t>
            </w:r>
          </w:p>
          <w:p w14:paraId="32524B55" w14:textId="77777777" w:rsidR="00BC24A8" w:rsidRDefault="00000000">
            <w:pPr>
              <w:pStyle w:val="TableParagraph"/>
              <w:numPr>
                <w:ilvl w:val="0"/>
                <w:numId w:val="69"/>
              </w:numPr>
              <w:tabs>
                <w:tab w:val="left" w:pos="453"/>
              </w:tabs>
              <w:spacing w:before="1"/>
              <w:rPr>
                <w:sz w:val="18"/>
              </w:rPr>
            </w:pPr>
            <w:r>
              <w:rPr>
                <w:sz w:val="18"/>
              </w:rPr>
              <w:t>The</w:t>
            </w:r>
            <w:r>
              <w:rPr>
                <w:spacing w:val="-5"/>
                <w:sz w:val="18"/>
              </w:rPr>
              <w:t xml:space="preserve"> </w:t>
            </w:r>
            <w:r>
              <w:rPr>
                <w:sz w:val="18"/>
              </w:rPr>
              <w:t>NTB</w:t>
            </w:r>
            <w:r>
              <w:rPr>
                <w:spacing w:val="-3"/>
                <w:sz w:val="18"/>
              </w:rPr>
              <w:t xml:space="preserve"> </w:t>
            </w:r>
            <w:r>
              <w:rPr>
                <w:i/>
                <w:sz w:val="18"/>
              </w:rPr>
              <w:t>Diskominfotik</w:t>
            </w:r>
            <w:r>
              <w:rPr>
                <w:i/>
                <w:spacing w:val="-2"/>
                <w:sz w:val="18"/>
              </w:rPr>
              <w:t xml:space="preserve"> </w:t>
            </w:r>
            <w:r>
              <w:rPr>
                <w:sz w:val="18"/>
              </w:rPr>
              <w:t>has</w:t>
            </w:r>
            <w:r>
              <w:rPr>
                <w:spacing w:val="-2"/>
                <w:sz w:val="18"/>
              </w:rPr>
              <w:t xml:space="preserve"> </w:t>
            </w:r>
            <w:r>
              <w:rPr>
                <w:sz w:val="18"/>
              </w:rPr>
              <w:t>developed</w:t>
            </w:r>
            <w:r>
              <w:rPr>
                <w:spacing w:val="-1"/>
                <w:sz w:val="18"/>
              </w:rPr>
              <w:t xml:space="preserve"> </w:t>
            </w:r>
            <w:r>
              <w:rPr>
                <w:sz w:val="18"/>
              </w:rPr>
              <w:t>a</w:t>
            </w:r>
            <w:r>
              <w:rPr>
                <w:spacing w:val="-3"/>
                <w:sz w:val="18"/>
              </w:rPr>
              <w:t xml:space="preserve"> </w:t>
            </w:r>
            <w:r>
              <w:rPr>
                <w:sz w:val="18"/>
              </w:rPr>
              <w:t>quality</w:t>
            </w:r>
            <w:r>
              <w:rPr>
                <w:spacing w:val="-1"/>
                <w:sz w:val="18"/>
              </w:rPr>
              <w:t xml:space="preserve"> </w:t>
            </w:r>
            <w:r>
              <w:rPr>
                <w:sz w:val="18"/>
              </w:rPr>
              <w:t>assurance</w:t>
            </w:r>
            <w:r>
              <w:rPr>
                <w:spacing w:val="-2"/>
                <w:sz w:val="18"/>
              </w:rPr>
              <w:t xml:space="preserve"> </w:t>
            </w:r>
            <w:r>
              <w:rPr>
                <w:sz w:val="18"/>
              </w:rPr>
              <w:t>instrument and</w:t>
            </w:r>
            <w:r>
              <w:rPr>
                <w:spacing w:val="-2"/>
                <w:sz w:val="18"/>
              </w:rPr>
              <w:t xml:space="preserve"> </w:t>
            </w:r>
            <w:r>
              <w:rPr>
                <w:sz w:val="18"/>
              </w:rPr>
              <w:t>checked</w:t>
            </w:r>
            <w:r>
              <w:rPr>
                <w:spacing w:val="-1"/>
                <w:sz w:val="18"/>
              </w:rPr>
              <w:t xml:space="preserve"> </w:t>
            </w:r>
            <w:r>
              <w:rPr>
                <w:spacing w:val="-2"/>
                <w:sz w:val="18"/>
              </w:rPr>
              <w:t>data.</w:t>
            </w:r>
          </w:p>
          <w:p w14:paraId="1A20DBDD" w14:textId="77777777" w:rsidR="00BC24A8" w:rsidRDefault="00BC24A8">
            <w:pPr>
              <w:pStyle w:val="TableParagraph"/>
              <w:spacing w:before="59"/>
              <w:rPr>
                <w:rFonts w:ascii="Calibri"/>
                <w:b/>
                <w:sz w:val="18"/>
              </w:rPr>
            </w:pPr>
          </w:p>
          <w:p w14:paraId="799F7AE8" w14:textId="77777777" w:rsidR="00BC24A8" w:rsidRDefault="00000000">
            <w:pPr>
              <w:pStyle w:val="TableParagraph"/>
              <w:spacing w:before="1"/>
              <w:ind w:left="121"/>
              <w:rPr>
                <w:sz w:val="18"/>
              </w:rPr>
            </w:pPr>
            <w:r>
              <w:rPr>
                <w:sz w:val="18"/>
              </w:rPr>
              <w:t>New</w:t>
            </w:r>
            <w:r>
              <w:rPr>
                <w:spacing w:val="-5"/>
                <w:sz w:val="18"/>
              </w:rPr>
              <w:t xml:space="preserve"> </w:t>
            </w:r>
            <w:r>
              <w:rPr>
                <w:sz w:val="18"/>
              </w:rPr>
              <w:t>practices</w:t>
            </w:r>
            <w:r>
              <w:rPr>
                <w:spacing w:val="-2"/>
                <w:sz w:val="18"/>
              </w:rPr>
              <w:t xml:space="preserve"> </w:t>
            </w:r>
            <w:r>
              <w:rPr>
                <w:sz w:val="18"/>
              </w:rPr>
              <w:t>are</w:t>
            </w:r>
            <w:r>
              <w:rPr>
                <w:spacing w:val="-1"/>
                <w:sz w:val="18"/>
              </w:rPr>
              <w:t xml:space="preserve"> </w:t>
            </w:r>
            <w:r>
              <w:rPr>
                <w:sz w:val="18"/>
              </w:rPr>
              <w:t>introduced</w:t>
            </w:r>
            <w:r>
              <w:rPr>
                <w:spacing w:val="-2"/>
                <w:sz w:val="18"/>
              </w:rPr>
              <w:t xml:space="preserve"> </w:t>
            </w:r>
            <w:r>
              <w:rPr>
                <w:sz w:val="18"/>
              </w:rPr>
              <w:t>(models,</w:t>
            </w:r>
            <w:r>
              <w:rPr>
                <w:spacing w:val="-3"/>
                <w:sz w:val="18"/>
              </w:rPr>
              <w:t xml:space="preserve"> </w:t>
            </w:r>
            <w:r>
              <w:rPr>
                <w:sz w:val="18"/>
              </w:rPr>
              <w:t>initiatives,</w:t>
            </w:r>
            <w:r>
              <w:rPr>
                <w:spacing w:val="-2"/>
                <w:sz w:val="18"/>
              </w:rPr>
              <w:t xml:space="preserve"> </w:t>
            </w:r>
            <w:r>
              <w:rPr>
                <w:sz w:val="18"/>
              </w:rPr>
              <w:t>method,</w:t>
            </w:r>
            <w:r>
              <w:rPr>
                <w:spacing w:val="-3"/>
                <w:sz w:val="18"/>
              </w:rPr>
              <w:t xml:space="preserve"> </w:t>
            </w:r>
            <w:r>
              <w:rPr>
                <w:sz w:val="18"/>
              </w:rPr>
              <w:t>approaches,</w:t>
            </w:r>
            <w:r>
              <w:rPr>
                <w:spacing w:val="-2"/>
                <w:sz w:val="18"/>
              </w:rPr>
              <w:t xml:space="preserve"> innovations):</w:t>
            </w:r>
          </w:p>
          <w:p w14:paraId="763B1D60" w14:textId="77777777" w:rsidR="00BC24A8" w:rsidRDefault="00000000">
            <w:pPr>
              <w:pStyle w:val="TableParagraph"/>
              <w:numPr>
                <w:ilvl w:val="0"/>
                <w:numId w:val="69"/>
              </w:numPr>
              <w:tabs>
                <w:tab w:val="left" w:pos="453"/>
              </w:tabs>
              <w:spacing w:before="58"/>
              <w:ind w:right="233"/>
              <w:rPr>
                <w:sz w:val="18"/>
              </w:rPr>
            </w:pPr>
            <w:r>
              <w:rPr>
                <w:sz w:val="18"/>
              </w:rPr>
              <w:t>The</w:t>
            </w:r>
            <w:r>
              <w:rPr>
                <w:spacing w:val="-4"/>
                <w:sz w:val="18"/>
              </w:rPr>
              <w:t xml:space="preserve"> </w:t>
            </w:r>
            <w:r>
              <w:rPr>
                <w:sz w:val="18"/>
              </w:rPr>
              <w:t>socialisation</w:t>
            </w:r>
            <w:r>
              <w:rPr>
                <w:spacing w:val="-3"/>
                <w:sz w:val="18"/>
              </w:rPr>
              <w:t xml:space="preserve"> </w:t>
            </w:r>
            <w:r>
              <w:rPr>
                <w:sz w:val="18"/>
              </w:rPr>
              <w:t>of</w:t>
            </w:r>
            <w:r>
              <w:rPr>
                <w:spacing w:val="-4"/>
                <w:sz w:val="18"/>
              </w:rPr>
              <w:t xml:space="preserve"> </w:t>
            </w:r>
            <w:r>
              <w:rPr>
                <w:sz w:val="18"/>
              </w:rPr>
              <w:t>motor</w:t>
            </w:r>
            <w:r>
              <w:rPr>
                <w:spacing w:val="-3"/>
                <w:sz w:val="18"/>
              </w:rPr>
              <w:t xml:space="preserve"> </w:t>
            </w:r>
            <w:r>
              <w:rPr>
                <w:sz w:val="18"/>
              </w:rPr>
              <w:t>vehicle</w:t>
            </w:r>
            <w:r>
              <w:rPr>
                <w:spacing w:val="-5"/>
                <w:sz w:val="18"/>
              </w:rPr>
              <w:t xml:space="preserve"> </w:t>
            </w:r>
            <w:r>
              <w:rPr>
                <w:sz w:val="18"/>
              </w:rPr>
              <w:t>tax</w:t>
            </w:r>
            <w:r>
              <w:rPr>
                <w:spacing w:val="-4"/>
                <w:sz w:val="18"/>
              </w:rPr>
              <w:t xml:space="preserve"> </w:t>
            </w:r>
            <w:r>
              <w:rPr>
                <w:sz w:val="18"/>
              </w:rPr>
              <w:t>waiver</w:t>
            </w:r>
            <w:r>
              <w:rPr>
                <w:spacing w:val="-3"/>
                <w:sz w:val="18"/>
              </w:rPr>
              <w:t xml:space="preserve"> </w:t>
            </w:r>
            <w:r>
              <w:rPr>
                <w:sz w:val="18"/>
              </w:rPr>
              <w:t>for</w:t>
            </w:r>
            <w:r>
              <w:rPr>
                <w:spacing w:val="-3"/>
                <w:sz w:val="18"/>
              </w:rPr>
              <w:t xml:space="preserve"> </w:t>
            </w:r>
            <w:r>
              <w:rPr>
                <w:sz w:val="18"/>
              </w:rPr>
              <w:t>modified</w:t>
            </w:r>
            <w:r>
              <w:rPr>
                <w:spacing w:val="-3"/>
                <w:sz w:val="18"/>
              </w:rPr>
              <w:t xml:space="preserve"> </w:t>
            </w:r>
            <w:r>
              <w:rPr>
                <w:sz w:val="18"/>
              </w:rPr>
              <w:t>vehicles</w:t>
            </w:r>
            <w:r>
              <w:rPr>
                <w:spacing w:val="-3"/>
                <w:sz w:val="18"/>
              </w:rPr>
              <w:t xml:space="preserve"> </w:t>
            </w:r>
            <w:r>
              <w:rPr>
                <w:sz w:val="18"/>
              </w:rPr>
              <w:t>for</w:t>
            </w:r>
            <w:r>
              <w:rPr>
                <w:spacing w:val="-3"/>
                <w:sz w:val="18"/>
              </w:rPr>
              <w:t xml:space="preserve"> </w:t>
            </w:r>
            <w:r>
              <w:rPr>
                <w:sz w:val="18"/>
              </w:rPr>
              <w:t>persons</w:t>
            </w:r>
            <w:r>
              <w:rPr>
                <w:spacing w:val="-3"/>
                <w:sz w:val="18"/>
              </w:rPr>
              <w:t xml:space="preserve"> </w:t>
            </w:r>
            <w:r>
              <w:rPr>
                <w:sz w:val="18"/>
              </w:rPr>
              <w:t>with</w:t>
            </w:r>
            <w:r>
              <w:rPr>
                <w:spacing w:val="-3"/>
                <w:sz w:val="18"/>
              </w:rPr>
              <w:t xml:space="preserve"> </w:t>
            </w:r>
            <w:r>
              <w:rPr>
                <w:sz w:val="18"/>
              </w:rPr>
              <w:t>disabilities</w:t>
            </w:r>
            <w:r>
              <w:rPr>
                <w:spacing w:val="-3"/>
                <w:sz w:val="18"/>
              </w:rPr>
              <w:t xml:space="preserve"> </w:t>
            </w:r>
            <w:r>
              <w:rPr>
                <w:sz w:val="18"/>
              </w:rPr>
              <w:t>has been carried out in ten districts/cities.</w:t>
            </w:r>
          </w:p>
          <w:p w14:paraId="54E2D8E5" w14:textId="77777777" w:rsidR="00BC24A8" w:rsidRDefault="00000000">
            <w:pPr>
              <w:pStyle w:val="TableParagraph"/>
              <w:numPr>
                <w:ilvl w:val="0"/>
                <w:numId w:val="69"/>
              </w:numPr>
              <w:tabs>
                <w:tab w:val="left" w:pos="453"/>
              </w:tabs>
              <w:ind w:right="261"/>
              <w:rPr>
                <w:sz w:val="18"/>
              </w:rPr>
            </w:pPr>
            <w:r>
              <w:rPr>
                <w:sz w:val="18"/>
              </w:rPr>
              <w:t>68</w:t>
            </w:r>
            <w:r>
              <w:rPr>
                <w:spacing w:val="-2"/>
                <w:sz w:val="18"/>
              </w:rPr>
              <w:t xml:space="preserve"> </w:t>
            </w:r>
            <w:r>
              <w:rPr>
                <w:sz w:val="18"/>
              </w:rPr>
              <w:t>participants</w:t>
            </w:r>
            <w:r>
              <w:rPr>
                <w:spacing w:val="-2"/>
                <w:sz w:val="18"/>
              </w:rPr>
              <w:t xml:space="preserve"> </w:t>
            </w:r>
            <w:r>
              <w:rPr>
                <w:sz w:val="18"/>
              </w:rPr>
              <w:t>from</w:t>
            </w:r>
            <w:r>
              <w:rPr>
                <w:spacing w:val="-3"/>
                <w:sz w:val="18"/>
              </w:rPr>
              <w:t xml:space="preserve"> </w:t>
            </w:r>
            <w:r>
              <w:rPr>
                <w:sz w:val="18"/>
              </w:rPr>
              <w:t>36</w:t>
            </w:r>
            <w:r>
              <w:rPr>
                <w:spacing w:val="-2"/>
                <w:sz w:val="18"/>
              </w:rPr>
              <w:t xml:space="preserve"> </w:t>
            </w:r>
            <w:r>
              <w:rPr>
                <w:sz w:val="18"/>
              </w:rPr>
              <w:t>provincial</w:t>
            </w:r>
            <w:r>
              <w:rPr>
                <w:spacing w:val="-4"/>
                <w:sz w:val="18"/>
              </w:rPr>
              <w:t xml:space="preserve"> </w:t>
            </w:r>
            <w:r>
              <w:rPr>
                <w:sz w:val="18"/>
              </w:rPr>
              <w:t>agencies</w:t>
            </w:r>
            <w:r>
              <w:rPr>
                <w:spacing w:val="-2"/>
                <w:sz w:val="18"/>
              </w:rPr>
              <w:t xml:space="preserve"> </w:t>
            </w:r>
            <w:r>
              <w:rPr>
                <w:sz w:val="18"/>
              </w:rPr>
              <w:t>in</w:t>
            </w:r>
            <w:r>
              <w:rPr>
                <w:spacing w:val="-2"/>
                <w:sz w:val="18"/>
              </w:rPr>
              <w:t xml:space="preserve"> </w:t>
            </w:r>
            <w:r>
              <w:rPr>
                <w:sz w:val="18"/>
              </w:rPr>
              <w:t>NTB</w:t>
            </w:r>
            <w:r>
              <w:rPr>
                <w:spacing w:val="-3"/>
                <w:sz w:val="18"/>
              </w:rPr>
              <w:t xml:space="preserve"> </w:t>
            </w:r>
            <w:r>
              <w:rPr>
                <w:sz w:val="18"/>
              </w:rPr>
              <w:t>Province</w:t>
            </w:r>
            <w:r>
              <w:rPr>
                <w:spacing w:val="-2"/>
                <w:sz w:val="18"/>
              </w:rPr>
              <w:t xml:space="preserve"> </w:t>
            </w:r>
            <w:r>
              <w:rPr>
                <w:sz w:val="18"/>
              </w:rPr>
              <w:t>have</w:t>
            </w:r>
            <w:r>
              <w:rPr>
                <w:spacing w:val="-2"/>
                <w:sz w:val="18"/>
              </w:rPr>
              <w:t xml:space="preserve"> </w:t>
            </w:r>
            <w:r>
              <w:rPr>
                <w:sz w:val="18"/>
              </w:rPr>
              <w:t>participated</w:t>
            </w:r>
            <w:r>
              <w:rPr>
                <w:spacing w:val="-2"/>
                <w:sz w:val="18"/>
              </w:rPr>
              <w:t xml:space="preserve"> </w:t>
            </w:r>
            <w:r>
              <w:rPr>
                <w:sz w:val="18"/>
              </w:rPr>
              <w:t>in</w:t>
            </w:r>
            <w:r>
              <w:rPr>
                <w:spacing w:val="-2"/>
                <w:sz w:val="18"/>
              </w:rPr>
              <w:t xml:space="preserve"> </w:t>
            </w:r>
            <w:r>
              <w:rPr>
                <w:sz w:val="18"/>
              </w:rPr>
              <w:t>the</w:t>
            </w:r>
            <w:r>
              <w:rPr>
                <w:spacing w:val="-5"/>
                <w:sz w:val="18"/>
              </w:rPr>
              <w:t xml:space="preserve"> </w:t>
            </w:r>
            <w:r>
              <w:rPr>
                <w:sz w:val="18"/>
              </w:rPr>
              <w:t>regional</w:t>
            </w:r>
            <w:r>
              <w:rPr>
                <w:spacing w:val="-1"/>
                <w:sz w:val="18"/>
              </w:rPr>
              <w:t xml:space="preserve"> </w:t>
            </w:r>
            <w:r>
              <w:rPr>
                <w:sz w:val="18"/>
              </w:rPr>
              <w:t>data management technical guidance.</w:t>
            </w:r>
          </w:p>
          <w:p w14:paraId="1DA7AE1F" w14:textId="77777777" w:rsidR="00BC24A8" w:rsidRDefault="00000000">
            <w:pPr>
              <w:pStyle w:val="TableParagraph"/>
              <w:numPr>
                <w:ilvl w:val="0"/>
                <w:numId w:val="69"/>
              </w:numPr>
              <w:tabs>
                <w:tab w:val="left" w:pos="453"/>
              </w:tabs>
              <w:spacing w:line="219" w:lineRule="exact"/>
              <w:rPr>
                <w:sz w:val="18"/>
              </w:rPr>
            </w:pPr>
            <w:r>
              <w:rPr>
                <w:sz w:val="18"/>
              </w:rPr>
              <w:t>4</w:t>
            </w:r>
            <w:r>
              <w:rPr>
                <w:spacing w:val="-2"/>
                <w:sz w:val="18"/>
              </w:rPr>
              <w:t xml:space="preserve"> </w:t>
            </w:r>
            <w:r>
              <w:rPr>
                <w:sz w:val="18"/>
              </w:rPr>
              <w:t>civil</w:t>
            </w:r>
            <w:r>
              <w:rPr>
                <w:spacing w:val="-4"/>
                <w:sz w:val="18"/>
              </w:rPr>
              <w:t xml:space="preserve"> </w:t>
            </w:r>
            <w:r>
              <w:rPr>
                <w:sz w:val="18"/>
              </w:rPr>
              <w:t>servants</w:t>
            </w:r>
            <w:r>
              <w:rPr>
                <w:spacing w:val="-1"/>
                <w:sz w:val="18"/>
              </w:rPr>
              <w:t xml:space="preserve"> </w:t>
            </w:r>
            <w:r>
              <w:rPr>
                <w:sz w:val="18"/>
              </w:rPr>
              <w:t>from</w:t>
            </w:r>
            <w:r>
              <w:rPr>
                <w:spacing w:val="-3"/>
                <w:sz w:val="18"/>
              </w:rPr>
              <w:t xml:space="preserve"> </w:t>
            </w:r>
            <w:r>
              <w:rPr>
                <w:i/>
                <w:sz w:val="18"/>
              </w:rPr>
              <w:t>Bappeda</w:t>
            </w:r>
            <w:r>
              <w:rPr>
                <w:i/>
                <w:spacing w:val="-2"/>
                <w:sz w:val="18"/>
              </w:rPr>
              <w:t xml:space="preserve"> </w:t>
            </w:r>
            <w:r>
              <w:rPr>
                <w:sz w:val="18"/>
              </w:rPr>
              <w:t>and the</w:t>
            </w:r>
            <w:r>
              <w:rPr>
                <w:spacing w:val="-1"/>
                <w:sz w:val="18"/>
              </w:rPr>
              <w:t xml:space="preserve"> </w:t>
            </w:r>
            <w:r>
              <w:rPr>
                <w:i/>
                <w:sz w:val="18"/>
              </w:rPr>
              <w:t>Diskominfotik</w:t>
            </w:r>
            <w:r>
              <w:rPr>
                <w:i/>
                <w:spacing w:val="-3"/>
                <w:sz w:val="18"/>
              </w:rPr>
              <w:t xml:space="preserve"> </w:t>
            </w:r>
            <w:r>
              <w:rPr>
                <w:sz w:val="18"/>
              </w:rPr>
              <w:t>became</w:t>
            </w:r>
            <w:r>
              <w:rPr>
                <w:spacing w:val="-2"/>
                <w:sz w:val="18"/>
              </w:rPr>
              <w:t xml:space="preserve"> </w:t>
            </w:r>
            <w:r>
              <w:rPr>
                <w:sz w:val="18"/>
              </w:rPr>
              <w:t>resource</w:t>
            </w:r>
            <w:r>
              <w:rPr>
                <w:spacing w:val="-1"/>
                <w:sz w:val="18"/>
              </w:rPr>
              <w:t xml:space="preserve"> </w:t>
            </w:r>
            <w:r>
              <w:rPr>
                <w:sz w:val="18"/>
              </w:rPr>
              <w:t>persons</w:t>
            </w:r>
            <w:r>
              <w:rPr>
                <w:spacing w:val="-2"/>
                <w:sz w:val="18"/>
              </w:rPr>
              <w:t xml:space="preserve"> </w:t>
            </w:r>
            <w:r>
              <w:rPr>
                <w:sz w:val="18"/>
              </w:rPr>
              <w:t>for</w:t>
            </w:r>
            <w:r>
              <w:rPr>
                <w:spacing w:val="-1"/>
                <w:sz w:val="18"/>
              </w:rPr>
              <w:t xml:space="preserve"> </w:t>
            </w:r>
            <w:r>
              <w:rPr>
                <w:sz w:val="18"/>
              </w:rPr>
              <w:t>the</w:t>
            </w:r>
            <w:r>
              <w:rPr>
                <w:spacing w:val="-2"/>
                <w:sz w:val="18"/>
              </w:rPr>
              <w:t xml:space="preserve"> </w:t>
            </w:r>
            <w:r>
              <w:rPr>
                <w:sz w:val="18"/>
              </w:rPr>
              <w:t>use</w:t>
            </w:r>
            <w:r>
              <w:rPr>
                <w:spacing w:val="-1"/>
                <w:sz w:val="18"/>
              </w:rPr>
              <w:t xml:space="preserve"> </w:t>
            </w:r>
            <w:r>
              <w:rPr>
                <w:spacing w:val="-5"/>
                <w:sz w:val="18"/>
              </w:rPr>
              <w:t>of</w:t>
            </w:r>
          </w:p>
          <w:p w14:paraId="44CFA870" w14:textId="77777777" w:rsidR="00BC24A8" w:rsidRDefault="00000000">
            <w:pPr>
              <w:pStyle w:val="TableParagraph"/>
              <w:spacing w:before="1" w:line="219" w:lineRule="exact"/>
              <w:ind w:left="453"/>
              <w:rPr>
                <w:sz w:val="18"/>
              </w:rPr>
            </w:pPr>
            <w:r>
              <w:rPr>
                <w:i/>
                <w:sz w:val="18"/>
              </w:rPr>
              <w:t>REGSOSEK</w:t>
            </w:r>
            <w:r>
              <w:rPr>
                <w:i/>
                <w:spacing w:val="-2"/>
                <w:sz w:val="18"/>
              </w:rPr>
              <w:t xml:space="preserve"> </w:t>
            </w:r>
            <w:r>
              <w:rPr>
                <w:spacing w:val="-2"/>
                <w:sz w:val="18"/>
              </w:rPr>
              <w:t>data.</w:t>
            </w:r>
          </w:p>
          <w:p w14:paraId="6D7DADF9" w14:textId="77777777" w:rsidR="00BC24A8" w:rsidRDefault="00000000">
            <w:pPr>
              <w:pStyle w:val="TableParagraph"/>
              <w:numPr>
                <w:ilvl w:val="0"/>
                <w:numId w:val="69"/>
              </w:numPr>
              <w:tabs>
                <w:tab w:val="left" w:pos="453"/>
              </w:tabs>
              <w:spacing w:line="219" w:lineRule="exact"/>
              <w:rPr>
                <w:sz w:val="18"/>
              </w:rPr>
            </w:pPr>
            <w:r>
              <w:rPr>
                <w:sz w:val="18"/>
              </w:rPr>
              <w:t>The</w:t>
            </w:r>
            <w:r>
              <w:rPr>
                <w:spacing w:val="-4"/>
                <w:sz w:val="18"/>
              </w:rPr>
              <w:t xml:space="preserve"> </w:t>
            </w:r>
            <w:r>
              <w:rPr>
                <w:sz w:val="18"/>
              </w:rPr>
              <w:t>Thematic</w:t>
            </w:r>
            <w:r>
              <w:rPr>
                <w:spacing w:val="-1"/>
                <w:sz w:val="18"/>
              </w:rPr>
              <w:t xml:space="preserve"> </w:t>
            </w:r>
            <w:r>
              <w:rPr>
                <w:i/>
                <w:sz w:val="18"/>
              </w:rPr>
              <w:t>Musrenbang</w:t>
            </w:r>
            <w:r>
              <w:rPr>
                <w:i/>
                <w:spacing w:val="-3"/>
                <w:sz w:val="18"/>
              </w:rPr>
              <w:t xml:space="preserve"> </w:t>
            </w:r>
            <w:r>
              <w:rPr>
                <w:sz w:val="18"/>
              </w:rPr>
              <w:t>has</w:t>
            </w:r>
            <w:r>
              <w:rPr>
                <w:spacing w:val="-1"/>
                <w:sz w:val="18"/>
              </w:rPr>
              <w:t xml:space="preserve"> </w:t>
            </w:r>
            <w:r>
              <w:rPr>
                <w:sz w:val="18"/>
              </w:rPr>
              <w:t>been</w:t>
            </w:r>
            <w:r>
              <w:rPr>
                <w:spacing w:val="-1"/>
                <w:sz w:val="18"/>
              </w:rPr>
              <w:t xml:space="preserve"> </w:t>
            </w:r>
            <w:r>
              <w:rPr>
                <w:sz w:val="18"/>
              </w:rPr>
              <w:t>implemented</w:t>
            </w:r>
            <w:r>
              <w:rPr>
                <w:spacing w:val="-2"/>
                <w:sz w:val="18"/>
              </w:rPr>
              <w:t xml:space="preserve"> </w:t>
            </w:r>
            <w:r>
              <w:rPr>
                <w:sz w:val="18"/>
              </w:rPr>
              <w:t>to</w:t>
            </w:r>
            <w:r>
              <w:rPr>
                <w:spacing w:val="-2"/>
                <w:sz w:val="18"/>
              </w:rPr>
              <w:t xml:space="preserve"> </w:t>
            </w:r>
            <w:r>
              <w:rPr>
                <w:sz w:val="18"/>
              </w:rPr>
              <w:t>ensure</w:t>
            </w:r>
            <w:r>
              <w:rPr>
                <w:spacing w:val="-1"/>
                <w:sz w:val="18"/>
              </w:rPr>
              <w:t xml:space="preserve"> </w:t>
            </w:r>
            <w:r>
              <w:rPr>
                <w:sz w:val="18"/>
              </w:rPr>
              <w:t>public</w:t>
            </w:r>
            <w:r>
              <w:rPr>
                <w:spacing w:val="-5"/>
                <w:sz w:val="18"/>
              </w:rPr>
              <w:t xml:space="preserve"> </w:t>
            </w:r>
            <w:r>
              <w:rPr>
                <w:sz w:val="18"/>
              </w:rPr>
              <w:t>participation</w:t>
            </w:r>
            <w:r>
              <w:rPr>
                <w:spacing w:val="-1"/>
                <w:sz w:val="18"/>
              </w:rPr>
              <w:t xml:space="preserve"> </w:t>
            </w:r>
            <w:r>
              <w:rPr>
                <w:sz w:val="18"/>
              </w:rPr>
              <w:t>in</w:t>
            </w:r>
            <w:r>
              <w:rPr>
                <w:spacing w:val="-1"/>
                <w:sz w:val="18"/>
              </w:rPr>
              <w:t xml:space="preserve"> </w:t>
            </w:r>
            <w:r>
              <w:rPr>
                <w:spacing w:val="-2"/>
                <w:sz w:val="18"/>
              </w:rPr>
              <w:t>planning.</w:t>
            </w:r>
          </w:p>
          <w:p w14:paraId="098808C5" w14:textId="77777777" w:rsidR="00BC24A8" w:rsidRDefault="00000000">
            <w:pPr>
              <w:pStyle w:val="TableParagraph"/>
              <w:numPr>
                <w:ilvl w:val="0"/>
                <w:numId w:val="69"/>
              </w:numPr>
              <w:tabs>
                <w:tab w:val="left" w:pos="453"/>
              </w:tabs>
              <w:spacing w:before="1"/>
              <w:rPr>
                <w:sz w:val="18"/>
              </w:rPr>
            </w:pPr>
            <w:r>
              <w:rPr>
                <w:sz w:val="18"/>
              </w:rPr>
              <w:t>A</w:t>
            </w:r>
            <w:r>
              <w:rPr>
                <w:spacing w:val="-5"/>
                <w:sz w:val="18"/>
              </w:rPr>
              <w:t xml:space="preserve"> </w:t>
            </w:r>
            <w:r>
              <w:rPr>
                <w:sz w:val="18"/>
              </w:rPr>
              <w:t>total of</w:t>
            </w:r>
            <w:r>
              <w:rPr>
                <w:spacing w:val="-3"/>
                <w:sz w:val="18"/>
              </w:rPr>
              <w:t xml:space="preserve"> </w:t>
            </w:r>
            <w:r>
              <w:rPr>
                <w:sz w:val="18"/>
              </w:rPr>
              <w:t>18</w:t>
            </w:r>
            <w:r>
              <w:rPr>
                <w:spacing w:val="-1"/>
                <w:sz w:val="18"/>
              </w:rPr>
              <w:t xml:space="preserve"> </w:t>
            </w:r>
            <w:r>
              <w:rPr>
                <w:sz w:val="18"/>
              </w:rPr>
              <w:t>civil</w:t>
            </w:r>
            <w:r>
              <w:rPr>
                <w:spacing w:val="-1"/>
                <w:sz w:val="18"/>
              </w:rPr>
              <w:t xml:space="preserve"> </w:t>
            </w:r>
            <w:r>
              <w:rPr>
                <w:sz w:val="18"/>
              </w:rPr>
              <w:t>servants</w:t>
            </w:r>
            <w:r>
              <w:rPr>
                <w:spacing w:val="-1"/>
                <w:sz w:val="18"/>
              </w:rPr>
              <w:t xml:space="preserve"> </w:t>
            </w:r>
            <w:r>
              <w:rPr>
                <w:sz w:val="18"/>
              </w:rPr>
              <w:t>from</w:t>
            </w:r>
            <w:r>
              <w:rPr>
                <w:spacing w:val="-3"/>
                <w:sz w:val="18"/>
              </w:rPr>
              <w:t xml:space="preserve"> </w:t>
            </w:r>
            <w:r>
              <w:rPr>
                <w:sz w:val="18"/>
              </w:rPr>
              <w:t>4</w:t>
            </w:r>
            <w:r>
              <w:rPr>
                <w:spacing w:val="-1"/>
                <w:sz w:val="18"/>
              </w:rPr>
              <w:t xml:space="preserve"> </w:t>
            </w:r>
            <w:r>
              <w:rPr>
                <w:sz w:val="18"/>
              </w:rPr>
              <w:t>provincial</w:t>
            </w:r>
            <w:r>
              <w:rPr>
                <w:spacing w:val="-1"/>
                <w:sz w:val="18"/>
              </w:rPr>
              <w:t xml:space="preserve"> </w:t>
            </w:r>
            <w:r>
              <w:rPr>
                <w:sz w:val="18"/>
              </w:rPr>
              <w:t>agencies</w:t>
            </w:r>
            <w:r>
              <w:rPr>
                <w:spacing w:val="-1"/>
                <w:sz w:val="18"/>
              </w:rPr>
              <w:t xml:space="preserve"> </w:t>
            </w:r>
            <w:r>
              <w:rPr>
                <w:sz w:val="18"/>
              </w:rPr>
              <w:t>and</w:t>
            </w:r>
            <w:r>
              <w:rPr>
                <w:spacing w:val="-2"/>
                <w:sz w:val="18"/>
              </w:rPr>
              <w:t xml:space="preserve"> </w:t>
            </w:r>
            <w:r>
              <w:rPr>
                <w:sz w:val="18"/>
              </w:rPr>
              <w:t>5</w:t>
            </w:r>
            <w:r>
              <w:rPr>
                <w:spacing w:val="-1"/>
                <w:sz w:val="18"/>
              </w:rPr>
              <w:t xml:space="preserve"> </w:t>
            </w:r>
            <w:r>
              <w:rPr>
                <w:sz w:val="18"/>
              </w:rPr>
              <w:t>CSO/DPOS</w:t>
            </w:r>
            <w:r>
              <w:rPr>
                <w:spacing w:val="-2"/>
                <w:sz w:val="18"/>
              </w:rPr>
              <w:t xml:space="preserve"> </w:t>
            </w:r>
            <w:r>
              <w:rPr>
                <w:sz w:val="18"/>
              </w:rPr>
              <w:t>became</w:t>
            </w:r>
            <w:r>
              <w:rPr>
                <w:spacing w:val="-1"/>
                <w:sz w:val="18"/>
              </w:rPr>
              <w:t xml:space="preserve"> </w:t>
            </w:r>
            <w:r>
              <w:rPr>
                <w:sz w:val="18"/>
              </w:rPr>
              <w:t>the</w:t>
            </w:r>
            <w:r>
              <w:rPr>
                <w:spacing w:val="-1"/>
                <w:sz w:val="18"/>
              </w:rPr>
              <w:t xml:space="preserve"> </w:t>
            </w:r>
            <w:r>
              <w:rPr>
                <w:spacing w:val="-2"/>
                <w:sz w:val="18"/>
              </w:rPr>
              <w:t>Thematic</w:t>
            </w:r>
          </w:p>
          <w:p w14:paraId="42C522D7" w14:textId="77777777" w:rsidR="00BC24A8" w:rsidRDefault="00000000">
            <w:pPr>
              <w:pStyle w:val="TableParagraph"/>
              <w:spacing w:before="1"/>
              <w:ind w:left="453"/>
              <w:rPr>
                <w:sz w:val="18"/>
              </w:rPr>
            </w:pPr>
            <w:r>
              <w:rPr>
                <w:i/>
                <w:sz w:val="18"/>
              </w:rPr>
              <w:t>Musrenbang</w:t>
            </w:r>
            <w:r>
              <w:rPr>
                <w:i/>
                <w:spacing w:val="-3"/>
                <w:sz w:val="18"/>
              </w:rPr>
              <w:t xml:space="preserve"> </w:t>
            </w:r>
            <w:r>
              <w:rPr>
                <w:sz w:val="18"/>
              </w:rPr>
              <w:t>facilitator</w:t>
            </w:r>
            <w:r>
              <w:rPr>
                <w:spacing w:val="-2"/>
                <w:sz w:val="18"/>
              </w:rPr>
              <w:t xml:space="preserve"> team.</w:t>
            </w:r>
          </w:p>
        </w:tc>
      </w:tr>
      <w:tr w:rsidR="00BC24A8" w14:paraId="6C3453F3" w14:textId="77777777">
        <w:trPr>
          <w:trHeight w:val="2152"/>
        </w:trPr>
        <w:tc>
          <w:tcPr>
            <w:tcW w:w="1343" w:type="dxa"/>
            <w:tcBorders>
              <w:top w:val="single" w:sz="4" w:space="0" w:color="BEBEBE"/>
              <w:bottom w:val="single" w:sz="4" w:space="0" w:color="BEBEBE"/>
            </w:tcBorders>
          </w:tcPr>
          <w:p w14:paraId="00CF8AE4" w14:textId="77777777" w:rsidR="00BC24A8" w:rsidRDefault="00000000">
            <w:pPr>
              <w:pStyle w:val="TableParagraph"/>
              <w:spacing w:before="119"/>
              <w:ind w:left="116"/>
              <w:rPr>
                <w:sz w:val="18"/>
              </w:rPr>
            </w:pPr>
            <w:r>
              <w:rPr>
                <w:spacing w:val="-2"/>
                <w:sz w:val="18"/>
              </w:rPr>
              <w:t>Ecosystem</w:t>
            </w:r>
            <w:r>
              <w:rPr>
                <w:sz w:val="18"/>
              </w:rPr>
              <w:t xml:space="preserve"> </w:t>
            </w:r>
            <w:r>
              <w:rPr>
                <w:spacing w:val="-2"/>
                <w:sz w:val="18"/>
              </w:rPr>
              <w:t>Impacts</w:t>
            </w:r>
          </w:p>
        </w:tc>
        <w:tc>
          <w:tcPr>
            <w:tcW w:w="7755" w:type="dxa"/>
            <w:tcBorders>
              <w:top w:val="single" w:sz="4" w:space="0" w:color="BEBEBE"/>
              <w:bottom w:val="single" w:sz="4" w:space="0" w:color="BEBEBE"/>
            </w:tcBorders>
          </w:tcPr>
          <w:p w14:paraId="350FFDAF" w14:textId="77777777" w:rsidR="00BC24A8" w:rsidRDefault="00000000">
            <w:pPr>
              <w:pStyle w:val="TableParagraph"/>
              <w:spacing w:before="59"/>
              <w:ind w:left="121"/>
              <w:rPr>
                <w:sz w:val="18"/>
              </w:rPr>
            </w:pPr>
            <w:r>
              <w:rPr>
                <w:sz w:val="18"/>
              </w:rPr>
              <w:t>Policies/regulations</w:t>
            </w:r>
            <w:r>
              <w:rPr>
                <w:spacing w:val="-3"/>
                <w:sz w:val="18"/>
              </w:rPr>
              <w:t xml:space="preserve"> </w:t>
            </w:r>
            <w:r>
              <w:rPr>
                <w:sz w:val="18"/>
              </w:rPr>
              <w:t>as</w:t>
            </w:r>
            <w:r>
              <w:rPr>
                <w:spacing w:val="-1"/>
                <w:sz w:val="18"/>
              </w:rPr>
              <w:t xml:space="preserve"> </w:t>
            </w:r>
            <w:r>
              <w:rPr>
                <w:sz w:val="18"/>
              </w:rPr>
              <w:t>a</w:t>
            </w:r>
            <w:r>
              <w:rPr>
                <w:spacing w:val="-2"/>
                <w:sz w:val="18"/>
              </w:rPr>
              <w:t xml:space="preserve"> </w:t>
            </w:r>
            <w:r>
              <w:rPr>
                <w:sz w:val="18"/>
              </w:rPr>
              <w:t>tangible</w:t>
            </w:r>
            <w:r>
              <w:rPr>
                <w:spacing w:val="-4"/>
                <w:sz w:val="18"/>
              </w:rPr>
              <w:t xml:space="preserve"> </w:t>
            </w:r>
            <w:r>
              <w:rPr>
                <w:sz w:val="18"/>
              </w:rPr>
              <w:t>form</w:t>
            </w:r>
            <w:r>
              <w:rPr>
                <w:spacing w:val="-2"/>
                <w:sz w:val="18"/>
              </w:rPr>
              <w:t xml:space="preserve"> </w:t>
            </w:r>
            <w:r>
              <w:rPr>
                <w:sz w:val="18"/>
              </w:rPr>
              <w:t>of</w:t>
            </w:r>
            <w:r>
              <w:rPr>
                <w:spacing w:val="-1"/>
                <w:sz w:val="18"/>
              </w:rPr>
              <w:t xml:space="preserve"> </w:t>
            </w:r>
            <w:r>
              <w:rPr>
                <w:spacing w:val="-2"/>
                <w:sz w:val="18"/>
              </w:rPr>
              <w:t>commitment:</w:t>
            </w:r>
          </w:p>
          <w:p w14:paraId="4183E689" w14:textId="77777777" w:rsidR="00BC24A8" w:rsidRDefault="00000000">
            <w:pPr>
              <w:pStyle w:val="TableParagraph"/>
              <w:numPr>
                <w:ilvl w:val="0"/>
                <w:numId w:val="68"/>
              </w:numPr>
              <w:tabs>
                <w:tab w:val="left" w:pos="453"/>
              </w:tabs>
              <w:spacing w:before="58"/>
              <w:rPr>
                <w:sz w:val="18"/>
              </w:rPr>
            </w:pPr>
            <w:r>
              <w:rPr>
                <w:sz w:val="18"/>
              </w:rPr>
              <w:t>Regional</w:t>
            </w:r>
            <w:r>
              <w:rPr>
                <w:spacing w:val="-3"/>
                <w:sz w:val="18"/>
              </w:rPr>
              <w:t xml:space="preserve"> </w:t>
            </w:r>
            <w:r>
              <w:rPr>
                <w:sz w:val="18"/>
              </w:rPr>
              <w:t>Regulation</w:t>
            </w:r>
            <w:r>
              <w:rPr>
                <w:spacing w:val="-3"/>
                <w:sz w:val="18"/>
              </w:rPr>
              <w:t xml:space="preserve"> </w:t>
            </w:r>
            <w:r>
              <w:rPr>
                <w:sz w:val="18"/>
              </w:rPr>
              <w:t>2/2024</w:t>
            </w:r>
            <w:r>
              <w:rPr>
                <w:spacing w:val="-3"/>
                <w:sz w:val="18"/>
              </w:rPr>
              <w:t xml:space="preserve"> </w:t>
            </w:r>
            <w:r>
              <w:rPr>
                <w:sz w:val="18"/>
              </w:rPr>
              <w:t>on</w:t>
            </w:r>
            <w:r>
              <w:rPr>
                <w:spacing w:val="-2"/>
                <w:sz w:val="18"/>
              </w:rPr>
              <w:t xml:space="preserve"> </w:t>
            </w:r>
            <w:r>
              <w:rPr>
                <w:sz w:val="18"/>
              </w:rPr>
              <w:t>Regional</w:t>
            </w:r>
            <w:r>
              <w:rPr>
                <w:spacing w:val="-3"/>
                <w:sz w:val="18"/>
              </w:rPr>
              <w:t xml:space="preserve"> </w:t>
            </w:r>
            <w:r>
              <w:rPr>
                <w:sz w:val="18"/>
              </w:rPr>
              <w:t>Taxes</w:t>
            </w:r>
            <w:r>
              <w:rPr>
                <w:spacing w:val="-3"/>
                <w:sz w:val="18"/>
              </w:rPr>
              <w:t xml:space="preserve"> </w:t>
            </w:r>
            <w:r>
              <w:rPr>
                <w:sz w:val="18"/>
              </w:rPr>
              <w:t>and</w:t>
            </w:r>
            <w:r>
              <w:rPr>
                <w:spacing w:val="-2"/>
                <w:sz w:val="18"/>
              </w:rPr>
              <w:t xml:space="preserve"> Levies.</w:t>
            </w:r>
          </w:p>
          <w:p w14:paraId="7C2FF171" w14:textId="77777777" w:rsidR="00BC24A8" w:rsidRDefault="00000000">
            <w:pPr>
              <w:pStyle w:val="TableParagraph"/>
              <w:numPr>
                <w:ilvl w:val="0"/>
                <w:numId w:val="68"/>
              </w:numPr>
              <w:tabs>
                <w:tab w:val="left" w:pos="453"/>
              </w:tabs>
              <w:spacing w:before="1"/>
              <w:ind w:right="174"/>
              <w:rPr>
                <w:sz w:val="18"/>
              </w:rPr>
            </w:pPr>
            <w:r>
              <w:rPr>
                <w:sz w:val="18"/>
              </w:rPr>
              <w:t>Governor's</w:t>
            </w:r>
            <w:r>
              <w:rPr>
                <w:spacing w:val="-3"/>
                <w:sz w:val="18"/>
              </w:rPr>
              <w:t xml:space="preserve"> </w:t>
            </w:r>
            <w:r>
              <w:rPr>
                <w:sz w:val="18"/>
              </w:rPr>
              <w:t>Regulation</w:t>
            </w:r>
            <w:r>
              <w:rPr>
                <w:spacing w:val="-3"/>
                <w:sz w:val="18"/>
              </w:rPr>
              <w:t xml:space="preserve"> </w:t>
            </w:r>
            <w:r>
              <w:rPr>
                <w:sz w:val="18"/>
              </w:rPr>
              <w:t>23/2024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procedures</w:t>
            </w:r>
            <w:r>
              <w:rPr>
                <w:spacing w:val="-3"/>
                <w:sz w:val="18"/>
              </w:rPr>
              <w:t xml:space="preserve"> </w:t>
            </w:r>
            <w:r>
              <w:rPr>
                <w:sz w:val="18"/>
              </w:rPr>
              <w:t>for</w:t>
            </w:r>
            <w:r>
              <w:rPr>
                <w:spacing w:val="-3"/>
                <w:sz w:val="18"/>
              </w:rPr>
              <w:t xml:space="preserve"> </w:t>
            </w:r>
            <w:r>
              <w:rPr>
                <w:sz w:val="18"/>
              </w:rPr>
              <w:t>collecting</w:t>
            </w:r>
            <w:r>
              <w:rPr>
                <w:spacing w:val="-4"/>
                <w:sz w:val="18"/>
              </w:rPr>
              <w:t xml:space="preserve"> </w:t>
            </w:r>
            <w:r>
              <w:rPr>
                <w:sz w:val="18"/>
              </w:rPr>
              <w:t>motor</w:t>
            </w:r>
            <w:r>
              <w:rPr>
                <w:spacing w:val="-3"/>
                <w:sz w:val="18"/>
              </w:rPr>
              <w:t xml:space="preserve"> </w:t>
            </w:r>
            <w:r>
              <w:rPr>
                <w:sz w:val="18"/>
              </w:rPr>
              <w:t>vehicle</w:t>
            </w:r>
            <w:r>
              <w:rPr>
                <w:spacing w:val="-6"/>
                <w:sz w:val="18"/>
              </w:rPr>
              <w:t xml:space="preserve"> </w:t>
            </w:r>
            <w:r>
              <w:rPr>
                <w:sz w:val="18"/>
              </w:rPr>
              <w:t>tax,</w:t>
            </w:r>
            <w:r>
              <w:rPr>
                <w:spacing w:val="-4"/>
                <w:sz w:val="18"/>
              </w:rPr>
              <w:t xml:space="preserve"> </w:t>
            </w:r>
            <w:r>
              <w:rPr>
                <w:sz w:val="18"/>
              </w:rPr>
              <w:t>Transfer</w:t>
            </w:r>
            <w:r>
              <w:rPr>
                <w:spacing w:val="-3"/>
                <w:sz w:val="18"/>
              </w:rPr>
              <w:t xml:space="preserve"> </w:t>
            </w:r>
            <w:r>
              <w:rPr>
                <w:sz w:val="18"/>
              </w:rPr>
              <w:t>fee</w:t>
            </w:r>
            <w:r>
              <w:rPr>
                <w:spacing w:val="-3"/>
                <w:sz w:val="18"/>
              </w:rPr>
              <w:t xml:space="preserve"> </w:t>
            </w:r>
            <w:r>
              <w:rPr>
                <w:sz w:val="18"/>
              </w:rPr>
              <w:t>for vehicle ownership (BBNKB), Tax Revenue Sharing for BBNKB.</w:t>
            </w:r>
          </w:p>
          <w:p w14:paraId="564E7223" w14:textId="77777777" w:rsidR="00BC24A8" w:rsidRDefault="00000000">
            <w:pPr>
              <w:pStyle w:val="TableParagraph"/>
              <w:numPr>
                <w:ilvl w:val="0"/>
                <w:numId w:val="68"/>
              </w:numPr>
              <w:tabs>
                <w:tab w:val="left" w:pos="453"/>
              </w:tabs>
              <w:ind w:right="229"/>
              <w:rPr>
                <w:sz w:val="18"/>
              </w:rPr>
            </w:pPr>
            <w:r>
              <w:rPr>
                <w:sz w:val="18"/>
              </w:rPr>
              <w:t>Regulation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Head</w:t>
            </w:r>
            <w:r>
              <w:rPr>
                <w:spacing w:val="-3"/>
                <w:sz w:val="18"/>
              </w:rPr>
              <w:t xml:space="preserve"> </w:t>
            </w:r>
            <w:r>
              <w:rPr>
                <w:sz w:val="18"/>
              </w:rPr>
              <w:t>of</w:t>
            </w:r>
            <w:r>
              <w:rPr>
                <w:spacing w:val="-4"/>
                <w:sz w:val="18"/>
              </w:rPr>
              <w:t xml:space="preserve"> </w:t>
            </w:r>
            <w:r>
              <w:rPr>
                <w:i/>
                <w:sz w:val="18"/>
              </w:rPr>
              <w:t>Bappenda</w:t>
            </w:r>
            <w:r>
              <w:rPr>
                <w:i/>
                <w:spacing w:val="-4"/>
                <w:sz w:val="18"/>
              </w:rPr>
              <w:t xml:space="preserve"> </w:t>
            </w:r>
            <w:r>
              <w:rPr>
                <w:sz w:val="18"/>
              </w:rPr>
              <w:t>10/2025</w:t>
            </w:r>
            <w:r>
              <w:rPr>
                <w:spacing w:val="-3"/>
                <w:sz w:val="18"/>
              </w:rPr>
              <w:t xml:space="preserve"> </w:t>
            </w:r>
            <w:r>
              <w:rPr>
                <w:sz w:val="18"/>
              </w:rPr>
              <w:t>on</w:t>
            </w:r>
            <w:r>
              <w:rPr>
                <w:spacing w:val="-3"/>
                <w:sz w:val="18"/>
              </w:rPr>
              <w:t xml:space="preserve"> </w:t>
            </w:r>
            <w:r>
              <w:rPr>
                <w:sz w:val="18"/>
              </w:rPr>
              <w:t>Motor</w:t>
            </w:r>
            <w:r>
              <w:rPr>
                <w:spacing w:val="-3"/>
                <w:sz w:val="18"/>
              </w:rPr>
              <w:t xml:space="preserve"> </w:t>
            </w:r>
            <w:r>
              <w:rPr>
                <w:sz w:val="18"/>
              </w:rPr>
              <w:t>Vehicle</w:t>
            </w:r>
            <w:r>
              <w:rPr>
                <w:spacing w:val="-3"/>
                <w:sz w:val="18"/>
              </w:rPr>
              <w:t xml:space="preserve"> </w:t>
            </w:r>
            <w:r>
              <w:rPr>
                <w:sz w:val="18"/>
              </w:rPr>
              <w:t>Tax</w:t>
            </w:r>
            <w:r>
              <w:rPr>
                <w:spacing w:val="-4"/>
                <w:sz w:val="18"/>
              </w:rPr>
              <w:t xml:space="preserve"> </w:t>
            </w:r>
            <w:r>
              <w:rPr>
                <w:sz w:val="18"/>
              </w:rPr>
              <w:t>Incentives</w:t>
            </w:r>
            <w:r>
              <w:rPr>
                <w:spacing w:val="-3"/>
                <w:sz w:val="18"/>
              </w:rPr>
              <w:t xml:space="preserve"> </w:t>
            </w:r>
            <w:r>
              <w:rPr>
                <w:sz w:val="18"/>
              </w:rPr>
              <w:t>for</w:t>
            </w:r>
            <w:r>
              <w:rPr>
                <w:spacing w:val="-3"/>
                <w:sz w:val="18"/>
              </w:rPr>
              <w:t xml:space="preserve"> </w:t>
            </w:r>
            <w:r>
              <w:rPr>
                <w:sz w:val="18"/>
              </w:rPr>
              <w:t>Special</w:t>
            </w:r>
            <w:r>
              <w:rPr>
                <w:spacing w:val="-2"/>
                <w:sz w:val="18"/>
              </w:rPr>
              <w:t xml:space="preserve"> </w:t>
            </w:r>
            <w:r>
              <w:rPr>
                <w:sz w:val="18"/>
              </w:rPr>
              <w:t>Vehicles for Persons with Disabilities.</w:t>
            </w:r>
          </w:p>
          <w:p w14:paraId="1A7D8CBF" w14:textId="77777777" w:rsidR="00BC24A8" w:rsidRDefault="00000000">
            <w:pPr>
              <w:pStyle w:val="TableParagraph"/>
              <w:numPr>
                <w:ilvl w:val="0"/>
                <w:numId w:val="68"/>
              </w:numPr>
              <w:tabs>
                <w:tab w:val="left" w:pos="453"/>
              </w:tabs>
              <w:spacing w:line="219" w:lineRule="exact"/>
              <w:rPr>
                <w:sz w:val="18"/>
              </w:rPr>
            </w:pPr>
            <w:r>
              <w:rPr>
                <w:sz w:val="18"/>
              </w:rPr>
              <w:t>Governor's</w:t>
            </w:r>
            <w:r>
              <w:rPr>
                <w:spacing w:val="-4"/>
                <w:sz w:val="18"/>
              </w:rPr>
              <w:t xml:space="preserve"> </w:t>
            </w:r>
            <w:r>
              <w:rPr>
                <w:sz w:val="18"/>
              </w:rPr>
              <w:t>Regulation</w:t>
            </w:r>
            <w:r>
              <w:rPr>
                <w:spacing w:val="-3"/>
                <w:sz w:val="18"/>
              </w:rPr>
              <w:t xml:space="preserve"> </w:t>
            </w:r>
            <w:r>
              <w:rPr>
                <w:sz w:val="18"/>
              </w:rPr>
              <w:t>105/2023</w:t>
            </w:r>
            <w:r>
              <w:rPr>
                <w:spacing w:val="-6"/>
                <w:sz w:val="18"/>
              </w:rPr>
              <w:t xml:space="preserve"> </w:t>
            </w:r>
            <w:r>
              <w:rPr>
                <w:sz w:val="18"/>
              </w:rPr>
              <w:t>on</w:t>
            </w:r>
            <w:r>
              <w:rPr>
                <w:spacing w:val="-3"/>
                <w:sz w:val="18"/>
              </w:rPr>
              <w:t xml:space="preserve"> </w:t>
            </w:r>
            <w:r>
              <w:rPr>
                <w:sz w:val="18"/>
              </w:rPr>
              <w:t>2023-2027</w:t>
            </w:r>
            <w:r>
              <w:rPr>
                <w:spacing w:val="-3"/>
                <w:sz w:val="18"/>
              </w:rPr>
              <w:t xml:space="preserve"> </w:t>
            </w:r>
            <w:r>
              <w:rPr>
                <w:sz w:val="18"/>
              </w:rPr>
              <w:t>MSS</w:t>
            </w:r>
            <w:r>
              <w:rPr>
                <w:spacing w:val="-3"/>
                <w:sz w:val="18"/>
              </w:rPr>
              <w:t xml:space="preserve"> </w:t>
            </w:r>
            <w:r>
              <w:rPr>
                <w:spacing w:val="-2"/>
                <w:sz w:val="18"/>
              </w:rPr>
              <w:t>Planning.</w:t>
            </w:r>
          </w:p>
          <w:p w14:paraId="5D8D41AB" w14:textId="77777777" w:rsidR="00BC24A8" w:rsidRDefault="00000000">
            <w:pPr>
              <w:pStyle w:val="TableParagraph"/>
              <w:numPr>
                <w:ilvl w:val="0"/>
                <w:numId w:val="68"/>
              </w:numPr>
              <w:tabs>
                <w:tab w:val="left" w:pos="453"/>
              </w:tabs>
              <w:spacing w:before="1" w:line="219" w:lineRule="exact"/>
              <w:rPr>
                <w:sz w:val="18"/>
              </w:rPr>
            </w:pPr>
            <w:r>
              <w:rPr>
                <w:sz w:val="18"/>
              </w:rPr>
              <w:t>Regional</w:t>
            </w:r>
            <w:r>
              <w:rPr>
                <w:spacing w:val="-2"/>
                <w:sz w:val="18"/>
              </w:rPr>
              <w:t xml:space="preserve"> </w:t>
            </w:r>
            <w:r>
              <w:rPr>
                <w:sz w:val="18"/>
              </w:rPr>
              <w:t>Long-Term</w:t>
            </w:r>
            <w:r>
              <w:rPr>
                <w:spacing w:val="-4"/>
                <w:sz w:val="18"/>
              </w:rPr>
              <w:t xml:space="preserve"> </w:t>
            </w:r>
            <w:r>
              <w:rPr>
                <w:sz w:val="18"/>
              </w:rPr>
              <w:t>Development</w:t>
            </w:r>
            <w:r>
              <w:rPr>
                <w:spacing w:val="-2"/>
                <w:sz w:val="18"/>
              </w:rPr>
              <w:t xml:space="preserve"> </w:t>
            </w:r>
            <w:r>
              <w:rPr>
                <w:sz w:val="18"/>
              </w:rPr>
              <w:t>Plan</w:t>
            </w:r>
            <w:r>
              <w:rPr>
                <w:spacing w:val="-3"/>
                <w:sz w:val="18"/>
              </w:rPr>
              <w:t xml:space="preserve"> </w:t>
            </w:r>
            <w:r>
              <w:rPr>
                <w:sz w:val="18"/>
              </w:rPr>
              <w:t>2025-2045</w:t>
            </w:r>
            <w:r>
              <w:rPr>
                <w:spacing w:val="-2"/>
                <w:sz w:val="18"/>
              </w:rPr>
              <w:t xml:space="preserve"> </w:t>
            </w:r>
            <w:r>
              <w:rPr>
                <w:sz w:val="18"/>
              </w:rPr>
              <w:t>of</w:t>
            </w:r>
            <w:r>
              <w:rPr>
                <w:spacing w:val="-4"/>
                <w:sz w:val="18"/>
              </w:rPr>
              <w:t xml:space="preserve"> </w:t>
            </w:r>
            <w:r>
              <w:rPr>
                <w:sz w:val="18"/>
              </w:rPr>
              <w:t>NTB</w:t>
            </w:r>
            <w:r>
              <w:rPr>
                <w:spacing w:val="-3"/>
                <w:sz w:val="18"/>
              </w:rPr>
              <w:t xml:space="preserve"> </w:t>
            </w:r>
            <w:r>
              <w:rPr>
                <w:spacing w:val="-2"/>
                <w:sz w:val="18"/>
              </w:rPr>
              <w:t>Province.</w:t>
            </w:r>
          </w:p>
          <w:p w14:paraId="0F1D2580" w14:textId="77777777" w:rsidR="00BC24A8" w:rsidRDefault="00000000">
            <w:pPr>
              <w:pStyle w:val="TableParagraph"/>
              <w:numPr>
                <w:ilvl w:val="0"/>
                <w:numId w:val="68"/>
              </w:numPr>
              <w:tabs>
                <w:tab w:val="left" w:pos="453"/>
              </w:tabs>
              <w:spacing w:line="219" w:lineRule="exact"/>
              <w:rPr>
                <w:sz w:val="18"/>
              </w:rPr>
            </w:pPr>
            <w:r>
              <w:rPr>
                <w:sz w:val="18"/>
              </w:rPr>
              <w:t>Governor's</w:t>
            </w:r>
            <w:r>
              <w:rPr>
                <w:spacing w:val="-2"/>
                <w:sz w:val="18"/>
              </w:rPr>
              <w:t xml:space="preserve"> </w:t>
            </w:r>
            <w:r>
              <w:rPr>
                <w:sz w:val="18"/>
              </w:rPr>
              <w:t>Decree</w:t>
            </w:r>
            <w:r>
              <w:rPr>
                <w:spacing w:val="-3"/>
                <w:sz w:val="18"/>
              </w:rPr>
              <w:t xml:space="preserve"> </w:t>
            </w:r>
            <w:r>
              <w:rPr>
                <w:sz w:val="18"/>
              </w:rPr>
              <w:t>27</w:t>
            </w:r>
            <w:r>
              <w:rPr>
                <w:spacing w:val="-2"/>
                <w:sz w:val="18"/>
              </w:rPr>
              <w:t xml:space="preserve"> </w:t>
            </w:r>
            <w:r>
              <w:rPr>
                <w:sz w:val="18"/>
              </w:rPr>
              <w:t>–</w:t>
            </w:r>
            <w:r>
              <w:rPr>
                <w:spacing w:val="-2"/>
                <w:sz w:val="18"/>
              </w:rPr>
              <w:t xml:space="preserve"> </w:t>
            </w:r>
            <w:r>
              <w:rPr>
                <w:sz w:val="18"/>
              </w:rPr>
              <w:t>326/2024</w:t>
            </w:r>
            <w:r>
              <w:rPr>
                <w:spacing w:val="-2"/>
                <w:sz w:val="18"/>
              </w:rPr>
              <w:t xml:space="preserve"> </w:t>
            </w:r>
            <w:r>
              <w:rPr>
                <w:sz w:val="18"/>
              </w:rPr>
              <w:t>on</w:t>
            </w:r>
            <w:r>
              <w:rPr>
                <w:spacing w:val="-2"/>
                <w:sz w:val="18"/>
              </w:rPr>
              <w:t xml:space="preserve"> </w:t>
            </w:r>
            <w:r>
              <w:rPr>
                <w:sz w:val="18"/>
              </w:rPr>
              <w:t>the</w:t>
            </w:r>
            <w:r>
              <w:rPr>
                <w:spacing w:val="-1"/>
                <w:sz w:val="18"/>
              </w:rPr>
              <w:t xml:space="preserve"> </w:t>
            </w:r>
            <w:r>
              <w:rPr>
                <w:sz w:val="18"/>
              </w:rPr>
              <w:t>2025</w:t>
            </w:r>
            <w:r>
              <w:rPr>
                <w:spacing w:val="-2"/>
                <w:sz w:val="18"/>
              </w:rPr>
              <w:t xml:space="preserve"> </w:t>
            </w:r>
            <w:r>
              <w:rPr>
                <w:sz w:val="18"/>
              </w:rPr>
              <w:t>Unit</w:t>
            </w:r>
            <w:r>
              <w:rPr>
                <w:spacing w:val="-4"/>
                <w:sz w:val="18"/>
              </w:rPr>
              <w:t xml:space="preserve"> </w:t>
            </w:r>
            <w:r>
              <w:rPr>
                <w:sz w:val="18"/>
              </w:rPr>
              <w:t>Price</w:t>
            </w:r>
            <w:r>
              <w:rPr>
                <w:spacing w:val="-1"/>
                <w:sz w:val="18"/>
              </w:rPr>
              <w:t xml:space="preserve"> </w:t>
            </w:r>
            <w:r>
              <w:rPr>
                <w:spacing w:val="-2"/>
                <w:sz w:val="18"/>
              </w:rPr>
              <w:t>Standard.</w:t>
            </w:r>
          </w:p>
        </w:tc>
      </w:tr>
    </w:tbl>
    <w:p w14:paraId="2E8570D0" w14:textId="77777777" w:rsidR="00BC24A8" w:rsidRDefault="00000000">
      <w:pPr>
        <w:pStyle w:val="BodyText"/>
        <w:spacing w:before="116"/>
        <w:rPr>
          <w:rFonts w:ascii="Calibri"/>
          <w:b/>
          <w:sz w:val="20"/>
        </w:rPr>
      </w:pPr>
      <w:r>
        <w:rPr>
          <w:rFonts w:ascii="Calibri"/>
          <w:b/>
          <w:noProof/>
          <w:sz w:val="20"/>
        </w:rPr>
        <mc:AlternateContent>
          <mc:Choice Requires="wps">
            <w:drawing>
              <wp:anchor distT="0" distB="0" distL="0" distR="0" simplePos="0" relativeHeight="487621120" behindDoc="1" locked="0" layoutInCell="1" allowOverlap="1" wp14:anchorId="1AAB556B" wp14:editId="57690676">
                <wp:simplePos x="0" y="0"/>
                <wp:positionH relativeFrom="page">
                  <wp:posOffset>900683</wp:posOffset>
                </wp:positionH>
                <wp:positionV relativeFrom="paragraph">
                  <wp:posOffset>244481</wp:posOffset>
                </wp:positionV>
                <wp:extent cx="1828800" cy="9525"/>
                <wp:effectExtent l="0" t="0" r="0" b="0"/>
                <wp:wrapTopAndBottom/>
                <wp:docPr id="178" name="Graphic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884A4D" id="Graphic 178" o:spid="_x0000_s1026" alt="&quot;&quot;" style="position:absolute;margin-left:70.9pt;margin-top:19.25pt;width:2in;height:.75pt;z-index:-156953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OL1vyt0AAAAJAQAADwAAAAAAAAAAAAAAAAB4BAAAZHJzL2Rvd25yZXYueG1s&#10;UEsFBgAAAAAEAAQA8wAAAIIFAAAAAA==&#10;" path="m1828800,l,,,9144r1828800,l1828800,xe" fillcolor="black" stroked="f">
                <v:path arrowok="t"/>
                <w10:wrap type="topAndBottom" anchorx="page"/>
              </v:shape>
            </w:pict>
          </mc:Fallback>
        </mc:AlternateContent>
      </w:r>
    </w:p>
    <w:p w14:paraId="5045A5D1" w14:textId="77777777" w:rsidR="00BC24A8" w:rsidRDefault="00BC24A8">
      <w:pPr>
        <w:pStyle w:val="BodyText"/>
        <w:spacing w:before="32"/>
        <w:rPr>
          <w:rFonts w:ascii="Calibri"/>
          <w:b/>
        </w:rPr>
      </w:pPr>
    </w:p>
    <w:p w14:paraId="1AF71CFE" w14:textId="77777777" w:rsidR="00BC24A8" w:rsidRDefault="00000000">
      <w:pPr>
        <w:ind w:left="143"/>
        <w:rPr>
          <w:sz w:val="16"/>
        </w:rPr>
      </w:pPr>
      <w:bookmarkStart w:id="195" w:name="_bookmark133"/>
      <w:bookmarkEnd w:id="195"/>
      <w:r>
        <w:rPr>
          <w:color w:val="767070"/>
          <w:sz w:val="16"/>
          <w:vertAlign w:val="superscript"/>
        </w:rPr>
        <w:t>65</w:t>
      </w:r>
      <w:r>
        <w:rPr>
          <w:color w:val="767070"/>
          <w:spacing w:val="-8"/>
          <w:sz w:val="16"/>
        </w:rPr>
        <w:t xml:space="preserve"> </w:t>
      </w:r>
      <w:r>
        <w:rPr>
          <w:color w:val="767070"/>
          <w:sz w:val="16"/>
        </w:rPr>
        <w:t>Bappeda,</w:t>
      </w:r>
      <w:r>
        <w:rPr>
          <w:color w:val="767070"/>
          <w:spacing w:val="-7"/>
          <w:sz w:val="16"/>
        </w:rPr>
        <w:t xml:space="preserve"> </w:t>
      </w:r>
      <w:r>
        <w:rPr>
          <w:color w:val="767070"/>
          <w:sz w:val="16"/>
        </w:rPr>
        <w:t>Diskominfotik,</w:t>
      </w:r>
      <w:r>
        <w:rPr>
          <w:color w:val="767070"/>
          <w:spacing w:val="-8"/>
          <w:sz w:val="16"/>
        </w:rPr>
        <w:t xml:space="preserve"> </w:t>
      </w:r>
      <w:r>
        <w:rPr>
          <w:color w:val="767070"/>
          <w:sz w:val="16"/>
        </w:rPr>
        <w:t>Social</w:t>
      </w:r>
      <w:r>
        <w:rPr>
          <w:color w:val="767070"/>
          <w:spacing w:val="-6"/>
          <w:sz w:val="16"/>
        </w:rPr>
        <w:t xml:space="preserve"> </w:t>
      </w:r>
      <w:r>
        <w:rPr>
          <w:color w:val="767070"/>
          <w:sz w:val="16"/>
        </w:rPr>
        <w:t>Service,</w:t>
      </w:r>
      <w:r>
        <w:rPr>
          <w:color w:val="767070"/>
          <w:spacing w:val="-8"/>
          <w:sz w:val="16"/>
        </w:rPr>
        <w:t xml:space="preserve"> </w:t>
      </w:r>
      <w:r>
        <w:rPr>
          <w:color w:val="767070"/>
          <w:spacing w:val="-2"/>
          <w:sz w:val="16"/>
        </w:rPr>
        <w:t>BPKAD</w:t>
      </w:r>
    </w:p>
    <w:p w14:paraId="151FFC7D" w14:textId="77777777" w:rsidR="00BC24A8" w:rsidRDefault="00000000">
      <w:pPr>
        <w:spacing w:before="2"/>
        <w:ind w:left="143"/>
        <w:rPr>
          <w:sz w:val="16"/>
        </w:rPr>
      </w:pPr>
      <w:bookmarkStart w:id="196" w:name="_bookmark134"/>
      <w:bookmarkEnd w:id="196"/>
      <w:r>
        <w:rPr>
          <w:color w:val="767070"/>
          <w:sz w:val="16"/>
          <w:vertAlign w:val="superscript"/>
        </w:rPr>
        <w:t>66</w:t>
      </w:r>
      <w:r>
        <w:rPr>
          <w:color w:val="767070"/>
          <w:spacing w:val="-6"/>
          <w:sz w:val="16"/>
        </w:rPr>
        <w:t xml:space="preserve"> </w:t>
      </w:r>
      <w:r>
        <w:rPr>
          <w:color w:val="767070"/>
          <w:sz w:val="16"/>
        </w:rPr>
        <w:t>LIDI,</w:t>
      </w:r>
      <w:r>
        <w:rPr>
          <w:color w:val="767070"/>
          <w:spacing w:val="-6"/>
          <w:sz w:val="16"/>
        </w:rPr>
        <w:t xml:space="preserve"> </w:t>
      </w:r>
      <w:r>
        <w:rPr>
          <w:color w:val="767070"/>
          <w:sz w:val="16"/>
        </w:rPr>
        <w:t>LRC,</w:t>
      </w:r>
      <w:r>
        <w:rPr>
          <w:color w:val="767070"/>
          <w:spacing w:val="-7"/>
          <w:sz w:val="16"/>
        </w:rPr>
        <w:t xml:space="preserve"> </w:t>
      </w:r>
      <w:r>
        <w:rPr>
          <w:color w:val="767070"/>
          <w:sz w:val="16"/>
        </w:rPr>
        <w:t>LPA,</w:t>
      </w:r>
      <w:r>
        <w:rPr>
          <w:color w:val="767070"/>
          <w:spacing w:val="-6"/>
          <w:sz w:val="16"/>
        </w:rPr>
        <w:t xml:space="preserve"> </w:t>
      </w:r>
      <w:r>
        <w:rPr>
          <w:color w:val="767070"/>
          <w:sz w:val="16"/>
        </w:rPr>
        <w:t>LPSDM,</w:t>
      </w:r>
      <w:r>
        <w:rPr>
          <w:color w:val="767070"/>
          <w:spacing w:val="-8"/>
          <w:sz w:val="16"/>
        </w:rPr>
        <w:t xml:space="preserve"> </w:t>
      </w:r>
      <w:r>
        <w:rPr>
          <w:color w:val="767070"/>
          <w:sz w:val="16"/>
        </w:rPr>
        <w:t>and</w:t>
      </w:r>
      <w:r>
        <w:rPr>
          <w:color w:val="767070"/>
          <w:spacing w:val="-7"/>
          <w:sz w:val="16"/>
        </w:rPr>
        <w:t xml:space="preserve"> </w:t>
      </w:r>
      <w:r>
        <w:rPr>
          <w:color w:val="767070"/>
          <w:sz w:val="16"/>
        </w:rPr>
        <w:t>Migrant</w:t>
      </w:r>
      <w:r>
        <w:rPr>
          <w:color w:val="767070"/>
          <w:spacing w:val="-5"/>
          <w:sz w:val="16"/>
        </w:rPr>
        <w:t xml:space="preserve"> </w:t>
      </w:r>
      <w:r>
        <w:rPr>
          <w:color w:val="767070"/>
          <w:spacing w:val="-4"/>
          <w:sz w:val="16"/>
        </w:rPr>
        <w:t>Care</w:t>
      </w:r>
    </w:p>
    <w:p w14:paraId="07261471" w14:textId="77777777" w:rsidR="00BC24A8" w:rsidRDefault="00BC24A8">
      <w:pPr>
        <w:rPr>
          <w:sz w:val="16"/>
        </w:rPr>
        <w:sectPr w:rsidR="00BC24A8">
          <w:pgSz w:w="11910" w:h="16840"/>
          <w:pgMar w:top="1340" w:right="850" w:bottom="1100" w:left="1275" w:header="0" w:footer="907" w:gutter="0"/>
          <w:cols w:space="720"/>
        </w:sectPr>
      </w:pPr>
    </w:p>
    <w:tbl>
      <w:tblPr>
        <w:tblW w:w="0" w:type="auto"/>
        <w:tblInd w:w="136" w:type="dxa"/>
        <w:tblLayout w:type="fixed"/>
        <w:tblCellMar>
          <w:left w:w="0" w:type="dxa"/>
          <w:right w:w="0" w:type="dxa"/>
        </w:tblCellMar>
        <w:tblLook w:val="01E0" w:firstRow="1" w:lastRow="1" w:firstColumn="1" w:lastColumn="1" w:noHBand="0" w:noVBand="0"/>
      </w:tblPr>
      <w:tblGrid>
        <w:gridCol w:w="1212"/>
        <w:gridCol w:w="7894"/>
      </w:tblGrid>
      <w:tr w:rsidR="00BC24A8" w14:paraId="1240D42B" w14:textId="77777777">
        <w:trPr>
          <w:trHeight w:val="4029"/>
        </w:trPr>
        <w:tc>
          <w:tcPr>
            <w:tcW w:w="1212" w:type="dxa"/>
            <w:tcBorders>
              <w:top w:val="single" w:sz="4" w:space="0" w:color="BEBEBE"/>
              <w:bottom w:val="single" w:sz="4" w:space="0" w:color="BEBEBE"/>
            </w:tcBorders>
          </w:tcPr>
          <w:p w14:paraId="5AEADC09" w14:textId="77777777" w:rsidR="00BC24A8" w:rsidRDefault="00BC24A8">
            <w:pPr>
              <w:pStyle w:val="TableParagraph"/>
              <w:rPr>
                <w:rFonts w:ascii="Times New Roman"/>
                <w:sz w:val="16"/>
              </w:rPr>
            </w:pPr>
          </w:p>
        </w:tc>
        <w:tc>
          <w:tcPr>
            <w:tcW w:w="7894" w:type="dxa"/>
            <w:tcBorders>
              <w:top w:val="single" w:sz="4" w:space="0" w:color="BEBEBE"/>
              <w:bottom w:val="single" w:sz="4" w:space="0" w:color="BEBEBE"/>
            </w:tcBorders>
          </w:tcPr>
          <w:p w14:paraId="7F082CD1" w14:textId="77777777" w:rsidR="00BC24A8" w:rsidRDefault="00000000">
            <w:pPr>
              <w:pStyle w:val="TableParagraph"/>
              <w:numPr>
                <w:ilvl w:val="0"/>
                <w:numId w:val="67"/>
              </w:numPr>
              <w:tabs>
                <w:tab w:val="left" w:pos="590"/>
              </w:tabs>
              <w:spacing w:before="56"/>
              <w:ind w:right="552"/>
              <w:rPr>
                <w:sz w:val="18"/>
              </w:rPr>
            </w:pPr>
            <w:r>
              <w:rPr>
                <w:sz w:val="18"/>
              </w:rPr>
              <w:t>Governor's</w:t>
            </w:r>
            <w:r>
              <w:rPr>
                <w:spacing w:val="-3"/>
                <w:sz w:val="18"/>
              </w:rPr>
              <w:t xml:space="preserve"> </w:t>
            </w:r>
            <w:r>
              <w:rPr>
                <w:sz w:val="18"/>
              </w:rPr>
              <w:t>Decree</w:t>
            </w:r>
            <w:r>
              <w:rPr>
                <w:spacing w:val="-4"/>
                <w:sz w:val="18"/>
              </w:rPr>
              <w:t xml:space="preserve"> </w:t>
            </w:r>
            <w:r>
              <w:rPr>
                <w:sz w:val="18"/>
              </w:rPr>
              <w:t>100.3.3.1</w:t>
            </w:r>
            <w:r>
              <w:rPr>
                <w:spacing w:val="-4"/>
                <w:sz w:val="18"/>
              </w:rPr>
              <w:t xml:space="preserve"> </w:t>
            </w:r>
            <w:r>
              <w:rPr>
                <w:sz w:val="18"/>
              </w:rPr>
              <w:t>-</w:t>
            </w:r>
            <w:r>
              <w:rPr>
                <w:spacing w:val="-3"/>
                <w:sz w:val="18"/>
              </w:rPr>
              <w:t xml:space="preserve"> </w:t>
            </w:r>
            <w:r>
              <w:rPr>
                <w:sz w:val="18"/>
              </w:rPr>
              <w:t>70/2025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2"/>
                <w:sz w:val="18"/>
              </w:rPr>
              <w:t xml:space="preserve"> </w:t>
            </w:r>
            <w:r>
              <w:rPr>
                <w:sz w:val="18"/>
              </w:rPr>
              <w:t>of</w:t>
            </w:r>
            <w:r>
              <w:rPr>
                <w:spacing w:val="-4"/>
                <w:sz w:val="18"/>
              </w:rPr>
              <w:t xml:space="preserve"> </w:t>
            </w:r>
            <w:r>
              <w:rPr>
                <w:sz w:val="18"/>
              </w:rPr>
              <w:t>the</w:t>
            </w:r>
            <w:r>
              <w:rPr>
                <w:spacing w:val="-5"/>
                <w:sz w:val="18"/>
              </w:rPr>
              <w:t xml:space="preserve"> </w:t>
            </w:r>
            <w:r>
              <w:rPr>
                <w:sz w:val="18"/>
              </w:rPr>
              <w:t>NTB</w:t>
            </w:r>
            <w:r>
              <w:rPr>
                <w:spacing w:val="-4"/>
                <w:sz w:val="18"/>
              </w:rPr>
              <w:t xml:space="preserve"> </w:t>
            </w:r>
            <w:r>
              <w:rPr>
                <w:sz w:val="18"/>
              </w:rPr>
              <w:t>One</w:t>
            </w:r>
            <w:r>
              <w:rPr>
                <w:spacing w:val="-3"/>
                <w:sz w:val="18"/>
              </w:rPr>
              <w:t xml:space="preserve"> </w:t>
            </w:r>
            <w:r>
              <w:rPr>
                <w:sz w:val="18"/>
              </w:rPr>
              <w:t>Data</w:t>
            </w:r>
            <w:r>
              <w:rPr>
                <w:spacing w:val="-4"/>
                <w:sz w:val="18"/>
              </w:rPr>
              <w:t xml:space="preserve"> </w:t>
            </w:r>
            <w:r>
              <w:rPr>
                <w:sz w:val="18"/>
              </w:rPr>
              <w:t>Forum</w:t>
            </w:r>
            <w:r>
              <w:rPr>
                <w:spacing w:val="-4"/>
                <w:sz w:val="18"/>
              </w:rPr>
              <w:t xml:space="preserve"> </w:t>
            </w:r>
            <w:r>
              <w:rPr>
                <w:sz w:val="18"/>
              </w:rPr>
              <w:t xml:space="preserve">and </w:t>
            </w:r>
            <w:r>
              <w:rPr>
                <w:spacing w:val="-2"/>
                <w:sz w:val="18"/>
              </w:rPr>
              <w:t>Secretariat.</w:t>
            </w:r>
          </w:p>
          <w:p w14:paraId="77AC4F2D" w14:textId="77777777" w:rsidR="00BC24A8" w:rsidRDefault="00000000">
            <w:pPr>
              <w:pStyle w:val="TableParagraph"/>
              <w:numPr>
                <w:ilvl w:val="0"/>
                <w:numId w:val="67"/>
              </w:numPr>
              <w:tabs>
                <w:tab w:val="left" w:pos="590"/>
              </w:tabs>
              <w:ind w:right="429"/>
              <w:rPr>
                <w:sz w:val="18"/>
              </w:rPr>
            </w:pPr>
            <w:r>
              <w:rPr>
                <w:sz w:val="18"/>
              </w:rPr>
              <w:t>Governor's</w:t>
            </w:r>
            <w:r>
              <w:rPr>
                <w:spacing w:val="-3"/>
                <w:sz w:val="18"/>
              </w:rPr>
              <w:t xml:space="preserve"> </w:t>
            </w:r>
            <w:r>
              <w:rPr>
                <w:sz w:val="18"/>
              </w:rPr>
              <w:t>Decree</w:t>
            </w:r>
            <w:r>
              <w:rPr>
                <w:spacing w:val="-4"/>
                <w:sz w:val="18"/>
              </w:rPr>
              <w:t xml:space="preserve"> </w:t>
            </w:r>
            <w:r>
              <w:rPr>
                <w:sz w:val="18"/>
              </w:rPr>
              <w:t>100.3.3.1</w:t>
            </w:r>
            <w:r>
              <w:rPr>
                <w:spacing w:val="-4"/>
                <w:sz w:val="18"/>
              </w:rPr>
              <w:t xml:space="preserve"> </w:t>
            </w:r>
            <w:r>
              <w:rPr>
                <w:sz w:val="18"/>
              </w:rPr>
              <w:t>–</w:t>
            </w:r>
            <w:r>
              <w:rPr>
                <w:spacing w:val="-4"/>
                <w:sz w:val="18"/>
              </w:rPr>
              <w:t xml:space="preserve"> </w:t>
            </w:r>
            <w:r>
              <w:rPr>
                <w:sz w:val="18"/>
              </w:rPr>
              <w:t>71/2025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Establishment</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NTB</w:t>
            </w:r>
            <w:r>
              <w:rPr>
                <w:spacing w:val="-4"/>
                <w:sz w:val="18"/>
              </w:rPr>
              <w:t xml:space="preserve"> </w:t>
            </w:r>
            <w:r>
              <w:rPr>
                <w:sz w:val="18"/>
              </w:rPr>
              <w:t>One</w:t>
            </w:r>
            <w:r>
              <w:rPr>
                <w:spacing w:val="-3"/>
                <w:sz w:val="18"/>
              </w:rPr>
              <w:t xml:space="preserve"> </w:t>
            </w:r>
            <w:r>
              <w:rPr>
                <w:sz w:val="18"/>
              </w:rPr>
              <w:t>Data</w:t>
            </w:r>
            <w:r>
              <w:rPr>
                <w:spacing w:val="-4"/>
                <w:sz w:val="18"/>
              </w:rPr>
              <w:t xml:space="preserve"> </w:t>
            </w:r>
            <w:r>
              <w:rPr>
                <w:sz w:val="18"/>
              </w:rPr>
              <w:t xml:space="preserve">Governance </w:t>
            </w:r>
            <w:r>
              <w:rPr>
                <w:spacing w:val="-2"/>
                <w:sz w:val="18"/>
              </w:rPr>
              <w:t>Team.</w:t>
            </w:r>
          </w:p>
          <w:p w14:paraId="286657ED" w14:textId="77777777" w:rsidR="00BC24A8" w:rsidRDefault="00000000">
            <w:pPr>
              <w:pStyle w:val="TableParagraph"/>
              <w:numPr>
                <w:ilvl w:val="0"/>
                <w:numId w:val="67"/>
              </w:numPr>
              <w:tabs>
                <w:tab w:val="left" w:pos="590"/>
              </w:tabs>
              <w:spacing w:before="2" w:line="219" w:lineRule="exact"/>
              <w:rPr>
                <w:sz w:val="18"/>
              </w:rPr>
            </w:pPr>
            <w:r>
              <w:rPr>
                <w:sz w:val="18"/>
              </w:rPr>
              <w:t>Governor's</w:t>
            </w:r>
            <w:r>
              <w:rPr>
                <w:spacing w:val="-5"/>
                <w:sz w:val="18"/>
              </w:rPr>
              <w:t xml:space="preserve"> </w:t>
            </w:r>
            <w:r>
              <w:rPr>
                <w:sz w:val="18"/>
              </w:rPr>
              <w:t>Decree</w:t>
            </w:r>
            <w:r>
              <w:rPr>
                <w:spacing w:val="-4"/>
                <w:sz w:val="18"/>
              </w:rPr>
              <w:t xml:space="preserve"> </w:t>
            </w:r>
            <w:r>
              <w:rPr>
                <w:sz w:val="18"/>
              </w:rPr>
              <w:t>100-3-3.1-201/2025</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Determination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2025</w:t>
            </w:r>
            <w:r>
              <w:rPr>
                <w:spacing w:val="-3"/>
                <w:sz w:val="18"/>
              </w:rPr>
              <w:t xml:space="preserve"> </w:t>
            </w:r>
            <w:r>
              <w:rPr>
                <w:sz w:val="18"/>
              </w:rPr>
              <w:t>Regional</w:t>
            </w:r>
            <w:r>
              <w:rPr>
                <w:spacing w:val="-2"/>
                <w:sz w:val="18"/>
              </w:rPr>
              <w:t xml:space="preserve"> </w:t>
            </w:r>
            <w:r>
              <w:rPr>
                <w:sz w:val="18"/>
              </w:rPr>
              <w:t>Data</w:t>
            </w:r>
            <w:r>
              <w:rPr>
                <w:spacing w:val="-3"/>
                <w:sz w:val="18"/>
              </w:rPr>
              <w:t xml:space="preserve"> </w:t>
            </w:r>
            <w:r>
              <w:rPr>
                <w:spacing w:val="-2"/>
                <w:sz w:val="18"/>
              </w:rPr>
              <w:t>List.</w:t>
            </w:r>
          </w:p>
          <w:p w14:paraId="7947EC32" w14:textId="77777777" w:rsidR="00BC24A8" w:rsidRDefault="00000000">
            <w:pPr>
              <w:pStyle w:val="TableParagraph"/>
              <w:numPr>
                <w:ilvl w:val="0"/>
                <w:numId w:val="67"/>
              </w:numPr>
              <w:tabs>
                <w:tab w:val="left" w:pos="590"/>
              </w:tabs>
              <w:ind w:right="603"/>
              <w:rPr>
                <w:sz w:val="18"/>
              </w:rPr>
            </w:pPr>
            <w:r>
              <w:rPr>
                <w:sz w:val="18"/>
              </w:rPr>
              <w:t>Decree</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Head</w:t>
            </w:r>
            <w:r>
              <w:rPr>
                <w:spacing w:val="-3"/>
                <w:sz w:val="18"/>
              </w:rPr>
              <w:t xml:space="preserve"> </w:t>
            </w:r>
            <w:r>
              <w:rPr>
                <w:sz w:val="18"/>
              </w:rPr>
              <w:t>of</w:t>
            </w:r>
            <w:r>
              <w:rPr>
                <w:spacing w:val="-4"/>
                <w:sz w:val="18"/>
              </w:rPr>
              <w:t xml:space="preserve"> </w:t>
            </w:r>
            <w:r>
              <w:rPr>
                <w:sz w:val="18"/>
              </w:rPr>
              <w:t>Bappeda</w:t>
            </w:r>
            <w:r>
              <w:rPr>
                <w:spacing w:val="-4"/>
                <w:sz w:val="18"/>
              </w:rPr>
              <w:t xml:space="preserve"> </w:t>
            </w:r>
            <w:r>
              <w:rPr>
                <w:sz w:val="18"/>
              </w:rPr>
              <w:t>94/2024</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NTB</w:t>
            </w:r>
            <w:r>
              <w:rPr>
                <w:spacing w:val="-4"/>
                <w:sz w:val="18"/>
              </w:rPr>
              <w:t xml:space="preserve"> </w:t>
            </w:r>
            <w:r>
              <w:rPr>
                <w:sz w:val="18"/>
              </w:rPr>
              <w:t>Provincial</w:t>
            </w:r>
            <w:r>
              <w:rPr>
                <w:spacing w:val="-2"/>
                <w:sz w:val="18"/>
              </w:rPr>
              <w:t xml:space="preserve"> </w:t>
            </w:r>
            <w:r>
              <w:rPr>
                <w:sz w:val="18"/>
              </w:rPr>
              <w:t>Regional</w:t>
            </w:r>
            <w:r>
              <w:rPr>
                <w:spacing w:val="-2"/>
                <w:sz w:val="18"/>
              </w:rPr>
              <w:t xml:space="preserve"> </w:t>
            </w:r>
            <w:r>
              <w:rPr>
                <w:sz w:val="18"/>
              </w:rPr>
              <w:t>Action</w:t>
            </w:r>
            <w:r>
              <w:rPr>
                <w:spacing w:val="-3"/>
                <w:sz w:val="18"/>
              </w:rPr>
              <w:t xml:space="preserve"> </w:t>
            </w:r>
            <w:r>
              <w:rPr>
                <w:sz w:val="18"/>
              </w:rPr>
              <w:t>Plans</w:t>
            </w:r>
            <w:r>
              <w:rPr>
                <w:spacing w:val="-3"/>
                <w:sz w:val="18"/>
              </w:rPr>
              <w:t xml:space="preserve"> </w:t>
            </w:r>
            <w:r>
              <w:rPr>
                <w:sz w:val="18"/>
              </w:rPr>
              <w:t>of</w:t>
            </w:r>
            <w:r>
              <w:rPr>
                <w:spacing w:val="-4"/>
                <w:sz w:val="18"/>
              </w:rPr>
              <w:t xml:space="preserve"> </w:t>
            </w:r>
            <w:r>
              <w:rPr>
                <w:sz w:val="18"/>
              </w:rPr>
              <w:t>Local Government Agencies Drafting Team.</w:t>
            </w:r>
          </w:p>
          <w:p w14:paraId="573D36D8" w14:textId="77777777" w:rsidR="00BC24A8" w:rsidRDefault="00BC24A8">
            <w:pPr>
              <w:pStyle w:val="TableParagraph"/>
              <w:spacing w:before="60"/>
              <w:rPr>
                <w:sz w:val="18"/>
              </w:rPr>
            </w:pPr>
          </w:p>
          <w:p w14:paraId="626DDFE6" w14:textId="77777777" w:rsidR="00BC24A8" w:rsidRDefault="00000000">
            <w:pPr>
              <w:pStyle w:val="TableParagraph"/>
              <w:ind w:left="259"/>
              <w:rPr>
                <w:sz w:val="18"/>
              </w:rPr>
            </w:pPr>
            <w:r>
              <w:rPr>
                <w:sz w:val="18"/>
              </w:rPr>
              <w:t>Strengthened</w:t>
            </w:r>
            <w:r>
              <w:rPr>
                <w:spacing w:val="-3"/>
                <w:sz w:val="18"/>
              </w:rPr>
              <w:t xml:space="preserve"> </w:t>
            </w:r>
            <w:r>
              <w:rPr>
                <w:sz w:val="18"/>
              </w:rPr>
              <w:t>collaboration</w:t>
            </w:r>
            <w:r>
              <w:rPr>
                <w:spacing w:val="-2"/>
                <w:sz w:val="18"/>
              </w:rPr>
              <w:t xml:space="preserve"> </w:t>
            </w:r>
            <w:r>
              <w:rPr>
                <w:sz w:val="18"/>
              </w:rPr>
              <w:t>and</w:t>
            </w:r>
            <w:r>
              <w:rPr>
                <w:spacing w:val="-2"/>
                <w:sz w:val="18"/>
              </w:rPr>
              <w:t xml:space="preserve"> coordination:</w:t>
            </w:r>
          </w:p>
          <w:p w14:paraId="2C3355D2" w14:textId="77777777" w:rsidR="00BC24A8" w:rsidRDefault="00000000">
            <w:pPr>
              <w:pStyle w:val="TableParagraph"/>
              <w:numPr>
                <w:ilvl w:val="0"/>
                <w:numId w:val="67"/>
              </w:numPr>
              <w:tabs>
                <w:tab w:val="left" w:pos="590"/>
              </w:tabs>
              <w:spacing w:before="59"/>
              <w:ind w:right="854"/>
              <w:rPr>
                <w:sz w:val="18"/>
              </w:rPr>
            </w:pPr>
            <w:r>
              <w:rPr>
                <w:sz w:val="18"/>
              </w:rPr>
              <w:t>The</w:t>
            </w:r>
            <w:r>
              <w:rPr>
                <w:spacing w:val="-3"/>
                <w:sz w:val="18"/>
              </w:rPr>
              <w:t xml:space="preserve"> </w:t>
            </w:r>
            <w:r>
              <w:rPr>
                <w:sz w:val="18"/>
              </w:rPr>
              <w:t>involvement</w:t>
            </w:r>
            <w:r>
              <w:rPr>
                <w:spacing w:val="-2"/>
                <w:sz w:val="18"/>
              </w:rPr>
              <w:t xml:space="preserve"> </w:t>
            </w:r>
            <w:r>
              <w:rPr>
                <w:sz w:val="18"/>
              </w:rPr>
              <w:t>of</w:t>
            </w:r>
            <w:r>
              <w:rPr>
                <w:spacing w:val="-4"/>
                <w:sz w:val="18"/>
              </w:rPr>
              <w:t xml:space="preserve"> </w:t>
            </w:r>
            <w:r>
              <w:rPr>
                <w:sz w:val="18"/>
              </w:rPr>
              <w:t>various</w:t>
            </w:r>
            <w:r>
              <w:rPr>
                <w:spacing w:val="-3"/>
                <w:sz w:val="18"/>
              </w:rPr>
              <w:t xml:space="preserve"> </w:t>
            </w:r>
            <w:r>
              <w:rPr>
                <w:sz w:val="18"/>
              </w:rPr>
              <w:t>parties</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Thematic</w:t>
            </w:r>
            <w:r>
              <w:rPr>
                <w:spacing w:val="-3"/>
                <w:sz w:val="18"/>
              </w:rPr>
              <w:t xml:space="preserve"> </w:t>
            </w:r>
            <w:r>
              <w:rPr>
                <w:i/>
                <w:sz w:val="18"/>
              </w:rPr>
              <w:t>Musrenbang</w:t>
            </w:r>
            <w:r>
              <w:rPr>
                <w:sz w:val="18"/>
              </w:rPr>
              <w:t>,</w:t>
            </w:r>
            <w:r>
              <w:rPr>
                <w:spacing w:val="-4"/>
                <w:sz w:val="18"/>
              </w:rPr>
              <w:t xml:space="preserve"> </w:t>
            </w:r>
            <w:r>
              <w:rPr>
                <w:sz w:val="18"/>
              </w:rPr>
              <w:t>RAD</w:t>
            </w:r>
            <w:r>
              <w:rPr>
                <w:spacing w:val="-2"/>
                <w:sz w:val="18"/>
              </w:rPr>
              <w:t xml:space="preserve"> </w:t>
            </w:r>
            <w:r>
              <w:rPr>
                <w:sz w:val="18"/>
              </w:rPr>
              <w:t>PD,</w:t>
            </w:r>
            <w:r>
              <w:rPr>
                <w:spacing w:val="-4"/>
                <w:sz w:val="18"/>
              </w:rPr>
              <w:t xml:space="preserve"> </w:t>
            </w:r>
            <w:r>
              <w:rPr>
                <w:sz w:val="18"/>
              </w:rPr>
              <w:t>and</w:t>
            </w:r>
            <w:r>
              <w:rPr>
                <w:spacing w:val="-3"/>
                <w:sz w:val="18"/>
              </w:rPr>
              <w:t xml:space="preserve"> </w:t>
            </w:r>
            <w:r>
              <w:rPr>
                <w:sz w:val="18"/>
              </w:rPr>
              <w:t>the</w:t>
            </w:r>
            <w:r>
              <w:rPr>
                <w:spacing w:val="-3"/>
                <w:sz w:val="18"/>
              </w:rPr>
              <w:t xml:space="preserve"> </w:t>
            </w:r>
            <w:r>
              <w:rPr>
                <w:sz w:val="18"/>
              </w:rPr>
              <w:t>gender mainstreaming coaching team.</w:t>
            </w:r>
          </w:p>
          <w:p w14:paraId="487015E8" w14:textId="77777777" w:rsidR="00BC24A8" w:rsidRDefault="00000000">
            <w:pPr>
              <w:pStyle w:val="TableParagraph"/>
              <w:numPr>
                <w:ilvl w:val="0"/>
                <w:numId w:val="67"/>
              </w:numPr>
              <w:tabs>
                <w:tab w:val="left" w:pos="590"/>
              </w:tabs>
              <w:ind w:right="332"/>
              <w:rPr>
                <w:sz w:val="18"/>
              </w:rPr>
            </w:pPr>
            <w:r>
              <w:rPr>
                <w:sz w:val="18"/>
              </w:rPr>
              <w:t>MoU</w:t>
            </w:r>
            <w:r>
              <w:rPr>
                <w:spacing w:val="-3"/>
                <w:sz w:val="18"/>
              </w:rPr>
              <w:t xml:space="preserve"> </w:t>
            </w:r>
            <w:r>
              <w:rPr>
                <w:sz w:val="18"/>
              </w:rPr>
              <w:t>between</w:t>
            </w:r>
            <w:r>
              <w:rPr>
                <w:spacing w:val="-3"/>
                <w:sz w:val="18"/>
              </w:rPr>
              <w:t xml:space="preserve"> </w:t>
            </w:r>
            <w:r>
              <w:rPr>
                <w:sz w:val="18"/>
              </w:rPr>
              <w:t>the</w:t>
            </w:r>
            <w:r>
              <w:rPr>
                <w:spacing w:val="-3"/>
                <w:sz w:val="18"/>
              </w:rPr>
              <w:t xml:space="preserve"> </w:t>
            </w:r>
            <w:r>
              <w:rPr>
                <w:sz w:val="18"/>
              </w:rPr>
              <w:t>Governor</w:t>
            </w:r>
            <w:r>
              <w:rPr>
                <w:spacing w:val="-3"/>
                <w:sz w:val="18"/>
              </w:rPr>
              <w:t xml:space="preserve"> </w:t>
            </w:r>
            <w:r>
              <w:rPr>
                <w:sz w:val="18"/>
              </w:rPr>
              <w:t>and</w:t>
            </w:r>
            <w:r>
              <w:rPr>
                <w:spacing w:val="-3"/>
                <w:sz w:val="18"/>
              </w:rPr>
              <w:t xml:space="preserve"> </w:t>
            </w:r>
            <w:r>
              <w:rPr>
                <w:sz w:val="18"/>
              </w:rPr>
              <w:t>the</w:t>
            </w:r>
            <w:r>
              <w:rPr>
                <w:spacing w:val="-3"/>
                <w:sz w:val="18"/>
              </w:rPr>
              <w:t xml:space="preserve"> </w:t>
            </w:r>
            <w:r>
              <w:rPr>
                <w:sz w:val="18"/>
              </w:rPr>
              <w:t>Regents/Mayors</w:t>
            </w:r>
            <w:r>
              <w:rPr>
                <w:spacing w:val="-3"/>
                <w:sz w:val="18"/>
              </w:rPr>
              <w:t xml:space="preserve"> </w:t>
            </w:r>
            <w:r>
              <w:rPr>
                <w:sz w:val="18"/>
              </w:rPr>
              <w:t>in</w:t>
            </w:r>
            <w:r>
              <w:rPr>
                <w:spacing w:val="-3"/>
                <w:sz w:val="18"/>
              </w:rPr>
              <w:t xml:space="preserve"> </w:t>
            </w:r>
            <w:r>
              <w:rPr>
                <w:sz w:val="18"/>
              </w:rPr>
              <w:t>NTB</w:t>
            </w:r>
            <w:r>
              <w:rPr>
                <w:spacing w:val="-4"/>
                <w:sz w:val="18"/>
              </w:rPr>
              <w:t xml:space="preserve"> </w:t>
            </w:r>
            <w:r>
              <w:rPr>
                <w:sz w:val="18"/>
              </w:rPr>
              <w:t>for</w:t>
            </w:r>
            <w:r>
              <w:rPr>
                <w:spacing w:val="-3"/>
                <w:sz w:val="18"/>
              </w:rPr>
              <w:t xml:space="preserve"> </w:t>
            </w:r>
            <w:r>
              <w:rPr>
                <w:sz w:val="18"/>
              </w:rPr>
              <w:t>the</w:t>
            </w:r>
            <w:r>
              <w:rPr>
                <w:spacing w:val="-3"/>
                <w:sz w:val="18"/>
              </w:rPr>
              <w:t xml:space="preserve"> </w:t>
            </w:r>
            <w:r>
              <w:rPr>
                <w:sz w:val="18"/>
              </w:rPr>
              <w:t>implementation</w:t>
            </w:r>
            <w:r>
              <w:rPr>
                <w:spacing w:val="-3"/>
                <w:sz w:val="18"/>
              </w:rPr>
              <w:t xml:space="preserve"> </w:t>
            </w:r>
            <w:r>
              <w:rPr>
                <w:sz w:val="18"/>
              </w:rPr>
              <w:t>of</w:t>
            </w:r>
            <w:r>
              <w:rPr>
                <w:spacing w:val="-4"/>
                <w:sz w:val="18"/>
              </w:rPr>
              <w:t xml:space="preserve"> </w:t>
            </w:r>
            <w:r>
              <w:rPr>
                <w:sz w:val="18"/>
              </w:rPr>
              <w:t>Regional Regulation 2/2024 on Regional Taxes and Levies.</w:t>
            </w:r>
          </w:p>
          <w:p w14:paraId="0F053D1A" w14:textId="77777777" w:rsidR="00BC24A8" w:rsidRDefault="00000000">
            <w:pPr>
              <w:pStyle w:val="TableParagraph"/>
              <w:numPr>
                <w:ilvl w:val="0"/>
                <w:numId w:val="67"/>
              </w:numPr>
              <w:tabs>
                <w:tab w:val="left" w:pos="590"/>
              </w:tabs>
              <w:ind w:right="280"/>
              <w:rPr>
                <w:sz w:val="18"/>
              </w:rPr>
            </w:pPr>
            <w:r>
              <w:rPr>
                <w:sz w:val="18"/>
              </w:rPr>
              <w:t>Collaboration</w:t>
            </w:r>
            <w:r>
              <w:rPr>
                <w:spacing w:val="-4"/>
                <w:sz w:val="18"/>
              </w:rPr>
              <w:t xml:space="preserve"> </w:t>
            </w:r>
            <w:r>
              <w:rPr>
                <w:sz w:val="18"/>
              </w:rPr>
              <w:t>agreement</w:t>
            </w:r>
            <w:r>
              <w:rPr>
                <w:spacing w:val="-3"/>
                <w:sz w:val="18"/>
              </w:rPr>
              <w:t xml:space="preserve"> </w:t>
            </w:r>
            <w:r>
              <w:rPr>
                <w:sz w:val="18"/>
              </w:rPr>
              <w:t>between</w:t>
            </w:r>
            <w:r>
              <w:rPr>
                <w:spacing w:val="-4"/>
                <w:sz w:val="18"/>
              </w:rPr>
              <w:t xml:space="preserve"> </w:t>
            </w:r>
            <w:r>
              <w:rPr>
                <w:sz w:val="18"/>
              </w:rPr>
              <w:t>provincial</w:t>
            </w:r>
            <w:r>
              <w:rPr>
                <w:spacing w:val="-3"/>
                <w:sz w:val="18"/>
              </w:rPr>
              <w:t xml:space="preserve"> </w:t>
            </w:r>
            <w:r>
              <w:rPr>
                <w:sz w:val="18"/>
              </w:rPr>
              <w:t>and</w:t>
            </w:r>
            <w:r>
              <w:rPr>
                <w:spacing w:val="-4"/>
                <w:sz w:val="18"/>
              </w:rPr>
              <w:t xml:space="preserve"> </w:t>
            </w:r>
            <w:r>
              <w:rPr>
                <w:sz w:val="18"/>
              </w:rPr>
              <w:t>districts/cities</w:t>
            </w:r>
            <w:r>
              <w:rPr>
                <w:spacing w:val="-4"/>
                <w:sz w:val="18"/>
              </w:rPr>
              <w:t xml:space="preserve"> </w:t>
            </w:r>
            <w:r>
              <w:rPr>
                <w:i/>
                <w:sz w:val="18"/>
              </w:rPr>
              <w:t>Bappenda</w:t>
            </w:r>
            <w:r>
              <w:rPr>
                <w:i/>
                <w:spacing w:val="-5"/>
                <w:sz w:val="18"/>
              </w:rPr>
              <w:t xml:space="preserve"> </w:t>
            </w:r>
            <w:r>
              <w:rPr>
                <w:sz w:val="18"/>
              </w:rPr>
              <w:t>in</w:t>
            </w:r>
            <w:r>
              <w:rPr>
                <w:spacing w:val="-4"/>
                <w:sz w:val="18"/>
              </w:rPr>
              <w:t xml:space="preserve"> </w:t>
            </w:r>
            <w:r>
              <w:rPr>
                <w:sz w:val="18"/>
              </w:rPr>
              <w:t>10</w:t>
            </w:r>
            <w:r>
              <w:rPr>
                <w:spacing w:val="-4"/>
                <w:sz w:val="18"/>
              </w:rPr>
              <w:t xml:space="preserve"> </w:t>
            </w:r>
            <w:r>
              <w:rPr>
                <w:sz w:val="18"/>
              </w:rPr>
              <w:t>Districts/Cities</w:t>
            </w:r>
            <w:r>
              <w:rPr>
                <w:spacing w:val="-6"/>
                <w:sz w:val="18"/>
              </w:rPr>
              <w:t xml:space="preserve"> </w:t>
            </w:r>
            <w:r>
              <w:rPr>
                <w:sz w:val="18"/>
              </w:rPr>
              <w:t>in the implementation of Tax Revenue Sharing.</w:t>
            </w:r>
          </w:p>
          <w:p w14:paraId="5705BD6D" w14:textId="77777777" w:rsidR="00BC24A8" w:rsidRDefault="00000000">
            <w:pPr>
              <w:pStyle w:val="TableParagraph"/>
              <w:numPr>
                <w:ilvl w:val="0"/>
                <w:numId w:val="67"/>
              </w:numPr>
              <w:tabs>
                <w:tab w:val="left" w:pos="590"/>
              </w:tabs>
              <w:spacing w:before="2"/>
              <w:ind w:right="291" w:hanging="361"/>
              <w:rPr>
                <w:sz w:val="18"/>
              </w:rPr>
            </w:pPr>
            <w:r>
              <w:rPr>
                <w:sz w:val="18"/>
              </w:rPr>
              <w:t>Agreement</w:t>
            </w:r>
            <w:r>
              <w:rPr>
                <w:spacing w:val="-3"/>
                <w:sz w:val="18"/>
              </w:rPr>
              <w:t xml:space="preserve"> </w:t>
            </w:r>
            <w:r>
              <w:rPr>
                <w:sz w:val="18"/>
              </w:rPr>
              <w:t>between</w:t>
            </w:r>
            <w:r>
              <w:rPr>
                <w:spacing w:val="-3"/>
                <w:sz w:val="18"/>
              </w:rPr>
              <w:t xml:space="preserve"> </w:t>
            </w:r>
            <w:r>
              <w:rPr>
                <w:sz w:val="18"/>
              </w:rPr>
              <w:t>the</w:t>
            </w:r>
            <w:r>
              <w:rPr>
                <w:spacing w:val="-4"/>
                <w:sz w:val="18"/>
              </w:rPr>
              <w:t xml:space="preserve"> </w:t>
            </w:r>
            <w:r>
              <w:rPr>
                <w:i/>
                <w:sz w:val="18"/>
              </w:rPr>
              <w:t>Diskominfo</w:t>
            </w:r>
            <w:r>
              <w:rPr>
                <w:i/>
                <w:spacing w:val="-3"/>
                <w:sz w:val="18"/>
              </w:rPr>
              <w:t xml:space="preserve"> </w:t>
            </w:r>
            <w:r>
              <w:rPr>
                <w:sz w:val="18"/>
              </w:rPr>
              <w:t>and</w:t>
            </w:r>
            <w:r>
              <w:rPr>
                <w:spacing w:val="-3"/>
                <w:sz w:val="18"/>
              </w:rPr>
              <w:t xml:space="preserve"> </w:t>
            </w:r>
            <w:r>
              <w:rPr>
                <w:sz w:val="18"/>
              </w:rPr>
              <w:t>BPS</w:t>
            </w:r>
            <w:r>
              <w:rPr>
                <w:spacing w:val="-3"/>
                <w:sz w:val="18"/>
              </w:rPr>
              <w:t xml:space="preserve"> </w:t>
            </w:r>
            <w:r>
              <w:rPr>
                <w:sz w:val="18"/>
              </w:rPr>
              <w:t>to</w:t>
            </w:r>
            <w:r>
              <w:rPr>
                <w:spacing w:val="-4"/>
                <w:sz w:val="18"/>
              </w:rPr>
              <w:t xml:space="preserve"> </w:t>
            </w:r>
            <w:r>
              <w:rPr>
                <w:sz w:val="18"/>
              </w:rPr>
              <w:t>adjust</w:t>
            </w:r>
            <w:r>
              <w:rPr>
                <w:spacing w:val="-2"/>
                <w:sz w:val="18"/>
              </w:rPr>
              <w:t xml:space="preserve"> </w:t>
            </w:r>
            <w:r>
              <w:rPr>
                <w:sz w:val="18"/>
              </w:rPr>
              <w:t>the</w:t>
            </w:r>
            <w:r>
              <w:rPr>
                <w:spacing w:val="-3"/>
                <w:sz w:val="18"/>
              </w:rPr>
              <w:t xml:space="preserve"> </w:t>
            </w:r>
            <w:r>
              <w:rPr>
                <w:sz w:val="18"/>
              </w:rPr>
              <w:t>work</w:t>
            </w:r>
            <w:r>
              <w:rPr>
                <w:spacing w:val="-3"/>
                <w:sz w:val="18"/>
              </w:rPr>
              <w:t xml:space="preserve"> </w:t>
            </w:r>
            <w:r>
              <w:rPr>
                <w:sz w:val="18"/>
              </w:rPr>
              <w:t>plan</w:t>
            </w:r>
            <w:r>
              <w:rPr>
                <w:spacing w:val="-3"/>
                <w:sz w:val="18"/>
              </w:rPr>
              <w:t xml:space="preserve"> </w:t>
            </w:r>
            <w:r>
              <w:rPr>
                <w:sz w:val="18"/>
              </w:rPr>
              <w:t>in</w:t>
            </w:r>
            <w:r>
              <w:rPr>
                <w:spacing w:val="-3"/>
                <w:sz w:val="18"/>
              </w:rPr>
              <w:t xml:space="preserve"> </w:t>
            </w:r>
            <w:r>
              <w:rPr>
                <w:sz w:val="18"/>
              </w:rPr>
              <w:t>increasing</w:t>
            </w:r>
            <w:r>
              <w:rPr>
                <w:spacing w:val="-4"/>
                <w:sz w:val="18"/>
              </w:rPr>
              <w:t xml:space="preserve"> </w:t>
            </w:r>
            <w:r>
              <w:rPr>
                <w:sz w:val="18"/>
              </w:rPr>
              <w:t>the</w:t>
            </w:r>
            <w:r>
              <w:rPr>
                <w:spacing w:val="-3"/>
                <w:sz w:val="18"/>
              </w:rPr>
              <w:t xml:space="preserve"> </w:t>
            </w:r>
            <w:r>
              <w:rPr>
                <w:sz w:val="18"/>
              </w:rPr>
              <w:t>capacity</w:t>
            </w:r>
            <w:r>
              <w:rPr>
                <w:spacing w:val="-3"/>
                <w:sz w:val="18"/>
              </w:rPr>
              <w:t xml:space="preserve"> </w:t>
            </w:r>
            <w:r>
              <w:rPr>
                <w:sz w:val="18"/>
              </w:rPr>
              <w:t>of provincial agencies to carry out the regional data cycle.</w:t>
            </w:r>
          </w:p>
        </w:tc>
      </w:tr>
      <w:tr w:rsidR="00BC24A8" w14:paraId="01B23877" w14:textId="77777777">
        <w:trPr>
          <w:trHeight w:val="2430"/>
        </w:trPr>
        <w:tc>
          <w:tcPr>
            <w:tcW w:w="1212" w:type="dxa"/>
            <w:tcBorders>
              <w:top w:val="single" w:sz="4" w:space="0" w:color="BEBEBE"/>
              <w:bottom w:val="single" w:sz="4" w:space="0" w:color="BEBEBE"/>
            </w:tcBorders>
          </w:tcPr>
          <w:p w14:paraId="5C1839BB" w14:textId="77777777" w:rsidR="00BC24A8" w:rsidRDefault="00000000">
            <w:pPr>
              <w:pStyle w:val="TableParagraph"/>
              <w:spacing w:before="116"/>
              <w:ind w:left="122"/>
              <w:rPr>
                <w:sz w:val="18"/>
              </w:rPr>
            </w:pPr>
            <w:r>
              <w:rPr>
                <w:spacing w:val="-2"/>
                <w:sz w:val="18"/>
              </w:rPr>
              <w:t>Operational</w:t>
            </w:r>
            <w:r>
              <w:rPr>
                <w:sz w:val="18"/>
              </w:rPr>
              <w:t xml:space="preserve"> </w:t>
            </w:r>
            <w:r>
              <w:rPr>
                <w:spacing w:val="-2"/>
                <w:sz w:val="18"/>
              </w:rPr>
              <w:t>impact</w:t>
            </w:r>
          </w:p>
        </w:tc>
        <w:tc>
          <w:tcPr>
            <w:tcW w:w="7894" w:type="dxa"/>
            <w:tcBorders>
              <w:top w:val="single" w:sz="4" w:space="0" w:color="BEBEBE"/>
              <w:bottom w:val="single" w:sz="4" w:space="0" w:color="BEBEBE"/>
            </w:tcBorders>
          </w:tcPr>
          <w:p w14:paraId="286B990C" w14:textId="77777777" w:rsidR="00BC24A8" w:rsidRDefault="00000000">
            <w:pPr>
              <w:pStyle w:val="TableParagraph"/>
              <w:spacing w:before="59"/>
              <w:ind w:left="259"/>
              <w:rPr>
                <w:sz w:val="18"/>
              </w:rPr>
            </w:pPr>
            <w:r>
              <w:rPr>
                <w:sz w:val="18"/>
              </w:rPr>
              <w:t>Changes</w:t>
            </w:r>
            <w:r>
              <w:rPr>
                <w:spacing w:val="-1"/>
                <w:sz w:val="18"/>
              </w:rPr>
              <w:t xml:space="preserve"> </w:t>
            </w:r>
            <w:r>
              <w:rPr>
                <w:sz w:val="18"/>
              </w:rPr>
              <w:t>in</w:t>
            </w:r>
            <w:r>
              <w:rPr>
                <w:spacing w:val="-1"/>
                <w:sz w:val="18"/>
              </w:rPr>
              <w:t xml:space="preserve"> </w:t>
            </w:r>
            <w:r>
              <w:rPr>
                <w:sz w:val="18"/>
              </w:rPr>
              <w:t>practice,</w:t>
            </w:r>
            <w:r>
              <w:rPr>
                <w:spacing w:val="-2"/>
                <w:sz w:val="18"/>
              </w:rPr>
              <w:t xml:space="preserve"> </w:t>
            </w:r>
            <w:r>
              <w:rPr>
                <w:sz w:val="18"/>
              </w:rPr>
              <w:t>how</w:t>
            </w:r>
            <w:r>
              <w:rPr>
                <w:spacing w:val="-2"/>
                <w:sz w:val="18"/>
              </w:rPr>
              <w:t xml:space="preserve"> </w:t>
            </w:r>
            <w:r>
              <w:rPr>
                <w:sz w:val="18"/>
              </w:rPr>
              <w:t>it works,</w:t>
            </w:r>
            <w:r>
              <w:rPr>
                <w:spacing w:val="-1"/>
                <w:sz w:val="18"/>
              </w:rPr>
              <w:t xml:space="preserve"> </w:t>
            </w:r>
            <w:r>
              <w:rPr>
                <w:spacing w:val="-2"/>
                <w:sz w:val="18"/>
              </w:rPr>
              <w:t>coordination:</w:t>
            </w:r>
          </w:p>
          <w:p w14:paraId="42DB1A3B" w14:textId="77777777" w:rsidR="00BC24A8" w:rsidRDefault="00000000">
            <w:pPr>
              <w:pStyle w:val="TableParagraph"/>
              <w:numPr>
                <w:ilvl w:val="0"/>
                <w:numId w:val="66"/>
              </w:numPr>
              <w:tabs>
                <w:tab w:val="left" w:pos="590"/>
              </w:tabs>
              <w:spacing w:before="58"/>
              <w:ind w:right="772" w:hanging="361"/>
              <w:rPr>
                <w:sz w:val="18"/>
              </w:rPr>
            </w:pPr>
            <w:r>
              <w:rPr>
                <w:sz w:val="18"/>
              </w:rPr>
              <w:t>The</w:t>
            </w:r>
            <w:r>
              <w:rPr>
                <w:spacing w:val="-3"/>
                <w:sz w:val="18"/>
              </w:rPr>
              <w:t xml:space="preserve"> </w:t>
            </w:r>
            <w:r>
              <w:rPr>
                <w:sz w:val="18"/>
              </w:rPr>
              <w:t>use</w:t>
            </w:r>
            <w:r>
              <w:rPr>
                <w:spacing w:val="-3"/>
                <w:sz w:val="18"/>
              </w:rPr>
              <w:t xml:space="preserve"> </w:t>
            </w:r>
            <w:r>
              <w:rPr>
                <w:sz w:val="18"/>
              </w:rPr>
              <w:t>of</w:t>
            </w:r>
            <w:r>
              <w:rPr>
                <w:spacing w:val="-4"/>
                <w:sz w:val="18"/>
              </w:rPr>
              <w:t xml:space="preserve"> </w:t>
            </w:r>
            <w:r>
              <w:rPr>
                <w:i/>
                <w:sz w:val="18"/>
              </w:rPr>
              <w:t>REGSOSEK</w:t>
            </w:r>
            <w:r>
              <w:rPr>
                <w:i/>
                <w:spacing w:val="-3"/>
                <w:sz w:val="18"/>
              </w:rPr>
              <w:t xml:space="preserve"> </w:t>
            </w:r>
            <w:r>
              <w:rPr>
                <w:sz w:val="18"/>
              </w:rPr>
              <w:t>Data</w:t>
            </w:r>
            <w:r>
              <w:rPr>
                <w:spacing w:val="-4"/>
                <w:sz w:val="18"/>
              </w:rPr>
              <w:t xml:space="preserve"> </w:t>
            </w:r>
            <w:r>
              <w:rPr>
                <w:sz w:val="18"/>
              </w:rPr>
              <w:t>as</w:t>
            </w:r>
            <w:r>
              <w:rPr>
                <w:spacing w:val="-3"/>
                <w:sz w:val="18"/>
              </w:rPr>
              <w:t xml:space="preserve"> </w:t>
            </w:r>
            <w:r>
              <w:rPr>
                <w:sz w:val="18"/>
              </w:rPr>
              <w:t>material</w:t>
            </w:r>
            <w:r>
              <w:rPr>
                <w:spacing w:val="-2"/>
                <w:sz w:val="18"/>
              </w:rPr>
              <w:t xml:space="preserve"> </w:t>
            </w:r>
            <w:r>
              <w:rPr>
                <w:sz w:val="18"/>
              </w:rPr>
              <w:t>for</w:t>
            </w:r>
            <w:r>
              <w:rPr>
                <w:spacing w:val="-3"/>
                <w:sz w:val="18"/>
              </w:rPr>
              <w:t xml:space="preserve"> </w:t>
            </w:r>
            <w:r>
              <w:rPr>
                <w:sz w:val="18"/>
              </w:rPr>
              <w:t>determining</w:t>
            </w:r>
            <w:r>
              <w:rPr>
                <w:spacing w:val="-4"/>
                <w:sz w:val="18"/>
              </w:rPr>
              <w:t xml:space="preserve"> </w:t>
            </w:r>
            <w:r>
              <w:rPr>
                <w:sz w:val="18"/>
              </w:rPr>
              <w:t>MSS</w:t>
            </w:r>
            <w:r>
              <w:rPr>
                <w:spacing w:val="-3"/>
                <w:sz w:val="18"/>
              </w:rPr>
              <w:t xml:space="preserve"> </w:t>
            </w:r>
            <w:r>
              <w:rPr>
                <w:sz w:val="18"/>
              </w:rPr>
              <w:t>targets</w:t>
            </w:r>
            <w:r>
              <w:rPr>
                <w:spacing w:val="-5"/>
                <w:sz w:val="18"/>
              </w:rPr>
              <w:t xml:space="preserve"> </w:t>
            </w:r>
            <w:r>
              <w:rPr>
                <w:sz w:val="18"/>
              </w:rPr>
              <w:t>in</w:t>
            </w:r>
            <w:r>
              <w:rPr>
                <w:spacing w:val="-3"/>
                <w:sz w:val="18"/>
              </w:rPr>
              <w:t xml:space="preserve"> </w:t>
            </w:r>
            <w:r>
              <w:rPr>
                <w:sz w:val="18"/>
              </w:rPr>
              <w:t>the</w:t>
            </w:r>
            <w:r>
              <w:rPr>
                <w:spacing w:val="-3"/>
                <w:sz w:val="18"/>
              </w:rPr>
              <w:t xml:space="preserve"> </w:t>
            </w:r>
            <w:r>
              <w:rPr>
                <w:sz w:val="18"/>
              </w:rPr>
              <w:t>MSS</w:t>
            </w:r>
            <w:r>
              <w:rPr>
                <w:spacing w:val="-3"/>
                <w:sz w:val="18"/>
              </w:rPr>
              <w:t xml:space="preserve"> </w:t>
            </w:r>
            <w:r>
              <w:rPr>
                <w:sz w:val="18"/>
              </w:rPr>
              <w:t>responsible agencies (Education Office. Public Works Office, Public Housing and Settlement Office).</w:t>
            </w:r>
          </w:p>
          <w:p w14:paraId="6A8A1E1A" w14:textId="77777777" w:rsidR="00BC24A8" w:rsidRDefault="00000000">
            <w:pPr>
              <w:pStyle w:val="TableParagraph"/>
              <w:numPr>
                <w:ilvl w:val="0"/>
                <w:numId w:val="66"/>
              </w:numPr>
              <w:tabs>
                <w:tab w:val="left" w:pos="590"/>
              </w:tabs>
              <w:ind w:right="309"/>
              <w:rPr>
                <w:sz w:val="18"/>
              </w:rPr>
            </w:pPr>
            <w:r>
              <w:rPr>
                <w:i/>
                <w:sz w:val="18"/>
              </w:rPr>
              <w:t>Bappenda</w:t>
            </w:r>
            <w:r>
              <w:rPr>
                <w:i/>
                <w:spacing w:val="-4"/>
                <w:sz w:val="18"/>
              </w:rPr>
              <w:t xml:space="preserve"> </w:t>
            </w:r>
            <w:r>
              <w:rPr>
                <w:sz w:val="18"/>
              </w:rPr>
              <w:t>has</w:t>
            </w:r>
            <w:r>
              <w:rPr>
                <w:spacing w:val="-3"/>
                <w:sz w:val="18"/>
              </w:rPr>
              <w:t xml:space="preserve"> </w:t>
            </w:r>
            <w:r>
              <w:rPr>
                <w:sz w:val="18"/>
              </w:rPr>
              <w:t>independently</w:t>
            </w:r>
            <w:r>
              <w:rPr>
                <w:spacing w:val="-4"/>
                <w:sz w:val="18"/>
              </w:rPr>
              <w:t xml:space="preserve"> </w:t>
            </w:r>
            <w:r>
              <w:rPr>
                <w:sz w:val="18"/>
              </w:rPr>
              <w:t>evaluated</w:t>
            </w:r>
            <w:r>
              <w:rPr>
                <w:spacing w:val="-3"/>
                <w:sz w:val="18"/>
              </w:rPr>
              <w:t xml:space="preserve"> </w:t>
            </w:r>
            <w:r>
              <w:rPr>
                <w:sz w:val="18"/>
              </w:rPr>
              <w:t>the</w:t>
            </w:r>
            <w:r>
              <w:rPr>
                <w:spacing w:val="-3"/>
                <w:sz w:val="18"/>
              </w:rPr>
              <w:t xml:space="preserve"> </w:t>
            </w:r>
            <w:r>
              <w:rPr>
                <w:sz w:val="18"/>
              </w:rPr>
              <w:t>distribution</w:t>
            </w:r>
            <w:r>
              <w:rPr>
                <w:spacing w:val="-3"/>
                <w:sz w:val="18"/>
              </w:rPr>
              <w:t xml:space="preserve"> </w:t>
            </w:r>
            <w:r>
              <w:rPr>
                <w:sz w:val="18"/>
              </w:rPr>
              <w:t>of</w:t>
            </w:r>
            <w:r>
              <w:rPr>
                <w:spacing w:val="-4"/>
                <w:sz w:val="18"/>
              </w:rPr>
              <w:t xml:space="preserve"> </w:t>
            </w:r>
            <w:r>
              <w:rPr>
                <w:sz w:val="18"/>
              </w:rPr>
              <w:t>tax</w:t>
            </w:r>
            <w:r>
              <w:rPr>
                <w:spacing w:val="-4"/>
                <w:sz w:val="18"/>
              </w:rPr>
              <w:t xml:space="preserve"> </w:t>
            </w:r>
            <w:r>
              <w:rPr>
                <w:sz w:val="18"/>
              </w:rPr>
              <w:t>revenue</w:t>
            </w:r>
            <w:r>
              <w:rPr>
                <w:spacing w:val="-3"/>
                <w:sz w:val="18"/>
              </w:rPr>
              <w:t xml:space="preserve"> </w:t>
            </w:r>
            <w:r>
              <w:rPr>
                <w:sz w:val="18"/>
              </w:rPr>
              <w:t>sharing</w:t>
            </w:r>
            <w:r>
              <w:rPr>
                <w:spacing w:val="-4"/>
                <w:sz w:val="18"/>
              </w:rPr>
              <w:t xml:space="preserve"> </w:t>
            </w:r>
            <w:r>
              <w:rPr>
                <w:sz w:val="18"/>
              </w:rPr>
              <w:t>for</w:t>
            </w:r>
            <w:r>
              <w:rPr>
                <w:spacing w:val="-3"/>
                <w:sz w:val="18"/>
              </w:rPr>
              <w:t xml:space="preserve"> </w:t>
            </w:r>
            <w:r>
              <w:rPr>
                <w:sz w:val="18"/>
              </w:rPr>
              <w:t>Motor</w:t>
            </w:r>
            <w:r>
              <w:rPr>
                <w:spacing w:val="-3"/>
                <w:sz w:val="18"/>
              </w:rPr>
              <w:t xml:space="preserve"> </w:t>
            </w:r>
            <w:r>
              <w:rPr>
                <w:sz w:val="18"/>
              </w:rPr>
              <w:t xml:space="preserve">Vehicle </w:t>
            </w:r>
            <w:r>
              <w:rPr>
                <w:spacing w:val="-4"/>
                <w:sz w:val="18"/>
              </w:rPr>
              <w:t>Tax.</w:t>
            </w:r>
          </w:p>
          <w:p w14:paraId="4FB1AF06" w14:textId="77777777" w:rsidR="00BC24A8" w:rsidRDefault="00000000">
            <w:pPr>
              <w:pStyle w:val="TableParagraph"/>
              <w:numPr>
                <w:ilvl w:val="0"/>
                <w:numId w:val="66"/>
              </w:numPr>
              <w:tabs>
                <w:tab w:val="left" w:pos="590"/>
              </w:tabs>
              <w:ind w:right="386"/>
              <w:rPr>
                <w:sz w:val="18"/>
              </w:rPr>
            </w:pPr>
            <w:r>
              <w:rPr>
                <w:sz w:val="18"/>
              </w:rPr>
              <w:t>The</w:t>
            </w:r>
            <w:r>
              <w:rPr>
                <w:spacing w:val="-3"/>
                <w:sz w:val="18"/>
              </w:rPr>
              <w:t xml:space="preserve"> </w:t>
            </w:r>
            <w:r>
              <w:rPr>
                <w:sz w:val="18"/>
              </w:rPr>
              <w:t>Motor</w:t>
            </w:r>
            <w:r>
              <w:rPr>
                <w:spacing w:val="-3"/>
                <w:sz w:val="18"/>
              </w:rPr>
              <w:t xml:space="preserve"> </w:t>
            </w:r>
            <w:r>
              <w:rPr>
                <w:sz w:val="18"/>
              </w:rPr>
              <w:t>Vehicle</w:t>
            </w:r>
            <w:r>
              <w:rPr>
                <w:spacing w:val="-3"/>
                <w:sz w:val="18"/>
              </w:rPr>
              <w:t xml:space="preserve"> </w:t>
            </w:r>
            <w:r>
              <w:rPr>
                <w:sz w:val="18"/>
              </w:rPr>
              <w:t>Tax</w:t>
            </w:r>
            <w:r>
              <w:rPr>
                <w:spacing w:val="-4"/>
                <w:sz w:val="18"/>
              </w:rPr>
              <w:t xml:space="preserve"> </w:t>
            </w:r>
            <w:r>
              <w:rPr>
                <w:sz w:val="18"/>
              </w:rPr>
              <w:t>waiver</w:t>
            </w:r>
            <w:r>
              <w:rPr>
                <w:spacing w:val="-3"/>
                <w:sz w:val="18"/>
              </w:rPr>
              <w:t xml:space="preserve"> </w:t>
            </w:r>
            <w:r>
              <w:rPr>
                <w:sz w:val="18"/>
              </w:rPr>
              <w:t>for</w:t>
            </w:r>
            <w:r>
              <w:rPr>
                <w:spacing w:val="-3"/>
                <w:sz w:val="18"/>
              </w:rPr>
              <w:t xml:space="preserve"> </w:t>
            </w:r>
            <w:r>
              <w:rPr>
                <w:sz w:val="18"/>
              </w:rPr>
              <w:t>modified</w:t>
            </w:r>
            <w:r>
              <w:rPr>
                <w:spacing w:val="-3"/>
                <w:sz w:val="18"/>
              </w:rPr>
              <w:t xml:space="preserve"> </w:t>
            </w:r>
            <w:r>
              <w:rPr>
                <w:sz w:val="18"/>
              </w:rPr>
              <w:t>vehicles</w:t>
            </w:r>
            <w:r>
              <w:rPr>
                <w:spacing w:val="-3"/>
                <w:sz w:val="18"/>
              </w:rPr>
              <w:t xml:space="preserve"> </w:t>
            </w:r>
            <w:r>
              <w:rPr>
                <w:sz w:val="18"/>
              </w:rPr>
              <w:t>owned</w:t>
            </w:r>
            <w:r>
              <w:rPr>
                <w:spacing w:val="-3"/>
                <w:sz w:val="18"/>
              </w:rPr>
              <w:t xml:space="preserve"> </w:t>
            </w:r>
            <w:r>
              <w:rPr>
                <w:sz w:val="18"/>
              </w:rPr>
              <w:t>by</w:t>
            </w:r>
            <w:r>
              <w:rPr>
                <w:spacing w:val="-3"/>
                <w:sz w:val="18"/>
              </w:rPr>
              <w:t xml:space="preserve"> </w:t>
            </w:r>
            <w:r>
              <w:rPr>
                <w:sz w:val="18"/>
              </w:rPr>
              <w:t>persons</w:t>
            </w:r>
            <w:r>
              <w:rPr>
                <w:spacing w:val="-3"/>
                <w:sz w:val="18"/>
              </w:rPr>
              <w:t xml:space="preserve"> </w:t>
            </w:r>
            <w:r>
              <w:rPr>
                <w:sz w:val="18"/>
              </w:rPr>
              <w:t>with</w:t>
            </w:r>
            <w:r>
              <w:rPr>
                <w:spacing w:val="-3"/>
                <w:sz w:val="18"/>
              </w:rPr>
              <w:t xml:space="preserve"> </w:t>
            </w:r>
            <w:r>
              <w:rPr>
                <w:sz w:val="18"/>
              </w:rPr>
              <w:t>disabilities</w:t>
            </w:r>
            <w:r>
              <w:rPr>
                <w:spacing w:val="-3"/>
                <w:sz w:val="18"/>
              </w:rPr>
              <w:t xml:space="preserve"> </w:t>
            </w:r>
            <w:r>
              <w:rPr>
                <w:sz w:val="18"/>
              </w:rPr>
              <w:t>has</w:t>
            </w:r>
            <w:r>
              <w:rPr>
                <w:spacing w:val="-3"/>
                <w:sz w:val="18"/>
              </w:rPr>
              <w:t xml:space="preserve"> </w:t>
            </w:r>
            <w:r>
              <w:rPr>
                <w:sz w:val="18"/>
              </w:rPr>
              <w:t xml:space="preserve">been </w:t>
            </w:r>
            <w:r>
              <w:rPr>
                <w:spacing w:val="-2"/>
                <w:sz w:val="18"/>
              </w:rPr>
              <w:t>implemented.</w:t>
            </w:r>
          </w:p>
          <w:p w14:paraId="6E946260" w14:textId="77777777" w:rsidR="00BC24A8" w:rsidRDefault="00000000">
            <w:pPr>
              <w:pStyle w:val="TableParagraph"/>
              <w:numPr>
                <w:ilvl w:val="0"/>
                <w:numId w:val="66"/>
              </w:numPr>
              <w:tabs>
                <w:tab w:val="left" w:pos="590"/>
              </w:tabs>
              <w:spacing w:line="219" w:lineRule="exact"/>
              <w:rPr>
                <w:sz w:val="18"/>
              </w:rPr>
            </w:pPr>
            <w:r>
              <w:rPr>
                <w:sz w:val="18"/>
              </w:rPr>
              <w:t>17</w:t>
            </w:r>
            <w:r>
              <w:rPr>
                <w:spacing w:val="-3"/>
                <w:sz w:val="18"/>
              </w:rPr>
              <w:t xml:space="preserve"> </w:t>
            </w:r>
            <w:r>
              <w:rPr>
                <w:sz w:val="18"/>
              </w:rPr>
              <w:t>people</w:t>
            </w:r>
            <w:r>
              <w:rPr>
                <w:spacing w:val="-1"/>
                <w:sz w:val="18"/>
              </w:rPr>
              <w:t xml:space="preserve"> </w:t>
            </w:r>
            <w:r>
              <w:rPr>
                <w:sz w:val="18"/>
              </w:rPr>
              <w:t>have</w:t>
            </w:r>
            <w:r>
              <w:rPr>
                <w:spacing w:val="-1"/>
                <w:sz w:val="18"/>
              </w:rPr>
              <w:t xml:space="preserve"> </w:t>
            </w:r>
            <w:r>
              <w:rPr>
                <w:sz w:val="18"/>
              </w:rPr>
              <w:t>received</w:t>
            </w:r>
            <w:r>
              <w:rPr>
                <w:spacing w:val="-1"/>
                <w:sz w:val="18"/>
              </w:rPr>
              <w:t xml:space="preserve"> </w:t>
            </w:r>
            <w:r>
              <w:rPr>
                <w:sz w:val="18"/>
              </w:rPr>
              <w:t>motor</w:t>
            </w:r>
            <w:r>
              <w:rPr>
                <w:spacing w:val="-1"/>
                <w:sz w:val="18"/>
              </w:rPr>
              <w:t xml:space="preserve"> </w:t>
            </w:r>
            <w:r>
              <w:rPr>
                <w:sz w:val="18"/>
              </w:rPr>
              <w:t>vehicle</w:t>
            </w:r>
            <w:r>
              <w:rPr>
                <w:spacing w:val="-1"/>
                <w:sz w:val="18"/>
              </w:rPr>
              <w:t xml:space="preserve"> </w:t>
            </w:r>
            <w:r>
              <w:rPr>
                <w:sz w:val="18"/>
              </w:rPr>
              <w:t>tax</w:t>
            </w:r>
            <w:r>
              <w:rPr>
                <w:spacing w:val="-2"/>
                <w:sz w:val="18"/>
              </w:rPr>
              <w:t xml:space="preserve"> </w:t>
            </w:r>
            <w:r>
              <w:rPr>
                <w:sz w:val="18"/>
              </w:rPr>
              <w:t>and</w:t>
            </w:r>
            <w:r>
              <w:rPr>
                <w:spacing w:val="-1"/>
                <w:sz w:val="18"/>
              </w:rPr>
              <w:t xml:space="preserve"> </w:t>
            </w:r>
            <w:r>
              <w:rPr>
                <w:sz w:val="18"/>
              </w:rPr>
              <w:t>fine waivers</w:t>
            </w:r>
            <w:r>
              <w:rPr>
                <w:spacing w:val="-1"/>
                <w:sz w:val="18"/>
              </w:rPr>
              <w:t xml:space="preserve"> </w:t>
            </w:r>
            <w:r>
              <w:rPr>
                <w:sz w:val="18"/>
              </w:rPr>
              <w:t>(up</w:t>
            </w:r>
            <w:r>
              <w:rPr>
                <w:spacing w:val="-1"/>
                <w:sz w:val="18"/>
              </w:rPr>
              <w:t xml:space="preserve"> </w:t>
            </w:r>
            <w:r>
              <w:rPr>
                <w:sz w:val="18"/>
              </w:rPr>
              <w:t>to</w:t>
            </w:r>
            <w:r>
              <w:rPr>
                <w:spacing w:val="-2"/>
                <w:sz w:val="18"/>
              </w:rPr>
              <w:t xml:space="preserve"> </w:t>
            </w:r>
            <w:r>
              <w:rPr>
                <w:sz w:val="18"/>
              </w:rPr>
              <w:t>2</w:t>
            </w:r>
            <w:r>
              <w:rPr>
                <w:spacing w:val="-1"/>
                <w:sz w:val="18"/>
              </w:rPr>
              <w:t xml:space="preserve"> </w:t>
            </w:r>
            <w:r>
              <w:rPr>
                <w:sz w:val="18"/>
              </w:rPr>
              <w:t>million</w:t>
            </w:r>
            <w:r>
              <w:rPr>
                <w:spacing w:val="-4"/>
                <w:sz w:val="18"/>
              </w:rPr>
              <w:t xml:space="preserve"> </w:t>
            </w:r>
            <w:r>
              <w:rPr>
                <w:sz w:val="18"/>
              </w:rPr>
              <w:t>rupiah</w:t>
            </w:r>
            <w:r>
              <w:rPr>
                <w:spacing w:val="-1"/>
                <w:sz w:val="18"/>
              </w:rPr>
              <w:t xml:space="preserve"> </w:t>
            </w:r>
            <w:r>
              <w:rPr>
                <w:sz w:val="18"/>
              </w:rPr>
              <w:t xml:space="preserve">per </w:t>
            </w:r>
            <w:r>
              <w:rPr>
                <w:spacing w:val="-2"/>
                <w:sz w:val="18"/>
              </w:rPr>
              <w:t>vehicle)</w:t>
            </w:r>
          </w:p>
          <w:p w14:paraId="4D8EFDFA" w14:textId="77777777" w:rsidR="00BC24A8" w:rsidRDefault="00000000">
            <w:pPr>
              <w:pStyle w:val="TableParagraph"/>
              <w:numPr>
                <w:ilvl w:val="0"/>
                <w:numId w:val="66"/>
              </w:numPr>
              <w:tabs>
                <w:tab w:val="left" w:pos="590"/>
              </w:tabs>
              <w:spacing w:before="1"/>
              <w:ind w:right="1173"/>
              <w:rPr>
                <w:sz w:val="18"/>
              </w:rPr>
            </w:pPr>
            <w:r>
              <w:rPr>
                <w:i/>
                <w:sz w:val="18"/>
              </w:rPr>
              <w:t>Bappeda's</w:t>
            </w:r>
            <w:r>
              <w:rPr>
                <w:i/>
                <w:spacing w:val="-4"/>
                <w:sz w:val="18"/>
              </w:rPr>
              <w:t xml:space="preserve"> </w:t>
            </w:r>
            <w:r>
              <w:rPr>
                <w:sz w:val="18"/>
              </w:rPr>
              <w:t>leading</w:t>
            </w:r>
            <w:r>
              <w:rPr>
                <w:spacing w:val="-4"/>
                <w:sz w:val="18"/>
              </w:rPr>
              <w:t xml:space="preserve"> </w:t>
            </w:r>
            <w:r>
              <w:rPr>
                <w:sz w:val="18"/>
              </w:rPr>
              <w:t>all</w:t>
            </w:r>
            <w:r>
              <w:rPr>
                <w:spacing w:val="-2"/>
                <w:sz w:val="18"/>
              </w:rPr>
              <w:t xml:space="preserve"> </w:t>
            </w:r>
            <w:r>
              <w:rPr>
                <w:sz w:val="18"/>
              </w:rPr>
              <w:t>One</w:t>
            </w:r>
            <w:r>
              <w:rPr>
                <w:spacing w:val="-3"/>
                <w:sz w:val="18"/>
              </w:rPr>
              <w:t xml:space="preserve"> </w:t>
            </w:r>
            <w:r>
              <w:rPr>
                <w:sz w:val="18"/>
              </w:rPr>
              <w:t>Data</w:t>
            </w:r>
            <w:r>
              <w:rPr>
                <w:spacing w:val="-4"/>
                <w:sz w:val="18"/>
              </w:rPr>
              <w:t xml:space="preserve"> </w:t>
            </w:r>
            <w:r>
              <w:rPr>
                <w:sz w:val="18"/>
              </w:rPr>
              <w:t>Forum</w:t>
            </w:r>
            <w:r>
              <w:rPr>
                <w:spacing w:val="-4"/>
                <w:sz w:val="18"/>
              </w:rPr>
              <w:t xml:space="preserve"> </w:t>
            </w:r>
            <w:r>
              <w:rPr>
                <w:sz w:val="18"/>
              </w:rPr>
              <w:t>meetings</w:t>
            </w:r>
            <w:r>
              <w:rPr>
                <w:spacing w:val="-3"/>
                <w:sz w:val="18"/>
              </w:rPr>
              <w:t xml:space="preserve"> </w:t>
            </w:r>
            <w:r>
              <w:rPr>
                <w:sz w:val="18"/>
              </w:rPr>
              <w:t>to</w:t>
            </w:r>
            <w:r>
              <w:rPr>
                <w:spacing w:val="-4"/>
                <w:sz w:val="18"/>
              </w:rPr>
              <w:t xml:space="preserve"> </w:t>
            </w:r>
            <w:r>
              <w:rPr>
                <w:sz w:val="18"/>
              </w:rPr>
              <w:t>produce</w:t>
            </w:r>
            <w:r>
              <w:rPr>
                <w:spacing w:val="-3"/>
                <w:sz w:val="18"/>
              </w:rPr>
              <w:t xml:space="preserve"> </w:t>
            </w:r>
            <w:r>
              <w:rPr>
                <w:sz w:val="18"/>
              </w:rPr>
              <w:t>various</w:t>
            </w:r>
            <w:r>
              <w:rPr>
                <w:spacing w:val="-6"/>
                <w:sz w:val="18"/>
              </w:rPr>
              <w:t xml:space="preserve"> </w:t>
            </w:r>
            <w:r>
              <w:rPr>
                <w:sz w:val="18"/>
              </w:rPr>
              <w:t>strategic</w:t>
            </w:r>
            <w:r>
              <w:rPr>
                <w:spacing w:val="-3"/>
                <w:sz w:val="18"/>
              </w:rPr>
              <w:t xml:space="preserve"> </w:t>
            </w:r>
            <w:r>
              <w:rPr>
                <w:sz w:val="18"/>
              </w:rPr>
              <w:t xml:space="preserve">outputs </w:t>
            </w:r>
            <w:r>
              <w:rPr>
                <w:spacing w:val="-2"/>
                <w:sz w:val="18"/>
              </w:rPr>
              <w:t>independently.</w:t>
            </w:r>
          </w:p>
        </w:tc>
      </w:tr>
    </w:tbl>
    <w:p w14:paraId="2D2CDC23" w14:textId="77777777" w:rsidR="00BC24A8" w:rsidRDefault="00BC24A8">
      <w:pPr>
        <w:pStyle w:val="TableParagraph"/>
        <w:rPr>
          <w:sz w:val="18"/>
        </w:rPr>
        <w:sectPr w:rsidR="00BC24A8">
          <w:pgSz w:w="11910" w:h="16840"/>
          <w:pgMar w:top="1380" w:right="850" w:bottom="1100" w:left="1275" w:header="0" w:footer="907" w:gutter="0"/>
          <w:cols w:space="720"/>
        </w:sectPr>
      </w:pPr>
    </w:p>
    <w:p w14:paraId="2D05F952" w14:textId="77777777" w:rsidR="00BC24A8" w:rsidRDefault="00000000">
      <w:pPr>
        <w:pStyle w:val="BodyText"/>
        <w:spacing w:before="39"/>
        <w:ind w:left="143"/>
        <w:rPr>
          <w:rFonts w:ascii="Calibri"/>
        </w:rPr>
      </w:pPr>
      <w:r>
        <w:rPr>
          <w:rFonts w:ascii="Calibri"/>
          <w:color w:val="272727"/>
        </w:rPr>
        <w:lastRenderedPageBreak/>
        <w:t>Significant</w:t>
      </w:r>
      <w:r>
        <w:rPr>
          <w:rFonts w:ascii="Calibri"/>
          <w:color w:val="272727"/>
          <w:spacing w:val="-10"/>
        </w:rPr>
        <w:t xml:space="preserve"> </w:t>
      </w:r>
      <w:r>
        <w:rPr>
          <w:rFonts w:ascii="Calibri"/>
          <w:color w:val="272727"/>
        </w:rPr>
        <w:t>changes</w:t>
      </w:r>
      <w:r>
        <w:rPr>
          <w:rFonts w:ascii="Calibri"/>
          <w:color w:val="272727"/>
          <w:spacing w:val="-11"/>
        </w:rPr>
        <w:t xml:space="preserve"> </w:t>
      </w:r>
      <w:r>
        <w:rPr>
          <w:rFonts w:ascii="Calibri"/>
          <w:color w:val="272727"/>
          <w:spacing w:val="-4"/>
        </w:rPr>
        <w:t>story</w:t>
      </w:r>
    </w:p>
    <w:p w14:paraId="593A77A9" w14:textId="77777777" w:rsidR="00BC24A8" w:rsidRDefault="00BC24A8">
      <w:pPr>
        <w:pStyle w:val="BodyText"/>
        <w:spacing w:before="27"/>
        <w:rPr>
          <w:rFonts w:ascii="Calibri"/>
          <w:sz w:val="20"/>
        </w:rPr>
      </w:pPr>
    </w:p>
    <w:p w14:paraId="330D6311" w14:textId="77777777" w:rsidR="00BC24A8" w:rsidRDefault="00000000">
      <w:pPr>
        <w:ind w:left="43" w:right="440"/>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1</w:t>
      </w:r>
      <w:r>
        <w:rPr>
          <w:spacing w:val="-15"/>
          <w:sz w:val="20"/>
        </w:rPr>
        <w:t xml:space="preserve"> </w:t>
      </w:r>
      <w:r>
        <w:rPr>
          <w:spacing w:val="-10"/>
          <w:sz w:val="20"/>
        </w:rPr>
        <w:t>:</w:t>
      </w:r>
    </w:p>
    <w:p w14:paraId="239E4065" w14:textId="77777777" w:rsidR="00BC24A8" w:rsidRDefault="00000000">
      <w:pPr>
        <w:spacing w:before="1"/>
        <w:ind w:left="73" w:right="440"/>
        <w:jc w:val="center"/>
        <w:rPr>
          <w:rFonts w:ascii="Calibri"/>
          <w:b/>
          <w:i/>
          <w:sz w:val="20"/>
        </w:rPr>
      </w:pPr>
      <w:r>
        <w:rPr>
          <w:rFonts w:ascii="Calibri"/>
          <w:b/>
          <w:color w:val="17365A"/>
          <w:sz w:val="20"/>
        </w:rPr>
        <w:t>Increasing</w:t>
      </w:r>
      <w:r>
        <w:rPr>
          <w:rFonts w:ascii="Calibri"/>
          <w:b/>
          <w:color w:val="17365A"/>
          <w:spacing w:val="-12"/>
          <w:sz w:val="20"/>
        </w:rPr>
        <w:t xml:space="preserve"> </w:t>
      </w:r>
      <w:r>
        <w:rPr>
          <w:rFonts w:ascii="Calibri"/>
          <w:b/>
          <w:color w:val="17365A"/>
          <w:sz w:val="20"/>
        </w:rPr>
        <w:t>Meaningful</w:t>
      </w:r>
      <w:r>
        <w:rPr>
          <w:rFonts w:ascii="Calibri"/>
          <w:b/>
          <w:color w:val="17365A"/>
          <w:spacing w:val="-11"/>
          <w:sz w:val="20"/>
        </w:rPr>
        <w:t xml:space="preserve"> </w:t>
      </w:r>
      <w:r>
        <w:rPr>
          <w:rFonts w:ascii="Calibri"/>
          <w:b/>
          <w:color w:val="17365A"/>
          <w:sz w:val="20"/>
        </w:rPr>
        <w:t>Participation</w:t>
      </w:r>
      <w:r>
        <w:rPr>
          <w:rFonts w:ascii="Calibri"/>
          <w:b/>
          <w:color w:val="17365A"/>
          <w:spacing w:val="-9"/>
          <w:sz w:val="20"/>
        </w:rPr>
        <w:t xml:space="preserve"> </w:t>
      </w:r>
      <w:r>
        <w:rPr>
          <w:rFonts w:ascii="Calibri"/>
          <w:b/>
          <w:color w:val="17365A"/>
          <w:sz w:val="20"/>
        </w:rPr>
        <w:t>of</w:t>
      </w:r>
      <w:r>
        <w:rPr>
          <w:rFonts w:ascii="Calibri"/>
          <w:b/>
          <w:color w:val="17365A"/>
          <w:spacing w:val="-11"/>
          <w:sz w:val="20"/>
        </w:rPr>
        <w:t xml:space="preserve"> </w:t>
      </w:r>
      <w:r>
        <w:rPr>
          <w:rFonts w:ascii="Calibri"/>
          <w:b/>
          <w:color w:val="17365A"/>
          <w:sz w:val="20"/>
        </w:rPr>
        <w:t>Vulnerable</w:t>
      </w:r>
      <w:r>
        <w:rPr>
          <w:rFonts w:ascii="Calibri"/>
          <w:b/>
          <w:color w:val="17365A"/>
          <w:spacing w:val="-11"/>
          <w:sz w:val="20"/>
        </w:rPr>
        <w:t xml:space="preserve"> </w:t>
      </w:r>
      <w:r>
        <w:rPr>
          <w:rFonts w:ascii="Calibri"/>
          <w:b/>
          <w:color w:val="17365A"/>
          <w:sz w:val="20"/>
        </w:rPr>
        <w:t>Groups</w:t>
      </w:r>
      <w:r>
        <w:rPr>
          <w:rFonts w:ascii="Calibri"/>
          <w:b/>
          <w:color w:val="17365A"/>
          <w:spacing w:val="-10"/>
          <w:sz w:val="20"/>
        </w:rPr>
        <w:t xml:space="preserve"> </w:t>
      </w:r>
      <w:r>
        <w:rPr>
          <w:rFonts w:ascii="Calibri"/>
          <w:b/>
          <w:color w:val="17365A"/>
          <w:sz w:val="20"/>
        </w:rPr>
        <w:t>through</w:t>
      </w:r>
      <w:r>
        <w:rPr>
          <w:rFonts w:ascii="Calibri"/>
          <w:b/>
          <w:color w:val="17365A"/>
          <w:spacing w:val="-10"/>
          <w:sz w:val="20"/>
        </w:rPr>
        <w:t xml:space="preserve"> </w:t>
      </w:r>
      <w:r>
        <w:rPr>
          <w:rFonts w:ascii="Calibri"/>
          <w:b/>
          <w:color w:val="17365A"/>
          <w:sz w:val="20"/>
        </w:rPr>
        <w:t>GEDSI</w:t>
      </w:r>
      <w:r>
        <w:rPr>
          <w:rFonts w:ascii="Calibri"/>
          <w:b/>
          <w:color w:val="17365A"/>
          <w:spacing w:val="-10"/>
          <w:sz w:val="20"/>
        </w:rPr>
        <w:t xml:space="preserve"> </w:t>
      </w:r>
      <w:r>
        <w:rPr>
          <w:rFonts w:ascii="Calibri"/>
          <w:b/>
          <w:color w:val="17365A"/>
          <w:sz w:val="20"/>
        </w:rPr>
        <w:t>Thematic</w:t>
      </w:r>
      <w:r>
        <w:rPr>
          <w:rFonts w:ascii="Calibri"/>
          <w:b/>
          <w:color w:val="17365A"/>
          <w:spacing w:val="-10"/>
          <w:sz w:val="20"/>
        </w:rPr>
        <w:t xml:space="preserve"> </w:t>
      </w:r>
      <w:r>
        <w:rPr>
          <w:rFonts w:ascii="Calibri"/>
          <w:b/>
          <w:i/>
          <w:color w:val="17365A"/>
          <w:spacing w:val="-2"/>
          <w:sz w:val="20"/>
        </w:rPr>
        <w:t>Musrenbang</w:t>
      </w:r>
    </w:p>
    <w:p w14:paraId="09192588" w14:textId="77777777" w:rsidR="00BC24A8" w:rsidRDefault="00000000">
      <w:pPr>
        <w:ind w:left="74" w:right="440"/>
        <w:jc w:val="center"/>
        <w:rPr>
          <w:rFonts w:ascii="Calibri"/>
          <w:b/>
          <w:sz w:val="20"/>
        </w:rPr>
      </w:pPr>
      <w:r>
        <w:rPr>
          <w:rFonts w:ascii="Calibri"/>
          <w:b/>
          <w:color w:val="17365A"/>
          <w:sz w:val="20"/>
        </w:rPr>
        <w:t>in</w:t>
      </w:r>
      <w:r>
        <w:rPr>
          <w:rFonts w:ascii="Calibri"/>
          <w:b/>
          <w:color w:val="17365A"/>
          <w:spacing w:val="-2"/>
          <w:sz w:val="20"/>
        </w:rPr>
        <w:t xml:space="preserve"> </w:t>
      </w:r>
      <w:r>
        <w:rPr>
          <w:rFonts w:ascii="Calibri"/>
          <w:b/>
          <w:color w:val="17365A"/>
          <w:spacing w:val="-5"/>
          <w:sz w:val="20"/>
        </w:rPr>
        <w:t>NTB</w:t>
      </w:r>
    </w:p>
    <w:p w14:paraId="24C186C8" w14:textId="77777777" w:rsidR="00BC24A8" w:rsidRDefault="00BC24A8">
      <w:pPr>
        <w:pStyle w:val="BodyText"/>
        <w:rPr>
          <w:rFonts w:ascii="Calibri"/>
          <w:b/>
          <w:sz w:val="18"/>
        </w:rPr>
      </w:pPr>
    </w:p>
    <w:p w14:paraId="2F5C7F39" w14:textId="77777777" w:rsidR="00BC24A8" w:rsidRDefault="00BC24A8">
      <w:pPr>
        <w:pStyle w:val="BodyText"/>
        <w:rPr>
          <w:rFonts w:ascii="Calibri"/>
          <w:b/>
          <w:sz w:val="18"/>
        </w:rPr>
      </w:pPr>
    </w:p>
    <w:p w14:paraId="0A897C03" w14:textId="77777777" w:rsidR="00BC24A8" w:rsidRDefault="00BC24A8">
      <w:pPr>
        <w:pStyle w:val="BodyText"/>
        <w:spacing w:before="118"/>
        <w:rPr>
          <w:rFonts w:ascii="Calibri"/>
          <w:b/>
          <w:sz w:val="18"/>
        </w:rPr>
      </w:pPr>
    </w:p>
    <w:p w14:paraId="57672B72" w14:textId="77777777" w:rsidR="00BC24A8" w:rsidRDefault="00000000">
      <w:pPr>
        <w:spacing w:line="290" w:lineRule="auto"/>
        <w:ind w:left="719" w:right="1116"/>
        <w:rPr>
          <w:rFonts w:ascii="Times New Roman"/>
          <w:b/>
          <w:i/>
          <w:sz w:val="18"/>
        </w:rPr>
      </w:pPr>
      <w:r>
        <w:rPr>
          <w:rFonts w:ascii="Times New Roman"/>
          <w:b/>
          <w:i/>
          <w:color w:val="17365A"/>
          <w:spacing w:val="-2"/>
          <w:sz w:val="18"/>
        </w:rPr>
        <w:t>This</w:t>
      </w:r>
      <w:r>
        <w:rPr>
          <w:rFonts w:ascii="Times New Roman"/>
          <w:b/>
          <w:i/>
          <w:color w:val="17365A"/>
          <w:spacing w:val="-5"/>
          <w:sz w:val="18"/>
        </w:rPr>
        <w:t xml:space="preserve"> </w:t>
      </w:r>
      <w:r>
        <w:rPr>
          <w:rFonts w:ascii="Times New Roman"/>
          <w:b/>
          <w:i/>
          <w:color w:val="17365A"/>
          <w:spacing w:val="-2"/>
          <w:sz w:val="18"/>
        </w:rPr>
        <w:t>process</w:t>
      </w:r>
      <w:r>
        <w:rPr>
          <w:rFonts w:ascii="Times New Roman"/>
          <w:b/>
          <w:i/>
          <w:color w:val="17365A"/>
          <w:spacing w:val="-5"/>
          <w:sz w:val="18"/>
        </w:rPr>
        <w:t xml:space="preserve"> </w:t>
      </w:r>
      <w:r>
        <w:rPr>
          <w:rFonts w:ascii="Times New Roman"/>
          <w:b/>
          <w:i/>
          <w:color w:val="17365A"/>
          <w:spacing w:val="-2"/>
          <w:sz w:val="18"/>
        </w:rPr>
        <w:t>is</w:t>
      </w:r>
      <w:r>
        <w:rPr>
          <w:rFonts w:ascii="Times New Roman"/>
          <w:b/>
          <w:i/>
          <w:color w:val="17365A"/>
          <w:spacing w:val="-5"/>
          <w:sz w:val="18"/>
        </w:rPr>
        <w:t xml:space="preserve"> </w:t>
      </w:r>
      <w:r>
        <w:rPr>
          <w:rFonts w:ascii="Times New Roman"/>
          <w:b/>
          <w:i/>
          <w:color w:val="17365A"/>
          <w:spacing w:val="-2"/>
          <w:sz w:val="18"/>
        </w:rPr>
        <w:t>very</w:t>
      </w:r>
      <w:r>
        <w:rPr>
          <w:rFonts w:ascii="Times New Roman"/>
          <w:b/>
          <w:i/>
          <w:color w:val="17365A"/>
          <w:spacing w:val="-7"/>
          <w:sz w:val="18"/>
        </w:rPr>
        <w:t xml:space="preserve"> </w:t>
      </w:r>
      <w:r>
        <w:rPr>
          <w:rFonts w:ascii="Times New Roman"/>
          <w:b/>
          <w:i/>
          <w:color w:val="17365A"/>
          <w:spacing w:val="-2"/>
          <w:sz w:val="18"/>
        </w:rPr>
        <w:t>good</w:t>
      </w:r>
      <w:r>
        <w:rPr>
          <w:rFonts w:ascii="Times New Roman"/>
          <w:b/>
          <w:i/>
          <w:color w:val="17365A"/>
          <w:spacing w:val="-7"/>
          <w:sz w:val="18"/>
        </w:rPr>
        <w:t xml:space="preserve"> </w:t>
      </w:r>
      <w:r>
        <w:rPr>
          <w:rFonts w:ascii="Times New Roman"/>
          <w:b/>
          <w:i/>
          <w:color w:val="17365A"/>
          <w:spacing w:val="-2"/>
          <w:sz w:val="18"/>
        </w:rPr>
        <w:t>for</w:t>
      </w:r>
      <w:r>
        <w:rPr>
          <w:rFonts w:ascii="Times New Roman"/>
          <w:b/>
          <w:i/>
          <w:color w:val="17365A"/>
          <w:spacing w:val="-7"/>
          <w:sz w:val="18"/>
        </w:rPr>
        <w:t xml:space="preserve"> </w:t>
      </w:r>
      <w:r>
        <w:rPr>
          <w:rFonts w:ascii="Times New Roman"/>
          <w:b/>
          <w:i/>
          <w:color w:val="17365A"/>
          <w:spacing w:val="-2"/>
          <w:sz w:val="18"/>
        </w:rPr>
        <w:t>conveying</w:t>
      </w:r>
      <w:r>
        <w:rPr>
          <w:rFonts w:ascii="Times New Roman"/>
          <w:b/>
          <w:i/>
          <w:color w:val="17365A"/>
          <w:spacing w:val="-6"/>
          <w:sz w:val="18"/>
        </w:rPr>
        <w:t xml:space="preserve"> </w:t>
      </w:r>
      <w:r>
        <w:rPr>
          <w:rFonts w:ascii="Times New Roman"/>
          <w:b/>
          <w:i/>
          <w:color w:val="17365A"/>
          <w:spacing w:val="-2"/>
          <w:sz w:val="18"/>
        </w:rPr>
        <w:t>proposals</w:t>
      </w:r>
      <w:r>
        <w:rPr>
          <w:rFonts w:ascii="Times New Roman"/>
          <w:b/>
          <w:i/>
          <w:color w:val="17365A"/>
          <w:spacing w:val="-5"/>
          <w:sz w:val="18"/>
        </w:rPr>
        <w:t xml:space="preserve"> </w:t>
      </w:r>
      <w:r>
        <w:rPr>
          <w:rFonts w:ascii="Times New Roman"/>
          <w:b/>
          <w:i/>
          <w:color w:val="17365A"/>
          <w:spacing w:val="-2"/>
          <w:sz w:val="18"/>
        </w:rPr>
        <w:t>for</w:t>
      </w:r>
      <w:r>
        <w:rPr>
          <w:rFonts w:ascii="Times New Roman"/>
          <w:b/>
          <w:i/>
          <w:color w:val="17365A"/>
          <w:spacing w:val="-7"/>
          <w:sz w:val="18"/>
        </w:rPr>
        <w:t xml:space="preserve"> </w:t>
      </w:r>
      <w:r>
        <w:rPr>
          <w:rFonts w:ascii="Times New Roman"/>
          <w:b/>
          <w:i/>
          <w:color w:val="17365A"/>
          <w:spacing w:val="-2"/>
          <w:sz w:val="18"/>
        </w:rPr>
        <w:t>women,</w:t>
      </w:r>
      <w:r>
        <w:rPr>
          <w:rFonts w:ascii="Times New Roman"/>
          <w:b/>
          <w:i/>
          <w:color w:val="17365A"/>
          <w:spacing w:val="-6"/>
          <w:sz w:val="18"/>
        </w:rPr>
        <w:t xml:space="preserve"> </w:t>
      </w:r>
      <w:r>
        <w:rPr>
          <w:rFonts w:ascii="Times New Roman"/>
          <w:b/>
          <w:i/>
          <w:color w:val="17365A"/>
          <w:spacing w:val="-2"/>
          <w:sz w:val="18"/>
        </w:rPr>
        <w:t>the</w:t>
      </w:r>
      <w:r>
        <w:rPr>
          <w:rFonts w:ascii="Times New Roman"/>
          <w:b/>
          <w:i/>
          <w:color w:val="17365A"/>
          <w:spacing w:val="-7"/>
          <w:sz w:val="18"/>
        </w:rPr>
        <w:t xml:space="preserve"> </w:t>
      </w:r>
      <w:r>
        <w:rPr>
          <w:rFonts w:ascii="Times New Roman"/>
          <w:b/>
          <w:i/>
          <w:color w:val="17365A"/>
          <w:spacing w:val="-2"/>
          <w:sz w:val="18"/>
        </w:rPr>
        <w:t>disabled,</w:t>
      </w:r>
      <w:r>
        <w:rPr>
          <w:rFonts w:ascii="Times New Roman"/>
          <w:b/>
          <w:i/>
          <w:color w:val="17365A"/>
          <w:spacing w:val="-6"/>
          <w:sz w:val="18"/>
        </w:rPr>
        <w:t xml:space="preserve"> </w:t>
      </w:r>
      <w:r>
        <w:rPr>
          <w:rFonts w:ascii="Times New Roman"/>
          <w:b/>
          <w:i/>
          <w:color w:val="17365A"/>
          <w:spacing w:val="-2"/>
          <w:sz w:val="18"/>
        </w:rPr>
        <w:t>the</w:t>
      </w:r>
      <w:r>
        <w:rPr>
          <w:rFonts w:ascii="Times New Roman"/>
          <w:b/>
          <w:i/>
          <w:color w:val="17365A"/>
          <w:spacing w:val="-7"/>
          <w:sz w:val="18"/>
        </w:rPr>
        <w:t xml:space="preserve"> </w:t>
      </w:r>
      <w:r>
        <w:rPr>
          <w:rFonts w:ascii="Times New Roman"/>
          <w:b/>
          <w:i/>
          <w:color w:val="17365A"/>
          <w:spacing w:val="-2"/>
          <w:sz w:val="18"/>
        </w:rPr>
        <w:t>elderly,</w:t>
      </w:r>
      <w:r>
        <w:rPr>
          <w:rFonts w:ascii="Times New Roman"/>
          <w:b/>
          <w:i/>
          <w:color w:val="17365A"/>
          <w:spacing w:val="-6"/>
          <w:sz w:val="18"/>
        </w:rPr>
        <w:t xml:space="preserve"> </w:t>
      </w:r>
      <w:r>
        <w:rPr>
          <w:rFonts w:ascii="Times New Roman"/>
          <w:b/>
          <w:i/>
          <w:color w:val="17365A"/>
          <w:spacing w:val="-2"/>
          <w:sz w:val="18"/>
        </w:rPr>
        <w:t>and</w:t>
      </w:r>
      <w:r>
        <w:rPr>
          <w:rFonts w:ascii="Times New Roman"/>
          <w:b/>
          <w:i/>
          <w:color w:val="17365A"/>
          <w:spacing w:val="-7"/>
          <w:sz w:val="18"/>
        </w:rPr>
        <w:t xml:space="preserve"> </w:t>
      </w:r>
      <w:r>
        <w:rPr>
          <w:rFonts w:ascii="Times New Roman"/>
          <w:b/>
          <w:i/>
          <w:color w:val="17365A"/>
          <w:spacing w:val="-2"/>
          <w:sz w:val="18"/>
        </w:rPr>
        <w:t>children,</w:t>
      </w:r>
      <w:r>
        <w:rPr>
          <w:rFonts w:ascii="Times New Roman"/>
          <w:b/>
          <w:i/>
          <w:color w:val="17365A"/>
          <w:spacing w:val="-6"/>
          <w:sz w:val="18"/>
        </w:rPr>
        <w:t xml:space="preserve"> </w:t>
      </w:r>
      <w:r>
        <w:rPr>
          <w:rFonts w:ascii="Times New Roman"/>
          <w:b/>
          <w:i/>
          <w:color w:val="17365A"/>
          <w:spacing w:val="-2"/>
          <w:sz w:val="18"/>
        </w:rPr>
        <w:t>as</w:t>
      </w:r>
      <w:r>
        <w:rPr>
          <w:rFonts w:ascii="Times New Roman"/>
          <w:b/>
          <w:i/>
          <w:color w:val="17365A"/>
          <w:spacing w:val="-5"/>
          <w:sz w:val="18"/>
        </w:rPr>
        <w:t xml:space="preserve"> </w:t>
      </w:r>
      <w:r>
        <w:rPr>
          <w:rFonts w:ascii="Times New Roman"/>
          <w:b/>
          <w:i/>
          <w:color w:val="17365A"/>
          <w:spacing w:val="-2"/>
          <w:sz w:val="18"/>
        </w:rPr>
        <w:t>well</w:t>
      </w:r>
      <w:r>
        <w:rPr>
          <w:rFonts w:ascii="Times New Roman"/>
          <w:b/>
          <w:i/>
          <w:color w:val="17365A"/>
          <w:spacing w:val="-8"/>
          <w:sz w:val="18"/>
        </w:rPr>
        <w:t xml:space="preserve"> </w:t>
      </w:r>
      <w:r>
        <w:rPr>
          <w:rFonts w:ascii="Times New Roman"/>
          <w:b/>
          <w:i/>
          <w:color w:val="17365A"/>
          <w:spacing w:val="-2"/>
          <w:sz w:val="18"/>
        </w:rPr>
        <w:t xml:space="preserve">as </w:t>
      </w:r>
      <w:r>
        <w:rPr>
          <w:rFonts w:ascii="Times New Roman"/>
          <w:b/>
          <w:i/>
          <w:color w:val="17365A"/>
          <w:sz w:val="18"/>
        </w:rPr>
        <w:t>a space</w:t>
      </w:r>
      <w:r>
        <w:rPr>
          <w:rFonts w:ascii="Times New Roman"/>
          <w:b/>
          <w:i/>
          <w:color w:val="17365A"/>
          <w:spacing w:val="-1"/>
          <w:sz w:val="18"/>
        </w:rPr>
        <w:t xml:space="preserve"> </w:t>
      </w:r>
      <w:r>
        <w:rPr>
          <w:rFonts w:ascii="Times New Roman"/>
          <w:b/>
          <w:i/>
          <w:color w:val="17365A"/>
          <w:sz w:val="18"/>
        </w:rPr>
        <w:t>to meet partners so that they</w:t>
      </w:r>
      <w:r>
        <w:rPr>
          <w:rFonts w:ascii="Times New Roman"/>
          <w:b/>
          <w:i/>
          <w:color w:val="17365A"/>
          <w:spacing w:val="-1"/>
          <w:sz w:val="18"/>
        </w:rPr>
        <w:t xml:space="preserve"> </w:t>
      </w:r>
      <w:r>
        <w:rPr>
          <w:rFonts w:ascii="Times New Roman"/>
          <w:b/>
          <w:i/>
          <w:color w:val="17365A"/>
          <w:sz w:val="18"/>
        </w:rPr>
        <w:t>can</w:t>
      </w:r>
      <w:r>
        <w:rPr>
          <w:rFonts w:ascii="Times New Roman"/>
          <w:b/>
          <w:i/>
          <w:color w:val="17365A"/>
          <w:spacing w:val="-1"/>
          <w:sz w:val="18"/>
        </w:rPr>
        <w:t xml:space="preserve"> </w:t>
      </w:r>
      <w:r>
        <w:rPr>
          <w:rFonts w:ascii="Times New Roman"/>
          <w:b/>
          <w:i/>
          <w:color w:val="17365A"/>
          <w:sz w:val="18"/>
        </w:rPr>
        <w:t>freely</w:t>
      </w:r>
      <w:r>
        <w:rPr>
          <w:rFonts w:ascii="Times New Roman"/>
          <w:b/>
          <w:i/>
          <w:color w:val="17365A"/>
          <w:spacing w:val="-1"/>
          <w:sz w:val="18"/>
        </w:rPr>
        <w:t xml:space="preserve"> </w:t>
      </w:r>
      <w:r>
        <w:rPr>
          <w:rFonts w:ascii="Times New Roman"/>
          <w:b/>
          <w:i/>
          <w:color w:val="17365A"/>
          <w:sz w:val="18"/>
        </w:rPr>
        <w:t>discuss achievement strategies,</w:t>
      </w:r>
    </w:p>
    <w:p w14:paraId="2BFAA2A3" w14:textId="77777777" w:rsidR="00BC24A8" w:rsidRDefault="00000000">
      <w:pPr>
        <w:spacing w:line="205" w:lineRule="exact"/>
        <w:ind w:left="719"/>
        <w:rPr>
          <w:i/>
          <w:sz w:val="18"/>
        </w:rPr>
      </w:pPr>
      <w:r>
        <w:rPr>
          <w:i/>
          <w:color w:val="17365A"/>
          <w:sz w:val="18"/>
        </w:rPr>
        <w:t>Women,</w:t>
      </w:r>
      <w:r>
        <w:rPr>
          <w:i/>
          <w:color w:val="17365A"/>
          <w:spacing w:val="-5"/>
          <w:sz w:val="18"/>
        </w:rPr>
        <w:t xml:space="preserve"> </w:t>
      </w:r>
      <w:r>
        <w:rPr>
          <w:i/>
          <w:color w:val="17365A"/>
          <w:sz w:val="18"/>
        </w:rPr>
        <w:t>CSO</w:t>
      </w:r>
      <w:r>
        <w:rPr>
          <w:i/>
          <w:color w:val="17365A"/>
          <w:spacing w:val="-2"/>
          <w:sz w:val="18"/>
        </w:rPr>
        <w:t xml:space="preserve"> </w:t>
      </w:r>
      <w:r>
        <w:rPr>
          <w:i/>
          <w:color w:val="17365A"/>
          <w:sz w:val="18"/>
        </w:rPr>
        <w:t>representatives,</w:t>
      </w:r>
      <w:r>
        <w:rPr>
          <w:i/>
          <w:color w:val="17365A"/>
          <w:spacing w:val="-3"/>
          <w:sz w:val="18"/>
        </w:rPr>
        <w:t xml:space="preserve"> </w:t>
      </w:r>
      <w:r>
        <w:rPr>
          <w:i/>
          <w:color w:val="17365A"/>
          <w:sz w:val="18"/>
        </w:rPr>
        <w:t>from</w:t>
      </w:r>
      <w:r>
        <w:rPr>
          <w:i/>
          <w:color w:val="17365A"/>
          <w:spacing w:val="-3"/>
          <w:sz w:val="18"/>
        </w:rPr>
        <w:t xml:space="preserve"> </w:t>
      </w:r>
      <w:r>
        <w:rPr>
          <w:i/>
          <w:color w:val="17365A"/>
          <w:sz w:val="18"/>
        </w:rPr>
        <w:t>the</w:t>
      </w:r>
      <w:r>
        <w:rPr>
          <w:i/>
          <w:color w:val="17365A"/>
          <w:spacing w:val="-4"/>
          <w:sz w:val="18"/>
        </w:rPr>
        <w:t xml:space="preserve"> </w:t>
      </w:r>
      <w:r>
        <w:rPr>
          <w:i/>
          <w:color w:val="17365A"/>
          <w:sz w:val="18"/>
        </w:rPr>
        <w:t>results</w:t>
      </w:r>
      <w:r>
        <w:rPr>
          <w:i/>
          <w:color w:val="17365A"/>
          <w:spacing w:val="-3"/>
          <w:sz w:val="18"/>
        </w:rPr>
        <w:t xml:space="preserve"> </w:t>
      </w:r>
      <w:r>
        <w:rPr>
          <w:i/>
          <w:color w:val="17365A"/>
          <w:sz w:val="18"/>
        </w:rPr>
        <w:t>of</w:t>
      </w:r>
      <w:r>
        <w:rPr>
          <w:i/>
          <w:color w:val="17365A"/>
          <w:spacing w:val="-5"/>
          <w:sz w:val="18"/>
        </w:rPr>
        <w:t xml:space="preserve"> </w:t>
      </w:r>
      <w:r>
        <w:rPr>
          <w:i/>
          <w:color w:val="17365A"/>
          <w:sz w:val="18"/>
        </w:rPr>
        <w:t>the</w:t>
      </w:r>
      <w:r>
        <w:rPr>
          <w:i/>
          <w:color w:val="17365A"/>
          <w:spacing w:val="-4"/>
          <w:sz w:val="18"/>
        </w:rPr>
        <w:t xml:space="preserve"> </w:t>
      </w:r>
      <w:r>
        <w:rPr>
          <w:i/>
          <w:color w:val="17365A"/>
          <w:sz w:val="18"/>
        </w:rPr>
        <w:t>2025</w:t>
      </w:r>
      <w:r>
        <w:rPr>
          <w:i/>
          <w:color w:val="17365A"/>
          <w:spacing w:val="-3"/>
          <w:sz w:val="18"/>
        </w:rPr>
        <w:t xml:space="preserve"> </w:t>
      </w:r>
      <w:r>
        <w:rPr>
          <w:i/>
          <w:color w:val="17365A"/>
          <w:sz w:val="18"/>
        </w:rPr>
        <w:t>feedback</w:t>
      </w:r>
      <w:r>
        <w:rPr>
          <w:i/>
          <w:color w:val="17365A"/>
          <w:spacing w:val="-4"/>
          <w:sz w:val="18"/>
        </w:rPr>
        <w:t xml:space="preserve"> </w:t>
      </w:r>
      <w:r>
        <w:rPr>
          <w:i/>
          <w:color w:val="17365A"/>
          <w:spacing w:val="-2"/>
          <w:sz w:val="18"/>
        </w:rPr>
        <w:t>survey.</w:t>
      </w:r>
    </w:p>
    <w:p w14:paraId="493E021C" w14:textId="77777777" w:rsidR="00BC24A8" w:rsidRDefault="00BC24A8">
      <w:pPr>
        <w:pStyle w:val="BodyText"/>
        <w:rPr>
          <w:i/>
          <w:sz w:val="18"/>
        </w:rPr>
      </w:pPr>
    </w:p>
    <w:p w14:paraId="6AE3BD2B" w14:textId="77777777" w:rsidR="00BC24A8" w:rsidRDefault="00BC24A8">
      <w:pPr>
        <w:pStyle w:val="BodyText"/>
        <w:rPr>
          <w:i/>
          <w:sz w:val="18"/>
        </w:rPr>
      </w:pPr>
    </w:p>
    <w:p w14:paraId="3DDD0206" w14:textId="77777777" w:rsidR="00BC24A8" w:rsidRDefault="00BC24A8">
      <w:pPr>
        <w:pStyle w:val="BodyText"/>
        <w:spacing w:before="40"/>
        <w:rPr>
          <w:i/>
          <w:sz w:val="18"/>
        </w:rPr>
      </w:pPr>
    </w:p>
    <w:p w14:paraId="62A36D21" w14:textId="77777777" w:rsidR="00BC24A8" w:rsidRDefault="00000000">
      <w:pPr>
        <w:ind w:left="395" w:right="4780"/>
        <w:jc w:val="both"/>
        <w:rPr>
          <w:sz w:val="18"/>
        </w:rPr>
      </w:pPr>
      <w:r>
        <w:rPr>
          <w:sz w:val="18"/>
        </w:rPr>
        <w:t xml:space="preserve">For many years, Thematic </w:t>
      </w:r>
      <w:r>
        <w:rPr>
          <w:i/>
          <w:sz w:val="18"/>
        </w:rPr>
        <w:t xml:space="preserve">Musrenbang </w:t>
      </w:r>
      <w:r>
        <w:rPr>
          <w:sz w:val="18"/>
        </w:rPr>
        <w:t>in NTB has functioned largely as a formality for certain community groups. Vulnerable groups, such as persons with disabilities, the elderly, children, women, and migrant workers, have been invited, yet their participation is often symbolic or only for formality. Though sitting in the same room, they were not truly heard. Their proposals are rarely reflected in planning documents.</w:t>
      </w:r>
    </w:p>
    <w:p w14:paraId="329E79BC" w14:textId="77777777" w:rsidR="00BC24A8" w:rsidRDefault="00BC24A8">
      <w:pPr>
        <w:jc w:val="both"/>
        <w:rPr>
          <w:sz w:val="18"/>
        </w:rPr>
        <w:sectPr w:rsidR="00BC24A8">
          <w:pgSz w:w="11910" w:h="16840"/>
          <w:pgMar w:top="1360" w:right="850" w:bottom="1100" w:left="1275" w:header="0" w:footer="907" w:gutter="0"/>
          <w:cols w:space="720"/>
        </w:sectPr>
      </w:pPr>
    </w:p>
    <w:p w14:paraId="04B0E69C" w14:textId="77777777" w:rsidR="00BC24A8" w:rsidRDefault="00000000">
      <w:pPr>
        <w:spacing w:before="161"/>
        <w:ind w:left="395" w:right="38"/>
        <w:jc w:val="both"/>
        <w:rPr>
          <w:sz w:val="18"/>
        </w:rPr>
      </w:pPr>
      <w:r>
        <w:rPr>
          <w:sz w:val="18"/>
        </w:rPr>
        <w:t>Recognising this gap, the NTB Provincial Government initiated the Thematic Development Planning Forum – a new space specifically designed to ensure that vulnerable groups are not only present, but also create a real impact.</w:t>
      </w:r>
    </w:p>
    <w:p w14:paraId="118BA2D3" w14:textId="77777777" w:rsidR="00BC24A8" w:rsidRDefault="00000000">
      <w:pPr>
        <w:spacing w:before="161"/>
        <w:ind w:left="395" w:right="38"/>
        <w:jc w:val="both"/>
        <w:rPr>
          <w:sz w:val="18"/>
        </w:rPr>
      </w:pPr>
      <w:r>
        <w:rPr>
          <w:sz w:val="18"/>
        </w:rPr>
        <w:t>This</w:t>
      </w:r>
      <w:r>
        <w:rPr>
          <w:spacing w:val="-5"/>
          <w:sz w:val="18"/>
        </w:rPr>
        <w:t xml:space="preserve"> </w:t>
      </w:r>
      <w:r>
        <w:rPr>
          <w:sz w:val="18"/>
        </w:rPr>
        <w:t>Thematic</w:t>
      </w:r>
      <w:r>
        <w:rPr>
          <w:spacing w:val="-5"/>
          <w:sz w:val="18"/>
        </w:rPr>
        <w:t xml:space="preserve"> </w:t>
      </w:r>
      <w:r>
        <w:rPr>
          <w:sz w:val="18"/>
        </w:rPr>
        <w:t>Development</w:t>
      </w:r>
      <w:r>
        <w:rPr>
          <w:spacing w:val="-4"/>
          <w:sz w:val="18"/>
        </w:rPr>
        <w:t xml:space="preserve"> </w:t>
      </w:r>
      <w:r>
        <w:rPr>
          <w:sz w:val="18"/>
        </w:rPr>
        <w:t>Planning</w:t>
      </w:r>
      <w:r>
        <w:rPr>
          <w:spacing w:val="-6"/>
          <w:sz w:val="18"/>
        </w:rPr>
        <w:t xml:space="preserve"> </w:t>
      </w:r>
      <w:r>
        <w:rPr>
          <w:sz w:val="18"/>
        </w:rPr>
        <w:t>Forum</w:t>
      </w:r>
      <w:r>
        <w:rPr>
          <w:spacing w:val="-6"/>
          <w:sz w:val="18"/>
        </w:rPr>
        <w:t xml:space="preserve"> </w:t>
      </w:r>
      <w:r>
        <w:rPr>
          <w:sz w:val="18"/>
        </w:rPr>
        <w:t>is</w:t>
      </w:r>
      <w:r>
        <w:rPr>
          <w:spacing w:val="-5"/>
          <w:sz w:val="18"/>
        </w:rPr>
        <w:t xml:space="preserve"> </w:t>
      </w:r>
      <w:r>
        <w:rPr>
          <w:sz w:val="18"/>
        </w:rPr>
        <w:t>far</w:t>
      </w:r>
      <w:r>
        <w:rPr>
          <w:spacing w:val="-4"/>
          <w:sz w:val="18"/>
        </w:rPr>
        <w:t xml:space="preserve"> </w:t>
      </w:r>
      <w:r>
        <w:rPr>
          <w:sz w:val="18"/>
        </w:rPr>
        <w:t>more</w:t>
      </w:r>
      <w:r>
        <w:rPr>
          <w:spacing w:val="-5"/>
          <w:sz w:val="18"/>
        </w:rPr>
        <w:t xml:space="preserve"> </w:t>
      </w:r>
      <w:r>
        <w:rPr>
          <w:sz w:val="18"/>
        </w:rPr>
        <w:t>than</w:t>
      </w:r>
      <w:r>
        <w:rPr>
          <w:spacing w:val="-4"/>
          <w:sz w:val="18"/>
        </w:rPr>
        <w:t xml:space="preserve"> </w:t>
      </w:r>
      <w:r>
        <w:rPr>
          <w:sz w:val="18"/>
        </w:rPr>
        <w:t xml:space="preserve">an ordinary forum. It is thoughtfully prepared by </w:t>
      </w:r>
      <w:r>
        <w:rPr>
          <w:i/>
          <w:sz w:val="18"/>
        </w:rPr>
        <w:t xml:space="preserve">Bappeda </w:t>
      </w:r>
      <w:r>
        <w:rPr>
          <w:sz w:val="18"/>
        </w:rPr>
        <w:t>staff, inclusive</w:t>
      </w:r>
      <w:r>
        <w:rPr>
          <w:spacing w:val="-1"/>
          <w:sz w:val="18"/>
        </w:rPr>
        <w:t xml:space="preserve"> </w:t>
      </w:r>
      <w:r>
        <w:rPr>
          <w:sz w:val="18"/>
        </w:rPr>
        <w:t>provincial agencies, CSOs, and INKLUSI Partners. From the</w:t>
      </w:r>
      <w:r>
        <w:rPr>
          <w:spacing w:val="-11"/>
          <w:sz w:val="18"/>
        </w:rPr>
        <w:t xml:space="preserve"> </w:t>
      </w:r>
      <w:r>
        <w:rPr>
          <w:sz w:val="18"/>
        </w:rPr>
        <w:t>beginning,</w:t>
      </w:r>
      <w:r>
        <w:rPr>
          <w:spacing w:val="-10"/>
          <w:sz w:val="18"/>
        </w:rPr>
        <w:t xml:space="preserve"> </w:t>
      </w:r>
      <w:r>
        <w:rPr>
          <w:sz w:val="18"/>
        </w:rPr>
        <w:t>this</w:t>
      </w:r>
      <w:r>
        <w:rPr>
          <w:spacing w:val="-10"/>
          <w:sz w:val="18"/>
        </w:rPr>
        <w:t xml:space="preserve"> </w:t>
      </w:r>
      <w:r>
        <w:rPr>
          <w:sz w:val="18"/>
        </w:rPr>
        <w:t>team</w:t>
      </w:r>
      <w:r>
        <w:rPr>
          <w:spacing w:val="-10"/>
          <w:sz w:val="18"/>
        </w:rPr>
        <w:t xml:space="preserve"> </w:t>
      </w:r>
      <w:r>
        <w:rPr>
          <w:sz w:val="18"/>
        </w:rPr>
        <w:t>sits</w:t>
      </w:r>
      <w:r>
        <w:rPr>
          <w:spacing w:val="-10"/>
          <w:sz w:val="18"/>
        </w:rPr>
        <w:t xml:space="preserve"> </w:t>
      </w:r>
      <w:r>
        <w:rPr>
          <w:sz w:val="18"/>
        </w:rPr>
        <w:t>together—designing</w:t>
      </w:r>
      <w:r>
        <w:rPr>
          <w:spacing w:val="-11"/>
          <w:sz w:val="18"/>
        </w:rPr>
        <w:t xml:space="preserve"> </w:t>
      </w:r>
      <w:r>
        <w:rPr>
          <w:sz w:val="18"/>
        </w:rPr>
        <w:t>the</w:t>
      </w:r>
      <w:r>
        <w:rPr>
          <w:spacing w:val="-10"/>
          <w:sz w:val="18"/>
        </w:rPr>
        <w:t xml:space="preserve"> </w:t>
      </w:r>
      <w:r>
        <w:rPr>
          <w:sz w:val="18"/>
        </w:rPr>
        <w:t>flow</w:t>
      </w:r>
      <w:r>
        <w:rPr>
          <w:spacing w:val="-10"/>
          <w:sz w:val="18"/>
        </w:rPr>
        <w:t xml:space="preserve"> </w:t>
      </w:r>
      <w:r>
        <w:rPr>
          <w:sz w:val="18"/>
        </w:rPr>
        <w:t>of</w:t>
      </w:r>
      <w:r>
        <w:rPr>
          <w:spacing w:val="-10"/>
          <w:sz w:val="18"/>
        </w:rPr>
        <w:t xml:space="preserve"> </w:t>
      </w:r>
      <w:r>
        <w:rPr>
          <w:sz w:val="18"/>
        </w:rPr>
        <w:t xml:space="preserve">the discussion, facilitating the group, drafting the minutes (recommendations), and submitting them to the Head of </w:t>
      </w:r>
      <w:r>
        <w:rPr>
          <w:i/>
          <w:spacing w:val="-2"/>
          <w:sz w:val="18"/>
        </w:rPr>
        <w:t>Bappeda</w:t>
      </w:r>
      <w:r>
        <w:rPr>
          <w:spacing w:val="-2"/>
          <w:sz w:val="18"/>
        </w:rPr>
        <w:t>.</w:t>
      </w:r>
    </w:p>
    <w:p w14:paraId="34F23C50" w14:textId="77777777" w:rsidR="00BC24A8" w:rsidRDefault="00000000">
      <w:pPr>
        <w:rPr>
          <w:sz w:val="16"/>
        </w:rPr>
      </w:pPr>
      <w:r>
        <w:br w:type="column"/>
      </w:r>
    </w:p>
    <w:p w14:paraId="4C00A3BA" w14:textId="77777777" w:rsidR="00BC24A8" w:rsidRDefault="00BC24A8">
      <w:pPr>
        <w:pStyle w:val="BodyText"/>
        <w:rPr>
          <w:sz w:val="16"/>
        </w:rPr>
      </w:pPr>
    </w:p>
    <w:p w14:paraId="4F95E82B" w14:textId="77777777" w:rsidR="00BC24A8" w:rsidRDefault="00BC24A8">
      <w:pPr>
        <w:pStyle w:val="BodyText"/>
        <w:spacing w:before="144"/>
        <w:rPr>
          <w:sz w:val="16"/>
        </w:rPr>
      </w:pPr>
    </w:p>
    <w:p w14:paraId="44F88C0B" w14:textId="77777777" w:rsidR="00BC24A8" w:rsidRDefault="00000000">
      <w:pPr>
        <w:spacing w:line="261" w:lineRule="auto"/>
        <w:ind w:left="395" w:right="1372"/>
        <w:jc w:val="both"/>
        <w:rPr>
          <w:rFonts w:ascii="Times New Roman"/>
          <w:b/>
          <w:i/>
          <w:sz w:val="16"/>
        </w:rPr>
      </w:pPr>
      <w:r w:rsidRPr="00795364">
        <w:rPr>
          <w:rFonts w:ascii="Arial"/>
          <w:i/>
          <w:color w:val="008279"/>
          <w:spacing w:val="-2"/>
          <w:sz w:val="16"/>
        </w:rPr>
        <w:t>"</w:t>
      </w:r>
      <w:r w:rsidRPr="00795364">
        <w:rPr>
          <w:rFonts w:ascii="Times New Roman"/>
          <w:b/>
          <w:i/>
          <w:color w:val="008279"/>
          <w:spacing w:val="-2"/>
          <w:sz w:val="16"/>
        </w:rPr>
        <w:t>This</w:t>
      </w:r>
      <w:r w:rsidRPr="00795364">
        <w:rPr>
          <w:rFonts w:ascii="Times New Roman"/>
          <w:b/>
          <w:i/>
          <w:color w:val="008279"/>
          <w:spacing w:val="-8"/>
          <w:sz w:val="16"/>
        </w:rPr>
        <w:t xml:space="preserve"> </w:t>
      </w:r>
      <w:r w:rsidRPr="00795364">
        <w:rPr>
          <w:rFonts w:ascii="Times New Roman"/>
          <w:b/>
          <w:i/>
          <w:color w:val="008279"/>
          <w:spacing w:val="-2"/>
          <w:sz w:val="16"/>
        </w:rPr>
        <w:t>Musrenbang</w:t>
      </w:r>
      <w:r w:rsidRPr="00795364">
        <w:rPr>
          <w:rFonts w:ascii="Times New Roman"/>
          <w:b/>
          <w:i/>
          <w:color w:val="008279"/>
          <w:spacing w:val="-8"/>
          <w:sz w:val="16"/>
        </w:rPr>
        <w:t xml:space="preserve"> </w:t>
      </w:r>
      <w:r w:rsidRPr="00795364">
        <w:rPr>
          <w:rFonts w:ascii="Times New Roman"/>
          <w:b/>
          <w:i/>
          <w:color w:val="008279"/>
          <w:spacing w:val="-2"/>
          <w:sz w:val="16"/>
        </w:rPr>
        <w:t>is</w:t>
      </w:r>
      <w:r w:rsidRPr="00795364">
        <w:rPr>
          <w:rFonts w:ascii="Times New Roman"/>
          <w:b/>
          <w:i/>
          <w:color w:val="008279"/>
          <w:spacing w:val="-8"/>
          <w:sz w:val="16"/>
        </w:rPr>
        <w:t xml:space="preserve"> </w:t>
      </w:r>
      <w:r w:rsidRPr="00795364">
        <w:rPr>
          <w:rFonts w:ascii="Times New Roman"/>
          <w:b/>
          <w:i/>
          <w:color w:val="008279"/>
          <w:spacing w:val="-2"/>
          <w:sz w:val="16"/>
        </w:rPr>
        <w:t>a</w:t>
      </w:r>
      <w:r w:rsidRPr="00795364">
        <w:rPr>
          <w:rFonts w:ascii="Times New Roman"/>
          <w:b/>
          <w:i/>
          <w:color w:val="008279"/>
          <w:spacing w:val="-8"/>
          <w:sz w:val="16"/>
        </w:rPr>
        <w:t xml:space="preserve"> </w:t>
      </w:r>
      <w:r w:rsidRPr="00795364">
        <w:rPr>
          <w:rFonts w:ascii="Times New Roman"/>
          <w:b/>
          <w:i/>
          <w:color w:val="008279"/>
          <w:spacing w:val="-2"/>
          <w:sz w:val="16"/>
        </w:rPr>
        <w:t>participatory</w:t>
      </w:r>
      <w:r w:rsidRPr="00795364">
        <w:rPr>
          <w:rFonts w:ascii="Times New Roman"/>
          <w:b/>
          <w:i/>
          <w:color w:val="008279"/>
          <w:spacing w:val="-8"/>
          <w:sz w:val="16"/>
        </w:rPr>
        <w:t xml:space="preserve"> </w:t>
      </w:r>
      <w:r w:rsidRPr="00795364">
        <w:rPr>
          <w:rFonts w:ascii="Times New Roman"/>
          <w:b/>
          <w:i/>
          <w:color w:val="008279"/>
          <w:spacing w:val="-2"/>
          <w:sz w:val="16"/>
        </w:rPr>
        <w:t>space</w:t>
      </w:r>
      <w:r w:rsidRPr="00795364">
        <w:rPr>
          <w:rFonts w:ascii="Times New Roman"/>
          <w:b/>
          <w:i/>
          <w:color w:val="008279"/>
          <w:spacing w:val="-8"/>
          <w:sz w:val="16"/>
        </w:rPr>
        <w:t xml:space="preserve"> </w:t>
      </w:r>
      <w:r w:rsidRPr="00795364">
        <w:rPr>
          <w:rFonts w:ascii="Times New Roman"/>
          <w:b/>
          <w:i/>
          <w:color w:val="008279"/>
          <w:spacing w:val="-2"/>
          <w:sz w:val="16"/>
        </w:rPr>
        <w:t>to</w:t>
      </w:r>
      <w:r w:rsidRPr="00795364">
        <w:rPr>
          <w:rFonts w:ascii="Times New Roman"/>
          <w:b/>
          <w:i/>
          <w:color w:val="008279"/>
          <w:spacing w:val="40"/>
          <w:sz w:val="16"/>
        </w:rPr>
        <w:t xml:space="preserve"> </w:t>
      </w:r>
      <w:r w:rsidRPr="00795364">
        <w:rPr>
          <w:rFonts w:ascii="Times New Roman"/>
          <w:b/>
          <w:i/>
          <w:color w:val="008279"/>
          <w:sz w:val="16"/>
        </w:rPr>
        <w:t>voice aspirations, design policies, and</w:t>
      </w:r>
      <w:r w:rsidRPr="00795364">
        <w:rPr>
          <w:rFonts w:ascii="Times New Roman"/>
          <w:b/>
          <w:i/>
          <w:color w:val="008279"/>
          <w:spacing w:val="40"/>
          <w:sz w:val="16"/>
        </w:rPr>
        <w:t xml:space="preserve"> </w:t>
      </w:r>
      <w:r w:rsidRPr="00795364">
        <w:rPr>
          <w:rFonts w:ascii="Times New Roman"/>
          <w:b/>
          <w:i/>
          <w:color w:val="008279"/>
          <w:sz w:val="16"/>
        </w:rPr>
        <w:t>formulate concrete steps, in order to make</w:t>
      </w:r>
      <w:r w:rsidRPr="00795364">
        <w:rPr>
          <w:rFonts w:ascii="Times New Roman"/>
          <w:b/>
          <w:i/>
          <w:color w:val="008279"/>
          <w:spacing w:val="40"/>
          <w:sz w:val="16"/>
        </w:rPr>
        <w:t xml:space="preserve"> </w:t>
      </w:r>
      <w:r w:rsidRPr="00795364">
        <w:rPr>
          <w:rFonts w:ascii="Times New Roman"/>
          <w:b/>
          <w:i/>
          <w:color w:val="008279"/>
          <w:sz w:val="16"/>
        </w:rPr>
        <w:t>NTB a friendly, fair, and sustainable</w:t>
      </w:r>
      <w:r w:rsidRPr="00795364">
        <w:rPr>
          <w:rFonts w:ascii="Times New Roman"/>
          <w:b/>
          <w:i/>
          <w:color w:val="008279"/>
          <w:spacing w:val="40"/>
          <w:sz w:val="16"/>
        </w:rPr>
        <w:t xml:space="preserve"> </w:t>
      </w:r>
      <w:r w:rsidRPr="00795364">
        <w:rPr>
          <w:rFonts w:ascii="Times New Roman"/>
          <w:b/>
          <w:i/>
          <w:color w:val="008279"/>
          <w:sz w:val="16"/>
        </w:rPr>
        <w:t>province for all its citizens.",</w:t>
      </w:r>
    </w:p>
    <w:p w14:paraId="0E215458" w14:textId="77777777" w:rsidR="00BC24A8" w:rsidRDefault="00000000">
      <w:pPr>
        <w:spacing w:before="61" w:line="216" w:lineRule="auto"/>
        <w:ind w:left="395" w:right="1376"/>
        <w:jc w:val="both"/>
        <w:rPr>
          <w:i/>
          <w:sz w:val="14"/>
        </w:rPr>
      </w:pPr>
      <w:r w:rsidRPr="00795364">
        <w:rPr>
          <w:i/>
          <w:color w:val="747474"/>
          <w:sz w:val="14"/>
        </w:rPr>
        <w:t>Hj.</w:t>
      </w:r>
      <w:r w:rsidRPr="00795364">
        <w:rPr>
          <w:i/>
          <w:color w:val="747474"/>
          <w:spacing w:val="-8"/>
          <w:sz w:val="14"/>
        </w:rPr>
        <w:t xml:space="preserve"> </w:t>
      </w:r>
      <w:r w:rsidRPr="00795364">
        <w:rPr>
          <w:i/>
          <w:color w:val="747474"/>
          <w:sz w:val="14"/>
        </w:rPr>
        <w:t>Indah</w:t>
      </w:r>
      <w:r w:rsidRPr="00795364">
        <w:rPr>
          <w:i/>
          <w:color w:val="747474"/>
          <w:spacing w:val="-8"/>
          <w:sz w:val="14"/>
        </w:rPr>
        <w:t xml:space="preserve"> </w:t>
      </w:r>
      <w:r w:rsidRPr="00795364">
        <w:rPr>
          <w:i/>
          <w:color w:val="747474"/>
          <w:sz w:val="14"/>
        </w:rPr>
        <w:t>Damayanti,</w:t>
      </w:r>
      <w:r w:rsidRPr="00795364">
        <w:rPr>
          <w:i/>
          <w:color w:val="747474"/>
          <w:spacing w:val="-8"/>
          <w:sz w:val="14"/>
        </w:rPr>
        <w:t xml:space="preserve"> </w:t>
      </w:r>
      <w:r w:rsidRPr="00795364">
        <w:rPr>
          <w:i/>
          <w:color w:val="747474"/>
          <w:sz w:val="14"/>
        </w:rPr>
        <w:t>S.E.,</w:t>
      </w:r>
      <w:r w:rsidRPr="00795364">
        <w:rPr>
          <w:i/>
          <w:color w:val="747474"/>
          <w:spacing w:val="-8"/>
          <w:sz w:val="14"/>
        </w:rPr>
        <w:t xml:space="preserve"> </w:t>
      </w:r>
      <w:r w:rsidRPr="00795364">
        <w:rPr>
          <w:i/>
          <w:color w:val="747474"/>
          <w:sz w:val="14"/>
        </w:rPr>
        <w:t>M.IP,</w:t>
      </w:r>
      <w:r w:rsidRPr="00795364">
        <w:rPr>
          <w:i/>
          <w:color w:val="747474"/>
          <w:spacing w:val="-8"/>
          <w:sz w:val="14"/>
        </w:rPr>
        <w:t xml:space="preserve"> </w:t>
      </w:r>
      <w:r w:rsidRPr="00795364">
        <w:rPr>
          <w:i/>
          <w:color w:val="747474"/>
          <w:sz w:val="14"/>
        </w:rPr>
        <w:t>Deputy</w:t>
      </w:r>
      <w:r w:rsidRPr="00795364">
        <w:rPr>
          <w:i/>
          <w:color w:val="747474"/>
          <w:spacing w:val="-8"/>
          <w:sz w:val="14"/>
        </w:rPr>
        <w:t xml:space="preserve"> </w:t>
      </w:r>
      <w:r w:rsidRPr="00795364">
        <w:rPr>
          <w:i/>
          <w:color w:val="747474"/>
          <w:sz w:val="14"/>
        </w:rPr>
        <w:t>Governor</w:t>
      </w:r>
      <w:r w:rsidRPr="00795364">
        <w:rPr>
          <w:i/>
          <w:color w:val="747474"/>
          <w:spacing w:val="-8"/>
          <w:sz w:val="14"/>
        </w:rPr>
        <w:t xml:space="preserve"> </w:t>
      </w:r>
      <w:r w:rsidRPr="00795364">
        <w:rPr>
          <w:i/>
          <w:color w:val="747474"/>
          <w:sz w:val="14"/>
        </w:rPr>
        <w:t>of</w:t>
      </w:r>
      <w:r w:rsidRPr="00795364">
        <w:rPr>
          <w:i/>
          <w:color w:val="747474"/>
          <w:spacing w:val="40"/>
          <w:sz w:val="14"/>
        </w:rPr>
        <w:t xml:space="preserve"> </w:t>
      </w:r>
      <w:r w:rsidRPr="00795364">
        <w:rPr>
          <w:i/>
          <w:color w:val="747474"/>
          <w:sz w:val="14"/>
        </w:rPr>
        <w:t>West Nusa Tenggara.</w:t>
      </w:r>
    </w:p>
    <w:p w14:paraId="2FAD7F59" w14:textId="77777777" w:rsidR="00BC24A8" w:rsidRDefault="00BC24A8">
      <w:pPr>
        <w:spacing w:line="216" w:lineRule="auto"/>
        <w:jc w:val="both"/>
        <w:rPr>
          <w:i/>
          <w:sz w:val="14"/>
        </w:rPr>
        <w:sectPr w:rsidR="00BC24A8">
          <w:type w:val="continuous"/>
          <w:pgSz w:w="11910" w:h="16840"/>
          <w:pgMar w:top="1920" w:right="850" w:bottom="280" w:left="1275" w:header="0" w:footer="907" w:gutter="0"/>
          <w:cols w:num="2" w:space="720" w:equalWidth="0">
            <w:col w:w="5039" w:space="111"/>
            <w:col w:w="4635"/>
          </w:cols>
        </w:sectPr>
      </w:pPr>
    </w:p>
    <w:p w14:paraId="2DFB48D5" w14:textId="77777777" w:rsidR="00BC24A8" w:rsidRDefault="00000000">
      <w:pPr>
        <w:spacing w:before="158"/>
        <w:ind w:left="395" w:right="757"/>
        <w:jc w:val="both"/>
        <w:rPr>
          <w:sz w:val="18"/>
        </w:rPr>
      </w:pPr>
      <w:r>
        <w:rPr>
          <w:noProof/>
          <w:sz w:val="18"/>
        </w:rPr>
        <mc:AlternateContent>
          <mc:Choice Requires="wpg">
            <w:drawing>
              <wp:anchor distT="0" distB="0" distL="0" distR="0" simplePos="0" relativeHeight="478680064" behindDoc="1" locked="0" layoutInCell="1" allowOverlap="1" wp14:anchorId="11829377" wp14:editId="3C1F9C43">
                <wp:simplePos x="0" y="0"/>
                <wp:positionH relativeFrom="page">
                  <wp:posOffset>897636</wp:posOffset>
                </wp:positionH>
                <wp:positionV relativeFrom="page">
                  <wp:posOffset>1085087</wp:posOffset>
                </wp:positionV>
                <wp:extent cx="5801995" cy="8426450"/>
                <wp:effectExtent l="0" t="0" r="0" b="0"/>
                <wp:wrapNone/>
                <wp:docPr id="179" name="Group 179" descr="S TO R Y 1 :&#10;Increasing Meaningful Participation of Vulnerable Groups through GEDSI Thematic Musrenbang&#10;in NTB&#10;&#10;&#10;&#10;This process is very good for conveying proposals for women, the disabled, the elderly, and children, as well as a space to meet partners so that they can freely discuss achievement strategies,&#10;Women, CSO representatives, from the results of the 2025 feedback survey.&#10;&#10;&#10;&#10;For many years, Thematic Musrenbang in NTB has functioned largely as a formality for certain community groups. Vulnerable groups, such as persons with disabilities, the elderly, children, women, and migrant workers, have been invited, yet their participation is often symbolic or only for formality. Though sitting in the same room, they were not truly heard. Their proposals are rarely reflected in planning documents.&#10; &#10;Recognising this gap, the NTB Provincial Government initiated the Thematic Development Planning Forum – a new space specifically designed to ensure that vulnerable groups are not only present, but also create a real impact.&#10;This Thematic Development Planning Forum is far more than an ordinary forum. It is thoughtfully prepared by Bappeda staff, inclusive provincial agencies, CSOs, and INKLUSI Partners. From the beginning, this team sits together—designing the flow of the discussion, facilitating the group, drafting the minutes (recommendations), and submitting them to the Head of Bappeda.&#10;&#10;&quot;This Musrenbang is a participatory space to voice aspirations, design policies, and formulate concrete steps, in order to make NTB a friendly, fair, and sustainable province for all its citizens.&quot;,&#10;Hj. Indah Damayanti, S.E., M.IP, Deputy Governor of West Nusa Tenggara.&#10; &#10;In its first implementation, this forum was attended by 27 CSOs, 7 DPOs, 5 INKLUSI Partners, 14 offices, and 1 SLB-A. The energy was distinct, warm yet critical. Real experiences were shared transparently. The results were concrete: 137 activity proposals were successfully formulated, covering issues related to of children, persons with disabilities, women, the elderly, and migrant workers.&#10;&#10;Figure 1: The GEDSI Thematic Musrenbang series that include Small Group Discussions by Issue--Plenary Discussion—Signing and Submission of the Minutes of the Results of the GEDSI Thematic Musrenbang from CSOs to the Head of Bappeda&#10;&#10;&#10;&#10;&#10;&#10;&#10;&#10;&#10;&#10;&#10;&#10;&#10;For participants, this forum was not merely a space for dialogue; it was a platform for influence. They feel appreciated, recognised, and trusted. For governments, the forum strengthened multilevel synergy and fostered a more responsive, inclusive, and data-driven approach to planning.&#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995" cy="8426450"/>
                          <a:chOff x="0" y="0"/>
                          <a:chExt cx="5801995" cy="8426450"/>
                        </a:xfrm>
                      </wpg:grpSpPr>
                      <wps:wsp>
                        <wps:cNvPr id="180" name="Graphic 180"/>
                        <wps:cNvSpPr/>
                        <wps:spPr>
                          <a:xfrm>
                            <a:off x="6095" y="6095"/>
                            <a:ext cx="5788660" cy="8414385"/>
                          </a:xfrm>
                          <a:custGeom>
                            <a:avLst/>
                            <a:gdLst/>
                            <a:ahLst/>
                            <a:cxnLst/>
                            <a:rect l="l" t="t" r="r" b="b"/>
                            <a:pathLst>
                              <a:path w="5788660" h="8414385">
                                <a:moveTo>
                                  <a:pt x="5788152" y="0"/>
                                </a:moveTo>
                                <a:lnTo>
                                  <a:pt x="0" y="0"/>
                                </a:lnTo>
                                <a:lnTo>
                                  <a:pt x="0" y="8414004"/>
                                </a:lnTo>
                                <a:lnTo>
                                  <a:pt x="5788152" y="8414004"/>
                                </a:lnTo>
                                <a:lnTo>
                                  <a:pt x="5788152" y="0"/>
                                </a:lnTo>
                                <a:close/>
                              </a:path>
                            </a:pathLst>
                          </a:custGeom>
                          <a:solidFill>
                            <a:srgbClr val="E1F1EF"/>
                          </a:solidFill>
                        </wps:spPr>
                        <wps:bodyPr wrap="square" lIns="0" tIns="0" rIns="0" bIns="0" rtlCol="0">
                          <a:prstTxWarp prst="textNoShape">
                            <a:avLst/>
                          </a:prstTxWarp>
                          <a:noAutofit/>
                        </wps:bodyPr>
                      </wps:wsp>
                      <wps:wsp>
                        <wps:cNvPr id="181" name="Graphic 181"/>
                        <wps:cNvSpPr/>
                        <wps:spPr>
                          <a:xfrm>
                            <a:off x="0" y="0"/>
                            <a:ext cx="5801995" cy="8426450"/>
                          </a:xfrm>
                          <a:custGeom>
                            <a:avLst/>
                            <a:gdLst/>
                            <a:ahLst/>
                            <a:cxnLst/>
                            <a:rect l="l" t="t" r="r" b="b"/>
                            <a:pathLst>
                              <a:path w="5801995" h="8426450">
                                <a:moveTo>
                                  <a:pt x="5801868" y="0"/>
                                </a:moveTo>
                                <a:lnTo>
                                  <a:pt x="5795772" y="0"/>
                                </a:lnTo>
                                <a:lnTo>
                                  <a:pt x="5795772" y="6096"/>
                                </a:lnTo>
                                <a:lnTo>
                                  <a:pt x="5795772" y="8420087"/>
                                </a:lnTo>
                                <a:lnTo>
                                  <a:pt x="6108" y="8420087"/>
                                </a:lnTo>
                                <a:lnTo>
                                  <a:pt x="6108" y="6096"/>
                                </a:lnTo>
                                <a:lnTo>
                                  <a:pt x="5795772" y="6096"/>
                                </a:lnTo>
                                <a:lnTo>
                                  <a:pt x="5795772" y="0"/>
                                </a:lnTo>
                                <a:lnTo>
                                  <a:pt x="6108" y="0"/>
                                </a:lnTo>
                                <a:lnTo>
                                  <a:pt x="0" y="0"/>
                                </a:lnTo>
                                <a:lnTo>
                                  <a:pt x="0" y="6096"/>
                                </a:lnTo>
                                <a:lnTo>
                                  <a:pt x="0" y="8420087"/>
                                </a:lnTo>
                                <a:lnTo>
                                  <a:pt x="0" y="8426196"/>
                                </a:lnTo>
                                <a:lnTo>
                                  <a:pt x="6096" y="8426196"/>
                                </a:lnTo>
                                <a:lnTo>
                                  <a:pt x="5795772" y="8426196"/>
                                </a:lnTo>
                                <a:lnTo>
                                  <a:pt x="5801868" y="8426196"/>
                                </a:lnTo>
                                <a:lnTo>
                                  <a:pt x="5801868" y="8420100"/>
                                </a:lnTo>
                                <a:lnTo>
                                  <a:pt x="5801868" y="6096"/>
                                </a:lnTo>
                                <a:lnTo>
                                  <a:pt x="5801868" y="0"/>
                                </a:lnTo>
                                <a:close/>
                              </a:path>
                            </a:pathLst>
                          </a:custGeom>
                          <a:solidFill>
                            <a:srgbClr val="BEBEBE"/>
                          </a:solidFill>
                        </wps:spPr>
                        <wps:bodyPr wrap="square" lIns="0" tIns="0" rIns="0" bIns="0" rtlCol="0">
                          <a:prstTxWarp prst="textNoShape">
                            <a:avLst/>
                          </a:prstTxWarp>
                          <a:noAutofit/>
                        </wps:bodyPr>
                      </wps:wsp>
                      <wps:wsp>
                        <wps:cNvPr id="182" name="Graphic 182"/>
                        <wps:cNvSpPr/>
                        <wps:spPr>
                          <a:xfrm>
                            <a:off x="3293364" y="2071116"/>
                            <a:ext cx="2132330" cy="2511425"/>
                          </a:xfrm>
                          <a:custGeom>
                            <a:avLst/>
                            <a:gdLst/>
                            <a:ahLst/>
                            <a:cxnLst/>
                            <a:rect l="l" t="t" r="r" b="b"/>
                            <a:pathLst>
                              <a:path w="2132330" h="2511425">
                                <a:moveTo>
                                  <a:pt x="2132329" y="0"/>
                                </a:moveTo>
                                <a:lnTo>
                                  <a:pt x="0" y="0"/>
                                </a:lnTo>
                                <a:lnTo>
                                  <a:pt x="0" y="2511425"/>
                                </a:lnTo>
                                <a:lnTo>
                                  <a:pt x="2132329" y="2511425"/>
                                </a:lnTo>
                                <a:lnTo>
                                  <a:pt x="2132329" y="0"/>
                                </a:lnTo>
                                <a:close/>
                              </a:path>
                            </a:pathLst>
                          </a:custGeom>
                          <a:solidFill>
                            <a:srgbClr val="17365A"/>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31" cstate="print"/>
                          <a:stretch>
                            <a:fillRect/>
                          </a:stretch>
                        </pic:blipFill>
                        <pic:spPr>
                          <a:xfrm>
                            <a:off x="3200400" y="1949195"/>
                            <a:ext cx="2298191" cy="1635251"/>
                          </a:xfrm>
                          <a:prstGeom prst="rect">
                            <a:avLst/>
                          </a:prstGeom>
                        </pic:spPr>
                      </pic:pic>
                      <pic:pic xmlns:pic="http://schemas.openxmlformats.org/drawingml/2006/picture">
                        <pic:nvPicPr>
                          <pic:cNvPr id="184" name="Image 184"/>
                          <pic:cNvPicPr/>
                        </pic:nvPicPr>
                        <pic:blipFill>
                          <a:blip r:embed="rId32" cstate="print"/>
                          <a:stretch>
                            <a:fillRect/>
                          </a:stretch>
                        </pic:blipFill>
                        <pic:spPr>
                          <a:xfrm>
                            <a:off x="3391865" y="2140813"/>
                            <a:ext cx="1914372" cy="1251479"/>
                          </a:xfrm>
                          <a:prstGeom prst="rect">
                            <a:avLst/>
                          </a:prstGeom>
                        </pic:spPr>
                      </pic:pic>
                      <wps:wsp>
                        <wps:cNvPr id="185" name="Graphic 185"/>
                        <wps:cNvSpPr/>
                        <wps:spPr>
                          <a:xfrm>
                            <a:off x="3338791" y="3402939"/>
                            <a:ext cx="2004695" cy="969644"/>
                          </a:xfrm>
                          <a:custGeom>
                            <a:avLst/>
                            <a:gdLst/>
                            <a:ahLst/>
                            <a:cxnLst/>
                            <a:rect l="l" t="t" r="r" b="b"/>
                            <a:pathLst>
                              <a:path w="2004695" h="969644">
                                <a:moveTo>
                                  <a:pt x="2004453" y="0"/>
                                </a:moveTo>
                                <a:lnTo>
                                  <a:pt x="0" y="0"/>
                                </a:lnTo>
                                <a:lnTo>
                                  <a:pt x="0" y="969327"/>
                                </a:lnTo>
                                <a:lnTo>
                                  <a:pt x="2004453" y="969327"/>
                                </a:lnTo>
                                <a:lnTo>
                                  <a:pt x="2004453" y="0"/>
                                </a:lnTo>
                                <a:close/>
                              </a:path>
                            </a:pathLst>
                          </a:custGeom>
                          <a:solidFill>
                            <a:srgbClr val="17365A"/>
                          </a:solidFill>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33" cstate="print"/>
                          <a:stretch>
                            <a:fillRect/>
                          </a:stretch>
                        </pic:blipFill>
                        <pic:spPr>
                          <a:xfrm>
                            <a:off x="3568218" y="6107138"/>
                            <a:ext cx="1855558" cy="1271992"/>
                          </a:xfrm>
                          <a:prstGeom prst="rect">
                            <a:avLst/>
                          </a:prstGeom>
                        </pic:spPr>
                      </pic:pic>
                      <pic:pic xmlns:pic="http://schemas.openxmlformats.org/drawingml/2006/picture">
                        <pic:nvPicPr>
                          <pic:cNvPr id="187" name="Image 187"/>
                          <pic:cNvPicPr/>
                        </pic:nvPicPr>
                        <pic:blipFill>
                          <a:blip r:embed="rId34" cstate="print"/>
                          <a:stretch>
                            <a:fillRect/>
                          </a:stretch>
                        </pic:blipFill>
                        <pic:spPr>
                          <a:xfrm>
                            <a:off x="376174" y="6081547"/>
                            <a:ext cx="1594840" cy="1297927"/>
                          </a:xfrm>
                          <a:prstGeom prst="rect">
                            <a:avLst/>
                          </a:prstGeom>
                        </pic:spPr>
                      </pic:pic>
                      <pic:pic xmlns:pic="http://schemas.openxmlformats.org/drawingml/2006/picture">
                        <pic:nvPicPr>
                          <pic:cNvPr id="188" name="Image 188"/>
                          <pic:cNvPicPr/>
                        </pic:nvPicPr>
                        <pic:blipFill>
                          <a:blip r:embed="rId35" cstate="print"/>
                          <a:stretch>
                            <a:fillRect/>
                          </a:stretch>
                        </pic:blipFill>
                        <pic:spPr>
                          <a:xfrm>
                            <a:off x="1994611" y="6081547"/>
                            <a:ext cx="1538971" cy="1296657"/>
                          </a:xfrm>
                          <a:prstGeom prst="rect">
                            <a:avLst/>
                          </a:prstGeom>
                        </pic:spPr>
                      </pic:pic>
                      <wps:wsp>
                        <wps:cNvPr id="189" name="Graphic 189"/>
                        <wps:cNvSpPr/>
                        <wps:spPr>
                          <a:xfrm>
                            <a:off x="179959" y="977925"/>
                            <a:ext cx="5410200" cy="736600"/>
                          </a:xfrm>
                          <a:custGeom>
                            <a:avLst/>
                            <a:gdLst/>
                            <a:ahLst/>
                            <a:cxnLst/>
                            <a:rect l="l" t="t" r="r" b="b"/>
                            <a:pathLst>
                              <a:path w="5410200" h="736600">
                                <a:moveTo>
                                  <a:pt x="0" y="0"/>
                                </a:moveTo>
                                <a:lnTo>
                                  <a:pt x="5410200" y="0"/>
                                </a:lnTo>
                                <a:lnTo>
                                  <a:pt x="5410200" y="735977"/>
                                </a:lnTo>
                                <a:lnTo>
                                  <a:pt x="0" y="735977"/>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14" cstate="print"/>
                          <a:stretch>
                            <a:fillRect/>
                          </a:stretch>
                        </pic:blipFill>
                        <pic:spPr>
                          <a:xfrm>
                            <a:off x="240937" y="823390"/>
                            <a:ext cx="223210" cy="205221"/>
                          </a:xfrm>
                          <a:prstGeom prst="rect">
                            <a:avLst/>
                          </a:prstGeom>
                        </pic:spPr>
                      </pic:pic>
                      <pic:pic xmlns:pic="http://schemas.openxmlformats.org/drawingml/2006/picture">
                        <pic:nvPicPr>
                          <pic:cNvPr id="191" name="Image 191"/>
                          <pic:cNvPicPr/>
                        </pic:nvPicPr>
                        <pic:blipFill>
                          <a:blip r:embed="rId15" cstate="print"/>
                          <a:stretch>
                            <a:fillRect/>
                          </a:stretch>
                        </pic:blipFill>
                        <pic:spPr>
                          <a:xfrm>
                            <a:off x="5297256" y="1661797"/>
                            <a:ext cx="223210" cy="205221"/>
                          </a:xfrm>
                          <a:prstGeom prst="rect">
                            <a:avLst/>
                          </a:prstGeom>
                        </pic:spPr>
                      </pic:pic>
                    </wpg:wgp>
                  </a:graphicData>
                </a:graphic>
              </wp:anchor>
            </w:drawing>
          </mc:Choice>
          <mc:Fallback>
            <w:pict>
              <v:group w14:anchorId="4A0CF7B3" id="Group 179" o:spid="_x0000_s1026" alt="S TO R Y 1 :&#10;Increasing Meaningful Participation of Vulnerable Groups through GEDSI Thematic Musrenbang&#10;in NTB&#10;&#10;&#10;&#10;This process is very good for conveying proposals for women, the disabled, the elderly, and children, as well as a space to meet partners so that they can freely discuss achievement strategies,&#10;Women, CSO representatives, from the results of the 2025 feedback survey.&#10;&#10;&#10;&#10;For many years, Thematic Musrenbang in NTB has functioned largely as a formality for certain community groups. Vulnerable groups, such as persons with disabilities, the elderly, children, women, and migrant workers, have been invited, yet their participation is often symbolic or only for formality. Though sitting in the same room, they were not truly heard. Their proposals are rarely reflected in planning documents.&#10; &#10;Recognising this gap, the NTB Provincial Government initiated the Thematic Development Planning Forum – a new space specifically designed to ensure that vulnerable groups are not only present, but also create a real impact.&#10;This Thematic Development Planning Forum is far more than an ordinary forum. It is thoughtfully prepared by Bappeda staff, inclusive provincial agencies, CSOs, and INKLUSI Partners. From the beginning, this team sits together—designing the flow of the discussion, facilitating the group, drafting the minutes (recommendations), and submitting them to the Head of Bappeda.&#10;&#10;&quot;This Musrenbang is a participatory space to voice aspirations, design policies, and formulate concrete steps, in order to make NTB a friendly, fair, and sustainable province for all its citizens.&quot;,&#10;Hj. Indah Damayanti, S.E., M.IP, Deputy Governor of West Nusa Tenggara.&#10; &#10;In its first implementation, this forum was attended by 27 CSOs, 7 DPOs, 5 INKLUSI Partners, 14 offices, and 1 SLB-A. The energy was distinct, warm yet critical. Real experiences were shared transparently. The results were concrete: 137 activity proposals were successfully formulated, covering issues related to of children, persons with disabilities, women, the elderly, and migrant workers.&#10;&#10;Figure 1: The GEDSI Thematic Musrenbang series that include Small Group Discussions by Issue--Plenary Discussion—Signing and Submission of the Minutes of the Results of the GEDSI Thematic Musrenbang from CSOs to the Head of Bappeda&#10;&#10;&#10;&#10;&#10;&#10;&#10;&#10;&#10;&#10;&#10;&#10;&#10;For participants, this forum was not merely a space for dialogue; it was a platform for influence. They feel appreciated, recognised, and trusted. For governments, the forum strengthened multilevel synergy and fostered a more responsive, inclusive, and data-driven approach to planning.&#10;" style="position:absolute;margin-left:70.7pt;margin-top:85.45pt;width:456.85pt;height:663.5pt;z-index:-24636416;mso-wrap-distance-left:0;mso-wrap-distance-right:0;mso-position-horizontal-relative:page;mso-position-vertical-relative:page" coordsize="58019,842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">
                <v:shape id="Graphic 180" o:spid="_x0000_s1027" style="position:absolute;left:60;top:60;width:57887;height:84144;visibility:visible;mso-wrap-style:square;v-text-anchor:top" coordsize="5788660,84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" path="m5788152,l,,,8414004r5788152,l5788152,xe" fillcolor="#e1f1ef" stroked="f">
                  <v:path arrowok="t"/>
                </v:shape>
                <v:shape id="Graphic 181" o:spid="_x0000_s1028" style="position:absolute;width:58019;height:84264;visibility:visible;mso-wrap-style:square;v-text-anchor:top" coordsize="5801995,842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" path="m5801868,r-6096,l5795772,6096r,8413991l6108,8420087,6108,6096r5789664,l5795772,,6108,,,,,6096,,8420087r,6109l6096,8426196r5789676,l5801868,8426196r,-6096l5801868,6096r,-6096xe" fillcolor="#bebebe" stroked="f">
                  <v:path arrowok="t"/>
                </v:shape>
                <v:shape id="Graphic 182" o:spid="_x0000_s1029" style="position:absolute;left:32933;top:20711;width:21323;height:25114;visibility:visible;mso-wrap-style:square;v-text-anchor:top" coordsize="2132330,25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" path="m2132329,l,,,2511425r2132329,l2132329,xe" fillcolor="#17365a" stroked="f">
                  <v:path arrowok="t"/>
                </v:shape>
                <v:shape id="Image 183" o:spid="_x0000_s1030" type="#_x0000_t75" style="position:absolute;left:32004;top:19491;width:22981;height:16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">
                  <v:imagedata r:id="rId36" o:title=""/>
                </v:shape>
                <v:shape id="Image 184" o:spid="_x0000_s1031" type="#_x0000_t75" style="position:absolute;left:33918;top:21408;width:19144;height:1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">
                  <v:imagedata r:id="rId37" o:title=""/>
                </v:shape>
                <v:shape id="Graphic 185" o:spid="_x0000_s1032" style="position:absolute;left:33387;top:34029;width:20047;height:9696;visibility:visible;mso-wrap-style:square;v-text-anchor:top" coordsize="2004695,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" path="m2004453,l,,,969327r2004453,l2004453,xe" fillcolor="#17365a" stroked="f">
                  <v:path arrowok="t"/>
                </v:shape>
                <v:shape id="Image 186" o:spid="_x0000_s1033" type="#_x0000_t75" style="position:absolute;left:35682;top:61071;width:18555;height:1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">
                  <v:imagedata r:id="rId38" o:title=""/>
                </v:shape>
                <v:shape id="Image 187" o:spid="_x0000_s1034" type="#_x0000_t75" style="position:absolute;left:3761;top:60815;width:15949;height:1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">
                  <v:imagedata r:id="rId39" o:title=""/>
                </v:shape>
                <v:shape id="Image 188" o:spid="_x0000_s1035" type="#_x0000_t75" style="position:absolute;left:19946;top:60815;width:15389;height:1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">
                  <v:imagedata r:id="rId40" o:title=""/>
                </v:shape>
                <v:shape id="Graphic 189" o:spid="_x0000_s1036" style="position:absolute;left:1799;top:9779;width:54102;height:7366;visibility:visible;mso-wrap-style:square;v-text-anchor:top" coordsize="541020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" path="m,l5410200,r,735977l,735977,,xe" filled="f" strokecolor="#17365a" strokeweight="1pt">
                  <v:path arrowok="t"/>
                </v:shape>
                <v:shape id="Image 190" o:spid="_x0000_s1037" type="#_x0000_t75" style="position:absolute;left:2409;top:8233;width:2232;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">
                  <v:imagedata r:id="rId16" o:title=""/>
                </v:shape>
                <v:shape id="Image 191" o:spid="_x0000_s1038" type="#_x0000_t75" style="position:absolute;left:52972;top:16617;width:2232;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">
                  <v:imagedata r:id="rId17" o:title=""/>
                </v:shape>
                <w10:wrap anchorx="page" anchory="page"/>
              </v:group>
            </w:pict>
          </mc:Fallback>
        </mc:AlternateContent>
      </w:r>
      <w:r>
        <w:rPr>
          <w:sz w:val="18"/>
        </w:rPr>
        <w:t>In</w:t>
      </w:r>
      <w:r>
        <w:rPr>
          <w:spacing w:val="-4"/>
          <w:sz w:val="18"/>
        </w:rPr>
        <w:t xml:space="preserve"> </w:t>
      </w:r>
      <w:r>
        <w:rPr>
          <w:sz w:val="18"/>
        </w:rPr>
        <w:t>its</w:t>
      </w:r>
      <w:r>
        <w:rPr>
          <w:spacing w:val="-7"/>
          <w:sz w:val="18"/>
        </w:rPr>
        <w:t xml:space="preserve"> </w:t>
      </w:r>
      <w:r>
        <w:rPr>
          <w:sz w:val="18"/>
        </w:rPr>
        <w:t>first</w:t>
      </w:r>
      <w:r>
        <w:rPr>
          <w:spacing w:val="-3"/>
          <w:sz w:val="18"/>
        </w:rPr>
        <w:t xml:space="preserve"> </w:t>
      </w:r>
      <w:r>
        <w:rPr>
          <w:sz w:val="18"/>
        </w:rPr>
        <w:t>implementation,</w:t>
      </w:r>
      <w:r>
        <w:rPr>
          <w:spacing w:val="-5"/>
          <w:sz w:val="18"/>
        </w:rPr>
        <w:t xml:space="preserve"> </w:t>
      </w:r>
      <w:r>
        <w:rPr>
          <w:sz w:val="18"/>
        </w:rPr>
        <w:t>this</w:t>
      </w:r>
      <w:r>
        <w:rPr>
          <w:spacing w:val="-7"/>
          <w:sz w:val="18"/>
        </w:rPr>
        <w:t xml:space="preserve"> </w:t>
      </w:r>
      <w:r>
        <w:rPr>
          <w:sz w:val="18"/>
        </w:rPr>
        <w:t>forum</w:t>
      </w:r>
      <w:r>
        <w:rPr>
          <w:spacing w:val="-5"/>
          <w:sz w:val="18"/>
        </w:rPr>
        <w:t xml:space="preserve"> </w:t>
      </w:r>
      <w:r>
        <w:rPr>
          <w:sz w:val="18"/>
        </w:rPr>
        <w:t>was</w:t>
      </w:r>
      <w:r>
        <w:rPr>
          <w:spacing w:val="-4"/>
          <w:sz w:val="18"/>
        </w:rPr>
        <w:t xml:space="preserve"> </w:t>
      </w:r>
      <w:r>
        <w:rPr>
          <w:sz w:val="18"/>
        </w:rPr>
        <w:t>attended</w:t>
      </w:r>
      <w:r>
        <w:rPr>
          <w:spacing w:val="-4"/>
          <w:sz w:val="18"/>
        </w:rPr>
        <w:t xml:space="preserve"> </w:t>
      </w:r>
      <w:r>
        <w:rPr>
          <w:sz w:val="18"/>
        </w:rPr>
        <w:t>by</w:t>
      </w:r>
      <w:r>
        <w:rPr>
          <w:spacing w:val="-4"/>
          <w:sz w:val="18"/>
        </w:rPr>
        <w:t xml:space="preserve"> </w:t>
      </w:r>
      <w:r>
        <w:rPr>
          <w:sz w:val="18"/>
        </w:rPr>
        <w:t>27</w:t>
      </w:r>
      <w:r>
        <w:rPr>
          <w:spacing w:val="-7"/>
          <w:sz w:val="18"/>
        </w:rPr>
        <w:t xml:space="preserve"> </w:t>
      </w:r>
      <w:r>
        <w:rPr>
          <w:sz w:val="18"/>
        </w:rPr>
        <w:t>CSOs,</w:t>
      </w:r>
      <w:r>
        <w:rPr>
          <w:spacing w:val="-5"/>
          <w:sz w:val="18"/>
        </w:rPr>
        <w:t xml:space="preserve"> </w:t>
      </w:r>
      <w:r>
        <w:rPr>
          <w:sz w:val="18"/>
        </w:rPr>
        <w:t>7</w:t>
      </w:r>
      <w:r>
        <w:rPr>
          <w:spacing w:val="-4"/>
          <w:sz w:val="18"/>
        </w:rPr>
        <w:t xml:space="preserve"> </w:t>
      </w:r>
      <w:r>
        <w:rPr>
          <w:sz w:val="18"/>
        </w:rPr>
        <w:t>DPOs,</w:t>
      </w:r>
      <w:r>
        <w:rPr>
          <w:spacing w:val="-5"/>
          <w:sz w:val="18"/>
        </w:rPr>
        <w:t xml:space="preserve"> </w:t>
      </w:r>
      <w:r>
        <w:rPr>
          <w:sz w:val="18"/>
        </w:rPr>
        <w:t>5</w:t>
      </w:r>
      <w:r>
        <w:rPr>
          <w:spacing w:val="-4"/>
          <w:sz w:val="18"/>
        </w:rPr>
        <w:t xml:space="preserve"> </w:t>
      </w:r>
      <w:r>
        <w:rPr>
          <w:sz w:val="18"/>
        </w:rPr>
        <w:t>INKLUSI</w:t>
      </w:r>
      <w:r>
        <w:rPr>
          <w:spacing w:val="-5"/>
          <w:sz w:val="18"/>
        </w:rPr>
        <w:t xml:space="preserve"> </w:t>
      </w:r>
      <w:r>
        <w:rPr>
          <w:sz w:val="18"/>
        </w:rPr>
        <w:t>Partners,</w:t>
      </w:r>
      <w:r>
        <w:rPr>
          <w:spacing w:val="-5"/>
          <w:sz w:val="18"/>
        </w:rPr>
        <w:t xml:space="preserve"> </w:t>
      </w:r>
      <w:r>
        <w:rPr>
          <w:sz w:val="18"/>
        </w:rPr>
        <w:t>14</w:t>
      </w:r>
      <w:r>
        <w:rPr>
          <w:spacing w:val="-4"/>
          <w:sz w:val="18"/>
        </w:rPr>
        <w:t xml:space="preserve"> </w:t>
      </w:r>
      <w:r>
        <w:rPr>
          <w:sz w:val="18"/>
        </w:rPr>
        <w:t>offices,</w:t>
      </w:r>
      <w:r>
        <w:rPr>
          <w:spacing w:val="-5"/>
          <w:sz w:val="18"/>
        </w:rPr>
        <w:t xml:space="preserve"> </w:t>
      </w:r>
      <w:r>
        <w:rPr>
          <w:sz w:val="18"/>
        </w:rPr>
        <w:t>and</w:t>
      </w:r>
      <w:r>
        <w:rPr>
          <w:spacing w:val="-4"/>
          <w:sz w:val="18"/>
        </w:rPr>
        <w:t xml:space="preserve"> </w:t>
      </w:r>
      <w:r>
        <w:rPr>
          <w:sz w:val="18"/>
        </w:rPr>
        <w:t>1</w:t>
      </w:r>
      <w:r>
        <w:rPr>
          <w:spacing w:val="-4"/>
          <w:sz w:val="18"/>
        </w:rPr>
        <w:t xml:space="preserve"> </w:t>
      </w:r>
      <w:r>
        <w:rPr>
          <w:sz w:val="18"/>
        </w:rPr>
        <w:t>SLB-A.</w:t>
      </w:r>
      <w:r>
        <w:rPr>
          <w:spacing w:val="-5"/>
          <w:sz w:val="18"/>
        </w:rPr>
        <w:t xml:space="preserve"> </w:t>
      </w:r>
      <w:r>
        <w:rPr>
          <w:sz w:val="18"/>
        </w:rPr>
        <w:t xml:space="preserve">The </w:t>
      </w:r>
      <w:r>
        <w:rPr>
          <w:spacing w:val="-2"/>
          <w:sz w:val="18"/>
        </w:rPr>
        <w:t>energy was distinct, warm yet critical. Real experiences were shared</w:t>
      </w:r>
      <w:r>
        <w:rPr>
          <w:spacing w:val="-3"/>
          <w:sz w:val="18"/>
        </w:rPr>
        <w:t xml:space="preserve"> </w:t>
      </w:r>
      <w:r>
        <w:rPr>
          <w:spacing w:val="-2"/>
          <w:sz w:val="18"/>
        </w:rPr>
        <w:t>transparently. The results</w:t>
      </w:r>
      <w:r>
        <w:rPr>
          <w:spacing w:val="-3"/>
          <w:sz w:val="18"/>
        </w:rPr>
        <w:t xml:space="preserve"> </w:t>
      </w:r>
      <w:r>
        <w:rPr>
          <w:spacing w:val="-2"/>
          <w:sz w:val="18"/>
        </w:rPr>
        <w:t>were concrete: 137 activity</w:t>
      </w:r>
      <w:r>
        <w:rPr>
          <w:sz w:val="18"/>
        </w:rPr>
        <w:t xml:space="preserve"> proposals were successfully formulated, covering issues related to of children, persons with disabilities, women, the elderly, and migrant workers.</w:t>
      </w:r>
    </w:p>
    <w:p w14:paraId="1C25E281" w14:textId="77777777" w:rsidR="00BC24A8" w:rsidRDefault="00BC24A8">
      <w:pPr>
        <w:pStyle w:val="BodyText"/>
        <w:spacing w:before="6"/>
        <w:rPr>
          <w:sz w:val="18"/>
        </w:rPr>
      </w:pPr>
    </w:p>
    <w:p w14:paraId="746F4182" w14:textId="77777777" w:rsidR="00BC24A8" w:rsidRDefault="00000000">
      <w:pPr>
        <w:ind w:left="443" w:right="1036"/>
        <w:jc w:val="both"/>
        <w:rPr>
          <w:rFonts w:ascii="Calibri" w:hAnsi="Calibri"/>
          <w:b/>
          <w:sz w:val="18"/>
        </w:rPr>
      </w:pPr>
      <w:r>
        <w:rPr>
          <w:rFonts w:ascii="Calibri" w:hAnsi="Calibri"/>
          <w:b/>
          <w:color w:val="767070"/>
          <w:sz w:val="18"/>
        </w:rPr>
        <w:t>Figure 1: The GEDSI Thematic Musrenbang series that include Small Group Discussions by Issue--Plenary Discussion—Signing</w:t>
      </w:r>
      <w:r>
        <w:rPr>
          <w:rFonts w:ascii="Calibri" w:hAnsi="Calibri"/>
          <w:b/>
          <w:color w:val="767070"/>
          <w:spacing w:val="-11"/>
          <w:sz w:val="18"/>
        </w:rPr>
        <w:t xml:space="preserve"> </w:t>
      </w:r>
      <w:r>
        <w:rPr>
          <w:rFonts w:ascii="Calibri" w:hAnsi="Calibri"/>
          <w:b/>
          <w:color w:val="767070"/>
          <w:sz w:val="18"/>
        </w:rPr>
        <w:t>and</w:t>
      </w:r>
      <w:r>
        <w:rPr>
          <w:rFonts w:ascii="Calibri" w:hAnsi="Calibri"/>
          <w:b/>
          <w:color w:val="767070"/>
          <w:spacing w:val="-10"/>
          <w:sz w:val="18"/>
        </w:rPr>
        <w:t xml:space="preserve"> </w:t>
      </w:r>
      <w:r>
        <w:rPr>
          <w:rFonts w:ascii="Calibri" w:hAnsi="Calibri"/>
          <w:b/>
          <w:color w:val="767070"/>
          <w:sz w:val="18"/>
        </w:rPr>
        <w:t>Submission</w:t>
      </w:r>
      <w:r>
        <w:rPr>
          <w:rFonts w:ascii="Calibri" w:hAnsi="Calibri"/>
          <w:b/>
          <w:color w:val="767070"/>
          <w:spacing w:val="-10"/>
          <w:sz w:val="18"/>
        </w:rPr>
        <w:t xml:space="preserve"> </w:t>
      </w:r>
      <w:r>
        <w:rPr>
          <w:rFonts w:ascii="Calibri" w:hAnsi="Calibri"/>
          <w:b/>
          <w:color w:val="767070"/>
          <w:sz w:val="18"/>
        </w:rPr>
        <w:t>of</w:t>
      </w:r>
      <w:r>
        <w:rPr>
          <w:rFonts w:ascii="Calibri" w:hAnsi="Calibri"/>
          <w:b/>
          <w:color w:val="767070"/>
          <w:spacing w:val="-10"/>
          <w:sz w:val="18"/>
        </w:rPr>
        <w:t xml:space="preserve"> </w:t>
      </w:r>
      <w:r>
        <w:rPr>
          <w:rFonts w:ascii="Calibri" w:hAnsi="Calibri"/>
          <w:b/>
          <w:color w:val="767070"/>
          <w:sz w:val="18"/>
        </w:rPr>
        <w:t>the</w:t>
      </w:r>
      <w:r>
        <w:rPr>
          <w:rFonts w:ascii="Calibri" w:hAnsi="Calibri"/>
          <w:b/>
          <w:color w:val="767070"/>
          <w:spacing w:val="-10"/>
          <w:sz w:val="18"/>
        </w:rPr>
        <w:t xml:space="preserve"> </w:t>
      </w:r>
      <w:r>
        <w:rPr>
          <w:rFonts w:ascii="Calibri" w:hAnsi="Calibri"/>
          <w:b/>
          <w:color w:val="767070"/>
          <w:sz w:val="18"/>
        </w:rPr>
        <w:t>Minutes</w:t>
      </w:r>
      <w:r>
        <w:rPr>
          <w:rFonts w:ascii="Calibri" w:hAnsi="Calibri"/>
          <w:b/>
          <w:color w:val="767070"/>
          <w:spacing w:val="-11"/>
          <w:sz w:val="18"/>
        </w:rPr>
        <w:t xml:space="preserve"> </w:t>
      </w:r>
      <w:r>
        <w:rPr>
          <w:rFonts w:ascii="Calibri" w:hAnsi="Calibri"/>
          <w:b/>
          <w:color w:val="767070"/>
          <w:sz w:val="18"/>
        </w:rPr>
        <w:t>of</w:t>
      </w:r>
      <w:r>
        <w:rPr>
          <w:rFonts w:ascii="Calibri" w:hAnsi="Calibri"/>
          <w:b/>
          <w:color w:val="767070"/>
          <w:spacing w:val="-10"/>
          <w:sz w:val="18"/>
        </w:rPr>
        <w:t xml:space="preserve"> </w:t>
      </w:r>
      <w:r>
        <w:rPr>
          <w:rFonts w:ascii="Calibri" w:hAnsi="Calibri"/>
          <w:b/>
          <w:color w:val="767070"/>
          <w:sz w:val="18"/>
        </w:rPr>
        <w:t>the</w:t>
      </w:r>
      <w:r>
        <w:rPr>
          <w:rFonts w:ascii="Calibri" w:hAnsi="Calibri"/>
          <w:b/>
          <w:color w:val="767070"/>
          <w:spacing w:val="-10"/>
          <w:sz w:val="18"/>
        </w:rPr>
        <w:t xml:space="preserve"> </w:t>
      </w:r>
      <w:r>
        <w:rPr>
          <w:rFonts w:ascii="Calibri" w:hAnsi="Calibri"/>
          <w:b/>
          <w:color w:val="767070"/>
          <w:sz w:val="18"/>
        </w:rPr>
        <w:t>Results</w:t>
      </w:r>
      <w:r>
        <w:rPr>
          <w:rFonts w:ascii="Calibri" w:hAnsi="Calibri"/>
          <w:b/>
          <w:color w:val="767070"/>
          <w:spacing w:val="-10"/>
          <w:sz w:val="18"/>
        </w:rPr>
        <w:t xml:space="preserve"> </w:t>
      </w:r>
      <w:r>
        <w:rPr>
          <w:rFonts w:ascii="Calibri" w:hAnsi="Calibri"/>
          <w:b/>
          <w:color w:val="767070"/>
          <w:sz w:val="18"/>
        </w:rPr>
        <w:t>of</w:t>
      </w:r>
      <w:r>
        <w:rPr>
          <w:rFonts w:ascii="Calibri" w:hAnsi="Calibri"/>
          <w:b/>
          <w:color w:val="767070"/>
          <w:spacing w:val="-10"/>
          <w:sz w:val="18"/>
        </w:rPr>
        <w:t xml:space="preserve"> </w:t>
      </w:r>
      <w:r>
        <w:rPr>
          <w:rFonts w:ascii="Calibri" w:hAnsi="Calibri"/>
          <w:b/>
          <w:color w:val="767070"/>
          <w:sz w:val="18"/>
        </w:rPr>
        <w:t>the</w:t>
      </w:r>
      <w:r>
        <w:rPr>
          <w:rFonts w:ascii="Calibri" w:hAnsi="Calibri"/>
          <w:b/>
          <w:color w:val="767070"/>
          <w:spacing w:val="-10"/>
          <w:sz w:val="18"/>
        </w:rPr>
        <w:t xml:space="preserve"> </w:t>
      </w:r>
      <w:r>
        <w:rPr>
          <w:rFonts w:ascii="Calibri" w:hAnsi="Calibri"/>
          <w:b/>
          <w:color w:val="767070"/>
          <w:sz w:val="18"/>
        </w:rPr>
        <w:t>GEDSI</w:t>
      </w:r>
      <w:r>
        <w:rPr>
          <w:rFonts w:ascii="Calibri" w:hAnsi="Calibri"/>
          <w:b/>
          <w:color w:val="767070"/>
          <w:spacing w:val="-11"/>
          <w:sz w:val="18"/>
        </w:rPr>
        <w:t xml:space="preserve"> </w:t>
      </w:r>
      <w:r>
        <w:rPr>
          <w:rFonts w:ascii="Calibri" w:hAnsi="Calibri"/>
          <w:b/>
          <w:color w:val="767070"/>
          <w:sz w:val="18"/>
        </w:rPr>
        <w:t>Thematic</w:t>
      </w:r>
      <w:r>
        <w:rPr>
          <w:rFonts w:ascii="Calibri" w:hAnsi="Calibri"/>
          <w:b/>
          <w:color w:val="767070"/>
          <w:spacing w:val="-10"/>
          <w:sz w:val="18"/>
        </w:rPr>
        <w:t xml:space="preserve"> </w:t>
      </w:r>
      <w:r>
        <w:rPr>
          <w:rFonts w:ascii="Calibri" w:hAnsi="Calibri"/>
          <w:b/>
          <w:color w:val="767070"/>
          <w:sz w:val="18"/>
        </w:rPr>
        <w:t>Musrenbang</w:t>
      </w:r>
      <w:r>
        <w:rPr>
          <w:rFonts w:ascii="Calibri" w:hAnsi="Calibri"/>
          <w:b/>
          <w:color w:val="767070"/>
          <w:spacing w:val="-10"/>
          <w:sz w:val="18"/>
        </w:rPr>
        <w:t xml:space="preserve"> </w:t>
      </w:r>
      <w:r>
        <w:rPr>
          <w:rFonts w:ascii="Calibri" w:hAnsi="Calibri"/>
          <w:b/>
          <w:color w:val="767070"/>
          <w:sz w:val="18"/>
        </w:rPr>
        <w:t>from</w:t>
      </w:r>
      <w:r>
        <w:rPr>
          <w:rFonts w:ascii="Calibri" w:hAnsi="Calibri"/>
          <w:b/>
          <w:color w:val="767070"/>
          <w:spacing w:val="-10"/>
          <w:sz w:val="18"/>
        </w:rPr>
        <w:t xml:space="preserve"> </w:t>
      </w:r>
      <w:r>
        <w:rPr>
          <w:rFonts w:ascii="Calibri" w:hAnsi="Calibri"/>
          <w:b/>
          <w:color w:val="767070"/>
          <w:sz w:val="18"/>
        </w:rPr>
        <w:t>CSOs to the Head of Bappeda</w:t>
      </w:r>
    </w:p>
    <w:p w14:paraId="6B30FF7A" w14:textId="77777777" w:rsidR="00BC24A8" w:rsidRDefault="00BC24A8">
      <w:pPr>
        <w:pStyle w:val="BodyText"/>
        <w:rPr>
          <w:rFonts w:ascii="Calibri"/>
          <w:b/>
          <w:sz w:val="18"/>
        </w:rPr>
      </w:pPr>
    </w:p>
    <w:p w14:paraId="51C5D0D9" w14:textId="77777777" w:rsidR="00BC24A8" w:rsidRDefault="00BC24A8">
      <w:pPr>
        <w:pStyle w:val="BodyText"/>
        <w:rPr>
          <w:rFonts w:ascii="Calibri"/>
          <w:b/>
          <w:sz w:val="18"/>
        </w:rPr>
      </w:pPr>
    </w:p>
    <w:p w14:paraId="2CE9F378" w14:textId="77777777" w:rsidR="00BC24A8" w:rsidRDefault="00BC24A8">
      <w:pPr>
        <w:pStyle w:val="BodyText"/>
        <w:rPr>
          <w:rFonts w:ascii="Calibri"/>
          <w:b/>
          <w:sz w:val="18"/>
        </w:rPr>
      </w:pPr>
    </w:p>
    <w:p w14:paraId="262E05E2" w14:textId="77777777" w:rsidR="00BC24A8" w:rsidRDefault="00BC24A8">
      <w:pPr>
        <w:pStyle w:val="BodyText"/>
        <w:rPr>
          <w:rFonts w:ascii="Calibri"/>
          <w:b/>
          <w:sz w:val="18"/>
        </w:rPr>
      </w:pPr>
    </w:p>
    <w:p w14:paraId="4EA466EC" w14:textId="77777777" w:rsidR="00BC24A8" w:rsidRDefault="00BC24A8">
      <w:pPr>
        <w:pStyle w:val="BodyText"/>
        <w:rPr>
          <w:rFonts w:ascii="Calibri"/>
          <w:b/>
          <w:sz w:val="18"/>
        </w:rPr>
      </w:pPr>
    </w:p>
    <w:p w14:paraId="140D51F1" w14:textId="77777777" w:rsidR="00BC24A8" w:rsidRDefault="00BC24A8">
      <w:pPr>
        <w:pStyle w:val="BodyText"/>
        <w:rPr>
          <w:rFonts w:ascii="Calibri"/>
          <w:b/>
          <w:sz w:val="18"/>
        </w:rPr>
      </w:pPr>
    </w:p>
    <w:p w14:paraId="5E0D34BC" w14:textId="77777777" w:rsidR="00BC24A8" w:rsidRDefault="00BC24A8">
      <w:pPr>
        <w:pStyle w:val="BodyText"/>
        <w:rPr>
          <w:rFonts w:ascii="Calibri"/>
          <w:b/>
          <w:sz w:val="18"/>
        </w:rPr>
      </w:pPr>
    </w:p>
    <w:p w14:paraId="3BACF440" w14:textId="77777777" w:rsidR="00BC24A8" w:rsidRDefault="00BC24A8">
      <w:pPr>
        <w:pStyle w:val="BodyText"/>
        <w:rPr>
          <w:rFonts w:ascii="Calibri"/>
          <w:b/>
          <w:sz w:val="18"/>
        </w:rPr>
      </w:pPr>
    </w:p>
    <w:p w14:paraId="752320ED" w14:textId="77777777" w:rsidR="00BC24A8" w:rsidRDefault="00BC24A8">
      <w:pPr>
        <w:pStyle w:val="BodyText"/>
        <w:rPr>
          <w:rFonts w:ascii="Calibri"/>
          <w:b/>
          <w:sz w:val="18"/>
        </w:rPr>
      </w:pPr>
    </w:p>
    <w:p w14:paraId="5FB31098" w14:textId="77777777" w:rsidR="00BC24A8" w:rsidRDefault="00BC24A8">
      <w:pPr>
        <w:pStyle w:val="BodyText"/>
        <w:rPr>
          <w:rFonts w:ascii="Calibri"/>
          <w:b/>
          <w:sz w:val="18"/>
        </w:rPr>
      </w:pPr>
    </w:p>
    <w:p w14:paraId="739071A8" w14:textId="77777777" w:rsidR="00BC24A8" w:rsidRDefault="00BC24A8">
      <w:pPr>
        <w:pStyle w:val="BodyText"/>
        <w:rPr>
          <w:rFonts w:ascii="Calibri"/>
          <w:b/>
          <w:sz w:val="18"/>
        </w:rPr>
      </w:pPr>
    </w:p>
    <w:p w14:paraId="07651D17" w14:textId="77777777" w:rsidR="00BC24A8" w:rsidRDefault="00BC24A8">
      <w:pPr>
        <w:pStyle w:val="BodyText"/>
        <w:spacing w:before="1"/>
        <w:rPr>
          <w:rFonts w:ascii="Calibri"/>
          <w:b/>
          <w:sz w:val="18"/>
        </w:rPr>
      </w:pPr>
    </w:p>
    <w:p w14:paraId="4D19B3ED" w14:textId="77777777" w:rsidR="00BC24A8" w:rsidRDefault="00000000">
      <w:pPr>
        <w:ind w:left="395" w:right="756"/>
        <w:jc w:val="both"/>
        <w:rPr>
          <w:sz w:val="18"/>
        </w:rPr>
      </w:pPr>
      <w:r>
        <w:rPr>
          <w:sz w:val="18"/>
        </w:rPr>
        <w:t>For participants, this forum was not merely a space for dialogue; it was a platform for influence. They feel appreciated, recognised,</w:t>
      </w:r>
      <w:r>
        <w:rPr>
          <w:spacing w:val="-1"/>
          <w:sz w:val="18"/>
        </w:rPr>
        <w:t xml:space="preserve"> </w:t>
      </w:r>
      <w:r>
        <w:rPr>
          <w:sz w:val="18"/>
        </w:rPr>
        <w:t>and trusted.</w:t>
      </w:r>
      <w:r>
        <w:rPr>
          <w:spacing w:val="-1"/>
          <w:sz w:val="18"/>
        </w:rPr>
        <w:t xml:space="preserve"> </w:t>
      </w:r>
      <w:r>
        <w:rPr>
          <w:sz w:val="18"/>
        </w:rPr>
        <w:t>For governments,</w:t>
      </w:r>
      <w:r>
        <w:rPr>
          <w:spacing w:val="-1"/>
          <w:sz w:val="18"/>
        </w:rPr>
        <w:t xml:space="preserve"> </w:t>
      </w:r>
      <w:r>
        <w:rPr>
          <w:sz w:val="18"/>
        </w:rPr>
        <w:t>the forum</w:t>
      </w:r>
      <w:r>
        <w:rPr>
          <w:spacing w:val="-1"/>
          <w:sz w:val="18"/>
        </w:rPr>
        <w:t xml:space="preserve"> </w:t>
      </w:r>
      <w:r>
        <w:rPr>
          <w:sz w:val="18"/>
        </w:rPr>
        <w:t>strengthened multilevel</w:t>
      </w:r>
      <w:r>
        <w:rPr>
          <w:spacing w:val="-1"/>
          <w:sz w:val="18"/>
        </w:rPr>
        <w:t xml:space="preserve"> </w:t>
      </w:r>
      <w:r>
        <w:rPr>
          <w:sz w:val="18"/>
        </w:rPr>
        <w:t>synergy and</w:t>
      </w:r>
      <w:r>
        <w:rPr>
          <w:spacing w:val="-1"/>
          <w:sz w:val="18"/>
        </w:rPr>
        <w:t xml:space="preserve"> </w:t>
      </w:r>
      <w:r>
        <w:rPr>
          <w:sz w:val="18"/>
        </w:rPr>
        <w:t>fostered a</w:t>
      </w:r>
      <w:r>
        <w:rPr>
          <w:spacing w:val="-2"/>
          <w:sz w:val="18"/>
        </w:rPr>
        <w:t xml:space="preserve"> </w:t>
      </w:r>
      <w:r>
        <w:rPr>
          <w:sz w:val="18"/>
        </w:rPr>
        <w:t>more responsive, inclusive, and data-driven approach to planning.</w:t>
      </w:r>
    </w:p>
    <w:p w14:paraId="6E186A41" w14:textId="77777777" w:rsidR="00BC24A8" w:rsidRDefault="00BC24A8">
      <w:pPr>
        <w:jc w:val="both"/>
        <w:rPr>
          <w:sz w:val="18"/>
        </w:rPr>
        <w:sectPr w:rsidR="00BC24A8">
          <w:type w:val="continuous"/>
          <w:pgSz w:w="11910" w:h="16840"/>
          <w:pgMar w:top="1920" w:right="850" w:bottom="280" w:left="1275" w:header="0" w:footer="907" w:gutter="0"/>
          <w:cols w:space="720"/>
        </w:sectPr>
      </w:pPr>
    </w:p>
    <w:p w14:paraId="39B133AE" w14:textId="77777777" w:rsidR="00BC24A8" w:rsidRDefault="00000000">
      <w:pPr>
        <w:spacing w:before="51"/>
        <w:ind w:left="395" w:right="760"/>
        <w:jc w:val="both"/>
        <w:rPr>
          <w:sz w:val="18"/>
        </w:rPr>
      </w:pPr>
      <w:r>
        <w:rPr>
          <w:noProof/>
          <w:sz w:val="18"/>
        </w:rPr>
        <w:lastRenderedPageBreak/>
        <mc:AlternateContent>
          <mc:Choice Requires="wpg">
            <w:drawing>
              <wp:anchor distT="0" distB="0" distL="0" distR="0" simplePos="0" relativeHeight="478680576" behindDoc="1" locked="0" layoutInCell="1" allowOverlap="1" wp14:anchorId="50A6E27C" wp14:editId="56E75896">
                <wp:simplePos x="0" y="0"/>
                <wp:positionH relativeFrom="page">
                  <wp:posOffset>897636</wp:posOffset>
                </wp:positionH>
                <wp:positionV relativeFrom="page">
                  <wp:posOffset>900671</wp:posOffset>
                </wp:positionV>
                <wp:extent cx="5801995" cy="8394700"/>
                <wp:effectExtent l="0" t="0" r="0" b="0"/>
                <wp:wrapNone/>
                <wp:docPr id="192" name="Group 192" descr="Participants viewed the GEDSI Thematic Musrenbang as a strategic forum—not only for expressing aspirations, but also for fostering learning and mutual understanding. Beyond strengthening cross-actor collaboration, the forum deepened awareness of inclusion principles, the specific needs of vulnerable groups, and the critical role of data in evidence-based planning. It stands as proof that a thoughtfully designed participatory approach can cultivate a shared space for learning.&#10;&#10;&#10;&#10;This Musrenbang gives knowledge&#10;one of the participants of the FGD.&#10;&#10;&#10;&#10;&#10;I now have a better understanding of the concept of inclusion and the speciflc needs of women, the elderly, children, persons with disabilities, and migrant workers.&#10;Female, provincial government representative, from the results of the 2025 feedback survey.&#10;&#10;&#10;&#10;Even so, there remains room for improvement. Some participants highlighted the need for clearer briefings on the objectives and expected outputs prior to the discussions, to ensure more focused and equitable participation.&#10;Today, the GEDSI Thematic Musrenbang is regarded as a good practice worthy of replication at the district and city levels, not merely as an annual event, but as a symbol of a shifting perspective: that effective development planning begins with listening to and truly understand those who have been least heard.&#10;&#10;&#10;&#10;The GEDSI Thematic Musrenbang is a good program; hopefully we can continue to campaign this so that public understanding and awareness will be better.&#10;Male, CSO representative, from the results of the 2025 feedback survey.&#10;&#10;&#10;&#10;SKALA’s support is provided through technical recommendations and facilitation, covering all stages of the Thematic Musrenbang’s implementation. SKALA is involved from the design of activities, the formation and preparation of facilitator teams, and the compilation of CSO proposals, to the signing and submission of the minutes to the Head of Bappeda during the RPJMD Thematic Musrenbang. Overall, SKALA serves as both initiator and catalyst—bridging collaboration between local governments and civil society organisations (CSOs), enabling the first-ever implementation of the Thematic Musrenbang.&#10;&#10;S TO R Y 2 :&#10;Strengthening the Role of Regional Development Planning Agency (Bappeda) in the NTB&#10;One Data Forum&#10;Since the establishment of the Data Management Team by the Diskominfo in 2019, and the issuance of the NTB One Data Forum Decree in 2022, the forum’s coordination role has largely been carried out by the Diskominfotik. In fact, regulations assign coordination responsibility to Bappeda. However, in practice, Bappeda has only participated in the forum as a resource person or attendee, not to lead the forum.&#10;&#10;&#10;... the flrst meeting truly led by Bappeda was the one involving SKALA in 2024. Previously, representatives from the Communication, Informatics, and Statistics Oﬃce and Bappeda typically attended only to deliver presentations.&#10;N, representative of the NTB Health Office,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995" cy="8394700"/>
                          <a:chOff x="0" y="0"/>
                          <a:chExt cx="5801995" cy="8394700"/>
                        </a:xfrm>
                      </wpg:grpSpPr>
                      <wps:wsp>
                        <wps:cNvPr id="193" name="Graphic 193"/>
                        <wps:cNvSpPr/>
                        <wps:spPr>
                          <a:xfrm>
                            <a:off x="6095" y="6108"/>
                            <a:ext cx="5788660" cy="5984875"/>
                          </a:xfrm>
                          <a:custGeom>
                            <a:avLst/>
                            <a:gdLst/>
                            <a:ahLst/>
                            <a:cxnLst/>
                            <a:rect l="l" t="t" r="r" b="b"/>
                            <a:pathLst>
                              <a:path w="5788660" h="5984875">
                                <a:moveTo>
                                  <a:pt x="5788152" y="0"/>
                                </a:moveTo>
                                <a:lnTo>
                                  <a:pt x="0" y="0"/>
                                </a:lnTo>
                                <a:lnTo>
                                  <a:pt x="0" y="5984748"/>
                                </a:lnTo>
                                <a:lnTo>
                                  <a:pt x="5788152" y="5984748"/>
                                </a:lnTo>
                                <a:lnTo>
                                  <a:pt x="5788152" y="0"/>
                                </a:lnTo>
                                <a:close/>
                              </a:path>
                            </a:pathLst>
                          </a:custGeom>
                          <a:solidFill>
                            <a:srgbClr val="E1F1EF"/>
                          </a:solidFill>
                        </wps:spPr>
                        <wps:bodyPr wrap="square" lIns="0" tIns="0" rIns="0" bIns="0" rtlCol="0">
                          <a:prstTxWarp prst="textNoShape">
                            <a:avLst/>
                          </a:prstTxWarp>
                          <a:noAutofit/>
                        </wps:bodyPr>
                      </wps:wsp>
                      <wps:wsp>
                        <wps:cNvPr id="194" name="Graphic 194"/>
                        <wps:cNvSpPr/>
                        <wps:spPr>
                          <a:xfrm>
                            <a:off x="0" y="0"/>
                            <a:ext cx="5801995" cy="5991225"/>
                          </a:xfrm>
                          <a:custGeom>
                            <a:avLst/>
                            <a:gdLst/>
                            <a:ahLst/>
                            <a:cxnLst/>
                            <a:rect l="l" t="t" r="r" b="b"/>
                            <a:pathLst>
                              <a:path w="5801995" h="5991225">
                                <a:moveTo>
                                  <a:pt x="5801868" y="0"/>
                                </a:moveTo>
                                <a:lnTo>
                                  <a:pt x="5795772" y="0"/>
                                </a:lnTo>
                                <a:lnTo>
                                  <a:pt x="6108" y="0"/>
                                </a:lnTo>
                                <a:lnTo>
                                  <a:pt x="0" y="0"/>
                                </a:lnTo>
                                <a:lnTo>
                                  <a:pt x="0" y="6108"/>
                                </a:lnTo>
                                <a:lnTo>
                                  <a:pt x="0" y="5990856"/>
                                </a:lnTo>
                                <a:lnTo>
                                  <a:pt x="6108" y="5990856"/>
                                </a:lnTo>
                                <a:lnTo>
                                  <a:pt x="6108" y="6108"/>
                                </a:lnTo>
                                <a:lnTo>
                                  <a:pt x="5795772" y="6108"/>
                                </a:lnTo>
                                <a:lnTo>
                                  <a:pt x="5795772" y="5990856"/>
                                </a:lnTo>
                                <a:lnTo>
                                  <a:pt x="5801868" y="5990856"/>
                                </a:lnTo>
                                <a:lnTo>
                                  <a:pt x="5801868" y="6108"/>
                                </a:lnTo>
                                <a:lnTo>
                                  <a:pt x="5801868" y="0"/>
                                </a:lnTo>
                                <a:close/>
                              </a:path>
                            </a:pathLst>
                          </a:custGeom>
                          <a:solidFill>
                            <a:srgbClr val="BEBEBE"/>
                          </a:solidFill>
                        </wps:spPr>
                        <wps:bodyPr wrap="square" lIns="0" tIns="0" rIns="0" bIns="0" rtlCol="0">
                          <a:prstTxWarp prst="textNoShape">
                            <a:avLst/>
                          </a:prstTxWarp>
                          <a:noAutofit/>
                        </wps:bodyPr>
                      </wps:wsp>
                      <wps:wsp>
                        <wps:cNvPr id="195" name="Graphic 195"/>
                        <wps:cNvSpPr/>
                        <wps:spPr>
                          <a:xfrm>
                            <a:off x="6095" y="5996952"/>
                            <a:ext cx="5788660" cy="2390140"/>
                          </a:xfrm>
                          <a:custGeom>
                            <a:avLst/>
                            <a:gdLst/>
                            <a:ahLst/>
                            <a:cxnLst/>
                            <a:rect l="l" t="t" r="r" b="b"/>
                            <a:pathLst>
                              <a:path w="5788660" h="2390140">
                                <a:moveTo>
                                  <a:pt x="5788152" y="0"/>
                                </a:moveTo>
                                <a:lnTo>
                                  <a:pt x="0" y="0"/>
                                </a:lnTo>
                                <a:lnTo>
                                  <a:pt x="0" y="2389631"/>
                                </a:lnTo>
                                <a:lnTo>
                                  <a:pt x="5788152" y="2389631"/>
                                </a:lnTo>
                                <a:lnTo>
                                  <a:pt x="5788152" y="0"/>
                                </a:lnTo>
                                <a:close/>
                              </a:path>
                            </a:pathLst>
                          </a:custGeom>
                          <a:solidFill>
                            <a:srgbClr val="E1F1EF"/>
                          </a:solidFill>
                        </wps:spPr>
                        <wps:bodyPr wrap="square" lIns="0" tIns="0" rIns="0" bIns="0" rtlCol="0">
                          <a:prstTxWarp prst="textNoShape">
                            <a:avLst/>
                          </a:prstTxWarp>
                          <a:noAutofit/>
                        </wps:bodyPr>
                      </wps:wsp>
                      <wps:wsp>
                        <wps:cNvPr id="196" name="Graphic 196"/>
                        <wps:cNvSpPr/>
                        <wps:spPr>
                          <a:xfrm>
                            <a:off x="0" y="5990856"/>
                            <a:ext cx="5801995" cy="2403475"/>
                          </a:xfrm>
                          <a:custGeom>
                            <a:avLst/>
                            <a:gdLst/>
                            <a:ahLst/>
                            <a:cxnLst/>
                            <a:rect l="l" t="t" r="r" b="b"/>
                            <a:pathLst>
                              <a:path w="5801995" h="2403475">
                                <a:moveTo>
                                  <a:pt x="5801868" y="0"/>
                                </a:moveTo>
                                <a:lnTo>
                                  <a:pt x="5795772" y="0"/>
                                </a:lnTo>
                                <a:lnTo>
                                  <a:pt x="5795772" y="6096"/>
                                </a:lnTo>
                                <a:lnTo>
                                  <a:pt x="5795772" y="2397252"/>
                                </a:lnTo>
                                <a:lnTo>
                                  <a:pt x="6108" y="2397252"/>
                                </a:lnTo>
                                <a:lnTo>
                                  <a:pt x="6108" y="6096"/>
                                </a:lnTo>
                                <a:lnTo>
                                  <a:pt x="5795772" y="6096"/>
                                </a:lnTo>
                                <a:lnTo>
                                  <a:pt x="5795772" y="0"/>
                                </a:lnTo>
                                <a:lnTo>
                                  <a:pt x="6108" y="0"/>
                                </a:lnTo>
                                <a:lnTo>
                                  <a:pt x="0" y="0"/>
                                </a:lnTo>
                                <a:lnTo>
                                  <a:pt x="0" y="6096"/>
                                </a:lnTo>
                                <a:lnTo>
                                  <a:pt x="0" y="2397252"/>
                                </a:lnTo>
                                <a:lnTo>
                                  <a:pt x="0" y="2403348"/>
                                </a:lnTo>
                                <a:lnTo>
                                  <a:pt x="6096" y="2403348"/>
                                </a:lnTo>
                                <a:lnTo>
                                  <a:pt x="5795772" y="2403348"/>
                                </a:lnTo>
                                <a:lnTo>
                                  <a:pt x="5801868" y="2403348"/>
                                </a:lnTo>
                                <a:lnTo>
                                  <a:pt x="5801868" y="2397252"/>
                                </a:lnTo>
                                <a:lnTo>
                                  <a:pt x="5801868" y="6096"/>
                                </a:lnTo>
                                <a:lnTo>
                                  <a:pt x="5801868" y="0"/>
                                </a:lnTo>
                                <a:close/>
                              </a:path>
                            </a:pathLst>
                          </a:custGeom>
                          <a:solidFill>
                            <a:srgbClr val="BEBEBE"/>
                          </a:solidFill>
                        </wps:spPr>
                        <wps:bodyPr wrap="square" lIns="0" tIns="0" rIns="0" bIns="0" rtlCol="0">
                          <a:prstTxWarp prst="textNoShape">
                            <a:avLst/>
                          </a:prstTxWarp>
                          <a:noAutofit/>
                        </wps:bodyPr>
                      </wps:wsp>
                      <wps:wsp>
                        <wps:cNvPr id="197" name="Graphic 197"/>
                        <wps:cNvSpPr/>
                        <wps:spPr>
                          <a:xfrm>
                            <a:off x="196469" y="887107"/>
                            <a:ext cx="5410200" cy="552450"/>
                          </a:xfrm>
                          <a:custGeom>
                            <a:avLst/>
                            <a:gdLst/>
                            <a:ahLst/>
                            <a:cxnLst/>
                            <a:rect l="l" t="t" r="r" b="b"/>
                            <a:pathLst>
                              <a:path w="5410200" h="552450">
                                <a:moveTo>
                                  <a:pt x="0" y="0"/>
                                </a:moveTo>
                                <a:lnTo>
                                  <a:pt x="5410200" y="0"/>
                                </a:lnTo>
                                <a:lnTo>
                                  <a:pt x="5410200" y="552310"/>
                                </a:lnTo>
                                <a:lnTo>
                                  <a:pt x="0" y="552310"/>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22" cstate="print"/>
                          <a:stretch>
                            <a:fillRect/>
                          </a:stretch>
                        </pic:blipFill>
                        <pic:spPr>
                          <a:xfrm>
                            <a:off x="257448" y="732636"/>
                            <a:ext cx="223210" cy="205133"/>
                          </a:xfrm>
                          <a:prstGeom prst="rect">
                            <a:avLst/>
                          </a:prstGeom>
                        </pic:spPr>
                      </pic:pic>
                      <pic:pic xmlns:pic="http://schemas.openxmlformats.org/drawingml/2006/picture">
                        <pic:nvPicPr>
                          <pic:cNvPr id="199" name="Image 199"/>
                          <pic:cNvPicPr/>
                        </pic:nvPicPr>
                        <pic:blipFill>
                          <a:blip r:embed="rId15" cstate="print"/>
                          <a:stretch>
                            <a:fillRect/>
                          </a:stretch>
                        </pic:blipFill>
                        <pic:spPr>
                          <a:xfrm>
                            <a:off x="5313767" y="1364756"/>
                            <a:ext cx="223210" cy="205133"/>
                          </a:xfrm>
                          <a:prstGeom prst="rect">
                            <a:avLst/>
                          </a:prstGeom>
                        </pic:spPr>
                      </pic:pic>
                      <wps:wsp>
                        <wps:cNvPr id="200" name="Graphic 200"/>
                        <wps:cNvSpPr/>
                        <wps:spPr>
                          <a:xfrm>
                            <a:off x="196469" y="1800834"/>
                            <a:ext cx="5410200" cy="741045"/>
                          </a:xfrm>
                          <a:custGeom>
                            <a:avLst/>
                            <a:gdLst/>
                            <a:ahLst/>
                            <a:cxnLst/>
                            <a:rect l="l" t="t" r="r" b="b"/>
                            <a:pathLst>
                              <a:path w="5410200" h="741045">
                                <a:moveTo>
                                  <a:pt x="0" y="0"/>
                                </a:moveTo>
                                <a:lnTo>
                                  <a:pt x="5410200" y="0"/>
                                </a:lnTo>
                                <a:lnTo>
                                  <a:pt x="5410200" y="740689"/>
                                </a:lnTo>
                                <a:lnTo>
                                  <a:pt x="0" y="740689"/>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41" cstate="print"/>
                          <a:stretch>
                            <a:fillRect/>
                          </a:stretch>
                        </pic:blipFill>
                        <pic:spPr>
                          <a:xfrm>
                            <a:off x="257448" y="1646410"/>
                            <a:ext cx="223210" cy="205079"/>
                          </a:xfrm>
                          <a:prstGeom prst="rect">
                            <a:avLst/>
                          </a:prstGeom>
                        </pic:spPr>
                      </pic:pic>
                      <pic:pic xmlns:pic="http://schemas.openxmlformats.org/drawingml/2006/picture">
                        <pic:nvPicPr>
                          <pic:cNvPr id="202" name="Image 202"/>
                          <pic:cNvPicPr/>
                        </pic:nvPicPr>
                        <pic:blipFill>
                          <a:blip r:embed="rId25" cstate="print"/>
                          <a:stretch>
                            <a:fillRect/>
                          </a:stretch>
                        </pic:blipFill>
                        <pic:spPr>
                          <a:xfrm>
                            <a:off x="5313767" y="2478607"/>
                            <a:ext cx="223210" cy="205079"/>
                          </a:xfrm>
                          <a:prstGeom prst="rect">
                            <a:avLst/>
                          </a:prstGeom>
                        </pic:spPr>
                      </pic:pic>
                      <wps:wsp>
                        <wps:cNvPr id="203" name="Graphic 203"/>
                        <wps:cNvSpPr/>
                        <wps:spPr>
                          <a:xfrm>
                            <a:off x="196469" y="3968838"/>
                            <a:ext cx="5410200" cy="741045"/>
                          </a:xfrm>
                          <a:custGeom>
                            <a:avLst/>
                            <a:gdLst/>
                            <a:ahLst/>
                            <a:cxnLst/>
                            <a:rect l="l" t="t" r="r" b="b"/>
                            <a:pathLst>
                              <a:path w="5410200" h="741045">
                                <a:moveTo>
                                  <a:pt x="0" y="0"/>
                                </a:moveTo>
                                <a:lnTo>
                                  <a:pt x="5410200" y="0"/>
                                </a:lnTo>
                                <a:lnTo>
                                  <a:pt x="5410200" y="740689"/>
                                </a:lnTo>
                                <a:lnTo>
                                  <a:pt x="0" y="740689"/>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22" cstate="print"/>
                          <a:stretch>
                            <a:fillRect/>
                          </a:stretch>
                        </pic:blipFill>
                        <pic:spPr>
                          <a:xfrm>
                            <a:off x="257448" y="3814413"/>
                            <a:ext cx="223210" cy="205079"/>
                          </a:xfrm>
                          <a:prstGeom prst="rect">
                            <a:avLst/>
                          </a:prstGeom>
                        </pic:spPr>
                      </pic:pic>
                      <pic:pic xmlns:pic="http://schemas.openxmlformats.org/drawingml/2006/picture">
                        <pic:nvPicPr>
                          <pic:cNvPr id="205" name="Image 205"/>
                          <pic:cNvPicPr/>
                        </pic:nvPicPr>
                        <pic:blipFill>
                          <a:blip r:embed="rId20" cstate="print"/>
                          <a:stretch>
                            <a:fillRect/>
                          </a:stretch>
                        </pic:blipFill>
                        <pic:spPr>
                          <a:xfrm>
                            <a:off x="5313767" y="4646610"/>
                            <a:ext cx="223210" cy="205079"/>
                          </a:xfrm>
                          <a:prstGeom prst="rect">
                            <a:avLst/>
                          </a:prstGeom>
                        </pic:spPr>
                      </pic:pic>
                      <wps:wsp>
                        <wps:cNvPr id="206" name="Graphic 206"/>
                        <wps:cNvSpPr/>
                        <wps:spPr>
                          <a:xfrm>
                            <a:off x="244729" y="7418399"/>
                            <a:ext cx="5410200" cy="819785"/>
                          </a:xfrm>
                          <a:custGeom>
                            <a:avLst/>
                            <a:gdLst/>
                            <a:ahLst/>
                            <a:cxnLst/>
                            <a:rect l="l" t="t" r="r" b="b"/>
                            <a:pathLst>
                              <a:path w="5410200" h="819785">
                                <a:moveTo>
                                  <a:pt x="0" y="0"/>
                                </a:moveTo>
                                <a:lnTo>
                                  <a:pt x="5410200" y="0"/>
                                </a:lnTo>
                                <a:lnTo>
                                  <a:pt x="5410200" y="819264"/>
                                </a:lnTo>
                                <a:lnTo>
                                  <a:pt x="0" y="819264"/>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4" cstate="print"/>
                          <a:stretch>
                            <a:fillRect/>
                          </a:stretch>
                        </pic:blipFill>
                        <pic:spPr>
                          <a:xfrm>
                            <a:off x="305705" y="7263993"/>
                            <a:ext cx="223210" cy="205054"/>
                          </a:xfrm>
                          <a:prstGeom prst="rect">
                            <a:avLst/>
                          </a:prstGeom>
                        </pic:spPr>
                      </pic:pic>
                      <pic:pic xmlns:pic="http://schemas.openxmlformats.org/drawingml/2006/picture">
                        <pic:nvPicPr>
                          <pic:cNvPr id="208" name="Image 208"/>
                          <pic:cNvPicPr/>
                        </pic:nvPicPr>
                        <pic:blipFill>
                          <a:blip r:embed="rId20" cstate="print"/>
                          <a:stretch>
                            <a:fillRect/>
                          </a:stretch>
                        </pic:blipFill>
                        <pic:spPr>
                          <a:xfrm>
                            <a:off x="5362024" y="8177491"/>
                            <a:ext cx="223210" cy="205054"/>
                          </a:xfrm>
                          <a:prstGeom prst="rect">
                            <a:avLst/>
                          </a:prstGeom>
                        </pic:spPr>
                      </pic:pic>
                    </wpg:wgp>
                  </a:graphicData>
                </a:graphic>
              </wp:anchor>
            </w:drawing>
          </mc:Choice>
          <mc:Fallback>
            <w:pict>
              <v:group w14:anchorId="4E6CF9CB" id="Group 192" o:spid="_x0000_s1026" alt="Participants viewed the GEDSI Thematic Musrenbang as a strategic forum—not only for expressing aspirations, but also for fostering learning and mutual understanding. Beyond strengthening cross-actor collaboration, the forum deepened awareness of inclusion principles, the specific needs of vulnerable groups, and the critical role of data in evidence-based planning. It stands as proof that a thoughtfully designed participatory approach can cultivate a shared space for learning.&#10;&#10;&#10;&#10;This Musrenbang gives knowledge&#10;one of the participants of the FGD.&#10;&#10;&#10;&#10;&#10;I now have a better understanding of the concept of inclusion and the speciflc needs of women, the elderly, children, persons with disabilities, and migrant workers.&#10;Female, provincial government representative, from the results of the 2025 feedback survey.&#10;&#10;&#10;&#10;Even so, there remains room for improvement. Some participants highlighted the need for clearer briefings on the objectives and expected outputs prior to the discussions, to ensure more focused and equitable participation.&#10;Today, the GEDSI Thematic Musrenbang is regarded as a good practice worthy of replication at the district and city levels, not merely as an annual event, but as a symbol of a shifting perspective: that effective development planning begins with listening to and truly understand those who have been least heard.&#10;&#10;&#10;&#10;The GEDSI Thematic Musrenbang is a good program; hopefully we can continue to campaign this so that public understanding and awareness will be better.&#10;Male, CSO representative, from the results of the 2025 feedback survey.&#10;&#10;&#10;&#10;SKALA’s support is provided through technical recommendations and facilitation, covering all stages of the Thematic Musrenbang’s implementation. SKALA is involved from the design of activities, the formation and preparation of facilitator teams, and the compilation of CSO proposals, to the signing and submission of the minutes to the Head of Bappeda during the RPJMD Thematic Musrenbang. Overall, SKALA serves as both initiator and catalyst—bridging collaboration between local governments and civil society organisations (CSOs), enabling the first-ever implementation of the Thematic Musrenbang.&#10;&#10;S TO R Y 2 :&#10;Strengthening the Role of Regional Development Planning Agency (Bappeda) in the NTB&#10;One Data Forum&#10;Since the establishment of the Data Management Team by the Diskominfo in 2019, and the issuance of the NTB One Data Forum Decree in 2022, the forum’s coordination role has largely been carried out by the Diskominfotik. In fact, regulations assign coordination responsibility to Bappeda. However, in practice, Bappeda has only participated in the forum as a resource person or attendee, not to lead the forum.&#10;&#10;&#10;... the flrst meeting truly led by Bappeda was the one involving SKALA in 2024. Previously, representatives from the Communication, Informatics, and Statistics Oﬃce and Bappeda typically attended only to deliver presentations.&#10;N, representative of the NTB Health Office, 2025." style="position:absolute;margin-left:70.7pt;margin-top:70.9pt;width:456.85pt;height:661pt;z-index:-24635904;mso-wrap-distance-left:0;mso-wrap-distance-right:0;mso-position-horizontal-relative:page;mso-position-vertical-relative:page" coordsize="58019,83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">
                <v:shape id="Graphic 193" o:spid="_x0000_s1027" style="position:absolute;left:60;top:61;width:57887;height:59848;visibility:visible;mso-wrap-style:square;v-text-anchor:top" coordsize="5788660,598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" path="m5788152,l,,,5984748r5788152,l5788152,xe" fillcolor="#e1f1ef" stroked="f">
                  <v:path arrowok="t"/>
                </v:shape>
                <v:shape id="Graphic 194" o:spid="_x0000_s1028" style="position:absolute;width:58019;height:59912;visibility:visible;mso-wrap-style:square;v-text-anchor:top" coordsize="5801995,599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" path="m5801868,r-6096,l6108,,,,,6108,,5990856r6108,l6108,6108r5789664,l5795772,5990856r6096,l5801868,6108r,-6108xe" fillcolor="#bebebe" stroked="f">
                  <v:path arrowok="t"/>
                </v:shape>
                <v:shape id="Graphic 195" o:spid="_x0000_s1029" style="position:absolute;left:60;top:59969;width:57887;height:23901;visibility:visible;mso-wrap-style:square;v-text-anchor:top" coordsize="5788660,239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" path="m5788152,l,,,2389631r5788152,l5788152,xe" fillcolor="#e1f1ef" stroked="f">
                  <v:path arrowok="t"/>
                </v:shape>
                <v:shape id="Graphic 196" o:spid="_x0000_s1030" style="position:absolute;top:59908;width:58019;height:24035;visibility:visible;mso-wrap-style:square;v-text-anchor:top" coordsize="5801995,240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" path="m5801868,r-6096,l5795772,6096r,2391156l6108,2397252,6108,6096r5789664,l5795772,,6108,,,,,6096,,2397252r,6096l6096,2403348r5789676,l5801868,2403348r,-6096l5801868,6096r,-6096xe" fillcolor="#bebebe" stroked="f">
                  <v:path arrowok="t"/>
                </v:shape>
                <v:shape id="Graphic 197" o:spid="_x0000_s1031" style="position:absolute;left:1964;top:8871;width:54102;height:5524;visibility:visible;mso-wrap-style:square;v-text-anchor:top" coordsize="541020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" path="m,l5410200,r,552310l,552310,,xe" filled="f" strokecolor="#17365a" strokeweight="1pt">
                  <v:path arrowok="t"/>
                </v:shape>
                <v:shape id="Image 198" o:spid="_x0000_s1032" type="#_x0000_t75" style="position:absolute;left:2574;top:7326;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">
                  <v:imagedata r:id="rId23" o:title=""/>
                </v:shape>
                <v:shape id="Image 199" o:spid="_x0000_s1033" type="#_x0000_t75" style="position:absolute;left:53137;top:13647;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">
                  <v:imagedata r:id="rId17" o:title=""/>
                </v:shape>
                <v:shape id="Graphic 200" o:spid="_x0000_s1034" style="position:absolute;left:1964;top:18008;width:54102;height:7410;visibility:visible;mso-wrap-style:square;v-text-anchor:top" coordsize="5410200,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" path="m,l5410200,r,740689l,740689,,xe" filled="f" strokecolor="#17365a" strokeweight="1pt">
                  <v:path arrowok="t"/>
                </v:shape>
                <v:shape id="Image 201" o:spid="_x0000_s1035" type="#_x0000_t75" style="position:absolute;left:2574;top:16464;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">
                  <v:imagedata r:id="rId42" o:title=""/>
                </v:shape>
                <v:shape id="Image 202" o:spid="_x0000_s1036" type="#_x0000_t75" style="position:absolute;left:53137;top:24786;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">
                  <v:imagedata r:id="rId27" o:title=""/>
                </v:shape>
                <v:shape id="Graphic 203" o:spid="_x0000_s1037" style="position:absolute;left:1964;top:39688;width:54102;height:7410;visibility:visible;mso-wrap-style:square;v-text-anchor:top" coordsize="5410200,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" path="m,l5410200,r,740689l,740689,,xe" filled="f" strokecolor="#17365a" strokeweight="1pt">
                  <v:path arrowok="t"/>
                </v:shape>
                <v:shape id="Image 204" o:spid="_x0000_s1038" type="#_x0000_t75" style="position:absolute;left:2574;top:38144;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">
                  <v:imagedata r:id="rId23" o:title=""/>
                </v:shape>
                <v:shape id="Image 205" o:spid="_x0000_s1039" type="#_x0000_t75" style="position:absolute;left:53137;top:46466;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">
                  <v:imagedata r:id="rId21" o:title=""/>
                </v:shape>
                <v:shape id="Graphic 206" o:spid="_x0000_s1040" style="position:absolute;left:2447;top:74183;width:54102;height:8198;visibility:visible;mso-wrap-style:square;v-text-anchor:top" coordsize="541020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" path="m,l5410200,r,819264l,819264,,xe" filled="f" strokecolor="#17365a" strokeweight="1pt">
                  <v:path arrowok="t"/>
                </v:shape>
                <v:shape id="Image 207" o:spid="_x0000_s1041" type="#_x0000_t75" style="position:absolute;left:3057;top:72639;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">
                  <v:imagedata r:id="rId16" o:title=""/>
                </v:shape>
                <v:shape id="Image 208" o:spid="_x0000_s1042" type="#_x0000_t75" style="position:absolute;left:53620;top:81774;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">
                  <v:imagedata r:id="rId21" o:title=""/>
                </v:shape>
                <w10:wrap anchorx="page" anchory="page"/>
              </v:group>
            </w:pict>
          </mc:Fallback>
        </mc:AlternateContent>
      </w:r>
      <w:r>
        <w:rPr>
          <w:sz w:val="18"/>
        </w:rPr>
        <w:t>Participants</w:t>
      </w:r>
      <w:r>
        <w:rPr>
          <w:spacing w:val="-2"/>
          <w:sz w:val="18"/>
        </w:rPr>
        <w:t xml:space="preserve"> </w:t>
      </w:r>
      <w:r>
        <w:rPr>
          <w:sz w:val="18"/>
        </w:rPr>
        <w:t>viewed</w:t>
      </w:r>
      <w:r>
        <w:rPr>
          <w:spacing w:val="-2"/>
          <w:sz w:val="18"/>
        </w:rPr>
        <w:t xml:space="preserve"> </w:t>
      </w:r>
      <w:r>
        <w:rPr>
          <w:sz w:val="18"/>
        </w:rPr>
        <w:t>the</w:t>
      </w:r>
      <w:r>
        <w:rPr>
          <w:spacing w:val="-2"/>
          <w:sz w:val="18"/>
        </w:rPr>
        <w:t xml:space="preserve"> </w:t>
      </w:r>
      <w:r>
        <w:rPr>
          <w:sz w:val="18"/>
        </w:rPr>
        <w:t>GEDSI</w:t>
      </w:r>
      <w:r>
        <w:rPr>
          <w:spacing w:val="-3"/>
          <w:sz w:val="18"/>
        </w:rPr>
        <w:t xml:space="preserve"> </w:t>
      </w:r>
      <w:r>
        <w:rPr>
          <w:sz w:val="18"/>
        </w:rPr>
        <w:t>Thematic</w:t>
      </w:r>
      <w:r>
        <w:rPr>
          <w:spacing w:val="-2"/>
          <w:sz w:val="18"/>
        </w:rPr>
        <w:t xml:space="preserve"> </w:t>
      </w:r>
      <w:r>
        <w:rPr>
          <w:i/>
          <w:sz w:val="18"/>
        </w:rPr>
        <w:t xml:space="preserve">Musrenbang </w:t>
      </w:r>
      <w:r>
        <w:rPr>
          <w:sz w:val="18"/>
        </w:rPr>
        <w:t>as</w:t>
      </w:r>
      <w:r>
        <w:rPr>
          <w:spacing w:val="-2"/>
          <w:sz w:val="18"/>
        </w:rPr>
        <w:t xml:space="preserve"> </w:t>
      </w:r>
      <w:r>
        <w:rPr>
          <w:sz w:val="18"/>
        </w:rPr>
        <w:t>a strategic</w:t>
      </w:r>
      <w:r>
        <w:rPr>
          <w:spacing w:val="-2"/>
          <w:sz w:val="18"/>
        </w:rPr>
        <w:t xml:space="preserve"> </w:t>
      </w:r>
      <w:r>
        <w:rPr>
          <w:sz w:val="18"/>
        </w:rPr>
        <w:t>forum—not</w:t>
      </w:r>
      <w:r>
        <w:rPr>
          <w:spacing w:val="-1"/>
          <w:sz w:val="18"/>
        </w:rPr>
        <w:t xml:space="preserve"> </w:t>
      </w:r>
      <w:r>
        <w:rPr>
          <w:sz w:val="18"/>
        </w:rPr>
        <w:t>only</w:t>
      </w:r>
      <w:r>
        <w:rPr>
          <w:spacing w:val="-2"/>
          <w:sz w:val="18"/>
        </w:rPr>
        <w:t xml:space="preserve"> </w:t>
      </w:r>
      <w:r>
        <w:rPr>
          <w:sz w:val="18"/>
        </w:rPr>
        <w:t>for</w:t>
      </w:r>
      <w:r>
        <w:rPr>
          <w:spacing w:val="-2"/>
          <w:sz w:val="18"/>
        </w:rPr>
        <w:t xml:space="preserve"> </w:t>
      </w:r>
      <w:r>
        <w:rPr>
          <w:sz w:val="18"/>
        </w:rPr>
        <w:t>expressing</w:t>
      </w:r>
      <w:r>
        <w:rPr>
          <w:spacing w:val="-2"/>
          <w:sz w:val="18"/>
        </w:rPr>
        <w:t xml:space="preserve"> </w:t>
      </w:r>
      <w:r>
        <w:rPr>
          <w:sz w:val="18"/>
        </w:rPr>
        <w:t>aspirations,</w:t>
      </w:r>
      <w:r>
        <w:rPr>
          <w:spacing w:val="-3"/>
          <w:sz w:val="18"/>
        </w:rPr>
        <w:t xml:space="preserve"> </w:t>
      </w:r>
      <w:r>
        <w:rPr>
          <w:sz w:val="18"/>
        </w:rPr>
        <w:t>but</w:t>
      </w:r>
      <w:r>
        <w:rPr>
          <w:spacing w:val="-1"/>
          <w:sz w:val="18"/>
        </w:rPr>
        <w:t xml:space="preserve"> </w:t>
      </w:r>
      <w:r>
        <w:rPr>
          <w:sz w:val="18"/>
        </w:rPr>
        <w:t>also for fostering learning and mutual understanding. Beyond strengthening cross-actor collaboration, the forum deepened awareness</w:t>
      </w:r>
      <w:r>
        <w:rPr>
          <w:spacing w:val="-5"/>
          <w:sz w:val="18"/>
        </w:rPr>
        <w:t xml:space="preserve"> </w:t>
      </w:r>
      <w:r>
        <w:rPr>
          <w:sz w:val="18"/>
        </w:rPr>
        <w:t>of</w:t>
      </w:r>
      <w:r>
        <w:rPr>
          <w:spacing w:val="-6"/>
          <w:sz w:val="18"/>
        </w:rPr>
        <w:t xml:space="preserve"> </w:t>
      </w:r>
      <w:r>
        <w:rPr>
          <w:sz w:val="18"/>
        </w:rPr>
        <w:t>inclusion</w:t>
      </w:r>
      <w:r>
        <w:rPr>
          <w:spacing w:val="-5"/>
          <w:sz w:val="18"/>
        </w:rPr>
        <w:t xml:space="preserve"> </w:t>
      </w:r>
      <w:r>
        <w:rPr>
          <w:sz w:val="18"/>
        </w:rPr>
        <w:t>principles,</w:t>
      </w:r>
      <w:r>
        <w:rPr>
          <w:spacing w:val="-6"/>
          <w:sz w:val="18"/>
        </w:rPr>
        <w:t xml:space="preserve"> </w:t>
      </w:r>
      <w:r>
        <w:rPr>
          <w:sz w:val="18"/>
        </w:rPr>
        <w:t>the</w:t>
      </w:r>
      <w:r>
        <w:rPr>
          <w:spacing w:val="-5"/>
          <w:sz w:val="18"/>
        </w:rPr>
        <w:t xml:space="preserve"> </w:t>
      </w:r>
      <w:r>
        <w:rPr>
          <w:sz w:val="18"/>
        </w:rPr>
        <w:t>specific</w:t>
      </w:r>
      <w:r>
        <w:rPr>
          <w:spacing w:val="-5"/>
          <w:sz w:val="18"/>
        </w:rPr>
        <w:t xml:space="preserve"> </w:t>
      </w:r>
      <w:r>
        <w:rPr>
          <w:sz w:val="18"/>
        </w:rPr>
        <w:t>needs</w:t>
      </w:r>
      <w:r>
        <w:rPr>
          <w:spacing w:val="-5"/>
          <w:sz w:val="18"/>
        </w:rPr>
        <w:t xml:space="preserve"> </w:t>
      </w:r>
      <w:r>
        <w:rPr>
          <w:sz w:val="18"/>
        </w:rPr>
        <w:t>of</w:t>
      </w:r>
      <w:r>
        <w:rPr>
          <w:spacing w:val="-6"/>
          <w:sz w:val="18"/>
        </w:rPr>
        <w:t xml:space="preserve"> </w:t>
      </w:r>
      <w:r>
        <w:rPr>
          <w:sz w:val="18"/>
        </w:rPr>
        <w:t>vulnerable</w:t>
      </w:r>
      <w:r>
        <w:rPr>
          <w:spacing w:val="-3"/>
          <w:sz w:val="18"/>
        </w:rPr>
        <w:t xml:space="preserve"> </w:t>
      </w:r>
      <w:r>
        <w:rPr>
          <w:sz w:val="18"/>
        </w:rPr>
        <w:t>groups,</w:t>
      </w:r>
      <w:r>
        <w:rPr>
          <w:spacing w:val="-6"/>
          <w:sz w:val="18"/>
        </w:rPr>
        <w:t xml:space="preserve"> </w:t>
      </w:r>
      <w:r>
        <w:rPr>
          <w:sz w:val="18"/>
        </w:rPr>
        <w:t>and</w:t>
      </w:r>
      <w:r>
        <w:rPr>
          <w:spacing w:val="-3"/>
          <w:sz w:val="18"/>
        </w:rPr>
        <w:t xml:space="preserve"> </w:t>
      </w:r>
      <w:r>
        <w:rPr>
          <w:sz w:val="18"/>
        </w:rPr>
        <w:t>the</w:t>
      </w:r>
      <w:r>
        <w:rPr>
          <w:spacing w:val="-5"/>
          <w:sz w:val="18"/>
        </w:rPr>
        <w:t xml:space="preserve"> </w:t>
      </w:r>
      <w:r>
        <w:rPr>
          <w:sz w:val="18"/>
        </w:rPr>
        <w:t>critical</w:t>
      </w:r>
      <w:r>
        <w:rPr>
          <w:spacing w:val="-4"/>
          <w:sz w:val="18"/>
        </w:rPr>
        <w:t xml:space="preserve"> </w:t>
      </w:r>
      <w:r>
        <w:rPr>
          <w:sz w:val="18"/>
        </w:rPr>
        <w:t>role</w:t>
      </w:r>
      <w:r>
        <w:rPr>
          <w:spacing w:val="-5"/>
          <w:sz w:val="18"/>
        </w:rPr>
        <w:t xml:space="preserve"> </w:t>
      </w:r>
      <w:r>
        <w:rPr>
          <w:sz w:val="18"/>
        </w:rPr>
        <w:t>of</w:t>
      </w:r>
      <w:r>
        <w:rPr>
          <w:spacing w:val="-3"/>
          <w:sz w:val="18"/>
        </w:rPr>
        <w:t xml:space="preserve"> </w:t>
      </w:r>
      <w:r>
        <w:rPr>
          <w:sz w:val="18"/>
        </w:rPr>
        <w:t>data</w:t>
      </w:r>
      <w:r>
        <w:rPr>
          <w:spacing w:val="-6"/>
          <w:sz w:val="18"/>
        </w:rPr>
        <w:t xml:space="preserve"> </w:t>
      </w:r>
      <w:r>
        <w:rPr>
          <w:sz w:val="18"/>
        </w:rPr>
        <w:t>in</w:t>
      </w:r>
      <w:r>
        <w:rPr>
          <w:spacing w:val="-5"/>
          <w:sz w:val="18"/>
        </w:rPr>
        <w:t xml:space="preserve"> </w:t>
      </w:r>
      <w:r>
        <w:rPr>
          <w:sz w:val="18"/>
        </w:rPr>
        <w:t>evidence-based planning.</w:t>
      </w:r>
      <w:r>
        <w:rPr>
          <w:spacing w:val="-8"/>
          <w:sz w:val="18"/>
        </w:rPr>
        <w:t xml:space="preserve"> </w:t>
      </w:r>
      <w:r>
        <w:rPr>
          <w:sz w:val="18"/>
        </w:rPr>
        <w:t>It</w:t>
      </w:r>
      <w:r>
        <w:rPr>
          <w:spacing w:val="-6"/>
          <w:sz w:val="18"/>
        </w:rPr>
        <w:t xml:space="preserve"> </w:t>
      </w:r>
      <w:r>
        <w:rPr>
          <w:sz w:val="18"/>
        </w:rPr>
        <w:t>stands</w:t>
      </w:r>
      <w:r>
        <w:rPr>
          <w:spacing w:val="-7"/>
          <w:sz w:val="18"/>
        </w:rPr>
        <w:t xml:space="preserve"> </w:t>
      </w:r>
      <w:r>
        <w:rPr>
          <w:sz w:val="18"/>
        </w:rPr>
        <w:t>as</w:t>
      </w:r>
      <w:r>
        <w:rPr>
          <w:spacing w:val="-9"/>
          <w:sz w:val="18"/>
        </w:rPr>
        <w:t xml:space="preserve"> </w:t>
      </w:r>
      <w:r>
        <w:rPr>
          <w:sz w:val="18"/>
        </w:rPr>
        <w:t>proof</w:t>
      </w:r>
      <w:r>
        <w:rPr>
          <w:spacing w:val="-8"/>
          <w:sz w:val="18"/>
        </w:rPr>
        <w:t xml:space="preserve"> </w:t>
      </w:r>
      <w:r>
        <w:rPr>
          <w:sz w:val="18"/>
        </w:rPr>
        <w:t>that</w:t>
      </w:r>
      <w:r>
        <w:rPr>
          <w:spacing w:val="-6"/>
          <w:sz w:val="18"/>
        </w:rPr>
        <w:t xml:space="preserve"> </w:t>
      </w:r>
      <w:r>
        <w:rPr>
          <w:sz w:val="18"/>
        </w:rPr>
        <w:t>a</w:t>
      </w:r>
      <w:r>
        <w:rPr>
          <w:spacing w:val="-10"/>
          <w:sz w:val="18"/>
        </w:rPr>
        <w:t xml:space="preserve"> </w:t>
      </w:r>
      <w:r>
        <w:rPr>
          <w:sz w:val="18"/>
        </w:rPr>
        <w:t>thoughtfully</w:t>
      </w:r>
      <w:r>
        <w:rPr>
          <w:spacing w:val="-7"/>
          <w:sz w:val="18"/>
        </w:rPr>
        <w:t xml:space="preserve"> </w:t>
      </w:r>
      <w:r>
        <w:rPr>
          <w:sz w:val="18"/>
        </w:rPr>
        <w:t>designed</w:t>
      </w:r>
      <w:r>
        <w:rPr>
          <w:spacing w:val="-9"/>
          <w:sz w:val="18"/>
        </w:rPr>
        <w:t xml:space="preserve"> </w:t>
      </w:r>
      <w:r>
        <w:rPr>
          <w:sz w:val="18"/>
        </w:rPr>
        <w:t>participatory</w:t>
      </w:r>
      <w:r>
        <w:rPr>
          <w:spacing w:val="-7"/>
          <w:sz w:val="18"/>
        </w:rPr>
        <w:t xml:space="preserve"> </w:t>
      </w:r>
      <w:r>
        <w:rPr>
          <w:sz w:val="18"/>
        </w:rPr>
        <w:t>approach</w:t>
      </w:r>
      <w:r>
        <w:rPr>
          <w:spacing w:val="-7"/>
          <w:sz w:val="18"/>
        </w:rPr>
        <w:t xml:space="preserve"> </w:t>
      </w:r>
      <w:r>
        <w:rPr>
          <w:sz w:val="18"/>
        </w:rPr>
        <w:t>can</w:t>
      </w:r>
      <w:r>
        <w:rPr>
          <w:spacing w:val="-7"/>
          <w:sz w:val="18"/>
        </w:rPr>
        <w:t xml:space="preserve"> </w:t>
      </w:r>
      <w:r>
        <w:rPr>
          <w:sz w:val="18"/>
        </w:rPr>
        <w:t>cultivate</w:t>
      </w:r>
      <w:r>
        <w:rPr>
          <w:spacing w:val="-9"/>
          <w:sz w:val="18"/>
        </w:rPr>
        <w:t xml:space="preserve"> </w:t>
      </w:r>
      <w:r>
        <w:rPr>
          <w:sz w:val="18"/>
        </w:rPr>
        <w:t>a</w:t>
      </w:r>
      <w:r>
        <w:rPr>
          <w:spacing w:val="-8"/>
          <w:sz w:val="18"/>
        </w:rPr>
        <w:t xml:space="preserve"> </w:t>
      </w:r>
      <w:r>
        <w:rPr>
          <w:sz w:val="18"/>
        </w:rPr>
        <w:t>shared</w:t>
      </w:r>
      <w:r>
        <w:rPr>
          <w:spacing w:val="-9"/>
          <w:sz w:val="18"/>
        </w:rPr>
        <w:t xml:space="preserve"> </w:t>
      </w:r>
      <w:r>
        <w:rPr>
          <w:sz w:val="18"/>
        </w:rPr>
        <w:t>space</w:t>
      </w:r>
      <w:r>
        <w:rPr>
          <w:spacing w:val="-7"/>
          <w:sz w:val="18"/>
        </w:rPr>
        <w:t xml:space="preserve"> </w:t>
      </w:r>
      <w:r>
        <w:rPr>
          <w:sz w:val="18"/>
        </w:rPr>
        <w:t>for</w:t>
      </w:r>
      <w:r>
        <w:rPr>
          <w:spacing w:val="-6"/>
          <w:sz w:val="18"/>
        </w:rPr>
        <w:t xml:space="preserve"> </w:t>
      </w:r>
      <w:r>
        <w:rPr>
          <w:sz w:val="18"/>
        </w:rPr>
        <w:t>learning.</w:t>
      </w:r>
    </w:p>
    <w:p w14:paraId="5E185B9F" w14:textId="77777777" w:rsidR="00BC24A8" w:rsidRDefault="00BC24A8">
      <w:pPr>
        <w:pStyle w:val="BodyText"/>
        <w:rPr>
          <w:sz w:val="18"/>
        </w:rPr>
      </w:pPr>
    </w:p>
    <w:p w14:paraId="677FD28D" w14:textId="77777777" w:rsidR="00BC24A8" w:rsidRDefault="00BC24A8">
      <w:pPr>
        <w:pStyle w:val="BodyText"/>
        <w:rPr>
          <w:sz w:val="18"/>
        </w:rPr>
      </w:pPr>
    </w:p>
    <w:p w14:paraId="2DBD6BBA" w14:textId="77777777" w:rsidR="00BC24A8" w:rsidRDefault="00BC24A8">
      <w:pPr>
        <w:pStyle w:val="BodyText"/>
        <w:spacing w:before="66"/>
        <w:rPr>
          <w:sz w:val="18"/>
        </w:rPr>
      </w:pPr>
    </w:p>
    <w:p w14:paraId="56DA85C0" w14:textId="77777777" w:rsidR="00BC24A8" w:rsidRDefault="00000000">
      <w:pPr>
        <w:ind w:left="745"/>
        <w:rPr>
          <w:rFonts w:ascii="Times New Roman"/>
          <w:b/>
          <w:i/>
          <w:sz w:val="18"/>
        </w:rPr>
      </w:pPr>
      <w:r>
        <w:rPr>
          <w:rFonts w:ascii="Times New Roman"/>
          <w:b/>
          <w:i/>
          <w:color w:val="17365A"/>
          <w:spacing w:val="-6"/>
          <w:sz w:val="18"/>
        </w:rPr>
        <w:t>This</w:t>
      </w:r>
      <w:r>
        <w:rPr>
          <w:rFonts w:ascii="Times New Roman"/>
          <w:b/>
          <w:i/>
          <w:color w:val="17365A"/>
          <w:spacing w:val="4"/>
          <w:sz w:val="18"/>
        </w:rPr>
        <w:t xml:space="preserve"> </w:t>
      </w:r>
      <w:r>
        <w:rPr>
          <w:rFonts w:ascii="Times New Roman"/>
          <w:b/>
          <w:i/>
          <w:color w:val="17365A"/>
          <w:spacing w:val="-6"/>
          <w:sz w:val="18"/>
        </w:rPr>
        <w:t>Musrenbang</w:t>
      </w:r>
      <w:r>
        <w:rPr>
          <w:rFonts w:ascii="Times New Roman"/>
          <w:b/>
          <w:i/>
          <w:color w:val="17365A"/>
          <w:spacing w:val="5"/>
          <w:sz w:val="18"/>
        </w:rPr>
        <w:t xml:space="preserve"> </w:t>
      </w:r>
      <w:r>
        <w:rPr>
          <w:rFonts w:ascii="Times New Roman"/>
          <w:b/>
          <w:i/>
          <w:color w:val="17365A"/>
          <w:spacing w:val="-6"/>
          <w:sz w:val="18"/>
        </w:rPr>
        <w:t>gives</w:t>
      </w:r>
      <w:r>
        <w:rPr>
          <w:rFonts w:ascii="Times New Roman"/>
          <w:b/>
          <w:i/>
          <w:color w:val="17365A"/>
          <w:spacing w:val="5"/>
          <w:sz w:val="18"/>
        </w:rPr>
        <w:t xml:space="preserve"> </w:t>
      </w:r>
      <w:r>
        <w:rPr>
          <w:rFonts w:ascii="Times New Roman"/>
          <w:b/>
          <w:i/>
          <w:color w:val="17365A"/>
          <w:spacing w:val="-6"/>
          <w:sz w:val="18"/>
        </w:rPr>
        <w:t>knowledge</w:t>
      </w:r>
    </w:p>
    <w:p w14:paraId="184A0605" w14:textId="77777777" w:rsidR="00BC24A8" w:rsidRDefault="00000000">
      <w:pPr>
        <w:spacing w:before="29"/>
        <w:ind w:left="745"/>
        <w:rPr>
          <w:i/>
          <w:sz w:val="18"/>
        </w:rPr>
      </w:pPr>
      <w:r>
        <w:rPr>
          <w:i/>
          <w:color w:val="17365A"/>
          <w:sz w:val="18"/>
        </w:rPr>
        <w:t>one</w:t>
      </w:r>
      <w:r>
        <w:rPr>
          <w:i/>
          <w:color w:val="17365A"/>
          <w:spacing w:val="-4"/>
          <w:sz w:val="18"/>
        </w:rPr>
        <w:t xml:space="preserve"> </w:t>
      </w:r>
      <w:r>
        <w:rPr>
          <w:i/>
          <w:color w:val="17365A"/>
          <w:sz w:val="18"/>
        </w:rPr>
        <w:t>of</w:t>
      </w:r>
      <w:r>
        <w:rPr>
          <w:i/>
          <w:color w:val="17365A"/>
          <w:spacing w:val="-3"/>
          <w:sz w:val="18"/>
        </w:rPr>
        <w:t xml:space="preserve"> </w:t>
      </w:r>
      <w:r>
        <w:rPr>
          <w:i/>
          <w:color w:val="17365A"/>
          <w:sz w:val="18"/>
        </w:rPr>
        <w:t>the</w:t>
      </w:r>
      <w:r>
        <w:rPr>
          <w:i/>
          <w:color w:val="17365A"/>
          <w:spacing w:val="-3"/>
          <w:sz w:val="18"/>
        </w:rPr>
        <w:t xml:space="preserve"> </w:t>
      </w:r>
      <w:r>
        <w:rPr>
          <w:i/>
          <w:color w:val="17365A"/>
          <w:sz w:val="18"/>
        </w:rPr>
        <w:t>participants</w:t>
      </w:r>
      <w:r>
        <w:rPr>
          <w:i/>
          <w:color w:val="17365A"/>
          <w:spacing w:val="-2"/>
          <w:sz w:val="18"/>
        </w:rPr>
        <w:t xml:space="preserve"> </w:t>
      </w:r>
      <w:r>
        <w:rPr>
          <w:i/>
          <w:color w:val="17365A"/>
          <w:sz w:val="18"/>
        </w:rPr>
        <w:t>of</w:t>
      </w:r>
      <w:r>
        <w:rPr>
          <w:i/>
          <w:color w:val="17365A"/>
          <w:spacing w:val="-3"/>
          <w:sz w:val="18"/>
        </w:rPr>
        <w:t xml:space="preserve"> </w:t>
      </w:r>
      <w:r>
        <w:rPr>
          <w:i/>
          <w:color w:val="17365A"/>
          <w:sz w:val="18"/>
        </w:rPr>
        <w:t>the</w:t>
      </w:r>
      <w:r>
        <w:rPr>
          <w:i/>
          <w:color w:val="17365A"/>
          <w:spacing w:val="-3"/>
          <w:sz w:val="18"/>
        </w:rPr>
        <w:t xml:space="preserve"> </w:t>
      </w:r>
      <w:r>
        <w:rPr>
          <w:i/>
          <w:color w:val="17365A"/>
          <w:spacing w:val="-4"/>
          <w:sz w:val="18"/>
        </w:rPr>
        <w:t>FGD.</w:t>
      </w:r>
    </w:p>
    <w:p w14:paraId="6AD5BD8A" w14:textId="77777777" w:rsidR="00BC24A8" w:rsidRDefault="00BC24A8">
      <w:pPr>
        <w:pStyle w:val="BodyText"/>
        <w:rPr>
          <w:i/>
          <w:sz w:val="18"/>
        </w:rPr>
      </w:pPr>
    </w:p>
    <w:p w14:paraId="24D53B2A" w14:textId="77777777" w:rsidR="00BC24A8" w:rsidRDefault="00BC24A8">
      <w:pPr>
        <w:pStyle w:val="BodyText"/>
        <w:rPr>
          <w:i/>
          <w:sz w:val="18"/>
        </w:rPr>
      </w:pPr>
    </w:p>
    <w:p w14:paraId="234B809E" w14:textId="77777777" w:rsidR="00BC24A8" w:rsidRDefault="00BC24A8">
      <w:pPr>
        <w:pStyle w:val="BodyText"/>
        <w:rPr>
          <w:i/>
          <w:sz w:val="18"/>
        </w:rPr>
      </w:pPr>
    </w:p>
    <w:p w14:paraId="2291F661" w14:textId="77777777" w:rsidR="00BC24A8" w:rsidRDefault="00BC24A8">
      <w:pPr>
        <w:pStyle w:val="BodyText"/>
        <w:spacing w:before="105"/>
        <w:rPr>
          <w:i/>
          <w:sz w:val="18"/>
        </w:rPr>
      </w:pPr>
    </w:p>
    <w:p w14:paraId="54A5BDEE" w14:textId="77777777" w:rsidR="00BC24A8" w:rsidRDefault="00000000">
      <w:pPr>
        <w:spacing w:line="290" w:lineRule="auto"/>
        <w:ind w:left="745" w:right="648"/>
        <w:rPr>
          <w:rFonts w:ascii="Times New Roman"/>
          <w:b/>
          <w:i/>
          <w:sz w:val="18"/>
        </w:rPr>
      </w:pPr>
      <w:r>
        <w:rPr>
          <w:rFonts w:ascii="Times New Roman"/>
          <w:b/>
          <w:i/>
          <w:color w:val="17365A"/>
          <w:sz w:val="18"/>
        </w:rPr>
        <w:t>I</w:t>
      </w:r>
      <w:r>
        <w:rPr>
          <w:rFonts w:ascii="Times New Roman"/>
          <w:b/>
          <w:i/>
          <w:color w:val="17365A"/>
          <w:spacing w:val="-3"/>
          <w:sz w:val="18"/>
        </w:rPr>
        <w:t xml:space="preserve"> </w:t>
      </w:r>
      <w:r>
        <w:rPr>
          <w:rFonts w:ascii="Times New Roman"/>
          <w:b/>
          <w:i/>
          <w:color w:val="17365A"/>
          <w:sz w:val="18"/>
        </w:rPr>
        <w:t>now</w:t>
      </w:r>
      <w:r>
        <w:rPr>
          <w:rFonts w:ascii="Times New Roman"/>
          <w:b/>
          <w:i/>
          <w:color w:val="17365A"/>
          <w:spacing w:val="-1"/>
          <w:sz w:val="18"/>
        </w:rPr>
        <w:t xml:space="preserve"> </w:t>
      </w:r>
      <w:r>
        <w:rPr>
          <w:rFonts w:ascii="Times New Roman"/>
          <w:b/>
          <w:i/>
          <w:color w:val="17365A"/>
          <w:sz w:val="18"/>
        </w:rPr>
        <w:t>have</w:t>
      </w:r>
      <w:r>
        <w:rPr>
          <w:rFonts w:ascii="Times New Roman"/>
          <w:b/>
          <w:i/>
          <w:color w:val="17365A"/>
          <w:spacing w:val="-3"/>
          <w:sz w:val="18"/>
        </w:rPr>
        <w:t xml:space="preserve"> </w:t>
      </w:r>
      <w:r>
        <w:rPr>
          <w:rFonts w:ascii="Times New Roman"/>
          <w:b/>
          <w:i/>
          <w:color w:val="17365A"/>
          <w:sz w:val="18"/>
        </w:rPr>
        <w:t>a</w:t>
      </w:r>
      <w:r>
        <w:rPr>
          <w:rFonts w:ascii="Times New Roman"/>
          <w:b/>
          <w:i/>
          <w:color w:val="17365A"/>
          <w:spacing w:val="-1"/>
          <w:sz w:val="18"/>
        </w:rPr>
        <w:t xml:space="preserve"> </w:t>
      </w:r>
      <w:r>
        <w:rPr>
          <w:rFonts w:ascii="Times New Roman"/>
          <w:b/>
          <w:i/>
          <w:color w:val="17365A"/>
          <w:sz w:val="18"/>
        </w:rPr>
        <w:t>better</w:t>
      </w:r>
      <w:r>
        <w:rPr>
          <w:rFonts w:ascii="Times New Roman"/>
          <w:b/>
          <w:i/>
          <w:color w:val="17365A"/>
          <w:spacing w:val="-1"/>
          <w:sz w:val="18"/>
        </w:rPr>
        <w:t xml:space="preserve"> </w:t>
      </w:r>
      <w:r>
        <w:rPr>
          <w:rFonts w:ascii="Times New Roman"/>
          <w:b/>
          <w:i/>
          <w:color w:val="17365A"/>
          <w:sz w:val="18"/>
        </w:rPr>
        <w:t>understanding</w:t>
      </w:r>
      <w:r>
        <w:rPr>
          <w:rFonts w:ascii="Times New Roman"/>
          <w:b/>
          <w:i/>
          <w:color w:val="17365A"/>
          <w:spacing w:val="-2"/>
          <w:sz w:val="18"/>
        </w:rPr>
        <w:t xml:space="preserve"> </w:t>
      </w:r>
      <w:r>
        <w:rPr>
          <w:rFonts w:ascii="Times New Roman"/>
          <w:b/>
          <w:i/>
          <w:color w:val="17365A"/>
          <w:sz w:val="18"/>
        </w:rPr>
        <w:t>of</w:t>
      </w:r>
      <w:r>
        <w:rPr>
          <w:rFonts w:ascii="Times New Roman"/>
          <w:b/>
          <w:i/>
          <w:color w:val="17365A"/>
          <w:spacing w:val="-1"/>
          <w:sz w:val="18"/>
        </w:rPr>
        <w:t xml:space="preserve"> </w:t>
      </w:r>
      <w:r>
        <w:rPr>
          <w:rFonts w:ascii="Times New Roman"/>
          <w:b/>
          <w:i/>
          <w:color w:val="17365A"/>
          <w:sz w:val="18"/>
        </w:rPr>
        <w:t>the</w:t>
      </w:r>
      <w:r>
        <w:rPr>
          <w:rFonts w:ascii="Times New Roman"/>
          <w:b/>
          <w:i/>
          <w:color w:val="17365A"/>
          <w:spacing w:val="-2"/>
          <w:sz w:val="18"/>
        </w:rPr>
        <w:t xml:space="preserve"> </w:t>
      </w:r>
      <w:r>
        <w:rPr>
          <w:rFonts w:ascii="Times New Roman"/>
          <w:b/>
          <w:i/>
          <w:color w:val="17365A"/>
          <w:sz w:val="18"/>
        </w:rPr>
        <w:t>concept</w:t>
      </w:r>
      <w:r>
        <w:rPr>
          <w:rFonts w:ascii="Times New Roman"/>
          <w:b/>
          <w:i/>
          <w:color w:val="17365A"/>
          <w:spacing w:val="-2"/>
          <w:sz w:val="18"/>
        </w:rPr>
        <w:t xml:space="preserve"> </w:t>
      </w:r>
      <w:r>
        <w:rPr>
          <w:rFonts w:ascii="Times New Roman"/>
          <w:b/>
          <w:i/>
          <w:color w:val="17365A"/>
          <w:sz w:val="18"/>
        </w:rPr>
        <w:t>of</w:t>
      </w:r>
      <w:r>
        <w:rPr>
          <w:rFonts w:ascii="Times New Roman"/>
          <w:b/>
          <w:i/>
          <w:color w:val="17365A"/>
          <w:spacing w:val="-1"/>
          <w:sz w:val="18"/>
        </w:rPr>
        <w:t xml:space="preserve"> </w:t>
      </w:r>
      <w:r>
        <w:rPr>
          <w:rFonts w:ascii="Times New Roman"/>
          <w:b/>
          <w:i/>
          <w:color w:val="17365A"/>
          <w:sz w:val="18"/>
        </w:rPr>
        <w:t>inclusion</w:t>
      </w:r>
      <w:r>
        <w:rPr>
          <w:rFonts w:ascii="Times New Roman"/>
          <w:b/>
          <w:i/>
          <w:color w:val="17365A"/>
          <w:spacing w:val="-1"/>
          <w:sz w:val="18"/>
        </w:rPr>
        <w:t xml:space="preserve"> </w:t>
      </w:r>
      <w:r>
        <w:rPr>
          <w:rFonts w:ascii="Times New Roman"/>
          <w:b/>
          <w:i/>
          <w:color w:val="17365A"/>
          <w:sz w:val="18"/>
        </w:rPr>
        <w:t>and</w:t>
      </w:r>
      <w:r>
        <w:rPr>
          <w:rFonts w:ascii="Times New Roman"/>
          <w:b/>
          <w:i/>
          <w:color w:val="17365A"/>
          <w:spacing w:val="-2"/>
          <w:sz w:val="18"/>
        </w:rPr>
        <w:t xml:space="preserve"> </w:t>
      </w:r>
      <w:r>
        <w:rPr>
          <w:rFonts w:ascii="Times New Roman"/>
          <w:b/>
          <w:i/>
          <w:color w:val="17365A"/>
          <w:sz w:val="18"/>
        </w:rPr>
        <w:t>the</w:t>
      </w:r>
      <w:r>
        <w:rPr>
          <w:rFonts w:ascii="Times New Roman"/>
          <w:b/>
          <w:i/>
          <w:color w:val="17365A"/>
          <w:spacing w:val="-2"/>
          <w:sz w:val="18"/>
        </w:rPr>
        <w:t xml:space="preserve"> </w:t>
      </w:r>
      <w:r>
        <w:rPr>
          <w:rFonts w:ascii="Times New Roman"/>
          <w:b/>
          <w:i/>
          <w:color w:val="17365A"/>
          <w:sz w:val="18"/>
        </w:rPr>
        <w:t>speciflc</w:t>
      </w:r>
      <w:r>
        <w:rPr>
          <w:rFonts w:ascii="Times New Roman"/>
          <w:b/>
          <w:i/>
          <w:color w:val="17365A"/>
          <w:spacing w:val="-2"/>
          <w:sz w:val="18"/>
        </w:rPr>
        <w:t xml:space="preserve"> </w:t>
      </w:r>
      <w:r>
        <w:rPr>
          <w:rFonts w:ascii="Times New Roman"/>
          <w:b/>
          <w:i/>
          <w:color w:val="17365A"/>
          <w:sz w:val="18"/>
        </w:rPr>
        <w:t>needs</w:t>
      </w:r>
      <w:r>
        <w:rPr>
          <w:rFonts w:ascii="Times New Roman"/>
          <w:b/>
          <w:i/>
          <w:color w:val="17365A"/>
          <w:spacing w:val="-2"/>
          <w:sz w:val="18"/>
        </w:rPr>
        <w:t xml:space="preserve"> </w:t>
      </w:r>
      <w:r>
        <w:rPr>
          <w:rFonts w:ascii="Times New Roman"/>
          <w:b/>
          <w:i/>
          <w:color w:val="17365A"/>
          <w:sz w:val="18"/>
        </w:rPr>
        <w:t>of</w:t>
      </w:r>
      <w:r>
        <w:rPr>
          <w:rFonts w:ascii="Times New Roman"/>
          <w:b/>
          <w:i/>
          <w:color w:val="17365A"/>
          <w:spacing w:val="-1"/>
          <w:sz w:val="18"/>
        </w:rPr>
        <w:t xml:space="preserve"> </w:t>
      </w:r>
      <w:r>
        <w:rPr>
          <w:rFonts w:ascii="Times New Roman"/>
          <w:b/>
          <w:i/>
          <w:color w:val="17365A"/>
          <w:sz w:val="18"/>
        </w:rPr>
        <w:t>women,</w:t>
      </w:r>
      <w:r>
        <w:rPr>
          <w:rFonts w:ascii="Times New Roman"/>
          <w:b/>
          <w:i/>
          <w:color w:val="17365A"/>
          <w:spacing w:val="-2"/>
          <w:sz w:val="18"/>
        </w:rPr>
        <w:t xml:space="preserve"> </w:t>
      </w:r>
      <w:r>
        <w:rPr>
          <w:rFonts w:ascii="Times New Roman"/>
          <w:b/>
          <w:i/>
          <w:color w:val="17365A"/>
          <w:sz w:val="18"/>
        </w:rPr>
        <w:t>the</w:t>
      </w:r>
      <w:r>
        <w:rPr>
          <w:rFonts w:ascii="Times New Roman"/>
          <w:b/>
          <w:i/>
          <w:color w:val="17365A"/>
          <w:spacing w:val="-3"/>
          <w:sz w:val="18"/>
        </w:rPr>
        <w:t xml:space="preserve"> </w:t>
      </w:r>
      <w:r>
        <w:rPr>
          <w:rFonts w:ascii="Times New Roman"/>
          <w:b/>
          <w:i/>
          <w:color w:val="17365A"/>
          <w:sz w:val="18"/>
        </w:rPr>
        <w:t>elderly, children, persons with disabilities, and migrant workers.</w:t>
      </w:r>
    </w:p>
    <w:p w14:paraId="7574335E" w14:textId="77777777" w:rsidR="00BC24A8" w:rsidRDefault="00000000">
      <w:pPr>
        <w:spacing w:line="203" w:lineRule="exact"/>
        <w:ind w:left="745"/>
        <w:rPr>
          <w:i/>
          <w:sz w:val="18"/>
        </w:rPr>
      </w:pPr>
      <w:r>
        <w:rPr>
          <w:i/>
          <w:color w:val="17365A"/>
          <w:sz w:val="18"/>
        </w:rPr>
        <w:t>Female,</w:t>
      </w:r>
      <w:r>
        <w:rPr>
          <w:i/>
          <w:color w:val="17365A"/>
          <w:spacing w:val="-5"/>
          <w:sz w:val="18"/>
        </w:rPr>
        <w:t xml:space="preserve"> </w:t>
      </w:r>
      <w:r>
        <w:rPr>
          <w:i/>
          <w:color w:val="17365A"/>
          <w:sz w:val="18"/>
        </w:rPr>
        <w:t>provincial</w:t>
      </w:r>
      <w:r>
        <w:rPr>
          <w:i/>
          <w:color w:val="17365A"/>
          <w:spacing w:val="-3"/>
          <w:sz w:val="18"/>
        </w:rPr>
        <w:t xml:space="preserve"> </w:t>
      </w:r>
      <w:r>
        <w:rPr>
          <w:i/>
          <w:color w:val="17365A"/>
          <w:sz w:val="18"/>
        </w:rPr>
        <w:t>government</w:t>
      </w:r>
      <w:r>
        <w:rPr>
          <w:i/>
          <w:color w:val="17365A"/>
          <w:spacing w:val="-4"/>
          <w:sz w:val="18"/>
        </w:rPr>
        <w:t xml:space="preserve"> </w:t>
      </w:r>
      <w:r>
        <w:rPr>
          <w:i/>
          <w:color w:val="17365A"/>
          <w:sz w:val="18"/>
        </w:rPr>
        <w:t>representative,</w:t>
      </w:r>
      <w:r>
        <w:rPr>
          <w:i/>
          <w:color w:val="17365A"/>
          <w:spacing w:val="-3"/>
          <w:sz w:val="18"/>
        </w:rPr>
        <w:t xml:space="preserve"> </w:t>
      </w:r>
      <w:r>
        <w:rPr>
          <w:i/>
          <w:color w:val="17365A"/>
          <w:sz w:val="18"/>
        </w:rPr>
        <w:t>from</w:t>
      </w:r>
      <w:r>
        <w:rPr>
          <w:i/>
          <w:color w:val="17365A"/>
          <w:spacing w:val="-4"/>
          <w:sz w:val="18"/>
        </w:rPr>
        <w:t xml:space="preserve"> </w:t>
      </w:r>
      <w:r>
        <w:rPr>
          <w:i/>
          <w:color w:val="17365A"/>
          <w:sz w:val="18"/>
        </w:rPr>
        <w:t>the</w:t>
      </w:r>
      <w:r>
        <w:rPr>
          <w:i/>
          <w:color w:val="17365A"/>
          <w:spacing w:val="-5"/>
          <w:sz w:val="18"/>
        </w:rPr>
        <w:t xml:space="preserve"> </w:t>
      </w:r>
      <w:r>
        <w:rPr>
          <w:i/>
          <w:color w:val="17365A"/>
          <w:sz w:val="18"/>
        </w:rPr>
        <w:t>results</w:t>
      </w:r>
      <w:r>
        <w:rPr>
          <w:i/>
          <w:color w:val="17365A"/>
          <w:spacing w:val="-4"/>
          <w:sz w:val="18"/>
        </w:rPr>
        <w:t xml:space="preserve"> </w:t>
      </w:r>
      <w:r>
        <w:rPr>
          <w:i/>
          <w:color w:val="17365A"/>
          <w:sz w:val="18"/>
        </w:rPr>
        <w:t>of</w:t>
      </w:r>
      <w:r>
        <w:rPr>
          <w:i/>
          <w:color w:val="17365A"/>
          <w:spacing w:val="-5"/>
          <w:sz w:val="18"/>
        </w:rPr>
        <w:t xml:space="preserve"> </w:t>
      </w:r>
      <w:r>
        <w:rPr>
          <w:i/>
          <w:color w:val="17365A"/>
          <w:sz w:val="18"/>
        </w:rPr>
        <w:t>the</w:t>
      </w:r>
      <w:r>
        <w:rPr>
          <w:i/>
          <w:color w:val="17365A"/>
          <w:spacing w:val="-5"/>
          <w:sz w:val="18"/>
        </w:rPr>
        <w:t xml:space="preserve"> </w:t>
      </w:r>
      <w:r>
        <w:rPr>
          <w:i/>
          <w:color w:val="17365A"/>
          <w:sz w:val="18"/>
        </w:rPr>
        <w:t>2025</w:t>
      </w:r>
      <w:r>
        <w:rPr>
          <w:i/>
          <w:color w:val="17365A"/>
          <w:spacing w:val="-4"/>
          <w:sz w:val="18"/>
        </w:rPr>
        <w:t xml:space="preserve"> </w:t>
      </w:r>
      <w:r>
        <w:rPr>
          <w:i/>
          <w:color w:val="17365A"/>
          <w:sz w:val="18"/>
        </w:rPr>
        <w:t>feedback</w:t>
      </w:r>
      <w:r>
        <w:rPr>
          <w:i/>
          <w:color w:val="17365A"/>
          <w:spacing w:val="-4"/>
          <w:sz w:val="18"/>
        </w:rPr>
        <w:t xml:space="preserve"> </w:t>
      </w:r>
      <w:r>
        <w:rPr>
          <w:i/>
          <w:color w:val="17365A"/>
          <w:spacing w:val="-2"/>
          <w:sz w:val="18"/>
        </w:rPr>
        <w:t>survey.</w:t>
      </w:r>
    </w:p>
    <w:p w14:paraId="05E38A2C" w14:textId="77777777" w:rsidR="00BC24A8" w:rsidRDefault="00BC24A8">
      <w:pPr>
        <w:pStyle w:val="BodyText"/>
        <w:rPr>
          <w:i/>
          <w:sz w:val="18"/>
        </w:rPr>
      </w:pPr>
    </w:p>
    <w:p w14:paraId="0538788E" w14:textId="77777777" w:rsidR="00BC24A8" w:rsidRDefault="00BC24A8">
      <w:pPr>
        <w:pStyle w:val="BodyText"/>
        <w:rPr>
          <w:i/>
          <w:sz w:val="18"/>
        </w:rPr>
      </w:pPr>
    </w:p>
    <w:p w14:paraId="62758666" w14:textId="77777777" w:rsidR="00BC24A8" w:rsidRDefault="00BC24A8">
      <w:pPr>
        <w:pStyle w:val="BodyText"/>
        <w:spacing w:before="43"/>
        <w:rPr>
          <w:i/>
          <w:sz w:val="18"/>
        </w:rPr>
      </w:pPr>
    </w:p>
    <w:p w14:paraId="51B1D457" w14:textId="77777777" w:rsidR="00BC24A8" w:rsidRDefault="00000000">
      <w:pPr>
        <w:ind w:left="395" w:right="757"/>
        <w:jc w:val="both"/>
        <w:rPr>
          <w:sz w:val="18"/>
        </w:rPr>
      </w:pPr>
      <w:r>
        <w:rPr>
          <w:sz w:val="18"/>
        </w:rPr>
        <w:t>Even so, there remains room for improvement. Some participants highlighted the need for clearer briefings on the objectives and expected outputs prior to the discussions, to ensure more focused and equitable participation.</w:t>
      </w:r>
    </w:p>
    <w:p w14:paraId="2E2BECEA" w14:textId="77777777" w:rsidR="00BC24A8" w:rsidRDefault="00000000">
      <w:pPr>
        <w:spacing w:before="160"/>
        <w:ind w:left="395" w:right="758"/>
        <w:jc w:val="both"/>
        <w:rPr>
          <w:sz w:val="18"/>
        </w:rPr>
      </w:pPr>
      <w:r>
        <w:rPr>
          <w:sz w:val="18"/>
        </w:rPr>
        <w:t>Today,</w:t>
      </w:r>
      <w:r>
        <w:rPr>
          <w:spacing w:val="-11"/>
          <w:sz w:val="18"/>
        </w:rPr>
        <w:t xml:space="preserve"> </w:t>
      </w:r>
      <w:r>
        <w:rPr>
          <w:sz w:val="18"/>
        </w:rPr>
        <w:t>the</w:t>
      </w:r>
      <w:r>
        <w:rPr>
          <w:spacing w:val="-9"/>
          <w:sz w:val="18"/>
        </w:rPr>
        <w:t xml:space="preserve"> </w:t>
      </w:r>
      <w:r>
        <w:rPr>
          <w:sz w:val="18"/>
        </w:rPr>
        <w:t>GEDSI</w:t>
      </w:r>
      <w:r>
        <w:rPr>
          <w:spacing w:val="-11"/>
          <w:sz w:val="18"/>
        </w:rPr>
        <w:t xml:space="preserve"> </w:t>
      </w:r>
      <w:r>
        <w:rPr>
          <w:sz w:val="18"/>
        </w:rPr>
        <w:t>Thematic</w:t>
      </w:r>
      <w:r>
        <w:rPr>
          <w:spacing w:val="-9"/>
          <w:sz w:val="18"/>
        </w:rPr>
        <w:t xml:space="preserve"> </w:t>
      </w:r>
      <w:r>
        <w:rPr>
          <w:i/>
          <w:sz w:val="18"/>
        </w:rPr>
        <w:t>Musrenbang</w:t>
      </w:r>
      <w:r>
        <w:rPr>
          <w:i/>
          <w:spacing w:val="-11"/>
          <w:sz w:val="18"/>
        </w:rPr>
        <w:t xml:space="preserve"> </w:t>
      </w:r>
      <w:r>
        <w:rPr>
          <w:sz w:val="18"/>
        </w:rPr>
        <w:t>is</w:t>
      </w:r>
      <w:r>
        <w:rPr>
          <w:spacing w:val="-9"/>
          <w:sz w:val="18"/>
        </w:rPr>
        <w:t xml:space="preserve"> </w:t>
      </w:r>
      <w:r>
        <w:rPr>
          <w:sz w:val="18"/>
        </w:rPr>
        <w:t>regarded</w:t>
      </w:r>
      <w:r>
        <w:rPr>
          <w:spacing w:val="-10"/>
          <w:sz w:val="18"/>
        </w:rPr>
        <w:t xml:space="preserve"> </w:t>
      </w:r>
      <w:r>
        <w:rPr>
          <w:sz w:val="18"/>
        </w:rPr>
        <w:t>as</w:t>
      </w:r>
      <w:r>
        <w:rPr>
          <w:spacing w:val="-10"/>
          <w:sz w:val="18"/>
        </w:rPr>
        <w:t xml:space="preserve"> </w:t>
      </w:r>
      <w:r>
        <w:rPr>
          <w:sz w:val="18"/>
        </w:rPr>
        <w:t>a</w:t>
      </w:r>
      <w:r>
        <w:rPr>
          <w:spacing w:val="-11"/>
          <w:sz w:val="18"/>
        </w:rPr>
        <w:t xml:space="preserve"> </w:t>
      </w:r>
      <w:r>
        <w:rPr>
          <w:sz w:val="18"/>
        </w:rPr>
        <w:t>good</w:t>
      </w:r>
      <w:r>
        <w:rPr>
          <w:spacing w:val="-7"/>
          <w:sz w:val="18"/>
        </w:rPr>
        <w:t xml:space="preserve"> </w:t>
      </w:r>
      <w:r>
        <w:rPr>
          <w:sz w:val="18"/>
        </w:rPr>
        <w:t>practice</w:t>
      </w:r>
      <w:r>
        <w:rPr>
          <w:spacing w:val="-10"/>
          <w:sz w:val="18"/>
        </w:rPr>
        <w:t xml:space="preserve"> </w:t>
      </w:r>
      <w:r>
        <w:rPr>
          <w:sz w:val="18"/>
        </w:rPr>
        <w:t>worthy</w:t>
      </w:r>
      <w:r>
        <w:rPr>
          <w:spacing w:val="-10"/>
          <w:sz w:val="18"/>
        </w:rPr>
        <w:t xml:space="preserve"> </w:t>
      </w:r>
      <w:r>
        <w:rPr>
          <w:sz w:val="18"/>
        </w:rPr>
        <w:t>of</w:t>
      </w:r>
      <w:r>
        <w:rPr>
          <w:spacing w:val="-11"/>
          <w:sz w:val="18"/>
        </w:rPr>
        <w:t xml:space="preserve"> </w:t>
      </w:r>
      <w:r>
        <w:rPr>
          <w:sz w:val="18"/>
        </w:rPr>
        <w:t>replication</w:t>
      </w:r>
      <w:r>
        <w:rPr>
          <w:spacing w:val="-9"/>
          <w:sz w:val="18"/>
        </w:rPr>
        <w:t xml:space="preserve"> </w:t>
      </w:r>
      <w:r>
        <w:rPr>
          <w:sz w:val="18"/>
        </w:rPr>
        <w:t>at</w:t>
      </w:r>
      <w:r>
        <w:rPr>
          <w:spacing w:val="-9"/>
          <w:sz w:val="18"/>
        </w:rPr>
        <w:t xml:space="preserve"> </w:t>
      </w:r>
      <w:r>
        <w:rPr>
          <w:sz w:val="18"/>
        </w:rPr>
        <w:t>the</w:t>
      </w:r>
      <w:r>
        <w:rPr>
          <w:spacing w:val="-10"/>
          <w:sz w:val="18"/>
        </w:rPr>
        <w:t xml:space="preserve"> </w:t>
      </w:r>
      <w:r>
        <w:rPr>
          <w:sz w:val="18"/>
        </w:rPr>
        <w:t>district</w:t>
      </w:r>
      <w:r>
        <w:rPr>
          <w:spacing w:val="-9"/>
          <w:sz w:val="18"/>
        </w:rPr>
        <w:t xml:space="preserve"> </w:t>
      </w:r>
      <w:r>
        <w:rPr>
          <w:sz w:val="18"/>
        </w:rPr>
        <w:t>and</w:t>
      </w:r>
      <w:r>
        <w:rPr>
          <w:spacing w:val="-10"/>
          <w:sz w:val="18"/>
        </w:rPr>
        <w:t xml:space="preserve"> </w:t>
      </w:r>
      <w:r>
        <w:rPr>
          <w:sz w:val="18"/>
        </w:rPr>
        <w:t>city</w:t>
      </w:r>
      <w:r>
        <w:rPr>
          <w:spacing w:val="-10"/>
          <w:sz w:val="18"/>
        </w:rPr>
        <w:t xml:space="preserve"> </w:t>
      </w:r>
      <w:r>
        <w:rPr>
          <w:sz w:val="18"/>
        </w:rPr>
        <w:t>levels, not</w:t>
      </w:r>
      <w:r>
        <w:rPr>
          <w:spacing w:val="-8"/>
          <w:sz w:val="18"/>
        </w:rPr>
        <w:t xml:space="preserve"> </w:t>
      </w:r>
      <w:r>
        <w:rPr>
          <w:sz w:val="18"/>
        </w:rPr>
        <w:t>merely</w:t>
      </w:r>
      <w:r>
        <w:rPr>
          <w:spacing w:val="-9"/>
          <w:sz w:val="18"/>
        </w:rPr>
        <w:t xml:space="preserve"> </w:t>
      </w:r>
      <w:r>
        <w:rPr>
          <w:sz w:val="18"/>
        </w:rPr>
        <w:t>as</w:t>
      </w:r>
      <w:r>
        <w:rPr>
          <w:spacing w:val="-9"/>
          <w:sz w:val="18"/>
        </w:rPr>
        <w:t xml:space="preserve"> </w:t>
      </w:r>
      <w:r>
        <w:rPr>
          <w:sz w:val="18"/>
        </w:rPr>
        <w:t>an</w:t>
      </w:r>
      <w:r>
        <w:rPr>
          <w:spacing w:val="-9"/>
          <w:sz w:val="18"/>
        </w:rPr>
        <w:t xml:space="preserve"> </w:t>
      </w:r>
      <w:r>
        <w:rPr>
          <w:sz w:val="18"/>
        </w:rPr>
        <w:t>annual</w:t>
      </w:r>
      <w:r>
        <w:rPr>
          <w:spacing w:val="-8"/>
          <w:sz w:val="18"/>
        </w:rPr>
        <w:t xml:space="preserve"> </w:t>
      </w:r>
      <w:r>
        <w:rPr>
          <w:sz w:val="18"/>
        </w:rPr>
        <w:t>event,</w:t>
      </w:r>
      <w:r>
        <w:rPr>
          <w:spacing w:val="-10"/>
          <w:sz w:val="18"/>
        </w:rPr>
        <w:t xml:space="preserve"> </w:t>
      </w:r>
      <w:r>
        <w:rPr>
          <w:sz w:val="18"/>
        </w:rPr>
        <w:t>but</w:t>
      </w:r>
      <w:r>
        <w:rPr>
          <w:spacing w:val="-8"/>
          <w:sz w:val="18"/>
        </w:rPr>
        <w:t xml:space="preserve"> </w:t>
      </w:r>
      <w:r>
        <w:rPr>
          <w:sz w:val="18"/>
        </w:rPr>
        <w:t>as</w:t>
      </w:r>
      <w:r>
        <w:rPr>
          <w:spacing w:val="-9"/>
          <w:sz w:val="18"/>
        </w:rPr>
        <w:t xml:space="preserve"> </w:t>
      </w:r>
      <w:r>
        <w:rPr>
          <w:sz w:val="18"/>
        </w:rPr>
        <w:t>a</w:t>
      </w:r>
      <w:r>
        <w:rPr>
          <w:spacing w:val="-10"/>
          <w:sz w:val="18"/>
        </w:rPr>
        <w:t xml:space="preserve"> </w:t>
      </w:r>
      <w:r>
        <w:rPr>
          <w:sz w:val="18"/>
        </w:rPr>
        <w:t>symbol</w:t>
      </w:r>
      <w:r>
        <w:rPr>
          <w:spacing w:val="-8"/>
          <w:sz w:val="18"/>
        </w:rPr>
        <w:t xml:space="preserve"> </w:t>
      </w:r>
      <w:r>
        <w:rPr>
          <w:sz w:val="18"/>
        </w:rPr>
        <w:t>of</w:t>
      </w:r>
      <w:r>
        <w:rPr>
          <w:spacing w:val="-10"/>
          <w:sz w:val="18"/>
        </w:rPr>
        <w:t xml:space="preserve"> </w:t>
      </w:r>
      <w:r>
        <w:rPr>
          <w:sz w:val="18"/>
        </w:rPr>
        <w:t>a</w:t>
      </w:r>
      <w:r>
        <w:rPr>
          <w:spacing w:val="-10"/>
          <w:sz w:val="18"/>
        </w:rPr>
        <w:t xml:space="preserve"> </w:t>
      </w:r>
      <w:r>
        <w:rPr>
          <w:sz w:val="18"/>
        </w:rPr>
        <w:t>shifting</w:t>
      </w:r>
      <w:r>
        <w:rPr>
          <w:spacing w:val="-10"/>
          <w:sz w:val="18"/>
        </w:rPr>
        <w:t xml:space="preserve"> </w:t>
      </w:r>
      <w:r>
        <w:rPr>
          <w:sz w:val="18"/>
        </w:rPr>
        <w:t>perspective:</w:t>
      </w:r>
      <w:r>
        <w:rPr>
          <w:spacing w:val="-8"/>
          <w:sz w:val="18"/>
        </w:rPr>
        <w:t xml:space="preserve"> </w:t>
      </w:r>
      <w:r>
        <w:rPr>
          <w:sz w:val="18"/>
        </w:rPr>
        <w:t>that</w:t>
      </w:r>
      <w:r>
        <w:rPr>
          <w:spacing w:val="-8"/>
          <w:sz w:val="18"/>
        </w:rPr>
        <w:t xml:space="preserve"> </w:t>
      </w:r>
      <w:r>
        <w:rPr>
          <w:sz w:val="18"/>
        </w:rPr>
        <w:t>effective</w:t>
      </w:r>
      <w:r>
        <w:rPr>
          <w:spacing w:val="-9"/>
          <w:sz w:val="18"/>
        </w:rPr>
        <w:t xml:space="preserve"> </w:t>
      </w:r>
      <w:r>
        <w:rPr>
          <w:sz w:val="18"/>
        </w:rPr>
        <w:t>development</w:t>
      </w:r>
      <w:r>
        <w:rPr>
          <w:spacing w:val="-8"/>
          <w:sz w:val="18"/>
        </w:rPr>
        <w:t xml:space="preserve"> </w:t>
      </w:r>
      <w:r>
        <w:rPr>
          <w:sz w:val="18"/>
        </w:rPr>
        <w:t>planning</w:t>
      </w:r>
      <w:r>
        <w:rPr>
          <w:spacing w:val="-10"/>
          <w:sz w:val="18"/>
        </w:rPr>
        <w:t xml:space="preserve"> </w:t>
      </w:r>
      <w:r>
        <w:rPr>
          <w:sz w:val="18"/>
        </w:rPr>
        <w:t>begins</w:t>
      </w:r>
      <w:r>
        <w:rPr>
          <w:spacing w:val="-9"/>
          <w:sz w:val="18"/>
        </w:rPr>
        <w:t xml:space="preserve"> </w:t>
      </w:r>
      <w:r>
        <w:rPr>
          <w:sz w:val="18"/>
        </w:rPr>
        <w:t>with listening to and truly understand those who have been least heard.</w:t>
      </w:r>
    </w:p>
    <w:p w14:paraId="662CA8A5" w14:textId="77777777" w:rsidR="00BC24A8" w:rsidRDefault="00BC24A8">
      <w:pPr>
        <w:pStyle w:val="BodyText"/>
        <w:rPr>
          <w:sz w:val="18"/>
        </w:rPr>
      </w:pPr>
    </w:p>
    <w:p w14:paraId="5A4EA166" w14:textId="77777777" w:rsidR="00BC24A8" w:rsidRDefault="00BC24A8">
      <w:pPr>
        <w:pStyle w:val="BodyText"/>
        <w:rPr>
          <w:sz w:val="18"/>
        </w:rPr>
      </w:pPr>
    </w:p>
    <w:p w14:paraId="1592AFA2" w14:textId="77777777" w:rsidR="00BC24A8" w:rsidRDefault="00BC24A8">
      <w:pPr>
        <w:pStyle w:val="BodyText"/>
        <w:spacing w:before="89"/>
        <w:rPr>
          <w:sz w:val="18"/>
        </w:rPr>
      </w:pPr>
    </w:p>
    <w:p w14:paraId="37688AB5" w14:textId="77777777" w:rsidR="00BC24A8" w:rsidRDefault="00000000">
      <w:pPr>
        <w:spacing w:line="292" w:lineRule="auto"/>
        <w:ind w:left="745" w:right="1116"/>
        <w:rPr>
          <w:rFonts w:ascii="Times New Roman"/>
          <w:b/>
          <w:i/>
          <w:sz w:val="18"/>
        </w:rPr>
      </w:pPr>
      <w:r>
        <w:rPr>
          <w:rFonts w:ascii="Times New Roman"/>
          <w:b/>
          <w:i/>
          <w:color w:val="17365A"/>
          <w:sz w:val="18"/>
        </w:rPr>
        <w:t>The</w:t>
      </w:r>
      <w:r>
        <w:rPr>
          <w:rFonts w:ascii="Times New Roman"/>
          <w:b/>
          <w:i/>
          <w:color w:val="17365A"/>
          <w:spacing w:val="-1"/>
          <w:sz w:val="18"/>
        </w:rPr>
        <w:t xml:space="preserve"> </w:t>
      </w:r>
      <w:r>
        <w:rPr>
          <w:rFonts w:ascii="Times New Roman"/>
          <w:b/>
          <w:i/>
          <w:color w:val="17365A"/>
          <w:sz w:val="18"/>
        </w:rPr>
        <w:t>GEDSI</w:t>
      </w:r>
      <w:r>
        <w:rPr>
          <w:rFonts w:ascii="Times New Roman"/>
          <w:b/>
          <w:i/>
          <w:color w:val="17365A"/>
          <w:spacing w:val="-1"/>
          <w:sz w:val="18"/>
        </w:rPr>
        <w:t xml:space="preserve"> </w:t>
      </w:r>
      <w:r>
        <w:rPr>
          <w:rFonts w:ascii="Times New Roman"/>
          <w:b/>
          <w:i/>
          <w:color w:val="17365A"/>
          <w:sz w:val="18"/>
        </w:rPr>
        <w:t>Thematic Musrenbang</w:t>
      </w:r>
      <w:r>
        <w:rPr>
          <w:rFonts w:ascii="Times New Roman"/>
          <w:b/>
          <w:i/>
          <w:color w:val="17365A"/>
          <w:spacing w:val="-1"/>
          <w:sz w:val="18"/>
        </w:rPr>
        <w:t xml:space="preserve"> </w:t>
      </w:r>
      <w:r>
        <w:rPr>
          <w:rFonts w:ascii="Times New Roman"/>
          <w:b/>
          <w:i/>
          <w:color w:val="17365A"/>
          <w:sz w:val="18"/>
        </w:rPr>
        <w:t>is</w:t>
      </w:r>
      <w:r>
        <w:rPr>
          <w:rFonts w:ascii="Times New Roman"/>
          <w:b/>
          <w:i/>
          <w:color w:val="17365A"/>
          <w:spacing w:val="-1"/>
          <w:sz w:val="18"/>
        </w:rPr>
        <w:t xml:space="preserve"> </w:t>
      </w:r>
      <w:r>
        <w:rPr>
          <w:rFonts w:ascii="Times New Roman"/>
          <w:b/>
          <w:i/>
          <w:color w:val="17365A"/>
          <w:sz w:val="18"/>
        </w:rPr>
        <w:t>a good program;</w:t>
      </w:r>
      <w:r>
        <w:rPr>
          <w:rFonts w:ascii="Times New Roman"/>
          <w:b/>
          <w:i/>
          <w:color w:val="17365A"/>
          <w:spacing w:val="-1"/>
          <w:sz w:val="18"/>
        </w:rPr>
        <w:t xml:space="preserve"> </w:t>
      </w:r>
      <w:r>
        <w:rPr>
          <w:rFonts w:ascii="Times New Roman"/>
          <w:b/>
          <w:i/>
          <w:color w:val="17365A"/>
          <w:sz w:val="18"/>
        </w:rPr>
        <w:t>hopefully we</w:t>
      </w:r>
      <w:r>
        <w:rPr>
          <w:rFonts w:ascii="Times New Roman"/>
          <w:b/>
          <w:i/>
          <w:color w:val="17365A"/>
          <w:spacing w:val="-1"/>
          <w:sz w:val="18"/>
        </w:rPr>
        <w:t xml:space="preserve"> </w:t>
      </w:r>
      <w:r>
        <w:rPr>
          <w:rFonts w:ascii="Times New Roman"/>
          <w:b/>
          <w:i/>
          <w:color w:val="17365A"/>
          <w:sz w:val="18"/>
        </w:rPr>
        <w:t>can continue</w:t>
      </w:r>
      <w:r>
        <w:rPr>
          <w:rFonts w:ascii="Times New Roman"/>
          <w:b/>
          <w:i/>
          <w:color w:val="17365A"/>
          <w:spacing w:val="-1"/>
          <w:sz w:val="18"/>
        </w:rPr>
        <w:t xml:space="preserve"> </w:t>
      </w:r>
      <w:r>
        <w:rPr>
          <w:rFonts w:ascii="Times New Roman"/>
          <w:b/>
          <w:i/>
          <w:color w:val="17365A"/>
          <w:sz w:val="18"/>
        </w:rPr>
        <w:t>to campaign this</w:t>
      </w:r>
      <w:r>
        <w:rPr>
          <w:rFonts w:ascii="Times New Roman"/>
          <w:b/>
          <w:i/>
          <w:color w:val="17365A"/>
          <w:spacing w:val="-1"/>
          <w:sz w:val="18"/>
        </w:rPr>
        <w:t xml:space="preserve"> </w:t>
      </w:r>
      <w:r>
        <w:rPr>
          <w:rFonts w:ascii="Times New Roman"/>
          <w:b/>
          <w:i/>
          <w:color w:val="17365A"/>
          <w:sz w:val="18"/>
        </w:rPr>
        <w:t>so that public understanding and awareness will be better.</w:t>
      </w:r>
    </w:p>
    <w:p w14:paraId="409E05B7" w14:textId="77777777" w:rsidR="00BC24A8" w:rsidRDefault="00000000">
      <w:pPr>
        <w:spacing w:line="201" w:lineRule="exact"/>
        <w:ind w:left="745"/>
        <w:rPr>
          <w:i/>
          <w:sz w:val="18"/>
        </w:rPr>
      </w:pPr>
      <w:r>
        <w:rPr>
          <w:i/>
          <w:color w:val="17365A"/>
          <w:sz w:val="18"/>
        </w:rPr>
        <w:t>Male,</w:t>
      </w:r>
      <w:r>
        <w:rPr>
          <w:i/>
          <w:color w:val="17365A"/>
          <w:spacing w:val="-4"/>
          <w:sz w:val="18"/>
        </w:rPr>
        <w:t xml:space="preserve"> </w:t>
      </w:r>
      <w:r>
        <w:rPr>
          <w:i/>
          <w:color w:val="17365A"/>
          <w:sz w:val="18"/>
        </w:rPr>
        <w:t>CSO</w:t>
      </w:r>
      <w:r>
        <w:rPr>
          <w:i/>
          <w:color w:val="17365A"/>
          <w:spacing w:val="-2"/>
          <w:sz w:val="18"/>
        </w:rPr>
        <w:t xml:space="preserve"> </w:t>
      </w:r>
      <w:r>
        <w:rPr>
          <w:i/>
          <w:color w:val="17365A"/>
          <w:sz w:val="18"/>
        </w:rPr>
        <w:t>representative,</w:t>
      </w:r>
      <w:r>
        <w:rPr>
          <w:i/>
          <w:color w:val="17365A"/>
          <w:spacing w:val="-3"/>
          <w:sz w:val="18"/>
        </w:rPr>
        <w:t xml:space="preserve"> </w:t>
      </w:r>
      <w:r>
        <w:rPr>
          <w:i/>
          <w:color w:val="17365A"/>
          <w:sz w:val="18"/>
        </w:rPr>
        <w:t>from</w:t>
      </w:r>
      <w:r>
        <w:rPr>
          <w:i/>
          <w:color w:val="17365A"/>
          <w:spacing w:val="-3"/>
          <w:sz w:val="18"/>
        </w:rPr>
        <w:t xml:space="preserve"> </w:t>
      </w:r>
      <w:r>
        <w:rPr>
          <w:i/>
          <w:color w:val="17365A"/>
          <w:sz w:val="18"/>
        </w:rPr>
        <w:t>the</w:t>
      </w:r>
      <w:r>
        <w:rPr>
          <w:i/>
          <w:color w:val="17365A"/>
          <w:spacing w:val="-3"/>
          <w:sz w:val="18"/>
        </w:rPr>
        <w:t xml:space="preserve"> </w:t>
      </w:r>
      <w:r>
        <w:rPr>
          <w:i/>
          <w:color w:val="17365A"/>
          <w:sz w:val="18"/>
        </w:rPr>
        <w:t>results</w:t>
      </w:r>
      <w:r>
        <w:rPr>
          <w:i/>
          <w:color w:val="17365A"/>
          <w:spacing w:val="-2"/>
          <w:sz w:val="18"/>
        </w:rPr>
        <w:t xml:space="preserve"> </w:t>
      </w:r>
      <w:r>
        <w:rPr>
          <w:i/>
          <w:color w:val="17365A"/>
          <w:sz w:val="18"/>
        </w:rPr>
        <w:t>of</w:t>
      </w:r>
      <w:r>
        <w:rPr>
          <w:i/>
          <w:color w:val="17365A"/>
          <w:spacing w:val="-4"/>
          <w:sz w:val="18"/>
        </w:rPr>
        <w:t xml:space="preserve"> </w:t>
      </w:r>
      <w:r>
        <w:rPr>
          <w:i/>
          <w:color w:val="17365A"/>
          <w:sz w:val="18"/>
        </w:rPr>
        <w:t>the</w:t>
      </w:r>
      <w:r>
        <w:rPr>
          <w:i/>
          <w:color w:val="17365A"/>
          <w:spacing w:val="-3"/>
          <w:sz w:val="18"/>
        </w:rPr>
        <w:t xml:space="preserve"> </w:t>
      </w:r>
      <w:r>
        <w:rPr>
          <w:i/>
          <w:color w:val="17365A"/>
          <w:sz w:val="18"/>
        </w:rPr>
        <w:t>2025</w:t>
      </w:r>
      <w:r>
        <w:rPr>
          <w:i/>
          <w:color w:val="17365A"/>
          <w:spacing w:val="-3"/>
          <w:sz w:val="18"/>
        </w:rPr>
        <w:t xml:space="preserve"> </w:t>
      </w:r>
      <w:r>
        <w:rPr>
          <w:i/>
          <w:color w:val="17365A"/>
          <w:sz w:val="18"/>
        </w:rPr>
        <w:t>feedback</w:t>
      </w:r>
      <w:r>
        <w:rPr>
          <w:i/>
          <w:color w:val="17365A"/>
          <w:spacing w:val="-3"/>
          <w:sz w:val="18"/>
        </w:rPr>
        <w:t xml:space="preserve"> </w:t>
      </w:r>
      <w:r>
        <w:rPr>
          <w:i/>
          <w:color w:val="17365A"/>
          <w:spacing w:val="-2"/>
          <w:sz w:val="18"/>
        </w:rPr>
        <w:t>survey.</w:t>
      </w:r>
    </w:p>
    <w:p w14:paraId="094E0DA8" w14:textId="77777777" w:rsidR="00BC24A8" w:rsidRDefault="00BC24A8">
      <w:pPr>
        <w:pStyle w:val="BodyText"/>
        <w:rPr>
          <w:i/>
          <w:sz w:val="18"/>
        </w:rPr>
      </w:pPr>
    </w:p>
    <w:p w14:paraId="126EA726" w14:textId="77777777" w:rsidR="00BC24A8" w:rsidRDefault="00BC24A8">
      <w:pPr>
        <w:pStyle w:val="BodyText"/>
        <w:rPr>
          <w:i/>
          <w:sz w:val="18"/>
        </w:rPr>
      </w:pPr>
    </w:p>
    <w:p w14:paraId="3A0F0A5D" w14:textId="77777777" w:rsidR="00BC24A8" w:rsidRDefault="00BC24A8">
      <w:pPr>
        <w:pStyle w:val="BodyText"/>
        <w:spacing w:before="43"/>
        <w:rPr>
          <w:i/>
          <w:sz w:val="18"/>
        </w:rPr>
      </w:pPr>
    </w:p>
    <w:p w14:paraId="6E0D560B" w14:textId="77777777" w:rsidR="00BC24A8" w:rsidRDefault="00000000">
      <w:pPr>
        <w:ind w:left="395" w:right="758"/>
        <w:jc w:val="both"/>
        <w:rPr>
          <w:i/>
          <w:sz w:val="18"/>
        </w:rPr>
      </w:pPr>
      <w:r>
        <w:rPr>
          <w:sz w:val="18"/>
        </w:rPr>
        <w:t xml:space="preserve">SKALA’s support is provided through technical recommendations and facilitation, covering all stages of the Thematic </w:t>
      </w:r>
      <w:r>
        <w:rPr>
          <w:i/>
          <w:sz w:val="18"/>
        </w:rPr>
        <w:t>Musrenbang</w:t>
      </w:r>
      <w:r>
        <w:rPr>
          <w:sz w:val="18"/>
        </w:rPr>
        <w:t xml:space="preserve">’s implementation. SKALA is involved from the design of activities, the formation and preparation of facilitator teams, and the compilation of CSO proposals, to the signing and submission of the minutes to the Head of </w:t>
      </w:r>
      <w:r>
        <w:rPr>
          <w:i/>
          <w:sz w:val="18"/>
        </w:rPr>
        <w:t xml:space="preserve">Bappeda </w:t>
      </w:r>
      <w:r>
        <w:rPr>
          <w:sz w:val="18"/>
        </w:rPr>
        <w:t xml:space="preserve">during the RPJMD Thematic </w:t>
      </w:r>
      <w:r>
        <w:rPr>
          <w:i/>
          <w:sz w:val="18"/>
        </w:rPr>
        <w:t>Musrenbang</w:t>
      </w:r>
      <w:r>
        <w:rPr>
          <w:sz w:val="18"/>
        </w:rPr>
        <w:t>. Overall, SKALA serves as both initiator and catalyst—bridging collaboration between local governments and civil society</w:t>
      </w:r>
      <w:r>
        <w:rPr>
          <w:spacing w:val="-1"/>
          <w:sz w:val="18"/>
        </w:rPr>
        <w:t xml:space="preserve"> </w:t>
      </w:r>
      <w:r>
        <w:rPr>
          <w:sz w:val="18"/>
        </w:rPr>
        <w:t>organisations (CSOs),</w:t>
      </w:r>
      <w:r>
        <w:rPr>
          <w:spacing w:val="-1"/>
          <w:sz w:val="18"/>
        </w:rPr>
        <w:t xml:space="preserve"> </w:t>
      </w:r>
      <w:r>
        <w:rPr>
          <w:sz w:val="18"/>
        </w:rPr>
        <w:t>enabling</w:t>
      </w:r>
      <w:r>
        <w:rPr>
          <w:spacing w:val="-1"/>
          <w:sz w:val="18"/>
        </w:rPr>
        <w:t xml:space="preserve"> </w:t>
      </w:r>
      <w:r>
        <w:rPr>
          <w:sz w:val="18"/>
        </w:rPr>
        <w:t xml:space="preserve">the first-ever implementation of the Thematic </w:t>
      </w:r>
      <w:r>
        <w:rPr>
          <w:i/>
          <w:sz w:val="18"/>
        </w:rPr>
        <w:t>Musrenbang.</w:t>
      </w:r>
    </w:p>
    <w:p w14:paraId="10AAD00C" w14:textId="77777777" w:rsidR="00BC24A8" w:rsidRDefault="00BC24A8">
      <w:pPr>
        <w:pStyle w:val="BodyText"/>
        <w:spacing w:before="127"/>
        <w:rPr>
          <w:i/>
          <w:sz w:val="20"/>
        </w:rPr>
      </w:pPr>
    </w:p>
    <w:p w14:paraId="03FC0D24" w14:textId="77777777" w:rsidR="00BC24A8" w:rsidRDefault="00000000">
      <w:pPr>
        <w:spacing w:line="243" w:lineRule="exact"/>
        <w:ind w:left="43" w:right="440"/>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2</w:t>
      </w:r>
      <w:r>
        <w:rPr>
          <w:spacing w:val="-15"/>
          <w:sz w:val="20"/>
        </w:rPr>
        <w:t xml:space="preserve"> </w:t>
      </w:r>
      <w:r>
        <w:rPr>
          <w:spacing w:val="-10"/>
          <w:sz w:val="20"/>
        </w:rPr>
        <w:t>:</w:t>
      </w:r>
    </w:p>
    <w:p w14:paraId="7790DB11" w14:textId="77777777" w:rsidR="00BC24A8" w:rsidRDefault="00000000">
      <w:pPr>
        <w:spacing w:line="243" w:lineRule="exact"/>
        <w:ind w:left="357" w:right="726"/>
        <w:jc w:val="center"/>
        <w:rPr>
          <w:rFonts w:ascii="Calibri"/>
          <w:b/>
          <w:sz w:val="20"/>
        </w:rPr>
      </w:pPr>
      <w:r>
        <w:rPr>
          <w:rFonts w:ascii="Calibri"/>
          <w:b/>
          <w:color w:val="17365A"/>
          <w:sz w:val="20"/>
        </w:rPr>
        <w:t>Strengthening</w:t>
      </w:r>
      <w:r>
        <w:rPr>
          <w:rFonts w:ascii="Calibri"/>
          <w:b/>
          <w:color w:val="17365A"/>
          <w:spacing w:val="-9"/>
          <w:sz w:val="20"/>
        </w:rPr>
        <w:t xml:space="preserve"> </w:t>
      </w:r>
      <w:r>
        <w:rPr>
          <w:rFonts w:ascii="Calibri"/>
          <w:b/>
          <w:color w:val="17365A"/>
          <w:sz w:val="20"/>
        </w:rPr>
        <w:t>the</w:t>
      </w:r>
      <w:r>
        <w:rPr>
          <w:rFonts w:ascii="Calibri"/>
          <w:b/>
          <w:color w:val="17365A"/>
          <w:spacing w:val="-7"/>
          <w:sz w:val="20"/>
        </w:rPr>
        <w:t xml:space="preserve"> </w:t>
      </w:r>
      <w:r>
        <w:rPr>
          <w:rFonts w:ascii="Calibri"/>
          <w:b/>
          <w:color w:val="17365A"/>
          <w:sz w:val="20"/>
        </w:rPr>
        <w:t>Role</w:t>
      </w:r>
      <w:r>
        <w:rPr>
          <w:rFonts w:ascii="Calibri"/>
          <w:b/>
          <w:color w:val="17365A"/>
          <w:spacing w:val="-8"/>
          <w:sz w:val="20"/>
        </w:rPr>
        <w:t xml:space="preserve"> </w:t>
      </w:r>
      <w:r>
        <w:rPr>
          <w:rFonts w:ascii="Calibri"/>
          <w:b/>
          <w:color w:val="17365A"/>
          <w:sz w:val="20"/>
        </w:rPr>
        <w:t>of</w:t>
      </w:r>
      <w:r>
        <w:rPr>
          <w:rFonts w:ascii="Calibri"/>
          <w:b/>
          <w:color w:val="17365A"/>
          <w:spacing w:val="-8"/>
          <w:sz w:val="20"/>
        </w:rPr>
        <w:t xml:space="preserve"> </w:t>
      </w:r>
      <w:r>
        <w:rPr>
          <w:rFonts w:ascii="Calibri"/>
          <w:b/>
          <w:color w:val="17365A"/>
          <w:sz w:val="20"/>
        </w:rPr>
        <w:t>Regional</w:t>
      </w:r>
      <w:r>
        <w:rPr>
          <w:rFonts w:ascii="Calibri"/>
          <w:b/>
          <w:color w:val="17365A"/>
          <w:spacing w:val="-9"/>
          <w:sz w:val="20"/>
        </w:rPr>
        <w:t xml:space="preserve"> </w:t>
      </w:r>
      <w:r>
        <w:rPr>
          <w:rFonts w:ascii="Calibri"/>
          <w:b/>
          <w:color w:val="17365A"/>
          <w:sz w:val="20"/>
        </w:rPr>
        <w:t>Development</w:t>
      </w:r>
      <w:r>
        <w:rPr>
          <w:rFonts w:ascii="Calibri"/>
          <w:b/>
          <w:color w:val="17365A"/>
          <w:spacing w:val="-7"/>
          <w:sz w:val="20"/>
        </w:rPr>
        <w:t xml:space="preserve"> </w:t>
      </w:r>
      <w:r>
        <w:rPr>
          <w:rFonts w:ascii="Calibri"/>
          <w:b/>
          <w:color w:val="17365A"/>
          <w:sz w:val="20"/>
        </w:rPr>
        <w:t>Planning</w:t>
      </w:r>
      <w:r>
        <w:rPr>
          <w:rFonts w:ascii="Calibri"/>
          <w:b/>
          <w:color w:val="17365A"/>
          <w:spacing w:val="-7"/>
          <w:sz w:val="20"/>
        </w:rPr>
        <w:t xml:space="preserve"> </w:t>
      </w:r>
      <w:r>
        <w:rPr>
          <w:rFonts w:ascii="Calibri"/>
          <w:b/>
          <w:color w:val="17365A"/>
          <w:sz w:val="20"/>
        </w:rPr>
        <w:t>Agency</w:t>
      </w:r>
      <w:r>
        <w:rPr>
          <w:rFonts w:ascii="Calibri"/>
          <w:b/>
          <w:color w:val="17365A"/>
          <w:spacing w:val="-8"/>
          <w:sz w:val="20"/>
        </w:rPr>
        <w:t xml:space="preserve"> </w:t>
      </w:r>
      <w:r>
        <w:rPr>
          <w:rFonts w:ascii="Calibri"/>
          <w:b/>
          <w:color w:val="17365A"/>
          <w:sz w:val="20"/>
        </w:rPr>
        <w:t>(</w:t>
      </w:r>
      <w:r>
        <w:rPr>
          <w:rFonts w:ascii="Calibri"/>
          <w:b/>
          <w:i/>
          <w:color w:val="17365A"/>
          <w:sz w:val="20"/>
        </w:rPr>
        <w:t>Bappeda</w:t>
      </w:r>
      <w:r>
        <w:rPr>
          <w:rFonts w:ascii="Calibri"/>
          <w:b/>
          <w:color w:val="17365A"/>
          <w:sz w:val="20"/>
        </w:rPr>
        <w:t>)</w:t>
      </w:r>
      <w:r>
        <w:rPr>
          <w:rFonts w:ascii="Calibri"/>
          <w:b/>
          <w:color w:val="17365A"/>
          <w:spacing w:val="-8"/>
          <w:sz w:val="20"/>
        </w:rPr>
        <w:t xml:space="preserve"> </w:t>
      </w:r>
      <w:r>
        <w:rPr>
          <w:rFonts w:ascii="Calibri"/>
          <w:b/>
          <w:color w:val="17365A"/>
          <w:sz w:val="20"/>
        </w:rPr>
        <w:t>in</w:t>
      </w:r>
      <w:r>
        <w:rPr>
          <w:rFonts w:ascii="Calibri"/>
          <w:b/>
          <w:color w:val="17365A"/>
          <w:spacing w:val="-7"/>
          <w:sz w:val="20"/>
        </w:rPr>
        <w:t xml:space="preserve"> </w:t>
      </w:r>
      <w:r>
        <w:rPr>
          <w:rFonts w:ascii="Calibri"/>
          <w:b/>
          <w:color w:val="17365A"/>
          <w:sz w:val="20"/>
        </w:rPr>
        <w:t>the</w:t>
      </w:r>
      <w:r>
        <w:rPr>
          <w:rFonts w:ascii="Calibri"/>
          <w:b/>
          <w:color w:val="17365A"/>
          <w:spacing w:val="-7"/>
          <w:sz w:val="20"/>
        </w:rPr>
        <w:t xml:space="preserve"> </w:t>
      </w:r>
      <w:r>
        <w:rPr>
          <w:rFonts w:ascii="Calibri"/>
          <w:b/>
          <w:color w:val="17365A"/>
          <w:spacing w:val="-5"/>
          <w:sz w:val="20"/>
        </w:rPr>
        <w:t>NTB</w:t>
      </w:r>
    </w:p>
    <w:p w14:paraId="0B3115D6" w14:textId="77777777" w:rsidR="00BC24A8" w:rsidRDefault="00000000">
      <w:pPr>
        <w:spacing w:before="1"/>
        <w:ind w:left="74" w:right="440"/>
        <w:jc w:val="center"/>
        <w:rPr>
          <w:rFonts w:ascii="Calibri"/>
          <w:b/>
          <w:sz w:val="20"/>
        </w:rPr>
      </w:pPr>
      <w:r>
        <w:rPr>
          <w:rFonts w:ascii="Calibri"/>
          <w:b/>
          <w:color w:val="17365A"/>
          <w:sz w:val="20"/>
        </w:rPr>
        <w:t>One</w:t>
      </w:r>
      <w:r>
        <w:rPr>
          <w:rFonts w:ascii="Calibri"/>
          <w:b/>
          <w:color w:val="17365A"/>
          <w:spacing w:val="-7"/>
          <w:sz w:val="20"/>
        </w:rPr>
        <w:t xml:space="preserve"> </w:t>
      </w:r>
      <w:r>
        <w:rPr>
          <w:rFonts w:ascii="Calibri"/>
          <w:b/>
          <w:color w:val="17365A"/>
          <w:sz w:val="20"/>
        </w:rPr>
        <w:t>Data</w:t>
      </w:r>
      <w:r>
        <w:rPr>
          <w:rFonts w:ascii="Calibri"/>
          <w:b/>
          <w:color w:val="17365A"/>
          <w:spacing w:val="-7"/>
          <w:sz w:val="20"/>
        </w:rPr>
        <w:t xml:space="preserve"> </w:t>
      </w:r>
      <w:r>
        <w:rPr>
          <w:rFonts w:ascii="Calibri"/>
          <w:b/>
          <w:color w:val="17365A"/>
          <w:spacing w:val="-2"/>
          <w:sz w:val="20"/>
        </w:rPr>
        <w:t>Forum</w:t>
      </w:r>
    </w:p>
    <w:p w14:paraId="751F738D" w14:textId="77777777" w:rsidR="00BC24A8" w:rsidRDefault="00000000">
      <w:pPr>
        <w:spacing w:before="171"/>
        <w:ind w:left="395" w:right="758"/>
        <w:jc w:val="both"/>
        <w:rPr>
          <w:sz w:val="18"/>
        </w:rPr>
      </w:pPr>
      <w:r>
        <w:rPr>
          <w:sz w:val="18"/>
        </w:rPr>
        <w:t>Since</w:t>
      </w:r>
      <w:r>
        <w:rPr>
          <w:spacing w:val="-11"/>
          <w:sz w:val="18"/>
        </w:rPr>
        <w:t xml:space="preserve"> </w:t>
      </w:r>
      <w:r>
        <w:rPr>
          <w:sz w:val="18"/>
        </w:rPr>
        <w:t>the</w:t>
      </w:r>
      <w:r>
        <w:rPr>
          <w:spacing w:val="-10"/>
          <w:sz w:val="18"/>
        </w:rPr>
        <w:t xml:space="preserve"> </w:t>
      </w:r>
      <w:r>
        <w:rPr>
          <w:sz w:val="18"/>
        </w:rPr>
        <w:t>establishment</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Data</w:t>
      </w:r>
      <w:r>
        <w:rPr>
          <w:spacing w:val="-10"/>
          <w:sz w:val="18"/>
        </w:rPr>
        <w:t xml:space="preserve"> </w:t>
      </w:r>
      <w:r>
        <w:rPr>
          <w:sz w:val="18"/>
        </w:rPr>
        <w:t>Management</w:t>
      </w:r>
      <w:r>
        <w:rPr>
          <w:spacing w:val="-8"/>
          <w:sz w:val="18"/>
        </w:rPr>
        <w:t xml:space="preserve"> </w:t>
      </w:r>
      <w:r>
        <w:rPr>
          <w:sz w:val="18"/>
        </w:rPr>
        <w:t>Team</w:t>
      </w:r>
      <w:r>
        <w:rPr>
          <w:spacing w:val="-10"/>
          <w:sz w:val="18"/>
        </w:rPr>
        <w:t xml:space="preserve"> </w:t>
      </w:r>
      <w:r>
        <w:rPr>
          <w:sz w:val="18"/>
        </w:rPr>
        <w:t>by</w:t>
      </w:r>
      <w:r>
        <w:rPr>
          <w:spacing w:val="-9"/>
          <w:sz w:val="18"/>
        </w:rPr>
        <w:t xml:space="preserve"> </w:t>
      </w:r>
      <w:r>
        <w:rPr>
          <w:sz w:val="18"/>
        </w:rPr>
        <w:t>the</w:t>
      </w:r>
      <w:r>
        <w:rPr>
          <w:spacing w:val="-11"/>
          <w:sz w:val="18"/>
        </w:rPr>
        <w:t xml:space="preserve"> </w:t>
      </w:r>
      <w:r>
        <w:rPr>
          <w:i/>
          <w:sz w:val="18"/>
        </w:rPr>
        <w:t>Diskominfo</w:t>
      </w:r>
      <w:r>
        <w:rPr>
          <w:i/>
          <w:spacing w:val="-8"/>
          <w:sz w:val="18"/>
        </w:rPr>
        <w:t xml:space="preserve"> </w:t>
      </w:r>
      <w:r>
        <w:rPr>
          <w:sz w:val="18"/>
        </w:rPr>
        <w:t>in</w:t>
      </w:r>
      <w:r>
        <w:rPr>
          <w:spacing w:val="-11"/>
          <w:sz w:val="18"/>
        </w:rPr>
        <w:t xml:space="preserve"> </w:t>
      </w:r>
      <w:r>
        <w:rPr>
          <w:sz w:val="18"/>
        </w:rPr>
        <w:t>2019,</w:t>
      </w:r>
      <w:r>
        <w:rPr>
          <w:spacing w:val="-9"/>
          <w:sz w:val="18"/>
        </w:rPr>
        <w:t xml:space="preserve"> </w:t>
      </w:r>
      <w:r>
        <w:rPr>
          <w:sz w:val="18"/>
        </w:rPr>
        <w:t>and</w:t>
      </w:r>
      <w:r>
        <w:rPr>
          <w:spacing w:val="-9"/>
          <w:sz w:val="18"/>
        </w:rPr>
        <w:t xml:space="preserve"> </w:t>
      </w:r>
      <w:r>
        <w:rPr>
          <w:sz w:val="18"/>
        </w:rPr>
        <w:t>the</w:t>
      </w:r>
      <w:r>
        <w:rPr>
          <w:spacing w:val="-11"/>
          <w:sz w:val="18"/>
        </w:rPr>
        <w:t xml:space="preserve"> </w:t>
      </w:r>
      <w:r>
        <w:rPr>
          <w:sz w:val="18"/>
        </w:rPr>
        <w:t>issuance</w:t>
      </w:r>
      <w:r>
        <w:rPr>
          <w:spacing w:val="-8"/>
          <w:sz w:val="18"/>
        </w:rPr>
        <w:t xml:space="preserve"> </w:t>
      </w:r>
      <w:r>
        <w:rPr>
          <w:sz w:val="18"/>
        </w:rPr>
        <w:t>of</w:t>
      </w:r>
      <w:r>
        <w:rPr>
          <w:spacing w:val="-10"/>
          <w:sz w:val="18"/>
        </w:rPr>
        <w:t xml:space="preserve"> </w:t>
      </w:r>
      <w:r>
        <w:rPr>
          <w:sz w:val="18"/>
        </w:rPr>
        <w:t>the</w:t>
      </w:r>
      <w:r>
        <w:rPr>
          <w:spacing w:val="-9"/>
          <w:sz w:val="18"/>
        </w:rPr>
        <w:t xml:space="preserve"> </w:t>
      </w:r>
      <w:r>
        <w:rPr>
          <w:sz w:val="18"/>
        </w:rPr>
        <w:t>NTB</w:t>
      </w:r>
      <w:r>
        <w:rPr>
          <w:spacing w:val="-10"/>
          <w:sz w:val="18"/>
        </w:rPr>
        <w:t xml:space="preserve"> </w:t>
      </w:r>
      <w:r>
        <w:rPr>
          <w:sz w:val="18"/>
        </w:rPr>
        <w:t>One</w:t>
      </w:r>
      <w:r>
        <w:rPr>
          <w:spacing w:val="-11"/>
          <w:sz w:val="18"/>
        </w:rPr>
        <w:t xml:space="preserve"> </w:t>
      </w:r>
      <w:r>
        <w:rPr>
          <w:sz w:val="18"/>
        </w:rPr>
        <w:t xml:space="preserve">Data </w:t>
      </w:r>
      <w:r>
        <w:rPr>
          <w:spacing w:val="-2"/>
          <w:sz w:val="18"/>
        </w:rPr>
        <w:t>Forum Decree in</w:t>
      </w:r>
      <w:r>
        <w:rPr>
          <w:spacing w:val="-4"/>
          <w:sz w:val="18"/>
        </w:rPr>
        <w:t xml:space="preserve"> </w:t>
      </w:r>
      <w:r>
        <w:rPr>
          <w:spacing w:val="-2"/>
          <w:sz w:val="18"/>
        </w:rPr>
        <w:t>2022, the</w:t>
      </w:r>
      <w:r>
        <w:rPr>
          <w:spacing w:val="-4"/>
          <w:sz w:val="18"/>
        </w:rPr>
        <w:t xml:space="preserve"> </w:t>
      </w:r>
      <w:r>
        <w:rPr>
          <w:spacing w:val="-2"/>
          <w:sz w:val="18"/>
        </w:rPr>
        <w:t>forum’s coordination role has</w:t>
      </w:r>
      <w:r>
        <w:rPr>
          <w:spacing w:val="-4"/>
          <w:sz w:val="18"/>
        </w:rPr>
        <w:t xml:space="preserve"> </w:t>
      </w:r>
      <w:r>
        <w:rPr>
          <w:spacing w:val="-2"/>
          <w:sz w:val="18"/>
        </w:rPr>
        <w:t>largely been carried out</w:t>
      </w:r>
      <w:r>
        <w:rPr>
          <w:spacing w:val="-3"/>
          <w:sz w:val="18"/>
        </w:rPr>
        <w:t xml:space="preserve"> </w:t>
      </w:r>
      <w:r>
        <w:rPr>
          <w:spacing w:val="-2"/>
          <w:sz w:val="18"/>
        </w:rPr>
        <w:t>by</w:t>
      </w:r>
      <w:r>
        <w:rPr>
          <w:spacing w:val="-4"/>
          <w:sz w:val="18"/>
        </w:rPr>
        <w:t xml:space="preserve"> </w:t>
      </w:r>
      <w:r>
        <w:rPr>
          <w:spacing w:val="-2"/>
          <w:sz w:val="18"/>
        </w:rPr>
        <w:t>the</w:t>
      </w:r>
      <w:r>
        <w:rPr>
          <w:spacing w:val="-5"/>
          <w:sz w:val="18"/>
        </w:rPr>
        <w:t xml:space="preserve"> </w:t>
      </w:r>
      <w:r>
        <w:rPr>
          <w:i/>
          <w:spacing w:val="-2"/>
          <w:sz w:val="18"/>
        </w:rPr>
        <w:t>Diskominfotik</w:t>
      </w:r>
      <w:r>
        <w:rPr>
          <w:spacing w:val="-2"/>
          <w:sz w:val="18"/>
        </w:rPr>
        <w:t>. In fact, regulations</w:t>
      </w:r>
      <w:r>
        <w:rPr>
          <w:sz w:val="18"/>
        </w:rPr>
        <w:t xml:space="preserve"> assign coordination responsibility to </w:t>
      </w:r>
      <w:r>
        <w:rPr>
          <w:i/>
          <w:sz w:val="18"/>
        </w:rPr>
        <w:t>Bappeda</w:t>
      </w:r>
      <w:r>
        <w:rPr>
          <w:sz w:val="18"/>
        </w:rPr>
        <w:t>. However, in practice, Bappeda has only participated in the forum as a resource person or attendee, not to lead the forum.</w:t>
      </w:r>
    </w:p>
    <w:p w14:paraId="52A0ECFF" w14:textId="77777777" w:rsidR="00BC24A8" w:rsidRDefault="00BC24A8">
      <w:pPr>
        <w:pStyle w:val="BodyText"/>
        <w:rPr>
          <w:sz w:val="18"/>
        </w:rPr>
      </w:pPr>
    </w:p>
    <w:p w14:paraId="02B0C762" w14:textId="77777777" w:rsidR="00BC24A8" w:rsidRDefault="00BC24A8">
      <w:pPr>
        <w:pStyle w:val="BodyText"/>
        <w:spacing w:before="115"/>
        <w:rPr>
          <w:sz w:val="18"/>
        </w:rPr>
      </w:pPr>
    </w:p>
    <w:p w14:paraId="52DDBEC9" w14:textId="77777777" w:rsidR="00BC24A8" w:rsidRDefault="00000000">
      <w:pPr>
        <w:spacing w:line="290" w:lineRule="auto"/>
        <w:ind w:left="822" w:right="1031"/>
        <w:jc w:val="both"/>
        <w:rPr>
          <w:rFonts w:ascii="Times New Roman" w:hAnsi="Times New Roman"/>
          <w:b/>
          <w:i/>
          <w:sz w:val="18"/>
        </w:rPr>
      </w:pPr>
      <w:r>
        <w:rPr>
          <w:rFonts w:ascii="Times New Roman" w:hAnsi="Times New Roman"/>
          <w:b/>
          <w:i/>
          <w:color w:val="17365A"/>
          <w:sz w:val="18"/>
        </w:rPr>
        <w:t>... the</w:t>
      </w:r>
      <w:r>
        <w:rPr>
          <w:rFonts w:ascii="Times New Roman" w:hAnsi="Times New Roman"/>
          <w:b/>
          <w:i/>
          <w:color w:val="17365A"/>
          <w:spacing w:val="-2"/>
          <w:sz w:val="18"/>
        </w:rPr>
        <w:t xml:space="preserve"> </w:t>
      </w:r>
      <w:r>
        <w:rPr>
          <w:rFonts w:ascii="Times New Roman" w:hAnsi="Times New Roman"/>
          <w:b/>
          <w:i/>
          <w:color w:val="17365A"/>
          <w:sz w:val="18"/>
        </w:rPr>
        <w:t>flrst</w:t>
      </w:r>
      <w:r>
        <w:rPr>
          <w:rFonts w:ascii="Times New Roman" w:hAnsi="Times New Roman"/>
          <w:b/>
          <w:i/>
          <w:color w:val="17365A"/>
          <w:spacing w:val="-1"/>
          <w:sz w:val="18"/>
        </w:rPr>
        <w:t xml:space="preserve"> </w:t>
      </w:r>
      <w:r>
        <w:rPr>
          <w:rFonts w:ascii="Times New Roman" w:hAnsi="Times New Roman"/>
          <w:b/>
          <w:i/>
          <w:color w:val="17365A"/>
          <w:sz w:val="18"/>
        </w:rPr>
        <w:t>meeting truly</w:t>
      </w:r>
      <w:r>
        <w:rPr>
          <w:rFonts w:ascii="Times New Roman" w:hAnsi="Times New Roman"/>
          <w:b/>
          <w:i/>
          <w:color w:val="17365A"/>
          <w:spacing w:val="-1"/>
          <w:sz w:val="18"/>
        </w:rPr>
        <w:t xml:space="preserve"> </w:t>
      </w:r>
      <w:r>
        <w:rPr>
          <w:rFonts w:ascii="Times New Roman" w:hAnsi="Times New Roman"/>
          <w:b/>
          <w:i/>
          <w:color w:val="17365A"/>
          <w:sz w:val="18"/>
        </w:rPr>
        <w:t>led</w:t>
      </w:r>
      <w:r>
        <w:rPr>
          <w:rFonts w:ascii="Times New Roman" w:hAnsi="Times New Roman"/>
          <w:b/>
          <w:i/>
          <w:color w:val="17365A"/>
          <w:spacing w:val="-1"/>
          <w:sz w:val="18"/>
        </w:rPr>
        <w:t xml:space="preserve"> </w:t>
      </w:r>
      <w:r>
        <w:rPr>
          <w:rFonts w:ascii="Times New Roman" w:hAnsi="Times New Roman"/>
          <w:b/>
          <w:i/>
          <w:color w:val="17365A"/>
          <w:sz w:val="18"/>
        </w:rPr>
        <w:t>by</w:t>
      </w:r>
      <w:r>
        <w:rPr>
          <w:rFonts w:ascii="Times New Roman" w:hAnsi="Times New Roman"/>
          <w:b/>
          <w:i/>
          <w:color w:val="17365A"/>
          <w:spacing w:val="-1"/>
          <w:sz w:val="18"/>
        </w:rPr>
        <w:t xml:space="preserve"> </w:t>
      </w:r>
      <w:r>
        <w:rPr>
          <w:rFonts w:ascii="Times New Roman" w:hAnsi="Times New Roman"/>
          <w:b/>
          <w:i/>
          <w:color w:val="17365A"/>
          <w:sz w:val="18"/>
        </w:rPr>
        <w:t>Bappeda</w:t>
      </w:r>
      <w:r>
        <w:rPr>
          <w:rFonts w:ascii="Times New Roman" w:hAnsi="Times New Roman"/>
          <w:b/>
          <w:i/>
          <w:color w:val="17365A"/>
          <w:spacing w:val="-1"/>
          <w:sz w:val="18"/>
        </w:rPr>
        <w:t xml:space="preserve"> </w:t>
      </w:r>
      <w:r>
        <w:rPr>
          <w:rFonts w:ascii="Times New Roman" w:hAnsi="Times New Roman"/>
          <w:b/>
          <w:i/>
          <w:color w:val="17365A"/>
          <w:sz w:val="18"/>
        </w:rPr>
        <w:t>was the</w:t>
      </w:r>
      <w:r>
        <w:rPr>
          <w:rFonts w:ascii="Times New Roman" w:hAnsi="Times New Roman"/>
          <w:b/>
          <w:i/>
          <w:color w:val="17365A"/>
          <w:spacing w:val="-2"/>
          <w:sz w:val="18"/>
        </w:rPr>
        <w:t xml:space="preserve"> </w:t>
      </w:r>
      <w:r>
        <w:rPr>
          <w:rFonts w:ascii="Times New Roman" w:hAnsi="Times New Roman"/>
          <w:b/>
          <w:i/>
          <w:color w:val="17365A"/>
          <w:sz w:val="18"/>
        </w:rPr>
        <w:t>one</w:t>
      </w:r>
      <w:r>
        <w:rPr>
          <w:rFonts w:ascii="Times New Roman" w:hAnsi="Times New Roman"/>
          <w:b/>
          <w:i/>
          <w:color w:val="17365A"/>
          <w:spacing w:val="-2"/>
          <w:sz w:val="18"/>
        </w:rPr>
        <w:t xml:space="preserve"> </w:t>
      </w:r>
      <w:r>
        <w:rPr>
          <w:rFonts w:ascii="Times New Roman" w:hAnsi="Times New Roman"/>
          <w:b/>
          <w:i/>
          <w:color w:val="17365A"/>
          <w:sz w:val="18"/>
        </w:rPr>
        <w:t>involving SKALA</w:t>
      </w:r>
      <w:r>
        <w:rPr>
          <w:rFonts w:ascii="Times New Roman" w:hAnsi="Times New Roman"/>
          <w:b/>
          <w:i/>
          <w:color w:val="17365A"/>
          <w:spacing w:val="-2"/>
          <w:sz w:val="18"/>
        </w:rPr>
        <w:t xml:space="preserve"> </w:t>
      </w:r>
      <w:r>
        <w:rPr>
          <w:rFonts w:ascii="Times New Roman" w:hAnsi="Times New Roman"/>
          <w:b/>
          <w:i/>
          <w:color w:val="17365A"/>
          <w:sz w:val="18"/>
        </w:rPr>
        <w:t>in</w:t>
      </w:r>
      <w:r>
        <w:rPr>
          <w:rFonts w:ascii="Times New Roman" w:hAnsi="Times New Roman"/>
          <w:b/>
          <w:i/>
          <w:color w:val="17365A"/>
          <w:spacing w:val="-1"/>
          <w:sz w:val="18"/>
        </w:rPr>
        <w:t xml:space="preserve"> </w:t>
      </w:r>
      <w:r>
        <w:rPr>
          <w:rFonts w:ascii="Times New Roman" w:hAnsi="Times New Roman"/>
          <w:b/>
          <w:i/>
          <w:color w:val="17365A"/>
          <w:sz w:val="18"/>
        </w:rPr>
        <w:t xml:space="preserve">2024. Previously, representatives from the Communication, Informatics, and Statistics Oﬃce and Bappeda typically attended only to deliver </w:t>
      </w:r>
      <w:r>
        <w:rPr>
          <w:rFonts w:ascii="Times New Roman" w:hAnsi="Times New Roman"/>
          <w:b/>
          <w:i/>
          <w:color w:val="17365A"/>
          <w:spacing w:val="-2"/>
          <w:sz w:val="18"/>
        </w:rPr>
        <w:t>presentations.</w:t>
      </w:r>
    </w:p>
    <w:p w14:paraId="1FED0A1A" w14:textId="77777777" w:rsidR="00BC24A8" w:rsidRDefault="00000000">
      <w:pPr>
        <w:spacing w:line="204" w:lineRule="exact"/>
        <w:ind w:left="822"/>
        <w:jc w:val="both"/>
        <w:rPr>
          <w:i/>
          <w:sz w:val="18"/>
        </w:rPr>
      </w:pPr>
      <w:r>
        <w:rPr>
          <w:i/>
          <w:color w:val="17365A"/>
          <w:sz w:val="18"/>
        </w:rPr>
        <w:t>N,</w:t>
      </w:r>
      <w:r>
        <w:rPr>
          <w:i/>
          <w:color w:val="17365A"/>
          <w:spacing w:val="-5"/>
          <w:sz w:val="18"/>
        </w:rPr>
        <w:t xml:space="preserve"> </w:t>
      </w:r>
      <w:r>
        <w:rPr>
          <w:i/>
          <w:color w:val="17365A"/>
          <w:sz w:val="18"/>
        </w:rPr>
        <w:t>representative</w:t>
      </w:r>
      <w:r>
        <w:rPr>
          <w:i/>
          <w:color w:val="17365A"/>
          <w:spacing w:val="-4"/>
          <w:sz w:val="18"/>
        </w:rPr>
        <w:t xml:space="preserve"> </w:t>
      </w:r>
      <w:r>
        <w:rPr>
          <w:i/>
          <w:color w:val="17365A"/>
          <w:sz w:val="18"/>
        </w:rPr>
        <w:t>of</w:t>
      </w:r>
      <w:r>
        <w:rPr>
          <w:i/>
          <w:color w:val="17365A"/>
          <w:spacing w:val="-4"/>
          <w:sz w:val="18"/>
        </w:rPr>
        <w:t xml:space="preserve"> </w:t>
      </w:r>
      <w:r>
        <w:rPr>
          <w:i/>
          <w:color w:val="17365A"/>
          <w:sz w:val="18"/>
        </w:rPr>
        <w:t>the</w:t>
      </w:r>
      <w:r>
        <w:rPr>
          <w:i/>
          <w:color w:val="17365A"/>
          <w:spacing w:val="-4"/>
          <w:sz w:val="18"/>
        </w:rPr>
        <w:t xml:space="preserve"> </w:t>
      </w:r>
      <w:r>
        <w:rPr>
          <w:i/>
          <w:color w:val="17365A"/>
          <w:sz w:val="18"/>
        </w:rPr>
        <w:t>NTB</w:t>
      </w:r>
      <w:r>
        <w:rPr>
          <w:i/>
          <w:color w:val="17365A"/>
          <w:spacing w:val="-2"/>
          <w:sz w:val="18"/>
        </w:rPr>
        <w:t xml:space="preserve"> </w:t>
      </w:r>
      <w:r>
        <w:rPr>
          <w:i/>
          <w:color w:val="17365A"/>
          <w:sz w:val="18"/>
        </w:rPr>
        <w:t>Health</w:t>
      </w:r>
      <w:r>
        <w:rPr>
          <w:i/>
          <w:color w:val="17365A"/>
          <w:spacing w:val="-3"/>
          <w:sz w:val="18"/>
        </w:rPr>
        <w:t xml:space="preserve"> </w:t>
      </w:r>
      <w:r>
        <w:rPr>
          <w:i/>
          <w:color w:val="17365A"/>
          <w:sz w:val="18"/>
        </w:rPr>
        <w:t>Office,</w:t>
      </w:r>
      <w:r>
        <w:rPr>
          <w:i/>
          <w:color w:val="17365A"/>
          <w:spacing w:val="-4"/>
          <w:sz w:val="18"/>
        </w:rPr>
        <w:t xml:space="preserve"> </w:t>
      </w:r>
      <w:r>
        <w:rPr>
          <w:i/>
          <w:color w:val="17365A"/>
          <w:spacing w:val="-2"/>
          <w:sz w:val="18"/>
        </w:rPr>
        <w:t>2025.</w:t>
      </w:r>
    </w:p>
    <w:p w14:paraId="63A95332" w14:textId="77777777" w:rsidR="00BC24A8" w:rsidRDefault="00BC24A8">
      <w:pPr>
        <w:spacing w:line="204" w:lineRule="exact"/>
        <w:jc w:val="both"/>
        <w:rPr>
          <w:i/>
          <w:sz w:val="18"/>
        </w:rPr>
        <w:sectPr w:rsidR="00BC24A8">
          <w:pgSz w:w="11910" w:h="16840"/>
          <w:pgMar w:top="1360" w:right="850" w:bottom="1100" w:left="1275" w:header="0" w:footer="907" w:gutter="0"/>
          <w:cols w:space="720"/>
        </w:sectPr>
      </w:pPr>
    </w:p>
    <w:p w14:paraId="71E99780" w14:textId="77777777" w:rsidR="00BC24A8" w:rsidRDefault="00000000">
      <w:pPr>
        <w:pStyle w:val="BodyText"/>
        <w:ind w:left="138"/>
        <w:rPr>
          <w:sz w:val="20"/>
        </w:rPr>
      </w:pPr>
      <w:r>
        <w:rPr>
          <w:noProof/>
          <w:sz w:val="20"/>
        </w:rPr>
        <w:lastRenderedPageBreak/>
        <mc:AlternateContent>
          <mc:Choice Requires="wpg">
            <w:drawing>
              <wp:inline distT="0" distB="0" distL="0" distR="0" wp14:anchorId="47FA052D" wp14:editId="5D2960A9">
                <wp:extent cx="5801995" cy="6632575"/>
                <wp:effectExtent l="9525" t="0" r="0" b="6350"/>
                <wp:docPr id="209" name="Group 209" descr="This situation began to shift significantly in early 2024. Bappeda started to assume its rightful role as the coordinator of the Regional One Data Forum. In addition to actively chairing forum meetings, Bappeda also initiated the preparation of a Regional One Data Action Plan and began efforts to integrate data into the development planning process. This change did not occur on its own, but was driven by close collaboration between Bappeda’s Knowledge Management Center (KMC) Team and SKALA, which has been intensively supporting the strengthening of regional data governance since early 2024.&#10;&#10;&#10;The cooperation between Bappeda and the Oﬃce of Communication, Informatics, and Statistics has started to improve in strengthening the One Data Forum, and SKALA plays excellent role in uniting all parties.&#10;E, representative of Bappeda, 2025.&#10;&#10;&#10;In addition to SKALA support, the most significant key factor in making this change happen is the presence of the KMC Coordinator in Bappeda who is able to influence the direction of leadership and increase Bappeda 's strategic awareness of the importance of regional data governance. BPS also noted that the recent changes are both significant and clearly observable.&#10;&#10;&#10;&#10;This is a major shi, as Bappeda is one of the key agencies that can steer the direction of government policy. Since SKALA’s involvement, I’ve come to see Bappeda’s role in the One Data Forum as truly important. It has reshaped my mindset.&#10;BPS representative, 2025.&#10;&#10;&#10;This change in role has had a real impact. The forum is now institutionally stronger. A list of basic regional development data and metadata books has been compiled. The Final Draft of the NTB One Data Forum Action Plan for the period 2025–2029 has also been agreed upon as a joint work guide. This experience shows that leadership commitment and the right mentoring can significantly drive institutional transformation and should be replicated by other provinces.&#10;Figure 4: The Head of Bappeda and the Bappeda Team lead the process of compiling the list of regional data in 20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995" cy="6632575"/>
                          <a:chOff x="0" y="0"/>
                          <a:chExt cx="5801995" cy="6632575"/>
                        </a:xfrm>
                      </wpg:grpSpPr>
                      <wps:wsp>
                        <wps:cNvPr id="210" name="Graphic 210"/>
                        <wps:cNvSpPr/>
                        <wps:spPr>
                          <a:xfrm>
                            <a:off x="6089" y="6102"/>
                            <a:ext cx="5788660" cy="6620509"/>
                          </a:xfrm>
                          <a:custGeom>
                            <a:avLst/>
                            <a:gdLst/>
                            <a:ahLst/>
                            <a:cxnLst/>
                            <a:rect l="l" t="t" r="r" b="b"/>
                            <a:pathLst>
                              <a:path w="5788660" h="6620509">
                                <a:moveTo>
                                  <a:pt x="5788152" y="0"/>
                                </a:moveTo>
                                <a:lnTo>
                                  <a:pt x="0" y="0"/>
                                </a:lnTo>
                                <a:lnTo>
                                  <a:pt x="0" y="6620256"/>
                                </a:lnTo>
                                <a:lnTo>
                                  <a:pt x="5788152" y="6620256"/>
                                </a:lnTo>
                                <a:lnTo>
                                  <a:pt x="5788152" y="0"/>
                                </a:lnTo>
                                <a:close/>
                              </a:path>
                            </a:pathLst>
                          </a:custGeom>
                          <a:solidFill>
                            <a:srgbClr val="E1F1EF"/>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43" cstate="print"/>
                          <a:stretch>
                            <a:fillRect/>
                          </a:stretch>
                        </pic:blipFill>
                        <pic:spPr>
                          <a:xfrm>
                            <a:off x="335210" y="5070456"/>
                            <a:ext cx="1714563" cy="1266811"/>
                          </a:xfrm>
                          <a:prstGeom prst="rect">
                            <a:avLst/>
                          </a:prstGeom>
                        </pic:spPr>
                      </pic:pic>
                      <pic:pic xmlns:pic="http://schemas.openxmlformats.org/drawingml/2006/picture">
                        <pic:nvPicPr>
                          <pic:cNvPr id="212" name="Image 212"/>
                          <pic:cNvPicPr/>
                        </pic:nvPicPr>
                        <pic:blipFill>
                          <a:blip r:embed="rId44" cstate="print"/>
                          <a:stretch>
                            <a:fillRect/>
                          </a:stretch>
                        </pic:blipFill>
                        <pic:spPr>
                          <a:xfrm>
                            <a:off x="2080893" y="5070456"/>
                            <a:ext cx="1681805" cy="1260761"/>
                          </a:xfrm>
                          <a:prstGeom prst="rect">
                            <a:avLst/>
                          </a:prstGeom>
                        </pic:spPr>
                      </pic:pic>
                      <pic:pic xmlns:pic="http://schemas.openxmlformats.org/drawingml/2006/picture">
                        <pic:nvPicPr>
                          <pic:cNvPr id="213" name="Image 213"/>
                          <pic:cNvPicPr/>
                        </pic:nvPicPr>
                        <pic:blipFill>
                          <a:blip r:embed="rId45" cstate="print"/>
                          <a:stretch>
                            <a:fillRect/>
                          </a:stretch>
                        </pic:blipFill>
                        <pic:spPr>
                          <a:xfrm>
                            <a:off x="3796283" y="5070456"/>
                            <a:ext cx="1669079" cy="1266824"/>
                          </a:xfrm>
                          <a:prstGeom prst="rect">
                            <a:avLst/>
                          </a:prstGeom>
                        </pic:spPr>
                      </pic:pic>
                      <wps:wsp>
                        <wps:cNvPr id="214" name="Graphic 214"/>
                        <wps:cNvSpPr/>
                        <wps:spPr>
                          <a:xfrm>
                            <a:off x="184397" y="1110494"/>
                            <a:ext cx="5410200" cy="719455"/>
                          </a:xfrm>
                          <a:custGeom>
                            <a:avLst/>
                            <a:gdLst/>
                            <a:ahLst/>
                            <a:cxnLst/>
                            <a:rect l="l" t="t" r="r" b="b"/>
                            <a:pathLst>
                              <a:path w="5410200" h="719455">
                                <a:moveTo>
                                  <a:pt x="0" y="0"/>
                                </a:moveTo>
                                <a:lnTo>
                                  <a:pt x="5410200" y="0"/>
                                </a:lnTo>
                                <a:lnTo>
                                  <a:pt x="5410200" y="719048"/>
                                </a:lnTo>
                                <a:lnTo>
                                  <a:pt x="0" y="719048"/>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14" cstate="print"/>
                          <a:stretch>
                            <a:fillRect/>
                          </a:stretch>
                        </pic:blipFill>
                        <pic:spPr>
                          <a:xfrm>
                            <a:off x="245374" y="956218"/>
                            <a:ext cx="223210" cy="204886"/>
                          </a:xfrm>
                          <a:prstGeom prst="rect">
                            <a:avLst/>
                          </a:prstGeom>
                        </pic:spPr>
                      </pic:pic>
                      <pic:pic xmlns:pic="http://schemas.openxmlformats.org/drawingml/2006/picture">
                        <pic:nvPicPr>
                          <pic:cNvPr id="216" name="Image 216"/>
                          <pic:cNvPicPr/>
                        </pic:nvPicPr>
                        <pic:blipFill>
                          <a:blip r:embed="rId30" cstate="print"/>
                          <a:stretch>
                            <a:fillRect/>
                          </a:stretch>
                        </pic:blipFill>
                        <pic:spPr>
                          <a:xfrm>
                            <a:off x="5301694" y="1762574"/>
                            <a:ext cx="223210" cy="204886"/>
                          </a:xfrm>
                          <a:prstGeom prst="rect">
                            <a:avLst/>
                          </a:prstGeom>
                        </pic:spPr>
                      </pic:pic>
                      <wps:wsp>
                        <wps:cNvPr id="217" name="Graphic 217"/>
                        <wps:cNvSpPr/>
                        <wps:spPr>
                          <a:xfrm>
                            <a:off x="185032" y="2976340"/>
                            <a:ext cx="5410200" cy="857250"/>
                          </a:xfrm>
                          <a:custGeom>
                            <a:avLst/>
                            <a:gdLst/>
                            <a:ahLst/>
                            <a:cxnLst/>
                            <a:rect l="l" t="t" r="r" b="b"/>
                            <a:pathLst>
                              <a:path w="5410200" h="857250">
                                <a:moveTo>
                                  <a:pt x="0" y="0"/>
                                </a:moveTo>
                                <a:lnTo>
                                  <a:pt x="5410200" y="0"/>
                                </a:lnTo>
                                <a:lnTo>
                                  <a:pt x="5410200" y="857123"/>
                                </a:lnTo>
                                <a:lnTo>
                                  <a:pt x="0" y="857123"/>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20" cstate="print"/>
                          <a:stretch>
                            <a:fillRect/>
                          </a:stretch>
                        </pic:blipFill>
                        <pic:spPr>
                          <a:xfrm>
                            <a:off x="5302329" y="3759024"/>
                            <a:ext cx="223210" cy="204638"/>
                          </a:xfrm>
                          <a:prstGeom prst="rect">
                            <a:avLst/>
                          </a:prstGeom>
                        </pic:spPr>
                      </pic:pic>
                      <pic:pic xmlns:pic="http://schemas.openxmlformats.org/drawingml/2006/picture">
                        <pic:nvPicPr>
                          <pic:cNvPr id="219" name="Image 219"/>
                          <pic:cNvPicPr/>
                        </pic:nvPicPr>
                        <pic:blipFill>
                          <a:blip r:embed="rId14" cstate="print"/>
                          <a:stretch>
                            <a:fillRect/>
                          </a:stretch>
                        </pic:blipFill>
                        <pic:spPr>
                          <a:xfrm>
                            <a:off x="246010" y="2822254"/>
                            <a:ext cx="223210" cy="204638"/>
                          </a:xfrm>
                          <a:prstGeom prst="rect">
                            <a:avLst/>
                          </a:prstGeom>
                        </pic:spPr>
                      </pic:pic>
                      <wps:wsp>
                        <wps:cNvPr id="220" name="Textbox 220"/>
                        <wps:cNvSpPr txBox="1"/>
                        <wps:spPr>
                          <a:xfrm>
                            <a:off x="3047" y="3047"/>
                            <a:ext cx="5796280" cy="6626859"/>
                          </a:xfrm>
                          <a:prstGeom prst="rect">
                            <a:avLst/>
                          </a:prstGeom>
                          <a:ln w="6096">
                            <a:solidFill>
                              <a:srgbClr val="BEBEBE"/>
                            </a:solidFill>
                            <a:prstDash val="solid"/>
                          </a:ln>
                        </wps:spPr>
                        <wps:txbx>
                          <w:txbxContent>
                            <w:p w14:paraId="6B758C01" w14:textId="77777777" w:rsidR="00BC24A8" w:rsidRDefault="00000000">
                              <w:pPr>
                                <w:spacing w:before="1"/>
                                <w:ind w:left="247" w:right="244"/>
                                <w:jc w:val="both"/>
                                <w:rPr>
                                  <w:sz w:val="18"/>
                                </w:rPr>
                              </w:pPr>
                              <w:r>
                                <w:rPr>
                                  <w:sz w:val="18"/>
                                </w:rPr>
                                <w:t>This situation</w:t>
                              </w:r>
                              <w:r>
                                <w:rPr>
                                  <w:spacing w:val="-2"/>
                                  <w:sz w:val="18"/>
                                </w:rPr>
                                <w:t xml:space="preserve"> </w:t>
                              </w:r>
                              <w:r>
                                <w:rPr>
                                  <w:sz w:val="18"/>
                                </w:rPr>
                                <w:t>began to shift significantly in</w:t>
                              </w:r>
                              <w:r>
                                <w:rPr>
                                  <w:spacing w:val="-2"/>
                                  <w:sz w:val="18"/>
                                </w:rPr>
                                <w:t xml:space="preserve"> </w:t>
                              </w:r>
                              <w:r>
                                <w:rPr>
                                  <w:sz w:val="18"/>
                                </w:rPr>
                                <w:t>early 2024. Bappeda started to assume its</w:t>
                              </w:r>
                              <w:r>
                                <w:rPr>
                                  <w:spacing w:val="-2"/>
                                  <w:sz w:val="18"/>
                                </w:rPr>
                                <w:t xml:space="preserve"> </w:t>
                              </w:r>
                              <w:r>
                                <w:rPr>
                                  <w:sz w:val="18"/>
                                </w:rPr>
                                <w:t>rightful</w:t>
                              </w:r>
                              <w:r>
                                <w:rPr>
                                  <w:spacing w:val="-1"/>
                                  <w:sz w:val="18"/>
                                </w:rPr>
                                <w:t xml:space="preserve"> </w:t>
                              </w:r>
                              <w:r>
                                <w:rPr>
                                  <w:sz w:val="18"/>
                                </w:rPr>
                                <w:t>role as the coordinator of the</w:t>
                              </w:r>
                              <w:r>
                                <w:rPr>
                                  <w:spacing w:val="-4"/>
                                  <w:sz w:val="18"/>
                                </w:rPr>
                                <w:t xml:space="preserve"> </w:t>
                              </w:r>
                              <w:r>
                                <w:rPr>
                                  <w:sz w:val="18"/>
                                </w:rPr>
                                <w:t>Regional</w:t>
                              </w:r>
                              <w:r>
                                <w:rPr>
                                  <w:spacing w:val="-3"/>
                                  <w:sz w:val="18"/>
                                </w:rPr>
                                <w:t xml:space="preserve"> </w:t>
                              </w:r>
                              <w:r>
                                <w:rPr>
                                  <w:sz w:val="18"/>
                                </w:rPr>
                                <w:t>One</w:t>
                              </w:r>
                              <w:r>
                                <w:rPr>
                                  <w:spacing w:val="-4"/>
                                  <w:sz w:val="18"/>
                                </w:rPr>
                                <w:t xml:space="preserve"> </w:t>
                              </w:r>
                              <w:r>
                                <w:rPr>
                                  <w:sz w:val="18"/>
                                </w:rPr>
                                <w:t>Data</w:t>
                              </w:r>
                              <w:r>
                                <w:rPr>
                                  <w:spacing w:val="-5"/>
                                  <w:sz w:val="18"/>
                                </w:rPr>
                                <w:t xml:space="preserve"> </w:t>
                              </w:r>
                              <w:r>
                                <w:rPr>
                                  <w:sz w:val="18"/>
                                </w:rPr>
                                <w:t>Forum.</w:t>
                              </w:r>
                              <w:r>
                                <w:rPr>
                                  <w:spacing w:val="-3"/>
                                  <w:sz w:val="18"/>
                                </w:rPr>
                                <w:t xml:space="preserve"> </w:t>
                              </w:r>
                              <w:r>
                                <w:rPr>
                                  <w:sz w:val="18"/>
                                </w:rPr>
                                <w:t>In</w:t>
                              </w:r>
                              <w:r>
                                <w:rPr>
                                  <w:spacing w:val="-2"/>
                                  <w:sz w:val="18"/>
                                </w:rPr>
                                <w:t xml:space="preserve"> </w:t>
                              </w:r>
                              <w:r>
                                <w:rPr>
                                  <w:sz w:val="18"/>
                                </w:rPr>
                                <w:t>addition</w:t>
                              </w:r>
                              <w:r>
                                <w:rPr>
                                  <w:spacing w:val="-4"/>
                                  <w:sz w:val="18"/>
                                </w:rPr>
                                <w:t xml:space="preserve"> </w:t>
                              </w:r>
                              <w:r>
                                <w:rPr>
                                  <w:sz w:val="18"/>
                                </w:rPr>
                                <w:t>to</w:t>
                              </w:r>
                              <w:r>
                                <w:rPr>
                                  <w:spacing w:val="-5"/>
                                  <w:sz w:val="18"/>
                                </w:rPr>
                                <w:t xml:space="preserve"> </w:t>
                              </w:r>
                              <w:r>
                                <w:rPr>
                                  <w:sz w:val="18"/>
                                </w:rPr>
                                <w:t>actively</w:t>
                              </w:r>
                              <w:r>
                                <w:rPr>
                                  <w:spacing w:val="-4"/>
                                  <w:sz w:val="18"/>
                                </w:rPr>
                                <w:t xml:space="preserve"> </w:t>
                              </w:r>
                              <w:r>
                                <w:rPr>
                                  <w:sz w:val="18"/>
                                </w:rPr>
                                <w:t>chairing</w:t>
                              </w:r>
                              <w:r>
                                <w:rPr>
                                  <w:spacing w:val="-5"/>
                                  <w:sz w:val="18"/>
                                </w:rPr>
                                <w:t xml:space="preserve"> </w:t>
                              </w:r>
                              <w:r>
                                <w:rPr>
                                  <w:sz w:val="18"/>
                                </w:rPr>
                                <w:t>forum</w:t>
                              </w:r>
                              <w:r>
                                <w:rPr>
                                  <w:spacing w:val="-5"/>
                                  <w:sz w:val="18"/>
                                </w:rPr>
                                <w:t xml:space="preserve"> </w:t>
                              </w:r>
                              <w:r>
                                <w:rPr>
                                  <w:sz w:val="18"/>
                                </w:rPr>
                                <w:t>meetings,</w:t>
                              </w:r>
                              <w:r>
                                <w:rPr>
                                  <w:spacing w:val="-5"/>
                                  <w:sz w:val="18"/>
                                </w:rPr>
                                <w:t xml:space="preserve"> </w:t>
                              </w:r>
                              <w:r>
                                <w:rPr>
                                  <w:i/>
                                  <w:sz w:val="18"/>
                                </w:rPr>
                                <w:t>Bappeda</w:t>
                              </w:r>
                              <w:r>
                                <w:rPr>
                                  <w:i/>
                                  <w:spacing w:val="-5"/>
                                  <w:sz w:val="18"/>
                                </w:rPr>
                                <w:t xml:space="preserve"> </w:t>
                              </w:r>
                              <w:r>
                                <w:rPr>
                                  <w:sz w:val="18"/>
                                </w:rPr>
                                <w:t>also</w:t>
                              </w:r>
                              <w:r>
                                <w:rPr>
                                  <w:spacing w:val="-5"/>
                                  <w:sz w:val="18"/>
                                </w:rPr>
                                <w:t xml:space="preserve"> </w:t>
                              </w:r>
                              <w:r>
                                <w:rPr>
                                  <w:sz w:val="18"/>
                                </w:rPr>
                                <w:t>initiated</w:t>
                              </w:r>
                              <w:r>
                                <w:rPr>
                                  <w:spacing w:val="-4"/>
                                  <w:sz w:val="18"/>
                                </w:rPr>
                                <w:t xml:space="preserve"> </w:t>
                              </w:r>
                              <w:r>
                                <w:rPr>
                                  <w:sz w:val="18"/>
                                </w:rPr>
                                <w:t>the</w:t>
                              </w:r>
                              <w:r>
                                <w:rPr>
                                  <w:spacing w:val="-4"/>
                                  <w:sz w:val="18"/>
                                </w:rPr>
                                <w:t xml:space="preserve"> </w:t>
                              </w:r>
                              <w:r>
                                <w:rPr>
                                  <w:sz w:val="18"/>
                                </w:rPr>
                                <w:t>preparation</w:t>
                              </w:r>
                              <w:r>
                                <w:rPr>
                                  <w:spacing w:val="-4"/>
                                  <w:sz w:val="18"/>
                                </w:rPr>
                                <w:t xml:space="preserve"> </w:t>
                              </w:r>
                              <w:r>
                                <w:rPr>
                                  <w:sz w:val="18"/>
                                </w:rPr>
                                <w:t>of a</w:t>
                              </w:r>
                              <w:r>
                                <w:rPr>
                                  <w:spacing w:val="-8"/>
                                  <w:sz w:val="18"/>
                                </w:rPr>
                                <w:t xml:space="preserve"> </w:t>
                              </w:r>
                              <w:r>
                                <w:rPr>
                                  <w:sz w:val="18"/>
                                </w:rPr>
                                <w:t>Regional</w:t>
                              </w:r>
                              <w:r>
                                <w:rPr>
                                  <w:spacing w:val="-6"/>
                                  <w:sz w:val="18"/>
                                </w:rPr>
                                <w:t xml:space="preserve"> </w:t>
                              </w:r>
                              <w:r>
                                <w:rPr>
                                  <w:sz w:val="18"/>
                                </w:rPr>
                                <w:t>One</w:t>
                              </w:r>
                              <w:r>
                                <w:rPr>
                                  <w:spacing w:val="-7"/>
                                  <w:sz w:val="18"/>
                                </w:rPr>
                                <w:t xml:space="preserve"> </w:t>
                              </w:r>
                              <w:r>
                                <w:rPr>
                                  <w:sz w:val="18"/>
                                </w:rPr>
                                <w:t>Data</w:t>
                              </w:r>
                              <w:r>
                                <w:rPr>
                                  <w:spacing w:val="-8"/>
                                  <w:sz w:val="18"/>
                                </w:rPr>
                                <w:t xml:space="preserve"> </w:t>
                              </w:r>
                              <w:r>
                                <w:rPr>
                                  <w:sz w:val="18"/>
                                </w:rPr>
                                <w:t>Action</w:t>
                              </w:r>
                              <w:r>
                                <w:rPr>
                                  <w:spacing w:val="-7"/>
                                  <w:sz w:val="18"/>
                                </w:rPr>
                                <w:t xml:space="preserve"> </w:t>
                              </w:r>
                              <w:r>
                                <w:rPr>
                                  <w:sz w:val="18"/>
                                </w:rPr>
                                <w:t>Plan</w:t>
                              </w:r>
                              <w:r>
                                <w:rPr>
                                  <w:spacing w:val="-7"/>
                                  <w:sz w:val="18"/>
                                </w:rPr>
                                <w:t xml:space="preserve"> </w:t>
                              </w:r>
                              <w:r>
                                <w:rPr>
                                  <w:sz w:val="18"/>
                                </w:rPr>
                                <w:t>and</w:t>
                              </w:r>
                              <w:r>
                                <w:rPr>
                                  <w:spacing w:val="-7"/>
                                  <w:sz w:val="18"/>
                                </w:rPr>
                                <w:t xml:space="preserve"> </w:t>
                              </w:r>
                              <w:r>
                                <w:rPr>
                                  <w:sz w:val="18"/>
                                </w:rPr>
                                <w:t>began</w:t>
                              </w:r>
                              <w:r>
                                <w:rPr>
                                  <w:spacing w:val="-7"/>
                                  <w:sz w:val="18"/>
                                </w:rPr>
                                <w:t xml:space="preserve"> </w:t>
                              </w:r>
                              <w:r>
                                <w:rPr>
                                  <w:sz w:val="18"/>
                                </w:rPr>
                                <w:t>efforts</w:t>
                              </w:r>
                              <w:r>
                                <w:rPr>
                                  <w:spacing w:val="-7"/>
                                  <w:sz w:val="18"/>
                                </w:rPr>
                                <w:t xml:space="preserve"> </w:t>
                              </w:r>
                              <w:r>
                                <w:rPr>
                                  <w:sz w:val="18"/>
                                </w:rPr>
                                <w:t>to</w:t>
                              </w:r>
                              <w:r>
                                <w:rPr>
                                  <w:spacing w:val="-7"/>
                                  <w:sz w:val="18"/>
                                </w:rPr>
                                <w:t xml:space="preserve"> </w:t>
                              </w:r>
                              <w:r>
                                <w:rPr>
                                  <w:sz w:val="18"/>
                                </w:rPr>
                                <w:t>integrate</w:t>
                              </w:r>
                              <w:r>
                                <w:rPr>
                                  <w:spacing w:val="-7"/>
                                  <w:sz w:val="18"/>
                                </w:rPr>
                                <w:t xml:space="preserve"> </w:t>
                              </w:r>
                              <w:r>
                                <w:rPr>
                                  <w:sz w:val="18"/>
                                </w:rPr>
                                <w:t>data</w:t>
                              </w:r>
                              <w:r>
                                <w:rPr>
                                  <w:spacing w:val="-5"/>
                                  <w:sz w:val="18"/>
                                </w:rPr>
                                <w:t xml:space="preserve"> </w:t>
                              </w:r>
                              <w:r>
                                <w:rPr>
                                  <w:sz w:val="18"/>
                                </w:rPr>
                                <w:t>into</w:t>
                              </w:r>
                              <w:r>
                                <w:rPr>
                                  <w:spacing w:val="-7"/>
                                  <w:sz w:val="18"/>
                                </w:rPr>
                                <w:t xml:space="preserve"> </w:t>
                              </w:r>
                              <w:r>
                                <w:rPr>
                                  <w:sz w:val="18"/>
                                </w:rPr>
                                <w:t>the</w:t>
                              </w:r>
                              <w:r>
                                <w:rPr>
                                  <w:spacing w:val="-7"/>
                                  <w:sz w:val="18"/>
                                </w:rPr>
                                <w:t xml:space="preserve"> </w:t>
                              </w:r>
                              <w:r>
                                <w:rPr>
                                  <w:sz w:val="18"/>
                                </w:rPr>
                                <w:t>development</w:t>
                              </w:r>
                              <w:r>
                                <w:rPr>
                                  <w:spacing w:val="-6"/>
                                  <w:sz w:val="18"/>
                                </w:rPr>
                                <w:t xml:space="preserve"> </w:t>
                              </w:r>
                              <w:r>
                                <w:rPr>
                                  <w:sz w:val="18"/>
                                </w:rPr>
                                <w:t>planning</w:t>
                              </w:r>
                              <w:r>
                                <w:rPr>
                                  <w:spacing w:val="-7"/>
                                  <w:sz w:val="18"/>
                                </w:rPr>
                                <w:t xml:space="preserve"> </w:t>
                              </w:r>
                              <w:r>
                                <w:rPr>
                                  <w:sz w:val="18"/>
                                </w:rPr>
                                <w:t>process.</w:t>
                              </w:r>
                              <w:r>
                                <w:rPr>
                                  <w:spacing w:val="-8"/>
                                  <w:sz w:val="18"/>
                                </w:rPr>
                                <w:t xml:space="preserve"> </w:t>
                              </w:r>
                              <w:r>
                                <w:rPr>
                                  <w:sz w:val="18"/>
                                </w:rPr>
                                <w:t>This</w:t>
                              </w:r>
                              <w:r>
                                <w:rPr>
                                  <w:spacing w:val="-7"/>
                                  <w:sz w:val="18"/>
                                </w:rPr>
                                <w:t xml:space="preserve"> </w:t>
                              </w:r>
                              <w:r>
                                <w:rPr>
                                  <w:sz w:val="18"/>
                                </w:rPr>
                                <w:t>change did not occur on its own, but was driven by close collaboration between Bappeda’s Knowledge Management Center (KMC)</w:t>
                              </w:r>
                              <w:r>
                                <w:rPr>
                                  <w:spacing w:val="-11"/>
                                  <w:sz w:val="18"/>
                                </w:rPr>
                                <w:t xml:space="preserve"> </w:t>
                              </w:r>
                              <w:r>
                                <w:rPr>
                                  <w:sz w:val="18"/>
                                </w:rPr>
                                <w:t>Team</w:t>
                              </w:r>
                              <w:r>
                                <w:rPr>
                                  <w:spacing w:val="-10"/>
                                  <w:sz w:val="18"/>
                                </w:rPr>
                                <w:t xml:space="preserve"> </w:t>
                              </w:r>
                              <w:r>
                                <w:rPr>
                                  <w:sz w:val="18"/>
                                </w:rPr>
                                <w:t>and</w:t>
                              </w:r>
                              <w:r>
                                <w:rPr>
                                  <w:spacing w:val="-10"/>
                                  <w:sz w:val="18"/>
                                </w:rPr>
                                <w:t xml:space="preserve"> </w:t>
                              </w:r>
                              <w:r>
                                <w:rPr>
                                  <w:sz w:val="18"/>
                                </w:rPr>
                                <w:t>SKALA,</w:t>
                              </w:r>
                              <w:r>
                                <w:rPr>
                                  <w:spacing w:val="-10"/>
                                  <w:sz w:val="18"/>
                                </w:rPr>
                                <w:t xml:space="preserve"> </w:t>
                              </w:r>
                              <w:r>
                                <w:rPr>
                                  <w:sz w:val="18"/>
                                </w:rPr>
                                <w:t>which</w:t>
                              </w:r>
                              <w:r>
                                <w:rPr>
                                  <w:spacing w:val="-10"/>
                                  <w:sz w:val="18"/>
                                </w:rPr>
                                <w:t xml:space="preserve"> </w:t>
                              </w:r>
                              <w:r>
                                <w:rPr>
                                  <w:sz w:val="18"/>
                                </w:rPr>
                                <w:t>has</w:t>
                              </w:r>
                              <w:r>
                                <w:rPr>
                                  <w:spacing w:val="-10"/>
                                  <w:sz w:val="18"/>
                                </w:rPr>
                                <w:t xml:space="preserve"> </w:t>
                              </w:r>
                              <w:r>
                                <w:rPr>
                                  <w:sz w:val="18"/>
                                </w:rPr>
                                <w:t>been</w:t>
                              </w:r>
                              <w:r>
                                <w:rPr>
                                  <w:spacing w:val="-9"/>
                                  <w:sz w:val="18"/>
                                </w:rPr>
                                <w:t xml:space="preserve"> </w:t>
                              </w:r>
                              <w:r>
                                <w:rPr>
                                  <w:sz w:val="18"/>
                                </w:rPr>
                                <w:t>intensively</w:t>
                              </w:r>
                              <w:r>
                                <w:rPr>
                                  <w:spacing w:val="-10"/>
                                  <w:sz w:val="18"/>
                                </w:rPr>
                                <w:t xml:space="preserve"> </w:t>
                              </w:r>
                              <w:r>
                                <w:rPr>
                                  <w:sz w:val="18"/>
                                </w:rPr>
                                <w:t>supporting</w:t>
                              </w:r>
                              <w:r>
                                <w:rPr>
                                  <w:spacing w:val="-10"/>
                                  <w:sz w:val="18"/>
                                </w:rPr>
                                <w:t xml:space="preserve"> </w:t>
                              </w:r>
                              <w:r>
                                <w:rPr>
                                  <w:sz w:val="18"/>
                                </w:rPr>
                                <w:t>the</w:t>
                              </w:r>
                              <w:r>
                                <w:rPr>
                                  <w:spacing w:val="-11"/>
                                  <w:sz w:val="18"/>
                                </w:rPr>
                                <w:t xml:space="preserve"> </w:t>
                              </w:r>
                              <w:r>
                                <w:rPr>
                                  <w:sz w:val="18"/>
                                </w:rPr>
                                <w:t>strengthening</w:t>
                              </w:r>
                              <w:r>
                                <w:rPr>
                                  <w:spacing w:val="-9"/>
                                  <w:sz w:val="18"/>
                                </w:rPr>
                                <w:t xml:space="preserve"> </w:t>
                              </w:r>
                              <w:r>
                                <w:rPr>
                                  <w:sz w:val="18"/>
                                </w:rPr>
                                <w:t>of</w:t>
                              </w:r>
                              <w:r>
                                <w:rPr>
                                  <w:spacing w:val="-10"/>
                                  <w:sz w:val="18"/>
                                </w:rPr>
                                <w:t xml:space="preserve"> </w:t>
                              </w:r>
                              <w:r>
                                <w:rPr>
                                  <w:sz w:val="18"/>
                                </w:rPr>
                                <w:t>regional</w:t>
                              </w:r>
                              <w:r>
                                <w:rPr>
                                  <w:spacing w:val="-8"/>
                                  <w:sz w:val="18"/>
                                </w:rPr>
                                <w:t xml:space="preserve"> </w:t>
                              </w:r>
                              <w:r>
                                <w:rPr>
                                  <w:sz w:val="18"/>
                                </w:rPr>
                                <w:t>data</w:t>
                              </w:r>
                              <w:r>
                                <w:rPr>
                                  <w:spacing w:val="-11"/>
                                  <w:sz w:val="18"/>
                                </w:rPr>
                                <w:t xml:space="preserve"> </w:t>
                              </w:r>
                              <w:r>
                                <w:rPr>
                                  <w:sz w:val="18"/>
                                </w:rPr>
                                <w:t>governance</w:t>
                              </w:r>
                              <w:r>
                                <w:rPr>
                                  <w:spacing w:val="-8"/>
                                  <w:sz w:val="18"/>
                                </w:rPr>
                                <w:t xml:space="preserve"> </w:t>
                              </w:r>
                              <w:r>
                                <w:rPr>
                                  <w:sz w:val="18"/>
                                </w:rPr>
                                <w:t>since</w:t>
                              </w:r>
                              <w:r>
                                <w:rPr>
                                  <w:spacing w:val="-10"/>
                                  <w:sz w:val="18"/>
                                </w:rPr>
                                <w:t xml:space="preserve"> </w:t>
                              </w:r>
                              <w:r>
                                <w:rPr>
                                  <w:sz w:val="18"/>
                                </w:rPr>
                                <w:t xml:space="preserve">early </w:t>
                              </w:r>
                              <w:r>
                                <w:rPr>
                                  <w:spacing w:val="-2"/>
                                  <w:sz w:val="18"/>
                                </w:rPr>
                                <w:t>2024.</w:t>
                              </w:r>
                            </w:p>
                            <w:p w14:paraId="1788F83A" w14:textId="77777777" w:rsidR="00BC24A8" w:rsidRDefault="00BC24A8">
                              <w:pPr>
                                <w:rPr>
                                  <w:sz w:val="18"/>
                                </w:rPr>
                              </w:pPr>
                            </w:p>
                            <w:p w14:paraId="7CA79844" w14:textId="77777777" w:rsidR="00BC24A8" w:rsidRDefault="00BC24A8">
                              <w:pPr>
                                <w:spacing w:before="199"/>
                                <w:rPr>
                                  <w:sz w:val="18"/>
                                </w:rPr>
                              </w:pPr>
                            </w:p>
                            <w:p w14:paraId="448968AE" w14:textId="77777777" w:rsidR="00BC24A8" w:rsidRDefault="00000000">
                              <w:pPr>
                                <w:spacing w:line="290" w:lineRule="auto"/>
                                <w:ind w:left="578" w:right="615"/>
                                <w:jc w:val="both"/>
                                <w:rPr>
                                  <w:rFonts w:ascii="Times New Roman" w:hAnsi="Times New Roman"/>
                                  <w:b/>
                                  <w:i/>
                                  <w:sz w:val="18"/>
                                </w:rPr>
                              </w:pPr>
                              <w:r>
                                <w:rPr>
                                  <w:rFonts w:ascii="Times New Roman" w:hAnsi="Times New Roman"/>
                                  <w:b/>
                                  <w:i/>
                                  <w:color w:val="17365A"/>
                                  <w:sz w:val="18"/>
                                </w:rPr>
                                <w:t>The</w:t>
                              </w:r>
                              <w:r>
                                <w:rPr>
                                  <w:rFonts w:ascii="Times New Roman" w:hAnsi="Times New Roman"/>
                                  <w:b/>
                                  <w:i/>
                                  <w:color w:val="17365A"/>
                                  <w:spacing w:val="-8"/>
                                  <w:sz w:val="18"/>
                                </w:rPr>
                                <w:t xml:space="preserve"> </w:t>
                              </w:r>
                              <w:r>
                                <w:rPr>
                                  <w:rFonts w:ascii="Times New Roman" w:hAnsi="Times New Roman"/>
                                  <w:b/>
                                  <w:i/>
                                  <w:color w:val="17365A"/>
                                  <w:sz w:val="18"/>
                                </w:rPr>
                                <w:t>cooperation</w:t>
                              </w:r>
                              <w:r>
                                <w:rPr>
                                  <w:rFonts w:ascii="Times New Roman" w:hAnsi="Times New Roman"/>
                                  <w:b/>
                                  <w:i/>
                                  <w:color w:val="17365A"/>
                                  <w:spacing w:val="-7"/>
                                  <w:sz w:val="18"/>
                                </w:rPr>
                                <w:t xml:space="preserve"> </w:t>
                              </w:r>
                              <w:r>
                                <w:rPr>
                                  <w:rFonts w:ascii="Times New Roman" w:hAnsi="Times New Roman"/>
                                  <w:b/>
                                  <w:i/>
                                  <w:color w:val="17365A"/>
                                  <w:sz w:val="18"/>
                                </w:rPr>
                                <w:t>between</w:t>
                              </w:r>
                              <w:r>
                                <w:rPr>
                                  <w:rFonts w:ascii="Times New Roman" w:hAnsi="Times New Roman"/>
                                  <w:b/>
                                  <w:i/>
                                  <w:color w:val="17365A"/>
                                  <w:spacing w:val="-7"/>
                                  <w:sz w:val="18"/>
                                </w:rPr>
                                <w:t xml:space="preserve"> </w:t>
                              </w:r>
                              <w:r>
                                <w:rPr>
                                  <w:rFonts w:ascii="Times New Roman" w:hAnsi="Times New Roman"/>
                                  <w:b/>
                                  <w:i/>
                                  <w:color w:val="17365A"/>
                                  <w:sz w:val="18"/>
                                </w:rPr>
                                <w:t>Bappeda</w:t>
                              </w:r>
                              <w:r>
                                <w:rPr>
                                  <w:rFonts w:ascii="Times New Roman" w:hAnsi="Times New Roman"/>
                                  <w:b/>
                                  <w:i/>
                                  <w:color w:val="17365A"/>
                                  <w:spacing w:val="-7"/>
                                  <w:sz w:val="18"/>
                                </w:rPr>
                                <w:t xml:space="preserve"> </w:t>
                              </w:r>
                              <w:r>
                                <w:rPr>
                                  <w:rFonts w:ascii="Times New Roman" w:hAnsi="Times New Roman"/>
                                  <w:b/>
                                  <w:i/>
                                  <w:color w:val="17365A"/>
                                  <w:sz w:val="18"/>
                                </w:rPr>
                                <w:t>and</w:t>
                              </w:r>
                              <w:r>
                                <w:rPr>
                                  <w:rFonts w:ascii="Times New Roman" w:hAnsi="Times New Roman"/>
                                  <w:b/>
                                  <w:i/>
                                  <w:color w:val="17365A"/>
                                  <w:spacing w:val="-7"/>
                                  <w:sz w:val="18"/>
                                </w:rPr>
                                <w:t xml:space="preserve"> </w:t>
                              </w:r>
                              <w:r>
                                <w:rPr>
                                  <w:rFonts w:ascii="Times New Roman" w:hAnsi="Times New Roman"/>
                                  <w:b/>
                                  <w:i/>
                                  <w:color w:val="17365A"/>
                                  <w:sz w:val="18"/>
                                </w:rPr>
                                <w:t>the</w:t>
                              </w:r>
                              <w:r>
                                <w:rPr>
                                  <w:rFonts w:ascii="Times New Roman" w:hAnsi="Times New Roman"/>
                                  <w:b/>
                                  <w:i/>
                                  <w:color w:val="17365A"/>
                                  <w:spacing w:val="-8"/>
                                  <w:sz w:val="18"/>
                                </w:rPr>
                                <w:t xml:space="preserve"> </w:t>
                              </w:r>
                              <w:r>
                                <w:rPr>
                                  <w:rFonts w:ascii="Times New Roman" w:hAnsi="Times New Roman"/>
                                  <w:b/>
                                  <w:i/>
                                  <w:color w:val="17365A"/>
                                  <w:sz w:val="18"/>
                                </w:rPr>
                                <w:t>Oﬃce</w:t>
                              </w:r>
                              <w:r>
                                <w:rPr>
                                  <w:rFonts w:ascii="Times New Roman" w:hAnsi="Times New Roman"/>
                                  <w:b/>
                                  <w:i/>
                                  <w:color w:val="17365A"/>
                                  <w:spacing w:val="-8"/>
                                  <w:sz w:val="18"/>
                                </w:rPr>
                                <w:t xml:space="preserve"> </w:t>
                              </w:r>
                              <w:r>
                                <w:rPr>
                                  <w:rFonts w:ascii="Times New Roman" w:hAnsi="Times New Roman"/>
                                  <w:b/>
                                  <w:i/>
                                  <w:color w:val="17365A"/>
                                  <w:sz w:val="18"/>
                                </w:rPr>
                                <w:t>of</w:t>
                              </w:r>
                              <w:r>
                                <w:rPr>
                                  <w:rFonts w:ascii="Times New Roman" w:hAnsi="Times New Roman"/>
                                  <w:b/>
                                  <w:i/>
                                  <w:color w:val="17365A"/>
                                  <w:spacing w:val="-7"/>
                                  <w:sz w:val="18"/>
                                </w:rPr>
                                <w:t xml:space="preserve"> </w:t>
                              </w:r>
                              <w:r>
                                <w:rPr>
                                  <w:rFonts w:ascii="Times New Roman" w:hAnsi="Times New Roman"/>
                                  <w:b/>
                                  <w:i/>
                                  <w:color w:val="17365A"/>
                                  <w:sz w:val="18"/>
                                </w:rPr>
                                <w:t>Communication,</w:t>
                              </w:r>
                              <w:r>
                                <w:rPr>
                                  <w:rFonts w:ascii="Times New Roman" w:hAnsi="Times New Roman"/>
                                  <w:b/>
                                  <w:i/>
                                  <w:color w:val="17365A"/>
                                  <w:spacing w:val="-6"/>
                                  <w:sz w:val="18"/>
                                </w:rPr>
                                <w:t xml:space="preserve"> </w:t>
                              </w:r>
                              <w:r>
                                <w:rPr>
                                  <w:rFonts w:ascii="Times New Roman" w:hAnsi="Times New Roman"/>
                                  <w:b/>
                                  <w:i/>
                                  <w:color w:val="17365A"/>
                                  <w:sz w:val="18"/>
                                </w:rPr>
                                <w:t>Informatics,</w:t>
                              </w:r>
                              <w:r>
                                <w:rPr>
                                  <w:rFonts w:ascii="Times New Roman" w:hAnsi="Times New Roman"/>
                                  <w:b/>
                                  <w:i/>
                                  <w:color w:val="17365A"/>
                                  <w:spacing w:val="-6"/>
                                  <w:sz w:val="18"/>
                                </w:rPr>
                                <w:t xml:space="preserve"> </w:t>
                              </w:r>
                              <w:r>
                                <w:rPr>
                                  <w:rFonts w:ascii="Times New Roman" w:hAnsi="Times New Roman"/>
                                  <w:b/>
                                  <w:i/>
                                  <w:color w:val="17365A"/>
                                  <w:sz w:val="18"/>
                                </w:rPr>
                                <w:t>and</w:t>
                              </w:r>
                              <w:r>
                                <w:rPr>
                                  <w:rFonts w:ascii="Times New Roman" w:hAnsi="Times New Roman"/>
                                  <w:b/>
                                  <w:i/>
                                  <w:color w:val="17365A"/>
                                  <w:spacing w:val="-7"/>
                                  <w:sz w:val="18"/>
                                </w:rPr>
                                <w:t xml:space="preserve"> </w:t>
                              </w:r>
                              <w:r>
                                <w:rPr>
                                  <w:rFonts w:ascii="Times New Roman" w:hAnsi="Times New Roman"/>
                                  <w:b/>
                                  <w:i/>
                                  <w:color w:val="17365A"/>
                                  <w:sz w:val="18"/>
                                </w:rPr>
                                <w:t>Statistics</w:t>
                              </w:r>
                              <w:r>
                                <w:rPr>
                                  <w:rFonts w:ascii="Times New Roman" w:hAnsi="Times New Roman"/>
                                  <w:b/>
                                  <w:i/>
                                  <w:color w:val="17365A"/>
                                  <w:spacing w:val="-6"/>
                                  <w:sz w:val="18"/>
                                </w:rPr>
                                <w:t xml:space="preserve"> </w:t>
                              </w:r>
                              <w:r>
                                <w:rPr>
                                  <w:rFonts w:ascii="Times New Roman" w:hAnsi="Times New Roman"/>
                                  <w:b/>
                                  <w:i/>
                                  <w:color w:val="17365A"/>
                                  <w:sz w:val="18"/>
                                </w:rPr>
                                <w:t>has</w:t>
                              </w:r>
                              <w:r>
                                <w:rPr>
                                  <w:rFonts w:ascii="Times New Roman" w:hAnsi="Times New Roman"/>
                                  <w:b/>
                                  <w:i/>
                                  <w:color w:val="17365A"/>
                                  <w:spacing w:val="-6"/>
                                  <w:sz w:val="18"/>
                                </w:rPr>
                                <w:t xml:space="preserve"> </w:t>
                              </w:r>
                              <w:r>
                                <w:rPr>
                                  <w:rFonts w:ascii="Times New Roman" w:hAnsi="Times New Roman"/>
                                  <w:b/>
                                  <w:i/>
                                  <w:color w:val="17365A"/>
                                  <w:sz w:val="18"/>
                                </w:rPr>
                                <w:t>started to improve in strengthening the One Data Forum, and SKALA plays excellent role in uniting all parties.</w:t>
                              </w:r>
                            </w:p>
                            <w:p w14:paraId="6681BE57" w14:textId="77777777" w:rsidR="00BC24A8" w:rsidRDefault="00000000">
                              <w:pPr>
                                <w:spacing w:line="205" w:lineRule="exact"/>
                                <w:ind w:left="578"/>
                                <w:jc w:val="both"/>
                                <w:rPr>
                                  <w:i/>
                                  <w:sz w:val="18"/>
                                </w:rPr>
                              </w:pPr>
                              <w:r>
                                <w:rPr>
                                  <w:i/>
                                  <w:color w:val="17365A"/>
                                  <w:sz w:val="18"/>
                                </w:rPr>
                                <w:t>E,</w:t>
                              </w:r>
                              <w:r>
                                <w:rPr>
                                  <w:i/>
                                  <w:color w:val="17365A"/>
                                  <w:spacing w:val="-4"/>
                                  <w:sz w:val="18"/>
                                </w:rPr>
                                <w:t xml:space="preserve"> </w:t>
                              </w:r>
                              <w:r>
                                <w:rPr>
                                  <w:i/>
                                  <w:color w:val="17365A"/>
                                  <w:sz w:val="18"/>
                                </w:rPr>
                                <w:t>representative</w:t>
                              </w:r>
                              <w:r>
                                <w:rPr>
                                  <w:i/>
                                  <w:color w:val="17365A"/>
                                  <w:spacing w:val="-4"/>
                                  <w:sz w:val="18"/>
                                </w:rPr>
                                <w:t xml:space="preserve"> </w:t>
                              </w:r>
                              <w:r>
                                <w:rPr>
                                  <w:i/>
                                  <w:color w:val="17365A"/>
                                  <w:sz w:val="18"/>
                                </w:rPr>
                                <w:t>of</w:t>
                              </w:r>
                              <w:r>
                                <w:rPr>
                                  <w:i/>
                                  <w:color w:val="17365A"/>
                                  <w:spacing w:val="-4"/>
                                  <w:sz w:val="18"/>
                                </w:rPr>
                                <w:t xml:space="preserve"> </w:t>
                              </w:r>
                              <w:r>
                                <w:rPr>
                                  <w:i/>
                                  <w:color w:val="17365A"/>
                                  <w:sz w:val="18"/>
                                </w:rPr>
                                <w:t>Bappeda,</w:t>
                              </w:r>
                              <w:r>
                                <w:rPr>
                                  <w:i/>
                                  <w:color w:val="17365A"/>
                                  <w:spacing w:val="-4"/>
                                  <w:sz w:val="18"/>
                                </w:rPr>
                                <w:t xml:space="preserve"> 2025.</w:t>
                              </w:r>
                            </w:p>
                            <w:p w14:paraId="1A6FF55C" w14:textId="77777777" w:rsidR="00BC24A8" w:rsidRDefault="00BC24A8">
                              <w:pPr>
                                <w:rPr>
                                  <w:i/>
                                  <w:sz w:val="18"/>
                                </w:rPr>
                              </w:pPr>
                            </w:p>
                            <w:p w14:paraId="54249786" w14:textId="77777777" w:rsidR="00BC24A8" w:rsidRDefault="00BC24A8">
                              <w:pPr>
                                <w:spacing w:before="207"/>
                                <w:rPr>
                                  <w:i/>
                                  <w:sz w:val="18"/>
                                </w:rPr>
                              </w:pPr>
                            </w:p>
                            <w:p w14:paraId="1AD5C600" w14:textId="77777777" w:rsidR="00BC24A8" w:rsidRDefault="00000000">
                              <w:pPr>
                                <w:ind w:left="247" w:right="242"/>
                                <w:jc w:val="both"/>
                                <w:rPr>
                                  <w:sz w:val="18"/>
                                </w:rPr>
                              </w:pPr>
                              <w:r>
                                <w:rPr>
                                  <w:sz w:val="18"/>
                                </w:rPr>
                                <w:t>In addition to SKALA support, the most significant key factor in making this change happen is the presence of the KMC Coordinator</w:t>
                              </w:r>
                              <w:r>
                                <w:rPr>
                                  <w:spacing w:val="-5"/>
                                  <w:sz w:val="18"/>
                                </w:rPr>
                                <w:t xml:space="preserve"> </w:t>
                              </w:r>
                              <w:r>
                                <w:rPr>
                                  <w:sz w:val="18"/>
                                </w:rPr>
                                <w:t>in</w:t>
                              </w:r>
                              <w:r>
                                <w:rPr>
                                  <w:spacing w:val="-6"/>
                                  <w:sz w:val="18"/>
                                </w:rPr>
                                <w:t xml:space="preserve"> </w:t>
                              </w:r>
                              <w:r>
                                <w:rPr>
                                  <w:sz w:val="18"/>
                                </w:rPr>
                                <w:t>Bappeda</w:t>
                              </w:r>
                              <w:r>
                                <w:rPr>
                                  <w:spacing w:val="-7"/>
                                  <w:sz w:val="18"/>
                                </w:rPr>
                                <w:t xml:space="preserve"> </w:t>
                              </w:r>
                              <w:r>
                                <w:rPr>
                                  <w:sz w:val="18"/>
                                </w:rPr>
                                <w:t>who</w:t>
                              </w:r>
                              <w:r>
                                <w:rPr>
                                  <w:spacing w:val="-6"/>
                                  <w:sz w:val="18"/>
                                </w:rPr>
                                <w:t xml:space="preserve"> </w:t>
                              </w:r>
                              <w:r>
                                <w:rPr>
                                  <w:sz w:val="18"/>
                                </w:rPr>
                                <w:t>is</w:t>
                              </w:r>
                              <w:r>
                                <w:rPr>
                                  <w:spacing w:val="-6"/>
                                  <w:sz w:val="18"/>
                                </w:rPr>
                                <w:t xml:space="preserve"> </w:t>
                              </w:r>
                              <w:r>
                                <w:rPr>
                                  <w:sz w:val="18"/>
                                </w:rPr>
                                <w:t>able</w:t>
                              </w:r>
                              <w:r>
                                <w:rPr>
                                  <w:spacing w:val="-6"/>
                                  <w:sz w:val="18"/>
                                </w:rPr>
                                <w:t xml:space="preserve"> </w:t>
                              </w:r>
                              <w:r>
                                <w:rPr>
                                  <w:sz w:val="18"/>
                                </w:rPr>
                                <w:t>to</w:t>
                              </w:r>
                              <w:r>
                                <w:rPr>
                                  <w:spacing w:val="-6"/>
                                  <w:sz w:val="18"/>
                                </w:rPr>
                                <w:t xml:space="preserve"> </w:t>
                              </w:r>
                              <w:r>
                                <w:rPr>
                                  <w:sz w:val="18"/>
                                </w:rPr>
                                <w:t>influence</w:t>
                              </w:r>
                              <w:r>
                                <w:rPr>
                                  <w:spacing w:val="-6"/>
                                  <w:sz w:val="18"/>
                                </w:rPr>
                                <w:t xml:space="preserve"> </w:t>
                              </w:r>
                              <w:r>
                                <w:rPr>
                                  <w:sz w:val="18"/>
                                </w:rPr>
                                <w:t>the</w:t>
                              </w:r>
                              <w:r>
                                <w:rPr>
                                  <w:spacing w:val="-6"/>
                                  <w:sz w:val="18"/>
                                </w:rPr>
                                <w:t xml:space="preserve"> </w:t>
                              </w:r>
                              <w:r>
                                <w:rPr>
                                  <w:sz w:val="18"/>
                                </w:rPr>
                                <w:t>direction</w:t>
                              </w:r>
                              <w:r>
                                <w:rPr>
                                  <w:spacing w:val="-6"/>
                                  <w:sz w:val="18"/>
                                </w:rPr>
                                <w:t xml:space="preserve"> </w:t>
                              </w:r>
                              <w:r>
                                <w:rPr>
                                  <w:sz w:val="18"/>
                                </w:rPr>
                                <w:t>of</w:t>
                              </w:r>
                              <w:r>
                                <w:rPr>
                                  <w:spacing w:val="-7"/>
                                  <w:sz w:val="18"/>
                                </w:rPr>
                                <w:t xml:space="preserve"> </w:t>
                              </w:r>
                              <w:r>
                                <w:rPr>
                                  <w:sz w:val="18"/>
                                </w:rPr>
                                <w:t>leadership</w:t>
                              </w:r>
                              <w:r>
                                <w:rPr>
                                  <w:spacing w:val="-6"/>
                                  <w:sz w:val="18"/>
                                </w:rPr>
                                <w:t xml:space="preserve"> </w:t>
                              </w:r>
                              <w:r>
                                <w:rPr>
                                  <w:sz w:val="18"/>
                                </w:rPr>
                                <w:t>and</w:t>
                              </w:r>
                              <w:r>
                                <w:rPr>
                                  <w:spacing w:val="-6"/>
                                  <w:sz w:val="18"/>
                                </w:rPr>
                                <w:t xml:space="preserve"> </w:t>
                              </w:r>
                              <w:r>
                                <w:rPr>
                                  <w:sz w:val="18"/>
                                </w:rPr>
                                <w:t>increase</w:t>
                              </w:r>
                              <w:r>
                                <w:rPr>
                                  <w:spacing w:val="-6"/>
                                  <w:sz w:val="18"/>
                                </w:rPr>
                                <w:t xml:space="preserve"> </w:t>
                              </w:r>
                              <w:r>
                                <w:rPr>
                                  <w:sz w:val="18"/>
                                </w:rPr>
                                <w:t>Bappeda</w:t>
                              </w:r>
                              <w:r>
                                <w:rPr>
                                  <w:spacing w:val="-4"/>
                                  <w:sz w:val="18"/>
                                </w:rPr>
                                <w:t xml:space="preserve"> </w:t>
                              </w:r>
                              <w:r>
                                <w:rPr>
                                  <w:sz w:val="18"/>
                                </w:rPr>
                                <w:t>'s</w:t>
                              </w:r>
                              <w:r>
                                <w:rPr>
                                  <w:spacing w:val="-6"/>
                                  <w:sz w:val="18"/>
                                </w:rPr>
                                <w:t xml:space="preserve"> </w:t>
                              </w:r>
                              <w:r>
                                <w:rPr>
                                  <w:sz w:val="18"/>
                                </w:rPr>
                                <w:t>strategic</w:t>
                              </w:r>
                              <w:r>
                                <w:rPr>
                                  <w:spacing w:val="-6"/>
                                  <w:sz w:val="18"/>
                                </w:rPr>
                                <w:t xml:space="preserve"> </w:t>
                              </w:r>
                              <w:r>
                                <w:rPr>
                                  <w:sz w:val="18"/>
                                </w:rPr>
                                <w:t xml:space="preserve">awareness of the importance of regional data governance. BPS also noted that the recent changes are both significant and clearly </w:t>
                              </w:r>
                              <w:r>
                                <w:rPr>
                                  <w:spacing w:val="-2"/>
                                  <w:sz w:val="18"/>
                                </w:rPr>
                                <w:t>observable.</w:t>
                              </w:r>
                            </w:p>
                            <w:p w14:paraId="1619AB12" w14:textId="77777777" w:rsidR="00BC24A8" w:rsidRDefault="00BC24A8">
                              <w:pPr>
                                <w:rPr>
                                  <w:sz w:val="18"/>
                                </w:rPr>
                              </w:pPr>
                            </w:p>
                            <w:p w14:paraId="71C48670" w14:textId="77777777" w:rsidR="00BC24A8" w:rsidRDefault="00BC24A8">
                              <w:pPr>
                                <w:rPr>
                                  <w:sz w:val="18"/>
                                </w:rPr>
                              </w:pPr>
                            </w:p>
                            <w:p w14:paraId="1B6659AC" w14:textId="77777777" w:rsidR="00BC24A8" w:rsidRDefault="00BC24A8">
                              <w:pPr>
                                <w:spacing w:before="47"/>
                                <w:rPr>
                                  <w:sz w:val="18"/>
                                </w:rPr>
                              </w:pPr>
                            </w:p>
                            <w:p w14:paraId="408ACD03" w14:textId="77777777" w:rsidR="00BC24A8" w:rsidRDefault="00000000">
                              <w:pPr>
                                <w:spacing w:line="290" w:lineRule="auto"/>
                                <w:ind w:left="580" w:right="612"/>
                                <w:jc w:val="both"/>
                                <w:rPr>
                                  <w:rFonts w:ascii="Times New Roman" w:hAnsi="Times New Roman"/>
                                  <w:b/>
                                  <w:i/>
                                  <w:sz w:val="18"/>
                                </w:rPr>
                              </w:pPr>
                              <w:r>
                                <w:rPr>
                                  <w:rFonts w:ascii="Times New Roman" w:hAnsi="Times New Roman"/>
                                  <w:b/>
                                  <w:i/>
                                  <w:color w:val="17365A"/>
                                  <w:sz w:val="18"/>
                                </w:rPr>
                                <w:t>This</w:t>
                              </w:r>
                              <w:r>
                                <w:rPr>
                                  <w:rFonts w:ascii="Times New Roman" w:hAnsi="Times New Roman"/>
                                  <w:b/>
                                  <w:i/>
                                  <w:color w:val="17365A"/>
                                  <w:spacing w:val="-12"/>
                                  <w:sz w:val="18"/>
                                </w:rPr>
                                <w:t xml:space="preserve"> </w:t>
                              </w:r>
                              <w:r>
                                <w:rPr>
                                  <w:rFonts w:ascii="Times New Roman" w:hAnsi="Times New Roman"/>
                                  <w:b/>
                                  <w:i/>
                                  <w:color w:val="17365A"/>
                                  <w:sz w:val="18"/>
                                </w:rPr>
                                <w:t>is</w:t>
                              </w:r>
                              <w:r>
                                <w:rPr>
                                  <w:rFonts w:ascii="Times New Roman" w:hAnsi="Times New Roman"/>
                                  <w:b/>
                                  <w:i/>
                                  <w:color w:val="17365A"/>
                                  <w:spacing w:val="-11"/>
                                  <w:sz w:val="18"/>
                                </w:rPr>
                                <w:t xml:space="preserve"> </w:t>
                              </w:r>
                              <w:r>
                                <w:rPr>
                                  <w:rFonts w:ascii="Times New Roman" w:hAnsi="Times New Roman"/>
                                  <w:b/>
                                  <w:i/>
                                  <w:color w:val="17365A"/>
                                  <w:sz w:val="18"/>
                                </w:rPr>
                                <w:t>a</w:t>
                              </w:r>
                              <w:r>
                                <w:rPr>
                                  <w:rFonts w:ascii="Times New Roman" w:hAnsi="Times New Roman"/>
                                  <w:b/>
                                  <w:i/>
                                  <w:color w:val="17365A"/>
                                  <w:spacing w:val="-11"/>
                                  <w:sz w:val="18"/>
                                </w:rPr>
                                <w:t xml:space="preserve"> </w:t>
                              </w:r>
                              <w:r>
                                <w:rPr>
                                  <w:rFonts w:ascii="Times New Roman" w:hAnsi="Times New Roman"/>
                                  <w:b/>
                                  <w:i/>
                                  <w:color w:val="17365A"/>
                                  <w:sz w:val="18"/>
                                </w:rPr>
                                <w:t>major</w:t>
                              </w:r>
                              <w:r>
                                <w:rPr>
                                  <w:rFonts w:ascii="Times New Roman" w:hAnsi="Times New Roman"/>
                                  <w:b/>
                                  <w:i/>
                                  <w:color w:val="17365A"/>
                                  <w:spacing w:val="-11"/>
                                  <w:sz w:val="18"/>
                                </w:rPr>
                                <w:t xml:space="preserve"> </w:t>
                              </w:r>
                              <w:r>
                                <w:rPr>
                                  <w:rFonts w:ascii="Times New Roman" w:hAnsi="Times New Roman"/>
                                  <w:b/>
                                  <w:i/>
                                  <w:color w:val="17365A"/>
                                  <w:sz w:val="18"/>
                                </w:rPr>
                                <w:t>shi,</w:t>
                              </w:r>
                              <w:r>
                                <w:rPr>
                                  <w:rFonts w:ascii="Times New Roman" w:hAnsi="Times New Roman"/>
                                  <w:b/>
                                  <w:i/>
                                  <w:color w:val="17365A"/>
                                  <w:spacing w:val="-12"/>
                                  <w:sz w:val="18"/>
                                </w:rPr>
                                <w:t xml:space="preserve"> </w:t>
                              </w:r>
                              <w:r>
                                <w:rPr>
                                  <w:rFonts w:ascii="Times New Roman" w:hAnsi="Times New Roman"/>
                                  <w:b/>
                                  <w:i/>
                                  <w:color w:val="17365A"/>
                                  <w:sz w:val="18"/>
                                </w:rPr>
                                <w:t>as</w:t>
                              </w:r>
                              <w:r>
                                <w:rPr>
                                  <w:rFonts w:ascii="Times New Roman" w:hAnsi="Times New Roman"/>
                                  <w:b/>
                                  <w:i/>
                                  <w:color w:val="17365A"/>
                                  <w:spacing w:val="-11"/>
                                  <w:sz w:val="18"/>
                                </w:rPr>
                                <w:t xml:space="preserve"> </w:t>
                              </w:r>
                              <w:r>
                                <w:rPr>
                                  <w:rFonts w:ascii="Times New Roman" w:hAnsi="Times New Roman"/>
                                  <w:b/>
                                  <w:i/>
                                  <w:color w:val="17365A"/>
                                  <w:sz w:val="18"/>
                                </w:rPr>
                                <w:t>Bappeda</w:t>
                              </w:r>
                              <w:r>
                                <w:rPr>
                                  <w:rFonts w:ascii="Times New Roman" w:hAnsi="Times New Roman"/>
                                  <w:b/>
                                  <w:i/>
                                  <w:color w:val="17365A"/>
                                  <w:spacing w:val="-11"/>
                                  <w:sz w:val="18"/>
                                </w:rPr>
                                <w:t xml:space="preserve"> </w:t>
                              </w:r>
                              <w:r>
                                <w:rPr>
                                  <w:rFonts w:ascii="Times New Roman" w:hAnsi="Times New Roman"/>
                                  <w:b/>
                                  <w:i/>
                                  <w:color w:val="17365A"/>
                                  <w:sz w:val="18"/>
                                </w:rPr>
                                <w:t>is</w:t>
                              </w:r>
                              <w:r>
                                <w:rPr>
                                  <w:rFonts w:ascii="Times New Roman" w:hAnsi="Times New Roman"/>
                                  <w:b/>
                                  <w:i/>
                                  <w:color w:val="17365A"/>
                                  <w:spacing w:val="-11"/>
                                  <w:sz w:val="18"/>
                                </w:rPr>
                                <w:t xml:space="preserve"> </w:t>
                              </w:r>
                              <w:r>
                                <w:rPr>
                                  <w:rFonts w:ascii="Times New Roman" w:hAnsi="Times New Roman"/>
                                  <w:b/>
                                  <w:i/>
                                  <w:color w:val="17365A"/>
                                  <w:sz w:val="18"/>
                                </w:rPr>
                                <w:t>one</w:t>
                              </w:r>
                              <w:r>
                                <w:rPr>
                                  <w:rFonts w:ascii="Times New Roman" w:hAnsi="Times New Roman"/>
                                  <w:b/>
                                  <w:i/>
                                  <w:color w:val="17365A"/>
                                  <w:spacing w:val="-12"/>
                                  <w:sz w:val="18"/>
                                </w:rPr>
                                <w:t xml:space="preserve"> </w:t>
                              </w:r>
                              <w:r>
                                <w:rPr>
                                  <w:rFonts w:ascii="Times New Roman" w:hAnsi="Times New Roman"/>
                                  <w:b/>
                                  <w:i/>
                                  <w:color w:val="17365A"/>
                                  <w:sz w:val="18"/>
                                </w:rPr>
                                <w:t>of</w:t>
                              </w:r>
                              <w:r>
                                <w:rPr>
                                  <w:rFonts w:ascii="Times New Roman" w:hAnsi="Times New Roman"/>
                                  <w:b/>
                                  <w:i/>
                                  <w:color w:val="17365A"/>
                                  <w:spacing w:val="-11"/>
                                  <w:sz w:val="18"/>
                                </w:rPr>
                                <w:t xml:space="preserve"> </w:t>
                              </w:r>
                              <w:r>
                                <w:rPr>
                                  <w:rFonts w:ascii="Times New Roman" w:hAnsi="Times New Roman"/>
                                  <w:b/>
                                  <w:i/>
                                  <w:color w:val="17365A"/>
                                  <w:sz w:val="18"/>
                                </w:rPr>
                                <w:t>the</w:t>
                              </w:r>
                              <w:r>
                                <w:rPr>
                                  <w:rFonts w:ascii="Times New Roman" w:hAnsi="Times New Roman"/>
                                  <w:b/>
                                  <w:i/>
                                  <w:color w:val="17365A"/>
                                  <w:spacing w:val="-11"/>
                                  <w:sz w:val="18"/>
                                </w:rPr>
                                <w:t xml:space="preserve"> </w:t>
                              </w:r>
                              <w:r>
                                <w:rPr>
                                  <w:rFonts w:ascii="Times New Roman" w:hAnsi="Times New Roman"/>
                                  <w:b/>
                                  <w:i/>
                                  <w:color w:val="17365A"/>
                                  <w:sz w:val="18"/>
                                </w:rPr>
                                <w:t>key</w:t>
                              </w:r>
                              <w:r>
                                <w:rPr>
                                  <w:rFonts w:ascii="Times New Roman" w:hAnsi="Times New Roman"/>
                                  <w:b/>
                                  <w:i/>
                                  <w:color w:val="17365A"/>
                                  <w:spacing w:val="-11"/>
                                  <w:sz w:val="18"/>
                                </w:rPr>
                                <w:t xml:space="preserve"> </w:t>
                              </w:r>
                              <w:r>
                                <w:rPr>
                                  <w:rFonts w:ascii="Times New Roman" w:hAnsi="Times New Roman"/>
                                  <w:b/>
                                  <w:i/>
                                  <w:color w:val="17365A"/>
                                  <w:sz w:val="18"/>
                                </w:rPr>
                                <w:t>agencies</w:t>
                              </w:r>
                              <w:r>
                                <w:rPr>
                                  <w:rFonts w:ascii="Times New Roman" w:hAnsi="Times New Roman"/>
                                  <w:b/>
                                  <w:i/>
                                  <w:color w:val="17365A"/>
                                  <w:spacing w:val="-12"/>
                                  <w:sz w:val="18"/>
                                </w:rPr>
                                <w:t xml:space="preserve"> </w:t>
                              </w:r>
                              <w:r>
                                <w:rPr>
                                  <w:rFonts w:ascii="Times New Roman" w:hAnsi="Times New Roman"/>
                                  <w:b/>
                                  <w:i/>
                                  <w:color w:val="17365A"/>
                                  <w:sz w:val="18"/>
                                </w:rPr>
                                <w:t>that</w:t>
                              </w:r>
                              <w:r>
                                <w:rPr>
                                  <w:rFonts w:ascii="Times New Roman" w:hAnsi="Times New Roman"/>
                                  <w:b/>
                                  <w:i/>
                                  <w:color w:val="17365A"/>
                                  <w:spacing w:val="-11"/>
                                  <w:sz w:val="18"/>
                                </w:rPr>
                                <w:t xml:space="preserve"> </w:t>
                              </w:r>
                              <w:r>
                                <w:rPr>
                                  <w:rFonts w:ascii="Times New Roman" w:hAnsi="Times New Roman"/>
                                  <w:b/>
                                  <w:i/>
                                  <w:color w:val="17365A"/>
                                  <w:sz w:val="18"/>
                                </w:rPr>
                                <w:t>can</w:t>
                              </w:r>
                              <w:r>
                                <w:rPr>
                                  <w:rFonts w:ascii="Times New Roman" w:hAnsi="Times New Roman"/>
                                  <w:b/>
                                  <w:i/>
                                  <w:color w:val="17365A"/>
                                  <w:spacing w:val="-11"/>
                                  <w:sz w:val="18"/>
                                </w:rPr>
                                <w:t xml:space="preserve"> </w:t>
                              </w:r>
                              <w:r>
                                <w:rPr>
                                  <w:rFonts w:ascii="Times New Roman" w:hAnsi="Times New Roman"/>
                                  <w:b/>
                                  <w:i/>
                                  <w:color w:val="17365A"/>
                                  <w:sz w:val="18"/>
                                </w:rPr>
                                <w:t>steer</w:t>
                              </w:r>
                              <w:r>
                                <w:rPr>
                                  <w:rFonts w:ascii="Times New Roman" w:hAnsi="Times New Roman"/>
                                  <w:b/>
                                  <w:i/>
                                  <w:color w:val="17365A"/>
                                  <w:spacing w:val="-11"/>
                                  <w:sz w:val="18"/>
                                </w:rPr>
                                <w:t xml:space="preserve"> </w:t>
                              </w:r>
                              <w:r>
                                <w:rPr>
                                  <w:rFonts w:ascii="Times New Roman" w:hAnsi="Times New Roman"/>
                                  <w:b/>
                                  <w:i/>
                                  <w:color w:val="17365A"/>
                                  <w:sz w:val="18"/>
                                </w:rPr>
                                <w:t>the</w:t>
                              </w:r>
                              <w:r>
                                <w:rPr>
                                  <w:rFonts w:ascii="Times New Roman" w:hAnsi="Times New Roman"/>
                                  <w:b/>
                                  <w:i/>
                                  <w:color w:val="17365A"/>
                                  <w:spacing w:val="-12"/>
                                  <w:sz w:val="18"/>
                                </w:rPr>
                                <w:t xml:space="preserve"> </w:t>
                              </w:r>
                              <w:r>
                                <w:rPr>
                                  <w:rFonts w:ascii="Times New Roman" w:hAnsi="Times New Roman"/>
                                  <w:b/>
                                  <w:i/>
                                  <w:color w:val="17365A"/>
                                  <w:sz w:val="18"/>
                                </w:rPr>
                                <w:t>direction</w:t>
                              </w:r>
                              <w:r>
                                <w:rPr>
                                  <w:rFonts w:ascii="Times New Roman" w:hAnsi="Times New Roman"/>
                                  <w:b/>
                                  <w:i/>
                                  <w:color w:val="17365A"/>
                                  <w:spacing w:val="-11"/>
                                  <w:sz w:val="18"/>
                                </w:rPr>
                                <w:t xml:space="preserve"> </w:t>
                              </w:r>
                              <w:r>
                                <w:rPr>
                                  <w:rFonts w:ascii="Times New Roman" w:hAnsi="Times New Roman"/>
                                  <w:b/>
                                  <w:i/>
                                  <w:color w:val="17365A"/>
                                  <w:sz w:val="18"/>
                                </w:rPr>
                                <w:t>of</w:t>
                              </w:r>
                              <w:r>
                                <w:rPr>
                                  <w:rFonts w:ascii="Times New Roman" w:hAnsi="Times New Roman"/>
                                  <w:b/>
                                  <w:i/>
                                  <w:color w:val="17365A"/>
                                  <w:spacing w:val="-10"/>
                                  <w:sz w:val="18"/>
                                </w:rPr>
                                <w:t xml:space="preserve"> </w:t>
                              </w:r>
                              <w:r>
                                <w:rPr>
                                  <w:rFonts w:ascii="Times New Roman" w:hAnsi="Times New Roman"/>
                                  <w:b/>
                                  <w:i/>
                                  <w:color w:val="17365A"/>
                                  <w:sz w:val="18"/>
                                </w:rPr>
                                <w:t>government</w:t>
                              </w:r>
                              <w:r>
                                <w:rPr>
                                  <w:rFonts w:ascii="Times New Roman" w:hAnsi="Times New Roman"/>
                                  <w:b/>
                                  <w:i/>
                                  <w:color w:val="17365A"/>
                                  <w:spacing w:val="-11"/>
                                  <w:sz w:val="18"/>
                                </w:rPr>
                                <w:t xml:space="preserve"> </w:t>
                              </w:r>
                              <w:r>
                                <w:rPr>
                                  <w:rFonts w:ascii="Times New Roman" w:hAnsi="Times New Roman"/>
                                  <w:b/>
                                  <w:i/>
                                  <w:color w:val="17365A"/>
                                  <w:sz w:val="18"/>
                                </w:rPr>
                                <w:t xml:space="preserve">policy. </w:t>
                              </w:r>
                              <w:r>
                                <w:rPr>
                                  <w:rFonts w:ascii="Times New Roman" w:hAnsi="Times New Roman"/>
                                  <w:b/>
                                  <w:i/>
                                  <w:color w:val="17365A"/>
                                  <w:spacing w:val="-2"/>
                                  <w:sz w:val="18"/>
                                </w:rPr>
                                <w:t>Since</w:t>
                              </w:r>
                              <w:r>
                                <w:rPr>
                                  <w:rFonts w:ascii="Times New Roman" w:hAnsi="Times New Roman"/>
                                  <w:b/>
                                  <w:i/>
                                  <w:color w:val="17365A"/>
                                  <w:spacing w:val="-10"/>
                                  <w:sz w:val="18"/>
                                </w:rPr>
                                <w:t xml:space="preserve"> </w:t>
                              </w:r>
                              <w:r>
                                <w:rPr>
                                  <w:rFonts w:ascii="Times New Roman" w:hAnsi="Times New Roman"/>
                                  <w:b/>
                                  <w:i/>
                                  <w:color w:val="17365A"/>
                                  <w:spacing w:val="-2"/>
                                  <w:sz w:val="18"/>
                                </w:rPr>
                                <w:t>SKALA’s</w:t>
                              </w:r>
                              <w:r>
                                <w:rPr>
                                  <w:rFonts w:ascii="Times New Roman" w:hAnsi="Times New Roman"/>
                                  <w:b/>
                                  <w:i/>
                                  <w:color w:val="17365A"/>
                                  <w:spacing w:val="-9"/>
                                  <w:sz w:val="18"/>
                                </w:rPr>
                                <w:t xml:space="preserve"> </w:t>
                              </w:r>
                              <w:r>
                                <w:rPr>
                                  <w:rFonts w:ascii="Times New Roman" w:hAnsi="Times New Roman"/>
                                  <w:b/>
                                  <w:i/>
                                  <w:color w:val="17365A"/>
                                  <w:spacing w:val="-2"/>
                                  <w:sz w:val="18"/>
                                </w:rPr>
                                <w:t>involvement,</w:t>
                              </w:r>
                              <w:r>
                                <w:rPr>
                                  <w:rFonts w:ascii="Times New Roman" w:hAnsi="Times New Roman"/>
                                  <w:b/>
                                  <w:i/>
                                  <w:color w:val="17365A"/>
                                  <w:spacing w:val="-9"/>
                                  <w:sz w:val="18"/>
                                </w:rPr>
                                <w:t xml:space="preserve"> </w:t>
                              </w:r>
                              <w:r>
                                <w:rPr>
                                  <w:rFonts w:ascii="Times New Roman" w:hAnsi="Times New Roman"/>
                                  <w:b/>
                                  <w:i/>
                                  <w:color w:val="17365A"/>
                                  <w:spacing w:val="-2"/>
                                  <w:sz w:val="18"/>
                                </w:rPr>
                                <w:t>I’ve</w:t>
                              </w:r>
                              <w:r>
                                <w:rPr>
                                  <w:rFonts w:ascii="Times New Roman" w:hAnsi="Times New Roman"/>
                                  <w:b/>
                                  <w:i/>
                                  <w:color w:val="17365A"/>
                                  <w:spacing w:val="-9"/>
                                  <w:sz w:val="18"/>
                                </w:rPr>
                                <w:t xml:space="preserve"> </w:t>
                              </w:r>
                              <w:r>
                                <w:rPr>
                                  <w:rFonts w:ascii="Times New Roman" w:hAnsi="Times New Roman"/>
                                  <w:b/>
                                  <w:i/>
                                  <w:color w:val="17365A"/>
                                  <w:spacing w:val="-2"/>
                                  <w:sz w:val="18"/>
                                </w:rPr>
                                <w:t>come</w:t>
                              </w:r>
                              <w:r>
                                <w:rPr>
                                  <w:rFonts w:ascii="Times New Roman" w:hAnsi="Times New Roman"/>
                                  <w:b/>
                                  <w:i/>
                                  <w:color w:val="17365A"/>
                                  <w:spacing w:val="-10"/>
                                  <w:sz w:val="18"/>
                                </w:rPr>
                                <w:t xml:space="preserve"> </w:t>
                              </w:r>
                              <w:r>
                                <w:rPr>
                                  <w:rFonts w:ascii="Times New Roman" w:hAnsi="Times New Roman"/>
                                  <w:b/>
                                  <w:i/>
                                  <w:color w:val="17365A"/>
                                  <w:spacing w:val="-2"/>
                                  <w:sz w:val="18"/>
                                </w:rPr>
                                <w:t>to</w:t>
                              </w:r>
                              <w:r>
                                <w:rPr>
                                  <w:rFonts w:ascii="Times New Roman" w:hAnsi="Times New Roman"/>
                                  <w:b/>
                                  <w:i/>
                                  <w:color w:val="17365A"/>
                                  <w:spacing w:val="-9"/>
                                  <w:sz w:val="18"/>
                                </w:rPr>
                                <w:t xml:space="preserve"> </w:t>
                              </w:r>
                              <w:r>
                                <w:rPr>
                                  <w:rFonts w:ascii="Times New Roman" w:hAnsi="Times New Roman"/>
                                  <w:b/>
                                  <w:i/>
                                  <w:color w:val="17365A"/>
                                  <w:spacing w:val="-2"/>
                                  <w:sz w:val="18"/>
                                </w:rPr>
                                <w:t>see</w:t>
                              </w:r>
                              <w:r>
                                <w:rPr>
                                  <w:rFonts w:ascii="Times New Roman" w:hAnsi="Times New Roman"/>
                                  <w:b/>
                                  <w:i/>
                                  <w:color w:val="17365A"/>
                                  <w:spacing w:val="-9"/>
                                  <w:sz w:val="18"/>
                                </w:rPr>
                                <w:t xml:space="preserve"> </w:t>
                              </w:r>
                              <w:r>
                                <w:rPr>
                                  <w:rFonts w:ascii="Times New Roman" w:hAnsi="Times New Roman"/>
                                  <w:b/>
                                  <w:i/>
                                  <w:color w:val="17365A"/>
                                  <w:spacing w:val="-2"/>
                                  <w:sz w:val="18"/>
                                </w:rPr>
                                <w:t>Bappeda’s</w:t>
                              </w:r>
                              <w:r>
                                <w:rPr>
                                  <w:rFonts w:ascii="Times New Roman" w:hAnsi="Times New Roman"/>
                                  <w:b/>
                                  <w:i/>
                                  <w:color w:val="17365A"/>
                                  <w:spacing w:val="-9"/>
                                  <w:sz w:val="18"/>
                                </w:rPr>
                                <w:t xml:space="preserve"> </w:t>
                              </w:r>
                              <w:r>
                                <w:rPr>
                                  <w:rFonts w:ascii="Times New Roman" w:hAnsi="Times New Roman"/>
                                  <w:b/>
                                  <w:i/>
                                  <w:color w:val="17365A"/>
                                  <w:spacing w:val="-2"/>
                                  <w:sz w:val="18"/>
                                </w:rPr>
                                <w:t>role</w:t>
                              </w:r>
                              <w:r>
                                <w:rPr>
                                  <w:rFonts w:ascii="Times New Roman" w:hAnsi="Times New Roman"/>
                                  <w:b/>
                                  <w:i/>
                                  <w:color w:val="17365A"/>
                                  <w:spacing w:val="-10"/>
                                  <w:sz w:val="18"/>
                                </w:rPr>
                                <w:t xml:space="preserve"> </w:t>
                              </w:r>
                              <w:r>
                                <w:rPr>
                                  <w:rFonts w:ascii="Times New Roman" w:hAnsi="Times New Roman"/>
                                  <w:b/>
                                  <w:i/>
                                  <w:color w:val="17365A"/>
                                  <w:spacing w:val="-2"/>
                                  <w:sz w:val="18"/>
                                </w:rPr>
                                <w:t>in</w:t>
                              </w:r>
                              <w:r>
                                <w:rPr>
                                  <w:rFonts w:ascii="Times New Roman" w:hAnsi="Times New Roman"/>
                                  <w:b/>
                                  <w:i/>
                                  <w:color w:val="17365A"/>
                                  <w:spacing w:val="-9"/>
                                  <w:sz w:val="18"/>
                                </w:rPr>
                                <w:t xml:space="preserve"> </w:t>
                              </w:r>
                              <w:r>
                                <w:rPr>
                                  <w:rFonts w:ascii="Times New Roman" w:hAnsi="Times New Roman"/>
                                  <w:b/>
                                  <w:i/>
                                  <w:color w:val="17365A"/>
                                  <w:spacing w:val="-2"/>
                                  <w:sz w:val="18"/>
                                </w:rPr>
                                <w:t>the</w:t>
                              </w:r>
                              <w:r>
                                <w:rPr>
                                  <w:rFonts w:ascii="Times New Roman" w:hAnsi="Times New Roman"/>
                                  <w:b/>
                                  <w:i/>
                                  <w:color w:val="17365A"/>
                                  <w:spacing w:val="-5"/>
                                  <w:sz w:val="18"/>
                                </w:rPr>
                                <w:t xml:space="preserve"> </w:t>
                              </w:r>
                              <w:r>
                                <w:rPr>
                                  <w:rFonts w:ascii="Times New Roman" w:hAnsi="Times New Roman"/>
                                  <w:b/>
                                  <w:i/>
                                  <w:color w:val="17365A"/>
                                  <w:spacing w:val="-2"/>
                                  <w:sz w:val="18"/>
                                </w:rPr>
                                <w:t>One</w:t>
                              </w:r>
                              <w:r>
                                <w:rPr>
                                  <w:rFonts w:ascii="Times New Roman" w:hAnsi="Times New Roman"/>
                                  <w:b/>
                                  <w:i/>
                                  <w:color w:val="17365A"/>
                                  <w:spacing w:val="-10"/>
                                  <w:sz w:val="18"/>
                                </w:rPr>
                                <w:t xml:space="preserve"> </w:t>
                              </w:r>
                              <w:r>
                                <w:rPr>
                                  <w:rFonts w:ascii="Times New Roman" w:hAnsi="Times New Roman"/>
                                  <w:b/>
                                  <w:i/>
                                  <w:color w:val="17365A"/>
                                  <w:spacing w:val="-2"/>
                                  <w:sz w:val="18"/>
                                </w:rPr>
                                <w:t>Data</w:t>
                              </w:r>
                              <w:r>
                                <w:rPr>
                                  <w:rFonts w:ascii="Times New Roman" w:hAnsi="Times New Roman"/>
                                  <w:b/>
                                  <w:i/>
                                  <w:color w:val="17365A"/>
                                  <w:spacing w:val="-6"/>
                                  <w:sz w:val="18"/>
                                </w:rPr>
                                <w:t xml:space="preserve"> </w:t>
                              </w:r>
                              <w:r>
                                <w:rPr>
                                  <w:rFonts w:ascii="Times New Roman" w:hAnsi="Times New Roman"/>
                                  <w:b/>
                                  <w:i/>
                                  <w:color w:val="17365A"/>
                                  <w:spacing w:val="-2"/>
                                  <w:sz w:val="18"/>
                                </w:rPr>
                                <w:t>Forum</w:t>
                              </w:r>
                              <w:r>
                                <w:rPr>
                                  <w:rFonts w:ascii="Times New Roman" w:hAnsi="Times New Roman"/>
                                  <w:b/>
                                  <w:i/>
                                  <w:color w:val="17365A"/>
                                  <w:spacing w:val="-10"/>
                                  <w:sz w:val="18"/>
                                </w:rPr>
                                <w:t xml:space="preserve"> </w:t>
                              </w:r>
                              <w:r>
                                <w:rPr>
                                  <w:rFonts w:ascii="Times New Roman" w:hAnsi="Times New Roman"/>
                                  <w:b/>
                                  <w:i/>
                                  <w:color w:val="17365A"/>
                                  <w:spacing w:val="-2"/>
                                  <w:sz w:val="18"/>
                                </w:rPr>
                                <w:t>as</w:t>
                              </w:r>
                              <w:r>
                                <w:rPr>
                                  <w:rFonts w:ascii="Times New Roman" w:hAnsi="Times New Roman"/>
                                  <w:b/>
                                  <w:i/>
                                  <w:color w:val="17365A"/>
                                  <w:spacing w:val="-8"/>
                                  <w:sz w:val="18"/>
                                </w:rPr>
                                <w:t xml:space="preserve"> </w:t>
                              </w:r>
                              <w:r>
                                <w:rPr>
                                  <w:rFonts w:ascii="Times New Roman" w:hAnsi="Times New Roman"/>
                                  <w:b/>
                                  <w:i/>
                                  <w:color w:val="17365A"/>
                                  <w:spacing w:val="-2"/>
                                  <w:sz w:val="18"/>
                                </w:rPr>
                                <w:t>truly</w:t>
                              </w:r>
                              <w:r>
                                <w:rPr>
                                  <w:rFonts w:ascii="Times New Roman" w:hAnsi="Times New Roman"/>
                                  <w:b/>
                                  <w:i/>
                                  <w:color w:val="17365A"/>
                                  <w:spacing w:val="-8"/>
                                  <w:sz w:val="18"/>
                                </w:rPr>
                                <w:t xml:space="preserve"> </w:t>
                              </w:r>
                              <w:r>
                                <w:rPr>
                                  <w:rFonts w:ascii="Times New Roman" w:hAnsi="Times New Roman"/>
                                  <w:b/>
                                  <w:i/>
                                  <w:color w:val="17365A"/>
                                  <w:spacing w:val="-2"/>
                                  <w:sz w:val="18"/>
                                </w:rPr>
                                <w:t>important.</w:t>
                              </w:r>
                              <w:r>
                                <w:rPr>
                                  <w:rFonts w:ascii="Times New Roman" w:hAnsi="Times New Roman"/>
                                  <w:b/>
                                  <w:i/>
                                  <w:color w:val="17365A"/>
                                  <w:spacing w:val="-9"/>
                                  <w:sz w:val="18"/>
                                </w:rPr>
                                <w:t xml:space="preserve"> </w:t>
                              </w:r>
                              <w:r>
                                <w:rPr>
                                  <w:rFonts w:ascii="Times New Roman" w:hAnsi="Times New Roman"/>
                                  <w:b/>
                                  <w:i/>
                                  <w:color w:val="17365A"/>
                                  <w:spacing w:val="-2"/>
                                  <w:sz w:val="18"/>
                                </w:rPr>
                                <w:t>It</w:t>
                              </w:r>
                              <w:r>
                                <w:rPr>
                                  <w:rFonts w:ascii="Times New Roman" w:hAnsi="Times New Roman"/>
                                  <w:b/>
                                  <w:i/>
                                  <w:color w:val="17365A"/>
                                  <w:spacing w:val="-10"/>
                                  <w:sz w:val="18"/>
                                </w:rPr>
                                <w:t xml:space="preserve"> </w:t>
                              </w:r>
                              <w:r>
                                <w:rPr>
                                  <w:rFonts w:ascii="Times New Roman" w:hAnsi="Times New Roman"/>
                                  <w:b/>
                                  <w:i/>
                                  <w:color w:val="17365A"/>
                                  <w:spacing w:val="-2"/>
                                  <w:sz w:val="18"/>
                                </w:rPr>
                                <w:t xml:space="preserve">has </w:t>
                              </w:r>
                              <w:r>
                                <w:rPr>
                                  <w:rFonts w:ascii="Times New Roman" w:hAnsi="Times New Roman"/>
                                  <w:b/>
                                  <w:i/>
                                  <w:color w:val="17365A"/>
                                  <w:sz w:val="18"/>
                                </w:rPr>
                                <w:t>reshaped my mindset.</w:t>
                              </w:r>
                            </w:p>
                            <w:p w14:paraId="27E7C867" w14:textId="77777777" w:rsidR="00BC24A8" w:rsidRDefault="00000000">
                              <w:pPr>
                                <w:spacing w:line="207" w:lineRule="exact"/>
                                <w:ind w:left="580"/>
                                <w:jc w:val="both"/>
                                <w:rPr>
                                  <w:i/>
                                  <w:sz w:val="18"/>
                                </w:rPr>
                              </w:pPr>
                              <w:r>
                                <w:rPr>
                                  <w:i/>
                                  <w:color w:val="17365A"/>
                                  <w:sz w:val="18"/>
                                </w:rPr>
                                <w:t>BPS</w:t>
                              </w:r>
                              <w:r>
                                <w:rPr>
                                  <w:i/>
                                  <w:color w:val="17365A"/>
                                  <w:spacing w:val="-9"/>
                                  <w:sz w:val="18"/>
                                </w:rPr>
                                <w:t xml:space="preserve"> </w:t>
                              </w:r>
                              <w:r>
                                <w:rPr>
                                  <w:i/>
                                  <w:color w:val="17365A"/>
                                  <w:sz w:val="18"/>
                                </w:rPr>
                                <w:t>representative,</w:t>
                              </w:r>
                              <w:r>
                                <w:rPr>
                                  <w:i/>
                                  <w:color w:val="17365A"/>
                                  <w:spacing w:val="-8"/>
                                  <w:sz w:val="18"/>
                                </w:rPr>
                                <w:t xml:space="preserve"> </w:t>
                              </w:r>
                              <w:r>
                                <w:rPr>
                                  <w:i/>
                                  <w:color w:val="17365A"/>
                                  <w:spacing w:val="-2"/>
                                  <w:sz w:val="18"/>
                                </w:rPr>
                                <w:t>2025.</w:t>
                              </w:r>
                            </w:p>
                            <w:p w14:paraId="01FFE8DE" w14:textId="77777777" w:rsidR="00BC24A8" w:rsidRDefault="00BC24A8">
                              <w:pPr>
                                <w:rPr>
                                  <w:i/>
                                  <w:sz w:val="18"/>
                                </w:rPr>
                              </w:pPr>
                            </w:p>
                            <w:p w14:paraId="51955122" w14:textId="77777777" w:rsidR="00BC24A8" w:rsidRDefault="00BC24A8">
                              <w:pPr>
                                <w:spacing w:before="159"/>
                                <w:rPr>
                                  <w:i/>
                                  <w:sz w:val="18"/>
                                </w:rPr>
                              </w:pPr>
                            </w:p>
                            <w:p w14:paraId="68565FF1" w14:textId="77777777" w:rsidR="00BC24A8" w:rsidRDefault="00000000">
                              <w:pPr>
                                <w:spacing w:before="1"/>
                                <w:ind w:left="247" w:right="243"/>
                                <w:jc w:val="both"/>
                                <w:rPr>
                                  <w:sz w:val="18"/>
                                </w:rPr>
                              </w:pPr>
                              <w:r>
                                <w:rPr>
                                  <w:sz w:val="18"/>
                                </w:rPr>
                                <w:t>This</w:t>
                              </w:r>
                              <w:r>
                                <w:rPr>
                                  <w:spacing w:val="-2"/>
                                  <w:sz w:val="18"/>
                                </w:rPr>
                                <w:t xml:space="preserve"> </w:t>
                              </w:r>
                              <w:r>
                                <w:rPr>
                                  <w:sz w:val="18"/>
                                </w:rPr>
                                <w:t>change</w:t>
                              </w:r>
                              <w:r>
                                <w:rPr>
                                  <w:spacing w:val="-2"/>
                                  <w:sz w:val="18"/>
                                </w:rPr>
                                <w:t xml:space="preserve"> </w:t>
                              </w:r>
                              <w:r>
                                <w:rPr>
                                  <w:sz w:val="18"/>
                                </w:rPr>
                                <w:t>in</w:t>
                              </w:r>
                              <w:r>
                                <w:rPr>
                                  <w:spacing w:val="-2"/>
                                  <w:sz w:val="18"/>
                                </w:rPr>
                                <w:t xml:space="preserve"> </w:t>
                              </w:r>
                              <w:r>
                                <w:rPr>
                                  <w:sz w:val="18"/>
                                </w:rPr>
                                <w:t>role</w:t>
                              </w:r>
                              <w:r>
                                <w:rPr>
                                  <w:spacing w:val="-2"/>
                                  <w:sz w:val="18"/>
                                </w:rPr>
                                <w:t xml:space="preserve"> </w:t>
                              </w:r>
                              <w:r>
                                <w:rPr>
                                  <w:sz w:val="18"/>
                                </w:rPr>
                                <w:t>has</w:t>
                              </w:r>
                              <w:r>
                                <w:rPr>
                                  <w:spacing w:val="-2"/>
                                  <w:sz w:val="18"/>
                                </w:rPr>
                                <w:t xml:space="preserve"> </w:t>
                              </w:r>
                              <w:r>
                                <w:rPr>
                                  <w:sz w:val="18"/>
                                </w:rPr>
                                <w:t>had a</w:t>
                              </w:r>
                              <w:r>
                                <w:rPr>
                                  <w:spacing w:val="-3"/>
                                  <w:sz w:val="18"/>
                                </w:rPr>
                                <w:t xml:space="preserve"> </w:t>
                              </w:r>
                              <w:r>
                                <w:rPr>
                                  <w:sz w:val="18"/>
                                </w:rPr>
                                <w:t>real impact.</w:t>
                              </w:r>
                              <w:r>
                                <w:rPr>
                                  <w:spacing w:val="-3"/>
                                  <w:sz w:val="18"/>
                                </w:rPr>
                                <w:t xml:space="preserve"> </w:t>
                              </w:r>
                              <w:r>
                                <w:rPr>
                                  <w:sz w:val="18"/>
                                </w:rPr>
                                <w:t>The</w:t>
                              </w:r>
                              <w:r>
                                <w:rPr>
                                  <w:spacing w:val="-2"/>
                                  <w:sz w:val="18"/>
                                </w:rPr>
                                <w:t xml:space="preserve"> </w:t>
                              </w:r>
                              <w:r>
                                <w:rPr>
                                  <w:sz w:val="18"/>
                                </w:rPr>
                                <w:t>forum</w:t>
                              </w:r>
                              <w:r>
                                <w:rPr>
                                  <w:spacing w:val="-3"/>
                                  <w:sz w:val="18"/>
                                </w:rPr>
                                <w:t xml:space="preserve"> </w:t>
                              </w:r>
                              <w:r>
                                <w:rPr>
                                  <w:sz w:val="18"/>
                                </w:rPr>
                                <w:t>is</w:t>
                              </w:r>
                              <w:r>
                                <w:rPr>
                                  <w:spacing w:val="-2"/>
                                  <w:sz w:val="18"/>
                                </w:rPr>
                                <w:t xml:space="preserve"> </w:t>
                              </w:r>
                              <w:r>
                                <w:rPr>
                                  <w:sz w:val="18"/>
                                </w:rPr>
                                <w:t>now</w:t>
                              </w:r>
                              <w:r>
                                <w:rPr>
                                  <w:spacing w:val="-3"/>
                                  <w:sz w:val="18"/>
                                </w:rPr>
                                <w:t xml:space="preserve"> </w:t>
                              </w:r>
                              <w:r>
                                <w:rPr>
                                  <w:sz w:val="18"/>
                                </w:rPr>
                                <w:t>institutionally</w:t>
                              </w:r>
                              <w:r>
                                <w:rPr>
                                  <w:spacing w:val="-2"/>
                                  <w:sz w:val="18"/>
                                </w:rPr>
                                <w:t xml:space="preserve"> </w:t>
                              </w:r>
                              <w:r>
                                <w:rPr>
                                  <w:sz w:val="18"/>
                                </w:rPr>
                                <w:t>stronger.</w:t>
                              </w:r>
                              <w:r>
                                <w:rPr>
                                  <w:spacing w:val="-3"/>
                                  <w:sz w:val="18"/>
                                </w:rPr>
                                <w:t xml:space="preserve"> </w:t>
                              </w:r>
                              <w:r>
                                <w:rPr>
                                  <w:sz w:val="18"/>
                                </w:rPr>
                                <w:t>A</w:t>
                              </w:r>
                              <w:r>
                                <w:rPr>
                                  <w:spacing w:val="-3"/>
                                  <w:sz w:val="18"/>
                                </w:rPr>
                                <w:t xml:space="preserve"> </w:t>
                              </w:r>
                              <w:r>
                                <w:rPr>
                                  <w:sz w:val="18"/>
                                </w:rPr>
                                <w:t>list</w:t>
                              </w:r>
                              <w:r>
                                <w:rPr>
                                  <w:spacing w:val="-1"/>
                                  <w:sz w:val="18"/>
                                </w:rPr>
                                <w:t xml:space="preserve"> </w:t>
                              </w:r>
                              <w:r>
                                <w:rPr>
                                  <w:sz w:val="18"/>
                                </w:rPr>
                                <w:t>of</w:t>
                              </w:r>
                              <w:r>
                                <w:rPr>
                                  <w:spacing w:val="-3"/>
                                  <w:sz w:val="18"/>
                                </w:rPr>
                                <w:t xml:space="preserve"> </w:t>
                              </w:r>
                              <w:r>
                                <w:rPr>
                                  <w:sz w:val="18"/>
                                </w:rPr>
                                <w:t>basic</w:t>
                              </w:r>
                              <w:r>
                                <w:rPr>
                                  <w:spacing w:val="-2"/>
                                  <w:sz w:val="18"/>
                                </w:rPr>
                                <w:t xml:space="preserve"> </w:t>
                              </w:r>
                              <w:r>
                                <w:rPr>
                                  <w:sz w:val="18"/>
                                </w:rPr>
                                <w:t>regional</w:t>
                              </w:r>
                              <w:r>
                                <w:rPr>
                                  <w:spacing w:val="-1"/>
                                  <w:sz w:val="18"/>
                                </w:rPr>
                                <w:t xml:space="preserve"> </w:t>
                              </w:r>
                              <w:r>
                                <w:rPr>
                                  <w:sz w:val="18"/>
                                </w:rPr>
                                <w:t>development data and metadata books has been compiled. The Final Draft of the NTB One Data Forum Action Plan for the period 2025–2029 has also been agreed upon as a joint work guide. This experience shows that leadership commitment and the right mentoring can significantly drive institutional transformation and should be replicated by other provinces.</w:t>
                              </w:r>
                            </w:p>
                            <w:p w14:paraId="54AB822E" w14:textId="77777777" w:rsidR="00BC24A8" w:rsidRDefault="00000000">
                              <w:pPr>
                                <w:spacing w:before="205"/>
                                <w:ind w:left="285"/>
                                <w:jc w:val="both"/>
                                <w:rPr>
                                  <w:rFonts w:ascii="Calibri"/>
                                  <w:b/>
                                  <w:sz w:val="18"/>
                                </w:rPr>
                              </w:pPr>
                              <w:r>
                                <w:rPr>
                                  <w:rFonts w:ascii="Calibri"/>
                                  <w:b/>
                                  <w:color w:val="767070"/>
                                  <w:sz w:val="18"/>
                                </w:rPr>
                                <w:t>Figure</w:t>
                              </w:r>
                              <w:r>
                                <w:rPr>
                                  <w:rFonts w:ascii="Calibri"/>
                                  <w:b/>
                                  <w:color w:val="767070"/>
                                  <w:spacing w:val="-10"/>
                                  <w:sz w:val="18"/>
                                </w:rPr>
                                <w:t xml:space="preserve"> </w:t>
                              </w:r>
                              <w:r>
                                <w:rPr>
                                  <w:rFonts w:ascii="Calibri"/>
                                  <w:b/>
                                  <w:color w:val="767070"/>
                                  <w:sz w:val="18"/>
                                </w:rPr>
                                <w:t>4:</w:t>
                              </w:r>
                              <w:r>
                                <w:rPr>
                                  <w:rFonts w:ascii="Calibri"/>
                                  <w:b/>
                                  <w:color w:val="767070"/>
                                  <w:spacing w:val="-8"/>
                                  <w:sz w:val="18"/>
                                </w:rPr>
                                <w:t xml:space="preserve"> </w:t>
                              </w:r>
                              <w:r>
                                <w:rPr>
                                  <w:rFonts w:ascii="Calibri"/>
                                  <w:b/>
                                  <w:color w:val="767070"/>
                                  <w:sz w:val="18"/>
                                </w:rPr>
                                <w:t>The</w:t>
                              </w:r>
                              <w:r>
                                <w:rPr>
                                  <w:rFonts w:ascii="Calibri"/>
                                  <w:b/>
                                  <w:color w:val="767070"/>
                                  <w:spacing w:val="-8"/>
                                  <w:sz w:val="18"/>
                                </w:rPr>
                                <w:t xml:space="preserve"> </w:t>
                              </w:r>
                              <w:r>
                                <w:rPr>
                                  <w:rFonts w:ascii="Calibri"/>
                                  <w:b/>
                                  <w:color w:val="767070"/>
                                  <w:sz w:val="18"/>
                                </w:rPr>
                                <w:t>Head</w:t>
                              </w:r>
                              <w:r>
                                <w:rPr>
                                  <w:rFonts w:ascii="Calibri"/>
                                  <w:b/>
                                  <w:color w:val="767070"/>
                                  <w:spacing w:val="-10"/>
                                  <w:sz w:val="18"/>
                                </w:rPr>
                                <w:t xml:space="preserve"> </w:t>
                              </w:r>
                              <w:r>
                                <w:rPr>
                                  <w:rFonts w:ascii="Calibri"/>
                                  <w:b/>
                                  <w:color w:val="767070"/>
                                  <w:sz w:val="18"/>
                                </w:rPr>
                                <w:t>of</w:t>
                              </w:r>
                              <w:r>
                                <w:rPr>
                                  <w:rFonts w:ascii="Calibri"/>
                                  <w:b/>
                                  <w:color w:val="767070"/>
                                  <w:spacing w:val="-8"/>
                                  <w:sz w:val="18"/>
                                </w:rPr>
                                <w:t xml:space="preserve"> </w:t>
                              </w:r>
                              <w:r>
                                <w:rPr>
                                  <w:rFonts w:ascii="Calibri"/>
                                  <w:b/>
                                  <w:color w:val="767070"/>
                                  <w:sz w:val="18"/>
                                </w:rPr>
                                <w:t>Bappeda</w:t>
                              </w:r>
                              <w:r>
                                <w:rPr>
                                  <w:rFonts w:ascii="Calibri"/>
                                  <w:b/>
                                  <w:color w:val="767070"/>
                                  <w:spacing w:val="-9"/>
                                  <w:sz w:val="18"/>
                                </w:rPr>
                                <w:t xml:space="preserve"> </w:t>
                              </w:r>
                              <w:r>
                                <w:rPr>
                                  <w:rFonts w:ascii="Calibri"/>
                                  <w:b/>
                                  <w:color w:val="767070"/>
                                  <w:sz w:val="18"/>
                                </w:rPr>
                                <w:t>and</w:t>
                              </w:r>
                              <w:r>
                                <w:rPr>
                                  <w:rFonts w:ascii="Calibri"/>
                                  <w:b/>
                                  <w:color w:val="767070"/>
                                  <w:spacing w:val="-9"/>
                                  <w:sz w:val="18"/>
                                </w:rPr>
                                <w:t xml:space="preserve"> </w:t>
                              </w:r>
                              <w:r>
                                <w:rPr>
                                  <w:rFonts w:ascii="Calibri"/>
                                  <w:b/>
                                  <w:color w:val="767070"/>
                                  <w:sz w:val="18"/>
                                </w:rPr>
                                <w:t>the</w:t>
                              </w:r>
                              <w:r>
                                <w:rPr>
                                  <w:rFonts w:ascii="Calibri"/>
                                  <w:b/>
                                  <w:color w:val="767070"/>
                                  <w:spacing w:val="-8"/>
                                  <w:sz w:val="18"/>
                                </w:rPr>
                                <w:t xml:space="preserve"> </w:t>
                              </w:r>
                              <w:r>
                                <w:rPr>
                                  <w:rFonts w:ascii="Calibri"/>
                                  <w:b/>
                                  <w:color w:val="767070"/>
                                  <w:sz w:val="18"/>
                                </w:rPr>
                                <w:t>Bappeda</w:t>
                              </w:r>
                              <w:r>
                                <w:rPr>
                                  <w:rFonts w:ascii="Calibri"/>
                                  <w:b/>
                                  <w:color w:val="767070"/>
                                  <w:spacing w:val="-9"/>
                                  <w:sz w:val="18"/>
                                </w:rPr>
                                <w:t xml:space="preserve"> </w:t>
                              </w:r>
                              <w:r>
                                <w:rPr>
                                  <w:rFonts w:ascii="Calibri"/>
                                  <w:b/>
                                  <w:color w:val="767070"/>
                                  <w:sz w:val="18"/>
                                </w:rPr>
                                <w:t>Team</w:t>
                              </w:r>
                              <w:r>
                                <w:rPr>
                                  <w:rFonts w:ascii="Calibri"/>
                                  <w:b/>
                                  <w:color w:val="767070"/>
                                  <w:spacing w:val="-8"/>
                                  <w:sz w:val="18"/>
                                </w:rPr>
                                <w:t xml:space="preserve"> </w:t>
                              </w:r>
                              <w:r>
                                <w:rPr>
                                  <w:rFonts w:ascii="Calibri"/>
                                  <w:b/>
                                  <w:color w:val="767070"/>
                                  <w:sz w:val="18"/>
                                </w:rPr>
                                <w:t>lead</w:t>
                              </w:r>
                              <w:r>
                                <w:rPr>
                                  <w:rFonts w:ascii="Calibri"/>
                                  <w:b/>
                                  <w:color w:val="767070"/>
                                  <w:spacing w:val="-10"/>
                                  <w:sz w:val="18"/>
                                </w:rPr>
                                <w:t xml:space="preserve"> </w:t>
                              </w:r>
                              <w:r>
                                <w:rPr>
                                  <w:rFonts w:ascii="Calibri"/>
                                  <w:b/>
                                  <w:color w:val="767070"/>
                                  <w:sz w:val="18"/>
                                </w:rPr>
                                <w:t>the</w:t>
                              </w:r>
                              <w:r>
                                <w:rPr>
                                  <w:rFonts w:ascii="Calibri"/>
                                  <w:b/>
                                  <w:color w:val="767070"/>
                                  <w:spacing w:val="-8"/>
                                  <w:sz w:val="18"/>
                                </w:rPr>
                                <w:t xml:space="preserve"> </w:t>
                              </w:r>
                              <w:r>
                                <w:rPr>
                                  <w:rFonts w:ascii="Calibri"/>
                                  <w:b/>
                                  <w:color w:val="767070"/>
                                  <w:sz w:val="18"/>
                                </w:rPr>
                                <w:t>process</w:t>
                              </w:r>
                              <w:r>
                                <w:rPr>
                                  <w:rFonts w:ascii="Calibri"/>
                                  <w:b/>
                                  <w:color w:val="767070"/>
                                  <w:spacing w:val="-9"/>
                                  <w:sz w:val="18"/>
                                </w:rPr>
                                <w:t xml:space="preserve"> </w:t>
                              </w:r>
                              <w:r>
                                <w:rPr>
                                  <w:rFonts w:ascii="Calibri"/>
                                  <w:b/>
                                  <w:color w:val="767070"/>
                                  <w:sz w:val="18"/>
                                </w:rPr>
                                <w:t>of</w:t>
                              </w:r>
                              <w:r>
                                <w:rPr>
                                  <w:rFonts w:ascii="Calibri"/>
                                  <w:b/>
                                  <w:color w:val="767070"/>
                                  <w:spacing w:val="-8"/>
                                  <w:sz w:val="18"/>
                                </w:rPr>
                                <w:t xml:space="preserve"> </w:t>
                              </w:r>
                              <w:r>
                                <w:rPr>
                                  <w:rFonts w:ascii="Calibri"/>
                                  <w:b/>
                                  <w:color w:val="767070"/>
                                  <w:sz w:val="18"/>
                                </w:rPr>
                                <w:t>compiling</w:t>
                              </w:r>
                              <w:r>
                                <w:rPr>
                                  <w:rFonts w:ascii="Calibri"/>
                                  <w:b/>
                                  <w:color w:val="767070"/>
                                  <w:spacing w:val="-8"/>
                                  <w:sz w:val="18"/>
                                </w:rPr>
                                <w:t xml:space="preserve"> </w:t>
                              </w:r>
                              <w:r>
                                <w:rPr>
                                  <w:rFonts w:ascii="Calibri"/>
                                  <w:b/>
                                  <w:color w:val="767070"/>
                                  <w:sz w:val="18"/>
                                </w:rPr>
                                <w:t>the</w:t>
                              </w:r>
                              <w:r>
                                <w:rPr>
                                  <w:rFonts w:ascii="Calibri"/>
                                  <w:b/>
                                  <w:color w:val="767070"/>
                                  <w:spacing w:val="-8"/>
                                  <w:sz w:val="18"/>
                                </w:rPr>
                                <w:t xml:space="preserve"> </w:t>
                              </w:r>
                              <w:r>
                                <w:rPr>
                                  <w:rFonts w:ascii="Calibri"/>
                                  <w:b/>
                                  <w:color w:val="767070"/>
                                  <w:sz w:val="18"/>
                                </w:rPr>
                                <w:t>list</w:t>
                              </w:r>
                              <w:r>
                                <w:rPr>
                                  <w:rFonts w:ascii="Calibri"/>
                                  <w:b/>
                                  <w:color w:val="767070"/>
                                  <w:spacing w:val="-9"/>
                                  <w:sz w:val="18"/>
                                </w:rPr>
                                <w:t xml:space="preserve"> </w:t>
                              </w:r>
                              <w:r>
                                <w:rPr>
                                  <w:rFonts w:ascii="Calibri"/>
                                  <w:b/>
                                  <w:color w:val="767070"/>
                                  <w:sz w:val="18"/>
                                </w:rPr>
                                <w:t>of</w:t>
                              </w:r>
                              <w:r>
                                <w:rPr>
                                  <w:rFonts w:ascii="Calibri"/>
                                  <w:b/>
                                  <w:color w:val="767070"/>
                                  <w:spacing w:val="-8"/>
                                  <w:sz w:val="18"/>
                                </w:rPr>
                                <w:t xml:space="preserve"> </w:t>
                              </w:r>
                              <w:r>
                                <w:rPr>
                                  <w:rFonts w:ascii="Calibri"/>
                                  <w:b/>
                                  <w:color w:val="767070"/>
                                  <w:sz w:val="18"/>
                                </w:rPr>
                                <w:t>regional</w:t>
                              </w:r>
                              <w:r>
                                <w:rPr>
                                  <w:rFonts w:ascii="Calibri"/>
                                  <w:b/>
                                  <w:color w:val="767070"/>
                                  <w:spacing w:val="-10"/>
                                  <w:sz w:val="18"/>
                                </w:rPr>
                                <w:t xml:space="preserve"> </w:t>
                              </w:r>
                              <w:r>
                                <w:rPr>
                                  <w:rFonts w:ascii="Calibri"/>
                                  <w:b/>
                                  <w:color w:val="767070"/>
                                  <w:sz w:val="18"/>
                                </w:rPr>
                                <w:t>data</w:t>
                              </w:r>
                              <w:r>
                                <w:rPr>
                                  <w:rFonts w:ascii="Calibri"/>
                                  <w:b/>
                                  <w:color w:val="767070"/>
                                  <w:spacing w:val="-8"/>
                                  <w:sz w:val="18"/>
                                </w:rPr>
                                <w:t xml:space="preserve"> </w:t>
                              </w:r>
                              <w:r>
                                <w:rPr>
                                  <w:rFonts w:ascii="Calibri"/>
                                  <w:b/>
                                  <w:color w:val="767070"/>
                                  <w:sz w:val="18"/>
                                </w:rPr>
                                <w:t>in</w:t>
                              </w:r>
                              <w:r>
                                <w:rPr>
                                  <w:rFonts w:ascii="Calibri"/>
                                  <w:b/>
                                  <w:color w:val="767070"/>
                                  <w:spacing w:val="-9"/>
                                  <w:sz w:val="18"/>
                                </w:rPr>
                                <w:t xml:space="preserve"> </w:t>
                              </w:r>
                              <w:r>
                                <w:rPr>
                                  <w:rFonts w:ascii="Calibri"/>
                                  <w:b/>
                                  <w:color w:val="767070"/>
                                  <w:spacing w:val="-4"/>
                                  <w:sz w:val="18"/>
                                </w:rPr>
                                <w:t>2025</w:t>
                              </w:r>
                            </w:p>
                          </w:txbxContent>
                        </wps:txbx>
                        <wps:bodyPr wrap="square" lIns="0" tIns="0" rIns="0" bIns="0" rtlCol="0">
                          <a:noAutofit/>
                        </wps:bodyPr>
                      </wps:wsp>
                    </wpg:wgp>
                  </a:graphicData>
                </a:graphic>
              </wp:inline>
            </w:drawing>
          </mc:Choice>
          <mc:Fallback>
            <w:pict>
              <v:group w14:anchorId="47FA052D" id="Group 209" o:spid="_x0000_s1050" alt="This situation began to shift significantly in early 2024. Bappeda started to assume its rightful role as the coordinator of the Regional One Data Forum. In addition to actively chairing forum meetings, Bappeda also initiated the preparation of a Regional One Data Action Plan and began efforts to integrate data into the development planning process. This change did not occur on its own, but was driven by close collaboration between Bappeda’s Knowledge Management Center (KMC) Team and SKALA, which has been intensively supporting the strengthening of regional data governance since early 2024.&#10;&#10;&#10;The cooperation between Bappeda and the Oﬃce of Communication, Informatics, and Statistics has started to improve in strengthening the One Data Forum, and SKALA plays excellent role in uniting all parties.&#10;E, representative of Bappeda, 2025.&#10;&#10;&#10;In addition to SKALA support, the most significant key factor in making this change happen is the presence of the KMC Coordinator in Bappeda who is able to influence the direction of leadership and increase Bappeda 's strategic awareness of the importance of regional data governance. BPS also noted that the recent changes are both significant and clearly observable.&#10;&#10;&#10;&#10;This is a major shi, as Bappeda is one of the key agencies that can steer the direction of government policy. Since SKALA’s involvement, I’ve come to see Bappeda’s role in the One Data Forum as truly important. It has reshaped my mindset.&#10;BPS representative, 2025.&#10;&#10;&#10;This change in role has had a real impact. The forum is now institutionally stronger. A list of basic regional development data and metadata books has been compiled. The Final Draft of the NTB One Data Forum Action Plan for the period 2025–2029 has also been agreed upon as a joint work guide. This experience shows that leadership commitment and the right mentoring can significantly drive institutional transformation and should be replicated by other provinces.&#10;Figure 4: The Head of Bappeda and the Bappeda Team lead the process of compiling the list of regional data in 2025&#10;" style="width:456.85pt;height:522.25pt;mso-position-horizontal-relative:char;mso-position-vertical-relative:line" coordsize="58019,663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">
                <v:shape id="Graphic 210" o:spid="_x0000_s1051" style="position:absolute;left:60;top:61;width:57887;height:66205;visibility:visible;mso-wrap-style:square;v-text-anchor:top" coordsize="5788660,662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" path="m5788152,l,,,6620256r5788152,l5788152,xe" fillcolor="#e1f1ef" stroked="f">
                  <v:path arrowok="t"/>
                </v:shape>
                <v:shape id="Image 211" o:spid="_x0000_s1052" type="#_x0000_t75" style="position:absolute;left:3352;top:50704;width:17145;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">
                  <v:imagedata r:id="rId46" o:title=""/>
                </v:shape>
                <v:shape id="Image 212" o:spid="_x0000_s1053" type="#_x0000_t75" style="position:absolute;left:20808;top:50704;width:16818;height:1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">
                  <v:imagedata r:id="rId47" o:title=""/>
                </v:shape>
                <v:shape id="Image 213" o:spid="_x0000_s1054" type="#_x0000_t75" style="position:absolute;left:37962;top:50704;width:16691;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">
                  <v:imagedata r:id="rId48" o:title=""/>
                </v:shape>
                <v:shape id="Graphic 214" o:spid="_x0000_s1055" style="position:absolute;left:1843;top:11104;width:54102;height:7195;visibility:visible;mso-wrap-style:square;v-text-anchor:top" coordsize="541020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" path="m,l5410200,r,719048l,719048,,xe" filled="f" strokecolor="#17365a" strokeweight="1pt">
                  <v:path arrowok="t"/>
                </v:shape>
                <v:shape id="Image 215" o:spid="_x0000_s1056" type="#_x0000_t75" style="position:absolute;left:2453;top:9562;width:2232;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">
                  <v:imagedata r:id="rId16" o:title=""/>
                </v:shape>
                <v:shape id="Image 216" o:spid="_x0000_s1057" type="#_x0000_t75" style="position:absolute;left:53016;top:17625;width:2233;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">
                  <v:imagedata r:id="rId49" o:title=""/>
                </v:shape>
                <v:shape id="Graphic 217" o:spid="_x0000_s1058" style="position:absolute;left:1850;top:29763;width:54102;height:8572;visibility:visible;mso-wrap-style:square;v-text-anchor:top" coordsize="541020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" path="m,l5410200,r,857123l,857123,,xe" filled="f" strokecolor="#17365a" strokeweight="1pt">
                  <v:path arrowok="t"/>
                </v:shape>
                <v:shape id="Image 218" o:spid="_x0000_s1059" type="#_x0000_t75" style="position:absolute;left:53023;top:37590;width:2232;height: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">
                  <v:imagedata r:id="rId21" o:title=""/>
                </v:shape>
                <v:shape id="Image 219" o:spid="_x0000_s1060" type="#_x0000_t75" style="position:absolute;left:2460;top:28222;width:2232;height: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">
                  <v:imagedata r:id="rId16" o:title=""/>
                </v:shape>
                <v:shape id="Textbox 220" o:spid="_x0000_s1061" type="#_x0000_t202" style="position:absolute;left:30;top:30;width:57963;height:6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" filled="f" strokecolor="#bebebe" strokeweight=".48pt">
                  <v:textbox inset="0,0,0,0">
                    <w:txbxContent>
                      <w:p w14:paraId="6B758C01" w14:textId="77777777" w:rsidR="00BC24A8" w:rsidRDefault="00000000">
                        <w:pPr>
                          <w:spacing w:before="1"/>
                          <w:ind w:left="247" w:right="244"/>
                          <w:jc w:val="both"/>
                          <w:rPr>
                            <w:sz w:val="18"/>
                          </w:rPr>
                        </w:pPr>
                        <w:r>
                          <w:rPr>
                            <w:sz w:val="18"/>
                          </w:rPr>
                          <w:t>This situation</w:t>
                        </w:r>
                        <w:r>
                          <w:rPr>
                            <w:spacing w:val="-2"/>
                            <w:sz w:val="18"/>
                          </w:rPr>
                          <w:t xml:space="preserve"> </w:t>
                        </w:r>
                        <w:r>
                          <w:rPr>
                            <w:sz w:val="18"/>
                          </w:rPr>
                          <w:t>began to shift significantly in</w:t>
                        </w:r>
                        <w:r>
                          <w:rPr>
                            <w:spacing w:val="-2"/>
                            <w:sz w:val="18"/>
                          </w:rPr>
                          <w:t xml:space="preserve"> </w:t>
                        </w:r>
                        <w:r>
                          <w:rPr>
                            <w:sz w:val="18"/>
                          </w:rPr>
                          <w:t>early 2024. Bappeda started to assume its</w:t>
                        </w:r>
                        <w:r>
                          <w:rPr>
                            <w:spacing w:val="-2"/>
                            <w:sz w:val="18"/>
                          </w:rPr>
                          <w:t xml:space="preserve"> </w:t>
                        </w:r>
                        <w:r>
                          <w:rPr>
                            <w:sz w:val="18"/>
                          </w:rPr>
                          <w:t>rightful</w:t>
                        </w:r>
                        <w:r>
                          <w:rPr>
                            <w:spacing w:val="-1"/>
                            <w:sz w:val="18"/>
                          </w:rPr>
                          <w:t xml:space="preserve"> </w:t>
                        </w:r>
                        <w:r>
                          <w:rPr>
                            <w:sz w:val="18"/>
                          </w:rPr>
                          <w:t>role as the coordinator of the</w:t>
                        </w:r>
                        <w:r>
                          <w:rPr>
                            <w:spacing w:val="-4"/>
                            <w:sz w:val="18"/>
                          </w:rPr>
                          <w:t xml:space="preserve"> </w:t>
                        </w:r>
                        <w:r>
                          <w:rPr>
                            <w:sz w:val="18"/>
                          </w:rPr>
                          <w:t>Regional</w:t>
                        </w:r>
                        <w:r>
                          <w:rPr>
                            <w:spacing w:val="-3"/>
                            <w:sz w:val="18"/>
                          </w:rPr>
                          <w:t xml:space="preserve"> </w:t>
                        </w:r>
                        <w:r>
                          <w:rPr>
                            <w:sz w:val="18"/>
                          </w:rPr>
                          <w:t>One</w:t>
                        </w:r>
                        <w:r>
                          <w:rPr>
                            <w:spacing w:val="-4"/>
                            <w:sz w:val="18"/>
                          </w:rPr>
                          <w:t xml:space="preserve"> </w:t>
                        </w:r>
                        <w:r>
                          <w:rPr>
                            <w:sz w:val="18"/>
                          </w:rPr>
                          <w:t>Data</w:t>
                        </w:r>
                        <w:r>
                          <w:rPr>
                            <w:spacing w:val="-5"/>
                            <w:sz w:val="18"/>
                          </w:rPr>
                          <w:t xml:space="preserve"> </w:t>
                        </w:r>
                        <w:r>
                          <w:rPr>
                            <w:sz w:val="18"/>
                          </w:rPr>
                          <w:t>Forum.</w:t>
                        </w:r>
                        <w:r>
                          <w:rPr>
                            <w:spacing w:val="-3"/>
                            <w:sz w:val="18"/>
                          </w:rPr>
                          <w:t xml:space="preserve"> </w:t>
                        </w:r>
                        <w:r>
                          <w:rPr>
                            <w:sz w:val="18"/>
                          </w:rPr>
                          <w:t>In</w:t>
                        </w:r>
                        <w:r>
                          <w:rPr>
                            <w:spacing w:val="-2"/>
                            <w:sz w:val="18"/>
                          </w:rPr>
                          <w:t xml:space="preserve"> </w:t>
                        </w:r>
                        <w:r>
                          <w:rPr>
                            <w:sz w:val="18"/>
                          </w:rPr>
                          <w:t>addition</w:t>
                        </w:r>
                        <w:r>
                          <w:rPr>
                            <w:spacing w:val="-4"/>
                            <w:sz w:val="18"/>
                          </w:rPr>
                          <w:t xml:space="preserve"> </w:t>
                        </w:r>
                        <w:r>
                          <w:rPr>
                            <w:sz w:val="18"/>
                          </w:rPr>
                          <w:t>to</w:t>
                        </w:r>
                        <w:r>
                          <w:rPr>
                            <w:spacing w:val="-5"/>
                            <w:sz w:val="18"/>
                          </w:rPr>
                          <w:t xml:space="preserve"> </w:t>
                        </w:r>
                        <w:r>
                          <w:rPr>
                            <w:sz w:val="18"/>
                          </w:rPr>
                          <w:t>actively</w:t>
                        </w:r>
                        <w:r>
                          <w:rPr>
                            <w:spacing w:val="-4"/>
                            <w:sz w:val="18"/>
                          </w:rPr>
                          <w:t xml:space="preserve"> </w:t>
                        </w:r>
                        <w:r>
                          <w:rPr>
                            <w:sz w:val="18"/>
                          </w:rPr>
                          <w:t>chairing</w:t>
                        </w:r>
                        <w:r>
                          <w:rPr>
                            <w:spacing w:val="-5"/>
                            <w:sz w:val="18"/>
                          </w:rPr>
                          <w:t xml:space="preserve"> </w:t>
                        </w:r>
                        <w:r>
                          <w:rPr>
                            <w:sz w:val="18"/>
                          </w:rPr>
                          <w:t>forum</w:t>
                        </w:r>
                        <w:r>
                          <w:rPr>
                            <w:spacing w:val="-5"/>
                            <w:sz w:val="18"/>
                          </w:rPr>
                          <w:t xml:space="preserve"> </w:t>
                        </w:r>
                        <w:r>
                          <w:rPr>
                            <w:sz w:val="18"/>
                          </w:rPr>
                          <w:t>meetings,</w:t>
                        </w:r>
                        <w:r>
                          <w:rPr>
                            <w:spacing w:val="-5"/>
                            <w:sz w:val="18"/>
                          </w:rPr>
                          <w:t xml:space="preserve"> </w:t>
                        </w:r>
                        <w:r>
                          <w:rPr>
                            <w:i/>
                            <w:sz w:val="18"/>
                          </w:rPr>
                          <w:t>Bappeda</w:t>
                        </w:r>
                        <w:r>
                          <w:rPr>
                            <w:i/>
                            <w:spacing w:val="-5"/>
                            <w:sz w:val="18"/>
                          </w:rPr>
                          <w:t xml:space="preserve"> </w:t>
                        </w:r>
                        <w:r>
                          <w:rPr>
                            <w:sz w:val="18"/>
                          </w:rPr>
                          <w:t>also</w:t>
                        </w:r>
                        <w:r>
                          <w:rPr>
                            <w:spacing w:val="-5"/>
                            <w:sz w:val="18"/>
                          </w:rPr>
                          <w:t xml:space="preserve"> </w:t>
                        </w:r>
                        <w:r>
                          <w:rPr>
                            <w:sz w:val="18"/>
                          </w:rPr>
                          <w:t>initiated</w:t>
                        </w:r>
                        <w:r>
                          <w:rPr>
                            <w:spacing w:val="-4"/>
                            <w:sz w:val="18"/>
                          </w:rPr>
                          <w:t xml:space="preserve"> </w:t>
                        </w:r>
                        <w:r>
                          <w:rPr>
                            <w:sz w:val="18"/>
                          </w:rPr>
                          <w:t>the</w:t>
                        </w:r>
                        <w:r>
                          <w:rPr>
                            <w:spacing w:val="-4"/>
                            <w:sz w:val="18"/>
                          </w:rPr>
                          <w:t xml:space="preserve"> </w:t>
                        </w:r>
                        <w:r>
                          <w:rPr>
                            <w:sz w:val="18"/>
                          </w:rPr>
                          <w:t>preparation</w:t>
                        </w:r>
                        <w:r>
                          <w:rPr>
                            <w:spacing w:val="-4"/>
                            <w:sz w:val="18"/>
                          </w:rPr>
                          <w:t xml:space="preserve"> </w:t>
                        </w:r>
                        <w:r>
                          <w:rPr>
                            <w:sz w:val="18"/>
                          </w:rPr>
                          <w:t>of a</w:t>
                        </w:r>
                        <w:r>
                          <w:rPr>
                            <w:spacing w:val="-8"/>
                            <w:sz w:val="18"/>
                          </w:rPr>
                          <w:t xml:space="preserve"> </w:t>
                        </w:r>
                        <w:r>
                          <w:rPr>
                            <w:sz w:val="18"/>
                          </w:rPr>
                          <w:t>Regional</w:t>
                        </w:r>
                        <w:r>
                          <w:rPr>
                            <w:spacing w:val="-6"/>
                            <w:sz w:val="18"/>
                          </w:rPr>
                          <w:t xml:space="preserve"> </w:t>
                        </w:r>
                        <w:r>
                          <w:rPr>
                            <w:sz w:val="18"/>
                          </w:rPr>
                          <w:t>One</w:t>
                        </w:r>
                        <w:r>
                          <w:rPr>
                            <w:spacing w:val="-7"/>
                            <w:sz w:val="18"/>
                          </w:rPr>
                          <w:t xml:space="preserve"> </w:t>
                        </w:r>
                        <w:r>
                          <w:rPr>
                            <w:sz w:val="18"/>
                          </w:rPr>
                          <w:t>Data</w:t>
                        </w:r>
                        <w:r>
                          <w:rPr>
                            <w:spacing w:val="-8"/>
                            <w:sz w:val="18"/>
                          </w:rPr>
                          <w:t xml:space="preserve"> </w:t>
                        </w:r>
                        <w:r>
                          <w:rPr>
                            <w:sz w:val="18"/>
                          </w:rPr>
                          <w:t>Action</w:t>
                        </w:r>
                        <w:r>
                          <w:rPr>
                            <w:spacing w:val="-7"/>
                            <w:sz w:val="18"/>
                          </w:rPr>
                          <w:t xml:space="preserve"> </w:t>
                        </w:r>
                        <w:r>
                          <w:rPr>
                            <w:sz w:val="18"/>
                          </w:rPr>
                          <w:t>Plan</w:t>
                        </w:r>
                        <w:r>
                          <w:rPr>
                            <w:spacing w:val="-7"/>
                            <w:sz w:val="18"/>
                          </w:rPr>
                          <w:t xml:space="preserve"> </w:t>
                        </w:r>
                        <w:r>
                          <w:rPr>
                            <w:sz w:val="18"/>
                          </w:rPr>
                          <w:t>and</w:t>
                        </w:r>
                        <w:r>
                          <w:rPr>
                            <w:spacing w:val="-7"/>
                            <w:sz w:val="18"/>
                          </w:rPr>
                          <w:t xml:space="preserve"> </w:t>
                        </w:r>
                        <w:r>
                          <w:rPr>
                            <w:sz w:val="18"/>
                          </w:rPr>
                          <w:t>began</w:t>
                        </w:r>
                        <w:r>
                          <w:rPr>
                            <w:spacing w:val="-7"/>
                            <w:sz w:val="18"/>
                          </w:rPr>
                          <w:t xml:space="preserve"> </w:t>
                        </w:r>
                        <w:r>
                          <w:rPr>
                            <w:sz w:val="18"/>
                          </w:rPr>
                          <w:t>efforts</w:t>
                        </w:r>
                        <w:r>
                          <w:rPr>
                            <w:spacing w:val="-7"/>
                            <w:sz w:val="18"/>
                          </w:rPr>
                          <w:t xml:space="preserve"> </w:t>
                        </w:r>
                        <w:r>
                          <w:rPr>
                            <w:sz w:val="18"/>
                          </w:rPr>
                          <w:t>to</w:t>
                        </w:r>
                        <w:r>
                          <w:rPr>
                            <w:spacing w:val="-7"/>
                            <w:sz w:val="18"/>
                          </w:rPr>
                          <w:t xml:space="preserve"> </w:t>
                        </w:r>
                        <w:r>
                          <w:rPr>
                            <w:sz w:val="18"/>
                          </w:rPr>
                          <w:t>integrate</w:t>
                        </w:r>
                        <w:r>
                          <w:rPr>
                            <w:spacing w:val="-7"/>
                            <w:sz w:val="18"/>
                          </w:rPr>
                          <w:t xml:space="preserve"> </w:t>
                        </w:r>
                        <w:r>
                          <w:rPr>
                            <w:sz w:val="18"/>
                          </w:rPr>
                          <w:t>data</w:t>
                        </w:r>
                        <w:r>
                          <w:rPr>
                            <w:spacing w:val="-5"/>
                            <w:sz w:val="18"/>
                          </w:rPr>
                          <w:t xml:space="preserve"> </w:t>
                        </w:r>
                        <w:r>
                          <w:rPr>
                            <w:sz w:val="18"/>
                          </w:rPr>
                          <w:t>into</w:t>
                        </w:r>
                        <w:r>
                          <w:rPr>
                            <w:spacing w:val="-7"/>
                            <w:sz w:val="18"/>
                          </w:rPr>
                          <w:t xml:space="preserve"> </w:t>
                        </w:r>
                        <w:r>
                          <w:rPr>
                            <w:sz w:val="18"/>
                          </w:rPr>
                          <w:t>the</w:t>
                        </w:r>
                        <w:r>
                          <w:rPr>
                            <w:spacing w:val="-7"/>
                            <w:sz w:val="18"/>
                          </w:rPr>
                          <w:t xml:space="preserve"> </w:t>
                        </w:r>
                        <w:r>
                          <w:rPr>
                            <w:sz w:val="18"/>
                          </w:rPr>
                          <w:t>development</w:t>
                        </w:r>
                        <w:r>
                          <w:rPr>
                            <w:spacing w:val="-6"/>
                            <w:sz w:val="18"/>
                          </w:rPr>
                          <w:t xml:space="preserve"> </w:t>
                        </w:r>
                        <w:r>
                          <w:rPr>
                            <w:sz w:val="18"/>
                          </w:rPr>
                          <w:t>planning</w:t>
                        </w:r>
                        <w:r>
                          <w:rPr>
                            <w:spacing w:val="-7"/>
                            <w:sz w:val="18"/>
                          </w:rPr>
                          <w:t xml:space="preserve"> </w:t>
                        </w:r>
                        <w:r>
                          <w:rPr>
                            <w:sz w:val="18"/>
                          </w:rPr>
                          <w:t>process.</w:t>
                        </w:r>
                        <w:r>
                          <w:rPr>
                            <w:spacing w:val="-8"/>
                            <w:sz w:val="18"/>
                          </w:rPr>
                          <w:t xml:space="preserve"> </w:t>
                        </w:r>
                        <w:r>
                          <w:rPr>
                            <w:sz w:val="18"/>
                          </w:rPr>
                          <w:t>This</w:t>
                        </w:r>
                        <w:r>
                          <w:rPr>
                            <w:spacing w:val="-7"/>
                            <w:sz w:val="18"/>
                          </w:rPr>
                          <w:t xml:space="preserve"> </w:t>
                        </w:r>
                        <w:r>
                          <w:rPr>
                            <w:sz w:val="18"/>
                          </w:rPr>
                          <w:t>change did not occur on its own, but was driven by close collaboration between Bappeda’s Knowledge Management Center (KMC)</w:t>
                        </w:r>
                        <w:r>
                          <w:rPr>
                            <w:spacing w:val="-11"/>
                            <w:sz w:val="18"/>
                          </w:rPr>
                          <w:t xml:space="preserve"> </w:t>
                        </w:r>
                        <w:r>
                          <w:rPr>
                            <w:sz w:val="18"/>
                          </w:rPr>
                          <w:t>Team</w:t>
                        </w:r>
                        <w:r>
                          <w:rPr>
                            <w:spacing w:val="-10"/>
                            <w:sz w:val="18"/>
                          </w:rPr>
                          <w:t xml:space="preserve"> </w:t>
                        </w:r>
                        <w:r>
                          <w:rPr>
                            <w:sz w:val="18"/>
                          </w:rPr>
                          <w:t>and</w:t>
                        </w:r>
                        <w:r>
                          <w:rPr>
                            <w:spacing w:val="-10"/>
                            <w:sz w:val="18"/>
                          </w:rPr>
                          <w:t xml:space="preserve"> </w:t>
                        </w:r>
                        <w:r>
                          <w:rPr>
                            <w:sz w:val="18"/>
                          </w:rPr>
                          <w:t>SKALA,</w:t>
                        </w:r>
                        <w:r>
                          <w:rPr>
                            <w:spacing w:val="-10"/>
                            <w:sz w:val="18"/>
                          </w:rPr>
                          <w:t xml:space="preserve"> </w:t>
                        </w:r>
                        <w:r>
                          <w:rPr>
                            <w:sz w:val="18"/>
                          </w:rPr>
                          <w:t>which</w:t>
                        </w:r>
                        <w:r>
                          <w:rPr>
                            <w:spacing w:val="-10"/>
                            <w:sz w:val="18"/>
                          </w:rPr>
                          <w:t xml:space="preserve"> </w:t>
                        </w:r>
                        <w:r>
                          <w:rPr>
                            <w:sz w:val="18"/>
                          </w:rPr>
                          <w:t>has</w:t>
                        </w:r>
                        <w:r>
                          <w:rPr>
                            <w:spacing w:val="-10"/>
                            <w:sz w:val="18"/>
                          </w:rPr>
                          <w:t xml:space="preserve"> </w:t>
                        </w:r>
                        <w:r>
                          <w:rPr>
                            <w:sz w:val="18"/>
                          </w:rPr>
                          <w:t>been</w:t>
                        </w:r>
                        <w:r>
                          <w:rPr>
                            <w:spacing w:val="-9"/>
                            <w:sz w:val="18"/>
                          </w:rPr>
                          <w:t xml:space="preserve"> </w:t>
                        </w:r>
                        <w:r>
                          <w:rPr>
                            <w:sz w:val="18"/>
                          </w:rPr>
                          <w:t>intensively</w:t>
                        </w:r>
                        <w:r>
                          <w:rPr>
                            <w:spacing w:val="-10"/>
                            <w:sz w:val="18"/>
                          </w:rPr>
                          <w:t xml:space="preserve"> </w:t>
                        </w:r>
                        <w:r>
                          <w:rPr>
                            <w:sz w:val="18"/>
                          </w:rPr>
                          <w:t>supporting</w:t>
                        </w:r>
                        <w:r>
                          <w:rPr>
                            <w:spacing w:val="-10"/>
                            <w:sz w:val="18"/>
                          </w:rPr>
                          <w:t xml:space="preserve"> </w:t>
                        </w:r>
                        <w:r>
                          <w:rPr>
                            <w:sz w:val="18"/>
                          </w:rPr>
                          <w:t>the</w:t>
                        </w:r>
                        <w:r>
                          <w:rPr>
                            <w:spacing w:val="-11"/>
                            <w:sz w:val="18"/>
                          </w:rPr>
                          <w:t xml:space="preserve"> </w:t>
                        </w:r>
                        <w:r>
                          <w:rPr>
                            <w:sz w:val="18"/>
                          </w:rPr>
                          <w:t>strengthening</w:t>
                        </w:r>
                        <w:r>
                          <w:rPr>
                            <w:spacing w:val="-9"/>
                            <w:sz w:val="18"/>
                          </w:rPr>
                          <w:t xml:space="preserve"> </w:t>
                        </w:r>
                        <w:r>
                          <w:rPr>
                            <w:sz w:val="18"/>
                          </w:rPr>
                          <w:t>of</w:t>
                        </w:r>
                        <w:r>
                          <w:rPr>
                            <w:spacing w:val="-10"/>
                            <w:sz w:val="18"/>
                          </w:rPr>
                          <w:t xml:space="preserve"> </w:t>
                        </w:r>
                        <w:r>
                          <w:rPr>
                            <w:sz w:val="18"/>
                          </w:rPr>
                          <w:t>regional</w:t>
                        </w:r>
                        <w:r>
                          <w:rPr>
                            <w:spacing w:val="-8"/>
                            <w:sz w:val="18"/>
                          </w:rPr>
                          <w:t xml:space="preserve"> </w:t>
                        </w:r>
                        <w:r>
                          <w:rPr>
                            <w:sz w:val="18"/>
                          </w:rPr>
                          <w:t>data</w:t>
                        </w:r>
                        <w:r>
                          <w:rPr>
                            <w:spacing w:val="-11"/>
                            <w:sz w:val="18"/>
                          </w:rPr>
                          <w:t xml:space="preserve"> </w:t>
                        </w:r>
                        <w:r>
                          <w:rPr>
                            <w:sz w:val="18"/>
                          </w:rPr>
                          <w:t>governance</w:t>
                        </w:r>
                        <w:r>
                          <w:rPr>
                            <w:spacing w:val="-8"/>
                            <w:sz w:val="18"/>
                          </w:rPr>
                          <w:t xml:space="preserve"> </w:t>
                        </w:r>
                        <w:r>
                          <w:rPr>
                            <w:sz w:val="18"/>
                          </w:rPr>
                          <w:t>since</w:t>
                        </w:r>
                        <w:r>
                          <w:rPr>
                            <w:spacing w:val="-10"/>
                            <w:sz w:val="18"/>
                          </w:rPr>
                          <w:t xml:space="preserve"> </w:t>
                        </w:r>
                        <w:r>
                          <w:rPr>
                            <w:sz w:val="18"/>
                          </w:rPr>
                          <w:t xml:space="preserve">early </w:t>
                        </w:r>
                        <w:r>
                          <w:rPr>
                            <w:spacing w:val="-2"/>
                            <w:sz w:val="18"/>
                          </w:rPr>
                          <w:t>2024.</w:t>
                        </w:r>
                      </w:p>
                      <w:p w14:paraId="1788F83A" w14:textId="77777777" w:rsidR="00BC24A8" w:rsidRDefault="00BC24A8">
                        <w:pPr>
                          <w:rPr>
                            <w:sz w:val="18"/>
                          </w:rPr>
                        </w:pPr>
                      </w:p>
                      <w:p w14:paraId="7CA79844" w14:textId="77777777" w:rsidR="00BC24A8" w:rsidRDefault="00BC24A8">
                        <w:pPr>
                          <w:spacing w:before="199"/>
                          <w:rPr>
                            <w:sz w:val="18"/>
                          </w:rPr>
                        </w:pPr>
                      </w:p>
                      <w:p w14:paraId="448968AE" w14:textId="77777777" w:rsidR="00BC24A8" w:rsidRDefault="00000000">
                        <w:pPr>
                          <w:spacing w:line="290" w:lineRule="auto"/>
                          <w:ind w:left="578" w:right="615"/>
                          <w:jc w:val="both"/>
                          <w:rPr>
                            <w:rFonts w:ascii="Times New Roman" w:hAnsi="Times New Roman"/>
                            <w:b/>
                            <w:i/>
                            <w:sz w:val="18"/>
                          </w:rPr>
                        </w:pPr>
                        <w:r>
                          <w:rPr>
                            <w:rFonts w:ascii="Times New Roman" w:hAnsi="Times New Roman"/>
                            <w:b/>
                            <w:i/>
                            <w:color w:val="17365A"/>
                            <w:sz w:val="18"/>
                          </w:rPr>
                          <w:t>The</w:t>
                        </w:r>
                        <w:r>
                          <w:rPr>
                            <w:rFonts w:ascii="Times New Roman" w:hAnsi="Times New Roman"/>
                            <w:b/>
                            <w:i/>
                            <w:color w:val="17365A"/>
                            <w:spacing w:val="-8"/>
                            <w:sz w:val="18"/>
                          </w:rPr>
                          <w:t xml:space="preserve"> </w:t>
                        </w:r>
                        <w:r>
                          <w:rPr>
                            <w:rFonts w:ascii="Times New Roman" w:hAnsi="Times New Roman"/>
                            <w:b/>
                            <w:i/>
                            <w:color w:val="17365A"/>
                            <w:sz w:val="18"/>
                          </w:rPr>
                          <w:t>cooperation</w:t>
                        </w:r>
                        <w:r>
                          <w:rPr>
                            <w:rFonts w:ascii="Times New Roman" w:hAnsi="Times New Roman"/>
                            <w:b/>
                            <w:i/>
                            <w:color w:val="17365A"/>
                            <w:spacing w:val="-7"/>
                            <w:sz w:val="18"/>
                          </w:rPr>
                          <w:t xml:space="preserve"> </w:t>
                        </w:r>
                        <w:r>
                          <w:rPr>
                            <w:rFonts w:ascii="Times New Roman" w:hAnsi="Times New Roman"/>
                            <w:b/>
                            <w:i/>
                            <w:color w:val="17365A"/>
                            <w:sz w:val="18"/>
                          </w:rPr>
                          <w:t>between</w:t>
                        </w:r>
                        <w:r>
                          <w:rPr>
                            <w:rFonts w:ascii="Times New Roman" w:hAnsi="Times New Roman"/>
                            <w:b/>
                            <w:i/>
                            <w:color w:val="17365A"/>
                            <w:spacing w:val="-7"/>
                            <w:sz w:val="18"/>
                          </w:rPr>
                          <w:t xml:space="preserve"> </w:t>
                        </w:r>
                        <w:r>
                          <w:rPr>
                            <w:rFonts w:ascii="Times New Roman" w:hAnsi="Times New Roman"/>
                            <w:b/>
                            <w:i/>
                            <w:color w:val="17365A"/>
                            <w:sz w:val="18"/>
                          </w:rPr>
                          <w:t>Bappeda</w:t>
                        </w:r>
                        <w:r>
                          <w:rPr>
                            <w:rFonts w:ascii="Times New Roman" w:hAnsi="Times New Roman"/>
                            <w:b/>
                            <w:i/>
                            <w:color w:val="17365A"/>
                            <w:spacing w:val="-7"/>
                            <w:sz w:val="18"/>
                          </w:rPr>
                          <w:t xml:space="preserve"> </w:t>
                        </w:r>
                        <w:r>
                          <w:rPr>
                            <w:rFonts w:ascii="Times New Roman" w:hAnsi="Times New Roman"/>
                            <w:b/>
                            <w:i/>
                            <w:color w:val="17365A"/>
                            <w:sz w:val="18"/>
                          </w:rPr>
                          <w:t>and</w:t>
                        </w:r>
                        <w:r>
                          <w:rPr>
                            <w:rFonts w:ascii="Times New Roman" w:hAnsi="Times New Roman"/>
                            <w:b/>
                            <w:i/>
                            <w:color w:val="17365A"/>
                            <w:spacing w:val="-7"/>
                            <w:sz w:val="18"/>
                          </w:rPr>
                          <w:t xml:space="preserve"> </w:t>
                        </w:r>
                        <w:r>
                          <w:rPr>
                            <w:rFonts w:ascii="Times New Roman" w:hAnsi="Times New Roman"/>
                            <w:b/>
                            <w:i/>
                            <w:color w:val="17365A"/>
                            <w:sz w:val="18"/>
                          </w:rPr>
                          <w:t>the</w:t>
                        </w:r>
                        <w:r>
                          <w:rPr>
                            <w:rFonts w:ascii="Times New Roman" w:hAnsi="Times New Roman"/>
                            <w:b/>
                            <w:i/>
                            <w:color w:val="17365A"/>
                            <w:spacing w:val="-8"/>
                            <w:sz w:val="18"/>
                          </w:rPr>
                          <w:t xml:space="preserve"> </w:t>
                        </w:r>
                        <w:r>
                          <w:rPr>
                            <w:rFonts w:ascii="Times New Roman" w:hAnsi="Times New Roman"/>
                            <w:b/>
                            <w:i/>
                            <w:color w:val="17365A"/>
                            <w:sz w:val="18"/>
                          </w:rPr>
                          <w:t>Oﬃce</w:t>
                        </w:r>
                        <w:r>
                          <w:rPr>
                            <w:rFonts w:ascii="Times New Roman" w:hAnsi="Times New Roman"/>
                            <w:b/>
                            <w:i/>
                            <w:color w:val="17365A"/>
                            <w:spacing w:val="-8"/>
                            <w:sz w:val="18"/>
                          </w:rPr>
                          <w:t xml:space="preserve"> </w:t>
                        </w:r>
                        <w:r>
                          <w:rPr>
                            <w:rFonts w:ascii="Times New Roman" w:hAnsi="Times New Roman"/>
                            <w:b/>
                            <w:i/>
                            <w:color w:val="17365A"/>
                            <w:sz w:val="18"/>
                          </w:rPr>
                          <w:t>of</w:t>
                        </w:r>
                        <w:r>
                          <w:rPr>
                            <w:rFonts w:ascii="Times New Roman" w:hAnsi="Times New Roman"/>
                            <w:b/>
                            <w:i/>
                            <w:color w:val="17365A"/>
                            <w:spacing w:val="-7"/>
                            <w:sz w:val="18"/>
                          </w:rPr>
                          <w:t xml:space="preserve"> </w:t>
                        </w:r>
                        <w:r>
                          <w:rPr>
                            <w:rFonts w:ascii="Times New Roman" w:hAnsi="Times New Roman"/>
                            <w:b/>
                            <w:i/>
                            <w:color w:val="17365A"/>
                            <w:sz w:val="18"/>
                          </w:rPr>
                          <w:t>Communication,</w:t>
                        </w:r>
                        <w:r>
                          <w:rPr>
                            <w:rFonts w:ascii="Times New Roman" w:hAnsi="Times New Roman"/>
                            <w:b/>
                            <w:i/>
                            <w:color w:val="17365A"/>
                            <w:spacing w:val="-6"/>
                            <w:sz w:val="18"/>
                          </w:rPr>
                          <w:t xml:space="preserve"> </w:t>
                        </w:r>
                        <w:r>
                          <w:rPr>
                            <w:rFonts w:ascii="Times New Roman" w:hAnsi="Times New Roman"/>
                            <w:b/>
                            <w:i/>
                            <w:color w:val="17365A"/>
                            <w:sz w:val="18"/>
                          </w:rPr>
                          <w:t>Informatics,</w:t>
                        </w:r>
                        <w:r>
                          <w:rPr>
                            <w:rFonts w:ascii="Times New Roman" w:hAnsi="Times New Roman"/>
                            <w:b/>
                            <w:i/>
                            <w:color w:val="17365A"/>
                            <w:spacing w:val="-6"/>
                            <w:sz w:val="18"/>
                          </w:rPr>
                          <w:t xml:space="preserve"> </w:t>
                        </w:r>
                        <w:r>
                          <w:rPr>
                            <w:rFonts w:ascii="Times New Roman" w:hAnsi="Times New Roman"/>
                            <w:b/>
                            <w:i/>
                            <w:color w:val="17365A"/>
                            <w:sz w:val="18"/>
                          </w:rPr>
                          <w:t>and</w:t>
                        </w:r>
                        <w:r>
                          <w:rPr>
                            <w:rFonts w:ascii="Times New Roman" w:hAnsi="Times New Roman"/>
                            <w:b/>
                            <w:i/>
                            <w:color w:val="17365A"/>
                            <w:spacing w:val="-7"/>
                            <w:sz w:val="18"/>
                          </w:rPr>
                          <w:t xml:space="preserve"> </w:t>
                        </w:r>
                        <w:r>
                          <w:rPr>
                            <w:rFonts w:ascii="Times New Roman" w:hAnsi="Times New Roman"/>
                            <w:b/>
                            <w:i/>
                            <w:color w:val="17365A"/>
                            <w:sz w:val="18"/>
                          </w:rPr>
                          <w:t>Statistics</w:t>
                        </w:r>
                        <w:r>
                          <w:rPr>
                            <w:rFonts w:ascii="Times New Roman" w:hAnsi="Times New Roman"/>
                            <w:b/>
                            <w:i/>
                            <w:color w:val="17365A"/>
                            <w:spacing w:val="-6"/>
                            <w:sz w:val="18"/>
                          </w:rPr>
                          <w:t xml:space="preserve"> </w:t>
                        </w:r>
                        <w:r>
                          <w:rPr>
                            <w:rFonts w:ascii="Times New Roman" w:hAnsi="Times New Roman"/>
                            <w:b/>
                            <w:i/>
                            <w:color w:val="17365A"/>
                            <w:sz w:val="18"/>
                          </w:rPr>
                          <w:t>has</w:t>
                        </w:r>
                        <w:r>
                          <w:rPr>
                            <w:rFonts w:ascii="Times New Roman" w:hAnsi="Times New Roman"/>
                            <w:b/>
                            <w:i/>
                            <w:color w:val="17365A"/>
                            <w:spacing w:val="-6"/>
                            <w:sz w:val="18"/>
                          </w:rPr>
                          <w:t xml:space="preserve"> </w:t>
                        </w:r>
                        <w:r>
                          <w:rPr>
                            <w:rFonts w:ascii="Times New Roman" w:hAnsi="Times New Roman"/>
                            <w:b/>
                            <w:i/>
                            <w:color w:val="17365A"/>
                            <w:sz w:val="18"/>
                          </w:rPr>
                          <w:t>started to improve in strengthening the One Data Forum, and SKALA plays excellent role in uniting all parties.</w:t>
                        </w:r>
                      </w:p>
                      <w:p w14:paraId="6681BE57" w14:textId="77777777" w:rsidR="00BC24A8" w:rsidRDefault="00000000">
                        <w:pPr>
                          <w:spacing w:line="205" w:lineRule="exact"/>
                          <w:ind w:left="578"/>
                          <w:jc w:val="both"/>
                          <w:rPr>
                            <w:i/>
                            <w:sz w:val="18"/>
                          </w:rPr>
                        </w:pPr>
                        <w:r>
                          <w:rPr>
                            <w:i/>
                            <w:color w:val="17365A"/>
                            <w:sz w:val="18"/>
                          </w:rPr>
                          <w:t>E,</w:t>
                        </w:r>
                        <w:r>
                          <w:rPr>
                            <w:i/>
                            <w:color w:val="17365A"/>
                            <w:spacing w:val="-4"/>
                            <w:sz w:val="18"/>
                          </w:rPr>
                          <w:t xml:space="preserve"> </w:t>
                        </w:r>
                        <w:r>
                          <w:rPr>
                            <w:i/>
                            <w:color w:val="17365A"/>
                            <w:sz w:val="18"/>
                          </w:rPr>
                          <w:t>representative</w:t>
                        </w:r>
                        <w:r>
                          <w:rPr>
                            <w:i/>
                            <w:color w:val="17365A"/>
                            <w:spacing w:val="-4"/>
                            <w:sz w:val="18"/>
                          </w:rPr>
                          <w:t xml:space="preserve"> </w:t>
                        </w:r>
                        <w:r>
                          <w:rPr>
                            <w:i/>
                            <w:color w:val="17365A"/>
                            <w:sz w:val="18"/>
                          </w:rPr>
                          <w:t>of</w:t>
                        </w:r>
                        <w:r>
                          <w:rPr>
                            <w:i/>
                            <w:color w:val="17365A"/>
                            <w:spacing w:val="-4"/>
                            <w:sz w:val="18"/>
                          </w:rPr>
                          <w:t xml:space="preserve"> </w:t>
                        </w:r>
                        <w:r>
                          <w:rPr>
                            <w:i/>
                            <w:color w:val="17365A"/>
                            <w:sz w:val="18"/>
                          </w:rPr>
                          <w:t>Bappeda,</w:t>
                        </w:r>
                        <w:r>
                          <w:rPr>
                            <w:i/>
                            <w:color w:val="17365A"/>
                            <w:spacing w:val="-4"/>
                            <w:sz w:val="18"/>
                          </w:rPr>
                          <w:t xml:space="preserve"> 2025.</w:t>
                        </w:r>
                      </w:p>
                      <w:p w14:paraId="1A6FF55C" w14:textId="77777777" w:rsidR="00BC24A8" w:rsidRDefault="00BC24A8">
                        <w:pPr>
                          <w:rPr>
                            <w:i/>
                            <w:sz w:val="18"/>
                          </w:rPr>
                        </w:pPr>
                      </w:p>
                      <w:p w14:paraId="54249786" w14:textId="77777777" w:rsidR="00BC24A8" w:rsidRDefault="00BC24A8">
                        <w:pPr>
                          <w:spacing w:before="207"/>
                          <w:rPr>
                            <w:i/>
                            <w:sz w:val="18"/>
                          </w:rPr>
                        </w:pPr>
                      </w:p>
                      <w:p w14:paraId="1AD5C600" w14:textId="77777777" w:rsidR="00BC24A8" w:rsidRDefault="00000000">
                        <w:pPr>
                          <w:ind w:left="247" w:right="242"/>
                          <w:jc w:val="both"/>
                          <w:rPr>
                            <w:sz w:val="18"/>
                          </w:rPr>
                        </w:pPr>
                        <w:r>
                          <w:rPr>
                            <w:sz w:val="18"/>
                          </w:rPr>
                          <w:t>In addition to SKALA support, the most significant key factor in making this change happen is the presence of the KMC Coordinator</w:t>
                        </w:r>
                        <w:r>
                          <w:rPr>
                            <w:spacing w:val="-5"/>
                            <w:sz w:val="18"/>
                          </w:rPr>
                          <w:t xml:space="preserve"> </w:t>
                        </w:r>
                        <w:r>
                          <w:rPr>
                            <w:sz w:val="18"/>
                          </w:rPr>
                          <w:t>in</w:t>
                        </w:r>
                        <w:r>
                          <w:rPr>
                            <w:spacing w:val="-6"/>
                            <w:sz w:val="18"/>
                          </w:rPr>
                          <w:t xml:space="preserve"> </w:t>
                        </w:r>
                        <w:r>
                          <w:rPr>
                            <w:sz w:val="18"/>
                          </w:rPr>
                          <w:t>Bappeda</w:t>
                        </w:r>
                        <w:r>
                          <w:rPr>
                            <w:spacing w:val="-7"/>
                            <w:sz w:val="18"/>
                          </w:rPr>
                          <w:t xml:space="preserve"> </w:t>
                        </w:r>
                        <w:r>
                          <w:rPr>
                            <w:sz w:val="18"/>
                          </w:rPr>
                          <w:t>who</w:t>
                        </w:r>
                        <w:r>
                          <w:rPr>
                            <w:spacing w:val="-6"/>
                            <w:sz w:val="18"/>
                          </w:rPr>
                          <w:t xml:space="preserve"> </w:t>
                        </w:r>
                        <w:r>
                          <w:rPr>
                            <w:sz w:val="18"/>
                          </w:rPr>
                          <w:t>is</w:t>
                        </w:r>
                        <w:r>
                          <w:rPr>
                            <w:spacing w:val="-6"/>
                            <w:sz w:val="18"/>
                          </w:rPr>
                          <w:t xml:space="preserve"> </w:t>
                        </w:r>
                        <w:r>
                          <w:rPr>
                            <w:sz w:val="18"/>
                          </w:rPr>
                          <w:t>able</w:t>
                        </w:r>
                        <w:r>
                          <w:rPr>
                            <w:spacing w:val="-6"/>
                            <w:sz w:val="18"/>
                          </w:rPr>
                          <w:t xml:space="preserve"> </w:t>
                        </w:r>
                        <w:r>
                          <w:rPr>
                            <w:sz w:val="18"/>
                          </w:rPr>
                          <w:t>to</w:t>
                        </w:r>
                        <w:r>
                          <w:rPr>
                            <w:spacing w:val="-6"/>
                            <w:sz w:val="18"/>
                          </w:rPr>
                          <w:t xml:space="preserve"> </w:t>
                        </w:r>
                        <w:r>
                          <w:rPr>
                            <w:sz w:val="18"/>
                          </w:rPr>
                          <w:t>influence</w:t>
                        </w:r>
                        <w:r>
                          <w:rPr>
                            <w:spacing w:val="-6"/>
                            <w:sz w:val="18"/>
                          </w:rPr>
                          <w:t xml:space="preserve"> </w:t>
                        </w:r>
                        <w:r>
                          <w:rPr>
                            <w:sz w:val="18"/>
                          </w:rPr>
                          <w:t>the</w:t>
                        </w:r>
                        <w:r>
                          <w:rPr>
                            <w:spacing w:val="-6"/>
                            <w:sz w:val="18"/>
                          </w:rPr>
                          <w:t xml:space="preserve"> </w:t>
                        </w:r>
                        <w:r>
                          <w:rPr>
                            <w:sz w:val="18"/>
                          </w:rPr>
                          <w:t>direction</w:t>
                        </w:r>
                        <w:r>
                          <w:rPr>
                            <w:spacing w:val="-6"/>
                            <w:sz w:val="18"/>
                          </w:rPr>
                          <w:t xml:space="preserve"> </w:t>
                        </w:r>
                        <w:r>
                          <w:rPr>
                            <w:sz w:val="18"/>
                          </w:rPr>
                          <w:t>of</w:t>
                        </w:r>
                        <w:r>
                          <w:rPr>
                            <w:spacing w:val="-7"/>
                            <w:sz w:val="18"/>
                          </w:rPr>
                          <w:t xml:space="preserve"> </w:t>
                        </w:r>
                        <w:r>
                          <w:rPr>
                            <w:sz w:val="18"/>
                          </w:rPr>
                          <w:t>leadership</w:t>
                        </w:r>
                        <w:r>
                          <w:rPr>
                            <w:spacing w:val="-6"/>
                            <w:sz w:val="18"/>
                          </w:rPr>
                          <w:t xml:space="preserve"> </w:t>
                        </w:r>
                        <w:r>
                          <w:rPr>
                            <w:sz w:val="18"/>
                          </w:rPr>
                          <w:t>and</w:t>
                        </w:r>
                        <w:r>
                          <w:rPr>
                            <w:spacing w:val="-6"/>
                            <w:sz w:val="18"/>
                          </w:rPr>
                          <w:t xml:space="preserve"> </w:t>
                        </w:r>
                        <w:r>
                          <w:rPr>
                            <w:sz w:val="18"/>
                          </w:rPr>
                          <w:t>increase</w:t>
                        </w:r>
                        <w:r>
                          <w:rPr>
                            <w:spacing w:val="-6"/>
                            <w:sz w:val="18"/>
                          </w:rPr>
                          <w:t xml:space="preserve"> </w:t>
                        </w:r>
                        <w:r>
                          <w:rPr>
                            <w:sz w:val="18"/>
                          </w:rPr>
                          <w:t>Bappeda</w:t>
                        </w:r>
                        <w:r>
                          <w:rPr>
                            <w:spacing w:val="-4"/>
                            <w:sz w:val="18"/>
                          </w:rPr>
                          <w:t xml:space="preserve"> </w:t>
                        </w:r>
                        <w:r>
                          <w:rPr>
                            <w:sz w:val="18"/>
                          </w:rPr>
                          <w:t>'s</w:t>
                        </w:r>
                        <w:r>
                          <w:rPr>
                            <w:spacing w:val="-6"/>
                            <w:sz w:val="18"/>
                          </w:rPr>
                          <w:t xml:space="preserve"> </w:t>
                        </w:r>
                        <w:r>
                          <w:rPr>
                            <w:sz w:val="18"/>
                          </w:rPr>
                          <w:t>strategic</w:t>
                        </w:r>
                        <w:r>
                          <w:rPr>
                            <w:spacing w:val="-6"/>
                            <w:sz w:val="18"/>
                          </w:rPr>
                          <w:t xml:space="preserve"> </w:t>
                        </w:r>
                        <w:r>
                          <w:rPr>
                            <w:sz w:val="18"/>
                          </w:rPr>
                          <w:t xml:space="preserve">awareness of the importance of regional data governance. BPS also noted that the recent changes are both significant and clearly </w:t>
                        </w:r>
                        <w:r>
                          <w:rPr>
                            <w:spacing w:val="-2"/>
                            <w:sz w:val="18"/>
                          </w:rPr>
                          <w:t>observable.</w:t>
                        </w:r>
                      </w:p>
                      <w:p w14:paraId="1619AB12" w14:textId="77777777" w:rsidR="00BC24A8" w:rsidRDefault="00BC24A8">
                        <w:pPr>
                          <w:rPr>
                            <w:sz w:val="18"/>
                          </w:rPr>
                        </w:pPr>
                      </w:p>
                      <w:p w14:paraId="71C48670" w14:textId="77777777" w:rsidR="00BC24A8" w:rsidRDefault="00BC24A8">
                        <w:pPr>
                          <w:rPr>
                            <w:sz w:val="18"/>
                          </w:rPr>
                        </w:pPr>
                      </w:p>
                      <w:p w14:paraId="1B6659AC" w14:textId="77777777" w:rsidR="00BC24A8" w:rsidRDefault="00BC24A8">
                        <w:pPr>
                          <w:spacing w:before="47"/>
                          <w:rPr>
                            <w:sz w:val="18"/>
                          </w:rPr>
                        </w:pPr>
                      </w:p>
                      <w:p w14:paraId="408ACD03" w14:textId="77777777" w:rsidR="00BC24A8" w:rsidRDefault="00000000">
                        <w:pPr>
                          <w:spacing w:line="290" w:lineRule="auto"/>
                          <w:ind w:left="580" w:right="612"/>
                          <w:jc w:val="both"/>
                          <w:rPr>
                            <w:rFonts w:ascii="Times New Roman" w:hAnsi="Times New Roman"/>
                            <w:b/>
                            <w:i/>
                            <w:sz w:val="18"/>
                          </w:rPr>
                        </w:pPr>
                        <w:r>
                          <w:rPr>
                            <w:rFonts w:ascii="Times New Roman" w:hAnsi="Times New Roman"/>
                            <w:b/>
                            <w:i/>
                            <w:color w:val="17365A"/>
                            <w:sz w:val="18"/>
                          </w:rPr>
                          <w:t>This</w:t>
                        </w:r>
                        <w:r>
                          <w:rPr>
                            <w:rFonts w:ascii="Times New Roman" w:hAnsi="Times New Roman"/>
                            <w:b/>
                            <w:i/>
                            <w:color w:val="17365A"/>
                            <w:spacing w:val="-12"/>
                            <w:sz w:val="18"/>
                          </w:rPr>
                          <w:t xml:space="preserve"> </w:t>
                        </w:r>
                        <w:r>
                          <w:rPr>
                            <w:rFonts w:ascii="Times New Roman" w:hAnsi="Times New Roman"/>
                            <w:b/>
                            <w:i/>
                            <w:color w:val="17365A"/>
                            <w:sz w:val="18"/>
                          </w:rPr>
                          <w:t>is</w:t>
                        </w:r>
                        <w:r>
                          <w:rPr>
                            <w:rFonts w:ascii="Times New Roman" w:hAnsi="Times New Roman"/>
                            <w:b/>
                            <w:i/>
                            <w:color w:val="17365A"/>
                            <w:spacing w:val="-11"/>
                            <w:sz w:val="18"/>
                          </w:rPr>
                          <w:t xml:space="preserve"> </w:t>
                        </w:r>
                        <w:r>
                          <w:rPr>
                            <w:rFonts w:ascii="Times New Roman" w:hAnsi="Times New Roman"/>
                            <w:b/>
                            <w:i/>
                            <w:color w:val="17365A"/>
                            <w:sz w:val="18"/>
                          </w:rPr>
                          <w:t>a</w:t>
                        </w:r>
                        <w:r>
                          <w:rPr>
                            <w:rFonts w:ascii="Times New Roman" w:hAnsi="Times New Roman"/>
                            <w:b/>
                            <w:i/>
                            <w:color w:val="17365A"/>
                            <w:spacing w:val="-11"/>
                            <w:sz w:val="18"/>
                          </w:rPr>
                          <w:t xml:space="preserve"> </w:t>
                        </w:r>
                        <w:r>
                          <w:rPr>
                            <w:rFonts w:ascii="Times New Roman" w:hAnsi="Times New Roman"/>
                            <w:b/>
                            <w:i/>
                            <w:color w:val="17365A"/>
                            <w:sz w:val="18"/>
                          </w:rPr>
                          <w:t>major</w:t>
                        </w:r>
                        <w:r>
                          <w:rPr>
                            <w:rFonts w:ascii="Times New Roman" w:hAnsi="Times New Roman"/>
                            <w:b/>
                            <w:i/>
                            <w:color w:val="17365A"/>
                            <w:spacing w:val="-11"/>
                            <w:sz w:val="18"/>
                          </w:rPr>
                          <w:t xml:space="preserve"> </w:t>
                        </w:r>
                        <w:r>
                          <w:rPr>
                            <w:rFonts w:ascii="Times New Roman" w:hAnsi="Times New Roman"/>
                            <w:b/>
                            <w:i/>
                            <w:color w:val="17365A"/>
                            <w:sz w:val="18"/>
                          </w:rPr>
                          <w:t>shi,</w:t>
                        </w:r>
                        <w:r>
                          <w:rPr>
                            <w:rFonts w:ascii="Times New Roman" w:hAnsi="Times New Roman"/>
                            <w:b/>
                            <w:i/>
                            <w:color w:val="17365A"/>
                            <w:spacing w:val="-12"/>
                            <w:sz w:val="18"/>
                          </w:rPr>
                          <w:t xml:space="preserve"> </w:t>
                        </w:r>
                        <w:r>
                          <w:rPr>
                            <w:rFonts w:ascii="Times New Roman" w:hAnsi="Times New Roman"/>
                            <w:b/>
                            <w:i/>
                            <w:color w:val="17365A"/>
                            <w:sz w:val="18"/>
                          </w:rPr>
                          <w:t>as</w:t>
                        </w:r>
                        <w:r>
                          <w:rPr>
                            <w:rFonts w:ascii="Times New Roman" w:hAnsi="Times New Roman"/>
                            <w:b/>
                            <w:i/>
                            <w:color w:val="17365A"/>
                            <w:spacing w:val="-11"/>
                            <w:sz w:val="18"/>
                          </w:rPr>
                          <w:t xml:space="preserve"> </w:t>
                        </w:r>
                        <w:r>
                          <w:rPr>
                            <w:rFonts w:ascii="Times New Roman" w:hAnsi="Times New Roman"/>
                            <w:b/>
                            <w:i/>
                            <w:color w:val="17365A"/>
                            <w:sz w:val="18"/>
                          </w:rPr>
                          <w:t>Bappeda</w:t>
                        </w:r>
                        <w:r>
                          <w:rPr>
                            <w:rFonts w:ascii="Times New Roman" w:hAnsi="Times New Roman"/>
                            <w:b/>
                            <w:i/>
                            <w:color w:val="17365A"/>
                            <w:spacing w:val="-11"/>
                            <w:sz w:val="18"/>
                          </w:rPr>
                          <w:t xml:space="preserve"> </w:t>
                        </w:r>
                        <w:r>
                          <w:rPr>
                            <w:rFonts w:ascii="Times New Roman" w:hAnsi="Times New Roman"/>
                            <w:b/>
                            <w:i/>
                            <w:color w:val="17365A"/>
                            <w:sz w:val="18"/>
                          </w:rPr>
                          <w:t>is</w:t>
                        </w:r>
                        <w:r>
                          <w:rPr>
                            <w:rFonts w:ascii="Times New Roman" w:hAnsi="Times New Roman"/>
                            <w:b/>
                            <w:i/>
                            <w:color w:val="17365A"/>
                            <w:spacing w:val="-11"/>
                            <w:sz w:val="18"/>
                          </w:rPr>
                          <w:t xml:space="preserve"> </w:t>
                        </w:r>
                        <w:r>
                          <w:rPr>
                            <w:rFonts w:ascii="Times New Roman" w:hAnsi="Times New Roman"/>
                            <w:b/>
                            <w:i/>
                            <w:color w:val="17365A"/>
                            <w:sz w:val="18"/>
                          </w:rPr>
                          <w:t>one</w:t>
                        </w:r>
                        <w:r>
                          <w:rPr>
                            <w:rFonts w:ascii="Times New Roman" w:hAnsi="Times New Roman"/>
                            <w:b/>
                            <w:i/>
                            <w:color w:val="17365A"/>
                            <w:spacing w:val="-12"/>
                            <w:sz w:val="18"/>
                          </w:rPr>
                          <w:t xml:space="preserve"> </w:t>
                        </w:r>
                        <w:r>
                          <w:rPr>
                            <w:rFonts w:ascii="Times New Roman" w:hAnsi="Times New Roman"/>
                            <w:b/>
                            <w:i/>
                            <w:color w:val="17365A"/>
                            <w:sz w:val="18"/>
                          </w:rPr>
                          <w:t>of</w:t>
                        </w:r>
                        <w:r>
                          <w:rPr>
                            <w:rFonts w:ascii="Times New Roman" w:hAnsi="Times New Roman"/>
                            <w:b/>
                            <w:i/>
                            <w:color w:val="17365A"/>
                            <w:spacing w:val="-11"/>
                            <w:sz w:val="18"/>
                          </w:rPr>
                          <w:t xml:space="preserve"> </w:t>
                        </w:r>
                        <w:r>
                          <w:rPr>
                            <w:rFonts w:ascii="Times New Roman" w:hAnsi="Times New Roman"/>
                            <w:b/>
                            <w:i/>
                            <w:color w:val="17365A"/>
                            <w:sz w:val="18"/>
                          </w:rPr>
                          <w:t>the</w:t>
                        </w:r>
                        <w:r>
                          <w:rPr>
                            <w:rFonts w:ascii="Times New Roman" w:hAnsi="Times New Roman"/>
                            <w:b/>
                            <w:i/>
                            <w:color w:val="17365A"/>
                            <w:spacing w:val="-11"/>
                            <w:sz w:val="18"/>
                          </w:rPr>
                          <w:t xml:space="preserve"> </w:t>
                        </w:r>
                        <w:r>
                          <w:rPr>
                            <w:rFonts w:ascii="Times New Roman" w:hAnsi="Times New Roman"/>
                            <w:b/>
                            <w:i/>
                            <w:color w:val="17365A"/>
                            <w:sz w:val="18"/>
                          </w:rPr>
                          <w:t>key</w:t>
                        </w:r>
                        <w:r>
                          <w:rPr>
                            <w:rFonts w:ascii="Times New Roman" w:hAnsi="Times New Roman"/>
                            <w:b/>
                            <w:i/>
                            <w:color w:val="17365A"/>
                            <w:spacing w:val="-11"/>
                            <w:sz w:val="18"/>
                          </w:rPr>
                          <w:t xml:space="preserve"> </w:t>
                        </w:r>
                        <w:r>
                          <w:rPr>
                            <w:rFonts w:ascii="Times New Roman" w:hAnsi="Times New Roman"/>
                            <w:b/>
                            <w:i/>
                            <w:color w:val="17365A"/>
                            <w:sz w:val="18"/>
                          </w:rPr>
                          <w:t>agencies</w:t>
                        </w:r>
                        <w:r>
                          <w:rPr>
                            <w:rFonts w:ascii="Times New Roman" w:hAnsi="Times New Roman"/>
                            <w:b/>
                            <w:i/>
                            <w:color w:val="17365A"/>
                            <w:spacing w:val="-12"/>
                            <w:sz w:val="18"/>
                          </w:rPr>
                          <w:t xml:space="preserve"> </w:t>
                        </w:r>
                        <w:r>
                          <w:rPr>
                            <w:rFonts w:ascii="Times New Roman" w:hAnsi="Times New Roman"/>
                            <w:b/>
                            <w:i/>
                            <w:color w:val="17365A"/>
                            <w:sz w:val="18"/>
                          </w:rPr>
                          <w:t>that</w:t>
                        </w:r>
                        <w:r>
                          <w:rPr>
                            <w:rFonts w:ascii="Times New Roman" w:hAnsi="Times New Roman"/>
                            <w:b/>
                            <w:i/>
                            <w:color w:val="17365A"/>
                            <w:spacing w:val="-11"/>
                            <w:sz w:val="18"/>
                          </w:rPr>
                          <w:t xml:space="preserve"> </w:t>
                        </w:r>
                        <w:r>
                          <w:rPr>
                            <w:rFonts w:ascii="Times New Roman" w:hAnsi="Times New Roman"/>
                            <w:b/>
                            <w:i/>
                            <w:color w:val="17365A"/>
                            <w:sz w:val="18"/>
                          </w:rPr>
                          <w:t>can</w:t>
                        </w:r>
                        <w:r>
                          <w:rPr>
                            <w:rFonts w:ascii="Times New Roman" w:hAnsi="Times New Roman"/>
                            <w:b/>
                            <w:i/>
                            <w:color w:val="17365A"/>
                            <w:spacing w:val="-11"/>
                            <w:sz w:val="18"/>
                          </w:rPr>
                          <w:t xml:space="preserve"> </w:t>
                        </w:r>
                        <w:r>
                          <w:rPr>
                            <w:rFonts w:ascii="Times New Roman" w:hAnsi="Times New Roman"/>
                            <w:b/>
                            <w:i/>
                            <w:color w:val="17365A"/>
                            <w:sz w:val="18"/>
                          </w:rPr>
                          <w:t>steer</w:t>
                        </w:r>
                        <w:r>
                          <w:rPr>
                            <w:rFonts w:ascii="Times New Roman" w:hAnsi="Times New Roman"/>
                            <w:b/>
                            <w:i/>
                            <w:color w:val="17365A"/>
                            <w:spacing w:val="-11"/>
                            <w:sz w:val="18"/>
                          </w:rPr>
                          <w:t xml:space="preserve"> </w:t>
                        </w:r>
                        <w:r>
                          <w:rPr>
                            <w:rFonts w:ascii="Times New Roman" w:hAnsi="Times New Roman"/>
                            <w:b/>
                            <w:i/>
                            <w:color w:val="17365A"/>
                            <w:sz w:val="18"/>
                          </w:rPr>
                          <w:t>the</w:t>
                        </w:r>
                        <w:r>
                          <w:rPr>
                            <w:rFonts w:ascii="Times New Roman" w:hAnsi="Times New Roman"/>
                            <w:b/>
                            <w:i/>
                            <w:color w:val="17365A"/>
                            <w:spacing w:val="-12"/>
                            <w:sz w:val="18"/>
                          </w:rPr>
                          <w:t xml:space="preserve"> </w:t>
                        </w:r>
                        <w:r>
                          <w:rPr>
                            <w:rFonts w:ascii="Times New Roman" w:hAnsi="Times New Roman"/>
                            <w:b/>
                            <w:i/>
                            <w:color w:val="17365A"/>
                            <w:sz w:val="18"/>
                          </w:rPr>
                          <w:t>direction</w:t>
                        </w:r>
                        <w:r>
                          <w:rPr>
                            <w:rFonts w:ascii="Times New Roman" w:hAnsi="Times New Roman"/>
                            <w:b/>
                            <w:i/>
                            <w:color w:val="17365A"/>
                            <w:spacing w:val="-11"/>
                            <w:sz w:val="18"/>
                          </w:rPr>
                          <w:t xml:space="preserve"> </w:t>
                        </w:r>
                        <w:r>
                          <w:rPr>
                            <w:rFonts w:ascii="Times New Roman" w:hAnsi="Times New Roman"/>
                            <w:b/>
                            <w:i/>
                            <w:color w:val="17365A"/>
                            <w:sz w:val="18"/>
                          </w:rPr>
                          <w:t>of</w:t>
                        </w:r>
                        <w:r>
                          <w:rPr>
                            <w:rFonts w:ascii="Times New Roman" w:hAnsi="Times New Roman"/>
                            <w:b/>
                            <w:i/>
                            <w:color w:val="17365A"/>
                            <w:spacing w:val="-10"/>
                            <w:sz w:val="18"/>
                          </w:rPr>
                          <w:t xml:space="preserve"> </w:t>
                        </w:r>
                        <w:r>
                          <w:rPr>
                            <w:rFonts w:ascii="Times New Roman" w:hAnsi="Times New Roman"/>
                            <w:b/>
                            <w:i/>
                            <w:color w:val="17365A"/>
                            <w:sz w:val="18"/>
                          </w:rPr>
                          <w:t>government</w:t>
                        </w:r>
                        <w:r>
                          <w:rPr>
                            <w:rFonts w:ascii="Times New Roman" w:hAnsi="Times New Roman"/>
                            <w:b/>
                            <w:i/>
                            <w:color w:val="17365A"/>
                            <w:spacing w:val="-11"/>
                            <w:sz w:val="18"/>
                          </w:rPr>
                          <w:t xml:space="preserve"> </w:t>
                        </w:r>
                        <w:r>
                          <w:rPr>
                            <w:rFonts w:ascii="Times New Roman" w:hAnsi="Times New Roman"/>
                            <w:b/>
                            <w:i/>
                            <w:color w:val="17365A"/>
                            <w:sz w:val="18"/>
                          </w:rPr>
                          <w:t xml:space="preserve">policy. </w:t>
                        </w:r>
                        <w:r>
                          <w:rPr>
                            <w:rFonts w:ascii="Times New Roman" w:hAnsi="Times New Roman"/>
                            <w:b/>
                            <w:i/>
                            <w:color w:val="17365A"/>
                            <w:spacing w:val="-2"/>
                            <w:sz w:val="18"/>
                          </w:rPr>
                          <w:t>Since</w:t>
                        </w:r>
                        <w:r>
                          <w:rPr>
                            <w:rFonts w:ascii="Times New Roman" w:hAnsi="Times New Roman"/>
                            <w:b/>
                            <w:i/>
                            <w:color w:val="17365A"/>
                            <w:spacing w:val="-10"/>
                            <w:sz w:val="18"/>
                          </w:rPr>
                          <w:t xml:space="preserve"> </w:t>
                        </w:r>
                        <w:r>
                          <w:rPr>
                            <w:rFonts w:ascii="Times New Roman" w:hAnsi="Times New Roman"/>
                            <w:b/>
                            <w:i/>
                            <w:color w:val="17365A"/>
                            <w:spacing w:val="-2"/>
                            <w:sz w:val="18"/>
                          </w:rPr>
                          <w:t>SKALA’s</w:t>
                        </w:r>
                        <w:r>
                          <w:rPr>
                            <w:rFonts w:ascii="Times New Roman" w:hAnsi="Times New Roman"/>
                            <w:b/>
                            <w:i/>
                            <w:color w:val="17365A"/>
                            <w:spacing w:val="-9"/>
                            <w:sz w:val="18"/>
                          </w:rPr>
                          <w:t xml:space="preserve"> </w:t>
                        </w:r>
                        <w:r>
                          <w:rPr>
                            <w:rFonts w:ascii="Times New Roman" w:hAnsi="Times New Roman"/>
                            <w:b/>
                            <w:i/>
                            <w:color w:val="17365A"/>
                            <w:spacing w:val="-2"/>
                            <w:sz w:val="18"/>
                          </w:rPr>
                          <w:t>involvement,</w:t>
                        </w:r>
                        <w:r>
                          <w:rPr>
                            <w:rFonts w:ascii="Times New Roman" w:hAnsi="Times New Roman"/>
                            <w:b/>
                            <w:i/>
                            <w:color w:val="17365A"/>
                            <w:spacing w:val="-9"/>
                            <w:sz w:val="18"/>
                          </w:rPr>
                          <w:t xml:space="preserve"> </w:t>
                        </w:r>
                        <w:r>
                          <w:rPr>
                            <w:rFonts w:ascii="Times New Roman" w:hAnsi="Times New Roman"/>
                            <w:b/>
                            <w:i/>
                            <w:color w:val="17365A"/>
                            <w:spacing w:val="-2"/>
                            <w:sz w:val="18"/>
                          </w:rPr>
                          <w:t>I’ve</w:t>
                        </w:r>
                        <w:r>
                          <w:rPr>
                            <w:rFonts w:ascii="Times New Roman" w:hAnsi="Times New Roman"/>
                            <w:b/>
                            <w:i/>
                            <w:color w:val="17365A"/>
                            <w:spacing w:val="-9"/>
                            <w:sz w:val="18"/>
                          </w:rPr>
                          <w:t xml:space="preserve"> </w:t>
                        </w:r>
                        <w:r>
                          <w:rPr>
                            <w:rFonts w:ascii="Times New Roman" w:hAnsi="Times New Roman"/>
                            <w:b/>
                            <w:i/>
                            <w:color w:val="17365A"/>
                            <w:spacing w:val="-2"/>
                            <w:sz w:val="18"/>
                          </w:rPr>
                          <w:t>come</w:t>
                        </w:r>
                        <w:r>
                          <w:rPr>
                            <w:rFonts w:ascii="Times New Roman" w:hAnsi="Times New Roman"/>
                            <w:b/>
                            <w:i/>
                            <w:color w:val="17365A"/>
                            <w:spacing w:val="-10"/>
                            <w:sz w:val="18"/>
                          </w:rPr>
                          <w:t xml:space="preserve"> </w:t>
                        </w:r>
                        <w:r>
                          <w:rPr>
                            <w:rFonts w:ascii="Times New Roman" w:hAnsi="Times New Roman"/>
                            <w:b/>
                            <w:i/>
                            <w:color w:val="17365A"/>
                            <w:spacing w:val="-2"/>
                            <w:sz w:val="18"/>
                          </w:rPr>
                          <w:t>to</w:t>
                        </w:r>
                        <w:r>
                          <w:rPr>
                            <w:rFonts w:ascii="Times New Roman" w:hAnsi="Times New Roman"/>
                            <w:b/>
                            <w:i/>
                            <w:color w:val="17365A"/>
                            <w:spacing w:val="-9"/>
                            <w:sz w:val="18"/>
                          </w:rPr>
                          <w:t xml:space="preserve"> </w:t>
                        </w:r>
                        <w:r>
                          <w:rPr>
                            <w:rFonts w:ascii="Times New Roman" w:hAnsi="Times New Roman"/>
                            <w:b/>
                            <w:i/>
                            <w:color w:val="17365A"/>
                            <w:spacing w:val="-2"/>
                            <w:sz w:val="18"/>
                          </w:rPr>
                          <w:t>see</w:t>
                        </w:r>
                        <w:r>
                          <w:rPr>
                            <w:rFonts w:ascii="Times New Roman" w:hAnsi="Times New Roman"/>
                            <w:b/>
                            <w:i/>
                            <w:color w:val="17365A"/>
                            <w:spacing w:val="-9"/>
                            <w:sz w:val="18"/>
                          </w:rPr>
                          <w:t xml:space="preserve"> </w:t>
                        </w:r>
                        <w:r>
                          <w:rPr>
                            <w:rFonts w:ascii="Times New Roman" w:hAnsi="Times New Roman"/>
                            <w:b/>
                            <w:i/>
                            <w:color w:val="17365A"/>
                            <w:spacing w:val="-2"/>
                            <w:sz w:val="18"/>
                          </w:rPr>
                          <w:t>Bappeda’s</w:t>
                        </w:r>
                        <w:r>
                          <w:rPr>
                            <w:rFonts w:ascii="Times New Roman" w:hAnsi="Times New Roman"/>
                            <w:b/>
                            <w:i/>
                            <w:color w:val="17365A"/>
                            <w:spacing w:val="-9"/>
                            <w:sz w:val="18"/>
                          </w:rPr>
                          <w:t xml:space="preserve"> </w:t>
                        </w:r>
                        <w:r>
                          <w:rPr>
                            <w:rFonts w:ascii="Times New Roman" w:hAnsi="Times New Roman"/>
                            <w:b/>
                            <w:i/>
                            <w:color w:val="17365A"/>
                            <w:spacing w:val="-2"/>
                            <w:sz w:val="18"/>
                          </w:rPr>
                          <w:t>role</w:t>
                        </w:r>
                        <w:r>
                          <w:rPr>
                            <w:rFonts w:ascii="Times New Roman" w:hAnsi="Times New Roman"/>
                            <w:b/>
                            <w:i/>
                            <w:color w:val="17365A"/>
                            <w:spacing w:val="-10"/>
                            <w:sz w:val="18"/>
                          </w:rPr>
                          <w:t xml:space="preserve"> </w:t>
                        </w:r>
                        <w:r>
                          <w:rPr>
                            <w:rFonts w:ascii="Times New Roman" w:hAnsi="Times New Roman"/>
                            <w:b/>
                            <w:i/>
                            <w:color w:val="17365A"/>
                            <w:spacing w:val="-2"/>
                            <w:sz w:val="18"/>
                          </w:rPr>
                          <w:t>in</w:t>
                        </w:r>
                        <w:r>
                          <w:rPr>
                            <w:rFonts w:ascii="Times New Roman" w:hAnsi="Times New Roman"/>
                            <w:b/>
                            <w:i/>
                            <w:color w:val="17365A"/>
                            <w:spacing w:val="-9"/>
                            <w:sz w:val="18"/>
                          </w:rPr>
                          <w:t xml:space="preserve"> </w:t>
                        </w:r>
                        <w:r>
                          <w:rPr>
                            <w:rFonts w:ascii="Times New Roman" w:hAnsi="Times New Roman"/>
                            <w:b/>
                            <w:i/>
                            <w:color w:val="17365A"/>
                            <w:spacing w:val="-2"/>
                            <w:sz w:val="18"/>
                          </w:rPr>
                          <w:t>the</w:t>
                        </w:r>
                        <w:r>
                          <w:rPr>
                            <w:rFonts w:ascii="Times New Roman" w:hAnsi="Times New Roman"/>
                            <w:b/>
                            <w:i/>
                            <w:color w:val="17365A"/>
                            <w:spacing w:val="-5"/>
                            <w:sz w:val="18"/>
                          </w:rPr>
                          <w:t xml:space="preserve"> </w:t>
                        </w:r>
                        <w:r>
                          <w:rPr>
                            <w:rFonts w:ascii="Times New Roman" w:hAnsi="Times New Roman"/>
                            <w:b/>
                            <w:i/>
                            <w:color w:val="17365A"/>
                            <w:spacing w:val="-2"/>
                            <w:sz w:val="18"/>
                          </w:rPr>
                          <w:t>One</w:t>
                        </w:r>
                        <w:r>
                          <w:rPr>
                            <w:rFonts w:ascii="Times New Roman" w:hAnsi="Times New Roman"/>
                            <w:b/>
                            <w:i/>
                            <w:color w:val="17365A"/>
                            <w:spacing w:val="-10"/>
                            <w:sz w:val="18"/>
                          </w:rPr>
                          <w:t xml:space="preserve"> </w:t>
                        </w:r>
                        <w:r>
                          <w:rPr>
                            <w:rFonts w:ascii="Times New Roman" w:hAnsi="Times New Roman"/>
                            <w:b/>
                            <w:i/>
                            <w:color w:val="17365A"/>
                            <w:spacing w:val="-2"/>
                            <w:sz w:val="18"/>
                          </w:rPr>
                          <w:t>Data</w:t>
                        </w:r>
                        <w:r>
                          <w:rPr>
                            <w:rFonts w:ascii="Times New Roman" w:hAnsi="Times New Roman"/>
                            <w:b/>
                            <w:i/>
                            <w:color w:val="17365A"/>
                            <w:spacing w:val="-6"/>
                            <w:sz w:val="18"/>
                          </w:rPr>
                          <w:t xml:space="preserve"> </w:t>
                        </w:r>
                        <w:r>
                          <w:rPr>
                            <w:rFonts w:ascii="Times New Roman" w:hAnsi="Times New Roman"/>
                            <w:b/>
                            <w:i/>
                            <w:color w:val="17365A"/>
                            <w:spacing w:val="-2"/>
                            <w:sz w:val="18"/>
                          </w:rPr>
                          <w:t>Forum</w:t>
                        </w:r>
                        <w:r>
                          <w:rPr>
                            <w:rFonts w:ascii="Times New Roman" w:hAnsi="Times New Roman"/>
                            <w:b/>
                            <w:i/>
                            <w:color w:val="17365A"/>
                            <w:spacing w:val="-10"/>
                            <w:sz w:val="18"/>
                          </w:rPr>
                          <w:t xml:space="preserve"> </w:t>
                        </w:r>
                        <w:r>
                          <w:rPr>
                            <w:rFonts w:ascii="Times New Roman" w:hAnsi="Times New Roman"/>
                            <w:b/>
                            <w:i/>
                            <w:color w:val="17365A"/>
                            <w:spacing w:val="-2"/>
                            <w:sz w:val="18"/>
                          </w:rPr>
                          <w:t>as</w:t>
                        </w:r>
                        <w:r>
                          <w:rPr>
                            <w:rFonts w:ascii="Times New Roman" w:hAnsi="Times New Roman"/>
                            <w:b/>
                            <w:i/>
                            <w:color w:val="17365A"/>
                            <w:spacing w:val="-8"/>
                            <w:sz w:val="18"/>
                          </w:rPr>
                          <w:t xml:space="preserve"> </w:t>
                        </w:r>
                        <w:r>
                          <w:rPr>
                            <w:rFonts w:ascii="Times New Roman" w:hAnsi="Times New Roman"/>
                            <w:b/>
                            <w:i/>
                            <w:color w:val="17365A"/>
                            <w:spacing w:val="-2"/>
                            <w:sz w:val="18"/>
                          </w:rPr>
                          <w:t>truly</w:t>
                        </w:r>
                        <w:r>
                          <w:rPr>
                            <w:rFonts w:ascii="Times New Roman" w:hAnsi="Times New Roman"/>
                            <w:b/>
                            <w:i/>
                            <w:color w:val="17365A"/>
                            <w:spacing w:val="-8"/>
                            <w:sz w:val="18"/>
                          </w:rPr>
                          <w:t xml:space="preserve"> </w:t>
                        </w:r>
                        <w:r>
                          <w:rPr>
                            <w:rFonts w:ascii="Times New Roman" w:hAnsi="Times New Roman"/>
                            <w:b/>
                            <w:i/>
                            <w:color w:val="17365A"/>
                            <w:spacing w:val="-2"/>
                            <w:sz w:val="18"/>
                          </w:rPr>
                          <w:t>important.</w:t>
                        </w:r>
                        <w:r>
                          <w:rPr>
                            <w:rFonts w:ascii="Times New Roman" w:hAnsi="Times New Roman"/>
                            <w:b/>
                            <w:i/>
                            <w:color w:val="17365A"/>
                            <w:spacing w:val="-9"/>
                            <w:sz w:val="18"/>
                          </w:rPr>
                          <w:t xml:space="preserve"> </w:t>
                        </w:r>
                        <w:r>
                          <w:rPr>
                            <w:rFonts w:ascii="Times New Roman" w:hAnsi="Times New Roman"/>
                            <w:b/>
                            <w:i/>
                            <w:color w:val="17365A"/>
                            <w:spacing w:val="-2"/>
                            <w:sz w:val="18"/>
                          </w:rPr>
                          <w:t>It</w:t>
                        </w:r>
                        <w:r>
                          <w:rPr>
                            <w:rFonts w:ascii="Times New Roman" w:hAnsi="Times New Roman"/>
                            <w:b/>
                            <w:i/>
                            <w:color w:val="17365A"/>
                            <w:spacing w:val="-10"/>
                            <w:sz w:val="18"/>
                          </w:rPr>
                          <w:t xml:space="preserve"> </w:t>
                        </w:r>
                        <w:r>
                          <w:rPr>
                            <w:rFonts w:ascii="Times New Roman" w:hAnsi="Times New Roman"/>
                            <w:b/>
                            <w:i/>
                            <w:color w:val="17365A"/>
                            <w:spacing w:val="-2"/>
                            <w:sz w:val="18"/>
                          </w:rPr>
                          <w:t xml:space="preserve">has </w:t>
                        </w:r>
                        <w:r>
                          <w:rPr>
                            <w:rFonts w:ascii="Times New Roman" w:hAnsi="Times New Roman"/>
                            <w:b/>
                            <w:i/>
                            <w:color w:val="17365A"/>
                            <w:sz w:val="18"/>
                          </w:rPr>
                          <w:t>reshaped my mindset.</w:t>
                        </w:r>
                      </w:p>
                      <w:p w14:paraId="27E7C867" w14:textId="77777777" w:rsidR="00BC24A8" w:rsidRDefault="00000000">
                        <w:pPr>
                          <w:spacing w:line="207" w:lineRule="exact"/>
                          <w:ind w:left="580"/>
                          <w:jc w:val="both"/>
                          <w:rPr>
                            <w:i/>
                            <w:sz w:val="18"/>
                          </w:rPr>
                        </w:pPr>
                        <w:r>
                          <w:rPr>
                            <w:i/>
                            <w:color w:val="17365A"/>
                            <w:sz w:val="18"/>
                          </w:rPr>
                          <w:t>BPS</w:t>
                        </w:r>
                        <w:r>
                          <w:rPr>
                            <w:i/>
                            <w:color w:val="17365A"/>
                            <w:spacing w:val="-9"/>
                            <w:sz w:val="18"/>
                          </w:rPr>
                          <w:t xml:space="preserve"> </w:t>
                        </w:r>
                        <w:r>
                          <w:rPr>
                            <w:i/>
                            <w:color w:val="17365A"/>
                            <w:sz w:val="18"/>
                          </w:rPr>
                          <w:t>representative,</w:t>
                        </w:r>
                        <w:r>
                          <w:rPr>
                            <w:i/>
                            <w:color w:val="17365A"/>
                            <w:spacing w:val="-8"/>
                            <w:sz w:val="18"/>
                          </w:rPr>
                          <w:t xml:space="preserve"> </w:t>
                        </w:r>
                        <w:r>
                          <w:rPr>
                            <w:i/>
                            <w:color w:val="17365A"/>
                            <w:spacing w:val="-2"/>
                            <w:sz w:val="18"/>
                          </w:rPr>
                          <w:t>2025.</w:t>
                        </w:r>
                      </w:p>
                      <w:p w14:paraId="01FFE8DE" w14:textId="77777777" w:rsidR="00BC24A8" w:rsidRDefault="00BC24A8">
                        <w:pPr>
                          <w:rPr>
                            <w:i/>
                            <w:sz w:val="18"/>
                          </w:rPr>
                        </w:pPr>
                      </w:p>
                      <w:p w14:paraId="51955122" w14:textId="77777777" w:rsidR="00BC24A8" w:rsidRDefault="00BC24A8">
                        <w:pPr>
                          <w:spacing w:before="159"/>
                          <w:rPr>
                            <w:i/>
                            <w:sz w:val="18"/>
                          </w:rPr>
                        </w:pPr>
                      </w:p>
                      <w:p w14:paraId="68565FF1" w14:textId="77777777" w:rsidR="00BC24A8" w:rsidRDefault="00000000">
                        <w:pPr>
                          <w:spacing w:before="1"/>
                          <w:ind w:left="247" w:right="243"/>
                          <w:jc w:val="both"/>
                          <w:rPr>
                            <w:sz w:val="18"/>
                          </w:rPr>
                        </w:pPr>
                        <w:r>
                          <w:rPr>
                            <w:sz w:val="18"/>
                          </w:rPr>
                          <w:t>This</w:t>
                        </w:r>
                        <w:r>
                          <w:rPr>
                            <w:spacing w:val="-2"/>
                            <w:sz w:val="18"/>
                          </w:rPr>
                          <w:t xml:space="preserve"> </w:t>
                        </w:r>
                        <w:r>
                          <w:rPr>
                            <w:sz w:val="18"/>
                          </w:rPr>
                          <w:t>change</w:t>
                        </w:r>
                        <w:r>
                          <w:rPr>
                            <w:spacing w:val="-2"/>
                            <w:sz w:val="18"/>
                          </w:rPr>
                          <w:t xml:space="preserve"> </w:t>
                        </w:r>
                        <w:r>
                          <w:rPr>
                            <w:sz w:val="18"/>
                          </w:rPr>
                          <w:t>in</w:t>
                        </w:r>
                        <w:r>
                          <w:rPr>
                            <w:spacing w:val="-2"/>
                            <w:sz w:val="18"/>
                          </w:rPr>
                          <w:t xml:space="preserve"> </w:t>
                        </w:r>
                        <w:r>
                          <w:rPr>
                            <w:sz w:val="18"/>
                          </w:rPr>
                          <w:t>role</w:t>
                        </w:r>
                        <w:r>
                          <w:rPr>
                            <w:spacing w:val="-2"/>
                            <w:sz w:val="18"/>
                          </w:rPr>
                          <w:t xml:space="preserve"> </w:t>
                        </w:r>
                        <w:r>
                          <w:rPr>
                            <w:sz w:val="18"/>
                          </w:rPr>
                          <w:t>has</w:t>
                        </w:r>
                        <w:r>
                          <w:rPr>
                            <w:spacing w:val="-2"/>
                            <w:sz w:val="18"/>
                          </w:rPr>
                          <w:t xml:space="preserve"> </w:t>
                        </w:r>
                        <w:r>
                          <w:rPr>
                            <w:sz w:val="18"/>
                          </w:rPr>
                          <w:t>had a</w:t>
                        </w:r>
                        <w:r>
                          <w:rPr>
                            <w:spacing w:val="-3"/>
                            <w:sz w:val="18"/>
                          </w:rPr>
                          <w:t xml:space="preserve"> </w:t>
                        </w:r>
                        <w:r>
                          <w:rPr>
                            <w:sz w:val="18"/>
                          </w:rPr>
                          <w:t>real impact.</w:t>
                        </w:r>
                        <w:r>
                          <w:rPr>
                            <w:spacing w:val="-3"/>
                            <w:sz w:val="18"/>
                          </w:rPr>
                          <w:t xml:space="preserve"> </w:t>
                        </w:r>
                        <w:r>
                          <w:rPr>
                            <w:sz w:val="18"/>
                          </w:rPr>
                          <w:t>The</w:t>
                        </w:r>
                        <w:r>
                          <w:rPr>
                            <w:spacing w:val="-2"/>
                            <w:sz w:val="18"/>
                          </w:rPr>
                          <w:t xml:space="preserve"> </w:t>
                        </w:r>
                        <w:r>
                          <w:rPr>
                            <w:sz w:val="18"/>
                          </w:rPr>
                          <w:t>forum</w:t>
                        </w:r>
                        <w:r>
                          <w:rPr>
                            <w:spacing w:val="-3"/>
                            <w:sz w:val="18"/>
                          </w:rPr>
                          <w:t xml:space="preserve"> </w:t>
                        </w:r>
                        <w:r>
                          <w:rPr>
                            <w:sz w:val="18"/>
                          </w:rPr>
                          <w:t>is</w:t>
                        </w:r>
                        <w:r>
                          <w:rPr>
                            <w:spacing w:val="-2"/>
                            <w:sz w:val="18"/>
                          </w:rPr>
                          <w:t xml:space="preserve"> </w:t>
                        </w:r>
                        <w:r>
                          <w:rPr>
                            <w:sz w:val="18"/>
                          </w:rPr>
                          <w:t>now</w:t>
                        </w:r>
                        <w:r>
                          <w:rPr>
                            <w:spacing w:val="-3"/>
                            <w:sz w:val="18"/>
                          </w:rPr>
                          <w:t xml:space="preserve"> </w:t>
                        </w:r>
                        <w:r>
                          <w:rPr>
                            <w:sz w:val="18"/>
                          </w:rPr>
                          <w:t>institutionally</w:t>
                        </w:r>
                        <w:r>
                          <w:rPr>
                            <w:spacing w:val="-2"/>
                            <w:sz w:val="18"/>
                          </w:rPr>
                          <w:t xml:space="preserve"> </w:t>
                        </w:r>
                        <w:r>
                          <w:rPr>
                            <w:sz w:val="18"/>
                          </w:rPr>
                          <w:t>stronger.</w:t>
                        </w:r>
                        <w:r>
                          <w:rPr>
                            <w:spacing w:val="-3"/>
                            <w:sz w:val="18"/>
                          </w:rPr>
                          <w:t xml:space="preserve"> </w:t>
                        </w:r>
                        <w:r>
                          <w:rPr>
                            <w:sz w:val="18"/>
                          </w:rPr>
                          <w:t>A</w:t>
                        </w:r>
                        <w:r>
                          <w:rPr>
                            <w:spacing w:val="-3"/>
                            <w:sz w:val="18"/>
                          </w:rPr>
                          <w:t xml:space="preserve"> </w:t>
                        </w:r>
                        <w:r>
                          <w:rPr>
                            <w:sz w:val="18"/>
                          </w:rPr>
                          <w:t>list</w:t>
                        </w:r>
                        <w:r>
                          <w:rPr>
                            <w:spacing w:val="-1"/>
                            <w:sz w:val="18"/>
                          </w:rPr>
                          <w:t xml:space="preserve"> </w:t>
                        </w:r>
                        <w:r>
                          <w:rPr>
                            <w:sz w:val="18"/>
                          </w:rPr>
                          <w:t>of</w:t>
                        </w:r>
                        <w:r>
                          <w:rPr>
                            <w:spacing w:val="-3"/>
                            <w:sz w:val="18"/>
                          </w:rPr>
                          <w:t xml:space="preserve"> </w:t>
                        </w:r>
                        <w:r>
                          <w:rPr>
                            <w:sz w:val="18"/>
                          </w:rPr>
                          <w:t>basic</w:t>
                        </w:r>
                        <w:r>
                          <w:rPr>
                            <w:spacing w:val="-2"/>
                            <w:sz w:val="18"/>
                          </w:rPr>
                          <w:t xml:space="preserve"> </w:t>
                        </w:r>
                        <w:r>
                          <w:rPr>
                            <w:sz w:val="18"/>
                          </w:rPr>
                          <w:t>regional</w:t>
                        </w:r>
                        <w:r>
                          <w:rPr>
                            <w:spacing w:val="-1"/>
                            <w:sz w:val="18"/>
                          </w:rPr>
                          <w:t xml:space="preserve"> </w:t>
                        </w:r>
                        <w:r>
                          <w:rPr>
                            <w:sz w:val="18"/>
                          </w:rPr>
                          <w:t>development data and metadata books has been compiled. The Final Draft of the NTB One Data Forum Action Plan for the period 2025–2029 has also been agreed upon as a joint work guide. This experience shows that leadership commitment and the right mentoring can significantly drive institutional transformation and should be replicated by other provinces.</w:t>
                        </w:r>
                      </w:p>
                      <w:p w14:paraId="54AB822E" w14:textId="77777777" w:rsidR="00BC24A8" w:rsidRDefault="00000000">
                        <w:pPr>
                          <w:spacing w:before="205"/>
                          <w:ind w:left="285"/>
                          <w:jc w:val="both"/>
                          <w:rPr>
                            <w:rFonts w:ascii="Calibri"/>
                            <w:b/>
                            <w:sz w:val="18"/>
                          </w:rPr>
                        </w:pPr>
                        <w:r>
                          <w:rPr>
                            <w:rFonts w:ascii="Calibri"/>
                            <w:b/>
                            <w:color w:val="767070"/>
                            <w:sz w:val="18"/>
                          </w:rPr>
                          <w:t>Figure</w:t>
                        </w:r>
                        <w:r>
                          <w:rPr>
                            <w:rFonts w:ascii="Calibri"/>
                            <w:b/>
                            <w:color w:val="767070"/>
                            <w:spacing w:val="-10"/>
                            <w:sz w:val="18"/>
                          </w:rPr>
                          <w:t xml:space="preserve"> </w:t>
                        </w:r>
                        <w:r>
                          <w:rPr>
                            <w:rFonts w:ascii="Calibri"/>
                            <w:b/>
                            <w:color w:val="767070"/>
                            <w:sz w:val="18"/>
                          </w:rPr>
                          <w:t>4:</w:t>
                        </w:r>
                        <w:r>
                          <w:rPr>
                            <w:rFonts w:ascii="Calibri"/>
                            <w:b/>
                            <w:color w:val="767070"/>
                            <w:spacing w:val="-8"/>
                            <w:sz w:val="18"/>
                          </w:rPr>
                          <w:t xml:space="preserve"> </w:t>
                        </w:r>
                        <w:r>
                          <w:rPr>
                            <w:rFonts w:ascii="Calibri"/>
                            <w:b/>
                            <w:color w:val="767070"/>
                            <w:sz w:val="18"/>
                          </w:rPr>
                          <w:t>The</w:t>
                        </w:r>
                        <w:r>
                          <w:rPr>
                            <w:rFonts w:ascii="Calibri"/>
                            <w:b/>
                            <w:color w:val="767070"/>
                            <w:spacing w:val="-8"/>
                            <w:sz w:val="18"/>
                          </w:rPr>
                          <w:t xml:space="preserve"> </w:t>
                        </w:r>
                        <w:r>
                          <w:rPr>
                            <w:rFonts w:ascii="Calibri"/>
                            <w:b/>
                            <w:color w:val="767070"/>
                            <w:sz w:val="18"/>
                          </w:rPr>
                          <w:t>Head</w:t>
                        </w:r>
                        <w:r>
                          <w:rPr>
                            <w:rFonts w:ascii="Calibri"/>
                            <w:b/>
                            <w:color w:val="767070"/>
                            <w:spacing w:val="-10"/>
                            <w:sz w:val="18"/>
                          </w:rPr>
                          <w:t xml:space="preserve"> </w:t>
                        </w:r>
                        <w:r>
                          <w:rPr>
                            <w:rFonts w:ascii="Calibri"/>
                            <w:b/>
                            <w:color w:val="767070"/>
                            <w:sz w:val="18"/>
                          </w:rPr>
                          <w:t>of</w:t>
                        </w:r>
                        <w:r>
                          <w:rPr>
                            <w:rFonts w:ascii="Calibri"/>
                            <w:b/>
                            <w:color w:val="767070"/>
                            <w:spacing w:val="-8"/>
                            <w:sz w:val="18"/>
                          </w:rPr>
                          <w:t xml:space="preserve"> </w:t>
                        </w:r>
                        <w:r>
                          <w:rPr>
                            <w:rFonts w:ascii="Calibri"/>
                            <w:b/>
                            <w:color w:val="767070"/>
                            <w:sz w:val="18"/>
                          </w:rPr>
                          <w:t>Bappeda</w:t>
                        </w:r>
                        <w:r>
                          <w:rPr>
                            <w:rFonts w:ascii="Calibri"/>
                            <w:b/>
                            <w:color w:val="767070"/>
                            <w:spacing w:val="-9"/>
                            <w:sz w:val="18"/>
                          </w:rPr>
                          <w:t xml:space="preserve"> </w:t>
                        </w:r>
                        <w:r>
                          <w:rPr>
                            <w:rFonts w:ascii="Calibri"/>
                            <w:b/>
                            <w:color w:val="767070"/>
                            <w:sz w:val="18"/>
                          </w:rPr>
                          <w:t>and</w:t>
                        </w:r>
                        <w:r>
                          <w:rPr>
                            <w:rFonts w:ascii="Calibri"/>
                            <w:b/>
                            <w:color w:val="767070"/>
                            <w:spacing w:val="-9"/>
                            <w:sz w:val="18"/>
                          </w:rPr>
                          <w:t xml:space="preserve"> </w:t>
                        </w:r>
                        <w:r>
                          <w:rPr>
                            <w:rFonts w:ascii="Calibri"/>
                            <w:b/>
                            <w:color w:val="767070"/>
                            <w:sz w:val="18"/>
                          </w:rPr>
                          <w:t>the</w:t>
                        </w:r>
                        <w:r>
                          <w:rPr>
                            <w:rFonts w:ascii="Calibri"/>
                            <w:b/>
                            <w:color w:val="767070"/>
                            <w:spacing w:val="-8"/>
                            <w:sz w:val="18"/>
                          </w:rPr>
                          <w:t xml:space="preserve"> </w:t>
                        </w:r>
                        <w:r>
                          <w:rPr>
                            <w:rFonts w:ascii="Calibri"/>
                            <w:b/>
                            <w:color w:val="767070"/>
                            <w:sz w:val="18"/>
                          </w:rPr>
                          <w:t>Bappeda</w:t>
                        </w:r>
                        <w:r>
                          <w:rPr>
                            <w:rFonts w:ascii="Calibri"/>
                            <w:b/>
                            <w:color w:val="767070"/>
                            <w:spacing w:val="-9"/>
                            <w:sz w:val="18"/>
                          </w:rPr>
                          <w:t xml:space="preserve"> </w:t>
                        </w:r>
                        <w:r>
                          <w:rPr>
                            <w:rFonts w:ascii="Calibri"/>
                            <w:b/>
                            <w:color w:val="767070"/>
                            <w:sz w:val="18"/>
                          </w:rPr>
                          <w:t>Team</w:t>
                        </w:r>
                        <w:r>
                          <w:rPr>
                            <w:rFonts w:ascii="Calibri"/>
                            <w:b/>
                            <w:color w:val="767070"/>
                            <w:spacing w:val="-8"/>
                            <w:sz w:val="18"/>
                          </w:rPr>
                          <w:t xml:space="preserve"> </w:t>
                        </w:r>
                        <w:r>
                          <w:rPr>
                            <w:rFonts w:ascii="Calibri"/>
                            <w:b/>
                            <w:color w:val="767070"/>
                            <w:sz w:val="18"/>
                          </w:rPr>
                          <w:t>lead</w:t>
                        </w:r>
                        <w:r>
                          <w:rPr>
                            <w:rFonts w:ascii="Calibri"/>
                            <w:b/>
                            <w:color w:val="767070"/>
                            <w:spacing w:val="-10"/>
                            <w:sz w:val="18"/>
                          </w:rPr>
                          <w:t xml:space="preserve"> </w:t>
                        </w:r>
                        <w:r>
                          <w:rPr>
                            <w:rFonts w:ascii="Calibri"/>
                            <w:b/>
                            <w:color w:val="767070"/>
                            <w:sz w:val="18"/>
                          </w:rPr>
                          <w:t>the</w:t>
                        </w:r>
                        <w:r>
                          <w:rPr>
                            <w:rFonts w:ascii="Calibri"/>
                            <w:b/>
                            <w:color w:val="767070"/>
                            <w:spacing w:val="-8"/>
                            <w:sz w:val="18"/>
                          </w:rPr>
                          <w:t xml:space="preserve"> </w:t>
                        </w:r>
                        <w:r>
                          <w:rPr>
                            <w:rFonts w:ascii="Calibri"/>
                            <w:b/>
                            <w:color w:val="767070"/>
                            <w:sz w:val="18"/>
                          </w:rPr>
                          <w:t>process</w:t>
                        </w:r>
                        <w:r>
                          <w:rPr>
                            <w:rFonts w:ascii="Calibri"/>
                            <w:b/>
                            <w:color w:val="767070"/>
                            <w:spacing w:val="-9"/>
                            <w:sz w:val="18"/>
                          </w:rPr>
                          <w:t xml:space="preserve"> </w:t>
                        </w:r>
                        <w:r>
                          <w:rPr>
                            <w:rFonts w:ascii="Calibri"/>
                            <w:b/>
                            <w:color w:val="767070"/>
                            <w:sz w:val="18"/>
                          </w:rPr>
                          <w:t>of</w:t>
                        </w:r>
                        <w:r>
                          <w:rPr>
                            <w:rFonts w:ascii="Calibri"/>
                            <w:b/>
                            <w:color w:val="767070"/>
                            <w:spacing w:val="-8"/>
                            <w:sz w:val="18"/>
                          </w:rPr>
                          <w:t xml:space="preserve"> </w:t>
                        </w:r>
                        <w:r>
                          <w:rPr>
                            <w:rFonts w:ascii="Calibri"/>
                            <w:b/>
                            <w:color w:val="767070"/>
                            <w:sz w:val="18"/>
                          </w:rPr>
                          <w:t>compiling</w:t>
                        </w:r>
                        <w:r>
                          <w:rPr>
                            <w:rFonts w:ascii="Calibri"/>
                            <w:b/>
                            <w:color w:val="767070"/>
                            <w:spacing w:val="-8"/>
                            <w:sz w:val="18"/>
                          </w:rPr>
                          <w:t xml:space="preserve"> </w:t>
                        </w:r>
                        <w:r>
                          <w:rPr>
                            <w:rFonts w:ascii="Calibri"/>
                            <w:b/>
                            <w:color w:val="767070"/>
                            <w:sz w:val="18"/>
                          </w:rPr>
                          <w:t>the</w:t>
                        </w:r>
                        <w:r>
                          <w:rPr>
                            <w:rFonts w:ascii="Calibri"/>
                            <w:b/>
                            <w:color w:val="767070"/>
                            <w:spacing w:val="-8"/>
                            <w:sz w:val="18"/>
                          </w:rPr>
                          <w:t xml:space="preserve"> </w:t>
                        </w:r>
                        <w:r>
                          <w:rPr>
                            <w:rFonts w:ascii="Calibri"/>
                            <w:b/>
                            <w:color w:val="767070"/>
                            <w:sz w:val="18"/>
                          </w:rPr>
                          <w:t>list</w:t>
                        </w:r>
                        <w:r>
                          <w:rPr>
                            <w:rFonts w:ascii="Calibri"/>
                            <w:b/>
                            <w:color w:val="767070"/>
                            <w:spacing w:val="-9"/>
                            <w:sz w:val="18"/>
                          </w:rPr>
                          <w:t xml:space="preserve"> </w:t>
                        </w:r>
                        <w:r>
                          <w:rPr>
                            <w:rFonts w:ascii="Calibri"/>
                            <w:b/>
                            <w:color w:val="767070"/>
                            <w:sz w:val="18"/>
                          </w:rPr>
                          <w:t>of</w:t>
                        </w:r>
                        <w:r>
                          <w:rPr>
                            <w:rFonts w:ascii="Calibri"/>
                            <w:b/>
                            <w:color w:val="767070"/>
                            <w:spacing w:val="-8"/>
                            <w:sz w:val="18"/>
                          </w:rPr>
                          <w:t xml:space="preserve"> </w:t>
                        </w:r>
                        <w:r>
                          <w:rPr>
                            <w:rFonts w:ascii="Calibri"/>
                            <w:b/>
                            <w:color w:val="767070"/>
                            <w:sz w:val="18"/>
                          </w:rPr>
                          <w:t>regional</w:t>
                        </w:r>
                        <w:r>
                          <w:rPr>
                            <w:rFonts w:ascii="Calibri"/>
                            <w:b/>
                            <w:color w:val="767070"/>
                            <w:spacing w:val="-10"/>
                            <w:sz w:val="18"/>
                          </w:rPr>
                          <w:t xml:space="preserve"> </w:t>
                        </w:r>
                        <w:r>
                          <w:rPr>
                            <w:rFonts w:ascii="Calibri"/>
                            <w:b/>
                            <w:color w:val="767070"/>
                            <w:sz w:val="18"/>
                          </w:rPr>
                          <w:t>data</w:t>
                        </w:r>
                        <w:r>
                          <w:rPr>
                            <w:rFonts w:ascii="Calibri"/>
                            <w:b/>
                            <w:color w:val="767070"/>
                            <w:spacing w:val="-8"/>
                            <w:sz w:val="18"/>
                          </w:rPr>
                          <w:t xml:space="preserve"> </w:t>
                        </w:r>
                        <w:r>
                          <w:rPr>
                            <w:rFonts w:ascii="Calibri"/>
                            <w:b/>
                            <w:color w:val="767070"/>
                            <w:sz w:val="18"/>
                          </w:rPr>
                          <w:t>in</w:t>
                        </w:r>
                        <w:r>
                          <w:rPr>
                            <w:rFonts w:ascii="Calibri"/>
                            <w:b/>
                            <w:color w:val="767070"/>
                            <w:spacing w:val="-9"/>
                            <w:sz w:val="18"/>
                          </w:rPr>
                          <w:t xml:space="preserve"> </w:t>
                        </w:r>
                        <w:r>
                          <w:rPr>
                            <w:rFonts w:ascii="Calibri"/>
                            <w:b/>
                            <w:color w:val="767070"/>
                            <w:spacing w:val="-4"/>
                            <w:sz w:val="18"/>
                          </w:rPr>
                          <w:t>2025</w:t>
                        </w:r>
                      </w:p>
                    </w:txbxContent>
                  </v:textbox>
                </v:shape>
                <w10:anchorlock/>
              </v:group>
            </w:pict>
          </mc:Fallback>
        </mc:AlternateContent>
      </w:r>
    </w:p>
    <w:p w14:paraId="296610BF" w14:textId="77777777" w:rsidR="00BC24A8" w:rsidRDefault="00BC24A8">
      <w:pPr>
        <w:pStyle w:val="BodyText"/>
        <w:spacing w:before="175"/>
        <w:rPr>
          <w:i/>
        </w:rPr>
      </w:pPr>
    </w:p>
    <w:p w14:paraId="4B9D43FB" w14:textId="77777777" w:rsidR="00BC24A8" w:rsidRDefault="00000000">
      <w:pPr>
        <w:pStyle w:val="BodyText"/>
        <w:spacing w:before="1"/>
        <w:ind w:left="143"/>
        <w:rPr>
          <w:rFonts w:ascii="Calibri"/>
        </w:rPr>
      </w:pPr>
      <w:r>
        <w:rPr>
          <w:rFonts w:ascii="Calibri"/>
          <w:color w:val="272727"/>
        </w:rPr>
        <w:t>Challenges</w:t>
      </w:r>
      <w:r>
        <w:rPr>
          <w:rFonts w:ascii="Calibri"/>
          <w:color w:val="272727"/>
          <w:spacing w:val="-6"/>
        </w:rPr>
        <w:t xml:space="preserve"> </w:t>
      </w:r>
      <w:r>
        <w:rPr>
          <w:rFonts w:ascii="Calibri"/>
          <w:color w:val="272727"/>
        </w:rPr>
        <w:t>and</w:t>
      </w:r>
      <w:r>
        <w:rPr>
          <w:rFonts w:ascii="Calibri"/>
          <w:color w:val="272727"/>
          <w:spacing w:val="-5"/>
        </w:rPr>
        <w:t xml:space="preserve"> </w:t>
      </w:r>
      <w:r>
        <w:rPr>
          <w:rFonts w:ascii="Calibri"/>
          <w:color w:val="272727"/>
        </w:rPr>
        <w:t>Lessons</w:t>
      </w:r>
      <w:r>
        <w:rPr>
          <w:rFonts w:ascii="Calibri"/>
          <w:color w:val="272727"/>
          <w:spacing w:val="-5"/>
        </w:rPr>
        <w:t xml:space="preserve"> </w:t>
      </w:r>
      <w:r>
        <w:rPr>
          <w:rFonts w:ascii="Calibri"/>
          <w:color w:val="272727"/>
          <w:spacing w:val="-2"/>
        </w:rPr>
        <w:t>Learned</w:t>
      </w:r>
    </w:p>
    <w:p w14:paraId="6B45D0CB" w14:textId="77777777" w:rsidR="00BC24A8" w:rsidRDefault="00000000">
      <w:pPr>
        <w:pStyle w:val="Heading5"/>
        <w:spacing w:before="21"/>
      </w:pPr>
      <w:r>
        <w:rPr>
          <w:color w:val="17365A"/>
        </w:rPr>
        <w:t>Program</w:t>
      </w:r>
      <w:r>
        <w:rPr>
          <w:color w:val="17365A"/>
          <w:spacing w:val="-9"/>
        </w:rPr>
        <w:t xml:space="preserve"> </w:t>
      </w:r>
      <w:r>
        <w:rPr>
          <w:color w:val="17365A"/>
        </w:rPr>
        <w:t>implementation</w:t>
      </w:r>
      <w:r>
        <w:rPr>
          <w:color w:val="17365A"/>
          <w:spacing w:val="-11"/>
        </w:rPr>
        <w:t xml:space="preserve"> </w:t>
      </w:r>
      <w:r>
        <w:rPr>
          <w:color w:val="17365A"/>
        </w:rPr>
        <w:t>challenges,</w:t>
      </w:r>
      <w:r>
        <w:rPr>
          <w:color w:val="17365A"/>
          <w:spacing w:val="-11"/>
        </w:rPr>
        <w:t xml:space="preserve"> </w:t>
      </w:r>
      <w:r>
        <w:rPr>
          <w:color w:val="17365A"/>
        </w:rPr>
        <w:t>impacts,</w:t>
      </w:r>
      <w:r>
        <w:rPr>
          <w:color w:val="17365A"/>
          <w:spacing w:val="-9"/>
        </w:rPr>
        <w:t xml:space="preserve"> </w:t>
      </w:r>
      <w:r>
        <w:rPr>
          <w:color w:val="17365A"/>
        </w:rPr>
        <w:t>and</w:t>
      </w:r>
      <w:r>
        <w:rPr>
          <w:color w:val="17365A"/>
          <w:spacing w:val="-11"/>
        </w:rPr>
        <w:t xml:space="preserve"> </w:t>
      </w:r>
      <w:r>
        <w:rPr>
          <w:color w:val="17365A"/>
          <w:spacing w:val="-2"/>
        </w:rPr>
        <w:t>solutions</w:t>
      </w:r>
    </w:p>
    <w:p w14:paraId="7067E910" w14:textId="77777777" w:rsidR="00BC24A8" w:rsidRDefault="00000000">
      <w:pPr>
        <w:pStyle w:val="BodyText"/>
        <w:spacing w:before="159" w:line="278" w:lineRule="auto"/>
        <w:ind w:left="143" w:right="562"/>
        <w:jc w:val="both"/>
      </w:pPr>
      <w:r>
        <w:t>The main challenge of program implementation during January–June 2025 was the temporary suspension of program activities. This delay prevented SKALA’s support for the RPJMD process from being fully optimised. For example, SKALA was unable to assist in the preparation of the initial draft of the RPJMD in January 2025. Below are the details of other challenges in program implementation:</w:t>
      </w:r>
    </w:p>
    <w:p w14:paraId="5D650B9D" w14:textId="77777777" w:rsidR="00BC24A8" w:rsidRDefault="00BC24A8">
      <w:pPr>
        <w:pStyle w:val="BodyText"/>
        <w:spacing w:line="278" w:lineRule="auto"/>
        <w:jc w:val="both"/>
        <w:sectPr w:rsidR="00BC24A8">
          <w:pgSz w:w="11910" w:h="16840"/>
          <w:pgMar w:top="1400" w:right="850" w:bottom="1100" w:left="1275" w:header="0" w:footer="907" w:gutter="0"/>
          <w:cols w:space="720"/>
        </w:sectPr>
      </w:pPr>
    </w:p>
    <w:p w14:paraId="087B692B" w14:textId="77777777" w:rsidR="00BC24A8" w:rsidRDefault="00000000">
      <w:pPr>
        <w:pStyle w:val="Heading5"/>
        <w:spacing w:before="39"/>
      </w:pPr>
      <w:r>
        <w:rPr>
          <w:color w:val="17365A"/>
          <w:spacing w:val="-2"/>
        </w:rPr>
        <w:lastRenderedPageBreak/>
        <w:t>Technical</w:t>
      </w:r>
      <w:r>
        <w:rPr>
          <w:color w:val="17365A"/>
          <w:spacing w:val="-8"/>
        </w:rPr>
        <w:t xml:space="preserve"> </w:t>
      </w:r>
      <w:r>
        <w:rPr>
          <w:color w:val="17365A"/>
          <w:spacing w:val="-2"/>
        </w:rPr>
        <w:t>Challenges</w:t>
      </w:r>
    </w:p>
    <w:p w14:paraId="017E5604" w14:textId="77777777" w:rsidR="00BC24A8" w:rsidRDefault="00000000">
      <w:pPr>
        <w:pStyle w:val="ListParagraph"/>
        <w:numPr>
          <w:ilvl w:val="0"/>
          <w:numId w:val="65"/>
        </w:numPr>
        <w:tabs>
          <w:tab w:val="left" w:pos="861"/>
          <w:tab w:val="left" w:pos="863"/>
        </w:tabs>
        <w:spacing w:before="159" w:line="259" w:lineRule="auto"/>
        <w:ind w:right="565"/>
        <w:jc w:val="both"/>
      </w:pPr>
      <w:r>
        <w:t>The unavailability of MSS monitoring instruments at the district and community levels hinders the systematic implementation and supervision of basic services.</w:t>
      </w:r>
    </w:p>
    <w:p w14:paraId="66B67E30" w14:textId="77777777" w:rsidR="00BC24A8" w:rsidRDefault="00000000">
      <w:pPr>
        <w:pStyle w:val="ListParagraph"/>
        <w:numPr>
          <w:ilvl w:val="0"/>
          <w:numId w:val="65"/>
        </w:numPr>
        <w:tabs>
          <w:tab w:val="left" w:pos="860"/>
          <w:tab w:val="left" w:pos="862"/>
        </w:tabs>
        <w:spacing w:line="259" w:lineRule="auto"/>
        <w:ind w:left="862" w:right="563"/>
        <w:jc w:val="both"/>
      </w:pPr>
      <w:r>
        <w:t>The mismatch between the sub-activities within the SIPD (Regional Government Information System) and the DPA (Budget Implementation Document) is exacerbated by the frequently problematic</w:t>
      </w:r>
      <w:r>
        <w:rPr>
          <w:spacing w:val="-2"/>
        </w:rPr>
        <w:t xml:space="preserve"> </w:t>
      </w:r>
      <w:r>
        <w:t>system, limited human resources</w:t>
      </w:r>
      <w:r>
        <w:rPr>
          <w:spacing w:val="-1"/>
        </w:rPr>
        <w:t xml:space="preserve"> </w:t>
      </w:r>
      <w:r>
        <w:t>and</w:t>
      </w:r>
      <w:r>
        <w:rPr>
          <w:spacing w:val="-1"/>
        </w:rPr>
        <w:t xml:space="preserve"> </w:t>
      </w:r>
      <w:r>
        <w:t>time</w:t>
      </w:r>
      <w:r>
        <w:rPr>
          <w:spacing w:val="-3"/>
        </w:rPr>
        <w:t xml:space="preserve"> </w:t>
      </w:r>
      <w:r>
        <w:t>constraints,</w:t>
      </w:r>
      <w:r>
        <w:rPr>
          <w:spacing w:val="-1"/>
        </w:rPr>
        <w:t xml:space="preserve"> </w:t>
      </w:r>
      <w:r>
        <w:t>which affect the</w:t>
      </w:r>
      <w:r>
        <w:rPr>
          <w:spacing w:val="-1"/>
        </w:rPr>
        <w:t xml:space="preserve"> </w:t>
      </w:r>
      <w:r>
        <w:t>quality of budget documents.</w:t>
      </w:r>
    </w:p>
    <w:p w14:paraId="0213F420" w14:textId="77777777" w:rsidR="00BC24A8" w:rsidRDefault="00000000">
      <w:pPr>
        <w:pStyle w:val="ListParagraph"/>
        <w:numPr>
          <w:ilvl w:val="0"/>
          <w:numId w:val="65"/>
        </w:numPr>
        <w:tabs>
          <w:tab w:val="left" w:pos="860"/>
          <w:tab w:val="left" w:pos="862"/>
        </w:tabs>
        <w:spacing w:line="259" w:lineRule="auto"/>
        <w:ind w:left="862" w:right="563"/>
        <w:jc w:val="both"/>
      </w:pPr>
      <w:r>
        <w:t>The low realisation of regional revenue (Tax Revenue Sharing for Motor Vehicle Tax) due to arrears, invalid data, and the extent of untapped potential tax areas, resulting in suboptimal vehicle tax revenue.</w:t>
      </w:r>
    </w:p>
    <w:p w14:paraId="528911CB" w14:textId="77777777" w:rsidR="00BC24A8" w:rsidRDefault="00000000">
      <w:pPr>
        <w:pStyle w:val="ListParagraph"/>
        <w:numPr>
          <w:ilvl w:val="0"/>
          <w:numId w:val="65"/>
        </w:numPr>
        <w:tabs>
          <w:tab w:val="left" w:pos="860"/>
          <w:tab w:val="left" w:pos="862"/>
        </w:tabs>
        <w:spacing w:line="259" w:lineRule="auto"/>
        <w:ind w:left="862" w:right="565"/>
        <w:jc w:val="both"/>
      </w:pPr>
      <w:r>
        <w:rPr>
          <w:spacing w:val="-2"/>
        </w:rPr>
        <w:t>The</w:t>
      </w:r>
      <w:r>
        <w:rPr>
          <w:spacing w:val="-6"/>
        </w:rPr>
        <w:t xml:space="preserve"> </w:t>
      </w:r>
      <w:r>
        <w:rPr>
          <w:spacing w:val="-2"/>
        </w:rPr>
        <w:t>integration</w:t>
      </w:r>
      <w:r>
        <w:rPr>
          <w:spacing w:val="-3"/>
        </w:rPr>
        <w:t xml:space="preserve"> </w:t>
      </w:r>
      <w:r>
        <w:rPr>
          <w:spacing w:val="-2"/>
        </w:rPr>
        <w:t>of</w:t>
      </w:r>
      <w:r>
        <w:rPr>
          <w:spacing w:val="-6"/>
        </w:rPr>
        <w:t xml:space="preserve"> </w:t>
      </w:r>
      <w:r>
        <w:rPr>
          <w:spacing w:val="-2"/>
        </w:rPr>
        <w:t>the</w:t>
      </w:r>
      <w:r>
        <w:rPr>
          <w:spacing w:val="-6"/>
        </w:rPr>
        <w:t xml:space="preserve"> </w:t>
      </w:r>
      <w:r>
        <w:rPr>
          <w:spacing w:val="-2"/>
        </w:rPr>
        <w:t>NTB One</w:t>
      </w:r>
      <w:r>
        <w:rPr>
          <w:spacing w:val="-6"/>
        </w:rPr>
        <w:t xml:space="preserve"> </w:t>
      </w:r>
      <w:r>
        <w:rPr>
          <w:spacing w:val="-2"/>
        </w:rPr>
        <w:t>Data</w:t>
      </w:r>
      <w:r>
        <w:rPr>
          <w:spacing w:val="-6"/>
        </w:rPr>
        <w:t xml:space="preserve"> </w:t>
      </w:r>
      <w:r>
        <w:rPr>
          <w:spacing w:val="-2"/>
        </w:rPr>
        <w:t>Portal</w:t>
      </w:r>
      <w:r>
        <w:rPr>
          <w:spacing w:val="-6"/>
        </w:rPr>
        <w:t xml:space="preserve"> </w:t>
      </w:r>
      <w:r>
        <w:rPr>
          <w:spacing w:val="-2"/>
        </w:rPr>
        <w:t>with</w:t>
      </w:r>
      <w:r>
        <w:rPr>
          <w:spacing w:val="-3"/>
        </w:rPr>
        <w:t xml:space="preserve"> </w:t>
      </w:r>
      <w:r>
        <w:rPr>
          <w:spacing w:val="-2"/>
        </w:rPr>
        <w:t>districts/cities</w:t>
      </w:r>
      <w:r>
        <w:rPr>
          <w:spacing w:val="-3"/>
        </w:rPr>
        <w:t xml:space="preserve"> </w:t>
      </w:r>
      <w:r>
        <w:rPr>
          <w:spacing w:val="-2"/>
        </w:rPr>
        <w:t>and</w:t>
      </w:r>
      <w:r>
        <w:rPr>
          <w:spacing w:val="-7"/>
        </w:rPr>
        <w:t xml:space="preserve"> </w:t>
      </w:r>
      <w:r>
        <w:rPr>
          <w:spacing w:val="-2"/>
        </w:rPr>
        <w:t>SDPDN</w:t>
      </w:r>
      <w:r>
        <w:rPr>
          <w:spacing w:val="-7"/>
        </w:rPr>
        <w:t xml:space="preserve"> </w:t>
      </w:r>
      <w:r>
        <w:rPr>
          <w:spacing w:val="-2"/>
        </w:rPr>
        <w:t>has</w:t>
      </w:r>
      <w:r>
        <w:rPr>
          <w:spacing w:val="-3"/>
        </w:rPr>
        <w:t xml:space="preserve"> </w:t>
      </w:r>
      <w:r>
        <w:rPr>
          <w:spacing w:val="-2"/>
        </w:rPr>
        <w:t>not</w:t>
      </w:r>
      <w:r>
        <w:rPr>
          <w:spacing w:val="-8"/>
        </w:rPr>
        <w:t xml:space="preserve"> </w:t>
      </w:r>
      <w:r>
        <w:rPr>
          <w:spacing w:val="-2"/>
        </w:rPr>
        <w:t>been</w:t>
      </w:r>
      <w:r>
        <w:rPr>
          <w:spacing w:val="-3"/>
        </w:rPr>
        <w:t xml:space="preserve"> </w:t>
      </w:r>
      <w:r>
        <w:rPr>
          <w:spacing w:val="-2"/>
        </w:rPr>
        <w:t xml:space="preserve">optimal, </w:t>
      </w:r>
      <w:r>
        <w:t>because</w:t>
      </w:r>
      <w:r>
        <w:rPr>
          <w:spacing w:val="-7"/>
        </w:rPr>
        <w:t xml:space="preserve"> </w:t>
      </w:r>
      <w:r>
        <w:t>the</w:t>
      </w:r>
      <w:r>
        <w:rPr>
          <w:spacing w:val="-9"/>
        </w:rPr>
        <w:t xml:space="preserve"> </w:t>
      </w:r>
      <w:r>
        <w:t>difference</w:t>
      </w:r>
      <w:r>
        <w:rPr>
          <w:spacing w:val="-7"/>
        </w:rPr>
        <w:t xml:space="preserve"> </w:t>
      </w:r>
      <w:r>
        <w:t>in</w:t>
      </w:r>
      <w:r>
        <w:rPr>
          <w:spacing w:val="-8"/>
        </w:rPr>
        <w:t xml:space="preserve"> </w:t>
      </w:r>
      <w:r>
        <w:t>system/platform</w:t>
      </w:r>
      <w:r>
        <w:rPr>
          <w:spacing w:val="-5"/>
        </w:rPr>
        <w:t xml:space="preserve"> </w:t>
      </w:r>
      <w:r>
        <w:t>and</w:t>
      </w:r>
      <w:r>
        <w:rPr>
          <w:spacing w:val="-5"/>
        </w:rPr>
        <w:t xml:space="preserve"> </w:t>
      </w:r>
      <w:r>
        <w:t>the</w:t>
      </w:r>
      <w:r>
        <w:rPr>
          <w:spacing w:val="-7"/>
        </w:rPr>
        <w:t xml:space="preserve"> </w:t>
      </w:r>
      <w:r>
        <w:t>divided</w:t>
      </w:r>
      <w:r>
        <w:rPr>
          <w:spacing w:val="-5"/>
        </w:rPr>
        <w:t xml:space="preserve"> </w:t>
      </w:r>
      <w:r>
        <w:t>focus</w:t>
      </w:r>
      <w:r>
        <w:rPr>
          <w:spacing w:val="-7"/>
        </w:rPr>
        <w:t xml:space="preserve"> </w:t>
      </w:r>
      <w:r>
        <w:t>of</w:t>
      </w:r>
      <w:r>
        <w:rPr>
          <w:spacing w:val="-7"/>
        </w:rPr>
        <w:t xml:space="preserve"> </w:t>
      </w:r>
      <w:r>
        <w:t>the</w:t>
      </w:r>
      <w:r>
        <w:rPr>
          <w:spacing w:val="-9"/>
        </w:rPr>
        <w:t xml:space="preserve"> </w:t>
      </w:r>
      <w:r>
        <w:t>IT</w:t>
      </w:r>
      <w:r>
        <w:rPr>
          <w:spacing w:val="-7"/>
        </w:rPr>
        <w:t xml:space="preserve"> </w:t>
      </w:r>
      <w:r>
        <w:t>team.</w:t>
      </w:r>
      <w:r>
        <w:rPr>
          <w:spacing w:val="-7"/>
        </w:rPr>
        <w:t xml:space="preserve"> </w:t>
      </w:r>
      <w:r>
        <w:t>As</w:t>
      </w:r>
      <w:r>
        <w:rPr>
          <w:spacing w:val="-7"/>
        </w:rPr>
        <w:t xml:space="preserve"> </w:t>
      </w:r>
      <w:r>
        <w:t>a</w:t>
      </w:r>
      <w:r>
        <w:rPr>
          <w:spacing w:val="-7"/>
        </w:rPr>
        <w:t xml:space="preserve"> </w:t>
      </w:r>
      <w:r>
        <w:t>result,</w:t>
      </w:r>
      <w:r>
        <w:rPr>
          <w:spacing w:val="-5"/>
        </w:rPr>
        <w:t xml:space="preserve"> </w:t>
      </w:r>
      <w:r>
        <w:t>the process of synchronising and sharing data between agencies becomes slow and inefficient, making it difficult for comprehensive data-driven planning.</w:t>
      </w:r>
    </w:p>
    <w:p w14:paraId="6F7C6BFE" w14:textId="77777777" w:rsidR="00BC24A8" w:rsidRDefault="00000000">
      <w:pPr>
        <w:pStyle w:val="ListParagraph"/>
        <w:numPr>
          <w:ilvl w:val="0"/>
          <w:numId w:val="65"/>
        </w:numPr>
        <w:tabs>
          <w:tab w:val="left" w:pos="860"/>
          <w:tab w:val="left" w:pos="862"/>
        </w:tabs>
        <w:spacing w:line="259" w:lineRule="auto"/>
        <w:ind w:left="862" w:right="563"/>
        <w:jc w:val="both"/>
      </w:pPr>
      <w:r>
        <w:t>NTB Governor's Regulation 45/2021 on NTB One Data has not been fully aligned with the Regulation of MoHA 5/2024 on One Data Home Affairs Government (SDPDN).</w:t>
      </w:r>
    </w:p>
    <w:p w14:paraId="1347D88D" w14:textId="77777777" w:rsidR="00BC24A8" w:rsidRDefault="00000000">
      <w:pPr>
        <w:pStyle w:val="ListParagraph"/>
        <w:numPr>
          <w:ilvl w:val="0"/>
          <w:numId w:val="65"/>
        </w:numPr>
        <w:tabs>
          <w:tab w:val="left" w:pos="860"/>
          <w:tab w:val="left" w:pos="862"/>
        </w:tabs>
        <w:spacing w:line="256" w:lineRule="auto"/>
        <w:ind w:left="862" w:right="564"/>
        <w:jc w:val="both"/>
      </w:pPr>
      <w:r>
        <w:t xml:space="preserve">Access to </w:t>
      </w:r>
      <w:r>
        <w:rPr>
          <w:i/>
        </w:rPr>
        <w:t xml:space="preserve">REGSOSEK </w:t>
      </w:r>
      <w:r>
        <w:t>microdata (BNBA) is still limited, while the DTSEN policy reduces the interest</w:t>
      </w:r>
      <w:r>
        <w:rPr>
          <w:spacing w:val="-9"/>
        </w:rPr>
        <w:t xml:space="preserve"> </w:t>
      </w:r>
      <w:r>
        <w:t>of</w:t>
      </w:r>
      <w:r>
        <w:rPr>
          <w:spacing w:val="-9"/>
        </w:rPr>
        <w:t xml:space="preserve"> </w:t>
      </w:r>
      <w:r>
        <w:t>local</w:t>
      </w:r>
      <w:r>
        <w:rPr>
          <w:spacing w:val="-9"/>
        </w:rPr>
        <w:t xml:space="preserve"> </w:t>
      </w:r>
      <w:r>
        <w:t>governments</w:t>
      </w:r>
      <w:r>
        <w:rPr>
          <w:spacing w:val="-7"/>
        </w:rPr>
        <w:t xml:space="preserve"> </w:t>
      </w:r>
      <w:r>
        <w:t>in</w:t>
      </w:r>
      <w:r>
        <w:rPr>
          <w:spacing w:val="-8"/>
        </w:rPr>
        <w:t xml:space="preserve"> </w:t>
      </w:r>
      <w:r>
        <w:t>accessing</w:t>
      </w:r>
      <w:r>
        <w:rPr>
          <w:spacing w:val="-9"/>
        </w:rPr>
        <w:t xml:space="preserve"> </w:t>
      </w:r>
      <w:r>
        <w:t>and</w:t>
      </w:r>
      <w:r>
        <w:rPr>
          <w:spacing w:val="-8"/>
        </w:rPr>
        <w:t xml:space="preserve"> </w:t>
      </w:r>
      <w:r>
        <w:t>utilising</w:t>
      </w:r>
      <w:r>
        <w:rPr>
          <w:spacing w:val="-10"/>
        </w:rPr>
        <w:t xml:space="preserve"> </w:t>
      </w:r>
      <w:r>
        <w:rPr>
          <w:i/>
        </w:rPr>
        <w:t>REGSOSEK</w:t>
      </w:r>
      <w:r>
        <w:rPr>
          <w:i/>
          <w:spacing w:val="-9"/>
        </w:rPr>
        <w:t xml:space="preserve"> </w:t>
      </w:r>
      <w:r>
        <w:t>data</w:t>
      </w:r>
      <w:r>
        <w:rPr>
          <w:spacing w:val="-9"/>
        </w:rPr>
        <w:t xml:space="preserve"> </w:t>
      </w:r>
      <w:r>
        <w:t>in</w:t>
      </w:r>
      <w:r>
        <w:rPr>
          <w:spacing w:val="-8"/>
        </w:rPr>
        <w:t xml:space="preserve"> </w:t>
      </w:r>
      <w:r>
        <w:t>a</w:t>
      </w:r>
      <w:r>
        <w:rPr>
          <w:spacing w:val="-9"/>
        </w:rPr>
        <w:t xml:space="preserve"> </w:t>
      </w:r>
      <w:r>
        <w:t>sustainable</w:t>
      </w:r>
      <w:r>
        <w:rPr>
          <w:spacing w:val="-9"/>
        </w:rPr>
        <w:t xml:space="preserve"> </w:t>
      </w:r>
      <w:r>
        <w:t>manner.</w:t>
      </w:r>
    </w:p>
    <w:p w14:paraId="464B54A4" w14:textId="77777777" w:rsidR="00BC24A8" w:rsidRDefault="00000000">
      <w:pPr>
        <w:pStyle w:val="ListParagraph"/>
        <w:numPr>
          <w:ilvl w:val="0"/>
          <w:numId w:val="65"/>
        </w:numPr>
        <w:tabs>
          <w:tab w:val="left" w:pos="859"/>
          <w:tab w:val="left" w:pos="861"/>
        </w:tabs>
        <w:spacing w:before="1" w:line="259" w:lineRule="auto"/>
        <w:ind w:left="861" w:right="565"/>
        <w:jc w:val="both"/>
      </w:pPr>
      <w:r>
        <w:t>The capacity and ability of</w:t>
      </w:r>
      <w:r>
        <w:rPr>
          <w:spacing w:val="-3"/>
        </w:rPr>
        <w:t xml:space="preserve"> </w:t>
      </w:r>
      <w:r>
        <w:t>participants in</w:t>
      </w:r>
      <w:r>
        <w:rPr>
          <w:spacing w:val="-1"/>
        </w:rPr>
        <w:t xml:space="preserve"> </w:t>
      </w:r>
      <w:r>
        <w:t>conveying</w:t>
      </w:r>
      <w:r>
        <w:rPr>
          <w:spacing w:val="-2"/>
        </w:rPr>
        <w:t xml:space="preserve"> </w:t>
      </w:r>
      <w:r>
        <w:t>issues at the</w:t>
      </w:r>
      <w:r>
        <w:rPr>
          <w:spacing w:val="-3"/>
        </w:rPr>
        <w:t xml:space="preserve"> </w:t>
      </w:r>
      <w:r>
        <w:t>GEDSI Thematic</w:t>
      </w:r>
      <w:r>
        <w:rPr>
          <w:spacing w:val="-2"/>
        </w:rPr>
        <w:t xml:space="preserve"> </w:t>
      </w:r>
      <w:r>
        <w:rPr>
          <w:i/>
        </w:rPr>
        <w:t xml:space="preserve">Musrenbang </w:t>
      </w:r>
      <w:r>
        <w:t>still</w:t>
      </w:r>
      <w:r>
        <w:rPr>
          <w:spacing w:val="-6"/>
        </w:rPr>
        <w:t xml:space="preserve"> </w:t>
      </w:r>
      <w:r>
        <w:t>varied,</w:t>
      </w:r>
      <w:r>
        <w:rPr>
          <w:spacing w:val="-4"/>
        </w:rPr>
        <w:t xml:space="preserve"> </w:t>
      </w:r>
      <w:r>
        <w:t>with</w:t>
      </w:r>
      <w:r>
        <w:rPr>
          <w:spacing w:val="-4"/>
        </w:rPr>
        <w:t xml:space="preserve"> </w:t>
      </w:r>
      <w:r>
        <w:t>many</w:t>
      </w:r>
      <w:r>
        <w:rPr>
          <w:spacing w:val="-4"/>
        </w:rPr>
        <w:t xml:space="preserve"> </w:t>
      </w:r>
      <w:r>
        <w:t>sharing</w:t>
      </w:r>
      <w:r>
        <w:rPr>
          <w:spacing w:val="-5"/>
        </w:rPr>
        <w:t xml:space="preserve"> </w:t>
      </w:r>
      <w:r>
        <w:t>more</w:t>
      </w:r>
      <w:r>
        <w:rPr>
          <w:spacing w:val="-6"/>
        </w:rPr>
        <w:t xml:space="preserve"> </w:t>
      </w:r>
      <w:r>
        <w:t>personal</w:t>
      </w:r>
      <w:r>
        <w:rPr>
          <w:spacing w:val="-6"/>
        </w:rPr>
        <w:t xml:space="preserve"> </w:t>
      </w:r>
      <w:r>
        <w:t>experiences.</w:t>
      </w:r>
      <w:r>
        <w:rPr>
          <w:spacing w:val="-4"/>
        </w:rPr>
        <w:t xml:space="preserve"> </w:t>
      </w:r>
      <w:r>
        <w:t>This</w:t>
      </w:r>
      <w:r>
        <w:rPr>
          <w:spacing w:val="-6"/>
        </w:rPr>
        <w:t xml:space="preserve"> </w:t>
      </w:r>
      <w:r>
        <w:t>results</w:t>
      </w:r>
      <w:r>
        <w:rPr>
          <w:spacing w:val="-4"/>
        </w:rPr>
        <w:t xml:space="preserve"> </w:t>
      </w:r>
      <w:r>
        <w:t>in</w:t>
      </w:r>
      <w:r>
        <w:rPr>
          <w:spacing w:val="-7"/>
        </w:rPr>
        <w:t xml:space="preserve"> </w:t>
      </w:r>
      <w:r>
        <w:t>unequal</w:t>
      </w:r>
      <w:r>
        <w:rPr>
          <w:spacing w:val="-6"/>
        </w:rPr>
        <w:t xml:space="preserve"> </w:t>
      </w:r>
      <w:r>
        <w:t>participation, and not all issues have received aspirations.</w:t>
      </w:r>
    </w:p>
    <w:p w14:paraId="52FAF2FD" w14:textId="77777777" w:rsidR="00BC24A8" w:rsidRDefault="00BC24A8">
      <w:pPr>
        <w:pStyle w:val="BodyText"/>
        <w:spacing w:before="181"/>
      </w:pPr>
    </w:p>
    <w:p w14:paraId="0048C4D5" w14:textId="77777777" w:rsidR="00BC24A8" w:rsidRDefault="00000000">
      <w:pPr>
        <w:pStyle w:val="Heading5"/>
        <w:ind w:left="141"/>
      </w:pPr>
      <w:r>
        <w:rPr>
          <w:color w:val="17365A"/>
          <w:spacing w:val="-2"/>
        </w:rPr>
        <w:t>Non-Technical</w:t>
      </w:r>
      <w:r>
        <w:rPr>
          <w:color w:val="17365A"/>
          <w:spacing w:val="-5"/>
        </w:rPr>
        <w:t xml:space="preserve"> </w:t>
      </w:r>
      <w:r>
        <w:rPr>
          <w:color w:val="17365A"/>
          <w:spacing w:val="-2"/>
        </w:rPr>
        <w:t>Challenges</w:t>
      </w:r>
    </w:p>
    <w:p w14:paraId="02B3C898" w14:textId="77777777" w:rsidR="00BC24A8" w:rsidRDefault="00000000">
      <w:pPr>
        <w:pStyle w:val="ListParagraph"/>
        <w:numPr>
          <w:ilvl w:val="0"/>
          <w:numId w:val="64"/>
        </w:numPr>
        <w:tabs>
          <w:tab w:val="left" w:pos="859"/>
          <w:tab w:val="left" w:pos="861"/>
        </w:tabs>
        <w:spacing w:before="161" w:line="256" w:lineRule="auto"/>
        <w:ind w:right="566"/>
        <w:jc w:val="both"/>
      </w:pPr>
      <w:r>
        <w:t>The change of MSS staff and civil servants has not been accompanied by knowledge transfer, causing stagnation in the implementation of MSS regulations and documents.</w:t>
      </w:r>
    </w:p>
    <w:p w14:paraId="46231EF3" w14:textId="77777777" w:rsidR="00BC24A8" w:rsidRDefault="00000000">
      <w:pPr>
        <w:pStyle w:val="ListParagraph"/>
        <w:numPr>
          <w:ilvl w:val="0"/>
          <w:numId w:val="64"/>
        </w:numPr>
        <w:tabs>
          <w:tab w:val="left" w:pos="859"/>
          <w:tab w:val="left" w:pos="861"/>
        </w:tabs>
        <w:spacing w:before="4" w:line="259" w:lineRule="auto"/>
        <w:ind w:right="564"/>
        <w:jc w:val="both"/>
      </w:pPr>
      <w:r>
        <w:t>The delay in finalising the National Action Plan for Persons with Disabilities (Rencana Aksi Nasional Penyandang Disabilitas, RAN PD) and the PERA study made the synchronisation of policies and regional planning untimely.</w:t>
      </w:r>
    </w:p>
    <w:p w14:paraId="4C672D2D" w14:textId="77777777" w:rsidR="00BC24A8" w:rsidRDefault="00000000">
      <w:pPr>
        <w:pStyle w:val="ListParagraph"/>
        <w:numPr>
          <w:ilvl w:val="0"/>
          <w:numId w:val="64"/>
        </w:numPr>
        <w:tabs>
          <w:tab w:val="left" w:pos="859"/>
          <w:tab w:val="left" w:pos="861"/>
        </w:tabs>
        <w:spacing w:line="259" w:lineRule="auto"/>
        <w:ind w:right="564"/>
        <w:jc w:val="both"/>
      </w:pPr>
      <w:r>
        <w:t>The understanding of local governments and persons with disabilities regarding service regulations</w:t>
      </w:r>
      <w:r>
        <w:rPr>
          <w:spacing w:val="-4"/>
        </w:rPr>
        <w:t xml:space="preserve"> </w:t>
      </w:r>
      <w:r>
        <w:t>is</w:t>
      </w:r>
      <w:r>
        <w:rPr>
          <w:spacing w:val="-6"/>
        </w:rPr>
        <w:t xml:space="preserve"> </w:t>
      </w:r>
      <w:r>
        <w:t>inadequate,</w:t>
      </w:r>
      <w:r>
        <w:rPr>
          <w:spacing w:val="-4"/>
        </w:rPr>
        <w:t xml:space="preserve"> </w:t>
      </w:r>
      <w:r>
        <w:t>including</w:t>
      </w:r>
      <w:r>
        <w:rPr>
          <w:spacing w:val="-7"/>
        </w:rPr>
        <w:t xml:space="preserve"> </w:t>
      </w:r>
      <w:r>
        <w:t>tax</w:t>
      </w:r>
      <w:r>
        <w:rPr>
          <w:spacing w:val="-6"/>
        </w:rPr>
        <w:t xml:space="preserve"> </w:t>
      </w:r>
      <w:r>
        <w:t>waivers</w:t>
      </w:r>
      <w:r>
        <w:rPr>
          <w:spacing w:val="-4"/>
        </w:rPr>
        <w:t xml:space="preserve"> </w:t>
      </w:r>
      <w:r>
        <w:t>and</w:t>
      </w:r>
      <w:r>
        <w:rPr>
          <w:spacing w:val="-5"/>
        </w:rPr>
        <w:t xml:space="preserve"> </w:t>
      </w:r>
      <w:r>
        <w:t>special</w:t>
      </w:r>
      <w:r>
        <w:rPr>
          <w:spacing w:val="-6"/>
        </w:rPr>
        <w:t xml:space="preserve"> </w:t>
      </w:r>
      <w:r>
        <w:t>services</w:t>
      </w:r>
      <w:r>
        <w:rPr>
          <w:spacing w:val="-4"/>
        </w:rPr>
        <w:t xml:space="preserve"> </w:t>
      </w:r>
      <w:r>
        <w:t>at</w:t>
      </w:r>
      <w:r>
        <w:rPr>
          <w:spacing w:val="-6"/>
        </w:rPr>
        <w:t xml:space="preserve"> </w:t>
      </w:r>
      <w:r>
        <w:t>SAMSAT.</w:t>
      </w:r>
      <w:r>
        <w:rPr>
          <w:spacing w:val="-6"/>
        </w:rPr>
        <w:t xml:space="preserve"> </w:t>
      </w:r>
      <w:r>
        <w:t>As</w:t>
      </w:r>
      <w:r>
        <w:rPr>
          <w:spacing w:val="-6"/>
        </w:rPr>
        <w:t xml:space="preserve"> </w:t>
      </w:r>
      <w:r>
        <w:t>a</w:t>
      </w:r>
      <w:r>
        <w:rPr>
          <w:spacing w:val="-6"/>
        </w:rPr>
        <w:t xml:space="preserve"> </w:t>
      </w:r>
      <w:r>
        <w:t>result,</w:t>
      </w:r>
      <w:r>
        <w:rPr>
          <w:spacing w:val="-4"/>
        </w:rPr>
        <w:t xml:space="preserve"> </w:t>
      </w:r>
      <w:r>
        <w:t>the implementation of disability-friendly services has not been running optimally.</w:t>
      </w:r>
    </w:p>
    <w:p w14:paraId="2D3CFA41" w14:textId="77777777" w:rsidR="00BC24A8" w:rsidRDefault="00000000">
      <w:pPr>
        <w:pStyle w:val="ListParagraph"/>
        <w:numPr>
          <w:ilvl w:val="0"/>
          <w:numId w:val="64"/>
        </w:numPr>
        <w:tabs>
          <w:tab w:val="left" w:pos="859"/>
          <w:tab w:val="left" w:pos="861"/>
        </w:tabs>
        <w:spacing w:line="259" w:lineRule="auto"/>
        <w:ind w:right="565"/>
        <w:jc w:val="both"/>
      </w:pPr>
      <w:r>
        <w:t xml:space="preserve">Coordination between Gender Mainstreaming facilitators, Gender Mainstreaming Working </w:t>
      </w:r>
      <w:r>
        <w:rPr>
          <w:spacing w:val="-2"/>
        </w:rPr>
        <w:t>Group, and other key stakeholders has</w:t>
      </w:r>
      <w:r>
        <w:rPr>
          <w:spacing w:val="-4"/>
        </w:rPr>
        <w:t xml:space="preserve"> </w:t>
      </w:r>
      <w:r>
        <w:rPr>
          <w:spacing w:val="-2"/>
        </w:rPr>
        <w:t>not</w:t>
      </w:r>
      <w:r>
        <w:rPr>
          <w:spacing w:val="-3"/>
        </w:rPr>
        <w:t xml:space="preserve"> </w:t>
      </w:r>
      <w:r>
        <w:rPr>
          <w:spacing w:val="-2"/>
        </w:rPr>
        <w:t>been sustainable, thus</w:t>
      </w:r>
      <w:r>
        <w:rPr>
          <w:spacing w:val="-4"/>
        </w:rPr>
        <w:t xml:space="preserve"> </w:t>
      </w:r>
      <w:r>
        <w:rPr>
          <w:spacing w:val="-2"/>
        </w:rPr>
        <w:t>hindering</w:t>
      </w:r>
      <w:r>
        <w:rPr>
          <w:spacing w:val="-3"/>
        </w:rPr>
        <w:t xml:space="preserve"> </w:t>
      </w:r>
      <w:r>
        <w:rPr>
          <w:spacing w:val="-2"/>
        </w:rPr>
        <w:t>the</w:t>
      </w:r>
      <w:r>
        <w:rPr>
          <w:spacing w:val="-4"/>
        </w:rPr>
        <w:t xml:space="preserve"> </w:t>
      </w:r>
      <w:r>
        <w:rPr>
          <w:spacing w:val="-2"/>
        </w:rPr>
        <w:t xml:space="preserve">implementation </w:t>
      </w:r>
      <w:r>
        <w:t>of PPRG and efforts to integrate GEDSI issues in planning and budgeting. As a result, the mainstreaming of GEDSI has not been firmly embedded in regional policies.</w:t>
      </w:r>
    </w:p>
    <w:p w14:paraId="17596077" w14:textId="77777777" w:rsidR="00BC24A8" w:rsidRDefault="00000000">
      <w:pPr>
        <w:pStyle w:val="ListParagraph"/>
        <w:numPr>
          <w:ilvl w:val="0"/>
          <w:numId w:val="64"/>
        </w:numPr>
        <w:tabs>
          <w:tab w:val="left" w:pos="859"/>
          <w:tab w:val="left" w:pos="861"/>
        </w:tabs>
        <w:spacing w:line="256" w:lineRule="auto"/>
        <w:ind w:right="566"/>
        <w:jc w:val="both"/>
      </w:pPr>
      <w:r>
        <w:t>The</w:t>
      </w:r>
      <w:r>
        <w:rPr>
          <w:spacing w:val="-13"/>
        </w:rPr>
        <w:t xml:space="preserve"> </w:t>
      </w:r>
      <w:r>
        <w:t>provincial</w:t>
      </w:r>
      <w:r>
        <w:rPr>
          <w:spacing w:val="-12"/>
        </w:rPr>
        <w:t xml:space="preserve"> </w:t>
      </w:r>
      <w:r>
        <w:t>government</w:t>
      </w:r>
      <w:r>
        <w:rPr>
          <w:spacing w:val="-13"/>
        </w:rPr>
        <w:t xml:space="preserve"> </w:t>
      </w:r>
      <w:r>
        <w:t>has</w:t>
      </w:r>
      <w:r>
        <w:rPr>
          <w:spacing w:val="-12"/>
        </w:rPr>
        <w:t xml:space="preserve"> </w:t>
      </w:r>
      <w:r>
        <w:t>not</w:t>
      </w:r>
      <w:r>
        <w:rPr>
          <w:spacing w:val="-13"/>
        </w:rPr>
        <w:t xml:space="preserve"> </w:t>
      </w:r>
      <w:r>
        <w:t>fully</w:t>
      </w:r>
      <w:r>
        <w:rPr>
          <w:spacing w:val="-12"/>
        </w:rPr>
        <w:t xml:space="preserve"> </w:t>
      </w:r>
      <w:r>
        <w:t>understood</w:t>
      </w:r>
      <w:r>
        <w:rPr>
          <w:spacing w:val="-11"/>
        </w:rPr>
        <w:t xml:space="preserve"> </w:t>
      </w:r>
      <w:r>
        <w:t>the</w:t>
      </w:r>
      <w:r>
        <w:rPr>
          <w:spacing w:val="-12"/>
        </w:rPr>
        <w:t xml:space="preserve"> </w:t>
      </w:r>
      <w:r>
        <w:t>issues</w:t>
      </w:r>
      <w:r>
        <w:rPr>
          <w:spacing w:val="-10"/>
        </w:rPr>
        <w:t xml:space="preserve"> </w:t>
      </w:r>
      <w:r>
        <w:t>and</w:t>
      </w:r>
      <w:r>
        <w:rPr>
          <w:spacing w:val="-11"/>
        </w:rPr>
        <w:t xml:space="preserve"> </w:t>
      </w:r>
      <w:r>
        <w:t>activities</w:t>
      </w:r>
      <w:r>
        <w:rPr>
          <w:spacing w:val="-12"/>
        </w:rPr>
        <w:t xml:space="preserve"> </w:t>
      </w:r>
      <w:r>
        <w:t>of</w:t>
      </w:r>
      <w:r>
        <w:rPr>
          <w:spacing w:val="-13"/>
        </w:rPr>
        <w:t xml:space="preserve"> </w:t>
      </w:r>
      <w:r>
        <w:t>GEDSI,</w:t>
      </w:r>
      <w:r>
        <w:rPr>
          <w:spacing w:val="-11"/>
        </w:rPr>
        <w:t xml:space="preserve"> </w:t>
      </w:r>
      <w:r>
        <w:t>and</w:t>
      </w:r>
      <w:r>
        <w:rPr>
          <w:spacing w:val="-13"/>
        </w:rPr>
        <w:t xml:space="preserve"> </w:t>
      </w:r>
      <w:r>
        <w:t>there are no guidelines or regulations as a reference in the planning and budgeting process.</w:t>
      </w:r>
    </w:p>
    <w:p w14:paraId="5AD66855" w14:textId="77777777" w:rsidR="00BC24A8" w:rsidRDefault="00BC24A8">
      <w:pPr>
        <w:pStyle w:val="BodyText"/>
        <w:spacing w:before="205"/>
      </w:pPr>
    </w:p>
    <w:p w14:paraId="6E6D5A12" w14:textId="77777777" w:rsidR="00BC24A8" w:rsidRDefault="00000000">
      <w:pPr>
        <w:pStyle w:val="Heading5"/>
      </w:pPr>
      <w:r>
        <w:rPr>
          <w:color w:val="17365A"/>
        </w:rPr>
        <w:t>Solutions</w:t>
      </w:r>
      <w:r>
        <w:rPr>
          <w:color w:val="17365A"/>
          <w:spacing w:val="-6"/>
        </w:rPr>
        <w:t xml:space="preserve"> </w:t>
      </w:r>
      <w:r>
        <w:rPr>
          <w:color w:val="17365A"/>
        </w:rPr>
        <w:t>that</w:t>
      </w:r>
      <w:r>
        <w:rPr>
          <w:color w:val="17365A"/>
          <w:spacing w:val="-6"/>
        </w:rPr>
        <w:t xml:space="preserve"> </w:t>
      </w:r>
      <w:r>
        <w:rPr>
          <w:color w:val="17365A"/>
        </w:rPr>
        <w:t>have</w:t>
      </w:r>
      <w:r>
        <w:rPr>
          <w:color w:val="17365A"/>
          <w:spacing w:val="-8"/>
        </w:rPr>
        <w:t xml:space="preserve"> </w:t>
      </w:r>
      <w:r>
        <w:rPr>
          <w:color w:val="17365A"/>
        </w:rPr>
        <w:t>been</w:t>
      </w:r>
      <w:r>
        <w:rPr>
          <w:color w:val="17365A"/>
          <w:spacing w:val="-7"/>
        </w:rPr>
        <w:t xml:space="preserve"> </w:t>
      </w:r>
      <w:r>
        <w:rPr>
          <w:color w:val="17365A"/>
          <w:spacing w:val="-2"/>
        </w:rPr>
        <w:t>implemented</w:t>
      </w:r>
    </w:p>
    <w:p w14:paraId="74255288" w14:textId="77777777" w:rsidR="00BC24A8" w:rsidRDefault="00000000">
      <w:pPr>
        <w:pStyle w:val="ListParagraph"/>
        <w:numPr>
          <w:ilvl w:val="0"/>
          <w:numId w:val="63"/>
        </w:numPr>
        <w:tabs>
          <w:tab w:val="left" w:pos="861"/>
          <w:tab w:val="left" w:pos="863"/>
        </w:tabs>
        <w:spacing w:before="161" w:line="259" w:lineRule="auto"/>
        <w:ind w:right="566"/>
        <w:jc w:val="both"/>
      </w:pPr>
      <w:r>
        <w:t xml:space="preserve">SKALA has prepared the Guidelines for </w:t>
      </w:r>
      <w:r>
        <w:rPr>
          <w:i/>
        </w:rPr>
        <w:t xml:space="preserve">Keluarga Berdaya Posyandu </w:t>
      </w:r>
      <w:r>
        <w:t xml:space="preserve">(Empowered Family </w:t>
      </w:r>
      <w:r>
        <w:rPr>
          <w:i/>
        </w:rPr>
        <w:t>Posyandu</w:t>
      </w:r>
      <w:r>
        <w:t>)</w:t>
      </w:r>
      <w:r>
        <w:rPr>
          <w:spacing w:val="-6"/>
        </w:rPr>
        <w:t xml:space="preserve"> </w:t>
      </w:r>
      <w:r>
        <w:t>as</w:t>
      </w:r>
      <w:r>
        <w:rPr>
          <w:spacing w:val="-4"/>
        </w:rPr>
        <w:t xml:space="preserve"> </w:t>
      </w:r>
      <w:r>
        <w:t>part</w:t>
      </w:r>
      <w:r>
        <w:rPr>
          <w:spacing w:val="-8"/>
        </w:rPr>
        <w:t xml:space="preserve"> </w:t>
      </w:r>
      <w:r>
        <w:t>of</w:t>
      </w:r>
      <w:r>
        <w:rPr>
          <w:spacing w:val="-6"/>
        </w:rPr>
        <w:t xml:space="preserve"> </w:t>
      </w:r>
      <w:r>
        <w:t>the</w:t>
      </w:r>
      <w:r>
        <w:rPr>
          <w:spacing w:val="-6"/>
        </w:rPr>
        <w:t xml:space="preserve"> </w:t>
      </w:r>
      <w:r>
        <w:t>monitoring</w:t>
      </w:r>
      <w:r>
        <w:rPr>
          <w:spacing w:val="-5"/>
        </w:rPr>
        <w:t xml:space="preserve"> </w:t>
      </w:r>
      <w:r>
        <w:t>and</w:t>
      </w:r>
      <w:r>
        <w:rPr>
          <w:spacing w:val="-4"/>
        </w:rPr>
        <w:t xml:space="preserve"> </w:t>
      </w:r>
      <w:r>
        <w:t>evaluation</w:t>
      </w:r>
      <w:r>
        <w:rPr>
          <w:spacing w:val="-4"/>
        </w:rPr>
        <w:t xml:space="preserve"> </w:t>
      </w:r>
      <w:r>
        <w:t>instrument</w:t>
      </w:r>
      <w:r>
        <w:rPr>
          <w:spacing w:val="-5"/>
        </w:rPr>
        <w:t xml:space="preserve"> </w:t>
      </w:r>
      <w:r>
        <w:t>for</w:t>
      </w:r>
      <w:r>
        <w:rPr>
          <w:spacing w:val="-7"/>
        </w:rPr>
        <w:t xml:space="preserve"> </w:t>
      </w:r>
      <w:r>
        <w:t>community</w:t>
      </w:r>
      <w:r>
        <w:rPr>
          <w:spacing w:val="-4"/>
        </w:rPr>
        <w:t xml:space="preserve"> </w:t>
      </w:r>
      <w:r>
        <w:t>MSS</w:t>
      </w:r>
      <w:r>
        <w:rPr>
          <w:spacing w:val="-4"/>
        </w:rPr>
        <w:t xml:space="preserve"> </w:t>
      </w:r>
      <w:r>
        <w:t>services,</w:t>
      </w:r>
      <w:r>
        <w:rPr>
          <w:spacing w:val="-4"/>
        </w:rPr>
        <w:t xml:space="preserve"> </w:t>
      </w:r>
      <w:r>
        <w:t>in accordance with MoHA Regulation Number 13 of 2024 (Permendagri 13/2024).</w:t>
      </w:r>
    </w:p>
    <w:p w14:paraId="56DC1E1F" w14:textId="77777777" w:rsidR="00BC24A8" w:rsidRDefault="00BC24A8">
      <w:pPr>
        <w:pStyle w:val="ListParagraph"/>
        <w:spacing w:line="259" w:lineRule="auto"/>
        <w:sectPr w:rsidR="00BC24A8">
          <w:pgSz w:w="11910" w:h="16840"/>
          <w:pgMar w:top="1360" w:right="850" w:bottom="1100" w:left="1275" w:header="0" w:footer="907" w:gutter="0"/>
          <w:cols w:space="720"/>
        </w:sectPr>
      </w:pPr>
    </w:p>
    <w:p w14:paraId="557C68B2" w14:textId="77777777" w:rsidR="00BC24A8" w:rsidRDefault="00000000">
      <w:pPr>
        <w:pStyle w:val="ListParagraph"/>
        <w:numPr>
          <w:ilvl w:val="0"/>
          <w:numId w:val="63"/>
        </w:numPr>
        <w:tabs>
          <w:tab w:val="left" w:pos="861"/>
          <w:tab w:val="left" w:pos="863"/>
        </w:tabs>
        <w:spacing w:before="39" w:line="259" w:lineRule="auto"/>
        <w:ind w:right="563"/>
        <w:jc w:val="both"/>
      </w:pPr>
      <w:r>
        <w:lastRenderedPageBreak/>
        <w:t>SKALA has supported the socialisation of Governor’s Regulation Number 23 of 2024 regarding the exemption of modified vehicle taxes for persons with disabilities, and will continue to encourage innovation related to the accessibility of this service.</w:t>
      </w:r>
    </w:p>
    <w:p w14:paraId="20C961E9" w14:textId="77777777" w:rsidR="00BC24A8" w:rsidRDefault="00000000">
      <w:pPr>
        <w:pStyle w:val="ListParagraph"/>
        <w:numPr>
          <w:ilvl w:val="0"/>
          <w:numId w:val="63"/>
        </w:numPr>
        <w:tabs>
          <w:tab w:val="left" w:pos="861"/>
          <w:tab w:val="left" w:pos="863"/>
        </w:tabs>
        <w:spacing w:line="259" w:lineRule="auto"/>
        <w:ind w:right="565"/>
        <w:jc w:val="both"/>
      </w:pPr>
      <w:r>
        <w:t>SKALA</w:t>
      </w:r>
      <w:r>
        <w:rPr>
          <w:spacing w:val="-2"/>
        </w:rPr>
        <w:t xml:space="preserve"> </w:t>
      </w:r>
      <w:r>
        <w:t>has</w:t>
      </w:r>
      <w:r>
        <w:rPr>
          <w:spacing w:val="-1"/>
        </w:rPr>
        <w:t xml:space="preserve"> </w:t>
      </w:r>
      <w:r>
        <w:t>conducted</w:t>
      </w:r>
      <w:r>
        <w:rPr>
          <w:spacing w:val="-2"/>
        </w:rPr>
        <w:t xml:space="preserve"> </w:t>
      </w:r>
      <w:r>
        <w:t>training</w:t>
      </w:r>
      <w:r>
        <w:rPr>
          <w:spacing w:val="-2"/>
        </w:rPr>
        <w:t xml:space="preserve"> </w:t>
      </w:r>
      <w:r>
        <w:t>and</w:t>
      </w:r>
      <w:r>
        <w:rPr>
          <w:spacing w:val="-3"/>
        </w:rPr>
        <w:t xml:space="preserve"> </w:t>
      </w:r>
      <w:r>
        <w:t>assistance</w:t>
      </w:r>
      <w:r>
        <w:rPr>
          <w:spacing w:val="-3"/>
        </w:rPr>
        <w:t xml:space="preserve"> </w:t>
      </w:r>
      <w:r>
        <w:t>to</w:t>
      </w:r>
      <w:r>
        <w:rPr>
          <w:spacing w:val="-2"/>
        </w:rPr>
        <w:t xml:space="preserve"> </w:t>
      </w:r>
      <w:r>
        <w:t>ensure</w:t>
      </w:r>
      <w:r>
        <w:rPr>
          <w:spacing w:val="-3"/>
        </w:rPr>
        <w:t xml:space="preserve"> </w:t>
      </w:r>
      <w:r>
        <w:t>the</w:t>
      </w:r>
      <w:r>
        <w:rPr>
          <w:spacing w:val="-3"/>
        </w:rPr>
        <w:t xml:space="preserve"> </w:t>
      </w:r>
      <w:r>
        <w:t>allocation</w:t>
      </w:r>
      <w:r>
        <w:rPr>
          <w:spacing w:val="-2"/>
        </w:rPr>
        <w:t xml:space="preserve"> </w:t>
      </w:r>
      <w:r>
        <w:t>of</w:t>
      </w:r>
      <w:r>
        <w:rPr>
          <w:spacing w:val="-5"/>
        </w:rPr>
        <w:t xml:space="preserve"> </w:t>
      </w:r>
      <w:r>
        <w:t>public</w:t>
      </w:r>
      <w:r>
        <w:rPr>
          <w:spacing w:val="-4"/>
        </w:rPr>
        <w:t xml:space="preserve"> </w:t>
      </w:r>
      <w:r>
        <w:t>service</w:t>
      </w:r>
      <w:r>
        <w:rPr>
          <w:spacing w:val="-3"/>
        </w:rPr>
        <w:t xml:space="preserve"> </w:t>
      </w:r>
      <w:r>
        <w:t>budgets in the APBD is in accordance with regulations, and this activity will continue.</w:t>
      </w:r>
    </w:p>
    <w:p w14:paraId="68BDFB0A" w14:textId="77777777" w:rsidR="00BC24A8" w:rsidRDefault="00BC24A8">
      <w:pPr>
        <w:pStyle w:val="BodyText"/>
        <w:spacing w:before="201"/>
      </w:pPr>
    </w:p>
    <w:p w14:paraId="5B548ED7" w14:textId="77777777" w:rsidR="00BC24A8" w:rsidRDefault="00000000">
      <w:pPr>
        <w:pStyle w:val="Heading5"/>
      </w:pPr>
      <w:r>
        <w:rPr>
          <w:color w:val="17365A"/>
        </w:rPr>
        <w:t>Solutions</w:t>
      </w:r>
      <w:r>
        <w:rPr>
          <w:color w:val="17365A"/>
          <w:spacing w:val="-4"/>
        </w:rPr>
        <w:t xml:space="preserve"> </w:t>
      </w:r>
      <w:r>
        <w:rPr>
          <w:color w:val="17365A"/>
        </w:rPr>
        <w:t>to</w:t>
      </w:r>
      <w:r>
        <w:rPr>
          <w:color w:val="17365A"/>
          <w:spacing w:val="-6"/>
        </w:rPr>
        <w:t xml:space="preserve"> </w:t>
      </w:r>
      <w:r>
        <w:rPr>
          <w:color w:val="17365A"/>
        </w:rPr>
        <w:t>be</w:t>
      </w:r>
      <w:r>
        <w:rPr>
          <w:color w:val="17365A"/>
          <w:spacing w:val="-6"/>
        </w:rPr>
        <w:t xml:space="preserve"> </w:t>
      </w:r>
      <w:r>
        <w:rPr>
          <w:color w:val="17365A"/>
          <w:spacing w:val="-2"/>
        </w:rPr>
        <w:t>implemented</w:t>
      </w:r>
    </w:p>
    <w:p w14:paraId="55F8B0A3" w14:textId="77777777" w:rsidR="00BC24A8" w:rsidRDefault="00000000">
      <w:pPr>
        <w:pStyle w:val="ListParagraph"/>
        <w:numPr>
          <w:ilvl w:val="0"/>
          <w:numId w:val="62"/>
        </w:numPr>
        <w:tabs>
          <w:tab w:val="left" w:pos="861"/>
          <w:tab w:val="left" w:pos="863"/>
        </w:tabs>
        <w:spacing w:before="159" w:line="259" w:lineRule="auto"/>
        <w:ind w:right="565"/>
        <w:jc w:val="both"/>
      </w:pPr>
      <w:r>
        <w:t>SKALA</w:t>
      </w:r>
      <w:r>
        <w:rPr>
          <w:spacing w:val="-1"/>
        </w:rPr>
        <w:t xml:space="preserve"> </w:t>
      </w:r>
      <w:r>
        <w:t>will</w:t>
      </w:r>
      <w:r>
        <w:rPr>
          <w:spacing w:val="-4"/>
        </w:rPr>
        <w:t xml:space="preserve"> </w:t>
      </w:r>
      <w:r>
        <w:t>support</w:t>
      </w:r>
      <w:r>
        <w:rPr>
          <w:spacing w:val="-2"/>
        </w:rPr>
        <w:t xml:space="preserve"> </w:t>
      </w:r>
      <w:r>
        <w:t>the</w:t>
      </w:r>
      <w:r>
        <w:rPr>
          <w:spacing w:val="-4"/>
        </w:rPr>
        <w:t xml:space="preserve"> </w:t>
      </w:r>
      <w:r>
        <w:t>revision</w:t>
      </w:r>
      <w:r>
        <w:rPr>
          <w:spacing w:val="-1"/>
        </w:rPr>
        <w:t xml:space="preserve"> </w:t>
      </w:r>
      <w:r>
        <w:t>of</w:t>
      </w:r>
      <w:r>
        <w:rPr>
          <w:spacing w:val="-4"/>
        </w:rPr>
        <w:t xml:space="preserve"> </w:t>
      </w:r>
      <w:r>
        <w:t>Governor’s</w:t>
      </w:r>
      <w:r>
        <w:rPr>
          <w:spacing w:val="-3"/>
        </w:rPr>
        <w:t xml:space="preserve"> </w:t>
      </w:r>
      <w:r>
        <w:t>Regulation</w:t>
      </w:r>
      <w:r>
        <w:rPr>
          <w:spacing w:val="-3"/>
        </w:rPr>
        <w:t xml:space="preserve"> </w:t>
      </w:r>
      <w:r>
        <w:t>No.</w:t>
      </w:r>
      <w:r>
        <w:rPr>
          <w:spacing w:val="-4"/>
        </w:rPr>
        <w:t xml:space="preserve"> </w:t>
      </w:r>
      <w:r>
        <w:t>105/2023</w:t>
      </w:r>
      <w:r>
        <w:rPr>
          <w:spacing w:val="-3"/>
        </w:rPr>
        <w:t xml:space="preserve"> </w:t>
      </w:r>
      <w:r>
        <w:t>on</w:t>
      </w:r>
      <w:r>
        <w:rPr>
          <w:spacing w:val="-3"/>
        </w:rPr>
        <w:t xml:space="preserve"> </w:t>
      </w:r>
      <w:r>
        <w:t>the</w:t>
      </w:r>
      <w:r>
        <w:rPr>
          <w:spacing w:val="-4"/>
        </w:rPr>
        <w:t xml:space="preserve"> </w:t>
      </w:r>
      <w:r>
        <w:t>MSS</w:t>
      </w:r>
      <w:r>
        <w:rPr>
          <w:spacing w:val="-3"/>
        </w:rPr>
        <w:t xml:space="preserve"> </w:t>
      </w:r>
      <w:r>
        <w:t>Action</w:t>
      </w:r>
      <w:r>
        <w:rPr>
          <w:spacing w:val="-3"/>
        </w:rPr>
        <w:t xml:space="preserve"> </w:t>
      </w:r>
      <w:r>
        <w:t>Plan to better reflect regional priorities and align with local planning documents.</w:t>
      </w:r>
    </w:p>
    <w:p w14:paraId="409D3196" w14:textId="77777777" w:rsidR="00BC24A8" w:rsidRDefault="00000000">
      <w:pPr>
        <w:pStyle w:val="ListParagraph"/>
        <w:numPr>
          <w:ilvl w:val="0"/>
          <w:numId w:val="62"/>
        </w:numPr>
        <w:tabs>
          <w:tab w:val="left" w:pos="861"/>
          <w:tab w:val="left" w:pos="863"/>
        </w:tabs>
        <w:spacing w:before="1" w:line="259" w:lineRule="auto"/>
        <w:ind w:right="565"/>
        <w:jc w:val="both"/>
      </w:pPr>
      <w:r>
        <w:t>SKALA will continue assisting in the completion of the RAD PD, serving as a foundation for synchronising regional policies to support MSS implementation.</w:t>
      </w:r>
    </w:p>
    <w:p w14:paraId="69840F32" w14:textId="77777777" w:rsidR="00BC24A8" w:rsidRDefault="00000000">
      <w:pPr>
        <w:pStyle w:val="ListParagraph"/>
        <w:numPr>
          <w:ilvl w:val="0"/>
          <w:numId w:val="62"/>
        </w:numPr>
        <w:tabs>
          <w:tab w:val="left" w:pos="861"/>
          <w:tab w:val="left" w:pos="863"/>
        </w:tabs>
        <w:spacing w:line="259" w:lineRule="auto"/>
        <w:ind w:right="564"/>
        <w:jc w:val="both"/>
      </w:pPr>
      <w:r>
        <w:t>SKALA</w:t>
      </w:r>
      <w:r>
        <w:rPr>
          <w:spacing w:val="-1"/>
        </w:rPr>
        <w:t xml:space="preserve"> </w:t>
      </w:r>
      <w:r>
        <w:t>will</w:t>
      </w:r>
      <w:r>
        <w:rPr>
          <w:spacing w:val="-2"/>
        </w:rPr>
        <w:t xml:space="preserve"> </w:t>
      </w:r>
      <w:r>
        <w:t>strengthen the</w:t>
      </w:r>
      <w:r>
        <w:rPr>
          <w:spacing w:val="-2"/>
        </w:rPr>
        <w:t xml:space="preserve"> </w:t>
      </w:r>
      <w:r>
        <w:t>capacity of</w:t>
      </w:r>
      <w:r>
        <w:rPr>
          <w:spacing w:val="-2"/>
        </w:rPr>
        <w:t xml:space="preserve"> </w:t>
      </w:r>
      <w:r>
        <w:t>the</w:t>
      </w:r>
      <w:r>
        <w:rPr>
          <w:spacing w:val="-2"/>
        </w:rPr>
        <w:t xml:space="preserve"> </w:t>
      </w:r>
      <w:r>
        <w:t>APBD</w:t>
      </w:r>
      <w:r>
        <w:rPr>
          <w:spacing w:val="-1"/>
        </w:rPr>
        <w:t xml:space="preserve"> </w:t>
      </w:r>
      <w:r>
        <w:t>Evaluation Team</w:t>
      </w:r>
      <w:r>
        <w:rPr>
          <w:spacing w:val="-1"/>
        </w:rPr>
        <w:t xml:space="preserve"> </w:t>
      </w:r>
      <w:r>
        <w:t>to</w:t>
      </w:r>
      <w:r>
        <w:rPr>
          <w:spacing w:val="-1"/>
        </w:rPr>
        <w:t xml:space="preserve"> </w:t>
      </w:r>
      <w:r>
        <w:t>ensure</w:t>
      </w:r>
      <w:r>
        <w:rPr>
          <w:spacing w:val="-2"/>
        </w:rPr>
        <w:t xml:space="preserve"> </w:t>
      </w:r>
      <w:r>
        <w:t>alignment</w:t>
      </w:r>
      <w:r>
        <w:rPr>
          <w:spacing w:val="-2"/>
        </w:rPr>
        <w:t xml:space="preserve"> </w:t>
      </w:r>
      <w:r>
        <w:t>between planning and budgeting for the 2026 fiscal year.</w:t>
      </w:r>
    </w:p>
    <w:p w14:paraId="0A47EADA" w14:textId="77777777" w:rsidR="00BC24A8" w:rsidRDefault="00000000">
      <w:pPr>
        <w:pStyle w:val="ListParagraph"/>
        <w:numPr>
          <w:ilvl w:val="0"/>
          <w:numId w:val="62"/>
        </w:numPr>
        <w:tabs>
          <w:tab w:val="left" w:pos="861"/>
          <w:tab w:val="left" w:pos="863"/>
        </w:tabs>
        <w:spacing w:line="259" w:lineRule="auto"/>
        <w:ind w:right="562"/>
        <w:jc w:val="both"/>
      </w:pPr>
      <w:r>
        <w:t>SKALA</w:t>
      </w:r>
      <w:r>
        <w:rPr>
          <w:spacing w:val="-7"/>
        </w:rPr>
        <w:t xml:space="preserve"> </w:t>
      </w:r>
      <w:r>
        <w:t>will</w:t>
      </w:r>
      <w:r>
        <w:rPr>
          <w:spacing w:val="-8"/>
        </w:rPr>
        <w:t xml:space="preserve"> </w:t>
      </w:r>
      <w:r>
        <w:t>support</w:t>
      </w:r>
      <w:r>
        <w:rPr>
          <w:spacing w:val="-8"/>
        </w:rPr>
        <w:t xml:space="preserve"> </w:t>
      </w:r>
      <w:r>
        <w:t>the</w:t>
      </w:r>
      <w:r>
        <w:rPr>
          <w:spacing w:val="-9"/>
        </w:rPr>
        <w:t xml:space="preserve"> </w:t>
      </w:r>
      <w:r>
        <w:t>finalisation</w:t>
      </w:r>
      <w:r>
        <w:rPr>
          <w:spacing w:val="-7"/>
        </w:rPr>
        <w:t xml:space="preserve"> </w:t>
      </w:r>
      <w:r>
        <w:t>of</w:t>
      </w:r>
      <w:r>
        <w:rPr>
          <w:spacing w:val="-9"/>
        </w:rPr>
        <w:t xml:space="preserve"> </w:t>
      </w:r>
      <w:r>
        <w:t>the</w:t>
      </w:r>
      <w:r>
        <w:rPr>
          <w:spacing w:val="-9"/>
        </w:rPr>
        <w:t xml:space="preserve"> </w:t>
      </w:r>
      <w:r>
        <w:t>2025–2029</w:t>
      </w:r>
      <w:r>
        <w:rPr>
          <w:spacing w:val="-7"/>
        </w:rPr>
        <w:t xml:space="preserve"> </w:t>
      </w:r>
      <w:r>
        <w:t>One</w:t>
      </w:r>
      <w:r>
        <w:rPr>
          <w:spacing w:val="-9"/>
        </w:rPr>
        <w:t xml:space="preserve"> </w:t>
      </w:r>
      <w:r>
        <w:t>Data</w:t>
      </w:r>
      <w:r>
        <w:rPr>
          <w:spacing w:val="-8"/>
        </w:rPr>
        <w:t xml:space="preserve"> </w:t>
      </w:r>
      <w:r>
        <w:t>Action</w:t>
      </w:r>
      <w:r>
        <w:rPr>
          <w:spacing w:val="-7"/>
        </w:rPr>
        <w:t xml:space="preserve"> </w:t>
      </w:r>
      <w:r>
        <w:t>Plan</w:t>
      </w:r>
      <w:r>
        <w:rPr>
          <w:spacing w:val="-7"/>
        </w:rPr>
        <w:t xml:space="preserve"> </w:t>
      </w:r>
      <w:r>
        <w:t>by</w:t>
      </w:r>
      <w:r>
        <w:rPr>
          <w:spacing w:val="-7"/>
        </w:rPr>
        <w:t xml:space="preserve"> </w:t>
      </w:r>
      <w:r>
        <w:t>compiling</w:t>
      </w:r>
      <w:r>
        <w:rPr>
          <w:spacing w:val="-8"/>
        </w:rPr>
        <w:t xml:space="preserve"> </w:t>
      </w:r>
      <w:r>
        <w:t>priority metadata,</w:t>
      </w:r>
      <w:r>
        <w:rPr>
          <w:spacing w:val="-10"/>
        </w:rPr>
        <w:t xml:space="preserve"> </w:t>
      </w:r>
      <w:r>
        <w:t>enhancing</w:t>
      </w:r>
      <w:r>
        <w:rPr>
          <w:spacing w:val="-12"/>
        </w:rPr>
        <w:t xml:space="preserve"> </w:t>
      </w:r>
      <w:r>
        <w:t>human</w:t>
      </w:r>
      <w:r>
        <w:rPr>
          <w:spacing w:val="-11"/>
        </w:rPr>
        <w:t xml:space="preserve"> </w:t>
      </w:r>
      <w:r>
        <w:t>resource</w:t>
      </w:r>
      <w:r>
        <w:rPr>
          <w:spacing w:val="-13"/>
        </w:rPr>
        <w:t xml:space="preserve"> </w:t>
      </w:r>
      <w:r>
        <w:t>capacity,</w:t>
      </w:r>
      <w:r>
        <w:rPr>
          <w:spacing w:val="-10"/>
        </w:rPr>
        <w:t xml:space="preserve"> </w:t>
      </w:r>
      <w:r>
        <w:t>and</w:t>
      </w:r>
      <w:r>
        <w:rPr>
          <w:spacing w:val="-11"/>
        </w:rPr>
        <w:t xml:space="preserve"> </w:t>
      </w:r>
      <w:r>
        <w:t>promoting</w:t>
      </w:r>
      <w:r>
        <w:rPr>
          <w:spacing w:val="-12"/>
        </w:rPr>
        <w:t xml:space="preserve"> </w:t>
      </w:r>
      <w:r>
        <w:t>integration</w:t>
      </w:r>
      <w:r>
        <w:rPr>
          <w:spacing w:val="-11"/>
        </w:rPr>
        <w:t xml:space="preserve"> </w:t>
      </w:r>
      <w:r>
        <w:t>of</w:t>
      </w:r>
      <w:r>
        <w:rPr>
          <w:spacing w:val="-13"/>
        </w:rPr>
        <w:t xml:space="preserve"> </w:t>
      </w:r>
      <w:r>
        <w:t>the</w:t>
      </w:r>
      <w:r>
        <w:rPr>
          <w:spacing w:val="-12"/>
        </w:rPr>
        <w:t xml:space="preserve"> </w:t>
      </w:r>
      <w:r>
        <w:t>NTB</w:t>
      </w:r>
      <w:r>
        <w:rPr>
          <w:spacing w:val="-12"/>
        </w:rPr>
        <w:t xml:space="preserve"> </w:t>
      </w:r>
      <w:r>
        <w:t>One</w:t>
      </w:r>
      <w:r>
        <w:rPr>
          <w:spacing w:val="-13"/>
        </w:rPr>
        <w:t xml:space="preserve"> </w:t>
      </w:r>
      <w:r>
        <w:t>Data Portal</w:t>
      </w:r>
      <w:r>
        <w:rPr>
          <w:spacing w:val="-13"/>
        </w:rPr>
        <w:t xml:space="preserve"> </w:t>
      </w:r>
      <w:r>
        <w:t>with</w:t>
      </w:r>
      <w:r>
        <w:rPr>
          <w:spacing w:val="-12"/>
        </w:rPr>
        <w:t xml:space="preserve"> </w:t>
      </w:r>
      <w:r>
        <w:t>district/city</w:t>
      </w:r>
      <w:r>
        <w:rPr>
          <w:spacing w:val="-13"/>
        </w:rPr>
        <w:t xml:space="preserve"> </w:t>
      </w:r>
      <w:r>
        <w:t>portals</w:t>
      </w:r>
      <w:r>
        <w:rPr>
          <w:spacing w:val="-12"/>
        </w:rPr>
        <w:t xml:space="preserve"> </w:t>
      </w:r>
      <w:r>
        <w:t>and</w:t>
      </w:r>
      <w:r>
        <w:rPr>
          <w:spacing w:val="-13"/>
        </w:rPr>
        <w:t xml:space="preserve"> </w:t>
      </w:r>
      <w:r>
        <w:t>the</w:t>
      </w:r>
      <w:r>
        <w:rPr>
          <w:spacing w:val="-12"/>
        </w:rPr>
        <w:t xml:space="preserve"> </w:t>
      </w:r>
      <w:r>
        <w:t>SDPDN</w:t>
      </w:r>
      <w:r>
        <w:rPr>
          <w:spacing w:val="-13"/>
        </w:rPr>
        <w:t xml:space="preserve"> </w:t>
      </w:r>
      <w:r>
        <w:t>Portal.</w:t>
      </w:r>
      <w:r>
        <w:rPr>
          <w:spacing w:val="-12"/>
        </w:rPr>
        <w:t xml:space="preserve"> </w:t>
      </w:r>
      <w:r>
        <w:t>This</w:t>
      </w:r>
      <w:r>
        <w:rPr>
          <w:spacing w:val="-12"/>
        </w:rPr>
        <w:t xml:space="preserve"> </w:t>
      </w:r>
      <w:r>
        <w:t>includes</w:t>
      </w:r>
      <w:r>
        <w:rPr>
          <w:spacing w:val="-13"/>
        </w:rPr>
        <w:t xml:space="preserve"> </w:t>
      </w:r>
      <w:r>
        <w:t>facilitating</w:t>
      </w:r>
      <w:r>
        <w:rPr>
          <w:spacing w:val="-12"/>
        </w:rPr>
        <w:t xml:space="preserve"> </w:t>
      </w:r>
      <w:r>
        <w:t>SDPDN</w:t>
      </w:r>
      <w:r>
        <w:rPr>
          <w:spacing w:val="-13"/>
        </w:rPr>
        <w:t xml:space="preserve"> </w:t>
      </w:r>
      <w:r>
        <w:t>budgeting in</w:t>
      </w:r>
      <w:r>
        <w:rPr>
          <w:spacing w:val="-8"/>
        </w:rPr>
        <w:t xml:space="preserve"> </w:t>
      </w:r>
      <w:r>
        <w:t>the</w:t>
      </w:r>
      <w:r>
        <w:rPr>
          <w:spacing w:val="-10"/>
        </w:rPr>
        <w:t xml:space="preserve"> </w:t>
      </w:r>
      <w:r>
        <w:t>2025</w:t>
      </w:r>
      <w:r>
        <w:rPr>
          <w:spacing w:val="-10"/>
        </w:rPr>
        <w:t xml:space="preserve"> </w:t>
      </w:r>
      <w:r>
        <w:t>Revised</w:t>
      </w:r>
      <w:r>
        <w:rPr>
          <w:spacing w:val="-8"/>
        </w:rPr>
        <w:t xml:space="preserve"> </w:t>
      </w:r>
      <w:r>
        <w:t>APBD</w:t>
      </w:r>
      <w:r>
        <w:rPr>
          <w:spacing w:val="-8"/>
        </w:rPr>
        <w:t xml:space="preserve"> </w:t>
      </w:r>
      <w:r>
        <w:t>and</w:t>
      </w:r>
      <w:r>
        <w:rPr>
          <w:spacing w:val="-8"/>
        </w:rPr>
        <w:t xml:space="preserve"> </w:t>
      </w:r>
      <w:r>
        <w:t>2026</w:t>
      </w:r>
      <w:r>
        <w:rPr>
          <w:spacing w:val="-7"/>
        </w:rPr>
        <w:t xml:space="preserve"> </w:t>
      </w:r>
      <w:r>
        <w:t>APBD,</w:t>
      </w:r>
      <w:r>
        <w:rPr>
          <w:spacing w:val="-7"/>
        </w:rPr>
        <w:t xml:space="preserve"> </w:t>
      </w:r>
      <w:r>
        <w:t>and</w:t>
      </w:r>
      <w:r>
        <w:rPr>
          <w:spacing w:val="-8"/>
        </w:rPr>
        <w:t xml:space="preserve"> </w:t>
      </w:r>
      <w:r>
        <w:t>encouraging</w:t>
      </w:r>
      <w:r>
        <w:rPr>
          <w:spacing w:val="-9"/>
        </w:rPr>
        <w:t xml:space="preserve"> </w:t>
      </w:r>
      <w:r>
        <w:t>institutional</w:t>
      </w:r>
      <w:r>
        <w:rPr>
          <w:spacing w:val="-9"/>
        </w:rPr>
        <w:t xml:space="preserve"> </w:t>
      </w:r>
      <w:r>
        <w:t>strengthening</w:t>
      </w:r>
      <w:r>
        <w:rPr>
          <w:spacing w:val="-9"/>
        </w:rPr>
        <w:t xml:space="preserve"> </w:t>
      </w:r>
      <w:r>
        <w:t>through the Regional One Data Forum.</w:t>
      </w:r>
    </w:p>
    <w:p w14:paraId="04096013" w14:textId="77777777" w:rsidR="00BC24A8" w:rsidRDefault="00000000">
      <w:pPr>
        <w:pStyle w:val="ListParagraph"/>
        <w:numPr>
          <w:ilvl w:val="0"/>
          <w:numId w:val="62"/>
        </w:numPr>
        <w:tabs>
          <w:tab w:val="left" w:pos="861"/>
          <w:tab w:val="left" w:pos="863"/>
        </w:tabs>
        <w:spacing w:line="259" w:lineRule="auto"/>
        <w:ind w:right="562"/>
        <w:jc w:val="both"/>
      </w:pPr>
      <w:r>
        <w:t xml:space="preserve">SKALA will complete the Thematic </w:t>
      </w:r>
      <w:r>
        <w:rPr>
          <w:i/>
        </w:rPr>
        <w:t xml:space="preserve">Musrenbang </w:t>
      </w:r>
      <w:r>
        <w:t>guide to ensure that</w:t>
      </w:r>
      <w:r>
        <w:rPr>
          <w:spacing w:val="-2"/>
        </w:rPr>
        <w:t xml:space="preserve"> </w:t>
      </w:r>
      <w:r>
        <w:t>discussions on vulnerable groups are more strategic and well-directed.</w:t>
      </w:r>
    </w:p>
    <w:p w14:paraId="76B77930" w14:textId="77777777" w:rsidR="00BC24A8" w:rsidRDefault="00000000">
      <w:pPr>
        <w:pStyle w:val="ListParagraph"/>
        <w:numPr>
          <w:ilvl w:val="0"/>
          <w:numId w:val="62"/>
        </w:numPr>
        <w:tabs>
          <w:tab w:val="left" w:pos="860"/>
          <w:tab w:val="left" w:pos="862"/>
        </w:tabs>
        <w:spacing w:line="259" w:lineRule="auto"/>
        <w:ind w:left="862" w:right="565"/>
        <w:jc w:val="both"/>
      </w:pPr>
      <w:r>
        <w:t>SKALA</w:t>
      </w:r>
      <w:r>
        <w:rPr>
          <w:spacing w:val="-13"/>
        </w:rPr>
        <w:t xml:space="preserve"> </w:t>
      </w:r>
      <w:r>
        <w:t>will</w:t>
      </w:r>
      <w:r>
        <w:rPr>
          <w:spacing w:val="-12"/>
        </w:rPr>
        <w:t xml:space="preserve"> </w:t>
      </w:r>
      <w:r>
        <w:t>support</w:t>
      </w:r>
      <w:r>
        <w:rPr>
          <w:spacing w:val="-13"/>
        </w:rPr>
        <w:t xml:space="preserve"> </w:t>
      </w:r>
      <w:r>
        <w:t>the</w:t>
      </w:r>
      <w:r>
        <w:rPr>
          <w:spacing w:val="-12"/>
        </w:rPr>
        <w:t xml:space="preserve"> </w:t>
      </w:r>
      <w:r>
        <w:t>development</w:t>
      </w:r>
      <w:r>
        <w:rPr>
          <w:spacing w:val="-13"/>
        </w:rPr>
        <w:t xml:space="preserve"> </w:t>
      </w:r>
      <w:r>
        <w:t>of</w:t>
      </w:r>
      <w:r>
        <w:rPr>
          <w:spacing w:val="-12"/>
        </w:rPr>
        <w:t xml:space="preserve"> </w:t>
      </w:r>
      <w:r>
        <w:t>the</w:t>
      </w:r>
      <w:r>
        <w:rPr>
          <w:spacing w:val="-13"/>
        </w:rPr>
        <w:t xml:space="preserve"> </w:t>
      </w:r>
      <w:r>
        <w:t>RAD</w:t>
      </w:r>
      <w:r>
        <w:rPr>
          <w:spacing w:val="-12"/>
        </w:rPr>
        <w:t xml:space="preserve"> </w:t>
      </w:r>
      <w:r>
        <w:t>PUG</w:t>
      </w:r>
      <w:r>
        <w:rPr>
          <w:spacing w:val="-12"/>
        </w:rPr>
        <w:t xml:space="preserve"> </w:t>
      </w:r>
      <w:r>
        <w:t>and</w:t>
      </w:r>
      <w:r>
        <w:rPr>
          <w:spacing w:val="-13"/>
        </w:rPr>
        <w:t xml:space="preserve"> </w:t>
      </w:r>
      <w:r>
        <w:t>monitor</w:t>
      </w:r>
      <w:r>
        <w:rPr>
          <w:spacing w:val="-12"/>
        </w:rPr>
        <w:t xml:space="preserve"> </w:t>
      </w:r>
      <w:r>
        <w:t>the</w:t>
      </w:r>
      <w:r>
        <w:rPr>
          <w:spacing w:val="-13"/>
        </w:rPr>
        <w:t xml:space="preserve"> </w:t>
      </w:r>
      <w:r>
        <w:t>completeness</w:t>
      </w:r>
      <w:r>
        <w:rPr>
          <w:spacing w:val="-12"/>
        </w:rPr>
        <w:t xml:space="preserve"> </w:t>
      </w:r>
      <w:r>
        <w:t>of</w:t>
      </w:r>
      <w:r>
        <w:rPr>
          <w:spacing w:val="-13"/>
        </w:rPr>
        <w:t xml:space="preserve"> </w:t>
      </w:r>
      <w:r>
        <w:t>the</w:t>
      </w:r>
      <w:r>
        <w:rPr>
          <w:spacing w:val="-12"/>
        </w:rPr>
        <w:t xml:space="preserve"> </w:t>
      </w:r>
      <w:r>
        <w:t>PPRG document using the four-step method.</w:t>
      </w:r>
    </w:p>
    <w:p w14:paraId="77B120CB" w14:textId="77777777" w:rsidR="00BC24A8" w:rsidRDefault="00BC24A8">
      <w:pPr>
        <w:pStyle w:val="BodyText"/>
        <w:spacing w:before="177"/>
      </w:pPr>
    </w:p>
    <w:p w14:paraId="6143FD69" w14:textId="77777777" w:rsidR="00BC24A8" w:rsidRDefault="00000000">
      <w:pPr>
        <w:pStyle w:val="Heading5"/>
        <w:ind w:left="142"/>
      </w:pPr>
      <w:r>
        <w:rPr>
          <w:color w:val="17365A"/>
        </w:rPr>
        <w:t>Lessons</w:t>
      </w:r>
      <w:r>
        <w:rPr>
          <w:color w:val="17365A"/>
          <w:spacing w:val="-3"/>
        </w:rPr>
        <w:t xml:space="preserve"> </w:t>
      </w:r>
      <w:r>
        <w:rPr>
          <w:color w:val="17365A"/>
          <w:spacing w:val="-2"/>
        </w:rPr>
        <w:t>Learned</w:t>
      </w:r>
    </w:p>
    <w:p w14:paraId="085D941E" w14:textId="77777777" w:rsidR="00BC24A8" w:rsidRDefault="00BC24A8">
      <w:pPr>
        <w:pStyle w:val="BodyText"/>
        <w:spacing w:before="11"/>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602"/>
        <w:gridCol w:w="7497"/>
      </w:tblGrid>
      <w:tr w:rsidR="00BC24A8" w14:paraId="5D6D9C7D" w14:textId="77777777">
        <w:trPr>
          <w:trHeight w:val="602"/>
        </w:trPr>
        <w:tc>
          <w:tcPr>
            <w:tcW w:w="1602" w:type="dxa"/>
            <w:shd w:val="clear" w:color="auto" w:fill="17365A"/>
          </w:tcPr>
          <w:p w14:paraId="0907F6C1" w14:textId="77777777" w:rsidR="00BC24A8" w:rsidRDefault="00000000">
            <w:pPr>
              <w:pStyle w:val="TableParagraph"/>
              <w:spacing w:before="56"/>
              <w:ind w:left="115"/>
              <w:rPr>
                <w:rFonts w:ascii="Calibri"/>
                <w:b/>
                <w:sz w:val="20"/>
              </w:rPr>
            </w:pPr>
            <w:r>
              <w:rPr>
                <w:rFonts w:ascii="Calibri"/>
                <w:b/>
                <w:color w:val="FFFFFF"/>
                <w:sz w:val="20"/>
              </w:rPr>
              <w:t>Lessons</w:t>
            </w:r>
            <w:r>
              <w:rPr>
                <w:rFonts w:ascii="Calibri"/>
                <w:b/>
                <w:color w:val="FFFFFF"/>
                <w:spacing w:val="-9"/>
                <w:sz w:val="20"/>
              </w:rPr>
              <w:t xml:space="preserve"> </w:t>
            </w:r>
            <w:r>
              <w:rPr>
                <w:rFonts w:ascii="Calibri"/>
                <w:b/>
                <w:color w:val="FFFFFF"/>
                <w:spacing w:val="-2"/>
                <w:sz w:val="20"/>
              </w:rPr>
              <w:t>learned</w:t>
            </w:r>
          </w:p>
          <w:p w14:paraId="1191F1E7" w14:textId="77777777" w:rsidR="00BC24A8" w:rsidRDefault="00000000">
            <w:pPr>
              <w:pStyle w:val="TableParagraph"/>
              <w:spacing w:before="1"/>
              <w:ind w:left="115"/>
              <w:rPr>
                <w:rFonts w:ascii="Calibri"/>
                <w:b/>
                <w:sz w:val="20"/>
              </w:rPr>
            </w:pPr>
            <w:r>
              <w:rPr>
                <w:rFonts w:ascii="Calibri"/>
                <w:b/>
                <w:color w:val="FFFFFF"/>
                <w:spacing w:val="-2"/>
                <w:sz w:val="20"/>
              </w:rPr>
              <w:t>theme</w:t>
            </w:r>
          </w:p>
        </w:tc>
        <w:tc>
          <w:tcPr>
            <w:tcW w:w="7497" w:type="dxa"/>
            <w:shd w:val="clear" w:color="auto" w:fill="17365A"/>
          </w:tcPr>
          <w:p w14:paraId="26F9EFB4" w14:textId="77777777" w:rsidR="00BC24A8" w:rsidRDefault="00000000">
            <w:pPr>
              <w:pStyle w:val="TableParagraph"/>
              <w:spacing w:before="179"/>
              <w:ind w:left="133"/>
              <w:rPr>
                <w:rFonts w:ascii="Calibri"/>
                <w:b/>
                <w:sz w:val="20"/>
              </w:rPr>
            </w:pPr>
            <w:r>
              <w:rPr>
                <w:rFonts w:ascii="Calibri"/>
                <w:b/>
                <w:color w:val="FFFFFF"/>
                <w:sz w:val="20"/>
              </w:rPr>
              <w:t>Lessons</w:t>
            </w:r>
            <w:r>
              <w:rPr>
                <w:rFonts w:ascii="Calibri"/>
                <w:b/>
                <w:color w:val="FFFFFF"/>
                <w:spacing w:val="-7"/>
                <w:sz w:val="20"/>
              </w:rPr>
              <w:t xml:space="preserve"> </w:t>
            </w:r>
            <w:r>
              <w:rPr>
                <w:rFonts w:ascii="Calibri"/>
                <w:b/>
                <w:color w:val="FFFFFF"/>
                <w:sz w:val="20"/>
              </w:rPr>
              <w:t>learned</w:t>
            </w:r>
            <w:r>
              <w:rPr>
                <w:rFonts w:ascii="Calibri"/>
                <w:b/>
                <w:color w:val="FFFFFF"/>
                <w:spacing w:val="-6"/>
                <w:sz w:val="20"/>
              </w:rPr>
              <w:t xml:space="preserve"> </w:t>
            </w:r>
            <w:r>
              <w:rPr>
                <w:rFonts w:ascii="Calibri"/>
                <w:b/>
                <w:color w:val="FFFFFF"/>
                <w:spacing w:val="-2"/>
                <w:sz w:val="20"/>
              </w:rPr>
              <w:t>description</w:t>
            </w:r>
          </w:p>
        </w:tc>
      </w:tr>
      <w:tr w:rsidR="00BC24A8" w14:paraId="13ED63E6" w14:textId="77777777">
        <w:trPr>
          <w:trHeight w:val="2416"/>
        </w:trPr>
        <w:tc>
          <w:tcPr>
            <w:tcW w:w="1602" w:type="dxa"/>
            <w:tcBorders>
              <w:bottom w:val="single" w:sz="4" w:space="0" w:color="BEBEBE"/>
            </w:tcBorders>
          </w:tcPr>
          <w:p w14:paraId="511947EB" w14:textId="77777777" w:rsidR="00BC24A8" w:rsidRDefault="00000000">
            <w:pPr>
              <w:pStyle w:val="TableParagraph"/>
              <w:spacing w:before="162"/>
              <w:ind w:left="115" w:right="126"/>
              <w:rPr>
                <w:sz w:val="18"/>
              </w:rPr>
            </w:pPr>
            <w:r>
              <w:rPr>
                <w:sz w:val="18"/>
              </w:rPr>
              <w:t>Preparation</w:t>
            </w:r>
            <w:r>
              <w:rPr>
                <w:spacing w:val="-11"/>
                <w:sz w:val="18"/>
              </w:rPr>
              <w:t xml:space="preserve"> </w:t>
            </w:r>
            <w:r>
              <w:rPr>
                <w:sz w:val="18"/>
              </w:rPr>
              <w:t>&amp;</w:t>
            </w:r>
            <w:r>
              <w:rPr>
                <w:spacing w:val="-10"/>
                <w:sz w:val="18"/>
              </w:rPr>
              <w:t xml:space="preserve"> </w:t>
            </w:r>
            <w:r>
              <w:rPr>
                <w:sz w:val="18"/>
              </w:rPr>
              <w:t>use of</w:t>
            </w:r>
            <w:r>
              <w:rPr>
                <w:spacing w:val="-2"/>
                <w:sz w:val="18"/>
              </w:rPr>
              <w:t xml:space="preserve"> </w:t>
            </w:r>
            <w:r>
              <w:rPr>
                <w:sz w:val="18"/>
              </w:rPr>
              <w:t>data</w:t>
            </w:r>
          </w:p>
        </w:tc>
        <w:tc>
          <w:tcPr>
            <w:tcW w:w="7497" w:type="dxa"/>
            <w:tcBorders>
              <w:bottom w:val="single" w:sz="4" w:space="0" w:color="BEBEBE"/>
            </w:tcBorders>
          </w:tcPr>
          <w:p w14:paraId="51E8DA69" w14:textId="77777777" w:rsidR="00BC24A8" w:rsidRDefault="00000000">
            <w:pPr>
              <w:pStyle w:val="TableParagraph"/>
              <w:spacing w:before="102"/>
              <w:ind w:left="133" w:right="128"/>
              <w:rPr>
                <w:sz w:val="18"/>
              </w:rPr>
            </w:pPr>
            <w:r>
              <w:rPr>
                <w:sz w:val="18"/>
              </w:rPr>
              <w:t xml:space="preserve">SKALA’s systematic approach to strengthening MSS data in NTB—ranging from data governance mapping, civil servants training, and e-SPM assistance to the integration of </w:t>
            </w:r>
            <w:r>
              <w:rPr>
                <w:i/>
                <w:sz w:val="18"/>
              </w:rPr>
              <w:t>REGSOSEK</w:t>
            </w:r>
            <w:r>
              <w:rPr>
                <w:sz w:val="18"/>
              </w:rPr>
              <w:t>— demonstrates</w:t>
            </w:r>
            <w:r>
              <w:rPr>
                <w:spacing w:val="-1"/>
                <w:sz w:val="18"/>
              </w:rPr>
              <w:t xml:space="preserve"> </w:t>
            </w:r>
            <w:r>
              <w:rPr>
                <w:sz w:val="18"/>
              </w:rPr>
              <w:t>that a</w:t>
            </w:r>
            <w:r>
              <w:rPr>
                <w:spacing w:val="-2"/>
                <w:sz w:val="18"/>
              </w:rPr>
              <w:t xml:space="preserve"> </w:t>
            </w:r>
            <w:r>
              <w:rPr>
                <w:sz w:val="18"/>
              </w:rPr>
              <w:t>combination</w:t>
            </w:r>
            <w:r>
              <w:rPr>
                <w:spacing w:val="-4"/>
                <w:sz w:val="18"/>
              </w:rPr>
              <w:t xml:space="preserve"> </w:t>
            </w:r>
            <w:r>
              <w:rPr>
                <w:sz w:val="18"/>
              </w:rPr>
              <w:t>of</w:t>
            </w:r>
            <w:r>
              <w:rPr>
                <w:spacing w:val="-2"/>
                <w:sz w:val="18"/>
              </w:rPr>
              <w:t xml:space="preserve"> </w:t>
            </w:r>
            <w:r>
              <w:rPr>
                <w:sz w:val="18"/>
              </w:rPr>
              <w:t>technical support and</w:t>
            </w:r>
            <w:r>
              <w:rPr>
                <w:spacing w:val="-1"/>
                <w:sz w:val="18"/>
              </w:rPr>
              <w:t xml:space="preserve"> </w:t>
            </w:r>
            <w:r>
              <w:rPr>
                <w:sz w:val="18"/>
              </w:rPr>
              <w:t>policy</w:t>
            </w:r>
            <w:r>
              <w:rPr>
                <w:spacing w:val="-1"/>
                <w:sz w:val="18"/>
              </w:rPr>
              <w:t xml:space="preserve"> </w:t>
            </w:r>
            <w:r>
              <w:rPr>
                <w:sz w:val="18"/>
              </w:rPr>
              <w:t>advocacy</w:t>
            </w:r>
            <w:r>
              <w:rPr>
                <w:spacing w:val="-1"/>
                <w:sz w:val="18"/>
              </w:rPr>
              <w:t xml:space="preserve"> </w:t>
            </w:r>
            <w:r>
              <w:rPr>
                <w:sz w:val="18"/>
              </w:rPr>
              <w:t>can</w:t>
            </w:r>
            <w:r>
              <w:rPr>
                <w:spacing w:val="-1"/>
                <w:sz w:val="18"/>
              </w:rPr>
              <w:t xml:space="preserve"> </w:t>
            </w:r>
            <w:r>
              <w:rPr>
                <w:sz w:val="18"/>
              </w:rPr>
              <w:t>significantly</w:t>
            </w:r>
            <w:r>
              <w:rPr>
                <w:spacing w:val="-1"/>
                <w:sz w:val="18"/>
              </w:rPr>
              <w:t xml:space="preserve"> </w:t>
            </w:r>
            <w:r>
              <w:rPr>
                <w:sz w:val="18"/>
              </w:rPr>
              <w:t>improve the</w:t>
            </w:r>
            <w:r>
              <w:rPr>
                <w:spacing w:val="-3"/>
                <w:sz w:val="18"/>
              </w:rPr>
              <w:t xml:space="preserve"> </w:t>
            </w:r>
            <w:r>
              <w:rPr>
                <w:sz w:val="18"/>
              </w:rPr>
              <w:t>quality</w:t>
            </w:r>
            <w:r>
              <w:rPr>
                <w:spacing w:val="-3"/>
                <w:sz w:val="18"/>
              </w:rPr>
              <w:t xml:space="preserve"> </w:t>
            </w:r>
            <w:r>
              <w:rPr>
                <w:sz w:val="18"/>
              </w:rPr>
              <w:t>and</w:t>
            </w:r>
            <w:r>
              <w:rPr>
                <w:spacing w:val="-3"/>
                <w:sz w:val="18"/>
              </w:rPr>
              <w:t xml:space="preserve"> </w:t>
            </w:r>
            <w:r>
              <w:rPr>
                <w:sz w:val="18"/>
              </w:rPr>
              <w:t>strategic</w:t>
            </w:r>
            <w:r>
              <w:rPr>
                <w:spacing w:val="-3"/>
                <w:sz w:val="18"/>
              </w:rPr>
              <w:t xml:space="preserve"> </w:t>
            </w:r>
            <w:r>
              <w:rPr>
                <w:sz w:val="18"/>
              </w:rPr>
              <w:t>positioning</w:t>
            </w:r>
            <w:r>
              <w:rPr>
                <w:spacing w:val="-4"/>
                <w:sz w:val="18"/>
              </w:rPr>
              <w:t xml:space="preserve"> </w:t>
            </w:r>
            <w:r>
              <w:rPr>
                <w:sz w:val="18"/>
              </w:rPr>
              <w:t>of</w:t>
            </w:r>
            <w:r>
              <w:rPr>
                <w:spacing w:val="-4"/>
                <w:sz w:val="18"/>
              </w:rPr>
              <w:t xml:space="preserve"> </w:t>
            </w:r>
            <w:r>
              <w:rPr>
                <w:sz w:val="18"/>
              </w:rPr>
              <w:t>MSS</w:t>
            </w:r>
            <w:r>
              <w:rPr>
                <w:spacing w:val="-3"/>
                <w:sz w:val="18"/>
              </w:rPr>
              <w:t xml:space="preserve"> </w:t>
            </w:r>
            <w:r>
              <w:rPr>
                <w:sz w:val="18"/>
              </w:rPr>
              <w:t>data</w:t>
            </w:r>
            <w:r>
              <w:rPr>
                <w:spacing w:val="-4"/>
                <w:sz w:val="18"/>
              </w:rPr>
              <w:t xml:space="preserve"> </w:t>
            </w:r>
            <w:r>
              <w:rPr>
                <w:sz w:val="18"/>
              </w:rPr>
              <w:t>within</w:t>
            </w:r>
            <w:r>
              <w:rPr>
                <w:spacing w:val="-3"/>
                <w:sz w:val="18"/>
              </w:rPr>
              <w:t xml:space="preserve"> </w:t>
            </w:r>
            <w:r>
              <w:rPr>
                <w:sz w:val="18"/>
              </w:rPr>
              <w:t>regional</w:t>
            </w:r>
            <w:r>
              <w:rPr>
                <w:spacing w:val="-2"/>
                <w:sz w:val="18"/>
              </w:rPr>
              <w:t xml:space="preserve"> </w:t>
            </w:r>
            <w:r>
              <w:rPr>
                <w:sz w:val="18"/>
              </w:rPr>
              <w:t>planning</w:t>
            </w:r>
            <w:r>
              <w:rPr>
                <w:spacing w:val="-4"/>
                <w:sz w:val="18"/>
              </w:rPr>
              <w:t xml:space="preserve"> </w:t>
            </w:r>
            <w:r>
              <w:rPr>
                <w:sz w:val="18"/>
              </w:rPr>
              <w:t>processes.</w:t>
            </w:r>
            <w:r>
              <w:rPr>
                <w:spacing w:val="-4"/>
                <w:sz w:val="18"/>
              </w:rPr>
              <w:t xml:space="preserve"> </w:t>
            </w:r>
            <w:r>
              <w:rPr>
                <w:sz w:val="18"/>
              </w:rPr>
              <w:t>This</w:t>
            </w:r>
            <w:r>
              <w:rPr>
                <w:spacing w:val="-3"/>
                <w:sz w:val="18"/>
              </w:rPr>
              <w:t xml:space="preserve"> </w:t>
            </w:r>
            <w:r>
              <w:rPr>
                <w:sz w:val="18"/>
              </w:rPr>
              <w:t>is</w:t>
            </w:r>
            <w:r>
              <w:rPr>
                <w:spacing w:val="-3"/>
                <w:sz w:val="18"/>
              </w:rPr>
              <w:t xml:space="preserve"> </w:t>
            </w:r>
            <w:r>
              <w:rPr>
                <w:sz w:val="18"/>
              </w:rPr>
              <w:t>reflected in the inclusion of MSS data as part of the priority datasets in the 2025 Regional Data List</w:t>
            </w:r>
            <w:r>
              <w:rPr>
                <w:spacing w:val="40"/>
                <w:sz w:val="18"/>
              </w:rPr>
              <w:t xml:space="preserve"> </w:t>
            </w:r>
            <w:r>
              <w:rPr>
                <w:sz w:val="18"/>
              </w:rPr>
              <w:t>Governor’s Regulation.</w:t>
            </w:r>
          </w:p>
          <w:p w14:paraId="6D0FD864" w14:textId="77777777" w:rsidR="00BC24A8" w:rsidRDefault="00000000">
            <w:pPr>
              <w:pStyle w:val="TableParagraph"/>
              <w:ind w:left="133" w:right="110"/>
              <w:rPr>
                <w:sz w:val="18"/>
              </w:rPr>
            </w:pPr>
            <w:r>
              <w:rPr>
                <w:sz w:val="18"/>
              </w:rPr>
              <w:t>This lesson learned is critical, as it highlights that the sustainability of basic service data</w:t>
            </w:r>
            <w:r>
              <w:rPr>
                <w:spacing w:val="40"/>
                <w:sz w:val="18"/>
              </w:rPr>
              <w:t xml:space="preserve"> </w:t>
            </w:r>
            <w:r>
              <w:rPr>
                <w:sz w:val="18"/>
              </w:rPr>
              <w:t>management</w:t>
            </w:r>
            <w:r>
              <w:rPr>
                <w:spacing w:val="-4"/>
                <w:sz w:val="18"/>
              </w:rPr>
              <w:t xml:space="preserve"> </w:t>
            </w:r>
            <w:r>
              <w:rPr>
                <w:sz w:val="18"/>
              </w:rPr>
              <w:t>requires</w:t>
            </w:r>
            <w:r>
              <w:rPr>
                <w:spacing w:val="-4"/>
                <w:sz w:val="18"/>
              </w:rPr>
              <w:t xml:space="preserve"> </w:t>
            </w:r>
            <w:r>
              <w:rPr>
                <w:sz w:val="18"/>
              </w:rPr>
              <w:t>a</w:t>
            </w:r>
            <w:r>
              <w:rPr>
                <w:spacing w:val="-5"/>
                <w:sz w:val="18"/>
              </w:rPr>
              <w:t xml:space="preserve"> </w:t>
            </w:r>
            <w:r>
              <w:rPr>
                <w:sz w:val="18"/>
              </w:rPr>
              <w:t>comprehensive</w:t>
            </w:r>
            <w:r>
              <w:rPr>
                <w:spacing w:val="-4"/>
                <w:sz w:val="18"/>
              </w:rPr>
              <w:t xml:space="preserve"> </w:t>
            </w:r>
            <w:r>
              <w:rPr>
                <w:sz w:val="18"/>
              </w:rPr>
              <w:t>intervention—encompassing</w:t>
            </w:r>
            <w:r>
              <w:rPr>
                <w:spacing w:val="-5"/>
                <w:sz w:val="18"/>
              </w:rPr>
              <w:t xml:space="preserve"> </w:t>
            </w:r>
            <w:r>
              <w:rPr>
                <w:sz w:val="18"/>
              </w:rPr>
              <w:t>not</w:t>
            </w:r>
            <w:r>
              <w:rPr>
                <w:spacing w:val="-4"/>
                <w:sz w:val="18"/>
              </w:rPr>
              <w:t xml:space="preserve"> </w:t>
            </w:r>
            <w:r>
              <w:rPr>
                <w:sz w:val="18"/>
              </w:rPr>
              <w:t>only</w:t>
            </w:r>
            <w:r>
              <w:rPr>
                <w:spacing w:val="-5"/>
                <w:sz w:val="18"/>
              </w:rPr>
              <w:t xml:space="preserve"> </w:t>
            </w:r>
            <w:r>
              <w:rPr>
                <w:sz w:val="18"/>
              </w:rPr>
              <w:t>technical</w:t>
            </w:r>
            <w:r>
              <w:rPr>
                <w:spacing w:val="-4"/>
                <w:sz w:val="18"/>
              </w:rPr>
              <w:t xml:space="preserve"> </w:t>
            </w:r>
            <w:r>
              <w:rPr>
                <w:sz w:val="18"/>
              </w:rPr>
              <w:t>capacity</w:t>
            </w:r>
            <w:r>
              <w:rPr>
                <w:spacing w:val="-4"/>
                <w:sz w:val="18"/>
              </w:rPr>
              <w:t xml:space="preserve"> </w:t>
            </w:r>
            <w:r>
              <w:rPr>
                <w:sz w:val="18"/>
              </w:rPr>
              <w:t>but also regulatory frameworks. The approach offers a replicable model for other districts and cities seeking to strengthen their MSS data systems in a continuous and integrated manner.</w:t>
            </w:r>
          </w:p>
        </w:tc>
      </w:tr>
      <w:tr w:rsidR="00BC24A8" w14:paraId="47E4B604" w14:textId="77777777">
        <w:trPr>
          <w:trHeight w:val="1710"/>
        </w:trPr>
        <w:tc>
          <w:tcPr>
            <w:tcW w:w="1602" w:type="dxa"/>
            <w:tcBorders>
              <w:top w:val="single" w:sz="4" w:space="0" w:color="BEBEBE"/>
              <w:bottom w:val="single" w:sz="4" w:space="0" w:color="BEBEBE"/>
            </w:tcBorders>
          </w:tcPr>
          <w:p w14:paraId="151E33DE" w14:textId="77777777" w:rsidR="00BC24A8" w:rsidRDefault="00000000">
            <w:pPr>
              <w:pStyle w:val="TableParagraph"/>
              <w:spacing w:before="116"/>
              <w:ind w:left="115" w:right="126"/>
              <w:rPr>
                <w:sz w:val="18"/>
              </w:rPr>
            </w:pPr>
            <w:r>
              <w:rPr>
                <w:sz w:val="18"/>
              </w:rPr>
              <w:t>Implementation</w:t>
            </w:r>
            <w:r>
              <w:rPr>
                <w:spacing w:val="-11"/>
                <w:sz w:val="18"/>
              </w:rPr>
              <w:t xml:space="preserve"> </w:t>
            </w:r>
            <w:r>
              <w:rPr>
                <w:sz w:val="18"/>
              </w:rPr>
              <w:t>of MSS (planning, achievement,</w:t>
            </w:r>
            <w:r>
              <w:rPr>
                <w:spacing w:val="-2"/>
                <w:sz w:val="18"/>
              </w:rPr>
              <w:t xml:space="preserve"> </w:t>
            </w:r>
            <w:r>
              <w:rPr>
                <w:sz w:val="18"/>
              </w:rPr>
              <w:t xml:space="preserve">and </w:t>
            </w:r>
            <w:r>
              <w:rPr>
                <w:spacing w:val="-2"/>
                <w:sz w:val="18"/>
              </w:rPr>
              <w:t>reporting)</w:t>
            </w:r>
          </w:p>
        </w:tc>
        <w:tc>
          <w:tcPr>
            <w:tcW w:w="7497" w:type="dxa"/>
            <w:tcBorders>
              <w:top w:val="single" w:sz="4" w:space="0" w:color="BEBEBE"/>
              <w:bottom w:val="single" w:sz="4" w:space="0" w:color="BEBEBE"/>
            </w:tcBorders>
          </w:tcPr>
          <w:p w14:paraId="42B87FCC" w14:textId="77777777" w:rsidR="00BC24A8" w:rsidRDefault="00000000">
            <w:pPr>
              <w:pStyle w:val="TableParagraph"/>
              <w:spacing w:before="56"/>
              <w:ind w:left="133" w:right="150"/>
              <w:rPr>
                <w:sz w:val="18"/>
              </w:rPr>
            </w:pPr>
            <w:r>
              <w:rPr>
                <w:sz w:val="18"/>
              </w:rPr>
              <w:t>NTB</w:t>
            </w:r>
            <w:r>
              <w:rPr>
                <w:spacing w:val="-2"/>
                <w:sz w:val="18"/>
              </w:rPr>
              <w:t xml:space="preserve"> </w:t>
            </w:r>
            <w:r>
              <w:rPr>
                <w:sz w:val="18"/>
              </w:rPr>
              <w:t>Province</w:t>
            </w:r>
            <w:r>
              <w:rPr>
                <w:spacing w:val="-1"/>
                <w:sz w:val="18"/>
              </w:rPr>
              <w:t xml:space="preserve"> </w:t>
            </w:r>
            <w:r>
              <w:rPr>
                <w:sz w:val="18"/>
              </w:rPr>
              <w:t>initially</w:t>
            </w:r>
            <w:r>
              <w:rPr>
                <w:spacing w:val="-1"/>
                <w:sz w:val="18"/>
              </w:rPr>
              <w:t xml:space="preserve"> </w:t>
            </w:r>
            <w:r>
              <w:rPr>
                <w:sz w:val="18"/>
              </w:rPr>
              <w:t>did</w:t>
            </w:r>
            <w:r>
              <w:rPr>
                <w:spacing w:val="-1"/>
                <w:sz w:val="18"/>
              </w:rPr>
              <w:t xml:space="preserve"> </w:t>
            </w:r>
            <w:r>
              <w:rPr>
                <w:sz w:val="18"/>
              </w:rPr>
              <w:t>not have</w:t>
            </w:r>
            <w:r>
              <w:rPr>
                <w:spacing w:val="-1"/>
                <w:sz w:val="18"/>
              </w:rPr>
              <w:t xml:space="preserve"> </w:t>
            </w:r>
            <w:r>
              <w:rPr>
                <w:sz w:val="18"/>
              </w:rPr>
              <w:t>an</w:t>
            </w:r>
            <w:r>
              <w:rPr>
                <w:spacing w:val="-1"/>
                <w:sz w:val="18"/>
              </w:rPr>
              <w:t xml:space="preserve"> </w:t>
            </w:r>
            <w:r>
              <w:rPr>
                <w:sz w:val="18"/>
              </w:rPr>
              <w:t>MSS</w:t>
            </w:r>
            <w:r>
              <w:rPr>
                <w:spacing w:val="-1"/>
                <w:sz w:val="18"/>
              </w:rPr>
              <w:t xml:space="preserve"> </w:t>
            </w:r>
            <w:r>
              <w:rPr>
                <w:sz w:val="18"/>
              </w:rPr>
              <w:t>Action</w:t>
            </w:r>
            <w:r>
              <w:rPr>
                <w:spacing w:val="-1"/>
                <w:sz w:val="18"/>
              </w:rPr>
              <w:t xml:space="preserve"> </w:t>
            </w:r>
            <w:r>
              <w:rPr>
                <w:sz w:val="18"/>
              </w:rPr>
              <w:t>Plan</w:t>
            </w:r>
            <w:r>
              <w:rPr>
                <w:spacing w:val="-1"/>
                <w:sz w:val="18"/>
              </w:rPr>
              <w:t xml:space="preserve"> </w:t>
            </w:r>
            <w:r>
              <w:rPr>
                <w:sz w:val="18"/>
              </w:rPr>
              <w:t>document,</w:t>
            </w:r>
            <w:r>
              <w:rPr>
                <w:spacing w:val="-2"/>
                <w:sz w:val="18"/>
              </w:rPr>
              <w:t xml:space="preserve"> </w:t>
            </w:r>
            <w:r>
              <w:rPr>
                <w:sz w:val="18"/>
              </w:rPr>
              <w:t>and</w:t>
            </w:r>
            <w:r>
              <w:rPr>
                <w:spacing w:val="-1"/>
                <w:sz w:val="18"/>
              </w:rPr>
              <w:t xml:space="preserve"> </w:t>
            </w:r>
            <w:r>
              <w:rPr>
                <w:sz w:val="18"/>
              </w:rPr>
              <w:t>no</w:t>
            </w:r>
            <w:r>
              <w:rPr>
                <w:spacing w:val="-2"/>
                <w:sz w:val="18"/>
              </w:rPr>
              <w:t xml:space="preserve"> </w:t>
            </w:r>
            <w:r>
              <w:rPr>
                <w:sz w:val="18"/>
              </w:rPr>
              <w:t>expert team</w:t>
            </w:r>
            <w:r>
              <w:rPr>
                <w:spacing w:val="-2"/>
                <w:sz w:val="18"/>
              </w:rPr>
              <w:t xml:space="preserve"> </w:t>
            </w:r>
            <w:r>
              <w:rPr>
                <w:sz w:val="18"/>
              </w:rPr>
              <w:t>was</w:t>
            </w:r>
            <w:r>
              <w:rPr>
                <w:spacing w:val="-1"/>
                <w:sz w:val="18"/>
              </w:rPr>
              <w:t xml:space="preserve"> </w:t>
            </w:r>
            <w:r>
              <w:rPr>
                <w:sz w:val="18"/>
              </w:rPr>
              <w:t>available to</w:t>
            </w:r>
            <w:r>
              <w:rPr>
                <w:spacing w:val="-4"/>
                <w:sz w:val="18"/>
              </w:rPr>
              <w:t xml:space="preserve"> </w:t>
            </w:r>
            <w:r>
              <w:rPr>
                <w:sz w:val="18"/>
              </w:rPr>
              <w:t>compile</w:t>
            </w:r>
            <w:r>
              <w:rPr>
                <w:spacing w:val="-3"/>
                <w:sz w:val="18"/>
              </w:rPr>
              <w:t xml:space="preserve"> </w:t>
            </w:r>
            <w:r>
              <w:rPr>
                <w:sz w:val="18"/>
              </w:rPr>
              <w:t>one.</w:t>
            </w:r>
            <w:r>
              <w:rPr>
                <w:spacing w:val="-4"/>
                <w:sz w:val="18"/>
              </w:rPr>
              <w:t xml:space="preserve"> </w:t>
            </w:r>
            <w:r>
              <w:rPr>
                <w:sz w:val="18"/>
              </w:rPr>
              <w:t>With</w:t>
            </w:r>
            <w:r>
              <w:rPr>
                <w:spacing w:val="-3"/>
                <w:sz w:val="18"/>
              </w:rPr>
              <w:t xml:space="preserve"> </w:t>
            </w:r>
            <w:r>
              <w:rPr>
                <w:sz w:val="18"/>
              </w:rPr>
              <w:t>assistance</w:t>
            </w:r>
            <w:r>
              <w:rPr>
                <w:spacing w:val="-3"/>
                <w:sz w:val="18"/>
              </w:rPr>
              <w:t xml:space="preserve"> </w:t>
            </w:r>
            <w:r>
              <w:rPr>
                <w:sz w:val="18"/>
              </w:rPr>
              <w:t>from</w:t>
            </w:r>
            <w:r>
              <w:rPr>
                <w:spacing w:val="-4"/>
                <w:sz w:val="18"/>
              </w:rPr>
              <w:t xml:space="preserve"> </w:t>
            </w:r>
            <w:r>
              <w:rPr>
                <w:sz w:val="18"/>
              </w:rPr>
              <w:t>the</w:t>
            </w:r>
            <w:r>
              <w:rPr>
                <w:spacing w:val="-3"/>
                <w:sz w:val="18"/>
              </w:rPr>
              <w:t xml:space="preserve"> </w:t>
            </w:r>
            <w:r>
              <w:rPr>
                <w:sz w:val="18"/>
              </w:rPr>
              <w:t>MoHA,</w:t>
            </w:r>
            <w:r>
              <w:rPr>
                <w:spacing w:val="-4"/>
                <w:sz w:val="18"/>
              </w:rPr>
              <w:t xml:space="preserve"> </w:t>
            </w:r>
            <w:r>
              <w:rPr>
                <w:sz w:val="18"/>
              </w:rPr>
              <w:t>the</w:t>
            </w:r>
            <w:r>
              <w:rPr>
                <w:spacing w:val="-3"/>
                <w:sz w:val="18"/>
              </w:rPr>
              <w:t xml:space="preserve"> </w:t>
            </w:r>
            <w:r>
              <w:rPr>
                <w:sz w:val="18"/>
              </w:rPr>
              <w:t>provincial</w:t>
            </w:r>
            <w:r>
              <w:rPr>
                <w:spacing w:val="-2"/>
                <w:sz w:val="18"/>
              </w:rPr>
              <w:t xml:space="preserve"> </w:t>
            </w:r>
            <w:r>
              <w:rPr>
                <w:sz w:val="18"/>
              </w:rPr>
              <w:t>MSS</w:t>
            </w:r>
            <w:r>
              <w:rPr>
                <w:spacing w:val="-5"/>
                <w:sz w:val="18"/>
              </w:rPr>
              <w:t xml:space="preserve"> </w:t>
            </w:r>
            <w:r>
              <w:rPr>
                <w:sz w:val="18"/>
              </w:rPr>
              <w:t>Plan</w:t>
            </w:r>
            <w:r>
              <w:rPr>
                <w:spacing w:val="-3"/>
                <w:sz w:val="18"/>
              </w:rPr>
              <w:t xml:space="preserve"> </w:t>
            </w:r>
            <w:r>
              <w:rPr>
                <w:sz w:val="18"/>
              </w:rPr>
              <w:t>was</w:t>
            </w:r>
            <w:r>
              <w:rPr>
                <w:spacing w:val="-3"/>
                <w:sz w:val="18"/>
              </w:rPr>
              <w:t xml:space="preserve"> </w:t>
            </w:r>
            <w:r>
              <w:rPr>
                <w:sz w:val="18"/>
              </w:rPr>
              <w:t>successfully</w:t>
            </w:r>
            <w:r>
              <w:rPr>
                <w:spacing w:val="-3"/>
                <w:sz w:val="18"/>
              </w:rPr>
              <w:t xml:space="preserve"> </w:t>
            </w:r>
            <w:r>
              <w:rPr>
                <w:sz w:val="18"/>
              </w:rPr>
              <w:t>prepared. This experience became the basis for the provincial team to develop a review instrument, which</w:t>
            </w:r>
            <w:r>
              <w:rPr>
                <w:spacing w:val="40"/>
                <w:sz w:val="18"/>
              </w:rPr>
              <w:t xml:space="preserve"> </w:t>
            </w:r>
            <w:r>
              <w:rPr>
                <w:sz w:val="18"/>
              </w:rPr>
              <w:t>was then used to assist in the preparation of MSS Action Plans in 10 districts/cities.</w:t>
            </w:r>
          </w:p>
          <w:p w14:paraId="3B0B9F22" w14:textId="77777777" w:rsidR="00BC24A8" w:rsidRDefault="00000000">
            <w:pPr>
              <w:pStyle w:val="TableParagraph"/>
              <w:ind w:left="133"/>
              <w:rPr>
                <w:sz w:val="18"/>
              </w:rPr>
            </w:pPr>
            <w:r>
              <w:rPr>
                <w:sz w:val="18"/>
              </w:rPr>
              <w:t>This</w:t>
            </w:r>
            <w:r>
              <w:rPr>
                <w:spacing w:val="-3"/>
                <w:sz w:val="18"/>
              </w:rPr>
              <w:t xml:space="preserve"> </w:t>
            </w:r>
            <w:r>
              <w:rPr>
                <w:sz w:val="18"/>
              </w:rPr>
              <w:t>initiative</w:t>
            </w:r>
            <w:r>
              <w:rPr>
                <w:spacing w:val="-3"/>
                <w:sz w:val="18"/>
              </w:rPr>
              <w:t xml:space="preserve"> </w:t>
            </w:r>
            <w:r>
              <w:rPr>
                <w:sz w:val="18"/>
              </w:rPr>
              <w:t>demonstrates</w:t>
            </w:r>
            <w:r>
              <w:rPr>
                <w:spacing w:val="-3"/>
                <w:sz w:val="18"/>
              </w:rPr>
              <w:t xml:space="preserve"> </w:t>
            </w:r>
            <w:r>
              <w:rPr>
                <w:sz w:val="18"/>
              </w:rPr>
              <w:t>the</w:t>
            </w:r>
            <w:r>
              <w:rPr>
                <w:spacing w:val="-3"/>
                <w:sz w:val="18"/>
              </w:rPr>
              <w:t xml:space="preserve"> </w:t>
            </w:r>
            <w:r>
              <w:rPr>
                <w:sz w:val="18"/>
              </w:rPr>
              <w:t>transformation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province’s</w:t>
            </w:r>
            <w:r>
              <w:rPr>
                <w:spacing w:val="-3"/>
                <w:sz w:val="18"/>
              </w:rPr>
              <w:t xml:space="preserve"> </w:t>
            </w:r>
            <w:r>
              <w:rPr>
                <w:sz w:val="18"/>
              </w:rPr>
              <w:t>role</w:t>
            </w:r>
            <w:r>
              <w:rPr>
                <w:spacing w:val="-3"/>
                <w:sz w:val="18"/>
              </w:rPr>
              <w:t xml:space="preserve"> </w:t>
            </w:r>
            <w:r>
              <w:rPr>
                <w:sz w:val="18"/>
              </w:rPr>
              <w:t>into</w:t>
            </w:r>
            <w:r>
              <w:rPr>
                <w:spacing w:val="-4"/>
                <w:sz w:val="18"/>
              </w:rPr>
              <w:t xml:space="preserve"> </w:t>
            </w:r>
            <w:r>
              <w:rPr>
                <w:sz w:val="18"/>
              </w:rPr>
              <w:t>an</w:t>
            </w:r>
            <w:r>
              <w:rPr>
                <w:spacing w:val="-3"/>
                <w:sz w:val="18"/>
              </w:rPr>
              <w:t xml:space="preserve"> </w:t>
            </w:r>
            <w:r>
              <w:rPr>
                <w:sz w:val="18"/>
              </w:rPr>
              <w:t>active</w:t>
            </w:r>
            <w:r>
              <w:rPr>
                <w:spacing w:val="-3"/>
                <w:sz w:val="18"/>
              </w:rPr>
              <w:t xml:space="preserve"> </w:t>
            </w:r>
            <w:r>
              <w:rPr>
                <w:sz w:val="18"/>
              </w:rPr>
              <w:t>facilitator.</w:t>
            </w:r>
            <w:r>
              <w:rPr>
                <w:spacing w:val="-4"/>
                <w:sz w:val="18"/>
              </w:rPr>
              <w:t xml:space="preserve"> </w:t>
            </w:r>
            <w:r>
              <w:rPr>
                <w:sz w:val="18"/>
              </w:rPr>
              <w:t>It</w:t>
            </w:r>
            <w:r>
              <w:rPr>
                <w:spacing w:val="-2"/>
                <w:sz w:val="18"/>
              </w:rPr>
              <w:t xml:space="preserve"> </w:t>
            </w:r>
            <w:r>
              <w:rPr>
                <w:sz w:val="18"/>
              </w:rPr>
              <w:t>is</w:t>
            </w:r>
            <w:r>
              <w:rPr>
                <w:spacing w:val="-3"/>
                <w:sz w:val="18"/>
              </w:rPr>
              <w:t xml:space="preserve"> </w:t>
            </w:r>
            <w:r>
              <w:rPr>
                <w:sz w:val="18"/>
              </w:rPr>
              <w:t xml:space="preserve">a valuable example that can be replicated by other provinces, with adjustments based on regional </w:t>
            </w:r>
            <w:r>
              <w:rPr>
                <w:spacing w:val="-2"/>
                <w:sz w:val="18"/>
              </w:rPr>
              <w:t>context.</w:t>
            </w:r>
          </w:p>
        </w:tc>
      </w:tr>
      <w:tr w:rsidR="00BC24A8" w14:paraId="32DD7FCA" w14:textId="77777777">
        <w:trPr>
          <w:trHeight w:val="993"/>
        </w:trPr>
        <w:tc>
          <w:tcPr>
            <w:tcW w:w="1602" w:type="dxa"/>
            <w:tcBorders>
              <w:top w:val="single" w:sz="4" w:space="0" w:color="BEBEBE"/>
              <w:bottom w:val="single" w:sz="4" w:space="0" w:color="BEBEBE"/>
            </w:tcBorders>
          </w:tcPr>
          <w:p w14:paraId="2C27890D" w14:textId="77777777" w:rsidR="00BC24A8" w:rsidRDefault="00000000">
            <w:pPr>
              <w:pStyle w:val="TableParagraph"/>
              <w:spacing w:before="119"/>
              <w:ind w:left="115" w:right="176"/>
              <w:rPr>
                <w:sz w:val="18"/>
              </w:rPr>
            </w:pPr>
            <w:r>
              <w:rPr>
                <w:sz w:val="18"/>
              </w:rPr>
              <w:t>Participation of vulnerable</w:t>
            </w:r>
            <w:r>
              <w:rPr>
                <w:spacing w:val="-11"/>
                <w:sz w:val="18"/>
              </w:rPr>
              <w:t xml:space="preserve"> </w:t>
            </w:r>
            <w:r>
              <w:rPr>
                <w:sz w:val="18"/>
              </w:rPr>
              <w:t>groups</w:t>
            </w:r>
          </w:p>
        </w:tc>
        <w:tc>
          <w:tcPr>
            <w:tcW w:w="7497" w:type="dxa"/>
            <w:tcBorders>
              <w:top w:val="single" w:sz="4" w:space="0" w:color="BEBEBE"/>
              <w:bottom w:val="single" w:sz="4" w:space="0" w:color="BEBEBE"/>
            </w:tcBorders>
          </w:tcPr>
          <w:p w14:paraId="03C18A26" w14:textId="77777777" w:rsidR="00BC24A8" w:rsidRDefault="00000000">
            <w:pPr>
              <w:pStyle w:val="TableParagraph"/>
              <w:spacing w:before="59"/>
              <w:ind w:left="133" w:right="150"/>
              <w:rPr>
                <w:sz w:val="18"/>
              </w:rPr>
            </w:pPr>
            <w:r>
              <w:rPr>
                <w:sz w:val="18"/>
              </w:rPr>
              <w:t xml:space="preserve">The Thematic </w:t>
            </w:r>
            <w:r>
              <w:rPr>
                <w:i/>
                <w:sz w:val="18"/>
              </w:rPr>
              <w:t xml:space="preserve">Musrenbang </w:t>
            </w:r>
            <w:r>
              <w:rPr>
                <w:sz w:val="18"/>
              </w:rPr>
              <w:t>NTB highlights the need for support spaces—such as pre-Thematic Development Planning Forum sessions or short trainings—to enable vulnerable groups to convey their aspirations in a more targeted manner. At present, the aspirations that emerge tend to be personal</w:t>
            </w:r>
            <w:r>
              <w:rPr>
                <w:spacing w:val="-2"/>
                <w:sz w:val="18"/>
              </w:rPr>
              <w:t xml:space="preserve"> </w:t>
            </w:r>
            <w:r>
              <w:rPr>
                <w:sz w:val="18"/>
              </w:rPr>
              <w:t>and</w:t>
            </w:r>
            <w:r>
              <w:rPr>
                <w:spacing w:val="-3"/>
                <w:sz w:val="18"/>
              </w:rPr>
              <w:t xml:space="preserve"> </w:t>
            </w:r>
            <w:r>
              <w:rPr>
                <w:sz w:val="18"/>
              </w:rPr>
              <w:t>are</w:t>
            </w:r>
            <w:r>
              <w:rPr>
                <w:spacing w:val="-3"/>
                <w:sz w:val="18"/>
              </w:rPr>
              <w:t xml:space="preserve"> </w:t>
            </w:r>
            <w:r>
              <w:rPr>
                <w:sz w:val="18"/>
              </w:rPr>
              <w:t>not</w:t>
            </w:r>
            <w:r>
              <w:rPr>
                <w:spacing w:val="-2"/>
                <w:sz w:val="18"/>
              </w:rPr>
              <w:t xml:space="preserve"> </w:t>
            </w:r>
            <w:r>
              <w:rPr>
                <w:sz w:val="18"/>
              </w:rPr>
              <w:t>yet</w:t>
            </w:r>
            <w:r>
              <w:rPr>
                <w:spacing w:val="-2"/>
                <w:sz w:val="18"/>
              </w:rPr>
              <w:t xml:space="preserve"> </w:t>
            </w:r>
            <w:r>
              <w:rPr>
                <w:sz w:val="18"/>
              </w:rPr>
              <w:t>strong</w:t>
            </w:r>
            <w:r>
              <w:rPr>
                <w:spacing w:val="-4"/>
                <w:sz w:val="18"/>
              </w:rPr>
              <w:t xml:space="preserve"> </w:t>
            </w:r>
            <w:r>
              <w:rPr>
                <w:sz w:val="18"/>
              </w:rPr>
              <w:t>enough</w:t>
            </w:r>
            <w:r>
              <w:rPr>
                <w:spacing w:val="-3"/>
                <w:sz w:val="18"/>
              </w:rPr>
              <w:t xml:space="preserve"> </w:t>
            </w:r>
            <w:r>
              <w:rPr>
                <w:sz w:val="18"/>
              </w:rPr>
              <w:t>to</w:t>
            </w:r>
            <w:r>
              <w:rPr>
                <w:spacing w:val="-4"/>
                <w:sz w:val="18"/>
              </w:rPr>
              <w:t xml:space="preserve"> </w:t>
            </w:r>
            <w:r>
              <w:rPr>
                <w:sz w:val="18"/>
              </w:rPr>
              <w:t>serve</w:t>
            </w:r>
            <w:r>
              <w:rPr>
                <w:spacing w:val="-3"/>
                <w:sz w:val="18"/>
              </w:rPr>
              <w:t xml:space="preserve"> </w:t>
            </w:r>
            <w:r>
              <w:rPr>
                <w:sz w:val="18"/>
              </w:rPr>
              <w:t>as</w:t>
            </w:r>
            <w:r>
              <w:rPr>
                <w:spacing w:val="-3"/>
                <w:sz w:val="18"/>
              </w:rPr>
              <w:t xml:space="preserve"> </w:t>
            </w:r>
            <w:r>
              <w:rPr>
                <w:sz w:val="18"/>
              </w:rPr>
              <w:t>policy</w:t>
            </w:r>
            <w:r>
              <w:rPr>
                <w:spacing w:val="-3"/>
                <w:sz w:val="18"/>
              </w:rPr>
              <w:t xml:space="preserve"> </w:t>
            </w:r>
            <w:r>
              <w:rPr>
                <w:sz w:val="18"/>
              </w:rPr>
              <w:t>input.</w:t>
            </w:r>
            <w:r>
              <w:rPr>
                <w:spacing w:val="-4"/>
                <w:sz w:val="18"/>
              </w:rPr>
              <w:t xml:space="preserve"> </w:t>
            </w:r>
            <w:r>
              <w:rPr>
                <w:sz w:val="18"/>
              </w:rPr>
              <w:t>This</w:t>
            </w:r>
            <w:r>
              <w:rPr>
                <w:spacing w:val="-3"/>
                <w:sz w:val="18"/>
              </w:rPr>
              <w:t xml:space="preserve"> </w:t>
            </w:r>
            <w:r>
              <w:rPr>
                <w:sz w:val="18"/>
              </w:rPr>
              <w:t>underscores</w:t>
            </w:r>
            <w:r>
              <w:rPr>
                <w:spacing w:val="-3"/>
                <w:sz w:val="18"/>
              </w:rPr>
              <w:t xml:space="preserve"> </w:t>
            </w:r>
            <w:r>
              <w:rPr>
                <w:sz w:val="18"/>
              </w:rPr>
              <w:t>the</w:t>
            </w:r>
            <w:r>
              <w:rPr>
                <w:spacing w:val="-5"/>
                <w:sz w:val="18"/>
              </w:rPr>
              <w:t xml:space="preserve"> </w:t>
            </w:r>
            <w:r>
              <w:rPr>
                <w:sz w:val="18"/>
              </w:rPr>
              <w:t>importance</w:t>
            </w:r>
            <w:r>
              <w:rPr>
                <w:spacing w:val="-3"/>
                <w:sz w:val="18"/>
              </w:rPr>
              <w:t xml:space="preserve"> </w:t>
            </w:r>
            <w:r>
              <w:rPr>
                <w:sz w:val="18"/>
              </w:rPr>
              <w:t>of</w:t>
            </w:r>
          </w:p>
        </w:tc>
      </w:tr>
    </w:tbl>
    <w:p w14:paraId="767C33C2" w14:textId="77777777" w:rsidR="00BC24A8" w:rsidRDefault="00BC24A8">
      <w:pPr>
        <w:pStyle w:val="TableParagraph"/>
        <w:rPr>
          <w:sz w:val="18"/>
        </w:rPr>
        <w:sectPr w:rsidR="00BC24A8">
          <w:pgSz w:w="11910" w:h="16840"/>
          <w:pgMar w:top="1360" w:right="850" w:bottom="1100" w:left="1275" w:header="0" w:footer="907" w:gutter="0"/>
          <w:cols w:space="720"/>
        </w:sectPr>
      </w:pPr>
    </w:p>
    <w:p w14:paraId="15DA8F57" w14:textId="77777777" w:rsidR="00BC24A8" w:rsidRDefault="00000000">
      <w:pPr>
        <w:pStyle w:val="BodyText"/>
        <w:spacing w:line="20" w:lineRule="exact"/>
        <w:ind w:left="143"/>
        <w:rPr>
          <w:rFonts w:ascii="Calibri"/>
          <w:sz w:val="2"/>
        </w:rPr>
      </w:pPr>
      <w:r>
        <w:rPr>
          <w:rFonts w:ascii="Calibri"/>
          <w:noProof/>
          <w:sz w:val="2"/>
        </w:rPr>
        <w:lastRenderedPageBreak/>
        <mc:AlternateContent>
          <mc:Choice Requires="wpg">
            <w:drawing>
              <wp:inline distT="0" distB="0" distL="0" distR="0" wp14:anchorId="2F39B72B" wp14:editId="176E225E">
                <wp:extent cx="5773420" cy="6350"/>
                <wp:effectExtent l="0" t="0" r="0" b="0"/>
                <wp:docPr id="22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6350"/>
                          <a:chOff x="0" y="0"/>
                          <a:chExt cx="5773420" cy="6350"/>
                        </a:xfrm>
                      </wpg:grpSpPr>
                      <wps:wsp>
                        <wps:cNvPr id="222" name="Graphic 222"/>
                        <wps:cNvSpPr/>
                        <wps:spPr>
                          <a:xfrm>
                            <a:off x="0" y="0"/>
                            <a:ext cx="5773420" cy="6350"/>
                          </a:xfrm>
                          <a:custGeom>
                            <a:avLst/>
                            <a:gdLst/>
                            <a:ahLst/>
                            <a:cxnLst/>
                            <a:rect l="l" t="t" r="r" b="b"/>
                            <a:pathLst>
                              <a:path w="5773420" h="6350">
                                <a:moveTo>
                                  <a:pt x="1034783" y="0"/>
                                </a:moveTo>
                                <a:lnTo>
                                  <a:pt x="1028700" y="0"/>
                                </a:lnTo>
                                <a:lnTo>
                                  <a:pt x="0" y="0"/>
                                </a:lnTo>
                                <a:lnTo>
                                  <a:pt x="0" y="6108"/>
                                </a:lnTo>
                                <a:lnTo>
                                  <a:pt x="1028700" y="6108"/>
                                </a:lnTo>
                                <a:lnTo>
                                  <a:pt x="1034783" y="6108"/>
                                </a:lnTo>
                                <a:lnTo>
                                  <a:pt x="1034783" y="0"/>
                                </a:lnTo>
                                <a:close/>
                              </a:path>
                              <a:path w="5773420" h="6350">
                                <a:moveTo>
                                  <a:pt x="5772924" y="0"/>
                                </a:moveTo>
                                <a:lnTo>
                                  <a:pt x="1034796" y="0"/>
                                </a:lnTo>
                                <a:lnTo>
                                  <a:pt x="1034796" y="6108"/>
                                </a:lnTo>
                                <a:lnTo>
                                  <a:pt x="5772924" y="6108"/>
                                </a:lnTo>
                                <a:lnTo>
                                  <a:pt x="5772924" y="0"/>
                                </a:lnTo>
                                <a:close/>
                              </a:path>
                            </a:pathLst>
                          </a:custGeom>
                          <a:solidFill>
                            <a:srgbClr val="BEBEBE"/>
                          </a:solidFill>
                        </wps:spPr>
                        <wps:bodyPr wrap="square" lIns="0" tIns="0" rIns="0" bIns="0" rtlCol="0">
                          <a:prstTxWarp prst="textNoShape">
                            <a:avLst/>
                          </a:prstTxWarp>
                          <a:noAutofit/>
                        </wps:bodyPr>
                      </wps:wsp>
                    </wpg:wgp>
                  </a:graphicData>
                </a:graphic>
              </wp:inline>
            </w:drawing>
          </mc:Choice>
          <mc:Fallback>
            <w:pict>
              <v:group w14:anchorId="2D655C9B" id="Group 221" o:spid="_x0000_s1026" alt="&quot;&quot;" style="width:454.6pt;height:.5pt;mso-position-horizontal-relative:char;mso-position-vertical-relative:line" coordsize="577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">
                <v:shape id="Graphic 222" o:spid="_x0000_s1027" style="position:absolute;width:57734;height:63;visibility:visible;mso-wrap-style:square;v-text-anchor:top" coordsize="57734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" path="m1034783,r-6083,l,,,6108r1028700,l1034783,6108r,-6108xem5772924,l1034796,r,6108l5772924,6108r,-6108xe" fillcolor="#bebebe" stroked="f">
                  <v:path arrowok="t"/>
                </v:shape>
                <w10:anchorlock/>
              </v:group>
            </w:pict>
          </mc:Fallback>
        </mc:AlternateContent>
      </w:r>
    </w:p>
    <w:p w14:paraId="7CB9CBCD" w14:textId="77777777" w:rsidR="00BC24A8" w:rsidRDefault="00000000">
      <w:pPr>
        <w:spacing w:before="46"/>
        <w:ind w:left="1871" w:right="713"/>
        <w:rPr>
          <w:sz w:val="18"/>
        </w:rPr>
      </w:pPr>
      <w:r>
        <w:rPr>
          <w:sz w:val="18"/>
        </w:rPr>
        <w:t>early facilitation to build the capacity of vulnerable groups to understand the advocacy process, connect</w:t>
      </w:r>
      <w:r>
        <w:rPr>
          <w:spacing w:val="-1"/>
          <w:sz w:val="18"/>
        </w:rPr>
        <w:t xml:space="preserve"> </w:t>
      </w:r>
      <w:r>
        <w:rPr>
          <w:sz w:val="18"/>
        </w:rPr>
        <w:t>personal</w:t>
      </w:r>
      <w:r>
        <w:rPr>
          <w:spacing w:val="-1"/>
          <w:sz w:val="18"/>
        </w:rPr>
        <w:t xml:space="preserve"> </w:t>
      </w:r>
      <w:r>
        <w:rPr>
          <w:sz w:val="18"/>
        </w:rPr>
        <w:t>experiences</w:t>
      </w:r>
      <w:r>
        <w:rPr>
          <w:spacing w:val="-2"/>
          <w:sz w:val="18"/>
        </w:rPr>
        <w:t xml:space="preserve"> </w:t>
      </w:r>
      <w:r>
        <w:rPr>
          <w:sz w:val="18"/>
        </w:rPr>
        <w:t>to</w:t>
      </w:r>
      <w:r>
        <w:rPr>
          <w:spacing w:val="-5"/>
          <w:sz w:val="18"/>
        </w:rPr>
        <w:t xml:space="preserve"> </w:t>
      </w:r>
      <w:r>
        <w:rPr>
          <w:sz w:val="18"/>
        </w:rPr>
        <w:t>public</w:t>
      </w:r>
      <w:r>
        <w:rPr>
          <w:spacing w:val="-2"/>
          <w:sz w:val="18"/>
        </w:rPr>
        <w:t xml:space="preserve"> </w:t>
      </w:r>
      <w:r>
        <w:rPr>
          <w:sz w:val="18"/>
        </w:rPr>
        <w:t>service</w:t>
      </w:r>
      <w:r>
        <w:rPr>
          <w:spacing w:val="-2"/>
          <w:sz w:val="18"/>
        </w:rPr>
        <w:t xml:space="preserve"> </w:t>
      </w:r>
      <w:r>
        <w:rPr>
          <w:sz w:val="18"/>
        </w:rPr>
        <w:t>issues,</w:t>
      </w:r>
      <w:r>
        <w:rPr>
          <w:spacing w:val="-3"/>
          <w:sz w:val="18"/>
        </w:rPr>
        <w:t xml:space="preserve"> </w:t>
      </w:r>
      <w:r>
        <w:rPr>
          <w:sz w:val="18"/>
        </w:rPr>
        <w:t>and</w:t>
      </w:r>
      <w:r>
        <w:rPr>
          <w:spacing w:val="-2"/>
          <w:sz w:val="18"/>
        </w:rPr>
        <w:t xml:space="preserve"> </w:t>
      </w:r>
      <w:r>
        <w:rPr>
          <w:sz w:val="18"/>
        </w:rPr>
        <w:t>express</w:t>
      </w:r>
      <w:r>
        <w:rPr>
          <w:spacing w:val="-2"/>
          <w:sz w:val="18"/>
        </w:rPr>
        <w:t xml:space="preserve"> </w:t>
      </w:r>
      <w:r>
        <w:rPr>
          <w:sz w:val="18"/>
        </w:rPr>
        <w:t>their</w:t>
      </w:r>
      <w:r>
        <w:rPr>
          <w:spacing w:val="-2"/>
          <w:sz w:val="18"/>
        </w:rPr>
        <w:t xml:space="preserve"> </w:t>
      </w:r>
      <w:r>
        <w:rPr>
          <w:sz w:val="18"/>
        </w:rPr>
        <w:t>views</w:t>
      </w:r>
      <w:r>
        <w:rPr>
          <w:spacing w:val="-2"/>
          <w:sz w:val="18"/>
        </w:rPr>
        <w:t xml:space="preserve"> </w:t>
      </w:r>
      <w:r>
        <w:rPr>
          <w:sz w:val="18"/>
        </w:rPr>
        <w:t>in</w:t>
      </w:r>
      <w:r>
        <w:rPr>
          <w:spacing w:val="-2"/>
          <w:sz w:val="18"/>
        </w:rPr>
        <w:t xml:space="preserve"> </w:t>
      </w:r>
      <w:r>
        <w:rPr>
          <w:sz w:val="18"/>
        </w:rPr>
        <w:t>a</w:t>
      </w:r>
      <w:r>
        <w:rPr>
          <w:spacing w:val="-3"/>
          <w:sz w:val="18"/>
        </w:rPr>
        <w:t xml:space="preserve"> </w:t>
      </w:r>
      <w:r>
        <w:rPr>
          <w:sz w:val="18"/>
        </w:rPr>
        <w:t>structured</w:t>
      </w:r>
      <w:r>
        <w:rPr>
          <w:spacing w:val="-2"/>
          <w:sz w:val="18"/>
        </w:rPr>
        <w:t xml:space="preserve"> </w:t>
      </w:r>
      <w:r>
        <w:rPr>
          <w:sz w:val="18"/>
        </w:rPr>
        <w:t>way. Capacity building for vulnerable groups was provided last semester, but it was limited to certain segments. Learning from this, capacity building is needed for a more diverse range of vulnerable groups who are the intended participants in the Thematic Development Planning Forum. In this way, the forum becomes not merely a space for attendance, but an effective platform for voicing the needs of vulnerable groups.</w:t>
      </w:r>
    </w:p>
    <w:p w14:paraId="7ECC7772" w14:textId="77777777" w:rsidR="00BC24A8" w:rsidRDefault="00000000">
      <w:pPr>
        <w:pStyle w:val="BodyText"/>
        <w:spacing w:before="9"/>
        <w:rPr>
          <w:sz w:val="7"/>
        </w:rPr>
      </w:pPr>
      <w:r>
        <w:rPr>
          <w:noProof/>
          <w:sz w:val="7"/>
        </w:rPr>
        <mc:AlternateContent>
          <mc:Choice Requires="wps">
            <w:drawing>
              <wp:anchor distT="0" distB="0" distL="0" distR="0" simplePos="0" relativeHeight="487623680" behindDoc="1" locked="0" layoutInCell="1" allowOverlap="1" wp14:anchorId="0732D41B" wp14:editId="772923FF">
                <wp:simplePos x="0" y="0"/>
                <wp:positionH relativeFrom="page">
                  <wp:posOffset>891540</wp:posOffset>
                </wp:positionH>
                <wp:positionV relativeFrom="paragraph">
                  <wp:posOffset>75637</wp:posOffset>
                </wp:positionV>
                <wp:extent cx="5782310" cy="6350"/>
                <wp:effectExtent l="0" t="0" r="0" b="0"/>
                <wp:wrapTopAndBottom/>
                <wp:docPr id="223" name="Graphic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6350"/>
                        </a:xfrm>
                        <a:custGeom>
                          <a:avLst/>
                          <a:gdLst/>
                          <a:ahLst/>
                          <a:cxnLst/>
                          <a:rect l="l" t="t" r="r" b="b"/>
                          <a:pathLst>
                            <a:path w="5782310" h="6350">
                              <a:moveTo>
                                <a:pt x="5782068" y="0"/>
                              </a:moveTo>
                              <a:lnTo>
                                <a:pt x="5782068" y="0"/>
                              </a:lnTo>
                              <a:lnTo>
                                <a:pt x="0" y="0"/>
                              </a:lnTo>
                              <a:lnTo>
                                <a:pt x="0" y="6096"/>
                              </a:lnTo>
                              <a:lnTo>
                                <a:pt x="5782068" y="6096"/>
                              </a:lnTo>
                              <a:lnTo>
                                <a:pt x="5782068"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2BBE05C" id="Graphic 223" o:spid="_x0000_s1026" alt="&quot;&quot;" style="position:absolute;margin-left:70.2pt;margin-top:5.95pt;width:455.3pt;height:.5pt;z-index:-15692800;visibility:visible;mso-wrap-style:square;mso-wrap-distance-left:0;mso-wrap-distance-top:0;mso-wrap-distance-right:0;mso-wrap-distance-bottom:0;mso-position-horizontal:absolute;mso-position-horizontal-relative:page;mso-position-vertical:absolute;mso-position-vertical-relative:text;v-text-anchor:top" coordsize="57823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" path="m5782068,r,l,,,6096r5782068,l5782068,xe" fillcolor="#bebebe" stroked="f">
                <v:path arrowok="t"/>
                <w10:wrap type="topAndBottom" anchorx="page"/>
              </v:shape>
            </w:pict>
          </mc:Fallback>
        </mc:AlternateContent>
      </w:r>
    </w:p>
    <w:p w14:paraId="050F59E9" w14:textId="77777777" w:rsidR="00BC24A8" w:rsidRDefault="00BC24A8">
      <w:pPr>
        <w:pStyle w:val="BodyText"/>
        <w:spacing w:before="201"/>
      </w:pPr>
    </w:p>
    <w:p w14:paraId="38F8FF1C" w14:textId="77777777" w:rsidR="00BC24A8" w:rsidRDefault="00000000">
      <w:pPr>
        <w:ind w:left="143"/>
        <w:rPr>
          <w:i/>
        </w:rPr>
      </w:pPr>
      <w:r>
        <w:rPr>
          <w:i/>
          <w:color w:val="1F3762"/>
        </w:rPr>
        <w:t>FY</w:t>
      </w:r>
      <w:r>
        <w:rPr>
          <w:i/>
          <w:color w:val="1F3762"/>
          <w:spacing w:val="-6"/>
        </w:rPr>
        <w:t xml:space="preserve"> </w:t>
      </w:r>
      <w:r>
        <w:rPr>
          <w:i/>
          <w:color w:val="1F3762"/>
        </w:rPr>
        <w:t>2025/2026</w:t>
      </w:r>
      <w:r>
        <w:rPr>
          <w:i/>
          <w:color w:val="1F3762"/>
          <w:spacing w:val="-5"/>
        </w:rPr>
        <w:t xml:space="preserve"> </w:t>
      </w:r>
      <w:r>
        <w:rPr>
          <w:i/>
          <w:color w:val="1F3762"/>
        </w:rPr>
        <w:t>SKALA</w:t>
      </w:r>
      <w:r>
        <w:rPr>
          <w:i/>
          <w:color w:val="1F3762"/>
          <w:spacing w:val="-8"/>
        </w:rPr>
        <w:t xml:space="preserve"> </w:t>
      </w:r>
      <w:r>
        <w:rPr>
          <w:i/>
          <w:color w:val="1F3762"/>
        </w:rPr>
        <w:t>Program</w:t>
      </w:r>
      <w:r>
        <w:rPr>
          <w:i/>
          <w:color w:val="1F3762"/>
          <w:spacing w:val="-5"/>
        </w:rPr>
        <w:t xml:space="preserve"> </w:t>
      </w:r>
      <w:r>
        <w:rPr>
          <w:i/>
          <w:color w:val="1F3762"/>
          <w:spacing w:val="-2"/>
        </w:rPr>
        <w:t>Summary</w:t>
      </w:r>
    </w:p>
    <w:p w14:paraId="435FA93E" w14:textId="77777777" w:rsidR="00BC24A8" w:rsidRDefault="00000000">
      <w:pPr>
        <w:pStyle w:val="ListParagraph"/>
        <w:numPr>
          <w:ilvl w:val="1"/>
          <w:numId w:val="61"/>
        </w:numPr>
        <w:tabs>
          <w:tab w:val="left" w:pos="683"/>
        </w:tabs>
        <w:spacing w:before="161"/>
        <w:ind w:hanging="631"/>
        <w:rPr>
          <w:rFonts w:ascii="Calibri"/>
          <w:b/>
        </w:rPr>
      </w:pPr>
      <w:r w:rsidRPr="00795364">
        <w:rPr>
          <w:rFonts w:ascii="Calibri"/>
          <w:b/>
          <w:color w:val="008279"/>
        </w:rPr>
        <w:t>Summary</w:t>
      </w:r>
      <w:r w:rsidRPr="00795364">
        <w:rPr>
          <w:rFonts w:ascii="Calibri"/>
          <w:b/>
          <w:color w:val="008279"/>
          <w:spacing w:val="-5"/>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intended</w:t>
      </w:r>
      <w:r w:rsidRPr="00795364">
        <w:rPr>
          <w:rFonts w:ascii="Calibri"/>
          <w:b/>
          <w:color w:val="008279"/>
          <w:spacing w:val="-6"/>
        </w:rPr>
        <w:t xml:space="preserve"> </w:t>
      </w:r>
      <w:r w:rsidRPr="00795364">
        <w:rPr>
          <w:rFonts w:ascii="Calibri"/>
          <w:b/>
          <w:color w:val="008279"/>
          <w:spacing w:val="-2"/>
        </w:rPr>
        <w:t>results</w:t>
      </w:r>
    </w:p>
    <w:p w14:paraId="47EC81B8" w14:textId="77777777" w:rsidR="00BC24A8" w:rsidRDefault="00BC24A8">
      <w:pPr>
        <w:pStyle w:val="BodyText"/>
        <w:spacing w:before="4"/>
        <w:rPr>
          <w:rFonts w:ascii="Calibri"/>
          <w:b/>
          <w:sz w:val="19"/>
        </w:rPr>
      </w:pPr>
    </w:p>
    <w:tbl>
      <w:tblPr>
        <w:tblW w:w="0" w:type="auto"/>
        <w:tblInd w:w="52" w:type="dxa"/>
        <w:tblLayout w:type="fixed"/>
        <w:tblCellMar>
          <w:left w:w="0" w:type="dxa"/>
          <w:right w:w="0" w:type="dxa"/>
        </w:tblCellMar>
        <w:tblLook w:val="01E0" w:firstRow="1" w:lastRow="1" w:firstColumn="1" w:lastColumn="1" w:noHBand="0" w:noVBand="0"/>
      </w:tblPr>
      <w:tblGrid>
        <w:gridCol w:w="2236"/>
        <w:gridCol w:w="6863"/>
      </w:tblGrid>
      <w:tr w:rsidR="00BC24A8" w14:paraId="4C5B9DBC" w14:textId="77777777">
        <w:trPr>
          <w:trHeight w:val="379"/>
        </w:trPr>
        <w:tc>
          <w:tcPr>
            <w:tcW w:w="2236" w:type="dxa"/>
            <w:shd w:val="clear" w:color="auto" w:fill="17365A"/>
          </w:tcPr>
          <w:p w14:paraId="573953A6" w14:textId="77777777" w:rsidR="00BC24A8" w:rsidRDefault="00000000">
            <w:pPr>
              <w:pStyle w:val="TableParagraph"/>
              <w:spacing w:before="59"/>
              <w:ind w:left="115"/>
              <w:rPr>
                <w:rFonts w:ascii="Calibri"/>
                <w:b/>
                <w:sz w:val="20"/>
              </w:rPr>
            </w:pPr>
            <w:r>
              <w:rPr>
                <w:rFonts w:ascii="Calibri"/>
                <w:b/>
                <w:color w:val="FFFFFF"/>
                <w:spacing w:val="-2"/>
                <w:sz w:val="20"/>
              </w:rPr>
              <w:t>Narrative</w:t>
            </w:r>
          </w:p>
        </w:tc>
        <w:tc>
          <w:tcPr>
            <w:tcW w:w="6863" w:type="dxa"/>
            <w:shd w:val="clear" w:color="auto" w:fill="17365A"/>
          </w:tcPr>
          <w:p w14:paraId="4D4ADF0C" w14:textId="77777777" w:rsidR="00BC24A8" w:rsidRDefault="00000000">
            <w:pPr>
              <w:pStyle w:val="TableParagraph"/>
              <w:spacing w:before="59"/>
              <w:ind w:left="130"/>
              <w:rPr>
                <w:rFonts w:ascii="Calibri"/>
                <w:b/>
                <w:sz w:val="20"/>
              </w:rPr>
            </w:pPr>
            <w:r>
              <w:rPr>
                <w:rFonts w:ascii="Calibri"/>
                <w:b/>
                <w:color w:val="FFFFFF"/>
                <w:sz w:val="20"/>
              </w:rPr>
              <w:t>A</w:t>
            </w:r>
            <w:r>
              <w:rPr>
                <w:rFonts w:ascii="Calibri"/>
                <w:b/>
                <w:color w:val="FFFFFF"/>
                <w:spacing w:val="-5"/>
                <w:sz w:val="20"/>
              </w:rPr>
              <w:t xml:space="preserve"> </w:t>
            </w:r>
            <w:r>
              <w:rPr>
                <w:rFonts w:ascii="Calibri"/>
                <w:b/>
                <w:color w:val="FFFFFF"/>
                <w:sz w:val="20"/>
              </w:rPr>
              <w:t>summary</w:t>
            </w:r>
            <w:r>
              <w:rPr>
                <w:rFonts w:ascii="Calibri"/>
                <w:b/>
                <w:color w:val="FFFFFF"/>
                <w:spacing w:val="-5"/>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the</w:t>
            </w:r>
            <w:r>
              <w:rPr>
                <w:rFonts w:ascii="Calibri"/>
                <w:b/>
                <w:color w:val="FFFFFF"/>
                <w:spacing w:val="-4"/>
                <w:sz w:val="20"/>
              </w:rPr>
              <w:t xml:space="preserve"> </w:t>
            </w:r>
            <w:r>
              <w:rPr>
                <w:rFonts w:ascii="Calibri"/>
                <w:b/>
                <w:color w:val="FFFFFF"/>
                <w:sz w:val="20"/>
              </w:rPr>
              <w:t>key</w:t>
            </w:r>
            <w:r>
              <w:rPr>
                <w:rFonts w:ascii="Calibri"/>
                <w:b/>
                <w:color w:val="FFFFFF"/>
                <w:spacing w:val="-5"/>
                <w:sz w:val="20"/>
              </w:rPr>
              <w:t xml:space="preserve"> </w:t>
            </w:r>
            <w:r>
              <w:rPr>
                <w:rFonts w:ascii="Calibri"/>
                <w:b/>
                <w:color w:val="FFFFFF"/>
                <w:sz w:val="20"/>
              </w:rPr>
              <w:t>outputs</w:t>
            </w:r>
            <w:r>
              <w:rPr>
                <w:rFonts w:ascii="Calibri"/>
                <w:b/>
                <w:color w:val="FFFFFF"/>
                <w:spacing w:val="-4"/>
                <w:sz w:val="20"/>
              </w:rPr>
              <w:t xml:space="preserve"> </w:t>
            </w:r>
            <w:r>
              <w:rPr>
                <w:rFonts w:ascii="Calibri"/>
                <w:b/>
                <w:color w:val="FFFFFF"/>
                <w:sz w:val="20"/>
              </w:rPr>
              <w:t>to</w:t>
            </w:r>
            <w:r>
              <w:rPr>
                <w:rFonts w:ascii="Calibri"/>
                <w:b/>
                <w:color w:val="FFFFFF"/>
                <w:spacing w:val="-3"/>
                <w:sz w:val="20"/>
              </w:rPr>
              <w:t xml:space="preserve"> </w:t>
            </w:r>
            <w:r>
              <w:rPr>
                <w:rFonts w:ascii="Calibri"/>
                <w:b/>
                <w:color w:val="FFFFFF"/>
                <w:sz w:val="20"/>
              </w:rPr>
              <w:t>be</w:t>
            </w:r>
            <w:r>
              <w:rPr>
                <w:rFonts w:ascii="Calibri"/>
                <w:b/>
                <w:color w:val="FFFFFF"/>
                <w:spacing w:val="-4"/>
                <w:sz w:val="20"/>
              </w:rPr>
              <w:t xml:space="preserve"> </w:t>
            </w:r>
            <w:r>
              <w:rPr>
                <w:rFonts w:ascii="Calibri"/>
                <w:b/>
                <w:color w:val="FFFFFF"/>
                <w:sz w:val="20"/>
              </w:rPr>
              <w:t>completed</w:t>
            </w:r>
            <w:r>
              <w:rPr>
                <w:rFonts w:ascii="Calibri"/>
                <w:b/>
                <w:color w:val="FFFFFF"/>
                <w:spacing w:val="-3"/>
                <w:sz w:val="20"/>
              </w:rPr>
              <w:t xml:space="preserve"> </w:t>
            </w:r>
            <w:r>
              <w:rPr>
                <w:rFonts w:ascii="Calibri"/>
                <w:b/>
                <w:color w:val="FFFFFF"/>
                <w:sz w:val="20"/>
              </w:rPr>
              <w:t>to</w:t>
            </w:r>
            <w:r>
              <w:rPr>
                <w:rFonts w:ascii="Calibri"/>
                <w:b/>
                <w:color w:val="FFFFFF"/>
                <w:spacing w:val="-3"/>
                <w:sz w:val="20"/>
              </w:rPr>
              <w:t xml:space="preserve"> </w:t>
            </w:r>
            <w:r>
              <w:rPr>
                <w:rFonts w:ascii="Calibri"/>
                <w:b/>
                <w:color w:val="FFFFFF"/>
                <w:sz w:val="20"/>
              </w:rPr>
              <w:t>achieve</w:t>
            </w:r>
            <w:r>
              <w:rPr>
                <w:rFonts w:ascii="Calibri"/>
                <w:b/>
                <w:color w:val="FFFFFF"/>
                <w:spacing w:val="-4"/>
                <w:sz w:val="20"/>
              </w:rPr>
              <w:t xml:space="preserve"> </w:t>
            </w:r>
            <w:r>
              <w:rPr>
                <w:rFonts w:ascii="Calibri"/>
                <w:b/>
                <w:color w:val="FFFFFF"/>
                <w:sz w:val="20"/>
              </w:rPr>
              <w:t>the</w:t>
            </w:r>
            <w:r>
              <w:rPr>
                <w:rFonts w:ascii="Calibri"/>
                <w:b/>
                <w:color w:val="FFFFFF"/>
                <w:spacing w:val="-4"/>
                <w:sz w:val="20"/>
              </w:rPr>
              <w:t xml:space="preserve"> </w:t>
            </w:r>
            <w:r>
              <w:rPr>
                <w:rFonts w:ascii="Calibri"/>
                <w:b/>
                <w:color w:val="FFFFFF"/>
                <w:spacing w:val="-2"/>
                <w:sz w:val="20"/>
              </w:rPr>
              <w:t>narrative</w:t>
            </w:r>
          </w:p>
        </w:tc>
      </w:tr>
      <w:tr w:rsidR="00BC24A8" w14:paraId="16582699" w14:textId="77777777">
        <w:trPr>
          <w:trHeight w:val="2193"/>
        </w:trPr>
        <w:tc>
          <w:tcPr>
            <w:tcW w:w="2236" w:type="dxa"/>
            <w:tcBorders>
              <w:bottom w:val="single" w:sz="4" w:space="0" w:color="BEBEBE"/>
            </w:tcBorders>
          </w:tcPr>
          <w:p w14:paraId="71BF0EFC" w14:textId="77777777" w:rsidR="00BC24A8" w:rsidRDefault="00000000">
            <w:pPr>
              <w:pStyle w:val="TableParagraph"/>
              <w:spacing w:before="162"/>
              <w:ind w:left="115" w:right="97"/>
              <w:rPr>
                <w:sz w:val="18"/>
              </w:rPr>
            </w:pPr>
            <w:r>
              <w:rPr>
                <w:sz w:val="18"/>
              </w:rPr>
              <w:t>Generate the development and institutionalisation of consultation</w:t>
            </w:r>
            <w:r>
              <w:rPr>
                <w:spacing w:val="-11"/>
                <w:sz w:val="18"/>
              </w:rPr>
              <w:t xml:space="preserve"> </w:t>
            </w:r>
            <w:r>
              <w:rPr>
                <w:sz w:val="18"/>
              </w:rPr>
              <w:t>spaces</w:t>
            </w:r>
            <w:r>
              <w:rPr>
                <w:spacing w:val="-10"/>
                <w:sz w:val="18"/>
              </w:rPr>
              <w:t xml:space="preserve"> </w:t>
            </w:r>
            <w:r>
              <w:rPr>
                <w:sz w:val="18"/>
              </w:rPr>
              <w:t>and</w:t>
            </w:r>
            <w:r>
              <w:rPr>
                <w:spacing w:val="-10"/>
                <w:sz w:val="18"/>
              </w:rPr>
              <w:t xml:space="preserve"> </w:t>
            </w:r>
            <w:r>
              <w:rPr>
                <w:sz w:val="18"/>
              </w:rPr>
              <w:t>the involvement of vulnerable communities to encourage increasingly</w:t>
            </w:r>
            <w:r>
              <w:rPr>
                <w:spacing w:val="-6"/>
                <w:sz w:val="18"/>
              </w:rPr>
              <w:t xml:space="preserve"> </w:t>
            </w:r>
            <w:r>
              <w:rPr>
                <w:sz w:val="18"/>
              </w:rPr>
              <w:t xml:space="preserve">inclusive </w:t>
            </w:r>
            <w:r>
              <w:rPr>
                <w:spacing w:val="-2"/>
                <w:sz w:val="18"/>
              </w:rPr>
              <w:t>planning</w:t>
            </w:r>
          </w:p>
        </w:tc>
        <w:tc>
          <w:tcPr>
            <w:tcW w:w="6863" w:type="dxa"/>
            <w:tcBorders>
              <w:bottom w:val="single" w:sz="4" w:space="0" w:color="BEBEBE"/>
            </w:tcBorders>
          </w:tcPr>
          <w:p w14:paraId="49AEC3A5" w14:textId="77777777" w:rsidR="00BC24A8" w:rsidRDefault="00000000">
            <w:pPr>
              <w:pStyle w:val="TableParagraph"/>
              <w:numPr>
                <w:ilvl w:val="0"/>
                <w:numId w:val="60"/>
              </w:numPr>
              <w:tabs>
                <w:tab w:val="left" w:pos="461"/>
              </w:tabs>
              <w:spacing w:before="162"/>
              <w:ind w:right="665"/>
              <w:rPr>
                <w:sz w:val="18"/>
              </w:rPr>
            </w:pPr>
            <w:r>
              <w:rPr>
                <w:sz w:val="18"/>
              </w:rPr>
              <w:t>Preparation</w:t>
            </w:r>
            <w:r>
              <w:rPr>
                <w:spacing w:val="-4"/>
                <w:sz w:val="18"/>
              </w:rPr>
              <w:t xml:space="preserve"> </w:t>
            </w:r>
            <w:r>
              <w:rPr>
                <w:sz w:val="18"/>
              </w:rPr>
              <w:t>of</w:t>
            </w:r>
            <w:r>
              <w:rPr>
                <w:spacing w:val="-5"/>
                <w:sz w:val="18"/>
              </w:rPr>
              <w:t xml:space="preserve"> </w:t>
            </w:r>
            <w:r>
              <w:rPr>
                <w:sz w:val="18"/>
              </w:rPr>
              <w:t>regulations</w:t>
            </w:r>
            <w:r>
              <w:rPr>
                <w:spacing w:val="-4"/>
                <w:sz w:val="18"/>
              </w:rPr>
              <w:t xml:space="preserve"> </w:t>
            </w:r>
            <w:r>
              <w:rPr>
                <w:sz w:val="18"/>
              </w:rPr>
              <w:t>and</w:t>
            </w:r>
            <w:r>
              <w:rPr>
                <w:spacing w:val="-4"/>
                <w:sz w:val="18"/>
              </w:rPr>
              <w:t xml:space="preserve"> </w:t>
            </w:r>
            <w:r>
              <w:rPr>
                <w:sz w:val="18"/>
              </w:rPr>
              <w:t>technical</w:t>
            </w:r>
            <w:r>
              <w:rPr>
                <w:spacing w:val="-3"/>
                <w:sz w:val="18"/>
              </w:rPr>
              <w:t xml:space="preserve"> </w:t>
            </w:r>
            <w:r>
              <w:rPr>
                <w:sz w:val="18"/>
              </w:rPr>
              <w:t>guidelines</w:t>
            </w:r>
            <w:r>
              <w:rPr>
                <w:spacing w:val="-4"/>
                <w:sz w:val="18"/>
              </w:rPr>
              <w:t xml:space="preserve"> </w:t>
            </w:r>
            <w:r>
              <w:rPr>
                <w:sz w:val="18"/>
              </w:rPr>
              <w:t>to</w:t>
            </w:r>
            <w:r>
              <w:rPr>
                <w:spacing w:val="-5"/>
                <w:sz w:val="18"/>
              </w:rPr>
              <w:t xml:space="preserve"> </w:t>
            </w:r>
            <w:r>
              <w:rPr>
                <w:sz w:val="18"/>
              </w:rPr>
              <w:t>ensure</w:t>
            </w:r>
            <w:r>
              <w:rPr>
                <w:spacing w:val="-7"/>
                <w:sz w:val="18"/>
              </w:rPr>
              <w:t xml:space="preserve"> </w:t>
            </w:r>
            <w:r>
              <w:rPr>
                <w:sz w:val="18"/>
              </w:rPr>
              <w:t>that</w:t>
            </w:r>
            <w:r>
              <w:rPr>
                <w:spacing w:val="-3"/>
                <w:sz w:val="18"/>
              </w:rPr>
              <w:t xml:space="preserve"> </w:t>
            </w:r>
            <w:r>
              <w:rPr>
                <w:sz w:val="18"/>
              </w:rPr>
              <w:t>the</w:t>
            </w:r>
            <w:r>
              <w:rPr>
                <w:spacing w:val="-4"/>
                <w:sz w:val="18"/>
              </w:rPr>
              <w:t xml:space="preserve"> </w:t>
            </w:r>
            <w:r>
              <w:rPr>
                <w:sz w:val="18"/>
              </w:rPr>
              <w:t xml:space="preserve">Thematic </w:t>
            </w:r>
            <w:r>
              <w:rPr>
                <w:i/>
                <w:sz w:val="18"/>
              </w:rPr>
              <w:t xml:space="preserve">Musrenbang </w:t>
            </w:r>
            <w:r>
              <w:rPr>
                <w:sz w:val="18"/>
              </w:rPr>
              <w:t>is an official and sustainable forum between the government and organisations of vulnerable groups.</w:t>
            </w:r>
          </w:p>
          <w:p w14:paraId="50947293" w14:textId="77777777" w:rsidR="00BC24A8" w:rsidRDefault="00000000">
            <w:pPr>
              <w:pStyle w:val="TableParagraph"/>
              <w:numPr>
                <w:ilvl w:val="0"/>
                <w:numId w:val="60"/>
              </w:numPr>
              <w:tabs>
                <w:tab w:val="left" w:pos="462"/>
              </w:tabs>
              <w:ind w:left="462" w:right="830"/>
              <w:rPr>
                <w:sz w:val="18"/>
              </w:rPr>
            </w:pPr>
            <w:r>
              <w:rPr>
                <w:sz w:val="18"/>
              </w:rPr>
              <w:t>Strengthening</w:t>
            </w:r>
            <w:r>
              <w:rPr>
                <w:spacing w:val="-4"/>
                <w:sz w:val="18"/>
              </w:rPr>
              <w:t xml:space="preserve"> </w:t>
            </w:r>
            <w:r>
              <w:rPr>
                <w:sz w:val="18"/>
              </w:rPr>
              <w:t>the</w:t>
            </w:r>
            <w:r>
              <w:rPr>
                <w:spacing w:val="-6"/>
                <w:sz w:val="18"/>
              </w:rPr>
              <w:t xml:space="preserve"> </w:t>
            </w:r>
            <w:r>
              <w:rPr>
                <w:sz w:val="18"/>
              </w:rPr>
              <w:t>capacity</w:t>
            </w:r>
            <w:r>
              <w:rPr>
                <w:spacing w:val="-3"/>
                <w:sz w:val="18"/>
              </w:rPr>
              <w:t xml:space="preserve"> </w:t>
            </w:r>
            <w:r>
              <w:rPr>
                <w:sz w:val="18"/>
              </w:rPr>
              <w:t>of</w:t>
            </w:r>
            <w:r>
              <w:rPr>
                <w:spacing w:val="-4"/>
                <w:sz w:val="18"/>
              </w:rPr>
              <w:t xml:space="preserve"> </w:t>
            </w:r>
            <w:r>
              <w:rPr>
                <w:sz w:val="18"/>
              </w:rPr>
              <w:t>JMS</w:t>
            </w:r>
            <w:r>
              <w:rPr>
                <w:spacing w:val="-3"/>
                <w:sz w:val="18"/>
              </w:rPr>
              <w:t xml:space="preserve"> </w:t>
            </w:r>
            <w:r>
              <w:rPr>
                <w:sz w:val="18"/>
              </w:rPr>
              <w:t>in</w:t>
            </w:r>
            <w:r>
              <w:rPr>
                <w:spacing w:val="-3"/>
                <w:sz w:val="18"/>
              </w:rPr>
              <w:t xml:space="preserve"> </w:t>
            </w:r>
            <w:r>
              <w:rPr>
                <w:sz w:val="18"/>
              </w:rPr>
              <w:t>using</w:t>
            </w:r>
            <w:r>
              <w:rPr>
                <w:spacing w:val="-4"/>
                <w:sz w:val="18"/>
              </w:rPr>
              <w:t xml:space="preserve"> </w:t>
            </w:r>
            <w:r>
              <w:rPr>
                <w:sz w:val="18"/>
              </w:rPr>
              <w:t>data</w:t>
            </w:r>
            <w:r>
              <w:rPr>
                <w:spacing w:val="-4"/>
                <w:sz w:val="18"/>
              </w:rPr>
              <w:t xml:space="preserve"> </w:t>
            </w:r>
            <w:r>
              <w:rPr>
                <w:sz w:val="18"/>
              </w:rPr>
              <w:t>and</w:t>
            </w:r>
            <w:r>
              <w:rPr>
                <w:spacing w:val="-3"/>
                <w:sz w:val="18"/>
              </w:rPr>
              <w:t xml:space="preserve"> </w:t>
            </w:r>
            <w:r>
              <w:rPr>
                <w:sz w:val="18"/>
              </w:rPr>
              <w:t>literature</w:t>
            </w:r>
            <w:r>
              <w:rPr>
                <w:spacing w:val="-3"/>
                <w:sz w:val="18"/>
              </w:rPr>
              <w:t xml:space="preserve"> </w:t>
            </w:r>
            <w:r>
              <w:rPr>
                <w:sz w:val="18"/>
              </w:rPr>
              <w:t>to</w:t>
            </w:r>
            <w:r>
              <w:rPr>
                <w:spacing w:val="-6"/>
                <w:sz w:val="18"/>
              </w:rPr>
              <w:t xml:space="preserve"> </w:t>
            </w:r>
            <w:r>
              <w:rPr>
                <w:sz w:val="18"/>
              </w:rPr>
              <w:t>increase</w:t>
            </w:r>
            <w:r>
              <w:rPr>
                <w:spacing w:val="-3"/>
                <w:sz w:val="18"/>
              </w:rPr>
              <w:t xml:space="preserve"> </w:t>
            </w:r>
            <w:r>
              <w:rPr>
                <w:sz w:val="18"/>
              </w:rPr>
              <w:t>the credibility of its advocacy.</w:t>
            </w:r>
          </w:p>
          <w:p w14:paraId="69FC3EE0" w14:textId="77777777" w:rsidR="00BC24A8" w:rsidRDefault="00000000">
            <w:pPr>
              <w:pStyle w:val="TableParagraph"/>
              <w:numPr>
                <w:ilvl w:val="0"/>
                <w:numId w:val="60"/>
              </w:numPr>
              <w:tabs>
                <w:tab w:val="left" w:pos="462"/>
              </w:tabs>
              <w:ind w:left="462" w:right="515"/>
              <w:rPr>
                <w:sz w:val="18"/>
              </w:rPr>
            </w:pPr>
            <w:r>
              <w:rPr>
                <w:sz w:val="18"/>
              </w:rPr>
              <w:t>The</w:t>
            </w:r>
            <w:r>
              <w:rPr>
                <w:spacing w:val="-3"/>
                <w:sz w:val="18"/>
              </w:rPr>
              <w:t xml:space="preserve"> </w:t>
            </w:r>
            <w:r>
              <w:rPr>
                <w:sz w:val="18"/>
              </w:rPr>
              <w:t>preparation</w:t>
            </w:r>
            <w:r>
              <w:rPr>
                <w:spacing w:val="-3"/>
                <w:sz w:val="18"/>
              </w:rPr>
              <w:t xml:space="preserve"> </w:t>
            </w:r>
            <w:r>
              <w:rPr>
                <w:sz w:val="18"/>
              </w:rPr>
              <w:t>of</w:t>
            </w:r>
            <w:r>
              <w:rPr>
                <w:spacing w:val="-4"/>
                <w:sz w:val="18"/>
              </w:rPr>
              <w:t xml:space="preserve"> </w:t>
            </w:r>
            <w:r>
              <w:rPr>
                <w:sz w:val="18"/>
              </w:rPr>
              <w:t>RAD</w:t>
            </w:r>
            <w:r>
              <w:rPr>
                <w:spacing w:val="-2"/>
                <w:sz w:val="18"/>
              </w:rPr>
              <w:t xml:space="preserve"> </w:t>
            </w:r>
            <w:r>
              <w:rPr>
                <w:sz w:val="18"/>
              </w:rPr>
              <w:t>PUG</w:t>
            </w:r>
            <w:r>
              <w:rPr>
                <w:spacing w:val="-3"/>
                <w:sz w:val="18"/>
              </w:rPr>
              <w:t xml:space="preserve"> </w:t>
            </w:r>
            <w:r>
              <w:rPr>
                <w:sz w:val="18"/>
              </w:rPr>
              <w:t>as</w:t>
            </w:r>
            <w:r>
              <w:rPr>
                <w:spacing w:val="-3"/>
                <w:sz w:val="18"/>
              </w:rPr>
              <w:t xml:space="preserve"> </w:t>
            </w:r>
            <w:r>
              <w:rPr>
                <w:sz w:val="18"/>
              </w:rPr>
              <w:t>an</w:t>
            </w:r>
            <w:r>
              <w:rPr>
                <w:spacing w:val="-3"/>
                <w:sz w:val="18"/>
              </w:rPr>
              <w:t xml:space="preserve"> </w:t>
            </w:r>
            <w:r>
              <w:rPr>
                <w:sz w:val="18"/>
              </w:rPr>
              <w:t>annual</w:t>
            </w:r>
            <w:r>
              <w:rPr>
                <w:spacing w:val="-2"/>
                <w:sz w:val="18"/>
              </w:rPr>
              <w:t xml:space="preserve"> </w:t>
            </w:r>
            <w:r>
              <w:rPr>
                <w:sz w:val="18"/>
              </w:rPr>
              <w:t>policy</w:t>
            </w:r>
            <w:r>
              <w:rPr>
                <w:spacing w:val="-3"/>
                <w:sz w:val="18"/>
              </w:rPr>
              <w:t xml:space="preserve"> </w:t>
            </w:r>
            <w:r>
              <w:rPr>
                <w:sz w:val="18"/>
              </w:rPr>
              <w:t>reference</w:t>
            </w:r>
            <w:r>
              <w:rPr>
                <w:spacing w:val="-3"/>
                <w:sz w:val="18"/>
              </w:rPr>
              <w:t xml:space="preserve"> </w:t>
            </w:r>
            <w:r>
              <w:rPr>
                <w:sz w:val="18"/>
              </w:rPr>
              <w:t>in</w:t>
            </w:r>
            <w:r>
              <w:rPr>
                <w:spacing w:val="-3"/>
                <w:sz w:val="18"/>
              </w:rPr>
              <w:t xml:space="preserve"> </w:t>
            </w:r>
            <w:r>
              <w:rPr>
                <w:sz w:val="18"/>
              </w:rPr>
              <w:t>dealing</w:t>
            </w:r>
            <w:r>
              <w:rPr>
                <w:spacing w:val="-4"/>
                <w:sz w:val="18"/>
              </w:rPr>
              <w:t xml:space="preserve"> </w:t>
            </w:r>
            <w:r>
              <w:rPr>
                <w:sz w:val="18"/>
              </w:rPr>
              <w:t>with</w:t>
            </w:r>
            <w:r>
              <w:rPr>
                <w:spacing w:val="-3"/>
                <w:sz w:val="18"/>
              </w:rPr>
              <w:t xml:space="preserve"> </w:t>
            </w:r>
            <w:r>
              <w:rPr>
                <w:sz w:val="18"/>
              </w:rPr>
              <w:t>priority issues of vulnerable groups.</w:t>
            </w:r>
          </w:p>
          <w:p w14:paraId="0D05108A" w14:textId="77777777" w:rsidR="00BC24A8" w:rsidRDefault="00000000">
            <w:pPr>
              <w:pStyle w:val="TableParagraph"/>
              <w:numPr>
                <w:ilvl w:val="0"/>
                <w:numId w:val="60"/>
              </w:numPr>
              <w:tabs>
                <w:tab w:val="left" w:pos="461"/>
              </w:tabs>
              <w:ind w:hanging="359"/>
              <w:rPr>
                <w:sz w:val="18"/>
              </w:rPr>
            </w:pPr>
            <w:r>
              <w:rPr>
                <w:sz w:val="18"/>
              </w:rPr>
              <w:t>Finalisation</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NTB</w:t>
            </w:r>
            <w:r>
              <w:rPr>
                <w:spacing w:val="-2"/>
                <w:sz w:val="18"/>
              </w:rPr>
              <w:t xml:space="preserve"> </w:t>
            </w:r>
            <w:r>
              <w:rPr>
                <w:sz w:val="18"/>
              </w:rPr>
              <w:t>RAD</w:t>
            </w:r>
            <w:r>
              <w:rPr>
                <w:spacing w:val="-1"/>
                <w:sz w:val="18"/>
              </w:rPr>
              <w:t xml:space="preserve"> </w:t>
            </w:r>
            <w:r>
              <w:rPr>
                <w:sz w:val="18"/>
              </w:rPr>
              <w:t>PD as</w:t>
            </w:r>
            <w:r>
              <w:rPr>
                <w:spacing w:val="-4"/>
                <w:sz w:val="18"/>
              </w:rPr>
              <w:t xml:space="preserve"> </w:t>
            </w:r>
            <w:r>
              <w:rPr>
                <w:sz w:val="18"/>
              </w:rPr>
              <w:t>the</w:t>
            </w:r>
            <w:r>
              <w:rPr>
                <w:spacing w:val="-1"/>
                <w:sz w:val="18"/>
              </w:rPr>
              <w:t xml:space="preserve"> </w:t>
            </w:r>
            <w:r>
              <w:rPr>
                <w:sz w:val="18"/>
              </w:rPr>
              <w:t>main</w:t>
            </w:r>
            <w:r>
              <w:rPr>
                <w:spacing w:val="-2"/>
                <w:sz w:val="18"/>
              </w:rPr>
              <w:t xml:space="preserve"> </w:t>
            </w:r>
            <w:r>
              <w:rPr>
                <w:sz w:val="18"/>
              </w:rPr>
              <w:t>guide</w:t>
            </w:r>
            <w:r>
              <w:rPr>
                <w:spacing w:val="-1"/>
                <w:sz w:val="18"/>
              </w:rPr>
              <w:t xml:space="preserve"> </w:t>
            </w:r>
            <w:r>
              <w:rPr>
                <w:sz w:val="18"/>
              </w:rPr>
              <w:t>for</w:t>
            </w:r>
            <w:r>
              <w:rPr>
                <w:spacing w:val="-1"/>
                <w:sz w:val="18"/>
              </w:rPr>
              <w:t xml:space="preserve"> </w:t>
            </w:r>
            <w:r>
              <w:rPr>
                <w:sz w:val="18"/>
              </w:rPr>
              <w:t>disability-responsive</w:t>
            </w:r>
            <w:r>
              <w:rPr>
                <w:spacing w:val="-1"/>
                <w:sz w:val="18"/>
              </w:rPr>
              <w:t xml:space="preserve"> </w:t>
            </w:r>
            <w:r>
              <w:rPr>
                <w:spacing w:val="-2"/>
                <w:sz w:val="18"/>
              </w:rPr>
              <w:t>planning.</w:t>
            </w:r>
          </w:p>
        </w:tc>
      </w:tr>
      <w:tr w:rsidR="00BC24A8" w14:paraId="6BE049C6" w14:textId="77777777">
        <w:trPr>
          <w:trHeight w:val="1624"/>
        </w:trPr>
        <w:tc>
          <w:tcPr>
            <w:tcW w:w="2236" w:type="dxa"/>
            <w:tcBorders>
              <w:top w:val="single" w:sz="4" w:space="0" w:color="BEBEBE"/>
              <w:bottom w:val="single" w:sz="4" w:space="0" w:color="BEBEBE"/>
            </w:tcBorders>
          </w:tcPr>
          <w:p w14:paraId="4ECD725B" w14:textId="77777777" w:rsidR="00BC24A8" w:rsidRDefault="00000000">
            <w:pPr>
              <w:pStyle w:val="TableParagraph"/>
              <w:spacing w:before="116"/>
              <w:ind w:left="115" w:right="97"/>
              <w:rPr>
                <w:sz w:val="18"/>
              </w:rPr>
            </w:pPr>
            <w:r>
              <w:rPr>
                <w:sz w:val="18"/>
              </w:rPr>
              <w:t>Generate improved data governance</w:t>
            </w:r>
            <w:r>
              <w:rPr>
                <w:spacing w:val="-2"/>
                <w:sz w:val="18"/>
              </w:rPr>
              <w:t xml:space="preserve"> </w:t>
            </w:r>
            <w:r>
              <w:rPr>
                <w:sz w:val="18"/>
              </w:rPr>
              <w:t>frameworks that</w:t>
            </w:r>
            <w:r>
              <w:rPr>
                <w:spacing w:val="-9"/>
                <w:sz w:val="18"/>
              </w:rPr>
              <w:t xml:space="preserve"> </w:t>
            </w:r>
            <w:r>
              <w:rPr>
                <w:sz w:val="18"/>
              </w:rPr>
              <w:t>support</w:t>
            </w:r>
            <w:r>
              <w:rPr>
                <w:spacing w:val="-9"/>
                <w:sz w:val="18"/>
              </w:rPr>
              <w:t xml:space="preserve"> </w:t>
            </w:r>
            <w:r>
              <w:rPr>
                <w:sz w:val="18"/>
              </w:rPr>
              <w:t>the</w:t>
            </w:r>
            <w:r>
              <w:rPr>
                <w:spacing w:val="-9"/>
                <w:sz w:val="18"/>
              </w:rPr>
              <w:t xml:space="preserve"> </w:t>
            </w:r>
            <w:r>
              <w:rPr>
                <w:sz w:val="18"/>
              </w:rPr>
              <w:t>delivery</w:t>
            </w:r>
            <w:r>
              <w:rPr>
                <w:spacing w:val="-10"/>
                <w:sz w:val="18"/>
              </w:rPr>
              <w:t xml:space="preserve"> </w:t>
            </w:r>
            <w:r>
              <w:rPr>
                <w:sz w:val="18"/>
              </w:rPr>
              <w:t>of inclusive core services</w:t>
            </w:r>
          </w:p>
        </w:tc>
        <w:tc>
          <w:tcPr>
            <w:tcW w:w="6863" w:type="dxa"/>
            <w:tcBorders>
              <w:top w:val="single" w:sz="4" w:space="0" w:color="BEBEBE"/>
              <w:bottom w:val="single" w:sz="4" w:space="0" w:color="BEBEBE"/>
            </w:tcBorders>
          </w:tcPr>
          <w:p w14:paraId="3AA8DE6E" w14:textId="77777777" w:rsidR="00BC24A8" w:rsidRDefault="00000000">
            <w:pPr>
              <w:pStyle w:val="TableParagraph"/>
              <w:numPr>
                <w:ilvl w:val="0"/>
                <w:numId w:val="59"/>
              </w:numPr>
              <w:tabs>
                <w:tab w:val="left" w:pos="461"/>
              </w:tabs>
              <w:spacing w:before="116"/>
              <w:ind w:right="220"/>
              <w:rPr>
                <w:rFonts w:ascii="Trebuchet MS" w:hAnsi="Trebuchet MS"/>
                <w:sz w:val="18"/>
              </w:rPr>
            </w:pPr>
            <w:r>
              <w:rPr>
                <w:sz w:val="18"/>
              </w:rPr>
              <w:t>Strengthening</w:t>
            </w:r>
            <w:r>
              <w:rPr>
                <w:spacing w:val="-3"/>
                <w:sz w:val="18"/>
              </w:rPr>
              <w:t xml:space="preserve"> </w:t>
            </w:r>
            <w:r>
              <w:rPr>
                <w:sz w:val="18"/>
              </w:rPr>
              <w:t>the</w:t>
            </w:r>
            <w:r>
              <w:rPr>
                <w:spacing w:val="-5"/>
                <w:sz w:val="18"/>
              </w:rPr>
              <w:t xml:space="preserve"> </w:t>
            </w:r>
            <w:r>
              <w:rPr>
                <w:sz w:val="18"/>
              </w:rPr>
              <w:t>capacity</w:t>
            </w:r>
            <w:r>
              <w:rPr>
                <w:spacing w:val="-2"/>
                <w:sz w:val="18"/>
              </w:rPr>
              <w:t xml:space="preserve"> </w:t>
            </w:r>
            <w:r>
              <w:rPr>
                <w:sz w:val="18"/>
              </w:rPr>
              <w:t>and</w:t>
            </w:r>
            <w:r>
              <w:rPr>
                <w:spacing w:val="-2"/>
                <w:sz w:val="18"/>
              </w:rPr>
              <w:t xml:space="preserve"> </w:t>
            </w:r>
            <w:r>
              <w:rPr>
                <w:sz w:val="18"/>
              </w:rPr>
              <w:t>institutions</w:t>
            </w:r>
            <w:r>
              <w:rPr>
                <w:spacing w:val="-2"/>
                <w:sz w:val="18"/>
              </w:rPr>
              <w:t xml:space="preserve"> </w:t>
            </w:r>
            <w:r>
              <w:rPr>
                <w:sz w:val="18"/>
              </w:rPr>
              <w:t>of</w:t>
            </w:r>
            <w:r>
              <w:rPr>
                <w:spacing w:val="-3"/>
                <w:sz w:val="18"/>
              </w:rPr>
              <w:t xml:space="preserve"> </w:t>
            </w:r>
            <w:r>
              <w:rPr>
                <w:sz w:val="18"/>
              </w:rPr>
              <w:t>Regional</w:t>
            </w:r>
            <w:r>
              <w:rPr>
                <w:spacing w:val="-1"/>
                <w:sz w:val="18"/>
              </w:rPr>
              <w:t xml:space="preserve"> </w:t>
            </w:r>
            <w:r>
              <w:rPr>
                <w:sz w:val="18"/>
              </w:rPr>
              <w:t>One</w:t>
            </w:r>
            <w:r>
              <w:rPr>
                <w:spacing w:val="-2"/>
                <w:sz w:val="18"/>
              </w:rPr>
              <w:t xml:space="preserve"> </w:t>
            </w:r>
            <w:r>
              <w:rPr>
                <w:sz w:val="18"/>
              </w:rPr>
              <w:t>Data</w:t>
            </w:r>
            <w:r>
              <w:rPr>
                <w:spacing w:val="-3"/>
                <w:sz w:val="18"/>
              </w:rPr>
              <w:t xml:space="preserve"> </w:t>
            </w:r>
            <w:r>
              <w:rPr>
                <w:sz w:val="18"/>
              </w:rPr>
              <w:t>to</w:t>
            </w:r>
            <w:r>
              <w:rPr>
                <w:spacing w:val="-5"/>
                <w:sz w:val="18"/>
              </w:rPr>
              <w:t xml:space="preserve"> </w:t>
            </w:r>
            <w:r>
              <w:rPr>
                <w:sz w:val="18"/>
              </w:rPr>
              <w:t>run</w:t>
            </w:r>
            <w:r>
              <w:rPr>
                <w:spacing w:val="-2"/>
                <w:sz w:val="18"/>
              </w:rPr>
              <w:t xml:space="preserve"> </w:t>
            </w:r>
            <w:r>
              <w:rPr>
                <w:sz w:val="18"/>
              </w:rPr>
              <w:t>a</w:t>
            </w:r>
            <w:r>
              <w:rPr>
                <w:spacing w:val="-3"/>
                <w:sz w:val="18"/>
              </w:rPr>
              <w:t xml:space="preserve"> </w:t>
            </w:r>
            <w:r>
              <w:rPr>
                <w:sz w:val="18"/>
              </w:rPr>
              <w:t>quality</w:t>
            </w:r>
            <w:r>
              <w:rPr>
                <w:spacing w:val="-2"/>
                <w:sz w:val="18"/>
              </w:rPr>
              <w:t xml:space="preserve"> </w:t>
            </w:r>
            <w:r>
              <w:rPr>
                <w:sz w:val="18"/>
              </w:rPr>
              <w:t xml:space="preserve">data </w:t>
            </w:r>
            <w:r>
              <w:rPr>
                <w:spacing w:val="-2"/>
                <w:sz w:val="18"/>
              </w:rPr>
              <w:t>cycle.</w:t>
            </w:r>
          </w:p>
          <w:p w14:paraId="7B6A05D6" w14:textId="77777777" w:rsidR="00BC24A8" w:rsidRDefault="00000000">
            <w:pPr>
              <w:pStyle w:val="TableParagraph"/>
              <w:numPr>
                <w:ilvl w:val="0"/>
                <w:numId w:val="59"/>
              </w:numPr>
              <w:tabs>
                <w:tab w:val="left" w:pos="461"/>
              </w:tabs>
              <w:spacing w:before="3"/>
              <w:ind w:right="545"/>
              <w:rPr>
                <w:rFonts w:ascii="Trebuchet MS" w:hAnsi="Trebuchet MS"/>
                <w:sz w:val="18"/>
              </w:rPr>
            </w:pPr>
            <w:r>
              <w:rPr>
                <w:sz w:val="18"/>
              </w:rPr>
              <w:t>Availability</w:t>
            </w:r>
            <w:r>
              <w:rPr>
                <w:spacing w:val="-3"/>
                <w:sz w:val="18"/>
              </w:rPr>
              <w:t xml:space="preserve"> </w:t>
            </w:r>
            <w:r>
              <w:rPr>
                <w:sz w:val="18"/>
              </w:rPr>
              <w:t>of</w:t>
            </w:r>
            <w:r>
              <w:rPr>
                <w:spacing w:val="-4"/>
                <w:sz w:val="18"/>
              </w:rPr>
              <w:t xml:space="preserve"> </w:t>
            </w:r>
            <w:r>
              <w:rPr>
                <w:sz w:val="18"/>
              </w:rPr>
              <w:t>valid,</w:t>
            </w:r>
            <w:r>
              <w:rPr>
                <w:spacing w:val="-4"/>
                <w:sz w:val="18"/>
              </w:rPr>
              <w:t xml:space="preserve"> </w:t>
            </w:r>
            <w:r>
              <w:rPr>
                <w:sz w:val="18"/>
              </w:rPr>
              <w:t>up-to-date,</w:t>
            </w:r>
            <w:r>
              <w:rPr>
                <w:spacing w:val="-4"/>
                <w:sz w:val="18"/>
              </w:rPr>
              <w:t xml:space="preserve"> </w:t>
            </w:r>
            <w:r>
              <w:rPr>
                <w:sz w:val="18"/>
              </w:rPr>
              <w:t>and</w:t>
            </w:r>
            <w:r>
              <w:rPr>
                <w:spacing w:val="-3"/>
                <w:sz w:val="18"/>
              </w:rPr>
              <w:t xml:space="preserve"> </w:t>
            </w:r>
            <w:r>
              <w:rPr>
                <w:sz w:val="18"/>
              </w:rPr>
              <w:t>shareable</w:t>
            </w:r>
            <w:r>
              <w:rPr>
                <w:spacing w:val="-3"/>
                <w:sz w:val="18"/>
              </w:rPr>
              <w:t xml:space="preserve"> </w:t>
            </w:r>
            <w:r>
              <w:rPr>
                <w:sz w:val="18"/>
              </w:rPr>
              <w:t>data</w:t>
            </w:r>
            <w:r>
              <w:rPr>
                <w:spacing w:val="-4"/>
                <w:sz w:val="18"/>
              </w:rPr>
              <w:t xml:space="preserve"> </w:t>
            </w:r>
            <w:r>
              <w:rPr>
                <w:sz w:val="18"/>
              </w:rPr>
              <w:t>for</w:t>
            </w:r>
            <w:r>
              <w:rPr>
                <w:spacing w:val="-3"/>
                <w:sz w:val="18"/>
              </w:rPr>
              <w:t xml:space="preserve"> </w:t>
            </w:r>
            <w:r>
              <w:rPr>
                <w:sz w:val="18"/>
              </w:rPr>
              <w:t>basic</w:t>
            </w:r>
            <w:r>
              <w:rPr>
                <w:spacing w:val="-3"/>
                <w:sz w:val="18"/>
              </w:rPr>
              <w:t xml:space="preserve"> </w:t>
            </w:r>
            <w:r>
              <w:rPr>
                <w:sz w:val="18"/>
              </w:rPr>
              <w:t>service</w:t>
            </w:r>
            <w:r>
              <w:rPr>
                <w:spacing w:val="-3"/>
                <w:sz w:val="18"/>
              </w:rPr>
              <w:t xml:space="preserve"> </w:t>
            </w:r>
            <w:r>
              <w:rPr>
                <w:sz w:val="18"/>
              </w:rPr>
              <w:t>planning</w:t>
            </w:r>
            <w:r>
              <w:rPr>
                <w:spacing w:val="-4"/>
                <w:sz w:val="18"/>
              </w:rPr>
              <w:t xml:space="preserve"> </w:t>
            </w:r>
            <w:r>
              <w:rPr>
                <w:sz w:val="18"/>
              </w:rPr>
              <w:t xml:space="preserve">and </w:t>
            </w:r>
            <w:r>
              <w:rPr>
                <w:spacing w:val="-2"/>
                <w:sz w:val="18"/>
              </w:rPr>
              <w:t>budgeting.</w:t>
            </w:r>
          </w:p>
          <w:p w14:paraId="2D6EE7D1" w14:textId="77777777" w:rsidR="00BC24A8" w:rsidRDefault="00000000">
            <w:pPr>
              <w:pStyle w:val="TableParagraph"/>
              <w:numPr>
                <w:ilvl w:val="0"/>
                <w:numId w:val="59"/>
              </w:numPr>
              <w:tabs>
                <w:tab w:val="left" w:pos="461"/>
              </w:tabs>
              <w:ind w:right="374"/>
              <w:rPr>
                <w:rFonts w:ascii="Trebuchet MS" w:hAnsi="Trebuchet MS"/>
                <w:sz w:val="18"/>
              </w:rPr>
            </w:pPr>
            <w:r>
              <w:rPr>
                <w:sz w:val="18"/>
              </w:rPr>
              <w:t>An</w:t>
            </w:r>
            <w:r>
              <w:rPr>
                <w:spacing w:val="-3"/>
                <w:sz w:val="18"/>
              </w:rPr>
              <w:t xml:space="preserve"> </w:t>
            </w:r>
            <w:r>
              <w:rPr>
                <w:sz w:val="18"/>
              </w:rPr>
              <w:t>area</w:t>
            </w:r>
            <w:r>
              <w:rPr>
                <w:spacing w:val="-4"/>
                <w:sz w:val="18"/>
              </w:rPr>
              <w:t xml:space="preserve"> </w:t>
            </w:r>
            <w:r>
              <w:rPr>
                <w:sz w:val="18"/>
              </w:rPr>
              <w:t>data</w:t>
            </w:r>
            <w:r>
              <w:rPr>
                <w:spacing w:val="-4"/>
                <w:sz w:val="18"/>
              </w:rPr>
              <w:t xml:space="preserve"> </w:t>
            </w:r>
            <w:r>
              <w:rPr>
                <w:sz w:val="18"/>
              </w:rPr>
              <w:t>portal</w:t>
            </w:r>
            <w:r>
              <w:rPr>
                <w:spacing w:val="-2"/>
                <w:sz w:val="18"/>
              </w:rPr>
              <w:t xml:space="preserve"> </w:t>
            </w:r>
            <w:r>
              <w:rPr>
                <w:sz w:val="18"/>
              </w:rPr>
              <w:t>that</w:t>
            </w:r>
            <w:r>
              <w:rPr>
                <w:spacing w:val="-2"/>
                <w:sz w:val="18"/>
              </w:rPr>
              <w:t xml:space="preserve"> </w:t>
            </w:r>
            <w:r>
              <w:rPr>
                <w:sz w:val="18"/>
              </w:rPr>
              <w:t>connects</w:t>
            </w:r>
            <w:r>
              <w:rPr>
                <w:spacing w:val="-6"/>
                <w:sz w:val="18"/>
              </w:rPr>
              <w:t xml:space="preserve"> </w:t>
            </w:r>
            <w:r>
              <w:rPr>
                <w:sz w:val="18"/>
              </w:rPr>
              <w:t>with</w:t>
            </w:r>
            <w:r>
              <w:rPr>
                <w:spacing w:val="-3"/>
                <w:sz w:val="18"/>
              </w:rPr>
              <w:t xml:space="preserve"> </w:t>
            </w:r>
            <w:r>
              <w:rPr>
                <w:sz w:val="18"/>
              </w:rPr>
              <w:t>other</w:t>
            </w:r>
            <w:r>
              <w:rPr>
                <w:spacing w:val="-3"/>
                <w:sz w:val="18"/>
              </w:rPr>
              <w:t xml:space="preserve"> </w:t>
            </w:r>
            <w:r>
              <w:rPr>
                <w:sz w:val="18"/>
              </w:rPr>
              <w:t>platforms</w:t>
            </w:r>
            <w:r>
              <w:rPr>
                <w:spacing w:val="-3"/>
                <w:sz w:val="18"/>
              </w:rPr>
              <w:t xml:space="preserve"> </w:t>
            </w:r>
            <w:r>
              <w:rPr>
                <w:sz w:val="18"/>
              </w:rPr>
              <w:t>and</w:t>
            </w:r>
            <w:r>
              <w:rPr>
                <w:spacing w:val="-3"/>
                <w:sz w:val="18"/>
              </w:rPr>
              <w:t xml:space="preserve"> </w:t>
            </w:r>
            <w:r>
              <w:rPr>
                <w:sz w:val="18"/>
              </w:rPr>
              <w:t>functions</w:t>
            </w:r>
            <w:r>
              <w:rPr>
                <w:spacing w:val="-3"/>
                <w:sz w:val="18"/>
              </w:rPr>
              <w:t xml:space="preserve"> </w:t>
            </w:r>
            <w:r>
              <w:rPr>
                <w:sz w:val="18"/>
              </w:rPr>
              <w:t>effectively</w:t>
            </w:r>
            <w:r>
              <w:rPr>
                <w:spacing w:val="-3"/>
                <w:sz w:val="18"/>
              </w:rPr>
              <w:t xml:space="preserve"> </w:t>
            </w:r>
            <w:r>
              <w:rPr>
                <w:sz w:val="18"/>
              </w:rPr>
              <w:t>for the publication and sharing of basic service data</w:t>
            </w:r>
          </w:p>
          <w:p w14:paraId="12C0072F" w14:textId="77777777" w:rsidR="00BC24A8" w:rsidRDefault="00BC24A8">
            <w:pPr>
              <w:pStyle w:val="TableParagraph"/>
              <w:numPr>
                <w:ilvl w:val="0"/>
                <w:numId w:val="59"/>
              </w:numPr>
              <w:tabs>
                <w:tab w:val="left" w:pos="129"/>
              </w:tabs>
              <w:spacing w:line="69" w:lineRule="exact"/>
              <w:ind w:left="129" w:hanging="28"/>
              <w:rPr>
                <w:rFonts w:ascii="Trebuchet MS" w:hAnsi="Trebuchet MS"/>
                <w:sz w:val="4"/>
              </w:rPr>
            </w:pPr>
          </w:p>
        </w:tc>
      </w:tr>
      <w:tr w:rsidR="00BC24A8" w14:paraId="7A9FBEB7" w14:textId="77777777">
        <w:trPr>
          <w:trHeight w:val="1406"/>
        </w:trPr>
        <w:tc>
          <w:tcPr>
            <w:tcW w:w="2236" w:type="dxa"/>
            <w:tcBorders>
              <w:top w:val="single" w:sz="4" w:space="0" w:color="BEBEBE"/>
              <w:bottom w:val="single" w:sz="4" w:space="0" w:color="BEBEBE"/>
            </w:tcBorders>
          </w:tcPr>
          <w:p w14:paraId="167B1782" w14:textId="77777777" w:rsidR="00BC24A8" w:rsidRDefault="00000000">
            <w:pPr>
              <w:pStyle w:val="TableParagraph"/>
              <w:spacing w:before="119"/>
              <w:ind w:left="115"/>
              <w:rPr>
                <w:sz w:val="18"/>
              </w:rPr>
            </w:pPr>
            <w:r>
              <w:rPr>
                <w:sz w:val="18"/>
              </w:rPr>
              <w:t>Generate a more consolidated</w:t>
            </w:r>
            <w:r>
              <w:rPr>
                <w:spacing w:val="-11"/>
                <w:sz w:val="18"/>
              </w:rPr>
              <w:t xml:space="preserve"> </w:t>
            </w:r>
            <w:r>
              <w:rPr>
                <w:sz w:val="18"/>
              </w:rPr>
              <w:t>framework</w:t>
            </w:r>
            <w:r>
              <w:rPr>
                <w:spacing w:val="-10"/>
                <w:sz w:val="18"/>
              </w:rPr>
              <w:t xml:space="preserve"> </w:t>
            </w:r>
            <w:r>
              <w:rPr>
                <w:sz w:val="18"/>
              </w:rPr>
              <w:t>for the</w:t>
            </w:r>
            <w:r>
              <w:rPr>
                <w:spacing w:val="-5"/>
                <w:sz w:val="18"/>
              </w:rPr>
              <w:t xml:space="preserve"> </w:t>
            </w:r>
            <w:r>
              <w:rPr>
                <w:sz w:val="18"/>
              </w:rPr>
              <w:t>implementation</w:t>
            </w:r>
            <w:r>
              <w:rPr>
                <w:spacing w:val="-5"/>
                <w:sz w:val="18"/>
              </w:rPr>
              <w:t xml:space="preserve"> </w:t>
            </w:r>
            <w:r>
              <w:rPr>
                <w:sz w:val="18"/>
              </w:rPr>
              <w:t>of</w:t>
            </w:r>
            <w:r>
              <w:rPr>
                <w:spacing w:val="-6"/>
                <w:sz w:val="18"/>
              </w:rPr>
              <w:t xml:space="preserve"> </w:t>
            </w:r>
            <w:r>
              <w:rPr>
                <w:sz w:val="18"/>
              </w:rPr>
              <w:t>MSS and regular planning and</w:t>
            </w:r>
          </w:p>
        </w:tc>
        <w:tc>
          <w:tcPr>
            <w:tcW w:w="6863" w:type="dxa"/>
            <w:tcBorders>
              <w:top w:val="single" w:sz="4" w:space="0" w:color="BEBEBE"/>
              <w:bottom w:val="single" w:sz="4" w:space="0" w:color="BEBEBE"/>
            </w:tcBorders>
          </w:tcPr>
          <w:p w14:paraId="0B41A355" w14:textId="77777777" w:rsidR="00BC24A8" w:rsidRDefault="00000000">
            <w:pPr>
              <w:pStyle w:val="TableParagraph"/>
              <w:numPr>
                <w:ilvl w:val="0"/>
                <w:numId w:val="58"/>
              </w:numPr>
              <w:tabs>
                <w:tab w:val="left" w:pos="461"/>
              </w:tabs>
              <w:spacing w:before="119"/>
              <w:ind w:right="281"/>
              <w:rPr>
                <w:rFonts w:ascii="Trebuchet MS" w:hAnsi="Trebuchet MS"/>
                <w:sz w:val="18"/>
              </w:rPr>
            </w:pPr>
            <w:r>
              <w:rPr>
                <w:sz w:val="18"/>
              </w:rPr>
              <w:t>Strengthening</w:t>
            </w:r>
            <w:r>
              <w:rPr>
                <w:spacing w:val="-4"/>
                <w:sz w:val="18"/>
              </w:rPr>
              <w:t xml:space="preserve"> </w:t>
            </w:r>
            <w:r>
              <w:rPr>
                <w:sz w:val="18"/>
              </w:rPr>
              <w:t>the</w:t>
            </w:r>
            <w:r>
              <w:rPr>
                <w:spacing w:val="-6"/>
                <w:sz w:val="18"/>
              </w:rPr>
              <w:t xml:space="preserve"> </w:t>
            </w:r>
            <w:r>
              <w:rPr>
                <w:sz w:val="18"/>
              </w:rPr>
              <w:t>role</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province</w:t>
            </w:r>
            <w:r>
              <w:rPr>
                <w:spacing w:val="-3"/>
                <w:sz w:val="18"/>
              </w:rPr>
              <w:t xml:space="preserve"> </w:t>
            </w:r>
            <w:r>
              <w:rPr>
                <w:sz w:val="18"/>
              </w:rPr>
              <w:t>in</w:t>
            </w:r>
            <w:r>
              <w:rPr>
                <w:spacing w:val="-3"/>
                <w:sz w:val="18"/>
              </w:rPr>
              <w:t xml:space="preserve"> </w:t>
            </w:r>
            <w:r>
              <w:rPr>
                <w:sz w:val="18"/>
              </w:rPr>
              <w:t>the</w:t>
            </w:r>
            <w:r>
              <w:rPr>
                <w:spacing w:val="-6"/>
                <w:sz w:val="18"/>
              </w:rPr>
              <w:t xml:space="preserve"> </w:t>
            </w:r>
            <w:r>
              <w:rPr>
                <w:sz w:val="18"/>
              </w:rPr>
              <w:t>coordination,</w:t>
            </w:r>
            <w:r>
              <w:rPr>
                <w:spacing w:val="-4"/>
                <w:sz w:val="18"/>
              </w:rPr>
              <w:t xml:space="preserve"> </w:t>
            </w:r>
            <w:r>
              <w:rPr>
                <w:sz w:val="18"/>
              </w:rPr>
              <w:t>coaching,</w:t>
            </w:r>
            <w:r>
              <w:rPr>
                <w:spacing w:val="-4"/>
                <w:sz w:val="18"/>
              </w:rPr>
              <w:t xml:space="preserve"> </w:t>
            </w:r>
            <w:r>
              <w:rPr>
                <w:sz w:val="18"/>
              </w:rPr>
              <w:t>monitoring</w:t>
            </w:r>
            <w:r>
              <w:rPr>
                <w:spacing w:val="-4"/>
                <w:sz w:val="18"/>
              </w:rPr>
              <w:t xml:space="preserve"> </w:t>
            </w:r>
            <w:r>
              <w:rPr>
                <w:sz w:val="18"/>
              </w:rPr>
              <w:t>and supervision function (</w:t>
            </w:r>
            <w:r>
              <w:rPr>
                <w:i/>
                <w:sz w:val="18"/>
              </w:rPr>
              <w:t>korbinwas</w:t>
            </w:r>
            <w:r>
              <w:rPr>
                <w:sz w:val="18"/>
              </w:rPr>
              <w:t>) of MSS.</w:t>
            </w:r>
          </w:p>
          <w:p w14:paraId="7023A3D5" w14:textId="77777777" w:rsidR="00BC24A8" w:rsidRDefault="00000000">
            <w:pPr>
              <w:pStyle w:val="TableParagraph"/>
              <w:numPr>
                <w:ilvl w:val="0"/>
                <w:numId w:val="58"/>
              </w:numPr>
              <w:tabs>
                <w:tab w:val="left" w:pos="461"/>
              </w:tabs>
              <w:ind w:right="399"/>
              <w:rPr>
                <w:rFonts w:ascii="Trebuchet MS" w:hAnsi="Trebuchet MS"/>
                <w:sz w:val="18"/>
              </w:rPr>
            </w:pPr>
            <w:r>
              <w:rPr>
                <w:sz w:val="18"/>
              </w:rPr>
              <w:t>The</w:t>
            </w:r>
            <w:r>
              <w:rPr>
                <w:spacing w:val="-4"/>
                <w:sz w:val="18"/>
              </w:rPr>
              <w:t xml:space="preserve"> </w:t>
            </w:r>
            <w:r>
              <w:rPr>
                <w:sz w:val="18"/>
              </w:rPr>
              <w:t>institutionalisation</w:t>
            </w:r>
            <w:r>
              <w:rPr>
                <w:spacing w:val="-3"/>
                <w:sz w:val="18"/>
              </w:rPr>
              <w:t xml:space="preserve"> </w:t>
            </w:r>
            <w:r>
              <w:rPr>
                <w:sz w:val="18"/>
              </w:rPr>
              <w:t>of</w:t>
            </w:r>
            <w:r>
              <w:rPr>
                <w:spacing w:val="-4"/>
                <w:sz w:val="18"/>
              </w:rPr>
              <w:t xml:space="preserve"> </w:t>
            </w:r>
            <w:r>
              <w:rPr>
                <w:sz w:val="18"/>
              </w:rPr>
              <w:t>MSS</w:t>
            </w:r>
            <w:r>
              <w:rPr>
                <w:spacing w:val="-3"/>
                <w:sz w:val="18"/>
              </w:rPr>
              <w:t xml:space="preserve"> </w:t>
            </w:r>
            <w:r>
              <w:rPr>
                <w:sz w:val="18"/>
              </w:rPr>
              <w:t>services</w:t>
            </w:r>
            <w:r>
              <w:rPr>
                <w:spacing w:val="-3"/>
                <w:sz w:val="18"/>
              </w:rPr>
              <w:t xml:space="preserve"> </w:t>
            </w:r>
            <w:r>
              <w:rPr>
                <w:sz w:val="18"/>
              </w:rPr>
              <w:t>through</w:t>
            </w:r>
            <w:r>
              <w:rPr>
                <w:spacing w:val="-3"/>
                <w:sz w:val="18"/>
              </w:rPr>
              <w:t xml:space="preserve"> </w:t>
            </w:r>
            <w:r>
              <w:rPr>
                <w:i/>
                <w:sz w:val="18"/>
              </w:rPr>
              <w:t>Posyandu</w:t>
            </w:r>
            <w:r>
              <w:rPr>
                <w:sz w:val="18"/>
              </w:rPr>
              <w:t>,</w:t>
            </w:r>
            <w:r>
              <w:rPr>
                <w:spacing w:val="-4"/>
                <w:sz w:val="18"/>
              </w:rPr>
              <w:t xml:space="preserve"> </w:t>
            </w:r>
            <w:r>
              <w:rPr>
                <w:sz w:val="18"/>
              </w:rPr>
              <w:t>in</w:t>
            </w:r>
            <w:r>
              <w:rPr>
                <w:spacing w:val="-3"/>
                <w:sz w:val="18"/>
              </w:rPr>
              <w:t xml:space="preserve"> </w:t>
            </w:r>
            <w:r>
              <w:rPr>
                <w:sz w:val="18"/>
              </w:rPr>
              <w:t>order</w:t>
            </w:r>
            <w:r>
              <w:rPr>
                <w:spacing w:val="-5"/>
                <w:sz w:val="18"/>
              </w:rPr>
              <w:t xml:space="preserve"> </w:t>
            </w:r>
            <w:r>
              <w:rPr>
                <w:sz w:val="18"/>
              </w:rPr>
              <w:t>to</w:t>
            </w:r>
            <w:r>
              <w:rPr>
                <w:spacing w:val="-4"/>
                <w:sz w:val="18"/>
              </w:rPr>
              <w:t xml:space="preserve"> </w:t>
            </w:r>
            <w:r>
              <w:rPr>
                <w:sz w:val="18"/>
              </w:rPr>
              <w:t>better</w:t>
            </w:r>
            <w:r>
              <w:rPr>
                <w:spacing w:val="-3"/>
                <w:sz w:val="18"/>
              </w:rPr>
              <w:t xml:space="preserve"> </w:t>
            </w:r>
            <w:r>
              <w:rPr>
                <w:sz w:val="18"/>
              </w:rPr>
              <w:t xml:space="preserve">target </w:t>
            </w:r>
            <w:r>
              <w:rPr>
                <w:spacing w:val="-2"/>
                <w:sz w:val="18"/>
              </w:rPr>
              <w:t>beneficiaries.</w:t>
            </w:r>
          </w:p>
          <w:p w14:paraId="225105D0" w14:textId="77777777" w:rsidR="00BC24A8" w:rsidRDefault="00000000">
            <w:pPr>
              <w:pStyle w:val="TableParagraph"/>
              <w:numPr>
                <w:ilvl w:val="0"/>
                <w:numId w:val="58"/>
              </w:numPr>
              <w:tabs>
                <w:tab w:val="left" w:pos="461"/>
              </w:tabs>
              <w:spacing w:line="219" w:lineRule="exact"/>
              <w:rPr>
                <w:rFonts w:ascii="Trebuchet MS" w:hAnsi="Trebuchet MS"/>
                <w:sz w:val="18"/>
              </w:rPr>
            </w:pPr>
            <w:r>
              <w:rPr>
                <w:sz w:val="18"/>
              </w:rPr>
              <w:t>Increasing</w:t>
            </w:r>
            <w:r>
              <w:rPr>
                <w:spacing w:val="-5"/>
                <w:sz w:val="18"/>
              </w:rPr>
              <w:t xml:space="preserve"> </w:t>
            </w:r>
            <w:r>
              <w:rPr>
                <w:sz w:val="18"/>
              </w:rPr>
              <w:t>the</w:t>
            </w:r>
            <w:r>
              <w:rPr>
                <w:spacing w:val="-1"/>
                <w:sz w:val="18"/>
              </w:rPr>
              <w:t xml:space="preserve"> </w:t>
            </w:r>
            <w:r>
              <w:rPr>
                <w:sz w:val="18"/>
              </w:rPr>
              <w:t>capacity</w:t>
            </w:r>
            <w:r>
              <w:rPr>
                <w:spacing w:val="-1"/>
                <w:sz w:val="18"/>
              </w:rPr>
              <w:t xml:space="preserve"> </w:t>
            </w:r>
            <w:r>
              <w:rPr>
                <w:sz w:val="18"/>
              </w:rPr>
              <w:t>of</w:t>
            </w:r>
            <w:r>
              <w:rPr>
                <w:spacing w:val="-2"/>
                <w:sz w:val="18"/>
              </w:rPr>
              <w:t xml:space="preserve"> </w:t>
            </w:r>
            <w:r>
              <w:rPr>
                <w:sz w:val="18"/>
              </w:rPr>
              <w:t>districts/cities</w:t>
            </w:r>
            <w:r>
              <w:rPr>
                <w:spacing w:val="-4"/>
                <w:sz w:val="18"/>
              </w:rPr>
              <w:t xml:space="preserve"> </w:t>
            </w:r>
            <w:r>
              <w:rPr>
                <w:sz w:val="18"/>
              </w:rPr>
              <w:t>in</w:t>
            </w:r>
            <w:r>
              <w:rPr>
                <w:spacing w:val="-1"/>
                <w:sz w:val="18"/>
              </w:rPr>
              <w:t xml:space="preserve"> </w:t>
            </w:r>
            <w:r>
              <w:rPr>
                <w:sz w:val="18"/>
              </w:rPr>
              <w:t>providing</w:t>
            </w:r>
            <w:r>
              <w:rPr>
                <w:spacing w:val="-2"/>
                <w:sz w:val="18"/>
              </w:rPr>
              <w:t xml:space="preserve"> </w:t>
            </w:r>
            <w:r>
              <w:rPr>
                <w:sz w:val="18"/>
              </w:rPr>
              <w:t>inclusive</w:t>
            </w:r>
            <w:r>
              <w:rPr>
                <w:spacing w:val="-1"/>
                <w:sz w:val="18"/>
              </w:rPr>
              <w:t xml:space="preserve"> </w:t>
            </w:r>
            <w:r>
              <w:rPr>
                <w:sz w:val="18"/>
              </w:rPr>
              <w:t>basic</w:t>
            </w:r>
            <w:r>
              <w:rPr>
                <w:spacing w:val="-4"/>
                <w:sz w:val="18"/>
              </w:rPr>
              <w:t xml:space="preserve"> </w:t>
            </w:r>
            <w:r>
              <w:rPr>
                <w:spacing w:val="-2"/>
                <w:sz w:val="18"/>
              </w:rPr>
              <w:t>services.</w:t>
            </w:r>
          </w:p>
          <w:p w14:paraId="1958B18A" w14:textId="77777777" w:rsidR="00BC24A8" w:rsidRDefault="00BC24A8">
            <w:pPr>
              <w:pStyle w:val="TableParagraph"/>
              <w:numPr>
                <w:ilvl w:val="0"/>
                <w:numId w:val="58"/>
              </w:numPr>
              <w:tabs>
                <w:tab w:val="left" w:pos="129"/>
              </w:tabs>
              <w:ind w:left="129" w:hanging="28"/>
              <w:rPr>
                <w:rFonts w:ascii="Trebuchet MS" w:hAnsi="Trebuchet MS"/>
                <w:sz w:val="4"/>
              </w:rPr>
            </w:pPr>
          </w:p>
        </w:tc>
      </w:tr>
      <w:tr w:rsidR="00BC24A8" w14:paraId="3AC28B78" w14:textId="77777777">
        <w:trPr>
          <w:trHeight w:val="1993"/>
        </w:trPr>
        <w:tc>
          <w:tcPr>
            <w:tcW w:w="2236" w:type="dxa"/>
            <w:tcBorders>
              <w:top w:val="single" w:sz="4" w:space="0" w:color="BEBEBE"/>
              <w:bottom w:val="single" w:sz="4" w:space="0" w:color="BEBEBE"/>
            </w:tcBorders>
          </w:tcPr>
          <w:p w14:paraId="5D646C8A" w14:textId="77777777" w:rsidR="00BC24A8" w:rsidRDefault="00000000">
            <w:pPr>
              <w:pStyle w:val="TableParagraph"/>
              <w:spacing w:before="119"/>
              <w:ind w:left="115" w:right="129"/>
              <w:rPr>
                <w:sz w:val="18"/>
              </w:rPr>
            </w:pPr>
            <w:r>
              <w:rPr>
                <w:sz w:val="18"/>
              </w:rPr>
              <w:t>Generate a more responsive</w:t>
            </w:r>
            <w:r>
              <w:rPr>
                <w:spacing w:val="-2"/>
                <w:sz w:val="18"/>
              </w:rPr>
              <w:t xml:space="preserve"> </w:t>
            </w:r>
            <w:r>
              <w:rPr>
                <w:sz w:val="18"/>
              </w:rPr>
              <w:t>local government budget management base for the provision</w:t>
            </w:r>
            <w:r>
              <w:rPr>
                <w:spacing w:val="-11"/>
                <w:sz w:val="18"/>
              </w:rPr>
              <w:t xml:space="preserve"> </w:t>
            </w:r>
            <w:r>
              <w:rPr>
                <w:sz w:val="18"/>
              </w:rPr>
              <w:t>of</w:t>
            </w:r>
            <w:r>
              <w:rPr>
                <w:spacing w:val="-10"/>
                <w:sz w:val="18"/>
              </w:rPr>
              <w:t xml:space="preserve"> </w:t>
            </w:r>
            <w:r>
              <w:rPr>
                <w:sz w:val="18"/>
              </w:rPr>
              <w:t>inclusive</w:t>
            </w:r>
            <w:r>
              <w:rPr>
                <w:spacing w:val="-10"/>
                <w:sz w:val="18"/>
              </w:rPr>
              <w:t xml:space="preserve"> </w:t>
            </w:r>
            <w:r>
              <w:rPr>
                <w:sz w:val="18"/>
              </w:rPr>
              <w:t xml:space="preserve">basic </w:t>
            </w:r>
            <w:r>
              <w:rPr>
                <w:spacing w:val="-2"/>
                <w:sz w:val="18"/>
              </w:rPr>
              <w:t>services</w:t>
            </w:r>
          </w:p>
        </w:tc>
        <w:tc>
          <w:tcPr>
            <w:tcW w:w="6863" w:type="dxa"/>
            <w:tcBorders>
              <w:top w:val="single" w:sz="4" w:space="0" w:color="BEBEBE"/>
              <w:bottom w:val="single" w:sz="4" w:space="0" w:color="BEBEBE"/>
            </w:tcBorders>
          </w:tcPr>
          <w:p w14:paraId="70A4BFEC" w14:textId="77777777" w:rsidR="00BC24A8" w:rsidRDefault="00000000">
            <w:pPr>
              <w:pStyle w:val="TableParagraph"/>
              <w:numPr>
                <w:ilvl w:val="0"/>
                <w:numId w:val="57"/>
              </w:numPr>
              <w:tabs>
                <w:tab w:val="left" w:pos="461"/>
              </w:tabs>
              <w:spacing w:before="119"/>
              <w:ind w:right="254"/>
              <w:rPr>
                <w:sz w:val="18"/>
              </w:rPr>
            </w:pPr>
            <w:r>
              <w:rPr>
                <w:sz w:val="18"/>
              </w:rPr>
              <w:t>Strengthening</w:t>
            </w:r>
            <w:r>
              <w:rPr>
                <w:spacing w:val="-8"/>
                <w:sz w:val="18"/>
              </w:rPr>
              <w:t xml:space="preserve"> </w:t>
            </w:r>
            <w:r>
              <w:rPr>
                <w:sz w:val="18"/>
              </w:rPr>
              <w:t>implementation</w:t>
            </w:r>
            <w:r>
              <w:rPr>
                <w:spacing w:val="-5"/>
                <w:sz w:val="18"/>
              </w:rPr>
              <w:t xml:space="preserve"> </w:t>
            </w:r>
            <w:r>
              <w:rPr>
                <w:sz w:val="18"/>
              </w:rPr>
              <w:t>and</w:t>
            </w:r>
            <w:r>
              <w:rPr>
                <w:spacing w:val="-5"/>
                <w:sz w:val="18"/>
              </w:rPr>
              <w:t xml:space="preserve"> </w:t>
            </w:r>
            <w:r>
              <w:rPr>
                <w:sz w:val="18"/>
              </w:rPr>
              <w:t>consolidation</w:t>
            </w:r>
            <w:r>
              <w:rPr>
                <w:spacing w:val="-5"/>
                <w:sz w:val="18"/>
              </w:rPr>
              <w:t xml:space="preserve"> </w:t>
            </w:r>
            <w:r>
              <w:rPr>
                <w:sz w:val="18"/>
              </w:rPr>
              <w:t>between</w:t>
            </w:r>
            <w:r>
              <w:rPr>
                <w:spacing w:val="-5"/>
                <w:sz w:val="18"/>
              </w:rPr>
              <w:t xml:space="preserve"> </w:t>
            </w:r>
            <w:r>
              <w:rPr>
                <w:sz w:val="18"/>
              </w:rPr>
              <w:t>provincial</w:t>
            </w:r>
            <w:r>
              <w:rPr>
                <w:spacing w:val="-4"/>
                <w:sz w:val="18"/>
              </w:rPr>
              <w:t xml:space="preserve"> </w:t>
            </w:r>
            <w:r>
              <w:rPr>
                <w:sz w:val="18"/>
              </w:rPr>
              <w:t>and</w:t>
            </w:r>
            <w:r>
              <w:rPr>
                <w:spacing w:val="-5"/>
                <w:sz w:val="18"/>
              </w:rPr>
              <w:t xml:space="preserve"> </w:t>
            </w:r>
            <w:r>
              <w:rPr>
                <w:sz w:val="18"/>
              </w:rPr>
              <w:t xml:space="preserve">district/city </w:t>
            </w:r>
            <w:r>
              <w:rPr>
                <w:spacing w:val="-2"/>
                <w:sz w:val="18"/>
              </w:rPr>
              <w:t>governments.</w:t>
            </w:r>
          </w:p>
          <w:p w14:paraId="7B63C01C" w14:textId="77777777" w:rsidR="00BC24A8" w:rsidRDefault="00000000">
            <w:pPr>
              <w:pStyle w:val="TableParagraph"/>
              <w:numPr>
                <w:ilvl w:val="0"/>
                <w:numId w:val="57"/>
              </w:numPr>
              <w:tabs>
                <w:tab w:val="left" w:pos="461"/>
              </w:tabs>
              <w:ind w:right="251"/>
              <w:rPr>
                <w:sz w:val="18"/>
              </w:rPr>
            </w:pPr>
            <w:r>
              <w:rPr>
                <w:sz w:val="18"/>
              </w:rPr>
              <w:t>Socialisation</w:t>
            </w:r>
            <w:r>
              <w:rPr>
                <w:spacing w:val="-4"/>
                <w:sz w:val="18"/>
              </w:rPr>
              <w:t xml:space="preserve"> </w:t>
            </w:r>
            <w:r>
              <w:rPr>
                <w:sz w:val="18"/>
              </w:rPr>
              <w:t>and</w:t>
            </w:r>
            <w:r>
              <w:rPr>
                <w:spacing w:val="-4"/>
                <w:sz w:val="18"/>
              </w:rPr>
              <w:t xml:space="preserve"> </w:t>
            </w:r>
            <w:r>
              <w:rPr>
                <w:sz w:val="18"/>
              </w:rPr>
              <w:t>institutionalisation</w:t>
            </w:r>
            <w:r>
              <w:rPr>
                <w:spacing w:val="-4"/>
                <w:sz w:val="18"/>
              </w:rPr>
              <w:t xml:space="preserve"> </w:t>
            </w:r>
            <w:r>
              <w:rPr>
                <w:sz w:val="18"/>
              </w:rPr>
              <w:t>of</w:t>
            </w:r>
            <w:r>
              <w:rPr>
                <w:spacing w:val="-5"/>
                <w:sz w:val="18"/>
              </w:rPr>
              <w:t xml:space="preserve"> </w:t>
            </w:r>
            <w:r>
              <w:rPr>
                <w:sz w:val="18"/>
              </w:rPr>
              <w:t>Motor</w:t>
            </w:r>
            <w:r>
              <w:rPr>
                <w:spacing w:val="-4"/>
                <w:sz w:val="18"/>
              </w:rPr>
              <w:t xml:space="preserve"> </w:t>
            </w:r>
            <w:r>
              <w:rPr>
                <w:sz w:val="18"/>
              </w:rPr>
              <w:t>Vehicle</w:t>
            </w:r>
            <w:r>
              <w:rPr>
                <w:spacing w:val="-5"/>
                <w:sz w:val="18"/>
              </w:rPr>
              <w:t xml:space="preserve"> </w:t>
            </w:r>
            <w:r>
              <w:rPr>
                <w:sz w:val="18"/>
              </w:rPr>
              <w:t>Tax</w:t>
            </w:r>
            <w:r>
              <w:rPr>
                <w:spacing w:val="-5"/>
                <w:sz w:val="18"/>
              </w:rPr>
              <w:t xml:space="preserve"> </w:t>
            </w:r>
            <w:r>
              <w:rPr>
                <w:sz w:val="18"/>
              </w:rPr>
              <w:t>Waiver</w:t>
            </w:r>
            <w:r>
              <w:rPr>
                <w:spacing w:val="-4"/>
                <w:sz w:val="18"/>
              </w:rPr>
              <w:t xml:space="preserve"> </w:t>
            </w:r>
            <w:r>
              <w:rPr>
                <w:sz w:val="18"/>
              </w:rPr>
              <w:t>policy</w:t>
            </w:r>
            <w:r>
              <w:rPr>
                <w:spacing w:val="-5"/>
                <w:sz w:val="18"/>
              </w:rPr>
              <w:t xml:space="preserve"> </w:t>
            </w:r>
            <w:r>
              <w:rPr>
                <w:sz w:val="18"/>
              </w:rPr>
              <w:t>for</w:t>
            </w:r>
            <w:r>
              <w:rPr>
                <w:spacing w:val="-4"/>
                <w:sz w:val="18"/>
              </w:rPr>
              <w:t xml:space="preserve"> </w:t>
            </w:r>
            <w:r>
              <w:rPr>
                <w:sz w:val="18"/>
              </w:rPr>
              <w:t>taxpayers with disabilities.</w:t>
            </w:r>
          </w:p>
          <w:p w14:paraId="3CCDEA48" w14:textId="77777777" w:rsidR="00BC24A8" w:rsidRDefault="00000000">
            <w:pPr>
              <w:pStyle w:val="TableParagraph"/>
              <w:numPr>
                <w:ilvl w:val="0"/>
                <w:numId w:val="57"/>
              </w:numPr>
              <w:tabs>
                <w:tab w:val="left" w:pos="461"/>
              </w:tabs>
              <w:spacing w:line="219" w:lineRule="exact"/>
              <w:rPr>
                <w:sz w:val="18"/>
              </w:rPr>
            </w:pPr>
            <w:r>
              <w:rPr>
                <w:sz w:val="18"/>
              </w:rPr>
              <w:t>Technical</w:t>
            </w:r>
            <w:r>
              <w:rPr>
                <w:spacing w:val="-1"/>
                <w:sz w:val="18"/>
              </w:rPr>
              <w:t xml:space="preserve"> </w:t>
            </w:r>
            <w:r>
              <w:rPr>
                <w:sz w:val="18"/>
              </w:rPr>
              <w:t>guideline</w:t>
            </w:r>
            <w:r>
              <w:rPr>
                <w:spacing w:val="-2"/>
                <w:sz w:val="18"/>
              </w:rPr>
              <w:t xml:space="preserve"> </w:t>
            </w:r>
            <w:r>
              <w:rPr>
                <w:sz w:val="18"/>
              </w:rPr>
              <w:t>for</w:t>
            </w:r>
            <w:r>
              <w:rPr>
                <w:spacing w:val="-2"/>
                <w:sz w:val="18"/>
              </w:rPr>
              <w:t xml:space="preserve"> </w:t>
            </w:r>
            <w:r>
              <w:rPr>
                <w:sz w:val="18"/>
              </w:rPr>
              <w:t>tax</w:t>
            </w:r>
            <w:r>
              <w:rPr>
                <w:spacing w:val="-2"/>
                <w:sz w:val="18"/>
              </w:rPr>
              <w:t xml:space="preserve"> collectors.</w:t>
            </w:r>
          </w:p>
          <w:p w14:paraId="42A1AC97" w14:textId="77777777" w:rsidR="00BC24A8" w:rsidRDefault="00000000">
            <w:pPr>
              <w:pStyle w:val="TableParagraph"/>
              <w:numPr>
                <w:ilvl w:val="0"/>
                <w:numId w:val="57"/>
              </w:numPr>
              <w:tabs>
                <w:tab w:val="left" w:pos="461"/>
              </w:tabs>
              <w:spacing w:line="219" w:lineRule="exact"/>
              <w:rPr>
                <w:sz w:val="18"/>
              </w:rPr>
            </w:pPr>
            <w:r>
              <w:rPr>
                <w:sz w:val="18"/>
              </w:rPr>
              <w:t>Strengthening</w:t>
            </w:r>
            <w:r>
              <w:rPr>
                <w:spacing w:val="-6"/>
                <w:sz w:val="18"/>
              </w:rPr>
              <w:t xml:space="preserve"> </w:t>
            </w:r>
            <w:r>
              <w:rPr>
                <w:sz w:val="18"/>
              </w:rPr>
              <w:t>the</w:t>
            </w:r>
            <w:r>
              <w:rPr>
                <w:spacing w:val="-5"/>
                <w:sz w:val="18"/>
              </w:rPr>
              <w:t xml:space="preserve"> </w:t>
            </w:r>
            <w:r>
              <w:rPr>
                <w:sz w:val="18"/>
              </w:rPr>
              <w:t>institutional</w:t>
            </w:r>
            <w:r>
              <w:rPr>
                <w:spacing w:val="-1"/>
                <w:sz w:val="18"/>
              </w:rPr>
              <w:t xml:space="preserve"> </w:t>
            </w:r>
            <w:r>
              <w:rPr>
                <w:sz w:val="18"/>
              </w:rPr>
              <w:t>monitoring</w:t>
            </w:r>
            <w:r>
              <w:rPr>
                <w:spacing w:val="-4"/>
                <w:sz w:val="18"/>
              </w:rPr>
              <w:t xml:space="preserve"> </w:t>
            </w:r>
            <w:r>
              <w:rPr>
                <w:sz w:val="18"/>
              </w:rPr>
              <w:t>mechanism</w:t>
            </w:r>
            <w:r>
              <w:rPr>
                <w:spacing w:val="-3"/>
                <w:sz w:val="18"/>
              </w:rPr>
              <w:t xml:space="preserve"> </w:t>
            </w:r>
            <w:r>
              <w:rPr>
                <w:sz w:val="18"/>
              </w:rPr>
              <w:t>of</w:t>
            </w:r>
            <w:r>
              <w:rPr>
                <w:spacing w:val="-3"/>
                <w:sz w:val="18"/>
              </w:rPr>
              <w:t xml:space="preserve"> </w:t>
            </w:r>
            <w:r>
              <w:rPr>
                <w:sz w:val="18"/>
              </w:rPr>
              <w:t>Regional</w:t>
            </w:r>
            <w:r>
              <w:rPr>
                <w:spacing w:val="-5"/>
                <w:sz w:val="18"/>
              </w:rPr>
              <w:t xml:space="preserve"> </w:t>
            </w:r>
            <w:r>
              <w:rPr>
                <w:sz w:val="18"/>
              </w:rPr>
              <w:t>Taxes</w:t>
            </w:r>
            <w:r>
              <w:rPr>
                <w:spacing w:val="-2"/>
                <w:sz w:val="18"/>
              </w:rPr>
              <w:t xml:space="preserve"> </w:t>
            </w:r>
            <w:r>
              <w:rPr>
                <w:sz w:val="18"/>
              </w:rPr>
              <w:t xml:space="preserve">and </w:t>
            </w:r>
            <w:r>
              <w:rPr>
                <w:spacing w:val="-2"/>
                <w:sz w:val="18"/>
              </w:rPr>
              <w:t>Levies.</w:t>
            </w:r>
          </w:p>
          <w:p w14:paraId="4F66EDED" w14:textId="77777777" w:rsidR="00BC24A8" w:rsidRDefault="00000000">
            <w:pPr>
              <w:pStyle w:val="TableParagraph"/>
              <w:numPr>
                <w:ilvl w:val="0"/>
                <w:numId w:val="57"/>
              </w:numPr>
              <w:tabs>
                <w:tab w:val="left" w:pos="461"/>
              </w:tabs>
              <w:ind w:right="288"/>
              <w:rPr>
                <w:sz w:val="18"/>
              </w:rPr>
            </w:pPr>
            <w:r>
              <w:rPr>
                <w:sz w:val="18"/>
              </w:rPr>
              <w:t>Increasing</w:t>
            </w:r>
            <w:r>
              <w:rPr>
                <w:spacing w:val="-5"/>
                <w:sz w:val="18"/>
              </w:rPr>
              <w:t xml:space="preserve"> </w:t>
            </w:r>
            <w:r>
              <w:rPr>
                <w:sz w:val="18"/>
              </w:rPr>
              <w:t>the</w:t>
            </w:r>
            <w:r>
              <w:rPr>
                <w:spacing w:val="-4"/>
                <w:sz w:val="18"/>
              </w:rPr>
              <w:t xml:space="preserve"> </w:t>
            </w:r>
            <w:r>
              <w:rPr>
                <w:sz w:val="18"/>
              </w:rPr>
              <w:t>capacity</w:t>
            </w:r>
            <w:r>
              <w:rPr>
                <w:spacing w:val="-4"/>
                <w:sz w:val="18"/>
              </w:rPr>
              <w:t xml:space="preserve"> </w:t>
            </w:r>
            <w:r>
              <w:rPr>
                <w:sz w:val="18"/>
              </w:rPr>
              <w:t>of</w:t>
            </w:r>
            <w:r>
              <w:rPr>
                <w:spacing w:val="-5"/>
                <w:sz w:val="18"/>
              </w:rPr>
              <w:t xml:space="preserve"> </w:t>
            </w:r>
            <w:r>
              <w:rPr>
                <w:sz w:val="18"/>
              </w:rPr>
              <w:t>human</w:t>
            </w:r>
            <w:r>
              <w:rPr>
                <w:spacing w:val="-4"/>
                <w:sz w:val="18"/>
              </w:rPr>
              <w:t xml:space="preserve"> </w:t>
            </w:r>
            <w:r>
              <w:rPr>
                <w:sz w:val="18"/>
              </w:rPr>
              <w:t>resources</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management</w:t>
            </w:r>
            <w:r>
              <w:rPr>
                <w:spacing w:val="-3"/>
                <w:sz w:val="18"/>
              </w:rPr>
              <w:t xml:space="preserve"> </w:t>
            </w:r>
            <w:r>
              <w:rPr>
                <w:sz w:val="18"/>
              </w:rPr>
              <w:t>and</w:t>
            </w:r>
            <w:r>
              <w:rPr>
                <w:spacing w:val="-4"/>
                <w:sz w:val="18"/>
              </w:rPr>
              <w:t xml:space="preserve"> </w:t>
            </w:r>
            <w:r>
              <w:rPr>
                <w:sz w:val="18"/>
              </w:rPr>
              <w:t>implementation of Regional Taxes and Levies.</w:t>
            </w:r>
          </w:p>
        </w:tc>
      </w:tr>
    </w:tbl>
    <w:p w14:paraId="546D436C" w14:textId="77777777" w:rsidR="00BC24A8" w:rsidRDefault="00BC24A8">
      <w:pPr>
        <w:pStyle w:val="TableParagraph"/>
        <w:rPr>
          <w:sz w:val="18"/>
        </w:rPr>
        <w:sectPr w:rsidR="00BC24A8">
          <w:pgSz w:w="11910" w:h="16840"/>
          <w:pgMar w:top="1400" w:right="850" w:bottom="1100" w:left="1275" w:header="0" w:footer="907" w:gutter="0"/>
          <w:cols w:space="720"/>
        </w:sectPr>
      </w:pPr>
    </w:p>
    <w:p w14:paraId="7EC07559" w14:textId="77777777" w:rsidR="00BC24A8" w:rsidRDefault="00000000">
      <w:pPr>
        <w:pStyle w:val="ListParagraph"/>
        <w:numPr>
          <w:ilvl w:val="1"/>
          <w:numId w:val="61"/>
        </w:numPr>
        <w:tabs>
          <w:tab w:val="left" w:pos="683"/>
        </w:tabs>
        <w:spacing w:before="39"/>
        <w:ind w:hanging="631"/>
        <w:rPr>
          <w:rFonts w:ascii="Calibri"/>
          <w:b/>
        </w:rPr>
      </w:pPr>
      <w:r w:rsidRPr="00795364">
        <w:rPr>
          <w:rFonts w:ascii="Calibri"/>
          <w:b/>
          <w:color w:val="008279"/>
        </w:rPr>
        <w:lastRenderedPageBreak/>
        <w:t>Summary</w:t>
      </w:r>
      <w:r w:rsidRPr="00795364">
        <w:rPr>
          <w:rFonts w:ascii="Calibri"/>
          <w:b/>
          <w:color w:val="008279"/>
          <w:spacing w:val="-6"/>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key</w:t>
      </w:r>
      <w:r w:rsidRPr="00795364">
        <w:rPr>
          <w:rFonts w:ascii="Calibri"/>
          <w:b/>
          <w:color w:val="008279"/>
          <w:spacing w:val="-5"/>
        </w:rPr>
        <w:t xml:space="preserve"> </w:t>
      </w:r>
      <w:r w:rsidRPr="00795364">
        <w:rPr>
          <w:rFonts w:ascii="Calibri"/>
          <w:b/>
          <w:color w:val="008279"/>
          <w:spacing w:val="-2"/>
        </w:rPr>
        <w:t>support/inputs</w:t>
      </w:r>
    </w:p>
    <w:p w14:paraId="3862E5D9" w14:textId="77777777" w:rsidR="00BC24A8" w:rsidRDefault="00BC24A8">
      <w:pPr>
        <w:pStyle w:val="BodyText"/>
        <w:spacing w:before="2"/>
        <w:rPr>
          <w:rFonts w:ascii="Calibri"/>
          <w:b/>
          <w:sz w:val="19"/>
        </w:rPr>
      </w:pPr>
    </w:p>
    <w:tbl>
      <w:tblPr>
        <w:tblW w:w="0" w:type="auto"/>
        <w:tblInd w:w="150" w:type="dxa"/>
        <w:tblLayout w:type="fixed"/>
        <w:tblCellMar>
          <w:left w:w="0" w:type="dxa"/>
          <w:right w:w="0" w:type="dxa"/>
        </w:tblCellMar>
        <w:tblLook w:val="01E0" w:firstRow="1" w:lastRow="1" w:firstColumn="1" w:lastColumn="1" w:noHBand="0" w:noVBand="0"/>
      </w:tblPr>
      <w:tblGrid>
        <w:gridCol w:w="1620"/>
        <w:gridCol w:w="1620"/>
        <w:gridCol w:w="180"/>
        <w:gridCol w:w="1351"/>
        <w:gridCol w:w="2609"/>
        <w:gridCol w:w="1620"/>
      </w:tblGrid>
      <w:tr w:rsidR="00BC24A8" w14:paraId="01662C36" w14:textId="77777777">
        <w:trPr>
          <w:trHeight w:val="643"/>
        </w:trPr>
        <w:tc>
          <w:tcPr>
            <w:tcW w:w="1620" w:type="dxa"/>
            <w:shd w:val="clear" w:color="auto" w:fill="17365A"/>
          </w:tcPr>
          <w:p w14:paraId="45187BE4" w14:textId="77777777" w:rsidR="00BC24A8" w:rsidRDefault="00000000">
            <w:pPr>
              <w:pStyle w:val="TableParagraph"/>
              <w:spacing w:before="191"/>
              <w:ind w:left="107"/>
              <w:rPr>
                <w:rFonts w:ascii="Calibri"/>
                <w:b/>
                <w:sz w:val="20"/>
              </w:rPr>
            </w:pPr>
            <w:r>
              <w:rPr>
                <w:rFonts w:ascii="Calibri"/>
                <w:b/>
                <w:color w:val="FFFFFF"/>
                <w:spacing w:val="-2"/>
                <w:sz w:val="20"/>
              </w:rPr>
              <w:t>Theme</w:t>
            </w:r>
          </w:p>
        </w:tc>
        <w:tc>
          <w:tcPr>
            <w:tcW w:w="1800" w:type="dxa"/>
            <w:gridSpan w:val="2"/>
            <w:shd w:val="clear" w:color="auto" w:fill="17365A"/>
          </w:tcPr>
          <w:p w14:paraId="5755AD4C" w14:textId="77777777" w:rsidR="00BC24A8" w:rsidRDefault="00000000">
            <w:pPr>
              <w:pStyle w:val="TableParagraph"/>
              <w:spacing w:before="59"/>
              <w:ind w:left="451"/>
              <w:rPr>
                <w:rFonts w:ascii="Calibri"/>
                <w:b/>
                <w:sz w:val="20"/>
              </w:rPr>
            </w:pPr>
            <w:r>
              <w:rPr>
                <w:rFonts w:ascii="Calibri"/>
                <w:b/>
                <w:color w:val="FFFFFF"/>
                <w:sz w:val="20"/>
              </w:rPr>
              <w:t>Number</w:t>
            </w:r>
            <w:r>
              <w:rPr>
                <w:rFonts w:ascii="Calibri"/>
                <w:b/>
                <w:color w:val="FFFFFF"/>
                <w:spacing w:val="-5"/>
                <w:sz w:val="20"/>
              </w:rPr>
              <w:t xml:space="preserve"> of</w:t>
            </w:r>
          </w:p>
          <w:p w14:paraId="0CE623CA" w14:textId="77777777" w:rsidR="00BC24A8" w:rsidRDefault="00000000">
            <w:pPr>
              <w:pStyle w:val="TableParagraph"/>
              <w:spacing w:before="20"/>
              <w:ind w:left="429"/>
              <w:rPr>
                <w:rFonts w:ascii="Calibri"/>
                <w:b/>
                <w:sz w:val="20"/>
              </w:rPr>
            </w:pPr>
            <w:r>
              <w:rPr>
                <w:rFonts w:ascii="Calibri"/>
                <w:b/>
                <w:color w:val="FFFFFF"/>
                <w:spacing w:val="-2"/>
                <w:sz w:val="20"/>
              </w:rPr>
              <w:t>Workshops</w:t>
            </w:r>
          </w:p>
        </w:tc>
        <w:tc>
          <w:tcPr>
            <w:tcW w:w="1351" w:type="dxa"/>
            <w:shd w:val="clear" w:color="auto" w:fill="17365A"/>
          </w:tcPr>
          <w:p w14:paraId="73F7B46D" w14:textId="77777777" w:rsidR="00BC24A8" w:rsidRDefault="00000000">
            <w:pPr>
              <w:pStyle w:val="TableParagraph"/>
              <w:spacing w:before="59" w:line="259" w:lineRule="auto"/>
              <w:ind w:left="563" w:right="222" w:hanging="339"/>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 xml:space="preserve">of </w:t>
            </w:r>
            <w:r>
              <w:rPr>
                <w:rFonts w:ascii="Calibri"/>
                <w:b/>
                <w:color w:val="FFFFFF"/>
                <w:spacing w:val="-6"/>
                <w:sz w:val="20"/>
              </w:rPr>
              <w:t>TA</w:t>
            </w:r>
          </w:p>
        </w:tc>
        <w:tc>
          <w:tcPr>
            <w:tcW w:w="2609" w:type="dxa"/>
            <w:shd w:val="clear" w:color="auto" w:fill="17365A"/>
          </w:tcPr>
          <w:p w14:paraId="00D1B4B6" w14:textId="77777777" w:rsidR="00BC24A8" w:rsidRDefault="00000000">
            <w:pPr>
              <w:pStyle w:val="TableParagraph"/>
              <w:spacing w:before="59"/>
              <w:ind w:left="4" w:right="5"/>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2"/>
                <w:sz w:val="20"/>
              </w:rPr>
              <w:t>Technical</w:t>
            </w:r>
          </w:p>
          <w:p w14:paraId="080E4804" w14:textId="77777777" w:rsidR="00BC24A8" w:rsidRDefault="00000000">
            <w:pPr>
              <w:pStyle w:val="TableParagraph"/>
              <w:spacing w:before="20"/>
              <w:ind w:right="5"/>
              <w:jc w:val="center"/>
              <w:rPr>
                <w:rFonts w:ascii="Calibri"/>
                <w:b/>
                <w:sz w:val="20"/>
              </w:rPr>
            </w:pPr>
            <w:r>
              <w:rPr>
                <w:rFonts w:ascii="Calibri"/>
                <w:b/>
                <w:color w:val="FFFFFF"/>
                <w:spacing w:val="-2"/>
                <w:sz w:val="20"/>
              </w:rPr>
              <w:t>Guideline</w:t>
            </w:r>
          </w:p>
        </w:tc>
        <w:tc>
          <w:tcPr>
            <w:tcW w:w="1620" w:type="dxa"/>
            <w:shd w:val="clear" w:color="auto" w:fill="17365A"/>
          </w:tcPr>
          <w:p w14:paraId="26ED8724" w14:textId="77777777" w:rsidR="00BC24A8" w:rsidRDefault="00000000">
            <w:pPr>
              <w:pStyle w:val="TableParagraph"/>
              <w:spacing w:before="59" w:line="259" w:lineRule="auto"/>
              <w:ind w:left="547" w:right="359" w:hanging="188"/>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 xml:space="preserve">of </w:t>
            </w:r>
            <w:r>
              <w:rPr>
                <w:rFonts w:ascii="Calibri"/>
                <w:b/>
                <w:color w:val="FFFFFF"/>
                <w:spacing w:val="-2"/>
                <w:sz w:val="20"/>
              </w:rPr>
              <w:t>Inputs</w:t>
            </w:r>
          </w:p>
        </w:tc>
      </w:tr>
      <w:tr w:rsidR="00BC24A8" w14:paraId="184D91D1" w14:textId="77777777">
        <w:trPr>
          <w:trHeight w:val="438"/>
        </w:trPr>
        <w:tc>
          <w:tcPr>
            <w:tcW w:w="1620" w:type="dxa"/>
            <w:tcBorders>
              <w:bottom w:val="single" w:sz="4" w:space="0" w:color="BEBEBE"/>
            </w:tcBorders>
          </w:tcPr>
          <w:p w14:paraId="47BAD152" w14:textId="77777777" w:rsidR="00BC24A8" w:rsidRDefault="00000000">
            <w:pPr>
              <w:pStyle w:val="TableParagraph"/>
              <w:spacing w:before="162"/>
              <w:ind w:left="107"/>
              <w:rPr>
                <w:sz w:val="18"/>
              </w:rPr>
            </w:pPr>
            <w:r>
              <w:rPr>
                <w:spacing w:val="-5"/>
                <w:sz w:val="18"/>
              </w:rPr>
              <w:t>DNA</w:t>
            </w:r>
          </w:p>
        </w:tc>
        <w:tc>
          <w:tcPr>
            <w:tcW w:w="1620" w:type="dxa"/>
            <w:tcBorders>
              <w:bottom w:val="single" w:sz="4" w:space="0" w:color="BEBEBE"/>
            </w:tcBorders>
          </w:tcPr>
          <w:p w14:paraId="64FD13BD" w14:textId="77777777" w:rsidR="00BC24A8" w:rsidRDefault="00000000">
            <w:pPr>
              <w:pStyle w:val="TableParagraph"/>
              <w:spacing w:before="131"/>
              <w:ind w:left="6" w:right="6"/>
              <w:jc w:val="center"/>
              <w:rPr>
                <w:sz w:val="18"/>
              </w:rPr>
            </w:pPr>
            <w:r>
              <w:rPr>
                <w:spacing w:val="-5"/>
                <w:sz w:val="18"/>
              </w:rPr>
              <w:t>13</w:t>
            </w:r>
          </w:p>
        </w:tc>
        <w:tc>
          <w:tcPr>
            <w:tcW w:w="180" w:type="dxa"/>
            <w:tcBorders>
              <w:bottom w:val="single" w:sz="4" w:space="0" w:color="BEBEBE"/>
            </w:tcBorders>
          </w:tcPr>
          <w:p w14:paraId="5BEB184B" w14:textId="77777777" w:rsidR="00BC24A8" w:rsidRDefault="00BC24A8">
            <w:pPr>
              <w:pStyle w:val="TableParagraph"/>
              <w:rPr>
                <w:rFonts w:ascii="Times New Roman"/>
                <w:sz w:val="18"/>
              </w:rPr>
            </w:pPr>
          </w:p>
        </w:tc>
        <w:tc>
          <w:tcPr>
            <w:tcW w:w="1351" w:type="dxa"/>
            <w:tcBorders>
              <w:bottom w:val="single" w:sz="4" w:space="0" w:color="BEBEBE"/>
            </w:tcBorders>
          </w:tcPr>
          <w:p w14:paraId="650FDEE5" w14:textId="77777777" w:rsidR="00BC24A8" w:rsidRDefault="00000000">
            <w:pPr>
              <w:pStyle w:val="TableParagraph"/>
              <w:spacing w:before="131"/>
              <w:ind w:left="556"/>
              <w:rPr>
                <w:sz w:val="18"/>
              </w:rPr>
            </w:pPr>
            <w:r>
              <w:rPr>
                <w:spacing w:val="-10"/>
                <w:sz w:val="18"/>
              </w:rPr>
              <w:t>-</w:t>
            </w:r>
          </w:p>
        </w:tc>
        <w:tc>
          <w:tcPr>
            <w:tcW w:w="2609" w:type="dxa"/>
            <w:tcBorders>
              <w:bottom w:val="single" w:sz="4" w:space="0" w:color="BEBEBE"/>
            </w:tcBorders>
          </w:tcPr>
          <w:p w14:paraId="2CE6D561" w14:textId="77777777" w:rsidR="00BC24A8" w:rsidRDefault="00000000">
            <w:pPr>
              <w:pStyle w:val="TableParagraph"/>
              <w:spacing w:before="131"/>
              <w:ind w:left="1" w:right="5"/>
              <w:jc w:val="center"/>
              <w:rPr>
                <w:sz w:val="18"/>
              </w:rPr>
            </w:pPr>
            <w:r>
              <w:rPr>
                <w:spacing w:val="-10"/>
                <w:sz w:val="18"/>
              </w:rPr>
              <w:t>6</w:t>
            </w:r>
          </w:p>
        </w:tc>
        <w:tc>
          <w:tcPr>
            <w:tcW w:w="1620" w:type="dxa"/>
            <w:tcBorders>
              <w:bottom w:val="single" w:sz="4" w:space="0" w:color="BEBEBE"/>
            </w:tcBorders>
          </w:tcPr>
          <w:p w14:paraId="2E94AA14" w14:textId="77777777" w:rsidR="00BC24A8" w:rsidRDefault="00000000">
            <w:pPr>
              <w:pStyle w:val="TableParagraph"/>
              <w:spacing w:before="102"/>
              <w:ind w:left="6" w:right="6"/>
              <w:jc w:val="center"/>
              <w:rPr>
                <w:sz w:val="18"/>
              </w:rPr>
            </w:pPr>
            <w:r>
              <w:rPr>
                <w:spacing w:val="-5"/>
                <w:sz w:val="18"/>
              </w:rPr>
              <w:t>19</w:t>
            </w:r>
          </w:p>
        </w:tc>
      </w:tr>
      <w:tr w:rsidR="00BC24A8" w14:paraId="56B73078" w14:textId="77777777">
        <w:trPr>
          <w:trHeight w:val="393"/>
        </w:trPr>
        <w:tc>
          <w:tcPr>
            <w:tcW w:w="1620" w:type="dxa"/>
            <w:tcBorders>
              <w:top w:val="single" w:sz="4" w:space="0" w:color="BEBEBE"/>
              <w:bottom w:val="single" w:sz="4" w:space="0" w:color="BEBEBE"/>
            </w:tcBorders>
          </w:tcPr>
          <w:p w14:paraId="72DFBC84" w14:textId="77777777" w:rsidR="00BC24A8" w:rsidRDefault="00000000">
            <w:pPr>
              <w:pStyle w:val="TableParagraph"/>
              <w:spacing w:before="116"/>
              <w:ind w:left="107"/>
              <w:rPr>
                <w:sz w:val="18"/>
              </w:rPr>
            </w:pPr>
            <w:r>
              <w:rPr>
                <w:spacing w:val="-5"/>
                <w:sz w:val="18"/>
              </w:rPr>
              <w:t>SPM</w:t>
            </w:r>
          </w:p>
        </w:tc>
        <w:tc>
          <w:tcPr>
            <w:tcW w:w="1620" w:type="dxa"/>
            <w:tcBorders>
              <w:top w:val="single" w:sz="4" w:space="0" w:color="BEBEBE"/>
              <w:bottom w:val="single" w:sz="4" w:space="0" w:color="BEBEBE"/>
            </w:tcBorders>
          </w:tcPr>
          <w:p w14:paraId="0C4FF9A2" w14:textId="77777777" w:rsidR="00BC24A8" w:rsidRDefault="00000000">
            <w:pPr>
              <w:pStyle w:val="TableParagraph"/>
              <w:spacing w:before="87"/>
              <w:ind w:left="6" w:right="6"/>
              <w:jc w:val="center"/>
              <w:rPr>
                <w:sz w:val="18"/>
              </w:rPr>
            </w:pPr>
            <w:r>
              <w:rPr>
                <w:spacing w:val="-10"/>
                <w:sz w:val="18"/>
              </w:rPr>
              <w:t>9</w:t>
            </w:r>
          </w:p>
        </w:tc>
        <w:tc>
          <w:tcPr>
            <w:tcW w:w="180" w:type="dxa"/>
            <w:tcBorders>
              <w:top w:val="single" w:sz="4" w:space="0" w:color="BEBEBE"/>
              <w:bottom w:val="single" w:sz="4" w:space="0" w:color="BEBEBE"/>
            </w:tcBorders>
          </w:tcPr>
          <w:p w14:paraId="7328820E" w14:textId="77777777" w:rsidR="00BC24A8" w:rsidRDefault="00BC24A8">
            <w:pPr>
              <w:pStyle w:val="TableParagraph"/>
              <w:rPr>
                <w:rFonts w:ascii="Times New Roman"/>
                <w:sz w:val="18"/>
              </w:rPr>
            </w:pPr>
          </w:p>
        </w:tc>
        <w:tc>
          <w:tcPr>
            <w:tcW w:w="1351" w:type="dxa"/>
            <w:tcBorders>
              <w:top w:val="single" w:sz="4" w:space="0" w:color="BEBEBE"/>
              <w:bottom w:val="single" w:sz="4" w:space="0" w:color="BEBEBE"/>
            </w:tcBorders>
          </w:tcPr>
          <w:p w14:paraId="74125ADA" w14:textId="77777777" w:rsidR="00BC24A8" w:rsidRDefault="00BC24A8">
            <w:pPr>
              <w:pStyle w:val="TableParagraph"/>
              <w:rPr>
                <w:rFonts w:ascii="Times New Roman"/>
                <w:sz w:val="18"/>
              </w:rPr>
            </w:pPr>
          </w:p>
        </w:tc>
        <w:tc>
          <w:tcPr>
            <w:tcW w:w="2609" w:type="dxa"/>
            <w:tcBorders>
              <w:top w:val="single" w:sz="4" w:space="0" w:color="BEBEBE"/>
              <w:bottom w:val="single" w:sz="4" w:space="0" w:color="BEBEBE"/>
            </w:tcBorders>
          </w:tcPr>
          <w:p w14:paraId="7F34627D" w14:textId="77777777" w:rsidR="00BC24A8" w:rsidRDefault="00000000">
            <w:pPr>
              <w:pStyle w:val="TableParagraph"/>
              <w:spacing w:before="87"/>
              <w:ind w:left="3" w:right="5"/>
              <w:jc w:val="center"/>
              <w:rPr>
                <w:sz w:val="18"/>
              </w:rPr>
            </w:pPr>
            <w:r>
              <w:rPr>
                <w:spacing w:val="-10"/>
                <w:sz w:val="18"/>
              </w:rPr>
              <w:t>-</w:t>
            </w:r>
          </w:p>
        </w:tc>
        <w:tc>
          <w:tcPr>
            <w:tcW w:w="1620" w:type="dxa"/>
            <w:tcBorders>
              <w:top w:val="single" w:sz="4" w:space="0" w:color="BEBEBE"/>
              <w:bottom w:val="single" w:sz="4" w:space="0" w:color="BEBEBE"/>
            </w:tcBorders>
          </w:tcPr>
          <w:p w14:paraId="17B35B03" w14:textId="77777777" w:rsidR="00BC24A8" w:rsidRDefault="00000000">
            <w:pPr>
              <w:pStyle w:val="TableParagraph"/>
              <w:spacing w:before="59"/>
              <w:ind w:left="6" w:right="6"/>
              <w:jc w:val="center"/>
              <w:rPr>
                <w:sz w:val="18"/>
              </w:rPr>
            </w:pPr>
            <w:r>
              <w:rPr>
                <w:spacing w:val="-10"/>
                <w:sz w:val="18"/>
              </w:rPr>
              <w:t>9</w:t>
            </w:r>
          </w:p>
        </w:tc>
      </w:tr>
      <w:tr w:rsidR="00BC24A8" w14:paraId="11DB2246" w14:textId="77777777">
        <w:trPr>
          <w:trHeight w:val="393"/>
        </w:trPr>
        <w:tc>
          <w:tcPr>
            <w:tcW w:w="1620" w:type="dxa"/>
            <w:tcBorders>
              <w:top w:val="single" w:sz="4" w:space="0" w:color="BEBEBE"/>
              <w:bottom w:val="single" w:sz="4" w:space="0" w:color="BEBEBE"/>
            </w:tcBorders>
          </w:tcPr>
          <w:p w14:paraId="4CCB5624" w14:textId="77777777" w:rsidR="00BC24A8" w:rsidRDefault="00000000">
            <w:pPr>
              <w:pStyle w:val="TableParagraph"/>
              <w:spacing w:before="116"/>
              <w:ind w:left="107"/>
              <w:rPr>
                <w:sz w:val="18"/>
              </w:rPr>
            </w:pPr>
            <w:r>
              <w:rPr>
                <w:spacing w:val="-5"/>
                <w:sz w:val="18"/>
              </w:rPr>
              <w:t>PFM</w:t>
            </w:r>
          </w:p>
        </w:tc>
        <w:tc>
          <w:tcPr>
            <w:tcW w:w="1620" w:type="dxa"/>
            <w:tcBorders>
              <w:top w:val="single" w:sz="4" w:space="0" w:color="BEBEBE"/>
              <w:bottom w:val="single" w:sz="4" w:space="0" w:color="BEBEBE"/>
            </w:tcBorders>
          </w:tcPr>
          <w:p w14:paraId="2FB48828" w14:textId="77777777" w:rsidR="00BC24A8" w:rsidRDefault="00000000">
            <w:pPr>
              <w:pStyle w:val="TableParagraph"/>
              <w:spacing w:before="87"/>
              <w:ind w:left="6" w:right="6"/>
              <w:jc w:val="center"/>
              <w:rPr>
                <w:sz w:val="18"/>
              </w:rPr>
            </w:pPr>
            <w:r>
              <w:rPr>
                <w:spacing w:val="-10"/>
                <w:sz w:val="18"/>
              </w:rPr>
              <w:t>7</w:t>
            </w:r>
          </w:p>
        </w:tc>
        <w:tc>
          <w:tcPr>
            <w:tcW w:w="180" w:type="dxa"/>
            <w:tcBorders>
              <w:top w:val="single" w:sz="4" w:space="0" w:color="BEBEBE"/>
              <w:bottom w:val="single" w:sz="4" w:space="0" w:color="BEBEBE"/>
            </w:tcBorders>
          </w:tcPr>
          <w:p w14:paraId="3BD841A5" w14:textId="77777777" w:rsidR="00BC24A8" w:rsidRDefault="00BC24A8">
            <w:pPr>
              <w:pStyle w:val="TableParagraph"/>
              <w:rPr>
                <w:rFonts w:ascii="Times New Roman"/>
                <w:sz w:val="18"/>
              </w:rPr>
            </w:pPr>
          </w:p>
        </w:tc>
        <w:tc>
          <w:tcPr>
            <w:tcW w:w="1351" w:type="dxa"/>
            <w:tcBorders>
              <w:top w:val="single" w:sz="4" w:space="0" w:color="BEBEBE"/>
              <w:bottom w:val="single" w:sz="4" w:space="0" w:color="BEBEBE"/>
            </w:tcBorders>
          </w:tcPr>
          <w:p w14:paraId="725B2BFB" w14:textId="77777777" w:rsidR="00BC24A8" w:rsidRDefault="00000000">
            <w:pPr>
              <w:pStyle w:val="TableParagraph"/>
              <w:spacing w:before="87"/>
              <w:ind w:left="537"/>
              <w:rPr>
                <w:sz w:val="18"/>
              </w:rPr>
            </w:pPr>
            <w:r>
              <w:rPr>
                <w:spacing w:val="-10"/>
                <w:sz w:val="18"/>
              </w:rPr>
              <w:t>1</w:t>
            </w:r>
          </w:p>
        </w:tc>
        <w:tc>
          <w:tcPr>
            <w:tcW w:w="2609" w:type="dxa"/>
            <w:tcBorders>
              <w:top w:val="single" w:sz="4" w:space="0" w:color="BEBEBE"/>
              <w:bottom w:val="single" w:sz="4" w:space="0" w:color="BEBEBE"/>
            </w:tcBorders>
          </w:tcPr>
          <w:p w14:paraId="2EB3429B" w14:textId="77777777" w:rsidR="00BC24A8" w:rsidRDefault="00000000">
            <w:pPr>
              <w:pStyle w:val="TableParagraph"/>
              <w:spacing w:before="87"/>
              <w:ind w:left="1" w:right="5"/>
              <w:jc w:val="center"/>
              <w:rPr>
                <w:sz w:val="18"/>
              </w:rPr>
            </w:pPr>
            <w:r>
              <w:rPr>
                <w:spacing w:val="-10"/>
                <w:sz w:val="18"/>
              </w:rPr>
              <w:t>1</w:t>
            </w:r>
          </w:p>
        </w:tc>
        <w:tc>
          <w:tcPr>
            <w:tcW w:w="1620" w:type="dxa"/>
            <w:tcBorders>
              <w:top w:val="single" w:sz="4" w:space="0" w:color="BEBEBE"/>
              <w:bottom w:val="single" w:sz="4" w:space="0" w:color="BEBEBE"/>
            </w:tcBorders>
          </w:tcPr>
          <w:p w14:paraId="2E0F090E" w14:textId="77777777" w:rsidR="00BC24A8" w:rsidRDefault="00000000">
            <w:pPr>
              <w:pStyle w:val="TableParagraph"/>
              <w:spacing w:before="59"/>
              <w:ind w:left="6" w:right="6"/>
              <w:jc w:val="center"/>
              <w:rPr>
                <w:sz w:val="18"/>
              </w:rPr>
            </w:pPr>
            <w:r>
              <w:rPr>
                <w:spacing w:val="-10"/>
                <w:sz w:val="18"/>
              </w:rPr>
              <w:t>9</w:t>
            </w:r>
          </w:p>
        </w:tc>
      </w:tr>
      <w:tr w:rsidR="00BC24A8" w14:paraId="028883DB" w14:textId="77777777">
        <w:trPr>
          <w:trHeight w:val="436"/>
        </w:trPr>
        <w:tc>
          <w:tcPr>
            <w:tcW w:w="1620" w:type="dxa"/>
            <w:tcBorders>
              <w:top w:val="single" w:sz="4" w:space="0" w:color="BEBEBE"/>
            </w:tcBorders>
          </w:tcPr>
          <w:p w14:paraId="1EBE9626" w14:textId="77777777" w:rsidR="00BC24A8" w:rsidRDefault="00000000">
            <w:pPr>
              <w:pStyle w:val="TableParagraph"/>
              <w:spacing w:before="119"/>
              <w:ind w:left="107"/>
              <w:rPr>
                <w:sz w:val="18"/>
              </w:rPr>
            </w:pPr>
            <w:r>
              <w:rPr>
                <w:spacing w:val="-2"/>
                <w:sz w:val="18"/>
              </w:rPr>
              <w:t>GEDSI</w:t>
            </w:r>
          </w:p>
        </w:tc>
        <w:tc>
          <w:tcPr>
            <w:tcW w:w="1620" w:type="dxa"/>
            <w:tcBorders>
              <w:top w:val="single" w:sz="4" w:space="0" w:color="BEBEBE"/>
            </w:tcBorders>
          </w:tcPr>
          <w:p w14:paraId="1092E48F" w14:textId="77777777" w:rsidR="00BC24A8" w:rsidRDefault="00000000">
            <w:pPr>
              <w:pStyle w:val="TableParagraph"/>
              <w:spacing w:before="87"/>
              <w:ind w:left="6" w:right="6"/>
              <w:jc w:val="center"/>
              <w:rPr>
                <w:sz w:val="18"/>
              </w:rPr>
            </w:pPr>
            <w:r>
              <w:rPr>
                <w:spacing w:val="-10"/>
                <w:sz w:val="18"/>
              </w:rPr>
              <w:t>9</w:t>
            </w:r>
          </w:p>
        </w:tc>
        <w:tc>
          <w:tcPr>
            <w:tcW w:w="180" w:type="dxa"/>
            <w:tcBorders>
              <w:top w:val="single" w:sz="4" w:space="0" w:color="BEBEBE"/>
            </w:tcBorders>
          </w:tcPr>
          <w:p w14:paraId="6E56F0A1" w14:textId="77777777" w:rsidR="00BC24A8" w:rsidRDefault="00BC24A8">
            <w:pPr>
              <w:pStyle w:val="TableParagraph"/>
              <w:rPr>
                <w:rFonts w:ascii="Times New Roman"/>
                <w:sz w:val="18"/>
              </w:rPr>
            </w:pPr>
          </w:p>
        </w:tc>
        <w:tc>
          <w:tcPr>
            <w:tcW w:w="1351" w:type="dxa"/>
            <w:tcBorders>
              <w:top w:val="single" w:sz="4" w:space="0" w:color="BEBEBE"/>
            </w:tcBorders>
          </w:tcPr>
          <w:p w14:paraId="185A308D" w14:textId="77777777" w:rsidR="00BC24A8" w:rsidRDefault="00000000">
            <w:pPr>
              <w:pStyle w:val="TableParagraph"/>
              <w:spacing w:before="87"/>
              <w:ind w:left="537"/>
              <w:rPr>
                <w:sz w:val="18"/>
              </w:rPr>
            </w:pPr>
            <w:r>
              <w:rPr>
                <w:spacing w:val="-10"/>
                <w:sz w:val="18"/>
              </w:rPr>
              <w:t>1</w:t>
            </w:r>
          </w:p>
        </w:tc>
        <w:tc>
          <w:tcPr>
            <w:tcW w:w="2609" w:type="dxa"/>
            <w:tcBorders>
              <w:top w:val="single" w:sz="4" w:space="0" w:color="BEBEBE"/>
            </w:tcBorders>
          </w:tcPr>
          <w:p w14:paraId="57053F9A" w14:textId="77777777" w:rsidR="00BC24A8" w:rsidRDefault="00000000">
            <w:pPr>
              <w:pStyle w:val="TableParagraph"/>
              <w:spacing w:before="87"/>
              <w:ind w:left="1" w:right="5"/>
              <w:jc w:val="center"/>
              <w:rPr>
                <w:sz w:val="18"/>
              </w:rPr>
            </w:pPr>
            <w:r>
              <w:rPr>
                <w:spacing w:val="-10"/>
                <w:sz w:val="18"/>
              </w:rPr>
              <w:t>2</w:t>
            </w:r>
          </w:p>
        </w:tc>
        <w:tc>
          <w:tcPr>
            <w:tcW w:w="1620" w:type="dxa"/>
            <w:tcBorders>
              <w:top w:val="single" w:sz="4" w:space="0" w:color="BEBEBE"/>
            </w:tcBorders>
          </w:tcPr>
          <w:p w14:paraId="7F65E17D" w14:textId="77777777" w:rsidR="00BC24A8" w:rsidRDefault="00000000">
            <w:pPr>
              <w:pStyle w:val="TableParagraph"/>
              <w:spacing w:before="59"/>
              <w:ind w:left="6" w:right="6"/>
              <w:jc w:val="center"/>
              <w:rPr>
                <w:sz w:val="18"/>
              </w:rPr>
            </w:pPr>
            <w:r>
              <w:rPr>
                <w:spacing w:val="-5"/>
                <w:sz w:val="18"/>
              </w:rPr>
              <w:t>12</w:t>
            </w:r>
          </w:p>
        </w:tc>
      </w:tr>
      <w:tr w:rsidR="00BC24A8" w14:paraId="6DCA67E6" w14:textId="77777777">
        <w:trPr>
          <w:trHeight w:val="335"/>
        </w:trPr>
        <w:tc>
          <w:tcPr>
            <w:tcW w:w="1620" w:type="dxa"/>
            <w:tcBorders>
              <w:bottom w:val="single" w:sz="4" w:space="0" w:color="BEBEBE"/>
              <w:right w:val="single" w:sz="18" w:space="0" w:color="FFFFFF"/>
            </w:tcBorders>
            <w:shd w:val="clear" w:color="auto" w:fill="A7A9AC"/>
          </w:tcPr>
          <w:p w14:paraId="4A371D62" w14:textId="77777777" w:rsidR="00BC24A8" w:rsidRDefault="00000000">
            <w:pPr>
              <w:pStyle w:val="TableParagraph"/>
              <w:spacing w:before="59"/>
              <w:ind w:left="107"/>
              <w:rPr>
                <w:rFonts w:ascii="Calibri"/>
                <w:b/>
                <w:sz w:val="18"/>
              </w:rPr>
            </w:pPr>
            <w:r w:rsidRPr="00795364">
              <w:rPr>
                <w:rFonts w:ascii="Calibri"/>
                <w:b/>
                <w:color w:val="000000"/>
                <w:spacing w:val="-2"/>
                <w:sz w:val="18"/>
              </w:rPr>
              <w:t>Total</w:t>
            </w:r>
          </w:p>
        </w:tc>
        <w:tc>
          <w:tcPr>
            <w:tcW w:w="1620" w:type="dxa"/>
            <w:tcBorders>
              <w:left w:val="single" w:sz="18" w:space="0" w:color="FFFFFF"/>
              <w:bottom w:val="single" w:sz="4" w:space="0" w:color="BEBEBE"/>
              <w:right w:val="single" w:sz="18" w:space="0" w:color="FFFFFF"/>
            </w:tcBorders>
            <w:shd w:val="clear" w:color="auto" w:fill="A7A9AC"/>
          </w:tcPr>
          <w:p w14:paraId="3F6F149E" w14:textId="77777777" w:rsidR="00BC24A8" w:rsidRDefault="00000000">
            <w:pPr>
              <w:pStyle w:val="TableParagraph"/>
              <w:spacing w:before="59"/>
              <w:ind w:left="4" w:right="4"/>
              <w:jc w:val="center"/>
              <w:rPr>
                <w:rFonts w:ascii="Calibri"/>
                <w:b/>
                <w:sz w:val="18"/>
              </w:rPr>
            </w:pPr>
            <w:r w:rsidRPr="00795364">
              <w:rPr>
                <w:rFonts w:ascii="Calibri"/>
                <w:b/>
                <w:color w:val="000000"/>
                <w:spacing w:val="-5"/>
                <w:sz w:val="18"/>
              </w:rPr>
              <w:t>38</w:t>
            </w:r>
          </w:p>
        </w:tc>
        <w:tc>
          <w:tcPr>
            <w:tcW w:w="1531" w:type="dxa"/>
            <w:gridSpan w:val="2"/>
            <w:tcBorders>
              <w:left w:val="single" w:sz="18" w:space="0" w:color="FFFFFF"/>
              <w:bottom w:val="single" w:sz="4" w:space="0" w:color="BEBEBE"/>
              <w:right w:val="single" w:sz="18" w:space="0" w:color="FFFFFF"/>
            </w:tcBorders>
            <w:shd w:val="clear" w:color="auto" w:fill="A7A9AC"/>
          </w:tcPr>
          <w:p w14:paraId="2376BDFA" w14:textId="77777777" w:rsidR="00BC24A8" w:rsidRDefault="00000000">
            <w:pPr>
              <w:pStyle w:val="TableParagraph"/>
              <w:spacing w:before="59"/>
              <w:ind w:right="2"/>
              <w:jc w:val="center"/>
              <w:rPr>
                <w:rFonts w:ascii="Calibri"/>
                <w:b/>
                <w:sz w:val="18"/>
              </w:rPr>
            </w:pPr>
            <w:r w:rsidRPr="00795364">
              <w:rPr>
                <w:rFonts w:ascii="Calibri"/>
                <w:b/>
                <w:color w:val="000000"/>
                <w:spacing w:val="-10"/>
                <w:sz w:val="18"/>
              </w:rPr>
              <w:t>2</w:t>
            </w:r>
          </w:p>
        </w:tc>
        <w:tc>
          <w:tcPr>
            <w:tcW w:w="2609" w:type="dxa"/>
            <w:tcBorders>
              <w:left w:val="single" w:sz="18" w:space="0" w:color="FFFFFF"/>
              <w:bottom w:val="single" w:sz="4" w:space="0" w:color="BEBEBE"/>
              <w:right w:val="single" w:sz="18" w:space="0" w:color="FFFFFF"/>
            </w:tcBorders>
            <w:shd w:val="clear" w:color="auto" w:fill="A7A9AC"/>
          </w:tcPr>
          <w:p w14:paraId="1D62EBBA" w14:textId="77777777" w:rsidR="00BC24A8" w:rsidRDefault="00000000">
            <w:pPr>
              <w:pStyle w:val="TableParagraph"/>
              <w:spacing w:before="59"/>
              <w:ind w:right="4"/>
              <w:jc w:val="center"/>
              <w:rPr>
                <w:rFonts w:ascii="Calibri"/>
                <w:b/>
                <w:sz w:val="18"/>
              </w:rPr>
            </w:pPr>
            <w:r w:rsidRPr="00795364">
              <w:rPr>
                <w:rFonts w:ascii="Calibri"/>
                <w:b/>
                <w:color w:val="000000"/>
                <w:spacing w:val="-10"/>
                <w:sz w:val="18"/>
              </w:rPr>
              <w:t>9</w:t>
            </w:r>
          </w:p>
        </w:tc>
        <w:tc>
          <w:tcPr>
            <w:tcW w:w="1620" w:type="dxa"/>
            <w:tcBorders>
              <w:left w:val="single" w:sz="18" w:space="0" w:color="FFFFFF"/>
              <w:bottom w:val="single" w:sz="4" w:space="0" w:color="BEBEBE"/>
            </w:tcBorders>
            <w:shd w:val="clear" w:color="auto" w:fill="A7A9AC"/>
          </w:tcPr>
          <w:p w14:paraId="76F9F21E" w14:textId="77777777" w:rsidR="00BC24A8" w:rsidRDefault="00000000">
            <w:pPr>
              <w:pStyle w:val="TableParagraph"/>
              <w:spacing w:before="59"/>
              <w:ind w:left="1" w:right="23"/>
              <w:jc w:val="center"/>
              <w:rPr>
                <w:rFonts w:ascii="Calibri"/>
                <w:b/>
                <w:sz w:val="18"/>
              </w:rPr>
            </w:pPr>
            <w:r w:rsidRPr="00795364">
              <w:rPr>
                <w:rFonts w:ascii="Calibri"/>
                <w:b/>
                <w:color w:val="000000"/>
                <w:spacing w:val="-5"/>
                <w:sz w:val="18"/>
              </w:rPr>
              <w:t>49</w:t>
            </w:r>
          </w:p>
        </w:tc>
      </w:tr>
    </w:tbl>
    <w:p w14:paraId="0900DE44" w14:textId="77777777" w:rsidR="00BC24A8" w:rsidRDefault="00BC24A8">
      <w:pPr>
        <w:pStyle w:val="TableParagraph"/>
        <w:jc w:val="center"/>
        <w:rPr>
          <w:rFonts w:ascii="Calibri"/>
          <w:b/>
          <w:sz w:val="18"/>
        </w:rPr>
        <w:sectPr w:rsidR="00BC24A8">
          <w:pgSz w:w="11910" w:h="16840"/>
          <w:pgMar w:top="1360" w:right="850" w:bottom="1100" w:left="1275" w:header="0" w:footer="907" w:gutter="0"/>
          <w:cols w:space="720"/>
        </w:sectPr>
      </w:pPr>
    </w:p>
    <w:p w14:paraId="015B85FD" w14:textId="77777777" w:rsidR="00BC24A8" w:rsidRDefault="00000000">
      <w:pPr>
        <w:pStyle w:val="Heading3"/>
      </w:pPr>
      <w:bookmarkStart w:id="197" w:name="East_Nusa_Tenggara_Province_Semester_Rep"/>
      <w:bookmarkStart w:id="198" w:name="_bookmark135"/>
      <w:bookmarkEnd w:id="197"/>
      <w:bookmarkEnd w:id="198"/>
      <w:r>
        <w:rPr>
          <w:color w:val="137D87"/>
          <w:spacing w:val="-4"/>
        </w:rPr>
        <w:lastRenderedPageBreak/>
        <w:t>East</w:t>
      </w:r>
      <w:r>
        <w:rPr>
          <w:color w:val="137D87"/>
          <w:spacing w:val="-23"/>
        </w:rPr>
        <w:t xml:space="preserve"> </w:t>
      </w:r>
      <w:r>
        <w:rPr>
          <w:color w:val="137D87"/>
          <w:spacing w:val="-4"/>
        </w:rPr>
        <w:t>Nusa</w:t>
      </w:r>
      <w:r>
        <w:rPr>
          <w:color w:val="137D87"/>
          <w:spacing w:val="-23"/>
        </w:rPr>
        <w:t xml:space="preserve"> </w:t>
      </w:r>
      <w:r>
        <w:rPr>
          <w:color w:val="137D87"/>
          <w:spacing w:val="-4"/>
        </w:rPr>
        <w:t>Tenggara</w:t>
      </w:r>
      <w:r>
        <w:rPr>
          <w:color w:val="137D87"/>
          <w:spacing w:val="-21"/>
        </w:rPr>
        <w:t xml:space="preserve"> </w:t>
      </w:r>
      <w:r>
        <w:rPr>
          <w:color w:val="137D87"/>
          <w:spacing w:val="-4"/>
        </w:rPr>
        <w:t>Province</w:t>
      </w:r>
      <w:r>
        <w:rPr>
          <w:color w:val="137D87"/>
          <w:spacing w:val="-21"/>
        </w:rPr>
        <w:t xml:space="preserve"> </w:t>
      </w:r>
      <w:r>
        <w:rPr>
          <w:color w:val="137D87"/>
          <w:spacing w:val="-4"/>
        </w:rPr>
        <w:t>Semester</w:t>
      </w:r>
      <w:r>
        <w:rPr>
          <w:color w:val="137D87"/>
          <w:spacing w:val="-22"/>
        </w:rPr>
        <w:t xml:space="preserve"> </w:t>
      </w:r>
      <w:r>
        <w:rPr>
          <w:color w:val="137D87"/>
          <w:spacing w:val="-4"/>
        </w:rPr>
        <w:t>Report</w:t>
      </w:r>
    </w:p>
    <w:p w14:paraId="2F2FDFA0" w14:textId="77777777" w:rsidR="00BC24A8" w:rsidRDefault="00000000">
      <w:pPr>
        <w:pStyle w:val="BodyText"/>
        <w:spacing w:before="20"/>
        <w:ind w:left="143"/>
      </w:pPr>
      <w:r>
        <w:t>(January–June</w:t>
      </w:r>
      <w:r>
        <w:rPr>
          <w:spacing w:val="-9"/>
        </w:rPr>
        <w:t xml:space="preserve"> </w:t>
      </w:r>
      <w:r>
        <w:rPr>
          <w:spacing w:val="-4"/>
        </w:rPr>
        <w:t>2025)</w:t>
      </w:r>
    </w:p>
    <w:p w14:paraId="5AA2D71D" w14:textId="77777777" w:rsidR="00BC24A8" w:rsidRDefault="00BC24A8">
      <w:pPr>
        <w:pStyle w:val="BodyText"/>
      </w:pPr>
    </w:p>
    <w:p w14:paraId="34235EA5" w14:textId="77777777" w:rsidR="00BC24A8" w:rsidRDefault="00BC24A8">
      <w:pPr>
        <w:pStyle w:val="BodyText"/>
        <w:spacing w:before="134"/>
      </w:pPr>
    </w:p>
    <w:p w14:paraId="4BF2BFB3" w14:textId="77777777" w:rsidR="00BC24A8" w:rsidRDefault="00000000">
      <w:pPr>
        <w:spacing w:before="1"/>
        <w:ind w:left="503"/>
        <w:rPr>
          <w:i/>
        </w:rPr>
      </w:pPr>
      <w:bookmarkStart w:id="199" w:name="Context_of_East_Nusa_Tenggara_(NTT)_Prov"/>
      <w:bookmarkEnd w:id="199"/>
      <w:r>
        <w:rPr>
          <w:i/>
          <w:color w:val="1F3762"/>
        </w:rPr>
        <w:t>Context</w:t>
      </w:r>
      <w:r>
        <w:rPr>
          <w:i/>
          <w:color w:val="1F3762"/>
          <w:spacing w:val="-12"/>
        </w:rPr>
        <w:t xml:space="preserve"> </w:t>
      </w:r>
      <w:r>
        <w:rPr>
          <w:i/>
          <w:color w:val="1F3762"/>
        </w:rPr>
        <w:t>of</w:t>
      </w:r>
      <w:r>
        <w:rPr>
          <w:i/>
          <w:color w:val="1F3762"/>
          <w:spacing w:val="-10"/>
        </w:rPr>
        <w:t xml:space="preserve"> </w:t>
      </w:r>
      <w:r>
        <w:rPr>
          <w:i/>
          <w:color w:val="1F3762"/>
        </w:rPr>
        <w:t>East</w:t>
      </w:r>
      <w:r>
        <w:rPr>
          <w:i/>
          <w:color w:val="1F3762"/>
          <w:spacing w:val="-9"/>
        </w:rPr>
        <w:t xml:space="preserve"> </w:t>
      </w:r>
      <w:r>
        <w:rPr>
          <w:i/>
          <w:color w:val="1F3762"/>
        </w:rPr>
        <w:t>Nusa</w:t>
      </w:r>
      <w:r>
        <w:rPr>
          <w:i/>
          <w:color w:val="1F3762"/>
          <w:spacing w:val="-8"/>
        </w:rPr>
        <w:t xml:space="preserve"> </w:t>
      </w:r>
      <w:r>
        <w:rPr>
          <w:i/>
          <w:color w:val="1F3762"/>
        </w:rPr>
        <w:t>Tenggara</w:t>
      </w:r>
      <w:r>
        <w:rPr>
          <w:i/>
          <w:color w:val="1F3762"/>
          <w:spacing w:val="-9"/>
        </w:rPr>
        <w:t xml:space="preserve"> </w:t>
      </w:r>
      <w:r>
        <w:rPr>
          <w:i/>
          <w:color w:val="1F3762"/>
        </w:rPr>
        <w:t>(NTT)</w:t>
      </w:r>
      <w:r>
        <w:rPr>
          <w:i/>
          <w:color w:val="1F3762"/>
          <w:spacing w:val="-9"/>
        </w:rPr>
        <w:t xml:space="preserve"> </w:t>
      </w:r>
      <w:r>
        <w:rPr>
          <w:i/>
          <w:color w:val="1F3762"/>
          <w:spacing w:val="-2"/>
        </w:rPr>
        <w:t>Province</w:t>
      </w:r>
    </w:p>
    <w:p w14:paraId="3AB1151D" w14:textId="77777777" w:rsidR="00BC24A8" w:rsidRDefault="00000000">
      <w:pPr>
        <w:spacing w:before="43"/>
        <w:ind w:left="143"/>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5"/>
        </w:rPr>
        <w:t xml:space="preserve"> </w:t>
      </w:r>
      <w:r>
        <w:rPr>
          <w:rFonts w:ascii="Calibri"/>
          <w:i/>
          <w:color w:val="272727"/>
        </w:rPr>
        <w:t>basic</w:t>
      </w:r>
      <w:r>
        <w:rPr>
          <w:rFonts w:ascii="Calibri"/>
          <w:i/>
          <w:color w:val="272727"/>
          <w:spacing w:val="-5"/>
        </w:rPr>
        <w:t xml:space="preserve"> </w:t>
      </w:r>
      <w:r>
        <w:rPr>
          <w:rFonts w:ascii="Calibri"/>
          <w:i/>
          <w:color w:val="272727"/>
        </w:rPr>
        <w:t>services,</w:t>
      </w:r>
      <w:r>
        <w:rPr>
          <w:rFonts w:ascii="Calibri"/>
          <w:i/>
          <w:color w:val="272727"/>
          <w:spacing w:val="-7"/>
        </w:rPr>
        <w:t xml:space="preserve"> </w:t>
      </w:r>
      <w:r>
        <w:rPr>
          <w:rFonts w:ascii="Calibri"/>
          <w:i/>
          <w:color w:val="272727"/>
        </w:rPr>
        <w:t>vulnerable</w:t>
      </w:r>
      <w:r>
        <w:rPr>
          <w:rFonts w:ascii="Calibri"/>
          <w:i/>
          <w:color w:val="272727"/>
          <w:spacing w:val="-4"/>
        </w:rPr>
        <w:t xml:space="preserve"> </w:t>
      </w:r>
      <w:r>
        <w:rPr>
          <w:rFonts w:ascii="Calibri"/>
          <w:i/>
          <w:color w:val="272727"/>
        </w:rPr>
        <w:t>groups,</w:t>
      </w:r>
      <w:r>
        <w:rPr>
          <w:rFonts w:ascii="Calibri"/>
          <w:i/>
          <w:color w:val="272727"/>
          <w:spacing w:val="-5"/>
        </w:rPr>
        <w:t xml:space="preserve"> </w:t>
      </w:r>
      <w:r>
        <w:rPr>
          <w:rFonts w:ascii="Calibri"/>
          <w:i/>
          <w:color w:val="272727"/>
        </w:rPr>
        <w:t>and</w:t>
      </w:r>
      <w:r>
        <w:rPr>
          <w:rFonts w:ascii="Calibri"/>
          <w:i/>
          <w:color w:val="272727"/>
          <w:spacing w:val="-6"/>
        </w:rPr>
        <w:t xml:space="preserve"> </w:t>
      </w:r>
      <w:r>
        <w:rPr>
          <w:rFonts w:ascii="Calibri"/>
          <w:i/>
          <w:color w:val="272727"/>
        </w:rPr>
        <w:t>fiscal</w:t>
      </w:r>
      <w:r>
        <w:rPr>
          <w:rFonts w:ascii="Calibri"/>
          <w:i/>
          <w:color w:val="272727"/>
          <w:spacing w:val="-5"/>
        </w:rPr>
        <w:t xml:space="preserve"> </w:t>
      </w:r>
      <w:r>
        <w:rPr>
          <w:rFonts w:ascii="Calibri"/>
          <w:i/>
          <w:color w:val="272727"/>
          <w:spacing w:val="-2"/>
        </w:rPr>
        <w:t>capacity</w:t>
      </w:r>
    </w:p>
    <w:p w14:paraId="3683C045" w14:textId="77777777" w:rsidR="00BC24A8" w:rsidRDefault="00BC24A8">
      <w:pPr>
        <w:pStyle w:val="BodyText"/>
        <w:spacing w:before="63"/>
        <w:rPr>
          <w:rFonts w:ascii="Calibri"/>
          <w:i/>
        </w:rPr>
      </w:pPr>
    </w:p>
    <w:p w14:paraId="7773DC86" w14:textId="77777777" w:rsidR="00BC24A8" w:rsidRDefault="00000000">
      <w:pPr>
        <w:pStyle w:val="Heading5"/>
      </w:pPr>
      <w:r>
        <w:rPr>
          <w:color w:val="767070"/>
        </w:rPr>
        <w:t>Key</w:t>
      </w:r>
      <w:r>
        <w:rPr>
          <w:color w:val="767070"/>
          <w:spacing w:val="-13"/>
        </w:rPr>
        <w:t xml:space="preserve"> </w:t>
      </w:r>
      <w:r>
        <w:rPr>
          <w:color w:val="767070"/>
        </w:rPr>
        <w:t>development</w:t>
      </w:r>
      <w:r>
        <w:rPr>
          <w:color w:val="767070"/>
          <w:spacing w:val="-11"/>
        </w:rPr>
        <w:t xml:space="preserve"> </w:t>
      </w:r>
      <w:r>
        <w:rPr>
          <w:color w:val="767070"/>
        </w:rPr>
        <w:t>outcome</w:t>
      </w:r>
      <w:r>
        <w:rPr>
          <w:color w:val="767070"/>
          <w:spacing w:val="-13"/>
        </w:rPr>
        <w:t xml:space="preserve"> </w:t>
      </w:r>
      <w:r>
        <w:rPr>
          <w:color w:val="767070"/>
        </w:rPr>
        <w:t>indicator</w:t>
      </w:r>
      <w:r>
        <w:rPr>
          <w:color w:val="767070"/>
          <w:spacing w:val="-10"/>
        </w:rPr>
        <w:t xml:space="preserve"> </w:t>
      </w:r>
      <w:r>
        <w:rPr>
          <w:color w:val="767070"/>
          <w:spacing w:val="-4"/>
        </w:rPr>
        <w:t>data</w:t>
      </w:r>
    </w:p>
    <w:p w14:paraId="32DFE922"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3547"/>
        <w:gridCol w:w="5281"/>
      </w:tblGrid>
      <w:tr w:rsidR="00BC24A8" w14:paraId="6E915384" w14:textId="77777777">
        <w:trPr>
          <w:trHeight w:val="379"/>
        </w:trPr>
        <w:tc>
          <w:tcPr>
            <w:tcW w:w="3547" w:type="dxa"/>
            <w:shd w:val="clear" w:color="auto" w:fill="17365A"/>
          </w:tcPr>
          <w:p w14:paraId="52FF78EB" w14:textId="77777777" w:rsidR="00BC24A8" w:rsidRDefault="00000000">
            <w:pPr>
              <w:pStyle w:val="TableParagraph"/>
              <w:spacing w:before="59"/>
              <w:ind w:left="115"/>
              <w:rPr>
                <w:rFonts w:ascii="Calibri"/>
                <w:b/>
                <w:sz w:val="20"/>
              </w:rPr>
            </w:pPr>
            <w:r>
              <w:rPr>
                <w:rFonts w:ascii="Calibri"/>
                <w:b/>
                <w:color w:val="FFFFFF"/>
                <w:sz w:val="20"/>
              </w:rPr>
              <w:t>Key</w:t>
            </w:r>
            <w:r>
              <w:rPr>
                <w:rFonts w:ascii="Calibri"/>
                <w:b/>
                <w:color w:val="FFFFFF"/>
                <w:spacing w:val="-8"/>
                <w:sz w:val="20"/>
              </w:rPr>
              <w:t xml:space="preserve"> </w:t>
            </w:r>
            <w:r>
              <w:rPr>
                <w:rFonts w:ascii="Calibri"/>
                <w:b/>
                <w:color w:val="FFFFFF"/>
                <w:sz w:val="20"/>
              </w:rPr>
              <w:t>development</w:t>
            </w:r>
            <w:r>
              <w:rPr>
                <w:rFonts w:ascii="Calibri"/>
                <w:b/>
                <w:color w:val="FFFFFF"/>
                <w:spacing w:val="-7"/>
                <w:sz w:val="20"/>
              </w:rPr>
              <w:t xml:space="preserve"> </w:t>
            </w:r>
            <w:r>
              <w:rPr>
                <w:rFonts w:ascii="Calibri"/>
                <w:b/>
                <w:color w:val="FFFFFF"/>
                <w:spacing w:val="-2"/>
                <w:sz w:val="20"/>
              </w:rPr>
              <w:t>indicators</w:t>
            </w:r>
          </w:p>
        </w:tc>
        <w:tc>
          <w:tcPr>
            <w:tcW w:w="5281" w:type="dxa"/>
            <w:shd w:val="clear" w:color="auto" w:fill="17365A"/>
          </w:tcPr>
          <w:p w14:paraId="2DCEB8B9" w14:textId="77777777" w:rsidR="00BC24A8" w:rsidRDefault="00000000">
            <w:pPr>
              <w:pStyle w:val="TableParagraph"/>
              <w:spacing w:before="59"/>
              <w:ind w:left="1068"/>
              <w:rPr>
                <w:rFonts w:ascii="Calibri"/>
                <w:b/>
                <w:sz w:val="20"/>
              </w:rPr>
            </w:pPr>
            <w:r>
              <w:rPr>
                <w:rFonts w:ascii="Calibri"/>
                <w:b/>
                <w:color w:val="FFFFFF"/>
                <w:spacing w:val="-4"/>
                <w:sz w:val="20"/>
              </w:rPr>
              <w:t>2024</w:t>
            </w:r>
          </w:p>
        </w:tc>
      </w:tr>
      <w:tr w:rsidR="00BC24A8" w14:paraId="7D543276" w14:textId="77777777">
        <w:trPr>
          <w:trHeight w:val="2375"/>
        </w:trPr>
        <w:tc>
          <w:tcPr>
            <w:tcW w:w="3547" w:type="dxa"/>
            <w:tcBorders>
              <w:bottom w:val="single" w:sz="4" w:space="0" w:color="BEBEBE"/>
            </w:tcBorders>
          </w:tcPr>
          <w:p w14:paraId="583DE5A3" w14:textId="77777777" w:rsidR="00BC24A8" w:rsidRDefault="00000000">
            <w:pPr>
              <w:pStyle w:val="TableParagraph"/>
              <w:spacing w:before="162"/>
              <w:ind w:left="115"/>
              <w:rPr>
                <w:sz w:val="18"/>
              </w:rPr>
            </w:pPr>
            <w:r>
              <w:rPr>
                <w:sz w:val="18"/>
              </w:rPr>
              <w:t>Enrollment</w:t>
            </w:r>
            <w:r>
              <w:rPr>
                <w:spacing w:val="-3"/>
                <w:sz w:val="18"/>
              </w:rPr>
              <w:t xml:space="preserve"> </w:t>
            </w:r>
            <w:r>
              <w:rPr>
                <w:spacing w:val="-2"/>
                <w:sz w:val="18"/>
              </w:rPr>
              <w:t>rates</w:t>
            </w:r>
          </w:p>
        </w:tc>
        <w:tc>
          <w:tcPr>
            <w:tcW w:w="5281" w:type="dxa"/>
            <w:tcBorders>
              <w:bottom w:val="single" w:sz="4" w:space="0" w:color="BEBEBE"/>
            </w:tcBorders>
          </w:tcPr>
          <w:p w14:paraId="599F93A0" w14:textId="77777777" w:rsidR="00BC24A8" w:rsidRDefault="00000000">
            <w:pPr>
              <w:pStyle w:val="TableParagraph"/>
              <w:spacing w:before="102"/>
              <w:ind w:left="1068"/>
              <w:rPr>
                <w:sz w:val="18"/>
              </w:rPr>
            </w:pPr>
            <w:r>
              <w:rPr>
                <w:sz w:val="18"/>
              </w:rPr>
              <w:t>Net</w:t>
            </w:r>
            <w:r>
              <w:rPr>
                <w:spacing w:val="-2"/>
                <w:sz w:val="18"/>
              </w:rPr>
              <w:t xml:space="preserve"> </w:t>
            </w:r>
            <w:r>
              <w:rPr>
                <w:sz w:val="18"/>
              </w:rPr>
              <w:t>enrollment</w:t>
            </w:r>
            <w:r>
              <w:rPr>
                <w:spacing w:val="-3"/>
                <w:sz w:val="18"/>
              </w:rPr>
              <w:t xml:space="preserve"> </w:t>
            </w:r>
            <w:r>
              <w:rPr>
                <w:spacing w:val="-2"/>
                <w:sz w:val="18"/>
              </w:rPr>
              <w:t>rate:</w:t>
            </w:r>
          </w:p>
          <w:p w14:paraId="59EF532A" w14:textId="77777777" w:rsidR="00BC24A8" w:rsidRDefault="00000000">
            <w:pPr>
              <w:pStyle w:val="TableParagraph"/>
              <w:numPr>
                <w:ilvl w:val="0"/>
                <w:numId w:val="56"/>
              </w:numPr>
              <w:tabs>
                <w:tab w:val="left" w:pos="1399"/>
              </w:tabs>
              <w:spacing w:before="61" w:line="219" w:lineRule="exact"/>
              <w:rPr>
                <w:sz w:val="18"/>
              </w:rPr>
            </w:pPr>
            <w:r>
              <w:rPr>
                <w:sz w:val="18"/>
              </w:rPr>
              <w:t>SD:</w:t>
            </w:r>
            <w:r>
              <w:rPr>
                <w:spacing w:val="1"/>
                <w:sz w:val="18"/>
              </w:rPr>
              <w:t xml:space="preserve"> </w:t>
            </w:r>
            <w:r>
              <w:rPr>
                <w:spacing w:val="-2"/>
                <w:sz w:val="18"/>
              </w:rPr>
              <w:t>97.01%</w:t>
            </w:r>
          </w:p>
          <w:p w14:paraId="4D565DA1" w14:textId="77777777" w:rsidR="00BC24A8" w:rsidRDefault="00000000">
            <w:pPr>
              <w:pStyle w:val="TableParagraph"/>
              <w:numPr>
                <w:ilvl w:val="0"/>
                <w:numId w:val="56"/>
              </w:numPr>
              <w:tabs>
                <w:tab w:val="left" w:pos="1399"/>
              </w:tabs>
              <w:spacing w:line="219" w:lineRule="exact"/>
              <w:rPr>
                <w:sz w:val="18"/>
              </w:rPr>
            </w:pPr>
            <w:r>
              <w:rPr>
                <w:sz w:val="18"/>
              </w:rPr>
              <w:t>SMP/MTs:</w:t>
            </w:r>
            <w:r>
              <w:rPr>
                <w:spacing w:val="-7"/>
                <w:sz w:val="18"/>
              </w:rPr>
              <w:t xml:space="preserve"> </w:t>
            </w:r>
            <w:r>
              <w:rPr>
                <w:spacing w:val="-2"/>
                <w:sz w:val="18"/>
              </w:rPr>
              <w:t>73.72%</w:t>
            </w:r>
          </w:p>
          <w:p w14:paraId="0552CE7F" w14:textId="77777777" w:rsidR="00BC24A8" w:rsidRDefault="00000000">
            <w:pPr>
              <w:pStyle w:val="TableParagraph"/>
              <w:numPr>
                <w:ilvl w:val="0"/>
                <w:numId w:val="56"/>
              </w:numPr>
              <w:tabs>
                <w:tab w:val="left" w:pos="1399"/>
              </w:tabs>
              <w:spacing w:before="1"/>
              <w:rPr>
                <w:sz w:val="18"/>
              </w:rPr>
            </w:pPr>
            <w:r>
              <w:rPr>
                <w:sz w:val="18"/>
              </w:rPr>
              <w:t>SMA/SMK:</w:t>
            </w:r>
            <w:r>
              <w:rPr>
                <w:spacing w:val="-6"/>
                <w:sz w:val="18"/>
              </w:rPr>
              <w:t xml:space="preserve"> </w:t>
            </w:r>
            <w:r>
              <w:rPr>
                <w:spacing w:val="-2"/>
                <w:sz w:val="18"/>
              </w:rPr>
              <w:t>60.73%</w:t>
            </w:r>
          </w:p>
          <w:p w14:paraId="54C88BEB" w14:textId="77777777" w:rsidR="00BC24A8" w:rsidRDefault="00BC24A8">
            <w:pPr>
              <w:pStyle w:val="TableParagraph"/>
              <w:spacing w:before="60"/>
              <w:rPr>
                <w:rFonts w:ascii="Calibri"/>
                <w:b/>
                <w:sz w:val="18"/>
              </w:rPr>
            </w:pPr>
          </w:p>
          <w:p w14:paraId="2CAC8F8A" w14:textId="77777777" w:rsidR="00BC24A8" w:rsidRDefault="00000000">
            <w:pPr>
              <w:pStyle w:val="TableParagraph"/>
              <w:ind w:left="1068"/>
              <w:rPr>
                <w:sz w:val="18"/>
              </w:rPr>
            </w:pPr>
            <w:r>
              <w:rPr>
                <w:sz w:val="18"/>
              </w:rPr>
              <w:t>Gross</w:t>
            </w:r>
            <w:r>
              <w:rPr>
                <w:spacing w:val="-5"/>
                <w:sz w:val="18"/>
              </w:rPr>
              <w:t xml:space="preserve"> </w:t>
            </w:r>
            <w:r>
              <w:rPr>
                <w:sz w:val="18"/>
              </w:rPr>
              <w:t>enrollment</w:t>
            </w:r>
            <w:r>
              <w:rPr>
                <w:spacing w:val="-2"/>
                <w:sz w:val="18"/>
              </w:rPr>
              <w:t xml:space="preserve"> </w:t>
            </w:r>
            <w:r>
              <w:rPr>
                <w:spacing w:val="-4"/>
                <w:sz w:val="18"/>
              </w:rPr>
              <w:t>rate:</w:t>
            </w:r>
          </w:p>
          <w:p w14:paraId="730B5A73" w14:textId="77777777" w:rsidR="00BC24A8" w:rsidRDefault="00000000">
            <w:pPr>
              <w:pStyle w:val="TableParagraph"/>
              <w:numPr>
                <w:ilvl w:val="0"/>
                <w:numId w:val="56"/>
              </w:numPr>
              <w:tabs>
                <w:tab w:val="left" w:pos="1399"/>
              </w:tabs>
              <w:spacing w:before="59"/>
              <w:rPr>
                <w:sz w:val="18"/>
              </w:rPr>
            </w:pPr>
            <w:r>
              <w:rPr>
                <w:sz w:val="18"/>
              </w:rPr>
              <w:t>SD/MI:</w:t>
            </w:r>
            <w:r>
              <w:rPr>
                <w:spacing w:val="-2"/>
                <w:sz w:val="18"/>
              </w:rPr>
              <w:t xml:space="preserve"> 110.58%</w:t>
            </w:r>
          </w:p>
          <w:p w14:paraId="1599EC42" w14:textId="77777777" w:rsidR="00BC24A8" w:rsidRDefault="00000000">
            <w:pPr>
              <w:pStyle w:val="TableParagraph"/>
              <w:numPr>
                <w:ilvl w:val="0"/>
                <w:numId w:val="56"/>
              </w:numPr>
              <w:tabs>
                <w:tab w:val="left" w:pos="1399"/>
              </w:tabs>
              <w:spacing w:before="1"/>
              <w:rPr>
                <w:sz w:val="18"/>
              </w:rPr>
            </w:pPr>
            <w:r>
              <w:rPr>
                <w:sz w:val="18"/>
              </w:rPr>
              <w:t>SMP/MTs:</w:t>
            </w:r>
            <w:r>
              <w:rPr>
                <w:spacing w:val="-7"/>
                <w:sz w:val="18"/>
              </w:rPr>
              <w:t xml:space="preserve"> </w:t>
            </w:r>
            <w:r>
              <w:rPr>
                <w:spacing w:val="-2"/>
                <w:sz w:val="18"/>
              </w:rPr>
              <w:t>91.73%</w:t>
            </w:r>
          </w:p>
          <w:p w14:paraId="4D096AD4" w14:textId="77777777" w:rsidR="00BC24A8" w:rsidRDefault="00000000">
            <w:pPr>
              <w:pStyle w:val="TableParagraph"/>
              <w:numPr>
                <w:ilvl w:val="0"/>
                <w:numId w:val="56"/>
              </w:numPr>
              <w:tabs>
                <w:tab w:val="left" w:pos="1399"/>
              </w:tabs>
              <w:spacing w:before="1"/>
              <w:rPr>
                <w:sz w:val="18"/>
              </w:rPr>
            </w:pPr>
            <w:r>
              <w:rPr>
                <w:sz w:val="18"/>
              </w:rPr>
              <w:t>SMA/SMK:</w:t>
            </w:r>
            <w:r>
              <w:rPr>
                <w:spacing w:val="-6"/>
                <w:sz w:val="18"/>
              </w:rPr>
              <w:t xml:space="preserve"> </w:t>
            </w:r>
            <w:r>
              <w:rPr>
                <w:spacing w:val="-2"/>
                <w:sz w:val="18"/>
              </w:rPr>
              <w:t>89.20%</w:t>
            </w:r>
          </w:p>
        </w:tc>
      </w:tr>
      <w:tr w:rsidR="00BC24A8" w14:paraId="620E7766" w14:textId="77777777">
        <w:trPr>
          <w:trHeight w:val="393"/>
        </w:trPr>
        <w:tc>
          <w:tcPr>
            <w:tcW w:w="3547" w:type="dxa"/>
            <w:tcBorders>
              <w:top w:val="single" w:sz="4" w:space="0" w:color="BEBEBE"/>
              <w:bottom w:val="single" w:sz="4" w:space="0" w:color="BEBEBE"/>
            </w:tcBorders>
          </w:tcPr>
          <w:p w14:paraId="2220C4D7" w14:textId="77777777" w:rsidR="00BC24A8" w:rsidRDefault="00000000">
            <w:pPr>
              <w:pStyle w:val="TableParagraph"/>
              <w:spacing w:before="119"/>
              <w:ind w:left="115"/>
              <w:rPr>
                <w:sz w:val="18"/>
              </w:rPr>
            </w:pPr>
            <w:r>
              <w:rPr>
                <w:sz w:val="18"/>
              </w:rPr>
              <w:t>Infant</w:t>
            </w:r>
            <w:r>
              <w:rPr>
                <w:spacing w:val="-5"/>
                <w:sz w:val="18"/>
              </w:rPr>
              <w:t xml:space="preserve"> </w:t>
            </w:r>
            <w:r>
              <w:rPr>
                <w:sz w:val="18"/>
              </w:rPr>
              <w:t>mortality</w:t>
            </w:r>
            <w:r>
              <w:rPr>
                <w:spacing w:val="-2"/>
                <w:sz w:val="18"/>
              </w:rPr>
              <w:t xml:space="preserve"> </w:t>
            </w:r>
            <w:r>
              <w:rPr>
                <w:spacing w:val="-4"/>
                <w:sz w:val="18"/>
              </w:rPr>
              <w:t>rate</w:t>
            </w:r>
          </w:p>
        </w:tc>
        <w:tc>
          <w:tcPr>
            <w:tcW w:w="5281" w:type="dxa"/>
            <w:tcBorders>
              <w:top w:val="single" w:sz="4" w:space="0" w:color="BEBEBE"/>
              <w:bottom w:val="single" w:sz="4" w:space="0" w:color="BEBEBE"/>
            </w:tcBorders>
          </w:tcPr>
          <w:p w14:paraId="5E2C3C34" w14:textId="77777777" w:rsidR="00BC24A8" w:rsidRDefault="00000000">
            <w:pPr>
              <w:pStyle w:val="TableParagraph"/>
              <w:spacing w:before="59"/>
              <w:ind w:left="1068"/>
              <w:rPr>
                <w:sz w:val="18"/>
              </w:rPr>
            </w:pPr>
            <w:r>
              <w:rPr>
                <w:spacing w:val="-2"/>
                <w:sz w:val="18"/>
              </w:rPr>
              <w:t>25.67%</w:t>
            </w:r>
          </w:p>
        </w:tc>
      </w:tr>
      <w:tr w:rsidR="00BC24A8" w14:paraId="5C30694C" w14:textId="77777777">
        <w:trPr>
          <w:trHeight w:val="395"/>
        </w:trPr>
        <w:tc>
          <w:tcPr>
            <w:tcW w:w="3547" w:type="dxa"/>
            <w:tcBorders>
              <w:top w:val="single" w:sz="4" w:space="0" w:color="BEBEBE"/>
              <w:bottom w:val="single" w:sz="4" w:space="0" w:color="BEBEBE"/>
            </w:tcBorders>
          </w:tcPr>
          <w:p w14:paraId="60075C18" w14:textId="77777777" w:rsidR="00BC24A8" w:rsidRDefault="00000000">
            <w:pPr>
              <w:pStyle w:val="TableParagraph"/>
              <w:spacing w:before="119"/>
              <w:ind w:left="115"/>
              <w:rPr>
                <w:sz w:val="18"/>
              </w:rPr>
            </w:pPr>
            <w:r>
              <w:rPr>
                <w:sz w:val="18"/>
              </w:rPr>
              <w:t>Maternal</w:t>
            </w:r>
            <w:r>
              <w:rPr>
                <w:spacing w:val="-4"/>
                <w:sz w:val="18"/>
              </w:rPr>
              <w:t xml:space="preserve"> </w:t>
            </w:r>
            <w:r>
              <w:rPr>
                <w:sz w:val="18"/>
              </w:rPr>
              <w:t>mortality</w:t>
            </w:r>
            <w:r>
              <w:rPr>
                <w:spacing w:val="-3"/>
                <w:sz w:val="18"/>
              </w:rPr>
              <w:t xml:space="preserve"> </w:t>
            </w:r>
            <w:r>
              <w:rPr>
                <w:spacing w:val="-4"/>
                <w:sz w:val="18"/>
              </w:rPr>
              <w:t>rate</w:t>
            </w:r>
          </w:p>
        </w:tc>
        <w:tc>
          <w:tcPr>
            <w:tcW w:w="5281" w:type="dxa"/>
            <w:tcBorders>
              <w:top w:val="single" w:sz="4" w:space="0" w:color="BEBEBE"/>
              <w:bottom w:val="single" w:sz="4" w:space="0" w:color="BEBEBE"/>
            </w:tcBorders>
          </w:tcPr>
          <w:p w14:paraId="1564EEF8" w14:textId="77777777" w:rsidR="00BC24A8" w:rsidRDefault="00000000">
            <w:pPr>
              <w:pStyle w:val="TableParagraph"/>
              <w:spacing w:before="59"/>
              <w:ind w:left="1068"/>
              <w:rPr>
                <w:sz w:val="18"/>
              </w:rPr>
            </w:pPr>
            <w:r>
              <w:rPr>
                <w:sz w:val="18"/>
              </w:rPr>
              <w:t>135</w:t>
            </w:r>
            <w:r>
              <w:rPr>
                <w:spacing w:val="-3"/>
                <w:sz w:val="18"/>
              </w:rPr>
              <w:t xml:space="preserve"> </w:t>
            </w:r>
            <w:r>
              <w:rPr>
                <w:sz w:val="18"/>
              </w:rPr>
              <w:t>cases</w:t>
            </w:r>
            <w:r>
              <w:rPr>
                <w:spacing w:val="-1"/>
                <w:sz w:val="18"/>
              </w:rPr>
              <w:t xml:space="preserve"> </w:t>
            </w:r>
            <w:r>
              <w:rPr>
                <w:sz w:val="18"/>
              </w:rPr>
              <w:t>per</w:t>
            </w:r>
            <w:r>
              <w:rPr>
                <w:spacing w:val="-2"/>
                <w:sz w:val="18"/>
              </w:rPr>
              <w:t xml:space="preserve"> </w:t>
            </w:r>
            <w:r>
              <w:rPr>
                <w:sz w:val="18"/>
              </w:rPr>
              <w:t>100,000</w:t>
            </w:r>
            <w:r>
              <w:rPr>
                <w:spacing w:val="-1"/>
                <w:sz w:val="18"/>
              </w:rPr>
              <w:t xml:space="preserve"> </w:t>
            </w:r>
            <w:r>
              <w:rPr>
                <w:sz w:val="18"/>
              </w:rPr>
              <w:t>live</w:t>
            </w:r>
            <w:r>
              <w:rPr>
                <w:spacing w:val="-1"/>
                <w:sz w:val="18"/>
              </w:rPr>
              <w:t xml:space="preserve"> </w:t>
            </w:r>
            <w:r>
              <w:rPr>
                <w:spacing w:val="-2"/>
                <w:sz w:val="18"/>
              </w:rPr>
              <w:t>births</w:t>
            </w:r>
          </w:p>
        </w:tc>
      </w:tr>
      <w:tr w:rsidR="00BC24A8" w14:paraId="5A31C841" w14:textId="77777777">
        <w:trPr>
          <w:trHeight w:val="393"/>
        </w:trPr>
        <w:tc>
          <w:tcPr>
            <w:tcW w:w="3547" w:type="dxa"/>
            <w:tcBorders>
              <w:top w:val="single" w:sz="4" w:space="0" w:color="BEBEBE"/>
              <w:bottom w:val="single" w:sz="4" w:space="0" w:color="BEBEBE"/>
            </w:tcBorders>
          </w:tcPr>
          <w:p w14:paraId="48447435" w14:textId="77777777" w:rsidR="00BC24A8" w:rsidRDefault="00000000">
            <w:pPr>
              <w:pStyle w:val="TableParagraph"/>
              <w:spacing w:before="116"/>
              <w:ind w:left="115"/>
              <w:rPr>
                <w:sz w:val="18"/>
              </w:rPr>
            </w:pPr>
            <w:r>
              <w:rPr>
                <w:sz w:val="18"/>
              </w:rPr>
              <w:t>Stunting</w:t>
            </w:r>
            <w:r>
              <w:rPr>
                <w:spacing w:val="-2"/>
                <w:sz w:val="18"/>
              </w:rPr>
              <w:t xml:space="preserve"> prevalence</w:t>
            </w:r>
          </w:p>
        </w:tc>
        <w:tc>
          <w:tcPr>
            <w:tcW w:w="5281" w:type="dxa"/>
            <w:tcBorders>
              <w:top w:val="single" w:sz="4" w:space="0" w:color="BEBEBE"/>
              <w:bottom w:val="single" w:sz="4" w:space="0" w:color="BEBEBE"/>
            </w:tcBorders>
          </w:tcPr>
          <w:p w14:paraId="052AE8CE" w14:textId="77777777" w:rsidR="00BC24A8" w:rsidRDefault="00000000">
            <w:pPr>
              <w:pStyle w:val="TableParagraph"/>
              <w:spacing w:before="59"/>
              <w:ind w:left="1068"/>
              <w:rPr>
                <w:sz w:val="18"/>
              </w:rPr>
            </w:pPr>
            <w:r>
              <w:rPr>
                <w:spacing w:val="-2"/>
                <w:sz w:val="18"/>
              </w:rPr>
              <w:t>16.9%</w:t>
            </w:r>
          </w:p>
        </w:tc>
      </w:tr>
      <w:tr w:rsidR="00BC24A8" w14:paraId="20CD7E4C" w14:textId="77777777">
        <w:trPr>
          <w:trHeight w:val="393"/>
        </w:trPr>
        <w:tc>
          <w:tcPr>
            <w:tcW w:w="3547" w:type="dxa"/>
            <w:tcBorders>
              <w:top w:val="single" w:sz="4" w:space="0" w:color="BEBEBE"/>
              <w:bottom w:val="single" w:sz="4" w:space="0" w:color="BEBEBE"/>
            </w:tcBorders>
          </w:tcPr>
          <w:p w14:paraId="42DC3FE7" w14:textId="77777777" w:rsidR="00BC24A8" w:rsidRDefault="00000000">
            <w:pPr>
              <w:pStyle w:val="TableParagraph"/>
              <w:spacing w:before="116"/>
              <w:ind w:left="115"/>
              <w:rPr>
                <w:sz w:val="18"/>
              </w:rPr>
            </w:pPr>
            <w:r>
              <w:rPr>
                <w:sz w:val="18"/>
              </w:rPr>
              <w:t>Poverty</w:t>
            </w:r>
            <w:r>
              <w:rPr>
                <w:spacing w:val="-4"/>
                <w:sz w:val="18"/>
              </w:rPr>
              <w:t xml:space="preserve"> rate</w:t>
            </w:r>
          </w:p>
        </w:tc>
        <w:tc>
          <w:tcPr>
            <w:tcW w:w="5281" w:type="dxa"/>
            <w:tcBorders>
              <w:top w:val="single" w:sz="4" w:space="0" w:color="BEBEBE"/>
              <w:bottom w:val="single" w:sz="4" w:space="0" w:color="BEBEBE"/>
            </w:tcBorders>
          </w:tcPr>
          <w:p w14:paraId="168C560A" w14:textId="77777777" w:rsidR="00BC24A8" w:rsidRDefault="00000000">
            <w:pPr>
              <w:pStyle w:val="TableParagraph"/>
              <w:spacing w:before="59"/>
              <w:ind w:left="1068"/>
              <w:rPr>
                <w:sz w:val="18"/>
              </w:rPr>
            </w:pPr>
            <w:r>
              <w:rPr>
                <w:spacing w:val="-2"/>
                <w:sz w:val="18"/>
              </w:rPr>
              <w:t>19.48%</w:t>
            </w:r>
          </w:p>
        </w:tc>
      </w:tr>
      <w:tr w:rsidR="00BC24A8" w14:paraId="491974D5" w14:textId="77777777">
        <w:trPr>
          <w:trHeight w:val="393"/>
        </w:trPr>
        <w:tc>
          <w:tcPr>
            <w:tcW w:w="3547" w:type="dxa"/>
            <w:tcBorders>
              <w:top w:val="single" w:sz="4" w:space="0" w:color="BEBEBE"/>
              <w:bottom w:val="single" w:sz="4" w:space="0" w:color="BEBEBE"/>
            </w:tcBorders>
          </w:tcPr>
          <w:p w14:paraId="0672FA16" w14:textId="77777777" w:rsidR="00BC24A8" w:rsidRDefault="00000000">
            <w:pPr>
              <w:pStyle w:val="TableParagraph"/>
              <w:spacing w:before="119"/>
              <w:ind w:left="115"/>
              <w:rPr>
                <w:sz w:val="18"/>
              </w:rPr>
            </w:pPr>
            <w:r>
              <w:rPr>
                <w:sz w:val="18"/>
              </w:rPr>
              <w:t>Open</w:t>
            </w:r>
            <w:r>
              <w:rPr>
                <w:spacing w:val="-6"/>
                <w:sz w:val="18"/>
              </w:rPr>
              <w:t xml:space="preserve"> </w:t>
            </w:r>
            <w:r>
              <w:rPr>
                <w:sz w:val="18"/>
              </w:rPr>
              <w:t>unemployment</w:t>
            </w:r>
            <w:r>
              <w:rPr>
                <w:spacing w:val="-2"/>
                <w:sz w:val="18"/>
              </w:rPr>
              <w:t xml:space="preserve"> </w:t>
            </w:r>
            <w:r>
              <w:rPr>
                <w:spacing w:val="-4"/>
                <w:sz w:val="18"/>
              </w:rPr>
              <w:t>rate</w:t>
            </w:r>
          </w:p>
        </w:tc>
        <w:tc>
          <w:tcPr>
            <w:tcW w:w="5281" w:type="dxa"/>
            <w:tcBorders>
              <w:top w:val="single" w:sz="4" w:space="0" w:color="BEBEBE"/>
              <w:bottom w:val="single" w:sz="4" w:space="0" w:color="BEBEBE"/>
            </w:tcBorders>
          </w:tcPr>
          <w:p w14:paraId="03F0D49E" w14:textId="77777777" w:rsidR="00BC24A8" w:rsidRDefault="00000000">
            <w:pPr>
              <w:pStyle w:val="TableParagraph"/>
              <w:spacing w:before="59"/>
              <w:ind w:left="1068"/>
              <w:rPr>
                <w:sz w:val="18"/>
              </w:rPr>
            </w:pPr>
            <w:r>
              <w:rPr>
                <w:spacing w:val="-2"/>
                <w:sz w:val="18"/>
              </w:rPr>
              <w:t>3.17%</w:t>
            </w:r>
          </w:p>
        </w:tc>
      </w:tr>
      <w:tr w:rsidR="00BC24A8" w14:paraId="7D99EF50" w14:textId="77777777">
        <w:trPr>
          <w:trHeight w:val="395"/>
        </w:trPr>
        <w:tc>
          <w:tcPr>
            <w:tcW w:w="3547" w:type="dxa"/>
            <w:tcBorders>
              <w:top w:val="single" w:sz="4" w:space="0" w:color="BEBEBE"/>
              <w:bottom w:val="single" w:sz="4" w:space="0" w:color="BEBEBE"/>
            </w:tcBorders>
          </w:tcPr>
          <w:p w14:paraId="70A3FB7F" w14:textId="77777777" w:rsidR="00BC24A8" w:rsidRDefault="00000000">
            <w:pPr>
              <w:pStyle w:val="TableParagraph"/>
              <w:spacing w:before="119"/>
              <w:ind w:left="115"/>
              <w:rPr>
                <w:sz w:val="18"/>
              </w:rPr>
            </w:pPr>
            <w:r>
              <w:rPr>
                <w:sz w:val="18"/>
              </w:rPr>
              <w:t>Gini-</w:t>
            </w:r>
            <w:r>
              <w:rPr>
                <w:spacing w:val="-2"/>
                <w:sz w:val="18"/>
              </w:rPr>
              <w:t>coefficient</w:t>
            </w:r>
          </w:p>
        </w:tc>
        <w:tc>
          <w:tcPr>
            <w:tcW w:w="5281" w:type="dxa"/>
            <w:tcBorders>
              <w:top w:val="single" w:sz="4" w:space="0" w:color="BEBEBE"/>
              <w:bottom w:val="single" w:sz="4" w:space="0" w:color="BEBEBE"/>
            </w:tcBorders>
          </w:tcPr>
          <w:p w14:paraId="5DF43B75" w14:textId="77777777" w:rsidR="00BC24A8" w:rsidRDefault="00000000">
            <w:pPr>
              <w:pStyle w:val="TableParagraph"/>
              <w:spacing w:before="59"/>
              <w:ind w:left="1068"/>
              <w:rPr>
                <w:sz w:val="18"/>
              </w:rPr>
            </w:pPr>
            <w:r>
              <w:rPr>
                <w:spacing w:val="-2"/>
                <w:sz w:val="18"/>
              </w:rPr>
              <w:t>0.316</w:t>
            </w:r>
          </w:p>
        </w:tc>
      </w:tr>
      <w:tr w:rsidR="00BC24A8" w14:paraId="4886232B" w14:textId="77777777">
        <w:trPr>
          <w:trHeight w:val="393"/>
        </w:trPr>
        <w:tc>
          <w:tcPr>
            <w:tcW w:w="3547" w:type="dxa"/>
            <w:tcBorders>
              <w:top w:val="single" w:sz="4" w:space="0" w:color="BEBEBE"/>
              <w:bottom w:val="single" w:sz="4" w:space="0" w:color="BEBEBE"/>
            </w:tcBorders>
          </w:tcPr>
          <w:p w14:paraId="157EBAEA" w14:textId="77777777" w:rsidR="00BC24A8" w:rsidRDefault="00000000">
            <w:pPr>
              <w:pStyle w:val="TableParagraph"/>
              <w:spacing w:before="116"/>
              <w:ind w:left="115"/>
              <w:rPr>
                <w:sz w:val="18"/>
              </w:rPr>
            </w:pPr>
            <w:r>
              <w:rPr>
                <w:sz w:val="18"/>
              </w:rPr>
              <w:t>HDI</w:t>
            </w:r>
            <w:r>
              <w:rPr>
                <w:spacing w:val="-4"/>
                <w:sz w:val="18"/>
              </w:rPr>
              <w:t xml:space="preserve"> </w:t>
            </w:r>
            <w:r>
              <w:rPr>
                <w:sz w:val="18"/>
              </w:rPr>
              <w:t>(Human</w:t>
            </w:r>
            <w:r>
              <w:rPr>
                <w:spacing w:val="-2"/>
                <w:sz w:val="18"/>
              </w:rPr>
              <w:t xml:space="preserve"> </w:t>
            </w:r>
            <w:r>
              <w:rPr>
                <w:sz w:val="18"/>
              </w:rPr>
              <w:t>Development</w:t>
            </w:r>
            <w:r>
              <w:rPr>
                <w:spacing w:val="-1"/>
                <w:sz w:val="18"/>
              </w:rPr>
              <w:t xml:space="preserve"> </w:t>
            </w:r>
            <w:r>
              <w:rPr>
                <w:spacing w:val="-2"/>
                <w:sz w:val="18"/>
              </w:rPr>
              <w:t>Index)</w:t>
            </w:r>
          </w:p>
        </w:tc>
        <w:tc>
          <w:tcPr>
            <w:tcW w:w="5281" w:type="dxa"/>
            <w:tcBorders>
              <w:top w:val="single" w:sz="4" w:space="0" w:color="BEBEBE"/>
              <w:bottom w:val="single" w:sz="4" w:space="0" w:color="BEBEBE"/>
            </w:tcBorders>
          </w:tcPr>
          <w:p w14:paraId="39D55762" w14:textId="77777777" w:rsidR="00BC24A8" w:rsidRDefault="00000000">
            <w:pPr>
              <w:pStyle w:val="TableParagraph"/>
              <w:spacing w:before="56"/>
              <w:ind w:left="1068"/>
              <w:rPr>
                <w:sz w:val="18"/>
              </w:rPr>
            </w:pPr>
            <w:r>
              <w:rPr>
                <w:spacing w:val="-2"/>
                <w:sz w:val="18"/>
              </w:rPr>
              <w:t>69.14%</w:t>
            </w:r>
          </w:p>
        </w:tc>
      </w:tr>
    </w:tbl>
    <w:p w14:paraId="5CFFF6EB" w14:textId="77777777" w:rsidR="00BC24A8" w:rsidRDefault="00000000">
      <w:pPr>
        <w:spacing w:before="126"/>
        <w:ind w:left="143"/>
        <w:rPr>
          <w:sz w:val="16"/>
        </w:rPr>
      </w:pPr>
      <w:r>
        <w:rPr>
          <w:sz w:val="16"/>
        </w:rPr>
        <w:t>Data</w:t>
      </w:r>
      <w:r>
        <w:rPr>
          <w:spacing w:val="-5"/>
          <w:sz w:val="16"/>
        </w:rPr>
        <w:t xml:space="preserve"> </w:t>
      </w:r>
      <w:r>
        <w:rPr>
          <w:sz w:val="16"/>
        </w:rPr>
        <w:t>source:</w:t>
      </w:r>
      <w:r>
        <w:rPr>
          <w:spacing w:val="-5"/>
          <w:sz w:val="16"/>
        </w:rPr>
        <w:t xml:space="preserve"> </w:t>
      </w:r>
      <w:r>
        <w:rPr>
          <w:sz w:val="16"/>
        </w:rPr>
        <w:t>BPS</w:t>
      </w:r>
      <w:r>
        <w:rPr>
          <w:spacing w:val="-4"/>
          <w:sz w:val="16"/>
        </w:rPr>
        <w:t xml:space="preserve"> </w:t>
      </w:r>
      <w:r>
        <w:rPr>
          <w:sz w:val="16"/>
        </w:rPr>
        <w:t>NTT</w:t>
      </w:r>
      <w:r>
        <w:rPr>
          <w:spacing w:val="-4"/>
          <w:sz w:val="16"/>
        </w:rPr>
        <w:t xml:space="preserve"> </w:t>
      </w:r>
      <w:r>
        <w:rPr>
          <w:spacing w:val="-2"/>
          <w:sz w:val="16"/>
        </w:rPr>
        <w:t>(2024)</w:t>
      </w:r>
    </w:p>
    <w:p w14:paraId="62B08E74" w14:textId="77777777" w:rsidR="00BC24A8" w:rsidRDefault="00BC24A8">
      <w:pPr>
        <w:pStyle w:val="BodyText"/>
        <w:rPr>
          <w:sz w:val="16"/>
        </w:rPr>
      </w:pPr>
    </w:p>
    <w:p w14:paraId="2A55E65D" w14:textId="77777777" w:rsidR="00BC24A8" w:rsidRDefault="00BC24A8">
      <w:pPr>
        <w:pStyle w:val="BodyText"/>
        <w:spacing w:before="12"/>
        <w:rPr>
          <w:sz w:val="16"/>
        </w:rPr>
      </w:pPr>
    </w:p>
    <w:p w14:paraId="3C7338AE" w14:textId="77777777" w:rsidR="00BC24A8" w:rsidRDefault="00000000">
      <w:pPr>
        <w:pStyle w:val="Heading5"/>
      </w:pPr>
      <w:r>
        <w:rPr>
          <w:color w:val="767070"/>
        </w:rPr>
        <w:t>MSS</w:t>
      </w:r>
      <w:r>
        <w:rPr>
          <w:color w:val="767070"/>
          <w:spacing w:val="-7"/>
        </w:rPr>
        <w:t xml:space="preserve"> </w:t>
      </w:r>
      <w:r>
        <w:rPr>
          <w:color w:val="767070"/>
        </w:rPr>
        <w:t>reporting,</w:t>
      </w:r>
      <w:r>
        <w:rPr>
          <w:color w:val="767070"/>
          <w:spacing w:val="-6"/>
        </w:rPr>
        <w:t xml:space="preserve"> </w:t>
      </w:r>
      <w:r>
        <w:rPr>
          <w:color w:val="767070"/>
        </w:rPr>
        <w:t>achievement</w:t>
      </w:r>
      <w:r>
        <w:rPr>
          <w:color w:val="767070"/>
          <w:spacing w:val="-8"/>
        </w:rPr>
        <w:t xml:space="preserve"> </w:t>
      </w:r>
      <w:r>
        <w:rPr>
          <w:color w:val="767070"/>
        </w:rPr>
        <w:t>index,</w:t>
      </w:r>
      <w:r>
        <w:rPr>
          <w:color w:val="767070"/>
          <w:spacing w:val="-5"/>
        </w:rPr>
        <w:t xml:space="preserve"> </w:t>
      </w:r>
      <w:r>
        <w:rPr>
          <w:color w:val="767070"/>
        </w:rPr>
        <w:t>and</w:t>
      </w:r>
      <w:r>
        <w:rPr>
          <w:color w:val="767070"/>
          <w:spacing w:val="-7"/>
        </w:rPr>
        <w:t xml:space="preserve"> </w:t>
      </w:r>
      <w:r>
        <w:rPr>
          <w:color w:val="767070"/>
        </w:rPr>
        <w:t>budget</w:t>
      </w:r>
      <w:r>
        <w:rPr>
          <w:color w:val="767070"/>
          <w:spacing w:val="-8"/>
        </w:rPr>
        <w:t xml:space="preserve"> </w:t>
      </w:r>
      <w:r>
        <w:rPr>
          <w:color w:val="767070"/>
          <w:spacing w:val="-4"/>
        </w:rPr>
        <w:t>data</w:t>
      </w:r>
    </w:p>
    <w:p w14:paraId="2B523C36" w14:textId="77777777" w:rsidR="00BC24A8" w:rsidRDefault="00BC24A8">
      <w:pPr>
        <w:pStyle w:val="BodyText"/>
        <w:spacing w:before="8" w:after="1"/>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2707"/>
        <w:gridCol w:w="2071"/>
        <w:gridCol w:w="2340"/>
        <w:gridCol w:w="1889"/>
      </w:tblGrid>
      <w:tr w:rsidR="00BC24A8" w14:paraId="3FEE9728" w14:textId="77777777">
        <w:trPr>
          <w:trHeight w:val="643"/>
        </w:trPr>
        <w:tc>
          <w:tcPr>
            <w:tcW w:w="2707" w:type="dxa"/>
            <w:shd w:val="clear" w:color="auto" w:fill="17365A"/>
          </w:tcPr>
          <w:p w14:paraId="0CDCA4A9" w14:textId="77777777" w:rsidR="00BC24A8" w:rsidRDefault="00000000">
            <w:pPr>
              <w:pStyle w:val="TableParagraph"/>
              <w:spacing w:before="191"/>
              <w:ind w:left="3"/>
              <w:jc w:val="center"/>
              <w:rPr>
                <w:rFonts w:ascii="Calibri"/>
                <w:b/>
                <w:sz w:val="20"/>
              </w:rPr>
            </w:pPr>
            <w:r>
              <w:rPr>
                <w:rFonts w:ascii="Calibri"/>
                <w:b/>
                <w:color w:val="FFFFFF"/>
                <w:spacing w:val="-2"/>
                <w:sz w:val="20"/>
              </w:rPr>
              <w:t>Sector</w:t>
            </w:r>
          </w:p>
        </w:tc>
        <w:tc>
          <w:tcPr>
            <w:tcW w:w="2071" w:type="dxa"/>
            <w:shd w:val="clear" w:color="auto" w:fill="17365A"/>
          </w:tcPr>
          <w:p w14:paraId="07A58DFD" w14:textId="77777777" w:rsidR="00BC24A8" w:rsidRDefault="00000000">
            <w:pPr>
              <w:pStyle w:val="TableParagraph"/>
              <w:spacing w:before="59" w:line="259" w:lineRule="auto"/>
              <w:ind w:left="389" w:right="154" w:hanging="236"/>
              <w:rPr>
                <w:rFonts w:ascii="Calibri"/>
                <w:b/>
                <w:sz w:val="20"/>
              </w:rPr>
            </w:pPr>
            <w:r>
              <w:rPr>
                <w:rFonts w:ascii="Calibri"/>
                <w:b/>
                <w:color w:val="FFFFFF"/>
                <w:sz w:val="20"/>
              </w:rPr>
              <w:t>Report</w:t>
            </w:r>
            <w:r>
              <w:rPr>
                <w:rFonts w:ascii="Calibri"/>
                <w:b/>
                <w:color w:val="FFFFFF"/>
                <w:spacing w:val="-12"/>
                <w:sz w:val="20"/>
              </w:rPr>
              <w:t xml:space="preserve"> </w:t>
            </w:r>
            <w:r>
              <w:rPr>
                <w:rFonts w:ascii="Calibri"/>
                <w:b/>
                <w:color w:val="FFFFFF"/>
                <w:sz w:val="20"/>
              </w:rPr>
              <w:t>completion</w:t>
            </w:r>
            <w:r>
              <w:rPr>
                <w:rFonts w:ascii="Calibri"/>
                <w:b/>
                <w:color w:val="FFFFFF"/>
                <w:spacing w:val="-11"/>
                <w:sz w:val="20"/>
              </w:rPr>
              <w:t xml:space="preserve"> </w:t>
            </w:r>
            <w:r>
              <w:rPr>
                <w:rFonts w:ascii="Calibri"/>
                <w:b/>
                <w:color w:val="FFFFFF"/>
                <w:sz w:val="20"/>
              </w:rPr>
              <w:t>in e-MSS 2024 (%)</w:t>
            </w:r>
          </w:p>
        </w:tc>
        <w:tc>
          <w:tcPr>
            <w:tcW w:w="2340" w:type="dxa"/>
            <w:shd w:val="clear" w:color="auto" w:fill="17365A"/>
          </w:tcPr>
          <w:p w14:paraId="7544C4ED" w14:textId="77777777" w:rsidR="00BC24A8" w:rsidRDefault="00000000">
            <w:pPr>
              <w:pStyle w:val="TableParagraph"/>
              <w:spacing w:before="59" w:line="259" w:lineRule="auto"/>
              <w:ind w:left="806" w:hanging="632"/>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w:t>
            </w:r>
            <w:r>
              <w:rPr>
                <w:rFonts w:ascii="Calibri"/>
                <w:b/>
                <w:color w:val="FFFFFF"/>
                <w:spacing w:val="-11"/>
                <w:sz w:val="20"/>
              </w:rPr>
              <w:t xml:space="preserve"> </w:t>
            </w:r>
            <w:r>
              <w:rPr>
                <w:rFonts w:ascii="Calibri"/>
                <w:b/>
                <w:color w:val="FFFFFF"/>
                <w:sz w:val="20"/>
              </w:rPr>
              <w:t>index 2024 (%)</w:t>
            </w:r>
          </w:p>
        </w:tc>
        <w:tc>
          <w:tcPr>
            <w:tcW w:w="1889" w:type="dxa"/>
            <w:shd w:val="clear" w:color="auto" w:fill="17365A"/>
          </w:tcPr>
          <w:p w14:paraId="6A43A3C4" w14:textId="77777777" w:rsidR="00BC24A8" w:rsidRDefault="00000000">
            <w:pPr>
              <w:pStyle w:val="TableParagraph"/>
              <w:spacing w:before="191"/>
              <w:ind w:right="223"/>
              <w:jc w:val="right"/>
              <w:rPr>
                <w:rFonts w:ascii="Calibri"/>
                <w:b/>
                <w:sz w:val="20"/>
              </w:rPr>
            </w:pPr>
            <w:r>
              <w:rPr>
                <w:rFonts w:ascii="Calibri"/>
                <w:b/>
                <w:color w:val="FFFFFF"/>
                <w:sz w:val="20"/>
              </w:rPr>
              <w:t>2024</w:t>
            </w:r>
            <w:r>
              <w:rPr>
                <w:rFonts w:ascii="Calibri"/>
                <w:b/>
                <w:color w:val="FFFFFF"/>
                <w:spacing w:val="-6"/>
                <w:sz w:val="20"/>
              </w:rPr>
              <w:t xml:space="preserve"> </w:t>
            </w:r>
            <w:r>
              <w:rPr>
                <w:rFonts w:ascii="Calibri"/>
                <w:b/>
                <w:color w:val="FFFFFF"/>
                <w:sz w:val="20"/>
              </w:rPr>
              <w:t>MSS</w:t>
            </w:r>
            <w:r>
              <w:rPr>
                <w:rFonts w:ascii="Calibri"/>
                <w:b/>
                <w:color w:val="FFFFFF"/>
                <w:spacing w:val="-6"/>
                <w:sz w:val="20"/>
              </w:rPr>
              <w:t xml:space="preserve"> </w:t>
            </w:r>
            <w:r>
              <w:rPr>
                <w:rFonts w:ascii="Calibri"/>
                <w:b/>
                <w:color w:val="FFFFFF"/>
                <w:spacing w:val="-2"/>
                <w:sz w:val="20"/>
              </w:rPr>
              <w:t>budget</w:t>
            </w:r>
          </w:p>
        </w:tc>
      </w:tr>
      <w:tr w:rsidR="00BC24A8" w14:paraId="3A60306D" w14:textId="77777777">
        <w:trPr>
          <w:trHeight w:val="393"/>
        </w:trPr>
        <w:tc>
          <w:tcPr>
            <w:tcW w:w="2707" w:type="dxa"/>
            <w:tcBorders>
              <w:bottom w:val="single" w:sz="4" w:space="0" w:color="BEBEBE"/>
            </w:tcBorders>
          </w:tcPr>
          <w:p w14:paraId="3F29A429" w14:textId="77777777" w:rsidR="00BC24A8" w:rsidRDefault="00000000">
            <w:pPr>
              <w:pStyle w:val="TableParagraph"/>
              <w:spacing w:before="102"/>
              <w:ind w:left="115"/>
              <w:rPr>
                <w:sz w:val="18"/>
              </w:rPr>
            </w:pPr>
            <w:r>
              <w:rPr>
                <w:spacing w:val="-2"/>
                <w:sz w:val="18"/>
              </w:rPr>
              <w:t>Education</w:t>
            </w:r>
          </w:p>
        </w:tc>
        <w:tc>
          <w:tcPr>
            <w:tcW w:w="2071" w:type="dxa"/>
            <w:tcBorders>
              <w:bottom w:val="single" w:sz="4" w:space="0" w:color="BEBEBE"/>
            </w:tcBorders>
          </w:tcPr>
          <w:p w14:paraId="3B8B8F70" w14:textId="77777777" w:rsidR="00BC24A8" w:rsidRDefault="00000000">
            <w:pPr>
              <w:pStyle w:val="TableParagraph"/>
              <w:spacing w:before="102"/>
              <w:ind w:left="7" w:right="8"/>
              <w:jc w:val="center"/>
              <w:rPr>
                <w:sz w:val="18"/>
              </w:rPr>
            </w:pPr>
            <w:r>
              <w:rPr>
                <w:spacing w:val="-5"/>
                <w:sz w:val="18"/>
              </w:rPr>
              <w:t>100</w:t>
            </w:r>
          </w:p>
        </w:tc>
        <w:tc>
          <w:tcPr>
            <w:tcW w:w="2340" w:type="dxa"/>
            <w:tcBorders>
              <w:bottom w:val="single" w:sz="4" w:space="0" w:color="BEBEBE"/>
            </w:tcBorders>
          </w:tcPr>
          <w:p w14:paraId="740A8DA8" w14:textId="77777777" w:rsidR="00BC24A8" w:rsidRDefault="00000000">
            <w:pPr>
              <w:pStyle w:val="TableParagraph"/>
              <w:spacing w:before="102"/>
              <w:ind w:right="4"/>
              <w:jc w:val="center"/>
              <w:rPr>
                <w:sz w:val="18"/>
              </w:rPr>
            </w:pPr>
            <w:r>
              <w:rPr>
                <w:spacing w:val="-4"/>
                <w:sz w:val="18"/>
              </w:rPr>
              <w:t>88.0</w:t>
            </w:r>
          </w:p>
        </w:tc>
        <w:tc>
          <w:tcPr>
            <w:tcW w:w="1889" w:type="dxa"/>
            <w:tcBorders>
              <w:bottom w:val="single" w:sz="4" w:space="0" w:color="BEBEBE"/>
            </w:tcBorders>
          </w:tcPr>
          <w:p w14:paraId="53E95B4B" w14:textId="77777777" w:rsidR="00BC24A8" w:rsidRDefault="00000000">
            <w:pPr>
              <w:pStyle w:val="TableParagraph"/>
              <w:spacing w:before="102"/>
              <w:ind w:right="183"/>
              <w:jc w:val="right"/>
              <w:rPr>
                <w:sz w:val="18"/>
              </w:rPr>
            </w:pPr>
            <w:r>
              <w:rPr>
                <w:sz w:val="18"/>
              </w:rPr>
              <w:t>IDR</w:t>
            </w:r>
            <w:r>
              <w:rPr>
                <w:spacing w:val="61"/>
                <w:w w:val="150"/>
                <w:sz w:val="18"/>
              </w:rPr>
              <w:t xml:space="preserve"> </w:t>
            </w:r>
            <w:r>
              <w:rPr>
                <w:spacing w:val="-2"/>
                <w:sz w:val="18"/>
              </w:rPr>
              <w:t>364,488,993,525</w:t>
            </w:r>
          </w:p>
        </w:tc>
      </w:tr>
      <w:tr w:rsidR="00BC24A8" w14:paraId="04713035" w14:textId="77777777">
        <w:trPr>
          <w:trHeight w:val="352"/>
        </w:trPr>
        <w:tc>
          <w:tcPr>
            <w:tcW w:w="2707" w:type="dxa"/>
            <w:tcBorders>
              <w:top w:val="single" w:sz="4" w:space="0" w:color="BEBEBE"/>
              <w:bottom w:val="single" w:sz="4" w:space="0" w:color="BEBEBE"/>
            </w:tcBorders>
          </w:tcPr>
          <w:p w14:paraId="172E99D2" w14:textId="77777777" w:rsidR="00BC24A8" w:rsidRDefault="00000000">
            <w:pPr>
              <w:pStyle w:val="TableParagraph"/>
              <w:spacing w:before="59"/>
              <w:ind w:left="115"/>
              <w:rPr>
                <w:sz w:val="18"/>
              </w:rPr>
            </w:pPr>
            <w:r>
              <w:rPr>
                <w:spacing w:val="-2"/>
                <w:sz w:val="18"/>
              </w:rPr>
              <w:t>Health</w:t>
            </w:r>
          </w:p>
        </w:tc>
        <w:tc>
          <w:tcPr>
            <w:tcW w:w="2071" w:type="dxa"/>
            <w:tcBorders>
              <w:top w:val="single" w:sz="4" w:space="0" w:color="BEBEBE"/>
              <w:bottom w:val="single" w:sz="4" w:space="0" w:color="BEBEBE"/>
            </w:tcBorders>
          </w:tcPr>
          <w:p w14:paraId="71CFC70E" w14:textId="77777777" w:rsidR="00BC24A8" w:rsidRDefault="00000000">
            <w:pPr>
              <w:pStyle w:val="TableParagraph"/>
              <w:spacing w:before="59"/>
              <w:ind w:left="7" w:right="8"/>
              <w:jc w:val="center"/>
              <w:rPr>
                <w:sz w:val="18"/>
              </w:rPr>
            </w:pPr>
            <w:r>
              <w:rPr>
                <w:spacing w:val="-2"/>
                <w:sz w:val="18"/>
              </w:rPr>
              <w:t>94.74</w:t>
            </w:r>
          </w:p>
        </w:tc>
        <w:tc>
          <w:tcPr>
            <w:tcW w:w="2340" w:type="dxa"/>
            <w:tcBorders>
              <w:top w:val="single" w:sz="4" w:space="0" w:color="BEBEBE"/>
              <w:bottom w:val="single" w:sz="4" w:space="0" w:color="BEBEBE"/>
            </w:tcBorders>
          </w:tcPr>
          <w:p w14:paraId="4B146603" w14:textId="77777777" w:rsidR="00BC24A8" w:rsidRDefault="00000000">
            <w:pPr>
              <w:pStyle w:val="TableParagraph"/>
              <w:spacing w:before="59"/>
              <w:ind w:right="4"/>
              <w:jc w:val="center"/>
              <w:rPr>
                <w:sz w:val="18"/>
              </w:rPr>
            </w:pPr>
            <w:r>
              <w:rPr>
                <w:spacing w:val="-4"/>
                <w:sz w:val="18"/>
              </w:rPr>
              <w:t>95.4</w:t>
            </w:r>
          </w:p>
        </w:tc>
        <w:tc>
          <w:tcPr>
            <w:tcW w:w="1889" w:type="dxa"/>
            <w:tcBorders>
              <w:top w:val="single" w:sz="4" w:space="0" w:color="BEBEBE"/>
              <w:bottom w:val="single" w:sz="4" w:space="0" w:color="BEBEBE"/>
            </w:tcBorders>
          </w:tcPr>
          <w:p w14:paraId="689A59BA" w14:textId="77777777" w:rsidR="00BC24A8" w:rsidRDefault="00000000">
            <w:pPr>
              <w:pStyle w:val="TableParagraph"/>
              <w:tabs>
                <w:tab w:val="left" w:pos="535"/>
              </w:tabs>
              <w:spacing w:before="59"/>
              <w:ind w:right="203"/>
              <w:jc w:val="right"/>
              <w:rPr>
                <w:sz w:val="18"/>
              </w:rPr>
            </w:pPr>
            <w:r>
              <w:rPr>
                <w:spacing w:val="-5"/>
                <w:sz w:val="18"/>
              </w:rPr>
              <w:t>IDR</w:t>
            </w:r>
            <w:r>
              <w:rPr>
                <w:sz w:val="18"/>
              </w:rPr>
              <w:tab/>
            </w:r>
            <w:r>
              <w:rPr>
                <w:spacing w:val="-2"/>
                <w:sz w:val="18"/>
              </w:rPr>
              <w:t>1,410,564,600</w:t>
            </w:r>
          </w:p>
        </w:tc>
      </w:tr>
      <w:tr w:rsidR="00BC24A8" w14:paraId="01214705" w14:textId="77777777">
        <w:trPr>
          <w:trHeight w:val="350"/>
        </w:trPr>
        <w:tc>
          <w:tcPr>
            <w:tcW w:w="2707" w:type="dxa"/>
            <w:tcBorders>
              <w:top w:val="single" w:sz="4" w:space="0" w:color="BEBEBE"/>
              <w:bottom w:val="single" w:sz="4" w:space="0" w:color="BEBEBE"/>
            </w:tcBorders>
          </w:tcPr>
          <w:p w14:paraId="0553097F" w14:textId="77777777" w:rsidR="00BC24A8" w:rsidRDefault="00000000">
            <w:pPr>
              <w:pStyle w:val="TableParagraph"/>
              <w:spacing w:before="59"/>
              <w:ind w:left="115"/>
              <w:rPr>
                <w:sz w:val="18"/>
              </w:rPr>
            </w:pPr>
            <w:r>
              <w:rPr>
                <w:sz w:val="18"/>
              </w:rPr>
              <w:t xml:space="preserve">Social </w:t>
            </w:r>
            <w:r>
              <w:rPr>
                <w:spacing w:val="-2"/>
                <w:sz w:val="18"/>
              </w:rPr>
              <w:t>Affairs</w:t>
            </w:r>
          </w:p>
        </w:tc>
        <w:tc>
          <w:tcPr>
            <w:tcW w:w="2071" w:type="dxa"/>
            <w:tcBorders>
              <w:top w:val="single" w:sz="4" w:space="0" w:color="BEBEBE"/>
              <w:bottom w:val="single" w:sz="4" w:space="0" w:color="BEBEBE"/>
            </w:tcBorders>
          </w:tcPr>
          <w:p w14:paraId="5D9FEF01" w14:textId="77777777" w:rsidR="00BC24A8" w:rsidRDefault="00000000">
            <w:pPr>
              <w:pStyle w:val="TableParagraph"/>
              <w:spacing w:before="59"/>
              <w:ind w:left="7" w:right="8"/>
              <w:jc w:val="center"/>
              <w:rPr>
                <w:sz w:val="18"/>
              </w:rPr>
            </w:pPr>
            <w:r>
              <w:rPr>
                <w:spacing w:val="-2"/>
                <w:sz w:val="18"/>
              </w:rPr>
              <w:t>98.39</w:t>
            </w:r>
          </w:p>
        </w:tc>
        <w:tc>
          <w:tcPr>
            <w:tcW w:w="2340" w:type="dxa"/>
            <w:tcBorders>
              <w:top w:val="single" w:sz="4" w:space="0" w:color="BEBEBE"/>
              <w:bottom w:val="single" w:sz="4" w:space="0" w:color="BEBEBE"/>
            </w:tcBorders>
          </w:tcPr>
          <w:p w14:paraId="5BA0D719" w14:textId="77777777" w:rsidR="00BC24A8" w:rsidRDefault="00000000">
            <w:pPr>
              <w:pStyle w:val="TableParagraph"/>
              <w:spacing w:before="59"/>
              <w:ind w:right="4"/>
              <w:jc w:val="center"/>
              <w:rPr>
                <w:sz w:val="18"/>
              </w:rPr>
            </w:pPr>
            <w:r>
              <w:rPr>
                <w:spacing w:val="-4"/>
                <w:sz w:val="18"/>
              </w:rPr>
              <w:t>95.1</w:t>
            </w:r>
          </w:p>
        </w:tc>
        <w:tc>
          <w:tcPr>
            <w:tcW w:w="1889" w:type="dxa"/>
            <w:tcBorders>
              <w:top w:val="single" w:sz="4" w:space="0" w:color="BEBEBE"/>
              <w:bottom w:val="single" w:sz="4" w:space="0" w:color="BEBEBE"/>
            </w:tcBorders>
          </w:tcPr>
          <w:p w14:paraId="4468BCD6" w14:textId="77777777" w:rsidR="00BC24A8" w:rsidRDefault="00000000">
            <w:pPr>
              <w:pStyle w:val="TableParagraph"/>
              <w:tabs>
                <w:tab w:val="left" w:pos="453"/>
              </w:tabs>
              <w:spacing w:before="59"/>
              <w:ind w:right="193"/>
              <w:jc w:val="right"/>
              <w:rPr>
                <w:sz w:val="18"/>
              </w:rPr>
            </w:pPr>
            <w:r>
              <w:rPr>
                <w:spacing w:val="-5"/>
                <w:sz w:val="18"/>
              </w:rPr>
              <w:t>IDR</w:t>
            </w:r>
            <w:r>
              <w:rPr>
                <w:sz w:val="18"/>
              </w:rPr>
              <w:tab/>
            </w:r>
            <w:r>
              <w:rPr>
                <w:spacing w:val="-2"/>
                <w:sz w:val="18"/>
              </w:rPr>
              <w:t>11,913,960,163</w:t>
            </w:r>
          </w:p>
        </w:tc>
      </w:tr>
      <w:tr w:rsidR="00BC24A8" w14:paraId="711FC9B9" w14:textId="77777777">
        <w:trPr>
          <w:trHeight w:val="352"/>
        </w:trPr>
        <w:tc>
          <w:tcPr>
            <w:tcW w:w="2707" w:type="dxa"/>
            <w:tcBorders>
              <w:top w:val="single" w:sz="4" w:space="0" w:color="BEBEBE"/>
              <w:bottom w:val="single" w:sz="4" w:space="0" w:color="BEBEBE"/>
            </w:tcBorders>
          </w:tcPr>
          <w:p w14:paraId="74AE4628" w14:textId="77777777" w:rsidR="00BC24A8" w:rsidRDefault="00000000">
            <w:pPr>
              <w:pStyle w:val="TableParagraph"/>
              <w:spacing w:before="59"/>
              <w:ind w:left="115"/>
              <w:rPr>
                <w:sz w:val="18"/>
              </w:rPr>
            </w:pPr>
            <w:r>
              <w:rPr>
                <w:sz w:val="18"/>
              </w:rPr>
              <w:t>Public</w:t>
            </w:r>
            <w:r>
              <w:rPr>
                <w:spacing w:val="-1"/>
                <w:sz w:val="18"/>
              </w:rPr>
              <w:t xml:space="preserve"> </w:t>
            </w:r>
            <w:r>
              <w:rPr>
                <w:spacing w:val="-2"/>
                <w:sz w:val="18"/>
              </w:rPr>
              <w:t>Works</w:t>
            </w:r>
          </w:p>
        </w:tc>
        <w:tc>
          <w:tcPr>
            <w:tcW w:w="2071" w:type="dxa"/>
            <w:tcBorders>
              <w:top w:val="single" w:sz="4" w:space="0" w:color="BEBEBE"/>
              <w:bottom w:val="single" w:sz="4" w:space="0" w:color="BEBEBE"/>
            </w:tcBorders>
          </w:tcPr>
          <w:p w14:paraId="5CC66757" w14:textId="77777777" w:rsidR="00BC24A8" w:rsidRDefault="00000000">
            <w:pPr>
              <w:pStyle w:val="TableParagraph"/>
              <w:spacing w:before="59"/>
              <w:ind w:left="7" w:right="8"/>
              <w:jc w:val="center"/>
              <w:rPr>
                <w:sz w:val="18"/>
              </w:rPr>
            </w:pPr>
            <w:r>
              <w:rPr>
                <w:spacing w:val="-2"/>
                <w:sz w:val="18"/>
              </w:rPr>
              <w:t>88.89</w:t>
            </w:r>
          </w:p>
        </w:tc>
        <w:tc>
          <w:tcPr>
            <w:tcW w:w="2340" w:type="dxa"/>
            <w:tcBorders>
              <w:top w:val="single" w:sz="4" w:space="0" w:color="BEBEBE"/>
              <w:bottom w:val="single" w:sz="4" w:space="0" w:color="BEBEBE"/>
            </w:tcBorders>
          </w:tcPr>
          <w:p w14:paraId="42774EE5" w14:textId="77777777" w:rsidR="00BC24A8" w:rsidRDefault="00000000">
            <w:pPr>
              <w:pStyle w:val="TableParagraph"/>
              <w:spacing w:before="59"/>
              <w:ind w:right="4"/>
              <w:jc w:val="center"/>
              <w:rPr>
                <w:sz w:val="18"/>
              </w:rPr>
            </w:pPr>
            <w:r>
              <w:rPr>
                <w:spacing w:val="-4"/>
                <w:sz w:val="18"/>
              </w:rPr>
              <w:t>97.5</w:t>
            </w:r>
          </w:p>
        </w:tc>
        <w:tc>
          <w:tcPr>
            <w:tcW w:w="1889" w:type="dxa"/>
            <w:tcBorders>
              <w:top w:val="single" w:sz="4" w:space="0" w:color="BEBEBE"/>
              <w:bottom w:val="single" w:sz="4" w:space="0" w:color="BEBEBE"/>
            </w:tcBorders>
          </w:tcPr>
          <w:p w14:paraId="761A7C4F" w14:textId="77777777" w:rsidR="00BC24A8" w:rsidRDefault="00000000">
            <w:pPr>
              <w:pStyle w:val="TableParagraph"/>
              <w:tabs>
                <w:tab w:val="left" w:pos="535"/>
              </w:tabs>
              <w:spacing w:before="59"/>
              <w:ind w:right="203"/>
              <w:jc w:val="right"/>
              <w:rPr>
                <w:sz w:val="18"/>
              </w:rPr>
            </w:pPr>
            <w:r>
              <w:rPr>
                <w:spacing w:val="-5"/>
                <w:sz w:val="18"/>
              </w:rPr>
              <w:t>IDR</w:t>
            </w:r>
            <w:r>
              <w:rPr>
                <w:sz w:val="18"/>
              </w:rPr>
              <w:tab/>
            </w:r>
            <w:r>
              <w:rPr>
                <w:spacing w:val="-2"/>
                <w:sz w:val="18"/>
              </w:rPr>
              <w:t>1,103,975,888</w:t>
            </w:r>
          </w:p>
        </w:tc>
      </w:tr>
      <w:tr w:rsidR="00BC24A8" w14:paraId="548069C2" w14:textId="77777777">
        <w:trPr>
          <w:trHeight w:val="350"/>
        </w:trPr>
        <w:tc>
          <w:tcPr>
            <w:tcW w:w="2707" w:type="dxa"/>
            <w:tcBorders>
              <w:top w:val="single" w:sz="4" w:space="0" w:color="BEBEBE"/>
              <w:bottom w:val="single" w:sz="4" w:space="0" w:color="BEBEBE"/>
            </w:tcBorders>
          </w:tcPr>
          <w:p w14:paraId="6B8AB51E" w14:textId="77777777" w:rsidR="00BC24A8" w:rsidRDefault="00000000">
            <w:pPr>
              <w:pStyle w:val="TableParagraph"/>
              <w:spacing w:before="59"/>
              <w:ind w:left="115"/>
              <w:rPr>
                <w:sz w:val="18"/>
              </w:rPr>
            </w:pPr>
            <w:r>
              <w:rPr>
                <w:sz w:val="18"/>
              </w:rPr>
              <w:t>Housing</w:t>
            </w:r>
            <w:r>
              <w:rPr>
                <w:spacing w:val="-5"/>
                <w:sz w:val="18"/>
              </w:rPr>
              <w:t xml:space="preserve"> </w:t>
            </w:r>
            <w:r>
              <w:rPr>
                <w:sz w:val="18"/>
              </w:rPr>
              <w:t>and</w:t>
            </w:r>
            <w:r>
              <w:rPr>
                <w:spacing w:val="-2"/>
                <w:sz w:val="18"/>
              </w:rPr>
              <w:t xml:space="preserve"> </w:t>
            </w:r>
            <w:r>
              <w:rPr>
                <w:sz w:val="18"/>
              </w:rPr>
              <w:t>Settlement</w:t>
            </w:r>
            <w:r>
              <w:rPr>
                <w:spacing w:val="-1"/>
                <w:sz w:val="18"/>
              </w:rPr>
              <w:t xml:space="preserve"> </w:t>
            </w:r>
            <w:r>
              <w:rPr>
                <w:spacing w:val="-4"/>
                <w:sz w:val="18"/>
              </w:rPr>
              <w:t>(PR)</w:t>
            </w:r>
          </w:p>
        </w:tc>
        <w:tc>
          <w:tcPr>
            <w:tcW w:w="2071" w:type="dxa"/>
            <w:tcBorders>
              <w:top w:val="single" w:sz="4" w:space="0" w:color="BEBEBE"/>
              <w:bottom w:val="single" w:sz="4" w:space="0" w:color="BEBEBE"/>
            </w:tcBorders>
          </w:tcPr>
          <w:p w14:paraId="435323EE" w14:textId="77777777" w:rsidR="00BC24A8" w:rsidRDefault="00000000">
            <w:pPr>
              <w:pStyle w:val="TableParagraph"/>
              <w:spacing w:before="59"/>
              <w:ind w:left="7" w:right="8"/>
              <w:jc w:val="center"/>
              <w:rPr>
                <w:sz w:val="18"/>
              </w:rPr>
            </w:pPr>
            <w:r>
              <w:rPr>
                <w:spacing w:val="-4"/>
                <w:sz w:val="18"/>
              </w:rPr>
              <w:t>96.0</w:t>
            </w:r>
          </w:p>
        </w:tc>
        <w:tc>
          <w:tcPr>
            <w:tcW w:w="2340" w:type="dxa"/>
            <w:tcBorders>
              <w:top w:val="single" w:sz="4" w:space="0" w:color="BEBEBE"/>
              <w:bottom w:val="single" w:sz="4" w:space="0" w:color="BEBEBE"/>
            </w:tcBorders>
          </w:tcPr>
          <w:p w14:paraId="679627D1" w14:textId="77777777" w:rsidR="00BC24A8" w:rsidRDefault="00000000">
            <w:pPr>
              <w:pStyle w:val="TableParagraph"/>
              <w:spacing w:before="59"/>
              <w:ind w:right="4"/>
              <w:jc w:val="center"/>
              <w:rPr>
                <w:sz w:val="18"/>
              </w:rPr>
            </w:pPr>
            <w:r>
              <w:rPr>
                <w:spacing w:val="-5"/>
                <w:sz w:val="18"/>
              </w:rPr>
              <w:t>100</w:t>
            </w:r>
          </w:p>
        </w:tc>
        <w:tc>
          <w:tcPr>
            <w:tcW w:w="1889" w:type="dxa"/>
            <w:tcBorders>
              <w:top w:val="single" w:sz="4" w:space="0" w:color="BEBEBE"/>
              <w:bottom w:val="single" w:sz="4" w:space="0" w:color="BEBEBE"/>
            </w:tcBorders>
          </w:tcPr>
          <w:p w14:paraId="06826C46" w14:textId="77777777" w:rsidR="00BC24A8" w:rsidRDefault="00000000">
            <w:pPr>
              <w:pStyle w:val="TableParagraph"/>
              <w:tabs>
                <w:tab w:val="left" w:pos="453"/>
              </w:tabs>
              <w:spacing w:before="59"/>
              <w:ind w:right="193"/>
              <w:jc w:val="right"/>
              <w:rPr>
                <w:sz w:val="18"/>
              </w:rPr>
            </w:pPr>
            <w:r>
              <w:rPr>
                <w:spacing w:val="-5"/>
                <w:sz w:val="18"/>
              </w:rPr>
              <w:t>IDR</w:t>
            </w:r>
            <w:r>
              <w:rPr>
                <w:sz w:val="18"/>
              </w:rPr>
              <w:tab/>
            </w:r>
            <w:r>
              <w:rPr>
                <w:spacing w:val="-2"/>
                <w:sz w:val="18"/>
              </w:rPr>
              <w:t>34,080,000,000</w:t>
            </w:r>
          </w:p>
        </w:tc>
      </w:tr>
      <w:tr w:rsidR="00BC24A8" w14:paraId="75242DB6" w14:textId="77777777">
        <w:trPr>
          <w:trHeight w:val="590"/>
        </w:trPr>
        <w:tc>
          <w:tcPr>
            <w:tcW w:w="2707" w:type="dxa"/>
            <w:tcBorders>
              <w:top w:val="single" w:sz="4" w:space="0" w:color="BEBEBE"/>
              <w:bottom w:val="single" w:sz="4" w:space="0" w:color="BEBEBE"/>
            </w:tcBorders>
          </w:tcPr>
          <w:p w14:paraId="5D661762" w14:textId="77777777" w:rsidR="00BC24A8" w:rsidRDefault="00000000">
            <w:pPr>
              <w:pStyle w:val="TableParagraph"/>
              <w:spacing w:before="59" w:line="259" w:lineRule="auto"/>
              <w:ind w:left="115"/>
              <w:rPr>
                <w:sz w:val="18"/>
              </w:rPr>
            </w:pPr>
            <w:r>
              <w:rPr>
                <w:sz w:val="18"/>
              </w:rPr>
              <w:t>Public Order and Community Protection</w:t>
            </w:r>
            <w:r>
              <w:rPr>
                <w:spacing w:val="-3"/>
                <w:sz w:val="18"/>
              </w:rPr>
              <w:t xml:space="preserve"> </w:t>
            </w:r>
            <w:r>
              <w:rPr>
                <w:spacing w:val="-2"/>
                <w:sz w:val="18"/>
              </w:rPr>
              <w:t>(Trantibumlinmas)</w:t>
            </w:r>
          </w:p>
        </w:tc>
        <w:tc>
          <w:tcPr>
            <w:tcW w:w="2071" w:type="dxa"/>
            <w:tcBorders>
              <w:top w:val="single" w:sz="4" w:space="0" w:color="BEBEBE"/>
              <w:bottom w:val="single" w:sz="4" w:space="0" w:color="BEBEBE"/>
            </w:tcBorders>
          </w:tcPr>
          <w:p w14:paraId="309BF7A0" w14:textId="77777777" w:rsidR="00BC24A8" w:rsidRDefault="00000000">
            <w:pPr>
              <w:pStyle w:val="TableParagraph"/>
              <w:spacing w:before="59"/>
              <w:ind w:left="7" w:right="8"/>
              <w:jc w:val="center"/>
              <w:rPr>
                <w:sz w:val="18"/>
              </w:rPr>
            </w:pPr>
            <w:r>
              <w:rPr>
                <w:spacing w:val="-5"/>
                <w:sz w:val="18"/>
              </w:rPr>
              <w:t>100</w:t>
            </w:r>
          </w:p>
        </w:tc>
        <w:tc>
          <w:tcPr>
            <w:tcW w:w="2340" w:type="dxa"/>
            <w:tcBorders>
              <w:top w:val="single" w:sz="4" w:space="0" w:color="BEBEBE"/>
              <w:bottom w:val="single" w:sz="4" w:space="0" w:color="BEBEBE"/>
            </w:tcBorders>
          </w:tcPr>
          <w:p w14:paraId="6A77739D" w14:textId="77777777" w:rsidR="00BC24A8" w:rsidRDefault="00000000">
            <w:pPr>
              <w:pStyle w:val="TableParagraph"/>
              <w:spacing w:before="59"/>
              <w:ind w:right="4"/>
              <w:jc w:val="center"/>
              <w:rPr>
                <w:sz w:val="18"/>
              </w:rPr>
            </w:pPr>
            <w:r>
              <w:rPr>
                <w:spacing w:val="-4"/>
                <w:sz w:val="18"/>
              </w:rPr>
              <w:t>96.7</w:t>
            </w:r>
          </w:p>
        </w:tc>
        <w:tc>
          <w:tcPr>
            <w:tcW w:w="1889" w:type="dxa"/>
            <w:tcBorders>
              <w:top w:val="single" w:sz="4" w:space="0" w:color="BEBEBE"/>
              <w:bottom w:val="single" w:sz="4" w:space="0" w:color="BEBEBE"/>
            </w:tcBorders>
          </w:tcPr>
          <w:p w14:paraId="039B3A9C" w14:textId="77777777" w:rsidR="00BC24A8" w:rsidRDefault="00000000">
            <w:pPr>
              <w:pStyle w:val="TableParagraph"/>
              <w:spacing w:before="59"/>
              <w:ind w:right="183"/>
              <w:jc w:val="right"/>
              <w:rPr>
                <w:sz w:val="18"/>
              </w:rPr>
            </w:pPr>
            <w:r>
              <w:rPr>
                <w:sz w:val="18"/>
              </w:rPr>
              <w:t>IDR</w:t>
            </w:r>
            <w:r>
              <w:rPr>
                <w:spacing w:val="61"/>
                <w:w w:val="150"/>
                <w:sz w:val="18"/>
              </w:rPr>
              <w:t xml:space="preserve"> </w:t>
            </w:r>
            <w:r>
              <w:rPr>
                <w:spacing w:val="-2"/>
                <w:sz w:val="18"/>
              </w:rPr>
              <w:t>124,192,471,000</w:t>
            </w:r>
          </w:p>
        </w:tc>
      </w:tr>
    </w:tbl>
    <w:p w14:paraId="07FAA46B" w14:textId="77777777" w:rsidR="00BC24A8" w:rsidRDefault="00000000">
      <w:pPr>
        <w:spacing w:before="125"/>
        <w:ind w:left="143"/>
        <w:rPr>
          <w:sz w:val="16"/>
        </w:rPr>
      </w:pPr>
      <w:r>
        <w:rPr>
          <w:sz w:val="16"/>
        </w:rPr>
        <w:t>Data</w:t>
      </w:r>
      <w:r>
        <w:rPr>
          <w:spacing w:val="-7"/>
          <w:sz w:val="16"/>
        </w:rPr>
        <w:t xml:space="preserve"> </w:t>
      </w:r>
      <w:r>
        <w:rPr>
          <w:sz w:val="16"/>
        </w:rPr>
        <w:t>source:</w:t>
      </w:r>
      <w:r>
        <w:rPr>
          <w:spacing w:val="-6"/>
          <w:sz w:val="16"/>
        </w:rPr>
        <w:t xml:space="preserve"> </w:t>
      </w:r>
      <w:r>
        <w:rPr>
          <w:sz w:val="16"/>
        </w:rPr>
        <w:t>Data</w:t>
      </w:r>
      <w:r>
        <w:rPr>
          <w:spacing w:val="-5"/>
          <w:sz w:val="16"/>
        </w:rPr>
        <w:t xml:space="preserve"> </w:t>
      </w:r>
      <w:r>
        <w:rPr>
          <w:sz w:val="16"/>
        </w:rPr>
        <w:t>processed</w:t>
      </w:r>
      <w:r>
        <w:rPr>
          <w:spacing w:val="-5"/>
          <w:sz w:val="16"/>
        </w:rPr>
        <w:t xml:space="preserve"> </w:t>
      </w:r>
      <w:r>
        <w:rPr>
          <w:sz w:val="16"/>
        </w:rPr>
        <w:t>from</w:t>
      </w:r>
      <w:r>
        <w:rPr>
          <w:spacing w:val="-6"/>
          <w:sz w:val="16"/>
        </w:rPr>
        <w:t xml:space="preserve"> </w:t>
      </w:r>
      <w:r>
        <w:rPr>
          <w:sz w:val="16"/>
        </w:rPr>
        <w:t>e-MSS</w:t>
      </w:r>
      <w:r>
        <w:rPr>
          <w:spacing w:val="-5"/>
          <w:sz w:val="16"/>
        </w:rPr>
        <w:t xml:space="preserve"> </w:t>
      </w:r>
      <w:r>
        <w:rPr>
          <w:sz w:val="16"/>
        </w:rPr>
        <w:t>Q4</w:t>
      </w:r>
      <w:r>
        <w:rPr>
          <w:spacing w:val="-6"/>
          <w:sz w:val="16"/>
        </w:rPr>
        <w:t xml:space="preserve"> </w:t>
      </w:r>
      <w:r>
        <w:rPr>
          <w:sz w:val="16"/>
        </w:rPr>
        <w:t>2024,</w:t>
      </w:r>
      <w:r>
        <w:rPr>
          <w:spacing w:val="-6"/>
          <w:sz w:val="16"/>
        </w:rPr>
        <w:t xml:space="preserve"> </w:t>
      </w:r>
      <w:r>
        <w:rPr>
          <w:sz w:val="16"/>
        </w:rPr>
        <w:t>retrieved</w:t>
      </w:r>
      <w:r>
        <w:rPr>
          <w:spacing w:val="-5"/>
          <w:sz w:val="16"/>
        </w:rPr>
        <w:t xml:space="preserve"> </w:t>
      </w:r>
      <w:r>
        <w:rPr>
          <w:sz w:val="16"/>
        </w:rPr>
        <w:t>on</w:t>
      </w:r>
      <w:r>
        <w:rPr>
          <w:spacing w:val="-5"/>
          <w:sz w:val="16"/>
        </w:rPr>
        <w:t xml:space="preserve"> </w:t>
      </w:r>
      <w:r>
        <w:rPr>
          <w:sz w:val="16"/>
        </w:rPr>
        <w:t>August</w:t>
      </w:r>
      <w:r>
        <w:rPr>
          <w:spacing w:val="-6"/>
          <w:sz w:val="16"/>
        </w:rPr>
        <w:t xml:space="preserve"> </w:t>
      </w:r>
      <w:r>
        <w:rPr>
          <w:sz w:val="16"/>
        </w:rPr>
        <w:t>5,</w:t>
      </w:r>
      <w:r>
        <w:rPr>
          <w:spacing w:val="-8"/>
          <w:sz w:val="16"/>
        </w:rPr>
        <w:t xml:space="preserve"> </w:t>
      </w:r>
      <w:r>
        <w:rPr>
          <w:sz w:val="16"/>
        </w:rPr>
        <w:t>2025,</w:t>
      </w:r>
      <w:r>
        <w:rPr>
          <w:spacing w:val="-6"/>
          <w:sz w:val="16"/>
        </w:rPr>
        <w:t xml:space="preserve"> </w:t>
      </w:r>
      <w:r>
        <w:rPr>
          <w:sz w:val="16"/>
        </w:rPr>
        <w:t>at</w:t>
      </w:r>
      <w:r>
        <w:rPr>
          <w:spacing w:val="-6"/>
          <w:sz w:val="16"/>
        </w:rPr>
        <w:t xml:space="preserve"> </w:t>
      </w:r>
      <w:r>
        <w:rPr>
          <w:sz w:val="16"/>
        </w:rPr>
        <w:t>10:05</w:t>
      </w:r>
      <w:r>
        <w:rPr>
          <w:spacing w:val="-5"/>
          <w:sz w:val="16"/>
        </w:rPr>
        <w:t xml:space="preserve"> </w:t>
      </w:r>
      <w:r>
        <w:rPr>
          <w:spacing w:val="-2"/>
          <w:sz w:val="16"/>
        </w:rPr>
        <w:t>WITA.</w:t>
      </w:r>
    </w:p>
    <w:p w14:paraId="358255BE" w14:textId="77777777" w:rsidR="00BC24A8" w:rsidRDefault="00BC24A8">
      <w:pPr>
        <w:rPr>
          <w:sz w:val="16"/>
        </w:rPr>
        <w:sectPr w:rsidR="00BC24A8">
          <w:pgSz w:w="11910" w:h="16840"/>
          <w:pgMar w:top="1320" w:right="850" w:bottom="1100" w:left="1275" w:header="0" w:footer="907" w:gutter="0"/>
          <w:cols w:space="720"/>
        </w:sectPr>
      </w:pPr>
    </w:p>
    <w:p w14:paraId="64202EB1" w14:textId="77777777" w:rsidR="00BC24A8" w:rsidRDefault="00000000">
      <w:pPr>
        <w:pStyle w:val="Heading5"/>
        <w:spacing w:before="39"/>
      </w:pPr>
      <w:r>
        <w:rPr>
          <w:color w:val="767070"/>
        </w:rPr>
        <w:lastRenderedPageBreak/>
        <w:t>Regional</w:t>
      </w:r>
      <w:r>
        <w:rPr>
          <w:color w:val="767070"/>
          <w:spacing w:val="-7"/>
        </w:rPr>
        <w:t xml:space="preserve"> </w:t>
      </w:r>
      <w:r>
        <w:rPr>
          <w:color w:val="767070"/>
        </w:rPr>
        <w:t>Revenue</w:t>
      </w:r>
      <w:r>
        <w:rPr>
          <w:color w:val="767070"/>
          <w:spacing w:val="-8"/>
        </w:rPr>
        <w:t xml:space="preserve"> </w:t>
      </w:r>
      <w:r>
        <w:rPr>
          <w:color w:val="767070"/>
        </w:rPr>
        <w:t>and</w:t>
      </w:r>
      <w:r>
        <w:rPr>
          <w:color w:val="767070"/>
          <w:spacing w:val="-8"/>
        </w:rPr>
        <w:t xml:space="preserve"> </w:t>
      </w:r>
      <w:r>
        <w:rPr>
          <w:color w:val="767070"/>
        </w:rPr>
        <w:t>Expenditure</w:t>
      </w:r>
      <w:r>
        <w:rPr>
          <w:color w:val="767070"/>
          <w:spacing w:val="-7"/>
        </w:rPr>
        <w:t xml:space="preserve"> </w:t>
      </w:r>
      <w:r>
        <w:rPr>
          <w:color w:val="767070"/>
        </w:rPr>
        <w:t>Budget</w:t>
      </w:r>
      <w:r>
        <w:rPr>
          <w:color w:val="767070"/>
          <w:spacing w:val="-9"/>
        </w:rPr>
        <w:t xml:space="preserve"> </w:t>
      </w:r>
      <w:r>
        <w:rPr>
          <w:color w:val="767070"/>
        </w:rPr>
        <w:t>(APBD)</w:t>
      </w:r>
      <w:r>
        <w:rPr>
          <w:color w:val="767070"/>
          <w:spacing w:val="-6"/>
        </w:rPr>
        <w:t xml:space="preserve"> </w:t>
      </w:r>
      <w:r>
        <w:rPr>
          <w:color w:val="767070"/>
          <w:spacing w:val="-4"/>
        </w:rPr>
        <w:t>Data</w:t>
      </w:r>
    </w:p>
    <w:p w14:paraId="41AC1FE1" w14:textId="77777777" w:rsidR="00BC24A8" w:rsidRDefault="00BC24A8">
      <w:pPr>
        <w:pStyle w:val="BodyText"/>
        <w:spacing w:before="8"/>
        <w:rPr>
          <w:rFonts w:ascii="Calibri"/>
          <w:b/>
          <w:sz w:val="12"/>
        </w:rPr>
      </w:pPr>
    </w:p>
    <w:tbl>
      <w:tblPr>
        <w:tblW w:w="0" w:type="auto"/>
        <w:tblInd w:w="150" w:type="dxa"/>
        <w:tblLayout w:type="fixed"/>
        <w:tblCellMar>
          <w:left w:w="0" w:type="dxa"/>
          <w:right w:w="0" w:type="dxa"/>
        </w:tblCellMar>
        <w:tblLook w:val="01E0" w:firstRow="1" w:lastRow="1" w:firstColumn="1" w:lastColumn="1" w:noHBand="0" w:noVBand="0"/>
      </w:tblPr>
      <w:tblGrid>
        <w:gridCol w:w="3005"/>
        <w:gridCol w:w="2395"/>
        <w:gridCol w:w="3691"/>
      </w:tblGrid>
      <w:tr w:rsidR="00BC24A8" w14:paraId="0EE85310" w14:textId="77777777">
        <w:trPr>
          <w:trHeight w:val="379"/>
        </w:trPr>
        <w:tc>
          <w:tcPr>
            <w:tcW w:w="3005" w:type="dxa"/>
            <w:shd w:val="clear" w:color="auto" w:fill="17365A"/>
          </w:tcPr>
          <w:p w14:paraId="034FE3F1" w14:textId="77777777" w:rsidR="00BC24A8" w:rsidRDefault="00000000">
            <w:pPr>
              <w:pStyle w:val="TableParagraph"/>
              <w:spacing w:before="59"/>
              <w:ind w:left="107"/>
              <w:rPr>
                <w:rFonts w:ascii="Calibri"/>
                <w:b/>
                <w:sz w:val="20"/>
              </w:rPr>
            </w:pPr>
            <w:r>
              <w:rPr>
                <w:rFonts w:ascii="Calibri"/>
                <w:b/>
                <w:color w:val="FFFFFF"/>
                <w:spacing w:val="-2"/>
                <w:sz w:val="20"/>
              </w:rPr>
              <w:t>Source</w:t>
            </w:r>
          </w:p>
        </w:tc>
        <w:tc>
          <w:tcPr>
            <w:tcW w:w="2395" w:type="dxa"/>
            <w:shd w:val="clear" w:color="auto" w:fill="17365A"/>
          </w:tcPr>
          <w:p w14:paraId="2AE848ED" w14:textId="77777777" w:rsidR="00BC24A8" w:rsidRDefault="00000000">
            <w:pPr>
              <w:pStyle w:val="TableParagraph"/>
              <w:spacing w:before="59"/>
              <w:ind w:left="2" w:right="2"/>
              <w:jc w:val="center"/>
              <w:rPr>
                <w:rFonts w:ascii="Calibri"/>
                <w:b/>
                <w:sz w:val="20"/>
              </w:rPr>
            </w:pPr>
            <w:r>
              <w:rPr>
                <w:rFonts w:ascii="Calibri"/>
                <w:b/>
                <w:color w:val="FFFFFF"/>
                <w:sz w:val="20"/>
              </w:rPr>
              <w:t>APBD</w:t>
            </w:r>
            <w:r>
              <w:rPr>
                <w:rFonts w:ascii="Calibri"/>
                <w:b/>
                <w:color w:val="FFFFFF"/>
                <w:spacing w:val="-7"/>
                <w:sz w:val="20"/>
              </w:rPr>
              <w:t xml:space="preserve"> </w:t>
            </w:r>
            <w:r>
              <w:rPr>
                <w:rFonts w:ascii="Calibri"/>
                <w:b/>
                <w:color w:val="FFFFFF"/>
                <w:spacing w:val="-4"/>
                <w:sz w:val="20"/>
              </w:rPr>
              <w:t>2024</w:t>
            </w:r>
          </w:p>
        </w:tc>
        <w:tc>
          <w:tcPr>
            <w:tcW w:w="3691" w:type="dxa"/>
            <w:shd w:val="clear" w:color="auto" w:fill="17365A"/>
          </w:tcPr>
          <w:p w14:paraId="2C4284AB" w14:textId="77777777" w:rsidR="00BC24A8" w:rsidRDefault="00000000">
            <w:pPr>
              <w:pStyle w:val="TableParagraph"/>
              <w:spacing w:before="59"/>
              <w:ind w:right="6"/>
              <w:jc w:val="center"/>
              <w:rPr>
                <w:rFonts w:ascii="Calibri"/>
                <w:b/>
                <w:sz w:val="20"/>
              </w:rPr>
            </w:pPr>
            <w:r>
              <w:rPr>
                <w:rFonts w:ascii="Calibri"/>
                <w:b/>
                <w:color w:val="FFFFFF"/>
                <w:sz w:val="20"/>
              </w:rPr>
              <w:t>APBD</w:t>
            </w:r>
            <w:r>
              <w:rPr>
                <w:rFonts w:ascii="Calibri"/>
                <w:b/>
                <w:color w:val="FFFFFF"/>
                <w:spacing w:val="-7"/>
                <w:sz w:val="20"/>
              </w:rPr>
              <w:t xml:space="preserve"> </w:t>
            </w:r>
            <w:r>
              <w:rPr>
                <w:rFonts w:ascii="Calibri"/>
                <w:b/>
                <w:color w:val="FFFFFF"/>
                <w:spacing w:val="-4"/>
                <w:sz w:val="20"/>
              </w:rPr>
              <w:t>2025</w:t>
            </w:r>
          </w:p>
        </w:tc>
      </w:tr>
      <w:tr w:rsidR="00BC24A8" w14:paraId="4E862011" w14:textId="77777777">
        <w:trPr>
          <w:trHeight w:val="436"/>
        </w:trPr>
        <w:tc>
          <w:tcPr>
            <w:tcW w:w="3005" w:type="dxa"/>
            <w:tcBorders>
              <w:bottom w:val="single" w:sz="4" w:space="0" w:color="BEBEBE"/>
            </w:tcBorders>
          </w:tcPr>
          <w:p w14:paraId="01C75679" w14:textId="77777777" w:rsidR="00BC24A8" w:rsidRDefault="00000000">
            <w:pPr>
              <w:pStyle w:val="TableParagraph"/>
              <w:spacing w:before="162"/>
              <w:ind w:left="107"/>
              <w:rPr>
                <w:sz w:val="18"/>
              </w:rPr>
            </w:pPr>
            <w:r>
              <w:rPr>
                <w:sz w:val="18"/>
              </w:rPr>
              <w:t>PAD</w:t>
            </w:r>
            <w:r>
              <w:rPr>
                <w:spacing w:val="-2"/>
                <w:sz w:val="18"/>
              </w:rPr>
              <w:t xml:space="preserve"> </w:t>
            </w:r>
            <w:r>
              <w:rPr>
                <w:sz w:val="18"/>
              </w:rPr>
              <w:t>(Regional</w:t>
            </w:r>
            <w:r>
              <w:rPr>
                <w:spacing w:val="-2"/>
                <w:sz w:val="18"/>
              </w:rPr>
              <w:t xml:space="preserve"> Revenue)</w:t>
            </w:r>
          </w:p>
        </w:tc>
        <w:tc>
          <w:tcPr>
            <w:tcW w:w="2395" w:type="dxa"/>
            <w:tcBorders>
              <w:bottom w:val="single" w:sz="4" w:space="0" w:color="BEBEBE"/>
            </w:tcBorders>
          </w:tcPr>
          <w:p w14:paraId="574D0246" w14:textId="77777777" w:rsidR="00BC24A8" w:rsidRDefault="00000000">
            <w:pPr>
              <w:pStyle w:val="TableParagraph"/>
              <w:spacing w:before="131"/>
              <w:ind w:left="784"/>
              <w:rPr>
                <w:sz w:val="18"/>
              </w:rPr>
            </w:pPr>
            <w:r>
              <w:rPr>
                <w:sz w:val="18"/>
              </w:rPr>
              <w:t>1.77</w:t>
            </w:r>
            <w:r>
              <w:rPr>
                <w:spacing w:val="-3"/>
                <w:sz w:val="18"/>
              </w:rPr>
              <w:t xml:space="preserve"> </w:t>
            </w:r>
            <w:r>
              <w:rPr>
                <w:spacing w:val="-2"/>
                <w:sz w:val="18"/>
              </w:rPr>
              <w:t>trillion</w:t>
            </w:r>
          </w:p>
        </w:tc>
        <w:tc>
          <w:tcPr>
            <w:tcW w:w="3691" w:type="dxa"/>
            <w:tcBorders>
              <w:bottom w:val="single" w:sz="4" w:space="0" w:color="BEBEBE"/>
            </w:tcBorders>
          </w:tcPr>
          <w:p w14:paraId="405D189D" w14:textId="77777777" w:rsidR="00BC24A8" w:rsidRDefault="00000000">
            <w:pPr>
              <w:pStyle w:val="TableParagraph"/>
              <w:spacing w:before="102"/>
              <w:ind w:left="1430"/>
              <w:rPr>
                <w:sz w:val="18"/>
              </w:rPr>
            </w:pPr>
            <w:r>
              <w:rPr>
                <w:sz w:val="18"/>
              </w:rPr>
              <w:t>1.92</w:t>
            </w:r>
            <w:r>
              <w:rPr>
                <w:spacing w:val="-3"/>
                <w:sz w:val="18"/>
              </w:rPr>
              <w:t xml:space="preserve"> </w:t>
            </w:r>
            <w:r>
              <w:rPr>
                <w:spacing w:val="-2"/>
                <w:sz w:val="18"/>
              </w:rPr>
              <w:t>trillion</w:t>
            </w:r>
          </w:p>
        </w:tc>
      </w:tr>
      <w:tr w:rsidR="00BC24A8" w14:paraId="382180FF" w14:textId="77777777">
        <w:trPr>
          <w:trHeight w:val="439"/>
        </w:trPr>
        <w:tc>
          <w:tcPr>
            <w:tcW w:w="3005" w:type="dxa"/>
            <w:tcBorders>
              <w:top w:val="single" w:sz="4" w:space="0" w:color="BEBEBE"/>
            </w:tcBorders>
          </w:tcPr>
          <w:p w14:paraId="0A890EA3" w14:textId="77777777" w:rsidR="00BC24A8" w:rsidRDefault="00000000">
            <w:pPr>
              <w:pStyle w:val="TableParagraph"/>
              <w:spacing w:before="119"/>
              <w:ind w:left="107"/>
              <w:rPr>
                <w:sz w:val="18"/>
              </w:rPr>
            </w:pPr>
            <w:r>
              <w:rPr>
                <w:sz w:val="18"/>
              </w:rPr>
              <w:t xml:space="preserve">TKD (Fiscal </w:t>
            </w:r>
            <w:r>
              <w:rPr>
                <w:spacing w:val="-2"/>
                <w:sz w:val="18"/>
              </w:rPr>
              <w:t>Transfers)</w:t>
            </w:r>
          </w:p>
        </w:tc>
        <w:tc>
          <w:tcPr>
            <w:tcW w:w="2395" w:type="dxa"/>
            <w:tcBorders>
              <w:top w:val="single" w:sz="4" w:space="0" w:color="BEBEBE"/>
            </w:tcBorders>
          </w:tcPr>
          <w:p w14:paraId="47032A41" w14:textId="77777777" w:rsidR="00BC24A8" w:rsidRDefault="00000000">
            <w:pPr>
              <w:pStyle w:val="TableParagraph"/>
              <w:spacing w:before="87"/>
              <w:ind w:left="784"/>
              <w:rPr>
                <w:sz w:val="18"/>
              </w:rPr>
            </w:pPr>
            <w:r>
              <w:rPr>
                <w:sz w:val="18"/>
              </w:rPr>
              <w:t>3.38</w:t>
            </w:r>
            <w:r>
              <w:rPr>
                <w:spacing w:val="-3"/>
                <w:sz w:val="18"/>
              </w:rPr>
              <w:t xml:space="preserve"> </w:t>
            </w:r>
            <w:r>
              <w:rPr>
                <w:spacing w:val="-2"/>
                <w:sz w:val="18"/>
              </w:rPr>
              <w:t>trillion</w:t>
            </w:r>
          </w:p>
        </w:tc>
        <w:tc>
          <w:tcPr>
            <w:tcW w:w="3691" w:type="dxa"/>
            <w:tcBorders>
              <w:top w:val="single" w:sz="4" w:space="0" w:color="BEBEBE"/>
            </w:tcBorders>
          </w:tcPr>
          <w:p w14:paraId="5F78CB70" w14:textId="77777777" w:rsidR="00BC24A8" w:rsidRDefault="00000000">
            <w:pPr>
              <w:pStyle w:val="TableParagraph"/>
              <w:spacing w:before="59"/>
              <w:ind w:left="1430"/>
              <w:rPr>
                <w:sz w:val="18"/>
              </w:rPr>
            </w:pPr>
            <w:r>
              <w:rPr>
                <w:sz w:val="18"/>
              </w:rPr>
              <w:t>3.92</w:t>
            </w:r>
            <w:r>
              <w:rPr>
                <w:spacing w:val="-3"/>
                <w:sz w:val="18"/>
              </w:rPr>
              <w:t xml:space="preserve"> </w:t>
            </w:r>
            <w:r>
              <w:rPr>
                <w:spacing w:val="-2"/>
                <w:sz w:val="18"/>
              </w:rPr>
              <w:t>trillion</w:t>
            </w:r>
          </w:p>
        </w:tc>
      </w:tr>
      <w:tr w:rsidR="00BC24A8" w14:paraId="5E1675C3" w14:textId="77777777">
        <w:trPr>
          <w:trHeight w:val="352"/>
        </w:trPr>
        <w:tc>
          <w:tcPr>
            <w:tcW w:w="3005" w:type="dxa"/>
            <w:tcBorders>
              <w:bottom w:val="single" w:sz="4" w:space="0" w:color="BEBEBE"/>
              <w:right w:val="single" w:sz="18" w:space="0" w:color="FFFFFF"/>
            </w:tcBorders>
            <w:shd w:val="clear" w:color="auto" w:fill="A7A9AC"/>
          </w:tcPr>
          <w:p w14:paraId="785E9365" w14:textId="77777777" w:rsidR="00BC24A8" w:rsidRDefault="00000000">
            <w:pPr>
              <w:pStyle w:val="TableParagraph"/>
              <w:spacing w:before="59"/>
              <w:ind w:left="107"/>
              <w:rPr>
                <w:rFonts w:ascii="Calibri"/>
                <w:b/>
                <w:sz w:val="18"/>
              </w:rPr>
            </w:pPr>
            <w:r w:rsidRPr="00795364">
              <w:rPr>
                <w:rFonts w:ascii="Calibri"/>
                <w:b/>
                <w:color w:val="000000"/>
                <w:spacing w:val="-2"/>
                <w:sz w:val="18"/>
              </w:rPr>
              <w:t>Total</w:t>
            </w:r>
          </w:p>
        </w:tc>
        <w:tc>
          <w:tcPr>
            <w:tcW w:w="2395" w:type="dxa"/>
            <w:tcBorders>
              <w:left w:val="single" w:sz="18" w:space="0" w:color="FFFFFF"/>
              <w:bottom w:val="single" w:sz="4" w:space="0" w:color="BEBEBE"/>
              <w:right w:val="single" w:sz="18" w:space="0" w:color="FFFFFF"/>
            </w:tcBorders>
            <w:shd w:val="clear" w:color="auto" w:fill="A7A9AC"/>
          </w:tcPr>
          <w:p w14:paraId="5F4984F2" w14:textId="77777777" w:rsidR="00BC24A8" w:rsidRDefault="00000000">
            <w:pPr>
              <w:pStyle w:val="TableParagraph"/>
              <w:spacing w:before="59"/>
              <w:ind w:left="745"/>
              <w:rPr>
                <w:rFonts w:ascii="Calibri"/>
                <w:b/>
                <w:sz w:val="18"/>
              </w:rPr>
            </w:pPr>
            <w:r w:rsidRPr="00795364">
              <w:rPr>
                <w:rFonts w:ascii="Calibri"/>
                <w:b/>
                <w:color w:val="000000"/>
                <w:sz w:val="18"/>
              </w:rPr>
              <w:t>5.15</w:t>
            </w:r>
            <w:r w:rsidRPr="00795364">
              <w:rPr>
                <w:rFonts w:ascii="Calibri"/>
                <w:b/>
                <w:color w:val="000000"/>
                <w:spacing w:val="-2"/>
                <w:sz w:val="18"/>
              </w:rPr>
              <w:t xml:space="preserve"> trillion</w:t>
            </w:r>
          </w:p>
        </w:tc>
        <w:tc>
          <w:tcPr>
            <w:tcW w:w="3691" w:type="dxa"/>
            <w:tcBorders>
              <w:left w:val="single" w:sz="18" w:space="0" w:color="FFFFFF"/>
              <w:bottom w:val="single" w:sz="4" w:space="0" w:color="BEBEBE"/>
            </w:tcBorders>
            <w:shd w:val="clear" w:color="auto" w:fill="A7A9AC"/>
          </w:tcPr>
          <w:p w14:paraId="227E307A" w14:textId="77777777" w:rsidR="00BC24A8" w:rsidRDefault="00000000">
            <w:pPr>
              <w:pStyle w:val="TableParagraph"/>
              <w:spacing w:before="59"/>
              <w:ind w:left="1391"/>
              <w:rPr>
                <w:rFonts w:ascii="Calibri"/>
                <w:b/>
                <w:sz w:val="18"/>
              </w:rPr>
            </w:pPr>
            <w:r w:rsidRPr="00795364">
              <w:rPr>
                <w:rFonts w:ascii="Calibri"/>
                <w:b/>
                <w:color w:val="000000"/>
                <w:sz w:val="18"/>
              </w:rPr>
              <w:t>5.82</w:t>
            </w:r>
            <w:r w:rsidRPr="00795364">
              <w:rPr>
                <w:rFonts w:ascii="Calibri"/>
                <w:b/>
                <w:color w:val="000000"/>
                <w:spacing w:val="-2"/>
                <w:sz w:val="18"/>
              </w:rPr>
              <w:t xml:space="preserve"> trillion</w:t>
            </w:r>
          </w:p>
        </w:tc>
      </w:tr>
    </w:tbl>
    <w:p w14:paraId="1EB09195" w14:textId="77777777" w:rsidR="00BC24A8" w:rsidRDefault="00000000">
      <w:pPr>
        <w:spacing w:before="125"/>
        <w:ind w:left="143"/>
        <w:rPr>
          <w:sz w:val="16"/>
        </w:rPr>
      </w:pPr>
      <w:r>
        <w:rPr>
          <w:sz w:val="16"/>
        </w:rPr>
        <w:t>Data</w:t>
      </w:r>
      <w:r>
        <w:rPr>
          <w:spacing w:val="-6"/>
          <w:sz w:val="16"/>
        </w:rPr>
        <w:t xml:space="preserve"> </w:t>
      </w:r>
      <w:r>
        <w:rPr>
          <w:sz w:val="16"/>
        </w:rPr>
        <w:t>source:</w:t>
      </w:r>
      <w:r>
        <w:rPr>
          <w:spacing w:val="-6"/>
          <w:sz w:val="16"/>
        </w:rPr>
        <w:t xml:space="preserve"> </w:t>
      </w:r>
      <w:r>
        <w:rPr>
          <w:sz w:val="16"/>
        </w:rPr>
        <w:t>APBD</w:t>
      </w:r>
      <w:r>
        <w:rPr>
          <w:spacing w:val="-4"/>
          <w:sz w:val="16"/>
        </w:rPr>
        <w:t xml:space="preserve"> </w:t>
      </w:r>
      <w:r>
        <w:rPr>
          <w:sz w:val="16"/>
        </w:rPr>
        <w:t>2024</w:t>
      </w:r>
      <w:r>
        <w:rPr>
          <w:spacing w:val="-5"/>
          <w:sz w:val="16"/>
        </w:rPr>
        <w:t xml:space="preserve"> </w:t>
      </w:r>
      <w:r>
        <w:rPr>
          <w:sz w:val="16"/>
        </w:rPr>
        <w:t>and</w:t>
      </w:r>
      <w:r>
        <w:rPr>
          <w:spacing w:val="-3"/>
          <w:sz w:val="16"/>
        </w:rPr>
        <w:t xml:space="preserve"> </w:t>
      </w:r>
      <w:r>
        <w:rPr>
          <w:spacing w:val="-4"/>
          <w:sz w:val="16"/>
        </w:rPr>
        <w:t>2025</w:t>
      </w:r>
    </w:p>
    <w:p w14:paraId="76CDCF80" w14:textId="77777777" w:rsidR="00BC24A8" w:rsidRDefault="00BC24A8">
      <w:pPr>
        <w:pStyle w:val="BodyText"/>
        <w:rPr>
          <w:sz w:val="16"/>
        </w:rPr>
      </w:pPr>
    </w:p>
    <w:p w14:paraId="509E618D" w14:textId="77777777" w:rsidR="00BC24A8" w:rsidRDefault="00BC24A8">
      <w:pPr>
        <w:pStyle w:val="BodyText"/>
        <w:spacing w:before="110"/>
        <w:rPr>
          <w:sz w:val="16"/>
        </w:rPr>
      </w:pPr>
    </w:p>
    <w:p w14:paraId="67114865" w14:textId="77777777" w:rsidR="00BC24A8" w:rsidRDefault="00000000">
      <w:pPr>
        <w:ind w:left="143"/>
        <w:rPr>
          <w:rFonts w:ascii="Calibri"/>
          <w:i/>
        </w:rPr>
      </w:pPr>
      <w:r>
        <w:rPr>
          <w:rFonts w:ascii="Calibri"/>
          <w:i/>
          <w:color w:val="272727"/>
        </w:rPr>
        <w:t>Dynamics</w:t>
      </w:r>
      <w:r>
        <w:rPr>
          <w:rFonts w:ascii="Calibri"/>
          <w:i/>
          <w:color w:val="272727"/>
          <w:spacing w:val="-6"/>
        </w:rPr>
        <w:t xml:space="preserve"> </w:t>
      </w:r>
      <w:r>
        <w:rPr>
          <w:rFonts w:ascii="Calibri"/>
          <w:i/>
          <w:color w:val="272727"/>
        </w:rPr>
        <w:t>shaping</w:t>
      </w:r>
      <w:r>
        <w:rPr>
          <w:rFonts w:ascii="Calibri"/>
          <w:i/>
          <w:color w:val="272727"/>
          <w:spacing w:val="-6"/>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6"/>
        </w:rPr>
        <w:t xml:space="preserve"> </w:t>
      </w:r>
      <w:r>
        <w:rPr>
          <w:rFonts w:ascii="Calibri"/>
          <w:i/>
          <w:color w:val="272727"/>
          <w:spacing w:val="-2"/>
        </w:rPr>
        <w:t>implementation</w:t>
      </w:r>
    </w:p>
    <w:p w14:paraId="1D13334B" w14:textId="77777777" w:rsidR="00BC24A8" w:rsidRDefault="00000000">
      <w:pPr>
        <w:pStyle w:val="BodyText"/>
        <w:spacing w:before="22" w:line="278" w:lineRule="auto"/>
        <w:ind w:left="143" w:right="562"/>
        <w:jc w:val="both"/>
      </w:pPr>
      <w:r>
        <w:t>In January–June 2025, the Provincial Government focused on finalising the Regional Medium-Term Development Plan (RPJMD) 2025–2029 and the Regional Government Work Plan (RKPD). SKALA seeks to align program implementation with the available Provincial Government staff. To achieve optimal results, collaboration between the Provincial Government and SKALA requires proper scheduling. For example, the finalisation</w:t>
      </w:r>
      <w:r>
        <w:rPr>
          <w:spacing w:val="-1"/>
        </w:rPr>
        <w:t xml:space="preserve"> </w:t>
      </w:r>
      <w:r>
        <w:t>of</w:t>
      </w:r>
      <w:r>
        <w:rPr>
          <w:spacing w:val="-3"/>
        </w:rPr>
        <w:t xml:space="preserve"> </w:t>
      </w:r>
      <w:r>
        <w:t>strategic documents, such</w:t>
      </w:r>
      <w:r>
        <w:rPr>
          <w:spacing w:val="-3"/>
        </w:rPr>
        <w:t xml:space="preserve"> </w:t>
      </w:r>
      <w:r>
        <w:t>as the Regional</w:t>
      </w:r>
      <w:r>
        <w:rPr>
          <w:spacing w:val="-2"/>
        </w:rPr>
        <w:t xml:space="preserve"> </w:t>
      </w:r>
      <w:r>
        <w:t>Action</w:t>
      </w:r>
      <w:r>
        <w:rPr>
          <w:spacing w:val="-1"/>
        </w:rPr>
        <w:t xml:space="preserve"> </w:t>
      </w:r>
      <w:r>
        <w:t>Plan</w:t>
      </w:r>
      <w:r>
        <w:rPr>
          <w:spacing w:val="-1"/>
        </w:rPr>
        <w:t xml:space="preserve"> </w:t>
      </w:r>
      <w:r>
        <w:t>for the</w:t>
      </w:r>
      <w:r>
        <w:rPr>
          <w:spacing w:val="-3"/>
        </w:rPr>
        <w:t xml:space="preserve"> </w:t>
      </w:r>
      <w:r>
        <w:t>Elderly</w:t>
      </w:r>
      <w:r>
        <w:rPr>
          <w:spacing w:val="40"/>
        </w:rPr>
        <w:t xml:space="preserve"> </w:t>
      </w:r>
      <w:r>
        <w:t>(RAD Kelanjutusiaan) and the One Data Regional Action Plan (RAD Satu Data), was guided by a commitment to a strict schedule.</w:t>
      </w:r>
    </w:p>
    <w:p w14:paraId="04A38D9B" w14:textId="77777777" w:rsidR="00BC24A8" w:rsidRDefault="00000000">
      <w:pPr>
        <w:pStyle w:val="BodyText"/>
        <w:spacing w:before="157" w:line="278" w:lineRule="auto"/>
        <w:ind w:left="143" w:right="562"/>
        <w:jc w:val="both"/>
      </w:pPr>
      <w:r>
        <w:rPr>
          <w:spacing w:val="-2"/>
        </w:rPr>
        <w:t>Meanwhile,</w:t>
      </w:r>
      <w:r>
        <w:rPr>
          <w:spacing w:val="-3"/>
        </w:rPr>
        <w:t xml:space="preserve"> </w:t>
      </w:r>
      <w:r>
        <w:rPr>
          <w:spacing w:val="-2"/>
        </w:rPr>
        <w:t>Presidential</w:t>
      </w:r>
      <w:r>
        <w:rPr>
          <w:spacing w:val="-6"/>
        </w:rPr>
        <w:t xml:space="preserve"> </w:t>
      </w:r>
      <w:r>
        <w:rPr>
          <w:spacing w:val="-2"/>
        </w:rPr>
        <w:t>Instruction</w:t>
      </w:r>
      <w:r>
        <w:rPr>
          <w:spacing w:val="-3"/>
        </w:rPr>
        <w:t xml:space="preserve"> </w:t>
      </w:r>
      <w:r>
        <w:rPr>
          <w:spacing w:val="-2"/>
        </w:rPr>
        <w:t>No.</w:t>
      </w:r>
      <w:r>
        <w:rPr>
          <w:spacing w:val="-6"/>
        </w:rPr>
        <w:t xml:space="preserve"> </w:t>
      </w:r>
      <w:r>
        <w:rPr>
          <w:spacing w:val="-2"/>
        </w:rPr>
        <w:t>1</w:t>
      </w:r>
      <w:r>
        <w:rPr>
          <w:spacing w:val="-3"/>
        </w:rPr>
        <w:t xml:space="preserve"> </w:t>
      </w:r>
      <w:r>
        <w:rPr>
          <w:spacing w:val="-2"/>
        </w:rPr>
        <w:t>of</w:t>
      </w:r>
      <w:r>
        <w:rPr>
          <w:spacing w:val="-8"/>
        </w:rPr>
        <w:t xml:space="preserve"> </w:t>
      </w:r>
      <w:r>
        <w:rPr>
          <w:spacing w:val="-2"/>
        </w:rPr>
        <w:t>2025</w:t>
      </w:r>
      <w:r>
        <w:rPr>
          <w:spacing w:val="-6"/>
        </w:rPr>
        <w:t xml:space="preserve"> </w:t>
      </w:r>
      <w:r>
        <w:rPr>
          <w:spacing w:val="-2"/>
        </w:rPr>
        <w:t>also</w:t>
      </w:r>
      <w:r>
        <w:rPr>
          <w:spacing w:val="-7"/>
        </w:rPr>
        <w:t xml:space="preserve"> </w:t>
      </w:r>
      <w:r>
        <w:rPr>
          <w:spacing w:val="-2"/>
        </w:rPr>
        <w:t>affects</w:t>
      </w:r>
      <w:r>
        <w:rPr>
          <w:spacing w:val="-3"/>
        </w:rPr>
        <w:t xml:space="preserve"> </w:t>
      </w:r>
      <w:r>
        <w:rPr>
          <w:spacing w:val="-2"/>
        </w:rPr>
        <w:t>the</w:t>
      </w:r>
      <w:r>
        <w:rPr>
          <w:spacing w:val="-6"/>
        </w:rPr>
        <w:t xml:space="preserve"> </w:t>
      </w:r>
      <w:r>
        <w:rPr>
          <w:spacing w:val="-2"/>
        </w:rPr>
        <w:t>implementation</w:t>
      </w:r>
      <w:r>
        <w:rPr>
          <w:spacing w:val="-7"/>
        </w:rPr>
        <w:t xml:space="preserve"> </w:t>
      </w:r>
      <w:r>
        <w:rPr>
          <w:spacing w:val="-2"/>
        </w:rPr>
        <w:t>of</w:t>
      </w:r>
      <w:r>
        <w:rPr>
          <w:spacing w:val="-6"/>
        </w:rPr>
        <w:t xml:space="preserve"> </w:t>
      </w:r>
      <w:r>
        <w:rPr>
          <w:spacing w:val="-2"/>
        </w:rPr>
        <w:t>the</w:t>
      </w:r>
      <w:r>
        <w:rPr>
          <w:spacing w:val="-6"/>
        </w:rPr>
        <w:t xml:space="preserve"> </w:t>
      </w:r>
      <w:r>
        <w:rPr>
          <w:spacing w:val="-2"/>
        </w:rPr>
        <w:t>SKALA</w:t>
      </w:r>
      <w:r>
        <w:rPr>
          <w:spacing w:val="-3"/>
        </w:rPr>
        <w:t xml:space="preserve"> </w:t>
      </w:r>
      <w:r>
        <w:rPr>
          <w:spacing w:val="-2"/>
        </w:rPr>
        <w:t xml:space="preserve">program. </w:t>
      </w:r>
      <w:r>
        <w:t>For example, budget efficiency affects the monitoring of strategic activities initiated by the Provincial Government</w:t>
      </w:r>
      <w:r>
        <w:rPr>
          <w:spacing w:val="-10"/>
        </w:rPr>
        <w:t xml:space="preserve"> </w:t>
      </w:r>
      <w:r>
        <w:t>and</w:t>
      </w:r>
      <w:r>
        <w:rPr>
          <w:spacing w:val="-11"/>
        </w:rPr>
        <w:t xml:space="preserve"> </w:t>
      </w:r>
      <w:r>
        <w:t>SKALA.</w:t>
      </w:r>
      <w:r>
        <w:rPr>
          <w:spacing w:val="-9"/>
        </w:rPr>
        <w:t xml:space="preserve"> </w:t>
      </w:r>
      <w:r>
        <w:t>To</w:t>
      </w:r>
      <w:r>
        <w:rPr>
          <w:spacing w:val="-12"/>
        </w:rPr>
        <w:t xml:space="preserve"> </w:t>
      </w:r>
      <w:r>
        <w:t>address</w:t>
      </w:r>
      <w:r>
        <w:rPr>
          <w:spacing w:val="-9"/>
        </w:rPr>
        <w:t xml:space="preserve"> </w:t>
      </w:r>
      <w:r>
        <w:t>this,</w:t>
      </w:r>
      <w:r>
        <w:rPr>
          <w:spacing w:val="-11"/>
        </w:rPr>
        <w:t xml:space="preserve"> </w:t>
      </w:r>
      <w:r>
        <w:t>SKALA</w:t>
      </w:r>
      <w:r>
        <w:rPr>
          <w:spacing w:val="-9"/>
        </w:rPr>
        <w:t xml:space="preserve"> </w:t>
      </w:r>
      <w:r>
        <w:t>employs</w:t>
      </w:r>
      <w:r>
        <w:rPr>
          <w:spacing w:val="-9"/>
        </w:rPr>
        <w:t xml:space="preserve"> </w:t>
      </w:r>
      <w:r>
        <w:t>hybrid</w:t>
      </w:r>
      <w:r>
        <w:rPr>
          <w:spacing w:val="-11"/>
        </w:rPr>
        <w:t xml:space="preserve"> </w:t>
      </w:r>
      <w:r>
        <w:t>methods</w:t>
      </w:r>
      <w:r>
        <w:rPr>
          <w:spacing w:val="-9"/>
        </w:rPr>
        <w:t xml:space="preserve"> </w:t>
      </w:r>
      <w:r>
        <w:t>in</w:t>
      </w:r>
      <w:r>
        <w:rPr>
          <w:spacing w:val="-9"/>
        </w:rPr>
        <w:t xml:space="preserve"> </w:t>
      </w:r>
      <w:r>
        <w:t>certain</w:t>
      </w:r>
      <w:r>
        <w:rPr>
          <w:spacing w:val="-11"/>
        </w:rPr>
        <w:t xml:space="preserve"> </w:t>
      </w:r>
      <w:r>
        <w:t>activities</w:t>
      </w:r>
      <w:r>
        <w:rPr>
          <w:spacing w:val="-9"/>
        </w:rPr>
        <w:t xml:space="preserve"> </w:t>
      </w:r>
      <w:r>
        <w:t>to</w:t>
      </w:r>
      <w:r>
        <w:rPr>
          <w:spacing w:val="-10"/>
        </w:rPr>
        <w:t xml:space="preserve"> </w:t>
      </w:r>
      <w:r>
        <w:t>enhance both effectiveness and efficiency.</w:t>
      </w:r>
    </w:p>
    <w:p w14:paraId="117C201E" w14:textId="77777777" w:rsidR="00BC24A8" w:rsidRDefault="00000000">
      <w:pPr>
        <w:pStyle w:val="BodyText"/>
        <w:spacing w:before="157" w:line="278" w:lineRule="auto"/>
        <w:ind w:left="143" w:right="564"/>
        <w:jc w:val="both"/>
      </w:pPr>
      <w:r>
        <w:t xml:space="preserve">In addition, the policy of slowing down the implementation of SKALA activities in the first quarter of 2025 led to the postponement of some regional activities. This situation affected the achievement of several SKALA strategic outputs, particularly those related to the preparation of regional planning </w:t>
      </w:r>
      <w:r>
        <w:rPr>
          <w:spacing w:val="-2"/>
        </w:rPr>
        <w:t>documents.</w:t>
      </w:r>
    </w:p>
    <w:p w14:paraId="61E8EA33" w14:textId="77777777" w:rsidR="00BC24A8" w:rsidRDefault="00BC24A8">
      <w:pPr>
        <w:pStyle w:val="BodyText"/>
        <w:spacing w:before="201"/>
      </w:pPr>
    </w:p>
    <w:p w14:paraId="3F6D956C" w14:textId="77777777" w:rsidR="00BC24A8" w:rsidRDefault="00000000">
      <w:pPr>
        <w:spacing w:before="1"/>
        <w:ind w:left="143"/>
        <w:rPr>
          <w:rFonts w:ascii="Calibri"/>
          <w:i/>
        </w:rPr>
      </w:pPr>
      <w:r>
        <w:rPr>
          <w:rFonts w:ascii="Calibri"/>
          <w:i/>
          <w:color w:val="272727"/>
        </w:rPr>
        <w:t>Overview</w:t>
      </w:r>
      <w:r>
        <w:rPr>
          <w:rFonts w:ascii="Calibri"/>
          <w:i/>
          <w:color w:val="272727"/>
          <w:spacing w:val="-3"/>
        </w:rPr>
        <w:t xml:space="preserve"> </w:t>
      </w:r>
      <w:r>
        <w:rPr>
          <w:rFonts w:ascii="Calibri"/>
          <w:i/>
          <w:color w:val="272727"/>
        </w:rPr>
        <w:t>of</w:t>
      </w:r>
      <w:r>
        <w:rPr>
          <w:rFonts w:ascii="Calibri"/>
          <w:i/>
          <w:color w:val="272727"/>
          <w:spacing w:val="-4"/>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3"/>
        </w:rPr>
        <w:t xml:space="preserve"> </w:t>
      </w:r>
      <w:r>
        <w:rPr>
          <w:rFonts w:ascii="Calibri"/>
          <w:i/>
          <w:color w:val="272727"/>
        </w:rPr>
        <w:t>priorities</w:t>
      </w:r>
      <w:r>
        <w:rPr>
          <w:rFonts w:ascii="Calibri"/>
          <w:i/>
          <w:color w:val="272727"/>
          <w:spacing w:val="-3"/>
        </w:rPr>
        <w:t xml:space="preserve"> </w:t>
      </w:r>
      <w:r>
        <w:rPr>
          <w:rFonts w:ascii="Calibri"/>
          <w:i/>
          <w:color w:val="272727"/>
        </w:rPr>
        <w:t>in</w:t>
      </w:r>
      <w:r>
        <w:rPr>
          <w:rFonts w:ascii="Calibri"/>
          <w:i/>
          <w:color w:val="272727"/>
          <w:spacing w:val="-6"/>
        </w:rPr>
        <w:t xml:space="preserve"> </w:t>
      </w:r>
      <w:r>
        <w:rPr>
          <w:rFonts w:ascii="Calibri"/>
          <w:i/>
          <w:color w:val="272727"/>
        </w:rPr>
        <w:t>provinces</w:t>
      </w:r>
      <w:r>
        <w:rPr>
          <w:rFonts w:ascii="Calibri"/>
          <w:i/>
          <w:color w:val="272727"/>
          <w:spacing w:val="-6"/>
        </w:rPr>
        <w:t xml:space="preserve"> </w:t>
      </w:r>
      <w:r>
        <w:rPr>
          <w:rFonts w:ascii="Calibri"/>
          <w:i/>
          <w:color w:val="272727"/>
        </w:rPr>
        <w:t>in</w:t>
      </w:r>
      <w:r>
        <w:rPr>
          <w:rFonts w:ascii="Calibri"/>
          <w:i/>
          <w:color w:val="272727"/>
          <w:spacing w:val="-6"/>
        </w:rPr>
        <w:t xml:space="preserve"> </w:t>
      </w:r>
      <w:r>
        <w:rPr>
          <w:rFonts w:ascii="Calibri"/>
          <w:i/>
          <w:color w:val="272727"/>
        </w:rPr>
        <w:t>FY</w:t>
      </w:r>
      <w:r>
        <w:rPr>
          <w:rFonts w:ascii="Calibri"/>
          <w:i/>
          <w:color w:val="272727"/>
          <w:spacing w:val="-4"/>
        </w:rPr>
        <w:t xml:space="preserve"> </w:t>
      </w:r>
      <w:r>
        <w:rPr>
          <w:rFonts w:ascii="Calibri"/>
          <w:i/>
          <w:color w:val="272727"/>
          <w:spacing w:val="-2"/>
        </w:rPr>
        <w:t>2024/2025</w:t>
      </w:r>
    </w:p>
    <w:p w14:paraId="6A0A237A" w14:textId="77777777" w:rsidR="00BC24A8" w:rsidRDefault="00000000">
      <w:pPr>
        <w:pStyle w:val="BodyText"/>
        <w:spacing w:before="21" w:line="276" w:lineRule="auto"/>
        <w:ind w:left="143" w:right="564"/>
        <w:jc w:val="both"/>
      </w:pPr>
      <w:r>
        <w:rPr>
          <w:spacing w:val="-2"/>
        </w:rPr>
        <w:t>SKALA</w:t>
      </w:r>
      <w:r>
        <w:rPr>
          <w:spacing w:val="-5"/>
        </w:rPr>
        <w:t xml:space="preserve"> </w:t>
      </w:r>
      <w:r>
        <w:rPr>
          <w:spacing w:val="-2"/>
        </w:rPr>
        <w:t>in</w:t>
      </w:r>
      <w:r>
        <w:rPr>
          <w:spacing w:val="-5"/>
        </w:rPr>
        <w:t xml:space="preserve"> </w:t>
      </w:r>
      <w:r>
        <w:rPr>
          <w:spacing w:val="-2"/>
        </w:rPr>
        <w:t>East</w:t>
      </w:r>
      <w:r>
        <w:rPr>
          <w:spacing w:val="-6"/>
        </w:rPr>
        <w:t xml:space="preserve"> </w:t>
      </w:r>
      <w:r>
        <w:rPr>
          <w:spacing w:val="-2"/>
        </w:rPr>
        <w:t>Nusa</w:t>
      </w:r>
      <w:r>
        <w:rPr>
          <w:spacing w:val="-6"/>
        </w:rPr>
        <w:t xml:space="preserve"> </w:t>
      </w:r>
      <w:r>
        <w:rPr>
          <w:spacing w:val="-2"/>
        </w:rPr>
        <w:t>Tenggara</w:t>
      </w:r>
      <w:r>
        <w:rPr>
          <w:spacing w:val="-6"/>
        </w:rPr>
        <w:t xml:space="preserve"> </w:t>
      </w:r>
      <w:r>
        <w:rPr>
          <w:spacing w:val="-2"/>
        </w:rPr>
        <w:t>(NTT)</w:t>
      </w:r>
      <w:r>
        <w:rPr>
          <w:spacing w:val="-7"/>
        </w:rPr>
        <w:t xml:space="preserve"> </w:t>
      </w:r>
      <w:r>
        <w:rPr>
          <w:spacing w:val="-2"/>
        </w:rPr>
        <w:t>Province</w:t>
      </w:r>
      <w:r>
        <w:rPr>
          <w:spacing w:val="-7"/>
        </w:rPr>
        <w:t xml:space="preserve"> </w:t>
      </w:r>
      <w:r>
        <w:rPr>
          <w:spacing w:val="-2"/>
        </w:rPr>
        <w:t>provides</w:t>
      </w:r>
      <w:r>
        <w:rPr>
          <w:spacing w:val="-7"/>
        </w:rPr>
        <w:t xml:space="preserve"> </w:t>
      </w:r>
      <w:r>
        <w:rPr>
          <w:spacing w:val="-2"/>
        </w:rPr>
        <w:t>strategic</w:t>
      </w:r>
      <w:r>
        <w:rPr>
          <w:spacing w:val="-6"/>
        </w:rPr>
        <w:t xml:space="preserve"> </w:t>
      </w:r>
      <w:r>
        <w:rPr>
          <w:spacing w:val="-2"/>
        </w:rPr>
        <w:t>support</w:t>
      </w:r>
      <w:r>
        <w:rPr>
          <w:spacing w:val="-6"/>
        </w:rPr>
        <w:t xml:space="preserve"> </w:t>
      </w:r>
      <w:r>
        <w:rPr>
          <w:spacing w:val="-2"/>
        </w:rPr>
        <w:t>across</w:t>
      </w:r>
      <w:r>
        <w:rPr>
          <w:spacing w:val="-3"/>
        </w:rPr>
        <w:t xml:space="preserve"> </w:t>
      </w:r>
      <w:r>
        <w:rPr>
          <w:spacing w:val="-2"/>
        </w:rPr>
        <w:t>four</w:t>
      </w:r>
      <w:r>
        <w:rPr>
          <w:spacing w:val="-7"/>
        </w:rPr>
        <w:t xml:space="preserve"> </w:t>
      </w:r>
      <w:r>
        <w:rPr>
          <w:spacing w:val="-2"/>
        </w:rPr>
        <w:t>key</w:t>
      </w:r>
      <w:r>
        <w:rPr>
          <w:spacing w:val="-3"/>
        </w:rPr>
        <w:t xml:space="preserve"> </w:t>
      </w:r>
      <w:r>
        <w:rPr>
          <w:spacing w:val="-2"/>
        </w:rPr>
        <w:t>areas</w:t>
      </w:r>
      <w:r>
        <w:rPr>
          <w:spacing w:val="-3"/>
        </w:rPr>
        <w:t xml:space="preserve"> </w:t>
      </w:r>
      <w:r>
        <w:rPr>
          <w:spacing w:val="-2"/>
        </w:rPr>
        <w:t>aligned</w:t>
      </w:r>
      <w:r>
        <w:rPr>
          <w:spacing w:val="-5"/>
        </w:rPr>
        <w:t xml:space="preserve"> </w:t>
      </w:r>
      <w:r>
        <w:rPr>
          <w:spacing w:val="-2"/>
        </w:rPr>
        <w:t xml:space="preserve">with </w:t>
      </w:r>
      <w:r>
        <w:t>regional development, as follows:</w:t>
      </w:r>
    </w:p>
    <w:p w14:paraId="21FFF7F5" w14:textId="77777777" w:rsidR="00BC24A8" w:rsidRDefault="00000000">
      <w:pPr>
        <w:pStyle w:val="ListParagraph"/>
        <w:numPr>
          <w:ilvl w:val="0"/>
          <w:numId w:val="55"/>
        </w:numPr>
        <w:tabs>
          <w:tab w:val="left" w:pos="681"/>
          <w:tab w:val="left" w:pos="683"/>
        </w:tabs>
        <w:spacing w:before="164"/>
        <w:ind w:right="561" w:hanging="361"/>
      </w:pPr>
      <w:r>
        <w:t>Data</w:t>
      </w:r>
      <w:r>
        <w:rPr>
          <w:spacing w:val="-6"/>
        </w:rPr>
        <w:t xml:space="preserve"> </w:t>
      </w:r>
      <w:r>
        <w:t>and</w:t>
      </w:r>
      <w:r>
        <w:rPr>
          <w:spacing w:val="-8"/>
        </w:rPr>
        <w:t xml:space="preserve"> </w:t>
      </w:r>
      <w:r>
        <w:t>Analytics:</w:t>
      </w:r>
      <w:r>
        <w:rPr>
          <w:spacing w:val="-11"/>
        </w:rPr>
        <w:t xml:space="preserve"> </w:t>
      </w:r>
      <w:r>
        <w:t>Utilising</w:t>
      </w:r>
      <w:r>
        <w:rPr>
          <w:spacing w:val="-11"/>
        </w:rPr>
        <w:t xml:space="preserve"> </w:t>
      </w:r>
      <w:r>
        <w:t>data</w:t>
      </w:r>
      <w:r>
        <w:rPr>
          <w:spacing w:val="-9"/>
        </w:rPr>
        <w:t xml:space="preserve"> </w:t>
      </w:r>
      <w:r>
        <w:t>to</w:t>
      </w:r>
      <w:r>
        <w:rPr>
          <w:spacing w:val="-8"/>
        </w:rPr>
        <w:t xml:space="preserve"> </w:t>
      </w:r>
      <w:r>
        <w:t>improve</w:t>
      </w:r>
      <w:r>
        <w:rPr>
          <w:spacing w:val="-7"/>
        </w:rPr>
        <w:t xml:space="preserve"> </w:t>
      </w:r>
      <w:r>
        <w:t>service</w:t>
      </w:r>
      <w:r>
        <w:rPr>
          <w:spacing w:val="-7"/>
        </w:rPr>
        <w:t xml:space="preserve"> </w:t>
      </w:r>
      <w:r>
        <w:t>delivery.</w:t>
      </w:r>
      <w:r>
        <w:rPr>
          <w:spacing w:val="-7"/>
        </w:rPr>
        <w:t xml:space="preserve"> </w:t>
      </w:r>
      <w:r>
        <w:t>SKALA</w:t>
      </w:r>
      <w:r>
        <w:rPr>
          <w:spacing w:val="-8"/>
        </w:rPr>
        <w:t xml:space="preserve"> </w:t>
      </w:r>
      <w:r>
        <w:t>supports</w:t>
      </w:r>
      <w:r>
        <w:rPr>
          <w:spacing w:val="-7"/>
        </w:rPr>
        <w:t xml:space="preserve"> </w:t>
      </w:r>
      <w:r>
        <w:t>the</w:t>
      </w:r>
      <w:r>
        <w:rPr>
          <w:spacing w:val="-7"/>
        </w:rPr>
        <w:t xml:space="preserve"> </w:t>
      </w:r>
      <w:r>
        <w:t>development</w:t>
      </w:r>
      <w:r>
        <w:rPr>
          <w:spacing w:val="-9"/>
        </w:rPr>
        <w:t xml:space="preserve"> </w:t>
      </w:r>
      <w:r>
        <w:t>of various policies, including Standard Operating Procedures (SOPs), Technical Guidelines, and the One Data Regional Action Plan. SKALA facilitates the use of Socio-Economic Registration (REGSOSEK) data and supports the development of the NTT One Data Portal.</w:t>
      </w:r>
    </w:p>
    <w:p w14:paraId="73D83669" w14:textId="77777777" w:rsidR="00BC24A8" w:rsidRDefault="00000000">
      <w:pPr>
        <w:pStyle w:val="ListParagraph"/>
        <w:numPr>
          <w:ilvl w:val="0"/>
          <w:numId w:val="55"/>
        </w:numPr>
        <w:tabs>
          <w:tab w:val="left" w:pos="683"/>
        </w:tabs>
        <w:spacing w:before="1"/>
        <w:ind w:right="564"/>
      </w:pPr>
      <w:r>
        <w:t>Minimum Service Standards (MSS): Enhancing the quality of MSS expenditure and planning. SKALA strengthens MSS governance through capacity building and improved data quality. In addition,</w:t>
      </w:r>
      <w:r>
        <w:rPr>
          <w:spacing w:val="-4"/>
        </w:rPr>
        <w:t xml:space="preserve"> </w:t>
      </w:r>
      <w:r>
        <w:t>SKALA</w:t>
      </w:r>
      <w:r>
        <w:rPr>
          <w:spacing w:val="-5"/>
        </w:rPr>
        <w:t xml:space="preserve"> </w:t>
      </w:r>
      <w:r>
        <w:t>facilitates</w:t>
      </w:r>
      <w:r>
        <w:rPr>
          <w:spacing w:val="-2"/>
        </w:rPr>
        <w:t xml:space="preserve"> </w:t>
      </w:r>
      <w:r>
        <w:t>the</w:t>
      </w:r>
      <w:r>
        <w:rPr>
          <w:spacing w:val="-4"/>
        </w:rPr>
        <w:t xml:space="preserve"> </w:t>
      </w:r>
      <w:r>
        <w:t>development</w:t>
      </w:r>
      <w:r>
        <w:rPr>
          <w:spacing w:val="-3"/>
        </w:rPr>
        <w:t xml:space="preserve"> </w:t>
      </w:r>
      <w:r>
        <w:t>of</w:t>
      </w:r>
      <w:r>
        <w:rPr>
          <w:spacing w:val="-4"/>
        </w:rPr>
        <w:t xml:space="preserve"> </w:t>
      </w:r>
      <w:r>
        <w:t>monitoring</w:t>
      </w:r>
      <w:r>
        <w:rPr>
          <w:spacing w:val="-3"/>
        </w:rPr>
        <w:t xml:space="preserve"> </w:t>
      </w:r>
      <w:r>
        <w:t>and</w:t>
      </w:r>
      <w:r>
        <w:rPr>
          <w:spacing w:val="-5"/>
        </w:rPr>
        <w:t xml:space="preserve"> </w:t>
      </w:r>
      <w:r>
        <w:t>evaluation</w:t>
      </w:r>
      <w:r>
        <w:rPr>
          <w:spacing w:val="-2"/>
        </w:rPr>
        <w:t xml:space="preserve"> </w:t>
      </w:r>
      <w:r>
        <w:t>instruments,</w:t>
      </w:r>
      <w:r>
        <w:rPr>
          <w:spacing w:val="-2"/>
        </w:rPr>
        <w:t xml:space="preserve"> </w:t>
      </w:r>
      <w:r>
        <w:t>as</w:t>
      </w:r>
      <w:r>
        <w:rPr>
          <w:spacing w:val="-2"/>
        </w:rPr>
        <w:t xml:space="preserve"> </w:t>
      </w:r>
      <w:r>
        <w:t>well</w:t>
      </w:r>
      <w:r>
        <w:rPr>
          <w:spacing w:val="-4"/>
        </w:rPr>
        <w:t xml:space="preserve"> </w:t>
      </w:r>
      <w:r>
        <w:t>as the coordination, guidance, and supervision of MSS at the provincial and regency/city levels.</w:t>
      </w:r>
    </w:p>
    <w:p w14:paraId="48AC5421" w14:textId="77777777" w:rsidR="00BC24A8" w:rsidRDefault="00000000">
      <w:pPr>
        <w:pStyle w:val="ListParagraph"/>
        <w:numPr>
          <w:ilvl w:val="0"/>
          <w:numId w:val="55"/>
        </w:numPr>
        <w:tabs>
          <w:tab w:val="left" w:pos="683"/>
        </w:tabs>
        <w:ind w:right="565"/>
      </w:pPr>
      <w:r>
        <w:t>Public Financial Management (PFM): Improving regional fiscal capacity. SKALA supports the drafting of regulations related to the implementation of Local Taxes and Levies and their derivative regulations at both provincial and regency/city levels. SKALA also promotes the development of inclusive policies, such as tax relief for persons with disabilities.</w:t>
      </w:r>
    </w:p>
    <w:p w14:paraId="162444BE" w14:textId="77777777" w:rsidR="00BC24A8" w:rsidRDefault="00000000">
      <w:pPr>
        <w:pStyle w:val="ListParagraph"/>
        <w:numPr>
          <w:ilvl w:val="0"/>
          <w:numId w:val="55"/>
        </w:numPr>
        <w:tabs>
          <w:tab w:val="left" w:pos="683"/>
        </w:tabs>
        <w:ind w:right="562"/>
      </w:pPr>
      <w:r>
        <w:t>Gender Equality, Disability, and Social Inclusion (GEDSI): Promoting gender equality, disability inclusion, and social inclusion. SKALA works with the NTT Provincial Government to strengthen</w:t>
      </w:r>
    </w:p>
    <w:p w14:paraId="086DDCD5" w14:textId="77777777" w:rsidR="00BC24A8" w:rsidRDefault="00BC24A8">
      <w:pPr>
        <w:pStyle w:val="ListParagraph"/>
        <w:sectPr w:rsidR="00BC24A8">
          <w:pgSz w:w="11910" w:h="16840"/>
          <w:pgMar w:top="1360" w:right="850" w:bottom="1100" w:left="1275" w:header="0" w:footer="907" w:gutter="0"/>
          <w:cols w:space="720"/>
        </w:sectPr>
      </w:pPr>
    </w:p>
    <w:p w14:paraId="79BD8681" w14:textId="77777777" w:rsidR="00BC24A8" w:rsidRDefault="00000000">
      <w:pPr>
        <w:pStyle w:val="BodyText"/>
        <w:spacing w:before="39"/>
        <w:ind w:left="683" w:right="563"/>
        <w:jc w:val="both"/>
      </w:pPr>
      <w:r>
        <w:lastRenderedPageBreak/>
        <w:t>inclusive planning and budgeting. SKALA enhances the capacity of Civil Society Networks (JMS) and Civil Society Organisations (CSOs) to enable more meaningful participation in local planning and budgeting.</w:t>
      </w:r>
    </w:p>
    <w:p w14:paraId="76DE0CBA" w14:textId="77777777" w:rsidR="00BC24A8" w:rsidRDefault="00000000">
      <w:pPr>
        <w:pStyle w:val="ListParagraph"/>
        <w:numPr>
          <w:ilvl w:val="0"/>
          <w:numId w:val="55"/>
        </w:numPr>
        <w:tabs>
          <w:tab w:val="left" w:pos="683"/>
        </w:tabs>
        <w:ind w:right="565"/>
      </w:pPr>
      <w:r>
        <w:t>Implementation</w:t>
      </w:r>
      <w:r>
        <w:rPr>
          <w:spacing w:val="-10"/>
        </w:rPr>
        <w:t xml:space="preserve"> </w:t>
      </w:r>
      <w:r>
        <w:t>of</w:t>
      </w:r>
      <w:r>
        <w:rPr>
          <w:spacing w:val="-11"/>
        </w:rPr>
        <w:t xml:space="preserve"> </w:t>
      </w:r>
      <w:r>
        <w:t>Program</w:t>
      </w:r>
      <w:r>
        <w:rPr>
          <w:spacing w:val="-12"/>
        </w:rPr>
        <w:t xml:space="preserve"> </w:t>
      </w:r>
      <w:r>
        <w:t>Monitoring,</w:t>
      </w:r>
      <w:r>
        <w:rPr>
          <w:spacing w:val="-9"/>
        </w:rPr>
        <w:t xml:space="preserve"> </w:t>
      </w:r>
      <w:r>
        <w:t>Evaluation,</w:t>
      </w:r>
      <w:r>
        <w:rPr>
          <w:spacing w:val="-9"/>
        </w:rPr>
        <w:t xml:space="preserve"> </w:t>
      </w:r>
      <w:r>
        <w:t>and</w:t>
      </w:r>
      <w:r>
        <w:rPr>
          <w:spacing w:val="-10"/>
        </w:rPr>
        <w:t xml:space="preserve"> </w:t>
      </w:r>
      <w:r>
        <w:t>Documentation.</w:t>
      </w:r>
      <w:r>
        <w:rPr>
          <w:spacing w:val="-8"/>
        </w:rPr>
        <w:t xml:space="preserve"> </w:t>
      </w:r>
      <w:r>
        <w:t>SKALA</w:t>
      </w:r>
      <w:r>
        <w:rPr>
          <w:spacing w:val="-10"/>
        </w:rPr>
        <w:t xml:space="preserve"> </w:t>
      </w:r>
      <w:r>
        <w:t>conducts</w:t>
      </w:r>
      <w:r>
        <w:rPr>
          <w:spacing w:val="-9"/>
        </w:rPr>
        <w:t xml:space="preserve"> </w:t>
      </w:r>
      <w:r>
        <w:t>regular monitoring and evaluation (M&amp;E) through systematic periodic data collection to track program progress.</w:t>
      </w:r>
      <w:r>
        <w:rPr>
          <w:spacing w:val="-8"/>
        </w:rPr>
        <w:t xml:space="preserve"> </w:t>
      </w:r>
      <w:r>
        <w:t>These</w:t>
      </w:r>
      <w:r>
        <w:rPr>
          <w:spacing w:val="-8"/>
        </w:rPr>
        <w:t xml:space="preserve"> </w:t>
      </w:r>
      <w:r>
        <w:t>findings</w:t>
      </w:r>
      <w:r>
        <w:rPr>
          <w:spacing w:val="-7"/>
        </w:rPr>
        <w:t xml:space="preserve"> </w:t>
      </w:r>
      <w:r>
        <w:t>are</w:t>
      </w:r>
      <w:r>
        <w:rPr>
          <w:spacing w:val="-8"/>
        </w:rPr>
        <w:t xml:space="preserve"> </w:t>
      </w:r>
      <w:r>
        <w:t>used</w:t>
      </w:r>
      <w:r>
        <w:rPr>
          <w:spacing w:val="-9"/>
        </w:rPr>
        <w:t xml:space="preserve"> </w:t>
      </w:r>
      <w:r>
        <w:t>to</w:t>
      </w:r>
      <w:r>
        <w:rPr>
          <w:spacing w:val="-9"/>
        </w:rPr>
        <w:t xml:space="preserve"> </w:t>
      </w:r>
      <w:r>
        <w:t>develop</w:t>
      </w:r>
      <w:r>
        <w:rPr>
          <w:spacing w:val="-9"/>
        </w:rPr>
        <w:t xml:space="preserve"> </w:t>
      </w:r>
      <w:r>
        <w:t>recommendations</w:t>
      </w:r>
      <w:r>
        <w:rPr>
          <w:spacing w:val="-8"/>
        </w:rPr>
        <w:t xml:space="preserve"> </w:t>
      </w:r>
      <w:r>
        <w:t>for</w:t>
      </w:r>
      <w:r>
        <w:rPr>
          <w:spacing w:val="-8"/>
        </w:rPr>
        <w:t xml:space="preserve"> </w:t>
      </w:r>
      <w:r>
        <w:t>strengthening</w:t>
      </w:r>
      <w:r>
        <w:rPr>
          <w:spacing w:val="-9"/>
        </w:rPr>
        <w:t xml:space="preserve"> </w:t>
      </w:r>
      <w:r>
        <w:t>SKALA</w:t>
      </w:r>
      <w:r>
        <w:rPr>
          <w:spacing w:val="-9"/>
        </w:rPr>
        <w:t xml:space="preserve"> </w:t>
      </w:r>
      <w:r>
        <w:t>support.</w:t>
      </w:r>
    </w:p>
    <w:p w14:paraId="3F9B442A" w14:textId="77777777" w:rsidR="00BC24A8" w:rsidRDefault="00BC24A8">
      <w:pPr>
        <w:pStyle w:val="BodyText"/>
        <w:spacing w:before="59"/>
      </w:pPr>
    </w:p>
    <w:p w14:paraId="4292DE31" w14:textId="77777777" w:rsidR="00BC24A8" w:rsidRDefault="00000000">
      <w:pPr>
        <w:spacing w:before="1"/>
        <w:ind w:left="143"/>
        <w:rPr>
          <w:i/>
        </w:rPr>
      </w:pPr>
      <w:r>
        <w:rPr>
          <w:i/>
          <w:color w:val="1F3762"/>
        </w:rPr>
        <w:t>Program</w:t>
      </w:r>
      <w:r>
        <w:rPr>
          <w:i/>
          <w:color w:val="1F3762"/>
          <w:spacing w:val="-9"/>
        </w:rPr>
        <w:t xml:space="preserve"> </w:t>
      </w:r>
      <w:r>
        <w:rPr>
          <w:i/>
          <w:color w:val="1F3762"/>
        </w:rPr>
        <w:t>Implementation</w:t>
      </w:r>
      <w:r>
        <w:rPr>
          <w:i/>
          <w:color w:val="1F3762"/>
          <w:spacing w:val="-9"/>
        </w:rPr>
        <w:t xml:space="preserve"> </w:t>
      </w:r>
      <w:r>
        <w:rPr>
          <w:i/>
          <w:color w:val="1F3762"/>
        </w:rPr>
        <w:t>and</w:t>
      </w:r>
      <w:r>
        <w:rPr>
          <w:i/>
          <w:color w:val="1F3762"/>
          <w:spacing w:val="-9"/>
        </w:rPr>
        <w:t xml:space="preserve"> </w:t>
      </w:r>
      <w:r>
        <w:rPr>
          <w:i/>
          <w:color w:val="1F3762"/>
        </w:rPr>
        <w:t>Learning</w:t>
      </w:r>
      <w:r>
        <w:rPr>
          <w:i/>
          <w:color w:val="1F3762"/>
          <w:spacing w:val="-7"/>
        </w:rPr>
        <w:t xml:space="preserve"> </w:t>
      </w:r>
      <w:r>
        <w:rPr>
          <w:i/>
          <w:color w:val="1F3762"/>
          <w:spacing w:val="-2"/>
        </w:rPr>
        <w:t>Results/Progress</w:t>
      </w:r>
    </w:p>
    <w:p w14:paraId="1762DCF6" w14:textId="77777777" w:rsidR="00BC24A8" w:rsidRDefault="00000000">
      <w:pPr>
        <w:pStyle w:val="Heading5"/>
        <w:spacing w:before="43"/>
      </w:pPr>
      <w:r>
        <w:rPr>
          <w:color w:val="272727"/>
        </w:rPr>
        <w:t>Summary</w:t>
      </w:r>
      <w:r>
        <w:rPr>
          <w:color w:val="272727"/>
          <w:spacing w:val="-3"/>
        </w:rPr>
        <w:t xml:space="preserve"> </w:t>
      </w:r>
      <w:r>
        <w:rPr>
          <w:color w:val="272727"/>
        </w:rPr>
        <w:t>of</w:t>
      </w:r>
      <w:r>
        <w:rPr>
          <w:color w:val="272727"/>
          <w:spacing w:val="-4"/>
        </w:rPr>
        <w:t xml:space="preserve"> </w:t>
      </w:r>
      <w:r>
        <w:rPr>
          <w:color w:val="272727"/>
        </w:rPr>
        <w:t>results</w:t>
      </w:r>
      <w:r>
        <w:rPr>
          <w:color w:val="272727"/>
          <w:spacing w:val="-3"/>
        </w:rPr>
        <w:t xml:space="preserve"> </w:t>
      </w:r>
      <w:r>
        <w:rPr>
          <w:color w:val="272727"/>
        </w:rPr>
        <w:t>at</w:t>
      </w:r>
      <w:r>
        <w:rPr>
          <w:color w:val="272727"/>
          <w:spacing w:val="-4"/>
        </w:rPr>
        <w:t xml:space="preserve"> </w:t>
      </w:r>
      <w:r>
        <w:rPr>
          <w:color w:val="272727"/>
        </w:rPr>
        <w:t>the</w:t>
      </w:r>
      <w:r>
        <w:rPr>
          <w:color w:val="272727"/>
          <w:spacing w:val="-7"/>
        </w:rPr>
        <w:t xml:space="preserve"> </w:t>
      </w:r>
      <w:r>
        <w:rPr>
          <w:color w:val="272727"/>
        </w:rPr>
        <w:t>Input</w:t>
      </w:r>
      <w:r>
        <w:rPr>
          <w:color w:val="272727"/>
          <w:spacing w:val="-3"/>
        </w:rPr>
        <w:t xml:space="preserve"> </w:t>
      </w:r>
      <w:r>
        <w:rPr>
          <w:color w:val="272727"/>
          <w:spacing w:val="-4"/>
        </w:rPr>
        <w:t>level</w:t>
      </w:r>
    </w:p>
    <w:p w14:paraId="46C39711" w14:textId="77777777" w:rsidR="00BC24A8" w:rsidRDefault="00BC24A8">
      <w:pPr>
        <w:pStyle w:val="BodyText"/>
        <w:spacing w:before="41"/>
        <w:rPr>
          <w:rFonts w:ascii="Calibri"/>
          <w:b/>
        </w:rPr>
      </w:pPr>
    </w:p>
    <w:p w14:paraId="58874EE0" w14:textId="77777777" w:rsidR="00BC24A8" w:rsidRDefault="00000000">
      <w:pPr>
        <w:ind w:left="143"/>
        <w:rPr>
          <w:rFonts w:ascii="Calibri" w:hAnsi="Calibri"/>
          <w:b/>
        </w:rPr>
      </w:pPr>
      <w:bookmarkStart w:id="200" w:name="_bookmark136"/>
      <w:bookmarkEnd w:id="200"/>
      <w:r>
        <w:rPr>
          <w:rFonts w:ascii="Calibri" w:hAnsi="Calibri"/>
          <w:b/>
          <w:color w:val="767070"/>
        </w:rPr>
        <w:t>Table</w:t>
      </w:r>
      <w:r>
        <w:rPr>
          <w:rFonts w:ascii="Calibri" w:hAnsi="Calibri"/>
          <w:b/>
          <w:color w:val="767070"/>
          <w:spacing w:val="-9"/>
        </w:rPr>
        <w:t xml:space="preserve"> </w:t>
      </w:r>
      <w:r>
        <w:rPr>
          <w:rFonts w:ascii="Calibri" w:hAnsi="Calibri"/>
          <w:b/>
          <w:color w:val="767070"/>
        </w:rPr>
        <w:t>18:</w:t>
      </w:r>
      <w:r>
        <w:rPr>
          <w:rFonts w:ascii="Calibri" w:hAnsi="Calibri"/>
          <w:b/>
          <w:color w:val="767070"/>
          <w:spacing w:val="-9"/>
        </w:rPr>
        <w:t xml:space="preserve"> </w:t>
      </w:r>
      <w:r>
        <w:rPr>
          <w:rFonts w:ascii="Calibri" w:hAnsi="Calibri"/>
          <w:b/>
          <w:color w:val="767070"/>
        </w:rPr>
        <w:t>Program</w:t>
      </w:r>
      <w:r>
        <w:rPr>
          <w:rFonts w:ascii="Calibri" w:hAnsi="Calibri"/>
          <w:b/>
          <w:color w:val="767070"/>
          <w:spacing w:val="-10"/>
        </w:rPr>
        <w:t xml:space="preserve"> </w:t>
      </w:r>
      <w:r>
        <w:rPr>
          <w:rFonts w:ascii="Calibri" w:hAnsi="Calibri"/>
          <w:b/>
          <w:color w:val="767070"/>
        </w:rPr>
        <w:t>input</w:t>
      </w:r>
      <w:r>
        <w:rPr>
          <w:rFonts w:ascii="Calibri" w:hAnsi="Calibri"/>
          <w:b/>
          <w:color w:val="767070"/>
          <w:spacing w:val="-8"/>
        </w:rPr>
        <w:t xml:space="preserve"> </w:t>
      </w:r>
      <w:r>
        <w:rPr>
          <w:rFonts w:ascii="Calibri" w:hAnsi="Calibri"/>
          <w:b/>
          <w:color w:val="767070"/>
        </w:rPr>
        <w:t>summary</w:t>
      </w:r>
      <w:r>
        <w:rPr>
          <w:rFonts w:ascii="Calibri" w:hAnsi="Calibri"/>
          <w:b/>
          <w:color w:val="767070"/>
          <w:spacing w:val="-9"/>
        </w:rPr>
        <w:t xml:space="preserve"> </w:t>
      </w:r>
      <w:r>
        <w:rPr>
          <w:rFonts w:ascii="Calibri" w:hAnsi="Calibri"/>
          <w:b/>
          <w:color w:val="767070"/>
        </w:rPr>
        <w:t>table</w:t>
      </w:r>
      <w:r>
        <w:rPr>
          <w:rFonts w:ascii="Calibri" w:hAnsi="Calibri"/>
          <w:b/>
          <w:color w:val="767070"/>
          <w:spacing w:val="-9"/>
        </w:rPr>
        <w:t xml:space="preserve"> </w:t>
      </w:r>
      <w:r>
        <w:rPr>
          <w:rFonts w:ascii="Calibri" w:hAnsi="Calibri"/>
          <w:b/>
          <w:color w:val="767070"/>
        </w:rPr>
        <w:t>(January–June</w:t>
      </w:r>
      <w:r>
        <w:rPr>
          <w:rFonts w:ascii="Calibri" w:hAnsi="Calibri"/>
          <w:b/>
          <w:color w:val="767070"/>
          <w:spacing w:val="-9"/>
        </w:rPr>
        <w:t xml:space="preserve"> </w:t>
      </w:r>
      <w:r>
        <w:rPr>
          <w:rFonts w:ascii="Calibri" w:hAnsi="Calibri"/>
          <w:b/>
          <w:color w:val="767070"/>
          <w:spacing w:val="-2"/>
        </w:rPr>
        <w:t>2025)</w:t>
      </w:r>
    </w:p>
    <w:p w14:paraId="59E9D033" w14:textId="77777777" w:rsidR="00BC24A8" w:rsidRDefault="00BC24A8">
      <w:pPr>
        <w:pStyle w:val="BodyText"/>
        <w:spacing w:before="5"/>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2911"/>
        <w:gridCol w:w="1589"/>
        <w:gridCol w:w="2160"/>
        <w:gridCol w:w="2431"/>
      </w:tblGrid>
      <w:tr w:rsidR="00BC24A8" w14:paraId="0D34E81B" w14:textId="77777777">
        <w:trPr>
          <w:trHeight w:val="643"/>
        </w:trPr>
        <w:tc>
          <w:tcPr>
            <w:tcW w:w="2911" w:type="dxa"/>
            <w:shd w:val="clear" w:color="auto" w:fill="17365A"/>
          </w:tcPr>
          <w:p w14:paraId="79E512C9" w14:textId="77777777" w:rsidR="00BC24A8" w:rsidRDefault="00000000">
            <w:pPr>
              <w:pStyle w:val="TableParagraph"/>
              <w:spacing w:before="191"/>
              <w:ind w:left="107"/>
              <w:rPr>
                <w:rFonts w:ascii="Calibri"/>
                <w:b/>
                <w:sz w:val="20"/>
              </w:rPr>
            </w:pPr>
            <w:r>
              <w:rPr>
                <w:rFonts w:ascii="Calibri"/>
                <w:b/>
                <w:color w:val="FFFFFF"/>
                <w:sz w:val="20"/>
              </w:rPr>
              <w:t>Input</w:t>
            </w:r>
            <w:r>
              <w:rPr>
                <w:rFonts w:ascii="Calibri"/>
                <w:b/>
                <w:color w:val="FFFFFF"/>
                <w:spacing w:val="-3"/>
                <w:sz w:val="20"/>
              </w:rPr>
              <w:t xml:space="preserve"> </w:t>
            </w:r>
            <w:r>
              <w:rPr>
                <w:rFonts w:ascii="Calibri"/>
                <w:b/>
                <w:color w:val="FFFFFF"/>
                <w:spacing w:val="-4"/>
                <w:sz w:val="20"/>
              </w:rPr>
              <w:t>type</w:t>
            </w:r>
          </w:p>
        </w:tc>
        <w:tc>
          <w:tcPr>
            <w:tcW w:w="1589" w:type="dxa"/>
            <w:shd w:val="clear" w:color="auto" w:fill="17365A"/>
          </w:tcPr>
          <w:p w14:paraId="640E9630" w14:textId="77777777" w:rsidR="00BC24A8" w:rsidRDefault="00000000">
            <w:pPr>
              <w:pStyle w:val="TableParagraph"/>
              <w:spacing w:before="59" w:line="259" w:lineRule="auto"/>
              <w:ind w:left="530" w:right="345" w:hanging="188"/>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 xml:space="preserve">of </w:t>
            </w:r>
            <w:r>
              <w:rPr>
                <w:rFonts w:ascii="Calibri"/>
                <w:b/>
                <w:color w:val="FFFFFF"/>
                <w:spacing w:val="-2"/>
                <w:sz w:val="20"/>
              </w:rPr>
              <w:t>inputs</w:t>
            </w:r>
          </w:p>
        </w:tc>
        <w:tc>
          <w:tcPr>
            <w:tcW w:w="2160" w:type="dxa"/>
            <w:shd w:val="clear" w:color="auto" w:fill="17365A"/>
          </w:tcPr>
          <w:p w14:paraId="1EA4A24E" w14:textId="77777777" w:rsidR="00BC24A8" w:rsidRDefault="00000000">
            <w:pPr>
              <w:pStyle w:val="TableParagraph"/>
              <w:spacing w:before="59" w:line="259" w:lineRule="auto"/>
              <w:ind w:left="638" w:right="545" w:hanging="87"/>
              <w:rPr>
                <w:rFonts w:ascii="Calibri"/>
                <w:b/>
                <w:sz w:val="20"/>
              </w:rPr>
            </w:pPr>
            <w:r>
              <w:rPr>
                <w:rFonts w:ascii="Calibri"/>
                <w:b/>
                <w:color w:val="FFFFFF"/>
                <w:sz w:val="20"/>
              </w:rPr>
              <w:t>Total</w:t>
            </w:r>
            <w:r>
              <w:rPr>
                <w:rFonts w:ascii="Calibri"/>
                <w:b/>
                <w:color w:val="FFFFFF"/>
                <w:spacing w:val="-12"/>
                <w:sz w:val="20"/>
              </w:rPr>
              <w:t xml:space="preserve"> </w:t>
            </w:r>
            <w:r>
              <w:rPr>
                <w:rFonts w:ascii="Calibri"/>
                <w:b/>
                <w:color w:val="FFFFFF"/>
                <w:sz w:val="20"/>
              </w:rPr>
              <w:t xml:space="preserve">budget </w:t>
            </w:r>
            <w:r>
              <w:rPr>
                <w:rFonts w:ascii="Calibri"/>
                <w:b/>
                <w:color w:val="FFFFFF"/>
                <w:spacing w:val="-2"/>
                <w:sz w:val="20"/>
              </w:rPr>
              <w:t>realisation</w:t>
            </w:r>
          </w:p>
        </w:tc>
        <w:tc>
          <w:tcPr>
            <w:tcW w:w="2431" w:type="dxa"/>
            <w:shd w:val="clear" w:color="auto" w:fill="17365A"/>
          </w:tcPr>
          <w:p w14:paraId="2CF34F45" w14:textId="77777777" w:rsidR="00BC24A8" w:rsidRDefault="00000000">
            <w:pPr>
              <w:pStyle w:val="TableParagraph"/>
              <w:spacing w:before="59" w:line="259" w:lineRule="auto"/>
              <w:ind w:left="859" w:hanging="612"/>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of</w:t>
            </w:r>
            <w:r>
              <w:rPr>
                <w:rFonts w:ascii="Calibri"/>
                <w:b/>
                <w:color w:val="FFFFFF"/>
                <w:spacing w:val="-11"/>
                <w:sz w:val="20"/>
              </w:rPr>
              <w:t xml:space="preserve"> </w:t>
            </w:r>
            <w:r>
              <w:rPr>
                <w:rFonts w:ascii="Calibri"/>
                <w:b/>
                <w:color w:val="FFFFFF"/>
                <w:sz w:val="20"/>
              </w:rPr>
              <w:t xml:space="preserve">participants </w:t>
            </w:r>
            <w:r>
              <w:rPr>
                <w:rFonts w:ascii="Calibri"/>
                <w:b/>
                <w:color w:val="FFFFFF"/>
                <w:spacing w:val="-2"/>
                <w:sz w:val="20"/>
              </w:rPr>
              <w:t>involved</w:t>
            </w:r>
          </w:p>
        </w:tc>
      </w:tr>
    </w:tbl>
    <w:p w14:paraId="41B905B6" w14:textId="77777777" w:rsidR="00BC24A8" w:rsidRDefault="00000000">
      <w:pPr>
        <w:tabs>
          <w:tab w:val="left" w:pos="3503"/>
          <w:tab w:val="left" w:pos="4499"/>
          <w:tab w:val="left" w:pos="5219"/>
          <w:tab w:val="left" w:pos="6659"/>
        </w:tabs>
        <w:spacing w:before="93"/>
        <w:ind w:right="1831"/>
        <w:jc w:val="right"/>
        <w:rPr>
          <w:sz w:val="18"/>
        </w:rPr>
      </w:pPr>
      <w:r>
        <w:rPr>
          <w:spacing w:val="-2"/>
          <w:sz w:val="18"/>
        </w:rPr>
        <w:t>Workshops</w:t>
      </w:r>
      <w:r>
        <w:rPr>
          <w:sz w:val="18"/>
        </w:rPr>
        <w:tab/>
      </w:r>
      <w:r>
        <w:rPr>
          <w:spacing w:val="-5"/>
          <w:sz w:val="18"/>
        </w:rPr>
        <w:t>13</w:t>
      </w:r>
      <w:r>
        <w:rPr>
          <w:sz w:val="18"/>
        </w:rPr>
        <w:tab/>
      </w:r>
      <w:r>
        <w:rPr>
          <w:spacing w:val="-5"/>
          <w:sz w:val="18"/>
        </w:rPr>
        <w:t>IDR</w:t>
      </w:r>
      <w:r>
        <w:rPr>
          <w:sz w:val="18"/>
        </w:rPr>
        <w:tab/>
      </w:r>
      <w:r>
        <w:rPr>
          <w:spacing w:val="-2"/>
          <w:sz w:val="18"/>
        </w:rPr>
        <w:t>634,376,507</w:t>
      </w:r>
      <w:r>
        <w:rPr>
          <w:sz w:val="18"/>
        </w:rPr>
        <w:tab/>
      </w:r>
      <w:r>
        <w:rPr>
          <w:i/>
          <w:spacing w:val="-5"/>
          <w:sz w:val="19"/>
        </w:rPr>
        <w:t xml:space="preserve">Person </w:t>
      </w:r>
      <w:r>
        <w:rPr>
          <w:i/>
          <w:spacing w:val="-2"/>
          <w:sz w:val="19"/>
        </w:rPr>
        <w:t>time</w:t>
      </w:r>
      <w:hyperlink w:anchor="_bookmark138" w:history="1">
        <w:r w:rsidR="00BC24A8">
          <w:rPr>
            <w:spacing w:val="-2"/>
            <w:position w:val="5"/>
            <w:sz w:val="12"/>
          </w:rPr>
          <w:t>67</w:t>
        </w:r>
      </w:hyperlink>
      <w:r>
        <w:rPr>
          <w:spacing w:val="-2"/>
          <w:sz w:val="18"/>
        </w:rPr>
        <w:t>:</w:t>
      </w:r>
    </w:p>
    <w:p w14:paraId="721CEFE8" w14:textId="77777777" w:rsidR="00BC24A8" w:rsidRDefault="00000000">
      <w:pPr>
        <w:pStyle w:val="ListParagraph"/>
        <w:numPr>
          <w:ilvl w:val="1"/>
          <w:numId w:val="55"/>
        </w:numPr>
        <w:tabs>
          <w:tab w:val="left" w:pos="359"/>
        </w:tabs>
        <w:spacing w:before="56"/>
        <w:ind w:left="359" w:right="1866" w:hanging="359"/>
        <w:jc w:val="right"/>
        <w:rPr>
          <w:sz w:val="18"/>
        </w:rPr>
      </w:pPr>
      <w:r>
        <w:rPr>
          <w:sz w:val="18"/>
        </w:rPr>
        <w:t xml:space="preserve">546 </w:t>
      </w:r>
      <w:r>
        <w:rPr>
          <w:spacing w:val="-4"/>
          <w:sz w:val="18"/>
        </w:rPr>
        <w:t>male</w:t>
      </w:r>
    </w:p>
    <w:p w14:paraId="5B2C7A7C" w14:textId="77777777" w:rsidR="00BC24A8" w:rsidRDefault="00000000">
      <w:pPr>
        <w:tabs>
          <w:tab w:val="left" w:pos="6803"/>
          <w:tab w:val="left" w:pos="7242"/>
        </w:tabs>
        <w:spacing w:before="1"/>
        <w:ind w:left="143"/>
        <w:rPr>
          <w:sz w:val="18"/>
        </w:rPr>
      </w:pPr>
      <w:r>
        <w:rPr>
          <w:rFonts w:ascii="Trebuchet MS" w:hAnsi="Trebuchet MS"/>
          <w:sz w:val="18"/>
          <w:u w:val="single" w:color="BEBEBE"/>
        </w:rPr>
        <w:tab/>
      </w:r>
      <w:r>
        <w:rPr>
          <w:rFonts w:ascii="Trebuchet MS" w:hAnsi="Trebuchet MS"/>
          <w:sz w:val="18"/>
        </w:rPr>
        <w:t xml:space="preserve"> •</w:t>
      </w:r>
      <w:r>
        <w:rPr>
          <w:rFonts w:ascii="Trebuchet MS" w:hAnsi="Trebuchet MS"/>
          <w:sz w:val="18"/>
        </w:rPr>
        <w:tab/>
      </w:r>
      <w:r>
        <w:rPr>
          <w:sz w:val="18"/>
        </w:rPr>
        <w:t>532</w:t>
      </w:r>
      <w:r>
        <w:rPr>
          <w:spacing w:val="-2"/>
          <w:sz w:val="18"/>
        </w:rPr>
        <w:t xml:space="preserve"> female</w:t>
      </w:r>
    </w:p>
    <w:p w14:paraId="5463D3C4" w14:textId="77777777" w:rsidR="00BC24A8" w:rsidRDefault="00BC24A8">
      <w:pPr>
        <w:rPr>
          <w:sz w:val="18"/>
        </w:rPr>
        <w:sectPr w:rsidR="00BC24A8">
          <w:pgSz w:w="11910" w:h="16840"/>
          <w:pgMar w:top="1360" w:right="850" w:bottom="1100" w:left="1275" w:header="0" w:footer="907" w:gutter="0"/>
          <w:cols w:space="720"/>
        </w:sectPr>
      </w:pPr>
    </w:p>
    <w:p w14:paraId="14BFF58D" w14:textId="77777777" w:rsidR="00BC24A8" w:rsidRDefault="00000000">
      <w:pPr>
        <w:tabs>
          <w:tab w:val="left" w:pos="3800"/>
          <w:tab w:val="left" w:pos="4751"/>
          <w:tab w:val="left" w:pos="5552"/>
        </w:tabs>
        <w:spacing w:before="58"/>
        <w:ind w:left="251"/>
        <w:rPr>
          <w:sz w:val="18"/>
        </w:rPr>
      </w:pPr>
      <w:r>
        <w:rPr>
          <w:sz w:val="18"/>
        </w:rPr>
        <w:t>Focus</w:t>
      </w:r>
      <w:r>
        <w:rPr>
          <w:spacing w:val="-3"/>
          <w:sz w:val="18"/>
        </w:rPr>
        <w:t xml:space="preserve"> </w:t>
      </w:r>
      <w:r>
        <w:rPr>
          <w:sz w:val="18"/>
        </w:rPr>
        <w:t>Group</w:t>
      </w:r>
      <w:r>
        <w:rPr>
          <w:spacing w:val="-1"/>
          <w:sz w:val="18"/>
        </w:rPr>
        <w:t xml:space="preserve"> </w:t>
      </w:r>
      <w:r>
        <w:rPr>
          <w:sz w:val="18"/>
        </w:rPr>
        <w:t>Discussion</w:t>
      </w:r>
      <w:r>
        <w:rPr>
          <w:spacing w:val="-1"/>
          <w:sz w:val="18"/>
        </w:rPr>
        <w:t xml:space="preserve"> </w:t>
      </w:r>
      <w:r>
        <w:rPr>
          <w:spacing w:val="-4"/>
          <w:sz w:val="18"/>
        </w:rPr>
        <w:t>(FGD)</w:t>
      </w:r>
      <w:r>
        <w:rPr>
          <w:sz w:val="18"/>
        </w:rPr>
        <w:tab/>
      </w:r>
      <w:r>
        <w:rPr>
          <w:spacing w:val="-10"/>
          <w:sz w:val="18"/>
        </w:rPr>
        <w:t>6</w:t>
      </w:r>
      <w:r>
        <w:rPr>
          <w:sz w:val="18"/>
        </w:rPr>
        <w:tab/>
      </w:r>
      <w:r>
        <w:rPr>
          <w:spacing w:val="-5"/>
          <w:sz w:val="18"/>
        </w:rPr>
        <w:t>IDR</w:t>
      </w:r>
      <w:r>
        <w:rPr>
          <w:sz w:val="18"/>
        </w:rPr>
        <w:tab/>
      </w:r>
      <w:r>
        <w:rPr>
          <w:spacing w:val="-2"/>
          <w:sz w:val="18"/>
        </w:rPr>
        <w:t>81,164,681</w:t>
      </w:r>
    </w:p>
    <w:p w14:paraId="233BD28E" w14:textId="77777777" w:rsidR="00BC24A8" w:rsidRDefault="00000000">
      <w:pPr>
        <w:pStyle w:val="ListParagraph"/>
        <w:numPr>
          <w:ilvl w:val="0"/>
          <w:numId w:val="54"/>
        </w:numPr>
        <w:tabs>
          <w:tab w:val="left" w:pos="611"/>
        </w:tabs>
        <w:spacing w:line="218" w:lineRule="exact"/>
        <w:jc w:val="left"/>
        <w:rPr>
          <w:sz w:val="18"/>
        </w:rPr>
      </w:pPr>
      <w:r>
        <w:br w:type="column"/>
      </w:r>
      <w:r>
        <w:rPr>
          <w:sz w:val="18"/>
        </w:rPr>
        <w:t>11</w:t>
      </w:r>
      <w:r>
        <w:rPr>
          <w:spacing w:val="-1"/>
          <w:sz w:val="18"/>
        </w:rPr>
        <w:t xml:space="preserve"> </w:t>
      </w:r>
      <w:r>
        <w:rPr>
          <w:sz w:val="18"/>
        </w:rPr>
        <w:t>men</w:t>
      </w:r>
      <w:r>
        <w:rPr>
          <w:spacing w:val="-1"/>
          <w:sz w:val="18"/>
        </w:rPr>
        <w:t xml:space="preserve"> </w:t>
      </w:r>
      <w:r>
        <w:rPr>
          <w:sz w:val="18"/>
        </w:rPr>
        <w:t>with</w:t>
      </w:r>
      <w:r>
        <w:rPr>
          <w:spacing w:val="-1"/>
          <w:sz w:val="18"/>
        </w:rPr>
        <w:t xml:space="preserve"> </w:t>
      </w:r>
      <w:r>
        <w:rPr>
          <w:spacing w:val="-2"/>
          <w:sz w:val="18"/>
        </w:rPr>
        <w:t>disabilities</w:t>
      </w:r>
    </w:p>
    <w:p w14:paraId="49094B21" w14:textId="77777777" w:rsidR="00BC24A8" w:rsidRDefault="00000000">
      <w:pPr>
        <w:pStyle w:val="ListParagraph"/>
        <w:numPr>
          <w:ilvl w:val="0"/>
          <w:numId w:val="54"/>
        </w:numPr>
        <w:tabs>
          <w:tab w:val="left" w:pos="611"/>
        </w:tabs>
        <w:spacing w:before="1"/>
        <w:jc w:val="left"/>
        <w:rPr>
          <w:sz w:val="18"/>
        </w:rPr>
      </w:pPr>
      <w:r>
        <w:rPr>
          <w:sz w:val="18"/>
        </w:rPr>
        <w:t>5</w:t>
      </w:r>
      <w:r>
        <w:rPr>
          <w:spacing w:val="-2"/>
          <w:sz w:val="18"/>
        </w:rPr>
        <w:t xml:space="preserve"> </w:t>
      </w:r>
      <w:r>
        <w:rPr>
          <w:sz w:val="18"/>
        </w:rPr>
        <w:t>women</w:t>
      </w:r>
      <w:r>
        <w:rPr>
          <w:spacing w:val="-1"/>
          <w:sz w:val="18"/>
        </w:rPr>
        <w:t xml:space="preserve"> </w:t>
      </w:r>
      <w:r>
        <w:rPr>
          <w:sz w:val="18"/>
        </w:rPr>
        <w:t>with</w:t>
      </w:r>
      <w:r>
        <w:rPr>
          <w:spacing w:val="-1"/>
          <w:sz w:val="18"/>
        </w:rPr>
        <w:t xml:space="preserve"> </w:t>
      </w:r>
      <w:r>
        <w:rPr>
          <w:spacing w:val="-2"/>
          <w:sz w:val="18"/>
        </w:rPr>
        <w:t>disabilities</w:t>
      </w:r>
    </w:p>
    <w:p w14:paraId="04941E03" w14:textId="77777777" w:rsidR="00BC24A8" w:rsidRDefault="00BC24A8">
      <w:pPr>
        <w:pStyle w:val="ListParagraph"/>
        <w:jc w:val="left"/>
        <w:rPr>
          <w:sz w:val="18"/>
        </w:rPr>
        <w:sectPr w:rsidR="00BC24A8">
          <w:type w:val="continuous"/>
          <w:pgSz w:w="11910" w:h="16840"/>
          <w:pgMar w:top="1920" w:right="850" w:bottom="280" w:left="1275" w:header="0" w:footer="907" w:gutter="0"/>
          <w:cols w:num="2" w:space="720" w:equalWidth="0">
            <w:col w:w="6410" w:space="221"/>
            <w:col w:w="3154"/>
          </w:cols>
        </w:sectPr>
      </w:pPr>
    </w:p>
    <w:p w14:paraId="41501795" w14:textId="77777777" w:rsidR="00BC24A8" w:rsidRDefault="00BC24A8">
      <w:pPr>
        <w:pStyle w:val="BodyText"/>
        <w:spacing w:before="59"/>
        <w:rPr>
          <w:sz w:val="18"/>
        </w:rPr>
      </w:pPr>
    </w:p>
    <w:p w14:paraId="38A57556" w14:textId="77777777" w:rsidR="00BC24A8" w:rsidRDefault="00000000">
      <w:pPr>
        <w:tabs>
          <w:tab w:val="left" w:pos="6803"/>
        </w:tabs>
        <w:spacing w:before="1"/>
        <w:ind w:left="143"/>
        <w:rPr>
          <w:sz w:val="18"/>
        </w:rPr>
      </w:pPr>
      <w:r>
        <w:rPr>
          <w:rFonts w:ascii="Times New Roman"/>
          <w:b/>
          <w:sz w:val="18"/>
          <w:u w:val="single" w:color="BEBEBE"/>
        </w:rPr>
        <w:tab/>
      </w:r>
      <w:r>
        <w:rPr>
          <w:rFonts w:ascii="Times New Roman"/>
          <w:b/>
          <w:spacing w:val="40"/>
          <w:sz w:val="18"/>
        </w:rPr>
        <w:t xml:space="preserve"> </w:t>
      </w:r>
      <w:r>
        <w:rPr>
          <w:sz w:val="18"/>
        </w:rPr>
        <w:t>Headcount</w:t>
      </w:r>
      <w:r>
        <w:rPr>
          <w:position w:val="5"/>
          <w:sz w:val="12"/>
        </w:rPr>
        <w:t>132</w:t>
      </w:r>
      <w:r>
        <w:rPr>
          <w:sz w:val="18"/>
        </w:rPr>
        <w:t>:</w:t>
      </w:r>
    </w:p>
    <w:p w14:paraId="3E9345A6" w14:textId="77777777" w:rsidR="00BC24A8" w:rsidRDefault="00BC24A8">
      <w:pPr>
        <w:rPr>
          <w:sz w:val="18"/>
        </w:rPr>
        <w:sectPr w:rsidR="00BC24A8">
          <w:type w:val="continuous"/>
          <w:pgSz w:w="11910" w:h="16840"/>
          <w:pgMar w:top="1920" w:right="850" w:bottom="280" w:left="1275" w:header="0" w:footer="907" w:gutter="0"/>
          <w:cols w:space="720"/>
        </w:sectPr>
      </w:pPr>
    </w:p>
    <w:p w14:paraId="32E3D03D" w14:textId="77777777" w:rsidR="00BC24A8" w:rsidRDefault="00000000">
      <w:pPr>
        <w:spacing w:before="44"/>
        <w:ind w:left="251"/>
        <w:rPr>
          <w:sz w:val="18"/>
        </w:rPr>
      </w:pPr>
      <w:r>
        <w:rPr>
          <w:sz w:val="18"/>
        </w:rPr>
        <w:t>Learning</w:t>
      </w:r>
      <w:r>
        <w:rPr>
          <w:spacing w:val="-11"/>
          <w:sz w:val="18"/>
        </w:rPr>
        <w:t xml:space="preserve"> </w:t>
      </w:r>
      <w:r>
        <w:rPr>
          <w:sz w:val="18"/>
        </w:rPr>
        <w:t>Forum,</w:t>
      </w:r>
      <w:r>
        <w:rPr>
          <w:spacing w:val="-10"/>
          <w:sz w:val="18"/>
        </w:rPr>
        <w:t xml:space="preserve"> </w:t>
      </w:r>
      <w:r>
        <w:rPr>
          <w:sz w:val="18"/>
        </w:rPr>
        <w:t>Evidence</w:t>
      </w:r>
      <w:r>
        <w:rPr>
          <w:spacing w:val="-10"/>
          <w:sz w:val="18"/>
        </w:rPr>
        <w:t xml:space="preserve"> </w:t>
      </w:r>
      <w:r>
        <w:rPr>
          <w:sz w:val="18"/>
        </w:rPr>
        <w:t>Collection, Knowledge Sharing, Study/Review</w:t>
      </w:r>
    </w:p>
    <w:p w14:paraId="68B89351" w14:textId="77777777" w:rsidR="00BC24A8" w:rsidRDefault="00000000">
      <w:pPr>
        <w:tabs>
          <w:tab w:val="left" w:pos="1201"/>
          <w:tab w:val="left" w:pos="2003"/>
        </w:tabs>
        <w:spacing w:before="44"/>
        <w:ind w:left="251"/>
        <w:rPr>
          <w:sz w:val="18"/>
        </w:rPr>
      </w:pPr>
      <w:r>
        <w:br w:type="column"/>
      </w:r>
      <w:r>
        <w:rPr>
          <w:spacing w:val="-10"/>
          <w:sz w:val="18"/>
        </w:rPr>
        <w:t>3</w:t>
      </w:r>
      <w:r>
        <w:rPr>
          <w:sz w:val="18"/>
        </w:rPr>
        <w:tab/>
      </w:r>
      <w:r>
        <w:rPr>
          <w:spacing w:val="-5"/>
          <w:sz w:val="18"/>
        </w:rPr>
        <w:t>IDR</w:t>
      </w:r>
      <w:r>
        <w:rPr>
          <w:sz w:val="18"/>
        </w:rPr>
        <w:tab/>
      </w:r>
      <w:r>
        <w:rPr>
          <w:spacing w:val="-2"/>
          <w:sz w:val="18"/>
        </w:rPr>
        <w:t>38,607,052</w:t>
      </w:r>
    </w:p>
    <w:p w14:paraId="0BF87E7E" w14:textId="77777777" w:rsidR="00BC24A8" w:rsidRDefault="00000000">
      <w:pPr>
        <w:pStyle w:val="ListParagraph"/>
        <w:numPr>
          <w:ilvl w:val="0"/>
          <w:numId w:val="54"/>
        </w:numPr>
        <w:tabs>
          <w:tab w:val="left" w:pos="611"/>
        </w:tabs>
        <w:spacing w:before="58"/>
        <w:jc w:val="left"/>
        <w:rPr>
          <w:sz w:val="18"/>
        </w:rPr>
      </w:pPr>
      <w:r>
        <w:br w:type="column"/>
      </w:r>
      <w:r>
        <w:rPr>
          <w:sz w:val="18"/>
        </w:rPr>
        <w:t xml:space="preserve">313 </w:t>
      </w:r>
      <w:r>
        <w:rPr>
          <w:spacing w:val="-4"/>
          <w:sz w:val="18"/>
        </w:rPr>
        <w:t>male</w:t>
      </w:r>
    </w:p>
    <w:p w14:paraId="5719691C" w14:textId="77777777" w:rsidR="00BC24A8" w:rsidRDefault="00000000">
      <w:pPr>
        <w:pStyle w:val="ListParagraph"/>
        <w:numPr>
          <w:ilvl w:val="0"/>
          <w:numId w:val="54"/>
        </w:numPr>
        <w:tabs>
          <w:tab w:val="left" w:pos="611"/>
        </w:tabs>
        <w:spacing w:before="1"/>
        <w:jc w:val="left"/>
        <w:rPr>
          <w:sz w:val="18"/>
        </w:rPr>
      </w:pPr>
      <w:r>
        <w:rPr>
          <w:sz w:val="18"/>
        </w:rPr>
        <w:t xml:space="preserve">286 </w:t>
      </w:r>
      <w:r>
        <w:rPr>
          <w:spacing w:val="-2"/>
          <w:sz w:val="18"/>
        </w:rPr>
        <w:t>female</w:t>
      </w:r>
    </w:p>
    <w:p w14:paraId="04E24000" w14:textId="77777777" w:rsidR="00BC24A8" w:rsidRDefault="00000000">
      <w:pPr>
        <w:pStyle w:val="ListParagraph"/>
        <w:numPr>
          <w:ilvl w:val="0"/>
          <w:numId w:val="54"/>
        </w:numPr>
        <w:tabs>
          <w:tab w:val="left" w:pos="611"/>
        </w:tabs>
        <w:spacing w:before="1"/>
        <w:jc w:val="left"/>
        <w:rPr>
          <w:sz w:val="18"/>
        </w:rPr>
      </w:pPr>
      <w:r>
        <w:rPr>
          <w:sz w:val="18"/>
        </w:rPr>
        <w:t>9</w:t>
      </w:r>
      <w:r>
        <w:rPr>
          <w:spacing w:val="-1"/>
          <w:sz w:val="18"/>
        </w:rPr>
        <w:t xml:space="preserve"> </w:t>
      </w:r>
      <w:r>
        <w:rPr>
          <w:sz w:val="18"/>
        </w:rPr>
        <w:t>persons</w:t>
      </w:r>
      <w:r>
        <w:rPr>
          <w:spacing w:val="-1"/>
          <w:sz w:val="18"/>
        </w:rPr>
        <w:t xml:space="preserve"> </w:t>
      </w:r>
      <w:r>
        <w:rPr>
          <w:sz w:val="18"/>
        </w:rPr>
        <w:t xml:space="preserve">with </w:t>
      </w:r>
      <w:r>
        <w:rPr>
          <w:spacing w:val="-2"/>
          <w:sz w:val="18"/>
        </w:rPr>
        <w:t>disabilities</w:t>
      </w:r>
    </w:p>
    <w:p w14:paraId="76BDF7E5" w14:textId="77777777" w:rsidR="00BC24A8" w:rsidRDefault="00BC24A8">
      <w:pPr>
        <w:pStyle w:val="ListParagraph"/>
        <w:jc w:val="left"/>
        <w:rPr>
          <w:sz w:val="18"/>
        </w:rPr>
        <w:sectPr w:rsidR="00BC24A8">
          <w:type w:val="continuous"/>
          <w:pgSz w:w="11910" w:h="16840"/>
          <w:pgMar w:top="1920" w:right="850" w:bottom="280" w:left="1275" w:header="0" w:footer="907" w:gutter="0"/>
          <w:cols w:num="3" w:space="720" w:equalWidth="0">
            <w:col w:w="2969" w:space="581"/>
            <w:col w:w="2861" w:space="221"/>
            <w:col w:w="3153"/>
          </w:cols>
        </w:sectPr>
      </w:pPr>
    </w:p>
    <w:p w14:paraId="70DBF95C" w14:textId="77777777" w:rsidR="00BC24A8" w:rsidRDefault="00BC24A8">
      <w:pPr>
        <w:pStyle w:val="BodyText"/>
        <w:rPr>
          <w:sz w:val="13"/>
        </w:rPr>
      </w:pPr>
    </w:p>
    <w:p w14:paraId="41FA314A" w14:textId="77777777" w:rsidR="00BC24A8" w:rsidRDefault="00000000">
      <w:pPr>
        <w:pStyle w:val="BodyText"/>
        <w:ind w:left="129"/>
        <w:rPr>
          <w:sz w:val="20"/>
        </w:rPr>
      </w:pPr>
      <w:r>
        <w:rPr>
          <w:noProof/>
          <w:sz w:val="20"/>
        </w:rPr>
        <mc:AlternateContent>
          <mc:Choice Requires="wpg">
            <w:drawing>
              <wp:inline distT="0" distB="0" distL="0" distR="0" wp14:anchorId="43B1D330" wp14:editId="0056E228">
                <wp:extent cx="5782310" cy="332740"/>
                <wp:effectExtent l="0" t="0" r="0" b="635"/>
                <wp:docPr id="224" name="Group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332740"/>
                          <a:chOff x="0" y="0"/>
                          <a:chExt cx="5782310" cy="332740"/>
                        </a:xfrm>
                      </wpg:grpSpPr>
                      <wps:wsp>
                        <wps:cNvPr id="225" name="Graphic 225"/>
                        <wps:cNvSpPr/>
                        <wps:spPr>
                          <a:xfrm>
                            <a:off x="9144" y="0"/>
                            <a:ext cx="5773420" cy="326390"/>
                          </a:xfrm>
                          <a:custGeom>
                            <a:avLst/>
                            <a:gdLst/>
                            <a:ahLst/>
                            <a:cxnLst/>
                            <a:rect l="l" t="t" r="r" b="b"/>
                            <a:pathLst>
                              <a:path w="5773420" h="326390">
                                <a:moveTo>
                                  <a:pt x="5772912" y="0"/>
                                </a:moveTo>
                                <a:lnTo>
                                  <a:pt x="4256532" y="0"/>
                                </a:lnTo>
                                <a:lnTo>
                                  <a:pt x="4229100" y="0"/>
                                </a:lnTo>
                                <a:lnTo>
                                  <a:pt x="4229100" y="1524"/>
                                </a:lnTo>
                                <a:lnTo>
                                  <a:pt x="4229087" y="0"/>
                                </a:lnTo>
                                <a:lnTo>
                                  <a:pt x="2884932" y="0"/>
                                </a:lnTo>
                                <a:lnTo>
                                  <a:pt x="2857500" y="0"/>
                                </a:lnTo>
                                <a:lnTo>
                                  <a:pt x="2857500" y="1524"/>
                                </a:lnTo>
                                <a:lnTo>
                                  <a:pt x="2857487" y="0"/>
                                </a:lnTo>
                                <a:lnTo>
                                  <a:pt x="1876044" y="0"/>
                                </a:lnTo>
                                <a:lnTo>
                                  <a:pt x="1848612" y="0"/>
                                </a:lnTo>
                                <a:lnTo>
                                  <a:pt x="0" y="0"/>
                                </a:lnTo>
                                <a:lnTo>
                                  <a:pt x="0" y="1524"/>
                                </a:lnTo>
                                <a:lnTo>
                                  <a:pt x="0" y="38100"/>
                                </a:lnTo>
                                <a:lnTo>
                                  <a:pt x="0" y="289560"/>
                                </a:lnTo>
                                <a:lnTo>
                                  <a:pt x="0" y="326136"/>
                                </a:lnTo>
                                <a:lnTo>
                                  <a:pt x="1847088" y="326136"/>
                                </a:lnTo>
                                <a:lnTo>
                                  <a:pt x="1848612" y="326136"/>
                                </a:lnTo>
                                <a:lnTo>
                                  <a:pt x="2857500" y="326136"/>
                                </a:lnTo>
                                <a:lnTo>
                                  <a:pt x="4229100" y="326136"/>
                                </a:lnTo>
                                <a:lnTo>
                                  <a:pt x="5771388" y="326136"/>
                                </a:lnTo>
                                <a:lnTo>
                                  <a:pt x="5771388" y="38100"/>
                                </a:lnTo>
                                <a:lnTo>
                                  <a:pt x="5772912" y="38100"/>
                                </a:lnTo>
                                <a:lnTo>
                                  <a:pt x="5772912" y="0"/>
                                </a:lnTo>
                                <a:close/>
                              </a:path>
                            </a:pathLst>
                          </a:custGeom>
                          <a:solidFill>
                            <a:srgbClr val="A7A9AC"/>
                          </a:solidFill>
                        </wps:spPr>
                        <wps:bodyPr wrap="square" lIns="0" tIns="0" rIns="0" bIns="0" rtlCol="0">
                          <a:prstTxWarp prst="textNoShape">
                            <a:avLst/>
                          </a:prstTxWarp>
                          <a:noAutofit/>
                        </wps:bodyPr>
                      </wps:wsp>
                      <wps:wsp>
                        <wps:cNvPr id="226" name="Graphic 226"/>
                        <wps:cNvSpPr/>
                        <wps:spPr>
                          <a:xfrm>
                            <a:off x="0" y="326135"/>
                            <a:ext cx="4238625" cy="6350"/>
                          </a:xfrm>
                          <a:custGeom>
                            <a:avLst/>
                            <a:gdLst/>
                            <a:ahLst/>
                            <a:cxnLst/>
                            <a:rect l="l" t="t" r="r" b="b"/>
                            <a:pathLst>
                              <a:path w="4238625" h="6350">
                                <a:moveTo>
                                  <a:pt x="4238244" y="0"/>
                                </a:moveTo>
                                <a:lnTo>
                                  <a:pt x="4238244" y="0"/>
                                </a:lnTo>
                                <a:lnTo>
                                  <a:pt x="0" y="0"/>
                                </a:lnTo>
                                <a:lnTo>
                                  <a:pt x="0" y="6096"/>
                                </a:lnTo>
                                <a:lnTo>
                                  <a:pt x="4238244" y="6096"/>
                                </a:lnTo>
                                <a:lnTo>
                                  <a:pt x="4238244" y="0"/>
                                </a:lnTo>
                                <a:close/>
                              </a:path>
                            </a:pathLst>
                          </a:custGeom>
                          <a:solidFill>
                            <a:srgbClr val="BEBEBE"/>
                          </a:solidFill>
                        </wps:spPr>
                        <wps:bodyPr wrap="square" lIns="0" tIns="0" rIns="0" bIns="0" rtlCol="0">
                          <a:prstTxWarp prst="textNoShape">
                            <a:avLst/>
                          </a:prstTxWarp>
                          <a:noAutofit/>
                        </wps:bodyPr>
                      </wps:wsp>
                      <wps:wsp>
                        <wps:cNvPr id="227" name="Graphic 227"/>
                        <wps:cNvSpPr/>
                        <wps:spPr>
                          <a:xfrm>
                            <a:off x="4238244" y="289559"/>
                            <a:ext cx="1544320" cy="36830"/>
                          </a:xfrm>
                          <a:custGeom>
                            <a:avLst/>
                            <a:gdLst/>
                            <a:ahLst/>
                            <a:cxnLst/>
                            <a:rect l="l" t="t" r="r" b="b"/>
                            <a:pathLst>
                              <a:path w="1544320" h="36830">
                                <a:moveTo>
                                  <a:pt x="1543812" y="0"/>
                                </a:moveTo>
                                <a:lnTo>
                                  <a:pt x="0" y="0"/>
                                </a:lnTo>
                                <a:lnTo>
                                  <a:pt x="0" y="36575"/>
                                </a:lnTo>
                                <a:lnTo>
                                  <a:pt x="1543812" y="36575"/>
                                </a:lnTo>
                                <a:lnTo>
                                  <a:pt x="1543812" y="0"/>
                                </a:lnTo>
                                <a:close/>
                              </a:path>
                            </a:pathLst>
                          </a:custGeom>
                          <a:solidFill>
                            <a:srgbClr val="A7A9AC"/>
                          </a:solidFill>
                        </wps:spPr>
                        <wps:bodyPr wrap="square" lIns="0" tIns="0" rIns="0" bIns="0" rtlCol="0">
                          <a:prstTxWarp prst="textNoShape">
                            <a:avLst/>
                          </a:prstTxWarp>
                          <a:noAutofit/>
                        </wps:bodyPr>
                      </wps:wsp>
                      <wps:wsp>
                        <wps:cNvPr id="228" name="Graphic 228"/>
                        <wps:cNvSpPr/>
                        <wps:spPr>
                          <a:xfrm>
                            <a:off x="4229100" y="326135"/>
                            <a:ext cx="1553210" cy="6350"/>
                          </a:xfrm>
                          <a:custGeom>
                            <a:avLst/>
                            <a:gdLst/>
                            <a:ahLst/>
                            <a:cxnLst/>
                            <a:rect l="l" t="t" r="r" b="b"/>
                            <a:pathLst>
                              <a:path w="1553210" h="6350">
                                <a:moveTo>
                                  <a:pt x="1552968" y="0"/>
                                </a:moveTo>
                                <a:lnTo>
                                  <a:pt x="6096" y="0"/>
                                </a:lnTo>
                                <a:lnTo>
                                  <a:pt x="0" y="0"/>
                                </a:lnTo>
                                <a:lnTo>
                                  <a:pt x="0" y="6096"/>
                                </a:lnTo>
                                <a:lnTo>
                                  <a:pt x="6096" y="6096"/>
                                </a:lnTo>
                                <a:lnTo>
                                  <a:pt x="1552968" y="6096"/>
                                </a:lnTo>
                                <a:lnTo>
                                  <a:pt x="1552968" y="0"/>
                                </a:lnTo>
                                <a:close/>
                              </a:path>
                            </a:pathLst>
                          </a:custGeom>
                          <a:solidFill>
                            <a:srgbClr val="BEBEBE"/>
                          </a:solidFill>
                        </wps:spPr>
                        <wps:bodyPr wrap="square" lIns="0" tIns="0" rIns="0" bIns="0" rtlCol="0">
                          <a:prstTxWarp prst="textNoShape">
                            <a:avLst/>
                          </a:prstTxWarp>
                          <a:noAutofit/>
                        </wps:bodyPr>
                      </wps:wsp>
                      <wps:wsp>
                        <wps:cNvPr id="229" name="Textbox 229"/>
                        <wps:cNvSpPr txBox="1"/>
                        <wps:spPr>
                          <a:xfrm>
                            <a:off x="77723" y="112395"/>
                            <a:ext cx="320040" cy="114300"/>
                          </a:xfrm>
                          <a:prstGeom prst="rect">
                            <a:avLst/>
                          </a:prstGeom>
                        </wps:spPr>
                        <wps:txbx>
                          <w:txbxContent>
                            <w:p w14:paraId="7B0A7E04" w14:textId="77777777" w:rsidR="00BC24A8" w:rsidRDefault="00000000">
                              <w:pPr>
                                <w:spacing w:line="180" w:lineRule="exact"/>
                                <w:rPr>
                                  <w:rFonts w:ascii="Calibri"/>
                                  <w:b/>
                                  <w:sz w:val="18"/>
                                </w:rPr>
                              </w:pPr>
                              <w:r w:rsidRPr="00795364">
                                <w:rPr>
                                  <w:rFonts w:ascii="Calibri"/>
                                  <w:b/>
                                  <w:color w:val="000000"/>
                                  <w:spacing w:val="-2"/>
                                  <w:sz w:val="18"/>
                                </w:rPr>
                                <w:t>TOTAL</w:t>
                              </w:r>
                            </w:p>
                          </w:txbxContent>
                        </wps:txbx>
                        <wps:bodyPr wrap="square" lIns="0" tIns="0" rIns="0" bIns="0" rtlCol="0">
                          <a:noAutofit/>
                        </wps:bodyPr>
                      </wps:wsp>
                      <wps:wsp>
                        <wps:cNvPr id="230" name="Textbox 230"/>
                        <wps:cNvSpPr txBox="1"/>
                        <wps:spPr>
                          <a:xfrm>
                            <a:off x="2935223" y="116967"/>
                            <a:ext cx="179705" cy="114300"/>
                          </a:xfrm>
                          <a:prstGeom prst="rect">
                            <a:avLst/>
                          </a:prstGeom>
                        </wps:spPr>
                        <wps:txbx>
                          <w:txbxContent>
                            <w:p w14:paraId="4E68F4B7" w14:textId="77777777" w:rsidR="00BC24A8" w:rsidRDefault="00000000">
                              <w:pPr>
                                <w:spacing w:line="180" w:lineRule="exact"/>
                                <w:rPr>
                                  <w:rFonts w:ascii="Calibri"/>
                                  <w:b/>
                                  <w:sz w:val="18"/>
                                </w:rPr>
                              </w:pPr>
                              <w:r w:rsidRPr="00795364">
                                <w:rPr>
                                  <w:rFonts w:ascii="Calibri"/>
                                  <w:b/>
                                  <w:color w:val="000000"/>
                                  <w:spacing w:val="-5"/>
                                  <w:sz w:val="18"/>
                                </w:rPr>
                                <w:t>IDR</w:t>
                              </w:r>
                            </w:p>
                          </w:txbxContent>
                        </wps:txbx>
                        <wps:bodyPr wrap="square" lIns="0" tIns="0" rIns="0" bIns="0" rtlCol="0">
                          <a:noAutofit/>
                        </wps:bodyPr>
                      </wps:wsp>
                      <wps:wsp>
                        <wps:cNvPr id="231" name="Textbox 231"/>
                        <wps:cNvSpPr txBox="1"/>
                        <wps:spPr>
                          <a:xfrm>
                            <a:off x="3392423" y="116967"/>
                            <a:ext cx="592455" cy="114300"/>
                          </a:xfrm>
                          <a:prstGeom prst="rect">
                            <a:avLst/>
                          </a:prstGeom>
                        </wps:spPr>
                        <wps:txbx>
                          <w:txbxContent>
                            <w:p w14:paraId="0A654C14" w14:textId="77777777" w:rsidR="00BC24A8" w:rsidRDefault="00000000">
                              <w:pPr>
                                <w:spacing w:line="180" w:lineRule="exact"/>
                                <w:rPr>
                                  <w:rFonts w:ascii="Calibri"/>
                                  <w:b/>
                                  <w:sz w:val="18"/>
                                </w:rPr>
                              </w:pPr>
                              <w:r w:rsidRPr="00795364">
                                <w:rPr>
                                  <w:rFonts w:ascii="Calibri"/>
                                  <w:b/>
                                  <w:color w:val="000000"/>
                                  <w:spacing w:val="-2"/>
                                  <w:sz w:val="18"/>
                                </w:rPr>
                                <w:t>754,148,240</w:t>
                              </w:r>
                            </w:p>
                          </w:txbxContent>
                        </wps:txbx>
                        <wps:bodyPr wrap="square" lIns="0" tIns="0" rIns="0" bIns="0" rtlCol="0">
                          <a:noAutofit/>
                        </wps:bodyPr>
                      </wps:wsp>
                    </wpg:wgp>
                  </a:graphicData>
                </a:graphic>
              </wp:inline>
            </w:drawing>
          </mc:Choice>
          <mc:Fallback>
            <w:pict>
              <v:group w14:anchorId="43B1D330" id="Group 224" o:spid="_x0000_s1062" alt="&quot;&quot;" style="width:455.3pt;height:26.2pt;mso-position-horizontal-relative:char;mso-position-vertical-relative:line" coordsize="57823,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">
                <v:shape id="Graphic 225" o:spid="_x0000_s1063" style="position:absolute;left:91;width:57734;height:3263;visibility:visible;mso-wrap-style:square;v-text-anchor:top" coordsize="577342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" path="m5772912,l4256532,r-27432,l4229100,1524,4229087,,2884932,r-27432,l2857500,1524,2857487,,1876044,r-27432,l,,,1524,,38100,,289560r,36576l1847088,326136r1524,l2857500,326136r1371600,l5771388,326136r,-288036l5772912,38100r,-38100xe" fillcolor="#a7a9ac" stroked="f">
                  <v:path arrowok="t"/>
                </v:shape>
                <v:shape id="Graphic 226" o:spid="_x0000_s1064" style="position:absolute;top:3261;width:42386;height:63;visibility:visible;mso-wrap-style:square;v-text-anchor:top" coordsize="4238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" path="m4238244,r,l,,,6096r4238244,l4238244,xe" fillcolor="#bebebe" stroked="f">
                  <v:path arrowok="t"/>
                </v:shape>
                <v:shape id="Graphic 227" o:spid="_x0000_s1065" style="position:absolute;left:42382;top:2895;width:15443;height:368;visibility:visible;mso-wrap-style:square;v-text-anchor:top" coordsize="154432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" path="m1543812,l,,,36575r1543812,l1543812,xe" fillcolor="#a7a9ac" stroked="f">
                  <v:path arrowok="t"/>
                </v:shape>
                <v:shape id="Graphic 228" o:spid="_x0000_s1066" style="position:absolute;left:42291;top:3261;width:15532;height:63;visibility:visible;mso-wrap-style:square;v-text-anchor:top" coordsize="15532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" path="m1552968,l6096,,,,,6096r6096,l1552968,6096r,-6096xe" fillcolor="#bebebe" stroked="f">
                  <v:path arrowok="t"/>
                </v:shape>
                <v:shape id="Textbox 229" o:spid="_x0000_s1067" type="#_x0000_t202" style="position:absolute;left:777;top:1123;width:32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B0A7E04" w14:textId="77777777" w:rsidR="00BC24A8" w:rsidRDefault="00000000">
                        <w:pPr>
                          <w:spacing w:line="180" w:lineRule="exact"/>
                          <w:rPr>
                            <w:rFonts w:ascii="Calibri"/>
                            <w:b/>
                            <w:sz w:val="18"/>
                          </w:rPr>
                        </w:pPr>
                        <w:r w:rsidRPr="00795364">
                          <w:rPr>
                            <w:rFonts w:ascii="Calibri"/>
                            <w:b/>
                            <w:color w:val="000000"/>
                            <w:spacing w:val="-2"/>
                            <w:sz w:val="18"/>
                          </w:rPr>
                          <w:t>TOTAL</w:t>
                        </w:r>
                      </w:p>
                    </w:txbxContent>
                  </v:textbox>
                </v:shape>
                <v:shape id="Textbox 230" o:spid="_x0000_s1068" type="#_x0000_t202" style="position:absolute;left:29352;top:1169;width:179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4E68F4B7" w14:textId="77777777" w:rsidR="00BC24A8" w:rsidRDefault="00000000">
                        <w:pPr>
                          <w:spacing w:line="180" w:lineRule="exact"/>
                          <w:rPr>
                            <w:rFonts w:ascii="Calibri"/>
                            <w:b/>
                            <w:sz w:val="18"/>
                          </w:rPr>
                        </w:pPr>
                        <w:r w:rsidRPr="00795364">
                          <w:rPr>
                            <w:rFonts w:ascii="Calibri"/>
                            <w:b/>
                            <w:color w:val="000000"/>
                            <w:spacing w:val="-5"/>
                            <w:sz w:val="18"/>
                          </w:rPr>
                          <w:t>IDR</w:t>
                        </w:r>
                      </w:p>
                    </w:txbxContent>
                  </v:textbox>
                </v:shape>
                <v:shape id="Textbox 231" o:spid="_x0000_s1069" type="#_x0000_t202" style="position:absolute;left:33924;top:1169;width:59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A654C14" w14:textId="77777777" w:rsidR="00BC24A8" w:rsidRDefault="00000000">
                        <w:pPr>
                          <w:spacing w:line="180" w:lineRule="exact"/>
                          <w:rPr>
                            <w:rFonts w:ascii="Calibri"/>
                            <w:b/>
                            <w:sz w:val="18"/>
                          </w:rPr>
                        </w:pPr>
                        <w:r w:rsidRPr="00795364">
                          <w:rPr>
                            <w:rFonts w:ascii="Calibri"/>
                            <w:b/>
                            <w:color w:val="000000"/>
                            <w:spacing w:val="-2"/>
                            <w:sz w:val="18"/>
                          </w:rPr>
                          <w:t>754,148,240</w:t>
                        </w:r>
                      </w:p>
                    </w:txbxContent>
                  </v:textbox>
                </v:shape>
                <w10:anchorlock/>
              </v:group>
            </w:pict>
          </mc:Fallback>
        </mc:AlternateContent>
      </w:r>
    </w:p>
    <w:p w14:paraId="3641A8E5" w14:textId="77777777" w:rsidR="00BC24A8" w:rsidRDefault="00000000">
      <w:pPr>
        <w:spacing w:before="92"/>
        <w:ind w:left="143"/>
        <w:rPr>
          <w:sz w:val="16"/>
        </w:rPr>
      </w:pPr>
      <w:r>
        <w:rPr>
          <w:sz w:val="16"/>
        </w:rPr>
        <w:t>Data</w:t>
      </w:r>
      <w:r>
        <w:rPr>
          <w:spacing w:val="-7"/>
          <w:sz w:val="16"/>
        </w:rPr>
        <w:t xml:space="preserve"> </w:t>
      </w:r>
      <w:r>
        <w:rPr>
          <w:sz w:val="16"/>
        </w:rPr>
        <w:t>source:</w:t>
      </w:r>
      <w:r>
        <w:rPr>
          <w:spacing w:val="-3"/>
          <w:sz w:val="16"/>
        </w:rPr>
        <w:t xml:space="preserve"> </w:t>
      </w:r>
      <w:r>
        <w:rPr>
          <w:sz w:val="16"/>
        </w:rPr>
        <w:t>SAMA</w:t>
      </w:r>
      <w:r>
        <w:rPr>
          <w:spacing w:val="-4"/>
          <w:sz w:val="16"/>
        </w:rPr>
        <w:t xml:space="preserve"> </w:t>
      </w:r>
      <w:r>
        <w:rPr>
          <w:sz w:val="16"/>
        </w:rPr>
        <w:t>data</w:t>
      </w:r>
      <w:r>
        <w:rPr>
          <w:spacing w:val="-3"/>
          <w:sz w:val="16"/>
        </w:rPr>
        <w:t xml:space="preserve"> </w:t>
      </w:r>
      <w:r>
        <w:rPr>
          <w:sz w:val="16"/>
        </w:rPr>
        <w:t>in</w:t>
      </w:r>
      <w:r>
        <w:rPr>
          <w:spacing w:val="-3"/>
          <w:sz w:val="16"/>
        </w:rPr>
        <w:t xml:space="preserve"> </w:t>
      </w:r>
      <w:r>
        <w:rPr>
          <w:sz w:val="16"/>
        </w:rPr>
        <w:t>MIS</w:t>
      </w:r>
      <w:r>
        <w:rPr>
          <w:spacing w:val="-4"/>
          <w:sz w:val="16"/>
        </w:rPr>
        <w:t xml:space="preserve"> </w:t>
      </w:r>
      <w:r>
        <w:rPr>
          <w:sz w:val="16"/>
        </w:rPr>
        <w:t>SKALA</w:t>
      </w:r>
      <w:r>
        <w:rPr>
          <w:spacing w:val="-5"/>
          <w:sz w:val="16"/>
        </w:rPr>
        <w:t xml:space="preserve"> </w:t>
      </w:r>
      <w:r>
        <w:rPr>
          <w:sz w:val="16"/>
        </w:rPr>
        <w:t>as</w:t>
      </w:r>
      <w:r>
        <w:rPr>
          <w:spacing w:val="-3"/>
          <w:sz w:val="16"/>
        </w:rPr>
        <w:t xml:space="preserve"> </w:t>
      </w:r>
      <w:r>
        <w:rPr>
          <w:sz w:val="16"/>
        </w:rPr>
        <w:t>of</w:t>
      </w:r>
      <w:r>
        <w:rPr>
          <w:spacing w:val="-4"/>
          <w:sz w:val="16"/>
        </w:rPr>
        <w:t xml:space="preserve"> </w:t>
      </w:r>
      <w:r>
        <w:rPr>
          <w:sz w:val="16"/>
        </w:rPr>
        <w:t>August</w:t>
      </w:r>
      <w:r>
        <w:rPr>
          <w:spacing w:val="-4"/>
          <w:sz w:val="16"/>
        </w:rPr>
        <w:t xml:space="preserve"> </w:t>
      </w:r>
      <w:r>
        <w:rPr>
          <w:sz w:val="16"/>
        </w:rPr>
        <w:t>6,</w:t>
      </w:r>
      <w:r>
        <w:rPr>
          <w:spacing w:val="-5"/>
          <w:sz w:val="16"/>
        </w:rPr>
        <w:t xml:space="preserve"> </w:t>
      </w:r>
      <w:r>
        <w:rPr>
          <w:sz w:val="16"/>
        </w:rPr>
        <w:t>2025,</w:t>
      </w:r>
      <w:r>
        <w:rPr>
          <w:spacing w:val="-5"/>
          <w:sz w:val="16"/>
        </w:rPr>
        <w:t xml:space="preserve"> </w:t>
      </w:r>
      <w:r>
        <w:rPr>
          <w:sz w:val="16"/>
        </w:rPr>
        <w:t>11:00</w:t>
      </w:r>
      <w:r>
        <w:rPr>
          <w:spacing w:val="-4"/>
          <w:sz w:val="16"/>
        </w:rPr>
        <w:t xml:space="preserve"> </w:t>
      </w:r>
      <w:r>
        <w:rPr>
          <w:sz w:val="16"/>
        </w:rPr>
        <w:t>a.m.</w:t>
      </w:r>
      <w:r>
        <w:rPr>
          <w:spacing w:val="-4"/>
          <w:sz w:val="16"/>
        </w:rPr>
        <w:t xml:space="preserve"> WITA.</w:t>
      </w:r>
    </w:p>
    <w:p w14:paraId="0FF917D6" w14:textId="77777777" w:rsidR="00BC24A8" w:rsidRDefault="00BC24A8">
      <w:pPr>
        <w:pStyle w:val="BodyText"/>
        <w:rPr>
          <w:sz w:val="16"/>
        </w:rPr>
      </w:pPr>
    </w:p>
    <w:p w14:paraId="62141A86" w14:textId="77777777" w:rsidR="00BC24A8" w:rsidRDefault="00BC24A8">
      <w:pPr>
        <w:pStyle w:val="BodyText"/>
        <w:spacing w:before="72"/>
        <w:rPr>
          <w:sz w:val="16"/>
        </w:rPr>
      </w:pPr>
    </w:p>
    <w:p w14:paraId="384A5FD8" w14:textId="77777777" w:rsidR="00BC24A8" w:rsidRDefault="00000000">
      <w:pPr>
        <w:pStyle w:val="BodyText"/>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3"/>
        </w:rPr>
        <w:t xml:space="preserve"> </w:t>
      </w:r>
      <w:r>
        <w:rPr>
          <w:rFonts w:ascii="Calibri"/>
          <w:color w:val="272727"/>
        </w:rPr>
        <w:t>at</w:t>
      </w:r>
      <w:r>
        <w:rPr>
          <w:rFonts w:ascii="Calibri"/>
          <w:color w:val="272727"/>
          <w:spacing w:val="-4"/>
        </w:rPr>
        <w:t xml:space="preserve"> </w:t>
      </w:r>
      <w:r>
        <w:rPr>
          <w:rFonts w:ascii="Calibri"/>
          <w:color w:val="272727"/>
        </w:rPr>
        <w:t>the</w:t>
      </w:r>
      <w:r>
        <w:rPr>
          <w:rFonts w:ascii="Calibri"/>
          <w:color w:val="272727"/>
          <w:spacing w:val="-5"/>
        </w:rPr>
        <w:t xml:space="preserve"> </w:t>
      </w:r>
      <w:r>
        <w:rPr>
          <w:rFonts w:ascii="Calibri"/>
          <w:color w:val="272727"/>
        </w:rPr>
        <w:t>Output</w:t>
      </w:r>
      <w:r>
        <w:rPr>
          <w:rFonts w:ascii="Calibri"/>
          <w:color w:val="272727"/>
          <w:spacing w:val="-2"/>
        </w:rPr>
        <w:t xml:space="preserve"> </w:t>
      </w:r>
      <w:r>
        <w:rPr>
          <w:rFonts w:ascii="Calibri"/>
          <w:color w:val="272727"/>
          <w:spacing w:val="-4"/>
        </w:rPr>
        <w:t>level</w:t>
      </w:r>
    </w:p>
    <w:p w14:paraId="184BC128" w14:textId="77777777" w:rsidR="00BC24A8" w:rsidRDefault="00BC24A8">
      <w:pPr>
        <w:pStyle w:val="BodyText"/>
        <w:spacing w:before="62"/>
        <w:rPr>
          <w:rFonts w:ascii="Calibri"/>
        </w:rPr>
      </w:pPr>
    </w:p>
    <w:p w14:paraId="2D3DCD49" w14:textId="77777777" w:rsidR="00BC24A8" w:rsidRDefault="00000000">
      <w:pPr>
        <w:pStyle w:val="Heading5"/>
        <w:spacing w:before="1"/>
      </w:pPr>
      <w:bookmarkStart w:id="201" w:name="_bookmark137"/>
      <w:bookmarkEnd w:id="201"/>
      <w:r>
        <w:rPr>
          <w:color w:val="767070"/>
        </w:rPr>
        <w:t>Table</w:t>
      </w:r>
      <w:r>
        <w:rPr>
          <w:color w:val="767070"/>
          <w:spacing w:val="-7"/>
        </w:rPr>
        <w:t xml:space="preserve"> </w:t>
      </w:r>
      <w:r>
        <w:rPr>
          <w:color w:val="767070"/>
        </w:rPr>
        <w:t>19:</w:t>
      </w:r>
      <w:r>
        <w:rPr>
          <w:color w:val="767070"/>
          <w:spacing w:val="-7"/>
        </w:rPr>
        <w:t xml:space="preserve"> </w:t>
      </w:r>
      <w:r>
        <w:rPr>
          <w:color w:val="767070"/>
        </w:rPr>
        <w:t>Table</w:t>
      </w:r>
      <w:r>
        <w:rPr>
          <w:color w:val="767070"/>
          <w:spacing w:val="-6"/>
        </w:rPr>
        <w:t xml:space="preserve"> </w:t>
      </w:r>
      <w:r>
        <w:rPr>
          <w:color w:val="767070"/>
        </w:rPr>
        <w:t>of</w:t>
      </w:r>
      <w:r>
        <w:rPr>
          <w:color w:val="767070"/>
          <w:spacing w:val="-7"/>
        </w:rPr>
        <w:t xml:space="preserve"> </w:t>
      </w:r>
      <w:r>
        <w:rPr>
          <w:color w:val="767070"/>
        </w:rPr>
        <w:t>summary</w:t>
      </w:r>
      <w:r>
        <w:rPr>
          <w:color w:val="767070"/>
          <w:spacing w:val="-5"/>
        </w:rPr>
        <w:t xml:space="preserve"> </w:t>
      </w:r>
      <w:r>
        <w:rPr>
          <w:color w:val="767070"/>
        </w:rPr>
        <w:t>of</w:t>
      </w:r>
      <w:r>
        <w:rPr>
          <w:color w:val="767070"/>
          <w:spacing w:val="-6"/>
        </w:rPr>
        <w:t xml:space="preserve"> </w:t>
      </w:r>
      <w:r>
        <w:rPr>
          <w:color w:val="767070"/>
        </w:rPr>
        <w:t>FY</w:t>
      </w:r>
      <w:r>
        <w:rPr>
          <w:color w:val="767070"/>
          <w:spacing w:val="-7"/>
        </w:rPr>
        <w:t xml:space="preserve"> </w:t>
      </w:r>
      <w:r>
        <w:rPr>
          <w:color w:val="767070"/>
        </w:rPr>
        <w:t>2024/2025</w:t>
      </w:r>
      <w:r>
        <w:rPr>
          <w:color w:val="767070"/>
          <w:spacing w:val="-7"/>
        </w:rPr>
        <w:t xml:space="preserve"> </w:t>
      </w:r>
      <w:r>
        <w:rPr>
          <w:color w:val="767070"/>
        </w:rPr>
        <w:t>work</w:t>
      </w:r>
      <w:r>
        <w:rPr>
          <w:color w:val="767070"/>
          <w:spacing w:val="-5"/>
        </w:rPr>
        <w:t xml:space="preserve"> </w:t>
      </w:r>
      <w:r>
        <w:rPr>
          <w:color w:val="767070"/>
        </w:rPr>
        <w:t>plan</w:t>
      </w:r>
      <w:r>
        <w:rPr>
          <w:color w:val="767070"/>
          <w:spacing w:val="-7"/>
        </w:rPr>
        <w:t xml:space="preserve"> </w:t>
      </w:r>
      <w:r>
        <w:rPr>
          <w:color w:val="767070"/>
        </w:rPr>
        <w:t>outputs</w:t>
      </w:r>
      <w:r>
        <w:rPr>
          <w:color w:val="767070"/>
          <w:spacing w:val="-5"/>
        </w:rPr>
        <w:t xml:space="preserve"> </w:t>
      </w:r>
      <w:r>
        <w:rPr>
          <w:color w:val="767070"/>
        </w:rPr>
        <w:t>as</w:t>
      </w:r>
      <w:r>
        <w:rPr>
          <w:color w:val="767070"/>
          <w:spacing w:val="-4"/>
        </w:rPr>
        <w:t xml:space="preserve"> </w:t>
      </w:r>
      <w:r>
        <w:rPr>
          <w:color w:val="767070"/>
        </w:rPr>
        <w:t>of</w:t>
      </w:r>
      <w:r>
        <w:rPr>
          <w:color w:val="767070"/>
          <w:spacing w:val="-6"/>
        </w:rPr>
        <w:t xml:space="preserve"> </w:t>
      </w:r>
      <w:r>
        <w:rPr>
          <w:color w:val="767070"/>
        </w:rPr>
        <w:t>June</w:t>
      </w:r>
      <w:r>
        <w:rPr>
          <w:color w:val="767070"/>
          <w:spacing w:val="-6"/>
        </w:rPr>
        <w:t xml:space="preserve"> </w:t>
      </w:r>
      <w:r>
        <w:rPr>
          <w:color w:val="767070"/>
          <w:spacing w:val="-4"/>
        </w:rPr>
        <w:t>2025</w:t>
      </w:r>
    </w:p>
    <w:p w14:paraId="36F93460" w14:textId="77777777" w:rsidR="00BC24A8" w:rsidRDefault="00BC24A8">
      <w:pPr>
        <w:pStyle w:val="BodyText"/>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1591"/>
        <w:gridCol w:w="1805"/>
        <w:gridCol w:w="1659"/>
        <w:gridCol w:w="1436"/>
        <w:gridCol w:w="2602"/>
      </w:tblGrid>
      <w:tr w:rsidR="00BC24A8" w14:paraId="377B3D57" w14:textId="77777777">
        <w:trPr>
          <w:trHeight w:val="379"/>
        </w:trPr>
        <w:tc>
          <w:tcPr>
            <w:tcW w:w="1591" w:type="dxa"/>
            <w:shd w:val="clear" w:color="auto" w:fill="17365A"/>
          </w:tcPr>
          <w:p w14:paraId="115B0BF6" w14:textId="77777777" w:rsidR="00BC24A8" w:rsidRDefault="00000000">
            <w:pPr>
              <w:pStyle w:val="TableParagraph"/>
              <w:spacing w:before="59"/>
              <w:ind w:left="107"/>
              <w:rPr>
                <w:rFonts w:ascii="Calibri"/>
                <w:b/>
                <w:sz w:val="20"/>
              </w:rPr>
            </w:pPr>
            <w:r>
              <w:rPr>
                <w:rFonts w:ascii="Calibri"/>
                <w:b/>
                <w:color w:val="FFFFFF"/>
                <w:spacing w:val="-2"/>
                <w:sz w:val="20"/>
              </w:rPr>
              <w:t>Output</w:t>
            </w:r>
          </w:p>
        </w:tc>
        <w:tc>
          <w:tcPr>
            <w:tcW w:w="1805" w:type="dxa"/>
            <w:shd w:val="clear" w:color="auto" w:fill="17365A"/>
          </w:tcPr>
          <w:p w14:paraId="6CE6A1F9" w14:textId="77777777" w:rsidR="00BC24A8" w:rsidRDefault="00000000">
            <w:pPr>
              <w:pStyle w:val="TableParagraph"/>
              <w:spacing w:before="59"/>
              <w:ind w:right="2"/>
              <w:jc w:val="center"/>
              <w:rPr>
                <w:rFonts w:ascii="Calibri"/>
                <w:b/>
                <w:sz w:val="20"/>
              </w:rPr>
            </w:pPr>
            <w:r>
              <w:rPr>
                <w:rFonts w:ascii="Calibri"/>
                <w:b/>
                <w:color w:val="FFFFFF"/>
                <w:spacing w:val="-2"/>
                <w:sz w:val="20"/>
              </w:rPr>
              <w:t>Completed</w:t>
            </w:r>
          </w:p>
        </w:tc>
        <w:tc>
          <w:tcPr>
            <w:tcW w:w="1659" w:type="dxa"/>
            <w:shd w:val="clear" w:color="auto" w:fill="17365A"/>
          </w:tcPr>
          <w:p w14:paraId="66E0C3D7" w14:textId="77777777" w:rsidR="00BC24A8" w:rsidRDefault="00000000">
            <w:pPr>
              <w:pStyle w:val="TableParagraph"/>
              <w:spacing w:before="59"/>
              <w:ind w:right="2"/>
              <w:jc w:val="center"/>
              <w:rPr>
                <w:rFonts w:ascii="Calibri"/>
                <w:b/>
                <w:sz w:val="20"/>
              </w:rPr>
            </w:pPr>
            <w:r>
              <w:rPr>
                <w:rFonts w:ascii="Calibri"/>
                <w:b/>
                <w:color w:val="FFFFFF"/>
                <w:spacing w:val="-2"/>
                <w:sz w:val="20"/>
              </w:rPr>
              <w:t>Ongoing</w:t>
            </w:r>
          </w:p>
        </w:tc>
        <w:tc>
          <w:tcPr>
            <w:tcW w:w="1436" w:type="dxa"/>
            <w:shd w:val="clear" w:color="auto" w:fill="17365A"/>
          </w:tcPr>
          <w:p w14:paraId="57C60F02" w14:textId="77777777" w:rsidR="00BC24A8" w:rsidRDefault="00000000">
            <w:pPr>
              <w:pStyle w:val="TableParagraph"/>
              <w:spacing w:before="59"/>
              <w:ind w:left="2" w:right="4"/>
              <w:jc w:val="center"/>
              <w:rPr>
                <w:rFonts w:ascii="Calibri"/>
                <w:b/>
                <w:sz w:val="20"/>
              </w:rPr>
            </w:pPr>
            <w:r>
              <w:rPr>
                <w:rFonts w:ascii="Calibri"/>
                <w:b/>
                <w:color w:val="FFFFFF"/>
                <w:sz w:val="20"/>
              </w:rPr>
              <w:t>Not</w:t>
            </w:r>
            <w:r>
              <w:rPr>
                <w:rFonts w:ascii="Calibri"/>
                <w:b/>
                <w:color w:val="FFFFFF"/>
                <w:spacing w:val="-4"/>
                <w:sz w:val="20"/>
              </w:rPr>
              <w:t xml:space="preserve"> </w:t>
            </w:r>
            <w:r>
              <w:rPr>
                <w:rFonts w:ascii="Calibri"/>
                <w:b/>
                <w:color w:val="FFFFFF"/>
                <w:spacing w:val="-2"/>
                <w:sz w:val="20"/>
              </w:rPr>
              <w:t>started</w:t>
            </w:r>
          </w:p>
        </w:tc>
        <w:tc>
          <w:tcPr>
            <w:tcW w:w="2602" w:type="dxa"/>
            <w:shd w:val="clear" w:color="auto" w:fill="17365A"/>
          </w:tcPr>
          <w:p w14:paraId="643A9BE3" w14:textId="77777777" w:rsidR="00BC24A8" w:rsidRDefault="00000000">
            <w:pPr>
              <w:pStyle w:val="TableParagraph"/>
              <w:spacing w:before="59"/>
              <w:ind w:right="4"/>
              <w:jc w:val="center"/>
              <w:rPr>
                <w:rFonts w:ascii="Calibri"/>
                <w:b/>
                <w:sz w:val="20"/>
              </w:rPr>
            </w:pPr>
            <w:r>
              <w:rPr>
                <w:rFonts w:ascii="Calibri"/>
                <w:b/>
                <w:color w:val="FFFFFF"/>
                <w:spacing w:val="-2"/>
                <w:sz w:val="20"/>
              </w:rPr>
              <w:t>Total</w:t>
            </w:r>
          </w:p>
        </w:tc>
      </w:tr>
      <w:tr w:rsidR="00BC24A8" w14:paraId="408875EB" w14:textId="77777777">
        <w:trPr>
          <w:trHeight w:val="378"/>
        </w:trPr>
        <w:tc>
          <w:tcPr>
            <w:tcW w:w="1591" w:type="dxa"/>
            <w:tcBorders>
              <w:bottom w:val="single" w:sz="4" w:space="0" w:color="BEBEBE"/>
            </w:tcBorders>
          </w:tcPr>
          <w:p w14:paraId="0DECFF56" w14:textId="77777777" w:rsidR="00BC24A8" w:rsidRDefault="00000000">
            <w:pPr>
              <w:pStyle w:val="TableParagraph"/>
              <w:spacing w:before="102"/>
              <w:ind w:left="107"/>
              <w:rPr>
                <w:sz w:val="18"/>
              </w:rPr>
            </w:pPr>
            <w:r>
              <w:rPr>
                <w:spacing w:val="-5"/>
                <w:sz w:val="18"/>
              </w:rPr>
              <w:t>DNA</w:t>
            </w:r>
          </w:p>
        </w:tc>
        <w:tc>
          <w:tcPr>
            <w:tcW w:w="1805" w:type="dxa"/>
            <w:tcBorders>
              <w:bottom w:val="single" w:sz="4" w:space="0" w:color="BEBEBE"/>
            </w:tcBorders>
          </w:tcPr>
          <w:p w14:paraId="580C39B7" w14:textId="77777777" w:rsidR="00BC24A8" w:rsidRDefault="00000000">
            <w:pPr>
              <w:pStyle w:val="TableParagraph"/>
              <w:spacing w:before="102"/>
              <w:ind w:right="2"/>
              <w:jc w:val="center"/>
              <w:rPr>
                <w:sz w:val="18"/>
              </w:rPr>
            </w:pPr>
            <w:r>
              <w:rPr>
                <w:spacing w:val="-10"/>
                <w:sz w:val="18"/>
              </w:rPr>
              <w:t>8</w:t>
            </w:r>
          </w:p>
        </w:tc>
        <w:tc>
          <w:tcPr>
            <w:tcW w:w="1659" w:type="dxa"/>
            <w:tcBorders>
              <w:bottom w:val="single" w:sz="4" w:space="0" w:color="BEBEBE"/>
            </w:tcBorders>
          </w:tcPr>
          <w:p w14:paraId="680F1983" w14:textId="77777777" w:rsidR="00BC24A8" w:rsidRDefault="00000000">
            <w:pPr>
              <w:pStyle w:val="TableParagraph"/>
              <w:spacing w:before="102"/>
              <w:ind w:left="2" w:right="2"/>
              <w:jc w:val="center"/>
              <w:rPr>
                <w:sz w:val="18"/>
              </w:rPr>
            </w:pPr>
            <w:r>
              <w:rPr>
                <w:spacing w:val="-10"/>
                <w:sz w:val="18"/>
              </w:rPr>
              <w:t>1</w:t>
            </w:r>
          </w:p>
        </w:tc>
        <w:tc>
          <w:tcPr>
            <w:tcW w:w="1436" w:type="dxa"/>
            <w:tcBorders>
              <w:bottom w:val="single" w:sz="4" w:space="0" w:color="BEBEBE"/>
            </w:tcBorders>
          </w:tcPr>
          <w:p w14:paraId="2652B658" w14:textId="77777777" w:rsidR="00BC24A8" w:rsidRDefault="00000000">
            <w:pPr>
              <w:pStyle w:val="TableParagraph"/>
              <w:spacing w:before="102"/>
              <w:ind w:right="4"/>
              <w:jc w:val="center"/>
              <w:rPr>
                <w:sz w:val="18"/>
              </w:rPr>
            </w:pPr>
            <w:r>
              <w:rPr>
                <w:spacing w:val="-10"/>
                <w:sz w:val="18"/>
              </w:rPr>
              <w:t>5</w:t>
            </w:r>
          </w:p>
        </w:tc>
        <w:tc>
          <w:tcPr>
            <w:tcW w:w="2602" w:type="dxa"/>
            <w:tcBorders>
              <w:bottom w:val="single" w:sz="4" w:space="0" w:color="BEBEBE"/>
            </w:tcBorders>
          </w:tcPr>
          <w:p w14:paraId="4E2A1C31" w14:textId="77777777" w:rsidR="00BC24A8" w:rsidRDefault="00000000">
            <w:pPr>
              <w:pStyle w:val="TableParagraph"/>
              <w:spacing w:before="102"/>
              <w:ind w:left="3" w:right="4"/>
              <w:jc w:val="center"/>
              <w:rPr>
                <w:sz w:val="18"/>
              </w:rPr>
            </w:pPr>
            <w:r>
              <w:rPr>
                <w:spacing w:val="-5"/>
                <w:sz w:val="18"/>
              </w:rPr>
              <w:t>14</w:t>
            </w:r>
          </w:p>
        </w:tc>
      </w:tr>
      <w:tr w:rsidR="00BC24A8" w14:paraId="61B09F74" w14:textId="77777777">
        <w:trPr>
          <w:trHeight w:val="333"/>
        </w:trPr>
        <w:tc>
          <w:tcPr>
            <w:tcW w:w="1591" w:type="dxa"/>
            <w:tcBorders>
              <w:top w:val="single" w:sz="4" w:space="0" w:color="BEBEBE"/>
              <w:bottom w:val="single" w:sz="4" w:space="0" w:color="BEBEBE"/>
            </w:tcBorders>
          </w:tcPr>
          <w:p w14:paraId="4E208459" w14:textId="77777777" w:rsidR="00BC24A8" w:rsidRDefault="00000000">
            <w:pPr>
              <w:pStyle w:val="TableParagraph"/>
              <w:spacing w:before="56"/>
              <w:ind w:left="107"/>
              <w:rPr>
                <w:sz w:val="18"/>
              </w:rPr>
            </w:pPr>
            <w:r>
              <w:rPr>
                <w:spacing w:val="-5"/>
                <w:sz w:val="18"/>
              </w:rPr>
              <w:t>MSS</w:t>
            </w:r>
          </w:p>
        </w:tc>
        <w:tc>
          <w:tcPr>
            <w:tcW w:w="1805" w:type="dxa"/>
            <w:tcBorders>
              <w:top w:val="single" w:sz="4" w:space="0" w:color="BEBEBE"/>
              <w:bottom w:val="single" w:sz="4" w:space="0" w:color="BEBEBE"/>
            </w:tcBorders>
          </w:tcPr>
          <w:p w14:paraId="50822B37" w14:textId="77777777" w:rsidR="00BC24A8" w:rsidRDefault="00000000">
            <w:pPr>
              <w:pStyle w:val="TableParagraph"/>
              <w:spacing w:before="56"/>
              <w:ind w:right="2"/>
              <w:jc w:val="center"/>
              <w:rPr>
                <w:sz w:val="18"/>
              </w:rPr>
            </w:pPr>
            <w:r>
              <w:rPr>
                <w:spacing w:val="-10"/>
                <w:sz w:val="18"/>
              </w:rPr>
              <w:t>9</w:t>
            </w:r>
          </w:p>
        </w:tc>
        <w:tc>
          <w:tcPr>
            <w:tcW w:w="1659" w:type="dxa"/>
            <w:tcBorders>
              <w:top w:val="single" w:sz="4" w:space="0" w:color="BEBEBE"/>
              <w:bottom w:val="single" w:sz="4" w:space="0" w:color="BEBEBE"/>
            </w:tcBorders>
          </w:tcPr>
          <w:p w14:paraId="2CC0B180" w14:textId="77777777" w:rsidR="00BC24A8" w:rsidRDefault="00000000">
            <w:pPr>
              <w:pStyle w:val="TableParagraph"/>
              <w:spacing w:before="56"/>
              <w:ind w:left="2" w:right="2"/>
              <w:jc w:val="center"/>
              <w:rPr>
                <w:sz w:val="18"/>
              </w:rPr>
            </w:pPr>
            <w:r>
              <w:rPr>
                <w:spacing w:val="-10"/>
                <w:sz w:val="18"/>
              </w:rPr>
              <w:t>3</w:t>
            </w:r>
          </w:p>
        </w:tc>
        <w:tc>
          <w:tcPr>
            <w:tcW w:w="1436" w:type="dxa"/>
            <w:tcBorders>
              <w:top w:val="single" w:sz="4" w:space="0" w:color="BEBEBE"/>
              <w:bottom w:val="single" w:sz="4" w:space="0" w:color="BEBEBE"/>
            </w:tcBorders>
          </w:tcPr>
          <w:p w14:paraId="77665124" w14:textId="77777777" w:rsidR="00BC24A8" w:rsidRDefault="00000000">
            <w:pPr>
              <w:pStyle w:val="TableParagraph"/>
              <w:spacing w:before="56"/>
              <w:ind w:right="4"/>
              <w:jc w:val="center"/>
              <w:rPr>
                <w:sz w:val="18"/>
              </w:rPr>
            </w:pPr>
            <w:r>
              <w:rPr>
                <w:spacing w:val="-10"/>
                <w:sz w:val="18"/>
              </w:rPr>
              <w:t>0</w:t>
            </w:r>
          </w:p>
        </w:tc>
        <w:tc>
          <w:tcPr>
            <w:tcW w:w="2602" w:type="dxa"/>
            <w:tcBorders>
              <w:top w:val="single" w:sz="4" w:space="0" w:color="BEBEBE"/>
              <w:bottom w:val="single" w:sz="4" w:space="0" w:color="BEBEBE"/>
            </w:tcBorders>
          </w:tcPr>
          <w:p w14:paraId="2B43C385" w14:textId="77777777" w:rsidR="00BC24A8" w:rsidRDefault="00000000">
            <w:pPr>
              <w:pStyle w:val="TableParagraph"/>
              <w:spacing w:before="56"/>
              <w:ind w:left="3" w:right="4"/>
              <w:jc w:val="center"/>
              <w:rPr>
                <w:sz w:val="18"/>
              </w:rPr>
            </w:pPr>
            <w:r>
              <w:rPr>
                <w:spacing w:val="-5"/>
                <w:sz w:val="18"/>
              </w:rPr>
              <w:t>12</w:t>
            </w:r>
          </w:p>
        </w:tc>
      </w:tr>
      <w:tr w:rsidR="00BC24A8" w14:paraId="337E13C5" w14:textId="77777777">
        <w:trPr>
          <w:trHeight w:val="333"/>
        </w:trPr>
        <w:tc>
          <w:tcPr>
            <w:tcW w:w="1591" w:type="dxa"/>
            <w:tcBorders>
              <w:top w:val="single" w:sz="4" w:space="0" w:color="BEBEBE"/>
              <w:bottom w:val="single" w:sz="4" w:space="0" w:color="BEBEBE"/>
            </w:tcBorders>
          </w:tcPr>
          <w:p w14:paraId="4FE212AF" w14:textId="77777777" w:rsidR="00BC24A8" w:rsidRDefault="00000000">
            <w:pPr>
              <w:pStyle w:val="TableParagraph"/>
              <w:spacing w:before="56"/>
              <w:ind w:left="107"/>
              <w:rPr>
                <w:sz w:val="18"/>
              </w:rPr>
            </w:pPr>
            <w:r>
              <w:rPr>
                <w:spacing w:val="-5"/>
                <w:sz w:val="18"/>
              </w:rPr>
              <w:t>PFM</w:t>
            </w:r>
          </w:p>
        </w:tc>
        <w:tc>
          <w:tcPr>
            <w:tcW w:w="1805" w:type="dxa"/>
            <w:tcBorders>
              <w:top w:val="single" w:sz="4" w:space="0" w:color="BEBEBE"/>
              <w:bottom w:val="single" w:sz="4" w:space="0" w:color="BEBEBE"/>
            </w:tcBorders>
          </w:tcPr>
          <w:p w14:paraId="2EF3B2D8" w14:textId="77777777" w:rsidR="00BC24A8" w:rsidRDefault="00000000">
            <w:pPr>
              <w:pStyle w:val="TableParagraph"/>
              <w:spacing w:before="56"/>
              <w:ind w:right="2"/>
              <w:jc w:val="center"/>
              <w:rPr>
                <w:sz w:val="18"/>
              </w:rPr>
            </w:pPr>
            <w:r>
              <w:rPr>
                <w:spacing w:val="-10"/>
                <w:sz w:val="18"/>
              </w:rPr>
              <w:t>4</w:t>
            </w:r>
          </w:p>
        </w:tc>
        <w:tc>
          <w:tcPr>
            <w:tcW w:w="1659" w:type="dxa"/>
            <w:tcBorders>
              <w:top w:val="single" w:sz="4" w:space="0" w:color="BEBEBE"/>
              <w:bottom w:val="single" w:sz="4" w:space="0" w:color="BEBEBE"/>
            </w:tcBorders>
          </w:tcPr>
          <w:p w14:paraId="5620D831" w14:textId="77777777" w:rsidR="00BC24A8" w:rsidRDefault="00000000">
            <w:pPr>
              <w:pStyle w:val="TableParagraph"/>
              <w:spacing w:before="56"/>
              <w:ind w:left="2" w:right="2"/>
              <w:jc w:val="center"/>
              <w:rPr>
                <w:sz w:val="18"/>
              </w:rPr>
            </w:pPr>
            <w:r>
              <w:rPr>
                <w:spacing w:val="-10"/>
                <w:sz w:val="18"/>
              </w:rPr>
              <w:t>5</w:t>
            </w:r>
          </w:p>
        </w:tc>
        <w:tc>
          <w:tcPr>
            <w:tcW w:w="1436" w:type="dxa"/>
            <w:tcBorders>
              <w:top w:val="single" w:sz="4" w:space="0" w:color="BEBEBE"/>
              <w:bottom w:val="single" w:sz="4" w:space="0" w:color="BEBEBE"/>
            </w:tcBorders>
          </w:tcPr>
          <w:p w14:paraId="4512B3D4" w14:textId="77777777" w:rsidR="00BC24A8" w:rsidRDefault="00000000">
            <w:pPr>
              <w:pStyle w:val="TableParagraph"/>
              <w:spacing w:before="56"/>
              <w:ind w:right="4"/>
              <w:jc w:val="center"/>
              <w:rPr>
                <w:sz w:val="18"/>
              </w:rPr>
            </w:pPr>
            <w:r>
              <w:rPr>
                <w:spacing w:val="-10"/>
                <w:sz w:val="18"/>
              </w:rPr>
              <w:t>5</w:t>
            </w:r>
          </w:p>
        </w:tc>
        <w:tc>
          <w:tcPr>
            <w:tcW w:w="2602" w:type="dxa"/>
            <w:tcBorders>
              <w:top w:val="single" w:sz="4" w:space="0" w:color="BEBEBE"/>
              <w:bottom w:val="single" w:sz="4" w:space="0" w:color="BEBEBE"/>
            </w:tcBorders>
          </w:tcPr>
          <w:p w14:paraId="7989B8A9" w14:textId="77777777" w:rsidR="00BC24A8" w:rsidRDefault="00000000">
            <w:pPr>
              <w:pStyle w:val="TableParagraph"/>
              <w:spacing w:before="56"/>
              <w:ind w:left="3" w:right="4"/>
              <w:jc w:val="center"/>
              <w:rPr>
                <w:sz w:val="18"/>
              </w:rPr>
            </w:pPr>
            <w:r>
              <w:rPr>
                <w:spacing w:val="-5"/>
                <w:sz w:val="18"/>
              </w:rPr>
              <w:t>14</w:t>
            </w:r>
          </w:p>
        </w:tc>
      </w:tr>
      <w:tr w:rsidR="00BC24A8" w14:paraId="1BF495DF" w14:textId="77777777">
        <w:trPr>
          <w:trHeight w:val="376"/>
        </w:trPr>
        <w:tc>
          <w:tcPr>
            <w:tcW w:w="1591" w:type="dxa"/>
            <w:tcBorders>
              <w:top w:val="single" w:sz="4" w:space="0" w:color="BEBEBE"/>
            </w:tcBorders>
          </w:tcPr>
          <w:p w14:paraId="06C94775" w14:textId="77777777" w:rsidR="00BC24A8" w:rsidRDefault="00000000">
            <w:pPr>
              <w:pStyle w:val="TableParagraph"/>
              <w:spacing w:before="59"/>
              <w:ind w:left="107"/>
              <w:rPr>
                <w:sz w:val="18"/>
              </w:rPr>
            </w:pPr>
            <w:r>
              <w:rPr>
                <w:spacing w:val="-2"/>
                <w:sz w:val="18"/>
              </w:rPr>
              <w:t>GEDSI</w:t>
            </w:r>
          </w:p>
        </w:tc>
        <w:tc>
          <w:tcPr>
            <w:tcW w:w="1805" w:type="dxa"/>
            <w:tcBorders>
              <w:top w:val="single" w:sz="4" w:space="0" w:color="BEBEBE"/>
            </w:tcBorders>
          </w:tcPr>
          <w:p w14:paraId="72C713A4" w14:textId="77777777" w:rsidR="00BC24A8" w:rsidRDefault="00000000">
            <w:pPr>
              <w:pStyle w:val="TableParagraph"/>
              <w:spacing w:before="59"/>
              <w:ind w:right="2"/>
              <w:jc w:val="center"/>
              <w:rPr>
                <w:sz w:val="18"/>
              </w:rPr>
            </w:pPr>
            <w:r>
              <w:rPr>
                <w:spacing w:val="-10"/>
                <w:sz w:val="18"/>
              </w:rPr>
              <w:t>7</w:t>
            </w:r>
          </w:p>
        </w:tc>
        <w:tc>
          <w:tcPr>
            <w:tcW w:w="1659" w:type="dxa"/>
            <w:tcBorders>
              <w:top w:val="single" w:sz="4" w:space="0" w:color="BEBEBE"/>
            </w:tcBorders>
          </w:tcPr>
          <w:p w14:paraId="5A496700" w14:textId="77777777" w:rsidR="00BC24A8" w:rsidRDefault="00000000">
            <w:pPr>
              <w:pStyle w:val="TableParagraph"/>
              <w:spacing w:before="59"/>
              <w:ind w:left="2" w:right="2"/>
              <w:jc w:val="center"/>
              <w:rPr>
                <w:sz w:val="18"/>
              </w:rPr>
            </w:pPr>
            <w:r>
              <w:rPr>
                <w:spacing w:val="-10"/>
                <w:sz w:val="18"/>
              </w:rPr>
              <w:t>1</w:t>
            </w:r>
          </w:p>
        </w:tc>
        <w:tc>
          <w:tcPr>
            <w:tcW w:w="1436" w:type="dxa"/>
            <w:tcBorders>
              <w:top w:val="single" w:sz="4" w:space="0" w:color="BEBEBE"/>
            </w:tcBorders>
          </w:tcPr>
          <w:p w14:paraId="4D013E8B" w14:textId="77777777" w:rsidR="00BC24A8" w:rsidRDefault="00000000">
            <w:pPr>
              <w:pStyle w:val="TableParagraph"/>
              <w:spacing w:before="59"/>
              <w:ind w:right="4"/>
              <w:jc w:val="center"/>
              <w:rPr>
                <w:sz w:val="18"/>
              </w:rPr>
            </w:pPr>
            <w:r>
              <w:rPr>
                <w:spacing w:val="-10"/>
                <w:sz w:val="18"/>
              </w:rPr>
              <w:t>6</w:t>
            </w:r>
          </w:p>
        </w:tc>
        <w:tc>
          <w:tcPr>
            <w:tcW w:w="2602" w:type="dxa"/>
            <w:tcBorders>
              <w:top w:val="single" w:sz="4" w:space="0" w:color="BEBEBE"/>
            </w:tcBorders>
          </w:tcPr>
          <w:p w14:paraId="43C948A4" w14:textId="77777777" w:rsidR="00BC24A8" w:rsidRDefault="00000000">
            <w:pPr>
              <w:pStyle w:val="TableParagraph"/>
              <w:spacing w:before="59"/>
              <w:ind w:left="3" w:right="4"/>
              <w:jc w:val="center"/>
              <w:rPr>
                <w:sz w:val="18"/>
              </w:rPr>
            </w:pPr>
            <w:r>
              <w:rPr>
                <w:spacing w:val="-5"/>
                <w:sz w:val="18"/>
              </w:rPr>
              <w:t>14</w:t>
            </w:r>
          </w:p>
        </w:tc>
      </w:tr>
      <w:tr w:rsidR="00BC24A8" w14:paraId="6AA288FE" w14:textId="77777777">
        <w:trPr>
          <w:trHeight w:val="354"/>
        </w:trPr>
        <w:tc>
          <w:tcPr>
            <w:tcW w:w="1591" w:type="dxa"/>
            <w:tcBorders>
              <w:bottom w:val="single" w:sz="4" w:space="0" w:color="BEBEBE"/>
            </w:tcBorders>
            <w:shd w:val="clear" w:color="auto" w:fill="A7A9AC"/>
          </w:tcPr>
          <w:p w14:paraId="11263AC5" w14:textId="77777777" w:rsidR="00BC24A8" w:rsidRDefault="00000000">
            <w:pPr>
              <w:pStyle w:val="TableParagraph"/>
              <w:spacing w:before="61"/>
              <w:ind w:left="107"/>
              <w:rPr>
                <w:rFonts w:ascii="Calibri"/>
                <w:b/>
                <w:sz w:val="18"/>
              </w:rPr>
            </w:pPr>
            <w:r w:rsidRPr="00795364">
              <w:rPr>
                <w:rFonts w:ascii="Calibri"/>
                <w:b/>
                <w:color w:val="000000"/>
                <w:spacing w:val="-2"/>
                <w:sz w:val="18"/>
              </w:rPr>
              <w:t>Total</w:t>
            </w:r>
          </w:p>
        </w:tc>
        <w:tc>
          <w:tcPr>
            <w:tcW w:w="1805" w:type="dxa"/>
            <w:tcBorders>
              <w:bottom w:val="single" w:sz="4" w:space="0" w:color="BEBEBE"/>
            </w:tcBorders>
            <w:shd w:val="clear" w:color="auto" w:fill="A7A9AC"/>
          </w:tcPr>
          <w:p w14:paraId="02A9583C" w14:textId="77777777" w:rsidR="00BC24A8" w:rsidRDefault="00000000">
            <w:pPr>
              <w:pStyle w:val="TableParagraph"/>
              <w:spacing w:before="61"/>
              <w:ind w:right="2"/>
              <w:jc w:val="center"/>
              <w:rPr>
                <w:rFonts w:ascii="Calibri"/>
                <w:b/>
                <w:sz w:val="18"/>
              </w:rPr>
            </w:pPr>
            <w:r w:rsidRPr="00795364">
              <w:rPr>
                <w:rFonts w:ascii="Calibri"/>
                <w:b/>
                <w:color w:val="000000"/>
                <w:spacing w:val="-5"/>
                <w:sz w:val="18"/>
              </w:rPr>
              <w:t>29</w:t>
            </w:r>
          </w:p>
        </w:tc>
        <w:tc>
          <w:tcPr>
            <w:tcW w:w="1659" w:type="dxa"/>
            <w:tcBorders>
              <w:bottom w:val="single" w:sz="4" w:space="0" w:color="BEBEBE"/>
            </w:tcBorders>
            <w:shd w:val="clear" w:color="auto" w:fill="A7A9AC"/>
          </w:tcPr>
          <w:p w14:paraId="35AA9FE8" w14:textId="77777777" w:rsidR="00BC24A8" w:rsidRDefault="00000000">
            <w:pPr>
              <w:pStyle w:val="TableParagraph"/>
              <w:spacing w:before="61"/>
              <w:ind w:left="2" w:right="2"/>
              <w:jc w:val="center"/>
              <w:rPr>
                <w:rFonts w:ascii="Calibri"/>
                <w:b/>
                <w:sz w:val="18"/>
              </w:rPr>
            </w:pPr>
            <w:r w:rsidRPr="00795364">
              <w:rPr>
                <w:rFonts w:ascii="Calibri"/>
                <w:b/>
                <w:color w:val="000000"/>
                <w:spacing w:val="-5"/>
                <w:sz w:val="18"/>
              </w:rPr>
              <w:t>10</w:t>
            </w:r>
          </w:p>
        </w:tc>
        <w:tc>
          <w:tcPr>
            <w:tcW w:w="1436" w:type="dxa"/>
            <w:tcBorders>
              <w:bottom w:val="single" w:sz="4" w:space="0" w:color="BEBEBE"/>
            </w:tcBorders>
            <w:shd w:val="clear" w:color="auto" w:fill="A7A9AC"/>
          </w:tcPr>
          <w:p w14:paraId="6DC56444" w14:textId="77777777" w:rsidR="00BC24A8" w:rsidRDefault="00000000">
            <w:pPr>
              <w:pStyle w:val="TableParagraph"/>
              <w:spacing w:before="61"/>
              <w:ind w:right="4"/>
              <w:jc w:val="center"/>
              <w:rPr>
                <w:rFonts w:ascii="Calibri"/>
                <w:b/>
                <w:sz w:val="18"/>
              </w:rPr>
            </w:pPr>
            <w:r w:rsidRPr="00795364">
              <w:rPr>
                <w:rFonts w:ascii="Calibri"/>
                <w:b/>
                <w:color w:val="000000"/>
                <w:spacing w:val="-5"/>
                <w:sz w:val="18"/>
              </w:rPr>
              <w:t>16</w:t>
            </w:r>
          </w:p>
        </w:tc>
        <w:tc>
          <w:tcPr>
            <w:tcW w:w="2602" w:type="dxa"/>
            <w:tcBorders>
              <w:bottom w:val="single" w:sz="4" w:space="0" w:color="BEBEBE"/>
            </w:tcBorders>
            <w:shd w:val="clear" w:color="auto" w:fill="A7A9AC"/>
          </w:tcPr>
          <w:p w14:paraId="48A48581" w14:textId="77777777" w:rsidR="00BC24A8" w:rsidRDefault="00000000">
            <w:pPr>
              <w:pStyle w:val="TableParagraph"/>
              <w:spacing w:before="61"/>
              <w:ind w:left="3" w:right="4"/>
              <w:jc w:val="center"/>
              <w:rPr>
                <w:rFonts w:ascii="Calibri"/>
                <w:b/>
                <w:sz w:val="18"/>
              </w:rPr>
            </w:pPr>
            <w:r w:rsidRPr="00795364">
              <w:rPr>
                <w:rFonts w:ascii="Calibri"/>
                <w:b/>
                <w:color w:val="000000"/>
                <w:spacing w:val="-5"/>
                <w:sz w:val="18"/>
              </w:rPr>
              <w:t>55</w:t>
            </w:r>
          </w:p>
        </w:tc>
      </w:tr>
    </w:tbl>
    <w:p w14:paraId="786E5E06" w14:textId="77777777" w:rsidR="00BC24A8" w:rsidRDefault="00000000">
      <w:pPr>
        <w:spacing w:before="126"/>
        <w:ind w:left="143"/>
        <w:rPr>
          <w:sz w:val="16"/>
        </w:rPr>
      </w:pPr>
      <w:r>
        <w:rPr>
          <w:sz w:val="16"/>
        </w:rPr>
        <w:t>Data</w:t>
      </w:r>
      <w:r>
        <w:rPr>
          <w:spacing w:val="-7"/>
          <w:sz w:val="16"/>
        </w:rPr>
        <w:t xml:space="preserve"> </w:t>
      </w:r>
      <w:r>
        <w:rPr>
          <w:sz w:val="16"/>
        </w:rPr>
        <w:t>source:</w:t>
      </w:r>
      <w:r>
        <w:rPr>
          <w:spacing w:val="-3"/>
          <w:sz w:val="16"/>
        </w:rPr>
        <w:t xml:space="preserve"> </w:t>
      </w:r>
      <w:r>
        <w:rPr>
          <w:sz w:val="16"/>
        </w:rPr>
        <w:t>SAMA</w:t>
      </w:r>
      <w:r>
        <w:rPr>
          <w:spacing w:val="-4"/>
          <w:sz w:val="16"/>
        </w:rPr>
        <w:t xml:space="preserve"> </w:t>
      </w:r>
      <w:r>
        <w:rPr>
          <w:sz w:val="16"/>
        </w:rPr>
        <w:t>data</w:t>
      </w:r>
      <w:r>
        <w:rPr>
          <w:spacing w:val="-3"/>
          <w:sz w:val="16"/>
        </w:rPr>
        <w:t xml:space="preserve"> </w:t>
      </w:r>
      <w:r>
        <w:rPr>
          <w:sz w:val="16"/>
        </w:rPr>
        <w:t>in</w:t>
      </w:r>
      <w:r>
        <w:rPr>
          <w:spacing w:val="-3"/>
          <w:sz w:val="16"/>
        </w:rPr>
        <w:t xml:space="preserve"> </w:t>
      </w:r>
      <w:r>
        <w:rPr>
          <w:sz w:val="16"/>
        </w:rPr>
        <w:t>MIS</w:t>
      </w:r>
      <w:r>
        <w:rPr>
          <w:spacing w:val="-4"/>
          <w:sz w:val="16"/>
        </w:rPr>
        <w:t xml:space="preserve"> </w:t>
      </w:r>
      <w:r>
        <w:rPr>
          <w:sz w:val="16"/>
        </w:rPr>
        <w:t>SKALA</w:t>
      </w:r>
      <w:r>
        <w:rPr>
          <w:spacing w:val="-5"/>
          <w:sz w:val="16"/>
        </w:rPr>
        <w:t xml:space="preserve"> </w:t>
      </w:r>
      <w:r>
        <w:rPr>
          <w:sz w:val="16"/>
        </w:rPr>
        <w:t>as</w:t>
      </w:r>
      <w:r>
        <w:rPr>
          <w:spacing w:val="-3"/>
          <w:sz w:val="16"/>
        </w:rPr>
        <w:t xml:space="preserve"> </w:t>
      </w:r>
      <w:r>
        <w:rPr>
          <w:sz w:val="16"/>
        </w:rPr>
        <w:t>of</w:t>
      </w:r>
      <w:r>
        <w:rPr>
          <w:spacing w:val="-4"/>
          <w:sz w:val="16"/>
        </w:rPr>
        <w:t xml:space="preserve"> </w:t>
      </w:r>
      <w:r>
        <w:rPr>
          <w:sz w:val="16"/>
        </w:rPr>
        <w:t>August</w:t>
      </w:r>
      <w:r>
        <w:rPr>
          <w:spacing w:val="-4"/>
          <w:sz w:val="16"/>
        </w:rPr>
        <w:t xml:space="preserve"> </w:t>
      </w:r>
      <w:r>
        <w:rPr>
          <w:sz w:val="16"/>
        </w:rPr>
        <w:t>6,</w:t>
      </w:r>
      <w:r>
        <w:rPr>
          <w:spacing w:val="-5"/>
          <w:sz w:val="16"/>
        </w:rPr>
        <w:t xml:space="preserve"> </w:t>
      </w:r>
      <w:r>
        <w:rPr>
          <w:sz w:val="16"/>
        </w:rPr>
        <w:t>2025,</w:t>
      </w:r>
      <w:r>
        <w:rPr>
          <w:spacing w:val="-5"/>
          <w:sz w:val="16"/>
        </w:rPr>
        <w:t xml:space="preserve"> </w:t>
      </w:r>
      <w:r>
        <w:rPr>
          <w:sz w:val="16"/>
        </w:rPr>
        <w:t>11:30</w:t>
      </w:r>
      <w:r>
        <w:rPr>
          <w:spacing w:val="-4"/>
          <w:sz w:val="16"/>
        </w:rPr>
        <w:t xml:space="preserve"> </w:t>
      </w:r>
      <w:r>
        <w:rPr>
          <w:sz w:val="16"/>
        </w:rPr>
        <w:t>a.m.</w:t>
      </w:r>
      <w:r>
        <w:rPr>
          <w:spacing w:val="-4"/>
          <w:sz w:val="16"/>
        </w:rPr>
        <w:t xml:space="preserve"> WITA.</w:t>
      </w:r>
    </w:p>
    <w:p w14:paraId="3D19FFA5" w14:textId="77777777" w:rsidR="00BC24A8" w:rsidRDefault="00BC24A8">
      <w:pPr>
        <w:pStyle w:val="BodyText"/>
        <w:rPr>
          <w:sz w:val="20"/>
        </w:rPr>
      </w:pPr>
    </w:p>
    <w:p w14:paraId="29713356" w14:textId="77777777" w:rsidR="00BC24A8" w:rsidRDefault="00BC24A8">
      <w:pPr>
        <w:pStyle w:val="BodyText"/>
        <w:rPr>
          <w:sz w:val="20"/>
        </w:rPr>
      </w:pPr>
    </w:p>
    <w:p w14:paraId="76CB2E46" w14:textId="77777777" w:rsidR="00BC24A8" w:rsidRDefault="00BC24A8">
      <w:pPr>
        <w:pStyle w:val="BodyText"/>
        <w:rPr>
          <w:sz w:val="20"/>
        </w:rPr>
      </w:pPr>
    </w:p>
    <w:p w14:paraId="6BBB30EF" w14:textId="77777777" w:rsidR="00BC24A8" w:rsidRDefault="00BC24A8">
      <w:pPr>
        <w:pStyle w:val="BodyText"/>
        <w:rPr>
          <w:sz w:val="20"/>
        </w:rPr>
      </w:pPr>
    </w:p>
    <w:p w14:paraId="07512442" w14:textId="77777777" w:rsidR="00BC24A8" w:rsidRDefault="00BC24A8">
      <w:pPr>
        <w:pStyle w:val="BodyText"/>
        <w:rPr>
          <w:sz w:val="20"/>
        </w:rPr>
      </w:pPr>
    </w:p>
    <w:p w14:paraId="4EE8ACF3" w14:textId="77777777" w:rsidR="00BC24A8" w:rsidRDefault="00000000">
      <w:pPr>
        <w:pStyle w:val="BodyText"/>
        <w:spacing w:before="52"/>
        <w:rPr>
          <w:sz w:val="20"/>
        </w:rPr>
      </w:pPr>
      <w:r>
        <w:rPr>
          <w:noProof/>
          <w:sz w:val="20"/>
        </w:rPr>
        <mc:AlternateContent>
          <mc:Choice Requires="wps">
            <w:drawing>
              <wp:anchor distT="0" distB="0" distL="0" distR="0" simplePos="0" relativeHeight="487624704" behindDoc="1" locked="0" layoutInCell="1" allowOverlap="1" wp14:anchorId="44FD1B45" wp14:editId="202EB708">
                <wp:simplePos x="0" y="0"/>
                <wp:positionH relativeFrom="page">
                  <wp:posOffset>900683</wp:posOffset>
                </wp:positionH>
                <wp:positionV relativeFrom="paragraph">
                  <wp:posOffset>203831</wp:posOffset>
                </wp:positionV>
                <wp:extent cx="1828800" cy="9525"/>
                <wp:effectExtent l="0" t="0" r="0" b="0"/>
                <wp:wrapTopAndBottom/>
                <wp:docPr id="232" name="Graphic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369413" id="Graphic 232" o:spid="_x0000_s1026" alt="&quot;&quot;" style="position:absolute;margin-left:70.9pt;margin-top:16.05pt;width:2in;height:.75pt;z-index:-156917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" path="m1828800,l,,,9144r1828800,l1828800,xe" fillcolor="black" stroked="f">
                <v:path arrowok="t"/>
                <w10:wrap type="topAndBottom" anchorx="page"/>
              </v:shape>
            </w:pict>
          </mc:Fallback>
        </mc:AlternateContent>
      </w:r>
    </w:p>
    <w:p w14:paraId="4F3FD03A" w14:textId="77777777" w:rsidR="00BC24A8" w:rsidRDefault="00BC24A8">
      <w:pPr>
        <w:pStyle w:val="BodyText"/>
        <w:spacing w:before="105"/>
        <w:rPr>
          <w:sz w:val="16"/>
        </w:rPr>
      </w:pPr>
    </w:p>
    <w:p w14:paraId="5E2414C4" w14:textId="77777777" w:rsidR="00BC24A8" w:rsidRDefault="00000000">
      <w:pPr>
        <w:spacing w:before="1"/>
        <w:ind w:left="143" w:right="662"/>
        <w:rPr>
          <w:sz w:val="16"/>
        </w:rPr>
      </w:pPr>
      <w:bookmarkStart w:id="202" w:name="_bookmark138"/>
      <w:bookmarkEnd w:id="202"/>
      <w:r>
        <w:rPr>
          <w:color w:val="767070"/>
          <w:sz w:val="16"/>
          <w:vertAlign w:val="superscript"/>
        </w:rPr>
        <w:t>67</w:t>
      </w:r>
      <w:r>
        <w:rPr>
          <w:color w:val="767070"/>
          <w:spacing w:val="-5"/>
          <w:sz w:val="16"/>
        </w:rPr>
        <w:t xml:space="preserve"> </w:t>
      </w:r>
      <w:r>
        <w:rPr>
          <w:color w:val="767070"/>
          <w:sz w:val="16"/>
        </w:rPr>
        <w:t>Person</w:t>
      </w:r>
      <w:r>
        <w:rPr>
          <w:color w:val="767070"/>
          <w:spacing w:val="-4"/>
          <w:sz w:val="16"/>
        </w:rPr>
        <w:t xml:space="preserve"> </w:t>
      </w:r>
      <w:r>
        <w:rPr>
          <w:color w:val="767070"/>
          <w:sz w:val="16"/>
        </w:rPr>
        <w:t>time</w:t>
      </w:r>
      <w:r>
        <w:rPr>
          <w:color w:val="767070"/>
          <w:spacing w:val="-5"/>
          <w:sz w:val="16"/>
        </w:rPr>
        <w:t xml:space="preserve"> </w:t>
      </w:r>
      <w:r>
        <w:rPr>
          <w:color w:val="767070"/>
          <w:sz w:val="16"/>
        </w:rPr>
        <w:t>is</w:t>
      </w:r>
      <w:r>
        <w:rPr>
          <w:color w:val="767070"/>
          <w:spacing w:val="-4"/>
          <w:sz w:val="16"/>
        </w:rPr>
        <w:t xml:space="preserve"> </w:t>
      </w:r>
      <w:r>
        <w:rPr>
          <w:color w:val="767070"/>
          <w:sz w:val="16"/>
        </w:rPr>
        <w:t>the</w:t>
      </w:r>
      <w:r>
        <w:rPr>
          <w:color w:val="767070"/>
          <w:spacing w:val="-5"/>
          <w:sz w:val="16"/>
        </w:rPr>
        <w:t xml:space="preserve"> </w:t>
      </w:r>
      <w:r>
        <w:rPr>
          <w:color w:val="767070"/>
          <w:sz w:val="16"/>
        </w:rPr>
        <w:t>amount</w:t>
      </w:r>
      <w:r>
        <w:rPr>
          <w:color w:val="767070"/>
          <w:spacing w:val="-5"/>
          <w:sz w:val="16"/>
        </w:rPr>
        <w:t xml:space="preserve"> </w:t>
      </w:r>
      <w:r>
        <w:rPr>
          <w:color w:val="767070"/>
          <w:sz w:val="16"/>
        </w:rPr>
        <w:t>of</w:t>
      </w:r>
      <w:r>
        <w:rPr>
          <w:color w:val="767070"/>
          <w:spacing w:val="-6"/>
          <w:sz w:val="16"/>
        </w:rPr>
        <w:t xml:space="preserve"> </w:t>
      </w:r>
      <w:r>
        <w:rPr>
          <w:color w:val="767070"/>
          <w:sz w:val="16"/>
        </w:rPr>
        <w:t>participation;</w:t>
      </w:r>
      <w:r>
        <w:rPr>
          <w:color w:val="767070"/>
          <w:spacing w:val="-4"/>
          <w:sz w:val="16"/>
        </w:rPr>
        <w:t xml:space="preserve"> </w:t>
      </w:r>
      <w:r>
        <w:rPr>
          <w:color w:val="767070"/>
          <w:sz w:val="16"/>
        </w:rPr>
        <w:t>one</w:t>
      </w:r>
      <w:r>
        <w:rPr>
          <w:color w:val="767070"/>
          <w:spacing w:val="-5"/>
          <w:sz w:val="16"/>
        </w:rPr>
        <w:t xml:space="preserve"> </w:t>
      </w:r>
      <w:r>
        <w:rPr>
          <w:color w:val="767070"/>
          <w:sz w:val="16"/>
        </w:rPr>
        <w:t>person</w:t>
      </w:r>
      <w:r>
        <w:rPr>
          <w:color w:val="767070"/>
          <w:spacing w:val="-4"/>
          <w:sz w:val="16"/>
        </w:rPr>
        <w:t xml:space="preserve"> </w:t>
      </w:r>
      <w:r>
        <w:rPr>
          <w:color w:val="767070"/>
          <w:sz w:val="16"/>
        </w:rPr>
        <w:t>may</w:t>
      </w:r>
      <w:r>
        <w:rPr>
          <w:color w:val="767070"/>
          <w:spacing w:val="-4"/>
          <w:sz w:val="16"/>
        </w:rPr>
        <w:t xml:space="preserve"> </w:t>
      </w:r>
      <w:r>
        <w:rPr>
          <w:color w:val="767070"/>
          <w:sz w:val="16"/>
        </w:rPr>
        <w:t>participate</w:t>
      </w:r>
      <w:r>
        <w:rPr>
          <w:color w:val="767070"/>
          <w:spacing w:val="-5"/>
          <w:sz w:val="16"/>
        </w:rPr>
        <w:t xml:space="preserve"> </w:t>
      </w:r>
      <w:r>
        <w:rPr>
          <w:color w:val="767070"/>
          <w:sz w:val="16"/>
        </w:rPr>
        <w:t>more</w:t>
      </w:r>
      <w:r>
        <w:rPr>
          <w:color w:val="767070"/>
          <w:spacing w:val="-5"/>
          <w:sz w:val="16"/>
        </w:rPr>
        <w:t xml:space="preserve"> </w:t>
      </w:r>
      <w:r>
        <w:rPr>
          <w:color w:val="767070"/>
          <w:sz w:val="16"/>
        </w:rPr>
        <w:t>than</w:t>
      </w:r>
      <w:r>
        <w:rPr>
          <w:color w:val="767070"/>
          <w:spacing w:val="-6"/>
          <w:sz w:val="16"/>
        </w:rPr>
        <w:t xml:space="preserve"> </w:t>
      </w:r>
      <w:r>
        <w:rPr>
          <w:color w:val="767070"/>
          <w:sz w:val="16"/>
        </w:rPr>
        <w:t>once</w:t>
      </w:r>
      <w:r>
        <w:rPr>
          <w:color w:val="767070"/>
          <w:spacing w:val="-5"/>
          <w:sz w:val="16"/>
        </w:rPr>
        <w:t xml:space="preserve"> </w:t>
      </w:r>
      <w:r>
        <w:rPr>
          <w:color w:val="767070"/>
          <w:sz w:val="16"/>
        </w:rPr>
        <w:t>in</w:t>
      </w:r>
      <w:r>
        <w:rPr>
          <w:color w:val="767070"/>
          <w:spacing w:val="-4"/>
          <w:sz w:val="16"/>
        </w:rPr>
        <w:t xml:space="preserve"> </w:t>
      </w:r>
      <w:r>
        <w:rPr>
          <w:color w:val="767070"/>
          <w:sz w:val="16"/>
        </w:rPr>
        <w:t>SKALA</w:t>
      </w:r>
      <w:r>
        <w:rPr>
          <w:color w:val="767070"/>
          <w:spacing w:val="-4"/>
          <w:sz w:val="16"/>
        </w:rPr>
        <w:t xml:space="preserve"> </w:t>
      </w:r>
      <w:r>
        <w:rPr>
          <w:color w:val="767070"/>
          <w:sz w:val="16"/>
        </w:rPr>
        <w:t>support</w:t>
      </w:r>
      <w:r>
        <w:rPr>
          <w:color w:val="767070"/>
          <w:spacing w:val="-5"/>
          <w:sz w:val="16"/>
        </w:rPr>
        <w:t xml:space="preserve"> </w:t>
      </w:r>
      <w:r>
        <w:rPr>
          <w:color w:val="767070"/>
          <w:sz w:val="16"/>
        </w:rPr>
        <w:t>activities.</w:t>
      </w:r>
      <w:r>
        <w:rPr>
          <w:color w:val="767070"/>
          <w:spacing w:val="-5"/>
          <w:sz w:val="16"/>
        </w:rPr>
        <w:t xml:space="preserve"> </w:t>
      </w:r>
      <w:r>
        <w:rPr>
          <w:color w:val="767070"/>
          <w:sz w:val="16"/>
        </w:rPr>
        <w:t>Headcount</w:t>
      </w:r>
      <w:r>
        <w:rPr>
          <w:color w:val="767070"/>
          <w:spacing w:val="-5"/>
          <w:sz w:val="16"/>
        </w:rPr>
        <w:t xml:space="preserve"> </w:t>
      </w:r>
      <w:r>
        <w:rPr>
          <w:color w:val="767070"/>
          <w:sz w:val="16"/>
        </w:rPr>
        <w:t>refers</w:t>
      </w:r>
      <w:r>
        <w:rPr>
          <w:color w:val="767070"/>
          <w:spacing w:val="-4"/>
          <w:sz w:val="16"/>
        </w:rPr>
        <w:t xml:space="preserve"> </w:t>
      </w:r>
      <w:r>
        <w:rPr>
          <w:color w:val="767070"/>
          <w:sz w:val="16"/>
        </w:rPr>
        <w:t>to</w:t>
      </w:r>
      <w:r>
        <w:rPr>
          <w:color w:val="767070"/>
          <w:spacing w:val="40"/>
          <w:sz w:val="16"/>
        </w:rPr>
        <w:t xml:space="preserve"> </w:t>
      </w:r>
      <w:r>
        <w:rPr>
          <w:color w:val="767070"/>
          <w:sz w:val="16"/>
        </w:rPr>
        <w:t>participants whose costs are covered by SKALA</w:t>
      </w:r>
    </w:p>
    <w:p w14:paraId="293D78EC" w14:textId="77777777" w:rsidR="00BC24A8" w:rsidRDefault="00BC24A8">
      <w:pPr>
        <w:rPr>
          <w:sz w:val="16"/>
        </w:rPr>
        <w:sectPr w:rsidR="00BC24A8">
          <w:type w:val="continuous"/>
          <w:pgSz w:w="11910" w:h="16840"/>
          <w:pgMar w:top="1920" w:right="850" w:bottom="280" w:left="1275" w:header="0" w:footer="907" w:gutter="0"/>
          <w:cols w:space="720"/>
        </w:sectPr>
      </w:pPr>
    </w:p>
    <w:p w14:paraId="3654C7C8" w14:textId="77777777" w:rsidR="00BC24A8" w:rsidRDefault="00000000">
      <w:pPr>
        <w:pStyle w:val="Heading5"/>
        <w:spacing w:before="39"/>
      </w:pPr>
      <w:r>
        <w:t>Overview</w:t>
      </w:r>
      <w:r>
        <w:rPr>
          <w:spacing w:val="-8"/>
        </w:rPr>
        <w:t xml:space="preserve"> </w:t>
      </w:r>
      <w:r>
        <w:t>of</w:t>
      </w:r>
      <w:r>
        <w:rPr>
          <w:spacing w:val="-8"/>
        </w:rPr>
        <w:t xml:space="preserve"> </w:t>
      </w:r>
      <w:r>
        <w:t>completed</w:t>
      </w:r>
      <w:r>
        <w:rPr>
          <w:spacing w:val="-8"/>
        </w:rPr>
        <w:t xml:space="preserve"> </w:t>
      </w:r>
      <w:r>
        <w:rPr>
          <w:spacing w:val="-2"/>
        </w:rPr>
        <w:t>outputs:</w:t>
      </w:r>
    </w:p>
    <w:p w14:paraId="6D811986" w14:textId="77777777" w:rsidR="00BC24A8" w:rsidRDefault="00000000">
      <w:pPr>
        <w:pStyle w:val="ListParagraph"/>
        <w:numPr>
          <w:ilvl w:val="1"/>
          <w:numId w:val="54"/>
        </w:numPr>
        <w:tabs>
          <w:tab w:val="left" w:pos="862"/>
        </w:tabs>
        <w:spacing w:before="159"/>
        <w:ind w:left="862" w:hanging="359"/>
      </w:pPr>
      <w:r>
        <w:t>DNA</w:t>
      </w:r>
      <w:r>
        <w:rPr>
          <w:spacing w:val="-3"/>
        </w:rPr>
        <w:t xml:space="preserve"> </w:t>
      </w:r>
      <w:r>
        <w:t>(Data</w:t>
      </w:r>
      <w:r>
        <w:rPr>
          <w:spacing w:val="-2"/>
        </w:rPr>
        <w:t xml:space="preserve"> </w:t>
      </w:r>
      <w:r>
        <w:t>and</w:t>
      </w:r>
      <w:r>
        <w:rPr>
          <w:spacing w:val="-2"/>
        </w:rPr>
        <w:t xml:space="preserve"> Analysis):</w:t>
      </w:r>
    </w:p>
    <w:p w14:paraId="0CBD09AB" w14:textId="77777777" w:rsidR="00BC24A8" w:rsidRDefault="00000000">
      <w:pPr>
        <w:pStyle w:val="ListParagraph"/>
        <w:numPr>
          <w:ilvl w:val="2"/>
          <w:numId w:val="54"/>
        </w:numPr>
        <w:tabs>
          <w:tab w:val="left" w:pos="1221"/>
          <w:tab w:val="left" w:pos="1223"/>
        </w:tabs>
        <w:spacing w:before="120" w:line="256" w:lineRule="auto"/>
        <w:ind w:right="563"/>
      </w:pPr>
      <w:r>
        <w:t>SKALA provides recommendations and technical inputs for Data governance supporting documents, namely: Standard Operating Procedures (SOPs), the One Data NTT Technical Guidelines, and the final draft of the One Data NTT Provincial Action Plan.</w:t>
      </w:r>
    </w:p>
    <w:p w14:paraId="4B288C75" w14:textId="77777777" w:rsidR="00BC24A8" w:rsidRDefault="00000000">
      <w:pPr>
        <w:pStyle w:val="ListParagraph"/>
        <w:numPr>
          <w:ilvl w:val="2"/>
          <w:numId w:val="54"/>
        </w:numPr>
        <w:tabs>
          <w:tab w:val="left" w:pos="1221"/>
          <w:tab w:val="left" w:pos="1223"/>
        </w:tabs>
        <w:spacing w:line="256" w:lineRule="auto"/>
        <w:ind w:right="563"/>
      </w:pPr>
      <w:r>
        <w:rPr>
          <w:spacing w:val="-2"/>
        </w:rPr>
        <w:t>SKALA</w:t>
      </w:r>
      <w:r>
        <w:rPr>
          <w:spacing w:val="-3"/>
        </w:rPr>
        <w:t xml:space="preserve"> </w:t>
      </w:r>
      <w:r>
        <w:rPr>
          <w:spacing w:val="-2"/>
        </w:rPr>
        <w:t>supports</w:t>
      </w:r>
      <w:r>
        <w:rPr>
          <w:spacing w:val="-3"/>
        </w:rPr>
        <w:t xml:space="preserve"> </w:t>
      </w:r>
      <w:r>
        <w:rPr>
          <w:spacing w:val="-2"/>
        </w:rPr>
        <w:t>data</w:t>
      </w:r>
      <w:r>
        <w:rPr>
          <w:spacing w:val="-5"/>
        </w:rPr>
        <w:t xml:space="preserve"> </w:t>
      </w:r>
      <w:r>
        <w:rPr>
          <w:spacing w:val="-2"/>
        </w:rPr>
        <w:t>governance</w:t>
      </w:r>
      <w:r>
        <w:rPr>
          <w:spacing w:val="-3"/>
        </w:rPr>
        <w:t xml:space="preserve"> </w:t>
      </w:r>
      <w:r>
        <w:rPr>
          <w:spacing w:val="-2"/>
        </w:rPr>
        <w:t>by</w:t>
      </w:r>
      <w:r>
        <w:rPr>
          <w:spacing w:val="-3"/>
        </w:rPr>
        <w:t xml:space="preserve"> </w:t>
      </w:r>
      <w:r>
        <w:rPr>
          <w:spacing w:val="-2"/>
        </w:rPr>
        <w:t>providing technical</w:t>
      </w:r>
      <w:r>
        <w:rPr>
          <w:spacing w:val="-5"/>
        </w:rPr>
        <w:t xml:space="preserve"> </w:t>
      </w:r>
      <w:r>
        <w:rPr>
          <w:spacing w:val="-2"/>
        </w:rPr>
        <w:t>recommendations</w:t>
      </w:r>
      <w:r>
        <w:rPr>
          <w:spacing w:val="-3"/>
        </w:rPr>
        <w:t xml:space="preserve"> </w:t>
      </w:r>
      <w:r>
        <w:rPr>
          <w:spacing w:val="-2"/>
        </w:rPr>
        <w:t>on</w:t>
      </w:r>
      <w:r>
        <w:rPr>
          <w:spacing w:val="-3"/>
        </w:rPr>
        <w:t xml:space="preserve"> </w:t>
      </w:r>
      <w:r>
        <w:rPr>
          <w:spacing w:val="-2"/>
        </w:rPr>
        <w:t>the</w:t>
      </w:r>
      <w:r>
        <w:rPr>
          <w:spacing w:val="-5"/>
        </w:rPr>
        <w:t xml:space="preserve"> </w:t>
      </w:r>
      <w:r>
        <w:rPr>
          <w:spacing w:val="-2"/>
        </w:rPr>
        <w:t>2025</w:t>
      </w:r>
      <w:r>
        <w:rPr>
          <w:spacing w:val="-3"/>
        </w:rPr>
        <w:t xml:space="preserve"> </w:t>
      </w:r>
      <w:r>
        <w:rPr>
          <w:spacing w:val="-2"/>
        </w:rPr>
        <w:t xml:space="preserve">Data </w:t>
      </w:r>
      <w:r>
        <w:t>List, accommodating MSS data and the Governor’s 10 Priorities. The development of the Sasando Data Portal was completed during this period and is now publicly accessible.</w:t>
      </w:r>
    </w:p>
    <w:p w14:paraId="6DA14C34" w14:textId="77777777" w:rsidR="00BC24A8" w:rsidRDefault="00000000">
      <w:pPr>
        <w:pStyle w:val="ListParagraph"/>
        <w:numPr>
          <w:ilvl w:val="1"/>
          <w:numId w:val="54"/>
        </w:numPr>
        <w:tabs>
          <w:tab w:val="left" w:pos="862"/>
        </w:tabs>
        <w:spacing w:before="242"/>
        <w:ind w:left="862" w:hanging="359"/>
      </w:pPr>
      <w:r>
        <w:t>MSS</w:t>
      </w:r>
      <w:r>
        <w:rPr>
          <w:spacing w:val="42"/>
        </w:rPr>
        <w:t xml:space="preserve"> </w:t>
      </w:r>
      <w:r>
        <w:t>(Minimum</w:t>
      </w:r>
      <w:r>
        <w:rPr>
          <w:spacing w:val="-5"/>
        </w:rPr>
        <w:t xml:space="preserve"> </w:t>
      </w:r>
      <w:r>
        <w:t>Service</w:t>
      </w:r>
      <w:r>
        <w:rPr>
          <w:spacing w:val="-1"/>
        </w:rPr>
        <w:t xml:space="preserve"> </w:t>
      </w:r>
      <w:r>
        <w:rPr>
          <w:spacing w:val="-2"/>
        </w:rPr>
        <w:t>Standards):</w:t>
      </w:r>
    </w:p>
    <w:p w14:paraId="5FF54FB7" w14:textId="77777777" w:rsidR="00BC24A8" w:rsidRDefault="00000000">
      <w:pPr>
        <w:pStyle w:val="ListParagraph"/>
        <w:numPr>
          <w:ilvl w:val="2"/>
          <w:numId w:val="54"/>
        </w:numPr>
        <w:tabs>
          <w:tab w:val="left" w:pos="1221"/>
          <w:tab w:val="left" w:pos="1223"/>
        </w:tabs>
        <w:spacing w:before="118" w:line="256" w:lineRule="auto"/>
        <w:ind w:right="564"/>
      </w:pPr>
      <w:r>
        <w:t>SKALA has provided technical recommendations for the preparation of the MSS Action Plan</w:t>
      </w:r>
      <w:hyperlink w:anchor="_bookmark139" w:history="1">
        <w:r w:rsidR="00BC24A8">
          <w:rPr>
            <w:vertAlign w:val="superscript"/>
          </w:rPr>
          <w:t>68</w:t>
        </w:r>
      </w:hyperlink>
      <w:r>
        <w:t xml:space="preserve"> and, together with the Provincial MSS Implementation Team, conducted coordination, guidance, monitoring and supervision (</w:t>
      </w:r>
      <w:r>
        <w:rPr>
          <w:i/>
        </w:rPr>
        <w:t>Korbinwas</w:t>
      </w:r>
      <w:r>
        <w:t>) on MSS implementation.</w:t>
      </w:r>
    </w:p>
    <w:p w14:paraId="60FFFDD0" w14:textId="77777777" w:rsidR="00BC24A8" w:rsidRDefault="00000000">
      <w:pPr>
        <w:pStyle w:val="ListParagraph"/>
        <w:numPr>
          <w:ilvl w:val="2"/>
          <w:numId w:val="54"/>
        </w:numPr>
        <w:tabs>
          <w:tab w:val="left" w:pos="1223"/>
        </w:tabs>
        <w:spacing w:before="2" w:line="254" w:lineRule="auto"/>
        <w:ind w:right="563" w:hanging="360"/>
      </w:pPr>
      <w:r>
        <w:t>SKALA</w:t>
      </w:r>
      <w:r>
        <w:rPr>
          <w:spacing w:val="-13"/>
        </w:rPr>
        <w:t xml:space="preserve"> </w:t>
      </w:r>
      <w:r>
        <w:t>also</w:t>
      </w:r>
      <w:r>
        <w:rPr>
          <w:spacing w:val="-12"/>
        </w:rPr>
        <w:t xml:space="preserve"> </w:t>
      </w:r>
      <w:r>
        <w:t>provided</w:t>
      </w:r>
      <w:r>
        <w:rPr>
          <w:spacing w:val="-12"/>
        </w:rPr>
        <w:t xml:space="preserve"> </w:t>
      </w:r>
      <w:r>
        <w:t>technical</w:t>
      </w:r>
      <w:r>
        <w:rPr>
          <w:spacing w:val="-12"/>
        </w:rPr>
        <w:t xml:space="preserve"> </w:t>
      </w:r>
      <w:r>
        <w:t>input</w:t>
      </w:r>
      <w:r>
        <w:rPr>
          <w:spacing w:val="-13"/>
        </w:rPr>
        <w:t xml:space="preserve"> </w:t>
      </w:r>
      <w:r>
        <w:t>for</w:t>
      </w:r>
      <w:r>
        <w:rPr>
          <w:spacing w:val="-11"/>
        </w:rPr>
        <w:t xml:space="preserve"> </w:t>
      </w:r>
      <w:r>
        <w:t>the</w:t>
      </w:r>
      <w:r>
        <w:rPr>
          <w:spacing w:val="-13"/>
        </w:rPr>
        <w:t xml:space="preserve"> </w:t>
      </w:r>
      <w:r>
        <w:t>draft</w:t>
      </w:r>
      <w:r>
        <w:rPr>
          <w:spacing w:val="-11"/>
        </w:rPr>
        <w:t xml:space="preserve"> </w:t>
      </w:r>
      <w:r>
        <w:t>Regional</w:t>
      </w:r>
      <w:r>
        <w:rPr>
          <w:spacing w:val="-13"/>
        </w:rPr>
        <w:t xml:space="preserve"> </w:t>
      </w:r>
      <w:r>
        <w:t>Medium-Term</w:t>
      </w:r>
      <w:r>
        <w:rPr>
          <w:spacing w:val="-11"/>
        </w:rPr>
        <w:t xml:space="preserve"> </w:t>
      </w:r>
      <w:r>
        <w:t>Development</w:t>
      </w:r>
      <w:r>
        <w:rPr>
          <w:spacing w:val="-13"/>
        </w:rPr>
        <w:t xml:space="preserve"> </w:t>
      </w:r>
      <w:r>
        <w:t>Plan (RPJMD) 2025–2029</w:t>
      </w:r>
      <w:hyperlink w:anchor="_bookmark140" w:history="1">
        <w:r w:rsidR="00BC24A8">
          <w:rPr>
            <w:vertAlign w:val="superscript"/>
          </w:rPr>
          <w:t>69</w:t>
        </w:r>
      </w:hyperlink>
      <w:r>
        <w:t xml:space="preserve"> and the Regional Government Work Plan (RKPD) 2026 to ensure a stronger orientation toward inclusive basic services.</w:t>
      </w:r>
    </w:p>
    <w:p w14:paraId="57B908B3" w14:textId="77777777" w:rsidR="00BC24A8" w:rsidRDefault="00000000">
      <w:pPr>
        <w:pStyle w:val="ListParagraph"/>
        <w:numPr>
          <w:ilvl w:val="1"/>
          <w:numId w:val="54"/>
        </w:numPr>
        <w:tabs>
          <w:tab w:val="left" w:pos="862"/>
        </w:tabs>
        <w:spacing w:before="249"/>
        <w:ind w:left="862" w:hanging="359"/>
      </w:pPr>
      <w:r>
        <w:t>PFM</w:t>
      </w:r>
      <w:r>
        <w:rPr>
          <w:spacing w:val="-3"/>
        </w:rPr>
        <w:t xml:space="preserve"> </w:t>
      </w:r>
      <w:r>
        <w:t>(Public</w:t>
      </w:r>
      <w:r>
        <w:rPr>
          <w:spacing w:val="-4"/>
        </w:rPr>
        <w:t xml:space="preserve"> </w:t>
      </w:r>
      <w:r>
        <w:t>Financial</w:t>
      </w:r>
      <w:r>
        <w:rPr>
          <w:spacing w:val="-4"/>
        </w:rPr>
        <w:t xml:space="preserve"> </w:t>
      </w:r>
      <w:r>
        <w:rPr>
          <w:spacing w:val="-2"/>
        </w:rPr>
        <w:t>Management)</w:t>
      </w:r>
    </w:p>
    <w:p w14:paraId="708FA9B2" w14:textId="77777777" w:rsidR="00BC24A8" w:rsidRDefault="00000000">
      <w:pPr>
        <w:pStyle w:val="ListParagraph"/>
        <w:numPr>
          <w:ilvl w:val="2"/>
          <w:numId w:val="54"/>
        </w:numPr>
        <w:tabs>
          <w:tab w:val="left" w:pos="1221"/>
          <w:tab w:val="left" w:pos="1223"/>
        </w:tabs>
        <w:spacing w:before="120" w:line="254" w:lineRule="auto"/>
        <w:ind w:right="563"/>
      </w:pPr>
      <w:r>
        <w:t>SKALA provided technical recommendations on draft local regulations related to Regional Taxes and Levies (PDRD), including a draft Governor Regulation on motor vehicle tax relief for persons with disabilities.</w:t>
      </w:r>
    </w:p>
    <w:p w14:paraId="526DF65E" w14:textId="77777777" w:rsidR="00BC24A8" w:rsidRDefault="00000000">
      <w:pPr>
        <w:pStyle w:val="ListParagraph"/>
        <w:numPr>
          <w:ilvl w:val="1"/>
          <w:numId w:val="54"/>
        </w:numPr>
        <w:tabs>
          <w:tab w:val="left" w:pos="863"/>
        </w:tabs>
        <w:spacing w:before="248"/>
        <w:jc w:val="left"/>
      </w:pPr>
      <w:r>
        <w:t>Gender</w:t>
      </w:r>
      <w:r>
        <w:rPr>
          <w:spacing w:val="-3"/>
        </w:rPr>
        <w:t xml:space="preserve"> </w:t>
      </w:r>
      <w:r>
        <w:t>Equality,</w:t>
      </w:r>
      <w:r>
        <w:rPr>
          <w:spacing w:val="-3"/>
        </w:rPr>
        <w:t xml:space="preserve"> </w:t>
      </w:r>
      <w:r>
        <w:t>Disability,</w:t>
      </w:r>
      <w:r>
        <w:rPr>
          <w:spacing w:val="-5"/>
        </w:rPr>
        <w:t xml:space="preserve"> </w:t>
      </w:r>
      <w:r>
        <w:t>and</w:t>
      </w:r>
      <w:r>
        <w:rPr>
          <w:spacing w:val="-3"/>
        </w:rPr>
        <w:t xml:space="preserve"> </w:t>
      </w:r>
      <w:r>
        <w:t>Social</w:t>
      </w:r>
      <w:r>
        <w:rPr>
          <w:spacing w:val="-5"/>
        </w:rPr>
        <w:t xml:space="preserve"> </w:t>
      </w:r>
      <w:r>
        <w:t>Inclusion</w:t>
      </w:r>
      <w:r>
        <w:rPr>
          <w:spacing w:val="-5"/>
        </w:rPr>
        <w:t xml:space="preserve"> </w:t>
      </w:r>
      <w:r>
        <w:rPr>
          <w:spacing w:val="-2"/>
        </w:rPr>
        <w:t>(GEDSI):</w:t>
      </w:r>
    </w:p>
    <w:p w14:paraId="5F9152C8" w14:textId="77777777" w:rsidR="00BC24A8" w:rsidRDefault="00000000">
      <w:pPr>
        <w:pStyle w:val="ListParagraph"/>
        <w:numPr>
          <w:ilvl w:val="2"/>
          <w:numId w:val="54"/>
        </w:numPr>
        <w:tabs>
          <w:tab w:val="left" w:pos="1223"/>
        </w:tabs>
        <w:spacing w:before="120" w:line="254" w:lineRule="auto"/>
        <w:ind w:right="562" w:hanging="360"/>
      </w:pPr>
      <w:r>
        <w:t>SKALA,</w:t>
      </w:r>
      <w:r>
        <w:rPr>
          <w:spacing w:val="-13"/>
        </w:rPr>
        <w:t xml:space="preserve"> </w:t>
      </w:r>
      <w:r>
        <w:t>together</w:t>
      </w:r>
      <w:r>
        <w:rPr>
          <w:spacing w:val="-12"/>
        </w:rPr>
        <w:t xml:space="preserve"> </w:t>
      </w:r>
      <w:r>
        <w:t>with</w:t>
      </w:r>
      <w:r>
        <w:rPr>
          <w:spacing w:val="-13"/>
        </w:rPr>
        <w:t xml:space="preserve"> </w:t>
      </w:r>
      <w:r>
        <w:t>the</w:t>
      </w:r>
      <w:r>
        <w:rPr>
          <w:spacing w:val="-12"/>
        </w:rPr>
        <w:t xml:space="preserve"> </w:t>
      </w:r>
      <w:r>
        <w:t>Provincial</w:t>
      </w:r>
      <w:r>
        <w:rPr>
          <w:spacing w:val="-13"/>
        </w:rPr>
        <w:t xml:space="preserve"> </w:t>
      </w:r>
      <w:r>
        <w:t>Government,</w:t>
      </w:r>
      <w:r>
        <w:rPr>
          <w:spacing w:val="-12"/>
        </w:rPr>
        <w:t xml:space="preserve"> </w:t>
      </w:r>
      <w:r>
        <w:t>CSOs,</w:t>
      </w:r>
      <w:r>
        <w:rPr>
          <w:spacing w:val="-13"/>
        </w:rPr>
        <w:t xml:space="preserve"> </w:t>
      </w:r>
      <w:r>
        <w:t>and</w:t>
      </w:r>
      <w:r>
        <w:rPr>
          <w:spacing w:val="-12"/>
        </w:rPr>
        <w:t xml:space="preserve"> </w:t>
      </w:r>
      <w:r>
        <w:t>disabled</w:t>
      </w:r>
      <w:r>
        <w:rPr>
          <w:spacing w:val="-12"/>
        </w:rPr>
        <w:t xml:space="preserve"> </w:t>
      </w:r>
      <w:r>
        <w:t>people’s</w:t>
      </w:r>
      <w:r>
        <w:rPr>
          <w:spacing w:val="-13"/>
        </w:rPr>
        <w:t xml:space="preserve"> </w:t>
      </w:r>
      <w:r>
        <w:t>organisations (DPOs), finalised the Facilitation Guide for Inclusive Development Planning (</w:t>
      </w:r>
      <w:r>
        <w:rPr>
          <w:i/>
        </w:rPr>
        <w:t>Musrenbang</w:t>
      </w:r>
      <w:r>
        <w:t>) for Vulnerable Groups (MUSIK KEREN).</w:t>
      </w:r>
    </w:p>
    <w:p w14:paraId="6521AC4E" w14:textId="77777777" w:rsidR="00BC24A8" w:rsidRDefault="00000000">
      <w:pPr>
        <w:pStyle w:val="ListParagraph"/>
        <w:numPr>
          <w:ilvl w:val="2"/>
          <w:numId w:val="54"/>
        </w:numPr>
        <w:tabs>
          <w:tab w:val="left" w:pos="1223"/>
        </w:tabs>
        <w:spacing w:before="8" w:line="252" w:lineRule="auto"/>
        <w:ind w:right="561" w:hanging="360"/>
      </w:pPr>
      <w:r>
        <w:t>SKALA provided technical recommendations on local policies for institutionalising cross- stakeholder collaboration models through inclusive planning forums.</w:t>
      </w:r>
    </w:p>
    <w:p w14:paraId="57DC0A85" w14:textId="77777777" w:rsidR="00BC24A8" w:rsidRDefault="00000000">
      <w:pPr>
        <w:pStyle w:val="ListParagraph"/>
        <w:numPr>
          <w:ilvl w:val="2"/>
          <w:numId w:val="54"/>
        </w:numPr>
        <w:tabs>
          <w:tab w:val="left" w:pos="1221"/>
          <w:tab w:val="left" w:pos="1223"/>
        </w:tabs>
        <w:spacing w:before="10" w:line="249" w:lineRule="auto"/>
        <w:ind w:right="562"/>
      </w:pPr>
      <w:r>
        <w:t>SKALA also</w:t>
      </w:r>
      <w:r>
        <w:rPr>
          <w:spacing w:val="-1"/>
        </w:rPr>
        <w:t xml:space="preserve"> </w:t>
      </w:r>
      <w:r>
        <w:t>provided technical recommendations on the draft Regional Action</w:t>
      </w:r>
      <w:r>
        <w:rPr>
          <w:spacing w:val="-1"/>
        </w:rPr>
        <w:t xml:space="preserve"> </w:t>
      </w:r>
      <w:r>
        <w:t>Plan</w:t>
      </w:r>
      <w:r>
        <w:rPr>
          <w:spacing w:val="-1"/>
        </w:rPr>
        <w:t xml:space="preserve"> </w:t>
      </w:r>
      <w:r>
        <w:t xml:space="preserve">for The Elderly (RAD </w:t>
      </w:r>
      <w:r>
        <w:rPr>
          <w:i/>
        </w:rPr>
        <w:t>Kelanjutusiaan</w:t>
      </w:r>
      <w:r>
        <w:t>).</w:t>
      </w:r>
    </w:p>
    <w:p w14:paraId="2F8C7685" w14:textId="77777777" w:rsidR="00BC24A8" w:rsidRDefault="00BC24A8">
      <w:pPr>
        <w:pStyle w:val="BodyText"/>
      </w:pPr>
    </w:p>
    <w:p w14:paraId="3AAB9CDD" w14:textId="77777777" w:rsidR="00BC24A8" w:rsidRDefault="00BC24A8">
      <w:pPr>
        <w:pStyle w:val="BodyText"/>
        <w:spacing w:before="6"/>
      </w:pPr>
    </w:p>
    <w:p w14:paraId="64ADAE3D" w14:textId="77777777" w:rsidR="00BC24A8" w:rsidRDefault="00000000">
      <w:pPr>
        <w:pStyle w:val="BodyText"/>
        <w:ind w:left="143"/>
        <w:rPr>
          <w:rFonts w:ascii="Calibri"/>
        </w:rPr>
      </w:pPr>
      <w:r>
        <w:rPr>
          <w:rFonts w:ascii="Calibri"/>
          <w:color w:val="272727"/>
        </w:rPr>
        <w:t>Summary</w:t>
      </w:r>
      <w:r>
        <w:rPr>
          <w:rFonts w:ascii="Calibri"/>
          <w:color w:val="272727"/>
          <w:spacing w:val="-6"/>
        </w:rPr>
        <w:t xml:space="preserve"> </w:t>
      </w:r>
      <w:r>
        <w:rPr>
          <w:rFonts w:ascii="Calibri"/>
          <w:color w:val="272727"/>
        </w:rPr>
        <w:t>of</w:t>
      </w:r>
      <w:r>
        <w:rPr>
          <w:rFonts w:ascii="Calibri"/>
          <w:color w:val="272727"/>
          <w:spacing w:val="-8"/>
        </w:rPr>
        <w:t xml:space="preserve"> </w:t>
      </w:r>
      <w:r>
        <w:rPr>
          <w:rFonts w:ascii="Calibri"/>
          <w:color w:val="272727"/>
        </w:rPr>
        <w:t>results</w:t>
      </w:r>
      <w:r>
        <w:rPr>
          <w:rFonts w:ascii="Calibri"/>
          <w:color w:val="272727"/>
          <w:spacing w:val="-6"/>
        </w:rPr>
        <w:t xml:space="preserve"> </w:t>
      </w:r>
      <w:r>
        <w:rPr>
          <w:rFonts w:ascii="Calibri"/>
          <w:color w:val="272727"/>
        </w:rPr>
        <w:t>at</w:t>
      </w:r>
      <w:r>
        <w:rPr>
          <w:rFonts w:ascii="Calibri"/>
          <w:color w:val="272727"/>
          <w:spacing w:val="-8"/>
        </w:rPr>
        <w:t xml:space="preserve"> </w:t>
      </w:r>
      <w:r>
        <w:rPr>
          <w:rFonts w:ascii="Calibri"/>
          <w:color w:val="272727"/>
        </w:rPr>
        <w:t>the</w:t>
      </w:r>
      <w:r>
        <w:rPr>
          <w:rFonts w:ascii="Calibri"/>
          <w:color w:val="272727"/>
          <w:spacing w:val="-5"/>
        </w:rPr>
        <w:t xml:space="preserve"> </w:t>
      </w:r>
      <w:r>
        <w:rPr>
          <w:rFonts w:ascii="Calibri"/>
          <w:color w:val="272727"/>
        </w:rPr>
        <w:t>Intermediate</w:t>
      </w:r>
      <w:r>
        <w:rPr>
          <w:rFonts w:ascii="Calibri"/>
          <w:color w:val="272727"/>
          <w:spacing w:val="-8"/>
        </w:rPr>
        <w:t xml:space="preserve"> </w:t>
      </w:r>
      <w:r>
        <w:rPr>
          <w:rFonts w:ascii="Calibri"/>
          <w:color w:val="272727"/>
        </w:rPr>
        <w:t>Outcome</w:t>
      </w:r>
      <w:r>
        <w:rPr>
          <w:rFonts w:ascii="Calibri"/>
          <w:color w:val="272727"/>
          <w:spacing w:val="-5"/>
        </w:rPr>
        <w:t xml:space="preserve"> </w:t>
      </w:r>
      <w:r>
        <w:rPr>
          <w:rFonts w:ascii="Calibri"/>
          <w:color w:val="272727"/>
          <w:spacing w:val="-2"/>
        </w:rPr>
        <w:t>level</w:t>
      </w:r>
    </w:p>
    <w:p w14:paraId="76023FD6" w14:textId="77777777" w:rsidR="00BC24A8" w:rsidRDefault="00000000">
      <w:pPr>
        <w:spacing w:before="22"/>
        <w:ind w:left="143"/>
        <w:rPr>
          <w:rFonts w:ascii="Calibri"/>
          <w:b/>
        </w:rPr>
      </w:pPr>
      <w:r>
        <w:rPr>
          <w:rFonts w:ascii="Calibri"/>
          <w:b/>
          <w:color w:val="17365A"/>
        </w:rPr>
        <w:t>Data</w:t>
      </w:r>
      <w:r>
        <w:rPr>
          <w:rFonts w:ascii="Calibri"/>
          <w:b/>
          <w:color w:val="17365A"/>
          <w:spacing w:val="-4"/>
        </w:rPr>
        <w:t xml:space="preserve"> </w:t>
      </w:r>
      <w:r>
        <w:rPr>
          <w:rFonts w:ascii="Calibri"/>
          <w:b/>
          <w:color w:val="17365A"/>
        </w:rPr>
        <w:t>availability,</w:t>
      </w:r>
      <w:r>
        <w:rPr>
          <w:rFonts w:ascii="Calibri"/>
          <w:b/>
          <w:color w:val="17365A"/>
          <w:spacing w:val="-1"/>
        </w:rPr>
        <w:t xml:space="preserve"> </w:t>
      </w:r>
      <w:r>
        <w:rPr>
          <w:rFonts w:ascii="Calibri"/>
          <w:b/>
          <w:color w:val="17365A"/>
        </w:rPr>
        <w:t>management,</w:t>
      </w:r>
      <w:r>
        <w:rPr>
          <w:rFonts w:ascii="Calibri"/>
          <w:b/>
          <w:color w:val="17365A"/>
          <w:spacing w:val="-1"/>
        </w:rPr>
        <w:t xml:space="preserve"> </w:t>
      </w:r>
      <w:r>
        <w:rPr>
          <w:rFonts w:ascii="Calibri"/>
          <w:b/>
          <w:color w:val="17365A"/>
        </w:rPr>
        <w:t>and</w:t>
      </w:r>
      <w:r>
        <w:rPr>
          <w:rFonts w:ascii="Calibri"/>
          <w:b/>
          <w:color w:val="17365A"/>
          <w:spacing w:val="-3"/>
        </w:rPr>
        <w:t xml:space="preserve"> </w:t>
      </w:r>
      <w:r>
        <w:rPr>
          <w:rFonts w:ascii="Calibri"/>
          <w:b/>
          <w:color w:val="17365A"/>
        </w:rPr>
        <w:t>utilisation</w:t>
      </w:r>
      <w:r>
        <w:rPr>
          <w:rFonts w:ascii="Calibri"/>
          <w:b/>
          <w:color w:val="17365A"/>
          <w:spacing w:val="-2"/>
        </w:rPr>
        <w:t xml:space="preserve"> </w:t>
      </w:r>
      <w:r>
        <w:rPr>
          <w:rFonts w:ascii="Calibri"/>
          <w:b/>
          <w:color w:val="17365A"/>
        </w:rPr>
        <w:t>to</w:t>
      </w:r>
      <w:r>
        <w:rPr>
          <w:rFonts w:ascii="Calibri"/>
          <w:b/>
          <w:color w:val="17365A"/>
          <w:spacing w:val="-3"/>
        </w:rPr>
        <w:t xml:space="preserve"> </w:t>
      </w:r>
      <w:r>
        <w:rPr>
          <w:rFonts w:ascii="Calibri"/>
          <w:b/>
          <w:color w:val="17365A"/>
        </w:rPr>
        <w:t>improve</w:t>
      </w:r>
      <w:r>
        <w:rPr>
          <w:rFonts w:ascii="Calibri"/>
          <w:b/>
          <w:color w:val="17365A"/>
          <w:spacing w:val="-3"/>
        </w:rPr>
        <w:t xml:space="preserve"> </w:t>
      </w:r>
      <w:r>
        <w:rPr>
          <w:rFonts w:ascii="Calibri"/>
          <w:b/>
          <w:color w:val="17365A"/>
        </w:rPr>
        <w:t>evidence-based</w:t>
      </w:r>
      <w:r>
        <w:rPr>
          <w:rFonts w:ascii="Calibri"/>
          <w:b/>
          <w:color w:val="17365A"/>
          <w:spacing w:val="-2"/>
        </w:rPr>
        <w:t xml:space="preserve"> </w:t>
      </w:r>
      <w:r>
        <w:rPr>
          <w:rFonts w:ascii="Calibri"/>
          <w:b/>
          <w:color w:val="17365A"/>
        </w:rPr>
        <w:t>planning</w:t>
      </w:r>
      <w:r>
        <w:rPr>
          <w:rFonts w:ascii="Calibri"/>
          <w:b/>
          <w:color w:val="17365A"/>
          <w:spacing w:val="-1"/>
        </w:rPr>
        <w:t xml:space="preserve"> </w:t>
      </w:r>
      <w:r>
        <w:rPr>
          <w:rFonts w:ascii="Calibri"/>
          <w:b/>
          <w:color w:val="17365A"/>
        </w:rPr>
        <w:t>processes</w:t>
      </w:r>
      <w:r>
        <w:rPr>
          <w:rFonts w:ascii="Calibri"/>
          <w:b/>
          <w:color w:val="17365A"/>
          <w:spacing w:val="-2"/>
        </w:rPr>
        <w:t xml:space="preserve"> </w:t>
      </w:r>
      <w:r>
        <w:rPr>
          <w:rFonts w:ascii="Calibri"/>
          <w:b/>
          <w:color w:val="17365A"/>
        </w:rPr>
        <w:t>(IO</w:t>
      </w:r>
      <w:r>
        <w:rPr>
          <w:rFonts w:ascii="Calibri"/>
          <w:b/>
          <w:color w:val="17365A"/>
          <w:spacing w:val="-4"/>
        </w:rPr>
        <w:t xml:space="preserve"> </w:t>
      </w:r>
      <w:r>
        <w:rPr>
          <w:rFonts w:ascii="Calibri"/>
          <w:b/>
          <w:color w:val="17365A"/>
          <w:spacing w:val="-10"/>
        </w:rPr>
        <w:t>5</w:t>
      </w:r>
    </w:p>
    <w:p w14:paraId="4F57E13D" w14:textId="77777777" w:rsidR="00BC24A8" w:rsidRDefault="00000000">
      <w:pPr>
        <w:ind w:left="143"/>
        <w:rPr>
          <w:rFonts w:ascii="Calibri"/>
          <w:b/>
        </w:rPr>
      </w:pPr>
      <w:r>
        <w:rPr>
          <w:rFonts w:ascii="Calibri"/>
          <w:b/>
          <w:color w:val="17365A"/>
        </w:rPr>
        <w:t>and</w:t>
      </w:r>
      <w:r>
        <w:rPr>
          <w:rFonts w:ascii="Calibri"/>
          <w:b/>
          <w:color w:val="17365A"/>
          <w:spacing w:val="-5"/>
        </w:rPr>
        <w:t xml:space="preserve"> 9)</w:t>
      </w:r>
    </w:p>
    <w:p w14:paraId="7968BB98" w14:textId="77777777" w:rsidR="00BC24A8" w:rsidRDefault="00000000">
      <w:pPr>
        <w:spacing w:before="159"/>
        <w:ind w:left="143"/>
        <w:rPr>
          <w:rFonts w:ascii="Calibri"/>
          <w:b/>
        </w:rPr>
      </w:pPr>
      <w:r>
        <w:rPr>
          <w:rFonts w:ascii="Calibri"/>
          <w:b/>
        </w:rPr>
        <w:t>Results</w:t>
      </w:r>
      <w:r>
        <w:rPr>
          <w:rFonts w:ascii="Calibri"/>
          <w:b/>
          <w:spacing w:val="-6"/>
        </w:rPr>
        <w:t xml:space="preserve"> </w:t>
      </w:r>
      <w:r>
        <w:rPr>
          <w:rFonts w:ascii="Calibri"/>
          <w:b/>
        </w:rPr>
        <w:t>of</w:t>
      </w:r>
      <w:r>
        <w:rPr>
          <w:rFonts w:ascii="Calibri"/>
          <w:b/>
          <w:spacing w:val="-5"/>
        </w:rPr>
        <w:t xml:space="preserve"> </w:t>
      </w:r>
      <w:r>
        <w:rPr>
          <w:rFonts w:ascii="Calibri"/>
          <w:b/>
        </w:rPr>
        <w:t>SKALA</w:t>
      </w:r>
      <w:r>
        <w:rPr>
          <w:rFonts w:ascii="Calibri"/>
          <w:b/>
          <w:spacing w:val="-6"/>
        </w:rPr>
        <w:t xml:space="preserve"> </w:t>
      </w:r>
      <w:r>
        <w:rPr>
          <w:rFonts w:ascii="Calibri"/>
          <w:b/>
        </w:rPr>
        <w:t>support</w:t>
      </w:r>
      <w:r>
        <w:rPr>
          <w:rFonts w:ascii="Calibri"/>
          <w:b/>
          <w:spacing w:val="-4"/>
        </w:rPr>
        <w:t xml:space="preserve"> </w:t>
      </w:r>
      <w:r>
        <w:rPr>
          <w:rFonts w:ascii="Calibri"/>
          <w:b/>
        </w:rPr>
        <w:t>in</w:t>
      </w:r>
      <w:r>
        <w:rPr>
          <w:rFonts w:ascii="Calibri"/>
          <w:b/>
          <w:spacing w:val="-6"/>
        </w:rPr>
        <w:t xml:space="preserve"> </w:t>
      </w:r>
      <w:r>
        <w:rPr>
          <w:rFonts w:ascii="Calibri"/>
          <w:b/>
        </w:rPr>
        <w:t>improving</w:t>
      </w:r>
      <w:r>
        <w:rPr>
          <w:rFonts w:ascii="Calibri"/>
          <w:b/>
          <w:spacing w:val="-3"/>
        </w:rPr>
        <w:t xml:space="preserve"> </w:t>
      </w:r>
      <w:r>
        <w:rPr>
          <w:rFonts w:ascii="Calibri"/>
          <w:b/>
        </w:rPr>
        <w:t>the</w:t>
      </w:r>
      <w:r>
        <w:rPr>
          <w:rFonts w:ascii="Calibri"/>
          <w:b/>
          <w:spacing w:val="-6"/>
        </w:rPr>
        <w:t xml:space="preserve"> </w:t>
      </w:r>
      <w:r>
        <w:rPr>
          <w:rFonts w:ascii="Calibri"/>
          <w:b/>
        </w:rPr>
        <w:t>quality</w:t>
      </w:r>
      <w:r>
        <w:rPr>
          <w:rFonts w:ascii="Calibri"/>
          <w:b/>
          <w:spacing w:val="-5"/>
        </w:rPr>
        <w:t xml:space="preserve"> </w:t>
      </w:r>
      <w:r>
        <w:rPr>
          <w:rFonts w:ascii="Calibri"/>
          <w:b/>
        </w:rPr>
        <w:t>of</w:t>
      </w:r>
      <w:r>
        <w:rPr>
          <w:rFonts w:ascii="Calibri"/>
          <w:b/>
          <w:spacing w:val="-7"/>
        </w:rPr>
        <w:t xml:space="preserve"> </w:t>
      </w:r>
      <w:r>
        <w:rPr>
          <w:rFonts w:ascii="Calibri"/>
          <w:b/>
        </w:rPr>
        <w:t>data</w:t>
      </w:r>
      <w:r>
        <w:rPr>
          <w:rFonts w:ascii="Calibri"/>
          <w:b/>
          <w:spacing w:val="-5"/>
        </w:rPr>
        <w:t xml:space="preserve"> </w:t>
      </w:r>
      <w:r>
        <w:rPr>
          <w:rFonts w:ascii="Calibri"/>
          <w:b/>
          <w:spacing w:val="-2"/>
        </w:rPr>
        <w:t>governance:</w:t>
      </w:r>
    </w:p>
    <w:p w14:paraId="41F1BFA3" w14:textId="77777777" w:rsidR="00BC24A8" w:rsidRDefault="00000000">
      <w:pPr>
        <w:pStyle w:val="ListParagraph"/>
        <w:numPr>
          <w:ilvl w:val="1"/>
          <w:numId w:val="54"/>
        </w:numPr>
        <w:tabs>
          <w:tab w:val="left" w:pos="861"/>
          <w:tab w:val="left" w:pos="863"/>
        </w:tabs>
        <w:spacing w:before="159"/>
        <w:ind w:right="565" w:hanging="361"/>
      </w:pPr>
      <w:r>
        <w:t>The One Data Forum produced policy instruments that have been endorsed, namely the SOP, One Data Technical Guidelines, and Data List 2025.</w:t>
      </w:r>
    </w:p>
    <w:p w14:paraId="7251AF25" w14:textId="77777777" w:rsidR="00BC24A8" w:rsidRDefault="00000000">
      <w:pPr>
        <w:pStyle w:val="ListParagraph"/>
        <w:numPr>
          <w:ilvl w:val="1"/>
          <w:numId w:val="54"/>
        </w:numPr>
        <w:tabs>
          <w:tab w:val="left" w:pos="861"/>
          <w:tab w:val="left" w:pos="863"/>
        </w:tabs>
        <w:ind w:right="562" w:hanging="361"/>
      </w:pPr>
      <w:r>
        <w:t>The Provincial Government</w:t>
      </w:r>
      <w:r>
        <w:rPr>
          <w:spacing w:val="-2"/>
        </w:rPr>
        <w:t xml:space="preserve"> </w:t>
      </w:r>
      <w:r>
        <w:t>has appointed</w:t>
      </w:r>
      <w:r>
        <w:rPr>
          <w:spacing w:val="-1"/>
        </w:rPr>
        <w:t xml:space="preserve"> </w:t>
      </w:r>
      <w:r>
        <w:t>40 civil servants (ASNs) from 40 Regional Apparatus as SASANDO managers. The SASANDO Portal Operator Team was established through a Governor’s Decree in 2025.</w:t>
      </w:r>
    </w:p>
    <w:p w14:paraId="42B923F7" w14:textId="77777777" w:rsidR="00BC24A8" w:rsidRDefault="00BC24A8">
      <w:pPr>
        <w:pStyle w:val="BodyText"/>
        <w:rPr>
          <w:sz w:val="20"/>
        </w:rPr>
      </w:pPr>
    </w:p>
    <w:p w14:paraId="53A58895" w14:textId="77777777" w:rsidR="00BC24A8" w:rsidRDefault="00000000">
      <w:pPr>
        <w:pStyle w:val="BodyText"/>
        <w:spacing w:before="63"/>
        <w:rPr>
          <w:sz w:val="20"/>
        </w:rPr>
      </w:pPr>
      <w:r>
        <w:rPr>
          <w:noProof/>
          <w:sz w:val="20"/>
        </w:rPr>
        <mc:AlternateContent>
          <mc:Choice Requires="wps">
            <w:drawing>
              <wp:anchor distT="0" distB="0" distL="0" distR="0" simplePos="0" relativeHeight="487625216" behindDoc="1" locked="0" layoutInCell="1" allowOverlap="1" wp14:anchorId="10E0D365" wp14:editId="3B305E9D">
                <wp:simplePos x="0" y="0"/>
                <wp:positionH relativeFrom="page">
                  <wp:posOffset>900683</wp:posOffset>
                </wp:positionH>
                <wp:positionV relativeFrom="paragraph">
                  <wp:posOffset>210514</wp:posOffset>
                </wp:positionV>
                <wp:extent cx="1828800" cy="9525"/>
                <wp:effectExtent l="0" t="0" r="0" b="0"/>
                <wp:wrapTopAndBottom/>
                <wp:docPr id="233" name="Graphic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8E1F69" id="Graphic 233" o:spid="_x0000_s1026" alt="&quot;&quot;" style="position:absolute;margin-left:70.9pt;margin-top:16.6pt;width:2in;height:.75pt;z-index:-156912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" path="m1828800,l,,,9144r1828800,l1828800,xe" fillcolor="black" stroked="f">
                <v:path arrowok="t"/>
                <w10:wrap type="topAndBottom" anchorx="page"/>
              </v:shape>
            </w:pict>
          </mc:Fallback>
        </mc:AlternateContent>
      </w:r>
    </w:p>
    <w:p w14:paraId="10758B68" w14:textId="77777777" w:rsidR="00BC24A8" w:rsidRDefault="00BC24A8">
      <w:pPr>
        <w:pStyle w:val="BodyText"/>
        <w:spacing w:before="105"/>
        <w:rPr>
          <w:sz w:val="16"/>
        </w:rPr>
      </w:pPr>
    </w:p>
    <w:p w14:paraId="0871CF01" w14:textId="77777777" w:rsidR="00BC24A8" w:rsidRDefault="00000000">
      <w:pPr>
        <w:spacing w:before="1"/>
        <w:ind w:left="143"/>
        <w:rPr>
          <w:sz w:val="16"/>
        </w:rPr>
      </w:pPr>
      <w:bookmarkStart w:id="203" w:name="_bookmark139"/>
      <w:bookmarkEnd w:id="203"/>
      <w:r>
        <w:rPr>
          <w:color w:val="767070"/>
          <w:sz w:val="16"/>
          <w:vertAlign w:val="superscript"/>
        </w:rPr>
        <w:t>68</w:t>
      </w:r>
      <w:r>
        <w:rPr>
          <w:color w:val="767070"/>
          <w:spacing w:val="-5"/>
          <w:sz w:val="16"/>
        </w:rPr>
        <w:t xml:space="preserve"> </w:t>
      </w:r>
      <w:r>
        <w:rPr>
          <w:color w:val="767070"/>
          <w:sz w:val="16"/>
        </w:rPr>
        <w:t>By</w:t>
      </w:r>
      <w:r>
        <w:rPr>
          <w:color w:val="767070"/>
          <w:spacing w:val="-3"/>
          <w:sz w:val="16"/>
        </w:rPr>
        <w:t xml:space="preserve"> </w:t>
      </w:r>
      <w:r>
        <w:rPr>
          <w:color w:val="767070"/>
          <w:sz w:val="16"/>
        </w:rPr>
        <w:t>June</w:t>
      </w:r>
      <w:r>
        <w:rPr>
          <w:color w:val="767070"/>
          <w:spacing w:val="-6"/>
          <w:sz w:val="16"/>
        </w:rPr>
        <w:t xml:space="preserve"> </w:t>
      </w:r>
      <w:r>
        <w:rPr>
          <w:color w:val="767070"/>
          <w:sz w:val="16"/>
        </w:rPr>
        <w:t>2025,</w:t>
      </w:r>
      <w:r>
        <w:rPr>
          <w:color w:val="767070"/>
          <w:spacing w:val="-5"/>
          <w:sz w:val="16"/>
        </w:rPr>
        <w:t xml:space="preserve"> </w:t>
      </w:r>
      <w:r>
        <w:rPr>
          <w:color w:val="767070"/>
          <w:sz w:val="16"/>
        </w:rPr>
        <w:t>nine</w:t>
      </w:r>
      <w:r>
        <w:rPr>
          <w:color w:val="767070"/>
          <w:spacing w:val="-4"/>
          <w:sz w:val="16"/>
        </w:rPr>
        <w:t xml:space="preserve"> </w:t>
      </w:r>
      <w:r>
        <w:rPr>
          <w:color w:val="767070"/>
          <w:sz w:val="16"/>
        </w:rPr>
        <w:t>regencies/cities</w:t>
      </w:r>
      <w:r>
        <w:rPr>
          <w:color w:val="767070"/>
          <w:spacing w:val="-3"/>
          <w:sz w:val="16"/>
        </w:rPr>
        <w:t xml:space="preserve"> </w:t>
      </w:r>
      <w:r>
        <w:rPr>
          <w:color w:val="767070"/>
          <w:sz w:val="16"/>
        </w:rPr>
        <w:t>had</w:t>
      </w:r>
      <w:r>
        <w:rPr>
          <w:color w:val="767070"/>
          <w:spacing w:val="-6"/>
          <w:sz w:val="16"/>
        </w:rPr>
        <w:t xml:space="preserve"> </w:t>
      </w:r>
      <w:r>
        <w:rPr>
          <w:color w:val="767070"/>
          <w:sz w:val="16"/>
        </w:rPr>
        <w:t>an</w:t>
      </w:r>
      <w:r>
        <w:rPr>
          <w:color w:val="767070"/>
          <w:spacing w:val="-3"/>
          <w:sz w:val="16"/>
        </w:rPr>
        <w:t xml:space="preserve"> </w:t>
      </w:r>
      <w:r>
        <w:rPr>
          <w:color w:val="767070"/>
          <w:sz w:val="16"/>
        </w:rPr>
        <w:t>MSS</w:t>
      </w:r>
      <w:r>
        <w:rPr>
          <w:color w:val="767070"/>
          <w:spacing w:val="-4"/>
          <w:sz w:val="16"/>
        </w:rPr>
        <w:t xml:space="preserve"> </w:t>
      </w:r>
      <w:r>
        <w:rPr>
          <w:color w:val="767070"/>
          <w:sz w:val="16"/>
        </w:rPr>
        <w:t>Action</w:t>
      </w:r>
      <w:r>
        <w:rPr>
          <w:color w:val="767070"/>
          <w:spacing w:val="-3"/>
          <w:sz w:val="16"/>
        </w:rPr>
        <w:t xml:space="preserve"> </w:t>
      </w:r>
      <w:r>
        <w:rPr>
          <w:color w:val="767070"/>
          <w:sz w:val="16"/>
        </w:rPr>
        <w:t>Plan</w:t>
      </w:r>
      <w:r>
        <w:rPr>
          <w:color w:val="767070"/>
          <w:spacing w:val="-3"/>
          <w:sz w:val="16"/>
        </w:rPr>
        <w:t xml:space="preserve"> </w:t>
      </w:r>
      <w:r>
        <w:rPr>
          <w:color w:val="767070"/>
          <w:sz w:val="16"/>
        </w:rPr>
        <w:t>in</w:t>
      </w:r>
      <w:r>
        <w:rPr>
          <w:color w:val="767070"/>
          <w:spacing w:val="-3"/>
          <w:sz w:val="16"/>
        </w:rPr>
        <w:t xml:space="preserve"> </w:t>
      </w:r>
      <w:r>
        <w:rPr>
          <w:color w:val="767070"/>
          <w:spacing w:val="-2"/>
          <w:sz w:val="16"/>
        </w:rPr>
        <w:t>place.</w:t>
      </w:r>
    </w:p>
    <w:p w14:paraId="111F1203" w14:textId="77777777" w:rsidR="00BC24A8" w:rsidRDefault="00000000">
      <w:pPr>
        <w:spacing w:before="1"/>
        <w:ind w:left="143"/>
        <w:rPr>
          <w:sz w:val="16"/>
        </w:rPr>
      </w:pPr>
      <w:bookmarkStart w:id="204" w:name="_bookmark140"/>
      <w:bookmarkEnd w:id="204"/>
      <w:r>
        <w:rPr>
          <w:color w:val="767070"/>
          <w:sz w:val="16"/>
          <w:vertAlign w:val="superscript"/>
        </w:rPr>
        <w:t>69</w:t>
      </w:r>
      <w:r>
        <w:rPr>
          <w:color w:val="767070"/>
          <w:spacing w:val="-5"/>
          <w:sz w:val="16"/>
        </w:rPr>
        <w:t xml:space="preserve"> </w:t>
      </w:r>
      <w:r>
        <w:rPr>
          <w:color w:val="767070"/>
          <w:sz w:val="16"/>
        </w:rPr>
        <w:t>The</w:t>
      </w:r>
      <w:r>
        <w:rPr>
          <w:color w:val="767070"/>
          <w:spacing w:val="-5"/>
          <w:sz w:val="16"/>
        </w:rPr>
        <w:t xml:space="preserve"> </w:t>
      </w:r>
      <w:r>
        <w:rPr>
          <w:color w:val="767070"/>
          <w:sz w:val="16"/>
        </w:rPr>
        <w:t>RPJMD</w:t>
      </w:r>
      <w:r>
        <w:rPr>
          <w:color w:val="767070"/>
          <w:spacing w:val="-4"/>
          <w:sz w:val="16"/>
        </w:rPr>
        <w:t xml:space="preserve"> </w:t>
      </w:r>
      <w:r>
        <w:rPr>
          <w:color w:val="767070"/>
          <w:sz w:val="16"/>
        </w:rPr>
        <w:t>2025–2029</w:t>
      </w:r>
      <w:r>
        <w:rPr>
          <w:color w:val="767070"/>
          <w:spacing w:val="-7"/>
          <w:sz w:val="16"/>
        </w:rPr>
        <w:t xml:space="preserve"> </w:t>
      </w:r>
      <w:r>
        <w:rPr>
          <w:color w:val="767070"/>
          <w:sz w:val="16"/>
        </w:rPr>
        <w:t>has</w:t>
      </w:r>
      <w:r>
        <w:rPr>
          <w:color w:val="767070"/>
          <w:spacing w:val="-7"/>
          <w:sz w:val="16"/>
        </w:rPr>
        <w:t xml:space="preserve"> </w:t>
      </w:r>
      <w:r>
        <w:rPr>
          <w:color w:val="767070"/>
          <w:sz w:val="16"/>
        </w:rPr>
        <w:t>not</w:t>
      </w:r>
      <w:r>
        <w:rPr>
          <w:color w:val="767070"/>
          <w:spacing w:val="-5"/>
          <w:sz w:val="16"/>
        </w:rPr>
        <w:t xml:space="preserve"> </w:t>
      </w:r>
      <w:r>
        <w:rPr>
          <w:color w:val="767070"/>
          <w:sz w:val="16"/>
        </w:rPr>
        <w:t>yet</w:t>
      </w:r>
      <w:r>
        <w:rPr>
          <w:color w:val="767070"/>
          <w:spacing w:val="-4"/>
          <w:sz w:val="16"/>
        </w:rPr>
        <w:t xml:space="preserve"> </w:t>
      </w:r>
      <w:r>
        <w:rPr>
          <w:color w:val="767070"/>
          <w:sz w:val="16"/>
        </w:rPr>
        <w:t>been</w:t>
      </w:r>
      <w:r>
        <w:rPr>
          <w:color w:val="767070"/>
          <w:spacing w:val="-4"/>
          <w:sz w:val="16"/>
        </w:rPr>
        <w:t xml:space="preserve"> </w:t>
      </w:r>
      <w:r>
        <w:rPr>
          <w:color w:val="767070"/>
          <w:sz w:val="16"/>
        </w:rPr>
        <w:t>enacted;</w:t>
      </w:r>
      <w:r>
        <w:rPr>
          <w:color w:val="767070"/>
          <w:spacing w:val="-4"/>
          <w:sz w:val="16"/>
        </w:rPr>
        <w:t xml:space="preserve"> </w:t>
      </w:r>
      <w:r>
        <w:rPr>
          <w:color w:val="767070"/>
          <w:sz w:val="16"/>
        </w:rPr>
        <w:t>it</w:t>
      </w:r>
      <w:r>
        <w:rPr>
          <w:color w:val="767070"/>
          <w:spacing w:val="-5"/>
          <w:sz w:val="16"/>
        </w:rPr>
        <w:t xml:space="preserve"> </w:t>
      </w:r>
      <w:r>
        <w:rPr>
          <w:color w:val="767070"/>
          <w:sz w:val="16"/>
        </w:rPr>
        <w:t>remains</w:t>
      </w:r>
      <w:r>
        <w:rPr>
          <w:color w:val="767070"/>
          <w:spacing w:val="-4"/>
          <w:sz w:val="16"/>
        </w:rPr>
        <w:t xml:space="preserve"> </w:t>
      </w:r>
      <w:r>
        <w:rPr>
          <w:color w:val="767070"/>
          <w:sz w:val="16"/>
        </w:rPr>
        <w:t>in</w:t>
      </w:r>
      <w:r>
        <w:rPr>
          <w:color w:val="767070"/>
          <w:spacing w:val="-4"/>
          <w:sz w:val="16"/>
        </w:rPr>
        <w:t xml:space="preserve"> </w:t>
      </w:r>
      <w:r>
        <w:rPr>
          <w:color w:val="767070"/>
          <w:sz w:val="16"/>
        </w:rPr>
        <w:t>the</w:t>
      </w:r>
      <w:r>
        <w:rPr>
          <w:color w:val="767070"/>
          <w:spacing w:val="-5"/>
          <w:sz w:val="16"/>
        </w:rPr>
        <w:t xml:space="preserve"> </w:t>
      </w:r>
      <w:r>
        <w:rPr>
          <w:color w:val="767070"/>
          <w:sz w:val="16"/>
        </w:rPr>
        <w:t>final</w:t>
      </w:r>
      <w:r>
        <w:rPr>
          <w:color w:val="767070"/>
          <w:spacing w:val="-4"/>
          <w:sz w:val="16"/>
        </w:rPr>
        <w:t xml:space="preserve"> </w:t>
      </w:r>
      <w:r>
        <w:rPr>
          <w:color w:val="767070"/>
          <w:sz w:val="16"/>
        </w:rPr>
        <w:t>draft</w:t>
      </w:r>
      <w:r>
        <w:rPr>
          <w:color w:val="767070"/>
          <w:spacing w:val="-3"/>
          <w:sz w:val="16"/>
        </w:rPr>
        <w:t xml:space="preserve"> </w:t>
      </w:r>
      <w:r>
        <w:rPr>
          <w:color w:val="767070"/>
          <w:sz w:val="16"/>
        </w:rPr>
        <w:t>stage,</w:t>
      </w:r>
      <w:r>
        <w:rPr>
          <w:color w:val="767070"/>
          <w:spacing w:val="-6"/>
          <w:sz w:val="16"/>
        </w:rPr>
        <w:t xml:space="preserve"> </w:t>
      </w:r>
      <w:r>
        <w:rPr>
          <w:color w:val="767070"/>
          <w:sz w:val="16"/>
        </w:rPr>
        <w:t>while</w:t>
      </w:r>
      <w:r>
        <w:rPr>
          <w:color w:val="767070"/>
          <w:spacing w:val="-5"/>
          <w:sz w:val="16"/>
        </w:rPr>
        <w:t xml:space="preserve"> </w:t>
      </w:r>
      <w:r>
        <w:rPr>
          <w:color w:val="767070"/>
          <w:sz w:val="16"/>
        </w:rPr>
        <w:t>the</w:t>
      </w:r>
      <w:r>
        <w:rPr>
          <w:color w:val="767070"/>
          <w:spacing w:val="-5"/>
          <w:sz w:val="16"/>
        </w:rPr>
        <w:t xml:space="preserve"> </w:t>
      </w:r>
      <w:r>
        <w:rPr>
          <w:color w:val="767070"/>
          <w:sz w:val="16"/>
        </w:rPr>
        <w:t>RKPD</w:t>
      </w:r>
      <w:r>
        <w:rPr>
          <w:color w:val="767070"/>
          <w:spacing w:val="-4"/>
          <w:sz w:val="16"/>
        </w:rPr>
        <w:t xml:space="preserve"> </w:t>
      </w:r>
      <w:r>
        <w:rPr>
          <w:color w:val="767070"/>
          <w:sz w:val="16"/>
        </w:rPr>
        <w:t>2026</w:t>
      </w:r>
      <w:r>
        <w:rPr>
          <w:color w:val="767070"/>
          <w:spacing w:val="-7"/>
          <w:sz w:val="16"/>
        </w:rPr>
        <w:t xml:space="preserve"> </w:t>
      </w:r>
      <w:r>
        <w:rPr>
          <w:color w:val="767070"/>
          <w:sz w:val="16"/>
        </w:rPr>
        <w:t>has</w:t>
      </w:r>
      <w:r>
        <w:rPr>
          <w:color w:val="767070"/>
          <w:spacing w:val="-6"/>
          <w:sz w:val="16"/>
        </w:rPr>
        <w:t xml:space="preserve"> </w:t>
      </w:r>
      <w:r>
        <w:rPr>
          <w:color w:val="767070"/>
          <w:sz w:val="16"/>
        </w:rPr>
        <w:t>already</w:t>
      </w:r>
      <w:r>
        <w:rPr>
          <w:color w:val="767070"/>
          <w:spacing w:val="-4"/>
          <w:sz w:val="16"/>
        </w:rPr>
        <w:t xml:space="preserve"> </w:t>
      </w:r>
      <w:r>
        <w:rPr>
          <w:color w:val="767070"/>
          <w:sz w:val="16"/>
        </w:rPr>
        <w:t>been</w:t>
      </w:r>
      <w:r>
        <w:rPr>
          <w:color w:val="767070"/>
          <w:spacing w:val="-4"/>
          <w:sz w:val="16"/>
        </w:rPr>
        <w:t xml:space="preserve"> </w:t>
      </w:r>
      <w:r>
        <w:rPr>
          <w:color w:val="767070"/>
          <w:spacing w:val="-2"/>
          <w:sz w:val="16"/>
        </w:rPr>
        <w:t>established.</w:t>
      </w:r>
    </w:p>
    <w:p w14:paraId="7002BCDA" w14:textId="77777777" w:rsidR="00BC24A8" w:rsidRDefault="00BC24A8">
      <w:pPr>
        <w:rPr>
          <w:sz w:val="16"/>
        </w:rPr>
        <w:sectPr w:rsidR="00BC24A8">
          <w:pgSz w:w="11910" w:h="16840"/>
          <w:pgMar w:top="1360" w:right="850" w:bottom="1100" w:left="1275" w:header="0" w:footer="907" w:gutter="0"/>
          <w:cols w:space="720"/>
        </w:sectPr>
      </w:pPr>
    </w:p>
    <w:p w14:paraId="3413E724" w14:textId="77777777" w:rsidR="00BC24A8" w:rsidRDefault="00000000">
      <w:pPr>
        <w:pStyle w:val="ListParagraph"/>
        <w:numPr>
          <w:ilvl w:val="1"/>
          <w:numId w:val="54"/>
        </w:numPr>
        <w:tabs>
          <w:tab w:val="left" w:pos="863"/>
        </w:tabs>
        <w:spacing w:before="79"/>
        <w:ind w:right="562" w:hanging="361"/>
        <w:jc w:val="left"/>
      </w:pPr>
      <w:r>
        <w:t>The</w:t>
      </w:r>
      <w:r>
        <w:rPr>
          <w:spacing w:val="-2"/>
        </w:rPr>
        <w:t xml:space="preserve"> </w:t>
      </w:r>
      <w:r>
        <w:t>Head</w:t>
      </w:r>
      <w:r>
        <w:rPr>
          <w:spacing w:val="-2"/>
        </w:rPr>
        <w:t xml:space="preserve"> </w:t>
      </w:r>
      <w:r>
        <w:t>of</w:t>
      </w:r>
      <w:r>
        <w:rPr>
          <w:spacing w:val="-2"/>
        </w:rPr>
        <w:t xml:space="preserve"> </w:t>
      </w:r>
      <w:r>
        <w:t>the Communication and</w:t>
      </w:r>
      <w:r>
        <w:rPr>
          <w:spacing w:val="-5"/>
        </w:rPr>
        <w:t xml:space="preserve"> </w:t>
      </w:r>
      <w:r>
        <w:t>Informatics Office issued a</w:t>
      </w:r>
      <w:r>
        <w:rPr>
          <w:spacing w:val="-4"/>
        </w:rPr>
        <w:t xml:space="preserve"> </w:t>
      </w:r>
      <w:r>
        <w:t>directive</w:t>
      </w:r>
      <w:r>
        <w:rPr>
          <w:spacing w:val="-2"/>
        </w:rPr>
        <w:t xml:space="preserve"> </w:t>
      </w:r>
      <w:r>
        <w:t>appointing</w:t>
      </w:r>
      <w:r>
        <w:rPr>
          <w:spacing w:val="-1"/>
        </w:rPr>
        <w:t xml:space="preserve"> </w:t>
      </w:r>
      <w:r>
        <w:t>nine</w:t>
      </w:r>
      <w:r>
        <w:rPr>
          <w:spacing w:val="-2"/>
        </w:rPr>
        <w:t xml:space="preserve"> </w:t>
      </w:r>
      <w:r>
        <w:t>staff to manage the SASANDO Portal.</w:t>
      </w:r>
    </w:p>
    <w:p w14:paraId="7A9711F0" w14:textId="77777777" w:rsidR="00BC24A8" w:rsidRDefault="00BC24A8">
      <w:pPr>
        <w:pStyle w:val="BodyText"/>
        <w:spacing w:before="58"/>
      </w:pPr>
    </w:p>
    <w:p w14:paraId="1098176E" w14:textId="77777777" w:rsidR="00BC24A8" w:rsidRDefault="00000000">
      <w:pPr>
        <w:pStyle w:val="Heading5"/>
        <w:spacing w:before="1"/>
      </w:pPr>
      <w:r>
        <w:t>The</w:t>
      </w:r>
      <w:r>
        <w:rPr>
          <w:spacing w:val="-4"/>
        </w:rPr>
        <w:t xml:space="preserve"> </w:t>
      </w:r>
      <w:r>
        <w:t>NTT</w:t>
      </w:r>
      <w:r>
        <w:rPr>
          <w:spacing w:val="-4"/>
        </w:rPr>
        <w:t xml:space="preserve"> </w:t>
      </w:r>
      <w:r>
        <w:t>One</w:t>
      </w:r>
      <w:r>
        <w:rPr>
          <w:spacing w:val="-3"/>
        </w:rPr>
        <w:t xml:space="preserve"> </w:t>
      </w:r>
      <w:r>
        <w:t>Data</w:t>
      </w:r>
      <w:r>
        <w:rPr>
          <w:spacing w:val="-4"/>
        </w:rPr>
        <w:t xml:space="preserve"> </w:t>
      </w:r>
      <w:r>
        <w:t>Forum</w:t>
      </w:r>
      <w:r>
        <w:rPr>
          <w:spacing w:val="-4"/>
        </w:rPr>
        <w:t xml:space="preserve"> </w:t>
      </w:r>
      <w:r>
        <w:t>has</w:t>
      </w:r>
      <w:r>
        <w:rPr>
          <w:spacing w:val="-2"/>
        </w:rPr>
        <w:t xml:space="preserve"> </w:t>
      </w:r>
      <w:r>
        <w:t>begun</w:t>
      </w:r>
      <w:r>
        <w:rPr>
          <w:spacing w:val="-3"/>
        </w:rPr>
        <w:t xml:space="preserve"> </w:t>
      </w:r>
      <w:r>
        <w:rPr>
          <w:spacing w:val="-2"/>
        </w:rPr>
        <w:t>functioning:</w:t>
      </w:r>
    </w:p>
    <w:p w14:paraId="35C79886" w14:textId="77777777" w:rsidR="00BC24A8" w:rsidRDefault="00000000">
      <w:pPr>
        <w:pStyle w:val="ListParagraph"/>
        <w:numPr>
          <w:ilvl w:val="1"/>
          <w:numId w:val="54"/>
        </w:numPr>
        <w:tabs>
          <w:tab w:val="left" w:pos="863"/>
        </w:tabs>
        <w:spacing w:before="161"/>
        <w:ind w:right="566" w:hanging="361"/>
        <w:jc w:val="left"/>
      </w:pPr>
      <w:r>
        <w:t>Meetings,</w:t>
      </w:r>
      <w:r>
        <w:rPr>
          <w:spacing w:val="40"/>
        </w:rPr>
        <w:t xml:space="preserve"> </w:t>
      </w:r>
      <w:r>
        <w:t>coordination,</w:t>
      </w:r>
      <w:r>
        <w:rPr>
          <w:spacing w:val="40"/>
        </w:rPr>
        <w:t xml:space="preserve"> </w:t>
      </w:r>
      <w:r>
        <w:t>and</w:t>
      </w:r>
      <w:r>
        <w:rPr>
          <w:spacing w:val="40"/>
        </w:rPr>
        <w:t xml:space="preserve"> </w:t>
      </w:r>
      <w:r>
        <w:t>cooperation</w:t>
      </w:r>
      <w:r>
        <w:rPr>
          <w:spacing w:val="40"/>
        </w:rPr>
        <w:t xml:space="preserve"> </w:t>
      </w:r>
      <w:r>
        <w:t>between</w:t>
      </w:r>
      <w:r>
        <w:rPr>
          <w:spacing w:val="40"/>
        </w:rPr>
        <w:t xml:space="preserve"> </w:t>
      </w:r>
      <w:r>
        <w:t>the</w:t>
      </w:r>
      <w:r>
        <w:rPr>
          <w:spacing w:val="40"/>
        </w:rPr>
        <w:t xml:space="preserve"> </w:t>
      </w:r>
      <w:r>
        <w:t>Data</w:t>
      </w:r>
      <w:r>
        <w:rPr>
          <w:spacing w:val="40"/>
        </w:rPr>
        <w:t xml:space="preserve"> </w:t>
      </w:r>
      <w:r>
        <w:t>Supervisor,</w:t>
      </w:r>
      <w:r>
        <w:rPr>
          <w:spacing w:val="40"/>
        </w:rPr>
        <w:t xml:space="preserve"> </w:t>
      </w:r>
      <w:r>
        <w:rPr>
          <w:i/>
        </w:rPr>
        <w:t>Walidata</w:t>
      </w:r>
      <w:r>
        <w:rPr>
          <w:i/>
          <w:spacing w:val="40"/>
        </w:rPr>
        <w:t xml:space="preserve"> </w:t>
      </w:r>
      <w:r>
        <w:t>(Data</w:t>
      </w:r>
      <w:r>
        <w:rPr>
          <w:spacing w:val="80"/>
        </w:rPr>
        <w:t xml:space="preserve"> </w:t>
      </w:r>
      <w:r>
        <w:t>Custodian), and Data Coordinator are held regularly (twice a month).</w:t>
      </w:r>
    </w:p>
    <w:p w14:paraId="4533240C" w14:textId="77777777" w:rsidR="00BC24A8" w:rsidRDefault="00000000">
      <w:pPr>
        <w:pStyle w:val="ListParagraph"/>
        <w:numPr>
          <w:ilvl w:val="1"/>
          <w:numId w:val="54"/>
        </w:numPr>
        <w:tabs>
          <w:tab w:val="left" w:pos="863"/>
        </w:tabs>
        <w:spacing w:line="279" w:lineRule="exact"/>
        <w:jc w:val="left"/>
      </w:pPr>
      <w:r>
        <w:t>Walidata</w:t>
      </w:r>
      <w:r>
        <w:rPr>
          <w:spacing w:val="-6"/>
        </w:rPr>
        <w:t xml:space="preserve"> </w:t>
      </w:r>
      <w:r>
        <w:t>allocated</w:t>
      </w:r>
      <w:r>
        <w:rPr>
          <w:spacing w:val="-2"/>
        </w:rPr>
        <w:t xml:space="preserve"> </w:t>
      </w:r>
      <w:r>
        <w:t>a</w:t>
      </w:r>
      <w:r>
        <w:rPr>
          <w:spacing w:val="-4"/>
        </w:rPr>
        <w:t xml:space="preserve"> </w:t>
      </w:r>
      <w:r>
        <w:t>budget</w:t>
      </w:r>
      <w:r>
        <w:rPr>
          <w:spacing w:val="-3"/>
        </w:rPr>
        <w:t xml:space="preserve"> </w:t>
      </w:r>
      <w:r>
        <w:t>of</w:t>
      </w:r>
      <w:r>
        <w:rPr>
          <w:spacing w:val="-3"/>
        </w:rPr>
        <w:t xml:space="preserve"> </w:t>
      </w:r>
      <w:r>
        <w:t>IDR</w:t>
      </w:r>
      <w:r>
        <w:rPr>
          <w:spacing w:val="-5"/>
        </w:rPr>
        <w:t xml:space="preserve"> </w:t>
      </w:r>
      <w:r>
        <w:t>556</w:t>
      </w:r>
      <w:r>
        <w:rPr>
          <w:spacing w:val="-4"/>
        </w:rPr>
        <w:t xml:space="preserve"> </w:t>
      </w:r>
      <w:r>
        <w:t>billion</w:t>
      </w:r>
      <w:r>
        <w:rPr>
          <w:spacing w:val="-2"/>
        </w:rPr>
        <w:t xml:space="preserve"> </w:t>
      </w:r>
      <w:r>
        <w:t>for</w:t>
      </w:r>
      <w:r>
        <w:rPr>
          <w:spacing w:val="-5"/>
        </w:rPr>
        <w:t xml:space="preserve"> </w:t>
      </w:r>
      <w:r>
        <w:t>strengthening</w:t>
      </w:r>
      <w:r>
        <w:rPr>
          <w:spacing w:val="-2"/>
        </w:rPr>
        <w:t xml:space="preserve"> </w:t>
      </w:r>
      <w:r>
        <w:t>data</w:t>
      </w:r>
      <w:r>
        <w:rPr>
          <w:spacing w:val="-6"/>
        </w:rPr>
        <w:t xml:space="preserve"> </w:t>
      </w:r>
      <w:r>
        <w:t>systems</w:t>
      </w:r>
      <w:r>
        <w:rPr>
          <w:spacing w:val="-4"/>
        </w:rPr>
        <w:t xml:space="preserve"> </w:t>
      </w:r>
      <w:r>
        <w:t>in</w:t>
      </w:r>
      <w:r>
        <w:rPr>
          <w:spacing w:val="-2"/>
        </w:rPr>
        <w:t xml:space="preserve"> </w:t>
      </w:r>
      <w:r>
        <w:t>the</w:t>
      </w:r>
      <w:r>
        <w:rPr>
          <w:spacing w:val="-1"/>
        </w:rPr>
        <w:t xml:space="preserve"> </w:t>
      </w:r>
      <w:r>
        <w:rPr>
          <w:spacing w:val="-2"/>
        </w:rPr>
        <w:t>province.</w:t>
      </w:r>
    </w:p>
    <w:p w14:paraId="55FAB241" w14:textId="77777777" w:rsidR="00BC24A8" w:rsidRDefault="00000000">
      <w:pPr>
        <w:pStyle w:val="ListParagraph"/>
        <w:numPr>
          <w:ilvl w:val="1"/>
          <w:numId w:val="54"/>
        </w:numPr>
        <w:tabs>
          <w:tab w:val="left" w:pos="863"/>
        </w:tabs>
        <w:spacing w:before="1"/>
        <w:ind w:right="565" w:hanging="361"/>
        <w:jc w:val="left"/>
      </w:pPr>
      <w:r>
        <w:t>Budget</w:t>
      </w:r>
      <w:r>
        <w:rPr>
          <w:spacing w:val="40"/>
        </w:rPr>
        <w:t xml:space="preserve"> </w:t>
      </w:r>
      <w:r>
        <w:t>has</w:t>
      </w:r>
      <w:r>
        <w:rPr>
          <w:spacing w:val="40"/>
        </w:rPr>
        <w:t xml:space="preserve"> </w:t>
      </w:r>
      <w:r>
        <w:t>been</w:t>
      </w:r>
      <w:r>
        <w:rPr>
          <w:spacing w:val="40"/>
        </w:rPr>
        <w:t xml:space="preserve"> </w:t>
      </w:r>
      <w:r>
        <w:t>allocated</w:t>
      </w:r>
      <w:r>
        <w:rPr>
          <w:spacing w:val="40"/>
        </w:rPr>
        <w:t xml:space="preserve"> </w:t>
      </w:r>
      <w:r>
        <w:t>for</w:t>
      </w:r>
      <w:r>
        <w:rPr>
          <w:spacing w:val="40"/>
        </w:rPr>
        <w:t xml:space="preserve"> </w:t>
      </w:r>
      <w:r>
        <w:t>supporting</w:t>
      </w:r>
      <w:r>
        <w:rPr>
          <w:spacing w:val="40"/>
        </w:rPr>
        <w:t xml:space="preserve"> </w:t>
      </w:r>
      <w:r>
        <w:t>facilities</w:t>
      </w:r>
      <w:r>
        <w:rPr>
          <w:spacing w:val="40"/>
        </w:rPr>
        <w:t xml:space="preserve"> </w:t>
      </w:r>
      <w:r>
        <w:t>(computer</w:t>
      </w:r>
      <w:r>
        <w:rPr>
          <w:spacing w:val="40"/>
        </w:rPr>
        <w:t xml:space="preserve"> </w:t>
      </w:r>
      <w:r>
        <w:t>and</w:t>
      </w:r>
      <w:r>
        <w:rPr>
          <w:spacing w:val="40"/>
        </w:rPr>
        <w:t xml:space="preserve"> </w:t>
      </w:r>
      <w:r>
        <w:t>office</w:t>
      </w:r>
      <w:r>
        <w:rPr>
          <w:spacing w:val="40"/>
        </w:rPr>
        <w:t xml:space="preserve"> </w:t>
      </w:r>
      <w:r>
        <w:t>space)</w:t>
      </w:r>
      <w:r>
        <w:rPr>
          <w:spacing w:val="40"/>
        </w:rPr>
        <w:t xml:space="preserve"> </w:t>
      </w:r>
      <w:r>
        <w:t>for</w:t>
      </w:r>
      <w:r>
        <w:rPr>
          <w:spacing w:val="40"/>
        </w:rPr>
        <w:t xml:space="preserve"> </w:t>
      </w:r>
      <w:r>
        <w:t>the</w:t>
      </w:r>
      <w:r>
        <w:rPr>
          <w:spacing w:val="40"/>
        </w:rPr>
        <w:t xml:space="preserve"> </w:t>
      </w:r>
      <w:r>
        <w:t>SASANDO Data Portal.</w:t>
      </w:r>
    </w:p>
    <w:p w14:paraId="0D9555E9" w14:textId="77777777" w:rsidR="00BC24A8" w:rsidRDefault="00000000">
      <w:pPr>
        <w:pStyle w:val="ListParagraph"/>
        <w:numPr>
          <w:ilvl w:val="1"/>
          <w:numId w:val="54"/>
        </w:numPr>
        <w:tabs>
          <w:tab w:val="left" w:pos="863"/>
        </w:tabs>
        <w:jc w:val="left"/>
      </w:pPr>
      <w:r>
        <w:t>The</w:t>
      </w:r>
      <w:r>
        <w:rPr>
          <w:spacing w:val="-7"/>
        </w:rPr>
        <w:t xml:space="preserve"> </w:t>
      </w:r>
      <w:r>
        <w:t>SASANDO</w:t>
      </w:r>
      <w:r>
        <w:rPr>
          <w:spacing w:val="-4"/>
        </w:rPr>
        <w:t xml:space="preserve"> </w:t>
      </w:r>
      <w:r>
        <w:t>portal</w:t>
      </w:r>
      <w:r>
        <w:rPr>
          <w:spacing w:val="-5"/>
        </w:rPr>
        <w:t xml:space="preserve"> </w:t>
      </w:r>
      <w:r>
        <w:t>now</w:t>
      </w:r>
      <w:r>
        <w:rPr>
          <w:spacing w:val="-7"/>
        </w:rPr>
        <w:t xml:space="preserve"> </w:t>
      </w:r>
      <w:r>
        <w:t>offers</w:t>
      </w:r>
      <w:r>
        <w:rPr>
          <w:spacing w:val="-2"/>
        </w:rPr>
        <w:t xml:space="preserve"> </w:t>
      </w:r>
      <w:r>
        <w:t>additional</w:t>
      </w:r>
      <w:r>
        <w:rPr>
          <w:spacing w:val="-5"/>
        </w:rPr>
        <w:t xml:space="preserve"> </w:t>
      </w:r>
      <w:r>
        <w:t>datasets</w:t>
      </w:r>
      <w:r>
        <w:rPr>
          <w:spacing w:val="-3"/>
        </w:rPr>
        <w:t xml:space="preserve"> </w:t>
      </w:r>
      <w:r>
        <w:t>and</w:t>
      </w:r>
      <w:r>
        <w:rPr>
          <w:spacing w:val="-3"/>
        </w:rPr>
        <w:t xml:space="preserve"> </w:t>
      </w:r>
      <w:r>
        <w:t>an</w:t>
      </w:r>
      <w:r>
        <w:rPr>
          <w:spacing w:val="-3"/>
        </w:rPr>
        <w:t xml:space="preserve"> </w:t>
      </w:r>
      <w:r>
        <w:t>improved</w:t>
      </w:r>
      <w:r>
        <w:rPr>
          <w:spacing w:val="-6"/>
        </w:rPr>
        <w:t xml:space="preserve"> </w:t>
      </w:r>
      <w:r>
        <w:t>menu</w:t>
      </w:r>
      <w:r>
        <w:rPr>
          <w:spacing w:val="-5"/>
        </w:rPr>
        <w:t xml:space="preserve"> </w:t>
      </w:r>
      <w:r>
        <w:rPr>
          <w:spacing w:val="-2"/>
        </w:rPr>
        <w:t>interface:</w:t>
      </w:r>
    </w:p>
    <w:p w14:paraId="350D8D82" w14:textId="77777777" w:rsidR="00BC24A8" w:rsidRDefault="00000000">
      <w:pPr>
        <w:pStyle w:val="ListParagraph"/>
        <w:numPr>
          <w:ilvl w:val="0"/>
          <w:numId w:val="53"/>
        </w:numPr>
        <w:tabs>
          <w:tab w:val="left" w:pos="1223"/>
        </w:tabs>
        <w:spacing w:before="121"/>
        <w:ind w:right="565"/>
      </w:pPr>
      <w:r>
        <w:t>Data</w:t>
      </w:r>
      <w:r>
        <w:rPr>
          <w:spacing w:val="-11"/>
        </w:rPr>
        <w:t xml:space="preserve"> </w:t>
      </w:r>
      <w:r>
        <w:t>on</w:t>
      </w:r>
      <w:r>
        <w:rPr>
          <w:spacing w:val="-11"/>
        </w:rPr>
        <w:t xml:space="preserve"> </w:t>
      </w:r>
      <w:r>
        <w:t>MSS</w:t>
      </w:r>
      <w:r>
        <w:rPr>
          <w:spacing w:val="-8"/>
        </w:rPr>
        <w:t xml:space="preserve"> </w:t>
      </w:r>
      <w:r>
        <w:t>achievement,</w:t>
      </w:r>
      <w:r>
        <w:rPr>
          <w:spacing w:val="-13"/>
        </w:rPr>
        <w:t xml:space="preserve"> </w:t>
      </w:r>
      <w:r>
        <w:t>matching</w:t>
      </w:r>
      <w:r>
        <w:rPr>
          <w:spacing w:val="-12"/>
        </w:rPr>
        <w:t xml:space="preserve"> </w:t>
      </w:r>
      <w:r>
        <w:t>results</w:t>
      </w:r>
      <w:r>
        <w:rPr>
          <w:spacing w:val="-10"/>
        </w:rPr>
        <w:t xml:space="preserve"> </w:t>
      </w:r>
      <w:r>
        <w:t>from</w:t>
      </w:r>
      <w:r>
        <w:rPr>
          <w:spacing w:val="-11"/>
        </w:rPr>
        <w:t xml:space="preserve"> </w:t>
      </w:r>
      <w:r>
        <w:t>the</w:t>
      </w:r>
      <w:r>
        <w:rPr>
          <w:spacing w:val="-10"/>
        </w:rPr>
        <w:t xml:space="preserve"> </w:t>
      </w:r>
      <w:r>
        <w:t>Targeting</w:t>
      </w:r>
      <w:r>
        <w:rPr>
          <w:spacing w:val="-12"/>
        </w:rPr>
        <w:t xml:space="preserve"> </w:t>
      </w:r>
      <w:r>
        <w:t>for</w:t>
      </w:r>
      <w:r>
        <w:rPr>
          <w:spacing w:val="-8"/>
        </w:rPr>
        <w:t xml:space="preserve"> </w:t>
      </w:r>
      <w:r>
        <w:t>Acceleration</w:t>
      </w:r>
      <w:r>
        <w:rPr>
          <w:spacing w:val="-9"/>
        </w:rPr>
        <w:t xml:space="preserve"> </w:t>
      </w:r>
      <w:r>
        <w:t>of</w:t>
      </w:r>
      <w:r>
        <w:rPr>
          <w:spacing w:val="-10"/>
        </w:rPr>
        <w:t xml:space="preserve"> </w:t>
      </w:r>
      <w:r>
        <w:t>Extreme Poverty Reduction (P3KE), REGSOSEK, and the Integrated Social Welfare Data (DTKS)</w:t>
      </w:r>
      <w:hyperlink w:anchor="_bookmark141" w:history="1">
        <w:r w:rsidR="00BC24A8">
          <w:rPr>
            <w:vertAlign w:val="superscript"/>
          </w:rPr>
          <w:t>70</w:t>
        </w:r>
      </w:hyperlink>
      <w:r>
        <w:t xml:space="preserve"> are available on the portal for MSS targeting and other planning needs.</w:t>
      </w:r>
    </w:p>
    <w:p w14:paraId="63FA811A" w14:textId="77777777" w:rsidR="00BC24A8" w:rsidRDefault="00000000">
      <w:pPr>
        <w:pStyle w:val="ListParagraph"/>
        <w:numPr>
          <w:ilvl w:val="0"/>
          <w:numId w:val="53"/>
        </w:numPr>
        <w:tabs>
          <w:tab w:val="left" w:pos="1223"/>
        </w:tabs>
        <w:ind w:right="563"/>
      </w:pPr>
      <w:r>
        <w:t>The development of SASANDO has been designed for integration with other information systems, such as the Village Information System and SEPAKAT Application.</w:t>
      </w:r>
    </w:p>
    <w:p w14:paraId="1C37AA39" w14:textId="77777777" w:rsidR="00BC24A8" w:rsidRDefault="00000000">
      <w:pPr>
        <w:pStyle w:val="Heading5"/>
        <w:spacing w:before="267"/>
      </w:pPr>
      <w:r>
        <w:t>Better</w:t>
      </w:r>
      <w:r>
        <w:rPr>
          <w:spacing w:val="-8"/>
        </w:rPr>
        <w:t xml:space="preserve"> </w:t>
      </w:r>
      <w:r>
        <w:t>Public</w:t>
      </w:r>
      <w:r>
        <w:rPr>
          <w:spacing w:val="-7"/>
        </w:rPr>
        <w:t xml:space="preserve"> </w:t>
      </w:r>
      <w:r>
        <w:t>Financial</w:t>
      </w:r>
      <w:r>
        <w:rPr>
          <w:spacing w:val="-5"/>
        </w:rPr>
        <w:t xml:space="preserve"> </w:t>
      </w:r>
      <w:r>
        <w:t>Management</w:t>
      </w:r>
      <w:r>
        <w:rPr>
          <w:spacing w:val="-5"/>
        </w:rPr>
        <w:t xml:space="preserve"> </w:t>
      </w:r>
      <w:r>
        <w:t>to</w:t>
      </w:r>
      <w:r>
        <w:rPr>
          <w:spacing w:val="-9"/>
        </w:rPr>
        <w:t xml:space="preserve"> </w:t>
      </w:r>
      <w:r>
        <w:t>support</w:t>
      </w:r>
      <w:r>
        <w:rPr>
          <w:spacing w:val="-6"/>
        </w:rPr>
        <w:t xml:space="preserve"> </w:t>
      </w:r>
      <w:r>
        <w:t>improved</w:t>
      </w:r>
      <w:r>
        <w:rPr>
          <w:spacing w:val="-6"/>
        </w:rPr>
        <w:t xml:space="preserve"> </w:t>
      </w:r>
      <w:r>
        <w:t>service</w:t>
      </w:r>
      <w:r>
        <w:rPr>
          <w:spacing w:val="-7"/>
        </w:rPr>
        <w:t xml:space="preserve"> </w:t>
      </w:r>
      <w:r>
        <w:t>delivery</w:t>
      </w:r>
      <w:r>
        <w:rPr>
          <w:spacing w:val="-5"/>
        </w:rPr>
        <w:t xml:space="preserve"> </w:t>
      </w:r>
      <w:r>
        <w:t>(IO</w:t>
      </w:r>
      <w:r>
        <w:rPr>
          <w:spacing w:val="-8"/>
        </w:rPr>
        <w:t xml:space="preserve"> </w:t>
      </w:r>
      <w:r>
        <w:t>4</w:t>
      </w:r>
      <w:r>
        <w:rPr>
          <w:spacing w:val="-7"/>
        </w:rPr>
        <w:t xml:space="preserve"> </w:t>
      </w:r>
      <w:r>
        <w:t>and</w:t>
      </w:r>
      <w:r>
        <w:rPr>
          <w:spacing w:val="-7"/>
        </w:rPr>
        <w:t xml:space="preserve"> </w:t>
      </w:r>
      <w:r>
        <w:rPr>
          <w:spacing w:val="-5"/>
        </w:rPr>
        <w:t>6)</w:t>
      </w:r>
    </w:p>
    <w:p w14:paraId="1E8A1624" w14:textId="77777777" w:rsidR="00BC24A8" w:rsidRDefault="00000000">
      <w:pPr>
        <w:pStyle w:val="ListParagraph"/>
        <w:numPr>
          <w:ilvl w:val="1"/>
          <w:numId w:val="54"/>
        </w:numPr>
        <w:tabs>
          <w:tab w:val="left" w:pos="861"/>
          <w:tab w:val="left" w:pos="863"/>
        </w:tabs>
        <w:spacing w:before="162"/>
        <w:ind w:right="564" w:hanging="361"/>
      </w:pPr>
      <w:r>
        <w:t>SKALA, together with 19 members of the MSS Implementation Team (9 men, 10 women) conducted online coordination, guidance, monitoring and supervision (</w:t>
      </w:r>
      <w:r>
        <w:rPr>
          <w:i/>
        </w:rPr>
        <w:t>Korbinwas</w:t>
      </w:r>
      <w:r>
        <w:t>) with MSS implementers in 22 regencies/cities, with the following results:</w:t>
      </w:r>
    </w:p>
    <w:p w14:paraId="328016DB" w14:textId="77777777" w:rsidR="00BC24A8" w:rsidRDefault="00000000">
      <w:pPr>
        <w:pStyle w:val="ListParagraph"/>
        <w:numPr>
          <w:ilvl w:val="2"/>
          <w:numId w:val="54"/>
        </w:numPr>
        <w:tabs>
          <w:tab w:val="left" w:pos="1222"/>
        </w:tabs>
        <w:spacing w:before="118"/>
        <w:ind w:left="1222" w:hanging="359"/>
      </w:pPr>
      <w:r>
        <w:t>Completion</w:t>
      </w:r>
      <w:r>
        <w:rPr>
          <w:spacing w:val="-4"/>
        </w:rPr>
        <w:t xml:space="preserve"> </w:t>
      </w:r>
      <w:r>
        <w:t>rate</w:t>
      </w:r>
      <w:r>
        <w:rPr>
          <w:spacing w:val="-6"/>
        </w:rPr>
        <w:t xml:space="preserve"> </w:t>
      </w:r>
      <w:r>
        <w:t>of</w:t>
      </w:r>
      <w:r>
        <w:rPr>
          <w:spacing w:val="-5"/>
        </w:rPr>
        <w:t xml:space="preserve"> </w:t>
      </w:r>
      <w:r>
        <w:t>MSS</w:t>
      </w:r>
      <w:r>
        <w:rPr>
          <w:spacing w:val="-6"/>
        </w:rPr>
        <w:t xml:space="preserve"> </w:t>
      </w:r>
      <w:r>
        <w:t>reports:</w:t>
      </w:r>
      <w:r>
        <w:rPr>
          <w:spacing w:val="-7"/>
        </w:rPr>
        <w:t xml:space="preserve"> </w:t>
      </w:r>
      <w:r>
        <w:t>74%</w:t>
      </w:r>
      <w:r>
        <w:rPr>
          <w:spacing w:val="-7"/>
        </w:rPr>
        <w:t xml:space="preserve"> </w:t>
      </w:r>
      <w:r>
        <w:t>in</w:t>
      </w:r>
      <w:r>
        <w:rPr>
          <w:spacing w:val="-4"/>
        </w:rPr>
        <w:t xml:space="preserve"> </w:t>
      </w:r>
      <w:r>
        <w:t>the</w:t>
      </w:r>
      <w:r>
        <w:rPr>
          <w:spacing w:val="-5"/>
        </w:rPr>
        <w:t xml:space="preserve"> </w:t>
      </w:r>
      <w:r>
        <w:t>first</w:t>
      </w:r>
      <w:r>
        <w:rPr>
          <w:spacing w:val="-5"/>
        </w:rPr>
        <w:t xml:space="preserve"> </w:t>
      </w:r>
      <w:r>
        <w:t>quarter</w:t>
      </w:r>
      <w:r>
        <w:rPr>
          <w:spacing w:val="-4"/>
        </w:rPr>
        <w:t xml:space="preserve"> </w:t>
      </w:r>
      <w:r>
        <w:t>and</w:t>
      </w:r>
      <w:r>
        <w:rPr>
          <w:spacing w:val="-6"/>
        </w:rPr>
        <w:t xml:space="preserve"> </w:t>
      </w:r>
      <w:r>
        <w:t>78%</w:t>
      </w:r>
      <w:r>
        <w:rPr>
          <w:spacing w:val="-5"/>
        </w:rPr>
        <w:t xml:space="preserve"> </w:t>
      </w:r>
      <w:r>
        <w:t>in</w:t>
      </w:r>
      <w:r>
        <w:rPr>
          <w:spacing w:val="-4"/>
        </w:rPr>
        <w:t xml:space="preserve"> </w:t>
      </w:r>
      <w:r>
        <w:t>the</w:t>
      </w:r>
      <w:r>
        <w:rPr>
          <w:spacing w:val="-5"/>
        </w:rPr>
        <w:t xml:space="preserve"> </w:t>
      </w:r>
      <w:r>
        <w:t>second</w:t>
      </w:r>
      <w:r>
        <w:rPr>
          <w:spacing w:val="-4"/>
        </w:rPr>
        <w:t xml:space="preserve"> </w:t>
      </w:r>
      <w:r>
        <w:rPr>
          <w:spacing w:val="-2"/>
        </w:rPr>
        <w:t>quarter.</w:t>
      </w:r>
    </w:p>
    <w:p w14:paraId="76F996BD" w14:textId="77777777" w:rsidR="00BC24A8" w:rsidRDefault="00000000">
      <w:pPr>
        <w:pStyle w:val="ListParagraph"/>
        <w:numPr>
          <w:ilvl w:val="2"/>
          <w:numId w:val="54"/>
        </w:numPr>
        <w:tabs>
          <w:tab w:val="left" w:pos="1222"/>
        </w:tabs>
        <w:spacing w:before="15"/>
        <w:ind w:left="1222" w:hanging="359"/>
      </w:pPr>
      <w:r>
        <w:t>MSS</w:t>
      </w:r>
      <w:r>
        <w:rPr>
          <w:spacing w:val="-6"/>
        </w:rPr>
        <w:t xml:space="preserve"> </w:t>
      </w:r>
      <w:r>
        <w:t>achievement</w:t>
      </w:r>
      <w:r>
        <w:rPr>
          <w:spacing w:val="-6"/>
        </w:rPr>
        <w:t xml:space="preserve"> </w:t>
      </w:r>
      <w:r>
        <w:t>index</w:t>
      </w:r>
      <w:r>
        <w:rPr>
          <w:spacing w:val="-8"/>
        </w:rPr>
        <w:t xml:space="preserve"> </w:t>
      </w:r>
      <w:r>
        <w:t>in</w:t>
      </w:r>
      <w:r>
        <w:rPr>
          <w:spacing w:val="-8"/>
        </w:rPr>
        <w:t xml:space="preserve"> </w:t>
      </w:r>
      <w:r>
        <w:t>the</w:t>
      </w:r>
      <w:r>
        <w:rPr>
          <w:spacing w:val="-7"/>
        </w:rPr>
        <w:t xml:space="preserve"> </w:t>
      </w:r>
      <w:r>
        <w:t>first</w:t>
      </w:r>
      <w:r>
        <w:rPr>
          <w:spacing w:val="-7"/>
        </w:rPr>
        <w:t xml:space="preserve"> </w:t>
      </w:r>
      <w:r>
        <w:t>quarter:</w:t>
      </w:r>
      <w:r>
        <w:rPr>
          <w:spacing w:val="-9"/>
        </w:rPr>
        <w:t xml:space="preserve"> </w:t>
      </w:r>
      <w:r>
        <w:rPr>
          <w:spacing w:val="-2"/>
        </w:rPr>
        <w:t>49.79%.</w:t>
      </w:r>
    </w:p>
    <w:p w14:paraId="6018BFED" w14:textId="77777777" w:rsidR="00BC24A8" w:rsidRDefault="00000000">
      <w:pPr>
        <w:pStyle w:val="ListParagraph"/>
        <w:numPr>
          <w:ilvl w:val="2"/>
          <w:numId w:val="54"/>
        </w:numPr>
        <w:tabs>
          <w:tab w:val="left" w:pos="1221"/>
          <w:tab w:val="left" w:pos="1223"/>
        </w:tabs>
        <w:spacing w:before="15" w:line="252" w:lineRule="auto"/>
        <w:ind w:right="561"/>
      </w:pPr>
      <w:r>
        <w:t>The capacity of the Provincial MSS Implementation Team has improved, enabling them to guide regencies/cities and evaluate MSS implementation.</w:t>
      </w:r>
    </w:p>
    <w:p w14:paraId="3087DD43" w14:textId="77777777" w:rsidR="00BC24A8" w:rsidRDefault="00000000">
      <w:pPr>
        <w:pStyle w:val="ListParagraph"/>
        <w:numPr>
          <w:ilvl w:val="1"/>
          <w:numId w:val="54"/>
        </w:numPr>
        <w:tabs>
          <w:tab w:val="left" w:pos="861"/>
          <w:tab w:val="left" w:pos="863"/>
        </w:tabs>
        <w:spacing w:before="247"/>
        <w:ind w:right="563" w:hanging="361"/>
      </w:pPr>
      <w:r>
        <w:t>The draft of the Governor's Regulation on vehicle tax relief for vulnerable groups is available. This process involved 90 individuals (54 men, 36 women) from various stakeholders, including four representatives from CSOs/DPOs representatives (2 men, 2 women).</w:t>
      </w:r>
    </w:p>
    <w:p w14:paraId="674017F9" w14:textId="77777777" w:rsidR="00BC24A8" w:rsidRDefault="00000000">
      <w:pPr>
        <w:pStyle w:val="ListParagraph"/>
        <w:numPr>
          <w:ilvl w:val="1"/>
          <w:numId w:val="54"/>
        </w:numPr>
        <w:tabs>
          <w:tab w:val="left" w:pos="863"/>
        </w:tabs>
        <w:spacing w:before="1"/>
        <w:ind w:right="563"/>
      </w:pPr>
      <w:r>
        <w:t>The</w:t>
      </w:r>
      <w:r>
        <w:rPr>
          <w:spacing w:val="-11"/>
        </w:rPr>
        <w:t xml:space="preserve"> </w:t>
      </w:r>
      <w:r>
        <w:t>RPJMD</w:t>
      </w:r>
      <w:r>
        <w:rPr>
          <w:spacing w:val="-11"/>
        </w:rPr>
        <w:t xml:space="preserve"> </w:t>
      </w:r>
      <w:r>
        <w:t>of</w:t>
      </w:r>
      <w:r>
        <w:rPr>
          <w:spacing w:val="-10"/>
        </w:rPr>
        <w:t xml:space="preserve"> </w:t>
      </w:r>
      <w:r>
        <w:t>NTT</w:t>
      </w:r>
      <w:r>
        <w:rPr>
          <w:spacing w:val="-10"/>
        </w:rPr>
        <w:t xml:space="preserve"> </w:t>
      </w:r>
      <w:r>
        <w:t>Province</w:t>
      </w:r>
      <w:r>
        <w:rPr>
          <w:spacing w:val="-13"/>
        </w:rPr>
        <w:t xml:space="preserve"> </w:t>
      </w:r>
      <w:r>
        <w:t>2025–2029</w:t>
      </w:r>
      <w:r>
        <w:rPr>
          <w:spacing w:val="-11"/>
        </w:rPr>
        <w:t xml:space="preserve"> </w:t>
      </w:r>
      <w:r>
        <w:t>has</w:t>
      </w:r>
      <w:r>
        <w:rPr>
          <w:spacing w:val="-10"/>
        </w:rPr>
        <w:t xml:space="preserve"> </w:t>
      </w:r>
      <w:r>
        <w:t>incorporated</w:t>
      </w:r>
      <w:r>
        <w:rPr>
          <w:spacing w:val="-9"/>
        </w:rPr>
        <w:t xml:space="preserve"> </w:t>
      </w:r>
      <w:r>
        <w:t>the</w:t>
      </w:r>
      <w:r>
        <w:rPr>
          <w:spacing w:val="-10"/>
        </w:rPr>
        <w:t xml:space="preserve"> </w:t>
      </w:r>
      <w:r>
        <w:t>MSS</w:t>
      </w:r>
      <w:r>
        <w:rPr>
          <w:spacing w:val="-11"/>
        </w:rPr>
        <w:t xml:space="preserve"> </w:t>
      </w:r>
      <w:r>
        <w:t>Action</w:t>
      </w:r>
      <w:r>
        <w:rPr>
          <w:spacing w:val="-11"/>
        </w:rPr>
        <w:t xml:space="preserve"> </w:t>
      </w:r>
      <w:r>
        <w:t>Plan</w:t>
      </w:r>
      <w:r>
        <w:rPr>
          <w:spacing w:val="-11"/>
        </w:rPr>
        <w:t xml:space="preserve"> </w:t>
      </w:r>
      <w:r>
        <w:t>and</w:t>
      </w:r>
      <w:r>
        <w:rPr>
          <w:spacing w:val="-13"/>
        </w:rPr>
        <w:t xml:space="preserve"> </w:t>
      </w:r>
      <w:r>
        <w:t>GEDSI</w:t>
      </w:r>
      <w:r>
        <w:rPr>
          <w:spacing w:val="-10"/>
        </w:rPr>
        <w:t xml:space="preserve"> </w:t>
      </w:r>
      <w:r>
        <w:t>issues, as reflected in the</w:t>
      </w:r>
      <w:r>
        <w:rPr>
          <w:spacing w:val="-1"/>
        </w:rPr>
        <w:t xml:space="preserve"> </w:t>
      </w:r>
      <w:r>
        <w:t>data content and</w:t>
      </w:r>
      <w:r>
        <w:rPr>
          <w:spacing w:val="-1"/>
        </w:rPr>
        <w:t xml:space="preserve"> </w:t>
      </w:r>
      <w:r>
        <w:t>evaluation of</w:t>
      </w:r>
      <w:r>
        <w:rPr>
          <w:spacing w:val="-1"/>
        </w:rPr>
        <w:t xml:space="preserve"> </w:t>
      </w:r>
      <w:r>
        <w:t>MSS</w:t>
      </w:r>
      <w:r>
        <w:rPr>
          <w:spacing w:val="-3"/>
        </w:rPr>
        <w:t xml:space="preserve"> </w:t>
      </w:r>
      <w:r>
        <w:t>achievements</w:t>
      </w:r>
      <w:r>
        <w:rPr>
          <w:spacing w:val="-1"/>
        </w:rPr>
        <w:t xml:space="preserve"> </w:t>
      </w:r>
      <w:r>
        <w:t>and</w:t>
      </w:r>
      <w:r>
        <w:rPr>
          <w:spacing w:val="-1"/>
        </w:rPr>
        <w:t xml:space="preserve"> </w:t>
      </w:r>
      <w:r>
        <w:t>challenges.</w:t>
      </w:r>
      <w:r>
        <w:rPr>
          <w:spacing w:val="40"/>
        </w:rPr>
        <w:t xml:space="preserve"> </w:t>
      </w:r>
      <w:r>
        <w:t>The</w:t>
      </w:r>
      <w:r>
        <w:rPr>
          <w:spacing w:val="-1"/>
        </w:rPr>
        <w:t xml:space="preserve"> </w:t>
      </w:r>
      <w:r>
        <w:t>NTT RPJMD also emphasises the importance of a cross-sectoral thematic approach, ensuring that GEDSI</w:t>
      </w:r>
      <w:r>
        <w:rPr>
          <w:spacing w:val="-13"/>
        </w:rPr>
        <w:t xml:space="preserve"> </w:t>
      </w:r>
      <w:r>
        <w:t>is</w:t>
      </w:r>
      <w:r>
        <w:rPr>
          <w:spacing w:val="-12"/>
        </w:rPr>
        <w:t xml:space="preserve"> </w:t>
      </w:r>
      <w:r>
        <w:t>not</w:t>
      </w:r>
      <w:r>
        <w:rPr>
          <w:spacing w:val="-13"/>
        </w:rPr>
        <w:t xml:space="preserve"> </w:t>
      </w:r>
      <w:r>
        <w:t>limited</w:t>
      </w:r>
      <w:r>
        <w:rPr>
          <w:spacing w:val="-12"/>
        </w:rPr>
        <w:t xml:space="preserve"> </w:t>
      </w:r>
      <w:r>
        <w:t>to</w:t>
      </w:r>
      <w:r>
        <w:rPr>
          <w:spacing w:val="-13"/>
        </w:rPr>
        <w:t xml:space="preserve"> </w:t>
      </w:r>
      <w:r>
        <w:t>a</w:t>
      </w:r>
      <w:r>
        <w:rPr>
          <w:spacing w:val="-12"/>
        </w:rPr>
        <w:t xml:space="preserve"> </w:t>
      </w:r>
      <w:r>
        <w:t>single</w:t>
      </w:r>
      <w:r>
        <w:rPr>
          <w:spacing w:val="-13"/>
        </w:rPr>
        <w:t xml:space="preserve"> </w:t>
      </w:r>
      <w:r>
        <w:t>sector.</w:t>
      </w:r>
      <w:r>
        <w:rPr>
          <w:spacing w:val="-12"/>
        </w:rPr>
        <w:t xml:space="preserve"> </w:t>
      </w:r>
      <w:r>
        <w:t>For</w:t>
      </w:r>
      <w:r>
        <w:rPr>
          <w:spacing w:val="-12"/>
        </w:rPr>
        <w:t xml:space="preserve"> </w:t>
      </w:r>
      <w:r>
        <w:t>example,</w:t>
      </w:r>
      <w:r>
        <w:rPr>
          <w:spacing w:val="-13"/>
        </w:rPr>
        <w:t xml:space="preserve"> </w:t>
      </w:r>
      <w:r>
        <w:t>GEDSI</w:t>
      </w:r>
      <w:r>
        <w:rPr>
          <w:spacing w:val="-12"/>
        </w:rPr>
        <w:t xml:space="preserve"> </w:t>
      </w:r>
      <w:r>
        <w:t>can</w:t>
      </w:r>
      <w:r>
        <w:rPr>
          <w:spacing w:val="-13"/>
        </w:rPr>
        <w:t xml:space="preserve"> </w:t>
      </w:r>
      <w:r>
        <w:t>be</w:t>
      </w:r>
      <w:r>
        <w:rPr>
          <w:spacing w:val="-12"/>
        </w:rPr>
        <w:t xml:space="preserve"> </w:t>
      </w:r>
      <w:r>
        <w:t>mainstreamed</w:t>
      </w:r>
      <w:r>
        <w:rPr>
          <w:spacing w:val="-13"/>
        </w:rPr>
        <w:t xml:space="preserve"> </w:t>
      </w:r>
      <w:r>
        <w:t>across</w:t>
      </w:r>
      <w:r>
        <w:rPr>
          <w:spacing w:val="-11"/>
        </w:rPr>
        <w:t xml:space="preserve"> </w:t>
      </w:r>
      <w:r>
        <w:t>all</w:t>
      </w:r>
      <w:r>
        <w:rPr>
          <w:spacing w:val="-11"/>
        </w:rPr>
        <w:t xml:space="preserve"> </w:t>
      </w:r>
      <w:r>
        <w:t>areas, including education, health, basic service infrastructure, and others.</w:t>
      </w:r>
    </w:p>
    <w:p w14:paraId="20E493FC" w14:textId="77777777" w:rsidR="00BC24A8" w:rsidRDefault="00000000">
      <w:pPr>
        <w:pStyle w:val="ListParagraph"/>
        <w:numPr>
          <w:ilvl w:val="1"/>
          <w:numId w:val="54"/>
        </w:numPr>
        <w:tabs>
          <w:tab w:val="left" w:pos="861"/>
          <w:tab w:val="left" w:pos="863"/>
        </w:tabs>
        <w:ind w:right="562" w:hanging="361"/>
      </w:pPr>
      <w:r>
        <w:t>A</w:t>
      </w:r>
      <w:r>
        <w:rPr>
          <w:spacing w:val="-9"/>
        </w:rPr>
        <w:t xml:space="preserve"> </w:t>
      </w:r>
      <w:r>
        <w:t>total</w:t>
      </w:r>
      <w:r>
        <w:rPr>
          <w:spacing w:val="-10"/>
        </w:rPr>
        <w:t xml:space="preserve"> </w:t>
      </w:r>
      <w:r>
        <w:t>of</w:t>
      </w:r>
      <w:r>
        <w:rPr>
          <w:spacing w:val="-10"/>
        </w:rPr>
        <w:t xml:space="preserve"> </w:t>
      </w:r>
      <w:r>
        <w:t>28</w:t>
      </w:r>
      <w:r>
        <w:rPr>
          <w:spacing w:val="-11"/>
        </w:rPr>
        <w:t xml:space="preserve"> </w:t>
      </w:r>
      <w:r>
        <w:t>Policy</w:t>
      </w:r>
      <w:r>
        <w:rPr>
          <w:spacing w:val="-8"/>
        </w:rPr>
        <w:t xml:space="preserve"> </w:t>
      </w:r>
      <w:r>
        <w:t>Briefs</w:t>
      </w:r>
      <w:r>
        <w:rPr>
          <w:spacing w:val="-10"/>
        </w:rPr>
        <w:t xml:space="preserve"> </w:t>
      </w:r>
      <w:r>
        <w:t>have</w:t>
      </w:r>
      <w:r>
        <w:rPr>
          <w:spacing w:val="-10"/>
        </w:rPr>
        <w:t xml:space="preserve"> </w:t>
      </w:r>
      <w:r>
        <w:t>been</w:t>
      </w:r>
      <w:r>
        <w:rPr>
          <w:spacing w:val="-11"/>
        </w:rPr>
        <w:t xml:space="preserve"> </w:t>
      </w:r>
      <w:r>
        <w:t>published</w:t>
      </w:r>
      <w:r>
        <w:rPr>
          <w:spacing w:val="-11"/>
        </w:rPr>
        <w:t xml:space="preserve"> </w:t>
      </w:r>
      <w:r>
        <w:t>on</w:t>
      </w:r>
      <w:r>
        <w:rPr>
          <w:spacing w:val="-11"/>
        </w:rPr>
        <w:t xml:space="preserve"> </w:t>
      </w:r>
      <w:r>
        <w:t>the</w:t>
      </w:r>
      <w:r>
        <w:rPr>
          <w:spacing w:val="-10"/>
        </w:rPr>
        <w:t xml:space="preserve"> </w:t>
      </w:r>
      <w:r>
        <w:t>National</w:t>
      </w:r>
      <w:r>
        <w:rPr>
          <w:spacing w:val="-10"/>
        </w:rPr>
        <w:t xml:space="preserve"> </w:t>
      </w:r>
      <w:r>
        <w:t>Institute</w:t>
      </w:r>
      <w:r>
        <w:rPr>
          <w:spacing w:val="-10"/>
        </w:rPr>
        <w:t xml:space="preserve"> </w:t>
      </w:r>
      <w:r>
        <w:t>of</w:t>
      </w:r>
      <w:r>
        <w:rPr>
          <w:spacing w:val="-10"/>
        </w:rPr>
        <w:t xml:space="preserve"> </w:t>
      </w:r>
      <w:r>
        <w:t>Public</w:t>
      </w:r>
      <w:r>
        <w:rPr>
          <w:spacing w:val="-12"/>
        </w:rPr>
        <w:t xml:space="preserve"> </w:t>
      </w:r>
      <w:r>
        <w:t>Administration (LAN) website as a result of capacity building for 25 civil servants, one academic, and two persons with disabilities (14 men, 14 women).</w:t>
      </w:r>
    </w:p>
    <w:p w14:paraId="7C0DECEE" w14:textId="77777777" w:rsidR="00BC24A8" w:rsidRDefault="00BC24A8">
      <w:pPr>
        <w:pStyle w:val="BodyText"/>
        <w:spacing w:before="202"/>
      </w:pPr>
    </w:p>
    <w:p w14:paraId="3D47641E" w14:textId="77777777" w:rsidR="00BC24A8" w:rsidRDefault="00000000">
      <w:pPr>
        <w:pStyle w:val="Heading5"/>
      </w:pPr>
      <w:r>
        <w:t>GEDSI</w:t>
      </w:r>
      <w:r>
        <w:rPr>
          <w:spacing w:val="-5"/>
        </w:rPr>
        <w:t xml:space="preserve"> </w:t>
      </w:r>
      <w:r>
        <w:t>–</w:t>
      </w:r>
      <w:r>
        <w:rPr>
          <w:spacing w:val="-3"/>
        </w:rPr>
        <w:t xml:space="preserve"> </w:t>
      </w:r>
      <w:r>
        <w:t>Participation</w:t>
      </w:r>
      <w:r>
        <w:rPr>
          <w:spacing w:val="-4"/>
        </w:rPr>
        <w:t xml:space="preserve"> </w:t>
      </w:r>
      <w:r>
        <w:t>and</w:t>
      </w:r>
      <w:r>
        <w:rPr>
          <w:spacing w:val="-5"/>
        </w:rPr>
        <w:t xml:space="preserve"> </w:t>
      </w:r>
      <w:r>
        <w:t>Planning</w:t>
      </w:r>
      <w:r>
        <w:rPr>
          <w:spacing w:val="-4"/>
        </w:rPr>
        <w:t xml:space="preserve"> </w:t>
      </w:r>
      <w:r>
        <w:t>(IO</w:t>
      </w:r>
      <w:r>
        <w:rPr>
          <w:spacing w:val="-7"/>
        </w:rPr>
        <w:t xml:space="preserve"> </w:t>
      </w:r>
      <w:r>
        <w:t>7</w:t>
      </w:r>
      <w:r>
        <w:rPr>
          <w:spacing w:val="-3"/>
        </w:rPr>
        <w:t xml:space="preserve"> </w:t>
      </w:r>
      <w:r>
        <w:t>and</w:t>
      </w:r>
      <w:r>
        <w:rPr>
          <w:spacing w:val="-4"/>
        </w:rPr>
        <w:t xml:space="preserve"> </w:t>
      </w:r>
      <w:r>
        <w:rPr>
          <w:spacing w:val="-5"/>
        </w:rPr>
        <w:t>8)</w:t>
      </w:r>
    </w:p>
    <w:p w14:paraId="76D89DE6" w14:textId="77777777" w:rsidR="00BC24A8" w:rsidRDefault="00000000">
      <w:pPr>
        <w:pStyle w:val="ListParagraph"/>
        <w:numPr>
          <w:ilvl w:val="1"/>
          <w:numId w:val="54"/>
        </w:numPr>
        <w:tabs>
          <w:tab w:val="left" w:pos="863"/>
        </w:tabs>
        <w:spacing w:before="159"/>
        <w:jc w:val="left"/>
      </w:pPr>
      <w:r>
        <w:t>SKALA</w:t>
      </w:r>
      <w:r>
        <w:rPr>
          <w:spacing w:val="-5"/>
        </w:rPr>
        <w:t xml:space="preserve"> </w:t>
      </w:r>
      <w:r>
        <w:t>facilitates</w:t>
      </w:r>
      <w:r>
        <w:rPr>
          <w:spacing w:val="-6"/>
        </w:rPr>
        <w:t xml:space="preserve"> </w:t>
      </w:r>
      <w:r>
        <w:t>participatory</w:t>
      </w:r>
      <w:r>
        <w:rPr>
          <w:spacing w:val="-5"/>
        </w:rPr>
        <w:t xml:space="preserve"> </w:t>
      </w:r>
      <w:r>
        <w:t>planning</w:t>
      </w:r>
      <w:r>
        <w:rPr>
          <w:spacing w:val="-8"/>
        </w:rPr>
        <w:t xml:space="preserve"> </w:t>
      </w:r>
      <w:r>
        <w:t>forums</w:t>
      </w:r>
      <w:r>
        <w:rPr>
          <w:spacing w:val="-3"/>
        </w:rPr>
        <w:t xml:space="preserve"> </w:t>
      </w:r>
      <w:r>
        <w:t>in</w:t>
      </w:r>
      <w:r>
        <w:rPr>
          <w:spacing w:val="-4"/>
        </w:rPr>
        <w:t xml:space="preserve"> </w:t>
      </w:r>
      <w:r>
        <w:t>the</w:t>
      </w:r>
      <w:r>
        <w:rPr>
          <w:spacing w:val="-5"/>
        </w:rPr>
        <w:t xml:space="preserve"> </w:t>
      </w:r>
      <w:r>
        <w:rPr>
          <w:spacing w:val="-2"/>
        </w:rPr>
        <w:t>Province:</w:t>
      </w:r>
    </w:p>
    <w:p w14:paraId="6F2E79F0" w14:textId="77777777" w:rsidR="00BC24A8" w:rsidRDefault="00000000">
      <w:pPr>
        <w:pStyle w:val="ListParagraph"/>
        <w:numPr>
          <w:ilvl w:val="2"/>
          <w:numId w:val="54"/>
        </w:numPr>
        <w:tabs>
          <w:tab w:val="left" w:pos="1222"/>
        </w:tabs>
        <w:spacing w:before="120"/>
        <w:ind w:left="1222" w:hanging="359"/>
        <w:jc w:val="left"/>
      </w:pPr>
      <w:r>
        <w:t>For</w:t>
      </w:r>
      <w:r>
        <w:rPr>
          <w:spacing w:val="-6"/>
        </w:rPr>
        <w:t xml:space="preserve"> </w:t>
      </w:r>
      <w:r>
        <w:t>the</w:t>
      </w:r>
      <w:r>
        <w:rPr>
          <w:spacing w:val="-8"/>
        </w:rPr>
        <w:t xml:space="preserve"> </w:t>
      </w:r>
      <w:r>
        <w:t>first</w:t>
      </w:r>
      <w:r>
        <w:rPr>
          <w:spacing w:val="-6"/>
        </w:rPr>
        <w:t xml:space="preserve"> </w:t>
      </w:r>
      <w:r>
        <w:t>time,</w:t>
      </w:r>
      <w:r>
        <w:rPr>
          <w:spacing w:val="-6"/>
        </w:rPr>
        <w:t xml:space="preserve"> </w:t>
      </w:r>
      <w:r>
        <w:t>NTT</w:t>
      </w:r>
      <w:r>
        <w:rPr>
          <w:spacing w:val="-8"/>
        </w:rPr>
        <w:t xml:space="preserve"> </w:t>
      </w:r>
      <w:r>
        <w:t>Province</w:t>
      </w:r>
      <w:r>
        <w:rPr>
          <w:spacing w:val="-7"/>
        </w:rPr>
        <w:t xml:space="preserve"> </w:t>
      </w:r>
      <w:r>
        <w:t>held</w:t>
      </w:r>
      <w:r>
        <w:rPr>
          <w:spacing w:val="-6"/>
        </w:rPr>
        <w:t xml:space="preserve"> </w:t>
      </w:r>
      <w:r>
        <w:t>an</w:t>
      </w:r>
      <w:r>
        <w:rPr>
          <w:spacing w:val="-6"/>
        </w:rPr>
        <w:t xml:space="preserve"> </w:t>
      </w:r>
      <w:r>
        <w:t>Inclusive</w:t>
      </w:r>
      <w:r>
        <w:rPr>
          <w:spacing w:val="-8"/>
        </w:rPr>
        <w:t xml:space="preserve"> </w:t>
      </w:r>
      <w:r>
        <w:rPr>
          <w:i/>
        </w:rPr>
        <w:t>Musrenbang</w:t>
      </w:r>
      <w:r>
        <w:rPr>
          <w:i/>
          <w:spacing w:val="-6"/>
        </w:rPr>
        <w:t xml:space="preserve"> </w:t>
      </w:r>
      <w:r>
        <w:t>(MUSIK</w:t>
      </w:r>
      <w:r>
        <w:rPr>
          <w:spacing w:val="-7"/>
        </w:rPr>
        <w:t xml:space="preserve"> </w:t>
      </w:r>
      <w:r>
        <w:t>KEREN),</w:t>
      </w:r>
      <w:r>
        <w:rPr>
          <w:spacing w:val="-6"/>
        </w:rPr>
        <w:t xml:space="preserve"> </w:t>
      </w:r>
      <w:r>
        <w:t>attended</w:t>
      </w:r>
      <w:r>
        <w:rPr>
          <w:spacing w:val="-6"/>
        </w:rPr>
        <w:t xml:space="preserve"> </w:t>
      </w:r>
      <w:r>
        <w:rPr>
          <w:spacing w:val="-5"/>
        </w:rPr>
        <w:t>by</w:t>
      </w:r>
    </w:p>
    <w:p w14:paraId="6508CFEA" w14:textId="77777777" w:rsidR="00BC24A8" w:rsidRDefault="00000000">
      <w:pPr>
        <w:pStyle w:val="BodyText"/>
        <w:spacing w:before="15" w:line="259" w:lineRule="auto"/>
        <w:ind w:left="1223" w:right="662"/>
      </w:pPr>
      <w:r>
        <w:t>100</w:t>
      </w:r>
      <w:r>
        <w:rPr>
          <w:spacing w:val="40"/>
        </w:rPr>
        <w:t xml:space="preserve"> </w:t>
      </w:r>
      <w:r>
        <w:t>individuals</w:t>
      </w:r>
      <w:r>
        <w:rPr>
          <w:spacing w:val="40"/>
        </w:rPr>
        <w:t xml:space="preserve"> </w:t>
      </w:r>
      <w:r>
        <w:t>(58</w:t>
      </w:r>
      <w:r>
        <w:rPr>
          <w:spacing w:val="40"/>
        </w:rPr>
        <w:t xml:space="preserve"> </w:t>
      </w:r>
      <w:r>
        <w:t>men,</w:t>
      </w:r>
      <w:r>
        <w:rPr>
          <w:spacing w:val="40"/>
        </w:rPr>
        <w:t xml:space="preserve"> </w:t>
      </w:r>
      <w:r>
        <w:t>42</w:t>
      </w:r>
      <w:r>
        <w:rPr>
          <w:spacing w:val="40"/>
        </w:rPr>
        <w:t xml:space="preserve"> </w:t>
      </w:r>
      <w:r>
        <w:t>women)</w:t>
      </w:r>
      <w:r>
        <w:rPr>
          <w:spacing w:val="40"/>
        </w:rPr>
        <w:t xml:space="preserve"> </w:t>
      </w:r>
      <w:r>
        <w:t>from</w:t>
      </w:r>
      <w:r>
        <w:rPr>
          <w:spacing w:val="40"/>
        </w:rPr>
        <w:t xml:space="preserve"> </w:t>
      </w:r>
      <w:r>
        <w:t>the</w:t>
      </w:r>
      <w:r>
        <w:rPr>
          <w:spacing w:val="40"/>
        </w:rPr>
        <w:t xml:space="preserve"> </w:t>
      </w:r>
      <w:r>
        <w:t>government</w:t>
      </w:r>
      <w:r>
        <w:rPr>
          <w:spacing w:val="40"/>
        </w:rPr>
        <w:t xml:space="preserve"> </w:t>
      </w:r>
      <w:r>
        <w:t>institutions,</w:t>
      </w:r>
      <w:r>
        <w:rPr>
          <w:spacing w:val="40"/>
        </w:rPr>
        <w:t xml:space="preserve"> </w:t>
      </w:r>
      <w:r>
        <w:t>Civil</w:t>
      </w:r>
      <w:r>
        <w:rPr>
          <w:spacing w:val="40"/>
        </w:rPr>
        <w:t xml:space="preserve"> </w:t>
      </w:r>
      <w:r>
        <w:t>Society Organisations (CSOs), PWDs, and SKALA.</w:t>
      </w:r>
    </w:p>
    <w:p w14:paraId="1E1D3B39" w14:textId="77777777" w:rsidR="00BC24A8" w:rsidRDefault="00000000">
      <w:pPr>
        <w:pStyle w:val="BodyText"/>
        <w:spacing w:before="3"/>
        <w:rPr>
          <w:sz w:val="14"/>
        </w:rPr>
      </w:pPr>
      <w:r>
        <w:rPr>
          <w:noProof/>
          <w:sz w:val="14"/>
        </w:rPr>
        <mc:AlternateContent>
          <mc:Choice Requires="wps">
            <w:drawing>
              <wp:anchor distT="0" distB="0" distL="0" distR="0" simplePos="0" relativeHeight="487625728" behindDoc="1" locked="0" layoutInCell="1" allowOverlap="1" wp14:anchorId="415FF3DA" wp14:editId="49AA7172">
                <wp:simplePos x="0" y="0"/>
                <wp:positionH relativeFrom="page">
                  <wp:posOffset>900683</wp:posOffset>
                </wp:positionH>
                <wp:positionV relativeFrom="paragraph">
                  <wp:posOffset>126102</wp:posOffset>
                </wp:positionV>
                <wp:extent cx="1828800" cy="9525"/>
                <wp:effectExtent l="0" t="0" r="0" b="0"/>
                <wp:wrapTopAndBottom/>
                <wp:docPr id="234" name="Graphic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D8D023" id="Graphic 234" o:spid="_x0000_s1026" alt="&quot;&quot;" style="position:absolute;margin-left:70.9pt;margin-top:9.95pt;width:2in;height:.75pt;z-index:-1569075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" path="m1828800,l,,,9144r1828800,l1828800,xe" fillcolor="black" stroked="f">
                <v:path arrowok="t"/>
                <w10:wrap type="topAndBottom" anchorx="page"/>
              </v:shape>
            </w:pict>
          </mc:Fallback>
        </mc:AlternateContent>
      </w:r>
    </w:p>
    <w:p w14:paraId="6275ACCE" w14:textId="77777777" w:rsidR="00BC24A8" w:rsidRDefault="00BC24A8">
      <w:pPr>
        <w:pStyle w:val="BodyText"/>
        <w:spacing w:before="105"/>
        <w:rPr>
          <w:sz w:val="16"/>
        </w:rPr>
      </w:pPr>
    </w:p>
    <w:p w14:paraId="57735664" w14:textId="77777777" w:rsidR="00BC24A8" w:rsidRDefault="00000000">
      <w:pPr>
        <w:spacing w:before="1"/>
        <w:ind w:left="143" w:right="662" w:hanging="1"/>
        <w:rPr>
          <w:sz w:val="16"/>
        </w:rPr>
      </w:pPr>
      <w:bookmarkStart w:id="205" w:name="_bookmark141"/>
      <w:bookmarkEnd w:id="205"/>
      <w:r>
        <w:rPr>
          <w:color w:val="767070"/>
          <w:sz w:val="16"/>
          <w:vertAlign w:val="superscript"/>
        </w:rPr>
        <w:t>70</w:t>
      </w:r>
      <w:r>
        <w:rPr>
          <w:color w:val="767070"/>
          <w:sz w:val="16"/>
        </w:rPr>
        <w:t xml:space="preserve"> REGSOSEK (Socio-Economic Registration) is a social welfare database launched by the Ministry of National Development</w:t>
      </w:r>
      <w:r>
        <w:rPr>
          <w:color w:val="767070"/>
          <w:spacing w:val="40"/>
          <w:sz w:val="16"/>
        </w:rPr>
        <w:t xml:space="preserve"> </w:t>
      </w:r>
      <w:r>
        <w:rPr>
          <w:color w:val="767070"/>
          <w:sz w:val="16"/>
        </w:rPr>
        <w:t>Planning/Bappenas.</w:t>
      </w:r>
      <w:r>
        <w:rPr>
          <w:color w:val="767070"/>
          <w:spacing w:val="-8"/>
          <w:sz w:val="16"/>
        </w:rPr>
        <w:t xml:space="preserve"> </w:t>
      </w:r>
      <w:r>
        <w:rPr>
          <w:color w:val="767070"/>
          <w:sz w:val="16"/>
        </w:rPr>
        <w:t>P3KE:</w:t>
      </w:r>
      <w:r>
        <w:rPr>
          <w:color w:val="767070"/>
          <w:spacing w:val="-6"/>
          <w:sz w:val="16"/>
        </w:rPr>
        <w:t xml:space="preserve"> </w:t>
      </w:r>
      <w:r>
        <w:rPr>
          <w:color w:val="767070"/>
          <w:sz w:val="16"/>
        </w:rPr>
        <w:t>Targeting</w:t>
      </w:r>
      <w:r>
        <w:rPr>
          <w:color w:val="767070"/>
          <w:spacing w:val="-8"/>
          <w:sz w:val="16"/>
        </w:rPr>
        <w:t xml:space="preserve"> </w:t>
      </w:r>
      <w:r>
        <w:rPr>
          <w:color w:val="767070"/>
          <w:sz w:val="16"/>
        </w:rPr>
        <w:t>for</w:t>
      </w:r>
      <w:r>
        <w:rPr>
          <w:color w:val="767070"/>
          <w:spacing w:val="-7"/>
          <w:sz w:val="16"/>
        </w:rPr>
        <w:t xml:space="preserve"> </w:t>
      </w:r>
      <w:r>
        <w:rPr>
          <w:color w:val="767070"/>
          <w:sz w:val="16"/>
        </w:rPr>
        <w:t>Acceleration</w:t>
      </w:r>
      <w:r>
        <w:rPr>
          <w:color w:val="767070"/>
          <w:spacing w:val="-9"/>
          <w:sz w:val="16"/>
        </w:rPr>
        <w:t xml:space="preserve"> </w:t>
      </w:r>
      <w:r>
        <w:rPr>
          <w:color w:val="767070"/>
          <w:sz w:val="16"/>
        </w:rPr>
        <w:t>of</w:t>
      </w:r>
      <w:r>
        <w:rPr>
          <w:color w:val="767070"/>
          <w:spacing w:val="-7"/>
          <w:sz w:val="16"/>
        </w:rPr>
        <w:t xml:space="preserve"> </w:t>
      </w:r>
      <w:r>
        <w:rPr>
          <w:color w:val="767070"/>
          <w:sz w:val="16"/>
        </w:rPr>
        <w:t>Extreme</w:t>
      </w:r>
      <w:r>
        <w:rPr>
          <w:color w:val="767070"/>
          <w:spacing w:val="-9"/>
          <w:sz w:val="16"/>
        </w:rPr>
        <w:t xml:space="preserve"> </w:t>
      </w:r>
      <w:r>
        <w:rPr>
          <w:color w:val="767070"/>
          <w:sz w:val="16"/>
        </w:rPr>
        <w:t>Poverty</w:t>
      </w:r>
      <w:r>
        <w:rPr>
          <w:color w:val="767070"/>
          <w:spacing w:val="-6"/>
          <w:sz w:val="16"/>
        </w:rPr>
        <w:t xml:space="preserve"> </w:t>
      </w:r>
      <w:r>
        <w:rPr>
          <w:color w:val="767070"/>
          <w:sz w:val="16"/>
        </w:rPr>
        <w:t>Reduction</w:t>
      </w:r>
      <w:r>
        <w:rPr>
          <w:color w:val="767070"/>
          <w:spacing w:val="-6"/>
          <w:sz w:val="16"/>
        </w:rPr>
        <w:t xml:space="preserve"> </w:t>
      </w:r>
      <w:r>
        <w:rPr>
          <w:color w:val="767070"/>
          <w:sz w:val="16"/>
        </w:rPr>
        <w:t>(TNP2K/Kemenko</w:t>
      </w:r>
      <w:r>
        <w:rPr>
          <w:color w:val="767070"/>
          <w:spacing w:val="-6"/>
          <w:sz w:val="16"/>
        </w:rPr>
        <w:t xml:space="preserve"> </w:t>
      </w:r>
      <w:r>
        <w:rPr>
          <w:color w:val="767070"/>
          <w:sz w:val="16"/>
        </w:rPr>
        <w:t>PMK).</w:t>
      </w:r>
      <w:r>
        <w:rPr>
          <w:color w:val="767070"/>
          <w:spacing w:val="-8"/>
          <w:sz w:val="16"/>
        </w:rPr>
        <w:t xml:space="preserve"> </w:t>
      </w:r>
      <w:r>
        <w:rPr>
          <w:color w:val="767070"/>
          <w:sz w:val="16"/>
        </w:rPr>
        <w:t>DTKS:</w:t>
      </w:r>
      <w:r>
        <w:rPr>
          <w:color w:val="767070"/>
          <w:spacing w:val="-6"/>
          <w:sz w:val="16"/>
        </w:rPr>
        <w:t xml:space="preserve"> </w:t>
      </w:r>
      <w:r>
        <w:rPr>
          <w:color w:val="767070"/>
          <w:sz w:val="16"/>
        </w:rPr>
        <w:t>Integrated</w:t>
      </w:r>
      <w:r>
        <w:rPr>
          <w:color w:val="767070"/>
          <w:spacing w:val="-6"/>
          <w:sz w:val="16"/>
        </w:rPr>
        <w:t xml:space="preserve"> </w:t>
      </w:r>
      <w:r>
        <w:rPr>
          <w:color w:val="767070"/>
          <w:sz w:val="16"/>
        </w:rPr>
        <w:t>Social</w:t>
      </w:r>
      <w:r>
        <w:rPr>
          <w:color w:val="767070"/>
          <w:spacing w:val="-9"/>
          <w:sz w:val="16"/>
        </w:rPr>
        <w:t xml:space="preserve"> </w:t>
      </w:r>
      <w:r>
        <w:rPr>
          <w:color w:val="767070"/>
          <w:sz w:val="16"/>
        </w:rPr>
        <w:t>Welfare</w:t>
      </w:r>
      <w:r>
        <w:rPr>
          <w:color w:val="767070"/>
          <w:spacing w:val="40"/>
          <w:sz w:val="16"/>
        </w:rPr>
        <w:t xml:space="preserve"> </w:t>
      </w:r>
      <w:r>
        <w:rPr>
          <w:color w:val="767070"/>
          <w:sz w:val="16"/>
        </w:rPr>
        <w:t>Database (Ministry of Social Affairs).</w:t>
      </w:r>
    </w:p>
    <w:p w14:paraId="7EC62852" w14:textId="77777777" w:rsidR="00BC24A8" w:rsidRDefault="00BC24A8">
      <w:pPr>
        <w:rPr>
          <w:sz w:val="16"/>
        </w:rPr>
        <w:sectPr w:rsidR="00BC24A8">
          <w:pgSz w:w="11910" w:h="16840"/>
          <w:pgMar w:top="1320" w:right="850" w:bottom="1100" w:left="1275" w:header="0" w:footer="907" w:gutter="0"/>
          <w:cols w:space="720"/>
        </w:sectPr>
      </w:pPr>
    </w:p>
    <w:p w14:paraId="1305C482" w14:textId="77777777" w:rsidR="00BC24A8" w:rsidRDefault="00000000">
      <w:pPr>
        <w:pStyle w:val="ListParagraph"/>
        <w:numPr>
          <w:ilvl w:val="2"/>
          <w:numId w:val="54"/>
        </w:numPr>
        <w:tabs>
          <w:tab w:val="left" w:pos="1221"/>
          <w:tab w:val="left" w:pos="1223"/>
        </w:tabs>
        <w:spacing w:before="59" w:line="252" w:lineRule="auto"/>
        <w:ind w:right="562"/>
        <w:jc w:val="left"/>
      </w:pPr>
      <w:r>
        <w:t>Following this, SKALA convened CSOs, the provincial government, and the NTT Provincial Parliament to advocate for the recommendations resulting from MUSIK KEREN.</w:t>
      </w:r>
    </w:p>
    <w:p w14:paraId="5F50664C" w14:textId="77777777" w:rsidR="00BC24A8" w:rsidRDefault="00000000">
      <w:pPr>
        <w:pStyle w:val="ListParagraph"/>
        <w:numPr>
          <w:ilvl w:val="2"/>
          <w:numId w:val="54"/>
        </w:numPr>
        <w:tabs>
          <w:tab w:val="left" w:pos="1221"/>
          <w:tab w:val="left" w:pos="1223"/>
        </w:tabs>
        <w:spacing w:before="7" w:line="252" w:lineRule="auto"/>
        <w:ind w:right="564"/>
        <w:jc w:val="left"/>
      </w:pPr>
      <w:r>
        <w:t>A total of 22 CSOs have been involved in the entire series of MUSIK KEREN, from guideline preparation and regulation issuance to implementation.</w:t>
      </w:r>
    </w:p>
    <w:p w14:paraId="2A715EDB" w14:textId="77777777" w:rsidR="00BC24A8" w:rsidRDefault="00000000">
      <w:pPr>
        <w:pStyle w:val="ListParagraph"/>
        <w:numPr>
          <w:ilvl w:val="2"/>
          <w:numId w:val="54"/>
        </w:numPr>
        <w:tabs>
          <w:tab w:val="left" w:pos="1221"/>
          <w:tab w:val="left" w:pos="1223"/>
        </w:tabs>
        <w:spacing w:before="10" w:line="252" w:lineRule="auto"/>
        <w:ind w:right="560"/>
        <w:jc w:val="left"/>
      </w:pPr>
      <w:r>
        <w:t>During</w:t>
      </w:r>
      <w:r>
        <w:rPr>
          <w:spacing w:val="34"/>
        </w:rPr>
        <w:t xml:space="preserve"> </w:t>
      </w:r>
      <w:r>
        <w:t>the</w:t>
      </w:r>
      <w:r>
        <w:rPr>
          <w:spacing w:val="33"/>
        </w:rPr>
        <w:t xml:space="preserve"> </w:t>
      </w:r>
      <w:r>
        <w:t>preparation</w:t>
      </w:r>
      <w:r>
        <w:rPr>
          <w:spacing w:val="34"/>
        </w:rPr>
        <w:t xml:space="preserve"> </w:t>
      </w:r>
      <w:r>
        <w:t>stage,</w:t>
      </w:r>
      <w:r>
        <w:rPr>
          <w:spacing w:val="35"/>
        </w:rPr>
        <w:t xml:space="preserve"> </w:t>
      </w:r>
      <w:r>
        <w:t>15</w:t>
      </w:r>
      <w:r>
        <w:rPr>
          <w:spacing w:val="35"/>
        </w:rPr>
        <w:t xml:space="preserve"> </w:t>
      </w:r>
      <w:r>
        <w:t>CSOs</w:t>
      </w:r>
      <w:r>
        <w:rPr>
          <w:spacing w:val="35"/>
        </w:rPr>
        <w:t xml:space="preserve"> </w:t>
      </w:r>
      <w:r>
        <w:t>received</w:t>
      </w:r>
      <w:r>
        <w:rPr>
          <w:spacing w:val="34"/>
        </w:rPr>
        <w:t xml:space="preserve"> </w:t>
      </w:r>
      <w:r>
        <w:t>capacity</w:t>
      </w:r>
      <w:r>
        <w:rPr>
          <w:spacing w:val="35"/>
        </w:rPr>
        <w:t xml:space="preserve"> </w:t>
      </w:r>
      <w:r>
        <w:t>building</w:t>
      </w:r>
      <w:r>
        <w:rPr>
          <w:spacing w:val="34"/>
        </w:rPr>
        <w:t xml:space="preserve"> </w:t>
      </w:r>
      <w:r>
        <w:t>on</w:t>
      </w:r>
      <w:r>
        <w:rPr>
          <w:spacing w:val="32"/>
        </w:rPr>
        <w:t xml:space="preserve"> </w:t>
      </w:r>
      <w:r>
        <w:t>data</w:t>
      </w:r>
      <w:r>
        <w:rPr>
          <w:spacing w:val="33"/>
        </w:rPr>
        <w:t xml:space="preserve"> </w:t>
      </w:r>
      <w:r>
        <w:t>analysis</w:t>
      </w:r>
      <w:r>
        <w:rPr>
          <w:spacing w:val="35"/>
        </w:rPr>
        <w:t xml:space="preserve"> </w:t>
      </w:r>
      <w:r>
        <w:t>and utilisation, as well as planning and budgeting processes.</w:t>
      </w:r>
    </w:p>
    <w:p w14:paraId="5A50CAF4" w14:textId="77777777" w:rsidR="00BC24A8" w:rsidRDefault="00000000">
      <w:pPr>
        <w:pStyle w:val="ListParagraph"/>
        <w:numPr>
          <w:ilvl w:val="1"/>
          <w:numId w:val="54"/>
        </w:numPr>
        <w:tabs>
          <w:tab w:val="left" w:pos="861"/>
          <w:tab w:val="left" w:pos="863"/>
        </w:tabs>
        <w:spacing w:before="248"/>
        <w:ind w:right="563" w:hanging="361"/>
      </w:pPr>
      <w:r>
        <w:t xml:space="preserve">The draft Regional Action Plan for The Elderly (RAD </w:t>
      </w:r>
      <w:r>
        <w:rPr>
          <w:i/>
        </w:rPr>
        <w:t>Kelanjutusiaan</w:t>
      </w:r>
      <w:r>
        <w:t>) has been made available and received input from Provincial Agencies (OPDs) and CSOs through public consultation forums (31 men, 19 women).</w:t>
      </w:r>
    </w:p>
    <w:p w14:paraId="6886D2D9" w14:textId="77777777" w:rsidR="00BC24A8" w:rsidRDefault="00BC24A8">
      <w:pPr>
        <w:pStyle w:val="BodyText"/>
        <w:spacing w:before="241"/>
      </w:pPr>
    </w:p>
    <w:p w14:paraId="1753B15E" w14:textId="77777777" w:rsidR="00BC24A8" w:rsidRDefault="00000000">
      <w:pPr>
        <w:pStyle w:val="Heading5"/>
      </w:pPr>
      <w:r>
        <w:rPr>
          <w:color w:val="17365A"/>
        </w:rPr>
        <w:t>Impact</w:t>
      </w:r>
      <w:r>
        <w:rPr>
          <w:color w:val="17365A"/>
          <w:spacing w:val="-3"/>
        </w:rPr>
        <w:t xml:space="preserve"> </w:t>
      </w:r>
      <w:r>
        <w:rPr>
          <w:color w:val="17365A"/>
        </w:rPr>
        <w:t>of</w:t>
      </w:r>
      <w:r>
        <w:rPr>
          <w:color w:val="17365A"/>
          <w:spacing w:val="-2"/>
        </w:rPr>
        <w:t xml:space="preserve"> results/changes</w:t>
      </w:r>
    </w:p>
    <w:p w14:paraId="00C81129" w14:textId="77777777" w:rsidR="00BC24A8" w:rsidRDefault="00BC24A8">
      <w:pPr>
        <w:pStyle w:val="BodyText"/>
        <w:spacing w:before="10"/>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343"/>
        <w:gridCol w:w="7756"/>
      </w:tblGrid>
      <w:tr w:rsidR="00BC24A8" w14:paraId="60DFD96C" w14:textId="77777777">
        <w:trPr>
          <w:trHeight w:val="357"/>
        </w:trPr>
        <w:tc>
          <w:tcPr>
            <w:tcW w:w="1343" w:type="dxa"/>
            <w:tcBorders>
              <w:bottom w:val="single" w:sz="4" w:space="0" w:color="BEBEBE"/>
            </w:tcBorders>
            <w:shd w:val="clear" w:color="auto" w:fill="17365A"/>
          </w:tcPr>
          <w:p w14:paraId="1646F33E" w14:textId="77777777" w:rsidR="00BC24A8" w:rsidRDefault="00000000">
            <w:pPr>
              <w:pStyle w:val="TableParagraph"/>
              <w:spacing w:before="56"/>
              <w:ind w:left="115"/>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756" w:type="dxa"/>
            <w:tcBorders>
              <w:bottom w:val="single" w:sz="4" w:space="0" w:color="BEBEBE"/>
            </w:tcBorders>
            <w:shd w:val="clear" w:color="auto" w:fill="17365A"/>
          </w:tcPr>
          <w:p w14:paraId="3AEE3E7B" w14:textId="77777777" w:rsidR="00BC24A8" w:rsidRDefault="00000000">
            <w:pPr>
              <w:pStyle w:val="TableParagraph"/>
              <w:spacing w:before="56"/>
              <w:ind w:left="121"/>
              <w:rPr>
                <w:rFonts w:ascii="Calibri"/>
                <w:b/>
                <w:sz w:val="20"/>
              </w:rPr>
            </w:pPr>
            <w:r>
              <w:rPr>
                <w:rFonts w:ascii="Calibri"/>
                <w:b/>
                <w:color w:val="FFFFFF"/>
                <w:spacing w:val="-2"/>
                <w:sz w:val="20"/>
              </w:rPr>
              <w:t>Impact</w:t>
            </w:r>
          </w:p>
        </w:tc>
      </w:tr>
      <w:tr w:rsidR="00BC24A8" w14:paraId="4809DAFD" w14:textId="77777777">
        <w:trPr>
          <w:trHeight w:val="3649"/>
        </w:trPr>
        <w:tc>
          <w:tcPr>
            <w:tcW w:w="1343" w:type="dxa"/>
            <w:tcBorders>
              <w:top w:val="single" w:sz="4" w:space="0" w:color="BEBEBE"/>
              <w:bottom w:val="single" w:sz="4" w:space="0" w:color="BEBEBE"/>
            </w:tcBorders>
          </w:tcPr>
          <w:p w14:paraId="06A4F993" w14:textId="77777777" w:rsidR="00BC24A8" w:rsidRDefault="00000000">
            <w:pPr>
              <w:pStyle w:val="TableParagraph"/>
              <w:spacing w:before="119"/>
              <w:ind w:left="115"/>
              <w:rPr>
                <w:sz w:val="18"/>
              </w:rPr>
            </w:pPr>
            <w:r>
              <w:rPr>
                <w:spacing w:val="-2"/>
                <w:sz w:val="18"/>
              </w:rPr>
              <w:t>Methodological</w:t>
            </w:r>
            <w:r>
              <w:rPr>
                <w:sz w:val="18"/>
              </w:rPr>
              <w:t xml:space="preserve"> </w:t>
            </w:r>
            <w:r>
              <w:rPr>
                <w:spacing w:val="-2"/>
                <w:sz w:val="18"/>
              </w:rPr>
              <w:t>impact</w:t>
            </w:r>
          </w:p>
        </w:tc>
        <w:tc>
          <w:tcPr>
            <w:tcW w:w="7756" w:type="dxa"/>
            <w:tcBorders>
              <w:top w:val="single" w:sz="4" w:space="0" w:color="BEBEBE"/>
              <w:bottom w:val="single" w:sz="4" w:space="0" w:color="BEBEBE"/>
            </w:tcBorders>
          </w:tcPr>
          <w:p w14:paraId="0207411E" w14:textId="77777777" w:rsidR="00BC24A8" w:rsidRDefault="00000000">
            <w:pPr>
              <w:pStyle w:val="TableParagraph"/>
              <w:spacing w:before="59"/>
              <w:ind w:left="121"/>
              <w:rPr>
                <w:sz w:val="18"/>
              </w:rPr>
            </w:pPr>
            <w:r>
              <w:rPr>
                <w:sz w:val="18"/>
              </w:rPr>
              <w:t>Guidelines,</w:t>
            </w:r>
            <w:r>
              <w:rPr>
                <w:spacing w:val="-4"/>
                <w:sz w:val="18"/>
              </w:rPr>
              <w:t xml:space="preserve"> </w:t>
            </w:r>
            <w:r>
              <w:rPr>
                <w:sz w:val="18"/>
              </w:rPr>
              <w:t>instruments,</w:t>
            </w:r>
            <w:r>
              <w:rPr>
                <w:spacing w:val="-3"/>
                <w:sz w:val="18"/>
              </w:rPr>
              <w:t xml:space="preserve"> </w:t>
            </w:r>
            <w:r>
              <w:rPr>
                <w:sz w:val="18"/>
              </w:rPr>
              <w:t>systems,</w:t>
            </w:r>
            <w:r>
              <w:rPr>
                <w:spacing w:val="-3"/>
                <w:sz w:val="18"/>
              </w:rPr>
              <w:t xml:space="preserve"> </w:t>
            </w:r>
            <w:r>
              <w:rPr>
                <w:sz w:val="18"/>
              </w:rPr>
              <w:t>strategies,</w:t>
            </w:r>
            <w:r>
              <w:rPr>
                <w:spacing w:val="-3"/>
                <w:sz w:val="18"/>
              </w:rPr>
              <w:t xml:space="preserve"> </w:t>
            </w:r>
            <w:r>
              <w:rPr>
                <w:sz w:val="18"/>
              </w:rPr>
              <w:t>and</w:t>
            </w:r>
            <w:r>
              <w:rPr>
                <w:spacing w:val="-2"/>
                <w:sz w:val="18"/>
              </w:rPr>
              <w:t xml:space="preserve"> evidence/data:</w:t>
            </w:r>
          </w:p>
          <w:p w14:paraId="6B59BEAA" w14:textId="77777777" w:rsidR="00BC24A8" w:rsidRDefault="00000000">
            <w:pPr>
              <w:pStyle w:val="TableParagraph"/>
              <w:numPr>
                <w:ilvl w:val="0"/>
                <w:numId w:val="52"/>
              </w:numPr>
              <w:tabs>
                <w:tab w:val="left" w:pos="452"/>
              </w:tabs>
              <w:spacing w:before="58"/>
              <w:rPr>
                <w:sz w:val="18"/>
              </w:rPr>
            </w:pPr>
            <w:r>
              <w:rPr>
                <w:sz w:val="18"/>
              </w:rPr>
              <w:t>Facilitation</w:t>
            </w:r>
            <w:r>
              <w:rPr>
                <w:spacing w:val="-4"/>
                <w:sz w:val="18"/>
              </w:rPr>
              <w:t xml:space="preserve"> </w:t>
            </w:r>
            <w:r>
              <w:rPr>
                <w:sz w:val="18"/>
              </w:rPr>
              <w:t>Guide</w:t>
            </w:r>
            <w:r>
              <w:rPr>
                <w:spacing w:val="-2"/>
                <w:sz w:val="18"/>
              </w:rPr>
              <w:t xml:space="preserve"> </w:t>
            </w:r>
            <w:r>
              <w:rPr>
                <w:sz w:val="18"/>
              </w:rPr>
              <w:t>for</w:t>
            </w:r>
            <w:r>
              <w:rPr>
                <w:spacing w:val="-1"/>
                <w:sz w:val="18"/>
              </w:rPr>
              <w:t xml:space="preserve"> </w:t>
            </w:r>
            <w:r>
              <w:rPr>
                <w:sz w:val="18"/>
              </w:rPr>
              <w:t>Vulnerable</w:t>
            </w:r>
            <w:r>
              <w:rPr>
                <w:spacing w:val="-5"/>
                <w:sz w:val="18"/>
              </w:rPr>
              <w:t xml:space="preserve"> </w:t>
            </w:r>
            <w:r>
              <w:rPr>
                <w:sz w:val="18"/>
              </w:rPr>
              <w:t>Group</w:t>
            </w:r>
            <w:r>
              <w:rPr>
                <w:spacing w:val="-2"/>
                <w:sz w:val="18"/>
              </w:rPr>
              <w:t xml:space="preserve"> </w:t>
            </w:r>
            <w:r>
              <w:rPr>
                <w:sz w:val="18"/>
              </w:rPr>
              <w:t>Inclusive</w:t>
            </w:r>
            <w:r>
              <w:rPr>
                <w:spacing w:val="-1"/>
                <w:sz w:val="18"/>
              </w:rPr>
              <w:t xml:space="preserve"> </w:t>
            </w:r>
            <w:r>
              <w:rPr>
                <w:sz w:val="18"/>
              </w:rPr>
              <w:t>Development</w:t>
            </w:r>
            <w:r>
              <w:rPr>
                <w:spacing w:val="-1"/>
                <w:sz w:val="18"/>
              </w:rPr>
              <w:t xml:space="preserve"> </w:t>
            </w:r>
            <w:r>
              <w:rPr>
                <w:sz w:val="18"/>
              </w:rPr>
              <w:t>Planning</w:t>
            </w:r>
            <w:r>
              <w:rPr>
                <w:spacing w:val="-3"/>
                <w:sz w:val="18"/>
              </w:rPr>
              <w:t xml:space="preserve"> </w:t>
            </w:r>
            <w:r>
              <w:rPr>
                <w:sz w:val="18"/>
              </w:rPr>
              <w:t>Meeting</w:t>
            </w:r>
            <w:r>
              <w:rPr>
                <w:spacing w:val="-2"/>
                <w:sz w:val="18"/>
              </w:rPr>
              <w:t xml:space="preserve"> </w:t>
            </w:r>
            <w:r>
              <w:rPr>
                <w:sz w:val="18"/>
              </w:rPr>
              <w:t>in</w:t>
            </w:r>
            <w:r>
              <w:rPr>
                <w:spacing w:val="-2"/>
                <w:sz w:val="18"/>
              </w:rPr>
              <w:t xml:space="preserve"> </w:t>
            </w:r>
            <w:r>
              <w:rPr>
                <w:sz w:val="18"/>
              </w:rPr>
              <w:t>NTT</w:t>
            </w:r>
            <w:r>
              <w:rPr>
                <w:spacing w:val="-2"/>
                <w:sz w:val="18"/>
              </w:rPr>
              <w:t xml:space="preserve"> Province.</w:t>
            </w:r>
          </w:p>
          <w:p w14:paraId="6CF46463" w14:textId="77777777" w:rsidR="00BC24A8" w:rsidRDefault="00000000">
            <w:pPr>
              <w:pStyle w:val="TableParagraph"/>
              <w:numPr>
                <w:ilvl w:val="0"/>
                <w:numId w:val="52"/>
              </w:numPr>
              <w:tabs>
                <w:tab w:val="left" w:pos="452"/>
              </w:tabs>
              <w:spacing w:before="1"/>
              <w:ind w:right="1091"/>
              <w:rPr>
                <w:sz w:val="18"/>
              </w:rPr>
            </w:pPr>
            <w:r>
              <w:rPr>
                <w:sz w:val="18"/>
              </w:rPr>
              <w:t>Technical</w:t>
            </w:r>
            <w:r>
              <w:rPr>
                <w:spacing w:val="-2"/>
                <w:sz w:val="18"/>
              </w:rPr>
              <w:t xml:space="preserve"> </w:t>
            </w:r>
            <w:r>
              <w:rPr>
                <w:sz w:val="18"/>
              </w:rPr>
              <w:t>Guidelines</w:t>
            </w:r>
            <w:r>
              <w:rPr>
                <w:spacing w:val="-3"/>
                <w:sz w:val="18"/>
              </w:rPr>
              <w:t xml:space="preserve"> </w:t>
            </w:r>
            <w:r>
              <w:rPr>
                <w:sz w:val="18"/>
              </w:rPr>
              <w:t>for</w:t>
            </w:r>
            <w:r>
              <w:rPr>
                <w:spacing w:val="-3"/>
                <w:sz w:val="18"/>
              </w:rPr>
              <w:t xml:space="preserve"> </w:t>
            </w:r>
            <w:r>
              <w:rPr>
                <w:sz w:val="18"/>
              </w:rPr>
              <w:t>One</w:t>
            </w:r>
            <w:r>
              <w:rPr>
                <w:spacing w:val="-3"/>
                <w:sz w:val="18"/>
              </w:rPr>
              <w:t xml:space="preserve"> </w:t>
            </w:r>
            <w:r>
              <w:rPr>
                <w:sz w:val="18"/>
              </w:rPr>
              <w:t>Data</w:t>
            </w:r>
            <w:r>
              <w:rPr>
                <w:spacing w:val="-6"/>
                <w:sz w:val="18"/>
              </w:rPr>
              <w:t xml:space="preserve"> </w:t>
            </w:r>
            <w:r>
              <w:rPr>
                <w:sz w:val="18"/>
              </w:rPr>
              <w:t>Indonesia</w:t>
            </w:r>
            <w:r>
              <w:rPr>
                <w:spacing w:val="-4"/>
                <w:sz w:val="18"/>
              </w:rPr>
              <w:t xml:space="preserve"> </w:t>
            </w:r>
            <w:r>
              <w:rPr>
                <w:sz w:val="18"/>
              </w:rPr>
              <w:t>at</w:t>
            </w:r>
            <w:r>
              <w:rPr>
                <w:spacing w:val="-2"/>
                <w:sz w:val="18"/>
              </w:rPr>
              <w:t xml:space="preserve"> </w:t>
            </w:r>
            <w:r>
              <w:rPr>
                <w:sz w:val="18"/>
              </w:rPr>
              <w:t>the</w:t>
            </w:r>
            <w:r>
              <w:rPr>
                <w:spacing w:val="-3"/>
                <w:sz w:val="18"/>
              </w:rPr>
              <w:t xml:space="preserve"> </w:t>
            </w:r>
            <w:r>
              <w:rPr>
                <w:sz w:val="18"/>
              </w:rPr>
              <w:t>NTT</w:t>
            </w:r>
            <w:r>
              <w:rPr>
                <w:spacing w:val="-4"/>
                <w:sz w:val="18"/>
              </w:rPr>
              <w:t xml:space="preserve"> </w:t>
            </w:r>
            <w:r>
              <w:rPr>
                <w:sz w:val="18"/>
              </w:rPr>
              <w:t>Province</w:t>
            </w:r>
            <w:r>
              <w:rPr>
                <w:spacing w:val="-3"/>
                <w:sz w:val="18"/>
              </w:rPr>
              <w:t xml:space="preserve"> </w:t>
            </w:r>
            <w:r>
              <w:rPr>
                <w:sz w:val="18"/>
              </w:rPr>
              <w:t>level</w:t>
            </w:r>
            <w:r>
              <w:rPr>
                <w:spacing w:val="-2"/>
                <w:sz w:val="18"/>
              </w:rPr>
              <w:t xml:space="preserve"> </w:t>
            </w:r>
            <w:r>
              <w:rPr>
                <w:sz w:val="18"/>
              </w:rPr>
              <w:t>and</w:t>
            </w:r>
            <w:r>
              <w:rPr>
                <w:spacing w:val="-3"/>
                <w:sz w:val="18"/>
              </w:rPr>
              <w:t xml:space="preserve"> </w:t>
            </w:r>
            <w:r>
              <w:rPr>
                <w:sz w:val="18"/>
              </w:rPr>
              <w:t>SOP</w:t>
            </w:r>
            <w:r>
              <w:rPr>
                <w:spacing w:val="-4"/>
                <w:sz w:val="18"/>
              </w:rPr>
              <w:t xml:space="preserve"> </w:t>
            </w:r>
            <w:r>
              <w:rPr>
                <w:sz w:val="18"/>
              </w:rPr>
              <w:t>for</w:t>
            </w:r>
            <w:r>
              <w:rPr>
                <w:spacing w:val="-3"/>
                <w:sz w:val="18"/>
              </w:rPr>
              <w:t xml:space="preserve"> </w:t>
            </w:r>
            <w:r>
              <w:rPr>
                <w:sz w:val="18"/>
              </w:rPr>
              <w:t>the Administration of the One Data Indonesia Forum at the Provincial level.</w:t>
            </w:r>
          </w:p>
          <w:p w14:paraId="76BC18A2" w14:textId="77777777" w:rsidR="00BC24A8" w:rsidRDefault="00000000">
            <w:pPr>
              <w:pStyle w:val="TableParagraph"/>
              <w:numPr>
                <w:ilvl w:val="0"/>
                <w:numId w:val="52"/>
              </w:numPr>
              <w:tabs>
                <w:tab w:val="left" w:pos="452"/>
              </w:tabs>
              <w:spacing w:line="219" w:lineRule="exact"/>
              <w:rPr>
                <w:sz w:val="18"/>
              </w:rPr>
            </w:pPr>
            <w:r>
              <w:rPr>
                <w:sz w:val="18"/>
              </w:rPr>
              <w:t>2024</w:t>
            </w:r>
            <w:r>
              <w:rPr>
                <w:spacing w:val="-5"/>
                <w:sz w:val="18"/>
              </w:rPr>
              <w:t xml:space="preserve"> </w:t>
            </w:r>
            <w:r>
              <w:rPr>
                <w:sz w:val="18"/>
              </w:rPr>
              <w:t>Metadata</w:t>
            </w:r>
            <w:r>
              <w:rPr>
                <w:spacing w:val="-4"/>
                <w:sz w:val="18"/>
              </w:rPr>
              <w:t xml:space="preserve"> </w:t>
            </w:r>
            <w:r>
              <w:rPr>
                <w:sz w:val="18"/>
              </w:rPr>
              <w:t>Report</w:t>
            </w:r>
            <w:r>
              <w:rPr>
                <w:spacing w:val="-2"/>
                <w:sz w:val="18"/>
              </w:rPr>
              <w:t xml:space="preserve"> </w:t>
            </w:r>
            <w:r>
              <w:rPr>
                <w:sz w:val="18"/>
              </w:rPr>
              <w:t>and</w:t>
            </w:r>
            <w:r>
              <w:rPr>
                <w:spacing w:val="-2"/>
                <w:sz w:val="18"/>
              </w:rPr>
              <w:t xml:space="preserve"> </w:t>
            </w:r>
            <w:r>
              <w:rPr>
                <w:sz w:val="18"/>
              </w:rPr>
              <w:t>draft</w:t>
            </w:r>
            <w:r>
              <w:rPr>
                <w:spacing w:val="-2"/>
                <w:sz w:val="18"/>
              </w:rPr>
              <w:t xml:space="preserve"> </w:t>
            </w:r>
            <w:r>
              <w:rPr>
                <w:sz w:val="18"/>
              </w:rPr>
              <w:t>2025</w:t>
            </w:r>
            <w:r>
              <w:rPr>
                <w:spacing w:val="-3"/>
                <w:sz w:val="18"/>
              </w:rPr>
              <w:t xml:space="preserve"> </w:t>
            </w:r>
            <w:r>
              <w:rPr>
                <w:sz w:val="18"/>
              </w:rPr>
              <w:t>Metadata</w:t>
            </w:r>
            <w:r>
              <w:rPr>
                <w:spacing w:val="-3"/>
                <w:sz w:val="18"/>
              </w:rPr>
              <w:t xml:space="preserve"> </w:t>
            </w:r>
            <w:r>
              <w:rPr>
                <w:spacing w:val="-2"/>
                <w:sz w:val="18"/>
              </w:rPr>
              <w:t>Report.</w:t>
            </w:r>
          </w:p>
          <w:p w14:paraId="2909E3A2" w14:textId="77777777" w:rsidR="00BC24A8" w:rsidRDefault="00000000">
            <w:pPr>
              <w:pStyle w:val="TableParagraph"/>
              <w:numPr>
                <w:ilvl w:val="0"/>
                <w:numId w:val="52"/>
              </w:numPr>
              <w:tabs>
                <w:tab w:val="left" w:pos="452"/>
              </w:tabs>
              <w:spacing w:line="219" w:lineRule="exact"/>
              <w:rPr>
                <w:sz w:val="18"/>
              </w:rPr>
            </w:pPr>
            <w:r>
              <w:rPr>
                <w:sz w:val="18"/>
              </w:rPr>
              <w:t>NTT</w:t>
            </w:r>
            <w:r>
              <w:rPr>
                <w:spacing w:val="-5"/>
                <w:sz w:val="18"/>
              </w:rPr>
              <w:t xml:space="preserve"> </w:t>
            </w:r>
            <w:r>
              <w:rPr>
                <w:sz w:val="18"/>
              </w:rPr>
              <w:t>Province</w:t>
            </w:r>
            <w:r>
              <w:rPr>
                <w:spacing w:val="-2"/>
                <w:sz w:val="18"/>
              </w:rPr>
              <w:t xml:space="preserve"> </w:t>
            </w:r>
            <w:r>
              <w:rPr>
                <w:sz w:val="18"/>
              </w:rPr>
              <w:t>RPJMD</w:t>
            </w:r>
            <w:r>
              <w:rPr>
                <w:spacing w:val="-1"/>
                <w:sz w:val="18"/>
              </w:rPr>
              <w:t xml:space="preserve"> </w:t>
            </w:r>
            <w:r>
              <w:rPr>
                <w:spacing w:val="-2"/>
                <w:sz w:val="18"/>
              </w:rPr>
              <w:t>2025–2029</w:t>
            </w:r>
          </w:p>
          <w:p w14:paraId="7B6E7D2A" w14:textId="77777777" w:rsidR="00BC24A8" w:rsidRDefault="00000000">
            <w:pPr>
              <w:pStyle w:val="TableParagraph"/>
              <w:numPr>
                <w:ilvl w:val="0"/>
                <w:numId w:val="52"/>
              </w:numPr>
              <w:tabs>
                <w:tab w:val="left" w:pos="121"/>
                <w:tab w:val="left" w:pos="452"/>
              </w:tabs>
              <w:spacing w:before="1" w:line="307" w:lineRule="auto"/>
              <w:ind w:left="121" w:right="5356" w:hanging="29"/>
              <w:rPr>
                <w:sz w:val="18"/>
              </w:rPr>
            </w:pPr>
            <w:r>
              <w:rPr>
                <w:sz w:val="18"/>
              </w:rPr>
              <w:t>SASANDO</w:t>
            </w:r>
            <w:r>
              <w:rPr>
                <w:spacing w:val="-11"/>
                <w:sz w:val="18"/>
              </w:rPr>
              <w:t xml:space="preserve"> </w:t>
            </w:r>
            <w:r>
              <w:rPr>
                <w:sz w:val="18"/>
              </w:rPr>
              <w:t>One</w:t>
            </w:r>
            <w:r>
              <w:rPr>
                <w:spacing w:val="-10"/>
                <w:sz w:val="18"/>
              </w:rPr>
              <w:t xml:space="preserve"> </w:t>
            </w:r>
            <w:r>
              <w:rPr>
                <w:sz w:val="18"/>
              </w:rPr>
              <w:t>Data</w:t>
            </w:r>
            <w:r>
              <w:rPr>
                <w:spacing w:val="-10"/>
                <w:sz w:val="18"/>
              </w:rPr>
              <w:t xml:space="preserve"> </w:t>
            </w:r>
            <w:r>
              <w:rPr>
                <w:sz w:val="18"/>
              </w:rPr>
              <w:t>Portal. Policies/Regulations available:</w:t>
            </w:r>
          </w:p>
          <w:p w14:paraId="58C4A0C1" w14:textId="77777777" w:rsidR="00BC24A8" w:rsidRDefault="00000000">
            <w:pPr>
              <w:pStyle w:val="TableParagraph"/>
              <w:numPr>
                <w:ilvl w:val="0"/>
                <w:numId w:val="52"/>
              </w:numPr>
              <w:tabs>
                <w:tab w:val="left" w:pos="452"/>
              </w:tabs>
              <w:spacing w:line="242" w:lineRule="auto"/>
              <w:ind w:right="227"/>
              <w:rPr>
                <w:sz w:val="18"/>
              </w:rPr>
            </w:pPr>
            <w:r>
              <w:rPr>
                <w:sz w:val="18"/>
              </w:rPr>
              <w:t>Governor</w:t>
            </w:r>
            <w:r>
              <w:rPr>
                <w:spacing w:val="-4"/>
                <w:sz w:val="18"/>
              </w:rPr>
              <w:t xml:space="preserve"> </w:t>
            </w:r>
            <w:r>
              <w:rPr>
                <w:sz w:val="18"/>
              </w:rPr>
              <w:t>Regulation</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Implementation</w:t>
            </w:r>
            <w:r>
              <w:rPr>
                <w:spacing w:val="-4"/>
                <w:sz w:val="18"/>
              </w:rPr>
              <w:t xml:space="preserve"> </w:t>
            </w:r>
            <w:r>
              <w:rPr>
                <w:sz w:val="18"/>
              </w:rPr>
              <w:t>of</w:t>
            </w:r>
            <w:r>
              <w:rPr>
                <w:spacing w:val="-4"/>
                <w:sz w:val="18"/>
              </w:rPr>
              <w:t xml:space="preserve"> </w:t>
            </w:r>
            <w:r>
              <w:rPr>
                <w:sz w:val="18"/>
              </w:rPr>
              <w:t>Vulnerable</w:t>
            </w:r>
            <w:r>
              <w:rPr>
                <w:spacing w:val="-4"/>
                <w:sz w:val="18"/>
              </w:rPr>
              <w:t xml:space="preserve"> </w:t>
            </w:r>
            <w:r>
              <w:rPr>
                <w:sz w:val="18"/>
              </w:rPr>
              <w:t>Group</w:t>
            </w:r>
            <w:r>
              <w:rPr>
                <w:spacing w:val="-4"/>
                <w:sz w:val="18"/>
              </w:rPr>
              <w:t xml:space="preserve"> </w:t>
            </w:r>
            <w:r>
              <w:rPr>
                <w:sz w:val="18"/>
              </w:rPr>
              <w:t>Inclusive</w:t>
            </w:r>
            <w:r>
              <w:rPr>
                <w:spacing w:val="-6"/>
                <w:sz w:val="18"/>
              </w:rPr>
              <w:t xml:space="preserve"> </w:t>
            </w:r>
            <w:r>
              <w:rPr>
                <w:sz w:val="18"/>
              </w:rPr>
              <w:t>Development</w:t>
            </w:r>
            <w:r>
              <w:rPr>
                <w:spacing w:val="-3"/>
                <w:sz w:val="18"/>
              </w:rPr>
              <w:t xml:space="preserve"> </w:t>
            </w:r>
            <w:r>
              <w:rPr>
                <w:sz w:val="18"/>
              </w:rPr>
              <w:t>Planning Consultation in NTT Province.</w:t>
            </w:r>
          </w:p>
          <w:p w14:paraId="0A57E68E" w14:textId="77777777" w:rsidR="00BC24A8" w:rsidRDefault="00000000">
            <w:pPr>
              <w:pStyle w:val="TableParagraph"/>
              <w:numPr>
                <w:ilvl w:val="0"/>
                <w:numId w:val="52"/>
              </w:numPr>
              <w:tabs>
                <w:tab w:val="left" w:pos="452"/>
              </w:tabs>
              <w:spacing w:line="215" w:lineRule="exact"/>
              <w:rPr>
                <w:sz w:val="18"/>
              </w:rPr>
            </w:pPr>
            <w:r>
              <w:rPr>
                <w:sz w:val="18"/>
              </w:rPr>
              <w:t>Governor</w:t>
            </w:r>
            <w:r>
              <w:rPr>
                <w:spacing w:val="-5"/>
                <w:sz w:val="18"/>
              </w:rPr>
              <w:t xml:space="preserve"> </w:t>
            </w:r>
            <w:r>
              <w:rPr>
                <w:sz w:val="18"/>
              </w:rPr>
              <w:t>Regulation</w:t>
            </w:r>
            <w:r>
              <w:rPr>
                <w:spacing w:val="-3"/>
                <w:sz w:val="18"/>
              </w:rPr>
              <w:t xml:space="preserve"> </w:t>
            </w:r>
            <w:r>
              <w:rPr>
                <w:sz w:val="18"/>
              </w:rPr>
              <w:t>No.</w:t>
            </w:r>
            <w:r>
              <w:rPr>
                <w:spacing w:val="-3"/>
                <w:sz w:val="18"/>
              </w:rPr>
              <w:t xml:space="preserve"> </w:t>
            </w:r>
            <w:r>
              <w:rPr>
                <w:sz w:val="18"/>
              </w:rPr>
              <w:t>140/KEP/HK/2025</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2025</w:t>
            </w:r>
            <w:r>
              <w:rPr>
                <w:spacing w:val="-2"/>
                <w:sz w:val="18"/>
              </w:rPr>
              <w:t xml:space="preserve"> </w:t>
            </w:r>
            <w:r>
              <w:rPr>
                <w:sz w:val="18"/>
              </w:rPr>
              <w:t>Data</w:t>
            </w:r>
            <w:r>
              <w:rPr>
                <w:spacing w:val="-4"/>
                <w:sz w:val="18"/>
              </w:rPr>
              <w:t xml:space="preserve"> </w:t>
            </w:r>
            <w:r>
              <w:rPr>
                <w:sz w:val="18"/>
              </w:rPr>
              <w:t>List</w:t>
            </w:r>
            <w:r>
              <w:rPr>
                <w:spacing w:val="-1"/>
                <w:sz w:val="18"/>
              </w:rPr>
              <w:t xml:space="preserve"> </w:t>
            </w:r>
            <w:r>
              <w:rPr>
                <w:sz w:val="18"/>
              </w:rPr>
              <w:t>of</w:t>
            </w:r>
            <w:r>
              <w:rPr>
                <w:spacing w:val="-4"/>
                <w:sz w:val="18"/>
              </w:rPr>
              <w:t xml:space="preserve"> </w:t>
            </w:r>
            <w:r>
              <w:rPr>
                <w:sz w:val="18"/>
              </w:rPr>
              <w:t>NTT</w:t>
            </w:r>
            <w:r>
              <w:rPr>
                <w:spacing w:val="-3"/>
                <w:sz w:val="18"/>
              </w:rPr>
              <w:t xml:space="preserve"> </w:t>
            </w:r>
            <w:r>
              <w:rPr>
                <w:spacing w:val="-2"/>
                <w:sz w:val="18"/>
              </w:rPr>
              <w:t>Province.</w:t>
            </w:r>
          </w:p>
          <w:p w14:paraId="69349247" w14:textId="77777777" w:rsidR="00BC24A8" w:rsidRDefault="00000000">
            <w:pPr>
              <w:pStyle w:val="TableParagraph"/>
              <w:numPr>
                <w:ilvl w:val="0"/>
                <w:numId w:val="52"/>
              </w:numPr>
              <w:tabs>
                <w:tab w:val="left" w:pos="452"/>
              </w:tabs>
              <w:ind w:right="182"/>
              <w:rPr>
                <w:sz w:val="18"/>
              </w:rPr>
            </w:pPr>
            <w:r>
              <w:rPr>
                <w:sz w:val="18"/>
              </w:rPr>
              <w:t>Governor</w:t>
            </w:r>
            <w:r>
              <w:rPr>
                <w:spacing w:val="-3"/>
                <w:sz w:val="18"/>
              </w:rPr>
              <w:t xml:space="preserve"> </w:t>
            </w:r>
            <w:r>
              <w:rPr>
                <w:sz w:val="18"/>
              </w:rPr>
              <w:t>Decree</w:t>
            </w:r>
            <w:r>
              <w:rPr>
                <w:spacing w:val="-4"/>
                <w:sz w:val="18"/>
              </w:rPr>
              <w:t xml:space="preserve"> </w:t>
            </w:r>
            <w:r>
              <w:rPr>
                <w:sz w:val="18"/>
              </w:rPr>
              <w:t>No.</w:t>
            </w:r>
            <w:r>
              <w:rPr>
                <w:spacing w:val="-4"/>
                <w:sz w:val="18"/>
              </w:rPr>
              <w:t xml:space="preserve"> </w:t>
            </w:r>
            <w:r>
              <w:rPr>
                <w:sz w:val="18"/>
              </w:rPr>
              <w:t>206/KEP/HK/2025</w:t>
            </w:r>
            <w:r>
              <w:rPr>
                <w:spacing w:val="-3"/>
                <w:sz w:val="18"/>
              </w:rPr>
              <w:t xml:space="preserve"> </w:t>
            </w:r>
            <w:r>
              <w:rPr>
                <w:sz w:val="18"/>
              </w:rPr>
              <w:t>on</w:t>
            </w:r>
            <w:r>
              <w:rPr>
                <w:spacing w:val="-3"/>
                <w:sz w:val="18"/>
              </w:rPr>
              <w:t xml:space="preserve"> </w:t>
            </w:r>
            <w:r>
              <w:rPr>
                <w:sz w:val="18"/>
              </w:rPr>
              <w:t>the</w:t>
            </w:r>
            <w:r>
              <w:rPr>
                <w:spacing w:val="-4"/>
                <w:sz w:val="18"/>
              </w:rPr>
              <w:t xml:space="preserve"> </w:t>
            </w:r>
            <w:r>
              <w:rPr>
                <w:sz w:val="18"/>
              </w:rPr>
              <w:t>SASANDO</w:t>
            </w:r>
            <w:r>
              <w:rPr>
                <w:spacing w:val="-4"/>
                <w:sz w:val="18"/>
              </w:rPr>
              <w:t xml:space="preserve"> </w:t>
            </w:r>
            <w:r>
              <w:rPr>
                <w:sz w:val="18"/>
              </w:rPr>
              <w:t>Portal</w:t>
            </w:r>
            <w:r>
              <w:rPr>
                <w:spacing w:val="-2"/>
                <w:sz w:val="18"/>
              </w:rPr>
              <w:t xml:space="preserve"> </w:t>
            </w:r>
            <w:r>
              <w:rPr>
                <w:sz w:val="18"/>
              </w:rPr>
              <w:t>Operator</w:t>
            </w:r>
            <w:r>
              <w:rPr>
                <w:spacing w:val="-3"/>
                <w:sz w:val="18"/>
              </w:rPr>
              <w:t xml:space="preserve"> </w:t>
            </w:r>
            <w:r>
              <w:rPr>
                <w:sz w:val="18"/>
              </w:rPr>
              <w:t>Team</w:t>
            </w:r>
            <w:r>
              <w:rPr>
                <w:spacing w:val="-4"/>
                <w:sz w:val="18"/>
              </w:rPr>
              <w:t xml:space="preserve"> </w:t>
            </w:r>
            <w:r>
              <w:rPr>
                <w:sz w:val="18"/>
              </w:rPr>
              <w:t>of</w:t>
            </w:r>
            <w:r>
              <w:rPr>
                <w:spacing w:val="-4"/>
                <w:sz w:val="18"/>
              </w:rPr>
              <w:t xml:space="preserve"> </w:t>
            </w:r>
            <w:r>
              <w:rPr>
                <w:sz w:val="18"/>
              </w:rPr>
              <w:t>NTT</w:t>
            </w:r>
            <w:r>
              <w:rPr>
                <w:spacing w:val="-4"/>
                <w:sz w:val="18"/>
              </w:rPr>
              <w:t xml:space="preserve"> </w:t>
            </w:r>
            <w:r>
              <w:rPr>
                <w:sz w:val="18"/>
              </w:rPr>
              <w:t>Province</w:t>
            </w:r>
            <w:r>
              <w:rPr>
                <w:spacing w:val="-4"/>
                <w:sz w:val="18"/>
              </w:rPr>
              <w:t xml:space="preserve"> </w:t>
            </w:r>
            <w:r>
              <w:rPr>
                <w:sz w:val="18"/>
              </w:rPr>
              <w:t xml:space="preserve">in </w:t>
            </w:r>
            <w:r>
              <w:rPr>
                <w:spacing w:val="-2"/>
                <w:sz w:val="18"/>
              </w:rPr>
              <w:t>2025.</w:t>
            </w:r>
          </w:p>
          <w:p w14:paraId="20DC8C94" w14:textId="77777777" w:rsidR="00BC24A8" w:rsidRDefault="00000000">
            <w:pPr>
              <w:pStyle w:val="TableParagraph"/>
              <w:numPr>
                <w:ilvl w:val="0"/>
                <w:numId w:val="52"/>
              </w:numPr>
              <w:tabs>
                <w:tab w:val="left" w:pos="452"/>
              </w:tabs>
              <w:ind w:right="1156"/>
              <w:rPr>
                <w:sz w:val="18"/>
              </w:rPr>
            </w:pPr>
            <w:r>
              <w:rPr>
                <w:sz w:val="18"/>
              </w:rPr>
              <w:t>Instruction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Head</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Provincial</w:t>
            </w:r>
            <w:r>
              <w:rPr>
                <w:spacing w:val="-3"/>
                <w:sz w:val="18"/>
              </w:rPr>
              <w:t xml:space="preserve"> </w:t>
            </w:r>
            <w:r>
              <w:rPr>
                <w:sz w:val="18"/>
              </w:rPr>
              <w:t>Communication</w:t>
            </w:r>
            <w:r>
              <w:rPr>
                <w:spacing w:val="-3"/>
                <w:sz w:val="18"/>
              </w:rPr>
              <w:t xml:space="preserve"> </w:t>
            </w:r>
            <w:r>
              <w:rPr>
                <w:sz w:val="18"/>
              </w:rPr>
              <w:t>and</w:t>
            </w:r>
            <w:r>
              <w:rPr>
                <w:spacing w:val="-3"/>
                <w:sz w:val="18"/>
              </w:rPr>
              <w:t xml:space="preserve"> </w:t>
            </w:r>
            <w:r>
              <w:rPr>
                <w:sz w:val="18"/>
              </w:rPr>
              <w:t>Information</w:t>
            </w:r>
            <w:r>
              <w:rPr>
                <w:spacing w:val="-3"/>
                <w:sz w:val="18"/>
              </w:rPr>
              <w:t xml:space="preserve"> </w:t>
            </w:r>
            <w:r>
              <w:rPr>
                <w:sz w:val="18"/>
              </w:rPr>
              <w:t>Service</w:t>
            </w:r>
            <w:r>
              <w:rPr>
                <w:spacing w:val="-3"/>
                <w:sz w:val="18"/>
              </w:rPr>
              <w:t xml:space="preserve"> </w:t>
            </w:r>
            <w:r>
              <w:rPr>
                <w:sz w:val="18"/>
              </w:rPr>
              <w:t>No. 500.14.4/071/Kominfo.2/2025 concerning Management of the Sasando Portal.</w:t>
            </w:r>
          </w:p>
        </w:tc>
      </w:tr>
      <w:tr w:rsidR="00BC24A8" w14:paraId="65D2C764" w14:textId="77777777">
        <w:trPr>
          <w:trHeight w:val="2891"/>
        </w:trPr>
        <w:tc>
          <w:tcPr>
            <w:tcW w:w="1343" w:type="dxa"/>
            <w:tcBorders>
              <w:top w:val="single" w:sz="4" w:space="0" w:color="BEBEBE"/>
              <w:bottom w:val="single" w:sz="4" w:space="0" w:color="BEBEBE"/>
            </w:tcBorders>
          </w:tcPr>
          <w:p w14:paraId="3D22F1DA" w14:textId="77777777" w:rsidR="00BC24A8" w:rsidRDefault="00000000">
            <w:pPr>
              <w:pStyle w:val="TableParagraph"/>
              <w:spacing w:before="119"/>
              <w:ind w:left="115"/>
              <w:rPr>
                <w:sz w:val="18"/>
              </w:rPr>
            </w:pPr>
            <w:r>
              <w:rPr>
                <w:spacing w:val="-2"/>
                <w:sz w:val="18"/>
              </w:rPr>
              <w:t>Ecosystem</w:t>
            </w:r>
            <w:r>
              <w:rPr>
                <w:sz w:val="18"/>
              </w:rPr>
              <w:t xml:space="preserve"> </w:t>
            </w:r>
            <w:r>
              <w:rPr>
                <w:spacing w:val="-2"/>
                <w:sz w:val="18"/>
              </w:rPr>
              <w:t>Impacts</w:t>
            </w:r>
          </w:p>
        </w:tc>
        <w:tc>
          <w:tcPr>
            <w:tcW w:w="7756" w:type="dxa"/>
            <w:tcBorders>
              <w:top w:val="single" w:sz="4" w:space="0" w:color="BEBEBE"/>
              <w:bottom w:val="single" w:sz="4" w:space="0" w:color="BEBEBE"/>
            </w:tcBorders>
          </w:tcPr>
          <w:p w14:paraId="00A51F27" w14:textId="77777777" w:rsidR="00BC24A8" w:rsidRDefault="00000000">
            <w:pPr>
              <w:pStyle w:val="TableParagraph"/>
              <w:spacing w:before="59"/>
              <w:ind w:left="121"/>
              <w:rPr>
                <w:sz w:val="18"/>
              </w:rPr>
            </w:pPr>
            <w:r>
              <w:rPr>
                <w:sz w:val="18"/>
              </w:rPr>
              <w:t>Strengthened</w:t>
            </w:r>
            <w:r>
              <w:rPr>
                <w:spacing w:val="-2"/>
                <w:sz w:val="18"/>
              </w:rPr>
              <w:t xml:space="preserve"> </w:t>
            </w:r>
            <w:r>
              <w:rPr>
                <w:sz w:val="18"/>
              </w:rPr>
              <w:t>capacity</w:t>
            </w:r>
            <w:r>
              <w:rPr>
                <w:spacing w:val="-2"/>
                <w:sz w:val="18"/>
              </w:rPr>
              <w:t xml:space="preserve"> </w:t>
            </w:r>
            <w:r>
              <w:rPr>
                <w:sz w:val="18"/>
              </w:rPr>
              <w:t>and</w:t>
            </w:r>
            <w:r>
              <w:rPr>
                <w:spacing w:val="-2"/>
                <w:sz w:val="18"/>
              </w:rPr>
              <w:t xml:space="preserve"> knowledge:</w:t>
            </w:r>
          </w:p>
          <w:p w14:paraId="59A8BE4F" w14:textId="77777777" w:rsidR="00BC24A8" w:rsidRDefault="00000000">
            <w:pPr>
              <w:pStyle w:val="TableParagraph"/>
              <w:numPr>
                <w:ilvl w:val="0"/>
                <w:numId w:val="51"/>
              </w:numPr>
              <w:tabs>
                <w:tab w:val="left" w:pos="452"/>
              </w:tabs>
              <w:spacing w:before="58"/>
              <w:ind w:left="452"/>
              <w:rPr>
                <w:sz w:val="18"/>
              </w:rPr>
            </w:pPr>
            <w:r>
              <w:rPr>
                <w:sz w:val="18"/>
              </w:rPr>
              <w:t>Capacity</w:t>
            </w:r>
            <w:r>
              <w:rPr>
                <w:spacing w:val="-1"/>
                <w:sz w:val="18"/>
              </w:rPr>
              <w:t xml:space="preserve"> </w:t>
            </w:r>
            <w:r>
              <w:rPr>
                <w:sz w:val="18"/>
              </w:rPr>
              <w:t>building</w:t>
            </w:r>
            <w:r>
              <w:rPr>
                <w:spacing w:val="-2"/>
                <w:sz w:val="18"/>
              </w:rPr>
              <w:t xml:space="preserve"> </w:t>
            </w:r>
            <w:r>
              <w:rPr>
                <w:sz w:val="18"/>
              </w:rPr>
              <w:t>of</w:t>
            </w:r>
            <w:r>
              <w:rPr>
                <w:spacing w:val="-2"/>
                <w:sz w:val="18"/>
              </w:rPr>
              <w:t xml:space="preserve"> </w:t>
            </w:r>
            <w:r>
              <w:rPr>
                <w:sz w:val="18"/>
              </w:rPr>
              <w:t>15</w:t>
            </w:r>
            <w:r>
              <w:rPr>
                <w:spacing w:val="-1"/>
                <w:sz w:val="18"/>
              </w:rPr>
              <w:t xml:space="preserve"> </w:t>
            </w:r>
            <w:r>
              <w:rPr>
                <w:sz w:val="18"/>
              </w:rPr>
              <w:t>CSOs on</w:t>
            </w:r>
            <w:r>
              <w:rPr>
                <w:spacing w:val="-1"/>
                <w:sz w:val="18"/>
              </w:rPr>
              <w:t xml:space="preserve"> </w:t>
            </w:r>
            <w:r>
              <w:rPr>
                <w:sz w:val="18"/>
              </w:rPr>
              <w:t>the</w:t>
            </w:r>
            <w:r>
              <w:rPr>
                <w:spacing w:val="-1"/>
                <w:sz w:val="18"/>
              </w:rPr>
              <w:t xml:space="preserve"> </w:t>
            </w:r>
            <w:r>
              <w:rPr>
                <w:sz w:val="18"/>
              </w:rPr>
              <w:t>planning</w:t>
            </w:r>
            <w:r>
              <w:rPr>
                <w:spacing w:val="-2"/>
                <w:sz w:val="18"/>
              </w:rPr>
              <w:t xml:space="preserve"> </w:t>
            </w:r>
            <w:r>
              <w:rPr>
                <w:sz w:val="18"/>
              </w:rPr>
              <w:t>and</w:t>
            </w:r>
            <w:r>
              <w:rPr>
                <w:spacing w:val="-1"/>
                <w:sz w:val="18"/>
              </w:rPr>
              <w:t xml:space="preserve"> </w:t>
            </w:r>
            <w:r>
              <w:rPr>
                <w:sz w:val="18"/>
              </w:rPr>
              <w:t>budgeting</w:t>
            </w:r>
            <w:r>
              <w:rPr>
                <w:spacing w:val="-1"/>
                <w:sz w:val="18"/>
              </w:rPr>
              <w:t xml:space="preserve"> </w:t>
            </w:r>
            <w:r>
              <w:rPr>
                <w:spacing w:val="-2"/>
                <w:sz w:val="18"/>
              </w:rPr>
              <w:t>process.</w:t>
            </w:r>
          </w:p>
          <w:p w14:paraId="3999BDCF" w14:textId="77777777" w:rsidR="00BC24A8" w:rsidRDefault="00000000">
            <w:pPr>
              <w:pStyle w:val="TableParagraph"/>
              <w:numPr>
                <w:ilvl w:val="0"/>
                <w:numId w:val="51"/>
              </w:numPr>
              <w:tabs>
                <w:tab w:val="left" w:pos="452"/>
              </w:tabs>
              <w:spacing w:before="1" w:line="219" w:lineRule="exact"/>
              <w:ind w:left="452"/>
              <w:rPr>
                <w:sz w:val="18"/>
              </w:rPr>
            </w:pPr>
            <w:r>
              <w:rPr>
                <w:sz w:val="18"/>
              </w:rPr>
              <w:t>Capacity</w:t>
            </w:r>
            <w:r>
              <w:rPr>
                <w:spacing w:val="-2"/>
                <w:sz w:val="18"/>
              </w:rPr>
              <w:t xml:space="preserve"> </w:t>
            </w:r>
            <w:r>
              <w:rPr>
                <w:sz w:val="18"/>
              </w:rPr>
              <w:t>building</w:t>
            </w:r>
            <w:r>
              <w:rPr>
                <w:spacing w:val="-3"/>
                <w:sz w:val="18"/>
              </w:rPr>
              <w:t xml:space="preserve"> </w:t>
            </w:r>
            <w:r>
              <w:rPr>
                <w:sz w:val="18"/>
              </w:rPr>
              <w:t>for</w:t>
            </w:r>
            <w:r>
              <w:rPr>
                <w:spacing w:val="-2"/>
                <w:sz w:val="18"/>
              </w:rPr>
              <w:t xml:space="preserve"> </w:t>
            </w:r>
            <w:r>
              <w:rPr>
                <w:sz w:val="18"/>
              </w:rPr>
              <w:t>the</w:t>
            </w:r>
            <w:r>
              <w:rPr>
                <w:spacing w:val="-2"/>
                <w:sz w:val="18"/>
              </w:rPr>
              <w:t xml:space="preserve"> </w:t>
            </w:r>
            <w:r>
              <w:rPr>
                <w:sz w:val="18"/>
              </w:rPr>
              <w:t>Provincial</w:t>
            </w:r>
            <w:r>
              <w:rPr>
                <w:spacing w:val="-1"/>
                <w:sz w:val="18"/>
              </w:rPr>
              <w:t xml:space="preserve"> </w:t>
            </w:r>
            <w:r>
              <w:rPr>
                <w:sz w:val="18"/>
              </w:rPr>
              <w:t>MSS</w:t>
            </w:r>
            <w:r>
              <w:rPr>
                <w:spacing w:val="-2"/>
                <w:sz w:val="18"/>
              </w:rPr>
              <w:t xml:space="preserve"> </w:t>
            </w:r>
            <w:r>
              <w:rPr>
                <w:sz w:val="18"/>
              </w:rPr>
              <w:t>Implementation</w:t>
            </w:r>
            <w:r>
              <w:rPr>
                <w:spacing w:val="-2"/>
                <w:sz w:val="18"/>
              </w:rPr>
              <w:t xml:space="preserve"> </w:t>
            </w:r>
            <w:r>
              <w:rPr>
                <w:spacing w:val="-4"/>
                <w:sz w:val="18"/>
              </w:rPr>
              <w:t>Team</w:t>
            </w:r>
          </w:p>
          <w:p w14:paraId="5A137CB9" w14:textId="77777777" w:rsidR="00BC24A8" w:rsidRDefault="00000000">
            <w:pPr>
              <w:pStyle w:val="TableParagraph"/>
              <w:numPr>
                <w:ilvl w:val="0"/>
                <w:numId w:val="51"/>
              </w:numPr>
              <w:tabs>
                <w:tab w:val="left" w:pos="452"/>
              </w:tabs>
              <w:spacing w:line="219" w:lineRule="exact"/>
              <w:ind w:left="452"/>
              <w:rPr>
                <w:sz w:val="18"/>
              </w:rPr>
            </w:pPr>
            <w:r>
              <w:rPr>
                <w:sz w:val="18"/>
              </w:rPr>
              <w:t>Improved</w:t>
            </w:r>
            <w:r>
              <w:rPr>
                <w:spacing w:val="-4"/>
                <w:sz w:val="18"/>
              </w:rPr>
              <w:t xml:space="preserve"> </w:t>
            </w:r>
            <w:r>
              <w:rPr>
                <w:sz w:val="18"/>
              </w:rPr>
              <w:t>knowledge</w:t>
            </w:r>
            <w:r>
              <w:rPr>
                <w:spacing w:val="-2"/>
                <w:sz w:val="18"/>
              </w:rPr>
              <w:t xml:space="preserve"> </w:t>
            </w:r>
            <w:r>
              <w:rPr>
                <w:sz w:val="18"/>
              </w:rPr>
              <w:t>of</w:t>
            </w:r>
            <w:r>
              <w:rPr>
                <w:spacing w:val="-2"/>
                <w:sz w:val="18"/>
              </w:rPr>
              <w:t xml:space="preserve"> </w:t>
            </w:r>
            <w:r>
              <w:rPr>
                <w:sz w:val="18"/>
              </w:rPr>
              <w:t>data</w:t>
            </w:r>
            <w:r>
              <w:rPr>
                <w:spacing w:val="-3"/>
                <w:sz w:val="18"/>
              </w:rPr>
              <w:t xml:space="preserve"> </w:t>
            </w:r>
            <w:r>
              <w:rPr>
                <w:sz w:val="18"/>
              </w:rPr>
              <w:t>producers</w:t>
            </w:r>
            <w:r>
              <w:rPr>
                <w:spacing w:val="-1"/>
                <w:sz w:val="18"/>
              </w:rPr>
              <w:t xml:space="preserve"> </w:t>
            </w:r>
            <w:r>
              <w:rPr>
                <w:sz w:val="18"/>
              </w:rPr>
              <w:t>on</w:t>
            </w:r>
            <w:r>
              <w:rPr>
                <w:spacing w:val="-2"/>
                <w:sz w:val="18"/>
              </w:rPr>
              <w:t xml:space="preserve"> </w:t>
            </w:r>
            <w:r>
              <w:rPr>
                <w:sz w:val="18"/>
              </w:rPr>
              <w:t>metadata</w:t>
            </w:r>
            <w:r>
              <w:rPr>
                <w:spacing w:val="-2"/>
                <w:sz w:val="18"/>
              </w:rPr>
              <w:t xml:space="preserve"> </w:t>
            </w:r>
            <w:r>
              <w:rPr>
                <w:sz w:val="18"/>
              </w:rPr>
              <w:t>and</w:t>
            </w:r>
            <w:r>
              <w:rPr>
                <w:spacing w:val="-2"/>
                <w:sz w:val="18"/>
              </w:rPr>
              <w:t xml:space="preserve"> </w:t>
            </w:r>
            <w:r>
              <w:rPr>
                <w:sz w:val="18"/>
              </w:rPr>
              <w:t>data</w:t>
            </w:r>
            <w:r>
              <w:rPr>
                <w:spacing w:val="-2"/>
                <w:sz w:val="18"/>
              </w:rPr>
              <w:t xml:space="preserve"> standards</w:t>
            </w:r>
          </w:p>
          <w:p w14:paraId="38A4ACD5" w14:textId="77777777" w:rsidR="00BC24A8" w:rsidRDefault="00000000">
            <w:pPr>
              <w:pStyle w:val="TableParagraph"/>
              <w:numPr>
                <w:ilvl w:val="0"/>
                <w:numId w:val="51"/>
              </w:numPr>
              <w:tabs>
                <w:tab w:val="left" w:pos="121"/>
                <w:tab w:val="left" w:pos="452"/>
              </w:tabs>
              <w:spacing w:before="1" w:line="307" w:lineRule="auto"/>
              <w:ind w:right="2305" w:hanging="29"/>
              <w:rPr>
                <w:sz w:val="18"/>
              </w:rPr>
            </w:pPr>
            <w:r>
              <w:rPr>
                <w:sz w:val="18"/>
              </w:rPr>
              <w:t>Increased</w:t>
            </w:r>
            <w:r>
              <w:rPr>
                <w:spacing w:val="-4"/>
                <w:sz w:val="18"/>
              </w:rPr>
              <w:t xml:space="preserve"> </w:t>
            </w:r>
            <w:r>
              <w:rPr>
                <w:sz w:val="18"/>
              </w:rPr>
              <w:t>capacity</w:t>
            </w:r>
            <w:r>
              <w:rPr>
                <w:spacing w:val="-5"/>
                <w:sz w:val="18"/>
              </w:rPr>
              <w:t xml:space="preserve"> </w:t>
            </w:r>
            <w:r>
              <w:rPr>
                <w:sz w:val="18"/>
              </w:rPr>
              <w:t>of</w:t>
            </w:r>
            <w:r>
              <w:rPr>
                <w:spacing w:val="-5"/>
                <w:sz w:val="18"/>
              </w:rPr>
              <w:t xml:space="preserve"> </w:t>
            </w:r>
            <w:r>
              <w:rPr>
                <w:sz w:val="18"/>
              </w:rPr>
              <w:t>data</w:t>
            </w:r>
            <w:r>
              <w:rPr>
                <w:spacing w:val="-5"/>
                <w:sz w:val="18"/>
              </w:rPr>
              <w:t xml:space="preserve"> </w:t>
            </w:r>
            <w:r>
              <w:rPr>
                <w:sz w:val="18"/>
              </w:rPr>
              <w:t>custodians</w:t>
            </w:r>
            <w:r>
              <w:rPr>
                <w:spacing w:val="-4"/>
                <w:sz w:val="18"/>
              </w:rPr>
              <w:t xml:space="preserve"> </w:t>
            </w:r>
            <w:r>
              <w:rPr>
                <w:sz w:val="18"/>
              </w:rPr>
              <w:t>in</w:t>
            </w:r>
            <w:r>
              <w:rPr>
                <w:spacing w:val="-4"/>
                <w:sz w:val="18"/>
              </w:rPr>
              <w:t xml:space="preserve"> </w:t>
            </w:r>
            <w:r>
              <w:rPr>
                <w:sz w:val="18"/>
              </w:rPr>
              <w:t>verifying</w:t>
            </w:r>
            <w:r>
              <w:rPr>
                <w:spacing w:val="-5"/>
                <w:sz w:val="18"/>
              </w:rPr>
              <w:t xml:space="preserve"> </w:t>
            </w:r>
            <w:r>
              <w:rPr>
                <w:sz w:val="18"/>
              </w:rPr>
              <w:t>and</w:t>
            </w:r>
            <w:r>
              <w:rPr>
                <w:spacing w:val="-4"/>
                <w:sz w:val="18"/>
              </w:rPr>
              <w:t xml:space="preserve"> </w:t>
            </w:r>
            <w:r>
              <w:rPr>
                <w:sz w:val="18"/>
              </w:rPr>
              <w:t>validating</w:t>
            </w:r>
            <w:r>
              <w:rPr>
                <w:spacing w:val="-5"/>
                <w:sz w:val="18"/>
              </w:rPr>
              <w:t xml:space="preserve"> </w:t>
            </w:r>
            <w:r>
              <w:rPr>
                <w:sz w:val="18"/>
              </w:rPr>
              <w:t>data. Strengthened collaboration and participation among stakeholders:</w:t>
            </w:r>
          </w:p>
          <w:p w14:paraId="2087493D" w14:textId="77777777" w:rsidR="00BC24A8" w:rsidRDefault="00000000">
            <w:pPr>
              <w:pStyle w:val="TableParagraph"/>
              <w:numPr>
                <w:ilvl w:val="0"/>
                <w:numId w:val="51"/>
              </w:numPr>
              <w:tabs>
                <w:tab w:val="left" w:pos="452"/>
              </w:tabs>
              <w:spacing w:line="216" w:lineRule="exact"/>
              <w:ind w:left="452"/>
              <w:rPr>
                <w:sz w:val="18"/>
              </w:rPr>
            </w:pPr>
            <w:r>
              <w:rPr>
                <w:sz w:val="18"/>
              </w:rPr>
              <w:t>A</w:t>
            </w:r>
            <w:r>
              <w:rPr>
                <w:spacing w:val="-3"/>
                <w:sz w:val="18"/>
              </w:rPr>
              <w:t xml:space="preserve"> </w:t>
            </w:r>
            <w:r>
              <w:rPr>
                <w:sz w:val="18"/>
              </w:rPr>
              <w:t>total of</w:t>
            </w:r>
            <w:r>
              <w:rPr>
                <w:spacing w:val="-2"/>
                <w:sz w:val="18"/>
              </w:rPr>
              <w:t xml:space="preserve"> </w:t>
            </w:r>
            <w:r>
              <w:rPr>
                <w:sz w:val="18"/>
              </w:rPr>
              <w:t>22</w:t>
            </w:r>
            <w:r>
              <w:rPr>
                <w:spacing w:val="-1"/>
                <w:sz w:val="18"/>
              </w:rPr>
              <w:t xml:space="preserve"> </w:t>
            </w:r>
            <w:r>
              <w:rPr>
                <w:sz w:val="18"/>
              </w:rPr>
              <w:t>Provincial CSOs</w:t>
            </w:r>
            <w:r>
              <w:rPr>
                <w:spacing w:val="-2"/>
                <w:sz w:val="18"/>
              </w:rPr>
              <w:t xml:space="preserve"> </w:t>
            </w:r>
            <w:r>
              <w:rPr>
                <w:sz w:val="18"/>
              </w:rPr>
              <w:t>are</w:t>
            </w:r>
            <w:r>
              <w:rPr>
                <w:spacing w:val="-1"/>
                <w:sz w:val="18"/>
              </w:rPr>
              <w:t xml:space="preserve"> </w:t>
            </w:r>
            <w:r>
              <w:rPr>
                <w:sz w:val="18"/>
              </w:rPr>
              <w:t>involved</w:t>
            </w:r>
            <w:r>
              <w:rPr>
                <w:spacing w:val="-1"/>
                <w:sz w:val="18"/>
              </w:rPr>
              <w:t xml:space="preserve"> </w:t>
            </w:r>
            <w:r>
              <w:rPr>
                <w:sz w:val="18"/>
              </w:rPr>
              <w:t>in</w:t>
            </w:r>
            <w:r>
              <w:rPr>
                <w:spacing w:val="-1"/>
                <w:sz w:val="18"/>
              </w:rPr>
              <w:t xml:space="preserve"> </w:t>
            </w:r>
            <w:r>
              <w:rPr>
                <w:sz w:val="18"/>
              </w:rPr>
              <w:t>organising</w:t>
            </w:r>
            <w:r>
              <w:rPr>
                <w:spacing w:val="-5"/>
                <w:sz w:val="18"/>
              </w:rPr>
              <w:t xml:space="preserve"> </w:t>
            </w:r>
            <w:r>
              <w:rPr>
                <w:sz w:val="18"/>
              </w:rPr>
              <w:t>the</w:t>
            </w:r>
            <w:r>
              <w:rPr>
                <w:spacing w:val="-1"/>
                <w:sz w:val="18"/>
              </w:rPr>
              <w:t xml:space="preserve"> </w:t>
            </w:r>
            <w:r>
              <w:rPr>
                <w:sz w:val="18"/>
              </w:rPr>
              <w:t>Inclusive</w:t>
            </w:r>
            <w:r>
              <w:rPr>
                <w:spacing w:val="-1"/>
                <w:sz w:val="18"/>
              </w:rPr>
              <w:t xml:space="preserve"> </w:t>
            </w:r>
            <w:r>
              <w:rPr>
                <w:spacing w:val="-2"/>
                <w:sz w:val="18"/>
              </w:rPr>
              <w:t>Musrenbang.</w:t>
            </w:r>
          </w:p>
          <w:p w14:paraId="0111652F" w14:textId="77777777" w:rsidR="00BC24A8" w:rsidRDefault="00000000">
            <w:pPr>
              <w:pStyle w:val="TableParagraph"/>
              <w:numPr>
                <w:ilvl w:val="0"/>
                <w:numId w:val="51"/>
              </w:numPr>
              <w:tabs>
                <w:tab w:val="left" w:pos="121"/>
                <w:tab w:val="left" w:pos="452"/>
              </w:tabs>
              <w:spacing w:before="2" w:line="304" w:lineRule="auto"/>
              <w:ind w:right="3743" w:hanging="29"/>
              <w:rPr>
                <w:sz w:val="18"/>
              </w:rPr>
            </w:pPr>
            <w:r>
              <w:rPr>
                <w:sz w:val="18"/>
              </w:rPr>
              <w:t>The</w:t>
            </w:r>
            <w:r>
              <w:rPr>
                <w:spacing w:val="-5"/>
                <w:sz w:val="18"/>
              </w:rPr>
              <w:t xml:space="preserve"> </w:t>
            </w:r>
            <w:r>
              <w:rPr>
                <w:sz w:val="18"/>
              </w:rPr>
              <w:t>One</w:t>
            </w:r>
            <w:r>
              <w:rPr>
                <w:spacing w:val="-5"/>
                <w:sz w:val="18"/>
              </w:rPr>
              <w:t xml:space="preserve"> </w:t>
            </w:r>
            <w:r>
              <w:rPr>
                <w:sz w:val="18"/>
              </w:rPr>
              <w:t>Data</w:t>
            </w:r>
            <w:r>
              <w:rPr>
                <w:spacing w:val="-6"/>
                <w:sz w:val="18"/>
              </w:rPr>
              <w:t xml:space="preserve"> </w:t>
            </w:r>
            <w:r>
              <w:rPr>
                <w:sz w:val="18"/>
              </w:rPr>
              <w:t>Forum</w:t>
            </w:r>
            <w:r>
              <w:rPr>
                <w:spacing w:val="-6"/>
                <w:sz w:val="18"/>
              </w:rPr>
              <w:t xml:space="preserve"> </w:t>
            </w:r>
            <w:r>
              <w:rPr>
                <w:sz w:val="18"/>
              </w:rPr>
              <w:t>has</w:t>
            </w:r>
            <w:r>
              <w:rPr>
                <w:spacing w:val="-5"/>
                <w:sz w:val="18"/>
              </w:rPr>
              <w:t xml:space="preserve"> </w:t>
            </w:r>
            <w:r>
              <w:rPr>
                <w:sz w:val="18"/>
              </w:rPr>
              <w:t>been</w:t>
            </w:r>
            <w:r>
              <w:rPr>
                <w:spacing w:val="-5"/>
                <w:sz w:val="18"/>
              </w:rPr>
              <w:t xml:space="preserve"> </w:t>
            </w:r>
            <w:r>
              <w:rPr>
                <w:sz w:val="18"/>
              </w:rPr>
              <w:t>meeting</w:t>
            </w:r>
            <w:r>
              <w:rPr>
                <w:spacing w:val="-6"/>
                <w:sz w:val="18"/>
              </w:rPr>
              <w:t xml:space="preserve"> </w:t>
            </w:r>
            <w:r>
              <w:rPr>
                <w:sz w:val="18"/>
              </w:rPr>
              <w:t>regularly. An increasingly inclusive local planning process:</w:t>
            </w:r>
          </w:p>
          <w:p w14:paraId="13635C26" w14:textId="77777777" w:rsidR="00BC24A8" w:rsidRDefault="00000000">
            <w:pPr>
              <w:pStyle w:val="TableParagraph"/>
              <w:numPr>
                <w:ilvl w:val="0"/>
                <w:numId w:val="51"/>
              </w:numPr>
              <w:tabs>
                <w:tab w:val="left" w:pos="452"/>
              </w:tabs>
              <w:spacing w:before="1"/>
              <w:ind w:left="452" w:right="736"/>
              <w:rPr>
                <w:sz w:val="18"/>
              </w:rPr>
            </w:pPr>
            <w:r>
              <w:rPr>
                <w:sz w:val="18"/>
              </w:rPr>
              <w:t>The</w:t>
            </w:r>
            <w:r>
              <w:rPr>
                <w:spacing w:val="-3"/>
                <w:sz w:val="18"/>
              </w:rPr>
              <w:t xml:space="preserve"> </w:t>
            </w:r>
            <w:r>
              <w:rPr>
                <w:sz w:val="18"/>
              </w:rPr>
              <w:t>Provincial</w:t>
            </w:r>
            <w:r>
              <w:rPr>
                <w:spacing w:val="-2"/>
                <w:sz w:val="18"/>
              </w:rPr>
              <w:t xml:space="preserve"> </w:t>
            </w:r>
            <w:r>
              <w:rPr>
                <w:sz w:val="18"/>
              </w:rPr>
              <w:t>Government</w:t>
            </w:r>
            <w:r>
              <w:rPr>
                <w:spacing w:val="-2"/>
                <w:sz w:val="18"/>
              </w:rPr>
              <w:t xml:space="preserve"> </w:t>
            </w:r>
            <w:r>
              <w:rPr>
                <w:sz w:val="18"/>
              </w:rPr>
              <w:t>has</w:t>
            </w:r>
            <w:r>
              <w:rPr>
                <w:spacing w:val="-3"/>
                <w:sz w:val="18"/>
              </w:rPr>
              <w:t xml:space="preserve"> </w:t>
            </w:r>
            <w:r>
              <w:rPr>
                <w:sz w:val="18"/>
              </w:rPr>
              <w:t>issued</w:t>
            </w:r>
            <w:r>
              <w:rPr>
                <w:spacing w:val="-3"/>
                <w:sz w:val="18"/>
              </w:rPr>
              <w:t xml:space="preserve"> </w:t>
            </w:r>
            <w:r>
              <w:rPr>
                <w:sz w:val="18"/>
              </w:rPr>
              <w:t>a</w:t>
            </w:r>
            <w:r>
              <w:rPr>
                <w:spacing w:val="-4"/>
                <w:sz w:val="18"/>
              </w:rPr>
              <w:t xml:space="preserve"> </w:t>
            </w:r>
            <w:r>
              <w:rPr>
                <w:sz w:val="18"/>
              </w:rPr>
              <w:t>circular</w:t>
            </w:r>
            <w:r>
              <w:rPr>
                <w:spacing w:val="-3"/>
                <w:sz w:val="18"/>
              </w:rPr>
              <w:t xml:space="preserve"> </w:t>
            </w:r>
            <w:r>
              <w:rPr>
                <w:sz w:val="18"/>
              </w:rPr>
              <w:t>letter</w:t>
            </w:r>
            <w:r>
              <w:rPr>
                <w:spacing w:val="-3"/>
                <w:sz w:val="18"/>
              </w:rPr>
              <w:t xml:space="preserve"> </w:t>
            </w:r>
            <w:r>
              <w:rPr>
                <w:sz w:val="18"/>
              </w:rPr>
              <w:t>to</w:t>
            </w:r>
            <w:r>
              <w:rPr>
                <w:spacing w:val="-4"/>
                <w:sz w:val="18"/>
              </w:rPr>
              <w:t xml:space="preserve"> </w:t>
            </w:r>
            <w:r>
              <w:rPr>
                <w:sz w:val="18"/>
              </w:rPr>
              <w:t>22</w:t>
            </w:r>
            <w:r>
              <w:rPr>
                <w:spacing w:val="-6"/>
                <w:sz w:val="18"/>
              </w:rPr>
              <w:t xml:space="preserve"> </w:t>
            </w:r>
            <w:r>
              <w:rPr>
                <w:sz w:val="18"/>
              </w:rPr>
              <w:t>regencies/cities</w:t>
            </w:r>
            <w:r>
              <w:rPr>
                <w:spacing w:val="-3"/>
                <w:sz w:val="18"/>
              </w:rPr>
              <w:t xml:space="preserve"> </w:t>
            </w:r>
            <w:r>
              <w:rPr>
                <w:sz w:val="18"/>
              </w:rPr>
              <w:t>to</w:t>
            </w:r>
            <w:r>
              <w:rPr>
                <w:spacing w:val="-4"/>
                <w:sz w:val="18"/>
              </w:rPr>
              <w:t xml:space="preserve"> </w:t>
            </w:r>
            <w:r>
              <w:rPr>
                <w:sz w:val="18"/>
              </w:rPr>
              <w:t>incorporate proposals from vulnerable groups into the Inclusive Musrenbang.</w:t>
            </w:r>
          </w:p>
        </w:tc>
      </w:tr>
      <w:tr w:rsidR="00BC24A8" w14:paraId="46B27516" w14:textId="77777777">
        <w:trPr>
          <w:trHeight w:val="1991"/>
        </w:trPr>
        <w:tc>
          <w:tcPr>
            <w:tcW w:w="1343" w:type="dxa"/>
            <w:tcBorders>
              <w:top w:val="single" w:sz="4" w:space="0" w:color="BEBEBE"/>
              <w:bottom w:val="single" w:sz="4" w:space="0" w:color="BEBEBE"/>
            </w:tcBorders>
          </w:tcPr>
          <w:p w14:paraId="62382566" w14:textId="77777777" w:rsidR="00BC24A8" w:rsidRDefault="00000000">
            <w:pPr>
              <w:pStyle w:val="TableParagraph"/>
              <w:spacing w:before="116"/>
              <w:ind w:left="115"/>
              <w:rPr>
                <w:sz w:val="18"/>
              </w:rPr>
            </w:pPr>
            <w:r>
              <w:rPr>
                <w:spacing w:val="-2"/>
                <w:sz w:val="18"/>
              </w:rPr>
              <w:t>Operational</w:t>
            </w:r>
            <w:r>
              <w:rPr>
                <w:sz w:val="18"/>
              </w:rPr>
              <w:t xml:space="preserve"> </w:t>
            </w:r>
            <w:r>
              <w:rPr>
                <w:spacing w:val="-2"/>
                <w:sz w:val="18"/>
              </w:rPr>
              <w:t>impact</w:t>
            </w:r>
          </w:p>
        </w:tc>
        <w:tc>
          <w:tcPr>
            <w:tcW w:w="7756" w:type="dxa"/>
            <w:tcBorders>
              <w:top w:val="single" w:sz="4" w:space="0" w:color="BEBEBE"/>
              <w:bottom w:val="single" w:sz="4" w:space="0" w:color="BEBEBE"/>
            </w:tcBorders>
          </w:tcPr>
          <w:p w14:paraId="1EFFA8F3" w14:textId="77777777" w:rsidR="00BC24A8" w:rsidRDefault="00000000">
            <w:pPr>
              <w:pStyle w:val="TableParagraph"/>
              <w:spacing w:before="59"/>
              <w:ind w:left="121"/>
              <w:rPr>
                <w:sz w:val="18"/>
              </w:rPr>
            </w:pPr>
            <w:r>
              <w:rPr>
                <w:sz w:val="18"/>
              </w:rPr>
              <w:t>Changes</w:t>
            </w:r>
            <w:r>
              <w:rPr>
                <w:spacing w:val="-2"/>
                <w:sz w:val="18"/>
              </w:rPr>
              <w:t xml:space="preserve"> </w:t>
            </w:r>
            <w:r>
              <w:rPr>
                <w:sz w:val="18"/>
              </w:rPr>
              <w:t>in</w:t>
            </w:r>
            <w:r>
              <w:rPr>
                <w:spacing w:val="-2"/>
                <w:sz w:val="18"/>
              </w:rPr>
              <w:t xml:space="preserve"> </w:t>
            </w:r>
            <w:r>
              <w:rPr>
                <w:sz w:val="18"/>
              </w:rPr>
              <w:t>practices,</w:t>
            </w:r>
            <w:r>
              <w:rPr>
                <w:spacing w:val="-2"/>
                <w:sz w:val="18"/>
              </w:rPr>
              <w:t xml:space="preserve"> </w:t>
            </w:r>
            <w:r>
              <w:rPr>
                <w:sz w:val="18"/>
              </w:rPr>
              <w:t>work</w:t>
            </w:r>
            <w:r>
              <w:rPr>
                <w:spacing w:val="-2"/>
                <w:sz w:val="18"/>
              </w:rPr>
              <w:t xml:space="preserve"> </w:t>
            </w:r>
            <w:r>
              <w:rPr>
                <w:sz w:val="18"/>
              </w:rPr>
              <w:t>methods,</w:t>
            </w:r>
            <w:r>
              <w:rPr>
                <w:spacing w:val="-1"/>
                <w:sz w:val="18"/>
              </w:rPr>
              <w:t xml:space="preserve"> </w:t>
            </w:r>
            <w:r>
              <w:rPr>
                <w:sz w:val="18"/>
              </w:rPr>
              <w:t>and</w:t>
            </w:r>
            <w:r>
              <w:rPr>
                <w:spacing w:val="-1"/>
                <w:sz w:val="18"/>
              </w:rPr>
              <w:t xml:space="preserve"> </w:t>
            </w:r>
            <w:r>
              <w:rPr>
                <w:spacing w:val="-2"/>
                <w:sz w:val="18"/>
              </w:rPr>
              <w:t>coordination:</w:t>
            </w:r>
          </w:p>
          <w:p w14:paraId="51014586" w14:textId="77777777" w:rsidR="00BC24A8" w:rsidRDefault="00000000">
            <w:pPr>
              <w:pStyle w:val="TableParagraph"/>
              <w:numPr>
                <w:ilvl w:val="0"/>
                <w:numId w:val="50"/>
              </w:numPr>
              <w:tabs>
                <w:tab w:val="left" w:pos="452"/>
              </w:tabs>
              <w:spacing w:before="58" w:line="219" w:lineRule="exact"/>
              <w:rPr>
                <w:sz w:val="18"/>
              </w:rPr>
            </w:pPr>
            <w:r>
              <w:rPr>
                <w:sz w:val="18"/>
              </w:rPr>
              <w:t>Involvement</w:t>
            </w:r>
            <w:r>
              <w:rPr>
                <w:spacing w:val="-1"/>
                <w:sz w:val="18"/>
              </w:rPr>
              <w:t xml:space="preserve"> </w:t>
            </w:r>
            <w:r>
              <w:rPr>
                <w:sz w:val="18"/>
              </w:rPr>
              <w:t>of</w:t>
            </w:r>
            <w:r>
              <w:rPr>
                <w:spacing w:val="-2"/>
                <w:sz w:val="18"/>
              </w:rPr>
              <w:t xml:space="preserve"> </w:t>
            </w:r>
            <w:r>
              <w:rPr>
                <w:sz w:val="18"/>
              </w:rPr>
              <w:t>CSOs,</w:t>
            </w:r>
            <w:r>
              <w:rPr>
                <w:spacing w:val="-2"/>
                <w:sz w:val="18"/>
              </w:rPr>
              <w:t xml:space="preserve"> </w:t>
            </w:r>
            <w:r>
              <w:rPr>
                <w:sz w:val="18"/>
              </w:rPr>
              <w:t>including</w:t>
            </w:r>
            <w:r>
              <w:rPr>
                <w:spacing w:val="-2"/>
                <w:sz w:val="18"/>
              </w:rPr>
              <w:t xml:space="preserve"> </w:t>
            </w:r>
            <w:r>
              <w:rPr>
                <w:sz w:val="18"/>
              </w:rPr>
              <w:t>DPO,</w:t>
            </w:r>
            <w:r>
              <w:rPr>
                <w:spacing w:val="-3"/>
                <w:sz w:val="18"/>
              </w:rPr>
              <w:t xml:space="preserve"> </w:t>
            </w:r>
            <w:r>
              <w:rPr>
                <w:sz w:val="18"/>
              </w:rPr>
              <w:t>in</w:t>
            </w:r>
            <w:r>
              <w:rPr>
                <w:spacing w:val="-1"/>
                <w:sz w:val="18"/>
              </w:rPr>
              <w:t xml:space="preserve"> </w:t>
            </w:r>
            <w:r>
              <w:rPr>
                <w:sz w:val="18"/>
              </w:rPr>
              <w:t>the</w:t>
            </w:r>
            <w:r>
              <w:rPr>
                <w:spacing w:val="-1"/>
                <w:sz w:val="18"/>
              </w:rPr>
              <w:t xml:space="preserve"> </w:t>
            </w:r>
            <w:r>
              <w:rPr>
                <w:sz w:val="18"/>
              </w:rPr>
              <w:t>local planning</w:t>
            </w:r>
            <w:r>
              <w:rPr>
                <w:spacing w:val="-2"/>
                <w:sz w:val="18"/>
              </w:rPr>
              <w:t xml:space="preserve"> process</w:t>
            </w:r>
          </w:p>
          <w:p w14:paraId="38D4F7F4" w14:textId="77777777" w:rsidR="00BC24A8" w:rsidRDefault="00000000">
            <w:pPr>
              <w:pStyle w:val="TableParagraph"/>
              <w:numPr>
                <w:ilvl w:val="0"/>
                <w:numId w:val="50"/>
              </w:numPr>
              <w:tabs>
                <w:tab w:val="left" w:pos="452"/>
              </w:tabs>
              <w:spacing w:line="219" w:lineRule="exact"/>
              <w:rPr>
                <w:sz w:val="18"/>
              </w:rPr>
            </w:pPr>
            <w:r>
              <w:rPr>
                <w:sz w:val="18"/>
              </w:rPr>
              <w:t>The</w:t>
            </w:r>
            <w:r>
              <w:rPr>
                <w:spacing w:val="-5"/>
                <w:sz w:val="18"/>
              </w:rPr>
              <w:t xml:space="preserve"> </w:t>
            </w:r>
            <w:r>
              <w:rPr>
                <w:sz w:val="18"/>
              </w:rPr>
              <w:t>Government’s</w:t>
            </w:r>
            <w:r>
              <w:rPr>
                <w:spacing w:val="-2"/>
                <w:sz w:val="18"/>
              </w:rPr>
              <w:t xml:space="preserve"> </w:t>
            </w:r>
            <w:r>
              <w:rPr>
                <w:sz w:val="18"/>
              </w:rPr>
              <w:t>awareness</w:t>
            </w:r>
            <w:r>
              <w:rPr>
                <w:spacing w:val="-2"/>
                <w:sz w:val="18"/>
              </w:rPr>
              <w:t xml:space="preserve"> </w:t>
            </w:r>
            <w:r>
              <w:rPr>
                <w:sz w:val="18"/>
              </w:rPr>
              <w:t>of</w:t>
            </w:r>
            <w:r>
              <w:rPr>
                <w:spacing w:val="-1"/>
                <w:sz w:val="18"/>
              </w:rPr>
              <w:t xml:space="preserve"> </w:t>
            </w:r>
            <w:r>
              <w:rPr>
                <w:sz w:val="18"/>
              </w:rPr>
              <w:t>engaging</w:t>
            </w:r>
            <w:r>
              <w:rPr>
                <w:spacing w:val="-4"/>
                <w:sz w:val="18"/>
              </w:rPr>
              <w:t xml:space="preserve"> </w:t>
            </w:r>
            <w:r>
              <w:rPr>
                <w:sz w:val="18"/>
              </w:rPr>
              <w:t>CSOs</w:t>
            </w:r>
            <w:r>
              <w:rPr>
                <w:spacing w:val="-2"/>
                <w:sz w:val="18"/>
              </w:rPr>
              <w:t xml:space="preserve"> </w:t>
            </w:r>
            <w:r>
              <w:rPr>
                <w:sz w:val="18"/>
              </w:rPr>
              <w:t>has</w:t>
            </w:r>
            <w:r>
              <w:rPr>
                <w:spacing w:val="-2"/>
                <w:sz w:val="18"/>
              </w:rPr>
              <w:t xml:space="preserve"> </w:t>
            </w:r>
            <w:r>
              <w:rPr>
                <w:sz w:val="18"/>
              </w:rPr>
              <w:t>begun</w:t>
            </w:r>
            <w:r>
              <w:rPr>
                <w:spacing w:val="-2"/>
                <w:sz w:val="18"/>
              </w:rPr>
              <w:t xml:space="preserve"> </w:t>
            </w:r>
            <w:r>
              <w:rPr>
                <w:sz w:val="18"/>
              </w:rPr>
              <w:t>to</w:t>
            </w:r>
            <w:r>
              <w:rPr>
                <w:spacing w:val="-3"/>
                <w:sz w:val="18"/>
              </w:rPr>
              <w:t xml:space="preserve"> </w:t>
            </w:r>
            <w:r>
              <w:rPr>
                <w:spacing w:val="-2"/>
                <w:sz w:val="18"/>
              </w:rPr>
              <w:t>emerge.</w:t>
            </w:r>
          </w:p>
          <w:p w14:paraId="5D39100C" w14:textId="77777777" w:rsidR="00BC24A8" w:rsidRDefault="00000000">
            <w:pPr>
              <w:pStyle w:val="TableParagraph"/>
              <w:numPr>
                <w:ilvl w:val="0"/>
                <w:numId w:val="50"/>
              </w:numPr>
              <w:tabs>
                <w:tab w:val="left" w:pos="452"/>
              </w:tabs>
              <w:spacing w:before="1"/>
              <w:ind w:right="152"/>
              <w:rPr>
                <w:sz w:val="18"/>
              </w:rPr>
            </w:pPr>
            <w:r>
              <w:rPr>
                <w:sz w:val="18"/>
              </w:rPr>
              <w:t>Implementation</w:t>
            </w:r>
            <w:r>
              <w:rPr>
                <w:spacing w:val="-4"/>
                <w:sz w:val="18"/>
              </w:rPr>
              <w:t xml:space="preserve"> </w:t>
            </w:r>
            <w:r>
              <w:rPr>
                <w:sz w:val="18"/>
              </w:rPr>
              <w:t>of</w:t>
            </w:r>
            <w:r>
              <w:rPr>
                <w:spacing w:val="-5"/>
                <w:sz w:val="18"/>
              </w:rPr>
              <w:t xml:space="preserve"> </w:t>
            </w:r>
            <w:r>
              <w:rPr>
                <w:sz w:val="18"/>
              </w:rPr>
              <w:t>Regional</w:t>
            </w:r>
            <w:r>
              <w:rPr>
                <w:spacing w:val="-3"/>
                <w:sz w:val="18"/>
              </w:rPr>
              <w:t xml:space="preserve"> </w:t>
            </w:r>
            <w:r>
              <w:rPr>
                <w:sz w:val="18"/>
              </w:rPr>
              <w:t>Regulations</w:t>
            </w:r>
            <w:r>
              <w:rPr>
                <w:spacing w:val="-4"/>
                <w:sz w:val="18"/>
              </w:rPr>
              <w:t xml:space="preserve"> </w:t>
            </w:r>
            <w:r>
              <w:rPr>
                <w:sz w:val="18"/>
              </w:rPr>
              <w:t>(Perda)</w:t>
            </w:r>
            <w:r>
              <w:rPr>
                <w:spacing w:val="-5"/>
                <w:sz w:val="18"/>
              </w:rPr>
              <w:t xml:space="preserve"> </w:t>
            </w:r>
            <w:r>
              <w:rPr>
                <w:sz w:val="18"/>
              </w:rPr>
              <w:t>on</w:t>
            </w:r>
            <w:r>
              <w:rPr>
                <w:spacing w:val="-4"/>
                <w:sz w:val="18"/>
              </w:rPr>
              <w:t xml:space="preserve"> </w:t>
            </w:r>
            <w:r>
              <w:rPr>
                <w:sz w:val="18"/>
              </w:rPr>
              <w:t>PDRD</w:t>
            </w:r>
            <w:r>
              <w:rPr>
                <w:spacing w:val="-3"/>
                <w:sz w:val="18"/>
              </w:rPr>
              <w:t xml:space="preserve"> </w:t>
            </w:r>
            <w:r>
              <w:rPr>
                <w:sz w:val="18"/>
              </w:rPr>
              <w:t>and</w:t>
            </w:r>
            <w:r>
              <w:rPr>
                <w:spacing w:val="-4"/>
                <w:sz w:val="18"/>
              </w:rPr>
              <w:t xml:space="preserve"> </w:t>
            </w:r>
            <w:r>
              <w:rPr>
                <w:sz w:val="18"/>
              </w:rPr>
              <w:t>Regional</w:t>
            </w:r>
            <w:r>
              <w:rPr>
                <w:spacing w:val="-3"/>
                <w:sz w:val="18"/>
              </w:rPr>
              <w:t xml:space="preserve"> </w:t>
            </w:r>
            <w:r>
              <w:rPr>
                <w:sz w:val="18"/>
              </w:rPr>
              <w:t>Head</w:t>
            </w:r>
            <w:r>
              <w:rPr>
                <w:spacing w:val="-4"/>
                <w:sz w:val="18"/>
              </w:rPr>
              <w:t xml:space="preserve"> </w:t>
            </w:r>
            <w:r>
              <w:rPr>
                <w:sz w:val="18"/>
              </w:rPr>
              <w:t>Regulations</w:t>
            </w:r>
            <w:r>
              <w:rPr>
                <w:spacing w:val="-4"/>
                <w:sz w:val="18"/>
              </w:rPr>
              <w:t xml:space="preserve"> </w:t>
            </w:r>
            <w:r>
              <w:rPr>
                <w:sz w:val="18"/>
              </w:rPr>
              <w:t>(Perkada) to increase Regional Revenue (PAD).</w:t>
            </w:r>
          </w:p>
          <w:p w14:paraId="71299657" w14:textId="77777777" w:rsidR="00BC24A8" w:rsidRDefault="00000000">
            <w:pPr>
              <w:pStyle w:val="TableParagraph"/>
              <w:numPr>
                <w:ilvl w:val="0"/>
                <w:numId w:val="50"/>
              </w:numPr>
              <w:tabs>
                <w:tab w:val="left" w:pos="452"/>
              </w:tabs>
              <w:spacing w:line="219" w:lineRule="exact"/>
              <w:rPr>
                <w:sz w:val="18"/>
              </w:rPr>
            </w:pPr>
            <w:r>
              <w:rPr>
                <w:sz w:val="18"/>
              </w:rPr>
              <w:t>The</w:t>
            </w:r>
            <w:r>
              <w:rPr>
                <w:spacing w:val="-4"/>
                <w:sz w:val="18"/>
              </w:rPr>
              <w:t xml:space="preserve"> </w:t>
            </w:r>
            <w:r>
              <w:rPr>
                <w:sz w:val="18"/>
              </w:rPr>
              <w:t>Provincial</w:t>
            </w:r>
            <w:r>
              <w:rPr>
                <w:spacing w:val="-1"/>
                <w:sz w:val="18"/>
              </w:rPr>
              <w:t xml:space="preserve"> </w:t>
            </w:r>
            <w:r>
              <w:rPr>
                <w:sz w:val="18"/>
              </w:rPr>
              <w:t>MSS</w:t>
            </w:r>
            <w:r>
              <w:rPr>
                <w:spacing w:val="-2"/>
                <w:sz w:val="18"/>
              </w:rPr>
              <w:t xml:space="preserve"> </w:t>
            </w:r>
            <w:r>
              <w:rPr>
                <w:sz w:val="18"/>
              </w:rPr>
              <w:t>Implementation</w:t>
            </w:r>
            <w:r>
              <w:rPr>
                <w:spacing w:val="-2"/>
                <w:sz w:val="18"/>
              </w:rPr>
              <w:t xml:space="preserve"> </w:t>
            </w:r>
            <w:r>
              <w:rPr>
                <w:sz w:val="18"/>
              </w:rPr>
              <w:t>Team</w:t>
            </w:r>
            <w:r>
              <w:rPr>
                <w:spacing w:val="-2"/>
                <w:sz w:val="18"/>
              </w:rPr>
              <w:t xml:space="preserve"> </w:t>
            </w:r>
            <w:r>
              <w:rPr>
                <w:sz w:val="18"/>
              </w:rPr>
              <w:t>regularly</w:t>
            </w:r>
            <w:r>
              <w:rPr>
                <w:spacing w:val="-2"/>
                <w:sz w:val="18"/>
              </w:rPr>
              <w:t xml:space="preserve"> </w:t>
            </w:r>
            <w:r>
              <w:rPr>
                <w:sz w:val="18"/>
              </w:rPr>
              <w:t>applies</w:t>
            </w:r>
            <w:r>
              <w:rPr>
                <w:spacing w:val="-2"/>
                <w:sz w:val="18"/>
              </w:rPr>
              <w:t xml:space="preserve"> </w:t>
            </w:r>
            <w:r>
              <w:rPr>
                <w:sz w:val="18"/>
              </w:rPr>
              <w:t>the</w:t>
            </w:r>
            <w:r>
              <w:rPr>
                <w:spacing w:val="-2"/>
                <w:sz w:val="18"/>
              </w:rPr>
              <w:t xml:space="preserve"> </w:t>
            </w:r>
            <w:r>
              <w:rPr>
                <w:sz w:val="18"/>
              </w:rPr>
              <w:t>MSS</w:t>
            </w:r>
            <w:r>
              <w:rPr>
                <w:spacing w:val="-1"/>
                <w:sz w:val="18"/>
              </w:rPr>
              <w:t xml:space="preserve"> </w:t>
            </w:r>
            <w:r>
              <w:rPr>
                <w:spacing w:val="-2"/>
                <w:sz w:val="18"/>
              </w:rPr>
              <w:t>stages</w:t>
            </w:r>
          </w:p>
          <w:p w14:paraId="63797CB7" w14:textId="77777777" w:rsidR="00BC24A8" w:rsidRDefault="00000000">
            <w:pPr>
              <w:pStyle w:val="TableParagraph"/>
              <w:numPr>
                <w:ilvl w:val="0"/>
                <w:numId w:val="50"/>
              </w:numPr>
              <w:tabs>
                <w:tab w:val="left" w:pos="452"/>
              </w:tabs>
              <w:spacing w:before="1"/>
              <w:ind w:right="191"/>
              <w:rPr>
                <w:sz w:val="18"/>
              </w:rPr>
            </w:pPr>
            <w:r>
              <w:rPr>
                <w:sz w:val="18"/>
              </w:rPr>
              <w:t>The</w:t>
            </w:r>
            <w:r>
              <w:rPr>
                <w:spacing w:val="-3"/>
                <w:sz w:val="18"/>
              </w:rPr>
              <w:t xml:space="preserve"> </w:t>
            </w:r>
            <w:r>
              <w:rPr>
                <w:sz w:val="18"/>
              </w:rPr>
              <w:t>results</w:t>
            </w:r>
            <w:r>
              <w:rPr>
                <w:spacing w:val="-3"/>
                <w:sz w:val="18"/>
              </w:rPr>
              <w:t xml:space="preserve"> </w:t>
            </w:r>
            <w:r>
              <w:rPr>
                <w:sz w:val="18"/>
              </w:rPr>
              <w:t>of</w:t>
            </w:r>
            <w:r>
              <w:rPr>
                <w:spacing w:val="-4"/>
                <w:sz w:val="18"/>
              </w:rPr>
              <w:t xml:space="preserve"> </w:t>
            </w:r>
            <w:r>
              <w:rPr>
                <w:sz w:val="18"/>
              </w:rPr>
              <w:t>data</w:t>
            </w:r>
            <w:r>
              <w:rPr>
                <w:spacing w:val="-4"/>
                <w:sz w:val="18"/>
              </w:rPr>
              <w:t xml:space="preserve"> </w:t>
            </w:r>
            <w:r>
              <w:rPr>
                <w:sz w:val="18"/>
              </w:rPr>
              <w:t>matching</w:t>
            </w:r>
            <w:r>
              <w:rPr>
                <w:spacing w:val="-4"/>
                <w:sz w:val="18"/>
              </w:rPr>
              <w:t xml:space="preserve"> </w:t>
            </w:r>
            <w:r>
              <w:rPr>
                <w:sz w:val="18"/>
              </w:rPr>
              <w:t>have</w:t>
            </w:r>
            <w:r>
              <w:rPr>
                <w:spacing w:val="-3"/>
                <w:sz w:val="18"/>
              </w:rPr>
              <w:t xml:space="preserve"> </w:t>
            </w:r>
            <w:r>
              <w:rPr>
                <w:sz w:val="18"/>
              </w:rPr>
              <w:t>helped</w:t>
            </w:r>
            <w:r>
              <w:rPr>
                <w:spacing w:val="-3"/>
                <w:sz w:val="18"/>
              </w:rPr>
              <w:t xml:space="preserve"> </w:t>
            </w:r>
            <w:r>
              <w:rPr>
                <w:sz w:val="18"/>
              </w:rPr>
              <w:t>ensure</w:t>
            </w:r>
            <w:r>
              <w:rPr>
                <w:spacing w:val="-3"/>
                <w:sz w:val="18"/>
              </w:rPr>
              <w:t xml:space="preserve"> </w:t>
            </w:r>
            <w:r>
              <w:rPr>
                <w:sz w:val="18"/>
              </w:rPr>
              <w:t>more</w:t>
            </w:r>
            <w:r>
              <w:rPr>
                <w:spacing w:val="-3"/>
                <w:sz w:val="18"/>
              </w:rPr>
              <w:t xml:space="preserve"> </w:t>
            </w:r>
            <w:r>
              <w:rPr>
                <w:sz w:val="18"/>
              </w:rPr>
              <w:t>targeted</w:t>
            </w:r>
            <w:r>
              <w:rPr>
                <w:spacing w:val="-3"/>
                <w:sz w:val="18"/>
              </w:rPr>
              <w:t xml:space="preserve"> </w:t>
            </w:r>
            <w:r>
              <w:rPr>
                <w:sz w:val="18"/>
              </w:rPr>
              <w:t>social</w:t>
            </w:r>
            <w:r>
              <w:rPr>
                <w:spacing w:val="-2"/>
                <w:sz w:val="18"/>
              </w:rPr>
              <w:t xml:space="preserve"> </w:t>
            </w:r>
            <w:r>
              <w:rPr>
                <w:sz w:val="18"/>
              </w:rPr>
              <w:t>assistance</w:t>
            </w:r>
            <w:r>
              <w:rPr>
                <w:spacing w:val="-3"/>
                <w:sz w:val="18"/>
              </w:rPr>
              <w:t xml:space="preserve"> </w:t>
            </w:r>
            <w:r>
              <w:rPr>
                <w:sz w:val="18"/>
              </w:rPr>
              <w:t>distribution</w:t>
            </w:r>
            <w:r>
              <w:rPr>
                <w:spacing w:val="-5"/>
                <w:sz w:val="18"/>
              </w:rPr>
              <w:t xml:space="preserve"> </w:t>
            </w:r>
            <w:r>
              <w:rPr>
                <w:sz w:val="18"/>
              </w:rPr>
              <w:t>in</w:t>
            </w:r>
            <w:r>
              <w:rPr>
                <w:spacing w:val="-3"/>
                <w:sz w:val="18"/>
              </w:rPr>
              <w:t xml:space="preserve"> </w:t>
            </w:r>
            <w:r>
              <w:rPr>
                <w:sz w:val="18"/>
              </w:rPr>
              <w:t xml:space="preserve">22 </w:t>
            </w:r>
            <w:r>
              <w:rPr>
                <w:spacing w:val="-2"/>
                <w:sz w:val="18"/>
              </w:rPr>
              <w:t>regencies/cities.</w:t>
            </w:r>
          </w:p>
        </w:tc>
      </w:tr>
    </w:tbl>
    <w:p w14:paraId="4742A974" w14:textId="77777777" w:rsidR="00BC24A8" w:rsidRDefault="00BC24A8">
      <w:pPr>
        <w:pStyle w:val="TableParagraph"/>
        <w:rPr>
          <w:sz w:val="18"/>
        </w:rPr>
        <w:sectPr w:rsidR="00BC24A8">
          <w:pgSz w:w="11910" w:h="16840"/>
          <w:pgMar w:top="1340" w:right="850" w:bottom="1100" w:left="1275" w:header="0" w:footer="907" w:gutter="0"/>
          <w:cols w:space="720"/>
        </w:sectPr>
      </w:pPr>
    </w:p>
    <w:p w14:paraId="636BA686" w14:textId="77777777" w:rsidR="00BC24A8" w:rsidRDefault="00000000">
      <w:pPr>
        <w:pStyle w:val="BodyText"/>
        <w:spacing w:before="29"/>
        <w:ind w:left="143"/>
        <w:rPr>
          <w:rFonts w:ascii="Calibri"/>
        </w:rPr>
      </w:pPr>
      <w:r>
        <w:rPr>
          <w:rFonts w:ascii="Calibri"/>
          <w:noProof/>
        </w:rPr>
        <mc:AlternateContent>
          <mc:Choice Requires="wpg">
            <w:drawing>
              <wp:anchor distT="0" distB="0" distL="0" distR="0" simplePos="0" relativeHeight="478684672" behindDoc="1" locked="0" layoutInCell="1" allowOverlap="1" wp14:anchorId="32437BC4" wp14:editId="15026A57">
                <wp:simplePos x="0" y="0"/>
                <wp:positionH relativeFrom="page">
                  <wp:posOffset>897636</wp:posOffset>
                </wp:positionH>
                <wp:positionV relativeFrom="page">
                  <wp:posOffset>1383791</wp:posOffset>
                </wp:positionV>
                <wp:extent cx="5779135" cy="8216265"/>
                <wp:effectExtent l="0" t="0" r="0" b="0"/>
                <wp:wrapNone/>
                <wp:docPr id="235" name="Group 235" descr="S TO R Y 1 :&#10;MUSIK KEREN, NTT’s Innovative Step to Realise Inclusive Musrenbang for Vulnerable Groups&#10;The NTT Provincial Government, together with the SKALA program, supports the involvement of vulnerable groups in the regional planning process. This commitment has been realised through the MUSIK KEREN initiative since 2024. It was noted that 22 CSOs participated in organising the Inclusive Musrenbang. In addition, the activity involved CSOs from regencies/cities attending online.&#10;The preparation of MUSIK KEREN was divided into two stages. First, drafting of regulations and implementation guidelines to serve as the Government’s reference in conducting Inclusive Musrenbang at the provincial level. Second, capacity building was provided for CSOs and representatives of vulnerable groups on local planning mechanisms and processes. This capacity building was attended by 15 representatives of CSOs and vulnerable groups at the Provincial level.&#10;&#10;The implementation of MUSIK KEREN began with collecting proposals from vulnerable groups in 22 regencies/cities through online (Google Form) and offline methods. As a result, more than 200 aspirations on crucial issues were collected. The Provincial Agencies (OPD) uses all aspirations and inputs as a basis for monitoring and evaluating more equitable development.&#10;Furthermore, all aspirations and inputs were accommodated in thematic forums that brought together representatives of vulnerable groups and the regional apparatus of NTT Province. The forum was facilitated by trained facilitators from the Regional Development Planning and Research Agency (Bapperida) and CSOs.&#10;&#10;The launch of MUSIK KEREN NTT was held during the 2026 RPJMD and RKPD meetings and as part of regular activities. For the provincial government, MUSIK KEREN is a strategic step and a platform to listen to the voices of marginalised groups that are often left out of the regional planning process.&#10;&#10;&#10;&#10;The launch of the Vulnerable Group Inclusive Musrenbang (MUSIK KEREN) marks a new milestone in development planning in NTT Province. It serves as an eﬀective forum for the aspirations of vulnerable groups—including women, persons with disabilities, children, older adults, and others—encouraging regency and city governments to follow suit so that development in NTT can be enjoyed by all levels of society. (Governor of NTT, 2025)&#10;&#10;&#10;As for vulnerable groups, the presence of Inclusive Musrenbang demonstrates the local government’s attention to their rights, which are often overlooked amid development progress. One of the Musrenbang participants said that the government’s awareness of the rights of persons with disabilities is becoming increasingly evident. For example, providing Sign Language Interpreters during the preparation and implementation of the Inclusive Musrenbang allowed them to participate effectively in group discussions. The presence of MUSIK KEREN affirms NTT as a pioneer of inclusive development, providing space for all voices, including those who have long been marginalised.&#10;&#10;&#10;&#10;The launch of this inclusive Musrenbang helps us voice our rights to access and ensures that our voices as persons with disabilities are heard, respected, accepted, and included in every decision-making process. We also appreciate that this year's Musrenbang consistently provides Sign Language Interpreters (JBI) to support our needs.&#10;(Chairperson of Kupang Deaf Community, May 20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8216265"/>
                          <a:chOff x="0" y="0"/>
                          <a:chExt cx="5779135" cy="8216265"/>
                        </a:xfrm>
                      </wpg:grpSpPr>
                      <wps:wsp>
                        <wps:cNvPr id="236" name="Graphic 236"/>
                        <wps:cNvSpPr/>
                        <wps:spPr>
                          <a:xfrm>
                            <a:off x="6095" y="6095"/>
                            <a:ext cx="5765800" cy="8204200"/>
                          </a:xfrm>
                          <a:custGeom>
                            <a:avLst/>
                            <a:gdLst/>
                            <a:ahLst/>
                            <a:cxnLst/>
                            <a:rect l="l" t="t" r="r" b="b"/>
                            <a:pathLst>
                              <a:path w="5765800" h="8204200">
                                <a:moveTo>
                                  <a:pt x="5765292" y="0"/>
                                </a:moveTo>
                                <a:lnTo>
                                  <a:pt x="0" y="0"/>
                                </a:lnTo>
                                <a:lnTo>
                                  <a:pt x="0" y="8203692"/>
                                </a:lnTo>
                                <a:lnTo>
                                  <a:pt x="5765292" y="8203692"/>
                                </a:lnTo>
                                <a:lnTo>
                                  <a:pt x="5765292" y="0"/>
                                </a:lnTo>
                                <a:close/>
                              </a:path>
                            </a:pathLst>
                          </a:custGeom>
                          <a:solidFill>
                            <a:srgbClr val="E1F1EF"/>
                          </a:solidFill>
                        </wps:spPr>
                        <wps:bodyPr wrap="square" lIns="0" tIns="0" rIns="0" bIns="0" rtlCol="0">
                          <a:prstTxWarp prst="textNoShape">
                            <a:avLst/>
                          </a:prstTxWarp>
                          <a:noAutofit/>
                        </wps:bodyPr>
                      </wps:wsp>
                      <wps:wsp>
                        <wps:cNvPr id="237" name="Graphic 237"/>
                        <wps:cNvSpPr/>
                        <wps:spPr>
                          <a:xfrm>
                            <a:off x="0" y="0"/>
                            <a:ext cx="5779135" cy="8216265"/>
                          </a:xfrm>
                          <a:custGeom>
                            <a:avLst/>
                            <a:gdLst/>
                            <a:ahLst/>
                            <a:cxnLst/>
                            <a:rect l="l" t="t" r="r" b="b"/>
                            <a:pathLst>
                              <a:path w="5779135" h="8216265">
                                <a:moveTo>
                                  <a:pt x="5779008" y="0"/>
                                </a:moveTo>
                                <a:lnTo>
                                  <a:pt x="5772912" y="0"/>
                                </a:lnTo>
                                <a:lnTo>
                                  <a:pt x="5772912" y="6096"/>
                                </a:lnTo>
                                <a:lnTo>
                                  <a:pt x="5772912" y="8209788"/>
                                </a:lnTo>
                                <a:lnTo>
                                  <a:pt x="6108" y="8209788"/>
                                </a:lnTo>
                                <a:lnTo>
                                  <a:pt x="6108" y="6096"/>
                                </a:lnTo>
                                <a:lnTo>
                                  <a:pt x="5772912" y="6096"/>
                                </a:lnTo>
                                <a:lnTo>
                                  <a:pt x="5772912" y="0"/>
                                </a:lnTo>
                                <a:lnTo>
                                  <a:pt x="6108" y="0"/>
                                </a:lnTo>
                                <a:lnTo>
                                  <a:pt x="0" y="0"/>
                                </a:lnTo>
                                <a:lnTo>
                                  <a:pt x="0" y="6083"/>
                                </a:lnTo>
                                <a:lnTo>
                                  <a:pt x="0" y="8209788"/>
                                </a:lnTo>
                                <a:lnTo>
                                  <a:pt x="0" y="8215884"/>
                                </a:lnTo>
                                <a:lnTo>
                                  <a:pt x="6096" y="8215884"/>
                                </a:lnTo>
                                <a:lnTo>
                                  <a:pt x="5772912" y="8215884"/>
                                </a:lnTo>
                                <a:lnTo>
                                  <a:pt x="5779008" y="8215884"/>
                                </a:lnTo>
                                <a:lnTo>
                                  <a:pt x="5779008" y="8209788"/>
                                </a:lnTo>
                                <a:lnTo>
                                  <a:pt x="5779008" y="6096"/>
                                </a:lnTo>
                                <a:lnTo>
                                  <a:pt x="5779008" y="0"/>
                                </a:lnTo>
                                <a:close/>
                              </a:path>
                            </a:pathLst>
                          </a:custGeom>
                          <a:solidFill>
                            <a:srgbClr val="BEBEBE"/>
                          </a:solidFill>
                        </wps:spPr>
                        <wps:bodyPr wrap="square" lIns="0" tIns="0" rIns="0" bIns="0" rtlCol="0">
                          <a:prstTxWarp prst="textNoShape">
                            <a:avLst/>
                          </a:prstTxWarp>
                          <a:noAutofit/>
                        </wps:bodyPr>
                      </wps:wsp>
                      <wps:wsp>
                        <wps:cNvPr id="238" name="Graphic 238"/>
                        <wps:cNvSpPr/>
                        <wps:spPr>
                          <a:xfrm>
                            <a:off x="211709" y="4064457"/>
                            <a:ext cx="5410200" cy="1032510"/>
                          </a:xfrm>
                          <a:custGeom>
                            <a:avLst/>
                            <a:gdLst/>
                            <a:ahLst/>
                            <a:cxnLst/>
                            <a:rect l="l" t="t" r="r" b="b"/>
                            <a:pathLst>
                              <a:path w="5410200" h="1032510">
                                <a:moveTo>
                                  <a:pt x="0" y="0"/>
                                </a:moveTo>
                                <a:lnTo>
                                  <a:pt x="5410200" y="0"/>
                                </a:lnTo>
                                <a:lnTo>
                                  <a:pt x="5410200" y="1031913"/>
                                </a:lnTo>
                                <a:lnTo>
                                  <a:pt x="0" y="1031913"/>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50" cstate="print"/>
                          <a:stretch>
                            <a:fillRect/>
                          </a:stretch>
                        </pic:blipFill>
                        <pic:spPr>
                          <a:xfrm>
                            <a:off x="272687" y="3910112"/>
                            <a:ext cx="223210" cy="204979"/>
                          </a:xfrm>
                          <a:prstGeom prst="rect">
                            <a:avLst/>
                          </a:prstGeom>
                        </pic:spPr>
                      </pic:pic>
                      <pic:pic xmlns:pic="http://schemas.openxmlformats.org/drawingml/2006/picture">
                        <pic:nvPicPr>
                          <pic:cNvPr id="240" name="Image 240"/>
                          <pic:cNvPicPr/>
                        </pic:nvPicPr>
                        <pic:blipFill>
                          <a:blip r:embed="rId20" cstate="print"/>
                          <a:stretch>
                            <a:fillRect/>
                          </a:stretch>
                        </pic:blipFill>
                        <pic:spPr>
                          <a:xfrm>
                            <a:off x="5329007" y="5028787"/>
                            <a:ext cx="223210" cy="204980"/>
                          </a:xfrm>
                          <a:prstGeom prst="rect">
                            <a:avLst/>
                          </a:prstGeom>
                        </pic:spPr>
                      </pic:pic>
                      <wps:wsp>
                        <wps:cNvPr id="241" name="Graphic 241"/>
                        <wps:cNvSpPr/>
                        <wps:spPr>
                          <a:xfrm>
                            <a:off x="211709" y="6612597"/>
                            <a:ext cx="5410200" cy="1032510"/>
                          </a:xfrm>
                          <a:custGeom>
                            <a:avLst/>
                            <a:gdLst/>
                            <a:ahLst/>
                            <a:cxnLst/>
                            <a:rect l="l" t="t" r="r" b="b"/>
                            <a:pathLst>
                              <a:path w="5410200" h="1032510">
                                <a:moveTo>
                                  <a:pt x="0" y="0"/>
                                </a:moveTo>
                                <a:lnTo>
                                  <a:pt x="5410200" y="0"/>
                                </a:lnTo>
                                <a:lnTo>
                                  <a:pt x="5410200" y="1031913"/>
                                </a:lnTo>
                                <a:lnTo>
                                  <a:pt x="0" y="1031913"/>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4" cstate="print"/>
                          <a:stretch>
                            <a:fillRect/>
                          </a:stretch>
                        </pic:blipFill>
                        <pic:spPr>
                          <a:xfrm>
                            <a:off x="272687" y="6458246"/>
                            <a:ext cx="223210" cy="204979"/>
                          </a:xfrm>
                          <a:prstGeom prst="rect">
                            <a:avLst/>
                          </a:prstGeom>
                        </pic:spPr>
                      </pic:pic>
                      <pic:pic xmlns:pic="http://schemas.openxmlformats.org/drawingml/2006/picture">
                        <pic:nvPicPr>
                          <pic:cNvPr id="243" name="Image 243"/>
                          <pic:cNvPicPr/>
                        </pic:nvPicPr>
                        <pic:blipFill>
                          <a:blip r:embed="rId20" cstate="print"/>
                          <a:stretch>
                            <a:fillRect/>
                          </a:stretch>
                        </pic:blipFill>
                        <pic:spPr>
                          <a:xfrm>
                            <a:off x="5329007" y="7576925"/>
                            <a:ext cx="223210" cy="204980"/>
                          </a:xfrm>
                          <a:prstGeom prst="rect">
                            <a:avLst/>
                          </a:prstGeom>
                        </pic:spPr>
                      </pic:pic>
                    </wpg:wgp>
                  </a:graphicData>
                </a:graphic>
              </wp:anchor>
            </w:drawing>
          </mc:Choice>
          <mc:Fallback>
            <w:pict>
              <v:group w14:anchorId="6CDF330F" id="Group 235" o:spid="_x0000_s1026" alt="S TO R Y 1 :&#10;MUSIK KEREN, NTT’s Innovative Step to Realise Inclusive Musrenbang for Vulnerable Groups&#10;The NTT Provincial Government, together with the SKALA program, supports the involvement of vulnerable groups in the regional planning process. This commitment has been realised through the MUSIK KEREN initiative since 2024. It was noted that 22 CSOs participated in organising the Inclusive Musrenbang. In addition, the activity involved CSOs from regencies/cities attending online.&#10;The preparation of MUSIK KEREN was divided into two stages. First, drafting of regulations and implementation guidelines to serve as the Government’s reference in conducting Inclusive Musrenbang at the provincial level. Second, capacity building was provided for CSOs and representatives of vulnerable groups on local planning mechanisms and processes. This capacity building was attended by 15 representatives of CSOs and vulnerable groups at the Provincial level.&#10;&#10;The implementation of MUSIK KEREN began with collecting proposals from vulnerable groups in 22 regencies/cities through online (Google Form) and offline methods. As a result, more than 200 aspirations on crucial issues were collected. The Provincial Agencies (OPD) uses all aspirations and inputs as a basis for monitoring and evaluating more equitable development.&#10;Furthermore, all aspirations and inputs were accommodated in thematic forums that brought together representatives of vulnerable groups and the regional apparatus of NTT Province. The forum was facilitated by trained facilitators from the Regional Development Planning and Research Agency (Bapperida) and CSOs.&#10;&#10;The launch of MUSIK KEREN NTT was held during the 2026 RPJMD and RKPD meetings and as part of regular activities. For the provincial government, MUSIK KEREN is a strategic step and a platform to listen to the voices of marginalised groups that are often left out of the regional planning process.&#10;&#10;&#10;&#10;The launch of the Vulnerable Group Inclusive Musrenbang (MUSIK KEREN) marks a new milestone in development planning in NTT Province. It serves as an eﬀective forum for the aspirations of vulnerable groups—including women, persons with disabilities, children, older adults, and others—encouraging regency and city governments to follow suit so that development in NTT can be enjoyed by all levels of society. (Governor of NTT, 2025)&#10;&#10;&#10;As for vulnerable groups, the presence of Inclusive Musrenbang demonstrates the local government’s attention to their rights, which are often overlooked amid development progress. One of the Musrenbang participants said that the government’s awareness of the rights of persons with disabilities is becoming increasingly evident. For example, providing Sign Language Interpreters during the preparation and implementation of the Inclusive Musrenbang allowed them to participate effectively in group discussions. The presence of MUSIK KEREN affirms NTT as a pioneer of inclusive development, providing space for all voices, including those who have long been marginalised.&#10;&#10;&#10;&#10;The launch of this inclusive Musrenbang helps us voice our rights to access and ensures that our voices as persons with disabilities are heard, respected, accepted, and included in every decision-making process. We also appreciate that this year's Musrenbang consistently provides Sign Language Interpreters (JBI) to support our needs.&#10;(Chairperson of Kupang Deaf Community, May 2025)&#10;" style="position:absolute;margin-left:70.7pt;margin-top:108.95pt;width:455.05pt;height:646.95pt;z-index:-24631808;mso-wrap-distance-left:0;mso-wrap-distance-right:0;mso-position-horizontal-relative:page;mso-position-vertical-relative:page" coordsize="57791,8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">
                <v:shape id="Graphic 236" o:spid="_x0000_s1027" style="position:absolute;left:60;top:60;width:57658;height:82042;visibility:visible;mso-wrap-style:square;v-text-anchor:top" coordsize="5765800,82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" path="m5765292,l,,,8203692r5765292,l5765292,xe" fillcolor="#e1f1ef" stroked="f">
                  <v:path arrowok="t"/>
                </v:shape>
                <v:shape id="Graphic 237" o:spid="_x0000_s1028" style="position:absolute;width:57791;height:82162;visibility:visible;mso-wrap-style:square;v-text-anchor:top" coordsize="5779135,821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" path="m5779008,r-6096,l5772912,6096r,8203692l6108,8209788,6108,6096r5766804,l5772912,,6108,,,,,6083,,8209788r,6096l6096,8215884r5766816,l5779008,8215884r,-6096l5779008,6096r,-6096xe" fillcolor="#bebebe" stroked="f">
                  <v:path arrowok="t"/>
                </v:shape>
                <v:shape id="Graphic 238" o:spid="_x0000_s1029" style="position:absolute;left:2117;top:40644;width:54102;height:10325;visibility:visible;mso-wrap-style:square;v-text-anchor:top" coordsize="5410200,10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" path="m,l5410200,r,1031913l,1031913,,xe" filled="f" strokecolor="#17365a" strokeweight="1pt">
                  <v:path arrowok="t"/>
                </v:shape>
                <v:shape id="Image 239" o:spid="_x0000_s1030" type="#_x0000_t75" style="position:absolute;left:2726;top:39101;width:2232;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">
                  <v:imagedata r:id="rId51" o:title=""/>
                </v:shape>
                <v:shape id="Image 240" o:spid="_x0000_s1031" type="#_x0000_t75" style="position:absolute;left:53290;top:50287;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">
                  <v:imagedata r:id="rId21" o:title=""/>
                </v:shape>
                <v:shape id="Graphic 241" o:spid="_x0000_s1032" style="position:absolute;left:2117;top:66125;width:54102;height:10326;visibility:visible;mso-wrap-style:square;v-text-anchor:top" coordsize="5410200,10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" path="m,l5410200,r,1031913l,1031913,,xe" filled="f" strokecolor="#17365a" strokeweight="1pt">
                  <v:path arrowok="t"/>
                </v:shape>
                <v:shape id="Image 242" o:spid="_x0000_s1033" type="#_x0000_t75" style="position:absolute;left:2726;top:64582;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">
                  <v:imagedata r:id="rId16" o:title=""/>
                </v:shape>
                <v:shape id="Image 243" o:spid="_x0000_s1034" type="#_x0000_t75" style="position:absolute;left:53290;top:75769;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">
                  <v:imagedata r:id="rId21" o:title=""/>
                </v:shape>
                <w10:wrap anchorx="page" anchory="page"/>
              </v:group>
            </w:pict>
          </mc:Fallback>
        </mc:AlternateContent>
      </w:r>
      <w:r>
        <w:rPr>
          <w:rFonts w:ascii="Calibri"/>
          <w:color w:val="272727"/>
        </w:rPr>
        <w:t>Significant</w:t>
      </w:r>
      <w:r>
        <w:rPr>
          <w:rFonts w:ascii="Calibri"/>
          <w:color w:val="272727"/>
          <w:spacing w:val="-10"/>
        </w:rPr>
        <w:t xml:space="preserve"> </w:t>
      </w:r>
      <w:r>
        <w:rPr>
          <w:rFonts w:ascii="Calibri"/>
          <w:color w:val="272727"/>
        </w:rPr>
        <w:t>change</w:t>
      </w:r>
      <w:r>
        <w:rPr>
          <w:rFonts w:ascii="Calibri"/>
          <w:color w:val="272727"/>
          <w:spacing w:val="-11"/>
        </w:rPr>
        <w:t xml:space="preserve"> </w:t>
      </w:r>
      <w:r>
        <w:rPr>
          <w:rFonts w:ascii="Calibri"/>
          <w:color w:val="272727"/>
          <w:spacing w:val="-4"/>
        </w:rPr>
        <w:t>story</w:t>
      </w:r>
    </w:p>
    <w:p w14:paraId="33E04549" w14:textId="77777777" w:rsidR="00BC24A8" w:rsidRDefault="00000000">
      <w:pPr>
        <w:spacing w:before="154"/>
        <w:ind w:left="5" w:right="440"/>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1</w:t>
      </w:r>
      <w:r>
        <w:rPr>
          <w:spacing w:val="-15"/>
          <w:sz w:val="20"/>
        </w:rPr>
        <w:t xml:space="preserve"> </w:t>
      </w:r>
      <w:r>
        <w:rPr>
          <w:spacing w:val="-10"/>
          <w:sz w:val="20"/>
        </w:rPr>
        <w:t>:</w:t>
      </w:r>
    </w:p>
    <w:p w14:paraId="3DCEDCDC" w14:textId="77777777" w:rsidR="00BC24A8" w:rsidRDefault="00000000">
      <w:pPr>
        <w:spacing w:line="243" w:lineRule="exact"/>
        <w:ind w:left="873"/>
        <w:rPr>
          <w:rFonts w:ascii="Calibri" w:hAnsi="Calibri"/>
          <w:b/>
          <w:sz w:val="20"/>
        </w:rPr>
      </w:pPr>
      <w:r>
        <w:rPr>
          <w:rFonts w:ascii="Calibri" w:hAnsi="Calibri"/>
          <w:b/>
          <w:color w:val="17365A"/>
          <w:sz w:val="20"/>
        </w:rPr>
        <w:t>MUSIK</w:t>
      </w:r>
      <w:r>
        <w:rPr>
          <w:rFonts w:ascii="Calibri" w:hAnsi="Calibri"/>
          <w:b/>
          <w:color w:val="17365A"/>
          <w:spacing w:val="-9"/>
          <w:sz w:val="20"/>
        </w:rPr>
        <w:t xml:space="preserve"> </w:t>
      </w:r>
      <w:r>
        <w:rPr>
          <w:rFonts w:ascii="Calibri" w:hAnsi="Calibri"/>
          <w:b/>
          <w:color w:val="17365A"/>
          <w:sz w:val="20"/>
        </w:rPr>
        <w:t>KEREN,</w:t>
      </w:r>
      <w:r>
        <w:rPr>
          <w:rFonts w:ascii="Calibri" w:hAnsi="Calibri"/>
          <w:b/>
          <w:color w:val="17365A"/>
          <w:spacing w:val="-11"/>
          <w:sz w:val="20"/>
        </w:rPr>
        <w:t xml:space="preserve"> </w:t>
      </w:r>
      <w:r>
        <w:rPr>
          <w:rFonts w:ascii="Calibri" w:hAnsi="Calibri"/>
          <w:b/>
          <w:color w:val="17365A"/>
          <w:sz w:val="20"/>
        </w:rPr>
        <w:t>NTT’s</w:t>
      </w:r>
      <w:r>
        <w:rPr>
          <w:rFonts w:ascii="Calibri" w:hAnsi="Calibri"/>
          <w:b/>
          <w:color w:val="17365A"/>
          <w:spacing w:val="-10"/>
          <w:sz w:val="20"/>
        </w:rPr>
        <w:t xml:space="preserve"> </w:t>
      </w:r>
      <w:r>
        <w:rPr>
          <w:rFonts w:ascii="Calibri" w:hAnsi="Calibri"/>
          <w:b/>
          <w:color w:val="17365A"/>
          <w:sz w:val="20"/>
        </w:rPr>
        <w:t>Innovative</w:t>
      </w:r>
      <w:r>
        <w:rPr>
          <w:rFonts w:ascii="Calibri" w:hAnsi="Calibri"/>
          <w:b/>
          <w:color w:val="17365A"/>
          <w:spacing w:val="-9"/>
          <w:sz w:val="20"/>
        </w:rPr>
        <w:t xml:space="preserve"> </w:t>
      </w:r>
      <w:r>
        <w:rPr>
          <w:rFonts w:ascii="Calibri" w:hAnsi="Calibri"/>
          <w:b/>
          <w:color w:val="17365A"/>
          <w:sz w:val="20"/>
        </w:rPr>
        <w:t>Step</w:t>
      </w:r>
      <w:r>
        <w:rPr>
          <w:rFonts w:ascii="Calibri" w:hAnsi="Calibri"/>
          <w:b/>
          <w:color w:val="17365A"/>
          <w:spacing w:val="-9"/>
          <w:sz w:val="20"/>
        </w:rPr>
        <w:t xml:space="preserve"> </w:t>
      </w:r>
      <w:r>
        <w:rPr>
          <w:rFonts w:ascii="Calibri" w:hAnsi="Calibri"/>
          <w:b/>
          <w:color w:val="17365A"/>
          <w:sz w:val="20"/>
        </w:rPr>
        <w:t>to</w:t>
      </w:r>
      <w:r>
        <w:rPr>
          <w:rFonts w:ascii="Calibri" w:hAnsi="Calibri"/>
          <w:b/>
          <w:color w:val="17365A"/>
          <w:spacing w:val="-9"/>
          <w:sz w:val="20"/>
        </w:rPr>
        <w:t xml:space="preserve"> </w:t>
      </w:r>
      <w:r>
        <w:rPr>
          <w:rFonts w:ascii="Calibri" w:hAnsi="Calibri"/>
          <w:b/>
          <w:color w:val="17365A"/>
          <w:sz w:val="20"/>
        </w:rPr>
        <w:t>Realise</w:t>
      </w:r>
      <w:r>
        <w:rPr>
          <w:rFonts w:ascii="Calibri" w:hAnsi="Calibri"/>
          <w:b/>
          <w:color w:val="17365A"/>
          <w:spacing w:val="-10"/>
          <w:sz w:val="20"/>
        </w:rPr>
        <w:t xml:space="preserve"> </w:t>
      </w:r>
      <w:r>
        <w:rPr>
          <w:rFonts w:ascii="Calibri" w:hAnsi="Calibri"/>
          <w:b/>
          <w:color w:val="17365A"/>
          <w:sz w:val="20"/>
        </w:rPr>
        <w:t>Inclusive</w:t>
      </w:r>
      <w:r>
        <w:rPr>
          <w:rFonts w:ascii="Calibri" w:hAnsi="Calibri"/>
          <w:b/>
          <w:color w:val="17365A"/>
          <w:spacing w:val="-9"/>
          <w:sz w:val="20"/>
        </w:rPr>
        <w:t xml:space="preserve"> </w:t>
      </w:r>
      <w:r>
        <w:rPr>
          <w:rFonts w:ascii="Calibri" w:hAnsi="Calibri"/>
          <w:b/>
          <w:color w:val="17365A"/>
          <w:sz w:val="20"/>
        </w:rPr>
        <w:t>Musrenbang</w:t>
      </w:r>
      <w:r>
        <w:rPr>
          <w:rFonts w:ascii="Calibri" w:hAnsi="Calibri"/>
          <w:b/>
          <w:color w:val="17365A"/>
          <w:spacing w:val="-11"/>
          <w:sz w:val="20"/>
        </w:rPr>
        <w:t xml:space="preserve"> </w:t>
      </w:r>
      <w:r>
        <w:rPr>
          <w:rFonts w:ascii="Calibri" w:hAnsi="Calibri"/>
          <w:b/>
          <w:color w:val="17365A"/>
          <w:sz w:val="20"/>
        </w:rPr>
        <w:t>for</w:t>
      </w:r>
      <w:r>
        <w:rPr>
          <w:rFonts w:ascii="Calibri" w:hAnsi="Calibri"/>
          <w:b/>
          <w:color w:val="17365A"/>
          <w:spacing w:val="-9"/>
          <w:sz w:val="20"/>
        </w:rPr>
        <w:t xml:space="preserve"> </w:t>
      </w:r>
      <w:r>
        <w:rPr>
          <w:rFonts w:ascii="Calibri" w:hAnsi="Calibri"/>
          <w:b/>
          <w:color w:val="17365A"/>
          <w:sz w:val="20"/>
        </w:rPr>
        <w:t>Vulnerable</w:t>
      </w:r>
      <w:r>
        <w:rPr>
          <w:rFonts w:ascii="Calibri" w:hAnsi="Calibri"/>
          <w:b/>
          <w:color w:val="17365A"/>
          <w:spacing w:val="-9"/>
          <w:sz w:val="20"/>
        </w:rPr>
        <w:t xml:space="preserve"> </w:t>
      </w:r>
      <w:r>
        <w:rPr>
          <w:rFonts w:ascii="Calibri" w:hAnsi="Calibri"/>
          <w:b/>
          <w:color w:val="17365A"/>
          <w:spacing w:val="-2"/>
          <w:sz w:val="20"/>
        </w:rPr>
        <w:t>Groups</w:t>
      </w:r>
    </w:p>
    <w:p w14:paraId="43FBA782" w14:textId="77777777" w:rsidR="00BC24A8" w:rsidRDefault="00000000">
      <w:pPr>
        <w:spacing w:before="221"/>
        <w:ind w:left="395" w:right="793"/>
        <w:jc w:val="both"/>
        <w:rPr>
          <w:sz w:val="18"/>
        </w:rPr>
      </w:pPr>
      <w:r>
        <w:rPr>
          <w:sz w:val="18"/>
        </w:rPr>
        <w:t>The NTT Provincial Government, together with the SKALA program, supports the involvement of vulnerable groups in the</w:t>
      </w:r>
      <w:r>
        <w:rPr>
          <w:spacing w:val="-11"/>
          <w:sz w:val="18"/>
        </w:rPr>
        <w:t xml:space="preserve"> </w:t>
      </w:r>
      <w:r>
        <w:rPr>
          <w:sz w:val="18"/>
        </w:rPr>
        <w:t>regional</w:t>
      </w:r>
      <w:r>
        <w:rPr>
          <w:spacing w:val="-9"/>
          <w:sz w:val="18"/>
        </w:rPr>
        <w:t xml:space="preserve"> </w:t>
      </w:r>
      <w:r>
        <w:rPr>
          <w:sz w:val="18"/>
        </w:rPr>
        <w:t>planning</w:t>
      </w:r>
      <w:r>
        <w:rPr>
          <w:spacing w:val="-11"/>
          <w:sz w:val="18"/>
        </w:rPr>
        <w:t xml:space="preserve"> </w:t>
      </w:r>
      <w:r>
        <w:rPr>
          <w:sz w:val="18"/>
        </w:rPr>
        <w:t>process.</w:t>
      </w:r>
      <w:r>
        <w:rPr>
          <w:spacing w:val="-10"/>
          <w:sz w:val="18"/>
        </w:rPr>
        <w:t xml:space="preserve"> </w:t>
      </w:r>
      <w:r>
        <w:rPr>
          <w:sz w:val="18"/>
        </w:rPr>
        <w:t>This</w:t>
      </w:r>
      <w:r>
        <w:rPr>
          <w:spacing w:val="-10"/>
          <w:sz w:val="18"/>
        </w:rPr>
        <w:t xml:space="preserve"> </w:t>
      </w:r>
      <w:r>
        <w:rPr>
          <w:sz w:val="18"/>
        </w:rPr>
        <w:t>commitment</w:t>
      </w:r>
      <w:r>
        <w:rPr>
          <w:spacing w:val="-9"/>
          <w:sz w:val="18"/>
        </w:rPr>
        <w:t xml:space="preserve"> </w:t>
      </w:r>
      <w:r>
        <w:rPr>
          <w:sz w:val="18"/>
        </w:rPr>
        <w:t>has</w:t>
      </w:r>
      <w:r>
        <w:rPr>
          <w:spacing w:val="-8"/>
          <w:sz w:val="18"/>
        </w:rPr>
        <w:t xml:space="preserve"> </w:t>
      </w:r>
      <w:r>
        <w:rPr>
          <w:sz w:val="18"/>
        </w:rPr>
        <w:t>been</w:t>
      </w:r>
      <w:r>
        <w:rPr>
          <w:spacing w:val="-10"/>
          <w:sz w:val="18"/>
        </w:rPr>
        <w:t xml:space="preserve"> </w:t>
      </w:r>
      <w:r>
        <w:rPr>
          <w:sz w:val="18"/>
        </w:rPr>
        <w:t>realised</w:t>
      </w:r>
      <w:r>
        <w:rPr>
          <w:spacing w:val="-10"/>
          <w:sz w:val="18"/>
        </w:rPr>
        <w:t xml:space="preserve"> </w:t>
      </w:r>
      <w:r>
        <w:rPr>
          <w:sz w:val="18"/>
        </w:rPr>
        <w:t>through</w:t>
      </w:r>
      <w:r>
        <w:rPr>
          <w:spacing w:val="-11"/>
          <w:sz w:val="18"/>
        </w:rPr>
        <w:t xml:space="preserve"> </w:t>
      </w:r>
      <w:r>
        <w:rPr>
          <w:sz w:val="18"/>
        </w:rPr>
        <w:t>the</w:t>
      </w:r>
      <w:r>
        <w:rPr>
          <w:spacing w:val="-10"/>
          <w:sz w:val="18"/>
        </w:rPr>
        <w:t xml:space="preserve"> </w:t>
      </w:r>
      <w:r>
        <w:rPr>
          <w:sz w:val="18"/>
        </w:rPr>
        <w:t>MUSIK</w:t>
      </w:r>
      <w:r>
        <w:rPr>
          <w:spacing w:val="-7"/>
          <w:sz w:val="18"/>
        </w:rPr>
        <w:t xml:space="preserve"> </w:t>
      </w:r>
      <w:r>
        <w:rPr>
          <w:sz w:val="18"/>
        </w:rPr>
        <w:t>KEREN</w:t>
      </w:r>
      <w:r>
        <w:rPr>
          <w:spacing w:val="-10"/>
          <w:sz w:val="18"/>
        </w:rPr>
        <w:t xml:space="preserve"> </w:t>
      </w:r>
      <w:r>
        <w:rPr>
          <w:sz w:val="18"/>
        </w:rPr>
        <w:t>initiative</w:t>
      </w:r>
      <w:r>
        <w:rPr>
          <w:spacing w:val="-11"/>
          <w:sz w:val="18"/>
        </w:rPr>
        <w:t xml:space="preserve"> </w:t>
      </w:r>
      <w:r>
        <w:rPr>
          <w:sz w:val="18"/>
        </w:rPr>
        <w:t>since</w:t>
      </w:r>
      <w:r>
        <w:rPr>
          <w:spacing w:val="-10"/>
          <w:sz w:val="18"/>
        </w:rPr>
        <w:t xml:space="preserve"> </w:t>
      </w:r>
      <w:r>
        <w:rPr>
          <w:sz w:val="18"/>
        </w:rPr>
        <w:t>2024.</w:t>
      </w:r>
      <w:r>
        <w:rPr>
          <w:spacing w:val="-10"/>
          <w:sz w:val="18"/>
        </w:rPr>
        <w:t xml:space="preserve"> </w:t>
      </w:r>
      <w:r>
        <w:rPr>
          <w:sz w:val="18"/>
        </w:rPr>
        <w:t>It</w:t>
      </w:r>
      <w:r>
        <w:rPr>
          <w:spacing w:val="-6"/>
          <w:sz w:val="18"/>
        </w:rPr>
        <w:t xml:space="preserve"> </w:t>
      </w:r>
      <w:r>
        <w:rPr>
          <w:sz w:val="18"/>
        </w:rPr>
        <w:t>was noted that 22 CSOs participated in organising the Inclusive Musrenbang. In addition, the activity involved CSOs from regencies/cities attending online.</w:t>
      </w:r>
    </w:p>
    <w:p w14:paraId="2855F9EC" w14:textId="77777777" w:rsidR="00BC24A8" w:rsidRDefault="00000000">
      <w:pPr>
        <w:spacing w:before="218"/>
        <w:ind w:left="395" w:right="794"/>
        <w:jc w:val="both"/>
        <w:rPr>
          <w:sz w:val="18"/>
        </w:rPr>
      </w:pPr>
      <w:r>
        <w:rPr>
          <w:sz w:val="18"/>
        </w:rPr>
        <w:t>The preparation of MUSIK KEREN was divided into two stages. First, drafting of regulations and implementation guidelines</w:t>
      </w:r>
      <w:r>
        <w:rPr>
          <w:spacing w:val="-1"/>
          <w:sz w:val="18"/>
        </w:rPr>
        <w:t xml:space="preserve"> </w:t>
      </w:r>
      <w:r>
        <w:rPr>
          <w:sz w:val="18"/>
        </w:rPr>
        <w:t>to serve as</w:t>
      </w:r>
      <w:r>
        <w:rPr>
          <w:spacing w:val="-1"/>
          <w:sz w:val="18"/>
        </w:rPr>
        <w:t xml:space="preserve"> </w:t>
      </w:r>
      <w:r>
        <w:rPr>
          <w:sz w:val="18"/>
        </w:rPr>
        <w:t>the Government’s reference in conducting Inclusive Musrenbang at the</w:t>
      </w:r>
      <w:r>
        <w:rPr>
          <w:spacing w:val="-1"/>
          <w:sz w:val="18"/>
        </w:rPr>
        <w:t xml:space="preserve"> </w:t>
      </w:r>
      <w:r>
        <w:rPr>
          <w:sz w:val="18"/>
        </w:rPr>
        <w:t xml:space="preserve">provincial level. Second, capacity building was provided for CSOs and representatives of vulnerable groups on local planning mechanisms and processes. This capacity building was attended by 15 representatives of CSOs and vulnerable groups at the Provincial </w:t>
      </w:r>
      <w:r>
        <w:rPr>
          <w:spacing w:val="-2"/>
          <w:sz w:val="18"/>
        </w:rPr>
        <w:t>level.</w:t>
      </w:r>
    </w:p>
    <w:p w14:paraId="0561A875" w14:textId="77777777" w:rsidR="00BC24A8" w:rsidRDefault="00BC24A8">
      <w:pPr>
        <w:pStyle w:val="BodyText"/>
        <w:spacing w:before="1"/>
        <w:rPr>
          <w:sz w:val="18"/>
        </w:rPr>
      </w:pPr>
    </w:p>
    <w:p w14:paraId="0E883C31" w14:textId="77777777" w:rsidR="00BC24A8" w:rsidRDefault="00000000">
      <w:pPr>
        <w:spacing w:before="1"/>
        <w:ind w:left="395" w:right="795"/>
        <w:jc w:val="both"/>
        <w:rPr>
          <w:sz w:val="18"/>
        </w:rPr>
      </w:pPr>
      <w:r>
        <w:rPr>
          <w:sz w:val="18"/>
        </w:rPr>
        <w:t>The implementation of MUSIK KEREN began with collecting proposals from vulnerable groups in 22 regencies/cities through online (Google Form) and offline methods. As a result, more than 200 aspirations on crucial issues were collected. The Provincial Agencies (OPD) uses all aspirations and inputs as a basis for monitoring and evaluating more equitable development.</w:t>
      </w:r>
    </w:p>
    <w:p w14:paraId="1B79D34F" w14:textId="77777777" w:rsidR="00BC24A8" w:rsidRDefault="00000000">
      <w:pPr>
        <w:spacing w:before="217"/>
        <w:ind w:left="395" w:right="794"/>
        <w:jc w:val="both"/>
        <w:rPr>
          <w:sz w:val="18"/>
        </w:rPr>
      </w:pPr>
      <w:r>
        <w:rPr>
          <w:sz w:val="18"/>
        </w:rPr>
        <w:t>Furthermore,</w:t>
      </w:r>
      <w:r>
        <w:rPr>
          <w:spacing w:val="-5"/>
          <w:sz w:val="18"/>
        </w:rPr>
        <w:t xml:space="preserve"> </w:t>
      </w:r>
      <w:r>
        <w:rPr>
          <w:sz w:val="18"/>
        </w:rPr>
        <w:t>all</w:t>
      </w:r>
      <w:r>
        <w:rPr>
          <w:spacing w:val="-3"/>
          <w:sz w:val="18"/>
        </w:rPr>
        <w:t xml:space="preserve"> </w:t>
      </w:r>
      <w:r>
        <w:rPr>
          <w:sz w:val="18"/>
        </w:rPr>
        <w:t>aspirations</w:t>
      </w:r>
      <w:r>
        <w:rPr>
          <w:spacing w:val="-4"/>
          <w:sz w:val="18"/>
        </w:rPr>
        <w:t xml:space="preserve"> </w:t>
      </w:r>
      <w:r>
        <w:rPr>
          <w:sz w:val="18"/>
        </w:rPr>
        <w:t>and</w:t>
      </w:r>
      <w:r>
        <w:rPr>
          <w:spacing w:val="-4"/>
          <w:sz w:val="18"/>
        </w:rPr>
        <w:t xml:space="preserve"> </w:t>
      </w:r>
      <w:r>
        <w:rPr>
          <w:sz w:val="18"/>
        </w:rPr>
        <w:t>inputs</w:t>
      </w:r>
      <w:r>
        <w:rPr>
          <w:spacing w:val="-4"/>
          <w:sz w:val="18"/>
        </w:rPr>
        <w:t xml:space="preserve"> </w:t>
      </w:r>
      <w:r>
        <w:rPr>
          <w:sz w:val="18"/>
        </w:rPr>
        <w:t>were</w:t>
      </w:r>
      <w:r>
        <w:rPr>
          <w:spacing w:val="-4"/>
          <w:sz w:val="18"/>
        </w:rPr>
        <w:t xml:space="preserve"> </w:t>
      </w:r>
      <w:r>
        <w:rPr>
          <w:sz w:val="18"/>
        </w:rPr>
        <w:t>accommodated</w:t>
      </w:r>
      <w:r>
        <w:rPr>
          <w:spacing w:val="-4"/>
          <w:sz w:val="18"/>
        </w:rPr>
        <w:t xml:space="preserve"> </w:t>
      </w:r>
      <w:r>
        <w:rPr>
          <w:sz w:val="18"/>
        </w:rPr>
        <w:t>in</w:t>
      </w:r>
      <w:r>
        <w:rPr>
          <w:spacing w:val="-4"/>
          <w:sz w:val="18"/>
        </w:rPr>
        <w:t xml:space="preserve"> </w:t>
      </w:r>
      <w:r>
        <w:rPr>
          <w:sz w:val="18"/>
        </w:rPr>
        <w:t>thematic</w:t>
      </w:r>
      <w:r>
        <w:rPr>
          <w:spacing w:val="-4"/>
          <w:sz w:val="18"/>
        </w:rPr>
        <w:t xml:space="preserve"> </w:t>
      </w:r>
      <w:r>
        <w:rPr>
          <w:sz w:val="18"/>
        </w:rPr>
        <w:t>forums</w:t>
      </w:r>
      <w:r>
        <w:rPr>
          <w:spacing w:val="-4"/>
          <w:sz w:val="18"/>
        </w:rPr>
        <w:t xml:space="preserve"> </w:t>
      </w:r>
      <w:r>
        <w:rPr>
          <w:sz w:val="18"/>
        </w:rPr>
        <w:t>that</w:t>
      </w:r>
      <w:r>
        <w:rPr>
          <w:spacing w:val="-3"/>
          <w:sz w:val="18"/>
        </w:rPr>
        <w:t xml:space="preserve"> </w:t>
      </w:r>
      <w:r>
        <w:rPr>
          <w:sz w:val="18"/>
        </w:rPr>
        <w:t>brought</w:t>
      </w:r>
      <w:r>
        <w:rPr>
          <w:spacing w:val="-3"/>
          <w:sz w:val="18"/>
        </w:rPr>
        <w:t xml:space="preserve"> </w:t>
      </w:r>
      <w:r>
        <w:rPr>
          <w:sz w:val="18"/>
        </w:rPr>
        <w:t>together</w:t>
      </w:r>
      <w:r>
        <w:rPr>
          <w:spacing w:val="-4"/>
          <w:sz w:val="18"/>
        </w:rPr>
        <w:t xml:space="preserve"> </w:t>
      </w:r>
      <w:r>
        <w:rPr>
          <w:sz w:val="18"/>
        </w:rPr>
        <w:t>representatives of</w:t>
      </w:r>
      <w:r>
        <w:rPr>
          <w:spacing w:val="-1"/>
          <w:sz w:val="18"/>
        </w:rPr>
        <w:t xml:space="preserve"> </w:t>
      </w:r>
      <w:r>
        <w:rPr>
          <w:sz w:val="18"/>
        </w:rPr>
        <w:t>vulnerable</w:t>
      </w:r>
      <w:r>
        <w:rPr>
          <w:spacing w:val="-1"/>
          <w:sz w:val="18"/>
        </w:rPr>
        <w:t xml:space="preserve"> </w:t>
      </w:r>
      <w:r>
        <w:rPr>
          <w:sz w:val="18"/>
        </w:rPr>
        <w:t>groups</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regional apparatus</w:t>
      </w:r>
      <w:r>
        <w:rPr>
          <w:spacing w:val="-1"/>
          <w:sz w:val="18"/>
        </w:rPr>
        <w:t xml:space="preserve"> </w:t>
      </w:r>
      <w:r>
        <w:rPr>
          <w:sz w:val="18"/>
        </w:rPr>
        <w:t>of</w:t>
      </w:r>
      <w:r>
        <w:rPr>
          <w:spacing w:val="-1"/>
          <w:sz w:val="18"/>
        </w:rPr>
        <w:t xml:space="preserve"> </w:t>
      </w:r>
      <w:r>
        <w:rPr>
          <w:sz w:val="18"/>
        </w:rPr>
        <w:t>NTT Province.</w:t>
      </w:r>
      <w:r>
        <w:rPr>
          <w:spacing w:val="-1"/>
          <w:sz w:val="18"/>
        </w:rPr>
        <w:t xml:space="preserve"> </w:t>
      </w:r>
      <w:r>
        <w:rPr>
          <w:sz w:val="18"/>
        </w:rPr>
        <w:t>The</w:t>
      </w:r>
      <w:r>
        <w:rPr>
          <w:spacing w:val="-1"/>
          <w:sz w:val="18"/>
        </w:rPr>
        <w:t xml:space="preserve"> </w:t>
      </w:r>
      <w:r>
        <w:rPr>
          <w:sz w:val="18"/>
        </w:rPr>
        <w:t>forum</w:t>
      </w:r>
      <w:r>
        <w:rPr>
          <w:spacing w:val="-1"/>
          <w:sz w:val="18"/>
        </w:rPr>
        <w:t xml:space="preserve"> </w:t>
      </w:r>
      <w:r>
        <w:rPr>
          <w:sz w:val="18"/>
        </w:rPr>
        <w:t>was</w:t>
      </w:r>
      <w:r>
        <w:rPr>
          <w:spacing w:val="-1"/>
          <w:sz w:val="18"/>
        </w:rPr>
        <w:t xml:space="preserve"> </w:t>
      </w:r>
      <w:r>
        <w:rPr>
          <w:sz w:val="18"/>
        </w:rPr>
        <w:t>facilitated</w:t>
      </w:r>
      <w:r>
        <w:rPr>
          <w:spacing w:val="-2"/>
          <w:sz w:val="18"/>
        </w:rPr>
        <w:t xml:space="preserve"> </w:t>
      </w:r>
      <w:r>
        <w:rPr>
          <w:sz w:val="18"/>
        </w:rPr>
        <w:t>by</w:t>
      </w:r>
      <w:r>
        <w:rPr>
          <w:spacing w:val="-1"/>
          <w:sz w:val="18"/>
        </w:rPr>
        <w:t xml:space="preserve"> </w:t>
      </w:r>
      <w:r>
        <w:rPr>
          <w:sz w:val="18"/>
        </w:rPr>
        <w:t>trained facilitators</w:t>
      </w:r>
      <w:r>
        <w:rPr>
          <w:spacing w:val="-1"/>
          <w:sz w:val="18"/>
        </w:rPr>
        <w:t xml:space="preserve"> </w:t>
      </w:r>
      <w:r>
        <w:rPr>
          <w:sz w:val="18"/>
        </w:rPr>
        <w:t>from the Regional Development Planning and Research Agency (Bapperida) and CSOs.</w:t>
      </w:r>
    </w:p>
    <w:p w14:paraId="2BAC3752" w14:textId="77777777" w:rsidR="00BC24A8" w:rsidRDefault="00BC24A8">
      <w:pPr>
        <w:pStyle w:val="BodyText"/>
        <w:spacing w:before="2"/>
        <w:rPr>
          <w:sz w:val="18"/>
        </w:rPr>
      </w:pPr>
    </w:p>
    <w:p w14:paraId="08D3126B" w14:textId="77777777" w:rsidR="00BC24A8" w:rsidRDefault="00000000">
      <w:pPr>
        <w:ind w:left="395" w:right="796"/>
        <w:jc w:val="both"/>
        <w:rPr>
          <w:sz w:val="18"/>
        </w:rPr>
      </w:pPr>
      <w:r>
        <w:rPr>
          <w:sz w:val="18"/>
        </w:rPr>
        <w:t>The launch of MUSIK KEREN</w:t>
      </w:r>
      <w:r>
        <w:rPr>
          <w:spacing w:val="-1"/>
          <w:sz w:val="18"/>
        </w:rPr>
        <w:t xml:space="preserve"> </w:t>
      </w:r>
      <w:r>
        <w:rPr>
          <w:sz w:val="18"/>
        </w:rPr>
        <w:t>NTT</w:t>
      </w:r>
      <w:r>
        <w:rPr>
          <w:spacing w:val="-2"/>
          <w:sz w:val="18"/>
        </w:rPr>
        <w:t xml:space="preserve"> </w:t>
      </w:r>
      <w:r>
        <w:rPr>
          <w:sz w:val="18"/>
        </w:rPr>
        <w:t>was held during</w:t>
      </w:r>
      <w:r>
        <w:rPr>
          <w:spacing w:val="-1"/>
          <w:sz w:val="18"/>
        </w:rPr>
        <w:t xml:space="preserve"> </w:t>
      </w:r>
      <w:r>
        <w:rPr>
          <w:sz w:val="18"/>
        </w:rPr>
        <w:t>the 2026</w:t>
      </w:r>
      <w:r>
        <w:rPr>
          <w:spacing w:val="-1"/>
          <w:sz w:val="18"/>
        </w:rPr>
        <w:t xml:space="preserve"> </w:t>
      </w:r>
      <w:r>
        <w:rPr>
          <w:sz w:val="18"/>
        </w:rPr>
        <w:t>RPJMD and RKPD meetings and as part of regular activities. For the provincial government, MUSIK KEREN is a strategic step and a platform to listen to the voices of marginalised groups that are often left out of the regional planning process.</w:t>
      </w:r>
    </w:p>
    <w:p w14:paraId="24764D3E" w14:textId="77777777" w:rsidR="00BC24A8" w:rsidRDefault="00BC24A8">
      <w:pPr>
        <w:pStyle w:val="BodyText"/>
        <w:rPr>
          <w:sz w:val="18"/>
        </w:rPr>
      </w:pPr>
    </w:p>
    <w:p w14:paraId="697E0A1B" w14:textId="77777777" w:rsidR="00BC24A8" w:rsidRDefault="00BC24A8">
      <w:pPr>
        <w:pStyle w:val="BodyText"/>
        <w:rPr>
          <w:sz w:val="18"/>
        </w:rPr>
      </w:pPr>
    </w:p>
    <w:p w14:paraId="23568BB2" w14:textId="77777777" w:rsidR="00BC24A8" w:rsidRDefault="00BC24A8">
      <w:pPr>
        <w:pStyle w:val="BodyText"/>
        <w:spacing w:before="68"/>
        <w:rPr>
          <w:sz w:val="18"/>
        </w:rPr>
      </w:pPr>
    </w:p>
    <w:p w14:paraId="4A39F5FE" w14:textId="77777777" w:rsidR="00BC24A8" w:rsidRDefault="00000000">
      <w:pPr>
        <w:spacing w:line="285" w:lineRule="auto"/>
        <w:ind w:left="769" w:right="867"/>
        <w:rPr>
          <w:i/>
          <w:sz w:val="18"/>
        </w:rPr>
      </w:pPr>
      <w:r>
        <w:rPr>
          <w:rFonts w:ascii="Times New Roman" w:hAnsi="Times New Roman"/>
          <w:b/>
          <w:i/>
          <w:color w:val="17365A"/>
          <w:sz w:val="18"/>
        </w:rPr>
        <w:t>The launch of</w:t>
      </w:r>
      <w:r>
        <w:rPr>
          <w:rFonts w:ascii="Times New Roman" w:hAnsi="Times New Roman"/>
          <w:b/>
          <w:i/>
          <w:color w:val="17365A"/>
          <w:spacing w:val="9"/>
          <w:sz w:val="18"/>
        </w:rPr>
        <w:t xml:space="preserve"> </w:t>
      </w:r>
      <w:r>
        <w:rPr>
          <w:rFonts w:ascii="Times New Roman" w:hAnsi="Times New Roman"/>
          <w:b/>
          <w:i/>
          <w:color w:val="17365A"/>
          <w:sz w:val="18"/>
        </w:rPr>
        <w:t>the Vulnerable Group Inclusive</w:t>
      </w:r>
      <w:r>
        <w:rPr>
          <w:rFonts w:ascii="Times New Roman" w:hAnsi="Times New Roman"/>
          <w:b/>
          <w:i/>
          <w:color w:val="17365A"/>
          <w:spacing w:val="9"/>
          <w:sz w:val="18"/>
        </w:rPr>
        <w:t xml:space="preserve"> </w:t>
      </w:r>
      <w:r>
        <w:rPr>
          <w:rFonts w:ascii="Times New Roman" w:hAnsi="Times New Roman"/>
          <w:b/>
          <w:i/>
          <w:color w:val="17365A"/>
          <w:sz w:val="18"/>
        </w:rPr>
        <w:t>Musrenbang</w:t>
      </w:r>
      <w:r>
        <w:rPr>
          <w:rFonts w:ascii="Times New Roman" w:hAnsi="Times New Roman"/>
          <w:b/>
          <w:i/>
          <w:color w:val="17365A"/>
          <w:spacing w:val="8"/>
          <w:sz w:val="18"/>
        </w:rPr>
        <w:t xml:space="preserve"> </w:t>
      </w:r>
      <w:r>
        <w:rPr>
          <w:rFonts w:ascii="Times New Roman" w:hAnsi="Times New Roman"/>
          <w:b/>
          <w:i/>
          <w:color w:val="17365A"/>
          <w:sz w:val="18"/>
        </w:rPr>
        <w:t>(MUSIK</w:t>
      </w:r>
      <w:r>
        <w:rPr>
          <w:rFonts w:ascii="Times New Roman" w:hAnsi="Times New Roman"/>
          <w:b/>
          <w:i/>
          <w:color w:val="17365A"/>
          <w:spacing w:val="8"/>
          <w:sz w:val="18"/>
        </w:rPr>
        <w:t xml:space="preserve"> </w:t>
      </w:r>
      <w:r>
        <w:rPr>
          <w:rFonts w:ascii="Times New Roman" w:hAnsi="Times New Roman"/>
          <w:b/>
          <w:i/>
          <w:color w:val="17365A"/>
          <w:sz w:val="18"/>
        </w:rPr>
        <w:t>KEREN) marks</w:t>
      </w:r>
      <w:r>
        <w:rPr>
          <w:rFonts w:ascii="Times New Roman" w:hAnsi="Times New Roman"/>
          <w:b/>
          <w:i/>
          <w:color w:val="17365A"/>
          <w:spacing w:val="8"/>
          <w:sz w:val="18"/>
        </w:rPr>
        <w:t xml:space="preserve"> </w:t>
      </w:r>
      <w:r>
        <w:rPr>
          <w:rFonts w:ascii="Times New Roman" w:hAnsi="Times New Roman"/>
          <w:b/>
          <w:i/>
          <w:color w:val="17365A"/>
          <w:sz w:val="18"/>
        </w:rPr>
        <w:t>a new</w:t>
      </w:r>
      <w:r>
        <w:rPr>
          <w:rFonts w:ascii="Times New Roman" w:hAnsi="Times New Roman"/>
          <w:b/>
          <w:i/>
          <w:color w:val="17365A"/>
          <w:spacing w:val="10"/>
          <w:sz w:val="18"/>
        </w:rPr>
        <w:t xml:space="preserve"> </w:t>
      </w:r>
      <w:r>
        <w:rPr>
          <w:rFonts w:ascii="Times New Roman" w:hAnsi="Times New Roman"/>
          <w:b/>
          <w:i/>
          <w:color w:val="17365A"/>
          <w:sz w:val="18"/>
        </w:rPr>
        <w:t>milestone in development planning in NTT Province. It serves as an eﬀective forum for the aspirations of vulnerable</w:t>
      </w:r>
      <w:r>
        <w:rPr>
          <w:rFonts w:ascii="Times New Roman" w:hAnsi="Times New Roman"/>
          <w:b/>
          <w:i/>
          <w:color w:val="17365A"/>
          <w:spacing w:val="40"/>
          <w:sz w:val="18"/>
        </w:rPr>
        <w:t xml:space="preserve"> </w:t>
      </w:r>
      <w:r>
        <w:rPr>
          <w:rFonts w:ascii="Times New Roman" w:hAnsi="Times New Roman"/>
          <w:b/>
          <w:i/>
          <w:color w:val="17365A"/>
          <w:spacing w:val="-2"/>
          <w:sz w:val="18"/>
        </w:rPr>
        <w:t>groups—including</w:t>
      </w:r>
      <w:r>
        <w:rPr>
          <w:rFonts w:ascii="Times New Roman" w:hAnsi="Times New Roman"/>
          <w:b/>
          <w:i/>
          <w:color w:val="17365A"/>
          <w:spacing w:val="-5"/>
          <w:sz w:val="18"/>
        </w:rPr>
        <w:t xml:space="preserve"> </w:t>
      </w:r>
      <w:r>
        <w:rPr>
          <w:rFonts w:ascii="Times New Roman" w:hAnsi="Times New Roman"/>
          <w:b/>
          <w:i/>
          <w:color w:val="17365A"/>
          <w:spacing w:val="-2"/>
          <w:sz w:val="18"/>
        </w:rPr>
        <w:t>women,</w:t>
      </w:r>
      <w:r>
        <w:rPr>
          <w:rFonts w:ascii="Times New Roman" w:hAnsi="Times New Roman"/>
          <w:b/>
          <w:i/>
          <w:color w:val="17365A"/>
          <w:spacing w:val="-5"/>
          <w:sz w:val="18"/>
        </w:rPr>
        <w:t xml:space="preserve"> </w:t>
      </w:r>
      <w:r>
        <w:rPr>
          <w:rFonts w:ascii="Times New Roman" w:hAnsi="Times New Roman"/>
          <w:b/>
          <w:i/>
          <w:color w:val="17365A"/>
          <w:spacing w:val="-2"/>
          <w:sz w:val="18"/>
        </w:rPr>
        <w:t>persons</w:t>
      </w:r>
      <w:r>
        <w:rPr>
          <w:rFonts w:ascii="Times New Roman" w:hAnsi="Times New Roman"/>
          <w:b/>
          <w:i/>
          <w:color w:val="17365A"/>
          <w:spacing w:val="-5"/>
          <w:sz w:val="18"/>
        </w:rPr>
        <w:t xml:space="preserve"> </w:t>
      </w:r>
      <w:r>
        <w:rPr>
          <w:rFonts w:ascii="Times New Roman" w:hAnsi="Times New Roman"/>
          <w:b/>
          <w:i/>
          <w:color w:val="17365A"/>
          <w:spacing w:val="-2"/>
          <w:sz w:val="18"/>
        </w:rPr>
        <w:t>with</w:t>
      </w:r>
      <w:r>
        <w:rPr>
          <w:rFonts w:ascii="Times New Roman" w:hAnsi="Times New Roman"/>
          <w:b/>
          <w:i/>
          <w:color w:val="17365A"/>
          <w:spacing w:val="-6"/>
          <w:sz w:val="18"/>
        </w:rPr>
        <w:t xml:space="preserve"> </w:t>
      </w:r>
      <w:r>
        <w:rPr>
          <w:rFonts w:ascii="Times New Roman" w:hAnsi="Times New Roman"/>
          <w:b/>
          <w:i/>
          <w:color w:val="17365A"/>
          <w:spacing w:val="-2"/>
          <w:sz w:val="18"/>
        </w:rPr>
        <w:t>disabilities,</w:t>
      </w:r>
      <w:r>
        <w:rPr>
          <w:rFonts w:ascii="Times New Roman" w:hAnsi="Times New Roman"/>
          <w:b/>
          <w:i/>
          <w:color w:val="17365A"/>
          <w:spacing w:val="-5"/>
          <w:sz w:val="18"/>
        </w:rPr>
        <w:t xml:space="preserve"> </w:t>
      </w:r>
      <w:r>
        <w:rPr>
          <w:rFonts w:ascii="Times New Roman" w:hAnsi="Times New Roman"/>
          <w:b/>
          <w:i/>
          <w:color w:val="17365A"/>
          <w:spacing w:val="-2"/>
          <w:sz w:val="18"/>
        </w:rPr>
        <w:t>children,</w:t>
      </w:r>
      <w:r>
        <w:rPr>
          <w:rFonts w:ascii="Times New Roman" w:hAnsi="Times New Roman"/>
          <w:b/>
          <w:i/>
          <w:color w:val="17365A"/>
          <w:spacing w:val="-5"/>
          <w:sz w:val="18"/>
        </w:rPr>
        <w:t xml:space="preserve"> </w:t>
      </w:r>
      <w:r>
        <w:rPr>
          <w:rFonts w:ascii="Times New Roman" w:hAnsi="Times New Roman"/>
          <w:b/>
          <w:i/>
          <w:color w:val="17365A"/>
          <w:spacing w:val="-2"/>
          <w:sz w:val="18"/>
        </w:rPr>
        <w:t>older</w:t>
      </w:r>
      <w:r>
        <w:rPr>
          <w:rFonts w:ascii="Times New Roman" w:hAnsi="Times New Roman"/>
          <w:b/>
          <w:i/>
          <w:color w:val="17365A"/>
          <w:spacing w:val="-6"/>
          <w:sz w:val="18"/>
        </w:rPr>
        <w:t xml:space="preserve"> </w:t>
      </w:r>
      <w:r>
        <w:rPr>
          <w:rFonts w:ascii="Times New Roman" w:hAnsi="Times New Roman"/>
          <w:b/>
          <w:i/>
          <w:color w:val="17365A"/>
          <w:spacing w:val="-2"/>
          <w:sz w:val="18"/>
        </w:rPr>
        <w:t>adults,</w:t>
      </w:r>
      <w:r>
        <w:rPr>
          <w:rFonts w:ascii="Times New Roman" w:hAnsi="Times New Roman"/>
          <w:b/>
          <w:i/>
          <w:color w:val="17365A"/>
          <w:spacing w:val="-5"/>
          <w:sz w:val="18"/>
        </w:rPr>
        <w:t xml:space="preserve"> </w:t>
      </w:r>
      <w:r>
        <w:rPr>
          <w:rFonts w:ascii="Times New Roman" w:hAnsi="Times New Roman"/>
          <w:b/>
          <w:i/>
          <w:color w:val="17365A"/>
          <w:spacing w:val="-2"/>
          <w:sz w:val="18"/>
        </w:rPr>
        <w:t>and</w:t>
      </w:r>
      <w:r>
        <w:rPr>
          <w:rFonts w:ascii="Times New Roman" w:hAnsi="Times New Roman"/>
          <w:b/>
          <w:i/>
          <w:color w:val="17365A"/>
          <w:spacing w:val="-6"/>
          <w:sz w:val="18"/>
        </w:rPr>
        <w:t xml:space="preserve"> </w:t>
      </w:r>
      <w:r>
        <w:rPr>
          <w:rFonts w:ascii="Times New Roman" w:hAnsi="Times New Roman"/>
          <w:b/>
          <w:i/>
          <w:color w:val="17365A"/>
          <w:spacing w:val="-2"/>
          <w:sz w:val="18"/>
        </w:rPr>
        <w:t>others—encouraging</w:t>
      </w:r>
      <w:r>
        <w:rPr>
          <w:rFonts w:ascii="Times New Roman" w:hAnsi="Times New Roman"/>
          <w:b/>
          <w:i/>
          <w:color w:val="17365A"/>
          <w:spacing w:val="-5"/>
          <w:sz w:val="18"/>
        </w:rPr>
        <w:t xml:space="preserve"> </w:t>
      </w:r>
      <w:r>
        <w:rPr>
          <w:rFonts w:ascii="Times New Roman" w:hAnsi="Times New Roman"/>
          <w:b/>
          <w:i/>
          <w:color w:val="17365A"/>
          <w:spacing w:val="-2"/>
          <w:sz w:val="18"/>
        </w:rPr>
        <w:t xml:space="preserve">regency </w:t>
      </w:r>
      <w:r>
        <w:rPr>
          <w:rFonts w:ascii="Times New Roman" w:hAnsi="Times New Roman"/>
          <w:b/>
          <w:i/>
          <w:color w:val="17365A"/>
          <w:sz w:val="18"/>
        </w:rPr>
        <w:t>and</w:t>
      </w:r>
      <w:r>
        <w:rPr>
          <w:rFonts w:ascii="Times New Roman" w:hAnsi="Times New Roman"/>
          <w:b/>
          <w:i/>
          <w:color w:val="17365A"/>
          <w:spacing w:val="-2"/>
          <w:sz w:val="18"/>
        </w:rPr>
        <w:t xml:space="preserve"> </w:t>
      </w:r>
      <w:r>
        <w:rPr>
          <w:rFonts w:ascii="Times New Roman" w:hAnsi="Times New Roman"/>
          <w:b/>
          <w:i/>
          <w:color w:val="17365A"/>
          <w:sz w:val="18"/>
        </w:rPr>
        <w:t>city</w:t>
      </w:r>
      <w:r>
        <w:rPr>
          <w:rFonts w:ascii="Times New Roman" w:hAnsi="Times New Roman"/>
          <w:b/>
          <w:i/>
          <w:color w:val="17365A"/>
          <w:spacing w:val="-2"/>
          <w:sz w:val="18"/>
        </w:rPr>
        <w:t xml:space="preserve"> </w:t>
      </w:r>
      <w:r>
        <w:rPr>
          <w:rFonts w:ascii="Times New Roman" w:hAnsi="Times New Roman"/>
          <w:b/>
          <w:i/>
          <w:color w:val="17365A"/>
          <w:sz w:val="18"/>
        </w:rPr>
        <w:t>governments to follow</w:t>
      </w:r>
      <w:r>
        <w:rPr>
          <w:rFonts w:ascii="Times New Roman" w:hAnsi="Times New Roman"/>
          <w:b/>
          <w:i/>
          <w:color w:val="17365A"/>
          <w:spacing w:val="-1"/>
          <w:sz w:val="18"/>
        </w:rPr>
        <w:t xml:space="preserve"> </w:t>
      </w:r>
      <w:r>
        <w:rPr>
          <w:rFonts w:ascii="Times New Roman" w:hAnsi="Times New Roman"/>
          <w:b/>
          <w:i/>
          <w:color w:val="17365A"/>
          <w:sz w:val="18"/>
        </w:rPr>
        <w:t>suit</w:t>
      </w:r>
      <w:r>
        <w:rPr>
          <w:rFonts w:ascii="Times New Roman" w:hAnsi="Times New Roman"/>
          <w:b/>
          <w:i/>
          <w:color w:val="17365A"/>
          <w:spacing w:val="-1"/>
          <w:sz w:val="18"/>
        </w:rPr>
        <w:t xml:space="preserve"> </w:t>
      </w:r>
      <w:r>
        <w:rPr>
          <w:rFonts w:ascii="Times New Roman" w:hAnsi="Times New Roman"/>
          <w:b/>
          <w:i/>
          <w:color w:val="17365A"/>
          <w:sz w:val="18"/>
        </w:rPr>
        <w:t>so</w:t>
      </w:r>
      <w:r>
        <w:rPr>
          <w:rFonts w:ascii="Times New Roman" w:hAnsi="Times New Roman"/>
          <w:b/>
          <w:i/>
          <w:color w:val="17365A"/>
          <w:spacing w:val="-1"/>
          <w:sz w:val="18"/>
        </w:rPr>
        <w:t xml:space="preserve"> </w:t>
      </w:r>
      <w:r>
        <w:rPr>
          <w:rFonts w:ascii="Times New Roman" w:hAnsi="Times New Roman"/>
          <w:b/>
          <w:i/>
          <w:color w:val="17365A"/>
          <w:sz w:val="18"/>
        </w:rPr>
        <w:t>that</w:t>
      </w:r>
      <w:r>
        <w:rPr>
          <w:rFonts w:ascii="Times New Roman" w:hAnsi="Times New Roman"/>
          <w:b/>
          <w:i/>
          <w:color w:val="17365A"/>
          <w:spacing w:val="-1"/>
          <w:sz w:val="18"/>
        </w:rPr>
        <w:t xml:space="preserve"> </w:t>
      </w:r>
      <w:r>
        <w:rPr>
          <w:rFonts w:ascii="Times New Roman" w:hAnsi="Times New Roman"/>
          <w:b/>
          <w:i/>
          <w:color w:val="17365A"/>
          <w:sz w:val="18"/>
        </w:rPr>
        <w:t>development</w:t>
      </w:r>
      <w:r>
        <w:rPr>
          <w:rFonts w:ascii="Times New Roman" w:hAnsi="Times New Roman"/>
          <w:b/>
          <w:i/>
          <w:color w:val="17365A"/>
          <w:spacing w:val="-1"/>
          <w:sz w:val="18"/>
        </w:rPr>
        <w:t xml:space="preserve"> </w:t>
      </w:r>
      <w:r>
        <w:rPr>
          <w:rFonts w:ascii="Times New Roman" w:hAnsi="Times New Roman"/>
          <w:b/>
          <w:i/>
          <w:color w:val="17365A"/>
          <w:sz w:val="18"/>
        </w:rPr>
        <w:t>in</w:t>
      </w:r>
      <w:r>
        <w:rPr>
          <w:rFonts w:ascii="Times New Roman" w:hAnsi="Times New Roman"/>
          <w:b/>
          <w:i/>
          <w:color w:val="17365A"/>
          <w:spacing w:val="-2"/>
          <w:sz w:val="18"/>
        </w:rPr>
        <w:t xml:space="preserve"> </w:t>
      </w:r>
      <w:r>
        <w:rPr>
          <w:rFonts w:ascii="Times New Roman" w:hAnsi="Times New Roman"/>
          <w:b/>
          <w:i/>
          <w:color w:val="17365A"/>
          <w:sz w:val="18"/>
        </w:rPr>
        <w:t>NTT</w:t>
      </w:r>
      <w:r>
        <w:rPr>
          <w:rFonts w:ascii="Times New Roman" w:hAnsi="Times New Roman"/>
          <w:b/>
          <w:i/>
          <w:color w:val="17365A"/>
          <w:spacing w:val="-1"/>
          <w:sz w:val="18"/>
        </w:rPr>
        <w:t xml:space="preserve"> </w:t>
      </w:r>
      <w:r>
        <w:rPr>
          <w:rFonts w:ascii="Times New Roman" w:hAnsi="Times New Roman"/>
          <w:b/>
          <w:i/>
          <w:color w:val="17365A"/>
          <w:sz w:val="18"/>
        </w:rPr>
        <w:t>can</w:t>
      </w:r>
      <w:r>
        <w:rPr>
          <w:rFonts w:ascii="Times New Roman" w:hAnsi="Times New Roman"/>
          <w:b/>
          <w:i/>
          <w:color w:val="17365A"/>
          <w:spacing w:val="-2"/>
          <w:sz w:val="18"/>
        </w:rPr>
        <w:t xml:space="preserve"> </w:t>
      </w:r>
      <w:r>
        <w:rPr>
          <w:rFonts w:ascii="Times New Roman" w:hAnsi="Times New Roman"/>
          <w:b/>
          <w:i/>
          <w:color w:val="17365A"/>
          <w:sz w:val="18"/>
        </w:rPr>
        <w:t>be</w:t>
      </w:r>
      <w:r>
        <w:rPr>
          <w:rFonts w:ascii="Times New Roman" w:hAnsi="Times New Roman"/>
          <w:b/>
          <w:i/>
          <w:color w:val="17365A"/>
          <w:spacing w:val="-2"/>
          <w:sz w:val="18"/>
        </w:rPr>
        <w:t xml:space="preserve"> </w:t>
      </w:r>
      <w:r>
        <w:rPr>
          <w:rFonts w:ascii="Times New Roman" w:hAnsi="Times New Roman"/>
          <w:b/>
          <w:i/>
          <w:color w:val="17365A"/>
          <w:sz w:val="18"/>
        </w:rPr>
        <w:t>enjoyed by</w:t>
      </w:r>
      <w:r>
        <w:rPr>
          <w:rFonts w:ascii="Times New Roman" w:hAnsi="Times New Roman"/>
          <w:b/>
          <w:i/>
          <w:color w:val="17365A"/>
          <w:spacing w:val="-2"/>
          <w:sz w:val="18"/>
        </w:rPr>
        <w:t xml:space="preserve"> </w:t>
      </w:r>
      <w:r>
        <w:rPr>
          <w:rFonts w:ascii="Times New Roman" w:hAnsi="Times New Roman"/>
          <w:b/>
          <w:i/>
          <w:color w:val="17365A"/>
          <w:sz w:val="18"/>
        </w:rPr>
        <w:t xml:space="preserve">all levels of society. </w:t>
      </w:r>
      <w:r>
        <w:rPr>
          <w:i/>
          <w:color w:val="17365A"/>
          <w:sz w:val="18"/>
        </w:rPr>
        <w:t>(Governor of NTT, 2025)</w:t>
      </w:r>
    </w:p>
    <w:p w14:paraId="2C9EF24F" w14:textId="77777777" w:rsidR="00BC24A8" w:rsidRDefault="00BC24A8">
      <w:pPr>
        <w:pStyle w:val="BodyText"/>
        <w:rPr>
          <w:i/>
          <w:sz w:val="18"/>
        </w:rPr>
      </w:pPr>
    </w:p>
    <w:p w14:paraId="68C27CCA" w14:textId="77777777" w:rsidR="00BC24A8" w:rsidRDefault="00BC24A8">
      <w:pPr>
        <w:pStyle w:val="BodyText"/>
        <w:spacing w:before="170"/>
        <w:rPr>
          <w:i/>
          <w:sz w:val="18"/>
        </w:rPr>
      </w:pPr>
    </w:p>
    <w:p w14:paraId="083A4527" w14:textId="77777777" w:rsidR="00BC24A8" w:rsidRDefault="00000000">
      <w:pPr>
        <w:ind w:left="395" w:right="793"/>
        <w:jc w:val="both"/>
        <w:rPr>
          <w:sz w:val="18"/>
        </w:rPr>
      </w:pPr>
      <w:r>
        <w:rPr>
          <w:sz w:val="18"/>
        </w:rPr>
        <w:t>As</w:t>
      </w:r>
      <w:r>
        <w:rPr>
          <w:spacing w:val="-6"/>
          <w:sz w:val="18"/>
        </w:rPr>
        <w:t xml:space="preserve"> </w:t>
      </w:r>
      <w:r>
        <w:rPr>
          <w:sz w:val="18"/>
        </w:rPr>
        <w:t>for</w:t>
      </w:r>
      <w:r>
        <w:rPr>
          <w:spacing w:val="-6"/>
          <w:sz w:val="18"/>
        </w:rPr>
        <w:t xml:space="preserve"> </w:t>
      </w:r>
      <w:r>
        <w:rPr>
          <w:sz w:val="18"/>
        </w:rPr>
        <w:t>vulnerable</w:t>
      </w:r>
      <w:r>
        <w:rPr>
          <w:spacing w:val="-6"/>
          <w:sz w:val="18"/>
        </w:rPr>
        <w:t xml:space="preserve"> </w:t>
      </w:r>
      <w:r>
        <w:rPr>
          <w:sz w:val="18"/>
        </w:rPr>
        <w:t>groups,</w:t>
      </w:r>
      <w:r>
        <w:rPr>
          <w:spacing w:val="-7"/>
          <w:sz w:val="18"/>
        </w:rPr>
        <w:t xml:space="preserve"> </w:t>
      </w:r>
      <w:r>
        <w:rPr>
          <w:sz w:val="18"/>
        </w:rPr>
        <w:t>the</w:t>
      </w:r>
      <w:r>
        <w:rPr>
          <w:spacing w:val="-6"/>
          <w:sz w:val="18"/>
        </w:rPr>
        <w:t xml:space="preserve"> </w:t>
      </w:r>
      <w:r>
        <w:rPr>
          <w:sz w:val="18"/>
        </w:rPr>
        <w:t>presence</w:t>
      </w:r>
      <w:r>
        <w:rPr>
          <w:spacing w:val="-6"/>
          <w:sz w:val="18"/>
        </w:rPr>
        <w:t xml:space="preserve"> </w:t>
      </w:r>
      <w:r>
        <w:rPr>
          <w:sz w:val="18"/>
        </w:rPr>
        <w:t>of</w:t>
      </w:r>
      <w:r>
        <w:rPr>
          <w:spacing w:val="-7"/>
          <w:sz w:val="18"/>
        </w:rPr>
        <w:t xml:space="preserve"> </w:t>
      </w:r>
      <w:r>
        <w:rPr>
          <w:sz w:val="18"/>
        </w:rPr>
        <w:t>Inclusive</w:t>
      </w:r>
      <w:r>
        <w:rPr>
          <w:spacing w:val="-6"/>
          <w:sz w:val="18"/>
        </w:rPr>
        <w:t xml:space="preserve"> </w:t>
      </w:r>
      <w:r>
        <w:rPr>
          <w:sz w:val="18"/>
        </w:rPr>
        <w:t>Musrenbang</w:t>
      </w:r>
      <w:r>
        <w:rPr>
          <w:spacing w:val="-7"/>
          <w:sz w:val="18"/>
        </w:rPr>
        <w:t xml:space="preserve"> </w:t>
      </w:r>
      <w:r>
        <w:rPr>
          <w:sz w:val="18"/>
        </w:rPr>
        <w:t>demonstrates</w:t>
      </w:r>
      <w:r>
        <w:rPr>
          <w:spacing w:val="-6"/>
          <w:sz w:val="18"/>
        </w:rPr>
        <w:t xml:space="preserve"> </w:t>
      </w:r>
      <w:r>
        <w:rPr>
          <w:sz w:val="18"/>
        </w:rPr>
        <w:t>the</w:t>
      </w:r>
      <w:r>
        <w:rPr>
          <w:spacing w:val="-6"/>
          <w:sz w:val="18"/>
        </w:rPr>
        <w:t xml:space="preserve"> </w:t>
      </w:r>
      <w:r>
        <w:rPr>
          <w:sz w:val="18"/>
        </w:rPr>
        <w:t>local</w:t>
      </w:r>
      <w:r>
        <w:rPr>
          <w:spacing w:val="-5"/>
          <w:sz w:val="18"/>
        </w:rPr>
        <w:t xml:space="preserve"> </w:t>
      </w:r>
      <w:r>
        <w:rPr>
          <w:sz w:val="18"/>
        </w:rPr>
        <w:t>government’s</w:t>
      </w:r>
      <w:r>
        <w:rPr>
          <w:spacing w:val="-6"/>
          <w:sz w:val="18"/>
        </w:rPr>
        <w:t xml:space="preserve"> </w:t>
      </w:r>
      <w:r>
        <w:rPr>
          <w:sz w:val="18"/>
        </w:rPr>
        <w:t>attention</w:t>
      </w:r>
      <w:r>
        <w:rPr>
          <w:spacing w:val="-6"/>
          <w:sz w:val="18"/>
        </w:rPr>
        <w:t xml:space="preserve"> </w:t>
      </w:r>
      <w:r>
        <w:rPr>
          <w:sz w:val="18"/>
        </w:rPr>
        <w:t>to</w:t>
      </w:r>
      <w:r>
        <w:rPr>
          <w:spacing w:val="-7"/>
          <w:sz w:val="18"/>
        </w:rPr>
        <w:t xml:space="preserve"> </w:t>
      </w:r>
      <w:r>
        <w:rPr>
          <w:sz w:val="18"/>
        </w:rPr>
        <w:t>their rights, which are often overlooked amid development progress. One of the Musrenbang participants said that the government’s awareness of the rights of persons with disabilities is becoming increasingly evident. For example, providing</w:t>
      </w:r>
      <w:r>
        <w:rPr>
          <w:spacing w:val="-1"/>
          <w:sz w:val="18"/>
        </w:rPr>
        <w:t xml:space="preserve"> </w:t>
      </w:r>
      <w:r>
        <w:rPr>
          <w:sz w:val="18"/>
        </w:rPr>
        <w:t>Sign</w:t>
      </w:r>
      <w:r>
        <w:rPr>
          <w:spacing w:val="-1"/>
          <w:sz w:val="18"/>
        </w:rPr>
        <w:t xml:space="preserve"> </w:t>
      </w:r>
      <w:r>
        <w:rPr>
          <w:sz w:val="18"/>
        </w:rPr>
        <w:t>Language</w:t>
      </w:r>
      <w:r>
        <w:rPr>
          <w:spacing w:val="-1"/>
          <w:sz w:val="18"/>
        </w:rPr>
        <w:t xml:space="preserve"> </w:t>
      </w:r>
      <w:r>
        <w:rPr>
          <w:sz w:val="18"/>
        </w:rPr>
        <w:t>Interpreters</w:t>
      </w:r>
      <w:r>
        <w:rPr>
          <w:spacing w:val="-1"/>
          <w:sz w:val="18"/>
        </w:rPr>
        <w:t xml:space="preserve"> </w:t>
      </w:r>
      <w:r>
        <w:rPr>
          <w:sz w:val="18"/>
        </w:rPr>
        <w:t>during</w:t>
      </w:r>
      <w:r>
        <w:rPr>
          <w:spacing w:val="-1"/>
          <w:sz w:val="18"/>
        </w:rPr>
        <w:t xml:space="preserve"> </w:t>
      </w:r>
      <w:r>
        <w:rPr>
          <w:sz w:val="18"/>
        </w:rPr>
        <w:t>the</w:t>
      </w:r>
      <w:r>
        <w:rPr>
          <w:spacing w:val="-1"/>
          <w:sz w:val="18"/>
        </w:rPr>
        <w:t xml:space="preserve"> </w:t>
      </w:r>
      <w:r>
        <w:rPr>
          <w:sz w:val="18"/>
        </w:rPr>
        <w:t>preparation</w:t>
      </w:r>
      <w:r>
        <w:rPr>
          <w:spacing w:val="-1"/>
          <w:sz w:val="18"/>
        </w:rPr>
        <w:t xml:space="preserve"> </w:t>
      </w:r>
      <w:r>
        <w:rPr>
          <w:sz w:val="18"/>
        </w:rPr>
        <w:t>and implementation</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Inclusive</w:t>
      </w:r>
      <w:r>
        <w:rPr>
          <w:spacing w:val="-1"/>
          <w:sz w:val="18"/>
        </w:rPr>
        <w:t xml:space="preserve"> </w:t>
      </w:r>
      <w:r>
        <w:rPr>
          <w:sz w:val="18"/>
        </w:rPr>
        <w:t>Musrenbang</w:t>
      </w:r>
      <w:r>
        <w:rPr>
          <w:spacing w:val="-1"/>
          <w:sz w:val="18"/>
        </w:rPr>
        <w:t xml:space="preserve"> </w:t>
      </w:r>
      <w:r>
        <w:rPr>
          <w:sz w:val="18"/>
        </w:rPr>
        <w:t>allowed them</w:t>
      </w:r>
      <w:r>
        <w:rPr>
          <w:spacing w:val="-4"/>
          <w:sz w:val="18"/>
        </w:rPr>
        <w:t xml:space="preserve"> </w:t>
      </w:r>
      <w:r>
        <w:rPr>
          <w:sz w:val="18"/>
        </w:rPr>
        <w:t>to</w:t>
      </w:r>
      <w:r>
        <w:rPr>
          <w:spacing w:val="-4"/>
          <w:sz w:val="18"/>
        </w:rPr>
        <w:t xml:space="preserve"> </w:t>
      </w:r>
      <w:r>
        <w:rPr>
          <w:sz w:val="18"/>
        </w:rPr>
        <w:t>participate</w:t>
      </w:r>
      <w:r>
        <w:rPr>
          <w:spacing w:val="-3"/>
          <w:sz w:val="18"/>
        </w:rPr>
        <w:t xml:space="preserve"> </w:t>
      </w:r>
      <w:r>
        <w:rPr>
          <w:sz w:val="18"/>
        </w:rPr>
        <w:t>effectively</w:t>
      </w:r>
      <w:r>
        <w:rPr>
          <w:spacing w:val="-3"/>
          <w:sz w:val="18"/>
        </w:rPr>
        <w:t xml:space="preserve"> </w:t>
      </w:r>
      <w:r>
        <w:rPr>
          <w:sz w:val="18"/>
        </w:rPr>
        <w:t>in</w:t>
      </w:r>
      <w:r>
        <w:rPr>
          <w:spacing w:val="-6"/>
          <w:sz w:val="18"/>
        </w:rPr>
        <w:t xml:space="preserve"> </w:t>
      </w:r>
      <w:r>
        <w:rPr>
          <w:sz w:val="18"/>
        </w:rPr>
        <w:t>group</w:t>
      </w:r>
      <w:r>
        <w:rPr>
          <w:spacing w:val="-3"/>
          <w:sz w:val="18"/>
        </w:rPr>
        <w:t xml:space="preserve"> </w:t>
      </w:r>
      <w:r>
        <w:rPr>
          <w:sz w:val="18"/>
        </w:rPr>
        <w:t>discussions.</w:t>
      </w:r>
      <w:r>
        <w:rPr>
          <w:spacing w:val="-4"/>
          <w:sz w:val="18"/>
        </w:rPr>
        <w:t xml:space="preserve"> </w:t>
      </w:r>
      <w:r>
        <w:rPr>
          <w:sz w:val="18"/>
        </w:rPr>
        <w:t>The</w:t>
      </w:r>
      <w:r>
        <w:rPr>
          <w:spacing w:val="-3"/>
          <w:sz w:val="18"/>
        </w:rPr>
        <w:t xml:space="preserve"> </w:t>
      </w:r>
      <w:r>
        <w:rPr>
          <w:sz w:val="18"/>
        </w:rPr>
        <w:t>presence</w:t>
      </w:r>
      <w:r>
        <w:rPr>
          <w:spacing w:val="-3"/>
          <w:sz w:val="18"/>
        </w:rPr>
        <w:t xml:space="preserve"> </w:t>
      </w:r>
      <w:r>
        <w:rPr>
          <w:sz w:val="18"/>
        </w:rPr>
        <w:t>of</w:t>
      </w:r>
      <w:r>
        <w:rPr>
          <w:spacing w:val="-4"/>
          <w:sz w:val="18"/>
        </w:rPr>
        <w:t xml:space="preserve"> </w:t>
      </w:r>
      <w:r>
        <w:rPr>
          <w:sz w:val="18"/>
        </w:rPr>
        <w:t>MUSIK</w:t>
      </w:r>
      <w:r>
        <w:rPr>
          <w:spacing w:val="-3"/>
          <w:sz w:val="18"/>
        </w:rPr>
        <w:t xml:space="preserve"> </w:t>
      </w:r>
      <w:r>
        <w:rPr>
          <w:sz w:val="18"/>
        </w:rPr>
        <w:t>KEREN</w:t>
      </w:r>
      <w:r>
        <w:rPr>
          <w:spacing w:val="-3"/>
          <w:sz w:val="18"/>
        </w:rPr>
        <w:t xml:space="preserve"> </w:t>
      </w:r>
      <w:r>
        <w:rPr>
          <w:sz w:val="18"/>
        </w:rPr>
        <w:t>affirms</w:t>
      </w:r>
      <w:r>
        <w:rPr>
          <w:spacing w:val="-3"/>
          <w:sz w:val="18"/>
        </w:rPr>
        <w:t xml:space="preserve"> </w:t>
      </w:r>
      <w:r>
        <w:rPr>
          <w:sz w:val="18"/>
        </w:rPr>
        <w:t>NTT</w:t>
      </w:r>
      <w:r>
        <w:rPr>
          <w:spacing w:val="-4"/>
          <w:sz w:val="18"/>
        </w:rPr>
        <w:t xml:space="preserve"> </w:t>
      </w:r>
      <w:r>
        <w:rPr>
          <w:sz w:val="18"/>
        </w:rPr>
        <w:t>as</w:t>
      </w:r>
      <w:r>
        <w:rPr>
          <w:spacing w:val="-3"/>
          <w:sz w:val="18"/>
        </w:rPr>
        <w:t xml:space="preserve"> </w:t>
      </w:r>
      <w:r>
        <w:rPr>
          <w:sz w:val="18"/>
        </w:rPr>
        <w:t>a</w:t>
      </w:r>
      <w:r>
        <w:rPr>
          <w:spacing w:val="-2"/>
          <w:sz w:val="18"/>
        </w:rPr>
        <w:t xml:space="preserve"> </w:t>
      </w:r>
      <w:r>
        <w:rPr>
          <w:sz w:val="18"/>
        </w:rPr>
        <w:t>pioneer</w:t>
      </w:r>
      <w:r>
        <w:rPr>
          <w:spacing w:val="-3"/>
          <w:sz w:val="18"/>
        </w:rPr>
        <w:t xml:space="preserve"> </w:t>
      </w:r>
      <w:r>
        <w:rPr>
          <w:sz w:val="18"/>
        </w:rPr>
        <w:t>of</w:t>
      </w:r>
      <w:r>
        <w:rPr>
          <w:spacing w:val="-4"/>
          <w:sz w:val="18"/>
        </w:rPr>
        <w:t xml:space="preserve"> </w:t>
      </w:r>
      <w:r>
        <w:rPr>
          <w:sz w:val="18"/>
        </w:rPr>
        <w:t>inclusive development, providing space for all voices, including those who have long been marginalised.</w:t>
      </w:r>
    </w:p>
    <w:p w14:paraId="3E7B8EA2" w14:textId="77777777" w:rsidR="00BC24A8" w:rsidRDefault="00BC24A8">
      <w:pPr>
        <w:pStyle w:val="BodyText"/>
        <w:rPr>
          <w:sz w:val="18"/>
        </w:rPr>
      </w:pPr>
    </w:p>
    <w:p w14:paraId="251BAFCD" w14:textId="77777777" w:rsidR="00BC24A8" w:rsidRDefault="00BC24A8">
      <w:pPr>
        <w:pStyle w:val="BodyText"/>
        <w:rPr>
          <w:sz w:val="18"/>
        </w:rPr>
      </w:pPr>
    </w:p>
    <w:p w14:paraId="323401DF" w14:textId="77777777" w:rsidR="00BC24A8" w:rsidRDefault="00BC24A8">
      <w:pPr>
        <w:pStyle w:val="BodyText"/>
        <w:spacing w:before="179"/>
        <w:rPr>
          <w:sz w:val="18"/>
        </w:rPr>
      </w:pPr>
    </w:p>
    <w:p w14:paraId="10389CE9" w14:textId="77777777" w:rsidR="00BC24A8" w:rsidRDefault="00000000">
      <w:pPr>
        <w:spacing w:line="290" w:lineRule="auto"/>
        <w:ind w:left="769" w:right="1081"/>
        <w:jc w:val="both"/>
        <w:rPr>
          <w:rFonts w:ascii="Times New Roman"/>
          <w:b/>
          <w:i/>
          <w:sz w:val="18"/>
        </w:rPr>
      </w:pPr>
      <w:r>
        <w:rPr>
          <w:rFonts w:ascii="Times New Roman"/>
          <w:b/>
          <w:i/>
          <w:color w:val="17365A"/>
          <w:sz w:val="18"/>
        </w:rPr>
        <w:t>The</w:t>
      </w:r>
      <w:r>
        <w:rPr>
          <w:rFonts w:ascii="Times New Roman"/>
          <w:b/>
          <w:i/>
          <w:color w:val="17365A"/>
          <w:spacing w:val="-2"/>
          <w:sz w:val="18"/>
        </w:rPr>
        <w:t xml:space="preserve"> </w:t>
      </w:r>
      <w:r>
        <w:rPr>
          <w:rFonts w:ascii="Times New Roman"/>
          <w:b/>
          <w:i/>
          <w:color w:val="17365A"/>
          <w:sz w:val="18"/>
        </w:rPr>
        <w:t>launch</w:t>
      </w:r>
      <w:r>
        <w:rPr>
          <w:rFonts w:ascii="Times New Roman"/>
          <w:b/>
          <w:i/>
          <w:color w:val="17365A"/>
          <w:spacing w:val="-1"/>
          <w:sz w:val="18"/>
        </w:rPr>
        <w:t xml:space="preserve"> </w:t>
      </w:r>
      <w:r>
        <w:rPr>
          <w:rFonts w:ascii="Times New Roman"/>
          <w:b/>
          <w:i/>
          <w:color w:val="17365A"/>
          <w:sz w:val="18"/>
        </w:rPr>
        <w:t>of</w:t>
      </w:r>
      <w:r>
        <w:rPr>
          <w:rFonts w:ascii="Times New Roman"/>
          <w:b/>
          <w:i/>
          <w:color w:val="17365A"/>
          <w:spacing w:val="-1"/>
          <w:sz w:val="18"/>
        </w:rPr>
        <w:t xml:space="preserve"> </w:t>
      </w:r>
      <w:r>
        <w:rPr>
          <w:rFonts w:ascii="Times New Roman"/>
          <w:b/>
          <w:i/>
          <w:color w:val="17365A"/>
          <w:sz w:val="18"/>
        </w:rPr>
        <w:t>this inclusive</w:t>
      </w:r>
      <w:r>
        <w:rPr>
          <w:rFonts w:ascii="Times New Roman"/>
          <w:b/>
          <w:i/>
          <w:color w:val="17365A"/>
          <w:spacing w:val="-2"/>
          <w:sz w:val="18"/>
        </w:rPr>
        <w:t xml:space="preserve"> </w:t>
      </w:r>
      <w:r>
        <w:rPr>
          <w:rFonts w:ascii="Times New Roman"/>
          <w:b/>
          <w:i/>
          <w:color w:val="17365A"/>
          <w:sz w:val="18"/>
        </w:rPr>
        <w:t>Musrenbang helps us voice</w:t>
      </w:r>
      <w:r>
        <w:rPr>
          <w:rFonts w:ascii="Times New Roman"/>
          <w:b/>
          <w:i/>
          <w:color w:val="17365A"/>
          <w:spacing w:val="-2"/>
          <w:sz w:val="18"/>
        </w:rPr>
        <w:t xml:space="preserve"> </w:t>
      </w:r>
      <w:r>
        <w:rPr>
          <w:rFonts w:ascii="Times New Roman"/>
          <w:b/>
          <w:i/>
          <w:color w:val="17365A"/>
          <w:sz w:val="18"/>
        </w:rPr>
        <w:t>our</w:t>
      </w:r>
      <w:r>
        <w:rPr>
          <w:rFonts w:ascii="Times New Roman"/>
          <w:b/>
          <w:i/>
          <w:color w:val="17365A"/>
          <w:spacing w:val="-2"/>
          <w:sz w:val="18"/>
        </w:rPr>
        <w:t xml:space="preserve"> </w:t>
      </w:r>
      <w:r>
        <w:rPr>
          <w:rFonts w:ascii="Times New Roman"/>
          <w:b/>
          <w:i/>
          <w:color w:val="17365A"/>
          <w:sz w:val="18"/>
        </w:rPr>
        <w:t>rights to</w:t>
      </w:r>
      <w:r>
        <w:rPr>
          <w:rFonts w:ascii="Times New Roman"/>
          <w:b/>
          <w:i/>
          <w:color w:val="17365A"/>
          <w:spacing w:val="-1"/>
          <w:sz w:val="18"/>
        </w:rPr>
        <w:t xml:space="preserve"> </w:t>
      </w:r>
      <w:r>
        <w:rPr>
          <w:rFonts w:ascii="Times New Roman"/>
          <w:b/>
          <w:i/>
          <w:color w:val="17365A"/>
          <w:sz w:val="18"/>
        </w:rPr>
        <w:t>access and</w:t>
      </w:r>
      <w:r>
        <w:rPr>
          <w:rFonts w:ascii="Times New Roman"/>
          <w:b/>
          <w:i/>
          <w:color w:val="17365A"/>
          <w:spacing w:val="-1"/>
          <w:sz w:val="18"/>
        </w:rPr>
        <w:t xml:space="preserve"> </w:t>
      </w:r>
      <w:r>
        <w:rPr>
          <w:rFonts w:ascii="Times New Roman"/>
          <w:b/>
          <w:i/>
          <w:color w:val="17365A"/>
          <w:sz w:val="18"/>
        </w:rPr>
        <w:t>ensures that</w:t>
      </w:r>
      <w:r>
        <w:rPr>
          <w:rFonts w:ascii="Times New Roman"/>
          <w:b/>
          <w:i/>
          <w:color w:val="17365A"/>
          <w:spacing w:val="-1"/>
          <w:sz w:val="18"/>
        </w:rPr>
        <w:t xml:space="preserve"> </w:t>
      </w:r>
      <w:r>
        <w:rPr>
          <w:rFonts w:ascii="Times New Roman"/>
          <w:b/>
          <w:i/>
          <w:color w:val="17365A"/>
          <w:sz w:val="18"/>
        </w:rPr>
        <w:t>our</w:t>
      </w:r>
      <w:r>
        <w:rPr>
          <w:rFonts w:ascii="Times New Roman"/>
          <w:b/>
          <w:i/>
          <w:color w:val="17365A"/>
          <w:spacing w:val="-3"/>
          <w:sz w:val="18"/>
        </w:rPr>
        <w:t xml:space="preserve"> </w:t>
      </w:r>
      <w:r>
        <w:rPr>
          <w:rFonts w:ascii="Times New Roman"/>
          <w:b/>
          <w:i/>
          <w:color w:val="17365A"/>
          <w:sz w:val="18"/>
        </w:rPr>
        <w:t>voices as persons</w:t>
      </w:r>
      <w:r>
        <w:rPr>
          <w:rFonts w:ascii="Times New Roman"/>
          <w:b/>
          <w:i/>
          <w:color w:val="17365A"/>
          <w:spacing w:val="-2"/>
          <w:sz w:val="18"/>
        </w:rPr>
        <w:t xml:space="preserve"> </w:t>
      </w:r>
      <w:r>
        <w:rPr>
          <w:rFonts w:ascii="Times New Roman"/>
          <w:b/>
          <w:i/>
          <w:color w:val="17365A"/>
          <w:sz w:val="18"/>
        </w:rPr>
        <w:t>with</w:t>
      </w:r>
      <w:r>
        <w:rPr>
          <w:rFonts w:ascii="Times New Roman"/>
          <w:b/>
          <w:i/>
          <w:color w:val="17365A"/>
          <w:spacing w:val="-1"/>
          <w:sz w:val="18"/>
        </w:rPr>
        <w:t xml:space="preserve"> </w:t>
      </w:r>
      <w:r>
        <w:rPr>
          <w:rFonts w:ascii="Times New Roman"/>
          <w:b/>
          <w:i/>
          <w:color w:val="17365A"/>
          <w:sz w:val="18"/>
        </w:rPr>
        <w:t>disabilities</w:t>
      </w:r>
      <w:r>
        <w:rPr>
          <w:rFonts w:ascii="Times New Roman"/>
          <w:b/>
          <w:i/>
          <w:color w:val="17365A"/>
          <w:spacing w:val="-2"/>
          <w:sz w:val="18"/>
        </w:rPr>
        <w:t xml:space="preserve"> </w:t>
      </w:r>
      <w:r>
        <w:rPr>
          <w:rFonts w:ascii="Times New Roman"/>
          <w:b/>
          <w:i/>
          <w:color w:val="17365A"/>
          <w:sz w:val="18"/>
        </w:rPr>
        <w:t>are</w:t>
      </w:r>
      <w:r>
        <w:rPr>
          <w:rFonts w:ascii="Times New Roman"/>
          <w:b/>
          <w:i/>
          <w:color w:val="17365A"/>
          <w:spacing w:val="-4"/>
          <w:sz w:val="18"/>
        </w:rPr>
        <w:t xml:space="preserve"> </w:t>
      </w:r>
      <w:r>
        <w:rPr>
          <w:rFonts w:ascii="Times New Roman"/>
          <w:b/>
          <w:i/>
          <w:color w:val="17365A"/>
          <w:sz w:val="18"/>
        </w:rPr>
        <w:t>heard,</w:t>
      </w:r>
      <w:r>
        <w:rPr>
          <w:rFonts w:ascii="Times New Roman"/>
          <w:b/>
          <w:i/>
          <w:color w:val="17365A"/>
          <w:spacing w:val="-3"/>
          <w:sz w:val="18"/>
        </w:rPr>
        <w:t xml:space="preserve"> </w:t>
      </w:r>
      <w:r>
        <w:rPr>
          <w:rFonts w:ascii="Times New Roman"/>
          <w:b/>
          <w:i/>
          <w:color w:val="17365A"/>
          <w:sz w:val="18"/>
        </w:rPr>
        <w:t>respected,</w:t>
      </w:r>
      <w:r>
        <w:rPr>
          <w:rFonts w:ascii="Times New Roman"/>
          <w:b/>
          <w:i/>
          <w:color w:val="17365A"/>
          <w:spacing w:val="-3"/>
          <w:sz w:val="18"/>
        </w:rPr>
        <w:t xml:space="preserve"> </w:t>
      </w:r>
      <w:r>
        <w:rPr>
          <w:rFonts w:ascii="Times New Roman"/>
          <w:b/>
          <w:i/>
          <w:color w:val="17365A"/>
          <w:sz w:val="18"/>
        </w:rPr>
        <w:t>accepted,</w:t>
      </w:r>
      <w:r>
        <w:rPr>
          <w:rFonts w:ascii="Times New Roman"/>
          <w:b/>
          <w:i/>
          <w:color w:val="17365A"/>
          <w:spacing w:val="-3"/>
          <w:sz w:val="18"/>
        </w:rPr>
        <w:t xml:space="preserve"> </w:t>
      </w:r>
      <w:r>
        <w:rPr>
          <w:rFonts w:ascii="Times New Roman"/>
          <w:b/>
          <w:i/>
          <w:color w:val="17365A"/>
          <w:sz w:val="18"/>
        </w:rPr>
        <w:t>and</w:t>
      </w:r>
      <w:r>
        <w:rPr>
          <w:rFonts w:ascii="Times New Roman"/>
          <w:b/>
          <w:i/>
          <w:color w:val="17365A"/>
          <w:spacing w:val="-1"/>
          <w:sz w:val="18"/>
        </w:rPr>
        <w:t xml:space="preserve"> </w:t>
      </w:r>
      <w:r>
        <w:rPr>
          <w:rFonts w:ascii="Times New Roman"/>
          <w:b/>
          <w:i/>
          <w:color w:val="17365A"/>
          <w:sz w:val="18"/>
        </w:rPr>
        <w:t>included</w:t>
      </w:r>
      <w:r>
        <w:rPr>
          <w:rFonts w:ascii="Times New Roman"/>
          <w:b/>
          <w:i/>
          <w:color w:val="17365A"/>
          <w:spacing w:val="-4"/>
          <w:sz w:val="18"/>
        </w:rPr>
        <w:t xml:space="preserve"> </w:t>
      </w:r>
      <w:r>
        <w:rPr>
          <w:rFonts w:ascii="Times New Roman"/>
          <w:b/>
          <w:i/>
          <w:color w:val="17365A"/>
          <w:sz w:val="18"/>
        </w:rPr>
        <w:t>in</w:t>
      </w:r>
      <w:r>
        <w:rPr>
          <w:rFonts w:ascii="Times New Roman"/>
          <w:b/>
          <w:i/>
          <w:color w:val="17365A"/>
          <w:spacing w:val="-1"/>
          <w:sz w:val="18"/>
        </w:rPr>
        <w:t xml:space="preserve"> </w:t>
      </w:r>
      <w:r>
        <w:rPr>
          <w:rFonts w:ascii="Times New Roman"/>
          <w:b/>
          <w:i/>
          <w:color w:val="17365A"/>
          <w:sz w:val="18"/>
        </w:rPr>
        <w:t>every</w:t>
      </w:r>
      <w:r>
        <w:rPr>
          <w:rFonts w:ascii="Times New Roman"/>
          <w:b/>
          <w:i/>
          <w:color w:val="17365A"/>
          <w:spacing w:val="-4"/>
          <w:sz w:val="18"/>
        </w:rPr>
        <w:t xml:space="preserve"> </w:t>
      </w:r>
      <w:r>
        <w:rPr>
          <w:rFonts w:ascii="Times New Roman"/>
          <w:b/>
          <w:i/>
          <w:color w:val="17365A"/>
          <w:sz w:val="18"/>
        </w:rPr>
        <w:t>decision-making</w:t>
      </w:r>
      <w:r>
        <w:rPr>
          <w:rFonts w:ascii="Times New Roman"/>
          <w:b/>
          <w:i/>
          <w:color w:val="17365A"/>
          <w:spacing w:val="-3"/>
          <w:sz w:val="18"/>
        </w:rPr>
        <w:t xml:space="preserve"> </w:t>
      </w:r>
      <w:r>
        <w:rPr>
          <w:rFonts w:ascii="Times New Roman"/>
          <w:b/>
          <w:i/>
          <w:color w:val="17365A"/>
          <w:sz w:val="18"/>
        </w:rPr>
        <w:t>process.</w:t>
      </w:r>
      <w:r>
        <w:rPr>
          <w:rFonts w:ascii="Times New Roman"/>
          <w:b/>
          <w:i/>
          <w:color w:val="17365A"/>
          <w:spacing w:val="-3"/>
          <w:sz w:val="18"/>
        </w:rPr>
        <w:t xml:space="preserve"> </w:t>
      </w:r>
      <w:r>
        <w:rPr>
          <w:rFonts w:ascii="Times New Roman"/>
          <w:b/>
          <w:i/>
          <w:color w:val="17365A"/>
          <w:sz w:val="18"/>
        </w:rPr>
        <w:t xml:space="preserve">We </w:t>
      </w:r>
      <w:r>
        <w:rPr>
          <w:rFonts w:ascii="Times New Roman"/>
          <w:b/>
          <w:i/>
          <w:color w:val="17365A"/>
          <w:spacing w:val="-2"/>
          <w:sz w:val="18"/>
        </w:rPr>
        <w:t>also</w:t>
      </w:r>
      <w:r>
        <w:rPr>
          <w:rFonts w:ascii="Times New Roman"/>
          <w:b/>
          <w:i/>
          <w:color w:val="17365A"/>
          <w:spacing w:val="-7"/>
          <w:sz w:val="18"/>
        </w:rPr>
        <w:t xml:space="preserve"> </w:t>
      </w:r>
      <w:r>
        <w:rPr>
          <w:rFonts w:ascii="Times New Roman"/>
          <w:b/>
          <w:i/>
          <w:color w:val="17365A"/>
          <w:spacing w:val="-2"/>
          <w:sz w:val="18"/>
        </w:rPr>
        <w:t>appreciate</w:t>
      </w:r>
      <w:r>
        <w:rPr>
          <w:rFonts w:ascii="Times New Roman"/>
          <w:b/>
          <w:i/>
          <w:color w:val="17365A"/>
          <w:spacing w:val="-8"/>
          <w:sz w:val="18"/>
        </w:rPr>
        <w:t xml:space="preserve"> </w:t>
      </w:r>
      <w:r>
        <w:rPr>
          <w:rFonts w:ascii="Times New Roman"/>
          <w:b/>
          <w:i/>
          <w:color w:val="17365A"/>
          <w:spacing w:val="-2"/>
          <w:sz w:val="18"/>
        </w:rPr>
        <w:t>that</w:t>
      </w:r>
      <w:r>
        <w:rPr>
          <w:rFonts w:ascii="Times New Roman"/>
          <w:b/>
          <w:i/>
          <w:color w:val="17365A"/>
          <w:spacing w:val="-7"/>
          <w:sz w:val="18"/>
        </w:rPr>
        <w:t xml:space="preserve"> </w:t>
      </w:r>
      <w:r>
        <w:rPr>
          <w:rFonts w:ascii="Times New Roman"/>
          <w:b/>
          <w:i/>
          <w:color w:val="17365A"/>
          <w:spacing w:val="-2"/>
          <w:sz w:val="18"/>
        </w:rPr>
        <w:t>this</w:t>
      </w:r>
      <w:r>
        <w:rPr>
          <w:rFonts w:ascii="Times New Roman"/>
          <w:b/>
          <w:i/>
          <w:color w:val="17365A"/>
          <w:spacing w:val="-6"/>
          <w:sz w:val="18"/>
        </w:rPr>
        <w:t xml:space="preserve"> </w:t>
      </w:r>
      <w:r>
        <w:rPr>
          <w:rFonts w:ascii="Times New Roman"/>
          <w:b/>
          <w:i/>
          <w:color w:val="17365A"/>
          <w:spacing w:val="-2"/>
          <w:sz w:val="18"/>
        </w:rPr>
        <w:t>year's</w:t>
      </w:r>
      <w:r>
        <w:rPr>
          <w:rFonts w:ascii="Times New Roman"/>
          <w:b/>
          <w:i/>
          <w:color w:val="17365A"/>
          <w:spacing w:val="-4"/>
          <w:sz w:val="18"/>
        </w:rPr>
        <w:t xml:space="preserve"> </w:t>
      </w:r>
      <w:r>
        <w:rPr>
          <w:rFonts w:ascii="Times New Roman"/>
          <w:b/>
          <w:i/>
          <w:color w:val="17365A"/>
          <w:spacing w:val="-2"/>
          <w:sz w:val="18"/>
        </w:rPr>
        <w:t>Musrenbang</w:t>
      </w:r>
      <w:r>
        <w:rPr>
          <w:rFonts w:ascii="Times New Roman"/>
          <w:b/>
          <w:i/>
          <w:color w:val="17365A"/>
          <w:spacing w:val="-7"/>
          <w:sz w:val="18"/>
        </w:rPr>
        <w:t xml:space="preserve"> </w:t>
      </w:r>
      <w:r>
        <w:rPr>
          <w:rFonts w:ascii="Times New Roman"/>
          <w:b/>
          <w:i/>
          <w:color w:val="17365A"/>
          <w:spacing w:val="-2"/>
          <w:sz w:val="18"/>
        </w:rPr>
        <w:t>consistently</w:t>
      </w:r>
      <w:r>
        <w:rPr>
          <w:rFonts w:ascii="Times New Roman"/>
          <w:b/>
          <w:i/>
          <w:color w:val="17365A"/>
          <w:spacing w:val="-8"/>
          <w:sz w:val="18"/>
        </w:rPr>
        <w:t xml:space="preserve"> </w:t>
      </w:r>
      <w:r>
        <w:rPr>
          <w:rFonts w:ascii="Times New Roman"/>
          <w:b/>
          <w:i/>
          <w:color w:val="17365A"/>
          <w:spacing w:val="-2"/>
          <w:sz w:val="18"/>
        </w:rPr>
        <w:t>provides</w:t>
      </w:r>
      <w:r>
        <w:rPr>
          <w:rFonts w:ascii="Times New Roman"/>
          <w:b/>
          <w:i/>
          <w:color w:val="17365A"/>
          <w:spacing w:val="-6"/>
          <w:sz w:val="18"/>
        </w:rPr>
        <w:t xml:space="preserve"> </w:t>
      </w:r>
      <w:r>
        <w:rPr>
          <w:rFonts w:ascii="Times New Roman"/>
          <w:b/>
          <w:i/>
          <w:color w:val="17365A"/>
          <w:spacing w:val="-2"/>
          <w:sz w:val="18"/>
        </w:rPr>
        <w:t>Sign</w:t>
      </w:r>
      <w:r>
        <w:rPr>
          <w:rFonts w:ascii="Times New Roman"/>
          <w:b/>
          <w:i/>
          <w:color w:val="17365A"/>
          <w:spacing w:val="-8"/>
          <w:sz w:val="18"/>
        </w:rPr>
        <w:t xml:space="preserve"> </w:t>
      </w:r>
      <w:r>
        <w:rPr>
          <w:rFonts w:ascii="Times New Roman"/>
          <w:b/>
          <w:i/>
          <w:color w:val="17365A"/>
          <w:spacing w:val="-2"/>
          <w:sz w:val="18"/>
        </w:rPr>
        <w:t>Language</w:t>
      </w:r>
      <w:r>
        <w:rPr>
          <w:rFonts w:ascii="Times New Roman"/>
          <w:b/>
          <w:i/>
          <w:color w:val="17365A"/>
          <w:spacing w:val="-6"/>
          <w:sz w:val="18"/>
        </w:rPr>
        <w:t xml:space="preserve"> </w:t>
      </w:r>
      <w:r>
        <w:rPr>
          <w:rFonts w:ascii="Times New Roman"/>
          <w:b/>
          <w:i/>
          <w:color w:val="17365A"/>
          <w:spacing w:val="-2"/>
          <w:sz w:val="18"/>
        </w:rPr>
        <w:t>Interpreters</w:t>
      </w:r>
      <w:r>
        <w:rPr>
          <w:rFonts w:ascii="Times New Roman"/>
          <w:b/>
          <w:i/>
          <w:color w:val="17365A"/>
          <w:spacing w:val="-6"/>
          <w:sz w:val="18"/>
        </w:rPr>
        <w:t xml:space="preserve"> </w:t>
      </w:r>
      <w:r>
        <w:rPr>
          <w:rFonts w:ascii="Times New Roman"/>
          <w:b/>
          <w:i/>
          <w:color w:val="17365A"/>
          <w:spacing w:val="-2"/>
          <w:sz w:val="18"/>
        </w:rPr>
        <w:t>(JBI)</w:t>
      </w:r>
      <w:r>
        <w:rPr>
          <w:rFonts w:ascii="Times New Roman"/>
          <w:b/>
          <w:i/>
          <w:color w:val="17365A"/>
          <w:spacing w:val="-5"/>
          <w:sz w:val="18"/>
        </w:rPr>
        <w:t xml:space="preserve"> </w:t>
      </w:r>
      <w:r>
        <w:rPr>
          <w:rFonts w:ascii="Times New Roman"/>
          <w:b/>
          <w:i/>
          <w:color w:val="17365A"/>
          <w:spacing w:val="-2"/>
          <w:sz w:val="18"/>
        </w:rPr>
        <w:t>to</w:t>
      </w:r>
      <w:r>
        <w:rPr>
          <w:rFonts w:ascii="Times New Roman"/>
          <w:b/>
          <w:i/>
          <w:color w:val="17365A"/>
          <w:spacing w:val="-7"/>
          <w:sz w:val="18"/>
        </w:rPr>
        <w:t xml:space="preserve"> </w:t>
      </w:r>
      <w:r>
        <w:rPr>
          <w:rFonts w:ascii="Times New Roman"/>
          <w:b/>
          <w:i/>
          <w:color w:val="17365A"/>
          <w:spacing w:val="-2"/>
          <w:sz w:val="18"/>
        </w:rPr>
        <w:t xml:space="preserve">support </w:t>
      </w:r>
      <w:r>
        <w:rPr>
          <w:rFonts w:ascii="Times New Roman"/>
          <w:b/>
          <w:i/>
          <w:color w:val="17365A"/>
          <w:sz w:val="18"/>
        </w:rPr>
        <w:t>our</w:t>
      </w:r>
      <w:r>
        <w:rPr>
          <w:rFonts w:ascii="Times New Roman"/>
          <w:b/>
          <w:i/>
          <w:color w:val="17365A"/>
          <w:spacing w:val="-12"/>
          <w:sz w:val="18"/>
        </w:rPr>
        <w:t xml:space="preserve"> </w:t>
      </w:r>
      <w:r>
        <w:rPr>
          <w:rFonts w:ascii="Times New Roman"/>
          <w:b/>
          <w:i/>
          <w:color w:val="17365A"/>
          <w:sz w:val="18"/>
        </w:rPr>
        <w:t>needs.</w:t>
      </w:r>
    </w:p>
    <w:p w14:paraId="66E84267" w14:textId="77777777" w:rsidR="00BC24A8" w:rsidRDefault="00000000">
      <w:pPr>
        <w:spacing w:line="204" w:lineRule="exact"/>
        <w:ind w:left="769"/>
        <w:jc w:val="both"/>
        <w:rPr>
          <w:i/>
          <w:sz w:val="18"/>
        </w:rPr>
      </w:pPr>
      <w:r>
        <w:rPr>
          <w:i/>
          <w:color w:val="17365A"/>
          <w:sz w:val="18"/>
        </w:rPr>
        <w:t>(Chairperson</w:t>
      </w:r>
      <w:r>
        <w:rPr>
          <w:i/>
          <w:color w:val="17365A"/>
          <w:spacing w:val="-6"/>
          <w:sz w:val="18"/>
        </w:rPr>
        <w:t xml:space="preserve"> </w:t>
      </w:r>
      <w:r>
        <w:rPr>
          <w:i/>
          <w:color w:val="17365A"/>
          <w:sz w:val="18"/>
        </w:rPr>
        <w:t>of</w:t>
      </w:r>
      <w:r>
        <w:rPr>
          <w:i/>
          <w:color w:val="17365A"/>
          <w:spacing w:val="-3"/>
          <w:sz w:val="18"/>
        </w:rPr>
        <w:t xml:space="preserve"> </w:t>
      </w:r>
      <w:r>
        <w:rPr>
          <w:i/>
          <w:color w:val="17365A"/>
          <w:sz w:val="18"/>
        </w:rPr>
        <w:t>Kupang</w:t>
      </w:r>
      <w:r>
        <w:rPr>
          <w:i/>
          <w:color w:val="17365A"/>
          <w:spacing w:val="-3"/>
          <w:sz w:val="18"/>
        </w:rPr>
        <w:t xml:space="preserve"> </w:t>
      </w:r>
      <w:r>
        <w:rPr>
          <w:i/>
          <w:color w:val="17365A"/>
          <w:sz w:val="18"/>
        </w:rPr>
        <w:t>Deaf</w:t>
      </w:r>
      <w:r>
        <w:rPr>
          <w:i/>
          <w:color w:val="17365A"/>
          <w:spacing w:val="-4"/>
          <w:sz w:val="18"/>
        </w:rPr>
        <w:t xml:space="preserve"> </w:t>
      </w:r>
      <w:r>
        <w:rPr>
          <w:i/>
          <w:color w:val="17365A"/>
          <w:sz w:val="18"/>
        </w:rPr>
        <w:t>Community,</w:t>
      </w:r>
      <w:r>
        <w:rPr>
          <w:i/>
          <w:color w:val="17365A"/>
          <w:spacing w:val="-4"/>
          <w:sz w:val="18"/>
        </w:rPr>
        <w:t xml:space="preserve"> </w:t>
      </w:r>
      <w:r>
        <w:rPr>
          <w:i/>
          <w:color w:val="17365A"/>
          <w:sz w:val="18"/>
        </w:rPr>
        <w:t>May</w:t>
      </w:r>
      <w:r>
        <w:rPr>
          <w:i/>
          <w:color w:val="17365A"/>
          <w:spacing w:val="-2"/>
          <w:sz w:val="18"/>
        </w:rPr>
        <w:t xml:space="preserve"> 2025)</w:t>
      </w:r>
    </w:p>
    <w:p w14:paraId="77484640" w14:textId="77777777" w:rsidR="00BC24A8" w:rsidRDefault="00BC24A8">
      <w:pPr>
        <w:spacing w:line="204" w:lineRule="exact"/>
        <w:jc w:val="both"/>
        <w:rPr>
          <w:i/>
          <w:sz w:val="18"/>
        </w:rPr>
        <w:sectPr w:rsidR="00BC24A8">
          <w:pgSz w:w="11910" w:h="16840"/>
          <w:pgMar w:top="1840" w:right="850" w:bottom="1100" w:left="1275" w:header="0" w:footer="907" w:gutter="0"/>
          <w:cols w:space="720"/>
        </w:sectPr>
      </w:pPr>
    </w:p>
    <w:p w14:paraId="2ABC077A" w14:textId="77777777" w:rsidR="00BC24A8" w:rsidRDefault="00000000">
      <w:pPr>
        <w:spacing w:before="131" w:line="243" w:lineRule="exact"/>
        <w:ind w:left="5" w:right="440"/>
        <w:jc w:val="center"/>
        <w:rPr>
          <w:sz w:val="20"/>
        </w:rPr>
      </w:pPr>
      <w:r>
        <w:rPr>
          <w:noProof/>
          <w:sz w:val="20"/>
        </w:rPr>
        <mc:AlternateContent>
          <mc:Choice Requires="wpg">
            <w:drawing>
              <wp:anchor distT="0" distB="0" distL="0" distR="0" simplePos="0" relativeHeight="478685184" behindDoc="1" locked="0" layoutInCell="1" allowOverlap="1" wp14:anchorId="4786CF21" wp14:editId="0284F347">
                <wp:simplePos x="0" y="0"/>
                <wp:positionH relativeFrom="page">
                  <wp:posOffset>897636</wp:posOffset>
                </wp:positionH>
                <wp:positionV relativeFrom="page">
                  <wp:posOffset>900671</wp:posOffset>
                </wp:positionV>
                <wp:extent cx="5779135" cy="6102350"/>
                <wp:effectExtent l="0" t="0" r="0" b="0"/>
                <wp:wrapNone/>
                <wp:docPr id="244" name="Group 244" descr="S TO R Y 2 :&#10;NTT One Data Forum: From Challenge to Collaboration and Transformation&#10;&#10;The journey of the NTT One Data Forum (FSD) since 2022 has been challenging. Limited understanding of the FSD’s role, weak coordination, and insufficient human resource capacity have hindered the forum’s optimal functioning. Nevertheless, in the past two years, significant changes have begun to take shape. Support from the SKALA program in institutional strengthening, intensive technical assistance, and close inter-agency collaboration has provided new momentum for the FSD.&#10;The One Data Forum is starting to increase its understanding and responsibility. Data producers are no longer just collecting data, but are beginning to understand the importance of metadata, data quality standards, and data verification processes.&#10;Capacity building, such as the metadata training received by the data-producing DPOs, was the first experience that opened their horizons related to data. The enthusiasm of data producers in understanding performance indicators and data standards is increasing. Now, they are more active in participating in coaching clinics and technical forums, even if they have to be picked up or visited in person.&#10;&#10;&#10;&#10;In the past, when we requested data, the information oen changed. Now it is more orderly because processes and understanding are in place. Each person has begun to understand, ‘Oh, this is what we need to do, this is how it should be done.&#10;(Head of Statistics Indonesia/BPS NTT Province, May 2025)&#10;&#10;&#10;&#10;On the other hand, coordination and collaboration are increasingly solid among members of the One Data Forum. Changes have also been seen in the pattern of communication and coordination between forum members, including the strengthened role of the Data Custodian (Walidata). The Walidata Clinic, established by the Provincial Office of Communication and Informatics (Kominfo), has become an open consultation space between data producers and Walidata. Through these clinics, technical challenges can be solved immediately, even when human resources are limited.&#10;In addition, supportive infrastructure and regulations from the provincial government are in place. The forum’s institutional position is getting stronger with the presence of several regulations, such as the Portal Infrastructure Team Decree, the Walidata Clinic Decree, and the Walidata circular letter. Data portals have begun to function as centers for sectoral data consolidation.&#10;However, the One Data Forum in NTT still has a long way to go. Many things still need to be addressed, including the capacity of Forum members and the quality of sectoral data. SKALA and the NTT Provincial Government continue to work together to support the work of the One Data Foru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102350"/>
                          <a:chOff x="0" y="0"/>
                          <a:chExt cx="5779135" cy="6102350"/>
                        </a:xfrm>
                      </wpg:grpSpPr>
                      <wps:wsp>
                        <wps:cNvPr id="245" name="Graphic 245"/>
                        <wps:cNvSpPr/>
                        <wps:spPr>
                          <a:xfrm>
                            <a:off x="6095" y="6108"/>
                            <a:ext cx="5765800" cy="6090285"/>
                          </a:xfrm>
                          <a:custGeom>
                            <a:avLst/>
                            <a:gdLst/>
                            <a:ahLst/>
                            <a:cxnLst/>
                            <a:rect l="l" t="t" r="r" b="b"/>
                            <a:pathLst>
                              <a:path w="5765800" h="6090285">
                                <a:moveTo>
                                  <a:pt x="5765292" y="0"/>
                                </a:moveTo>
                                <a:lnTo>
                                  <a:pt x="0" y="0"/>
                                </a:lnTo>
                                <a:lnTo>
                                  <a:pt x="0" y="6089904"/>
                                </a:lnTo>
                                <a:lnTo>
                                  <a:pt x="5765292" y="6089904"/>
                                </a:lnTo>
                                <a:lnTo>
                                  <a:pt x="5765292" y="0"/>
                                </a:lnTo>
                                <a:close/>
                              </a:path>
                            </a:pathLst>
                          </a:custGeom>
                          <a:solidFill>
                            <a:srgbClr val="E1F1EF"/>
                          </a:solidFill>
                        </wps:spPr>
                        <wps:bodyPr wrap="square" lIns="0" tIns="0" rIns="0" bIns="0" rtlCol="0">
                          <a:prstTxWarp prst="textNoShape">
                            <a:avLst/>
                          </a:prstTxWarp>
                          <a:noAutofit/>
                        </wps:bodyPr>
                      </wps:wsp>
                      <wps:wsp>
                        <wps:cNvPr id="246" name="Graphic 246"/>
                        <wps:cNvSpPr/>
                        <wps:spPr>
                          <a:xfrm>
                            <a:off x="0" y="0"/>
                            <a:ext cx="5779135" cy="6102350"/>
                          </a:xfrm>
                          <a:custGeom>
                            <a:avLst/>
                            <a:gdLst/>
                            <a:ahLst/>
                            <a:cxnLst/>
                            <a:rect l="l" t="t" r="r" b="b"/>
                            <a:pathLst>
                              <a:path w="5779135" h="6102350">
                                <a:moveTo>
                                  <a:pt x="5779008" y="0"/>
                                </a:moveTo>
                                <a:lnTo>
                                  <a:pt x="5772912" y="0"/>
                                </a:lnTo>
                                <a:lnTo>
                                  <a:pt x="5772912" y="6108"/>
                                </a:lnTo>
                                <a:lnTo>
                                  <a:pt x="5772912" y="6096012"/>
                                </a:lnTo>
                                <a:lnTo>
                                  <a:pt x="6108" y="6096012"/>
                                </a:lnTo>
                                <a:lnTo>
                                  <a:pt x="6108" y="6108"/>
                                </a:lnTo>
                                <a:lnTo>
                                  <a:pt x="5772912" y="6108"/>
                                </a:lnTo>
                                <a:lnTo>
                                  <a:pt x="5772912" y="0"/>
                                </a:lnTo>
                                <a:lnTo>
                                  <a:pt x="6108" y="0"/>
                                </a:lnTo>
                                <a:lnTo>
                                  <a:pt x="0" y="0"/>
                                </a:lnTo>
                                <a:lnTo>
                                  <a:pt x="0" y="6108"/>
                                </a:lnTo>
                                <a:lnTo>
                                  <a:pt x="0" y="6096012"/>
                                </a:lnTo>
                                <a:lnTo>
                                  <a:pt x="0" y="6102108"/>
                                </a:lnTo>
                                <a:lnTo>
                                  <a:pt x="6096" y="6102108"/>
                                </a:lnTo>
                                <a:lnTo>
                                  <a:pt x="5772912" y="6102108"/>
                                </a:lnTo>
                                <a:lnTo>
                                  <a:pt x="5779008" y="6102108"/>
                                </a:lnTo>
                                <a:lnTo>
                                  <a:pt x="5779008" y="6096012"/>
                                </a:lnTo>
                                <a:lnTo>
                                  <a:pt x="5779008" y="6108"/>
                                </a:lnTo>
                                <a:lnTo>
                                  <a:pt x="5779008" y="0"/>
                                </a:lnTo>
                                <a:close/>
                              </a:path>
                            </a:pathLst>
                          </a:custGeom>
                          <a:solidFill>
                            <a:srgbClr val="BEBEBE"/>
                          </a:solidFill>
                        </wps:spPr>
                        <wps:bodyPr wrap="square" lIns="0" tIns="0" rIns="0" bIns="0" rtlCol="0">
                          <a:prstTxWarp prst="textNoShape">
                            <a:avLst/>
                          </a:prstTxWarp>
                          <a:noAutofit/>
                        </wps:bodyPr>
                      </wps:wsp>
                      <wps:wsp>
                        <wps:cNvPr id="247" name="Graphic 247"/>
                        <wps:cNvSpPr/>
                        <wps:spPr>
                          <a:xfrm>
                            <a:off x="180594" y="2793060"/>
                            <a:ext cx="5410200" cy="901700"/>
                          </a:xfrm>
                          <a:custGeom>
                            <a:avLst/>
                            <a:gdLst/>
                            <a:ahLst/>
                            <a:cxnLst/>
                            <a:rect l="l" t="t" r="r" b="b"/>
                            <a:pathLst>
                              <a:path w="5410200" h="901700">
                                <a:moveTo>
                                  <a:pt x="0" y="0"/>
                                </a:moveTo>
                                <a:lnTo>
                                  <a:pt x="5410200" y="0"/>
                                </a:lnTo>
                                <a:lnTo>
                                  <a:pt x="5410200" y="901077"/>
                                </a:lnTo>
                                <a:lnTo>
                                  <a:pt x="0" y="901077"/>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14" cstate="print"/>
                          <a:stretch>
                            <a:fillRect/>
                          </a:stretch>
                        </pic:blipFill>
                        <pic:spPr>
                          <a:xfrm>
                            <a:off x="241573" y="2638778"/>
                            <a:ext cx="223210" cy="204895"/>
                          </a:xfrm>
                          <a:prstGeom prst="rect">
                            <a:avLst/>
                          </a:prstGeom>
                        </pic:spPr>
                      </pic:pic>
                      <pic:pic xmlns:pic="http://schemas.openxmlformats.org/drawingml/2006/picture">
                        <pic:nvPicPr>
                          <pic:cNvPr id="249" name="Image 249"/>
                          <pic:cNvPicPr/>
                        </pic:nvPicPr>
                        <pic:blipFill>
                          <a:blip r:embed="rId20" cstate="print"/>
                          <a:stretch>
                            <a:fillRect/>
                          </a:stretch>
                        </pic:blipFill>
                        <pic:spPr>
                          <a:xfrm>
                            <a:off x="5298185" y="3624195"/>
                            <a:ext cx="223210" cy="204895"/>
                          </a:xfrm>
                          <a:prstGeom prst="rect">
                            <a:avLst/>
                          </a:prstGeom>
                        </pic:spPr>
                      </pic:pic>
                    </wpg:wgp>
                  </a:graphicData>
                </a:graphic>
              </wp:anchor>
            </w:drawing>
          </mc:Choice>
          <mc:Fallback>
            <w:pict>
              <v:group w14:anchorId="27A2C9BD" id="Group 244" o:spid="_x0000_s1026" alt="S TO R Y 2 :&#10;NTT One Data Forum: From Challenge to Collaboration and Transformation&#10;&#10;The journey of the NTT One Data Forum (FSD) since 2022 has been challenging. Limited understanding of the FSD’s role, weak coordination, and insufficient human resource capacity have hindered the forum’s optimal functioning. Nevertheless, in the past two years, significant changes have begun to take shape. Support from the SKALA program in institutional strengthening, intensive technical assistance, and close inter-agency collaboration has provided new momentum for the FSD.&#10;The One Data Forum is starting to increase its understanding and responsibility. Data producers are no longer just collecting data, but are beginning to understand the importance of metadata, data quality standards, and data verification processes.&#10;Capacity building, such as the metadata training received by the data-producing DPOs, was the first experience that opened their horizons related to data. The enthusiasm of data producers in understanding performance indicators and data standards is increasing. Now, they are more active in participating in coaching clinics and technical forums, even if they have to be picked up or visited in person.&#10;&#10;&#10;&#10;In the past, when we requested data, the information oen changed. Now it is more orderly because processes and understanding are in place. Each person has begun to understand, ‘Oh, this is what we need to do, this is how it should be done.&#10;(Head of Statistics Indonesia/BPS NTT Province, May 2025)&#10;&#10;&#10;&#10;On the other hand, coordination and collaboration are increasingly solid among members of the One Data Forum. Changes have also been seen in the pattern of communication and coordination between forum members, including the strengthened role of the Data Custodian (Walidata). The Walidata Clinic, established by the Provincial Office of Communication and Informatics (Kominfo), has become an open consultation space between data producers and Walidata. Through these clinics, technical challenges can be solved immediately, even when human resources are limited.&#10;In addition, supportive infrastructure and regulations from the provincial government are in place. The forum’s institutional position is getting stronger with the presence of several regulations, such as the Portal Infrastructure Team Decree, the Walidata Clinic Decree, and the Walidata circular letter. Data portals have begun to function as centers for sectoral data consolidation.&#10;However, the One Data Forum in NTT still has a long way to go. Many things still need to be addressed, including the capacity of Forum members and the quality of sectoral data. SKALA and the NTT Provincial Government continue to work together to support the work of the One Data Forum." style="position:absolute;margin-left:70.7pt;margin-top:70.9pt;width:455.05pt;height:480.5pt;z-index:-24631296;mso-wrap-distance-left:0;mso-wrap-distance-right:0;mso-position-horizontal-relative:page;mso-position-vertical-relative:page" coordsize="57791,6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">
                <v:shape id="Graphic 245" o:spid="_x0000_s1027" style="position:absolute;left:60;top:61;width:57658;height:60902;visibility:visible;mso-wrap-style:square;v-text-anchor:top" coordsize="5765800,609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" path="m5765292,l,,,6089904r5765292,l5765292,xe" fillcolor="#e1f1ef" stroked="f">
                  <v:path arrowok="t"/>
                </v:shape>
                <v:shape id="Graphic 246" o:spid="_x0000_s1028" style="position:absolute;width:57791;height:61023;visibility:visible;mso-wrap-style:square;v-text-anchor:top" coordsize="5779135,610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" path="m5779008,r-6096,l5772912,6108r,6089904l6108,6096012,6108,6108r5766804,l5772912,,6108,,,,,6108,,6096012r,6096l6096,6102108r5766816,l5779008,6102108r,-6096l5779008,6108r,-6108xe" fillcolor="#bebebe" stroked="f">
                  <v:path arrowok="t"/>
                </v:shape>
                <v:shape id="Graphic 247" o:spid="_x0000_s1029" style="position:absolute;left:1805;top:27930;width:54102;height:9017;visibility:visible;mso-wrap-style:square;v-text-anchor:top" coordsize="541020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" path="m,l5410200,r,901077l,901077,,xe" filled="f" strokecolor="#17365a" strokeweight="1pt">
                  <v:path arrowok="t"/>
                </v:shape>
                <v:shape id="Image 248" o:spid="_x0000_s1030" type="#_x0000_t75" style="position:absolute;left:2415;top:26387;width:2232;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">
                  <v:imagedata r:id="rId16" o:title=""/>
                </v:shape>
                <v:shape id="Image 249" o:spid="_x0000_s1031" type="#_x0000_t75" style="position:absolute;left:52981;top:36241;width:2232;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">
                  <v:imagedata r:id="rId21" o:title=""/>
                </v:shape>
                <w10:wrap anchorx="page" anchory="page"/>
              </v:group>
            </w:pict>
          </mc:Fallback>
        </mc:AlternateContent>
      </w: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2</w:t>
      </w:r>
      <w:r>
        <w:rPr>
          <w:spacing w:val="-15"/>
          <w:sz w:val="20"/>
        </w:rPr>
        <w:t xml:space="preserve"> </w:t>
      </w:r>
      <w:r>
        <w:rPr>
          <w:spacing w:val="-10"/>
          <w:sz w:val="20"/>
        </w:rPr>
        <w:t>:</w:t>
      </w:r>
    </w:p>
    <w:p w14:paraId="0A77A179" w14:textId="77777777" w:rsidR="00BC24A8" w:rsidRDefault="00000000">
      <w:pPr>
        <w:spacing w:line="243" w:lineRule="exact"/>
        <w:ind w:left="327" w:right="726"/>
        <w:jc w:val="center"/>
        <w:rPr>
          <w:rFonts w:ascii="Calibri"/>
          <w:b/>
          <w:sz w:val="20"/>
        </w:rPr>
      </w:pPr>
      <w:r>
        <w:rPr>
          <w:rFonts w:ascii="Calibri"/>
          <w:b/>
          <w:color w:val="17365A"/>
          <w:sz w:val="20"/>
        </w:rPr>
        <w:t>NTT</w:t>
      </w:r>
      <w:r>
        <w:rPr>
          <w:rFonts w:ascii="Calibri"/>
          <w:b/>
          <w:color w:val="17365A"/>
          <w:spacing w:val="-8"/>
          <w:sz w:val="20"/>
        </w:rPr>
        <w:t xml:space="preserve"> </w:t>
      </w:r>
      <w:r>
        <w:rPr>
          <w:rFonts w:ascii="Calibri"/>
          <w:b/>
          <w:color w:val="17365A"/>
          <w:sz w:val="20"/>
        </w:rPr>
        <w:t>One</w:t>
      </w:r>
      <w:r>
        <w:rPr>
          <w:rFonts w:ascii="Calibri"/>
          <w:b/>
          <w:color w:val="17365A"/>
          <w:spacing w:val="-7"/>
          <w:sz w:val="20"/>
        </w:rPr>
        <w:t xml:space="preserve"> </w:t>
      </w:r>
      <w:r>
        <w:rPr>
          <w:rFonts w:ascii="Calibri"/>
          <w:b/>
          <w:color w:val="17365A"/>
          <w:sz w:val="20"/>
        </w:rPr>
        <w:t>Data</w:t>
      </w:r>
      <w:r>
        <w:rPr>
          <w:rFonts w:ascii="Calibri"/>
          <w:b/>
          <w:color w:val="17365A"/>
          <w:spacing w:val="-7"/>
          <w:sz w:val="20"/>
        </w:rPr>
        <w:t xml:space="preserve"> </w:t>
      </w:r>
      <w:r>
        <w:rPr>
          <w:rFonts w:ascii="Calibri"/>
          <w:b/>
          <w:color w:val="17365A"/>
          <w:sz w:val="20"/>
        </w:rPr>
        <w:t>Forum:</w:t>
      </w:r>
      <w:r>
        <w:rPr>
          <w:rFonts w:ascii="Calibri"/>
          <w:b/>
          <w:color w:val="17365A"/>
          <w:spacing w:val="-7"/>
          <w:sz w:val="20"/>
        </w:rPr>
        <w:t xml:space="preserve"> </w:t>
      </w:r>
      <w:r>
        <w:rPr>
          <w:rFonts w:ascii="Calibri"/>
          <w:b/>
          <w:color w:val="17365A"/>
          <w:sz w:val="20"/>
        </w:rPr>
        <w:t>From</w:t>
      </w:r>
      <w:r>
        <w:rPr>
          <w:rFonts w:ascii="Calibri"/>
          <w:b/>
          <w:color w:val="17365A"/>
          <w:spacing w:val="-6"/>
          <w:sz w:val="20"/>
        </w:rPr>
        <w:t xml:space="preserve"> </w:t>
      </w:r>
      <w:r>
        <w:rPr>
          <w:rFonts w:ascii="Calibri"/>
          <w:b/>
          <w:color w:val="17365A"/>
          <w:sz w:val="20"/>
        </w:rPr>
        <w:t>Challenge</w:t>
      </w:r>
      <w:r>
        <w:rPr>
          <w:rFonts w:ascii="Calibri"/>
          <w:b/>
          <w:color w:val="17365A"/>
          <w:spacing w:val="-7"/>
          <w:sz w:val="20"/>
        </w:rPr>
        <w:t xml:space="preserve"> </w:t>
      </w:r>
      <w:r>
        <w:rPr>
          <w:rFonts w:ascii="Calibri"/>
          <w:b/>
          <w:color w:val="17365A"/>
          <w:sz w:val="20"/>
        </w:rPr>
        <w:t>to</w:t>
      </w:r>
      <w:r>
        <w:rPr>
          <w:rFonts w:ascii="Calibri"/>
          <w:b/>
          <w:color w:val="17365A"/>
          <w:spacing w:val="-7"/>
          <w:sz w:val="20"/>
        </w:rPr>
        <w:t xml:space="preserve"> </w:t>
      </w:r>
      <w:r>
        <w:rPr>
          <w:rFonts w:ascii="Calibri"/>
          <w:b/>
          <w:color w:val="17365A"/>
          <w:sz w:val="20"/>
        </w:rPr>
        <w:t>Collaboration</w:t>
      </w:r>
      <w:r>
        <w:rPr>
          <w:rFonts w:ascii="Calibri"/>
          <w:b/>
          <w:color w:val="17365A"/>
          <w:spacing w:val="-6"/>
          <w:sz w:val="20"/>
        </w:rPr>
        <w:t xml:space="preserve"> </w:t>
      </w:r>
      <w:r>
        <w:rPr>
          <w:rFonts w:ascii="Calibri"/>
          <w:b/>
          <w:color w:val="17365A"/>
          <w:sz w:val="20"/>
        </w:rPr>
        <w:t>and</w:t>
      </w:r>
      <w:r>
        <w:rPr>
          <w:rFonts w:ascii="Calibri"/>
          <w:b/>
          <w:color w:val="17365A"/>
          <w:spacing w:val="-8"/>
          <w:sz w:val="20"/>
        </w:rPr>
        <w:t xml:space="preserve"> </w:t>
      </w:r>
      <w:r>
        <w:rPr>
          <w:rFonts w:ascii="Calibri"/>
          <w:b/>
          <w:color w:val="17365A"/>
          <w:spacing w:val="-2"/>
          <w:sz w:val="20"/>
        </w:rPr>
        <w:t>Transformation</w:t>
      </w:r>
    </w:p>
    <w:p w14:paraId="2A7A63BE" w14:textId="77777777" w:rsidR="00BC24A8" w:rsidRDefault="00BC24A8">
      <w:pPr>
        <w:pStyle w:val="BodyText"/>
        <w:spacing w:before="1"/>
        <w:rPr>
          <w:rFonts w:ascii="Calibri"/>
          <w:b/>
          <w:sz w:val="20"/>
        </w:rPr>
      </w:pPr>
    </w:p>
    <w:p w14:paraId="3451401F" w14:textId="77777777" w:rsidR="00BC24A8" w:rsidRDefault="00000000">
      <w:pPr>
        <w:ind w:left="395" w:right="796"/>
        <w:jc w:val="both"/>
        <w:rPr>
          <w:sz w:val="18"/>
        </w:rPr>
      </w:pPr>
      <w:r>
        <w:rPr>
          <w:sz w:val="18"/>
        </w:rPr>
        <w:t>The</w:t>
      </w:r>
      <w:r>
        <w:rPr>
          <w:spacing w:val="-6"/>
          <w:sz w:val="18"/>
        </w:rPr>
        <w:t xml:space="preserve"> </w:t>
      </w:r>
      <w:r>
        <w:rPr>
          <w:sz w:val="18"/>
        </w:rPr>
        <w:t>journey</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NTT</w:t>
      </w:r>
      <w:r>
        <w:rPr>
          <w:spacing w:val="-6"/>
          <w:sz w:val="18"/>
        </w:rPr>
        <w:t xml:space="preserve"> </w:t>
      </w:r>
      <w:r>
        <w:rPr>
          <w:sz w:val="18"/>
        </w:rPr>
        <w:t>One</w:t>
      </w:r>
      <w:r>
        <w:rPr>
          <w:spacing w:val="-6"/>
          <w:sz w:val="18"/>
        </w:rPr>
        <w:t xml:space="preserve"> </w:t>
      </w:r>
      <w:r>
        <w:rPr>
          <w:sz w:val="18"/>
        </w:rPr>
        <w:t>Data</w:t>
      </w:r>
      <w:r>
        <w:rPr>
          <w:spacing w:val="-9"/>
          <w:sz w:val="18"/>
        </w:rPr>
        <w:t xml:space="preserve"> </w:t>
      </w:r>
      <w:r>
        <w:rPr>
          <w:sz w:val="18"/>
        </w:rPr>
        <w:t>Forum</w:t>
      </w:r>
      <w:r>
        <w:rPr>
          <w:spacing w:val="-7"/>
          <w:sz w:val="18"/>
        </w:rPr>
        <w:t xml:space="preserve"> </w:t>
      </w:r>
      <w:r>
        <w:rPr>
          <w:sz w:val="18"/>
        </w:rPr>
        <w:t>(FSD)</w:t>
      </w:r>
      <w:r>
        <w:rPr>
          <w:spacing w:val="-7"/>
          <w:sz w:val="18"/>
        </w:rPr>
        <w:t xml:space="preserve"> </w:t>
      </w:r>
      <w:r>
        <w:rPr>
          <w:sz w:val="18"/>
        </w:rPr>
        <w:t>since</w:t>
      </w:r>
      <w:r>
        <w:rPr>
          <w:spacing w:val="-6"/>
          <w:sz w:val="18"/>
        </w:rPr>
        <w:t xml:space="preserve"> </w:t>
      </w:r>
      <w:r>
        <w:rPr>
          <w:sz w:val="18"/>
        </w:rPr>
        <w:t>2022</w:t>
      </w:r>
      <w:r>
        <w:rPr>
          <w:spacing w:val="-6"/>
          <w:sz w:val="18"/>
        </w:rPr>
        <w:t xml:space="preserve"> </w:t>
      </w:r>
      <w:r>
        <w:rPr>
          <w:sz w:val="18"/>
        </w:rPr>
        <w:t>has</w:t>
      </w:r>
      <w:r>
        <w:rPr>
          <w:spacing w:val="-6"/>
          <w:sz w:val="18"/>
        </w:rPr>
        <w:t xml:space="preserve"> </w:t>
      </w:r>
      <w:r>
        <w:rPr>
          <w:sz w:val="18"/>
        </w:rPr>
        <w:t>been</w:t>
      </w:r>
      <w:r>
        <w:rPr>
          <w:spacing w:val="-4"/>
          <w:sz w:val="18"/>
        </w:rPr>
        <w:t xml:space="preserve"> </w:t>
      </w:r>
      <w:r>
        <w:rPr>
          <w:sz w:val="18"/>
        </w:rPr>
        <w:t>challenging.</w:t>
      </w:r>
      <w:r>
        <w:rPr>
          <w:spacing w:val="-7"/>
          <w:sz w:val="18"/>
        </w:rPr>
        <w:t xml:space="preserve"> </w:t>
      </w:r>
      <w:r>
        <w:rPr>
          <w:sz w:val="18"/>
        </w:rPr>
        <w:t>Limited</w:t>
      </w:r>
      <w:r>
        <w:rPr>
          <w:spacing w:val="-6"/>
          <w:sz w:val="18"/>
        </w:rPr>
        <w:t xml:space="preserve"> </w:t>
      </w:r>
      <w:r>
        <w:rPr>
          <w:sz w:val="18"/>
        </w:rPr>
        <w:t>understanding</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FSD’s</w:t>
      </w:r>
      <w:r>
        <w:rPr>
          <w:spacing w:val="-6"/>
          <w:sz w:val="18"/>
        </w:rPr>
        <w:t xml:space="preserve"> </w:t>
      </w:r>
      <w:r>
        <w:rPr>
          <w:sz w:val="18"/>
        </w:rPr>
        <w:t>role, weak coordination, and insufficient human resource capacity have hindered the forum’s optimal functioning. Nevertheless, in</w:t>
      </w:r>
      <w:r>
        <w:rPr>
          <w:spacing w:val="-2"/>
          <w:sz w:val="18"/>
        </w:rPr>
        <w:t xml:space="preserve"> </w:t>
      </w:r>
      <w:r>
        <w:rPr>
          <w:sz w:val="18"/>
        </w:rPr>
        <w:t>the past</w:t>
      </w:r>
      <w:r>
        <w:rPr>
          <w:spacing w:val="-1"/>
          <w:sz w:val="18"/>
        </w:rPr>
        <w:t xml:space="preserve"> </w:t>
      </w:r>
      <w:r>
        <w:rPr>
          <w:sz w:val="18"/>
        </w:rPr>
        <w:t>two years, significant changes have begun to take shape. Support</w:t>
      </w:r>
      <w:r>
        <w:rPr>
          <w:spacing w:val="-1"/>
          <w:sz w:val="18"/>
        </w:rPr>
        <w:t xml:space="preserve"> </w:t>
      </w:r>
      <w:r>
        <w:rPr>
          <w:sz w:val="18"/>
        </w:rPr>
        <w:t>from the SKALA program in institutional strengthening, intensive technical assistance, and close inter-agency collaboration has provided new momentum for the FSD.</w:t>
      </w:r>
    </w:p>
    <w:p w14:paraId="2C15C5C5" w14:textId="77777777" w:rsidR="00BC24A8" w:rsidRDefault="00000000">
      <w:pPr>
        <w:spacing w:before="219"/>
        <w:ind w:left="395" w:right="795"/>
        <w:jc w:val="both"/>
        <w:rPr>
          <w:sz w:val="18"/>
        </w:rPr>
      </w:pPr>
      <w:r>
        <w:rPr>
          <w:sz w:val="18"/>
        </w:rPr>
        <w:t>The One Data Forum is starting to increase its understanding and responsibility. Data producers are no longer just collecting data, but are beginning to understand the importance of metadata, data quality standards, and data verification processes.</w:t>
      </w:r>
    </w:p>
    <w:p w14:paraId="5A50EE9B" w14:textId="77777777" w:rsidR="00BC24A8" w:rsidRDefault="00000000">
      <w:pPr>
        <w:spacing w:before="219"/>
        <w:ind w:left="395" w:right="794"/>
        <w:jc w:val="both"/>
        <w:rPr>
          <w:sz w:val="18"/>
        </w:rPr>
      </w:pPr>
      <w:r>
        <w:rPr>
          <w:sz w:val="18"/>
        </w:rPr>
        <w:t>Capacity building, such as the metadata training received by the data-producing DPOs, was the first experience that opened</w:t>
      </w:r>
      <w:r>
        <w:rPr>
          <w:spacing w:val="-2"/>
          <w:sz w:val="18"/>
        </w:rPr>
        <w:t xml:space="preserve"> </w:t>
      </w:r>
      <w:r>
        <w:rPr>
          <w:sz w:val="18"/>
        </w:rPr>
        <w:t>their</w:t>
      </w:r>
      <w:r>
        <w:rPr>
          <w:spacing w:val="-1"/>
          <w:sz w:val="18"/>
        </w:rPr>
        <w:t xml:space="preserve"> </w:t>
      </w:r>
      <w:r>
        <w:rPr>
          <w:sz w:val="18"/>
        </w:rPr>
        <w:t>horizons</w:t>
      </w:r>
      <w:r>
        <w:rPr>
          <w:spacing w:val="-3"/>
          <w:sz w:val="18"/>
        </w:rPr>
        <w:t xml:space="preserve"> </w:t>
      </w:r>
      <w:r>
        <w:rPr>
          <w:sz w:val="18"/>
        </w:rPr>
        <w:t>related</w:t>
      </w:r>
      <w:r>
        <w:rPr>
          <w:spacing w:val="-1"/>
          <w:sz w:val="18"/>
        </w:rPr>
        <w:t xml:space="preserve"> </w:t>
      </w:r>
      <w:r>
        <w:rPr>
          <w:sz w:val="18"/>
        </w:rPr>
        <w:t>to</w:t>
      </w:r>
      <w:r>
        <w:rPr>
          <w:spacing w:val="-3"/>
          <w:sz w:val="18"/>
        </w:rPr>
        <w:t xml:space="preserve"> </w:t>
      </w:r>
      <w:r>
        <w:rPr>
          <w:sz w:val="18"/>
        </w:rPr>
        <w:t>data.</w:t>
      </w:r>
      <w:r>
        <w:rPr>
          <w:spacing w:val="-2"/>
          <w:sz w:val="18"/>
        </w:rPr>
        <w:t xml:space="preserve"> </w:t>
      </w:r>
      <w:r>
        <w:rPr>
          <w:sz w:val="18"/>
        </w:rPr>
        <w:t>The</w:t>
      </w:r>
      <w:r>
        <w:rPr>
          <w:spacing w:val="-2"/>
          <w:sz w:val="18"/>
        </w:rPr>
        <w:t xml:space="preserve"> </w:t>
      </w:r>
      <w:r>
        <w:rPr>
          <w:sz w:val="18"/>
        </w:rPr>
        <w:t>enthusiasm</w:t>
      </w:r>
      <w:r>
        <w:rPr>
          <w:spacing w:val="-2"/>
          <w:sz w:val="18"/>
        </w:rPr>
        <w:t xml:space="preserve"> </w:t>
      </w:r>
      <w:r>
        <w:rPr>
          <w:sz w:val="18"/>
        </w:rPr>
        <w:t>of</w:t>
      </w:r>
      <w:r>
        <w:rPr>
          <w:spacing w:val="-2"/>
          <w:sz w:val="18"/>
        </w:rPr>
        <w:t xml:space="preserve"> </w:t>
      </w:r>
      <w:r>
        <w:rPr>
          <w:sz w:val="18"/>
        </w:rPr>
        <w:t>data</w:t>
      </w:r>
      <w:r>
        <w:rPr>
          <w:spacing w:val="-2"/>
          <w:sz w:val="18"/>
        </w:rPr>
        <w:t xml:space="preserve"> </w:t>
      </w:r>
      <w:r>
        <w:rPr>
          <w:sz w:val="18"/>
        </w:rPr>
        <w:t>producers</w:t>
      </w:r>
      <w:r>
        <w:rPr>
          <w:spacing w:val="-2"/>
          <w:sz w:val="18"/>
        </w:rPr>
        <w:t xml:space="preserve"> </w:t>
      </w:r>
      <w:r>
        <w:rPr>
          <w:sz w:val="18"/>
        </w:rPr>
        <w:t>in</w:t>
      </w:r>
      <w:r>
        <w:rPr>
          <w:spacing w:val="-1"/>
          <w:sz w:val="18"/>
        </w:rPr>
        <w:t xml:space="preserve"> </w:t>
      </w:r>
      <w:r>
        <w:rPr>
          <w:sz w:val="18"/>
        </w:rPr>
        <w:t>understanding</w:t>
      </w:r>
      <w:r>
        <w:rPr>
          <w:spacing w:val="-2"/>
          <w:sz w:val="18"/>
        </w:rPr>
        <w:t xml:space="preserve"> </w:t>
      </w:r>
      <w:r>
        <w:rPr>
          <w:sz w:val="18"/>
        </w:rPr>
        <w:t>performance</w:t>
      </w:r>
      <w:r>
        <w:rPr>
          <w:spacing w:val="-2"/>
          <w:sz w:val="18"/>
        </w:rPr>
        <w:t xml:space="preserve"> </w:t>
      </w:r>
      <w:r>
        <w:rPr>
          <w:sz w:val="18"/>
        </w:rPr>
        <w:t>indicators</w:t>
      </w:r>
      <w:r>
        <w:rPr>
          <w:spacing w:val="-2"/>
          <w:sz w:val="18"/>
        </w:rPr>
        <w:t xml:space="preserve"> </w:t>
      </w:r>
      <w:r>
        <w:rPr>
          <w:sz w:val="18"/>
        </w:rPr>
        <w:t>and data</w:t>
      </w:r>
      <w:r>
        <w:rPr>
          <w:spacing w:val="-3"/>
          <w:sz w:val="18"/>
        </w:rPr>
        <w:t xml:space="preserve"> </w:t>
      </w:r>
      <w:r>
        <w:rPr>
          <w:sz w:val="18"/>
        </w:rPr>
        <w:t>standards</w:t>
      </w:r>
      <w:r>
        <w:rPr>
          <w:spacing w:val="-2"/>
          <w:sz w:val="18"/>
        </w:rPr>
        <w:t xml:space="preserve"> </w:t>
      </w:r>
      <w:r>
        <w:rPr>
          <w:sz w:val="18"/>
        </w:rPr>
        <w:t>is</w:t>
      </w:r>
      <w:r>
        <w:rPr>
          <w:spacing w:val="-2"/>
          <w:sz w:val="18"/>
        </w:rPr>
        <w:t xml:space="preserve"> </w:t>
      </w:r>
      <w:r>
        <w:rPr>
          <w:sz w:val="18"/>
        </w:rPr>
        <w:t>increasing.</w:t>
      </w:r>
      <w:r>
        <w:rPr>
          <w:spacing w:val="-3"/>
          <w:sz w:val="18"/>
        </w:rPr>
        <w:t xml:space="preserve"> </w:t>
      </w:r>
      <w:r>
        <w:rPr>
          <w:sz w:val="18"/>
        </w:rPr>
        <w:t>Now,</w:t>
      </w:r>
      <w:r>
        <w:rPr>
          <w:spacing w:val="-3"/>
          <w:sz w:val="18"/>
        </w:rPr>
        <w:t xml:space="preserve"> </w:t>
      </w:r>
      <w:r>
        <w:rPr>
          <w:sz w:val="18"/>
        </w:rPr>
        <w:t>they</w:t>
      </w:r>
      <w:r>
        <w:rPr>
          <w:spacing w:val="-2"/>
          <w:sz w:val="18"/>
        </w:rPr>
        <w:t xml:space="preserve"> </w:t>
      </w:r>
      <w:r>
        <w:rPr>
          <w:sz w:val="18"/>
        </w:rPr>
        <w:t>are</w:t>
      </w:r>
      <w:r>
        <w:rPr>
          <w:spacing w:val="-2"/>
          <w:sz w:val="18"/>
        </w:rPr>
        <w:t xml:space="preserve"> </w:t>
      </w:r>
      <w:r>
        <w:rPr>
          <w:sz w:val="18"/>
        </w:rPr>
        <w:t>more</w:t>
      </w:r>
      <w:r>
        <w:rPr>
          <w:spacing w:val="-2"/>
          <w:sz w:val="18"/>
        </w:rPr>
        <w:t xml:space="preserve"> </w:t>
      </w:r>
      <w:r>
        <w:rPr>
          <w:sz w:val="18"/>
        </w:rPr>
        <w:t>active in</w:t>
      </w:r>
      <w:r>
        <w:rPr>
          <w:spacing w:val="-2"/>
          <w:sz w:val="18"/>
        </w:rPr>
        <w:t xml:space="preserve"> </w:t>
      </w:r>
      <w:r>
        <w:rPr>
          <w:sz w:val="18"/>
        </w:rPr>
        <w:t>participating</w:t>
      </w:r>
      <w:r>
        <w:rPr>
          <w:spacing w:val="-2"/>
          <w:sz w:val="18"/>
        </w:rPr>
        <w:t xml:space="preserve"> </w:t>
      </w:r>
      <w:r>
        <w:rPr>
          <w:sz w:val="18"/>
        </w:rPr>
        <w:t>in</w:t>
      </w:r>
      <w:r>
        <w:rPr>
          <w:spacing w:val="-2"/>
          <w:sz w:val="18"/>
        </w:rPr>
        <w:t xml:space="preserve"> </w:t>
      </w:r>
      <w:r>
        <w:rPr>
          <w:sz w:val="18"/>
        </w:rPr>
        <w:t>coaching</w:t>
      </w:r>
      <w:r>
        <w:rPr>
          <w:spacing w:val="-2"/>
          <w:sz w:val="18"/>
        </w:rPr>
        <w:t xml:space="preserve"> </w:t>
      </w:r>
      <w:r>
        <w:rPr>
          <w:sz w:val="18"/>
        </w:rPr>
        <w:t>clinics</w:t>
      </w:r>
      <w:r>
        <w:rPr>
          <w:spacing w:val="-2"/>
          <w:sz w:val="18"/>
        </w:rPr>
        <w:t xml:space="preserve"> </w:t>
      </w:r>
      <w:r>
        <w:rPr>
          <w:sz w:val="18"/>
        </w:rPr>
        <w:t>and</w:t>
      </w:r>
      <w:r>
        <w:rPr>
          <w:spacing w:val="-2"/>
          <w:sz w:val="18"/>
        </w:rPr>
        <w:t xml:space="preserve"> </w:t>
      </w:r>
      <w:r>
        <w:rPr>
          <w:sz w:val="18"/>
        </w:rPr>
        <w:t>technical</w:t>
      </w:r>
      <w:r>
        <w:rPr>
          <w:spacing w:val="-1"/>
          <w:sz w:val="18"/>
        </w:rPr>
        <w:t xml:space="preserve"> </w:t>
      </w:r>
      <w:r>
        <w:rPr>
          <w:sz w:val="18"/>
        </w:rPr>
        <w:t>forums,</w:t>
      </w:r>
      <w:r>
        <w:rPr>
          <w:spacing w:val="-3"/>
          <w:sz w:val="18"/>
        </w:rPr>
        <w:t xml:space="preserve"> </w:t>
      </w:r>
      <w:r>
        <w:rPr>
          <w:sz w:val="18"/>
        </w:rPr>
        <w:t>even</w:t>
      </w:r>
      <w:r>
        <w:rPr>
          <w:spacing w:val="-2"/>
          <w:sz w:val="18"/>
        </w:rPr>
        <w:t xml:space="preserve"> </w:t>
      </w:r>
      <w:r>
        <w:rPr>
          <w:sz w:val="18"/>
        </w:rPr>
        <w:t>if they have to be picked up or visited in person.</w:t>
      </w:r>
    </w:p>
    <w:p w14:paraId="6DDE9A8E" w14:textId="77777777" w:rsidR="00BC24A8" w:rsidRDefault="00BC24A8">
      <w:pPr>
        <w:pStyle w:val="BodyText"/>
        <w:rPr>
          <w:sz w:val="18"/>
        </w:rPr>
      </w:pPr>
    </w:p>
    <w:p w14:paraId="0FDC2928" w14:textId="77777777" w:rsidR="00BC24A8" w:rsidRDefault="00BC24A8">
      <w:pPr>
        <w:pStyle w:val="BodyText"/>
        <w:rPr>
          <w:sz w:val="18"/>
        </w:rPr>
      </w:pPr>
    </w:p>
    <w:p w14:paraId="0C23A8D8" w14:textId="77777777" w:rsidR="00BC24A8" w:rsidRDefault="00BC24A8">
      <w:pPr>
        <w:pStyle w:val="BodyText"/>
        <w:spacing w:before="20"/>
        <w:rPr>
          <w:sz w:val="18"/>
        </w:rPr>
      </w:pPr>
    </w:p>
    <w:p w14:paraId="4F111A9E" w14:textId="77777777" w:rsidR="00BC24A8" w:rsidRDefault="00000000">
      <w:pPr>
        <w:spacing w:before="1" w:line="290" w:lineRule="auto"/>
        <w:ind w:left="721" w:right="1116"/>
        <w:rPr>
          <w:rFonts w:ascii="Times New Roman" w:hAnsi="Times New Roman"/>
          <w:b/>
          <w:i/>
          <w:sz w:val="18"/>
        </w:rPr>
      </w:pPr>
      <w:r>
        <w:rPr>
          <w:rFonts w:ascii="Times New Roman" w:hAnsi="Times New Roman"/>
          <w:b/>
          <w:i/>
          <w:color w:val="17365A"/>
          <w:sz w:val="18"/>
        </w:rPr>
        <w:t>In</w:t>
      </w:r>
      <w:r>
        <w:rPr>
          <w:rFonts w:ascii="Times New Roman" w:hAnsi="Times New Roman"/>
          <w:b/>
          <w:i/>
          <w:color w:val="17365A"/>
          <w:spacing w:val="-8"/>
          <w:sz w:val="18"/>
        </w:rPr>
        <w:t xml:space="preserve"> </w:t>
      </w:r>
      <w:r>
        <w:rPr>
          <w:rFonts w:ascii="Times New Roman" w:hAnsi="Times New Roman"/>
          <w:b/>
          <w:i/>
          <w:color w:val="17365A"/>
          <w:sz w:val="18"/>
        </w:rPr>
        <w:t>the</w:t>
      </w:r>
      <w:r>
        <w:rPr>
          <w:rFonts w:ascii="Times New Roman" w:hAnsi="Times New Roman"/>
          <w:b/>
          <w:i/>
          <w:color w:val="17365A"/>
          <w:spacing w:val="-8"/>
          <w:sz w:val="18"/>
        </w:rPr>
        <w:t xml:space="preserve"> </w:t>
      </w:r>
      <w:r>
        <w:rPr>
          <w:rFonts w:ascii="Times New Roman" w:hAnsi="Times New Roman"/>
          <w:b/>
          <w:i/>
          <w:color w:val="17365A"/>
          <w:sz w:val="18"/>
        </w:rPr>
        <w:t>past,</w:t>
      </w:r>
      <w:r>
        <w:rPr>
          <w:rFonts w:ascii="Times New Roman" w:hAnsi="Times New Roman"/>
          <w:b/>
          <w:i/>
          <w:color w:val="17365A"/>
          <w:spacing w:val="-6"/>
          <w:sz w:val="18"/>
        </w:rPr>
        <w:t xml:space="preserve"> </w:t>
      </w:r>
      <w:r>
        <w:rPr>
          <w:rFonts w:ascii="Times New Roman" w:hAnsi="Times New Roman"/>
          <w:b/>
          <w:i/>
          <w:color w:val="17365A"/>
          <w:sz w:val="18"/>
        </w:rPr>
        <w:t>when</w:t>
      </w:r>
      <w:r>
        <w:rPr>
          <w:rFonts w:ascii="Times New Roman" w:hAnsi="Times New Roman"/>
          <w:b/>
          <w:i/>
          <w:color w:val="17365A"/>
          <w:spacing w:val="-5"/>
          <w:sz w:val="18"/>
        </w:rPr>
        <w:t xml:space="preserve"> </w:t>
      </w:r>
      <w:r>
        <w:rPr>
          <w:rFonts w:ascii="Times New Roman" w:hAnsi="Times New Roman"/>
          <w:b/>
          <w:i/>
          <w:color w:val="17365A"/>
          <w:sz w:val="18"/>
        </w:rPr>
        <w:t>we</w:t>
      </w:r>
      <w:r>
        <w:rPr>
          <w:rFonts w:ascii="Times New Roman" w:hAnsi="Times New Roman"/>
          <w:b/>
          <w:i/>
          <w:color w:val="17365A"/>
          <w:spacing w:val="-8"/>
          <w:sz w:val="18"/>
        </w:rPr>
        <w:t xml:space="preserve"> </w:t>
      </w:r>
      <w:r>
        <w:rPr>
          <w:rFonts w:ascii="Times New Roman" w:hAnsi="Times New Roman"/>
          <w:b/>
          <w:i/>
          <w:color w:val="17365A"/>
          <w:sz w:val="18"/>
        </w:rPr>
        <w:t>requested</w:t>
      </w:r>
      <w:r>
        <w:rPr>
          <w:rFonts w:ascii="Times New Roman" w:hAnsi="Times New Roman"/>
          <w:b/>
          <w:i/>
          <w:color w:val="17365A"/>
          <w:spacing w:val="-5"/>
          <w:sz w:val="18"/>
        </w:rPr>
        <w:t xml:space="preserve"> </w:t>
      </w:r>
      <w:r>
        <w:rPr>
          <w:rFonts w:ascii="Times New Roman" w:hAnsi="Times New Roman"/>
          <w:b/>
          <w:i/>
          <w:color w:val="17365A"/>
          <w:sz w:val="18"/>
        </w:rPr>
        <w:t>data,</w:t>
      </w:r>
      <w:r>
        <w:rPr>
          <w:rFonts w:ascii="Times New Roman" w:hAnsi="Times New Roman"/>
          <w:b/>
          <w:i/>
          <w:color w:val="17365A"/>
          <w:spacing w:val="-6"/>
          <w:sz w:val="18"/>
        </w:rPr>
        <w:t xml:space="preserve"> </w:t>
      </w:r>
      <w:r>
        <w:rPr>
          <w:rFonts w:ascii="Times New Roman" w:hAnsi="Times New Roman"/>
          <w:b/>
          <w:i/>
          <w:color w:val="17365A"/>
          <w:sz w:val="18"/>
        </w:rPr>
        <w:t>the</w:t>
      </w:r>
      <w:r>
        <w:rPr>
          <w:rFonts w:ascii="Times New Roman" w:hAnsi="Times New Roman"/>
          <w:b/>
          <w:i/>
          <w:color w:val="17365A"/>
          <w:spacing w:val="-8"/>
          <w:sz w:val="18"/>
        </w:rPr>
        <w:t xml:space="preserve"> </w:t>
      </w:r>
      <w:r>
        <w:rPr>
          <w:rFonts w:ascii="Times New Roman" w:hAnsi="Times New Roman"/>
          <w:b/>
          <w:i/>
          <w:color w:val="17365A"/>
          <w:sz w:val="18"/>
        </w:rPr>
        <w:t>information</w:t>
      </w:r>
      <w:r>
        <w:rPr>
          <w:rFonts w:ascii="Times New Roman" w:hAnsi="Times New Roman"/>
          <w:b/>
          <w:i/>
          <w:color w:val="17365A"/>
          <w:spacing w:val="-8"/>
          <w:sz w:val="18"/>
        </w:rPr>
        <w:t xml:space="preserve"> </w:t>
      </w:r>
      <w:r>
        <w:rPr>
          <w:rFonts w:ascii="Times New Roman" w:hAnsi="Times New Roman"/>
          <w:b/>
          <w:i/>
          <w:color w:val="17365A"/>
          <w:sz w:val="18"/>
        </w:rPr>
        <w:t>oen</w:t>
      </w:r>
      <w:r>
        <w:rPr>
          <w:rFonts w:ascii="Times New Roman" w:hAnsi="Times New Roman"/>
          <w:b/>
          <w:i/>
          <w:color w:val="17365A"/>
          <w:spacing w:val="-5"/>
          <w:sz w:val="18"/>
        </w:rPr>
        <w:t xml:space="preserve"> </w:t>
      </w:r>
      <w:r>
        <w:rPr>
          <w:rFonts w:ascii="Times New Roman" w:hAnsi="Times New Roman"/>
          <w:b/>
          <w:i/>
          <w:color w:val="17365A"/>
          <w:sz w:val="18"/>
        </w:rPr>
        <w:t>changed.</w:t>
      </w:r>
      <w:r>
        <w:rPr>
          <w:rFonts w:ascii="Times New Roman" w:hAnsi="Times New Roman"/>
          <w:b/>
          <w:i/>
          <w:color w:val="17365A"/>
          <w:spacing w:val="-6"/>
          <w:sz w:val="18"/>
        </w:rPr>
        <w:t xml:space="preserve"> </w:t>
      </w:r>
      <w:r>
        <w:rPr>
          <w:rFonts w:ascii="Times New Roman" w:hAnsi="Times New Roman"/>
          <w:b/>
          <w:i/>
          <w:color w:val="17365A"/>
          <w:sz w:val="18"/>
        </w:rPr>
        <w:t>Now</w:t>
      </w:r>
      <w:r>
        <w:rPr>
          <w:rFonts w:ascii="Times New Roman" w:hAnsi="Times New Roman"/>
          <w:b/>
          <w:i/>
          <w:color w:val="17365A"/>
          <w:spacing w:val="-7"/>
          <w:sz w:val="18"/>
        </w:rPr>
        <w:t xml:space="preserve"> </w:t>
      </w:r>
      <w:r>
        <w:rPr>
          <w:rFonts w:ascii="Times New Roman" w:hAnsi="Times New Roman"/>
          <w:b/>
          <w:i/>
          <w:color w:val="17365A"/>
          <w:sz w:val="18"/>
        </w:rPr>
        <w:t>it</w:t>
      </w:r>
      <w:r>
        <w:rPr>
          <w:rFonts w:ascii="Times New Roman" w:hAnsi="Times New Roman"/>
          <w:b/>
          <w:i/>
          <w:color w:val="17365A"/>
          <w:spacing w:val="-7"/>
          <w:sz w:val="18"/>
        </w:rPr>
        <w:t xml:space="preserve"> </w:t>
      </w:r>
      <w:r>
        <w:rPr>
          <w:rFonts w:ascii="Times New Roman" w:hAnsi="Times New Roman"/>
          <w:b/>
          <w:i/>
          <w:color w:val="17365A"/>
          <w:sz w:val="18"/>
        </w:rPr>
        <w:t>is</w:t>
      </w:r>
      <w:r>
        <w:rPr>
          <w:rFonts w:ascii="Times New Roman" w:hAnsi="Times New Roman"/>
          <w:b/>
          <w:i/>
          <w:color w:val="17365A"/>
          <w:spacing w:val="-6"/>
          <w:sz w:val="18"/>
        </w:rPr>
        <w:t xml:space="preserve"> </w:t>
      </w:r>
      <w:r>
        <w:rPr>
          <w:rFonts w:ascii="Times New Roman" w:hAnsi="Times New Roman"/>
          <w:b/>
          <w:i/>
          <w:color w:val="17365A"/>
          <w:sz w:val="18"/>
        </w:rPr>
        <w:t>more</w:t>
      </w:r>
      <w:r>
        <w:rPr>
          <w:rFonts w:ascii="Times New Roman" w:hAnsi="Times New Roman"/>
          <w:b/>
          <w:i/>
          <w:color w:val="17365A"/>
          <w:spacing w:val="-8"/>
          <w:sz w:val="18"/>
        </w:rPr>
        <w:t xml:space="preserve"> </w:t>
      </w:r>
      <w:r>
        <w:rPr>
          <w:rFonts w:ascii="Times New Roman" w:hAnsi="Times New Roman"/>
          <w:b/>
          <w:i/>
          <w:color w:val="17365A"/>
          <w:sz w:val="18"/>
        </w:rPr>
        <w:t>orderly</w:t>
      </w:r>
      <w:r>
        <w:rPr>
          <w:rFonts w:ascii="Times New Roman" w:hAnsi="Times New Roman"/>
          <w:b/>
          <w:i/>
          <w:color w:val="17365A"/>
          <w:spacing w:val="-5"/>
          <w:sz w:val="18"/>
        </w:rPr>
        <w:t xml:space="preserve"> </w:t>
      </w:r>
      <w:r>
        <w:rPr>
          <w:rFonts w:ascii="Times New Roman" w:hAnsi="Times New Roman"/>
          <w:b/>
          <w:i/>
          <w:color w:val="17365A"/>
          <w:sz w:val="18"/>
        </w:rPr>
        <w:t xml:space="preserve">because </w:t>
      </w:r>
      <w:r>
        <w:rPr>
          <w:rFonts w:ascii="Times New Roman" w:hAnsi="Times New Roman"/>
          <w:b/>
          <w:i/>
          <w:color w:val="17365A"/>
          <w:spacing w:val="-2"/>
          <w:sz w:val="18"/>
        </w:rPr>
        <w:t>processes</w:t>
      </w:r>
      <w:r>
        <w:rPr>
          <w:rFonts w:ascii="Times New Roman" w:hAnsi="Times New Roman"/>
          <w:b/>
          <w:i/>
          <w:color w:val="17365A"/>
          <w:spacing w:val="-4"/>
          <w:sz w:val="18"/>
        </w:rPr>
        <w:t xml:space="preserve"> </w:t>
      </w:r>
      <w:r>
        <w:rPr>
          <w:rFonts w:ascii="Times New Roman" w:hAnsi="Times New Roman"/>
          <w:b/>
          <w:i/>
          <w:color w:val="17365A"/>
          <w:spacing w:val="-2"/>
          <w:sz w:val="18"/>
        </w:rPr>
        <w:t>and</w:t>
      </w:r>
      <w:r>
        <w:rPr>
          <w:rFonts w:ascii="Times New Roman" w:hAnsi="Times New Roman"/>
          <w:b/>
          <w:i/>
          <w:color w:val="17365A"/>
          <w:spacing w:val="-6"/>
          <w:sz w:val="18"/>
        </w:rPr>
        <w:t xml:space="preserve"> </w:t>
      </w:r>
      <w:r>
        <w:rPr>
          <w:rFonts w:ascii="Times New Roman" w:hAnsi="Times New Roman"/>
          <w:b/>
          <w:i/>
          <w:color w:val="17365A"/>
          <w:spacing w:val="-2"/>
          <w:sz w:val="18"/>
        </w:rPr>
        <w:t>understanding</w:t>
      </w:r>
      <w:r>
        <w:rPr>
          <w:rFonts w:ascii="Times New Roman" w:hAnsi="Times New Roman"/>
          <w:b/>
          <w:i/>
          <w:color w:val="17365A"/>
          <w:spacing w:val="-4"/>
          <w:sz w:val="18"/>
        </w:rPr>
        <w:t xml:space="preserve"> </w:t>
      </w:r>
      <w:r>
        <w:rPr>
          <w:rFonts w:ascii="Times New Roman" w:hAnsi="Times New Roman"/>
          <w:b/>
          <w:i/>
          <w:color w:val="17365A"/>
          <w:spacing w:val="-2"/>
          <w:sz w:val="18"/>
        </w:rPr>
        <w:t>are</w:t>
      </w:r>
      <w:r>
        <w:rPr>
          <w:rFonts w:ascii="Times New Roman" w:hAnsi="Times New Roman"/>
          <w:b/>
          <w:i/>
          <w:color w:val="17365A"/>
          <w:spacing w:val="-6"/>
          <w:sz w:val="18"/>
        </w:rPr>
        <w:t xml:space="preserve"> </w:t>
      </w:r>
      <w:r>
        <w:rPr>
          <w:rFonts w:ascii="Times New Roman" w:hAnsi="Times New Roman"/>
          <w:b/>
          <w:i/>
          <w:color w:val="17365A"/>
          <w:spacing w:val="-2"/>
          <w:sz w:val="18"/>
        </w:rPr>
        <w:t>in</w:t>
      </w:r>
      <w:r>
        <w:rPr>
          <w:rFonts w:ascii="Times New Roman" w:hAnsi="Times New Roman"/>
          <w:b/>
          <w:i/>
          <w:color w:val="17365A"/>
          <w:spacing w:val="-6"/>
          <w:sz w:val="18"/>
        </w:rPr>
        <w:t xml:space="preserve"> </w:t>
      </w:r>
      <w:r>
        <w:rPr>
          <w:rFonts w:ascii="Times New Roman" w:hAnsi="Times New Roman"/>
          <w:b/>
          <w:i/>
          <w:color w:val="17365A"/>
          <w:spacing w:val="-2"/>
          <w:sz w:val="18"/>
        </w:rPr>
        <w:t>place.</w:t>
      </w:r>
      <w:r>
        <w:rPr>
          <w:rFonts w:ascii="Times New Roman" w:hAnsi="Times New Roman"/>
          <w:b/>
          <w:i/>
          <w:color w:val="17365A"/>
          <w:spacing w:val="-4"/>
          <w:sz w:val="18"/>
        </w:rPr>
        <w:t xml:space="preserve"> </w:t>
      </w:r>
      <w:r>
        <w:rPr>
          <w:rFonts w:ascii="Times New Roman" w:hAnsi="Times New Roman"/>
          <w:b/>
          <w:i/>
          <w:color w:val="17365A"/>
          <w:spacing w:val="-2"/>
          <w:sz w:val="18"/>
        </w:rPr>
        <w:t>Each</w:t>
      </w:r>
      <w:r>
        <w:rPr>
          <w:rFonts w:ascii="Times New Roman" w:hAnsi="Times New Roman"/>
          <w:b/>
          <w:i/>
          <w:color w:val="17365A"/>
          <w:spacing w:val="-5"/>
          <w:sz w:val="18"/>
        </w:rPr>
        <w:t xml:space="preserve"> </w:t>
      </w:r>
      <w:r>
        <w:rPr>
          <w:rFonts w:ascii="Times New Roman" w:hAnsi="Times New Roman"/>
          <w:b/>
          <w:i/>
          <w:color w:val="17365A"/>
          <w:spacing w:val="-2"/>
          <w:sz w:val="18"/>
        </w:rPr>
        <w:t>person</w:t>
      </w:r>
      <w:r>
        <w:rPr>
          <w:rFonts w:ascii="Times New Roman" w:hAnsi="Times New Roman"/>
          <w:b/>
          <w:i/>
          <w:color w:val="17365A"/>
          <w:spacing w:val="-6"/>
          <w:sz w:val="18"/>
        </w:rPr>
        <w:t xml:space="preserve"> </w:t>
      </w:r>
      <w:r>
        <w:rPr>
          <w:rFonts w:ascii="Times New Roman" w:hAnsi="Times New Roman"/>
          <w:b/>
          <w:i/>
          <w:color w:val="17365A"/>
          <w:spacing w:val="-2"/>
          <w:sz w:val="18"/>
        </w:rPr>
        <w:t>has</w:t>
      </w:r>
      <w:r>
        <w:rPr>
          <w:rFonts w:ascii="Times New Roman" w:hAnsi="Times New Roman"/>
          <w:b/>
          <w:i/>
          <w:color w:val="17365A"/>
          <w:spacing w:val="-4"/>
          <w:sz w:val="18"/>
        </w:rPr>
        <w:t xml:space="preserve"> </w:t>
      </w:r>
      <w:r>
        <w:rPr>
          <w:rFonts w:ascii="Times New Roman" w:hAnsi="Times New Roman"/>
          <w:b/>
          <w:i/>
          <w:color w:val="17365A"/>
          <w:spacing w:val="-2"/>
          <w:sz w:val="18"/>
        </w:rPr>
        <w:t>begun</w:t>
      </w:r>
      <w:r>
        <w:rPr>
          <w:rFonts w:ascii="Times New Roman" w:hAnsi="Times New Roman"/>
          <w:b/>
          <w:i/>
          <w:color w:val="17365A"/>
          <w:spacing w:val="-6"/>
          <w:sz w:val="18"/>
        </w:rPr>
        <w:t xml:space="preserve"> </w:t>
      </w:r>
      <w:r>
        <w:rPr>
          <w:rFonts w:ascii="Times New Roman" w:hAnsi="Times New Roman"/>
          <w:b/>
          <w:i/>
          <w:color w:val="17365A"/>
          <w:spacing w:val="-2"/>
          <w:sz w:val="18"/>
        </w:rPr>
        <w:t>to</w:t>
      </w:r>
      <w:r>
        <w:rPr>
          <w:rFonts w:ascii="Times New Roman" w:hAnsi="Times New Roman"/>
          <w:b/>
          <w:i/>
          <w:color w:val="17365A"/>
          <w:spacing w:val="-5"/>
          <w:sz w:val="18"/>
        </w:rPr>
        <w:t xml:space="preserve"> </w:t>
      </w:r>
      <w:r>
        <w:rPr>
          <w:rFonts w:ascii="Times New Roman" w:hAnsi="Times New Roman"/>
          <w:b/>
          <w:i/>
          <w:color w:val="17365A"/>
          <w:spacing w:val="-2"/>
          <w:sz w:val="18"/>
        </w:rPr>
        <w:t>understand,</w:t>
      </w:r>
      <w:r>
        <w:rPr>
          <w:rFonts w:ascii="Times New Roman" w:hAnsi="Times New Roman"/>
          <w:b/>
          <w:i/>
          <w:color w:val="17365A"/>
          <w:spacing w:val="-4"/>
          <w:sz w:val="18"/>
        </w:rPr>
        <w:t xml:space="preserve"> </w:t>
      </w:r>
      <w:r>
        <w:rPr>
          <w:rFonts w:ascii="Times New Roman" w:hAnsi="Times New Roman"/>
          <w:b/>
          <w:i/>
          <w:color w:val="17365A"/>
          <w:spacing w:val="-2"/>
          <w:sz w:val="18"/>
        </w:rPr>
        <w:t>‘Oh,</w:t>
      </w:r>
      <w:r>
        <w:rPr>
          <w:rFonts w:ascii="Times New Roman" w:hAnsi="Times New Roman"/>
          <w:b/>
          <w:i/>
          <w:color w:val="17365A"/>
          <w:spacing w:val="-4"/>
          <w:sz w:val="18"/>
        </w:rPr>
        <w:t xml:space="preserve"> </w:t>
      </w:r>
      <w:r>
        <w:rPr>
          <w:rFonts w:ascii="Times New Roman" w:hAnsi="Times New Roman"/>
          <w:b/>
          <w:i/>
          <w:color w:val="17365A"/>
          <w:spacing w:val="-2"/>
          <w:sz w:val="18"/>
        </w:rPr>
        <w:t>this</w:t>
      </w:r>
      <w:r>
        <w:rPr>
          <w:rFonts w:ascii="Times New Roman" w:hAnsi="Times New Roman"/>
          <w:b/>
          <w:i/>
          <w:color w:val="17365A"/>
          <w:spacing w:val="-4"/>
          <w:sz w:val="18"/>
        </w:rPr>
        <w:t xml:space="preserve"> </w:t>
      </w:r>
      <w:r>
        <w:rPr>
          <w:rFonts w:ascii="Times New Roman" w:hAnsi="Times New Roman"/>
          <w:b/>
          <w:i/>
          <w:color w:val="17365A"/>
          <w:spacing w:val="-2"/>
          <w:sz w:val="18"/>
        </w:rPr>
        <w:t>is</w:t>
      </w:r>
      <w:r>
        <w:rPr>
          <w:rFonts w:ascii="Times New Roman" w:hAnsi="Times New Roman"/>
          <w:b/>
          <w:i/>
          <w:color w:val="17365A"/>
          <w:spacing w:val="-4"/>
          <w:sz w:val="18"/>
        </w:rPr>
        <w:t xml:space="preserve"> </w:t>
      </w:r>
      <w:r>
        <w:rPr>
          <w:rFonts w:ascii="Times New Roman" w:hAnsi="Times New Roman"/>
          <w:b/>
          <w:i/>
          <w:color w:val="17365A"/>
          <w:spacing w:val="-2"/>
          <w:sz w:val="18"/>
        </w:rPr>
        <w:t>what</w:t>
      </w:r>
      <w:r>
        <w:rPr>
          <w:rFonts w:ascii="Times New Roman" w:hAnsi="Times New Roman"/>
          <w:b/>
          <w:i/>
          <w:color w:val="17365A"/>
          <w:spacing w:val="-5"/>
          <w:sz w:val="18"/>
        </w:rPr>
        <w:t xml:space="preserve"> </w:t>
      </w:r>
      <w:r>
        <w:rPr>
          <w:rFonts w:ascii="Times New Roman" w:hAnsi="Times New Roman"/>
          <w:b/>
          <w:i/>
          <w:color w:val="17365A"/>
          <w:spacing w:val="-2"/>
          <w:sz w:val="18"/>
        </w:rPr>
        <w:t>we</w:t>
      </w:r>
      <w:r>
        <w:rPr>
          <w:rFonts w:ascii="Times New Roman" w:hAnsi="Times New Roman"/>
          <w:b/>
          <w:i/>
          <w:color w:val="17365A"/>
          <w:spacing w:val="-6"/>
          <w:sz w:val="18"/>
        </w:rPr>
        <w:t xml:space="preserve"> </w:t>
      </w:r>
      <w:r>
        <w:rPr>
          <w:rFonts w:ascii="Times New Roman" w:hAnsi="Times New Roman"/>
          <w:b/>
          <w:i/>
          <w:color w:val="17365A"/>
          <w:spacing w:val="-2"/>
          <w:sz w:val="18"/>
        </w:rPr>
        <w:t>need</w:t>
      </w:r>
      <w:r>
        <w:rPr>
          <w:rFonts w:ascii="Times New Roman" w:hAnsi="Times New Roman"/>
          <w:b/>
          <w:i/>
          <w:color w:val="17365A"/>
          <w:spacing w:val="-3"/>
          <w:sz w:val="18"/>
        </w:rPr>
        <w:t xml:space="preserve"> </w:t>
      </w:r>
      <w:r>
        <w:rPr>
          <w:rFonts w:ascii="Times New Roman" w:hAnsi="Times New Roman"/>
          <w:b/>
          <w:i/>
          <w:color w:val="17365A"/>
          <w:spacing w:val="-2"/>
          <w:sz w:val="18"/>
        </w:rPr>
        <w:t xml:space="preserve">to </w:t>
      </w:r>
      <w:r>
        <w:rPr>
          <w:rFonts w:ascii="Times New Roman" w:hAnsi="Times New Roman"/>
          <w:b/>
          <w:i/>
          <w:color w:val="17365A"/>
          <w:sz w:val="18"/>
        </w:rPr>
        <w:t>do, this is how it should be done.</w:t>
      </w:r>
    </w:p>
    <w:p w14:paraId="5E37096C" w14:textId="77777777" w:rsidR="00BC24A8" w:rsidRDefault="00000000">
      <w:pPr>
        <w:spacing w:line="204" w:lineRule="exact"/>
        <w:ind w:left="721"/>
        <w:rPr>
          <w:i/>
          <w:sz w:val="18"/>
        </w:rPr>
      </w:pPr>
      <w:r>
        <w:rPr>
          <w:i/>
          <w:color w:val="17365A"/>
          <w:sz w:val="18"/>
        </w:rPr>
        <w:t>(Head</w:t>
      </w:r>
      <w:r>
        <w:rPr>
          <w:i/>
          <w:color w:val="17365A"/>
          <w:spacing w:val="-4"/>
          <w:sz w:val="18"/>
        </w:rPr>
        <w:t xml:space="preserve"> </w:t>
      </w:r>
      <w:r>
        <w:rPr>
          <w:i/>
          <w:color w:val="17365A"/>
          <w:sz w:val="18"/>
        </w:rPr>
        <w:t>of</w:t>
      </w:r>
      <w:r>
        <w:rPr>
          <w:i/>
          <w:color w:val="17365A"/>
          <w:spacing w:val="-3"/>
          <w:sz w:val="18"/>
        </w:rPr>
        <w:t xml:space="preserve"> </w:t>
      </w:r>
      <w:r>
        <w:rPr>
          <w:i/>
          <w:color w:val="17365A"/>
          <w:sz w:val="18"/>
        </w:rPr>
        <w:t>Statistics</w:t>
      </w:r>
      <w:r>
        <w:rPr>
          <w:i/>
          <w:color w:val="17365A"/>
          <w:spacing w:val="-4"/>
          <w:sz w:val="18"/>
        </w:rPr>
        <w:t xml:space="preserve"> </w:t>
      </w:r>
      <w:r>
        <w:rPr>
          <w:i/>
          <w:color w:val="17365A"/>
          <w:sz w:val="18"/>
        </w:rPr>
        <w:t>Indonesia/BPS</w:t>
      </w:r>
      <w:r>
        <w:rPr>
          <w:i/>
          <w:color w:val="17365A"/>
          <w:spacing w:val="-3"/>
          <w:sz w:val="18"/>
        </w:rPr>
        <w:t xml:space="preserve"> </w:t>
      </w:r>
      <w:r>
        <w:rPr>
          <w:i/>
          <w:color w:val="17365A"/>
          <w:sz w:val="18"/>
        </w:rPr>
        <w:t>NTT</w:t>
      </w:r>
      <w:r>
        <w:rPr>
          <w:i/>
          <w:color w:val="17365A"/>
          <w:spacing w:val="-5"/>
          <w:sz w:val="18"/>
        </w:rPr>
        <w:t xml:space="preserve"> </w:t>
      </w:r>
      <w:r>
        <w:rPr>
          <w:i/>
          <w:color w:val="17365A"/>
          <w:sz w:val="18"/>
        </w:rPr>
        <w:t>Province,</w:t>
      </w:r>
      <w:r>
        <w:rPr>
          <w:i/>
          <w:color w:val="17365A"/>
          <w:spacing w:val="-3"/>
          <w:sz w:val="18"/>
        </w:rPr>
        <w:t xml:space="preserve"> </w:t>
      </w:r>
      <w:r>
        <w:rPr>
          <w:i/>
          <w:color w:val="17365A"/>
          <w:sz w:val="18"/>
        </w:rPr>
        <w:t>May</w:t>
      </w:r>
      <w:r>
        <w:rPr>
          <w:i/>
          <w:color w:val="17365A"/>
          <w:spacing w:val="-3"/>
          <w:sz w:val="18"/>
        </w:rPr>
        <w:t xml:space="preserve"> </w:t>
      </w:r>
      <w:r>
        <w:rPr>
          <w:i/>
          <w:color w:val="17365A"/>
          <w:spacing w:val="-2"/>
          <w:sz w:val="18"/>
        </w:rPr>
        <w:t>2025)</w:t>
      </w:r>
    </w:p>
    <w:p w14:paraId="00714EE7" w14:textId="77777777" w:rsidR="00BC24A8" w:rsidRDefault="00BC24A8">
      <w:pPr>
        <w:pStyle w:val="BodyText"/>
        <w:rPr>
          <w:i/>
          <w:sz w:val="18"/>
        </w:rPr>
      </w:pPr>
    </w:p>
    <w:p w14:paraId="15EC9F28" w14:textId="77777777" w:rsidR="00BC24A8" w:rsidRDefault="00BC24A8">
      <w:pPr>
        <w:pStyle w:val="BodyText"/>
        <w:rPr>
          <w:i/>
          <w:sz w:val="18"/>
        </w:rPr>
      </w:pPr>
    </w:p>
    <w:p w14:paraId="31A26D97" w14:textId="77777777" w:rsidR="00BC24A8" w:rsidRDefault="00BC24A8">
      <w:pPr>
        <w:pStyle w:val="BodyText"/>
        <w:spacing w:before="33"/>
        <w:rPr>
          <w:i/>
          <w:sz w:val="18"/>
        </w:rPr>
      </w:pPr>
    </w:p>
    <w:p w14:paraId="3F5317B4" w14:textId="77777777" w:rsidR="00BC24A8" w:rsidRDefault="00000000">
      <w:pPr>
        <w:ind w:left="395" w:right="795"/>
        <w:jc w:val="both"/>
        <w:rPr>
          <w:sz w:val="18"/>
        </w:rPr>
      </w:pPr>
      <w:r>
        <w:rPr>
          <w:sz w:val="18"/>
        </w:rPr>
        <w:t>On the other hand, coordination and collaboration are increasingly solid among members of the One Data Forum. Changes</w:t>
      </w:r>
      <w:r>
        <w:rPr>
          <w:spacing w:val="-10"/>
          <w:sz w:val="18"/>
        </w:rPr>
        <w:t xml:space="preserve"> </w:t>
      </w:r>
      <w:r>
        <w:rPr>
          <w:sz w:val="18"/>
        </w:rPr>
        <w:t>have</w:t>
      </w:r>
      <w:r>
        <w:rPr>
          <w:spacing w:val="-9"/>
          <w:sz w:val="18"/>
        </w:rPr>
        <w:t xml:space="preserve"> </w:t>
      </w:r>
      <w:r>
        <w:rPr>
          <w:sz w:val="18"/>
        </w:rPr>
        <w:t>also</w:t>
      </w:r>
      <w:r>
        <w:rPr>
          <w:spacing w:val="-9"/>
          <w:sz w:val="18"/>
        </w:rPr>
        <w:t xml:space="preserve"> </w:t>
      </w:r>
      <w:r>
        <w:rPr>
          <w:sz w:val="18"/>
        </w:rPr>
        <w:t>been</w:t>
      </w:r>
      <w:r>
        <w:rPr>
          <w:spacing w:val="-9"/>
          <w:sz w:val="18"/>
        </w:rPr>
        <w:t xml:space="preserve"> </w:t>
      </w:r>
      <w:r>
        <w:rPr>
          <w:sz w:val="18"/>
        </w:rPr>
        <w:t>seen</w:t>
      </w:r>
      <w:r>
        <w:rPr>
          <w:spacing w:val="-9"/>
          <w:sz w:val="18"/>
        </w:rPr>
        <w:t xml:space="preserve"> </w:t>
      </w:r>
      <w:r>
        <w:rPr>
          <w:sz w:val="18"/>
        </w:rPr>
        <w:t>in</w:t>
      </w:r>
      <w:r>
        <w:rPr>
          <w:spacing w:val="-9"/>
          <w:sz w:val="18"/>
        </w:rPr>
        <w:t xml:space="preserve"> </w:t>
      </w:r>
      <w:r>
        <w:rPr>
          <w:sz w:val="18"/>
        </w:rPr>
        <w:t>the</w:t>
      </w:r>
      <w:r>
        <w:rPr>
          <w:spacing w:val="-9"/>
          <w:sz w:val="18"/>
        </w:rPr>
        <w:t xml:space="preserve"> </w:t>
      </w:r>
      <w:r>
        <w:rPr>
          <w:sz w:val="18"/>
        </w:rPr>
        <w:t>pattern</w:t>
      </w:r>
      <w:r>
        <w:rPr>
          <w:spacing w:val="-9"/>
          <w:sz w:val="18"/>
        </w:rPr>
        <w:t xml:space="preserve"> </w:t>
      </w:r>
      <w:r>
        <w:rPr>
          <w:sz w:val="18"/>
        </w:rPr>
        <w:t>of</w:t>
      </w:r>
      <w:r>
        <w:rPr>
          <w:spacing w:val="-10"/>
          <w:sz w:val="18"/>
        </w:rPr>
        <w:t xml:space="preserve"> </w:t>
      </w:r>
      <w:r>
        <w:rPr>
          <w:sz w:val="18"/>
        </w:rPr>
        <w:t>communication</w:t>
      </w:r>
      <w:r>
        <w:rPr>
          <w:spacing w:val="-9"/>
          <w:sz w:val="18"/>
        </w:rPr>
        <w:t xml:space="preserve"> </w:t>
      </w:r>
      <w:r>
        <w:rPr>
          <w:sz w:val="18"/>
        </w:rPr>
        <w:t>and</w:t>
      </w:r>
      <w:r>
        <w:rPr>
          <w:spacing w:val="-9"/>
          <w:sz w:val="18"/>
        </w:rPr>
        <w:t xml:space="preserve"> </w:t>
      </w:r>
      <w:r>
        <w:rPr>
          <w:sz w:val="18"/>
        </w:rPr>
        <w:t>coordination</w:t>
      </w:r>
      <w:r>
        <w:rPr>
          <w:spacing w:val="-9"/>
          <w:sz w:val="18"/>
        </w:rPr>
        <w:t xml:space="preserve"> </w:t>
      </w:r>
      <w:r>
        <w:rPr>
          <w:sz w:val="18"/>
        </w:rPr>
        <w:t>between</w:t>
      </w:r>
      <w:r>
        <w:rPr>
          <w:spacing w:val="-11"/>
          <w:sz w:val="18"/>
        </w:rPr>
        <w:t xml:space="preserve"> </w:t>
      </w:r>
      <w:r>
        <w:rPr>
          <w:sz w:val="18"/>
        </w:rPr>
        <w:t>forum</w:t>
      </w:r>
      <w:r>
        <w:rPr>
          <w:spacing w:val="-9"/>
          <w:sz w:val="18"/>
        </w:rPr>
        <w:t xml:space="preserve"> </w:t>
      </w:r>
      <w:r>
        <w:rPr>
          <w:sz w:val="18"/>
        </w:rPr>
        <w:t>members,</w:t>
      </w:r>
      <w:r>
        <w:rPr>
          <w:spacing w:val="-10"/>
          <w:sz w:val="18"/>
        </w:rPr>
        <w:t xml:space="preserve"> </w:t>
      </w:r>
      <w:r>
        <w:rPr>
          <w:sz w:val="18"/>
        </w:rPr>
        <w:t>including</w:t>
      </w:r>
      <w:r>
        <w:rPr>
          <w:spacing w:val="-10"/>
          <w:sz w:val="18"/>
        </w:rPr>
        <w:t xml:space="preserve"> </w:t>
      </w:r>
      <w:r>
        <w:rPr>
          <w:sz w:val="18"/>
        </w:rPr>
        <w:t xml:space="preserve">the strengthened role of the Data Custodian (Walidata). The Walidata Clinic, established by the Provincial Office of Communication and Informatics (Kominfo), has become an open consultation space between data producers and Walidata. Through these clinics, technical challenges can be solved immediately, even when human resources are </w:t>
      </w:r>
      <w:r>
        <w:rPr>
          <w:spacing w:val="-2"/>
          <w:sz w:val="18"/>
        </w:rPr>
        <w:t>limited.</w:t>
      </w:r>
    </w:p>
    <w:p w14:paraId="71C12E6A" w14:textId="77777777" w:rsidR="00BC24A8" w:rsidRDefault="00000000">
      <w:pPr>
        <w:spacing w:before="160"/>
        <w:ind w:left="395" w:right="794"/>
        <w:jc w:val="both"/>
        <w:rPr>
          <w:sz w:val="18"/>
        </w:rPr>
      </w:pPr>
      <w:r>
        <w:rPr>
          <w:sz w:val="18"/>
        </w:rPr>
        <w:t>In addition, supportive infrastructure and regulations from the provincial government are in place. The forum’s institutional</w:t>
      </w:r>
      <w:r>
        <w:rPr>
          <w:spacing w:val="-4"/>
          <w:sz w:val="18"/>
        </w:rPr>
        <w:t xml:space="preserve"> </w:t>
      </w:r>
      <w:r>
        <w:rPr>
          <w:sz w:val="18"/>
        </w:rPr>
        <w:t>position</w:t>
      </w:r>
      <w:r>
        <w:rPr>
          <w:spacing w:val="-7"/>
          <w:sz w:val="18"/>
        </w:rPr>
        <w:t xml:space="preserve"> </w:t>
      </w:r>
      <w:r>
        <w:rPr>
          <w:sz w:val="18"/>
        </w:rPr>
        <w:t>is</w:t>
      </w:r>
      <w:r>
        <w:rPr>
          <w:spacing w:val="-5"/>
          <w:sz w:val="18"/>
        </w:rPr>
        <w:t xml:space="preserve"> </w:t>
      </w:r>
      <w:r>
        <w:rPr>
          <w:sz w:val="18"/>
        </w:rPr>
        <w:t>getting</w:t>
      </w:r>
      <w:r>
        <w:rPr>
          <w:spacing w:val="-5"/>
          <w:sz w:val="18"/>
        </w:rPr>
        <w:t xml:space="preserve"> </w:t>
      </w:r>
      <w:r>
        <w:rPr>
          <w:sz w:val="18"/>
        </w:rPr>
        <w:t>stronger</w:t>
      </w:r>
      <w:r>
        <w:rPr>
          <w:spacing w:val="-5"/>
          <w:sz w:val="18"/>
        </w:rPr>
        <w:t xml:space="preserve"> </w:t>
      </w:r>
      <w:r>
        <w:rPr>
          <w:sz w:val="18"/>
        </w:rPr>
        <w:t>with</w:t>
      </w:r>
      <w:r>
        <w:rPr>
          <w:spacing w:val="-7"/>
          <w:sz w:val="18"/>
        </w:rPr>
        <w:t xml:space="preserve"> </w:t>
      </w:r>
      <w:r>
        <w:rPr>
          <w:sz w:val="18"/>
        </w:rPr>
        <w:t>the</w:t>
      </w:r>
      <w:r>
        <w:rPr>
          <w:spacing w:val="-5"/>
          <w:sz w:val="18"/>
        </w:rPr>
        <w:t xml:space="preserve"> </w:t>
      </w:r>
      <w:r>
        <w:rPr>
          <w:sz w:val="18"/>
        </w:rPr>
        <w:t>presence</w:t>
      </w:r>
      <w:r>
        <w:rPr>
          <w:spacing w:val="-5"/>
          <w:sz w:val="18"/>
        </w:rPr>
        <w:t xml:space="preserve"> </w:t>
      </w:r>
      <w:r>
        <w:rPr>
          <w:sz w:val="18"/>
        </w:rPr>
        <w:t>of</w:t>
      </w:r>
      <w:r>
        <w:rPr>
          <w:spacing w:val="-6"/>
          <w:sz w:val="18"/>
        </w:rPr>
        <w:t xml:space="preserve"> </w:t>
      </w:r>
      <w:r>
        <w:rPr>
          <w:sz w:val="18"/>
        </w:rPr>
        <w:t>several</w:t>
      </w:r>
      <w:r>
        <w:rPr>
          <w:spacing w:val="-4"/>
          <w:sz w:val="18"/>
        </w:rPr>
        <w:t xml:space="preserve"> </w:t>
      </w:r>
      <w:r>
        <w:rPr>
          <w:sz w:val="18"/>
        </w:rPr>
        <w:t>regulations,</w:t>
      </w:r>
      <w:r>
        <w:rPr>
          <w:spacing w:val="-6"/>
          <w:sz w:val="18"/>
        </w:rPr>
        <w:t xml:space="preserve"> </w:t>
      </w:r>
      <w:r>
        <w:rPr>
          <w:sz w:val="18"/>
        </w:rPr>
        <w:t>such</w:t>
      </w:r>
      <w:r>
        <w:rPr>
          <w:spacing w:val="-5"/>
          <w:sz w:val="18"/>
        </w:rPr>
        <w:t xml:space="preserve"> </w:t>
      </w:r>
      <w:r>
        <w:rPr>
          <w:sz w:val="18"/>
        </w:rPr>
        <w:t>as</w:t>
      </w:r>
      <w:r>
        <w:rPr>
          <w:spacing w:val="-7"/>
          <w:sz w:val="18"/>
        </w:rPr>
        <w:t xml:space="preserve"> </w:t>
      </w:r>
      <w:r>
        <w:rPr>
          <w:sz w:val="18"/>
        </w:rPr>
        <w:t>the</w:t>
      </w:r>
      <w:r>
        <w:rPr>
          <w:spacing w:val="-5"/>
          <w:sz w:val="18"/>
        </w:rPr>
        <w:t xml:space="preserve"> </w:t>
      </w:r>
      <w:r>
        <w:rPr>
          <w:sz w:val="18"/>
        </w:rPr>
        <w:t>Portal</w:t>
      </w:r>
      <w:r>
        <w:rPr>
          <w:spacing w:val="-4"/>
          <w:sz w:val="18"/>
        </w:rPr>
        <w:t xml:space="preserve"> </w:t>
      </w:r>
      <w:r>
        <w:rPr>
          <w:sz w:val="18"/>
        </w:rPr>
        <w:t>Infrastructure</w:t>
      </w:r>
      <w:r>
        <w:rPr>
          <w:spacing w:val="-5"/>
          <w:sz w:val="18"/>
        </w:rPr>
        <w:t xml:space="preserve"> </w:t>
      </w:r>
      <w:r>
        <w:rPr>
          <w:sz w:val="18"/>
        </w:rPr>
        <w:t>Team Decree, the</w:t>
      </w:r>
      <w:r>
        <w:rPr>
          <w:spacing w:val="-2"/>
          <w:sz w:val="18"/>
        </w:rPr>
        <w:t xml:space="preserve"> </w:t>
      </w:r>
      <w:r>
        <w:rPr>
          <w:sz w:val="18"/>
        </w:rPr>
        <w:t>Walidata</w:t>
      </w:r>
      <w:r>
        <w:rPr>
          <w:spacing w:val="-2"/>
          <w:sz w:val="18"/>
        </w:rPr>
        <w:t xml:space="preserve"> </w:t>
      </w:r>
      <w:r>
        <w:rPr>
          <w:sz w:val="18"/>
        </w:rPr>
        <w:t>Clinic</w:t>
      </w:r>
      <w:r>
        <w:rPr>
          <w:spacing w:val="-1"/>
          <w:sz w:val="18"/>
        </w:rPr>
        <w:t xml:space="preserve"> </w:t>
      </w:r>
      <w:r>
        <w:rPr>
          <w:sz w:val="18"/>
        </w:rPr>
        <w:t>Decree, and the Walidata circular</w:t>
      </w:r>
      <w:r>
        <w:rPr>
          <w:spacing w:val="-1"/>
          <w:sz w:val="18"/>
        </w:rPr>
        <w:t xml:space="preserve"> </w:t>
      </w:r>
      <w:r>
        <w:rPr>
          <w:sz w:val="18"/>
        </w:rPr>
        <w:t>letter. Data</w:t>
      </w:r>
      <w:r>
        <w:rPr>
          <w:spacing w:val="-2"/>
          <w:sz w:val="18"/>
        </w:rPr>
        <w:t xml:space="preserve"> </w:t>
      </w:r>
      <w:r>
        <w:rPr>
          <w:sz w:val="18"/>
        </w:rPr>
        <w:t>portals</w:t>
      </w:r>
      <w:r>
        <w:rPr>
          <w:spacing w:val="-2"/>
          <w:sz w:val="18"/>
        </w:rPr>
        <w:t xml:space="preserve"> </w:t>
      </w:r>
      <w:r>
        <w:rPr>
          <w:sz w:val="18"/>
        </w:rPr>
        <w:t>have begun to</w:t>
      </w:r>
      <w:r>
        <w:rPr>
          <w:spacing w:val="-2"/>
          <w:sz w:val="18"/>
        </w:rPr>
        <w:t xml:space="preserve"> </w:t>
      </w:r>
      <w:r>
        <w:rPr>
          <w:sz w:val="18"/>
        </w:rPr>
        <w:t>function as centers for sectoral data consolidation.</w:t>
      </w:r>
    </w:p>
    <w:p w14:paraId="1B1E8EBF" w14:textId="77777777" w:rsidR="00BC24A8" w:rsidRDefault="00000000">
      <w:pPr>
        <w:spacing w:before="158"/>
        <w:ind w:left="395" w:right="794"/>
        <w:jc w:val="both"/>
        <w:rPr>
          <w:sz w:val="18"/>
        </w:rPr>
      </w:pPr>
      <w:r>
        <w:rPr>
          <w:sz w:val="18"/>
        </w:rPr>
        <w:t>However, the One Data Forum in NTT still has a long way to go. Many things still need to be addressed, including the capacity</w:t>
      </w:r>
      <w:r>
        <w:rPr>
          <w:spacing w:val="-11"/>
          <w:sz w:val="18"/>
        </w:rPr>
        <w:t xml:space="preserve"> </w:t>
      </w:r>
      <w:r>
        <w:rPr>
          <w:sz w:val="18"/>
        </w:rPr>
        <w:t>of</w:t>
      </w:r>
      <w:r>
        <w:rPr>
          <w:spacing w:val="-10"/>
          <w:sz w:val="18"/>
        </w:rPr>
        <w:t xml:space="preserve"> </w:t>
      </w:r>
      <w:r>
        <w:rPr>
          <w:sz w:val="18"/>
        </w:rPr>
        <w:t>Forum</w:t>
      </w:r>
      <w:r>
        <w:rPr>
          <w:spacing w:val="-10"/>
          <w:sz w:val="18"/>
        </w:rPr>
        <w:t xml:space="preserve"> </w:t>
      </w:r>
      <w:r>
        <w:rPr>
          <w:sz w:val="18"/>
        </w:rPr>
        <w:t>members</w:t>
      </w:r>
      <w:r>
        <w:rPr>
          <w:spacing w:val="-10"/>
          <w:sz w:val="18"/>
        </w:rPr>
        <w:t xml:space="preserve"> </w:t>
      </w:r>
      <w:r>
        <w:rPr>
          <w:sz w:val="18"/>
        </w:rPr>
        <w:t>and</w:t>
      </w:r>
      <w:r>
        <w:rPr>
          <w:spacing w:val="-10"/>
          <w:sz w:val="18"/>
        </w:rPr>
        <w:t xml:space="preserve"> </w:t>
      </w:r>
      <w:r>
        <w:rPr>
          <w:sz w:val="18"/>
        </w:rPr>
        <w:t>the</w:t>
      </w:r>
      <w:r>
        <w:rPr>
          <w:spacing w:val="-11"/>
          <w:sz w:val="18"/>
        </w:rPr>
        <w:t xml:space="preserve"> </w:t>
      </w:r>
      <w:r>
        <w:rPr>
          <w:sz w:val="18"/>
        </w:rPr>
        <w:t>quality</w:t>
      </w:r>
      <w:r>
        <w:rPr>
          <w:spacing w:val="-10"/>
          <w:sz w:val="18"/>
        </w:rPr>
        <w:t xml:space="preserve"> </w:t>
      </w:r>
      <w:r>
        <w:rPr>
          <w:sz w:val="18"/>
        </w:rPr>
        <w:t>of</w:t>
      </w:r>
      <w:r>
        <w:rPr>
          <w:spacing w:val="-10"/>
          <w:sz w:val="18"/>
        </w:rPr>
        <w:t xml:space="preserve"> </w:t>
      </w:r>
      <w:r>
        <w:rPr>
          <w:sz w:val="18"/>
        </w:rPr>
        <w:t>sectoral</w:t>
      </w:r>
      <w:r>
        <w:rPr>
          <w:spacing w:val="-10"/>
          <w:sz w:val="18"/>
        </w:rPr>
        <w:t xml:space="preserve"> </w:t>
      </w:r>
      <w:r>
        <w:rPr>
          <w:sz w:val="18"/>
        </w:rPr>
        <w:t>data.</w:t>
      </w:r>
      <w:r>
        <w:rPr>
          <w:spacing w:val="-10"/>
          <w:sz w:val="18"/>
        </w:rPr>
        <w:t xml:space="preserve"> </w:t>
      </w:r>
      <w:r>
        <w:rPr>
          <w:sz w:val="18"/>
        </w:rPr>
        <w:t>SKALA</w:t>
      </w:r>
      <w:r>
        <w:rPr>
          <w:spacing w:val="-10"/>
          <w:sz w:val="18"/>
        </w:rPr>
        <w:t xml:space="preserve"> </w:t>
      </w:r>
      <w:r>
        <w:rPr>
          <w:sz w:val="18"/>
        </w:rPr>
        <w:t>and</w:t>
      </w:r>
      <w:r>
        <w:rPr>
          <w:spacing w:val="-11"/>
          <w:sz w:val="18"/>
        </w:rPr>
        <w:t xml:space="preserve"> </w:t>
      </w:r>
      <w:r>
        <w:rPr>
          <w:sz w:val="18"/>
        </w:rPr>
        <w:t>the</w:t>
      </w:r>
      <w:r>
        <w:rPr>
          <w:spacing w:val="-10"/>
          <w:sz w:val="18"/>
        </w:rPr>
        <w:t xml:space="preserve"> </w:t>
      </w:r>
      <w:r>
        <w:rPr>
          <w:sz w:val="18"/>
        </w:rPr>
        <w:t>NTT</w:t>
      </w:r>
      <w:r>
        <w:rPr>
          <w:spacing w:val="-10"/>
          <w:sz w:val="18"/>
        </w:rPr>
        <w:t xml:space="preserve"> </w:t>
      </w:r>
      <w:r>
        <w:rPr>
          <w:sz w:val="18"/>
        </w:rPr>
        <w:t>Provincial</w:t>
      </w:r>
      <w:r>
        <w:rPr>
          <w:spacing w:val="-10"/>
          <w:sz w:val="18"/>
        </w:rPr>
        <w:t xml:space="preserve"> </w:t>
      </w:r>
      <w:r>
        <w:rPr>
          <w:sz w:val="18"/>
        </w:rPr>
        <w:t>Government</w:t>
      </w:r>
      <w:r>
        <w:rPr>
          <w:spacing w:val="-10"/>
          <w:sz w:val="18"/>
        </w:rPr>
        <w:t xml:space="preserve"> </w:t>
      </w:r>
      <w:r>
        <w:rPr>
          <w:sz w:val="18"/>
        </w:rPr>
        <w:t>continue</w:t>
      </w:r>
      <w:r>
        <w:rPr>
          <w:spacing w:val="-10"/>
          <w:sz w:val="18"/>
        </w:rPr>
        <w:t xml:space="preserve"> </w:t>
      </w:r>
      <w:r>
        <w:rPr>
          <w:sz w:val="18"/>
        </w:rPr>
        <w:t>to</w:t>
      </w:r>
      <w:r>
        <w:rPr>
          <w:spacing w:val="-11"/>
          <w:sz w:val="18"/>
        </w:rPr>
        <w:t xml:space="preserve"> </w:t>
      </w:r>
      <w:r>
        <w:rPr>
          <w:sz w:val="18"/>
        </w:rPr>
        <w:t>work together to support the work of the One Data Forum.</w:t>
      </w:r>
    </w:p>
    <w:p w14:paraId="7E570123" w14:textId="77777777" w:rsidR="00BC24A8" w:rsidRDefault="00BC24A8">
      <w:pPr>
        <w:pStyle w:val="BodyText"/>
      </w:pPr>
    </w:p>
    <w:p w14:paraId="6AD38E0E" w14:textId="77777777" w:rsidR="00BC24A8" w:rsidRDefault="00BC24A8">
      <w:pPr>
        <w:pStyle w:val="BodyText"/>
        <w:spacing w:before="104"/>
      </w:pPr>
    </w:p>
    <w:p w14:paraId="50FD901E" w14:textId="77777777" w:rsidR="00BC24A8" w:rsidRDefault="00000000">
      <w:pPr>
        <w:pStyle w:val="BodyText"/>
        <w:ind w:left="143"/>
        <w:rPr>
          <w:rFonts w:ascii="Calibri"/>
        </w:rPr>
      </w:pPr>
      <w:r>
        <w:rPr>
          <w:rFonts w:ascii="Calibri"/>
          <w:color w:val="272727"/>
        </w:rPr>
        <w:t>Challenges</w:t>
      </w:r>
      <w:r>
        <w:rPr>
          <w:rFonts w:ascii="Calibri"/>
          <w:color w:val="272727"/>
          <w:spacing w:val="-7"/>
        </w:rPr>
        <w:t xml:space="preserve"> </w:t>
      </w:r>
      <w:r>
        <w:rPr>
          <w:rFonts w:ascii="Calibri"/>
          <w:color w:val="272727"/>
        </w:rPr>
        <w:t>and</w:t>
      </w:r>
      <w:r>
        <w:rPr>
          <w:rFonts w:ascii="Calibri"/>
          <w:color w:val="272727"/>
          <w:spacing w:val="-5"/>
        </w:rPr>
        <w:t xml:space="preserve"> </w:t>
      </w:r>
      <w:r>
        <w:rPr>
          <w:rFonts w:ascii="Calibri"/>
          <w:color w:val="272727"/>
        </w:rPr>
        <w:t>lessons</w:t>
      </w:r>
      <w:r>
        <w:rPr>
          <w:rFonts w:ascii="Calibri"/>
          <w:color w:val="272727"/>
          <w:spacing w:val="-4"/>
        </w:rPr>
        <w:t xml:space="preserve"> </w:t>
      </w:r>
      <w:r>
        <w:rPr>
          <w:rFonts w:ascii="Calibri"/>
          <w:color w:val="272727"/>
          <w:spacing w:val="-2"/>
        </w:rPr>
        <w:t>learned</w:t>
      </w:r>
    </w:p>
    <w:p w14:paraId="2A8EB16E" w14:textId="77777777" w:rsidR="00BC24A8" w:rsidRDefault="00000000">
      <w:pPr>
        <w:pStyle w:val="Heading5"/>
        <w:spacing w:before="20" w:line="384" w:lineRule="auto"/>
        <w:ind w:right="3474"/>
      </w:pPr>
      <w:r>
        <w:rPr>
          <w:color w:val="17365A"/>
        </w:rPr>
        <w:t>Program</w:t>
      </w:r>
      <w:r>
        <w:rPr>
          <w:color w:val="17365A"/>
          <w:spacing w:val="-10"/>
        </w:rPr>
        <w:t xml:space="preserve"> </w:t>
      </w:r>
      <w:r>
        <w:rPr>
          <w:color w:val="17365A"/>
        </w:rPr>
        <w:t>implementation</w:t>
      </w:r>
      <w:r>
        <w:rPr>
          <w:color w:val="17365A"/>
          <w:spacing w:val="-11"/>
        </w:rPr>
        <w:t xml:space="preserve"> </w:t>
      </w:r>
      <w:r>
        <w:rPr>
          <w:color w:val="17365A"/>
        </w:rPr>
        <w:t>challenges,</w:t>
      </w:r>
      <w:r>
        <w:rPr>
          <w:color w:val="17365A"/>
          <w:spacing w:val="-12"/>
        </w:rPr>
        <w:t xml:space="preserve"> </w:t>
      </w:r>
      <w:r>
        <w:rPr>
          <w:color w:val="17365A"/>
        </w:rPr>
        <w:t>impacts,</w:t>
      </w:r>
      <w:r>
        <w:rPr>
          <w:color w:val="17365A"/>
          <w:spacing w:val="-10"/>
        </w:rPr>
        <w:t xml:space="preserve"> </w:t>
      </w:r>
      <w:r>
        <w:rPr>
          <w:color w:val="17365A"/>
        </w:rPr>
        <w:t>and</w:t>
      </w:r>
      <w:r>
        <w:rPr>
          <w:color w:val="17365A"/>
          <w:spacing w:val="-11"/>
        </w:rPr>
        <w:t xml:space="preserve"> </w:t>
      </w:r>
      <w:r>
        <w:rPr>
          <w:color w:val="17365A"/>
        </w:rPr>
        <w:t xml:space="preserve">solution </w:t>
      </w:r>
      <w:r>
        <w:t>Technical Challenges</w:t>
      </w:r>
    </w:p>
    <w:p w14:paraId="3F399D55" w14:textId="77777777" w:rsidR="00BC24A8" w:rsidRDefault="00000000">
      <w:pPr>
        <w:pStyle w:val="ListParagraph"/>
        <w:numPr>
          <w:ilvl w:val="2"/>
          <w:numId w:val="61"/>
        </w:numPr>
        <w:tabs>
          <w:tab w:val="left" w:pos="861"/>
          <w:tab w:val="left" w:pos="863"/>
        </w:tabs>
        <w:spacing w:line="259" w:lineRule="auto"/>
        <w:ind w:right="561"/>
        <w:jc w:val="both"/>
      </w:pPr>
      <w:r>
        <w:t>Fiscal constraints have prevented significant increases in service expenditures. The NTT Provincial Government has endeavoured to increase Regional Revenue (PAD) from IDR 1.4 trillion to 2.8 trillion.</w:t>
      </w:r>
    </w:p>
    <w:p w14:paraId="20558D96" w14:textId="77777777" w:rsidR="00BC24A8" w:rsidRDefault="00000000">
      <w:pPr>
        <w:pStyle w:val="ListParagraph"/>
        <w:numPr>
          <w:ilvl w:val="2"/>
          <w:numId w:val="61"/>
        </w:numPr>
        <w:tabs>
          <w:tab w:val="left" w:pos="861"/>
          <w:tab w:val="left" w:pos="863"/>
        </w:tabs>
        <w:spacing w:line="259" w:lineRule="auto"/>
        <w:ind w:right="562"/>
        <w:jc w:val="both"/>
      </w:pPr>
      <w:r>
        <w:t>In 2024 and 2025, the General Allocation Fund Specific Grant (DAU SG) budget is mainly spent on program activities that have no direct impact on the public. One challenge is to ensure the classification of DAU SG expenditure for MSS financing.</w:t>
      </w:r>
    </w:p>
    <w:p w14:paraId="0D2586D1" w14:textId="77777777" w:rsidR="00BC24A8" w:rsidRDefault="00000000">
      <w:pPr>
        <w:pStyle w:val="ListParagraph"/>
        <w:numPr>
          <w:ilvl w:val="2"/>
          <w:numId w:val="61"/>
        </w:numPr>
        <w:tabs>
          <w:tab w:val="left" w:pos="861"/>
          <w:tab w:val="left" w:pos="863"/>
        </w:tabs>
        <w:spacing w:line="259" w:lineRule="auto"/>
        <w:ind w:right="564"/>
        <w:jc w:val="both"/>
      </w:pPr>
      <w:r>
        <w:t>The role of the Working</w:t>
      </w:r>
      <w:r>
        <w:rPr>
          <w:spacing w:val="-1"/>
        </w:rPr>
        <w:t xml:space="preserve"> </w:t>
      </w:r>
      <w:r>
        <w:t>Group (POKJA) in the One Data Forum has not been optimised. SKALA is still the main driver in implementing the forum’s work plan.</w:t>
      </w:r>
    </w:p>
    <w:p w14:paraId="73B1B2CD" w14:textId="77777777" w:rsidR="00BC24A8" w:rsidRDefault="00BC24A8">
      <w:pPr>
        <w:pStyle w:val="ListParagraph"/>
        <w:spacing w:line="259" w:lineRule="auto"/>
        <w:sectPr w:rsidR="00BC24A8">
          <w:pgSz w:w="11910" w:h="16840"/>
          <w:pgMar w:top="1400" w:right="850" w:bottom="1100" w:left="1275" w:header="0" w:footer="907" w:gutter="0"/>
          <w:cols w:space="720"/>
        </w:sectPr>
      </w:pPr>
    </w:p>
    <w:p w14:paraId="03254921" w14:textId="77777777" w:rsidR="00BC24A8" w:rsidRDefault="00000000">
      <w:pPr>
        <w:pStyle w:val="ListParagraph"/>
        <w:numPr>
          <w:ilvl w:val="2"/>
          <w:numId w:val="61"/>
        </w:numPr>
        <w:tabs>
          <w:tab w:val="left" w:pos="861"/>
          <w:tab w:val="left" w:pos="863"/>
        </w:tabs>
        <w:spacing w:before="39" w:line="259" w:lineRule="auto"/>
        <w:ind w:right="564"/>
        <w:jc w:val="both"/>
      </w:pPr>
      <w:r>
        <w:t>Program</w:t>
      </w:r>
      <w:r>
        <w:rPr>
          <w:spacing w:val="-13"/>
        </w:rPr>
        <w:t xml:space="preserve"> </w:t>
      </w:r>
      <w:r>
        <w:t>implementation</w:t>
      </w:r>
      <w:r>
        <w:rPr>
          <w:spacing w:val="-12"/>
        </w:rPr>
        <w:t xml:space="preserve"> </w:t>
      </w:r>
      <w:r>
        <w:t>in</w:t>
      </w:r>
      <w:r>
        <w:rPr>
          <w:spacing w:val="-13"/>
        </w:rPr>
        <w:t xml:space="preserve"> </w:t>
      </w:r>
      <w:r>
        <w:t>the</w:t>
      </w:r>
      <w:r>
        <w:rPr>
          <w:spacing w:val="-12"/>
        </w:rPr>
        <w:t xml:space="preserve"> </w:t>
      </w:r>
      <w:r>
        <w:t>regions</w:t>
      </w:r>
      <w:r>
        <w:rPr>
          <w:spacing w:val="-10"/>
        </w:rPr>
        <w:t xml:space="preserve"> </w:t>
      </w:r>
      <w:r>
        <w:t>depends</w:t>
      </w:r>
      <w:r>
        <w:rPr>
          <w:spacing w:val="-12"/>
        </w:rPr>
        <w:t xml:space="preserve"> </w:t>
      </w:r>
      <w:r>
        <w:t>on</w:t>
      </w:r>
      <w:r>
        <w:rPr>
          <w:spacing w:val="-13"/>
        </w:rPr>
        <w:t xml:space="preserve"> </w:t>
      </w:r>
      <w:r>
        <w:t>central</w:t>
      </w:r>
      <w:r>
        <w:rPr>
          <w:spacing w:val="-11"/>
        </w:rPr>
        <w:t xml:space="preserve"> </w:t>
      </w:r>
      <w:r>
        <w:t>policies.</w:t>
      </w:r>
      <w:r>
        <w:rPr>
          <w:spacing w:val="-10"/>
        </w:rPr>
        <w:t xml:space="preserve"> </w:t>
      </w:r>
      <w:r>
        <w:t>For</w:t>
      </w:r>
      <w:r>
        <w:rPr>
          <w:spacing w:val="-11"/>
        </w:rPr>
        <w:t xml:space="preserve"> </w:t>
      </w:r>
      <w:r>
        <w:t>example,</w:t>
      </w:r>
      <w:r>
        <w:rPr>
          <w:spacing w:val="-12"/>
        </w:rPr>
        <w:t xml:space="preserve"> </w:t>
      </w:r>
      <w:r>
        <w:t>issues</w:t>
      </w:r>
      <w:r>
        <w:rPr>
          <w:spacing w:val="-11"/>
        </w:rPr>
        <w:t xml:space="preserve"> </w:t>
      </w:r>
      <w:r>
        <w:t>related to the National Socio-Economic Data (DTSEN), system interoperability, as well as policies on General Allocation Fund (DAU), Special Allocation Fund (DAK), and MSS costing.</w:t>
      </w:r>
    </w:p>
    <w:p w14:paraId="487324C5" w14:textId="77777777" w:rsidR="00BC24A8" w:rsidRDefault="00BC24A8">
      <w:pPr>
        <w:pStyle w:val="BodyText"/>
        <w:spacing w:before="20"/>
      </w:pPr>
    </w:p>
    <w:p w14:paraId="045672BD" w14:textId="77777777" w:rsidR="00BC24A8" w:rsidRDefault="00000000">
      <w:pPr>
        <w:pStyle w:val="Heading5"/>
      </w:pPr>
      <w:r>
        <w:rPr>
          <w:spacing w:val="-2"/>
        </w:rPr>
        <w:t>Non-Technical</w:t>
      </w:r>
      <w:r>
        <w:rPr>
          <w:spacing w:val="-5"/>
        </w:rPr>
        <w:t xml:space="preserve"> </w:t>
      </w:r>
      <w:r>
        <w:rPr>
          <w:spacing w:val="-2"/>
        </w:rPr>
        <w:t>Challenges</w:t>
      </w:r>
    </w:p>
    <w:p w14:paraId="037C66A0" w14:textId="77777777" w:rsidR="00BC24A8" w:rsidRDefault="00000000">
      <w:pPr>
        <w:pStyle w:val="ListParagraph"/>
        <w:numPr>
          <w:ilvl w:val="0"/>
          <w:numId w:val="49"/>
        </w:numPr>
        <w:tabs>
          <w:tab w:val="left" w:pos="861"/>
          <w:tab w:val="left" w:pos="863"/>
        </w:tabs>
        <w:spacing w:before="159" w:line="259" w:lineRule="auto"/>
        <w:ind w:right="567"/>
        <w:jc w:val="both"/>
      </w:pPr>
      <w:r>
        <w:rPr>
          <w:spacing w:val="-2"/>
        </w:rPr>
        <w:t>Fiscal</w:t>
      </w:r>
      <w:r>
        <w:rPr>
          <w:spacing w:val="-5"/>
        </w:rPr>
        <w:t xml:space="preserve"> </w:t>
      </w:r>
      <w:r>
        <w:rPr>
          <w:spacing w:val="-2"/>
        </w:rPr>
        <w:t>constraints</w:t>
      </w:r>
      <w:r>
        <w:rPr>
          <w:spacing w:val="-3"/>
        </w:rPr>
        <w:t xml:space="preserve"> </w:t>
      </w:r>
      <w:r>
        <w:rPr>
          <w:spacing w:val="-2"/>
        </w:rPr>
        <w:t>hinder</w:t>
      </w:r>
      <w:r>
        <w:rPr>
          <w:spacing w:val="-3"/>
        </w:rPr>
        <w:t xml:space="preserve"> </w:t>
      </w:r>
      <w:r>
        <w:rPr>
          <w:spacing w:val="-2"/>
        </w:rPr>
        <w:t>the</w:t>
      </w:r>
      <w:r>
        <w:rPr>
          <w:spacing w:val="-8"/>
        </w:rPr>
        <w:t xml:space="preserve"> </w:t>
      </w:r>
      <w:r>
        <w:rPr>
          <w:spacing w:val="-2"/>
        </w:rPr>
        <w:t>implementation</w:t>
      </w:r>
      <w:r>
        <w:rPr>
          <w:spacing w:val="-3"/>
        </w:rPr>
        <w:t xml:space="preserve"> </w:t>
      </w:r>
      <w:r>
        <w:rPr>
          <w:spacing w:val="-2"/>
        </w:rPr>
        <w:t>of</w:t>
      </w:r>
      <w:r>
        <w:rPr>
          <w:spacing w:val="-5"/>
        </w:rPr>
        <w:t xml:space="preserve"> </w:t>
      </w:r>
      <w:r>
        <w:rPr>
          <w:spacing w:val="-2"/>
        </w:rPr>
        <w:t>the</w:t>
      </w:r>
      <w:r>
        <w:rPr>
          <w:spacing w:val="-5"/>
        </w:rPr>
        <w:t xml:space="preserve"> </w:t>
      </w:r>
      <w:r>
        <w:rPr>
          <w:spacing w:val="-2"/>
        </w:rPr>
        <w:t>Disability</w:t>
      </w:r>
      <w:r>
        <w:rPr>
          <w:spacing w:val="-3"/>
        </w:rPr>
        <w:t xml:space="preserve"> </w:t>
      </w:r>
      <w:r>
        <w:rPr>
          <w:spacing w:val="-2"/>
        </w:rPr>
        <w:t>Action</w:t>
      </w:r>
      <w:r>
        <w:rPr>
          <w:spacing w:val="-3"/>
        </w:rPr>
        <w:t xml:space="preserve"> </w:t>
      </w:r>
      <w:r>
        <w:rPr>
          <w:spacing w:val="-2"/>
        </w:rPr>
        <w:t>Plan</w:t>
      </w:r>
      <w:r>
        <w:rPr>
          <w:spacing w:val="-3"/>
        </w:rPr>
        <w:t xml:space="preserve"> </w:t>
      </w:r>
      <w:r>
        <w:rPr>
          <w:spacing w:val="-2"/>
        </w:rPr>
        <w:t>(RAD</w:t>
      </w:r>
      <w:r>
        <w:rPr>
          <w:spacing w:val="-3"/>
        </w:rPr>
        <w:t xml:space="preserve"> </w:t>
      </w:r>
      <w:r>
        <w:rPr>
          <w:spacing w:val="-2"/>
        </w:rPr>
        <w:t>PD)</w:t>
      </w:r>
      <w:r>
        <w:rPr>
          <w:spacing w:val="-5"/>
        </w:rPr>
        <w:t xml:space="preserve"> </w:t>
      </w:r>
      <w:r>
        <w:rPr>
          <w:spacing w:val="-2"/>
        </w:rPr>
        <w:t>that</w:t>
      </w:r>
      <w:r>
        <w:rPr>
          <w:spacing w:val="-4"/>
        </w:rPr>
        <w:t xml:space="preserve"> </w:t>
      </w:r>
      <w:r>
        <w:rPr>
          <w:spacing w:val="-2"/>
        </w:rPr>
        <w:t>has</w:t>
      </w:r>
      <w:r>
        <w:rPr>
          <w:spacing w:val="-3"/>
        </w:rPr>
        <w:t xml:space="preserve"> </w:t>
      </w:r>
      <w:r>
        <w:rPr>
          <w:spacing w:val="-2"/>
        </w:rPr>
        <w:t>been produced.</w:t>
      </w:r>
    </w:p>
    <w:p w14:paraId="5679B0CF" w14:textId="77777777" w:rsidR="00BC24A8" w:rsidRDefault="00000000">
      <w:pPr>
        <w:pStyle w:val="ListParagraph"/>
        <w:numPr>
          <w:ilvl w:val="0"/>
          <w:numId w:val="49"/>
        </w:numPr>
        <w:tabs>
          <w:tab w:val="left" w:pos="860"/>
          <w:tab w:val="left" w:pos="862"/>
        </w:tabs>
        <w:spacing w:before="1" w:line="259" w:lineRule="auto"/>
        <w:ind w:left="862" w:right="563"/>
        <w:jc w:val="both"/>
      </w:pPr>
      <w:r>
        <w:t>Inclusive</w:t>
      </w:r>
      <w:r>
        <w:rPr>
          <w:spacing w:val="-6"/>
        </w:rPr>
        <w:t xml:space="preserve"> </w:t>
      </w:r>
      <w:r>
        <w:rPr>
          <w:i/>
        </w:rPr>
        <w:t>Musrenbang</w:t>
      </w:r>
      <w:r>
        <w:rPr>
          <w:i/>
          <w:spacing w:val="-4"/>
        </w:rPr>
        <w:t xml:space="preserve"> </w:t>
      </w:r>
      <w:r>
        <w:t>needs</w:t>
      </w:r>
      <w:r>
        <w:rPr>
          <w:spacing w:val="-1"/>
        </w:rPr>
        <w:t xml:space="preserve"> </w:t>
      </w:r>
      <w:r>
        <w:t>to</w:t>
      </w:r>
      <w:r>
        <w:rPr>
          <w:spacing w:val="-5"/>
        </w:rPr>
        <w:t xml:space="preserve"> </w:t>
      </w:r>
      <w:r>
        <w:t>be</w:t>
      </w:r>
      <w:r>
        <w:rPr>
          <w:spacing w:val="-6"/>
        </w:rPr>
        <w:t xml:space="preserve"> </w:t>
      </w:r>
      <w:r>
        <w:t>more</w:t>
      </w:r>
      <w:r>
        <w:rPr>
          <w:spacing w:val="-4"/>
        </w:rPr>
        <w:t xml:space="preserve"> </w:t>
      </w:r>
      <w:r>
        <w:t>integrated</w:t>
      </w:r>
      <w:r>
        <w:rPr>
          <w:spacing w:val="-2"/>
        </w:rPr>
        <w:t xml:space="preserve"> </w:t>
      </w:r>
      <w:r>
        <w:t>with</w:t>
      </w:r>
      <w:r>
        <w:rPr>
          <w:spacing w:val="-2"/>
        </w:rPr>
        <w:t xml:space="preserve"> </w:t>
      </w:r>
      <w:r>
        <w:t>regular</w:t>
      </w:r>
      <w:r>
        <w:rPr>
          <w:spacing w:val="-4"/>
        </w:rPr>
        <w:t xml:space="preserve"> </w:t>
      </w:r>
      <w:r>
        <w:t>planning</w:t>
      </w:r>
      <w:r>
        <w:rPr>
          <w:spacing w:val="-5"/>
        </w:rPr>
        <w:t xml:space="preserve"> </w:t>
      </w:r>
      <w:r>
        <w:t>forums</w:t>
      </w:r>
      <w:r>
        <w:rPr>
          <w:spacing w:val="-1"/>
        </w:rPr>
        <w:t xml:space="preserve"> </w:t>
      </w:r>
      <w:r>
        <w:t>to</w:t>
      </w:r>
      <w:r>
        <w:rPr>
          <w:spacing w:val="-2"/>
        </w:rPr>
        <w:t xml:space="preserve"> </w:t>
      </w:r>
      <w:r>
        <w:t>ensure</w:t>
      </w:r>
      <w:r>
        <w:rPr>
          <w:spacing w:val="-4"/>
        </w:rPr>
        <w:t xml:space="preserve"> </w:t>
      </w:r>
      <w:r>
        <w:t xml:space="preserve">the </w:t>
      </w:r>
      <w:r>
        <w:rPr>
          <w:spacing w:val="-2"/>
        </w:rPr>
        <w:t>aspirations</w:t>
      </w:r>
      <w:r>
        <w:rPr>
          <w:spacing w:val="-3"/>
        </w:rPr>
        <w:t xml:space="preserve"> </w:t>
      </w:r>
      <w:r>
        <w:rPr>
          <w:spacing w:val="-2"/>
        </w:rPr>
        <w:t>of</w:t>
      </w:r>
      <w:r>
        <w:rPr>
          <w:spacing w:val="-3"/>
        </w:rPr>
        <w:t xml:space="preserve"> </w:t>
      </w:r>
      <w:r>
        <w:rPr>
          <w:spacing w:val="-2"/>
        </w:rPr>
        <w:t>vulnerable</w:t>
      </w:r>
      <w:r>
        <w:rPr>
          <w:spacing w:val="-5"/>
        </w:rPr>
        <w:t xml:space="preserve"> </w:t>
      </w:r>
      <w:r>
        <w:rPr>
          <w:spacing w:val="-2"/>
        </w:rPr>
        <w:t>groups</w:t>
      </w:r>
      <w:r>
        <w:rPr>
          <w:spacing w:val="-3"/>
        </w:rPr>
        <w:t xml:space="preserve"> </w:t>
      </w:r>
      <w:r>
        <w:rPr>
          <w:spacing w:val="-2"/>
        </w:rPr>
        <w:t>are</w:t>
      </w:r>
      <w:r>
        <w:rPr>
          <w:spacing w:val="-3"/>
        </w:rPr>
        <w:t xml:space="preserve"> </w:t>
      </w:r>
      <w:r>
        <w:rPr>
          <w:spacing w:val="-2"/>
        </w:rPr>
        <w:t>reflected in</w:t>
      </w:r>
      <w:r>
        <w:rPr>
          <w:spacing w:val="-3"/>
        </w:rPr>
        <w:t xml:space="preserve"> </w:t>
      </w:r>
      <w:r>
        <w:rPr>
          <w:spacing w:val="-2"/>
        </w:rPr>
        <w:t>official</w:t>
      </w:r>
      <w:r>
        <w:rPr>
          <w:spacing w:val="-5"/>
        </w:rPr>
        <w:t xml:space="preserve"> </w:t>
      </w:r>
      <w:r>
        <w:rPr>
          <w:spacing w:val="-2"/>
        </w:rPr>
        <w:t>planning</w:t>
      </w:r>
      <w:r>
        <w:rPr>
          <w:spacing w:val="-4"/>
        </w:rPr>
        <w:t xml:space="preserve"> </w:t>
      </w:r>
      <w:r>
        <w:rPr>
          <w:spacing w:val="-2"/>
        </w:rPr>
        <w:t>documents.</w:t>
      </w:r>
      <w:r>
        <w:rPr>
          <w:spacing w:val="-3"/>
        </w:rPr>
        <w:t xml:space="preserve"> </w:t>
      </w:r>
      <w:r>
        <w:rPr>
          <w:spacing w:val="-2"/>
        </w:rPr>
        <w:t>Solutions</w:t>
      </w:r>
      <w:r>
        <w:rPr>
          <w:spacing w:val="-3"/>
        </w:rPr>
        <w:t xml:space="preserve"> </w:t>
      </w:r>
      <w:r>
        <w:rPr>
          <w:spacing w:val="-2"/>
        </w:rPr>
        <w:t>that</w:t>
      </w:r>
      <w:r>
        <w:rPr>
          <w:spacing w:val="-4"/>
        </w:rPr>
        <w:t xml:space="preserve"> </w:t>
      </w:r>
      <w:r>
        <w:rPr>
          <w:spacing w:val="-2"/>
        </w:rPr>
        <w:t xml:space="preserve">have </w:t>
      </w:r>
      <w:r>
        <w:t>been taken and or that still need to be done:</w:t>
      </w:r>
    </w:p>
    <w:p w14:paraId="1580E73E" w14:textId="77777777" w:rsidR="00BC24A8" w:rsidRDefault="00000000">
      <w:pPr>
        <w:pStyle w:val="ListParagraph"/>
        <w:numPr>
          <w:ilvl w:val="1"/>
          <w:numId w:val="49"/>
        </w:numPr>
        <w:tabs>
          <w:tab w:val="left" w:pos="1222"/>
        </w:tabs>
        <w:spacing w:before="159" w:line="279" w:lineRule="exact"/>
        <w:ind w:hanging="360"/>
        <w:jc w:val="left"/>
      </w:pPr>
      <w:r>
        <w:t>Advocacy</w:t>
      </w:r>
      <w:r>
        <w:rPr>
          <w:spacing w:val="-6"/>
        </w:rPr>
        <w:t xml:space="preserve"> </w:t>
      </w:r>
      <w:r>
        <w:t>to</w:t>
      </w:r>
      <w:r>
        <w:rPr>
          <w:spacing w:val="-6"/>
        </w:rPr>
        <w:t xml:space="preserve"> </w:t>
      </w:r>
      <w:r>
        <w:t>Regional</w:t>
      </w:r>
      <w:r>
        <w:rPr>
          <w:spacing w:val="-5"/>
        </w:rPr>
        <w:t xml:space="preserve"> </w:t>
      </w:r>
      <w:r>
        <w:t>Leaders</w:t>
      </w:r>
      <w:r>
        <w:rPr>
          <w:spacing w:val="-3"/>
        </w:rPr>
        <w:t xml:space="preserve"> </w:t>
      </w:r>
      <w:r>
        <w:t>through</w:t>
      </w:r>
      <w:r>
        <w:rPr>
          <w:spacing w:val="-3"/>
        </w:rPr>
        <w:t xml:space="preserve"> </w:t>
      </w:r>
      <w:r>
        <w:t>policy</w:t>
      </w:r>
      <w:r>
        <w:rPr>
          <w:spacing w:val="-5"/>
        </w:rPr>
        <w:t xml:space="preserve"> </w:t>
      </w:r>
      <w:r>
        <w:t>briefs</w:t>
      </w:r>
      <w:r>
        <w:rPr>
          <w:spacing w:val="-3"/>
        </w:rPr>
        <w:t xml:space="preserve"> </w:t>
      </w:r>
      <w:r>
        <w:t>that</w:t>
      </w:r>
      <w:r>
        <w:rPr>
          <w:spacing w:val="-4"/>
        </w:rPr>
        <w:t xml:space="preserve"> </w:t>
      </w:r>
      <w:r>
        <w:t>have</w:t>
      </w:r>
      <w:r>
        <w:rPr>
          <w:spacing w:val="-4"/>
        </w:rPr>
        <w:t xml:space="preserve"> </w:t>
      </w:r>
      <w:r>
        <w:t>been</w:t>
      </w:r>
      <w:r>
        <w:rPr>
          <w:spacing w:val="-5"/>
        </w:rPr>
        <w:t xml:space="preserve"> </w:t>
      </w:r>
      <w:r>
        <w:rPr>
          <w:spacing w:val="-2"/>
        </w:rPr>
        <w:t>produced.</w:t>
      </w:r>
    </w:p>
    <w:p w14:paraId="0D33FA89" w14:textId="77777777" w:rsidR="00BC24A8" w:rsidRDefault="00000000">
      <w:pPr>
        <w:pStyle w:val="ListParagraph"/>
        <w:numPr>
          <w:ilvl w:val="1"/>
          <w:numId w:val="49"/>
        </w:numPr>
        <w:tabs>
          <w:tab w:val="left" w:pos="1222"/>
        </w:tabs>
        <w:spacing w:line="279" w:lineRule="exact"/>
        <w:ind w:hanging="360"/>
        <w:jc w:val="left"/>
      </w:pPr>
      <w:r>
        <w:t>Mapping</w:t>
      </w:r>
      <w:r>
        <w:rPr>
          <w:spacing w:val="-9"/>
        </w:rPr>
        <w:t xml:space="preserve"> </w:t>
      </w:r>
      <w:r>
        <w:t>the</w:t>
      </w:r>
      <w:r>
        <w:rPr>
          <w:spacing w:val="-2"/>
        </w:rPr>
        <w:t xml:space="preserve"> </w:t>
      </w:r>
      <w:r>
        <w:t>classification</w:t>
      </w:r>
      <w:r>
        <w:rPr>
          <w:spacing w:val="-5"/>
        </w:rPr>
        <w:t xml:space="preserve"> </w:t>
      </w:r>
      <w:r>
        <w:t>of</w:t>
      </w:r>
      <w:r>
        <w:rPr>
          <w:spacing w:val="-3"/>
        </w:rPr>
        <w:t xml:space="preserve"> </w:t>
      </w:r>
      <w:r>
        <w:t>DAU</w:t>
      </w:r>
      <w:r>
        <w:rPr>
          <w:spacing w:val="-4"/>
        </w:rPr>
        <w:t xml:space="preserve"> </w:t>
      </w:r>
      <w:r>
        <w:t>SG</w:t>
      </w:r>
      <w:r>
        <w:rPr>
          <w:spacing w:val="-5"/>
        </w:rPr>
        <w:t xml:space="preserve"> </w:t>
      </w:r>
      <w:r>
        <w:t>expenditure</w:t>
      </w:r>
      <w:r>
        <w:rPr>
          <w:spacing w:val="-4"/>
        </w:rPr>
        <w:t xml:space="preserve"> </w:t>
      </w:r>
      <w:r>
        <w:t>to</w:t>
      </w:r>
      <w:r>
        <w:rPr>
          <w:spacing w:val="-3"/>
        </w:rPr>
        <w:t xml:space="preserve"> </w:t>
      </w:r>
      <w:r>
        <w:t>optimise</w:t>
      </w:r>
      <w:r>
        <w:rPr>
          <w:spacing w:val="-2"/>
        </w:rPr>
        <w:t xml:space="preserve"> </w:t>
      </w:r>
      <w:r>
        <w:t>it</w:t>
      </w:r>
      <w:r>
        <w:rPr>
          <w:spacing w:val="-3"/>
        </w:rPr>
        <w:t xml:space="preserve"> </w:t>
      </w:r>
      <w:r>
        <w:t>for</w:t>
      </w:r>
      <w:r>
        <w:rPr>
          <w:spacing w:val="-5"/>
        </w:rPr>
        <w:t xml:space="preserve"> </w:t>
      </w:r>
      <w:r>
        <w:t>basic</w:t>
      </w:r>
      <w:r>
        <w:rPr>
          <w:spacing w:val="-6"/>
        </w:rPr>
        <w:t xml:space="preserve"> </w:t>
      </w:r>
      <w:r>
        <w:rPr>
          <w:spacing w:val="-2"/>
        </w:rPr>
        <w:t>services.</w:t>
      </w:r>
    </w:p>
    <w:p w14:paraId="1E1F1869" w14:textId="77777777" w:rsidR="00BC24A8" w:rsidRDefault="00000000">
      <w:pPr>
        <w:pStyle w:val="ListParagraph"/>
        <w:numPr>
          <w:ilvl w:val="1"/>
          <w:numId w:val="49"/>
        </w:numPr>
        <w:tabs>
          <w:tab w:val="left" w:pos="1222"/>
        </w:tabs>
        <w:spacing w:before="1"/>
        <w:ind w:right="564"/>
        <w:jc w:val="left"/>
      </w:pPr>
      <w:r>
        <w:t xml:space="preserve">Agreed mechanism for integrating the results of the inclusive </w:t>
      </w:r>
      <w:r>
        <w:rPr>
          <w:i/>
        </w:rPr>
        <w:t xml:space="preserve">Musrenbang </w:t>
      </w:r>
      <w:r>
        <w:t>into the RKPD and Regional Government Information System (SIPD).</w:t>
      </w:r>
    </w:p>
    <w:p w14:paraId="29F8484A" w14:textId="77777777" w:rsidR="00BC24A8" w:rsidRDefault="00BC24A8">
      <w:pPr>
        <w:pStyle w:val="BodyText"/>
        <w:spacing w:before="60"/>
      </w:pPr>
    </w:p>
    <w:p w14:paraId="34FA180C" w14:textId="77777777" w:rsidR="00BC24A8" w:rsidRDefault="00000000">
      <w:pPr>
        <w:pStyle w:val="Heading5"/>
        <w:ind w:left="142"/>
      </w:pPr>
      <w:r>
        <w:rPr>
          <w:color w:val="17365A"/>
        </w:rPr>
        <w:t>Lessons</w:t>
      </w:r>
      <w:r>
        <w:rPr>
          <w:color w:val="17365A"/>
          <w:spacing w:val="-6"/>
        </w:rPr>
        <w:t xml:space="preserve"> </w:t>
      </w:r>
      <w:r>
        <w:rPr>
          <w:color w:val="17365A"/>
          <w:spacing w:val="-2"/>
        </w:rPr>
        <w:t>learned</w:t>
      </w:r>
    </w:p>
    <w:p w14:paraId="7979640A" w14:textId="77777777" w:rsidR="00BC24A8" w:rsidRDefault="00BC24A8">
      <w:pPr>
        <w:pStyle w:val="BodyText"/>
        <w:spacing w:before="9"/>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804"/>
        <w:gridCol w:w="7295"/>
      </w:tblGrid>
      <w:tr w:rsidR="00BC24A8" w14:paraId="106D5A6A" w14:textId="77777777">
        <w:trPr>
          <w:trHeight w:val="420"/>
        </w:trPr>
        <w:tc>
          <w:tcPr>
            <w:tcW w:w="1804" w:type="dxa"/>
            <w:shd w:val="clear" w:color="auto" w:fill="17365A"/>
          </w:tcPr>
          <w:p w14:paraId="40FFD21D" w14:textId="77777777" w:rsidR="00BC24A8" w:rsidRDefault="00000000">
            <w:pPr>
              <w:pStyle w:val="TableParagraph"/>
              <w:spacing w:before="90"/>
              <w:ind w:left="115"/>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theme</w:t>
            </w:r>
          </w:p>
        </w:tc>
        <w:tc>
          <w:tcPr>
            <w:tcW w:w="7295" w:type="dxa"/>
            <w:shd w:val="clear" w:color="auto" w:fill="17365A"/>
          </w:tcPr>
          <w:p w14:paraId="312C6D64" w14:textId="77777777" w:rsidR="00BC24A8" w:rsidRDefault="00000000">
            <w:pPr>
              <w:pStyle w:val="TableParagraph"/>
              <w:spacing w:before="90"/>
              <w:ind w:left="200"/>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description</w:t>
            </w:r>
          </w:p>
        </w:tc>
      </w:tr>
      <w:tr w:rsidR="00BC24A8" w14:paraId="76FF528C" w14:textId="77777777">
        <w:trPr>
          <w:trHeight w:val="2255"/>
        </w:trPr>
        <w:tc>
          <w:tcPr>
            <w:tcW w:w="1804" w:type="dxa"/>
            <w:tcBorders>
              <w:bottom w:val="single" w:sz="4" w:space="0" w:color="BEBEBE"/>
            </w:tcBorders>
          </w:tcPr>
          <w:p w14:paraId="4E325A1E" w14:textId="77777777" w:rsidR="00BC24A8" w:rsidRDefault="00000000">
            <w:pPr>
              <w:pStyle w:val="TableParagraph"/>
              <w:spacing w:before="162"/>
              <w:ind w:left="115"/>
              <w:rPr>
                <w:sz w:val="18"/>
              </w:rPr>
            </w:pPr>
            <w:r>
              <w:rPr>
                <w:sz w:val="18"/>
              </w:rPr>
              <w:t>Provision</w:t>
            </w:r>
            <w:r>
              <w:rPr>
                <w:spacing w:val="-3"/>
                <w:sz w:val="18"/>
              </w:rPr>
              <w:t xml:space="preserve"> </w:t>
            </w:r>
            <w:r>
              <w:rPr>
                <w:sz w:val="18"/>
              </w:rPr>
              <w:t>and</w:t>
            </w:r>
            <w:r>
              <w:rPr>
                <w:spacing w:val="-1"/>
                <w:sz w:val="18"/>
              </w:rPr>
              <w:t xml:space="preserve"> </w:t>
            </w:r>
            <w:r>
              <w:rPr>
                <w:sz w:val="18"/>
              </w:rPr>
              <w:t>use</w:t>
            </w:r>
            <w:r>
              <w:rPr>
                <w:spacing w:val="-1"/>
                <w:sz w:val="18"/>
              </w:rPr>
              <w:t xml:space="preserve"> </w:t>
            </w:r>
            <w:r>
              <w:rPr>
                <w:spacing w:val="-5"/>
                <w:sz w:val="18"/>
              </w:rPr>
              <w:t>of</w:t>
            </w:r>
          </w:p>
          <w:p w14:paraId="7CB800EB" w14:textId="77777777" w:rsidR="00BC24A8" w:rsidRDefault="00000000">
            <w:pPr>
              <w:pStyle w:val="TableParagraph"/>
              <w:spacing w:before="1"/>
              <w:ind w:left="115"/>
              <w:rPr>
                <w:sz w:val="18"/>
              </w:rPr>
            </w:pPr>
            <w:r>
              <w:rPr>
                <w:spacing w:val="-4"/>
                <w:sz w:val="18"/>
              </w:rPr>
              <w:t>data</w:t>
            </w:r>
          </w:p>
        </w:tc>
        <w:tc>
          <w:tcPr>
            <w:tcW w:w="7295" w:type="dxa"/>
            <w:tcBorders>
              <w:bottom w:val="single" w:sz="4" w:space="0" w:color="BEBEBE"/>
            </w:tcBorders>
          </w:tcPr>
          <w:p w14:paraId="3A083746" w14:textId="77777777" w:rsidR="00BC24A8" w:rsidRDefault="00000000">
            <w:pPr>
              <w:pStyle w:val="TableParagraph"/>
              <w:numPr>
                <w:ilvl w:val="0"/>
                <w:numId w:val="48"/>
              </w:numPr>
              <w:tabs>
                <w:tab w:val="left" w:pos="531"/>
              </w:tabs>
              <w:spacing w:before="162"/>
              <w:ind w:right="131"/>
              <w:rPr>
                <w:sz w:val="18"/>
              </w:rPr>
            </w:pPr>
            <w:r>
              <w:rPr>
                <w:sz w:val="18"/>
              </w:rPr>
              <w:t>SKALA</w:t>
            </w:r>
            <w:r>
              <w:rPr>
                <w:spacing w:val="-4"/>
                <w:sz w:val="18"/>
              </w:rPr>
              <w:t xml:space="preserve"> </w:t>
            </w:r>
            <w:r>
              <w:rPr>
                <w:sz w:val="18"/>
              </w:rPr>
              <w:t>conducted</w:t>
            </w:r>
            <w:r>
              <w:rPr>
                <w:spacing w:val="-3"/>
                <w:sz w:val="18"/>
              </w:rPr>
              <w:t xml:space="preserve"> </w:t>
            </w:r>
            <w:r>
              <w:rPr>
                <w:sz w:val="18"/>
              </w:rPr>
              <w:t>a</w:t>
            </w:r>
            <w:r>
              <w:rPr>
                <w:spacing w:val="-4"/>
                <w:sz w:val="18"/>
              </w:rPr>
              <w:t xml:space="preserve"> </w:t>
            </w:r>
            <w:r>
              <w:rPr>
                <w:sz w:val="18"/>
              </w:rPr>
              <w:t>combination</w:t>
            </w:r>
            <w:r>
              <w:rPr>
                <w:spacing w:val="-3"/>
                <w:sz w:val="18"/>
              </w:rPr>
              <w:t xml:space="preserve"> </w:t>
            </w:r>
            <w:r>
              <w:rPr>
                <w:sz w:val="18"/>
              </w:rPr>
              <w:t>of</w:t>
            </w:r>
            <w:r>
              <w:rPr>
                <w:spacing w:val="-4"/>
                <w:sz w:val="18"/>
              </w:rPr>
              <w:t xml:space="preserve"> </w:t>
            </w:r>
            <w:r>
              <w:rPr>
                <w:sz w:val="18"/>
              </w:rPr>
              <w:t>REGSOSEK,</w:t>
            </w:r>
            <w:r>
              <w:rPr>
                <w:spacing w:val="-4"/>
                <w:sz w:val="18"/>
              </w:rPr>
              <w:t xml:space="preserve"> </w:t>
            </w:r>
            <w:r>
              <w:rPr>
                <w:sz w:val="18"/>
              </w:rPr>
              <w:t>DTKS,</w:t>
            </w:r>
            <w:r>
              <w:rPr>
                <w:spacing w:val="-4"/>
                <w:sz w:val="18"/>
              </w:rPr>
              <w:t xml:space="preserve"> </w:t>
            </w:r>
            <w:r>
              <w:rPr>
                <w:sz w:val="18"/>
              </w:rPr>
              <w:t>and</w:t>
            </w:r>
            <w:r>
              <w:rPr>
                <w:spacing w:val="-3"/>
                <w:sz w:val="18"/>
              </w:rPr>
              <w:t xml:space="preserve"> </w:t>
            </w:r>
            <w:r>
              <w:rPr>
                <w:sz w:val="18"/>
              </w:rPr>
              <w:t>P3KE</w:t>
            </w:r>
            <w:r>
              <w:rPr>
                <w:spacing w:val="-3"/>
                <w:sz w:val="18"/>
              </w:rPr>
              <w:t xml:space="preserve"> </w:t>
            </w:r>
            <w:r>
              <w:rPr>
                <w:sz w:val="18"/>
              </w:rPr>
              <w:t>data</w:t>
            </w:r>
            <w:r>
              <w:rPr>
                <w:spacing w:val="-4"/>
                <w:sz w:val="18"/>
              </w:rPr>
              <w:t xml:space="preserve"> </w:t>
            </w:r>
            <w:r>
              <w:rPr>
                <w:sz w:val="18"/>
              </w:rPr>
              <w:t>with</w:t>
            </w:r>
            <w:r>
              <w:rPr>
                <w:spacing w:val="-3"/>
                <w:sz w:val="18"/>
              </w:rPr>
              <w:t xml:space="preserve"> </w:t>
            </w:r>
            <w:r>
              <w:rPr>
                <w:sz w:val="18"/>
              </w:rPr>
              <w:t>Bapperida</w:t>
            </w:r>
            <w:r>
              <w:rPr>
                <w:spacing w:val="-4"/>
                <w:sz w:val="18"/>
              </w:rPr>
              <w:t xml:space="preserve"> </w:t>
            </w:r>
            <w:r>
              <w:rPr>
                <w:sz w:val="18"/>
              </w:rPr>
              <w:t>and</w:t>
            </w:r>
            <w:r>
              <w:rPr>
                <w:spacing w:val="-3"/>
                <w:sz w:val="18"/>
              </w:rPr>
              <w:t xml:space="preserve"> </w:t>
            </w:r>
            <w:r>
              <w:rPr>
                <w:sz w:val="18"/>
              </w:rPr>
              <w:t>the Social Service Office for the distribution of Social Assistance sourced from the Regional Incentive Fund (DID).</w:t>
            </w:r>
          </w:p>
          <w:p w14:paraId="683D54AA" w14:textId="77777777" w:rsidR="00BC24A8" w:rsidRDefault="00000000">
            <w:pPr>
              <w:pStyle w:val="TableParagraph"/>
              <w:numPr>
                <w:ilvl w:val="0"/>
                <w:numId w:val="48"/>
              </w:numPr>
              <w:tabs>
                <w:tab w:val="left" w:pos="531"/>
              </w:tabs>
              <w:spacing w:before="1"/>
              <w:ind w:right="230" w:hanging="361"/>
              <w:rPr>
                <w:sz w:val="18"/>
              </w:rPr>
            </w:pPr>
            <w:r>
              <w:rPr>
                <w:sz w:val="18"/>
              </w:rPr>
              <w:t>This initiative is SKALA’s effort to utilise data on various government platforms to reduce errors</w:t>
            </w:r>
            <w:r>
              <w:rPr>
                <w:spacing w:val="-3"/>
                <w:sz w:val="18"/>
              </w:rPr>
              <w:t xml:space="preserve"> </w:t>
            </w:r>
            <w:r>
              <w:rPr>
                <w:sz w:val="18"/>
              </w:rPr>
              <w:t>in</w:t>
            </w:r>
            <w:r>
              <w:rPr>
                <w:spacing w:val="-3"/>
                <w:sz w:val="18"/>
              </w:rPr>
              <w:t xml:space="preserve"> </w:t>
            </w:r>
            <w:r>
              <w:rPr>
                <w:sz w:val="18"/>
              </w:rPr>
              <w:t>inclusion</w:t>
            </w:r>
            <w:r>
              <w:rPr>
                <w:spacing w:val="-3"/>
                <w:sz w:val="18"/>
              </w:rPr>
              <w:t xml:space="preserve"> </w:t>
            </w:r>
            <w:r>
              <w:rPr>
                <w:sz w:val="18"/>
              </w:rPr>
              <w:t>and</w:t>
            </w:r>
            <w:r>
              <w:rPr>
                <w:spacing w:val="-3"/>
                <w:sz w:val="18"/>
              </w:rPr>
              <w:t xml:space="preserve"> </w:t>
            </w:r>
            <w:r>
              <w:rPr>
                <w:sz w:val="18"/>
              </w:rPr>
              <w:t>exclusion,</w:t>
            </w:r>
            <w:r>
              <w:rPr>
                <w:spacing w:val="-4"/>
                <w:sz w:val="18"/>
              </w:rPr>
              <w:t xml:space="preserve"> </w:t>
            </w:r>
            <w:r>
              <w:rPr>
                <w:sz w:val="18"/>
              </w:rPr>
              <w:t>thereby</w:t>
            </w:r>
            <w:r>
              <w:rPr>
                <w:spacing w:val="-3"/>
                <w:sz w:val="18"/>
              </w:rPr>
              <w:t xml:space="preserve"> </w:t>
            </w:r>
            <w:r>
              <w:rPr>
                <w:sz w:val="18"/>
              </w:rPr>
              <w:t>making</w:t>
            </w:r>
            <w:r>
              <w:rPr>
                <w:spacing w:val="-4"/>
                <w:sz w:val="18"/>
              </w:rPr>
              <w:t xml:space="preserve"> </w:t>
            </w:r>
            <w:r>
              <w:rPr>
                <w:sz w:val="18"/>
              </w:rPr>
              <w:t>the</w:t>
            </w:r>
            <w:r>
              <w:rPr>
                <w:spacing w:val="-3"/>
                <w:sz w:val="18"/>
              </w:rPr>
              <w:t xml:space="preserve"> </w:t>
            </w:r>
            <w:r>
              <w:rPr>
                <w:sz w:val="18"/>
              </w:rPr>
              <w:t>distribution</w:t>
            </w:r>
            <w:r>
              <w:rPr>
                <w:spacing w:val="-3"/>
                <w:sz w:val="18"/>
              </w:rPr>
              <w:t xml:space="preserve"> </w:t>
            </w:r>
            <w:r>
              <w:rPr>
                <w:sz w:val="18"/>
              </w:rPr>
              <w:t>of</w:t>
            </w:r>
            <w:r>
              <w:rPr>
                <w:spacing w:val="-4"/>
                <w:sz w:val="18"/>
              </w:rPr>
              <w:t xml:space="preserve"> </w:t>
            </w:r>
            <w:r>
              <w:rPr>
                <w:sz w:val="18"/>
              </w:rPr>
              <w:t>social</w:t>
            </w:r>
            <w:r>
              <w:rPr>
                <w:spacing w:val="-2"/>
                <w:sz w:val="18"/>
              </w:rPr>
              <w:t xml:space="preserve"> </w:t>
            </w:r>
            <w:r>
              <w:rPr>
                <w:sz w:val="18"/>
              </w:rPr>
              <w:t>assistance</w:t>
            </w:r>
            <w:r>
              <w:rPr>
                <w:spacing w:val="-3"/>
                <w:sz w:val="18"/>
              </w:rPr>
              <w:t xml:space="preserve"> </w:t>
            </w:r>
            <w:r>
              <w:rPr>
                <w:sz w:val="18"/>
              </w:rPr>
              <w:t xml:space="preserve">more </w:t>
            </w:r>
            <w:r>
              <w:rPr>
                <w:spacing w:val="-2"/>
                <w:sz w:val="18"/>
              </w:rPr>
              <w:t>targeted.</w:t>
            </w:r>
          </w:p>
          <w:p w14:paraId="13E5EE9A" w14:textId="77777777" w:rsidR="00BC24A8" w:rsidRDefault="00000000">
            <w:pPr>
              <w:pStyle w:val="TableParagraph"/>
              <w:numPr>
                <w:ilvl w:val="0"/>
                <w:numId w:val="48"/>
              </w:numPr>
              <w:tabs>
                <w:tab w:val="left" w:pos="531"/>
              </w:tabs>
              <w:spacing w:before="1"/>
              <w:ind w:right="143"/>
              <w:rPr>
                <w:sz w:val="18"/>
              </w:rPr>
            </w:pPr>
            <w:r>
              <w:rPr>
                <w:sz w:val="18"/>
              </w:rPr>
              <w:t>Issuance of Governor Decree Number 403/KEP/HK/2024 on recipients of extreme poverty social</w:t>
            </w:r>
            <w:r>
              <w:rPr>
                <w:spacing w:val="-2"/>
                <w:sz w:val="18"/>
              </w:rPr>
              <w:t xml:space="preserve"> </w:t>
            </w:r>
            <w:r>
              <w:rPr>
                <w:sz w:val="18"/>
              </w:rPr>
              <w:t>assistance</w:t>
            </w:r>
            <w:r>
              <w:rPr>
                <w:spacing w:val="-3"/>
                <w:sz w:val="18"/>
              </w:rPr>
              <w:t xml:space="preserve"> </w:t>
            </w:r>
            <w:r>
              <w:rPr>
                <w:sz w:val="18"/>
              </w:rPr>
              <w:t>worth</w:t>
            </w:r>
            <w:r>
              <w:rPr>
                <w:spacing w:val="-3"/>
                <w:sz w:val="18"/>
              </w:rPr>
              <w:t xml:space="preserve"> </w:t>
            </w:r>
            <w:r>
              <w:rPr>
                <w:sz w:val="18"/>
              </w:rPr>
              <w:t>IDR</w:t>
            </w:r>
            <w:r>
              <w:rPr>
                <w:spacing w:val="-3"/>
                <w:sz w:val="18"/>
              </w:rPr>
              <w:t xml:space="preserve"> </w:t>
            </w:r>
            <w:r>
              <w:rPr>
                <w:sz w:val="18"/>
              </w:rPr>
              <w:t>5,599,115,000</w:t>
            </w:r>
            <w:r>
              <w:rPr>
                <w:spacing w:val="-3"/>
                <w:sz w:val="18"/>
              </w:rPr>
              <w:t xml:space="preserve"> </w:t>
            </w:r>
            <w:r>
              <w:rPr>
                <w:sz w:val="18"/>
              </w:rPr>
              <w:t>with</w:t>
            </w:r>
            <w:r>
              <w:rPr>
                <w:spacing w:val="-3"/>
                <w:sz w:val="18"/>
              </w:rPr>
              <w:t xml:space="preserve"> </w:t>
            </w:r>
            <w:r>
              <w:rPr>
                <w:sz w:val="18"/>
              </w:rPr>
              <w:t>a</w:t>
            </w:r>
            <w:r>
              <w:rPr>
                <w:spacing w:val="-4"/>
                <w:sz w:val="18"/>
              </w:rPr>
              <w:t xml:space="preserve"> </w:t>
            </w:r>
            <w:r>
              <w:rPr>
                <w:sz w:val="18"/>
              </w:rPr>
              <w:t>focus</w:t>
            </w:r>
            <w:r>
              <w:rPr>
                <w:spacing w:val="-3"/>
                <w:sz w:val="18"/>
              </w:rPr>
              <w:t xml:space="preserve"> </w:t>
            </w:r>
            <w:r>
              <w:rPr>
                <w:sz w:val="18"/>
              </w:rPr>
              <w:t>on</w:t>
            </w:r>
            <w:r>
              <w:rPr>
                <w:spacing w:val="-3"/>
                <w:sz w:val="18"/>
              </w:rPr>
              <w:t xml:space="preserve"> </w:t>
            </w:r>
            <w:r>
              <w:rPr>
                <w:sz w:val="18"/>
              </w:rPr>
              <w:t>women,</w:t>
            </w:r>
            <w:r>
              <w:rPr>
                <w:spacing w:val="-2"/>
                <w:sz w:val="18"/>
              </w:rPr>
              <w:t xml:space="preserve"> </w:t>
            </w:r>
            <w:r>
              <w:rPr>
                <w:sz w:val="18"/>
              </w:rPr>
              <w:t>persons</w:t>
            </w:r>
            <w:r>
              <w:rPr>
                <w:spacing w:val="-3"/>
                <w:sz w:val="18"/>
              </w:rPr>
              <w:t xml:space="preserve"> </w:t>
            </w:r>
            <w:r>
              <w:rPr>
                <w:sz w:val="18"/>
              </w:rPr>
              <w:t>with</w:t>
            </w:r>
            <w:r>
              <w:rPr>
                <w:spacing w:val="-3"/>
                <w:sz w:val="18"/>
              </w:rPr>
              <w:t xml:space="preserve"> </w:t>
            </w:r>
            <w:r>
              <w:rPr>
                <w:sz w:val="18"/>
              </w:rPr>
              <w:t>disabilities, and the older adult groups.</w:t>
            </w:r>
          </w:p>
        </w:tc>
      </w:tr>
      <w:tr w:rsidR="00BC24A8" w14:paraId="491925ED" w14:textId="77777777">
        <w:trPr>
          <w:trHeight w:val="1991"/>
        </w:trPr>
        <w:tc>
          <w:tcPr>
            <w:tcW w:w="1804" w:type="dxa"/>
            <w:tcBorders>
              <w:top w:val="single" w:sz="4" w:space="0" w:color="BEBEBE"/>
              <w:bottom w:val="single" w:sz="4" w:space="0" w:color="BEBEBE"/>
            </w:tcBorders>
          </w:tcPr>
          <w:p w14:paraId="3C0EC570" w14:textId="77777777" w:rsidR="00BC24A8" w:rsidRDefault="00000000">
            <w:pPr>
              <w:pStyle w:val="TableParagraph"/>
              <w:spacing w:before="119"/>
              <w:ind w:left="115" w:right="165"/>
              <w:rPr>
                <w:sz w:val="18"/>
              </w:rPr>
            </w:pPr>
            <w:r>
              <w:rPr>
                <w:sz w:val="18"/>
              </w:rPr>
              <w:t>MSS</w:t>
            </w:r>
            <w:r>
              <w:rPr>
                <w:spacing w:val="-11"/>
                <w:sz w:val="18"/>
              </w:rPr>
              <w:t xml:space="preserve"> </w:t>
            </w:r>
            <w:r>
              <w:rPr>
                <w:sz w:val="18"/>
              </w:rPr>
              <w:t xml:space="preserve">implementation </w:t>
            </w:r>
            <w:r>
              <w:rPr>
                <w:spacing w:val="-2"/>
                <w:sz w:val="18"/>
              </w:rPr>
              <w:t>(planning,</w:t>
            </w:r>
            <w:r>
              <w:rPr>
                <w:sz w:val="18"/>
              </w:rPr>
              <w:t xml:space="preserve"> achievement,</w:t>
            </w:r>
            <w:r>
              <w:rPr>
                <w:spacing w:val="-2"/>
                <w:sz w:val="18"/>
              </w:rPr>
              <w:t xml:space="preserve"> </w:t>
            </w:r>
            <w:r>
              <w:rPr>
                <w:sz w:val="18"/>
              </w:rPr>
              <w:t xml:space="preserve">and </w:t>
            </w:r>
            <w:r>
              <w:rPr>
                <w:spacing w:val="-2"/>
                <w:sz w:val="18"/>
              </w:rPr>
              <w:t>reporting)</w:t>
            </w:r>
          </w:p>
        </w:tc>
        <w:tc>
          <w:tcPr>
            <w:tcW w:w="7295" w:type="dxa"/>
            <w:tcBorders>
              <w:top w:val="single" w:sz="4" w:space="0" w:color="BEBEBE"/>
              <w:bottom w:val="single" w:sz="4" w:space="0" w:color="BEBEBE"/>
            </w:tcBorders>
          </w:tcPr>
          <w:p w14:paraId="1DB927D7" w14:textId="77777777" w:rsidR="00BC24A8" w:rsidRDefault="00000000">
            <w:pPr>
              <w:pStyle w:val="TableParagraph"/>
              <w:numPr>
                <w:ilvl w:val="0"/>
                <w:numId w:val="47"/>
              </w:numPr>
              <w:tabs>
                <w:tab w:val="left" w:pos="531"/>
              </w:tabs>
              <w:spacing w:before="119"/>
              <w:ind w:right="119"/>
              <w:rPr>
                <w:sz w:val="18"/>
              </w:rPr>
            </w:pPr>
            <w:r>
              <w:rPr>
                <w:sz w:val="18"/>
              </w:rPr>
              <w:t>Since the beginning of FY 2024/2025, SKALA and the Provincial Government have been using</w:t>
            </w:r>
            <w:r>
              <w:rPr>
                <w:spacing w:val="-4"/>
                <w:sz w:val="18"/>
              </w:rPr>
              <w:t xml:space="preserve"> </w:t>
            </w:r>
            <w:r>
              <w:rPr>
                <w:sz w:val="18"/>
              </w:rPr>
              <w:t>the</w:t>
            </w:r>
            <w:r>
              <w:rPr>
                <w:spacing w:val="-3"/>
                <w:sz w:val="18"/>
              </w:rPr>
              <w:t xml:space="preserve"> </w:t>
            </w:r>
            <w:r>
              <w:rPr>
                <w:sz w:val="18"/>
              </w:rPr>
              <w:t>hybrid</w:t>
            </w:r>
            <w:r>
              <w:rPr>
                <w:spacing w:val="-3"/>
                <w:sz w:val="18"/>
              </w:rPr>
              <w:t xml:space="preserve"> </w:t>
            </w:r>
            <w:r>
              <w:rPr>
                <w:sz w:val="18"/>
              </w:rPr>
              <w:t>monitoring</w:t>
            </w:r>
            <w:r>
              <w:rPr>
                <w:spacing w:val="-4"/>
                <w:sz w:val="18"/>
              </w:rPr>
              <w:t xml:space="preserve"> </w:t>
            </w:r>
            <w:r>
              <w:rPr>
                <w:sz w:val="18"/>
              </w:rPr>
              <w:t>and</w:t>
            </w:r>
            <w:r>
              <w:rPr>
                <w:spacing w:val="-3"/>
                <w:sz w:val="18"/>
              </w:rPr>
              <w:t xml:space="preserve"> </w:t>
            </w:r>
            <w:r>
              <w:rPr>
                <w:sz w:val="18"/>
              </w:rPr>
              <w:t>supervision</w:t>
            </w:r>
            <w:r>
              <w:rPr>
                <w:spacing w:val="-3"/>
                <w:sz w:val="18"/>
              </w:rPr>
              <w:t xml:space="preserve"> </w:t>
            </w:r>
            <w:r>
              <w:rPr>
                <w:sz w:val="18"/>
              </w:rPr>
              <w:t>method</w:t>
            </w:r>
            <w:r>
              <w:rPr>
                <w:spacing w:val="-3"/>
                <w:sz w:val="18"/>
              </w:rPr>
              <w:t xml:space="preserve"> </w:t>
            </w:r>
            <w:r>
              <w:rPr>
                <w:sz w:val="18"/>
              </w:rPr>
              <w:t>to</w:t>
            </w:r>
            <w:r>
              <w:rPr>
                <w:spacing w:val="-4"/>
                <w:sz w:val="18"/>
              </w:rPr>
              <w:t xml:space="preserve"> </w:t>
            </w:r>
            <w:r>
              <w:rPr>
                <w:sz w:val="18"/>
              </w:rPr>
              <w:t>monitor</w:t>
            </w:r>
            <w:r>
              <w:rPr>
                <w:spacing w:val="-3"/>
                <w:sz w:val="18"/>
              </w:rPr>
              <w:t xml:space="preserve"> </w:t>
            </w:r>
            <w:r>
              <w:rPr>
                <w:sz w:val="18"/>
              </w:rPr>
              <w:t>MSS</w:t>
            </w:r>
            <w:r>
              <w:rPr>
                <w:spacing w:val="-3"/>
                <w:sz w:val="18"/>
              </w:rPr>
              <w:t xml:space="preserve"> </w:t>
            </w:r>
            <w:r>
              <w:rPr>
                <w:sz w:val="18"/>
              </w:rPr>
              <w:t>implementation</w:t>
            </w:r>
            <w:r>
              <w:rPr>
                <w:spacing w:val="-3"/>
                <w:sz w:val="18"/>
              </w:rPr>
              <w:t xml:space="preserve"> </w:t>
            </w:r>
            <w:r>
              <w:rPr>
                <w:sz w:val="18"/>
              </w:rPr>
              <w:t>at</w:t>
            </w:r>
            <w:r>
              <w:rPr>
                <w:spacing w:val="-5"/>
                <w:sz w:val="18"/>
              </w:rPr>
              <w:t xml:space="preserve"> </w:t>
            </w:r>
            <w:r>
              <w:rPr>
                <w:sz w:val="18"/>
              </w:rPr>
              <w:t>the regency level. This method was chosen because it considers the condition of NTT province, an archipelago province with limited transportation access.</w:t>
            </w:r>
          </w:p>
          <w:p w14:paraId="633A27E3" w14:textId="77777777" w:rsidR="00BC24A8" w:rsidRDefault="00000000">
            <w:pPr>
              <w:pStyle w:val="TableParagraph"/>
              <w:numPr>
                <w:ilvl w:val="0"/>
                <w:numId w:val="47"/>
              </w:numPr>
              <w:tabs>
                <w:tab w:val="left" w:pos="531"/>
              </w:tabs>
              <w:ind w:right="181"/>
              <w:rPr>
                <w:sz w:val="18"/>
              </w:rPr>
            </w:pPr>
            <w:r>
              <w:rPr>
                <w:sz w:val="18"/>
              </w:rPr>
              <w:t>The</w:t>
            </w:r>
            <w:r>
              <w:rPr>
                <w:spacing w:val="-4"/>
                <w:sz w:val="18"/>
              </w:rPr>
              <w:t xml:space="preserve"> </w:t>
            </w:r>
            <w:r>
              <w:rPr>
                <w:sz w:val="18"/>
              </w:rPr>
              <w:t>Bureau</w:t>
            </w:r>
            <w:r>
              <w:rPr>
                <w:spacing w:val="-4"/>
                <w:sz w:val="18"/>
              </w:rPr>
              <w:t xml:space="preserve"> </w:t>
            </w:r>
            <w:r>
              <w:rPr>
                <w:sz w:val="18"/>
              </w:rPr>
              <w:t>of</w:t>
            </w:r>
            <w:r>
              <w:rPr>
                <w:spacing w:val="-5"/>
                <w:sz w:val="18"/>
              </w:rPr>
              <w:t xml:space="preserve"> </w:t>
            </w:r>
            <w:r>
              <w:rPr>
                <w:sz w:val="18"/>
              </w:rPr>
              <w:t>Government,</w:t>
            </w:r>
            <w:r>
              <w:rPr>
                <w:spacing w:val="-3"/>
                <w:sz w:val="18"/>
              </w:rPr>
              <w:t xml:space="preserve"> </w:t>
            </w:r>
            <w:r>
              <w:rPr>
                <w:sz w:val="18"/>
              </w:rPr>
              <w:t>as</w:t>
            </w:r>
            <w:r>
              <w:rPr>
                <w:spacing w:val="-4"/>
                <w:sz w:val="18"/>
              </w:rPr>
              <w:t xml:space="preserve"> </w:t>
            </w:r>
            <w:r>
              <w:rPr>
                <w:sz w:val="18"/>
              </w:rPr>
              <w:t>the</w:t>
            </w:r>
            <w:r>
              <w:rPr>
                <w:spacing w:val="-4"/>
                <w:sz w:val="18"/>
              </w:rPr>
              <w:t xml:space="preserve"> </w:t>
            </w:r>
            <w:r>
              <w:rPr>
                <w:sz w:val="18"/>
              </w:rPr>
              <w:t>Secretariat</w:t>
            </w:r>
            <w:r>
              <w:rPr>
                <w:spacing w:val="-3"/>
                <w:sz w:val="18"/>
              </w:rPr>
              <w:t xml:space="preserve"> </w:t>
            </w:r>
            <w:r>
              <w:rPr>
                <w:sz w:val="18"/>
              </w:rPr>
              <w:t>of</w:t>
            </w:r>
            <w:r>
              <w:rPr>
                <w:spacing w:val="-5"/>
                <w:sz w:val="18"/>
              </w:rPr>
              <w:t xml:space="preserve"> </w:t>
            </w:r>
            <w:r>
              <w:rPr>
                <w:sz w:val="18"/>
              </w:rPr>
              <w:t>the</w:t>
            </w:r>
            <w:r>
              <w:rPr>
                <w:spacing w:val="-4"/>
                <w:sz w:val="18"/>
              </w:rPr>
              <w:t xml:space="preserve"> </w:t>
            </w:r>
            <w:r>
              <w:rPr>
                <w:sz w:val="18"/>
              </w:rPr>
              <w:t>Provincial</w:t>
            </w:r>
            <w:r>
              <w:rPr>
                <w:spacing w:val="-3"/>
                <w:sz w:val="18"/>
              </w:rPr>
              <w:t xml:space="preserve"> </w:t>
            </w:r>
            <w:r>
              <w:rPr>
                <w:sz w:val="18"/>
              </w:rPr>
              <w:t>MSS</w:t>
            </w:r>
            <w:r>
              <w:rPr>
                <w:spacing w:val="-4"/>
                <w:sz w:val="18"/>
              </w:rPr>
              <w:t xml:space="preserve"> </w:t>
            </w:r>
            <w:r>
              <w:rPr>
                <w:sz w:val="18"/>
              </w:rPr>
              <w:t>Implementation</w:t>
            </w:r>
            <w:r>
              <w:rPr>
                <w:spacing w:val="-4"/>
                <w:sz w:val="18"/>
              </w:rPr>
              <w:t xml:space="preserve"> </w:t>
            </w:r>
            <w:r>
              <w:rPr>
                <w:sz w:val="18"/>
              </w:rPr>
              <w:t>Team, has capacitated six MSS Implementing DPOs at the provincial level to assist them in implementing MSS at the regency</w:t>
            </w:r>
            <w:r>
              <w:rPr>
                <w:spacing w:val="-1"/>
                <w:sz w:val="18"/>
              </w:rPr>
              <w:t xml:space="preserve"> </w:t>
            </w:r>
            <w:r>
              <w:rPr>
                <w:sz w:val="18"/>
              </w:rPr>
              <w:t>or city level. This method is part of the capacity building of the Provincial implementation team to enable it to perform its functions.</w:t>
            </w:r>
          </w:p>
        </w:tc>
      </w:tr>
      <w:tr w:rsidR="00BC24A8" w14:paraId="15FAB07B" w14:textId="77777777">
        <w:trPr>
          <w:trHeight w:val="3472"/>
        </w:trPr>
        <w:tc>
          <w:tcPr>
            <w:tcW w:w="1804" w:type="dxa"/>
            <w:tcBorders>
              <w:top w:val="single" w:sz="4" w:space="0" w:color="BEBEBE"/>
              <w:bottom w:val="single" w:sz="4" w:space="0" w:color="BEBEBE"/>
            </w:tcBorders>
          </w:tcPr>
          <w:p w14:paraId="64D0D59A" w14:textId="77777777" w:rsidR="00BC24A8" w:rsidRDefault="00000000">
            <w:pPr>
              <w:pStyle w:val="TableParagraph"/>
              <w:spacing w:before="119"/>
              <w:ind w:left="115" w:right="378"/>
              <w:rPr>
                <w:sz w:val="18"/>
              </w:rPr>
            </w:pPr>
            <w:r>
              <w:rPr>
                <w:sz w:val="18"/>
              </w:rPr>
              <w:t>Participation of vulnerable</w:t>
            </w:r>
            <w:r>
              <w:rPr>
                <w:spacing w:val="-11"/>
                <w:sz w:val="18"/>
              </w:rPr>
              <w:t xml:space="preserve"> </w:t>
            </w:r>
            <w:r>
              <w:rPr>
                <w:sz w:val="18"/>
              </w:rPr>
              <w:t>groups</w:t>
            </w:r>
          </w:p>
        </w:tc>
        <w:tc>
          <w:tcPr>
            <w:tcW w:w="7295" w:type="dxa"/>
            <w:tcBorders>
              <w:top w:val="single" w:sz="4" w:space="0" w:color="BEBEBE"/>
              <w:bottom w:val="single" w:sz="4" w:space="0" w:color="BEBEBE"/>
            </w:tcBorders>
          </w:tcPr>
          <w:p w14:paraId="3A9F735A" w14:textId="77777777" w:rsidR="00BC24A8" w:rsidRDefault="00000000">
            <w:pPr>
              <w:pStyle w:val="TableParagraph"/>
              <w:numPr>
                <w:ilvl w:val="0"/>
                <w:numId w:val="46"/>
              </w:numPr>
              <w:tabs>
                <w:tab w:val="left" w:pos="531"/>
              </w:tabs>
              <w:spacing w:before="119"/>
              <w:ind w:right="194"/>
              <w:jc w:val="both"/>
              <w:rPr>
                <w:sz w:val="18"/>
              </w:rPr>
            </w:pPr>
            <w:r>
              <w:rPr>
                <w:sz w:val="18"/>
              </w:rPr>
              <w:t>The</w:t>
            </w:r>
            <w:r>
              <w:rPr>
                <w:spacing w:val="-3"/>
                <w:sz w:val="18"/>
              </w:rPr>
              <w:t xml:space="preserve"> </w:t>
            </w:r>
            <w:r>
              <w:rPr>
                <w:sz w:val="18"/>
              </w:rPr>
              <w:t>participation</w:t>
            </w:r>
            <w:r>
              <w:rPr>
                <w:spacing w:val="-3"/>
                <w:sz w:val="18"/>
              </w:rPr>
              <w:t xml:space="preserve"> </w:t>
            </w:r>
            <w:r>
              <w:rPr>
                <w:sz w:val="18"/>
              </w:rPr>
              <w:t>of</w:t>
            </w:r>
            <w:r>
              <w:rPr>
                <w:spacing w:val="-4"/>
                <w:sz w:val="18"/>
              </w:rPr>
              <w:t xml:space="preserve"> </w:t>
            </w:r>
            <w:r>
              <w:rPr>
                <w:sz w:val="18"/>
              </w:rPr>
              <w:t>vulnerable</w:t>
            </w:r>
            <w:r>
              <w:rPr>
                <w:spacing w:val="-3"/>
                <w:sz w:val="18"/>
              </w:rPr>
              <w:t xml:space="preserve"> </w:t>
            </w:r>
            <w:r>
              <w:rPr>
                <w:sz w:val="18"/>
              </w:rPr>
              <w:t>groups</w:t>
            </w:r>
            <w:r>
              <w:rPr>
                <w:spacing w:val="-3"/>
                <w:sz w:val="18"/>
              </w:rPr>
              <w:t xml:space="preserve"> </w:t>
            </w:r>
            <w:r>
              <w:rPr>
                <w:sz w:val="18"/>
              </w:rPr>
              <w:t>in</w:t>
            </w:r>
            <w:r>
              <w:rPr>
                <w:spacing w:val="-3"/>
                <w:sz w:val="18"/>
              </w:rPr>
              <w:t xml:space="preserve"> </w:t>
            </w:r>
            <w:r>
              <w:rPr>
                <w:sz w:val="18"/>
              </w:rPr>
              <w:t>local</w:t>
            </w:r>
            <w:r>
              <w:rPr>
                <w:spacing w:val="-2"/>
                <w:sz w:val="18"/>
              </w:rPr>
              <w:t xml:space="preserve"> </w:t>
            </w:r>
            <w:r>
              <w:rPr>
                <w:sz w:val="18"/>
              </w:rPr>
              <w:t>planning</w:t>
            </w:r>
            <w:r>
              <w:rPr>
                <w:spacing w:val="-4"/>
                <w:sz w:val="18"/>
              </w:rPr>
              <w:t xml:space="preserve"> </w:t>
            </w:r>
            <w:r>
              <w:rPr>
                <w:sz w:val="18"/>
              </w:rPr>
              <w:t>processes</w:t>
            </w:r>
            <w:r>
              <w:rPr>
                <w:spacing w:val="-3"/>
                <w:sz w:val="18"/>
              </w:rPr>
              <w:t xml:space="preserve"> </w:t>
            </w:r>
            <w:r>
              <w:rPr>
                <w:sz w:val="18"/>
              </w:rPr>
              <w:t>has</w:t>
            </w:r>
            <w:r>
              <w:rPr>
                <w:spacing w:val="-3"/>
                <w:sz w:val="18"/>
              </w:rPr>
              <w:t xml:space="preserve"> </w:t>
            </w:r>
            <w:r>
              <w:rPr>
                <w:sz w:val="18"/>
              </w:rPr>
              <w:t>increased</w:t>
            </w:r>
            <w:r>
              <w:rPr>
                <w:spacing w:val="-3"/>
                <w:sz w:val="18"/>
              </w:rPr>
              <w:t xml:space="preserve"> </w:t>
            </w:r>
            <w:r>
              <w:rPr>
                <w:sz w:val="18"/>
              </w:rPr>
              <w:t>during</w:t>
            </w:r>
            <w:r>
              <w:rPr>
                <w:spacing w:val="-4"/>
                <w:sz w:val="18"/>
              </w:rPr>
              <w:t xml:space="preserve"> </w:t>
            </w:r>
            <w:r>
              <w:rPr>
                <w:sz w:val="18"/>
              </w:rPr>
              <w:t>this period.</w:t>
            </w:r>
            <w:r>
              <w:rPr>
                <w:spacing w:val="-3"/>
                <w:sz w:val="18"/>
              </w:rPr>
              <w:t xml:space="preserve"> </w:t>
            </w:r>
            <w:r>
              <w:rPr>
                <w:sz w:val="18"/>
              </w:rPr>
              <w:t>CSOs/DPOs</w:t>
            </w:r>
            <w:r>
              <w:rPr>
                <w:spacing w:val="-2"/>
                <w:sz w:val="18"/>
              </w:rPr>
              <w:t xml:space="preserve"> </w:t>
            </w:r>
            <w:r>
              <w:rPr>
                <w:sz w:val="18"/>
              </w:rPr>
              <w:t>become</w:t>
            </w:r>
            <w:r>
              <w:rPr>
                <w:spacing w:val="-2"/>
                <w:sz w:val="18"/>
              </w:rPr>
              <w:t xml:space="preserve"> </w:t>
            </w:r>
            <w:r>
              <w:rPr>
                <w:sz w:val="18"/>
              </w:rPr>
              <w:t>facilitators</w:t>
            </w:r>
            <w:r>
              <w:rPr>
                <w:spacing w:val="-2"/>
                <w:sz w:val="18"/>
              </w:rPr>
              <w:t xml:space="preserve"> </w:t>
            </w:r>
            <w:r>
              <w:rPr>
                <w:sz w:val="18"/>
              </w:rPr>
              <w:t>for</w:t>
            </w:r>
            <w:r>
              <w:rPr>
                <w:spacing w:val="-2"/>
                <w:sz w:val="18"/>
              </w:rPr>
              <w:t xml:space="preserve"> </w:t>
            </w:r>
            <w:r>
              <w:rPr>
                <w:sz w:val="18"/>
              </w:rPr>
              <w:t>CSO/DPO</w:t>
            </w:r>
            <w:r>
              <w:rPr>
                <w:spacing w:val="-2"/>
                <w:sz w:val="18"/>
              </w:rPr>
              <w:t xml:space="preserve"> </w:t>
            </w:r>
            <w:r>
              <w:rPr>
                <w:sz w:val="18"/>
              </w:rPr>
              <w:t>partners</w:t>
            </w:r>
            <w:r>
              <w:rPr>
                <w:spacing w:val="-2"/>
                <w:sz w:val="18"/>
              </w:rPr>
              <w:t xml:space="preserve"> </w:t>
            </w:r>
            <w:r>
              <w:rPr>
                <w:sz w:val="18"/>
              </w:rPr>
              <w:t>in</w:t>
            </w:r>
            <w:r>
              <w:rPr>
                <w:spacing w:val="-2"/>
                <w:sz w:val="18"/>
              </w:rPr>
              <w:t xml:space="preserve"> </w:t>
            </w:r>
            <w:r>
              <w:rPr>
                <w:sz w:val="18"/>
              </w:rPr>
              <w:t>the</w:t>
            </w:r>
            <w:r>
              <w:rPr>
                <w:spacing w:val="-5"/>
                <w:sz w:val="18"/>
              </w:rPr>
              <w:t xml:space="preserve"> </w:t>
            </w:r>
            <w:r>
              <w:rPr>
                <w:sz w:val="18"/>
              </w:rPr>
              <w:t>regency/city</w:t>
            </w:r>
            <w:r>
              <w:rPr>
                <w:spacing w:val="-2"/>
                <w:sz w:val="18"/>
              </w:rPr>
              <w:t xml:space="preserve"> </w:t>
            </w:r>
            <w:r>
              <w:rPr>
                <w:sz w:val="18"/>
              </w:rPr>
              <w:t>to</w:t>
            </w:r>
            <w:r>
              <w:rPr>
                <w:spacing w:val="-3"/>
                <w:sz w:val="18"/>
              </w:rPr>
              <w:t xml:space="preserve"> </w:t>
            </w:r>
            <w:r>
              <w:rPr>
                <w:sz w:val="18"/>
              </w:rPr>
              <w:t>submit meaningful proposals.</w:t>
            </w:r>
          </w:p>
          <w:p w14:paraId="12190795" w14:textId="77777777" w:rsidR="00BC24A8" w:rsidRDefault="00000000">
            <w:pPr>
              <w:pStyle w:val="TableParagraph"/>
              <w:numPr>
                <w:ilvl w:val="0"/>
                <w:numId w:val="46"/>
              </w:numPr>
              <w:tabs>
                <w:tab w:val="left" w:pos="531"/>
              </w:tabs>
              <w:ind w:right="158"/>
              <w:rPr>
                <w:sz w:val="18"/>
              </w:rPr>
            </w:pPr>
            <w:r>
              <w:rPr>
                <w:sz w:val="18"/>
              </w:rPr>
              <w:t>Governor</w:t>
            </w:r>
            <w:r>
              <w:rPr>
                <w:spacing w:val="-3"/>
                <w:sz w:val="18"/>
              </w:rPr>
              <w:t xml:space="preserve"> </w:t>
            </w:r>
            <w:r>
              <w:rPr>
                <w:sz w:val="18"/>
              </w:rPr>
              <w:t>Regulation</w:t>
            </w:r>
            <w:r>
              <w:rPr>
                <w:spacing w:val="-3"/>
                <w:sz w:val="18"/>
              </w:rPr>
              <w:t xml:space="preserve"> </w:t>
            </w:r>
            <w:r>
              <w:rPr>
                <w:sz w:val="18"/>
              </w:rPr>
              <w:t>No.</w:t>
            </w:r>
            <w:r>
              <w:rPr>
                <w:spacing w:val="-4"/>
                <w:sz w:val="18"/>
              </w:rPr>
              <w:t xml:space="preserve"> </w:t>
            </w:r>
            <w:r>
              <w:rPr>
                <w:sz w:val="18"/>
              </w:rPr>
              <w:t>2</w:t>
            </w:r>
            <w:r>
              <w:rPr>
                <w:spacing w:val="-3"/>
                <w:sz w:val="18"/>
              </w:rPr>
              <w:t xml:space="preserve"> </w:t>
            </w:r>
            <w:r>
              <w:rPr>
                <w:sz w:val="18"/>
              </w:rPr>
              <w:t>of</w:t>
            </w:r>
            <w:r>
              <w:rPr>
                <w:spacing w:val="-4"/>
                <w:sz w:val="18"/>
              </w:rPr>
              <w:t xml:space="preserve"> </w:t>
            </w:r>
            <w:r>
              <w:rPr>
                <w:sz w:val="18"/>
              </w:rPr>
              <w:t>2025</w:t>
            </w:r>
            <w:r>
              <w:rPr>
                <w:spacing w:val="-3"/>
                <w:sz w:val="18"/>
              </w:rPr>
              <w:t xml:space="preserve"> </w:t>
            </w:r>
            <w:r>
              <w:rPr>
                <w:sz w:val="18"/>
              </w:rPr>
              <w:t>serves</w:t>
            </w:r>
            <w:r>
              <w:rPr>
                <w:spacing w:val="-3"/>
                <w:sz w:val="18"/>
              </w:rPr>
              <w:t xml:space="preserve"> </w:t>
            </w:r>
            <w:r>
              <w:rPr>
                <w:sz w:val="18"/>
              </w:rPr>
              <w:t>as</w:t>
            </w:r>
            <w:r>
              <w:rPr>
                <w:spacing w:val="-3"/>
                <w:sz w:val="18"/>
              </w:rPr>
              <w:t xml:space="preserve"> </w:t>
            </w:r>
            <w:r>
              <w:rPr>
                <w:sz w:val="18"/>
              </w:rPr>
              <w:t>the</w:t>
            </w:r>
            <w:r>
              <w:rPr>
                <w:spacing w:val="-3"/>
                <w:sz w:val="18"/>
              </w:rPr>
              <w:t xml:space="preserve"> </w:t>
            </w:r>
            <w:r>
              <w:rPr>
                <w:sz w:val="18"/>
              </w:rPr>
              <w:t>operational</w:t>
            </w:r>
            <w:r>
              <w:rPr>
                <w:spacing w:val="-2"/>
                <w:sz w:val="18"/>
              </w:rPr>
              <w:t xml:space="preserve"> </w:t>
            </w:r>
            <w:r>
              <w:rPr>
                <w:sz w:val="18"/>
              </w:rPr>
              <w:t>basis</w:t>
            </w:r>
            <w:r>
              <w:rPr>
                <w:spacing w:val="-3"/>
                <w:sz w:val="18"/>
              </w:rPr>
              <w:t xml:space="preserve"> </w:t>
            </w:r>
            <w:r>
              <w:rPr>
                <w:sz w:val="18"/>
              </w:rPr>
              <w:t>foundation,</w:t>
            </w:r>
            <w:r>
              <w:rPr>
                <w:spacing w:val="-4"/>
                <w:sz w:val="18"/>
              </w:rPr>
              <w:t xml:space="preserve"> </w:t>
            </w:r>
            <w:r>
              <w:rPr>
                <w:sz w:val="18"/>
              </w:rPr>
              <w:t>ensuring</w:t>
            </w:r>
            <w:r>
              <w:rPr>
                <w:spacing w:val="-4"/>
                <w:sz w:val="18"/>
              </w:rPr>
              <w:t xml:space="preserve"> </w:t>
            </w:r>
            <w:r>
              <w:rPr>
                <w:sz w:val="18"/>
              </w:rPr>
              <w:t>the participation of vulnerable groups.</w:t>
            </w:r>
            <w:r>
              <w:rPr>
                <w:spacing w:val="40"/>
                <w:sz w:val="18"/>
              </w:rPr>
              <w:t xml:space="preserve"> </w:t>
            </w:r>
            <w:r>
              <w:rPr>
                <w:sz w:val="18"/>
              </w:rPr>
              <w:t>This regulation also mandates cross-sectoral collaboration among regional apparatuses—such as the Regional Development Planning Agency (Bapperida), the Social Affairs Office (Dinsos), the Office of Women’s Empowerment, Child Protection, Population Control and Family Planning (DP3AP2KB), and others-to respond to the aspirations of vulnerable groups within the regional planning and budgeting</w:t>
            </w:r>
            <w:r>
              <w:rPr>
                <w:spacing w:val="-2"/>
                <w:sz w:val="18"/>
              </w:rPr>
              <w:t xml:space="preserve"> </w:t>
            </w:r>
            <w:r>
              <w:rPr>
                <w:sz w:val="18"/>
              </w:rPr>
              <w:t>system.</w:t>
            </w:r>
          </w:p>
          <w:p w14:paraId="6544A855" w14:textId="77777777" w:rsidR="00BC24A8" w:rsidRDefault="00000000">
            <w:pPr>
              <w:pStyle w:val="TableParagraph"/>
              <w:numPr>
                <w:ilvl w:val="0"/>
                <w:numId w:val="46"/>
              </w:numPr>
              <w:tabs>
                <w:tab w:val="left" w:pos="531"/>
              </w:tabs>
              <w:ind w:right="115"/>
              <w:rPr>
                <w:sz w:val="18"/>
              </w:rPr>
            </w:pPr>
            <w:r>
              <w:rPr>
                <w:sz w:val="18"/>
              </w:rPr>
              <w:t>The</w:t>
            </w:r>
            <w:r>
              <w:rPr>
                <w:spacing w:val="-3"/>
                <w:sz w:val="18"/>
              </w:rPr>
              <w:t xml:space="preserve"> </w:t>
            </w:r>
            <w:r>
              <w:rPr>
                <w:sz w:val="18"/>
              </w:rPr>
              <w:t>drafting</w:t>
            </w:r>
            <w:r>
              <w:rPr>
                <w:spacing w:val="-4"/>
                <w:sz w:val="18"/>
              </w:rPr>
              <w:t xml:space="preserve"> </w:t>
            </w:r>
            <w:r>
              <w:rPr>
                <w:sz w:val="18"/>
              </w:rPr>
              <w:t>of</w:t>
            </w:r>
            <w:r>
              <w:rPr>
                <w:spacing w:val="-4"/>
                <w:sz w:val="18"/>
              </w:rPr>
              <w:t xml:space="preserve"> </w:t>
            </w:r>
            <w:r>
              <w:rPr>
                <w:sz w:val="18"/>
              </w:rPr>
              <w:t>regulations</w:t>
            </w:r>
            <w:r>
              <w:rPr>
                <w:spacing w:val="-3"/>
                <w:sz w:val="18"/>
              </w:rPr>
              <w:t xml:space="preserve"> </w:t>
            </w:r>
            <w:r>
              <w:rPr>
                <w:sz w:val="18"/>
              </w:rPr>
              <w:t>governing</w:t>
            </w:r>
            <w:r>
              <w:rPr>
                <w:spacing w:val="-4"/>
                <w:sz w:val="18"/>
              </w:rPr>
              <w:t xml:space="preserve"> </w:t>
            </w:r>
            <w:r>
              <w:rPr>
                <w:sz w:val="18"/>
              </w:rPr>
              <w:t>the</w:t>
            </w:r>
            <w:r>
              <w:rPr>
                <w:spacing w:val="-3"/>
                <w:sz w:val="18"/>
              </w:rPr>
              <w:t xml:space="preserve"> </w:t>
            </w:r>
            <w:r>
              <w:rPr>
                <w:sz w:val="18"/>
              </w:rPr>
              <w:t>organisation</w:t>
            </w:r>
            <w:r>
              <w:rPr>
                <w:spacing w:val="-4"/>
                <w:sz w:val="18"/>
              </w:rPr>
              <w:t xml:space="preserve"> </w:t>
            </w:r>
            <w:r>
              <w:rPr>
                <w:sz w:val="18"/>
              </w:rPr>
              <w:t>of</w:t>
            </w:r>
            <w:r>
              <w:rPr>
                <w:spacing w:val="-4"/>
                <w:sz w:val="18"/>
              </w:rPr>
              <w:t xml:space="preserve"> </w:t>
            </w:r>
            <w:r>
              <w:rPr>
                <w:sz w:val="18"/>
              </w:rPr>
              <w:t>inclusive</w:t>
            </w:r>
            <w:r>
              <w:rPr>
                <w:spacing w:val="-6"/>
                <w:sz w:val="18"/>
              </w:rPr>
              <w:t xml:space="preserve"> </w:t>
            </w:r>
            <w:r>
              <w:rPr>
                <w:sz w:val="18"/>
              </w:rPr>
              <w:t>Musrenbang</w:t>
            </w:r>
            <w:r>
              <w:rPr>
                <w:spacing w:val="-4"/>
                <w:sz w:val="18"/>
              </w:rPr>
              <w:t xml:space="preserve"> </w:t>
            </w:r>
            <w:r>
              <w:rPr>
                <w:sz w:val="18"/>
              </w:rPr>
              <w:t>has</w:t>
            </w:r>
            <w:r>
              <w:rPr>
                <w:spacing w:val="-3"/>
                <w:sz w:val="18"/>
              </w:rPr>
              <w:t xml:space="preserve"> </w:t>
            </w:r>
            <w:r>
              <w:rPr>
                <w:sz w:val="18"/>
              </w:rPr>
              <w:t>involved the participation of vulnerable groups (22 CSOs). CSO engagement methods are conducted through high-intensity meetings, both in formal and informal settings. Representatives of vulnerable groups are also involved as Team Facilitators. This boosts their confidence and makes them more active.</w:t>
            </w:r>
          </w:p>
        </w:tc>
      </w:tr>
    </w:tbl>
    <w:p w14:paraId="4D510BDD" w14:textId="77777777" w:rsidR="00BC24A8" w:rsidRDefault="00BC24A8">
      <w:pPr>
        <w:pStyle w:val="TableParagraph"/>
        <w:rPr>
          <w:sz w:val="18"/>
        </w:rPr>
        <w:sectPr w:rsidR="00BC24A8">
          <w:pgSz w:w="11910" w:h="16840"/>
          <w:pgMar w:top="1360" w:right="850" w:bottom="1580" w:left="1275" w:header="0" w:footer="907" w:gutter="0"/>
          <w:cols w:space="720"/>
        </w:sectPr>
      </w:pPr>
    </w:p>
    <w:tbl>
      <w:tblPr>
        <w:tblW w:w="0" w:type="auto"/>
        <w:tblInd w:w="136" w:type="dxa"/>
        <w:tblLayout w:type="fixed"/>
        <w:tblCellMar>
          <w:left w:w="0" w:type="dxa"/>
          <w:right w:w="0" w:type="dxa"/>
        </w:tblCellMar>
        <w:tblLook w:val="01E0" w:firstRow="1" w:lastRow="1" w:firstColumn="1" w:lastColumn="1" w:noHBand="0" w:noVBand="0"/>
      </w:tblPr>
      <w:tblGrid>
        <w:gridCol w:w="1801"/>
        <w:gridCol w:w="7304"/>
      </w:tblGrid>
      <w:tr w:rsidR="00BC24A8" w14:paraId="62ABF62C" w14:textId="77777777">
        <w:trPr>
          <w:trHeight w:val="1271"/>
        </w:trPr>
        <w:tc>
          <w:tcPr>
            <w:tcW w:w="1801" w:type="dxa"/>
            <w:tcBorders>
              <w:top w:val="single" w:sz="4" w:space="0" w:color="BEBEBE"/>
              <w:bottom w:val="single" w:sz="4" w:space="0" w:color="BEBEBE"/>
            </w:tcBorders>
          </w:tcPr>
          <w:p w14:paraId="39410B6E" w14:textId="77777777" w:rsidR="00BC24A8" w:rsidRDefault="00BC24A8">
            <w:pPr>
              <w:pStyle w:val="TableParagraph"/>
              <w:rPr>
                <w:rFonts w:ascii="Times New Roman"/>
                <w:sz w:val="18"/>
              </w:rPr>
            </w:pPr>
          </w:p>
        </w:tc>
        <w:tc>
          <w:tcPr>
            <w:tcW w:w="7304" w:type="dxa"/>
            <w:tcBorders>
              <w:top w:val="single" w:sz="4" w:space="0" w:color="BEBEBE"/>
              <w:bottom w:val="single" w:sz="4" w:space="0" w:color="BEBEBE"/>
            </w:tcBorders>
          </w:tcPr>
          <w:p w14:paraId="0F605541" w14:textId="77777777" w:rsidR="00BC24A8" w:rsidRDefault="00000000">
            <w:pPr>
              <w:pStyle w:val="TableParagraph"/>
              <w:numPr>
                <w:ilvl w:val="0"/>
                <w:numId w:val="45"/>
              </w:numPr>
              <w:tabs>
                <w:tab w:val="left" w:pos="541"/>
              </w:tabs>
              <w:spacing w:before="56"/>
              <w:ind w:right="275"/>
              <w:rPr>
                <w:sz w:val="18"/>
              </w:rPr>
            </w:pPr>
            <w:r>
              <w:rPr>
                <w:sz w:val="18"/>
              </w:rPr>
              <w:t>Bapperida enhances CSO/DPOs’ understanding of the planning and budgeting cycle, including</w:t>
            </w:r>
            <w:r>
              <w:rPr>
                <w:spacing w:val="-5"/>
                <w:sz w:val="18"/>
              </w:rPr>
              <w:t xml:space="preserve"> </w:t>
            </w:r>
            <w:r>
              <w:rPr>
                <w:sz w:val="18"/>
              </w:rPr>
              <w:t>the</w:t>
            </w:r>
            <w:r>
              <w:rPr>
                <w:spacing w:val="-4"/>
                <w:sz w:val="18"/>
              </w:rPr>
              <w:t xml:space="preserve"> </w:t>
            </w:r>
            <w:r>
              <w:rPr>
                <w:sz w:val="18"/>
              </w:rPr>
              <w:t>Classification,</w:t>
            </w:r>
            <w:r>
              <w:rPr>
                <w:spacing w:val="-5"/>
                <w:sz w:val="18"/>
              </w:rPr>
              <w:t xml:space="preserve"> </w:t>
            </w:r>
            <w:r>
              <w:rPr>
                <w:sz w:val="18"/>
              </w:rPr>
              <w:t>Codification,</w:t>
            </w:r>
            <w:r>
              <w:rPr>
                <w:spacing w:val="-5"/>
                <w:sz w:val="18"/>
              </w:rPr>
              <w:t xml:space="preserve"> </w:t>
            </w:r>
            <w:r>
              <w:rPr>
                <w:sz w:val="18"/>
              </w:rPr>
              <w:t>and</w:t>
            </w:r>
            <w:r>
              <w:rPr>
                <w:spacing w:val="-4"/>
                <w:sz w:val="18"/>
              </w:rPr>
              <w:t xml:space="preserve"> </w:t>
            </w:r>
            <w:r>
              <w:rPr>
                <w:sz w:val="18"/>
              </w:rPr>
              <w:t>Nomenclature</w:t>
            </w:r>
            <w:r>
              <w:rPr>
                <w:spacing w:val="-4"/>
                <w:sz w:val="18"/>
              </w:rPr>
              <w:t xml:space="preserve"> </w:t>
            </w:r>
            <w:r>
              <w:rPr>
                <w:sz w:val="18"/>
              </w:rPr>
              <w:t>of</w:t>
            </w:r>
            <w:r>
              <w:rPr>
                <w:spacing w:val="-5"/>
                <w:sz w:val="18"/>
              </w:rPr>
              <w:t xml:space="preserve"> </w:t>
            </w:r>
            <w:r>
              <w:rPr>
                <w:sz w:val="18"/>
              </w:rPr>
              <w:t>Regional</w:t>
            </w:r>
            <w:r>
              <w:rPr>
                <w:spacing w:val="-3"/>
                <w:sz w:val="18"/>
              </w:rPr>
              <w:t xml:space="preserve"> </w:t>
            </w:r>
            <w:r>
              <w:rPr>
                <w:sz w:val="18"/>
              </w:rPr>
              <w:t>Development</w:t>
            </w:r>
            <w:r>
              <w:rPr>
                <w:spacing w:val="-3"/>
                <w:sz w:val="18"/>
              </w:rPr>
              <w:t xml:space="preserve"> </w:t>
            </w:r>
            <w:r>
              <w:rPr>
                <w:sz w:val="18"/>
              </w:rPr>
              <w:t>and Financial Planning (Permendagri Number 90 of 2019).</w:t>
            </w:r>
          </w:p>
          <w:p w14:paraId="7DB34D5D" w14:textId="77777777" w:rsidR="00BC24A8" w:rsidRDefault="00000000">
            <w:pPr>
              <w:pStyle w:val="TableParagraph"/>
              <w:numPr>
                <w:ilvl w:val="0"/>
                <w:numId w:val="45"/>
              </w:numPr>
              <w:tabs>
                <w:tab w:val="left" w:pos="541"/>
              </w:tabs>
              <w:spacing w:before="1"/>
              <w:ind w:right="263"/>
              <w:rPr>
                <w:sz w:val="18"/>
              </w:rPr>
            </w:pPr>
            <w:r>
              <w:rPr>
                <w:sz w:val="18"/>
              </w:rPr>
              <w:t>Representatives</w:t>
            </w:r>
            <w:r>
              <w:rPr>
                <w:spacing w:val="-3"/>
                <w:sz w:val="18"/>
              </w:rPr>
              <w:t xml:space="preserve"> </w:t>
            </w:r>
            <w:r>
              <w:rPr>
                <w:sz w:val="18"/>
              </w:rPr>
              <w:t>of</w:t>
            </w:r>
            <w:r>
              <w:rPr>
                <w:spacing w:val="-4"/>
                <w:sz w:val="18"/>
              </w:rPr>
              <w:t xml:space="preserve"> </w:t>
            </w:r>
            <w:r>
              <w:rPr>
                <w:sz w:val="18"/>
              </w:rPr>
              <w:t>vulnerable</w:t>
            </w:r>
            <w:r>
              <w:rPr>
                <w:spacing w:val="-3"/>
                <w:sz w:val="18"/>
              </w:rPr>
              <w:t xml:space="preserve"> </w:t>
            </w:r>
            <w:r>
              <w:rPr>
                <w:sz w:val="18"/>
              </w:rPr>
              <w:t>groups,</w:t>
            </w:r>
            <w:r>
              <w:rPr>
                <w:spacing w:val="-4"/>
                <w:sz w:val="18"/>
              </w:rPr>
              <w:t xml:space="preserve"> </w:t>
            </w:r>
            <w:r>
              <w:rPr>
                <w:sz w:val="18"/>
              </w:rPr>
              <w:t>namely</w:t>
            </w:r>
            <w:r>
              <w:rPr>
                <w:spacing w:val="-3"/>
                <w:sz w:val="18"/>
              </w:rPr>
              <w:t xml:space="preserve"> </w:t>
            </w:r>
            <w:r>
              <w:rPr>
                <w:sz w:val="18"/>
              </w:rPr>
              <w:t>two</w:t>
            </w:r>
            <w:r>
              <w:rPr>
                <w:spacing w:val="-4"/>
                <w:sz w:val="18"/>
              </w:rPr>
              <w:t xml:space="preserve"> </w:t>
            </w:r>
            <w:r>
              <w:rPr>
                <w:sz w:val="18"/>
              </w:rPr>
              <w:t>persons</w:t>
            </w:r>
            <w:r>
              <w:rPr>
                <w:spacing w:val="-3"/>
                <w:sz w:val="18"/>
              </w:rPr>
              <w:t xml:space="preserve"> </w:t>
            </w:r>
            <w:r>
              <w:rPr>
                <w:sz w:val="18"/>
              </w:rPr>
              <w:t>with</w:t>
            </w:r>
            <w:r>
              <w:rPr>
                <w:spacing w:val="-3"/>
                <w:sz w:val="18"/>
              </w:rPr>
              <w:t xml:space="preserve"> </w:t>
            </w:r>
            <w:r>
              <w:rPr>
                <w:sz w:val="18"/>
              </w:rPr>
              <w:t>disabilities,</w:t>
            </w:r>
            <w:r>
              <w:rPr>
                <w:spacing w:val="-4"/>
                <w:sz w:val="18"/>
              </w:rPr>
              <w:t xml:space="preserve"> </w:t>
            </w:r>
            <w:r>
              <w:rPr>
                <w:sz w:val="18"/>
              </w:rPr>
              <w:t>were</w:t>
            </w:r>
            <w:r>
              <w:rPr>
                <w:spacing w:val="-3"/>
                <w:sz w:val="18"/>
              </w:rPr>
              <w:t xml:space="preserve"> </w:t>
            </w:r>
            <w:r>
              <w:rPr>
                <w:sz w:val="18"/>
              </w:rPr>
              <w:t>involved in capacity building for writing policy papers.</w:t>
            </w:r>
          </w:p>
        </w:tc>
      </w:tr>
      <w:tr w:rsidR="00BC24A8" w14:paraId="380E1DE9" w14:textId="77777777">
        <w:trPr>
          <w:trHeight w:val="2212"/>
        </w:trPr>
        <w:tc>
          <w:tcPr>
            <w:tcW w:w="1801" w:type="dxa"/>
            <w:tcBorders>
              <w:top w:val="single" w:sz="4" w:space="0" w:color="BEBEBE"/>
              <w:bottom w:val="single" w:sz="4" w:space="0" w:color="BEBEBE"/>
            </w:tcBorders>
          </w:tcPr>
          <w:p w14:paraId="7A0FECE4" w14:textId="77777777" w:rsidR="00BC24A8" w:rsidRDefault="00000000">
            <w:pPr>
              <w:pStyle w:val="TableParagraph"/>
              <w:spacing w:before="119"/>
              <w:ind w:left="122" w:right="178"/>
              <w:rPr>
                <w:sz w:val="18"/>
              </w:rPr>
            </w:pPr>
            <w:r>
              <w:rPr>
                <w:sz w:val="18"/>
              </w:rPr>
              <w:t xml:space="preserve">Coordination and </w:t>
            </w:r>
            <w:r>
              <w:rPr>
                <w:spacing w:val="-2"/>
                <w:sz w:val="18"/>
              </w:rPr>
              <w:t>collaboration</w:t>
            </w:r>
            <w:r>
              <w:rPr>
                <w:sz w:val="18"/>
              </w:rPr>
              <w:t xml:space="preserve"> (between OPDs, between</w:t>
            </w:r>
            <w:r>
              <w:rPr>
                <w:spacing w:val="-11"/>
                <w:sz w:val="18"/>
              </w:rPr>
              <w:t xml:space="preserve"> </w:t>
            </w:r>
            <w:r>
              <w:rPr>
                <w:sz w:val="18"/>
              </w:rPr>
              <w:t>central</w:t>
            </w:r>
            <w:r>
              <w:rPr>
                <w:spacing w:val="-10"/>
                <w:sz w:val="18"/>
              </w:rPr>
              <w:t xml:space="preserve"> </w:t>
            </w:r>
            <w:r>
              <w:rPr>
                <w:sz w:val="18"/>
              </w:rPr>
              <w:t xml:space="preserve">and local government, between local government and </w:t>
            </w:r>
            <w:r>
              <w:rPr>
                <w:spacing w:val="-2"/>
                <w:sz w:val="18"/>
              </w:rPr>
              <w:t>JMS/CSO/vulnerable</w:t>
            </w:r>
            <w:r>
              <w:rPr>
                <w:sz w:val="18"/>
              </w:rPr>
              <w:t xml:space="preserve"> </w:t>
            </w:r>
            <w:r>
              <w:rPr>
                <w:spacing w:val="-2"/>
                <w:sz w:val="18"/>
              </w:rPr>
              <w:t>groups)</w:t>
            </w:r>
          </w:p>
        </w:tc>
        <w:tc>
          <w:tcPr>
            <w:tcW w:w="7304" w:type="dxa"/>
            <w:tcBorders>
              <w:top w:val="single" w:sz="4" w:space="0" w:color="BEBEBE"/>
              <w:bottom w:val="single" w:sz="4" w:space="0" w:color="BEBEBE"/>
            </w:tcBorders>
          </w:tcPr>
          <w:p w14:paraId="4FFFF125" w14:textId="77777777" w:rsidR="00BC24A8" w:rsidRDefault="00000000">
            <w:pPr>
              <w:pStyle w:val="TableParagraph"/>
              <w:numPr>
                <w:ilvl w:val="0"/>
                <w:numId w:val="44"/>
              </w:numPr>
              <w:tabs>
                <w:tab w:val="left" w:pos="541"/>
              </w:tabs>
              <w:spacing w:before="119"/>
              <w:ind w:right="449"/>
              <w:rPr>
                <w:sz w:val="18"/>
              </w:rPr>
            </w:pPr>
            <w:r>
              <w:rPr>
                <w:sz w:val="18"/>
              </w:rPr>
              <w:t>Improved coordination and collaboration between Provincial Agencies (OPDs). The involvement</w:t>
            </w:r>
            <w:r>
              <w:rPr>
                <w:spacing w:val="-2"/>
                <w:sz w:val="18"/>
              </w:rPr>
              <w:t xml:space="preserve"> </w:t>
            </w:r>
            <w:r>
              <w:rPr>
                <w:sz w:val="18"/>
              </w:rPr>
              <w:t>of</w:t>
            </w:r>
            <w:r>
              <w:rPr>
                <w:spacing w:val="-4"/>
                <w:sz w:val="18"/>
              </w:rPr>
              <w:t xml:space="preserve"> </w:t>
            </w:r>
            <w:r>
              <w:rPr>
                <w:sz w:val="18"/>
              </w:rPr>
              <w:t>Bappeda</w:t>
            </w:r>
            <w:r>
              <w:rPr>
                <w:spacing w:val="-4"/>
                <w:sz w:val="18"/>
              </w:rPr>
              <w:t xml:space="preserve"> </w:t>
            </w:r>
            <w:r>
              <w:rPr>
                <w:sz w:val="18"/>
              </w:rPr>
              <w:t>as</w:t>
            </w:r>
            <w:r>
              <w:rPr>
                <w:spacing w:val="-3"/>
                <w:sz w:val="18"/>
              </w:rPr>
              <w:t xml:space="preserve"> </w:t>
            </w:r>
            <w:r>
              <w:rPr>
                <w:sz w:val="18"/>
              </w:rPr>
              <w:t>the</w:t>
            </w:r>
            <w:r>
              <w:rPr>
                <w:spacing w:val="-3"/>
                <w:sz w:val="18"/>
              </w:rPr>
              <w:t xml:space="preserve"> </w:t>
            </w:r>
            <w:r>
              <w:rPr>
                <w:sz w:val="18"/>
              </w:rPr>
              <w:t>primary</w:t>
            </w:r>
            <w:r>
              <w:rPr>
                <w:spacing w:val="-4"/>
                <w:sz w:val="18"/>
              </w:rPr>
              <w:t xml:space="preserve"> </w:t>
            </w:r>
            <w:r>
              <w:rPr>
                <w:sz w:val="18"/>
              </w:rPr>
              <w:t>coordinator</w:t>
            </w:r>
            <w:r>
              <w:rPr>
                <w:spacing w:val="-3"/>
                <w:sz w:val="18"/>
              </w:rPr>
              <w:t xml:space="preserve"> </w:t>
            </w:r>
            <w:r>
              <w:rPr>
                <w:sz w:val="18"/>
              </w:rPr>
              <w:t>allows</w:t>
            </w:r>
            <w:r>
              <w:rPr>
                <w:spacing w:val="-3"/>
                <w:sz w:val="18"/>
              </w:rPr>
              <w:t xml:space="preserve"> </w:t>
            </w:r>
            <w:r>
              <w:rPr>
                <w:sz w:val="18"/>
              </w:rPr>
              <w:t>other</w:t>
            </w:r>
            <w:r>
              <w:rPr>
                <w:spacing w:val="-3"/>
                <w:sz w:val="18"/>
              </w:rPr>
              <w:t xml:space="preserve"> </w:t>
            </w:r>
            <w:r>
              <w:rPr>
                <w:sz w:val="18"/>
              </w:rPr>
              <w:t>sectors</w:t>
            </w:r>
            <w:r>
              <w:rPr>
                <w:spacing w:val="-3"/>
                <w:sz w:val="18"/>
              </w:rPr>
              <w:t xml:space="preserve"> </w:t>
            </w:r>
            <w:r>
              <w:rPr>
                <w:sz w:val="18"/>
              </w:rPr>
              <w:t>(such</w:t>
            </w:r>
            <w:r>
              <w:rPr>
                <w:spacing w:val="-3"/>
                <w:sz w:val="18"/>
              </w:rPr>
              <w:t xml:space="preserve"> </w:t>
            </w:r>
            <w:r>
              <w:rPr>
                <w:sz w:val="18"/>
              </w:rPr>
              <w:t>as</w:t>
            </w:r>
            <w:r>
              <w:rPr>
                <w:spacing w:val="-3"/>
                <w:sz w:val="18"/>
              </w:rPr>
              <w:t xml:space="preserve"> </w:t>
            </w:r>
            <w:r>
              <w:rPr>
                <w:sz w:val="18"/>
              </w:rPr>
              <w:t>Social Affairs, Women’s Empowerment, Education, Health, etc.) to harmonise the priorities proposed by vulnerable groups into the RKPD.</w:t>
            </w:r>
          </w:p>
          <w:p w14:paraId="28D2FE45" w14:textId="77777777" w:rsidR="00BC24A8" w:rsidRDefault="00000000">
            <w:pPr>
              <w:pStyle w:val="TableParagraph"/>
              <w:numPr>
                <w:ilvl w:val="0"/>
                <w:numId w:val="44"/>
              </w:numPr>
              <w:tabs>
                <w:tab w:val="left" w:pos="541"/>
              </w:tabs>
              <w:ind w:right="138"/>
              <w:rPr>
                <w:sz w:val="18"/>
              </w:rPr>
            </w:pPr>
            <w:r>
              <w:rPr>
                <w:sz w:val="18"/>
              </w:rPr>
              <w:t>The</w:t>
            </w:r>
            <w:r>
              <w:rPr>
                <w:spacing w:val="-3"/>
                <w:sz w:val="18"/>
              </w:rPr>
              <w:t xml:space="preserve"> </w:t>
            </w:r>
            <w:r>
              <w:rPr>
                <w:sz w:val="18"/>
              </w:rPr>
              <w:t>synergy</w:t>
            </w:r>
            <w:r>
              <w:rPr>
                <w:spacing w:val="-3"/>
                <w:sz w:val="18"/>
              </w:rPr>
              <w:t xml:space="preserve"> </w:t>
            </w:r>
            <w:r>
              <w:rPr>
                <w:sz w:val="18"/>
              </w:rPr>
              <w:t>between</w:t>
            </w:r>
            <w:r>
              <w:rPr>
                <w:spacing w:val="-3"/>
                <w:sz w:val="18"/>
              </w:rPr>
              <w:t xml:space="preserve"> </w:t>
            </w:r>
            <w:r>
              <w:rPr>
                <w:sz w:val="18"/>
              </w:rPr>
              <w:t>central</w:t>
            </w:r>
            <w:r>
              <w:rPr>
                <w:spacing w:val="-2"/>
                <w:sz w:val="18"/>
              </w:rPr>
              <w:t xml:space="preserve"> </w:t>
            </w:r>
            <w:r>
              <w:rPr>
                <w:sz w:val="18"/>
              </w:rPr>
              <w:t>and</w:t>
            </w:r>
            <w:r>
              <w:rPr>
                <w:spacing w:val="-3"/>
                <w:sz w:val="18"/>
              </w:rPr>
              <w:t xml:space="preserve"> </w:t>
            </w:r>
            <w:r>
              <w:rPr>
                <w:sz w:val="18"/>
              </w:rPr>
              <w:t>local</w:t>
            </w:r>
            <w:r>
              <w:rPr>
                <w:spacing w:val="-2"/>
                <w:sz w:val="18"/>
              </w:rPr>
              <w:t xml:space="preserve"> </w:t>
            </w:r>
            <w:r>
              <w:rPr>
                <w:sz w:val="18"/>
              </w:rPr>
              <w:t>policies</w:t>
            </w:r>
            <w:r>
              <w:rPr>
                <w:spacing w:val="-3"/>
                <w:sz w:val="18"/>
              </w:rPr>
              <w:t xml:space="preserve"> </w:t>
            </w:r>
            <w:r>
              <w:rPr>
                <w:sz w:val="18"/>
              </w:rPr>
              <w:t>strengthens</w:t>
            </w:r>
            <w:r>
              <w:rPr>
                <w:spacing w:val="-3"/>
                <w:sz w:val="18"/>
              </w:rPr>
              <w:t xml:space="preserve"> </w:t>
            </w:r>
            <w:r>
              <w:rPr>
                <w:sz w:val="18"/>
              </w:rPr>
              <w:t>the</w:t>
            </w:r>
            <w:r>
              <w:rPr>
                <w:spacing w:val="-3"/>
                <w:sz w:val="18"/>
              </w:rPr>
              <w:t xml:space="preserve"> </w:t>
            </w:r>
            <w:r>
              <w:rPr>
                <w:sz w:val="18"/>
              </w:rPr>
              <w:t>legitimacy</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Vulnerable Group Inclusive Musrenbang as a form of collaboration between government and civil society (vulnerable communities).</w:t>
            </w:r>
          </w:p>
          <w:p w14:paraId="41717123" w14:textId="77777777" w:rsidR="00BC24A8" w:rsidRDefault="00000000">
            <w:pPr>
              <w:pStyle w:val="TableParagraph"/>
              <w:numPr>
                <w:ilvl w:val="0"/>
                <w:numId w:val="44"/>
              </w:numPr>
              <w:tabs>
                <w:tab w:val="left" w:pos="541"/>
              </w:tabs>
              <w:ind w:right="813"/>
              <w:rPr>
                <w:sz w:val="18"/>
              </w:rPr>
            </w:pPr>
            <w:r>
              <w:rPr>
                <w:sz w:val="18"/>
              </w:rPr>
              <w:t>The</w:t>
            </w:r>
            <w:r>
              <w:rPr>
                <w:spacing w:val="-4"/>
                <w:sz w:val="18"/>
              </w:rPr>
              <w:t xml:space="preserve"> </w:t>
            </w:r>
            <w:r>
              <w:rPr>
                <w:sz w:val="18"/>
              </w:rPr>
              <w:t>MUSIK</w:t>
            </w:r>
            <w:r>
              <w:rPr>
                <w:spacing w:val="-4"/>
                <w:sz w:val="18"/>
              </w:rPr>
              <w:t xml:space="preserve"> </w:t>
            </w:r>
            <w:r>
              <w:rPr>
                <w:sz w:val="18"/>
              </w:rPr>
              <w:t>KEREN</w:t>
            </w:r>
            <w:r>
              <w:rPr>
                <w:spacing w:val="-4"/>
                <w:sz w:val="18"/>
              </w:rPr>
              <w:t xml:space="preserve"> </w:t>
            </w:r>
            <w:r>
              <w:rPr>
                <w:sz w:val="18"/>
              </w:rPr>
              <w:t>model</w:t>
            </w:r>
            <w:r>
              <w:rPr>
                <w:spacing w:val="-3"/>
                <w:sz w:val="18"/>
              </w:rPr>
              <w:t xml:space="preserve"> </w:t>
            </w:r>
            <w:r>
              <w:rPr>
                <w:sz w:val="18"/>
              </w:rPr>
              <w:t>ensures</w:t>
            </w:r>
            <w:r>
              <w:rPr>
                <w:spacing w:val="-6"/>
                <w:sz w:val="18"/>
              </w:rPr>
              <w:t xml:space="preserve"> </w:t>
            </w:r>
            <w:r>
              <w:rPr>
                <w:sz w:val="18"/>
              </w:rPr>
              <w:t>that</w:t>
            </w:r>
            <w:r>
              <w:rPr>
                <w:spacing w:val="-3"/>
                <w:sz w:val="18"/>
              </w:rPr>
              <w:t xml:space="preserve"> </w:t>
            </w:r>
            <w:r>
              <w:rPr>
                <w:sz w:val="18"/>
              </w:rPr>
              <w:t>vulnerable</w:t>
            </w:r>
            <w:r>
              <w:rPr>
                <w:spacing w:val="-4"/>
                <w:sz w:val="18"/>
              </w:rPr>
              <w:t xml:space="preserve"> </w:t>
            </w:r>
            <w:r>
              <w:rPr>
                <w:sz w:val="18"/>
              </w:rPr>
              <w:t>groups</w:t>
            </w:r>
            <w:r>
              <w:rPr>
                <w:spacing w:val="-4"/>
                <w:sz w:val="18"/>
              </w:rPr>
              <w:t xml:space="preserve"> </w:t>
            </w:r>
            <w:r>
              <w:rPr>
                <w:sz w:val="18"/>
              </w:rPr>
              <w:t>can</w:t>
            </w:r>
            <w:r>
              <w:rPr>
                <w:spacing w:val="-4"/>
                <w:sz w:val="18"/>
              </w:rPr>
              <w:t xml:space="preserve"> </w:t>
            </w:r>
            <w:r>
              <w:rPr>
                <w:sz w:val="18"/>
              </w:rPr>
              <w:t>directly</w:t>
            </w:r>
            <w:r>
              <w:rPr>
                <w:spacing w:val="-4"/>
                <w:sz w:val="18"/>
              </w:rPr>
              <w:t xml:space="preserve"> </w:t>
            </w:r>
            <w:r>
              <w:rPr>
                <w:sz w:val="18"/>
              </w:rPr>
              <w:t>express</w:t>
            </w:r>
            <w:r>
              <w:rPr>
                <w:spacing w:val="-4"/>
                <w:sz w:val="18"/>
              </w:rPr>
              <w:t xml:space="preserve"> </w:t>
            </w:r>
            <w:r>
              <w:rPr>
                <w:sz w:val="18"/>
              </w:rPr>
              <w:t>their aspirations and priorities in the forum, without being represented.</w:t>
            </w:r>
          </w:p>
        </w:tc>
      </w:tr>
    </w:tbl>
    <w:p w14:paraId="109E5774" w14:textId="77777777" w:rsidR="00BC24A8" w:rsidRDefault="00BC24A8">
      <w:pPr>
        <w:pStyle w:val="BodyText"/>
        <w:spacing w:before="221"/>
        <w:rPr>
          <w:rFonts w:ascii="Calibri"/>
          <w:b/>
        </w:rPr>
      </w:pPr>
    </w:p>
    <w:p w14:paraId="258DAE85" w14:textId="77777777" w:rsidR="00BC24A8" w:rsidRDefault="00000000">
      <w:pPr>
        <w:ind w:left="143"/>
        <w:rPr>
          <w:i/>
        </w:rPr>
      </w:pPr>
      <w:r>
        <w:rPr>
          <w:i/>
          <w:color w:val="1F3762"/>
        </w:rPr>
        <w:t>FY</w:t>
      </w:r>
      <w:r>
        <w:rPr>
          <w:i/>
          <w:color w:val="1F3762"/>
          <w:spacing w:val="-6"/>
        </w:rPr>
        <w:t xml:space="preserve"> </w:t>
      </w:r>
      <w:r>
        <w:rPr>
          <w:i/>
          <w:color w:val="1F3762"/>
        </w:rPr>
        <w:t>2025/2026</w:t>
      </w:r>
      <w:r>
        <w:rPr>
          <w:i/>
          <w:color w:val="1F3762"/>
          <w:spacing w:val="-5"/>
        </w:rPr>
        <w:t xml:space="preserve"> </w:t>
      </w:r>
      <w:r>
        <w:rPr>
          <w:i/>
          <w:color w:val="1F3762"/>
        </w:rPr>
        <w:t>SKALA</w:t>
      </w:r>
      <w:r>
        <w:rPr>
          <w:i/>
          <w:color w:val="1F3762"/>
          <w:spacing w:val="-8"/>
        </w:rPr>
        <w:t xml:space="preserve"> </w:t>
      </w:r>
      <w:r>
        <w:rPr>
          <w:i/>
          <w:color w:val="1F3762"/>
        </w:rPr>
        <w:t>Program</w:t>
      </w:r>
      <w:r>
        <w:rPr>
          <w:i/>
          <w:color w:val="1F3762"/>
          <w:spacing w:val="-5"/>
        </w:rPr>
        <w:t xml:space="preserve"> </w:t>
      </w:r>
      <w:r>
        <w:rPr>
          <w:i/>
          <w:color w:val="1F3762"/>
          <w:spacing w:val="-2"/>
        </w:rPr>
        <w:t>Summary</w:t>
      </w:r>
    </w:p>
    <w:p w14:paraId="476CF2B1" w14:textId="77777777" w:rsidR="00BC24A8" w:rsidRDefault="00000000">
      <w:pPr>
        <w:pStyle w:val="ListParagraph"/>
        <w:numPr>
          <w:ilvl w:val="1"/>
          <w:numId w:val="43"/>
        </w:numPr>
        <w:tabs>
          <w:tab w:val="left" w:pos="683"/>
        </w:tabs>
        <w:spacing w:before="164"/>
        <w:ind w:hanging="631"/>
        <w:rPr>
          <w:rFonts w:ascii="Calibri"/>
          <w:b/>
        </w:rPr>
      </w:pPr>
      <w:r w:rsidRPr="00795364">
        <w:rPr>
          <w:rFonts w:ascii="Calibri"/>
          <w:b/>
          <w:color w:val="008279"/>
        </w:rPr>
        <w:t>Summary</w:t>
      </w:r>
      <w:r w:rsidRPr="00795364">
        <w:rPr>
          <w:rFonts w:ascii="Calibri"/>
          <w:b/>
          <w:color w:val="008279"/>
          <w:spacing w:val="-5"/>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intended</w:t>
      </w:r>
      <w:r w:rsidRPr="00795364">
        <w:rPr>
          <w:rFonts w:ascii="Calibri"/>
          <w:b/>
          <w:color w:val="008279"/>
          <w:spacing w:val="-6"/>
        </w:rPr>
        <w:t xml:space="preserve"> </w:t>
      </w:r>
      <w:r w:rsidRPr="00795364">
        <w:rPr>
          <w:rFonts w:ascii="Calibri"/>
          <w:b/>
          <w:color w:val="008279"/>
          <w:spacing w:val="-2"/>
        </w:rPr>
        <w:t>results</w:t>
      </w:r>
    </w:p>
    <w:p w14:paraId="39A749FE" w14:textId="77777777" w:rsidR="00BC24A8" w:rsidRDefault="00BC24A8">
      <w:pPr>
        <w:pStyle w:val="BodyText"/>
        <w:spacing w:before="4"/>
        <w:rPr>
          <w:rFonts w:ascii="Calibri"/>
          <w:b/>
          <w:sz w:val="19"/>
        </w:rPr>
      </w:pPr>
    </w:p>
    <w:tbl>
      <w:tblPr>
        <w:tblW w:w="0" w:type="auto"/>
        <w:tblInd w:w="143" w:type="dxa"/>
        <w:tblLayout w:type="fixed"/>
        <w:tblCellMar>
          <w:left w:w="0" w:type="dxa"/>
          <w:right w:w="0" w:type="dxa"/>
        </w:tblCellMar>
        <w:tblLook w:val="01E0" w:firstRow="1" w:lastRow="1" w:firstColumn="1" w:lastColumn="1" w:noHBand="0" w:noVBand="0"/>
      </w:tblPr>
      <w:tblGrid>
        <w:gridCol w:w="2591"/>
        <w:gridCol w:w="6508"/>
      </w:tblGrid>
      <w:tr w:rsidR="00BC24A8" w14:paraId="6D712DE5" w14:textId="77777777">
        <w:trPr>
          <w:trHeight w:val="376"/>
        </w:trPr>
        <w:tc>
          <w:tcPr>
            <w:tcW w:w="2591" w:type="dxa"/>
            <w:shd w:val="clear" w:color="auto" w:fill="17365A"/>
          </w:tcPr>
          <w:p w14:paraId="61CE5902" w14:textId="77777777" w:rsidR="00BC24A8" w:rsidRDefault="00000000">
            <w:pPr>
              <w:pStyle w:val="TableParagraph"/>
              <w:spacing w:before="59"/>
              <w:ind w:left="115"/>
              <w:rPr>
                <w:rFonts w:ascii="Calibri"/>
                <w:b/>
                <w:sz w:val="20"/>
              </w:rPr>
            </w:pPr>
            <w:r>
              <w:rPr>
                <w:rFonts w:ascii="Calibri"/>
                <w:b/>
                <w:color w:val="FFFFFF"/>
                <w:spacing w:val="-2"/>
                <w:sz w:val="20"/>
              </w:rPr>
              <w:t>Narrative</w:t>
            </w:r>
          </w:p>
        </w:tc>
        <w:tc>
          <w:tcPr>
            <w:tcW w:w="6508" w:type="dxa"/>
            <w:shd w:val="clear" w:color="auto" w:fill="17365A"/>
          </w:tcPr>
          <w:p w14:paraId="4439835C" w14:textId="77777777" w:rsidR="00BC24A8" w:rsidRDefault="00000000">
            <w:pPr>
              <w:pStyle w:val="TableParagraph"/>
              <w:spacing w:before="59"/>
              <w:ind w:left="133"/>
              <w:rPr>
                <w:rFonts w:ascii="Calibri"/>
                <w:b/>
                <w:sz w:val="20"/>
              </w:rPr>
            </w:pPr>
            <w:r>
              <w:rPr>
                <w:rFonts w:ascii="Calibri"/>
                <w:b/>
                <w:color w:val="FFFFFF"/>
                <w:sz w:val="20"/>
              </w:rPr>
              <w:t>Summary</w:t>
            </w:r>
            <w:r>
              <w:rPr>
                <w:rFonts w:ascii="Calibri"/>
                <w:b/>
                <w:color w:val="FFFFFF"/>
                <w:spacing w:val="-5"/>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key</w:t>
            </w:r>
            <w:r>
              <w:rPr>
                <w:rFonts w:ascii="Calibri"/>
                <w:b/>
                <w:color w:val="FFFFFF"/>
                <w:spacing w:val="-4"/>
                <w:sz w:val="20"/>
              </w:rPr>
              <w:t xml:space="preserve"> </w:t>
            </w:r>
            <w:r>
              <w:rPr>
                <w:rFonts w:ascii="Calibri"/>
                <w:b/>
                <w:color w:val="FFFFFF"/>
                <w:sz w:val="20"/>
              </w:rPr>
              <w:t>outputs</w:t>
            </w:r>
            <w:r>
              <w:rPr>
                <w:rFonts w:ascii="Calibri"/>
                <w:b/>
                <w:color w:val="FFFFFF"/>
                <w:spacing w:val="-4"/>
                <w:sz w:val="20"/>
              </w:rPr>
              <w:t xml:space="preserve"> </w:t>
            </w:r>
            <w:r>
              <w:rPr>
                <w:rFonts w:ascii="Calibri"/>
                <w:b/>
                <w:color w:val="FFFFFF"/>
                <w:sz w:val="20"/>
              </w:rPr>
              <w:t>to</w:t>
            </w:r>
            <w:r>
              <w:rPr>
                <w:rFonts w:ascii="Calibri"/>
                <w:b/>
                <w:color w:val="FFFFFF"/>
                <w:spacing w:val="-5"/>
                <w:sz w:val="20"/>
              </w:rPr>
              <w:t xml:space="preserve"> </w:t>
            </w:r>
            <w:r>
              <w:rPr>
                <w:rFonts w:ascii="Calibri"/>
                <w:b/>
                <w:color w:val="FFFFFF"/>
                <w:sz w:val="20"/>
              </w:rPr>
              <w:t>be</w:t>
            </w:r>
            <w:r>
              <w:rPr>
                <w:rFonts w:ascii="Calibri"/>
                <w:b/>
                <w:color w:val="FFFFFF"/>
                <w:spacing w:val="-4"/>
                <w:sz w:val="20"/>
              </w:rPr>
              <w:t xml:space="preserve"> </w:t>
            </w:r>
            <w:r>
              <w:rPr>
                <w:rFonts w:ascii="Calibri"/>
                <w:b/>
                <w:color w:val="FFFFFF"/>
                <w:sz w:val="20"/>
              </w:rPr>
              <w:t>delivered</w:t>
            </w:r>
            <w:r>
              <w:rPr>
                <w:rFonts w:ascii="Calibri"/>
                <w:b/>
                <w:color w:val="FFFFFF"/>
                <w:spacing w:val="-3"/>
                <w:sz w:val="20"/>
              </w:rPr>
              <w:t xml:space="preserve"> </w:t>
            </w:r>
            <w:r>
              <w:rPr>
                <w:rFonts w:ascii="Calibri"/>
                <w:b/>
                <w:color w:val="FFFFFF"/>
                <w:sz w:val="20"/>
              </w:rPr>
              <w:t>in</w:t>
            </w:r>
            <w:r>
              <w:rPr>
                <w:rFonts w:ascii="Calibri"/>
                <w:b/>
                <w:color w:val="FFFFFF"/>
                <w:spacing w:val="-3"/>
                <w:sz w:val="20"/>
              </w:rPr>
              <w:t xml:space="preserve"> </w:t>
            </w:r>
            <w:r>
              <w:rPr>
                <w:rFonts w:ascii="Calibri"/>
                <w:b/>
                <w:color w:val="FFFFFF"/>
                <w:sz w:val="20"/>
              </w:rPr>
              <w:t>order</w:t>
            </w:r>
            <w:r>
              <w:rPr>
                <w:rFonts w:ascii="Calibri"/>
                <w:b/>
                <w:color w:val="FFFFFF"/>
                <w:spacing w:val="-4"/>
                <w:sz w:val="20"/>
              </w:rPr>
              <w:t xml:space="preserve"> </w:t>
            </w:r>
            <w:r>
              <w:rPr>
                <w:rFonts w:ascii="Calibri"/>
                <w:b/>
                <w:color w:val="FFFFFF"/>
                <w:sz w:val="20"/>
              </w:rPr>
              <w:t>to</w:t>
            </w:r>
            <w:r>
              <w:rPr>
                <w:rFonts w:ascii="Calibri"/>
                <w:b/>
                <w:color w:val="FFFFFF"/>
                <w:spacing w:val="-3"/>
                <w:sz w:val="20"/>
              </w:rPr>
              <w:t xml:space="preserve"> </w:t>
            </w:r>
            <w:r>
              <w:rPr>
                <w:rFonts w:ascii="Calibri"/>
                <w:b/>
                <w:color w:val="FFFFFF"/>
                <w:sz w:val="20"/>
              </w:rPr>
              <w:t>achieve</w:t>
            </w:r>
            <w:r>
              <w:rPr>
                <w:rFonts w:ascii="Calibri"/>
                <w:b/>
                <w:color w:val="FFFFFF"/>
                <w:spacing w:val="-4"/>
                <w:sz w:val="20"/>
              </w:rPr>
              <w:t xml:space="preserve"> </w:t>
            </w:r>
            <w:r>
              <w:rPr>
                <w:rFonts w:ascii="Calibri"/>
                <w:b/>
                <w:color w:val="FFFFFF"/>
                <w:sz w:val="20"/>
              </w:rPr>
              <w:t>the</w:t>
            </w:r>
            <w:r>
              <w:rPr>
                <w:rFonts w:ascii="Calibri"/>
                <w:b/>
                <w:color w:val="FFFFFF"/>
                <w:spacing w:val="-3"/>
                <w:sz w:val="20"/>
              </w:rPr>
              <w:t xml:space="preserve"> </w:t>
            </w:r>
            <w:r>
              <w:rPr>
                <w:rFonts w:ascii="Calibri"/>
                <w:b/>
                <w:color w:val="FFFFFF"/>
                <w:spacing w:val="-2"/>
                <w:sz w:val="20"/>
              </w:rPr>
              <w:t>narrative</w:t>
            </w:r>
          </w:p>
        </w:tc>
      </w:tr>
      <w:tr w:rsidR="00BC24A8" w14:paraId="4BE549BF" w14:textId="77777777">
        <w:trPr>
          <w:trHeight w:val="1598"/>
        </w:trPr>
        <w:tc>
          <w:tcPr>
            <w:tcW w:w="2591" w:type="dxa"/>
            <w:tcBorders>
              <w:bottom w:val="single" w:sz="4" w:space="0" w:color="BEBEBE"/>
            </w:tcBorders>
          </w:tcPr>
          <w:p w14:paraId="29FAA35A" w14:textId="77777777" w:rsidR="00BC24A8" w:rsidRDefault="00000000">
            <w:pPr>
              <w:pStyle w:val="TableParagraph"/>
              <w:spacing w:before="162"/>
              <w:ind w:left="115" w:right="109"/>
              <w:rPr>
                <w:sz w:val="18"/>
              </w:rPr>
            </w:pPr>
            <w:r>
              <w:rPr>
                <w:sz w:val="18"/>
              </w:rPr>
              <w:t>Result</w:t>
            </w:r>
            <w:r>
              <w:rPr>
                <w:spacing w:val="-9"/>
                <w:sz w:val="18"/>
              </w:rPr>
              <w:t xml:space="preserve"> </w:t>
            </w:r>
            <w:r>
              <w:rPr>
                <w:sz w:val="18"/>
              </w:rPr>
              <w:t>in</w:t>
            </w:r>
            <w:r>
              <w:rPr>
                <w:spacing w:val="-11"/>
                <w:sz w:val="18"/>
              </w:rPr>
              <w:t xml:space="preserve"> </w:t>
            </w:r>
            <w:r>
              <w:rPr>
                <w:sz w:val="18"/>
              </w:rPr>
              <w:t>the</w:t>
            </w:r>
            <w:r>
              <w:rPr>
                <w:spacing w:val="-8"/>
                <w:sz w:val="18"/>
              </w:rPr>
              <w:t xml:space="preserve"> </w:t>
            </w:r>
            <w:r>
              <w:rPr>
                <w:sz w:val="18"/>
              </w:rPr>
              <w:t>development</w:t>
            </w:r>
            <w:r>
              <w:rPr>
                <w:spacing w:val="-8"/>
                <w:sz w:val="18"/>
              </w:rPr>
              <w:t xml:space="preserve"> </w:t>
            </w:r>
            <w:r>
              <w:rPr>
                <w:sz w:val="18"/>
              </w:rPr>
              <w:t>and institutionalisation of consultation spaces and engagement with vulnerable communities to promote increasingly inclusive planning</w:t>
            </w:r>
          </w:p>
        </w:tc>
        <w:tc>
          <w:tcPr>
            <w:tcW w:w="6508" w:type="dxa"/>
            <w:tcBorders>
              <w:bottom w:val="single" w:sz="4" w:space="0" w:color="BEBEBE"/>
            </w:tcBorders>
          </w:tcPr>
          <w:p w14:paraId="0F598299" w14:textId="77777777" w:rsidR="00BC24A8" w:rsidRDefault="00000000">
            <w:pPr>
              <w:pStyle w:val="TableParagraph"/>
              <w:numPr>
                <w:ilvl w:val="0"/>
                <w:numId w:val="42"/>
              </w:numPr>
              <w:tabs>
                <w:tab w:val="left" w:pos="464"/>
                <w:tab w:val="left" w:pos="505"/>
              </w:tabs>
              <w:spacing w:before="162"/>
              <w:ind w:right="335" w:hanging="360"/>
              <w:rPr>
                <w:sz w:val="18"/>
              </w:rPr>
            </w:pPr>
            <w:r>
              <w:rPr>
                <w:sz w:val="18"/>
              </w:rPr>
              <w:t>Capacity</w:t>
            </w:r>
            <w:r>
              <w:rPr>
                <w:spacing w:val="34"/>
                <w:sz w:val="18"/>
              </w:rPr>
              <w:t xml:space="preserve"> </w:t>
            </w:r>
            <w:r>
              <w:rPr>
                <w:sz w:val="18"/>
              </w:rPr>
              <w:t>building</w:t>
            </w:r>
            <w:r>
              <w:rPr>
                <w:spacing w:val="-4"/>
                <w:sz w:val="18"/>
              </w:rPr>
              <w:t xml:space="preserve"> </w:t>
            </w:r>
            <w:r>
              <w:rPr>
                <w:sz w:val="18"/>
              </w:rPr>
              <w:t>of</w:t>
            </w:r>
            <w:r>
              <w:rPr>
                <w:spacing w:val="-4"/>
                <w:sz w:val="18"/>
              </w:rPr>
              <w:t xml:space="preserve"> </w:t>
            </w:r>
            <w:r>
              <w:rPr>
                <w:sz w:val="18"/>
              </w:rPr>
              <w:t>CSOs</w:t>
            </w:r>
            <w:r>
              <w:rPr>
                <w:spacing w:val="-3"/>
                <w:sz w:val="18"/>
              </w:rPr>
              <w:t xml:space="preserve"> </w:t>
            </w:r>
            <w:r>
              <w:rPr>
                <w:sz w:val="18"/>
              </w:rPr>
              <w:t>on</w:t>
            </w:r>
            <w:r>
              <w:rPr>
                <w:spacing w:val="-3"/>
                <w:sz w:val="18"/>
              </w:rPr>
              <w:t xml:space="preserve"> </w:t>
            </w:r>
            <w:r>
              <w:rPr>
                <w:sz w:val="18"/>
              </w:rPr>
              <w:t>data,</w:t>
            </w:r>
            <w:r>
              <w:rPr>
                <w:spacing w:val="-4"/>
                <w:sz w:val="18"/>
              </w:rPr>
              <w:t xml:space="preserve"> </w:t>
            </w:r>
            <w:r>
              <w:rPr>
                <w:sz w:val="18"/>
              </w:rPr>
              <w:t>data</w:t>
            </w:r>
            <w:r>
              <w:rPr>
                <w:spacing w:val="-4"/>
                <w:sz w:val="18"/>
              </w:rPr>
              <w:t xml:space="preserve"> </w:t>
            </w:r>
            <w:r>
              <w:rPr>
                <w:sz w:val="18"/>
              </w:rPr>
              <w:t>utilisation</w:t>
            </w:r>
            <w:r>
              <w:rPr>
                <w:spacing w:val="-4"/>
                <w:sz w:val="18"/>
              </w:rPr>
              <w:t xml:space="preserve"> </w:t>
            </w:r>
            <w:r>
              <w:rPr>
                <w:sz w:val="18"/>
              </w:rPr>
              <w:t>for</w:t>
            </w:r>
            <w:r>
              <w:rPr>
                <w:spacing w:val="-3"/>
                <w:sz w:val="18"/>
              </w:rPr>
              <w:t xml:space="preserve"> </w:t>
            </w:r>
            <w:r>
              <w:rPr>
                <w:sz w:val="18"/>
              </w:rPr>
              <w:t>local</w:t>
            </w:r>
            <w:r>
              <w:rPr>
                <w:spacing w:val="-2"/>
                <w:sz w:val="18"/>
              </w:rPr>
              <w:t xml:space="preserve"> </w:t>
            </w:r>
            <w:r>
              <w:rPr>
                <w:sz w:val="18"/>
              </w:rPr>
              <w:t>planning</w:t>
            </w:r>
            <w:r>
              <w:rPr>
                <w:spacing w:val="-4"/>
                <w:sz w:val="18"/>
              </w:rPr>
              <w:t xml:space="preserve"> </w:t>
            </w:r>
            <w:r>
              <w:rPr>
                <w:sz w:val="18"/>
              </w:rPr>
              <w:t>processes, and data access through the SASANDO Data Portal.</w:t>
            </w:r>
          </w:p>
          <w:p w14:paraId="77F3E552" w14:textId="77777777" w:rsidR="00BC24A8" w:rsidRDefault="00000000">
            <w:pPr>
              <w:pStyle w:val="TableParagraph"/>
              <w:numPr>
                <w:ilvl w:val="0"/>
                <w:numId w:val="42"/>
              </w:numPr>
              <w:tabs>
                <w:tab w:val="left" w:pos="464"/>
              </w:tabs>
              <w:ind w:right="722" w:hanging="361"/>
              <w:rPr>
                <w:sz w:val="18"/>
              </w:rPr>
            </w:pPr>
            <w:r>
              <w:rPr>
                <w:sz w:val="18"/>
              </w:rPr>
              <w:t>Institutionalisation</w:t>
            </w:r>
            <w:r>
              <w:rPr>
                <w:spacing w:val="-4"/>
                <w:sz w:val="18"/>
              </w:rPr>
              <w:t xml:space="preserve"> </w:t>
            </w:r>
            <w:r>
              <w:rPr>
                <w:sz w:val="18"/>
              </w:rPr>
              <w:t>of</w:t>
            </w:r>
            <w:r>
              <w:rPr>
                <w:spacing w:val="-5"/>
                <w:sz w:val="18"/>
              </w:rPr>
              <w:t xml:space="preserve"> </w:t>
            </w:r>
            <w:r>
              <w:rPr>
                <w:sz w:val="18"/>
              </w:rPr>
              <w:t>inclusive</w:t>
            </w:r>
            <w:r>
              <w:rPr>
                <w:spacing w:val="-4"/>
                <w:sz w:val="18"/>
              </w:rPr>
              <w:t xml:space="preserve"> </w:t>
            </w:r>
            <w:r>
              <w:rPr>
                <w:sz w:val="18"/>
              </w:rPr>
              <w:t>planning</w:t>
            </w:r>
            <w:r>
              <w:rPr>
                <w:spacing w:val="-5"/>
                <w:sz w:val="18"/>
              </w:rPr>
              <w:t xml:space="preserve"> </w:t>
            </w:r>
            <w:r>
              <w:rPr>
                <w:sz w:val="18"/>
              </w:rPr>
              <w:t>forums</w:t>
            </w:r>
            <w:r>
              <w:rPr>
                <w:spacing w:val="-4"/>
                <w:sz w:val="18"/>
              </w:rPr>
              <w:t xml:space="preserve"> </w:t>
            </w:r>
            <w:r>
              <w:rPr>
                <w:sz w:val="18"/>
              </w:rPr>
              <w:t>at</w:t>
            </w:r>
            <w:r>
              <w:rPr>
                <w:spacing w:val="-3"/>
                <w:sz w:val="18"/>
              </w:rPr>
              <w:t xml:space="preserve"> </w:t>
            </w:r>
            <w:r>
              <w:rPr>
                <w:sz w:val="18"/>
              </w:rPr>
              <w:t>the</w:t>
            </w:r>
            <w:r>
              <w:rPr>
                <w:spacing w:val="-4"/>
                <w:sz w:val="18"/>
              </w:rPr>
              <w:t xml:space="preserve"> </w:t>
            </w:r>
            <w:r>
              <w:rPr>
                <w:sz w:val="18"/>
              </w:rPr>
              <w:t>Provincial</w:t>
            </w:r>
            <w:r>
              <w:rPr>
                <w:spacing w:val="-6"/>
                <w:sz w:val="18"/>
              </w:rPr>
              <w:t xml:space="preserve"> </w:t>
            </w:r>
            <w:r>
              <w:rPr>
                <w:sz w:val="18"/>
              </w:rPr>
              <w:t>level</w:t>
            </w:r>
            <w:r>
              <w:rPr>
                <w:spacing w:val="-3"/>
                <w:sz w:val="18"/>
              </w:rPr>
              <w:t xml:space="preserve"> </w:t>
            </w:r>
            <w:r>
              <w:rPr>
                <w:sz w:val="18"/>
              </w:rPr>
              <w:t>and preparation and implementation of work programs.</w:t>
            </w:r>
          </w:p>
          <w:p w14:paraId="62B16E67" w14:textId="77777777" w:rsidR="00BC24A8" w:rsidRDefault="00000000">
            <w:pPr>
              <w:pStyle w:val="TableParagraph"/>
              <w:numPr>
                <w:ilvl w:val="0"/>
                <w:numId w:val="42"/>
              </w:numPr>
              <w:tabs>
                <w:tab w:val="left" w:pos="464"/>
              </w:tabs>
              <w:spacing w:before="2"/>
              <w:ind w:hanging="360"/>
              <w:rPr>
                <w:sz w:val="18"/>
              </w:rPr>
            </w:pPr>
            <w:r>
              <w:rPr>
                <w:sz w:val="18"/>
              </w:rPr>
              <w:t>Inclusive</w:t>
            </w:r>
            <w:r>
              <w:rPr>
                <w:spacing w:val="-2"/>
                <w:sz w:val="18"/>
              </w:rPr>
              <w:t xml:space="preserve"> </w:t>
            </w:r>
            <w:r>
              <w:rPr>
                <w:i/>
                <w:sz w:val="18"/>
              </w:rPr>
              <w:t>Musrenbang</w:t>
            </w:r>
            <w:r>
              <w:rPr>
                <w:i/>
                <w:spacing w:val="-1"/>
                <w:sz w:val="18"/>
              </w:rPr>
              <w:t xml:space="preserve"> </w:t>
            </w:r>
            <w:r>
              <w:rPr>
                <w:spacing w:val="-2"/>
                <w:sz w:val="18"/>
              </w:rPr>
              <w:t>Implementation.</w:t>
            </w:r>
          </w:p>
        </w:tc>
      </w:tr>
      <w:tr w:rsidR="00BC24A8" w14:paraId="53D49415" w14:textId="77777777">
        <w:trPr>
          <w:trHeight w:val="1113"/>
        </w:trPr>
        <w:tc>
          <w:tcPr>
            <w:tcW w:w="2591" w:type="dxa"/>
            <w:tcBorders>
              <w:top w:val="single" w:sz="4" w:space="0" w:color="BEBEBE"/>
              <w:bottom w:val="single" w:sz="4" w:space="0" w:color="BEBEBE"/>
            </w:tcBorders>
          </w:tcPr>
          <w:p w14:paraId="364B068B" w14:textId="77777777" w:rsidR="00BC24A8" w:rsidRDefault="00000000">
            <w:pPr>
              <w:pStyle w:val="TableParagraph"/>
              <w:spacing w:before="116"/>
              <w:ind w:left="115"/>
              <w:rPr>
                <w:sz w:val="18"/>
              </w:rPr>
            </w:pPr>
            <w:r>
              <w:rPr>
                <w:sz w:val="18"/>
              </w:rPr>
              <w:t>Resulting in an improved data governance framework that supports</w:t>
            </w:r>
            <w:r>
              <w:rPr>
                <w:spacing w:val="-11"/>
                <w:sz w:val="18"/>
              </w:rPr>
              <w:t xml:space="preserve"> </w:t>
            </w:r>
            <w:r>
              <w:rPr>
                <w:sz w:val="18"/>
              </w:rPr>
              <w:t>inclusive</w:t>
            </w:r>
            <w:r>
              <w:rPr>
                <w:spacing w:val="-10"/>
                <w:sz w:val="18"/>
              </w:rPr>
              <w:t xml:space="preserve"> </w:t>
            </w:r>
            <w:r>
              <w:rPr>
                <w:sz w:val="18"/>
              </w:rPr>
              <w:t>basic</w:t>
            </w:r>
            <w:r>
              <w:rPr>
                <w:spacing w:val="-10"/>
                <w:sz w:val="18"/>
              </w:rPr>
              <w:t xml:space="preserve"> </w:t>
            </w:r>
            <w:r>
              <w:rPr>
                <w:sz w:val="18"/>
              </w:rPr>
              <w:t xml:space="preserve">service </w:t>
            </w:r>
            <w:r>
              <w:rPr>
                <w:spacing w:val="-2"/>
                <w:sz w:val="18"/>
              </w:rPr>
              <w:t>delivery</w:t>
            </w:r>
          </w:p>
        </w:tc>
        <w:tc>
          <w:tcPr>
            <w:tcW w:w="6508" w:type="dxa"/>
            <w:tcBorders>
              <w:top w:val="single" w:sz="4" w:space="0" w:color="BEBEBE"/>
              <w:bottom w:val="single" w:sz="4" w:space="0" w:color="BEBEBE"/>
            </w:tcBorders>
          </w:tcPr>
          <w:p w14:paraId="7746DA62" w14:textId="77777777" w:rsidR="00BC24A8" w:rsidRDefault="00000000">
            <w:pPr>
              <w:pStyle w:val="TableParagraph"/>
              <w:numPr>
                <w:ilvl w:val="0"/>
                <w:numId w:val="41"/>
              </w:numPr>
              <w:tabs>
                <w:tab w:val="left" w:pos="464"/>
              </w:tabs>
              <w:spacing w:before="116"/>
              <w:rPr>
                <w:sz w:val="18"/>
              </w:rPr>
            </w:pPr>
            <w:r>
              <w:rPr>
                <w:sz w:val="18"/>
              </w:rPr>
              <w:t>Completion</w:t>
            </w:r>
            <w:r>
              <w:rPr>
                <w:spacing w:val="-2"/>
                <w:sz w:val="18"/>
              </w:rPr>
              <w:t xml:space="preserve"> </w:t>
            </w:r>
            <w:r>
              <w:rPr>
                <w:sz w:val="18"/>
              </w:rPr>
              <w:t>and</w:t>
            </w:r>
            <w:r>
              <w:rPr>
                <w:spacing w:val="-2"/>
                <w:sz w:val="18"/>
              </w:rPr>
              <w:t xml:space="preserve"> </w:t>
            </w:r>
            <w:r>
              <w:rPr>
                <w:sz w:val="18"/>
              </w:rPr>
              <w:t>launch</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One</w:t>
            </w:r>
            <w:r>
              <w:rPr>
                <w:spacing w:val="-2"/>
                <w:sz w:val="18"/>
              </w:rPr>
              <w:t xml:space="preserve"> </w:t>
            </w:r>
            <w:r>
              <w:rPr>
                <w:sz w:val="18"/>
              </w:rPr>
              <w:t>Data</w:t>
            </w:r>
            <w:r>
              <w:rPr>
                <w:spacing w:val="-3"/>
                <w:sz w:val="18"/>
              </w:rPr>
              <w:t xml:space="preserve"> </w:t>
            </w:r>
            <w:r>
              <w:rPr>
                <w:sz w:val="18"/>
              </w:rPr>
              <w:t>Portal</w:t>
            </w:r>
            <w:r>
              <w:rPr>
                <w:spacing w:val="-1"/>
                <w:sz w:val="18"/>
              </w:rPr>
              <w:t xml:space="preserve"> </w:t>
            </w:r>
            <w:r>
              <w:rPr>
                <w:sz w:val="18"/>
              </w:rPr>
              <w:t>and</w:t>
            </w:r>
            <w:r>
              <w:rPr>
                <w:spacing w:val="-2"/>
                <w:sz w:val="18"/>
              </w:rPr>
              <w:t xml:space="preserve"> </w:t>
            </w:r>
            <w:r>
              <w:rPr>
                <w:sz w:val="18"/>
              </w:rPr>
              <w:t>Regional</w:t>
            </w:r>
            <w:r>
              <w:rPr>
                <w:spacing w:val="-1"/>
                <w:sz w:val="18"/>
              </w:rPr>
              <w:t xml:space="preserve"> </w:t>
            </w:r>
            <w:r>
              <w:rPr>
                <w:sz w:val="18"/>
              </w:rPr>
              <w:t>Priority</w:t>
            </w:r>
            <w:r>
              <w:rPr>
                <w:spacing w:val="-1"/>
                <w:sz w:val="18"/>
              </w:rPr>
              <w:t xml:space="preserve"> </w:t>
            </w:r>
            <w:r>
              <w:rPr>
                <w:spacing w:val="-2"/>
                <w:sz w:val="18"/>
              </w:rPr>
              <w:t>Dataset.</w:t>
            </w:r>
          </w:p>
          <w:p w14:paraId="7434E446" w14:textId="77777777" w:rsidR="00BC24A8" w:rsidRDefault="00000000">
            <w:pPr>
              <w:pStyle w:val="TableParagraph"/>
              <w:numPr>
                <w:ilvl w:val="0"/>
                <w:numId w:val="41"/>
              </w:numPr>
              <w:tabs>
                <w:tab w:val="left" w:pos="464"/>
              </w:tabs>
              <w:spacing w:before="1"/>
              <w:ind w:right="516"/>
              <w:rPr>
                <w:sz w:val="18"/>
              </w:rPr>
            </w:pPr>
            <w:r>
              <w:rPr>
                <w:sz w:val="18"/>
              </w:rPr>
              <w:t>Strengthening</w:t>
            </w:r>
            <w:r>
              <w:rPr>
                <w:spacing w:val="-4"/>
                <w:sz w:val="18"/>
              </w:rPr>
              <w:t xml:space="preserve"> </w:t>
            </w:r>
            <w:r>
              <w:rPr>
                <w:sz w:val="18"/>
              </w:rPr>
              <w:t>the</w:t>
            </w:r>
            <w:r>
              <w:rPr>
                <w:spacing w:val="-6"/>
                <w:sz w:val="18"/>
              </w:rPr>
              <w:t xml:space="preserve"> </w:t>
            </w:r>
            <w:r>
              <w:rPr>
                <w:sz w:val="18"/>
              </w:rPr>
              <w:t>capacity</w:t>
            </w:r>
            <w:r>
              <w:rPr>
                <w:spacing w:val="-4"/>
                <w:sz w:val="18"/>
              </w:rPr>
              <w:t xml:space="preserve"> </w:t>
            </w:r>
            <w:r>
              <w:rPr>
                <w:sz w:val="18"/>
              </w:rPr>
              <w:t>of</w:t>
            </w:r>
            <w:r>
              <w:rPr>
                <w:spacing w:val="-4"/>
                <w:sz w:val="18"/>
              </w:rPr>
              <w:t xml:space="preserve"> </w:t>
            </w:r>
            <w:r>
              <w:rPr>
                <w:sz w:val="18"/>
              </w:rPr>
              <w:t>the</w:t>
            </w:r>
            <w:r>
              <w:rPr>
                <w:spacing w:val="-6"/>
                <w:sz w:val="18"/>
              </w:rPr>
              <w:t xml:space="preserve"> </w:t>
            </w:r>
            <w:r>
              <w:rPr>
                <w:sz w:val="18"/>
              </w:rPr>
              <w:t>Regional</w:t>
            </w:r>
            <w:r>
              <w:rPr>
                <w:spacing w:val="-3"/>
                <w:sz w:val="18"/>
              </w:rPr>
              <w:t xml:space="preserve"> </w:t>
            </w:r>
            <w:r>
              <w:rPr>
                <w:sz w:val="18"/>
              </w:rPr>
              <w:t>Apparatus,</w:t>
            </w:r>
            <w:r>
              <w:rPr>
                <w:spacing w:val="-4"/>
                <w:sz w:val="18"/>
              </w:rPr>
              <w:t xml:space="preserve"> </w:t>
            </w:r>
            <w:r>
              <w:rPr>
                <w:sz w:val="18"/>
              </w:rPr>
              <w:t>including</w:t>
            </w:r>
            <w:r>
              <w:rPr>
                <w:spacing w:val="-4"/>
                <w:sz w:val="18"/>
              </w:rPr>
              <w:t xml:space="preserve"> </w:t>
            </w:r>
            <w:r>
              <w:rPr>
                <w:sz w:val="18"/>
              </w:rPr>
              <w:t>data</w:t>
            </w:r>
            <w:r>
              <w:rPr>
                <w:spacing w:val="-4"/>
                <w:sz w:val="18"/>
              </w:rPr>
              <w:t xml:space="preserve"> </w:t>
            </w:r>
            <w:r>
              <w:rPr>
                <w:sz w:val="18"/>
              </w:rPr>
              <w:t>sharing between the Regional Apparatus.</w:t>
            </w:r>
          </w:p>
          <w:p w14:paraId="2C26493E" w14:textId="77777777" w:rsidR="00BC24A8" w:rsidRDefault="00000000">
            <w:pPr>
              <w:pStyle w:val="TableParagraph"/>
              <w:numPr>
                <w:ilvl w:val="0"/>
                <w:numId w:val="41"/>
              </w:numPr>
              <w:tabs>
                <w:tab w:val="left" w:pos="464"/>
              </w:tabs>
              <w:spacing w:line="219" w:lineRule="exact"/>
              <w:rPr>
                <w:sz w:val="18"/>
              </w:rPr>
            </w:pPr>
            <w:r>
              <w:rPr>
                <w:sz w:val="18"/>
              </w:rPr>
              <w:t>Publication</w:t>
            </w:r>
            <w:r>
              <w:rPr>
                <w:spacing w:val="-1"/>
                <w:sz w:val="18"/>
              </w:rPr>
              <w:t xml:space="preserve"> </w:t>
            </w:r>
            <w:r>
              <w:rPr>
                <w:sz w:val="18"/>
              </w:rPr>
              <w:t>of</w:t>
            </w:r>
            <w:r>
              <w:rPr>
                <w:spacing w:val="-2"/>
                <w:sz w:val="18"/>
              </w:rPr>
              <w:t xml:space="preserve"> </w:t>
            </w:r>
            <w:r>
              <w:rPr>
                <w:sz w:val="18"/>
              </w:rPr>
              <w:t>Data</w:t>
            </w:r>
            <w:r>
              <w:rPr>
                <w:spacing w:val="-2"/>
                <w:sz w:val="18"/>
              </w:rPr>
              <w:t xml:space="preserve"> </w:t>
            </w:r>
            <w:r>
              <w:rPr>
                <w:sz w:val="18"/>
              </w:rPr>
              <w:t>and Analysis</w:t>
            </w:r>
            <w:r>
              <w:rPr>
                <w:spacing w:val="-4"/>
                <w:sz w:val="18"/>
              </w:rPr>
              <w:t xml:space="preserve"> </w:t>
            </w:r>
            <w:r>
              <w:rPr>
                <w:sz w:val="18"/>
              </w:rPr>
              <w:t>to</w:t>
            </w:r>
            <w:r>
              <w:rPr>
                <w:spacing w:val="-2"/>
                <w:sz w:val="18"/>
              </w:rPr>
              <w:t xml:space="preserve"> </w:t>
            </w:r>
            <w:r>
              <w:rPr>
                <w:sz w:val="18"/>
              </w:rPr>
              <w:t xml:space="preserve">the </w:t>
            </w:r>
            <w:r>
              <w:rPr>
                <w:spacing w:val="-2"/>
                <w:sz w:val="18"/>
              </w:rPr>
              <w:t>public.</w:t>
            </w:r>
          </w:p>
        </w:tc>
      </w:tr>
      <w:tr w:rsidR="00BC24A8" w14:paraId="0E60E110" w14:textId="77777777">
        <w:trPr>
          <w:trHeight w:val="1110"/>
        </w:trPr>
        <w:tc>
          <w:tcPr>
            <w:tcW w:w="2591" w:type="dxa"/>
            <w:tcBorders>
              <w:top w:val="single" w:sz="4" w:space="0" w:color="BEBEBE"/>
              <w:bottom w:val="single" w:sz="4" w:space="0" w:color="BEBEBE"/>
            </w:tcBorders>
          </w:tcPr>
          <w:p w14:paraId="1D41CB30" w14:textId="77777777" w:rsidR="00BC24A8" w:rsidRDefault="00000000">
            <w:pPr>
              <w:pStyle w:val="TableParagraph"/>
              <w:spacing w:before="116"/>
              <w:ind w:left="115"/>
              <w:rPr>
                <w:sz w:val="18"/>
              </w:rPr>
            </w:pPr>
            <w:r>
              <w:rPr>
                <w:sz w:val="18"/>
              </w:rPr>
              <w:t>Resulting</w:t>
            </w:r>
            <w:r>
              <w:rPr>
                <w:spacing w:val="-9"/>
                <w:sz w:val="18"/>
              </w:rPr>
              <w:t xml:space="preserve"> </w:t>
            </w:r>
            <w:r>
              <w:rPr>
                <w:sz w:val="18"/>
              </w:rPr>
              <w:t>in</w:t>
            </w:r>
            <w:r>
              <w:rPr>
                <w:spacing w:val="-6"/>
                <w:sz w:val="18"/>
              </w:rPr>
              <w:t xml:space="preserve"> </w:t>
            </w:r>
            <w:r>
              <w:rPr>
                <w:sz w:val="18"/>
              </w:rPr>
              <w:t>a</w:t>
            </w:r>
            <w:r>
              <w:rPr>
                <w:spacing w:val="-7"/>
                <w:sz w:val="18"/>
              </w:rPr>
              <w:t xml:space="preserve"> </w:t>
            </w:r>
            <w:r>
              <w:rPr>
                <w:sz w:val="18"/>
              </w:rPr>
              <w:t>more</w:t>
            </w:r>
            <w:r>
              <w:rPr>
                <w:spacing w:val="-6"/>
                <w:sz w:val="18"/>
              </w:rPr>
              <w:t xml:space="preserve"> </w:t>
            </w:r>
            <w:r>
              <w:rPr>
                <w:sz w:val="18"/>
              </w:rPr>
              <w:t>consolidated and</w:t>
            </w:r>
            <w:r>
              <w:rPr>
                <w:spacing w:val="-10"/>
                <w:sz w:val="18"/>
              </w:rPr>
              <w:t xml:space="preserve"> </w:t>
            </w:r>
            <w:r>
              <w:rPr>
                <w:sz w:val="18"/>
              </w:rPr>
              <w:t>inclusive</w:t>
            </w:r>
            <w:r>
              <w:rPr>
                <w:spacing w:val="-10"/>
                <w:sz w:val="18"/>
              </w:rPr>
              <w:t xml:space="preserve"> </w:t>
            </w:r>
            <w:r>
              <w:rPr>
                <w:sz w:val="18"/>
              </w:rPr>
              <w:t>framework</w:t>
            </w:r>
            <w:r>
              <w:rPr>
                <w:spacing w:val="-10"/>
                <w:sz w:val="18"/>
              </w:rPr>
              <w:t xml:space="preserve"> </w:t>
            </w:r>
            <w:r>
              <w:rPr>
                <w:sz w:val="18"/>
              </w:rPr>
              <w:t>for</w:t>
            </w:r>
            <w:r>
              <w:rPr>
                <w:spacing w:val="-10"/>
                <w:sz w:val="18"/>
              </w:rPr>
              <w:t xml:space="preserve"> </w:t>
            </w:r>
            <w:r>
              <w:rPr>
                <w:sz w:val="18"/>
              </w:rPr>
              <w:t xml:space="preserve">MSS implementation and regular </w:t>
            </w:r>
            <w:r>
              <w:rPr>
                <w:spacing w:val="-2"/>
                <w:sz w:val="18"/>
              </w:rPr>
              <w:t>planning</w:t>
            </w:r>
          </w:p>
        </w:tc>
        <w:tc>
          <w:tcPr>
            <w:tcW w:w="6508" w:type="dxa"/>
            <w:tcBorders>
              <w:top w:val="single" w:sz="4" w:space="0" w:color="BEBEBE"/>
              <w:bottom w:val="single" w:sz="4" w:space="0" w:color="BEBEBE"/>
            </w:tcBorders>
          </w:tcPr>
          <w:p w14:paraId="001CB6F3" w14:textId="77777777" w:rsidR="00BC24A8" w:rsidRDefault="00000000">
            <w:pPr>
              <w:pStyle w:val="TableParagraph"/>
              <w:numPr>
                <w:ilvl w:val="0"/>
                <w:numId w:val="40"/>
              </w:numPr>
              <w:tabs>
                <w:tab w:val="left" w:pos="464"/>
              </w:tabs>
              <w:spacing w:before="116"/>
              <w:ind w:right="365"/>
              <w:rPr>
                <w:sz w:val="18"/>
              </w:rPr>
            </w:pPr>
            <w:r>
              <w:rPr>
                <w:sz w:val="18"/>
              </w:rPr>
              <w:t>Optimisation</w:t>
            </w:r>
            <w:r>
              <w:rPr>
                <w:spacing w:val="-4"/>
                <w:sz w:val="18"/>
              </w:rPr>
              <w:t xml:space="preserve"> </w:t>
            </w:r>
            <w:r>
              <w:rPr>
                <w:sz w:val="18"/>
              </w:rPr>
              <w:t>of</w:t>
            </w:r>
            <w:r>
              <w:rPr>
                <w:spacing w:val="-5"/>
                <w:sz w:val="18"/>
              </w:rPr>
              <w:t xml:space="preserve"> </w:t>
            </w:r>
            <w:r>
              <w:rPr>
                <w:sz w:val="18"/>
              </w:rPr>
              <w:t>MSS</w:t>
            </w:r>
            <w:r>
              <w:rPr>
                <w:spacing w:val="-4"/>
                <w:sz w:val="18"/>
              </w:rPr>
              <w:t xml:space="preserve"> </w:t>
            </w:r>
            <w:r>
              <w:rPr>
                <w:sz w:val="18"/>
              </w:rPr>
              <w:t>implementation</w:t>
            </w:r>
            <w:r>
              <w:rPr>
                <w:spacing w:val="-4"/>
                <w:sz w:val="18"/>
              </w:rPr>
              <w:t xml:space="preserve"> </w:t>
            </w:r>
            <w:r>
              <w:rPr>
                <w:sz w:val="18"/>
              </w:rPr>
              <w:t>through</w:t>
            </w:r>
            <w:r>
              <w:rPr>
                <w:spacing w:val="-4"/>
                <w:sz w:val="18"/>
              </w:rPr>
              <w:t xml:space="preserve"> </w:t>
            </w:r>
            <w:r>
              <w:rPr>
                <w:sz w:val="18"/>
              </w:rPr>
              <w:t>MSS</w:t>
            </w:r>
            <w:r>
              <w:rPr>
                <w:spacing w:val="-4"/>
                <w:sz w:val="18"/>
              </w:rPr>
              <w:t xml:space="preserve"> </w:t>
            </w:r>
            <w:r>
              <w:rPr>
                <w:sz w:val="18"/>
              </w:rPr>
              <w:t>monitoring</w:t>
            </w:r>
            <w:r>
              <w:rPr>
                <w:spacing w:val="-5"/>
                <w:sz w:val="18"/>
              </w:rPr>
              <w:t xml:space="preserve"> </w:t>
            </w:r>
            <w:r>
              <w:rPr>
                <w:sz w:val="18"/>
              </w:rPr>
              <w:t>and</w:t>
            </w:r>
            <w:r>
              <w:rPr>
                <w:spacing w:val="-7"/>
                <w:sz w:val="18"/>
              </w:rPr>
              <w:t xml:space="preserve"> </w:t>
            </w:r>
            <w:r>
              <w:rPr>
                <w:sz w:val="18"/>
              </w:rPr>
              <w:t>supervision from the Provincial MSS Implementation Team to Regencies/Cities.</w:t>
            </w:r>
          </w:p>
          <w:p w14:paraId="68A338D4" w14:textId="77777777" w:rsidR="00BC24A8" w:rsidRDefault="00000000">
            <w:pPr>
              <w:pStyle w:val="TableParagraph"/>
              <w:numPr>
                <w:ilvl w:val="0"/>
                <w:numId w:val="40"/>
              </w:numPr>
              <w:tabs>
                <w:tab w:val="left" w:pos="464"/>
              </w:tabs>
              <w:spacing w:line="219" w:lineRule="exact"/>
              <w:rPr>
                <w:sz w:val="18"/>
              </w:rPr>
            </w:pPr>
            <w:r>
              <w:rPr>
                <w:sz w:val="18"/>
              </w:rPr>
              <w:t>Mapping</w:t>
            </w:r>
            <w:r>
              <w:rPr>
                <w:spacing w:val="-2"/>
                <w:sz w:val="18"/>
              </w:rPr>
              <w:t xml:space="preserve"> </w:t>
            </w:r>
            <w:r>
              <w:rPr>
                <w:sz w:val="18"/>
              </w:rPr>
              <w:t>of</w:t>
            </w:r>
            <w:r>
              <w:rPr>
                <w:spacing w:val="-2"/>
                <w:sz w:val="18"/>
              </w:rPr>
              <w:t xml:space="preserve"> </w:t>
            </w:r>
            <w:r>
              <w:rPr>
                <w:sz w:val="18"/>
              </w:rPr>
              <w:t>DAU</w:t>
            </w:r>
            <w:r>
              <w:rPr>
                <w:spacing w:val="-1"/>
                <w:sz w:val="18"/>
              </w:rPr>
              <w:t xml:space="preserve"> </w:t>
            </w:r>
            <w:r>
              <w:rPr>
                <w:sz w:val="18"/>
              </w:rPr>
              <w:t>SG</w:t>
            </w:r>
            <w:r>
              <w:rPr>
                <w:spacing w:val="-1"/>
                <w:sz w:val="18"/>
              </w:rPr>
              <w:t xml:space="preserve"> </w:t>
            </w:r>
            <w:r>
              <w:rPr>
                <w:sz w:val="18"/>
              </w:rPr>
              <w:t>expenditure</w:t>
            </w:r>
            <w:r>
              <w:rPr>
                <w:spacing w:val="-1"/>
                <w:sz w:val="18"/>
              </w:rPr>
              <w:t xml:space="preserve"> </w:t>
            </w:r>
            <w:r>
              <w:rPr>
                <w:sz w:val="18"/>
              </w:rPr>
              <w:t>to</w:t>
            </w:r>
            <w:r>
              <w:rPr>
                <w:spacing w:val="-2"/>
                <w:sz w:val="18"/>
              </w:rPr>
              <w:t xml:space="preserve"> </w:t>
            </w:r>
            <w:r>
              <w:rPr>
                <w:sz w:val="18"/>
              </w:rPr>
              <w:t>basic</w:t>
            </w:r>
            <w:r>
              <w:rPr>
                <w:spacing w:val="-1"/>
                <w:sz w:val="18"/>
              </w:rPr>
              <w:t xml:space="preserve"> </w:t>
            </w:r>
            <w:r>
              <w:rPr>
                <w:sz w:val="18"/>
              </w:rPr>
              <w:t>service</w:t>
            </w:r>
            <w:r>
              <w:rPr>
                <w:spacing w:val="-1"/>
                <w:sz w:val="18"/>
              </w:rPr>
              <w:t xml:space="preserve"> </w:t>
            </w:r>
            <w:r>
              <w:rPr>
                <w:sz w:val="18"/>
              </w:rPr>
              <w:t xml:space="preserve">expenditure </w:t>
            </w:r>
            <w:r>
              <w:rPr>
                <w:spacing w:val="-2"/>
                <w:sz w:val="18"/>
              </w:rPr>
              <w:t>(MSS).</w:t>
            </w:r>
          </w:p>
          <w:p w14:paraId="58C811D4" w14:textId="77777777" w:rsidR="00BC24A8" w:rsidRDefault="00000000">
            <w:pPr>
              <w:pStyle w:val="TableParagraph"/>
              <w:numPr>
                <w:ilvl w:val="0"/>
                <w:numId w:val="40"/>
              </w:numPr>
              <w:tabs>
                <w:tab w:val="left" w:pos="464"/>
              </w:tabs>
              <w:spacing w:before="1"/>
              <w:rPr>
                <w:sz w:val="18"/>
              </w:rPr>
            </w:pPr>
            <w:r>
              <w:rPr>
                <w:sz w:val="18"/>
              </w:rPr>
              <w:t>Conduct</w:t>
            </w:r>
            <w:r>
              <w:rPr>
                <w:spacing w:val="-3"/>
                <w:sz w:val="18"/>
              </w:rPr>
              <w:t xml:space="preserve"> </w:t>
            </w:r>
            <w:r>
              <w:rPr>
                <w:sz w:val="18"/>
              </w:rPr>
              <w:t>costing</w:t>
            </w:r>
            <w:r>
              <w:rPr>
                <w:spacing w:val="-1"/>
                <w:sz w:val="18"/>
              </w:rPr>
              <w:t xml:space="preserve"> </w:t>
            </w:r>
            <w:r>
              <w:rPr>
                <w:sz w:val="18"/>
              </w:rPr>
              <w:t>of</w:t>
            </w:r>
            <w:r>
              <w:rPr>
                <w:spacing w:val="-2"/>
                <w:sz w:val="18"/>
              </w:rPr>
              <w:t xml:space="preserve"> </w:t>
            </w:r>
            <w:r>
              <w:rPr>
                <w:sz w:val="18"/>
              </w:rPr>
              <w:t>MSS</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health,</w:t>
            </w:r>
            <w:r>
              <w:rPr>
                <w:spacing w:val="-2"/>
                <w:sz w:val="18"/>
              </w:rPr>
              <w:t xml:space="preserve"> </w:t>
            </w:r>
            <w:r>
              <w:rPr>
                <w:sz w:val="18"/>
              </w:rPr>
              <w:t>education,</w:t>
            </w:r>
            <w:r>
              <w:rPr>
                <w:spacing w:val="-2"/>
                <w:sz w:val="18"/>
              </w:rPr>
              <w:t xml:space="preserve"> </w:t>
            </w:r>
            <w:r>
              <w:rPr>
                <w:sz w:val="18"/>
              </w:rPr>
              <w:t>and</w:t>
            </w:r>
            <w:r>
              <w:rPr>
                <w:spacing w:val="-1"/>
                <w:sz w:val="18"/>
              </w:rPr>
              <w:t xml:space="preserve"> </w:t>
            </w:r>
            <w:r>
              <w:rPr>
                <w:sz w:val="18"/>
              </w:rPr>
              <w:t xml:space="preserve">social </w:t>
            </w:r>
            <w:r>
              <w:rPr>
                <w:spacing w:val="-2"/>
                <w:sz w:val="18"/>
              </w:rPr>
              <w:t>sectors.</w:t>
            </w:r>
          </w:p>
        </w:tc>
      </w:tr>
      <w:tr w:rsidR="00BC24A8" w14:paraId="77C0C9F0" w14:textId="77777777">
        <w:trPr>
          <w:trHeight w:val="2212"/>
        </w:trPr>
        <w:tc>
          <w:tcPr>
            <w:tcW w:w="2591" w:type="dxa"/>
            <w:tcBorders>
              <w:top w:val="single" w:sz="4" w:space="0" w:color="BEBEBE"/>
              <w:bottom w:val="single" w:sz="4" w:space="0" w:color="BEBEBE"/>
            </w:tcBorders>
          </w:tcPr>
          <w:p w14:paraId="35A6DDA2" w14:textId="77777777" w:rsidR="00BC24A8" w:rsidRDefault="00000000">
            <w:pPr>
              <w:pStyle w:val="TableParagraph"/>
              <w:spacing w:before="119"/>
              <w:ind w:left="115" w:right="109"/>
              <w:rPr>
                <w:sz w:val="18"/>
              </w:rPr>
            </w:pPr>
            <w:r>
              <w:rPr>
                <w:sz w:val="18"/>
              </w:rPr>
              <w:t>Generate a more responsive local government budget management</w:t>
            </w:r>
            <w:r>
              <w:rPr>
                <w:spacing w:val="-11"/>
                <w:sz w:val="18"/>
              </w:rPr>
              <w:t xml:space="preserve"> </w:t>
            </w:r>
            <w:r>
              <w:rPr>
                <w:sz w:val="18"/>
              </w:rPr>
              <w:t>base</w:t>
            </w:r>
            <w:r>
              <w:rPr>
                <w:spacing w:val="-10"/>
                <w:sz w:val="18"/>
              </w:rPr>
              <w:t xml:space="preserve"> </w:t>
            </w:r>
            <w:r>
              <w:rPr>
                <w:sz w:val="18"/>
              </w:rPr>
              <w:t>for</w:t>
            </w:r>
            <w:r>
              <w:rPr>
                <w:spacing w:val="-10"/>
                <w:sz w:val="18"/>
              </w:rPr>
              <w:t xml:space="preserve"> </w:t>
            </w:r>
            <w:r>
              <w:rPr>
                <w:sz w:val="18"/>
              </w:rPr>
              <w:t>inclusive basic service delivery.</w:t>
            </w:r>
          </w:p>
        </w:tc>
        <w:tc>
          <w:tcPr>
            <w:tcW w:w="6508" w:type="dxa"/>
            <w:tcBorders>
              <w:top w:val="single" w:sz="4" w:space="0" w:color="BEBEBE"/>
              <w:bottom w:val="single" w:sz="4" w:space="0" w:color="BEBEBE"/>
            </w:tcBorders>
          </w:tcPr>
          <w:p w14:paraId="5D9159E1" w14:textId="77777777" w:rsidR="00BC24A8" w:rsidRDefault="00000000">
            <w:pPr>
              <w:pStyle w:val="TableParagraph"/>
              <w:numPr>
                <w:ilvl w:val="0"/>
                <w:numId w:val="39"/>
              </w:numPr>
              <w:tabs>
                <w:tab w:val="left" w:pos="464"/>
              </w:tabs>
              <w:spacing w:before="119" w:line="219" w:lineRule="exact"/>
              <w:rPr>
                <w:sz w:val="18"/>
              </w:rPr>
            </w:pPr>
            <w:r>
              <w:rPr>
                <w:sz w:val="18"/>
              </w:rPr>
              <w:t>Implementation</w:t>
            </w:r>
            <w:r>
              <w:rPr>
                <w:spacing w:val="-3"/>
                <w:sz w:val="18"/>
              </w:rPr>
              <w:t xml:space="preserve"> </w:t>
            </w:r>
            <w:r>
              <w:rPr>
                <w:sz w:val="18"/>
              </w:rPr>
              <w:t>of</w:t>
            </w:r>
            <w:r>
              <w:rPr>
                <w:spacing w:val="-4"/>
                <w:sz w:val="18"/>
              </w:rPr>
              <w:t xml:space="preserve"> </w:t>
            </w:r>
            <w:r>
              <w:rPr>
                <w:sz w:val="18"/>
              </w:rPr>
              <w:t>Regional</w:t>
            </w:r>
            <w:r>
              <w:rPr>
                <w:spacing w:val="-1"/>
                <w:sz w:val="18"/>
              </w:rPr>
              <w:t xml:space="preserve"> </w:t>
            </w:r>
            <w:r>
              <w:rPr>
                <w:sz w:val="18"/>
              </w:rPr>
              <w:t>Revenue</w:t>
            </w:r>
            <w:r>
              <w:rPr>
                <w:spacing w:val="-3"/>
                <w:sz w:val="18"/>
              </w:rPr>
              <w:t xml:space="preserve"> </w:t>
            </w:r>
            <w:r>
              <w:rPr>
                <w:sz w:val="18"/>
              </w:rPr>
              <w:t>(PAD)</w:t>
            </w:r>
            <w:r>
              <w:rPr>
                <w:spacing w:val="-4"/>
                <w:sz w:val="18"/>
              </w:rPr>
              <w:t xml:space="preserve"> </w:t>
            </w:r>
            <w:r>
              <w:rPr>
                <w:sz w:val="18"/>
              </w:rPr>
              <w:t>Potential</w:t>
            </w:r>
            <w:r>
              <w:rPr>
                <w:spacing w:val="-1"/>
                <w:sz w:val="18"/>
              </w:rPr>
              <w:t xml:space="preserve"> </w:t>
            </w:r>
            <w:r>
              <w:rPr>
                <w:spacing w:val="-2"/>
                <w:sz w:val="18"/>
              </w:rPr>
              <w:t>Study.</w:t>
            </w:r>
          </w:p>
          <w:p w14:paraId="2C31F843" w14:textId="77777777" w:rsidR="00BC24A8" w:rsidRDefault="00000000">
            <w:pPr>
              <w:pStyle w:val="TableParagraph"/>
              <w:numPr>
                <w:ilvl w:val="0"/>
                <w:numId w:val="39"/>
              </w:numPr>
              <w:tabs>
                <w:tab w:val="left" w:pos="464"/>
              </w:tabs>
              <w:ind w:right="402"/>
              <w:rPr>
                <w:sz w:val="18"/>
              </w:rPr>
            </w:pPr>
            <w:r>
              <w:rPr>
                <w:sz w:val="18"/>
              </w:rPr>
              <w:t>Implementation</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results</w:t>
            </w:r>
            <w:r>
              <w:rPr>
                <w:spacing w:val="-4"/>
                <w:sz w:val="18"/>
              </w:rPr>
              <w:t xml:space="preserve"> </w:t>
            </w:r>
            <w:r>
              <w:rPr>
                <w:sz w:val="18"/>
              </w:rPr>
              <w:t>of</w:t>
            </w:r>
            <w:r>
              <w:rPr>
                <w:spacing w:val="-7"/>
                <w:sz w:val="18"/>
              </w:rPr>
              <w:t xml:space="preserve"> </w:t>
            </w:r>
            <w:r>
              <w:rPr>
                <w:sz w:val="18"/>
              </w:rPr>
              <w:t>potential</w:t>
            </w:r>
            <w:r>
              <w:rPr>
                <w:spacing w:val="-3"/>
                <w:sz w:val="18"/>
              </w:rPr>
              <w:t xml:space="preserve"> </w:t>
            </w:r>
            <w:r>
              <w:rPr>
                <w:sz w:val="18"/>
              </w:rPr>
              <w:t>PAD</w:t>
            </w:r>
            <w:r>
              <w:rPr>
                <w:spacing w:val="-3"/>
                <w:sz w:val="18"/>
              </w:rPr>
              <w:t xml:space="preserve"> </w:t>
            </w:r>
            <w:r>
              <w:rPr>
                <w:sz w:val="18"/>
              </w:rPr>
              <w:t>studies</w:t>
            </w:r>
            <w:r>
              <w:rPr>
                <w:spacing w:val="-4"/>
                <w:sz w:val="18"/>
              </w:rPr>
              <w:t xml:space="preserve"> </w:t>
            </w:r>
            <w:r>
              <w:rPr>
                <w:sz w:val="18"/>
              </w:rPr>
              <w:t>and</w:t>
            </w:r>
            <w:r>
              <w:rPr>
                <w:spacing w:val="-4"/>
                <w:sz w:val="18"/>
              </w:rPr>
              <w:t xml:space="preserve"> </w:t>
            </w:r>
            <w:r>
              <w:rPr>
                <w:sz w:val="18"/>
              </w:rPr>
              <w:t>implementation</w:t>
            </w:r>
            <w:r>
              <w:rPr>
                <w:spacing w:val="-4"/>
                <w:sz w:val="18"/>
              </w:rPr>
              <w:t xml:space="preserve"> </w:t>
            </w:r>
            <w:r>
              <w:rPr>
                <w:sz w:val="18"/>
              </w:rPr>
              <w:t>of PDRD regulations.</w:t>
            </w:r>
          </w:p>
          <w:p w14:paraId="140DEEEB" w14:textId="77777777" w:rsidR="00BC24A8" w:rsidRDefault="00000000">
            <w:pPr>
              <w:pStyle w:val="TableParagraph"/>
              <w:numPr>
                <w:ilvl w:val="0"/>
                <w:numId w:val="39"/>
              </w:numPr>
              <w:tabs>
                <w:tab w:val="left" w:pos="464"/>
              </w:tabs>
              <w:spacing w:before="1"/>
              <w:ind w:right="168"/>
              <w:rPr>
                <w:sz w:val="18"/>
              </w:rPr>
            </w:pPr>
            <w:r>
              <w:rPr>
                <w:sz w:val="18"/>
              </w:rPr>
              <w:t>Mapping</w:t>
            </w:r>
            <w:r>
              <w:rPr>
                <w:spacing w:val="-4"/>
                <w:sz w:val="18"/>
              </w:rPr>
              <w:t xml:space="preserve"> </w:t>
            </w:r>
            <w:r>
              <w:rPr>
                <w:sz w:val="18"/>
              </w:rPr>
              <w:t>of</w:t>
            </w:r>
            <w:r>
              <w:rPr>
                <w:spacing w:val="-4"/>
                <w:sz w:val="18"/>
              </w:rPr>
              <w:t xml:space="preserve"> </w:t>
            </w:r>
            <w:r>
              <w:rPr>
                <w:sz w:val="18"/>
              </w:rPr>
              <w:t>other</w:t>
            </w:r>
            <w:r>
              <w:rPr>
                <w:spacing w:val="-3"/>
                <w:sz w:val="18"/>
              </w:rPr>
              <w:t xml:space="preserve"> </w:t>
            </w:r>
            <w:r>
              <w:rPr>
                <w:sz w:val="18"/>
              </w:rPr>
              <w:t>sources</w:t>
            </w:r>
            <w:r>
              <w:rPr>
                <w:spacing w:val="-3"/>
                <w:sz w:val="18"/>
              </w:rPr>
              <w:t xml:space="preserve"> </w:t>
            </w:r>
            <w:r>
              <w:rPr>
                <w:sz w:val="18"/>
              </w:rPr>
              <w:t>of</w:t>
            </w:r>
            <w:r>
              <w:rPr>
                <w:spacing w:val="-4"/>
                <w:sz w:val="18"/>
              </w:rPr>
              <w:t xml:space="preserve"> </w:t>
            </w:r>
            <w:r>
              <w:rPr>
                <w:sz w:val="18"/>
              </w:rPr>
              <w:t>local</w:t>
            </w:r>
            <w:r>
              <w:rPr>
                <w:spacing w:val="-2"/>
                <w:sz w:val="18"/>
              </w:rPr>
              <w:t xml:space="preserve"> </w:t>
            </w:r>
            <w:r>
              <w:rPr>
                <w:sz w:val="18"/>
              </w:rPr>
              <w:t>financing,</w:t>
            </w:r>
            <w:r>
              <w:rPr>
                <w:spacing w:val="-4"/>
                <w:sz w:val="18"/>
              </w:rPr>
              <w:t xml:space="preserve"> </w:t>
            </w:r>
            <w:r>
              <w:rPr>
                <w:sz w:val="18"/>
              </w:rPr>
              <w:t>outside</w:t>
            </w:r>
            <w:r>
              <w:rPr>
                <w:spacing w:val="-3"/>
                <w:sz w:val="18"/>
              </w:rPr>
              <w:t xml:space="preserve"> </w:t>
            </w:r>
            <w:r>
              <w:rPr>
                <w:sz w:val="18"/>
              </w:rPr>
              <w:t>the</w:t>
            </w:r>
            <w:r>
              <w:rPr>
                <w:spacing w:val="-3"/>
                <w:sz w:val="18"/>
              </w:rPr>
              <w:t xml:space="preserve"> </w:t>
            </w:r>
            <w:r>
              <w:rPr>
                <w:sz w:val="18"/>
              </w:rPr>
              <w:t>APBD,</w:t>
            </w:r>
            <w:r>
              <w:rPr>
                <w:spacing w:val="-4"/>
                <w:sz w:val="18"/>
              </w:rPr>
              <w:t xml:space="preserve"> </w:t>
            </w:r>
            <w:r>
              <w:rPr>
                <w:sz w:val="18"/>
              </w:rPr>
              <w:t>for</w:t>
            </w:r>
            <w:r>
              <w:rPr>
                <w:spacing w:val="-3"/>
                <w:sz w:val="18"/>
              </w:rPr>
              <w:t xml:space="preserve"> </w:t>
            </w:r>
            <w:r>
              <w:rPr>
                <w:sz w:val="18"/>
              </w:rPr>
              <w:t>financing</w:t>
            </w:r>
            <w:r>
              <w:rPr>
                <w:spacing w:val="-4"/>
                <w:sz w:val="18"/>
              </w:rPr>
              <w:t xml:space="preserve"> </w:t>
            </w:r>
            <w:r>
              <w:rPr>
                <w:sz w:val="18"/>
              </w:rPr>
              <w:t xml:space="preserve">basic </w:t>
            </w:r>
            <w:r>
              <w:rPr>
                <w:spacing w:val="-2"/>
                <w:sz w:val="18"/>
              </w:rPr>
              <w:t>services.</w:t>
            </w:r>
          </w:p>
          <w:p w14:paraId="75937945" w14:textId="77777777" w:rsidR="00BC24A8" w:rsidRDefault="00000000">
            <w:pPr>
              <w:pStyle w:val="TableParagraph"/>
              <w:numPr>
                <w:ilvl w:val="0"/>
                <w:numId w:val="39"/>
              </w:numPr>
              <w:tabs>
                <w:tab w:val="left" w:pos="464"/>
              </w:tabs>
              <w:ind w:right="404"/>
              <w:rPr>
                <w:sz w:val="18"/>
              </w:rPr>
            </w:pPr>
            <w:r>
              <w:rPr>
                <w:sz w:val="18"/>
              </w:rPr>
              <w:t>Strengthening</w:t>
            </w:r>
            <w:r>
              <w:rPr>
                <w:spacing w:val="-4"/>
                <w:sz w:val="18"/>
              </w:rPr>
              <w:t xml:space="preserve"> </w:t>
            </w:r>
            <w:r>
              <w:rPr>
                <w:sz w:val="18"/>
              </w:rPr>
              <w:t>the</w:t>
            </w:r>
            <w:r>
              <w:rPr>
                <w:spacing w:val="-6"/>
                <w:sz w:val="18"/>
              </w:rPr>
              <w:t xml:space="preserve"> </w:t>
            </w:r>
            <w:r>
              <w:rPr>
                <w:sz w:val="18"/>
              </w:rPr>
              <w:t>capacity</w:t>
            </w:r>
            <w:r>
              <w:rPr>
                <w:spacing w:val="-3"/>
                <w:sz w:val="18"/>
              </w:rPr>
              <w:t xml:space="preserve"> </w:t>
            </w:r>
            <w:r>
              <w:rPr>
                <w:sz w:val="18"/>
              </w:rPr>
              <w:t>of</w:t>
            </w:r>
            <w:r>
              <w:rPr>
                <w:spacing w:val="-4"/>
                <w:sz w:val="18"/>
              </w:rPr>
              <w:t xml:space="preserve"> </w:t>
            </w:r>
            <w:r>
              <w:rPr>
                <w:sz w:val="18"/>
              </w:rPr>
              <w:t>PDRD</w:t>
            </w:r>
            <w:r>
              <w:rPr>
                <w:spacing w:val="-2"/>
                <w:sz w:val="18"/>
              </w:rPr>
              <w:t xml:space="preserve"> </w:t>
            </w:r>
            <w:r>
              <w:rPr>
                <w:sz w:val="18"/>
              </w:rPr>
              <w:t>policy</w:t>
            </w:r>
            <w:r>
              <w:rPr>
                <w:spacing w:val="-3"/>
                <w:sz w:val="18"/>
              </w:rPr>
              <w:t xml:space="preserve"> </w:t>
            </w:r>
            <w:r>
              <w:rPr>
                <w:sz w:val="18"/>
              </w:rPr>
              <w:t>makers</w:t>
            </w:r>
            <w:r>
              <w:rPr>
                <w:spacing w:val="-3"/>
                <w:sz w:val="18"/>
              </w:rPr>
              <w:t xml:space="preserve"> </w:t>
            </w:r>
            <w:r>
              <w:rPr>
                <w:sz w:val="18"/>
              </w:rPr>
              <w:t>related</w:t>
            </w:r>
            <w:r>
              <w:rPr>
                <w:spacing w:val="-3"/>
                <w:sz w:val="18"/>
              </w:rPr>
              <w:t xml:space="preserve"> </w:t>
            </w:r>
            <w:r>
              <w:rPr>
                <w:sz w:val="18"/>
              </w:rPr>
              <w:t>to</w:t>
            </w:r>
            <w:r>
              <w:rPr>
                <w:spacing w:val="-4"/>
                <w:sz w:val="18"/>
              </w:rPr>
              <w:t xml:space="preserve"> </w:t>
            </w:r>
            <w:r>
              <w:rPr>
                <w:sz w:val="18"/>
              </w:rPr>
              <w:t>certified</w:t>
            </w:r>
            <w:r>
              <w:rPr>
                <w:spacing w:val="-3"/>
                <w:sz w:val="18"/>
              </w:rPr>
              <w:t xml:space="preserve"> </w:t>
            </w:r>
            <w:r>
              <w:rPr>
                <w:sz w:val="18"/>
              </w:rPr>
              <w:t>local</w:t>
            </w:r>
            <w:r>
              <w:rPr>
                <w:spacing w:val="-2"/>
                <w:sz w:val="18"/>
              </w:rPr>
              <w:t xml:space="preserve"> </w:t>
            </w:r>
            <w:r>
              <w:rPr>
                <w:sz w:val="18"/>
              </w:rPr>
              <w:t>tax auditors, collectors, and assessors.</w:t>
            </w:r>
          </w:p>
          <w:p w14:paraId="35A04C58" w14:textId="77777777" w:rsidR="00BC24A8" w:rsidRDefault="00000000">
            <w:pPr>
              <w:pStyle w:val="TableParagraph"/>
              <w:numPr>
                <w:ilvl w:val="0"/>
                <w:numId w:val="39"/>
              </w:numPr>
              <w:tabs>
                <w:tab w:val="left" w:pos="464"/>
              </w:tabs>
              <w:spacing w:line="219" w:lineRule="exact"/>
              <w:rPr>
                <w:sz w:val="18"/>
              </w:rPr>
            </w:pPr>
            <w:r>
              <w:rPr>
                <w:sz w:val="18"/>
              </w:rPr>
              <w:t>Capacity</w:t>
            </w:r>
            <w:r>
              <w:rPr>
                <w:spacing w:val="-2"/>
                <w:sz w:val="18"/>
              </w:rPr>
              <w:t xml:space="preserve"> </w:t>
            </w:r>
            <w:r>
              <w:rPr>
                <w:sz w:val="18"/>
              </w:rPr>
              <w:t>building</w:t>
            </w:r>
            <w:r>
              <w:rPr>
                <w:spacing w:val="-3"/>
                <w:sz w:val="18"/>
              </w:rPr>
              <w:t xml:space="preserve"> </w:t>
            </w:r>
            <w:r>
              <w:rPr>
                <w:sz w:val="18"/>
              </w:rPr>
              <w:t>on</w:t>
            </w:r>
            <w:r>
              <w:rPr>
                <w:spacing w:val="-1"/>
                <w:sz w:val="18"/>
              </w:rPr>
              <w:t xml:space="preserve"> </w:t>
            </w:r>
            <w:r>
              <w:rPr>
                <w:sz w:val="18"/>
              </w:rPr>
              <w:t>the</w:t>
            </w:r>
            <w:r>
              <w:rPr>
                <w:spacing w:val="-2"/>
                <w:sz w:val="18"/>
              </w:rPr>
              <w:t xml:space="preserve"> </w:t>
            </w:r>
            <w:r>
              <w:rPr>
                <w:sz w:val="18"/>
              </w:rPr>
              <w:t>calculation</w:t>
            </w:r>
            <w:r>
              <w:rPr>
                <w:spacing w:val="-1"/>
                <w:sz w:val="18"/>
              </w:rPr>
              <w:t xml:space="preserve"> </w:t>
            </w:r>
            <w:r>
              <w:rPr>
                <w:sz w:val="18"/>
              </w:rPr>
              <w:t>of</w:t>
            </w:r>
            <w:r>
              <w:rPr>
                <w:spacing w:val="-3"/>
                <w:sz w:val="18"/>
              </w:rPr>
              <w:t xml:space="preserve"> </w:t>
            </w:r>
            <w:r>
              <w:rPr>
                <w:sz w:val="18"/>
              </w:rPr>
              <w:t>potential</w:t>
            </w:r>
            <w:r>
              <w:rPr>
                <w:spacing w:val="-1"/>
                <w:sz w:val="18"/>
              </w:rPr>
              <w:t xml:space="preserve"> </w:t>
            </w:r>
            <w:r>
              <w:rPr>
                <w:sz w:val="18"/>
              </w:rPr>
              <w:t>PBB</w:t>
            </w:r>
            <w:r>
              <w:rPr>
                <w:spacing w:val="-2"/>
                <w:sz w:val="18"/>
              </w:rPr>
              <w:t xml:space="preserve"> </w:t>
            </w:r>
            <w:r>
              <w:rPr>
                <w:sz w:val="18"/>
              </w:rPr>
              <w:t>P2</w:t>
            </w:r>
            <w:r>
              <w:rPr>
                <w:spacing w:val="-2"/>
                <w:sz w:val="18"/>
              </w:rPr>
              <w:t xml:space="preserve"> </w:t>
            </w:r>
            <w:r>
              <w:rPr>
                <w:sz w:val="18"/>
              </w:rPr>
              <w:t>and</w:t>
            </w:r>
            <w:r>
              <w:rPr>
                <w:spacing w:val="-1"/>
                <w:sz w:val="18"/>
              </w:rPr>
              <w:t xml:space="preserve"> </w:t>
            </w:r>
            <w:r>
              <w:rPr>
                <w:spacing w:val="-4"/>
                <w:sz w:val="18"/>
              </w:rPr>
              <w:t>PKB.</w:t>
            </w:r>
          </w:p>
          <w:p w14:paraId="619DA49B" w14:textId="77777777" w:rsidR="00BC24A8" w:rsidRDefault="00000000">
            <w:pPr>
              <w:pStyle w:val="TableParagraph"/>
              <w:numPr>
                <w:ilvl w:val="0"/>
                <w:numId w:val="39"/>
              </w:numPr>
              <w:tabs>
                <w:tab w:val="left" w:pos="464"/>
              </w:tabs>
              <w:spacing w:before="1"/>
              <w:rPr>
                <w:sz w:val="18"/>
              </w:rPr>
            </w:pPr>
            <w:r>
              <w:rPr>
                <w:sz w:val="18"/>
              </w:rPr>
              <w:t>Capacity</w:t>
            </w:r>
            <w:r>
              <w:rPr>
                <w:spacing w:val="-2"/>
                <w:sz w:val="18"/>
              </w:rPr>
              <w:t xml:space="preserve"> </w:t>
            </w:r>
            <w:r>
              <w:rPr>
                <w:sz w:val="18"/>
              </w:rPr>
              <w:t>building</w:t>
            </w:r>
            <w:r>
              <w:rPr>
                <w:spacing w:val="-2"/>
                <w:sz w:val="18"/>
              </w:rPr>
              <w:t xml:space="preserve"> </w:t>
            </w:r>
            <w:r>
              <w:rPr>
                <w:sz w:val="18"/>
              </w:rPr>
              <w:t>for</w:t>
            </w:r>
            <w:r>
              <w:rPr>
                <w:spacing w:val="-2"/>
                <w:sz w:val="18"/>
              </w:rPr>
              <w:t xml:space="preserve"> </w:t>
            </w:r>
            <w:r>
              <w:rPr>
                <w:sz w:val="18"/>
              </w:rPr>
              <w:t>compilers</w:t>
            </w:r>
            <w:r>
              <w:rPr>
                <w:spacing w:val="-1"/>
                <w:sz w:val="18"/>
              </w:rPr>
              <w:t xml:space="preserve"> </w:t>
            </w:r>
            <w:r>
              <w:rPr>
                <w:sz w:val="18"/>
              </w:rPr>
              <w:t>for</w:t>
            </w:r>
            <w:r>
              <w:rPr>
                <w:spacing w:val="-2"/>
                <w:sz w:val="18"/>
              </w:rPr>
              <w:t xml:space="preserve"> </w:t>
            </w:r>
            <w:r>
              <w:rPr>
                <w:sz w:val="18"/>
              </w:rPr>
              <w:t>PDRD management</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pacing w:val="-2"/>
                <w:sz w:val="18"/>
              </w:rPr>
              <w:t>regions.</w:t>
            </w:r>
          </w:p>
        </w:tc>
      </w:tr>
    </w:tbl>
    <w:p w14:paraId="3A0FF127" w14:textId="77777777" w:rsidR="00BC24A8" w:rsidRDefault="00BC24A8">
      <w:pPr>
        <w:pStyle w:val="TableParagraph"/>
        <w:rPr>
          <w:sz w:val="18"/>
        </w:rPr>
        <w:sectPr w:rsidR="00BC24A8">
          <w:type w:val="continuous"/>
          <w:pgSz w:w="11910" w:h="16840"/>
          <w:pgMar w:top="1380" w:right="850" w:bottom="1100" w:left="1275" w:header="0" w:footer="907" w:gutter="0"/>
          <w:cols w:space="720"/>
        </w:sectPr>
      </w:pPr>
    </w:p>
    <w:p w14:paraId="10A32D7A" w14:textId="77777777" w:rsidR="00BC24A8" w:rsidRDefault="00000000">
      <w:pPr>
        <w:pStyle w:val="ListParagraph"/>
        <w:numPr>
          <w:ilvl w:val="1"/>
          <w:numId w:val="43"/>
        </w:numPr>
        <w:tabs>
          <w:tab w:val="left" w:pos="683"/>
        </w:tabs>
        <w:spacing w:before="39"/>
        <w:ind w:hanging="631"/>
        <w:rPr>
          <w:rFonts w:ascii="Calibri"/>
          <w:b/>
        </w:rPr>
      </w:pPr>
      <w:r w:rsidRPr="00795364">
        <w:rPr>
          <w:rFonts w:ascii="Calibri"/>
          <w:b/>
          <w:color w:val="008279"/>
        </w:rPr>
        <w:t>Summary</w:t>
      </w:r>
      <w:r w:rsidRPr="00795364">
        <w:rPr>
          <w:rFonts w:ascii="Calibri"/>
          <w:b/>
          <w:color w:val="008279"/>
          <w:spacing w:val="-6"/>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key</w:t>
      </w:r>
      <w:r w:rsidRPr="00795364">
        <w:rPr>
          <w:rFonts w:ascii="Calibri"/>
          <w:b/>
          <w:color w:val="008279"/>
          <w:spacing w:val="-5"/>
        </w:rPr>
        <w:t xml:space="preserve"> </w:t>
      </w:r>
      <w:r w:rsidRPr="00795364">
        <w:rPr>
          <w:rFonts w:ascii="Calibri"/>
          <w:b/>
          <w:color w:val="008279"/>
          <w:spacing w:val="-2"/>
        </w:rPr>
        <w:t>support/inputs</w:t>
      </w:r>
    </w:p>
    <w:p w14:paraId="5F145FA9" w14:textId="77777777" w:rsidR="00BC24A8" w:rsidRDefault="00BC24A8">
      <w:pPr>
        <w:pStyle w:val="BodyText"/>
        <w:spacing w:before="2"/>
        <w:rPr>
          <w:rFonts w:ascii="Calibri"/>
          <w:b/>
          <w:sz w:val="19"/>
        </w:rPr>
      </w:pPr>
    </w:p>
    <w:tbl>
      <w:tblPr>
        <w:tblW w:w="0" w:type="auto"/>
        <w:tblInd w:w="150" w:type="dxa"/>
        <w:tblLayout w:type="fixed"/>
        <w:tblCellMar>
          <w:left w:w="0" w:type="dxa"/>
          <w:right w:w="0" w:type="dxa"/>
        </w:tblCellMar>
        <w:tblLook w:val="01E0" w:firstRow="1" w:lastRow="1" w:firstColumn="1" w:lastColumn="1" w:noHBand="0" w:noVBand="0"/>
      </w:tblPr>
      <w:tblGrid>
        <w:gridCol w:w="1174"/>
        <w:gridCol w:w="1719"/>
        <w:gridCol w:w="1340"/>
        <w:gridCol w:w="2965"/>
        <w:gridCol w:w="1897"/>
      </w:tblGrid>
      <w:tr w:rsidR="00BC24A8" w14:paraId="5CEA6168" w14:textId="77777777">
        <w:trPr>
          <w:trHeight w:val="643"/>
        </w:trPr>
        <w:tc>
          <w:tcPr>
            <w:tcW w:w="1174" w:type="dxa"/>
            <w:shd w:val="clear" w:color="auto" w:fill="17365A"/>
          </w:tcPr>
          <w:p w14:paraId="2BA6B508" w14:textId="77777777" w:rsidR="00BC24A8" w:rsidRDefault="00000000">
            <w:pPr>
              <w:pStyle w:val="TableParagraph"/>
              <w:spacing w:before="191"/>
              <w:ind w:left="107"/>
              <w:rPr>
                <w:rFonts w:ascii="Calibri"/>
                <w:b/>
                <w:sz w:val="20"/>
              </w:rPr>
            </w:pPr>
            <w:r>
              <w:rPr>
                <w:rFonts w:ascii="Calibri"/>
                <w:b/>
                <w:color w:val="FFFFFF"/>
                <w:spacing w:val="-2"/>
                <w:sz w:val="20"/>
              </w:rPr>
              <w:t>Theme</w:t>
            </w:r>
          </w:p>
        </w:tc>
        <w:tc>
          <w:tcPr>
            <w:tcW w:w="1719" w:type="dxa"/>
            <w:shd w:val="clear" w:color="auto" w:fill="17365A"/>
          </w:tcPr>
          <w:p w14:paraId="357BB731" w14:textId="77777777" w:rsidR="00BC24A8" w:rsidRDefault="00000000">
            <w:pPr>
              <w:pStyle w:val="TableParagraph"/>
              <w:spacing w:before="59"/>
              <w:ind w:left="410"/>
              <w:rPr>
                <w:rFonts w:ascii="Calibri"/>
                <w:b/>
                <w:sz w:val="20"/>
              </w:rPr>
            </w:pPr>
            <w:r>
              <w:rPr>
                <w:rFonts w:ascii="Calibri"/>
                <w:b/>
                <w:color w:val="FFFFFF"/>
                <w:sz w:val="20"/>
              </w:rPr>
              <w:t>Number</w:t>
            </w:r>
            <w:r>
              <w:rPr>
                <w:rFonts w:ascii="Calibri"/>
                <w:b/>
                <w:color w:val="FFFFFF"/>
                <w:spacing w:val="-5"/>
                <w:sz w:val="20"/>
              </w:rPr>
              <w:t xml:space="preserve"> of</w:t>
            </w:r>
          </w:p>
          <w:p w14:paraId="662FB0FC" w14:textId="77777777" w:rsidR="00BC24A8" w:rsidRDefault="00000000">
            <w:pPr>
              <w:pStyle w:val="TableParagraph"/>
              <w:spacing w:before="20"/>
              <w:ind w:left="388"/>
              <w:rPr>
                <w:rFonts w:ascii="Calibri"/>
                <w:b/>
                <w:sz w:val="20"/>
              </w:rPr>
            </w:pPr>
            <w:r>
              <w:rPr>
                <w:rFonts w:ascii="Calibri"/>
                <w:b/>
                <w:color w:val="FFFFFF"/>
                <w:spacing w:val="-2"/>
                <w:sz w:val="20"/>
              </w:rPr>
              <w:t>Workshops</w:t>
            </w:r>
          </w:p>
        </w:tc>
        <w:tc>
          <w:tcPr>
            <w:tcW w:w="1340" w:type="dxa"/>
            <w:shd w:val="clear" w:color="auto" w:fill="17365A"/>
          </w:tcPr>
          <w:p w14:paraId="4EA599C0" w14:textId="77777777" w:rsidR="00BC24A8" w:rsidRDefault="00000000">
            <w:pPr>
              <w:pStyle w:val="TableParagraph"/>
              <w:spacing w:before="59" w:line="259" w:lineRule="auto"/>
              <w:ind w:left="517" w:right="218" w:hanging="300"/>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 xml:space="preserve">of </w:t>
            </w:r>
            <w:r>
              <w:rPr>
                <w:rFonts w:ascii="Calibri"/>
                <w:b/>
                <w:color w:val="FFFFFF"/>
                <w:spacing w:val="-4"/>
                <w:sz w:val="20"/>
              </w:rPr>
              <w:t>TAs</w:t>
            </w:r>
          </w:p>
        </w:tc>
        <w:tc>
          <w:tcPr>
            <w:tcW w:w="2965" w:type="dxa"/>
            <w:shd w:val="clear" w:color="auto" w:fill="17365A"/>
          </w:tcPr>
          <w:p w14:paraId="42082B4C" w14:textId="77777777" w:rsidR="00BC24A8" w:rsidRDefault="00000000">
            <w:pPr>
              <w:pStyle w:val="TableParagraph"/>
              <w:spacing w:before="59"/>
              <w:ind w:right="6"/>
              <w:jc w:val="center"/>
              <w:rPr>
                <w:rFonts w:ascii="Calibri"/>
                <w:b/>
                <w:sz w:val="20"/>
              </w:rPr>
            </w:pPr>
            <w:r>
              <w:rPr>
                <w:rFonts w:ascii="Calibri"/>
                <w:b/>
                <w:color w:val="FFFFFF"/>
                <w:sz w:val="20"/>
              </w:rPr>
              <w:t>Number</w:t>
            </w:r>
            <w:r>
              <w:rPr>
                <w:rFonts w:ascii="Calibri"/>
                <w:b/>
                <w:color w:val="FFFFFF"/>
                <w:spacing w:val="-6"/>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Technical</w:t>
            </w:r>
            <w:r>
              <w:rPr>
                <w:rFonts w:ascii="Calibri"/>
                <w:b/>
                <w:color w:val="FFFFFF"/>
                <w:spacing w:val="-6"/>
                <w:sz w:val="20"/>
              </w:rPr>
              <w:t xml:space="preserve"> </w:t>
            </w:r>
            <w:r>
              <w:rPr>
                <w:rFonts w:ascii="Calibri"/>
                <w:b/>
                <w:color w:val="FFFFFF"/>
                <w:spacing w:val="-2"/>
                <w:sz w:val="20"/>
              </w:rPr>
              <w:t>Training</w:t>
            </w:r>
          </w:p>
          <w:p w14:paraId="4E71E690" w14:textId="77777777" w:rsidR="00BC24A8" w:rsidRDefault="00000000">
            <w:pPr>
              <w:pStyle w:val="TableParagraph"/>
              <w:spacing w:before="20"/>
              <w:ind w:left="2" w:right="6"/>
              <w:jc w:val="center"/>
              <w:rPr>
                <w:rFonts w:ascii="Calibri"/>
                <w:b/>
                <w:sz w:val="20"/>
              </w:rPr>
            </w:pPr>
            <w:r>
              <w:rPr>
                <w:rFonts w:ascii="Calibri"/>
                <w:b/>
                <w:color w:val="FFFFFF"/>
                <w:spacing w:val="-2"/>
                <w:sz w:val="20"/>
              </w:rPr>
              <w:t>Sessions</w:t>
            </w:r>
          </w:p>
        </w:tc>
        <w:tc>
          <w:tcPr>
            <w:tcW w:w="1897" w:type="dxa"/>
            <w:shd w:val="clear" w:color="auto" w:fill="17365A"/>
          </w:tcPr>
          <w:p w14:paraId="02A707FF" w14:textId="77777777" w:rsidR="00BC24A8" w:rsidRDefault="00000000">
            <w:pPr>
              <w:pStyle w:val="TableParagraph"/>
              <w:spacing w:before="191"/>
              <w:ind w:right="7"/>
              <w:jc w:val="center"/>
              <w:rPr>
                <w:rFonts w:ascii="Calibri"/>
                <w:b/>
                <w:sz w:val="20"/>
              </w:rPr>
            </w:pPr>
            <w:r>
              <w:rPr>
                <w:rFonts w:ascii="Calibri"/>
                <w:b/>
                <w:color w:val="FFFFFF"/>
                <w:sz w:val="20"/>
              </w:rPr>
              <w:t>Total</w:t>
            </w:r>
            <w:r>
              <w:rPr>
                <w:rFonts w:ascii="Calibri"/>
                <w:b/>
                <w:color w:val="FFFFFF"/>
                <w:spacing w:val="-7"/>
                <w:sz w:val="20"/>
              </w:rPr>
              <w:t xml:space="preserve"> </w:t>
            </w:r>
            <w:r>
              <w:rPr>
                <w:rFonts w:ascii="Calibri"/>
                <w:b/>
                <w:color w:val="FFFFFF"/>
                <w:spacing w:val="-2"/>
                <w:sz w:val="20"/>
              </w:rPr>
              <w:t>Input</w:t>
            </w:r>
          </w:p>
        </w:tc>
      </w:tr>
      <w:tr w:rsidR="00BC24A8" w14:paraId="3281E5BD" w14:textId="77777777">
        <w:trPr>
          <w:trHeight w:val="378"/>
        </w:trPr>
        <w:tc>
          <w:tcPr>
            <w:tcW w:w="1174" w:type="dxa"/>
            <w:tcBorders>
              <w:bottom w:val="single" w:sz="4" w:space="0" w:color="BEBEBE"/>
            </w:tcBorders>
          </w:tcPr>
          <w:p w14:paraId="26A7AD39" w14:textId="77777777" w:rsidR="00BC24A8" w:rsidRDefault="00000000">
            <w:pPr>
              <w:pStyle w:val="TableParagraph"/>
              <w:spacing w:before="102"/>
              <w:ind w:left="107"/>
              <w:rPr>
                <w:sz w:val="18"/>
              </w:rPr>
            </w:pPr>
            <w:r>
              <w:rPr>
                <w:spacing w:val="-5"/>
                <w:sz w:val="18"/>
              </w:rPr>
              <w:t>DNA</w:t>
            </w:r>
          </w:p>
        </w:tc>
        <w:tc>
          <w:tcPr>
            <w:tcW w:w="1719" w:type="dxa"/>
            <w:tcBorders>
              <w:bottom w:val="single" w:sz="4" w:space="0" w:color="BEBEBE"/>
            </w:tcBorders>
          </w:tcPr>
          <w:p w14:paraId="09AD3768" w14:textId="77777777" w:rsidR="00BC24A8" w:rsidRDefault="00000000">
            <w:pPr>
              <w:pStyle w:val="TableParagraph"/>
              <w:spacing w:before="102"/>
              <w:ind w:right="1"/>
              <w:jc w:val="center"/>
              <w:rPr>
                <w:sz w:val="18"/>
              </w:rPr>
            </w:pPr>
            <w:r>
              <w:rPr>
                <w:spacing w:val="-10"/>
                <w:sz w:val="18"/>
              </w:rPr>
              <w:t>8</w:t>
            </w:r>
          </w:p>
        </w:tc>
        <w:tc>
          <w:tcPr>
            <w:tcW w:w="1340" w:type="dxa"/>
            <w:tcBorders>
              <w:bottom w:val="single" w:sz="4" w:space="0" w:color="BEBEBE"/>
            </w:tcBorders>
          </w:tcPr>
          <w:p w14:paraId="55334023" w14:textId="77777777" w:rsidR="00BC24A8" w:rsidRDefault="00000000">
            <w:pPr>
              <w:pStyle w:val="TableParagraph"/>
              <w:spacing w:before="102"/>
              <w:ind w:right="5"/>
              <w:jc w:val="center"/>
              <w:rPr>
                <w:sz w:val="18"/>
              </w:rPr>
            </w:pPr>
            <w:r>
              <w:rPr>
                <w:spacing w:val="-10"/>
                <w:sz w:val="18"/>
              </w:rPr>
              <w:t>2</w:t>
            </w:r>
          </w:p>
        </w:tc>
        <w:tc>
          <w:tcPr>
            <w:tcW w:w="2965" w:type="dxa"/>
            <w:tcBorders>
              <w:bottom w:val="single" w:sz="4" w:space="0" w:color="BEBEBE"/>
            </w:tcBorders>
          </w:tcPr>
          <w:p w14:paraId="2A3050C3" w14:textId="77777777" w:rsidR="00BC24A8" w:rsidRDefault="00000000">
            <w:pPr>
              <w:pStyle w:val="TableParagraph"/>
              <w:spacing w:before="102"/>
              <w:ind w:left="2" w:right="6"/>
              <w:jc w:val="center"/>
              <w:rPr>
                <w:sz w:val="18"/>
              </w:rPr>
            </w:pPr>
            <w:r>
              <w:rPr>
                <w:spacing w:val="-10"/>
                <w:sz w:val="18"/>
              </w:rPr>
              <w:t>3</w:t>
            </w:r>
          </w:p>
        </w:tc>
        <w:tc>
          <w:tcPr>
            <w:tcW w:w="1897" w:type="dxa"/>
            <w:tcBorders>
              <w:bottom w:val="single" w:sz="4" w:space="0" w:color="BEBEBE"/>
            </w:tcBorders>
          </w:tcPr>
          <w:p w14:paraId="1A971EB6" w14:textId="77777777" w:rsidR="00BC24A8" w:rsidRDefault="00000000">
            <w:pPr>
              <w:pStyle w:val="TableParagraph"/>
              <w:spacing w:before="102"/>
              <w:ind w:left="3" w:right="7"/>
              <w:jc w:val="center"/>
              <w:rPr>
                <w:sz w:val="18"/>
              </w:rPr>
            </w:pPr>
            <w:r>
              <w:rPr>
                <w:spacing w:val="-5"/>
                <w:sz w:val="18"/>
              </w:rPr>
              <w:t>13</w:t>
            </w:r>
          </w:p>
        </w:tc>
      </w:tr>
      <w:tr w:rsidR="00BC24A8" w14:paraId="3357BE8A" w14:textId="77777777">
        <w:trPr>
          <w:trHeight w:val="333"/>
        </w:trPr>
        <w:tc>
          <w:tcPr>
            <w:tcW w:w="1174" w:type="dxa"/>
            <w:tcBorders>
              <w:top w:val="single" w:sz="4" w:space="0" w:color="BEBEBE"/>
              <w:bottom w:val="single" w:sz="4" w:space="0" w:color="BEBEBE"/>
            </w:tcBorders>
          </w:tcPr>
          <w:p w14:paraId="3C575149" w14:textId="77777777" w:rsidR="00BC24A8" w:rsidRDefault="00000000">
            <w:pPr>
              <w:pStyle w:val="TableParagraph"/>
              <w:spacing w:before="56"/>
              <w:ind w:left="107"/>
              <w:rPr>
                <w:sz w:val="18"/>
              </w:rPr>
            </w:pPr>
            <w:r>
              <w:rPr>
                <w:spacing w:val="-5"/>
                <w:sz w:val="18"/>
              </w:rPr>
              <w:t>MSS</w:t>
            </w:r>
          </w:p>
        </w:tc>
        <w:tc>
          <w:tcPr>
            <w:tcW w:w="1719" w:type="dxa"/>
            <w:tcBorders>
              <w:top w:val="single" w:sz="4" w:space="0" w:color="BEBEBE"/>
              <w:bottom w:val="single" w:sz="4" w:space="0" w:color="BEBEBE"/>
            </w:tcBorders>
          </w:tcPr>
          <w:p w14:paraId="7CD63E40" w14:textId="77777777" w:rsidR="00BC24A8" w:rsidRDefault="00000000">
            <w:pPr>
              <w:pStyle w:val="TableParagraph"/>
              <w:spacing w:before="56"/>
              <w:ind w:right="1"/>
              <w:jc w:val="center"/>
              <w:rPr>
                <w:sz w:val="18"/>
              </w:rPr>
            </w:pPr>
            <w:r>
              <w:rPr>
                <w:spacing w:val="-10"/>
                <w:sz w:val="18"/>
              </w:rPr>
              <w:t>8</w:t>
            </w:r>
          </w:p>
        </w:tc>
        <w:tc>
          <w:tcPr>
            <w:tcW w:w="1340" w:type="dxa"/>
            <w:tcBorders>
              <w:top w:val="single" w:sz="4" w:space="0" w:color="BEBEBE"/>
              <w:bottom w:val="single" w:sz="4" w:space="0" w:color="BEBEBE"/>
            </w:tcBorders>
          </w:tcPr>
          <w:p w14:paraId="421F0A32" w14:textId="77777777" w:rsidR="00BC24A8" w:rsidRDefault="00BC24A8">
            <w:pPr>
              <w:pStyle w:val="TableParagraph"/>
              <w:rPr>
                <w:rFonts w:ascii="Times New Roman"/>
                <w:sz w:val="18"/>
              </w:rPr>
            </w:pPr>
          </w:p>
        </w:tc>
        <w:tc>
          <w:tcPr>
            <w:tcW w:w="2965" w:type="dxa"/>
            <w:tcBorders>
              <w:top w:val="single" w:sz="4" w:space="0" w:color="BEBEBE"/>
              <w:bottom w:val="single" w:sz="4" w:space="0" w:color="BEBEBE"/>
            </w:tcBorders>
          </w:tcPr>
          <w:p w14:paraId="3BD6FE33" w14:textId="77777777" w:rsidR="00BC24A8" w:rsidRDefault="00000000">
            <w:pPr>
              <w:pStyle w:val="TableParagraph"/>
              <w:spacing w:before="56"/>
              <w:ind w:left="2" w:right="6"/>
              <w:jc w:val="center"/>
              <w:rPr>
                <w:sz w:val="18"/>
              </w:rPr>
            </w:pPr>
            <w:r>
              <w:rPr>
                <w:spacing w:val="-10"/>
                <w:sz w:val="18"/>
              </w:rPr>
              <w:t>3</w:t>
            </w:r>
          </w:p>
        </w:tc>
        <w:tc>
          <w:tcPr>
            <w:tcW w:w="1897" w:type="dxa"/>
            <w:tcBorders>
              <w:top w:val="single" w:sz="4" w:space="0" w:color="BEBEBE"/>
              <w:bottom w:val="single" w:sz="4" w:space="0" w:color="BEBEBE"/>
            </w:tcBorders>
          </w:tcPr>
          <w:p w14:paraId="41E2C2CB" w14:textId="77777777" w:rsidR="00BC24A8" w:rsidRDefault="00000000">
            <w:pPr>
              <w:pStyle w:val="TableParagraph"/>
              <w:spacing w:before="56"/>
              <w:ind w:left="3" w:right="7"/>
              <w:jc w:val="center"/>
              <w:rPr>
                <w:sz w:val="18"/>
              </w:rPr>
            </w:pPr>
            <w:r>
              <w:rPr>
                <w:spacing w:val="-5"/>
                <w:sz w:val="18"/>
              </w:rPr>
              <w:t>11</w:t>
            </w:r>
          </w:p>
        </w:tc>
      </w:tr>
      <w:tr w:rsidR="00BC24A8" w14:paraId="50DA1BBB" w14:textId="77777777">
        <w:trPr>
          <w:trHeight w:val="333"/>
        </w:trPr>
        <w:tc>
          <w:tcPr>
            <w:tcW w:w="1174" w:type="dxa"/>
            <w:tcBorders>
              <w:top w:val="single" w:sz="4" w:space="0" w:color="BEBEBE"/>
              <w:bottom w:val="single" w:sz="4" w:space="0" w:color="BEBEBE"/>
            </w:tcBorders>
          </w:tcPr>
          <w:p w14:paraId="483570F9" w14:textId="77777777" w:rsidR="00BC24A8" w:rsidRDefault="00000000">
            <w:pPr>
              <w:pStyle w:val="TableParagraph"/>
              <w:spacing w:before="56"/>
              <w:ind w:left="107"/>
              <w:rPr>
                <w:sz w:val="18"/>
              </w:rPr>
            </w:pPr>
            <w:r>
              <w:rPr>
                <w:spacing w:val="-5"/>
                <w:sz w:val="18"/>
              </w:rPr>
              <w:t>PFM</w:t>
            </w:r>
          </w:p>
        </w:tc>
        <w:tc>
          <w:tcPr>
            <w:tcW w:w="1719" w:type="dxa"/>
            <w:tcBorders>
              <w:top w:val="single" w:sz="4" w:space="0" w:color="BEBEBE"/>
              <w:bottom w:val="single" w:sz="4" w:space="0" w:color="BEBEBE"/>
            </w:tcBorders>
          </w:tcPr>
          <w:p w14:paraId="453BED2E" w14:textId="77777777" w:rsidR="00BC24A8" w:rsidRDefault="00000000">
            <w:pPr>
              <w:pStyle w:val="TableParagraph"/>
              <w:spacing w:before="56"/>
              <w:ind w:right="1"/>
              <w:jc w:val="center"/>
              <w:rPr>
                <w:sz w:val="18"/>
              </w:rPr>
            </w:pPr>
            <w:r>
              <w:rPr>
                <w:spacing w:val="-10"/>
                <w:sz w:val="18"/>
              </w:rPr>
              <w:t>8</w:t>
            </w:r>
          </w:p>
        </w:tc>
        <w:tc>
          <w:tcPr>
            <w:tcW w:w="1340" w:type="dxa"/>
            <w:tcBorders>
              <w:top w:val="single" w:sz="4" w:space="0" w:color="BEBEBE"/>
              <w:bottom w:val="single" w:sz="4" w:space="0" w:color="BEBEBE"/>
            </w:tcBorders>
          </w:tcPr>
          <w:p w14:paraId="2706C6B1" w14:textId="77777777" w:rsidR="00BC24A8" w:rsidRDefault="00000000">
            <w:pPr>
              <w:pStyle w:val="TableParagraph"/>
              <w:spacing w:before="56"/>
              <w:ind w:right="5"/>
              <w:jc w:val="center"/>
              <w:rPr>
                <w:sz w:val="18"/>
              </w:rPr>
            </w:pPr>
            <w:r>
              <w:rPr>
                <w:spacing w:val="-10"/>
                <w:sz w:val="18"/>
              </w:rPr>
              <w:t>2</w:t>
            </w:r>
          </w:p>
        </w:tc>
        <w:tc>
          <w:tcPr>
            <w:tcW w:w="2965" w:type="dxa"/>
            <w:tcBorders>
              <w:top w:val="single" w:sz="4" w:space="0" w:color="BEBEBE"/>
              <w:bottom w:val="single" w:sz="4" w:space="0" w:color="BEBEBE"/>
            </w:tcBorders>
          </w:tcPr>
          <w:p w14:paraId="4A014AFE" w14:textId="77777777" w:rsidR="00BC24A8" w:rsidRDefault="00000000">
            <w:pPr>
              <w:pStyle w:val="TableParagraph"/>
              <w:spacing w:before="56"/>
              <w:ind w:left="2" w:right="6"/>
              <w:jc w:val="center"/>
              <w:rPr>
                <w:sz w:val="18"/>
              </w:rPr>
            </w:pPr>
            <w:r>
              <w:rPr>
                <w:spacing w:val="-10"/>
                <w:sz w:val="18"/>
              </w:rPr>
              <w:t>3</w:t>
            </w:r>
          </w:p>
        </w:tc>
        <w:tc>
          <w:tcPr>
            <w:tcW w:w="1897" w:type="dxa"/>
            <w:tcBorders>
              <w:top w:val="single" w:sz="4" w:space="0" w:color="BEBEBE"/>
              <w:bottom w:val="single" w:sz="4" w:space="0" w:color="BEBEBE"/>
            </w:tcBorders>
          </w:tcPr>
          <w:p w14:paraId="2EA6D22F" w14:textId="77777777" w:rsidR="00BC24A8" w:rsidRDefault="00000000">
            <w:pPr>
              <w:pStyle w:val="TableParagraph"/>
              <w:spacing w:before="56"/>
              <w:ind w:left="3" w:right="7"/>
              <w:jc w:val="center"/>
              <w:rPr>
                <w:sz w:val="18"/>
              </w:rPr>
            </w:pPr>
            <w:r>
              <w:rPr>
                <w:spacing w:val="-5"/>
                <w:sz w:val="18"/>
              </w:rPr>
              <w:t>13</w:t>
            </w:r>
          </w:p>
        </w:tc>
      </w:tr>
      <w:tr w:rsidR="00BC24A8" w14:paraId="1A11958F" w14:textId="77777777">
        <w:trPr>
          <w:trHeight w:val="376"/>
        </w:trPr>
        <w:tc>
          <w:tcPr>
            <w:tcW w:w="1174" w:type="dxa"/>
            <w:tcBorders>
              <w:top w:val="single" w:sz="4" w:space="0" w:color="BEBEBE"/>
            </w:tcBorders>
          </w:tcPr>
          <w:p w14:paraId="5A66B9C9" w14:textId="77777777" w:rsidR="00BC24A8" w:rsidRDefault="00000000">
            <w:pPr>
              <w:pStyle w:val="TableParagraph"/>
              <w:spacing w:before="59"/>
              <w:ind w:left="107"/>
              <w:rPr>
                <w:sz w:val="18"/>
              </w:rPr>
            </w:pPr>
            <w:r>
              <w:rPr>
                <w:spacing w:val="-2"/>
                <w:sz w:val="18"/>
              </w:rPr>
              <w:t>GEDSI</w:t>
            </w:r>
          </w:p>
        </w:tc>
        <w:tc>
          <w:tcPr>
            <w:tcW w:w="1719" w:type="dxa"/>
            <w:tcBorders>
              <w:top w:val="single" w:sz="4" w:space="0" w:color="BEBEBE"/>
            </w:tcBorders>
          </w:tcPr>
          <w:p w14:paraId="31F24098" w14:textId="77777777" w:rsidR="00BC24A8" w:rsidRDefault="00000000">
            <w:pPr>
              <w:pStyle w:val="TableParagraph"/>
              <w:spacing w:before="59"/>
              <w:ind w:right="1"/>
              <w:jc w:val="center"/>
              <w:rPr>
                <w:sz w:val="18"/>
              </w:rPr>
            </w:pPr>
            <w:r>
              <w:rPr>
                <w:spacing w:val="-10"/>
                <w:sz w:val="18"/>
              </w:rPr>
              <w:t>8</w:t>
            </w:r>
          </w:p>
        </w:tc>
        <w:tc>
          <w:tcPr>
            <w:tcW w:w="1340" w:type="dxa"/>
            <w:tcBorders>
              <w:top w:val="single" w:sz="4" w:space="0" w:color="BEBEBE"/>
            </w:tcBorders>
          </w:tcPr>
          <w:p w14:paraId="35A4C243" w14:textId="77777777" w:rsidR="00BC24A8" w:rsidRDefault="00000000">
            <w:pPr>
              <w:pStyle w:val="TableParagraph"/>
              <w:spacing w:before="59"/>
              <w:ind w:right="5"/>
              <w:jc w:val="center"/>
              <w:rPr>
                <w:sz w:val="18"/>
              </w:rPr>
            </w:pPr>
            <w:r>
              <w:rPr>
                <w:spacing w:val="-10"/>
                <w:sz w:val="18"/>
              </w:rPr>
              <w:t>1</w:t>
            </w:r>
          </w:p>
        </w:tc>
        <w:tc>
          <w:tcPr>
            <w:tcW w:w="2965" w:type="dxa"/>
            <w:tcBorders>
              <w:top w:val="single" w:sz="4" w:space="0" w:color="BEBEBE"/>
            </w:tcBorders>
          </w:tcPr>
          <w:p w14:paraId="0CBD6347" w14:textId="77777777" w:rsidR="00BC24A8" w:rsidRDefault="00000000">
            <w:pPr>
              <w:pStyle w:val="TableParagraph"/>
              <w:spacing w:before="59"/>
              <w:ind w:left="2" w:right="6"/>
              <w:jc w:val="center"/>
              <w:rPr>
                <w:sz w:val="18"/>
              </w:rPr>
            </w:pPr>
            <w:r>
              <w:rPr>
                <w:spacing w:val="-10"/>
                <w:sz w:val="18"/>
              </w:rPr>
              <w:t>3</w:t>
            </w:r>
          </w:p>
        </w:tc>
        <w:tc>
          <w:tcPr>
            <w:tcW w:w="1897" w:type="dxa"/>
            <w:tcBorders>
              <w:top w:val="single" w:sz="4" w:space="0" w:color="BEBEBE"/>
            </w:tcBorders>
          </w:tcPr>
          <w:p w14:paraId="58965396" w14:textId="77777777" w:rsidR="00BC24A8" w:rsidRDefault="00000000">
            <w:pPr>
              <w:pStyle w:val="TableParagraph"/>
              <w:spacing w:before="59"/>
              <w:ind w:left="3" w:right="7"/>
              <w:jc w:val="center"/>
              <w:rPr>
                <w:sz w:val="18"/>
              </w:rPr>
            </w:pPr>
            <w:r>
              <w:rPr>
                <w:spacing w:val="-5"/>
                <w:sz w:val="18"/>
              </w:rPr>
              <w:t>12</w:t>
            </w:r>
          </w:p>
        </w:tc>
      </w:tr>
      <w:tr w:rsidR="00BC24A8" w14:paraId="0144D99C" w14:textId="77777777">
        <w:trPr>
          <w:trHeight w:val="352"/>
        </w:trPr>
        <w:tc>
          <w:tcPr>
            <w:tcW w:w="1174" w:type="dxa"/>
            <w:tcBorders>
              <w:bottom w:val="single" w:sz="4" w:space="0" w:color="BEBEBE"/>
              <w:right w:val="single" w:sz="18" w:space="0" w:color="FFFFFF"/>
            </w:tcBorders>
            <w:shd w:val="clear" w:color="auto" w:fill="A7A9AC"/>
          </w:tcPr>
          <w:p w14:paraId="2FA3504A" w14:textId="77777777" w:rsidR="00BC24A8" w:rsidRDefault="00000000">
            <w:pPr>
              <w:pStyle w:val="TableParagraph"/>
              <w:spacing w:before="61"/>
              <w:ind w:left="107"/>
              <w:rPr>
                <w:rFonts w:ascii="Calibri"/>
                <w:b/>
                <w:sz w:val="18"/>
              </w:rPr>
            </w:pPr>
            <w:r w:rsidRPr="00795364">
              <w:rPr>
                <w:rFonts w:ascii="Calibri"/>
                <w:b/>
                <w:color w:val="000000"/>
                <w:spacing w:val="-2"/>
                <w:sz w:val="18"/>
              </w:rPr>
              <w:t>TOTAL</w:t>
            </w:r>
          </w:p>
        </w:tc>
        <w:tc>
          <w:tcPr>
            <w:tcW w:w="1719" w:type="dxa"/>
            <w:tcBorders>
              <w:left w:val="single" w:sz="18" w:space="0" w:color="FFFFFF"/>
              <w:bottom w:val="single" w:sz="4" w:space="0" w:color="BEBEBE"/>
              <w:right w:val="single" w:sz="18" w:space="0" w:color="FFFFFF"/>
            </w:tcBorders>
            <w:shd w:val="clear" w:color="auto" w:fill="A7A9AC"/>
          </w:tcPr>
          <w:p w14:paraId="274BE959" w14:textId="77777777" w:rsidR="00BC24A8" w:rsidRDefault="00000000">
            <w:pPr>
              <w:pStyle w:val="TableParagraph"/>
              <w:spacing w:before="61"/>
              <w:ind w:right="1"/>
              <w:jc w:val="center"/>
              <w:rPr>
                <w:rFonts w:ascii="Calibri"/>
                <w:b/>
                <w:sz w:val="18"/>
              </w:rPr>
            </w:pPr>
            <w:r w:rsidRPr="00795364">
              <w:rPr>
                <w:rFonts w:ascii="Calibri"/>
                <w:b/>
                <w:color w:val="000000"/>
                <w:spacing w:val="-5"/>
                <w:sz w:val="18"/>
              </w:rPr>
              <w:t>32</w:t>
            </w:r>
          </w:p>
        </w:tc>
        <w:tc>
          <w:tcPr>
            <w:tcW w:w="1340" w:type="dxa"/>
            <w:tcBorders>
              <w:left w:val="single" w:sz="18" w:space="0" w:color="FFFFFF"/>
              <w:bottom w:val="single" w:sz="4" w:space="0" w:color="BEBEBE"/>
              <w:right w:val="single" w:sz="18" w:space="0" w:color="FFFFFF"/>
            </w:tcBorders>
            <w:shd w:val="clear" w:color="auto" w:fill="A7A9AC"/>
          </w:tcPr>
          <w:p w14:paraId="2643B33B" w14:textId="77777777" w:rsidR="00BC24A8" w:rsidRDefault="00000000">
            <w:pPr>
              <w:pStyle w:val="TableParagraph"/>
              <w:spacing w:before="61"/>
              <w:ind w:right="5"/>
              <w:jc w:val="center"/>
              <w:rPr>
                <w:rFonts w:ascii="Calibri"/>
                <w:b/>
                <w:sz w:val="18"/>
              </w:rPr>
            </w:pPr>
            <w:r w:rsidRPr="00795364">
              <w:rPr>
                <w:rFonts w:ascii="Calibri"/>
                <w:b/>
                <w:color w:val="000000"/>
                <w:spacing w:val="-10"/>
                <w:sz w:val="18"/>
              </w:rPr>
              <w:t>5</w:t>
            </w:r>
          </w:p>
        </w:tc>
        <w:tc>
          <w:tcPr>
            <w:tcW w:w="2965" w:type="dxa"/>
            <w:tcBorders>
              <w:left w:val="single" w:sz="18" w:space="0" w:color="FFFFFF"/>
              <w:bottom w:val="single" w:sz="4" w:space="0" w:color="BEBEBE"/>
              <w:right w:val="single" w:sz="18" w:space="0" w:color="FFFFFF"/>
            </w:tcBorders>
            <w:shd w:val="clear" w:color="auto" w:fill="A7A9AC"/>
          </w:tcPr>
          <w:p w14:paraId="0E3FA53F" w14:textId="77777777" w:rsidR="00BC24A8" w:rsidRDefault="00000000">
            <w:pPr>
              <w:pStyle w:val="TableParagraph"/>
              <w:spacing w:before="61"/>
              <w:ind w:right="4"/>
              <w:jc w:val="center"/>
              <w:rPr>
                <w:rFonts w:ascii="Calibri"/>
                <w:b/>
                <w:sz w:val="18"/>
              </w:rPr>
            </w:pPr>
            <w:r w:rsidRPr="00795364">
              <w:rPr>
                <w:rFonts w:ascii="Calibri"/>
                <w:b/>
                <w:color w:val="000000"/>
                <w:spacing w:val="-5"/>
                <w:sz w:val="18"/>
              </w:rPr>
              <w:t>12</w:t>
            </w:r>
          </w:p>
        </w:tc>
        <w:tc>
          <w:tcPr>
            <w:tcW w:w="1897" w:type="dxa"/>
            <w:tcBorders>
              <w:left w:val="single" w:sz="18" w:space="0" w:color="FFFFFF"/>
              <w:bottom w:val="single" w:sz="4" w:space="0" w:color="BEBEBE"/>
            </w:tcBorders>
            <w:shd w:val="clear" w:color="auto" w:fill="A7A9AC"/>
          </w:tcPr>
          <w:p w14:paraId="3AB307F3" w14:textId="77777777" w:rsidR="00BC24A8" w:rsidRDefault="00000000">
            <w:pPr>
              <w:pStyle w:val="TableParagraph"/>
              <w:spacing w:before="61"/>
              <w:ind w:right="26"/>
              <w:jc w:val="center"/>
              <w:rPr>
                <w:rFonts w:ascii="Calibri"/>
                <w:b/>
                <w:sz w:val="18"/>
              </w:rPr>
            </w:pPr>
            <w:r w:rsidRPr="00795364">
              <w:rPr>
                <w:rFonts w:ascii="Calibri"/>
                <w:b/>
                <w:color w:val="000000"/>
                <w:spacing w:val="-5"/>
                <w:sz w:val="18"/>
              </w:rPr>
              <w:t>49</w:t>
            </w:r>
          </w:p>
        </w:tc>
      </w:tr>
    </w:tbl>
    <w:p w14:paraId="495CF177" w14:textId="77777777" w:rsidR="00BC24A8" w:rsidRDefault="00BC24A8">
      <w:pPr>
        <w:pStyle w:val="TableParagraph"/>
        <w:jc w:val="center"/>
        <w:rPr>
          <w:rFonts w:ascii="Calibri"/>
          <w:b/>
          <w:sz w:val="18"/>
        </w:rPr>
        <w:sectPr w:rsidR="00BC24A8">
          <w:pgSz w:w="11910" w:h="16840"/>
          <w:pgMar w:top="1360" w:right="850" w:bottom="1100" w:left="1275" w:header="0" w:footer="907" w:gutter="0"/>
          <w:cols w:space="720"/>
        </w:sectPr>
      </w:pPr>
    </w:p>
    <w:p w14:paraId="0DA83A20" w14:textId="77777777" w:rsidR="00BC24A8" w:rsidRDefault="00000000">
      <w:pPr>
        <w:pStyle w:val="Heading3"/>
      </w:pPr>
      <w:bookmarkStart w:id="206" w:name="Papua_Barat_Daya_Province_Semester_Repor"/>
      <w:bookmarkStart w:id="207" w:name="_bookmark142"/>
      <w:bookmarkEnd w:id="206"/>
      <w:bookmarkEnd w:id="207"/>
      <w:r>
        <w:rPr>
          <w:color w:val="137D87"/>
          <w:spacing w:val="-4"/>
        </w:rPr>
        <w:t>Papua</w:t>
      </w:r>
      <w:r>
        <w:rPr>
          <w:color w:val="137D87"/>
          <w:spacing w:val="-22"/>
        </w:rPr>
        <w:t xml:space="preserve"> </w:t>
      </w:r>
      <w:r>
        <w:rPr>
          <w:color w:val="137D87"/>
          <w:spacing w:val="-4"/>
        </w:rPr>
        <w:t>Barat</w:t>
      </w:r>
      <w:r>
        <w:rPr>
          <w:color w:val="137D87"/>
          <w:spacing w:val="-22"/>
        </w:rPr>
        <w:t xml:space="preserve"> </w:t>
      </w:r>
      <w:r>
        <w:rPr>
          <w:color w:val="137D87"/>
          <w:spacing w:val="-4"/>
        </w:rPr>
        <w:t>Daya</w:t>
      </w:r>
      <w:r>
        <w:rPr>
          <w:color w:val="137D87"/>
          <w:spacing w:val="-22"/>
        </w:rPr>
        <w:t xml:space="preserve"> </w:t>
      </w:r>
      <w:r>
        <w:rPr>
          <w:color w:val="137D87"/>
          <w:spacing w:val="-4"/>
        </w:rPr>
        <w:t>Province</w:t>
      </w:r>
      <w:r>
        <w:rPr>
          <w:color w:val="137D87"/>
          <w:spacing w:val="-21"/>
        </w:rPr>
        <w:t xml:space="preserve"> </w:t>
      </w:r>
      <w:r>
        <w:rPr>
          <w:color w:val="137D87"/>
          <w:spacing w:val="-4"/>
        </w:rPr>
        <w:t>Semester</w:t>
      </w:r>
      <w:r>
        <w:rPr>
          <w:color w:val="137D87"/>
          <w:spacing w:val="-20"/>
        </w:rPr>
        <w:t xml:space="preserve"> </w:t>
      </w:r>
      <w:r>
        <w:rPr>
          <w:color w:val="137D87"/>
          <w:spacing w:val="-4"/>
        </w:rPr>
        <w:t>Report</w:t>
      </w:r>
    </w:p>
    <w:p w14:paraId="09CA9F0B" w14:textId="77777777" w:rsidR="00BC24A8" w:rsidRDefault="00000000">
      <w:pPr>
        <w:pStyle w:val="BodyText"/>
        <w:spacing w:before="20"/>
        <w:ind w:left="143"/>
      </w:pPr>
      <w:r>
        <w:t>(January–June</w:t>
      </w:r>
      <w:r>
        <w:rPr>
          <w:spacing w:val="-9"/>
        </w:rPr>
        <w:t xml:space="preserve"> </w:t>
      </w:r>
      <w:r>
        <w:rPr>
          <w:spacing w:val="-4"/>
        </w:rPr>
        <w:t>2025)</w:t>
      </w:r>
    </w:p>
    <w:p w14:paraId="3D440C10" w14:textId="77777777" w:rsidR="00BC24A8" w:rsidRDefault="00BC24A8">
      <w:pPr>
        <w:pStyle w:val="BodyText"/>
      </w:pPr>
    </w:p>
    <w:p w14:paraId="768F9BF3" w14:textId="77777777" w:rsidR="00BC24A8" w:rsidRDefault="00BC24A8">
      <w:pPr>
        <w:pStyle w:val="BodyText"/>
        <w:spacing w:before="15"/>
      </w:pPr>
    </w:p>
    <w:p w14:paraId="7E5EA6D2" w14:textId="77777777" w:rsidR="00BC24A8" w:rsidRDefault="00000000">
      <w:pPr>
        <w:ind w:left="414"/>
        <w:rPr>
          <w:i/>
        </w:rPr>
      </w:pPr>
      <w:bookmarkStart w:id="208" w:name="Context_of_Papua_Barat_Daya_Province"/>
      <w:bookmarkEnd w:id="208"/>
      <w:r>
        <w:rPr>
          <w:i/>
          <w:color w:val="1F3762"/>
        </w:rPr>
        <w:t>Context</w:t>
      </w:r>
      <w:r>
        <w:rPr>
          <w:i/>
          <w:color w:val="1F3762"/>
          <w:spacing w:val="-9"/>
        </w:rPr>
        <w:t xml:space="preserve"> </w:t>
      </w:r>
      <w:r>
        <w:rPr>
          <w:i/>
          <w:color w:val="1F3762"/>
        </w:rPr>
        <w:t>of</w:t>
      </w:r>
      <w:r>
        <w:rPr>
          <w:i/>
          <w:color w:val="1F3762"/>
          <w:spacing w:val="-6"/>
        </w:rPr>
        <w:t xml:space="preserve"> </w:t>
      </w:r>
      <w:r>
        <w:rPr>
          <w:i/>
          <w:color w:val="1F3762"/>
        </w:rPr>
        <w:t>Papua</w:t>
      </w:r>
      <w:r>
        <w:rPr>
          <w:i/>
          <w:color w:val="1F3762"/>
          <w:spacing w:val="-5"/>
        </w:rPr>
        <w:t xml:space="preserve"> </w:t>
      </w:r>
      <w:r>
        <w:rPr>
          <w:i/>
          <w:color w:val="1F3762"/>
        </w:rPr>
        <w:t>Barat</w:t>
      </w:r>
      <w:r>
        <w:rPr>
          <w:i/>
          <w:color w:val="1F3762"/>
          <w:spacing w:val="-8"/>
        </w:rPr>
        <w:t xml:space="preserve"> </w:t>
      </w:r>
      <w:r>
        <w:rPr>
          <w:i/>
          <w:color w:val="1F3762"/>
        </w:rPr>
        <w:t>Daya</w:t>
      </w:r>
      <w:r>
        <w:rPr>
          <w:i/>
          <w:color w:val="1F3762"/>
          <w:spacing w:val="-4"/>
        </w:rPr>
        <w:t xml:space="preserve"> </w:t>
      </w:r>
      <w:r>
        <w:rPr>
          <w:i/>
          <w:color w:val="1F3762"/>
          <w:spacing w:val="-2"/>
        </w:rPr>
        <w:t>Province</w:t>
      </w:r>
    </w:p>
    <w:p w14:paraId="1032B5B6" w14:textId="77777777" w:rsidR="00BC24A8" w:rsidRDefault="00000000">
      <w:pPr>
        <w:spacing w:before="43"/>
        <w:ind w:left="143"/>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5"/>
        </w:rPr>
        <w:t xml:space="preserve"> </w:t>
      </w:r>
      <w:r>
        <w:rPr>
          <w:rFonts w:ascii="Calibri"/>
          <w:i/>
          <w:color w:val="272727"/>
        </w:rPr>
        <w:t>basic</w:t>
      </w:r>
      <w:r>
        <w:rPr>
          <w:rFonts w:ascii="Calibri"/>
          <w:i/>
          <w:color w:val="272727"/>
          <w:spacing w:val="-5"/>
        </w:rPr>
        <w:t xml:space="preserve"> </w:t>
      </w:r>
      <w:r>
        <w:rPr>
          <w:rFonts w:ascii="Calibri"/>
          <w:i/>
          <w:color w:val="272727"/>
        </w:rPr>
        <w:t>services,</w:t>
      </w:r>
      <w:r>
        <w:rPr>
          <w:rFonts w:ascii="Calibri"/>
          <w:i/>
          <w:color w:val="272727"/>
          <w:spacing w:val="-7"/>
        </w:rPr>
        <w:t xml:space="preserve"> </w:t>
      </w:r>
      <w:r>
        <w:rPr>
          <w:rFonts w:ascii="Calibri"/>
          <w:i/>
          <w:color w:val="272727"/>
        </w:rPr>
        <w:t>vulnerable</w:t>
      </w:r>
      <w:r>
        <w:rPr>
          <w:rFonts w:ascii="Calibri"/>
          <w:i/>
          <w:color w:val="272727"/>
          <w:spacing w:val="-4"/>
        </w:rPr>
        <w:t xml:space="preserve"> </w:t>
      </w:r>
      <w:r>
        <w:rPr>
          <w:rFonts w:ascii="Calibri"/>
          <w:i/>
          <w:color w:val="272727"/>
        </w:rPr>
        <w:t>groups,</w:t>
      </w:r>
      <w:r>
        <w:rPr>
          <w:rFonts w:ascii="Calibri"/>
          <w:i/>
          <w:color w:val="272727"/>
          <w:spacing w:val="-5"/>
        </w:rPr>
        <w:t xml:space="preserve"> </w:t>
      </w:r>
      <w:r>
        <w:rPr>
          <w:rFonts w:ascii="Calibri"/>
          <w:i/>
          <w:color w:val="272727"/>
        </w:rPr>
        <w:t>and</w:t>
      </w:r>
      <w:r>
        <w:rPr>
          <w:rFonts w:ascii="Calibri"/>
          <w:i/>
          <w:color w:val="272727"/>
          <w:spacing w:val="-6"/>
        </w:rPr>
        <w:t xml:space="preserve"> </w:t>
      </w:r>
      <w:r>
        <w:rPr>
          <w:rFonts w:ascii="Calibri"/>
          <w:i/>
          <w:color w:val="272727"/>
        </w:rPr>
        <w:t>fiscal</w:t>
      </w:r>
      <w:r>
        <w:rPr>
          <w:rFonts w:ascii="Calibri"/>
          <w:i/>
          <w:color w:val="272727"/>
          <w:spacing w:val="-5"/>
        </w:rPr>
        <w:t xml:space="preserve"> </w:t>
      </w:r>
      <w:r>
        <w:rPr>
          <w:rFonts w:ascii="Calibri"/>
          <w:i/>
          <w:color w:val="272727"/>
          <w:spacing w:val="-2"/>
        </w:rPr>
        <w:t>capacity</w:t>
      </w:r>
    </w:p>
    <w:p w14:paraId="0471BE7E" w14:textId="77777777" w:rsidR="00BC24A8" w:rsidRDefault="00BC24A8">
      <w:pPr>
        <w:pStyle w:val="BodyText"/>
        <w:spacing w:before="63"/>
        <w:rPr>
          <w:rFonts w:ascii="Calibri"/>
          <w:i/>
        </w:rPr>
      </w:pPr>
    </w:p>
    <w:p w14:paraId="1AA5A42B" w14:textId="77777777" w:rsidR="00BC24A8" w:rsidRDefault="00000000">
      <w:pPr>
        <w:pStyle w:val="Heading5"/>
      </w:pPr>
      <w:r>
        <w:rPr>
          <w:color w:val="767070"/>
          <w:spacing w:val="-2"/>
        </w:rPr>
        <w:t>Key</w:t>
      </w:r>
      <w:r>
        <w:rPr>
          <w:color w:val="767070"/>
          <w:spacing w:val="4"/>
        </w:rPr>
        <w:t xml:space="preserve"> </w:t>
      </w:r>
      <w:r>
        <w:rPr>
          <w:color w:val="767070"/>
          <w:spacing w:val="-2"/>
        </w:rPr>
        <w:t>development</w:t>
      </w:r>
      <w:r>
        <w:rPr>
          <w:color w:val="767070"/>
          <w:spacing w:val="4"/>
        </w:rPr>
        <w:t xml:space="preserve"> </w:t>
      </w:r>
      <w:r>
        <w:rPr>
          <w:color w:val="767070"/>
          <w:spacing w:val="-2"/>
        </w:rPr>
        <w:t>outcome</w:t>
      </w:r>
      <w:r>
        <w:rPr>
          <w:color w:val="767070"/>
        </w:rPr>
        <w:t xml:space="preserve"> </w:t>
      </w:r>
      <w:r>
        <w:rPr>
          <w:color w:val="767070"/>
          <w:spacing w:val="-2"/>
        </w:rPr>
        <w:t>indicators</w:t>
      </w:r>
      <w:r>
        <w:rPr>
          <w:color w:val="767070"/>
          <w:spacing w:val="2"/>
        </w:rPr>
        <w:t xml:space="preserve"> </w:t>
      </w:r>
      <w:r>
        <w:rPr>
          <w:color w:val="767070"/>
          <w:spacing w:val="-4"/>
        </w:rPr>
        <w:t>data</w:t>
      </w:r>
    </w:p>
    <w:p w14:paraId="5F97C888"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502"/>
        <w:gridCol w:w="6015"/>
        <w:gridCol w:w="2490"/>
      </w:tblGrid>
      <w:tr w:rsidR="00BC24A8" w14:paraId="1FC2EADC" w14:textId="77777777">
        <w:trPr>
          <w:trHeight w:val="359"/>
        </w:trPr>
        <w:tc>
          <w:tcPr>
            <w:tcW w:w="6517" w:type="dxa"/>
            <w:gridSpan w:val="2"/>
            <w:shd w:val="clear" w:color="auto" w:fill="17365A"/>
          </w:tcPr>
          <w:p w14:paraId="5CF4EB1C" w14:textId="77777777" w:rsidR="00BC24A8" w:rsidRDefault="00000000">
            <w:pPr>
              <w:pStyle w:val="TableParagraph"/>
              <w:spacing w:before="59"/>
              <w:ind w:left="206"/>
              <w:rPr>
                <w:rFonts w:ascii="Calibri"/>
                <w:b/>
                <w:sz w:val="20"/>
              </w:rPr>
            </w:pPr>
            <w:r>
              <w:rPr>
                <w:rFonts w:ascii="Calibri"/>
                <w:b/>
                <w:color w:val="FFFFFF"/>
                <w:spacing w:val="-2"/>
                <w:sz w:val="20"/>
              </w:rPr>
              <w:t>Indicator</w:t>
            </w:r>
          </w:p>
        </w:tc>
        <w:tc>
          <w:tcPr>
            <w:tcW w:w="2490" w:type="dxa"/>
            <w:tcBorders>
              <w:bottom w:val="single" w:sz="4" w:space="0" w:color="BEBEBE"/>
            </w:tcBorders>
            <w:shd w:val="clear" w:color="auto" w:fill="17365A"/>
          </w:tcPr>
          <w:p w14:paraId="3AEC8BFB" w14:textId="77777777" w:rsidR="00BC24A8" w:rsidRDefault="00000000">
            <w:pPr>
              <w:pStyle w:val="TableParagraph"/>
              <w:spacing w:before="59"/>
              <w:ind w:left="57" w:right="3"/>
              <w:jc w:val="center"/>
              <w:rPr>
                <w:rFonts w:ascii="Calibri"/>
                <w:b/>
                <w:sz w:val="20"/>
              </w:rPr>
            </w:pPr>
            <w:r>
              <w:rPr>
                <w:rFonts w:ascii="Calibri"/>
                <w:b/>
                <w:color w:val="FFFFFF"/>
                <w:sz w:val="20"/>
              </w:rPr>
              <w:t>Papua</w:t>
            </w:r>
            <w:r>
              <w:rPr>
                <w:rFonts w:ascii="Calibri"/>
                <w:b/>
                <w:color w:val="FFFFFF"/>
                <w:spacing w:val="-4"/>
                <w:sz w:val="20"/>
              </w:rPr>
              <w:t xml:space="preserve"> </w:t>
            </w:r>
            <w:r>
              <w:rPr>
                <w:rFonts w:ascii="Calibri"/>
                <w:b/>
                <w:color w:val="FFFFFF"/>
                <w:sz w:val="20"/>
              </w:rPr>
              <w:t>Barat</w:t>
            </w:r>
            <w:r>
              <w:rPr>
                <w:rFonts w:ascii="Calibri"/>
                <w:b/>
                <w:color w:val="FFFFFF"/>
                <w:spacing w:val="-4"/>
                <w:sz w:val="20"/>
              </w:rPr>
              <w:t xml:space="preserve"> Daya</w:t>
            </w:r>
          </w:p>
        </w:tc>
      </w:tr>
      <w:tr w:rsidR="00BC24A8" w14:paraId="779E399D" w14:textId="77777777">
        <w:trPr>
          <w:trHeight w:val="369"/>
        </w:trPr>
        <w:tc>
          <w:tcPr>
            <w:tcW w:w="502" w:type="dxa"/>
          </w:tcPr>
          <w:p w14:paraId="13B8C920" w14:textId="77777777" w:rsidR="00BC24A8" w:rsidRDefault="00000000">
            <w:pPr>
              <w:pStyle w:val="TableParagraph"/>
              <w:spacing w:before="92"/>
              <w:ind w:right="134"/>
              <w:jc w:val="center"/>
              <w:rPr>
                <w:sz w:val="18"/>
              </w:rPr>
            </w:pPr>
            <w:r>
              <w:rPr>
                <w:spacing w:val="-5"/>
                <w:sz w:val="18"/>
              </w:rPr>
              <w:t>1.</w:t>
            </w:r>
          </w:p>
        </w:tc>
        <w:tc>
          <w:tcPr>
            <w:tcW w:w="6015" w:type="dxa"/>
            <w:tcBorders>
              <w:bottom w:val="single" w:sz="4" w:space="0" w:color="BEBEBE"/>
            </w:tcBorders>
          </w:tcPr>
          <w:p w14:paraId="330883E1" w14:textId="77777777" w:rsidR="00BC24A8" w:rsidRDefault="00000000">
            <w:pPr>
              <w:pStyle w:val="TableParagraph"/>
              <w:spacing w:before="92"/>
              <w:ind w:left="107"/>
              <w:rPr>
                <w:sz w:val="18"/>
              </w:rPr>
            </w:pPr>
            <w:r>
              <w:rPr>
                <w:sz w:val="18"/>
              </w:rPr>
              <w:t>Net</w:t>
            </w:r>
            <w:r>
              <w:rPr>
                <w:spacing w:val="-1"/>
                <w:sz w:val="18"/>
              </w:rPr>
              <w:t xml:space="preserve"> </w:t>
            </w:r>
            <w:r>
              <w:rPr>
                <w:sz w:val="18"/>
              </w:rPr>
              <w:t>Enrollment Rate</w:t>
            </w:r>
            <w:r>
              <w:rPr>
                <w:spacing w:val="-2"/>
                <w:sz w:val="18"/>
              </w:rPr>
              <w:t xml:space="preserve"> </w:t>
            </w:r>
            <w:r>
              <w:rPr>
                <w:sz w:val="18"/>
              </w:rPr>
              <w:t>(%)</w:t>
            </w:r>
            <w:r>
              <w:rPr>
                <w:spacing w:val="-2"/>
                <w:sz w:val="18"/>
              </w:rPr>
              <w:t xml:space="preserve"> </w:t>
            </w:r>
            <w:r>
              <w:rPr>
                <w:sz w:val="18"/>
              </w:rPr>
              <w:t>(Regional Education</w:t>
            </w:r>
            <w:r>
              <w:rPr>
                <w:spacing w:val="-2"/>
                <w:sz w:val="18"/>
              </w:rPr>
              <w:t xml:space="preserve"> </w:t>
            </w:r>
            <w:r>
              <w:rPr>
                <w:sz w:val="18"/>
              </w:rPr>
              <w:t>Balance</w:t>
            </w:r>
            <w:r>
              <w:rPr>
                <w:spacing w:val="-1"/>
                <w:sz w:val="18"/>
              </w:rPr>
              <w:t xml:space="preserve"> </w:t>
            </w:r>
            <w:r>
              <w:rPr>
                <w:sz w:val="18"/>
              </w:rPr>
              <w:t>Sheet,</w:t>
            </w:r>
            <w:r>
              <w:rPr>
                <w:spacing w:val="-2"/>
                <w:sz w:val="18"/>
              </w:rPr>
              <w:t xml:space="preserve"> 2023/2024)</w:t>
            </w:r>
          </w:p>
        </w:tc>
        <w:tc>
          <w:tcPr>
            <w:tcW w:w="2490" w:type="dxa"/>
            <w:tcBorders>
              <w:top w:val="single" w:sz="4" w:space="0" w:color="BEBEBE"/>
              <w:bottom w:val="single" w:sz="4" w:space="0" w:color="BEBEBE"/>
            </w:tcBorders>
          </w:tcPr>
          <w:p w14:paraId="68B80B81" w14:textId="77777777" w:rsidR="00BC24A8" w:rsidRDefault="00BC24A8">
            <w:pPr>
              <w:pStyle w:val="TableParagraph"/>
              <w:rPr>
                <w:rFonts w:ascii="Times New Roman"/>
                <w:sz w:val="18"/>
              </w:rPr>
            </w:pPr>
          </w:p>
        </w:tc>
      </w:tr>
      <w:tr w:rsidR="00BC24A8" w14:paraId="69873836" w14:textId="77777777">
        <w:trPr>
          <w:trHeight w:val="333"/>
        </w:trPr>
        <w:tc>
          <w:tcPr>
            <w:tcW w:w="502" w:type="dxa"/>
          </w:tcPr>
          <w:p w14:paraId="0C152F81"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23CC17E5" w14:textId="77777777" w:rsidR="00BC24A8" w:rsidRDefault="00000000">
            <w:pPr>
              <w:pStyle w:val="TableParagraph"/>
              <w:tabs>
                <w:tab w:val="left" w:pos="539"/>
              </w:tabs>
              <w:spacing w:before="56"/>
              <w:ind w:left="107"/>
              <w:rPr>
                <w:sz w:val="18"/>
              </w:rPr>
            </w:pPr>
            <w:r>
              <w:rPr>
                <w:spacing w:val="-5"/>
                <w:sz w:val="18"/>
              </w:rPr>
              <w:t>a.</w:t>
            </w:r>
            <w:r>
              <w:rPr>
                <w:sz w:val="18"/>
              </w:rPr>
              <w:tab/>
              <w:t>Elementary</w:t>
            </w:r>
            <w:r>
              <w:rPr>
                <w:spacing w:val="-4"/>
                <w:sz w:val="18"/>
              </w:rPr>
              <w:t xml:space="preserve"> </w:t>
            </w:r>
            <w:r>
              <w:rPr>
                <w:spacing w:val="-2"/>
                <w:sz w:val="18"/>
              </w:rPr>
              <w:t>school/MI/equivalent</w:t>
            </w:r>
          </w:p>
        </w:tc>
        <w:tc>
          <w:tcPr>
            <w:tcW w:w="2490" w:type="dxa"/>
            <w:tcBorders>
              <w:top w:val="single" w:sz="4" w:space="0" w:color="BEBEBE"/>
              <w:bottom w:val="single" w:sz="4" w:space="0" w:color="BEBEBE"/>
            </w:tcBorders>
          </w:tcPr>
          <w:p w14:paraId="67BD7039" w14:textId="77777777" w:rsidR="00BC24A8" w:rsidRDefault="00000000">
            <w:pPr>
              <w:pStyle w:val="TableParagraph"/>
              <w:spacing w:before="56"/>
              <w:ind w:left="57" w:right="3"/>
              <w:jc w:val="center"/>
              <w:rPr>
                <w:sz w:val="18"/>
              </w:rPr>
            </w:pPr>
            <w:r>
              <w:rPr>
                <w:spacing w:val="-2"/>
                <w:sz w:val="18"/>
              </w:rPr>
              <w:t>78.68%</w:t>
            </w:r>
          </w:p>
        </w:tc>
      </w:tr>
      <w:tr w:rsidR="00BC24A8" w14:paraId="6B70DCA2" w14:textId="77777777">
        <w:trPr>
          <w:trHeight w:val="333"/>
        </w:trPr>
        <w:tc>
          <w:tcPr>
            <w:tcW w:w="502" w:type="dxa"/>
          </w:tcPr>
          <w:p w14:paraId="038452FA"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066FEEC1" w14:textId="77777777" w:rsidR="00BC24A8" w:rsidRDefault="00000000">
            <w:pPr>
              <w:pStyle w:val="TableParagraph"/>
              <w:tabs>
                <w:tab w:val="left" w:pos="539"/>
              </w:tabs>
              <w:spacing w:before="56"/>
              <w:ind w:left="107"/>
              <w:rPr>
                <w:sz w:val="18"/>
              </w:rPr>
            </w:pPr>
            <w:r>
              <w:rPr>
                <w:spacing w:val="-5"/>
                <w:sz w:val="18"/>
              </w:rPr>
              <w:t>b.</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490" w:type="dxa"/>
            <w:tcBorders>
              <w:top w:val="single" w:sz="4" w:space="0" w:color="BEBEBE"/>
              <w:bottom w:val="single" w:sz="4" w:space="0" w:color="BEBEBE"/>
            </w:tcBorders>
          </w:tcPr>
          <w:p w14:paraId="0F2722DB" w14:textId="77777777" w:rsidR="00BC24A8" w:rsidRDefault="00000000">
            <w:pPr>
              <w:pStyle w:val="TableParagraph"/>
              <w:spacing w:before="56"/>
              <w:ind w:left="57" w:right="3"/>
              <w:jc w:val="center"/>
              <w:rPr>
                <w:sz w:val="18"/>
              </w:rPr>
            </w:pPr>
            <w:r>
              <w:rPr>
                <w:spacing w:val="-2"/>
                <w:sz w:val="18"/>
              </w:rPr>
              <w:t>66.88%</w:t>
            </w:r>
          </w:p>
        </w:tc>
      </w:tr>
      <w:tr w:rsidR="00BC24A8" w14:paraId="0748EC06" w14:textId="77777777">
        <w:trPr>
          <w:trHeight w:val="333"/>
        </w:trPr>
        <w:tc>
          <w:tcPr>
            <w:tcW w:w="502" w:type="dxa"/>
            <w:tcBorders>
              <w:bottom w:val="single" w:sz="4" w:space="0" w:color="BEBEBE"/>
            </w:tcBorders>
          </w:tcPr>
          <w:p w14:paraId="63CD3214"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52071397" w14:textId="77777777" w:rsidR="00BC24A8" w:rsidRDefault="00000000">
            <w:pPr>
              <w:pStyle w:val="TableParagraph"/>
              <w:tabs>
                <w:tab w:val="left" w:pos="539"/>
              </w:tabs>
              <w:spacing w:before="59"/>
              <w:ind w:left="107"/>
              <w:rPr>
                <w:sz w:val="18"/>
              </w:rPr>
            </w:pPr>
            <w:r>
              <w:rPr>
                <w:spacing w:val="-5"/>
                <w:sz w:val="18"/>
              </w:rPr>
              <w:t>c.</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490" w:type="dxa"/>
            <w:tcBorders>
              <w:top w:val="single" w:sz="4" w:space="0" w:color="BEBEBE"/>
              <w:bottom w:val="single" w:sz="4" w:space="0" w:color="BEBEBE"/>
            </w:tcBorders>
          </w:tcPr>
          <w:p w14:paraId="74875807" w14:textId="77777777" w:rsidR="00BC24A8" w:rsidRDefault="00000000">
            <w:pPr>
              <w:pStyle w:val="TableParagraph"/>
              <w:spacing w:before="59"/>
              <w:ind w:left="57" w:right="3"/>
              <w:jc w:val="center"/>
              <w:rPr>
                <w:sz w:val="18"/>
              </w:rPr>
            </w:pPr>
            <w:r>
              <w:rPr>
                <w:spacing w:val="-2"/>
                <w:sz w:val="18"/>
              </w:rPr>
              <w:t>58.78%</w:t>
            </w:r>
          </w:p>
        </w:tc>
      </w:tr>
      <w:tr w:rsidR="00BC24A8" w14:paraId="4B30B811" w14:textId="77777777">
        <w:trPr>
          <w:trHeight w:val="335"/>
        </w:trPr>
        <w:tc>
          <w:tcPr>
            <w:tcW w:w="502" w:type="dxa"/>
            <w:tcBorders>
              <w:top w:val="single" w:sz="4" w:space="0" w:color="BEBEBE"/>
            </w:tcBorders>
          </w:tcPr>
          <w:p w14:paraId="13934FD0" w14:textId="77777777" w:rsidR="00BC24A8" w:rsidRDefault="00000000">
            <w:pPr>
              <w:pStyle w:val="TableParagraph"/>
              <w:spacing w:before="59"/>
              <w:ind w:right="134"/>
              <w:jc w:val="center"/>
              <w:rPr>
                <w:sz w:val="18"/>
              </w:rPr>
            </w:pPr>
            <w:r>
              <w:rPr>
                <w:spacing w:val="-5"/>
                <w:sz w:val="18"/>
              </w:rPr>
              <w:t>2.</w:t>
            </w:r>
          </w:p>
        </w:tc>
        <w:tc>
          <w:tcPr>
            <w:tcW w:w="6015" w:type="dxa"/>
            <w:tcBorders>
              <w:top w:val="single" w:sz="4" w:space="0" w:color="BEBEBE"/>
              <w:bottom w:val="single" w:sz="4" w:space="0" w:color="BEBEBE"/>
            </w:tcBorders>
          </w:tcPr>
          <w:p w14:paraId="1569A9CB" w14:textId="77777777" w:rsidR="00BC24A8" w:rsidRDefault="00000000">
            <w:pPr>
              <w:pStyle w:val="TableParagraph"/>
              <w:spacing w:before="59"/>
              <w:ind w:left="107"/>
              <w:rPr>
                <w:sz w:val="18"/>
              </w:rPr>
            </w:pPr>
            <w:r>
              <w:rPr>
                <w:sz w:val="18"/>
              </w:rPr>
              <w:t>Gross</w:t>
            </w:r>
            <w:r>
              <w:rPr>
                <w:spacing w:val="-2"/>
                <w:sz w:val="18"/>
              </w:rPr>
              <w:t xml:space="preserve"> </w:t>
            </w:r>
            <w:r>
              <w:rPr>
                <w:sz w:val="18"/>
              </w:rPr>
              <w:t>Enrollment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(Regional</w:t>
            </w:r>
            <w:r>
              <w:rPr>
                <w:spacing w:val="-1"/>
                <w:sz w:val="18"/>
              </w:rPr>
              <w:t xml:space="preserve"> </w:t>
            </w:r>
            <w:r>
              <w:rPr>
                <w:sz w:val="18"/>
              </w:rPr>
              <w:t>Education</w:t>
            </w:r>
            <w:r>
              <w:rPr>
                <w:spacing w:val="-2"/>
                <w:sz w:val="18"/>
              </w:rPr>
              <w:t xml:space="preserve"> </w:t>
            </w:r>
            <w:r>
              <w:rPr>
                <w:sz w:val="18"/>
              </w:rPr>
              <w:t>Balance</w:t>
            </w:r>
            <w:r>
              <w:rPr>
                <w:spacing w:val="-2"/>
                <w:sz w:val="18"/>
              </w:rPr>
              <w:t xml:space="preserve"> </w:t>
            </w:r>
            <w:r>
              <w:rPr>
                <w:sz w:val="18"/>
              </w:rPr>
              <w:t>Sheet,</w:t>
            </w:r>
            <w:r>
              <w:rPr>
                <w:spacing w:val="-2"/>
                <w:sz w:val="18"/>
              </w:rPr>
              <w:t xml:space="preserve"> 2023/2024)</w:t>
            </w:r>
          </w:p>
        </w:tc>
        <w:tc>
          <w:tcPr>
            <w:tcW w:w="2490" w:type="dxa"/>
            <w:tcBorders>
              <w:top w:val="single" w:sz="4" w:space="0" w:color="BEBEBE"/>
              <w:bottom w:val="single" w:sz="4" w:space="0" w:color="BEBEBE"/>
            </w:tcBorders>
          </w:tcPr>
          <w:p w14:paraId="11A39250" w14:textId="77777777" w:rsidR="00BC24A8" w:rsidRDefault="00BC24A8">
            <w:pPr>
              <w:pStyle w:val="TableParagraph"/>
              <w:rPr>
                <w:rFonts w:ascii="Times New Roman"/>
                <w:sz w:val="18"/>
              </w:rPr>
            </w:pPr>
          </w:p>
        </w:tc>
      </w:tr>
      <w:tr w:rsidR="00BC24A8" w14:paraId="49AE5C30" w14:textId="77777777">
        <w:trPr>
          <w:trHeight w:val="333"/>
        </w:trPr>
        <w:tc>
          <w:tcPr>
            <w:tcW w:w="502" w:type="dxa"/>
          </w:tcPr>
          <w:p w14:paraId="27123613"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00B13ED6" w14:textId="77777777" w:rsidR="00BC24A8" w:rsidRDefault="00000000">
            <w:pPr>
              <w:pStyle w:val="TableParagraph"/>
              <w:tabs>
                <w:tab w:val="left" w:pos="493"/>
              </w:tabs>
              <w:spacing w:before="56"/>
              <w:ind w:left="107"/>
              <w:rPr>
                <w:sz w:val="18"/>
              </w:rPr>
            </w:pPr>
            <w:r>
              <w:rPr>
                <w:spacing w:val="-5"/>
                <w:sz w:val="18"/>
              </w:rPr>
              <w:t>a.</w:t>
            </w:r>
            <w:r>
              <w:rPr>
                <w:sz w:val="18"/>
              </w:rPr>
              <w:tab/>
              <w:t>Early</w:t>
            </w:r>
            <w:r>
              <w:rPr>
                <w:spacing w:val="-2"/>
                <w:sz w:val="18"/>
              </w:rPr>
              <w:t xml:space="preserve"> </w:t>
            </w:r>
            <w:r>
              <w:rPr>
                <w:sz w:val="18"/>
              </w:rPr>
              <w:t>childhood</w:t>
            </w:r>
            <w:r>
              <w:rPr>
                <w:spacing w:val="-1"/>
                <w:sz w:val="18"/>
              </w:rPr>
              <w:t xml:space="preserve"> </w:t>
            </w:r>
            <w:r>
              <w:rPr>
                <w:spacing w:val="-2"/>
                <w:sz w:val="18"/>
              </w:rPr>
              <w:t>education/equivalent</w:t>
            </w:r>
          </w:p>
        </w:tc>
        <w:tc>
          <w:tcPr>
            <w:tcW w:w="2490" w:type="dxa"/>
            <w:tcBorders>
              <w:top w:val="single" w:sz="4" w:space="0" w:color="BEBEBE"/>
              <w:bottom w:val="single" w:sz="4" w:space="0" w:color="BEBEBE"/>
            </w:tcBorders>
          </w:tcPr>
          <w:p w14:paraId="2AC4599B" w14:textId="77777777" w:rsidR="00BC24A8" w:rsidRDefault="00000000">
            <w:pPr>
              <w:pStyle w:val="TableParagraph"/>
              <w:spacing w:before="56"/>
              <w:ind w:left="57" w:right="3"/>
              <w:jc w:val="center"/>
              <w:rPr>
                <w:sz w:val="18"/>
              </w:rPr>
            </w:pPr>
            <w:r>
              <w:rPr>
                <w:spacing w:val="-2"/>
                <w:sz w:val="18"/>
              </w:rPr>
              <w:t>40.90%</w:t>
            </w:r>
          </w:p>
        </w:tc>
      </w:tr>
      <w:tr w:rsidR="00BC24A8" w14:paraId="327A31F5" w14:textId="77777777">
        <w:trPr>
          <w:trHeight w:val="333"/>
        </w:trPr>
        <w:tc>
          <w:tcPr>
            <w:tcW w:w="502" w:type="dxa"/>
          </w:tcPr>
          <w:p w14:paraId="41136A5A"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20E3D6D0" w14:textId="77777777" w:rsidR="00BC24A8" w:rsidRDefault="00000000">
            <w:pPr>
              <w:pStyle w:val="TableParagraph"/>
              <w:tabs>
                <w:tab w:val="left" w:pos="539"/>
              </w:tabs>
              <w:spacing w:before="56"/>
              <w:ind w:left="107"/>
              <w:rPr>
                <w:sz w:val="18"/>
              </w:rPr>
            </w:pPr>
            <w:r>
              <w:rPr>
                <w:spacing w:val="-5"/>
                <w:sz w:val="18"/>
              </w:rPr>
              <w:t>b.</w:t>
            </w:r>
            <w:r>
              <w:rPr>
                <w:sz w:val="18"/>
              </w:rPr>
              <w:tab/>
              <w:t>Elementary</w:t>
            </w:r>
            <w:r>
              <w:rPr>
                <w:spacing w:val="-4"/>
                <w:sz w:val="18"/>
              </w:rPr>
              <w:t xml:space="preserve"> </w:t>
            </w:r>
            <w:r>
              <w:rPr>
                <w:spacing w:val="-2"/>
                <w:sz w:val="18"/>
              </w:rPr>
              <w:t>school/MI/equivalent</w:t>
            </w:r>
          </w:p>
        </w:tc>
        <w:tc>
          <w:tcPr>
            <w:tcW w:w="2490" w:type="dxa"/>
            <w:tcBorders>
              <w:top w:val="single" w:sz="4" w:space="0" w:color="BEBEBE"/>
              <w:bottom w:val="single" w:sz="4" w:space="0" w:color="BEBEBE"/>
            </w:tcBorders>
          </w:tcPr>
          <w:p w14:paraId="5FB4B46A" w14:textId="77777777" w:rsidR="00BC24A8" w:rsidRDefault="00000000">
            <w:pPr>
              <w:pStyle w:val="TableParagraph"/>
              <w:spacing w:before="56"/>
              <w:ind w:left="57" w:right="3"/>
              <w:jc w:val="center"/>
              <w:rPr>
                <w:sz w:val="18"/>
              </w:rPr>
            </w:pPr>
            <w:r>
              <w:rPr>
                <w:spacing w:val="-2"/>
                <w:sz w:val="18"/>
              </w:rPr>
              <w:t>94.37%</w:t>
            </w:r>
          </w:p>
        </w:tc>
      </w:tr>
      <w:tr w:rsidR="00BC24A8" w14:paraId="1E523A13" w14:textId="77777777">
        <w:trPr>
          <w:trHeight w:val="333"/>
        </w:trPr>
        <w:tc>
          <w:tcPr>
            <w:tcW w:w="502" w:type="dxa"/>
          </w:tcPr>
          <w:p w14:paraId="14DB499E"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3BA3DC0F" w14:textId="77777777" w:rsidR="00BC24A8" w:rsidRDefault="00000000">
            <w:pPr>
              <w:pStyle w:val="TableParagraph"/>
              <w:tabs>
                <w:tab w:val="left" w:pos="539"/>
              </w:tabs>
              <w:spacing w:before="59"/>
              <w:ind w:left="107"/>
              <w:rPr>
                <w:sz w:val="18"/>
              </w:rPr>
            </w:pPr>
            <w:r>
              <w:rPr>
                <w:spacing w:val="-5"/>
                <w:sz w:val="18"/>
              </w:rPr>
              <w:t>c.</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490" w:type="dxa"/>
            <w:tcBorders>
              <w:top w:val="single" w:sz="4" w:space="0" w:color="BEBEBE"/>
              <w:bottom w:val="single" w:sz="4" w:space="0" w:color="BEBEBE"/>
            </w:tcBorders>
          </w:tcPr>
          <w:p w14:paraId="183E04FE" w14:textId="77777777" w:rsidR="00BC24A8" w:rsidRDefault="00000000">
            <w:pPr>
              <w:pStyle w:val="TableParagraph"/>
              <w:spacing w:before="59"/>
              <w:ind w:left="57" w:right="3"/>
              <w:jc w:val="center"/>
              <w:rPr>
                <w:sz w:val="18"/>
              </w:rPr>
            </w:pPr>
            <w:r>
              <w:rPr>
                <w:spacing w:val="-2"/>
                <w:sz w:val="18"/>
              </w:rPr>
              <w:t>100.33%</w:t>
            </w:r>
          </w:p>
        </w:tc>
      </w:tr>
      <w:tr w:rsidR="00BC24A8" w14:paraId="1B5C26E4" w14:textId="77777777">
        <w:trPr>
          <w:trHeight w:val="335"/>
        </w:trPr>
        <w:tc>
          <w:tcPr>
            <w:tcW w:w="502" w:type="dxa"/>
            <w:tcBorders>
              <w:bottom w:val="single" w:sz="4" w:space="0" w:color="BEBEBE"/>
            </w:tcBorders>
          </w:tcPr>
          <w:p w14:paraId="538AAE69"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0A51E53D" w14:textId="77777777" w:rsidR="00BC24A8" w:rsidRDefault="00000000">
            <w:pPr>
              <w:pStyle w:val="TableParagraph"/>
              <w:tabs>
                <w:tab w:val="left" w:pos="539"/>
              </w:tabs>
              <w:spacing w:before="59"/>
              <w:ind w:left="107"/>
              <w:rPr>
                <w:sz w:val="18"/>
              </w:rPr>
            </w:pPr>
            <w:r>
              <w:rPr>
                <w:spacing w:val="-5"/>
                <w:sz w:val="18"/>
              </w:rPr>
              <w:t>d.</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490" w:type="dxa"/>
            <w:tcBorders>
              <w:top w:val="single" w:sz="4" w:space="0" w:color="BEBEBE"/>
              <w:bottom w:val="single" w:sz="4" w:space="0" w:color="BEBEBE"/>
            </w:tcBorders>
          </w:tcPr>
          <w:p w14:paraId="02D408A4" w14:textId="77777777" w:rsidR="00BC24A8" w:rsidRDefault="00000000">
            <w:pPr>
              <w:pStyle w:val="TableParagraph"/>
              <w:spacing w:before="59"/>
              <w:ind w:left="57" w:right="3"/>
              <w:jc w:val="center"/>
              <w:rPr>
                <w:sz w:val="18"/>
              </w:rPr>
            </w:pPr>
            <w:r>
              <w:rPr>
                <w:spacing w:val="-2"/>
                <w:sz w:val="18"/>
              </w:rPr>
              <w:t>91.99%</w:t>
            </w:r>
          </w:p>
        </w:tc>
      </w:tr>
      <w:tr w:rsidR="00BC24A8" w14:paraId="323AA457" w14:textId="77777777">
        <w:trPr>
          <w:trHeight w:val="333"/>
        </w:trPr>
        <w:tc>
          <w:tcPr>
            <w:tcW w:w="502" w:type="dxa"/>
            <w:tcBorders>
              <w:top w:val="single" w:sz="4" w:space="0" w:color="BEBEBE"/>
            </w:tcBorders>
          </w:tcPr>
          <w:p w14:paraId="394CABDB" w14:textId="77777777" w:rsidR="00BC24A8" w:rsidRDefault="00000000">
            <w:pPr>
              <w:pStyle w:val="TableParagraph"/>
              <w:spacing w:before="56"/>
              <w:ind w:right="134"/>
              <w:jc w:val="center"/>
              <w:rPr>
                <w:sz w:val="18"/>
              </w:rPr>
            </w:pPr>
            <w:r>
              <w:rPr>
                <w:spacing w:val="-5"/>
                <w:sz w:val="18"/>
              </w:rPr>
              <w:t>3.</w:t>
            </w:r>
          </w:p>
        </w:tc>
        <w:tc>
          <w:tcPr>
            <w:tcW w:w="6015" w:type="dxa"/>
            <w:tcBorders>
              <w:top w:val="single" w:sz="4" w:space="0" w:color="BEBEBE"/>
              <w:bottom w:val="single" w:sz="4" w:space="0" w:color="BEBEBE"/>
            </w:tcBorders>
          </w:tcPr>
          <w:p w14:paraId="4D69D5C9" w14:textId="77777777" w:rsidR="00BC24A8" w:rsidRDefault="00000000">
            <w:pPr>
              <w:pStyle w:val="TableParagraph"/>
              <w:spacing w:before="56"/>
              <w:ind w:left="107"/>
              <w:rPr>
                <w:sz w:val="18"/>
              </w:rPr>
            </w:pPr>
            <w:r>
              <w:rPr>
                <w:sz w:val="18"/>
              </w:rPr>
              <w:t>School</w:t>
            </w:r>
            <w:r>
              <w:rPr>
                <w:spacing w:val="-1"/>
                <w:sz w:val="18"/>
              </w:rPr>
              <w:t xml:space="preserve"> </w:t>
            </w:r>
            <w:r>
              <w:rPr>
                <w:sz w:val="18"/>
              </w:rPr>
              <w:t>Dropout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(BPS,</w:t>
            </w:r>
            <w:r>
              <w:rPr>
                <w:spacing w:val="-2"/>
                <w:sz w:val="18"/>
              </w:rPr>
              <w:t xml:space="preserve"> </w:t>
            </w:r>
            <w:r>
              <w:rPr>
                <w:spacing w:val="-4"/>
                <w:sz w:val="18"/>
              </w:rPr>
              <w:t>2022)</w:t>
            </w:r>
          </w:p>
        </w:tc>
        <w:tc>
          <w:tcPr>
            <w:tcW w:w="2490" w:type="dxa"/>
            <w:tcBorders>
              <w:top w:val="single" w:sz="4" w:space="0" w:color="BEBEBE"/>
              <w:bottom w:val="single" w:sz="4" w:space="0" w:color="BEBEBE"/>
            </w:tcBorders>
          </w:tcPr>
          <w:p w14:paraId="703B6911" w14:textId="77777777" w:rsidR="00BC24A8" w:rsidRDefault="00BC24A8">
            <w:pPr>
              <w:pStyle w:val="TableParagraph"/>
              <w:rPr>
                <w:rFonts w:ascii="Times New Roman"/>
                <w:sz w:val="18"/>
              </w:rPr>
            </w:pPr>
          </w:p>
        </w:tc>
      </w:tr>
      <w:tr w:rsidR="00BC24A8" w14:paraId="363713E3" w14:textId="77777777">
        <w:trPr>
          <w:trHeight w:val="333"/>
        </w:trPr>
        <w:tc>
          <w:tcPr>
            <w:tcW w:w="502" w:type="dxa"/>
          </w:tcPr>
          <w:p w14:paraId="0EBF7E7E"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636455ED" w14:textId="77777777" w:rsidR="00BC24A8" w:rsidRDefault="00000000">
            <w:pPr>
              <w:pStyle w:val="TableParagraph"/>
              <w:tabs>
                <w:tab w:val="left" w:pos="493"/>
              </w:tabs>
              <w:spacing w:before="56"/>
              <w:ind w:left="107"/>
              <w:rPr>
                <w:sz w:val="18"/>
              </w:rPr>
            </w:pPr>
            <w:r>
              <w:rPr>
                <w:spacing w:val="-5"/>
                <w:sz w:val="18"/>
              </w:rPr>
              <w:t>a.</w:t>
            </w:r>
            <w:r>
              <w:rPr>
                <w:sz w:val="18"/>
              </w:rPr>
              <w:tab/>
              <w:t>Elementary</w:t>
            </w:r>
            <w:r>
              <w:rPr>
                <w:spacing w:val="-4"/>
                <w:sz w:val="18"/>
              </w:rPr>
              <w:t xml:space="preserve"> </w:t>
            </w:r>
            <w:r>
              <w:rPr>
                <w:spacing w:val="-2"/>
                <w:sz w:val="18"/>
              </w:rPr>
              <w:t>school/MI/equivalent</w:t>
            </w:r>
          </w:p>
        </w:tc>
        <w:tc>
          <w:tcPr>
            <w:tcW w:w="2490" w:type="dxa"/>
            <w:tcBorders>
              <w:top w:val="single" w:sz="4" w:space="0" w:color="BEBEBE"/>
              <w:bottom w:val="single" w:sz="4" w:space="0" w:color="BEBEBE"/>
            </w:tcBorders>
          </w:tcPr>
          <w:p w14:paraId="1B41611B" w14:textId="77777777" w:rsidR="00BC24A8" w:rsidRDefault="00000000">
            <w:pPr>
              <w:pStyle w:val="TableParagraph"/>
              <w:spacing w:before="56"/>
              <w:ind w:left="57" w:right="3"/>
              <w:jc w:val="center"/>
              <w:rPr>
                <w:sz w:val="18"/>
              </w:rPr>
            </w:pPr>
            <w:r>
              <w:rPr>
                <w:spacing w:val="-2"/>
                <w:sz w:val="18"/>
              </w:rPr>
              <w:t>0.60%</w:t>
            </w:r>
          </w:p>
        </w:tc>
      </w:tr>
      <w:tr w:rsidR="00BC24A8" w14:paraId="3042A688" w14:textId="77777777">
        <w:trPr>
          <w:trHeight w:val="333"/>
        </w:trPr>
        <w:tc>
          <w:tcPr>
            <w:tcW w:w="502" w:type="dxa"/>
          </w:tcPr>
          <w:p w14:paraId="7A02C573"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575DD2BF" w14:textId="77777777" w:rsidR="00BC24A8" w:rsidRDefault="00000000">
            <w:pPr>
              <w:pStyle w:val="TableParagraph"/>
              <w:tabs>
                <w:tab w:val="left" w:pos="539"/>
              </w:tabs>
              <w:spacing w:before="56"/>
              <w:ind w:left="107"/>
              <w:rPr>
                <w:sz w:val="18"/>
              </w:rPr>
            </w:pPr>
            <w:r>
              <w:rPr>
                <w:spacing w:val="-5"/>
                <w:sz w:val="18"/>
              </w:rPr>
              <w:t>b.</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490" w:type="dxa"/>
            <w:tcBorders>
              <w:top w:val="single" w:sz="4" w:space="0" w:color="BEBEBE"/>
              <w:bottom w:val="single" w:sz="4" w:space="0" w:color="BEBEBE"/>
            </w:tcBorders>
          </w:tcPr>
          <w:p w14:paraId="456AE0E6" w14:textId="77777777" w:rsidR="00BC24A8" w:rsidRDefault="00000000">
            <w:pPr>
              <w:pStyle w:val="TableParagraph"/>
              <w:spacing w:before="56"/>
              <w:ind w:left="57" w:right="3"/>
              <w:jc w:val="center"/>
              <w:rPr>
                <w:sz w:val="18"/>
              </w:rPr>
            </w:pPr>
            <w:r>
              <w:rPr>
                <w:spacing w:val="-2"/>
                <w:sz w:val="18"/>
              </w:rPr>
              <w:t>0.35%</w:t>
            </w:r>
          </w:p>
        </w:tc>
      </w:tr>
      <w:tr w:rsidR="00BC24A8" w14:paraId="722CC8A6" w14:textId="77777777">
        <w:trPr>
          <w:trHeight w:val="333"/>
        </w:trPr>
        <w:tc>
          <w:tcPr>
            <w:tcW w:w="502" w:type="dxa"/>
            <w:tcBorders>
              <w:bottom w:val="single" w:sz="4" w:space="0" w:color="BEBEBE"/>
            </w:tcBorders>
          </w:tcPr>
          <w:p w14:paraId="07FB741F"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54A26C07" w14:textId="77777777" w:rsidR="00BC24A8" w:rsidRDefault="00000000">
            <w:pPr>
              <w:pStyle w:val="TableParagraph"/>
              <w:tabs>
                <w:tab w:val="left" w:pos="539"/>
              </w:tabs>
              <w:spacing w:before="59"/>
              <w:ind w:left="107"/>
              <w:rPr>
                <w:sz w:val="18"/>
              </w:rPr>
            </w:pPr>
            <w:r>
              <w:rPr>
                <w:spacing w:val="-5"/>
                <w:sz w:val="18"/>
              </w:rPr>
              <w:t>c.</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490" w:type="dxa"/>
            <w:tcBorders>
              <w:top w:val="single" w:sz="4" w:space="0" w:color="BEBEBE"/>
              <w:bottom w:val="single" w:sz="4" w:space="0" w:color="BEBEBE"/>
            </w:tcBorders>
          </w:tcPr>
          <w:p w14:paraId="76172D2B" w14:textId="77777777" w:rsidR="00BC24A8" w:rsidRDefault="00000000">
            <w:pPr>
              <w:pStyle w:val="TableParagraph"/>
              <w:spacing w:before="59"/>
              <w:ind w:left="57" w:right="3"/>
              <w:jc w:val="center"/>
              <w:rPr>
                <w:sz w:val="18"/>
              </w:rPr>
            </w:pPr>
            <w:r>
              <w:rPr>
                <w:spacing w:val="-2"/>
                <w:sz w:val="18"/>
              </w:rPr>
              <w:t>1.02%</w:t>
            </w:r>
          </w:p>
        </w:tc>
      </w:tr>
      <w:tr w:rsidR="00BC24A8" w14:paraId="1D076E8F" w14:textId="77777777">
        <w:trPr>
          <w:trHeight w:val="335"/>
        </w:trPr>
        <w:tc>
          <w:tcPr>
            <w:tcW w:w="502" w:type="dxa"/>
            <w:tcBorders>
              <w:top w:val="single" w:sz="4" w:space="0" w:color="BEBEBE"/>
              <w:bottom w:val="single" w:sz="4" w:space="0" w:color="BEBEBE"/>
            </w:tcBorders>
          </w:tcPr>
          <w:p w14:paraId="3B1A763A" w14:textId="77777777" w:rsidR="00BC24A8" w:rsidRDefault="00000000">
            <w:pPr>
              <w:pStyle w:val="TableParagraph"/>
              <w:spacing w:before="59"/>
              <w:ind w:right="134"/>
              <w:jc w:val="center"/>
              <w:rPr>
                <w:sz w:val="18"/>
              </w:rPr>
            </w:pPr>
            <w:r>
              <w:rPr>
                <w:spacing w:val="-5"/>
                <w:sz w:val="18"/>
              </w:rPr>
              <w:t>4.</w:t>
            </w:r>
          </w:p>
        </w:tc>
        <w:tc>
          <w:tcPr>
            <w:tcW w:w="6015" w:type="dxa"/>
            <w:tcBorders>
              <w:top w:val="single" w:sz="4" w:space="0" w:color="BEBEBE"/>
              <w:bottom w:val="single" w:sz="4" w:space="0" w:color="BEBEBE"/>
            </w:tcBorders>
          </w:tcPr>
          <w:p w14:paraId="01365488" w14:textId="77777777" w:rsidR="00BC24A8" w:rsidRDefault="00000000">
            <w:pPr>
              <w:pStyle w:val="TableParagraph"/>
              <w:spacing w:before="59"/>
              <w:ind w:left="107"/>
              <w:rPr>
                <w:sz w:val="18"/>
              </w:rPr>
            </w:pPr>
            <w:r>
              <w:rPr>
                <w:sz w:val="18"/>
              </w:rPr>
              <w:t>Infant</w:t>
            </w:r>
            <w:r>
              <w:rPr>
                <w:spacing w:val="-2"/>
                <w:sz w:val="18"/>
              </w:rPr>
              <w:t xml:space="preserve"> </w:t>
            </w:r>
            <w:r>
              <w:rPr>
                <w:sz w:val="18"/>
              </w:rPr>
              <w:t>Mortality</w:t>
            </w:r>
            <w:r>
              <w:rPr>
                <w:spacing w:val="-1"/>
                <w:sz w:val="18"/>
              </w:rPr>
              <w:t xml:space="preserve"> </w:t>
            </w:r>
            <w:r>
              <w:rPr>
                <w:sz w:val="18"/>
              </w:rPr>
              <w:t>Rate</w:t>
            </w:r>
            <w:r>
              <w:rPr>
                <w:spacing w:val="-1"/>
                <w:sz w:val="18"/>
              </w:rPr>
              <w:t xml:space="preserve"> </w:t>
            </w:r>
            <w:r>
              <w:rPr>
                <w:sz w:val="18"/>
              </w:rPr>
              <w:t>(per</w:t>
            </w:r>
            <w:r>
              <w:rPr>
                <w:spacing w:val="-1"/>
                <w:sz w:val="18"/>
              </w:rPr>
              <w:t xml:space="preserve"> </w:t>
            </w:r>
            <w:r>
              <w:rPr>
                <w:sz w:val="18"/>
              </w:rPr>
              <w:t>1,000 live</w:t>
            </w:r>
            <w:r>
              <w:rPr>
                <w:spacing w:val="-1"/>
                <w:sz w:val="18"/>
              </w:rPr>
              <w:t xml:space="preserve"> </w:t>
            </w:r>
            <w:r>
              <w:rPr>
                <w:sz w:val="18"/>
              </w:rPr>
              <w:t>births)</w:t>
            </w:r>
            <w:r>
              <w:rPr>
                <w:spacing w:val="-2"/>
                <w:sz w:val="18"/>
              </w:rPr>
              <w:t xml:space="preserve"> </w:t>
            </w:r>
            <w:r>
              <w:rPr>
                <w:sz w:val="18"/>
              </w:rPr>
              <w:t>(BPS,</w:t>
            </w:r>
            <w:r>
              <w:rPr>
                <w:spacing w:val="-1"/>
                <w:sz w:val="18"/>
              </w:rPr>
              <w:t xml:space="preserve"> </w:t>
            </w:r>
            <w:r>
              <w:rPr>
                <w:spacing w:val="-2"/>
                <w:sz w:val="18"/>
              </w:rPr>
              <w:t>2020)</w:t>
            </w:r>
          </w:p>
        </w:tc>
        <w:tc>
          <w:tcPr>
            <w:tcW w:w="2490" w:type="dxa"/>
            <w:tcBorders>
              <w:top w:val="single" w:sz="4" w:space="0" w:color="BEBEBE"/>
              <w:bottom w:val="single" w:sz="4" w:space="0" w:color="BEBEBE"/>
            </w:tcBorders>
          </w:tcPr>
          <w:p w14:paraId="1C55A77F" w14:textId="77777777" w:rsidR="00BC24A8" w:rsidRDefault="00000000">
            <w:pPr>
              <w:pStyle w:val="TableParagraph"/>
              <w:spacing w:before="59"/>
              <w:ind w:left="57"/>
              <w:jc w:val="center"/>
              <w:rPr>
                <w:sz w:val="18"/>
              </w:rPr>
            </w:pPr>
            <w:r>
              <w:rPr>
                <w:spacing w:val="-2"/>
                <w:sz w:val="18"/>
              </w:rPr>
              <w:t>37.06%</w:t>
            </w:r>
          </w:p>
        </w:tc>
      </w:tr>
      <w:tr w:rsidR="00BC24A8" w14:paraId="20A4F40D" w14:textId="77777777">
        <w:trPr>
          <w:trHeight w:val="333"/>
        </w:trPr>
        <w:tc>
          <w:tcPr>
            <w:tcW w:w="502" w:type="dxa"/>
            <w:tcBorders>
              <w:top w:val="single" w:sz="4" w:space="0" w:color="BEBEBE"/>
              <w:bottom w:val="single" w:sz="4" w:space="0" w:color="BEBEBE"/>
            </w:tcBorders>
          </w:tcPr>
          <w:p w14:paraId="41292480" w14:textId="77777777" w:rsidR="00BC24A8" w:rsidRDefault="00000000">
            <w:pPr>
              <w:pStyle w:val="TableParagraph"/>
              <w:spacing w:before="56"/>
              <w:ind w:right="134"/>
              <w:jc w:val="center"/>
              <w:rPr>
                <w:sz w:val="18"/>
              </w:rPr>
            </w:pPr>
            <w:r>
              <w:rPr>
                <w:spacing w:val="-5"/>
                <w:sz w:val="18"/>
              </w:rPr>
              <w:t>5.</w:t>
            </w:r>
          </w:p>
        </w:tc>
        <w:tc>
          <w:tcPr>
            <w:tcW w:w="6015" w:type="dxa"/>
            <w:tcBorders>
              <w:top w:val="single" w:sz="4" w:space="0" w:color="BEBEBE"/>
              <w:bottom w:val="single" w:sz="4" w:space="0" w:color="BEBEBE"/>
            </w:tcBorders>
          </w:tcPr>
          <w:p w14:paraId="626A1BB3" w14:textId="77777777" w:rsidR="00BC24A8" w:rsidRDefault="00000000">
            <w:pPr>
              <w:pStyle w:val="TableParagraph"/>
              <w:spacing w:before="56"/>
              <w:ind w:left="107"/>
              <w:rPr>
                <w:sz w:val="18"/>
              </w:rPr>
            </w:pPr>
            <w:r>
              <w:rPr>
                <w:sz w:val="18"/>
              </w:rPr>
              <w:t>Maternal</w:t>
            </w:r>
            <w:r>
              <w:rPr>
                <w:spacing w:val="-3"/>
                <w:sz w:val="18"/>
              </w:rPr>
              <w:t xml:space="preserve"> </w:t>
            </w:r>
            <w:r>
              <w:rPr>
                <w:sz w:val="18"/>
              </w:rPr>
              <w:t>Mortality</w:t>
            </w:r>
            <w:r>
              <w:rPr>
                <w:spacing w:val="-3"/>
                <w:sz w:val="18"/>
              </w:rPr>
              <w:t xml:space="preserve"> </w:t>
            </w:r>
            <w:r>
              <w:rPr>
                <w:sz w:val="18"/>
              </w:rPr>
              <w:t>Rate</w:t>
            </w:r>
            <w:r>
              <w:rPr>
                <w:spacing w:val="-1"/>
                <w:sz w:val="18"/>
              </w:rPr>
              <w:t xml:space="preserve"> </w:t>
            </w:r>
            <w:r>
              <w:rPr>
                <w:sz w:val="18"/>
              </w:rPr>
              <w:t>(per</w:t>
            </w:r>
            <w:r>
              <w:rPr>
                <w:spacing w:val="-2"/>
                <w:sz w:val="18"/>
              </w:rPr>
              <w:t xml:space="preserve"> </w:t>
            </w:r>
            <w:r>
              <w:rPr>
                <w:sz w:val="18"/>
              </w:rPr>
              <w:t>100,000</w:t>
            </w:r>
            <w:r>
              <w:rPr>
                <w:spacing w:val="-1"/>
                <w:sz w:val="18"/>
              </w:rPr>
              <w:t xml:space="preserve"> </w:t>
            </w:r>
            <w:r>
              <w:rPr>
                <w:sz w:val="18"/>
              </w:rPr>
              <w:t>live</w:t>
            </w:r>
            <w:r>
              <w:rPr>
                <w:spacing w:val="-2"/>
                <w:sz w:val="18"/>
              </w:rPr>
              <w:t xml:space="preserve"> </w:t>
            </w:r>
            <w:r>
              <w:rPr>
                <w:sz w:val="18"/>
              </w:rPr>
              <w:t>births)</w:t>
            </w:r>
            <w:r>
              <w:rPr>
                <w:spacing w:val="-2"/>
                <w:sz w:val="18"/>
              </w:rPr>
              <w:t xml:space="preserve"> </w:t>
            </w:r>
            <w:r>
              <w:rPr>
                <w:sz w:val="18"/>
              </w:rPr>
              <w:t>(BPS,</w:t>
            </w:r>
            <w:r>
              <w:rPr>
                <w:spacing w:val="-2"/>
                <w:sz w:val="18"/>
              </w:rPr>
              <w:t xml:space="preserve"> 2020)</w:t>
            </w:r>
          </w:p>
        </w:tc>
        <w:tc>
          <w:tcPr>
            <w:tcW w:w="2490" w:type="dxa"/>
            <w:tcBorders>
              <w:top w:val="single" w:sz="4" w:space="0" w:color="BEBEBE"/>
              <w:bottom w:val="single" w:sz="4" w:space="0" w:color="BEBEBE"/>
            </w:tcBorders>
          </w:tcPr>
          <w:p w14:paraId="1BB5986B" w14:textId="77777777" w:rsidR="00BC24A8" w:rsidRDefault="00000000">
            <w:pPr>
              <w:pStyle w:val="TableParagraph"/>
              <w:spacing w:before="56"/>
              <w:ind w:left="57" w:right="3"/>
              <w:jc w:val="center"/>
              <w:rPr>
                <w:sz w:val="18"/>
              </w:rPr>
            </w:pPr>
            <w:r>
              <w:rPr>
                <w:spacing w:val="-4"/>
                <w:sz w:val="18"/>
              </w:rPr>
              <w:t>343%</w:t>
            </w:r>
          </w:p>
        </w:tc>
      </w:tr>
      <w:tr w:rsidR="00BC24A8" w14:paraId="1A6F1CC1" w14:textId="77777777">
        <w:trPr>
          <w:trHeight w:val="333"/>
        </w:trPr>
        <w:tc>
          <w:tcPr>
            <w:tcW w:w="502" w:type="dxa"/>
            <w:tcBorders>
              <w:top w:val="single" w:sz="4" w:space="0" w:color="BEBEBE"/>
              <w:bottom w:val="single" w:sz="4" w:space="0" w:color="BEBEBE"/>
            </w:tcBorders>
          </w:tcPr>
          <w:p w14:paraId="73334C85" w14:textId="77777777" w:rsidR="00BC24A8" w:rsidRDefault="00000000">
            <w:pPr>
              <w:pStyle w:val="TableParagraph"/>
              <w:spacing w:before="56"/>
              <w:ind w:right="134"/>
              <w:jc w:val="center"/>
              <w:rPr>
                <w:sz w:val="18"/>
              </w:rPr>
            </w:pPr>
            <w:r>
              <w:rPr>
                <w:spacing w:val="-5"/>
                <w:sz w:val="18"/>
              </w:rPr>
              <w:t>6.</w:t>
            </w:r>
          </w:p>
        </w:tc>
        <w:tc>
          <w:tcPr>
            <w:tcW w:w="6015" w:type="dxa"/>
            <w:tcBorders>
              <w:top w:val="single" w:sz="4" w:space="0" w:color="BEBEBE"/>
              <w:bottom w:val="single" w:sz="4" w:space="0" w:color="BEBEBE"/>
            </w:tcBorders>
          </w:tcPr>
          <w:p w14:paraId="120B7431" w14:textId="77777777" w:rsidR="00BC24A8" w:rsidRDefault="00000000">
            <w:pPr>
              <w:pStyle w:val="TableParagraph"/>
              <w:spacing w:before="56"/>
              <w:ind w:left="107"/>
              <w:rPr>
                <w:sz w:val="18"/>
              </w:rPr>
            </w:pPr>
            <w:r>
              <w:rPr>
                <w:sz w:val="18"/>
              </w:rPr>
              <w:t>Stunting</w:t>
            </w:r>
            <w:r>
              <w:rPr>
                <w:spacing w:val="-5"/>
                <w:sz w:val="18"/>
              </w:rPr>
              <w:t xml:space="preserve"> </w:t>
            </w:r>
            <w:r>
              <w:rPr>
                <w:sz w:val="18"/>
              </w:rPr>
              <w:t>prevalence</w:t>
            </w:r>
            <w:r>
              <w:rPr>
                <w:spacing w:val="-2"/>
                <w:sz w:val="18"/>
              </w:rPr>
              <w:t xml:space="preserve"> </w:t>
            </w:r>
            <w:r>
              <w:rPr>
                <w:sz w:val="18"/>
              </w:rPr>
              <w:t>in</w:t>
            </w:r>
            <w:r>
              <w:rPr>
                <w:spacing w:val="-1"/>
                <w:sz w:val="18"/>
              </w:rPr>
              <w:t xml:space="preserve"> </w:t>
            </w:r>
            <w:r>
              <w:rPr>
                <w:sz w:val="18"/>
              </w:rPr>
              <w:t>Children</w:t>
            </w:r>
            <w:r>
              <w:rPr>
                <w:spacing w:val="-2"/>
                <w:sz w:val="18"/>
              </w:rPr>
              <w:t xml:space="preserve"> </w:t>
            </w:r>
            <w:r>
              <w:rPr>
                <w:sz w:val="18"/>
              </w:rPr>
              <w:t>Aged</w:t>
            </w:r>
            <w:r>
              <w:rPr>
                <w:spacing w:val="-1"/>
                <w:sz w:val="18"/>
              </w:rPr>
              <w:t xml:space="preserve"> </w:t>
            </w:r>
            <w:r>
              <w:rPr>
                <w:sz w:val="18"/>
              </w:rPr>
              <w:t>0–59</w:t>
            </w:r>
            <w:r>
              <w:rPr>
                <w:spacing w:val="-2"/>
                <w:sz w:val="18"/>
              </w:rPr>
              <w:t xml:space="preserve"> </w:t>
            </w:r>
            <w:r>
              <w:rPr>
                <w:sz w:val="18"/>
              </w:rPr>
              <w:t>Months</w:t>
            </w:r>
            <w:r>
              <w:rPr>
                <w:spacing w:val="1"/>
                <w:sz w:val="18"/>
              </w:rPr>
              <w:t xml:space="preserve"> </w:t>
            </w:r>
            <w:r>
              <w:rPr>
                <w:sz w:val="18"/>
              </w:rPr>
              <w:t>(%)</w:t>
            </w:r>
            <w:r>
              <w:rPr>
                <w:spacing w:val="-1"/>
                <w:sz w:val="18"/>
              </w:rPr>
              <w:t xml:space="preserve"> </w:t>
            </w:r>
            <w:r>
              <w:rPr>
                <w:sz w:val="18"/>
              </w:rPr>
              <w:t>(SKI,</w:t>
            </w:r>
            <w:r>
              <w:rPr>
                <w:spacing w:val="-2"/>
                <w:sz w:val="18"/>
              </w:rPr>
              <w:t xml:space="preserve"> 2023)</w:t>
            </w:r>
          </w:p>
        </w:tc>
        <w:tc>
          <w:tcPr>
            <w:tcW w:w="2490" w:type="dxa"/>
            <w:tcBorders>
              <w:top w:val="single" w:sz="4" w:space="0" w:color="BEBEBE"/>
              <w:bottom w:val="single" w:sz="4" w:space="0" w:color="BEBEBE"/>
            </w:tcBorders>
          </w:tcPr>
          <w:p w14:paraId="5C75489A" w14:textId="77777777" w:rsidR="00BC24A8" w:rsidRDefault="00000000">
            <w:pPr>
              <w:pStyle w:val="TableParagraph"/>
              <w:spacing w:before="56"/>
              <w:ind w:left="57"/>
              <w:jc w:val="center"/>
              <w:rPr>
                <w:sz w:val="18"/>
              </w:rPr>
            </w:pPr>
            <w:r>
              <w:rPr>
                <w:spacing w:val="-2"/>
                <w:sz w:val="18"/>
              </w:rPr>
              <w:t>31.0%</w:t>
            </w:r>
          </w:p>
        </w:tc>
      </w:tr>
      <w:tr w:rsidR="00BC24A8" w14:paraId="44D7341D" w14:textId="77777777">
        <w:trPr>
          <w:trHeight w:val="333"/>
        </w:trPr>
        <w:tc>
          <w:tcPr>
            <w:tcW w:w="502" w:type="dxa"/>
            <w:tcBorders>
              <w:top w:val="single" w:sz="4" w:space="0" w:color="BEBEBE"/>
              <w:bottom w:val="single" w:sz="4" w:space="0" w:color="BEBEBE"/>
            </w:tcBorders>
          </w:tcPr>
          <w:p w14:paraId="33AEE5AA" w14:textId="77777777" w:rsidR="00BC24A8" w:rsidRDefault="00000000">
            <w:pPr>
              <w:pStyle w:val="TableParagraph"/>
              <w:spacing w:before="59"/>
              <w:ind w:right="134"/>
              <w:jc w:val="center"/>
              <w:rPr>
                <w:sz w:val="18"/>
              </w:rPr>
            </w:pPr>
            <w:r>
              <w:rPr>
                <w:spacing w:val="-5"/>
                <w:sz w:val="18"/>
              </w:rPr>
              <w:t>7.</w:t>
            </w:r>
          </w:p>
        </w:tc>
        <w:tc>
          <w:tcPr>
            <w:tcW w:w="6015" w:type="dxa"/>
            <w:tcBorders>
              <w:top w:val="single" w:sz="4" w:space="0" w:color="BEBEBE"/>
              <w:bottom w:val="single" w:sz="4" w:space="0" w:color="BEBEBE"/>
            </w:tcBorders>
          </w:tcPr>
          <w:p w14:paraId="57AD8485" w14:textId="77777777" w:rsidR="00BC24A8" w:rsidRDefault="00000000">
            <w:pPr>
              <w:pStyle w:val="TableParagraph"/>
              <w:spacing w:before="59"/>
              <w:ind w:left="107"/>
              <w:rPr>
                <w:sz w:val="18"/>
              </w:rPr>
            </w:pPr>
            <w:r>
              <w:rPr>
                <w:sz w:val="18"/>
              </w:rPr>
              <w:t>Open</w:t>
            </w:r>
            <w:r>
              <w:rPr>
                <w:spacing w:val="-2"/>
                <w:sz w:val="18"/>
              </w:rPr>
              <w:t xml:space="preserve"> </w:t>
            </w:r>
            <w:r>
              <w:rPr>
                <w:sz w:val="18"/>
              </w:rPr>
              <w:t>Unemployment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(BPS,</w:t>
            </w:r>
            <w:r>
              <w:rPr>
                <w:spacing w:val="-1"/>
                <w:sz w:val="18"/>
              </w:rPr>
              <w:t xml:space="preserve"> </w:t>
            </w:r>
            <w:r>
              <w:rPr>
                <w:spacing w:val="-2"/>
                <w:sz w:val="18"/>
              </w:rPr>
              <w:t>2024)</w:t>
            </w:r>
          </w:p>
        </w:tc>
        <w:tc>
          <w:tcPr>
            <w:tcW w:w="2490" w:type="dxa"/>
            <w:tcBorders>
              <w:top w:val="single" w:sz="4" w:space="0" w:color="BEBEBE"/>
              <w:bottom w:val="single" w:sz="4" w:space="0" w:color="BEBEBE"/>
            </w:tcBorders>
          </w:tcPr>
          <w:p w14:paraId="36C1D362" w14:textId="77777777" w:rsidR="00BC24A8" w:rsidRDefault="00000000">
            <w:pPr>
              <w:pStyle w:val="TableParagraph"/>
              <w:spacing w:before="59"/>
              <w:ind w:left="57" w:right="3"/>
              <w:jc w:val="center"/>
              <w:rPr>
                <w:sz w:val="18"/>
              </w:rPr>
            </w:pPr>
            <w:r>
              <w:rPr>
                <w:spacing w:val="-2"/>
                <w:sz w:val="18"/>
              </w:rPr>
              <w:t>6.02%</w:t>
            </w:r>
          </w:p>
        </w:tc>
      </w:tr>
      <w:tr w:rsidR="00BC24A8" w14:paraId="0BE98B09" w14:textId="77777777">
        <w:trPr>
          <w:trHeight w:val="333"/>
        </w:trPr>
        <w:tc>
          <w:tcPr>
            <w:tcW w:w="502" w:type="dxa"/>
            <w:tcBorders>
              <w:top w:val="single" w:sz="4" w:space="0" w:color="BEBEBE"/>
            </w:tcBorders>
          </w:tcPr>
          <w:p w14:paraId="0EF70A64" w14:textId="77777777" w:rsidR="00BC24A8" w:rsidRDefault="00000000">
            <w:pPr>
              <w:pStyle w:val="TableParagraph"/>
              <w:spacing w:before="59"/>
              <w:ind w:right="134"/>
              <w:jc w:val="center"/>
              <w:rPr>
                <w:sz w:val="18"/>
              </w:rPr>
            </w:pPr>
            <w:r>
              <w:rPr>
                <w:spacing w:val="-5"/>
                <w:sz w:val="18"/>
              </w:rPr>
              <w:t>8.</w:t>
            </w:r>
          </w:p>
        </w:tc>
        <w:tc>
          <w:tcPr>
            <w:tcW w:w="6015" w:type="dxa"/>
            <w:tcBorders>
              <w:top w:val="single" w:sz="4" w:space="0" w:color="BEBEBE"/>
              <w:bottom w:val="single" w:sz="4" w:space="0" w:color="BEBEBE"/>
            </w:tcBorders>
          </w:tcPr>
          <w:p w14:paraId="3656473D" w14:textId="77777777" w:rsidR="00BC24A8" w:rsidRDefault="00000000">
            <w:pPr>
              <w:pStyle w:val="TableParagraph"/>
              <w:spacing w:before="59"/>
              <w:ind w:left="107"/>
              <w:rPr>
                <w:sz w:val="18"/>
              </w:rPr>
            </w:pPr>
            <w:r>
              <w:rPr>
                <w:sz w:val="18"/>
              </w:rPr>
              <w:t>Poverty</w:t>
            </w:r>
            <w:r>
              <w:rPr>
                <w:spacing w:val="-6"/>
                <w:sz w:val="18"/>
              </w:rPr>
              <w:t xml:space="preserve"> </w:t>
            </w:r>
            <w:r>
              <w:rPr>
                <w:spacing w:val="-2"/>
                <w:sz w:val="18"/>
              </w:rPr>
              <w:t>Situation</w:t>
            </w:r>
          </w:p>
        </w:tc>
        <w:tc>
          <w:tcPr>
            <w:tcW w:w="2490" w:type="dxa"/>
            <w:tcBorders>
              <w:top w:val="single" w:sz="4" w:space="0" w:color="BEBEBE"/>
              <w:bottom w:val="single" w:sz="4" w:space="0" w:color="BEBEBE"/>
            </w:tcBorders>
          </w:tcPr>
          <w:p w14:paraId="26F7CFBF" w14:textId="77777777" w:rsidR="00BC24A8" w:rsidRDefault="00BC24A8">
            <w:pPr>
              <w:pStyle w:val="TableParagraph"/>
              <w:rPr>
                <w:rFonts w:ascii="Times New Roman"/>
                <w:sz w:val="18"/>
              </w:rPr>
            </w:pPr>
          </w:p>
        </w:tc>
      </w:tr>
      <w:tr w:rsidR="00BC24A8" w14:paraId="7A508F95" w14:textId="77777777">
        <w:trPr>
          <w:trHeight w:val="335"/>
        </w:trPr>
        <w:tc>
          <w:tcPr>
            <w:tcW w:w="502" w:type="dxa"/>
          </w:tcPr>
          <w:p w14:paraId="19879809"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01E05ADA" w14:textId="77777777" w:rsidR="00BC24A8" w:rsidRDefault="00000000">
            <w:pPr>
              <w:pStyle w:val="TableParagraph"/>
              <w:tabs>
                <w:tab w:val="left" w:pos="493"/>
              </w:tabs>
              <w:spacing w:before="59"/>
              <w:ind w:left="134"/>
              <w:rPr>
                <w:sz w:val="18"/>
              </w:rPr>
            </w:pPr>
            <w:r>
              <w:rPr>
                <w:spacing w:val="-5"/>
                <w:sz w:val="18"/>
              </w:rPr>
              <w:t>a.</w:t>
            </w:r>
            <w:r>
              <w:rPr>
                <w:sz w:val="18"/>
              </w:rPr>
              <w:tab/>
              <w:t>Percentage</w:t>
            </w:r>
            <w:r>
              <w:rPr>
                <w:spacing w:val="-4"/>
                <w:sz w:val="18"/>
              </w:rPr>
              <w:t xml:space="preserve"> </w:t>
            </w:r>
            <w:r>
              <w:rPr>
                <w:sz w:val="18"/>
              </w:rPr>
              <w:t>of</w:t>
            </w:r>
            <w:r>
              <w:rPr>
                <w:spacing w:val="-4"/>
                <w:sz w:val="18"/>
              </w:rPr>
              <w:t xml:space="preserve"> </w:t>
            </w:r>
            <w:r>
              <w:rPr>
                <w:sz w:val="18"/>
              </w:rPr>
              <w:t>Poor</w:t>
            </w:r>
            <w:r>
              <w:rPr>
                <w:spacing w:val="-3"/>
                <w:sz w:val="18"/>
              </w:rPr>
              <w:t xml:space="preserve"> </w:t>
            </w:r>
            <w:r>
              <w:rPr>
                <w:sz w:val="18"/>
              </w:rPr>
              <w:t>Population</w:t>
            </w:r>
            <w:r>
              <w:rPr>
                <w:spacing w:val="-3"/>
                <w:sz w:val="18"/>
              </w:rPr>
              <w:t xml:space="preserve"> </w:t>
            </w:r>
            <w:r>
              <w:rPr>
                <w:sz w:val="18"/>
              </w:rPr>
              <w:t>(BPS,</w:t>
            </w:r>
            <w:r>
              <w:rPr>
                <w:spacing w:val="-3"/>
                <w:sz w:val="18"/>
              </w:rPr>
              <w:t xml:space="preserve"> </w:t>
            </w:r>
            <w:r>
              <w:rPr>
                <w:spacing w:val="-4"/>
                <w:sz w:val="18"/>
              </w:rPr>
              <w:t>2024)</w:t>
            </w:r>
          </w:p>
        </w:tc>
        <w:tc>
          <w:tcPr>
            <w:tcW w:w="2490" w:type="dxa"/>
            <w:tcBorders>
              <w:top w:val="single" w:sz="4" w:space="0" w:color="BEBEBE"/>
              <w:bottom w:val="single" w:sz="4" w:space="0" w:color="BEBEBE"/>
            </w:tcBorders>
          </w:tcPr>
          <w:p w14:paraId="170A1EE9" w14:textId="77777777" w:rsidR="00BC24A8" w:rsidRDefault="00000000">
            <w:pPr>
              <w:pStyle w:val="TableParagraph"/>
              <w:spacing w:before="59"/>
              <w:ind w:left="57" w:right="3"/>
              <w:jc w:val="center"/>
              <w:rPr>
                <w:sz w:val="18"/>
              </w:rPr>
            </w:pPr>
            <w:r>
              <w:rPr>
                <w:spacing w:val="-2"/>
                <w:sz w:val="18"/>
              </w:rPr>
              <w:t>18.13%</w:t>
            </w:r>
          </w:p>
        </w:tc>
      </w:tr>
      <w:tr w:rsidR="00BC24A8" w14:paraId="23CD3E5E" w14:textId="77777777">
        <w:trPr>
          <w:trHeight w:val="333"/>
        </w:trPr>
        <w:tc>
          <w:tcPr>
            <w:tcW w:w="502" w:type="dxa"/>
          </w:tcPr>
          <w:p w14:paraId="7FA14E25"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6A3FEDEE" w14:textId="77777777" w:rsidR="00BC24A8" w:rsidRDefault="00000000">
            <w:pPr>
              <w:pStyle w:val="TableParagraph"/>
              <w:tabs>
                <w:tab w:val="left" w:pos="539"/>
              </w:tabs>
              <w:spacing w:before="56"/>
              <w:ind w:left="107"/>
              <w:rPr>
                <w:sz w:val="18"/>
              </w:rPr>
            </w:pPr>
            <w:r>
              <w:rPr>
                <w:spacing w:val="-5"/>
                <w:sz w:val="18"/>
              </w:rPr>
              <w:t>b.</w:t>
            </w:r>
            <w:r>
              <w:rPr>
                <w:sz w:val="18"/>
              </w:rPr>
              <w:tab/>
              <w:t>Poverty</w:t>
            </w:r>
            <w:r>
              <w:rPr>
                <w:spacing w:val="-3"/>
                <w:sz w:val="18"/>
              </w:rPr>
              <w:t xml:space="preserve"> </w:t>
            </w:r>
            <w:r>
              <w:rPr>
                <w:sz w:val="18"/>
              </w:rPr>
              <w:t>Depth</w:t>
            </w:r>
            <w:r>
              <w:rPr>
                <w:spacing w:val="-3"/>
                <w:sz w:val="18"/>
              </w:rPr>
              <w:t xml:space="preserve"> </w:t>
            </w:r>
            <w:r>
              <w:rPr>
                <w:sz w:val="18"/>
              </w:rPr>
              <w:t>Index</w:t>
            </w:r>
            <w:r>
              <w:rPr>
                <w:spacing w:val="-3"/>
                <w:sz w:val="18"/>
              </w:rPr>
              <w:t xml:space="preserve"> </w:t>
            </w:r>
            <w:r>
              <w:rPr>
                <w:sz w:val="18"/>
              </w:rPr>
              <w:t>(BPS,</w:t>
            </w:r>
            <w:r>
              <w:rPr>
                <w:spacing w:val="-2"/>
                <w:sz w:val="18"/>
              </w:rPr>
              <w:t xml:space="preserve"> </w:t>
            </w:r>
            <w:r>
              <w:rPr>
                <w:spacing w:val="-4"/>
                <w:sz w:val="18"/>
              </w:rPr>
              <w:t>2024)</w:t>
            </w:r>
          </w:p>
        </w:tc>
        <w:tc>
          <w:tcPr>
            <w:tcW w:w="2490" w:type="dxa"/>
            <w:tcBorders>
              <w:top w:val="single" w:sz="4" w:space="0" w:color="BEBEBE"/>
              <w:bottom w:val="single" w:sz="4" w:space="0" w:color="BEBEBE"/>
            </w:tcBorders>
          </w:tcPr>
          <w:p w14:paraId="3197B37B" w14:textId="77777777" w:rsidR="00BC24A8" w:rsidRDefault="00000000">
            <w:pPr>
              <w:pStyle w:val="TableParagraph"/>
              <w:spacing w:before="56"/>
              <w:ind w:left="57"/>
              <w:jc w:val="center"/>
              <w:rPr>
                <w:sz w:val="18"/>
              </w:rPr>
            </w:pPr>
            <w:r>
              <w:rPr>
                <w:spacing w:val="-4"/>
                <w:sz w:val="18"/>
              </w:rPr>
              <w:t>4.38</w:t>
            </w:r>
          </w:p>
        </w:tc>
      </w:tr>
      <w:tr w:rsidR="00BC24A8" w14:paraId="4BD07D99" w14:textId="77777777">
        <w:trPr>
          <w:trHeight w:val="333"/>
        </w:trPr>
        <w:tc>
          <w:tcPr>
            <w:tcW w:w="502" w:type="dxa"/>
          </w:tcPr>
          <w:p w14:paraId="13DE56F8"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53BB321F" w14:textId="77777777" w:rsidR="00BC24A8" w:rsidRDefault="00000000">
            <w:pPr>
              <w:pStyle w:val="TableParagraph"/>
              <w:tabs>
                <w:tab w:val="left" w:pos="539"/>
              </w:tabs>
              <w:spacing w:before="56"/>
              <w:ind w:left="107"/>
              <w:rPr>
                <w:sz w:val="18"/>
              </w:rPr>
            </w:pPr>
            <w:r>
              <w:rPr>
                <w:spacing w:val="-5"/>
                <w:sz w:val="18"/>
              </w:rPr>
              <w:t>c.</w:t>
            </w:r>
            <w:r>
              <w:rPr>
                <w:sz w:val="18"/>
              </w:rPr>
              <w:tab/>
              <w:t>Poverty</w:t>
            </w:r>
            <w:r>
              <w:rPr>
                <w:spacing w:val="-4"/>
                <w:sz w:val="18"/>
              </w:rPr>
              <w:t xml:space="preserve"> </w:t>
            </w:r>
            <w:r>
              <w:rPr>
                <w:sz w:val="18"/>
              </w:rPr>
              <w:t>Severity</w:t>
            </w:r>
            <w:r>
              <w:rPr>
                <w:spacing w:val="-3"/>
                <w:sz w:val="18"/>
              </w:rPr>
              <w:t xml:space="preserve"> </w:t>
            </w:r>
            <w:r>
              <w:rPr>
                <w:sz w:val="18"/>
              </w:rPr>
              <w:t>Index</w:t>
            </w:r>
            <w:r>
              <w:rPr>
                <w:spacing w:val="-3"/>
                <w:sz w:val="18"/>
              </w:rPr>
              <w:t xml:space="preserve"> </w:t>
            </w:r>
            <w:r>
              <w:rPr>
                <w:sz w:val="18"/>
              </w:rPr>
              <w:t>(BPS,</w:t>
            </w:r>
            <w:r>
              <w:rPr>
                <w:spacing w:val="-3"/>
                <w:sz w:val="18"/>
              </w:rPr>
              <w:t xml:space="preserve"> </w:t>
            </w:r>
            <w:r>
              <w:rPr>
                <w:spacing w:val="-2"/>
                <w:sz w:val="18"/>
              </w:rPr>
              <w:t>2024)</w:t>
            </w:r>
          </w:p>
        </w:tc>
        <w:tc>
          <w:tcPr>
            <w:tcW w:w="2490" w:type="dxa"/>
            <w:tcBorders>
              <w:top w:val="single" w:sz="4" w:space="0" w:color="BEBEBE"/>
              <w:bottom w:val="single" w:sz="4" w:space="0" w:color="BEBEBE"/>
            </w:tcBorders>
          </w:tcPr>
          <w:p w14:paraId="4F7EBAC8" w14:textId="77777777" w:rsidR="00BC24A8" w:rsidRDefault="00000000">
            <w:pPr>
              <w:pStyle w:val="TableParagraph"/>
              <w:spacing w:before="56"/>
              <w:ind w:left="57"/>
              <w:jc w:val="center"/>
              <w:rPr>
                <w:sz w:val="18"/>
              </w:rPr>
            </w:pPr>
            <w:r>
              <w:rPr>
                <w:spacing w:val="-4"/>
                <w:sz w:val="18"/>
              </w:rPr>
              <w:t>1.59</w:t>
            </w:r>
          </w:p>
        </w:tc>
      </w:tr>
      <w:tr w:rsidR="00BC24A8" w14:paraId="41BF4812" w14:textId="77777777">
        <w:trPr>
          <w:trHeight w:val="333"/>
        </w:trPr>
        <w:tc>
          <w:tcPr>
            <w:tcW w:w="502" w:type="dxa"/>
            <w:tcBorders>
              <w:bottom w:val="single" w:sz="4" w:space="0" w:color="BEBEBE"/>
            </w:tcBorders>
          </w:tcPr>
          <w:p w14:paraId="186F227D" w14:textId="77777777" w:rsidR="00BC24A8" w:rsidRDefault="00BC24A8">
            <w:pPr>
              <w:pStyle w:val="TableParagraph"/>
              <w:rPr>
                <w:rFonts w:ascii="Times New Roman"/>
                <w:sz w:val="18"/>
              </w:rPr>
            </w:pPr>
          </w:p>
        </w:tc>
        <w:tc>
          <w:tcPr>
            <w:tcW w:w="6015" w:type="dxa"/>
            <w:tcBorders>
              <w:top w:val="single" w:sz="4" w:space="0" w:color="BEBEBE"/>
              <w:bottom w:val="single" w:sz="4" w:space="0" w:color="BEBEBE"/>
            </w:tcBorders>
          </w:tcPr>
          <w:p w14:paraId="7A8AC8F5" w14:textId="77777777" w:rsidR="00BC24A8" w:rsidRDefault="00000000">
            <w:pPr>
              <w:pStyle w:val="TableParagraph"/>
              <w:tabs>
                <w:tab w:val="left" w:pos="539"/>
              </w:tabs>
              <w:spacing w:before="59"/>
              <w:ind w:left="107"/>
              <w:rPr>
                <w:sz w:val="18"/>
              </w:rPr>
            </w:pPr>
            <w:r>
              <w:rPr>
                <w:spacing w:val="-5"/>
                <w:sz w:val="18"/>
              </w:rPr>
              <w:t>d.</w:t>
            </w:r>
            <w:r>
              <w:rPr>
                <w:sz w:val="18"/>
              </w:rPr>
              <w:tab/>
              <w:t>Poverty</w:t>
            </w:r>
            <w:r>
              <w:rPr>
                <w:spacing w:val="-3"/>
                <w:sz w:val="18"/>
              </w:rPr>
              <w:t xml:space="preserve"> </w:t>
            </w:r>
            <w:r>
              <w:rPr>
                <w:sz w:val="18"/>
              </w:rPr>
              <w:t>Line</w:t>
            </w:r>
            <w:r>
              <w:rPr>
                <w:spacing w:val="-2"/>
                <w:sz w:val="18"/>
              </w:rPr>
              <w:t xml:space="preserve"> (rupiah/capita/month)</w:t>
            </w:r>
          </w:p>
        </w:tc>
        <w:tc>
          <w:tcPr>
            <w:tcW w:w="2490" w:type="dxa"/>
            <w:tcBorders>
              <w:top w:val="single" w:sz="4" w:space="0" w:color="BEBEBE"/>
              <w:bottom w:val="single" w:sz="4" w:space="0" w:color="BEBEBE"/>
            </w:tcBorders>
          </w:tcPr>
          <w:p w14:paraId="394C5E02" w14:textId="77777777" w:rsidR="00BC24A8" w:rsidRDefault="00000000">
            <w:pPr>
              <w:pStyle w:val="TableParagraph"/>
              <w:spacing w:before="59"/>
              <w:ind w:left="57"/>
              <w:jc w:val="center"/>
              <w:rPr>
                <w:sz w:val="18"/>
              </w:rPr>
            </w:pPr>
            <w:r>
              <w:rPr>
                <w:spacing w:val="-2"/>
                <w:sz w:val="18"/>
              </w:rPr>
              <w:t>756,237</w:t>
            </w:r>
          </w:p>
        </w:tc>
      </w:tr>
      <w:tr w:rsidR="00BC24A8" w14:paraId="2A3DADF0" w14:textId="77777777">
        <w:trPr>
          <w:trHeight w:val="395"/>
        </w:trPr>
        <w:tc>
          <w:tcPr>
            <w:tcW w:w="502" w:type="dxa"/>
            <w:tcBorders>
              <w:top w:val="single" w:sz="4" w:space="0" w:color="BEBEBE"/>
              <w:bottom w:val="single" w:sz="4" w:space="0" w:color="BEBEBE"/>
            </w:tcBorders>
          </w:tcPr>
          <w:p w14:paraId="623CB01B" w14:textId="77777777" w:rsidR="00BC24A8" w:rsidRDefault="00000000">
            <w:pPr>
              <w:pStyle w:val="TableParagraph"/>
              <w:spacing w:before="119"/>
              <w:ind w:right="134"/>
              <w:jc w:val="center"/>
              <w:rPr>
                <w:sz w:val="18"/>
              </w:rPr>
            </w:pPr>
            <w:r>
              <w:rPr>
                <w:spacing w:val="-5"/>
                <w:sz w:val="18"/>
              </w:rPr>
              <w:t>9.</w:t>
            </w:r>
          </w:p>
        </w:tc>
        <w:tc>
          <w:tcPr>
            <w:tcW w:w="6015" w:type="dxa"/>
            <w:tcBorders>
              <w:top w:val="single" w:sz="4" w:space="0" w:color="BEBEBE"/>
              <w:bottom w:val="single" w:sz="4" w:space="0" w:color="BEBEBE"/>
            </w:tcBorders>
          </w:tcPr>
          <w:p w14:paraId="4D3CE648" w14:textId="77777777" w:rsidR="00BC24A8" w:rsidRDefault="00000000">
            <w:pPr>
              <w:pStyle w:val="TableParagraph"/>
              <w:spacing w:before="59"/>
              <w:ind w:left="107"/>
              <w:rPr>
                <w:sz w:val="18"/>
              </w:rPr>
            </w:pPr>
            <w:r>
              <w:rPr>
                <w:sz w:val="18"/>
              </w:rPr>
              <w:t>Gini</w:t>
            </w:r>
            <w:r>
              <w:rPr>
                <w:spacing w:val="-3"/>
                <w:sz w:val="18"/>
              </w:rPr>
              <w:t xml:space="preserve"> </w:t>
            </w:r>
            <w:r>
              <w:rPr>
                <w:sz w:val="18"/>
              </w:rPr>
              <w:t>Coefficient</w:t>
            </w:r>
            <w:r>
              <w:rPr>
                <w:spacing w:val="-1"/>
                <w:sz w:val="18"/>
              </w:rPr>
              <w:t xml:space="preserve"> </w:t>
            </w:r>
            <w:r>
              <w:rPr>
                <w:sz w:val="18"/>
              </w:rPr>
              <w:t>(BPS,</w:t>
            </w:r>
            <w:r>
              <w:rPr>
                <w:spacing w:val="-2"/>
                <w:sz w:val="18"/>
              </w:rPr>
              <w:t xml:space="preserve"> 2024)</w:t>
            </w:r>
          </w:p>
        </w:tc>
        <w:tc>
          <w:tcPr>
            <w:tcW w:w="2490" w:type="dxa"/>
            <w:tcBorders>
              <w:top w:val="single" w:sz="4" w:space="0" w:color="BEBEBE"/>
              <w:bottom w:val="single" w:sz="4" w:space="0" w:color="BEBEBE"/>
            </w:tcBorders>
          </w:tcPr>
          <w:p w14:paraId="345B3644" w14:textId="77777777" w:rsidR="00BC24A8" w:rsidRDefault="00000000">
            <w:pPr>
              <w:pStyle w:val="TableParagraph"/>
              <w:spacing w:before="59"/>
              <w:ind w:left="57" w:right="3"/>
              <w:jc w:val="center"/>
              <w:rPr>
                <w:sz w:val="18"/>
              </w:rPr>
            </w:pPr>
            <w:r>
              <w:rPr>
                <w:spacing w:val="-2"/>
                <w:sz w:val="18"/>
              </w:rPr>
              <w:t>0.346</w:t>
            </w:r>
          </w:p>
        </w:tc>
      </w:tr>
      <w:tr w:rsidR="00BC24A8" w14:paraId="279767C0" w14:textId="77777777">
        <w:trPr>
          <w:trHeight w:val="393"/>
        </w:trPr>
        <w:tc>
          <w:tcPr>
            <w:tcW w:w="502" w:type="dxa"/>
            <w:tcBorders>
              <w:top w:val="single" w:sz="4" w:space="0" w:color="BEBEBE"/>
              <w:bottom w:val="single" w:sz="4" w:space="0" w:color="BEBEBE"/>
            </w:tcBorders>
          </w:tcPr>
          <w:p w14:paraId="1B46A4DC" w14:textId="77777777" w:rsidR="00BC24A8" w:rsidRDefault="00000000">
            <w:pPr>
              <w:pStyle w:val="TableParagraph"/>
              <w:spacing w:before="116"/>
              <w:ind w:left="92" w:right="134"/>
              <w:jc w:val="center"/>
              <w:rPr>
                <w:sz w:val="18"/>
              </w:rPr>
            </w:pPr>
            <w:r>
              <w:rPr>
                <w:spacing w:val="-5"/>
                <w:sz w:val="18"/>
              </w:rPr>
              <w:t>10.</w:t>
            </w:r>
          </w:p>
        </w:tc>
        <w:tc>
          <w:tcPr>
            <w:tcW w:w="6015" w:type="dxa"/>
            <w:tcBorders>
              <w:top w:val="single" w:sz="4" w:space="0" w:color="BEBEBE"/>
              <w:bottom w:val="single" w:sz="4" w:space="0" w:color="BEBEBE"/>
            </w:tcBorders>
          </w:tcPr>
          <w:p w14:paraId="002F4924" w14:textId="77777777" w:rsidR="00BC24A8" w:rsidRDefault="00000000">
            <w:pPr>
              <w:pStyle w:val="TableParagraph"/>
              <w:spacing w:before="56"/>
              <w:ind w:left="107"/>
              <w:rPr>
                <w:sz w:val="18"/>
              </w:rPr>
            </w:pPr>
            <w:r>
              <w:rPr>
                <w:sz w:val="18"/>
              </w:rPr>
              <w:t>HDI</w:t>
            </w:r>
            <w:r>
              <w:rPr>
                <w:spacing w:val="-3"/>
                <w:sz w:val="18"/>
              </w:rPr>
              <w:t xml:space="preserve"> </w:t>
            </w:r>
            <w:r>
              <w:rPr>
                <w:sz w:val="18"/>
              </w:rPr>
              <w:t>(using</w:t>
            </w:r>
            <w:r>
              <w:rPr>
                <w:spacing w:val="-3"/>
                <w:sz w:val="18"/>
              </w:rPr>
              <w:t xml:space="preserve"> </w:t>
            </w:r>
            <w:r>
              <w:rPr>
                <w:sz w:val="18"/>
              </w:rPr>
              <w:t>Life</w:t>
            </w:r>
            <w:r>
              <w:rPr>
                <w:spacing w:val="-2"/>
                <w:sz w:val="18"/>
              </w:rPr>
              <w:t xml:space="preserve"> </w:t>
            </w:r>
            <w:r>
              <w:rPr>
                <w:sz w:val="18"/>
              </w:rPr>
              <w:t>Expectancy from</w:t>
            </w:r>
            <w:r>
              <w:rPr>
                <w:spacing w:val="-2"/>
                <w:sz w:val="18"/>
              </w:rPr>
              <w:t xml:space="preserve"> </w:t>
            </w:r>
            <w:r>
              <w:rPr>
                <w:sz w:val="18"/>
              </w:rPr>
              <w:t>SP2020 LF)</w:t>
            </w:r>
            <w:r>
              <w:rPr>
                <w:spacing w:val="-3"/>
                <w:sz w:val="18"/>
              </w:rPr>
              <w:t xml:space="preserve"> </w:t>
            </w:r>
            <w:r>
              <w:rPr>
                <w:sz w:val="18"/>
              </w:rPr>
              <w:t>(BPS,</w:t>
            </w:r>
            <w:r>
              <w:rPr>
                <w:spacing w:val="-2"/>
                <w:sz w:val="18"/>
              </w:rPr>
              <w:t xml:space="preserve"> 2023)</w:t>
            </w:r>
          </w:p>
        </w:tc>
        <w:tc>
          <w:tcPr>
            <w:tcW w:w="2490" w:type="dxa"/>
            <w:tcBorders>
              <w:top w:val="single" w:sz="4" w:space="0" w:color="BEBEBE"/>
              <w:bottom w:val="single" w:sz="4" w:space="0" w:color="BEBEBE"/>
            </w:tcBorders>
          </w:tcPr>
          <w:p w14:paraId="3115ACEA" w14:textId="77777777" w:rsidR="00BC24A8" w:rsidRDefault="00000000">
            <w:pPr>
              <w:pStyle w:val="TableParagraph"/>
              <w:spacing w:before="56"/>
              <w:ind w:left="57"/>
              <w:jc w:val="center"/>
              <w:rPr>
                <w:sz w:val="18"/>
              </w:rPr>
            </w:pPr>
            <w:r>
              <w:rPr>
                <w:spacing w:val="-2"/>
                <w:sz w:val="18"/>
              </w:rPr>
              <w:t>67.47%</w:t>
            </w:r>
          </w:p>
        </w:tc>
      </w:tr>
    </w:tbl>
    <w:p w14:paraId="7673F156" w14:textId="77777777" w:rsidR="00BC24A8" w:rsidRDefault="00000000">
      <w:pPr>
        <w:spacing w:before="131"/>
        <w:ind w:left="179"/>
        <w:rPr>
          <w:sz w:val="16"/>
        </w:rPr>
      </w:pPr>
      <w:r>
        <w:rPr>
          <w:sz w:val="16"/>
        </w:rPr>
        <w:t>Data</w:t>
      </w:r>
      <w:r>
        <w:rPr>
          <w:spacing w:val="-7"/>
          <w:sz w:val="16"/>
        </w:rPr>
        <w:t xml:space="preserve"> </w:t>
      </w:r>
      <w:r>
        <w:rPr>
          <w:sz w:val="16"/>
        </w:rPr>
        <w:t>Source:</w:t>
      </w:r>
      <w:r>
        <w:rPr>
          <w:spacing w:val="-6"/>
          <w:sz w:val="16"/>
        </w:rPr>
        <w:t xml:space="preserve"> </w:t>
      </w:r>
      <w:r>
        <w:rPr>
          <w:sz w:val="16"/>
        </w:rPr>
        <w:t>Compiled</w:t>
      </w:r>
      <w:r>
        <w:rPr>
          <w:spacing w:val="-6"/>
          <w:sz w:val="16"/>
        </w:rPr>
        <w:t xml:space="preserve"> </w:t>
      </w:r>
      <w:r>
        <w:rPr>
          <w:sz w:val="16"/>
        </w:rPr>
        <w:t>from</w:t>
      </w:r>
      <w:r>
        <w:rPr>
          <w:spacing w:val="-6"/>
          <w:sz w:val="16"/>
        </w:rPr>
        <w:t xml:space="preserve"> </w:t>
      </w:r>
      <w:r>
        <w:rPr>
          <w:sz w:val="16"/>
        </w:rPr>
        <w:t>BPS</w:t>
      </w:r>
      <w:r>
        <w:rPr>
          <w:spacing w:val="-7"/>
          <w:sz w:val="16"/>
        </w:rPr>
        <w:t xml:space="preserve"> </w:t>
      </w:r>
      <w:r>
        <w:rPr>
          <w:sz w:val="16"/>
        </w:rPr>
        <w:t>publications,</w:t>
      </w:r>
      <w:r>
        <w:rPr>
          <w:spacing w:val="-8"/>
          <w:sz w:val="16"/>
        </w:rPr>
        <w:t xml:space="preserve"> </w:t>
      </w:r>
      <w:r>
        <w:rPr>
          <w:sz w:val="16"/>
        </w:rPr>
        <w:t>Education</w:t>
      </w:r>
      <w:r>
        <w:rPr>
          <w:spacing w:val="-9"/>
          <w:sz w:val="16"/>
        </w:rPr>
        <w:t xml:space="preserve"> </w:t>
      </w:r>
      <w:r>
        <w:rPr>
          <w:sz w:val="16"/>
        </w:rPr>
        <w:t>Balance</w:t>
      </w:r>
      <w:r>
        <w:rPr>
          <w:spacing w:val="-6"/>
          <w:sz w:val="16"/>
        </w:rPr>
        <w:t xml:space="preserve"> </w:t>
      </w:r>
      <w:r>
        <w:rPr>
          <w:sz w:val="16"/>
        </w:rPr>
        <w:t>Sheet,</w:t>
      </w:r>
      <w:r>
        <w:rPr>
          <w:spacing w:val="-8"/>
          <w:sz w:val="16"/>
        </w:rPr>
        <w:t xml:space="preserve"> </w:t>
      </w:r>
      <w:r>
        <w:rPr>
          <w:sz w:val="16"/>
        </w:rPr>
        <w:t>and</w:t>
      </w:r>
      <w:r>
        <w:rPr>
          <w:spacing w:val="-6"/>
          <w:sz w:val="16"/>
        </w:rPr>
        <w:t xml:space="preserve"> </w:t>
      </w:r>
      <w:r>
        <w:rPr>
          <w:sz w:val="16"/>
        </w:rPr>
        <w:t>Indonesia</w:t>
      </w:r>
      <w:r>
        <w:rPr>
          <w:spacing w:val="-6"/>
          <w:sz w:val="16"/>
        </w:rPr>
        <w:t xml:space="preserve"> </w:t>
      </w:r>
      <w:r>
        <w:rPr>
          <w:sz w:val="16"/>
        </w:rPr>
        <w:t>Health</w:t>
      </w:r>
      <w:r>
        <w:rPr>
          <w:spacing w:val="-6"/>
          <w:sz w:val="16"/>
        </w:rPr>
        <w:t xml:space="preserve"> </w:t>
      </w:r>
      <w:r>
        <w:rPr>
          <w:spacing w:val="-2"/>
          <w:sz w:val="16"/>
        </w:rPr>
        <w:t>Survey.</w:t>
      </w:r>
    </w:p>
    <w:p w14:paraId="58FE601C" w14:textId="77777777" w:rsidR="00BC24A8" w:rsidRDefault="00BC24A8">
      <w:pPr>
        <w:rPr>
          <w:sz w:val="16"/>
        </w:rPr>
        <w:sectPr w:rsidR="00BC24A8">
          <w:pgSz w:w="11910" w:h="16840"/>
          <w:pgMar w:top="1320" w:right="850" w:bottom="1100" w:left="1275" w:header="0" w:footer="907" w:gutter="0"/>
          <w:cols w:space="720"/>
        </w:sectPr>
      </w:pPr>
    </w:p>
    <w:p w14:paraId="31B9F35B" w14:textId="77777777" w:rsidR="00BC24A8" w:rsidRDefault="00000000">
      <w:pPr>
        <w:pStyle w:val="Heading5"/>
        <w:spacing w:before="39"/>
        <w:jc w:val="both"/>
      </w:pPr>
      <w:r>
        <w:rPr>
          <w:color w:val="767070"/>
        </w:rPr>
        <w:t>MSS</w:t>
      </w:r>
      <w:r>
        <w:rPr>
          <w:color w:val="767070"/>
          <w:spacing w:val="-9"/>
        </w:rPr>
        <w:t xml:space="preserve"> </w:t>
      </w:r>
      <w:r>
        <w:rPr>
          <w:color w:val="767070"/>
        </w:rPr>
        <w:t>Achievement</w:t>
      </w:r>
      <w:r>
        <w:rPr>
          <w:color w:val="767070"/>
          <w:spacing w:val="-7"/>
        </w:rPr>
        <w:t xml:space="preserve"> </w:t>
      </w:r>
      <w:r>
        <w:rPr>
          <w:color w:val="767070"/>
        </w:rPr>
        <w:t>Index</w:t>
      </w:r>
      <w:r>
        <w:rPr>
          <w:color w:val="767070"/>
          <w:spacing w:val="-10"/>
        </w:rPr>
        <w:t xml:space="preserve"> </w:t>
      </w:r>
      <w:r>
        <w:rPr>
          <w:color w:val="767070"/>
        </w:rPr>
        <w:t>Data,</w:t>
      </w:r>
      <w:r>
        <w:rPr>
          <w:color w:val="767070"/>
          <w:spacing w:val="-8"/>
        </w:rPr>
        <w:t xml:space="preserve"> </w:t>
      </w:r>
      <w:r>
        <w:rPr>
          <w:color w:val="767070"/>
          <w:spacing w:val="-2"/>
        </w:rPr>
        <w:t>2022–2024</w:t>
      </w:r>
    </w:p>
    <w:p w14:paraId="45B9B416" w14:textId="77777777" w:rsidR="00BC24A8" w:rsidRDefault="00BC24A8">
      <w:pPr>
        <w:pStyle w:val="BodyText"/>
        <w:spacing w:before="8"/>
        <w:rPr>
          <w:rFonts w:ascii="Calibri"/>
          <w:b/>
          <w:sz w:val="12"/>
        </w:rPr>
      </w:pPr>
    </w:p>
    <w:tbl>
      <w:tblPr>
        <w:tblW w:w="0" w:type="auto"/>
        <w:tblInd w:w="150" w:type="dxa"/>
        <w:tblLayout w:type="fixed"/>
        <w:tblCellMar>
          <w:left w:w="0" w:type="dxa"/>
          <w:right w:w="0" w:type="dxa"/>
        </w:tblCellMar>
        <w:tblLook w:val="01E0" w:firstRow="1" w:lastRow="1" w:firstColumn="1" w:lastColumn="1" w:noHBand="0" w:noVBand="0"/>
      </w:tblPr>
      <w:tblGrid>
        <w:gridCol w:w="3600"/>
        <w:gridCol w:w="2794"/>
        <w:gridCol w:w="2676"/>
      </w:tblGrid>
      <w:tr w:rsidR="00BC24A8" w14:paraId="53FD5313" w14:textId="77777777">
        <w:trPr>
          <w:trHeight w:val="643"/>
        </w:trPr>
        <w:tc>
          <w:tcPr>
            <w:tcW w:w="3600" w:type="dxa"/>
            <w:shd w:val="clear" w:color="auto" w:fill="17365A"/>
          </w:tcPr>
          <w:p w14:paraId="003E9B85" w14:textId="77777777" w:rsidR="00BC24A8" w:rsidRDefault="00000000">
            <w:pPr>
              <w:pStyle w:val="TableParagraph"/>
              <w:spacing w:before="191"/>
              <w:ind w:left="107"/>
              <w:rPr>
                <w:rFonts w:ascii="Calibri"/>
                <w:b/>
                <w:sz w:val="20"/>
              </w:rPr>
            </w:pPr>
            <w:r>
              <w:rPr>
                <w:rFonts w:ascii="Calibri"/>
                <w:b/>
                <w:color w:val="FFFFFF"/>
                <w:spacing w:val="-2"/>
                <w:sz w:val="20"/>
              </w:rPr>
              <w:t>Sector</w:t>
            </w:r>
          </w:p>
        </w:tc>
        <w:tc>
          <w:tcPr>
            <w:tcW w:w="2794" w:type="dxa"/>
            <w:shd w:val="clear" w:color="auto" w:fill="17365A"/>
          </w:tcPr>
          <w:p w14:paraId="7CE0E387" w14:textId="77777777" w:rsidR="00BC24A8" w:rsidRDefault="00000000">
            <w:pPr>
              <w:pStyle w:val="TableParagraph"/>
              <w:spacing w:before="59" w:line="259" w:lineRule="auto"/>
              <w:ind w:left="1260" w:hanging="1097"/>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w:t>
            </w:r>
            <w:r>
              <w:rPr>
                <w:rFonts w:ascii="Calibri"/>
                <w:b/>
                <w:color w:val="FFFFFF"/>
                <w:spacing w:val="-11"/>
                <w:sz w:val="20"/>
              </w:rPr>
              <w:t xml:space="preserve"> </w:t>
            </w:r>
            <w:r>
              <w:rPr>
                <w:rFonts w:ascii="Calibri"/>
                <w:b/>
                <w:color w:val="FFFFFF"/>
                <w:sz w:val="20"/>
              </w:rPr>
              <w:t>Index</w:t>
            </w:r>
            <w:r>
              <w:rPr>
                <w:rFonts w:ascii="Calibri"/>
                <w:b/>
                <w:color w:val="FFFFFF"/>
                <w:spacing w:val="-11"/>
                <w:sz w:val="20"/>
              </w:rPr>
              <w:t xml:space="preserve"> </w:t>
            </w:r>
            <w:r>
              <w:rPr>
                <w:rFonts w:ascii="Calibri"/>
                <w:b/>
                <w:color w:val="FFFFFF"/>
                <w:sz w:val="20"/>
              </w:rPr>
              <w:t xml:space="preserve">2023 </w:t>
            </w:r>
            <w:r>
              <w:rPr>
                <w:rFonts w:ascii="Calibri"/>
                <w:b/>
                <w:color w:val="FFFFFF"/>
                <w:spacing w:val="-4"/>
                <w:sz w:val="20"/>
              </w:rPr>
              <w:t>(%)</w:t>
            </w:r>
          </w:p>
        </w:tc>
        <w:tc>
          <w:tcPr>
            <w:tcW w:w="2676" w:type="dxa"/>
            <w:shd w:val="clear" w:color="auto" w:fill="17365A"/>
          </w:tcPr>
          <w:p w14:paraId="5A85A44F" w14:textId="77777777" w:rsidR="00BC24A8" w:rsidRDefault="00000000">
            <w:pPr>
              <w:pStyle w:val="TableParagraph"/>
              <w:spacing w:before="59" w:line="259" w:lineRule="auto"/>
              <w:ind w:left="976" w:hanging="646"/>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w:t>
            </w:r>
            <w:r>
              <w:rPr>
                <w:rFonts w:ascii="Calibri"/>
                <w:b/>
                <w:color w:val="FFFFFF"/>
                <w:spacing w:val="-11"/>
                <w:sz w:val="20"/>
              </w:rPr>
              <w:t xml:space="preserve"> </w:t>
            </w:r>
            <w:r>
              <w:rPr>
                <w:rFonts w:ascii="Calibri"/>
                <w:b/>
                <w:color w:val="FFFFFF"/>
                <w:sz w:val="20"/>
              </w:rPr>
              <w:t>Index 2024 (%)</w:t>
            </w:r>
          </w:p>
        </w:tc>
      </w:tr>
      <w:tr w:rsidR="00BC24A8" w14:paraId="64CFFEF2" w14:textId="77777777">
        <w:trPr>
          <w:trHeight w:val="376"/>
        </w:trPr>
        <w:tc>
          <w:tcPr>
            <w:tcW w:w="3600" w:type="dxa"/>
            <w:tcBorders>
              <w:bottom w:val="single" w:sz="4" w:space="0" w:color="BEBEBE"/>
            </w:tcBorders>
          </w:tcPr>
          <w:p w14:paraId="3868DAB7" w14:textId="77777777" w:rsidR="00BC24A8" w:rsidRDefault="00000000">
            <w:pPr>
              <w:pStyle w:val="TableParagraph"/>
              <w:spacing w:before="102"/>
              <w:ind w:left="107"/>
              <w:rPr>
                <w:sz w:val="18"/>
              </w:rPr>
            </w:pPr>
            <w:r>
              <w:rPr>
                <w:spacing w:val="-2"/>
                <w:sz w:val="18"/>
              </w:rPr>
              <w:t>Education</w:t>
            </w:r>
          </w:p>
        </w:tc>
        <w:tc>
          <w:tcPr>
            <w:tcW w:w="2794" w:type="dxa"/>
            <w:tcBorders>
              <w:bottom w:val="single" w:sz="4" w:space="0" w:color="BEBEBE"/>
            </w:tcBorders>
          </w:tcPr>
          <w:p w14:paraId="299B7E04" w14:textId="77777777" w:rsidR="00BC24A8" w:rsidRDefault="00000000">
            <w:pPr>
              <w:pStyle w:val="TableParagraph"/>
              <w:spacing w:before="102"/>
              <w:ind w:right="2"/>
              <w:jc w:val="center"/>
              <w:rPr>
                <w:sz w:val="18"/>
              </w:rPr>
            </w:pPr>
            <w:r>
              <w:rPr>
                <w:spacing w:val="-4"/>
                <w:sz w:val="18"/>
              </w:rPr>
              <w:t>51.1</w:t>
            </w:r>
          </w:p>
        </w:tc>
        <w:tc>
          <w:tcPr>
            <w:tcW w:w="2676" w:type="dxa"/>
            <w:tcBorders>
              <w:bottom w:val="single" w:sz="4" w:space="0" w:color="BEBEBE"/>
            </w:tcBorders>
          </w:tcPr>
          <w:p w14:paraId="4D3E29A2" w14:textId="77777777" w:rsidR="00BC24A8" w:rsidRDefault="00000000">
            <w:pPr>
              <w:pStyle w:val="TableParagraph"/>
              <w:spacing w:before="102"/>
              <w:jc w:val="center"/>
              <w:rPr>
                <w:sz w:val="18"/>
              </w:rPr>
            </w:pPr>
            <w:r>
              <w:rPr>
                <w:spacing w:val="-4"/>
                <w:sz w:val="18"/>
              </w:rPr>
              <w:t>71.1</w:t>
            </w:r>
          </w:p>
        </w:tc>
      </w:tr>
      <w:tr w:rsidR="00BC24A8" w14:paraId="728773FE" w14:textId="77777777">
        <w:trPr>
          <w:trHeight w:val="333"/>
        </w:trPr>
        <w:tc>
          <w:tcPr>
            <w:tcW w:w="3600" w:type="dxa"/>
            <w:tcBorders>
              <w:top w:val="single" w:sz="4" w:space="0" w:color="BEBEBE"/>
              <w:bottom w:val="single" w:sz="4" w:space="0" w:color="BEBEBE"/>
            </w:tcBorders>
          </w:tcPr>
          <w:p w14:paraId="1A74749D" w14:textId="77777777" w:rsidR="00BC24A8" w:rsidRDefault="00000000">
            <w:pPr>
              <w:pStyle w:val="TableParagraph"/>
              <w:spacing w:before="59"/>
              <w:ind w:left="107"/>
              <w:rPr>
                <w:sz w:val="18"/>
              </w:rPr>
            </w:pPr>
            <w:r>
              <w:rPr>
                <w:spacing w:val="-2"/>
                <w:sz w:val="18"/>
              </w:rPr>
              <w:t>Health</w:t>
            </w:r>
          </w:p>
        </w:tc>
        <w:tc>
          <w:tcPr>
            <w:tcW w:w="2794" w:type="dxa"/>
            <w:tcBorders>
              <w:top w:val="single" w:sz="4" w:space="0" w:color="BEBEBE"/>
              <w:bottom w:val="single" w:sz="4" w:space="0" w:color="BEBEBE"/>
            </w:tcBorders>
          </w:tcPr>
          <w:p w14:paraId="00AA77B1" w14:textId="77777777" w:rsidR="00BC24A8" w:rsidRDefault="00000000">
            <w:pPr>
              <w:pStyle w:val="TableParagraph"/>
              <w:spacing w:before="59"/>
              <w:ind w:right="2"/>
              <w:jc w:val="center"/>
              <w:rPr>
                <w:sz w:val="18"/>
              </w:rPr>
            </w:pPr>
            <w:r>
              <w:rPr>
                <w:spacing w:val="-4"/>
                <w:sz w:val="18"/>
              </w:rPr>
              <w:t>23.4</w:t>
            </w:r>
          </w:p>
        </w:tc>
        <w:tc>
          <w:tcPr>
            <w:tcW w:w="2676" w:type="dxa"/>
            <w:tcBorders>
              <w:top w:val="single" w:sz="4" w:space="0" w:color="BEBEBE"/>
              <w:bottom w:val="single" w:sz="4" w:space="0" w:color="BEBEBE"/>
            </w:tcBorders>
          </w:tcPr>
          <w:p w14:paraId="26BE6DCF" w14:textId="77777777" w:rsidR="00BC24A8" w:rsidRDefault="00000000">
            <w:pPr>
              <w:pStyle w:val="TableParagraph"/>
              <w:spacing w:before="59"/>
              <w:jc w:val="center"/>
              <w:rPr>
                <w:sz w:val="18"/>
              </w:rPr>
            </w:pPr>
            <w:r>
              <w:rPr>
                <w:spacing w:val="-4"/>
                <w:sz w:val="18"/>
              </w:rPr>
              <w:t>37.3</w:t>
            </w:r>
          </w:p>
        </w:tc>
      </w:tr>
      <w:tr w:rsidR="00BC24A8" w14:paraId="23F13302" w14:textId="77777777">
        <w:trPr>
          <w:trHeight w:val="335"/>
        </w:trPr>
        <w:tc>
          <w:tcPr>
            <w:tcW w:w="3600" w:type="dxa"/>
            <w:tcBorders>
              <w:top w:val="single" w:sz="4" w:space="0" w:color="BEBEBE"/>
              <w:bottom w:val="single" w:sz="4" w:space="0" w:color="BEBEBE"/>
            </w:tcBorders>
          </w:tcPr>
          <w:p w14:paraId="5179BBCA" w14:textId="77777777" w:rsidR="00BC24A8" w:rsidRDefault="00000000">
            <w:pPr>
              <w:pStyle w:val="TableParagraph"/>
              <w:spacing w:before="59"/>
              <w:ind w:left="107"/>
              <w:rPr>
                <w:sz w:val="18"/>
              </w:rPr>
            </w:pPr>
            <w:r>
              <w:rPr>
                <w:sz w:val="18"/>
              </w:rPr>
              <w:t xml:space="preserve">Social </w:t>
            </w:r>
            <w:r>
              <w:rPr>
                <w:spacing w:val="-2"/>
                <w:sz w:val="18"/>
              </w:rPr>
              <w:t>Affairs</w:t>
            </w:r>
          </w:p>
        </w:tc>
        <w:tc>
          <w:tcPr>
            <w:tcW w:w="2794" w:type="dxa"/>
            <w:tcBorders>
              <w:top w:val="single" w:sz="4" w:space="0" w:color="BEBEBE"/>
              <w:bottom w:val="single" w:sz="4" w:space="0" w:color="BEBEBE"/>
            </w:tcBorders>
          </w:tcPr>
          <w:p w14:paraId="462614D1" w14:textId="77777777" w:rsidR="00BC24A8" w:rsidRDefault="00000000">
            <w:pPr>
              <w:pStyle w:val="TableParagraph"/>
              <w:spacing w:before="59"/>
              <w:ind w:right="2"/>
              <w:jc w:val="center"/>
              <w:rPr>
                <w:sz w:val="18"/>
              </w:rPr>
            </w:pPr>
            <w:r>
              <w:rPr>
                <w:spacing w:val="-4"/>
                <w:sz w:val="18"/>
              </w:rPr>
              <w:t>29.0</w:t>
            </w:r>
          </w:p>
        </w:tc>
        <w:tc>
          <w:tcPr>
            <w:tcW w:w="2676" w:type="dxa"/>
            <w:tcBorders>
              <w:top w:val="single" w:sz="4" w:space="0" w:color="BEBEBE"/>
              <w:bottom w:val="single" w:sz="4" w:space="0" w:color="BEBEBE"/>
            </w:tcBorders>
          </w:tcPr>
          <w:p w14:paraId="3DF96700" w14:textId="77777777" w:rsidR="00BC24A8" w:rsidRDefault="00000000">
            <w:pPr>
              <w:pStyle w:val="TableParagraph"/>
              <w:spacing w:before="59"/>
              <w:jc w:val="center"/>
              <w:rPr>
                <w:sz w:val="18"/>
              </w:rPr>
            </w:pPr>
            <w:r>
              <w:rPr>
                <w:spacing w:val="-4"/>
                <w:sz w:val="18"/>
              </w:rPr>
              <w:t>44.1</w:t>
            </w:r>
          </w:p>
        </w:tc>
      </w:tr>
      <w:tr w:rsidR="00BC24A8" w14:paraId="0FDAA947" w14:textId="77777777">
        <w:trPr>
          <w:trHeight w:val="333"/>
        </w:trPr>
        <w:tc>
          <w:tcPr>
            <w:tcW w:w="3600" w:type="dxa"/>
            <w:tcBorders>
              <w:top w:val="single" w:sz="4" w:space="0" w:color="BEBEBE"/>
              <w:bottom w:val="single" w:sz="4" w:space="0" w:color="BEBEBE"/>
            </w:tcBorders>
          </w:tcPr>
          <w:p w14:paraId="773E9C8E" w14:textId="77777777" w:rsidR="00BC24A8" w:rsidRDefault="00000000">
            <w:pPr>
              <w:pStyle w:val="TableParagraph"/>
              <w:spacing w:before="56"/>
              <w:ind w:left="107"/>
              <w:rPr>
                <w:sz w:val="18"/>
              </w:rPr>
            </w:pPr>
            <w:r>
              <w:rPr>
                <w:sz w:val="18"/>
              </w:rPr>
              <w:t>Public</w:t>
            </w:r>
            <w:r>
              <w:rPr>
                <w:spacing w:val="-1"/>
                <w:sz w:val="18"/>
              </w:rPr>
              <w:t xml:space="preserve"> </w:t>
            </w:r>
            <w:r>
              <w:rPr>
                <w:spacing w:val="-2"/>
                <w:sz w:val="18"/>
              </w:rPr>
              <w:t>Works</w:t>
            </w:r>
          </w:p>
        </w:tc>
        <w:tc>
          <w:tcPr>
            <w:tcW w:w="2794" w:type="dxa"/>
            <w:tcBorders>
              <w:top w:val="single" w:sz="4" w:space="0" w:color="BEBEBE"/>
              <w:bottom w:val="single" w:sz="4" w:space="0" w:color="BEBEBE"/>
            </w:tcBorders>
          </w:tcPr>
          <w:p w14:paraId="3808E2B5" w14:textId="77777777" w:rsidR="00BC24A8" w:rsidRDefault="00000000">
            <w:pPr>
              <w:pStyle w:val="TableParagraph"/>
              <w:spacing w:before="56"/>
              <w:ind w:right="2"/>
              <w:jc w:val="center"/>
              <w:rPr>
                <w:sz w:val="18"/>
              </w:rPr>
            </w:pPr>
            <w:r>
              <w:rPr>
                <w:spacing w:val="-4"/>
                <w:sz w:val="18"/>
              </w:rPr>
              <w:t>26.0</w:t>
            </w:r>
          </w:p>
        </w:tc>
        <w:tc>
          <w:tcPr>
            <w:tcW w:w="2676" w:type="dxa"/>
            <w:tcBorders>
              <w:top w:val="single" w:sz="4" w:space="0" w:color="BEBEBE"/>
              <w:bottom w:val="single" w:sz="4" w:space="0" w:color="BEBEBE"/>
            </w:tcBorders>
          </w:tcPr>
          <w:p w14:paraId="47EDFB9E" w14:textId="77777777" w:rsidR="00BC24A8" w:rsidRDefault="00000000">
            <w:pPr>
              <w:pStyle w:val="TableParagraph"/>
              <w:spacing w:before="56"/>
              <w:jc w:val="center"/>
              <w:rPr>
                <w:sz w:val="18"/>
              </w:rPr>
            </w:pPr>
            <w:r>
              <w:rPr>
                <w:spacing w:val="-4"/>
                <w:sz w:val="18"/>
              </w:rPr>
              <w:t>26.6</w:t>
            </w:r>
          </w:p>
        </w:tc>
      </w:tr>
      <w:tr w:rsidR="00BC24A8" w14:paraId="34A416AA" w14:textId="77777777">
        <w:trPr>
          <w:trHeight w:val="333"/>
        </w:trPr>
        <w:tc>
          <w:tcPr>
            <w:tcW w:w="3600" w:type="dxa"/>
            <w:tcBorders>
              <w:top w:val="single" w:sz="4" w:space="0" w:color="BEBEBE"/>
              <w:bottom w:val="single" w:sz="4" w:space="0" w:color="BEBEBE"/>
            </w:tcBorders>
          </w:tcPr>
          <w:p w14:paraId="529CCA34" w14:textId="77777777" w:rsidR="00BC24A8" w:rsidRDefault="00000000">
            <w:pPr>
              <w:pStyle w:val="TableParagraph"/>
              <w:spacing w:before="56"/>
              <w:ind w:left="107"/>
              <w:rPr>
                <w:sz w:val="18"/>
              </w:rPr>
            </w:pPr>
            <w:r>
              <w:rPr>
                <w:sz w:val="18"/>
              </w:rPr>
              <w:t>Public</w:t>
            </w:r>
            <w:r>
              <w:rPr>
                <w:spacing w:val="-1"/>
                <w:sz w:val="18"/>
              </w:rPr>
              <w:t xml:space="preserve"> </w:t>
            </w:r>
            <w:r>
              <w:rPr>
                <w:spacing w:val="-2"/>
                <w:sz w:val="18"/>
              </w:rPr>
              <w:t>Housing</w:t>
            </w:r>
          </w:p>
        </w:tc>
        <w:tc>
          <w:tcPr>
            <w:tcW w:w="2794" w:type="dxa"/>
            <w:tcBorders>
              <w:top w:val="single" w:sz="4" w:space="0" w:color="BEBEBE"/>
              <w:bottom w:val="single" w:sz="4" w:space="0" w:color="BEBEBE"/>
            </w:tcBorders>
          </w:tcPr>
          <w:p w14:paraId="64061CAF" w14:textId="77777777" w:rsidR="00BC24A8" w:rsidRDefault="00000000">
            <w:pPr>
              <w:pStyle w:val="TableParagraph"/>
              <w:spacing w:before="56"/>
              <w:ind w:right="2"/>
              <w:jc w:val="center"/>
              <w:rPr>
                <w:sz w:val="18"/>
              </w:rPr>
            </w:pPr>
            <w:r>
              <w:rPr>
                <w:spacing w:val="-4"/>
                <w:sz w:val="18"/>
              </w:rPr>
              <w:t>29.2</w:t>
            </w:r>
          </w:p>
        </w:tc>
        <w:tc>
          <w:tcPr>
            <w:tcW w:w="2676" w:type="dxa"/>
            <w:tcBorders>
              <w:top w:val="single" w:sz="4" w:space="0" w:color="BEBEBE"/>
              <w:bottom w:val="single" w:sz="4" w:space="0" w:color="BEBEBE"/>
            </w:tcBorders>
          </w:tcPr>
          <w:p w14:paraId="59873FB6" w14:textId="77777777" w:rsidR="00BC24A8" w:rsidRDefault="00000000">
            <w:pPr>
              <w:pStyle w:val="TableParagraph"/>
              <w:spacing w:before="56"/>
              <w:jc w:val="center"/>
              <w:rPr>
                <w:sz w:val="18"/>
              </w:rPr>
            </w:pPr>
            <w:r>
              <w:rPr>
                <w:spacing w:val="-4"/>
                <w:sz w:val="18"/>
              </w:rPr>
              <w:t>44.5</w:t>
            </w:r>
          </w:p>
        </w:tc>
      </w:tr>
      <w:tr w:rsidR="00BC24A8" w14:paraId="37C88DC4" w14:textId="77777777">
        <w:trPr>
          <w:trHeight w:val="597"/>
        </w:trPr>
        <w:tc>
          <w:tcPr>
            <w:tcW w:w="3600" w:type="dxa"/>
            <w:tcBorders>
              <w:top w:val="single" w:sz="4" w:space="0" w:color="BEBEBE"/>
            </w:tcBorders>
          </w:tcPr>
          <w:p w14:paraId="160640AA" w14:textId="77777777" w:rsidR="00BC24A8" w:rsidRDefault="00000000">
            <w:pPr>
              <w:pStyle w:val="TableParagraph"/>
              <w:spacing w:before="59"/>
              <w:ind w:left="107"/>
              <w:rPr>
                <w:sz w:val="18"/>
              </w:rPr>
            </w:pPr>
            <w:r>
              <w:rPr>
                <w:sz w:val="18"/>
              </w:rPr>
              <w:t>Public</w:t>
            </w:r>
            <w:r>
              <w:rPr>
                <w:spacing w:val="-9"/>
                <w:sz w:val="18"/>
              </w:rPr>
              <w:t xml:space="preserve"> </w:t>
            </w:r>
            <w:r>
              <w:rPr>
                <w:sz w:val="18"/>
              </w:rPr>
              <w:t>Order</w:t>
            </w:r>
            <w:r>
              <w:rPr>
                <w:spacing w:val="-9"/>
                <w:sz w:val="18"/>
              </w:rPr>
              <w:t xml:space="preserve"> </w:t>
            </w:r>
            <w:r>
              <w:rPr>
                <w:sz w:val="18"/>
              </w:rPr>
              <w:t>and</w:t>
            </w:r>
            <w:r>
              <w:rPr>
                <w:spacing w:val="-9"/>
                <w:sz w:val="18"/>
              </w:rPr>
              <w:t xml:space="preserve"> </w:t>
            </w:r>
            <w:r>
              <w:rPr>
                <w:sz w:val="18"/>
              </w:rPr>
              <w:t>Community</w:t>
            </w:r>
            <w:r>
              <w:rPr>
                <w:spacing w:val="-9"/>
                <w:sz w:val="18"/>
              </w:rPr>
              <w:t xml:space="preserve"> </w:t>
            </w:r>
            <w:r>
              <w:rPr>
                <w:sz w:val="18"/>
              </w:rPr>
              <w:t xml:space="preserve">Protection </w:t>
            </w:r>
            <w:r>
              <w:rPr>
                <w:spacing w:val="-2"/>
                <w:sz w:val="18"/>
              </w:rPr>
              <w:t>(Trantibumlinmas)</w:t>
            </w:r>
          </w:p>
        </w:tc>
        <w:tc>
          <w:tcPr>
            <w:tcW w:w="2794" w:type="dxa"/>
            <w:tcBorders>
              <w:top w:val="single" w:sz="4" w:space="0" w:color="BEBEBE"/>
            </w:tcBorders>
          </w:tcPr>
          <w:p w14:paraId="08EB897C" w14:textId="77777777" w:rsidR="00BC24A8" w:rsidRDefault="00000000">
            <w:pPr>
              <w:pStyle w:val="TableParagraph"/>
              <w:spacing w:before="167"/>
              <w:ind w:right="2"/>
              <w:jc w:val="center"/>
              <w:rPr>
                <w:sz w:val="18"/>
              </w:rPr>
            </w:pPr>
            <w:r>
              <w:rPr>
                <w:spacing w:val="-4"/>
                <w:sz w:val="18"/>
              </w:rPr>
              <w:t>42.4</w:t>
            </w:r>
          </w:p>
        </w:tc>
        <w:tc>
          <w:tcPr>
            <w:tcW w:w="2676" w:type="dxa"/>
            <w:tcBorders>
              <w:top w:val="single" w:sz="4" w:space="0" w:color="BEBEBE"/>
            </w:tcBorders>
          </w:tcPr>
          <w:p w14:paraId="4F0617B6" w14:textId="77777777" w:rsidR="00BC24A8" w:rsidRDefault="00000000">
            <w:pPr>
              <w:pStyle w:val="TableParagraph"/>
              <w:spacing w:before="167"/>
              <w:jc w:val="center"/>
              <w:rPr>
                <w:sz w:val="18"/>
              </w:rPr>
            </w:pPr>
            <w:r>
              <w:rPr>
                <w:spacing w:val="-4"/>
                <w:sz w:val="18"/>
              </w:rPr>
              <w:t>39.8</w:t>
            </w:r>
          </w:p>
        </w:tc>
      </w:tr>
      <w:tr w:rsidR="00BC24A8" w14:paraId="254C6D56" w14:textId="77777777">
        <w:trPr>
          <w:trHeight w:val="335"/>
        </w:trPr>
        <w:tc>
          <w:tcPr>
            <w:tcW w:w="3600" w:type="dxa"/>
            <w:tcBorders>
              <w:bottom w:val="single" w:sz="4" w:space="0" w:color="BEBEBE"/>
              <w:right w:val="single" w:sz="18" w:space="0" w:color="FFFFFF"/>
            </w:tcBorders>
            <w:shd w:val="clear" w:color="auto" w:fill="A7A9AC"/>
          </w:tcPr>
          <w:p w14:paraId="23F35A38" w14:textId="77777777" w:rsidR="00BC24A8" w:rsidRDefault="00000000">
            <w:pPr>
              <w:pStyle w:val="TableParagraph"/>
              <w:spacing w:before="59"/>
              <w:ind w:left="107"/>
              <w:rPr>
                <w:rFonts w:ascii="Calibri"/>
                <w:b/>
                <w:sz w:val="18"/>
              </w:rPr>
            </w:pPr>
            <w:r w:rsidRPr="00795364">
              <w:rPr>
                <w:rFonts w:ascii="Calibri"/>
                <w:b/>
                <w:color w:val="000000"/>
                <w:sz w:val="18"/>
              </w:rPr>
              <w:t>Papua</w:t>
            </w:r>
            <w:r w:rsidRPr="00795364">
              <w:rPr>
                <w:rFonts w:ascii="Calibri"/>
                <w:b/>
                <w:color w:val="000000"/>
                <w:spacing w:val="-3"/>
                <w:sz w:val="18"/>
              </w:rPr>
              <w:t xml:space="preserve"> </w:t>
            </w:r>
            <w:r w:rsidRPr="00795364">
              <w:rPr>
                <w:rFonts w:ascii="Calibri"/>
                <w:b/>
                <w:color w:val="000000"/>
                <w:sz w:val="18"/>
              </w:rPr>
              <w:t>Barat</w:t>
            </w:r>
            <w:r w:rsidRPr="00795364">
              <w:rPr>
                <w:rFonts w:ascii="Calibri"/>
                <w:b/>
                <w:color w:val="000000"/>
                <w:spacing w:val="-3"/>
                <w:sz w:val="18"/>
              </w:rPr>
              <w:t xml:space="preserve"> </w:t>
            </w:r>
            <w:r w:rsidRPr="00795364">
              <w:rPr>
                <w:rFonts w:ascii="Calibri"/>
                <w:b/>
                <w:color w:val="000000"/>
                <w:spacing w:val="-4"/>
                <w:sz w:val="18"/>
              </w:rPr>
              <w:t>Daya</w:t>
            </w:r>
          </w:p>
        </w:tc>
        <w:tc>
          <w:tcPr>
            <w:tcW w:w="2794" w:type="dxa"/>
            <w:tcBorders>
              <w:left w:val="single" w:sz="18" w:space="0" w:color="FFFFFF"/>
              <w:bottom w:val="single" w:sz="4" w:space="0" w:color="BEBEBE"/>
              <w:right w:val="single" w:sz="18" w:space="0" w:color="FFFFFF"/>
            </w:tcBorders>
            <w:shd w:val="clear" w:color="auto" w:fill="A7A9AC"/>
          </w:tcPr>
          <w:p w14:paraId="49D8CACB" w14:textId="77777777" w:rsidR="00BC24A8" w:rsidRDefault="00000000">
            <w:pPr>
              <w:pStyle w:val="TableParagraph"/>
              <w:spacing w:before="59"/>
              <w:ind w:right="2"/>
              <w:jc w:val="center"/>
              <w:rPr>
                <w:rFonts w:ascii="Calibri"/>
                <w:b/>
                <w:sz w:val="18"/>
              </w:rPr>
            </w:pPr>
            <w:r w:rsidRPr="00795364">
              <w:rPr>
                <w:rFonts w:ascii="Calibri"/>
                <w:b/>
                <w:color w:val="000000"/>
                <w:spacing w:val="-4"/>
                <w:sz w:val="18"/>
              </w:rPr>
              <w:t>33.6</w:t>
            </w:r>
          </w:p>
        </w:tc>
        <w:tc>
          <w:tcPr>
            <w:tcW w:w="2676" w:type="dxa"/>
            <w:tcBorders>
              <w:left w:val="single" w:sz="18" w:space="0" w:color="FFFFFF"/>
              <w:bottom w:val="single" w:sz="4" w:space="0" w:color="BEBEBE"/>
            </w:tcBorders>
            <w:shd w:val="clear" w:color="auto" w:fill="A7A9AC"/>
          </w:tcPr>
          <w:p w14:paraId="1CE8AD48" w14:textId="77777777" w:rsidR="00BC24A8" w:rsidRDefault="00000000">
            <w:pPr>
              <w:pStyle w:val="TableParagraph"/>
              <w:spacing w:before="59"/>
              <w:ind w:right="23"/>
              <w:jc w:val="center"/>
              <w:rPr>
                <w:rFonts w:ascii="Calibri"/>
                <w:b/>
                <w:sz w:val="18"/>
              </w:rPr>
            </w:pPr>
            <w:r w:rsidRPr="00795364">
              <w:rPr>
                <w:rFonts w:ascii="Calibri"/>
                <w:b/>
                <w:color w:val="000000"/>
                <w:spacing w:val="-4"/>
                <w:sz w:val="18"/>
              </w:rPr>
              <w:t>44.0</w:t>
            </w:r>
          </w:p>
        </w:tc>
      </w:tr>
    </w:tbl>
    <w:p w14:paraId="000B4F58" w14:textId="77777777" w:rsidR="00BC24A8" w:rsidRDefault="00000000">
      <w:pPr>
        <w:spacing w:before="126" w:line="278" w:lineRule="auto"/>
        <w:ind w:left="143" w:right="564"/>
        <w:jc w:val="both"/>
        <w:rPr>
          <w:sz w:val="16"/>
        </w:rPr>
      </w:pPr>
      <w:r>
        <w:rPr>
          <w:spacing w:val="-2"/>
          <w:sz w:val="16"/>
        </w:rPr>
        <w:t xml:space="preserve">Data Source: </w:t>
      </w:r>
      <w:hyperlink r:id="rId52">
        <w:r w:rsidR="00BC24A8">
          <w:rPr>
            <w:color w:val="0562C1"/>
            <w:spacing w:val="-2"/>
            <w:sz w:val="16"/>
            <w:u w:val="single" w:color="0562C1"/>
          </w:rPr>
          <w:t>https://spm.bangda.kemendagri.go.id/publikas</w:t>
        </w:r>
        <w:r w:rsidR="00BC24A8">
          <w:rPr>
            <w:color w:val="0562C1"/>
            <w:spacing w:val="-2"/>
            <w:sz w:val="16"/>
          </w:rPr>
          <w:t>i</w:t>
        </w:r>
      </w:hyperlink>
      <w:r>
        <w:rPr>
          <w:color w:val="0562C1"/>
          <w:spacing w:val="-2"/>
          <w:sz w:val="16"/>
        </w:rPr>
        <w:t xml:space="preserve"> </w:t>
      </w:r>
      <w:r>
        <w:rPr>
          <w:spacing w:val="-2"/>
          <w:sz w:val="16"/>
        </w:rPr>
        <w:t>(Average of the Papua Barat Daya Regional Government in the 4th quarter of each</w:t>
      </w:r>
      <w:r>
        <w:rPr>
          <w:spacing w:val="40"/>
          <w:sz w:val="16"/>
        </w:rPr>
        <w:t xml:space="preserve"> </w:t>
      </w:r>
      <w:r>
        <w:rPr>
          <w:spacing w:val="-2"/>
          <w:sz w:val="16"/>
        </w:rPr>
        <w:t>year).</w:t>
      </w:r>
    </w:p>
    <w:p w14:paraId="4CEF80F1" w14:textId="77777777" w:rsidR="00BC24A8" w:rsidRDefault="00BC24A8">
      <w:pPr>
        <w:pStyle w:val="BodyText"/>
        <w:rPr>
          <w:sz w:val="16"/>
        </w:rPr>
      </w:pPr>
    </w:p>
    <w:p w14:paraId="1B326A35" w14:textId="77777777" w:rsidR="00BC24A8" w:rsidRDefault="00BC24A8">
      <w:pPr>
        <w:pStyle w:val="BodyText"/>
        <w:spacing w:before="81"/>
        <w:rPr>
          <w:sz w:val="16"/>
        </w:rPr>
      </w:pPr>
    </w:p>
    <w:p w14:paraId="78212D65" w14:textId="77777777" w:rsidR="00BC24A8" w:rsidRDefault="00000000">
      <w:pPr>
        <w:pStyle w:val="BodyText"/>
        <w:spacing w:line="278" w:lineRule="auto"/>
        <w:ind w:left="143" w:right="563"/>
        <w:jc w:val="both"/>
      </w:pPr>
      <w:r>
        <w:t>In 2022, the</w:t>
      </w:r>
      <w:r>
        <w:rPr>
          <w:spacing w:val="-1"/>
        </w:rPr>
        <w:t xml:space="preserve"> </w:t>
      </w:r>
      <w:r>
        <w:t>parent</w:t>
      </w:r>
      <w:r>
        <w:rPr>
          <w:spacing w:val="-1"/>
        </w:rPr>
        <w:t xml:space="preserve"> </w:t>
      </w:r>
      <w:r>
        <w:t>province</w:t>
      </w:r>
      <w:r>
        <w:rPr>
          <w:spacing w:val="-1"/>
        </w:rPr>
        <w:t xml:space="preserve"> </w:t>
      </w:r>
      <w:r>
        <w:t>of</w:t>
      </w:r>
      <w:r>
        <w:rPr>
          <w:spacing w:val="-1"/>
        </w:rPr>
        <w:t xml:space="preserve"> </w:t>
      </w:r>
      <w:r>
        <w:t>Papua</w:t>
      </w:r>
      <w:r>
        <w:rPr>
          <w:spacing w:val="-1"/>
        </w:rPr>
        <w:t xml:space="preserve"> </w:t>
      </w:r>
      <w:r>
        <w:t>Barat</w:t>
      </w:r>
      <w:r>
        <w:rPr>
          <w:spacing w:val="-1"/>
        </w:rPr>
        <w:t xml:space="preserve"> </w:t>
      </w:r>
      <w:r>
        <w:t>was</w:t>
      </w:r>
      <w:r>
        <w:rPr>
          <w:spacing w:val="-1"/>
        </w:rPr>
        <w:t xml:space="preserve"> </w:t>
      </w:r>
      <w:r>
        <w:t>divided, resulting in the</w:t>
      </w:r>
      <w:r>
        <w:rPr>
          <w:spacing w:val="-1"/>
        </w:rPr>
        <w:t xml:space="preserve"> </w:t>
      </w:r>
      <w:r>
        <w:t>establishment</w:t>
      </w:r>
      <w:r>
        <w:rPr>
          <w:spacing w:val="-1"/>
        </w:rPr>
        <w:t xml:space="preserve"> </w:t>
      </w:r>
      <w:r>
        <w:t>of</w:t>
      </w:r>
      <w:r>
        <w:rPr>
          <w:spacing w:val="-1"/>
        </w:rPr>
        <w:t xml:space="preserve"> </w:t>
      </w:r>
      <w:r>
        <w:t>Papua</w:t>
      </w:r>
      <w:r>
        <w:rPr>
          <w:spacing w:val="-1"/>
        </w:rPr>
        <w:t xml:space="preserve"> </w:t>
      </w:r>
      <w:r>
        <w:t>Barat Daya (PBD). From 2023 to 2024, the MSS achievement index in Papua Barat Daya increased across all sectors, with the highest growth in education and the lowest in public works.</w:t>
      </w:r>
    </w:p>
    <w:p w14:paraId="2BD77A19" w14:textId="77777777" w:rsidR="00BC24A8" w:rsidRDefault="00BC24A8">
      <w:pPr>
        <w:pStyle w:val="BodyText"/>
        <w:spacing w:before="160"/>
      </w:pPr>
    </w:p>
    <w:p w14:paraId="0473D50C" w14:textId="77777777" w:rsidR="00BC24A8" w:rsidRDefault="00000000">
      <w:pPr>
        <w:pStyle w:val="Heading5"/>
        <w:jc w:val="both"/>
      </w:pPr>
      <w:r>
        <w:rPr>
          <w:color w:val="767070"/>
        </w:rPr>
        <w:t>MSS</w:t>
      </w:r>
      <w:r>
        <w:rPr>
          <w:color w:val="767070"/>
          <w:spacing w:val="-8"/>
        </w:rPr>
        <w:t xml:space="preserve"> </w:t>
      </w:r>
      <w:r>
        <w:rPr>
          <w:color w:val="767070"/>
        </w:rPr>
        <w:t>Reporting</w:t>
      </w:r>
      <w:r>
        <w:rPr>
          <w:color w:val="767070"/>
          <w:spacing w:val="-6"/>
        </w:rPr>
        <w:t xml:space="preserve"> </w:t>
      </w:r>
      <w:r>
        <w:rPr>
          <w:color w:val="767070"/>
        </w:rPr>
        <w:t>Data,</w:t>
      </w:r>
      <w:r>
        <w:rPr>
          <w:color w:val="767070"/>
          <w:spacing w:val="-8"/>
        </w:rPr>
        <w:t xml:space="preserve"> </w:t>
      </w:r>
      <w:r>
        <w:rPr>
          <w:color w:val="767070"/>
          <w:spacing w:val="-4"/>
        </w:rPr>
        <w:t>2025</w:t>
      </w:r>
    </w:p>
    <w:p w14:paraId="6AC0D72B"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538"/>
        <w:gridCol w:w="1296"/>
        <w:gridCol w:w="1224"/>
        <w:gridCol w:w="1260"/>
        <w:gridCol w:w="1260"/>
        <w:gridCol w:w="1260"/>
        <w:gridCol w:w="1238"/>
      </w:tblGrid>
      <w:tr w:rsidR="00BC24A8" w14:paraId="0F853560" w14:textId="77777777">
        <w:trPr>
          <w:trHeight w:val="359"/>
        </w:trPr>
        <w:tc>
          <w:tcPr>
            <w:tcW w:w="1538" w:type="dxa"/>
            <w:tcBorders>
              <w:bottom w:val="single" w:sz="4" w:space="0" w:color="BEBEBE"/>
            </w:tcBorders>
            <w:shd w:val="clear" w:color="auto" w:fill="17365A"/>
          </w:tcPr>
          <w:p w14:paraId="030B741A" w14:textId="77777777" w:rsidR="00BC24A8" w:rsidRDefault="00000000">
            <w:pPr>
              <w:pStyle w:val="TableParagraph"/>
              <w:spacing w:before="59"/>
              <w:ind w:left="115"/>
              <w:rPr>
                <w:rFonts w:ascii="Calibri"/>
                <w:b/>
                <w:sz w:val="20"/>
              </w:rPr>
            </w:pPr>
            <w:r>
              <w:rPr>
                <w:rFonts w:ascii="Calibri"/>
                <w:b/>
                <w:color w:val="FFFFFF"/>
                <w:spacing w:val="-2"/>
                <w:sz w:val="20"/>
              </w:rPr>
              <w:t>Quarter</w:t>
            </w:r>
          </w:p>
        </w:tc>
        <w:tc>
          <w:tcPr>
            <w:tcW w:w="1296" w:type="dxa"/>
            <w:tcBorders>
              <w:bottom w:val="single" w:sz="4" w:space="0" w:color="BEBEBE"/>
            </w:tcBorders>
            <w:shd w:val="clear" w:color="auto" w:fill="17365A"/>
          </w:tcPr>
          <w:p w14:paraId="6971B700" w14:textId="77777777" w:rsidR="00BC24A8" w:rsidRDefault="00000000">
            <w:pPr>
              <w:pStyle w:val="TableParagraph"/>
              <w:spacing w:before="59"/>
              <w:ind w:right="7"/>
              <w:jc w:val="center"/>
              <w:rPr>
                <w:rFonts w:ascii="Calibri"/>
                <w:b/>
                <w:sz w:val="20"/>
              </w:rPr>
            </w:pPr>
            <w:r>
              <w:rPr>
                <w:rFonts w:ascii="Calibri"/>
                <w:b/>
                <w:color w:val="FFFFFF"/>
                <w:sz w:val="20"/>
              </w:rPr>
              <w:t>Q1</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224" w:type="dxa"/>
            <w:tcBorders>
              <w:bottom w:val="single" w:sz="4" w:space="0" w:color="BEBEBE"/>
            </w:tcBorders>
            <w:shd w:val="clear" w:color="auto" w:fill="17365A"/>
          </w:tcPr>
          <w:p w14:paraId="4A8665A0" w14:textId="77777777" w:rsidR="00BC24A8" w:rsidRDefault="00000000">
            <w:pPr>
              <w:pStyle w:val="TableParagraph"/>
              <w:spacing w:before="59"/>
              <w:ind w:right="2"/>
              <w:jc w:val="center"/>
              <w:rPr>
                <w:rFonts w:ascii="Calibri"/>
                <w:b/>
                <w:sz w:val="20"/>
              </w:rPr>
            </w:pPr>
            <w:r>
              <w:rPr>
                <w:rFonts w:ascii="Calibri"/>
                <w:b/>
                <w:color w:val="FFFFFF"/>
                <w:sz w:val="20"/>
              </w:rPr>
              <w:t>Q2</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260" w:type="dxa"/>
            <w:tcBorders>
              <w:bottom w:val="single" w:sz="4" w:space="0" w:color="BEBEBE"/>
            </w:tcBorders>
            <w:shd w:val="clear" w:color="auto" w:fill="17365A"/>
          </w:tcPr>
          <w:p w14:paraId="20F587D0" w14:textId="77777777" w:rsidR="00BC24A8" w:rsidRDefault="00000000">
            <w:pPr>
              <w:pStyle w:val="TableParagraph"/>
              <w:spacing w:before="59"/>
              <w:ind w:left="1" w:right="5"/>
              <w:jc w:val="center"/>
              <w:rPr>
                <w:rFonts w:ascii="Calibri"/>
                <w:b/>
                <w:sz w:val="20"/>
              </w:rPr>
            </w:pPr>
            <w:r>
              <w:rPr>
                <w:rFonts w:ascii="Calibri"/>
                <w:b/>
                <w:color w:val="FFFFFF"/>
                <w:sz w:val="20"/>
              </w:rPr>
              <w:t>Q3</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260" w:type="dxa"/>
            <w:tcBorders>
              <w:bottom w:val="single" w:sz="4" w:space="0" w:color="BEBEBE"/>
            </w:tcBorders>
            <w:shd w:val="clear" w:color="auto" w:fill="17365A"/>
          </w:tcPr>
          <w:p w14:paraId="0668047E" w14:textId="77777777" w:rsidR="00BC24A8" w:rsidRDefault="00000000">
            <w:pPr>
              <w:pStyle w:val="TableParagraph"/>
              <w:spacing w:before="59"/>
              <w:ind w:left="4" w:right="5"/>
              <w:jc w:val="center"/>
              <w:rPr>
                <w:rFonts w:ascii="Calibri"/>
                <w:b/>
                <w:sz w:val="20"/>
              </w:rPr>
            </w:pPr>
            <w:r>
              <w:rPr>
                <w:rFonts w:ascii="Calibri"/>
                <w:b/>
                <w:color w:val="FFFFFF"/>
                <w:sz w:val="20"/>
              </w:rPr>
              <w:t>Q4</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260" w:type="dxa"/>
            <w:tcBorders>
              <w:bottom w:val="single" w:sz="4" w:space="0" w:color="BEBEBE"/>
            </w:tcBorders>
            <w:shd w:val="clear" w:color="auto" w:fill="17365A"/>
          </w:tcPr>
          <w:p w14:paraId="5F8105A7" w14:textId="77777777" w:rsidR="00BC24A8" w:rsidRDefault="00000000">
            <w:pPr>
              <w:pStyle w:val="TableParagraph"/>
              <w:spacing w:before="59"/>
              <w:ind w:left="4" w:right="5"/>
              <w:jc w:val="center"/>
              <w:rPr>
                <w:rFonts w:ascii="Calibri"/>
                <w:b/>
                <w:sz w:val="20"/>
              </w:rPr>
            </w:pPr>
            <w:r>
              <w:rPr>
                <w:rFonts w:ascii="Calibri"/>
                <w:b/>
                <w:color w:val="FFFFFF"/>
                <w:sz w:val="20"/>
              </w:rPr>
              <w:t>Q1</w:t>
            </w:r>
            <w:r>
              <w:rPr>
                <w:rFonts w:ascii="Calibri"/>
                <w:b/>
                <w:color w:val="FFFFFF"/>
                <w:spacing w:val="-5"/>
                <w:sz w:val="20"/>
              </w:rPr>
              <w:t xml:space="preserve"> </w:t>
            </w:r>
            <w:r>
              <w:rPr>
                <w:rFonts w:ascii="Calibri"/>
                <w:b/>
                <w:color w:val="FFFFFF"/>
                <w:sz w:val="20"/>
              </w:rPr>
              <w:t>2025</w:t>
            </w:r>
            <w:r>
              <w:rPr>
                <w:rFonts w:ascii="Calibri"/>
                <w:b/>
                <w:color w:val="FFFFFF"/>
                <w:spacing w:val="-5"/>
                <w:sz w:val="20"/>
              </w:rPr>
              <w:t xml:space="preserve"> (%)</w:t>
            </w:r>
          </w:p>
        </w:tc>
        <w:tc>
          <w:tcPr>
            <w:tcW w:w="1238" w:type="dxa"/>
            <w:tcBorders>
              <w:bottom w:val="single" w:sz="4" w:space="0" w:color="BEBEBE"/>
            </w:tcBorders>
            <w:shd w:val="clear" w:color="auto" w:fill="17365A"/>
          </w:tcPr>
          <w:p w14:paraId="73C2B420" w14:textId="77777777" w:rsidR="00BC24A8" w:rsidRDefault="00000000">
            <w:pPr>
              <w:pStyle w:val="TableParagraph"/>
              <w:spacing w:before="59"/>
              <w:ind w:left="1" w:right="2"/>
              <w:jc w:val="center"/>
              <w:rPr>
                <w:rFonts w:ascii="Calibri"/>
                <w:b/>
                <w:sz w:val="20"/>
              </w:rPr>
            </w:pPr>
            <w:r>
              <w:rPr>
                <w:rFonts w:ascii="Calibri"/>
                <w:b/>
                <w:color w:val="FFFFFF"/>
                <w:sz w:val="20"/>
              </w:rPr>
              <w:t>Q2</w:t>
            </w:r>
            <w:r>
              <w:rPr>
                <w:rFonts w:ascii="Calibri"/>
                <w:b/>
                <w:color w:val="FFFFFF"/>
                <w:spacing w:val="-5"/>
                <w:sz w:val="20"/>
              </w:rPr>
              <w:t xml:space="preserve"> </w:t>
            </w:r>
            <w:r>
              <w:rPr>
                <w:rFonts w:ascii="Calibri"/>
                <w:b/>
                <w:color w:val="FFFFFF"/>
                <w:sz w:val="20"/>
              </w:rPr>
              <w:t>2025</w:t>
            </w:r>
            <w:r>
              <w:rPr>
                <w:rFonts w:ascii="Calibri"/>
                <w:b/>
                <w:color w:val="FFFFFF"/>
                <w:spacing w:val="-5"/>
                <w:sz w:val="20"/>
              </w:rPr>
              <w:t xml:space="preserve"> (%)</w:t>
            </w:r>
          </w:p>
        </w:tc>
      </w:tr>
      <w:tr w:rsidR="00BC24A8" w14:paraId="3A5F731F" w14:textId="77777777">
        <w:trPr>
          <w:trHeight w:val="398"/>
        </w:trPr>
        <w:tc>
          <w:tcPr>
            <w:tcW w:w="1538" w:type="dxa"/>
            <w:tcBorders>
              <w:top w:val="single" w:sz="4" w:space="0" w:color="BEBEBE"/>
              <w:bottom w:val="single" w:sz="4" w:space="0" w:color="BEBEBE"/>
            </w:tcBorders>
          </w:tcPr>
          <w:p w14:paraId="045D6032" w14:textId="77777777" w:rsidR="00BC24A8" w:rsidRDefault="00000000">
            <w:pPr>
              <w:pStyle w:val="TableParagraph"/>
              <w:spacing w:before="90"/>
              <w:ind w:left="115"/>
              <w:rPr>
                <w:sz w:val="18"/>
              </w:rPr>
            </w:pPr>
            <w:r>
              <w:rPr>
                <w:sz w:val="18"/>
              </w:rPr>
              <w:t>Papua</w:t>
            </w:r>
            <w:r>
              <w:rPr>
                <w:spacing w:val="-4"/>
                <w:sz w:val="18"/>
              </w:rPr>
              <w:t xml:space="preserve"> </w:t>
            </w:r>
            <w:r>
              <w:rPr>
                <w:sz w:val="18"/>
              </w:rPr>
              <w:t>Barat</w:t>
            </w:r>
            <w:r>
              <w:rPr>
                <w:spacing w:val="-2"/>
                <w:sz w:val="18"/>
              </w:rPr>
              <w:t xml:space="preserve"> </w:t>
            </w:r>
            <w:r>
              <w:rPr>
                <w:spacing w:val="-4"/>
                <w:sz w:val="18"/>
              </w:rPr>
              <w:t>Daya</w:t>
            </w:r>
          </w:p>
        </w:tc>
        <w:tc>
          <w:tcPr>
            <w:tcW w:w="1296" w:type="dxa"/>
            <w:tcBorders>
              <w:top w:val="single" w:sz="4" w:space="0" w:color="BEBEBE"/>
              <w:bottom w:val="single" w:sz="4" w:space="0" w:color="BEBEBE"/>
            </w:tcBorders>
          </w:tcPr>
          <w:p w14:paraId="0D401A1C" w14:textId="77777777" w:rsidR="00BC24A8" w:rsidRDefault="00000000">
            <w:pPr>
              <w:pStyle w:val="TableParagraph"/>
              <w:spacing w:before="90"/>
              <w:ind w:left="6" w:right="7"/>
              <w:jc w:val="center"/>
              <w:rPr>
                <w:sz w:val="18"/>
              </w:rPr>
            </w:pPr>
            <w:r>
              <w:rPr>
                <w:spacing w:val="-2"/>
                <w:sz w:val="18"/>
              </w:rPr>
              <w:t>16.67</w:t>
            </w:r>
          </w:p>
        </w:tc>
        <w:tc>
          <w:tcPr>
            <w:tcW w:w="1224" w:type="dxa"/>
            <w:tcBorders>
              <w:top w:val="single" w:sz="4" w:space="0" w:color="BEBEBE"/>
              <w:bottom w:val="single" w:sz="4" w:space="0" w:color="BEBEBE"/>
            </w:tcBorders>
          </w:tcPr>
          <w:p w14:paraId="6F3663A2" w14:textId="77777777" w:rsidR="00BC24A8" w:rsidRDefault="00000000">
            <w:pPr>
              <w:pStyle w:val="TableParagraph"/>
              <w:spacing w:before="90"/>
              <w:ind w:left="2" w:right="2"/>
              <w:jc w:val="center"/>
              <w:rPr>
                <w:sz w:val="18"/>
              </w:rPr>
            </w:pPr>
            <w:r>
              <w:rPr>
                <w:spacing w:val="-10"/>
                <w:sz w:val="18"/>
              </w:rPr>
              <w:t>0</w:t>
            </w:r>
          </w:p>
        </w:tc>
        <w:tc>
          <w:tcPr>
            <w:tcW w:w="1260" w:type="dxa"/>
            <w:tcBorders>
              <w:top w:val="single" w:sz="4" w:space="0" w:color="BEBEBE"/>
              <w:bottom w:val="single" w:sz="4" w:space="0" w:color="BEBEBE"/>
            </w:tcBorders>
          </w:tcPr>
          <w:p w14:paraId="1499384A" w14:textId="77777777" w:rsidR="00BC24A8" w:rsidRDefault="00000000">
            <w:pPr>
              <w:pStyle w:val="TableParagraph"/>
              <w:spacing w:before="90"/>
              <w:ind w:left="1" w:right="5"/>
              <w:jc w:val="center"/>
              <w:rPr>
                <w:sz w:val="18"/>
              </w:rPr>
            </w:pPr>
            <w:r>
              <w:rPr>
                <w:spacing w:val="-2"/>
                <w:sz w:val="18"/>
              </w:rPr>
              <w:t>92.93</w:t>
            </w:r>
          </w:p>
        </w:tc>
        <w:tc>
          <w:tcPr>
            <w:tcW w:w="1260" w:type="dxa"/>
            <w:tcBorders>
              <w:top w:val="single" w:sz="4" w:space="0" w:color="BEBEBE"/>
              <w:bottom w:val="single" w:sz="4" w:space="0" w:color="BEBEBE"/>
            </w:tcBorders>
          </w:tcPr>
          <w:p w14:paraId="55111ADD" w14:textId="77777777" w:rsidR="00BC24A8" w:rsidRDefault="00000000">
            <w:pPr>
              <w:pStyle w:val="TableParagraph"/>
              <w:spacing w:before="90"/>
              <w:ind w:left="4" w:right="5"/>
              <w:jc w:val="center"/>
              <w:rPr>
                <w:sz w:val="18"/>
              </w:rPr>
            </w:pPr>
            <w:r>
              <w:rPr>
                <w:spacing w:val="-2"/>
                <w:sz w:val="18"/>
              </w:rPr>
              <w:t>92.93</w:t>
            </w:r>
          </w:p>
        </w:tc>
        <w:tc>
          <w:tcPr>
            <w:tcW w:w="1260" w:type="dxa"/>
            <w:tcBorders>
              <w:top w:val="single" w:sz="4" w:space="0" w:color="BEBEBE"/>
              <w:bottom w:val="single" w:sz="4" w:space="0" w:color="BEBEBE"/>
            </w:tcBorders>
          </w:tcPr>
          <w:p w14:paraId="0C408208" w14:textId="77777777" w:rsidR="00BC24A8" w:rsidRDefault="00000000">
            <w:pPr>
              <w:pStyle w:val="TableParagraph"/>
              <w:spacing w:before="90"/>
              <w:ind w:left="4" w:right="5"/>
              <w:jc w:val="center"/>
              <w:rPr>
                <w:sz w:val="18"/>
              </w:rPr>
            </w:pPr>
            <w:r>
              <w:rPr>
                <w:spacing w:val="-2"/>
                <w:sz w:val="18"/>
              </w:rPr>
              <w:t>46.76</w:t>
            </w:r>
          </w:p>
        </w:tc>
        <w:tc>
          <w:tcPr>
            <w:tcW w:w="1238" w:type="dxa"/>
            <w:tcBorders>
              <w:top w:val="single" w:sz="4" w:space="0" w:color="BEBEBE"/>
              <w:bottom w:val="single" w:sz="4" w:space="0" w:color="BEBEBE"/>
            </w:tcBorders>
          </w:tcPr>
          <w:p w14:paraId="21C9160B" w14:textId="77777777" w:rsidR="00BC24A8" w:rsidRDefault="00000000">
            <w:pPr>
              <w:pStyle w:val="TableParagraph"/>
              <w:spacing w:before="90"/>
              <w:ind w:left="2" w:right="1"/>
              <w:jc w:val="center"/>
              <w:rPr>
                <w:sz w:val="18"/>
              </w:rPr>
            </w:pPr>
            <w:r>
              <w:rPr>
                <w:spacing w:val="-5"/>
                <w:sz w:val="18"/>
              </w:rPr>
              <w:t>100</w:t>
            </w:r>
          </w:p>
        </w:tc>
      </w:tr>
    </w:tbl>
    <w:p w14:paraId="7AD03EE8" w14:textId="77777777" w:rsidR="00BC24A8" w:rsidRDefault="00000000">
      <w:pPr>
        <w:spacing w:before="124"/>
        <w:ind w:left="143"/>
        <w:jc w:val="both"/>
        <w:rPr>
          <w:sz w:val="16"/>
        </w:rPr>
      </w:pPr>
      <w:r>
        <w:rPr>
          <w:i/>
          <w:sz w:val="16"/>
        </w:rPr>
        <w:t>Data</w:t>
      </w:r>
      <w:r>
        <w:rPr>
          <w:i/>
          <w:spacing w:val="-10"/>
          <w:sz w:val="16"/>
        </w:rPr>
        <w:t xml:space="preserve"> </w:t>
      </w:r>
      <w:r>
        <w:rPr>
          <w:i/>
          <w:sz w:val="16"/>
        </w:rPr>
        <w:t>Source:</w:t>
      </w:r>
      <w:r>
        <w:rPr>
          <w:i/>
          <w:spacing w:val="-9"/>
          <w:sz w:val="16"/>
        </w:rPr>
        <w:t xml:space="preserve"> </w:t>
      </w:r>
      <w:hyperlink r:id="rId53">
        <w:r w:rsidR="00BC24A8">
          <w:rPr>
            <w:sz w:val="16"/>
            <w:u w:val="single"/>
          </w:rPr>
          <w:t>https://spm.bangda.kemendagri.go.id/</w:t>
        </w:r>
      </w:hyperlink>
      <w:r>
        <w:rPr>
          <w:spacing w:val="-9"/>
          <w:sz w:val="16"/>
        </w:rPr>
        <w:t xml:space="preserve"> </w:t>
      </w:r>
      <w:r>
        <w:rPr>
          <w:sz w:val="16"/>
        </w:rPr>
        <w:t>(As</w:t>
      </w:r>
      <w:r>
        <w:rPr>
          <w:spacing w:val="-8"/>
          <w:sz w:val="16"/>
        </w:rPr>
        <w:t xml:space="preserve"> </w:t>
      </w:r>
      <w:r>
        <w:rPr>
          <w:sz w:val="16"/>
        </w:rPr>
        <w:t>of</w:t>
      </w:r>
      <w:r>
        <w:rPr>
          <w:spacing w:val="-9"/>
          <w:sz w:val="16"/>
        </w:rPr>
        <w:t xml:space="preserve"> </w:t>
      </w:r>
      <w:r>
        <w:rPr>
          <w:sz w:val="16"/>
        </w:rPr>
        <w:t>July</w:t>
      </w:r>
      <w:r>
        <w:rPr>
          <w:spacing w:val="-9"/>
          <w:sz w:val="16"/>
        </w:rPr>
        <w:t xml:space="preserve"> </w:t>
      </w:r>
      <w:r>
        <w:rPr>
          <w:sz w:val="16"/>
        </w:rPr>
        <w:t>28,</w:t>
      </w:r>
      <w:r>
        <w:rPr>
          <w:spacing w:val="-9"/>
          <w:sz w:val="16"/>
        </w:rPr>
        <w:t xml:space="preserve"> </w:t>
      </w:r>
      <w:r>
        <w:rPr>
          <w:spacing w:val="-2"/>
          <w:sz w:val="16"/>
        </w:rPr>
        <w:t>2025).</w:t>
      </w:r>
    </w:p>
    <w:p w14:paraId="220A3189" w14:textId="77777777" w:rsidR="00BC24A8" w:rsidRDefault="00BC24A8">
      <w:pPr>
        <w:pStyle w:val="BodyText"/>
        <w:spacing w:before="235"/>
      </w:pPr>
    </w:p>
    <w:p w14:paraId="7C1B13EE" w14:textId="77777777" w:rsidR="00BC24A8" w:rsidRDefault="00000000">
      <w:pPr>
        <w:pStyle w:val="Heading5"/>
      </w:pPr>
      <w:r>
        <w:rPr>
          <w:color w:val="767070"/>
        </w:rPr>
        <w:t>Regional</w:t>
      </w:r>
      <w:r>
        <w:rPr>
          <w:color w:val="767070"/>
          <w:spacing w:val="-7"/>
        </w:rPr>
        <w:t xml:space="preserve"> </w:t>
      </w:r>
      <w:r>
        <w:rPr>
          <w:color w:val="767070"/>
        </w:rPr>
        <w:t>Revenue</w:t>
      </w:r>
      <w:r>
        <w:rPr>
          <w:color w:val="767070"/>
          <w:spacing w:val="-8"/>
        </w:rPr>
        <w:t xml:space="preserve"> </w:t>
      </w:r>
      <w:r>
        <w:rPr>
          <w:color w:val="767070"/>
        </w:rPr>
        <w:t>and</w:t>
      </w:r>
      <w:r>
        <w:rPr>
          <w:color w:val="767070"/>
          <w:spacing w:val="-8"/>
        </w:rPr>
        <w:t xml:space="preserve"> </w:t>
      </w:r>
      <w:r>
        <w:rPr>
          <w:color w:val="767070"/>
        </w:rPr>
        <w:t>Expenditure</w:t>
      </w:r>
      <w:r>
        <w:rPr>
          <w:color w:val="767070"/>
          <w:spacing w:val="-7"/>
        </w:rPr>
        <w:t xml:space="preserve"> </w:t>
      </w:r>
      <w:r>
        <w:rPr>
          <w:color w:val="767070"/>
        </w:rPr>
        <w:t>Budget</w:t>
      </w:r>
      <w:r>
        <w:rPr>
          <w:color w:val="767070"/>
          <w:spacing w:val="-9"/>
        </w:rPr>
        <w:t xml:space="preserve"> </w:t>
      </w:r>
      <w:r>
        <w:rPr>
          <w:color w:val="767070"/>
        </w:rPr>
        <w:t>(APBD)</w:t>
      </w:r>
      <w:r>
        <w:rPr>
          <w:color w:val="767070"/>
          <w:spacing w:val="-6"/>
        </w:rPr>
        <w:t xml:space="preserve"> </w:t>
      </w:r>
      <w:r>
        <w:rPr>
          <w:color w:val="767070"/>
          <w:spacing w:val="-4"/>
        </w:rPr>
        <w:t>Data</w:t>
      </w:r>
    </w:p>
    <w:p w14:paraId="35D89662"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3048"/>
        <w:gridCol w:w="2808"/>
        <w:gridCol w:w="2795"/>
      </w:tblGrid>
      <w:tr w:rsidR="00BC24A8" w14:paraId="5B2C4123" w14:textId="77777777">
        <w:trPr>
          <w:trHeight w:val="403"/>
        </w:trPr>
        <w:tc>
          <w:tcPr>
            <w:tcW w:w="3048" w:type="dxa"/>
            <w:shd w:val="clear" w:color="auto" w:fill="17365A"/>
          </w:tcPr>
          <w:p w14:paraId="510E106E" w14:textId="77777777" w:rsidR="00BC24A8" w:rsidRDefault="00000000">
            <w:pPr>
              <w:pStyle w:val="TableParagraph"/>
              <w:spacing w:before="80"/>
              <w:ind w:left="115"/>
              <w:rPr>
                <w:rFonts w:ascii="Calibri"/>
                <w:b/>
                <w:sz w:val="20"/>
              </w:rPr>
            </w:pPr>
            <w:r>
              <w:rPr>
                <w:rFonts w:ascii="Calibri"/>
                <w:b/>
                <w:color w:val="FFFFFF"/>
                <w:sz w:val="20"/>
              </w:rPr>
              <w:t>APBD</w:t>
            </w:r>
            <w:r>
              <w:rPr>
                <w:rFonts w:ascii="Calibri"/>
                <w:b/>
                <w:color w:val="FFFFFF"/>
                <w:spacing w:val="-7"/>
                <w:sz w:val="20"/>
              </w:rPr>
              <w:t xml:space="preserve"> </w:t>
            </w:r>
            <w:r>
              <w:rPr>
                <w:rFonts w:ascii="Calibri"/>
                <w:b/>
                <w:color w:val="FFFFFF"/>
                <w:spacing w:val="-2"/>
                <w:sz w:val="20"/>
              </w:rPr>
              <w:t>Structure</w:t>
            </w:r>
          </w:p>
        </w:tc>
        <w:tc>
          <w:tcPr>
            <w:tcW w:w="2808" w:type="dxa"/>
            <w:shd w:val="clear" w:color="auto" w:fill="17365A"/>
          </w:tcPr>
          <w:p w14:paraId="23993C35" w14:textId="77777777" w:rsidR="00BC24A8" w:rsidRDefault="00000000">
            <w:pPr>
              <w:pStyle w:val="TableParagraph"/>
              <w:spacing w:before="80"/>
              <w:ind w:left="196"/>
              <w:jc w:val="center"/>
              <w:rPr>
                <w:rFonts w:ascii="Calibri"/>
                <w:b/>
                <w:sz w:val="20"/>
              </w:rPr>
            </w:pPr>
            <w:r>
              <w:rPr>
                <w:rFonts w:ascii="Calibri"/>
                <w:b/>
                <w:color w:val="FFFFFF"/>
                <w:spacing w:val="-4"/>
                <w:sz w:val="20"/>
              </w:rPr>
              <w:t>2024</w:t>
            </w:r>
          </w:p>
        </w:tc>
        <w:tc>
          <w:tcPr>
            <w:tcW w:w="2795" w:type="dxa"/>
            <w:shd w:val="clear" w:color="auto" w:fill="17365A"/>
          </w:tcPr>
          <w:p w14:paraId="48A7747A" w14:textId="77777777" w:rsidR="00BC24A8" w:rsidRDefault="00000000">
            <w:pPr>
              <w:pStyle w:val="TableParagraph"/>
              <w:spacing w:before="80"/>
              <w:ind w:right="4"/>
              <w:jc w:val="center"/>
              <w:rPr>
                <w:rFonts w:ascii="Calibri"/>
                <w:b/>
                <w:sz w:val="20"/>
              </w:rPr>
            </w:pPr>
            <w:r>
              <w:rPr>
                <w:rFonts w:ascii="Calibri"/>
                <w:b/>
                <w:color w:val="FFFFFF"/>
                <w:spacing w:val="-4"/>
                <w:sz w:val="20"/>
              </w:rPr>
              <w:t>2025</w:t>
            </w:r>
          </w:p>
        </w:tc>
      </w:tr>
      <w:tr w:rsidR="00BC24A8" w14:paraId="553BB772" w14:textId="77777777">
        <w:trPr>
          <w:trHeight w:val="446"/>
        </w:trPr>
        <w:tc>
          <w:tcPr>
            <w:tcW w:w="3048" w:type="dxa"/>
            <w:tcBorders>
              <w:bottom w:val="single" w:sz="4" w:space="0" w:color="BEBEBE"/>
            </w:tcBorders>
          </w:tcPr>
          <w:p w14:paraId="4BCBCD3B" w14:textId="77777777" w:rsidR="00BC24A8" w:rsidRDefault="00000000">
            <w:pPr>
              <w:pStyle w:val="TableParagraph"/>
              <w:spacing w:before="102"/>
              <w:ind w:left="115"/>
              <w:rPr>
                <w:sz w:val="18"/>
              </w:rPr>
            </w:pPr>
            <w:r>
              <w:rPr>
                <w:sz w:val="18"/>
              </w:rPr>
              <w:t>Total</w:t>
            </w:r>
            <w:r>
              <w:rPr>
                <w:spacing w:val="-2"/>
                <w:sz w:val="18"/>
              </w:rPr>
              <w:t xml:space="preserve"> Revenue</w:t>
            </w:r>
          </w:p>
        </w:tc>
        <w:tc>
          <w:tcPr>
            <w:tcW w:w="2808" w:type="dxa"/>
            <w:tcBorders>
              <w:bottom w:val="single" w:sz="4" w:space="0" w:color="BEBEBE"/>
            </w:tcBorders>
          </w:tcPr>
          <w:p w14:paraId="648D3164" w14:textId="77777777" w:rsidR="00BC24A8" w:rsidRDefault="00000000">
            <w:pPr>
              <w:pStyle w:val="TableParagraph"/>
              <w:tabs>
                <w:tab w:val="left" w:pos="1341"/>
              </w:tabs>
              <w:spacing w:before="102"/>
              <w:ind w:left="307"/>
              <w:rPr>
                <w:sz w:val="18"/>
              </w:rPr>
            </w:pPr>
            <w:r>
              <w:rPr>
                <w:spacing w:val="-5"/>
                <w:sz w:val="18"/>
              </w:rPr>
              <w:t>IDR</w:t>
            </w:r>
            <w:r>
              <w:rPr>
                <w:sz w:val="18"/>
              </w:rPr>
              <w:tab/>
            </w:r>
            <w:r>
              <w:rPr>
                <w:spacing w:val="-2"/>
                <w:sz w:val="18"/>
              </w:rPr>
              <w:t>1,952,055,208,417</w:t>
            </w:r>
          </w:p>
        </w:tc>
        <w:tc>
          <w:tcPr>
            <w:tcW w:w="2795" w:type="dxa"/>
            <w:tcBorders>
              <w:bottom w:val="single" w:sz="4" w:space="0" w:color="BEBEBE"/>
            </w:tcBorders>
          </w:tcPr>
          <w:p w14:paraId="17ACA4D1" w14:textId="77777777" w:rsidR="00BC24A8" w:rsidRDefault="00000000">
            <w:pPr>
              <w:pStyle w:val="TableParagraph"/>
              <w:tabs>
                <w:tab w:val="left" w:pos="1327"/>
              </w:tabs>
              <w:spacing w:before="102"/>
              <w:ind w:left="108"/>
              <w:rPr>
                <w:sz w:val="18"/>
              </w:rPr>
            </w:pPr>
            <w:r>
              <w:rPr>
                <w:spacing w:val="-5"/>
                <w:sz w:val="18"/>
              </w:rPr>
              <w:t>IDR</w:t>
            </w:r>
            <w:r>
              <w:rPr>
                <w:sz w:val="18"/>
              </w:rPr>
              <w:tab/>
            </w:r>
            <w:r>
              <w:rPr>
                <w:spacing w:val="-2"/>
                <w:sz w:val="18"/>
              </w:rPr>
              <w:t>1,714,365,639,361</w:t>
            </w:r>
          </w:p>
        </w:tc>
      </w:tr>
      <w:tr w:rsidR="00BC24A8" w14:paraId="1B0C1793" w14:textId="77777777">
        <w:trPr>
          <w:trHeight w:val="333"/>
        </w:trPr>
        <w:tc>
          <w:tcPr>
            <w:tcW w:w="3048" w:type="dxa"/>
            <w:tcBorders>
              <w:top w:val="single" w:sz="4" w:space="0" w:color="BEBEBE"/>
              <w:bottom w:val="single" w:sz="4" w:space="0" w:color="BEBEBE"/>
            </w:tcBorders>
          </w:tcPr>
          <w:p w14:paraId="6EF9823A" w14:textId="77777777" w:rsidR="00BC24A8" w:rsidRDefault="00000000">
            <w:pPr>
              <w:pStyle w:val="TableParagraph"/>
              <w:spacing w:before="56"/>
              <w:ind w:left="115"/>
              <w:rPr>
                <w:sz w:val="18"/>
              </w:rPr>
            </w:pPr>
            <w:r>
              <w:rPr>
                <w:sz w:val="18"/>
              </w:rPr>
              <w:t>PAD</w:t>
            </w:r>
            <w:r>
              <w:rPr>
                <w:spacing w:val="-2"/>
                <w:sz w:val="18"/>
              </w:rPr>
              <w:t xml:space="preserve"> </w:t>
            </w:r>
            <w:r>
              <w:rPr>
                <w:sz w:val="18"/>
              </w:rPr>
              <w:t>(Regional</w:t>
            </w:r>
            <w:r>
              <w:rPr>
                <w:spacing w:val="-2"/>
                <w:sz w:val="18"/>
              </w:rPr>
              <w:t xml:space="preserve"> Revenue)</w:t>
            </w:r>
          </w:p>
        </w:tc>
        <w:tc>
          <w:tcPr>
            <w:tcW w:w="2808" w:type="dxa"/>
            <w:tcBorders>
              <w:top w:val="single" w:sz="4" w:space="0" w:color="BEBEBE"/>
              <w:bottom w:val="single" w:sz="4" w:space="0" w:color="BEBEBE"/>
            </w:tcBorders>
          </w:tcPr>
          <w:p w14:paraId="7505E7E6" w14:textId="77777777" w:rsidR="00BC24A8" w:rsidRDefault="00000000">
            <w:pPr>
              <w:pStyle w:val="TableParagraph"/>
              <w:tabs>
                <w:tab w:val="left" w:pos="1475"/>
              </w:tabs>
              <w:spacing w:before="56"/>
              <w:ind w:left="307"/>
              <w:rPr>
                <w:sz w:val="18"/>
              </w:rPr>
            </w:pPr>
            <w:r>
              <w:rPr>
                <w:spacing w:val="-5"/>
                <w:sz w:val="18"/>
              </w:rPr>
              <w:t>IDR</w:t>
            </w:r>
            <w:r>
              <w:rPr>
                <w:sz w:val="18"/>
              </w:rPr>
              <w:tab/>
            </w:r>
            <w:r>
              <w:rPr>
                <w:spacing w:val="-2"/>
                <w:sz w:val="18"/>
              </w:rPr>
              <w:t>156,834,288,417</w:t>
            </w:r>
          </w:p>
        </w:tc>
        <w:tc>
          <w:tcPr>
            <w:tcW w:w="2795" w:type="dxa"/>
            <w:tcBorders>
              <w:top w:val="single" w:sz="4" w:space="0" w:color="BEBEBE"/>
              <w:bottom w:val="single" w:sz="4" w:space="0" w:color="BEBEBE"/>
            </w:tcBorders>
          </w:tcPr>
          <w:p w14:paraId="7E9E5411" w14:textId="77777777" w:rsidR="00BC24A8" w:rsidRDefault="00000000">
            <w:pPr>
              <w:pStyle w:val="TableParagraph"/>
              <w:tabs>
                <w:tab w:val="left" w:pos="1459"/>
              </w:tabs>
              <w:spacing w:before="56"/>
              <w:ind w:left="108"/>
              <w:rPr>
                <w:sz w:val="18"/>
              </w:rPr>
            </w:pPr>
            <w:r>
              <w:rPr>
                <w:spacing w:val="-5"/>
                <w:sz w:val="18"/>
              </w:rPr>
              <w:t>IDR</w:t>
            </w:r>
            <w:r>
              <w:rPr>
                <w:sz w:val="18"/>
              </w:rPr>
              <w:tab/>
            </w:r>
            <w:r>
              <w:rPr>
                <w:spacing w:val="-2"/>
                <w:sz w:val="18"/>
              </w:rPr>
              <w:t>206,345,812,361</w:t>
            </w:r>
          </w:p>
        </w:tc>
      </w:tr>
      <w:tr w:rsidR="00BC24A8" w14:paraId="6401C897" w14:textId="77777777">
        <w:trPr>
          <w:trHeight w:val="333"/>
        </w:trPr>
        <w:tc>
          <w:tcPr>
            <w:tcW w:w="3048" w:type="dxa"/>
            <w:tcBorders>
              <w:top w:val="single" w:sz="4" w:space="0" w:color="BEBEBE"/>
              <w:bottom w:val="single" w:sz="4" w:space="0" w:color="BEBEBE"/>
            </w:tcBorders>
          </w:tcPr>
          <w:p w14:paraId="39F11E92" w14:textId="77777777" w:rsidR="00BC24A8" w:rsidRDefault="00000000">
            <w:pPr>
              <w:pStyle w:val="TableParagraph"/>
              <w:spacing w:before="59"/>
              <w:ind w:left="115"/>
              <w:rPr>
                <w:sz w:val="18"/>
              </w:rPr>
            </w:pPr>
            <w:r>
              <w:rPr>
                <w:sz w:val="18"/>
              </w:rPr>
              <w:t xml:space="preserve">TKD (Fiscal </w:t>
            </w:r>
            <w:r>
              <w:rPr>
                <w:spacing w:val="-2"/>
                <w:sz w:val="18"/>
              </w:rPr>
              <w:t>Transfer)</w:t>
            </w:r>
          </w:p>
        </w:tc>
        <w:tc>
          <w:tcPr>
            <w:tcW w:w="2808" w:type="dxa"/>
            <w:tcBorders>
              <w:top w:val="single" w:sz="4" w:space="0" w:color="BEBEBE"/>
              <w:bottom w:val="single" w:sz="4" w:space="0" w:color="BEBEBE"/>
            </w:tcBorders>
          </w:tcPr>
          <w:p w14:paraId="722E9B68" w14:textId="77777777" w:rsidR="00BC24A8" w:rsidRDefault="00000000">
            <w:pPr>
              <w:pStyle w:val="TableParagraph"/>
              <w:tabs>
                <w:tab w:val="left" w:pos="1341"/>
              </w:tabs>
              <w:spacing w:before="59"/>
              <w:ind w:left="307"/>
              <w:rPr>
                <w:sz w:val="18"/>
              </w:rPr>
            </w:pPr>
            <w:r>
              <w:rPr>
                <w:spacing w:val="-5"/>
                <w:sz w:val="18"/>
              </w:rPr>
              <w:t>IDR</w:t>
            </w:r>
            <w:r>
              <w:rPr>
                <w:sz w:val="18"/>
              </w:rPr>
              <w:tab/>
            </w:r>
            <w:r>
              <w:rPr>
                <w:spacing w:val="-2"/>
                <w:sz w:val="18"/>
              </w:rPr>
              <w:t>1,765,220,920,000</w:t>
            </w:r>
          </w:p>
        </w:tc>
        <w:tc>
          <w:tcPr>
            <w:tcW w:w="2795" w:type="dxa"/>
            <w:tcBorders>
              <w:top w:val="single" w:sz="4" w:space="0" w:color="BEBEBE"/>
              <w:bottom w:val="single" w:sz="4" w:space="0" w:color="BEBEBE"/>
            </w:tcBorders>
          </w:tcPr>
          <w:p w14:paraId="010CD2DB" w14:textId="77777777" w:rsidR="00BC24A8" w:rsidRDefault="00000000">
            <w:pPr>
              <w:pStyle w:val="TableParagraph"/>
              <w:tabs>
                <w:tab w:val="left" w:pos="1327"/>
              </w:tabs>
              <w:spacing w:before="59"/>
              <w:ind w:left="108"/>
              <w:rPr>
                <w:sz w:val="18"/>
              </w:rPr>
            </w:pPr>
            <w:r>
              <w:rPr>
                <w:spacing w:val="-5"/>
                <w:sz w:val="18"/>
              </w:rPr>
              <w:t>IDR</w:t>
            </w:r>
            <w:r>
              <w:rPr>
                <w:sz w:val="18"/>
              </w:rPr>
              <w:tab/>
            </w:r>
            <w:r>
              <w:rPr>
                <w:spacing w:val="-2"/>
                <w:sz w:val="18"/>
              </w:rPr>
              <w:t>1,508,019,827,000</w:t>
            </w:r>
          </w:p>
        </w:tc>
      </w:tr>
      <w:tr w:rsidR="00BC24A8" w14:paraId="6BC7E395" w14:textId="77777777">
        <w:trPr>
          <w:trHeight w:val="335"/>
        </w:trPr>
        <w:tc>
          <w:tcPr>
            <w:tcW w:w="3048" w:type="dxa"/>
            <w:tcBorders>
              <w:top w:val="single" w:sz="4" w:space="0" w:color="BEBEBE"/>
              <w:bottom w:val="single" w:sz="4" w:space="0" w:color="BEBEBE"/>
            </w:tcBorders>
          </w:tcPr>
          <w:p w14:paraId="33792911" w14:textId="77777777" w:rsidR="00BC24A8" w:rsidRDefault="00000000">
            <w:pPr>
              <w:pStyle w:val="TableParagraph"/>
              <w:spacing w:before="59"/>
              <w:ind w:left="115"/>
              <w:rPr>
                <w:sz w:val="18"/>
              </w:rPr>
            </w:pPr>
            <w:r>
              <w:rPr>
                <w:sz w:val="18"/>
              </w:rPr>
              <w:t>Other</w:t>
            </w:r>
            <w:r>
              <w:rPr>
                <w:spacing w:val="-3"/>
                <w:sz w:val="18"/>
              </w:rPr>
              <w:t xml:space="preserve"> </w:t>
            </w:r>
            <w:r>
              <w:rPr>
                <w:sz w:val="18"/>
              </w:rPr>
              <w:t>Legitimate</w:t>
            </w:r>
            <w:r>
              <w:rPr>
                <w:spacing w:val="-4"/>
                <w:sz w:val="18"/>
              </w:rPr>
              <w:t xml:space="preserve"> </w:t>
            </w:r>
            <w:r>
              <w:rPr>
                <w:sz w:val="18"/>
              </w:rPr>
              <w:t>Regional</w:t>
            </w:r>
            <w:r>
              <w:rPr>
                <w:spacing w:val="-2"/>
                <w:sz w:val="18"/>
              </w:rPr>
              <w:t xml:space="preserve"> Revenues</w:t>
            </w:r>
          </w:p>
        </w:tc>
        <w:tc>
          <w:tcPr>
            <w:tcW w:w="2808" w:type="dxa"/>
            <w:tcBorders>
              <w:top w:val="single" w:sz="4" w:space="0" w:color="BEBEBE"/>
              <w:bottom w:val="single" w:sz="4" w:space="0" w:color="BEBEBE"/>
            </w:tcBorders>
          </w:tcPr>
          <w:p w14:paraId="4A2938CF" w14:textId="77777777" w:rsidR="00BC24A8" w:rsidRDefault="00000000">
            <w:pPr>
              <w:pStyle w:val="TableParagraph"/>
              <w:tabs>
                <w:tab w:val="left" w:pos="1567"/>
              </w:tabs>
              <w:spacing w:before="59"/>
              <w:ind w:left="307"/>
              <w:rPr>
                <w:sz w:val="18"/>
              </w:rPr>
            </w:pPr>
            <w:r>
              <w:rPr>
                <w:spacing w:val="-5"/>
                <w:sz w:val="18"/>
              </w:rPr>
              <w:t>IDR</w:t>
            </w:r>
            <w:r>
              <w:rPr>
                <w:sz w:val="18"/>
              </w:rPr>
              <w:tab/>
            </w:r>
            <w:r>
              <w:rPr>
                <w:spacing w:val="-2"/>
                <w:sz w:val="18"/>
              </w:rPr>
              <w:t>30,000,000,000</w:t>
            </w:r>
          </w:p>
        </w:tc>
        <w:tc>
          <w:tcPr>
            <w:tcW w:w="2795" w:type="dxa"/>
            <w:tcBorders>
              <w:top w:val="single" w:sz="4" w:space="0" w:color="BEBEBE"/>
              <w:bottom w:val="single" w:sz="4" w:space="0" w:color="BEBEBE"/>
            </w:tcBorders>
          </w:tcPr>
          <w:p w14:paraId="2A75298E" w14:textId="77777777" w:rsidR="00BC24A8" w:rsidRDefault="00000000">
            <w:pPr>
              <w:pStyle w:val="TableParagraph"/>
              <w:spacing w:before="59"/>
              <w:ind w:left="108"/>
              <w:rPr>
                <w:sz w:val="18"/>
              </w:rPr>
            </w:pPr>
            <w:r>
              <w:rPr>
                <w:spacing w:val="-10"/>
                <w:sz w:val="18"/>
              </w:rPr>
              <w:t>-</w:t>
            </w:r>
          </w:p>
        </w:tc>
      </w:tr>
      <w:tr w:rsidR="00BC24A8" w14:paraId="39797FDD" w14:textId="77777777">
        <w:trPr>
          <w:trHeight w:val="400"/>
        </w:trPr>
        <w:tc>
          <w:tcPr>
            <w:tcW w:w="3048" w:type="dxa"/>
            <w:tcBorders>
              <w:top w:val="single" w:sz="4" w:space="0" w:color="BEBEBE"/>
              <w:bottom w:val="single" w:sz="4" w:space="0" w:color="BEBEBE"/>
            </w:tcBorders>
          </w:tcPr>
          <w:p w14:paraId="6E72B167" w14:textId="77777777" w:rsidR="00BC24A8" w:rsidRDefault="00000000">
            <w:pPr>
              <w:pStyle w:val="TableParagraph"/>
              <w:spacing w:before="56"/>
              <w:ind w:left="115"/>
              <w:rPr>
                <w:sz w:val="18"/>
              </w:rPr>
            </w:pPr>
            <w:r>
              <w:rPr>
                <w:sz w:val="18"/>
              </w:rPr>
              <w:t>Total</w:t>
            </w:r>
            <w:r>
              <w:rPr>
                <w:spacing w:val="-4"/>
                <w:sz w:val="18"/>
              </w:rPr>
              <w:t xml:space="preserve"> </w:t>
            </w:r>
            <w:r>
              <w:rPr>
                <w:spacing w:val="-2"/>
                <w:sz w:val="18"/>
              </w:rPr>
              <w:t>Expenditure</w:t>
            </w:r>
          </w:p>
        </w:tc>
        <w:tc>
          <w:tcPr>
            <w:tcW w:w="2808" w:type="dxa"/>
            <w:tcBorders>
              <w:top w:val="single" w:sz="4" w:space="0" w:color="BEBEBE"/>
              <w:bottom w:val="single" w:sz="4" w:space="0" w:color="BEBEBE"/>
            </w:tcBorders>
          </w:tcPr>
          <w:p w14:paraId="410CBA5F" w14:textId="77777777" w:rsidR="00BC24A8" w:rsidRDefault="00000000">
            <w:pPr>
              <w:pStyle w:val="TableParagraph"/>
              <w:tabs>
                <w:tab w:val="left" w:pos="1341"/>
              </w:tabs>
              <w:spacing w:before="56"/>
              <w:ind w:left="307"/>
              <w:rPr>
                <w:sz w:val="18"/>
              </w:rPr>
            </w:pPr>
            <w:r>
              <w:rPr>
                <w:spacing w:val="-5"/>
                <w:sz w:val="18"/>
              </w:rPr>
              <w:t>IDR</w:t>
            </w:r>
            <w:r>
              <w:rPr>
                <w:sz w:val="18"/>
              </w:rPr>
              <w:tab/>
            </w:r>
            <w:r>
              <w:rPr>
                <w:spacing w:val="-2"/>
                <w:sz w:val="18"/>
              </w:rPr>
              <w:t>1,996,730,598,807</w:t>
            </w:r>
          </w:p>
        </w:tc>
        <w:tc>
          <w:tcPr>
            <w:tcW w:w="2795" w:type="dxa"/>
            <w:tcBorders>
              <w:top w:val="single" w:sz="4" w:space="0" w:color="BEBEBE"/>
              <w:bottom w:val="single" w:sz="4" w:space="0" w:color="BEBEBE"/>
            </w:tcBorders>
          </w:tcPr>
          <w:p w14:paraId="2056B564" w14:textId="77777777" w:rsidR="00BC24A8" w:rsidRDefault="00000000">
            <w:pPr>
              <w:pStyle w:val="TableParagraph"/>
              <w:tabs>
                <w:tab w:val="left" w:pos="1327"/>
              </w:tabs>
              <w:spacing w:before="56"/>
              <w:ind w:left="108"/>
              <w:rPr>
                <w:sz w:val="18"/>
              </w:rPr>
            </w:pPr>
            <w:r>
              <w:rPr>
                <w:spacing w:val="-5"/>
                <w:sz w:val="18"/>
              </w:rPr>
              <w:t>IDR</w:t>
            </w:r>
            <w:r>
              <w:rPr>
                <w:sz w:val="18"/>
              </w:rPr>
              <w:tab/>
            </w:r>
            <w:r>
              <w:rPr>
                <w:spacing w:val="-2"/>
                <w:sz w:val="18"/>
              </w:rPr>
              <w:t>1,722,942,015,206</w:t>
            </w:r>
          </w:p>
        </w:tc>
      </w:tr>
      <w:tr w:rsidR="00BC24A8" w14:paraId="6DE5620B" w14:textId="77777777">
        <w:trPr>
          <w:trHeight w:val="335"/>
        </w:trPr>
        <w:tc>
          <w:tcPr>
            <w:tcW w:w="3048" w:type="dxa"/>
            <w:tcBorders>
              <w:top w:val="single" w:sz="4" w:space="0" w:color="BEBEBE"/>
              <w:bottom w:val="single" w:sz="4" w:space="0" w:color="BEBEBE"/>
            </w:tcBorders>
          </w:tcPr>
          <w:p w14:paraId="052B2684" w14:textId="77777777" w:rsidR="00BC24A8" w:rsidRDefault="00000000">
            <w:pPr>
              <w:pStyle w:val="TableParagraph"/>
              <w:spacing w:before="59"/>
              <w:ind w:left="115"/>
              <w:rPr>
                <w:sz w:val="18"/>
              </w:rPr>
            </w:pPr>
            <w:r>
              <w:rPr>
                <w:sz w:val="18"/>
              </w:rPr>
              <w:t>Operating</w:t>
            </w:r>
            <w:r>
              <w:rPr>
                <w:spacing w:val="-3"/>
                <w:sz w:val="18"/>
              </w:rPr>
              <w:t xml:space="preserve"> </w:t>
            </w:r>
            <w:r>
              <w:rPr>
                <w:spacing w:val="-2"/>
                <w:sz w:val="18"/>
              </w:rPr>
              <w:t>Expenditure</w:t>
            </w:r>
          </w:p>
        </w:tc>
        <w:tc>
          <w:tcPr>
            <w:tcW w:w="2808" w:type="dxa"/>
            <w:tcBorders>
              <w:top w:val="single" w:sz="4" w:space="0" w:color="BEBEBE"/>
              <w:bottom w:val="single" w:sz="4" w:space="0" w:color="BEBEBE"/>
            </w:tcBorders>
          </w:tcPr>
          <w:p w14:paraId="637158A3" w14:textId="77777777" w:rsidR="00BC24A8" w:rsidRDefault="00000000">
            <w:pPr>
              <w:pStyle w:val="TableParagraph"/>
              <w:tabs>
                <w:tab w:val="left" w:pos="1341"/>
              </w:tabs>
              <w:spacing w:before="59"/>
              <w:ind w:left="307"/>
              <w:rPr>
                <w:sz w:val="18"/>
              </w:rPr>
            </w:pPr>
            <w:r>
              <w:rPr>
                <w:spacing w:val="-5"/>
                <w:sz w:val="18"/>
              </w:rPr>
              <w:t>IDR</w:t>
            </w:r>
            <w:r>
              <w:rPr>
                <w:sz w:val="18"/>
              </w:rPr>
              <w:tab/>
            </w:r>
            <w:r>
              <w:rPr>
                <w:spacing w:val="-2"/>
                <w:sz w:val="18"/>
              </w:rPr>
              <w:t>1,165,235,175,133</w:t>
            </w:r>
          </w:p>
        </w:tc>
        <w:tc>
          <w:tcPr>
            <w:tcW w:w="2795" w:type="dxa"/>
            <w:tcBorders>
              <w:top w:val="single" w:sz="4" w:space="0" w:color="BEBEBE"/>
              <w:bottom w:val="single" w:sz="4" w:space="0" w:color="BEBEBE"/>
            </w:tcBorders>
          </w:tcPr>
          <w:p w14:paraId="0E625862" w14:textId="77777777" w:rsidR="00BC24A8" w:rsidRDefault="00000000">
            <w:pPr>
              <w:pStyle w:val="TableParagraph"/>
              <w:tabs>
                <w:tab w:val="left" w:pos="1327"/>
              </w:tabs>
              <w:spacing w:before="59"/>
              <w:ind w:left="108"/>
              <w:rPr>
                <w:sz w:val="18"/>
              </w:rPr>
            </w:pPr>
            <w:r>
              <w:rPr>
                <w:spacing w:val="-5"/>
                <w:sz w:val="18"/>
              </w:rPr>
              <w:t>IDR</w:t>
            </w:r>
            <w:r>
              <w:rPr>
                <w:sz w:val="18"/>
              </w:rPr>
              <w:tab/>
            </w:r>
            <w:r>
              <w:rPr>
                <w:spacing w:val="-2"/>
                <w:sz w:val="18"/>
              </w:rPr>
              <w:t>1,108,103,032,356</w:t>
            </w:r>
          </w:p>
        </w:tc>
      </w:tr>
      <w:tr w:rsidR="00BC24A8" w14:paraId="436D5D3C" w14:textId="77777777">
        <w:trPr>
          <w:trHeight w:val="333"/>
        </w:trPr>
        <w:tc>
          <w:tcPr>
            <w:tcW w:w="3048" w:type="dxa"/>
            <w:tcBorders>
              <w:top w:val="single" w:sz="4" w:space="0" w:color="BEBEBE"/>
              <w:bottom w:val="single" w:sz="4" w:space="0" w:color="BEBEBE"/>
            </w:tcBorders>
          </w:tcPr>
          <w:p w14:paraId="13EF33EA" w14:textId="77777777" w:rsidR="00BC24A8" w:rsidRDefault="00000000">
            <w:pPr>
              <w:pStyle w:val="TableParagraph"/>
              <w:spacing w:before="56"/>
              <w:ind w:left="115"/>
              <w:rPr>
                <w:sz w:val="18"/>
              </w:rPr>
            </w:pPr>
            <w:r>
              <w:rPr>
                <w:sz w:val="18"/>
              </w:rPr>
              <w:t>Capital</w:t>
            </w:r>
            <w:r>
              <w:rPr>
                <w:spacing w:val="-3"/>
                <w:sz w:val="18"/>
              </w:rPr>
              <w:t xml:space="preserve"> </w:t>
            </w:r>
            <w:r>
              <w:rPr>
                <w:spacing w:val="-2"/>
                <w:sz w:val="18"/>
              </w:rPr>
              <w:t>Expenditure</w:t>
            </w:r>
          </w:p>
        </w:tc>
        <w:tc>
          <w:tcPr>
            <w:tcW w:w="2808" w:type="dxa"/>
            <w:tcBorders>
              <w:top w:val="single" w:sz="4" w:space="0" w:color="BEBEBE"/>
              <w:bottom w:val="single" w:sz="4" w:space="0" w:color="BEBEBE"/>
            </w:tcBorders>
          </w:tcPr>
          <w:p w14:paraId="5AA74B7B" w14:textId="77777777" w:rsidR="00BC24A8" w:rsidRDefault="00000000">
            <w:pPr>
              <w:pStyle w:val="TableParagraph"/>
              <w:tabs>
                <w:tab w:val="left" w:pos="1475"/>
              </w:tabs>
              <w:spacing w:before="56"/>
              <w:ind w:left="307"/>
              <w:rPr>
                <w:sz w:val="18"/>
              </w:rPr>
            </w:pPr>
            <w:r>
              <w:rPr>
                <w:spacing w:val="-5"/>
                <w:sz w:val="18"/>
              </w:rPr>
              <w:t>IDR</w:t>
            </w:r>
            <w:r>
              <w:rPr>
                <w:sz w:val="18"/>
              </w:rPr>
              <w:tab/>
            </w:r>
            <w:r>
              <w:rPr>
                <w:spacing w:val="-2"/>
                <w:sz w:val="18"/>
              </w:rPr>
              <w:t>561,912,913,022</w:t>
            </w:r>
          </w:p>
        </w:tc>
        <w:tc>
          <w:tcPr>
            <w:tcW w:w="2795" w:type="dxa"/>
            <w:tcBorders>
              <w:top w:val="single" w:sz="4" w:space="0" w:color="BEBEBE"/>
              <w:bottom w:val="single" w:sz="4" w:space="0" w:color="BEBEBE"/>
            </w:tcBorders>
          </w:tcPr>
          <w:p w14:paraId="5F07A5B8" w14:textId="77777777" w:rsidR="00BC24A8" w:rsidRDefault="00000000">
            <w:pPr>
              <w:pStyle w:val="TableParagraph"/>
              <w:tabs>
                <w:tab w:val="left" w:pos="1461"/>
              </w:tabs>
              <w:spacing w:before="56"/>
              <w:ind w:left="148"/>
              <w:rPr>
                <w:sz w:val="18"/>
              </w:rPr>
            </w:pPr>
            <w:r>
              <w:rPr>
                <w:spacing w:val="-5"/>
                <w:sz w:val="18"/>
              </w:rPr>
              <w:t>IDR</w:t>
            </w:r>
            <w:r>
              <w:rPr>
                <w:sz w:val="18"/>
              </w:rPr>
              <w:tab/>
            </w:r>
            <w:r>
              <w:rPr>
                <w:spacing w:val="-2"/>
                <w:sz w:val="18"/>
              </w:rPr>
              <w:t>367,609,308,881</w:t>
            </w:r>
          </w:p>
        </w:tc>
      </w:tr>
      <w:tr w:rsidR="00BC24A8" w14:paraId="7AEA275A" w14:textId="77777777">
        <w:trPr>
          <w:trHeight w:val="333"/>
        </w:trPr>
        <w:tc>
          <w:tcPr>
            <w:tcW w:w="3048" w:type="dxa"/>
            <w:tcBorders>
              <w:top w:val="single" w:sz="4" w:space="0" w:color="BEBEBE"/>
              <w:bottom w:val="single" w:sz="4" w:space="0" w:color="BEBEBE"/>
            </w:tcBorders>
          </w:tcPr>
          <w:p w14:paraId="559E9505" w14:textId="77777777" w:rsidR="00BC24A8" w:rsidRDefault="00000000">
            <w:pPr>
              <w:pStyle w:val="TableParagraph"/>
              <w:spacing w:before="56"/>
              <w:ind w:left="115"/>
              <w:rPr>
                <w:sz w:val="18"/>
              </w:rPr>
            </w:pPr>
            <w:r>
              <w:rPr>
                <w:sz w:val="18"/>
              </w:rPr>
              <w:t>Contingency</w:t>
            </w:r>
            <w:r>
              <w:rPr>
                <w:spacing w:val="-3"/>
                <w:sz w:val="18"/>
              </w:rPr>
              <w:t xml:space="preserve"> </w:t>
            </w:r>
            <w:r>
              <w:rPr>
                <w:spacing w:val="-2"/>
                <w:sz w:val="18"/>
              </w:rPr>
              <w:t>Expenditure</w:t>
            </w:r>
          </w:p>
        </w:tc>
        <w:tc>
          <w:tcPr>
            <w:tcW w:w="2808" w:type="dxa"/>
            <w:tcBorders>
              <w:top w:val="single" w:sz="4" w:space="0" w:color="BEBEBE"/>
              <w:bottom w:val="single" w:sz="4" w:space="0" w:color="BEBEBE"/>
            </w:tcBorders>
          </w:tcPr>
          <w:p w14:paraId="3FC7D2EF" w14:textId="77777777" w:rsidR="00BC24A8" w:rsidRDefault="00000000">
            <w:pPr>
              <w:pStyle w:val="TableParagraph"/>
              <w:tabs>
                <w:tab w:val="left" w:pos="1564"/>
              </w:tabs>
              <w:spacing w:before="56"/>
              <w:ind w:left="307"/>
              <w:rPr>
                <w:sz w:val="18"/>
              </w:rPr>
            </w:pPr>
            <w:r>
              <w:rPr>
                <w:spacing w:val="-5"/>
                <w:sz w:val="18"/>
              </w:rPr>
              <w:t>IDR</w:t>
            </w:r>
            <w:r>
              <w:rPr>
                <w:sz w:val="18"/>
              </w:rPr>
              <w:tab/>
            </w:r>
            <w:r>
              <w:rPr>
                <w:spacing w:val="-2"/>
                <w:sz w:val="18"/>
              </w:rPr>
              <w:t>6,453,431,986</w:t>
            </w:r>
          </w:p>
        </w:tc>
        <w:tc>
          <w:tcPr>
            <w:tcW w:w="2795" w:type="dxa"/>
            <w:tcBorders>
              <w:top w:val="single" w:sz="4" w:space="0" w:color="BEBEBE"/>
              <w:bottom w:val="single" w:sz="4" w:space="0" w:color="BEBEBE"/>
            </w:tcBorders>
          </w:tcPr>
          <w:p w14:paraId="6FF3E6CD" w14:textId="77777777" w:rsidR="00BC24A8" w:rsidRDefault="00000000">
            <w:pPr>
              <w:pStyle w:val="TableParagraph"/>
              <w:tabs>
                <w:tab w:val="left" w:pos="1591"/>
              </w:tabs>
              <w:spacing w:before="56"/>
              <w:ind w:left="108"/>
              <w:rPr>
                <w:sz w:val="18"/>
              </w:rPr>
            </w:pPr>
            <w:r>
              <w:rPr>
                <w:spacing w:val="-5"/>
                <w:sz w:val="18"/>
              </w:rPr>
              <w:t>IDR</w:t>
            </w:r>
            <w:r>
              <w:rPr>
                <w:sz w:val="18"/>
              </w:rPr>
              <w:tab/>
            </w:r>
            <w:r>
              <w:rPr>
                <w:spacing w:val="-2"/>
                <w:sz w:val="18"/>
              </w:rPr>
              <w:t>8,420,790,956</w:t>
            </w:r>
          </w:p>
        </w:tc>
      </w:tr>
      <w:tr w:rsidR="00BC24A8" w14:paraId="3F1AAECA" w14:textId="77777777">
        <w:trPr>
          <w:trHeight w:val="333"/>
        </w:trPr>
        <w:tc>
          <w:tcPr>
            <w:tcW w:w="3048" w:type="dxa"/>
            <w:tcBorders>
              <w:top w:val="single" w:sz="4" w:space="0" w:color="BEBEBE"/>
              <w:bottom w:val="single" w:sz="4" w:space="0" w:color="BEBEBE"/>
            </w:tcBorders>
          </w:tcPr>
          <w:p w14:paraId="03F4A2A8" w14:textId="77777777" w:rsidR="00BC24A8" w:rsidRDefault="00000000">
            <w:pPr>
              <w:pStyle w:val="TableParagraph"/>
              <w:spacing w:before="56"/>
              <w:ind w:left="115"/>
              <w:rPr>
                <w:sz w:val="18"/>
              </w:rPr>
            </w:pPr>
            <w:r>
              <w:rPr>
                <w:sz w:val="18"/>
              </w:rPr>
              <w:t>Transfer</w:t>
            </w:r>
            <w:r>
              <w:rPr>
                <w:spacing w:val="-6"/>
                <w:sz w:val="18"/>
              </w:rPr>
              <w:t xml:space="preserve"> </w:t>
            </w:r>
            <w:r>
              <w:rPr>
                <w:spacing w:val="-2"/>
                <w:sz w:val="18"/>
              </w:rPr>
              <w:t>Expenditure</w:t>
            </w:r>
          </w:p>
        </w:tc>
        <w:tc>
          <w:tcPr>
            <w:tcW w:w="2808" w:type="dxa"/>
            <w:tcBorders>
              <w:top w:val="single" w:sz="4" w:space="0" w:color="BEBEBE"/>
              <w:bottom w:val="single" w:sz="4" w:space="0" w:color="BEBEBE"/>
            </w:tcBorders>
          </w:tcPr>
          <w:p w14:paraId="5B10BD5A" w14:textId="77777777" w:rsidR="00BC24A8" w:rsidRDefault="00000000">
            <w:pPr>
              <w:pStyle w:val="TableParagraph"/>
              <w:tabs>
                <w:tab w:val="left" w:pos="1454"/>
              </w:tabs>
              <w:spacing w:before="56"/>
              <w:ind w:left="307"/>
              <w:rPr>
                <w:sz w:val="18"/>
              </w:rPr>
            </w:pPr>
            <w:r>
              <w:rPr>
                <w:spacing w:val="-5"/>
                <w:sz w:val="18"/>
              </w:rPr>
              <w:t>IDR</w:t>
            </w:r>
            <w:r>
              <w:rPr>
                <w:sz w:val="18"/>
              </w:rPr>
              <w:tab/>
            </w:r>
            <w:r>
              <w:rPr>
                <w:spacing w:val="-2"/>
                <w:sz w:val="18"/>
              </w:rPr>
              <w:t>263,129,078,666</w:t>
            </w:r>
          </w:p>
        </w:tc>
        <w:tc>
          <w:tcPr>
            <w:tcW w:w="2795" w:type="dxa"/>
            <w:tcBorders>
              <w:top w:val="single" w:sz="4" w:space="0" w:color="BEBEBE"/>
              <w:bottom w:val="single" w:sz="4" w:space="0" w:color="BEBEBE"/>
            </w:tcBorders>
          </w:tcPr>
          <w:p w14:paraId="2C3D19FC" w14:textId="77777777" w:rsidR="00BC24A8" w:rsidRDefault="00000000">
            <w:pPr>
              <w:pStyle w:val="TableParagraph"/>
              <w:tabs>
                <w:tab w:val="left" w:pos="1461"/>
              </w:tabs>
              <w:spacing w:before="56"/>
              <w:ind w:left="108"/>
              <w:rPr>
                <w:sz w:val="18"/>
              </w:rPr>
            </w:pPr>
            <w:r>
              <w:rPr>
                <w:spacing w:val="-5"/>
                <w:sz w:val="18"/>
              </w:rPr>
              <w:t>IDR</w:t>
            </w:r>
            <w:r>
              <w:rPr>
                <w:sz w:val="18"/>
              </w:rPr>
              <w:tab/>
            </w:r>
            <w:r>
              <w:rPr>
                <w:spacing w:val="-2"/>
                <w:sz w:val="18"/>
              </w:rPr>
              <w:t>238,808,883,013</w:t>
            </w:r>
          </w:p>
        </w:tc>
      </w:tr>
      <w:tr w:rsidR="00BC24A8" w14:paraId="6AA044C1" w14:textId="77777777">
        <w:trPr>
          <w:trHeight w:val="402"/>
        </w:trPr>
        <w:tc>
          <w:tcPr>
            <w:tcW w:w="3048" w:type="dxa"/>
            <w:tcBorders>
              <w:top w:val="single" w:sz="4" w:space="0" w:color="BEBEBE"/>
              <w:bottom w:val="single" w:sz="4" w:space="0" w:color="BEBEBE"/>
            </w:tcBorders>
          </w:tcPr>
          <w:p w14:paraId="7DB057D7" w14:textId="77777777" w:rsidR="00BC24A8" w:rsidRDefault="00000000">
            <w:pPr>
              <w:pStyle w:val="TableParagraph"/>
              <w:spacing w:before="59"/>
              <w:ind w:left="115"/>
              <w:rPr>
                <w:sz w:val="18"/>
              </w:rPr>
            </w:pPr>
            <w:r>
              <w:rPr>
                <w:sz w:val="18"/>
              </w:rPr>
              <w:t>Regional</w:t>
            </w:r>
            <w:r>
              <w:rPr>
                <w:spacing w:val="-2"/>
                <w:sz w:val="18"/>
              </w:rPr>
              <w:t xml:space="preserve"> Financing</w:t>
            </w:r>
          </w:p>
        </w:tc>
        <w:tc>
          <w:tcPr>
            <w:tcW w:w="2808" w:type="dxa"/>
            <w:tcBorders>
              <w:top w:val="single" w:sz="4" w:space="0" w:color="BEBEBE"/>
              <w:bottom w:val="single" w:sz="4" w:space="0" w:color="BEBEBE"/>
            </w:tcBorders>
          </w:tcPr>
          <w:p w14:paraId="7126D8DA" w14:textId="77777777" w:rsidR="00BC24A8" w:rsidRDefault="00000000">
            <w:pPr>
              <w:pStyle w:val="TableParagraph"/>
              <w:tabs>
                <w:tab w:val="left" w:pos="1499"/>
              </w:tabs>
              <w:spacing w:before="59"/>
              <w:ind w:left="307"/>
              <w:rPr>
                <w:sz w:val="18"/>
              </w:rPr>
            </w:pPr>
            <w:r>
              <w:rPr>
                <w:spacing w:val="-5"/>
                <w:sz w:val="18"/>
              </w:rPr>
              <w:t>IDR</w:t>
            </w:r>
            <w:r>
              <w:rPr>
                <w:sz w:val="18"/>
              </w:rPr>
              <w:tab/>
            </w:r>
            <w:r>
              <w:rPr>
                <w:spacing w:val="-2"/>
                <w:sz w:val="18"/>
              </w:rPr>
              <w:t>44,675,390,390</w:t>
            </w:r>
          </w:p>
        </w:tc>
        <w:tc>
          <w:tcPr>
            <w:tcW w:w="2795" w:type="dxa"/>
            <w:tcBorders>
              <w:top w:val="single" w:sz="4" w:space="0" w:color="BEBEBE"/>
              <w:bottom w:val="single" w:sz="4" w:space="0" w:color="BEBEBE"/>
            </w:tcBorders>
          </w:tcPr>
          <w:p w14:paraId="7A5A05DF" w14:textId="77777777" w:rsidR="00BC24A8" w:rsidRDefault="00000000">
            <w:pPr>
              <w:pStyle w:val="TableParagraph"/>
              <w:tabs>
                <w:tab w:val="left" w:pos="1591"/>
              </w:tabs>
              <w:spacing w:before="59"/>
              <w:ind w:left="108"/>
              <w:rPr>
                <w:sz w:val="18"/>
              </w:rPr>
            </w:pPr>
            <w:r>
              <w:rPr>
                <w:spacing w:val="-5"/>
                <w:sz w:val="18"/>
              </w:rPr>
              <w:t>IDR</w:t>
            </w:r>
            <w:r>
              <w:rPr>
                <w:sz w:val="18"/>
              </w:rPr>
              <w:tab/>
            </w:r>
            <w:r>
              <w:rPr>
                <w:spacing w:val="-2"/>
                <w:sz w:val="18"/>
              </w:rPr>
              <w:t>8,576,375,845</w:t>
            </w:r>
          </w:p>
        </w:tc>
      </w:tr>
      <w:tr w:rsidR="00BC24A8" w14:paraId="66ABD0F1" w14:textId="77777777">
        <w:trPr>
          <w:trHeight w:val="333"/>
        </w:trPr>
        <w:tc>
          <w:tcPr>
            <w:tcW w:w="3048" w:type="dxa"/>
            <w:tcBorders>
              <w:top w:val="single" w:sz="4" w:space="0" w:color="BEBEBE"/>
              <w:bottom w:val="single" w:sz="4" w:space="0" w:color="BEBEBE"/>
            </w:tcBorders>
          </w:tcPr>
          <w:p w14:paraId="217A8CFC" w14:textId="77777777" w:rsidR="00BC24A8" w:rsidRDefault="00000000">
            <w:pPr>
              <w:pStyle w:val="TableParagraph"/>
              <w:spacing w:before="56"/>
              <w:ind w:left="115"/>
              <w:rPr>
                <w:sz w:val="18"/>
              </w:rPr>
            </w:pPr>
            <w:r>
              <w:rPr>
                <w:sz w:val="18"/>
              </w:rPr>
              <w:t>Financing</w:t>
            </w:r>
            <w:r>
              <w:rPr>
                <w:spacing w:val="1"/>
                <w:sz w:val="18"/>
              </w:rPr>
              <w:t xml:space="preserve"> </w:t>
            </w:r>
            <w:r>
              <w:rPr>
                <w:spacing w:val="-2"/>
                <w:sz w:val="18"/>
              </w:rPr>
              <w:t>Receipts</w:t>
            </w:r>
          </w:p>
        </w:tc>
        <w:tc>
          <w:tcPr>
            <w:tcW w:w="2808" w:type="dxa"/>
            <w:tcBorders>
              <w:top w:val="single" w:sz="4" w:space="0" w:color="BEBEBE"/>
              <w:bottom w:val="single" w:sz="4" w:space="0" w:color="BEBEBE"/>
            </w:tcBorders>
          </w:tcPr>
          <w:p w14:paraId="757F7676" w14:textId="77777777" w:rsidR="00BC24A8" w:rsidRDefault="00000000">
            <w:pPr>
              <w:pStyle w:val="TableParagraph"/>
              <w:tabs>
                <w:tab w:val="left" w:pos="1559"/>
              </w:tabs>
              <w:spacing w:before="56"/>
              <w:ind w:left="307"/>
              <w:rPr>
                <w:sz w:val="18"/>
              </w:rPr>
            </w:pPr>
            <w:r>
              <w:rPr>
                <w:spacing w:val="-5"/>
                <w:sz w:val="18"/>
              </w:rPr>
              <w:t>IDR</w:t>
            </w:r>
            <w:r>
              <w:rPr>
                <w:sz w:val="18"/>
              </w:rPr>
              <w:tab/>
            </w:r>
            <w:r>
              <w:rPr>
                <w:spacing w:val="-2"/>
                <w:sz w:val="18"/>
              </w:rPr>
              <w:t>44,675,390,390</w:t>
            </w:r>
          </w:p>
        </w:tc>
        <w:tc>
          <w:tcPr>
            <w:tcW w:w="2795" w:type="dxa"/>
            <w:tcBorders>
              <w:top w:val="single" w:sz="4" w:space="0" w:color="BEBEBE"/>
              <w:bottom w:val="single" w:sz="4" w:space="0" w:color="BEBEBE"/>
            </w:tcBorders>
          </w:tcPr>
          <w:p w14:paraId="35F081AE" w14:textId="77777777" w:rsidR="00BC24A8" w:rsidRDefault="00000000">
            <w:pPr>
              <w:pStyle w:val="TableParagraph"/>
              <w:tabs>
                <w:tab w:val="left" w:pos="1591"/>
              </w:tabs>
              <w:spacing w:before="56"/>
              <w:ind w:left="108"/>
              <w:rPr>
                <w:sz w:val="18"/>
              </w:rPr>
            </w:pPr>
            <w:r>
              <w:rPr>
                <w:spacing w:val="-5"/>
                <w:sz w:val="18"/>
              </w:rPr>
              <w:t>IDR</w:t>
            </w:r>
            <w:r>
              <w:rPr>
                <w:sz w:val="18"/>
              </w:rPr>
              <w:tab/>
            </w:r>
            <w:r>
              <w:rPr>
                <w:spacing w:val="-2"/>
                <w:sz w:val="18"/>
              </w:rPr>
              <w:t>8,576,375,845</w:t>
            </w:r>
          </w:p>
        </w:tc>
      </w:tr>
    </w:tbl>
    <w:p w14:paraId="687B9A7F" w14:textId="77777777" w:rsidR="00BC24A8" w:rsidRDefault="00000000">
      <w:pPr>
        <w:spacing w:before="127"/>
        <w:ind w:left="143"/>
        <w:rPr>
          <w:sz w:val="16"/>
        </w:rPr>
      </w:pPr>
      <w:r>
        <w:rPr>
          <w:sz w:val="16"/>
        </w:rPr>
        <w:t>Data</w:t>
      </w:r>
      <w:r>
        <w:rPr>
          <w:spacing w:val="-8"/>
          <w:sz w:val="16"/>
        </w:rPr>
        <w:t xml:space="preserve"> </w:t>
      </w:r>
      <w:r>
        <w:rPr>
          <w:i/>
          <w:sz w:val="16"/>
        </w:rPr>
        <w:t>Source:</w:t>
      </w:r>
      <w:r>
        <w:rPr>
          <w:i/>
          <w:spacing w:val="-5"/>
          <w:sz w:val="16"/>
        </w:rPr>
        <w:t xml:space="preserve"> </w:t>
      </w:r>
      <w:hyperlink r:id="rId54">
        <w:r w:rsidR="00BC24A8">
          <w:rPr>
            <w:color w:val="0562C1"/>
            <w:spacing w:val="-2"/>
            <w:sz w:val="16"/>
            <w:u w:val="single" w:color="0562C1"/>
          </w:rPr>
          <w:t>https://djpk.kemenkeu.go.id/</w:t>
        </w:r>
      </w:hyperlink>
    </w:p>
    <w:p w14:paraId="68E2D805" w14:textId="77777777" w:rsidR="00BC24A8" w:rsidRDefault="00BC24A8">
      <w:pPr>
        <w:rPr>
          <w:sz w:val="16"/>
        </w:rPr>
        <w:sectPr w:rsidR="00BC24A8">
          <w:pgSz w:w="11910" w:h="16840"/>
          <w:pgMar w:top="1360" w:right="850" w:bottom="1100" w:left="1275" w:header="0" w:footer="907" w:gutter="0"/>
          <w:cols w:space="720"/>
        </w:sectPr>
      </w:pPr>
    </w:p>
    <w:p w14:paraId="61862882" w14:textId="77777777" w:rsidR="00BC24A8" w:rsidRDefault="00000000">
      <w:pPr>
        <w:pStyle w:val="BodyText"/>
        <w:spacing w:before="39" w:line="278" w:lineRule="auto"/>
        <w:ind w:left="143" w:right="562"/>
        <w:jc w:val="both"/>
      </w:pPr>
      <w:r>
        <w:t>The</w:t>
      </w:r>
      <w:r>
        <w:rPr>
          <w:spacing w:val="-5"/>
        </w:rPr>
        <w:t xml:space="preserve"> </w:t>
      </w:r>
      <w:r>
        <w:t>total</w:t>
      </w:r>
      <w:r>
        <w:rPr>
          <w:spacing w:val="-5"/>
        </w:rPr>
        <w:t xml:space="preserve"> </w:t>
      </w:r>
      <w:r>
        <w:t>revenue</w:t>
      </w:r>
      <w:r>
        <w:rPr>
          <w:spacing w:val="-5"/>
        </w:rPr>
        <w:t xml:space="preserve"> </w:t>
      </w:r>
      <w:r>
        <w:t>of</w:t>
      </w:r>
      <w:r>
        <w:rPr>
          <w:spacing w:val="40"/>
        </w:rPr>
        <w:t xml:space="preserve"> </w:t>
      </w:r>
      <w:r>
        <w:t>Papua</w:t>
      </w:r>
      <w:r>
        <w:rPr>
          <w:spacing w:val="-7"/>
        </w:rPr>
        <w:t xml:space="preserve"> </w:t>
      </w:r>
      <w:r>
        <w:t>Barat</w:t>
      </w:r>
      <w:r>
        <w:rPr>
          <w:spacing w:val="-4"/>
        </w:rPr>
        <w:t xml:space="preserve"> </w:t>
      </w:r>
      <w:r>
        <w:t>Daya</w:t>
      </w:r>
      <w:r>
        <w:rPr>
          <w:spacing w:val="-5"/>
        </w:rPr>
        <w:t xml:space="preserve"> </w:t>
      </w:r>
      <w:r>
        <w:t>decreased</w:t>
      </w:r>
      <w:r>
        <w:rPr>
          <w:spacing w:val="-3"/>
        </w:rPr>
        <w:t xml:space="preserve"> </w:t>
      </w:r>
      <w:r>
        <w:t>from</w:t>
      </w:r>
      <w:r>
        <w:rPr>
          <w:spacing w:val="-6"/>
        </w:rPr>
        <w:t xml:space="preserve"> </w:t>
      </w:r>
      <w:r>
        <w:t>IDR</w:t>
      </w:r>
      <w:r>
        <w:rPr>
          <w:spacing w:val="-4"/>
        </w:rPr>
        <w:t xml:space="preserve"> </w:t>
      </w:r>
      <w:r>
        <w:t>1.952</w:t>
      </w:r>
      <w:r>
        <w:rPr>
          <w:spacing w:val="-3"/>
        </w:rPr>
        <w:t xml:space="preserve"> </w:t>
      </w:r>
      <w:r>
        <w:t>trillion</w:t>
      </w:r>
      <w:r>
        <w:rPr>
          <w:spacing w:val="-3"/>
        </w:rPr>
        <w:t xml:space="preserve"> </w:t>
      </w:r>
      <w:r>
        <w:t>in</w:t>
      </w:r>
      <w:r>
        <w:rPr>
          <w:spacing w:val="-3"/>
        </w:rPr>
        <w:t xml:space="preserve"> </w:t>
      </w:r>
      <w:r>
        <w:t>2024</w:t>
      </w:r>
      <w:r>
        <w:rPr>
          <w:spacing w:val="-3"/>
        </w:rPr>
        <w:t xml:space="preserve"> </w:t>
      </w:r>
      <w:r>
        <w:t>to</w:t>
      </w:r>
      <w:r>
        <w:rPr>
          <w:spacing w:val="-4"/>
        </w:rPr>
        <w:t xml:space="preserve"> </w:t>
      </w:r>
      <w:r>
        <w:t>IDR</w:t>
      </w:r>
      <w:r>
        <w:rPr>
          <w:spacing w:val="-4"/>
        </w:rPr>
        <w:t xml:space="preserve"> </w:t>
      </w:r>
      <w:r>
        <w:t>1.714</w:t>
      </w:r>
      <w:r>
        <w:rPr>
          <w:spacing w:val="-5"/>
        </w:rPr>
        <w:t xml:space="preserve"> </w:t>
      </w:r>
      <w:r>
        <w:t>trillion</w:t>
      </w:r>
      <w:r>
        <w:rPr>
          <w:spacing w:val="-3"/>
        </w:rPr>
        <w:t xml:space="preserve"> </w:t>
      </w:r>
      <w:r>
        <w:t>in 2025</w:t>
      </w:r>
      <w:r>
        <w:rPr>
          <w:spacing w:val="-2"/>
        </w:rPr>
        <w:t xml:space="preserve"> </w:t>
      </w:r>
      <w:r>
        <w:t>due</w:t>
      </w:r>
      <w:r>
        <w:rPr>
          <w:spacing w:val="-4"/>
        </w:rPr>
        <w:t xml:space="preserve"> </w:t>
      </w:r>
      <w:r>
        <w:t>to</w:t>
      </w:r>
      <w:r>
        <w:rPr>
          <w:spacing w:val="-2"/>
        </w:rPr>
        <w:t xml:space="preserve"> </w:t>
      </w:r>
      <w:r>
        <w:t>reduced</w:t>
      </w:r>
      <w:r>
        <w:rPr>
          <w:spacing w:val="-2"/>
        </w:rPr>
        <w:t xml:space="preserve"> </w:t>
      </w:r>
      <w:r>
        <w:t>transfers</w:t>
      </w:r>
      <w:r>
        <w:rPr>
          <w:spacing w:val="-1"/>
        </w:rPr>
        <w:t xml:space="preserve"> </w:t>
      </w:r>
      <w:r>
        <w:t>from</w:t>
      </w:r>
      <w:r>
        <w:rPr>
          <w:spacing w:val="-2"/>
        </w:rPr>
        <w:t xml:space="preserve"> </w:t>
      </w:r>
      <w:r>
        <w:t>the</w:t>
      </w:r>
      <w:r>
        <w:rPr>
          <w:spacing w:val="-4"/>
        </w:rPr>
        <w:t xml:space="preserve"> </w:t>
      </w:r>
      <w:r>
        <w:t>central</w:t>
      </w:r>
      <w:r>
        <w:rPr>
          <w:spacing w:val="-3"/>
        </w:rPr>
        <w:t xml:space="preserve"> </w:t>
      </w:r>
      <w:r>
        <w:t>government.</w:t>
      </w:r>
      <w:r>
        <w:rPr>
          <w:spacing w:val="-1"/>
        </w:rPr>
        <w:t xml:space="preserve"> </w:t>
      </w:r>
      <w:r>
        <w:t>The</w:t>
      </w:r>
      <w:r>
        <w:rPr>
          <w:spacing w:val="-4"/>
        </w:rPr>
        <w:t xml:space="preserve"> </w:t>
      </w:r>
      <w:r>
        <w:t>increase</w:t>
      </w:r>
      <w:r>
        <w:rPr>
          <w:spacing w:val="-4"/>
        </w:rPr>
        <w:t xml:space="preserve"> </w:t>
      </w:r>
      <w:r>
        <w:t>in</w:t>
      </w:r>
      <w:r>
        <w:rPr>
          <w:spacing w:val="-2"/>
        </w:rPr>
        <w:t xml:space="preserve"> </w:t>
      </w:r>
      <w:r>
        <w:t>Regional</w:t>
      </w:r>
      <w:r>
        <w:rPr>
          <w:spacing w:val="-3"/>
        </w:rPr>
        <w:t xml:space="preserve"> </w:t>
      </w:r>
      <w:r>
        <w:t>Revenue</w:t>
      </w:r>
      <w:r>
        <w:rPr>
          <w:spacing w:val="-4"/>
        </w:rPr>
        <w:t xml:space="preserve"> </w:t>
      </w:r>
      <w:r>
        <w:t>has</w:t>
      </w:r>
      <w:r>
        <w:rPr>
          <w:spacing w:val="-4"/>
        </w:rPr>
        <w:t xml:space="preserve"> </w:t>
      </w:r>
      <w:r>
        <w:t xml:space="preserve">not compensated for this decline in transfers, indicating continued fiscal dependence on the central </w:t>
      </w:r>
      <w:r>
        <w:rPr>
          <w:spacing w:val="-2"/>
        </w:rPr>
        <w:t>government.</w:t>
      </w:r>
    </w:p>
    <w:p w14:paraId="72CCE442" w14:textId="77777777" w:rsidR="00BC24A8" w:rsidRDefault="00BC24A8">
      <w:pPr>
        <w:pStyle w:val="BodyText"/>
        <w:spacing w:before="201"/>
      </w:pPr>
    </w:p>
    <w:p w14:paraId="395D9A6F" w14:textId="77777777" w:rsidR="00BC24A8" w:rsidRDefault="00000000">
      <w:pPr>
        <w:ind w:left="143"/>
        <w:rPr>
          <w:rFonts w:ascii="Calibri"/>
          <w:i/>
        </w:rPr>
      </w:pPr>
      <w:r>
        <w:rPr>
          <w:rFonts w:ascii="Calibri"/>
          <w:i/>
          <w:color w:val="272727"/>
        </w:rPr>
        <w:t>Dynamics</w:t>
      </w:r>
      <w:r>
        <w:rPr>
          <w:rFonts w:ascii="Calibri"/>
          <w:i/>
          <w:color w:val="272727"/>
          <w:spacing w:val="-6"/>
        </w:rPr>
        <w:t xml:space="preserve"> </w:t>
      </w:r>
      <w:r>
        <w:rPr>
          <w:rFonts w:ascii="Calibri"/>
          <w:i/>
          <w:color w:val="272727"/>
        </w:rPr>
        <w:t>shaping</w:t>
      </w:r>
      <w:r>
        <w:rPr>
          <w:rFonts w:ascii="Calibri"/>
          <w:i/>
          <w:color w:val="272727"/>
          <w:spacing w:val="-6"/>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6"/>
        </w:rPr>
        <w:t xml:space="preserve"> </w:t>
      </w:r>
      <w:r>
        <w:rPr>
          <w:rFonts w:ascii="Calibri"/>
          <w:i/>
          <w:color w:val="272727"/>
          <w:spacing w:val="-2"/>
        </w:rPr>
        <w:t>implementation</w:t>
      </w:r>
    </w:p>
    <w:p w14:paraId="56FA61E0" w14:textId="77777777" w:rsidR="00BC24A8" w:rsidRDefault="00000000">
      <w:pPr>
        <w:pStyle w:val="BodyText"/>
        <w:spacing w:before="20" w:line="278" w:lineRule="auto"/>
        <w:ind w:left="143" w:right="562"/>
        <w:jc w:val="both"/>
      </w:pPr>
      <w:r>
        <w:t>The</w:t>
      </w:r>
      <w:r>
        <w:rPr>
          <w:spacing w:val="-4"/>
        </w:rPr>
        <w:t xml:space="preserve"> </w:t>
      </w:r>
      <w:r>
        <w:t>definitive</w:t>
      </w:r>
      <w:r>
        <w:rPr>
          <w:spacing w:val="-5"/>
        </w:rPr>
        <w:t xml:space="preserve"> </w:t>
      </w:r>
      <w:r>
        <w:t>Governor</w:t>
      </w:r>
      <w:r>
        <w:rPr>
          <w:spacing w:val="-2"/>
        </w:rPr>
        <w:t xml:space="preserve"> </w:t>
      </w:r>
      <w:r>
        <w:t>of</w:t>
      </w:r>
      <w:r>
        <w:rPr>
          <w:spacing w:val="40"/>
        </w:rPr>
        <w:t xml:space="preserve"> </w:t>
      </w:r>
      <w:r>
        <w:t>Papua</w:t>
      </w:r>
      <w:r>
        <w:rPr>
          <w:spacing w:val="-3"/>
        </w:rPr>
        <w:t xml:space="preserve"> </w:t>
      </w:r>
      <w:r>
        <w:t>Barat</w:t>
      </w:r>
      <w:r>
        <w:rPr>
          <w:spacing w:val="-5"/>
        </w:rPr>
        <w:t xml:space="preserve"> </w:t>
      </w:r>
      <w:r>
        <w:t>Daya</w:t>
      </w:r>
      <w:r>
        <w:rPr>
          <w:spacing w:val="-5"/>
        </w:rPr>
        <w:t xml:space="preserve"> </w:t>
      </w:r>
      <w:r>
        <w:t>was</w:t>
      </w:r>
      <w:r>
        <w:rPr>
          <w:spacing w:val="-4"/>
        </w:rPr>
        <w:t xml:space="preserve"> </w:t>
      </w:r>
      <w:r>
        <w:t>inaugurated</w:t>
      </w:r>
      <w:r>
        <w:rPr>
          <w:spacing w:val="-2"/>
        </w:rPr>
        <w:t xml:space="preserve"> </w:t>
      </w:r>
      <w:r>
        <w:t>on</w:t>
      </w:r>
      <w:r>
        <w:rPr>
          <w:spacing w:val="-4"/>
        </w:rPr>
        <w:t xml:space="preserve"> </w:t>
      </w:r>
      <w:r>
        <w:t>February</w:t>
      </w:r>
      <w:r>
        <w:rPr>
          <w:spacing w:val="-4"/>
        </w:rPr>
        <w:t xml:space="preserve"> </w:t>
      </w:r>
      <w:r>
        <w:t>20,</w:t>
      </w:r>
      <w:r>
        <w:rPr>
          <w:spacing w:val="-4"/>
        </w:rPr>
        <w:t xml:space="preserve"> </w:t>
      </w:r>
      <w:r>
        <w:t>2025,</w:t>
      </w:r>
      <w:r>
        <w:rPr>
          <w:spacing w:val="-1"/>
        </w:rPr>
        <w:t xml:space="preserve"> </w:t>
      </w:r>
      <w:r>
        <w:t>and</w:t>
      </w:r>
      <w:r>
        <w:rPr>
          <w:spacing w:val="-2"/>
        </w:rPr>
        <w:t xml:space="preserve"> </w:t>
      </w:r>
      <w:r>
        <w:t>has</w:t>
      </w:r>
      <w:r>
        <w:rPr>
          <w:spacing w:val="-1"/>
        </w:rPr>
        <w:t xml:space="preserve"> </w:t>
      </w:r>
      <w:r>
        <w:t>gradually replaced heads of provincial agencies, such as the Acting Regional Secretary, the Acting Head of the Population and Civil Registration Office, and Assistant I. Currently, the appointment of permanent provincial agencies heads is still pending, affecting SKALA’s coordination and communication with the provincial government, and posing potential challenges to the continuity of program support.</w:t>
      </w:r>
    </w:p>
    <w:p w14:paraId="5E89A823" w14:textId="77777777" w:rsidR="00BC24A8" w:rsidRDefault="00000000">
      <w:pPr>
        <w:pStyle w:val="BodyText"/>
        <w:spacing w:before="158" w:line="278" w:lineRule="auto"/>
        <w:ind w:left="143" w:right="565"/>
        <w:jc w:val="both"/>
      </w:pPr>
      <w:r>
        <w:t>The national budget</w:t>
      </w:r>
      <w:r>
        <w:rPr>
          <w:spacing w:val="-2"/>
        </w:rPr>
        <w:t xml:space="preserve"> </w:t>
      </w:r>
      <w:r>
        <w:t>efficiency</w:t>
      </w:r>
      <w:r>
        <w:rPr>
          <w:spacing w:val="-1"/>
        </w:rPr>
        <w:t xml:space="preserve"> </w:t>
      </w:r>
      <w:r>
        <w:t>policy, which</w:t>
      </w:r>
      <w:r>
        <w:rPr>
          <w:spacing w:val="-1"/>
        </w:rPr>
        <w:t xml:space="preserve"> </w:t>
      </w:r>
      <w:r>
        <w:t>restricts</w:t>
      </w:r>
      <w:r>
        <w:rPr>
          <w:spacing w:val="-1"/>
        </w:rPr>
        <w:t xml:space="preserve"> </w:t>
      </w:r>
      <w:r>
        <w:t>provincial official</w:t>
      </w:r>
      <w:r>
        <w:rPr>
          <w:spacing w:val="-2"/>
        </w:rPr>
        <w:t xml:space="preserve"> </w:t>
      </w:r>
      <w:r>
        <w:t>travel, has</w:t>
      </w:r>
      <w:r>
        <w:rPr>
          <w:spacing w:val="-1"/>
        </w:rPr>
        <w:t xml:space="preserve"> </w:t>
      </w:r>
      <w:r>
        <w:t>limited coordination, guidance, supervision, and direct monitoring of MSS implementation at the district and city levels.</w:t>
      </w:r>
    </w:p>
    <w:p w14:paraId="620437C8" w14:textId="77777777" w:rsidR="00BC24A8" w:rsidRDefault="00000000">
      <w:pPr>
        <w:pStyle w:val="BodyText"/>
        <w:spacing w:before="160" w:line="278" w:lineRule="auto"/>
        <w:ind w:left="143" w:right="565"/>
        <w:jc w:val="both"/>
      </w:pPr>
      <w:r>
        <w:t>On</w:t>
      </w:r>
      <w:r>
        <w:rPr>
          <w:spacing w:val="-13"/>
        </w:rPr>
        <w:t xml:space="preserve"> </w:t>
      </w:r>
      <w:r>
        <w:t>the</w:t>
      </w:r>
      <w:r>
        <w:rPr>
          <w:spacing w:val="-12"/>
        </w:rPr>
        <w:t xml:space="preserve"> </w:t>
      </w:r>
      <w:r>
        <w:t>planning</w:t>
      </w:r>
      <w:r>
        <w:rPr>
          <w:spacing w:val="-13"/>
        </w:rPr>
        <w:t xml:space="preserve"> </w:t>
      </w:r>
      <w:r>
        <w:t>side,</w:t>
      </w:r>
      <w:r>
        <w:rPr>
          <w:spacing w:val="-12"/>
        </w:rPr>
        <w:t xml:space="preserve"> </w:t>
      </w:r>
      <w:r>
        <w:t>the</w:t>
      </w:r>
      <w:r>
        <w:rPr>
          <w:spacing w:val="-3"/>
        </w:rPr>
        <w:t xml:space="preserve"> </w:t>
      </w:r>
      <w:r>
        <w:t>Papua</w:t>
      </w:r>
      <w:r>
        <w:rPr>
          <w:spacing w:val="-13"/>
        </w:rPr>
        <w:t xml:space="preserve"> </w:t>
      </w:r>
      <w:r>
        <w:t>Barat</w:t>
      </w:r>
      <w:r>
        <w:rPr>
          <w:spacing w:val="-12"/>
        </w:rPr>
        <w:t xml:space="preserve"> </w:t>
      </w:r>
      <w:r>
        <w:t>Daya</w:t>
      </w:r>
      <w:r>
        <w:rPr>
          <w:spacing w:val="-13"/>
        </w:rPr>
        <w:t xml:space="preserve"> </w:t>
      </w:r>
      <w:r>
        <w:t>Regional</w:t>
      </w:r>
      <w:r>
        <w:rPr>
          <w:spacing w:val="-12"/>
        </w:rPr>
        <w:t xml:space="preserve"> </w:t>
      </w:r>
      <w:r>
        <w:t>Medium-Term</w:t>
      </w:r>
      <w:r>
        <w:rPr>
          <w:spacing w:val="-13"/>
        </w:rPr>
        <w:t xml:space="preserve"> </w:t>
      </w:r>
      <w:r>
        <w:t>Development</w:t>
      </w:r>
      <w:r>
        <w:rPr>
          <w:spacing w:val="-12"/>
        </w:rPr>
        <w:t xml:space="preserve"> </w:t>
      </w:r>
      <w:r>
        <w:t>Plan</w:t>
      </w:r>
      <w:r>
        <w:rPr>
          <w:spacing w:val="-12"/>
        </w:rPr>
        <w:t xml:space="preserve"> </w:t>
      </w:r>
      <w:r>
        <w:t>(RPJMD)</w:t>
      </w:r>
      <w:r>
        <w:rPr>
          <w:spacing w:val="-13"/>
        </w:rPr>
        <w:t xml:space="preserve"> </w:t>
      </w:r>
      <w:r>
        <w:t>outlines 10 key strategies, including</w:t>
      </w:r>
      <w:r>
        <w:rPr>
          <w:spacing w:val="-4"/>
        </w:rPr>
        <w:t xml:space="preserve"> </w:t>
      </w:r>
      <w:r>
        <w:t>the development</w:t>
      </w:r>
      <w:r>
        <w:rPr>
          <w:spacing w:val="-2"/>
        </w:rPr>
        <w:t xml:space="preserve"> </w:t>
      </w:r>
      <w:r>
        <w:t>of</w:t>
      </w:r>
      <w:r>
        <w:rPr>
          <w:spacing w:val="-2"/>
        </w:rPr>
        <w:t xml:space="preserve"> </w:t>
      </w:r>
      <w:r>
        <w:t>the</w:t>
      </w:r>
      <w:r>
        <w:rPr>
          <w:spacing w:val="-2"/>
        </w:rPr>
        <w:t xml:space="preserve"> </w:t>
      </w:r>
      <w:r>
        <w:t>province’s priority</w:t>
      </w:r>
      <w:r>
        <w:rPr>
          <w:spacing w:val="-2"/>
        </w:rPr>
        <w:t xml:space="preserve"> </w:t>
      </w:r>
      <w:r>
        <w:t>sectors</w:t>
      </w:r>
      <w:hyperlink w:anchor="_bookmark143" w:history="1">
        <w:r w:rsidR="00BC24A8">
          <w:rPr>
            <w:vertAlign w:val="superscript"/>
          </w:rPr>
          <w:t>71</w:t>
        </w:r>
      </w:hyperlink>
      <w:r>
        <w:t>. As social protection</w:t>
      </w:r>
      <w:r>
        <w:rPr>
          <w:spacing w:val="-1"/>
        </w:rPr>
        <w:t xml:space="preserve"> </w:t>
      </w:r>
      <w:r>
        <w:t>is no</w:t>
      </w:r>
      <w:r>
        <w:rPr>
          <w:spacing w:val="-13"/>
        </w:rPr>
        <w:t xml:space="preserve"> </w:t>
      </w:r>
      <w:r>
        <w:t>longer</w:t>
      </w:r>
      <w:r>
        <w:rPr>
          <w:spacing w:val="-10"/>
        </w:rPr>
        <w:t xml:space="preserve"> </w:t>
      </w:r>
      <w:r>
        <w:t>a</w:t>
      </w:r>
      <w:r>
        <w:rPr>
          <w:spacing w:val="-13"/>
        </w:rPr>
        <w:t xml:space="preserve"> </w:t>
      </w:r>
      <w:r>
        <w:t>priority,</w:t>
      </w:r>
      <w:r>
        <w:rPr>
          <w:spacing w:val="-9"/>
        </w:rPr>
        <w:t xml:space="preserve"> </w:t>
      </w:r>
      <w:r>
        <w:t>the</w:t>
      </w:r>
      <w:r>
        <w:rPr>
          <w:spacing w:val="-13"/>
        </w:rPr>
        <w:t xml:space="preserve"> </w:t>
      </w:r>
      <w:r>
        <w:t>PAITUA</w:t>
      </w:r>
      <w:r>
        <w:rPr>
          <w:spacing w:val="-12"/>
        </w:rPr>
        <w:t xml:space="preserve"> </w:t>
      </w:r>
      <w:r>
        <w:t>program</w:t>
      </w:r>
      <w:r>
        <w:rPr>
          <w:spacing w:val="-12"/>
        </w:rPr>
        <w:t xml:space="preserve"> </w:t>
      </w:r>
      <w:r>
        <w:t>previously</w:t>
      </w:r>
      <w:r>
        <w:rPr>
          <w:spacing w:val="-12"/>
        </w:rPr>
        <w:t xml:space="preserve"> </w:t>
      </w:r>
      <w:r>
        <w:t>supported</w:t>
      </w:r>
      <w:r>
        <w:rPr>
          <w:spacing w:val="-13"/>
        </w:rPr>
        <w:t xml:space="preserve"> </w:t>
      </w:r>
      <w:r>
        <w:t>by</w:t>
      </w:r>
      <w:r>
        <w:rPr>
          <w:spacing w:val="-11"/>
        </w:rPr>
        <w:t xml:space="preserve"> </w:t>
      </w:r>
      <w:r>
        <w:t>SKALA</w:t>
      </w:r>
      <w:r>
        <w:rPr>
          <w:spacing w:val="-13"/>
        </w:rPr>
        <w:t xml:space="preserve"> </w:t>
      </w:r>
      <w:r>
        <w:t>will</w:t>
      </w:r>
      <w:r>
        <w:rPr>
          <w:spacing w:val="-11"/>
        </w:rPr>
        <w:t xml:space="preserve"> </w:t>
      </w:r>
      <w:r>
        <w:t>be</w:t>
      </w:r>
      <w:r>
        <w:rPr>
          <w:spacing w:val="-13"/>
        </w:rPr>
        <w:t xml:space="preserve"> </w:t>
      </w:r>
      <w:r>
        <w:t>discontinued</w:t>
      </w:r>
      <w:r>
        <w:rPr>
          <w:spacing w:val="-12"/>
        </w:rPr>
        <w:t xml:space="preserve"> </w:t>
      </w:r>
      <w:r>
        <w:t>in</w:t>
      </w:r>
      <w:r>
        <w:rPr>
          <w:spacing w:val="-10"/>
        </w:rPr>
        <w:t xml:space="preserve"> </w:t>
      </w:r>
      <w:r>
        <w:t>FY</w:t>
      </w:r>
      <w:r>
        <w:rPr>
          <w:spacing w:val="-13"/>
        </w:rPr>
        <w:t xml:space="preserve"> </w:t>
      </w:r>
      <w:r>
        <w:t>2025. SKALA</w:t>
      </w:r>
      <w:r>
        <w:rPr>
          <w:spacing w:val="-9"/>
        </w:rPr>
        <w:t xml:space="preserve"> </w:t>
      </w:r>
      <w:r>
        <w:t>is</w:t>
      </w:r>
      <w:r>
        <w:rPr>
          <w:spacing w:val="-9"/>
        </w:rPr>
        <w:t xml:space="preserve"> </w:t>
      </w:r>
      <w:r>
        <w:t>adjusting</w:t>
      </w:r>
      <w:r>
        <w:rPr>
          <w:spacing w:val="-10"/>
        </w:rPr>
        <w:t xml:space="preserve"> </w:t>
      </w:r>
      <w:r>
        <w:t>its</w:t>
      </w:r>
      <w:r>
        <w:rPr>
          <w:spacing w:val="-11"/>
        </w:rPr>
        <w:t xml:space="preserve"> </w:t>
      </w:r>
      <w:r>
        <w:t>support</w:t>
      </w:r>
      <w:r>
        <w:rPr>
          <w:spacing w:val="-10"/>
        </w:rPr>
        <w:t xml:space="preserve"> </w:t>
      </w:r>
      <w:r>
        <w:t>to</w:t>
      </w:r>
      <w:r>
        <w:rPr>
          <w:spacing w:val="-10"/>
        </w:rPr>
        <w:t xml:space="preserve"> </w:t>
      </w:r>
      <w:r>
        <w:t>the</w:t>
      </w:r>
      <w:r>
        <w:rPr>
          <w:spacing w:val="-11"/>
        </w:rPr>
        <w:t xml:space="preserve"> </w:t>
      </w:r>
      <w:r>
        <w:t>government</w:t>
      </w:r>
      <w:r>
        <w:rPr>
          <w:spacing w:val="-10"/>
        </w:rPr>
        <w:t xml:space="preserve"> </w:t>
      </w:r>
      <w:r>
        <w:t>through</w:t>
      </w:r>
      <w:r>
        <w:rPr>
          <w:spacing w:val="-9"/>
        </w:rPr>
        <w:t xml:space="preserve"> </w:t>
      </w:r>
      <w:r>
        <w:t>the</w:t>
      </w:r>
      <w:r>
        <w:rPr>
          <w:spacing w:val="-11"/>
        </w:rPr>
        <w:t xml:space="preserve"> </w:t>
      </w:r>
      <w:r>
        <w:t>Joint</w:t>
      </w:r>
      <w:r>
        <w:rPr>
          <w:spacing w:val="-12"/>
        </w:rPr>
        <w:t xml:space="preserve"> </w:t>
      </w:r>
      <w:r>
        <w:t>Strategic</w:t>
      </w:r>
      <w:r>
        <w:rPr>
          <w:spacing w:val="-10"/>
        </w:rPr>
        <w:t xml:space="preserve"> </w:t>
      </w:r>
      <w:r>
        <w:t>Priorities</w:t>
      </w:r>
      <w:r>
        <w:rPr>
          <w:spacing w:val="-9"/>
        </w:rPr>
        <w:t xml:space="preserve"> </w:t>
      </w:r>
      <w:r>
        <w:t>Program</w:t>
      </w:r>
      <w:r>
        <w:rPr>
          <w:spacing w:val="-9"/>
        </w:rPr>
        <w:t xml:space="preserve"> </w:t>
      </w:r>
      <w:r>
        <w:t>(PPSB)</w:t>
      </w:r>
      <w:hyperlink w:anchor="_bookmark144" w:history="1">
        <w:r w:rsidR="00BC24A8">
          <w:rPr>
            <w:vertAlign w:val="superscript"/>
          </w:rPr>
          <w:t>72</w:t>
        </w:r>
      </w:hyperlink>
      <w:r>
        <w:t>, including initiatives such as the First 1,000 Days of Life (HPK) and inclusive free education.</w:t>
      </w:r>
    </w:p>
    <w:p w14:paraId="56DCD12A" w14:textId="77777777" w:rsidR="00BC24A8" w:rsidRDefault="00BC24A8">
      <w:pPr>
        <w:pStyle w:val="BodyText"/>
        <w:spacing w:before="199"/>
      </w:pPr>
    </w:p>
    <w:p w14:paraId="70512C78" w14:textId="77777777" w:rsidR="00BC24A8" w:rsidRDefault="00000000">
      <w:pPr>
        <w:ind w:left="143"/>
        <w:rPr>
          <w:rFonts w:ascii="Calibri"/>
          <w:i/>
        </w:rPr>
      </w:pPr>
      <w:r>
        <w:rPr>
          <w:rFonts w:ascii="Calibri"/>
          <w:i/>
          <w:color w:val="272727"/>
        </w:rPr>
        <w:t>Overview</w:t>
      </w:r>
      <w:r>
        <w:rPr>
          <w:rFonts w:ascii="Calibri"/>
          <w:i/>
          <w:color w:val="272727"/>
          <w:spacing w:val="-3"/>
        </w:rPr>
        <w:t xml:space="preserve"> </w:t>
      </w:r>
      <w:r>
        <w:rPr>
          <w:rFonts w:ascii="Calibri"/>
          <w:i/>
          <w:color w:val="272727"/>
        </w:rPr>
        <w:t>of</w:t>
      </w:r>
      <w:r>
        <w:rPr>
          <w:rFonts w:ascii="Calibri"/>
          <w:i/>
          <w:color w:val="272727"/>
          <w:spacing w:val="-4"/>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3"/>
        </w:rPr>
        <w:t xml:space="preserve"> </w:t>
      </w:r>
      <w:r>
        <w:rPr>
          <w:rFonts w:ascii="Calibri"/>
          <w:i/>
          <w:color w:val="272727"/>
        </w:rPr>
        <w:t>priorities</w:t>
      </w:r>
      <w:r>
        <w:rPr>
          <w:rFonts w:ascii="Calibri"/>
          <w:i/>
          <w:color w:val="272727"/>
          <w:spacing w:val="-3"/>
        </w:rPr>
        <w:t xml:space="preserve"> </w:t>
      </w:r>
      <w:r>
        <w:rPr>
          <w:rFonts w:ascii="Calibri"/>
          <w:i/>
          <w:color w:val="272727"/>
        </w:rPr>
        <w:t>in</w:t>
      </w:r>
      <w:r>
        <w:rPr>
          <w:rFonts w:ascii="Calibri"/>
          <w:i/>
          <w:color w:val="272727"/>
          <w:spacing w:val="-6"/>
        </w:rPr>
        <w:t xml:space="preserve"> </w:t>
      </w:r>
      <w:r>
        <w:rPr>
          <w:rFonts w:ascii="Calibri"/>
          <w:i/>
          <w:color w:val="272727"/>
        </w:rPr>
        <w:t>provinces</w:t>
      </w:r>
      <w:r>
        <w:rPr>
          <w:rFonts w:ascii="Calibri"/>
          <w:i/>
          <w:color w:val="272727"/>
          <w:spacing w:val="-6"/>
        </w:rPr>
        <w:t xml:space="preserve"> </w:t>
      </w:r>
      <w:r>
        <w:rPr>
          <w:rFonts w:ascii="Calibri"/>
          <w:i/>
          <w:color w:val="272727"/>
        </w:rPr>
        <w:t>in</w:t>
      </w:r>
      <w:r>
        <w:rPr>
          <w:rFonts w:ascii="Calibri"/>
          <w:i/>
          <w:color w:val="272727"/>
          <w:spacing w:val="-6"/>
        </w:rPr>
        <w:t xml:space="preserve"> </w:t>
      </w:r>
      <w:r>
        <w:rPr>
          <w:rFonts w:ascii="Calibri"/>
          <w:i/>
          <w:color w:val="272727"/>
        </w:rPr>
        <w:t>FY</w:t>
      </w:r>
      <w:r>
        <w:rPr>
          <w:rFonts w:ascii="Calibri"/>
          <w:i/>
          <w:color w:val="272727"/>
          <w:spacing w:val="-4"/>
        </w:rPr>
        <w:t xml:space="preserve"> </w:t>
      </w:r>
      <w:r>
        <w:rPr>
          <w:rFonts w:ascii="Calibri"/>
          <w:i/>
          <w:color w:val="272727"/>
          <w:spacing w:val="-2"/>
        </w:rPr>
        <w:t>2024/2025</w:t>
      </w:r>
    </w:p>
    <w:p w14:paraId="7523ED3A" w14:textId="77777777" w:rsidR="00BC24A8" w:rsidRDefault="00000000">
      <w:pPr>
        <w:pStyle w:val="Heading5"/>
        <w:spacing w:before="22"/>
      </w:pPr>
      <w:r>
        <w:rPr>
          <w:color w:val="17365A"/>
        </w:rPr>
        <w:t>Focus</w:t>
      </w:r>
      <w:r>
        <w:rPr>
          <w:color w:val="17365A"/>
          <w:spacing w:val="-4"/>
        </w:rPr>
        <w:t xml:space="preserve"> </w:t>
      </w:r>
      <w:r>
        <w:rPr>
          <w:color w:val="17365A"/>
        </w:rPr>
        <w:t>areas</w:t>
      </w:r>
      <w:r>
        <w:rPr>
          <w:color w:val="17365A"/>
          <w:spacing w:val="-4"/>
        </w:rPr>
        <w:t xml:space="preserve"> </w:t>
      </w:r>
      <w:r>
        <w:rPr>
          <w:color w:val="17365A"/>
        </w:rPr>
        <w:t>of</w:t>
      </w:r>
      <w:r>
        <w:rPr>
          <w:color w:val="17365A"/>
          <w:spacing w:val="-4"/>
        </w:rPr>
        <w:t xml:space="preserve"> </w:t>
      </w:r>
      <w:r>
        <w:rPr>
          <w:color w:val="17365A"/>
        </w:rPr>
        <w:t>SKALA</w:t>
      </w:r>
      <w:r>
        <w:rPr>
          <w:color w:val="17365A"/>
          <w:spacing w:val="-7"/>
        </w:rPr>
        <w:t xml:space="preserve"> </w:t>
      </w:r>
      <w:r>
        <w:rPr>
          <w:color w:val="17365A"/>
        </w:rPr>
        <w:t>support</w:t>
      </w:r>
      <w:r>
        <w:rPr>
          <w:color w:val="17365A"/>
          <w:spacing w:val="-4"/>
        </w:rPr>
        <w:t xml:space="preserve"> </w:t>
      </w:r>
      <w:r>
        <w:rPr>
          <w:color w:val="17365A"/>
          <w:spacing w:val="-2"/>
        </w:rPr>
        <w:t>program</w:t>
      </w:r>
    </w:p>
    <w:p w14:paraId="7E50D12A" w14:textId="77777777" w:rsidR="00BC24A8" w:rsidRDefault="00000000">
      <w:pPr>
        <w:pStyle w:val="ListParagraph"/>
        <w:numPr>
          <w:ilvl w:val="2"/>
          <w:numId w:val="43"/>
        </w:numPr>
        <w:tabs>
          <w:tab w:val="left" w:pos="861"/>
        </w:tabs>
        <w:spacing w:before="161"/>
        <w:ind w:left="861" w:hanging="358"/>
      </w:pPr>
      <w:r>
        <w:t>Implementation</w:t>
      </w:r>
      <w:r>
        <w:rPr>
          <w:spacing w:val="-10"/>
        </w:rPr>
        <w:t xml:space="preserve"> </w:t>
      </w:r>
      <w:r>
        <w:t>of</w:t>
      </w:r>
      <w:r>
        <w:rPr>
          <w:spacing w:val="-8"/>
        </w:rPr>
        <w:t xml:space="preserve"> </w:t>
      </w:r>
      <w:r>
        <w:t>MSS</w:t>
      </w:r>
      <w:r>
        <w:rPr>
          <w:spacing w:val="-7"/>
        </w:rPr>
        <w:t xml:space="preserve"> </w:t>
      </w:r>
      <w:r>
        <w:t>(Strengthening</w:t>
      </w:r>
      <w:r>
        <w:rPr>
          <w:spacing w:val="-8"/>
        </w:rPr>
        <w:t xml:space="preserve"> </w:t>
      </w:r>
      <w:r>
        <w:t>Capacity</w:t>
      </w:r>
      <w:r>
        <w:rPr>
          <w:spacing w:val="-7"/>
        </w:rPr>
        <w:t xml:space="preserve"> </w:t>
      </w:r>
      <w:r>
        <w:t>in</w:t>
      </w:r>
      <w:r>
        <w:rPr>
          <w:spacing w:val="-9"/>
        </w:rPr>
        <w:t xml:space="preserve"> </w:t>
      </w:r>
      <w:r>
        <w:t>the</w:t>
      </w:r>
      <w:r>
        <w:rPr>
          <w:spacing w:val="-10"/>
        </w:rPr>
        <w:t xml:space="preserve"> </w:t>
      </w:r>
      <w:r>
        <w:t>Preparation</w:t>
      </w:r>
      <w:r>
        <w:rPr>
          <w:spacing w:val="-7"/>
        </w:rPr>
        <w:t xml:space="preserve"> </w:t>
      </w:r>
      <w:r>
        <w:t>of</w:t>
      </w:r>
      <w:r>
        <w:rPr>
          <w:spacing w:val="-10"/>
        </w:rPr>
        <w:t xml:space="preserve"> </w:t>
      </w:r>
      <w:r>
        <w:t>Action</w:t>
      </w:r>
      <w:r>
        <w:rPr>
          <w:spacing w:val="-10"/>
        </w:rPr>
        <w:t xml:space="preserve"> </w:t>
      </w:r>
      <w:r>
        <w:rPr>
          <w:spacing w:val="-2"/>
        </w:rPr>
        <w:t>Plans)</w:t>
      </w:r>
    </w:p>
    <w:p w14:paraId="7D752546" w14:textId="77777777" w:rsidR="00BC24A8" w:rsidRDefault="00000000">
      <w:pPr>
        <w:pStyle w:val="ListParagraph"/>
        <w:numPr>
          <w:ilvl w:val="2"/>
          <w:numId w:val="43"/>
        </w:numPr>
        <w:tabs>
          <w:tab w:val="left" w:pos="861"/>
        </w:tabs>
        <w:spacing w:before="19"/>
        <w:ind w:left="861" w:hanging="358"/>
      </w:pPr>
      <w:r>
        <w:t>One</w:t>
      </w:r>
      <w:r>
        <w:rPr>
          <w:spacing w:val="-8"/>
        </w:rPr>
        <w:t xml:space="preserve"> </w:t>
      </w:r>
      <w:r>
        <w:t>Data</w:t>
      </w:r>
      <w:r>
        <w:rPr>
          <w:spacing w:val="-7"/>
        </w:rPr>
        <w:t xml:space="preserve"> </w:t>
      </w:r>
      <w:r>
        <w:t>Implementation</w:t>
      </w:r>
      <w:r>
        <w:rPr>
          <w:spacing w:val="-6"/>
        </w:rPr>
        <w:t xml:space="preserve"> </w:t>
      </w:r>
      <w:r>
        <w:t>(Functionality</w:t>
      </w:r>
      <w:r>
        <w:rPr>
          <w:spacing w:val="-5"/>
        </w:rPr>
        <w:t xml:space="preserve"> </w:t>
      </w:r>
      <w:r>
        <w:t>of</w:t>
      </w:r>
      <w:r>
        <w:rPr>
          <w:spacing w:val="-8"/>
        </w:rPr>
        <w:t xml:space="preserve"> </w:t>
      </w:r>
      <w:r>
        <w:t>the</w:t>
      </w:r>
      <w:r>
        <w:rPr>
          <w:spacing w:val="-7"/>
        </w:rPr>
        <w:t xml:space="preserve"> </w:t>
      </w:r>
      <w:r>
        <w:t>One</w:t>
      </w:r>
      <w:r>
        <w:rPr>
          <w:spacing w:val="-9"/>
        </w:rPr>
        <w:t xml:space="preserve"> </w:t>
      </w:r>
      <w:r>
        <w:t>Data</w:t>
      </w:r>
      <w:r>
        <w:rPr>
          <w:spacing w:val="-7"/>
        </w:rPr>
        <w:t xml:space="preserve"> </w:t>
      </w:r>
      <w:r>
        <w:t>Forum</w:t>
      </w:r>
      <w:r>
        <w:rPr>
          <w:spacing w:val="-6"/>
        </w:rPr>
        <w:t xml:space="preserve"> </w:t>
      </w:r>
      <w:r>
        <w:t>and</w:t>
      </w:r>
      <w:r>
        <w:rPr>
          <w:spacing w:val="-5"/>
        </w:rPr>
        <w:t xml:space="preserve"> </w:t>
      </w:r>
      <w:r>
        <w:t>e-</w:t>
      </w:r>
      <w:r>
        <w:rPr>
          <w:spacing w:val="-2"/>
        </w:rPr>
        <w:t>walidata)</w:t>
      </w:r>
    </w:p>
    <w:p w14:paraId="1223F9B9" w14:textId="77777777" w:rsidR="00BC24A8" w:rsidRDefault="00000000">
      <w:pPr>
        <w:pStyle w:val="ListParagraph"/>
        <w:numPr>
          <w:ilvl w:val="2"/>
          <w:numId w:val="43"/>
        </w:numPr>
        <w:tabs>
          <w:tab w:val="left" w:pos="861"/>
        </w:tabs>
        <w:spacing w:before="22"/>
        <w:ind w:left="861" w:hanging="358"/>
      </w:pPr>
      <w:r>
        <w:t>Special</w:t>
      </w:r>
      <w:r>
        <w:rPr>
          <w:spacing w:val="-10"/>
        </w:rPr>
        <w:t xml:space="preserve"> </w:t>
      </w:r>
      <w:r>
        <w:t>Autonomy</w:t>
      </w:r>
      <w:r>
        <w:rPr>
          <w:spacing w:val="-8"/>
        </w:rPr>
        <w:t xml:space="preserve"> </w:t>
      </w:r>
      <w:r>
        <w:t>Fund</w:t>
      </w:r>
      <w:r>
        <w:rPr>
          <w:spacing w:val="-7"/>
        </w:rPr>
        <w:t xml:space="preserve"> </w:t>
      </w:r>
      <w:r>
        <w:t>Management</w:t>
      </w:r>
      <w:r>
        <w:rPr>
          <w:spacing w:val="-7"/>
        </w:rPr>
        <w:t xml:space="preserve"> </w:t>
      </w:r>
      <w:r>
        <w:t>(</w:t>
      </w:r>
      <w:r>
        <w:rPr>
          <w:i/>
        </w:rPr>
        <w:t>Musrenbangsus</w:t>
      </w:r>
      <w:r>
        <w:rPr>
          <w:i/>
          <w:spacing w:val="-8"/>
        </w:rPr>
        <w:t xml:space="preserve"> </w:t>
      </w:r>
      <w:r>
        <w:t>and</w:t>
      </w:r>
      <w:r>
        <w:rPr>
          <w:spacing w:val="-8"/>
        </w:rPr>
        <w:t xml:space="preserve"> </w:t>
      </w:r>
      <w:r>
        <w:t>SIPPP</w:t>
      </w:r>
      <w:r>
        <w:rPr>
          <w:spacing w:val="-6"/>
        </w:rPr>
        <w:t xml:space="preserve"> </w:t>
      </w:r>
      <w:r>
        <w:rPr>
          <w:spacing w:val="-2"/>
        </w:rPr>
        <w:t>Guidelines)</w:t>
      </w:r>
    </w:p>
    <w:p w14:paraId="092FFB76" w14:textId="77777777" w:rsidR="00BC24A8" w:rsidRDefault="00000000">
      <w:pPr>
        <w:pStyle w:val="ListParagraph"/>
        <w:numPr>
          <w:ilvl w:val="2"/>
          <w:numId w:val="43"/>
        </w:numPr>
        <w:tabs>
          <w:tab w:val="left" w:pos="861"/>
        </w:tabs>
        <w:spacing w:before="22"/>
        <w:ind w:left="861" w:hanging="358"/>
      </w:pPr>
      <w:r>
        <w:rPr>
          <w:spacing w:val="-2"/>
        </w:rPr>
        <w:t>Facilitation</w:t>
      </w:r>
      <w:r>
        <w:rPr>
          <w:spacing w:val="-3"/>
        </w:rPr>
        <w:t xml:space="preserve"> </w:t>
      </w:r>
      <w:r>
        <w:rPr>
          <w:spacing w:val="-2"/>
        </w:rPr>
        <w:t>of</w:t>
      </w:r>
      <w:r>
        <w:rPr>
          <w:spacing w:val="-4"/>
        </w:rPr>
        <w:t xml:space="preserve"> </w:t>
      </w:r>
      <w:r>
        <w:rPr>
          <w:spacing w:val="-2"/>
        </w:rPr>
        <w:t>PAITUA</w:t>
      </w:r>
      <w:r>
        <w:rPr>
          <w:spacing w:val="-3"/>
        </w:rPr>
        <w:t xml:space="preserve"> </w:t>
      </w:r>
      <w:r>
        <w:rPr>
          <w:spacing w:val="-2"/>
        </w:rPr>
        <w:t>Program implementation</w:t>
      </w:r>
    </w:p>
    <w:p w14:paraId="10CE9BC3" w14:textId="77777777" w:rsidR="00BC24A8" w:rsidRDefault="00BC24A8">
      <w:pPr>
        <w:pStyle w:val="BodyText"/>
        <w:spacing w:before="202"/>
      </w:pPr>
    </w:p>
    <w:p w14:paraId="613A3CAA" w14:textId="77777777" w:rsidR="00BC24A8" w:rsidRDefault="00000000">
      <w:pPr>
        <w:pStyle w:val="Heading5"/>
      </w:pPr>
      <w:r>
        <w:rPr>
          <w:color w:val="17365A"/>
        </w:rPr>
        <w:t>Implementation</w:t>
      </w:r>
      <w:r>
        <w:rPr>
          <w:color w:val="17365A"/>
          <w:spacing w:val="-10"/>
        </w:rPr>
        <w:t xml:space="preserve"> </w:t>
      </w:r>
      <w:r>
        <w:rPr>
          <w:color w:val="17365A"/>
        </w:rPr>
        <w:t>of</w:t>
      </w:r>
      <w:r>
        <w:rPr>
          <w:color w:val="17365A"/>
          <w:spacing w:val="-8"/>
        </w:rPr>
        <w:t xml:space="preserve"> </w:t>
      </w:r>
      <w:r>
        <w:rPr>
          <w:color w:val="17365A"/>
        </w:rPr>
        <w:t>Monitoring</w:t>
      </w:r>
      <w:r>
        <w:rPr>
          <w:color w:val="17365A"/>
          <w:spacing w:val="-9"/>
        </w:rPr>
        <w:t xml:space="preserve"> </w:t>
      </w:r>
      <w:r>
        <w:rPr>
          <w:color w:val="17365A"/>
        </w:rPr>
        <w:t>and</w:t>
      </w:r>
      <w:r>
        <w:rPr>
          <w:color w:val="17365A"/>
          <w:spacing w:val="-9"/>
        </w:rPr>
        <w:t xml:space="preserve"> </w:t>
      </w:r>
      <w:r>
        <w:rPr>
          <w:color w:val="17365A"/>
        </w:rPr>
        <w:t>Evaluation</w:t>
      </w:r>
      <w:r>
        <w:rPr>
          <w:color w:val="17365A"/>
          <w:spacing w:val="-9"/>
        </w:rPr>
        <w:t xml:space="preserve"> </w:t>
      </w:r>
      <w:r>
        <w:rPr>
          <w:color w:val="17365A"/>
        </w:rPr>
        <w:t>(M&amp;E)</w:t>
      </w:r>
      <w:r>
        <w:rPr>
          <w:color w:val="17365A"/>
          <w:spacing w:val="-9"/>
        </w:rPr>
        <w:t xml:space="preserve"> </w:t>
      </w:r>
      <w:r>
        <w:rPr>
          <w:color w:val="17365A"/>
        </w:rPr>
        <w:t>and</w:t>
      </w:r>
      <w:r>
        <w:rPr>
          <w:color w:val="17365A"/>
          <w:spacing w:val="-9"/>
        </w:rPr>
        <w:t xml:space="preserve"> </w:t>
      </w:r>
      <w:r>
        <w:rPr>
          <w:color w:val="17365A"/>
        </w:rPr>
        <w:t>program</w:t>
      </w:r>
      <w:r>
        <w:rPr>
          <w:color w:val="17365A"/>
          <w:spacing w:val="-8"/>
        </w:rPr>
        <w:t xml:space="preserve"> </w:t>
      </w:r>
      <w:r>
        <w:rPr>
          <w:color w:val="17365A"/>
          <w:spacing w:val="-2"/>
        </w:rPr>
        <w:t>documentation</w:t>
      </w:r>
    </w:p>
    <w:p w14:paraId="123621C6" w14:textId="77777777" w:rsidR="00BC24A8" w:rsidRDefault="00000000">
      <w:pPr>
        <w:pStyle w:val="BodyText"/>
        <w:spacing w:before="161" w:line="278" w:lineRule="auto"/>
        <w:ind w:left="142" w:right="561"/>
        <w:jc w:val="both"/>
      </w:pPr>
      <w:r>
        <w:rPr>
          <w:spacing w:val="-2"/>
        </w:rPr>
        <w:t>Monitoring</w:t>
      </w:r>
      <w:r>
        <w:rPr>
          <w:spacing w:val="-6"/>
        </w:rPr>
        <w:t xml:space="preserve"> </w:t>
      </w:r>
      <w:r>
        <w:rPr>
          <w:spacing w:val="-2"/>
        </w:rPr>
        <w:t>is conducted on</w:t>
      </w:r>
      <w:r>
        <w:rPr>
          <w:spacing w:val="-7"/>
        </w:rPr>
        <w:t xml:space="preserve"> </w:t>
      </w:r>
      <w:r>
        <w:rPr>
          <w:spacing w:val="-2"/>
        </w:rPr>
        <w:t>a</w:t>
      </w:r>
      <w:r>
        <w:rPr>
          <w:spacing w:val="-3"/>
        </w:rPr>
        <w:t xml:space="preserve"> </w:t>
      </w:r>
      <w:r>
        <w:rPr>
          <w:spacing w:val="-2"/>
        </w:rPr>
        <w:t>limited basis through activities, informal</w:t>
      </w:r>
      <w:r>
        <w:rPr>
          <w:spacing w:val="-3"/>
        </w:rPr>
        <w:t xml:space="preserve"> </w:t>
      </w:r>
      <w:r>
        <w:rPr>
          <w:spacing w:val="-2"/>
        </w:rPr>
        <w:t>discussions,</w:t>
      </w:r>
      <w:r>
        <w:rPr>
          <w:spacing w:val="-3"/>
        </w:rPr>
        <w:t xml:space="preserve"> </w:t>
      </w:r>
      <w:r>
        <w:rPr>
          <w:spacing w:val="-2"/>
        </w:rPr>
        <w:t>and regular</w:t>
      </w:r>
      <w:r>
        <w:rPr>
          <w:spacing w:val="-5"/>
        </w:rPr>
        <w:t xml:space="preserve"> </w:t>
      </w:r>
      <w:r>
        <w:rPr>
          <w:spacing w:val="-2"/>
        </w:rPr>
        <w:t xml:space="preserve">meetings. </w:t>
      </w:r>
      <w:r>
        <w:t>This</w:t>
      </w:r>
      <w:r>
        <w:rPr>
          <w:spacing w:val="-1"/>
        </w:rPr>
        <w:t xml:space="preserve"> </w:t>
      </w:r>
      <w:r>
        <w:t>semester, more</w:t>
      </w:r>
      <w:r>
        <w:rPr>
          <w:spacing w:val="-3"/>
        </w:rPr>
        <w:t xml:space="preserve"> </w:t>
      </w:r>
      <w:r>
        <w:t>in-depth</w:t>
      </w:r>
      <w:r>
        <w:rPr>
          <w:spacing w:val="-1"/>
        </w:rPr>
        <w:t xml:space="preserve"> </w:t>
      </w:r>
      <w:r>
        <w:t>monitoring</w:t>
      </w:r>
      <w:r>
        <w:rPr>
          <w:spacing w:val="-2"/>
        </w:rPr>
        <w:t xml:space="preserve"> </w:t>
      </w:r>
      <w:r>
        <w:t>and</w:t>
      </w:r>
      <w:r>
        <w:rPr>
          <w:spacing w:val="-1"/>
        </w:rPr>
        <w:t xml:space="preserve"> </w:t>
      </w:r>
      <w:r>
        <w:t>evaluation—through</w:t>
      </w:r>
      <w:r>
        <w:rPr>
          <w:spacing w:val="-1"/>
        </w:rPr>
        <w:t xml:space="preserve"> </w:t>
      </w:r>
      <w:r>
        <w:t>interviews</w:t>
      </w:r>
      <w:r>
        <w:rPr>
          <w:spacing w:val="-3"/>
        </w:rPr>
        <w:t xml:space="preserve"> </w:t>
      </w:r>
      <w:r>
        <w:t>and</w:t>
      </w:r>
      <w:r>
        <w:rPr>
          <w:spacing w:val="-1"/>
        </w:rPr>
        <w:t xml:space="preserve"> </w:t>
      </w:r>
      <w:r>
        <w:t>group</w:t>
      </w:r>
      <w:r>
        <w:rPr>
          <w:spacing w:val="-1"/>
        </w:rPr>
        <w:t xml:space="preserve"> </w:t>
      </w:r>
      <w:r>
        <w:t>discussions— was conducted to document two topics: (a) changes in the substance of the Special Autonomy Implementation</w:t>
      </w:r>
      <w:r>
        <w:rPr>
          <w:spacing w:val="-10"/>
        </w:rPr>
        <w:t xml:space="preserve"> </w:t>
      </w:r>
      <w:r>
        <w:t>Plan</w:t>
      </w:r>
      <w:r>
        <w:rPr>
          <w:spacing w:val="-10"/>
        </w:rPr>
        <w:t xml:space="preserve"> </w:t>
      </w:r>
      <w:r>
        <w:t>(RAP</w:t>
      </w:r>
      <w:r>
        <w:rPr>
          <w:spacing w:val="-11"/>
        </w:rPr>
        <w:t xml:space="preserve"> </w:t>
      </w:r>
      <w:r>
        <w:t>Otsus)</w:t>
      </w:r>
      <w:r>
        <w:rPr>
          <w:spacing w:val="-9"/>
        </w:rPr>
        <w:t xml:space="preserve"> </w:t>
      </w:r>
      <w:r>
        <w:t>to</w:t>
      </w:r>
      <w:r>
        <w:rPr>
          <w:spacing w:val="-10"/>
        </w:rPr>
        <w:t xml:space="preserve"> </w:t>
      </w:r>
      <w:r>
        <w:t>better</w:t>
      </w:r>
      <w:r>
        <w:rPr>
          <w:spacing w:val="-10"/>
        </w:rPr>
        <w:t xml:space="preserve"> </w:t>
      </w:r>
      <w:r>
        <w:t>accommodate</w:t>
      </w:r>
      <w:r>
        <w:rPr>
          <w:spacing w:val="-9"/>
        </w:rPr>
        <w:t xml:space="preserve"> </w:t>
      </w:r>
      <w:r>
        <w:t>basic</w:t>
      </w:r>
      <w:r>
        <w:rPr>
          <w:spacing w:val="-8"/>
        </w:rPr>
        <w:t xml:space="preserve"> </w:t>
      </w:r>
      <w:r>
        <w:t>services</w:t>
      </w:r>
      <w:r>
        <w:rPr>
          <w:spacing w:val="-7"/>
        </w:rPr>
        <w:t xml:space="preserve"> </w:t>
      </w:r>
      <w:r>
        <w:t>and</w:t>
      </w:r>
      <w:r>
        <w:rPr>
          <w:spacing w:val="-10"/>
        </w:rPr>
        <w:t xml:space="preserve"> </w:t>
      </w:r>
      <w:r>
        <w:t>Gender</w:t>
      </w:r>
      <w:r>
        <w:rPr>
          <w:spacing w:val="-7"/>
        </w:rPr>
        <w:t xml:space="preserve"> </w:t>
      </w:r>
      <w:r>
        <w:t>Equality,</w:t>
      </w:r>
      <w:r>
        <w:rPr>
          <w:spacing w:val="-7"/>
        </w:rPr>
        <w:t xml:space="preserve"> </w:t>
      </w:r>
      <w:r>
        <w:t>Disability, and Social Inclusion (GEDSI), and (b) integration of Minimum Service Standards (MSS) and GEDSI into the 2025 Regional Development Work Plan (RKPD) and Regional Revenue and Expenditure Budget (APBD).</w:t>
      </w:r>
      <w:r>
        <w:rPr>
          <w:spacing w:val="14"/>
        </w:rPr>
        <w:t xml:space="preserve"> </w:t>
      </w:r>
      <w:r>
        <w:t>The</w:t>
      </w:r>
      <w:r>
        <w:rPr>
          <w:spacing w:val="14"/>
        </w:rPr>
        <w:t xml:space="preserve"> </w:t>
      </w:r>
      <w:r>
        <w:t>results</w:t>
      </w:r>
      <w:r>
        <w:rPr>
          <w:spacing w:val="14"/>
        </w:rPr>
        <w:t xml:space="preserve"> </w:t>
      </w:r>
      <w:r>
        <w:t>of</w:t>
      </w:r>
      <w:r>
        <w:rPr>
          <w:spacing w:val="14"/>
        </w:rPr>
        <w:t xml:space="preserve"> </w:t>
      </w:r>
      <w:r>
        <w:t>the M&amp;E</w:t>
      </w:r>
      <w:r>
        <w:rPr>
          <w:spacing w:val="13"/>
        </w:rPr>
        <w:t xml:space="preserve"> </w:t>
      </w:r>
      <w:r>
        <w:t>on</w:t>
      </w:r>
      <w:r>
        <w:rPr>
          <w:spacing w:val="16"/>
        </w:rPr>
        <w:t xml:space="preserve"> </w:t>
      </w:r>
      <w:r>
        <w:t>these</w:t>
      </w:r>
      <w:r>
        <w:rPr>
          <w:spacing w:val="14"/>
        </w:rPr>
        <w:t xml:space="preserve"> </w:t>
      </w:r>
      <w:r>
        <w:t>two</w:t>
      </w:r>
      <w:r>
        <w:rPr>
          <w:spacing w:val="13"/>
        </w:rPr>
        <w:t xml:space="preserve"> </w:t>
      </w:r>
      <w:r>
        <w:t>topics</w:t>
      </w:r>
      <w:r>
        <w:rPr>
          <w:spacing w:val="14"/>
        </w:rPr>
        <w:t xml:space="preserve"> </w:t>
      </w:r>
      <w:r>
        <w:t>provide</w:t>
      </w:r>
      <w:r>
        <w:rPr>
          <w:spacing w:val="14"/>
        </w:rPr>
        <w:t xml:space="preserve"> </w:t>
      </w:r>
      <w:r>
        <w:t>input</w:t>
      </w:r>
      <w:r>
        <w:rPr>
          <w:spacing w:val="12"/>
        </w:rPr>
        <w:t xml:space="preserve"> </w:t>
      </w:r>
      <w:r>
        <w:t>for</w:t>
      </w:r>
      <w:r>
        <w:rPr>
          <w:spacing w:val="14"/>
        </w:rPr>
        <w:t xml:space="preserve"> </w:t>
      </w:r>
      <w:r>
        <w:t>the</w:t>
      </w:r>
      <w:r>
        <w:rPr>
          <w:spacing w:val="12"/>
        </w:rPr>
        <w:t xml:space="preserve"> </w:t>
      </w:r>
      <w:r>
        <w:t>SKALA</w:t>
      </w:r>
      <w:r>
        <w:rPr>
          <w:spacing w:val="16"/>
        </w:rPr>
        <w:t xml:space="preserve"> </w:t>
      </w:r>
      <w:r>
        <w:t>team</w:t>
      </w:r>
      <w:r>
        <w:rPr>
          <w:spacing w:val="14"/>
        </w:rPr>
        <w:t xml:space="preserve"> </w:t>
      </w:r>
      <w:r>
        <w:t>to</w:t>
      </w:r>
      <w:r>
        <w:rPr>
          <w:spacing w:val="15"/>
        </w:rPr>
        <w:t xml:space="preserve"> </w:t>
      </w:r>
      <w:r>
        <w:t>strengthen</w:t>
      </w:r>
    </w:p>
    <w:p w14:paraId="41BA5E81" w14:textId="77777777" w:rsidR="00BC24A8" w:rsidRDefault="00BC24A8">
      <w:pPr>
        <w:pStyle w:val="BodyText"/>
        <w:rPr>
          <w:sz w:val="20"/>
        </w:rPr>
      </w:pPr>
    </w:p>
    <w:p w14:paraId="25C84FD5" w14:textId="77777777" w:rsidR="00BC24A8" w:rsidRDefault="00BC24A8">
      <w:pPr>
        <w:pStyle w:val="BodyText"/>
        <w:rPr>
          <w:sz w:val="20"/>
        </w:rPr>
      </w:pPr>
    </w:p>
    <w:p w14:paraId="10AB7779" w14:textId="77777777" w:rsidR="00BC24A8" w:rsidRDefault="00000000">
      <w:pPr>
        <w:pStyle w:val="BodyText"/>
        <w:spacing w:before="8"/>
        <w:rPr>
          <w:sz w:val="20"/>
        </w:rPr>
      </w:pPr>
      <w:r>
        <w:rPr>
          <w:noProof/>
          <w:sz w:val="20"/>
        </w:rPr>
        <mc:AlternateContent>
          <mc:Choice Requires="wps">
            <w:drawing>
              <wp:anchor distT="0" distB="0" distL="0" distR="0" simplePos="0" relativeHeight="487627264" behindDoc="1" locked="0" layoutInCell="1" allowOverlap="1" wp14:anchorId="37CF6167" wp14:editId="4175AC35">
                <wp:simplePos x="0" y="0"/>
                <wp:positionH relativeFrom="page">
                  <wp:posOffset>900683</wp:posOffset>
                </wp:positionH>
                <wp:positionV relativeFrom="paragraph">
                  <wp:posOffset>175881</wp:posOffset>
                </wp:positionV>
                <wp:extent cx="1828800" cy="9525"/>
                <wp:effectExtent l="0" t="0" r="0" b="0"/>
                <wp:wrapTopAndBottom/>
                <wp:docPr id="250" name="Graphic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C2C58F" id="Graphic 250" o:spid="_x0000_s1026" alt="&quot;&quot;" style="position:absolute;margin-left:70.9pt;margin-top:13.85pt;width:2in;height:.75pt;z-index:-156892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" path="m1828800,l,,,9144r1828800,l1828800,xe" fillcolor="black" stroked="f">
                <v:path arrowok="t"/>
                <w10:wrap type="topAndBottom" anchorx="page"/>
              </v:shape>
            </w:pict>
          </mc:Fallback>
        </mc:AlternateContent>
      </w:r>
    </w:p>
    <w:p w14:paraId="1D130F50" w14:textId="77777777" w:rsidR="00BC24A8" w:rsidRDefault="00BC24A8">
      <w:pPr>
        <w:pStyle w:val="BodyText"/>
        <w:spacing w:before="105"/>
        <w:rPr>
          <w:sz w:val="16"/>
        </w:rPr>
      </w:pPr>
    </w:p>
    <w:p w14:paraId="7F3F25EF" w14:textId="77777777" w:rsidR="00BC24A8" w:rsidRDefault="00000000">
      <w:pPr>
        <w:spacing w:before="1"/>
        <w:ind w:left="143" w:right="648"/>
        <w:rPr>
          <w:sz w:val="16"/>
        </w:rPr>
      </w:pPr>
      <w:bookmarkStart w:id="209" w:name="_bookmark143"/>
      <w:bookmarkEnd w:id="209"/>
      <w:r>
        <w:rPr>
          <w:color w:val="767070"/>
          <w:sz w:val="16"/>
          <w:vertAlign w:val="superscript"/>
        </w:rPr>
        <w:t>71</w:t>
      </w:r>
      <w:r>
        <w:rPr>
          <w:color w:val="767070"/>
          <w:sz w:val="16"/>
        </w:rPr>
        <w:t xml:space="preserve"> Tourism and fisheries, marine spatial management, regional connectivity, environmental preservation, disaster resilience, social</w:t>
      </w:r>
      <w:r>
        <w:rPr>
          <w:color w:val="767070"/>
          <w:spacing w:val="40"/>
          <w:sz w:val="16"/>
        </w:rPr>
        <w:t xml:space="preserve"> </w:t>
      </w:r>
      <w:r>
        <w:rPr>
          <w:color w:val="767070"/>
          <w:sz w:val="16"/>
        </w:rPr>
        <w:t>harmonisation,</w:t>
      </w:r>
      <w:r>
        <w:rPr>
          <w:color w:val="767070"/>
          <w:spacing w:val="-7"/>
          <w:sz w:val="16"/>
        </w:rPr>
        <w:t xml:space="preserve"> </w:t>
      </w:r>
      <w:r>
        <w:rPr>
          <w:color w:val="767070"/>
          <w:sz w:val="16"/>
        </w:rPr>
        <w:t>asymmetric</w:t>
      </w:r>
      <w:r>
        <w:rPr>
          <w:color w:val="767070"/>
          <w:spacing w:val="-7"/>
          <w:sz w:val="16"/>
        </w:rPr>
        <w:t xml:space="preserve"> </w:t>
      </w:r>
      <w:r>
        <w:rPr>
          <w:color w:val="767070"/>
          <w:sz w:val="16"/>
        </w:rPr>
        <w:t>decentralisation,</w:t>
      </w:r>
      <w:r>
        <w:rPr>
          <w:color w:val="767070"/>
          <w:spacing w:val="-7"/>
          <w:sz w:val="16"/>
        </w:rPr>
        <w:t xml:space="preserve"> </w:t>
      </w:r>
      <w:r>
        <w:rPr>
          <w:color w:val="767070"/>
          <w:sz w:val="16"/>
        </w:rPr>
        <w:t>empowerment</w:t>
      </w:r>
      <w:r>
        <w:rPr>
          <w:color w:val="767070"/>
          <w:spacing w:val="-8"/>
          <w:sz w:val="16"/>
        </w:rPr>
        <w:t xml:space="preserve"> </w:t>
      </w:r>
      <w:r>
        <w:rPr>
          <w:color w:val="767070"/>
          <w:sz w:val="16"/>
        </w:rPr>
        <w:t>of</w:t>
      </w:r>
      <w:r>
        <w:rPr>
          <w:color w:val="767070"/>
          <w:spacing w:val="-6"/>
          <w:sz w:val="16"/>
        </w:rPr>
        <w:t xml:space="preserve"> </w:t>
      </w:r>
      <w:r>
        <w:rPr>
          <w:color w:val="767070"/>
          <w:sz w:val="16"/>
        </w:rPr>
        <w:t>Indigenous</w:t>
      </w:r>
      <w:r>
        <w:rPr>
          <w:color w:val="767070"/>
          <w:spacing w:val="-6"/>
          <w:sz w:val="16"/>
        </w:rPr>
        <w:t xml:space="preserve"> </w:t>
      </w:r>
      <w:r>
        <w:rPr>
          <w:color w:val="767070"/>
          <w:sz w:val="16"/>
        </w:rPr>
        <w:t>peoples,</w:t>
      </w:r>
      <w:r>
        <w:rPr>
          <w:color w:val="767070"/>
          <w:spacing w:val="-7"/>
          <w:sz w:val="16"/>
        </w:rPr>
        <w:t xml:space="preserve"> </w:t>
      </w:r>
      <w:r>
        <w:rPr>
          <w:color w:val="767070"/>
          <w:sz w:val="16"/>
        </w:rPr>
        <w:t>improvement</w:t>
      </w:r>
      <w:r>
        <w:rPr>
          <w:color w:val="767070"/>
          <w:spacing w:val="-8"/>
          <w:sz w:val="16"/>
        </w:rPr>
        <w:t xml:space="preserve"> </w:t>
      </w:r>
      <w:r>
        <w:rPr>
          <w:color w:val="767070"/>
          <w:sz w:val="16"/>
        </w:rPr>
        <w:t>of</w:t>
      </w:r>
      <w:r>
        <w:rPr>
          <w:color w:val="767070"/>
          <w:spacing w:val="-6"/>
          <w:sz w:val="16"/>
        </w:rPr>
        <w:t xml:space="preserve"> </w:t>
      </w:r>
      <w:r>
        <w:rPr>
          <w:color w:val="767070"/>
          <w:sz w:val="16"/>
        </w:rPr>
        <w:t>human</w:t>
      </w:r>
      <w:r>
        <w:rPr>
          <w:color w:val="767070"/>
          <w:spacing w:val="-6"/>
          <w:sz w:val="16"/>
        </w:rPr>
        <w:t xml:space="preserve"> </w:t>
      </w:r>
      <w:r>
        <w:rPr>
          <w:color w:val="767070"/>
          <w:sz w:val="16"/>
        </w:rPr>
        <w:t>resources</w:t>
      </w:r>
      <w:r>
        <w:rPr>
          <w:color w:val="767070"/>
          <w:spacing w:val="-6"/>
          <w:sz w:val="16"/>
        </w:rPr>
        <w:t xml:space="preserve"> </w:t>
      </w:r>
      <w:r>
        <w:rPr>
          <w:color w:val="767070"/>
          <w:sz w:val="16"/>
        </w:rPr>
        <w:t>quality,</w:t>
      </w:r>
      <w:r>
        <w:rPr>
          <w:color w:val="767070"/>
          <w:spacing w:val="-7"/>
          <w:sz w:val="16"/>
        </w:rPr>
        <w:t xml:space="preserve"> </w:t>
      </w:r>
      <w:r>
        <w:rPr>
          <w:color w:val="767070"/>
          <w:sz w:val="16"/>
        </w:rPr>
        <w:t>poverty</w:t>
      </w:r>
      <w:r>
        <w:rPr>
          <w:color w:val="767070"/>
          <w:spacing w:val="40"/>
          <w:sz w:val="16"/>
        </w:rPr>
        <w:t xml:space="preserve"> </w:t>
      </w:r>
      <w:r>
        <w:rPr>
          <w:color w:val="767070"/>
          <w:sz w:val="16"/>
        </w:rPr>
        <w:t>reduction, and strengthening of government capacity and village-based development.</w:t>
      </w:r>
    </w:p>
    <w:p w14:paraId="349F32AB" w14:textId="77777777" w:rsidR="00BC24A8" w:rsidRDefault="00000000">
      <w:pPr>
        <w:ind w:left="143" w:right="648" w:hanging="1"/>
        <w:rPr>
          <w:sz w:val="16"/>
        </w:rPr>
      </w:pPr>
      <w:bookmarkStart w:id="210" w:name="_bookmark144"/>
      <w:bookmarkEnd w:id="210"/>
      <w:r>
        <w:rPr>
          <w:color w:val="767070"/>
          <w:sz w:val="16"/>
          <w:vertAlign w:val="superscript"/>
        </w:rPr>
        <w:t>72</w:t>
      </w:r>
      <w:r>
        <w:rPr>
          <w:color w:val="767070"/>
          <w:spacing w:val="-5"/>
          <w:sz w:val="16"/>
        </w:rPr>
        <w:t xml:space="preserve"> </w:t>
      </w:r>
      <w:r>
        <w:rPr>
          <w:color w:val="767070"/>
          <w:sz w:val="16"/>
        </w:rPr>
        <w:t>The</w:t>
      </w:r>
      <w:r>
        <w:rPr>
          <w:color w:val="767070"/>
          <w:spacing w:val="-5"/>
          <w:sz w:val="16"/>
        </w:rPr>
        <w:t xml:space="preserve"> </w:t>
      </w:r>
      <w:r>
        <w:rPr>
          <w:color w:val="767070"/>
          <w:sz w:val="16"/>
        </w:rPr>
        <w:t>Joint</w:t>
      </w:r>
      <w:r>
        <w:rPr>
          <w:color w:val="767070"/>
          <w:spacing w:val="-5"/>
          <w:sz w:val="16"/>
        </w:rPr>
        <w:t xml:space="preserve"> </w:t>
      </w:r>
      <w:r>
        <w:rPr>
          <w:color w:val="767070"/>
          <w:sz w:val="16"/>
        </w:rPr>
        <w:t>Strategic</w:t>
      </w:r>
      <w:r>
        <w:rPr>
          <w:color w:val="767070"/>
          <w:spacing w:val="-6"/>
          <w:sz w:val="16"/>
        </w:rPr>
        <w:t xml:space="preserve"> </w:t>
      </w:r>
      <w:r>
        <w:rPr>
          <w:color w:val="767070"/>
          <w:sz w:val="16"/>
        </w:rPr>
        <w:t>Priority</w:t>
      </w:r>
      <w:r>
        <w:rPr>
          <w:color w:val="767070"/>
          <w:spacing w:val="-4"/>
          <w:sz w:val="16"/>
        </w:rPr>
        <w:t xml:space="preserve"> </w:t>
      </w:r>
      <w:r>
        <w:rPr>
          <w:color w:val="767070"/>
          <w:sz w:val="16"/>
        </w:rPr>
        <w:t>Program</w:t>
      </w:r>
      <w:r>
        <w:rPr>
          <w:color w:val="767070"/>
          <w:spacing w:val="-5"/>
          <w:sz w:val="16"/>
        </w:rPr>
        <w:t xml:space="preserve"> </w:t>
      </w:r>
      <w:r>
        <w:rPr>
          <w:color w:val="767070"/>
          <w:sz w:val="16"/>
        </w:rPr>
        <w:t>(PPSB)</w:t>
      </w:r>
      <w:r>
        <w:rPr>
          <w:color w:val="767070"/>
          <w:spacing w:val="-5"/>
          <w:sz w:val="16"/>
        </w:rPr>
        <w:t xml:space="preserve"> </w:t>
      </w:r>
      <w:r>
        <w:rPr>
          <w:color w:val="767070"/>
          <w:sz w:val="16"/>
        </w:rPr>
        <w:t>is</w:t>
      </w:r>
      <w:r>
        <w:rPr>
          <w:color w:val="767070"/>
          <w:spacing w:val="-4"/>
          <w:sz w:val="16"/>
        </w:rPr>
        <w:t xml:space="preserve"> </w:t>
      </w:r>
      <w:r>
        <w:rPr>
          <w:color w:val="767070"/>
          <w:sz w:val="16"/>
        </w:rPr>
        <w:t>a</w:t>
      </w:r>
      <w:r>
        <w:rPr>
          <w:color w:val="767070"/>
          <w:spacing w:val="-6"/>
          <w:sz w:val="16"/>
        </w:rPr>
        <w:t xml:space="preserve"> </w:t>
      </w:r>
      <w:r>
        <w:rPr>
          <w:color w:val="767070"/>
          <w:sz w:val="16"/>
        </w:rPr>
        <w:t>collaborative</w:t>
      </w:r>
      <w:r>
        <w:rPr>
          <w:color w:val="767070"/>
          <w:spacing w:val="-5"/>
          <w:sz w:val="16"/>
        </w:rPr>
        <w:t xml:space="preserve"> </w:t>
      </w:r>
      <w:r>
        <w:rPr>
          <w:color w:val="767070"/>
          <w:sz w:val="16"/>
        </w:rPr>
        <w:t>initiative</w:t>
      </w:r>
      <w:r>
        <w:rPr>
          <w:color w:val="767070"/>
          <w:spacing w:val="-5"/>
          <w:sz w:val="16"/>
        </w:rPr>
        <w:t xml:space="preserve"> </w:t>
      </w:r>
      <w:r>
        <w:rPr>
          <w:color w:val="767070"/>
          <w:sz w:val="16"/>
        </w:rPr>
        <w:t>between</w:t>
      </w:r>
      <w:r>
        <w:rPr>
          <w:color w:val="767070"/>
          <w:spacing w:val="-4"/>
          <w:sz w:val="16"/>
        </w:rPr>
        <w:t xml:space="preserve"> </w:t>
      </w:r>
      <w:r>
        <w:rPr>
          <w:color w:val="767070"/>
          <w:sz w:val="16"/>
        </w:rPr>
        <w:t>the</w:t>
      </w:r>
      <w:r>
        <w:rPr>
          <w:color w:val="767070"/>
          <w:spacing w:val="-5"/>
          <w:sz w:val="16"/>
        </w:rPr>
        <w:t xml:space="preserve"> </w:t>
      </w:r>
      <w:r>
        <w:rPr>
          <w:color w:val="767070"/>
          <w:sz w:val="16"/>
        </w:rPr>
        <w:t>provincial</w:t>
      </w:r>
      <w:r>
        <w:rPr>
          <w:color w:val="767070"/>
          <w:spacing w:val="-4"/>
          <w:sz w:val="16"/>
        </w:rPr>
        <w:t xml:space="preserve"> </w:t>
      </w:r>
      <w:r>
        <w:rPr>
          <w:color w:val="767070"/>
          <w:sz w:val="16"/>
        </w:rPr>
        <w:t>government</w:t>
      </w:r>
      <w:r>
        <w:rPr>
          <w:color w:val="767070"/>
          <w:spacing w:val="-5"/>
          <w:sz w:val="16"/>
        </w:rPr>
        <w:t xml:space="preserve"> </w:t>
      </w:r>
      <w:r>
        <w:rPr>
          <w:color w:val="767070"/>
          <w:sz w:val="16"/>
        </w:rPr>
        <w:t>and</w:t>
      </w:r>
      <w:r>
        <w:rPr>
          <w:color w:val="767070"/>
          <w:spacing w:val="-7"/>
          <w:sz w:val="16"/>
        </w:rPr>
        <w:t xml:space="preserve"> </w:t>
      </w:r>
      <w:r>
        <w:rPr>
          <w:color w:val="767070"/>
          <w:sz w:val="16"/>
        </w:rPr>
        <w:t>district/city</w:t>
      </w:r>
      <w:r>
        <w:rPr>
          <w:color w:val="767070"/>
          <w:spacing w:val="-4"/>
          <w:sz w:val="16"/>
        </w:rPr>
        <w:t xml:space="preserve"> </w:t>
      </w:r>
      <w:r>
        <w:rPr>
          <w:color w:val="767070"/>
          <w:sz w:val="16"/>
        </w:rPr>
        <w:t>governments</w:t>
      </w:r>
      <w:r>
        <w:rPr>
          <w:color w:val="767070"/>
          <w:spacing w:val="-4"/>
          <w:sz w:val="16"/>
        </w:rPr>
        <w:t xml:space="preserve"> </w:t>
      </w:r>
      <w:r>
        <w:rPr>
          <w:color w:val="767070"/>
          <w:sz w:val="16"/>
        </w:rPr>
        <w:t>to</w:t>
      </w:r>
      <w:r>
        <w:rPr>
          <w:color w:val="767070"/>
          <w:spacing w:val="40"/>
          <w:sz w:val="16"/>
        </w:rPr>
        <w:t xml:space="preserve"> </w:t>
      </w:r>
      <w:r>
        <w:rPr>
          <w:color w:val="767070"/>
          <w:sz w:val="16"/>
        </w:rPr>
        <w:t>design and implement programs with direct community impact, particularly for Indigenous Papuans (OAP), in order to promote policy</w:t>
      </w:r>
      <w:r>
        <w:rPr>
          <w:color w:val="767070"/>
          <w:spacing w:val="40"/>
          <w:sz w:val="16"/>
        </w:rPr>
        <w:t xml:space="preserve"> </w:t>
      </w:r>
      <w:r>
        <w:rPr>
          <w:color w:val="767070"/>
          <w:sz w:val="16"/>
        </w:rPr>
        <w:t>alignment and effective use of the Special Autonomy Fund.</w:t>
      </w:r>
    </w:p>
    <w:p w14:paraId="5A6792E0" w14:textId="77777777" w:rsidR="00BC24A8" w:rsidRDefault="00BC24A8">
      <w:pPr>
        <w:rPr>
          <w:sz w:val="16"/>
        </w:rPr>
        <w:sectPr w:rsidR="00BC24A8">
          <w:pgSz w:w="11910" w:h="16840"/>
          <w:pgMar w:top="1360" w:right="850" w:bottom="1100" w:left="1275" w:header="0" w:footer="907" w:gutter="0"/>
          <w:cols w:space="720"/>
        </w:sectPr>
      </w:pPr>
    </w:p>
    <w:p w14:paraId="527A8386" w14:textId="77777777" w:rsidR="00BC24A8" w:rsidRDefault="00000000">
      <w:pPr>
        <w:pStyle w:val="BodyText"/>
        <w:spacing w:before="39" w:line="276" w:lineRule="auto"/>
        <w:ind w:left="143" w:right="648"/>
      </w:pPr>
      <w:r>
        <w:t>program</w:t>
      </w:r>
      <w:r>
        <w:rPr>
          <w:spacing w:val="40"/>
        </w:rPr>
        <w:t xml:space="preserve"> </w:t>
      </w:r>
      <w:r>
        <w:t>governance</w:t>
      </w:r>
      <w:r>
        <w:rPr>
          <w:spacing w:val="40"/>
        </w:rPr>
        <w:t xml:space="preserve"> </w:t>
      </w:r>
      <w:r>
        <w:t>in</w:t>
      </w:r>
      <w:r>
        <w:rPr>
          <w:spacing w:val="40"/>
        </w:rPr>
        <w:t xml:space="preserve"> </w:t>
      </w:r>
      <w:r>
        <w:t>Papua</w:t>
      </w:r>
      <w:r>
        <w:rPr>
          <w:spacing w:val="40"/>
        </w:rPr>
        <w:t xml:space="preserve"> </w:t>
      </w:r>
      <w:r>
        <w:t>Barat</w:t>
      </w:r>
      <w:r>
        <w:rPr>
          <w:spacing w:val="40"/>
        </w:rPr>
        <w:t xml:space="preserve"> </w:t>
      </w:r>
      <w:r>
        <w:t>Daya,</w:t>
      </w:r>
      <w:r>
        <w:rPr>
          <w:spacing w:val="40"/>
        </w:rPr>
        <w:t xml:space="preserve"> </w:t>
      </w:r>
      <w:r>
        <w:t>while</w:t>
      </w:r>
      <w:r>
        <w:rPr>
          <w:spacing w:val="40"/>
        </w:rPr>
        <w:t xml:space="preserve"> </w:t>
      </w:r>
      <w:r>
        <w:t>also</w:t>
      </w:r>
      <w:r>
        <w:rPr>
          <w:spacing w:val="40"/>
        </w:rPr>
        <w:t xml:space="preserve"> </w:t>
      </w:r>
      <w:r>
        <w:t>serving</w:t>
      </w:r>
      <w:r>
        <w:rPr>
          <w:spacing w:val="40"/>
        </w:rPr>
        <w:t xml:space="preserve"> </w:t>
      </w:r>
      <w:r>
        <w:t>as</w:t>
      </w:r>
      <w:r>
        <w:rPr>
          <w:spacing w:val="40"/>
        </w:rPr>
        <w:t xml:space="preserve"> </w:t>
      </w:r>
      <w:r>
        <w:t>a</w:t>
      </w:r>
      <w:r>
        <w:rPr>
          <w:spacing w:val="40"/>
        </w:rPr>
        <w:t xml:space="preserve"> </w:t>
      </w:r>
      <w:r>
        <w:t>reflection</w:t>
      </w:r>
      <w:r>
        <w:rPr>
          <w:spacing w:val="40"/>
        </w:rPr>
        <w:t xml:space="preserve"> </w:t>
      </w:r>
      <w:r>
        <w:t>forum</w:t>
      </w:r>
      <w:r>
        <w:rPr>
          <w:spacing w:val="40"/>
        </w:rPr>
        <w:t xml:space="preserve"> </w:t>
      </w:r>
      <w:r>
        <w:t>for</w:t>
      </w:r>
      <w:r>
        <w:rPr>
          <w:spacing w:val="40"/>
        </w:rPr>
        <w:t xml:space="preserve"> </w:t>
      </w:r>
      <w:r>
        <w:t>the</w:t>
      </w:r>
      <w:r>
        <w:rPr>
          <w:spacing w:val="40"/>
        </w:rPr>
        <w:t xml:space="preserve"> </w:t>
      </w:r>
      <w:r>
        <w:t>local government in planning Otsus and other programs that prioritise MSS and GEDSI.</w:t>
      </w:r>
    </w:p>
    <w:p w14:paraId="411497F4" w14:textId="77777777" w:rsidR="00BC24A8" w:rsidRDefault="00BC24A8">
      <w:pPr>
        <w:pStyle w:val="BodyText"/>
        <w:spacing w:before="205"/>
      </w:pPr>
    </w:p>
    <w:p w14:paraId="4E16312C" w14:textId="77777777" w:rsidR="00BC24A8" w:rsidRDefault="00000000">
      <w:pPr>
        <w:spacing w:before="1"/>
        <w:ind w:left="143"/>
        <w:rPr>
          <w:i/>
        </w:rPr>
      </w:pPr>
      <w:r>
        <w:rPr>
          <w:i/>
          <w:color w:val="1F3762"/>
        </w:rPr>
        <w:t>Program</w:t>
      </w:r>
      <w:r>
        <w:rPr>
          <w:i/>
          <w:color w:val="1F3762"/>
          <w:spacing w:val="-9"/>
        </w:rPr>
        <w:t xml:space="preserve"> </w:t>
      </w:r>
      <w:r>
        <w:rPr>
          <w:i/>
          <w:color w:val="1F3762"/>
        </w:rPr>
        <w:t>Implementation</w:t>
      </w:r>
      <w:r>
        <w:rPr>
          <w:i/>
          <w:color w:val="1F3762"/>
          <w:spacing w:val="-9"/>
        </w:rPr>
        <w:t xml:space="preserve"> </w:t>
      </w:r>
      <w:r>
        <w:rPr>
          <w:i/>
          <w:color w:val="1F3762"/>
        </w:rPr>
        <w:t>and</w:t>
      </w:r>
      <w:r>
        <w:rPr>
          <w:i/>
          <w:color w:val="1F3762"/>
          <w:spacing w:val="-9"/>
        </w:rPr>
        <w:t xml:space="preserve"> </w:t>
      </w:r>
      <w:r>
        <w:rPr>
          <w:i/>
          <w:color w:val="1F3762"/>
        </w:rPr>
        <w:t>Learning</w:t>
      </w:r>
      <w:r>
        <w:rPr>
          <w:i/>
          <w:color w:val="1F3762"/>
          <w:spacing w:val="-7"/>
        </w:rPr>
        <w:t xml:space="preserve"> </w:t>
      </w:r>
      <w:r>
        <w:rPr>
          <w:i/>
          <w:color w:val="1F3762"/>
          <w:spacing w:val="-2"/>
        </w:rPr>
        <w:t>Results/Progress</w:t>
      </w:r>
    </w:p>
    <w:p w14:paraId="44695467" w14:textId="77777777" w:rsidR="00BC24A8" w:rsidRDefault="00000000">
      <w:pPr>
        <w:pStyle w:val="Heading5"/>
        <w:spacing w:before="43"/>
      </w:pPr>
      <w:r>
        <w:rPr>
          <w:color w:val="272727"/>
        </w:rPr>
        <w:t>Summary</w:t>
      </w:r>
      <w:r>
        <w:rPr>
          <w:color w:val="272727"/>
          <w:spacing w:val="-3"/>
        </w:rPr>
        <w:t xml:space="preserve"> </w:t>
      </w:r>
      <w:r>
        <w:rPr>
          <w:color w:val="272727"/>
        </w:rPr>
        <w:t>of</w:t>
      </w:r>
      <w:r>
        <w:rPr>
          <w:color w:val="272727"/>
          <w:spacing w:val="-4"/>
        </w:rPr>
        <w:t xml:space="preserve"> </w:t>
      </w:r>
      <w:r>
        <w:rPr>
          <w:color w:val="272727"/>
        </w:rPr>
        <w:t>results</w:t>
      </w:r>
      <w:r>
        <w:rPr>
          <w:color w:val="272727"/>
          <w:spacing w:val="-3"/>
        </w:rPr>
        <w:t xml:space="preserve"> </w:t>
      </w:r>
      <w:r>
        <w:rPr>
          <w:color w:val="272727"/>
        </w:rPr>
        <w:t>at</w:t>
      </w:r>
      <w:r>
        <w:rPr>
          <w:color w:val="272727"/>
          <w:spacing w:val="-4"/>
        </w:rPr>
        <w:t xml:space="preserve"> </w:t>
      </w:r>
      <w:r>
        <w:rPr>
          <w:color w:val="272727"/>
        </w:rPr>
        <w:t>the</w:t>
      </w:r>
      <w:r>
        <w:rPr>
          <w:color w:val="272727"/>
          <w:spacing w:val="-7"/>
        </w:rPr>
        <w:t xml:space="preserve"> </w:t>
      </w:r>
      <w:r>
        <w:rPr>
          <w:color w:val="272727"/>
        </w:rPr>
        <w:t>Input</w:t>
      </w:r>
      <w:r>
        <w:rPr>
          <w:color w:val="272727"/>
          <w:spacing w:val="-3"/>
        </w:rPr>
        <w:t xml:space="preserve"> </w:t>
      </w:r>
      <w:r>
        <w:rPr>
          <w:color w:val="272727"/>
          <w:spacing w:val="-4"/>
        </w:rPr>
        <w:t>level</w:t>
      </w:r>
    </w:p>
    <w:p w14:paraId="17D7D115" w14:textId="77777777" w:rsidR="00BC24A8" w:rsidRDefault="00BC24A8">
      <w:pPr>
        <w:pStyle w:val="BodyText"/>
        <w:spacing w:before="37"/>
        <w:rPr>
          <w:rFonts w:ascii="Calibri"/>
          <w:b/>
        </w:rPr>
      </w:pPr>
    </w:p>
    <w:p w14:paraId="4D7CC80D" w14:textId="77777777" w:rsidR="00BC24A8" w:rsidRDefault="00000000">
      <w:pPr>
        <w:ind w:left="143"/>
        <w:rPr>
          <w:rFonts w:ascii="Calibri" w:hAnsi="Calibri"/>
          <w:b/>
        </w:rPr>
      </w:pPr>
      <w:bookmarkStart w:id="211" w:name="_bookmark145"/>
      <w:bookmarkEnd w:id="211"/>
      <w:r>
        <w:rPr>
          <w:rFonts w:ascii="Calibri" w:hAnsi="Calibri"/>
          <w:b/>
          <w:color w:val="767070"/>
        </w:rPr>
        <w:t>Table</w:t>
      </w:r>
      <w:r>
        <w:rPr>
          <w:rFonts w:ascii="Calibri" w:hAnsi="Calibri"/>
          <w:b/>
          <w:color w:val="767070"/>
          <w:spacing w:val="-11"/>
        </w:rPr>
        <w:t xml:space="preserve"> </w:t>
      </w:r>
      <w:r>
        <w:rPr>
          <w:rFonts w:ascii="Calibri" w:hAnsi="Calibri"/>
          <w:b/>
          <w:color w:val="767070"/>
        </w:rPr>
        <w:t>20:</w:t>
      </w:r>
      <w:r>
        <w:rPr>
          <w:rFonts w:ascii="Calibri" w:hAnsi="Calibri"/>
          <w:b/>
          <w:color w:val="767070"/>
          <w:spacing w:val="-10"/>
        </w:rPr>
        <w:t xml:space="preserve"> </w:t>
      </w:r>
      <w:r>
        <w:rPr>
          <w:rFonts w:ascii="Calibri" w:hAnsi="Calibri"/>
          <w:b/>
          <w:color w:val="767070"/>
        </w:rPr>
        <w:t>Table</w:t>
      </w:r>
      <w:r>
        <w:rPr>
          <w:rFonts w:ascii="Calibri" w:hAnsi="Calibri"/>
          <w:b/>
          <w:color w:val="767070"/>
          <w:spacing w:val="-10"/>
        </w:rPr>
        <w:t xml:space="preserve"> </w:t>
      </w:r>
      <w:r>
        <w:rPr>
          <w:rFonts w:ascii="Calibri" w:hAnsi="Calibri"/>
          <w:b/>
          <w:color w:val="767070"/>
        </w:rPr>
        <w:t>of</w:t>
      </w:r>
      <w:r>
        <w:rPr>
          <w:rFonts w:ascii="Calibri" w:hAnsi="Calibri"/>
          <w:b/>
          <w:color w:val="767070"/>
          <w:spacing w:val="-9"/>
        </w:rPr>
        <w:t xml:space="preserve"> </w:t>
      </w:r>
      <w:r>
        <w:rPr>
          <w:rFonts w:ascii="Calibri" w:hAnsi="Calibri"/>
          <w:b/>
          <w:color w:val="767070"/>
        </w:rPr>
        <w:t>program</w:t>
      </w:r>
      <w:r>
        <w:rPr>
          <w:rFonts w:ascii="Calibri" w:hAnsi="Calibri"/>
          <w:b/>
          <w:color w:val="767070"/>
          <w:spacing w:val="-11"/>
        </w:rPr>
        <w:t xml:space="preserve"> </w:t>
      </w:r>
      <w:r>
        <w:rPr>
          <w:rFonts w:ascii="Calibri" w:hAnsi="Calibri"/>
          <w:b/>
          <w:color w:val="767070"/>
        </w:rPr>
        <w:t>input</w:t>
      </w:r>
      <w:r>
        <w:rPr>
          <w:rFonts w:ascii="Calibri" w:hAnsi="Calibri"/>
          <w:b/>
          <w:color w:val="767070"/>
          <w:spacing w:val="-9"/>
        </w:rPr>
        <w:t xml:space="preserve"> </w:t>
      </w:r>
      <w:r>
        <w:rPr>
          <w:rFonts w:ascii="Calibri" w:hAnsi="Calibri"/>
          <w:b/>
          <w:color w:val="767070"/>
        </w:rPr>
        <w:t>summary</w:t>
      </w:r>
      <w:r>
        <w:rPr>
          <w:rFonts w:ascii="Calibri" w:hAnsi="Calibri"/>
          <w:b/>
          <w:color w:val="767070"/>
          <w:spacing w:val="-10"/>
        </w:rPr>
        <w:t xml:space="preserve"> </w:t>
      </w:r>
      <w:r>
        <w:rPr>
          <w:rFonts w:ascii="Calibri" w:hAnsi="Calibri"/>
          <w:b/>
          <w:color w:val="767070"/>
        </w:rPr>
        <w:t>(January–June</w:t>
      </w:r>
      <w:r>
        <w:rPr>
          <w:rFonts w:ascii="Calibri" w:hAnsi="Calibri"/>
          <w:b/>
          <w:color w:val="767070"/>
          <w:spacing w:val="-10"/>
        </w:rPr>
        <w:t xml:space="preserve"> </w:t>
      </w:r>
      <w:r>
        <w:rPr>
          <w:rFonts w:ascii="Calibri" w:hAnsi="Calibri"/>
          <w:b/>
          <w:color w:val="767070"/>
          <w:spacing w:val="-2"/>
        </w:rPr>
        <w:t>2025)</w:t>
      </w:r>
    </w:p>
    <w:p w14:paraId="4713881E" w14:textId="77777777" w:rsidR="00BC24A8" w:rsidRDefault="00BC24A8">
      <w:pPr>
        <w:pStyle w:val="BodyText"/>
        <w:spacing w:before="4" w:after="1"/>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1980"/>
        <w:gridCol w:w="1711"/>
        <w:gridCol w:w="2249"/>
        <w:gridCol w:w="3151"/>
      </w:tblGrid>
      <w:tr w:rsidR="00BC24A8" w14:paraId="0E1AD4E7" w14:textId="77777777">
        <w:trPr>
          <w:trHeight w:val="376"/>
        </w:trPr>
        <w:tc>
          <w:tcPr>
            <w:tcW w:w="1980" w:type="dxa"/>
            <w:shd w:val="clear" w:color="auto" w:fill="17365A"/>
          </w:tcPr>
          <w:p w14:paraId="5359C83B" w14:textId="77777777" w:rsidR="00BC24A8" w:rsidRDefault="00000000">
            <w:pPr>
              <w:pStyle w:val="TableParagraph"/>
              <w:spacing w:before="59"/>
              <w:ind w:left="107"/>
              <w:rPr>
                <w:rFonts w:ascii="Calibri"/>
                <w:b/>
                <w:sz w:val="20"/>
              </w:rPr>
            </w:pPr>
            <w:r>
              <w:rPr>
                <w:rFonts w:ascii="Calibri"/>
                <w:b/>
                <w:color w:val="FFFFFF"/>
                <w:sz w:val="20"/>
              </w:rPr>
              <w:t>Input</w:t>
            </w:r>
            <w:r>
              <w:rPr>
                <w:rFonts w:ascii="Calibri"/>
                <w:b/>
                <w:color w:val="FFFFFF"/>
                <w:spacing w:val="-3"/>
                <w:sz w:val="20"/>
              </w:rPr>
              <w:t xml:space="preserve"> </w:t>
            </w:r>
            <w:r>
              <w:rPr>
                <w:rFonts w:ascii="Calibri"/>
                <w:b/>
                <w:color w:val="FFFFFF"/>
                <w:spacing w:val="-4"/>
                <w:sz w:val="20"/>
              </w:rPr>
              <w:t>type</w:t>
            </w:r>
          </w:p>
        </w:tc>
        <w:tc>
          <w:tcPr>
            <w:tcW w:w="1711" w:type="dxa"/>
            <w:shd w:val="clear" w:color="auto" w:fill="17365A"/>
          </w:tcPr>
          <w:p w14:paraId="36635766" w14:textId="77777777" w:rsidR="00BC24A8" w:rsidRDefault="00000000">
            <w:pPr>
              <w:pStyle w:val="TableParagraph"/>
              <w:spacing w:before="59"/>
              <w:ind w:left="122"/>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2"/>
                <w:sz w:val="20"/>
              </w:rPr>
              <w:t>inputs</w:t>
            </w:r>
          </w:p>
        </w:tc>
        <w:tc>
          <w:tcPr>
            <w:tcW w:w="2249" w:type="dxa"/>
            <w:shd w:val="clear" w:color="auto" w:fill="17365A"/>
          </w:tcPr>
          <w:p w14:paraId="1C1CC756" w14:textId="77777777" w:rsidR="00BC24A8" w:rsidRDefault="00000000">
            <w:pPr>
              <w:pStyle w:val="TableParagraph"/>
              <w:spacing w:before="59"/>
              <w:ind w:left="129"/>
              <w:rPr>
                <w:rFonts w:ascii="Calibri"/>
                <w:b/>
                <w:sz w:val="20"/>
              </w:rPr>
            </w:pPr>
            <w:r>
              <w:rPr>
                <w:rFonts w:ascii="Calibri"/>
                <w:b/>
                <w:color w:val="FFFFFF"/>
                <w:sz w:val="20"/>
              </w:rPr>
              <w:t>Total</w:t>
            </w:r>
            <w:r>
              <w:rPr>
                <w:rFonts w:ascii="Calibri"/>
                <w:b/>
                <w:color w:val="FFFFFF"/>
                <w:spacing w:val="-6"/>
                <w:sz w:val="20"/>
              </w:rPr>
              <w:t xml:space="preserve"> </w:t>
            </w:r>
            <w:r>
              <w:rPr>
                <w:rFonts w:ascii="Calibri"/>
                <w:b/>
                <w:color w:val="FFFFFF"/>
                <w:sz w:val="20"/>
              </w:rPr>
              <w:t>budget</w:t>
            </w:r>
            <w:r>
              <w:rPr>
                <w:rFonts w:ascii="Calibri"/>
                <w:b/>
                <w:color w:val="FFFFFF"/>
                <w:spacing w:val="-5"/>
                <w:sz w:val="20"/>
              </w:rPr>
              <w:t xml:space="preserve"> </w:t>
            </w:r>
            <w:r>
              <w:rPr>
                <w:rFonts w:ascii="Calibri"/>
                <w:b/>
                <w:color w:val="FFFFFF"/>
                <w:spacing w:val="-2"/>
                <w:sz w:val="20"/>
              </w:rPr>
              <w:t>realisation</w:t>
            </w:r>
          </w:p>
        </w:tc>
        <w:tc>
          <w:tcPr>
            <w:tcW w:w="3151" w:type="dxa"/>
            <w:shd w:val="clear" w:color="auto" w:fill="17365A"/>
          </w:tcPr>
          <w:p w14:paraId="1717FB92" w14:textId="77777777" w:rsidR="00BC24A8" w:rsidRDefault="00000000">
            <w:pPr>
              <w:pStyle w:val="TableParagraph"/>
              <w:spacing w:before="59"/>
              <w:ind w:left="230"/>
              <w:rPr>
                <w:rFonts w:ascii="Calibri"/>
                <w:b/>
                <w:sz w:val="20"/>
              </w:rPr>
            </w:pPr>
            <w:r>
              <w:rPr>
                <w:rFonts w:ascii="Calibri"/>
                <w:b/>
                <w:color w:val="FFFFFF"/>
                <w:sz w:val="20"/>
              </w:rPr>
              <w:t>Number</w:t>
            </w:r>
            <w:r>
              <w:rPr>
                <w:rFonts w:ascii="Calibri"/>
                <w:b/>
                <w:color w:val="FFFFFF"/>
                <w:spacing w:val="-6"/>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participants</w:t>
            </w:r>
            <w:r>
              <w:rPr>
                <w:rFonts w:ascii="Calibri"/>
                <w:b/>
                <w:color w:val="FFFFFF"/>
                <w:spacing w:val="-5"/>
                <w:sz w:val="20"/>
              </w:rPr>
              <w:t xml:space="preserve"> </w:t>
            </w:r>
            <w:r>
              <w:rPr>
                <w:rFonts w:ascii="Calibri"/>
                <w:b/>
                <w:color w:val="FFFFFF"/>
                <w:spacing w:val="-2"/>
                <w:sz w:val="20"/>
              </w:rPr>
              <w:t>involved</w:t>
            </w:r>
          </w:p>
        </w:tc>
      </w:tr>
    </w:tbl>
    <w:p w14:paraId="3666529F" w14:textId="77777777" w:rsidR="00BC24A8" w:rsidRDefault="00000000">
      <w:pPr>
        <w:tabs>
          <w:tab w:val="left" w:pos="2932"/>
          <w:tab w:val="left" w:pos="3940"/>
          <w:tab w:val="left" w:pos="5245"/>
          <w:tab w:val="left" w:pos="6191"/>
        </w:tabs>
        <w:spacing w:before="103"/>
        <w:ind w:left="251"/>
        <w:rPr>
          <w:sz w:val="18"/>
        </w:rPr>
      </w:pPr>
      <w:r>
        <w:rPr>
          <w:sz w:val="18"/>
        </w:rPr>
        <w:t>Focus</w:t>
      </w:r>
      <w:r>
        <w:rPr>
          <w:spacing w:val="-1"/>
          <w:sz w:val="18"/>
        </w:rPr>
        <w:t xml:space="preserve"> </w:t>
      </w:r>
      <w:r>
        <w:rPr>
          <w:sz w:val="18"/>
        </w:rPr>
        <w:t>Group</w:t>
      </w:r>
      <w:r>
        <w:rPr>
          <w:spacing w:val="-1"/>
          <w:sz w:val="18"/>
        </w:rPr>
        <w:t xml:space="preserve"> </w:t>
      </w:r>
      <w:r>
        <w:rPr>
          <w:spacing w:val="-2"/>
          <w:sz w:val="18"/>
        </w:rPr>
        <w:t>Discussion</w:t>
      </w:r>
      <w:r>
        <w:rPr>
          <w:sz w:val="18"/>
        </w:rPr>
        <w:tab/>
      </w:r>
      <w:r>
        <w:rPr>
          <w:spacing w:val="-10"/>
          <w:sz w:val="18"/>
        </w:rPr>
        <w:t>2</w:t>
      </w:r>
      <w:r>
        <w:rPr>
          <w:sz w:val="18"/>
        </w:rPr>
        <w:tab/>
      </w:r>
      <w:r>
        <w:rPr>
          <w:spacing w:val="-5"/>
          <w:sz w:val="18"/>
        </w:rPr>
        <w:t>IDR</w:t>
      </w:r>
      <w:r>
        <w:rPr>
          <w:sz w:val="18"/>
        </w:rPr>
        <w:tab/>
      </w:r>
      <w:r>
        <w:rPr>
          <w:spacing w:val="-2"/>
          <w:sz w:val="18"/>
        </w:rPr>
        <w:t>8,593,848</w:t>
      </w:r>
      <w:r>
        <w:rPr>
          <w:sz w:val="18"/>
        </w:rPr>
        <w:tab/>
        <w:t>Person time</w:t>
      </w:r>
      <w:hyperlink w:anchor="_bookmark147" w:history="1">
        <w:r w:rsidR="00BC24A8">
          <w:rPr>
            <w:position w:val="5"/>
            <w:sz w:val="12"/>
          </w:rPr>
          <w:t>73</w:t>
        </w:r>
      </w:hyperlink>
      <w:r>
        <w:rPr>
          <w:sz w:val="18"/>
        </w:rPr>
        <w:t>:</w:t>
      </w:r>
      <w:r>
        <w:rPr>
          <w:spacing w:val="2"/>
          <w:sz w:val="18"/>
        </w:rPr>
        <w:t xml:space="preserve"> </w:t>
      </w:r>
      <w:r>
        <w:rPr>
          <w:sz w:val="18"/>
        </w:rPr>
        <w:t>237</w:t>
      </w:r>
      <w:r>
        <w:rPr>
          <w:spacing w:val="2"/>
          <w:sz w:val="18"/>
        </w:rPr>
        <w:t xml:space="preserve"> </w:t>
      </w:r>
      <w:r>
        <w:rPr>
          <w:spacing w:val="-2"/>
          <w:sz w:val="18"/>
        </w:rPr>
        <w:t>people</w:t>
      </w:r>
    </w:p>
    <w:p w14:paraId="0E7C7A27" w14:textId="77777777" w:rsidR="00BC24A8" w:rsidRDefault="00000000">
      <w:pPr>
        <w:pStyle w:val="ListParagraph"/>
        <w:numPr>
          <w:ilvl w:val="0"/>
          <w:numId w:val="38"/>
        </w:numPr>
        <w:tabs>
          <w:tab w:val="left" w:pos="6522"/>
        </w:tabs>
        <w:spacing w:before="1" w:line="219" w:lineRule="exact"/>
        <w:jc w:val="left"/>
        <w:rPr>
          <w:sz w:val="18"/>
        </w:rPr>
      </w:pPr>
      <w:r>
        <w:rPr>
          <w:sz w:val="18"/>
        </w:rPr>
        <w:t>Male:</w:t>
      </w:r>
      <w:r>
        <w:rPr>
          <w:spacing w:val="-2"/>
          <w:sz w:val="18"/>
        </w:rPr>
        <w:t xml:space="preserve"> </w:t>
      </w:r>
      <w:r>
        <w:rPr>
          <w:spacing w:val="-5"/>
          <w:sz w:val="18"/>
        </w:rPr>
        <w:t>112</w:t>
      </w:r>
    </w:p>
    <w:p w14:paraId="5866DC38" w14:textId="77777777" w:rsidR="00BC24A8" w:rsidRDefault="00000000">
      <w:pPr>
        <w:tabs>
          <w:tab w:val="left" w:pos="6083"/>
          <w:tab w:val="left" w:pos="6522"/>
        </w:tabs>
        <w:spacing w:line="219" w:lineRule="exact"/>
        <w:ind w:left="143"/>
        <w:rPr>
          <w:sz w:val="18"/>
        </w:rPr>
      </w:pPr>
      <w:r>
        <w:rPr>
          <w:rFonts w:ascii="Trebuchet MS" w:hAnsi="Trebuchet MS"/>
          <w:sz w:val="18"/>
          <w:u w:val="single" w:color="BEBEBE"/>
        </w:rPr>
        <w:tab/>
      </w:r>
      <w:r>
        <w:rPr>
          <w:rFonts w:ascii="Trebuchet MS" w:hAnsi="Trebuchet MS"/>
          <w:sz w:val="18"/>
        </w:rPr>
        <w:t xml:space="preserve"> •</w:t>
      </w:r>
      <w:r>
        <w:rPr>
          <w:rFonts w:ascii="Trebuchet MS" w:hAnsi="Trebuchet MS"/>
          <w:sz w:val="18"/>
        </w:rPr>
        <w:tab/>
      </w:r>
      <w:r>
        <w:rPr>
          <w:sz w:val="18"/>
        </w:rPr>
        <w:t>Female:</w:t>
      </w:r>
      <w:r>
        <w:rPr>
          <w:spacing w:val="-2"/>
          <w:sz w:val="18"/>
        </w:rPr>
        <w:t xml:space="preserve"> </w:t>
      </w:r>
      <w:r>
        <w:rPr>
          <w:spacing w:val="-5"/>
          <w:sz w:val="18"/>
        </w:rPr>
        <w:t>125</w:t>
      </w:r>
    </w:p>
    <w:p w14:paraId="7D1B3711" w14:textId="77777777" w:rsidR="00BC24A8" w:rsidRDefault="00000000">
      <w:pPr>
        <w:tabs>
          <w:tab w:val="left" w:pos="2932"/>
          <w:tab w:val="left" w:pos="3940"/>
          <w:tab w:val="left" w:pos="5063"/>
        </w:tabs>
        <w:spacing w:before="59" w:line="192" w:lineRule="exact"/>
        <w:ind w:left="251"/>
        <w:rPr>
          <w:sz w:val="18"/>
        </w:rPr>
      </w:pPr>
      <w:r>
        <w:rPr>
          <w:spacing w:val="-2"/>
          <w:sz w:val="18"/>
        </w:rPr>
        <w:t>Workshops</w:t>
      </w:r>
      <w:r>
        <w:rPr>
          <w:sz w:val="18"/>
        </w:rPr>
        <w:tab/>
      </w:r>
      <w:r>
        <w:rPr>
          <w:spacing w:val="-10"/>
          <w:sz w:val="18"/>
        </w:rPr>
        <w:t>2</w:t>
      </w:r>
      <w:r>
        <w:rPr>
          <w:sz w:val="18"/>
        </w:rPr>
        <w:tab/>
      </w:r>
      <w:r>
        <w:rPr>
          <w:spacing w:val="-5"/>
          <w:sz w:val="18"/>
        </w:rPr>
        <w:t>IDR</w:t>
      </w:r>
      <w:r>
        <w:rPr>
          <w:sz w:val="18"/>
        </w:rPr>
        <w:tab/>
      </w:r>
      <w:r>
        <w:rPr>
          <w:spacing w:val="-2"/>
          <w:sz w:val="18"/>
        </w:rPr>
        <w:t>258,548,598</w:t>
      </w:r>
    </w:p>
    <w:p w14:paraId="181C8881" w14:textId="77777777" w:rsidR="00BC24A8" w:rsidRDefault="00000000">
      <w:pPr>
        <w:spacing w:line="189" w:lineRule="exact"/>
        <w:ind w:left="6191"/>
        <w:rPr>
          <w:sz w:val="18"/>
        </w:rPr>
      </w:pPr>
      <w:r>
        <w:rPr>
          <w:sz w:val="18"/>
        </w:rPr>
        <w:t>Headcount</w:t>
      </w:r>
      <w:r>
        <w:rPr>
          <w:position w:val="5"/>
          <w:sz w:val="12"/>
        </w:rPr>
        <w:t>3</w:t>
      </w:r>
      <w:r>
        <w:rPr>
          <w:sz w:val="18"/>
        </w:rPr>
        <w:t>:</w:t>
      </w:r>
      <w:r>
        <w:rPr>
          <w:spacing w:val="-2"/>
          <w:sz w:val="18"/>
        </w:rPr>
        <w:t xml:space="preserve"> </w:t>
      </w:r>
      <w:r>
        <w:rPr>
          <w:sz w:val="18"/>
        </w:rPr>
        <w:t>34</w:t>
      </w:r>
      <w:r>
        <w:rPr>
          <w:spacing w:val="-2"/>
          <w:sz w:val="18"/>
        </w:rPr>
        <w:t xml:space="preserve"> people</w:t>
      </w:r>
    </w:p>
    <w:p w14:paraId="19AD841F" w14:textId="77777777" w:rsidR="00BC24A8" w:rsidRDefault="00000000">
      <w:pPr>
        <w:pStyle w:val="ListParagraph"/>
        <w:numPr>
          <w:ilvl w:val="0"/>
          <w:numId w:val="38"/>
        </w:numPr>
        <w:tabs>
          <w:tab w:val="left" w:pos="6522"/>
        </w:tabs>
        <w:spacing w:before="1"/>
        <w:jc w:val="left"/>
        <w:rPr>
          <w:sz w:val="18"/>
        </w:rPr>
      </w:pPr>
      <w:r>
        <w:rPr>
          <w:sz w:val="18"/>
        </w:rPr>
        <w:t>Male:</w:t>
      </w:r>
      <w:r>
        <w:rPr>
          <w:spacing w:val="-2"/>
          <w:sz w:val="18"/>
        </w:rPr>
        <w:t xml:space="preserve"> </w:t>
      </w:r>
      <w:r>
        <w:rPr>
          <w:spacing w:val="-5"/>
          <w:sz w:val="18"/>
        </w:rPr>
        <w:t>20</w:t>
      </w:r>
    </w:p>
    <w:p w14:paraId="30B26923" w14:textId="77777777" w:rsidR="00BC24A8" w:rsidRDefault="00BC24A8">
      <w:pPr>
        <w:pStyle w:val="BodyText"/>
        <w:spacing w:before="5"/>
        <w:rPr>
          <w:sz w:val="6"/>
        </w:rPr>
      </w:pPr>
    </w:p>
    <w:tbl>
      <w:tblPr>
        <w:tblW w:w="0" w:type="auto"/>
        <w:tblInd w:w="150" w:type="dxa"/>
        <w:tblLayout w:type="fixed"/>
        <w:tblCellMar>
          <w:left w:w="0" w:type="dxa"/>
          <w:right w:w="0" w:type="dxa"/>
        </w:tblCellMar>
        <w:tblLook w:val="01E0" w:firstRow="1" w:lastRow="1" w:firstColumn="1" w:lastColumn="1" w:noHBand="0" w:noVBand="0"/>
      </w:tblPr>
      <w:tblGrid>
        <w:gridCol w:w="1980"/>
        <w:gridCol w:w="1711"/>
        <w:gridCol w:w="752"/>
        <w:gridCol w:w="4648"/>
      </w:tblGrid>
      <w:tr w:rsidR="00BC24A8" w14:paraId="37A2D985" w14:textId="77777777">
        <w:trPr>
          <w:trHeight w:val="379"/>
        </w:trPr>
        <w:tc>
          <w:tcPr>
            <w:tcW w:w="1980" w:type="dxa"/>
            <w:tcBorders>
              <w:top w:val="single" w:sz="4" w:space="0" w:color="BEBEBE"/>
            </w:tcBorders>
          </w:tcPr>
          <w:p w14:paraId="47782F51" w14:textId="77777777" w:rsidR="00BC24A8" w:rsidRDefault="00000000">
            <w:pPr>
              <w:pStyle w:val="TableParagraph"/>
              <w:spacing w:before="59"/>
              <w:ind w:left="107"/>
              <w:rPr>
                <w:sz w:val="18"/>
              </w:rPr>
            </w:pPr>
            <w:r>
              <w:rPr>
                <w:spacing w:val="-5"/>
                <w:sz w:val="18"/>
              </w:rPr>
              <w:t>TA</w:t>
            </w:r>
          </w:p>
        </w:tc>
        <w:tc>
          <w:tcPr>
            <w:tcW w:w="1711" w:type="dxa"/>
            <w:tcBorders>
              <w:top w:val="single" w:sz="4" w:space="0" w:color="BEBEBE"/>
            </w:tcBorders>
          </w:tcPr>
          <w:p w14:paraId="68BC1AD4" w14:textId="77777777" w:rsidR="00BC24A8" w:rsidRDefault="00000000">
            <w:pPr>
              <w:pStyle w:val="TableParagraph"/>
              <w:spacing w:before="59"/>
              <w:ind w:left="7" w:right="7"/>
              <w:jc w:val="center"/>
              <w:rPr>
                <w:sz w:val="18"/>
              </w:rPr>
            </w:pPr>
            <w:r>
              <w:rPr>
                <w:spacing w:val="-10"/>
                <w:sz w:val="18"/>
              </w:rPr>
              <w:t>3</w:t>
            </w:r>
          </w:p>
        </w:tc>
        <w:tc>
          <w:tcPr>
            <w:tcW w:w="752" w:type="dxa"/>
            <w:tcBorders>
              <w:top w:val="single" w:sz="4" w:space="0" w:color="BEBEBE"/>
            </w:tcBorders>
          </w:tcPr>
          <w:p w14:paraId="135E2025" w14:textId="77777777" w:rsidR="00BC24A8" w:rsidRDefault="00BC24A8">
            <w:pPr>
              <w:pStyle w:val="TableParagraph"/>
              <w:rPr>
                <w:rFonts w:ascii="Times New Roman"/>
                <w:sz w:val="18"/>
              </w:rPr>
            </w:pPr>
          </w:p>
        </w:tc>
        <w:tc>
          <w:tcPr>
            <w:tcW w:w="4648" w:type="dxa"/>
            <w:tcBorders>
              <w:top w:val="single" w:sz="4" w:space="0" w:color="BEBEBE"/>
            </w:tcBorders>
          </w:tcPr>
          <w:p w14:paraId="1D03D8DA" w14:textId="77777777" w:rsidR="00BC24A8" w:rsidRDefault="00000000">
            <w:pPr>
              <w:pStyle w:val="TableParagraph"/>
              <w:numPr>
                <w:ilvl w:val="0"/>
                <w:numId w:val="37"/>
              </w:numPr>
              <w:tabs>
                <w:tab w:val="left" w:pos="1936"/>
              </w:tabs>
              <w:spacing w:line="134" w:lineRule="exact"/>
              <w:rPr>
                <w:sz w:val="18"/>
              </w:rPr>
            </w:pPr>
            <w:r>
              <w:rPr>
                <w:sz w:val="18"/>
              </w:rPr>
              <w:t>Female:</w:t>
            </w:r>
            <w:r>
              <w:rPr>
                <w:spacing w:val="-2"/>
                <w:sz w:val="18"/>
              </w:rPr>
              <w:t xml:space="preserve"> </w:t>
            </w:r>
            <w:r>
              <w:rPr>
                <w:spacing w:val="-5"/>
                <w:sz w:val="18"/>
              </w:rPr>
              <w:t>14</w:t>
            </w:r>
          </w:p>
        </w:tc>
      </w:tr>
      <w:tr w:rsidR="00BC24A8" w14:paraId="371F5A93" w14:textId="77777777">
        <w:trPr>
          <w:trHeight w:val="352"/>
        </w:trPr>
        <w:tc>
          <w:tcPr>
            <w:tcW w:w="1980" w:type="dxa"/>
            <w:tcBorders>
              <w:bottom w:val="single" w:sz="4" w:space="0" w:color="BEBEBE"/>
              <w:right w:val="single" w:sz="18" w:space="0" w:color="FFFFFF"/>
            </w:tcBorders>
            <w:shd w:val="clear" w:color="auto" w:fill="A7A9AC"/>
          </w:tcPr>
          <w:p w14:paraId="7D7F913D" w14:textId="77777777" w:rsidR="00BC24A8" w:rsidRDefault="00000000">
            <w:pPr>
              <w:pStyle w:val="TableParagraph"/>
              <w:spacing w:before="59"/>
              <w:ind w:left="107"/>
              <w:rPr>
                <w:rFonts w:ascii="Calibri"/>
                <w:b/>
                <w:sz w:val="18"/>
              </w:rPr>
            </w:pPr>
            <w:r w:rsidRPr="00795364">
              <w:rPr>
                <w:rFonts w:ascii="Calibri"/>
                <w:b/>
                <w:color w:val="000000"/>
                <w:spacing w:val="-2"/>
                <w:sz w:val="18"/>
              </w:rPr>
              <w:t>TOTAL</w:t>
            </w:r>
          </w:p>
        </w:tc>
        <w:tc>
          <w:tcPr>
            <w:tcW w:w="1711" w:type="dxa"/>
            <w:tcBorders>
              <w:left w:val="single" w:sz="18" w:space="0" w:color="FFFFFF"/>
              <w:bottom w:val="single" w:sz="4" w:space="0" w:color="BEBEBE"/>
              <w:right w:val="single" w:sz="18" w:space="0" w:color="FFFFFF"/>
            </w:tcBorders>
            <w:shd w:val="clear" w:color="auto" w:fill="A7A9AC"/>
          </w:tcPr>
          <w:p w14:paraId="21F3CDC5" w14:textId="77777777" w:rsidR="00BC24A8" w:rsidRDefault="00000000">
            <w:pPr>
              <w:pStyle w:val="TableParagraph"/>
              <w:spacing w:before="59"/>
              <w:jc w:val="center"/>
              <w:rPr>
                <w:rFonts w:ascii="Calibri"/>
                <w:b/>
                <w:sz w:val="18"/>
              </w:rPr>
            </w:pPr>
            <w:r w:rsidRPr="00795364">
              <w:rPr>
                <w:rFonts w:ascii="Calibri"/>
                <w:b/>
                <w:color w:val="000000"/>
                <w:spacing w:val="-10"/>
                <w:sz w:val="18"/>
              </w:rPr>
              <w:t>7</w:t>
            </w:r>
          </w:p>
        </w:tc>
        <w:tc>
          <w:tcPr>
            <w:tcW w:w="752" w:type="dxa"/>
            <w:tcBorders>
              <w:left w:val="single" w:sz="18" w:space="0" w:color="FFFFFF"/>
              <w:bottom w:val="single" w:sz="4" w:space="0" w:color="BEBEBE"/>
            </w:tcBorders>
            <w:shd w:val="clear" w:color="auto" w:fill="A7A9AC"/>
          </w:tcPr>
          <w:p w14:paraId="2129B4BE" w14:textId="77777777" w:rsidR="00BC24A8" w:rsidRDefault="00000000">
            <w:pPr>
              <w:pStyle w:val="TableParagraph"/>
              <w:spacing w:before="59"/>
              <w:ind w:left="83"/>
              <w:rPr>
                <w:rFonts w:ascii="Calibri"/>
                <w:b/>
                <w:sz w:val="18"/>
              </w:rPr>
            </w:pPr>
            <w:r w:rsidRPr="00795364">
              <w:rPr>
                <w:rFonts w:ascii="Calibri"/>
                <w:b/>
                <w:color w:val="000000"/>
                <w:spacing w:val="-5"/>
                <w:sz w:val="18"/>
              </w:rPr>
              <w:t>Rp</w:t>
            </w:r>
          </w:p>
        </w:tc>
        <w:tc>
          <w:tcPr>
            <w:tcW w:w="4648" w:type="dxa"/>
            <w:tcBorders>
              <w:bottom w:val="single" w:sz="4" w:space="0" w:color="BEBEBE"/>
            </w:tcBorders>
            <w:shd w:val="clear" w:color="auto" w:fill="A7A9AC"/>
          </w:tcPr>
          <w:p w14:paraId="58079D03" w14:textId="77777777" w:rsidR="00BC24A8" w:rsidRDefault="00000000">
            <w:pPr>
              <w:pStyle w:val="TableParagraph"/>
              <w:spacing w:before="59"/>
              <w:ind w:left="449"/>
              <w:rPr>
                <w:rFonts w:ascii="Calibri"/>
                <w:b/>
                <w:sz w:val="18"/>
              </w:rPr>
            </w:pPr>
            <w:r w:rsidRPr="00795364">
              <w:rPr>
                <w:rFonts w:ascii="Calibri"/>
                <w:b/>
                <w:color w:val="000000"/>
                <w:spacing w:val="-2"/>
                <w:sz w:val="18"/>
              </w:rPr>
              <w:t>267,142,446</w:t>
            </w:r>
          </w:p>
        </w:tc>
      </w:tr>
    </w:tbl>
    <w:p w14:paraId="48E2951D" w14:textId="77777777" w:rsidR="00BC24A8" w:rsidRDefault="00000000">
      <w:pPr>
        <w:spacing w:before="115"/>
        <w:ind w:left="143"/>
        <w:rPr>
          <w:sz w:val="16"/>
        </w:rPr>
      </w:pPr>
      <w:r>
        <w:rPr>
          <w:sz w:val="16"/>
        </w:rPr>
        <w:t>Data</w:t>
      </w:r>
      <w:r>
        <w:rPr>
          <w:spacing w:val="-9"/>
          <w:sz w:val="16"/>
        </w:rPr>
        <w:t xml:space="preserve"> </w:t>
      </w:r>
      <w:r>
        <w:rPr>
          <w:sz w:val="16"/>
        </w:rPr>
        <w:t>source:</w:t>
      </w:r>
      <w:r>
        <w:rPr>
          <w:spacing w:val="-4"/>
          <w:sz w:val="16"/>
        </w:rPr>
        <w:t xml:space="preserve"> </w:t>
      </w:r>
      <w:r>
        <w:rPr>
          <w:sz w:val="16"/>
        </w:rPr>
        <w:t>SKALA</w:t>
      </w:r>
      <w:r>
        <w:rPr>
          <w:spacing w:val="-6"/>
          <w:sz w:val="16"/>
        </w:rPr>
        <w:t xml:space="preserve"> </w:t>
      </w:r>
      <w:r>
        <w:rPr>
          <w:sz w:val="16"/>
        </w:rPr>
        <w:t>MIS</w:t>
      </w:r>
      <w:r>
        <w:rPr>
          <w:spacing w:val="-5"/>
          <w:sz w:val="16"/>
        </w:rPr>
        <w:t xml:space="preserve"> </w:t>
      </w:r>
      <w:r>
        <w:rPr>
          <w:sz w:val="16"/>
        </w:rPr>
        <w:t>retrieved</w:t>
      </w:r>
      <w:r>
        <w:rPr>
          <w:spacing w:val="-7"/>
          <w:sz w:val="16"/>
        </w:rPr>
        <w:t xml:space="preserve"> </w:t>
      </w:r>
      <w:r>
        <w:rPr>
          <w:sz w:val="16"/>
        </w:rPr>
        <w:t>on</w:t>
      </w:r>
      <w:r>
        <w:rPr>
          <w:spacing w:val="-7"/>
          <w:sz w:val="16"/>
        </w:rPr>
        <w:t xml:space="preserve"> </w:t>
      </w:r>
      <w:r>
        <w:rPr>
          <w:sz w:val="16"/>
        </w:rPr>
        <w:t>August</w:t>
      </w:r>
      <w:r>
        <w:rPr>
          <w:spacing w:val="-5"/>
          <w:sz w:val="16"/>
        </w:rPr>
        <w:t xml:space="preserve"> </w:t>
      </w:r>
      <w:r>
        <w:rPr>
          <w:sz w:val="16"/>
        </w:rPr>
        <w:t>1,</w:t>
      </w:r>
      <w:r>
        <w:rPr>
          <w:spacing w:val="-6"/>
          <w:sz w:val="16"/>
        </w:rPr>
        <w:t xml:space="preserve"> </w:t>
      </w:r>
      <w:r>
        <w:rPr>
          <w:spacing w:val="-4"/>
          <w:sz w:val="16"/>
        </w:rPr>
        <w:t>2025.</w:t>
      </w:r>
    </w:p>
    <w:p w14:paraId="377F5FF7" w14:textId="77777777" w:rsidR="00BC24A8" w:rsidRDefault="00BC24A8">
      <w:pPr>
        <w:pStyle w:val="BodyText"/>
        <w:rPr>
          <w:sz w:val="16"/>
        </w:rPr>
      </w:pPr>
    </w:p>
    <w:p w14:paraId="2C9145D2" w14:textId="77777777" w:rsidR="00BC24A8" w:rsidRDefault="00BC24A8">
      <w:pPr>
        <w:pStyle w:val="BodyText"/>
        <w:rPr>
          <w:sz w:val="16"/>
        </w:rPr>
      </w:pPr>
    </w:p>
    <w:p w14:paraId="5C3060E1" w14:textId="77777777" w:rsidR="00BC24A8" w:rsidRDefault="00BC24A8">
      <w:pPr>
        <w:pStyle w:val="BodyText"/>
        <w:spacing w:before="35"/>
        <w:rPr>
          <w:sz w:val="16"/>
        </w:rPr>
      </w:pPr>
    </w:p>
    <w:p w14:paraId="47017E8A" w14:textId="77777777" w:rsidR="00BC24A8" w:rsidRDefault="00000000">
      <w:pPr>
        <w:pStyle w:val="BodyText"/>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3"/>
        </w:rPr>
        <w:t xml:space="preserve"> </w:t>
      </w:r>
      <w:r>
        <w:rPr>
          <w:rFonts w:ascii="Calibri"/>
          <w:color w:val="272727"/>
        </w:rPr>
        <w:t>at</w:t>
      </w:r>
      <w:r>
        <w:rPr>
          <w:rFonts w:ascii="Calibri"/>
          <w:color w:val="272727"/>
          <w:spacing w:val="-4"/>
        </w:rPr>
        <w:t xml:space="preserve"> </w:t>
      </w:r>
      <w:r>
        <w:rPr>
          <w:rFonts w:ascii="Calibri"/>
          <w:color w:val="272727"/>
        </w:rPr>
        <w:t>the</w:t>
      </w:r>
      <w:r>
        <w:rPr>
          <w:rFonts w:ascii="Calibri"/>
          <w:color w:val="272727"/>
          <w:spacing w:val="-5"/>
        </w:rPr>
        <w:t xml:space="preserve"> </w:t>
      </w:r>
      <w:r>
        <w:rPr>
          <w:rFonts w:ascii="Calibri"/>
          <w:color w:val="272727"/>
        </w:rPr>
        <w:t>Output</w:t>
      </w:r>
      <w:r>
        <w:rPr>
          <w:rFonts w:ascii="Calibri"/>
          <w:color w:val="272727"/>
          <w:spacing w:val="-2"/>
        </w:rPr>
        <w:t xml:space="preserve"> </w:t>
      </w:r>
      <w:r>
        <w:rPr>
          <w:rFonts w:ascii="Calibri"/>
          <w:color w:val="272727"/>
          <w:spacing w:val="-4"/>
        </w:rPr>
        <w:t>level</w:t>
      </w:r>
    </w:p>
    <w:p w14:paraId="1F605611" w14:textId="77777777" w:rsidR="00BC24A8" w:rsidRDefault="00BC24A8">
      <w:pPr>
        <w:pStyle w:val="BodyText"/>
        <w:spacing w:before="65"/>
        <w:rPr>
          <w:rFonts w:ascii="Calibri"/>
        </w:rPr>
      </w:pPr>
    </w:p>
    <w:p w14:paraId="4DD28D29" w14:textId="77777777" w:rsidR="00BC24A8" w:rsidRDefault="00000000">
      <w:pPr>
        <w:pStyle w:val="Heading5"/>
      </w:pPr>
      <w:bookmarkStart w:id="212" w:name="_bookmark146"/>
      <w:bookmarkEnd w:id="212"/>
      <w:r>
        <w:rPr>
          <w:color w:val="767070"/>
        </w:rPr>
        <w:t>Table</w:t>
      </w:r>
      <w:r>
        <w:rPr>
          <w:color w:val="767070"/>
          <w:spacing w:val="-7"/>
        </w:rPr>
        <w:t xml:space="preserve"> </w:t>
      </w:r>
      <w:r>
        <w:rPr>
          <w:color w:val="767070"/>
        </w:rPr>
        <w:t>21:</w:t>
      </w:r>
      <w:r>
        <w:rPr>
          <w:color w:val="767070"/>
          <w:spacing w:val="-7"/>
        </w:rPr>
        <w:t xml:space="preserve"> </w:t>
      </w:r>
      <w:r>
        <w:rPr>
          <w:color w:val="767070"/>
        </w:rPr>
        <w:t>Table</w:t>
      </w:r>
      <w:r>
        <w:rPr>
          <w:color w:val="767070"/>
          <w:spacing w:val="-6"/>
        </w:rPr>
        <w:t xml:space="preserve"> </w:t>
      </w:r>
      <w:r>
        <w:rPr>
          <w:color w:val="767070"/>
        </w:rPr>
        <w:t>of</w:t>
      </w:r>
      <w:r>
        <w:rPr>
          <w:color w:val="767070"/>
          <w:spacing w:val="-7"/>
        </w:rPr>
        <w:t xml:space="preserve"> </w:t>
      </w:r>
      <w:r>
        <w:rPr>
          <w:color w:val="767070"/>
        </w:rPr>
        <w:t>summary</w:t>
      </w:r>
      <w:r>
        <w:rPr>
          <w:color w:val="767070"/>
          <w:spacing w:val="-5"/>
        </w:rPr>
        <w:t xml:space="preserve"> </w:t>
      </w:r>
      <w:r>
        <w:rPr>
          <w:color w:val="767070"/>
        </w:rPr>
        <w:t>of</w:t>
      </w:r>
      <w:r>
        <w:rPr>
          <w:color w:val="767070"/>
          <w:spacing w:val="-6"/>
        </w:rPr>
        <w:t xml:space="preserve"> </w:t>
      </w:r>
      <w:r>
        <w:rPr>
          <w:color w:val="767070"/>
        </w:rPr>
        <w:t>FY</w:t>
      </w:r>
      <w:r>
        <w:rPr>
          <w:color w:val="767070"/>
          <w:spacing w:val="-7"/>
        </w:rPr>
        <w:t xml:space="preserve"> </w:t>
      </w:r>
      <w:r>
        <w:rPr>
          <w:color w:val="767070"/>
        </w:rPr>
        <w:t>2024/2025</w:t>
      </w:r>
      <w:r>
        <w:rPr>
          <w:color w:val="767070"/>
          <w:spacing w:val="-7"/>
        </w:rPr>
        <w:t xml:space="preserve"> </w:t>
      </w:r>
      <w:r>
        <w:rPr>
          <w:color w:val="767070"/>
        </w:rPr>
        <w:t>work</w:t>
      </w:r>
      <w:r>
        <w:rPr>
          <w:color w:val="767070"/>
          <w:spacing w:val="-5"/>
        </w:rPr>
        <w:t xml:space="preserve"> </w:t>
      </w:r>
      <w:r>
        <w:rPr>
          <w:color w:val="767070"/>
        </w:rPr>
        <w:t>plan</w:t>
      </w:r>
      <w:r>
        <w:rPr>
          <w:color w:val="767070"/>
          <w:spacing w:val="-7"/>
        </w:rPr>
        <w:t xml:space="preserve"> </w:t>
      </w:r>
      <w:r>
        <w:rPr>
          <w:color w:val="767070"/>
        </w:rPr>
        <w:t>outputs</w:t>
      </w:r>
      <w:r>
        <w:rPr>
          <w:color w:val="767070"/>
          <w:spacing w:val="-5"/>
        </w:rPr>
        <w:t xml:space="preserve"> </w:t>
      </w:r>
      <w:r>
        <w:rPr>
          <w:color w:val="767070"/>
        </w:rPr>
        <w:t>as</w:t>
      </w:r>
      <w:r>
        <w:rPr>
          <w:color w:val="767070"/>
          <w:spacing w:val="-4"/>
        </w:rPr>
        <w:t xml:space="preserve"> </w:t>
      </w:r>
      <w:r>
        <w:rPr>
          <w:color w:val="767070"/>
        </w:rPr>
        <w:t>of</w:t>
      </w:r>
      <w:r>
        <w:rPr>
          <w:color w:val="767070"/>
          <w:spacing w:val="-6"/>
        </w:rPr>
        <w:t xml:space="preserve"> </w:t>
      </w:r>
      <w:r>
        <w:rPr>
          <w:color w:val="767070"/>
        </w:rPr>
        <w:t>June</w:t>
      </w:r>
      <w:r>
        <w:rPr>
          <w:color w:val="767070"/>
          <w:spacing w:val="-6"/>
        </w:rPr>
        <w:t xml:space="preserve"> </w:t>
      </w:r>
      <w:r>
        <w:rPr>
          <w:color w:val="767070"/>
          <w:spacing w:val="-4"/>
        </w:rPr>
        <w:t>2025</w:t>
      </w:r>
    </w:p>
    <w:p w14:paraId="217E4692" w14:textId="77777777" w:rsidR="00BC24A8" w:rsidRDefault="00BC24A8">
      <w:pPr>
        <w:pStyle w:val="BodyText"/>
        <w:rPr>
          <w:rFonts w:ascii="Calibri"/>
          <w:b/>
          <w:sz w:val="16"/>
        </w:rPr>
      </w:pPr>
    </w:p>
    <w:tbl>
      <w:tblPr>
        <w:tblW w:w="0" w:type="auto"/>
        <w:tblInd w:w="143" w:type="dxa"/>
        <w:tblLayout w:type="fixed"/>
        <w:tblCellMar>
          <w:left w:w="0" w:type="dxa"/>
          <w:right w:w="0" w:type="dxa"/>
        </w:tblCellMar>
        <w:tblLook w:val="01E0" w:firstRow="1" w:lastRow="1" w:firstColumn="1" w:lastColumn="1" w:noHBand="0" w:noVBand="0"/>
      </w:tblPr>
      <w:tblGrid>
        <w:gridCol w:w="1853"/>
        <w:gridCol w:w="2151"/>
        <w:gridCol w:w="2199"/>
        <w:gridCol w:w="2876"/>
      </w:tblGrid>
      <w:tr w:rsidR="00BC24A8" w14:paraId="2D035D87" w14:textId="77777777">
        <w:trPr>
          <w:trHeight w:val="398"/>
        </w:trPr>
        <w:tc>
          <w:tcPr>
            <w:tcW w:w="1853" w:type="dxa"/>
            <w:shd w:val="clear" w:color="auto" w:fill="17365A"/>
          </w:tcPr>
          <w:p w14:paraId="04661F5E" w14:textId="77777777" w:rsidR="00BC24A8" w:rsidRDefault="00000000">
            <w:pPr>
              <w:pStyle w:val="TableParagraph"/>
              <w:spacing w:before="78"/>
              <w:ind w:left="115"/>
              <w:rPr>
                <w:rFonts w:ascii="Calibri"/>
                <w:b/>
                <w:sz w:val="20"/>
              </w:rPr>
            </w:pPr>
            <w:r>
              <w:rPr>
                <w:rFonts w:ascii="Calibri"/>
                <w:b/>
                <w:color w:val="FFFFFF"/>
                <w:spacing w:val="-2"/>
                <w:sz w:val="20"/>
              </w:rPr>
              <w:t>Theme</w:t>
            </w:r>
          </w:p>
        </w:tc>
        <w:tc>
          <w:tcPr>
            <w:tcW w:w="2151" w:type="dxa"/>
            <w:shd w:val="clear" w:color="auto" w:fill="17365A"/>
          </w:tcPr>
          <w:p w14:paraId="5CCE01D5" w14:textId="77777777" w:rsidR="00BC24A8" w:rsidRDefault="00000000">
            <w:pPr>
              <w:pStyle w:val="TableParagraph"/>
              <w:spacing w:before="78"/>
              <w:ind w:right="1"/>
              <w:jc w:val="center"/>
              <w:rPr>
                <w:rFonts w:ascii="Calibri"/>
                <w:b/>
                <w:sz w:val="20"/>
              </w:rPr>
            </w:pPr>
            <w:r>
              <w:rPr>
                <w:rFonts w:ascii="Calibri"/>
                <w:b/>
                <w:color w:val="FFFFFF"/>
                <w:spacing w:val="-2"/>
                <w:sz w:val="20"/>
              </w:rPr>
              <w:t>Completed</w:t>
            </w:r>
          </w:p>
        </w:tc>
        <w:tc>
          <w:tcPr>
            <w:tcW w:w="2199" w:type="dxa"/>
            <w:shd w:val="clear" w:color="auto" w:fill="17365A"/>
          </w:tcPr>
          <w:p w14:paraId="66293A6B" w14:textId="77777777" w:rsidR="00BC24A8" w:rsidRDefault="00000000">
            <w:pPr>
              <w:pStyle w:val="TableParagraph"/>
              <w:spacing w:before="78"/>
              <w:ind w:left="1" w:right="1"/>
              <w:jc w:val="center"/>
              <w:rPr>
                <w:rFonts w:ascii="Calibri"/>
                <w:b/>
                <w:sz w:val="20"/>
              </w:rPr>
            </w:pPr>
            <w:r>
              <w:rPr>
                <w:rFonts w:ascii="Calibri"/>
                <w:b/>
                <w:color w:val="FFFFFF"/>
                <w:sz w:val="20"/>
              </w:rPr>
              <w:t>Not</w:t>
            </w:r>
            <w:r>
              <w:rPr>
                <w:rFonts w:ascii="Calibri"/>
                <w:b/>
                <w:color w:val="FFFFFF"/>
                <w:spacing w:val="-4"/>
                <w:sz w:val="20"/>
              </w:rPr>
              <w:t xml:space="preserve"> </w:t>
            </w:r>
            <w:r>
              <w:rPr>
                <w:rFonts w:ascii="Calibri"/>
                <w:b/>
                <w:color w:val="FFFFFF"/>
                <w:spacing w:val="-2"/>
                <w:sz w:val="20"/>
              </w:rPr>
              <w:t>Started</w:t>
            </w:r>
          </w:p>
        </w:tc>
        <w:tc>
          <w:tcPr>
            <w:tcW w:w="2876" w:type="dxa"/>
            <w:shd w:val="clear" w:color="auto" w:fill="17365A"/>
          </w:tcPr>
          <w:p w14:paraId="56B3063E" w14:textId="77777777" w:rsidR="00BC24A8" w:rsidRDefault="00000000">
            <w:pPr>
              <w:pStyle w:val="TableParagraph"/>
              <w:spacing w:before="78"/>
              <w:ind w:left="1" w:right="4"/>
              <w:jc w:val="center"/>
              <w:rPr>
                <w:rFonts w:ascii="Calibri"/>
                <w:b/>
                <w:sz w:val="20"/>
              </w:rPr>
            </w:pPr>
            <w:r>
              <w:rPr>
                <w:rFonts w:ascii="Calibri"/>
                <w:b/>
                <w:color w:val="FFFFFF"/>
                <w:spacing w:val="-2"/>
                <w:sz w:val="20"/>
              </w:rPr>
              <w:t>Ongoing</w:t>
            </w:r>
          </w:p>
        </w:tc>
      </w:tr>
      <w:tr w:rsidR="00BC24A8" w14:paraId="12334619" w14:textId="77777777">
        <w:trPr>
          <w:trHeight w:val="441"/>
        </w:trPr>
        <w:tc>
          <w:tcPr>
            <w:tcW w:w="1853" w:type="dxa"/>
            <w:tcBorders>
              <w:bottom w:val="single" w:sz="4" w:space="0" w:color="BEBEBE"/>
            </w:tcBorders>
          </w:tcPr>
          <w:p w14:paraId="7527D82F" w14:textId="77777777" w:rsidR="00BC24A8" w:rsidRDefault="00000000">
            <w:pPr>
              <w:pStyle w:val="TableParagraph"/>
              <w:spacing w:before="102"/>
              <w:ind w:left="115"/>
              <w:rPr>
                <w:sz w:val="18"/>
              </w:rPr>
            </w:pPr>
            <w:r>
              <w:rPr>
                <w:spacing w:val="-5"/>
                <w:sz w:val="18"/>
              </w:rPr>
              <w:t>DNA</w:t>
            </w:r>
          </w:p>
        </w:tc>
        <w:tc>
          <w:tcPr>
            <w:tcW w:w="2151" w:type="dxa"/>
            <w:tcBorders>
              <w:bottom w:val="single" w:sz="4" w:space="0" w:color="BEBEBE"/>
            </w:tcBorders>
          </w:tcPr>
          <w:p w14:paraId="149D829B" w14:textId="77777777" w:rsidR="00BC24A8" w:rsidRDefault="00000000">
            <w:pPr>
              <w:pStyle w:val="TableParagraph"/>
              <w:spacing w:before="133"/>
              <w:ind w:right="1"/>
              <w:jc w:val="center"/>
              <w:rPr>
                <w:sz w:val="18"/>
              </w:rPr>
            </w:pPr>
            <w:r>
              <w:rPr>
                <w:spacing w:val="-10"/>
                <w:sz w:val="18"/>
              </w:rPr>
              <w:t>-</w:t>
            </w:r>
          </w:p>
        </w:tc>
        <w:tc>
          <w:tcPr>
            <w:tcW w:w="2199" w:type="dxa"/>
            <w:tcBorders>
              <w:bottom w:val="single" w:sz="4" w:space="0" w:color="BEBEBE"/>
            </w:tcBorders>
          </w:tcPr>
          <w:p w14:paraId="79A82DC7" w14:textId="77777777" w:rsidR="00BC24A8" w:rsidRDefault="00000000">
            <w:pPr>
              <w:pStyle w:val="TableParagraph"/>
              <w:spacing w:before="133"/>
              <w:ind w:left="1" w:right="1"/>
              <w:jc w:val="center"/>
              <w:rPr>
                <w:sz w:val="18"/>
              </w:rPr>
            </w:pPr>
            <w:r>
              <w:rPr>
                <w:spacing w:val="-10"/>
                <w:sz w:val="18"/>
              </w:rPr>
              <w:t>6</w:t>
            </w:r>
          </w:p>
        </w:tc>
        <w:tc>
          <w:tcPr>
            <w:tcW w:w="2876" w:type="dxa"/>
            <w:tcBorders>
              <w:bottom w:val="single" w:sz="4" w:space="0" w:color="BEBEBE"/>
            </w:tcBorders>
          </w:tcPr>
          <w:p w14:paraId="43F11158" w14:textId="77777777" w:rsidR="00BC24A8" w:rsidRDefault="00000000">
            <w:pPr>
              <w:pStyle w:val="TableParagraph"/>
              <w:spacing w:before="133"/>
              <w:ind w:left="3" w:right="4"/>
              <w:jc w:val="center"/>
              <w:rPr>
                <w:sz w:val="18"/>
              </w:rPr>
            </w:pPr>
            <w:r>
              <w:rPr>
                <w:spacing w:val="-10"/>
                <w:sz w:val="18"/>
              </w:rPr>
              <w:t>4</w:t>
            </w:r>
          </w:p>
        </w:tc>
      </w:tr>
      <w:tr w:rsidR="00BC24A8" w14:paraId="5435078E" w14:textId="77777777">
        <w:trPr>
          <w:trHeight w:val="397"/>
        </w:trPr>
        <w:tc>
          <w:tcPr>
            <w:tcW w:w="1853" w:type="dxa"/>
            <w:tcBorders>
              <w:top w:val="single" w:sz="4" w:space="0" w:color="BEBEBE"/>
              <w:bottom w:val="single" w:sz="4" w:space="0" w:color="BEBEBE"/>
            </w:tcBorders>
          </w:tcPr>
          <w:p w14:paraId="5414DA7D" w14:textId="77777777" w:rsidR="00BC24A8" w:rsidRDefault="00000000">
            <w:pPr>
              <w:pStyle w:val="TableParagraph"/>
              <w:spacing w:before="59"/>
              <w:ind w:left="115"/>
              <w:rPr>
                <w:sz w:val="18"/>
              </w:rPr>
            </w:pPr>
            <w:r>
              <w:rPr>
                <w:spacing w:val="-5"/>
                <w:sz w:val="18"/>
              </w:rPr>
              <w:t>MSS</w:t>
            </w:r>
          </w:p>
        </w:tc>
        <w:tc>
          <w:tcPr>
            <w:tcW w:w="2151" w:type="dxa"/>
            <w:tcBorders>
              <w:top w:val="single" w:sz="4" w:space="0" w:color="BEBEBE"/>
              <w:bottom w:val="single" w:sz="4" w:space="0" w:color="BEBEBE"/>
            </w:tcBorders>
          </w:tcPr>
          <w:p w14:paraId="3F0ECA19" w14:textId="77777777" w:rsidR="00BC24A8" w:rsidRDefault="00000000">
            <w:pPr>
              <w:pStyle w:val="TableParagraph"/>
              <w:spacing w:before="90"/>
              <w:ind w:left="1" w:right="1"/>
              <w:jc w:val="center"/>
              <w:rPr>
                <w:sz w:val="18"/>
              </w:rPr>
            </w:pPr>
            <w:r>
              <w:rPr>
                <w:spacing w:val="-10"/>
                <w:sz w:val="18"/>
              </w:rPr>
              <w:t>2</w:t>
            </w:r>
          </w:p>
        </w:tc>
        <w:tc>
          <w:tcPr>
            <w:tcW w:w="2199" w:type="dxa"/>
            <w:tcBorders>
              <w:top w:val="single" w:sz="4" w:space="0" w:color="BEBEBE"/>
              <w:bottom w:val="single" w:sz="4" w:space="0" w:color="BEBEBE"/>
            </w:tcBorders>
          </w:tcPr>
          <w:p w14:paraId="356BEF02" w14:textId="77777777" w:rsidR="00BC24A8" w:rsidRDefault="00000000">
            <w:pPr>
              <w:pStyle w:val="TableParagraph"/>
              <w:spacing w:before="90"/>
              <w:ind w:right="1"/>
              <w:jc w:val="center"/>
              <w:rPr>
                <w:sz w:val="18"/>
              </w:rPr>
            </w:pPr>
            <w:r>
              <w:rPr>
                <w:spacing w:val="-5"/>
                <w:sz w:val="18"/>
              </w:rPr>
              <w:t>14</w:t>
            </w:r>
          </w:p>
        </w:tc>
        <w:tc>
          <w:tcPr>
            <w:tcW w:w="2876" w:type="dxa"/>
            <w:tcBorders>
              <w:top w:val="single" w:sz="4" w:space="0" w:color="BEBEBE"/>
              <w:bottom w:val="single" w:sz="4" w:space="0" w:color="BEBEBE"/>
            </w:tcBorders>
          </w:tcPr>
          <w:p w14:paraId="08BCF5F9" w14:textId="77777777" w:rsidR="00BC24A8" w:rsidRDefault="00000000">
            <w:pPr>
              <w:pStyle w:val="TableParagraph"/>
              <w:spacing w:before="90"/>
              <w:ind w:left="3" w:right="4"/>
              <w:jc w:val="center"/>
              <w:rPr>
                <w:sz w:val="18"/>
              </w:rPr>
            </w:pPr>
            <w:r>
              <w:rPr>
                <w:spacing w:val="-5"/>
                <w:sz w:val="18"/>
              </w:rPr>
              <w:t>11</w:t>
            </w:r>
          </w:p>
        </w:tc>
      </w:tr>
      <w:tr w:rsidR="00BC24A8" w14:paraId="317E2FFE" w14:textId="77777777">
        <w:trPr>
          <w:trHeight w:val="350"/>
        </w:trPr>
        <w:tc>
          <w:tcPr>
            <w:tcW w:w="1853" w:type="dxa"/>
            <w:tcBorders>
              <w:top w:val="single" w:sz="4" w:space="0" w:color="BEBEBE"/>
              <w:bottom w:val="single" w:sz="4" w:space="0" w:color="BEBEBE"/>
            </w:tcBorders>
          </w:tcPr>
          <w:p w14:paraId="116FB1F9" w14:textId="77777777" w:rsidR="00BC24A8" w:rsidRDefault="00000000">
            <w:pPr>
              <w:pStyle w:val="TableParagraph"/>
              <w:spacing w:before="59"/>
              <w:ind w:left="115"/>
              <w:rPr>
                <w:sz w:val="18"/>
              </w:rPr>
            </w:pPr>
            <w:r>
              <w:rPr>
                <w:spacing w:val="-5"/>
                <w:sz w:val="18"/>
              </w:rPr>
              <w:t>PFM</w:t>
            </w:r>
          </w:p>
        </w:tc>
        <w:tc>
          <w:tcPr>
            <w:tcW w:w="2151" w:type="dxa"/>
            <w:tcBorders>
              <w:top w:val="single" w:sz="4" w:space="0" w:color="BEBEBE"/>
              <w:bottom w:val="single" w:sz="4" w:space="0" w:color="BEBEBE"/>
            </w:tcBorders>
          </w:tcPr>
          <w:p w14:paraId="050B59B4" w14:textId="77777777" w:rsidR="00BC24A8" w:rsidRDefault="00000000">
            <w:pPr>
              <w:pStyle w:val="TableParagraph"/>
              <w:spacing w:before="66"/>
              <w:ind w:right="1"/>
              <w:jc w:val="center"/>
              <w:rPr>
                <w:sz w:val="18"/>
              </w:rPr>
            </w:pPr>
            <w:r>
              <w:rPr>
                <w:spacing w:val="-10"/>
                <w:sz w:val="18"/>
              </w:rPr>
              <w:t>-</w:t>
            </w:r>
          </w:p>
        </w:tc>
        <w:tc>
          <w:tcPr>
            <w:tcW w:w="2199" w:type="dxa"/>
            <w:tcBorders>
              <w:top w:val="single" w:sz="4" w:space="0" w:color="BEBEBE"/>
              <w:bottom w:val="single" w:sz="4" w:space="0" w:color="BEBEBE"/>
            </w:tcBorders>
          </w:tcPr>
          <w:p w14:paraId="1F7D035E" w14:textId="77777777" w:rsidR="00BC24A8" w:rsidRDefault="00000000">
            <w:pPr>
              <w:pStyle w:val="TableParagraph"/>
              <w:spacing w:before="66"/>
              <w:ind w:left="1" w:right="1"/>
              <w:jc w:val="center"/>
              <w:rPr>
                <w:sz w:val="18"/>
              </w:rPr>
            </w:pPr>
            <w:r>
              <w:rPr>
                <w:spacing w:val="-10"/>
                <w:sz w:val="18"/>
              </w:rPr>
              <w:t>9</w:t>
            </w:r>
          </w:p>
        </w:tc>
        <w:tc>
          <w:tcPr>
            <w:tcW w:w="2876" w:type="dxa"/>
            <w:tcBorders>
              <w:top w:val="single" w:sz="4" w:space="0" w:color="BEBEBE"/>
              <w:bottom w:val="single" w:sz="4" w:space="0" w:color="BEBEBE"/>
            </w:tcBorders>
          </w:tcPr>
          <w:p w14:paraId="19F6F0BD" w14:textId="77777777" w:rsidR="00BC24A8" w:rsidRDefault="00000000">
            <w:pPr>
              <w:pStyle w:val="TableParagraph"/>
              <w:spacing w:before="66"/>
              <w:ind w:right="4"/>
              <w:jc w:val="center"/>
              <w:rPr>
                <w:sz w:val="18"/>
              </w:rPr>
            </w:pPr>
            <w:r>
              <w:rPr>
                <w:spacing w:val="-10"/>
                <w:sz w:val="18"/>
              </w:rPr>
              <w:t>-</w:t>
            </w:r>
          </w:p>
        </w:tc>
      </w:tr>
    </w:tbl>
    <w:p w14:paraId="5103F8FE" w14:textId="77777777" w:rsidR="00BC24A8" w:rsidRDefault="00000000">
      <w:pPr>
        <w:spacing w:before="125"/>
        <w:ind w:left="143"/>
        <w:rPr>
          <w:sz w:val="16"/>
        </w:rPr>
      </w:pPr>
      <w:r>
        <w:rPr>
          <w:sz w:val="16"/>
        </w:rPr>
        <w:t>Data</w:t>
      </w:r>
      <w:r>
        <w:rPr>
          <w:spacing w:val="-7"/>
          <w:sz w:val="16"/>
        </w:rPr>
        <w:t xml:space="preserve"> </w:t>
      </w:r>
      <w:r>
        <w:rPr>
          <w:sz w:val="16"/>
        </w:rPr>
        <w:t>source:</w:t>
      </w:r>
      <w:r>
        <w:rPr>
          <w:spacing w:val="-4"/>
          <w:sz w:val="16"/>
        </w:rPr>
        <w:t xml:space="preserve"> </w:t>
      </w:r>
      <w:r>
        <w:rPr>
          <w:sz w:val="16"/>
        </w:rPr>
        <w:t>SKALA</w:t>
      </w:r>
      <w:r>
        <w:rPr>
          <w:spacing w:val="-7"/>
          <w:sz w:val="16"/>
        </w:rPr>
        <w:t xml:space="preserve"> </w:t>
      </w:r>
      <w:r>
        <w:rPr>
          <w:sz w:val="16"/>
        </w:rPr>
        <w:t>MIS</w:t>
      </w:r>
      <w:r>
        <w:rPr>
          <w:spacing w:val="-5"/>
          <w:sz w:val="16"/>
        </w:rPr>
        <w:t xml:space="preserve"> </w:t>
      </w:r>
      <w:r>
        <w:rPr>
          <w:sz w:val="16"/>
        </w:rPr>
        <w:t>retrieved</w:t>
      </w:r>
      <w:r>
        <w:rPr>
          <w:spacing w:val="-7"/>
          <w:sz w:val="16"/>
        </w:rPr>
        <w:t xml:space="preserve"> </w:t>
      </w:r>
      <w:r>
        <w:rPr>
          <w:sz w:val="16"/>
        </w:rPr>
        <w:t>on</w:t>
      </w:r>
      <w:r>
        <w:rPr>
          <w:spacing w:val="-5"/>
          <w:sz w:val="16"/>
        </w:rPr>
        <w:t xml:space="preserve"> </w:t>
      </w:r>
      <w:r>
        <w:rPr>
          <w:sz w:val="16"/>
        </w:rPr>
        <w:t>July</w:t>
      </w:r>
      <w:r>
        <w:rPr>
          <w:spacing w:val="-4"/>
          <w:sz w:val="16"/>
        </w:rPr>
        <w:t xml:space="preserve"> </w:t>
      </w:r>
      <w:r>
        <w:rPr>
          <w:sz w:val="16"/>
        </w:rPr>
        <w:t>28,</w:t>
      </w:r>
      <w:r>
        <w:rPr>
          <w:spacing w:val="-6"/>
          <w:sz w:val="16"/>
        </w:rPr>
        <w:t xml:space="preserve"> </w:t>
      </w:r>
      <w:r>
        <w:rPr>
          <w:spacing w:val="-2"/>
          <w:sz w:val="16"/>
        </w:rPr>
        <w:t>2025.</w:t>
      </w:r>
    </w:p>
    <w:p w14:paraId="2073FA52" w14:textId="77777777" w:rsidR="00BC24A8" w:rsidRDefault="00BC24A8">
      <w:pPr>
        <w:pStyle w:val="BodyText"/>
        <w:rPr>
          <w:sz w:val="16"/>
        </w:rPr>
      </w:pPr>
    </w:p>
    <w:p w14:paraId="1C56F1A9" w14:textId="77777777" w:rsidR="00BC24A8" w:rsidRDefault="00BC24A8">
      <w:pPr>
        <w:pStyle w:val="BodyText"/>
        <w:spacing w:before="110"/>
        <w:rPr>
          <w:sz w:val="16"/>
        </w:rPr>
      </w:pPr>
    </w:p>
    <w:p w14:paraId="4E819A04" w14:textId="77777777" w:rsidR="00BC24A8" w:rsidRDefault="00000000">
      <w:pPr>
        <w:pStyle w:val="Heading5"/>
      </w:pPr>
      <w:r>
        <w:t>Overview</w:t>
      </w:r>
      <w:r>
        <w:rPr>
          <w:spacing w:val="-8"/>
        </w:rPr>
        <w:t xml:space="preserve"> </w:t>
      </w:r>
      <w:r>
        <w:t>of</w:t>
      </w:r>
      <w:r>
        <w:rPr>
          <w:spacing w:val="-8"/>
        </w:rPr>
        <w:t xml:space="preserve"> </w:t>
      </w:r>
      <w:r>
        <w:t>completed</w:t>
      </w:r>
      <w:r>
        <w:rPr>
          <w:spacing w:val="-8"/>
        </w:rPr>
        <w:t xml:space="preserve"> </w:t>
      </w:r>
      <w:r>
        <w:rPr>
          <w:spacing w:val="-2"/>
        </w:rPr>
        <w:t>Outputs:</w:t>
      </w:r>
    </w:p>
    <w:p w14:paraId="5CFE5914" w14:textId="77777777" w:rsidR="00BC24A8" w:rsidRDefault="00000000">
      <w:pPr>
        <w:pStyle w:val="ListParagraph"/>
        <w:numPr>
          <w:ilvl w:val="0"/>
          <w:numId w:val="36"/>
        </w:numPr>
        <w:tabs>
          <w:tab w:val="left" w:pos="863"/>
        </w:tabs>
        <w:spacing w:before="162"/>
        <w:ind w:right="562"/>
      </w:pPr>
      <w:r>
        <w:t>DNA (Data and Analysis): SKALA facilitated the development of data governance policies, including</w:t>
      </w:r>
      <w:r>
        <w:rPr>
          <w:spacing w:val="-13"/>
        </w:rPr>
        <w:t xml:space="preserve"> </w:t>
      </w:r>
      <w:r>
        <w:t>the</w:t>
      </w:r>
      <w:r>
        <w:rPr>
          <w:spacing w:val="-12"/>
        </w:rPr>
        <w:t xml:space="preserve"> </w:t>
      </w:r>
      <w:r>
        <w:t>Regional</w:t>
      </w:r>
      <w:r>
        <w:rPr>
          <w:spacing w:val="-13"/>
        </w:rPr>
        <w:t xml:space="preserve"> </w:t>
      </w:r>
      <w:r>
        <w:t>One</w:t>
      </w:r>
      <w:r>
        <w:rPr>
          <w:spacing w:val="-12"/>
        </w:rPr>
        <w:t xml:space="preserve"> </w:t>
      </w:r>
      <w:r>
        <w:t>Data</w:t>
      </w:r>
      <w:r>
        <w:rPr>
          <w:spacing w:val="-13"/>
        </w:rPr>
        <w:t xml:space="preserve"> </w:t>
      </w:r>
      <w:r>
        <w:t>Governor</w:t>
      </w:r>
      <w:r>
        <w:rPr>
          <w:spacing w:val="-12"/>
        </w:rPr>
        <w:t xml:space="preserve"> </w:t>
      </w:r>
      <w:r>
        <w:t>Regulation,</w:t>
      </w:r>
      <w:r>
        <w:rPr>
          <w:spacing w:val="-13"/>
        </w:rPr>
        <w:t xml:space="preserve"> </w:t>
      </w:r>
      <w:r>
        <w:t>the</w:t>
      </w:r>
      <w:r>
        <w:rPr>
          <w:spacing w:val="-12"/>
        </w:rPr>
        <w:t xml:space="preserve"> </w:t>
      </w:r>
      <w:r>
        <w:t>One</w:t>
      </w:r>
      <w:r>
        <w:rPr>
          <w:spacing w:val="-12"/>
        </w:rPr>
        <w:t xml:space="preserve"> </w:t>
      </w:r>
      <w:r>
        <w:t>Data</w:t>
      </w:r>
      <w:r>
        <w:rPr>
          <w:spacing w:val="-13"/>
        </w:rPr>
        <w:t xml:space="preserve"> </w:t>
      </w:r>
      <w:r>
        <w:t>Forum</w:t>
      </w:r>
      <w:r>
        <w:rPr>
          <w:spacing w:val="-12"/>
        </w:rPr>
        <w:t xml:space="preserve"> </w:t>
      </w:r>
      <w:r>
        <w:t>Decree,</w:t>
      </w:r>
      <w:r>
        <w:rPr>
          <w:spacing w:val="-13"/>
        </w:rPr>
        <w:t xml:space="preserve"> </w:t>
      </w:r>
      <w:r>
        <w:t>the</w:t>
      </w:r>
      <w:r>
        <w:rPr>
          <w:spacing w:val="-12"/>
        </w:rPr>
        <w:t xml:space="preserve"> </w:t>
      </w:r>
      <w:r>
        <w:t>Regional Sectoral</w:t>
      </w:r>
      <w:r>
        <w:rPr>
          <w:spacing w:val="-13"/>
        </w:rPr>
        <w:t xml:space="preserve"> </w:t>
      </w:r>
      <w:r>
        <w:t>Statistical</w:t>
      </w:r>
      <w:r>
        <w:rPr>
          <w:spacing w:val="-12"/>
        </w:rPr>
        <w:t xml:space="preserve"> </w:t>
      </w:r>
      <w:r>
        <w:t>Data</w:t>
      </w:r>
      <w:r>
        <w:rPr>
          <w:spacing w:val="-13"/>
        </w:rPr>
        <w:t xml:space="preserve"> </w:t>
      </w:r>
      <w:r>
        <w:t>Dissemination</w:t>
      </w:r>
      <w:r>
        <w:rPr>
          <w:spacing w:val="-12"/>
        </w:rPr>
        <w:t xml:space="preserve"> </w:t>
      </w:r>
      <w:r>
        <w:t>Decree,</w:t>
      </w:r>
      <w:r>
        <w:rPr>
          <w:spacing w:val="-10"/>
        </w:rPr>
        <w:t xml:space="preserve"> </w:t>
      </w:r>
      <w:r>
        <w:t>planning</w:t>
      </w:r>
      <w:r>
        <w:rPr>
          <w:spacing w:val="-13"/>
        </w:rPr>
        <w:t xml:space="preserve"> </w:t>
      </w:r>
      <w:r>
        <w:t>and</w:t>
      </w:r>
      <w:r>
        <w:rPr>
          <w:spacing w:val="-11"/>
        </w:rPr>
        <w:t xml:space="preserve"> </w:t>
      </w:r>
      <w:r>
        <w:t>budgeting</w:t>
      </w:r>
      <w:r>
        <w:rPr>
          <w:spacing w:val="-12"/>
        </w:rPr>
        <w:t xml:space="preserve"> </w:t>
      </w:r>
      <w:r>
        <w:t>for</w:t>
      </w:r>
      <w:r>
        <w:rPr>
          <w:spacing w:val="-11"/>
        </w:rPr>
        <w:t xml:space="preserve"> </w:t>
      </w:r>
      <w:r>
        <w:t>the</w:t>
      </w:r>
      <w:r>
        <w:rPr>
          <w:spacing w:val="-10"/>
        </w:rPr>
        <w:t xml:space="preserve"> </w:t>
      </w:r>
      <w:r>
        <w:t>One</w:t>
      </w:r>
      <w:r>
        <w:rPr>
          <w:spacing w:val="-13"/>
        </w:rPr>
        <w:t xml:space="preserve"> </w:t>
      </w:r>
      <w:r>
        <w:t>Data</w:t>
      </w:r>
      <w:r>
        <w:rPr>
          <w:spacing w:val="-12"/>
        </w:rPr>
        <w:t xml:space="preserve"> </w:t>
      </w:r>
      <w:r>
        <w:t>Forum, and the SEPAKAT</w:t>
      </w:r>
      <w:hyperlink w:anchor="_bookmark148" w:history="1">
        <w:r w:rsidR="00BC24A8">
          <w:rPr>
            <w:vertAlign w:val="superscript"/>
          </w:rPr>
          <w:t>74</w:t>
        </w:r>
      </w:hyperlink>
      <w:r>
        <w:t xml:space="preserve"> account manager decree for Socio-Economic Registration (REGSOSEK)</w:t>
      </w:r>
      <w:hyperlink w:anchor="_bookmark149" w:history="1">
        <w:r w:rsidR="00BC24A8">
          <w:rPr>
            <w:vertAlign w:val="superscript"/>
          </w:rPr>
          <w:t>75</w:t>
        </w:r>
      </w:hyperlink>
      <w:r>
        <w:t xml:space="preserve"> </w:t>
      </w:r>
      <w:r>
        <w:rPr>
          <w:spacing w:val="-2"/>
        </w:rPr>
        <w:t>analysis.</w:t>
      </w:r>
    </w:p>
    <w:p w14:paraId="24AC3500" w14:textId="77777777" w:rsidR="00BC24A8" w:rsidRDefault="00000000">
      <w:pPr>
        <w:pStyle w:val="ListParagraph"/>
        <w:numPr>
          <w:ilvl w:val="0"/>
          <w:numId w:val="36"/>
        </w:numPr>
        <w:tabs>
          <w:tab w:val="left" w:pos="863"/>
        </w:tabs>
        <w:ind w:right="563"/>
      </w:pPr>
      <w:r>
        <w:t>MSS (Minimum Service Standards): SKALA provided technical recommendations and capacity- building</w:t>
      </w:r>
      <w:r>
        <w:rPr>
          <w:spacing w:val="-2"/>
        </w:rPr>
        <w:t xml:space="preserve"> </w:t>
      </w:r>
      <w:r>
        <w:t>facilitation in preparing MSS Action</w:t>
      </w:r>
      <w:r>
        <w:rPr>
          <w:spacing w:val="-1"/>
        </w:rPr>
        <w:t xml:space="preserve"> </w:t>
      </w:r>
      <w:r>
        <w:t>Plans, as well as in</w:t>
      </w:r>
      <w:r>
        <w:rPr>
          <w:spacing w:val="-1"/>
        </w:rPr>
        <w:t xml:space="preserve"> </w:t>
      </w:r>
      <w:r>
        <w:t>MSS monitoring and reporting.</w:t>
      </w:r>
    </w:p>
    <w:p w14:paraId="7D7A0794" w14:textId="77777777" w:rsidR="00BC24A8" w:rsidRDefault="00000000">
      <w:pPr>
        <w:pStyle w:val="BodyText"/>
        <w:spacing w:before="121"/>
        <w:rPr>
          <w:sz w:val="20"/>
        </w:rPr>
      </w:pPr>
      <w:r>
        <w:rPr>
          <w:noProof/>
          <w:sz w:val="20"/>
        </w:rPr>
        <mc:AlternateContent>
          <mc:Choice Requires="wps">
            <w:drawing>
              <wp:anchor distT="0" distB="0" distL="0" distR="0" simplePos="0" relativeHeight="487627776" behindDoc="1" locked="0" layoutInCell="1" allowOverlap="1" wp14:anchorId="6EBDF086" wp14:editId="5A5C36AF">
                <wp:simplePos x="0" y="0"/>
                <wp:positionH relativeFrom="page">
                  <wp:posOffset>900683</wp:posOffset>
                </wp:positionH>
                <wp:positionV relativeFrom="paragraph">
                  <wp:posOffset>247152</wp:posOffset>
                </wp:positionV>
                <wp:extent cx="1828800" cy="9525"/>
                <wp:effectExtent l="0" t="0" r="0" b="0"/>
                <wp:wrapTopAndBottom/>
                <wp:docPr id="251" name="Graphic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A54A3" id="Graphic 251" o:spid="_x0000_s1026" alt="&quot;&quot;" style="position:absolute;margin-left:70.9pt;margin-top:19.45pt;width:2in;height:.75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" path="m1828800,l,,,9144r1828800,l1828800,xe" fillcolor="black" stroked="f">
                <v:path arrowok="t"/>
                <w10:wrap type="topAndBottom" anchorx="page"/>
              </v:shape>
            </w:pict>
          </mc:Fallback>
        </mc:AlternateContent>
      </w:r>
    </w:p>
    <w:p w14:paraId="4D81BD03" w14:textId="77777777" w:rsidR="00BC24A8" w:rsidRDefault="00BC24A8">
      <w:pPr>
        <w:pStyle w:val="BodyText"/>
        <w:spacing w:before="105"/>
        <w:rPr>
          <w:sz w:val="16"/>
        </w:rPr>
      </w:pPr>
    </w:p>
    <w:p w14:paraId="053D0CDC" w14:textId="77777777" w:rsidR="00BC24A8" w:rsidRDefault="00000000">
      <w:pPr>
        <w:spacing w:before="1"/>
        <w:ind w:left="143" w:right="662" w:hanging="1"/>
        <w:rPr>
          <w:sz w:val="16"/>
        </w:rPr>
      </w:pPr>
      <w:bookmarkStart w:id="213" w:name="_bookmark147"/>
      <w:bookmarkEnd w:id="213"/>
      <w:r>
        <w:rPr>
          <w:color w:val="767070"/>
          <w:sz w:val="16"/>
          <w:vertAlign w:val="superscript"/>
        </w:rPr>
        <w:t>73</w:t>
      </w:r>
      <w:r>
        <w:rPr>
          <w:color w:val="767070"/>
          <w:spacing w:val="-5"/>
          <w:sz w:val="16"/>
        </w:rPr>
        <w:t xml:space="preserve"> </w:t>
      </w:r>
      <w:r>
        <w:rPr>
          <w:color w:val="767070"/>
          <w:sz w:val="16"/>
        </w:rPr>
        <w:t>Person</w:t>
      </w:r>
      <w:r>
        <w:rPr>
          <w:color w:val="767070"/>
          <w:spacing w:val="-4"/>
          <w:sz w:val="16"/>
        </w:rPr>
        <w:t xml:space="preserve"> </w:t>
      </w:r>
      <w:r>
        <w:rPr>
          <w:color w:val="767070"/>
          <w:sz w:val="16"/>
        </w:rPr>
        <w:t>time</w:t>
      </w:r>
      <w:r>
        <w:rPr>
          <w:color w:val="767070"/>
          <w:spacing w:val="-5"/>
          <w:sz w:val="16"/>
        </w:rPr>
        <w:t xml:space="preserve"> </w:t>
      </w:r>
      <w:r>
        <w:rPr>
          <w:color w:val="767070"/>
          <w:sz w:val="16"/>
        </w:rPr>
        <w:t>refers</w:t>
      </w:r>
      <w:r>
        <w:rPr>
          <w:color w:val="767070"/>
          <w:spacing w:val="-4"/>
          <w:sz w:val="16"/>
        </w:rPr>
        <w:t xml:space="preserve"> </w:t>
      </w:r>
      <w:r>
        <w:rPr>
          <w:color w:val="767070"/>
          <w:sz w:val="16"/>
        </w:rPr>
        <w:t>to</w:t>
      </w:r>
      <w:r>
        <w:rPr>
          <w:color w:val="767070"/>
          <w:spacing w:val="-4"/>
          <w:sz w:val="16"/>
        </w:rPr>
        <w:t xml:space="preserve"> </w:t>
      </w:r>
      <w:r>
        <w:rPr>
          <w:color w:val="767070"/>
          <w:sz w:val="16"/>
        </w:rPr>
        <w:t>the</w:t>
      </w:r>
      <w:r>
        <w:rPr>
          <w:color w:val="767070"/>
          <w:spacing w:val="-5"/>
          <w:sz w:val="16"/>
        </w:rPr>
        <w:t xml:space="preserve"> </w:t>
      </w:r>
      <w:r>
        <w:rPr>
          <w:color w:val="767070"/>
          <w:sz w:val="16"/>
        </w:rPr>
        <w:t>total</w:t>
      </w:r>
      <w:r>
        <w:rPr>
          <w:color w:val="767070"/>
          <w:spacing w:val="-7"/>
          <w:sz w:val="16"/>
        </w:rPr>
        <w:t xml:space="preserve"> </w:t>
      </w:r>
      <w:r>
        <w:rPr>
          <w:color w:val="767070"/>
          <w:sz w:val="16"/>
        </w:rPr>
        <w:t>instances</w:t>
      </w:r>
      <w:r>
        <w:rPr>
          <w:color w:val="767070"/>
          <w:spacing w:val="-4"/>
          <w:sz w:val="16"/>
        </w:rPr>
        <w:t xml:space="preserve"> </w:t>
      </w:r>
      <w:r>
        <w:rPr>
          <w:color w:val="767070"/>
          <w:sz w:val="16"/>
        </w:rPr>
        <w:t>of</w:t>
      </w:r>
      <w:r>
        <w:rPr>
          <w:color w:val="767070"/>
          <w:spacing w:val="-5"/>
          <w:sz w:val="16"/>
        </w:rPr>
        <w:t xml:space="preserve"> </w:t>
      </w:r>
      <w:r>
        <w:rPr>
          <w:color w:val="767070"/>
          <w:sz w:val="16"/>
        </w:rPr>
        <w:t>participation;</w:t>
      </w:r>
      <w:r>
        <w:rPr>
          <w:color w:val="767070"/>
          <w:spacing w:val="-4"/>
          <w:sz w:val="16"/>
        </w:rPr>
        <w:t xml:space="preserve"> </w:t>
      </w:r>
      <w:r>
        <w:rPr>
          <w:color w:val="767070"/>
          <w:sz w:val="16"/>
        </w:rPr>
        <w:t>one</w:t>
      </w:r>
      <w:r>
        <w:rPr>
          <w:color w:val="767070"/>
          <w:spacing w:val="-7"/>
          <w:sz w:val="16"/>
        </w:rPr>
        <w:t xml:space="preserve"> </w:t>
      </w:r>
      <w:r>
        <w:rPr>
          <w:color w:val="767070"/>
          <w:sz w:val="16"/>
        </w:rPr>
        <w:t>individual</w:t>
      </w:r>
      <w:r>
        <w:rPr>
          <w:color w:val="767070"/>
          <w:spacing w:val="-4"/>
          <w:sz w:val="16"/>
        </w:rPr>
        <w:t xml:space="preserve"> </w:t>
      </w:r>
      <w:r>
        <w:rPr>
          <w:color w:val="767070"/>
          <w:sz w:val="16"/>
        </w:rPr>
        <w:t>may</w:t>
      </w:r>
      <w:r>
        <w:rPr>
          <w:color w:val="767070"/>
          <w:spacing w:val="-6"/>
          <w:sz w:val="16"/>
        </w:rPr>
        <w:t xml:space="preserve"> </w:t>
      </w:r>
      <w:r>
        <w:rPr>
          <w:color w:val="767070"/>
          <w:sz w:val="16"/>
        </w:rPr>
        <w:t>participate</w:t>
      </w:r>
      <w:r>
        <w:rPr>
          <w:color w:val="767070"/>
          <w:spacing w:val="-5"/>
          <w:sz w:val="16"/>
        </w:rPr>
        <w:t xml:space="preserve"> </w:t>
      </w:r>
      <w:r>
        <w:rPr>
          <w:color w:val="767070"/>
          <w:sz w:val="16"/>
        </w:rPr>
        <w:t>more</w:t>
      </w:r>
      <w:r>
        <w:rPr>
          <w:color w:val="767070"/>
          <w:spacing w:val="-5"/>
          <w:sz w:val="16"/>
        </w:rPr>
        <w:t xml:space="preserve"> </w:t>
      </w:r>
      <w:r>
        <w:rPr>
          <w:color w:val="767070"/>
          <w:sz w:val="16"/>
        </w:rPr>
        <w:t>than</w:t>
      </w:r>
      <w:r>
        <w:rPr>
          <w:color w:val="767070"/>
          <w:spacing w:val="-4"/>
          <w:sz w:val="16"/>
        </w:rPr>
        <w:t xml:space="preserve"> </w:t>
      </w:r>
      <w:r>
        <w:rPr>
          <w:color w:val="767070"/>
          <w:sz w:val="16"/>
        </w:rPr>
        <w:t>once</w:t>
      </w:r>
      <w:r>
        <w:rPr>
          <w:color w:val="767070"/>
          <w:spacing w:val="-5"/>
          <w:sz w:val="16"/>
        </w:rPr>
        <w:t xml:space="preserve"> </w:t>
      </w:r>
      <w:r>
        <w:rPr>
          <w:color w:val="767070"/>
          <w:sz w:val="16"/>
        </w:rPr>
        <w:t>in</w:t>
      </w:r>
      <w:r>
        <w:rPr>
          <w:color w:val="767070"/>
          <w:spacing w:val="-4"/>
          <w:sz w:val="16"/>
        </w:rPr>
        <w:t xml:space="preserve"> </w:t>
      </w:r>
      <w:r>
        <w:rPr>
          <w:color w:val="767070"/>
          <w:sz w:val="16"/>
        </w:rPr>
        <w:t>SKALA-supported</w:t>
      </w:r>
      <w:r>
        <w:rPr>
          <w:color w:val="767070"/>
          <w:spacing w:val="-4"/>
          <w:sz w:val="16"/>
        </w:rPr>
        <w:t xml:space="preserve"> </w:t>
      </w:r>
      <w:r>
        <w:rPr>
          <w:color w:val="767070"/>
          <w:sz w:val="16"/>
        </w:rPr>
        <w:t>activities.</w:t>
      </w:r>
      <w:r>
        <w:rPr>
          <w:color w:val="767070"/>
          <w:spacing w:val="40"/>
          <w:sz w:val="16"/>
        </w:rPr>
        <w:t xml:space="preserve"> </w:t>
      </w:r>
      <w:r>
        <w:rPr>
          <w:color w:val="767070"/>
          <w:sz w:val="16"/>
        </w:rPr>
        <w:t>Headcount refers to participants whose costs are covered by SKALA.</w:t>
      </w:r>
    </w:p>
    <w:p w14:paraId="12231590" w14:textId="77777777" w:rsidR="00BC24A8" w:rsidRDefault="00000000">
      <w:pPr>
        <w:ind w:left="143" w:right="648"/>
        <w:rPr>
          <w:sz w:val="16"/>
        </w:rPr>
      </w:pPr>
      <w:bookmarkStart w:id="214" w:name="_bookmark148"/>
      <w:bookmarkEnd w:id="214"/>
      <w:r>
        <w:rPr>
          <w:color w:val="767070"/>
          <w:sz w:val="16"/>
          <w:vertAlign w:val="superscript"/>
        </w:rPr>
        <w:t>74</w:t>
      </w:r>
      <w:r>
        <w:rPr>
          <w:color w:val="767070"/>
          <w:spacing w:val="-6"/>
          <w:sz w:val="16"/>
        </w:rPr>
        <w:t xml:space="preserve"> </w:t>
      </w:r>
      <w:r>
        <w:rPr>
          <w:color w:val="767070"/>
          <w:sz w:val="16"/>
        </w:rPr>
        <w:t>SEPAKAT</w:t>
      </w:r>
      <w:r>
        <w:rPr>
          <w:color w:val="767070"/>
          <w:spacing w:val="-7"/>
          <w:sz w:val="16"/>
        </w:rPr>
        <w:t xml:space="preserve"> </w:t>
      </w:r>
      <w:r>
        <w:rPr>
          <w:color w:val="767070"/>
          <w:sz w:val="16"/>
        </w:rPr>
        <w:t>(Integrated</w:t>
      </w:r>
      <w:r>
        <w:rPr>
          <w:color w:val="767070"/>
          <w:spacing w:val="-6"/>
          <w:sz w:val="16"/>
        </w:rPr>
        <w:t xml:space="preserve"> </w:t>
      </w:r>
      <w:r>
        <w:rPr>
          <w:color w:val="767070"/>
          <w:sz w:val="16"/>
        </w:rPr>
        <w:t>REGSOSEK-Based</w:t>
      </w:r>
      <w:r>
        <w:rPr>
          <w:color w:val="767070"/>
          <w:spacing w:val="-6"/>
          <w:sz w:val="16"/>
        </w:rPr>
        <w:t xml:space="preserve"> </w:t>
      </w:r>
      <w:r>
        <w:rPr>
          <w:color w:val="767070"/>
          <w:sz w:val="16"/>
        </w:rPr>
        <w:t>Development</w:t>
      </w:r>
      <w:r>
        <w:rPr>
          <w:color w:val="767070"/>
          <w:spacing w:val="-6"/>
          <w:sz w:val="16"/>
        </w:rPr>
        <w:t xml:space="preserve"> </w:t>
      </w:r>
      <w:r>
        <w:rPr>
          <w:color w:val="767070"/>
          <w:sz w:val="16"/>
        </w:rPr>
        <w:t>Planning</w:t>
      </w:r>
      <w:r>
        <w:rPr>
          <w:color w:val="767070"/>
          <w:spacing w:val="-9"/>
          <w:sz w:val="16"/>
        </w:rPr>
        <w:t xml:space="preserve"> </w:t>
      </w:r>
      <w:r>
        <w:rPr>
          <w:color w:val="767070"/>
          <w:sz w:val="16"/>
        </w:rPr>
        <w:t>System)</w:t>
      </w:r>
      <w:r>
        <w:rPr>
          <w:color w:val="767070"/>
          <w:spacing w:val="-6"/>
          <w:sz w:val="16"/>
        </w:rPr>
        <w:t xml:space="preserve"> </w:t>
      </w:r>
      <w:r>
        <w:rPr>
          <w:color w:val="767070"/>
          <w:sz w:val="16"/>
        </w:rPr>
        <w:t>is</w:t>
      </w:r>
      <w:r>
        <w:rPr>
          <w:color w:val="767070"/>
          <w:spacing w:val="-6"/>
          <w:sz w:val="16"/>
        </w:rPr>
        <w:t xml:space="preserve"> </w:t>
      </w:r>
      <w:r>
        <w:rPr>
          <w:color w:val="767070"/>
          <w:sz w:val="16"/>
        </w:rPr>
        <w:t>a</w:t>
      </w:r>
      <w:r>
        <w:rPr>
          <w:color w:val="767070"/>
          <w:spacing w:val="-7"/>
          <w:sz w:val="16"/>
        </w:rPr>
        <w:t xml:space="preserve"> </w:t>
      </w:r>
      <w:r>
        <w:rPr>
          <w:color w:val="767070"/>
          <w:sz w:val="16"/>
        </w:rPr>
        <w:t>web-based</w:t>
      </w:r>
      <w:r>
        <w:rPr>
          <w:color w:val="767070"/>
          <w:spacing w:val="-6"/>
          <w:sz w:val="16"/>
        </w:rPr>
        <w:t xml:space="preserve"> </w:t>
      </w:r>
      <w:r>
        <w:rPr>
          <w:color w:val="767070"/>
          <w:sz w:val="16"/>
        </w:rPr>
        <w:t>application</w:t>
      </w:r>
      <w:r>
        <w:rPr>
          <w:color w:val="767070"/>
          <w:spacing w:val="-6"/>
          <w:sz w:val="16"/>
        </w:rPr>
        <w:t xml:space="preserve"> </w:t>
      </w:r>
      <w:r>
        <w:rPr>
          <w:color w:val="767070"/>
          <w:sz w:val="16"/>
        </w:rPr>
        <w:t>that</w:t>
      </w:r>
      <w:r>
        <w:rPr>
          <w:color w:val="767070"/>
          <w:spacing w:val="-8"/>
          <w:sz w:val="16"/>
        </w:rPr>
        <w:t xml:space="preserve"> </w:t>
      </w:r>
      <w:r>
        <w:rPr>
          <w:color w:val="767070"/>
          <w:sz w:val="16"/>
        </w:rPr>
        <w:t>provides</w:t>
      </w:r>
      <w:r>
        <w:rPr>
          <w:color w:val="767070"/>
          <w:spacing w:val="-8"/>
          <w:sz w:val="16"/>
        </w:rPr>
        <w:t xml:space="preserve"> </w:t>
      </w:r>
      <w:r>
        <w:rPr>
          <w:color w:val="767070"/>
          <w:sz w:val="16"/>
        </w:rPr>
        <w:t>macro</w:t>
      </w:r>
      <w:r>
        <w:rPr>
          <w:color w:val="767070"/>
          <w:spacing w:val="-8"/>
          <w:sz w:val="16"/>
        </w:rPr>
        <w:t xml:space="preserve"> </w:t>
      </w:r>
      <w:r>
        <w:rPr>
          <w:color w:val="767070"/>
          <w:sz w:val="16"/>
        </w:rPr>
        <w:t>and</w:t>
      </w:r>
      <w:r>
        <w:rPr>
          <w:color w:val="767070"/>
          <w:spacing w:val="-8"/>
          <w:sz w:val="16"/>
        </w:rPr>
        <w:t xml:space="preserve"> </w:t>
      </w:r>
      <w:r>
        <w:rPr>
          <w:color w:val="767070"/>
          <w:sz w:val="16"/>
        </w:rPr>
        <w:t>micro</w:t>
      </w:r>
      <w:r>
        <w:rPr>
          <w:color w:val="767070"/>
          <w:spacing w:val="-6"/>
          <w:sz w:val="16"/>
        </w:rPr>
        <w:t xml:space="preserve"> </w:t>
      </w:r>
      <w:r>
        <w:rPr>
          <w:color w:val="767070"/>
          <w:sz w:val="16"/>
        </w:rPr>
        <w:t>data</w:t>
      </w:r>
      <w:r>
        <w:rPr>
          <w:color w:val="767070"/>
          <w:spacing w:val="40"/>
          <w:sz w:val="16"/>
        </w:rPr>
        <w:t xml:space="preserve"> </w:t>
      </w:r>
      <w:r>
        <w:rPr>
          <w:color w:val="767070"/>
          <w:sz w:val="16"/>
        </w:rPr>
        <w:t>analysis to support evidence-based planning and budgeting.</w:t>
      </w:r>
    </w:p>
    <w:p w14:paraId="66FEED48" w14:textId="77777777" w:rsidR="00BC24A8" w:rsidRDefault="00000000">
      <w:pPr>
        <w:ind w:left="143" w:right="662" w:hanging="1"/>
        <w:rPr>
          <w:sz w:val="16"/>
        </w:rPr>
      </w:pPr>
      <w:bookmarkStart w:id="215" w:name="_bookmark149"/>
      <w:bookmarkEnd w:id="215"/>
      <w:r>
        <w:rPr>
          <w:color w:val="767070"/>
          <w:sz w:val="16"/>
          <w:vertAlign w:val="superscript"/>
        </w:rPr>
        <w:t>75</w:t>
      </w:r>
      <w:r>
        <w:rPr>
          <w:color w:val="767070"/>
          <w:spacing w:val="-5"/>
          <w:sz w:val="16"/>
        </w:rPr>
        <w:t xml:space="preserve"> </w:t>
      </w:r>
      <w:r>
        <w:rPr>
          <w:color w:val="767070"/>
          <w:sz w:val="16"/>
        </w:rPr>
        <w:t>REGSOSEK</w:t>
      </w:r>
      <w:r>
        <w:rPr>
          <w:color w:val="767070"/>
          <w:spacing w:val="-4"/>
          <w:sz w:val="16"/>
        </w:rPr>
        <w:t xml:space="preserve"> </w:t>
      </w:r>
      <w:r>
        <w:rPr>
          <w:color w:val="767070"/>
          <w:sz w:val="16"/>
        </w:rPr>
        <w:t>(Socio-Economic</w:t>
      </w:r>
      <w:r>
        <w:rPr>
          <w:color w:val="767070"/>
          <w:spacing w:val="-5"/>
          <w:sz w:val="16"/>
        </w:rPr>
        <w:t xml:space="preserve"> </w:t>
      </w:r>
      <w:r>
        <w:rPr>
          <w:color w:val="767070"/>
          <w:sz w:val="16"/>
        </w:rPr>
        <w:t>Registration)</w:t>
      </w:r>
      <w:r>
        <w:rPr>
          <w:color w:val="767070"/>
          <w:spacing w:val="-5"/>
          <w:sz w:val="16"/>
        </w:rPr>
        <w:t xml:space="preserve"> </w:t>
      </w:r>
      <w:r>
        <w:rPr>
          <w:color w:val="767070"/>
          <w:sz w:val="16"/>
        </w:rPr>
        <w:t>is</w:t>
      </w:r>
      <w:r>
        <w:rPr>
          <w:color w:val="767070"/>
          <w:spacing w:val="-6"/>
          <w:sz w:val="16"/>
        </w:rPr>
        <w:t xml:space="preserve"> </w:t>
      </w:r>
      <w:r>
        <w:rPr>
          <w:color w:val="767070"/>
          <w:sz w:val="16"/>
        </w:rPr>
        <w:t>a</w:t>
      </w:r>
      <w:r>
        <w:rPr>
          <w:color w:val="767070"/>
          <w:spacing w:val="-4"/>
          <w:sz w:val="16"/>
        </w:rPr>
        <w:t xml:space="preserve"> </w:t>
      </w:r>
      <w:r>
        <w:rPr>
          <w:color w:val="767070"/>
          <w:sz w:val="16"/>
        </w:rPr>
        <w:t>social</w:t>
      </w:r>
      <w:r>
        <w:rPr>
          <w:color w:val="767070"/>
          <w:spacing w:val="-4"/>
          <w:sz w:val="16"/>
        </w:rPr>
        <w:t xml:space="preserve"> </w:t>
      </w:r>
      <w:r>
        <w:rPr>
          <w:color w:val="767070"/>
          <w:sz w:val="16"/>
        </w:rPr>
        <w:t>welfare</w:t>
      </w:r>
      <w:r>
        <w:rPr>
          <w:color w:val="767070"/>
          <w:spacing w:val="-6"/>
          <w:sz w:val="16"/>
        </w:rPr>
        <w:t xml:space="preserve"> </w:t>
      </w:r>
      <w:r>
        <w:rPr>
          <w:color w:val="767070"/>
          <w:sz w:val="16"/>
        </w:rPr>
        <w:t>database</w:t>
      </w:r>
      <w:r>
        <w:rPr>
          <w:color w:val="767070"/>
          <w:spacing w:val="-5"/>
          <w:sz w:val="16"/>
        </w:rPr>
        <w:t xml:space="preserve"> </w:t>
      </w:r>
      <w:r>
        <w:rPr>
          <w:color w:val="767070"/>
          <w:sz w:val="16"/>
        </w:rPr>
        <w:t>launched</w:t>
      </w:r>
      <w:r>
        <w:rPr>
          <w:color w:val="767070"/>
          <w:spacing w:val="-4"/>
          <w:sz w:val="16"/>
        </w:rPr>
        <w:t xml:space="preserve"> </w:t>
      </w:r>
      <w:r>
        <w:rPr>
          <w:color w:val="767070"/>
          <w:sz w:val="16"/>
        </w:rPr>
        <w:t>by</w:t>
      </w:r>
      <w:r>
        <w:rPr>
          <w:color w:val="767070"/>
          <w:spacing w:val="-4"/>
          <w:sz w:val="16"/>
        </w:rPr>
        <w:t xml:space="preserve"> </w:t>
      </w:r>
      <w:r>
        <w:rPr>
          <w:color w:val="767070"/>
          <w:sz w:val="16"/>
        </w:rPr>
        <w:t>the</w:t>
      </w:r>
      <w:r>
        <w:rPr>
          <w:color w:val="767070"/>
          <w:spacing w:val="-6"/>
          <w:sz w:val="16"/>
        </w:rPr>
        <w:t xml:space="preserve"> </w:t>
      </w:r>
      <w:r>
        <w:rPr>
          <w:color w:val="767070"/>
          <w:sz w:val="16"/>
        </w:rPr>
        <w:t>Ministry</w:t>
      </w:r>
      <w:r>
        <w:rPr>
          <w:color w:val="767070"/>
          <w:spacing w:val="-4"/>
          <w:sz w:val="16"/>
        </w:rPr>
        <w:t xml:space="preserve"> </w:t>
      </w:r>
      <w:r>
        <w:rPr>
          <w:color w:val="767070"/>
          <w:sz w:val="16"/>
        </w:rPr>
        <w:t>of</w:t>
      </w:r>
      <w:r>
        <w:rPr>
          <w:color w:val="767070"/>
          <w:spacing w:val="-6"/>
          <w:sz w:val="16"/>
        </w:rPr>
        <w:t xml:space="preserve"> </w:t>
      </w:r>
      <w:r>
        <w:rPr>
          <w:color w:val="767070"/>
          <w:sz w:val="16"/>
        </w:rPr>
        <w:t>National</w:t>
      </w:r>
      <w:r>
        <w:rPr>
          <w:color w:val="767070"/>
          <w:spacing w:val="-6"/>
          <w:sz w:val="16"/>
        </w:rPr>
        <w:t xml:space="preserve"> </w:t>
      </w:r>
      <w:r>
        <w:rPr>
          <w:color w:val="767070"/>
          <w:sz w:val="16"/>
        </w:rPr>
        <w:t>Development</w:t>
      </w:r>
      <w:r>
        <w:rPr>
          <w:color w:val="767070"/>
          <w:spacing w:val="40"/>
          <w:sz w:val="16"/>
        </w:rPr>
        <w:t xml:space="preserve"> </w:t>
      </w:r>
      <w:r>
        <w:rPr>
          <w:color w:val="767070"/>
          <w:spacing w:val="-2"/>
          <w:sz w:val="16"/>
        </w:rPr>
        <w:t>Planning/Bappenas.</w:t>
      </w:r>
    </w:p>
    <w:p w14:paraId="5CE1D74B" w14:textId="77777777" w:rsidR="00BC24A8" w:rsidRDefault="00BC24A8">
      <w:pPr>
        <w:rPr>
          <w:sz w:val="16"/>
        </w:rPr>
        <w:sectPr w:rsidR="00BC24A8">
          <w:pgSz w:w="11910" w:h="16840"/>
          <w:pgMar w:top="1360" w:right="850" w:bottom="1100" w:left="1275" w:header="0" w:footer="907" w:gutter="0"/>
          <w:cols w:space="720"/>
        </w:sectPr>
      </w:pPr>
    </w:p>
    <w:p w14:paraId="5F0D46EA" w14:textId="77777777" w:rsidR="00BC24A8" w:rsidRDefault="00000000">
      <w:pPr>
        <w:pStyle w:val="ListParagraph"/>
        <w:numPr>
          <w:ilvl w:val="0"/>
          <w:numId w:val="36"/>
        </w:numPr>
        <w:tabs>
          <w:tab w:val="left" w:pos="861"/>
          <w:tab w:val="left" w:pos="863"/>
        </w:tabs>
        <w:spacing w:before="79"/>
        <w:ind w:right="562" w:hanging="361"/>
      </w:pPr>
      <w:r>
        <w:t>PFM (Public Financial Management): SKALA facilitated the use of the Special Development Planning Forum (</w:t>
      </w:r>
      <w:r>
        <w:rPr>
          <w:i/>
        </w:rPr>
        <w:t>Musrenbangsus</w:t>
      </w:r>
      <w:r>
        <w:t>) and SIPPP</w:t>
      </w:r>
      <w:hyperlink w:anchor="_bookmark150" w:history="1">
        <w:r w:rsidR="00BC24A8">
          <w:rPr>
            <w:vertAlign w:val="superscript"/>
          </w:rPr>
          <w:t>76</w:t>
        </w:r>
      </w:hyperlink>
      <w:r>
        <w:t xml:space="preserve"> guidelines, assisted in accountability reporting for the FY 2024 Social Protection Program for Papua Barat Daya Province (PAITUA) program, and supported the design and initiation of regional strategic priority programs.</w:t>
      </w:r>
    </w:p>
    <w:p w14:paraId="1B6663B7" w14:textId="77777777" w:rsidR="00BC24A8" w:rsidRDefault="00BC24A8">
      <w:pPr>
        <w:pStyle w:val="BodyText"/>
        <w:spacing w:before="119"/>
      </w:pPr>
    </w:p>
    <w:p w14:paraId="420C1BC0" w14:textId="77777777" w:rsidR="00BC24A8" w:rsidRDefault="00000000">
      <w:pPr>
        <w:pStyle w:val="BodyText"/>
        <w:ind w:left="143"/>
        <w:rPr>
          <w:rFonts w:ascii="Calibri"/>
        </w:rPr>
      </w:pPr>
      <w:r>
        <w:rPr>
          <w:rFonts w:ascii="Calibri"/>
          <w:color w:val="272727"/>
        </w:rPr>
        <w:t>Summary</w:t>
      </w:r>
      <w:r>
        <w:rPr>
          <w:rFonts w:ascii="Calibri"/>
          <w:color w:val="272727"/>
          <w:spacing w:val="-5"/>
        </w:rPr>
        <w:t xml:space="preserve"> </w:t>
      </w:r>
      <w:r>
        <w:rPr>
          <w:rFonts w:ascii="Calibri"/>
          <w:color w:val="272727"/>
        </w:rPr>
        <w:t>of</w:t>
      </w:r>
      <w:r>
        <w:rPr>
          <w:rFonts w:ascii="Calibri"/>
          <w:color w:val="272727"/>
          <w:spacing w:val="-8"/>
        </w:rPr>
        <w:t xml:space="preserve"> </w:t>
      </w:r>
      <w:r>
        <w:rPr>
          <w:rFonts w:ascii="Calibri"/>
          <w:color w:val="272727"/>
        </w:rPr>
        <w:t>results</w:t>
      </w:r>
      <w:r>
        <w:rPr>
          <w:rFonts w:ascii="Calibri"/>
          <w:color w:val="272727"/>
          <w:spacing w:val="-5"/>
        </w:rPr>
        <w:t xml:space="preserve"> </w:t>
      </w:r>
      <w:r>
        <w:rPr>
          <w:rFonts w:ascii="Calibri"/>
          <w:color w:val="272727"/>
        </w:rPr>
        <w:t>at</w:t>
      </w:r>
      <w:r>
        <w:rPr>
          <w:rFonts w:ascii="Calibri"/>
          <w:color w:val="272727"/>
          <w:spacing w:val="-8"/>
        </w:rPr>
        <w:t xml:space="preserve"> </w:t>
      </w:r>
      <w:r>
        <w:rPr>
          <w:rFonts w:ascii="Calibri"/>
          <w:color w:val="272727"/>
        </w:rPr>
        <w:t>the</w:t>
      </w:r>
      <w:r>
        <w:rPr>
          <w:rFonts w:ascii="Calibri"/>
          <w:color w:val="272727"/>
          <w:spacing w:val="-4"/>
        </w:rPr>
        <w:t xml:space="preserve"> </w:t>
      </w:r>
      <w:r>
        <w:rPr>
          <w:rFonts w:ascii="Calibri"/>
          <w:color w:val="272727"/>
        </w:rPr>
        <w:t>Intermediate</w:t>
      </w:r>
      <w:r>
        <w:rPr>
          <w:rFonts w:ascii="Calibri"/>
          <w:color w:val="272727"/>
          <w:spacing w:val="-8"/>
        </w:rPr>
        <w:t xml:space="preserve"> </w:t>
      </w:r>
      <w:r>
        <w:rPr>
          <w:rFonts w:ascii="Calibri"/>
          <w:color w:val="272727"/>
        </w:rPr>
        <w:t>Outcome</w:t>
      </w:r>
      <w:r>
        <w:rPr>
          <w:rFonts w:ascii="Calibri"/>
          <w:color w:val="272727"/>
          <w:spacing w:val="-4"/>
        </w:rPr>
        <w:t xml:space="preserve"> </w:t>
      </w:r>
      <w:r>
        <w:rPr>
          <w:rFonts w:ascii="Calibri"/>
          <w:color w:val="272727"/>
        </w:rPr>
        <w:t>(IO)</w:t>
      </w:r>
      <w:r>
        <w:rPr>
          <w:rFonts w:ascii="Calibri"/>
          <w:color w:val="272727"/>
          <w:spacing w:val="-9"/>
        </w:rPr>
        <w:t xml:space="preserve"> </w:t>
      </w:r>
      <w:r>
        <w:rPr>
          <w:rFonts w:ascii="Calibri"/>
          <w:color w:val="272727"/>
          <w:spacing w:val="-2"/>
        </w:rPr>
        <w:t>level</w:t>
      </w:r>
    </w:p>
    <w:p w14:paraId="65917E66" w14:textId="77777777" w:rsidR="00BC24A8" w:rsidRDefault="00000000">
      <w:pPr>
        <w:pStyle w:val="Heading5"/>
        <w:spacing w:before="22"/>
      </w:pPr>
      <w:r>
        <w:rPr>
          <w:color w:val="17365A"/>
        </w:rPr>
        <w:t>Data</w:t>
      </w:r>
      <w:r>
        <w:rPr>
          <w:color w:val="17365A"/>
          <w:spacing w:val="-4"/>
        </w:rPr>
        <w:t xml:space="preserve"> </w:t>
      </w:r>
      <w:r>
        <w:rPr>
          <w:color w:val="17365A"/>
        </w:rPr>
        <w:t>availability,</w:t>
      </w:r>
      <w:r>
        <w:rPr>
          <w:color w:val="17365A"/>
          <w:spacing w:val="-1"/>
        </w:rPr>
        <w:t xml:space="preserve"> </w:t>
      </w:r>
      <w:r>
        <w:rPr>
          <w:color w:val="17365A"/>
        </w:rPr>
        <w:t>management,</w:t>
      </w:r>
      <w:r>
        <w:rPr>
          <w:color w:val="17365A"/>
          <w:spacing w:val="-1"/>
        </w:rPr>
        <w:t xml:space="preserve"> </w:t>
      </w:r>
      <w:r>
        <w:rPr>
          <w:color w:val="17365A"/>
        </w:rPr>
        <w:t>and</w:t>
      </w:r>
      <w:r>
        <w:rPr>
          <w:color w:val="17365A"/>
          <w:spacing w:val="-3"/>
        </w:rPr>
        <w:t xml:space="preserve"> </w:t>
      </w:r>
      <w:r>
        <w:rPr>
          <w:color w:val="17365A"/>
        </w:rPr>
        <w:t>utilisation</w:t>
      </w:r>
      <w:r>
        <w:rPr>
          <w:color w:val="17365A"/>
          <w:spacing w:val="-2"/>
        </w:rPr>
        <w:t xml:space="preserve"> </w:t>
      </w:r>
      <w:r>
        <w:rPr>
          <w:color w:val="17365A"/>
        </w:rPr>
        <w:t>to</w:t>
      </w:r>
      <w:r>
        <w:rPr>
          <w:color w:val="17365A"/>
          <w:spacing w:val="-3"/>
        </w:rPr>
        <w:t xml:space="preserve"> </w:t>
      </w:r>
      <w:r>
        <w:rPr>
          <w:color w:val="17365A"/>
        </w:rPr>
        <w:t>improve</w:t>
      </w:r>
      <w:r>
        <w:rPr>
          <w:color w:val="17365A"/>
          <w:spacing w:val="-3"/>
        </w:rPr>
        <w:t xml:space="preserve"> </w:t>
      </w:r>
      <w:r>
        <w:rPr>
          <w:color w:val="17365A"/>
        </w:rPr>
        <w:t>evidence-based</w:t>
      </w:r>
      <w:r>
        <w:rPr>
          <w:color w:val="17365A"/>
          <w:spacing w:val="-2"/>
        </w:rPr>
        <w:t xml:space="preserve"> </w:t>
      </w:r>
      <w:r>
        <w:rPr>
          <w:color w:val="17365A"/>
        </w:rPr>
        <w:t>planning</w:t>
      </w:r>
      <w:r>
        <w:rPr>
          <w:color w:val="17365A"/>
          <w:spacing w:val="-1"/>
        </w:rPr>
        <w:t xml:space="preserve"> </w:t>
      </w:r>
      <w:r>
        <w:rPr>
          <w:color w:val="17365A"/>
        </w:rPr>
        <w:t>processes</w:t>
      </w:r>
      <w:r>
        <w:rPr>
          <w:color w:val="17365A"/>
          <w:spacing w:val="-2"/>
        </w:rPr>
        <w:t xml:space="preserve"> </w:t>
      </w:r>
      <w:r>
        <w:rPr>
          <w:color w:val="17365A"/>
        </w:rPr>
        <w:t>(IO</w:t>
      </w:r>
      <w:r>
        <w:rPr>
          <w:color w:val="17365A"/>
          <w:spacing w:val="-4"/>
        </w:rPr>
        <w:t xml:space="preserve"> </w:t>
      </w:r>
      <w:r>
        <w:rPr>
          <w:color w:val="17365A"/>
          <w:spacing w:val="-10"/>
        </w:rPr>
        <w:t>5</w:t>
      </w:r>
    </w:p>
    <w:p w14:paraId="19AAED3E" w14:textId="77777777" w:rsidR="00BC24A8" w:rsidRDefault="00000000">
      <w:pPr>
        <w:ind w:left="143"/>
        <w:rPr>
          <w:rFonts w:ascii="Calibri"/>
          <w:b/>
        </w:rPr>
      </w:pPr>
      <w:r>
        <w:rPr>
          <w:rFonts w:ascii="Calibri"/>
          <w:b/>
          <w:color w:val="17365A"/>
        </w:rPr>
        <w:t>and</w:t>
      </w:r>
      <w:r>
        <w:rPr>
          <w:rFonts w:ascii="Calibri"/>
          <w:b/>
          <w:color w:val="17365A"/>
          <w:spacing w:val="-5"/>
        </w:rPr>
        <w:t xml:space="preserve"> 9)</w:t>
      </w:r>
    </w:p>
    <w:p w14:paraId="4D5C235D" w14:textId="77777777" w:rsidR="00BC24A8" w:rsidRDefault="00000000">
      <w:pPr>
        <w:pStyle w:val="ListParagraph"/>
        <w:numPr>
          <w:ilvl w:val="0"/>
          <w:numId w:val="36"/>
        </w:numPr>
        <w:tabs>
          <w:tab w:val="left" w:pos="861"/>
          <w:tab w:val="left" w:pos="863"/>
        </w:tabs>
        <w:spacing w:before="159"/>
        <w:ind w:right="562" w:hanging="361"/>
      </w:pPr>
      <w:r>
        <w:t>The Governor’s Decree establishing the Papua Barat Daya One Data Forum has been issued. This decree strengthens data governance by clarifying the forum’s structure and functions.</w:t>
      </w:r>
    </w:p>
    <w:p w14:paraId="62C57755" w14:textId="77777777" w:rsidR="00BC24A8" w:rsidRDefault="00000000">
      <w:pPr>
        <w:pStyle w:val="ListParagraph"/>
        <w:numPr>
          <w:ilvl w:val="0"/>
          <w:numId w:val="36"/>
        </w:numPr>
        <w:tabs>
          <w:tab w:val="left" w:pos="861"/>
          <w:tab w:val="left" w:pos="863"/>
        </w:tabs>
        <w:spacing w:before="1"/>
        <w:ind w:right="563" w:hanging="361"/>
      </w:pPr>
      <w:r>
        <w:t>A Governor Regulation on the Integration of One Data in</w:t>
      </w:r>
      <w:r>
        <w:rPr>
          <w:spacing w:val="40"/>
        </w:rPr>
        <w:t xml:space="preserve"> </w:t>
      </w:r>
      <w:r>
        <w:t>Papua Barat Daya has been issued. This is the first Governor Regulation Pergub to support One Data in</w:t>
      </w:r>
      <w:r>
        <w:rPr>
          <w:spacing w:val="40"/>
        </w:rPr>
        <w:t xml:space="preserve"> </w:t>
      </w:r>
      <w:r>
        <w:t>Papua Barat Daya.</w:t>
      </w:r>
    </w:p>
    <w:p w14:paraId="4C7FDBD5" w14:textId="77777777" w:rsidR="00BC24A8" w:rsidRDefault="00000000">
      <w:pPr>
        <w:pStyle w:val="ListParagraph"/>
        <w:numPr>
          <w:ilvl w:val="0"/>
          <w:numId w:val="36"/>
        </w:numPr>
        <w:tabs>
          <w:tab w:val="left" w:pos="862"/>
          <w:tab w:val="left" w:pos="864"/>
        </w:tabs>
        <w:spacing w:before="3" w:line="237" w:lineRule="auto"/>
        <w:ind w:left="864" w:right="565" w:hanging="361"/>
      </w:pPr>
      <w:r>
        <w:t>The</w:t>
      </w:r>
      <w:r>
        <w:rPr>
          <w:spacing w:val="40"/>
        </w:rPr>
        <w:t xml:space="preserve"> </w:t>
      </w:r>
      <w:r>
        <w:t>Papua</w:t>
      </w:r>
      <w:r>
        <w:rPr>
          <w:spacing w:val="-3"/>
        </w:rPr>
        <w:t xml:space="preserve"> </w:t>
      </w:r>
      <w:r>
        <w:t>Barat</w:t>
      </w:r>
      <w:r>
        <w:rPr>
          <w:spacing w:val="-2"/>
        </w:rPr>
        <w:t xml:space="preserve"> </w:t>
      </w:r>
      <w:r>
        <w:t>Daya</w:t>
      </w:r>
      <w:r>
        <w:rPr>
          <w:spacing w:val="-3"/>
        </w:rPr>
        <w:t xml:space="preserve"> </w:t>
      </w:r>
      <w:r>
        <w:t>Government</w:t>
      </w:r>
      <w:r>
        <w:rPr>
          <w:spacing w:val="-2"/>
        </w:rPr>
        <w:t xml:space="preserve"> </w:t>
      </w:r>
      <w:r>
        <w:t>allocated</w:t>
      </w:r>
      <w:r>
        <w:rPr>
          <w:spacing w:val="-1"/>
        </w:rPr>
        <w:t xml:space="preserve"> </w:t>
      </w:r>
      <w:r>
        <w:t>IDR</w:t>
      </w:r>
      <w:r>
        <w:rPr>
          <w:spacing w:val="-2"/>
        </w:rPr>
        <w:t xml:space="preserve"> </w:t>
      </w:r>
      <w:r>
        <w:t>100</w:t>
      </w:r>
      <w:r>
        <w:rPr>
          <w:spacing w:val="-3"/>
        </w:rPr>
        <w:t xml:space="preserve"> </w:t>
      </w:r>
      <w:r>
        <w:t>million to</w:t>
      </w:r>
      <w:r>
        <w:rPr>
          <w:spacing w:val="-2"/>
        </w:rPr>
        <w:t xml:space="preserve"> </w:t>
      </w:r>
      <w:r>
        <w:t>hold</w:t>
      </w:r>
      <w:r>
        <w:rPr>
          <w:spacing w:val="-1"/>
        </w:rPr>
        <w:t xml:space="preserve"> </w:t>
      </w:r>
      <w:r>
        <w:t>strategic</w:t>
      </w:r>
      <w:r>
        <w:rPr>
          <w:spacing w:val="-2"/>
        </w:rPr>
        <w:t xml:space="preserve"> </w:t>
      </w:r>
      <w:r>
        <w:t>meetings</w:t>
      </w:r>
      <w:r>
        <w:rPr>
          <w:spacing w:val="-1"/>
        </w:rPr>
        <w:t xml:space="preserve"> </w:t>
      </w:r>
      <w:r>
        <w:t>of the One Data Forum as a follow-up to the Governor's Regulation.</w:t>
      </w:r>
    </w:p>
    <w:p w14:paraId="6021600E" w14:textId="77777777" w:rsidR="00BC24A8" w:rsidRDefault="00000000">
      <w:pPr>
        <w:pStyle w:val="ListParagraph"/>
        <w:numPr>
          <w:ilvl w:val="0"/>
          <w:numId w:val="36"/>
        </w:numPr>
        <w:tabs>
          <w:tab w:val="left" w:pos="863"/>
        </w:tabs>
        <w:spacing w:before="1"/>
        <w:ind w:right="562"/>
      </w:pPr>
      <w:r>
        <w:t>The Governor’s Decree on the Dissemination of Regional Sectoral Statistical Data at the provincial</w:t>
      </w:r>
      <w:r>
        <w:rPr>
          <w:spacing w:val="-7"/>
        </w:rPr>
        <w:t xml:space="preserve"> </w:t>
      </w:r>
      <w:r>
        <w:t>level</w:t>
      </w:r>
      <w:r>
        <w:rPr>
          <w:spacing w:val="-7"/>
        </w:rPr>
        <w:t xml:space="preserve"> </w:t>
      </w:r>
      <w:r>
        <w:t>has</w:t>
      </w:r>
      <w:r>
        <w:rPr>
          <w:spacing w:val="-6"/>
        </w:rPr>
        <w:t xml:space="preserve"> </w:t>
      </w:r>
      <w:r>
        <w:t>been</w:t>
      </w:r>
      <w:r>
        <w:rPr>
          <w:spacing w:val="-6"/>
        </w:rPr>
        <w:t xml:space="preserve"> </w:t>
      </w:r>
      <w:r>
        <w:t>issued.</w:t>
      </w:r>
      <w:r>
        <w:rPr>
          <w:spacing w:val="-5"/>
        </w:rPr>
        <w:t xml:space="preserve"> </w:t>
      </w:r>
      <w:r>
        <w:t>A</w:t>
      </w:r>
      <w:r>
        <w:rPr>
          <w:spacing w:val="-6"/>
        </w:rPr>
        <w:t xml:space="preserve"> </w:t>
      </w:r>
      <w:r>
        <w:t>total</w:t>
      </w:r>
      <w:r>
        <w:rPr>
          <w:spacing w:val="-7"/>
        </w:rPr>
        <w:t xml:space="preserve"> </w:t>
      </w:r>
      <w:r>
        <w:t>of</w:t>
      </w:r>
      <w:r>
        <w:rPr>
          <w:spacing w:val="-5"/>
        </w:rPr>
        <w:t xml:space="preserve"> </w:t>
      </w:r>
      <w:r>
        <w:t>1,948</w:t>
      </w:r>
      <w:r>
        <w:rPr>
          <w:spacing w:val="-8"/>
        </w:rPr>
        <w:t xml:space="preserve"> </w:t>
      </w:r>
      <w:r>
        <w:t>regional</w:t>
      </w:r>
      <w:r>
        <w:rPr>
          <w:spacing w:val="-7"/>
        </w:rPr>
        <w:t xml:space="preserve"> </w:t>
      </w:r>
      <w:r>
        <w:t>sectoral</w:t>
      </w:r>
      <w:r>
        <w:rPr>
          <w:spacing w:val="-10"/>
        </w:rPr>
        <w:t xml:space="preserve"> </w:t>
      </w:r>
      <w:r>
        <w:t>statistical</w:t>
      </w:r>
      <w:r>
        <w:rPr>
          <w:spacing w:val="-7"/>
        </w:rPr>
        <w:t xml:space="preserve"> </w:t>
      </w:r>
      <w:r>
        <w:t>datasets</w:t>
      </w:r>
      <w:r>
        <w:rPr>
          <w:spacing w:val="-6"/>
        </w:rPr>
        <w:t xml:space="preserve"> </w:t>
      </w:r>
      <w:r>
        <w:t>have</w:t>
      </w:r>
      <w:r>
        <w:rPr>
          <w:spacing w:val="-5"/>
        </w:rPr>
        <w:t xml:space="preserve"> </w:t>
      </w:r>
      <w:r>
        <w:t>been identified</w:t>
      </w:r>
      <w:r>
        <w:rPr>
          <w:spacing w:val="-10"/>
        </w:rPr>
        <w:t xml:space="preserve"> </w:t>
      </w:r>
      <w:r>
        <w:t>and</w:t>
      </w:r>
      <w:r>
        <w:rPr>
          <w:spacing w:val="-12"/>
        </w:rPr>
        <w:t xml:space="preserve"> </w:t>
      </w:r>
      <w:r>
        <w:t>entered</w:t>
      </w:r>
      <w:r>
        <w:rPr>
          <w:spacing w:val="-10"/>
        </w:rPr>
        <w:t xml:space="preserve"> </w:t>
      </w:r>
      <w:r>
        <w:t>into</w:t>
      </w:r>
      <w:r>
        <w:rPr>
          <w:spacing w:val="-13"/>
        </w:rPr>
        <w:t xml:space="preserve"> </w:t>
      </w:r>
      <w:r>
        <w:t>e-Walidata</w:t>
      </w:r>
      <w:hyperlink w:anchor="_bookmark151" w:history="1">
        <w:r w:rsidR="00BC24A8">
          <w:rPr>
            <w:vertAlign w:val="superscript"/>
          </w:rPr>
          <w:t>77</w:t>
        </w:r>
      </w:hyperlink>
      <w:r>
        <w:t>,</w:t>
      </w:r>
      <w:r>
        <w:rPr>
          <w:spacing w:val="-8"/>
        </w:rPr>
        <w:t xml:space="preserve"> </w:t>
      </w:r>
      <w:r>
        <w:t>forming</w:t>
      </w:r>
      <w:r>
        <w:rPr>
          <w:spacing w:val="-11"/>
        </w:rPr>
        <w:t xml:space="preserve"> </w:t>
      </w:r>
      <w:r>
        <w:t>the</w:t>
      </w:r>
      <w:r>
        <w:rPr>
          <w:spacing w:val="-9"/>
        </w:rPr>
        <w:t xml:space="preserve"> </w:t>
      </w:r>
      <w:r>
        <w:t>basis</w:t>
      </w:r>
      <w:r>
        <w:rPr>
          <w:spacing w:val="-9"/>
        </w:rPr>
        <w:t xml:space="preserve"> </w:t>
      </w:r>
      <w:r>
        <w:t>for</w:t>
      </w:r>
      <w:r>
        <w:rPr>
          <w:spacing w:val="-10"/>
        </w:rPr>
        <w:t xml:space="preserve"> </w:t>
      </w:r>
      <w:r>
        <w:t>provincial</w:t>
      </w:r>
      <w:r>
        <w:rPr>
          <w:spacing w:val="-9"/>
        </w:rPr>
        <w:t xml:space="preserve"> </w:t>
      </w:r>
      <w:r>
        <w:t>agencies'</w:t>
      </w:r>
      <w:r>
        <w:rPr>
          <w:spacing w:val="-10"/>
        </w:rPr>
        <w:t xml:space="preserve"> </w:t>
      </w:r>
      <w:r>
        <w:t>program</w:t>
      </w:r>
      <w:r>
        <w:rPr>
          <w:spacing w:val="-10"/>
        </w:rPr>
        <w:t xml:space="preserve"> </w:t>
      </w:r>
      <w:r>
        <w:t>and activity planning.</w:t>
      </w:r>
    </w:p>
    <w:p w14:paraId="7B6EE594" w14:textId="77777777" w:rsidR="00BC24A8" w:rsidRDefault="00000000">
      <w:pPr>
        <w:pStyle w:val="ListParagraph"/>
        <w:numPr>
          <w:ilvl w:val="0"/>
          <w:numId w:val="36"/>
        </w:numPr>
        <w:tabs>
          <w:tab w:val="left" w:pos="861"/>
          <w:tab w:val="left" w:pos="863"/>
        </w:tabs>
        <w:spacing w:before="2"/>
        <w:ind w:right="563" w:hanging="361"/>
      </w:pPr>
      <w:r>
        <w:t>The Governor’s decree on the SEPAKAT account management has been issued. Each MSS- related agency has designated one official to receive an account manager role.</w:t>
      </w:r>
    </w:p>
    <w:p w14:paraId="686A5F91" w14:textId="77777777" w:rsidR="00BC24A8" w:rsidRDefault="00000000">
      <w:pPr>
        <w:pStyle w:val="ListParagraph"/>
        <w:numPr>
          <w:ilvl w:val="0"/>
          <w:numId w:val="36"/>
        </w:numPr>
        <w:tabs>
          <w:tab w:val="left" w:pos="863"/>
        </w:tabs>
        <w:ind w:right="563"/>
      </w:pPr>
      <w:r>
        <w:t>As of June 2025, 21.5% of Papua Barat Daya’s population is covered by SAIK+</w:t>
      </w:r>
      <w:hyperlink w:anchor="_bookmark152" w:history="1">
        <w:r w:rsidR="00BC24A8">
          <w:rPr>
            <w:vertAlign w:val="superscript"/>
          </w:rPr>
          <w:t>78</w:t>
        </w:r>
      </w:hyperlink>
      <w:r>
        <w:t xml:space="preserve"> following the data</w:t>
      </w:r>
      <w:r>
        <w:rPr>
          <w:spacing w:val="-3"/>
        </w:rPr>
        <w:t xml:space="preserve"> </w:t>
      </w:r>
      <w:r>
        <w:t>separation</w:t>
      </w:r>
      <w:r>
        <w:rPr>
          <w:spacing w:val="-4"/>
        </w:rPr>
        <w:t xml:space="preserve"> </w:t>
      </w:r>
      <w:r>
        <w:t>from</w:t>
      </w:r>
      <w:r>
        <w:rPr>
          <w:spacing w:val="-1"/>
        </w:rPr>
        <w:t xml:space="preserve"> </w:t>
      </w:r>
      <w:r>
        <w:t>Papua</w:t>
      </w:r>
      <w:r>
        <w:rPr>
          <w:spacing w:val="-3"/>
        </w:rPr>
        <w:t xml:space="preserve"> </w:t>
      </w:r>
      <w:r>
        <w:t>Barat,</w:t>
      </w:r>
      <w:r>
        <w:rPr>
          <w:spacing w:val="-1"/>
        </w:rPr>
        <w:t xml:space="preserve"> </w:t>
      </w:r>
      <w:r>
        <w:t>the</w:t>
      </w:r>
      <w:r>
        <w:rPr>
          <w:spacing w:val="-3"/>
        </w:rPr>
        <w:t xml:space="preserve"> </w:t>
      </w:r>
      <w:r>
        <w:t>parent</w:t>
      </w:r>
      <w:r>
        <w:rPr>
          <w:spacing w:val="-5"/>
        </w:rPr>
        <w:t xml:space="preserve"> </w:t>
      </w:r>
      <w:r>
        <w:t>province.</w:t>
      </w:r>
      <w:r>
        <w:rPr>
          <w:spacing w:val="-1"/>
        </w:rPr>
        <w:t xml:space="preserve"> </w:t>
      </w:r>
      <w:r>
        <w:t>Coverage</w:t>
      </w:r>
      <w:r>
        <w:rPr>
          <w:spacing w:val="-1"/>
        </w:rPr>
        <w:t xml:space="preserve"> </w:t>
      </w:r>
      <w:r>
        <w:t>is</w:t>
      </w:r>
      <w:r>
        <w:rPr>
          <w:spacing w:val="-3"/>
        </w:rPr>
        <w:t xml:space="preserve"> </w:t>
      </w:r>
      <w:r>
        <w:t>highest</w:t>
      </w:r>
      <w:r>
        <w:rPr>
          <w:spacing w:val="-2"/>
        </w:rPr>
        <w:t xml:space="preserve"> </w:t>
      </w:r>
      <w:r>
        <w:t>in</w:t>
      </w:r>
      <w:r>
        <w:rPr>
          <w:spacing w:val="-4"/>
        </w:rPr>
        <w:t xml:space="preserve"> </w:t>
      </w:r>
      <w:r>
        <w:t>Maybrat</w:t>
      </w:r>
      <w:r>
        <w:rPr>
          <w:spacing w:val="-2"/>
        </w:rPr>
        <w:t xml:space="preserve"> </w:t>
      </w:r>
      <w:r>
        <w:t>District (96%), while Sorong City, Tambrauw District, and South Sorong District recorded the lowest coverage, each below 1%.</w:t>
      </w:r>
    </w:p>
    <w:p w14:paraId="53E120CE" w14:textId="77777777" w:rsidR="00BC24A8" w:rsidRDefault="00BC24A8">
      <w:pPr>
        <w:pStyle w:val="BodyText"/>
        <w:spacing w:before="59"/>
      </w:pPr>
    </w:p>
    <w:p w14:paraId="7EB46496" w14:textId="77777777" w:rsidR="00BC24A8" w:rsidRDefault="00000000">
      <w:pPr>
        <w:pStyle w:val="Heading5"/>
        <w:spacing w:line="384" w:lineRule="auto"/>
        <w:ind w:right="1346"/>
      </w:pPr>
      <w:r>
        <w:rPr>
          <w:color w:val="17365A"/>
        </w:rPr>
        <w:t>Better</w:t>
      </w:r>
      <w:r>
        <w:rPr>
          <w:color w:val="17365A"/>
          <w:spacing w:val="-6"/>
        </w:rPr>
        <w:t xml:space="preserve"> </w:t>
      </w:r>
      <w:r>
        <w:rPr>
          <w:color w:val="17365A"/>
        </w:rPr>
        <w:t>public</w:t>
      </w:r>
      <w:r>
        <w:rPr>
          <w:color w:val="17365A"/>
          <w:spacing w:val="-5"/>
        </w:rPr>
        <w:t xml:space="preserve"> </w:t>
      </w:r>
      <w:r>
        <w:rPr>
          <w:color w:val="17365A"/>
        </w:rPr>
        <w:t>financial</w:t>
      </w:r>
      <w:r>
        <w:rPr>
          <w:color w:val="17365A"/>
          <w:spacing w:val="-3"/>
        </w:rPr>
        <w:t xml:space="preserve"> </w:t>
      </w:r>
      <w:r>
        <w:rPr>
          <w:color w:val="17365A"/>
        </w:rPr>
        <w:t>management</w:t>
      </w:r>
      <w:r>
        <w:rPr>
          <w:color w:val="17365A"/>
          <w:spacing w:val="-6"/>
        </w:rPr>
        <w:t xml:space="preserve"> </w:t>
      </w:r>
      <w:r>
        <w:rPr>
          <w:color w:val="17365A"/>
        </w:rPr>
        <w:t>to</w:t>
      </w:r>
      <w:r>
        <w:rPr>
          <w:color w:val="17365A"/>
          <w:spacing w:val="-5"/>
        </w:rPr>
        <w:t xml:space="preserve"> </w:t>
      </w:r>
      <w:r>
        <w:rPr>
          <w:color w:val="17365A"/>
        </w:rPr>
        <w:t>support</w:t>
      </w:r>
      <w:r>
        <w:rPr>
          <w:color w:val="17365A"/>
          <w:spacing w:val="-6"/>
        </w:rPr>
        <w:t xml:space="preserve"> </w:t>
      </w:r>
      <w:r>
        <w:rPr>
          <w:color w:val="17365A"/>
        </w:rPr>
        <w:t>improved</w:t>
      </w:r>
      <w:r>
        <w:rPr>
          <w:color w:val="17365A"/>
          <w:spacing w:val="-5"/>
        </w:rPr>
        <w:t xml:space="preserve"> </w:t>
      </w:r>
      <w:r>
        <w:rPr>
          <w:color w:val="17365A"/>
        </w:rPr>
        <w:t>service</w:t>
      </w:r>
      <w:r>
        <w:rPr>
          <w:color w:val="17365A"/>
          <w:spacing w:val="-5"/>
        </w:rPr>
        <w:t xml:space="preserve"> </w:t>
      </w:r>
      <w:r>
        <w:rPr>
          <w:color w:val="17365A"/>
        </w:rPr>
        <w:t>delivery</w:t>
      </w:r>
      <w:r>
        <w:rPr>
          <w:color w:val="17365A"/>
          <w:spacing w:val="-3"/>
        </w:rPr>
        <w:t xml:space="preserve"> </w:t>
      </w:r>
      <w:r>
        <w:rPr>
          <w:color w:val="17365A"/>
        </w:rPr>
        <w:t>(IO</w:t>
      </w:r>
      <w:r>
        <w:rPr>
          <w:color w:val="17365A"/>
          <w:spacing w:val="-7"/>
        </w:rPr>
        <w:t xml:space="preserve"> </w:t>
      </w:r>
      <w:r>
        <w:rPr>
          <w:color w:val="17365A"/>
        </w:rPr>
        <w:t>4</w:t>
      </w:r>
      <w:r>
        <w:rPr>
          <w:color w:val="17365A"/>
          <w:spacing w:val="-3"/>
        </w:rPr>
        <w:t xml:space="preserve"> </w:t>
      </w:r>
      <w:r>
        <w:rPr>
          <w:color w:val="17365A"/>
        </w:rPr>
        <w:t>and</w:t>
      </w:r>
      <w:r>
        <w:rPr>
          <w:color w:val="17365A"/>
          <w:spacing w:val="-5"/>
        </w:rPr>
        <w:t xml:space="preserve"> </w:t>
      </w:r>
      <w:r>
        <w:rPr>
          <w:color w:val="17365A"/>
        </w:rPr>
        <w:t xml:space="preserve">6) </w:t>
      </w:r>
      <w:r>
        <w:t>SKALA supports MSS implementation through capacity building:</w:t>
      </w:r>
    </w:p>
    <w:p w14:paraId="6983C1F4" w14:textId="77777777" w:rsidR="00BC24A8" w:rsidRDefault="00000000">
      <w:pPr>
        <w:pStyle w:val="ListParagraph"/>
        <w:numPr>
          <w:ilvl w:val="0"/>
          <w:numId w:val="36"/>
        </w:numPr>
        <w:tabs>
          <w:tab w:val="left" w:pos="863"/>
        </w:tabs>
        <w:ind w:right="561"/>
      </w:pPr>
      <w:r>
        <w:t>18</w:t>
      </w:r>
      <w:r>
        <w:rPr>
          <w:spacing w:val="-6"/>
        </w:rPr>
        <w:t xml:space="preserve"> </w:t>
      </w:r>
      <w:r>
        <w:t>civil</w:t>
      </w:r>
      <w:r>
        <w:rPr>
          <w:spacing w:val="-7"/>
        </w:rPr>
        <w:t xml:space="preserve"> </w:t>
      </w:r>
      <w:r>
        <w:t>servants</w:t>
      </w:r>
      <w:r>
        <w:rPr>
          <w:spacing w:val="-6"/>
        </w:rPr>
        <w:t xml:space="preserve"> </w:t>
      </w:r>
      <w:r>
        <w:t>(11</w:t>
      </w:r>
      <w:r>
        <w:rPr>
          <w:spacing w:val="-6"/>
        </w:rPr>
        <w:t xml:space="preserve"> </w:t>
      </w:r>
      <w:r>
        <w:t>men,</w:t>
      </w:r>
      <w:r>
        <w:rPr>
          <w:spacing w:val="-5"/>
        </w:rPr>
        <w:t xml:space="preserve"> </w:t>
      </w:r>
      <w:r>
        <w:t>7</w:t>
      </w:r>
      <w:r>
        <w:rPr>
          <w:spacing w:val="-6"/>
        </w:rPr>
        <w:t xml:space="preserve"> </w:t>
      </w:r>
      <w:r>
        <w:t>women)</w:t>
      </w:r>
      <w:r>
        <w:rPr>
          <w:spacing w:val="-6"/>
        </w:rPr>
        <w:t xml:space="preserve"> </w:t>
      </w:r>
      <w:r>
        <w:t>received</w:t>
      </w:r>
      <w:r>
        <w:rPr>
          <w:spacing w:val="-6"/>
        </w:rPr>
        <w:t xml:space="preserve"> </w:t>
      </w:r>
      <w:r>
        <w:t>training</w:t>
      </w:r>
      <w:r>
        <w:rPr>
          <w:spacing w:val="-5"/>
        </w:rPr>
        <w:t xml:space="preserve"> </w:t>
      </w:r>
      <w:r>
        <w:t>to</w:t>
      </w:r>
      <w:r>
        <w:rPr>
          <w:spacing w:val="-4"/>
        </w:rPr>
        <w:t xml:space="preserve"> </w:t>
      </w:r>
      <w:r>
        <w:t>develop</w:t>
      </w:r>
      <w:r>
        <w:rPr>
          <w:spacing w:val="-6"/>
        </w:rPr>
        <w:t xml:space="preserve"> </w:t>
      </w:r>
      <w:r>
        <w:t>the</w:t>
      </w:r>
      <w:r>
        <w:rPr>
          <w:spacing w:val="-5"/>
        </w:rPr>
        <w:t xml:space="preserve"> </w:t>
      </w:r>
      <w:r>
        <w:t>MSS</w:t>
      </w:r>
      <w:r>
        <w:rPr>
          <w:spacing w:val="-6"/>
        </w:rPr>
        <w:t xml:space="preserve"> </w:t>
      </w:r>
      <w:r>
        <w:t>Action</w:t>
      </w:r>
      <w:r>
        <w:rPr>
          <w:spacing w:val="-6"/>
        </w:rPr>
        <w:t xml:space="preserve"> </w:t>
      </w:r>
      <w:r>
        <w:t>Plan,</w:t>
      </w:r>
      <w:r>
        <w:rPr>
          <w:spacing w:val="-5"/>
        </w:rPr>
        <w:t xml:space="preserve"> </w:t>
      </w:r>
      <w:r>
        <w:t>enabling the</w:t>
      </w:r>
      <w:r>
        <w:rPr>
          <w:spacing w:val="40"/>
        </w:rPr>
        <w:t xml:space="preserve"> </w:t>
      </w:r>
      <w:r>
        <w:t>Papua Barat Daya Government to produce its first provincial draft MSS Action Plan.</w:t>
      </w:r>
    </w:p>
    <w:p w14:paraId="7EB4AA65" w14:textId="77777777" w:rsidR="00BC24A8" w:rsidRDefault="00000000">
      <w:pPr>
        <w:pStyle w:val="ListParagraph"/>
        <w:numPr>
          <w:ilvl w:val="0"/>
          <w:numId w:val="36"/>
        </w:numPr>
        <w:tabs>
          <w:tab w:val="left" w:pos="861"/>
          <w:tab w:val="left" w:pos="863"/>
        </w:tabs>
        <w:spacing w:before="1" w:line="237" w:lineRule="auto"/>
        <w:ind w:right="563" w:hanging="361"/>
      </w:pPr>
      <w:r>
        <w:t>The</w:t>
      </w:r>
      <w:r>
        <w:rPr>
          <w:spacing w:val="-8"/>
        </w:rPr>
        <w:t xml:space="preserve"> </w:t>
      </w:r>
      <w:r>
        <w:t>MSS</w:t>
      </w:r>
      <w:r>
        <w:rPr>
          <w:spacing w:val="-6"/>
        </w:rPr>
        <w:t xml:space="preserve"> </w:t>
      </w:r>
      <w:r>
        <w:t>achievement</w:t>
      </w:r>
      <w:r>
        <w:rPr>
          <w:spacing w:val="-7"/>
        </w:rPr>
        <w:t xml:space="preserve"> </w:t>
      </w:r>
      <w:r>
        <w:t>index</w:t>
      </w:r>
      <w:r>
        <w:rPr>
          <w:spacing w:val="-5"/>
        </w:rPr>
        <w:t xml:space="preserve"> </w:t>
      </w:r>
      <w:r>
        <w:t>increased</w:t>
      </w:r>
      <w:r>
        <w:rPr>
          <w:spacing w:val="-9"/>
        </w:rPr>
        <w:t xml:space="preserve"> </w:t>
      </w:r>
      <w:r>
        <w:t>from</w:t>
      </w:r>
      <w:r>
        <w:rPr>
          <w:spacing w:val="-8"/>
        </w:rPr>
        <w:t xml:space="preserve"> </w:t>
      </w:r>
      <w:r>
        <w:t>33.6%</w:t>
      </w:r>
      <w:r>
        <w:rPr>
          <w:spacing w:val="-7"/>
        </w:rPr>
        <w:t xml:space="preserve"> </w:t>
      </w:r>
      <w:r>
        <w:t>in</w:t>
      </w:r>
      <w:r>
        <w:rPr>
          <w:spacing w:val="-9"/>
        </w:rPr>
        <w:t xml:space="preserve"> </w:t>
      </w:r>
      <w:r>
        <w:t>2023</w:t>
      </w:r>
      <w:r>
        <w:rPr>
          <w:spacing w:val="-6"/>
        </w:rPr>
        <w:t xml:space="preserve"> </w:t>
      </w:r>
      <w:r>
        <w:t>to</w:t>
      </w:r>
      <w:r>
        <w:rPr>
          <w:spacing w:val="-9"/>
        </w:rPr>
        <w:t xml:space="preserve"> </w:t>
      </w:r>
      <w:r>
        <w:t>40%</w:t>
      </w:r>
      <w:r>
        <w:rPr>
          <w:spacing w:val="-7"/>
        </w:rPr>
        <w:t xml:space="preserve"> </w:t>
      </w:r>
      <w:r>
        <w:t>in</w:t>
      </w:r>
      <w:r>
        <w:rPr>
          <w:spacing w:val="-9"/>
        </w:rPr>
        <w:t xml:space="preserve"> </w:t>
      </w:r>
      <w:r>
        <w:t>2024,</w:t>
      </w:r>
      <w:r>
        <w:rPr>
          <w:spacing w:val="-5"/>
        </w:rPr>
        <w:t xml:space="preserve"> </w:t>
      </w:r>
      <w:r>
        <w:t>as</w:t>
      </w:r>
      <w:r>
        <w:rPr>
          <w:spacing w:val="-6"/>
        </w:rPr>
        <w:t xml:space="preserve"> </w:t>
      </w:r>
      <w:r>
        <w:t>a</w:t>
      </w:r>
      <w:r>
        <w:rPr>
          <w:spacing w:val="-10"/>
        </w:rPr>
        <w:t xml:space="preserve"> </w:t>
      </w:r>
      <w:r>
        <w:t>result</w:t>
      </w:r>
      <w:r>
        <w:rPr>
          <w:spacing w:val="-7"/>
        </w:rPr>
        <w:t xml:space="preserve"> </w:t>
      </w:r>
      <w:r>
        <w:t>of</w:t>
      </w:r>
      <w:r>
        <w:rPr>
          <w:spacing w:val="-8"/>
        </w:rPr>
        <w:t xml:space="preserve"> </w:t>
      </w:r>
      <w:r>
        <w:t>SKALA- facilitated MSS implementation training.</w:t>
      </w:r>
    </w:p>
    <w:p w14:paraId="73F9CF16" w14:textId="77777777" w:rsidR="00BC24A8" w:rsidRDefault="00000000">
      <w:pPr>
        <w:pStyle w:val="ListParagraph"/>
        <w:numPr>
          <w:ilvl w:val="0"/>
          <w:numId w:val="36"/>
        </w:numPr>
        <w:tabs>
          <w:tab w:val="left" w:pos="861"/>
          <w:tab w:val="left" w:pos="863"/>
        </w:tabs>
        <w:spacing w:before="1"/>
        <w:ind w:right="562" w:hanging="361"/>
      </w:pPr>
      <w:r>
        <w:t>The e-MSS report was consistently completed, although its level of completeness fluctuated. This</w:t>
      </w:r>
      <w:r>
        <w:rPr>
          <w:spacing w:val="-13"/>
        </w:rPr>
        <w:t xml:space="preserve"> </w:t>
      </w:r>
      <w:r>
        <w:t>indicates</w:t>
      </w:r>
      <w:r>
        <w:rPr>
          <w:spacing w:val="-12"/>
        </w:rPr>
        <w:t xml:space="preserve"> </w:t>
      </w:r>
      <w:r>
        <w:t>improved</w:t>
      </w:r>
      <w:r>
        <w:rPr>
          <w:spacing w:val="-13"/>
        </w:rPr>
        <w:t xml:space="preserve"> </w:t>
      </w:r>
      <w:r>
        <w:t>understanding</w:t>
      </w:r>
      <w:r>
        <w:rPr>
          <w:spacing w:val="-12"/>
        </w:rPr>
        <w:t xml:space="preserve"> </w:t>
      </w:r>
      <w:r>
        <w:t>and</w:t>
      </w:r>
      <w:r>
        <w:rPr>
          <w:spacing w:val="-13"/>
        </w:rPr>
        <w:t xml:space="preserve"> </w:t>
      </w:r>
      <w:r>
        <w:t>role</w:t>
      </w:r>
      <w:r>
        <w:rPr>
          <w:spacing w:val="-12"/>
        </w:rPr>
        <w:t xml:space="preserve"> </w:t>
      </w:r>
      <w:r>
        <w:t>clarity</w:t>
      </w:r>
      <w:r>
        <w:rPr>
          <w:spacing w:val="-13"/>
        </w:rPr>
        <w:t xml:space="preserve"> </w:t>
      </w:r>
      <w:r>
        <w:t>among</w:t>
      </w:r>
      <w:r>
        <w:rPr>
          <w:spacing w:val="-12"/>
        </w:rPr>
        <w:t xml:space="preserve"> </w:t>
      </w:r>
      <w:r>
        <w:t>MSS</w:t>
      </w:r>
      <w:r>
        <w:rPr>
          <w:spacing w:val="-12"/>
        </w:rPr>
        <w:t xml:space="preserve"> </w:t>
      </w:r>
      <w:r>
        <w:t>focal</w:t>
      </w:r>
      <w:r>
        <w:rPr>
          <w:spacing w:val="-13"/>
        </w:rPr>
        <w:t xml:space="preserve"> </w:t>
      </w:r>
      <w:r>
        <w:t>points</w:t>
      </w:r>
      <w:r>
        <w:rPr>
          <w:spacing w:val="-12"/>
        </w:rPr>
        <w:t xml:space="preserve"> </w:t>
      </w:r>
      <w:r>
        <w:t>following</w:t>
      </w:r>
      <w:r>
        <w:rPr>
          <w:spacing w:val="-13"/>
        </w:rPr>
        <w:t xml:space="preserve"> </w:t>
      </w:r>
      <w:r>
        <w:t>SKALA- supported training.</w:t>
      </w:r>
    </w:p>
    <w:p w14:paraId="518A7C7F" w14:textId="77777777" w:rsidR="00BC24A8" w:rsidRDefault="00BC24A8">
      <w:pPr>
        <w:pStyle w:val="BodyText"/>
      </w:pPr>
    </w:p>
    <w:p w14:paraId="48D6F791" w14:textId="77777777" w:rsidR="00BC24A8" w:rsidRDefault="00BC24A8">
      <w:pPr>
        <w:pStyle w:val="BodyText"/>
        <w:spacing w:before="32"/>
      </w:pPr>
    </w:p>
    <w:p w14:paraId="79E450EF" w14:textId="77777777" w:rsidR="00BC24A8" w:rsidRDefault="00000000">
      <w:pPr>
        <w:pStyle w:val="Heading5"/>
        <w:spacing w:before="1"/>
        <w:ind w:right="648"/>
      </w:pPr>
      <w:r>
        <w:rPr>
          <w:color w:val="17365A"/>
        </w:rPr>
        <w:t>SKALA supports the optimisation of Special Autonomy (Otsus) funds for basic services in line with national regulations:</w:t>
      </w:r>
    </w:p>
    <w:p w14:paraId="4701EA2B" w14:textId="77777777" w:rsidR="00BC24A8" w:rsidRDefault="00000000">
      <w:pPr>
        <w:pStyle w:val="ListParagraph"/>
        <w:numPr>
          <w:ilvl w:val="0"/>
          <w:numId w:val="36"/>
        </w:numPr>
        <w:tabs>
          <w:tab w:val="left" w:pos="861"/>
          <w:tab w:val="left" w:pos="863"/>
        </w:tabs>
        <w:spacing w:before="161"/>
        <w:ind w:right="564" w:hanging="361"/>
      </w:pPr>
      <w:r>
        <w:t>Sixty-six participants from the Papua Barat,</w:t>
      </w:r>
      <w:r>
        <w:rPr>
          <w:spacing w:val="40"/>
        </w:rPr>
        <w:t xml:space="preserve"> </w:t>
      </w:r>
      <w:r>
        <w:t xml:space="preserve">Papua Barat Daya, and Papua Tengah clusters attended an orientation session on the use of the </w:t>
      </w:r>
      <w:r>
        <w:rPr>
          <w:i/>
        </w:rPr>
        <w:t xml:space="preserve">Musrenbangsus </w:t>
      </w:r>
      <w:r>
        <w:t>and SIPPP guidelines.</w:t>
      </w:r>
    </w:p>
    <w:p w14:paraId="2F814B83" w14:textId="77777777" w:rsidR="00BC24A8" w:rsidRDefault="00BC24A8">
      <w:pPr>
        <w:pStyle w:val="BodyText"/>
        <w:rPr>
          <w:sz w:val="20"/>
        </w:rPr>
      </w:pPr>
    </w:p>
    <w:p w14:paraId="0E3ABCE8" w14:textId="77777777" w:rsidR="00BC24A8" w:rsidRDefault="00000000">
      <w:pPr>
        <w:pStyle w:val="BodyText"/>
        <w:spacing w:before="169"/>
        <w:rPr>
          <w:sz w:val="20"/>
        </w:rPr>
      </w:pPr>
      <w:r>
        <w:rPr>
          <w:noProof/>
          <w:sz w:val="20"/>
        </w:rPr>
        <mc:AlternateContent>
          <mc:Choice Requires="wps">
            <w:drawing>
              <wp:anchor distT="0" distB="0" distL="0" distR="0" simplePos="0" relativeHeight="487628288" behindDoc="1" locked="0" layoutInCell="1" allowOverlap="1" wp14:anchorId="1840B4AF" wp14:editId="1EAAC8B8">
                <wp:simplePos x="0" y="0"/>
                <wp:positionH relativeFrom="page">
                  <wp:posOffset>900683</wp:posOffset>
                </wp:positionH>
                <wp:positionV relativeFrom="paragraph">
                  <wp:posOffset>277602</wp:posOffset>
                </wp:positionV>
                <wp:extent cx="1828800" cy="9525"/>
                <wp:effectExtent l="0" t="0" r="0" b="0"/>
                <wp:wrapTopAndBottom/>
                <wp:docPr id="252" name="Graphic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541EE" id="Graphic 252" o:spid="_x0000_s1026" alt="&quot;&quot;" style="position:absolute;margin-left:70.9pt;margin-top:21.85pt;width:2in;height:.75pt;z-index:-156881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" path="m1828800,l,,,9143r1828800,l1828800,xe" fillcolor="black" stroked="f">
                <v:path arrowok="t"/>
                <w10:wrap type="topAndBottom" anchorx="page"/>
              </v:shape>
            </w:pict>
          </mc:Fallback>
        </mc:AlternateContent>
      </w:r>
    </w:p>
    <w:p w14:paraId="7E6DBB5D" w14:textId="77777777" w:rsidR="00BC24A8" w:rsidRDefault="00BC24A8">
      <w:pPr>
        <w:pStyle w:val="BodyText"/>
        <w:spacing w:before="105"/>
        <w:rPr>
          <w:sz w:val="16"/>
        </w:rPr>
      </w:pPr>
    </w:p>
    <w:p w14:paraId="52B9C9A2" w14:textId="77777777" w:rsidR="00BC24A8" w:rsidRDefault="00000000">
      <w:pPr>
        <w:spacing w:before="1"/>
        <w:ind w:left="143" w:right="662"/>
        <w:rPr>
          <w:sz w:val="16"/>
        </w:rPr>
      </w:pPr>
      <w:bookmarkStart w:id="216" w:name="_bookmark150"/>
      <w:bookmarkEnd w:id="216"/>
      <w:r>
        <w:rPr>
          <w:color w:val="767070"/>
          <w:sz w:val="16"/>
          <w:vertAlign w:val="superscript"/>
        </w:rPr>
        <w:t>76</w:t>
      </w:r>
      <w:r>
        <w:rPr>
          <w:color w:val="767070"/>
          <w:spacing w:val="-5"/>
          <w:sz w:val="16"/>
        </w:rPr>
        <w:t xml:space="preserve"> </w:t>
      </w:r>
      <w:r>
        <w:rPr>
          <w:color w:val="767070"/>
          <w:sz w:val="16"/>
        </w:rPr>
        <w:t>SIPPP</w:t>
      </w:r>
      <w:r>
        <w:rPr>
          <w:color w:val="767070"/>
          <w:spacing w:val="-5"/>
          <w:sz w:val="16"/>
        </w:rPr>
        <w:t xml:space="preserve"> </w:t>
      </w:r>
      <w:r>
        <w:rPr>
          <w:color w:val="767070"/>
          <w:sz w:val="16"/>
        </w:rPr>
        <w:t>is</w:t>
      </w:r>
      <w:r>
        <w:rPr>
          <w:color w:val="767070"/>
          <w:spacing w:val="-4"/>
          <w:sz w:val="16"/>
        </w:rPr>
        <w:t xml:space="preserve"> </w:t>
      </w:r>
      <w:r>
        <w:rPr>
          <w:color w:val="767070"/>
          <w:sz w:val="16"/>
        </w:rPr>
        <w:t>the</w:t>
      </w:r>
      <w:r>
        <w:rPr>
          <w:color w:val="767070"/>
          <w:spacing w:val="-5"/>
          <w:sz w:val="16"/>
        </w:rPr>
        <w:t xml:space="preserve"> </w:t>
      </w:r>
      <w:r>
        <w:rPr>
          <w:color w:val="767070"/>
          <w:sz w:val="16"/>
        </w:rPr>
        <w:t>Papua</w:t>
      </w:r>
      <w:r>
        <w:rPr>
          <w:color w:val="767070"/>
          <w:spacing w:val="-4"/>
          <w:sz w:val="16"/>
        </w:rPr>
        <w:t xml:space="preserve"> </w:t>
      </w:r>
      <w:r>
        <w:rPr>
          <w:color w:val="767070"/>
          <w:sz w:val="16"/>
        </w:rPr>
        <w:t>Planning</w:t>
      </w:r>
      <w:r>
        <w:rPr>
          <w:color w:val="767070"/>
          <w:spacing w:val="-6"/>
          <w:sz w:val="16"/>
        </w:rPr>
        <w:t xml:space="preserve"> </w:t>
      </w:r>
      <w:r>
        <w:rPr>
          <w:color w:val="767070"/>
          <w:sz w:val="16"/>
        </w:rPr>
        <w:t>and</w:t>
      </w:r>
      <w:r>
        <w:rPr>
          <w:color w:val="767070"/>
          <w:spacing w:val="-4"/>
          <w:sz w:val="16"/>
        </w:rPr>
        <w:t xml:space="preserve"> </w:t>
      </w:r>
      <w:r>
        <w:rPr>
          <w:color w:val="767070"/>
          <w:sz w:val="16"/>
        </w:rPr>
        <w:t>Budgeting</w:t>
      </w:r>
      <w:r>
        <w:rPr>
          <w:color w:val="767070"/>
          <w:spacing w:val="-6"/>
          <w:sz w:val="16"/>
        </w:rPr>
        <w:t xml:space="preserve"> </w:t>
      </w:r>
      <w:r>
        <w:rPr>
          <w:color w:val="767070"/>
          <w:sz w:val="16"/>
        </w:rPr>
        <w:t>Information</w:t>
      </w:r>
      <w:r>
        <w:rPr>
          <w:color w:val="767070"/>
          <w:spacing w:val="-4"/>
          <w:sz w:val="16"/>
        </w:rPr>
        <w:t xml:space="preserve"> </w:t>
      </w:r>
      <w:r>
        <w:rPr>
          <w:color w:val="767070"/>
          <w:sz w:val="16"/>
        </w:rPr>
        <w:t>System—a</w:t>
      </w:r>
      <w:r>
        <w:rPr>
          <w:color w:val="767070"/>
          <w:spacing w:val="-4"/>
          <w:sz w:val="16"/>
        </w:rPr>
        <w:t xml:space="preserve"> </w:t>
      </w:r>
      <w:r>
        <w:rPr>
          <w:color w:val="767070"/>
          <w:sz w:val="16"/>
        </w:rPr>
        <w:t>digital</w:t>
      </w:r>
      <w:r>
        <w:rPr>
          <w:color w:val="767070"/>
          <w:spacing w:val="-4"/>
          <w:sz w:val="16"/>
        </w:rPr>
        <w:t xml:space="preserve"> </w:t>
      </w:r>
      <w:r>
        <w:rPr>
          <w:color w:val="767070"/>
          <w:sz w:val="16"/>
        </w:rPr>
        <w:t>platform</w:t>
      </w:r>
      <w:r>
        <w:rPr>
          <w:color w:val="767070"/>
          <w:spacing w:val="-6"/>
          <w:sz w:val="16"/>
        </w:rPr>
        <w:t xml:space="preserve"> </w:t>
      </w:r>
      <w:r>
        <w:rPr>
          <w:color w:val="767070"/>
          <w:sz w:val="16"/>
        </w:rPr>
        <w:t>used</w:t>
      </w:r>
      <w:r>
        <w:rPr>
          <w:color w:val="767070"/>
          <w:spacing w:val="-4"/>
          <w:sz w:val="16"/>
        </w:rPr>
        <w:t xml:space="preserve"> </w:t>
      </w:r>
      <w:r>
        <w:rPr>
          <w:color w:val="767070"/>
          <w:sz w:val="16"/>
        </w:rPr>
        <w:t>to</w:t>
      </w:r>
      <w:r>
        <w:rPr>
          <w:color w:val="767070"/>
          <w:spacing w:val="-5"/>
          <w:sz w:val="16"/>
        </w:rPr>
        <w:t xml:space="preserve"> </w:t>
      </w:r>
      <w:r>
        <w:rPr>
          <w:color w:val="767070"/>
          <w:sz w:val="16"/>
        </w:rPr>
        <w:t>manage</w:t>
      </w:r>
      <w:r>
        <w:rPr>
          <w:color w:val="767070"/>
          <w:spacing w:val="-6"/>
          <w:sz w:val="16"/>
        </w:rPr>
        <w:t xml:space="preserve"> </w:t>
      </w:r>
      <w:r>
        <w:rPr>
          <w:color w:val="767070"/>
          <w:sz w:val="16"/>
        </w:rPr>
        <w:t>and</w:t>
      </w:r>
      <w:r>
        <w:rPr>
          <w:color w:val="767070"/>
          <w:spacing w:val="-6"/>
          <w:sz w:val="16"/>
        </w:rPr>
        <w:t xml:space="preserve"> </w:t>
      </w:r>
      <w:r>
        <w:rPr>
          <w:color w:val="767070"/>
          <w:sz w:val="16"/>
        </w:rPr>
        <w:t>integrate</w:t>
      </w:r>
      <w:r>
        <w:rPr>
          <w:color w:val="767070"/>
          <w:spacing w:val="-6"/>
          <w:sz w:val="16"/>
        </w:rPr>
        <w:t xml:space="preserve"> </w:t>
      </w:r>
      <w:r>
        <w:rPr>
          <w:color w:val="767070"/>
          <w:sz w:val="16"/>
        </w:rPr>
        <w:t>planning</w:t>
      </w:r>
      <w:r>
        <w:rPr>
          <w:color w:val="767070"/>
          <w:spacing w:val="-6"/>
          <w:sz w:val="16"/>
        </w:rPr>
        <w:t xml:space="preserve"> </w:t>
      </w:r>
      <w:r>
        <w:rPr>
          <w:color w:val="767070"/>
          <w:sz w:val="16"/>
        </w:rPr>
        <w:t>and</w:t>
      </w:r>
      <w:r>
        <w:rPr>
          <w:color w:val="767070"/>
          <w:spacing w:val="-4"/>
          <w:sz w:val="16"/>
        </w:rPr>
        <w:t xml:space="preserve"> </w:t>
      </w:r>
      <w:r>
        <w:rPr>
          <w:color w:val="767070"/>
          <w:sz w:val="16"/>
        </w:rPr>
        <w:t>budgeting</w:t>
      </w:r>
      <w:r>
        <w:rPr>
          <w:color w:val="767070"/>
          <w:spacing w:val="40"/>
          <w:sz w:val="16"/>
        </w:rPr>
        <w:t xml:space="preserve"> </w:t>
      </w:r>
      <w:r>
        <w:rPr>
          <w:color w:val="767070"/>
          <w:sz w:val="16"/>
        </w:rPr>
        <w:t>processes in Papua.</w:t>
      </w:r>
    </w:p>
    <w:p w14:paraId="3C792697" w14:textId="77777777" w:rsidR="00BC24A8" w:rsidRDefault="00000000">
      <w:pPr>
        <w:ind w:left="143" w:right="648"/>
        <w:rPr>
          <w:sz w:val="16"/>
        </w:rPr>
      </w:pPr>
      <w:bookmarkStart w:id="217" w:name="_bookmark151"/>
      <w:bookmarkEnd w:id="217"/>
      <w:r>
        <w:rPr>
          <w:color w:val="767070"/>
          <w:sz w:val="16"/>
          <w:vertAlign w:val="superscript"/>
        </w:rPr>
        <w:t>77</w:t>
      </w:r>
      <w:r>
        <w:rPr>
          <w:color w:val="767070"/>
          <w:spacing w:val="-5"/>
          <w:sz w:val="16"/>
        </w:rPr>
        <w:t xml:space="preserve"> </w:t>
      </w:r>
      <w:r>
        <w:rPr>
          <w:color w:val="767070"/>
          <w:sz w:val="16"/>
        </w:rPr>
        <w:t>E-Walidata</w:t>
      </w:r>
      <w:r>
        <w:rPr>
          <w:color w:val="767070"/>
          <w:spacing w:val="-5"/>
          <w:sz w:val="16"/>
        </w:rPr>
        <w:t xml:space="preserve"> </w:t>
      </w:r>
      <w:r>
        <w:rPr>
          <w:color w:val="767070"/>
          <w:sz w:val="16"/>
        </w:rPr>
        <w:t>is</w:t>
      </w:r>
      <w:r>
        <w:rPr>
          <w:color w:val="767070"/>
          <w:spacing w:val="-7"/>
          <w:sz w:val="16"/>
        </w:rPr>
        <w:t xml:space="preserve"> </w:t>
      </w:r>
      <w:r>
        <w:rPr>
          <w:color w:val="767070"/>
          <w:sz w:val="16"/>
        </w:rPr>
        <w:t>an</w:t>
      </w:r>
      <w:r>
        <w:rPr>
          <w:color w:val="767070"/>
          <w:spacing w:val="-7"/>
          <w:sz w:val="16"/>
        </w:rPr>
        <w:t xml:space="preserve"> </w:t>
      </w:r>
      <w:r>
        <w:rPr>
          <w:color w:val="767070"/>
          <w:sz w:val="16"/>
        </w:rPr>
        <w:t>application</w:t>
      </w:r>
      <w:r>
        <w:rPr>
          <w:color w:val="767070"/>
          <w:spacing w:val="-5"/>
          <w:sz w:val="16"/>
        </w:rPr>
        <w:t xml:space="preserve"> </w:t>
      </w:r>
      <w:r>
        <w:rPr>
          <w:color w:val="767070"/>
          <w:sz w:val="16"/>
        </w:rPr>
        <w:t>used</w:t>
      </w:r>
      <w:r>
        <w:rPr>
          <w:color w:val="767070"/>
          <w:spacing w:val="-5"/>
          <w:sz w:val="16"/>
        </w:rPr>
        <w:t xml:space="preserve"> </w:t>
      </w:r>
      <w:r>
        <w:rPr>
          <w:color w:val="767070"/>
          <w:sz w:val="16"/>
        </w:rPr>
        <w:t>for</w:t>
      </w:r>
      <w:r>
        <w:rPr>
          <w:color w:val="767070"/>
          <w:spacing w:val="-7"/>
          <w:sz w:val="16"/>
        </w:rPr>
        <w:t xml:space="preserve"> </w:t>
      </w:r>
      <w:r>
        <w:rPr>
          <w:color w:val="767070"/>
          <w:sz w:val="16"/>
        </w:rPr>
        <w:t>managing</w:t>
      </w:r>
      <w:r>
        <w:rPr>
          <w:color w:val="767070"/>
          <w:spacing w:val="-6"/>
          <w:sz w:val="16"/>
        </w:rPr>
        <w:t xml:space="preserve"> </w:t>
      </w:r>
      <w:r>
        <w:rPr>
          <w:color w:val="767070"/>
          <w:sz w:val="16"/>
        </w:rPr>
        <w:t>regional</w:t>
      </w:r>
      <w:r>
        <w:rPr>
          <w:color w:val="767070"/>
          <w:spacing w:val="-5"/>
          <w:sz w:val="16"/>
        </w:rPr>
        <w:t xml:space="preserve"> </w:t>
      </w:r>
      <w:r>
        <w:rPr>
          <w:color w:val="767070"/>
          <w:sz w:val="16"/>
        </w:rPr>
        <w:t>development</w:t>
      </w:r>
      <w:r>
        <w:rPr>
          <w:color w:val="767070"/>
          <w:spacing w:val="-5"/>
          <w:sz w:val="16"/>
        </w:rPr>
        <w:t xml:space="preserve"> </w:t>
      </w:r>
      <w:r>
        <w:rPr>
          <w:color w:val="767070"/>
          <w:sz w:val="16"/>
        </w:rPr>
        <w:t>planning</w:t>
      </w:r>
      <w:r>
        <w:rPr>
          <w:color w:val="767070"/>
          <w:spacing w:val="-6"/>
          <w:sz w:val="16"/>
        </w:rPr>
        <w:t xml:space="preserve"> </w:t>
      </w:r>
      <w:r>
        <w:rPr>
          <w:color w:val="767070"/>
          <w:sz w:val="16"/>
        </w:rPr>
        <w:t>data,</w:t>
      </w:r>
      <w:r>
        <w:rPr>
          <w:color w:val="767070"/>
          <w:spacing w:val="-6"/>
          <w:sz w:val="16"/>
        </w:rPr>
        <w:t xml:space="preserve"> </w:t>
      </w:r>
      <w:r>
        <w:rPr>
          <w:color w:val="767070"/>
          <w:sz w:val="16"/>
        </w:rPr>
        <w:t>developed</w:t>
      </w:r>
      <w:r>
        <w:rPr>
          <w:color w:val="767070"/>
          <w:spacing w:val="-5"/>
          <w:sz w:val="16"/>
        </w:rPr>
        <w:t xml:space="preserve"> </w:t>
      </w:r>
      <w:r>
        <w:rPr>
          <w:color w:val="767070"/>
          <w:sz w:val="16"/>
        </w:rPr>
        <w:t>by</w:t>
      </w:r>
      <w:r>
        <w:rPr>
          <w:color w:val="767070"/>
          <w:spacing w:val="-5"/>
          <w:sz w:val="16"/>
        </w:rPr>
        <w:t xml:space="preserve"> </w:t>
      </w:r>
      <w:r>
        <w:rPr>
          <w:color w:val="767070"/>
          <w:sz w:val="16"/>
        </w:rPr>
        <w:t>the</w:t>
      </w:r>
      <w:r>
        <w:rPr>
          <w:color w:val="767070"/>
          <w:spacing w:val="-5"/>
          <w:sz w:val="16"/>
        </w:rPr>
        <w:t xml:space="preserve"> </w:t>
      </w:r>
      <w:r>
        <w:rPr>
          <w:color w:val="767070"/>
          <w:sz w:val="16"/>
        </w:rPr>
        <w:t>Data</w:t>
      </w:r>
      <w:r>
        <w:rPr>
          <w:color w:val="767070"/>
          <w:spacing w:val="-6"/>
          <w:sz w:val="16"/>
        </w:rPr>
        <w:t xml:space="preserve"> </w:t>
      </w:r>
      <w:r>
        <w:rPr>
          <w:color w:val="767070"/>
          <w:sz w:val="16"/>
        </w:rPr>
        <w:t>and</w:t>
      </w:r>
      <w:r>
        <w:rPr>
          <w:color w:val="767070"/>
          <w:spacing w:val="-7"/>
          <w:sz w:val="16"/>
        </w:rPr>
        <w:t xml:space="preserve"> </w:t>
      </w:r>
      <w:r>
        <w:rPr>
          <w:color w:val="767070"/>
          <w:sz w:val="16"/>
        </w:rPr>
        <w:t>Information</w:t>
      </w:r>
      <w:r>
        <w:rPr>
          <w:color w:val="767070"/>
          <w:spacing w:val="-5"/>
          <w:sz w:val="16"/>
        </w:rPr>
        <w:t xml:space="preserve"> </w:t>
      </w:r>
      <w:r>
        <w:rPr>
          <w:color w:val="767070"/>
          <w:sz w:val="16"/>
        </w:rPr>
        <w:t>Technology</w:t>
      </w:r>
      <w:r>
        <w:rPr>
          <w:color w:val="767070"/>
          <w:spacing w:val="40"/>
          <w:sz w:val="16"/>
        </w:rPr>
        <w:t xml:space="preserve"> </w:t>
      </w:r>
      <w:r>
        <w:rPr>
          <w:color w:val="767070"/>
          <w:sz w:val="16"/>
        </w:rPr>
        <w:t>Center (Pusdatin) of the Ministry of Home Affairs.</w:t>
      </w:r>
    </w:p>
    <w:p w14:paraId="0ECA476D" w14:textId="77777777" w:rsidR="00BC24A8" w:rsidRDefault="00000000">
      <w:pPr>
        <w:spacing w:before="1"/>
        <w:ind w:left="143"/>
        <w:rPr>
          <w:sz w:val="16"/>
        </w:rPr>
      </w:pPr>
      <w:bookmarkStart w:id="218" w:name="_bookmark152"/>
      <w:bookmarkEnd w:id="218"/>
      <w:r>
        <w:rPr>
          <w:color w:val="767070"/>
          <w:sz w:val="16"/>
          <w:vertAlign w:val="superscript"/>
        </w:rPr>
        <w:t>78</w:t>
      </w:r>
      <w:r>
        <w:rPr>
          <w:color w:val="767070"/>
          <w:spacing w:val="-10"/>
          <w:sz w:val="16"/>
        </w:rPr>
        <w:t xml:space="preserve"> </w:t>
      </w:r>
      <w:r>
        <w:rPr>
          <w:color w:val="767070"/>
          <w:sz w:val="16"/>
        </w:rPr>
        <w:t>SAIK+</w:t>
      </w:r>
      <w:r>
        <w:rPr>
          <w:color w:val="767070"/>
          <w:spacing w:val="-9"/>
          <w:sz w:val="16"/>
        </w:rPr>
        <w:t xml:space="preserve"> </w:t>
      </w:r>
      <w:r>
        <w:rPr>
          <w:color w:val="767070"/>
          <w:sz w:val="16"/>
        </w:rPr>
        <w:t>(Population</w:t>
      </w:r>
      <w:r>
        <w:rPr>
          <w:color w:val="767070"/>
          <w:spacing w:val="-9"/>
          <w:sz w:val="16"/>
        </w:rPr>
        <w:t xml:space="preserve"> </w:t>
      </w:r>
      <w:r>
        <w:rPr>
          <w:color w:val="767070"/>
          <w:sz w:val="16"/>
        </w:rPr>
        <w:t>Administration</w:t>
      </w:r>
      <w:r>
        <w:rPr>
          <w:color w:val="767070"/>
          <w:spacing w:val="-9"/>
          <w:sz w:val="16"/>
        </w:rPr>
        <w:t xml:space="preserve"> </w:t>
      </w:r>
      <w:r>
        <w:rPr>
          <w:color w:val="767070"/>
          <w:sz w:val="16"/>
        </w:rPr>
        <w:t>Information</w:t>
      </w:r>
      <w:r>
        <w:rPr>
          <w:color w:val="767070"/>
          <w:spacing w:val="-9"/>
          <w:sz w:val="16"/>
        </w:rPr>
        <w:t xml:space="preserve"> </w:t>
      </w:r>
      <w:r>
        <w:rPr>
          <w:color w:val="767070"/>
          <w:sz w:val="16"/>
        </w:rPr>
        <w:t>System</w:t>
      </w:r>
      <w:r>
        <w:rPr>
          <w:color w:val="767070"/>
          <w:spacing w:val="-8"/>
          <w:sz w:val="16"/>
        </w:rPr>
        <w:t xml:space="preserve"> </w:t>
      </w:r>
      <w:r>
        <w:rPr>
          <w:color w:val="767070"/>
          <w:sz w:val="16"/>
        </w:rPr>
        <w:t>Plus)</w:t>
      </w:r>
      <w:r>
        <w:rPr>
          <w:color w:val="767070"/>
          <w:spacing w:val="-9"/>
          <w:sz w:val="16"/>
        </w:rPr>
        <w:t xml:space="preserve"> </w:t>
      </w:r>
      <w:r>
        <w:rPr>
          <w:color w:val="767070"/>
          <w:sz w:val="16"/>
        </w:rPr>
        <w:t>is</w:t>
      </w:r>
      <w:r>
        <w:rPr>
          <w:color w:val="767070"/>
          <w:spacing w:val="-8"/>
          <w:sz w:val="16"/>
        </w:rPr>
        <w:t xml:space="preserve"> </w:t>
      </w:r>
      <w:r>
        <w:rPr>
          <w:color w:val="767070"/>
          <w:sz w:val="16"/>
        </w:rPr>
        <w:t>a</w:t>
      </w:r>
      <w:r>
        <w:rPr>
          <w:color w:val="767070"/>
          <w:spacing w:val="-7"/>
          <w:sz w:val="16"/>
        </w:rPr>
        <w:t xml:space="preserve"> </w:t>
      </w:r>
      <w:r>
        <w:rPr>
          <w:color w:val="767070"/>
          <w:sz w:val="16"/>
        </w:rPr>
        <w:t>village-level</w:t>
      </w:r>
      <w:r>
        <w:rPr>
          <w:color w:val="767070"/>
          <w:spacing w:val="-9"/>
          <w:sz w:val="16"/>
        </w:rPr>
        <w:t xml:space="preserve"> </w:t>
      </w:r>
      <w:r>
        <w:rPr>
          <w:color w:val="767070"/>
          <w:sz w:val="16"/>
        </w:rPr>
        <w:t>information</w:t>
      </w:r>
      <w:r>
        <w:rPr>
          <w:color w:val="767070"/>
          <w:spacing w:val="-8"/>
          <w:sz w:val="16"/>
        </w:rPr>
        <w:t xml:space="preserve"> </w:t>
      </w:r>
      <w:r>
        <w:rPr>
          <w:color w:val="767070"/>
          <w:sz w:val="16"/>
        </w:rPr>
        <w:t>system</w:t>
      </w:r>
      <w:r>
        <w:rPr>
          <w:color w:val="767070"/>
          <w:spacing w:val="-9"/>
          <w:sz w:val="16"/>
        </w:rPr>
        <w:t xml:space="preserve"> </w:t>
      </w:r>
      <w:r>
        <w:rPr>
          <w:color w:val="767070"/>
          <w:sz w:val="16"/>
        </w:rPr>
        <w:t>of</w:t>
      </w:r>
      <w:r>
        <w:rPr>
          <w:color w:val="767070"/>
          <w:spacing w:val="-8"/>
          <w:sz w:val="16"/>
        </w:rPr>
        <w:t xml:space="preserve"> </w:t>
      </w:r>
      <w:r>
        <w:rPr>
          <w:color w:val="767070"/>
          <w:sz w:val="16"/>
        </w:rPr>
        <w:t>Papua</w:t>
      </w:r>
      <w:r>
        <w:rPr>
          <w:color w:val="767070"/>
          <w:spacing w:val="-9"/>
          <w:sz w:val="16"/>
        </w:rPr>
        <w:t xml:space="preserve"> </w:t>
      </w:r>
      <w:r>
        <w:rPr>
          <w:color w:val="767070"/>
          <w:sz w:val="16"/>
        </w:rPr>
        <w:t>Barat</w:t>
      </w:r>
      <w:r>
        <w:rPr>
          <w:color w:val="767070"/>
          <w:spacing w:val="-9"/>
          <w:sz w:val="16"/>
        </w:rPr>
        <w:t xml:space="preserve"> </w:t>
      </w:r>
      <w:r>
        <w:rPr>
          <w:color w:val="767070"/>
          <w:spacing w:val="-2"/>
          <w:sz w:val="16"/>
        </w:rPr>
        <w:t>Daya.</w:t>
      </w:r>
    </w:p>
    <w:p w14:paraId="0122C88A" w14:textId="77777777" w:rsidR="00BC24A8" w:rsidRDefault="00BC24A8">
      <w:pPr>
        <w:rPr>
          <w:sz w:val="16"/>
        </w:rPr>
        <w:sectPr w:rsidR="00BC24A8">
          <w:pgSz w:w="11910" w:h="16840"/>
          <w:pgMar w:top="1320" w:right="850" w:bottom="1100" w:left="1275" w:header="0" w:footer="907" w:gutter="0"/>
          <w:cols w:space="720"/>
        </w:sectPr>
      </w:pPr>
    </w:p>
    <w:p w14:paraId="2E74027E" w14:textId="77777777" w:rsidR="00BC24A8" w:rsidRDefault="00000000">
      <w:pPr>
        <w:pStyle w:val="ListParagraph"/>
        <w:numPr>
          <w:ilvl w:val="0"/>
          <w:numId w:val="36"/>
        </w:numPr>
        <w:tabs>
          <w:tab w:val="left" w:pos="861"/>
          <w:tab w:val="left" w:pos="863"/>
        </w:tabs>
        <w:spacing w:before="79"/>
        <w:ind w:right="564" w:hanging="361"/>
      </w:pPr>
      <w:r>
        <w:t>SKALA provided several technical inputs in the form of programs and activity options for the Otsus-funded Joint Strategic Priority Program (PPSB), including:</w:t>
      </w:r>
    </w:p>
    <w:p w14:paraId="339063A2" w14:textId="77777777" w:rsidR="00BC24A8" w:rsidRDefault="00000000">
      <w:pPr>
        <w:pStyle w:val="ListParagraph"/>
        <w:numPr>
          <w:ilvl w:val="1"/>
          <w:numId w:val="36"/>
        </w:numPr>
        <w:tabs>
          <w:tab w:val="left" w:pos="1221"/>
          <w:tab w:val="left" w:pos="1223"/>
        </w:tabs>
        <w:spacing w:before="121" w:line="254" w:lineRule="auto"/>
        <w:ind w:right="563"/>
      </w:pPr>
      <w:r>
        <w:t>The</w:t>
      </w:r>
      <w:r>
        <w:rPr>
          <w:spacing w:val="-13"/>
        </w:rPr>
        <w:t xml:space="preserve"> </w:t>
      </w:r>
      <w:r>
        <w:t>draft</w:t>
      </w:r>
      <w:r>
        <w:rPr>
          <w:spacing w:val="-12"/>
        </w:rPr>
        <w:t xml:space="preserve"> </w:t>
      </w:r>
      <w:r>
        <w:t>Governor</w:t>
      </w:r>
      <w:r>
        <w:rPr>
          <w:spacing w:val="-13"/>
        </w:rPr>
        <w:t xml:space="preserve"> </w:t>
      </w:r>
      <w:r>
        <w:t>Regulation</w:t>
      </w:r>
      <w:r>
        <w:rPr>
          <w:spacing w:val="-12"/>
        </w:rPr>
        <w:t xml:space="preserve"> </w:t>
      </w:r>
      <w:r>
        <w:t>on</w:t>
      </w:r>
      <w:r>
        <w:rPr>
          <w:spacing w:val="-13"/>
        </w:rPr>
        <w:t xml:space="preserve"> </w:t>
      </w:r>
      <w:r>
        <w:t>Technical</w:t>
      </w:r>
      <w:r>
        <w:rPr>
          <w:spacing w:val="-12"/>
        </w:rPr>
        <w:t xml:space="preserve"> </w:t>
      </w:r>
      <w:r>
        <w:t>Guidelines</w:t>
      </w:r>
      <w:r>
        <w:rPr>
          <w:spacing w:val="-13"/>
        </w:rPr>
        <w:t xml:space="preserve"> </w:t>
      </w:r>
      <w:r>
        <w:t>for</w:t>
      </w:r>
      <w:r>
        <w:rPr>
          <w:spacing w:val="-12"/>
        </w:rPr>
        <w:t xml:space="preserve"> </w:t>
      </w:r>
      <w:r>
        <w:t>the</w:t>
      </w:r>
      <w:r>
        <w:rPr>
          <w:spacing w:val="-12"/>
        </w:rPr>
        <w:t xml:space="preserve"> </w:t>
      </w:r>
      <w:r>
        <w:t>First</w:t>
      </w:r>
      <w:r>
        <w:rPr>
          <w:spacing w:val="-13"/>
        </w:rPr>
        <w:t xml:space="preserve"> </w:t>
      </w:r>
      <w:r>
        <w:t>1,000</w:t>
      </w:r>
      <w:r>
        <w:rPr>
          <w:spacing w:val="-12"/>
        </w:rPr>
        <w:t xml:space="preserve"> </w:t>
      </w:r>
      <w:r>
        <w:t>Days</w:t>
      </w:r>
      <w:r>
        <w:rPr>
          <w:spacing w:val="-13"/>
        </w:rPr>
        <w:t xml:space="preserve"> </w:t>
      </w:r>
      <w:r>
        <w:t>of</w:t>
      </w:r>
      <w:r>
        <w:rPr>
          <w:spacing w:val="-12"/>
        </w:rPr>
        <w:t xml:space="preserve"> </w:t>
      </w:r>
      <w:r>
        <w:t>Life</w:t>
      </w:r>
      <w:r>
        <w:rPr>
          <w:spacing w:val="-13"/>
        </w:rPr>
        <w:t xml:space="preserve"> </w:t>
      </w:r>
      <w:r>
        <w:t>(1,000 HPK) Program is being prepared. These guidelines will provide direction for program implementation and distribution of assistance to beneficiaries.</w:t>
      </w:r>
    </w:p>
    <w:p w14:paraId="454B043F" w14:textId="77777777" w:rsidR="00BC24A8" w:rsidRDefault="00000000">
      <w:pPr>
        <w:pStyle w:val="ListParagraph"/>
        <w:numPr>
          <w:ilvl w:val="1"/>
          <w:numId w:val="36"/>
        </w:numPr>
        <w:tabs>
          <w:tab w:val="left" w:pos="1221"/>
          <w:tab w:val="left" w:pos="1223"/>
        </w:tabs>
        <w:spacing w:before="7" w:line="252" w:lineRule="auto"/>
        <w:ind w:right="566"/>
      </w:pPr>
      <w:r>
        <w:t>The</w:t>
      </w:r>
      <w:r>
        <w:rPr>
          <w:spacing w:val="-6"/>
        </w:rPr>
        <w:t xml:space="preserve"> </w:t>
      </w:r>
      <w:r>
        <w:t>draft</w:t>
      </w:r>
      <w:r>
        <w:rPr>
          <w:spacing w:val="-4"/>
        </w:rPr>
        <w:t xml:space="preserve"> </w:t>
      </w:r>
      <w:r>
        <w:t>design</w:t>
      </w:r>
      <w:r>
        <w:rPr>
          <w:spacing w:val="-4"/>
        </w:rPr>
        <w:t xml:space="preserve"> </w:t>
      </w:r>
      <w:r>
        <w:t>of</w:t>
      </w:r>
      <w:r>
        <w:rPr>
          <w:spacing w:val="-6"/>
        </w:rPr>
        <w:t xml:space="preserve"> </w:t>
      </w:r>
      <w:r>
        <w:t>the</w:t>
      </w:r>
      <w:r>
        <w:rPr>
          <w:spacing w:val="-6"/>
        </w:rPr>
        <w:t xml:space="preserve"> </w:t>
      </w:r>
      <w:r>
        <w:t>Free</w:t>
      </w:r>
      <w:r>
        <w:rPr>
          <w:spacing w:val="-4"/>
        </w:rPr>
        <w:t xml:space="preserve"> </w:t>
      </w:r>
      <w:r>
        <w:t>and</w:t>
      </w:r>
      <w:r>
        <w:rPr>
          <w:spacing w:val="-4"/>
        </w:rPr>
        <w:t xml:space="preserve"> </w:t>
      </w:r>
      <w:r>
        <w:t>Inclusive</w:t>
      </w:r>
      <w:r>
        <w:rPr>
          <w:spacing w:val="-6"/>
        </w:rPr>
        <w:t xml:space="preserve"> </w:t>
      </w:r>
      <w:r>
        <w:t>Education</w:t>
      </w:r>
      <w:r>
        <w:rPr>
          <w:spacing w:val="-4"/>
        </w:rPr>
        <w:t xml:space="preserve"> </w:t>
      </w:r>
      <w:r>
        <w:t>Program</w:t>
      </w:r>
      <w:r>
        <w:rPr>
          <w:spacing w:val="-4"/>
        </w:rPr>
        <w:t xml:space="preserve"> </w:t>
      </w:r>
      <w:r>
        <w:t>for</w:t>
      </w:r>
      <w:r>
        <w:rPr>
          <w:spacing w:val="-4"/>
        </w:rPr>
        <w:t xml:space="preserve"> </w:t>
      </w:r>
      <w:r>
        <w:t>FY</w:t>
      </w:r>
      <w:r>
        <w:rPr>
          <w:spacing w:val="-5"/>
        </w:rPr>
        <w:t xml:space="preserve"> </w:t>
      </w:r>
      <w:r>
        <w:t>2025</w:t>
      </w:r>
      <w:r>
        <w:rPr>
          <w:spacing w:val="-4"/>
        </w:rPr>
        <w:t xml:space="preserve"> </w:t>
      </w:r>
      <w:r>
        <w:t>is</w:t>
      </w:r>
      <w:r>
        <w:rPr>
          <w:spacing w:val="-4"/>
        </w:rPr>
        <w:t xml:space="preserve"> </w:t>
      </w:r>
      <w:r>
        <w:t>currently</w:t>
      </w:r>
      <w:r>
        <w:rPr>
          <w:spacing w:val="-4"/>
        </w:rPr>
        <w:t xml:space="preserve"> </w:t>
      </w:r>
      <w:r>
        <w:t xml:space="preserve">being </w:t>
      </w:r>
      <w:r>
        <w:rPr>
          <w:spacing w:val="-2"/>
        </w:rPr>
        <w:t>developed.</w:t>
      </w:r>
    </w:p>
    <w:p w14:paraId="69EEC488" w14:textId="77777777" w:rsidR="00BC24A8" w:rsidRDefault="00BC24A8">
      <w:pPr>
        <w:pStyle w:val="BodyText"/>
      </w:pPr>
    </w:p>
    <w:p w14:paraId="07F67D43" w14:textId="77777777" w:rsidR="00BC24A8" w:rsidRDefault="00BC24A8">
      <w:pPr>
        <w:pStyle w:val="BodyText"/>
        <w:spacing w:before="1"/>
      </w:pPr>
    </w:p>
    <w:p w14:paraId="16301D61" w14:textId="77777777" w:rsidR="00BC24A8" w:rsidRDefault="00000000">
      <w:pPr>
        <w:pStyle w:val="Heading5"/>
      </w:pPr>
      <w:r>
        <w:rPr>
          <w:color w:val="17365A"/>
        </w:rPr>
        <w:t>GEDSI</w:t>
      </w:r>
      <w:r>
        <w:rPr>
          <w:color w:val="17365A"/>
          <w:spacing w:val="-5"/>
        </w:rPr>
        <w:t xml:space="preserve"> </w:t>
      </w:r>
      <w:r>
        <w:rPr>
          <w:color w:val="17365A"/>
        </w:rPr>
        <w:t>–</w:t>
      </w:r>
      <w:r>
        <w:rPr>
          <w:color w:val="17365A"/>
          <w:spacing w:val="-2"/>
        </w:rPr>
        <w:t xml:space="preserve"> </w:t>
      </w:r>
      <w:r>
        <w:rPr>
          <w:color w:val="17365A"/>
        </w:rPr>
        <w:t>Participation</w:t>
      </w:r>
      <w:r>
        <w:rPr>
          <w:color w:val="17365A"/>
          <w:spacing w:val="-5"/>
        </w:rPr>
        <w:t xml:space="preserve"> </w:t>
      </w:r>
      <w:r>
        <w:rPr>
          <w:color w:val="17365A"/>
        </w:rPr>
        <w:t>and</w:t>
      </w:r>
      <w:r>
        <w:rPr>
          <w:color w:val="17365A"/>
          <w:spacing w:val="-4"/>
        </w:rPr>
        <w:t xml:space="preserve"> </w:t>
      </w:r>
      <w:r>
        <w:rPr>
          <w:color w:val="17365A"/>
        </w:rPr>
        <w:t>Planning</w:t>
      </w:r>
      <w:r>
        <w:rPr>
          <w:color w:val="17365A"/>
          <w:spacing w:val="-5"/>
        </w:rPr>
        <w:t xml:space="preserve"> </w:t>
      </w:r>
      <w:r>
        <w:rPr>
          <w:color w:val="17365A"/>
        </w:rPr>
        <w:t>(IO</w:t>
      </w:r>
      <w:r>
        <w:rPr>
          <w:color w:val="17365A"/>
          <w:spacing w:val="-6"/>
        </w:rPr>
        <w:t xml:space="preserve"> </w:t>
      </w:r>
      <w:r>
        <w:rPr>
          <w:color w:val="17365A"/>
        </w:rPr>
        <w:t>7</w:t>
      </w:r>
      <w:r>
        <w:rPr>
          <w:color w:val="17365A"/>
          <w:spacing w:val="-3"/>
        </w:rPr>
        <w:t xml:space="preserve"> </w:t>
      </w:r>
      <w:r>
        <w:rPr>
          <w:color w:val="17365A"/>
        </w:rPr>
        <w:t>and</w:t>
      </w:r>
      <w:r>
        <w:rPr>
          <w:color w:val="17365A"/>
          <w:spacing w:val="-4"/>
        </w:rPr>
        <w:t xml:space="preserve"> </w:t>
      </w:r>
      <w:r>
        <w:rPr>
          <w:color w:val="17365A"/>
          <w:spacing w:val="-5"/>
        </w:rPr>
        <w:t>8)</w:t>
      </w:r>
    </w:p>
    <w:p w14:paraId="4EE3C1E4" w14:textId="77777777" w:rsidR="00BC24A8" w:rsidRDefault="00000000">
      <w:pPr>
        <w:pStyle w:val="ListParagraph"/>
        <w:numPr>
          <w:ilvl w:val="0"/>
          <w:numId w:val="36"/>
        </w:numPr>
        <w:tabs>
          <w:tab w:val="left" w:pos="861"/>
          <w:tab w:val="left" w:pos="863"/>
        </w:tabs>
        <w:spacing w:before="159"/>
        <w:ind w:right="562" w:hanging="361"/>
      </w:pPr>
      <w:r>
        <w:t>7,328</w:t>
      </w:r>
      <w:r>
        <w:rPr>
          <w:spacing w:val="-8"/>
        </w:rPr>
        <w:t xml:space="preserve"> </w:t>
      </w:r>
      <w:r>
        <w:t>elderly,</w:t>
      </w:r>
      <w:r>
        <w:rPr>
          <w:spacing w:val="-8"/>
        </w:rPr>
        <w:t xml:space="preserve"> </w:t>
      </w:r>
      <w:r>
        <w:t>aged</w:t>
      </w:r>
      <w:r>
        <w:rPr>
          <w:spacing w:val="-9"/>
        </w:rPr>
        <w:t xml:space="preserve"> </w:t>
      </w:r>
      <w:r>
        <w:t>65</w:t>
      </w:r>
      <w:r>
        <w:rPr>
          <w:spacing w:val="-8"/>
        </w:rPr>
        <w:t xml:space="preserve"> </w:t>
      </w:r>
      <w:r>
        <w:t>years</w:t>
      </w:r>
      <w:r>
        <w:rPr>
          <w:spacing w:val="-10"/>
        </w:rPr>
        <w:t xml:space="preserve"> </w:t>
      </w:r>
      <w:r>
        <w:t>and</w:t>
      </w:r>
      <w:r>
        <w:rPr>
          <w:spacing w:val="-9"/>
        </w:rPr>
        <w:t xml:space="preserve"> </w:t>
      </w:r>
      <w:r>
        <w:t>above,</w:t>
      </w:r>
      <w:r>
        <w:rPr>
          <w:spacing w:val="-8"/>
        </w:rPr>
        <w:t xml:space="preserve"> </w:t>
      </w:r>
      <w:r>
        <w:t>in</w:t>
      </w:r>
      <w:r>
        <w:rPr>
          <w:spacing w:val="-9"/>
        </w:rPr>
        <w:t xml:space="preserve"> </w:t>
      </w:r>
      <w:r>
        <w:t>6</w:t>
      </w:r>
      <w:r>
        <w:rPr>
          <w:spacing w:val="-8"/>
        </w:rPr>
        <w:t xml:space="preserve"> </w:t>
      </w:r>
      <w:r>
        <w:t>districts/cities</w:t>
      </w:r>
      <w:r>
        <w:rPr>
          <w:spacing w:val="-8"/>
        </w:rPr>
        <w:t xml:space="preserve"> </w:t>
      </w:r>
      <w:r>
        <w:t>received</w:t>
      </w:r>
      <w:r>
        <w:rPr>
          <w:spacing w:val="-11"/>
        </w:rPr>
        <w:t xml:space="preserve"> </w:t>
      </w:r>
      <w:r>
        <w:t>PAITUA</w:t>
      </w:r>
      <w:r>
        <w:rPr>
          <w:spacing w:val="-11"/>
        </w:rPr>
        <w:t xml:space="preserve"> </w:t>
      </w:r>
      <w:r>
        <w:t>Program</w:t>
      </w:r>
      <w:r>
        <w:rPr>
          <w:spacing w:val="-8"/>
        </w:rPr>
        <w:t xml:space="preserve"> </w:t>
      </w:r>
      <w:r>
        <w:t>assistance in FY</w:t>
      </w:r>
      <w:r>
        <w:rPr>
          <w:spacing w:val="-1"/>
        </w:rPr>
        <w:t xml:space="preserve"> </w:t>
      </w:r>
      <w:r>
        <w:t>2024,</w:t>
      </w:r>
      <w:r>
        <w:rPr>
          <w:spacing w:val="-2"/>
        </w:rPr>
        <w:t xml:space="preserve"> </w:t>
      </w:r>
      <w:r>
        <w:t>equal</w:t>
      </w:r>
      <w:r>
        <w:rPr>
          <w:spacing w:val="-2"/>
        </w:rPr>
        <w:t xml:space="preserve"> </w:t>
      </w:r>
      <w:r>
        <w:t>to</w:t>
      </w:r>
      <w:r>
        <w:rPr>
          <w:spacing w:val="-3"/>
        </w:rPr>
        <w:t xml:space="preserve"> </w:t>
      </w:r>
      <w:r>
        <w:t>84.5%</w:t>
      </w:r>
      <w:r>
        <w:rPr>
          <w:spacing w:val="-3"/>
        </w:rPr>
        <w:t xml:space="preserve"> </w:t>
      </w:r>
      <w:r>
        <w:t>of the 8,667 targeted</w:t>
      </w:r>
      <w:r>
        <w:rPr>
          <w:spacing w:val="-3"/>
        </w:rPr>
        <w:t xml:space="preserve"> </w:t>
      </w:r>
      <w:r>
        <w:t>recipients.</w:t>
      </w:r>
      <w:r>
        <w:rPr>
          <w:spacing w:val="-2"/>
        </w:rPr>
        <w:t xml:space="preserve"> </w:t>
      </w:r>
      <w:r>
        <w:t>The annual</w:t>
      </w:r>
      <w:r>
        <w:rPr>
          <w:spacing w:val="-2"/>
        </w:rPr>
        <w:t xml:space="preserve"> </w:t>
      </w:r>
      <w:r>
        <w:t>allowance</w:t>
      </w:r>
      <w:r>
        <w:rPr>
          <w:spacing w:val="-2"/>
        </w:rPr>
        <w:t xml:space="preserve"> </w:t>
      </w:r>
      <w:r>
        <w:t>of IDR</w:t>
      </w:r>
      <w:r>
        <w:rPr>
          <w:spacing w:val="-3"/>
        </w:rPr>
        <w:t xml:space="preserve"> </w:t>
      </w:r>
      <w:r>
        <w:t>1.5–3 million per person was disbursed via bank accounts for existing recipients, and through passbooks and</w:t>
      </w:r>
      <w:r>
        <w:rPr>
          <w:spacing w:val="-1"/>
        </w:rPr>
        <w:t xml:space="preserve"> </w:t>
      </w:r>
      <w:r>
        <w:t>ATM cards</w:t>
      </w:r>
      <w:r>
        <w:rPr>
          <w:spacing w:val="-1"/>
        </w:rPr>
        <w:t xml:space="preserve"> </w:t>
      </w:r>
      <w:r>
        <w:t>for new recipients.</w:t>
      </w:r>
      <w:r>
        <w:rPr>
          <w:spacing w:val="-1"/>
        </w:rPr>
        <w:t xml:space="preserve"> </w:t>
      </w:r>
      <w:r>
        <w:t>The total</w:t>
      </w:r>
      <w:r>
        <w:rPr>
          <w:spacing w:val="-3"/>
        </w:rPr>
        <w:t xml:space="preserve"> </w:t>
      </w:r>
      <w:r>
        <w:t>budget</w:t>
      </w:r>
      <w:r>
        <w:rPr>
          <w:spacing w:val="-2"/>
        </w:rPr>
        <w:t xml:space="preserve"> </w:t>
      </w:r>
      <w:r>
        <w:t>for</w:t>
      </w:r>
      <w:r>
        <w:rPr>
          <w:spacing w:val="-1"/>
        </w:rPr>
        <w:t xml:space="preserve"> </w:t>
      </w:r>
      <w:r>
        <w:t>this</w:t>
      </w:r>
      <w:r>
        <w:rPr>
          <w:spacing w:val="-1"/>
        </w:rPr>
        <w:t xml:space="preserve"> </w:t>
      </w:r>
      <w:r>
        <w:t>program amounted</w:t>
      </w:r>
      <w:r>
        <w:rPr>
          <w:spacing w:val="-1"/>
        </w:rPr>
        <w:t xml:space="preserve"> </w:t>
      </w:r>
      <w:r>
        <w:t>IDR</w:t>
      </w:r>
    </w:p>
    <w:p w14:paraId="129235C0" w14:textId="77777777" w:rsidR="00BC24A8" w:rsidRDefault="00000000">
      <w:pPr>
        <w:pStyle w:val="BodyText"/>
        <w:spacing w:before="1"/>
        <w:ind w:left="863"/>
        <w:jc w:val="both"/>
      </w:pPr>
      <w:r>
        <w:t>8.3</w:t>
      </w:r>
      <w:r>
        <w:rPr>
          <w:spacing w:val="-3"/>
        </w:rPr>
        <w:t xml:space="preserve"> </w:t>
      </w:r>
      <w:r>
        <w:rPr>
          <w:spacing w:val="-2"/>
        </w:rPr>
        <w:t>billion.</w:t>
      </w:r>
    </w:p>
    <w:p w14:paraId="0E24CC23" w14:textId="77777777" w:rsidR="00BC24A8" w:rsidRDefault="00BC24A8">
      <w:pPr>
        <w:pStyle w:val="BodyText"/>
        <w:spacing w:before="141"/>
      </w:pPr>
    </w:p>
    <w:p w14:paraId="34B815D6" w14:textId="77777777" w:rsidR="00BC24A8" w:rsidRDefault="00000000">
      <w:pPr>
        <w:pStyle w:val="Heading5"/>
        <w:spacing w:before="1"/>
      </w:pPr>
      <w:r>
        <w:rPr>
          <w:color w:val="17365A"/>
        </w:rPr>
        <w:t>Impact</w:t>
      </w:r>
      <w:r>
        <w:rPr>
          <w:color w:val="17365A"/>
          <w:spacing w:val="-3"/>
        </w:rPr>
        <w:t xml:space="preserve"> </w:t>
      </w:r>
      <w:r>
        <w:rPr>
          <w:color w:val="17365A"/>
        </w:rPr>
        <w:t>of</w:t>
      </w:r>
      <w:r>
        <w:rPr>
          <w:color w:val="17365A"/>
          <w:spacing w:val="-2"/>
        </w:rPr>
        <w:t xml:space="preserve"> results/changes</w:t>
      </w:r>
    </w:p>
    <w:p w14:paraId="152A7249" w14:textId="77777777" w:rsidR="00BC24A8" w:rsidRDefault="00BC24A8">
      <w:pPr>
        <w:pStyle w:val="BodyText"/>
        <w:spacing w:before="8"/>
        <w:rPr>
          <w:rFonts w:ascii="Calibri"/>
          <w:b/>
          <w:sz w:val="12"/>
        </w:rPr>
      </w:pPr>
    </w:p>
    <w:tbl>
      <w:tblPr>
        <w:tblW w:w="0" w:type="auto"/>
        <w:tblInd w:w="142" w:type="dxa"/>
        <w:tblLayout w:type="fixed"/>
        <w:tblCellMar>
          <w:left w:w="0" w:type="dxa"/>
          <w:right w:w="0" w:type="dxa"/>
        </w:tblCellMar>
        <w:tblLook w:val="01E0" w:firstRow="1" w:lastRow="1" w:firstColumn="1" w:lastColumn="1" w:noHBand="0" w:noVBand="0"/>
      </w:tblPr>
      <w:tblGrid>
        <w:gridCol w:w="1407"/>
        <w:gridCol w:w="7692"/>
      </w:tblGrid>
      <w:tr w:rsidR="00BC24A8" w14:paraId="53036B57" w14:textId="77777777">
        <w:trPr>
          <w:trHeight w:val="360"/>
        </w:trPr>
        <w:tc>
          <w:tcPr>
            <w:tcW w:w="1407" w:type="dxa"/>
            <w:shd w:val="clear" w:color="auto" w:fill="17365A"/>
          </w:tcPr>
          <w:p w14:paraId="186F0F32" w14:textId="77777777" w:rsidR="00BC24A8" w:rsidRDefault="00000000">
            <w:pPr>
              <w:pStyle w:val="TableParagraph"/>
              <w:spacing w:before="59"/>
              <w:ind w:left="116"/>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692" w:type="dxa"/>
            <w:shd w:val="clear" w:color="auto" w:fill="17365A"/>
          </w:tcPr>
          <w:p w14:paraId="77A6BF3C" w14:textId="77777777" w:rsidR="00BC24A8" w:rsidRDefault="00000000">
            <w:pPr>
              <w:pStyle w:val="TableParagraph"/>
              <w:spacing w:before="59"/>
              <w:ind w:left="185"/>
              <w:rPr>
                <w:rFonts w:ascii="Calibri"/>
                <w:b/>
                <w:sz w:val="20"/>
              </w:rPr>
            </w:pPr>
            <w:r>
              <w:rPr>
                <w:rFonts w:ascii="Calibri"/>
                <w:b/>
                <w:color w:val="FFFFFF"/>
                <w:spacing w:val="-2"/>
                <w:sz w:val="20"/>
              </w:rPr>
              <w:t>Impact</w:t>
            </w:r>
          </w:p>
        </w:tc>
      </w:tr>
      <w:tr w:rsidR="00BC24A8" w14:paraId="0C8D598C" w14:textId="77777777">
        <w:trPr>
          <w:trHeight w:val="1377"/>
        </w:trPr>
        <w:tc>
          <w:tcPr>
            <w:tcW w:w="1407" w:type="dxa"/>
            <w:tcBorders>
              <w:bottom w:val="single" w:sz="4" w:space="0" w:color="BEBEBE"/>
            </w:tcBorders>
          </w:tcPr>
          <w:p w14:paraId="4539BCE6" w14:textId="77777777" w:rsidR="00BC24A8" w:rsidRDefault="00000000">
            <w:pPr>
              <w:pStyle w:val="TableParagraph"/>
              <w:spacing w:before="162"/>
              <w:ind w:left="116"/>
              <w:rPr>
                <w:sz w:val="18"/>
              </w:rPr>
            </w:pPr>
            <w:r>
              <w:rPr>
                <w:spacing w:val="-2"/>
                <w:sz w:val="18"/>
              </w:rPr>
              <w:t>Methodological</w:t>
            </w:r>
            <w:r>
              <w:rPr>
                <w:sz w:val="18"/>
              </w:rPr>
              <w:t xml:space="preserve"> </w:t>
            </w:r>
            <w:r>
              <w:rPr>
                <w:spacing w:val="-2"/>
                <w:sz w:val="18"/>
              </w:rPr>
              <w:t>Impacts</w:t>
            </w:r>
          </w:p>
        </w:tc>
        <w:tc>
          <w:tcPr>
            <w:tcW w:w="7692" w:type="dxa"/>
            <w:tcBorders>
              <w:bottom w:val="single" w:sz="4" w:space="0" w:color="BEBEBE"/>
            </w:tcBorders>
          </w:tcPr>
          <w:p w14:paraId="5310AAA8" w14:textId="77777777" w:rsidR="00BC24A8" w:rsidRDefault="00000000">
            <w:pPr>
              <w:pStyle w:val="TableParagraph"/>
              <w:numPr>
                <w:ilvl w:val="0"/>
                <w:numId w:val="35"/>
              </w:numPr>
              <w:tabs>
                <w:tab w:val="left" w:pos="516"/>
              </w:tabs>
              <w:spacing w:before="162" w:line="219" w:lineRule="exact"/>
              <w:rPr>
                <w:sz w:val="18"/>
              </w:rPr>
            </w:pPr>
            <w:r>
              <w:rPr>
                <w:sz w:val="18"/>
              </w:rPr>
              <w:t>18</w:t>
            </w:r>
            <w:r>
              <w:rPr>
                <w:spacing w:val="-4"/>
                <w:sz w:val="18"/>
              </w:rPr>
              <w:t xml:space="preserve"> </w:t>
            </w:r>
            <w:r>
              <w:rPr>
                <w:sz w:val="18"/>
              </w:rPr>
              <w:t>people</w:t>
            </w:r>
            <w:r>
              <w:rPr>
                <w:spacing w:val="-2"/>
                <w:sz w:val="18"/>
              </w:rPr>
              <w:t xml:space="preserve"> </w:t>
            </w:r>
            <w:r>
              <w:rPr>
                <w:sz w:val="18"/>
              </w:rPr>
              <w:t>received</w:t>
            </w:r>
            <w:r>
              <w:rPr>
                <w:spacing w:val="-1"/>
                <w:sz w:val="18"/>
              </w:rPr>
              <w:t xml:space="preserve"> </w:t>
            </w:r>
            <w:r>
              <w:rPr>
                <w:sz w:val="18"/>
              </w:rPr>
              <w:t>training</w:t>
            </w:r>
            <w:r>
              <w:rPr>
                <w:spacing w:val="-2"/>
                <w:sz w:val="18"/>
              </w:rPr>
              <w:t xml:space="preserve"> </w:t>
            </w:r>
            <w:r>
              <w:rPr>
                <w:sz w:val="18"/>
              </w:rPr>
              <w:t>in</w:t>
            </w:r>
            <w:r>
              <w:rPr>
                <w:spacing w:val="-2"/>
                <w:sz w:val="18"/>
              </w:rPr>
              <w:t xml:space="preserve"> </w:t>
            </w:r>
            <w:r>
              <w:rPr>
                <w:sz w:val="18"/>
              </w:rPr>
              <w:t>MSS</w:t>
            </w:r>
            <w:r>
              <w:rPr>
                <w:spacing w:val="-1"/>
                <w:sz w:val="18"/>
              </w:rPr>
              <w:t xml:space="preserve"> </w:t>
            </w:r>
            <w:r>
              <w:rPr>
                <w:sz w:val="18"/>
              </w:rPr>
              <w:t>Action</w:t>
            </w:r>
            <w:r>
              <w:rPr>
                <w:spacing w:val="-2"/>
                <w:sz w:val="18"/>
              </w:rPr>
              <w:t xml:space="preserve"> </w:t>
            </w:r>
            <w:r>
              <w:rPr>
                <w:sz w:val="18"/>
              </w:rPr>
              <w:t>Plan</w:t>
            </w:r>
            <w:r>
              <w:rPr>
                <w:spacing w:val="-2"/>
                <w:sz w:val="18"/>
              </w:rPr>
              <w:t xml:space="preserve"> </w:t>
            </w:r>
            <w:r>
              <w:rPr>
                <w:sz w:val="18"/>
              </w:rPr>
              <w:t>preparation</w:t>
            </w:r>
            <w:r>
              <w:rPr>
                <w:spacing w:val="-1"/>
                <w:sz w:val="18"/>
              </w:rPr>
              <w:t xml:space="preserve"> </w:t>
            </w:r>
            <w:r>
              <w:rPr>
                <w:sz w:val="18"/>
              </w:rPr>
              <w:t>(11</w:t>
            </w:r>
            <w:r>
              <w:rPr>
                <w:spacing w:val="-2"/>
                <w:sz w:val="18"/>
              </w:rPr>
              <w:t xml:space="preserve"> </w:t>
            </w:r>
            <w:r>
              <w:rPr>
                <w:sz w:val="18"/>
              </w:rPr>
              <w:t>men,</w:t>
            </w:r>
            <w:r>
              <w:rPr>
                <w:spacing w:val="-2"/>
                <w:sz w:val="18"/>
              </w:rPr>
              <w:t xml:space="preserve"> </w:t>
            </w:r>
            <w:r>
              <w:rPr>
                <w:sz w:val="18"/>
              </w:rPr>
              <w:t>7</w:t>
            </w:r>
            <w:r>
              <w:rPr>
                <w:spacing w:val="-1"/>
                <w:sz w:val="18"/>
              </w:rPr>
              <w:t xml:space="preserve"> </w:t>
            </w:r>
            <w:r>
              <w:rPr>
                <w:spacing w:val="-2"/>
                <w:sz w:val="18"/>
              </w:rPr>
              <w:t>women).</w:t>
            </w:r>
          </w:p>
          <w:p w14:paraId="416FC679" w14:textId="77777777" w:rsidR="00BC24A8" w:rsidRDefault="00000000">
            <w:pPr>
              <w:pStyle w:val="TableParagraph"/>
              <w:numPr>
                <w:ilvl w:val="0"/>
                <w:numId w:val="35"/>
              </w:numPr>
              <w:tabs>
                <w:tab w:val="left" w:pos="516"/>
              </w:tabs>
              <w:spacing w:line="219" w:lineRule="exact"/>
              <w:rPr>
                <w:sz w:val="18"/>
              </w:rPr>
            </w:pPr>
            <w:r>
              <w:rPr>
                <w:sz w:val="18"/>
              </w:rPr>
              <w:t>MSS</w:t>
            </w:r>
            <w:r>
              <w:rPr>
                <w:spacing w:val="-2"/>
                <w:sz w:val="18"/>
              </w:rPr>
              <w:t xml:space="preserve"> </w:t>
            </w:r>
            <w:r>
              <w:rPr>
                <w:sz w:val="18"/>
              </w:rPr>
              <w:t>index</w:t>
            </w:r>
            <w:r>
              <w:rPr>
                <w:spacing w:val="-2"/>
                <w:sz w:val="18"/>
              </w:rPr>
              <w:t xml:space="preserve"> </w:t>
            </w:r>
            <w:r>
              <w:rPr>
                <w:sz w:val="18"/>
              </w:rPr>
              <w:t>achievement</w:t>
            </w:r>
            <w:r>
              <w:rPr>
                <w:spacing w:val="-1"/>
                <w:sz w:val="18"/>
              </w:rPr>
              <w:t xml:space="preserve"> </w:t>
            </w:r>
            <w:r>
              <w:rPr>
                <w:sz w:val="18"/>
              </w:rPr>
              <w:t>increased</w:t>
            </w:r>
            <w:r>
              <w:rPr>
                <w:spacing w:val="-1"/>
                <w:sz w:val="18"/>
              </w:rPr>
              <w:t xml:space="preserve"> </w:t>
            </w:r>
            <w:r>
              <w:rPr>
                <w:sz w:val="18"/>
              </w:rPr>
              <w:t>from</w:t>
            </w:r>
            <w:r>
              <w:rPr>
                <w:spacing w:val="-3"/>
                <w:sz w:val="18"/>
              </w:rPr>
              <w:t xml:space="preserve"> </w:t>
            </w:r>
            <w:r>
              <w:rPr>
                <w:sz w:val="18"/>
              </w:rPr>
              <w:t>33.6%</w:t>
            </w:r>
            <w:r>
              <w:rPr>
                <w:spacing w:val="-1"/>
                <w:sz w:val="18"/>
              </w:rPr>
              <w:t xml:space="preserve"> </w:t>
            </w:r>
            <w:r>
              <w:rPr>
                <w:sz w:val="18"/>
              </w:rPr>
              <w:t>in</w:t>
            </w:r>
            <w:r>
              <w:rPr>
                <w:spacing w:val="-2"/>
                <w:sz w:val="18"/>
              </w:rPr>
              <w:t xml:space="preserve"> </w:t>
            </w:r>
            <w:r>
              <w:rPr>
                <w:sz w:val="18"/>
              </w:rPr>
              <w:t>2023</w:t>
            </w:r>
            <w:r>
              <w:rPr>
                <w:spacing w:val="-1"/>
                <w:sz w:val="18"/>
              </w:rPr>
              <w:t xml:space="preserve"> </w:t>
            </w:r>
            <w:r>
              <w:rPr>
                <w:sz w:val="18"/>
              </w:rPr>
              <w:t>to</w:t>
            </w:r>
            <w:r>
              <w:rPr>
                <w:spacing w:val="-3"/>
                <w:sz w:val="18"/>
              </w:rPr>
              <w:t xml:space="preserve"> </w:t>
            </w:r>
            <w:r>
              <w:rPr>
                <w:sz w:val="18"/>
              </w:rPr>
              <w:t>40%</w:t>
            </w:r>
            <w:r>
              <w:rPr>
                <w:spacing w:val="-1"/>
                <w:sz w:val="18"/>
              </w:rPr>
              <w:t xml:space="preserve"> </w:t>
            </w:r>
            <w:r>
              <w:rPr>
                <w:sz w:val="18"/>
              </w:rPr>
              <w:t>in</w:t>
            </w:r>
            <w:r>
              <w:rPr>
                <w:spacing w:val="-1"/>
                <w:sz w:val="18"/>
              </w:rPr>
              <w:t xml:space="preserve"> </w:t>
            </w:r>
            <w:r>
              <w:rPr>
                <w:spacing w:val="-2"/>
                <w:sz w:val="18"/>
              </w:rPr>
              <w:t>2024.</w:t>
            </w:r>
          </w:p>
          <w:p w14:paraId="781DE8D2" w14:textId="77777777" w:rsidR="00BC24A8" w:rsidRDefault="00000000">
            <w:pPr>
              <w:pStyle w:val="TableParagraph"/>
              <w:numPr>
                <w:ilvl w:val="0"/>
                <w:numId w:val="35"/>
              </w:numPr>
              <w:tabs>
                <w:tab w:val="left" w:pos="516"/>
              </w:tabs>
              <w:spacing w:before="1"/>
              <w:ind w:right="275"/>
              <w:rPr>
                <w:sz w:val="18"/>
              </w:rPr>
            </w:pPr>
            <w:r>
              <w:rPr>
                <w:sz w:val="18"/>
              </w:rPr>
              <w:t>66</w:t>
            </w:r>
            <w:r>
              <w:rPr>
                <w:spacing w:val="-3"/>
                <w:sz w:val="18"/>
              </w:rPr>
              <w:t xml:space="preserve"> </w:t>
            </w:r>
            <w:r>
              <w:rPr>
                <w:sz w:val="18"/>
              </w:rPr>
              <w:t>participants</w:t>
            </w:r>
            <w:r>
              <w:rPr>
                <w:spacing w:val="-3"/>
                <w:sz w:val="18"/>
              </w:rPr>
              <w:t xml:space="preserve"> </w:t>
            </w:r>
            <w:r>
              <w:rPr>
                <w:sz w:val="18"/>
              </w:rPr>
              <w:t>from</w:t>
            </w:r>
            <w:r>
              <w:rPr>
                <w:spacing w:val="-4"/>
                <w:sz w:val="18"/>
              </w:rPr>
              <w:t xml:space="preserve"> </w:t>
            </w:r>
            <w:r>
              <w:rPr>
                <w:sz w:val="18"/>
              </w:rPr>
              <w:t>Papua</w:t>
            </w:r>
            <w:r>
              <w:rPr>
                <w:spacing w:val="-4"/>
                <w:sz w:val="18"/>
              </w:rPr>
              <w:t xml:space="preserve"> </w:t>
            </w:r>
            <w:r>
              <w:rPr>
                <w:sz w:val="18"/>
              </w:rPr>
              <w:t>Barat,</w:t>
            </w:r>
            <w:r>
              <w:rPr>
                <w:spacing w:val="34"/>
                <w:sz w:val="18"/>
              </w:rPr>
              <w:t xml:space="preserve"> </w:t>
            </w:r>
            <w:r>
              <w:rPr>
                <w:sz w:val="18"/>
              </w:rPr>
              <w:t>Papua</w:t>
            </w:r>
            <w:r>
              <w:rPr>
                <w:spacing w:val="-4"/>
                <w:sz w:val="18"/>
              </w:rPr>
              <w:t xml:space="preserve"> </w:t>
            </w:r>
            <w:r>
              <w:rPr>
                <w:sz w:val="18"/>
              </w:rPr>
              <w:t>Barat</w:t>
            </w:r>
            <w:r>
              <w:rPr>
                <w:spacing w:val="-2"/>
                <w:sz w:val="18"/>
              </w:rPr>
              <w:t xml:space="preserve"> </w:t>
            </w:r>
            <w:r>
              <w:rPr>
                <w:sz w:val="18"/>
              </w:rPr>
              <w:t>Daya,</w:t>
            </w:r>
            <w:r>
              <w:rPr>
                <w:spacing w:val="-2"/>
                <w:sz w:val="18"/>
              </w:rPr>
              <w:t xml:space="preserve"> </w:t>
            </w:r>
            <w:r>
              <w:rPr>
                <w:sz w:val="18"/>
              </w:rPr>
              <w:t>and</w:t>
            </w:r>
            <w:r>
              <w:rPr>
                <w:spacing w:val="-3"/>
                <w:sz w:val="18"/>
              </w:rPr>
              <w:t xml:space="preserve"> </w:t>
            </w:r>
            <w:r>
              <w:rPr>
                <w:sz w:val="18"/>
              </w:rPr>
              <w:t>Papua</w:t>
            </w:r>
            <w:r>
              <w:rPr>
                <w:spacing w:val="-4"/>
                <w:sz w:val="18"/>
              </w:rPr>
              <w:t xml:space="preserve"> </w:t>
            </w:r>
            <w:r>
              <w:rPr>
                <w:sz w:val="18"/>
              </w:rPr>
              <w:t>Tengah</w:t>
            </w:r>
            <w:r>
              <w:rPr>
                <w:spacing w:val="-3"/>
                <w:sz w:val="18"/>
              </w:rPr>
              <w:t xml:space="preserve"> </w:t>
            </w:r>
            <w:r>
              <w:rPr>
                <w:sz w:val="18"/>
              </w:rPr>
              <w:t>clusters</w:t>
            </w:r>
            <w:r>
              <w:rPr>
                <w:spacing w:val="-3"/>
                <w:sz w:val="18"/>
              </w:rPr>
              <w:t xml:space="preserve"> </w:t>
            </w:r>
            <w:r>
              <w:rPr>
                <w:sz w:val="18"/>
              </w:rPr>
              <w:t>participated</w:t>
            </w:r>
            <w:r>
              <w:rPr>
                <w:spacing w:val="-3"/>
                <w:sz w:val="18"/>
              </w:rPr>
              <w:t xml:space="preserve"> </w:t>
            </w:r>
            <w:r>
              <w:rPr>
                <w:sz w:val="18"/>
              </w:rPr>
              <w:t>in an orientation on the use of musrenbangsus and SIPPP guidelines.</w:t>
            </w:r>
          </w:p>
          <w:p w14:paraId="2E79AA77" w14:textId="77777777" w:rsidR="00BC24A8" w:rsidRDefault="00000000">
            <w:pPr>
              <w:pStyle w:val="TableParagraph"/>
              <w:numPr>
                <w:ilvl w:val="0"/>
                <w:numId w:val="35"/>
              </w:numPr>
              <w:tabs>
                <w:tab w:val="left" w:pos="516"/>
              </w:tabs>
              <w:spacing w:line="219" w:lineRule="exact"/>
              <w:rPr>
                <w:sz w:val="18"/>
              </w:rPr>
            </w:pPr>
            <w:r>
              <w:rPr>
                <w:sz w:val="18"/>
              </w:rPr>
              <w:t>1,948</w:t>
            </w:r>
            <w:r>
              <w:rPr>
                <w:spacing w:val="-3"/>
                <w:sz w:val="18"/>
              </w:rPr>
              <w:t xml:space="preserve"> </w:t>
            </w:r>
            <w:r>
              <w:rPr>
                <w:sz w:val="18"/>
              </w:rPr>
              <w:t>regional</w:t>
            </w:r>
            <w:r>
              <w:rPr>
                <w:spacing w:val="-2"/>
                <w:sz w:val="18"/>
              </w:rPr>
              <w:t xml:space="preserve"> </w:t>
            </w:r>
            <w:r>
              <w:rPr>
                <w:sz w:val="18"/>
              </w:rPr>
              <w:t>sectoral</w:t>
            </w:r>
            <w:r>
              <w:rPr>
                <w:spacing w:val="-2"/>
                <w:sz w:val="18"/>
              </w:rPr>
              <w:t xml:space="preserve"> </w:t>
            </w:r>
            <w:r>
              <w:rPr>
                <w:sz w:val="18"/>
              </w:rPr>
              <w:t>datasets</w:t>
            </w:r>
            <w:r>
              <w:rPr>
                <w:spacing w:val="-2"/>
                <w:sz w:val="18"/>
              </w:rPr>
              <w:t xml:space="preserve"> </w:t>
            </w:r>
            <w:r>
              <w:rPr>
                <w:sz w:val="18"/>
              </w:rPr>
              <w:t>identified</w:t>
            </w:r>
            <w:r>
              <w:rPr>
                <w:spacing w:val="-3"/>
                <w:sz w:val="18"/>
              </w:rPr>
              <w:t xml:space="preserve"> </w:t>
            </w:r>
            <w:r>
              <w:rPr>
                <w:sz w:val="18"/>
              </w:rPr>
              <w:t>and</w:t>
            </w:r>
            <w:r>
              <w:rPr>
                <w:spacing w:val="-2"/>
                <w:sz w:val="18"/>
              </w:rPr>
              <w:t xml:space="preserve"> </w:t>
            </w:r>
            <w:r>
              <w:rPr>
                <w:sz w:val="18"/>
              </w:rPr>
              <w:t>entered</w:t>
            </w:r>
            <w:r>
              <w:rPr>
                <w:spacing w:val="-6"/>
                <w:sz w:val="18"/>
              </w:rPr>
              <w:t xml:space="preserve"> </w:t>
            </w:r>
            <w:r>
              <w:rPr>
                <w:sz w:val="18"/>
              </w:rPr>
              <w:t>into</w:t>
            </w:r>
            <w:r>
              <w:rPr>
                <w:spacing w:val="-3"/>
                <w:sz w:val="18"/>
              </w:rPr>
              <w:t xml:space="preserve"> </w:t>
            </w:r>
            <w:r>
              <w:rPr>
                <w:sz w:val="18"/>
              </w:rPr>
              <w:t>e-</w:t>
            </w:r>
            <w:r>
              <w:rPr>
                <w:spacing w:val="-2"/>
                <w:sz w:val="18"/>
              </w:rPr>
              <w:t>Walidata.</w:t>
            </w:r>
          </w:p>
        </w:tc>
      </w:tr>
      <w:tr w:rsidR="00BC24A8" w14:paraId="4928AC99" w14:textId="77777777">
        <w:trPr>
          <w:trHeight w:val="1552"/>
        </w:trPr>
        <w:tc>
          <w:tcPr>
            <w:tcW w:w="1407" w:type="dxa"/>
            <w:tcBorders>
              <w:top w:val="single" w:sz="4" w:space="0" w:color="BEBEBE"/>
              <w:bottom w:val="single" w:sz="4" w:space="0" w:color="BEBEBE"/>
            </w:tcBorders>
          </w:tcPr>
          <w:p w14:paraId="25B0F9D2" w14:textId="77777777" w:rsidR="00BC24A8" w:rsidRDefault="00000000">
            <w:pPr>
              <w:pStyle w:val="TableParagraph"/>
              <w:spacing w:before="116"/>
              <w:ind w:left="116" w:right="6"/>
              <w:rPr>
                <w:sz w:val="18"/>
              </w:rPr>
            </w:pPr>
            <w:r>
              <w:rPr>
                <w:spacing w:val="-2"/>
                <w:sz w:val="18"/>
              </w:rPr>
              <w:t>Ecosystem</w:t>
            </w:r>
            <w:r>
              <w:rPr>
                <w:sz w:val="18"/>
              </w:rPr>
              <w:t xml:space="preserve"> </w:t>
            </w:r>
            <w:r>
              <w:rPr>
                <w:spacing w:val="-2"/>
                <w:sz w:val="18"/>
              </w:rPr>
              <w:t>Impacts</w:t>
            </w:r>
          </w:p>
        </w:tc>
        <w:tc>
          <w:tcPr>
            <w:tcW w:w="7692" w:type="dxa"/>
            <w:tcBorders>
              <w:top w:val="single" w:sz="4" w:space="0" w:color="BEBEBE"/>
              <w:bottom w:val="single" w:sz="4" w:space="0" w:color="BEBEBE"/>
            </w:tcBorders>
          </w:tcPr>
          <w:p w14:paraId="116CBC57" w14:textId="77777777" w:rsidR="00BC24A8" w:rsidRDefault="00000000">
            <w:pPr>
              <w:pStyle w:val="TableParagraph"/>
              <w:numPr>
                <w:ilvl w:val="0"/>
                <w:numId w:val="34"/>
              </w:numPr>
              <w:tabs>
                <w:tab w:val="left" w:pos="516"/>
              </w:tabs>
              <w:spacing w:before="116"/>
              <w:rPr>
                <w:sz w:val="18"/>
              </w:rPr>
            </w:pPr>
            <w:r>
              <w:rPr>
                <w:sz w:val="18"/>
              </w:rPr>
              <w:t>Governor</w:t>
            </w:r>
            <w:r>
              <w:rPr>
                <w:spacing w:val="-3"/>
                <w:sz w:val="18"/>
              </w:rPr>
              <w:t xml:space="preserve"> </w:t>
            </w:r>
            <w:r>
              <w:rPr>
                <w:sz w:val="18"/>
              </w:rPr>
              <w:t>Regulation</w:t>
            </w:r>
            <w:r>
              <w:rPr>
                <w:spacing w:val="-2"/>
                <w:sz w:val="18"/>
              </w:rPr>
              <w:t xml:space="preserve"> </w:t>
            </w:r>
            <w:r>
              <w:rPr>
                <w:sz w:val="18"/>
              </w:rPr>
              <w:t>on</w:t>
            </w:r>
            <w:r>
              <w:rPr>
                <w:spacing w:val="-2"/>
                <w:sz w:val="18"/>
              </w:rPr>
              <w:t xml:space="preserve"> </w:t>
            </w:r>
            <w:r>
              <w:rPr>
                <w:sz w:val="18"/>
              </w:rPr>
              <w:t>Regional</w:t>
            </w:r>
            <w:r>
              <w:rPr>
                <w:spacing w:val="-4"/>
                <w:sz w:val="18"/>
              </w:rPr>
              <w:t xml:space="preserve"> </w:t>
            </w:r>
            <w:r>
              <w:rPr>
                <w:sz w:val="18"/>
              </w:rPr>
              <w:t>One</w:t>
            </w:r>
            <w:r>
              <w:rPr>
                <w:spacing w:val="-2"/>
                <w:sz w:val="18"/>
              </w:rPr>
              <w:t xml:space="preserve"> </w:t>
            </w:r>
            <w:r>
              <w:rPr>
                <w:spacing w:val="-4"/>
                <w:sz w:val="18"/>
              </w:rPr>
              <w:t>Data.</w:t>
            </w:r>
          </w:p>
          <w:p w14:paraId="13822149" w14:textId="77777777" w:rsidR="00BC24A8" w:rsidRDefault="00000000">
            <w:pPr>
              <w:pStyle w:val="TableParagraph"/>
              <w:numPr>
                <w:ilvl w:val="0"/>
                <w:numId w:val="34"/>
              </w:numPr>
              <w:tabs>
                <w:tab w:val="left" w:pos="516"/>
              </w:tabs>
              <w:spacing w:before="1" w:line="219" w:lineRule="exact"/>
              <w:rPr>
                <w:sz w:val="18"/>
              </w:rPr>
            </w:pPr>
            <w:r>
              <w:rPr>
                <w:sz w:val="18"/>
              </w:rPr>
              <w:t>Governor’s</w:t>
            </w:r>
            <w:r>
              <w:rPr>
                <w:spacing w:val="-3"/>
                <w:sz w:val="18"/>
              </w:rPr>
              <w:t xml:space="preserve"> </w:t>
            </w:r>
            <w:r>
              <w:rPr>
                <w:sz w:val="18"/>
              </w:rPr>
              <w:t>Decree</w:t>
            </w:r>
            <w:r>
              <w:rPr>
                <w:spacing w:val="-2"/>
                <w:sz w:val="18"/>
              </w:rPr>
              <w:t xml:space="preserve"> </w:t>
            </w:r>
            <w:r>
              <w:rPr>
                <w:sz w:val="18"/>
              </w:rPr>
              <w:t>on</w:t>
            </w:r>
            <w:r>
              <w:rPr>
                <w:spacing w:val="-2"/>
                <w:sz w:val="18"/>
              </w:rPr>
              <w:t xml:space="preserve"> </w:t>
            </w:r>
            <w:r>
              <w:rPr>
                <w:sz w:val="18"/>
              </w:rPr>
              <w:t>Regional</w:t>
            </w:r>
            <w:r>
              <w:rPr>
                <w:spacing w:val="-1"/>
                <w:sz w:val="18"/>
              </w:rPr>
              <w:t xml:space="preserve"> </w:t>
            </w:r>
            <w:r>
              <w:rPr>
                <w:sz w:val="18"/>
              </w:rPr>
              <w:t>One</w:t>
            </w:r>
            <w:r>
              <w:rPr>
                <w:spacing w:val="-2"/>
                <w:sz w:val="18"/>
              </w:rPr>
              <w:t xml:space="preserve"> </w:t>
            </w:r>
            <w:r>
              <w:rPr>
                <w:sz w:val="18"/>
              </w:rPr>
              <w:t>Data</w:t>
            </w:r>
            <w:r>
              <w:rPr>
                <w:spacing w:val="-3"/>
                <w:sz w:val="18"/>
              </w:rPr>
              <w:t xml:space="preserve"> </w:t>
            </w:r>
            <w:r>
              <w:rPr>
                <w:spacing w:val="-2"/>
                <w:sz w:val="18"/>
              </w:rPr>
              <w:t>Forum.</w:t>
            </w:r>
          </w:p>
          <w:p w14:paraId="0243B288" w14:textId="77777777" w:rsidR="00BC24A8" w:rsidRDefault="00000000">
            <w:pPr>
              <w:pStyle w:val="TableParagraph"/>
              <w:numPr>
                <w:ilvl w:val="0"/>
                <w:numId w:val="34"/>
              </w:numPr>
              <w:tabs>
                <w:tab w:val="left" w:pos="516"/>
              </w:tabs>
              <w:spacing w:line="219" w:lineRule="exact"/>
              <w:rPr>
                <w:sz w:val="18"/>
              </w:rPr>
            </w:pPr>
            <w:r>
              <w:rPr>
                <w:sz w:val="18"/>
              </w:rPr>
              <w:t>Governor’s</w:t>
            </w:r>
            <w:r>
              <w:rPr>
                <w:spacing w:val="-5"/>
                <w:sz w:val="18"/>
              </w:rPr>
              <w:t xml:space="preserve"> </w:t>
            </w:r>
            <w:r>
              <w:rPr>
                <w:sz w:val="18"/>
              </w:rPr>
              <w:t>Decree</w:t>
            </w:r>
            <w:r>
              <w:rPr>
                <w:spacing w:val="-3"/>
                <w:sz w:val="18"/>
              </w:rPr>
              <w:t xml:space="preserve"> </w:t>
            </w:r>
            <w:r>
              <w:rPr>
                <w:sz w:val="18"/>
              </w:rPr>
              <w:t>on</w:t>
            </w:r>
            <w:r>
              <w:rPr>
                <w:spacing w:val="-3"/>
                <w:sz w:val="18"/>
              </w:rPr>
              <w:t xml:space="preserve"> </w:t>
            </w:r>
            <w:r>
              <w:rPr>
                <w:sz w:val="18"/>
              </w:rPr>
              <w:t>Dissemination</w:t>
            </w:r>
            <w:r>
              <w:rPr>
                <w:spacing w:val="-3"/>
                <w:sz w:val="18"/>
              </w:rPr>
              <w:t xml:space="preserve"> </w:t>
            </w:r>
            <w:r>
              <w:rPr>
                <w:sz w:val="18"/>
              </w:rPr>
              <w:t>of</w:t>
            </w:r>
            <w:r>
              <w:rPr>
                <w:spacing w:val="-3"/>
                <w:sz w:val="18"/>
              </w:rPr>
              <w:t xml:space="preserve"> </w:t>
            </w:r>
            <w:r>
              <w:rPr>
                <w:sz w:val="18"/>
              </w:rPr>
              <w:t>Regional</w:t>
            </w:r>
            <w:r>
              <w:rPr>
                <w:spacing w:val="-2"/>
                <w:sz w:val="18"/>
              </w:rPr>
              <w:t xml:space="preserve"> </w:t>
            </w:r>
            <w:r>
              <w:rPr>
                <w:sz w:val="18"/>
              </w:rPr>
              <w:t>Sectoral</w:t>
            </w:r>
            <w:r>
              <w:rPr>
                <w:spacing w:val="-2"/>
                <w:sz w:val="18"/>
              </w:rPr>
              <w:t xml:space="preserve"> </w:t>
            </w:r>
            <w:r>
              <w:rPr>
                <w:sz w:val="18"/>
              </w:rPr>
              <w:t>Statistical</w:t>
            </w:r>
            <w:r>
              <w:rPr>
                <w:spacing w:val="-4"/>
                <w:sz w:val="18"/>
              </w:rPr>
              <w:t xml:space="preserve"> </w:t>
            </w:r>
            <w:r>
              <w:rPr>
                <w:spacing w:val="-2"/>
                <w:sz w:val="18"/>
              </w:rPr>
              <w:t>Data.</w:t>
            </w:r>
          </w:p>
          <w:p w14:paraId="7A24CA0B" w14:textId="77777777" w:rsidR="00BC24A8" w:rsidRDefault="00000000">
            <w:pPr>
              <w:pStyle w:val="TableParagraph"/>
              <w:numPr>
                <w:ilvl w:val="0"/>
                <w:numId w:val="34"/>
              </w:numPr>
              <w:tabs>
                <w:tab w:val="left" w:pos="516"/>
              </w:tabs>
              <w:spacing w:before="1" w:line="219" w:lineRule="exact"/>
              <w:rPr>
                <w:sz w:val="18"/>
              </w:rPr>
            </w:pPr>
            <w:r>
              <w:rPr>
                <w:sz w:val="18"/>
              </w:rPr>
              <w:t>Governor’s</w:t>
            </w:r>
            <w:r>
              <w:rPr>
                <w:spacing w:val="-3"/>
                <w:sz w:val="18"/>
              </w:rPr>
              <w:t xml:space="preserve"> </w:t>
            </w:r>
            <w:r>
              <w:rPr>
                <w:sz w:val="18"/>
              </w:rPr>
              <w:t>Decree</w:t>
            </w:r>
            <w:r>
              <w:rPr>
                <w:spacing w:val="-2"/>
                <w:sz w:val="18"/>
              </w:rPr>
              <w:t xml:space="preserve"> </w:t>
            </w:r>
            <w:r>
              <w:rPr>
                <w:sz w:val="18"/>
              </w:rPr>
              <w:t>on</w:t>
            </w:r>
            <w:r>
              <w:rPr>
                <w:spacing w:val="-3"/>
                <w:sz w:val="18"/>
              </w:rPr>
              <w:t xml:space="preserve"> </w:t>
            </w:r>
            <w:r>
              <w:rPr>
                <w:sz w:val="18"/>
              </w:rPr>
              <w:t>SEPAKAT</w:t>
            </w:r>
            <w:r>
              <w:rPr>
                <w:spacing w:val="-3"/>
                <w:sz w:val="18"/>
              </w:rPr>
              <w:t xml:space="preserve"> </w:t>
            </w:r>
            <w:r>
              <w:rPr>
                <w:sz w:val="18"/>
              </w:rPr>
              <w:t>Account</w:t>
            </w:r>
            <w:r>
              <w:rPr>
                <w:spacing w:val="-1"/>
                <w:sz w:val="18"/>
              </w:rPr>
              <w:t xml:space="preserve"> </w:t>
            </w:r>
            <w:r>
              <w:rPr>
                <w:spacing w:val="-2"/>
                <w:sz w:val="18"/>
              </w:rPr>
              <w:t>Manager.</w:t>
            </w:r>
          </w:p>
          <w:p w14:paraId="70680281" w14:textId="77777777" w:rsidR="00BC24A8" w:rsidRDefault="00000000">
            <w:pPr>
              <w:pStyle w:val="TableParagraph"/>
              <w:numPr>
                <w:ilvl w:val="0"/>
                <w:numId w:val="34"/>
              </w:numPr>
              <w:tabs>
                <w:tab w:val="left" w:pos="516"/>
              </w:tabs>
              <w:spacing w:line="219" w:lineRule="exact"/>
              <w:rPr>
                <w:sz w:val="18"/>
              </w:rPr>
            </w:pPr>
            <w:r>
              <w:rPr>
                <w:sz w:val="18"/>
              </w:rPr>
              <w:t>Allocation</w:t>
            </w:r>
            <w:r>
              <w:rPr>
                <w:spacing w:val="-4"/>
                <w:sz w:val="18"/>
              </w:rPr>
              <w:t xml:space="preserve"> </w:t>
            </w:r>
            <w:r>
              <w:rPr>
                <w:sz w:val="18"/>
              </w:rPr>
              <w:t>of</w:t>
            </w:r>
            <w:r>
              <w:rPr>
                <w:spacing w:val="-2"/>
                <w:sz w:val="18"/>
              </w:rPr>
              <w:t xml:space="preserve"> </w:t>
            </w:r>
            <w:r>
              <w:rPr>
                <w:sz w:val="18"/>
              </w:rPr>
              <w:t>IDR</w:t>
            </w:r>
            <w:r>
              <w:rPr>
                <w:spacing w:val="-2"/>
                <w:sz w:val="18"/>
              </w:rPr>
              <w:t xml:space="preserve"> </w:t>
            </w:r>
            <w:r>
              <w:rPr>
                <w:sz w:val="18"/>
              </w:rPr>
              <w:t>100</w:t>
            </w:r>
            <w:r>
              <w:rPr>
                <w:spacing w:val="-1"/>
                <w:sz w:val="18"/>
              </w:rPr>
              <w:t xml:space="preserve"> </w:t>
            </w:r>
            <w:r>
              <w:rPr>
                <w:sz w:val="18"/>
              </w:rPr>
              <w:t>million</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Regional One</w:t>
            </w:r>
            <w:r>
              <w:rPr>
                <w:spacing w:val="-2"/>
                <w:sz w:val="18"/>
              </w:rPr>
              <w:t xml:space="preserve"> </w:t>
            </w:r>
            <w:r>
              <w:rPr>
                <w:sz w:val="18"/>
              </w:rPr>
              <w:t>Data</w:t>
            </w:r>
            <w:r>
              <w:rPr>
                <w:spacing w:val="-2"/>
                <w:sz w:val="18"/>
              </w:rPr>
              <w:t xml:space="preserve"> </w:t>
            </w:r>
            <w:r>
              <w:rPr>
                <w:sz w:val="18"/>
              </w:rPr>
              <w:t>Forum</w:t>
            </w:r>
            <w:r>
              <w:rPr>
                <w:spacing w:val="-2"/>
                <w:sz w:val="18"/>
              </w:rPr>
              <w:t xml:space="preserve"> </w:t>
            </w:r>
            <w:r>
              <w:rPr>
                <w:sz w:val="18"/>
              </w:rPr>
              <w:t>to</w:t>
            </w:r>
            <w:r>
              <w:rPr>
                <w:spacing w:val="-3"/>
                <w:sz w:val="18"/>
              </w:rPr>
              <w:t xml:space="preserve"> </w:t>
            </w:r>
            <w:r>
              <w:rPr>
                <w:sz w:val="18"/>
              </w:rPr>
              <w:t>conduct strategic</w:t>
            </w:r>
            <w:r>
              <w:rPr>
                <w:spacing w:val="-1"/>
                <w:sz w:val="18"/>
              </w:rPr>
              <w:t xml:space="preserve"> </w:t>
            </w:r>
            <w:r>
              <w:rPr>
                <w:spacing w:val="-2"/>
                <w:sz w:val="18"/>
              </w:rPr>
              <w:t>meetings.</w:t>
            </w:r>
          </w:p>
          <w:p w14:paraId="6134FF07" w14:textId="77777777" w:rsidR="00BC24A8" w:rsidRDefault="00000000">
            <w:pPr>
              <w:pStyle w:val="TableParagraph"/>
              <w:numPr>
                <w:ilvl w:val="0"/>
                <w:numId w:val="34"/>
              </w:numPr>
              <w:tabs>
                <w:tab w:val="left" w:pos="516"/>
              </w:tabs>
              <w:spacing w:before="2"/>
              <w:rPr>
                <w:sz w:val="18"/>
              </w:rPr>
            </w:pPr>
            <w:r>
              <w:rPr>
                <w:sz w:val="18"/>
              </w:rPr>
              <w:t>7,328</w:t>
            </w:r>
            <w:r>
              <w:rPr>
                <w:spacing w:val="-5"/>
                <w:sz w:val="18"/>
              </w:rPr>
              <w:t xml:space="preserve"> </w:t>
            </w:r>
            <w:r>
              <w:rPr>
                <w:sz w:val="18"/>
              </w:rPr>
              <w:t>elderly</w:t>
            </w:r>
            <w:r>
              <w:rPr>
                <w:spacing w:val="-2"/>
                <w:sz w:val="18"/>
              </w:rPr>
              <w:t xml:space="preserve"> </w:t>
            </w:r>
            <w:r>
              <w:rPr>
                <w:sz w:val="18"/>
              </w:rPr>
              <w:t>in</w:t>
            </w:r>
            <w:r>
              <w:rPr>
                <w:spacing w:val="-2"/>
                <w:sz w:val="18"/>
              </w:rPr>
              <w:t xml:space="preserve"> </w:t>
            </w:r>
            <w:r>
              <w:rPr>
                <w:sz w:val="18"/>
              </w:rPr>
              <w:t>6</w:t>
            </w:r>
            <w:r>
              <w:rPr>
                <w:spacing w:val="-2"/>
                <w:sz w:val="18"/>
              </w:rPr>
              <w:t xml:space="preserve"> </w:t>
            </w:r>
            <w:r>
              <w:rPr>
                <w:sz w:val="18"/>
              </w:rPr>
              <w:t>districts/cities</w:t>
            </w:r>
            <w:r>
              <w:rPr>
                <w:spacing w:val="-2"/>
                <w:sz w:val="18"/>
              </w:rPr>
              <w:t xml:space="preserve"> </w:t>
            </w:r>
            <w:r>
              <w:rPr>
                <w:sz w:val="18"/>
              </w:rPr>
              <w:t>received</w:t>
            </w:r>
            <w:r>
              <w:rPr>
                <w:spacing w:val="-2"/>
                <w:sz w:val="18"/>
              </w:rPr>
              <w:t xml:space="preserve"> </w:t>
            </w:r>
            <w:r>
              <w:rPr>
                <w:sz w:val="18"/>
              </w:rPr>
              <w:t>PAITUA</w:t>
            </w:r>
            <w:r>
              <w:rPr>
                <w:spacing w:val="-3"/>
                <w:sz w:val="18"/>
              </w:rPr>
              <w:t xml:space="preserve"> </w:t>
            </w:r>
            <w:r>
              <w:rPr>
                <w:sz w:val="18"/>
              </w:rPr>
              <w:t>Program</w:t>
            </w:r>
            <w:r>
              <w:rPr>
                <w:spacing w:val="-3"/>
                <w:sz w:val="18"/>
              </w:rPr>
              <w:t xml:space="preserve"> </w:t>
            </w:r>
            <w:r>
              <w:rPr>
                <w:sz w:val="18"/>
              </w:rPr>
              <w:t>assistance</w:t>
            </w:r>
            <w:r>
              <w:rPr>
                <w:spacing w:val="-2"/>
                <w:sz w:val="18"/>
              </w:rPr>
              <w:t xml:space="preserve"> </w:t>
            </w:r>
            <w:r>
              <w:rPr>
                <w:sz w:val="18"/>
              </w:rPr>
              <w:t>in</w:t>
            </w:r>
            <w:r>
              <w:rPr>
                <w:spacing w:val="-2"/>
                <w:sz w:val="18"/>
              </w:rPr>
              <w:t xml:space="preserve"> </w:t>
            </w:r>
            <w:r>
              <w:rPr>
                <w:sz w:val="18"/>
              </w:rPr>
              <w:t>FY</w:t>
            </w:r>
            <w:r>
              <w:rPr>
                <w:spacing w:val="-3"/>
                <w:sz w:val="18"/>
              </w:rPr>
              <w:t xml:space="preserve"> </w:t>
            </w:r>
            <w:r>
              <w:rPr>
                <w:spacing w:val="-2"/>
                <w:sz w:val="18"/>
              </w:rPr>
              <w:t>2024.</w:t>
            </w:r>
          </w:p>
        </w:tc>
      </w:tr>
    </w:tbl>
    <w:p w14:paraId="3872497E" w14:textId="77777777" w:rsidR="00BC24A8" w:rsidRDefault="00BC24A8">
      <w:pPr>
        <w:pStyle w:val="TableParagraph"/>
        <w:rPr>
          <w:sz w:val="18"/>
        </w:rPr>
        <w:sectPr w:rsidR="00BC24A8">
          <w:pgSz w:w="11910" w:h="16840"/>
          <w:pgMar w:top="1320" w:right="850" w:bottom="1100" w:left="1275" w:header="0" w:footer="907" w:gutter="0"/>
          <w:cols w:space="720"/>
        </w:sectPr>
      </w:pPr>
    </w:p>
    <w:p w14:paraId="137A2D6F" w14:textId="77777777" w:rsidR="00BC24A8" w:rsidRDefault="00000000">
      <w:pPr>
        <w:pStyle w:val="BodyText"/>
        <w:spacing w:before="39"/>
        <w:ind w:left="143"/>
        <w:rPr>
          <w:rFonts w:ascii="Calibri"/>
        </w:rPr>
      </w:pPr>
      <w:r>
        <w:rPr>
          <w:rFonts w:ascii="Calibri"/>
          <w:noProof/>
        </w:rPr>
        <mc:AlternateContent>
          <mc:Choice Requires="wpg">
            <w:drawing>
              <wp:anchor distT="0" distB="0" distL="0" distR="0" simplePos="0" relativeHeight="478687232" behindDoc="1" locked="0" layoutInCell="1" allowOverlap="1" wp14:anchorId="5A34DB5A" wp14:editId="047EC1EC">
                <wp:simplePos x="0" y="0"/>
                <wp:positionH relativeFrom="page">
                  <wp:posOffset>897636</wp:posOffset>
                </wp:positionH>
                <wp:positionV relativeFrom="paragraph">
                  <wp:posOffset>209804</wp:posOffset>
                </wp:positionV>
                <wp:extent cx="5779135" cy="5709285"/>
                <wp:effectExtent l="0" t="0" r="0" b="0"/>
                <wp:wrapNone/>
                <wp:docPr id="253" name="Group 253" descr="Weaving the Dream of One Data in Indonesia’s Youngest Province&#10;&#10;Papua Barat Daya, the youngest province in Indonesia, was established with great enthusiasm but also faced considerable challenges. One of these challenges is the absence of a robust data system to support development planning.&#10;&#10;&#10;&#10;&#10;as the youngest province in Indonesia, Papua Barat Daya naturally faces many shortcomings, particularly with respect to its databases.&#10;Ibnu Rusyid, Head of Macro Planning, Control, Evaluation, and Regional Development Information of the Papua&#10;Barat Daya Regional Development Planning Agency (Bapperida)&#10;&#10;&#10;Amid this situation, SKALA emerged as a partner supporting regional aspirations, promoting data as a key foundation for development. SKALA has supported this through technical assistance, regulatory facilitation, and capacity building, which have fostered the establishment of improved data governance. The One Data Forum has begun to fulfilling its role, now backed by sufficient funding—a clear indication that stakeholders are becoming increasingly aware of the importance of data.&#10;&#10;&#10;SKALA’s role is to serve as a bridge connecting various parties, while also acting as a driving force that accelerates the implementation of One Data Papua Barat Daya. The result? We now have Regional Sectoral Statistical Data available in e-Walidata&#10;Ibnu Rusyid, Head of Macro Planning, Control, Evaluation, and Regional Development Information of the Papua&#10;Barat Daya Regional Development Planning Agency (Bapperida)&#10;&#10;&#10;&#10;For Darmawati, Head of the Statistics Section, the Department of Communication, Informatics, Statistics, and Coding (Diskominfosatik), the involvement of SKALA has built understanding, fostered joint commitment, and brought real change. “Papua Barat Daya Province extends its highest appreciation and gratitude to SKALA for its contribution in supporting the realisation of One Data Papua Barat Daya.”&#10;&#10;Today, Papua Barat Daya is moving forward with greater determination. What was once merely a spoken dream is now beginning to materialise: data has become a central resource guiding development toward a more deliberate and sustainable fu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5709285"/>
                          <a:chOff x="0" y="0"/>
                          <a:chExt cx="5779135" cy="5709285"/>
                        </a:xfrm>
                      </wpg:grpSpPr>
                      <wps:wsp>
                        <wps:cNvPr id="254" name="Graphic 254"/>
                        <wps:cNvSpPr/>
                        <wps:spPr>
                          <a:xfrm>
                            <a:off x="6095" y="6095"/>
                            <a:ext cx="5765800" cy="5697220"/>
                          </a:xfrm>
                          <a:custGeom>
                            <a:avLst/>
                            <a:gdLst/>
                            <a:ahLst/>
                            <a:cxnLst/>
                            <a:rect l="l" t="t" r="r" b="b"/>
                            <a:pathLst>
                              <a:path w="5765800" h="5697220">
                                <a:moveTo>
                                  <a:pt x="5765292" y="0"/>
                                </a:moveTo>
                                <a:lnTo>
                                  <a:pt x="0" y="0"/>
                                </a:lnTo>
                                <a:lnTo>
                                  <a:pt x="0" y="5696712"/>
                                </a:lnTo>
                                <a:lnTo>
                                  <a:pt x="5765292" y="5696712"/>
                                </a:lnTo>
                                <a:lnTo>
                                  <a:pt x="5765292" y="0"/>
                                </a:lnTo>
                                <a:close/>
                              </a:path>
                            </a:pathLst>
                          </a:custGeom>
                          <a:solidFill>
                            <a:srgbClr val="E1F1EF"/>
                          </a:solidFill>
                        </wps:spPr>
                        <wps:bodyPr wrap="square" lIns="0" tIns="0" rIns="0" bIns="0" rtlCol="0">
                          <a:prstTxWarp prst="textNoShape">
                            <a:avLst/>
                          </a:prstTxWarp>
                          <a:noAutofit/>
                        </wps:bodyPr>
                      </wps:wsp>
                      <wps:wsp>
                        <wps:cNvPr id="255" name="Graphic 255"/>
                        <wps:cNvSpPr/>
                        <wps:spPr>
                          <a:xfrm>
                            <a:off x="0" y="0"/>
                            <a:ext cx="5779135" cy="5709285"/>
                          </a:xfrm>
                          <a:custGeom>
                            <a:avLst/>
                            <a:gdLst/>
                            <a:ahLst/>
                            <a:cxnLst/>
                            <a:rect l="l" t="t" r="r" b="b"/>
                            <a:pathLst>
                              <a:path w="5779135" h="5709285">
                                <a:moveTo>
                                  <a:pt x="5779008" y="0"/>
                                </a:moveTo>
                                <a:lnTo>
                                  <a:pt x="5772912" y="0"/>
                                </a:lnTo>
                                <a:lnTo>
                                  <a:pt x="5772912" y="6096"/>
                                </a:lnTo>
                                <a:lnTo>
                                  <a:pt x="5772912" y="5702808"/>
                                </a:lnTo>
                                <a:lnTo>
                                  <a:pt x="6108" y="5702808"/>
                                </a:lnTo>
                                <a:lnTo>
                                  <a:pt x="6108" y="6096"/>
                                </a:lnTo>
                                <a:lnTo>
                                  <a:pt x="5772912" y="6096"/>
                                </a:lnTo>
                                <a:lnTo>
                                  <a:pt x="5772912" y="0"/>
                                </a:lnTo>
                                <a:lnTo>
                                  <a:pt x="6108" y="0"/>
                                </a:lnTo>
                                <a:lnTo>
                                  <a:pt x="0" y="0"/>
                                </a:lnTo>
                                <a:lnTo>
                                  <a:pt x="0" y="6096"/>
                                </a:lnTo>
                                <a:lnTo>
                                  <a:pt x="0" y="5702808"/>
                                </a:lnTo>
                                <a:lnTo>
                                  <a:pt x="0" y="5708904"/>
                                </a:lnTo>
                                <a:lnTo>
                                  <a:pt x="6096" y="5708904"/>
                                </a:lnTo>
                                <a:lnTo>
                                  <a:pt x="5772912" y="5708904"/>
                                </a:lnTo>
                                <a:lnTo>
                                  <a:pt x="5779008" y="5708904"/>
                                </a:lnTo>
                                <a:lnTo>
                                  <a:pt x="5779008" y="5702808"/>
                                </a:lnTo>
                                <a:lnTo>
                                  <a:pt x="5779008" y="6096"/>
                                </a:lnTo>
                                <a:lnTo>
                                  <a:pt x="5779008" y="0"/>
                                </a:lnTo>
                                <a:close/>
                              </a:path>
                            </a:pathLst>
                          </a:custGeom>
                          <a:solidFill>
                            <a:srgbClr val="BEBEBE"/>
                          </a:solidFill>
                        </wps:spPr>
                        <wps:bodyPr wrap="square" lIns="0" tIns="0" rIns="0" bIns="0" rtlCol="0">
                          <a:prstTxWarp prst="textNoShape">
                            <a:avLst/>
                          </a:prstTxWarp>
                          <a:noAutofit/>
                        </wps:bodyPr>
                      </wps:wsp>
                      <wps:wsp>
                        <wps:cNvPr id="256" name="Graphic 256"/>
                        <wps:cNvSpPr/>
                        <wps:spPr>
                          <a:xfrm>
                            <a:off x="180594" y="1145108"/>
                            <a:ext cx="5410200" cy="813435"/>
                          </a:xfrm>
                          <a:custGeom>
                            <a:avLst/>
                            <a:gdLst/>
                            <a:ahLst/>
                            <a:cxnLst/>
                            <a:rect l="l" t="t" r="r" b="b"/>
                            <a:pathLst>
                              <a:path w="5410200" h="813435">
                                <a:moveTo>
                                  <a:pt x="0" y="0"/>
                                </a:moveTo>
                                <a:lnTo>
                                  <a:pt x="5410200" y="0"/>
                                </a:lnTo>
                                <a:lnTo>
                                  <a:pt x="5410200" y="813409"/>
                                </a:lnTo>
                                <a:lnTo>
                                  <a:pt x="0" y="813409"/>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20" cstate="print"/>
                          <a:stretch>
                            <a:fillRect/>
                          </a:stretch>
                        </pic:blipFill>
                        <pic:spPr>
                          <a:xfrm>
                            <a:off x="5298185" y="1883209"/>
                            <a:ext cx="223210" cy="205077"/>
                          </a:xfrm>
                          <a:prstGeom prst="rect">
                            <a:avLst/>
                          </a:prstGeom>
                        </pic:spPr>
                      </pic:pic>
                      <pic:pic xmlns:pic="http://schemas.openxmlformats.org/drawingml/2006/picture">
                        <pic:nvPicPr>
                          <pic:cNvPr id="258" name="Image 258"/>
                          <pic:cNvPicPr/>
                        </pic:nvPicPr>
                        <pic:blipFill>
                          <a:blip r:embed="rId28" cstate="print"/>
                          <a:stretch>
                            <a:fillRect/>
                          </a:stretch>
                        </pic:blipFill>
                        <pic:spPr>
                          <a:xfrm>
                            <a:off x="241573" y="990683"/>
                            <a:ext cx="223210" cy="205077"/>
                          </a:xfrm>
                          <a:prstGeom prst="rect">
                            <a:avLst/>
                          </a:prstGeom>
                        </pic:spPr>
                      </pic:pic>
                      <wps:wsp>
                        <wps:cNvPr id="259" name="Graphic 259"/>
                        <wps:cNvSpPr/>
                        <wps:spPr>
                          <a:xfrm>
                            <a:off x="180594" y="3178276"/>
                            <a:ext cx="5410200" cy="1046480"/>
                          </a:xfrm>
                          <a:custGeom>
                            <a:avLst/>
                            <a:gdLst/>
                            <a:ahLst/>
                            <a:cxnLst/>
                            <a:rect l="l" t="t" r="r" b="b"/>
                            <a:pathLst>
                              <a:path w="5410200" h="1046480">
                                <a:moveTo>
                                  <a:pt x="0" y="0"/>
                                </a:moveTo>
                                <a:lnTo>
                                  <a:pt x="5410200" y="0"/>
                                </a:lnTo>
                                <a:lnTo>
                                  <a:pt x="5410200" y="1046137"/>
                                </a:lnTo>
                                <a:lnTo>
                                  <a:pt x="0" y="1046137"/>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14" cstate="print"/>
                          <a:stretch>
                            <a:fillRect/>
                          </a:stretch>
                        </pic:blipFill>
                        <pic:spPr>
                          <a:xfrm>
                            <a:off x="241573" y="3078653"/>
                            <a:ext cx="223210" cy="204856"/>
                          </a:xfrm>
                          <a:prstGeom prst="rect">
                            <a:avLst/>
                          </a:prstGeom>
                        </pic:spPr>
                      </pic:pic>
                      <pic:pic xmlns:pic="http://schemas.openxmlformats.org/drawingml/2006/picture">
                        <pic:nvPicPr>
                          <pic:cNvPr id="261" name="Image 261"/>
                          <pic:cNvPicPr/>
                        </pic:nvPicPr>
                        <pic:blipFill>
                          <a:blip r:embed="rId20" cstate="print"/>
                          <a:stretch>
                            <a:fillRect/>
                          </a:stretch>
                        </pic:blipFill>
                        <pic:spPr>
                          <a:xfrm>
                            <a:off x="5298478" y="4149834"/>
                            <a:ext cx="223210" cy="204856"/>
                          </a:xfrm>
                          <a:prstGeom prst="rect">
                            <a:avLst/>
                          </a:prstGeom>
                        </pic:spPr>
                      </pic:pic>
                    </wpg:wgp>
                  </a:graphicData>
                </a:graphic>
              </wp:anchor>
            </w:drawing>
          </mc:Choice>
          <mc:Fallback>
            <w:pict>
              <v:group w14:anchorId="661E5B9C" id="Group 253" o:spid="_x0000_s1026" alt="Weaving the Dream of One Data in Indonesia’s Youngest Province&#10;&#10;Papua Barat Daya, the youngest province in Indonesia, was established with great enthusiasm but also faced considerable challenges. One of these challenges is the absence of a robust data system to support development planning.&#10;&#10;&#10;&#10;&#10;as the youngest province in Indonesia, Papua Barat Daya naturally faces many shortcomings, particularly with respect to its databases.&#10;Ibnu Rusyid, Head of Macro Planning, Control, Evaluation, and Regional Development Information of the Papua&#10;Barat Daya Regional Development Planning Agency (Bapperida)&#10;&#10;&#10;Amid this situation, SKALA emerged as a partner supporting regional aspirations, promoting data as a key foundation for development. SKALA has supported this through technical assistance, regulatory facilitation, and capacity building, which have fostered the establishment of improved data governance. The One Data Forum has begun to fulfilling its role, now backed by sufficient funding—a clear indication that stakeholders are becoming increasingly aware of the importance of data.&#10;&#10;&#10;SKALA’s role is to serve as a bridge connecting various parties, while also acting as a driving force that accelerates the implementation of One Data Papua Barat Daya. The result? We now have Regional Sectoral Statistical Data available in e-Walidata&#10;Ibnu Rusyid, Head of Macro Planning, Control, Evaluation, and Regional Development Information of the Papua&#10;Barat Daya Regional Development Planning Agency (Bapperida)&#10;&#10;&#10;&#10;For Darmawati, Head of the Statistics Section, the Department of Communication, Informatics, Statistics, and Coding (Diskominfosatik), the involvement of SKALA has built understanding, fostered joint commitment, and brought real change. “Papua Barat Daya Province extends its highest appreciation and gratitude to SKALA for its contribution in supporting the realisation of One Data Papua Barat Daya.”&#10;&#10;Today, Papua Barat Daya is moving forward with greater determination. What was once merely a spoken dream is now beginning to materialise: data has become a central resource guiding development toward a more deliberate and sustainable future." style="position:absolute;margin-left:70.7pt;margin-top:16.5pt;width:455.05pt;height:449.55pt;z-index:-24629248;mso-wrap-distance-left:0;mso-wrap-distance-right:0;mso-position-horizontal-relative:page" coordsize="57791,57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">
                <v:shape id="Graphic 254" o:spid="_x0000_s1027" style="position:absolute;left:60;top:60;width:57658;height:56973;visibility:visible;mso-wrap-style:square;v-text-anchor:top" coordsize="5765800,569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" path="m5765292,l,,,5696712r5765292,l5765292,xe" fillcolor="#e1f1ef" stroked="f">
                  <v:path arrowok="t"/>
                </v:shape>
                <v:shape id="Graphic 255" o:spid="_x0000_s1028" style="position:absolute;width:57791;height:57092;visibility:visible;mso-wrap-style:square;v-text-anchor:top" coordsize="5779135,570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" path="m5779008,r-6096,l5772912,6096r,5696712l6108,5702808,6108,6096r5766804,l5772912,,6108,,,,,6096,,5702808r,6096l6096,5708904r5766816,l5779008,5708904r,-6096l5779008,6096r,-6096xe" fillcolor="#bebebe" stroked="f">
                  <v:path arrowok="t"/>
                </v:shape>
                <v:shape id="Graphic 256" o:spid="_x0000_s1029" style="position:absolute;left:1805;top:11451;width:54102;height:8134;visibility:visible;mso-wrap-style:square;v-text-anchor:top" coordsize="5410200,8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" path="m,l5410200,r,813409l,813409,,xe" filled="f" strokecolor="#17365a" strokeweight="1pt">
                  <v:path arrowok="t"/>
                </v:shape>
                <v:shape id="Image 257" o:spid="_x0000_s1030" type="#_x0000_t75" style="position:absolute;left:52981;top:18832;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">
                  <v:imagedata r:id="rId21" o:title=""/>
                </v:shape>
                <v:shape id="Image 258" o:spid="_x0000_s1031" type="#_x0000_t75" style="position:absolute;left:2415;top:9906;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">
                  <v:imagedata r:id="rId29" o:title=""/>
                </v:shape>
                <v:shape id="Graphic 259" o:spid="_x0000_s1032" style="position:absolute;left:1805;top:31782;width:54102;height:10465;visibility:visible;mso-wrap-style:square;v-text-anchor:top" coordsize="541020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" path="m,l5410200,r,1046137l,1046137,,xe" filled="f" strokecolor="#17365a" strokeweight="1pt">
                  <v:path arrowok="t"/>
                </v:shape>
                <v:shape id="Image 260" o:spid="_x0000_s1033" type="#_x0000_t75" style="position:absolute;left:2415;top:30786;width:2232;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">
                  <v:imagedata r:id="rId16" o:title=""/>
                </v:shape>
                <v:shape id="Image 261" o:spid="_x0000_s1034" type="#_x0000_t75" style="position:absolute;left:52984;top:41498;width:2232;height: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">
                  <v:imagedata r:id="rId21" o:title=""/>
                </v:shape>
                <w10:wrap anchorx="page"/>
              </v:group>
            </w:pict>
          </mc:Fallback>
        </mc:AlternateContent>
      </w:r>
      <w:r>
        <w:rPr>
          <w:rFonts w:ascii="Calibri"/>
          <w:color w:val="272727"/>
        </w:rPr>
        <w:t>Significant</w:t>
      </w:r>
      <w:r>
        <w:rPr>
          <w:rFonts w:ascii="Calibri"/>
          <w:color w:val="272727"/>
          <w:spacing w:val="-10"/>
        </w:rPr>
        <w:t xml:space="preserve"> </w:t>
      </w:r>
      <w:r>
        <w:rPr>
          <w:rFonts w:ascii="Calibri"/>
          <w:color w:val="272727"/>
        </w:rPr>
        <w:t>change</w:t>
      </w:r>
      <w:r>
        <w:rPr>
          <w:rFonts w:ascii="Calibri"/>
          <w:color w:val="272727"/>
          <w:spacing w:val="-11"/>
        </w:rPr>
        <w:t xml:space="preserve"> </w:t>
      </w:r>
      <w:r>
        <w:rPr>
          <w:rFonts w:ascii="Calibri"/>
          <w:color w:val="272727"/>
          <w:spacing w:val="-4"/>
        </w:rPr>
        <w:t>story</w:t>
      </w:r>
    </w:p>
    <w:p w14:paraId="512DB9D0" w14:textId="77777777" w:rsidR="00BC24A8" w:rsidRDefault="00000000">
      <w:pPr>
        <w:spacing w:before="151"/>
        <w:ind w:left="1981"/>
        <w:rPr>
          <w:rFonts w:ascii="Calibri" w:hAnsi="Calibri"/>
          <w:b/>
          <w:sz w:val="20"/>
        </w:rPr>
      </w:pPr>
      <w:r>
        <w:rPr>
          <w:rFonts w:ascii="Calibri" w:hAnsi="Calibri"/>
          <w:b/>
          <w:color w:val="17365A"/>
          <w:sz w:val="20"/>
        </w:rPr>
        <w:t>Weaving</w:t>
      </w:r>
      <w:r>
        <w:rPr>
          <w:rFonts w:ascii="Calibri" w:hAnsi="Calibri"/>
          <w:b/>
          <w:color w:val="17365A"/>
          <w:spacing w:val="-12"/>
          <w:sz w:val="20"/>
        </w:rPr>
        <w:t xml:space="preserve"> </w:t>
      </w:r>
      <w:r>
        <w:rPr>
          <w:rFonts w:ascii="Calibri" w:hAnsi="Calibri"/>
          <w:b/>
          <w:color w:val="17365A"/>
          <w:sz w:val="20"/>
        </w:rPr>
        <w:t>the</w:t>
      </w:r>
      <w:r>
        <w:rPr>
          <w:rFonts w:ascii="Calibri" w:hAnsi="Calibri"/>
          <w:b/>
          <w:color w:val="17365A"/>
          <w:spacing w:val="-11"/>
          <w:sz w:val="20"/>
        </w:rPr>
        <w:t xml:space="preserve"> </w:t>
      </w:r>
      <w:r>
        <w:rPr>
          <w:rFonts w:ascii="Calibri" w:hAnsi="Calibri"/>
          <w:b/>
          <w:color w:val="17365A"/>
          <w:sz w:val="20"/>
        </w:rPr>
        <w:t>Dream</w:t>
      </w:r>
      <w:r>
        <w:rPr>
          <w:rFonts w:ascii="Calibri" w:hAnsi="Calibri"/>
          <w:b/>
          <w:color w:val="17365A"/>
          <w:spacing w:val="-10"/>
          <w:sz w:val="20"/>
        </w:rPr>
        <w:t xml:space="preserve"> </w:t>
      </w:r>
      <w:r>
        <w:rPr>
          <w:rFonts w:ascii="Calibri" w:hAnsi="Calibri"/>
          <w:b/>
          <w:color w:val="17365A"/>
          <w:sz w:val="20"/>
        </w:rPr>
        <w:t>of</w:t>
      </w:r>
      <w:r>
        <w:rPr>
          <w:rFonts w:ascii="Calibri" w:hAnsi="Calibri"/>
          <w:b/>
          <w:color w:val="17365A"/>
          <w:spacing w:val="-11"/>
          <w:sz w:val="20"/>
        </w:rPr>
        <w:t xml:space="preserve"> </w:t>
      </w:r>
      <w:r>
        <w:rPr>
          <w:rFonts w:ascii="Calibri" w:hAnsi="Calibri"/>
          <w:b/>
          <w:color w:val="17365A"/>
          <w:sz w:val="20"/>
        </w:rPr>
        <w:t>One</w:t>
      </w:r>
      <w:r>
        <w:rPr>
          <w:rFonts w:ascii="Calibri" w:hAnsi="Calibri"/>
          <w:b/>
          <w:color w:val="17365A"/>
          <w:spacing w:val="-11"/>
          <w:sz w:val="20"/>
        </w:rPr>
        <w:t xml:space="preserve"> </w:t>
      </w:r>
      <w:r>
        <w:rPr>
          <w:rFonts w:ascii="Calibri" w:hAnsi="Calibri"/>
          <w:b/>
          <w:color w:val="17365A"/>
          <w:sz w:val="20"/>
        </w:rPr>
        <w:t>Data</w:t>
      </w:r>
      <w:r>
        <w:rPr>
          <w:rFonts w:ascii="Calibri" w:hAnsi="Calibri"/>
          <w:b/>
          <w:color w:val="17365A"/>
          <w:spacing w:val="-11"/>
          <w:sz w:val="20"/>
        </w:rPr>
        <w:t xml:space="preserve"> </w:t>
      </w:r>
      <w:r>
        <w:rPr>
          <w:rFonts w:ascii="Calibri" w:hAnsi="Calibri"/>
          <w:b/>
          <w:color w:val="17365A"/>
          <w:sz w:val="20"/>
        </w:rPr>
        <w:t>in</w:t>
      </w:r>
      <w:r>
        <w:rPr>
          <w:rFonts w:ascii="Calibri" w:hAnsi="Calibri"/>
          <w:b/>
          <w:color w:val="17365A"/>
          <w:spacing w:val="-9"/>
          <w:sz w:val="20"/>
        </w:rPr>
        <w:t xml:space="preserve"> </w:t>
      </w:r>
      <w:r>
        <w:rPr>
          <w:rFonts w:ascii="Calibri" w:hAnsi="Calibri"/>
          <w:b/>
          <w:color w:val="17365A"/>
          <w:sz w:val="20"/>
        </w:rPr>
        <w:t>Indonesia’s</w:t>
      </w:r>
      <w:r>
        <w:rPr>
          <w:rFonts w:ascii="Calibri" w:hAnsi="Calibri"/>
          <w:b/>
          <w:color w:val="17365A"/>
          <w:spacing w:val="-11"/>
          <w:sz w:val="20"/>
        </w:rPr>
        <w:t xml:space="preserve"> </w:t>
      </w:r>
      <w:r>
        <w:rPr>
          <w:rFonts w:ascii="Calibri" w:hAnsi="Calibri"/>
          <w:b/>
          <w:color w:val="17365A"/>
          <w:sz w:val="20"/>
        </w:rPr>
        <w:t>Youngest</w:t>
      </w:r>
      <w:r>
        <w:rPr>
          <w:rFonts w:ascii="Calibri" w:hAnsi="Calibri"/>
          <w:b/>
          <w:color w:val="17365A"/>
          <w:spacing w:val="-11"/>
          <w:sz w:val="20"/>
        </w:rPr>
        <w:t xml:space="preserve"> </w:t>
      </w:r>
      <w:r>
        <w:rPr>
          <w:rFonts w:ascii="Calibri" w:hAnsi="Calibri"/>
          <w:b/>
          <w:color w:val="17365A"/>
          <w:spacing w:val="-2"/>
          <w:sz w:val="20"/>
        </w:rPr>
        <w:t>Province</w:t>
      </w:r>
    </w:p>
    <w:p w14:paraId="623E4D22" w14:textId="77777777" w:rsidR="00BC24A8" w:rsidRDefault="00BC24A8">
      <w:pPr>
        <w:pStyle w:val="BodyText"/>
        <w:spacing w:before="1"/>
        <w:rPr>
          <w:rFonts w:ascii="Calibri"/>
          <w:b/>
          <w:sz w:val="20"/>
        </w:rPr>
      </w:pPr>
    </w:p>
    <w:p w14:paraId="0B21F2C3" w14:textId="77777777" w:rsidR="00BC24A8" w:rsidRDefault="00000000">
      <w:pPr>
        <w:ind w:left="395" w:right="662"/>
        <w:rPr>
          <w:sz w:val="18"/>
        </w:rPr>
      </w:pPr>
      <w:r>
        <w:rPr>
          <w:spacing w:val="-2"/>
          <w:sz w:val="18"/>
        </w:rPr>
        <w:t>Papua</w:t>
      </w:r>
      <w:r>
        <w:rPr>
          <w:spacing w:val="-3"/>
          <w:sz w:val="18"/>
        </w:rPr>
        <w:t xml:space="preserve"> </w:t>
      </w:r>
      <w:r>
        <w:rPr>
          <w:spacing w:val="-2"/>
          <w:sz w:val="18"/>
        </w:rPr>
        <w:t>Barat Daya,</w:t>
      </w:r>
      <w:r>
        <w:rPr>
          <w:spacing w:val="-3"/>
          <w:sz w:val="18"/>
        </w:rPr>
        <w:t xml:space="preserve"> </w:t>
      </w:r>
      <w:r>
        <w:rPr>
          <w:spacing w:val="-2"/>
          <w:sz w:val="18"/>
        </w:rPr>
        <w:t>the youngest province in Indonesia,</w:t>
      </w:r>
      <w:r>
        <w:rPr>
          <w:spacing w:val="-3"/>
          <w:sz w:val="18"/>
        </w:rPr>
        <w:t xml:space="preserve"> </w:t>
      </w:r>
      <w:r>
        <w:rPr>
          <w:spacing w:val="-2"/>
          <w:sz w:val="18"/>
        </w:rPr>
        <w:t>was established with great enthusiasm</w:t>
      </w:r>
      <w:r>
        <w:rPr>
          <w:spacing w:val="-3"/>
          <w:sz w:val="18"/>
        </w:rPr>
        <w:t xml:space="preserve"> </w:t>
      </w:r>
      <w:r>
        <w:rPr>
          <w:spacing w:val="-2"/>
          <w:sz w:val="18"/>
        </w:rPr>
        <w:t>but also</w:t>
      </w:r>
      <w:r>
        <w:rPr>
          <w:spacing w:val="-6"/>
          <w:sz w:val="18"/>
        </w:rPr>
        <w:t xml:space="preserve"> </w:t>
      </w:r>
      <w:r>
        <w:rPr>
          <w:spacing w:val="-2"/>
          <w:sz w:val="18"/>
        </w:rPr>
        <w:t>faced considerable</w:t>
      </w:r>
      <w:r>
        <w:rPr>
          <w:sz w:val="18"/>
        </w:rPr>
        <w:t xml:space="preserve"> challenges. One of these challenges is the absence of a robust data system to support development planning.</w:t>
      </w:r>
    </w:p>
    <w:p w14:paraId="306ADB69" w14:textId="77777777" w:rsidR="00BC24A8" w:rsidRDefault="00BC24A8">
      <w:pPr>
        <w:pStyle w:val="BodyText"/>
        <w:rPr>
          <w:sz w:val="18"/>
        </w:rPr>
      </w:pPr>
    </w:p>
    <w:p w14:paraId="0E702A4F" w14:textId="77777777" w:rsidR="00BC24A8" w:rsidRDefault="00BC24A8">
      <w:pPr>
        <w:pStyle w:val="BodyText"/>
        <w:rPr>
          <w:sz w:val="18"/>
        </w:rPr>
      </w:pPr>
    </w:p>
    <w:p w14:paraId="0013C00A" w14:textId="77777777" w:rsidR="00BC24A8" w:rsidRDefault="00BC24A8">
      <w:pPr>
        <w:pStyle w:val="BodyText"/>
        <w:rPr>
          <w:sz w:val="18"/>
        </w:rPr>
      </w:pPr>
    </w:p>
    <w:p w14:paraId="10BB00F9" w14:textId="77777777" w:rsidR="00BC24A8" w:rsidRDefault="00BC24A8">
      <w:pPr>
        <w:pStyle w:val="BodyText"/>
        <w:spacing w:before="84"/>
        <w:rPr>
          <w:sz w:val="18"/>
        </w:rPr>
      </w:pPr>
    </w:p>
    <w:p w14:paraId="712112EB" w14:textId="77777777" w:rsidR="00BC24A8" w:rsidRDefault="00000000">
      <w:pPr>
        <w:spacing w:before="1" w:line="292" w:lineRule="auto"/>
        <w:ind w:left="721" w:right="1116" w:hanging="1"/>
        <w:rPr>
          <w:rFonts w:ascii="Times New Roman"/>
          <w:b/>
          <w:i/>
          <w:sz w:val="18"/>
        </w:rPr>
      </w:pPr>
      <w:r>
        <w:rPr>
          <w:rFonts w:ascii="Times New Roman"/>
          <w:b/>
          <w:i/>
          <w:color w:val="17365A"/>
          <w:sz w:val="18"/>
        </w:rPr>
        <w:t>as</w:t>
      </w:r>
      <w:r>
        <w:rPr>
          <w:rFonts w:ascii="Times New Roman"/>
          <w:b/>
          <w:i/>
          <w:color w:val="17365A"/>
          <w:spacing w:val="-2"/>
          <w:sz w:val="18"/>
        </w:rPr>
        <w:t xml:space="preserve"> </w:t>
      </w:r>
      <w:r>
        <w:rPr>
          <w:rFonts w:ascii="Times New Roman"/>
          <w:b/>
          <w:i/>
          <w:color w:val="17365A"/>
          <w:sz w:val="18"/>
        </w:rPr>
        <w:t>the</w:t>
      </w:r>
      <w:r>
        <w:rPr>
          <w:rFonts w:ascii="Times New Roman"/>
          <w:b/>
          <w:i/>
          <w:color w:val="17365A"/>
          <w:spacing w:val="-4"/>
          <w:sz w:val="18"/>
        </w:rPr>
        <w:t xml:space="preserve"> </w:t>
      </w:r>
      <w:r>
        <w:rPr>
          <w:rFonts w:ascii="Times New Roman"/>
          <w:b/>
          <w:i/>
          <w:color w:val="17365A"/>
          <w:sz w:val="18"/>
        </w:rPr>
        <w:t>youngest</w:t>
      </w:r>
      <w:r>
        <w:rPr>
          <w:rFonts w:ascii="Times New Roman"/>
          <w:b/>
          <w:i/>
          <w:color w:val="17365A"/>
          <w:spacing w:val="-3"/>
          <w:sz w:val="18"/>
        </w:rPr>
        <w:t xml:space="preserve"> </w:t>
      </w:r>
      <w:r>
        <w:rPr>
          <w:rFonts w:ascii="Times New Roman"/>
          <w:b/>
          <w:i/>
          <w:color w:val="17365A"/>
          <w:sz w:val="18"/>
        </w:rPr>
        <w:t>province</w:t>
      </w:r>
      <w:r>
        <w:rPr>
          <w:rFonts w:ascii="Times New Roman"/>
          <w:b/>
          <w:i/>
          <w:color w:val="17365A"/>
          <w:spacing w:val="-4"/>
          <w:sz w:val="18"/>
        </w:rPr>
        <w:t xml:space="preserve"> </w:t>
      </w:r>
      <w:r>
        <w:rPr>
          <w:rFonts w:ascii="Times New Roman"/>
          <w:b/>
          <w:i/>
          <w:color w:val="17365A"/>
          <w:sz w:val="18"/>
        </w:rPr>
        <w:t>in</w:t>
      </w:r>
      <w:r>
        <w:rPr>
          <w:rFonts w:ascii="Times New Roman"/>
          <w:b/>
          <w:i/>
          <w:color w:val="17365A"/>
          <w:spacing w:val="-4"/>
          <w:sz w:val="18"/>
        </w:rPr>
        <w:t xml:space="preserve"> </w:t>
      </w:r>
      <w:r>
        <w:rPr>
          <w:rFonts w:ascii="Times New Roman"/>
          <w:b/>
          <w:i/>
          <w:color w:val="17365A"/>
          <w:sz w:val="18"/>
        </w:rPr>
        <w:t>Indonesia,</w:t>
      </w:r>
      <w:r>
        <w:rPr>
          <w:rFonts w:ascii="Times New Roman"/>
          <w:b/>
          <w:i/>
          <w:color w:val="17365A"/>
          <w:spacing w:val="39"/>
          <w:sz w:val="18"/>
        </w:rPr>
        <w:t xml:space="preserve"> </w:t>
      </w:r>
      <w:r>
        <w:rPr>
          <w:rFonts w:ascii="Times New Roman"/>
          <w:b/>
          <w:i/>
          <w:color w:val="17365A"/>
          <w:sz w:val="18"/>
        </w:rPr>
        <w:t>Papua</w:t>
      </w:r>
      <w:r>
        <w:rPr>
          <w:rFonts w:ascii="Times New Roman"/>
          <w:b/>
          <w:i/>
          <w:color w:val="17365A"/>
          <w:spacing w:val="-4"/>
          <w:sz w:val="18"/>
        </w:rPr>
        <w:t xml:space="preserve"> </w:t>
      </w:r>
      <w:r>
        <w:rPr>
          <w:rFonts w:ascii="Times New Roman"/>
          <w:b/>
          <w:i/>
          <w:color w:val="17365A"/>
          <w:sz w:val="18"/>
        </w:rPr>
        <w:t>Barat</w:t>
      </w:r>
      <w:r>
        <w:rPr>
          <w:rFonts w:ascii="Times New Roman"/>
          <w:b/>
          <w:i/>
          <w:color w:val="17365A"/>
          <w:spacing w:val="-3"/>
          <w:sz w:val="18"/>
        </w:rPr>
        <w:t xml:space="preserve"> </w:t>
      </w:r>
      <w:r>
        <w:rPr>
          <w:rFonts w:ascii="Times New Roman"/>
          <w:b/>
          <w:i/>
          <w:color w:val="17365A"/>
          <w:sz w:val="18"/>
        </w:rPr>
        <w:t>Daya</w:t>
      </w:r>
      <w:r>
        <w:rPr>
          <w:rFonts w:ascii="Times New Roman"/>
          <w:b/>
          <w:i/>
          <w:color w:val="17365A"/>
          <w:spacing w:val="-3"/>
          <w:sz w:val="18"/>
        </w:rPr>
        <w:t xml:space="preserve"> </w:t>
      </w:r>
      <w:r>
        <w:rPr>
          <w:rFonts w:ascii="Times New Roman"/>
          <w:b/>
          <w:i/>
          <w:color w:val="17365A"/>
          <w:sz w:val="18"/>
        </w:rPr>
        <w:t>naturally</w:t>
      </w:r>
      <w:r>
        <w:rPr>
          <w:rFonts w:ascii="Times New Roman"/>
          <w:b/>
          <w:i/>
          <w:color w:val="17365A"/>
          <w:spacing w:val="-4"/>
          <w:sz w:val="18"/>
        </w:rPr>
        <w:t xml:space="preserve"> </w:t>
      </w:r>
      <w:r>
        <w:rPr>
          <w:rFonts w:ascii="Times New Roman"/>
          <w:b/>
          <w:i/>
          <w:color w:val="17365A"/>
          <w:sz w:val="18"/>
        </w:rPr>
        <w:t>faces</w:t>
      </w:r>
      <w:r>
        <w:rPr>
          <w:rFonts w:ascii="Times New Roman"/>
          <w:b/>
          <w:i/>
          <w:color w:val="17365A"/>
          <w:spacing w:val="-2"/>
          <w:sz w:val="18"/>
        </w:rPr>
        <w:t xml:space="preserve"> </w:t>
      </w:r>
      <w:r>
        <w:rPr>
          <w:rFonts w:ascii="Times New Roman"/>
          <w:b/>
          <w:i/>
          <w:color w:val="17365A"/>
          <w:sz w:val="18"/>
        </w:rPr>
        <w:t>many</w:t>
      </w:r>
      <w:r>
        <w:rPr>
          <w:rFonts w:ascii="Times New Roman"/>
          <w:b/>
          <w:i/>
          <w:color w:val="17365A"/>
          <w:spacing w:val="-4"/>
          <w:sz w:val="18"/>
        </w:rPr>
        <w:t xml:space="preserve"> </w:t>
      </w:r>
      <w:r>
        <w:rPr>
          <w:rFonts w:ascii="Times New Roman"/>
          <w:b/>
          <w:i/>
          <w:color w:val="17365A"/>
          <w:sz w:val="18"/>
        </w:rPr>
        <w:t>shortcomings,</w:t>
      </w:r>
      <w:r>
        <w:rPr>
          <w:rFonts w:ascii="Times New Roman"/>
          <w:b/>
          <w:i/>
          <w:color w:val="17365A"/>
          <w:spacing w:val="-3"/>
          <w:sz w:val="18"/>
        </w:rPr>
        <w:t xml:space="preserve"> </w:t>
      </w:r>
      <w:r>
        <w:rPr>
          <w:rFonts w:ascii="Times New Roman"/>
          <w:b/>
          <w:i/>
          <w:color w:val="17365A"/>
          <w:sz w:val="18"/>
        </w:rPr>
        <w:t>particularly with respect to its databases.</w:t>
      </w:r>
    </w:p>
    <w:p w14:paraId="1CDFAD4A" w14:textId="77777777" w:rsidR="00BC24A8" w:rsidRDefault="00000000">
      <w:pPr>
        <w:spacing w:line="201" w:lineRule="exact"/>
        <w:ind w:left="721"/>
        <w:rPr>
          <w:i/>
          <w:sz w:val="18"/>
        </w:rPr>
      </w:pPr>
      <w:r>
        <w:rPr>
          <w:i/>
          <w:color w:val="17365A"/>
          <w:sz w:val="18"/>
        </w:rPr>
        <w:t>Ibnu</w:t>
      </w:r>
      <w:r>
        <w:rPr>
          <w:i/>
          <w:color w:val="17365A"/>
          <w:spacing w:val="-8"/>
          <w:sz w:val="18"/>
        </w:rPr>
        <w:t xml:space="preserve"> </w:t>
      </w:r>
      <w:r>
        <w:rPr>
          <w:i/>
          <w:color w:val="17365A"/>
          <w:sz w:val="18"/>
        </w:rPr>
        <w:t>Rusyid,</w:t>
      </w:r>
      <w:r>
        <w:rPr>
          <w:i/>
          <w:color w:val="17365A"/>
          <w:spacing w:val="-9"/>
          <w:sz w:val="18"/>
        </w:rPr>
        <w:t xml:space="preserve"> </w:t>
      </w:r>
      <w:r>
        <w:rPr>
          <w:i/>
          <w:color w:val="17365A"/>
          <w:sz w:val="18"/>
        </w:rPr>
        <w:t>Head</w:t>
      </w:r>
      <w:r>
        <w:rPr>
          <w:i/>
          <w:color w:val="17365A"/>
          <w:spacing w:val="-8"/>
          <w:sz w:val="18"/>
        </w:rPr>
        <w:t xml:space="preserve"> </w:t>
      </w:r>
      <w:r>
        <w:rPr>
          <w:i/>
          <w:color w:val="17365A"/>
          <w:sz w:val="18"/>
        </w:rPr>
        <w:t>of</w:t>
      </w:r>
      <w:r>
        <w:rPr>
          <w:i/>
          <w:color w:val="17365A"/>
          <w:spacing w:val="-8"/>
          <w:sz w:val="18"/>
        </w:rPr>
        <w:t xml:space="preserve"> </w:t>
      </w:r>
      <w:r>
        <w:rPr>
          <w:i/>
          <w:color w:val="17365A"/>
          <w:sz w:val="18"/>
        </w:rPr>
        <w:t>Macro</w:t>
      </w:r>
      <w:r>
        <w:rPr>
          <w:i/>
          <w:color w:val="17365A"/>
          <w:spacing w:val="-8"/>
          <w:sz w:val="18"/>
        </w:rPr>
        <w:t xml:space="preserve"> </w:t>
      </w:r>
      <w:r>
        <w:rPr>
          <w:i/>
          <w:color w:val="17365A"/>
          <w:sz w:val="18"/>
        </w:rPr>
        <w:t>Planning,</w:t>
      </w:r>
      <w:r>
        <w:rPr>
          <w:i/>
          <w:color w:val="17365A"/>
          <w:spacing w:val="-9"/>
          <w:sz w:val="18"/>
        </w:rPr>
        <w:t xml:space="preserve"> </w:t>
      </w:r>
      <w:r>
        <w:rPr>
          <w:i/>
          <w:color w:val="17365A"/>
          <w:sz w:val="18"/>
        </w:rPr>
        <w:t>Control,</w:t>
      </w:r>
      <w:r>
        <w:rPr>
          <w:i/>
          <w:color w:val="17365A"/>
          <w:spacing w:val="-8"/>
          <w:sz w:val="18"/>
        </w:rPr>
        <w:t xml:space="preserve"> </w:t>
      </w:r>
      <w:r>
        <w:rPr>
          <w:i/>
          <w:color w:val="17365A"/>
          <w:sz w:val="18"/>
        </w:rPr>
        <w:t>Evaluation,</w:t>
      </w:r>
      <w:r>
        <w:rPr>
          <w:i/>
          <w:color w:val="17365A"/>
          <w:spacing w:val="-9"/>
          <w:sz w:val="18"/>
        </w:rPr>
        <w:t xml:space="preserve"> </w:t>
      </w:r>
      <w:r>
        <w:rPr>
          <w:i/>
          <w:color w:val="17365A"/>
          <w:sz w:val="18"/>
        </w:rPr>
        <w:t>and</w:t>
      </w:r>
      <w:r>
        <w:rPr>
          <w:i/>
          <w:color w:val="17365A"/>
          <w:spacing w:val="-8"/>
          <w:sz w:val="18"/>
        </w:rPr>
        <w:t xml:space="preserve"> </w:t>
      </w:r>
      <w:r>
        <w:rPr>
          <w:i/>
          <w:color w:val="17365A"/>
          <w:sz w:val="18"/>
        </w:rPr>
        <w:t>Regional</w:t>
      </w:r>
      <w:r>
        <w:rPr>
          <w:i/>
          <w:color w:val="17365A"/>
          <w:spacing w:val="-7"/>
          <w:sz w:val="18"/>
        </w:rPr>
        <w:t xml:space="preserve"> </w:t>
      </w:r>
      <w:r>
        <w:rPr>
          <w:i/>
          <w:color w:val="17365A"/>
          <w:sz w:val="18"/>
        </w:rPr>
        <w:t>Development</w:t>
      </w:r>
      <w:r>
        <w:rPr>
          <w:i/>
          <w:color w:val="17365A"/>
          <w:spacing w:val="-6"/>
          <w:sz w:val="18"/>
        </w:rPr>
        <w:t xml:space="preserve"> </w:t>
      </w:r>
      <w:r>
        <w:rPr>
          <w:i/>
          <w:color w:val="17365A"/>
          <w:sz w:val="18"/>
        </w:rPr>
        <w:t>Information</w:t>
      </w:r>
      <w:r>
        <w:rPr>
          <w:i/>
          <w:color w:val="17365A"/>
          <w:spacing w:val="-8"/>
          <w:sz w:val="18"/>
        </w:rPr>
        <w:t xml:space="preserve"> </w:t>
      </w:r>
      <w:r>
        <w:rPr>
          <w:i/>
          <w:color w:val="17365A"/>
          <w:sz w:val="18"/>
        </w:rPr>
        <w:t>of</w:t>
      </w:r>
      <w:r>
        <w:rPr>
          <w:i/>
          <w:color w:val="17365A"/>
          <w:spacing w:val="-9"/>
          <w:sz w:val="18"/>
        </w:rPr>
        <w:t xml:space="preserve"> </w:t>
      </w:r>
      <w:r>
        <w:rPr>
          <w:i/>
          <w:color w:val="17365A"/>
          <w:sz w:val="18"/>
        </w:rPr>
        <w:t>the</w:t>
      </w:r>
      <w:r>
        <w:rPr>
          <w:i/>
          <w:color w:val="17365A"/>
          <w:spacing w:val="25"/>
          <w:sz w:val="18"/>
        </w:rPr>
        <w:t xml:space="preserve"> </w:t>
      </w:r>
      <w:r>
        <w:rPr>
          <w:i/>
          <w:color w:val="17365A"/>
          <w:spacing w:val="-2"/>
          <w:sz w:val="18"/>
        </w:rPr>
        <w:t>Papua</w:t>
      </w:r>
    </w:p>
    <w:p w14:paraId="4C07B125" w14:textId="77777777" w:rsidR="00BC24A8" w:rsidRDefault="00000000">
      <w:pPr>
        <w:spacing w:before="1"/>
        <w:ind w:left="721"/>
        <w:rPr>
          <w:i/>
          <w:sz w:val="18"/>
        </w:rPr>
      </w:pPr>
      <w:r>
        <w:rPr>
          <w:i/>
          <w:color w:val="17365A"/>
          <w:sz w:val="18"/>
        </w:rPr>
        <w:t>Barat</w:t>
      </w:r>
      <w:r>
        <w:rPr>
          <w:i/>
          <w:color w:val="17365A"/>
          <w:spacing w:val="-3"/>
          <w:sz w:val="18"/>
        </w:rPr>
        <w:t xml:space="preserve"> </w:t>
      </w:r>
      <w:r>
        <w:rPr>
          <w:i/>
          <w:color w:val="17365A"/>
          <w:sz w:val="18"/>
        </w:rPr>
        <w:t>Daya</w:t>
      </w:r>
      <w:r>
        <w:rPr>
          <w:i/>
          <w:color w:val="17365A"/>
          <w:spacing w:val="-3"/>
          <w:sz w:val="18"/>
        </w:rPr>
        <w:t xml:space="preserve"> </w:t>
      </w:r>
      <w:r>
        <w:rPr>
          <w:i/>
          <w:color w:val="17365A"/>
          <w:sz w:val="18"/>
        </w:rPr>
        <w:t>Regional</w:t>
      </w:r>
      <w:r>
        <w:rPr>
          <w:i/>
          <w:color w:val="17365A"/>
          <w:spacing w:val="-4"/>
          <w:sz w:val="18"/>
        </w:rPr>
        <w:t xml:space="preserve"> </w:t>
      </w:r>
      <w:r>
        <w:rPr>
          <w:i/>
          <w:color w:val="17365A"/>
          <w:sz w:val="18"/>
        </w:rPr>
        <w:t>Development</w:t>
      </w:r>
      <w:r>
        <w:rPr>
          <w:i/>
          <w:color w:val="17365A"/>
          <w:spacing w:val="-3"/>
          <w:sz w:val="18"/>
        </w:rPr>
        <w:t xml:space="preserve"> </w:t>
      </w:r>
      <w:r>
        <w:rPr>
          <w:i/>
          <w:color w:val="17365A"/>
          <w:sz w:val="18"/>
        </w:rPr>
        <w:t>Planning</w:t>
      </w:r>
      <w:r>
        <w:rPr>
          <w:i/>
          <w:color w:val="17365A"/>
          <w:spacing w:val="-3"/>
          <w:sz w:val="18"/>
        </w:rPr>
        <w:t xml:space="preserve"> </w:t>
      </w:r>
      <w:r>
        <w:rPr>
          <w:i/>
          <w:color w:val="17365A"/>
          <w:sz w:val="18"/>
        </w:rPr>
        <w:t>Agency</w:t>
      </w:r>
      <w:r>
        <w:rPr>
          <w:i/>
          <w:color w:val="17365A"/>
          <w:spacing w:val="-1"/>
          <w:sz w:val="18"/>
        </w:rPr>
        <w:t xml:space="preserve"> </w:t>
      </w:r>
      <w:r>
        <w:rPr>
          <w:i/>
          <w:color w:val="17365A"/>
          <w:spacing w:val="-2"/>
          <w:sz w:val="18"/>
        </w:rPr>
        <w:t>(Bapperida)</w:t>
      </w:r>
    </w:p>
    <w:p w14:paraId="5E23BA4C" w14:textId="77777777" w:rsidR="00BC24A8" w:rsidRDefault="00BC24A8">
      <w:pPr>
        <w:pStyle w:val="BodyText"/>
        <w:rPr>
          <w:i/>
          <w:sz w:val="18"/>
        </w:rPr>
      </w:pPr>
    </w:p>
    <w:p w14:paraId="1BAED7FE" w14:textId="77777777" w:rsidR="00BC24A8" w:rsidRDefault="00BC24A8">
      <w:pPr>
        <w:pStyle w:val="BodyText"/>
        <w:spacing w:before="156"/>
        <w:rPr>
          <w:i/>
          <w:sz w:val="18"/>
        </w:rPr>
      </w:pPr>
    </w:p>
    <w:p w14:paraId="1DA0F1B5" w14:textId="77777777" w:rsidR="00BC24A8" w:rsidRDefault="00000000">
      <w:pPr>
        <w:spacing w:before="1"/>
        <w:ind w:left="395" w:right="794"/>
        <w:jc w:val="both"/>
        <w:rPr>
          <w:sz w:val="18"/>
        </w:rPr>
      </w:pPr>
      <w:r>
        <w:rPr>
          <w:sz w:val="18"/>
        </w:rPr>
        <w:t>Amid</w:t>
      </w:r>
      <w:r>
        <w:rPr>
          <w:spacing w:val="-7"/>
          <w:sz w:val="18"/>
        </w:rPr>
        <w:t xml:space="preserve"> </w:t>
      </w:r>
      <w:r>
        <w:rPr>
          <w:sz w:val="18"/>
        </w:rPr>
        <w:t>this</w:t>
      </w:r>
      <w:r>
        <w:rPr>
          <w:spacing w:val="-7"/>
          <w:sz w:val="18"/>
        </w:rPr>
        <w:t xml:space="preserve"> </w:t>
      </w:r>
      <w:r>
        <w:rPr>
          <w:sz w:val="18"/>
        </w:rPr>
        <w:t>situation,</w:t>
      </w:r>
      <w:r>
        <w:rPr>
          <w:spacing w:val="-8"/>
          <w:sz w:val="18"/>
        </w:rPr>
        <w:t xml:space="preserve"> </w:t>
      </w:r>
      <w:r>
        <w:rPr>
          <w:sz w:val="18"/>
        </w:rPr>
        <w:t>SKALA</w:t>
      </w:r>
      <w:r>
        <w:rPr>
          <w:spacing w:val="-7"/>
          <w:sz w:val="18"/>
        </w:rPr>
        <w:t xml:space="preserve"> </w:t>
      </w:r>
      <w:r>
        <w:rPr>
          <w:sz w:val="18"/>
        </w:rPr>
        <w:t>emerged</w:t>
      </w:r>
      <w:r>
        <w:rPr>
          <w:spacing w:val="-7"/>
          <w:sz w:val="18"/>
        </w:rPr>
        <w:t xml:space="preserve"> </w:t>
      </w:r>
      <w:r>
        <w:rPr>
          <w:sz w:val="18"/>
        </w:rPr>
        <w:t>as</w:t>
      </w:r>
      <w:r>
        <w:rPr>
          <w:spacing w:val="-7"/>
          <w:sz w:val="18"/>
        </w:rPr>
        <w:t xml:space="preserve"> </w:t>
      </w:r>
      <w:r>
        <w:rPr>
          <w:sz w:val="18"/>
        </w:rPr>
        <w:t>a</w:t>
      </w:r>
      <w:r>
        <w:rPr>
          <w:spacing w:val="-8"/>
          <w:sz w:val="18"/>
        </w:rPr>
        <w:t xml:space="preserve"> </w:t>
      </w:r>
      <w:r>
        <w:rPr>
          <w:sz w:val="18"/>
        </w:rPr>
        <w:t>partner</w:t>
      </w:r>
      <w:r>
        <w:rPr>
          <w:spacing w:val="-6"/>
          <w:sz w:val="18"/>
        </w:rPr>
        <w:t xml:space="preserve"> </w:t>
      </w:r>
      <w:r>
        <w:rPr>
          <w:sz w:val="18"/>
        </w:rPr>
        <w:t>supporting</w:t>
      </w:r>
      <w:r>
        <w:rPr>
          <w:spacing w:val="-7"/>
          <w:sz w:val="18"/>
        </w:rPr>
        <w:t xml:space="preserve"> </w:t>
      </w:r>
      <w:r>
        <w:rPr>
          <w:sz w:val="18"/>
        </w:rPr>
        <w:t>regional</w:t>
      </w:r>
      <w:r>
        <w:rPr>
          <w:spacing w:val="-6"/>
          <w:sz w:val="18"/>
        </w:rPr>
        <w:t xml:space="preserve"> </w:t>
      </w:r>
      <w:r>
        <w:rPr>
          <w:sz w:val="18"/>
        </w:rPr>
        <w:t>aspirations,</w:t>
      </w:r>
      <w:r>
        <w:rPr>
          <w:spacing w:val="-8"/>
          <w:sz w:val="18"/>
        </w:rPr>
        <w:t xml:space="preserve"> </w:t>
      </w:r>
      <w:r>
        <w:rPr>
          <w:sz w:val="18"/>
        </w:rPr>
        <w:t>promoting</w:t>
      </w:r>
      <w:r>
        <w:rPr>
          <w:spacing w:val="-7"/>
          <w:sz w:val="18"/>
        </w:rPr>
        <w:t xml:space="preserve"> </w:t>
      </w:r>
      <w:r>
        <w:rPr>
          <w:sz w:val="18"/>
        </w:rPr>
        <w:t>data</w:t>
      </w:r>
      <w:r>
        <w:rPr>
          <w:spacing w:val="-8"/>
          <w:sz w:val="18"/>
        </w:rPr>
        <w:t xml:space="preserve"> </w:t>
      </w:r>
      <w:r>
        <w:rPr>
          <w:sz w:val="18"/>
        </w:rPr>
        <w:t>as</w:t>
      </w:r>
      <w:r>
        <w:rPr>
          <w:spacing w:val="-7"/>
          <w:sz w:val="18"/>
        </w:rPr>
        <w:t xml:space="preserve"> </w:t>
      </w:r>
      <w:r>
        <w:rPr>
          <w:sz w:val="18"/>
        </w:rPr>
        <w:t>a</w:t>
      </w:r>
      <w:r>
        <w:rPr>
          <w:spacing w:val="-8"/>
          <w:sz w:val="18"/>
        </w:rPr>
        <w:t xml:space="preserve"> </w:t>
      </w:r>
      <w:r>
        <w:rPr>
          <w:sz w:val="18"/>
        </w:rPr>
        <w:t>key</w:t>
      </w:r>
      <w:r>
        <w:rPr>
          <w:spacing w:val="-7"/>
          <w:sz w:val="18"/>
        </w:rPr>
        <w:t xml:space="preserve"> </w:t>
      </w:r>
      <w:r>
        <w:rPr>
          <w:sz w:val="18"/>
        </w:rPr>
        <w:t>foundation</w:t>
      </w:r>
      <w:r>
        <w:rPr>
          <w:spacing w:val="-7"/>
          <w:sz w:val="18"/>
        </w:rPr>
        <w:t xml:space="preserve"> </w:t>
      </w:r>
      <w:r>
        <w:rPr>
          <w:sz w:val="18"/>
        </w:rPr>
        <w:t xml:space="preserve">for </w:t>
      </w:r>
      <w:r>
        <w:rPr>
          <w:spacing w:val="-2"/>
          <w:sz w:val="18"/>
        </w:rPr>
        <w:t>development. SKALA has supported this through technical assistance, regulatory facilitation, and capacity building, which</w:t>
      </w:r>
      <w:r>
        <w:rPr>
          <w:sz w:val="18"/>
        </w:rPr>
        <w:t xml:space="preserve"> have</w:t>
      </w:r>
      <w:r>
        <w:rPr>
          <w:spacing w:val="-5"/>
          <w:sz w:val="18"/>
        </w:rPr>
        <w:t xml:space="preserve"> </w:t>
      </w:r>
      <w:r>
        <w:rPr>
          <w:sz w:val="18"/>
        </w:rPr>
        <w:t>fostered</w:t>
      </w:r>
      <w:r>
        <w:rPr>
          <w:spacing w:val="-4"/>
          <w:sz w:val="18"/>
        </w:rPr>
        <w:t xml:space="preserve"> </w:t>
      </w:r>
      <w:r>
        <w:rPr>
          <w:sz w:val="18"/>
        </w:rPr>
        <w:t>the</w:t>
      </w:r>
      <w:r>
        <w:rPr>
          <w:spacing w:val="-4"/>
          <w:sz w:val="18"/>
        </w:rPr>
        <w:t xml:space="preserve"> </w:t>
      </w:r>
      <w:r>
        <w:rPr>
          <w:sz w:val="18"/>
        </w:rPr>
        <w:t>establishment</w:t>
      </w:r>
      <w:r>
        <w:rPr>
          <w:spacing w:val="-3"/>
          <w:sz w:val="18"/>
        </w:rPr>
        <w:t xml:space="preserve"> </w:t>
      </w:r>
      <w:r>
        <w:rPr>
          <w:sz w:val="18"/>
        </w:rPr>
        <w:t>of</w:t>
      </w:r>
      <w:r>
        <w:rPr>
          <w:spacing w:val="-5"/>
          <w:sz w:val="18"/>
        </w:rPr>
        <w:t xml:space="preserve"> </w:t>
      </w:r>
      <w:r>
        <w:rPr>
          <w:sz w:val="18"/>
        </w:rPr>
        <w:t>improved</w:t>
      </w:r>
      <w:r>
        <w:rPr>
          <w:spacing w:val="-4"/>
          <w:sz w:val="18"/>
        </w:rPr>
        <w:t xml:space="preserve"> </w:t>
      </w:r>
      <w:r>
        <w:rPr>
          <w:sz w:val="18"/>
        </w:rPr>
        <w:t>data</w:t>
      </w:r>
      <w:r>
        <w:rPr>
          <w:spacing w:val="-5"/>
          <w:sz w:val="18"/>
        </w:rPr>
        <w:t xml:space="preserve"> </w:t>
      </w:r>
      <w:r>
        <w:rPr>
          <w:sz w:val="18"/>
        </w:rPr>
        <w:t>governance.</w:t>
      </w:r>
      <w:r>
        <w:rPr>
          <w:spacing w:val="-5"/>
          <w:sz w:val="18"/>
        </w:rPr>
        <w:t xml:space="preserve"> </w:t>
      </w:r>
      <w:r>
        <w:rPr>
          <w:sz w:val="18"/>
        </w:rPr>
        <w:t>The</w:t>
      </w:r>
      <w:r>
        <w:rPr>
          <w:spacing w:val="-3"/>
          <w:sz w:val="18"/>
        </w:rPr>
        <w:t xml:space="preserve"> </w:t>
      </w:r>
      <w:r>
        <w:rPr>
          <w:sz w:val="18"/>
        </w:rPr>
        <w:t>One</w:t>
      </w:r>
      <w:r>
        <w:rPr>
          <w:spacing w:val="-4"/>
          <w:sz w:val="18"/>
        </w:rPr>
        <w:t xml:space="preserve"> </w:t>
      </w:r>
      <w:r>
        <w:rPr>
          <w:sz w:val="18"/>
        </w:rPr>
        <w:t>Data</w:t>
      </w:r>
      <w:r>
        <w:rPr>
          <w:spacing w:val="-5"/>
          <w:sz w:val="18"/>
        </w:rPr>
        <w:t xml:space="preserve"> </w:t>
      </w:r>
      <w:r>
        <w:rPr>
          <w:sz w:val="18"/>
        </w:rPr>
        <w:t>Forum</w:t>
      </w:r>
      <w:r>
        <w:rPr>
          <w:spacing w:val="-5"/>
          <w:sz w:val="18"/>
        </w:rPr>
        <w:t xml:space="preserve"> </w:t>
      </w:r>
      <w:r>
        <w:rPr>
          <w:sz w:val="18"/>
        </w:rPr>
        <w:t>has</w:t>
      </w:r>
      <w:r>
        <w:rPr>
          <w:spacing w:val="-4"/>
          <w:sz w:val="18"/>
        </w:rPr>
        <w:t xml:space="preserve"> </w:t>
      </w:r>
      <w:r>
        <w:rPr>
          <w:sz w:val="18"/>
        </w:rPr>
        <w:t>begun</w:t>
      </w:r>
      <w:r>
        <w:rPr>
          <w:spacing w:val="-4"/>
          <w:sz w:val="18"/>
        </w:rPr>
        <w:t xml:space="preserve"> </w:t>
      </w:r>
      <w:r>
        <w:rPr>
          <w:sz w:val="18"/>
        </w:rPr>
        <w:t>to</w:t>
      </w:r>
      <w:r>
        <w:rPr>
          <w:spacing w:val="-5"/>
          <w:sz w:val="18"/>
        </w:rPr>
        <w:t xml:space="preserve"> </w:t>
      </w:r>
      <w:r>
        <w:rPr>
          <w:sz w:val="18"/>
        </w:rPr>
        <w:t>fulfilling</w:t>
      </w:r>
      <w:r>
        <w:rPr>
          <w:spacing w:val="-5"/>
          <w:sz w:val="18"/>
        </w:rPr>
        <w:t xml:space="preserve"> </w:t>
      </w:r>
      <w:r>
        <w:rPr>
          <w:sz w:val="18"/>
        </w:rPr>
        <w:t>its</w:t>
      </w:r>
      <w:r>
        <w:rPr>
          <w:spacing w:val="-4"/>
          <w:sz w:val="18"/>
        </w:rPr>
        <w:t xml:space="preserve"> </w:t>
      </w:r>
      <w:r>
        <w:rPr>
          <w:sz w:val="18"/>
        </w:rPr>
        <w:t>role,</w:t>
      </w:r>
      <w:r>
        <w:rPr>
          <w:spacing w:val="-5"/>
          <w:sz w:val="18"/>
        </w:rPr>
        <w:t xml:space="preserve"> </w:t>
      </w:r>
      <w:r>
        <w:rPr>
          <w:sz w:val="18"/>
        </w:rPr>
        <w:t>now backed</w:t>
      </w:r>
      <w:r>
        <w:rPr>
          <w:spacing w:val="-8"/>
          <w:sz w:val="18"/>
        </w:rPr>
        <w:t xml:space="preserve"> </w:t>
      </w:r>
      <w:r>
        <w:rPr>
          <w:sz w:val="18"/>
        </w:rPr>
        <w:t>by</w:t>
      </w:r>
      <w:r>
        <w:rPr>
          <w:spacing w:val="-8"/>
          <w:sz w:val="18"/>
        </w:rPr>
        <w:t xml:space="preserve"> </w:t>
      </w:r>
      <w:r>
        <w:rPr>
          <w:sz w:val="18"/>
        </w:rPr>
        <w:t>sufficient</w:t>
      </w:r>
      <w:r>
        <w:rPr>
          <w:spacing w:val="-7"/>
          <w:sz w:val="18"/>
        </w:rPr>
        <w:t xml:space="preserve"> </w:t>
      </w:r>
      <w:r>
        <w:rPr>
          <w:sz w:val="18"/>
        </w:rPr>
        <w:t>funding—a</w:t>
      </w:r>
      <w:r>
        <w:rPr>
          <w:spacing w:val="-9"/>
          <w:sz w:val="18"/>
        </w:rPr>
        <w:t xml:space="preserve"> </w:t>
      </w:r>
      <w:r>
        <w:rPr>
          <w:sz w:val="18"/>
        </w:rPr>
        <w:t>clear</w:t>
      </w:r>
      <w:r>
        <w:rPr>
          <w:spacing w:val="-7"/>
          <w:sz w:val="18"/>
        </w:rPr>
        <w:t xml:space="preserve"> </w:t>
      </w:r>
      <w:r>
        <w:rPr>
          <w:sz w:val="18"/>
        </w:rPr>
        <w:t>indication</w:t>
      </w:r>
      <w:r>
        <w:rPr>
          <w:spacing w:val="-10"/>
          <w:sz w:val="18"/>
        </w:rPr>
        <w:t xml:space="preserve"> </w:t>
      </w:r>
      <w:r>
        <w:rPr>
          <w:sz w:val="18"/>
        </w:rPr>
        <w:t>that</w:t>
      </w:r>
      <w:r>
        <w:rPr>
          <w:spacing w:val="-9"/>
          <w:sz w:val="18"/>
        </w:rPr>
        <w:t xml:space="preserve"> </w:t>
      </w:r>
      <w:r>
        <w:rPr>
          <w:sz w:val="18"/>
        </w:rPr>
        <w:t>stakeholders</w:t>
      </w:r>
      <w:r>
        <w:rPr>
          <w:spacing w:val="-8"/>
          <w:sz w:val="18"/>
        </w:rPr>
        <w:t xml:space="preserve"> </w:t>
      </w:r>
      <w:r>
        <w:rPr>
          <w:sz w:val="18"/>
        </w:rPr>
        <w:t>are</w:t>
      </w:r>
      <w:r>
        <w:rPr>
          <w:spacing w:val="-8"/>
          <w:sz w:val="18"/>
        </w:rPr>
        <w:t xml:space="preserve"> </w:t>
      </w:r>
      <w:r>
        <w:rPr>
          <w:sz w:val="18"/>
        </w:rPr>
        <w:t>becoming</w:t>
      </w:r>
      <w:r>
        <w:rPr>
          <w:spacing w:val="-8"/>
          <w:sz w:val="18"/>
        </w:rPr>
        <w:t xml:space="preserve"> </w:t>
      </w:r>
      <w:r>
        <w:rPr>
          <w:sz w:val="18"/>
        </w:rPr>
        <w:t>increasingly</w:t>
      </w:r>
      <w:r>
        <w:rPr>
          <w:spacing w:val="-8"/>
          <w:sz w:val="18"/>
        </w:rPr>
        <w:t xml:space="preserve"> </w:t>
      </w:r>
      <w:r>
        <w:rPr>
          <w:sz w:val="18"/>
        </w:rPr>
        <w:t>aware</w:t>
      </w:r>
      <w:r>
        <w:rPr>
          <w:spacing w:val="-8"/>
          <w:sz w:val="18"/>
        </w:rPr>
        <w:t xml:space="preserve"> </w:t>
      </w:r>
      <w:r>
        <w:rPr>
          <w:sz w:val="18"/>
        </w:rPr>
        <w:t>of</w:t>
      </w:r>
      <w:r>
        <w:rPr>
          <w:spacing w:val="-9"/>
          <w:sz w:val="18"/>
        </w:rPr>
        <w:t xml:space="preserve"> </w:t>
      </w:r>
      <w:r>
        <w:rPr>
          <w:sz w:val="18"/>
        </w:rPr>
        <w:t>the</w:t>
      </w:r>
      <w:r>
        <w:rPr>
          <w:spacing w:val="-8"/>
          <w:sz w:val="18"/>
        </w:rPr>
        <w:t xml:space="preserve"> </w:t>
      </w:r>
      <w:r>
        <w:rPr>
          <w:sz w:val="18"/>
        </w:rPr>
        <w:t>importance</w:t>
      </w:r>
      <w:r>
        <w:rPr>
          <w:spacing w:val="-8"/>
          <w:sz w:val="18"/>
        </w:rPr>
        <w:t xml:space="preserve"> </w:t>
      </w:r>
      <w:r>
        <w:rPr>
          <w:sz w:val="18"/>
        </w:rPr>
        <w:t xml:space="preserve">of </w:t>
      </w:r>
      <w:r>
        <w:rPr>
          <w:spacing w:val="-2"/>
          <w:sz w:val="18"/>
        </w:rPr>
        <w:t>data.</w:t>
      </w:r>
    </w:p>
    <w:p w14:paraId="42657CB4" w14:textId="77777777" w:rsidR="00BC24A8" w:rsidRDefault="00BC24A8">
      <w:pPr>
        <w:pStyle w:val="BodyText"/>
        <w:rPr>
          <w:sz w:val="18"/>
        </w:rPr>
      </w:pPr>
    </w:p>
    <w:p w14:paraId="4A6DD7F6" w14:textId="77777777" w:rsidR="00BC24A8" w:rsidRDefault="00BC24A8">
      <w:pPr>
        <w:pStyle w:val="BodyText"/>
        <w:spacing w:before="142"/>
        <w:rPr>
          <w:sz w:val="18"/>
        </w:rPr>
      </w:pPr>
    </w:p>
    <w:p w14:paraId="7302D8A6" w14:textId="77777777" w:rsidR="00BC24A8" w:rsidRDefault="00000000">
      <w:pPr>
        <w:spacing w:line="290" w:lineRule="auto"/>
        <w:ind w:left="721" w:right="1130"/>
        <w:jc w:val="both"/>
        <w:rPr>
          <w:rFonts w:ascii="Times New Roman" w:hAnsi="Times New Roman"/>
          <w:b/>
          <w:i/>
          <w:sz w:val="18"/>
        </w:rPr>
      </w:pPr>
      <w:r>
        <w:rPr>
          <w:rFonts w:ascii="Times New Roman" w:hAnsi="Times New Roman"/>
          <w:b/>
          <w:i/>
          <w:color w:val="17365A"/>
          <w:sz w:val="18"/>
        </w:rPr>
        <w:t>SKALA’s role is to serve as a bridge connecting various parties, while also acting as a driving force that accelerates</w:t>
      </w:r>
      <w:r>
        <w:rPr>
          <w:rFonts w:ascii="Times New Roman" w:hAnsi="Times New Roman"/>
          <w:b/>
          <w:i/>
          <w:color w:val="17365A"/>
          <w:spacing w:val="-12"/>
          <w:sz w:val="18"/>
        </w:rPr>
        <w:t xml:space="preserve"> </w:t>
      </w:r>
      <w:r>
        <w:rPr>
          <w:rFonts w:ascii="Times New Roman" w:hAnsi="Times New Roman"/>
          <w:b/>
          <w:i/>
          <w:color w:val="17365A"/>
          <w:sz w:val="18"/>
        </w:rPr>
        <w:t>the</w:t>
      </w:r>
      <w:r>
        <w:rPr>
          <w:rFonts w:ascii="Times New Roman" w:hAnsi="Times New Roman"/>
          <w:b/>
          <w:i/>
          <w:color w:val="17365A"/>
          <w:spacing w:val="-11"/>
          <w:sz w:val="18"/>
        </w:rPr>
        <w:t xml:space="preserve"> </w:t>
      </w:r>
      <w:r>
        <w:rPr>
          <w:rFonts w:ascii="Times New Roman" w:hAnsi="Times New Roman"/>
          <w:b/>
          <w:i/>
          <w:color w:val="17365A"/>
          <w:sz w:val="18"/>
        </w:rPr>
        <w:t>implementation</w:t>
      </w:r>
      <w:r>
        <w:rPr>
          <w:rFonts w:ascii="Times New Roman" w:hAnsi="Times New Roman"/>
          <w:b/>
          <w:i/>
          <w:color w:val="17365A"/>
          <w:spacing w:val="-11"/>
          <w:sz w:val="18"/>
        </w:rPr>
        <w:t xml:space="preserve"> </w:t>
      </w:r>
      <w:r>
        <w:rPr>
          <w:rFonts w:ascii="Times New Roman" w:hAnsi="Times New Roman"/>
          <w:b/>
          <w:i/>
          <w:color w:val="17365A"/>
          <w:sz w:val="18"/>
        </w:rPr>
        <w:t>of</w:t>
      </w:r>
      <w:r>
        <w:rPr>
          <w:rFonts w:ascii="Times New Roman" w:hAnsi="Times New Roman"/>
          <w:b/>
          <w:i/>
          <w:color w:val="17365A"/>
          <w:spacing w:val="-11"/>
          <w:sz w:val="18"/>
        </w:rPr>
        <w:t xml:space="preserve"> </w:t>
      </w:r>
      <w:r>
        <w:rPr>
          <w:rFonts w:ascii="Times New Roman" w:hAnsi="Times New Roman"/>
          <w:b/>
          <w:i/>
          <w:color w:val="17365A"/>
          <w:sz w:val="18"/>
        </w:rPr>
        <w:t>One</w:t>
      </w:r>
      <w:r>
        <w:rPr>
          <w:rFonts w:ascii="Times New Roman" w:hAnsi="Times New Roman"/>
          <w:b/>
          <w:i/>
          <w:color w:val="17365A"/>
          <w:spacing w:val="-12"/>
          <w:sz w:val="18"/>
        </w:rPr>
        <w:t xml:space="preserve"> </w:t>
      </w:r>
      <w:r>
        <w:rPr>
          <w:rFonts w:ascii="Times New Roman" w:hAnsi="Times New Roman"/>
          <w:b/>
          <w:i/>
          <w:color w:val="17365A"/>
          <w:sz w:val="18"/>
        </w:rPr>
        <w:t>Data</w:t>
      </w:r>
      <w:r>
        <w:rPr>
          <w:rFonts w:ascii="Times New Roman" w:hAnsi="Times New Roman"/>
          <w:b/>
          <w:i/>
          <w:color w:val="17365A"/>
          <w:spacing w:val="24"/>
          <w:sz w:val="18"/>
        </w:rPr>
        <w:t xml:space="preserve"> </w:t>
      </w:r>
      <w:r>
        <w:rPr>
          <w:rFonts w:ascii="Times New Roman" w:hAnsi="Times New Roman"/>
          <w:b/>
          <w:i/>
          <w:color w:val="17365A"/>
          <w:sz w:val="18"/>
        </w:rPr>
        <w:t>Papua</w:t>
      </w:r>
      <w:r>
        <w:rPr>
          <w:rFonts w:ascii="Times New Roman" w:hAnsi="Times New Roman"/>
          <w:b/>
          <w:i/>
          <w:color w:val="17365A"/>
          <w:spacing w:val="-9"/>
          <w:sz w:val="18"/>
        </w:rPr>
        <w:t xml:space="preserve"> </w:t>
      </w:r>
      <w:r>
        <w:rPr>
          <w:rFonts w:ascii="Times New Roman" w:hAnsi="Times New Roman"/>
          <w:b/>
          <w:i/>
          <w:color w:val="17365A"/>
          <w:sz w:val="18"/>
        </w:rPr>
        <w:t>Barat</w:t>
      </w:r>
      <w:r>
        <w:rPr>
          <w:rFonts w:ascii="Times New Roman" w:hAnsi="Times New Roman"/>
          <w:b/>
          <w:i/>
          <w:color w:val="17365A"/>
          <w:spacing w:val="-11"/>
          <w:sz w:val="18"/>
        </w:rPr>
        <w:t xml:space="preserve"> </w:t>
      </w:r>
      <w:r>
        <w:rPr>
          <w:rFonts w:ascii="Times New Roman" w:hAnsi="Times New Roman"/>
          <w:b/>
          <w:i/>
          <w:color w:val="17365A"/>
          <w:sz w:val="18"/>
        </w:rPr>
        <w:t>Daya.</w:t>
      </w:r>
      <w:r>
        <w:rPr>
          <w:rFonts w:ascii="Times New Roman" w:hAnsi="Times New Roman"/>
          <w:b/>
          <w:i/>
          <w:color w:val="17365A"/>
          <w:spacing w:val="-11"/>
          <w:sz w:val="18"/>
        </w:rPr>
        <w:t xml:space="preserve"> </w:t>
      </w:r>
      <w:r>
        <w:rPr>
          <w:rFonts w:ascii="Times New Roman" w:hAnsi="Times New Roman"/>
          <w:b/>
          <w:i/>
          <w:color w:val="17365A"/>
          <w:sz w:val="18"/>
        </w:rPr>
        <w:t>The</w:t>
      </w:r>
      <w:r>
        <w:rPr>
          <w:rFonts w:ascii="Times New Roman" w:hAnsi="Times New Roman"/>
          <w:b/>
          <w:i/>
          <w:color w:val="17365A"/>
          <w:spacing w:val="-12"/>
          <w:sz w:val="18"/>
        </w:rPr>
        <w:t xml:space="preserve"> </w:t>
      </w:r>
      <w:r>
        <w:rPr>
          <w:rFonts w:ascii="Times New Roman" w:hAnsi="Times New Roman"/>
          <w:b/>
          <w:i/>
          <w:color w:val="17365A"/>
          <w:sz w:val="18"/>
        </w:rPr>
        <w:t>result?</w:t>
      </w:r>
      <w:r>
        <w:rPr>
          <w:rFonts w:ascii="Times New Roman" w:hAnsi="Times New Roman"/>
          <w:b/>
          <w:i/>
          <w:color w:val="17365A"/>
          <w:spacing w:val="-11"/>
          <w:sz w:val="18"/>
        </w:rPr>
        <w:t xml:space="preserve"> </w:t>
      </w:r>
      <w:r>
        <w:rPr>
          <w:rFonts w:ascii="Times New Roman" w:hAnsi="Times New Roman"/>
          <w:b/>
          <w:i/>
          <w:color w:val="17365A"/>
          <w:sz w:val="18"/>
        </w:rPr>
        <w:t>We</w:t>
      </w:r>
      <w:r>
        <w:rPr>
          <w:rFonts w:ascii="Times New Roman" w:hAnsi="Times New Roman"/>
          <w:b/>
          <w:i/>
          <w:color w:val="17365A"/>
          <w:spacing w:val="-11"/>
          <w:sz w:val="18"/>
        </w:rPr>
        <w:t xml:space="preserve"> </w:t>
      </w:r>
      <w:r>
        <w:rPr>
          <w:rFonts w:ascii="Times New Roman" w:hAnsi="Times New Roman"/>
          <w:b/>
          <w:i/>
          <w:color w:val="17365A"/>
          <w:sz w:val="18"/>
        </w:rPr>
        <w:t>now</w:t>
      </w:r>
      <w:r>
        <w:rPr>
          <w:rFonts w:ascii="Times New Roman" w:hAnsi="Times New Roman"/>
          <w:b/>
          <w:i/>
          <w:color w:val="17365A"/>
          <w:spacing w:val="-11"/>
          <w:sz w:val="18"/>
        </w:rPr>
        <w:t xml:space="preserve"> </w:t>
      </w:r>
      <w:r>
        <w:rPr>
          <w:rFonts w:ascii="Times New Roman" w:hAnsi="Times New Roman"/>
          <w:b/>
          <w:i/>
          <w:color w:val="17365A"/>
          <w:sz w:val="18"/>
        </w:rPr>
        <w:t>have</w:t>
      </w:r>
      <w:r>
        <w:rPr>
          <w:rFonts w:ascii="Times New Roman" w:hAnsi="Times New Roman"/>
          <w:b/>
          <w:i/>
          <w:color w:val="17365A"/>
          <w:spacing w:val="-12"/>
          <w:sz w:val="18"/>
        </w:rPr>
        <w:t xml:space="preserve"> </w:t>
      </w:r>
      <w:r>
        <w:rPr>
          <w:rFonts w:ascii="Times New Roman" w:hAnsi="Times New Roman"/>
          <w:b/>
          <w:i/>
          <w:color w:val="17365A"/>
          <w:sz w:val="18"/>
        </w:rPr>
        <w:t>Regional</w:t>
      </w:r>
      <w:r>
        <w:rPr>
          <w:rFonts w:ascii="Times New Roman" w:hAnsi="Times New Roman"/>
          <w:b/>
          <w:i/>
          <w:color w:val="17365A"/>
          <w:spacing w:val="-9"/>
          <w:sz w:val="18"/>
        </w:rPr>
        <w:t xml:space="preserve"> </w:t>
      </w:r>
      <w:r>
        <w:rPr>
          <w:rFonts w:ascii="Times New Roman" w:hAnsi="Times New Roman"/>
          <w:b/>
          <w:i/>
          <w:color w:val="17365A"/>
          <w:sz w:val="18"/>
        </w:rPr>
        <w:t>Sectoral Statistical Data available in e-Walidata</w:t>
      </w:r>
    </w:p>
    <w:p w14:paraId="4F3E41CE" w14:textId="77777777" w:rsidR="00BC24A8" w:rsidRDefault="00000000">
      <w:pPr>
        <w:spacing w:line="202" w:lineRule="exact"/>
        <w:ind w:left="721"/>
        <w:jc w:val="both"/>
        <w:rPr>
          <w:i/>
          <w:sz w:val="18"/>
        </w:rPr>
      </w:pPr>
      <w:r>
        <w:rPr>
          <w:i/>
          <w:color w:val="17365A"/>
          <w:sz w:val="18"/>
        </w:rPr>
        <w:t>Ibnu</w:t>
      </w:r>
      <w:r>
        <w:rPr>
          <w:i/>
          <w:color w:val="17365A"/>
          <w:spacing w:val="-8"/>
          <w:sz w:val="18"/>
        </w:rPr>
        <w:t xml:space="preserve"> </w:t>
      </w:r>
      <w:r>
        <w:rPr>
          <w:i/>
          <w:color w:val="17365A"/>
          <w:sz w:val="18"/>
        </w:rPr>
        <w:t>Rusyid,</w:t>
      </w:r>
      <w:r>
        <w:rPr>
          <w:i/>
          <w:color w:val="17365A"/>
          <w:spacing w:val="-9"/>
          <w:sz w:val="18"/>
        </w:rPr>
        <w:t xml:space="preserve"> </w:t>
      </w:r>
      <w:r>
        <w:rPr>
          <w:i/>
          <w:color w:val="17365A"/>
          <w:sz w:val="18"/>
        </w:rPr>
        <w:t>Head</w:t>
      </w:r>
      <w:r>
        <w:rPr>
          <w:i/>
          <w:color w:val="17365A"/>
          <w:spacing w:val="-8"/>
          <w:sz w:val="18"/>
        </w:rPr>
        <w:t xml:space="preserve"> </w:t>
      </w:r>
      <w:r>
        <w:rPr>
          <w:i/>
          <w:color w:val="17365A"/>
          <w:sz w:val="18"/>
        </w:rPr>
        <w:t>of</w:t>
      </w:r>
      <w:r>
        <w:rPr>
          <w:i/>
          <w:color w:val="17365A"/>
          <w:spacing w:val="-8"/>
          <w:sz w:val="18"/>
        </w:rPr>
        <w:t xml:space="preserve"> </w:t>
      </w:r>
      <w:r>
        <w:rPr>
          <w:i/>
          <w:color w:val="17365A"/>
          <w:sz w:val="18"/>
        </w:rPr>
        <w:t>Macro</w:t>
      </w:r>
      <w:r>
        <w:rPr>
          <w:i/>
          <w:color w:val="17365A"/>
          <w:spacing w:val="-8"/>
          <w:sz w:val="18"/>
        </w:rPr>
        <w:t xml:space="preserve"> </w:t>
      </w:r>
      <w:r>
        <w:rPr>
          <w:i/>
          <w:color w:val="17365A"/>
          <w:sz w:val="18"/>
        </w:rPr>
        <w:t>Planning,</w:t>
      </w:r>
      <w:r>
        <w:rPr>
          <w:i/>
          <w:color w:val="17365A"/>
          <w:spacing w:val="-9"/>
          <w:sz w:val="18"/>
        </w:rPr>
        <w:t xml:space="preserve"> </w:t>
      </w:r>
      <w:r>
        <w:rPr>
          <w:i/>
          <w:color w:val="17365A"/>
          <w:sz w:val="18"/>
        </w:rPr>
        <w:t>Control,</w:t>
      </w:r>
      <w:r>
        <w:rPr>
          <w:i/>
          <w:color w:val="17365A"/>
          <w:spacing w:val="-8"/>
          <w:sz w:val="18"/>
        </w:rPr>
        <w:t xml:space="preserve"> </w:t>
      </w:r>
      <w:r>
        <w:rPr>
          <w:i/>
          <w:color w:val="17365A"/>
          <w:sz w:val="18"/>
        </w:rPr>
        <w:t>Evaluation,</w:t>
      </w:r>
      <w:r>
        <w:rPr>
          <w:i/>
          <w:color w:val="17365A"/>
          <w:spacing w:val="-9"/>
          <w:sz w:val="18"/>
        </w:rPr>
        <w:t xml:space="preserve"> </w:t>
      </w:r>
      <w:r>
        <w:rPr>
          <w:i/>
          <w:color w:val="17365A"/>
          <w:sz w:val="18"/>
        </w:rPr>
        <w:t>and</w:t>
      </w:r>
      <w:r>
        <w:rPr>
          <w:i/>
          <w:color w:val="17365A"/>
          <w:spacing w:val="-8"/>
          <w:sz w:val="18"/>
        </w:rPr>
        <w:t xml:space="preserve"> </w:t>
      </w:r>
      <w:r>
        <w:rPr>
          <w:i/>
          <w:color w:val="17365A"/>
          <w:sz w:val="18"/>
        </w:rPr>
        <w:t>Regional</w:t>
      </w:r>
      <w:r>
        <w:rPr>
          <w:i/>
          <w:color w:val="17365A"/>
          <w:spacing w:val="-7"/>
          <w:sz w:val="18"/>
        </w:rPr>
        <w:t xml:space="preserve"> </w:t>
      </w:r>
      <w:r>
        <w:rPr>
          <w:i/>
          <w:color w:val="17365A"/>
          <w:sz w:val="18"/>
        </w:rPr>
        <w:t>Development</w:t>
      </w:r>
      <w:r>
        <w:rPr>
          <w:i/>
          <w:color w:val="17365A"/>
          <w:spacing w:val="-6"/>
          <w:sz w:val="18"/>
        </w:rPr>
        <w:t xml:space="preserve"> </w:t>
      </w:r>
      <w:r>
        <w:rPr>
          <w:i/>
          <w:color w:val="17365A"/>
          <w:sz w:val="18"/>
        </w:rPr>
        <w:t>Information</w:t>
      </w:r>
      <w:r>
        <w:rPr>
          <w:i/>
          <w:color w:val="17365A"/>
          <w:spacing w:val="-8"/>
          <w:sz w:val="18"/>
        </w:rPr>
        <w:t xml:space="preserve"> </w:t>
      </w:r>
      <w:r>
        <w:rPr>
          <w:i/>
          <w:color w:val="17365A"/>
          <w:sz w:val="18"/>
        </w:rPr>
        <w:t>of</w:t>
      </w:r>
      <w:r>
        <w:rPr>
          <w:i/>
          <w:color w:val="17365A"/>
          <w:spacing w:val="-9"/>
          <w:sz w:val="18"/>
        </w:rPr>
        <w:t xml:space="preserve"> </w:t>
      </w:r>
      <w:r>
        <w:rPr>
          <w:i/>
          <w:color w:val="17365A"/>
          <w:sz w:val="18"/>
        </w:rPr>
        <w:t>the</w:t>
      </w:r>
      <w:r>
        <w:rPr>
          <w:i/>
          <w:color w:val="17365A"/>
          <w:spacing w:val="25"/>
          <w:sz w:val="18"/>
        </w:rPr>
        <w:t xml:space="preserve"> </w:t>
      </w:r>
      <w:r>
        <w:rPr>
          <w:i/>
          <w:color w:val="17365A"/>
          <w:spacing w:val="-2"/>
          <w:sz w:val="18"/>
        </w:rPr>
        <w:t>Papua</w:t>
      </w:r>
    </w:p>
    <w:p w14:paraId="226F4C16" w14:textId="77777777" w:rsidR="00BC24A8" w:rsidRDefault="00000000">
      <w:pPr>
        <w:spacing w:before="2"/>
        <w:ind w:left="721"/>
        <w:jc w:val="both"/>
        <w:rPr>
          <w:i/>
          <w:sz w:val="18"/>
        </w:rPr>
      </w:pPr>
      <w:r>
        <w:rPr>
          <w:i/>
          <w:color w:val="17365A"/>
          <w:sz w:val="18"/>
        </w:rPr>
        <w:t>Barat</w:t>
      </w:r>
      <w:r>
        <w:rPr>
          <w:i/>
          <w:color w:val="17365A"/>
          <w:spacing w:val="-3"/>
          <w:sz w:val="18"/>
        </w:rPr>
        <w:t xml:space="preserve"> </w:t>
      </w:r>
      <w:r>
        <w:rPr>
          <w:i/>
          <w:color w:val="17365A"/>
          <w:sz w:val="18"/>
        </w:rPr>
        <w:t>Daya</w:t>
      </w:r>
      <w:r>
        <w:rPr>
          <w:i/>
          <w:color w:val="17365A"/>
          <w:spacing w:val="-3"/>
          <w:sz w:val="18"/>
        </w:rPr>
        <w:t xml:space="preserve"> </w:t>
      </w:r>
      <w:r>
        <w:rPr>
          <w:i/>
          <w:color w:val="17365A"/>
          <w:sz w:val="18"/>
        </w:rPr>
        <w:t>Regional</w:t>
      </w:r>
      <w:r>
        <w:rPr>
          <w:i/>
          <w:color w:val="17365A"/>
          <w:spacing w:val="-4"/>
          <w:sz w:val="18"/>
        </w:rPr>
        <w:t xml:space="preserve"> </w:t>
      </w:r>
      <w:r>
        <w:rPr>
          <w:i/>
          <w:color w:val="17365A"/>
          <w:sz w:val="18"/>
        </w:rPr>
        <w:t>Development</w:t>
      </w:r>
      <w:r>
        <w:rPr>
          <w:i/>
          <w:color w:val="17365A"/>
          <w:spacing w:val="-3"/>
          <w:sz w:val="18"/>
        </w:rPr>
        <w:t xml:space="preserve"> </w:t>
      </w:r>
      <w:r>
        <w:rPr>
          <w:i/>
          <w:color w:val="17365A"/>
          <w:sz w:val="18"/>
        </w:rPr>
        <w:t>Planning</w:t>
      </w:r>
      <w:r>
        <w:rPr>
          <w:i/>
          <w:color w:val="17365A"/>
          <w:spacing w:val="-3"/>
          <w:sz w:val="18"/>
        </w:rPr>
        <w:t xml:space="preserve"> </w:t>
      </w:r>
      <w:r>
        <w:rPr>
          <w:i/>
          <w:color w:val="17365A"/>
          <w:sz w:val="18"/>
        </w:rPr>
        <w:t>Agency</w:t>
      </w:r>
      <w:r>
        <w:rPr>
          <w:i/>
          <w:color w:val="17365A"/>
          <w:spacing w:val="-1"/>
          <w:sz w:val="18"/>
        </w:rPr>
        <w:t xml:space="preserve"> </w:t>
      </w:r>
      <w:r>
        <w:rPr>
          <w:i/>
          <w:color w:val="17365A"/>
          <w:spacing w:val="-2"/>
          <w:sz w:val="18"/>
        </w:rPr>
        <w:t>(Bapperida)</w:t>
      </w:r>
    </w:p>
    <w:p w14:paraId="22C6B013" w14:textId="77777777" w:rsidR="00BC24A8" w:rsidRDefault="00BC24A8">
      <w:pPr>
        <w:pStyle w:val="BodyText"/>
        <w:rPr>
          <w:i/>
          <w:sz w:val="18"/>
        </w:rPr>
      </w:pPr>
    </w:p>
    <w:p w14:paraId="3B5D98B4" w14:textId="77777777" w:rsidR="00BC24A8" w:rsidRDefault="00BC24A8">
      <w:pPr>
        <w:pStyle w:val="BodyText"/>
        <w:rPr>
          <w:i/>
          <w:sz w:val="18"/>
        </w:rPr>
      </w:pPr>
    </w:p>
    <w:p w14:paraId="10B7F607" w14:textId="77777777" w:rsidR="00BC24A8" w:rsidRDefault="00BC24A8">
      <w:pPr>
        <w:pStyle w:val="BodyText"/>
        <w:spacing w:before="44"/>
        <w:rPr>
          <w:i/>
          <w:sz w:val="18"/>
        </w:rPr>
      </w:pPr>
    </w:p>
    <w:p w14:paraId="7C662CB4" w14:textId="77777777" w:rsidR="00BC24A8" w:rsidRDefault="00000000">
      <w:pPr>
        <w:ind w:left="395" w:right="794"/>
        <w:jc w:val="both"/>
        <w:rPr>
          <w:sz w:val="18"/>
        </w:rPr>
      </w:pPr>
      <w:r>
        <w:rPr>
          <w:sz w:val="18"/>
        </w:rPr>
        <w:t>For Darmawati, Head of the Statistics Section, the Department of Communication, Informatics, Statistics, and Coding (Diskominfosatik), the involvement of SKALA has built understanding, fostered joint commitment, and brought real change. “</w:t>
      </w:r>
      <w:r>
        <w:rPr>
          <w:i/>
          <w:sz w:val="18"/>
        </w:rPr>
        <w:t>Papua Barat Daya Province extends its highest appreciation and gratitude to SKALA for its contribution in supporting the realisation of One Data</w:t>
      </w:r>
      <w:r>
        <w:rPr>
          <w:i/>
          <w:spacing w:val="40"/>
          <w:sz w:val="18"/>
        </w:rPr>
        <w:t xml:space="preserve"> </w:t>
      </w:r>
      <w:r>
        <w:rPr>
          <w:i/>
          <w:sz w:val="18"/>
        </w:rPr>
        <w:t>Papua Barat Daya.</w:t>
      </w:r>
      <w:r>
        <w:rPr>
          <w:sz w:val="18"/>
        </w:rPr>
        <w:t>”</w:t>
      </w:r>
    </w:p>
    <w:p w14:paraId="76CDDE23" w14:textId="77777777" w:rsidR="00BC24A8" w:rsidRDefault="00BC24A8">
      <w:pPr>
        <w:pStyle w:val="BodyText"/>
        <w:spacing w:before="1"/>
        <w:rPr>
          <w:sz w:val="18"/>
        </w:rPr>
      </w:pPr>
    </w:p>
    <w:p w14:paraId="52CFE285" w14:textId="77777777" w:rsidR="00BC24A8" w:rsidRDefault="00000000">
      <w:pPr>
        <w:ind w:left="395" w:right="793"/>
        <w:jc w:val="both"/>
        <w:rPr>
          <w:sz w:val="18"/>
        </w:rPr>
      </w:pPr>
      <w:r>
        <w:rPr>
          <w:sz w:val="18"/>
        </w:rPr>
        <w:t>Today,</w:t>
      </w:r>
      <w:r>
        <w:rPr>
          <w:spacing w:val="33"/>
          <w:sz w:val="18"/>
        </w:rPr>
        <w:t xml:space="preserve"> </w:t>
      </w:r>
      <w:r>
        <w:rPr>
          <w:sz w:val="18"/>
        </w:rPr>
        <w:t>Papua</w:t>
      </w:r>
      <w:r>
        <w:rPr>
          <w:spacing w:val="-5"/>
          <w:sz w:val="18"/>
        </w:rPr>
        <w:t xml:space="preserve"> </w:t>
      </w:r>
      <w:r>
        <w:rPr>
          <w:sz w:val="18"/>
        </w:rPr>
        <w:t>Barat</w:t>
      </w:r>
      <w:r>
        <w:rPr>
          <w:spacing w:val="-3"/>
          <w:sz w:val="18"/>
        </w:rPr>
        <w:t xml:space="preserve"> </w:t>
      </w:r>
      <w:r>
        <w:rPr>
          <w:sz w:val="18"/>
        </w:rPr>
        <w:t>Daya</w:t>
      </w:r>
      <w:r>
        <w:rPr>
          <w:spacing w:val="-5"/>
          <w:sz w:val="18"/>
        </w:rPr>
        <w:t xml:space="preserve"> </w:t>
      </w:r>
      <w:r>
        <w:rPr>
          <w:sz w:val="18"/>
        </w:rPr>
        <w:t>is</w:t>
      </w:r>
      <w:r>
        <w:rPr>
          <w:spacing w:val="-4"/>
          <w:sz w:val="18"/>
        </w:rPr>
        <w:t xml:space="preserve"> </w:t>
      </w:r>
      <w:r>
        <w:rPr>
          <w:sz w:val="18"/>
        </w:rPr>
        <w:t>moving</w:t>
      </w:r>
      <w:r>
        <w:rPr>
          <w:spacing w:val="-4"/>
          <w:sz w:val="18"/>
        </w:rPr>
        <w:t xml:space="preserve"> </w:t>
      </w:r>
      <w:r>
        <w:rPr>
          <w:sz w:val="18"/>
        </w:rPr>
        <w:t>forward</w:t>
      </w:r>
      <w:r>
        <w:rPr>
          <w:spacing w:val="-4"/>
          <w:sz w:val="18"/>
        </w:rPr>
        <w:t xml:space="preserve"> </w:t>
      </w:r>
      <w:r>
        <w:rPr>
          <w:sz w:val="18"/>
        </w:rPr>
        <w:t>with</w:t>
      </w:r>
      <w:r>
        <w:rPr>
          <w:spacing w:val="-4"/>
          <w:sz w:val="18"/>
        </w:rPr>
        <w:t xml:space="preserve"> </w:t>
      </w:r>
      <w:r>
        <w:rPr>
          <w:sz w:val="18"/>
        </w:rPr>
        <w:t>greater</w:t>
      </w:r>
      <w:r>
        <w:rPr>
          <w:spacing w:val="-4"/>
          <w:sz w:val="18"/>
        </w:rPr>
        <w:t xml:space="preserve"> </w:t>
      </w:r>
      <w:r>
        <w:rPr>
          <w:sz w:val="18"/>
        </w:rPr>
        <w:t>determination.</w:t>
      </w:r>
      <w:r>
        <w:rPr>
          <w:spacing w:val="-5"/>
          <w:sz w:val="18"/>
        </w:rPr>
        <w:t xml:space="preserve"> </w:t>
      </w:r>
      <w:r>
        <w:rPr>
          <w:sz w:val="18"/>
        </w:rPr>
        <w:t>What</w:t>
      </w:r>
      <w:r>
        <w:rPr>
          <w:spacing w:val="-3"/>
          <w:sz w:val="18"/>
        </w:rPr>
        <w:t xml:space="preserve"> </w:t>
      </w:r>
      <w:r>
        <w:rPr>
          <w:sz w:val="18"/>
        </w:rPr>
        <w:t>was</w:t>
      </w:r>
      <w:r>
        <w:rPr>
          <w:spacing w:val="-4"/>
          <w:sz w:val="18"/>
        </w:rPr>
        <w:t xml:space="preserve"> </w:t>
      </w:r>
      <w:r>
        <w:rPr>
          <w:sz w:val="18"/>
        </w:rPr>
        <w:t>once</w:t>
      </w:r>
      <w:r>
        <w:rPr>
          <w:spacing w:val="-4"/>
          <w:sz w:val="18"/>
        </w:rPr>
        <w:t xml:space="preserve"> </w:t>
      </w:r>
      <w:r>
        <w:rPr>
          <w:sz w:val="18"/>
        </w:rPr>
        <w:t>merely</w:t>
      </w:r>
      <w:r>
        <w:rPr>
          <w:spacing w:val="-4"/>
          <w:sz w:val="18"/>
        </w:rPr>
        <w:t xml:space="preserve"> </w:t>
      </w:r>
      <w:r>
        <w:rPr>
          <w:sz w:val="18"/>
        </w:rPr>
        <w:t>a</w:t>
      </w:r>
      <w:r>
        <w:rPr>
          <w:spacing w:val="-5"/>
          <w:sz w:val="18"/>
        </w:rPr>
        <w:t xml:space="preserve"> </w:t>
      </w:r>
      <w:r>
        <w:rPr>
          <w:sz w:val="18"/>
        </w:rPr>
        <w:t>spoken</w:t>
      </w:r>
      <w:r>
        <w:rPr>
          <w:spacing w:val="-4"/>
          <w:sz w:val="18"/>
        </w:rPr>
        <w:t xml:space="preserve"> </w:t>
      </w:r>
      <w:r>
        <w:rPr>
          <w:sz w:val="18"/>
        </w:rPr>
        <w:t>dream</w:t>
      </w:r>
      <w:r>
        <w:rPr>
          <w:spacing w:val="-5"/>
          <w:sz w:val="18"/>
        </w:rPr>
        <w:t xml:space="preserve"> </w:t>
      </w:r>
      <w:r>
        <w:rPr>
          <w:sz w:val="18"/>
        </w:rPr>
        <w:t>is</w:t>
      </w:r>
      <w:r>
        <w:rPr>
          <w:spacing w:val="-4"/>
          <w:sz w:val="18"/>
        </w:rPr>
        <w:t xml:space="preserve"> </w:t>
      </w:r>
      <w:r>
        <w:rPr>
          <w:sz w:val="18"/>
        </w:rPr>
        <w:t>now beginning to materialise: data has become a central resource guiding development toward a more deliberate and sustainable future.</w:t>
      </w:r>
    </w:p>
    <w:p w14:paraId="0C31E143" w14:textId="77777777" w:rsidR="00BC24A8" w:rsidRDefault="00BC24A8">
      <w:pPr>
        <w:pStyle w:val="BodyText"/>
      </w:pPr>
    </w:p>
    <w:p w14:paraId="709B6BC1" w14:textId="77777777" w:rsidR="00BC24A8" w:rsidRDefault="00BC24A8">
      <w:pPr>
        <w:pStyle w:val="BodyText"/>
        <w:spacing w:before="64"/>
      </w:pPr>
    </w:p>
    <w:p w14:paraId="1581AF98" w14:textId="77777777" w:rsidR="00BC24A8" w:rsidRDefault="00000000">
      <w:pPr>
        <w:pStyle w:val="BodyText"/>
        <w:ind w:left="143"/>
        <w:rPr>
          <w:rFonts w:ascii="Calibri"/>
        </w:rPr>
      </w:pPr>
      <w:r>
        <w:rPr>
          <w:rFonts w:ascii="Calibri"/>
          <w:color w:val="272727"/>
        </w:rPr>
        <w:t>Challenges</w:t>
      </w:r>
      <w:r>
        <w:rPr>
          <w:rFonts w:ascii="Calibri"/>
          <w:color w:val="272727"/>
          <w:spacing w:val="-7"/>
        </w:rPr>
        <w:t xml:space="preserve"> </w:t>
      </w:r>
      <w:r>
        <w:rPr>
          <w:rFonts w:ascii="Calibri"/>
          <w:color w:val="272727"/>
        </w:rPr>
        <w:t>and</w:t>
      </w:r>
      <w:r>
        <w:rPr>
          <w:rFonts w:ascii="Calibri"/>
          <w:color w:val="272727"/>
          <w:spacing w:val="-5"/>
        </w:rPr>
        <w:t xml:space="preserve"> </w:t>
      </w:r>
      <w:r>
        <w:rPr>
          <w:rFonts w:ascii="Calibri"/>
          <w:color w:val="272727"/>
        </w:rPr>
        <w:t>lessons</w:t>
      </w:r>
      <w:r>
        <w:rPr>
          <w:rFonts w:ascii="Calibri"/>
          <w:color w:val="272727"/>
          <w:spacing w:val="-4"/>
        </w:rPr>
        <w:t xml:space="preserve"> </w:t>
      </w:r>
      <w:r>
        <w:rPr>
          <w:rFonts w:ascii="Calibri"/>
          <w:color w:val="272727"/>
          <w:spacing w:val="-2"/>
        </w:rPr>
        <w:t>learned</w:t>
      </w:r>
    </w:p>
    <w:p w14:paraId="2B3A2406" w14:textId="77777777" w:rsidR="00BC24A8" w:rsidRDefault="00000000">
      <w:pPr>
        <w:pStyle w:val="Heading5"/>
        <w:spacing w:before="19" w:line="384" w:lineRule="auto"/>
        <w:ind w:right="3387"/>
      </w:pPr>
      <w:r>
        <w:rPr>
          <w:color w:val="17365A"/>
        </w:rPr>
        <w:t>Program</w:t>
      </w:r>
      <w:r>
        <w:rPr>
          <w:color w:val="17365A"/>
          <w:spacing w:val="-10"/>
        </w:rPr>
        <w:t xml:space="preserve"> </w:t>
      </w:r>
      <w:r>
        <w:rPr>
          <w:color w:val="17365A"/>
        </w:rPr>
        <w:t>implementation</w:t>
      </w:r>
      <w:r>
        <w:rPr>
          <w:color w:val="17365A"/>
          <w:spacing w:val="-11"/>
        </w:rPr>
        <w:t xml:space="preserve"> </w:t>
      </w:r>
      <w:r>
        <w:rPr>
          <w:color w:val="17365A"/>
        </w:rPr>
        <w:t>challenges,</w:t>
      </w:r>
      <w:r>
        <w:rPr>
          <w:color w:val="17365A"/>
          <w:spacing w:val="-12"/>
        </w:rPr>
        <w:t xml:space="preserve"> </w:t>
      </w:r>
      <w:r>
        <w:rPr>
          <w:color w:val="17365A"/>
        </w:rPr>
        <w:t>impacts,</w:t>
      </w:r>
      <w:r>
        <w:rPr>
          <w:color w:val="17365A"/>
          <w:spacing w:val="-10"/>
        </w:rPr>
        <w:t xml:space="preserve"> </w:t>
      </w:r>
      <w:r>
        <w:rPr>
          <w:color w:val="17365A"/>
        </w:rPr>
        <w:t>and</w:t>
      </w:r>
      <w:r>
        <w:rPr>
          <w:color w:val="17365A"/>
          <w:spacing w:val="-11"/>
        </w:rPr>
        <w:t xml:space="preserve"> </w:t>
      </w:r>
      <w:r>
        <w:rPr>
          <w:color w:val="17365A"/>
        </w:rPr>
        <w:t xml:space="preserve">solutions </w:t>
      </w:r>
      <w:r>
        <w:rPr>
          <w:spacing w:val="-2"/>
        </w:rPr>
        <w:t>Challenges</w:t>
      </w:r>
    </w:p>
    <w:p w14:paraId="7084D0CB" w14:textId="77777777" w:rsidR="00BC24A8" w:rsidRDefault="00000000">
      <w:pPr>
        <w:pStyle w:val="ListParagraph"/>
        <w:numPr>
          <w:ilvl w:val="0"/>
          <w:numId w:val="33"/>
        </w:numPr>
        <w:tabs>
          <w:tab w:val="left" w:pos="861"/>
        </w:tabs>
        <w:spacing w:line="266" w:lineRule="exact"/>
        <w:ind w:left="861" w:hanging="358"/>
      </w:pPr>
      <w:r>
        <w:t>The</w:t>
      </w:r>
      <w:r>
        <w:rPr>
          <w:spacing w:val="-8"/>
        </w:rPr>
        <w:t xml:space="preserve"> </w:t>
      </w:r>
      <w:r>
        <w:t>migration</w:t>
      </w:r>
      <w:r>
        <w:rPr>
          <w:spacing w:val="-6"/>
        </w:rPr>
        <w:t xml:space="preserve"> </w:t>
      </w:r>
      <w:r>
        <w:t>and</w:t>
      </w:r>
      <w:r>
        <w:rPr>
          <w:spacing w:val="-9"/>
        </w:rPr>
        <w:t xml:space="preserve"> </w:t>
      </w:r>
      <w:r>
        <w:t>sorting</w:t>
      </w:r>
      <w:r>
        <w:rPr>
          <w:spacing w:val="-10"/>
        </w:rPr>
        <w:t xml:space="preserve"> </w:t>
      </w:r>
      <w:r>
        <w:t>of</w:t>
      </w:r>
      <w:r>
        <w:rPr>
          <w:spacing w:val="-8"/>
        </w:rPr>
        <w:t xml:space="preserve"> </w:t>
      </w:r>
      <w:r>
        <w:t>district/city</w:t>
      </w:r>
      <w:r>
        <w:rPr>
          <w:spacing w:val="-6"/>
        </w:rPr>
        <w:t xml:space="preserve"> </w:t>
      </w:r>
      <w:r>
        <w:t>data</w:t>
      </w:r>
      <w:r>
        <w:rPr>
          <w:spacing w:val="-8"/>
        </w:rPr>
        <w:t xml:space="preserve"> </w:t>
      </w:r>
      <w:r>
        <w:t>in</w:t>
      </w:r>
      <w:r>
        <w:rPr>
          <w:spacing w:val="-6"/>
        </w:rPr>
        <w:t xml:space="preserve"> </w:t>
      </w:r>
      <w:r>
        <w:t>SAIK+</w:t>
      </w:r>
      <w:r>
        <w:rPr>
          <w:spacing w:val="-6"/>
        </w:rPr>
        <w:t xml:space="preserve"> </w:t>
      </w:r>
      <w:r>
        <w:t>still</w:t>
      </w:r>
      <w:r>
        <w:rPr>
          <w:spacing w:val="-8"/>
        </w:rPr>
        <w:t xml:space="preserve"> </w:t>
      </w:r>
      <w:r>
        <w:t>require</w:t>
      </w:r>
      <w:r>
        <w:rPr>
          <w:spacing w:val="-8"/>
        </w:rPr>
        <w:t xml:space="preserve"> </w:t>
      </w:r>
      <w:r>
        <w:t>further</w:t>
      </w:r>
      <w:r>
        <w:rPr>
          <w:spacing w:val="-6"/>
        </w:rPr>
        <w:t xml:space="preserve"> </w:t>
      </w:r>
      <w:r>
        <w:rPr>
          <w:spacing w:val="-2"/>
        </w:rPr>
        <w:t>adjustment.</w:t>
      </w:r>
    </w:p>
    <w:p w14:paraId="324AFB0D" w14:textId="77777777" w:rsidR="00BC24A8" w:rsidRDefault="00000000">
      <w:pPr>
        <w:pStyle w:val="ListParagraph"/>
        <w:numPr>
          <w:ilvl w:val="0"/>
          <w:numId w:val="33"/>
        </w:numPr>
        <w:tabs>
          <w:tab w:val="left" w:pos="861"/>
          <w:tab w:val="left" w:pos="863"/>
        </w:tabs>
        <w:spacing w:before="22" w:line="259" w:lineRule="auto"/>
        <w:ind w:right="562"/>
      </w:pPr>
      <w:r>
        <w:t>The implementation pause during January–March 2025 reduced the effective period to only three months, resulting in many delayed outputs.</w:t>
      </w:r>
    </w:p>
    <w:p w14:paraId="018DEC95" w14:textId="77777777" w:rsidR="00BC24A8" w:rsidRDefault="00000000">
      <w:pPr>
        <w:pStyle w:val="ListParagraph"/>
        <w:numPr>
          <w:ilvl w:val="0"/>
          <w:numId w:val="33"/>
        </w:numPr>
        <w:tabs>
          <w:tab w:val="left" w:pos="861"/>
        </w:tabs>
        <w:spacing w:before="1"/>
        <w:ind w:left="861" w:hanging="358"/>
      </w:pPr>
      <w:r>
        <w:t>Limited</w:t>
      </w:r>
      <w:r>
        <w:rPr>
          <w:spacing w:val="-6"/>
        </w:rPr>
        <w:t xml:space="preserve"> </w:t>
      </w:r>
      <w:r>
        <w:t>SKALA</w:t>
      </w:r>
      <w:r>
        <w:rPr>
          <w:spacing w:val="-9"/>
        </w:rPr>
        <w:t xml:space="preserve"> </w:t>
      </w:r>
      <w:r>
        <w:t>staffing</w:t>
      </w:r>
      <w:r>
        <w:rPr>
          <w:spacing w:val="-7"/>
        </w:rPr>
        <w:t xml:space="preserve"> </w:t>
      </w:r>
      <w:r>
        <w:t>at</w:t>
      </w:r>
      <w:r>
        <w:rPr>
          <w:spacing w:val="-6"/>
        </w:rPr>
        <w:t xml:space="preserve"> </w:t>
      </w:r>
      <w:r>
        <w:t>the</w:t>
      </w:r>
      <w:r>
        <w:rPr>
          <w:spacing w:val="-8"/>
        </w:rPr>
        <w:t xml:space="preserve"> </w:t>
      </w:r>
      <w:r>
        <w:t>regional</w:t>
      </w:r>
      <w:r>
        <w:rPr>
          <w:spacing w:val="-7"/>
        </w:rPr>
        <w:t xml:space="preserve"> </w:t>
      </w:r>
      <w:r>
        <w:t>level</w:t>
      </w:r>
      <w:r>
        <w:rPr>
          <w:spacing w:val="-8"/>
        </w:rPr>
        <w:t xml:space="preserve"> </w:t>
      </w:r>
      <w:r>
        <w:t>hindered</w:t>
      </w:r>
      <w:r>
        <w:rPr>
          <w:spacing w:val="-6"/>
        </w:rPr>
        <w:t xml:space="preserve"> </w:t>
      </w:r>
      <w:r>
        <w:t>the</w:t>
      </w:r>
      <w:r>
        <w:rPr>
          <w:spacing w:val="-8"/>
        </w:rPr>
        <w:t xml:space="preserve"> </w:t>
      </w:r>
      <w:r>
        <w:t>achievement</w:t>
      </w:r>
      <w:r>
        <w:rPr>
          <w:spacing w:val="-6"/>
        </w:rPr>
        <w:t xml:space="preserve"> </w:t>
      </w:r>
      <w:r>
        <w:t>of</w:t>
      </w:r>
      <w:r>
        <w:rPr>
          <w:spacing w:val="-8"/>
        </w:rPr>
        <w:t xml:space="preserve"> </w:t>
      </w:r>
      <w:r>
        <w:rPr>
          <w:spacing w:val="-2"/>
        </w:rPr>
        <w:t>targets.</w:t>
      </w:r>
    </w:p>
    <w:p w14:paraId="3CB9AEDA" w14:textId="77777777" w:rsidR="00BC24A8" w:rsidRDefault="00000000">
      <w:pPr>
        <w:pStyle w:val="ListParagraph"/>
        <w:numPr>
          <w:ilvl w:val="0"/>
          <w:numId w:val="33"/>
        </w:numPr>
        <w:tabs>
          <w:tab w:val="left" w:pos="861"/>
          <w:tab w:val="left" w:pos="863"/>
        </w:tabs>
        <w:spacing w:before="19" w:line="259" w:lineRule="auto"/>
        <w:ind w:right="564"/>
      </w:pPr>
      <w:r>
        <w:t>SKALA’s</w:t>
      </w:r>
      <w:r>
        <w:rPr>
          <w:spacing w:val="40"/>
        </w:rPr>
        <w:t xml:space="preserve"> </w:t>
      </w:r>
      <w:r>
        <w:t>support</w:t>
      </w:r>
      <w:r>
        <w:rPr>
          <w:spacing w:val="40"/>
        </w:rPr>
        <w:t xml:space="preserve"> </w:t>
      </w:r>
      <w:r>
        <w:t>at</w:t>
      </w:r>
      <w:r>
        <w:rPr>
          <w:spacing w:val="40"/>
        </w:rPr>
        <w:t xml:space="preserve"> </w:t>
      </w:r>
      <w:r>
        <w:t>the</w:t>
      </w:r>
      <w:r>
        <w:rPr>
          <w:spacing w:val="40"/>
        </w:rPr>
        <w:t xml:space="preserve"> </w:t>
      </w:r>
      <w:r>
        <w:t>provincial</w:t>
      </w:r>
      <w:r>
        <w:rPr>
          <w:spacing w:val="40"/>
        </w:rPr>
        <w:t xml:space="preserve"> </w:t>
      </w:r>
      <w:r>
        <w:t>level</w:t>
      </w:r>
      <w:r>
        <w:rPr>
          <w:spacing w:val="40"/>
        </w:rPr>
        <w:t xml:space="preserve"> </w:t>
      </w:r>
      <w:r>
        <w:t>has</w:t>
      </w:r>
      <w:r>
        <w:rPr>
          <w:spacing w:val="40"/>
        </w:rPr>
        <w:t xml:space="preserve"> </w:t>
      </w:r>
      <w:r>
        <w:t>not</w:t>
      </w:r>
      <w:r>
        <w:rPr>
          <w:spacing w:val="40"/>
        </w:rPr>
        <w:t xml:space="preserve"> </w:t>
      </w:r>
      <w:r>
        <w:t>fully</w:t>
      </w:r>
      <w:r>
        <w:rPr>
          <w:spacing w:val="40"/>
        </w:rPr>
        <w:t xml:space="preserve"> </w:t>
      </w:r>
      <w:r>
        <w:t>reached</w:t>
      </w:r>
      <w:r>
        <w:rPr>
          <w:spacing w:val="40"/>
        </w:rPr>
        <w:t xml:space="preserve"> </w:t>
      </w:r>
      <w:r>
        <w:t>districts/cities,</w:t>
      </w:r>
      <w:r>
        <w:rPr>
          <w:spacing w:val="40"/>
        </w:rPr>
        <w:t xml:space="preserve"> </w:t>
      </w:r>
      <w:r>
        <w:t>even</w:t>
      </w:r>
      <w:r>
        <w:rPr>
          <w:spacing w:val="40"/>
        </w:rPr>
        <w:t xml:space="preserve"> </w:t>
      </w:r>
      <w:r>
        <w:t>though provincial MSS achievements depend on district/city reports.</w:t>
      </w:r>
    </w:p>
    <w:p w14:paraId="3A75A6CE" w14:textId="77777777" w:rsidR="00BC24A8" w:rsidRDefault="00000000">
      <w:pPr>
        <w:pStyle w:val="ListParagraph"/>
        <w:numPr>
          <w:ilvl w:val="0"/>
          <w:numId w:val="33"/>
        </w:numPr>
        <w:tabs>
          <w:tab w:val="left" w:pos="861"/>
          <w:tab w:val="left" w:pos="863"/>
        </w:tabs>
        <w:spacing w:before="1" w:line="259" w:lineRule="auto"/>
        <w:ind w:right="563"/>
      </w:pPr>
      <w:r>
        <w:t>The</w:t>
      </w:r>
      <w:r>
        <w:rPr>
          <w:spacing w:val="80"/>
        </w:rPr>
        <w:t xml:space="preserve"> </w:t>
      </w:r>
      <w:r>
        <w:t>supervisory</w:t>
      </w:r>
      <w:r>
        <w:rPr>
          <w:spacing w:val="80"/>
        </w:rPr>
        <w:t xml:space="preserve"> </w:t>
      </w:r>
      <w:r>
        <w:t>function</w:t>
      </w:r>
      <w:r>
        <w:rPr>
          <w:spacing w:val="80"/>
        </w:rPr>
        <w:t xml:space="preserve"> </w:t>
      </w:r>
      <w:r>
        <w:t>(korbinwas)</w:t>
      </w:r>
      <w:r>
        <w:rPr>
          <w:spacing w:val="80"/>
        </w:rPr>
        <w:t xml:space="preserve"> </w:t>
      </w:r>
      <w:r>
        <w:t>of</w:t>
      </w:r>
      <w:r>
        <w:rPr>
          <w:spacing w:val="80"/>
        </w:rPr>
        <w:t xml:space="preserve"> </w:t>
      </w:r>
      <w:r>
        <w:t>the</w:t>
      </w:r>
      <w:r>
        <w:rPr>
          <w:spacing w:val="80"/>
        </w:rPr>
        <w:t xml:space="preserve"> </w:t>
      </w:r>
      <w:r>
        <w:t>provincial</w:t>
      </w:r>
      <w:r>
        <w:rPr>
          <w:spacing w:val="80"/>
        </w:rPr>
        <w:t xml:space="preserve"> </w:t>
      </w:r>
      <w:r>
        <w:t>MSS</w:t>
      </w:r>
      <w:r>
        <w:rPr>
          <w:spacing w:val="80"/>
        </w:rPr>
        <w:t xml:space="preserve"> </w:t>
      </w:r>
      <w:r>
        <w:t>Implementation</w:t>
      </w:r>
      <w:r>
        <w:rPr>
          <w:spacing w:val="80"/>
        </w:rPr>
        <w:t xml:space="preserve"> </w:t>
      </w:r>
      <w:r>
        <w:t>Team</w:t>
      </w:r>
      <w:r>
        <w:rPr>
          <w:spacing w:val="80"/>
        </w:rPr>
        <w:t xml:space="preserve"> </w:t>
      </w:r>
      <w:r>
        <w:t>for districts/cities</w:t>
      </w:r>
      <w:r>
        <w:rPr>
          <w:spacing w:val="-6"/>
        </w:rPr>
        <w:t xml:space="preserve"> </w:t>
      </w:r>
      <w:r>
        <w:t>has</w:t>
      </w:r>
      <w:r>
        <w:rPr>
          <w:spacing w:val="-6"/>
        </w:rPr>
        <w:t xml:space="preserve"> </w:t>
      </w:r>
      <w:r>
        <w:t>not</w:t>
      </w:r>
      <w:r>
        <w:rPr>
          <w:spacing w:val="-7"/>
        </w:rPr>
        <w:t xml:space="preserve"> </w:t>
      </w:r>
      <w:r>
        <w:t>been</w:t>
      </w:r>
      <w:r>
        <w:rPr>
          <w:spacing w:val="-4"/>
        </w:rPr>
        <w:t xml:space="preserve"> </w:t>
      </w:r>
      <w:r>
        <w:t>fully</w:t>
      </w:r>
      <w:r>
        <w:rPr>
          <w:spacing w:val="-4"/>
        </w:rPr>
        <w:t xml:space="preserve"> </w:t>
      </w:r>
      <w:r>
        <w:t>optimised</w:t>
      </w:r>
      <w:r>
        <w:rPr>
          <w:spacing w:val="-6"/>
        </w:rPr>
        <w:t xml:space="preserve"> </w:t>
      </w:r>
      <w:r>
        <w:t>due</w:t>
      </w:r>
      <w:r>
        <w:rPr>
          <w:spacing w:val="-6"/>
        </w:rPr>
        <w:t xml:space="preserve"> </w:t>
      </w:r>
      <w:r>
        <w:t>to</w:t>
      </w:r>
      <w:r>
        <w:rPr>
          <w:spacing w:val="-7"/>
        </w:rPr>
        <w:t xml:space="preserve"> </w:t>
      </w:r>
      <w:r>
        <w:t>budget</w:t>
      </w:r>
      <w:r>
        <w:rPr>
          <w:spacing w:val="-5"/>
        </w:rPr>
        <w:t xml:space="preserve"> </w:t>
      </w:r>
      <w:r>
        <w:t>and</w:t>
      </w:r>
      <w:r>
        <w:rPr>
          <w:spacing w:val="-4"/>
        </w:rPr>
        <w:t xml:space="preserve"> </w:t>
      </w:r>
      <w:r>
        <w:t>civil</w:t>
      </w:r>
      <w:r>
        <w:rPr>
          <w:spacing w:val="-6"/>
        </w:rPr>
        <w:t xml:space="preserve"> </w:t>
      </w:r>
      <w:r>
        <w:t>service</w:t>
      </w:r>
      <w:r>
        <w:rPr>
          <w:spacing w:val="-6"/>
        </w:rPr>
        <w:t xml:space="preserve"> </w:t>
      </w:r>
      <w:r>
        <w:t>capacity</w:t>
      </w:r>
      <w:r>
        <w:rPr>
          <w:spacing w:val="-4"/>
        </w:rPr>
        <w:t xml:space="preserve"> </w:t>
      </w:r>
      <w:r>
        <w:t>constraints.</w:t>
      </w:r>
    </w:p>
    <w:p w14:paraId="4E8D0853" w14:textId="77777777" w:rsidR="00BC24A8" w:rsidRDefault="00BC24A8">
      <w:pPr>
        <w:pStyle w:val="ListParagraph"/>
        <w:spacing w:line="259" w:lineRule="auto"/>
        <w:jc w:val="left"/>
        <w:sectPr w:rsidR="00BC24A8">
          <w:pgSz w:w="11910" w:h="16840"/>
          <w:pgMar w:top="1360" w:right="850" w:bottom="1100" w:left="1275" w:header="0" w:footer="907" w:gutter="0"/>
          <w:cols w:space="720"/>
        </w:sectPr>
      </w:pPr>
    </w:p>
    <w:p w14:paraId="138529AD" w14:textId="77777777" w:rsidR="00BC24A8" w:rsidRDefault="00000000">
      <w:pPr>
        <w:pStyle w:val="Heading5"/>
        <w:spacing w:before="39"/>
      </w:pPr>
      <w:r>
        <w:rPr>
          <w:spacing w:val="-2"/>
        </w:rPr>
        <w:t>Solutions</w:t>
      </w:r>
    </w:p>
    <w:p w14:paraId="769C9D4C" w14:textId="77777777" w:rsidR="00BC24A8" w:rsidRDefault="00000000">
      <w:pPr>
        <w:pStyle w:val="ListParagraph"/>
        <w:numPr>
          <w:ilvl w:val="0"/>
          <w:numId w:val="32"/>
        </w:numPr>
        <w:tabs>
          <w:tab w:val="left" w:pos="861"/>
          <w:tab w:val="left" w:pos="863"/>
        </w:tabs>
        <w:spacing w:before="159" w:line="259" w:lineRule="auto"/>
        <w:ind w:right="564"/>
      </w:pPr>
      <w:r>
        <w:t>Carry</w:t>
      </w:r>
      <w:r>
        <w:rPr>
          <w:spacing w:val="40"/>
        </w:rPr>
        <w:t xml:space="preserve"> </w:t>
      </w:r>
      <w:r>
        <w:t>forward</w:t>
      </w:r>
      <w:r>
        <w:rPr>
          <w:spacing w:val="40"/>
        </w:rPr>
        <w:t xml:space="preserve"> </w:t>
      </w:r>
      <w:r>
        <w:t>pending</w:t>
      </w:r>
      <w:r>
        <w:rPr>
          <w:spacing w:val="40"/>
        </w:rPr>
        <w:t xml:space="preserve"> </w:t>
      </w:r>
      <w:r>
        <w:t>outputs</w:t>
      </w:r>
      <w:r>
        <w:rPr>
          <w:spacing w:val="40"/>
        </w:rPr>
        <w:t xml:space="preserve"> </w:t>
      </w:r>
      <w:r>
        <w:t>to</w:t>
      </w:r>
      <w:r>
        <w:rPr>
          <w:spacing w:val="40"/>
        </w:rPr>
        <w:t xml:space="preserve"> </w:t>
      </w:r>
      <w:r>
        <w:t>the</w:t>
      </w:r>
      <w:r>
        <w:rPr>
          <w:spacing w:val="40"/>
        </w:rPr>
        <w:t xml:space="preserve"> </w:t>
      </w:r>
      <w:r>
        <w:t>following</w:t>
      </w:r>
      <w:r>
        <w:rPr>
          <w:spacing w:val="40"/>
        </w:rPr>
        <w:t xml:space="preserve"> </w:t>
      </w:r>
      <w:r>
        <w:t>year’s</w:t>
      </w:r>
      <w:r>
        <w:rPr>
          <w:spacing w:val="40"/>
        </w:rPr>
        <w:t xml:space="preserve"> </w:t>
      </w:r>
      <w:r>
        <w:t>Annual</w:t>
      </w:r>
      <w:r>
        <w:rPr>
          <w:spacing w:val="40"/>
        </w:rPr>
        <w:t xml:space="preserve"> </w:t>
      </w:r>
      <w:r>
        <w:t>Work</w:t>
      </w:r>
      <w:r>
        <w:rPr>
          <w:spacing w:val="40"/>
        </w:rPr>
        <w:t xml:space="preserve"> </w:t>
      </w:r>
      <w:r>
        <w:t>Plan</w:t>
      </w:r>
      <w:r>
        <w:rPr>
          <w:spacing w:val="40"/>
        </w:rPr>
        <w:t xml:space="preserve"> </w:t>
      </w:r>
      <w:r>
        <w:t>(AWP)</w:t>
      </w:r>
      <w:r>
        <w:rPr>
          <w:spacing w:val="40"/>
        </w:rPr>
        <w:t xml:space="preserve"> </w:t>
      </w:r>
      <w:r>
        <w:t>using</w:t>
      </w:r>
      <w:r>
        <w:rPr>
          <w:spacing w:val="40"/>
        </w:rPr>
        <w:t xml:space="preserve"> </w:t>
      </w:r>
      <w:r>
        <w:t>an accelerated strategy.</w:t>
      </w:r>
    </w:p>
    <w:p w14:paraId="714B6970" w14:textId="77777777" w:rsidR="00BC24A8" w:rsidRDefault="00000000">
      <w:pPr>
        <w:pStyle w:val="ListParagraph"/>
        <w:numPr>
          <w:ilvl w:val="0"/>
          <w:numId w:val="32"/>
        </w:numPr>
        <w:tabs>
          <w:tab w:val="left" w:pos="860"/>
          <w:tab w:val="left" w:pos="862"/>
        </w:tabs>
        <w:spacing w:line="259" w:lineRule="auto"/>
        <w:ind w:left="862" w:right="565"/>
      </w:pPr>
      <w:r>
        <w:t>Strengthen</w:t>
      </w:r>
      <w:r>
        <w:rPr>
          <w:spacing w:val="-12"/>
        </w:rPr>
        <w:t xml:space="preserve"> </w:t>
      </w:r>
      <w:r>
        <w:t>the</w:t>
      </w:r>
      <w:r>
        <w:rPr>
          <w:spacing w:val="-12"/>
        </w:rPr>
        <w:t xml:space="preserve"> </w:t>
      </w:r>
      <w:r>
        <w:t>supervisory</w:t>
      </w:r>
      <w:r>
        <w:rPr>
          <w:spacing w:val="-11"/>
        </w:rPr>
        <w:t xml:space="preserve"> </w:t>
      </w:r>
      <w:r>
        <w:t>function</w:t>
      </w:r>
      <w:r>
        <w:rPr>
          <w:spacing w:val="-11"/>
        </w:rPr>
        <w:t xml:space="preserve"> </w:t>
      </w:r>
      <w:r>
        <w:t>(korbinwas)</w:t>
      </w:r>
      <w:r>
        <w:rPr>
          <w:spacing w:val="-13"/>
        </w:rPr>
        <w:t xml:space="preserve"> </w:t>
      </w:r>
      <w:r>
        <w:t>of</w:t>
      </w:r>
      <w:r>
        <w:rPr>
          <w:spacing w:val="-10"/>
        </w:rPr>
        <w:t xml:space="preserve"> </w:t>
      </w:r>
      <w:r>
        <w:t>the</w:t>
      </w:r>
      <w:r>
        <w:rPr>
          <w:spacing w:val="-13"/>
        </w:rPr>
        <w:t xml:space="preserve"> </w:t>
      </w:r>
      <w:r>
        <w:t>provincial</w:t>
      </w:r>
      <w:r>
        <w:rPr>
          <w:spacing w:val="-12"/>
        </w:rPr>
        <w:t xml:space="preserve"> </w:t>
      </w:r>
      <w:r>
        <w:t>MSS</w:t>
      </w:r>
      <w:r>
        <w:rPr>
          <w:spacing w:val="-9"/>
        </w:rPr>
        <w:t xml:space="preserve"> </w:t>
      </w:r>
      <w:r>
        <w:t>Implementation</w:t>
      </w:r>
      <w:r>
        <w:rPr>
          <w:spacing w:val="-11"/>
        </w:rPr>
        <w:t xml:space="preserve"> </w:t>
      </w:r>
      <w:r>
        <w:t>Team</w:t>
      </w:r>
      <w:r>
        <w:rPr>
          <w:spacing w:val="-10"/>
        </w:rPr>
        <w:t xml:space="preserve"> </w:t>
      </w:r>
      <w:r>
        <w:t>to more effectively support districts/cities through technical training.</w:t>
      </w:r>
    </w:p>
    <w:p w14:paraId="7518DF33" w14:textId="77777777" w:rsidR="00BC24A8" w:rsidRDefault="00000000">
      <w:pPr>
        <w:pStyle w:val="ListParagraph"/>
        <w:numPr>
          <w:ilvl w:val="0"/>
          <w:numId w:val="32"/>
        </w:numPr>
        <w:tabs>
          <w:tab w:val="left" w:pos="860"/>
          <w:tab w:val="left" w:pos="862"/>
        </w:tabs>
        <w:spacing w:line="259" w:lineRule="auto"/>
        <w:ind w:left="862" w:right="565"/>
      </w:pPr>
      <w:r>
        <w:t>Adjust</w:t>
      </w:r>
      <w:r>
        <w:rPr>
          <w:spacing w:val="-3"/>
        </w:rPr>
        <w:t xml:space="preserve"> </w:t>
      </w:r>
      <w:r>
        <w:t>technical</w:t>
      </w:r>
      <w:r>
        <w:rPr>
          <w:spacing w:val="-3"/>
        </w:rPr>
        <w:t xml:space="preserve"> </w:t>
      </w:r>
      <w:r>
        <w:t>support</w:t>
      </w:r>
      <w:r>
        <w:rPr>
          <w:spacing w:val="-3"/>
        </w:rPr>
        <w:t xml:space="preserve"> </w:t>
      </w:r>
      <w:r>
        <w:t>and</w:t>
      </w:r>
      <w:r>
        <w:rPr>
          <w:spacing w:val="-2"/>
        </w:rPr>
        <w:t xml:space="preserve"> </w:t>
      </w:r>
      <w:r>
        <w:t>advocacy</w:t>
      </w:r>
      <w:r>
        <w:rPr>
          <w:spacing w:val="-1"/>
        </w:rPr>
        <w:t xml:space="preserve"> </w:t>
      </w:r>
      <w:r>
        <w:t>in</w:t>
      </w:r>
      <w:r>
        <w:rPr>
          <w:spacing w:val="-2"/>
        </w:rPr>
        <w:t xml:space="preserve"> </w:t>
      </w:r>
      <w:r>
        <w:t>line</w:t>
      </w:r>
      <w:r>
        <w:rPr>
          <w:spacing w:val="-4"/>
        </w:rPr>
        <w:t xml:space="preserve"> </w:t>
      </w:r>
      <w:r>
        <w:t>with</w:t>
      </w:r>
      <w:r>
        <w:rPr>
          <w:spacing w:val="-2"/>
        </w:rPr>
        <w:t xml:space="preserve"> </w:t>
      </w:r>
      <w:r>
        <w:t>the</w:t>
      </w:r>
      <w:r>
        <w:rPr>
          <w:spacing w:val="-4"/>
        </w:rPr>
        <w:t xml:space="preserve"> </w:t>
      </w:r>
      <w:r>
        <w:t>latest</w:t>
      </w:r>
      <w:r>
        <w:rPr>
          <w:spacing w:val="-3"/>
        </w:rPr>
        <w:t xml:space="preserve"> </w:t>
      </w:r>
      <w:r>
        <w:t>priorities</w:t>
      </w:r>
      <w:r>
        <w:rPr>
          <w:spacing w:val="-1"/>
        </w:rPr>
        <w:t xml:space="preserve"> </w:t>
      </w:r>
      <w:r>
        <w:t>of</w:t>
      </w:r>
      <w:r>
        <w:rPr>
          <w:spacing w:val="-4"/>
        </w:rPr>
        <w:t xml:space="preserve"> </w:t>
      </w:r>
      <w:r>
        <w:t>regional</w:t>
      </w:r>
      <w:r>
        <w:rPr>
          <w:spacing w:val="-3"/>
        </w:rPr>
        <w:t xml:space="preserve"> </w:t>
      </w:r>
      <w:r>
        <w:t>leaders,</w:t>
      </w:r>
      <w:r>
        <w:rPr>
          <w:spacing w:val="-4"/>
        </w:rPr>
        <w:t xml:space="preserve"> </w:t>
      </w:r>
      <w:r>
        <w:t>such as support for PPSB.</w:t>
      </w:r>
    </w:p>
    <w:p w14:paraId="5637AEEC" w14:textId="77777777" w:rsidR="00BC24A8" w:rsidRDefault="00000000">
      <w:pPr>
        <w:pStyle w:val="ListParagraph"/>
        <w:numPr>
          <w:ilvl w:val="0"/>
          <w:numId w:val="32"/>
        </w:numPr>
        <w:tabs>
          <w:tab w:val="left" w:pos="860"/>
        </w:tabs>
        <w:ind w:left="860" w:hanging="358"/>
      </w:pPr>
      <w:r>
        <w:t>Plan</w:t>
      </w:r>
      <w:r>
        <w:rPr>
          <w:spacing w:val="-5"/>
        </w:rPr>
        <w:t xml:space="preserve"> </w:t>
      </w:r>
      <w:r>
        <w:t>for</w:t>
      </w:r>
      <w:r>
        <w:rPr>
          <w:spacing w:val="-4"/>
        </w:rPr>
        <w:t xml:space="preserve"> </w:t>
      </w:r>
      <w:r>
        <w:t>the</w:t>
      </w:r>
      <w:r>
        <w:rPr>
          <w:spacing w:val="-5"/>
        </w:rPr>
        <w:t xml:space="preserve"> </w:t>
      </w:r>
      <w:r>
        <w:t>addition</w:t>
      </w:r>
      <w:r>
        <w:rPr>
          <w:spacing w:val="-4"/>
        </w:rPr>
        <w:t xml:space="preserve"> </w:t>
      </w:r>
      <w:r>
        <w:t>or</w:t>
      </w:r>
      <w:r>
        <w:rPr>
          <w:spacing w:val="-4"/>
        </w:rPr>
        <w:t xml:space="preserve"> </w:t>
      </w:r>
      <w:r>
        <w:t>optimisation</w:t>
      </w:r>
      <w:r>
        <w:rPr>
          <w:spacing w:val="-7"/>
        </w:rPr>
        <w:t xml:space="preserve"> </w:t>
      </w:r>
      <w:r>
        <w:t>of</w:t>
      </w:r>
      <w:r>
        <w:rPr>
          <w:spacing w:val="-6"/>
        </w:rPr>
        <w:t xml:space="preserve"> </w:t>
      </w:r>
      <w:r>
        <w:t>SKALA</w:t>
      </w:r>
      <w:r>
        <w:rPr>
          <w:spacing w:val="-7"/>
        </w:rPr>
        <w:t xml:space="preserve"> </w:t>
      </w:r>
      <w:r>
        <w:t>personnel</w:t>
      </w:r>
      <w:r>
        <w:rPr>
          <w:spacing w:val="-6"/>
        </w:rPr>
        <w:t xml:space="preserve"> </w:t>
      </w:r>
      <w:r>
        <w:t>in</w:t>
      </w:r>
      <w:r>
        <w:rPr>
          <w:spacing w:val="-4"/>
        </w:rPr>
        <w:t xml:space="preserve"> </w:t>
      </w:r>
      <w:r>
        <w:t>the</w:t>
      </w:r>
      <w:r>
        <w:rPr>
          <w:spacing w:val="-5"/>
        </w:rPr>
        <w:t xml:space="preserve"> </w:t>
      </w:r>
      <w:r>
        <w:rPr>
          <w:spacing w:val="-2"/>
        </w:rPr>
        <w:t>regions.</w:t>
      </w:r>
    </w:p>
    <w:p w14:paraId="313E7644" w14:textId="77777777" w:rsidR="00BC24A8" w:rsidRDefault="00BC24A8">
      <w:pPr>
        <w:pStyle w:val="BodyText"/>
        <w:spacing w:before="62"/>
      </w:pPr>
    </w:p>
    <w:p w14:paraId="444BE313" w14:textId="77777777" w:rsidR="00BC24A8" w:rsidRDefault="00000000">
      <w:pPr>
        <w:pStyle w:val="Heading5"/>
        <w:ind w:left="142"/>
      </w:pPr>
      <w:r>
        <w:rPr>
          <w:color w:val="17365A"/>
        </w:rPr>
        <w:t>Lessons</w:t>
      </w:r>
      <w:r>
        <w:rPr>
          <w:color w:val="17365A"/>
          <w:spacing w:val="-6"/>
        </w:rPr>
        <w:t xml:space="preserve"> </w:t>
      </w:r>
      <w:r>
        <w:rPr>
          <w:color w:val="17365A"/>
          <w:spacing w:val="-2"/>
        </w:rPr>
        <w:t>learned</w:t>
      </w:r>
    </w:p>
    <w:p w14:paraId="2E53179C" w14:textId="77777777" w:rsidR="00BC24A8" w:rsidRDefault="00BC24A8">
      <w:pPr>
        <w:pStyle w:val="BodyText"/>
        <w:spacing w:before="11"/>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621"/>
        <w:gridCol w:w="7478"/>
      </w:tblGrid>
      <w:tr w:rsidR="00BC24A8" w14:paraId="67DFAB3D" w14:textId="77777777">
        <w:trPr>
          <w:trHeight w:val="420"/>
        </w:trPr>
        <w:tc>
          <w:tcPr>
            <w:tcW w:w="1621" w:type="dxa"/>
            <w:shd w:val="clear" w:color="auto" w:fill="17365A"/>
          </w:tcPr>
          <w:p w14:paraId="44BD8EFE" w14:textId="77777777" w:rsidR="00BC24A8" w:rsidRDefault="00000000">
            <w:pPr>
              <w:pStyle w:val="TableParagraph"/>
              <w:spacing w:before="88"/>
              <w:ind w:left="115"/>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theme</w:t>
            </w:r>
          </w:p>
        </w:tc>
        <w:tc>
          <w:tcPr>
            <w:tcW w:w="7478" w:type="dxa"/>
            <w:shd w:val="clear" w:color="auto" w:fill="17365A"/>
          </w:tcPr>
          <w:p w14:paraId="37237F84" w14:textId="77777777" w:rsidR="00BC24A8" w:rsidRDefault="00000000">
            <w:pPr>
              <w:pStyle w:val="TableParagraph"/>
              <w:spacing w:before="88"/>
              <w:ind w:left="203"/>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description</w:t>
            </w:r>
          </w:p>
        </w:tc>
      </w:tr>
      <w:tr w:rsidR="00BC24A8" w14:paraId="01F4D66D" w14:textId="77777777">
        <w:trPr>
          <w:trHeight w:val="1569"/>
        </w:trPr>
        <w:tc>
          <w:tcPr>
            <w:tcW w:w="1621" w:type="dxa"/>
            <w:tcBorders>
              <w:bottom w:val="single" w:sz="4" w:space="0" w:color="BEBEBE"/>
            </w:tcBorders>
          </w:tcPr>
          <w:p w14:paraId="0AB93D86" w14:textId="77777777" w:rsidR="00BC24A8" w:rsidRDefault="00000000">
            <w:pPr>
              <w:pStyle w:val="TableParagraph"/>
              <w:spacing w:before="102"/>
              <w:ind w:left="259" w:right="377"/>
              <w:rPr>
                <w:sz w:val="18"/>
              </w:rPr>
            </w:pPr>
            <w:r>
              <w:rPr>
                <w:sz w:val="18"/>
              </w:rPr>
              <w:t>Provision</w:t>
            </w:r>
            <w:r>
              <w:rPr>
                <w:spacing w:val="-11"/>
                <w:sz w:val="18"/>
              </w:rPr>
              <w:t xml:space="preserve"> </w:t>
            </w:r>
            <w:r>
              <w:rPr>
                <w:sz w:val="18"/>
              </w:rPr>
              <w:t>and use of data</w:t>
            </w:r>
          </w:p>
        </w:tc>
        <w:tc>
          <w:tcPr>
            <w:tcW w:w="7478" w:type="dxa"/>
            <w:tcBorders>
              <w:bottom w:val="single" w:sz="4" w:space="0" w:color="BEBEBE"/>
            </w:tcBorders>
          </w:tcPr>
          <w:p w14:paraId="7F79E28A" w14:textId="77777777" w:rsidR="00BC24A8" w:rsidRDefault="00000000">
            <w:pPr>
              <w:pStyle w:val="TableParagraph"/>
              <w:spacing w:before="102"/>
              <w:ind w:left="347" w:right="249"/>
              <w:jc w:val="both"/>
              <w:rPr>
                <w:sz w:val="18"/>
              </w:rPr>
            </w:pPr>
            <w:r>
              <w:rPr>
                <w:sz w:val="18"/>
              </w:rPr>
              <w:t>Strong collaboration between technical provincial agencies, with the Regional Development Planning Agency (Bappeda) and the Communication and Informatics Office (Kominfo) as the leading sectors, accelerated the implementation of One Data and the issuance of supporting policies.</w:t>
            </w:r>
            <w:r>
              <w:rPr>
                <w:spacing w:val="-4"/>
                <w:sz w:val="18"/>
              </w:rPr>
              <w:t xml:space="preserve"> </w:t>
            </w:r>
            <w:r>
              <w:rPr>
                <w:sz w:val="18"/>
              </w:rPr>
              <w:t>This</w:t>
            </w:r>
            <w:r>
              <w:rPr>
                <w:spacing w:val="-3"/>
                <w:sz w:val="18"/>
              </w:rPr>
              <w:t xml:space="preserve"> </w:t>
            </w:r>
            <w:r>
              <w:rPr>
                <w:sz w:val="18"/>
              </w:rPr>
              <w:t>success</w:t>
            </w:r>
            <w:r>
              <w:rPr>
                <w:spacing w:val="-3"/>
                <w:sz w:val="18"/>
              </w:rPr>
              <w:t xml:space="preserve"> </w:t>
            </w:r>
            <w:r>
              <w:rPr>
                <w:sz w:val="18"/>
              </w:rPr>
              <w:t>was</w:t>
            </w:r>
            <w:r>
              <w:rPr>
                <w:spacing w:val="-3"/>
                <w:sz w:val="18"/>
              </w:rPr>
              <w:t xml:space="preserve"> </w:t>
            </w:r>
            <w:r>
              <w:rPr>
                <w:sz w:val="18"/>
              </w:rPr>
              <w:t>driven</w:t>
            </w:r>
            <w:r>
              <w:rPr>
                <w:spacing w:val="-3"/>
                <w:sz w:val="18"/>
              </w:rPr>
              <w:t xml:space="preserve"> </w:t>
            </w:r>
            <w:r>
              <w:rPr>
                <w:sz w:val="18"/>
              </w:rPr>
              <w:t>by</w:t>
            </w:r>
            <w:r>
              <w:rPr>
                <w:spacing w:val="-3"/>
                <w:sz w:val="18"/>
              </w:rPr>
              <w:t xml:space="preserve"> </w:t>
            </w:r>
            <w:r>
              <w:rPr>
                <w:sz w:val="18"/>
              </w:rPr>
              <w:t>planned</w:t>
            </w:r>
            <w:r>
              <w:rPr>
                <w:spacing w:val="-3"/>
                <w:sz w:val="18"/>
              </w:rPr>
              <w:t xml:space="preserve"> </w:t>
            </w:r>
            <w:r>
              <w:rPr>
                <w:sz w:val="18"/>
              </w:rPr>
              <w:t>coordination</w:t>
            </w:r>
            <w:r>
              <w:rPr>
                <w:spacing w:val="-3"/>
                <w:sz w:val="18"/>
              </w:rPr>
              <w:t xml:space="preserve"> </w:t>
            </w:r>
            <w:r>
              <w:rPr>
                <w:sz w:val="18"/>
              </w:rPr>
              <w:t>and</w:t>
            </w:r>
            <w:r>
              <w:rPr>
                <w:spacing w:val="-3"/>
                <w:sz w:val="18"/>
              </w:rPr>
              <w:t xml:space="preserve"> </w:t>
            </w:r>
            <w:r>
              <w:rPr>
                <w:sz w:val="18"/>
              </w:rPr>
              <w:t>clearly</w:t>
            </w:r>
            <w:r>
              <w:rPr>
                <w:spacing w:val="-4"/>
                <w:sz w:val="18"/>
              </w:rPr>
              <w:t xml:space="preserve"> </w:t>
            </w:r>
            <w:r>
              <w:rPr>
                <w:sz w:val="18"/>
              </w:rPr>
              <w:t>defined</w:t>
            </w:r>
            <w:r>
              <w:rPr>
                <w:spacing w:val="-3"/>
                <w:sz w:val="18"/>
              </w:rPr>
              <w:t xml:space="preserve"> </w:t>
            </w:r>
            <w:r>
              <w:rPr>
                <w:sz w:val="18"/>
              </w:rPr>
              <w:t>roles.</w:t>
            </w:r>
            <w:r>
              <w:rPr>
                <w:spacing w:val="-4"/>
                <w:sz w:val="18"/>
              </w:rPr>
              <w:t xml:space="preserve"> </w:t>
            </w:r>
            <w:r>
              <w:rPr>
                <w:sz w:val="18"/>
              </w:rPr>
              <w:t>To</w:t>
            </w:r>
            <w:r>
              <w:rPr>
                <w:spacing w:val="-4"/>
                <w:sz w:val="18"/>
              </w:rPr>
              <w:t xml:space="preserve"> </w:t>
            </w:r>
            <w:r>
              <w:rPr>
                <w:sz w:val="18"/>
              </w:rPr>
              <w:t>replicate in other areas, cross-provincial agencies commitment, role clarity, and effective coordination mechanisms must be ensured.</w:t>
            </w:r>
          </w:p>
        </w:tc>
      </w:tr>
      <w:tr w:rsidR="00BC24A8" w14:paraId="1DABBC4C" w14:textId="77777777">
        <w:trPr>
          <w:trHeight w:val="1653"/>
        </w:trPr>
        <w:tc>
          <w:tcPr>
            <w:tcW w:w="1621" w:type="dxa"/>
            <w:tcBorders>
              <w:top w:val="single" w:sz="4" w:space="0" w:color="BEBEBE"/>
              <w:bottom w:val="single" w:sz="4" w:space="0" w:color="BEBEBE"/>
            </w:tcBorders>
          </w:tcPr>
          <w:p w14:paraId="28D2C4AD" w14:textId="77777777" w:rsidR="00BC24A8" w:rsidRDefault="00000000">
            <w:pPr>
              <w:pStyle w:val="TableParagraph"/>
              <w:spacing w:before="59"/>
              <w:ind w:left="259" w:right="202"/>
              <w:jc w:val="both"/>
              <w:rPr>
                <w:sz w:val="18"/>
              </w:rPr>
            </w:pPr>
            <w:r>
              <w:rPr>
                <w:sz w:val="18"/>
              </w:rPr>
              <w:t>Optimisation</w:t>
            </w:r>
            <w:r>
              <w:rPr>
                <w:spacing w:val="-2"/>
                <w:sz w:val="18"/>
              </w:rPr>
              <w:t xml:space="preserve"> </w:t>
            </w:r>
            <w:r>
              <w:rPr>
                <w:sz w:val="18"/>
              </w:rPr>
              <w:t>of local</w:t>
            </w:r>
            <w:r>
              <w:rPr>
                <w:spacing w:val="-11"/>
                <w:sz w:val="18"/>
              </w:rPr>
              <w:t xml:space="preserve"> </w:t>
            </w:r>
            <w:r>
              <w:rPr>
                <w:sz w:val="18"/>
              </w:rPr>
              <w:t>finance</w:t>
            </w:r>
            <w:r>
              <w:rPr>
                <w:spacing w:val="-10"/>
                <w:sz w:val="18"/>
              </w:rPr>
              <w:t xml:space="preserve"> </w:t>
            </w:r>
            <w:r>
              <w:rPr>
                <w:sz w:val="18"/>
              </w:rPr>
              <w:t>for MSS and GEDSI</w:t>
            </w:r>
          </w:p>
        </w:tc>
        <w:tc>
          <w:tcPr>
            <w:tcW w:w="7478" w:type="dxa"/>
            <w:tcBorders>
              <w:top w:val="single" w:sz="4" w:space="0" w:color="BEBEBE"/>
              <w:bottom w:val="single" w:sz="4" w:space="0" w:color="BEBEBE"/>
            </w:tcBorders>
          </w:tcPr>
          <w:p w14:paraId="38CFF9B7" w14:textId="77777777" w:rsidR="00BC24A8" w:rsidRDefault="00000000">
            <w:pPr>
              <w:pStyle w:val="TableParagraph"/>
              <w:spacing w:before="59"/>
              <w:ind w:left="347" w:right="248"/>
              <w:jc w:val="both"/>
              <w:rPr>
                <w:sz w:val="18"/>
              </w:rPr>
            </w:pPr>
            <w:r>
              <w:rPr>
                <w:sz w:val="18"/>
              </w:rPr>
              <w:t>Optimising</w:t>
            </w:r>
            <w:r>
              <w:rPr>
                <w:spacing w:val="-2"/>
                <w:sz w:val="18"/>
              </w:rPr>
              <w:t xml:space="preserve"> </w:t>
            </w:r>
            <w:r>
              <w:rPr>
                <w:sz w:val="18"/>
              </w:rPr>
              <w:t>MSS</w:t>
            </w:r>
            <w:r>
              <w:rPr>
                <w:spacing w:val="-1"/>
                <w:sz w:val="18"/>
              </w:rPr>
              <w:t xml:space="preserve"> </w:t>
            </w:r>
            <w:r>
              <w:rPr>
                <w:sz w:val="18"/>
              </w:rPr>
              <w:t>implementation</w:t>
            </w:r>
            <w:r>
              <w:rPr>
                <w:spacing w:val="-1"/>
                <w:sz w:val="18"/>
              </w:rPr>
              <w:t xml:space="preserve"> </w:t>
            </w:r>
            <w:r>
              <w:rPr>
                <w:sz w:val="18"/>
              </w:rPr>
              <w:t>is</w:t>
            </w:r>
            <w:r>
              <w:rPr>
                <w:spacing w:val="-1"/>
                <w:sz w:val="18"/>
              </w:rPr>
              <w:t xml:space="preserve"> </w:t>
            </w:r>
            <w:r>
              <w:rPr>
                <w:sz w:val="18"/>
              </w:rPr>
              <w:t>a</w:t>
            </w:r>
            <w:r>
              <w:rPr>
                <w:spacing w:val="-2"/>
                <w:sz w:val="18"/>
              </w:rPr>
              <w:t xml:space="preserve"> </w:t>
            </w:r>
            <w:r>
              <w:rPr>
                <w:sz w:val="18"/>
              </w:rPr>
              <w:t>shared</w:t>
            </w:r>
            <w:r>
              <w:rPr>
                <w:spacing w:val="-1"/>
                <w:sz w:val="18"/>
              </w:rPr>
              <w:t xml:space="preserve"> </w:t>
            </w:r>
            <w:r>
              <w:rPr>
                <w:sz w:val="18"/>
              </w:rPr>
              <w:t>responsibility</w:t>
            </w:r>
            <w:r>
              <w:rPr>
                <w:spacing w:val="-1"/>
                <w:sz w:val="18"/>
              </w:rPr>
              <w:t xml:space="preserve"> </w:t>
            </w:r>
            <w:r>
              <w:rPr>
                <w:sz w:val="18"/>
              </w:rPr>
              <w:t>of</w:t>
            </w:r>
            <w:r>
              <w:rPr>
                <w:spacing w:val="-2"/>
                <w:sz w:val="18"/>
              </w:rPr>
              <w:t xml:space="preserve"> </w:t>
            </w:r>
            <w:r>
              <w:rPr>
                <w:sz w:val="18"/>
              </w:rPr>
              <w:t>all local government stakeholders. Although not directly involved in MSS planning, the Regional Financial and Asset Management Agency (BPKAD) actively reminds provincial agencies and the Regional Government Budget Team</w:t>
            </w:r>
            <w:r>
              <w:rPr>
                <w:spacing w:val="-11"/>
                <w:sz w:val="18"/>
              </w:rPr>
              <w:t xml:space="preserve"> </w:t>
            </w:r>
            <w:r>
              <w:rPr>
                <w:sz w:val="18"/>
              </w:rPr>
              <w:t>(TAPD)</w:t>
            </w:r>
            <w:r>
              <w:rPr>
                <w:spacing w:val="-10"/>
                <w:sz w:val="18"/>
              </w:rPr>
              <w:t xml:space="preserve"> </w:t>
            </w:r>
            <w:r>
              <w:rPr>
                <w:sz w:val="18"/>
              </w:rPr>
              <w:t>if</w:t>
            </w:r>
            <w:r>
              <w:rPr>
                <w:spacing w:val="-10"/>
                <w:sz w:val="18"/>
              </w:rPr>
              <w:t xml:space="preserve"> </w:t>
            </w:r>
            <w:r>
              <w:rPr>
                <w:sz w:val="18"/>
              </w:rPr>
              <w:t>the</w:t>
            </w:r>
            <w:r>
              <w:rPr>
                <w:spacing w:val="-10"/>
                <w:sz w:val="18"/>
              </w:rPr>
              <w:t xml:space="preserve"> </w:t>
            </w:r>
            <w:r>
              <w:rPr>
                <w:sz w:val="18"/>
              </w:rPr>
              <w:t>responsible</w:t>
            </w:r>
            <w:r>
              <w:rPr>
                <w:spacing w:val="-10"/>
                <w:sz w:val="18"/>
              </w:rPr>
              <w:t xml:space="preserve"> </w:t>
            </w:r>
            <w:r>
              <w:rPr>
                <w:sz w:val="18"/>
              </w:rPr>
              <w:t>provincial</w:t>
            </w:r>
            <w:r>
              <w:rPr>
                <w:spacing w:val="-9"/>
                <w:sz w:val="18"/>
              </w:rPr>
              <w:t xml:space="preserve"> </w:t>
            </w:r>
            <w:r>
              <w:rPr>
                <w:sz w:val="18"/>
              </w:rPr>
              <w:t>agencies</w:t>
            </w:r>
            <w:r>
              <w:rPr>
                <w:spacing w:val="-10"/>
                <w:sz w:val="18"/>
              </w:rPr>
              <w:t xml:space="preserve"> </w:t>
            </w:r>
            <w:r>
              <w:rPr>
                <w:sz w:val="18"/>
              </w:rPr>
              <w:t>have</w:t>
            </w:r>
            <w:r>
              <w:rPr>
                <w:spacing w:val="-10"/>
                <w:sz w:val="18"/>
              </w:rPr>
              <w:t xml:space="preserve"> </w:t>
            </w:r>
            <w:r>
              <w:rPr>
                <w:sz w:val="18"/>
              </w:rPr>
              <w:t>not</w:t>
            </w:r>
            <w:r>
              <w:rPr>
                <w:spacing w:val="-9"/>
                <w:sz w:val="18"/>
              </w:rPr>
              <w:t xml:space="preserve"> </w:t>
            </w:r>
            <w:r>
              <w:rPr>
                <w:sz w:val="18"/>
              </w:rPr>
              <w:t>allocated</w:t>
            </w:r>
            <w:r>
              <w:rPr>
                <w:spacing w:val="-9"/>
                <w:sz w:val="18"/>
              </w:rPr>
              <w:t xml:space="preserve"> </w:t>
            </w:r>
            <w:r>
              <w:rPr>
                <w:sz w:val="18"/>
              </w:rPr>
              <w:t>budgets</w:t>
            </w:r>
            <w:r>
              <w:rPr>
                <w:spacing w:val="-10"/>
                <w:sz w:val="18"/>
              </w:rPr>
              <w:t xml:space="preserve"> </w:t>
            </w:r>
            <w:r>
              <w:rPr>
                <w:sz w:val="18"/>
              </w:rPr>
              <w:t>for</w:t>
            </w:r>
            <w:r>
              <w:rPr>
                <w:spacing w:val="-9"/>
                <w:sz w:val="18"/>
              </w:rPr>
              <w:t xml:space="preserve"> </w:t>
            </w:r>
            <w:r>
              <w:rPr>
                <w:sz w:val="18"/>
              </w:rPr>
              <w:t>MSS</w:t>
            </w:r>
            <w:r>
              <w:rPr>
                <w:spacing w:val="-9"/>
                <w:sz w:val="18"/>
              </w:rPr>
              <w:t xml:space="preserve"> </w:t>
            </w:r>
            <w:r>
              <w:rPr>
                <w:sz w:val="18"/>
              </w:rPr>
              <w:t>activities. MSS implementation can be optimised if preconditions are met, such as cross-provincial agencies' commitment, adequate capacity, clear and routine monitoring mechanisms, and the involvement of local financial management bodies to ensure sustained funding.</w:t>
            </w:r>
          </w:p>
        </w:tc>
      </w:tr>
      <w:tr w:rsidR="00BC24A8" w14:paraId="7C5606D6" w14:textId="77777777">
        <w:trPr>
          <w:trHeight w:val="1432"/>
        </w:trPr>
        <w:tc>
          <w:tcPr>
            <w:tcW w:w="1621" w:type="dxa"/>
            <w:tcBorders>
              <w:top w:val="single" w:sz="4" w:space="0" w:color="BEBEBE"/>
              <w:bottom w:val="single" w:sz="4" w:space="0" w:color="BEBEBE"/>
            </w:tcBorders>
          </w:tcPr>
          <w:p w14:paraId="606368C7" w14:textId="77777777" w:rsidR="00BC24A8" w:rsidRDefault="00000000">
            <w:pPr>
              <w:pStyle w:val="TableParagraph"/>
              <w:spacing w:before="56"/>
              <w:ind w:left="259" w:right="302"/>
              <w:rPr>
                <w:sz w:val="18"/>
              </w:rPr>
            </w:pPr>
            <w:r>
              <w:rPr>
                <w:spacing w:val="-2"/>
                <w:sz w:val="18"/>
              </w:rPr>
              <w:t>Program</w:t>
            </w:r>
            <w:r>
              <w:rPr>
                <w:sz w:val="18"/>
              </w:rPr>
              <w:t xml:space="preserve"> </w:t>
            </w:r>
            <w:r>
              <w:rPr>
                <w:spacing w:val="-2"/>
                <w:sz w:val="18"/>
              </w:rPr>
              <w:t>management,</w:t>
            </w:r>
            <w:r>
              <w:rPr>
                <w:sz w:val="18"/>
              </w:rPr>
              <w:t xml:space="preserve"> including</w:t>
            </w:r>
            <w:r>
              <w:rPr>
                <w:spacing w:val="-1"/>
                <w:sz w:val="18"/>
              </w:rPr>
              <w:t xml:space="preserve"> </w:t>
            </w:r>
            <w:r>
              <w:rPr>
                <w:spacing w:val="-5"/>
                <w:sz w:val="18"/>
              </w:rPr>
              <w:t>M&amp;E</w:t>
            </w:r>
          </w:p>
        </w:tc>
        <w:tc>
          <w:tcPr>
            <w:tcW w:w="7478" w:type="dxa"/>
            <w:tcBorders>
              <w:top w:val="single" w:sz="4" w:space="0" w:color="BEBEBE"/>
              <w:bottom w:val="single" w:sz="4" w:space="0" w:color="BEBEBE"/>
            </w:tcBorders>
          </w:tcPr>
          <w:p w14:paraId="60B78AD5" w14:textId="77777777" w:rsidR="00BC24A8" w:rsidRDefault="00000000">
            <w:pPr>
              <w:pStyle w:val="TableParagraph"/>
              <w:spacing w:before="56"/>
              <w:ind w:left="347" w:right="249"/>
              <w:jc w:val="both"/>
              <w:rPr>
                <w:sz w:val="18"/>
              </w:rPr>
            </w:pPr>
            <w:r>
              <w:rPr>
                <w:sz w:val="18"/>
              </w:rPr>
              <w:t>Joint cross-provincial activities</w:t>
            </w:r>
            <w:r>
              <w:rPr>
                <w:spacing w:val="-1"/>
                <w:sz w:val="18"/>
              </w:rPr>
              <w:t xml:space="preserve"> </w:t>
            </w:r>
            <w:r>
              <w:rPr>
                <w:sz w:val="18"/>
              </w:rPr>
              <w:t>in</w:t>
            </w:r>
            <w:r>
              <w:rPr>
                <w:spacing w:val="-3"/>
                <w:sz w:val="18"/>
              </w:rPr>
              <w:t xml:space="preserve"> </w:t>
            </w:r>
            <w:r>
              <w:rPr>
                <w:sz w:val="18"/>
              </w:rPr>
              <w:t>Tanah</w:t>
            </w:r>
            <w:r>
              <w:rPr>
                <w:spacing w:val="-1"/>
                <w:sz w:val="18"/>
              </w:rPr>
              <w:t xml:space="preserve"> </w:t>
            </w:r>
            <w:r>
              <w:rPr>
                <w:sz w:val="18"/>
              </w:rPr>
              <w:t>Papua Barat Daya</w:t>
            </w:r>
            <w:r>
              <w:rPr>
                <w:spacing w:val="-2"/>
                <w:sz w:val="18"/>
              </w:rPr>
              <w:t xml:space="preserve"> </w:t>
            </w:r>
            <w:r>
              <w:rPr>
                <w:sz w:val="18"/>
              </w:rPr>
              <w:t>(the</w:t>
            </w:r>
            <w:r>
              <w:rPr>
                <w:spacing w:val="-1"/>
                <w:sz w:val="18"/>
              </w:rPr>
              <w:t xml:space="preserve"> </w:t>
            </w:r>
            <w:r>
              <w:rPr>
                <w:sz w:val="18"/>
              </w:rPr>
              <w:t>entire</w:t>
            </w:r>
            <w:r>
              <w:rPr>
                <w:spacing w:val="-1"/>
                <w:sz w:val="18"/>
              </w:rPr>
              <w:t xml:space="preserve"> </w:t>
            </w:r>
            <w:r>
              <w:rPr>
                <w:sz w:val="18"/>
              </w:rPr>
              <w:t>Papua</w:t>
            </w:r>
            <w:r>
              <w:rPr>
                <w:spacing w:val="-2"/>
                <w:sz w:val="18"/>
              </w:rPr>
              <w:t xml:space="preserve"> </w:t>
            </w:r>
            <w:r>
              <w:rPr>
                <w:sz w:val="18"/>
              </w:rPr>
              <w:t>Barat Daya</w:t>
            </w:r>
            <w:r>
              <w:rPr>
                <w:spacing w:val="-2"/>
                <w:sz w:val="18"/>
              </w:rPr>
              <w:t xml:space="preserve"> </w:t>
            </w:r>
            <w:r>
              <w:rPr>
                <w:sz w:val="18"/>
              </w:rPr>
              <w:t>region) proved effective in producing consistent outputs while saving SKALA’s limited time and resources. This success was supported by coordinated planning and the involvement of all provinces within a single forum. However, if replicated or continued, adequate facilitators or resource persons must be ensured so that material delivery remains effective despite large participant number.</w:t>
            </w:r>
          </w:p>
        </w:tc>
      </w:tr>
    </w:tbl>
    <w:p w14:paraId="0B512A72" w14:textId="77777777" w:rsidR="00BC24A8" w:rsidRDefault="00BC24A8">
      <w:pPr>
        <w:pStyle w:val="BodyText"/>
        <w:spacing w:before="206"/>
        <w:rPr>
          <w:rFonts w:ascii="Calibri"/>
          <w:b/>
        </w:rPr>
      </w:pPr>
    </w:p>
    <w:p w14:paraId="43D5FDB4" w14:textId="77777777" w:rsidR="00BC24A8" w:rsidRDefault="00000000">
      <w:pPr>
        <w:ind w:left="143"/>
        <w:rPr>
          <w:i/>
        </w:rPr>
      </w:pPr>
      <w:r>
        <w:rPr>
          <w:i/>
          <w:color w:val="1F3762"/>
        </w:rPr>
        <w:t>FY</w:t>
      </w:r>
      <w:r>
        <w:rPr>
          <w:i/>
          <w:color w:val="1F3762"/>
          <w:spacing w:val="-6"/>
        </w:rPr>
        <w:t xml:space="preserve"> </w:t>
      </w:r>
      <w:r>
        <w:rPr>
          <w:i/>
          <w:color w:val="1F3762"/>
        </w:rPr>
        <w:t>2025/2026</w:t>
      </w:r>
      <w:r>
        <w:rPr>
          <w:i/>
          <w:color w:val="1F3762"/>
          <w:spacing w:val="-5"/>
        </w:rPr>
        <w:t xml:space="preserve"> </w:t>
      </w:r>
      <w:r>
        <w:rPr>
          <w:i/>
          <w:color w:val="1F3762"/>
        </w:rPr>
        <w:t>SKALA</w:t>
      </w:r>
      <w:r>
        <w:rPr>
          <w:i/>
          <w:color w:val="1F3762"/>
          <w:spacing w:val="-8"/>
        </w:rPr>
        <w:t xml:space="preserve"> </w:t>
      </w:r>
      <w:r>
        <w:rPr>
          <w:i/>
          <w:color w:val="1F3762"/>
        </w:rPr>
        <w:t>Program</w:t>
      </w:r>
      <w:r>
        <w:rPr>
          <w:i/>
          <w:color w:val="1F3762"/>
          <w:spacing w:val="-5"/>
        </w:rPr>
        <w:t xml:space="preserve"> </w:t>
      </w:r>
      <w:r>
        <w:rPr>
          <w:i/>
          <w:color w:val="1F3762"/>
          <w:spacing w:val="-2"/>
        </w:rPr>
        <w:t>Summary</w:t>
      </w:r>
    </w:p>
    <w:p w14:paraId="0372B544" w14:textId="77777777" w:rsidR="00BC24A8" w:rsidRDefault="00000000">
      <w:pPr>
        <w:pStyle w:val="Heading5"/>
        <w:numPr>
          <w:ilvl w:val="1"/>
          <w:numId w:val="31"/>
        </w:numPr>
        <w:tabs>
          <w:tab w:val="left" w:pos="683"/>
        </w:tabs>
        <w:spacing w:before="164"/>
        <w:ind w:hanging="631"/>
      </w:pPr>
      <w:r w:rsidRPr="00795364">
        <w:rPr>
          <w:color w:val="008279"/>
        </w:rPr>
        <w:t>Summary</w:t>
      </w:r>
      <w:r w:rsidRPr="00795364">
        <w:rPr>
          <w:color w:val="008279"/>
          <w:spacing w:val="-5"/>
        </w:rPr>
        <w:t xml:space="preserve"> </w:t>
      </w:r>
      <w:r w:rsidRPr="00795364">
        <w:rPr>
          <w:color w:val="008279"/>
        </w:rPr>
        <w:t>of</w:t>
      </w:r>
      <w:r w:rsidRPr="00795364">
        <w:rPr>
          <w:color w:val="008279"/>
          <w:spacing w:val="-5"/>
        </w:rPr>
        <w:t xml:space="preserve"> </w:t>
      </w:r>
      <w:r w:rsidRPr="00795364">
        <w:rPr>
          <w:color w:val="008279"/>
        </w:rPr>
        <w:t>intended</w:t>
      </w:r>
      <w:r w:rsidRPr="00795364">
        <w:rPr>
          <w:color w:val="008279"/>
          <w:spacing w:val="-6"/>
        </w:rPr>
        <w:t xml:space="preserve"> </w:t>
      </w:r>
      <w:r w:rsidRPr="00795364">
        <w:rPr>
          <w:color w:val="008279"/>
          <w:spacing w:val="-2"/>
        </w:rPr>
        <w:t>results</w:t>
      </w:r>
    </w:p>
    <w:p w14:paraId="62A0A122" w14:textId="77777777" w:rsidR="00BC24A8" w:rsidRDefault="00BC24A8">
      <w:pPr>
        <w:pStyle w:val="BodyText"/>
        <w:spacing w:before="2"/>
        <w:rPr>
          <w:rFonts w:ascii="Calibri"/>
          <w:b/>
          <w:sz w:val="19"/>
        </w:rPr>
      </w:pPr>
    </w:p>
    <w:tbl>
      <w:tblPr>
        <w:tblW w:w="0" w:type="auto"/>
        <w:tblInd w:w="142" w:type="dxa"/>
        <w:tblLayout w:type="fixed"/>
        <w:tblCellMar>
          <w:left w:w="0" w:type="dxa"/>
          <w:right w:w="0" w:type="dxa"/>
        </w:tblCellMar>
        <w:tblLook w:val="01E0" w:firstRow="1" w:lastRow="1" w:firstColumn="1" w:lastColumn="1" w:noHBand="0" w:noVBand="0"/>
      </w:tblPr>
      <w:tblGrid>
        <w:gridCol w:w="2420"/>
        <w:gridCol w:w="6948"/>
      </w:tblGrid>
      <w:tr w:rsidR="00BC24A8" w14:paraId="5F2D7A8C" w14:textId="77777777">
        <w:trPr>
          <w:trHeight w:val="379"/>
        </w:trPr>
        <w:tc>
          <w:tcPr>
            <w:tcW w:w="2420" w:type="dxa"/>
            <w:shd w:val="clear" w:color="auto" w:fill="17365A"/>
          </w:tcPr>
          <w:p w14:paraId="47526E5E" w14:textId="77777777" w:rsidR="00BC24A8" w:rsidRDefault="00000000">
            <w:pPr>
              <w:pStyle w:val="TableParagraph"/>
              <w:spacing w:before="59"/>
              <w:ind w:left="116"/>
              <w:rPr>
                <w:rFonts w:ascii="Calibri"/>
                <w:b/>
                <w:sz w:val="20"/>
              </w:rPr>
            </w:pPr>
            <w:r>
              <w:rPr>
                <w:rFonts w:ascii="Calibri"/>
                <w:b/>
                <w:color w:val="FFFFFF"/>
                <w:spacing w:val="-2"/>
                <w:sz w:val="20"/>
              </w:rPr>
              <w:t>Narrative</w:t>
            </w:r>
          </w:p>
        </w:tc>
        <w:tc>
          <w:tcPr>
            <w:tcW w:w="6948" w:type="dxa"/>
            <w:shd w:val="clear" w:color="auto" w:fill="17365A"/>
          </w:tcPr>
          <w:p w14:paraId="4060DDE5" w14:textId="77777777" w:rsidR="00BC24A8" w:rsidRDefault="00000000">
            <w:pPr>
              <w:pStyle w:val="TableParagraph"/>
              <w:spacing w:before="59"/>
              <w:ind w:left="124"/>
              <w:rPr>
                <w:rFonts w:ascii="Calibri"/>
                <w:b/>
                <w:sz w:val="20"/>
              </w:rPr>
            </w:pPr>
            <w:r>
              <w:rPr>
                <w:rFonts w:ascii="Calibri"/>
                <w:b/>
                <w:color w:val="FFFFFF"/>
                <w:sz w:val="20"/>
              </w:rPr>
              <w:t>Summary</w:t>
            </w:r>
            <w:r>
              <w:rPr>
                <w:rFonts w:ascii="Calibri"/>
                <w:b/>
                <w:color w:val="FFFFFF"/>
                <w:spacing w:val="-5"/>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key</w:t>
            </w:r>
            <w:r>
              <w:rPr>
                <w:rFonts w:ascii="Calibri"/>
                <w:b/>
                <w:color w:val="FFFFFF"/>
                <w:spacing w:val="-4"/>
                <w:sz w:val="20"/>
              </w:rPr>
              <w:t xml:space="preserve"> </w:t>
            </w:r>
            <w:r>
              <w:rPr>
                <w:rFonts w:ascii="Calibri"/>
                <w:b/>
                <w:color w:val="FFFFFF"/>
                <w:sz w:val="20"/>
              </w:rPr>
              <w:t>outputs</w:t>
            </w:r>
            <w:r>
              <w:rPr>
                <w:rFonts w:ascii="Calibri"/>
                <w:b/>
                <w:color w:val="FFFFFF"/>
                <w:spacing w:val="-4"/>
                <w:sz w:val="20"/>
              </w:rPr>
              <w:t xml:space="preserve"> </w:t>
            </w:r>
            <w:r>
              <w:rPr>
                <w:rFonts w:ascii="Calibri"/>
                <w:b/>
                <w:color w:val="FFFFFF"/>
                <w:sz w:val="20"/>
              </w:rPr>
              <w:t>to</w:t>
            </w:r>
            <w:r>
              <w:rPr>
                <w:rFonts w:ascii="Calibri"/>
                <w:b/>
                <w:color w:val="FFFFFF"/>
                <w:spacing w:val="-5"/>
                <w:sz w:val="20"/>
              </w:rPr>
              <w:t xml:space="preserve"> </w:t>
            </w:r>
            <w:r>
              <w:rPr>
                <w:rFonts w:ascii="Calibri"/>
                <w:b/>
                <w:color w:val="FFFFFF"/>
                <w:sz w:val="20"/>
              </w:rPr>
              <w:t>be</w:t>
            </w:r>
            <w:r>
              <w:rPr>
                <w:rFonts w:ascii="Calibri"/>
                <w:b/>
                <w:color w:val="FFFFFF"/>
                <w:spacing w:val="-4"/>
                <w:sz w:val="20"/>
              </w:rPr>
              <w:t xml:space="preserve"> </w:t>
            </w:r>
            <w:r>
              <w:rPr>
                <w:rFonts w:ascii="Calibri"/>
                <w:b/>
                <w:color w:val="FFFFFF"/>
                <w:sz w:val="20"/>
              </w:rPr>
              <w:t>delivered</w:t>
            </w:r>
            <w:r>
              <w:rPr>
                <w:rFonts w:ascii="Calibri"/>
                <w:b/>
                <w:color w:val="FFFFFF"/>
                <w:spacing w:val="-3"/>
                <w:sz w:val="20"/>
              </w:rPr>
              <w:t xml:space="preserve"> </w:t>
            </w:r>
            <w:r>
              <w:rPr>
                <w:rFonts w:ascii="Calibri"/>
                <w:b/>
                <w:color w:val="FFFFFF"/>
                <w:sz w:val="20"/>
              </w:rPr>
              <w:t>in</w:t>
            </w:r>
            <w:r>
              <w:rPr>
                <w:rFonts w:ascii="Calibri"/>
                <w:b/>
                <w:color w:val="FFFFFF"/>
                <w:spacing w:val="-3"/>
                <w:sz w:val="20"/>
              </w:rPr>
              <w:t xml:space="preserve"> </w:t>
            </w:r>
            <w:r>
              <w:rPr>
                <w:rFonts w:ascii="Calibri"/>
                <w:b/>
                <w:color w:val="FFFFFF"/>
                <w:sz w:val="20"/>
              </w:rPr>
              <w:t>order</w:t>
            </w:r>
            <w:r>
              <w:rPr>
                <w:rFonts w:ascii="Calibri"/>
                <w:b/>
                <w:color w:val="FFFFFF"/>
                <w:spacing w:val="-4"/>
                <w:sz w:val="20"/>
              </w:rPr>
              <w:t xml:space="preserve"> </w:t>
            </w:r>
            <w:r>
              <w:rPr>
                <w:rFonts w:ascii="Calibri"/>
                <w:b/>
                <w:color w:val="FFFFFF"/>
                <w:sz w:val="20"/>
              </w:rPr>
              <w:t>to</w:t>
            </w:r>
            <w:r>
              <w:rPr>
                <w:rFonts w:ascii="Calibri"/>
                <w:b/>
                <w:color w:val="FFFFFF"/>
                <w:spacing w:val="-3"/>
                <w:sz w:val="20"/>
              </w:rPr>
              <w:t xml:space="preserve"> </w:t>
            </w:r>
            <w:r>
              <w:rPr>
                <w:rFonts w:ascii="Calibri"/>
                <w:b/>
                <w:color w:val="FFFFFF"/>
                <w:sz w:val="20"/>
              </w:rPr>
              <w:t>achieve</w:t>
            </w:r>
            <w:r>
              <w:rPr>
                <w:rFonts w:ascii="Calibri"/>
                <w:b/>
                <w:color w:val="FFFFFF"/>
                <w:spacing w:val="-4"/>
                <w:sz w:val="20"/>
              </w:rPr>
              <w:t xml:space="preserve"> </w:t>
            </w:r>
            <w:r>
              <w:rPr>
                <w:rFonts w:ascii="Calibri"/>
                <w:b/>
                <w:color w:val="FFFFFF"/>
                <w:sz w:val="20"/>
              </w:rPr>
              <w:t>the</w:t>
            </w:r>
            <w:r>
              <w:rPr>
                <w:rFonts w:ascii="Calibri"/>
                <w:b/>
                <w:color w:val="FFFFFF"/>
                <w:spacing w:val="-3"/>
                <w:sz w:val="20"/>
              </w:rPr>
              <w:t xml:space="preserve"> </w:t>
            </w:r>
            <w:r>
              <w:rPr>
                <w:rFonts w:ascii="Calibri"/>
                <w:b/>
                <w:color w:val="FFFFFF"/>
                <w:spacing w:val="-2"/>
                <w:sz w:val="20"/>
              </w:rPr>
              <w:t>narrative</w:t>
            </w:r>
          </w:p>
        </w:tc>
      </w:tr>
      <w:tr w:rsidR="00BC24A8" w14:paraId="23C87255" w14:textId="77777777">
        <w:trPr>
          <w:trHeight w:val="1535"/>
        </w:trPr>
        <w:tc>
          <w:tcPr>
            <w:tcW w:w="2420" w:type="dxa"/>
            <w:tcBorders>
              <w:bottom w:val="single" w:sz="4" w:space="0" w:color="BEBEBE"/>
            </w:tcBorders>
          </w:tcPr>
          <w:p w14:paraId="6EC33D53" w14:textId="77777777" w:rsidR="00BC24A8" w:rsidRDefault="00000000">
            <w:pPr>
              <w:pStyle w:val="TableParagraph"/>
              <w:spacing w:before="102"/>
              <w:ind w:left="116"/>
              <w:rPr>
                <w:sz w:val="18"/>
              </w:rPr>
            </w:pPr>
            <w:r>
              <w:rPr>
                <w:sz w:val="18"/>
              </w:rPr>
              <w:t>Develop and institutionalise consultation spaces and engagement</w:t>
            </w:r>
            <w:r>
              <w:rPr>
                <w:spacing w:val="-11"/>
                <w:sz w:val="18"/>
              </w:rPr>
              <w:t xml:space="preserve"> </w:t>
            </w:r>
            <w:r>
              <w:rPr>
                <w:sz w:val="18"/>
              </w:rPr>
              <w:t>mechanisms</w:t>
            </w:r>
            <w:r>
              <w:rPr>
                <w:spacing w:val="-10"/>
                <w:sz w:val="18"/>
              </w:rPr>
              <w:t xml:space="preserve"> </w:t>
            </w:r>
            <w:r>
              <w:rPr>
                <w:sz w:val="18"/>
              </w:rPr>
              <w:t xml:space="preserve">with vulnerable communities to promote more inclusive </w:t>
            </w:r>
            <w:r>
              <w:rPr>
                <w:spacing w:val="-2"/>
                <w:sz w:val="18"/>
              </w:rPr>
              <w:t>planning.</w:t>
            </w:r>
          </w:p>
        </w:tc>
        <w:tc>
          <w:tcPr>
            <w:tcW w:w="6948" w:type="dxa"/>
            <w:tcBorders>
              <w:bottom w:val="single" w:sz="4" w:space="0" w:color="BEBEBE"/>
            </w:tcBorders>
          </w:tcPr>
          <w:p w14:paraId="53148BA4" w14:textId="77777777" w:rsidR="00BC24A8" w:rsidRDefault="00000000">
            <w:pPr>
              <w:pStyle w:val="TableParagraph"/>
              <w:numPr>
                <w:ilvl w:val="0"/>
                <w:numId w:val="30"/>
              </w:numPr>
              <w:tabs>
                <w:tab w:val="left" w:pos="456"/>
              </w:tabs>
              <w:spacing w:before="102"/>
              <w:ind w:right="183"/>
              <w:rPr>
                <w:sz w:val="18"/>
              </w:rPr>
            </w:pPr>
            <w:r>
              <w:rPr>
                <w:sz w:val="18"/>
              </w:rPr>
              <w:t>GEDSI:</w:t>
            </w:r>
            <w:r>
              <w:rPr>
                <w:spacing w:val="-4"/>
                <w:sz w:val="18"/>
              </w:rPr>
              <w:t xml:space="preserve"> </w:t>
            </w:r>
            <w:r>
              <w:rPr>
                <w:sz w:val="18"/>
              </w:rPr>
              <w:t>Disability</w:t>
            </w:r>
            <w:r>
              <w:rPr>
                <w:spacing w:val="-4"/>
                <w:sz w:val="18"/>
              </w:rPr>
              <w:t xml:space="preserve"> </w:t>
            </w:r>
            <w:r>
              <w:rPr>
                <w:sz w:val="18"/>
              </w:rPr>
              <w:t>action</w:t>
            </w:r>
            <w:r>
              <w:rPr>
                <w:spacing w:val="-4"/>
                <w:sz w:val="18"/>
              </w:rPr>
              <w:t xml:space="preserve"> </w:t>
            </w:r>
            <w:r>
              <w:rPr>
                <w:sz w:val="18"/>
              </w:rPr>
              <w:t>plan</w:t>
            </w:r>
            <w:r>
              <w:rPr>
                <w:spacing w:val="-4"/>
                <w:sz w:val="18"/>
              </w:rPr>
              <w:t xml:space="preserve"> </w:t>
            </w:r>
            <w:r>
              <w:rPr>
                <w:sz w:val="18"/>
              </w:rPr>
              <w:t>through</w:t>
            </w:r>
            <w:r>
              <w:rPr>
                <w:spacing w:val="-4"/>
                <w:sz w:val="18"/>
              </w:rPr>
              <w:t xml:space="preserve"> </w:t>
            </w:r>
            <w:r>
              <w:rPr>
                <w:sz w:val="18"/>
              </w:rPr>
              <w:t>the</w:t>
            </w:r>
            <w:r>
              <w:rPr>
                <w:spacing w:val="-4"/>
                <w:sz w:val="18"/>
              </w:rPr>
              <w:t xml:space="preserve"> </w:t>
            </w:r>
            <w:r>
              <w:rPr>
                <w:sz w:val="18"/>
              </w:rPr>
              <w:t>engagement</w:t>
            </w:r>
            <w:r>
              <w:rPr>
                <w:spacing w:val="-3"/>
                <w:sz w:val="18"/>
              </w:rPr>
              <w:t xml:space="preserve"> </w:t>
            </w:r>
            <w:r>
              <w:rPr>
                <w:sz w:val="18"/>
              </w:rPr>
              <w:t>of</w:t>
            </w:r>
            <w:r>
              <w:rPr>
                <w:spacing w:val="-5"/>
                <w:sz w:val="18"/>
              </w:rPr>
              <w:t xml:space="preserve"> </w:t>
            </w:r>
            <w:r>
              <w:rPr>
                <w:sz w:val="18"/>
              </w:rPr>
              <w:t>persons</w:t>
            </w:r>
            <w:r>
              <w:rPr>
                <w:spacing w:val="-2"/>
                <w:sz w:val="18"/>
              </w:rPr>
              <w:t xml:space="preserve"> </w:t>
            </w:r>
            <w:r>
              <w:rPr>
                <w:sz w:val="18"/>
              </w:rPr>
              <w:t>with</w:t>
            </w:r>
            <w:r>
              <w:rPr>
                <w:spacing w:val="-4"/>
                <w:sz w:val="18"/>
              </w:rPr>
              <w:t xml:space="preserve"> </w:t>
            </w:r>
            <w:r>
              <w:rPr>
                <w:sz w:val="18"/>
              </w:rPr>
              <w:t>disabilities</w:t>
            </w:r>
            <w:r>
              <w:rPr>
                <w:spacing w:val="-4"/>
                <w:sz w:val="18"/>
              </w:rPr>
              <w:t xml:space="preserve"> </w:t>
            </w:r>
            <w:r>
              <w:rPr>
                <w:sz w:val="18"/>
              </w:rPr>
              <w:t>(PwD) groups in providing inputs.</w:t>
            </w:r>
          </w:p>
          <w:p w14:paraId="563E0165" w14:textId="77777777" w:rsidR="00BC24A8" w:rsidRDefault="00000000">
            <w:pPr>
              <w:pStyle w:val="TableParagraph"/>
              <w:numPr>
                <w:ilvl w:val="0"/>
                <w:numId w:val="30"/>
              </w:numPr>
              <w:tabs>
                <w:tab w:val="left" w:pos="456"/>
              </w:tabs>
              <w:spacing w:line="219" w:lineRule="exact"/>
              <w:rPr>
                <w:sz w:val="18"/>
              </w:rPr>
            </w:pPr>
            <w:r>
              <w:rPr>
                <w:sz w:val="18"/>
              </w:rPr>
              <w:t>GEDSI:</w:t>
            </w:r>
            <w:r>
              <w:rPr>
                <w:spacing w:val="-3"/>
                <w:sz w:val="18"/>
              </w:rPr>
              <w:t xml:space="preserve"> </w:t>
            </w:r>
            <w:r>
              <w:rPr>
                <w:sz w:val="18"/>
              </w:rPr>
              <w:t>Governor</w:t>
            </w:r>
            <w:r>
              <w:rPr>
                <w:spacing w:val="-3"/>
                <w:sz w:val="18"/>
              </w:rPr>
              <w:t xml:space="preserve"> </w:t>
            </w:r>
            <w:r>
              <w:rPr>
                <w:sz w:val="18"/>
              </w:rPr>
              <w:t>Regulation</w:t>
            </w:r>
            <w:r>
              <w:rPr>
                <w:spacing w:val="-3"/>
                <w:sz w:val="18"/>
              </w:rPr>
              <w:t xml:space="preserve"> </w:t>
            </w:r>
            <w:r>
              <w:rPr>
                <w:sz w:val="18"/>
              </w:rPr>
              <w:t>on</w:t>
            </w:r>
            <w:r>
              <w:rPr>
                <w:spacing w:val="-2"/>
                <w:sz w:val="18"/>
              </w:rPr>
              <w:t xml:space="preserve"> </w:t>
            </w:r>
            <w:r>
              <w:rPr>
                <w:sz w:val="18"/>
              </w:rPr>
              <w:t>Aging</w:t>
            </w:r>
            <w:r>
              <w:rPr>
                <w:spacing w:val="-4"/>
                <w:sz w:val="18"/>
              </w:rPr>
              <w:t xml:space="preserve"> </w:t>
            </w:r>
            <w:r>
              <w:rPr>
                <w:sz w:val="18"/>
              </w:rPr>
              <w:t>(Perkada</w:t>
            </w:r>
            <w:r>
              <w:rPr>
                <w:spacing w:val="-3"/>
                <w:sz w:val="18"/>
              </w:rPr>
              <w:t xml:space="preserve"> </w:t>
            </w:r>
            <w:r>
              <w:rPr>
                <w:spacing w:val="-2"/>
                <w:sz w:val="18"/>
              </w:rPr>
              <w:t>Kelanjutusiaan)</w:t>
            </w:r>
          </w:p>
        </w:tc>
      </w:tr>
      <w:tr w:rsidR="00BC24A8" w14:paraId="1E3F3A18" w14:textId="77777777">
        <w:trPr>
          <w:trHeight w:val="1214"/>
        </w:trPr>
        <w:tc>
          <w:tcPr>
            <w:tcW w:w="2420" w:type="dxa"/>
            <w:tcBorders>
              <w:top w:val="single" w:sz="4" w:space="0" w:color="BEBEBE"/>
              <w:bottom w:val="single" w:sz="4" w:space="0" w:color="BEBEBE"/>
            </w:tcBorders>
          </w:tcPr>
          <w:p w14:paraId="5BD6FD45" w14:textId="77777777" w:rsidR="00BC24A8" w:rsidRDefault="00000000">
            <w:pPr>
              <w:pStyle w:val="TableParagraph"/>
              <w:spacing w:before="59"/>
              <w:ind w:left="116" w:right="28"/>
              <w:rPr>
                <w:sz w:val="18"/>
              </w:rPr>
            </w:pPr>
            <w:r>
              <w:rPr>
                <w:sz w:val="18"/>
              </w:rPr>
              <w:t>Strengthen the data governance framework to support</w:t>
            </w:r>
            <w:r>
              <w:rPr>
                <w:spacing w:val="-11"/>
                <w:sz w:val="18"/>
              </w:rPr>
              <w:t xml:space="preserve"> </w:t>
            </w:r>
            <w:r>
              <w:rPr>
                <w:sz w:val="18"/>
              </w:rPr>
              <w:t>inclusive</w:t>
            </w:r>
            <w:r>
              <w:rPr>
                <w:spacing w:val="-10"/>
                <w:sz w:val="18"/>
              </w:rPr>
              <w:t xml:space="preserve"> </w:t>
            </w:r>
            <w:r>
              <w:rPr>
                <w:sz w:val="18"/>
              </w:rPr>
              <w:t>basic</w:t>
            </w:r>
            <w:r>
              <w:rPr>
                <w:spacing w:val="-10"/>
                <w:sz w:val="18"/>
              </w:rPr>
              <w:t xml:space="preserve"> </w:t>
            </w:r>
            <w:r>
              <w:rPr>
                <w:sz w:val="18"/>
              </w:rPr>
              <w:t xml:space="preserve">service </w:t>
            </w:r>
            <w:r>
              <w:rPr>
                <w:spacing w:val="-2"/>
                <w:sz w:val="18"/>
              </w:rPr>
              <w:t>delivery</w:t>
            </w:r>
          </w:p>
        </w:tc>
        <w:tc>
          <w:tcPr>
            <w:tcW w:w="6948" w:type="dxa"/>
            <w:tcBorders>
              <w:top w:val="single" w:sz="4" w:space="0" w:color="BEBEBE"/>
              <w:bottom w:val="single" w:sz="4" w:space="0" w:color="BEBEBE"/>
            </w:tcBorders>
          </w:tcPr>
          <w:p w14:paraId="61BF2A76" w14:textId="77777777" w:rsidR="00BC24A8" w:rsidRDefault="00000000">
            <w:pPr>
              <w:pStyle w:val="TableParagraph"/>
              <w:numPr>
                <w:ilvl w:val="0"/>
                <w:numId w:val="29"/>
              </w:numPr>
              <w:tabs>
                <w:tab w:val="left" w:pos="456"/>
              </w:tabs>
              <w:spacing w:before="59"/>
              <w:ind w:right="491"/>
              <w:rPr>
                <w:sz w:val="18"/>
              </w:rPr>
            </w:pPr>
            <w:r>
              <w:rPr>
                <w:sz w:val="18"/>
              </w:rPr>
              <w:t>SAIK+</w:t>
            </w:r>
            <w:r>
              <w:rPr>
                <w:spacing w:val="-4"/>
                <w:sz w:val="18"/>
              </w:rPr>
              <w:t xml:space="preserve"> </w:t>
            </w:r>
            <w:r>
              <w:rPr>
                <w:sz w:val="18"/>
              </w:rPr>
              <w:t>PBD:</w:t>
            </w:r>
            <w:r>
              <w:rPr>
                <w:spacing w:val="-3"/>
                <w:sz w:val="18"/>
              </w:rPr>
              <w:t xml:space="preserve"> </w:t>
            </w:r>
            <w:r>
              <w:rPr>
                <w:sz w:val="18"/>
              </w:rPr>
              <w:t>Expand</w:t>
            </w:r>
            <w:r>
              <w:rPr>
                <w:spacing w:val="-3"/>
                <w:sz w:val="18"/>
              </w:rPr>
              <w:t xml:space="preserve"> </w:t>
            </w:r>
            <w:r>
              <w:rPr>
                <w:sz w:val="18"/>
              </w:rPr>
              <w:t>coverage</w:t>
            </w:r>
            <w:r>
              <w:rPr>
                <w:spacing w:val="-3"/>
                <w:sz w:val="18"/>
              </w:rPr>
              <w:t xml:space="preserve"> </w:t>
            </w:r>
            <w:r>
              <w:rPr>
                <w:sz w:val="18"/>
              </w:rPr>
              <w:t>of</w:t>
            </w:r>
            <w:r>
              <w:rPr>
                <w:spacing w:val="-4"/>
                <w:sz w:val="18"/>
              </w:rPr>
              <w:t xml:space="preserve"> </w:t>
            </w:r>
            <w:r>
              <w:rPr>
                <w:sz w:val="18"/>
              </w:rPr>
              <w:t>district/city</w:t>
            </w:r>
            <w:r>
              <w:rPr>
                <w:spacing w:val="-3"/>
                <w:sz w:val="18"/>
              </w:rPr>
              <w:t xml:space="preserve"> </w:t>
            </w:r>
            <w:r>
              <w:rPr>
                <w:sz w:val="18"/>
              </w:rPr>
              <w:t>data</w:t>
            </w:r>
            <w:r>
              <w:rPr>
                <w:spacing w:val="-4"/>
                <w:sz w:val="18"/>
              </w:rPr>
              <w:t xml:space="preserve"> </w:t>
            </w:r>
            <w:r>
              <w:rPr>
                <w:sz w:val="18"/>
              </w:rPr>
              <w:t>updates</w:t>
            </w:r>
            <w:r>
              <w:rPr>
                <w:spacing w:val="-3"/>
                <w:sz w:val="18"/>
              </w:rPr>
              <w:t xml:space="preserve"> </w:t>
            </w:r>
            <w:r>
              <w:rPr>
                <w:sz w:val="18"/>
              </w:rPr>
              <w:t>and</w:t>
            </w:r>
            <w:r>
              <w:rPr>
                <w:spacing w:val="-3"/>
                <w:sz w:val="18"/>
              </w:rPr>
              <w:t xml:space="preserve"> </w:t>
            </w:r>
            <w:r>
              <w:rPr>
                <w:sz w:val="18"/>
              </w:rPr>
              <w:t>increase</w:t>
            </w:r>
            <w:r>
              <w:rPr>
                <w:spacing w:val="-4"/>
                <w:sz w:val="18"/>
              </w:rPr>
              <w:t xml:space="preserve"> </w:t>
            </w:r>
            <w:r>
              <w:rPr>
                <w:sz w:val="18"/>
              </w:rPr>
              <w:t>utilisation</w:t>
            </w:r>
            <w:r>
              <w:rPr>
                <w:spacing w:val="-3"/>
                <w:sz w:val="18"/>
              </w:rPr>
              <w:t xml:space="preserve"> </w:t>
            </w:r>
            <w:r>
              <w:rPr>
                <w:sz w:val="18"/>
              </w:rPr>
              <w:t>of SAIK+ PBD data</w:t>
            </w:r>
          </w:p>
          <w:p w14:paraId="7DCCEE5E" w14:textId="77777777" w:rsidR="00BC24A8" w:rsidRDefault="00000000">
            <w:pPr>
              <w:pStyle w:val="TableParagraph"/>
              <w:numPr>
                <w:ilvl w:val="0"/>
                <w:numId w:val="29"/>
              </w:numPr>
              <w:tabs>
                <w:tab w:val="left" w:pos="456"/>
              </w:tabs>
              <w:ind w:right="429"/>
              <w:rPr>
                <w:sz w:val="18"/>
              </w:rPr>
            </w:pPr>
            <w:r>
              <w:rPr>
                <w:sz w:val="18"/>
              </w:rPr>
              <w:t>Strengthen</w:t>
            </w:r>
            <w:r>
              <w:rPr>
                <w:spacing w:val="-3"/>
                <w:sz w:val="18"/>
              </w:rPr>
              <w:t xml:space="preserve"> </w:t>
            </w:r>
            <w:r>
              <w:rPr>
                <w:sz w:val="18"/>
              </w:rPr>
              <w:t>the</w:t>
            </w:r>
            <w:r>
              <w:rPr>
                <w:spacing w:val="-3"/>
                <w:sz w:val="18"/>
              </w:rPr>
              <w:t xml:space="preserve"> </w:t>
            </w:r>
            <w:r>
              <w:rPr>
                <w:sz w:val="18"/>
              </w:rPr>
              <w:t>One</w:t>
            </w:r>
            <w:r>
              <w:rPr>
                <w:spacing w:val="-6"/>
                <w:sz w:val="18"/>
              </w:rPr>
              <w:t xml:space="preserve"> </w:t>
            </w:r>
            <w:r>
              <w:rPr>
                <w:sz w:val="18"/>
              </w:rPr>
              <w:t>Data</w:t>
            </w:r>
            <w:r>
              <w:rPr>
                <w:spacing w:val="-4"/>
                <w:sz w:val="18"/>
              </w:rPr>
              <w:t xml:space="preserve"> </w:t>
            </w:r>
            <w:r>
              <w:rPr>
                <w:sz w:val="18"/>
              </w:rPr>
              <w:t>initiative</w:t>
            </w:r>
            <w:r>
              <w:rPr>
                <w:spacing w:val="-3"/>
                <w:sz w:val="18"/>
              </w:rPr>
              <w:t xml:space="preserve"> </w:t>
            </w:r>
            <w:r>
              <w:rPr>
                <w:sz w:val="18"/>
              </w:rPr>
              <w:t>(development</w:t>
            </w:r>
            <w:r>
              <w:rPr>
                <w:spacing w:val="-2"/>
                <w:sz w:val="18"/>
              </w:rPr>
              <w:t xml:space="preserve"> </w:t>
            </w:r>
            <w:r>
              <w:rPr>
                <w:sz w:val="18"/>
              </w:rPr>
              <w:t>of</w:t>
            </w:r>
            <w:r>
              <w:rPr>
                <w:spacing w:val="-4"/>
                <w:sz w:val="18"/>
              </w:rPr>
              <w:t xml:space="preserve"> </w:t>
            </w:r>
            <w:r>
              <w:rPr>
                <w:sz w:val="18"/>
              </w:rPr>
              <w:t>data</w:t>
            </w:r>
            <w:r>
              <w:rPr>
                <w:spacing w:val="-4"/>
                <w:sz w:val="18"/>
              </w:rPr>
              <w:t xml:space="preserve"> </w:t>
            </w:r>
            <w:r>
              <w:rPr>
                <w:sz w:val="18"/>
              </w:rPr>
              <w:t>portal,</w:t>
            </w:r>
            <w:r>
              <w:rPr>
                <w:spacing w:val="-4"/>
                <w:sz w:val="18"/>
              </w:rPr>
              <w:t xml:space="preserve"> </w:t>
            </w:r>
            <w:r>
              <w:rPr>
                <w:sz w:val="18"/>
              </w:rPr>
              <w:t>capacity</w:t>
            </w:r>
            <w:r>
              <w:rPr>
                <w:spacing w:val="-3"/>
                <w:sz w:val="18"/>
              </w:rPr>
              <w:t xml:space="preserve"> </w:t>
            </w:r>
            <w:r>
              <w:rPr>
                <w:sz w:val="18"/>
              </w:rPr>
              <w:t>bulding</w:t>
            </w:r>
            <w:r>
              <w:rPr>
                <w:spacing w:val="-4"/>
                <w:sz w:val="18"/>
              </w:rPr>
              <w:t xml:space="preserve"> </w:t>
            </w:r>
            <w:r>
              <w:rPr>
                <w:sz w:val="18"/>
              </w:rPr>
              <w:t>for forum staff, improved forum functionality, data inventory, data utilisation)</w:t>
            </w:r>
          </w:p>
          <w:p w14:paraId="39E195DE" w14:textId="77777777" w:rsidR="00BC24A8" w:rsidRDefault="00000000">
            <w:pPr>
              <w:pStyle w:val="TableParagraph"/>
              <w:numPr>
                <w:ilvl w:val="0"/>
                <w:numId w:val="29"/>
              </w:numPr>
              <w:tabs>
                <w:tab w:val="left" w:pos="456"/>
              </w:tabs>
              <w:spacing w:line="219" w:lineRule="exact"/>
              <w:rPr>
                <w:sz w:val="18"/>
              </w:rPr>
            </w:pPr>
            <w:r>
              <w:rPr>
                <w:sz w:val="18"/>
              </w:rPr>
              <w:t>Enhance</w:t>
            </w:r>
            <w:r>
              <w:rPr>
                <w:spacing w:val="-2"/>
                <w:sz w:val="18"/>
              </w:rPr>
              <w:t xml:space="preserve"> </w:t>
            </w:r>
            <w:r>
              <w:rPr>
                <w:sz w:val="18"/>
              </w:rPr>
              <w:t>data</w:t>
            </w:r>
            <w:r>
              <w:rPr>
                <w:spacing w:val="-2"/>
                <w:sz w:val="18"/>
              </w:rPr>
              <w:t xml:space="preserve"> </w:t>
            </w:r>
            <w:r>
              <w:rPr>
                <w:sz w:val="18"/>
              </w:rPr>
              <w:t>analysis</w:t>
            </w:r>
            <w:r>
              <w:rPr>
                <w:spacing w:val="-1"/>
                <w:sz w:val="18"/>
              </w:rPr>
              <w:t xml:space="preserve"> </w:t>
            </w:r>
            <w:r>
              <w:rPr>
                <w:sz w:val="18"/>
              </w:rPr>
              <w:t>capacity</w:t>
            </w:r>
            <w:r>
              <w:rPr>
                <w:spacing w:val="-1"/>
                <w:sz w:val="18"/>
              </w:rPr>
              <w:t xml:space="preserve"> </w:t>
            </w:r>
            <w:r>
              <w:rPr>
                <w:sz w:val="18"/>
              </w:rPr>
              <w:t>(use</w:t>
            </w:r>
            <w:r>
              <w:rPr>
                <w:spacing w:val="-1"/>
                <w:sz w:val="18"/>
              </w:rPr>
              <w:t xml:space="preserve"> </w:t>
            </w:r>
            <w:r>
              <w:rPr>
                <w:sz w:val="18"/>
              </w:rPr>
              <w:t>of</w:t>
            </w:r>
            <w:r>
              <w:rPr>
                <w:spacing w:val="-2"/>
                <w:sz w:val="18"/>
              </w:rPr>
              <w:t xml:space="preserve"> SEPAKAT)</w:t>
            </w:r>
          </w:p>
        </w:tc>
      </w:tr>
    </w:tbl>
    <w:p w14:paraId="7AA47964" w14:textId="77777777" w:rsidR="00BC24A8" w:rsidRDefault="00BC24A8">
      <w:pPr>
        <w:pStyle w:val="TableParagraph"/>
        <w:spacing w:line="219" w:lineRule="exact"/>
        <w:rPr>
          <w:sz w:val="18"/>
        </w:rPr>
        <w:sectPr w:rsidR="00BC24A8">
          <w:pgSz w:w="11910" w:h="16840"/>
          <w:pgMar w:top="1360" w:right="850" w:bottom="2418" w:left="1275" w:header="0" w:footer="907" w:gutter="0"/>
          <w:cols w:space="720"/>
        </w:sectPr>
      </w:pPr>
    </w:p>
    <w:tbl>
      <w:tblPr>
        <w:tblW w:w="0" w:type="auto"/>
        <w:tblInd w:w="136" w:type="dxa"/>
        <w:tblLayout w:type="fixed"/>
        <w:tblCellMar>
          <w:left w:w="0" w:type="dxa"/>
          <w:right w:w="0" w:type="dxa"/>
        </w:tblCellMar>
        <w:tblLook w:val="01E0" w:firstRow="1" w:lastRow="1" w:firstColumn="1" w:lastColumn="1" w:noHBand="0" w:noVBand="0"/>
      </w:tblPr>
      <w:tblGrid>
        <w:gridCol w:w="2381"/>
        <w:gridCol w:w="6993"/>
      </w:tblGrid>
      <w:tr w:rsidR="00BC24A8" w14:paraId="4D68BC0D" w14:textId="77777777">
        <w:trPr>
          <w:trHeight w:val="336"/>
        </w:trPr>
        <w:tc>
          <w:tcPr>
            <w:tcW w:w="2381" w:type="dxa"/>
            <w:tcBorders>
              <w:bottom w:val="single" w:sz="4" w:space="0" w:color="BEBEBE"/>
            </w:tcBorders>
          </w:tcPr>
          <w:p w14:paraId="12D1E6E5" w14:textId="77777777" w:rsidR="00BC24A8" w:rsidRDefault="00BC24A8">
            <w:pPr>
              <w:pStyle w:val="TableParagraph"/>
              <w:rPr>
                <w:rFonts w:ascii="Times New Roman"/>
                <w:sz w:val="16"/>
              </w:rPr>
            </w:pPr>
          </w:p>
        </w:tc>
        <w:tc>
          <w:tcPr>
            <w:tcW w:w="6993" w:type="dxa"/>
            <w:tcBorders>
              <w:bottom w:val="single" w:sz="4" w:space="0" w:color="BEBEBE"/>
            </w:tcBorders>
          </w:tcPr>
          <w:p w14:paraId="19939285" w14:textId="77777777" w:rsidR="00BC24A8" w:rsidRDefault="00000000">
            <w:pPr>
              <w:pStyle w:val="TableParagraph"/>
              <w:numPr>
                <w:ilvl w:val="0"/>
                <w:numId w:val="28"/>
              </w:numPr>
              <w:tabs>
                <w:tab w:val="left" w:pos="501"/>
              </w:tabs>
              <w:spacing w:line="217" w:lineRule="exact"/>
              <w:rPr>
                <w:sz w:val="18"/>
              </w:rPr>
            </w:pPr>
            <w:r>
              <w:rPr>
                <w:sz w:val="18"/>
              </w:rPr>
              <w:t>SIPD</w:t>
            </w:r>
            <w:hyperlink w:anchor="_bookmark153" w:history="1">
              <w:r w:rsidR="00BC24A8">
                <w:rPr>
                  <w:sz w:val="18"/>
                  <w:vertAlign w:val="superscript"/>
                </w:rPr>
                <w:t>79</w:t>
              </w:r>
            </w:hyperlink>
            <w:r>
              <w:rPr>
                <w:sz w:val="18"/>
              </w:rPr>
              <w:t>:</w:t>
            </w:r>
            <w:r>
              <w:rPr>
                <w:spacing w:val="3"/>
                <w:sz w:val="18"/>
              </w:rPr>
              <w:t xml:space="preserve"> </w:t>
            </w:r>
            <w:r>
              <w:rPr>
                <w:sz w:val="18"/>
              </w:rPr>
              <w:t>Capacity</w:t>
            </w:r>
            <w:r>
              <w:rPr>
                <w:spacing w:val="4"/>
                <w:sz w:val="18"/>
              </w:rPr>
              <w:t xml:space="preserve"> </w:t>
            </w:r>
            <w:r>
              <w:rPr>
                <w:sz w:val="18"/>
              </w:rPr>
              <w:t>and</w:t>
            </w:r>
            <w:r>
              <w:rPr>
                <w:spacing w:val="4"/>
                <w:sz w:val="18"/>
              </w:rPr>
              <w:t xml:space="preserve"> </w:t>
            </w:r>
            <w:r>
              <w:rPr>
                <w:spacing w:val="-2"/>
                <w:sz w:val="18"/>
              </w:rPr>
              <w:t>Understanding</w:t>
            </w:r>
          </w:p>
        </w:tc>
      </w:tr>
      <w:tr w:rsidR="00BC24A8" w14:paraId="751DCB80" w14:textId="77777777">
        <w:trPr>
          <w:trHeight w:val="1331"/>
        </w:trPr>
        <w:tc>
          <w:tcPr>
            <w:tcW w:w="2381" w:type="dxa"/>
            <w:tcBorders>
              <w:top w:val="single" w:sz="4" w:space="0" w:color="BEBEBE"/>
              <w:bottom w:val="single" w:sz="4" w:space="0" w:color="BEBEBE"/>
            </w:tcBorders>
          </w:tcPr>
          <w:p w14:paraId="4603205B" w14:textId="77777777" w:rsidR="00BC24A8" w:rsidRDefault="00000000">
            <w:pPr>
              <w:pStyle w:val="TableParagraph"/>
              <w:spacing w:before="119"/>
              <w:ind w:left="122"/>
              <w:rPr>
                <w:sz w:val="18"/>
              </w:rPr>
            </w:pPr>
            <w:r>
              <w:rPr>
                <w:sz w:val="18"/>
              </w:rPr>
              <w:t>Develop</w:t>
            </w:r>
            <w:r>
              <w:rPr>
                <w:spacing w:val="-11"/>
                <w:sz w:val="18"/>
              </w:rPr>
              <w:t xml:space="preserve"> </w:t>
            </w:r>
            <w:r>
              <w:rPr>
                <w:sz w:val="18"/>
              </w:rPr>
              <w:t>a</w:t>
            </w:r>
            <w:r>
              <w:rPr>
                <w:spacing w:val="-10"/>
                <w:sz w:val="18"/>
              </w:rPr>
              <w:t xml:space="preserve"> </w:t>
            </w:r>
            <w:r>
              <w:rPr>
                <w:sz w:val="18"/>
              </w:rPr>
              <w:t>more</w:t>
            </w:r>
            <w:r>
              <w:rPr>
                <w:spacing w:val="-10"/>
                <w:sz w:val="18"/>
              </w:rPr>
              <w:t xml:space="preserve"> </w:t>
            </w:r>
            <w:r>
              <w:rPr>
                <w:sz w:val="18"/>
              </w:rPr>
              <w:t>consolidated and inclusive framework for MSS implementation and routine planning</w:t>
            </w:r>
          </w:p>
        </w:tc>
        <w:tc>
          <w:tcPr>
            <w:tcW w:w="6993" w:type="dxa"/>
            <w:tcBorders>
              <w:top w:val="single" w:sz="4" w:space="0" w:color="BEBEBE"/>
              <w:bottom w:val="single" w:sz="4" w:space="0" w:color="BEBEBE"/>
            </w:tcBorders>
          </w:tcPr>
          <w:p w14:paraId="00FD108A" w14:textId="77777777" w:rsidR="00BC24A8" w:rsidRDefault="00000000">
            <w:pPr>
              <w:pStyle w:val="TableParagraph"/>
              <w:numPr>
                <w:ilvl w:val="0"/>
                <w:numId w:val="27"/>
              </w:numPr>
              <w:tabs>
                <w:tab w:val="left" w:pos="501"/>
              </w:tabs>
              <w:spacing w:before="119"/>
              <w:ind w:right="405"/>
              <w:rPr>
                <w:sz w:val="18"/>
              </w:rPr>
            </w:pPr>
            <w:r>
              <w:rPr>
                <w:sz w:val="18"/>
              </w:rPr>
              <w:t>MSS:</w:t>
            </w:r>
            <w:r>
              <w:rPr>
                <w:spacing w:val="-3"/>
                <w:sz w:val="18"/>
              </w:rPr>
              <w:t xml:space="preserve"> </w:t>
            </w:r>
            <w:r>
              <w:rPr>
                <w:sz w:val="18"/>
              </w:rPr>
              <w:t>MSS</w:t>
            </w:r>
            <w:r>
              <w:rPr>
                <w:spacing w:val="-3"/>
                <w:sz w:val="18"/>
              </w:rPr>
              <w:t xml:space="preserve"> </w:t>
            </w:r>
            <w:r>
              <w:rPr>
                <w:sz w:val="18"/>
              </w:rPr>
              <w:t>Action</w:t>
            </w:r>
            <w:r>
              <w:rPr>
                <w:spacing w:val="-3"/>
                <w:sz w:val="18"/>
              </w:rPr>
              <w:t xml:space="preserve"> </w:t>
            </w:r>
            <w:r>
              <w:rPr>
                <w:sz w:val="18"/>
              </w:rPr>
              <w:t>Plan,</w:t>
            </w:r>
            <w:r>
              <w:rPr>
                <w:spacing w:val="-4"/>
                <w:sz w:val="18"/>
              </w:rPr>
              <w:t xml:space="preserve"> </w:t>
            </w:r>
            <w:r>
              <w:rPr>
                <w:sz w:val="18"/>
              </w:rPr>
              <w:t>reporting</w:t>
            </w:r>
            <w:r>
              <w:rPr>
                <w:spacing w:val="-6"/>
                <w:sz w:val="18"/>
              </w:rPr>
              <w:t xml:space="preserve"> </w:t>
            </w:r>
            <w:r>
              <w:rPr>
                <w:sz w:val="18"/>
              </w:rPr>
              <w:t>and</w:t>
            </w:r>
            <w:r>
              <w:rPr>
                <w:spacing w:val="-3"/>
                <w:sz w:val="18"/>
              </w:rPr>
              <w:t xml:space="preserve"> </w:t>
            </w:r>
            <w:r>
              <w:rPr>
                <w:sz w:val="18"/>
              </w:rPr>
              <w:t>costing,</w:t>
            </w:r>
            <w:r>
              <w:rPr>
                <w:spacing w:val="-4"/>
                <w:sz w:val="18"/>
              </w:rPr>
              <w:t xml:space="preserve"> </w:t>
            </w:r>
            <w:r>
              <w:rPr>
                <w:sz w:val="18"/>
              </w:rPr>
              <w:t>and</w:t>
            </w:r>
            <w:r>
              <w:rPr>
                <w:spacing w:val="-3"/>
                <w:sz w:val="18"/>
              </w:rPr>
              <w:t xml:space="preserve"> </w:t>
            </w:r>
            <w:r>
              <w:rPr>
                <w:sz w:val="18"/>
              </w:rPr>
              <w:t>integration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MSS</w:t>
            </w:r>
            <w:r>
              <w:rPr>
                <w:spacing w:val="-3"/>
                <w:sz w:val="18"/>
              </w:rPr>
              <w:t xml:space="preserve"> </w:t>
            </w:r>
            <w:r>
              <w:rPr>
                <w:sz w:val="18"/>
              </w:rPr>
              <w:t>Action</w:t>
            </w:r>
            <w:r>
              <w:rPr>
                <w:spacing w:val="-3"/>
                <w:sz w:val="18"/>
              </w:rPr>
              <w:t xml:space="preserve"> </w:t>
            </w:r>
            <w:r>
              <w:rPr>
                <w:sz w:val="18"/>
              </w:rPr>
              <w:t>Plan into planning documents.</w:t>
            </w:r>
          </w:p>
          <w:p w14:paraId="07702A92" w14:textId="77777777" w:rsidR="00BC24A8" w:rsidRDefault="00000000">
            <w:pPr>
              <w:pStyle w:val="TableParagraph"/>
              <w:numPr>
                <w:ilvl w:val="0"/>
                <w:numId w:val="27"/>
              </w:numPr>
              <w:tabs>
                <w:tab w:val="left" w:pos="501"/>
              </w:tabs>
              <w:ind w:right="157"/>
              <w:rPr>
                <w:sz w:val="18"/>
              </w:rPr>
            </w:pPr>
            <w:r>
              <w:rPr>
                <w:sz w:val="18"/>
              </w:rPr>
              <w:t>Regular Planning: RPJMD and RKPD (Regional Government Work Plan) that prioritise MSS</w:t>
            </w:r>
            <w:r>
              <w:rPr>
                <w:spacing w:val="-4"/>
                <w:sz w:val="18"/>
              </w:rPr>
              <w:t xml:space="preserve"> </w:t>
            </w:r>
            <w:r>
              <w:rPr>
                <w:sz w:val="18"/>
              </w:rPr>
              <w:t>and</w:t>
            </w:r>
            <w:r>
              <w:rPr>
                <w:spacing w:val="-4"/>
                <w:sz w:val="18"/>
              </w:rPr>
              <w:t xml:space="preserve"> </w:t>
            </w:r>
            <w:r>
              <w:rPr>
                <w:sz w:val="18"/>
              </w:rPr>
              <w:t>GEDSI,</w:t>
            </w:r>
            <w:r>
              <w:rPr>
                <w:spacing w:val="-4"/>
                <w:sz w:val="18"/>
              </w:rPr>
              <w:t xml:space="preserve"> </w:t>
            </w:r>
            <w:r>
              <w:rPr>
                <w:sz w:val="18"/>
              </w:rPr>
              <w:t>and</w:t>
            </w:r>
            <w:r>
              <w:rPr>
                <w:spacing w:val="-4"/>
                <w:sz w:val="18"/>
              </w:rPr>
              <w:t xml:space="preserve"> </w:t>
            </w:r>
            <w:r>
              <w:rPr>
                <w:sz w:val="18"/>
              </w:rPr>
              <w:t>strengthened</w:t>
            </w:r>
            <w:r>
              <w:rPr>
                <w:spacing w:val="-4"/>
                <w:sz w:val="18"/>
              </w:rPr>
              <w:t xml:space="preserve"> </w:t>
            </w:r>
            <w:r>
              <w:rPr>
                <w:sz w:val="18"/>
              </w:rPr>
              <w:t>capacity</w:t>
            </w:r>
            <w:r>
              <w:rPr>
                <w:spacing w:val="-4"/>
                <w:sz w:val="18"/>
              </w:rPr>
              <w:t xml:space="preserve"> </w:t>
            </w:r>
            <w:r>
              <w:rPr>
                <w:sz w:val="18"/>
              </w:rPr>
              <w:t>to</w:t>
            </w:r>
            <w:r>
              <w:rPr>
                <w:spacing w:val="-4"/>
                <w:sz w:val="18"/>
              </w:rPr>
              <w:t xml:space="preserve"> </w:t>
            </w:r>
            <w:r>
              <w:rPr>
                <w:sz w:val="18"/>
              </w:rPr>
              <w:t>apply</w:t>
            </w:r>
            <w:r>
              <w:rPr>
                <w:spacing w:val="-4"/>
                <w:sz w:val="18"/>
              </w:rPr>
              <w:t xml:space="preserve"> </w:t>
            </w:r>
            <w:r>
              <w:rPr>
                <w:sz w:val="18"/>
              </w:rPr>
              <w:t>cascade</w:t>
            </w:r>
            <w:r>
              <w:rPr>
                <w:spacing w:val="-4"/>
                <w:sz w:val="18"/>
              </w:rPr>
              <w:t xml:space="preserve"> </w:t>
            </w:r>
            <w:r>
              <w:rPr>
                <w:sz w:val="18"/>
              </w:rPr>
              <w:t>nomenclature</w:t>
            </w:r>
            <w:r>
              <w:rPr>
                <w:spacing w:val="-4"/>
                <w:sz w:val="18"/>
              </w:rPr>
              <w:t xml:space="preserve"> </w:t>
            </w:r>
            <w:r>
              <w:rPr>
                <w:sz w:val="18"/>
              </w:rPr>
              <w:t>of</w:t>
            </w:r>
            <w:r>
              <w:rPr>
                <w:spacing w:val="-4"/>
                <w:sz w:val="18"/>
              </w:rPr>
              <w:t xml:space="preserve"> </w:t>
            </w:r>
            <w:r>
              <w:rPr>
                <w:sz w:val="18"/>
              </w:rPr>
              <w:t>programs and activities</w:t>
            </w:r>
          </w:p>
        </w:tc>
      </w:tr>
      <w:tr w:rsidR="00BC24A8" w14:paraId="42CF972F" w14:textId="77777777">
        <w:trPr>
          <w:trHeight w:val="1333"/>
        </w:trPr>
        <w:tc>
          <w:tcPr>
            <w:tcW w:w="2381" w:type="dxa"/>
            <w:tcBorders>
              <w:top w:val="single" w:sz="4" w:space="0" w:color="BEBEBE"/>
              <w:bottom w:val="single" w:sz="4" w:space="0" w:color="BEBEBE"/>
            </w:tcBorders>
          </w:tcPr>
          <w:p w14:paraId="1314D624" w14:textId="77777777" w:rsidR="00BC24A8" w:rsidRDefault="00000000">
            <w:pPr>
              <w:pStyle w:val="TableParagraph"/>
              <w:spacing w:before="119"/>
              <w:ind w:left="122"/>
              <w:rPr>
                <w:sz w:val="18"/>
              </w:rPr>
            </w:pPr>
            <w:r>
              <w:rPr>
                <w:sz w:val="18"/>
              </w:rPr>
              <w:t>Establish a more responsive local government budget management framework to ensure</w:t>
            </w:r>
            <w:r>
              <w:rPr>
                <w:spacing w:val="-11"/>
                <w:sz w:val="18"/>
              </w:rPr>
              <w:t xml:space="preserve"> </w:t>
            </w:r>
            <w:r>
              <w:rPr>
                <w:sz w:val="18"/>
              </w:rPr>
              <w:t>inclusive</w:t>
            </w:r>
            <w:r>
              <w:rPr>
                <w:spacing w:val="-10"/>
                <w:sz w:val="18"/>
              </w:rPr>
              <w:t xml:space="preserve"> </w:t>
            </w:r>
            <w:r>
              <w:rPr>
                <w:sz w:val="18"/>
              </w:rPr>
              <w:t>basic</w:t>
            </w:r>
            <w:r>
              <w:rPr>
                <w:spacing w:val="-10"/>
                <w:sz w:val="18"/>
              </w:rPr>
              <w:t xml:space="preserve"> </w:t>
            </w:r>
            <w:r>
              <w:rPr>
                <w:sz w:val="18"/>
              </w:rPr>
              <w:t xml:space="preserve">service </w:t>
            </w:r>
            <w:r>
              <w:rPr>
                <w:spacing w:val="-2"/>
                <w:sz w:val="18"/>
              </w:rPr>
              <w:t>delivery</w:t>
            </w:r>
          </w:p>
        </w:tc>
        <w:tc>
          <w:tcPr>
            <w:tcW w:w="6993" w:type="dxa"/>
            <w:tcBorders>
              <w:top w:val="single" w:sz="4" w:space="0" w:color="BEBEBE"/>
              <w:bottom w:val="single" w:sz="4" w:space="0" w:color="BEBEBE"/>
            </w:tcBorders>
          </w:tcPr>
          <w:p w14:paraId="2167DCDA" w14:textId="77777777" w:rsidR="00BC24A8" w:rsidRDefault="00000000">
            <w:pPr>
              <w:pStyle w:val="TableParagraph"/>
              <w:numPr>
                <w:ilvl w:val="0"/>
                <w:numId w:val="26"/>
              </w:numPr>
              <w:tabs>
                <w:tab w:val="left" w:pos="501"/>
              </w:tabs>
              <w:spacing w:before="119"/>
              <w:ind w:right="759"/>
              <w:rPr>
                <w:sz w:val="18"/>
              </w:rPr>
            </w:pPr>
            <w:r>
              <w:rPr>
                <w:sz w:val="18"/>
              </w:rPr>
              <w:t>PDRD</w:t>
            </w:r>
            <w:r>
              <w:rPr>
                <w:spacing w:val="-3"/>
                <w:sz w:val="18"/>
              </w:rPr>
              <w:t xml:space="preserve"> </w:t>
            </w:r>
            <w:r>
              <w:rPr>
                <w:sz w:val="18"/>
              </w:rPr>
              <w:t>(Regional</w:t>
            </w:r>
            <w:r>
              <w:rPr>
                <w:spacing w:val="-3"/>
                <w:sz w:val="18"/>
              </w:rPr>
              <w:t xml:space="preserve"> </w:t>
            </w:r>
            <w:r>
              <w:rPr>
                <w:sz w:val="18"/>
              </w:rPr>
              <w:t>Taxes</w:t>
            </w:r>
            <w:r>
              <w:rPr>
                <w:spacing w:val="-4"/>
                <w:sz w:val="18"/>
              </w:rPr>
              <w:t xml:space="preserve"> </w:t>
            </w:r>
            <w:r>
              <w:rPr>
                <w:sz w:val="18"/>
              </w:rPr>
              <w:t>and</w:t>
            </w:r>
            <w:r>
              <w:rPr>
                <w:spacing w:val="-4"/>
                <w:sz w:val="18"/>
              </w:rPr>
              <w:t xml:space="preserve"> </w:t>
            </w:r>
            <w:r>
              <w:rPr>
                <w:sz w:val="18"/>
              </w:rPr>
              <w:t>Levies):</w:t>
            </w:r>
            <w:r>
              <w:rPr>
                <w:spacing w:val="-4"/>
                <w:sz w:val="18"/>
              </w:rPr>
              <w:t xml:space="preserve"> </w:t>
            </w:r>
            <w:r>
              <w:rPr>
                <w:sz w:val="18"/>
              </w:rPr>
              <w:t>Policies</w:t>
            </w:r>
            <w:r>
              <w:rPr>
                <w:spacing w:val="-4"/>
                <w:sz w:val="18"/>
              </w:rPr>
              <w:t xml:space="preserve"> </w:t>
            </w:r>
            <w:r>
              <w:rPr>
                <w:sz w:val="18"/>
              </w:rPr>
              <w:t>and</w:t>
            </w:r>
            <w:r>
              <w:rPr>
                <w:spacing w:val="-4"/>
                <w:sz w:val="18"/>
              </w:rPr>
              <w:t xml:space="preserve"> </w:t>
            </w:r>
            <w:r>
              <w:rPr>
                <w:sz w:val="18"/>
              </w:rPr>
              <w:t>regulations</w:t>
            </w:r>
            <w:r>
              <w:rPr>
                <w:spacing w:val="-7"/>
                <w:sz w:val="18"/>
              </w:rPr>
              <w:t xml:space="preserve"> </w:t>
            </w:r>
            <w:r>
              <w:rPr>
                <w:sz w:val="18"/>
              </w:rPr>
              <w:t>to</w:t>
            </w:r>
            <w:r>
              <w:rPr>
                <w:spacing w:val="-5"/>
                <w:sz w:val="18"/>
              </w:rPr>
              <w:t xml:space="preserve"> </w:t>
            </w:r>
            <w:r>
              <w:rPr>
                <w:sz w:val="18"/>
              </w:rPr>
              <w:t>optimise</w:t>
            </w:r>
            <w:r>
              <w:rPr>
                <w:spacing w:val="-5"/>
                <w:sz w:val="18"/>
              </w:rPr>
              <w:t xml:space="preserve"> </w:t>
            </w:r>
            <w:r>
              <w:rPr>
                <w:sz w:val="18"/>
              </w:rPr>
              <w:t xml:space="preserve">Regional </w:t>
            </w:r>
            <w:r>
              <w:rPr>
                <w:spacing w:val="-2"/>
                <w:sz w:val="18"/>
              </w:rPr>
              <w:t>Revenue.</w:t>
            </w:r>
          </w:p>
          <w:p w14:paraId="28904C65" w14:textId="77777777" w:rsidR="00BC24A8" w:rsidRDefault="00000000">
            <w:pPr>
              <w:pStyle w:val="TableParagraph"/>
              <w:numPr>
                <w:ilvl w:val="0"/>
                <w:numId w:val="26"/>
              </w:numPr>
              <w:tabs>
                <w:tab w:val="left" w:pos="501"/>
              </w:tabs>
              <w:ind w:right="146"/>
              <w:rPr>
                <w:sz w:val="18"/>
              </w:rPr>
            </w:pPr>
            <w:r>
              <w:rPr>
                <w:sz w:val="18"/>
              </w:rPr>
              <w:t>PPRG (Gender-Responsive Planning and Budgeting): Gender Analysis/Action Plan (GAP) and</w:t>
            </w:r>
            <w:r>
              <w:rPr>
                <w:spacing w:val="-4"/>
                <w:sz w:val="18"/>
              </w:rPr>
              <w:t xml:space="preserve"> </w:t>
            </w:r>
            <w:r>
              <w:rPr>
                <w:sz w:val="18"/>
              </w:rPr>
              <w:t>Gender</w:t>
            </w:r>
            <w:r>
              <w:rPr>
                <w:spacing w:val="-4"/>
                <w:sz w:val="18"/>
              </w:rPr>
              <w:t xml:space="preserve"> </w:t>
            </w:r>
            <w:r>
              <w:rPr>
                <w:sz w:val="18"/>
              </w:rPr>
              <w:t>Budget</w:t>
            </w:r>
            <w:r>
              <w:rPr>
                <w:spacing w:val="-3"/>
                <w:sz w:val="18"/>
              </w:rPr>
              <w:t xml:space="preserve"> </w:t>
            </w:r>
            <w:r>
              <w:rPr>
                <w:sz w:val="18"/>
              </w:rPr>
              <w:t>Statement</w:t>
            </w:r>
            <w:r>
              <w:rPr>
                <w:spacing w:val="-3"/>
                <w:sz w:val="18"/>
              </w:rPr>
              <w:t xml:space="preserve"> </w:t>
            </w:r>
            <w:r>
              <w:rPr>
                <w:sz w:val="18"/>
              </w:rPr>
              <w:t>(GBS)</w:t>
            </w:r>
            <w:r>
              <w:rPr>
                <w:spacing w:val="-5"/>
                <w:sz w:val="18"/>
              </w:rPr>
              <w:t xml:space="preserve"> </w:t>
            </w:r>
            <w:r>
              <w:rPr>
                <w:sz w:val="18"/>
              </w:rPr>
              <w:t>in</w:t>
            </w:r>
            <w:r>
              <w:rPr>
                <w:spacing w:val="-4"/>
                <w:sz w:val="18"/>
              </w:rPr>
              <w:t xml:space="preserve"> </w:t>
            </w:r>
            <w:r>
              <w:rPr>
                <w:sz w:val="18"/>
              </w:rPr>
              <w:t>provincial</w:t>
            </w:r>
            <w:r>
              <w:rPr>
                <w:spacing w:val="-3"/>
                <w:sz w:val="18"/>
              </w:rPr>
              <w:t xml:space="preserve"> </w:t>
            </w:r>
            <w:r>
              <w:rPr>
                <w:sz w:val="18"/>
              </w:rPr>
              <w:t>agencies</w:t>
            </w:r>
            <w:r>
              <w:rPr>
                <w:spacing w:val="-4"/>
                <w:sz w:val="18"/>
              </w:rPr>
              <w:t xml:space="preserve"> </w:t>
            </w:r>
            <w:r>
              <w:rPr>
                <w:sz w:val="18"/>
              </w:rPr>
              <w:t>planning,</w:t>
            </w:r>
            <w:r>
              <w:rPr>
                <w:spacing w:val="-5"/>
                <w:sz w:val="18"/>
              </w:rPr>
              <w:t xml:space="preserve"> </w:t>
            </w:r>
            <w:r>
              <w:rPr>
                <w:sz w:val="18"/>
              </w:rPr>
              <w:t>optimising</w:t>
            </w:r>
            <w:r>
              <w:rPr>
                <w:spacing w:val="-5"/>
                <w:sz w:val="18"/>
              </w:rPr>
              <w:t xml:space="preserve"> </w:t>
            </w:r>
            <w:r>
              <w:rPr>
                <w:sz w:val="18"/>
              </w:rPr>
              <w:t>the</w:t>
            </w:r>
            <w:r>
              <w:rPr>
                <w:spacing w:val="-5"/>
                <w:sz w:val="18"/>
              </w:rPr>
              <w:t xml:space="preserve"> </w:t>
            </w:r>
            <w:r>
              <w:rPr>
                <w:sz w:val="18"/>
              </w:rPr>
              <w:t>role of the Gender Mainstreaming Team (PUG)</w:t>
            </w:r>
          </w:p>
        </w:tc>
      </w:tr>
      <w:tr w:rsidR="00BC24A8" w14:paraId="301FD29C" w14:textId="77777777">
        <w:trPr>
          <w:trHeight w:val="950"/>
        </w:trPr>
        <w:tc>
          <w:tcPr>
            <w:tcW w:w="2381" w:type="dxa"/>
            <w:tcBorders>
              <w:top w:val="single" w:sz="4" w:space="0" w:color="BEBEBE"/>
              <w:bottom w:val="single" w:sz="4" w:space="0" w:color="BEBEBE"/>
            </w:tcBorders>
          </w:tcPr>
          <w:p w14:paraId="30E7AD68" w14:textId="77777777" w:rsidR="00BC24A8" w:rsidRDefault="00000000">
            <w:pPr>
              <w:pStyle w:val="TableParagraph"/>
              <w:spacing w:before="116"/>
              <w:ind w:left="122" w:right="499"/>
              <w:jc w:val="both"/>
              <w:rPr>
                <w:sz w:val="18"/>
              </w:rPr>
            </w:pPr>
            <w:r>
              <w:rPr>
                <w:sz w:val="18"/>
              </w:rPr>
              <w:t>Promote</w:t>
            </w:r>
            <w:r>
              <w:rPr>
                <w:spacing w:val="-5"/>
                <w:sz w:val="18"/>
              </w:rPr>
              <w:t xml:space="preserve"> </w:t>
            </w:r>
            <w:r>
              <w:rPr>
                <w:sz w:val="18"/>
              </w:rPr>
              <w:t>more</w:t>
            </w:r>
            <w:r>
              <w:rPr>
                <w:spacing w:val="-5"/>
                <w:sz w:val="18"/>
              </w:rPr>
              <w:t xml:space="preserve"> </w:t>
            </w:r>
            <w:r>
              <w:rPr>
                <w:sz w:val="18"/>
              </w:rPr>
              <w:t>effective management of Special Autonomy</w:t>
            </w:r>
            <w:r>
              <w:rPr>
                <w:spacing w:val="-4"/>
                <w:sz w:val="18"/>
              </w:rPr>
              <w:t xml:space="preserve"> </w:t>
            </w:r>
            <w:r>
              <w:rPr>
                <w:sz w:val="18"/>
              </w:rPr>
              <w:t>(Otsus)</w:t>
            </w:r>
            <w:r>
              <w:rPr>
                <w:spacing w:val="-4"/>
                <w:sz w:val="18"/>
              </w:rPr>
              <w:t xml:space="preserve"> funds</w:t>
            </w:r>
          </w:p>
        </w:tc>
        <w:tc>
          <w:tcPr>
            <w:tcW w:w="6993" w:type="dxa"/>
            <w:tcBorders>
              <w:top w:val="single" w:sz="4" w:space="0" w:color="BEBEBE"/>
              <w:bottom w:val="single" w:sz="4" w:space="0" w:color="BEBEBE"/>
            </w:tcBorders>
          </w:tcPr>
          <w:p w14:paraId="42F445A0" w14:textId="77777777" w:rsidR="00BC24A8" w:rsidRDefault="00000000">
            <w:pPr>
              <w:pStyle w:val="TableParagraph"/>
              <w:numPr>
                <w:ilvl w:val="0"/>
                <w:numId w:val="25"/>
              </w:numPr>
              <w:tabs>
                <w:tab w:val="left" w:pos="501"/>
              </w:tabs>
              <w:spacing w:before="116"/>
              <w:ind w:right="614"/>
              <w:rPr>
                <w:sz w:val="18"/>
              </w:rPr>
            </w:pPr>
            <w:r>
              <w:rPr>
                <w:sz w:val="18"/>
              </w:rPr>
              <w:t>Otsus:</w:t>
            </w:r>
            <w:r>
              <w:rPr>
                <w:spacing w:val="-4"/>
                <w:sz w:val="18"/>
              </w:rPr>
              <w:t xml:space="preserve"> </w:t>
            </w:r>
            <w:r>
              <w:rPr>
                <w:sz w:val="18"/>
              </w:rPr>
              <w:t>Establish</w:t>
            </w:r>
            <w:r>
              <w:rPr>
                <w:spacing w:val="-4"/>
                <w:sz w:val="18"/>
              </w:rPr>
              <w:t xml:space="preserve"> </w:t>
            </w:r>
            <w:r>
              <w:rPr>
                <w:sz w:val="18"/>
              </w:rPr>
              <w:t>a</w:t>
            </w:r>
            <w:r>
              <w:rPr>
                <w:spacing w:val="-5"/>
                <w:sz w:val="18"/>
              </w:rPr>
              <w:t xml:space="preserve"> </w:t>
            </w:r>
            <w:r>
              <w:rPr>
                <w:sz w:val="18"/>
              </w:rPr>
              <w:t>coordination</w:t>
            </w:r>
            <w:r>
              <w:rPr>
                <w:spacing w:val="-4"/>
                <w:sz w:val="18"/>
              </w:rPr>
              <w:t xml:space="preserve"> </w:t>
            </w:r>
            <w:r>
              <w:rPr>
                <w:sz w:val="18"/>
              </w:rPr>
              <w:t>forum,</w:t>
            </w:r>
            <w:r>
              <w:rPr>
                <w:spacing w:val="-5"/>
                <w:sz w:val="18"/>
              </w:rPr>
              <w:t xml:space="preserve"> </w:t>
            </w:r>
            <w:r>
              <w:rPr>
                <w:sz w:val="18"/>
              </w:rPr>
              <w:t>improve</w:t>
            </w:r>
            <w:r>
              <w:rPr>
                <w:spacing w:val="-4"/>
                <w:sz w:val="18"/>
              </w:rPr>
              <w:t xml:space="preserve"> </w:t>
            </w:r>
            <w:r>
              <w:rPr>
                <w:sz w:val="18"/>
              </w:rPr>
              <w:t>Provincial</w:t>
            </w:r>
            <w:r>
              <w:rPr>
                <w:spacing w:val="-3"/>
                <w:sz w:val="18"/>
              </w:rPr>
              <w:t xml:space="preserve"> </w:t>
            </w:r>
            <w:r>
              <w:rPr>
                <w:sz w:val="18"/>
              </w:rPr>
              <w:t>Evaluator</w:t>
            </w:r>
            <w:r>
              <w:rPr>
                <w:spacing w:val="-6"/>
                <w:sz w:val="18"/>
              </w:rPr>
              <w:t xml:space="preserve"> </w:t>
            </w:r>
            <w:r>
              <w:rPr>
                <w:sz w:val="18"/>
              </w:rPr>
              <w:t>Capacity,</w:t>
            </w:r>
            <w:r>
              <w:rPr>
                <w:spacing w:val="-5"/>
                <w:sz w:val="18"/>
              </w:rPr>
              <w:t xml:space="preserve"> </w:t>
            </w:r>
            <w:r>
              <w:rPr>
                <w:sz w:val="18"/>
              </w:rPr>
              <w:t>and strengthen the inclusiveness of the Government Action Plan (RAP) content.</w:t>
            </w:r>
          </w:p>
        </w:tc>
      </w:tr>
    </w:tbl>
    <w:p w14:paraId="4FDF6916" w14:textId="77777777" w:rsidR="00BC24A8" w:rsidRDefault="00BC24A8">
      <w:pPr>
        <w:pStyle w:val="BodyText"/>
        <w:spacing w:before="223"/>
        <w:rPr>
          <w:rFonts w:ascii="Calibri"/>
          <w:b/>
        </w:rPr>
      </w:pPr>
    </w:p>
    <w:p w14:paraId="48CF5698" w14:textId="77777777" w:rsidR="00BC24A8" w:rsidRDefault="00000000">
      <w:pPr>
        <w:pStyle w:val="ListParagraph"/>
        <w:numPr>
          <w:ilvl w:val="1"/>
          <w:numId w:val="31"/>
        </w:numPr>
        <w:tabs>
          <w:tab w:val="left" w:pos="683"/>
        </w:tabs>
        <w:spacing w:before="1"/>
        <w:ind w:hanging="631"/>
        <w:rPr>
          <w:rFonts w:ascii="Calibri"/>
          <w:b/>
        </w:rPr>
      </w:pPr>
      <w:r w:rsidRPr="00795364">
        <w:rPr>
          <w:rFonts w:ascii="Calibri"/>
          <w:b/>
          <w:color w:val="008279"/>
        </w:rPr>
        <w:t>Summary</w:t>
      </w:r>
      <w:r w:rsidRPr="00795364">
        <w:rPr>
          <w:rFonts w:ascii="Calibri"/>
          <w:b/>
          <w:color w:val="008279"/>
          <w:spacing w:val="-6"/>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key</w:t>
      </w:r>
      <w:r w:rsidRPr="00795364">
        <w:rPr>
          <w:rFonts w:ascii="Calibri"/>
          <w:b/>
          <w:color w:val="008279"/>
          <w:spacing w:val="-5"/>
        </w:rPr>
        <w:t xml:space="preserve"> </w:t>
      </w:r>
      <w:r w:rsidRPr="00795364">
        <w:rPr>
          <w:rFonts w:ascii="Calibri"/>
          <w:b/>
          <w:color w:val="008279"/>
          <w:spacing w:val="-2"/>
        </w:rPr>
        <w:t>support/inputs</w:t>
      </w:r>
    </w:p>
    <w:p w14:paraId="5539EABF" w14:textId="77777777" w:rsidR="00BC24A8" w:rsidRDefault="00BC24A8">
      <w:pPr>
        <w:pStyle w:val="BodyText"/>
        <w:spacing w:before="4"/>
        <w:rPr>
          <w:rFonts w:ascii="Calibri"/>
          <w:b/>
          <w:sz w:val="19"/>
        </w:rPr>
      </w:pPr>
    </w:p>
    <w:tbl>
      <w:tblPr>
        <w:tblW w:w="0" w:type="auto"/>
        <w:tblInd w:w="143" w:type="dxa"/>
        <w:tblLayout w:type="fixed"/>
        <w:tblCellMar>
          <w:left w:w="0" w:type="dxa"/>
          <w:right w:w="0" w:type="dxa"/>
        </w:tblCellMar>
        <w:tblLook w:val="01E0" w:firstRow="1" w:lastRow="1" w:firstColumn="1" w:lastColumn="1" w:noHBand="0" w:noVBand="0"/>
      </w:tblPr>
      <w:tblGrid>
        <w:gridCol w:w="919"/>
        <w:gridCol w:w="2767"/>
        <w:gridCol w:w="1752"/>
        <w:gridCol w:w="3929"/>
      </w:tblGrid>
      <w:tr w:rsidR="00BC24A8" w14:paraId="4D413F4C" w14:textId="77777777">
        <w:trPr>
          <w:trHeight w:val="379"/>
        </w:trPr>
        <w:tc>
          <w:tcPr>
            <w:tcW w:w="919" w:type="dxa"/>
            <w:shd w:val="clear" w:color="auto" w:fill="17365A"/>
          </w:tcPr>
          <w:p w14:paraId="29EF7FF3" w14:textId="77777777" w:rsidR="00BC24A8" w:rsidRDefault="00000000">
            <w:pPr>
              <w:pStyle w:val="TableParagraph"/>
              <w:spacing w:before="59"/>
              <w:ind w:left="115"/>
              <w:rPr>
                <w:rFonts w:ascii="Calibri"/>
                <w:b/>
                <w:sz w:val="20"/>
              </w:rPr>
            </w:pPr>
            <w:r>
              <w:rPr>
                <w:rFonts w:ascii="Calibri"/>
                <w:b/>
                <w:color w:val="FFFFFF"/>
                <w:spacing w:val="-2"/>
                <w:sz w:val="20"/>
              </w:rPr>
              <w:t>Theme</w:t>
            </w:r>
          </w:p>
        </w:tc>
        <w:tc>
          <w:tcPr>
            <w:tcW w:w="2767" w:type="dxa"/>
            <w:shd w:val="clear" w:color="auto" w:fill="17365A"/>
          </w:tcPr>
          <w:p w14:paraId="640C4998" w14:textId="77777777" w:rsidR="00BC24A8" w:rsidRDefault="00000000">
            <w:pPr>
              <w:pStyle w:val="TableParagraph"/>
              <w:spacing w:before="59"/>
              <w:ind w:left="4" w:right="1"/>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2"/>
                <w:sz w:val="20"/>
              </w:rPr>
              <w:t>Workshops</w:t>
            </w:r>
          </w:p>
        </w:tc>
        <w:tc>
          <w:tcPr>
            <w:tcW w:w="1752" w:type="dxa"/>
            <w:shd w:val="clear" w:color="auto" w:fill="17365A"/>
          </w:tcPr>
          <w:p w14:paraId="46702E86" w14:textId="77777777" w:rsidR="00BC24A8" w:rsidRDefault="00000000">
            <w:pPr>
              <w:pStyle w:val="TableParagraph"/>
              <w:spacing w:before="59"/>
              <w:ind w:right="1"/>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5"/>
                <w:sz w:val="20"/>
              </w:rPr>
              <w:t>TAs</w:t>
            </w:r>
          </w:p>
        </w:tc>
        <w:tc>
          <w:tcPr>
            <w:tcW w:w="3929" w:type="dxa"/>
            <w:shd w:val="clear" w:color="auto" w:fill="17365A"/>
          </w:tcPr>
          <w:p w14:paraId="58B5B082" w14:textId="77777777" w:rsidR="00BC24A8" w:rsidRDefault="00000000">
            <w:pPr>
              <w:pStyle w:val="TableParagraph"/>
              <w:spacing w:before="59"/>
              <w:ind w:right="5"/>
              <w:jc w:val="center"/>
              <w:rPr>
                <w:rFonts w:ascii="Calibri"/>
                <w:b/>
                <w:sz w:val="20"/>
              </w:rPr>
            </w:pPr>
            <w:r>
              <w:rPr>
                <w:rFonts w:ascii="Calibri"/>
                <w:b/>
                <w:color w:val="FFFFFF"/>
                <w:sz w:val="20"/>
              </w:rPr>
              <w:t>Number</w:t>
            </w:r>
            <w:r>
              <w:rPr>
                <w:rFonts w:ascii="Calibri"/>
                <w:b/>
                <w:color w:val="FFFFFF"/>
                <w:spacing w:val="-6"/>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Technical</w:t>
            </w:r>
            <w:r>
              <w:rPr>
                <w:rFonts w:ascii="Calibri"/>
                <w:b/>
                <w:color w:val="FFFFFF"/>
                <w:spacing w:val="-6"/>
                <w:sz w:val="20"/>
              </w:rPr>
              <w:t xml:space="preserve"> </w:t>
            </w:r>
            <w:r>
              <w:rPr>
                <w:rFonts w:ascii="Calibri"/>
                <w:b/>
                <w:color w:val="FFFFFF"/>
                <w:spacing w:val="-2"/>
                <w:sz w:val="20"/>
              </w:rPr>
              <w:t>Assistance</w:t>
            </w:r>
          </w:p>
        </w:tc>
      </w:tr>
      <w:tr w:rsidR="00BC24A8" w14:paraId="4D4D41F2" w14:textId="77777777">
        <w:trPr>
          <w:trHeight w:val="436"/>
        </w:trPr>
        <w:tc>
          <w:tcPr>
            <w:tcW w:w="919" w:type="dxa"/>
            <w:tcBorders>
              <w:bottom w:val="single" w:sz="4" w:space="0" w:color="BEBEBE"/>
            </w:tcBorders>
          </w:tcPr>
          <w:p w14:paraId="5B2618CE" w14:textId="77777777" w:rsidR="00BC24A8" w:rsidRDefault="00000000">
            <w:pPr>
              <w:pStyle w:val="TableParagraph"/>
              <w:spacing w:before="162"/>
              <w:ind w:left="115"/>
              <w:rPr>
                <w:sz w:val="18"/>
              </w:rPr>
            </w:pPr>
            <w:r>
              <w:rPr>
                <w:spacing w:val="-5"/>
                <w:sz w:val="18"/>
              </w:rPr>
              <w:t>DNA</w:t>
            </w:r>
          </w:p>
        </w:tc>
        <w:tc>
          <w:tcPr>
            <w:tcW w:w="2767" w:type="dxa"/>
            <w:tcBorders>
              <w:bottom w:val="single" w:sz="4" w:space="0" w:color="BEBEBE"/>
            </w:tcBorders>
          </w:tcPr>
          <w:p w14:paraId="5F927AA4" w14:textId="77777777" w:rsidR="00BC24A8" w:rsidRDefault="00000000">
            <w:pPr>
              <w:pStyle w:val="TableParagraph"/>
              <w:spacing w:before="131"/>
              <w:ind w:left="3" w:right="4"/>
              <w:jc w:val="center"/>
              <w:rPr>
                <w:sz w:val="18"/>
              </w:rPr>
            </w:pPr>
            <w:r>
              <w:rPr>
                <w:spacing w:val="-10"/>
                <w:sz w:val="18"/>
              </w:rPr>
              <w:t>3</w:t>
            </w:r>
          </w:p>
        </w:tc>
        <w:tc>
          <w:tcPr>
            <w:tcW w:w="1752" w:type="dxa"/>
            <w:tcBorders>
              <w:bottom w:val="single" w:sz="4" w:space="0" w:color="BEBEBE"/>
            </w:tcBorders>
          </w:tcPr>
          <w:p w14:paraId="1177BD53" w14:textId="77777777" w:rsidR="00BC24A8" w:rsidRDefault="00000000">
            <w:pPr>
              <w:pStyle w:val="TableParagraph"/>
              <w:spacing w:before="131"/>
              <w:ind w:left="1" w:right="1"/>
              <w:jc w:val="center"/>
              <w:rPr>
                <w:sz w:val="18"/>
              </w:rPr>
            </w:pPr>
            <w:r>
              <w:rPr>
                <w:spacing w:val="-10"/>
                <w:sz w:val="18"/>
              </w:rPr>
              <w:t>1</w:t>
            </w:r>
          </w:p>
        </w:tc>
        <w:tc>
          <w:tcPr>
            <w:tcW w:w="3929" w:type="dxa"/>
            <w:tcBorders>
              <w:bottom w:val="single" w:sz="4" w:space="0" w:color="BEBEBE"/>
            </w:tcBorders>
          </w:tcPr>
          <w:p w14:paraId="39A6C12A" w14:textId="77777777" w:rsidR="00BC24A8" w:rsidRDefault="00000000">
            <w:pPr>
              <w:pStyle w:val="TableParagraph"/>
              <w:spacing w:before="102"/>
              <w:ind w:left="1" w:right="5"/>
              <w:jc w:val="center"/>
              <w:rPr>
                <w:sz w:val="18"/>
              </w:rPr>
            </w:pPr>
            <w:r>
              <w:rPr>
                <w:spacing w:val="-10"/>
                <w:sz w:val="18"/>
              </w:rPr>
              <w:t>3</w:t>
            </w:r>
          </w:p>
        </w:tc>
      </w:tr>
      <w:tr w:rsidR="00BC24A8" w14:paraId="5F9E1356" w14:textId="77777777">
        <w:trPr>
          <w:trHeight w:val="395"/>
        </w:trPr>
        <w:tc>
          <w:tcPr>
            <w:tcW w:w="919" w:type="dxa"/>
            <w:tcBorders>
              <w:top w:val="single" w:sz="4" w:space="0" w:color="BEBEBE"/>
              <w:bottom w:val="single" w:sz="4" w:space="0" w:color="BEBEBE"/>
            </w:tcBorders>
          </w:tcPr>
          <w:p w14:paraId="27E7CB04" w14:textId="77777777" w:rsidR="00BC24A8" w:rsidRDefault="00000000">
            <w:pPr>
              <w:pStyle w:val="TableParagraph"/>
              <w:spacing w:before="119"/>
              <w:ind w:left="115"/>
              <w:rPr>
                <w:sz w:val="18"/>
              </w:rPr>
            </w:pPr>
            <w:r>
              <w:rPr>
                <w:spacing w:val="-5"/>
                <w:sz w:val="18"/>
              </w:rPr>
              <w:t>MSS</w:t>
            </w:r>
          </w:p>
        </w:tc>
        <w:tc>
          <w:tcPr>
            <w:tcW w:w="2767" w:type="dxa"/>
            <w:tcBorders>
              <w:top w:val="single" w:sz="4" w:space="0" w:color="BEBEBE"/>
              <w:bottom w:val="single" w:sz="4" w:space="0" w:color="BEBEBE"/>
            </w:tcBorders>
          </w:tcPr>
          <w:p w14:paraId="026413BA" w14:textId="77777777" w:rsidR="00BC24A8" w:rsidRDefault="00000000">
            <w:pPr>
              <w:pStyle w:val="TableParagraph"/>
              <w:spacing w:before="87"/>
              <w:ind w:left="3" w:right="4"/>
              <w:jc w:val="center"/>
              <w:rPr>
                <w:sz w:val="18"/>
              </w:rPr>
            </w:pPr>
            <w:r>
              <w:rPr>
                <w:spacing w:val="-10"/>
                <w:sz w:val="18"/>
              </w:rPr>
              <w:t>3</w:t>
            </w:r>
          </w:p>
        </w:tc>
        <w:tc>
          <w:tcPr>
            <w:tcW w:w="1752" w:type="dxa"/>
            <w:tcBorders>
              <w:top w:val="single" w:sz="4" w:space="0" w:color="BEBEBE"/>
              <w:bottom w:val="single" w:sz="4" w:space="0" w:color="BEBEBE"/>
            </w:tcBorders>
          </w:tcPr>
          <w:p w14:paraId="54556DAF" w14:textId="77777777" w:rsidR="00BC24A8" w:rsidRDefault="00000000">
            <w:pPr>
              <w:pStyle w:val="TableParagraph"/>
              <w:spacing w:before="87"/>
              <w:ind w:left="1" w:right="1"/>
              <w:jc w:val="center"/>
              <w:rPr>
                <w:sz w:val="18"/>
              </w:rPr>
            </w:pPr>
            <w:r>
              <w:rPr>
                <w:spacing w:val="-10"/>
                <w:sz w:val="18"/>
              </w:rPr>
              <w:t>2</w:t>
            </w:r>
          </w:p>
        </w:tc>
        <w:tc>
          <w:tcPr>
            <w:tcW w:w="3929" w:type="dxa"/>
            <w:tcBorders>
              <w:top w:val="single" w:sz="4" w:space="0" w:color="BEBEBE"/>
              <w:bottom w:val="single" w:sz="4" w:space="0" w:color="BEBEBE"/>
            </w:tcBorders>
          </w:tcPr>
          <w:p w14:paraId="6C5DA55F" w14:textId="77777777" w:rsidR="00BC24A8" w:rsidRDefault="00000000">
            <w:pPr>
              <w:pStyle w:val="TableParagraph"/>
              <w:spacing w:before="59"/>
              <w:ind w:left="1" w:right="5"/>
              <w:jc w:val="center"/>
              <w:rPr>
                <w:sz w:val="18"/>
              </w:rPr>
            </w:pPr>
            <w:r>
              <w:rPr>
                <w:spacing w:val="-10"/>
                <w:sz w:val="18"/>
              </w:rPr>
              <w:t>5</w:t>
            </w:r>
          </w:p>
        </w:tc>
      </w:tr>
      <w:tr w:rsidR="00BC24A8" w14:paraId="0FC583BA" w14:textId="77777777">
        <w:trPr>
          <w:trHeight w:val="393"/>
        </w:trPr>
        <w:tc>
          <w:tcPr>
            <w:tcW w:w="919" w:type="dxa"/>
            <w:tcBorders>
              <w:top w:val="single" w:sz="4" w:space="0" w:color="BEBEBE"/>
              <w:bottom w:val="single" w:sz="4" w:space="0" w:color="BEBEBE"/>
            </w:tcBorders>
          </w:tcPr>
          <w:p w14:paraId="4E58C4C0" w14:textId="77777777" w:rsidR="00BC24A8" w:rsidRDefault="00000000">
            <w:pPr>
              <w:pStyle w:val="TableParagraph"/>
              <w:spacing w:before="116"/>
              <w:ind w:left="115"/>
              <w:rPr>
                <w:sz w:val="18"/>
              </w:rPr>
            </w:pPr>
            <w:r>
              <w:rPr>
                <w:spacing w:val="-5"/>
                <w:sz w:val="18"/>
              </w:rPr>
              <w:t>PFM</w:t>
            </w:r>
          </w:p>
        </w:tc>
        <w:tc>
          <w:tcPr>
            <w:tcW w:w="2767" w:type="dxa"/>
            <w:tcBorders>
              <w:top w:val="single" w:sz="4" w:space="0" w:color="BEBEBE"/>
              <w:bottom w:val="single" w:sz="4" w:space="0" w:color="BEBEBE"/>
            </w:tcBorders>
          </w:tcPr>
          <w:p w14:paraId="3E80D2EA" w14:textId="77777777" w:rsidR="00BC24A8" w:rsidRDefault="00000000">
            <w:pPr>
              <w:pStyle w:val="TableParagraph"/>
              <w:spacing w:before="87"/>
              <w:ind w:left="3" w:right="4"/>
              <w:jc w:val="center"/>
              <w:rPr>
                <w:sz w:val="18"/>
              </w:rPr>
            </w:pPr>
            <w:r>
              <w:rPr>
                <w:spacing w:val="-10"/>
                <w:sz w:val="18"/>
              </w:rPr>
              <w:t>2</w:t>
            </w:r>
          </w:p>
        </w:tc>
        <w:tc>
          <w:tcPr>
            <w:tcW w:w="1752" w:type="dxa"/>
            <w:tcBorders>
              <w:top w:val="single" w:sz="4" w:space="0" w:color="BEBEBE"/>
              <w:bottom w:val="single" w:sz="4" w:space="0" w:color="BEBEBE"/>
            </w:tcBorders>
          </w:tcPr>
          <w:p w14:paraId="6F283AB0" w14:textId="77777777" w:rsidR="00BC24A8" w:rsidRDefault="00000000">
            <w:pPr>
              <w:pStyle w:val="TableParagraph"/>
              <w:spacing w:before="87"/>
              <w:ind w:right="1"/>
              <w:jc w:val="center"/>
              <w:rPr>
                <w:sz w:val="18"/>
              </w:rPr>
            </w:pPr>
            <w:r>
              <w:rPr>
                <w:spacing w:val="-10"/>
                <w:sz w:val="18"/>
              </w:rPr>
              <w:t>-</w:t>
            </w:r>
          </w:p>
        </w:tc>
        <w:tc>
          <w:tcPr>
            <w:tcW w:w="3929" w:type="dxa"/>
            <w:tcBorders>
              <w:top w:val="single" w:sz="4" w:space="0" w:color="BEBEBE"/>
              <w:bottom w:val="single" w:sz="4" w:space="0" w:color="BEBEBE"/>
            </w:tcBorders>
          </w:tcPr>
          <w:p w14:paraId="7560706A" w14:textId="77777777" w:rsidR="00BC24A8" w:rsidRDefault="00000000">
            <w:pPr>
              <w:pStyle w:val="TableParagraph"/>
              <w:spacing w:before="56"/>
              <w:ind w:left="1" w:right="5"/>
              <w:jc w:val="center"/>
              <w:rPr>
                <w:sz w:val="18"/>
              </w:rPr>
            </w:pPr>
            <w:r>
              <w:rPr>
                <w:spacing w:val="-10"/>
                <w:sz w:val="18"/>
              </w:rPr>
              <w:t>3</w:t>
            </w:r>
          </w:p>
        </w:tc>
      </w:tr>
      <w:tr w:rsidR="00BC24A8" w14:paraId="7375E172" w14:textId="77777777">
        <w:trPr>
          <w:trHeight w:val="393"/>
        </w:trPr>
        <w:tc>
          <w:tcPr>
            <w:tcW w:w="919" w:type="dxa"/>
            <w:tcBorders>
              <w:top w:val="single" w:sz="4" w:space="0" w:color="BEBEBE"/>
              <w:bottom w:val="single" w:sz="4" w:space="0" w:color="BEBEBE"/>
            </w:tcBorders>
          </w:tcPr>
          <w:p w14:paraId="275B3BBB" w14:textId="77777777" w:rsidR="00BC24A8" w:rsidRDefault="00000000">
            <w:pPr>
              <w:pStyle w:val="TableParagraph"/>
              <w:spacing w:before="116"/>
              <w:ind w:left="115"/>
              <w:rPr>
                <w:sz w:val="18"/>
              </w:rPr>
            </w:pPr>
            <w:r>
              <w:rPr>
                <w:spacing w:val="-2"/>
                <w:sz w:val="18"/>
              </w:rPr>
              <w:t>GEDSI</w:t>
            </w:r>
          </w:p>
        </w:tc>
        <w:tc>
          <w:tcPr>
            <w:tcW w:w="2767" w:type="dxa"/>
            <w:tcBorders>
              <w:top w:val="single" w:sz="4" w:space="0" w:color="BEBEBE"/>
              <w:bottom w:val="single" w:sz="4" w:space="0" w:color="BEBEBE"/>
            </w:tcBorders>
          </w:tcPr>
          <w:p w14:paraId="720F4182" w14:textId="77777777" w:rsidR="00BC24A8" w:rsidRDefault="00000000">
            <w:pPr>
              <w:pStyle w:val="TableParagraph"/>
              <w:spacing w:before="87"/>
              <w:ind w:left="3" w:right="4"/>
              <w:jc w:val="center"/>
              <w:rPr>
                <w:sz w:val="18"/>
              </w:rPr>
            </w:pPr>
            <w:r>
              <w:rPr>
                <w:spacing w:val="-10"/>
                <w:sz w:val="18"/>
              </w:rPr>
              <w:t>3</w:t>
            </w:r>
          </w:p>
        </w:tc>
        <w:tc>
          <w:tcPr>
            <w:tcW w:w="1752" w:type="dxa"/>
            <w:tcBorders>
              <w:top w:val="single" w:sz="4" w:space="0" w:color="BEBEBE"/>
              <w:bottom w:val="single" w:sz="4" w:space="0" w:color="BEBEBE"/>
            </w:tcBorders>
          </w:tcPr>
          <w:p w14:paraId="4E510A7E" w14:textId="77777777" w:rsidR="00BC24A8" w:rsidRDefault="00000000">
            <w:pPr>
              <w:pStyle w:val="TableParagraph"/>
              <w:spacing w:before="87"/>
              <w:ind w:right="1"/>
              <w:jc w:val="center"/>
              <w:rPr>
                <w:sz w:val="18"/>
              </w:rPr>
            </w:pPr>
            <w:r>
              <w:rPr>
                <w:spacing w:val="-10"/>
                <w:sz w:val="18"/>
              </w:rPr>
              <w:t>-</w:t>
            </w:r>
          </w:p>
        </w:tc>
        <w:tc>
          <w:tcPr>
            <w:tcW w:w="3929" w:type="dxa"/>
            <w:tcBorders>
              <w:top w:val="single" w:sz="4" w:space="0" w:color="BEBEBE"/>
              <w:bottom w:val="single" w:sz="4" w:space="0" w:color="BEBEBE"/>
            </w:tcBorders>
          </w:tcPr>
          <w:p w14:paraId="160C5DC4" w14:textId="77777777" w:rsidR="00BC24A8" w:rsidRDefault="00000000">
            <w:pPr>
              <w:pStyle w:val="TableParagraph"/>
              <w:spacing w:before="59"/>
              <w:ind w:left="1" w:right="5"/>
              <w:jc w:val="center"/>
              <w:rPr>
                <w:sz w:val="18"/>
              </w:rPr>
            </w:pPr>
            <w:r>
              <w:rPr>
                <w:spacing w:val="-10"/>
                <w:sz w:val="18"/>
              </w:rPr>
              <w:t>4</w:t>
            </w:r>
          </w:p>
        </w:tc>
      </w:tr>
    </w:tbl>
    <w:p w14:paraId="0C56C9EE" w14:textId="77777777" w:rsidR="00BC24A8" w:rsidRDefault="00BC24A8">
      <w:pPr>
        <w:pStyle w:val="BodyText"/>
        <w:rPr>
          <w:rFonts w:ascii="Calibri"/>
          <w:b/>
          <w:sz w:val="20"/>
        </w:rPr>
      </w:pPr>
    </w:p>
    <w:p w14:paraId="788D5825" w14:textId="77777777" w:rsidR="00BC24A8" w:rsidRDefault="00BC24A8">
      <w:pPr>
        <w:pStyle w:val="BodyText"/>
        <w:rPr>
          <w:rFonts w:ascii="Calibri"/>
          <w:b/>
          <w:sz w:val="20"/>
        </w:rPr>
      </w:pPr>
    </w:p>
    <w:p w14:paraId="617B757B" w14:textId="77777777" w:rsidR="00BC24A8" w:rsidRDefault="00BC24A8">
      <w:pPr>
        <w:pStyle w:val="BodyText"/>
        <w:rPr>
          <w:rFonts w:ascii="Calibri"/>
          <w:b/>
          <w:sz w:val="20"/>
        </w:rPr>
      </w:pPr>
    </w:p>
    <w:p w14:paraId="5856DB34" w14:textId="77777777" w:rsidR="00BC24A8" w:rsidRDefault="00BC24A8">
      <w:pPr>
        <w:pStyle w:val="BodyText"/>
        <w:rPr>
          <w:rFonts w:ascii="Calibri"/>
          <w:b/>
          <w:sz w:val="20"/>
        </w:rPr>
      </w:pPr>
    </w:p>
    <w:p w14:paraId="17244CD5" w14:textId="77777777" w:rsidR="00BC24A8" w:rsidRDefault="00BC24A8">
      <w:pPr>
        <w:pStyle w:val="BodyText"/>
        <w:rPr>
          <w:rFonts w:ascii="Calibri"/>
          <w:b/>
          <w:sz w:val="20"/>
        </w:rPr>
      </w:pPr>
    </w:p>
    <w:p w14:paraId="66A45347" w14:textId="77777777" w:rsidR="00BC24A8" w:rsidRDefault="00BC24A8">
      <w:pPr>
        <w:pStyle w:val="BodyText"/>
        <w:rPr>
          <w:rFonts w:ascii="Calibri"/>
          <w:b/>
          <w:sz w:val="20"/>
        </w:rPr>
      </w:pPr>
    </w:p>
    <w:p w14:paraId="491BCB12" w14:textId="77777777" w:rsidR="00BC24A8" w:rsidRDefault="00BC24A8">
      <w:pPr>
        <w:pStyle w:val="BodyText"/>
        <w:rPr>
          <w:rFonts w:ascii="Calibri"/>
          <w:b/>
          <w:sz w:val="20"/>
        </w:rPr>
      </w:pPr>
    </w:p>
    <w:p w14:paraId="4A4A4A2E" w14:textId="77777777" w:rsidR="00BC24A8" w:rsidRDefault="00BC24A8">
      <w:pPr>
        <w:pStyle w:val="BodyText"/>
        <w:rPr>
          <w:rFonts w:ascii="Calibri"/>
          <w:b/>
          <w:sz w:val="20"/>
        </w:rPr>
      </w:pPr>
    </w:p>
    <w:p w14:paraId="1F0C9BFB" w14:textId="77777777" w:rsidR="00BC24A8" w:rsidRDefault="00BC24A8">
      <w:pPr>
        <w:pStyle w:val="BodyText"/>
        <w:rPr>
          <w:rFonts w:ascii="Calibri"/>
          <w:b/>
          <w:sz w:val="20"/>
        </w:rPr>
      </w:pPr>
    </w:p>
    <w:p w14:paraId="41C8BAC9" w14:textId="77777777" w:rsidR="00BC24A8" w:rsidRDefault="00BC24A8">
      <w:pPr>
        <w:pStyle w:val="BodyText"/>
        <w:rPr>
          <w:rFonts w:ascii="Calibri"/>
          <w:b/>
          <w:sz w:val="20"/>
        </w:rPr>
      </w:pPr>
    </w:p>
    <w:p w14:paraId="4CB27940" w14:textId="77777777" w:rsidR="00BC24A8" w:rsidRDefault="00BC24A8">
      <w:pPr>
        <w:pStyle w:val="BodyText"/>
        <w:rPr>
          <w:rFonts w:ascii="Calibri"/>
          <w:b/>
          <w:sz w:val="20"/>
        </w:rPr>
      </w:pPr>
    </w:p>
    <w:p w14:paraId="75E269FB" w14:textId="77777777" w:rsidR="00BC24A8" w:rsidRDefault="00BC24A8">
      <w:pPr>
        <w:pStyle w:val="BodyText"/>
        <w:rPr>
          <w:rFonts w:ascii="Calibri"/>
          <w:b/>
          <w:sz w:val="20"/>
        </w:rPr>
      </w:pPr>
    </w:p>
    <w:p w14:paraId="0A08CB4E" w14:textId="77777777" w:rsidR="00BC24A8" w:rsidRDefault="00BC24A8">
      <w:pPr>
        <w:pStyle w:val="BodyText"/>
        <w:rPr>
          <w:rFonts w:ascii="Calibri"/>
          <w:b/>
          <w:sz w:val="20"/>
        </w:rPr>
      </w:pPr>
    </w:p>
    <w:p w14:paraId="0E6C3266" w14:textId="77777777" w:rsidR="00BC24A8" w:rsidRDefault="00BC24A8">
      <w:pPr>
        <w:pStyle w:val="BodyText"/>
        <w:rPr>
          <w:rFonts w:ascii="Calibri"/>
          <w:b/>
          <w:sz w:val="20"/>
        </w:rPr>
      </w:pPr>
    </w:p>
    <w:p w14:paraId="67D63C55" w14:textId="77777777" w:rsidR="00BC24A8" w:rsidRDefault="00BC24A8">
      <w:pPr>
        <w:pStyle w:val="BodyText"/>
        <w:rPr>
          <w:rFonts w:ascii="Calibri"/>
          <w:b/>
          <w:sz w:val="20"/>
        </w:rPr>
      </w:pPr>
    </w:p>
    <w:p w14:paraId="20D57B72" w14:textId="77777777" w:rsidR="00BC24A8" w:rsidRDefault="00BC24A8">
      <w:pPr>
        <w:pStyle w:val="BodyText"/>
        <w:rPr>
          <w:rFonts w:ascii="Calibri"/>
          <w:b/>
          <w:sz w:val="20"/>
        </w:rPr>
      </w:pPr>
    </w:p>
    <w:p w14:paraId="38ED93D7" w14:textId="77777777" w:rsidR="00BC24A8" w:rsidRDefault="00BC24A8">
      <w:pPr>
        <w:pStyle w:val="BodyText"/>
        <w:rPr>
          <w:rFonts w:ascii="Calibri"/>
          <w:b/>
          <w:sz w:val="20"/>
        </w:rPr>
      </w:pPr>
    </w:p>
    <w:p w14:paraId="0D4D6744" w14:textId="77777777" w:rsidR="00BC24A8" w:rsidRDefault="00BC24A8">
      <w:pPr>
        <w:pStyle w:val="BodyText"/>
        <w:rPr>
          <w:rFonts w:ascii="Calibri"/>
          <w:b/>
          <w:sz w:val="20"/>
        </w:rPr>
      </w:pPr>
    </w:p>
    <w:p w14:paraId="6D7F4C1B" w14:textId="77777777" w:rsidR="00BC24A8" w:rsidRDefault="00BC24A8">
      <w:pPr>
        <w:pStyle w:val="BodyText"/>
        <w:rPr>
          <w:rFonts w:ascii="Calibri"/>
          <w:b/>
          <w:sz w:val="20"/>
        </w:rPr>
      </w:pPr>
    </w:p>
    <w:p w14:paraId="47978EAF" w14:textId="77777777" w:rsidR="00BC24A8" w:rsidRDefault="00BC24A8">
      <w:pPr>
        <w:pStyle w:val="BodyText"/>
        <w:rPr>
          <w:rFonts w:ascii="Calibri"/>
          <w:b/>
          <w:sz w:val="20"/>
        </w:rPr>
      </w:pPr>
    </w:p>
    <w:p w14:paraId="1C49B88D" w14:textId="77777777" w:rsidR="00BC24A8" w:rsidRDefault="00BC24A8">
      <w:pPr>
        <w:pStyle w:val="BodyText"/>
        <w:rPr>
          <w:rFonts w:ascii="Calibri"/>
          <w:b/>
          <w:sz w:val="20"/>
        </w:rPr>
      </w:pPr>
    </w:p>
    <w:p w14:paraId="5339BF0E" w14:textId="77777777" w:rsidR="00BC24A8" w:rsidRDefault="00BC24A8">
      <w:pPr>
        <w:pStyle w:val="BodyText"/>
        <w:rPr>
          <w:rFonts w:ascii="Calibri"/>
          <w:b/>
          <w:sz w:val="20"/>
        </w:rPr>
      </w:pPr>
    </w:p>
    <w:p w14:paraId="69636103" w14:textId="77777777" w:rsidR="00BC24A8" w:rsidRDefault="00BC24A8">
      <w:pPr>
        <w:pStyle w:val="BodyText"/>
        <w:rPr>
          <w:rFonts w:ascii="Calibri"/>
          <w:b/>
          <w:sz w:val="20"/>
        </w:rPr>
      </w:pPr>
    </w:p>
    <w:p w14:paraId="248DA3A2" w14:textId="77777777" w:rsidR="00BC24A8" w:rsidRDefault="00000000">
      <w:pPr>
        <w:pStyle w:val="BodyText"/>
        <w:spacing w:before="43"/>
        <w:rPr>
          <w:rFonts w:ascii="Calibri"/>
          <w:b/>
          <w:sz w:val="20"/>
        </w:rPr>
      </w:pPr>
      <w:r>
        <w:rPr>
          <w:rFonts w:ascii="Calibri"/>
          <w:b/>
          <w:noProof/>
          <w:sz w:val="20"/>
        </w:rPr>
        <mc:AlternateContent>
          <mc:Choice Requires="wps">
            <w:drawing>
              <wp:anchor distT="0" distB="0" distL="0" distR="0" simplePos="0" relativeHeight="487629312" behindDoc="1" locked="0" layoutInCell="1" allowOverlap="1" wp14:anchorId="1C23D93E" wp14:editId="0DE22080">
                <wp:simplePos x="0" y="0"/>
                <wp:positionH relativeFrom="page">
                  <wp:posOffset>900683</wp:posOffset>
                </wp:positionH>
                <wp:positionV relativeFrom="paragraph">
                  <wp:posOffset>198098</wp:posOffset>
                </wp:positionV>
                <wp:extent cx="1828800" cy="9525"/>
                <wp:effectExtent l="0" t="0" r="0" b="0"/>
                <wp:wrapTopAndBottom/>
                <wp:docPr id="262" name="Graphic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EEAF98" id="Graphic 262" o:spid="_x0000_s1026" alt="&quot;&quot;" style="position:absolute;margin-left:70.9pt;margin-top:15.6pt;width:2in;height:.75pt;z-index:-156871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" path="m1828800,l,,,9144r1828800,l1828800,xe" fillcolor="black" stroked="f">
                <v:path arrowok="t"/>
                <w10:wrap type="topAndBottom" anchorx="page"/>
              </v:shape>
            </w:pict>
          </mc:Fallback>
        </mc:AlternateContent>
      </w:r>
    </w:p>
    <w:p w14:paraId="68CB34C6" w14:textId="77777777" w:rsidR="00BC24A8" w:rsidRDefault="00BC24A8">
      <w:pPr>
        <w:pStyle w:val="BodyText"/>
        <w:spacing w:before="23"/>
        <w:rPr>
          <w:rFonts w:ascii="Calibri"/>
          <w:b/>
        </w:rPr>
      </w:pPr>
    </w:p>
    <w:p w14:paraId="56B46F3D" w14:textId="77777777" w:rsidR="00BC24A8" w:rsidRDefault="00000000">
      <w:pPr>
        <w:ind w:left="143" w:right="662" w:hanging="1"/>
        <w:rPr>
          <w:i/>
          <w:sz w:val="16"/>
        </w:rPr>
      </w:pPr>
      <w:bookmarkStart w:id="219" w:name="_bookmark153"/>
      <w:bookmarkEnd w:id="219"/>
      <w:r>
        <w:rPr>
          <w:color w:val="767070"/>
          <w:position w:val="5"/>
          <w:sz w:val="10"/>
        </w:rPr>
        <w:t>79</w:t>
      </w:r>
      <w:r>
        <w:rPr>
          <w:color w:val="767070"/>
          <w:spacing w:val="8"/>
          <w:position w:val="5"/>
          <w:sz w:val="10"/>
        </w:rPr>
        <w:t xml:space="preserve"> </w:t>
      </w:r>
      <w:r>
        <w:rPr>
          <w:i/>
          <w:color w:val="767070"/>
          <w:sz w:val="17"/>
        </w:rPr>
        <w:t>SIPD</w:t>
      </w:r>
      <w:r>
        <w:rPr>
          <w:i/>
          <w:color w:val="767070"/>
          <w:spacing w:val="-4"/>
          <w:sz w:val="17"/>
        </w:rPr>
        <w:t xml:space="preserve"> </w:t>
      </w:r>
      <w:r>
        <w:rPr>
          <w:i/>
          <w:color w:val="767070"/>
          <w:sz w:val="16"/>
        </w:rPr>
        <w:t>(Regional</w:t>
      </w:r>
      <w:r>
        <w:rPr>
          <w:i/>
          <w:color w:val="767070"/>
          <w:spacing w:val="-7"/>
          <w:sz w:val="16"/>
        </w:rPr>
        <w:t xml:space="preserve"> </w:t>
      </w:r>
      <w:r>
        <w:rPr>
          <w:i/>
          <w:color w:val="767070"/>
          <w:sz w:val="16"/>
        </w:rPr>
        <w:t>Government</w:t>
      </w:r>
      <w:r>
        <w:rPr>
          <w:i/>
          <w:color w:val="767070"/>
          <w:spacing w:val="-5"/>
          <w:sz w:val="16"/>
        </w:rPr>
        <w:t xml:space="preserve"> </w:t>
      </w:r>
      <w:r>
        <w:rPr>
          <w:i/>
          <w:color w:val="767070"/>
          <w:sz w:val="16"/>
        </w:rPr>
        <w:t>Information</w:t>
      </w:r>
      <w:r>
        <w:rPr>
          <w:i/>
          <w:color w:val="767070"/>
          <w:spacing w:val="-5"/>
          <w:sz w:val="16"/>
        </w:rPr>
        <w:t xml:space="preserve"> </w:t>
      </w:r>
      <w:r>
        <w:rPr>
          <w:i/>
          <w:color w:val="767070"/>
          <w:sz w:val="16"/>
        </w:rPr>
        <w:t>System)</w:t>
      </w:r>
      <w:r>
        <w:rPr>
          <w:i/>
          <w:color w:val="767070"/>
          <w:spacing w:val="-5"/>
          <w:sz w:val="16"/>
        </w:rPr>
        <w:t xml:space="preserve"> </w:t>
      </w:r>
      <w:r>
        <w:rPr>
          <w:i/>
          <w:color w:val="767070"/>
          <w:sz w:val="16"/>
        </w:rPr>
        <w:t>is</w:t>
      </w:r>
      <w:r>
        <w:rPr>
          <w:i/>
          <w:color w:val="767070"/>
          <w:spacing w:val="-7"/>
          <w:sz w:val="16"/>
        </w:rPr>
        <w:t xml:space="preserve"> </w:t>
      </w:r>
      <w:r>
        <w:rPr>
          <w:i/>
          <w:color w:val="767070"/>
          <w:sz w:val="16"/>
        </w:rPr>
        <w:t>an</w:t>
      </w:r>
      <w:r>
        <w:rPr>
          <w:i/>
          <w:color w:val="767070"/>
          <w:spacing w:val="-5"/>
          <w:sz w:val="16"/>
        </w:rPr>
        <w:t xml:space="preserve"> </w:t>
      </w:r>
      <w:r>
        <w:rPr>
          <w:i/>
          <w:color w:val="767070"/>
          <w:sz w:val="16"/>
        </w:rPr>
        <w:t>application</w:t>
      </w:r>
      <w:r>
        <w:rPr>
          <w:i/>
          <w:color w:val="767070"/>
          <w:spacing w:val="-5"/>
          <w:sz w:val="16"/>
        </w:rPr>
        <w:t xml:space="preserve"> </w:t>
      </w:r>
      <w:r>
        <w:rPr>
          <w:i/>
          <w:color w:val="767070"/>
          <w:sz w:val="16"/>
        </w:rPr>
        <w:t>developed</w:t>
      </w:r>
      <w:r>
        <w:rPr>
          <w:i/>
          <w:color w:val="767070"/>
          <w:spacing w:val="-5"/>
          <w:sz w:val="16"/>
        </w:rPr>
        <w:t xml:space="preserve"> </w:t>
      </w:r>
      <w:r>
        <w:rPr>
          <w:i/>
          <w:color w:val="767070"/>
          <w:sz w:val="16"/>
        </w:rPr>
        <w:t>by</w:t>
      </w:r>
      <w:r>
        <w:rPr>
          <w:i/>
          <w:color w:val="767070"/>
          <w:spacing w:val="-5"/>
          <w:sz w:val="16"/>
        </w:rPr>
        <w:t xml:space="preserve"> </w:t>
      </w:r>
      <w:r>
        <w:rPr>
          <w:i/>
          <w:color w:val="767070"/>
          <w:sz w:val="16"/>
        </w:rPr>
        <w:t>the</w:t>
      </w:r>
      <w:r>
        <w:rPr>
          <w:i/>
          <w:color w:val="767070"/>
          <w:spacing w:val="-6"/>
          <w:sz w:val="16"/>
        </w:rPr>
        <w:t xml:space="preserve"> </w:t>
      </w:r>
      <w:r>
        <w:rPr>
          <w:i/>
          <w:color w:val="767070"/>
          <w:sz w:val="16"/>
        </w:rPr>
        <w:t>Ministry</w:t>
      </w:r>
      <w:r>
        <w:rPr>
          <w:i/>
          <w:color w:val="767070"/>
          <w:spacing w:val="-5"/>
          <w:sz w:val="16"/>
        </w:rPr>
        <w:t xml:space="preserve"> </w:t>
      </w:r>
      <w:r>
        <w:rPr>
          <w:i/>
          <w:color w:val="767070"/>
          <w:sz w:val="16"/>
        </w:rPr>
        <w:t>of</w:t>
      </w:r>
      <w:r>
        <w:rPr>
          <w:i/>
          <w:color w:val="767070"/>
          <w:spacing w:val="-5"/>
          <w:sz w:val="16"/>
        </w:rPr>
        <w:t xml:space="preserve"> </w:t>
      </w:r>
      <w:r>
        <w:rPr>
          <w:i/>
          <w:color w:val="767070"/>
          <w:sz w:val="16"/>
        </w:rPr>
        <w:t>Home</w:t>
      </w:r>
      <w:r>
        <w:rPr>
          <w:i/>
          <w:color w:val="767070"/>
          <w:spacing w:val="-6"/>
          <w:sz w:val="16"/>
        </w:rPr>
        <w:t xml:space="preserve"> </w:t>
      </w:r>
      <w:r>
        <w:rPr>
          <w:i/>
          <w:color w:val="767070"/>
          <w:sz w:val="16"/>
        </w:rPr>
        <w:t>Affairs</w:t>
      </w:r>
      <w:r>
        <w:rPr>
          <w:i/>
          <w:color w:val="767070"/>
          <w:spacing w:val="-4"/>
          <w:sz w:val="16"/>
        </w:rPr>
        <w:t xml:space="preserve"> </w:t>
      </w:r>
      <w:r>
        <w:rPr>
          <w:i/>
          <w:color w:val="767070"/>
          <w:sz w:val="16"/>
        </w:rPr>
        <w:t>that</w:t>
      </w:r>
      <w:r>
        <w:rPr>
          <w:i/>
          <w:color w:val="767070"/>
          <w:spacing w:val="-7"/>
          <w:sz w:val="16"/>
        </w:rPr>
        <w:t xml:space="preserve"> </w:t>
      </w:r>
      <w:r>
        <w:rPr>
          <w:i/>
          <w:color w:val="767070"/>
          <w:sz w:val="16"/>
        </w:rPr>
        <w:t>integrates</w:t>
      </w:r>
      <w:r>
        <w:rPr>
          <w:i/>
          <w:color w:val="767070"/>
          <w:spacing w:val="-4"/>
          <w:sz w:val="16"/>
        </w:rPr>
        <w:t xml:space="preserve"> </w:t>
      </w:r>
      <w:r>
        <w:rPr>
          <w:i/>
          <w:color w:val="767070"/>
          <w:sz w:val="16"/>
        </w:rPr>
        <w:t>regional</w:t>
      </w:r>
      <w:r>
        <w:rPr>
          <w:i/>
          <w:color w:val="767070"/>
          <w:spacing w:val="40"/>
          <w:sz w:val="16"/>
        </w:rPr>
        <w:t xml:space="preserve"> </w:t>
      </w:r>
      <w:r>
        <w:rPr>
          <w:i/>
          <w:color w:val="767070"/>
          <w:sz w:val="16"/>
        </w:rPr>
        <w:t>government data into a single digital plaGorm</w:t>
      </w:r>
    </w:p>
    <w:p w14:paraId="631C52CC" w14:textId="77777777" w:rsidR="00BC24A8" w:rsidRDefault="00BC24A8">
      <w:pPr>
        <w:rPr>
          <w:i/>
          <w:sz w:val="16"/>
        </w:rPr>
        <w:sectPr w:rsidR="00BC24A8">
          <w:type w:val="continuous"/>
          <w:pgSz w:w="11910" w:h="16840"/>
          <w:pgMar w:top="1460" w:right="850" w:bottom="1100" w:left="1275" w:header="0" w:footer="907" w:gutter="0"/>
          <w:cols w:space="720"/>
        </w:sectPr>
      </w:pPr>
    </w:p>
    <w:p w14:paraId="50A13B91" w14:textId="77777777" w:rsidR="00BC24A8" w:rsidRDefault="00000000">
      <w:pPr>
        <w:pStyle w:val="Heading3"/>
      </w:pPr>
      <w:bookmarkStart w:id="220" w:name="Papua_Barat_Province_Semester_Report"/>
      <w:bookmarkStart w:id="221" w:name="_bookmark154"/>
      <w:bookmarkEnd w:id="220"/>
      <w:bookmarkEnd w:id="221"/>
      <w:r>
        <w:rPr>
          <w:color w:val="137D87"/>
          <w:spacing w:val="-4"/>
        </w:rPr>
        <w:t>Papua</w:t>
      </w:r>
      <w:r>
        <w:rPr>
          <w:color w:val="137D87"/>
          <w:spacing w:val="-26"/>
        </w:rPr>
        <w:t xml:space="preserve"> </w:t>
      </w:r>
      <w:r>
        <w:rPr>
          <w:color w:val="137D87"/>
          <w:spacing w:val="-4"/>
        </w:rPr>
        <w:t>Barat</w:t>
      </w:r>
      <w:r>
        <w:rPr>
          <w:color w:val="137D87"/>
          <w:spacing w:val="-26"/>
        </w:rPr>
        <w:t xml:space="preserve"> </w:t>
      </w:r>
      <w:r>
        <w:rPr>
          <w:color w:val="137D87"/>
          <w:spacing w:val="-4"/>
        </w:rPr>
        <w:t>Province</w:t>
      </w:r>
      <w:r>
        <w:rPr>
          <w:color w:val="137D87"/>
          <w:spacing w:val="-24"/>
        </w:rPr>
        <w:t xml:space="preserve"> </w:t>
      </w:r>
      <w:r>
        <w:rPr>
          <w:color w:val="137D87"/>
          <w:spacing w:val="-4"/>
        </w:rPr>
        <w:t>Semester</w:t>
      </w:r>
      <w:r>
        <w:rPr>
          <w:color w:val="137D87"/>
          <w:spacing w:val="-24"/>
        </w:rPr>
        <w:t xml:space="preserve"> </w:t>
      </w:r>
      <w:r>
        <w:rPr>
          <w:color w:val="137D87"/>
          <w:spacing w:val="-4"/>
        </w:rPr>
        <w:t>Report</w:t>
      </w:r>
    </w:p>
    <w:p w14:paraId="54771340" w14:textId="77777777" w:rsidR="00BC24A8" w:rsidRDefault="00000000">
      <w:pPr>
        <w:pStyle w:val="BodyText"/>
        <w:spacing w:before="20"/>
        <w:ind w:left="143"/>
      </w:pPr>
      <w:r>
        <w:rPr>
          <w:spacing w:val="-2"/>
        </w:rPr>
        <w:t>(January-June</w:t>
      </w:r>
      <w:r>
        <w:rPr>
          <w:spacing w:val="9"/>
        </w:rPr>
        <w:t xml:space="preserve"> </w:t>
      </w:r>
      <w:r>
        <w:rPr>
          <w:spacing w:val="-4"/>
        </w:rPr>
        <w:t>2025)</w:t>
      </w:r>
    </w:p>
    <w:p w14:paraId="772A5577" w14:textId="77777777" w:rsidR="00BC24A8" w:rsidRDefault="00BC24A8">
      <w:pPr>
        <w:pStyle w:val="BodyText"/>
      </w:pPr>
    </w:p>
    <w:p w14:paraId="2E1DA08E" w14:textId="77777777" w:rsidR="00BC24A8" w:rsidRDefault="00BC24A8">
      <w:pPr>
        <w:pStyle w:val="BodyText"/>
        <w:spacing w:before="134"/>
      </w:pPr>
    </w:p>
    <w:p w14:paraId="41A537D6" w14:textId="77777777" w:rsidR="00BC24A8" w:rsidRDefault="00000000">
      <w:pPr>
        <w:spacing w:before="1"/>
        <w:ind w:left="414"/>
        <w:rPr>
          <w:i/>
        </w:rPr>
      </w:pPr>
      <w:bookmarkStart w:id="222" w:name="Context_of_Papua_Barat_Province"/>
      <w:bookmarkEnd w:id="222"/>
      <w:r>
        <w:rPr>
          <w:i/>
          <w:color w:val="1F3762"/>
        </w:rPr>
        <w:t>Context</w:t>
      </w:r>
      <w:r>
        <w:rPr>
          <w:i/>
          <w:color w:val="1F3762"/>
          <w:spacing w:val="-9"/>
        </w:rPr>
        <w:t xml:space="preserve"> </w:t>
      </w:r>
      <w:r>
        <w:rPr>
          <w:i/>
          <w:color w:val="1F3762"/>
        </w:rPr>
        <w:t>of</w:t>
      </w:r>
      <w:r>
        <w:rPr>
          <w:i/>
          <w:color w:val="1F3762"/>
          <w:spacing w:val="-6"/>
        </w:rPr>
        <w:t xml:space="preserve"> </w:t>
      </w:r>
      <w:r>
        <w:rPr>
          <w:i/>
          <w:color w:val="1F3762"/>
        </w:rPr>
        <w:t>Papua</w:t>
      </w:r>
      <w:r>
        <w:rPr>
          <w:i/>
          <w:color w:val="1F3762"/>
          <w:spacing w:val="-5"/>
        </w:rPr>
        <w:t xml:space="preserve"> </w:t>
      </w:r>
      <w:r>
        <w:rPr>
          <w:i/>
          <w:color w:val="1F3762"/>
        </w:rPr>
        <w:t>Barat</w:t>
      </w:r>
      <w:r>
        <w:rPr>
          <w:i/>
          <w:color w:val="1F3762"/>
          <w:spacing w:val="-8"/>
        </w:rPr>
        <w:t xml:space="preserve"> </w:t>
      </w:r>
      <w:r>
        <w:rPr>
          <w:i/>
          <w:color w:val="1F3762"/>
          <w:spacing w:val="-2"/>
        </w:rPr>
        <w:t>Province</w:t>
      </w:r>
    </w:p>
    <w:p w14:paraId="7A5BD4D2" w14:textId="77777777" w:rsidR="00BC24A8" w:rsidRDefault="00000000">
      <w:pPr>
        <w:spacing w:before="43"/>
        <w:ind w:left="52"/>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5"/>
        </w:rPr>
        <w:t xml:space="preserve"> </w:t>
      </w:r>
      <w:r>
        <w:rPr>
          <w:rFonts w:ascii="Calibri"/>
          <w:i/>
          <w:color w:val="272727"/>
        </w:rPr>
        <w:t>basic</w:t>
      </w:r>
      <w:r>
        <w:rPr>
          <w:rFonts w:ascii="Calibri"/>
          <w:i/>
          <w:color w:val="272727"/>
          <w:spacing w:val="-5"/>
        </w:rPr>
        <w:t xml:space="preserve"> </w:t>
      </w:r>
      <w:r>
        <w:rPr>
          <w:rFonts w:ascii="Calibri"/>
          <w:i/>
          <w:color w:val="272727"/>
        </w:rPr>
        <w:t>services,</w:t>
      </w:r>
      <w:r>
        <w:rPr>
          <w:rFonts w:ascii="Calibri"/>
          <w:i/>
          <w:color w:val="272727"/>
          <w:spacing w:val="-7"/>
        </w:rPr>
        <w:t xml:space="preserve"> </w:t>
      </w:r>
      <w:r>
        <w:rPr>
          <w:rFonts w:ascii="Calibri"/>
          <w:i/>
          <w:color w:val="272727"/>
        </w:rPr>
        <w:t>vulnerable</w:t>
      </w:r>
      <w:r>
        <w:rPr>
          <w:rFonts w:ascii="Calibri"/>
          <w:i/>
          <w:color w:val="272727"/>
          <w:spacing w:val="-4"/>
        </w:rPr>
        <w:t xml:space="preserve"> </w:t>
      </w:r>
      <w:r>
        <w:rPr>
          <w:rFonts w:ascii="Calibri"/>
          <w:i/>
          <w:color w:val="272727"/>
        </w:rPr>
        <w:t>groups,</w:t>
      </w:r>
      <w:r>
        <w:rPr>
          <w:rFonts w:ascii="Calibri"/>
          <w:i/>
          <w:color w:val="272727"/>
          <w:spacing w:val="-5"/>
        </w:rPr>
        <w:t xml:space="preserve"> </w:t>
      </w:r>
      <w:r>
        <w:rPr>
          <w:rFonts w:ascii="Calibri"/>
          <w:i/>
          <w:color w:val="272727"/>
        </w:rPr>
        <w:t>and</w:t>
      </w:r>
      <w:r>
        <w:rPr>
          <w:rFonts w:ascii="Calibri"/>
          <w:i/>
          <w:color w:val="272727"/>
          <w:spacing w:val="-6"/>
        </w:rPr>
        <w:t xml:space="preserve"> </w:t>
      </w:r>
      <w:r>
        <w:rPr>
          <w:rFonts w:ascii="Calibri"/>
          <w:i/>
          <w:color w:val="272727"/>
        </w:rPr>
        <w:t>fiscal</w:t>
      </w:r>
      <w:r>
        <w:rPr>
          <w:rFonts w:ascii="Calibri"/>
          <w:i/>
          <w:color w:val="272727"/>
          <w:spacing w:val="-5"/>
        </w:rPr>
        <w:t xml:space="preserve"> </w:t>
      </w:r>
      <w:r>
        <w:rPr>
          <w:rFonts w:ascii="Calibri"/>
          <w:i/>
          <w:color w:val="272727"/>
          <w:spacing w:val="-2"/>
        </w:rPr>
        <w:t>capacity</w:t>
      </w:r>
    </w:p>
    <w:p w14:paraId="30007274" w14:textId="77777777" w:rsidR="00BC24A8" w:rsidRDefault="00BC24A8">
      <w:pPr>
        <w:pStyle w:val="BodyText"/>
        <w:spacing w:before="63"/>
        <w:rPr>
          <w:rFonts w:ascii="Calibri"/>
          <w:i/>
        </w:rPr>
      </w:pPr>
    </w:p>
    <w:p w14:paraId="1C3390DA" w14:textId="77777777" w:rsidR="00BC24A8" w:rsidRDefault="00000000">
      <w:pPr>
        <w:pStyle w:val="Heading5"/>
      </w:pPr>
      <w:r>
        <w:rPr>
          <w:color w:val="767070"/>
          <w:spacing w:val="-2"/>
        </w:rPr>
        <w:t>Key</w:t>
      </w:r>
      <w:r>
        <w:rPr>
          <w:color w:val="767070"/>
          <w:spacing w:val="4"/>
        </w:rPr>
        <w:t xml:space="preserve"> </w:t>
      </w:r>
      <w:r>
        <w:rPr>
          <w:color w:val="767070"/>
          <w:spacing w:val="-2"/>
        </w:rPr>
        <w:t>development</w:t>
      </w:r>
      <w:r>
        <w:rPr>
          <w:color w:val="767070"/>
          <w:spacing w:val="4"/>
        </w:rPr>
        <w:t xml:space="preserve"> </w:t>
      </w:r>
      <w:r>
        <w:rPr>
          <w:color w:val="767070"/>
          <w:spacing w:val="-2"/>
        </w:rPr>
        <w:t>outcome</w:t>
      </w:r>
      <w:r>
        <w:rPr>
          <w:color w:val="767070"/>
        </w:rPr>
        <w:t xml:space="preserve"> </w:t>
      </w:r>
      <w:r>
        <w:rPr>
          <w:color w:val="767070"/>
          <w:spacing w:val="-2"/>
        </w:rPr>
        <w:t>indicators</w:t>
      </w:r>
      <w:r>
        <w:rPr>
          <w:color w:val="767070"/>
          <w:spacing w:val="2"/>
        </w:rPr>
        <w:t xml:space="preserve"> </w:t>
      </w:r>
      <w:r>
        <w:rPr>
          <w:color w:val="767070"/>
          <w:spacing w:val="-4"/>
        </w:rPr>
        <w:t>data</w:t>
      </w:r>
    </w:p>
    <w:p w14:paraId="0148C454"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499"/>
        <w:gridCol w:w="6147"/>
        <w:gridCol w:w="2430"/>
      </w:tblGrid>
      <w:tr w:rsidR="00BC24A8" w14:paraId="65F99B05" w14:textId="77777777">
        <w:trPr>
          <w:trHeight w:val="360"/>
        </w:trPr>
        <w:tc>
          <w:tcPr>
            <w:tcW w:w="6646" w:type="dxa"/>
            <w:gridSpan w:val="2"/>
            <w:shd w:val="clear" w:color="auto" w:fill="17365A"/>
          </w:tcPr>
          <w:p w14:paraId="5FA088C8" w14:textId="77777777" w:rsidR="00BC24A8" w:rsidRDefault="00000000">
            <w:pPr>
              <w:pStyle w:val="TableParagraph"/>
              <w:spacing w:before="59"/>
              <w:ind w:left="206"/>
              <w:rPr>
                <w:rFonts w:ascii="Calibri"/>
                <w:b/>
                <w:sz w:val="20"/>
              </w:rPr>
            </w:pPr>
            <w:r>
              <w:rPr>
                <w:rFonts w:ascii="Calibri"/>
                <w:b/>
                <w:color w:val="FFFFFF"/>
                <w:spacing w:val="-2"/>
                <w:sz w:val="20"/>
              </w:rPr>
              <w:t>Indicator</w:t>
            </w:r>
          </w:p>
        </w:tc>
        <w:tc>
          <w:tcPr>
            <w:tcW w:w="2430" w:type="dxa"/>
            <w:shd w:val="clear" w:color="auto" w:fill="17365A"/>
          </w:tcPr>
          <w:p w14:paraId="2CAC3853" w14:textId="77777777" w:rsidR="00BC24A8" w:rsidRDefault="00000000">
            <w:pPr>
              <w:pStyle w:val="TableParagraph"/>
              <w:spacing w:before="59"/>
              <w:ind w:left="2" w:right="81"/>
              <w:jc w:val="center"/>
              <w:rPr>
                <w:rFonts w:ascii="Calibri"/>
                <w:b/>
                <w:sz w:val="20"/>
              </w:rPr>
            </w:pPr>
            <w:r>
              <w:rPr>
                <w:rFonts w:ascii="Calibri"/>
                <w:b/>
                <w:color w:val="FFFFFF"/>
                <w:sz w:val="20"/>
              </w:rPr>
              <w:t>Papua</w:t>
            </w:r>
            <w:r>
              <w:rPr>
                <w:rFonts w:ascii="Calibri"/>
                <w:b/>
                <w:color w:val="FFFFFF"/>
                <w:spacing w:val="-5"/>
                <w:sz w:val="20"/>
              </w:rPr>
              <w:t xml:space="preserve"> </w:t>
            </w:r>
            <w:r>
              <w:rPr>
                <w:rFonts w:ascii="Calibri"/>
                <w:b/>
                <w:color w:val="FFFFFF"/>
                <w:spacing w:val="-2"/>
                <w:sz w:val="20"/>
              </w:rPr>
              <w:t>Barat</w:t>
            </w:r>
          </w:p>
        </w:tc>
      </w:tr>
      <w:tr w:rsidR="00BC24A8" w14:paraId="77A083D2" w14:textId="77777777">
        <w:trPr>
          <w:trHeight w:val="379"/>
        </w:trPr>
        <w:tc>
          <w:tcPr>
            <w:tcW w:w="499" w:type="dxa"/>
          </w:tcPr>
          <w:p w14:paraId="33BD0AF9" w14:textId="77777777" w:rsidR="00BC24A8" w:rsidRDefault="00000000">
            <w:pPr>
              <w:pStyle w:val="TableParagraph"/>
              <w:spacing w:before="102"/>
              <w:ind w:left="6"/>
              <w:jc w:val="center"/>
              <w:rPr>
                <w:sz w:val="18"/>
              </w:rPr>
            </w:pPr>
            <w:r>
              <w:rPr>
                <w:spacing w:val="-5"/>
                <w:sz w:val="18"/>
              </w:rPr>
              <w:t>1.</w:t>
            </w:r>
          </w:p>
        </w:tc>
        <w:tc>
          <w:tcPr>
            <w:tcW w:w="6147" w:type="dxa"/>
            <w:tcBorders>
              <w:bottom w:val="single" w:sz="4" w:space="0" w:color="BEBEBE"/>
            </w:tcBorders>
          </w:tcPr>
          <w:p w14:paraId="765ACB78" w14:textId="77777777" w:rsidR="00BC24A8" w:rsidRDefault="00000000">
            <w:pPr>
              <w:pStyle w:val="TableParagraph"/>
              <w:spacing w:before="102"/>
              <w:ind w:left="108"/>
              <w:rPr>
                <w:sz w:val="18"/>
              </w:rPr>
            </w:pPr>
            <w:r>
              <w:rPr>
                <w:sz w:val="18"/>
              </w:rPr>
              <w:t>Net</w:t>
            </w:r>
            <w:r>
              <w:rPr>
                <w:spacing w:val="-1"/>
                <w:sz w:val="18"/>
              </w:rPr>
              <w:t xml:space="preserve"> </w:t>
            </w:r>
            <w:r>
              <w:rPr>
                <w:sz w:val="18"/>
              </w:rPr>
              <w:t>Enrollment Rate</w:t>
            </w:r>
            <w:r>
              <w:rPr>
                <w:spacing w:val="-2"/>
                <w:sz w:val="18"/>
              </w:rPr>
              <w:t xml:space="preserve"> </w:t>
            </w:r>
            <w:r>
              <w:rPr>
                <w:sz w:val="18"/>
              </w:rPr>
              <w:t>(%)</w:t>
            </w:r>
            <w:r>
              <w:rPr>
                <w:spacing w:val="-2"/>
                <w:sz w:val="18"/>
              </w:rPr>
              <w:t xml:space="preserve"> </w:t>
            </w:r>
            <w:r>
              <w:rPr>
                <w:sz w:val="18"/>
              </w:rPr>
              <w:t>(Regional Education</w:t>
            </w:r>
            <w:r>
              <w:rPr>
                <w:spacing w:val="-2"/>
                <w:sz w:val="18"/>
              </w:rPr>
              <w:t xml:space="preserve"> </w:t>
            </w:r>
            <w:r>
              <w:rPr>
                <w:sz w:val="18"/>
              </w:rPr>
              <w:t>Balance</w:t>
            </w:r>
            <w:r>
              <w:rPr>
                <w:spacing w:val="-1"/>
                <w:sz w:val="18"/>
              </w:rPr>
              <w:t xml:space="preserve"> </w:t>
            </w:r>
            <w:r>
              <w:rPr>
                <w:sz w:val="18"/>
              </w:rPr>
              <w:t>Sheet,</w:t>
            </w:r>
            <w:r>
              <w:rPr>
                <w:spacing w:val="-2"/>
                <w:sz w:val="18"/>
              </w:rPr>
              <w:t xml:space="preserve"> 2023/2024)</w:t>
            </w:r>
          </w:p>
        </w:tc>
        <w:tc>
          <w:tcPr>
            <w:tcW w:w="2430" w:type="dxa"/>
            <w:tcBorders>
              <w:bottom w:val="single" w:sz="4" w:space="0" w:color="BEBEBE"/>
            </w:tcBorders>
          </w:tcPr>
          <w:p w14:paraId="143CB2B5" w14:textId="77777777" w:rsidR="00BC24A8" w:rsidRDefault="00BC24A8">
            <w:pPr>
              <w:pStyle w:val="TableParagraph"/>
              <w:rPr>
                <w:rFonts w:ascii="Times New Roman"/>
                <w:sz w:val="18"/>
              </w:rPr>
            </w:pPr>
          </w:p>
        </w:tc>
      </w:tr>
      <w:tr w:rsidR="00BC24A8" w14:paraId="4D74251E" w14:textId="77777777">
        <w:trPr>
          <w:trHeight w:val="333"/>
        </w:trPr>
        <w:tc>
          <w:tcPr>
            <w:tcW w:w="499" w:type="dxa"/>
          </w:tcPr>
          <w:p w14:paraId="63EE06B9"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3D84D5BA" w14:textId="77777777" w:rsidR="00BC24A8" w:rsidRDefault="00000000">
            <w:pPr>
              <w:pStyle w:val="TableParagraph"/>
              <w:tabs>
                <w:tab w:val="left" w:pos="494"/>
              </w:tabs>
              <w:spacing w:before="56"/>
              <w:ind w:left="134"/>
              <w:rPr>
                <w:sz w:val="18"/>
              </w:rPr>
            </w:pPr>
            <w:r>
              <w:rPr>
                <w:spacing w:val="-5"/>
                <w:sz w:val="18"/>
              </w:rPr>
              <w:t>a.</w:t>
            </w:r>
            <w:r>
              <w:rPr>
                <w:sz w:val="18"/>
              </w:rPr>
              <w:tab/>
              <w:t>Elementary</w:t>
            </w:r>
            <w:r>
              <w:rPr>
                <w:spacing w:val="-4"/>
                <w:sz w:val="18"/>
              </w:rPr>
              <w:t xml:space="preserve"> </w:t>
            </w:r>
            <w:r>
              <w:rPr>
                <w:spacing w:val="-2"/>
                <w:sz w:val="18"/>
              </w:rPr>
              <w:t>school/MI/equivalent</w:t>
            </w:r>
          </w:p>
        </w:tc>
        <w:tc>
          <w:tcPr>
            <w:tcW w:w="2430" w:type="dxa"/>
            <w:tcBorders>
              <w:top w:val="single" w:sz="4" w:space="0" w:color="BEBEBE"/>
              <w:bottom w:val="single" w:sz="4" w:space="0" w:color="BEBEBE"/>
            </w:tcBorders>
          </w:tcPr>
          <w:p w14:paraId="2C081757" w14:textId="77777777" w:rsidR="00BC24A8" w:rsidRDefault="00000000">
            <w:pPr>
              <w:pStyle w:val="TableParagraph"/>
              <w:spacing w:before="56"/>
              <w:ind w:right="81"/>
              <w:jc w:val="center"/>
              <w:rPr>
                <w:sz w:val="18"/>
              </w:rPr>
            </w:pPr>
            <w:r>
              <w:rPr>
                <w:spacing w:val="-2"/>
                <w:sz w:val="18"/>
              </w:rPr>
              <w:t>83,48</w:t>
            </w:r>
          </w:p>
        </w:tc>
      </w:tr>
      <w:tr w:rsidR="00BC24A8" w14:paraId="1841ACEC" w14:textId="77777777">
        <w:trPr>
          <w:trHeight w:val="333"/>
        </w:trPr>
        <w:tc>
          <w:tcPr>
            <w:tcW w:w="499" w:type="dxa"/>
          </w:tcPr>
          <w:p w14:paraId="7BC0D8CB"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3049EF57" w14:textId="77777777" w:rsidR="00BC24A8" w:rsidRDefault="00000000">
            <w:pPr>
              <w:pStyle w:val="TableParagraph"/>
              <w:tabs>
                <w:tab w:val="left" w:pos="540"/>
              </w:tabs>
              <w:spacing w:before="56"/>
              <w:ind w:left="108"/>
              <w:rPr>
                <w:sz w:val="18"/>
              </w:rPr>
            </w:pPr>
            <w:r>
              <w:rPr>
                <w:spacing w:val="-5"/>
                <w:sz w:val="18"/>
              </w:rPr>
              <w:t>b.</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430" w:type="dxa"/>
            <w:tcBorders>
              <w:top w:val="single" w:sz="4" w:space="0" w:color="BEBEBE"/>
              <w:bottom w:val="single" w:sz="4" w:space="0" w:color="BEBEBE"/>
            </w:tcBorders>
          </w:tcPr>
          <w:p w14:paraId="1F6F9F5E" w14:textId="77777777" w:rsidR="00BC24A8" w:rsidRDefault="00000000">
            <w:pPr>
              <w:pStyle w:val="TableParagraph"/>
              <w:spacing w:before="56"/>
              <w:ind w:right="81"/>
              <w:jc w:val="center"/>
              <w:rPr>
                <w:sz w:val="18"/>
              </w:rPr>
            </w:pPr>
            <w:r>
              <w:rPr>
                <w:spacing w:val="-2"/>
                <w:sz w:val="18"/>
              </w:rPr>
              <w:t>71,63</w:t>
            </w:r>
          </w:p>
        </w:tc>
      </w:tr>
      <w:tr w:rsidR="00BC24A8" w14:paraId="5A37156F" w14:textId="77777777">
        <w:trPr>
          <w:trHeight w:val="333"/>
        </w:trPr>
        <w:tc>
          <w:tcPr>
            <w:tcW w:w="499" w:type="dxa"/>
            <w:tcBorders>
              <w:bottom w:val="single" w:sz="4" w:space="0" w:color="BEBEBE"/>
            </w:tcBorders>
          </w:tcPr>
          <w:p w14:paraId="2A93900F"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7A0A5D5F" w14:textId="77777777" w:rsidR="00BC24A8" w:rsidRDefault="00000000">
            <w:pPr>
              <w:pStyle w:val="TableParagraph"/>
              <w:tabs>
                <w:tab w:val="left" w:pos="540"/>
              </w:tabs>
              <w:spacing w:before="59"/>
              <w:ind w:left="108"/>
              <w:rPr>
                <w:sz w:val="18"/>
              </w:rPr>
            </w:pPr>
            <w:r>
              <w:rPr>
                <w:spacing w:val="-5"/>
                <w:sz w:val="18"/>
              </w:rPr>
              <w:t>c.</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430" w:type="dxa"/>
            <w:tcBorders>
              <w:top w:val="single" w:sz="4" w:space="0" w:color="BEBEBE"/>
              <w:bottom w:val="single" w:sz="4" w:space="0" w:color="BEBEBE"/>
            </w:tcBorders>
          </w:tcPr>
          <w:p w14:paraId="7AAD021D" w14:textId="77777777" w:rsidR="00BC24A8" w:rsidRDefault="00000000">
            <w:pPr>
              <w:pStyle w:val="TableParagraph"/>
              <w:spacing w:before="59"/>
              <w:ind w:right="81"/>
              <w:jc w:val="center"/>
              <w:rPr>
                <w:sz w:val="18"/>
              </w:rPr>
            </w:pPr>
            <w:r>
              <w:rPr>
                <w:spacing w:val="-2"/>
                <w:sz w:val="18"/>
              </w:rPr>
              <w:t>62,82</w:t>
            </w:r>
          </w:p>
        </w:tc>
      </w:tr>
      <w:tr w:rsidR="00BC24A8" w14:paraId="4FDF3F7D" w14:textId="77777777">
        <w:trPr>
          <w:trHeight w:val="335"/>
        </w:trPr>
        <w:tc>
          <w:tcPr>
            <w:tcW w:w="499" w:type="dxa"/>
            <w:tcBorders>
              <w:top w:val="single" w:sz="4" w:space="0" w:color="BEBEBE"/>
            </w:tcBorders>
          </w:tcPr>
          <w:p w14:paraId="0E3E29C1" w14:textId="77777777" w:rsidR="00BC24A8" w:rsidRDefault="00000000">
            <w:pPr>
              <w:pStyle w:val="TableParagraph"/>
              <w:spacing w:before="59"/>
              <w:ind w:left="6"/>
              <w:jc w:val="center"/>
              <w:rPr>
                <w:sz w:val="18"/>
              </w:rPr>
            </w:pPr>
            <w:r>
              <w:rPr>
                <w:spacing w:val="-5"/>
                <w:sz w:val="18"/>
              </w:rPr>
              <w:t>2.</w:t>
            </w:r>
          </w:p>
        </w:tc>
        <w:tc>
          <w:tcPr>
            <w:tcW w:w="6147" w:type="dxa"/>
            <w:tcBorders>
              <w:top w:val="single" w:sz="4" w:space="0" w:color="BEBEBE"/>
              <w:bottom w:val="single" w:sz="4" w:space="0" w:color="BEBEBE"/>
            </w:tcBorders>
          </w:tcPr>
          <w:p w14:paraId="01D49035" w14:textId="77777777" w:rsidR="00BC24A8" w:rsidRDefault="00000000">
            <w:pPr>
              <w:pStyle w:val="TableParagraph"/>
              <w:spacing w:before="59"/>
              <w:ind w:left="108"/>
              <w:rPr>
                <w:sz w:val="18"/>
              </w:rPr>
            </w:pPr>
            <w:r>
              <w:rPr>
                <w:sz w:val="18"/>
              </w:rPr>
              <w:t>Gross</w:t>
            </w:r>
            <w:r>
              <w:rPr>
                <w:spacing w:val="-2"/>
                <w:sz w:val="18"/>
              </w:rPr>
              <w:t xml:space="preserve"> </w:t>
            </w:r>
            <w:r>
              <w:rPr>
                <w:sz w:val="18"/>
              </w:rPr>
              <w:t>Enrollment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(Regional</w:t>
            </w:r>
            <w:r>
              <w:rPr>
                <w:spacing w:val="-1"/>
                <w:sz w:val="18"/>
              </w:rPr>
              <w:t xml:space="preserve"> </w:t>
            </w:r>
            <w:r>
              <w:rPr>
                <w:sz w:val="18"/>
              </w:rPr>
              <w:t>Education</w:t>
            </w:r>
            <w:r>
              <w:rPr>
                <w:spacing w:val="-2"/>
                <w:sz w:val="18"/>
              </w:rPr>
              <w:t xml:space="preserve"> </w:t>
            </w:r>
            <w:r>
              <w:rPr>
                <w:sz w:val="18"/>
              </w:rPr>
              <w:t>Balance</w:t>
            </w:r>
            <w:r>
              <w:rPr>
                <w:spacing w:val="-2"/>
                <w:sz w:val="18"/>
              </w:rPr>
              <w:t xml:space="preserve"> </w:t>
            </w:r>
            <w:r>
              <w:rPr>
                <w:sz w:val="18"/>
              </w:rPr>
              <w:t>Sheet,</w:t>
            </w:r>
            <w:r>
              <w:rPr>
                <w:spacing w:val="-2"/>
                <w:sz w:val="18"/>
              </w:rPr>
              <w:t xml:space="preserve"> 2023/2024)</w:t>
            </w:r>
          </w:p>
        </w:tc>
        <w:tc>
          <w:tcPr>
            <w:tcW w:w="2430" w:type="dxa"/>
            <w:tcBorders>
              <w:top w:val="single" w:sz="4" w:space="0" w:color="BEBEBE"/>
              <w:bottom w:val="single" w:sz="4" w:space="0" w:color="BEBEBE"/>
            </w:tcBorders>
          </w:tcPr>
          <w:p w14:paraId="52ACF27B" w14:textId="77777777" w:rsidR="00BC24A8" w:rsidRDefault="00BC24A8">
            <w:pPr>
              <w:pStyle w:val="TableParagraph"/>
              <w:rPr>
                <w:rFonts w:ascii="Times New Roman"/>
                <w:sz w:val="18"/>
              </w:rPr>
            </w:pPr>
          </w:p>
        </w:tc>
      </w:tr>
      <w:tr w:rsidR="00BC24A8" w14:paraId="35D6312F" w14:textId="77777777">
        <w:trPr>
          <w:trHeight w:val="333"/>
        </w:trPr>
        <w:tc>
          <w:tcPr>
            <w:tcW w:w="499" w:type="dxa"/>
          </w:tcPr>
          <w:p w14:paraId="429370FB"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2D622D78" w14:textId="77777777" w:rsidR="00BC24A8" w:rsidRDefault="00000000">
            <w:pPr>
              <w:pStyle w:val="TableParagraph"/>
              <w:tabs>
                <w:tab w:val="left" w:pos="494"/>
              </w:tabs>
              <w:spacing w:before="56"/>
              <w:ind w:left="108"/>
              <w:rPr>
                <w:sz w:val="18"/>
              </w:rPr>
            </w:pPr>
            <w:r>
              <w:rPr>
                <w:spacing w:val="-5"/>
                <w:sz w:val="18"/>
              </w:rPr>
              <w:t>a.</w:t>
            </w:r>
            <w:r>
              <w:rPr>
                <w:sz w:val="18"/>
              </w:rPr>
              <w:tab/>
              <w:t>Early</w:t>
            </w:r>
            <w:r>
              <w:rPr>
                <w:spacing w:val="-2"/>
                <w:sz w:val="18"/>
              </w:rPr>
              <w:t xml:space="preserve"> </w:t>
            </w:r>
            <w:r>
              <w:rPr>
                <w:sz w:val="18"/>
              </w:rPr>
              <w:t>childhood</w:t>
            </w:r>
            <w:r>
              <w:rPr>
                <w:spacing w:val="-1"/>
                <w:sz w:val="18"/>
              </w:rPr>
              <w:t xml:space="preserve"> </w:t>
            </w:r>
            <w:r>
              <w:rPr>
                <w:spacing w:val="-2"/>
                <w:sz w:val="18"/>
              </w:rPr>
              <w:t>education/equivalent</w:t>
            </w:r>
          </w:p>
        </w:tc>
        <w:tc>
          <w:tcPr>
            <w:tcW w:w="2430" w:type="dxa"/>
            <w:tcBorders>
              <w:top w:val="single" w:sz="4" w:space="0" w:color="BEBEBE"/>
              <w:bottom w:val="single" w:sz="4" w:space="0" w:color="BEBEBE"/>
            </w:tcBorders>
          </w:tcPr>
          <w:p w14:paraId="2A7717BB" w14:textId="77777777" w:rsidR="00BC24A8" w:rsidRDefault="00000000">
            <w:pPr>
              <w:pStyle w:val="TableParagraph"/>
              <w:spacing w:before="56"/>
              <w:ind w:right="81"/>
              <w:jc w:val="center"/>
              <w:rPr>
                <w:sz w:val="18"/>
              </w:rPr>
            </w:pPr>
            <w:r>
              <w:rPr>
                <w:spacing w:val="-2"/>
                <w:sz w:val="18"/>
              </w:rPr>
              <w:t>26,04</w:t>
            </w:r>
          </w:p>
        </w:tc>
      </w:tr>
      <w:tr w:rsidR="00BC24A8" w14:paraId="413724FC" w14:textId="77777777">
        <w:trPr>
          <w:trHeight w:val="333"/>
        </w:trPr>
        <w:tc>
          <w:tcPr>
            <w:tcW w:w="499" w:type="dxa"/>
          </w:tcPr>
          <w:p w14:paraId="7529A027"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58F1EE54" w14:textId="77777777" w:rsidR="00BC24A8" w:rsidRDefault="00000000">
            <w:pPr>
              <w:pStyle w:val="TableParagraph"/>
              <w:tabs>
                <w:tab w:val="left" w:pos="540"/>
              </w:tabs>
              <w:spacing w:before="56"/>
              <w:ind w:left="108"/>
              <w:rPr>
                <w:sz w:val="18"/>
              </w:rPr>
            </w:pPr>
            <w:r>
              <w:rPr>
                <w:spacing w:val="-5"/>
                <w:sz w:val="18"/>
              </w:rPr>
              <w:t>b.</w:t>
            </w:r>
            <w:r>
              <w:rPr>
                <w:sz w:val="18"/>
              </w:rPr>
              <w:tab/>
              <w:t>Elementary</w:t>
            </w:r>
            <w:r>
              <w:rPr>
                <w:spacing w:val="-4"/>
                <w:sz w:val="18"/>
              </w:rPr>
              <w:t xml:space="preserve"> </w:t>
            </w:r>
            <w:r>
              <w:rPr>
                <w:spacing w:val="-2"/>
                <w:sz w:val="18"/>
              </w:rPr>
              <w:t>school/MI/equivalent</w:t>
            </w:r>
          </w:p>
        </w:tc>
        <w:tc>
          <w:tcPr>
            <w:tcW w:w="2430" w:type="dxa"/>
            <w:tcBorders>
              <w:top w:val="single" w:sz="4" w:space="0" w:color="BEBEBE"/>
              <w:bottom w:val="single" w:sz="4" w:space="0" w:color="BEBEBE"/>
            </w:tcBorders>
          </w:tcPr>
          <w:p w14:paraId="5450F796" w14:textId="77777777" w:rsidR="00BC24A8" w:rsidRDefault="00000000">
            <w:pPr>
              <w:pStyle w:val="TableParagraph"/>
              <w:spacing w:before="56"/>
              <w:ind w:right="81"/>
              <w:jc w:val="center"/>
              <w:rPr>
                <w:sz w:val="18"/>
              </w:rPr>
            </w:pPr>
            <w:r>
              <w:rPr>
                <w:spacing w:val="-2"/>
                <w:sz w:val="18"/>
              </w:rPr>
              <w:t>100,70</w:t>
            </w:r>
          </w:p>
        </w:tc>
      </w:tr>
      <w:tr w:rsidR="00BC24A8" w14:paraId="0E2BE77A" w14:textId="77777777">
        <w:trPr>
          <w:trHeight w:val="333"/>
        </w:trPr>
        <w:tc>
          <w:tcPr>
            <w:tcW w:w="499" w:type="dxa"/>
          </w:tcPr>
          <w:p w14:paraId="7B92BC2C"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4749E203" w14:textId="77777777" w:rsidR="00BC24A8" w:rsidRDefault="00000000">
            <w:pPr>
              <w:pStyle w:val="TableParagraph"/>
              <w:tabs>
                <w:tab w:val="left" w:pos="540"/>
              </w:tabs>
              <w:spacing w:before="59"/>
              <w:ind w:left="108"/>
              <w:rPr>
                <w:sz w:val="18"/>
              </w:rPr>
            </w:pPr>
            <w:r>
              <w:rPr>
                <w:spacing w:val="-5"/>
                <w:sz w:val="18"/>
              </w:rPr>
              <w:t>c.</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430" w:type="dxa"/>
            <w:tcBorders>
              <w:top w:val="single" w:sz="4" w:space="0" w:color="BEBEBE"/>
              <w:bottom w:val="single" w:sz="4" w:space="0" w:color="BEBEBE"/>
            </w:tcBorders>
          </w:tcPr>
          <w:p w14:paraId="78707B02" w14:textId="77777777" w:rsidR="00BC24A8" w:rsidRDefault="00000000">
            <w:pPr>
              <w:pStyle w:val="TableParagraph"/>
              <w:spacing w:before="59"/>
              <w:ind w:right="81"/>
              <w:jc w:val="center"/>
              <w:rPr>
                <w:sz w:val="18"/>
              </w:rPr>
            </w:pPr>
            <w:r>
              <w:rPr>
                <w:spacing w:val="-2"/>
                <w:sz w:val="18"/>
              </w:rPr>
              <w:t>105,98</w:t>
            </w:r>
          </w:p>
        </w:tc>
      </w:tr>
      <w:tr w:rsidR="00BC24A8" w14:paraId="1E6CB2C0" w14:textId="77777777">
        <w:trPr>
          <w:trHeight w:val="335"/>
        </w:trPr>
        <w:tc>
          <w:tcPr>
            <w:tcW w:w="499" w:type="dxa"/>
            <w:tcBorders>
              <w:bottom w:val="single" w:sz="4" w:space="0" w:color="BEBEBE"/>
            </w:tcBorders>
          </w:tcPr>
          <w:p w14:paraId="455BEE97"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72DCE454" w14:textId="77777777" w:rsidR="00BC24A8" w:rsidRDefault="00000000">
            <w:pPr>
              <w:pStyle w:val="TableParagraph"/>
              <w:tabs>
                <w:tab w:val="left" w:pos="540"/>
              </w:tabs>
              <w:spacing w:before="59"/>
              <w:ind w:left="108"/>
              <w:rPr>
                <w:sz w:val="18"/>
              </w:rPr>
            </w:pPr>
            <w:r>
              <w:rPr>
                <w:spacing w:val="-5"/>
                <w:sz w:val="18"/>
              </w:rPr>
              <w:t>d.</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430" w:type="dxa"/>
            <w:tcBorders>
              <w:top w:val="single" w:sz="4" w:space="0" w:color="BEBEBE"/>
              <w:bottom w:val="single" w:sz="4" w:space="0" w:color="BEBEBE"/>
            </w:tcBorders>
          </w:tcPr>
          <w:p w14:paraId="1F3063AD" w14:textId="77777777" w:rsidR="00BC24A8" w:rsidRDefault="00000000">
            <w:pPr>
              <w:pStyle w:val="TableParagraph"/>
              <w:spacing w:before="59"/>
              <w:ind w:right="81"/>
              <w:jc w:val="center"/>
              <w:rPr>
                <w:sz w:val="18"/>
              </w:rPr>
            </w:pPr>
            <w:r>
              <w:rPr>
                <w:spacing w:val="-2"/>
                <w:sz w:val="18"/>
              </w:rPr>
              <w:t>99,45</w:t>
            </w:r>
          </w:p>
        </w:tc>
      </w:tr>
      <w:tr w:rsidR="00BC24A8" w14:paraId="7DB22782" w14:textId="77777777">
        <w:trPr>
          <w:trHeight w:val="333"/>
        </w:trPr>
        <w:tc>
          <w:tcPr>
            <w:tcW w:w="499" w:type="dxa"/>
            <w:tcBorders>
              <w:top w:val="single" w:sz="4" w:space="0" w:color="BEBEBE"/>
            </w:tcBorders>
          </w:tcPr>
          <w:p w14:paraId="4B122D7E" w14:textId="77777777" w:rsidR="00BC24A8" w:rsidRDefault="00000000">
            <w:pPr>
              <w:pStyle w:val="TableParagraph"/>
              <w:spacing w:before="56"/>
              <w:ind w:left="6"/>
              <w:jc w:val="center"/>
              <w:rPr>
                <w:sz w:val="18"/>
              </w:rPr>
            </w:pPr>
            <w:r>
              <w:rPr>
                <w:spacing w:val="-5"/>
                <w:sz w:val="18"/>
              </w:rPr>
              <w:t>3.</w:t>
            </w:r>
          </w:p>
        </w:tc>
        <w:tc>
          <w:tcPr>
            <w:tcW w:w="6147" w:type="dxa"/>
            <w:tcBorders>
              <w:top w:val="single" w:sz="4" w:space="0" w:color="BEBEBE"/>
              <w:bottom w:val="single" w:sz="4" w:space="0" w:color="BEBEBE"/>
            </w:tcBorders>
          </w:tcPr>
          <w:p w14:paraId="13680807" w14:textId="77777777" w:rsidR="00BC24A8" w:rsidRDefault="00000000">
            <w:pPr>
              <w:pStyle w:val="TableParagraph"/>
              <w:spacing w:before="56"/>
              <w:ind w:left="108"/>
              <w:rPr>
                <w:sz w:val="18"/>
              </w:rPr>
            </w:pPr>
            <w:r>
              <w:rPr>
                <w:sz w:val="18"/>
              </w:rPr>
              <w:t>School</w:t>
            </w:r>
            <w:r>
              <w:rPr>
                <w:spacing w:val="-1"/>
                <w:sz w:val="18"/>
              </w:rPr>
              <w:t xml:space="preserve"> </w:t>
            </w:r>
            <w:r>
              <w:rPr>
                <w:sz w:val="18"/>
              </w:rPr>
              <w:t>Dropout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(BPS,</w:t>
            </w:r>
            <w:r>
              <w:rPr>
                <w:spacing w:val="-2"/>
                <w:sz w:val="18"/>
              </w:rPr>
              <w:t xml:space="preserve"> </w:t>
            </w:r>
            <w:r>
              <w:rPr>
                <w:spacing w:val="-4"/>
                <w:sz w:val="18"/>
              </w:rPr>
              <w:t>2022)</w:t>
            </w:r>
          </w:p>
        </w:tc>
        <w:tc>
          <w:tcPr>
            <w:tcW w:w="2430" w:type="dxa"/>
            <w:tcBorders>
              <w:top w:val="single" w:sz="4" w:space="0" w:color="BEBEBE"/>
              <w:bottom w:val="single" w:sz="4" w:space="0" w:color="BEBEBE"/>
            </w:tcBorders>
          </w:tcPr>
          <w:p w14:paraId="1908B270" w14:textId="77777777" w:rsidR="00BC24A8" w:rsidRDefault="00BC24A8">
            <w:pPr>
              <w:pStyle w:val="TableParagraph"/>
              <w:rPr>
                <w:rFonts w:ascii="Times New Roman"/>
                <w:sz w:val="18"/>
              </w:rPr>
            </w:pPr>
          </w:p>
        </w:tc>
      </w:tr>
      <w:tr w:rsidR="00BC24A8" w14:paraId="2DAF81A1" w14:textId="77777777">
        <w:trPr>
          <w:trHeight w:val="333"/>
        </w:trPr>
        <w:tc>
          <w:tcPr>
            <w:tcW w:w="499" w:type="dxa"/>
          </w:tcPr>
          <w:p w14:paraId="36A2A89A"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192AF7E3" w14:textId="77777777" w:rsidR="00BC24A8" w:rsidRDefault="00000000">
            <w:pPr>
              <w:pStyle w:val="TableParagraph"/>
              <w:tabs>
                <w:tab w:val="left" w:pos="494"/>
              </w:tabs>
              <w:spacing w:before="56"/>
              <w:ind w:left="108"/>
              <w:rPr>
                <w:sz w:val="18"/>
              </w:rPr>
            </w:pPr>
            <w:r>
              <w:rPr>
                <w:spacing w:val="-5"/>
                <w:sz w:val="18"/>
              </w:rPr>
              <w:t>a.</w:t>
            </w:r>
            <w:r>
              <w:rPr>
                <w:sz w:val="18"/>
              </w:rPr>
              <w:tab/>
              <w:t>Elementary</w:t>
            </w:r>
            <w:r>
              <w:rPr>
                <w:spacing w:val="-4"/>
                <w:sz w:val="18"/>
              </w:rPr>
              <w:t xml:space="preserve"> </w:t>
            </w:r>
            <w:r>
              <w:rPr>
                <w:spacing w:val="-2"/>
                <w:sz w:val="18"/>
              </w:rPr>
              <w:t>school/MI/equivalent</w:t>
            </w:r>
          </w:p>
        </w:tc>
        <w:tc>
          <w:tcPr>
            <w:tcW w:w="2430" w:type="dxa"/>
            <w:tcBorders>
              <w:top w:val="single" w:sz="4" w:space="0" w:color="BEBEBE"/>
              <w:bottom w:val="single" w:sz="4" w:space="0" w:color="BEBEBE"/>
            </w:tcBorders>
          </w:tcPr>
          <w:p w14:paraId="20746E13" w14:textId="77777777" w:rsidR="00BC24A8" w:rsidRDefault="00000000">
            <w:pPr>
              <w:pStyle w:val="TableParagraph"/>
              <w:spacing w:before="56"/>
              <w:ind w:right="81"/>
              <w:jc w:val="center"/>
              <w:rPr>
                <w:sz w:val="18"/>
              </w:rPr>
            </w:pPr>
            <w:r>
              <w:rPr>
                <w:spacing w:val="-4"/>
                <w:sz w:val="18"/>
              </w:rPr>
              <w:t>0,60</w:t>
            </w:r>
          </w:p>
        </w:tc>
      </w:tr>
      <w:tr w:rsidR="00BC24A8" w14:paraId="5C6A5D33" w14:textId="77777777">
        <w:trPr>
          <w:trHeight w:val="333"/>
        </w:trPr>
        <w:tc>
          <w:tcPr>
            <w:tcW w:w="499" w:type="dxa"/>
          </w:tcPr>
          <w:p w14:paraId="410CD634"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24826521" w14:textId="77777777" w:rsidR="00BC24A8" w:rsidRDefault="00000000">
            <w:pPr>
              <w:pStyle w:val="TableParagraph"/>
              <w:tabs>
                <w:tab w:val="left" w:pos="540"/>
              </w:tabs>
              <w:spacing w:before="56"/>
              <w:ind w:left="108"/>
              <w:rPr>
                <w:sz w:val="18"/>
              </w:rPr>
            </w:pPr>
            <w:r>
              <w:rPr>
                <w:spacing w:val="-5"/>
                <w:sz w:val="18"/>
              </w:rPr>
              <w:t>b.</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430" w:type="dxa"/>
            <w:tcBorders>
              <w:top w:val="single" w:sz="4" w:space="0" w:color="BEBEBE"/>
              <w:bottom w:val="single" w:sz="4" w:space="0" w:color="BEBEBE"/>
            </w:tcBorders>
          </w:tcPr>
          <w:p w14:paraId="396E6D78" w14:textId="77777777" w:rsidR="00BC24A8" w:rsidRDefault="00000000">
            <w:pPr>
              <w:pStyle w:val="TableParagraph"/>
              <w:spacing w:before="56"/>
              <w:ind w:right="81"/>
              <w:jc w:val="center"/>
              <w:rPr>
                <w:sz w:val="18"/>
              </w:rPr>
            </w:pPr>
            <w:r>
              <w:rPr>
                <w:spacing w:val="-4"/>
                <w:sz w:val="18"/>
              </w:rPr>
              <w:t>0,35</w:t>
            </w:r>
          </w:p>
        </w:tc>
      </w:tr>
      <w:tr w:rsidR="00BC24A8" w14:paraId="5E888165" w14:textId="77777777">
        <w:trPr>
          <w:trHeight w:val="333"/>
        </w:trPr>
        <w:tc>
          <w:tcPr>
            <w:tcW w:w="499" w:type="dxa"/>
            <w:tcBorders>
              <w:bottom w:val="single" w:sz="4" w:space="0" w:color="BEBEBE"/>
            </w:tcBorders>
          </w:tcPr>
          <w:p w14:paraId="778647BD"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757B122C" w14:textId="77777777" w:rsidR="00BC24A8" w:rsidRDefault="00000000">
            <w:pPr>
              <w:pStyle w:val="TableParagraph"/>
              <w:tabs>
                <w:tab w:val="left" w:pos="540"/>
              </w:tabs>
              <w:spacing w:before="59"/>
              <w:ind w:left="108"/>
              <w:rPr>
                <w:sz w:val="18"/>
              </w:rPr>
            </w:pPr>
            <w:r>
              <w:rPr>
                <w:spacing w:val="-5"/>
                <w:sz w:val="18"/>
              </w:rPr>
              <w:t>c.</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430" w:type="dxa"/>
            <w:tcBorders>
              <w:top w:val="single" w:sz="4" w:space="0" w:color="BEBEBE"/>
              <w:bottom w:val="single" w:sz="4" w:space="0" w:color="BEBEBE"/>
            </w:tcBorders>
          </w:tcPr>
          <w:p w14:paraId="0D750D36" w14:textId="77777777" w:rsidR="00BC24A8" w:rsidRDefault="00000000">
            <w:pPr>
              <w:pStyle w:val="TableParagraph"/>
              <w:spacing w:before="59"/>
              <w:ind w:right="81"/>
              <w:jc w:val="center"/>
              <w:rPr>
                <w:sz w:val="18"/>
              </w:rPr>
            </w:pPr>
            <w:r>
              <w:rPr>
                <w:spacing w:val="-4"/>
                <w:sz w:val="18"/>
              </w:rPr>
              <w:t>1,02</w:t>
            </w:r>
          </w:p>
        </w:tc>
      </w:tr>
      <w:tr w:rsidR="00BC24A8" w14:paraId="1B4F8503" w14:textId="77777777">
        <w:trPr>
          <w:trHeight w:val="335"/>
        </w:trPr>
        <w:tc>
          <w:tcPr>
            <w:tcW w:w="499" w:type="dxa"/>
            <w:tcBorders>
              <w:top w:val="single" w:sz="4" w:space="0" w:color="BEBEBE"/>
              <w:bottom w:val="single" w:sz="4" w:space="0" w:color="BEBEBE"/>
            </w:tcBorders>
          </w:tcPr>
          <w:p w14:paraId="35D8E30C" w14:textId="77777777" w:rsidR="00BC24A8" w:rsidRDefault="00000000">
            <w:pPr>
              <w:pStyle w:val="TableParagraph"/>
              <w:spacing w:before="59"/>
              <w:ind w:left="6"/>
              <w:jc w:val="center"/>
              <w:rPr>
                <w:sz w:val="18"/>
              </w:rPr>
            </w:pPr>
            <w:r>
              <w:rPr>
                <w:spacing w:val="-5"/>
                <w:sz w:val="18"/>
              </w:rPr>
              <w:t>4.</w:t>
            </w:r>
          </w:p>
        </w:tc>
        <w:tc>
          <w:tcPr>
            <w:tcW w:w="6147" w:type="dxa"/>
            <w:tcBorders>
              <w:top w:val="single" w:sz="4" w:space="0" w:color="BEBEBE"/>
              <w:bottom w:val="single" w:sz="4" w:space="0" w:color="BEBEBE"/>
            </w:tcBorders>
          </w:tcPr>
          <w:p w14:paraId="5C8B17A7" w14:textId="77777777" w:rsidR="00BC24A8" w:rsidRDefault="00000000">
            <w:pPr>
              <w:pStyle w:val="TableParagraph"/>
              <w:spacing w:before="59"/>
              <w:ind w:left="108"/>
              <w:rPr>
                <w:sz w:val="18"/>
              </w:rPr>
            </w:pPr>
            <w:r>
              <w:rPr>
                <w:sz w:val="18"/>
              </w:rPr>
              <w:t>Infant</w:t>
            </w:r>
            <w:r>
              <w:rPr>
                <w:spacing w:val="-2"/>
                <w:sz w:val="18"/>
              </w:rPr>
              <w:t xml:space="preserve"> </w:t>
            </w:r>
            <w:r>
              <w:rPr>
                <w:sz w:val="18"/>
              </w:rPr>
              <w:t>Mortality</w:t>
            </w:r>
            <w:r>
              <w:rPr>
                <w:spacing w:val="-1"/>
                <w:sz w:val="18"/>
              </w:rPr>
              <w:t xml:space="preserve"> </w:t>
            </w:r>
            <w:r>
              <w:rPr>
                <w:sz w:val="18"/>
              </w:rPr>
              <w:t>Rate</w:t>
            </w:r>
            <w:r>
              <w:rPr>
                <w:spacing w:val="-1"/>
                <w:sz w:val="18"/>
              </w:rPr>
              <w:t xml:space="preserve"> </w:t>
            </w:r>
            <w:r>
              <w:rPr>
                <w:sz w:val="18"/>
              </w:rPr>
              <w:t>(per</w:t>
            </w:r>
            <w:r>
              <w:rPr>
                <w:spacing w:val="-1"/>
                <w:sz w:val="18"/>
              </w:rPr>
              <w:t xml:space="preserve"> </w:t>
            </w:r>
            <w:r>
              <w:rPr>
                <w:sz w:val="18"/>
              </w:rPr>
              <w:t>1,000 live</w:t>
            </w:r>
            <w:r>
              <w:rPr>
                <w:spacing w:val="-1"/>
                <w:sz w:val="18"/>
              </w:rPr>
              <w:t xml:space="preserve"> </w:t>
            </w:r>
            <w:r>
              <w:rPr>
                <w:sz w:val="18"/>
              </w:rPr>
              <w:t>births)</w:t>
            </w:r>
            <w:r>
              <w:rPr>
                <w:spacing w:val="-2"/>
                <w:sz w:val="18"/>
              </w:rPr>
              <w:t xml:space="preserve"> </w:t>
            </w:r>
            <w:r>
              <w:rPr>
                <w:sz w:val="18"/>
              </w:rPr>
              <w:t>(BPS,</w:t>
            </w:r>
            <w:r>
              <w:rPr>
                <w:spacing w:val="-1"/>
                <w:sz w:val="18"/>
              </w:rPr>
              <w:t xml:space="preserve"> </w:t>
            </w:r>
            <w:r>
              <w:rPr>
                <w:spacing w:val="-2"/>
                <w:sz w:val="18"/>
              </w:rPr>
              <w:t>2020)</w:t>
            </w:r>
          </w:p>
        </w:tc>
        <w:tc>
          <w:tcPr>
            <w:tcW w:w="2430" w:type="dxa"/>
            <w:tcBorders>
              <w:top w:val="single" w:sz="4" w:space="0" w:color="BEBEBE"/>
              <w:bottom w:val="single" w:sz="4" w:space="0" w:color="BEBEBE"/>
            </w:tcBorders>
          </w:tcPr>
          <w:p w14:paraId="5F1748C5" w14:textId="77777777" w:rsidR="00BC24A8" w:rsidRDefault="00000000">
            <w:pPr>
              <w:pStyle w:val="TableParagraph"/>
              <w:spacing w:before="59"/>
              <w:ind w:right="81"/>
              <w:jc w:val="center"/>
              <w:rPr>
                <w:sz w:val="18"/>
              </w:rPr>
            </w:pPr>
            <w:r>
              <w:rPr>
                <w:spacing w:val="-2"/>
                <w:sz w:val="18"/>
              </w:rPr>
              <w:t>37,06</w:t>
            </w:r>
          </w:p>
        </w:tc>
      </w:tr>
      <w:tr w:rsidR="00BC24A8" w14:paraId="78A1C6CB" w14:textId="77777777">
        <w:trPr>
          <w:trHeight w:val="333"/>
        </w:trPr>
        <w:tc>
          <w:tcPr>
            <w:tcW w:w="499" w:type="dxa"/>
            <w:tcBorders>
              <w:top w:val="single" w:sz="4" w:space="0" w:color="BEBEBE"/>
              <w:bottom w:val="single" w:sz="4" w:space="0" w:color="BEBEBE"/>
            </w:tcBorders>
          </w:tcPr>
          <w:p w14:paraId="54AE7697" w14:textId="77777777" w:rsidR="00BC24A8" w:rsidRDefault="00000000">
            <w:pPr>
              <w:pStyle w:val="TableParagraph"/>
              <w:spacing w:before="56"/>
              <w:ind w:left="6"/>
              <w:jc w:val="center"/>
              <w:rPr>
                <w:sz w:val="18"/>
              </w:rPr>
            </w:pPr>
            <w:r>
              <w:rPr>
                <w:spacing w:val="-5"/>
                <w:sz w:val="18"/>
              </w:rPr>
              <w:t>5.</w:t>
            </w:r>
          </w:p>
        </w:tc>
        <w:tc>
          <w:tcPr>
            <w:tcW w:w="6147" w:type="dxa"/>
            <w:tcBorders>
              <w:top w:val="single" w:sz="4" w:space="0" w:color="BEBEBE"/>
              <w:bottom w:val="single" w:sz="4" w:space="0" w:color="BEBEBE"/>
            </w:tcBorders>
          </w:tcPr>
          <w:p w14:paraId="44086907" w14:textId="77777777" w:rsidR="00BC24A8" w:rsidRDefault="00000000">
            <w:pPr>
              <w:pStyle w:val="TableParagraph"/>
              <w:spacing w:before="56"/>
              <w:ind w:left="108"/>
              <w:rPr>
                <w:sz w:val="18"/>
              </w:rPr>
            </w:pPr>
            <w:r>
              <w:rPr>
                <w:sz w:val="18"/>
              </w:rPr>
              <w:t>Maternal</w:t>
            </w:r>
            <w:r>
              <w:rPr>
                <w:spacing w:val="-3"/>
                <w:sz w:val="18"/>
              </w:rPr>
              <w:t xml:space="preserve"> </w:t>
            </w:r>
            <w:r>
              <w:rPr>
                <w:sz w:val="18"/>
              </w:rPr>
              <w:t>Mortality</w:t>
            </w:r>
            <w:r>
              <w:rPr>
                <w:spacing w:val="-3"/>
                <w:sz w:val="18"/>
              </w:rPr>
              <w:t xml:space="preserve"> </w:t>
            </w:r>
            <w:r>
              <w:rPr>
                <w:sz w:val="18"/>
              </w:rPr>
              <w:t>Rate</w:t>
            </w:r>
            <w:r>
              <w:rPr>
                <w:spacing w:val="-1"/>
                <w:sz w:val="18"/>
              </w:rPr>
              <w:t xml:space="preserve"> </w:t>
            </w:r>
            <w:r>
              <w:rPr>
                <w:sz w:val="18"/>
              </w:rPr>
              <w:t>(per</w:t>
            </w:r>
            <w:r>
              <w:rPr>
                <w:spacing w:val="-2"/>
                <w:sz w:val="18"/>
              </w:rPr>
              <w:t xml:space="preserve"> </w:t>
            </w:r>
            <w:r>
              <w:rPr>
                <w:sz w:val="18"/>
              </w:rPr>
              <w:t>100,000</w:t>
            </w:r>
            <w:r>
              <w:rPr>
                <w:spacing w:val="-1"/>
                <w:sz w:val="18"/>
              </w:rPr>
              <w:t xml:space="preserve"> </w:t>
            </w:r>
            <w:r>
              <w:rPr>
                <w:sz w:val="18"/>
              </w:rPr>
              <w:t>live</w:t>
            </w:r>
            <w:r>
              <w:rPr>
                <w:spacing w:val="-2"/>
                <w:sz w:val="18"/>
              </w:rPr>
              <w:t xml:space="preserve"> </w:t>
            </w:r>
            <w:r>
              <w:rPr>
                <w:sz w:val="18"/>
              </w:rPr>
              <w:t>births)</w:t>
            </w:r>
            <w:r>
              <w:rPr>
                <w:spacing w:val="-2"/>
                <w:sz w:val="18"/>
              </w:rPr>
              <w:t xml:space="preserve"> </w:t>
            </w:r>
            <w:r>
              <w:rPr>
                <w:sz w:val="18"/>
              </w:rPr>
              <w:t>(BPS,</w:t>
            </w:r>
            <w:r>
              <w:rPr>
                <w:spacing w:val="-2"/>
                <w:sz w:val="18"/>
              </w:rPr>
              <w:t xml:space="preserve"> 2020)</w:t>
            </w:r>
          </w:p>
        </w:tc>
        <w:tc>
          <w:tcPr>
            <w:tcW w:w="2430" w:type="dxa"/>
            <w:tcBorders>
              <w:top w:val="single" w:sz="4" w:space="0" w:color="BEBEBE"/>
              <w:bottom w:val="single" w:sz="4" w:space="0" w:color="BEBEBE"/>
            </w:tcBorders>
          </w:tcPr>
          <w:p w14:paraId="11B21A25" w14:textId="77777777" w:rsidR="00BC24A8" w:rsidRDefault="00000000">
            <w:pPr>
              <w:pStyle w:val="TableParagraph"/>
              <w:spacing w:before="56"/>
              <w:ind w:right="81"/>
              <w:jc w:val="center"/>
              <w:rPr>
                <w:sz w:val="18"/>
              </w:rPr>
            </w:pPr>
            <w:r>
              <w:rPr>
                <w:spacing w:val="-5"/>
                <w:sz w:val="18"/>
              </w:rPr>
              <w:t>343</w:t>
            </w:r>
          </w:p>
        </w:tc>
      </w:tr>
      <w:tr w:rsidR="00BC24A8" w14:paraId="3169A6F4" w14:textId="77777777">
        <w:trPr>
          <w:trHeight w:val="333"/>
        </w:trPr>
        <w:tc>
          <w:tcPr>
            <w:tcW w:w="499" w:type="dxa"/>
            <w:tcBorders>
              <w:top w:val="single" w:sz="4" w:space="0" w:color="BEBEBE"/>
              <w:bottom w:val="single" w:sz="4" w:space="0" w:color="BEBEBE"/>
            </w:tcBorders>
          </w:tcPr>
          <w:p w14:paraId="71545347" w14:textId="77777777" w:rsidR="00BC24A8" w:rsidRDefault="00000000">
            <w:pPr>
              <w:pStyle w:val="TableParagraph"/>
              <w:spacing w:before="56"/>
              <w:ind w:left="6"/>
              <w:jc w:val="center"/>
              <w:rPr>
                <w:sz w:val="18"/>
              </w:rPr>
            </w:pPr>
            <w:r>
              <w:rPr>
                <w:spacing w:val="-5"/>
                <w:sz w:val="18"/>
              </w:rPr>
              <w:t>6.</w:t>
            </w:r>
          </w:p>
        </w:tc>
        <w:tc>
          <w:tcPr>
            <w:tcW w:w="6147" w:type="dxa"/>
            <w:tcBorders>
              <w:top w:val="single" w:sz="4" w:space="0" w:color="BEBEBE"/>
              <w:bottom w:val="single" w:sz="4" w:space="0" w:color="BEBEBE"/>
            </w:tcBorders>
          </w:tcPr>
          <w:p w14:paraId="4B0BBC9C" w14:textId="77777777" w:rsidR="00BC24A8" w:rsidRDefault="00000000">
            <w:pPr>
              <w:pStyle w:val="TableParagraph"/>
              <w:spacing w:before="56"/>
              <w:ind w:left="108"/>
              <w:rPr>
                <w:sz w:val="18"/>
              </w:rPr>
            </w:pPr>
            <w:r>
              <w:rPr>
                <w:sz w:val="18"/>
              </w:rPr>
              <w:t>Stunting</w:t>
            </w:r>
            <w:r>
              <w:rPr>
                <w:spacing w:val="-5"/>
                <w:sz w:val="18"/>
              </w:rPr>
              <w:t xml:space="preserve"> </w:t>
            </w:r>
            <w:r>
              <w:rPr>
                <w:sz w:val="18"/>
              </w:rPr>
              <w:t>prevalence</w:t>
            </w:r>
            <w:r>
              <w:rPr>
                <w:spacing w:val="-2"/>
                <w:sz w:val="18"/>
              </w:rPr>
              <w:t xml:space="preserve"> </w:t>
            </w:r>
            <w:r>
              <w:rPr>
                <w:sz w:val="18"/>
              </w:rPr>
              <w:t>in</w:t>
            </w:r>
            <w:r>
              <w:rPr>
                <w:spacing w:val="-1"/>
                <w:sz w:val="18"/>
              </w:rPr>
              <w:t xml:space="preserve"> </w:t>
            </w:r>
            <w:r>
              <w:rPr>
                <w:sz w:val="18"/>
              </w:rPr>
              <w:t>Children</w:t>
            </w:r>
            <w:r>
              <w:rPr>
                <w:spacing w:val="-2"/>
                <w:sz w:val="18"/>
              </w:rPr>
              <w:t xml:space="preserve"> </w:t>
            </w:r>
            <w:r>
              <w:rPr>
                <w:sz w:val="18"/>
              </w:rPr>
              <w:t>Aged</w:t>
            </w:r>
            <w:r>
              <w:rPr>
                <w:spacing w:val="-1"/>
                <w:sz w:val="18"/>
              </w:rPr>
              <w:t xml:space="preserve"> </w:t>
            </w:r>
            <w:r>
              <w:rPr>
                <w:sz w:val="18"/>
              </w:rPr>
              <w:t>0–59</w:t>
            </w:r>
            <w:r>
              <w:rPr>
                <w:spacing w:val="-2"/>
                <w:sz w:val="18"/>
              </w:rPr>
              <w:t xml:space="preserve"> </w:t>
            </w:r>
            <w:r>
              <w:rPr>
                <w:sz w:val="18"/>
              </w:rPr>
              <w:t>Months</w:t>
            </w:r>
            <w:r>
              <w:rPr>
                <w:spacing w:val="1"/>
                <w:sz w:val="18"/>
              </w:rPr>
              <w:t xml:space="preserve"> </w:t>
            </w:r>
            <w:r>
              <w:rPr>
                <w:sz w:val="18"/>
              </w:rPr>
              <w:t>(%)</w:t>
            </w:r>
            <w:r>
              <w:rPr>
                <w:spacing w:val="-1"/>
                <w:sz w:val="18"/>
              </w:rPr>
              <w:t xml:space="preserve"> </w:t>
            </w:r>
            <w:r>
              <w:rPr>
                <w:sz w:val="18"/>
              </w:rPr>
              <w:t>(SKI,</w:t>
            </w:r>
            <w:r>
              <w:rPr>
                <w:spacing w:val="-2"/>
                <w:sz w:val="18"/>
              </w:rPr>
              <w:t xml:space="preserve"> 2023)</w:t>
            </w:r>
          </w:p>
        </w:tc>
        <w:tc>
          <w:tcPr>
            <w:tcW w:w="2430" w:type="dxa"/>
            <w:tcBorders>
              <w:top w:val="single" w:sz="4" w:space="0" w:color="BEBEBE"/>
              <w:bottom w:val="single" w:sz="4" w:space="0" w:color="BEBEBE"/>
            </w:tcBorders>
          </w:tcPr>
          <w:p w14:paraId="1C4F8337" w14:textId="77777777" w:rsidR="00BC24A8" w:rsidRDefault="00000000">
            <w:pPr>
              <w:pStyle w:val="TableParagraph"/>
              <w:spacing w:before="56"/>
              <w:ind w:right="81"/>
              <w:jc w:val="center"/>
              <w:rPr>
                <w:sz w:val="18"/>
              </w:rPr>
            </w:pPr>
            <w:r>
              <w:rPr>
                <w:spacing w:val="-4"/>
                <w:sz w:val="18"/>
              </w:rPr>
              <w:t>24,8</w:t>
            </w:r>
          </w:p>
        </w:tc>
      </w:tr>
      <w:tr w:rsidR="00BC24A8" w14:paraId="383A3079" w14:textId="77777777">
        <w:trPr>
          <w:trHeight w:val="333"/>
        </w:trPr>
        <w:tc>
          <w:tcPr>
            <w:tcW w:w="499" w:type="dxa"/>
            <w:tcBorders>
              <w:top w:val="single" w:sz="4" w:space="0" w:color="BEBEBE"/>
              <w:bottom w:val="single" w:sz="4" w:space="0" w:color="BEBEBE"/>
            </w:tcBorders>
          </w:tcPr>
          <w:p w14:paraId="3D36AD8A" w14:textId="77777777" w:rsidR="00BC24A8" w:rsidRDefault="00000000">
            <w:pPr>
              <w:pStyle w:val="TableParagraph"/>
              <w:spacing w:before="59"/>
              <w:ind w:left="6"/>
              <w:jc w:val="center"/>
              <w:rPr>
                <w:sz w:val="18"/>
              </w:rPr>
            </w:pPr>
            <w:r>
              <w:rPr>
                <w:spacing w:val="-5"/>
                <w:sz w:val="18"/>
              </w:rPr>
              <w:t>7.</w:t>
            </w:r>
          </w:p>
        </w:tc>
        <w:tc>
          <w:tcPr>
            <w:tcW w:w="6147" w:type="dxa"/>
            <w:tcBorders>
              <w:top w:val="single" w:sz="4" w:space="0" w:color="BEBEBE"/>
              <w:bottom w:val="single" w:sz="4" w:space="0" w:color="BEBEBE"/>
            </w:tcBorders>
          </w:tcPr>
          <w:p w14:paraId="75AC6B3C" w14:textId="77777777" w:rsidR="00BC24A8" w:rsidRDefault="00000000">
            <w:pPr>
              <w:pStyle w:val="TableParagraph"/>
              <w:spacing w:before="59"/>
              <w:ind w:left="108"/>
              <w:rPr>
                <w:sz w:val="18"/>
              </w:rPr>
            </w:pPr>
            <w:r>
              <w:rPr>
                <w:sz w:val="18"/>
              </w:rPr>
              <w:t>Open</w:t>
            </w:r>
            <w:r>
              <w:rPr>
                <w:spacing w:val="-2"/>
                <w:sz w:val="18"/>
              </w:rPr>
              <w:t xml:space="preserve"> </w:t>
            </w:r>
            <w:r>
              <w:rPr>
                <w:sz w:val="18"/>
              </w:rPr>
              <w:t>Unemployment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(BPS,</w:t>
            </w:r>
            <w:r>
              <w:rPr>
                <w:spacing w:val="-1"/>
                <w:sz w:val="18"/>
              </w:rPr>
              <w:t xml:space="preserve"> </w:t>
            </w:r>
            <w:r>
              <w:rPr>
                <w:spacing w:val="-2"/>
                <w:sz w:val="18"/>
              </w:rPr>
              <w:t>2024)</w:t>
            </w:r>
          </w:p>
        </w:tc>
        <w:tc>
          <w:tcPr>
            <w:tcW w:w="2430" w:type="dxa"/>
            <w:tcBorders>
              <w:top w:val="single" w:sz="4" w:space="0" w:color="BEBEBE"/>
              <w:bottom w:val="single" w:sz="4" w:space="0" w:color="BEBEBE"/>
            </w:tcBorders>
          </w:tcPr>
          <w:p w14:paraId="729AD069" w14:textId="77777777" w:rsidR="00BC24A8" w:rsidRDefault="00000000">
            <w:pPr>
              <w:pStyle w:val="TableParagraph"/>
              <w:spacing w:before="59"/>
              <w:ind w:right="81"/>
              <w:jc w:val="center"/>
              <w:rPr>
                <w:sz w:val="18"/>
              </w:rPr>
            </w:pPr>
            <w:r>
              <w:rPr>
                <w:spacing w:val="-4"/>
                <w:sz w:val="18"/>
              </w:rPr>
              <w:t>4,31</w:t>
            </w:r>
          </w:p>
        </w:tc>
      </w:tr>
      <w:tr w:rsidR="00BC24A8" w14:paraId="6DD7CD5E" w14:textId="77777777">
        <w:trPr>
          <w:trHeight w:val="333"/>
        </w:trPr>
        <w:tc>
          <w:tcPr>
            <w:tcW w:w="499" w:type="dxa"/>
            <w:tcBorders>
              <w:top w:val="single" w:sz="4" w:space="0" w:color="BEBEBE"/>
            </w:tcBorders>
          </w:tcPr>
          <w:p w14:paraId="2B627431" w14:textId="77777777" w:rsidR="00BC24A8" w:rsidRDefault="00000000">
            <w:pPr>
              <w:pStyle w:val="TableParagraph"/>
              <w:spacing w:before="59"/>
              <w:ind w:left="6"/>
              <w:jc w:val="center"/>
              <w:rPr>
                <w:sz w:val="18"/>
              </w:rPr>
            </w:pPr>
            <w:r>
              <w:rPr>
                <w:spacing w:val="-5"/>
                <w:sz w:val="18"/>
              </w:rPr>
              <w:t>8.</w:t>
            </w:r>
          </w:p>
        </w:tc>
        <w:tc>
          <w:tcPr>
            <w:tcW w:w="6147" w:type="dxa"/>
            <w:tcBorders>
              <w:top w:val="single" w:sz="4" w:space="0" w:color="BEBEBE"/>
              <w:bottom w:val="single" w:sz="4" w:space="0" w:color="BEBEBE"/>
            </w:tcBorders>
          </w:tcPr>
          <w:p w14:paraId="7B10344B" w14:textId="77777777" w:rsidR="00BC24A8" w:rsidRDefault="00000000">
            <w:pPr>
              <w:pStyle w:val="TableParagraph"/>
              <w:spacing w:before="59"/>
              <w:ind w:left="108"/>
              <w:rPr>
                <w:sz w:val="18"/>
              </w:rPr>
            </w:pPr>
            <w:r>
              <w:rPr>
                <w:sz w:val="18"/>
              </w:rPr>
              <w:t>Poverty</w:t>
            </w:r>
            <w:r>
              <w:rPr>
                <w:spacing w:val="-6"/>
                <w:sz w:val="18"/>
              </w:rPr>
              <w:t xml:space="preserve"> </w:t>
            </w:r>
            <w:r>
              <w:rPr>
                <w:spacing w:val="-2"/>
                <w:sz w:val="18"/>
              </w:rPr>
              <w:t>Situation</w:t>
            </w:r>
          </w:p>
        </w:tc>
        <w:tc>
          <w:tcPr>
            <w:tcW w:w="2430" w:type="dxa"/>
            <w:tcBorders>
              <w:top w:val="single" w:sz="4" w:space="0" w:color="BEBEBE"/>
              <w:bottom w:val="single" w:sz="4" w:space="0" w:color="BEBEBE"/>
            </w:tcBorders>
          </w:tcPr>
          <w:p w14:paraId="37B31FCD" w14:textId="77777777" w:rsidR="00BC24A8" w:rsidRDefault="00BC24A8">
            <w:pPr>
              <w:pStyle w:val="TableParagraph"/>
              <w:rPr>
                <w:rFonts w:ascii="Times New Roman"/>
                <w:sz w:val="18"/>
              </w:rPr>
            </w:pPr>
          </w:p>
        </w:tc>
      </w:tr>
      <w:tr w:rsidR="00BC24A8" w14:paraId="37C3780C" w14:textId="77777777">
        <w:trPr>
          <w:trHeight w:val="335"/>
        </w:trPr>
        <w:tc>
          <w:tcPr>
            <w:tcW w:w="499" w:type="dxa"/>
          </w:tcPr>
          <w:p w14:paraId="0AEE7D72"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7A4F4046" w14:textId="77777777" w:rsidR="00BC24A8" w:rsidRDefault="00000000">
            <w:pPr>
              <w:pStyle w:val="TableParagraph"/>
              <w:tabs>
                <w:tab w:val="left" w:pos="494"/>
              </w:tabs>
              <w:spacing w:before="59"/>
              <w:ind w:left="108"/>
              <w:rPr>
                <w:sz w:val="18"/>
              </w:rPr>
            </w:pPr>
            <w:r>
              <w:rPr>
                <w:spacing w:val="-5"/>
                <w:sz w:val="18"/>
              </w:rPr>
              <w:t>a.</w:t>
            </w:r>
            <w:r>
              <w:rPr>
                <w:sz w:val="18"/>
              </w:rPr>
              <w:tab/>
              <w:t>Percentage</w:t>
            </w:r>
            <w:r>
              <w:rPr>
                <w:spacing w:val="-4"/>
                <w:sz w:val="18"/>
              </w:rPr>
              <w:t xml:space="preserve"> </w:t>
            </w:r>
            <w:r>
              <w:rPr>
                <w:sz w:val="18"/>
              </w:rPr>
              <w:t>of</w:t>
            </w:r>
            <w:r>
              <w:rPr>
                <w:spacing w:val="-4"/>
                <w:sz w:val="18"/>
              </w:rPr>
              <w:t xml:space="preserve"> </w:t>
            </w:r>
            <w:r>
              <w:rPr>
                <w:sz w:val="18"/>
              </w:rPr>
              <w:t>Poor</w:t>
            </w:r>
            <w:r>
              <w:rPr>
                <w:spacing w:val="-3"/>
                <w:sz w:val="18"/>
              </w:rPr>
              <w:t xml:space="preserve"> </w:t>
            </w:r>
            <w:r>
              <w:rPr>
                <w:sz w:val="18"/>
              </w:rPr>
              <w:t>Population</w:t>
            </w:r>
            <w:r>
              <w:rPr>
                <w:spacing w:val="-3"/>
                <w:sz w:val="18"/>
              </w:rPr>
              <w:t xml:space="preserve"> </w:t>
            </w:r>
            <w:r>
              <w:rPr>
                <w:sz w:val="18"/>
              </w:rPr>
              <w:t>(BPS,</w:t>
            </w:r>
            <w:r>
              <w:rPr>
                <w:spacing w:val="-3"/>
                <w:sz w:val="18"/>
              </w:rPr>
              <w:t xml:space="preserve"> </w:t>
            </w:r>
            <w:r>
              <w:rPr>
                <w:spacing w:val="-4"/>
                <w:sz w:val="18"/>
              </w:rPr>
              <w:t>2024)</w:t>
            </w:r>
          </w:p>
        </w:tc>
        <w:tc>
          <w:tcPr>
            <w:tcW w:w="2430" w:type="dxa"/>
            <w:tcBorders>
              <w:top w:val="single" w:sz="4" w:space="0" w:color="BEBEBE"/>
              <w:bottom w:val="single" w:sz="4" w:space="0" w:color="BEBEBE"/>
            </w:tcBorders>
          </w:tcPr>
          <w:p w14:paraId="4D61B0AB" w14:textId="77777777" w:rsidR="00BC24A8" w:rsidRDefault="00000000">
            <w:pPr>
              <w:pStyle w:val="TableParagraph"/>
              <w:spacing w:before="59"/>
              <w:ind w:right="81"/>
              <w:jc w:val="center"/>
              <w:rPr>
                <w:sz w:val="18"/>
              </w:rPr>
            </w:pPr>
            <w:r>
              <w:rPr>
                <w:spacing w:val="-2"/>
                <w:sz w:val="18"/>
              </w:rPr>
              <w:t>21,66</w:t>
            </w:r>
          </w:p>
        </w:tc>
      </w:tr>
      <w:tr w:rsidR="00BC24A8" w14:paraId="6E5DF3E7" w14:textId="77777777">
        <w:trPr>
          <w:trHeight w:val="333"/>
        </w:trPr>
        <w:tc>
          <w:tcPr>
            <w:tcW w:w="499" w:type="dxa"/>
          </w:tcPr>
          <w:p w14:paraId="60E13BB9"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3BBD2078" w14:textId="77777777" w:rsidR="00BC24A8" w:rsidRDefault="00000000">
            <w:pPr>
              <w:pStyle w:val="TableParagraph"/>
              <w:tabs>
                <w:tab w:val="left" w:pos="540"/>
              </w:tabs>
              <w:spacing w:before="56"/>
              <w:ind w:left="108"/>
              <w:rPr>
                <w:sz w:val="18"/>
              </w:rPr>
            </w:pPr>
            <w:r>
              <w:rPr>
                <w:spacing w:val="-5"/>
                <w:sz w:val="18"/>
              </w:rPr>
              <w:t>b.</w:t>
            </w:r>
            <w:r>
              <w:rPr>
                <w:sz w:val="18"/>
              </w:rPr>
              <w:tab/>
              <w:t>Poverty</w:t>
            </w:r>
            <w:r>
              <w:rPr>
                <w:spacing w:val="-3"/>
                <w:sz w:val="18"/>
              </w:rPr>
              <w:t xml:space="preserve"> </w:t>
            </w:r>
            <w:r>
              <w:rPr>
                <w:sz w:val="18"/>
              </w:rPr>
              <w:t>Depth</w:t>
            </w:r>
            <w:r>
              <w:rPr>
                <w:spacing w:val="-3"/>
                <w:sz w:val="18"/>
              </w:rPr>
              <w:t xml:space="preserve"> </w:t>
            </w:r>
            <w:r>
              <w:rPr>
                <w:sz w:val="18"/>
              </w:rPr>
              <w:t>Index</w:t>
            </w:r>
            <w:r>
              <w:rPr>
                <w:spacing w:val="-3"/>
                <w:sz w:val="18"/>
              </w:rPr>
              <w:t xml:space="preserve"> </w:t>
            </w:r>
            <w:r>
              <w:rPr>
                <w:sz w:val="18"/>
              </w:rPr>
              <w:t>(BPS,</w:t>
            </w:r>
            <w:r>
              <w:rPr>
                <w:spacing w:val="-2"/>
                <w:sz w:val="18"/>
              </w:rPr>
              <w:t xml:space="preserve"> </w:t>
            </w:r>
            <w:r>
              <w:rPr>
                <w:spacing w:val="-4"/>
                <w:sz w:val="18"/>
              </w:rPr>
              <w:t>2024)</w:t>
            </w:r>
          </w:p>
        </w:tc>
        <w:tc>
          <w:tcPr>
            <w:tcW w:w="2430" w:type="dxa"/>
            <w:tcBorders>
              <w:top w:val="single" w:sz="4" w:space="0" w:color="BEBEBE"/>
              <w:bottom w:val="single" w:sz="4" w:space="0" w:color="BEBEBE"/>
            </w:tcBorders>
          </w:tcPr>
          <w:p w14:paraId="61936386" w14:textId="77777777" w:rsidR="00BC24A8" w:rsidRDefault="00000000">
            <w:pPr>
              <w:pStyle w:val="TableParagraph"/>
              <w:spacing w:before="56"/>
              <w:ind w:right="81"/>
              <w:jc w:val="center"/>
              <w:rPr>
                <w:sz w:val="18"/>
              </w:rPr>
            </w:pPr>
            <w:r>
              <w:rPr>
                <w:spacing w:val="-4"/>
                <w:sz w:val="18"/>
              </w:rPr>
              <w:t>4,35</w:t>
            </w:r>
          </w:p>
        </w:tc>
      </w:tr>
      <w:tr w:rsidR="00BC24A8" w14:paraId="42A38DE9" w14:textId="77777777">
        <w:trPr>
          <w:trHeight w:val="333"/>
        </w:trPr>
        <w:tc>
          <w:tcPr>
            <w:tcW w:w="499" w:type="dxa"/>
          </w:tcPr>
          <w:p w14:paraId="2562D829"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5C0B5E75" w14:textId="77777777" w:rsidR="00BC24A8" w:rsidRDefault="00000000">
            <w:pPr>
              <w:pStyle w:val="TableParagraph"/>
              <w:tabs>
                <w:tab w:val="left" w:pos="540"/>
              </w:tabs>
              <w:spacing w:before="56"/>
              <w:ind w:left="108"/>
              <w:rPr>
                <w:sz w:val="18"/>
              </w:rPr>
            </w:pPr>
            <w:r>
              <w:rPr>
                <w:spacing w:val="-5"/>
                <w:sz w:val="18"/>
              </w:rPr>
              <w:t>c.</w:t>
            </w:r>
            <w:r>
              <w:rPr>
                <w:sz w:val="18"/>
              </w:rPr>
              <w:tab/>
              <w:t>Poverty</w:t>
            </w:r>
            <w:r>
              <w:rPr>
                <w:spacing w:val="-4"/>
                <w:sz w:val="18"/>
              </w:rPr>
              <w:t xml:space="preserve"> </w:t>
            </w:r>
            <w:r>
              <w:rPr>
                <w:sz w:val="18"/>
              </w:rPr>
              <w:t>Severity</w:t>
            </w:r>
            <w:r>
              <w:rPr>
                <w:spacing w:val="-3"/>
                <w:sz w:val="18"/>
              </w:rPr>
              <w:t xml:space="preserve"> </w:t>
            </w:r>
            <w:r>
              <w:rPr>
                <w:sz w:val="18"/>
              </w:rPr>
              <w:t>Index</w:t>
            </w:r>
            <w:r>
              <w:rPr>
                <w:spacing w:val="-3"/>
                <w:sz w:val="18"/>
              </w:rPr>
              <w:t xml:space="preserve"> </w:t>
            </w:r>
            <w:r>
              <w:rPr>
                <w:sz w:val="18"/>
              </w:rPr>
              <w:t>(BPS,</w:t>
            </w:r>
            <w:r>
              <w:rPr>
                <w:spacing w:val="-3"/>
                <w:sz w:val="18"/>
              </w:rPr>
              <w:t xml:space="preserve"> </w:t>
            </w:r>
            <w:r>
              <w:rPr>
                <w:spacing w:val="-2"/>
                <w:sz w:val="18"/>
              </w:rPr>
              <w:t>2024)</w:t>
            </w:r>
          </w:p>
        </w:tc>
        <w:tc>
          <w:tcPr>
            <w:tcW w:w="2430" w:type="dxa"/>
            <w:tcBorders>
              <w:top w:val="single" w:sz="4" w:space="0" w:color="BEBEBE"/>
              <w:bottom w:val="single" w:sz="4" w:space="0" w:color="BEBEBE"/>
            </w:tcBorders>
          </w:tcPr>
          <w:p w14:paraId="3B3385DF" w14:textId="77777777" w:rsidR="00BC24A8" w:rsidRDefault="00000000">
            <w:pPr>
              <w:pStyle w:val="TableParagraph"/>
              <w:spacing w:before="56"/>
              <w:ind w:right="81"/>
              <w:jc w:val="center"/>
              <w:rPr>
                <w:sz w:val="18"/>
              </w:rPr>
            </w:pPr>
            <w:r>
              <w:rPr>
                <w:spacing w:val="-4"/>
                <w:sz w:val="18"/>
              </w:rPr>
              <w:t>1,28</w:t>
            </w:r>
          </w:p>
        </w:tc>
      </w:tr>
      <w:tr w:rsidR="00BC24A8" w14:paraId="32D32E90" w14:textId="77777777">
        <w:trPr>
          <w:trHeight w:val="333"/>
        </w:trPr>
        <w:tc>
          <w:tcPr>
            <w:tcW w:w="499" w:type="dxa"/>
            <w:tcBorders>
              <w:bottom w:val="single" w:sz="4" w:space="0" w:color="BEBEBE"/>
            </w:tcBorders>
          </w:tcPr>
          <w:p w14:paraId="1787EB94" w14:textId="77777777" w:rsidR="00BC24A8" w:rsidRDefault="00BC24A8">
            <w:pPr>
              <w:pStyle w:val="TableParagraph"/>
              <w:rPr>
                <w:rFonts w:ascii="Times New Roman"/>
                <w:sz w:val="18"/>
              </w:rPr>
            </w:pPr>
          </w:p>
        </w:tc>
        <w:tc>
          <w:tcPr>
            <w:tcW w:w="6147" w:type="dxa"/>
            <w:tcBorders>
              <w:top w:val="single" w:sz="4" w:space="0" w:color="BEBEBE"/>
              <w:bottom w:val="single" w:sz="4" w:space="0" w:color="BEBEBE"/>
            </w:tcBorders>
          </w:tcPr>
          <w:p w14:paraId="54654EA0" w14:textId="77777777" w:rsidR="00BC24A8" w:rsidRDefault="00000000">
            <w:pPr>
              <w:pStyle w:val="TableParagraph"/>
              <w:tabs>
                <w:tab w:val="left" w:pos="540"/>
              </w:tabs>
              <w:spacing w:before="59"/>
              <w:ind w:left="108"/>
              <w:rPr>
                <w:sz w:val="18"/>
              </w:rPr>
            </w:pPr>
            <w:r>
              <w:rPr>
                <w:spacing w:val="-5"/>
                <w:sz w:val="18"/>
              </w:rPr>
              <w:t>d.</w:t>
            </w:r>
            <w:r>
              <w:rPr>
                <w:sz w:val="18"/>
              </w:rPr>
              <w:tab/>
              <w:t>Poverty</w:t>
            </w:r>
            <w:r>
              <w:rPr>
                <w:spacing w:val="-3"/>
                <w:sz w:val="18"/>
              </w:rPr>
              <w:t xml:space="preserve"> </w:t>
            </w:r>
            <w:r>
              <w:rPr>
                <w:sz w:val="18"/>
              </w:rPr>
              <w:t>Line</w:t>
            </w:r>
            <w:r>
              <w:rPr>
                <w:spacing w:val="-2"/>
                <w:sz w:val="18"/>
              </w:rPr>
              <w:t xml:space="preserve"> (rupiah/capita/month)</w:t>
            </w:r>
          </w:p>
        </w:tc>
        <w:tc>
          <w:tcPr>
            <w:tcW w:w="2430" w:type="dxa"/>
            <w:tcBorders>
              <w:top w:val="single" w:sz="4" w:space="0" w:color="BEBEBE"/>
              <w:bottom w:val="single" w:sz="4" w:space="0" w:color="BEBEBE"/>
            </w:tcBorders>
          </w:tcPr>
          <w:p w14:paraId="4D86435D" w14:textId="77777777" w:rsidR="00BC24A8" w:rsidRDefault="00000000">
            <w:pPr>
              <w:pStyle w:val="TableParagraph"/>
              <w:spacing w:before="59"/>
              <w:ind w:right="81"/>
              <w:jc w:val="center"/>
              <w:rPr>
                <w:sz w:val="18"/>
              </w:rPr>
            </w:pPr>
            <w:r>
              <w:rPr>
                <w:spacing w:val="-2"/>
                <w:sz w:val="18"/>
              </w:rPr>
              <w:t>793.804</w:t>
            </w:r>
          </w:p>
        </w:tc>
      </w:tr>
      <w:tr w:rsidR="00BC24A8" w14:paraId="45AECBF5" w14:textId="77777777">
        <w:trPr>
          <w:trHeight w:val="335"/>
        </w:trPr>
        <w:tc>
          <w:tcPr>
            <w:tcW w:w="499" w:type="dxa"/>
            <w:tcBorders>
              <w:top w:val="single" w:sz="4" w:space="0" w:color="BEBEBE"/>
              <w:bottom w:val="single" w:sz="4" w:space="0" w:color="BEBEBE"/>
            </w:tcBorders>
          </w:tcPr>
          <w:p w14:paraId="6AAE13BD" w14:textId="77777777" w:rsidR="00BC24A8" w:rsidRDefault="00000000">
            <w:pPr>
              <w:pStyle w:val="TableParagraph"/>
              <w:spacing w:before="59"/>
              <w:ind w:left="6"/>
              <w:jc w:val="center"/>
              <w:rPr>
                <w:sz w:val="18"/>
              </w:rPr>
            </w:pPr>
            <w:r>
              <w:rPr>
                <w:spacing w:val="-5"/>
                <w:sz w:val="18"/>
              </w:rPr>
              <w:t>9.</w:t>
            </w:r>
          </w:p>
        </w:tc>
        <w:tc>
          <w:tcPr>
            <w:tcW w:w="6147" w:type="dxa"/>
            <w:tcBorders>
              <w:top w:val="single" w:sz="4" w:space="0" w:color="BEBEBE"/>
              <w:bottom w:val="single" w:sz="4" w:space="0" w:color="BEBEBE"/>
            </w:tcBorders>
          </w:tcPr>
          <w:p w14:paraId="33383A2A" w14:textId="77777777" w:rsidR="00BC24A8" w:rsidRDefault="00000000">
            <w:pPr>
              <w:pStyle w:val="TableParagraph"/>
              <w:spacing w:before="59"/>
              <w:ind w:left="108"/>
              <w:rPr>
                <w:sz w:val="18"/>
              </w:rPr>
            </w:pPr>
            <w:r>
              <w:rPr>
                <w:sz w:val="18"/>
              </w:rPr>
              <w:t>Gini</w:t>
            </w:r>
            <w:r>
              <w:rPr>
                <w:spacing w:val="-3"/>
                <w:sz w:val="18"/>
              </w:rPr>
              <w:t xml:space="preserve"> </w:t>
            </w:r>
            <w:r>
              <w:rPr>
                <w:sz w:val="18"/>
              </w:rPr>
              <w:t>Coefficient</w:t>
            </w:r>
            <w:r>
              <w:rPr>
                <w:spacing w:val="-1"/>
                <w:sz w:val="18"/>
              </w:rPr>
              <w:t xml:space="preserve"> </w:t>
            </w:r>
            <w:r>
              <w:rPr>
                <w:sz w:val="18"/>
              </w:rPr>
              <w:t>(BPS,</w:t>
            </w:r>
            <w:r>
              <w:rPr>
                <w:spacing w:val="-2"/>
                <w:sz w:val="18"/>
              </w:rPr>
              <w:t xml:space="preserve"> 2024)</w:t>
            </w:r>
          </w:p>
        </w:tc>
        <w:tc>
          <w:tcPr>
            <w:tcW w:w="2430" w:type="dxa"/>
            <w:tcBorders>
              <w:top w:val="single" w:sz="4" w:space="0" w:color="BEBEBE"/>
              <w:bottom w:val="single" w:sz="4" w:space="0" w:color="BEBEBE"/>
            </w:tcBorders>
          </w:tcPr>
          <w:p w14:paraId="0F1C2471" w14:textId="77777777" w:rsidR="00BC24A8" w:rsidRDefault="00000000">
            <w:pPr>
              <w:pStyle w:val="TableParagraph"/>
              <w:spacing w:before="59"/>
              <w:ind w:right="81"/>
              <w:jc w:val="center"/>
              <w:rPr>
                <w:sz w:val="18"/>
              </w:rPr>
            </w:pPr>
            <w:r>
              <w:rPr>
                <w:spacing w:val="-2"/>
                <w:sz w:val="18"/>
              </w:rPr>
              <w:t>0,389</w:t>
            </w:r>
          </w:p>
        </w:tc>
      </w:tr>
      <w:tr w:rsidR="00BC24A8" w14:paraId="73783F71" w14:textId="77777777">
        <w:trPr>
          <w:trHeight w:val="364"/>
        </w:trPr>
        <w:tc>
          <w:tcPr>
            <w:tcW w:w="499" w:type="dxa"/>
            <w:tcBorders>
              <w:top w:val="single" w:sz="4" w:space="0" w:color="BEBEBE"/>
              <w:bottom w:val="single" w:sz="4" w:space="0" w:color="BEBEBE"/>
            </w:tcBorders>
          </w:tcPr>
          <w:p w14:paraId="5DD345BA" w14:textId="77777777" w:rsidR="00BC24A8" w:rsidRDefault="00000000">
            <w:pPr>
              <w:pStyle w:val="TableParagraph"/>
              <w:spacing w:before="56"/>
              <w:ind w:left="6"/>
              <w:jc w:val="center"/>
              <w:rPr>
                <w:sz w:val="18"/>
              </w:rPr>
            </w:pPr>
            <w:r>
              <w:rPr>
                <w:spacing w:val="-5"/>
                <w:sz w:val="18"/>
              </w:rPr>
              <w:t>10.</w:t>
            </w:r>
          </w:p>
        </w:tc>
        <w:tc>
          <w:tcPr>
            <w:tcW w:w="6147" w:type="dxa"/>
            <w:tcBorders>
              <w:top w:val="single" w:sz="4" w:space="0" w:color="BEBEBE"/>
              <w:bottom w:val="single" w:sz="4" w:space="0" w:color="BEBEBE"/>
            </w:tcBorders>
          </w:tcPr>
          <w:p w14:paraId="0D26D49A" w14:textId="77777777" w:rsidR="00BC24A8" w:rsidRDefault="00000000">
            <w:pPr>
              <w:pStyle w:val="TableParagraph"/>
              <w:spacing w:before="56"/>
              <w:ind w:left="108"/>
              <w:rPr>
                <w:sz w:val="18"/>
              </w:rPr>
            </w:pPr>
            <w:r>
              <w:rPr>
                <w:sz w:val="18"/>
              </w:rPr>
              <w:t>HDI</w:t>
            </w:r>
            <w:r>
              <w:rPr>
                <w:spacing w:val="-3"/>
                <w:sz w:val="18"/>
              </w:rPr>
              <w:t xml:space="preserve"> </w:t>
            </w:r>
            <w:r>
              <w:rPr>
                <w:sz w:val="18"/>
              </w:rPr>
              <w:t>(using</w:t>
            </w:r>
            <w:r>
              <w:rPr>
                <w:spacing w:val="-3"/>
                <w:sz w:val="18"/>
              </w:rPr>
              <w:t xml:space="preserve"> </w:t>
            </w:r>
            <w:r>
              <w:rPr>
                <w:sz w:val="18"/>
              </w:rPr>
              <w:t>Life</w:t>
            </w:r>
            <w:r>
              <w:rPr>
                <w:spacing w:val="-2"/>
                <w:sz w:val="18"/>
              </w:rPr>
              <w:t xml:space="preserve"> </w:t>
            </w:r>
            <w:r>
              <w:rPr>
                <w:sz w:val="18"/>
              </w:rPr>
              <w:t>Expectancy from</w:t>
            </w:r>
            <w:r>
              <w:rPr>
                <w:spacing w:val="-2"/>
                <w:sz w:val="18"/>
              </w:rPr>
              <w:t xml:space="preserve"> </w:t>
            </w:r>
            <w:r>
              <w:rPr>
                <w:sz w:val="18"/>
              </w:rPr>
              <w:t>SP2020 LF)</w:t>
            </w:r>
            <w:r>
              <w:rPr>
                <w:spacing w:val="-3"/>
                <w:sz w:val="18"/>
              </w:rPr>
              <w:t xml:space="preserve"> </w:t>
            </w:r>
            <w:r>
              <w:rPr>
                <w:sz w:val="18"/>
              </w:rPr>
              <w:t>(BPS,</w:t>
            </w:r>
            <w:r>
              <w:rPr>
                <w:spacing w:val="-2"/>
                <w:sz w:val="18"/>
              </w:rPr>
              <w:t xml:space="preserve"> 2023)</w:t>
            </w:r>
          </w:p>
        </w:tc>
        <w:tc>
          <w:tcPr>
            <w:tcW w:w="2430" w:type="dxa"/>
            <w:tcBorders>
              <w:top w:val="single" w:sz="4" w:space="0" w:color="BEBEBE"/>
              <w:bottom w:val="single" w:sz="4" w:space="0" w:color="BEBEBE"/>
            </w:tcBorders>
          </w:tcPr>
          <w:p w14:paraId="25B6DE3B" w14:textId="77777777" w:rsidR="00BC24A8" w:rsidRDefault="00000000">
            <w:pPr>
              <w:pStyle w:val="TableParagraph"/>
              <w:spacing w:before="56"/>
              <w:ind w:right="81"/>
              <w:jc w:val="center"/>
              <w:rPr>
                <w:sz w:val="18"/>
              </w:rPr>
            </w:pPr>
            <w:r>
              <w:rPr>
                <w:spacing w:val="-2"/>
                <w:sz w:val="18"/>
              </w:rPr>
              <w:t>67,47</w:t>
            </w:r>
          </w:p>
        </w:tc>
      </w:tr>
    </w:tbl>
    <w:p w14:paraId="6726D33A" w14:textId="77777777" w:rsidR="00BC24A8" w:rsidRDefault="00000000">
      <w:pPr>
        <w:spacing w:before="130"/>
        <w:ind w:left="143"/>
        <w:rPr>
          <w:sz w:val="16"/>
        </w:rPr>
      </w:pPr>
      <w:r>
        <w:rPr>
          <w:sz w:val="16"/>
        </w:rPr>
        <w:t>Data</w:t>
      </w:r>
      <w:r>
        <w:rPr>
          <w:spacing w:val="-10"/>
          <w:sz w:val="16"/>
        </w:rPr>
        <w:t xml:space="preserve"> </w:t>
      </w:r>
      <w:r>
        <w:rPr>
          <w:sz w:val="16"/>
        </w:rPr>
        <w:t>sources:</w:t>
      </w:r>
      <w:r>
        <w:rPr>
          <w:spacing w:val="-7"/>
          <w:sz w:val="16"/>
        </w:rPr>
        <w:t xml:space="preserve"> </w:t>
      </w:r>
      <w:r>
        <w:rPr>
          <w:sz w:val="16"/>
        </w:rPr>
        <w:t>BPS</w:t>
      </w:r>
      <w:r>
        <w:rPr>
          <w:spacing w:val="-9"/>
          <w:sz w:val="16"/>
        </w:rPr>
        <w:t xml:space="preserve"> </w:t>
      </w:r>
      <w:r>
        <w:rPr>
          <w:sz w:val="16"/>
        </w:rPr>
        <w:t>publications,</w:t>
      </w:r>
      <w:r>
        <w:rPr>
          <w:spacing w:val="-9"/>
          <w:sz w:val="16"/>
        </w:rPr>
        <w:t xml:space="preserve"> </w:t>
      </w:r>
      <w:r>
        <w:rPr>
          <w:sz w:val="16"/>
        </w:rPr>
        <w:t>Education</w:t>
      </w:r>
      <w:r>
        <w:rPr>
          <w:spacing w:val="-7"/>
          <w:sz w:val="16"/>
        </w:rPr>
        <w:t xml:space="preserve"> </w:t>
      </w:r>
      <w:r>
        <w:rPr>
          <w:sz w:val="16"/>
        </w:rPr>
        <w:t>Accounts,</w:t>
      </w:r>
      <w:r>
        <w:rPr>
          <w:spacing w:val="-9"/>
          <w:sz w:val="16"/>
        </w:rPr>
        <w:t xml:space="preserve"> </w:t>
      </w:r>
      <w:r>
        <w:rPr>
          <w:sz w:val="16"/>
        </w:rPr>
        <w:t>Indonesian</w:t>
      </w:r>
      <w:r>
        <w:rPr>
          <w:spacing w:val="-8"/>
          <w:sz w:val="16"/>
        </w:rPr>
        <w:t xml:space="preserve"> </w:t>
      </w:r>
      <w:r>
        <w:rPr>
          <w:sz w:val="16"/>
        </w:rPr>
        <w:t>Health</w:t>
      </w:r>
      <w:r>
        <w:rPr>
          <w:spacing w:val="-7"/>
          <w:sz w:val="16"/>
        </w:rPr>
        <w:t xml:space="preserve"> </w:t>
      </w:r>
      <w:r>
        <w:rPr>
          <w:spacing w:val="-2"/>
          <w:sz w:val="16"/>
        </w:rPr>
        <w:t>Survey</w:t>
      </w:r>
    </w:p>
    <w:p w14:paraId="5782379A" w14:textId="77777777" w:rsidR="00BC24A8" w:rsidRDefault="00BC24A8">
      <w:pPr>
        <w:rPr>
          <w:sz w:val="16"/>
        </w:rPr>
        <w:sectPr w:rsidR="00BC24A8">
          <w:pgSz w:w="11910" w:h="16840"/>
          <w:pgMar w:top="1320" w:right="850" w:bottom="1100" w:left="1275" w:header="0" w:footer="907" w:gutter="0"/>
          <w:cols w:space="720"/>
        </w:sectPr>
      </w:pPr>
    </w:p>
    <w:p w14:paraId="399BFF7D" w14:textId="77777777" w:rsidR="00BC24A8" w:rsidRDefault="00000000">
      <w:pPr>
        <w:pStyle w:val="Heading5"/>
        <w:spacing w:before="39"/>
      </w:pPr>
      <w:r>
        <w:rPr>
          <w:color w:val="767070"/>
        </w:rPr>
        <w:t>MSS</w:t>
      </w:r>
      <w:r>
        <w:rPr>
          <w:color w:val="767070"/>
          <w:spacing w:val="-11"/>
        </w:rPr>
        <w:t xml:space="preserve"> </w:t>
      </w:r>
      <w:r>
        <w:rPr>
          <w:color w:val="767070"/>
        </w:rPr>
        <w:t>Achievement</w:t>
      </w:r>
      <w:r>
        <w:rPr>
          <w:color w:val="767070"/>
          <w:spacing w:val="-10"/>
        </w:rPr>
        <w:t xml:space="preserve"> </w:t>
      </w:r>
      <w:r>
        <w:rPr>
          <w:color w:val="767070"/>
        </w:rPr>
        <w:t>Index,</w:t>
      </w:r>
      <w:r>
        <w:rPr>
          <w:color w:val="767070"/>
          <w:spacing w:val="-8"/>
        </w:rPr>
        <w:t xml:space="preserve"> </w:t>
      </w:r>
      <w:r>
        <w:rPr>
          <w:color w:val="767070"/>
        </w:rPr>
        <w:t>2022-</w:t>
      </w:r>
      <w:r>
        <w:rPr>
          <w:color w:val="767070"/>
          <w:spacing w:val="-4"/>
        </w:rPr>
        <w:t>2024</w:t>
      </w:r>
    </w:p>
    <w:p w14:paraId="30A53182" w14:textId="77777777" w:rsidR="00BC24A8" w:rsidRDefault="00BC24A8">
      <w:pPr>
        <w:pStyle w:val="BodyText"/>
        <w:spacing w:before="8"/>
        <w:rPr>
          <w:rFonts w:ascii="Calibri"/>
          <w:b/>
          <w:sz w:val="12"/>
        </w:rPr>
      </w:pPr>
    </w:p>
    <w:tbl>
      <w:tblPr>
        <w:tblW w:w="0" w:type="auto"/>
        <w:tblInd w:w="150" w:type="dxa"/>
        <w:tblLayout w:type="fixed"/>
        <w:tblCellMar>
          <w:left w:w="0" w:type="dxa"/>
          <w:right w:w="0" w:type="dxa"/>
        </w:tblCellMar>
        <w:tblLook w:val="01E0" w:firstRow="1" w:lastRow="1" w:firstColumn="1" w:lastColumn="1" w:noHBand="0" w:noVBand="0"/>
      </w:tblPr>
      <w:tblGrid>
        <w:gridCol w:w="2431"/>
        <w:gridCol w:w="1905"/>
        <w:gridCol w:w="2323"/>
        <w:gridCol w:w="2409"/>
      </w:tblGrid>
      <w:tr w:rsidR="00BC24A8" w14:paraId="4332426B" w14:textId="77777777">
        <w:trPr>
          <w:trHeight w:val="643"/>
        </w:trPr>
        <w:tc>
          <w:tcPr>
            <w:tcW w:w="2431" w:type="dxa"/>
            <w:shd w:val="clear" w:color="auto" w:fill="17365A"/>
          </w:tcPr>
          <w:p w14:paraId="4C690C90" w14:textId="77777777" w:rsidR="00BC24A8" w:rsidRDefault="00000000">
            <w:pPr>
              <w:pStyle w:val="TableParagraph"/>
              <w:spacing w:before="191"/>
              <w:ind w:left="107"/>
              <w:rPr>
                <w:rFonts w:ascii="Calibri"/>
                <w:b/>
                <w:sz w:val="20"/>
              </w:rPr>
            </w:pPr>
            <w:r>
              <w:rPr>
                <w:rFonts w:ascii="Calibri"/>
                <w:b/>
                <w:color w:val="FFFFFF"/>
                <w:spacing w:val="-2"/>
                <w:sz w:val="20"/>
              </w:rPr>
              <w:t>Sector</w:t>
            </w:r>
          </w:p>
        </w:tc>
        <w:tc>
          <w:tcPr>
            <w:tcW w:w="1905" w:type="dxa"/>
            <w:shd w:val="clear" w:color="auto" w:fill="17365A"/>
          </w:tcPr>
          <w:p w14:paraId="7513BCF6" w14:textId="77777777" w:rsidR="00BC24A8" w:rsidRDefault="00000000">
            <w:pPr>
              <w:pStyle w:val="TableParagraph"/>
              <w:spacing w:before="59" w:line="259" w:lineRule="auto"/>
              <w:ind w:left="338" w:right="192" w:hanging="140"/>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 Index 2022 (%)</w:t>
            </w:r>
          </w:p>
        </w:tc>
        <w:tc>
          <w:tcPr>
            <w:tcW w:w="2323" w:type="dxa"/>
            <w:shd w:val="clear" w:color="auto" w:fill="17365A"/>
          </w:tcPr>
          <w:p w14:paraId="1145229B" w14:textId="77777777" w:rsidR="00BC24A8" w:rsidRDefault="00000000">
            <w:pPr>
              <w:pStyle w:val="TableParagraph"/>
              <w:spacing w:before="59" w:line="259" w:lineRule="auto"/>
              <w:ind w:left="802" w:hanging="646"/>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w:t>
            </w:r>
            <w:r>
              <w:rPr>
                <w:rFonts w:ascii="Calibri"/>
                <w:b/>
                <w:color w:val="FFFFFF"/>
                <w:spacing w:val="-11"/>
                <w:sz w:val="20"/>
              </w:rPr>
              <w:t xml:space="preserve"> </w:t>
            </w:r>
            <w:r>
              <w:rPr>
                <w:rFonts w:ascii="Calibri"/>
                <w:b/>
                <w:color w:val="FFFFFF"/>
                <w:sz w:val="20"/>
              </w:rPr>
              <w:t>Index 2023 (%)</w:t>
            </w:r>
          </w:p>
        </w:tc>
        <w:tc>
          <w:tcPr>
            <w:tcW w:w="2409" w:type="dxa"/>
            <w:shd w:val="clear" w:color="auto" w:fill="17365A"/>
          </w:tcPr>
          <w:p w14:paraId="244D43E4" w14:textId="77777777" w:rsidR="00BC24A8" w:rsidRDefault="00000000">
            <w:pPr>
              <w:pStyle w:val="TableParagraph"/>
              <w:spacing w:before="59" w:line="259" w:lineRule="auto"/>
              <w:ind w:left="845" w:hanging="646"/>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w:t>
            </w:r>
            <w:r>
              <w:rPr>
                <w:rFonts w:ascii="Calibri"/>
                <w:b/>
                <w:color w:val="FFFFFF"/>
                <w:spacing w:val="-11"/>
                <w:sz w:val="20"/>
              </w:rPr>
              <w:t xml:space="preserve"> </w:t>
            </w:r>
            <w:r>
              <w:rPr>
                <w:rFonts w:ascii="Calibri"/>
                <w:b/>
                <w:color w:val="FFFFFF"/>
                <w:sz w:val="20"/>
              </w:rPr>
              <w:t>Index 2024 (%)</w:t>
            </w:r>
          </w:p>
        </w:tc>
      </w:tr>
      <w:tr w:rsidR="00BC24A8" w14:paraId="78E852D7" w14:textId="77777777">
        <w:trPr>
          <w:trHeight w:val="376"/>
        </w:trPr>
        <w:tc>
          <w:tcPr>
            <w:tcW w:w="2431" w:type="dxa"/>
            <w:tcBorders>
              <w:bottom w:val="single" w:sz="4" w:space="0" w:color="BEBEBE"/>
            </w:tcBorders>
          </w:tcPr>
          <w:p w14:paraId="7A2ACC5F" w14:textId="77777777" w:rsidR="00BC24A8" w:rsidRDefault="00000000">
            <w:pPr>
              <w:pStyle w:val="TableParagraph"/>
              <w:spacing w:before="102"/>
              <w:ind w:left="107"/>
              <w:rPr>
                <w:sz w:val="18"/>
              </w:rPr>
            </w:pPr>
            <w:r>
              <w:rPr>
                <w:spacing w:val="-2"/>
                <w:sz w:val="18"/>
              </w:rPr>
              <w:t>Education</w:t>
            </w:r>
          </w:p>
        </w:tc>
        <w:tc>
          <w:tcPr>
            <w:tcW w:w="1905" w:type="dxa"/>
            <w:tcBorders>
              <w:bottom w:val="single" w:sz="4" w:space="0" w:color="BEBEBE"/>
            </w:tcBorders>
          </w:tcPr>
          <w:p w14:paraId="56EF5FFB" w14:textId="77777777" w:rsidR="00BC24A8" w:rsidRDefault="00000000">
            <w:pPr>
              <w:pStyle w:val="TableParagraph"/>
              <w:spacing w:before="102"/>
              <w:ind w:left="1" w:right="2"/>
              <w:jc w:val="center"/>
              <w:rPr>
                <w:sz w:val="18"/>
              </w:rPr>
            </w:pPr>
            <w:r>
              <w:rPr>
                <w:spacing w:val="-10"/>
                <w:sz w:val="18"/>
              </w:rPr>
              <w:t>0</w:t>
            </w:r>
          </w:p>
        </w:tc>
        <w:tc>
          <w:tcPr>
            <w:tcW w:w="2323" w:type="dxa"/>
            <w:tcBorders>
              <w:bottom w:val="single" w:sz="4" w:space="0" w:color="BEBEBE"/>
            </w:tcBorders>
          </w:tcPr>
          <w:p w14:paraId="3842099C" w14:textId="77777777" w:rsidR="00BC24A8" w:rsidRDefault="00000000">
            <w:pPr>
              <w:pStyle w:val="TableParagraph"/>
              <w:spacing w:before="102"/>
              <w:ind w:left="2"/>
              <w:jc w:val="center"/>
              <w:rPr>
                <w:sz w:val="18"/>
              </w:rPr>
            </w:pPr>
            <w:r>
              <w:rPr>
                <w:spacing w:val="-4"/>
                <w:sz w:val="18"/>
              </w:rPr>
              <w:t>25,2</w:t>
            </w:r>
          </w:p>
        </w:tc>
        <w:tc>
          <w:tcPr>
            <w:tcW w:w="2409" w:type="dxa"/>
            <w:tcBorders>
              <w:bottom w:val="single" w:sz="4" w:space="0" w:color="BEBEBE"/>
            </w:tcBorders>
          </w:tcPr>
          <w:p w14:paraId="58776EF3" w14:textId="77777777" w:rsidR="00BC24A8" w:rsidRDefault="00000000">
            <w:pPr>
              <w:pStyle w:val="TableParagraph"/>
              <w:spacing w:before="102"/>
              <w:ind w:left="2"/>
              <w:jc w:val="center"/>
              <w:rPr>
                <w:sz w:val="18"/>
              </w:rPr>
            </w:pPr>
            <w:r>
              <w:rPr>
                <w:spacing w:val="-4"/>
                <w:sz w:val="18"/>
              </w:rPr>
              <w:t>62,9</w:t>
            </w:r>
          </w:p>
        </w:tc>
      </w:tr>
      <w:tr w:rsidR="00BC24A8" w14:paraId="493E09E7" w14:textId="77777777">
        <w:trPr>
          <w:trHeight w:val="333"/>
        </w:trPr>
        <w:tc>
          <w:tcPr>
            <w:tcW w:w="2431" w:type="dxa"/>
            <w:tcBorders>
              <w:top w:val="single" w:sz="4" w:space="0" w:color="BEBEBE"/>
              <w:bottom w:val="single" w:sz="4" w:space="0" w:color="BEBEBE"/>
            </w:tcBorders>
          </w:tcPr>
          <w:p w14:paraId="03BEF7E6" w14:textId="77777777" w:rsidR="00BC24A8" w:rsidRDefault="00000000">
            <w:pPr>
              <w:pStyle w:val="TableParagraph"/>
              <w:spacing w:before="59"/>
              <w:ind w:left="107"/>
              <w:rPr>
                <w:sz w:val="18"/>
              </w:rPr>
            </w:pPr>
            <w:r>
              <w:rPr>
                <w:spacing w:val="-2"/>
                <w:sz w:val="18"/>
              </w:rPr>
              <w:t>Health</w:t>
            </w:r>
          </w:p>
        </w:tc>
        <w:tc>
          <w:tcPr>
            <w:tcW w:w="1905" w:type="dxa"/>
            <w:tcBorders>
              <w:top w:val="single" w:sz="4" w:space="0" w:color="BEBEBE"/>
              <w:bottom w:val="single" w:sz="4" w:space="0" w:color="BEBEBE"/>
            </w:tcBorders>
          </w:tcPr>
          <w:p w14:paraId="5038D459" w14:textId="77777777" w:rsidR="00BC24A8" w:rsidRDefault="00000000">
            <w:pPr>
              <w:pStyle w:val="TableParagraph"/>
              <w:spacing w:before="59"/>
              <w:ind w:left="1" w:right="2"/>
              <w:jc w:val="center"/>
              <w:rPr>
                <w:sz w:val="18"/>
              </w:rPr>
            </w:pPr>
            <w:r>
              <w:rPr>
                <w:spacing w:val="-4"/>
                <w:sz w:val="18"/>
              </w:rPr>
              <w:t>11,1</w:t>
            </w:r>
          </w:p>
        </w:tc>
        <w:tc>
          <w:tcPr>
            <w:tcW w:w="2323" w:type="dxa"/>
            <w:tcBorders>
              <w:top w:val="single" w:sz="4" w:space="0" w:color="BEBEBE"/>
              <w:bottom w:val="single" w:sz="4" w:space="0" w:color="BEBEBE"/>
            </w:tcBorders>
          </w:tcPr>
          <w:p w14:paraId="2F37311A" w14:textId="77777777" w:rsidR="00BC24A8" w:rsidRDefault="00000000">
            <w:pPr>
              <w:pStyle w:val="TableParagraph"/>
              <w:spacing w:before="59"/>
              <w:ind w:left="2"/>
              <w:jc w:val="center"/>
              <w:rPr>
                <w:sz w:val="18"/>
              </w:rPr>
            </w:pPr>
            <w:r>
              <w:rPr>
                <w:spacing w:val="-4"/>
                <w:sz w:val="18"/>
              </w:rPr>
              <w:t>25,5</w:t>
            </w:r>
          </w:p>
        </w:tc>
        <w:tc>
          <w:tcPr>
            <w:tcW w:w="2409" w:type="dxa"/>
            <w:tcBorders>
              <w:top w:val="single" w:sz="4" w:space="0" w:color="BEBEBE"/>
              <w:bottom w:val="single" w:sz="4" w:space="0" w:color="BEBEBE"/>
            </w:tcBorders>
          </w:tcPr>
          <w:p w14:paraId="736372F5" w14:textId="77777777" w:rsidR="00BC24A8" w:rsidRDefault="00000000">
            <w:pPr>
              <w:pStyle w:val="TableParagraph"/>
              <w:spacing w:before="59"/>
              <w:ind w:left="2"/>
              <w:jc w:val="center"/>
              <w:rPr>
                <w:sz w:val="18"/>
              </w:rPr>
            </w:pPr>
            <w:r>
              <w:rPr>
                <w:spacing w:val="-4"/>
                <w:sz w:val="18"/>
              </w:rPr>
              <w:t>63,3</w:t>
            </w:r>
          </w:p>
        </w:tc>
      </w:tr>
      <w:tr w:rsidR="00BC24A8" w14:paraId="3B9B2AF3" w14:textId="77777777">
        <w:trPr>
          <w:trHeight w:val="335"/>
        </w:trPr>
        <w:tc>
          <w:tcPr>
            <w:tcW w:w="2431" w:type="dxa"/>
            <w:tcBorders>
              <w:top w:val="single" w:sz="4" w:space="0" w:color="BEBEBE"/>
              <w:bottom w:val="single" w:sz="4" w:space="0" w:color="BEBEBE"/>
            </w:tcBorders>
          </w:tcPr>
          <w:p w14:paraId="6C0EC825" w14:textId="77777777" w:rsidR="00BC24A8" w:rsidRDefault="00000000">
            <w:pPr>
              <w:pStyle w:val="TableParagraph"/>
              <w:spacing w:before="59"/>
              <w:ind w:left="107"/>
              <w:rPr>
                <w:sz w:val="18"/>
              </w:rPr>
            </w:pPr>
            <w:r>
              <w:rPr>
                <w:sz w:val="18"/>
              </w:rPr>
              <w:t xml:space="preserve">Social </w:t>
            </w:r>
            <w:r>
              <w:rPr>
                <w:spacing w:val="-2"/>
                <w:sz w:val="18"/>
              </w:rPr>
              <w:t>Affairs</w:t>
            </w:r>
          </w:p>
        </w:tc>
        <w:tc>
          <w:tcPr>
            <w:tcW w:w="1905" w:type="dxa"/>
            <w:tcBorders>
              <w:top w:val="single" w:sz="4" w:space="0" w:color="BEBEBE"/>
              <w:bottom w:val="single" w:sz="4" w:space="0" w:color="BEBEBE"/>
            </w:tcBorders>
          </w:tcPr>
          <w:p w14:paraId="0E211C7F" w14:textId="77777777" w:rsidR="00BC24A8" w:rsidRDefault="00000000">
            <w:pPr>
              <w:pStyle w:val="TableParagraph"/>
              <w:spacing w:before="59"/>
              <w:ind w:right="2"/>
              <w:jc w:val="center"/>
              <w:rPr>
                <w:sz w:val="18"/>
              </w:rPr>
            </w:pPr>
            <w:r>
              <w:rPr>
                <w:spacing w:val="-5"/>
                <w:sz w:val="18"/>
              </w:rPr>
              <w:t>1,1</w:t>
            </w:r>
          </w:p>
        </w:tc>
        <w:tc>
          <w:tcPr>
            <w:tcW w:w="2323" w:type="dxa"/>
            <w:tcBorders>
              <w:top w:val="single" w:sz="4" w:space="0" w:color="BEBEBE"/>
              <w:bottom w:val="single" w:sz="4" w:space="0" w:color="BEBEBE"/>
            </w:tcBorders>
          </w:tcPr>
          <w:p w14:paraId="274EDABA" w14:textId="77777777" w:rsidR="00BC24A8" w:rsidRDefault="00000000">
            <w:pPr>
              <w:pStyle w:val="TableParagraph"/>
              <w:spacing w:before="59"/>
              <w:ind w:left="2" w:right="2"/>
              <w:jc w:val="center"/>
              <w:rPr>
                <w:sz w:val="18"/>
              </w:rPr>
            </w:pPr>
            <w:r>
              <w:rPr>
                <w:spacing w:val="-5"/>
                <w:sz w:val="18"/>
              </w:rPr>
              <w:t>7,8</w:t>
            </w:r>
          </w:p>
        </w:tc>
        <w:tc>
          <w:tcPr>
            <w:tcW w:w="2409" w:type="dxa"/>
            <w:tcBorders>
              <w:top w:val="single" w:sz="4" w:space="0" w:color="BEBEBE"/>
              <w:bottom w:val="single" w:sz="4" w:space="0" w:color="BEBEBE"/>
            </w:tcBorders>
          </w:tcPr>
          <w:p w14:paraId="1729D9F4" w14:textId="77777777" w:rsidR="00BC24A8" w:rsidRDefault="00000000">
            <w:pPr>
              <w:pStyle w:val="TableParagraph"/>
              <w:spacing w:before="59"/>
              <w:ind w:left="2"/>
              <w:jc w:val="center"/>
              <w:rPr>
                <w:sz w:val="18"/>
              </w:rPr>
            </w:pPr>
            <w:r>
              <w:rPr>
                <w:spacing w:val="-4"/>
                <w:sz w:val="18"/>
              </w:rPr>
              <w:t>62,5</w:t>
            </w:r>
          </w:p>
        </w:tc>
      </w:tr>
      <w:tr w:rsidR="00BC24A8" w14:paraId="71E03140" w14:textId="77777777">
        <w:trPr>
          <w:trHeight w:val="333"/>
        </w:trPr>
        <w:tc>
          <w:tcPr>
            <w:tcW w:w="2431" w:type="dxa"/>
            <w:tcBorders>
              <w:top w:val="single" w:sz="4" w:space="0" w:color="BEBEBE"/>
              <w:bottom w:val="single" w:sz="4" w:space="0" w:color="BEBEBE"/>
            </w:tcBorders>
          </w:tcPr>
          <w:p w14:paraId="4ACB86CA" w14:textId="77777777" w:rsidR="00BC24A8" w:rsidRDefault="00000000">
            <w:pPr>
              <w:pStyle w:val="TableParagraph"/>
              <w:spacing w:before="56"/>
              <w:ind w:left="107"/>
              <w:rPr>
                <w:sz w:val="18"/>
              </w:rPr>
            </w:pPr>
            <w:r>
              <w:rPr>
                <w:sz w:val="18"/>
              </w:rPr>
              <w:t>Public</w:t>
            </w:r>
            <w:r>
              <w:rPr>
                <w:spacing w:val="-1"/>
                <w:sz w:val="18"/>
              </w:rPr>
              <w:t xml:space="preserve"> </w:t>
            </w:r>
            <w:r>
              <w:rPr>
                <w:spacing w:val="-2"/>
                <w:sz w:val="18"/>
              </w:rPr>
              <w:t>Works</w:t>
            </w:r>
          </w:p>
        </w:tc>
        <w:tc>
          <w:tcPr>
            <w:tcW w:w="1905" w:type="dxa"/>
            <w:tcBorders>
              <w:top w:val="single" w:sz="4" w:space="0" w:color="BEBEBE"/>
              <w:bottom w:val="single" w:sz="4" w:space="0" w:color="BEBEBE"/>
            </w:tcBorders>
          </w:tcPr>
          <w:p w14:paraId="7CFEDD67" w14:textId="77777777" w:rsidR="00BC24A8" w:rsidRDefault="00000000">
            <w:pPr>
              <w:pStyle w:val="TableParagraph"/>
              <w:spacing w:before="56"/>
              <w:ind w:right="2"/>
              <w:jc w:val="center"/>
              <w:rPr>
                <w:sz w:val="18"/>
              </w:rPr>
            </w:pPr>
            <w:r>
              <w:rPr>
                <w:spacing w:val="-5"/>
                <w:sz w:val="18"/>
              </w:rPr>
              <w:t>0,0</w:t>
            </w:r>
          </w:p>
        </w:tc>
        <w:tc>
          <w:tcPr>
            <w:tcW w:w="2323" w:type="dxa"/>
            <w:tcBorders>
              <w:top w:val="single" w:sz="4" w:space="0" w:color="BEBEBE"/>
              <w:bottom w:val="single" w:sz="4" w:space="0" w:color="BEBEBE"/>
            </w:tcBorders>
          </w:tcPr>
          <w:p w14:paraId="5880B971" w14:textId="77777777" w:rsidR="00BC24A8" w:rsidRDefault="00000000">
            <w:pPr>
              <w:pStyle w:val="TableParagraph"/>
              <w:spacing w:before="56"/>
              <w:ind w:left="2"/>
              <w:jc w:val="center"/>
              <w:rPr>
                <w:sz w:val="18"/>
              </w:rPr>
            </w:pPr>
            <w:r>
              <w:rPr>
                <w:spacing w:val="-4"/>
                <w:sz w:val="18"/>
              </w:rPr>
              <w:t>20,3</w:t>
            </w:r>
          </w:p>
        </w:tc>
        <w:tc>
          <w:tcPr>
            <w:tcW w:w="2409" w:type="dxa"/>
            <w:tcBorders>
              <w:top w:val="single" w:sz="4" w:space="0" w:color="BEBEBE"/>
              <w:bottom w:val="single" w:sz="4" w:space="0" w:color="BEBEBE"/>
            </w:tcBorders>
          </w:tcPr>
          <w:p w14:paraId="5D571C29" w14:textId="77777777" w:rsidR="00BC24A8" w:rsidRDefault="00000000">
            <w:pPr>
              <w:pStyle w:val="TableParagraph"/>
              <w:spacing w:before="56"/>
              <w:ind w:left="2"/>
              <w:jc w:val="center"/>
              <w:rPr>
                <w:sz w:val="18"/>
              </w:rPr>
            </w:pPr>
            <w:r>
              <w:rPr>
                <w:spacing w:val="-4"/>
                <w:sz w:val="18"/>
              </w:rPr>
              <w:t>56,1</w:t>
            </w:r>
          </w:p>
        </w:tc>
      </w:tr>
      <w:tr w:rsidR="00BC24A8" w14:paraId="4F1AA21D" w14:textId="77777777">
        <w:trPr>
          <w:trHeight w:val="333"/>
        </w:trPr>
        <w:tc>
          <w:tcPr>
            <w:tcW w:w="2431" w:type="dxa"/>
            <w:tcBorders>
              <w:top w:val="single" w:sz="4" w:space="0" w:color="BEBEBE"/>
              <w:bottom w:val="single" w:sz="4" w:space="0" w:color="BEBEBE"/>
            </w:tcBorders>
          </w:tcPr>
          <w:p w14:paraId="40CE54B8" w14:textId="77777777" w:rsidR="00BC24A8" w:rsidRDefault="00000000">
            <w:pPr>
              <w:pStyle w:val="TableParagraph"/>
              <w:spacing w:before="56"/>
              <w:ind w:left="107"/>
              <w:rPr>
                <w:sz w:val="18"/>
              </w:rPr>
            </w:pPr>
            <w:r>
              <w:rPr>
                <w:sz w:val="18"/>
              </w:rPr>
              <w:t>Public</w:t>
            </w:r>
            <w:r>
              <w:rPr>
                <w:spacing w:val="-1"/>
                <w:sz w:val="18"/>
              </w:rPr>
              <w:t xml:space="preserve"> </w:t>
            </w:r>
            <w:r>
              <w:rPr>
                <w:spacing w:val="-2"/>
                <w:sz w:val="18"/>
              </w:rPr>
              <w:t>Housing</w:t>
            </w:r>
          </w:p>
        </w:tc>
        <w:tc>
          <w:tcPr>
            <w:tcW w:w="1905" w:type="dxa"/>
            <w:tcBorders>
              <w:top w:val="single" w:sz="4" w:space="0" w:color="BEBEBE"/>
              <w:bottom w:val="single" w:sz="4" w:space="0" w:color="BEBEBE"/>
            </w:tcBorders>
          </w:tcPr>
          <w:p w14:paraId="4694E30C" w14:textId="77777777" w:rsidR="00BC24A8" w:rsidRDefault="00000000">
            <w:pPr>
              <w:pStyle w:val="TableParagraph"/>
              <w:spacing w:before="56"/>
              <w:ind w:right="2"/>
              <w:jc w:val="center"/>
              <w:rPr>
                <w:sz w:val="18"/>
              </w:rPr>
            </w:pPr>
            <w:r>
              <w:rPr>
                <w:spacing w:val="-5"/>
                <w:sz w:val="18"/>
              </w:rPr>
              <w:t>0,0</w:t>
            </w:r>
          </w:p>
        </w:tc>
        <w:tc>
          <w:tcPr>
            <w:tcW w:w="2323" w:type="dxa"/>
            <w:tcBorders>
              <w:top w:val="single" w:sz="4" w:space="0" w:color="BEBEBE"/>
              <w:bottom w:val="single" w:sz="4" w:space="0" w:color="BEBEBE"/>
            </w:tcBorders>
          </w:tcPr>
          <w:p w14:paraId="58D712C8" w14:textId="77777777" w:rsidR="00BC24A8" w:rsidRDefault="00000000">
            <w:pPr>
              <w:pStyle w:val="TableParagraph"/>
              <w:spacing w:before="56"/>
              <w:ind w:left="2" w:right="2"/>
              <w:jc w:val="center"/>
              <w:rPr>
                <w:sz w:val="18"/>
              </w:rPr>
            </w:pPr>
            <w:r>
              <w:rPr>
                <w:spacing w:val="-5"/>
                <w:sz w:val="18"/>
              </w:rPr>
              <w:t>9,2</w:t>
            </w:r>
          </w:p>
        </w:tc>
        <w:tc>
          <w:tcPr>
            <w:tcW w:w="2409" w:type="dxa"/>
            <w:tcBorders>
              <w:top w:val="single" w:sz="4" w:space="0" w:color="BEBEBE"/>
              <w:bottom w:val="single" w:sz="4" w:space="0" w:color="BEBEBE"/>
            </w:tcBorders>
          </w:tcPr>
          <w:p w14:paraId="4DF8712D" w14:textId="77777777" w:rsidR="00BC24A8" w:rsidRDefault="00000000">
            <w:pPr>
              <w:pStyle w:val="TableParagraph"/>
              <w:spacing w:before="56"/>
              <w:ind w:left="2"/>
              <w:jc w:val="center"/>
              <w:rPr>
                <w:sz w:val="18"/>
              </w:rPr>
            </w:pPr>
            <w:r>
              <w:rPr>
                <w:spacing w:val="-4"/>
                <w:sz w:val="18"/>
              </w:rPr>
              <w:t>46,1</w:t>
            </w:r>
          </w:p>
        </w:tc>
      </w:tr>
      <w:tr w:rsidR="00BC24A8" w14:paraId="08956B48" w14:textId="77777777">
        <w:trPr>
          <w:trHeight w:val="597"/>
        </w:trPr>
        <w:tc>
          <w:tcPr>
            <w:tcW w:w="2431" w:type="dxa"/>
            <w:tcBorders>
              <w:top w:val="single" w:sz="4" w:space="0" w:color="BEBEBE"/>
            </w:tcBorders>
          </w:tcPr>
          <w:p w14:paraId="4BCA1969" w14:textId="77777777" w:rsidR="00BC24A8" w:rsidRDefault="00000000">
            <w:pPr>
              <w:pStyle w:val="TableParagraph"/>
              <w:spacing w:before="59"/>
              <w:ind w:left="107"/>
              <w:rPr>
                <w:sz w:val="18"/>
              </w:rPr>
            </w:pPr>
            <w:r>
              <w:rPr>
                <w:sz w:val="18"/>
              </w:rPr>
              <w:t>Public Order and Community Protection</w:t>
            </w:r>
            <w:r>
              <w:rPr>
                <w:spacing w:val="-3"/>
                <w:sz w:val="18"/>
              </w:rPr>
              <w:t xml:space="preserve"> </w:t>
            </w:r>
            <w:r>
              <w:rPr>
                <w:spacing w:val="-2"/>
                <w:sz w:val="18"/>
              </w:rPr>
              <w:t>(Trantibumlinmas)</w:t>
            </w:r>
          </w:p>
        </w:tc>
        <w:tc>
          <w:tcPr>
            <w:tcW w:w="1905" w:type="dxa"/>
            <w:tcBorders>
              <w:top w:val="single" w:sz="4" w:space="0" w:color="BEBEBE"/>
            </w:tcBorders>
          </w:tcPr>
          <w:p w14:paraId="233DBA0C" w14:textId="77777777" w:rsidR="00BC24A8" w:rsidRDefault="00000000">
            <w:pPr>
              <w:pStyle w:val="TableParagraph"/>
              <w:spacing w:before="59"/>
              <w:ind w:right="2"/>
              <w:jc w:val="center"/>
              <w:rPr>
                <w:sz w:val="18"/>
              </w:rPr>
            </w:pPr>
            <w:r>
              <w:rPr>
                <w:spacing w:val="-5"/>
                <w:sz w:val="18"/>
              </w:rPr>
              <w:t>0,0</w:t>
            </w:r>
          </w:p>
        </w:tc>
        <w:tc>
          <w:tcPr>
            <w:tcW w:w="2323" w:type="dxa"/>
            <w:tcBorders>
              <w:top w:val="single" w:sz="4" w:space="0" w:color="BEBEBE"/>
            </w:tcBorders>
          </w:tcPr>
          <w:p w14:paraId="12171D3A" w14:textId="77777777" w:rsidR="00BC24A8" w:rsidRDefault="00000000">
            <w:pPr>
              <w:pStyle w:val="TableParagraph"/>
              <w:spacing w:before="59"/>
              <w:ind w:left="2"/>
              <w:jc w:val="center"/>
              <w:rPr>
                <w:sz w:val="18"/>
              </w:rPr>
            </w:pPr>
            <w:r>
              <w:rPr>
                <w:spacing w:val="-4"/>
                <w:sz w:val="18"/>
              </w:rPr>
              <w:t>21,3</w:t>
            </w:r>
          </w:p>
        </w:tc>
        <w:tc>
          <w:tcPr>
            <w:tcW w:w="2409" w:type="dxa"/>
            <w:tcBorders>
              <w:top w:val="single" w:sz="4" w:space="0" w:color="BEBEBE"/>
            </w:tcBorders>
          </w:tcPr>
          <w:p w14:paraId="1BC8FCC2" w14:textId="77777777" w:rsidR="00BC24A8" w:rsidRDefault="00000000">
            <w:pPr>
              <w:pStyle w:val="TableParagraph"/>
              <w:spacing w:before="59"/>
              <w:ind w:left="2"/>
              <w:jc w:val="center"/>
              <w:rPr>
                <w:sz w:val="18"/>
              </w:rPr>
            </w:pPr>
            <w:r>
              <w:rPr>
                <w:spacing w:val="-4"/>
                <w:sz w:val="18"/>
              </w:rPr>
              <w:t>77,6</w:t>
            </w:r>
          </w:p>
        </w:tc>
      </w:tr>
      <w:tr w:rsidR="00BC24A8" w14:paraId="36A45A59" w14:textId="77777777">
        <w:trPr>
          <w:trHeight w:val="395"/>
        </w:trPr>
        <w:tc>
          <w:tcPr>
            <w:tcW w:w="2431" w:type="dxa"/>
            <w:tcBorders>
              <w:bottom w:val="single" w:sz="4" w:space="0" w:color="BEBEBE"/>
              <w:right w:val="single" w:sz="18" w:space="0" w:color="FFFFFF"/>
            </w:tcBorders>
            <w:shd w:val="clear" w:color="auto" w:fill="A7A9AC"/>
          </w:tcPr>
          <w:p w14:paraId="67416399" w14:textId="77777777" w:rsidR="00BC24A8" w:rsidRDefault="00000000">
            <w:pPr>
              <w:pStyle w:val="TableParagraph"/>
              <w:spacing w:before="119"/>
              <w:ind w:left="107"/>
              <w:rPr>
                <w:rFonts w:ascii="Calibri"/>
                <w:b/>
                <w:sz w:val="18"/>
              </w:rPr>
            </w:pPr>
            <w:r w:rsidRPr="00795364">
              <w:rPr>
                <w:rFonts w:ascii="Calibri"/>
                <w:b/>
                <w:color w:val="383838"/>
                <w:sz w:val="18"/>
              </w:rPr>
              <w:t>Papua</w:t>
            </w:r>
            <w:r w:rsidRPr="00795364">
              <w:rPr>
                <w:rFonts w:ascii="Calibri"/>
                <w:b/>
                <w:color w:val="383838"/>
                <w:spacing w:val="-5"/>
                <w:sz w:val="18"/>
              </w:rPr>
              <w:t xml:space="preserve"> </w:t>
            </w:r>
            <w:r w:rsidRPr="00795364">
              <w:rPr>
                <w:rFonts w:ascii="Calibri"/>
                <w:b/>
                <w:color w:val="383838"/>
                <w:spacing w:val="-2"/>
                <w:sz w:val="18"/>
              </w:rPr>
              <w:t>Barat</w:t>
            </w:r>
          </w:p>
        </w:tc>
        <w:tc>
          <w:tcPr>
            <w:tcW w:w="1905" w:type="dxa"/>
            <w:tcBorders>
              <w:left w:val="single" w:sz="18" w:space="0" w:color="FFFFFF"/>
              <w:bottom w:val="single" w:sz="4" w:space="0" w:color="BEBEBE"/>
              <w:right w:val="single" w:sz="18" w:space="0" w:color="FFFFFF"/>
            </w:tcBorders>
            <w:shd w:val="clear" w:color="auto" w:fill="A7A9AC"/>
          </w:tcPr>
          <w:p w14:paraId="5296D87F" w14:textId="77777777" w:rsidR="00BC24A8" w:rsidRDefault="00000000">
            <w:pPr>
              <w:pStyle w:val="TableParagraph"/>
              <w:spacing w:before="59"/>
              <w:ind w:right="1"/>
              <w:jc w:val="center"/>
              <w:rPr>
                <w:rFonts w:ascii="Calibri"/>
                <w:b/>
                <w:sz w:val="18"/>
              </w:rPr>
            </w:pPr>
            <w:r w:rsidRPr="00795364">
              <w:rPr>
                <w:rFonts w:ascii="Calibri"/>
                <w:b/>
                <w:color w:val="383838"/>
                <w:spacing w:val="-4"/>
                <w:sz w:val="18"/>
              </w:rPr>
              <w:t>2.03</w:t>
            </w:r>
          </w:p>
        </w:tc>
        <w:tc>
          <w:tcPr>
            <w:tcW w:w="2323" w:type="dxa"/>
            <w:tcBorders>
              <w:left w:val="single" w:sz="18" w:space="0" w:color="FFFFFF"/>
              <w:bottom w:val="single" w:sz="4" w:space="0" w:color="BEBEBE"/>
              <w:right w:val="single" w:sz="18" w:space="0" w:color="FFFFFF"/>
            </w:tcBorders>
            <w:shd w:val="clear" w:color="auto" w:fill="A7A9AC"/>
          </w:tcPr>
          <w:p w14:paraId="7FFC59E6" w14:textId="77777777" w:rsidR="00BC24A8" w:rsidRDefault="00000000">
            <w:pPr>
              <w:pStyle w:val="TableParagraph"/>
              <w:spacing w:before="59"/>
              <w:ind w:left="2"/>
              <w:jc w:val="center"/>
              <w:rPr>
                <w:rFonts w:ascii="Calibri"/>
                <w:b/>
                <w:sz w:val="18"/>
              </w:rPr>
            </w:pPr>
            <w:r w:rsidRPr="00795364">
              <w:rPr>
                <w:rFonts w:ascii="Calibri"/>
                <w:b/>
                <w:color w:val="000000"/>
                <w:spacing w:val="-2"/>
                <w:sz w:val="18"/>
              </w:rPr>
              <w:t>18.22</w:t>
            </w:r>
          </w:p>
        </w:tc>
        <w:tc>
          <w:tcPr>
            <w:tcW w:w="2409" w:type="dxa"/>
            <w:tcBorders>
              <w:left w:val="single" w:sz="18" w:space="0" w:color="FFFFFF"/>
              <w:bottom w:val="single" w:sz="4" w:space="0" w:color="BEBEBE"/>
            </w:tcBorders>
            <w:shd w:val="clear" w:color="auto" w:fill="A7A9AC"/>
          </w:tcPr>
          <w:p w14:paraId="0F11BDA0" w14:textId="77777777" w:rsidR="00BC24A8" w:rsidRDefault="00000000">
            <w:pPr>
              <w:pStyle w:val="TableParagraph"/>
              <w:spacing w:before="59"/>
              <w:ind w:right="17"/>
              <w:jc w:val="center"/>
              <w:rPr>
                <w:rFonts w:ascii="Calibri"/>
                <w:b/>
                <w:sz w:val="18"/>
              </w:rPr>
            </w:pPr>
            <w:r w:rsidRPr="00795364">
              <w:rPr>
                <w:rFonts w:ascii="Calibri"/>
                <w:b/>
                <w:color w:val="000000"/>
                <w:spacing w:val="-2"/>
                <w:sz w:val="18"/>
              </w:rPr>
              <w:t>61.42</w:t>
            </w:r>
          </w:p>
        </w:tc>
      </w:tr>
    </w:tbl>
    <w:p w14:paraId="5A2ADD26" w14:textId="77777777" w:rsidR="00BC24A8" w:rsidRDefault="00000000">
      <w:pPr>
        <w:spacing w:before="126"/>
        <w:ind w:left="143"/>
        <w:rPr>
          <w:sz w:val="16"/>
        </w:rPr>
      </w:pPr>
      <w:r>
        <w:rPr>
          <w:spacing w:val="-2"/>
          <w:sz w:val="16"/>
        </w:rPr>
        <w:t>Data</w:t>
      </w:r>
      <w:r>
        <w:rPr>
          <w:spacing w:val="7"/>
          <w:sz w:val="16"/>
        </w:rPr>
        <w:t xml:space="preserve"> </w:t>
      </w:r>
      <w:r>
        <w:rPr>
          <w:spacing w:val="-2"/>
          <w:sz w:val="16"/>
        </w:rPr>
        <w:t>Source:</w:t>
      </w:r>
      <w:r>
        <w:rPr>
          <w:spacing w:val="7"/>
          <w:sz w:val="16"/>
        </w:rPr>
        <w:t xml:space="preserve"> </w:t>
      </w:r>
      <w:r>
        <w:rPr>
          <w:spacing w:val="-2"/>
          <w:sz w:val="16"/>
        </w:rPr>
        <w:t>https://spm.bangda.kemendagri.go.id/publikasi</w:t>
      </w:r>
      <w:r>
        <w:rPr>
          <w:spacing w:val="8"/>
          <w:sz w:val="16"/>
        </w:rPr>
        <w:t xml:space="preserve"> </w:t>
      </w:r>
      <w:r>
        <w:rPr>
          <w:spacing w:val="-2"/>
          <w:sz w:val="16"/>
        </w:rPr>
        <w:t>(Average</w:t>
      </w:r>
      <w:r>
        <w:rPr>
          <w:spacing w:val="6"/>
          <w:sz w:val="16"/>
        </w:rPr>
        <w:t xml:space="preserve"> </w:t>
      </w:r>
      <w:r>
        <w:rPr>
          <w:spacing w:val="-2"/>
          <w:sz w:val="16"/>
        </w:rPr>
        <w:t>in</w:t>
      </w:r>
      <w:r>
        <w:rPr>
          <w:spacing w:val="8"/>
          <w:sz w:val="16"/>
        </w:rPr>
        <w:t xml:space="preserve"> </w:t>
      </w:r>
      <w:r>
        <w:rPr>
          <w:spacing w:val="-2"/>
          <w:sz w:val="16"/>
        </w:rPr>
        <w:t>the</w:t>
      </w:r>
      <w:r>
        <w:rPr>
          <w:spacing w:val="6"/>
          <w:sz w:val="16"/>
        </w:rPr>
        <w:t xml:space="preserve"> </w:t>
      </w:r>
      <w:r>
        <w:rPr>
          <w:spacing w:val="-2"/>
          <w:sz w:val="16"/>
        </w:rPr>
        <w:t>fourth</w:t>
      </w:r>
      <w:r>
        <w:rPr>
          <w:spacing w:val="7"/>
          <w:sz w:val="16"/>
        </w:rPr>
        <w:t xml:space="preserve"> </w:t>
      </w:r>
      <w:r>
        <w:rPr>
          <w:spacing w:val="-2"/>
          <w:sz w:val="16"/>
        </w:rPr>
        <w:t>quarter</w:t>
      </w:r>
      <w:r>
        <w:rPr>
          <w:spacing w:val="7"/>
          <w:sz w:val="16"/>
        </w:rPr>
        <w:t xml:space="preserve"> </w:t>
      </w:r>
      <w:r>
        <w:rPr>
          <w:spacing w:val="-2"/>
          <w:sz w:val="16"/>
        </w:rPr>
        <w:t>of</w:t>
      </w:r>
      <w:r>
        <w:rPr>
          <w:spacing w:val="6"/>
          <w:sz w:val="16"/>
        </w:rPr>
        <w:t xml:space="preserve"> </w:t>
      </w:r>
      <w:r>
        <w:rPr>
          <w:spacing w:val="-2"/>
          <w:sz w:val="16"/>
        </w:rPr>
        <w:t>each</w:t>
      </w:r>
      <w:r>
        <w:rPr>
          <w:spacing w:val="7"/>
          <w:sz w:val="16"/>
        </w:rPr>
        <w:t xml:space="preserve"> </w:t>
      </w:r>
      <w:r>
        <w:rPr>
          <w:spacing w:val="-2"/>
          <w:sz w:val="16"/>
        </w:rPr>
        <w:t>year)</w:t>
      </w:r>
    </w:p>
    <w:p w14:paraId="3972EC52" w14:textId="77777777" w:rsidR="00BC24A8" w:rsidRDefault="00BC24A8">
      <w:pPr>
        <w:pStyle w:val="BodyText"/>
        <w:rPr>
          <w:sz w:val="16"/>
        </w:rPr>
      </w:pPr>
    </w:p>
    <w:p w14:paraId="08E0E6C0" w14:textId="77777777" w:rsidR="00BC24A8" w:rsidRDefault="00BC24A8">
      <w:pPr>
        <w:pStyle w:val="BodyText"/>
        <w:spacing w:before="111"/>
        <w:rPr>
          <w:sz w:val="16"/>
        </w:rPr>
      </w:pPr>
    </w:p>
    <w:p w14:paraId="370108E0" w14:textId="77777777" w:rsidR="00BC24A8" w:rsidRDefault="00000000">
      <w:pPr>
        <w:pStyle w:val="BodyText"/>
        <w:spacing w:line="278" w:lineRule="auto"/>
        <w:ind w:left="143" w:right="564"/>
        <w:jc w:val="both"/>
      </w:pPr>
      <w:r>
        <w:rPr>
          <w:spacing w:val="-2"/>
        </w:rPr>
        <w:t>The</w:t>
      </w:r>
      <w:r>
        <w:rPr>
          <w:spacing w:val="-5"/>
        </w:rPr>
        <w:t xml:space="preserve"> </w:t>
      </w:r>
      <w:r>
        <w:rPr>
          <w:spacing w:val="-2"/>
        </w:rPr>
        <w:t>2022–2024</w:t>
      </w:r>
      <w:r>
        <w:rPr>
          <w:spacing w:val="-5"/>
        </w:rPr>
        <w:t xml:space="preserve"> </w:t>
      </w:r>
      <w:r>
        <w:rPr>
          <w:spacing w:val="-2"/>
        </w:rPr>
        <w:t>MSS</w:t>
      </w:r>
      <w:r>
        <w:rPr>
          <w:spacing w:val="-3"/>
        </w:rPr>
        <w:t xml:space="preserve"> </w:t>
      </w:r>
      <w:r>
        <w:rPr>
          <w:spacing w:val="-2"/>
        </w:rPr>
        <w:t>performance</w:t>
      </w:r>
      <w:r>
        <w:rPr>
          <w:spacing w:val="-5"/>
        </w:rPr>
        <w:t xml:space="preserve"> </w:t>
      </w:r>
      <w:r>
        <w:rPr>
          <w:spacing w:val="-2"/>
        </w:rPr>
        <w:t>data</w:t>
      </w:r>
      <w:r>
        <w:rPr>
          <w:spacing w:val="-5"/>
        </w:rPr>
        <w:t xml:space="preserve"> </w:t>
      </w:r>
      <w:r>
        <w:rPr>
          <w:spacing w:val="-2"/>
        </w:rPr>
        <w:t>of</w:t>
      </w:r>
      <w:r>
        <w:rPr>
          <w:spacing w:val="-5"/>
        </w:rPr>
        <w:t xml:space="preserve"> </w:t>
      </w:r>
      <w:r>
        <w:rPr>
          <w:spacing w:val="-2"/>
        </w:rPr>
        <w:t>Papua</w:t>
      </w:r>
      <w:r>
        <w:rPr>
          <w:spacing w:val="-5"/>
        </w:rPr>
        <w:t xml:space="preserve"> </w:t>
      </w:r>
      <w:r>
        <w:rPr>
          <w:spacing w:val="-2"/>
        </w:rPr>
        <w:t>Barat</w:t>
      </w:r>
      <w:r>
        <w:rPr>
          <w:spacing w:val="-4"/>
        </w:rPr>
        <w:t xml:space="preserve"> </w:t>
      </w:r>
      <w:r>
        <w:rPr>
          <w:spacing w:val="-2"/>
        </w:rPr>
        <w:t>shows</w:t>
      </w:r>
      <w:r>
        <w:rPr>
          <w:spacing w:val="-5"/>
        </w:rPr>
        <w:t xml:space="preserve"> </w:t>
      </w:r>
      <w:r>
        <w:rPr>
          <w:spacing w:val="-2"/>
        </w:rPr>
        <w:t>significant</w:t>
      </w:r>
      <w:r>
        <w:rPr>
          <w:spacing w:val="-4"/>
        </w:rPr>
        <w:t xml:space="preserve"> </w:t>
      </w:r>
      <w:r>
        <w:rPr>
          <w:spacing w:val="-2"/>
        </w:rPr>
        <w:t>improvement,</w:t>
      </w:r>
      <w:r>
        <w:rPr>
          <w:spacing w:val="-3"/>
        </w:rPr>
        <w:t xml:space="preserve"> </w:t>
      </w:r>
      <w:r>
        <w:rPr>
          <w:spacing w:val="-2"/>
        </w:rPr>
        <w:t>with</w:t>
      </w:r>
      <w:r>
        <w:rPr>
          <w:spacing w:val="-3"/>
        </w:rPr>
        <w:t xml:space="preserve"> </w:t>
      </w:r>
      <w:r>
        <w:rPr>
          <w:spacing w:val="-2"/>
        </w:rPr>
        <w:t>the</w:t>
      </w:r>
      <w:r>
        <w:rPr>
          <w:spacing w:val="-5"/>
        </w:rPr>
        <w:t xml:space="preserve"> </w:t>
      </w:r>
      <w:r>
        <w:rPr>
          <w:spacing w:val="-2"/>
        </w:rPr>
        <w:t xml:space="preserve">sharpest </w:t>
      </w:r>
      <w:r>
        <w:t>increase</w:t>
      </w:r>
      <w:r>
        <w:rPr>
          <w:spacing w:val="-8"/>
        </w:rPr>
        <w:t xml:space="preserve"> </w:t>
      </w:r>
      <w:r>
        <w:t>in</w:t>
      </w:r>
      <w:r>
        <w:rPr>
          <w:spacing w:val="-7"/>
        </w:rPr>
        <w:t xml:space="preserve"> </w:t>
      </w:r>
      <w:r>
        <w:t>Public</w:t>
      </w:r>
      <w:r>
        <w:rPr>
          <w:spacing w:val="-8"/>
        </w:rPr>
        <w:t xml:space="preserve"> </w:t>
      </w:r>
      <w:r>
        <w:t>Order</w:t>
      </w:r>
      <w:r>
        <w:rPr>
          <w:spacing w:val="-7"/>
        </w:rPr>
        <w:t xml:space="preserve"> </w:t>
      </w:r>
      <w:r>
        <w:t>and</w:t>
      </w:r>
      <w:r>
        <w:rPr>
          <w:spacing w:val="-7"/>
        </w:rPr>
        <w:t xml:space="preserve"> </w:t>
      </w:r>
      <w:r>
        <w:t>Community</w:t>
      </w:r>
      <w:r>
        <w:rPr>
          <w:spacing w:val="-9"/>
        </w:rPr>
        <w:t xml:space="preserve"> </w:t>
      </w:r>
      <w:r>
        <w:t>Protection,</w:t>
      </w:r>
      <w:r>
        <w:rPr>
          <w:spacing w:val="-8"/>
        </w:rPr>
        <w:t xml:space="preserve"> </w:t>
      </w:r>
      <w:r>
        <w:t>rising</w:t>
      </w:r>
      <w:r>
        <w:rPr>
          <w:spacing w:val="-8"/>
        </w:rPr>
        <w:t xml:space="preserve"> </w:t>
      </w:r>
      <w:r>
        <w:t>from</w:t>
      </w:r>
      <w:r>
        <w:rPr>
          <w:spacing w:val="-9"/>
        </w:rPr>
        <w:t xml:space="preserve"> </w:t>
      </w:r>
      <w:r>
        <w:t>0%</w:t>
      </w:r>
      <w:r>
        <w:rPr>
          <w:spacing w:val="-7"/>
        </w:rPr>
        <w:t xml:space="preserve"> </w:t>
      </w:r>
      <w:r>
        <w:t>to</w:t>
      </w:r>
      <w:r>
        <w:rPr>
          <w:spacing w:val="-10"/>
        </w:rPr>
        <w:t xml:space="preserve"> </w:t>
      </w:r>
      <w:r>
        <w:t>77.6%.</w:t>
      </w:r>
      <w:r>
        <w:rPr>
          <w:spacing w:val="-9"/>
        </w:rPr>
        <w:t xml:space="preserve"> </w:t>
      </w:r>
      <w:r>
        <w:t>Education</w:t>
      </w:r>
      <w:r>
        <w:rPr>
          <w:spacing w:val="-7"/>
        </w:rPr>
        <w:t xml:space="preserve"> </w:t>
      </w:r>
      <w:r>
        <w:t>and</w:t>
      </w:r>
      <w:r>
        <w:rPr>
          <w:spacing w:val="-7"/>
        </w:rPr>
        <w:t xml:space="preserve"> </w:t>
      </w:r>
      <w:r>
        <w:t>Health</w:t>
      </w:r>
      <w:r>
        <w:rPr>
          <w:spacing w:val="-7"/>
        </w:rPr>
        <w:t xml:space="preserve"> </w:t>
      </w:r>
      <w:r>
        <w:t>also recorded strong gains, reaching 62.9% and 63.3% respectively, while Public Works and Social Affairs showed more modest increases, at 56.1% and 46.1% in 2024.</w:t>
      </w:r>
    </w:p>
    <w:p w14:paraId="3DBE4AE6" w14:textId="77777777" w:rsidR="00BC24A8" w:rsidRDefault="00BC24A8">
      <w:pPr>
        <w:pStyle w:val="BodyText"/>
        <w:spacing w:before="43"/>
      </w:pPr>
    </w:p>
    <w:p w14:paraId="484C2502" w14:textId="77777777" w:rsidR="00BC24A8" w:rsidRDefault="00000000">
      <w:pPr>
        <w:pStyle w:val="Heading5"/>
      </w:pPr>
      <w:r>
        <w:rPr>
          <w:color w:val="767070"/>
        </w:rPr>
        <w:t>MSS</w:t>
      </w:r>
      <w:r>
        <w:rPr>
          <w:color w:val="767070"/>
          <w:spacing w:val="-7"/>
        </w:rPr>
        <w:t xml:space="preserve"> </w:t>
      </w:r>
      <w:r>
        <w:rPr>
          <w:color w:val="767070"/>
        </w:rPr>
        <w:t>reporting</w:t>
      </w:r>
      <w:r>
        <w:rPr>
          <w:color w:val="767070"/>
          <w:spacing w:val="-5"/>
        </w:rPr>
        <w:t xml:space="preserve"> </w:t>
      </w:r>
      <w:r>
        <w:rPr>
          <w:color w:val="767070"/>
          <w:spacing w:val="-4"/>
        </w:rPr>
        <w:t>2025</w:t>
      </w:r>
    </w:p>
    <w:p w14:paraId="2C349432"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270"/>
        <w:gridCol w:w="1263"/>
        <w:gridCol w:w="1258"/>
        <w:gridCol w:w="1440"/>
        <w:gridCol w:w="1260"/>
        <w:gridCol w:w="1262"/>
        <w:gridCol w:w="1324"/>
      </w:tblGrid>
      <w:tr w:rsidR="00BC24A8" w14:paraId="19ADAA1F" w14:textId="77777777">
        <w:trPr>
          <w:trHeight w:val="360"/>
        </w:trPr>
        <w:tc>
          <w:tcPr>
            <w:tcW w:w="1270" w:type="dxa"/>
            <w:shd w:val="clear" w:color="auto" w:fill="17365A"/>
          </w:tcPr>
          <w:p w14:paraId="78260D2A" w14:textId="77777777" w:rsidR="00BC24A8" w:rsidRDefault="00000000">
            <w:pPr>
              <w:pStyle w:val="TableParagraph"/>
              <w:spacing w:before="59"/>
              <w:ind w:left="115"/>
              <w:rPr>
                <w:rFonts w:ascii="Calibri"/>
                <w:b/>
                <w:sz w:val="20"/>
              </w:rPr>
            </w:pPr>
            <w:r>
              <w:rPr>
                <w:rFonts w:ascii="Calibri"/>
                <w:b/>
                <w:color w:val="FFFFFF"/>
                <w:spacing w:val="-2"/>
                <w:sz w:val="20"/>
              </w:rPr>
              <w:t>Quarter</w:t>
            </w:r>
          </w:p>
        </w:tc>
        <w:tc>
          <w:tcPr>
            <w:tcW w:w="1263" w:type="dxa"/>
            <w:shd w:val="clear" w:color="auto" w:fill="17365A"/>
          </w:tcPr>
          <w:p w14:paraId="66D3FDA4" w14:textId="77777777" w:rsidR="00BC24A8" w:rsidRDefault="00000000">
            <w:pPr>
              <w:pStyle w:val="TableParagraph"/>
              <w:spacing w:before="59"/>
              <w:ind w:right="4"/>
              <w:jc w:val="center"/>
              <w:rPr>
                <w:rFonts w:ascii="Calibri"/>
                <w:b/>
                <w:sz w:val="20"/>
              </w:rPr>
            </w:pPr>
            <w:r>
              <w:rPr>
                <w:rFonts w:ascii="Calibri"/>
                <w:b/>
                <w:color w:val="FFFFFF"/>
                <w:sz w:val="20"/>
              </w:rPr>
              <w:t>Q1</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258" w:type="dxa"/>
            <w:shd w:val="clear" w:color="auto" w:fill="17365A"/>
          </w:tcPr>
          <w:p w14:paraId="6DB6604E" w14:textId="77777777" w:rsidR="00BC24A8" w:rsidRDefault="00000000">
            <w:pPr>
              <w:pStyle w:val="TableParagraph"/>
              <w:spacing w:before="59"/>
              <w:ind w:right="5"/>
              <w:jc w:val="center"/>
              <w:rPr>
                <w:rFonts w:ascii="Calibri"/>
                <w:b/>
                <w:sz w:val="20"/>
              </w:rPr>
            </w:pPr>
            <w:r>
              <w:rPr>
                <w:rFonts w:ascii="Calibri"/>
                <w:b/>
                <w:color w:val="FFFFFF"/>
                <w:sz w:val="20"/>
              </w:rPr>
              <w:t>Q2</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440" w:type="dxa"/>
            <w:shd w:val="clear" w:color="auto" w:fill="17365A"/>
          </w:tcPr>
          <w:p w14:paraId="0899877A" w14:textId="77777777" w:rsidR="00BC24A8" w:rsidRDefault="00000000">
            <w:pPr>
              <w:pStyle w:val="TableParagraph"/>
              <w:spacing w:before="59"/>
              <w:ind w:right="5"/>
              <w:jc w:val="center"/>
              <w:rPr>
                <w:rFonts w:ascii="Calibri"/>
                <w:b/>
                <w:sz w:val="20"/>
              </w:rPr>
            </w:pPr>
            <w:r>
              <w:rPr>
                <w:rFonts w:ascii="Calibri"/>
                <w:b/>
                <w:color w:val="FFFFFF"/>
                <w:sz w:val="20"/>
              </w:rPr>
              <w:t>Q3</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260" w:type="dxa"/>
            <w:shd w:val="clear" w:color="auto" w:fill="17365A"/>
          </w:tcPr>
          <w:p w14:paraId="04EEFF9B" w14:textId="77777777" w:rsidR="00BC24A8" w:rsidRDefault="00000000">
            <w:pPr>
              <w:pStyle w:val="TableParagraph"/>
              <w:spacing w:before="59"/>
              <w:ind w:left="2" w:right="5"/>
              <w:jc w:val="center"/>
              <w:rPr>
                <w:rFonts w:ascii="Calibri"/>
                <w:b/>
                <w:sz w:val="20"/>
              </w:rPr>
            </w:pPr>
            <w:r>
              <w:rPr>
                <w:rFonts w:ascii="Calibri"/>
                <w:b/>
                <w:color w:val="FFFFFF"/>
                <w:sz w:val="20"/>
              </w:rPr>
              <w:t>Q4</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262" w:type="dxa"/>
            <w:shd w:val="clear" w:color="auto" w:fill="17365A"/>
          </w:tcPr>
          <w:p w14:paraId="5FD09E32" w14:textId="77777777" w:rsidR="00BC24A8" w:rsidRDefault="00000000">
            <w:pPr>
              <w:pStyle w:val="TableParagraph"/>
              <w:spacing w:before="59"/>
              <w:ind w:left="1" w:right="6"/>
              <w:jc w:val="center"/>
              <w:rPr>
                <w:rFonts w:ascii="Calibri"/>
                <w:b/>
                <w:sz w:val="20"/>
              </w:rPr>
            </w:pPr>
            <w:r>
              <w:rPr>
                <w:rFonts w:ascii="Calibri"/>
                <w:b/>
                <w:color w:val="FFFFFF"/>
                <w:sz w:val="20"/>
              </w:rPr>
              <w:t>Q1</w:t>
            </w:r>
            <w:r>
              <w:rPr>
                <w:rFonts w:ascii="Calibri"/>
                <w:b/>
                <w:color w:val="FFFFFF"/>
                <w:spacing w:val="-5"/>
                <w:sz w:val="20"/>
              </w:rPr>
              <w:t xml:space="preserve"> </w:t>
            </w:r>
            <w:r>
              <w:rPr>
                <w:rFonts w:ascii="Calibri"/>
                <w:b/>
                <w:color w:val="FFFFFF"/>
                <w:sz w:val="20"/>
              </w:rPr>
              <w:t>2025</w:t>
            </w:r>
            <w:r>
              <w:rPr>
                <w:rFonts w:ascii="Calibri"/>
                <w:b/>
                <w:color w:val="FFFFFF"/>
                <w:spacing w:val="-5"/>
                <w:sz w:val="20"/>
              </w:rPr>
              <w:t xml:space="preserve"> (%)</w:t>
            </w:r>
          </w:p>
        </w:tc>
        <w:tc>
          <w:tcPr>
            <w:tcW w:w="1324" w:type="dxa"/>
            <w:shd w:val="clear" w:color="auto" w:fill="17365A"/>
          </w:tcPr>
          <w:p w14:paraId="6151C98A" w14:textId="77777777" w:rsidR="00BC24A8" w:rsidRDefault="00000000">
            <w:pPr>
              <w:pStyle w:val="TableParagraph"/>
              <w:spacing w:before="59"/>
              <w:ind w:left="3" w:right="4"/>
              <w:jc w:val="center"/>
              <w:rPr>
                <w:rFonts w:ascii="Calibri"/>
                <w:b/>
                <w:sz w:val="20"/>
              </w:rPr>
            </w:pPr>
            <w:r>
              <w:rPr>
                <w:rFonts w:ascii="Calibri"/>
                <w:b/>
                <w:color w:val="FFFFFF"/>
                <w:sz w:val="20"/>
              </w:rPr>
              <w:t>Q2</w:t>
            </w:r>
            <w:r>
              <w:rPr>
                <w:rFonts w:ascii="Calibri"/>
                <w:b/>
                <w:color w:val="FFFFFF"/>
                <w:spacing w:val="-5"/>
                <w:sz w:val="20"/>
              </w:rPr>
              <w:t xml:space="preserve"> </w:t>
            </w:r>
            <w:r>
              <w:rPr>
                <w:rFonts w:ascii="Calibri"/>
                <w:b/>
                <w:color w:val="FFFFFF"/>
                <w:sz w:val="20"/>
              </w:rPr>
              <w:t>2025</w:t>
            </w:r>
            <w:r>
              <w:rPr>
                <w:rFonts w:ascii="Calibri"/>
                <w:b/>
                <w:color w:val="FFFFFF"/>
                <w:spacing w:val="-5"/>
                <w:sz w:val="20"/>
              </w:rPr>
              <w:t xml:space="preserve"> (%)</w:t>
            </w:r>
          </w:p>
        </w:tc>
      </w:tr>
      <w:tr w:rsidR="00BC24A8" w14:paraId="20231E45" w14:textId="77777777">
        <w:trPr>
          <w:trHeight w:val="441"/>
        </w:trPr>
        <w:tc>
          <w:tcPr>
            <w:tcW w:w="1270" w:type="dxa"/>
            <w:tcBorders>
              <w:bottom w:val="single" w:sz="4" w:space="0" w:color="BEBEBE"/>
            </w:tcBorders>
          </w:tcPr>
          <w:p w14:paraId="36642BD2" w14:textId="77777777" w:rsidR="00BC24A8" w:rsidRDefault="00000000">
            <w:pPr>
              <w:pStyle w:val="TableParagraph"/>
              <w:spacing w:before="100"/>
              <w:ind w:left="155"/>
              <w:rPr>
                <w:sz w:val="18"/>
              </w:rPr>
            </w:pPr>
            <w:r>
              <w:rPr>
                <w:sz w:val="18"/>
              </w:rPr>
              <w:t>Papua</w:t>
            </w:r>
            <w:r>
              <w:rPr>
                <w:spacing w:val="-5"/>
                <w:sz w:val="18"/>
              </w:rPr>
              <w:t xml:space="preserve"> </w:t>
            </w:r>
            <w:r>
              <w:rPr>
                <w:spacing w:val="-2"/>
                <w:sz w:val="18"/>
              </w:rPr>
              <w:t>Barat</w:t>
            </w:r>
          </w:p>
        </w:tc>
        <w:tc>
          <w:tcPr>
            <w:tcW w:w="1263" w:type="dxa"/>
            <w:tcBorders>
              <w:bottom w:val="single" w:sz="4" w:space="0" w:color="BEBEBE"/>
            </w:tcBorders>
          </w:tcPr>
          <w:p w14:paraId="3BF1F8D9" w14:textId="77777777" w:rsidR="00BC24A8" w:rsidRDefault="00000000">
            <w:pPr>
              <w:pStyle w:val="TableParagraph"/>
              <w:spacing w:before="133"/>
              <w:ind w:left="3" w:right="4"/>
              <w:jc w:val="center"/>
              <w:rPr>
                <w:sz w:val="18"/>
              </w:rPr>
            </w:pPr>
            <w:r>
              <w:rPr>
                <w:spacing w:val="-4"/>
                <w:sz w:val="18"/>
              </w:rPr>
              <w:t>6.85</w:t>
            </w:r>
          </w:p>
        </w:tc>
        <w:tc>
          <w:tcPr>
            <w:tcW w:w="1258" w:type="dxa"/>
            <w:tcBorders>
              <w:bottom w:val="single" w:sz="4" w:space="0" w:color="BEBEBE"/>
            </w:tcBorders>
          </w:tcPr>
          <w:p w14:paraId="4CE46357" w14:textId="77777777" w:rsidR="00BC24A8" w:rsidRDefault="00000000">
            <w:pPr>
              <w:pStyle w:val="TableParagraph"/>
              <w:spacing w:before="133"/>
              <w:ind w:left="5" w:right="5"/>
              <w:jc w:val="center"/>
              <w:rPr>
                <w:sz w:val="18"/>
              </w:rPr>
            </w:pPr>
            <w:r>
              <w:rPr>
                <w:spacing w:val="-4"/>
                <w:sz w:val="18"/>
              </w:rPr>
              <w:t>4.77</w:t>
            </w:r>
          </w:p>
        </w:tc>
        <w:tc>
          <w:tcPr>
            <w:tcW w:w="1440" w:type="dxa"/>
            <w:tcBorders>
              <w:bottom w:val="single" w:sz="4" w:space="0" w:color="BEBEBE"/>
            </w:tcBorders>
          </w:tcPr>
          <w:p w14:paraId="70C3D785" w14:textId="77777777" w:rsidR="00BC24A8" w:rsidRDefault="00000000">
            <w:pPr>
              <w:pStyle w:val="TableParagraph"/>
              <w:spacing w:before="133"/>
              <w:ind w:left="5" w:right="5"/>
              <w:jc w:val="center"/>
              <w:rPr>
                <w:sz w:val="18"/>
              </w:rPr>
            </w:pPr>
            <w:r>
              <w:rPr>
                <w:spacing w:val="-2"/>
                <w:sz w:val="18"/>
              </w:rPr>
              <w:t>78.73</w:t>
            </w:r>
          </w:p>
        </w:tc>
        <w:tc>
          <w:tcPr>
            <w:tcW w:w="1260" w:type="dxa"/>
            <w:tcBorders>
              <w:bottom w:val="single" w:sz="4" w:space="0" w:color="BEBEBE"/>
            </w:tcBorders>
          </w:tcPr>
          <w:p w14:paraId="242FFE22" w14:textId="77777777" w:rsidR="00BC24A8" w:rsidRDefault="00000000">
            <w:pPr>
              <w:pStyle w:val="TableParagraph"/>
              <w:spacing w:before="133"/>
              <w:ind w:left="2" w:right="5"/>
              <w:jc w:val="center"/>
              <w:rPr>
                <w:sz w:val="18"/>
              </w:rPr>
            </w:pPr>
            <w:r>
              <w:rPr>
                <w:spacing w:val="-2"/>
                <w:sz w:val="18"/>
              </w:rPr>
              <w:t>78.16</w:t>
            </w:r>
          </w:p>
        </w:tc>
        <w:tc>
          <w:tcPr>
            <w:tcW w:w="1262" w:type="dxa"/>
            <w:tcBorders>
              <w:bottom w:val="single" w:sz="4" w:space="0" w:color="BEBEBE"/>
            </w:tcBorders>
          </w:tcPr>
          <w:p w14:paraId="603518B8" w14:textId="77777777" w:rsidR="00BC24A8" w:rsidRDefault="00000000">
            <w:pPr>
              <w:pStyle w:val="TableParagraph"/>
              <w:spacing w:before="133"/>
              <w:ind w:left="1" w:right="6"/>
              <w:jc w:val="center"/>
              <w:rPr>
                <w:sz w:val="18"/>
              </w:rPr>
            </w:pPr>
            <w:r>
              <w:rPr>
                <w:spacing w:val="-4"/>
                <w:sz w:val="18"/>
              </w:rPr>
              <w:t>1.15</w:t>
            </w:r>
          </w:p>
        </w:tc>
        <w:tc>
          <w:tcPr>
            <w:tcW w:w="1324" w:type="dxa"/>
            <w:tcBorders>
              <w:bottom w:val="single" w:sz="4" w:space="0" w:color="BEBEBE"/>
            </w:tcBorders>
          </w:tcPr>
          <w:p w14:paraId="700237C9" w14:textId="77777777" w:rsidR="00BC24A8" w:rsidRDefault="00000000">
            <w:pPr>
              <w:pStyle w:val="TableParagraph"/>
              <w:spacing w:before="104"/>
              <w:ind w:right="4"/>
              <w:jc w:val="center"/>
              <w:rPr>
                <w:sz w:val="18"/>
              </w:rPr>
            </w:pPr>
            <w:r>
              <w:rPr>
                <w:spacing w:val="-10"/>
                <w:sz w:val="18"/>
              </w:rPr>
              <w:t>0</w:t>
            </w:r>
          </w:p>
        </w:tc>
      </w:tr>
    </w:tbl>
    <w:p w14:paraId="7E4D0777" w14:textId="77777777" w:rsidR="00BC24A8" w:rsidRDefault="00000000">
      <w:pPr>
        <w:spacing w:before="124"/>
        <w:ind w:left="143"/>
        <w:rPr>
          <w:sz w:val="16"/>
        </w:rPr>
      </w:pPr>
      <w:r>
        <w:rPr>
          <w:spacing w:val="-2"/>
          <w:sz w:val="16"/>
        </w:rPr>
        <w:t>Data</w:t>
      </w:r>
      <w:r>
        <w:rPr>
          <w:spacing w:val="7"/>
          <w:sz w:val="16"/>
        </w:rPr>
        <w:t xml:space="preserve"> </w:t>
      </w:r>
      <w:r>
        <w:rPr>
          <w:spacing w:val="-2"/>
          <w:sz w:val="16"/>
        </w:rPr>
        <w:t>Source:</w:t>
      </w:r>
      <w:r>
        <w:rPr>
          <w:spacing w:val="8"/>
          <w:sz w:val="16"/>
        </w:rPr>
        <w:t xml:space="preserve"> </w:t>
      </w:r>
      <w:r>
        <w:rPr>
          <w:spacing w:val="-2"/>
          <w:sz w:val="16"/>
        </w:rPr>
        <w:t>https://spm.bangda.kemendagri.go.id/</w:t>
      </w:r>
      <w:r>
        <w:rPr>
          <w:spacing w:val="7"/>
          <w:sz w:val="16"/>
        </w:rPr>
        <w:t xml:space="preserve"> </w:t>
      </w:r>
      <w:r>
        <w:rPr>
          <w:spacing w:val="-2"/>
          <w:sz w:val="16"/>
        </w:rPr>
        <w:t>(As</w:t>
      </w:r>
      <w:r>
        <w:rPr>
          <w:spacing w:val="8"/>
          <w:sz w:val="16"/>
        </w:rPr>
        <w:t xml:space="preserve"> </w:t>
      </w:r>
      <w:r>
        <w:rPr>
          <w:spacing w:val="-2"/>
          <w:sz w:val="16"/>
        </w:rPr>
        <w:t>of</w:t>
      </w:r>
      <w:r>
        <w:rPr>
          <w:spacing w:val="7"/>
          <w:sz w:val="16"/>
        </w:rPr>
        <w:t xml:space="preserve"> </w:t>
      </w:r>
      <w:r>
        <w:rPr>
          <w:spacing w:val="-2"/>
          <w:sz w:val="16"/>
        </w:rPr>
        <w:t>July</w:t>
      </w:r>
      <w:r>
        <w:rPr>
          <w:spacing w:val="8"/>
          <w:sz w:val="16"/>
        </w:rPr>
        <w:t xml:space="preserve"> </w:t>
      </w:r>
      <w:r>
        <w:rPr>
          <w:spacing w:val="-2"/>
          <w:sz w:val="16"/>
        </w:rPr>
        <w:t>28,</w:t>
      </w:r>
      <w:r>
        <w:rPr>
          <w:spacing w:val="5"/>
          <w:sz w:val="16"/>
        </w:rPr>
        <w:t xml:space="preserve"> </w:t>
      </w:r>
      <w:r>
        <w:rPr>
          <w:spacing w:val="-2"/>
          <w:sz w:val="16"/>
        </w:rPr>
        <w:t>2025)</w:t>
      </w:r>
    </w:p>
    <w:p w14:paraId="6C246E98" w14:textId="77777777" w:rsidR="00BC24A8" w:rsidRDefault="00BC24A8">
      <w:pPr>
        <w:pStyle w:val="BodyText"/>
        <w:rPr>
          <w:sz w:val="16"/>
        </w:rPr>
      </w:pPr>
    </w:p>
    <w:p w14:paraId="4CB39B8E" w14:textId="77777777" w:rsidR="00BC24A8" w:rsidRDefault="00BC24A8">
      <w:pPr>
        <w:pStyle w:val="BodyText"/>
        <w:spacing w:before="112"/>
        <w:rPr>
          <w:sz w:val="16"/>
        </w:rPr>
      </w:pPr>
    </w:p>
    <w:p w14:paraId="21636470" w14:textId="77777777" w:rsidR="00BC24A8" w:rsidRDefault="00000000">
      <w:pPr>
        <w:pStyle w:val="Heading5"/>
      </w:pPr>
      <w:r>
        <w:rPr>
          <w:color w:val="767070"/>
        </w:rPr>
        <w:t>Regional</w:t>
      </w:r>
      <w:r>
        <w:rPr>
          <w:color w:val="767070"/>
          <w:spacing w:val="-7"/>
        </w:rPr>
        <w:t xml:space="preserve"> </w:t>
      </w:r>
      <w:r>
        <w:rPr>
          <w:color w:val="767070"/>
        </w:rPr>
        <w:t>Revenue</w:t>
      </w:r>
      <w:r>
        <w:rPr>
          <w:color w:val="767070"/>
          <w:spacing w:val="-8"/>
        </w:rPr>
        <w:t xml:space="preserve"> </w:t>
      </w:r>
      <w:r>
        <w:rPr>
          <w:color w:val="767070"/>
        </w:rPr>
        <w:t>and</w:t>
      </w:r>
      <w:r>
        <w:rPr>
          <w:color w:val="767070"/>
          <w:spacing w:val="-8"/>
        </w:rPr>
        <w:t xml:space="preserve"> </w:t>
      </w:r>
      <w:r>
        <w:rPr>
          <w:color w:val="767070"/>
        </w:rPr>
        <w:t>Expenditure</w:t>
      </w:r>
      <w:r>
        <w:rPr>
          <w:color w:val="767070"/>
          <w:spacing w:val="-7"/>
        </w:rPr>
        <w:t xml:space="preserve"> </w:t>
      </w:r>
      <w:r>
        <w:rPr>
          <w:color w:val="767070"/>
        </w:rPr>
        <w:t>Budget</w:t>
      </w:r>
      <w:r>
        <w:rPr>
          <w:color w:val="767070"/>
          <w:spacing w:val="-9"/>
        </w:rPr>
        <w:t xml:space="preserve"> </w:t>
      </w:r>
      <w:r>
        <w:rPr>
          <w:color w:val="767070"/>
        </w:rPr>
        <w:t>(APBD)</w:t>
      </w:r>
      <w:r>
        <w:rPr>
          <w:color w:val="767070"/>
          <w:spacing w:val="-6"/>
        </w:rPr>
        <w:t xml:space="preserve"> </w:t>
      </w:r>
      <w:r>
        <w:rPr>
          <w:color w:val="767070"/>
          <w:spacing w:val="-4"/>
        </w:rPr>
        <w:t>Data</w:t>
      </w:r>
    </w:p>
    <w:p w14:paraId="7D10EBF5" w14:textId="77777777" w:rsidR="00BC24A8" w:rsidRDefault="00BC24A8">
      <w:pPr>
        <w:pStyle w:val="BodyText"/>
        <w:spacing w:before="8" w:after="1"/>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3310"/>
        <w:gridCol w:w="2686"/>
        <w:gridCol w:w="3081"/>
      </w:tblGrid>
      <w:tr w:rsidR="00BC24A8" w14:paraId="126DAEC7" w14:textId="77777777">
        <w:trPr>
          <w:trHeight w:val="360"/>
        </w:trPr>
        <w:tc>
          <w:tcPr>
            <w:tcW w:w="3310" w:type="dxa"/>
            <w:shd w:val="clear" w:color="auto" w:fill="17365A"/>
          </w:tcPr>
          <w:p w14:paraId="0D391CF4" w14:textId="77777777" w:rsidR="00BC24A8" w:rsidRDefault="00000000">
            <w:pPr>
              <w:pStyle w:val="TableParagraph"/>
              <w:spacing w:before="59"/>
              <w:ind w:left="115"/>
              <w:rPr>
                <w:rFonts w:ascii="Calibri"/>
                <w:b/>
                <w:sz w:val="20"/>
              </w:rPr>
            </w:pPr>
            <w:r>
              <w:rPr>
                <w:rFonts w:ascii="Calibri"/>
                <w:b/>
                <w:color w:val="FFFFFF"/>
                <w:sz w:val="20"/>
              </w:rPr>
              <w:t>APBD</w:t>
            </w:r>
            <w:r>
              <w:rPr>
                <w:rFonts w:ascii="Calibri"/>
                <w:b/>
                <w:color w:val="FFFFFF"/>
                <w:spacing w:val="-7"/>
                <w:sz w:val="20"/>
              </w:rPr>
              <w:t xml:space="preserve"> </w:t>
            </w:r>
            <w:r>
              <w:rPr>
                <w:rFonts w:ascii="Calibri"/>
                <w:b/>
                <w:color w:val="FFFFFF"/>
                <w:spacing w:val="-2"/>
                <w:sz w:val="20"/>
              </w:rPr>
              <w:t>Structure</w:t>
            </w:r>
          </w:p>
        </w:tc>
        <w:tc>
          <w:tcPr>
            <w:tcW w:w="2686" w:type="dxa"/>
            <w:shd w:val="clear" w:color="auto" w:fill="17365A"/>
          </w:tcPr>
          <w:p w14:paraId="6318755C" w14:textId="77777777" w:rsidR="00BC24A8" w:rsidRDefault="00000000">
            <w:pPr>
              <w:pStyle w:val="TableParagraph"/>
              <w:spacing w:before="59"/>
              <w:ind w:right="184"/>
              <w:jc w:val="center"/>
              <w:rPr>
                <w:rFonts w:ascii="Calibri"/>
                <w:b/>
                <w:sz w:val="20"/>
              </w:rPr>
            </w:pPr>
            <w:r>
              <w:rPr>
                <w:rFonts w:ascii="Calibri"/>
                <w:b/>
                <w:color w:val="FFFFFF"/>
                <w:spacing w:val="-4"/>
                <w:sz w:val="20"/>
              </w:rPr>
              <w:t>2024</w:t>
            </w:r>
          </w:p>
        </w:tc>
        <w:tc>
          <w:tcPr>
            <w:tcW w:w="3081" w:type="dxa"/>
            <w:shd w:val="clear" w:color="auto" w:fill="17365A"/>
          </w:tcPr>
          <w:p w14:paraId="3C5B3785" w14:textId="77777777" w:rsidR="00BC24A8" w:rsidRDefault="00000000">
            <w:pPr>
              <w:pStyle w:val="TableParagraph"/>
              <w:spacing w:before="59"/>
              <w:ind w:right="210"/>
              <w:jc w:val="center"/>
              <w:rPr>
                <w:rFonts w:ascii="Calibri"/>
                <w:b/>
                <w:sz w:val="20"/>
              </w:rPr>
            </w:pPr>
            <w:r>
              <w:rPr>
                <w:rFonts w:ascii="Calibri"/>
                <w:b/>
                <w:color w:val="FFFFFF"/>
                <w:spacing w:val="-4"/>
                <w:sz w:val="20"/>
              </w:rPr>
              <w:t>2025</w:t>
            </w:r>
          </w:p>
        </w:tc>
      </w:tr>
      <w:tr w:rsidR="00BC24A8" w14:paraId="0390E5FE" w14:textId="77777777">
        <w:trPr>
          <w:trHeight w:val="376"/>
        </w:trPr>
        <w:tc>
          <w:tcPr>
            <w:tcW w:w="3310" w:type="dxa"/>
            <w:tcBorders>
              <w:bottom w:val="single" w:sz="4" w:space="0" w:color="BEBEBE"/>
            </w:tcBorders>
          </w:tcPr>
          <w:p w14:paraId="14D6CA62" w14:textId="77777777" w:rsidR="00BC24A8" w:rsidRDefault="00000000">
            <w:pPr>
              <w:pStyle w:val="TableParagraph"/>
              <w:spacing w:before="100"/>
              <w:ind w:left="115"/>
              <w:rPr>
                <w:sz w:val="18"/>
              </w:rPr>
            </w:pPr>
            <w:r>
              <w:rPr>
                <w:sz w:val="18"/>
              </w:rPr>
              <w:t>Total</w:t>
            </w:r>
            <w:r>
              <w:rPr>
                <w:spacing w:val="-2"/>
                <w:sz w:val="18"/>
              </w:rPr>
              <w:t xml:space="preserve"> Revenue</w:t>
            </w:r>
          </w:p>
        </w:tc>
        <w:tc>
          <w:tcPr>
            <w:tcW w:w="2686" w:type="dxa"/>
            <w:tcBorders>
              <w:bottom w:val="single" w:sz="4" w:space="0" w:color="BEBEBE"/>
            </w:tcBorders>
          </w:tcPr>
          <w:p w14:paraId="0F1ECD06" w14:textId="77777777" w:rsidR="00BC24A8" w:rsidRDefault="00000000">
            <w:pPr>
              <w:pStyle w:val="TableParagraph"/>
              <w:spacing w:before="100"/>
              <w:ind w:left="568"/>
              <w:rPr>
                <w:sz w:val="18"/>
              </w:rPr>
            </w:pPr>
            <w:r>
              <w:rPr>
                <w:spacing w:val="-2"/>
                <w:sz w:val="18"/>
              </w:rPr>
              <w:t>4,526,690,665,908</w:t>
            </w:r>
          </w:p>
        </w:tc>
        <w:tc>
          <w:tcPr>
            <w:tcW w:w="3081" w:type="dxa"/>
            <w:tcBorders>
              <w:bottom w:val="single" w:sz="4" w:space="0" w:color="BEBEBE"/>
            </w:tcBorders>
          </w:tcPr>
          <w:p w14:paraId="2BAC143B" w14:textId="77777777" w:rsidR="00BC24A8" w:rsidRDefault="00000000">
            <w:pPr>
              <w:pStyle w:val="TableParagraph"/>
              <w:spacing w:before="100"/>
              <w:ind w:left="755"/>
              <w:rPr>
                <w:sz w:val="18"/>
              </w:rPr>
            </w:pPr>
            <w:r>
              <w:rPr>
                <w:spacing w:val="-2"/>
                <w:sz w:val="18"/>
              </w:rPr>
              <w:t>3,470,278,052,654</w:t>
            </w:r>
          </w:p>
        </w:tc>
      </w:tr>
      <w:tr w:rsidR="00BC24A8" w14:paraId="6FF01792" w14:textId="77777777">
        <w:trPr>
          <w:trHeight w:val="333"/>
        </w:trPr>
        <w:tc>
          <w:tcPr>
            <w:tcW w:w="3310" w:type="dxa"/>
            <w:tcBorders>
              <w:top w:val="single" w:sz="4" w:space="0" w:color="BEBEBE"/>
              <w:bottom w:val="single" w:sz="4" w:space="0" w:color="BEBEBE"/>
            </w:tcBorders>
          </w:tcPr>
          <w:p w14:paraId="68D3EA7B" w14:textId="77777777" w:rsidR="00BC24A8" w:rsidRDefault="00000000">
            <w:pPr>
              <w:pStyle w:val="TableParagraph"/>
              <w:spacing w:before="59"/>
              <w:ind w:left="115"/>
              <w:rPr>
                <w:sz w:val="18"/>
              </w:rPr>
            </w:pPr>
            <w:r>
              <w:rPr>
                <w:sz w:val="18"/>
              </w:rPr>
              <w:t>PAD</w:t>
            </w:r>
            <w:r>
              <w:rPr>
                <w:spacing w:val="-2"/>
                <w:sz w:val="18"/>
              </w:rPr>
              <w:t xml:space="preserve"> </w:t>
            </w:r>
            <w:r>
              <w:rPr>
                <w:sz w:val="18"/>
              </w:rPr>
              <w:t>(Regional</w:t>
            </w:r>
            <w:r>
              <w:rPr>
                <w:spacing w:val="-2"/>
                <w:sz w:val="18"/>
              </w:rPr>
              <w:t xml:space="preserve"> Revenue)</w:t>
            </w:r>
          </w:p>
        </w:tc>
        <w:tc>
          <w:tcPr>
            <w:tcW w:w="2686" w:type="dxa"/>
            <w:tcBorders>
              <w:top w:val="single" w:sz="4" w:space="0" w:color="BEBEBE"/>
              <w:bottom w:val="single" w:sz="4" w:space="0" w:color="BEBEBE"/>
            </w:tcBorders>
          </w:tcPr>
          <w:p w14:paraId="24D76D24" w14:textId="77777777" w:rsidR="00BC24A8" w:rsidRDefault="00000000">
            <w:pPr>
              <w:pStyle w:val="TableParagraph"/>
              <w:spacing w:before="59"/>
              <w:ind w:left="638"/>
              <w:rPr>
                <w:sz w:val="18"/>
              </w:rPr>
            </w:pPr>
            <w:r>
              <w:rPr>
                <w:spacing w:val="-2"/>
                <w:sz w:val="18"/>
              </w:rPr>
              <w:t>532,315,579,108</w:t>
            </w:r>
          </w:p>
        </w:tc>
        <w:tc>
          <w:tcPr>
            <w:tcW w:w="3081" w:type="dxa"/>
            <w:tcBorders>
              <w:top w:val="single" w:sz="4" w:space="0" w:color="BEBEBE"/>
              <w:bottom w:val="single" w:sz="4" w:space="0" w:color="BEBEBE"/>
            </w:tcBorders>
          </w:tcPr>
          <w:p w14:paraId="7782CC9A" w14:textId="77777777" w:rsidR="00BC24A8" w:rsidRDefault="00000000">
            <w:pPr>
              <w:pStyle w:val="TableParagraph"/>
              <w:spacing w:before="59"/>
              <w:ind w:left="822"/>
              <w:rPr>
                <w:sz w:val="18"/>
              </w:rPr>
            </w:pPr>
            <w:r>
              <w:rPr>
                <w:spacing w:val="-2"/>
                <w:sz w:val="18"/>
              </w:rPr>
              <w:t>334,905,726,654</w:t>
            </w:r>
          </w:p>
        </w:tc>
      </w:tr>
      <w:tr w:rsidR="00BC24A8" w14:paraId="4209B0EF" w14:textId="77777777">
        <w:trPr>
          <w:trHeight w:val="335"/>
        </w:trPr>
        <w:tc>
          <w:tcPr>
            <w:tcW w:w="3310" w:type="dxa"/>
            <w:tcBorders>
              <w:top w:val="single" w:sz="4" w:space="0" w:color="BEBEBE"/>
              <w:bottom w:val="single" w:sz="4" w:space="0" w:color="BEBEBE"/>
            </w:tcBorders>
          </w:tcPr>
          <w:p w14:paraId="68C51DF8" w14:textId="77777777" w:rsidR="00BC24A8" w:rsidRDefault="00000000">
            <w:pPr>
              <w:pStyle w:val="TableParagraph"/>
              <w:spacing w:before="59"/>
              <w:ind w:left="115"/>
              <w:rPr>
                <w:sz w:val="18"/>
              </w:rPr>
            </w:pPr>
            <w:r>
              <w:rPr>
                <w:sz w:val="18"/>
              </w:rPr>
              <w:t xml:space="preserve">TKD (Fiscal </w:t>
            </w:r>
            <w:r>
              <w:rPr>
                <w:spacing w:val="-2"/>
                <w:sz w:val="18"/>
              </w:rPr>
              <w:t>Transfer)</w:t>
            </w:r>
          </w:p>
        </w:tc>
        <w:tc>
          <w:tcPr>
            <w:tcW w:w="2686" w:type="dxa"/>
            <w:tcBorders>
              <w:top w:val="single" w:sz="4" w:space="0" w:color="BEBEBE"/>
              <w:bottom w:val="single" w:sz="4" w:space="0" w:color="BEBEBE"/>
            </w:tcBorders>
          </w:tcPr>
          <w:p w14:paraId="6D1B9C84" w14:textId="77777777" w:rsidR="00BC24A8" w:rsidRDefault="00000000">
            <w:pPr>
              <w:pStyle w:val="TableParagraph"/>
              <w:spacing w:before="59"/>
              <w:ind w:left="568"/>
              <w:rPr>
                <w:sz w:val="18"/>
              </w:rPr>
            </w:pPr>
            <w:r>
              <w:rPr>
                <w:spacing w:val="-2"/>
                <w:sz w:val="18"/>
              </w:rPr>
              <w:t>3,992,701,435,800</w:t>
            </w:r>
          </w:p>
        </w:tc>
        <w:tc>
          <w:tcPr>
            <w:tcW w:w="3081" w:type="dxa"/>
            <w:tcBorders>
              <w:top w:val="single" w:sz="4" w:space="0" w:color="BEBEBE"/>
              <w:bottom w:val="single" w:sz="4" w:space="0" w:color="BEBEBE"/>
            </w:tcBorders>
          </w:tcPr>
          <w:p w14:paraId="57506398" w14:textId="77777777" w:rsidR="00BC24A8" w:rsidRDefault="00000000">
            <w:pPr>
              <w:pStyle w:val="TableParagraph"/>
              <w:spacing w:before="59"/>
              <w:ind w:left="755"/>
              <w:rPr>
                <w:sz w:val="18"/>
              </w:rPr>
            </w:pPr>
            <w:r>
              <w:rPr>
                <w:spacing w:val="-2"/>
                <w:sz w:val="18"/>
              </w:rPr>
              <w:t>3,134,436,117,000</w:t>
            </w:r>
          </w:p>
        </w:tc>
      </w:tr>
      <w:tr w:rsidR="00BC24A8" w14:paraId="704ECA73" w14:textId="77777777">
        <w:trPr>
          <w:trHeight w:val="333"/>
        </w:trPr>
        <w:tc>
          <w:tcPr>
            <w:tcW w:w="3310" w:type="dxa"/>
            <w:tcBorders>
              <w:top w:val="single" w:sz="4" w:space="0" w:color="BEBEBE"/>
              <w:bottom w:val="single" w:sz="4" w:space="0" w:color="BEBEBE"/>
            </w:tcBorders>
          </w:tcPr>
          <w:p w14:paraId="08D59E30" w14:textId="77777777" w:rsidR="00BC24A8" w:rsidRDefault="00000000">
            <w:pPr>
              <w:pStyle w:val="TableParagraph"/>
              <w:spacing w:before="56"/>
              <w:ind w:left="115"/>
              <w:rPr>
                <w:sz w:val="18"/>
              </w:rPr>
            </w:pPr>
            <w:r>
              <w:rPr>
                <w:sz w:val="18"/>
              </w:rPr>
              <w:t>Other</w:t>
            </w:r>
            <w:r>
              <w:rPr>
                <w:spacing w:val="-3"/>
                <w:sz w:val="18"/>
              </w:rPr>
              <w:t xml:space="preserve"> </w:t>
            </w:r>
            <w:r>
              <w:rPr>
                <w:sz w:val="18"/>
              </w:rPr>
              <w:t>Legitimate</w:t>
            </w:r>
            <w:r>
              <w:rPr>
                <w:spacing w:val="-4"/>
                <w:sz w:val="18"/>
              </w:rPr>
              <w:t xml:space="preserve"> </w:t>
            </w:r>
            <w:r>
              <w:rPr>
                <w:sz w:val="18"/>
              </w:rPr>
              <w:t>Regional</w:t>
            </w:r>
            <w:r>
              <w:rPr>
                <w:spacing w:val="-2"/>
                <w:sz w:val="18"/>
              </w:rPr>
              <w:t xml:space="preserve"> Revenues</w:t>
            </w:r>
          </w:p>
        </w:tc>
        <w:tc>
          <w:tcPr>
            <w:tcW w:w="2686" w:type="dxa"/>
            <w:tcBorders>
              <w:top w:val="single" w:sz="4" w:space="0" w:color="BEBEBE"/>
              <w:bottom w:val="single" w:sz="4" w:space="0" w:color="BEBEBE"/>
            </w:tcBorders>
          </w:tcPr>
          <w:p w14:paraId="0622575B" w14:textId="77777777" w:rsidR="00BC24A8" w:rsidRDefault="00000000">
            <w:pPr>
              <w:pStyle w:val="TableParagraph"/>
              <w:spacing w:before="56"/>
              <w:ind w:left="729"/>
              <w:rPr>
                <w:sz w:val="18"/>
              </w:rPr>
            </w:pPr>
            <w:r>
              <w:rPr>
                <w:spacing w:val="-2"/>
                <w:sz w:val="18"/>
              </w:rPr>
              <w:t>1,673,651,000</w:t>
            </w:r>
          </w:p>
        </w:tc>
        <w:tc>
          <w:tcPr>
            <w:tcW w:w="3081" w:type="dxa"/>
            <w:tcBorders>
              <w:top w:val="single" w:sz="4" w:space="0" w:color="BEBEBE"/>
              <w:bottom w:val="single" w:sz="4" w:space="0" w:color="BEBEBE"/>
            </w:tcBorders>
          </w:tcPr>
          <w:p w14:paraId="6E7DEF36" w14:textId="77777777" w:rsidR="00BC24A8" w:rsidRDefault="00000000">
            <w:pPr>
              <w:pStyle w:val="TableParagraph"/>
              <w:spacing w:before="56"/>
              <w:ind w:left="980"/>
              <w:rPr>
                <w:sz w:val="18"/>
              </w:rPr>
            </w:pPr>
            <w:r>
              <w:rPr>
                <w:spacing w:val="-2"/>
                <w:sz w:val="18"/>
              </w:rPr>
              <w:t>936,209,000</w:t>
            </w:r>
          </w:p>
        </w:tc>
      </w:tr>
      <w:tr w:rsidR="00BC24A8" w14:paraId="46A3CCFB" w14:textId="77777777">
        <w:trPr>
          <w:trHeight w:val="333"/>
        </w:trPr>
        <w:tc>
          <w:tcPr>
            <w:tcW w:w="3310" w:type="dxa"/>
            <w:tcBorders>
              <w:top w:val="single" w:sz="4" w:space="0" w:color="BEBEBE"/>
              <w:bottom w:val="single" w:sz="4" w:space="0" w:color="BEBEBE"/>
            </w:tcBorders>
          </w:tcPr>
          <w:p w14:paraId="19B983E8" w14:textId="77777777" w:rsidR="00BC24A8" w:rsidRDefault="00000000">
            <w:pPr>
              <w:pStyle w:val="TableParagraph"/>
              <w:spacing w:before="56"/>
              <w:ind w:left="115"/>
              <w:rPr>
                <w:sz w:val="18"/>
              </w:rPr>
            </w:pPr>
            <w:r>
              <w:rPr>
                <w:sz w:val="18"/>
              </w:rPr>
              <w:t>Total</w:t>
            </w:r>
            <w:r>
              <w:rPr>
                <w:spacing w:val="-4"/>
                <w:sz w:val="18"/>
              </w:rPr>
              <w:t xml:space="preserve"> </w:t>
            </w:r>
            <w:r>
              <w:rPr>
                <w:spacing w:val="-2"/>
                <w:sz w:val="18"/>
              </w:rPr>
              <w:t>Expenditure</w:t>
            </w:r>
          </w:p>
        </w:tc>
        <w:tc>
          <w:tcPr>
            <w:tcW w:w="2686" w:type="dxa"/>
            <w:tcBorders>
              <w:top w:val="single" w:sz="4" w:space="0" w:color="BEBEBE"/>
              <w:bottom w:val="single" w:sz="4" w:space="0" w:color="BEBEBE"/>
            </w:tcBorders>
          </w:tcPr>
          <w:p w14:paraId="7D0624EF" w14:textId="77777777" w:rsidR="00BC24A8" w:rsidRDefault="00000000">
            <w:pPr>
              <w:pStyle w:val="TableParagraph"/>
              <w:spacing w:before="56"/>
              <w:ind w:left="568"/>
              <w:rPr>
                <w:sz w:val="18"/>
              </w:rPr>
            </w:pPr>
            <w:r>
              <w:rPr>
                <w:spacing w:val="-2"/>
                <w:sz w:val="18"/>
              </w:rPr>
              <w:t>5,075,139,278,188</w:t>
            </w:r>
          </w:p>
        </w:tc>
        <w:tc>
          <w:tcPr>
            <w:tcW w:w="3081" w:type="dxa"/>
            <w:tcBorders>
              <w:top w:val="single" w:sz="4" w:space="0" w:color="BEBEBE"/>
              <w:bottom w:val="single" w:sz="4" w:space="0" w:color="BEBEBE"/>
            </w:tcBorders>
          </w:tcPr>
          <w:p w14:paraId="6FC3D3DE" w14:textId="77777777" w:rsidR="00BC24A8" w:rsidRDefault="00000000">
            <w:pPr>
              <w:pStyle w:val="TableParagraph"/>
              <w:spacing w:before="56"/>
              <w:ind w:left="755"/>
              <w:rPr>
                <w:sz w:val="18"/>
              </w:rPr>
            </w:pPr>
            <w:r>
              <w:rPr>
                <w:spacing w:val="-2"/>
                <w:sz w:val="18"/>
              </w:rPr>
              <w:t>3,570,278,052,654</w:t>
            </w:r>
          </w:p>
        </w:tc>
      </w:tr>
      <w:tr w:rsidR="00BC24A8" w14:paraId="70BE45D9" w14:textId="77777777">
        <w:trPr>
          <w:trHeight w:val="333"/>
        </w:trPr>
        <w:tc>
          <w:tcPr>
            <w:tcW w:w="3310" w:type="dxa"/>
            <w:tcBorders>
              <w:top w:val="single" w:sz="4" w:space="0" w:color="BEBEBE"/>
              <w:bottom w:val="single" w:sz="4" w:space="0" w:color="BEBEBE"/>
            </w:tcBorders>
          </w:tcPr>
          <w:p w14:paraId="14FB913A" w14:textId="77777777" w:rsidR="00BC24A8" w:rsidRDefault="00000000">
            <w:pPr>
              <w:pStyle w:val="TableParagraph"/>
              <w:spacing w:before="59"/>
              <w:ind w:left="115"/>
              <w:rPr>
                <w:sz w:val="18"/>
              </w:rPr>
            </w:pPr>
            <w:r>
              <w:rPr>
                <w:sz w:val="18"/>
              </w:rPr>
              <w:t>Operating</w:t>
            </w:r>
            <w:r>
              <w:rPr>
                <w:spacing w:val="-3"/>
                <w:sz w:val="18"/>
              </w:rPr>
              <w:t xml:space="preserve"> </w:t>
            </w:r>
            <w:r>
              <w:rPr>
                <w:spacing w:val="-2"/>
                <w:sz w:val="18"/>
              </w:rPr>
              <w:t>Expenditure</w:t>
            </w:r>
          </w:p>
        </w:tc>
        <w:tc>
          <w:tcPr>
            <w:tcW w:w="2686" w:type="dxa"/>
            <w:tcBorders>
              <w:top w:val="single" w:sz="4" w:space="0" w:color="BEBEBE"/>
              <w:bottom w:val="single" w:sz="4" w:space="0" w:color="BEBEBE"/>
            </w:tcBorders>
          </w:tcPr>
          <w:p w14:paraId="11FF21F5" w14:textId="77777777" w:rsidR="00BC24A8" w:rsidRDefault="00000000">
            <w:pPr>
              <w:pStyle w:val="TableParagraph"/>
              <w:spacing w:before="59"/>
              <w:ind w:left="568"/>
              <w:rPr>
                <w:sz w:val="18"/>
              </w:rPr>
            </w:pPr>
            <w:r>
              <w:rPr>
                <w:spacing w:val="-2"/>
                <w:sz w:val="18"/>
              </w:rPr>
              <w:t>2,392,423,672,490</w:t>
            </w:r>
          </w:p>
        </w:tc>
        <w:tc>
          <w:tcPr>
            <w:tcW w:w="3081" w:type="dxa"/>
            <w:tcBorders>
              <w:top w:val="single" w:sz="4" w:space="0" w:color="BEBEBE"/>
              <w:bottom w:val="single" w:sz="4" w:space="0" w:color="BEBEBE"/>
            </w:tcBorders>
          </w:tcPr>
          <w:p w14:paraId="03C67D36" w14:textId="77777777" w:rsidR="00BC24A8" w:rsidRDefault="00000000">
            <w:pPr>
              <w:pStyle w:val="TableParagraph"/>
              <w:spacing w:before="59"/>
              <w:ind w:left="755"/>
              <w:rPr>
                <w:sz w:val="18"/>
              </w:rPr>
            </w:pPr>
            <w:r>
              <w:rPr>
                <w:spacing w:val="-2"/>
                <w:sz w:val="18"/>
              </w:rPr>
              <w:t>1,958,119,131,251</w:t>
            </w:r>
          </w:p>
        </w:tc>
      </w:tr>
      <w:tr w:rsidR="00BC24A8" w14:paraId="12C04AA3" w14:textId="77777777">
        <w:trPr>
          <w:trHeight w:val="335"/>
        </w:trPr>
        <w:tc>
          <w:tcPr>
            <w:tcW w:w="3310" w:type="dxa"/>
            <w:tcBorders>
              <w:top w:val="single" w:sz="4" w:space="0" w:color="BEBEBE"/>
              <w:bottom w:val="single" w:sz="4" w:space="0" w:color="BEBEBE"/>
            </w:tcBorders>
          </w:tcPr>
          <w:p w14:paraId="4E8A8FBD" w14:textId="77777777" w:rsidR="00BC24A8" w:rsidRDefault="00000000">
            <w:pPr>
              <w:pStyle w:val="TableParagraph"/>
              <w:spacing w:before="59"/>
              <w:ind w:left="115"/>
              <w:rPr>
                <w:sz w:val="18"/>
              </w:rPr>
            </w:pPr>
            <w:r>
              <w:rPr>
                <w:sz w:val="18"/>
              </w:rPr>
              <w:t>Capital</w:t>
            </w:r>
            <w:r>
              <w:rPr>
                <w:spacing w:val="-3"/>
                <w:sz w:val="18"/>
              </w:rPr>
              <w:t xml:space="preserve"> </w:t>
            </w:r>
            <w:r>
              <w:rPr>
                <w:spacing w:val="-2"/>
                <w:sz w:val="18"/>
              </w:rPr>
              <w:t>Expenditure</w:t>
            </w:r>
          </w:p>
        </w:tc>
        <w:tc>
          <w:tcPr>
            <w:tcW w:w="2686" w:type="dxa"/>
            <w:tcBorders>
              <w:top w:val="single" w:sz="4" w:space="0" w:color="BEBEBE"/>
              <w:bottom w:val="single" w:sz="4" w:space="0" w:color="BEBEBE"/>
            </w:tcBorders>
          </w:tcPr>
          <w:p w14:paraId="34B933E1" w14:textId="77777777" w:rsidR="00BC24A8" w:rsidRDefault="00000000">
            <w:pPr>
              <w:pStyle w:val="TableParagraph"/>
              <w:spacing w:before="59"/>
              <w:ind w:left="638"/>
              <w:rPr>
                <w:sz w:val="18"/>
              </w:rPr>
            </w:pPr>
            <w:r>
              <w:rPr>
                <w:spacing w:val="-2"/>
                <w:sz w:val="18"/>
              </w:rPr>
              <w:t>800,832,667,373</w:t>
            </w:r>
          </w:p>
        </w:tc>
        <w:tc>
          <w:tcPr>
            <w:tcW w:w="3081" w:type="dxa"/>
            <w:tcBorders>
              <w:top w:val="single" w:sz="4" w:space="0" w:color="BEBEBE"/>
              <w:bottom w:val="single" w:sz="4" w:space="0" w:color="BEBEBE"/>
            </w:tcBorders>
          </w:tcPr>
          <w:p w14:paraId="40081FFF" w14:textId="77777777" w:rsidR="00BC24A8" w:rsidRDefault="00000000">
            <w:pPr>
              <w:pStyle w:val="TableParagraph"/>
              <w:spacing w:before="59"/>
              <w:ind w:left="822"/>
              <w:rPr>
                <w:sz w:val="18"/>
              </w:rPr>
            </w:pPr>
            <w:r>
              <w:rPr>
                <w:spacing w:val="-2"/>
                <w:sz w:val="18"/>
              </w:rPr>
              <w:t>553,970,355,044</w:t>
            </w:r>
          </w:p>
        </w:tc>
      </w:tr>
      <w:tr w:rsidR="00BC24A8" w14:paraId="5F0E25A1" w14:textId="77777777">
        <w:trPr>
          <w:trHeight w:val="333"/>
        </w:trPr>
        <w:tc>
          <w:tcPr>
            <w:tcW w:w="3310" w:type="dxa"/>
            <w:tcBorders>
              <w:top w:val="single" w:sz="4" w:space="0" w:color="BEBEBE"/>
              <w:bottom w:val="single" w:sz="4" w:space="0" w:color="BEBEBE"/>
            </w:tcBorders>
          </w:tcPr>
          <w:p w14:paraId="75FC1040" w14:textId="77777777" w:rsidR="00BC24A8" w:rsidRDefault="00000000">
            <w:pPr>
              <w:pStyle w:val="TableParagraph"/>
              <w:spacing w:before="56"/>
              <w:ind w:left="115"/>
              <w:rPr>
                <w:sz w:val="18"/>
              </w:rPr>
            </w:pPr>
            <w:r>
              <w:rPr>
                <w:sz w:val="18"/>
              </w:rPr>
              <w:t>Contingency</w:t>
            </w:r>
            <w:r>
              <w:rPr>
                <w:spacing w:val="-3"/>
                <w:sz w:val="18"/>
              </w:rPr>
              <w:t xml:space="preserve"> </w:t>
            </w:r>
            <w:r>
              <w:rPr>
                <w:spacing w:val="-2"/>
                <w:sz w:val="18"/>
              </w:rPr>
              <w:t>Expenditure</w:t>
            </w:r>
          </w:p>
        </w:tc>
        <w:tc>
          <w:tcPr>
            <w:tcW w:w="2686" w:type="dxa"/>
            <w:tcBorders>
              <w:top w:val="single" w:sz="4" w:space="0" w:color="BEBEBE"/>
              <w:bottom w:val="single" w:sz="4" w:space="0" w:color="BEBEBE"/>
            </w:tcBorders>
          </w:tcPr>
          <w:p w14:paraId="62085A90" w14:textId="77777777" w:rsidR="00BC24A8" w:rsidRDefault="00000000">
            <w:pPr>
              <w:pStyle w:val="TableParagraph"/>
              <w:spacing w:before="56"/>
              <w:ind w:left="638"/>
              <w:rPr>
                <w:sz w:val="18"/>
              </w:rPr>
            </w:pPr>
            <w:r>
              <w:rPr>
                <w:spacing w:val="-2"/>
                <w:sz w:val="18"/>
              </w:rPr>
              <w:t>128,200,002,478</w:t>
            </w:r>
          </w:p>
        </w:tc>
        <w:tc>
          <w:tcPr>
            <w:tcW w:w="3081" w:type="dxa"/>
            <w:tcBorders>
              <w:top w:val="single" w:sz="4" w:space="0" w:color="BEBEBE"/>
              <w:bottom w:val="single" w:sz="4" w:space="0" w:color="BEBEBE"/>
            </w:tcBorders>
          </w:tcPr>
          <w:p w14:paraId="75873521" w14:textId="77777777" w:rsidR="00BC24A8" w:rsidRDefault="00000000">
            <w:pPr>
              <w:pStyle w:val="TableParagraph"/>
              <w:spacing w:before="56"/>
              <w:ind w:left="868"/>
              <w:rPr>
                <w:sz w:val="18"/>
              </w:rPr>
            </w:pPr>
            <w:r>
              <w:rPr>
                <w:spacing w:val="-2"/>
                <w:sz w:val="18"/>
              </w:rPr>
              <w:t>30,000,000,000</w:t>
            </w:r>
          </w:p>
        </w:tc>
      </w:tr>
      <w:tr w:rsidR="00BC24A8" w14:paraId="5F052B51" w14:textId="77777777">
        <w:trPr>
          <w:trHeight w:val="333"/>
        </w:trPr>
        <w:tc>
          <w:tcPr>
            <w:tcW w:w="3310" w:type="dxa"/>
            <w:tcBorders>
              <w:top w:val="single" w:sz="4" w:space="0" w:color="BEBEBE"/>
              <w:bottom w:val="single" w:sz="4" w:space="0" w:color="BEBEBE"/>
            </w:tcBorders>
          </w:tcPr>
          <w:p w14:paraId="3CC66808" w14:textId="77777777" w:rsidR="00BC24A8" w:rsidRDefault="00000000">
            <w:pPr>
              <w:pStyle w:val="TableParagraph"/>
              <w:spacing w:before="56"/>
              <w:ind w:left="115"/>
              <w:rPr>
                <w:sz w:val="18"/>
              </w:rPr>
            </w:pPr>
            <w:r>
              <w:rPr>
                <w:sz w:val="18"/>
              </w:rPr>
              <w:t>Transfer</w:t>
            </w:r>
            <w:r>
              <w:rPr>
                <w:spacing w:val="-6"/>
                <w:sz w:val="18"/>
              </w:rPr>
              <w:t xml:space="preserve"> </w:t>
            </w:r>
            <w:r>
              <w:rPr>
                <w:spacing w:val="-2"/>
                <w:sz w:val="18"/>
              </w:rPr>
              <w:t>Expenditure</w:t>
            </w:r>
          </w:p>
        </w:tc>
        <w:tc>
          <w:tcPr>
            <w:tcW w:w="2686" w:type="dxa"/>
            <w:tcBorders>
              <w:top w:val="single" w:sz="4" w:space="0" w:color="BEBEBE"/>
              <w:bottom w:val="single" w:sz="4" w:space="0" w:color="BEBEBE"/>
            </w:tcBorders>
          </w:tcPr>
          <w:p w14:paraId="2291CCE1" w14:textId="77777777" w:rsidR="00BC24A8" w:rsidRDefault="00000000">
            <w:pPr>
              <w:pStyle w:val="TableParagraph"/>
              <w:spacing w:before="56"/>
              <w:ind w:left="568"/>
              <w:rPr>
                <w:sz w:val="18"/>
              </w:rPr>
            </w:pPr>
            <w:r>
              <w:rPr>
                <w:spacing w:val="-2"/>
                <w:sz w:val="18"/>
              </w:rPr>
              <w:t>1,753,682,935,847</w:t>
            </w:r>
          </w:p>
        </w:tc>
        <w:tc>
          <w:tcPr>
            <w:tcW w:w="3081" w:type="dxa"/>
            <w:tcBorders>
              <w:top w:val="single" w:sz="4" w:space="0" w:color="BEBEBE"/>
              <w:bottom w:val="single" w:sz="4" w:space="0" w:color="BEBEBE"/>
            </w:tcBorders>
          </w:tcPr>
          <w:p w14:paraId="4E6DA2A3" w14:textId="77777777" w:rsidR="00BC24A8" w:rsidRDefault="00000000">
            <w:pPr>
              <w:pStyle w:val="TableParagraph"/>
              <w:spacing w:before="56"/>
              <w:ind w:left="755"/>
              <w:rPr>
                <w:sz w:val="18"/>
              </w:rPr>
            </w:pPr>
            <w:r>
              <w:rPr>
                <w:spacing w:val="-2"/>
                <w:sz w:val="18"/>
              </w:rPr>
              <w:t>1,028,188,566,359</w:t>
            </w:r>
          </w:p>
        </w:tc>
      </w:tr>
      <w:tr w:rsidR="00BC24A8" w14:paraId="48A42EAE" w14:textId="77777777">
        <w:trPr>
          <w:trHeight w:val="333"/>
        </w:trPr>
        <w:tc>
          <w:tcPr>
            <w:tcW w:w="3310" w:type="dxa"/>
            <w:tcBorders>
              <w:top w:val="single" w:sz="4" w:space="0" w:color="BEBEBE"/>
              <w:bottom w:val="single" w:sz="4" w:space="0" w:color="BEBEBE"/>
            </w:tcBorders>
          </w:tcPr>
          <w:p w14:paraId="645BB60A" w14:textId="77777777" w:rsidR="00BC24A8" w:rsidRDefault="00000000">
            <w:pPr>
              <w:pStyle w:val="TableParagraph"/>
              <w:spacing w:before="56"/>
              <w:ind w:left="115"/>
              <w:rPr>
                <w:sz w:val="18"/>
              </w:rPr>
            </w:pPr>
            <w:r>
              <w:rPr>
                <w:sz w:val="18"/>
              </w:rPr>
              <w:t>Regional</w:t>
            </w:r>
            <w:r>
              <w:rPr>
                <w:spacing w:val="-2"/>
                <w:sz w:val="18"/>
              </w:rPr>
              <w:t xml:space="preserve"> Financing</w:t>
            </w:r>
          </w:p>
        </w:tc>
        <w:tc>
          <w:tcPr>
            <w:tcW w:w="2686" w:type="dxa"/>
            <w:tcBorders>
              <w:top w:val="single" w:sz="4" w:space="0" w:color="BEBEBE"/>
              <w:bottom w:val="single" w:sz="4" w:space="0" w:color="BEBEBE"/>
            </w:tcBorders>
          </w:tcPr>
          <w:p w14:paraId="2D6381E3" w14:textId="77777777" w:rsidR="00BC24A8" w:rsidRDefault="00000000">
            <w:pPr>
              <w:pStyle w:val="TableParagraph"/>
              <w:spacing w:before="56"/>
              <w:ind w:left="638"/>
              <w:rPr>
                <w:sz w:val="18"/>
              </w:rPr>
            </w:pPr>
            <w:r>
              <w:rPr>
                <w:spacing w:val="-2"/>
                <w:sz w:val="18"/>
              </w:rPr>
              <w:t>548,448,612,280</w:t>
            </w:r>
          </w:p>
        </w:tc>
        <w:tc>
          <w:tcPr>
            <w:tcW w:w="3081" w:type="dxa"/>
            <w:tcBorders>
              <w:top w:val="single" w:sz="4" w:space="0" w:color="BEBEBE"/>
              <w:bottom w:val="single" w:sz="4" w:space="0" w:color="BEBEBE"/>
            </w:tcBorders>
          </w:tcPr>
          <w:p w14:paraId="5D7ABCA7" w14:textId="77777777" w:rsidR="00BC24A8" w:rsidRDefault="00000000">
            <w:pPr>
              <w:pStyle w:val="TableParagraph"/>
              <w:spacing w:before="56"/>
              <w:ind w:left="822"/>
              <w:rPr>
                <w:sz w:val="18"/>
              </w:rPr>
            </w:pPr>
            <w:r>
              <w:rPr>
                <w:spacing w:val="-2"/>
                <w:sz w:val="18"/>
              </w:rPr>
              <w:t>100,000,000,000</w:t>
            </w:r>
          </w:p>
        </w:tc>
      </w:tr>
      <w:tr w:rsidR="00BC24A8" w14:paraId="3DBD5888" w14:textId="77777777">
        <w:trPr>
          <w:trHeight w:val="335"/>
        </w:trPr>
        <w:tc>
          <w:tcPr>
            <w:tcW w:w="3310" w:type="dxa"/>
            <w:tcBorders>
              <w:top w:val="single" w:sz="4" w:space="0" w:color="BEBEBE"/>
              <w:bottom w:val="single" w:sz="4" w:space="0" w:color="BEBEBE"/>
            </w:tcBorders>
          </w:tcPr>
          <w:p w14:paraId="5D9FA525" w14:textId="77777777" w:rsidR="00BC24A8" w:rsidRDefault="00000000">
            <w:pPr>
              <w:pStyle w:val="TableParagraph"/>
              <w:spacing w:before="59"/>
              <w:ind w:left="115"/>
              <w:rPr>
                <w:sz w:val="18"/>
              </w:rPr>
            </w:pPr>
            <w:r>
              <w:rPr>
                <w:sz w:val="18"/>
              </w:rPr>
              <w:t>Financing</w:t>
            </w:r>
            <w:r>
              <w:rPr>
                <w:spacing w:val="1"/>
                <w:sz w:val="18"/>
              </w:rPr>
              <w:t xml:space="preserve"> </w:t>
            </w:r>
            <w:r>
              <w:rPr>
                <w:spacing w:val="-2"/>
                <w:sz w:val="18"/>
              </w:rPr>
              <w:t>Receipts</w:t>
            </w:r>
          </w:p>
        </w:tc>
        <w:tc>
          <w:tcPr>
            <w:tcW w:w="2686" w:type="dxa"/>
            <w:tcBorders>
              <w:top w:val="single" w:sz="4" w:space="0" w:color="BEBEBE"/>
              <w:bottom w:val="single" w:sz="4" w:space="0" w:color="BEBEBE"/>
            </w:tcBorders>
          </w:tcPr>
          <w:p w14:paraId="508F77C6" w14:textId="77777777" w:rsidR="00BC24A8" w:rsidRDefault="00000000">
            <w:pPr>
              <w:pStyle w:val="TableParagraph"/>
              <w:spacing w:before="59"/>
              <w:ind w:left="638"/>
              <w:rPr>
                <w:sz w:val="18"/>
              </w:rPr>
            </w:pPr>
            <w:r>
              <w:rPr>
                <w:spacing w:val="-2"/>
                <w:sz w:val="18"/>
              </w:rPr>
              <w:t>548,448,612,280</w:t>
            </w:r>
          </w:p>
        </w:tc>
        <w:tc>
          <w:tcPr>
            <w:tcW w:w="3081" w:type="dxa"/>
            <w:tcBorders>
              <w:top w:val="single" w:sz="4" w:space="0" w:color="BEBEBE"/>
              <w:bottom w:val="single" w:sz="4" w:space="0" w:color="BEBEBE"/>
            </w:tcBorders>
          </w:tcPr>
          <w:p w14:paraId="2AF2C005" w14:textId="77777777" w:rsidR="00BC24A8" w:rsidRDefault="00000000">
            <w:pPr>
              <w:pStyle w:val="TableParagraph"/>
              <w:spacing w:before="59"/>
              <w:ind w:left="822"/>
              <w:rPr>
                <w:sz w:val="18"/>
              </w:rPr>
            </w:pPr>
            <w:r>
              <w:rPr>
                <w:spacing w:val="-2"/>
                <w:sz w:val="18"/>
              </w:rPr>
              <w:t>100,000,000,000</w:t>
            </w:r>
          </w:p>
        </w:tc>
      </w:tr>
    </w:tbl>
    <w:p w14:paraId="23FA35A5" w14:textId="77777777" w:rsidR="00BC24A8" w:rsidRDefault="00000000">
      <w:pPr>
        <w:spacing w:before="127"/>
        <w:ind w:left="143"/>
        <w:rPr>
          <w:sz w:val="16"/>
        </w:rPr>
      </w:pPr>
      <w:r>
        <w:rPr>
          <w:sz w:val="16"/>
        </w:rPr>
        <w:t>Data</w:t>
      </w:r>
      <w:r>
        <w:rPr>
          <w:spacing w:val="-6"/>
          <w:sz w:val="16"/>
        </w:rPr>
        <w:t xml:space="preserve"> </w:t>
      </w:r>
      <w:r>
        <w:rPr>
          <w:sz w:val="16"/>
        </w:rPr>
        <w:t>source</w:t>
      </w:r>
      <w:r>
        <w:rPr>
          <w:spacing w:val="-4"/>
          <w:sz w:val="16"/>
        </w:rPr>
        <w:t xml:space="preserve"> </w:t>
      </w:r>
      <w:r>
        <w:rPr>
          <w:i/>
          <w:sz w:val="16"/>
        </w:rPr>
        <w:t>:</w:t>
      </w:r>
      <w:r>
        <w:rPr>
          <w:i/>
          <w:spacing w:val="-3"/>
          <w:sz w:val="16"/>
        </w:rPr>
        <w:t xml:space="preserve"> </w:t>
      </w:r>
      <w:hyperlink r:id="rId55">
        <w:r w:rsidR="00BC24A8">
          <w:rPr>
            <w:color w:val="0562C1"/>
            <w:spacing w:val="-2"/>
            <w:sz w:val="16"/>
            <w:u w:val="single" w:color="0562C1"/>
          </w:rPr>
          <w:t>https://djpk.kemenkeu.go.id/</w:t>
        </w:r>
      </w:hyperlink>
    </w:p>
    <w:p w14:paraId="50E8C56B" w14:textId="77777777" w:rsidR="00BC24A8" w:rsidRDefault="00BC24A8">
      <w:pPr>
        <w:rPr>
          <w:sz w:val="16"/>
        </w:rPr>
        <w:sectPr w:rsidR="00BC24A8">
          <w:pgSz w:w="11910" w:h="16840"/>
          <w:pgMar w:top="1360" w:right="850" w:bottom="1100" w:left="1275" w:header="0" w:footer="907" w:gutter="0"/>
          <w:cols w:space="720"/>
        </w:sectPr>
      </w:pPr>
    </w:p>
    <w:p w14:paraId="0CEA88D8" w14:textId="77777777" w:rsidR="00BC24A8" w:rsidRDefault="00000000">
      <w:pPr>
        <w:pStyle w:val="BodyText"/>
        <w:spacing w:before="39" w:line="278" w:lineRule="auto"/>
        <w:ind w:left="143" w:right="564"/>
        <w:jc w:val="both"/>
      </w:pPr>
      <w:r>
        <w:t>The Regional Revenue and Expenditure Budget (APBD) of Papua Barat Province declined significantly from</w:t>
      </w:r>
      <w:r>
        <w:rPr>
          <w:spacing w:val="-1"/>
        </w:rPr>
        <w:t xml:space="preserve"> </w:t>
      </w:r>
      <w:r>
        <w:t>2024</w:t>
      </w:r>
      <w:r>
        <w:rPr>
          <w:spacing w:val="-1"/>
        </w:rPr>
        <w:t xml:space="preserve"> </w:t>
      </w:r>
      <w:r>
        <w:t>to</w:t>
      </w:r>
      <w:r>
        <w:rPr>
          <w:spacing w:val="-1"/>
        </w:rPr>
        <w:t xml:space="preserve"> </w:t>
      </w:r>
      <w:r>
        <w:t>2025, with</w:t>
      </w:r>
      <w:r>
        <w:rPr>
          <w:spacing w:val="-1"/>
        </w:rPr>
        <w:t xml:space="preserve"> </w:t>
      </w:r>
      <w:r>
        <w:t>revenues</w:t>
      </w:r>
      <w:r>
        <w:rPr>
          <w:spacing w:val="-3"/>
        </w:rPr>
        <w:t xml:space="preserve"> </w:t>
      </w:r>
      <w:r>
        <w:t>dropping</w:t>
      </w:r>
      <w:r>
        <w:rPr>
          <w:spacing w:val="-2"/>
        </w:rPr>
        <w:t xml:space="preserve"> </w:t>
      </w:r>
      <w:r>
        <w:t>from</w:t>
      </w:r>
      <w:r>
        <w:rPr>
          <w:spacing w:val="-1"/>
        </w:rPr>
        <w:t xml:space="preserve"> </w:t>
      </w:r>
      <w:r>
        <w:t>IDR</w:t>
      </w:r>
      <w:r>
        <w:rPr>
          <w:spacing w:val="-4"/>
        </w:rPr>
        <w:t xml:space="preserve"> </w:t>
      </w:r>
      <w:r>
        <w:t>4.52</w:t>
      </w:r>
      <w:r>
        <w:rPr>
          <w:spacing w:val="-1"/>
        </w:rPr>
        <w:t xml:space="preserve"> </w:t>
      </w:r>
      <w:r>
        <w:t>trillion</w:t>
      </w:r>
      <w:r>
        <w:rPr>
          <w:spacing w:val="-1"/>
        </w:rPr>
        <w:t xml:space="preserve"> </w:t>
      </w:r>
      <w:r>
        <w:t>to</w:t>
      </w:r>
      <w:r>
        <w:rPr>
          <w:spacing w:val="-1"/>
        </w:rPr>
        <w:t xml:space="preserve"> </w:t>
      </w:r>
      <w:r>
        <w:t>IDR</w:t>
      </w:r>
      <w:r>
        <w:rPr>
          <w:spacing w:val="-1"/>
        </w:rPr>
        <w:t xml:space="preserve"> </w:t>
      </w:r>
      <w:r>
        <w:t>3.47</w:t>
      </w:r>
      <w:r>
        <w:rPr>
          <w:spacing w:val="-1"/>
        </w:rPr>
        <w:t xml:space="preserve"> </w:t>
      </w:r>
      <w:r>
        <w:t>trillion, and</w:t>
      </w:r>
      <w:r>
        <w:rPr>
          <w:spacing w:val="-1"/>
        </w:rPr>
        <w:t xml:space="preserve"> </w:t>
      </w:r>
      <w:r>
        <w:t>expenditures from IDR 5.07 trillion to IDR 3.57 trillion. The province’s fiscal capacity remains largely dependent on central government transfers, reflecting low fiscal independence.</w:t>
      </w:r>
    </w:p>
    <w:p w14:paraId="1C907A52" w14:textId="77777777" w:rsidR="00BC24A8" w:rsidRDefault="00BC24A8">
      <w:pPr>
        <w:pStyle w:val="BodyText"/>
        <w:spacing w:before="201"/>
      </w:pPr>
    </w:p>
    <w:p w14:paraId="6DB169F0" w14:textId="77777777" w:rsidR="00BC24A8" w:rsidRDefault="00000000">
      <w:pPr>
        <w:ind w:left="143"/>
        <w:rPr>
          <w:rFonts w:ascii="Calibri"/>
          <w:i/>
        </w:rPr>
      </w:pPr>
      <w:r>
        <w:rPr>
          <w:rFonts w:ascii="Calibri"/>
          <w:i/>
          <w:color w:val="272727"/>
        </w:rPr>
        <w:t>Dynamics</w:t>
      </w:r>
      <w:r>
        <w:rPr>
          <w:rFonts w:ascii="Calibri"/>
          <w:i/>
          <w:color w:val="272727"/>
          <w:spacing w:val="-6"/>
        </w:rPr>
        <w:t xml:space="preserve"> </w:t>
      </w:r>
      <w:r>
        <w:rPr>
          <w:rFonts w:ascii="Calibri"/>
          <w:i/>
          <w:color w:val="272727"/>
        </w:rPr>
        <w:t>shaping</w:t>
      </w:r>
      <w:r>
        <w:rPr>
          <w:rFonts w:ascii="Calibri"/>
          <w:i/>
          <w:color w:val="272727"/>
          <w:spacing w:val="-6"/>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6"/>
        </w:rPr>
        <w:t xml:space="preserve"> </w:t>
      </w:r>
      <w:r>
        <w:rPr>
          <w:rFonts w:ascii="Calibri"/>
          <w:i/>
          <w:color w:val="272727"/>
          <w:spacing w:val="-2"/>
        </w:rPr>
        <w:t>implementation</w:t>
      </w:r>
    </w:p>
    <w:p w14:paraId="4A3A0756" w14:textId="77777777" w:rsidR="00BC24A8" w:rsidRDefault="00000000">
      <w:pPr>
        <w:pStyle w:val="BodyText"/>
        <w:spacing w:before="20" w:line="278" w:lineRule="auto"/>
        <w:ind w:left="143" w:right="563"/>
        <w:jc w:val="both"/>
      </w:pPr>
      <w:r>
        <w:t>Papua Barat is undergoing a leadership transition with the appointment of a new governor, deputy governor, Regional People’s Representative Council (</w:t>
      </w:r>
      <w:r>
        <w:rPr>
          <w:i/>
        </w:rPr>
        <w:t>DPR – Dewan Perwakilan Rakyat Daerah</w:t>
      </w:r>
      <w:r>
        <w:t>), and Papua People’s Assembly (</w:t>
      </w:r>
      <w:r>
        <w:rPr>
          <w:i/>
        </w:rPr>
        <w:t>MRP – Majelis Rakyat Papua</w:t>
      </w:r>
      <w:r>
        <w:t xml:space="preserve">). Structural changes to Regional Apparatus Organisations (OPD – Organisasi Perangkat Daerah) can only be made six months after inauguration. During this semester, SKALA has therefore focused on building relationships with these new </w:t>
      </w:r>
      <w:r>
        <w:rPr>
          <w:spacing w:val="-2"/>
        </w:rPr>
        <w:t>stakeholders.</w:t>
      </w:r>
    </w:p>
    <w:p w14:paraId="2F383E7E" w14:textId="77777777" w:rsidR="00BC24A8" w:rsidRDefault="00000000">
      <w:pPr>
        <w:spacing w:before="158" w:line="278" w:lineRule="auto"/>
        <w:ind w:left="143" w:right="563"/>
        <w:jc w:val="both"/>
      </w:pPr>
      <w:r>
        <w:t>At the same time, the Papua Barat government is focusing on preparing the 2025–2029 Regional Medium-Term</w:t>
      </w:r>
      <w:r>
        <w:rPr>
          <w:spacing w:val="-8"/>
        </w:rPr>
        <w:t xml:space="preserve"> </w:t>
      </w:r>
      <w:r>
        <w:t>Development</w:t>
      </w:r>
      <w:r>
        <w:rPr>
          <w:spacing w:val="-9"/>
        </w:rPr>
        <w:t xml:space="preserve"> </w:t>
      </w:r>
      <w:r>
        <w:t>Plan</w:t>
      </w:r>
      <w:r>
        <w:rPr>
          <w:spacing w:val="-8"/>
        </w:rPr>
        <w:t xml:space="preserve"> </w:t>
      </w:r>
      <w:r>
        <w:t>(</w:t>
      </w:r>
      <w:r>
        <w:rPr>
          <w:i/>
        </w:rPr>
        <w:t>RPJMD</w:t>
      </w:r>
      <w:r>
        <w:rPr>
          <w:i/>
          <w:spacing w:val="-10"/>
        </w:rPr>
        <w:t xml:space="preserve"> </w:t>
      </w:r>
      <w:r>
        <w:rPr>
          <w:i/>
        </w:rPr>
        <w:t>–</w:t>
      </w:r>
      <w:r>
        <w:rPr>
          <w:i/>
          <w:spacing w:val="-8"/>
        </w:rPr>
        <w:t xml:space="preserve"> </w:t>
      </w:r>
      <w:r>
        <w:rPr>
          <w:i/>
        </w:rPr>
        <w:t>Rencana</w:t>
      </w:r>
      <w:r>
        <w:rPr>
          <w:i/>
          <w:spacing w:val="-9"/>
        </w:rPr>
        <w:t xml:space="preserve"> </w:t>
      </w:r>
      <w:r>
        <w:rPr>
          <w:i/>
        </w:rPr>
        <w:t>Pembangunan</w:t>
      </w:r>
      <w:r>
        <w:rPr>
          <w:i/>
          <w:spacing w:val="-9"/>
        </w:rPr>
        <w:t xml:space="preserve"> </w:t>
      </w:r>
      <w:r>
        <w:rPr>
          <w:i/>
        </w:rPr>
        <w:t>Jangka</w:t>
      </w:r>
      <w:r>
        <w:rPr>
          <w:i/>
          <w:spacing w:val="-9"/>
        </w:rPr>
        <w:t xml:space="preserve"> </w:t>
      </w:r>
      <w:r>
        <w:rPr>
          <w:i/>
        </w:rPr>
        <w:t>Menengah</w:t>
      </w:r>
      <w:r>
        <w:rPr>
          <w:i/>
          <w:spacing w:val="-8"/>
        </w:rPr>
        <w:t xml:space="preserve"> </w:t>
      </w:r>
      <w:r>
        <w:rPr>
          <w:i/>
        </w:rPr>
        <w:t>Daerah</w:t>
      </w:r>
      <w:r>
        <w:t>)</w:t>
      </w:r>
      <w:r>
        <w:rPr>
          <w:spacing w:val="-9"/>
        </w:rPr>
        <w:t xml:space="preserve"> </w:t>
      </w:r>
      <w:r>
        <w:t>and</w:t>
      </w:r>
      <w:r>
        <w:rPr>
          <w:spacing w:val="-8"/>
        </w:rPr>
        <w:t xml:space="preserve"> </w:t>
      </w:r>
      <w:r>
        <w:t>the 2026 Regional Government Work Plan (</w:t>
      </w:r>
      <w:r>
        <w:rPr>
          <w:i/>
        </w:rPr>
        <w:t>RKPD – Rencana Kerja Pemerintah Daerah</w:t>
      </w:r>
      <w:r>
        <w:t>), which require substantial</w:t>
      </w:r>
      <w:r>
        <w:rPr>
          <w:spacing w:val="-10"/>
        </w:rPr>
        <w:t xml:space="preserve"> </w:t>
      </w:r>
      <w:r>
        <w:t>time</w:t>
      </w:r>
      <w:r>
        <w:rPr>
          <w:spacing w:val="-11"/>
        </w:rPr>
        <w:t xml:space="preserve"> </w:t>
      </w:r>
      <w:r>
        <w:t>and</w:t>
      </w:r>
      <w:r>
        <w:rPr>
          <w:spacing w:val="-9"/>
        </w:rPr>
        <w:t xml:space="preserve"> </w:t>
      </w:r>
      <w:r>
        <w:t>incorporate</w:t>
      </w:r>
      <w:r>
        <w:rPr>
          <w:spacing w:val="-11"/>
        </w:rPr>
        <w:t xml:space="preserve"> </w:t>
      </w:r>
      <w:r>
        <w:t>both</w:t>
      </w:r>
      <w:r>
        <w:rPr>
          <w:spacing w:val="-9"/>
        </w:rPr>
        <w:t xml:space="preserve"> </w:t>
      </w:r>
      <w:r>
        <w:t>national</w:t>
      </w:r>
      <w:r>
        <w:rPr>
          <w:spacing w:val="-10"/>
        </w:rPr>
        <w:t xml:space="preserve"> </w:t>
      </w:r>
      <w:r>
        <w:t>and</w:t>
      </w:r>
      <w:r>
        <w:rPr>
          <w:spacing w:val="-9"/>
        </w:rPr>
        <w:t xml:space="preserve"> </w:t>
      </w:r>
      <w:r>
        <w:t>regional</w:t>
      </w:r>
      <w:r>
        <w:rPr>
          <w:spacing w:val="-10"/>
        </w:rPr>
        <w:t xml:space="preserve"> </w:t>
      </w:r>
      <w:r>
        <w:t>priorities.</w:t>
      </w:r>
      <w:r>
        <w:rPr>
          <w:spacing w:val="-11"/>
        </w:rPr>
        <w:t xml:space="preserve"> </w:t>
      </w:r>
      <w:r>
        <w:t>SKALA</w:t>
      </w:r>
      <w:r>
        <w:rPr>
          <w:spacing w:val="-9"/>
        </w:rPr>
        <w:t xml:space="preserve"> </w:t>
      </w:r>
      <w:r>
        <w:t>needs</w:t>
      </w:r>
      <w:r>
        <w:rPr>
          <w:spacing w:val="-11"/>
        </w:rPr>
        <w:t xml:space="preserve"> </w:t>
      </w:r>
      <w:r>
        <w:t>to</w:t>
      </w:r>
      <w:r>
        <w:rPr>
          <w:spacing w:val="-10"/>
        </w:rPr>
        <w:t xml:space="preserve"> </w:t>
      </w:r>
      <w:r>
        <w:t>adjust</w:t>
      </w:r>
      <w:r>
        <w:rPr>
          <w:spacing w:val="-10"/>
        </w:rPr>
        <w:t xml:space="preserve"> </w:t>
      </w:r>
      <w:r>
        <w:t>its</w:t>
      </w:r>
      <w:r>
        <w:rPr>
          <w:spacing w:val="-9"/>
        </w:rPr>
        <w:t xml:space="preserve"> </w:t>
      </w:r>
      <w:r>
        <w:t>support to align with these priorities.</w:t>
      </w:r>
    </w:p>
    <w:p w14:paraId="1BC22FDB" w14:textId="77777777" w:rsidR="00BC24A8" w:rsidRDefault="00000000">
      <w:pPr>
        <w:pStyle w:val="BodyText"/>
        <w:spacing w:before="156" w:line="278" w:lineRule="auto"/>
        <w:ind w:left="143" w:right="562"/>
        <w:jc w:val="both"/>
      </w:pPr>
      <w:r>
        <w:t xml:space="preserve">Meanwhile, the central government’s efficiency policy has required the new regional leadership to manage budgets more cautiously. This has also delayed the finalisation of the 2025 Special Autonomy </w:t>
      </w:r>
      <w:r>
        <w:rPr>
          <w:spacing w:val="-2"/>
        </w:rPr>
        <w:t>Budget</w:t>
      </w:r>
      <w:r>
        <w:rPr>
          <w:spacing w:val="-4"/>
        </w:rPr>
        <w:t xml:space="preserve"> </w:t>
      </w:r>
      <w:r>
        <w:rPr>
          <w:spacing w:val="-2"/>
        </w:rPr>
        <w:t>and</w:t>
      </w:r>
      <w:r>
        <w:rPr>
          <w:spacing w:val="-7"/>
        </w:rPr>
        <w:t xml:space="preserve"> </w:t>
      </w:r>
      <w:r>
        <w:rPr>
          <w:spacing w:val="-2"/>
        </w:rPr>
        <w:t>Program</w:t>
      </w:r>
      <w:r>
        <w:rPr>
          <w:spacing w:val="-3"/>
        </w:rPr>
        <w:t xml:space="preserve"> </w:t>
      </w:r>
      <w:r>
        <w:rPr>
          <w:spacing w:val="-2"/>
        </w:rPr>
        <w:t>Plan</w:t>
      </w:r>
      <w:r>
        <w:rPr>
          <w:spacing w:val="-7"/>
        </w:rPr>
        <w:t xml:space="preserve"> </w:t>
      </w:r>
      <w:r>
        <w:rPr>
          <w:spacing w:val="-2"/>
        </w:rPr>
        <w:t>(</w:t>
      </w:r>
      <w:r>
        <w:rPr>
          <w:i/>
          <w:spacing w:val="-2"/>
        </w:rPr>
        <w:t>RAP</w:t>
      </w:r>
      <w:r>
        <w:rPr>
          <w:i/>
          <w:spacing w:val="-7"/>
        </w:rPr>
        <w:t xml:space="preserve"> </w:t>
      </w:r>
      <w:r>
        <w:rPr>
          <w:i/>
          <w:spacing w:val="-2"/>
        </w:rPr>
        <w:t>Otsus</w:t>
      </w:r>
      <w:r>
        <w:rPr>
          <w:i/>
          <w:spacing w:val="-5"/>
        </w:rPr>
        <w:t xml:space="preserve"> </w:t>
      </w:r>
      <w:r>
        <w:rPr>
          <w:i/>
          <w:spacing w:val="-2"/>
        </w:rPr>
        <w:t>–</w:t>
      </w:r>
      <w:r>
        <w:rPr>
          <w:i/>
          <w:spacing w:val="-3"/>
        </w:rPr>
        <w:t xml:space="preserve"> </w:t>
      </w:r>
      <w:r>
        <w:rPr>
          <w:i/>
          <w:spacing w:val="-2"/>
        </w:rPr>
        <w:t>Rencana</w:t>
      </w:r>
      <w:r>
        <w:rPr>
          <w:i/>
          <w:spacing w:val="-5"/>
        </w:rPr>
        <w:t xml:space="preserve"> </w:t>
      </w:r>
      <w:r>
        <w:rPr>
          <w:i/>
          <w:spacing w:val="-2"/>
        </w:rPr>
        <w:t>Anggaran</w:t>
      </w:r>
      <w:r>
        <w:rPr>
          <w:i/>
          <w:spacing w:val="-5"/>
        </w:rPr>
        <w:t xml:space="preserve"> </w:t>
      </w:r>
      <w:r>
        <w:rPr>
          <w:i/>
          <w:spacing w:val="-2"/>
        </w:rPr>
        <w:t>dan</w:t>
      </w:r>
      <w:r>
        <w:rPr>
          <w:i/>
          <w:spacing w:val="-3"/>
        </w:rPr>
        <w:t xml:space="preserve"> </w:t>
      </w:r>
      <w:r>
        <w:rPr>
          <w:i/>
          <w:spacing w:val="-2"/>
        </w:rPr>
        <w:t>Program</w:t>
      </w:r>
      <w:r>
        <w:rPr>
          <w:i/>
          <w:spacing w:val="-8"/>
        </w:rPr>
        <w:t xml:space="preserve"> </w:t>
      </w:r>
      <w:r>
        <w:rPr>
          <w:i/>
          <w:spacing w:val="-2"/>
        </w:rPr>
        <w:t>Otonomi</w:t>
      </w:r>
      <w:r>
        <w:rPr>
          <w:i/>
          <w:spacing w:val="-5"/>
        </w:rPr>
        <w:t xml:space="preserve"> </w:t>
      </w:r>
      <w:r>
        <w:rPr>
          <w:i/>
          <w:spacing w:val="-2"/>
        </w:rPr>
        <w:t>Khusus</w:t>
      </w:r>
      <w:r>
        <w:rPr>
          <w:spacing w:val="-2"/>
        </w:rPr>
        <w:t>)</w:t>
      </w:r>
      <w:r>
        <w:rPr>
          <w:spacing w:val="-5"/>
        </w:rPr>
        <w:t xml:space="preserve"> </w:t>
      </w:r>
      <w:r>
        <w:rPr>
          <w:spacing w:val="-2"/>
        </w:rPr>
        <w:t>until</w:t>
      </w:r>
      <w:r>
        <w:rPr>
          <w:spacing w:val="-5"/>
        </w:rPr>
        <w:t xml:space="preserve"> </w:t>
      </w:r>
      <w:r>
        <w:rPr>
          <w:spacing w:val="-2"/>
        </w:rPr>
        <w:t>July</w:t>
      </w:r>
      <w:r>
        <w:rPr>
          <w:spacing w:val="-3"/>
        </w:rPr>
        <w:t xml:space="preserve"> </w:t>
      </w:r>
      <w:r>
        <w:rPr>
          <w:spacing w:val="-2"/>
        </w:rPr>
        <w:t xml:space="preserve">2025. </w:t>
      </w:r>
      <w:r>
        <w:t>The delay has postponed activities funded by Special</w:t>
      </w:r>
      <w:r>
        <w:rPr>
          <w:spacing w:val="-1"/>
        </w:rPr>
        <w:t xml:space="preserve"> </w:t>
      </w:r>
      <w:r>
        <w:t xml:space="preserve">Autonomy (Otsus – Otonomi Khusus), potentially </w:t>
      </w:r>
      <w:r>
        <w:rPr>
          <w:spacing w:val="-2"/>
        </w:rPr>
        <w:t>leading to significant unspent balances (</w:t>
      </w:r>
      <w:r>
        <w:rPr>
          <w:i/>
          <w:spacing w:val="-2"/>
        </w:rPr>
        <w:t>SILPA–Sisa Lebih Perhitungan Anggaran</w:t>
      </w:r>
      <w:r>
        <w:rPr>
          <w:spacing w:val="-2"/>
        </w:rPr>
        <w:t>)</w:t>
      </w:r>
      <w:hyperlink w:anchor="_bookmark155" w:history="1">
        <w:r w:rsidR="00BC24A8">
          <w:rPr>
            <w:spacing w:val="-2"/>
            <w:vertAlign w:val="superscript"/>
          </w:rPr>
          <w:t>80</w:t>
        </w:r>
      </w:hyperlink>
      <w:r>
        <w:rPr>
          <w:spacing w:val="-2"/>
        </w:rPr>
        <w:t xml:space="preserve"> and reducing benefits </w:t>
      </w:r>
      <w:r>
        <w:t>for Indigenous Papuans</w:t>
      </w:r>
      <w:r>
        <w:rPr>
          <w:spacing w:val="-2"/>
        </w:rPr>
        <w:t xml:space="preserve"> </w:t>
      </w:r>
      <w:r>
        <w:t>(</w:t>
      </w:r>
      <w:r>
        <w:rPr>
          <w:i/>
        </w:rPr>
        <w:t>OAP –</w:t>
      </w:r>
      <w:r>
        <w:rPr>
          <w:i/>
          <w:spacing w:val="-2"/>
        </w:rPr>
        <w:t xml:space="preserve"> </w:t>
      </w:r>
      <w:r>
        <w:rPr>
          <w:i/>
        </w:rPr>
        <w:t>Orang Asli</w:t>
      </w:r>
      <w:r>
        <w:rPr>
          <w:i/>
          <w:spacing w:val="-2"/>
        </w:rPr>
        <w:t xml:space="preserve"> </w:t>
      </w:r>
      <w:r>
        <w:rPr>
          <w:i/>
        </w:rPr>
        <w:t>Papua</w:t>
      </w:r>
      <w:r>
        <w:t>). These</w:t>
      </w:r>
      <w:r>
        <w:rPr>
          <w:spacing w:val="-2"/>
        </w:rPr>
        <w:t xml:space="preserve"> </w:t>
      </w:r>
      <w:r>
        <w:t>program</w:t>
      </w:r>
      <w:r>
        <w:rPr>
          <w:spacing w:val="-2"/>
        </w:rPr>
        <w:t xml:space="preserve"> </w:t>
      </w:r>
      <w:r>
        <w:t>delays and</w:t>
      </w:r>
      <w:r>
        <w:rPr>
          <w:spacing w:val="-1"/>
        </w:rPr>
        <w:t xml:space="preserve"> </w:t>
      </w:r>
      <w:r>
        <w:t>budget</w:t>
      </w:r>
      <w:r>
        <w:rPr>
          <w:spacing w:val="-2"/>
        </w:rPr>
        <w:t xml:space="preserve"> </w:t>
      </w:r>
      <w:r>
        <w:t>reallocations also require SKALA to adjust its support.</w:t>
      </w:r>
    </w:p>
    <w:p w14:paraId="03B2B45C" w14:textId="77777777" w:rsidR="00BC24A8" w:rsidRDefault="00BC24A8">
      <w:pPr>
        <w:pStyle w:val="BodyText"/>
        <w:spacing w:before="201"/>
      </w:pPr>
    </w:p>
    <w:p w14:paraId="79BDF20E" w14:textId="77777777" w:rsidR="00BC24A8" w:rsidRDefault="00000000">
      <w:pPr>
        <w:ind w:left="143"/>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3"/>
        </w:rPr>
        <w:t xml:space="preserve"> </w:t>
      </w:r>
      <w:r>
        <w:rPr>
          <w:rFonts w:ascii="Calibri"/>
          <w:i/>
          <w:color w:val="272727"/>
        </w:rPr>
        <w:t>SKALA</w:t>
      </w:r>
      <w:r>
        <w:rPr>
          <w:rFonts w:ascii="Calibri"/>
          <w:i/>
          <w:color w:val="272727"/>
          <w:spacing w:val="-7"/>
        </w:rPr>
        <w:t xml:space="preserve"> </w:t>
      </w:r>
      <w:r>
        <w:rPr>
          <w:rFonts w:ascii="Calibri"/>
          <w:i/>
          <w:color w:val="272727"/>
        </w:rPr>
        <w:t>Program</w:t>
      </w:r>
      <w:r>
        <w:rPr>
          <w:rFonts w:ascii="Calibri"/>
          <w:i/>
          <w:color w:val="272727"/>
          <w:spacing w:val="-3"/>
        </w:rPr>
        <w:t xml:space="preserve"> </w:t>
      </w:r>
      <w:r>
        <w:rPr>
          <w:rFonts w:ascii="Calibri"/>
          <w:i/>
          <w:color w:val="272727"/>
        </w:rPr>
        <w:t>Priorities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Provinces</w:t>
      </w:r>
      <w:r>
        <w:rPr>
          <w:rFonts w:ascii="Calibri"/>
          <w:i/>
          <w:color w:val="272727"/>
          <w:spacing w:val="-3"/>
        </w:rPr>
        <w:t xml:space="preserve"> </w:t>
      </w:r>
      <w:r>
        <w:rPr>
          <w:rFonts w:ascii="Calibri"/>
          <w:i/>
          <w:color w:val="272727"/>
        </w:rPr>
        <w:t>in</w:t>
      </w:r>
      <w:r>
        <w:rPr>
          <w:rFonts w:ascii="Calibri"/>
          <w:i/>
          <w:color w:val="272727"/>
          <w:spacing w:val="-7"/>
        </w:rPr>
        <w:t xml:space="preserve"> </w:t>
      </w:r>
      <w:r>
        <w:rPr>
          <w:rFonts w:ascii="Calibri"/>
          <w:i/>
          <w:color w:val="272727"/>
        </w:rPr>
        <w:t>FY</w:t>
      </w:r>
      <w:r>
        <w:rPr>
          <w:rFonts w:ascii="Calibri"/>
          <w:i/>
          <w:color w:val="272727"/>
          <w:spacing w:val="-4"/>
        </w:rPr>
        <w:t xml:space="preserve"> </w:t>
      </w:r>
      <w:r>
        <w:rPr>
          <w:rFonts w:ascii="Calibri"/>
          <w:i/>
          <w:color w:val="272727"/>
          <w:spacing w:val="-2"/>
        </w:rPr>
        <w:t>2024/2025</w:t>
      </w:r>
    </w:p>
    <w:p w14:paraId="06FBEB9D" w14:textId="77777777" w:rsidR="00BC24A8" w:rsidRDefault="00000000">
      <w:pPr>
        <w:pStyle w:val="Heading5"/>
        <w:spacing w:before="22"/>
      </w:pPr>
      <w:r>
        <w:t>Focus</w:t>
      </w:r>
      <w:r>
        <w:rPr>
          <w:spacing w:val="-4"/>
        </w:rPr>
        <w:t xml:space="preserve"> </w:t>
      </w:r>
      <w:r>
        <w:t>areas</w:t>
      </w:r>
      <w:r>
        <w:rPr>
          <w:spacing w:val="-4"/>
        </w:rPr>
        <w:t xml:space="preserve"> </w:t>
      </w:r>
      <w:r>
        <w:t>of</w:t>
      </w:r>
      <w:r>
        <w:rPr>
          <w:spacing w:val="-4"/>
        </w:rPr>
        <w:t xml:space="preserve"> </w:t>
      </w:r>
      <w:r>
        <w:t>SKALA</w:t>
      </w:r>
      <w:r>
        <w:rPr>
          <w:spacing w:val="-7"/>
        </w:rPr>
        <w:t xml:space="preserve"> </w:t>
      </w:r>
      <w:r>
        <w:t>support</w:t>
      </w:r>
      <w:r>
        <w:rPr>
          <w:spacing w:val="-4"/>
        </w:rPr>
        <w:t xml:space="preserve"> </w:t>
      </w:r>
      <w:r>
        <w:rPr>
          <w:spacing w:val="-2"/>
        </w:rPr>
        <w:t>program</w:t>
      </w:r>
    </w:p>
    <w:p w14:paraId="098AA880" w14:textId="77777777" w:rsidR="00BC24A8" w:rsidRDefault="00000000">
      <w:pPr>
        <w:pStyle w:val="ListParagraph"/>
        <w:numPr>
          <w:ilvl w:val="2"/>
          <w:numId w:val="31"/>
        </w:numPr>
        <w:tabs>
          <w:tab w:val="left" w:pos="861"/>
        </w:tabs>
        <w:spacing w:before="158"/>
        <w:ind w:left="861" w:hanging="358"/>
      </w:pPr>
      <w:r>
        <w:t>Implementation</w:t>
      </w:r>
      <w:r>
        <w:rPr>
          <w:spacing w:val="-10"/>
        </w:rPr>
        <w:t xml:space="preserve"> </w:t>
      </w:r>
      <w:r>
        <w:t>of</w:t>
      </w:r>
      <w:r>
        <w:rPr>
          <w:spacing w:val="-8"/>
        </w:rPr>
        <w:t xml:space="preserve"> </w:t>
      </w:r>
      <w:r>
        <w:t>MSS</w:t>
      </w:r>
      <w:r>
        <w:rPr>
          <w:spacing w:val="-9"/>
        </w:rPr>
        <w:t xml:space="preserve"> </w:t>
      </w:r>
      <w:r>
        <w:t>–</w:t>
      </w:r>
      <w:r>
        <w:rPr>
          <w:spacing w:val="-6"/>
        </w:rPr>
        <w:t xml:space="preserve"> </w:t>
      </w:r>
      <w:r>
        <w:t>Capacity</w:t>
      </w:r>
      <w:r>
        <w:rPr>
          <w:spacing w:val="-7"/>
        </w:rPr>
        <w:t xml:space="preserve"> </w:t>
      </w:r>
      <w:r>
        <w:t>strengthening</w:t>
      </w:r>
      <w:r>
        <w:rPr>
          <w:spacing w:val="-7"/>
        </w:rPr>
        <w:t xml:space="preserve"> </w:t>
      </w:r>
      <w:r>
        <w:t>in</w:t>
      </w:r>
      <w:r>
        <w:rPr>
          <w:spacing w:val="-6"/>
        </w:rPr>
        <w:t xml:space="preserve"> </w:t>
      </w:r>
      <w:r>
        <w:t>the</w:t>
      </w:r>
      <w:r>
        <w:rPr>
          <w:spacing w:val="-9"/>
        </w:rPr>
        <w:t xml:space="preserve"> </w:t>
      </w:r>
      <w:r>
        <w:t>preparation</w:t>
      </w:r>
      <w:r>
        <w:rPr>
          <w:spacing w:val="-6"/>
        </w:rPr>
        <w:t xml:space="preserve"> </w:t>
      </w:r>
      <w:r>
        <w:t>of</w:t>
      </w:r>
      <w:r>
        <w:rPr>
          <w:spacing w:val="-8"/>
        </w:rPr>
        <w:t xml:space="preserve"> </w:t>
      </w:r>
      <w:r>
        <w:rPr>
          <w:spacing w:val="-2"/>
        </w:rPr>
        <w:t>Renaksi.</w:t>
      </w:r>
    </w:p>
    <w:p w14:paraId="276EEE66" w14:textId="77777777" w:rsidR="00BC24A8" w:rsidRDefault="00000000">
      <w:pPr>
        <w:pStyle w:val="ListParagraph"/>
        <w:numPr>
          <w:ilvl w:val="2"/>
          <w:numId w:val="31"/>
        </w:numPr>
        <w:tabs>
          <w:tab w:val="left" w:pos="861"/>
        </w:tabs>
        <w:spacing w:before="22"/>
        <w:ind w:left="861" w:hanging="358"/>
      </w:pPr>
      <w:r>
        <w:t>Implementation</w:t>
      </w:r>
      <w:r>
        <w:rPr>
          <w:spacing w:val="-13"/>
        </w:rPr>
        <w:t xml:space="preserve"> </w:t>
      </w:r>
      <w:r>
        <w:t>of</w:t>
      </w:r>
      <w:r>
        <w:rPr>
          <w:spacing w:val="-8"/>
        </w:rPr>
        <w:t xml:space="preserve"> </w:t>
      </w:r>
      <w:r>
        <w:t>One</w:t>
      </w:r>
      <w:r>
        <w:rPr>
          <w:spacing w:val="-8"/>
        </w:rPr>
        <w:t xml:space="preserve"> </w:t>
      </w:r>
      <w:r>
        <w:t>Data</w:t>
      </w:r>
      <w:r>
        <w:rPr>
          <w:spacing w:val="-8"/>
        </w:rPr>
        <w:t xml:space="preserve"> </w:t>
      </w:r>
      <w:r>
        <w:t>–</w:t>
      </w:r>
      <w:r>
        <w:rPr>
          <w:spacing w:val="-7"/>
        </w:rPr>
        <w:t xml:space="preserve"> </w:t>
      </w:r>
      <w:r>
        <w:t>Formulation</w:t>
      </w:r>
      <w:r>
        <w:rPr>
          <w:spacing w:val="-6"/>
        </w:rPr>
        <w:t xml:space="preserve"> </w:t>
      </w:r>
      <w:r>
        <w:t>of</w:t>
      </w:r>
      <w:r>
        <w:rPr>
          <w:spacing w:val="-10"/>
        </w:rPr>
        <w:t xml:space="preserve"> </w:t>
      </w:r>
      <w:r>
        <w:t>data</w:t>
      </w:r>
      <w:r>
        <w:rPr>
          <w:spacing w:val="-8"/>
        </w:rPr>
        <w:t xml:space="preserve"> </w:t>
      </w:r>
      <w:r>
        <w:t>lists</w:t>
      </w:r>
      <w:r>
        <w:rPr>
          <w:spacing w:val="-6"/>
        </w:rPr>
        <w:t xml:space="preserve"> </w:t>
      </w:r>
      <w:r>
        <w:t>and</w:t>
      </w:r>
      <w:r>
        <w:rPr>
          <w:spacing w:val="-7"/>
        </w:rPr>
        <w:t xml:space="preserve"> </w:t>
      </w:r>
      <w:r>
        <w:t>e-walidata</w:t>
      </w:r>
      <w:r>
        <w:rPr>
          <w:spacing w:val="-12"/>
        </w:rPr>
        <w:t xml:space="preserve"> </w:t>
      </w:r>
      <w:hyperlink w:anchor="_bookmark156" w:history="1">
        <w:r w:rsidR="00BC24A8">
          <w:rPr>
            <w:spacing w:val="-5"/>
            <w:vertAlign w:val="superscript"/>
          </w:rPr>
          <w:t>81</w:t>
        </w:r>
      </w:hyperlink>
    </w:p>
    <w:p w14:paraId="65BC85DC" w14:textId="77777777" w:rsidR="00BC24A8" w:rsidRDefault="00000000">
      <w:pPr>
        <w:pStyle w:val="ListParagraph"/>
        <w:numPr>
          <w:ilvl w:val="2"/>
          <w:numId w:val="31"/>
        </w:numPr>
        <w:tabs>
          <w:tab w:val="left" w:pos="861"/>
        </w:tabs>
        <w:spacing w:before="22"/>
        <w:ind w:left="861" w:hanging="358"/>
      </w:pPr>
      <w:r>
        <w:t>Management</w:t>
      </w:r>
      <w:r>
        <w:rPr>
          <w:spacing w:val="-5"/>
        </w:rPr>
        <w:t xml:space="preserve"> </w:t>
      </w:r>
      <w:r>
        <w:t>of</w:t>
      </w:r>
      <w:r>
        <w:rPr>
          <w:spacing w:val="-6"/>
        </w:rPr>
        <w:t xml:space="preserve"> </w:t>
      </w:r>
      <w:r>
        <w:t>Otsus</w:t>
      </w:r>
      <w:r>
        <w:rPr>
          <w:spacing w:val="-4"/>
        </w:rPr>
        <w:t xml:space="preserve"> </w:t>
      </w:r>
      <w:r>
        <w:t>Funds</w:t>
      </w:r>
      <w:r>
        <w:rPr>
          <w:spacing w:val="-6"/>
        </w:rPr>
        <w:t xml:space="preserve"> </w:t>
      </w:r>
      <w:r>
        <w:t>–</w:t>
      </w:r>
      <w:r>
        <w:rPr>
          <w:spacing w:val="-4"/>
        </w:rPr>
        <w:t xml:space="preserve"> </w:t>
      </w:r>
      <w:r>
        <w:t>Guidelines</w:t>
      </w:r>
      <w:r>
        <w:rPr>
          <w:spacing w:val="-5"/>
        </w:rPr>
        <w:t xml:space="preserve"> </w:t>
      </w:r>
      <w:r>
        <w:t>for</w:t>
      </w:r>
      <w:r>
        <w:rPr>
          <w:spacing w:val="-6"/>
        </w:rPr>
        <w:t xml:space="preserve"> </w:t>
      </w:r>
      <w:r>
        <w:rPr>
          <w:i/>
        </w:rPr>
        <w:t>Musrenbangsus</w:t>
      </w:r>
      <w:hyperlink w:anchor="_bookmark157" w:history="1">
        <w:r w:rsidR="00BC24A8">
          <w:rPr>
            <w:i/>
            <w:vertAlign w:val="superscript"/>
          </w:rPr>
          <w:t>82</w:t>
        </w:r>
      </w:hyperlink>
      <w:r>
        <w:rPr>
          <w:i/>
          <w:spacing w:val="-6"/>
        </w:rPr>
        <w:t xml:space="preserve"> </w:t>
      </w:r>
      <w:r>
        <w:t>and</w:t>
      </w:r>
      <w:r>
        <w:rPr>
          <w:spacing w:val="-4"/>
        </w:rPr>
        <w:t xml:space="preserve"> </w:t>
      </w:r>
      <w:r>
        <w:rPr>
          <w:spacing w:val="-2"/>
        </w:rPr>
        <w:t>SIPPP</w:t>
      </w:r>
      <w:hyperlink w:anchor="_bookmark158" w:history="1">
        <w:r w:rsidR="00BC24A8">
          <w:rPr>
            <w:spacing w:val="-2"/>
            <w:vertAlign w:val="superscript"/>
          </w:rPr>
          <w:t>83</w:t>
        </w:r>
      </w:hyperlink>
      <w:r>
        <w:rPr>
          <w:spacing w:val="-2"/>
        </w:rPr>
        <w:t>.</w:t>
      </w:r>
    </w:p>
    <w:p w14:paraId="0C683BB7" w14:textId="77777777" w:rsidR="00BC24A8" w:rsidRDefault="00000000">
      <w:pPr>
        <w:pStyle w:val="ListParagraph"/>
        <w:numPr>
          <w:ilvl w:val="2"/>
          <w:numId w:val="31"/>
        </w:numPr>
        <w:tabs>
          <w:tab w:val="left" w:pos="861"/>
        </w:tabs>
        <w:spacing w:before="22"/>
        <w:ind w:left="861" w:hanging="358"/>
      </w:pPr>
      <w:r>
        <w:t>Regular</w:t>
      </w:r>
      <w:r>
        <w:rPr>
          <w:spacing w:val="-7"/>
        </w:rPr>
        <w:t xml:space="preserve"> </w:t>
      </w:r>
      <w:r>
        <w:t>Local</w:t>
      </w:r>
      <w:r>
        <w:rPr>
          <w:spacing w:val="-9"/>
        </w:rPr>
        <w:t xml:space="preserve"> </w:t>
      </w:r>
      <w:r>
        <w:t>Government</w:t>
      </w:r>
      <w:r>
        <w:rPr>
          <w:spacing w:val="-10"/>
        </w:rPr>
        <w:t xml:space="preserve"> </w:t>
      </w:r>
      <w:r>
        <w:t>Planning</w:t>
      </w:r>
      <w:r>
        <w:rPr>
          <w:spacing w:val="-7"/>
        </w:rPr>
        <w:t xml:space="preserve"> </w:t>
      </w:r>
      <w:r>
        <w:t>and</w:t>
      </w:r>
      <w:r>
        <w:rPr>
          <w:spacing w:val="-7"/>
        </w:rPr>
        <w:t xml:space="preserve"> </w:t>
      </w:r>
      <w:r>
        <w:t>Budgeting</w:t>
      </w:r>
      <w:r>
        <w:rPr>
          <w:spacing w:val="-10"/>
        </w:rPr>
        <w:t xml:space="preserve"> </w:t>
      </w:r>
      <w:r>
        <w:rPr>
          <w:spacing w:val="-2"/>
        </w:rPr>
        <w:t>(RPJMD).</w:t>
      </w:r>
    </w:p>
    <w:p w14:paraId="15C79973" w14:textId="77777777" w:rsidR="00BC24A8" w:rsidRDefault="00BC24A8">
      <w:pPr>
        <w:pStyle w:val="BodyText"/>
        <w:rPr>
          <w:sz w:val="20"/>
        </w:rPr>
      </w:pPr>
    </w:p>
    <w:p w14:paraId="25568C92" w14:textId="77777777" w:rsidR="00BC24A8" w:rsidRDefault="00BC24A8">
      <w:pPr>
        <w:pStyle w:val="BodyText"/>
        <w:rPr>
          <w:sz w:val="20"/>
        </w:rPr>
      </w:pPr>
    </w:p>
    <w:p w14:paraId="045B94EF" w14:textId="77777777" w:rsidR="00BC24A8" w:rsidRDefault="00BC24A8">
      <w:pPr>
        <w:pStyle w:val="BodyText"/>
        <w:rPr>
          <w:sz w:val="20"/>
        </w:rPr>
      </w:pPr>
    </w:p>
    <w:p w14:paraId="486D4AC6" w14:textId="77777777" w:rsidR="00BC24A8" w:rsidRDefault="00BC24A8">
      <w:pPr>
        <w:pStyle w:val="BodyText"/>
        <w:rPr>
          <w:sz w:val="20"/>
        </w:rPr>
      </w:pPr>
    </w:p>
    <w:p w14:paraId="23DA5F61" w14:textId="77777777" w:rsidR="00BC24A8" w:rsidRDefault="00BC24A8">
      <w:pPr>
        <w:pStyle w:val="BodyText"/>
        <w:rPr>
          <w:sz w:val="20"/>
        </w:rPr>
      </w:pPr>
    </w:p>
    <w:p w14:paraId="0B89D0BA" w14:textId="77777777" w:rsidR="00BC24A8" w:rsidRDefault="00BC24A8">
      <w:pPr>
        <w:pStyle w:val="BodyText"/>
        <w:rPr>
          <w:sz w:val="20"/>
        </w:rPr>
      </w:pPr>
    </w:p>
    <w:p w14:paraId="411923CC" w14:textId="77777777" w:rsidR="00BC24A8" w:rsidRDefault="00000000">
      <w:pPr>
        <w:pStyle w:val="BodyText"/>
        <w:spacing w:before="49"/>
        <w:rPr>
          <w:sz w:val="20"/>
        </w:rPr>
      </w:pPr>
      <w:r>
        <w:rPr>
          <w:noProof/>
          <w:sz w:val="20"/>
        </w:rPr>
        <mc:AlternateContent>
          <mc:Choice Requires="wps">
            <w:drawing>
              <wp:anchor distT="0" distB="0" distL="0" distR="0" simplePos="0" relativeHeight="487629824" behindDoc="1" locked="0" layoutInCell="1" allowOverlap="1" wp14:anchorId="30206A3F" wp14:editId="370596F5">
                <wp:simplePos x="0" y="0"/>
                <wp:positionH relativeFrom="page">
                  <wp:posOffset>900683</wp:posOffset>
                </wp:positionH>
                <wp:positionV relativeFrom="paragraph">
                  <wp:posOffset>201452</wp:posOffset>
                </wp:positionV>
                <wp:extent cx="1828800" cy="9525"/>
                <wp:effectExtent l="0" t="0" r="0" b="0"/>
                <wp:wrapTopAndBottom/>
                <wp:docPr id="263" name="Graphic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6E956" id="Graphic 263" o:spid="_x0000_s1026" alt="&quot;&quot;" style="position:absolute;margin-left:70.9pt;margin-top:15.85pt;width:2in;height:.75pt;z-index:-156866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" path="m1828800,l,,,9143r1828800,l1828800,xe" fillcolor="black" stroked="f">
                <v:path arrowok="t"/>
                <w10:wrap type="topAndBottom" anchorx="page"/>
              </v:shape>
            </w:pict>
          </mc:Fallback>
        </mc:AlternateContent>
      </w:r>
    </w:p>
    <w:p w14:paraId="7C7F13BC" w14:textId="77777777" w:rsidR="00BC24A8" w:rsidRDefault="00BC24A8">
      <w:pPr>
        <w:pStyle w:val="BodyText"/>
        <w:spacing w:before="105"/>
        <w:rPr>
          <w:sz w:val="16"/>
        </w:rPr>
      </w:pPr>
    </w:p>
    <w:p w14:paraId="32251034" w14:textId="77777777" w:rsidR="00BC24A8" w:rsidRDefault="00000000">
      <w:pPr>
        <w:spacing w:before="1"/>
        <w:ind w:left="143"/>
        <w:rPr>
          <w:sz w:val="16"/>
        </w:rPr>
      </w:pPr>
      <w:bookmarkStart w:id="223" w:name="_bookmark155"/>
      <w:bookmarkEnd w:id="223"/>
      <w:r>
        <w:rPr>
          <w:color w:val="767070"/>
          <w:sz w:val="16"/>
          <w:vertAlign w:val="superscript"/>
        </w:rPr>
        <w:t>80</w:t>
      </w:r>
      <w:r>
        <w:rPr>
          <w:color w:val="767070"/>
          <w:spacing w:val="-8"/>
          <w:sz w:val="16"/>
        </w:rPr>
        <w:t xml:space="preserve"> </w:t>
      </w:r>
      <w:r>
        <w:rPr>
          <w:color w:val="767070"/>
          <w:sz w:val="16"/>
        </w:rPr>
        <w:t>SiLPA</w:t>
      </w:r>
      <w:r>
        <w:rPr>
          <w:color w:val="767070"/>
          <w:spacing w:val="-6"/>
          <w:sz w:val="16"/>
        </w:rPr>
        <w:t xml:space="preserve"> </w:t>
      </w:r>
      <w:r>
        <w:rPr>
          <w:color w:val="767070"/>
          <w:sz w:val="16"/>
        </w:rPr>
        <w:t>(Sisa</w:t>
      </w:r>
      <w:r>
        <w:rPr>
          <w:color w:val="767070"/>
          <w:spacing w:val="-6"/>
          <w:sz w:val="16"/>
        </w:rPr>
        <w:t xml:space="preserve"> </w:t>
      </w:r>
      <w:r>
        <w:rPr>
          <w:color w:val="767070"/>
          <w:sz w:val="16"/>
        </w:rPr>
        <w:t>Lebih</w:t>
      </w:r>
      <w:r>
        <w:rPr>
          <w:color w:val="767070"/>
          <w:spacing w:val="-6"/>
          <w:sz w:val="16"/>
        </w:rPr>
        <w:t xml:space="preserve"> </w:t>
      </w:r>
      <w:r>
        <w:rPr>
          <w:color w:val="767070"/>
          <w:sz w:val="16"/>
        </w:rPr>
        <w:t>Pembiayaan</w:t>
      </w:r>
      <w:r>
        <w:rPr>
          <w:color w:val="767070"/>
          <w:spacing w:val="-9"/>
          <w:sz w:val="16"/>
        </w:rPr>
        <w:t xml:space="preserve"> </w:t>
      </w:r>
      <w:r>
        <w:rPr>
          <w:color w:val="767070"/>
          <w:sz w:val="16"/>
        </w:rPr>
        <w:t>Anggaran)</w:t>
      </w:r>
      <w:r>
        <w:rPr>
          <w:color w:val="767070"/>
          <w:spacing w:val="-7"/>
          <w:sz w:val="16"/>
        </w:rPr>
        <w:t xml:space="preserve"> </w:t>
      </w:r>
      <w:r>
        <w:rPr>
          <w:color w:val="767070"/>
          <w:sz w:val="16"/>
        </w:rPr>
        <w:t>menunjukkan</w:t>
      </w:r>
      <w:r>
        <w:rPr>
          <w:color w:val="767070"/>
          <w:spacing w:val="-7"/>
          <w:sz w:val="16"/>
        </w:rPr>
        <w:t xml:space="preserve"> </w:t>
      </w:r>
      <w:r>
        <w:rPr>
          <w:color w:val="767070"/>
          <w:sz w:val="16"/>
        </w:rPr>
        <w:t>sisa</w:t>
      </w:r>
      <w:r>
        <w:rPr>
          <w:color w:val="767070"/>
          <w:spacing w:val="-6"/>
          <w:sz w:val="16"/>
        </w:rPr>
        <w:t xml:space="preserve"> </w:t>
      </w:r>
      <w:r>
        <w:rPr>
          <w:color w:val="767070"/>
          <w:sz w:val="16"/>
        </w:rPr>
        <w:t>dana</w:t>
      </w:r>
      <w:r>
        <w:rPr>
          <w:color w:val="767070"/>
          <w:spacing w:val="-8"/>
          <w:sz w:val="16"/>
        </w:rPr>
        <w:t xml:space="preserve"> </w:t>
      </w:r>
      <w:r>
        <w:rPr>
          <w:color w:val="767070"/>
          <w:sz w:val="16"/>
        </w:rPr>
        <w:t>yang</w:t>
      </w:r>
      <w:r>
        <w:rPr>
          <w:color w:val="767070"/>
          <w:spacing w:val="-8"/>
          <w:sz w:val="16"/>
        </w:rPr>
        <w:t xml:space="preserve"> </w:t>
      </w:r>
      <w:r>
        <w:rPr>
          <w:color w:val="767070"/>
          <w:sz w:val="16"/>
        </w:rPr>
        <w:t>belum</w:t>
      </w:r>
      <w:r>
        <w:rPr>
          <w:color w:val="767070"/>
          <w:spacing w:val="-8"/>
          <w:sz w:val="16"/>
        </w:rPr>
        <w:t xml:space="preserve"> </w:t>
      </w:r>
      <w:r>
        <w:rPr>
          <w:color w:val="767070"/>
          <w:sz w:val="16"/>
        </w:rPr>
        <w:t>terpakai</w:t>
      </w:r>
      <w:r>
        <w:rPr>
          <w:color w:val="767070"/>
          <w:spacing w:val="-7"/>
          <w:sz w:val="16"/>
        </w:rPr>
        <w:t xml:space="preserve"> </w:t>
      </w:r>
      <w:r>
        <w:rPr>
          <w:color w:val="767070"/>
          <w:sz w:val="16"/>
        </w:rPr>
        <w:t>pada</w:t>
      </w:r>
      <w:r>
        <w:rPr>
          <w:color w:val="767070"/>
          <w:spacing w:val="-8"/>
          <w:sz w:val="16"/>
        </w:rPr>
        <w:t xml:space="preserve"> </w:t>
      </w:r>
      <w:r>
        <w:rPr>
          <w:color w:val="767070"/>
          <w:sz w:val="16"/>
        </w:rPr>
        <w:t>akhir</w:t>
      </w:r>
      <w:r>
        <w:rPr>
          <w:color w:val="767070"/>
          <w:spacing w:val="-8"/>
          <w:sz w:val="16"/>
        </w:rPr>
        <w:t xml:space="preserve"> </w:t>
      </w:r>
      <w:r>
        <w:rPr>
          <w:color w:val="767070"/>
          <w:sz w:val="16"/>
        </w:rPr>
        <w:t>periode</w:t>
      </w:r>
      <w:r>
        <w:rPr>
          <w:color w:val="767070"/>
          <w:spacing w:val="-7"/>
          <w:sz w:val="16"/>
        </w:rPr>
        <w:t xml:space="preserve"> </w:t>
      </w:r>
      <w:r>
        <w:rPr>
          <w:color w:val="767070"/>
          <w:spacing w:val="-2"/>
          <w:sz w:val="16"/>
        </w:rPr>
        <w:t>anggaran.</w:t>
      </w:r>
    </w:p>
    <w:p w14:paraId="52EB6CF0" w14:textId="77777777" w:rsidR="00BC24A8" w:rsidRDefault="00000000">
      <w:pPr>
        <w:spacing w:before="1"/>
        <w:ind w:left="143" w:right="662"/>
        <w:rPr>
          <w:sz w:val="16"/>
        </w:rPr>
      </w:pPr>
      <w:bookmarkStart w:id="224" w:name="_bookmark156"/>
      <w:bookmarkEnd w:id="224"/>
      <w:r>
        <w:rPr>
          <w:color w:val="767070"/>
          <w:sz w:val="16"/>
          <w:vertAlign w:val="superscript"/>
        </w:rPr>
        <w:t>81</w:t>
      </w:r>
      <w:r>
        <w:rPr>
          <w:color w:val="767070"/>
          <w:spacing w:val="-6"/>
          <w:sz w:val="16"/>
        </w:rPr>
        <w:t xml:space="preserve"> </w:t>
      </w:r>
      <w:r>
        <w:rPr>
          <w:color w:val="767070"/>
          <w:sz w:val="16"/>
        </w:rPr>
        <w:t>E-Walidata</w:t>
      </w:r>
      <w:r>
        <w:rPr>
          <w:color w:val="767070"/>
          <w:spacing w:val="-6"/>
          <w:sz w:val="16"/>
        </w:rPr>
        <w:t xml:space="preserve"> </w:t>
      </w:r>
      <w:r>
        <w:rPr>
          <w:color w:val="767070"/>
          <w:sz w:val="16"/>
        </w:rPr>
        <w:t>adalah</w:t>
      </w:r>
      <w:r>
        <w:rPr>
          <w:color w:val="767070"/>
          <w:spacing w:val="-8"/>
          <w:sz w:val="16"/>
        </w:rPr>
        <w:t xml:space="preserve"> </w:t>
      </w:r>
      <w:r>
        <w:rPr>
          <w:color w:val="767070"/>
          <w:sz w:val="16"/>
        </w:rPr>
        <w:t>aplikasi</w:t>
      </w:r>
      <w:r>
        <w:rPr>
          <w:color w:val="767070"/>
          <w:spacing w:val="-6"/>
          <w:sz w:val="16"/>
        </w:rPr>
        <w:t xml:space="preserve"> </w:t>
      </w:r>
      <w:r>
        <w:rPr>
          <w:color w:val="767070"/>
          <w:sz w:val="16"/>
        </w:rPr>
        <w:t>pengelola</w:t>
      </w:r>
      <w:r>
        <w:rPr>
          <w:color w:val="767070"/>
          <w:spacing w:val="-7"/>
          <w:sz w:val="16"/>
        </w:rPr>
        <w:t xml:space="preserve"> </w:t>
      </w:r>
      <w:r>
        <w:rPr>
          <w:color w:val="767070"/>
          <w:sz w:val="16"/>
        </w:rPr>
        <w:t>data</w:t>
      </w:r>
      <w:r>
        <w:rPr>
          <w:color w:val="767070"/>
          <w:spacing w:val="-7"/>
          <w:sz w:val="16"/>
        </w:rPr>
        <w:t xml:space="preserve"> </w:t>
      </w:r>
      <w:r>
        <w:rPr>
          <w:color w:val="767070"/>
          <w:sz w:val="16"/>
        </w:rPr>
        <w:t>perencanaan</w:t>
      </w:r>
      <w:r>
        <w:rPr>
          <w:color w:val="767070"/>
          <w:spacing w:val="-6"/>
          <w:sz w:val="16"/>
        </w:rPr>
        <w:t xml:space="preserve"> </w:t>
      </w:r>
      <w:r>
        <w:rPr>
          <w:color w:val="767070"/>
          <w:sz w:val="16"/>
        </w:rPr>
        <w:t>pembangunan</w:t>
      </w:r>
      <w:r>
        <w:rPr>
          <w:color w:val="767070"/>
          <w:spacing w:val="-8"/>
          <w:sz w:val="16"/>
        </w:rPr>
        <w:t xml:space="preserve"> </w:t>
      </w:r>
      <w:r>
        <w:rPr>
          <w:color w:val="767070"/>
          <w:sz w:val="16"/>
        </w:rPr>
        <w:t>daerah,</w:t>
      </w:r>
      <w:r>
        <w:rPr>
          <w:color w:val="767070"/>
          <w:spacing w:val="-7"/>
          <w:sz w:val="16"/>
        </w:rPr>
        <w:t xml:space="preserve"> </w:t>
      </w:r>
      <w:r>
        <w:rPr>
          <w:color w:val="767070"/>
          <w:sz w:val="16"/>
        </w:rPr>
        <w:t>dikembangkan</w:t>
      </w:r>
      <w:r>
        <w:rPr>
          <w:color w:val="767070"/>
          <w:spacing w:val="-8"/>
          <w:sz w:val="16"/>
        </w:rPr>
        <w:t xml:space="preserve"> </w:t>
      </w:r>
      <w:r>
        <w:rPr>
          <w:color w:val="767070"/>
          <w:sz w:val="16"/>
        </w:rPr>
        <w:t>oleh</w:t>
      </w:r>
      <w:r>
        <w:rPr>
          <w:color w:val="767070"/>
          <w:spacing w:val="-6"/>
          <w:sz w:val="16"/>
        </w:rPr>
        <w:t xml:space="preserve"> </w:t>
      </w:r>
      <w:r>
        <w:rPr>
          <w:color w:val="767070"/>
          <w:sz w:val="16"/>
        </w:rPr>
        <w:t>Pusat</w:t>
      </w:r>
      <w:r>
        <w:rPr>
          <w:color w:val="767070"/>
          <w:spacing w:val="-6"/>
          <w:sz w:val="16"/>
        </w:rPr>
        <w:t xml:space="preserve"> </w:t>
      </w:r>
      <w:r>
        <w:rPr>
          <w:color w:val="767070"/>
          <w:sz w:val="16"/>
        </w:rPr>
        <w:t>Data</w:t>
      </w:r>
      <w:r>
        <w:rPr>
          <w:color w:val="767070"/>
          <w:spacing w:val="-7"/>
          <w:sz w:val="16"/>
        </w:rPr>
        <w:t xml:space="preserve"> </w:t>
      </w:r>
      <w:r>
        <w:rPr>
          <w:color w:val="767070"/>
          <w:sz w:val="16"/>
        </w:rPr>
        <w:t>dan</w:t>
      </w:r>
      <w:r>
        <w:rPr>
          <w:color w:val="767070"/>
          <w:spacing w:val="-6"/>
          <w:sz w:val="16"/>
        </w:rPr>
        <w:t xml:space="preserve"> </w:t>
      </w:r>
      <w:r>
        <w:rPr>
          <w:color w:val="767070"/>
          <w:sz w:val="16"/>
        </w:rPr>
        <w:t>Teknologi</w:t>
      </w:r>
      <w:r>
        <w:rPr>
          <w:color w:val="767070"/>
          <w:spacing w:val="-6"/>
          <w:sz w:val="16"/>
        </w:rPr>
        <w:t xml:space="preserve"> </w:t>
      </w:r>
      <w:r>
        <w:rPr>
          <w:color w:val="767070"/>
          <w:sz w:val="16"/>
        </w:rPr>
        <w:t>Informasi</w:t>
      </w:r>
      <w:r>
        <w:rPr>
          <w:color w:val="767070"/>
          <w:spacing w:val="40"/>
          <w:sz w:val="16"/>
        </w:rPr>
        <w:t xml:space="preserve"> </w:t>
      </w:r>
      <w:r>
        <w:rPr>
          <w:color w:val="767070"/>
          <w:sz w:val="16"/>
        </w:rPr>
        <w:t>(Pusdatin) Kementerian Dalam Negeri.</w:t>
      </w:r>
    </w:p>
    <w:p w14:paraId="2CBF090F" w14:textId="77777777" w:rsidR="00BC24A8" w:rsidRDefault="00000000">
      <w:pPr>
        <w:spacing w:before="1"/>
        <w:ind w:left="143" w:right="648"/>
        <w:rPr>
          <w:sz w:val="16"/>
        </w:rPr>
      </w:pPr>
      <w:bookmarkStart w:id="225" w:name="_bookmark157"/>
      <w:bookmarkEnd w:id="225"/>
      <w:r>
        <w:rPr>
          <w:color w:val="767070"/>
          <w:sz w:val="16"/>
          <w:vertAlign w:val="superscript"/>
        </w:rPr>
        <w:t>82</w:t>
      </w:r>
      <w:r>
        <w:rPr>
          <w:color w:val="767070"/>
          <w:spacing w:val="-3"/>
          <w:sz w:val="16"/>
        </w:rPr>
        <w:t xml:space="preserve"> </w:t>
      </w:r>
      <w:r>
        <w:rPr>
          <w:color w:val="767070"/>
          <w:sz w:val="16"/>
        </w:rPr>
        <w:t>Musrenbangsus</w:t>
      </w:r>
      <w:r>
        <w:rPr>
          <w:color w:val="767070"/>
          <w:spacing w:val="-2"/>
          <w:sz w:val="16"/>
        </w:rPr>
        <w:t xml:space="preserve"> </w:t>
      </w:r>
      <w:r>
        <w:rPr>
          <w:color w:val="767070"/>
          <w:sz w:val="16"/>
        </w:rPr>
        <w:t>(Special</w:t>
      </w:r>
      <w:r>
        <w:rPr>
          <w:color w:val="767070"/>
          <w:spacing w:val="-2"/>
          <w:sz w:val="16"/>
        </w:rPr>
        <w:t xml:space="preserve"> </w:t>
      </w:r>
      <w:r>
        <w:rPr>
          <w:color w:val="767070"/>
          <w:sz w:val="16"/>
        </w:rPr>
        <w:t>Development</w:t>
      </w:r>
      <w:r>
        <w:rPr>
          <w:color w:val="767070"/>
          <w:spacing w:val="-3"/>
          <w:sz w:val="16"/>
        </w:rPr>
        <w:t xml:space="preserve"> </w:t>
      </w:r>
      <w:r>
        <w:rPr>
          <w:color w:val="767070"/>
          <w:sz w:val="16"/>
        </w:rPr>
        <w:t>Planning</w:t>
      </w:r>
      <w:r>
        <w:rPr>
          <w:color w:val="767070"/>
          <w:spacing w:val="-4"/>
          <w:sz w:val="16"/>
        </w:rPr>
        <w:t xml:space="preserve"> </w:t>
      </w:r>
      <w:r>
        <w:rPr>
          <w:color w:val="767070"/>
          <w:sz w:val="16"/>
        </w:rPr>
        <w:t>Forum):</w:t>
      </w:r>
      <w:r>
        <w:rPr>
          <w:color w:val="767070"/>
          <w:spacing w:val="-2"/>
          <w:sz w:val="16"/>
        </w:rPr>
        <w:t xml:space="preserve"> </w:t>
      </w:r>
      <w:r>
        <w:rPr>
          <w:color w:val="767070"/>
          <w:sz w:val="16"/>
        </w:rPr>
        <w:t>A</w:t>
      </w:r>
      <w:r>
        <w:rPr>
          <w:color w:val="767070"/>
          <w:spacing w:val="-4"/>
          <w:sz w:val="16"/>
        </w:rPr>
        <w:t xml:space="preserve"> </w:t>
      </w:r>
      <w:r>
        <w:rPr>
          <w:color w:val="767070"/>
          <w:sz w:val="16"/>
        </w:rPr>
        <w:t>planning</w:t>
      </w:r>
      <w:r>
        <w:rPr>
          <w:color w:val="767070"/>
          <w:spacing w:val="-4"/>
          <w:sz w:val="16"/>
        </w:rPr>
        <w:t xml:space="preserve"> </w:t>
      </w:r>
      <w:r>
        <w:rPr>
          <w:color w:val="767070"/>
          <w:sz w:val="16"/>
        </w:rPr>
        <w:t>forum</w:t>
      </w:r>
      <w:r>
        <w:rPr>
          <w:color w:val="767070"/>
          <w:spacing w:val="-3"/>
          <w:sz w:val="16"/>
        </w:rPr>
        <w:t xml:space="preserve"> </w:t>
      </w:r>
      <w:r>
        <w:rPr>
          <w:color w:val="767070"/>
          <w:sz w:val="16"/>
        </w:rPr>
        <w:t>dedicated</w:t>
      </w:r>
      <w:r>
        <w:rPr>
          <w:color w:val="767070"/>
          <w:spacing w:val="-2"/>
          <w:sz w:val="16"/>
        </w:rPr>
        <w:t xml:space="preserve"> </w:t>
      </w:r>
      <w:r>
        <w:rPr>
          <w:color w:val="767070"/>
          <w:sz w:val="16"/>
        </w:rPr>
        <w:t>to</w:t>
      </w:r>
      <w:r>
        <w:rPr>
          <w:color w:val="767070"/>
          <w:spacing w:val="-5"/>
          <w:sz w:val="16"/>
        </w:rPr>
        <w:t xml:space="preserve"> </w:t>
      </w:r>
      <w:r>
        <w:rPr>
          <w:color w:val="767070"/>
          <w:sz w:val="16"/>
        </w:rPr>
        <w:t>discussing</w:t>
      </w:r>
      <w:r>
        <w:rPr>
          <w:color w:val="767070"/>
          <w:spacing w:val="-4"/>
          <w:sz w:val="16"/>
        </w:rPr>
        <w:t xml:space="preserve"> </w:t>
      </w:r>
      <w:r>
        <w:rPr>
          <w:color w:val="767070"/>
          <w:sz w:val="16"/>
        </w:rPr>
        <w:t>the</w:t>
      </w:r>
      <w:r>
        <w:rPr>
          <w:color w:val="767070"/>
          <w:spacing w:val="-5"/>
          <w:sz w:val="16"/>
        </w:rPr>
        <w:t xml:space="preserve"> </w:t>
      </w:r>
      <w:r>
        <w:rPr>
          <w:color w:val="767070"/>
          <w:sz w:val="16"/>
        </w:rPr>
        <w:t>planning</w:t>
      </w:r>
      <w:r>
        <w:rPr>
          <w:color w:val="767070"/>
          <w:spacing w:val="-4"/>
          <w:sz w:val="16"/>
        </w:rPr>
        <w:t xml:space="preserve"> </w:t>
      </w:r>
      <w:r>
        <w:rPr>
          <w:color w:val="767070"/>
          <w:sz w:val="16"/>
        </w:rPr>
        <w:t>and</w:t>
      </w:r>
      <w:r>
        <w:rPr>
          <w:color w:val="767070"/>
          <w:spacing w:val="-2"/>
          <w:sz w:val="16"/>
        </w:rPr>
        <w:t xml:space="preserve"> </w:t>
      </w:r>
      <w:r>
        <w:rPr>
          <w:color w:val="767070"/>
          <w:sz w:val="16"/>
        </w:rPr>
        <w:t>budgeting</w:t>
      </w:r>
      <w:r>
        <w:rPr>
          <w:color w:val="767070"/>
          <w:spacing w:val="-4"/>
          <w:sz w:val="16"/>
        </w:rPr>
        <w:t xml:space="preserve"> </w:t>
      </w:r>
      <w:r>
        <w:rPr>
          <w:color w:val="767070"/>
          <w:sz w:val="16"/>
        </w:rPr>
        <w:t>of</w:t>
      </w:r>
      <w:r>
        <w:rPr>
          <w:color w:val="767070"/>
          <w:spacing w:val="-3"/>
          <w:sz w:val="16"/>
        </w:rPr>
        <w:t xml:space="preserve"> </w:t>
      </w:r>
      <w:r>
        <w:rPr>
          <w:color w:val="767070"/>
          <w:sz w:val="16"/>
        </w:rPr>
        <w:t>the</w:t>
      </w:r>
      <w:r>
        <w:rPr>
          <w:color w:val="767070"/>
          <w:spacing w:val="40"/>
          <w:sz w:val="16"/>
        </w:rPr>
        <w:t xml:space="preserve"> </w:t>
      </w:r>
      <w:r>
        <w:rPr>
          <w:color w:val="767070"/>
          <w:sz w:val="16"/>
        </w:rPr>
        <w:t>Special Autonomy Fund (Otsus).</w:t>
      </w:r>
    </w:p>
    <w:p w14:paraId="37CB3E12" w14:textId="77777777" w:rsidR="00BC24A8" w:rsidRDefault="00000000">
      <w:pPr>
        <w:ind w:left="143" w:right="662"/>
        <w:rPr>
          <w:sz w:val="16"/>
        </w:rPr>
      </w:pPr>
      <w:bookmarkStart w:id="226" w:name="_bookmark158"/>
      <w:bookmarkEnd w:id="226"/>
      <w:r>
        <w:rPr>
          <w:color w:val="767070"/>
          <w:sz w:val="16"/>
          <w:vertAlign w:val="superscript"/>
        </w:rPr>
        <w:t>83</w:t>
      </w:r>
      <w:r>
        <w:rPr>
          <w:color w:val="767070"/>
          <w:spacing w:val="-5"/>
          <w:sz w:val="16"/>
        </w:rPr>
        <w:t xml:space="preserve"> </w:t>
      </w:r>
      <w:r>
        <w:rPr>
          <w:color w:val="767070"/>
          <w:sz w:val="16"/>
        </w:rPr>
        <w:t>SIPPP</w:t>
      </w:r>
      <w:r>
        <w:rPr>
          <w:color w:val="767070"/>
          <w:spacing w:val="-5"/>
          <w:sz w:val="16"/>
        </w:rPr>
        <w:t xml:space="preserve"> </w:t>
      </w:r>
      <w:r>
        <w:rPr>
          <w:color w:val="767070"/>
          <w:sz w:val="16"/>
        </w:rPr>
        <w:t>is</w:t>
      </w:r>
      <w:r>
        <w:rPr>
          <w:color w:val="767070"/>
          <w:spacing w:val="-4"/>
          <w:sz w:val="16"/>
        </w:rPr>
        <w:t xml:space="preserve"> </w:t>
      </w:r>
      <w:r>
        <w:rPr>
          <w:color w:val="767070"/>
          <w:sz w:val="16"/>
        </w:rPr>
        <w:t>the</w:t>
      </w:r>
      <w:r>
        <w:rPr>
          <w:color w:val="767070"/>
          <w:spacing w:val="-5"/>
          <w:sz w:val="16"/>
        </w:rPr>
        <w:t xml:space="preserve"> </w:t>
      </w:r>
      <w:r>
        <w:rPr>
          <w:color w:val="767070"/>
          <w:sz w:val="16"/>
        </w:rPr>
        <w:t>Papua</w:t>
      </w:r>
      <w:r>
        <w:rPr>
          <w:color w:val="767070"/>
          <w:spacing w:val="-4"/>
          <w:sz w:val="16"/>
        </w:rPr>
        <w:t xml:space="preserve"> </w:t>
      </w:r>
      <w:r>
        <w:rPr>
          <w:color w:val="767070"/>
          <w:sz w:val="16"/>
        </w:rPr>
        <w:t>Planning</w:t>
      </w:r>
      <w:r>
        <w:rPr>
          <w:color w:val="767070"/>
          <w:spacing w:val="-6"/>
          <w:sz w:val="16"/>
        </w:rPr>
        <w:t xml:space="preserve"> </w:t>
      </w:r>
      <w:r>
        <w:rPr>
          <w:color w:val="767070"/>
          <w:sz w:val="16"/>
        </w:rPr>
        <w:t>and</w:t>
      </w:r>
      <w:r>
        <w:rPr>
          <w:color w:val="767070"/>
          <w:spacing w:val="-4"/>
          <w:sz w:val="16"/>
        </w:rPr>
        <w:t xml:space="preserve"> </w:t>
      </w:r>
      <w:r>
        <w:rPr>
          <w:color w:val="767070"/>
          <w:sz w:val="16"/>
        </w:rPr>
        <w:t>Budgeting</w:t>
      </w:r>
      <w:r>
        <w:rPr>
          <w:color w:val="767070"/>
          <w:spacing w:val="-6"/>
          <w:sz w:val="16"/>
        </w:rPr>
        <w:t xml:space="preserve"> </w:t>
      </w:r>
      <w:r>
        <w:rPr>
          <w:color w:val="767070"/>
          <w:sz w:val="16"/>
        </w:rPr>
        <w:t>Information</w:t>
      </w:r>
      <w:r>
        <w:rPr>
          <w:color w:val="767070"/>
          <w:spacing w:val="-4"/>
          <w:sz w:val="16"/>
        </w:rPr>
        <w:t xml:space="preserve"> </w:t>
      </w:r>
      <w:r>
        <w:rPr>
          <w:color w:val="767070"/>
          <w:sz w:val="16"/>
        </w:rPr>
        <w:t>System—a</w:t>
      </w:r>
      <w:r>
        <w:rPr>
          <w:color w:val="767070"/>
          <w:spacing w:val="-4"/>
          <w:sz w:val="16"/>
        </w:rPr>
        <w:t xml:space="preserve"> </w:t>
      </w:r>
      <w:r>
        <w:rPr>
          <w:color w:val="767070"/>
          <w:sz w:val="16"/>
        </w:rPr>
        <w:t>digital</w:t>
      </w:r>
      <w:r>
        <w:rPr>
          <w:color w:val="767070"/>
          <w:spacing w:val="-4"/>
          <w:sz w:val="16"/>
        </w:rPr>
        <w:t xml:space="preserve"> </w:t>
      </w:r>
      <w:r>
        <w:rPr>
          <w:color w:val="767070"/>
          <w:sz w:val="16"/>
        </w:rPr>
        <w:t>platform</w:t>
      </w:r>
      <w:r>
        <w:rPr>
          <w:color w:val="767070"/>
          <w:spacing w:val="-6"/>
          <w:sz w:val="16"/>
        </w:rPr>
        <w:t xml:space="preserve"> </w:t>
      </w:r>
      <w:r>
        <w:rPr>
          <w:color w:val="767070"/>
          <w:sz w:val="16"/>
        </w:rPr>
        <w:t>used</w:t>
      </w:r>
      <w:r>
        <w:rPr>
          <w:color w:val="767070"/>
          <w:spacing w:val="-4"/>
          <w:sz w:val="16"/>
        </w:rPr>
        <w:t xml:space="preserve"> </w:t>
      </w:r>
      <w:r>
        <w:rPr>
          <w:color w:val="767070"/>
          <w:sz w:val="16"/>
        </w:rPr>
        <w:t>to</w:t>
      </w:r>
      <w:r>
        <w:rPr>
          <w:color w:val="767070"/>
          <w:spacing w:val="-5"/>
          <w:sz w:val="16"/>
        </w:rPr>
        <w:t xml:space="preserve"> </w:t>
      </w:r>
      <w:r>
        <w:rPr>
          <w:color w:val="767070"/>
          <w:sz w:val="16"/>
        </w:rPr>
        <w:t>manage</w:t>
      </w:r>
      <w:r>
        <w:rPr>
          <w:color w:val="767070"/>
          <w:spacing w:val="-6"/>
          <w:sz w:val="16"/>
        </w:rPr>
        <w:t xml:space="preserve"> </w:t>
      </w:r>
      <w:r>
        <w:rPr>
          <w:color w:val="767070"/>
          <w:sz w:val="16"/>
        </w:rPr>
        <w:t>and</w:t>
      </w:r>
      <w:r>
        <w:rPr>
          <w:color w:val="767070"/>
          <w:spacing w:val="-6"/>
          <w:sz w:val="16"/>
        </w:rPr>
        <w:t xml:space="preserve"> </w:t>
      </w:r>
      <w:r>
        <w:rPr>
          <w:color w:val="767070"/>
          <w:sz w:val="16"/>
        </w:rPr>
        <w:t>integrate</w:t>
      </w:r>
      <w:r>
        <w:rPr>
          <w:color w:val="767070"/>
          <w:spacing w:val="-6"/>
          <w:sz w:val="16"/>
        </w:rPr>
        <w:t xml:space="preserve"> </w:t>
      </w:r>
      <w:r>
        <w:rPr>
          <w:color w:val="767070"/>
          <w:sz w:val="16"/>
        </w:rPr>
        <w:t>planning</w:t>
      </w:r>
      <w:r>
        <w:rPr>
          <w:color w:val="767070"/>
          <w:spacing w:val="-6"/>
          <w:sz w:val="16"/>
        </w:rPr>
        <w:t xml:space="preserve"> </w:t>
      </w:r>
      <w:r>
        <w:rPr>
          <w:color w:val="767070"/>
          <w:sz w:val="16"/>
        </w:rPr>
        <w:t>and</w:t>
      </w:r>
      <w:r>
        <w:rPr>
          <w:color w:val="767070"/>
          <w:spacing w:val="-4"/>
          <w:sz w:val="16"/>
        </w:rPr>
        <w:t xml:space="preserve"> </w:t>
      </w:r>
      <w:r>
        <w:rPr>
          <w:color w:val="767070"/>
          <w:sz w:val="16"/>
        </w:rPr>
        <w:t>budgeting</w:t>
      </w:r>
      <w:r>
        <w:rPr>
          <w:color w:val="767070"/>
          <w:spacing w:val="40"/>
          <w:sz w:val="16"/>
        </w:rPr>
        <w:t xml:space="preserve"> </w:t>
      </w:r>
      <w:r>
        <w:rPr>
          <w:color w:val="767070"/>
          <w:sz w:val="16"/>
        </w:rPr>
        <w:t>processes in Papua.</w:t>
      </w:r>
    </w:p>
    <w:p w14:paraId="0B19062B" w14:textId="77777777" w:rsidR="00BC24A8" w:rsidRDefault="00BC24A8">
      <w:pPr>
        <w:rPr>
          <w:sz w:val="16"/>
        </w:rPr>
        <w:sectPr w:rsidR="00BC24A8">
          <w:pgSz w:w="11910" w:h="16840"/>
          <w:pgMar w:top="1360" w:right="850" w:bottom="1100" w:left="1275" w:header="0" w:footer="907" w:gutter="0"/>
          <w:cols w:space="720"/>
        </w:sectPr>
      </w:pPr>
    </w:p>
    <w:p w14:paraId="5A0E59FD" w14:textId="77777777" w:rsidR="00BC24A8" w:rsidRDefault="00000000">
      <w:pPr>
        <w:pStyle w:val="Heading5"/>
        <w:spacing w:before="37"/>
      </w:pPr>
      <w:r>
        <w:t>Implementation</w:t>
      </w:r>
      <w:r>
        <w:rPr>
          <w:spacing w:val="-10"/>
        </w:rPr>
        <w:t xml:space="preserve"> </w:t>
      </w:r>
      <w:r>
        <w:t>of</w:t>
      </w:r>
      <w:r>
        <w:rPr>
          <w:spacing w:val="-8"/>
        </w:rPr>
        <w:t xml:space="preserve"> </w:t>
      </w:r>
      <w:r>
        <w:t>Monitoring</w:t>
      </w:r>
      <w:r>
        <w:rPr>
          <w:spacing w:val="-9"/>
        </w:rPr>
        <w:t xml:space="preserve"> </w:t>
      </w:r>
      <w:r>
        <w:t>and</w:t>
      </w:r>
      <w:r>
        <w:rPr>
          <w:spacing w:val="-9"/>
        </w:rPr>
        <w:t xml:space="preserve"> </w:t>
      </w:r>
      <w:r>
        <w:t>Evaluation</w:t>
      </w:r>
      <w:r>
        <w:rPr>
          <w:spacing w:val="-9"/>
        </w:rPr>
        <w:t xml:space="preserve"> </w:t>
      </w:r>
      <w:r>
        <w:t>(M&amp;E)</w:t>
      </w:r>
      <w:r>
        <w:rPr>
          <w:spacing w:val="-9"/>
        </w:rPr>
        <w:t xml:space="preserve"> </w:t>
      </w:r>
      <w:r>
        <w:t>and</w:t>
      </w:r>
      <w:r>
        <w:rPr>
          <w:spacing w:val="-9"/>
        </w:rPr>
        <w:t xml:space="preserve"> </w:t>
      </w:r>
      <w:r>
        <w:t>program</w:t>
      </w:r>
      <w:r>
        <w:rPr>
          <w:spacing w:val="-7"/>
        </w:rPr>
        <w:t xml:space="preserve"> </w:t>
      </w:r>
      <w:r>
        <w:rPr>
          <w:spacing w:val="-2"/>
        </w:rPr>
        <w:t>documentation</w:t>
      </w:r>
    </w:p>
    <w:p w14:paraId="739F2BDA" w14:textId="77777777" w:rsidR="00BC24A8" w:rsidRDefault="00000000">
      <w:pPr>
        <w:pStyle w:val="BodyText"/>
        <w:spacing w:before="161" w:line="278" w:lineRule="auto"/>
        <w:ind w:left="143" w:right="562"/>
        <w:jc w:val="both"/>
      </w:pPr>
      <w:r>
        <w:t>Monitoring was carried out in a limited manner through activities, informal discussions, and regular meetings.</w:t>
      </w:r>
      <w:r>
        <w:rPr>
          <w:spacing w:val="-7"/>
        </w:rPr>
        <w:t xml:space="preserve"> </w:t>
      </w:r>
      <w:r>
        <w:t>In</w:t>
      </w:r>
      <w:r>
        <w:rPr>
          <w:spacing w:val="-7"/>
        </w:rPr>
        <w:t xml:space="preserve"> </w:t>
      </w:r>
      <w:r>
        <w:t>this</w:t>
      </w:r>
      <w:r>
        <w:rPr>
          <w:spacing w:val="-7"/>
        </w:rPr>
        <w:t xml:space="preserve"> </w:t>
      </w:r>
      <w:r>
        <w:t>semester,</w:t>
      </w:r>
      <w:r>
        <w:rPr>
          <w:spacing w:val="-7"/>
        </w:rPr>
        <w:t xml:space="preserve"> </w:t>
      </w:r>
      <w:r>
        <w:t>more</w:t>
      </w:r>
      <w:r>
        <w:rPr>
          <w:spacing w:val="-8"/>
        </w:rPr>
        <w:t xml:space="preserve"> </w:t>
      </w:r>
      <w:r>
        <w:t>in-depth</w:t>
      </w:r>
      <w:r>
        <w:rPr>
          <w:spacing w:val="-7"/>
        </w:rPr>
        <w:t xml:space="preserve"> </w:t>
      </w:r>
      <w:r>
        <w:t>monitoring</w:t>
      </w:r>
      <w:r>
        <w:rPr>
          <w:spacing w:val="-10"/>
        </w:rPr>
        <w:t xml:space="preserve"> </w:t>
      </w:r>
      <w:r>
        <w:t>and</w:t>
      </w:r>
      <w:r>
        <w:rPr>
          <w:spacing w:val="-7"/>
        </w:rPr>
        <w:t xml:space="preserve"> </w:t>
      </w:r>
      <w:r>
        <w:t>evaluation</w:t>
      </w:r>
      <w:r>
        <w:rPr>
          <w:spacing w:val="-7"/>
        </w:rPr>
        <w:t xml:space="preserve"> </w:t>
      </w:r>
      <w:r>
        <w:t>with</w:t>
      </w:r>
      <w:r>
        <w:rPr>
          <w:spacing w:val="-7"/>
        </w:rPr>
        <w:t xml:space="preserve"> </w:t>
      </w:r>
      <w:r>
        <w:t>local</w:t>
      </w:r>
      <w:r>
        <w:rPr>
          <w:spacing w:val="-8"/>
        </w:rPr>
        <w:t xml:space="preserve"> </w:t>
      </w:r>
      <w:r>
        <w:t>governments—through interviews and focus group discussions—were conducted to document four topics: changes in the substance of the Otsus Budget Draft (</w:t>
      </w:r>
      <w:r>
        <w:rPr>
          <w:i/>
        </w:rPr>
        <w:t>RAP Otsus</w:t>
      </w:r>
      <w:r>
        <w:t>) for basic services and GEDSI, integration of MSS and GEDSI</w:t>
      </w:r>
      <w:r>
        <w:rPr>
          <w:spacing w:val="-12"/>
        </w:rPr>
        <w:t xml:space="preserve"> </w:t>
      </w:r>
      <w:r>
        <w:t>into</w:t>
      </w:r>
      <w:r>
        <w:rPr>
          <w:spacing w:val="-11"/>
        </w:rPr>
        <w:t xml:space="preserve"> </w:t>
      </w:r>
      <w:r>
        <w:t>the</w:t>
      </w:r>
      <w:r>
        <w:rPr>
          <w:spacing w:val="-12"/>
        </w:rPr>
        <w:t xml:space="preserve"> </w:t>
      </w:r>
      <w:r>
        <w:t>2025</w:t>
      </w:r>
      <w:r>
        <w:rPr>
          <w:spacing w:val="-10"/>
        </w:rPr>
        <w:t xml:space="preserve"> </w:t>
      </w:r>
      <w:r>
        <w:t>RKPD/APBD,</w:t>
      </w:r>
      <w:r>
        <w:rPr>
          <w:spacing w:val="-10"/>
        </w:rPr>
        <w:t xml:space="preserve"> </w:t>
      </w:r>
      <w:r>
        <w:t>functionality</w:t>
      </w:r>
      <w:r>
        <w:rPr>
          <w:spacing w:val="-10"/>
        </w:rPr>
        <w:t xml:space="preserve"> </w:t>
      </w:r>
      <w:r>
        <w:t>of</w:t>
      </w:r>
      <w:r>
        <w:rPr>
          <w:spacing w:val="-12"/>
        </w:rPr>
        <w:t xml:space="preserve"> </w:t>
      </w:r>
      <w:r>
        <w:t>the</w:t>
      </w:r>
      <w:r>
        <w:rPr>
          <w:spacing w:val="-12"/>
        </w:rPr>
        <w:t xml:space="preserve"> </w:t>
      </w:r>
      <w:r>
        <w:t>One</w:t>
      </w:r>
      <w:r>
        <w:rPr>
          <w:spacing w:val="-12"/>
        </w:rPr>
        <w:t xml:space="preserve"> </w:t>
      </w:r>
      <w:r>
        <w:t>Data</w:t>
      </w:r>
      <w:r>
        <w:rPr>
          <w:spacing w:val="-12"/>
        </w:rPr>
        <w:t xml:space="preserve"> </w:t>
      </w:r>
      <w:r>
        <w:t>Forum,</w:t>
      </w:r>
      <w:r>
        <w:rPr>
          <w:spacing w:val="-10"/>
        </w:rPr>
        <w:t xml:space="preserve"> </w:t>
      </w:r>
      <w:r>
        <w:t>and</w:t>
      </w:r>
      <w:r>
        <w:rPr>
          <w:spacing w:val="-10"/>
        </w:rPr>
        <w:t xml:space="preserve"> </w:t>
      </w:r>
      <w:r>
        <w:t>utilisation</w:t>
      </w:r>
      <w:r>
        <w:rPr>
          <w:spacing w:val="-11"/>
        </w:rPr>
        <w:t xml:space="preserve"> </w:t>
      </w:r>
      <w:r>
        <w:t>of</w:t>
      </w:r>
      <w:r>
        <w:rPr>
          <w:spacing w:val="-12"/>
        </w:rPr>
        <w:t xml:space="preserve"> </w:t>
      </w:r>
      <w:r>
        <w:t>DAU</w:t>
      </w:r>
      <w:r>
        <w:rPr>
          <w:spacing w:val="-12"/>
        </w:rPr>
        <w:t xml:space="preserve"> </w:t>
      </w:r>
      <w:r>
        <w:t>SG</w:t>
      </w:r>
      <w:r>
        <w:rPr>
          <w:spacing w:val="-10"/>
        </w:rPr>
        <w:t xml:space="preserve"> </w:t>
      </w:r>
      <w:r>
        <w:t>for</w:t>
      </w:r>
      <w:r>
        <w:rPr>
          <w:spacing w:val="-10"/>
        </w:rPr>
        <w:t xml:space="preserve"> </w:t>
      </w:r>
      <w:r>
        <w:t>MSS and</w:t>
      </w:r>
      <w:r>
        <w:rPr>
          <w:spacing w:val="-7"/>
        </w:rPr>
        <w:t xml:space="preserve"> </w:t>
      </w:r>
      <w:r>
        <w:t>GEDSI.</w:t>
      </w:r>
      <w:r>
        <w:rPr>
          <w:spacing w:val="-6"/>
        </w:rPr>
        <w:t xml:space="preserve"> </w:t>
      </w:r>
      <w:r>
        <w:t>The</w:t>
      </w:r>
      <w:r>
        <w:rPr>
          <w:spacing w:val="-10"/>
        </w:rPr>
        <w:t xml:space="preserve"> </w:t>
      </w:r>
      <w:r>
        <w:t>monitoring</w:t>
      </w:r>
      <w:r>
        <w:rPr>
          <w:spacing w:val="-11"/>
        </w:rPr>
        <w:t xml:space="preserve"> </w:t>
      </w:r>
      <w:r>
        <w:t>results</w:t>
      </w:r>
      <w:r>
        <w:rPr>
          <w:spacing w:val="-6"/>
        </w:rPr>
        <w:t xml:space="preserve"> </w:t>
      </w:r>
      <w:r>
        <w:t>provided</w:t>
      </w:r>
      <w:r>
        <w:rPr>
          <w:spacing w:val="-7"/>
        </w:rPr>
        <w:t xml:space="preserve"> </w:t>
      </w:r>
      <w:r>
        <w:t>input</w:t>
      </w:r>
      <w:r>
        <w:rPr>
          <w:spacing w:val="-8"/>
        </w:rPr>
        <w:t xml:space="preserve"> </w:t>
      </w:r>
      <w:r>
        <w:t>to</w:t>
      </w:r>
      <w:r>
        <w:rPr>
          <w:spacing w:val="-10"/>
        </w:rPr>
        <w:t xml:space="preserve"> </w:t>
      </w:r>
      <w:r>
        <w:t>strengthen</w:t>
      </w:r>
      <w:r>
        <w:rPr>
          <w:spacing w:val="-7"/>
        </w:rPr>
        <w:t xml:space="preserve"> </w:t>
      </w:r>
      <w:r>
        <w:t>SKALA</w:t>
      </w:r>
      <w:r>
        <w:rPr>
          <w:spacing w:val="-9"/>
        </w:rPr>
        <w:t xml:space="preserve"> </w:t>
      </w:r>
      <w:r>
        <w:t>program</w:t>
      </w:r>
      <w:r>
        <w:rPr>
          <w:spacing w:val="-9"/>
        </w:rPr>
        <w:t xml:space="preserve"> </w:t>
      </w:r>
      <w:r>
        <w:t>governance</w:t>
      </w:r>
      <w:r>
        <w:rPr>
          <w:spacing w:val="-8"/>
        </w:rPr>
        <w:t xml:space="preserve"> </w:t>
      </w:r>
      <w:r>
        <w:t>and</w:t>
      </w:r>
      <w:r>
        <w:rPr>
          <w:spacing w:val="-9"/>
        </w:rPr>
        <w:t xml:space="preserve"> </w:t>
      </w:r>
      <w:r>
        <w:t>served as</w:t>
      </w:r>
      <w:r>
        <w:rPr>
          <w:spacing w:val="-1"/>
        </w:rPr>
        <w:t xml:space="preserve"> </w:t>
      </w:r>
      <w:r>
        <w:t>a</w:t>
      </w:r>
      <w:r>
        <w:rPr>
          <w:spacing w:val="-3"/>
        </w:rPr>
        <w:t xml:space="preserve"> </w:t>
      </w:r>
      <w:r>
        <w:t>reflection</w:t>
      </w:r>
      <w:r>
        <w:rPr>
          <w:spacing w:val="-2"/>
        </w:rPr>
        <w:t xml:space="preserve"> </w:t>
      </w:r>
      <w:r>
        <w:t>forum</w:t>
      </w:r>
      <w:r>
        <w:rPr>
          <w:spacing w:val="-2"/>
        </w:rPr>
        <w:t xml:space="preserve"> </w:t>
      </w:r>
      <w:r>
        <w:t>for</w:t>
      </w:r>
      <w:r>
        <w:rPr>
          <w:spacing w:val="-2"/>
        </w:rPr>
        <w:t xml:space="preserve"> </w:t>
      </w:r>
      <w:r>
        <w:t>local</w:t>
      </w:r>
      <w:r>
        <w:rPr>
          <w:spacing w:val="-3"/>
        </w:rPr>
        <w:t xml:space="preserve"> </w:t>
      </w:r>
      <w:r>
        <w:t>governments</w:t>
      </w:r>
      <w:r>
        <w:rPr>
          <w:spacing w:val="-4"/>
        </w:rPr>
        <w:t xml:space="preserve"> </w:t>
      </w:r>
      <w:r>
        <w:t>in</w:t>
      </w:r>
      <w:r>
        <w:rPr>
          <w:spacing w:val="-4"/>
        </w:rPr>
        <w:t xml:space="preserve"> </w:t>
      </w:r>
      <w:r>
        <w:t>planning</w:t>
      </w:r>
      <w:r>
        <w:rPr>
          <w:spacing w:val="-8"/>
        </w:rPr>
        <w:t xml:space="preserve"> </w:t>
      </w:r>
      <w:r>
        <w:t>Otsus</w:t>
      </w:r>
      <w:r>
        <w:rPr>
          <w:spacing w:val="-4"/>
        </w:rPr>
        <w:t xml:space="preserve"> </w:t>
      </w:r>
      <w:r>
        <w:t>and</w:t>
      </w:r>
      <w:r>
        <w:rPr>
          <w:spacing w:val="-4"/>
        </w:rPr>
        <w:t xml:space="preserve"> </w:t>
      </w:r>
      <w:r>
        <w:t>DAU</w:t>
      </w:r>
      <w:r>
        <w:rPr>
          <w:spacing w:val="-6"/>
        </w:rPr>
        <w:t xml:space="preserve"> </w:t>
      </w:r>
      <w:r>
        <w:t>SG</w:t>
      </w:r>
      <w:r>
        <w:rPr>
          <w:spacing w:val="-4"/>
        </w:rPr>
        <w:t xml:space="preserve"> </w:t>
      </w:r>
      <w:r>
        <w:t>with</w:t>
      </w:r>
      <w:r>
        <w:rPr>
          <w:spacing w:val="-2"/>
        </w:rPr>
        <w:t xml:space="preserve"> </w:t>
      </w:r>
      <w:r>
        <w:t>a</w:t>
      </w:r>
      <w:r>
        <w:rPr>
          <w:spacing w:val="-6"/>
        </w:rPr>
        <w:t xml:space="preserve"> </w:t>
      </w:r>
      <w:r>
        <w:t>stronger</w:t>
      </w:r>
      <w:r>
        <w:rPr>
          <w:spacing w:val="-2"/>
        </w:rPr>
        <w:t xml:space="preserve"> </w:t>
      </w:r>
      <w:r>
        <w:t>prioritisation of MSS and GEDSI.</w:t>
      </w:r>
    </w:p>
    <w:p w14:paraId="3C624E72" w14:textId="77777777" w:rsidR="00BC24A8" w:rsidRDefault="00BC24A8">
      <w:pPr>
        <w:pStyle w:val="BodyText"/>
      </w:pPr>
    </w:p>
    <w:p w14:paraId="226835D2" w14:textId="77777777" w:rsidR="00BC24A8" w:rsidRDefault="00BC24A8">
      <w:pPr>
        <w:pStyle w:val="BodyText"/>
        <w:spacing w:before="90"/>
      </w:pPr>
    </w:p>
    <w:p w14:paraId="12E57AEE" w14:textId="77777777" w:rsidR="00BC24A8" w:rsidRDefault="00000000">
      <w:pPr>
        <w:ind w:left="143"/>
        <w:rPr>
          <w:i/>
        </w:rPr>
      </w:pPr>
      <w:r>
        <w:rPr>
          <w:i/>
          <w:color w:val="1F3762"/>
        </w:rPr>
        <w:t>Program</w:t>
      </w:r>
      <w:r>
        <w:rPr>
          <w:i/>
          <w:color w:val="1F3762"/>
          <w:spacing w:val="-9"/>
        </w:rPr>
        <w:t xml:space="preserve"> </w:t>
      </w:r>
      <w:r>
        <w:rPr>
          <w:i/>
          <w:color w:val="1F3762"/>
        </w:rPr>
        <w:t>Implementation</w:t>
      </w:r>
      <w:r>
        <w:rPr>
          <w:i/>
          <w:color w:val="1F3762"/>
          <w:spacing w:val="-9"/>
        </w:rPr>
        <w:t xml:space="preserve"> </w:t>
      </w:r>
      <w:r>
        <w:rPr>
          <w:i/>
          <w:color w:val="1F3762"/>
        </w:rPr>
        <w:t>and</w:t>
      </w:r>
      <w:r>
        <w:rPr>
          <w:i/>
          <w:color w:val="1F3762"/>
          <w:spacing w:val="-9"/>
        </w:rPr>
        <w:t xml:space="preserve"> </w:t>
      </w:r>
      <w:r>
        <w:rPr>
          <w:i/>
          <w:color w:val="1F3762"/>
        </w:rPr>
        <w:t>Learning</w:t>
      </w:r>
      <w:r>
        <w:rPr>
          <w:i/>
          <w:color w:val="1F3762"/>
          <w:spacing w:val="-7"/>
        </w:rPr>
        <w:t xml:space="preserve"> </w:t>
      </w:r>
      <w:r>
        <w:rPr>
          <w:i/>
          <w:color w:val="1F3762"/>
          <w:spacing w:val="-2"/>
        </w:rPr>
        <w:t>Results/Progress</w:t>
      </w:r>
    </w:p>
    <w:p w14:paraId="08A9B470" w14:textId="77777777" w:rsidR="00BC24A8" w:rsidRDefault="00000000">
      <w:pPr>
        <w:pStyle w:val="BodyText"/>
        <w:spacing w:before="44"/>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4"/>
        </w:rPr>
        <w:t xml:space="preserve"> </w:t>
      </w:r>
      <w:r>
        <w:rPr>
          <w:rFonts w:ascii="Calibri"/>
          <w:color w:val="272727"/>
        </w:rPr>
        <w:t>at</w:t>
      </w:r>
      <w:r>
        <w:rPr>
          <w:rFonts w:ascii="Calibri"/>
          <w:color w:val="272727"/>
          <w:spacing w:val="-5"/>
        </w:rPr>
        <w:t xml:space="preserve"> </w:t>
      </w:r>
      <w:r>
        <w:rPr>
          <w:rFonts w:ascii="Calibri"/>
          <w:color w:val="272727"/>
        </w:rPr>
        <w:t>the</w:t>
      </w:r>
      <w:r>
        <w:rPr>
          <w:rFonts w:ascii="Calibri"/>
          <w:color w:val="272727"/>
          <w:spacing w:val="-3"/>
        </w:rPr>
        <w:t xml:space="preserve"> </w:t>
      </w:r>
      <w:r>
        <w:rPr>
          <w:rFonts w:ascii="Calibri"/>
          <w:color w:val="272727"/>
        </w:rPr>
        <w:t>Input</w:t>
      </w:r>
      <w:r>
        <w:rPr>
          <w:rFonts w:ascii="Calibri"/>
          <w:color w:val="272727"/>
          <w:spacing w:val="-2"/>
        </w:rPr>
        <w:t xml:space="preserve"> </w:t>
      </w:r>
      <w:r>
        <w:rPr>
          <w:rFonts w:ascii="Calibri"/>
          <w:color w:val="272727"/>
          <w:spacing w:val="-4"/>
        </w:rPr>
        <w:t>level</w:t>
      </w:r>
    </w:p>
    <w:p w14:paraId="717BD419" w14:textId="77777777" w:rsidR="00BC24A8" w:rsidRDefault="00BC24A8">
      <w:pPr>
        <w:pStyle w:val="BodyText"/>
        <w:rPr>
          <w:rFonts w:ascii="Calibri"/>
        </w:rPr>
      </w:pPr>
    </w:p>
    <w:p w14:paraId="3684B1C1" w14:textId="77777777" w:rsidR="00BC24A8" w:rsidRDefault="00BC24A8">
      <w:pPr>
        <w:pStyle w:val="BodyText"/>
        <w:spacing w:before="34"/>
        <w:rPr>
          <w:rFonts w:ascii="Calibri"/>
        </w:rPr>
      </w:pPr>
    </w:p>
    <w:p w14:paraId="1BA3F788" w14:textId="77777777" w:rsidR="00BC24A8" w:rsidRDefault="00000000">
      <w:pPr>
        <w:pStyle w:val="Heading5"/>
      </w:pPr>
      <w:bookmarkStart w:id="227" w:name="_bookmark159"/>
      <w:bookmarkEnd w:id="227"/>
      <w:r>
        <w:rPr>
          <w:color w:val="767070"/>
        </w:rPr>
        <w:t>Table</w:t>
      </w:r>
      <w:r>
        <w:rPr>
          <w:color w:val="767070"/>
          <w:spacing w:val="-13"/>
        </w:rPr>
        <w:t xml:space="preserve"> </w:t>
      </w:r>
      <w:r>
        <w:rPr>
          <w:color w:val="767070"/>
        </w:rPr>
        <w:t>22:</w:t>
      </w:r>
      <w:r>
        <w:rPr>
          <w:color w:val="767070"/>
          <w:spacing w:val="-10"/>
        </w:rPr>
        <w:t xml:space="preserve"> </w:t>
      </w:r>
      <w:r>
        <w:rPr>
          <w:color w:val="767070"/>
        </w:rPr>
        <w:t>Table</w:t>
      </w:r>
      <w:r>
        <w:rPr>
          <w:color w:val="767070"/>
          <w:spacing w:val="-11"/>
        </w:rPr>
        <w:t xml:space="preserve"> </w:t>
      </w:r>
      <w:r>
        <w:rPr>
          <w:color w:val="767070"/>
        </w:rPr>
        <w:t>of</w:t>
      </w:r>
      <w:r>
        <w:rPr>
          <w:color w:val="767070"/>
          <w:spacing w:val="-10"/>
        </w:rPr>
        <w:t xml:space="preserve"> </w:t>
      </w:r>
      <w:r>
        <w:rPr>
          <w:color w:val="767070"/>
        </w:rPr>
        <w:t>program</w:t>
      </w:r>
      <w:r>
        <w:rPr>
          <w:color w:val="767070"/>
          <w:spacing w:val="-11"/>
        </w:rPr>
        <w:t xml:space="preserve"> </w:t>
      </w:r>
      <w:r>
        <w:rPr>
          <w:color w:val="767070"/>
        </w:rPr>
        <w:t>input</w:t>
      </w:r>
      <w:r>
        <w:rPr>
          <w:color w:val="767070"/>
          <w:spacing w:val="-10"/>
        </w:rPr>
        <w:t xml:space="preserve"> </w:t>
      </w:r>
      <w:r>
        <w:rPr>
          <w:color w:val="767070"/>
        </w:rPr>
        <w:t>summary</w:t>
      </w:r>
      <w:r>
        <w:rPr>
          <w:color w:val="767070"/>
          <w:spacing w:val="-10"/>
        </w:rPr>
        <w:t xml:space="preserve"> </w:t>
      </w:r>
      <w:r>
        <w:rPr>
          <w:color w:val="767070"/>
        </w:rPr>
        <w:t>(January-June</w:t>
      </w:r>
      <w:r>
        <w:rPr>
          <w:color w:val="767070"/>
          <w:spacing w:val="-10"/>
        </w:rPr>
        <w:t xml:space="preserve"> </w:t>
      </w:r>
      <w:r>
        <w:rPr>
          <w:color w:val="767070"/>
          <w:spacing w:val="-2"/>
        </w:rPr>
        <w:t>2025)</w:t>
      </w:r>
    </w:p>
    <w:p w14:paraId="7C5BDBA4" w14:textId="77777777" w:rsidR="00BC24A8" w:rsidRDefault="00BC24A8">
      <w:pPr>
        <w:pStyle w:val="BodyText"/>
        <w:spacing w:before="5"/>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2880"/>
        <w:gridCol w:w="1174"/>
        <w:gridCol w:w="2158"/>
        <w:gridCol w:w="2880"/>
      </w:tblGrid>
      <w:tr w:rsidR="00BC24A8" w14:paraId="70EB23C8" w14:textId="77777777">
        <w:trPr>
          <w:trHeight w:val="643"/>
        </w:trPr>
        <w:tc>
          <w:tcPr>
            <w:tcW w:w="2880" w:type="dxa"/>
            <w:shd w:val="clear" w:color="auto" w:fill="17365A"/>
          </w:tcPr>
          <w:p w14:paraId="6B062E78" w14:textId="77777777" w:rsidR="00BC24A8" w:rsidRDefault="00000000">
            <w:pPr>
              <w:pStyle w:val="TableParagraph"/>
              <w:spacing w:before="191"/>
              <w:ind w:left="107"/>
              <w:rPr>
                <w:rFonts w:ascii="Calibri"/>
                <w:b/>
                <w:sz w:val="20"/>
              </w:rPr>
            </w:pPr>
            <w:r>
              <w:rPr>
                <w:rFonts w:ascii="Calibri"/>
                <w:b/>
                <w:color w:val="FFFFFF"/>
                <w:sz w:val="20"/>
              </w:rPr>
              <w:t>Input</w:t>
            </w:r>
            <w:r>
              <w:rPr>
                <w:rFonts w:ascii="Calibri"/>
                <w:b/>
                <w:color w:val="FFFFFF"/>
                <w:spacing w:val="-3"/>
                <w:sz w:val="20"/>
              </w:rPr>
              <w:t xml:space="preserve"> </w:t>
            </w:r>
            <w:r>
              <w:rPr>
                <w:rFonts w:ascii="Calibri"/>
                <w:b/>
                <w:color w:val="FFFFFF"/>
                <w:spacing w:val="-4"/>
                <w:sz w:val="20"/>
              </w:rPr>
              <w:t>type</w:t>
            </w:r>
          </w:p>
        </w:tc>
        <w:tc>
          <w:tcPr>
            <w:tcW w:w="1174" w:type="dxa"/>
            <w:shd w:val="clear" w:color="auto" w:fill="17365A"/>
          </w:tcPr>
          <w:p w14:paraId="6731903A" w14:textId="77777777" w:rsidR="00BC24A8" w:rsidRDefault="00000000">
            <w:pPr>
              <w:pStyle w:val="TableParagraph"/>
              <w:spacing w:before="59" w:line="259" w:lineRule="auto"/>
              <w:ind w:left="326" w:right="133" w:hanging="190"/>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 xml:space="preserve">of </w:t>
            </w:r>
            <w:r>
              <w:rPr>
                <w:rFonts w:ascii="Calibri"/>
                <w:b/>
                <w:color w:val="FFFFFF"/>
                <w:spacing w:val="-2"/>
                <w:sz w:val="20"/>
              </w:rPr>
              <w:t>inputs</w:t>
            </w:r>
          </w:p>
        </w:tc>
        <w:tc>
          <w:tcPr>
            <w:tcW w:w="2158" w:type="dxa"/>
            <w:shd w:val="clear" w:color="auto" w:fill="17365A"/>
          </w:tcPr>
          <w:p w14:paraId="7376EACB" w14:textId="77777777" w:rsidR="00BC24A8" w:rsidRDefault="00000000">
            <w:pPr>
              <w:pStyle w:val="TableParagraph"/>
              <w:spacing w:before="59" w:line="259" w:lineRule="auto"/>
              <w:ind w:left="637" w:right="550" w:hanging="89"/>
              <w:rPr>
                <w:rFonts w:ascii="Calibri"/>
                <w:b/>
                <w:sz w:val="20"/>
              </w:rPr>
            </w:pPr>
            <w:r>
              <w:rPr>
                <w:rFonts w:ascii="Calibri"/>
                <w:b/>
                <w:color w:val="FFFFFF"/>
                <w:sz w:val="20"/>
              </w:rPr>
              <w:t>Total</w:t>
            </w:r>
            <w:r>
              <w:rPr>
                <w:rFonts w:ascii="Calibri"/>
                <w:b/>
                <w:color w:val="FFFFFF"/>
                <w:spacing w:val="-12"/>
                <w:sz w:val="20"/>
              </w:rPr>
              <w:t xml:space="preserve"> </w:t>
            </w:r>
            <w:r>
              <w:rPr>
                <w:rFonts w:ascii="Calibri"/>
                <w:b/>
                <w:color w:val="FFFFFF"/>
                <w:sz w:val="20"/>
              </w:rPr>
              <w:t xml:space="preserve">budget </w:t>
            </w:r>
            <w:r>
              <w:rPr>
                <w:rFonts w:ascii="Calibri"/>
                <w:b/>
                <w:color w:val="FFFFFF"/>
                <w:spacing w:val="-2"/>
                <w:sz w:val="20"/>
              </w:rPr>
              <w:t>realisation</w:t>
            </w:r>
          </w:p>
        </w:tc>
        <w:tc>
          <w:tcPr>
            <w:tcW w:w="2880" w:type="dxa"/>
            <w:shd w:val="clear" w:color="auto" w:fill="17365A"/>
          </w:tcPr>
          <w:p w14:paraId="341A52E6" w14:textId="77777777" w:rsidR="00BC24A8" w:rsidRDefault="00000000">
            <w:pPr>
              <w:pStyle w:val="TableParagraph"/>
              <w:spacing w:before="59" w:line="259" w:lineRule="auto"/>
              <w:ind w:left="1081" w:hanging="612"/>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of</w:t>
            </w:r>
            <w:r>
              <w:rPr>
                <w:rFonts w:ascii="Calibri"/>
                <w:b/>
                <w:color w:val="FFFFFF"/>
                <w:spacing w:val="-11"/>
                <w:sz w:val="20"/>
              </w:rPr>
              <w:t xml:space="preserve"> </w:t>
            </w:r>
            <w:r>
              <w:rPr>
                <w:rFonts w:ascii="Calibri"/>
                <w:b/>
                <w:color w:val="FFFFFF"/>
                <w:sz w:val="20"/>
              </w:rPr>
              <w:t xml:space="preserve">participants </w:t>
            </w:r>
            <w:r>
              <w:rPr>
                <w:rFonts w:ascii="Calibri"/>
                <w:b/>
                <w:color w:val="FFFFFF"/>
                <w:spacing w:val="-2"/>
                <w:sz w:val="20"/>
              </w:rPr>
              <w:t>involved</w:t>
            </w:r>
          </w:p>
        </w:tc>
      </w:tr>
    </w:tbl>
    <w:p w14:paraId="07C8B4E2" w14:textId="77777777" w:rsidR="00BC24A8" w:rsidRDefault="00000000">
      <w:pPr>
        <w:tabs>
          <w:tab w:val="left" w:pos="3563"/>
          <w:tab w:val="left" w:pos="6460"/>
        </w:tabs>
        <w:spacing w:before="102"/>
        <w:ind w:left="251"/>
        <w:rPr>
          <w:sz w:val="18"/>
        </w:rPr>
      </w:pPr>
      <w:r>
        <w:rPr>
          <w:sz w:val="18"/>
        </w:rPr>
        <w:t>Focus</w:t>
      </w:r>
      <w:r>
        <w:rPr>
          <w:spacing w:val="-3"/>
          <w:sz w:val="18"/>
        </w:rPr>
        <w:t xml:space="preserve"> </w:t>
      </w:r>
      <w:r>
        <w:rPr>
          <w:sz w:val="18"/>
        </w:rPr>
        <w:t>Group</w:t>
      </w:r>
      <w:r>
        <w:rPr>
          <w:spacing w:val="-1"/>
          <w:sz w:val="18"/>
        </w:rPr>
        <w:t xml:space="preserve"> </w:t>
      </w:r>
      <w:r>
        <w:rPr>
          <w:sz w:val="18"/>
        </w:rPr>
        <w:t>Discussion</w:t>
      </w:r>
      <w:r>
        <w:rPr>
          <w:spacing w:val="-1"/>
          <w:sz w:val="18"/>
        </w:rPr>
        <w:t xml:space="preserve"> </w:t>
      </w:r>
      <w:r>
        <w:rPr>
          <w:spacing w:val="-4"/>
          <w:sz w:val="18"/>
        </w:rPr>
        <w:t>(FGD)</w:t>
      </w:r>
      <w:r>
        <w:rPr>
          <w:sz w:val="18"/>
        </w:rPr>
        <w:tab/>
      </w:r>
      <w:r>
        <w:rPr>
          <w:spacing w:val="-10"/>
          <w:sz w:val="18"/>
        </w:rPr>
        <w:t>1</w:t>
      </w:r>
      <w:r>
        <w:rPr>
          <w:sz w:val="18"/>
        </w:rPr>
        <w:tab/>
        <w:t>Person</w:t>
      </w:r>
      <w:r>
        <w:rPr>
          <w:spacing w:val="-1"/>
          <w:sz w:val="18"/>
        </w:rPr>
        <w:t xml:space="preserve"> </w:t>
      </w:r>
      <w:r>
        <w:rPr>
          <w:sz w:val="18"/>
        </w:rPr>
        <w:t>time</w:t>
      </w:r>
      <w:hyperlink w:anchor="_bookmark161" w:history="1">
        <w:r w:rsidR="00BC24A8">
          <w:rPr>
            <w:position w:val="5"/>
            <w:sz w:val="12"/>
          </w:rPr>
          <w:t>84</w:t>
        </w:r>
      </w:hyperlink>
      <w:r>
        <w:rPr>
          <w:spacing w:val="17"/>
          <w:position w:val="5"/>
          <w:sz w:val="12"/>
        </w:rPr>
        <w:t xml:space="preserve"> </w:t>
      </w:r>
      <w:r>
        <w:rPr>
          <w:sz w:val="18"/>
        </w:rPr>
        <w:t>=</w:t>
      </w:r>
      <w:r>
        <w:rPr>
          <w:spacing w:val="1"/>
          <w:sz w:val="18"/>
        </w:rPr>
        <w:t xml:space="preserve"> </w:t>
      </w:r>
      <w:r>
        <w:rPr>
          <w:spacing w:val="-5"/>
          <w:sz w:val="18"/>
        </w:rPr>
        <w:t>237</w:t>
      </w:r>
    </w:p>
    <w:p w14:paraId="39CFF414" w14:textId="77777777" w:rsidR="00BC24A8" w:rsidRDefault="00000000">
      <w:pPr>
        <w:pStyle w:val="ListParagraph"/>
        <w:numPr>
          <w:ilvl w:val="0"/>
          <w:numId w:val="24"/>
        </w:numPr>
        <w:tabs>
          <w:tab w:val="left" w:pos="6791"/>
        </w:tabs>
        <w:spacing w:before="59"/>
        <w:jc w:val="left"/>
        <w:rPr>
          <w:sz w:val="18"/>
        </w:rPr>
      </w:pPr>
      <w:r>
        <w:rPr>
          <w:sz w:val="18"/>
        </w:rPr>
        <w:t xml:space="preserve">146 </w:t>
      </w:r>
      <w:r>
        <w:rPr>
          <w:spacing w:val="-2"/>
          <w:sz w:val="18"/>
        </w:rPr>
        <w:t>males</w:t>
      </w:r>
    </w:p>
    <w:p w14:paraId="79D38305" w14:textId="77777777" w:rsidR="00BC24A8" w:rsidRDefault="00000000">
      <w:pPr>
        <w:tabs>
          <w:tab w:val="left" w:pos="3563"/>
          <w:tab w:val="left" w:pos="4345"/>
          <w:tab w:val="left" w:pos="5044"/>
          <w:tab w:val="left" w:pos="6354"/>
          <w:tab w:val="left" w:pos="6791"/>
        </w:tabs>
        <w:spacing w:before="4" w:line="235" w:lineRule="auto"/>
        <w:ind w:left="251" w:right="2198" w:hanging="108"/>
        <w:rPr>
          <w:sz w:val="18"/>
        </w:rPr>
      </w:pPr>
      <w:r>
        <w:rPr>
          <w:rFonts w:ascii="Trebuchet MS" w:hAnsi="Trebuchet MS"/>
          <w:sz w:val="18"/>
          <w:u w:val="single" w:color="BEBEBE"/>
        </w:rPr>
        <w:tab/>
      </w:r>
      <w:r>
        <w:rPr>
          <w:rFonts w:ascii="Trebuchet MS" w:hAnsi="Trebuchet MS"/>
          <w:sz w:val="18"/>
          <w:u w:val="single" w:color="BEBEBE"/>
        </w:rPr>
        <w:tab/>
      </w:r>
      <w:r>
        <w:rPr>
          <w:rFonts w:ascii="Trebuchet MS" w:hAnsi="Trebuchet MS"/>
          <w:sz w:val="18"/>
          <w:u w:val="single" w:color="BEBEBE"/>
        </w:rPr>
        <w:tab/>
      </w:r>
      <w:r>
        <w:rPr>
          <w:rFonts w:ascii="Trebuchet MS" w:hAnsi="Trebuchet MS"/>
          <w:sz w:val="18"/>
          <w:u w:val="single" w:color="BEBEBE"/>
        </w:rPr>
        <w:tab/>
      </w:r>
      <w:r>
        <w:rPr>
          <w:rFonts w:ascii="Trebuchet MS" w:hAnsi="Trebuchet MS"/>
          <w:sz w:val="18"/>
          <w:u w:val="single" w:color="BEBEBE"/>
        </w:rPr>
        <w:tab/>
      </w:r>
      <w:r>
        <w:rPr>
          <w:rFonts w:ascii="Trebuchet MS" w:hAnsi="Trebuchet MS"/>
          <w:sz w:val="18"/>
        </w:rPr>
        <w:t xml:space="preserve"> •</w:t>
      </w:r>
      <w:r>
        <w:rPr>
          <w:rFonts w:ascii="Trebuchet MS" w:hAnsi="Trebuchet MS"/>
          <w:sz w:val="18"/>
        </w:rPr>
        <w:tab/>
      </w:r>
      <w:r>
        <w:rPr>
          <w:sz w:val="18"/>
        </w:rPr>
        <w:t>98</w:t>
      </w:r>
      <w:r>
        <w:rPr>
          <w:spacing w:val="-11"/>
          <w:sz w:val="18"/>
        </w:rPr>
        <w:t xml:space="preserve"> </w:t>
      </w:r>
      <w:r>
        <w:rPr>
          <w:sz w:val="18"/>
        </w:rPr>
        <w:t>females Lokakarya / Workshop</w:t>
      </w:r>
      <w:r>
        <w:rPr>
          <w:sz w:val="18"/>
        </w:rPr>
        <w:tab/>
      </w:r>
      <w:r>
        <w:rPr>
          <w:spacing w:val="-10"/>
          <w:sz w:val="18"/>
        </w:rPr>
        <w:t>2</w:t>
      </w:r>
      <w:r>
        <w:rPr>
          <w:sz w:val="18"/>
        </w:rPr>
        <w:tab/>
      </w:r>
      <w:r>
        <w:rPr>
          <w:spacing w:val="-4"/>
          <w:sz w:val="18"/>
        </w:rPr>
        <w:t>IDR</w:t>
      </w:r>
      <w:r>
        <w:rPr>
          <w:sz w:val="18"/>
        </w:rPr>
        <w:tab/>
      </w:r>
      <w:r>
        <w:rPr>
          <w:spacing w:val="-2"/>
          <w:sz w:val="18"/>
        </w:rPr>
        <w:t>431,619,738</w:t>
      </w:r>
    </w:p>
    <w:p w14:paraId="42565C44" w14:textId="77777777" w:rsidR="00BC24A8" w:rsidRDefault="00000000">
      <w:pPr>
        <w:tabs>
          <w:tab w:val="left" w:pos="6354"/>
        </w:tabs>
        <w:spacing w:before="65"/>
        <w:ind w:left="143"/>
        <w:rPr>
          <w:sz w:val="18"/>
        </w:rPr>
      </w:pPr>
      <w:r>
        <w:rPr>
          <w:rFonts w:ascii="Times New Roman"/>
          <w:b/>
          <w:sz w:val="18"/>
          <w:u w:val="single" w:color="BEBEBE"/>
        </w:rPr>
        <w:tab/>
      </w:r>
      <w:r>
        <w:rPr>
          <w:rFonts w:ascii="Times New Roman"/>
          <w:b/>
          <w:spacing w:val="40"/>
          <w:sz w:val="18"/>
        </w:rPr>
        <w:t xml:space="preserve"> </w:t>
      </w:r>
      <w:r>
        <w:rPr>
          <w:sz w:val="18"/>
        </w:rPr>
        <w:t>Headcount = 35</w:t>
      </w:r>
    </w:p>
    <w:p w14:paraId="061E6384" w14:textId="77777777" w:rsidR="00BC24A8" w:rsidRDefault="00BC24A8">
      <w:pPr>
        <w:rPr>
          <w:sz w:val="18"/>
        </w:rPr>
        <w:sectPr w:rsidR="00BC24A8">
          <w:pgSz w:w="11910" w:h="16840"/>
          <w:pgMar w:top="1360" w:right="850" w:bottom="1100" w:left="1275" w:header="0" w:footer="907" w:gutter="0"/>
          <w:cols w:space="720"/>
        </w:sectPr>
      </w:pPr>
    </w:p>
    <w:p w14:paraId="56DC6504" w14:textId="77777777" w:rsidR="00BC24A8" w:rsidRDefault="00000000">
      <w:pPr>
        <w:tabs>
          <w:tab w:val="right" w:pos="3654"/>
        </w:tabs>
        <w:spacing w:before="61"/>
        <w:ind w:left="251"/>
        <w:rPr>
          <w:sz w:val="18"/>
        </w:rPr>
      </w:pPr>
      <w:r>
        <w:rPr>
          <w:spacing w:val="-5"/>
          <w:sz w:val="18"/>
        </w:rPr>
        <w:t>TA</w:t>
      </w:r>
      <w:r>
        <w:rPr>
          <w:rFonts w:ascii="Times New Roman"/>
          <w:b/>
          <w:sz w:val="18"/>
        </w:rPr>
        <w:tab/>
      </w:r>
      <w:r>
        <w:rPr>
          <w:spacing w:val="-10"/>
          <w:sz w:val="18"/>
        </w:rPr>
        <w:t>2</w:t>
      </w:r>
    </w:p>
    <w:p w14:paraId="601C2EC8" w14:textId="77777777" w:rsidR="00BC24A8" w:rsidRDefault="00000000">
      <w:pPr>
        <w:pStyle w:val="ListParagraph"/>
        <w:numPr>
          <w:ilvl w:val="0"/>
          <w:numId w:val="24"/>
        </w:numPr>
        <w:tabs>
          <w:tab w:val="left" w:pos="611"/>
        </w:tabs>
        <w:spacing w:before="59"/>
        <w:ind w:left="611"/>
        <w:jc w:val="left"/>
        <w:rPr>
          <w:sz w:val="18"/>
        </w:rPr>
      </w:pPr>
      <w:r>
        <w:br w:type="column"/>
      </w:r>
      <w:r>
        <w:rPr>
          <w:sz w:val="18"/>
        </w:rPr>
        <w:t>22</w:t>
      </w:r>
      <w:r>
        <w:rPr>
          <w:spacing w:val="-1"/>
          <w:sz w:val="18"/>
        </w:rPr>
        <w:t xml:space="preserve"> </w:t>
      </w:r>
      <w:r>
        <w:rPr>
          <w:spacing w:val="-2"/>
          <w:sz w:val="18"/>
        </w:rPr>
        <w:t>males</w:t>
      </w:r>
    </w:p>
    <w:p w14:paraId="343B90D0" w14:textId="77777777" w:rsidR="00BC24A8" w:rsidRDefault="00000000">
      <w:pPr>
        <w:pStyle w:val="ListParagraph"/>
        <w:numPr>
          <w:ilvl w:val="0"/>
          <w:numId w:val="24"/>
        </w:numPr>
        <w:tabs>
          <w:tab w:val="left" w:pos="611"/>
        </w:tabs>
        <w:spacing w:before="1"/>
        <w:ind w:left="611"/>
        <w:jc w:val="left"/>
        <w:rPr>
          <w:sz w:val="18"/>
        </w:rPr>
      </w:pPr>
      <w:r>
        <w:rPr>
          <w:sz w:val="18"/>
        </w:rPr>
        <w:t>13</w:t>
      </w:r>
      <w:r>
        <w:rPr>
          <w:spacing w:val="-1"/>
          <w:sz w:val="18"/>
        </w:rPr>
        <w:t xml:space="preserve"> </w:t>
      </w:r>
      <w:r>
        <w:rPr>
          <w:spacing w:val="-2"/>
          <w:sz w:val="18"/>
        </w:rPr>
        <w:t>females</w:t>
      </w:r>
    </w:p>
    <w:p w14:paraId="6C2F5373" w14:textId="77777777" w:rsidR="00BC24A8" w:rsidRDefault="00BC24A8">
      <w:pPr>
        <w:pStyle w:val="ListParagraph"/>
        <w:jc w:val="left"/>
        <w:rPr>
          <w:sz w:val="18"/>
        </w:rPr>
        <w:sectPr w:rsidR="00BC24A8">
          <w:type w:val="continuous"/>
          <w:pgSz w:w="11910" w:h="16840"/>
          <w:pgMar w:top="1920" w:right="850" w:bottom="280" w:left="1275" w:header="0" w:footer="907" w:gutter="0"/>
          <w:cols w:num="2" w:space="720" w:equalWidth="0">
            <w:col w:w="3695" w:space="2485"/>
            <w:col w:w="3605"/>
          </w:cols>
        </w:sectPr>
      </w:pPr>
    </w:p>
    <w:p w14:paraId="6EA16573" w14:textId="77777777" w:rsidR="00BC24A8" w:rsidRDefault="00BC24A8">
      <w:pPr>
        <w:pStyle w:val="BodyText"/>
        <w:spacing w:before="2"/>
        <w:rPr>
          <w:sz w:val="13"/>
        </w:rPr>
      </w:pPr>
    </w:p>
    <w:p w14:paraId="40BDE497" w14:textId="77777777" w:rsidR="00BC24A8" w:rsidRDefault="00000000">
      <w:pPr>
        <w:pStyle w:val="BodyText"/>
        <w:ind w:left="129"/>
        <w:rPr>
          <w:sz w:val="20"/>
        </w:rPr>
      </w:pPr>
      <w:r>
        <w:rPr>
          <w:noProof/>
          <w:sz w:val="20"/>
        </w:rPr>
        <mc:AlternateContent>
          <mc:Choice Requires="wpg">
            <w:drawing>
              <wp:inline distT="0" distB="0" distL="0" distR="0" wp14:anchorId="0BA2D366" wp14:editId="6C7D0147">
                <wp:extent cx="5782310" cy="230504"/>
                <wp:effectExtent l="0" t="0" r="0" b="7620"/>
                <wp:docPr id="264" name="Group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230504"/>
                          <a:chOff x="0" y="0"/>
                          <a:chExt cx="5782310" cy="230504"/>
                        </a:xfrm>
                      </wpg:grpSpPr>
                      <wps:wsp>
                        <wps:cNvPr id="265" name="Textbox 265"/>
                        <wps:cNvSpPr txBox="1"/>
                        <wps:spPr>
                          <a:xfrm>
                            <a:off x="9144" y="0"/>
                            <a:ext cx="1815464" cy="224154"/>
                          </a:xfrm>
                          <a:prstGeom prst="rect">
                            <a:avLst/>
                          </a:prstGeom>
                          <a:solidFill>
                            <a:srgbClr val="A7A9AC"/>
                          </a:solidFill>
                        </wps:spPr>
                        <wps:txbx>
                          <w:txbxContent>
                            <w:p w14:paraId="6BA87849" w14:textId="77777777" w:rsidR="00BC24A8" w:rsidRDefault="00000000">
                              <w:pPr>
                                <w:spacing w:before="59"/>
                                <w:ind w:left="107"/>
                                <w:rPr>
                                  <w:rFonts w:ascii="Calibri"/>
                                  <w:b/>
                                  <w:color w:val="000000"/>
                                  <w:sz w:val="18"/>
                                </w:rPr>
                              </w:pPr>
                              <w:r w:rsidRPr="00795364">
                                <w:rPr>
                                  <w:rFonts w:ascii="Calibri"/>
                                  <w:b/>
                                  <w:color w:val="000000"/>
                                  <w:spacing w:val="-2"/>
                                  <w:sz w:val="18"/>
                                </w:rPr>
                                <w:t>TOTAL</w:t>
                              </w:r>
                            </w:p>
                          </w:txbxContent>
                        </wps:txbx>
                        <wps:bodyPr wrap="square" lIns="0" tIns="0" rIns="0" bIns="0" rtlCol="0">
                          <a:noAutofit/>
                        </wps:bodyPr>
                      </wps:wsp>
                      <wps:wsp>
                        <wps:cNvPr id="266" name="Textbox 266"/>
                        <wps:cNvSpPr txBox="1"/>
                        <wps:spPr>
                          <a:xfrm>
                            <a:off x="1851660" y="0"/>
                            <a:ext cx="718185" cy="224154"/>
                          </a:xfrm>
                          <a:prstGeom prst="rect">
                            <a:avLst/>
                          </a:prstGeom>
                          <a:solidFill>
                            <a:srgbClr val="A7A9AC"/>
                          </a:solidFill>
                        </wps:spPr>
                        <wps:txbx>
                          <w:txbxContent>
                            <w:p w14:paraId="7064726F" w14:textId="77777777" w:rsidR="00BC24A8" w:rsidRDefault="00000000">
                              <w:pPr>
                                <w:spacing w:before="59"/>
                                <w:jc w:val="center"/>
                                <w:rPr>
                                  <w:rFonts w:ascii="Calibri"/>
                                  <w:b/>
                                  <w:color w:val="000000"/>
                                  <w:sz w:val="18"/>
                                </w:rPr>
                              </w:pPr>
                              <w:r w:rsidRPr="00795364">
                                <w:rPr>
                                  <w:rFonts w:ascii="Calibri"/>
                                  <w:b/>
                                  <w:color w:val="000000"/>
                                  <w:spacing w:val="-5"/>
                                  <w:sz w:val="18"/>
                                </w:rPr>
                                <w:t>15</w:t>
                              </w:r>
                            </w:p>
                          </w:txbxContent>
                        </wps:txbx>
                        <wps:bodyPr wrap="square" lIns="0" tIns="0" rIns="0" bIns="0" rtlCol="0">
                          <a:noAutofit/>
                        </wps:bodyPr>
                      </wps:wsp>
                      <wps:wsp>
                        <wps:cNvPr id="267" name="Graphic 267"/>
                        <wps:cNvSpPr/>
                        <wps:spPr>
                          <a:xfrm>
                            <a:off x="2596896" y="0"/>
                            <a:ext cx="3185160" cy="224154"/>
                          </a:xfrm>
                          <a:custGeom>
                            <a:avLst/>
                            <a:gdLst/>
                            <a:ahLst/>
                            <a:cxnLst/>
                            <a:rect l="l" t="t" r="r" b="b"/>
                            <a:pathLst>
                              <a:path w="3185160" h="224154">
                                <a:moveTo>
                                  <a:pt x="3185160" y="0"/>
                                </a:moveTo>
                                <a:lnTo>
                                  <a:pt x="1383792" y="0"/>
                                </a:lnTo>
                                <a:lnTo>
                                  <a:pt x="1356360" y="0"/>
                                </a:lnTo>
                                <a:lnTo>
                                  <a:pt x="27432" y="0"/>
                                </a:lnTo>
                                <a:lnTo>
                                  <a:pt x="0" y="0"/>
                                </a:lnTo>
                                <a:lnTo>
                                  <a:pt x="0" y="38100"/>
                                </a:lnTo>
                                <a:lnTo>
                                  <a:pt x="0" y="224028"/>
                                </a:lnTo>
                                <a:lnTo>
                                  <a:pt x="1354836" y="224028"/>
                                </a:lnTo>
                                <a:lnTo>
                                  <a:pt x="3183636" y="224028"/>
                                </a:lnTo>
                                <a:lnTo>
                                  <a:pt x="3183636" y="38100"/>
                                </a:lnTo>
                                <a:lnTo>
                                  <a:pt x="3185160" y="38100"/>
                                </a:lnTo>
                                <a:lnTo>
                                  <a:pt x="3185160" y="0"/>
                                </a:lnTo>
                                <a:close/>
                              </a:path>
                            </a:pathLst>
                          </a:custGeom>
                          <a:solidFill>
                            <a:srgbClr val="A7A9AC"/>
                          </a:solidFill>
                        </wps:spPr>
                        <wps:bodyPr wrap="square" lIns="0" tIns="0" rIns="0" bIns="0" rtlCol="0">
                          <a:prstTxWarp prst="textNoShape">
                            <a:avLst/>
                          </a:prstTxWarp>
                          <a:noAutofit/>
                        </wps:bodyPr>
                      </wps:wsp>
                      <wps:wsp>
                        <wps:cNvPr id="268" name="Graphic 268"/>
                        <wps:cNvSpPr/>
                        <wps:spPr>
                          <a:xfrm>
                            <a:off x="0" y="224015"/>
                            <a:ext cx="2569845" cy="6350"/>
                          </a:xfrm>
                          <a:custGeom>
                            <a:avLst/>
                            <a:gdLst/>
                            <a:ahLst/>
                            <a:cxnLst/>
                            <a:rect l="l" t="t" r="r" b="b"/>
                            <a:pathLst>
                              <a:path w="2569845" h="6350">
                                <a:moveTo>
                                  <a:pt x="1824215" y="0"/>
                                </a:moveTo>
                                <a:lnTo>
                                  <a:pt x="0" y="0"/>
                                </a:lnTo>
                                <a:lnTo>
                                  <a:pt x="0" y="6108"/>
                                </a:lnTo>
                                <a:lnTo>
                                  <a:pt x="1824215" y="6108"/>
                                </a:lnTo>
                                <a:lnTo>
                                  <a:pt x="1824215" y="0"/>
                                </a:lnTo>
                                <a:close/>
                              </a:path>
                              <a:path w="2569845" h="6350">
                                <a:moveTo>
                                  <a:pt x="2569464" y="0"/>
                                </a:moveTo>
                                <a:lnTo>
                                  <a:pt x="1830324" y="0"/>
                                </a:lnTo>
                                <a:lnTo>
                                  <a:pt x="1824228" y="0"/>
                                </a:lnTo>
                                <a:lnTo>
                                  <a:pt x="1824228" y="6108"/>
                                </a:lnTo>
                                <a:lnTo>
                                  <a:pt x="1830324" y="6108"/>
                                </a:lnTo>
                                <a:lnTo>
                                  <a:pt x="2569464" y="6108"/>
                                </a:lnTo>
                                <a:lnTo>
                                  <a:pt x="2569464" y="0"/>
                                </a:lnTo>
                                <a:close/>
                              </a:path>
                            </a:pathLst>
                          </a:custGeom>
                          <a:solidFill>
                            <a:srgbClr val="BEBEBE"/>
                          </a:solidFill>
                        </wps:spPr>
                        <wps:bodyPr wrap="square" lIns="0" tIns="0" rIns="0" bIns="0" rtlCol="0">
                          <a:prstTxWarp prst="textNoShape">
                            <a:avLst/>
                          </a:prstTxWarp>
                          <a:noAutofit/>
                        </wps:bodyPr>
                      </wps:wsp>
                      <wps:wsp>
                        <wps:cNvPr id="269" name="Graphic 269"/>
                        <wps:cNvSpPr/>
                        <wps:spPr>
                          <a:xfrm>
                            <a:off x="2596895" y="187452"/>
                            <a:ext cx="1356360" cy="36830"/>
                          </a:xfrm>
                          <a:custGeom>
                            <a:avLst/>
                            <a:gdLst/>
                            <a:ahLst/>
                            <a:cxnLst/>
                            <a:rect l="l" t="t" r="r" b="b"/>
                            <a:pathLst>
                              <a:path w="1356360" h="36830">
                                <a:moveTo>
                                  <a:pt x="0" y="36575"/>
                                </a:moveTo>
                                <a:lnTo>
                                  <a:pt x="1356360" y="36575"/>
                                </a:lnTo>
                                <a:lnTo>
                                  <a:pt x="1356360" y="0"/>
                                </a:lnTo>
                                <a:lnTo>
                                  <a:pt x="0" y="0"/>
                                </a:lnTo>
                                <a:lnTo>
                                  <a:pt x="0" y="36575"/>
                                </a:lnTo>
                                <a:close/>
                              </a:path>
                            </a:pathLst>
                          </a:custGeom>
                          <a:solidFill>
                            <a:srgbClr val="A7A9AC"/>
                          </a:solidFill>
                        </wps:spPr>
                        <wps:bodyPr wrap="square" lIns="0" tIns="0" rIns="0" bIns="0" rtlCol="0">
                          <a:prstTxWarp prst="textNoShape">
                            <a:avLst/>
                          </a:prstTxWarp>
                          <a:noAutofit/>
                        </wps:bodyPr>
                      </wps:wsp>
                      <wps:wsp>
                        <wps:cNvPr id="270" name="Graphic 270"/>
                        <wps:cNvSpPr/>
                        <wps:spPr>
                          <a:xfrm>
                            <a:off x="2569464" y="224015"/>
                            <a:ext cx="1384300" cy="6350"/>
                          </a:xfrm>
                          <a:custGeom>
                            <a:avLst/>
                            <a:gdLst/>
                            <a:ahLst/>
                            <a:cxnLst/>
                            <a:rect l="l" t="t" r="r" b="b"/>
                            <a:pathLst>
                              <a:path w="1384300" h="6350">
                                <a:moveTo>
                                  <a:pt x="1383804" y="0"/>
                                </a:moveTo>
                                <a:lnTo>
                                  <a:pt x="6096" y="0"/>
                                </a:lnTo>
                                <a:lnTo>
                                  <a:pt x="0" y="0"/>
                                </a:lnTo>
                                <a:lnTo>
                                  <a:pt x="0" y="6108"/>
                                </a:lnTo>
                                <a:lnTo>
                                  <a:pt x="6096" y="6108"/>
                                </a:lnTo>
                                <a:lnTo>
                                  <a:pt x="1383804" y="6108"/>
                                </a:lnTo>
                                <a:lnTo>
                                  <a:pt x="1383804" y="0"/>
                                </a:lnTo>
                                <a:close/>
                              </a:path>
                            </a:pathLst>
                          </a:custGeom>
                          <a:solidFill>
                            <a:srgbClr val="BEBEBE"/>
                          </a:solidFill>
                        </wps:spPr>
                        <wps:bodyPr wrap="square" lIns="0" tIns="0" rIns="0" bIns="0" rtlCol="0">
                          <a:prstTxWarp prst="textNoShape">
                            <a:avLst/>
                          </a:prstTxWarp>
                          <a:noAutofit/>
                        </wps:bodyPr>
                      </wps:wsp>
                      <wps:wsp>
                        <wps:cNvPr id="271" name="Graphic 271"/>
                        <wps:cNvSpPr/>
                        <wps:spPr>
                          <a:xfrm>
                            <a:off x="3953255" y="187452"/>
                            <a:ext cx="1828800" cy="36830"/>
                          </a:xfrm>
                          <a:custGeom>
                            <a:avLst/>
                            <a:gdLst/>
                            <a:ahLst/>
                            <a:cxnLst/>
                            <a:rect l="l" t="t" r="r" b="b"/>
                            <a:pathLst>
                              <a:path w="1828800" h="36830">
                                <a:moveTo>
                                  <a:pt x="1828800" y="0"/>
                                </a:moveTo>
                                <a:lnTo>
                                  <a:pt x="0" y="0"/>
                                </a:lnTo>
                                <a:lnTo>
                                  <a:pt x="0" y="36575"/>
                                </a:lnTo>
                                <a:lnTo>
                                  <a:pt x="1828800" y="36575"/>
                                </a:lnTo>
                                <a:lnTo>
                                  <a:pt x="1828800" y="0"/>
                                </a:lnTo>
                                <a:close/>
                              </a:path>
                            </a:pathLst>
                          </a:custGeom>
                          <a:solidFill>
                            <a:srgbClr val="A7A9AC"/>
                          </a:solidFill>
                        </wps:spPr>
                        <wps:bodyPr wrap="square" lIns="0" tIns="0" rIns="0" bIns="0" rtlCol="0">
                          <a:prstTxWarp prst="textNoShape">
                            <a:avLst/>
                          </a:prstTxWarp>
                          <a:noAutofit/>
                        </wps:bodyPr>
                      </wps:wsp>
                      <wps:wsp>
                        <wps:cNvPr id="272" name="Graphic 272"/>
                        <wps:cNvSpPr/>
                        <wps:spPr>
                          <a:xfrm>
                            <a:off x="3944112" y="224015"/>
                            <a:ext cx="1838325" cy="6350"/>
                          </a:xfrm>
                          <a:custGeom>
                            <a:avLst/>
                            <a:gdLst/>
                            <a:ahLst/>
                            <a:cxnLst/>
                            <a:rect l="l" t="t" r="r" b="b"/>
                            <a:pathLst>
                              <a:path w="1838325" h="6350">
                                <a:moveTo>
                                  <a:pt x="1837944" y="0"/>
                                </a:moveTo>
                                <a:lnTo>
                                  <a:pt x="6096" y="0"/>
                                </a:lnTo>
                                <a:lnTo>
                                  <a:pt x="0" y="0"/>
                                </a:lnTo>
                                <a:lnTo>
                                  <a:pt x="0" y="6108"/>
                                </a:lnTo>
                                <a:lnTo>
                                  <a:pt x="6096" y="6108"/>
                                </a:lnTo>
                                <a:lnTo>
                                  <a:pt x="1837944" y="6108"/>
                                </a:lnTo>
                                <a:lnTo>
                                  <a:pt x="1837944" y="0"/>
                                </a:lnTo>
                                <a:close/>
                              </a:path>
                            </a:pathLst>
                          </a:custGeom>
                          <a:solidFill>
                            <a:srgbClr val="BEBEBE"/>
                          </a:solidFill>
                        </wps:spPr>
                        <wps:bodyPr wrap="square" lIns="0" tIns="0" rIns="0" bIns="0" rtlCol="0">
                          <a:prstTxWarp prst="textNoShape">
                            <a:avLst/>
                          </a:prstTxWarp>
                          <a:noAutofit/>
                        </wps:bodyPr>
                      </wps:wsp>
                      <wps:wsp>
                        <wps:cNvPr id="273" name="Textbox 273"/>
                        <wps:cNvSpPr txBox="1"/>
                        <wps:spPr>
                          <a:xfrm>
                            <a:off x="3186683" y="60578"/>
                            <a:ext cx="592455" cy="114300"/>
                          </a:xfrm>
                          <a:prstGeom prst="rect">
                            <a:avLst/>
                          </a:prstGeom>
                        </wps:spPr>
                        <wps:txbx>
                          <w:txbxContent>
                            <w:p w14:paraId="4E7A1A10" w14:textId="77777777" w:rsidR="00BC24A8" w:rsidRDefault="00000000">
                              <w:pPr>
                                <w:spacing w:line="180" w:lineRule="exact"/>
                                <w:rPr>
                                  <w:rFonts w:ascii="Calibri"/>
                                  <w:b/>
                                  <w:sz w:val="18"/>
                                </w:rPr>
                              </w:pPr>
                              <w:r w:rsidRPr="00795364">
                                <w:rPr>
                                  <w:rFonts w:ascii="Calibri"/>
                                  <w:b/>
                                  <w:color w:val="000000"/>
                                  <w:spacing w:val="-2"/>
                                  <w:sz w:val="18"/>
                                </w:rPr>
                                <w:t>493,779,055</w:t>
                              </w:r>
                            </w:p>
                          </w:txbxContent>
                        </wps:txbx>
                        <wps:bodyPr wrap="square" lIns="0" tIns="0" rIns="0" bIns="0" rtlCol="0">
                          <a:noAutofit/>
                        </wps:bodyPr>
                      </wps:wsp>
                      <wps:wsp>
                        <wps:cNvPr id="274" name="Textbox 274"/>
                        <wps:cNvSpPr txBox="1"/>
                        <wps:spPr>
                          <a:xfrm>
                            <a:off x="2651760" y="60578"/>
                            <a:ext cx="179705" cy="114300"/>
                          </a:xfrm>
                          <a:prstGeom prst="rect">
                            <a:avLst/>
                          </a:prstGeom>
                        </wps:spPr>
                        <wps:txbx>
                          <w:txbxContent>
                            <w:p w14:paraId="5FC61B0C" w14:textId="77777777" w:rsidR="00BC24A8" w:rsidRDefault="00000000">
                              <w:pPr>
                                <w:spacing w:line="180" w:lineRule="exact"/>
                                <w:rPr>
                                  <w:rFonts w:ascii="Calibri"/>
                                  <w:b/>
                                  <w:sz w:val="18"/>
                                </w:rPr>
                              </w:pPr>
                              <w:r w:rsidRPr="00795364">
                                <w:rPr>
                                  <w:rFonts w:ascii="Calibri"/>
                                  <w:b/>
                                  <w:color w:val="000000"/>
                                  <w:spacing w:val="-5"/>
                                  <w:sz w:val="18"/>
                                </w:rPr>
                                <w:t>IDR</w:t>
                              </w:r>
                            </w:p>
                          </w:txbxContent>
                        </wps:txbx>
                        <wps:bodyPr wrap="square" lIns="0" tIns="0" rIns="0" bIns="0" rtlCol="0">
                          <a:noAutofit/>
                        </wps:bodyPr>
                      </wps:wsp>
                    </wpg:wgp>
                  </a:graphicData>
                </a:graphic>
              </wp:inline>
            </w:drawing>
          </mc:Choice>
          <mc:Fallback>
            <w:pict>
              <v:group w14:anchorId="0BA2D366" id="Group 264" o:spid="_x0000_s1070" alt="&quot;&quot;" style="width:455.3pt;height:18.15pt;mso-position-horizontal-relative:char;mso-position-vertical-relative:line" coordsize="5782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">
                <v:shape id="Textbox 265" o:spid="_x0000_s1071" type="#_x0000_t202" style="position:absolute;left:91;width:18155;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" fillcolor="#a7a9ac" stroked="f">
                  <v:textbox inset="0,0,0,0">
                    <w:txbxContent>
                      <w:p w14:paraId="6BA87849" w14:textId="77777777" w:rsidR="00BC24A8" w:rsidRDefault="00000000">
                        <w:pPr>
                          <w:spacing w:before="59"/>
                          <w:ind w:left="107"/>
                          <w:rPr>
                            <w:rFonts w:ascii="Calibri"/>
                            <w:b/>
                            <w:color w:val="000000"/>
                            <w:sz w:val="18"/>
                          </w:rPr>
                        </w:pPr>
                        <w:r w:rsidRPr="00795364">
                          <w:rPr>
                            <w:rFonts w:ascii="Calibri"/>
                            <w:b/>
                            <w:color w:val="000000"/>
                            <w:spacing w:val="-2"/>
                            <w:sz w:val="18"/>
                          </w:rPr>
                          <w:t>TOTAL</w:t>
                        </w:r>
                      </w:p>
                    </w:txbxContent>
                  </v:textbox>
                </v:shape>
                <v:shape id="Textbox 266" o:spid="_x0000_s1072" type="#_x0000_t202" style="position:absolute;left:18516;width:718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" fillcolor="#a7a9ac" stroked="f">
                  <v:textbox inset="0,0,0,0">
                    <w:txbxContent>
                      <w:p w14:paraId="7064726F" w14:textId="77777777" w:rsidR="00BC24A8" w:rsidRDefault="00000000">
                        <w:pPr>
                          <w:spacing w:before="59"/>
                          <w:jc w:val="center"/>
                          <w:rPr>
                            <w:rFonts w:ascii="Calibri"/>
                            <w:b/>
                            <w:color w:val="000000"/>
                            <w:sz w:val="18"/>
                          </w:rPr>
                        </w:pPr>
                        <w:r w:rsidRPr="00795364">
                          <w:rPr>
                            <w:rFonts w:ascii="Calibri"/>
                            <w:b/>
                            <w:color w:val="000000"/>
                            <w:spacing w:val="-5"/>
                            <w:sz w:val="18"/>
                          </w:rPr>
                          <w:t>15</w:t>
                        </w:r>
                      </w:p>
                    </w:txbxContent>
                  </v:textbox>
                </v:shape>
                <v:shape id="Graphic 267" o:spid="_x0000_s1073" style="position:absolute;left:25968;width:31852;height:2241;visibility:visible;mso-wrap-style:square;v-text-anchor:top" coordsize="318516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" path="m3185160,l1383792,r-27432,l27432,,,,,38100,,224028r1354836,l3183636,224028r,-185928l3185160,38100r,-38100xe" fillcolor="#a7a9ac" stroked="f">
                  <v:path arrowok="t"/>
                </v:shape>
                <v:shape id="Graphic 268" o:spid="_x0000_s1074" style="position:absolute;top:2240;width:25698;height:63;visibility:visible;mso-wrap-style:square;v-text-anchor:top" coordsize="256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" path="m1824215,l,,,6108r1824215,l1824215,xem2569464,l1830324,r-6096,l1824228,6108r6096,l2569464,6108r,-6108xe" fillcolor="#bebebe" stroked="f">
                  <v:path arrowok="t"/>
                </v:shape>
                <v:shape id="Graphic 269" o:spid="_x0000_s1075" style="position:absolute;left:25968;top:1874;width:13564;height:368;visibility:visible;mso-wrap-style:square;v-text-anchor:top" coordsize="13563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" path="m,36575r1356360,l1356360,,,,,36575xe" fillcolor="#a7a9ac" stroked="f">
                  <v:path arrowok="t"/>
                </v:shape>
                <v:shape id="Graphic 270" o:spid="_x0000_s1076" style="position:absolute;left:25694;top:2240;width:13843;height:63;visibility:visible;mso-wrap-style:square;v-text-anchor:top" coordsize="138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" path="m1383804,l6096,,,,,6108r6096,l1383804,6108r,-6108xe" fillcolor="#bebebe" stroked="f">
                  <v:path arrowok="t"/>
                </v:shape>
                <v:shape id="Graphic 271" o:spid="_x0000_s1077" style="position:absolute;left:39532;top:1874;width:18288;height:368;visibility:visible;mso-wrap-style:square;v-text-anchor:top" coordsize="18288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" path="m1828800,l,,,36575r1828800,l1828800,xe" fillcolor="#a7a9ac" stroked="f">
                  <v:path arrowok="t"/>
                </v:shape>
                <v:shape id="Graphic 272" o:spid="_x0000_s1078" style="position:absolute;left:39441;top:2240;width:18383;height:63;visibility:visible;mso-wrap-style:square;v-text-anchor:top" coordsize="18383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" path="m1837944,l6096,,,,,6108r6096,l1837944,6108r,-6108xe" fillcolor="#bebebe" stroked="f">
                  <v:path arrowok="t"/>
                </v:shape>
                <v:shape id="Textbox 273" o:spid="_x0000_s1079" type="#_x0000_t202" style="position:absolute;left:31866;top:605;width:5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4E7A1A10" w14:textId="77777777" w:rsidR="00BC24A8" w:rsidRDefault="00000000">
                        <w:pPr>
                          <w:spacing w:line="180" w:lineRule="exact"/>
                          <w:rPr>
                            <w:rFonts w:ascii="Calibri"/>
                            <w:b/>
                            <w:sz w:val="18"/>
                          </w:rPr>
                        </w:pPr>
                        <w:r w:rsidRPr="00795364">
                          <w:rPr>
                            <w:rFonts w:ascii="Calibri"/>
                            <w:b/>
                            <w:color w:val="000000"/>
                            <w:spacing w:val="-2"/>
                            <w:sz w:val="18"/>
                          </w:rPr>
                          <w:t>493,779,055</w:t>
                        </w:r>
                      </w:p>
                    </w:txbxContent>
                  </v:textbox>
                </v:shape>
                <v:shape id="Textbox 274" o:spid="_x0000_s1080" type="#_x0000_t202" style="position:absolute;left:26517;top:605;width:179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5FC61B0C" w14:textId="77777777" w:rsidR="00BC24A8" w:rsidRDefault="00000000">
                        <w:pPr>
                          <w:spacing w:line="180" w:lineRule="exact"/>
                          <w:rPr>
                            <w:rFonts w:ascii="Calibri"/>
                            <w:b/>
                            <w:sz w:val="18"/>
                          </w:rPr>
                        </w:pPr>
                        <w:r w:rsidRPr="00795364">
                          <w:rPr>
                            <w:rFonts w:ascii="Calibri"/>
                            <w:b/>
                            <w:color w:val="000000"/>
                            <w:spacing w:val="-5"/>
                            <w:sz w:val="18"/>
                          </w:rPr>
                          <w:t>IDR</w:t>
                        </w:r>
                      </w:p>
                    </w:txbxContent>
                  </v:textbox>
                </v:shape>
                <w10:anchorlock/>
              </v:group>
            </w:pict>
          </mc:Fallback>
        </mc:AlternateContent>
      </w:r>
    </w:p>
    <w:p w14:paraId="4FF7396A" w14:textId="77777777" w:rsidR="00BC24A8" w:rsidRDefault="00000000">
      <w:pPr>
        <w:spacing w:before="81"/>
        <w:ind w:left="143"/>
        <w:rPr>
          <w:sz w:val="16"/>
        </w:rPr>
      </w:pPr>
      <w:r>
        <w:rPr>
          <w:sz w:val="16"/>
        </w:rPr>
        <w:t>Data</w:t>
      </w:r>
      <w:r>
        <w:rPr>
          <w:spacing w:val="-5"/>
          <w:sz w:val="16"/>
        </w:rPr>
        <w:t xml:space="preserve"> </w:t>
      </w:r>
      <w:r>
        <w:rPr>
          <w:sz w:val="16"/>
        </w:rPr>
        <w:t>source:</w:t>
      </w:r>
      <w:r>
        <w:rPr>
          <w:spacing w:val="-3"/>
          <w:sz w:val="16"/>
        </w:rPr>
        <w:t xml:space="preserve"> </w:t>
      </w:r>
      <w:r>
        <w:rPr>
          <w:sz w:val="16"/>
        </w:rPr>
        <w:t>SKALA</w:t>
      </w:r>
      <w:r>
        <w:rPr>
          <w:spacing w:val="-5"/>
          <w:sz w:val="16"/>
        </w:rPr>
        <w:t xml:space="preserve"> </w:t>
      </w:r>
      <w:r>
        <w:rPr>
          <w:sz w:val="16"/>
        </w:rPr>
        <w:t>MIS</w:t>
      </w:r>
      <w:r>
        <w:rPr>
          <w:spacing w:val="-4"/>
          <w:sz w:val="16"/>
        </w:rPr>
        <w:t xml:space="preserve"> </w:t>
      </w:r>
      <w:r>
        <w:rPr>
          <w:sz w:val="16"/>
        </w:rPr>
        <w:t>as</w:t>
      </w:r>
      <w:r>
        <w:rPr>
          <w:spacing w:val="-6"/>
          <w:sz w:val="16"/>
        </w:rPr>
        <w:t xml:space="preserve"> </w:t>
      </w:r>
      <w:r>
        <w:rPr>
          <w:sz w:val="16"/>
        </w:rPr>
        <w:t>of</w:t>
      </w:r>
      <w:r>
        <w:rPr>
          <w:spacing w:val="-4"/>
          <w:sz w:val="16"/>
        </w:rPr>
        <w:t xml:space="preserve"> </w:t>
      </w:r>
      <w:r>
        <w:rPr>
          <w:sz w:val="16"/>
        </w:rPr>
        <w:t>Agustus</w:t>
      </w:r>
      <w:r>
        <w:rPr>
          <w:spacing w:val="-6"/>
          <w:sz w:val="16"/>
        </w:rPr>
        <w:t xml:space="preserve"> </w:t>
      </w:r>
      <w:r>
        <w:rPr>
          <w:sz w:val="16"/>
        </w:rPr>
        <w:t>1,</w:t>
      </w:r>
      <w:r>
        <w:rPr>
          <w:spacing w:val="-4"/>
          <w:sz w:val="16"/>
        </w:rPr>
        <w:t xml:space="preserve"> 2025</w:t>
      </w:r>
    </w:p>
    <w:p w14:paraId="5A627910" w14:textId="77777777" w:rsidR="00BC24A8" w:rsidRDefault="00BC24A8">
      <w:pPr>
        <w:pStyle w:val="BodyText"/>
        <w:rPr>
          <w:sz w:val="16"/>
        </w:rPr>
      </w:pPr>
    </w:p>
    <w:p w14:paraId="0ECB47B0" w14:textId="77777777" w:rsidR="00BC24A8" w:rsidRDefault="00BC24A8">
      <w:pPr>
        <w:pStyle w:val="BodyText"/>
        <w:spacing w:before="110"/>
        <w:rPr>
          <w:sz w:val="16"/>
        </w:rPr>
      </w:pPr>
    </w:p>
    <w:p w14:paraId="2789DB7E" w14:textId="77777777" w:rsidR="00BC24A8" w:rsidRDefault="00000000">
      <w:pPr>
        <w:pStyle w:val="BodyText"/>
        <w:ind w:left="143"/>
        <w:rPr>
          <w:rFonts w:ascii="Calibri"/>
        </w:rPr>
      </w:pPr>
      <w:bookmarkStart w:id="228" w:name="Summary_of_tesults_at_the_Output_level"/>
      <w:bookmarkEnd w:id="228"/>
      <w:r>
        <w:rPr>
          <w:rFonts w:ascii="Calibri"/>
          <w:color w:val="272727"/>
        </w:rPr>
        <w:t>Summary</w:t>
      </w:r>
      <w:r>
        <w:rPr>
          <w:rFonts w:ascii="Calibri"/>
          <w:color w:val="272727"/>
          <w:spacing w:val="-2"/>
        </w:rPr>
        <w:t xml:space="preserve"> </w:t>
      </w:r>
      <w:r>
        <w:rPr>
          <w:rFonts w:ascii="Calibri"/>
          <w:color w:val="272727"/>
        </w:rPr>
        <w:t>of</w:t>
      </w:r>
      <w:r>
        <w:rPr>
          <w:rFonts w:ascii="Calibri"/>
          <w:color w:val="272727"/>
          <w:spacing w:val="-5"/>
        </w:rPr>
        <w:t xml:space="preserve"> </w:t>
      </w:r>
      <w:r>
        <w:rPr>
          <w:rFonts w:ascii="Calibri"/>
          <w:color w:val="272727"/>
        </w:rPr>
        <w:t>tesults</w:t>
      </w:r>
      <w:r>
        <w:rPr>
          <w:rFonts w:ascii="Calibri"/>
          <w:color w:val="272727"/>
          <w:spacing w:val="-3"/>
        </w:rPr>
        <w:t xml:space="preserve"> </w:t>
      </w:r>
      <w:r>
        <w:rPr>
          <w:rFonts w:ascii="Calibri"/>
          <w:color w:val="272727"/>
        </w:rPr>
        <w:t>at</w:t>
      </w:r>
      <w:r>
        <w:rPr>
          <w:rFonts w:ascii="Calibri"/>
          <w:color w:val="272727"/>
          <w:spacing w:val="-5"/>
        </w:rPr>
        <w:t xml:space="preserve"> </w:t>
      </w:r>
      <w:r>
        <w:rPr>
          <w:rFonts w:ascii="Calibri"/>
          <w:color w:val="272727"/>
        </w:rPr>
        <w:t>the</w:t>
      </w:r>
      <w:r>
        <w:rPr>
          <w:rFonts w:ascii="Calibri"/>
          <w:color w:val="272727"/>
          <w:spacing w:val="-5"/>
        </w:rPr>
        <w:t xml:space="preserve"> </w:t>
      </w:r>
      <w:r>
        <w:rPr>
          <w:rFonts w:ascii="Calibri"/>
          <w:color w:val="272727"/>
        </w:rPr>
        <w:t>Output</w:t>
      </w:r>
      <w:r>
        <w:rPr>
          <w:rFonts w:ascii="Calibri"/>
          <w:color w:val="272727"/>
          <w:spacing w:val="-1"/>
        </w:rPr>
        <w:t xml:space="preserve"> </w:t>
      </w:r>
      <w:r>
        <w:rPr>
          <w:rFonts w:ascii="Calibri"/>
          <w:color w:val="272727"/>
          <w:spacing w:val="-4"/>
        </w:rPr>
        <w:t>level</w:t>
      </w:r>
    </w:p>
    <w:p w14:paraId="6EB63F39" w14:textId="77777777" w:rsidR="00BC24A8" w:rsidRDefault="00BC24A8">
      <w:pPr>
        <w:pStyle w:val="BodyText"/>
        <w:spacing w:before="37"/>
        <w:rPr>
          <w:rFonts w:ascii="Calibri"/>
        </w:rPr>
      </w:pPr>
    </w:p>
    <w:p w14:paraId="60A44E5D" w14:textId="77777777" w:rsidR="00BC24A8" w:rsidRDefault="00000000">
      <w:pPr>
        <w:pStyle w:val="Heading5"/>
      </w:pPr>
      <w:bookmarkStart w:id="229" w:name="_bookmark160"/>
      <w:bookmarkEnd w:id="229"/>
      <w:r>
        <w:rPr>
          <w:color w:val="767070"/>
        </w:rPr>
        <w:t>Table</w:t>
      </w:r>
      <w:r>
        <w:rPr>
          <w:color w:val="767070"/>
          <w:spacing w:val="-7"/>
        </w:rPr>
        <w:t xml:space="preserve"> </w:t>
      </w:r>
      <w:r>
        <w:rPr>
          <w:color w:val="767070"/>
        </w:rPr>
        <w:t>23:</w:t>
      </w:r>
      <w:r>
        <w:rPr>
          <w:color w:val="767070"/>
          <w:spacing w:val="-7"/>
        </w:rPr>
        <w:t xml:space="preserve"> </w:t>
      </w:r>
      <w:r>
        <w:rPr>
          <w:color w:val="767070"/>
        </w:rPr>
        <w:t>Table</w:t>
      </w:r>
      <w:r>
        <w:rPr>
          <w:color w:val="767070"/>
          <w:spacing w:val="-6"/>
        </w:rPr>
        <w:t xml:space="preserve"> </w:t>
      </w:r>
      <w:r>
        <w:rPr>
          <w:color w:val="767070"/>
        </w:rPr>
        <w:t>of</w:t>
      </w:r>
      <w:r>
        <w:rPr>
          <w:color w:val="767070"/>
          <w:spacing w:val="-7"/>
        </w:rPr>
        <w:t xml:space="preserve"> </w:t>
      </w:r>
      <w:r>
        <w:rPr>
          <w:color w:val="767070"/>
        </w:rPr>
        <w:t>summary</w:t>
      </w:r>
      <w:r>
        <w:rPr>
          <w:color w:val="767070"/>
          <w:spacing w:val="-5"/>
        </w:rPr>
        <w:t xml:space="preserve"> </w:t>
      </w:r>
      <w:r>
        <w:rPr>
          <w:color w:val="767070"/>
        </w:rPr>
        <w:t>of</w:t>
      </w:r>
      <w:r>
        <w:rPr>
          <w:color w:val="767070"/>
          <w:spacing w:val="-6"/>
        </w:rPr>
        <w:t xml:space="preserve"> </w:t>
      </w:r>
      <w:r>
        <w:rPr>
          <w:color w:val="767070"/>
        </w:rPr>
        <w:t>FY</w:t>
      </w:r>
      <w:r>
        <w:rPr>
          <w:color w:val="767070"/>
          <w:spacing w:val="-7"/>
        </w:rPr>
        <w:t xml:space="preserve"> </w:t>
      </w:r>
      <w:r>
        <w:rPr>
          <w:color w:val="767070"/>
        </w:rPr>
        <w:t>2024/2025</w:t>
      </w:r>
      <w:r>
        <w:rPr>
          <w:color w:val="767070"/>
          <w:spacing w:val="-7"/>
        </w:rPr>
        <w:t xml:space="preserve"> </w:t>
      </w:r>
      <w:r>
        <w:rPr>
          <w:color w:val="767070"/>
        </w:rPr>
        <w:t>work</w:t>
      </w:r>
      <w:r>
        <w:rPr>
          <w:color w:val="767070"/>
          <w:spacing w:val="-5"/>
        </w:rPr>
        <w:t xml:space="preserve"> </w:t>
      </w:r>
      <w:r>
        <w:rPr>
          <w:color w:val="767070"/>
        </w:rPr>
        <w:t>plan</w:t>
      </w:r>
      <w:r>
        <w:rPr>
          <w:color w:val="767070"/>
          <w:spacing w:val="-7"/>
        </w:rPr>
        <w:t xml:space="preserve"> </w:t>
      </w:r>
      <w:r>
        <w:rPr>
          <w:color w:val="767070"/>
        </w:rPr>
        <w:t>outputs</w:t>
      </w:r>
      <w:r>
        <w:rPr>
          <w:color w:val="767070"/>
          <w:spacing w:val="-5"/>
        </w:rPr>
        <w:t xml:space="preserve"> </w:t>
      </w:r>
      <w:r>
        <w:rPr>
          <w:color w:val="767070"/>
        </w:rPr>
        <w:t>as</w:t>
      </w:r>
      <w:r>
        <w:rPr>
          <w:color w:val="767070"/>
          <w:spacing w:val="-4"/>
        </w:rPr>
        <w:t xml:space="preserve"> </w:t>
      </w:r>
      <w:r>
        <w:rPr>
          <w:color w:val="767070"/>
        </w:rPr>
        <w:t>of</w:t>
      </w:r>
      <w:r>
        <w:rPr>
          <w:color w:val="767070"/>
          <w:spacing w:val="-6"/>
        </w:rPr>
        <w:t xml:space="preserve"> </w:t>
      </w:r>
      <w:r>
        <w:rPr>
          <w:color w:val="767070"/>
        </w:rPr>
        <w:t>June</w:t>
      </w:r>
      <w:r>
        <w:rPr>
          <w:color w:val="767070"/>
          <w:spacing w:val="-6"/>
        </w:rPr>
        <w:t xml:space="preserve"> </w:t>
      </w:r>
      <w:r>
        <w:rPr>
          <w:color w:val="767070"/>
          <w:spacing w:val="-4"/>
        </w:rPr>
        <w:t>2025</w:t>
      </w:r>
    </w:p>
    <w:p w14:paraId="1A5F2BEA" w14:textId="77777777" w:rsidR="00BC24A8" w:rsidRDefault="00BC24A8">
      <w:pPr>
        <w:pStyle w:val="BodyText"/>
        <w:rPr>
          <w:rFonts w:ascii="Calibri"/>
          <w:b/>
          <w:sz w:val="16"/>
        </w:rPr>
      </w:pPr>
    </w:p>
    <w:tbl>
      <w:tblPr>
        <w:tblW w:w="0" w:type="auto"/>
        <w:tblInd w:w="143" w:type="dxa"/>
        <w:tblLayout w:type="fixed"/>
        <w:tblCellMar>
          <w:left w:w="0" w:type="dxa"/>
          <w:right w:w="0" w:type="dxa"/>
        </w:tblCellMar>
        <w:tblLook w:val="01E0" w:firstRow="1" w:lastRow="1" w:firstColumn="1" w:lastColumn="1" w:noHBand="0" w:noVBand="0"/>
      </w:tblPr>
      <w:tblGrid>
        <w:gridCol w:w="2448"/>
        <w:gridCol w:w="1807"/>
        <w:gridCol w:w="2076"/>
        <w:gridCol w:w="2746"/>
      </w:tblGrid>
      <w:tr w:rsidR="00BC24A8" w14:paraId="22E898CA" w14:textId="77777777">
        <w:trPr>
          <w:trHeight w:val="398"/>
        </w:trPr>
        <w:tc>
          <w:tcPr>
            <w:tcW w:w="2448" w:type="dxa"/>
            <w:shd w:val="clear" w:color="auto" w:fill="17365A"/>
          </w:tcPr>
          <w:p w14:paraId="50247996" w14:textId="77777777" w:rsidR="00BC24A8" w:rsidRDefault="00000000">
            <w:pPr>
              <w:pStyle w:val="TableParagraph"/>
              <w:spacing w:before="78"/>
              <w:ind w:left="115"/>
              <w:rPr>
                <w:rFonts w:ascii="Calibri"/>
                <w:b/>
                <w:sz w:val="20"/>
              </w:rPr>
            </w:pPr>
            <w:r>
              <w:rPr>
                <w:rFonts w:ascii="Calibri"/>
                <w:b/>
                <w:color w:val="FFFFFF"/>
                <w:spacing w:val="-2"/>
                <w:sz w:val="20"/>
              </w:rPr>
              <w:t>Theme</w:t>
            </w:r>
          </w:p>
        </w:tc>
        <w:tc>
          <w:tcPr>
            <w:tcW w:w="1807" w:type="dxa"/>
            <w:shd w:val="clear" w:color="auto" w:fill="17365A"/>
          </w:tcPr>
          <w:p w14:paraId="22595792" w14:textId="77777777" w:rsidR="00BC24A8" w:rsidRDefault="00000000">
            <w:pPr>
              <w:pStyle w:val="TableParagraph"/>
              <w:spacing w:before="78"/>
              <w:ind w:left="6" w:right="4"/>
              <w:jc w:val="center"/>
              <w:rPr>
                <w:rFonts w:ascii="Calibri"/>
                <w:b/>
                <w:sz w:val="20"/>
              </w:rPr>
            </w:pPr>
            <w:r>
              <w:rPr>
                <w:rFonts w:ascii="Calibri"/>
                <w:b/>
                <w:color w:val="FFFFFF"/>
                <w:spacing w:val="-2"/>
                <w:sz w:val="20"/>
              </w:rPr>
              <w:t>Completed</w:t>
            </w:r>
          </w:p>
        </w:tc>
        <w:tc>
          <w:tcPr>
            <w:tcW w:w="2076" w:type="dxa"/>
            <w:shd w:val="clear" w:color="auto" w:fill="17365A"/>
          </w:tcPr>
          <w:p w14:paraId="58813AFA" w14:textId="77777777" w:rsidR="00BC24A8" w:rsidRDefault="00000000">
            <w:pPr>
              <w:pStyle w:val="TableParagraph"/>
              <w:spacing w:before="78"/>
              <w:ind w:left="3" w:right="5"/>
              <w:jc w:val="center"/>
              <w:rPr>
                <w:rFonts w:ascii="Calibri"/>
                <w:b/>
                <w:sz w:val="20"/>
              </w:rPr>
            </w:pPr>
            <w:r>
              <w:rPr>
                <w:rFonts w:ascii="Calibri"/>
                <w:b/>
                <w:color w:val="FFFFFF"/>
                <w:sz w:val="20"/>
              </w:rPr>
              <w:t>Not</w:t>
            </w:r>
            <w:r>
              <w:rPr>
                <w:rFonts w:ascii="Calibri"/>
                <w:b/>
                <w:color w:val="FFFFFF"/>
                <w:spacing w:val="-4"/>
                <w:sz w:val="20"/>
              </w:rPr>
              <w:t xml:space="preserve"> </w:t>
            </w:r>
            <w:r>
              <w:rPr>
                <w:rFonts w:ascii="Calibri"/>
                <w:b/>
                <w:color w:val="FFFFFF"/>
                <w:spacing w:val="-2"/>
                <w:sz w:val="20"/>
              </w:rPr>
              <w:t>Started</w:t>
            </w:r>
          </w:p>
        </w:tc>
        <w:tc>
          <w:tcPr>
            <w:tcW w:w="2746" w:type="dxa"/>
            <w:shd w:val="clear" w:color="auto" w:fill="17365A"/>
          </w:tcPr>
          <w:p w14:paraId="70C078D6" w14:textId="77777777" w:rsidR="00BC24A8" w:rsidRDefault="00000000">
            <w:pPr>
              <w:pStyle w:val="TableParagraph"/>
              <w:spacing w:before="78"/>
              <w:ind w:right="1"/>
              <w:jc w:val="center"/>
              <w:rPr>
                <w:rFonts w:ascii="Calibri"/>
                <w:b/>
                <w:sz w:val="20"/>
              </w:rPr>
            </w:pPr>
            <w:r>
              <w:rPr>
                <w:rFonts w:ascii="Calibri"/>
                <w:b/>
                <w:color w:val="FFFFFF"/>
                <w:spacing w:val="-2"/>
                <w:sz w:val="20"/>
              </w:rPr>
              <w:t>Ongoing</w:t>
            </w:r>
          </w:p>
        </w:tc>
      </w:tr>
      <w:tr w:rsidR="00BC24A8" w14:paraId="49D2D735" w14:textId="77777777">
        <w:trPr>
          <w:trHeight w:val="443"/>
        </w:trPr>
        <w:tc>
          <w:tcPr>
            <w:tcW w:w="2448" w:type="dxa"/>
            <w:tcBorders>
              <w:bottom w:val="single" w:sz="4" w:space="0" w:color="BEBEBE"/>
            </w:tcBorders>
          </w:tcPr>
          <w:p w14:paraId="503A385A" w14:textId="77777777" w:rsidR="00BC24A8" w:rsidRDefault="00000000">
            <w:pPr>
              <w:pStyle w:val="TableParagraph"/>
              <w:spacing w:before="102"/>
              <w:ind w:left="115"/>
              <w:rPr>
                <w:sz w:val="18"/>
              </w:rPr>
            </w:pPr>
            <w:r>
              <w:rPr>
                <w:spacing w:val="-5"/>
                <w:sz w:val="18"/>
              </w:rPr>
              <w:t>DNA</w:t>
            </w:r>
          </w:p>
        </w:tc>
        <w:tc>
          <w:tcPr>
            <w:tcW w:w="1807" w:type="dxa"/>
            <w:tcBorders>
              <w:bottom w:val="single" w:sz="4" w:space="0" w:color="BEBEBE"/>
            </w:tcBorders>
          </w:tcPr>
          <w:p w14:paraId="6490ACA9" w14:textId="77777777" w:rsidR="00BC24A8" w:rsidRDefault="00000000">
            <w:pPr>
              <w:pStyle w:val="TableParagraph"/>
              <w:spacing w:before="136"/>
              <w:ind w:left="2" w:right="6"/>
              <w:jc w:val="center"/>
              <w:rPr>
                <w:sz w:val="18"/>
              </w:rPr>
            </w:pPr>
            <w:r>
              <w:rPr>
                <w:spacing w:val="-10"/>
                <w:sz w:val="18"/>
              </w:rPr>
              <w:t>1</w:t>
            </w:r>
          </w:p>
        </w:tc>
        <w:tc>
          <w:tcPr>
            <w:tcW w:w="2076" w:type="dxa"/>
            <w:tcBorders>
              <w:bottom w:val="single" w:sz="4" w:space="0" w:color="BEBEBE"/>
            </w:tcBorders>
          </w:tcPr>
          <w:p w14:paraId="1D3CB2AD" w14:textId="77777777" w:rsidR="00BC24A8" w:rsidRDefault="00000000">
            <w:pPr>
              <w:pStyle w:val="TableParagraph"/>
              <w:spacing w:before="136"/>
              <w:ind w:left="1" w:right="5"/>
              <w:jc w:val="center"/>
              <w:rPr>
                <w:sz w:val="18"/>
              </w:rPr>
            </w:pPr>
            <w:r>
              <w:rPr>
                <w:spacing w:val="-10"/>
                <w:sz w:val="18"/>
              </w:rPr>
              <w:t>6</w:t>
            </w:r>
          </w:p>
        </w:tc>
        <w:tc>
          <w:tcPr>
            <w:tcW w:w="2746" w:type="dxa"/>
            <w:tcBorders>
              <w:bottom w:val="single" w:sz="4" w:space="0" w:color="BEBEBE"/>
            </w:tcBorders>
          </w:tcPr>
          <w:p w14:paraId="3C9F642D" w14:textId="77777777" w:rsidR="00BC24A8" w:rsidRDefault="00000000">
            <w:pPr>
              <w:pStyle w:val="TableParagraph"/>
              <w:spacing w:before="104"/>
              <w:ind w:left="1" w:right="1"/>
              <w:jc w:val="center"/>
              <w:rPr>
                <w:sz w:val="18"/>
              </w:rPr>
            </w:pPr>
            <w:r>
              <w:rPr>
                <w:spacing w:val="-10"/>
                <w:sz w:val="18"/>
              </w:rPr>
              <w:t>6</w:t>
            </w:r>
          </w:p>
        </w:tc>
      </w:tr>
      <w:tr w:rsidR="00BC24A8" w14:paraId="23DAAFA4" w14:textId="77777777">
        <w:trPr>
          <w:trHeight w:val="397"/>
        </w:trPr>
        <w:tc>
          <w:tcPr>
            <w:tcW w:w="2448" w:type="dxa"/>
            <w:tcBorders>
              <w:top w:val="single" w:sz="4" w:space="0" w:color="BEBEBE"/>
              <w:bottom w:val="single" w:sz="4" w:space="0" w:color="BEBEBE"/>
            </w:tcBorders>
          </w:tcPr>
          <w:p w14:paraId="3896E352" w14:textId="77777777" w:rsidR="00BC24A8" w:rsidRDefault="00000000">
            <w:pPr>
              <w:pStyle w:val="TableParagraph"/>
              <w:spacing w:before="56"/>
              <w:ind w:left="115"/>
              <w:rPr>
                <w:sz w:val="18"/>
              </w:rPr>
            </w:pPr>
            <w:r>
              <w:rPr>
                <w:spacing w:val="-5"/>
                <w:sz w:val="18"/>
              </w:rPr>
              <w:t>PFM</w:t>
            </w:r>
          </w:p>
        </w:tc>
        <w:tc>
          <w:tcPr>
            <w:tcW w:w="1807" w:type="dxa"/>
            <w:tcBorders>
              <w:top w:val="single" w:sz="4" w:space="0" w:color="BEBEBE"/>
              <w:bottom w:val="single" w:sz="4" w:space="0" w:color="BEBEBE"/>
            </w:tcBorders>
          </w:tcPr>
          <w:p w14:paraId="0F9B9D2E" w14:textId="77777777" w:rsidR="00BC24A8" w:rsidRDefault="00000000">
            <w:pPr>
              <w:pStyle w:val="TableParagraph"/>
              <w:spacing w:before="90"/>
              <w:ind w:left="2" w:right="4"/>
              <w:jc w:val="center"/>
              <w:rPr>
                <w:sz w:val="18"/>
              </w:rPr>
            </w:pPr>
            <w:r>
              <w:rPr>
                <w:spacing w:val="-10"/>
                <w:sz w:val="18"/>
              </w:rPr>
              <w:t>-</w:t>
            </w:r>
          </w:p>
        </w:tc>
        <w:tc>
          <w:tcPr>
            <w:tcW w:w="2076" w:type="dxa"/>
            <w:tcBorders>
              <w:top w:val="single" w:sz="4" w:space="0" w:color="BEBEBE"/>
              <w:bottom w:val="single" w:sz="4" w:space="0" w:color="BEBEBE"/>
            </w:tcBorders>
          </w:tcPr>
          <w:p w14:paraId="5FE99FC3" w14:textId="77777777" w:rsidR="00BC24A8" w:rsidRDefault="00000000">
            <w:pPr>
              <w:pStyle w:val="TableParagraph"/>
              <w:spacing w:before="90"/>
              <w:ind w:left="1" w:right="5"/>
              <w:jc w:val="center"/>
              <w:rPr>
                <w:sz w:val="18"/>
              </w:rPr>
            </w:pPr>
            <w:r>
              <w:rPr>
                <w:spacing w:val="-10"/>
                <w:sz w:val="18"/>
              </w:rPr>
              <w:t>9</w:t>
            </w:r>
          </w:p>
        </w:tc>
        <w:tc>
          <w:tcPr>
            <w:tcW w:w="2746" w:type="dxa"/>
            <w:tcBorders>
              <w:top w:val="single" w:sz="4" w:space="0" w:color="BEBEBE"/>
              <w:bottom w:val="single" w:sz="4" w:space="0" w:color="BEBEBE"/>
            </w:tcBorders>
          </w:tcPr>
          <w:p w14:paraId="20A2E292" w14:textId="77777777" w:rsidR="00BC24A8" w:rsidRDefault="00000000">
            <w:pPr>
              <w:pStyle w:val="TableParagraph"/>
              <w:spacing w:before="59"/>
              <w:ind w:left="1" w:right="1"/>
              <w:jc w:val="center"/>
              <w:rPr>
                <w:sz w:val="18"/>
              </w:rPr>
            </w:pPr>
            <w:r>
              <w:rPr>
                <w:spacing w:val="-10"/>
                <w:sz w:val="18"/>
              </w:rPr>
              <w:t>1</w:t>
            </w:r>
          </w:p>
        </w:tc>
      </w:tr>
      <w:tr w:rsidR="00BC24A8" w14:paraId="06AE60CF" w14:textId="77777777">
        <w:trPr>
          <w:trHeight w:val="398"/>
        </w:trPr>
        <w:tc>
          <w:tcPr>
            <w:tcW w:w="2448" w:type="dxa"/>
            <w:tcBorders>
              <w:top w:val="single" w:sz="4" w:space="0" w:color="BEBEBE"/>
              <w:bottom w:val="single" w:sz="4" w:space="0" w:color="BEBEBE"/>
            </w:tcBorders>
          </w:tcPr>
          <w:p w14:paraId="1790EDB0" w14:textId="77777777" w:rsidR="00BC24A8" w:rsidRDefault="00000000">
            <w:pPr>
              <w:pStyle w:val="TableParagraph"/>
              <w:spacing w:before="56"/>
              <w:ind w:left="115"/>
              <w:rPr>
                <w:sz w:val="18"/>
              </w:rPr>
            </w:pPr>
            <w:r>
              <w:rPr>
                <w:spacing w:val="-5"/>
                <w:sz w:val="18"/>
              </w:rPr>
              <w:t>MSS</w:t>
            </w:r>
          </w:p>
        </w:tc>
        <w:tc>
          <w:tcPr>
            <w:tcW w:w="1807" w:type="dxa"/>
            <w:tcBorders>
              <w:top w:val="single" w:sz="4" w:space="0" w:color="BEBEBE"/>
              <w:bottom w:val="single" w:sz="4" w:space="0" w:color="BEBEBE"/>
            </w:tcBorders>
          </w:tcPr>
          <w:p w14:paraId="2DFB3AE0" w14:textId="77777777" w:rsidR="00BC24A8" w:rsidRDefault="00000000">
            <w:pPr>
              <w:pStyle w:val="TableParagraph"/>
              <w:spacing w:before="90"/>
              <w:ind w:left="2" w:right="6"/>
              <w:jc w:val="center"/>
              <w:rPr>
                <w:sz w:val="18"/>
              </w:rPr>
            </w:pPr>
            <w:r>
              <w:rPr>
                <w:spacing w:val="-10"/>
                <w:sz w:val="18"/>
              </w:rPr>
              <w:t>2</w:t>
            </w:r>
          </w:p>
        </w:tc>
        <w:tc>
          <w:tcPr>
            <w:tcW w:w="2076" w:type="dxa"/>
            <w:tcBorders>
              <w:top w:val="single" w:sz="4" w:space="0" w:color="BEBEBE"/>
              <w:bottom w:val="single" w:sz="4" w:space="0" w:color="BEBEBE"/>
            </w:tcBorders>
          </w:tcPr>
          <w:p w14:paraId="1A0E7739" w14:textId="77777777" w:rsidR="00BC24A8" w:rsidRDefault="00000000">
            <w:pPr>
              <w:pStyle w:val="TableParagraph"/>
              <w:spacing w:before="90"/>
              <w:ind w:left="1" w:right="5"/>
              <w:jc w:val="center"/>
              <w:rPr>
                <w:sz w:val="18"/>
              </w:rPr>
            </w:pPr>
            <w:r>
              <w:rPr>
                <w:spacing w:val="-5"/>
                <w:sz w:val="18"/>
              </w:rPr>
              <w:t>14</w:t>
            </w:r>
          </w:p>
        </w:tc>
        <w:tc>
          <w:tcPr>
            <w:tcW w:w="2746" w:type="dxa"/>
            <w:tcBorders>
              <w:top w:val="single" w:sz="4" w:space="0" w:color="BEBEBE"/>
              <w:bottom w:val="single" w:sz="4" w:space="0" w:color="BEBEBE"/>
            </w:tcBorders>
          </w:tcPr>
          <w:p w14:paraId="38008300" w14:textId="77777777" w:rsidR="00BC24A8" w:rsidRDefault="00000000">
            <w:pPr>
              <w:pStyle w:val="TableParagraph"/>
              <w:spacing w:before="59"/>
              <w:ind w:left="1" w:right="1"/>
              <w:jc w:val="center"/>
              <w:rPr>
                <w:sz w:val="18"/>
              </w:rPr>
            </w:pPr>
            <w:r>
              <w:rPr>
                <w:spacing w:val="-5"/>
                <w:sz w:val="18"/>
              </w:rPr>
              <w:t>13</w:t>
            </w:r>
          </w:p>
        </w:tc>
      </w:tr>
    </w:tbl>
    <w:p w14:paraId="6AC49573" w14:textId="77777777" w:rsidR="00BC24A8" w:rsidRDefault="00000000">
      <w:pPr>
        <w:spacing w:before="125"/>
        <w:ind w:left="143"/>
        <w:rPr>
          <w:sz w:val="16"/>
        </w:rPr>
      </w:pPr>
      <w:r>
        <w:rPr>
          <w:sz w:val="16"/>
        </w:rPr>
        <w:t>Data</w:t>
      </w:r>
      <w:r>
        <w:rPr>
          <w:spacing w:val="-9"/>
          <w:sz w:val="16"/>
        </w:rPr>
        <w:t xml:space="preserve"> </w:t>
      </w:r>
      <w:r>
        <w:rPr>
          <w:sz w:val="16"/>
        </w:rPr>
        <w:t>source:</w:t>
      </w:r>
      <w:r>
        <w:rPr>
          <w:spacing w:val="-6"/>
          <w:sz w:val="16"/>
        </w:rPr>
        <w:t xml:space="preserve"> </w:t>
      </w:r>
      <w:r>
        <w:rPr>
          <w:sz w:val="16"/>
        </w:rPr>
        <w:t>MIS</w:t>
      </w:r>
      <w:r>
        <w:rPr>
          <w:spacing w:val="-6"/>
          <w:sz w:val="16"/>
        </w:rPr>
        <w:t xml:space="preserve"> </w:t>
      </w:r>
      <w:r>
        <w:rPr>
          <w:sz w:val="16"/>
        </w:rPr>
        <w:t>Data</w:t>
      </w:r>
      <w:r>
        <w:rPr>
          <w:spacing w:val="-4"/>
          <w:sz w:val="16"/>
        </w:rPr>
        <w:t xml:space="preserve"> </w:t>
      </w:r>
      <w:r>
        <w:rPr>
          <w:sz w:val="16"/>
        </w:rPr>
        <w:t>for</w:t>
      </w:r>
      <w:r>
        <w:rPr>
          <w:spacing w:val="-6"/>
          <w:sz w:val="16"/>
        </w:rPr>
        <w:t xml:space="preserve"> </w:t>
      </w:r>
      <w:r>
        <w:rPr>
          <w:sz w:val="16"/>
        </w:rPr>
        <w:t>Provincial</w:t>
      </w:r>
      <w:r>
        <w:rPr>
          <w:spacing w:val="-4"/>
          <w:sz w:val="16"/>
        </w:rPr>
        <w:t xml:space="preserve"> </w:t>
      </w:r>
      <w:r>
        <w:rPr>
          <w:sz w:val="16"/>
        </w:rPr>
        <w:t>Report</w:t>
      </w:r>
      <w:r>
        <w:rPr>
          <w:spacing w:val="-6"/>
          <w:sz w:val="16"/>
        </w:rPr>
        <w:t xml:space="preserve"> </w:t>
      </w:r>
      <w:r>
        <w:rPr>
          <w:sz w:val="16"/>
        </w:rPr>
        <w:t>as</w:t>
      </w:r>
      <w:r>
        <w:rPr>
          <w:spacing w:val="-4"/>
          <w:sz w:val="16"/>
        </w:rPr>
        <w:t xml:space="preserve"> </w:t>
      </w:r>
      <w:r>
        <w:rPr>
          <w:sz w:val="16"/>
        </w:rPr>
        <w:t>of</w:t>
      </w:r>
      <w:r>
        <w:rPr>
          <w:spacing w:val="-6"/>
          <w:sz w:val="16"/>
        </w:rPr>
        <w:t xml:space="preserve"> </w:t>
      </w:r>
      <w:r>
        <w:rPr>
          <w:sz w:val="16"/>
        </w:rPr>
        <w:t>28</w:t>
      </w:r>
      <w:r>
        <w:rPr>
          <w:spacing w:val="-5"/>
          <w:sz w:val="16"/>
        </w:rPr>
        <w:t xml:space="preserve"> </w:t>
      </w:r>
      <w:r>
        <w:rPr>
          <w:sz w:val="16"/>
        </w:rPr>
        <w:t>July</w:t>
      </w:r>
      <w:r>
        <w:rPr>
          <w:spacing w:val="-6"/>
          <w:sz w:val="16"/>
        </w:rPr>
        <w:t xml:space="preserve"> </w:t>
      </w:r>
      <w:r>
        <w:rPr>
          <w:spacing w:val="-4"/>
          <w:sz w:val="16"/>
        </w:rPr>
        <w:t>2025</w:t>
      </w:r>
    </w:p>
    <w:p w14:paraId="12A65C15" w14:textId="77777777" w:rsidR="00BC24A8" w:rsidRDefault="00BC24A8">
      <w:pPr>
        <w:pStyle w:val="BodyText"/>
        <w:rPr>
          <w:sz w:val="20"/>
        </w:rPr>
      </w:pPr>
    </w:p>
    <w:p w14:paraId="13275C7C" w14:textId="77777777" w:rsidR="00BC24A8" w:rsidRDefault="00BC24A8">
      <w:pPr>
        <w:pStyle w:val="BodyText"/>
        <w:rPr>
          <w:sz w:val="20"/>
        </w:rPr>
      </w:pPr>
    </w:p>
    <w:p w14:paraId="6813C621" w14:textId="77777777" w:rsidR="00BC24A8" w:rsidRDefault="00BC24A8">
      <w:pPr>
        <w:pStyle w:val="BodyText"/>
        <w:rPr>
          <w:sz w:val="20"/>
        </w:rPr>
      </w:pPr>
    </w:p>
    <w:p w14:paraId="59A4CBF5" w14:textId="77777777" w:rsidR="00BC24A8" w:rsidRDefault="00000000">
      <w:pPr>
        <w:pStyle w:val="BodyText"/>
        <w:spacing w:before="17"/>
        <w:rPr>
          <w:sz w:val="20"/>
        </w:rPr>
      </w:pPr>
      <w:r>
        <w:rPr>
          <w:noProof/>
          <w:sz w:val="20"/>
        </w:rPr>
        <mc:AlternateContent>
          <mc:Choice Requires="wps">
            <w:drawing>
              <wp:anchor distT="0" distB="0" distL="0" distR="0" simplePos="0" relativeHeight="487630848" behindDoc="1" locked="0" layoutInCell="1" allowOverlap="1" wp14:anchorId="5F781F6A" wp14:editId="12A6FD8D">
                <wp:simplePos x="0" y="0"/>
                <wp:positionH relativeFrom="page">
                  <wp:posOffset>900683</wp:posOffset>
                </wp:positionH>
                <wp:positionV relativeFrom="paragraph">
                  <wp:posOffset>181651</wp:posOffset>
                </wp:positionV>
                <wp:extent cx="1828800" cy="9525"/>
                <wp:effectExtent l="0" t="0" r="0" b="0"/>
                <wp:wrapTopAndBottom/>
                <wp:docPr id="275" name="Graphic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68A3DB" id="Graphic 275" o:spid="_x0000_s1026" alt="&quot;&quot;" style="position:absolute;margin-left:70.9pt;margin-top:14.3pt;width:2in;height:.75pt;z-index:-156856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" path="m1828800,l,,,9144r1828800,l1828800,xe" fillcolor="black" stroked="f">
                <v:path arrowok="t"/>
                <w10:wrap type="topAndBottom" anchorx="page"/>
              </v:shape>
            </w:pict>
          </mc:Fallback>
        </mc:AlternateContent>
      </w:r>
    </w:p>
    <w:p w14:paraId="22316C65" w14:textId="77777777" w:rsidR="00BC24A8" w:rsidRDefault="00BC24A8">
      <w:pPr>
        <w:pStyle w:val="BodyText"/>
        <w:spacing w:before="105"/>
        <w:rPr>
          <w:sz w:val="16"/>
        </w:rPr>
      </w:pPr>
    </w:p>
    <w:p w14:paraId="5D1811DE" w14:textId="77777777" w:rsidR="00BC24A8" w:rsidRDefault="00000000">
      <w:pPr>
        <w:spacing w:before="1"/>
        <w:ind w:left="143" w:right="662" w:hanging="1"/>
        <w:rPr>
          <w:sz w:val="16"/>
        </w:rPr>
      </w:pPr>
      <w:bookmarkStart w:id="230" w:name="_bookmark161"/>
      <w:bookmarkEnd w:id="230"/>
      <w:r>
        <w:rPr>
          <w:color w:val="767070"/>
          <w:sz w:val="16"/>
          <w:vertAlign w:val="superscript"/>
        </w:rPr>
        <w:t>84</w:t>
      </w:r>
      <w:r>
        <w:rPr>
          <w:color w:val="767070"/>
          <w:spacing w:val="-5"/>
          <w:sz w:val="16"/>
        </w:rPr>
        <w:t xml:space="preserve"> </w:t>
      </w:r>
      <w:r>
        <w:rPr>
          <w:color w:val="767070"/>
          <w:sz w:val="16"/>
        </w:rPr>
        <w:t>Person</w:t>
      </w:r>
      <w:r>
        <w:rPr>
          <w:color w:val="767070"/>
          <w:spacing w:val="-4"/>
          <w:sz w:val="16"/>
        </w:rPr>
        <w:t xml:space="preserve"> </w:t>
      </w:r>
      <w:r>
        <w:rPr>
          <w:color w:val="767070"/>
          <w:sz w:val="16"/>
        </w:rPr>
        <w:t>time</w:t>
      </w:r>
      <w:r>
        <w:rPr>
          <w:color w:val="767070"/>
          <w:spacing w:val="-5"/>
          <w:sz w:val="16"/>
        </w:rPr>
        <w:t xml:space="preserve"> </w:t>
      </w:r>
      <w:r>
        <w:rPr>
          <w:color w:val="767070"/>
          <w:sz w:val="16"/>
        </w:rPr>
        <w:t>refers</w:t>
      </w:r>
      <w:r>
        <w:rPr>
          <w:color w:val="767070"/>
          <w:spacing w:val="-4"/>
          <w:sz w:val="16"/>
        </w:rPr>
        <w:t xml:space="preserve"> </w:t>
      </w:r>
      <w:r>
        <w:rPr>
          <w:color w:val="767070"/>
          <w:sz w:val="16"/>
        </w:rPr>
        <w:t>to</w:t>
      </w:r>
      <w:r>
        <w:rPr>
          <w:color w:val="767070"/>
          <w:spacing w:val="-4"/>
          <w:sz w:val="16"/>
        </w:rPr>
        <w:t xml:space="preserve"> </w:t>
      </w:r>
      <w:r>
        <w:rPr>
          <w:color w:val="767070"/>
          <w:sz w:val="16"/>
        </w:rPr>
        <w:t>the</w:t>
      </w:r>
      <w:r>
        <w:rPr>
          <w:color w:val="767070"/>
          <w:spacing w:val="-5"/>
          <w:sz w:val="16"/>
        </w:rPr>
        <w:t xml:space="preserve"> </w:t>
      </w:r>
      <w:r>
        <w:rPr>
          <w:color w:val="767070"/>
          <w:sz w:val="16"/>
        </w:rPr>
        <w:t>total</w:t>
      </w:r>
      <w:r>
        <w:rPr>
          <w:color w:val="767070"/>
          <w:spacing w:val="-7"/>
          <w:sz w:val="16"/>
        </w:rPr>
        <w:t xml:space="preserve"> </w:t>
      </w:r>
      <w:r>
        <w:rPr>
          <w:color w:val="767070"/>
          <w:sz w:val="16"/>
        </w:rPr>
        <w:t>instances</w:t>
      </w:r>
      <w:r>
        <w:rPr>
          <w:color w:val="767070"/>
          <w:spacing w:val="-4"/>
          <w:sz w:val="16"/>
        </w:rPr>
        <w:t xml:space="preserve"> </w:t>
      </w:r>
      <w:r>
        <w:rPr>
          <w:color w:val="767070"/>
          <w:sz w:val="16"/>
        </w:rPr>
        <w:t>of</w:t>
      </w:r>
      <w:r>
        <w:rPr>
          <w:color w:val="767070"/>
          <w:spacing w:val="-5"/>
          <w:sz w:val="16"/>
        </w:rPr>
        <w:t xml:space="preserve"> </w:t>
      </w:r>
      <w:r>
        <w:rPr>
          <w:color w:val="767070"/>
          <w:sz w:val="16"/>
        </w:rPr>
        <w:t>participation;</w:t>
      </w:r>
      <w:r>
        <w:rPr>
          <w:color w:val="767070"/>
          <w:spacing w:val="-4"/>
          <w:sz w:val="16"/>
        </w:rPr>
        <w:t xml:space="preserve"> </w:t>
      </w:r>
      <w:r>
        <w:rPr>
          <w:color w:val="767070"/>
          <w:sz w:val="16"/>
        </w:rPr>
        <w:t>one</w:t>
      </w:r>
      <w:r>
        <w:rPr>
          <w:color w:val="767070"/>
          <w:spacing w:val="-7"/>
          <w:sz w:val="16"/>
        </w:rPr>
        <w:t xml:space="preserve"> </w:t>
      </w:r>
      <w:r>
        <w:rPr>
          <w:color w:val="767070"/>
          <w:sz w:val="16"/>
        </w:rPr>
        <w:t>individual</w:t>
      </w:r>
      <w:r>
        <w:rPr>
          <w:color w:val="767070"/>
          <w:spacing w:val="-4"/>
          <w:sz w:val="16"/>
        </w:rPr>
        <w:t xml:space="preserve"> </w:t>
      </w:r>
      <w:r>
        <w:rPr>
          <w:color w:val="767070"/>
          <w:sz w:val="16"/>
        </w:rPr>
        <w:t>may</w:t>
      </w:r>
      <w:r>
        <w:rPr>
          <w:color w:val="767070"/>
          <w:spacing w:val="-6"/>
          <w:sz w:val="16"/>
        </w:rPr>
        <w:t xml:space="preserve"> </w:t>
      </w:r>
      <w:r>
        <w:rPr>
          <w:color w:val="767070"/>
          <w:sz w:val="16"/>
        </w:rPr>
        <w:t>participate</w:t>
      </w:r>
      <w:r>
        <w:rPr>
          <w:color w:val="767070"/>
          <w:spacing w:val="-5"/>
          <w:sz w:val="16"/>
        </w:rPr>
        <w:t xml:space="preserve"> </w:t>
      </w:r>
      <w:r>
        <w:rPr>
          <w:color w:val="767070"/>
          <w:sz w:val="16"/>
        </w:rPr>
        <w:t>more</w:t>
      </w:r>
      <w:r>
        <w:rPr>
          <w:color w:val="767070"/>
          <w:spacing w:val="-5"/>
          <w:sz w:val="16"/>
        </w:rPr>
        <w:t xml:space="preserve"> </w:t>
      </w:r>
      <w:r>
        <w:rPr>
          <w:color w:val="767070"/>
          <w:sz w:val="16"/>
        </w:rPr>
        <w:t>than</w:t>
      </w:r>
      <w:r>
        <w:rPr>
          <w:color w:val="767070"/>
          <w:spacing w:val="-4"/>
          <w:sz w:val="16"/>
        </w:rPr>
        <w:t xml:space="preserve"> </w:t>
      </w:r>
      <w:r>
        <w:rPr>
          <w:color w:val="767070"/>
          <w:sz w:val="16"/>
        </w:rPr>
        <w:t>once</w:t>
      </w:r>
      <w:r>
        <w:rPr>
          <w:color w:val="767070"/>
          <w:spacing w:val="-5"/>
          <w:sz w:val="16"/>
        </w:rPr>
        <w:t xml:space="preserve"> </w:t>
      </w:r>
      <w:r>
        <w:rPr>
          <w:color w:val="767070"/>
          <w:sz w:val="16"/>
        </w:rPr>
        <w:t>in</w:t>
      </w:r>
      <w:r>
        <w:rPr>
          <w:color w:val="767070"/>
          <w:spacing w:val="-4"/>
          <w:sz w:val="16"/>
        </w:rPr>
        <w:t xml:space="preserve"> </w:t>
      </w:r>
      <w:r>
        <w:rPr>
          <w:color w:val="767070"/>
          <w:sz w:val="16"/>
        </w:rPr>
        <w:t>SKALA-supported</w:t>
      </w:r>
      <w:r>
        <w:rPr>
          <w:color w:val="767070"/>
          <w:spacing w:val="-4"/>
          <w:sz w:val="16"/>
        </w:rPr>
        <w:t xml:space="preserve"> </w:t>
      </w:r>
      <w:r>
        <w:rPr>
          <w:color w:val="767070"/>
          <w:sz w:val="16"/>
        </w:rPr>
        <w:t>activities.</w:t>
      </w:r>
      <w:r>
        <w:rPr>
          <w:color w:val="767070"/>
          <w:spacing w:val="40"/>
          <w:sz w:val="16"/>
        </w:rPr>
        <w:t xml:space="preserve"> </w:t>
      </w:r>
      <w:r>
        <w:rPr>
          <w:color w:val="767070"/>
          <w:sz w:val="16"/>
        </w:rPr>
        <w:t>Headcount refers to participants whose costs are covered by SKALA.</w:t>
      </w:r>
    </w:p>
    <w:p w14:paraId="7F724DCF" w14:textId="77777777" w:rsidR="00BC24A8" w:rsidRDefault="00BC24A8">
      <w:pPr>
        <w:rPr>
          <w:sz w:val="16"/>
        </w:rPr>
        <w:sectPr w:rsidR="00BC24A8">
          <w:type w:val="continuous"/>
          <w:pgSz w:w="11910" w:h="16840"/>
          <w:pgMar w:top="1920" w:right="850" w:bottom="280" w:left="1275" w:header="0" w:footer="907" w:gutter="0"/>
          <w:cols w:space="720"/>
        </w:sectPr>
      </w:pPr>
    </w:p>
    <w:p w14:paraId="5F1FE812" w14:textId="77777777" w:rsidR="00BC24A8" w:rsidRDefault="00000000">
      <w:pPr>
        <w:pStyle w:val="ListParagraph"/>
        <w:numPr>
          <w:ilvl w:val="1"/>
          <w:numId w:val="24"/>
        </w:numPr>
        <w:tabs>
          <w:tab w:val="left" w:pos="863"/>
        </w:tabs>
        <w:spacing w:before="79"/>
        <w:ind w:right="563" w:hanging="360"/>
      </w:pPr>
      <w:r>
        <w:rPr>
          <w:rFonts w:ascii="Calibri" w:hAnsi="Calibri"/>
          <w:b/>
        </w:rPr>
        <w:t>DNA:</w:t>
      </w:r>
      <w:r>
        <w:rPr>
          <w:rFonts w:ascii="Calibri" w:hAnsi="Calibri"/>
          <w:b/>
          <w:spacing w:val="-10"/>
        </w:rPr>
        <w:t xml:space="preserve"> </w:t>
      </w:r>
      <w:r>
        <w:t>SKALA</w:t>
      </w:r>
      <w:r>
        <w:rPr>
          <w:spacing w:val="-9"/>
        </w:rPr>
        <w:t xml:space="preserve"> </w:t>
      </w:r>
      <w:r>
        <w:t>facilitated</w:t>
      </w:r>
      <w:r>
        <w:rPr>
          <w:spacing w:val="-6"/>
        </w:rPr>
        <w:t xml:space="preserve"> </w:t>
      </w:r>
      <w:r>
        <w:t>the</w:t>
      </w:r>
      <w:r>
        <w:rPr>
          <w:spacing w:val="-10"/>
        </w:rPr>
        <w:t xml:space="preserve"> </w:t>
      </w:r>
      <w:r>
        <w:t>preparation</w:t>
      </w:r>
      <w:r>
        <w:rPr>
          <w:spacing w:val="-9"/>
        </w:rPr>
        <w:t xml:space="preserve"> </w:t>
      </w:r>
      <w:r>
        <w:t>of</w:t>
      </w:r>
      <w:r>
        <w:rPr>
          <w:spacing w:val="-8"/>
        </w:rPr>
        <w:t xml:space="preserve"> </w:t>
      </w:r>
      <w:r>
        <w:t>data</w:t>
      </w:r>
      <w:r>
        <w:rPr>
          <w:spacing w:val="-7"/>
        </w:rPr>
        <w:t xml:space="preserve"> </w:t>
      </w:r>
      <w:r>
        <w:t>lists</w:t>
      </w:r>
      <w:r>
        <w:rPr>
          <w:spacing w:val="-6"/>
        </w:rPr>
        <w:t xml:space="preserve"> </w:t>
      </w:r>
      <w:r>
        <w:t>through</w:t>
      </w:r>
      <w:r>
        <w:rPr>
          <w:spacing w:val="-9"/>
        </w:rPr>
        <w:t xml:space="preserve"> </w:t>
      </w:r>
      <w:r>
        <w:t>SIPD</w:t>
      </w:r>
      <w:r>
        <w:rPr>
          <w:spacing w:val="-9"/>
        </w:rPr>
        <w:t xml:space="preserve"> </w:t>
      </w:r>
      <w:r>
        <w:t>and</w:t>
      </w:r>
      <w:r>
        <w:rPr>
          <w:spacing w:val="-9"/>
        </w:rPr>
        <w:t xml:space="preserve"> </w:t>
      </w:r>
      <w:r>
        <w:t>supported</w:t>
      </w:r>
      <w:r>
        <w:rPr>
          <w:spacing w:val="-9"/>
        </w:rPr>
        <w:t xml:space="preserve"> </w:t>
      </w:r>
      <w:r>
        <w:t>data</w:t>
      </w:r>
      <w:r>
        <w:rPr>
          <w:spacing w:val="-7"/>
        </w:rPr>
        <w:t xml:space="preserve"> </w:t>
      </w:r>
      <w:r>
        <w:t>fulfilment in e-Walidata.</w:t>
      </w:r>
    </w:p>
    <w:p w14:paraId="6616EDB4" w14:textId="77777777" w:rsidR="00BC24A8" w:rsidRDefault="00000000">
      <w:pPr>
        <w:pStyle w:val="ListParagraph"/>
        <w:numPr>
          <w:ilvl w:val="1"/>
          <w:numId w:val="24"/>
        </w:numPr>
        <w:tabs>
          <w:tab w:val="left" w:pos="861"/>
          <w:tab w:val="left" w:pos="863"/>
        </w:tabs>
        <w:ind w:right="563"/>
      </w:pPr>
      <w:r>
        <w:rPr>
          <w:rFonts w:ascii="Calibri" w:hAnsi="Calibri"/>
          <w:b/>
        </w:rPr>
        <w:t>MSS:</w:t>
      </w:r>
      <w:r>
        <w:rPr>
          <w:rFonts w:ascii="Calibri" w:hAnsi="Calibri"/>
          <w:b/>
          <w:spacing w:val="-9"/>
        </w:rPr>
        <w:t xml:space="preserve"> </w:t>
      </w:r>
      <w:r>
        <w:t>SKALA</w:t>
      </w:r>
      <w:r>
        <w:rPr>
          <w:spacing w:val="-7"/>
        </w:rPr>
        <w:t xml:space="preserve"> </w:t>
      </w:r>
      <w:r>
        <w:t>provided</w:t>
      </w:r>
      <w:r>
        <w:rPr>
          <w:spacing w:val="-7"/>
        </w:rPr>
        <w:t xml:space="preserve"> </w:t>
      </w:r>
      <w:r>
        <w:t>technical</w:t>
      </w:r>
      <w:r>
        <w:rPr>
          <w:spacing w:val="-6"/>
        </w:rPr>
        <w:t xml:space="preserve"> </w:t>
      </w:r>
      <w:r>
        <w:t>recommendations</w:t>
      </w:r>
      <w:r>
        <w:rPr>
          <w:spacing w:val="-7"/>
        </w:rPr>
        <w:t xml:space="preserve"> </w:t>
      </w:r>
      <w:r>
        <w:t>and</w:t>
      </w:r>
      <w:r>
        <w:rPr>
          <w:spacing w:val="-7"/>
        </w:rPr>
        <w:t xml:space="preserve"> </w:t>
      </w:r>
      <w:r>
        <w:t>facilitation</w:t>
      </w:r>
      <w:r>
        <w:rPr>
          <w:spacing w:val="-5"/>
        </w:rPr>
        <w:t xml:space="preserve"> </w:t>
      </w:r>
      <w:r>
        <w:t>to</w:t>
      </w:r>
      <w:r>
        <w:rPr>
          <w:spacing w:val="-5"/>
        </w:rPr>
        <w:t xml:space="preserve"> </w:t>
      </w:r>
      <w:r>
        <w:t>strengthen</w:t>
      </w:r>
      <w:r>
        <w:rPr>
          <w:spacing w:val="-5"/>
        </w:rPr>
        <w:t xml:space="preserve"> </w:t>
      </w:r>
      <w:r>
        <w:t>the</w:t>
      </w:r>
      <w:r>
        <w:rPr>
          <w:spacing w:val="-4"/>
        </w:rPr>
        <w:t xml:space="preserve"> </w:t>
      </w:r>
      <w:r>
        <w:t>capacity</w:t>
      </w:r>
      <w:r>
        <w:rPr>
          <w:spacing w:val="-4"/>
        </w:rPr>
        <w:t xml:space="preserve"> </w:t>
      </w:r>
      <w:r>
        <w:t xml:space="preserve">of civil servants in preparing MSS Action Plans, monitoring and reporting MSS, using the </w:t>
      </w:r>
      <w:r>
        <w:rPr>
          <w:i/>
        </w:rPr>
        <w:t>Musrenbangsus</w:t>
      </w:r>
      <w:r>
        <w:rPr>
          <w:i/>
          <w:spacing w:val="-8"/>
        </w:rPr>
        <w:t xml:space="preserve"> </w:t>
      </w:r>
      <w:r>
        <w:t>and</w:t>
      </w:r>
      <w:r>
        <w:rPr>
          <w:spacing w:val="-11"/>
        </w:rPr>
        <w:t xml:space="preserve"> </w:t>
      </w:r>
      <w:r>
        <w:t>SIPPP</w:t>
      </w:r>
      <w:r>
        <w:rPr>
          <w:spacing w:val="-8"/>
        </w:rPr>
        <w:t xml:space="preserve"> </w:t>
      </w:r>
      <w:r>
        <w:t>guidelines,</w:t>
      </w:r>
      <w:r>
        <w:rPr>
          <w:spacing w:val="-8"/>
        </w:rPr>
        <w:t xml:space="preserve"> </w:t>
      </w:r>
      <w:r>
        <w:t>and</w:t>
      </w:r>
      <w:r>
        <w:rPr>
          <w:spacing w:val="-9"/>
        </w:rPr>
        <w:t xml:space="preserve"> </w:t>
      </w:r>
      <w:r>
        <w:t>drafting</w:t>
      </w:r>
      <w:r>
        <w:rPr>
          <w:spacing w:val="-9"/>
        </w:rPr>
        <w:t xml:space="preserve"> </w:t>
      </w:r>
      <w:r>
        <w:t>the</w:t>
      </w:r>
      <w:r>
        <w:rPr>
          <w:spacing w:val="-10"/>
        </w:rPr>
        <w:t xml:space="preserve"> </w:t>
      </w:r>
      <w:r>
        <w:t>RPJMD</w:t>
      </w:r>
      <w:r>
        <w:rPr>
          <w:spacing w:val="-9"/>
        </w:rPr>
        <w:t xml:space="preserve"> </w:t>
      </w:r>
      <w:r>
        <w:t>following</w:t>
      </w:r>
      <w:r>
        <w:rPr>
          <w:spacing w:val="-9"/>
        </w:rPr>
        <w:t xml:space="preserve"> </w:t>
      </w:r>
      <w:r>
        <w:t>the</w:t>
      </w:r>
      <w:r>
        <w:rPr>
          <w:spacing w:val="-8"/>
        </w:rPr>
        <w:t xml:space="preserve"> </w:t>
      </w:r>
      <w:r>
        <w:t>election</w:t>
      </w:r>
      <w:r>
        <w:rPr>
          <w:spacing w:val="-7"/>
        </w:rPr>
        <w:t xml:space="preserve"> </w:t>
      </w:r>
      <w:r>
        <w:t>of</w:t>
      </w:r>
      <w:r>
        <w:rPr>
          <w:spacing w:val="-8"/>
        </w:rPr>
        <w:t xml:space="preserve"> </w:t>
      </w:r>
      <w:r>
        <w:t xml:space="preserve">regional </w:t>
      </w:r>
      <w:r>
        <w:rPr>
          <w:spacing w:val="-2"/>
        </w:rPr>
        <w:t>heads.</w:t>
      </w:r>
    </w:p>
    <w:p w14:paraId="18A9F333" w14:textId="77777777" w:rsidR="00BC24A8" w:rsidRDefault="00BC24A8">
      <w:pPr>
        <w:pStyle w:val="BodyText"/>
        <w:spacing w:before="60"/>
      </w:pPr>
    </w:p>
    <w:p w14:paraId="4AE3B914" w14:textId="77777777" w:rsidR="00BC24A8" w:rsidRDefault="00000000">
      <w:pPr>
        <w:pStyle w:val="BodyText"/>
        <w:ind w:left="143"/>
        <w:rPr>
          <w:rFonts w:ascii="Calibri"/>
        </w:rPr>
      </w:pPr>
      <w:r>
        <w:rPr>
          <w:rFonts w:ascii="Calibri"/>
          <w:color w:val="272727"/>
        </w:rPr>
        <w:t>Summary</w:t>
      </w:r>
      <w:r>
        <w:rPr>
          <w:rFonts w:ascii="Calibri"/>
          <w:color w:val="272727"/>
          <w:spacing w:val="-5"/>
        </w:rPr>
        <w:t xml:space="preserve"> </w:t>
      </w:r>
      <w:r>
        <w:rPr>
          <w:rFonts w:ascii="Calibri"/>
          <w:color w:val="272727"/>
        </w:rPr>
        <w:t>of</w:t>
      </w:r>
      <w:r>
        <w:rPr>
          <w:rFonts w:ascii="Calibri"/>
          <w:color w:val="272727"/>
          <w:spacing w:val="-8"/>
        </w:rPr>
        <w:t xml:space="preserve"> </w:t>
      </w:r>
      <w:r>
        <w:rPr>
          <w:rFonts w:ascii="Calibri"/>
          <w:color w:val="272727"/>
        </w:rPr>
        <w:t>results</w:t>
      </w:r>
      <w:r>
        <w:rPr>
          <w:rFonts w:ascii="Calibri"/>
          <w:color w:val="272727"/>
          <w:spacing w:val="-5"/>
        </w:rPr>
        <w:t xml:space="preserve"> </w:t>
      </w:r>
      <w:r>
        <w:rPr>
          <w:rFonts w:ascii="Calibri"/>
          <w:color w:val="272727"/>
        </w:rPr>
        <w:t>at</w:t>
      </w:r>
      <w:r>
        <w:rPr>
          <w:rFonts w:ascii="Calibri"/>
          <w:color w:val="272727"/>
          <w:spacing w:val="-8"/>
        </w:rPr>
        <w:t xml:space="preserve"> </w:t>
      </w:r>
      <w:r>
        <w:rPr>
          <w:rFonts w:ascii="Calibri"/>
          <w:color w:val="272727"/>
        </w:rPr>
        <w:t>the</w:t>
      </w:r>
      <w:r>
        <w:rPr>
          <w:rFonts w:ascii="Calibri"/>
          <w:color w:val="272727"/>
          <w:spacing w:val="-4"/>
        </w:rPr>
        <w:t xml:space="preserve"> </w:t>
      </w:r>
      <w:r>
        <w:rPr>
          <w:rFonts w:ascii="Calibri"/>
          <w:color w:val="272727"/>
        </w:rPr>
        <w:t>Intermediate</w:t>
      </w:r>
      <w:r>
        <w:rPr>
          <w:rFonts w:ascii="Calibri"/>
          <w:color w:val="272727"/>
          <w:spacing w:val="-8"/>
        </w:rPr>
        <w:t xml:space="preserve"> </w:t>
      </w:r>
      <w:r>
        <w:rPr>
          <w:rFonts w:ascii="Calibri"/>
          <w:color w:val="272727"/>
        </w:rPr>
        <w:t>Outcome</w:t>
      </w:r>
      <w:r>
        <w:rPr>
          <w:rFonts w:ascii="Calibri"/>
          <w:color w:val="272727"/>
          <w:spacing w:val="-4"/>
        </w:rPr>
        <w:t xml:space="preserve"> </w:t>
      </w:r>
      <w:r>
        <w:rPr>
          <w:rFonts w:ascii="Calibri"/>
          <w:color w:val="272727"/>
        </w:rPr>
        <w:t>(IO)</w:t>
      </w:r>
      <w:r>
        <w:rPr>
          <w:rFonts w:ascii="Calibri"/>
          <w:color w:val="272727"/>
          <w:spacing w:val="-9"/>
        </w:rPr>
        <w:t xml:space="preserve"> </w:t>
      </w:r>
      <w:r>
        <w:rPr>
          <w:rFonts w:ascii="Calibri"/>
          <w:color w:val="272727"/>
          <w:spacing w:val="-2"/>
        </w:rPr>
        <w:t>level</w:t>
      </w:r>
    </w:p>
    <w:p w14:paraId="1D400E08" w14:textId="77777777" w:rsidR="00BC24A8" w:rsidRDefault="00000000">
      <w:pPr>
        <w:spacing w:before="22"/>
        <w:ind w:left="143"/>
        <w:rPr>
          <w:rFonts w:ascii="Calibri"/>
          <w:b/>
        </w:rPr>
      </w:pPr>
      <w:r>
        <w:rPr>
          <w:rFonts w:ascii="Calibri"/>
          <w:b/>
          <w:color w:val="17365A"/>
        </w:rPr>
        <w:t>Data</w:t>
      </w:r>
      <w:r>
        <w:rPr>
          <w:rFonts w:ascii="Calibri"/>
          <w:b/>
          <w:color w:val="17365A"/>
          <w:spacing w:val="-4"/>
        </w:rPr>
        <w:t xml:space="preserve"> </w:t>
      </w:r>
      <w:r>
        <w:rPr>
          <w:rFonts w:ascii="Calibri"/>
          <w:b/>
          <w:color w:val="17365A"/>
        </w:rPr>
        <w:t>availability,</w:t>
      </w:r>
      <w:r>
        <w:rPr>
          <w:rFonts w:ascii="Calibri"/>
          <w:b/>
          <w:color w:val="17365A"/>
          <w:spacing w:val="-1"/>
        </w:rPr>
        <w:t xml:space="preserve"> </w:t>
      </w:r>
      <w:r>
        <w:rPr>
          <w:rFonts w:ascii="Calibri"/>
          <w:b/>
          <w:color w:val="17365A"/>
        </w:rPr>
        <w:t>management,</w:t>
      </w:r>
      <w:r>
        <w:rPr>
          <w:rFonts w:ascii="Calibri"/>
          <w:b/>
          <w:color w:val="17365A"/>
          <w:spacing w:val="-1"/>
        </w:rPr>
        <w:t xml:space="preserve"> </w:t>
      </w:r>
      <w:r>
        <w:rPr>
          <w:rFonts w:ascii="Calibri"/>
          <w:b/>
          <w:color w:val="17365A"/>
        </w:rPr>
        <w:t>and</w:t>
      </w:r>
      <w:r>
        <w:rPr>
          <w:rFonts w:ascii="Calibri"/>
          <w:b/>
          <w:color w:val="17365A"/>
          <w:spacing w:val="-3"/>
        </w:rPr>
        <w:t xml:space="preserve"> </w:t>
      </w:r>
      <w:r>
        <w:rPr>
          <w:rFonts w:ascii="Calibri"/>
          <w:b/>
          <w:color w:val="17365A"/>
        </w:rPr>
        <w:t>utilisation</w:t>
      </w:r>
      <w:r>
        <w:rPr>
          <w:rFonts w:ascii="Calibri"/>
          <w:b/>
          <w:color w:val="17365A"/>
          <w:spacing w:val="-2"/>
        </w:rPr>
        <w:t xml:space="preserve"> </w:t>
      </w:r>
      <w:r>
        <w:rPr>
          <w:rFonts w:ascii="Calibri"/>
          <w:b/>
          <w:color w:val="17365A"/>
        </w:rPr>
        <w:t>to</w:t>
      </w:r>
      <w:r>
        <w:rPr>
          <w:rFonts w:ascii="Calibri"/>
          <w:b/>
          <w:color w:val="17365A"/>
          <w:spacing w:val="-3"/>
        </w:rPr>
        <w:t xml:space="preserve"> </w:t>
      </w:r>
      <w:r>
        <w:rPr>
          <w:rFonts w:ascii="Calibri"/>
          <w:b/>
          <w:color w:val="17365A"/>
        </w:rPr>
        <w:t>improve</w:t>
      </w:r>
      <w:r>
        <w:rPr>
          <w:rFonts w:ascii="Calibri"/>
          <w:b/>
          <w:color w:val="17365A"/>
          <w:spacing w:val="-3"/>
        </w:rPr>
        <w:t xml:space="preserve"> </w:t>
      </w:r>
      <w:r>
        <w:rPr>
          <w:rFonts w:ascii="Calibri"/>
          <w:b/>
          <w:color w:val="17365A"/>
        </w:rPr>
        <w:t>evidence-based</w:t>
      </w:r>
      <w:r>
        <w:rPr>
          <w:rFonts w:ascii="Calibri"/>
          <w:b/>
          <w:color w:val="17365A"/>
          <w:spacing w:val="-2"/>
        </w:rPr>
        <w:t xml:space="preserve"> </w:t>
      </w:r>
      <w:r>
        <w:rPr>
          <w:rFonts w:ascii="Calibri"/>
          <w:b/>
          <w:color w:val="17365A"/>
        </w:rPr>
        <w:t>planning</w:t>
      </w:r>
      <w:r>
        <w:rPr>
          <w:rFonts w:ascii="Calibri"/>
          <w:b/>
          <w:color w:val="17365A"/>
          <w:spacing w:val="-1"/>
        </w:rPr>
        <w:t xml:space="preserve"> </w:t>
      </w:r>
      <w:r>
        <w:rPr>
          <w:rFonts w:ascii="Calibri"/>
          <w:b/>
          <w:color w:val="17365A"/>
        </w:rPr>
        <w:t>processes</w:t>
      </w:r>
      <w:r>
        <w:rPr>
          <w:rFonts w:ascii="Calibri"/>
          <w:b/>
          <w:color w:val="17365A"/>
          <w:spacing w:val="-2"/>
        </w:rPr>
        <w:t xml:space="preserve"> </w:t>
      </w:r>
      <w:r>
        <w:rPr>
          <w:rFonts w:ascii="Calibri"/>
          <w:b/>
          <w:color w:val="17365A"/>
        </w:rPr>
        <w:t>(IO</w:t>
      </w:r>
      <w:r>
        <w:rPr>
          <w:rFonts w:ascii="Calibri"/>
          <w:b/>
          <w:color w:val="17365A"/>
          <w:spacing w:val="-4"/>
        </w:rPr>
        <w:t xml:space="preserve"> </w:t>
      </w:r>
      <w:r>
        <w:rPr>
          <w:rFonts w:ascii="Calibri"/>
          <w:b/>
          <w:color w:val="17365A"/>
          <w:spacing w:val="-10"/>
        </w:rPr>
        <w:t>5</w:t>
      </w:r>
    </w:p>
    <w:p w14:paraId="3D67139C" w14:textId="77777777" w:rsidR="00BC24A8" w:rsidRDefault="00000000">
      <w:pPr>
        <w:ind w:left="143"/>
        <w:rPr>
          <w:rFonts w:ascii="Calibri"/>
          <w:b/>
        </w:rPr>
      </w:pPr>
      <w:r>
        <w:rPr>
          <w:rFonts w:ascii="Calibri"/>
          <w:b/>
          <w:color w:val="17365A"/>
        </w:rPr>
        <w:t>and</w:t>
      </w:r>
      <w:r>
        <w:rPr>
          <w:rFonts w:ascii="Calibri"/>
          <w:b/>
          <w:color w:val="17365A"/>
          <w:spacing w:val="-5"/>
        </w:rPr>
        <w:t xml:space="preserve"> 9)</w:t>
      </w:r>
    </w:p>
    <w:p w14:paraId="3668252F" w14:textId="77777777" w:rsidR="00BC24A8" w:rsidRDefault="00000000">
      <w:pPr>
        <w:spacing w:before="159"/>
        <w:ind w:left="143"/>
        <w:rPr>
          <w:rFonts w:ascii="Calibri"/>
          <w:b/>
        </w:rPr>
      </w:pPr>
      <w:r>
        <w:rPr>
          <w:rFonts w:ascii="Calibri"/>
          <w:b/>
        </w:rPr>
        <w:t>SKALA</w:t>
      </w:r>
      <w:r>
        <w:rPr>
          <w:rFonts w:ascii="Calibri"/>
          <w:b/>
          <w:spacing w:val="-4"/>
        </w:rPr>
        <w:t xml:space="preserve"> </w:t>
      </w:r>
      <w:r>
        <w:rPr>
          <w:rFonts w:ascii="Calibri"/>
          <w:b/>
        </w:rPr>
        <w:t>supports</w:t>
      </w:r>
      <w:r>
        <w:rPr>
          <w:rFonts w:ascii="Calibri"/>
          <w:b/>
          <w:spacing w:val="-4"/>
        </w:rPr>
        <w:t xml:space="preserve"> </w:t>
      </w:r>
      <w:r>
        <w:rPr>
          <w:rFonts w:ascii="Calibri"/>
          <w:b/>
        </w:rPr>
        <w:t>the</w:t>
      </w:r>
      <w:r>
        <w:rPr>
          <w:rFonts w:ascii="Calibri"/>
          <w:b/>
          <w:spacing w:val="-5"/>
        </w:rPr>
        <w:t xml:space="preserve"> </w:t>
      </w:r>
      <w:r>
        <w:rPr>
          <w:rFonts w:ascii="Calibri"/>
          <w:b/>
        </w:rPr>
        <w:t>use</w:t>
      </w:r>
      <w:r>
        <w:rPr>
          <w:rFonts w:ascii="Calibri"/>
          <w:b/>
          <w:spacing w:val="-6"/>
        </w:rPr>
        <w:t xml:space="preserve"> </w:t>
      </w:r>
      <w:r>
        <w:rPr>
          <w:rFonts w:ascii="Calibri"/>
          <w:b/>
        </w:rPr>
        <w:t>of</w:t>
      </w:r>
      <w:r>
        <w:rPr>
          <w:rFonts w:ascii="Calibri"/>
          <w:b/>
          <w:spacing w:val="-6"/>
        </w:rPr>
        <w:t xml:space="preserve"> </w:t>
      </w:r>
      <w:r>
        <w:rPr>
          <w:rFonts w:ascii="Calibri"/>
          <w:b/>
        </w:rPr>
        <w:t>data</w:t>
      </w:r>
      <w:r>
        <w:rPr>
          <w:rFonts w:ascii="Calibri"/>
          <w:b/>
          <w:spacing w:val="-5"/>
        </w:rPr>
        <w:t xml:space="preserve"> </w:t>
      </w:r>
      <w:r>
        <w:rPr>
          <w:rFonts w:ascii="Calibri"/>
          <w:b/>
        </w:rPr>
        <w:t>in</w:t>
      </w:r>
      <w:r>
        <w:rPr>
          <w:rFonts w:ascii="Calibri"/>
          <w:b/>
          <w:spacing w:val="-6"/>
        </w:rPr>
        <w:t xml:space="preserve"> </w:t>
      </w:r>
      <w:r>
        <w:rPr>
          <w:rFonts w:ascii="Calibri"/>
          <w:b/>
        </w:rPr>
        <w:t>development</w:t>
      </w:r>
      <w:r>
        <w:rPr>
          <w:rFonts w:ascii="Calibri"/>
          <w:b/>
          <w:spacing w:val="-4"/>
        </w:rPr>
        <w:t xml:space="preserve"> </w:t>
      </w:r>
      <w:r>
        <w:rPr>
          <w:rFonts w:ascii="Calibri"/>
          <w:b/>
          <w:spacing w:val="-2"/>
        </w:rPr>
        <w:t>planning</w:t>
      </w:r>
    </w:p>
    <w:p w14:paraId="546749EC" w14:textId="77777777" w:rsidR="00BC24A8" w:rsidRDefault="00000000">
      <w:pPr>
        <w:pStyle w:val="ListParagraph"/>
        <w:numPr>
          <w:ilvl w:val="1"/>
          <w:numId w:val="24"/>
        </w:numPr>
        <w:tabs>
          <w:tab w:val="left" w:pos="861"/>
          <w:tab w:val="left" w:pos="863"/>
        </w:tabs>
        <w:spacing w:before="158"/>
        <w:ind w:right="562"/>
      </w:pPr>
      <w:r>
        <w:t>Poverty distribution data from Regsosek was utilised to provide an overview of regional conditions in the 2025–2029 RPJMD document.</w:t>
      </w:r>
    </w:p>
    <w:p w14:paraId="198BD860" w14:textId="77777777" w:rsidR="00BC24A8" w:rsidRDefault="00000000">
      <w:pPr>
        <w:pStyle w:val="ListParagraph"/>
        <w:numPr>
          <w:ilvl w:val="1"/>
          <w:numId w:val="24"/>
        </w:numPr>
        <w:tabs>
          <w:tab w:val="left" w:pos="861"/>
          <w:tab w:val="left" w:pos="863"/>
        </w:tabs>
        <w:spacing w:before="1"/>
        <w:ind w:right="563"/>
      </w:pPr>
      <w:r>
        <w:t>SAIK+</w:t>
      </w:r>
      <w:hyperlink w:anchor="_bookmark162" w:history="1">
        <w:r w:rsidR="00BC24A8">
          <w:rPr>
            <w:vertAlign w:val="superscript"/>
          </w:rPr>
          <w:t>85</w:t>
        </w:r>
      </w:hyperlink>
      <w:r>
        <w:t xml:space="preserve"> data was used in the 2025–2029 RPJMD, particularly to map and prioritise vulnerable groups,</w:t>
      </w:r>
      <w:r>
        <w:rPr>
          <w:spacing w:val="-9"/>
        </w:rPr>
        <w:t xml:space="preserve"> </w:t>
      </w:r>
      <w:r>
        <w:t>especially</w:t>
      </w:r>
      <w:r>
        <w:rPr>
          <w:spacing w:val="-7"/>
        </w:rPr>
        <w:t xml:space="preserve"> </w:t>
      </w:r>
      <w:r>
        <w:t>Indigenous</w:t>
      </w:r>
      <w:r>
        <w:rPr>
          <w:spacing w:val="-7"/>
        </w:rPr>
        <w:t xml:space="preserve"> </w:t>
      </w:r>
      <w:r>
        <w:t>Papuans</w:t>
      </w:r>
      <w:r>
        <w:rPr>
          <w:spacing w:val="-9"/>
        </w:rPr>
        <w:t xml:space="preserve"> </w:t>
      </w:r>
      <w:r>
        <w:t>(OAP),</w:t>
      </w:r>
      <w:r>
        <w:rPr>
          <w:spacing w:val="-6"/>
        </w:rPr>
        <w:t xml:space="preserve"> </w:t>
      </w:r>
      <w:r>
        <w:t>in</w:t>
      </w:r>
      <w:r>
        <w:rPr>
          <w:spacing w:val="-5"/>
        </w:rPr>
        <w:t xml:space="preserve"> </w:t>
      </w:r>
      <w:r>
        <w:t>the</w:t>
      </w:r>
      <w:r>
        <w:rPr>
          <w:spacing w:val="-9"/>
        </w:rPr>
        <w:t xml:space="preserve"> </w:t>
      </w:r>
      <w:r>
        <w:t>development</w:t>
      </w:r>
      <w:r>
        <w:rPr>
          <w:spacing w:val="-8"/>
        </w:rPr>
        <w:t xml:space="preserve"> </w:t>
      </w:r>
      <w:r>
        <w:t>of</w:t>
      </w:r>
      <w:r>
        <w:rPr>
          <w:spacing w:val="-6"/>
        </w:rPr>
        <w:t xml:space="preserve"> </w:t>
      </w:r>
      <w:r>
        <w:t>education,</w:t>
      </w:r>
      <w:r>
        <w:rPr>
          <w:spacing w:val="-6"/>
        </w:rPr>
        <w:t xml:space="preserve"> </w:t>
      </w:r>
      <w:r>
        <w:t>health,</w:t>
      </w:r>
      <w:r>
        <w:rPr>
          <w:spacing w:val="-4"/>
        </w:rPr>
        <w:t xml:space="preserve"> </w:t>
      </w:r>
      <w:r>
        <w:t>and</w:t>
      </w:r>
      <w:r>
        <w:rPr>
          <w:spacing w:val="-7"/>
        </w:rPr>
        <w:t xml:space="preserve"> </w:t>
      </w:r>
      <w:r>
        <w:t xml:space="preserve">the </w:t>
      </w:r>
      <w:r>
        <w:rPr>
          <w:spacing w:val="-2"/>
        </w:rPr>
        <w:t>economy.</w:t>
      </w:r>
    </w:p>
    <w:p w14:paraId="24F89519" w14:textId="77777777" w:rsidR="00BC24A8" w:rsidRDefault="00BC24A8">
      <w:pPr>
        <w:pStyle w:val="BodyText"/>
        <w:spacing w:before="61"/>
      </w:pPr>
    </w:p>
    <w:p w14:paraId="6F7C98BA" w14:textId="77777777" w:rsidR="00BC24A8" w:rsidRDefault="00000000">
      <w:pPr>
        <w:pStyle w:val="Heading5"/>
      </w:pPr>
      <w:r>
        <w:t>SKALA</w:t>
      </w:r>
      <w:r>
        <w:rPr>
          <w:spacing w:val="-6"/>
        </w:rPr>
        <w:t xml:space="preserve"> </w:t>
      </w:r>
      <w:r>
        <w:t>supports</w:t>
      </w:r>
      <w:r>
        <w:rPr>
          <w:spacing w:val="-5"/>
        </w:rPr>
        <w:t xml:space="preserve"> </w:t>
      </w:r>
      <w:r>
        <w:t>the</w:t>
      </w:r>
      <w:r>
        <w:rPr>
          <w:spacing w:val="-7"/>
        </w:rPr>
        <w:t xml:space="preserve"> </w:t>
      </w:r>
      <w:r>
        <w:t>data</w:t>
      </w:r>
      <w:r>
        <w:rPr>
          <w:spacing w:val="-7"/>
        </w:rPr>
        <w:t xml:space="preserve"> </w:t>
      </w:r>
      <w:r>
        <w:t>provision</w:t>
      </w:r>
      <w:r>
        <w:rPr>
          <w:spacing w:val="-7"/>
        </w:rPr>
        <w:t xml:space="preserve"> </w:t>
      </w:r>
      <w:r>
        <w:rPr>
          <w:spacing w:val="-2"/>
        </w:rPr>
        <w:t>process</w:t>
      </w:r>
    </w:p>
    <w:p w14:paraId="19FBFDB3" w14:textId="77777777" w:rsidR="00BC24A8" w:rsidRDefault="00000000">
      <w:pPr>
        <w:pStyle w:val="ListParagraph"/>
        <w:numPr>
          <w:ilvl w:val="1"/>
          <w:numId w:val="24"/>
        </w:numPr>
        <w:tabs>
          <w:tab w:val="left" w:pos="861"/>
          <w:tab w:val="left" w:pos="863"/>
        </w:tabs>
        <w:spacing w:before="159"/>
        <w:ind w:right="565"/>
      </w:pPr>
      <w:r>
        <w:t>The</w:t>
      </w:r>
      <w:r>
        <w:rPr>
          <w:spacing w:val="-3"/>
        </w:rPr>
        <w:t xml:space="preserve"> </w:t>
      </w:r>
      <w:r>
        <w:t>One</w:t>
      </w:r>
      <w:r>
        <w:rPr>
          <w:spacing w:val="-3"/>
        </w:rPr>
        <w:t xml:space="preserve"> </w:t>
      </w:r>
      <w:r>
        <w:t>Data</w:t>
      </w:r>
      <w:r>
        <w:rPr>
          <w:spacing w:val="-5"/>
        </w:rPr>
        <w:t xml:space="preserve"> </w:t>
      </w:r>
      <w:r>
        <w:t>Forum,</w:t>
      </w:r>
      <w:r>
        <w:rPr>
          <w:spacing w:val="-5"/>
        </w:rPr>
        <w:t xml:space="preserve"> </w:t>
      </w:r>
      <w:r>
        <w:t>facilitated</w:t>
      </w:r>
      <w:r>
        <w:rPr>
          <w:spacing w:val="-4"/>
        </w:rPr>
        <w:t xml:space="preserve"> </w:t>
      </w:r>
      <w:r>
        <w:t>by</w:t>
      </w:r>
      <w:r>
        <w:rPr>
          <w:spacing w:val="-3"/>
        </w:rPr>
        <w:t xml:space="preserve"> </w:t>
      </w:r>
      <w:r>
        <w:t>SKALA,</w:t>
      </w:r>
      <w:r>
        <w:rPr>
          <w:spacing w:val="-3"/>
        </w:rPr>
        <w:t xml:space="preserve"> </w:t>
      </w:r>
      <w:r>
        <w:t>identified</w:t>
      </w:r>
      <w:r>
        <w:rPr>
          <w:spacing w:val="-4"/>
        </w:rPr>
        <w:t xml:space="preserve"> </w:t>
      </w:r>
      <w:r>
        <w:t>3,518</w:t>
      </w:r>
      <w:r>
        <w:rPr>
          <w:spacing w:val="-3"/>
        </w:rPr>
        <w:t xml:space="preserve"> </w:t>
      </w:r>
      <w:r>
        <w:t>Regional</w:t>
      </w:r>
      <w:r>
        <w:rPr>
          <w:spacing w:val="-5"/>
        </w:rPr>
        <w:t xml:space="preserve"> </w:t>
      </w:r>
      <w:r>
        <w:t>Data</w:t>
      </w:r>
      <w:r>
        <w:rPr>
          <w:spacing w:val="-5"/>
        </w:rPr>
        <w:t xml:space="preserve"> </w:t>
      </w:r>
      <w:r>
        <w:t>Lists</w:t>
      </w:r>
      <w:r>
        <w:rPr>
          <w:spacing w:val="-3"/>
        </w:rPr>
        <w:t xml:space="preserve"> </w:t>
      </w:r>
      <w:r>
        <w:t>from</w:t>
      </w:r>
      <w:r>
        <w:rPr>
          <w:spacing w:val="-4"/>
        </w:rPr>
        <w:t xml:space="preserve"> </w:t>
      </w:r>
      <w:r>
        <w:t>49</w:t>
      </w:r>
      <w:r>
        <w:rPr>
          <w:spacing w:val="-3"/>
        </w:rPr>
        <w:t xml:space="preserve"> </w:t>
      </w:r>
      <w:r>
        <w:t>OPDs</w:t>
      </w:r>
      <w:r>
        <w:rPr>
          <w:spacing w:val="-3"/>
        </w:rPr>
        <w:t xml:space="preserve"> </w:t>
      </w:r>
      <w:r>
        <w:t>in accordance with the Governor’s Decree to be used in provincial agencies planning.</w:t>
      </w:r>
    </w:p>
    <w:p w14:paraId="734085AE" w14:textId="77777777" w:rsidR="00BC24A8" w:rsidRDefault="00BC24A8">
      <w:pPr>
        <w:pStyle w:val="BodyText"/>
        <w:spacing w:before="104"/>
      </w:pPr>
    </w:p>
    <w:p w14:paraId="0D555342" w14:textId="77777777" w:rsidR="00BC24A8" w:rsidRDefault="00000000">
      <w:pPr>
        <w:pStyle w:val="Heading5"/>
      </w:pPr>
      <w:r>
        <w:t>SKALA</w:t>
      </w:r>
      <w:r>
        <w:rPr>
          <w:spacing w:val="-6"/>
        </w:rPr>
        <w:t xml:space="preserve"> </w:t>
      </w:r>
      <w:r>
        <w:t>supports</w:t>
      </w:r>
      <w:r>
        <w:rPr>
          <w:spacing w:val="-5"/>
        </w:rPr>
        <w:t xml:space="preserve"> </w:t>
      </w:r>
      <w:r>
        <w:t>the</w:t>
      </w:r>
      <w:r>
        <w:rPr>
          <w:spacing w:val="-7"/>
        </w:rPr>
        <w:t xml:space="preserve"> </w:t>
      </w:r>
      <w:r>
        <w:t>expansion</w:t>
      </w:r>
      <w:r>
        <w:rPr>
          <w:spacing w:val="-7"/>
        </w:rPr>
        <w:t xml:space="preserve"> </w:t>
      </w:r>
      <w:r>
        <w:t>and</w:t>
      </w:r>
      <w:r>
        <w:rPr>
          <w:spacing w:val="-7"/>
        </w:rPr>
        <w:t xml:space="preserve"> </w:t>
      </w:r>
      <w:r>
        <w:t>utilisation</w:t>
      </w:r>
      <w:r>
        <w:rPr>
          <w:spacing w:val="-7"/>
        </w:rPr>
        <w:t xml:space="preserve"> </w:t>
      </w:r>
      <w:r>
        <w:t>of</w:t>
      </w:r>
      <w:r>
        <w:rPr>
          <w:spacing w:val="-6"/>
        </w:rPr>
        <w:t xml:space="preserve"> </w:t>
      </w:r>
      <w:r>
        <w:rPr>
          <w:spacing w:val="-4"/>
        </w:rPr>
        <w:t>SAIK+</w:t>
      </w:r>
    </w:p>
    <w:p w14:paraId="1D67C5F3" w14:textId="77777777" w:rsidR="00BC24A8" w:rsidRDefault="00000000">
      <w:pPr>
        <w:pStyle w:val="ListParagraph"/>
        <w:numPr>
          <w:ilvl w:val="1"/>
          <w:numId w:val="24"/>
        </w:numPr>
        <w:tabs>
          <w:tab w:val="left" w:pos="861"/>
          <w:tab w:val="left" w:pos="863"/>
        </w:tabs>
        <w:spacing w:before="159"/>
        <w:ind w:right="565"/>
      </w:pPr>
      <w:r>
        <w:t>A</w:t>
      </w:r>
      <w:r>
        <w:rPr>
          <w:spacing w:val="-13"/>
        </w:rPr>
        <w:t xml:space="preserve"> </w:t>
      </w:r>
      <w:r>
        <w:t>draft</w:t>
      </w:r>
      <w:r>
        <w:rPr>
          <w:spacing w:val="-12"/>
        </w:rPr>
        <w:t xml:space="preserve"> </w:t>
      </w:r>
      <w:r>
        <w:t>Governor</w:t>
      </w:r>
      <w:r>
        <w:rPr>
          <w:spacing w:val="-13"/>
        </w:rPr>
        <w:t xml:space="preserve"> </w:t>
      </w:r>
      <w:r>
        <w:t>Regulation</w:t>
      </w:r>
      <w:r>
        <w:rPr>
          <w:spacing w:val="-12"/>
        </w:rPr>
        <w:t xml:space="preserve"> </w:t>
      </w:r>
      <w:r>
        <w:t>on</w:t>
      </w:r>
      <w:r>
        <w:rPr>
          <w:spacing w:val="-13"/>
        </w:rPr>
        <w:t xml:space="preserve"> </w:t>
      </w:r>
      <w:r>
        <w:t>the</w:t>
      </w:r>
      <w:r>
        <w:rPr>
          <w:spacing w:val="-12"/>
        </w:rPr>
        <w:t xml:space="preserve"> </w:t>
      </w:r>
      <w:r>
        <w:t>SOP</w:t>
      </w:r>
      <w:r>
        <w:rPr>
          <w:spacing w:val="-13"/>
        </w:rPr>
        <w:t xml:space="preserve"> </w:t>
      </w:r>
      <w:r>
        <w:t>for</w:t>
      </w:r>
      <w:r>
        <w:rPr>
          <w:spacing w:val="-12"/>
        </w:rPr>
        <w:t xml:space="preserve"> </w:t>
      </w:r>
      <w:r>
        <w:t>SAIK+</w:t>
      </w:r>
      <w:r>
        <w:rPr>
          <w:spacing w:val="-12"/>
        </w:rPr>
        <w:t xml:space="preserve"> </w:t>
      </w:r>
      <w:r>
        <w:t>implementation</w:t>
      </w:r>
      <w:r>
        <w:rPr>
          <w:spacing w:val="-13"/>
        </w:rPr>
        <w:t xml:space="preserve"> </w:t>
      </w:r>
      <w:r>
        <w:t>has</w:t>
      </w:r>
      <w:r>
        <w:rPr>
          <w:spacing w:val="-12"/>
        </w:rPr>
        <w:t xml:space="preserve"> </w:t>
      </w:r>
      <w:r>
        <w:t>been</w:t>
      </w:r>
      <w:r>
        <w:rPr>
          <w:spacing w:val="-13"/>
        </w:rPr>
        <w:t xml:space="preserve"> </w:t>
      </w:r>
      <w:r>
        <w:t>prepared</w:t>
      </w:r>
      <w:r>
        <w:rPr>
          <w:spacing w:val="-12"/>
        </w:rPr>
        <w:t xml:space="preserve"> </w:t>
      </w:r>
      <w:r>
        <w:t>to</w:t>
      </w:r>
      <w:r>
        <w:rPr>
          <w:spacing w:val="-13"/>
        </w:rPr>
        <w:t xml:space="preserve"> </w:t>
      </w:r>
      <w:r>
        <w:t>provide guidance and mechanisms for the implementation and sustainability of SAIK+.</w:t>
      </w:r>
    </w:p>
    <w:p w14:paraId="3121ACE2" w14:textId="77777777" w:rsidR="00BC24A8" w:rsidRDefault="00000000">
      <w:pPr>
        <w:pStyle w:val="ListParagraph"/>
        <w:numPr>
          <w:ilvl w:val="1"/>
          <w:numId w:val="24"/>
        </w:numPr>
        <w:tabs>
          <w:tab w:val="left" w:pos="861"/>
          <w:tab w:val="left" w:pos="863"/>
        </w:tabs>
        <w:spacing w:before="1"/>
        <w:ind w:right="567"/>
      </w:pPr>
      <w:r>
        <w:t>As of June 2025, SAIK+ coverage reached 42.1% of the population in Papua Barat, with the highest in Fakfak (65%) and the lowest in Arfak Mountains (less than 1%).</w:t>
      </w:r>
    </w:p>
    <w:p w14:paraId="73F21704" w14:textId="77777777" w:rsidR="00BC24A8" w:rsidRDefault="00BC24A8">
      <w:pPr>
        <w:pStyle w:val="BodyText"/>
        <w:spacing w:before="221"/>
      </w:pPr>
    </w:p>
    <w:p w14:paraId="2969E825" w14:textId="77777777" w:rsidR="00BC24A8" w:rsidRDefault="00000000">
      <w:pPr>
        <w:pStyle w:val="Heading5"/>
        <w:spacing w:line="384" w:lineRule="auto"/>
        <w:ind w:right="1346"/>
      </w:pPr>
      <w:r>
        <w:rPr>
          <w:color w:val="17365A"/>
        </w:rPr>
        <w:t>Better</w:t>
      </w:r>
      <w:r>
        <w:rPr>
          <w:color w:val="17365A"/>
          <w:spacing w:val="-6"/>
        </w:rPr>
        <w:t xml:space="preserve"> </w:t>
      </w:r>
      <w:r>
        <w:rPr>
          <w:color w:val="17365A"/>
        </w:rPr>
        <w:t>public</w:t>
      </w:r>
      <w:r>
        <w:rPr>
          <w:color w:val="17365A"/>
          <w:spacing w:val="-5"/>
        </w:rPr>
        <w:t xml:space="preserve"> </w:t>
      </w:r>
      <w:r>
        <w:rPr>
          <w:color w:val="17365A"/>
        </w:rPr>
        <w:t>financial</w:t>
      </w:r>
      <w:r>
        <w:rPr>
          <w:color w:val="17365A"/>
          <w:spacing w:val="-3"/>
        </w:rPr>
        <w:t xml:space="preserve"> </w:t>
      </w:r>
      <w:r>
        <w:rPr>
          <w:color w:val="17365A"/>
        </w:rPr>
        <w:t>management</w:t>
      </w:r>
      <w:r>
        <w:rPr>
          <w:color w:val="17365A"/>
          <w:spacing w:val="-6"/>
        </w:rPr>
        <w:t xml:space="preserve"> </w:t>
      </w:r>
      <w:r>
        <w:rPr>
          <w:color w:val="17365A"/>
        </w:rPr>
        <w:t>to</w:t>
      </w:r>
      <w:r>
        <w:rPr>
          <w:color w:val="17365A"/>
          <w:spacing w:val="-5"/>
        </w:rPr>
        <w:t xml:space="preserve"> </w:t>
      </w:r>
      <w:r>
        <w:rPr>
          <w:color w:val="17365A"/>
        </w:rPr>
        <w:t>support</w:t>
      </w:r>
      <w:r>
        <w:rPr>
          <w:color w:val="17365A"/>
          <w:spacing w:val="-6"/>
        </w:rPr>
        <w:t xml:space="preserve"> </w:t>
      </w:r>
      <w:r>
        <w:rPr>
          <w:color w:val="17365A"/>
        </w:rPr>
        <w:t>improved</w:t>
      </w:r>
      <w:r>
        <w:rPr>
          <w:color w:val="17365A"/>
          <w:spacing w:val="-5"/>
        </w:rPr>
        <w:t xml:space="preserve"> </w:t>
      </w:r>
      <w:r>
        <w:rPr>
          <w:color w:val="17365A"/>
        </w:rPr>
        <w:t>service</w:t>
      </w:r>
      <w:r>
        <w:rPr>
          <w:color w:val="17365A"/>
          <w:spacing w:val="-5"/>
        </w:rPr>
        <w:t xml:space="preserve"> </w:t>
      </w:r>
      <w:r>
        <w:rPr>
          <w:color w:val="17365A"/>
        </w:rPr>
        <w:t>delivery</w:t>
      </w:r>
      <w:r>
        <w:rPr>
          <w:color w:val="17365A"/>
          <w:spacing w:val="-3"/>
        </w:rPr>
        <w:t xml:space="preserve"> </w:t>
      </w:r>
      <w:r>
        <w:rPr>
          <w:color w:val="17365A"/>
        </w:rPr>
        <w:t>(IO</w:t>
      </w:r>
      <w:r>
        <w:rPr>
          <w:color w:val="17365A"/>
          <w:spacing w:val="-7"/>
        </w:rPr>
        <w:t xml:space="preserve"> </w:t>
      </w:r>
      <w:r>
        <w:rPr>
          <w:color w:val="17365A"/>
        </w:rPr>
        <w:t>4</w:t>
      </w:r>
      <w:r>
        <w:rPr>
          <w:color w:val="17365A"/>
          <w:spacing w:val="-3"/>
        </w:rPr>
        <w:t xml:space="preserve"> </w:t>
      </w:r>
      <w:r>
        <w:rPr>
          <w:color w:val="17365A"/>
        </w:rPr>
        <w:t>and</w:t>
      </w:r>
      <w:r>
        <w:rPr>
          <w:color w:val="17365A"/>
          <w:spacing w:val="-5"/>
        </w:rPr>
        <w:t xml:space="preserve"> </w:t>
      </w:r>
      <w:r>
        <w:rPr>
          <w:color w:val="17365A"/>
        </w:rPr>
        <w:t xml:space="preserve">6) </w:t>
      </w:r>
      <w:r>
        <w:t>SKALA supports the implementation of MSS through capacity strengthening</w:t>
      </w:r>
    </w:p>
    <w:p w14:paraId="5EFB984D" w14:textId="77777777" w:rsidR="00BC24A8" w:rsidRDefault="00000000">
      <w:pPr>
        <w:pStyle w:val="ListParagraph"/>
        <w:numPr>
          <w:ilvl w:val="1"/>
          <w:numId w:val="24"/>
        </w:numPr>
        <w:tabs>
          <w:tab w:val="left" w:pos="861"/>
          <w:tab w:val="left" w:pos="863"/>
        </w:tabs>
        <w:ind w:right="564"/>
      </w:pPr>
      <w:r>
        <w:t xml:space="preserve">17 people (14 men, 3 women) have been trained in preparing MSS Action Plan. For the first time, the draft provincial MSS Action Plan is being developed by the Papua Barat local </w:t>
      </w:r>
      <w:r>
        <w:rPr>
          <w:spacing w:val="-2"/>
        </w:rPr>
        <w:t>government.</w:t>
      </w:r>
    </w:p>
    <w:p w14:paraId="750E9909" w14:textId="77777777" w:rsidR="00BC24A8" w:rsidRDefault="00000000">
      <w:pPr>
        <w:pStyle w:val="ListParagraph"/>
        <w:numPr>
          <w:ilvl w:val="1"/>
          <w:numId w:val="24"/>
        </w:numPr>
        <w:tabs>
          <w:tab w:val="left" w:pos="861"/>
          <w:tab w:val="left" w:pos="863"/>
        </w:tabs>
        <w:ind w:right="563"/>
      </w:pPr>
      <w:r>
        <w:t>The MSS index achievement has increased from 18.2% to 61.4% between 2023 and 2024, as a result of various MSS implementation trainings facilitated by SKALA.</w:t>
      </w:r>
    </w:p>
    <w:p w14:paraId="4C11F105" w14:textId="77777777" w:rsidR="00BC24A8" w:rsidRDefault="00BC24A8">
      <w:pPr>
        <w:pStyle w:val="BodyText"/>
        <w:spacing w:before="122"/>
      </w:pPr>
    </w:p>
    <w:p w14:paraId="6758254E" w14:textId="77777777" w:rsidR="00BC24A8" w:rsidRDefault="00000000">
      <w:pPr>
        <w:pStyle w:val="Heading5"/>
      </w:pPr>
      <w:r>
        <w:t>SKALA</w:t>
      </w:r>
      <w:r>
        <w:rPr>
          <w:spacing w:val="-4"/>
        </w:rPr>
        <w:t xml:space="preserve"> </w:t>
      </w:r>
      <w:r>
        <w:t>supports</w:t>
      </w:r>
      <w:r>
        <w:rPr>
          <w:spacing w:val="-3"/>
        </w:rPr>
        <w:t xml:space="preserve"> </w:t>
      </w:r>
      <w:r>
        <w:t>the</w:t>
      </w:r>
      <w:r>
        <w:rPr>
          <w:spacing w:val="-6"/>
        </w:rPr>
        <w:t xml:space="preserve"> </w:t>
      </w:r>
      <w:r>
        <w:t>quality</w:t>
      </w:r>
      <w:r>
        <w:rPr>
          <w:spacing w:val="-3"/>
        </w:rPr>
        <w:t xml:space="preserve"> </w:t>
      </w:r>
      <w:r>
        <w:t>of</w:t>
      </w:r>
      <w:r>
        <w:rPr>
          <w:spacing w:val="-4"/>
        </w:rPr>
        <w:t xml:space="preserve"> </w:t>
      </w:r>
      <w:r>
        <w:t>planning</w:t>
      </w:r>
      <w:r>
        <w:rPr>
          <w:spacing w:val="-5"/>
        </w:rPr>
        <w:t xml:space="preserve"> </w:t>
      </w:r>
      <w:r>
        <w:rPr>
          <w:spacing w:val="-2"/>
        </w:rPr>
        <w:t>documents</w:t>
      </w:r>
    </w:p>
    <w:p w14:paraId="3B9C0F08" w14:textId="77777777" w:rsidR="00BC24A8" w:rsidRDefault="00000000">
      <w:pPr>
        <w:pStyle w:val="BodyText"/>
        <w:spacing w:before="159" w:line="278" w:lineRule="auto"/>
        <w:ind w:left="143" w:right="465" w:hanging="1"/>
      </w:pPr>
      <w:r>
        <w:t>SKALA</w:t>
      </w:r>
      <w:r>
        <w:rPr>
          <w:spacing w:val="-4"/>
        </w:rPr>
        <w:t xml:space="preserve"> </w:t>
      </w:r>
      <w:r>
        <w:t>supports</w:t>
      </w:r>
      <w:r>
        <w:rPr>
          <w:spacing w:val="-3"/>
        </w:rPr>
        <w:t xml:space="preserve"> </w:t>
      </w:r>
      <w:r>
        <w:t>the</w:t>
      </w:r>
      <w:r>
        <w:rPr>
          <w:spacing w:val="-3"/>
        </w:rPr>
        <w:t xml:space="preserve"> </w:t>
      </w:r>
      <w:r>
        <w:t>alignment</w:t>
      </w:r>
      <w:r>
        <w:rPr>
          <w:spacing w:val="-2"/>
        </w:rPr>
        <w:t xml:space="preserve"> </w:t>
      </w:r>
      <w:r>
        <w:t>of</w:t>
      </w:r>
      <w:r>
        <w:rPr>
          <w:spacing w:val="-3"/>
        </w:rPr>
        <w:t xml:space="preserve"> </w:t>
      </w:r>
      <w:r>
        <w:t>RPJMD</w:t>
      </w:r>
      <w:r>
        <w:rPr>
          <w:spacing w:val="-1"/>
        </w:rPr>
        <w:t xml:space="preserve"> </w:t>
      </w:r>
      <w:r>
        <w:t>with</w:t>
      </w:r>
      <w:r>
        <w:rPr>
          <w:spacing w:val="-3"/>
        </w:rPr>
        <w:t xml:space="preserve"> </w:t>
      </w:r>
      <w:r>
        <w:t>RIPPP</w:t>
      </w:r>
      <w:hyperlink w:anchor="_bookmark163" w:history="1">
        <w:r w:rsidR="00BC24A8">
          <w:rPr>
            <w:vertAlign w:val="superscript"/>
          </w:rPr>
          <w:t>86</w:t>
        </w:r>
      </w:hyperlink>
      <w:r>
        <w:rPr>
          <w:spacing w:val="-2"/>
        </w:rPr>
        <w:t xml:space="preserve"> </w:t>
      </w:r>
      <w:r>
        <w:t>as</w:t>
      </w:r>
      <w:r>
        <w:rPr>
          <w:spacing w:val="-3"/>
        </w:rPr>
        <w:t xml:space="preserve"> </w:t>
      </w:r>
      <w:r>
        <w:t>well</w:t>
      </w:r>
      <w:r>
        <w:rPr>
          <w:spacing w:val="-2"/>
        </w:rPr>
        <w:t xml:space="preserve"> </w:t>
      </w:r>
      <w:r>
        <w:t>as</w:t>
      </w:r>
      <w:r>
        <w:rPr>
          <w:spacing w:val="-3"/>
        </w:rPr>
        <w:t xml:space="preserve"> </w:t>
      </w:r>
      <w:r>
        <w:t>the</w:t>
      </w:r>
      <w:r>
        <w:rPr>
          <w:spacing w:val="-3"/>
        </w:rPr>
        <w:t xml:space="preserve"> </w:t>
      </w:r>
      <w:r>
        <w:t>integration</w:t>
      </w:r>
      <w:r>
        <w:rPr>
          <w:spacing w:val="-3"/>
        </w:rPr>
        <w:t xml:space="preserve"> </w:t>
      </w:r>
      <w:r>
        <w:t>of</w:t>
      </w:r>
      <w:r>
        <w:rPr>
          <w:spacing w:val="-5"/>
        </w:rPr>
        <w:t xml:space="preserve"> </w:t>
      </w:r>
      <w:r>
        <w:t>MSS</w:t>
      </w:r>
      <w:r>
        <w:rPr>
          <w:spacing w:val="-1"/>
        </w:rPr>
        <w:t xml:space="preserve"> </w:t>
      </w:r>
      <w:r>
        <w:t>and</w:t>
      </w:r>
      <w:r>
        <w:rPr>
          <w:spacing w:val="-3"/>
        </w:rPr>
        <w:t xml:space="preserve"> </w:t>
      </w:r>
      <w:r>
        <w:t>GEDSI,</w:t>
      </w:r>
      <w:r>
        <w:rPr>
          <w:spacing w:val="-3"/>
        </w:rPr>
        <w:t xml:space="preserve"> </w:t>
      </w:r>
      <w:r>
        <w:t>with the following progress:</w:t>
      </w:r>
    </w:p>
    <w:p w14:paraId="6CF97CBF" w14:textId="77777777" w:rsidR="00BC24A8" w:rsidRDefault="00BC24A8">
      <w:pPr>
        <w:pStyle w:val="BodyText"/>
        <w:rPr>
          <w:sz w:val="20"/>
        </w:rPr>
      </w:pPr>
    </w:p>
    <w:p w14:paraId="3A33993B" w14:textId="77777777" w:rsidR="00BC24A8" w:rsidRDefault="00000000">
      <w:pPr>
        <w:pStyle w:val="BodyText"/>
        <w:spacing w:before="200"/>
        <w:rPr>
          <w:sz w:val="20"/>
        </w:rPr>
      </w:pPr>
      <w:r>
        <w:rPr>
          <w:noProof/>
          <w:sz w:val="20"/>
        </w:rPr>
        <mc:AlternateContent>
          <mc:Choice Requires="wps">
            <w:drawing>
              <wp:anchor distT="0" distB="0" distL="0" distR="0" simplePos="0" relativeHeight="487631360" behindDoc="1" locked="0" layoutInCell="1" allowOverlap="1" wp14:anchorId="01BF0745" wp14:editId="2B59CE56">
                <wp:simplePos x="0" y="0"/>
                <wp:positionH relativeFrom="page">
                  <wp:posOffset>900683</wp:posOffset>
                </wp:positionH>
                <wp:positionV relativeFrom="paragraph">
                  <wp:posOffset>297305</wp:posOffset>
                </wp:positionV>
                <wp:extent cx="1828800" cy="9525"/>
                <wp:effectExtent l="0" t="0" r="0" b="0"/>
                <wp:wrapTopAndBottom/>
                <wp:docPr id="276" name="Graphic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3BF0CF" id="Graphic 276" o:spid="_x0000_s1026" alt="&quot;&quot;" style="position:absolute;margin-left:70.9pt;margin-top:23.4pt;width:2in;height:.75pt;z-index:-156851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" path="m1828800,l,,,9144r1828800,l1828800,xe" fillcolor="black" stroked="f">
                <v:path arrowok="t"/>
                <w10:wrap type="topAndBottom" anchorx="page"/>
              </v:shape>
            </w:pict>
          </mc:Fallback>
        </mc:AlternateContent>
      </w:r>
    </w:p>
    <w:p w14:paraId="688A515C" w14:textId="77777777" w:rsidR="00BC24A8" w:rsidRDefault="00BC24A8">
      <w:pPr>
        <w:pStyle w:val="BodyText"/>
        <w:spacing w:before="105"/>
        <w:rPr>
          <w:sz w:val="16"/>
        </w:rPr>
      </w:pPr>
    </w:p>
    <w:p w14:paraId="1D6029F7" w14:textId="77777777" w:rsidR="00BC24A8" w:rsidRDefault="00000000">
      <w:pPr>
        <w:spacing w:before="1" w:line="195" w:lineRule="exact"/>
        <w:ind w:left="143"/>
        <w:rPr>
          <w:sz w:val="16"/>
        </w:rPr>
      </w:pPr>
      <w:bookmarkStart w:id="231" w:name="_bookmark162"/>
      <w:bookmarkEnd w:id="231"/>
      <w:r>
        <w:rPr>
          <w:color w:val="767070"/>
          <w:sz w:val="16"/>
          <w:vertAlign w:val="superscript"/>
        </w:rPr>
        <w:t>85</w:t>
      </w:r>
      <w:r>
        <w:rPr>
          <w:color w:val="767070"/>
          <w:spacing w:val="-9"/>
          <w:sz w:val="16"/>
        </w:rPr>
        <w:t xml:space="preserve"> </w:t>
      </w:r>
      <w:r>
        <w:rPr>
          <w:color w:val="767070"/>
          <w:sz w:val="16"/>
        </w:rPr>
        <w:t>Sistem</w:t>
      </w:r>
      <w:r>
        <w:rPr>
          <w:color w:val="767070"/>
          <w:spacing w:val="-7"/>
          <w:sz w:val="16"/>
        </w:rPr>
        <w:t xml:space="preserve"> </w:t>
      </w:r>
      <w:r>
        <w:rPr>
          <w:color w:val="767070"/>
          <w:sz w:val="16"/>
        </w:rPr>
        <w:t>Informasi</w:t>
      </w:r>
      <w:r>
        <w:rPr>
          <w:color w:val="767070"/>
          <w:spacing w:val="-7"/>
          <w:sz w:val="16"/>
        </w:rPr>
        <w:t xml:space="preserve"> </w:t>
      </w:r>
      <w:r>
        <w:rPr>
          <w:color w:val="767070"/>
          <w:sz w:val="16"/>
        </w:rPr>
        <w:t>Administrasi</w:t>
      </w:r>
      <w:r>
        <w:rPr>
          <w:color w:val="767070"/>
          <w:spacing w:val="-7"/>
          <w:sz w:val="16"/>
        </w:rPr>
        <w:t xml:space="preserve"> </w:t>
      </w:r>
      <w:r>
        <w:rPr>
          <w:color w:val="767070"/>
          <w:sz w:val="16"/>
        </w:rPr>
        <w:t>Kependudukan</w:t>
      </w:r>
      <w:r>
        <w:rPr>
          <w:color w:val="767070"/>
          <w:spacing w:val="-7"/>
          <w:sz w:val="16"/>
        </w:rPr>
        <w:t xml:space="preserve"> </w:t>
      </w:r>
      <w:r>
        <w:rPr>
          <w:color w:val="767070"/>
          <w:sz w:val="16"/>
        </w:rPr>
        <w:t>Plus</w:t>
      </w:r>
      <w:r>
        <w:rPr>
          <w:color w:val="767070"/>
          <w:spacing w:val="-7"/>
          <w:sz w:val="16"/>
        </w:rPr>
        <w:t xml:space="preserve"> </w:t>
      </w:r>
      <w:r>
        <w:rPr>
          <w:color w:val="767070"/>
          <w:sz w:val="16"/>
        </w:rPr>
        <w:t>(SAIK+)</w:t>
      </w:r>
      <w:r>
        <w:rPr>
          <w:color w:val="767070"/>
          <w:spacing w:val="-8"/>
          <w:sz w:val="16"/>
        </w:rPr>
        <w:t xml:space="preserve"> </w:t>
      </w:r>
      <w:r>
        <w:rPr>
          <w:color w:val="767070"/>
          <w:sz w:val="16"/>
        </w:rPr>
        <w:t>adalah</w:t>
      </w:r>
      <w:r>
        <w:rPr>
          <w:color w:val="767070"/>
          <w:spacing w:val="-7"/>
          <w:sz w:val="16"/>
        </w:rPr>
        <w:t xml:space="preserve"> </w:t>
      </w:r>
      <w:r>
        <w:rPr>
          <w:color w:val="767070"/>
          <w:sz w:val="16"/>
        </w:rPr>
        <w:t>sistem</w:t>
      </w:r>
      <w:r>
        <w:rPr>
          <w:color w:val="767070"/>
          <w:spacing w:val="-8"/>
          <w:sz w:val="16"/>
        </w:rPr>
        <w:t xml:space="preserve"> </w:t>
      </w:r>
      <w:r>
        <w:rPr>
          <w:color w:val="767070"/>
          <w:sz w:val="16"/>
        </w:rPr>
        <w:t>informasi</w:t>
      </w:r>
      <w:r>
        <w:rPr>
          <w:color w:val="767070"/>
          <w:spacing w:val="-6"/>
          <w:sz w:val="16"/>
        </w:rPr>
        <w:t xml:space="preserve"> </w:t>
      </w:r>
      <w:r>
        <w:rPr>
          <w:color w:val="767070"/>
          <w:sz w:val="16"/>
        </w:rPr>
        <w:t>di</w:t>
      </w:r>
      <w:r>
        <w:rPr>
          <w:color w:val="767070"/>
          <w:spacing w:val="-7"/>
          <w:sz w:val="16"/>
        </w:rPr>
        <w:t xml:space="preserve"> </w:t>
      </w:r>
      <w:r>
        <w:rPr>
          <w:color w:val="767070"/>
          <w:sz w:val="16"/>
        </w:rPr>
        <w:t>tingkat</w:t>
      </w:r>
      <w:r>
        <w:rPr>
          <w:color w:val="767070"/>
          <w:spacing w:val="-9"/>
          <w:sz w:val="16"/>
        </w:rPr>
        <w:t xml:space="preserve"> </w:t>
      </w:r>
      <w:r>
        <w:rPr>
          <w:color w:val="767070"/>
          <w:sz w:val="16"/>
        </w:rPr>
        <w:t>desa</w:t>
      </w:r>
      <w:r>
        <w:rPr>
          <w:color w:val="767070"/>
          <w:spacing w:val="-7"/>
          <w:sz w:val="16"/>
        </w:rPr>
        <w:t xml:space="preserve"> </w:t>
      </w:r>
      <w:r>
        <w:rPr>
          <w:color w:val="767070"/>
          <w:sz w:val="16"/>
        </w:rPr>
        <w:t>Papua</w:t>
      </w:r>
      <w:r>
        <w:rPr>
          <w:color w:val="767070"/>
          <w:spacing w:val="-7"/>
          <w:sz w:val="16"/>
        </w:rPr>
        <w:t xml:space="preserve"> </w:t>
      </w:r>
      <w:r>
        <w:rPr>
          <w:color w:val="767070"/>
          <w:spacing w:val="-2"/>
          <w:sz w:val="16"/>
        </w:rPr>
        <w:t>Barat</w:t>
      </w:r>
    </w:p>
    <w:p w14:paraId="0D369FA8" w14:textId="77777777" w:rsidR="00BC24A8" w:rsidRDefault="00000000">
      <w:pPr>
        <w:ind w:left="143" w:right="648"/>
        <w:rPr>
          <w:sz w:val="16"/>
        </w:rPr>
      </w:pPr>
      <w:bookmarkStart w:id="232" w:name="_bookmark163"/>
      <w:bookmarkEnd w:id="232"/>
      <w:r>
        <w:rPr>
          <w:color w:val="767070"/>
          <w:sz w:val="16"/>
          <w:vertAlign w:val="superscript"/>
        </w:rPr>
        <w:t>86</w:t>
      </w:r>
      <w:r>
        <w:rPr>
          <w:color w:val="767070"/>
          <w:spacing w:val="-4"/>
          <w:sz w:val="16"/>
        </w:rPr>
        <w:t xml:space="preserve"> </w:t>
      </w:r>
      <w:r>
        <w:rPr>
          <w:color w:val="767070"/>
          <w:sz w:val="16"/>
        </w:rPr>
        <w:t>RIPPP</w:t>
      </w:r>
      <w:r>
        <w:rPr>
          <w:color w:val="767070"/>
          <w:spacing w:val="-4"/>
          <w:sz w:val="16"/>
        </w:rPr>
        <w:t xml:space="preserve"> </w:t>
      </w:r>
      <w:r>
        <w:rPr>
          <w:color w:val="767070"/>
          <w:sz w:val="16"/>
        </w:rPr>
        <w:t>(Rencana</w:t>
      </w:r>
      <w:r>
        <w:rPr>
          <w:color w:val="767070"/>
          <w:spacing w:val="-3"/>
          <w:sz w:val="16"/>
        </w:rPr>
        <w:t xml:space="preserve"> </w:t>
      </w:r>
      <w:r>
        <w:rPr>
          <w:color w:val="767070"/>
          <w:sz w:val="16"/>
        </w:rPr>
        <w:t>Induk</w:t>
      </w:r>
      <w:r>
        <w:rPr>
          <w:color w:val="767070"/>
          <w:spacing w:val="-5"/>
          <w:sz w:val="16"/>
        </w:rPr>
        <w:t xml:space="preserve"> </w:t>
      </w:r>
      <w:r>
        <w:rPr>
          <w:color w:val="767070"/>
          <w:sz w:val="16"/>
        </w:rPr>
        <w:t>Percepatan</w:t>
      </w:r>
      <w:r>
        <w:rPr>
          <w:color w:val="767070"/>
          <w:spacing w:val="-6"/>
          <w:sz w:val="16"/>
        </w:rPr>
        <w:t xml:space="preserve"> </w:t>
      </w:r>
      <w:r>
        <w:rPr>
          <w:color w:val="767070"/>
          <w:sz w:val="16"/>
        </w:rPr>
        <w:t>Pembangunan</w:t>
      </w:r>
      <w:r>
        <w:rPr>
          <w:color w:val="767070"/>
          <w:spacing w:val="-6"/>
          <w:sz w:val="16"/>
        </w:rPr>
        <w:t xml:space="preserve"> </w:t>
      </w:r>
      <w:r>
        <w:rPr>
          <w:color w:val="767070"/>
          <w:sz w:val="16"/>
        </w:rPr>
        <w:t>Papua)</w:t>
      </w:r>
      <w:r>
        <w:rPr>
          <w:color w:val="767070"/>
          <w:spacing w:val="-4"/>
          <w:sz w:val="16"/>
        </w:rPr>
        <w:t xml:space="preserve"> </w:t>
      </w:r>
      <w:r>
        <w:rPr>
          <w:color w:val="767070"/>
          <w:sz w:val="16"/>
        </w:rPr>
        <w:t>adalah</w:t>
      </w:r>
      <w:r>
        <w:rPr>
          <w:color w:val="767070"/>
          <w:spacing w:val="-6"/>
          <w:sz w:val="16"/>
        </w:rPr>
        <w:t xml:space="preserve"> </w:t>
      </w:r>
      <w:r>
        <w:rPr>
          <w:color w:val="767070"/>
          <w:sz w:val="16"/>
        </w:rPr>
        <w:t>dokumen</w:t>
      </w:r>
      <w:r>
        <w:rPr>
          <w:color w:val="767070"/>
          <w:spacing w:val="-6"/>
          <w:sz w:val="16"/>
        </w:rPr>
        <w:t xml:space="preserve"> </w:t>
      </w:r>
      <w:r>
        <w:rPr>
          <w:color w:val="767070"/>
          <w:sz w:val="16"/>
        </w:rPr>
        <w:t>induk</w:t>
      </w:r>
      <w:r>
        <w:rPr>
          <w:color w:val="767070"/>
          <w:spacing w:val="-3"/>
          <w:sz w:val="16"/>
        </w:rPr>
        <w:t xml:space="preserve"> </w:t>
      </w:r>
      <w:r>
        <w:rPr>
          <w:color w:val="767070"/>
          <w:sz w:val="16"/>
        </w:rPr>
        <w:t>perencanaan</w:t>
      </w:r>
      <w:r>
        <w:rPr>
          <w:color w:val="767070"/>
          <w:spacing w:val="-6"/>
          <w:sz w:val="16"/>
        </w:rPr>
        <w:t xml:space="preserve"> </w:t>
      </w:r>
      <w:r>
        <w:rPr>
          <w:color w:val="767070"/>
          <w:sz w:val="16"/>
        </w:rPr>
        <w:t>pembangunan</w:t>
      </w:r>
      <w:r>
        <w:rPr>
          <w:color w:val="767070"/>
          <w:spacing w:val="-3"/>
          <w:sz w:val="16"/>
        </w:rPr>
        <w:t xml:space="preserve"> </w:t>
      </w:r>
      <w:r>
        <w:rPr>
          <w:color w:val="767070"/>
          <w:sz w:val="16"/>
        </w:rPr>
        <w:t>20</w:t>
      </w:r>
      <w:r>
        <w:rPr>
          <w:color w:val="767070"/>
          <w:spacing w:val="-4"/>
          <w:sz w:val="16"/>
        </w:rPr>
        <w:t xml:space="preserve"> </w:t>
      </w:r>
      <w:r>
        <w:rPr>
          <w:color w:val="767070"/>
          <w:sz w:val="16"/>
        </w:rPr>
        <w:t>tahun</w:t>
      </w:r>
      <w:r>
        <w:rPr>
          <w:color w:val="767070"/>
          <w:spacing w:val="-3"/>
          <w:sz w:val="16"/>
        </w:rPr>
        <w:t xml:space="preserve"> </w:t>
      </w:r>
      <w:r>
        <w:rPr>
          <w:color w:val="767070"/>
          <w:sz w:val="16"/>
        </w:rPr>
        <w:t>(2022-2041)</w:t>
      </w:r>
      <w:r>
        <w:rPr>
          <w:color w:val="767070"/>
          <w:spacing w:val="-4"/>
          <w:sz w:val="16"/>
        </w:rPr>
        <w:t xml:space="preserve"> </w:t>
      </w:r>
      <w:r>
        <w:rPr>
          <w:color w:val="767070"/>
          <w:sz w:val="16"/>
        </w:rPr>
        <w:t>dalam</w:t>
      </w:r>
      <w:r>
        <w:rPr>
          <w:color w:val="767070"/>
          <w:spacing w:val="40"/>
          <w:sz w:val="16"/>
        </w:rPr>
        <w:t xml:space="preserve"> </w:t>
      </w:r>
      <w:r>
        <w:rPr>
          <w:color w:val="767070"/>
          <w:sz w:val="16"/>
        </w:rPr>
        <w:t xml:space="preserve">rangka </w:t>
      </w:r>
      <w:hyperlink r:id="rId56">
        <w:r w:rsidR="00BC24A8">
          <w:rPr>
            <w:sz w:val="16"/>
            <w:u w:val="single"/>
          </w:rPr>
          <w:t>Otonomi Khusus Provinsi Papua</w:t>
        </w:r>
      </w:hyperlink>
      <w:r>
        <w:rPr>
          <w:sz w:val="16"/>
        </w:rPr>
        <w:t xml:space="preserve"> </w:t>
      </w:r>
      <w:r>
        <w:rPr>
          <w:color w:val="767070"/>
          <w:sz w:val="16"/>
        </w:rPr>
        <w:t>yang menjadi pedoman bagi Pemerintah dan Pemerintah Daerah.</w:t>
      </w:r>
    </w:p>
    <w:p w14:paraId="0397A8FB" w14:textId="77777777" w:rsidR="00BC24A8" w:rsidRDefault="00BC24A8">
      <w:pPr>
        <w:rPr>
          <w:sz w:val="16"/>
        </w:rPr>
        <w:sectPr w:rsidR="00BC24A8">
          <w:pgSz w:w="11910" w:h="16840"/>
          <w:pgMar w:top="1320" w:right="850" w:bottom="1100" w:left="1275" w:header="0" w:footer="907" w:gutter="0"/>
          <w:cols w:space="720"/>
        </w:sectPr>
      </w:pPr>
    </w:p>
    <w:p w14:paraId="6C3A5A75" w14:textId="77777777" w:rsidR="00BC24A8" w:rsidRDefault="00000000">
      <w:pPr>
        <w:pStyle w:val="ListParagraph"/>
        <w:numPr>
          <w:ilvl w:val="1"/>
          <w:numId w:val="24"/>
        </w:numPr>
        <w:tabs>
          <w:tab w:val="left" w:pos="861"/>
          <w:tab w:val="left" w:pos="863"/>
        </w:tabs>
        <w:spacing w:before="79"/>
        <w:ind w:right="565"/>
      </w:pPr>
      <w:r>
        <w:t>The Papua Barat RPJMD 2025–2029 includes MSS and GEDSI in data analysis, indicators, strategic issues, and basic service programs for vulnerable groups.</w:t>
      </w:r>
    </w:p>
    <w:p w14:paraId="15AD19F7" w14:textId="77777777" w:rsidR="00BC24A8" w:rsidRDefault="00000000">
      <w:pPr>
        <w:pStyle w:val="ListParagraph"/>
        <w:numPr>
          <w:ilvl w:val="1"/>
          <w:numId w:val="24"/>
        </w:numPr>
        <w:tabs>
          <w:tab w:val="left" w:pos="861"/>
          <w:tab w:val="left" w:pos="863"/>
        </w:tabs>
        <w:ind w:right="561"/>
      </w:pPr>
      <w:r>
        <w:t>The RIPPP is integrated with the RPJMD in the introduction, vision–mission, priority programs, and</w:t>
      </w:r>
      <w:r>
        <w:rPr>
          <w:spacing w:val="-9"/>
        </w:rPr>
        <w:t xml:space="preserve"> </w:t>
      </w:r>
      <w:r>
        <w:t>performance</w:t>
      </w:r>
      <w:r>
        <w:rPr>
          <w:spacing w:val="-8"/>
        </w:rPr>
        <w:t xml:space="preserve"> </w:t>
      </w:r>
      <w:r>
        <w:t>of</w:t>
      </w:r>
      <w:r>
        <w:rPr>
          <w:spacing w:val="-8"/>
        </w:rPr>
        <w:t xml:space="preserve"> </w:t>
      </w:r>
      <w:r>
        <w:t>provincial</w:t>
      </w:r>
      <w:r>
        <w:rPr>
          <w:spacing w:val="-7"/>
        </w:rPr>
        <w:t xml:space="preserve"> </w:t>
      </w:r>
      <w:r>
        <w:t>agencies,</w:t>
      </w:r>
      <w:r>
        <w:rPr>
          <w:spacing w:val="-6"/>
        </w:rPr>
        <w:t xml:space="preserve"> </w:t>
      </w:r>
      <w:r>
        <w:t>with</w:t>
      </w:r>
      <w:r>
        <w:rPr>
          <w:spacing w:val="-11"/>
        </w:rPr>
        <w:t xml:space="preserve"> </w:t>
      </w:r>
      <w:r>
        <w:t>SKALA</w:t>
      </w:r>
      <w:r>
        <w:rPr>
          <w:spacing w:val="-9"/>
        </w:rPr>
        <w:t xml:space="preserve"> </w:t>
      </w:r>
      <w:r>
        <w:t>facilitating</w:t>
      </w:r>
      <w:r>
        <w:rPr>
          <w:spacing w:val="-7"/>
        </w:rPr>
        <w:t xml:space="preserve"> </w:t>
      </w:r>
      <w:r>
        <w:t>the</w:t>
      </w:r>
      <w:r>
        <w:rPr>
          <w:spacing w:val="-8"/>
        </w:rPr>
        <w:t xml:space="preserve"> </w:t>
      </w:r>
      <w:r>
        <w:t>development</w:t>
      </w:r>
      <w:r>
        <w:rPr>
          <w:spacing w:val="-10"/>
        </w:rPr>
        <w:t xml:space="preserve"> </w:t>
      </w:r>
      <w:r>
        <w:t>of</w:t>
      </w:r>
      <w:r>
        <w:rPr>
          <w:spacing w:val="-10"/>
        </w:rPr>
        <w:t xml:space="preserve"> </w:t>
      </w:r>
      <w:r>
        <w:t>a</w:t>
      </w:r>
      <w:r>
        <w:rPr>
          <w:spacing w:val="-7"/>
        </w:rPr>
        <w:t xml:space="preserve"> </w:t>
      </w:r>
      <w:r>
        <w:t>matrix</w:t>
      </w:r>
      <w:r>
        <w:rPr>
          <w:spacing w:val="-8"/>
        </w:rPr>
        <w:t xml:space="preserve"> </w:t>
      </w:r>
      <w:r>
        <w:t>for aligning indicators and targets.</w:t>
      </w:r>
    </w:p>
    <w:p w14:paraId="2CC9DC18" w14:textId="77777777" w:rsidR="00BC24A8" w:rsidRDefault="00000000">
      <w:pPr>
        <w:pStyle w:val="ListParagraph"/>
        <w:numPr>
          <w:ilvl w:val="1"/>
          <w:numId w:val="24"/>
        </w:numPr>
        <w:tabs>
          <w:tab w:val="left" w:pos="861"/>
          <w:tab w:val="left" w:pos="863"/>
        </w:tabs>
        <w:ind w:right="563"/>
      </w:pPr>
      <w:r>
        <w:t>A</w:t>
      </w:r>
      <w:r>
        <w:rPr>
          <w:spacing w:val="-11"/>
        </w:rPr>
        <w:t xml:space="preserve"> </w:t>
      </w:r>
      <w:r>
        <w:t>draft</w:t>
      </w:r>
      <w:r>
        <w:rPr>
          <w:spacing w:val="-13"/>
        </w:rPr>
        <w:t xml:space="preserve"> </w:t>
      </w:r>
      <w:r>
        <w:t>planning</w:t>
      </w:r>
      <w:r>
        <w:rPr>
          <w:spacing w:val="-12"/>
        </w:rPr>
        <w:t xml:space="preserve"> </w:t>
      </w:r>
      <w:r>
        <w:t>SOP</w:t>
      </w:r>
      <w:r>
        <w:rPr>
          <w:spacing w:val="-10"/>
        </w:rPr>
        <w:t xml:space="preserve"> </w:t>
      </w:r>
      <w:r>
        <w:t>is</w:t>
      </w:r>
      <w:r>
        <w:rPr>
          <w:spacing w:val="-12"/>
        </w:rPr>
        <w:t xml:space="preserve"> </w:t>
      </w:r>
      <w:r>
        <w:t>being</w:t>
      </w:r>
      <w:r>
        <w:rPr>
          <w:spacing w:val="-11"/>
        </w:rPr>
        <w:t xml:space="preserve"> </w:t>
      </w:r>
      <w:r>
        <w:t>prepared</w:t>
      </w:r>
      <w:r>
        <w:rPr>
          <w:spacing w:val="-10"/>
        </w:rPr>
        <w:t xml:space="preserve"> </w:t>
      </w:r>
      <w:r>
        <w:t>to</w:t>
      </w:r>
      <w:r>
        <w:rPr>
          <w:spacing w:val="-13"/>
        </w:rPr>
        <w:t xml:space="preserve"> </w:t>
      </w:r>
      <w:r>
        <w:t>structure</w:t>
      </w:r>
      <w:r>
        <w:rPr>
          <w:spacing w:val="-9"/>
        </w:rPr>
        <w:t xml:space="preserve"> </w:t>
      </w:r>
      <w:r>
        <w:t>the</w:t>
      </w:r>
      <w:r>
        <w:rPr>
          <w:spacing w:val="-12"/>
        </w:rPr>
        <w:t xml:space="preserve"> </w:t>
      </w:r>
      <w:r>
        <w:t>process</w:t>
      </w:r>
      <w:r>
        <w:rPr>
          <w:spacing w:val="-9"/>
        </w:rPr>
        <w:t xml:space="preserve"> </w:t>
      </w:r>
      <w:r>
        <w:t>and</w:t>
      </w:r>
      <w:r>
        <w:rPr>
          <w:spacing w:val="-10"/>
        </w:rPr>
        <w:t xml:space="preserve"> </w:t>
      </w:r>
      <w:r>
        <w:t>timeline</w:t>
      </w:r>
      <w:r>
        <w:rPr>
          <w:spacing w:val="-9"/>
        </w:rPr>
        <w:t xml:space="preserve"> </w:t>
      </w:r>
      <w:r>
        <w:t>for</w:t>
      </w:r>
      <w:r>
        <w:rPr>
          <w:spacing w:val="-10"/>
        </w:rPr>
        <w:t xml:space="preserve"> </w:t>
      </w:r>
      <w:r>
        <w:t>the</w:t>
      </w:r>
      <w:r>
        <w:rPr>
          <w:spacing w:val="-12"/>
        </w:rPr>
        <w:t xml:space="preserve"> </w:t>
      </w:r>
      <w:r>
        <w:t>preparation of various planning documents (RPJPD, RPJMD, RENSTRA, RKPD, RENJA).</w:t>
      </w:r>
    </w:p>
    <w:p w14:paraId="570D4382" w14:textId="77777777" w:rsidR="00BC24A8" w:rsidRDefault="00BC24A8">
      <w:pPr>
        <w:pStyle w:val="BodyText"/>
        <w:spacing w:before="101"/>
      </w:pPr>
    </w:p>
    <w:p w14:paraId="32E3B44F" w14:textId="77777777" w:rsidR="00BC24A8" w:rsidRDefault="00000000">
      <w:pPr>
        <w:pStyle w:val="Heading5"/>
      </w:pPr>
      <w:r>
        <w:t>SKALA</w:t>
      </w:r>
      <w:r>
        <w:rPr>
          <w:spacing w:val="-5"/>
        </w:rPr>
        <w:t xml:space="preserve"> </w:t>
      </w:r>
      <w:r>
        <w:t>supports</w:t>
      </w:r>
      <w:r>
        <w:rPr>
          <w:spacing w:val="-4"/>
        </w:rPr>
        <w:t xml:space="preserve"> </w:t>
      </w:r>
      <w:r>
        <w:t>the</w:t>
      </w:r>
      <w:r>
        <w:rPr>
          <w:spacing w:val="-6"/>
        </w:rPr>
        <w:t xml:space="preserve"> </w:t>
      </w:r>
      <w:r>
        <w:t>optimisation</w:t>
      </w:r>
      <w:r>
        <w:rPr>
          <w:spacing w:val="-6"/>
        </w:rPr>
        <w:t xml:space="preserve"> </w:t>
      </w:r>
      <w:r>
        <w:t>of</w:t>
      </w:r>
      <w:r>
        <w:rPr>
          <w:spacing w:val="-5"/>
        </w:rPr>
        <w:t xml:space="preserve"> </w:t>
      </w:r>
      <w:r>
        <w:t>Otsus</w:t>
      </w:r>
      <w:r>
        <w:rPr>
          <w:spacing w:val="-7"/>
        </w:rPr>
        <w:t xml:space="preserve"> </w:t>
      </w:r>
      <w:r>
        <w:t>for</w:t>
      </w:r>
      <w:r>
        <w:rPr>
          <w:spacing w:val="-4"/>
        </w:rPr>
        <w:t xml:space="preserve"> </w:t>
      </w:r>
      <w:r>
        <w:t>basic</w:t>
      </w:r>
      <w:r>
        <w:rPr>
          <w:spacing w:val="-6"/>
        </w:rPr>
        <w:t xml:space="preserve"> </w:t>
      </w:r>
      <w:r>
        <w:t>services</w:t>
      </w:r>
      <w:r>
        <w:rPr>
          <w:spacing w:val="-4"/>
        </w:rPr>
        <w:t xml:space="preserve"> </w:t>
      </w:r>
      <w:r>
        <w:t>in</w:t>
      </w:r>
      <w:r>
        <w:rPr>
          <w:spacing w:val="-8"/>
        </w:rPr>
        <w:t xml:space="preserve"> </w:t>
      </w:r>
      <w:r>
        <w:t>line</w:t>
      </w:r>
      <w:r>
        <w:rPr>
          <w:spacing w:val="-8"/>
        </w:rPr>
        <w:t xml:space="preserve"> </w:t>
      </w:r>
      <w:r>
        <w:t>with</w:t>
      </w:r>
      <w:r>
        <w:rPr>
          <w:spacing w:val="-6"/>
        </w:rPr>
        <w:t xml:space="preserve"> </w:t>
      </w:r>
      <w:r>
        <w:t>national</w:t>
      </w:r>
      <w:r>
        <w:rPr>
          <w:spacing w:val="-5"/>
        </w:rPr>
        <w:t xml:space="preserve"> </w:t>
      </w:r>
      <w:r>
        <w:rPr>
          <w:spacing w:val="-2"/>
        </w:rPr>
        <w:t>regulations:</w:t>
      </w:r>
    </w:p>
    <w:p w14:paraId="64890B9F" w14:textId="77777777" w:rsidR="00BC24A8" w:rsidRDefault="00000000">
      <w:pPr>
        <w:pStyle w:val="ListParagraph"/>
        <w:numPr>
          <w:ilvl w:val="1"/>
          <w:numId w:val="24"/>
        </w:numPr>
        <w:tabs>
          <w:tab w:val="left" w:pos="863"/>
        </w:tabs>
        <w:spacing w:before="159"/>
        <w:ind w:right="564" w:hanging="360"/>
      </w:pPr>
      <w:r>
        <w:t xml:space="preserve">66 people participated in the socialisation of the </w:t>
      </w:r>
      <w:r>
        <w:rPr>
          <w:i/>
        </w:rPr>
        <w:t xml:space="preserve">Musrenbangsus </w:t>
      </w:r>
      <w:r>
        <w:t>guidelines and the SIPPP (Papua Barat, Papua Barat Daya, Papua Tengah clusters).</w:t>
      </w:r>
    </w:p>
    <w:p w14:paraId="788FB331" w14:textId="77777777" w:rsidR="00BC24A8" w:rsidRDefault="00000000">
      <w:pPr>
        <w:pStyle w:val="ListParagraph"/>
        <w:numPr>
          <w:ilvl w:val="1"/>
          <w:numId w:val="24"/>
        </w:numPr>
        <w:tabs>
          <w:tab w:val="left" w:pos="863"/>
        </w:tabs>
        <w:spacing w:before="1"/>
        <w:ind w:hanging="360"/>
        <w:jc w:val="left"/>
      </w:pPr>
      <w:r>
        <w:t>SKALA</w:t>
      </w:r>
      <w:r>
        <w:rPr>
          <w:spacing w:val="-7"/>
        </w:rPr>
        <w:t xml:space="preserve"> </w:t>
      </w:r>
      <w:r>
        <w:t>supports</w:t>
      </w:r>
      <w:r>
        <w:rPr>
          <w:spacing w:val="-4"/>
        </w:rPr>
        <w:t xml:space="preserve"> </w:t>
      </w:r>
      <w:r>
        <w:t>the</w:t>
      </w:r>
      <w:r>
        <w:rPr>
          <w:spacing w:val="-3"/>
        </w:rPr>
        <w:t xml:space="preserve"> </w:t>
      </w:r>
      <w:r>
        <w:t>Governor’s</w:t>
      </w:r>
      <w:r>
        <w:rPr>
          <w:spacing w:val="-4"/>
        </w:rPr>
        <w:t xml:space="preserve"> </w:t>
      </w:r>
      <w:r>
        <w:t>Vision–Mission</w:t>
      </w:r>
      <w:r>
        <w:rPr>
          <w:spacing w:val="-7"/>
        </w:rPr>
        <w:t xml:space="preserve"> </w:t>
      </w:r>
      <w:r>
        <w:t>priority</w:t>
      </w:r>
      <w:r>
        <w:rPr>
          <w:spacing w:val="-6"/>
        </w:rPr>
        <w:t xml:space="preserve"> </w:t>
      </w:r>
      <w:r>
        <w:t>programs</w:t>
      </w:r>
      <w:r>
        <w:rPr>
          <w:spacing w:val="-5"/>
        </w:rPr>
        <w:t xml:space="preserve"> </w:t>
      </w:r>
      <w:r>
        <w:t>funded</w:t>
      </w:r>
      <w:r>
        <w:rPr>
          <w:spacing w:val="-7"/>
        </w:rPr>
        <w:t xml:space="preserve"> </w:t>
      </w:r>
      <w:r>
        <w:t>by</w:t>
      </w:r>
      <w:r>
        <w:rPr>
          <w:spacing w:val="-4"/>
        </w:rPr>
        <w:t xml:space="preserve"> </w:t>
      </w:r>
      <w:r>
        <w:t>Otsus,</w:t>
      </w:r>
      <w:r>
        <w:rPr>
          <w:spacing w:val="-6"/>
        </w:rPr>
        <w:t xml:space="preserve"> </w:t>
      </w:r>
      <w:r>
        <w:t>such</w:t>
      </w:r>
      <w:r>
        <w:rPr>
          <w:spacing w:val="-6"/>
        </w:rPr>
        <w:t xml:space="preserve"> </w:t>
      </w:r>
      <w:r>
        <w:rPr>
          <w:spacing w:val="-5"/>
        </w:rPr>
        <w:t>as:</w:t>
      </w:r>
    </w:p>
    <w:p w14:paraId="3BDA563D" w14:textId="77777777" w:rsidR="00BC24A8" w:rsidRDefault="00000000">
      <w:pPr>
        <w:pStyle w:val="ListParagraph"/>
        <w:numPr>
          <w:ilvl w:val="2"/>
          <w:numId w:val="24"/>
        </w:numPr>
        <w:tabs>
          <w:tab w:val="left" w:pos="1221"/>
          <w:tab w:val="left" w:pos="1223"/>
        </w:tabs>
        <w:spacing w:before="120" w:line="254" w:lineRule="auto"/>
        <w:ind w:right="562"/>
      </w:pPr>
      <w:r>
        <w:t>Registration</w:t>
      </w:r>
      <w:r>
        <w:rPr>
          <w:spacing w:val="-6"/>
        </w:rPr>
        <w:t xml:space="preserve"> </w:t>
      </w:r>
      <w:r>
        <w:t>of</w:t>
      </w:r>
      <w:r>
        <w:rPr>
          <w:spacing w:val="-8"/>
        </w:rPr>
        <w:t xml:space="preserve"> </w:t>
      </w:r>
      <w:r>
        <w:t>Indigenous</w:t>
      </w:r>
      <w:r>
        <w:rPr>
          <w:spacing w:val="-8"/>
        </w:rPr>
        <w:t xml:space="preserve"> </w:t>
      </w:r>
      <w:r>
        <w:t>Papuans</w:t>
      </w:r>
      <w:r>
        <w:rPr>
          <w:spacing w:val="-8"/>
        </w:rPr>
        <w:t xml:space="preserve"> </w:t>
      </w:r>
      <w:r>
        <w:t>and</w:t>
      </w:r>
      <w:r>
        <w:rPr>
          <w:spacing w:val="-9"/>
        </w:rPr>
        <w:t xml:space="preserve"> </w:t>
      </w:r>
      <w:r>
        <w:t>mapping</w:t>
      </w:r>
      <w:r>
        <w:rPr>
          <w:spacing w:val="-10"/>
        </w:rPr>
        <w:t xml:space="preserve"> </w:t>
      </w:r>
      <w:r>
        <w:t>of</w:t>
      </w:r>
      <w:r>
        <w:rPr>
          <w:spacing w:val="-8"/>
        </w:rPr>
        <w:t xml:space="preserve"> </w:t>
      </w:r>
      <w:r>
        <w:t>customary</w:t>
      </w:r>
      <w:r>
        <w:rPr>
          <w:spacing w:val="-8"/>
        </w:rPr>
        <w:t xml:space="preserve"> </w:t>
      </w:r>
      <w:r>
        <w:t>territories</w:t>
      </w:r>
      <w:r>
        <w:rPr>
          <w:spacing w:val="-8"/>
        </w:rPr>
        <w:t xml:space="preserve"> </w:t>
      </w:r>
      <w:r>
        <w:t>through</w:t>
      </w:r>
      <w:r>
        <w:rPr>
          <w:spacing w:val="-9"/>
        </w:rPr>
        <w:t xml:space="preserve"> </w:t>
      </w:r>
      <w:r>
        <w:t>the</w:t>
      </w:r>
      <w:r>
        <w:rPr>
          <w:spacing w:val="-8"/>
        </w:rPr>
        <w:t xml:space="preserve"> </w:t>
      </w:r>
      <w:r>
        <w:t xml:space="preserve">draft Governor Regulation on SAIK+ SOP, from regulatory preparation to operational technical </w:t>
      </w:r>
      <w:r>
        <w:rPr>
          <w:spacing w:val="-2"/>
        </w:rPr>
        <w:t>guidelines.</w:t>
      </w:r>
    </w:p>
    <w:p w14:paraId="422B2A51" w14:textId="77777777" w:rsidR="00BC24A8" w:rsidRDefault="00000000">
      <w:pPr>
        <w:pStyle w:val="ListParagraph"/>
        <w:numPr>
          <w:ilvl w:val="2"/>
          <w:numId w:val="24"/>
        </w:numPr>
        <w:tabs>
          <w:tab w:val="left" w:pos="1221"/>
          <w:tab w:val="left" w:pos="1223"/>
        </w:tabs>
        <w:spacing w:before="8" w:line="252" w:lineRule="auto"/>
        <w:ind w:right="561"/>
      </w:pPr>
      <w:r>
        <w:t xml:space="preserve">Strengthening the Keluarga Harapan Papua program for social security of Indigenous </w:t>
      </w:r>
      <w:r>
        <w:rPr>
          <w:spacing w:val="-2"/>
        </w:rPr>
        <w:t>Papuans.</w:t>
      </w:r>
    </w:p>
    <w:p w14:paraId="0D033C32" w14:textId="77777777" w:rsidR="00BC24A8" w:rsidRDefault="00BC24A8">
      <w:pPr>
        <w:pStyle w:val="BodyText"/>
        <w:spacing w:before="243"/>
      </w:pPr>
    </w:p>
    <w:p w14:paraId="50290AAD" w14:textId="77777777" w:rsidR="00BC24A8" w:rsidRDefault="00000000">
      <w:pPr>
        <w:pStyle w:val="Heading5"/>
      </w:pPr>
      <w:r>
        <w:rPr>
          <w:color w:val="17365A"/>
        </w:rPr>
        <w:t>Impact</w:t>
      </w:r>
      <w:r>
        <w:rPr>
          <w:color w:val="17365A"/>
          <w:spacing w:val="-3"/>
        </w:rPr>
        <w:t xml:space="preserve"> </w:t>
      </w:r>
      <w:r>
        <w:rPr>
          <w:color w:val="17365A"/>
        </w:rPr>
        <w:t>of</w:t>
      </w:r>
      <w:r>
        <w:rPr>
          <w:color w:val="17365A"/>
          <w:spacing w:val="-2"/>
        </w:rPr>
        <w:t xml:space="preserve"> results/changes</w:t>
      </w:r>
    </w:p>
    <w:p w14:paraId="518B77BF" w14:textId="77777777" w:rsidR="00BC24A8" w:rsidRDefault="00BC24A8">
      <w:pPr>
        <w:pStyle w:val="BodyText"/>
        <w:spacing w:before="10"/>
        <w:rPr>
          <w:rFonts w:ascii="Calibri"/>
          <w:b/>
          <w:sz w:val="12"/>
        </w:rPr>
      </w:pPr>
    </w:p>
    <w:tbl>
      <w:tblPr>
        <w:tblW w:w="0" w:type="auto"/>
        <w:tblInd w:w="142" w:type="dxa"/>
        <w:tblLayout w:type="fixed"/>
        <w:tblCellMar>
          <w:left w:w="0" w:type="dxa"/>
          <w:right w:w="0" w:type="dxa"/>
        </w:tblCellMar>
        <w:tblLook w:val="01E0" w:firstRow="1" w:lastRow="1" w:firstColumn="1" w:lastColumn="1" w:noHBand="0" w:noVBand="0"/>
      </w:tblPr>
      <w:tblGrid>
        <w:gridCol w:w="1407"/>
        <w:gridCol w:w="7692"/>
      </w:tblGrid>
      <w:tr w:rsidR="00BC24A8" w14:paraId="77AABFF1" w14:textId="77777777">
        <w:trPr>
          <w:trHeight w:val="465"/>
        </w:trPr>
        <w:tc>
          <w:tcPr>
            <w:tcW w:w="1407" w:type="dxa"/>
            <w:shd w:val="clear" w:color="auto" w:fill="17365A"/>
          </w:tcPr>
          <w:p w14:paraId="6E7DBF9D" w14:textId="77777777" w:rsidR="00BC24A8" w:rsidRDefault="00000000">
            <w:pPr>
              <w:pStyle w:val="TableParagraph"/>
              <w:spacing w:before="112"/>
              <w:ind w:left="116"/>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692" w:type="dxa"/>
            <w:shd w:val="clear" w:color="auto" w:fill="17365A"/>
          </w:tcPr>
          <w:p w14:paraId="692CD315" w14:textId="77777777" w:rsidR="00BC24A8" w:rsidRDefault="00000000">
            <w:pPr>
              <w:pStyle w:val="TableParagraph"/>
              <w:spacing w:before="112"/>
              <w:ind w:left="185"/>
              <w:rPr>
                <w:rFonts w:ascii="Calibri"/>
                <w:b/>
                <w:sz w:val="20"/>
              </w:rPr>
            </w:pPr>
            <w:r>
              <w:rPr>
                <w:rFonts w:ascii="Calibri"/>
                <w:b/>
                <w:color w:val="FFFFFF"/>
                <w:spacing w:val="-2"/>
                <w:sz w:val="20"/>
              </w:rPr>
              <w:t>Impact</w:t>
            </w:r>
          </w:p>
        </w:tc>
      </w:tr>
      <w:tr w:rsidR="00BC24A8" w14:paraId="32D81896" w14:textId="77777777">
        <w:trPr>
          <w:trHeight w:val="938"/>
        </w:trPr>
        <w:tc>
          <w:tcPr>
            <w:tcW w:w="1407" w:type="dxa"/>
            <w:tcBorders>
              <w:bottom w:val="single" w:sz="4" w:space="0" w:color="BEBEBE"/>
            </w:tcBorders>
          </w:tcPr>
          <w:p w14:paraId="6C926F4B" w14:textId="77777777" w:rsidR="00BC24A8" w:rsidRDefault="00000000">
            <w:pPr>
              <w:pStyle w:val="TableParagraph"/>
              <w:spacing w:before="162"/>
              <w:ind w:left="116"/>
              <w:rPr>
                <w:sz w:val="18"/>
              </w:rPr>
            </w:pPr>
            <w:r>
              <w:rPr>
                <w:spacing w:val="-2"/>
                <w:sz w:val="18"/>
              </w:rPr>
              <w:t>Methodological</w:t>
            </w:r>
            <w:r>
              <w:rPr>
                <w:sz w:val="18"/>
              </w:rPr>
              <w:t xml:space="preserve"> </w:t>
            </w:r>
            <w:r>
              <w:rPr>
                <w:spacing w:val="-2"/>
                <w:sz w:val="18"/>
              </w:rPr>
              <w:t>Impacts</w:t>
            </w:r>
          </w:p>
        </w:tc>
        <w:tc>
          <w:tcPr>
            <w:tcW w:w="7692" w:type="dxa"/>
            <w:tcBorders>
              <w:bottom w:val="single" w:sz="4" w:space="0" w:color="BEBEBE"/>
            </w:tcBorders>
          </w:tcPr>
          <w:p w14:paraId="48C47C11" w14:textId="77777777" w:rsidR="00BC24A8" w:rsidRDefault="00000000">
            <w:pPr>
              <w:pStyle w:val="TableParagraph"/>
              <w:numPr>
                <w:ilvl w:val="0"/>
                <w:numId w:val="23"/>
              </w:numPr>
              <w:tabs>
                <w:tab w:val="left" w:pos="516"/>
              </w:tabs>
              <w:spacing w:before="162"/>
              <w:rPr>
                <w:sz w:val="18"/>
              </w:rPr>
            </w:pPr>
            <w:r>
              <w:rPr>
                <w:sz w:val="18"/>
              </w:rPr>
              <w:t>Draft MSS</w:t>
            </w:r>
            <w:r>
              <w:rPr>
                <w:spacing w:val="-1"/>
                <w:sz w:val="18"/>
              </w:rPr>
              <w:t xml:space="preserve"> </w:t>
            </w:r>
            <w:r>
              <w:rPr>
                <w:sz w:val="18"/>
              </w:rPr>
              <w:t>Action</w:t>
            </w:r>
            <w:r>
              <w:rPr>
                <w:spacing w:val="-1"/>
                <w:sz w:val="18"/>
              </w:rPr>
              <w:t xml:space="preserve"> </w:t>
            </w:r>
            <w:r>
              <w:rPr>
                <w:sz w:val="18"/>
              </w:rPr>
              <w:t>Plan</w:t>
            </w:r>
            <w:r>
              <w:rPr>
                <w:spacing w:val="-1"/>
                <w:sz w:val="18"/>
              </w:rPr>
              <w:t xml:space="preserve"> </w:t>
            </w:r>
            <w:r>
              <w:rPr>
                <w:sz w:val="18"/>
              </w:rPr>
              <w:t>made</w:t>
            </w:r>
            <w:r>
              <w:rPr>
                <w:spacing w:val="-1"/>
                <w:sz w:val="18"/>
              </w:rPr>
              <w:t xml:space="preserve"> </w:t>
            </w:r>
            <w:r>
              <w:rPr>
                <w:sz w:val="18"/>
              </w:rPr>
              <w:t>available</w:t>
            </w:r>
            <w:r>
              <w:rPr>
                <w:spacing w:val="-1"/>
                <w:sz w:val="18"/>
              </w:rPr>
              <w:t xml:space="preserve"> </w:t>
            </w:r>
            <w:r>
              <w:rPr>
                <w:sz w:val="18"/>
              </w:rPr>
              <w:t>for</w:t>
            </w:r>
            <w:r>
              <w:rPr>
                <w:spacing w:val="-1"/>
                <w:sz w:val="18"/>
              </w:rPr>
              <w:t xml:space="preserve"> </w:t>
            </w:r>
            <w:r>
              <w:rPr>
                <w:sz w:val="18"/>
              </w:rPr>
              <w:t>the</w:t>
            </w:r>
            <w:r>
              <w:rPr>
                <w:spacing w:val="-1"/>
                <w:sz w:val="18"/>
              </w:rPr>
              <w:t xml:space="preserve"> </w:t>
            </w:r>
            <w:r>
              <w:rPr>
                <w:sz w:val="18"/>
              </w:rPr>
              <w:t>first</w:t>
            </w:r>
            <w:r>
              <w:rPr>
                <w:spacing w:val="1"/>
                <w:sz w:val="18"/>
              </w:rPr>
              <w:t xml:space="preserve"> </w:t>
            </w:r>
            <w:r>
              <w:rPr>
                <w:spacing w:val="-4"/>
                <w:sz w:val="18"/>
              </w:rPr>
              <w:t>time</w:t>
            </w:r>
          </w:p>
          <w:p w14:paraId="34D880B4" w14:textId="77777777" w:rsidR="00BC24A8" w:rsidRDefault="00000000">
            <w:pPr>
              <w:pStyle w:val="TableParagraph"/>
              <w:numPr>
                <w:ilvl w:val="0"/>
                <w:numId w:val="23"/>
              </w:numPr>
              <w:tabs>
                <w:tab w:val="left" w:pos="516"/>
              </w:tabs>
              <w:spacing w:before="1"/>
              <w:rPr>
                <w:sz w:val="18"/>
              </w:rPr>
            </w:pPr>
            <w:r>
              <w:rPr>
                <w:sz w:val="18"/>
              </w:rPr>
              <w:t>Data</w:t>
            </w:r>
            <w:r>
              <w:rPr>
                <w:spacing w:val="-5"/>
                <w:sz w:val="18"/>
              </w:rPr>
              <w:t xml:space="preserve"> </w:t>
            </w:r>
            <w:r>
              <w:rPr>
                <w:sz w:val="18"/>
              </w:rPr>
              <w:t>List</w:t>
            </w:r>
            <w:r>
              <w:rPr>
                <w:spacing w:val="-1"/>
                <w:sz w:val="18"/>
              </w:rPr>
              <w:t xml:space="preserve"> </w:t>
            </w:r>
            <w:r>
              <w:rPr>
                <w:sz w:val="18"/>
              </w:rPr>
              <w:t>generated</w:t>
            </w:r>
            <w:r>
              <w:rPr>
                <w:spacing w:val="-2"/>
                <w:sz w:val="18"/>
              </w:rPr>
              <w:t xml:space="preserve"> </w:t>
            </w:r>
            <w:r>
              <w:rPr>
                <w:sz w:val="18"/>
              </w:rPr>
              <w:t>from</w:t>
            </w:r>
            <w:r>
              <w:rPr>
                <w:spacing w:val="-2"/>
                <w:sz w:val="18"/>
              </w:rPr>
              <w:t xml:space="preserve"> </w:t>
            </w:r>
            <w:r>
              <w:rPr>
                <w:spacing w:val="-4"/>
                <w:sz w:val="18"/>
              </w:rPr>
              <w:t>SIPD</w:t>
            </w:r>
          </w:p>
          <w:p w14:paraId="70CE3BC6" w14:textId="77777777" w:rsidR="00BC24A8" w:rsidRDefault="00000000">
            <w:pPr>
              <w:pStyle w:val="TableParagraph"/>
              <w:numPr>
                <w:ilvl w:val="0"/>
                <w:numId w:val="23"/>
              </w:numPr>
              <w:tabs>
                <w:tab w:val="left" w:pos="516"/>
              </w:tabs>
              <w:spacing w:before="1"/>
              <w:rPr>
                <w:sz w:val="18"/>
              </w:rPr>
            </w:pPr>
            <w:r>
              <w:rPr>
                <w:sz w:val="18"/>
              </w:rPr>
              <w:t>Draft Planning</w:t>
            </w:r>
            <w:r>
              <w:rPr>
                <w:spacing w:val="-1"/>
                <w:sz w:val="18"/>
              </w:rPr>
              <w:t xml:space="preserve"> </w:t>
            </w:r>
            <w:r>
              <w:rPr>
                <w:spacing w:val="-5"/>
                <w:sz w:val="18"/>
              </w:rPr>
              <w:t>SOP</w:t>
            </w:r>
          </w:p>
        </w:tc>
      </w:tr>
      <w:tr w:rsidR="00BC24A8" w14:paraId="1F820009" w14:textId="77777777">
        <w:trPr>
          <w:trHeight w:val="894"/>
        </w:trPr>
        <w:tc>
          <w:tcPr>
            <w:tcW w:w="1407" w:type="dxa"/>
            <w:tcBorders>
              <w:top w:val="single" w:sz="4" w:space="0" w:color="BEBEBE"/>
              <w:bottom w:val="single" w:sz="4" w:space="0" w:color="BEBEBE"/>
            </w:tcBorders>
          </w:tcPr>
          <w:p w14:paraId="2733FD7F" w14:textId="77777777" w:rsidR="00BC24A8" w:rsidRDefault="00000000">
            <w:pPr>
              <w:pStyle w:val="TableParagraph"/>
              <w:spacing w:before="119"/>
              <w:ind w:left="116" w:right="6"/>
              <w:rPr>
                <w:sz w:val="18"/>
              </w:rPr>
            </w:pPr>
            <w:r>
              <w:rPr>
                <w:spacing w:val="-2"/>
                <w:sz w:val="18"/>
              </w:rPr>
              <w:t>Ecosystem</w:t>
            </w:r>
            <w:r>
              <w:rPr>
                <w:sz w:val="18"/>
              </w:rPr>
              <w:t xml:space="preserve"> </w:t>
            </w:r>
            <w:r>
              <w:rPr>
                <w:spacing w:val="-2"/>
                <w:sz w:val="18"/>
              </w:rPr>
              <w:t>Impacts</w:t>
            </w:r>
          </w:p>
        </w:tc>
        <w:tc>
          <w:tcPr>
            <w:tcW w:w="7692" w:type="dxa"/>
            <w:tcBorders>
              <w:top w:val="single" w:sz="4" w:space="0" w:color="BEBEBE"/>
              <w:bottom w:val="single" w:sz="4" w:space="0" w:color="BEBEBE"/>
            </w:tcBorders>
          </w:tcPr>
          <w:p w14:paraId="1090C429" w14:textId="77777777" w:rsidR="00BC24A8" w:rsidRDefault="00000000">
            <w:pPr>
              <w:pStyle w:val="TableParagraph"/>
              <w:numPr>
                <w:ilvl w:val="0"/>
                <w:numId w:val="22"/>
              </w:numPr>
              <w:tabs>
                <w:tab w:val="left" w:pos="516"/>
              </w:tabs>
              <w:spacing w:before="119" w:line="219" w:lineRule="exact"/>
              <w:rPr>
                <w:sz w:val="18"/>
              </w:rPr>
            </w:pPr>
            <w:r>
              <w:rPr>
                <w:sz w:val="18"/>
              </w:rPr>
              <w:t>Draft</w:t>
            </w:r>
            <w:r>
              <w:rPr>
                <w:spacing w:val="-2"/>
                <w:sz w:val="18"/>
              </w:rPr>
              <w:t xml:space="preserve"> </w:t>
            </w:r>
            <w:r>
              <w:rPr>
                <w:sz w:val="18"/>
              </w:rPr>
              <w:t>Papua</w:t>
            </w:r>
            <w:r>
              <w:rPr>
                <w:spacing w:val="-3"/>
                <w:sz w:val="18"/>
              </w:rPr>
              <w:t xml:space="preserve"> </w:t>
            </w:r>
            <w:r>
              <w:rPr>
                <w:sz w:val="18"/>
              </w:rPr>
              <w:t>Barat</w:t>
            </w:r>
            <w:r>
              <w:rPr>
                <w:spacing w:val="-2"/>
                <w:sz w:val="18"/>
              </w:rPr>
              <w:t xml:space="preserve"> </w:t>
            </w:r>
            <w:r>
              <w:rPr>
                <w:sz w:val="18"/>
              </w:rPr>
              <w:t>RPJMD</w:t>
            </w:r>
            <w:r>
              <w:rPr>
                <w:spacing w:val="-1"/>
                <w:sz w:val="18"/>
              </w:rPr>
              <w:t xml:space="preserve"> </w:t>
            </w:r>
            <w:r>
              <w:rPr>
                <w:spacing w:val="-2"/>
                <w:sz w:val="18"/>
              </w:rPr>
              <w:t>2025–2029</w:t>
            </w:r>
          </w:p>
          <w:p w14:paraId="1CC21643" w14:textId="77777777" w:rsidR="00BC24A8" w:rsidRDefault="00000000">
            <w:pPr>
              <w:pStyle w:val="TableParagraph"/>
              <w:numPr>
                <w:ilvl w:val="0"/>
                <w:numId w:val="22"/>
              </w:numPr>
              <w:tabs>
                <w:tab w:val="left" w:pos="516"/>
              </w:tabs>
              <w:spacing w:line="219" w:lineRule="exact"/>
              <w:rPr>
                <w:sz w:val="18"/>
              </w:rPr>
            </w:pPr>
            <w:r>
              <w:rPr>
                <w:sz w:val="18"/>
              </w:rPr>
              <w:t>Draft</w:t>
            </w:r>
            <w:r>
              <w:rPr>
                <w:spacing w:val="-3"/>
                <w:sz w:val="18"/>
              </w:rPr>
              <w:t xml:space="preserve"> </w:t>
            </w:r>
            <w:r>
              <w:rPr>
                <w:sz w:val="18"/>
              </w:rPr>
              <w:t>Governor</w:t>
            </w:r>
            <w:r>
              <w:rPr>
                <w:spacing w:val="-3"/>
                <w:sz w:val="18"/>
              </w:rPr>
              <w:t xml:space="preserve"> </w:t>
            </w:r>
            <w:r>
              <w:rPr>
                <w:sz w:val="18"/>
              </w:rPr>
              <w:t>Regulation</w:t>
            </w:r>
            <w:r>
              <w:rPr>
                <w:spacing w:val="-3"/>
                <w:sz w:val="18"/>
              </w:rPr>
              <w:t xml:space="preserve"> </w:t>
            </w:r>
            <w:r>
              <w:rPr>
                <w:sz w:val="18"/>
              </w:rPr>
              <w:t>on</w:t>
            </w:r>
            <w:r>
              <w:rPr>
                <w:spacing w:val="-3"/>
                <w:sz w:val="18"/>
              </w:rPr>
              <w:t xml:space="preserve"> </w:t>
            </w:r>
            <w:r>
              <w:rPr>
                <w:sz w:val="18"/>
              </w:rPr>
              <w:t>SAIK+</w:t>
            </w:r>
            <w:r>
              <w:rPr>
                <w:spacing w:val="-3"/>
                <w:sz w:val="18"/>
              </w:rPr>
              <w:t xml:space="preserve"> </w:t>
            </w:r>
            <w:r>
              <w:rPr>
                <w:sz w:val="18"/>
              </w:rPr>
              <w:t>Implementation</w:t>
            </w:r>
            <w:r>
              <w:rPr>
                <w:spacing w:val="-3"/>
                <w:sz w:val="18"/>
              </w:rPr>
              <w:t xml:space="preserve"> </w:t>
            </w:r>
            <w:r>
              <w:rPr>
                <w:spacing w:val="-5"/>
                <w:sz w:val="18"/>
              </w:rPr>
              <w:t>SOP</w:t>
            </w:r>
          </w:p>
          <w:p w14:paraId="5CDCD91C" w14:textId="77777777" w:rsidR="00BC24A8" w:rsidRDefault="00000000">
            <w:pPr>
              <w:pStyle w:val="TableParagraph"/>
              <w:numPr>
                <w:ilvl w:val="0"/>
                <w:numId w:val="22"/>
              </w:numPr>
              <w:tabs>
                <w:tab w:val="left" w:pos="516"/>
              </w:tabs>
              <w:spacing w:before="1"/>
              <w:rPr>
                <w:sz w:val="18"/>
              </w:rPr>
            </w:pPr>
            <w:r>
              <w:rPr>
                <w:sz w:val="18"/>
              </w:rPr>
              <w:t>Governor’s</w:t>
            </w:r>
            <w:r>
              <w:rPr>
                <w:spacing w:val="-3"/>
                <w:sz w:val="18"/>
              </w:rPr>
              <w:t xml:space="preserve"> </w:t>
            </w:r>
            <w:r>
              <w:rPr>
                <w:sz w:val="18"/>
              </w:rPr>
              <w:t>Decree</w:t>
            </w:r>
            <w:r>
              <w:rPr>
                <w:spacing w:val="-3"/>
                <w:sz w:val="18"/>
              </w:rPr>
              <w:t xml:space="preserve"> </w:t>
            </w:r>
            <w:r>
              <w:rPr>
                <w:sz w:val="18"/>
              </w:rPr>
              <w:t>on</w:t>
            </w:r>
            <w:r>
              <w:rPr>
                <w:spacing w:val="-3"/>
                <w:sz w:val="18"/>
              </w:rPr>
              <w:t xml:space="preserve"> </w:t>
            </w:r>
            <w:r>
              <w:rPr>
                <w:sz w:val="18"/>
              </w:rPr>
              <w:t>Sectoral</w:t>
            </w:r>
            <w:r>
              <w:rPr>
                <w:spacing w:val="-2"/>
                <w:sz w:val="18"/>
              </w:rPr>
              <w:t xml:space="preserve"> </w:t>
            </w:r>
            <w:r>
              <w:rPr>
                <w:sz w:val="18"/>
              </w:rPr>
              <w:t>Statistical</w:t>
            </w:r>
            <w:r>
              <w:rPr>
                <w:spacing w:val="-2"/>
                <w:sz w:val="18"/>
              </w:rPr>
              <w:t xml:space="preserve"> </w:t>
            </w:r>
            <w:r>
              <w:rPr>
                <w:spacing w:val="-4"/>
                <w:sz w:val="18"/>
              </w:rPr>
              <w:t>Data</w:t>
            </w:r>
          </w:p>
        </w:tc>
      </w:tr>
    </w:tbl>
    <w:p w14:paraId="59480C38" w14:textId="77777777" w:rsidR="00BC24A8" w:rsidRDefault="00BC24A8">
      <w:pPr>
        <w:pStyle w:val="BodyText"/>
        <w:spacing w:before="207"/>
        <w:rPr>
          <w:rFonts w:ascii="Calibri"/>
          <w:b/>
        </w:rPr>
      </w:pPr>
    </w:p>
    <w:p w14:paraId="3C09ADF7" w14:textId="77777777" w:rsidR="00BC24A8" w:rsidRDefault="00000000">
      <w:pPr>
        <w:pStyle w:val="BodyText"/>
        <w:ind w:left="143"/>
        <w:rPr>
          <w:rFonts w:ascii="Calibri"/>
        </w:rPr>
      </w:pPr>
      <w:r>
        <w:rPr>
          <w:rFonts w:ascii="Calibri"/>
          <w:noProof/>
        </w:rPr>
        <mc:AlternateContent>
          <mc:Choice Requires="wps">
            <w:drawing>
              <wp:anchor distT="0" distB="0" distL="0" distR="0" simplePos="0" relativeHeight="487631872" behindDoc="1" locked="0" layoutInCell="1" allowOverlap="1" wp14:anchorId="7BAB639E" wp14:editId="7919AD11">
                <wp:simplePos x="0" y="0"/>
                <wp:positionH relativeFrom="page">
                  <wp:posOffset>900690</wp:posOffset>
                </wp:positionH>
                <wp:positionV relativeFrom="paragraph">
                  <wp:posOffset>178787</wp:posOffset>
                </wp:positionV>
                <wp:extent cx="5773420" cy="2489200"/>
                <wp:effectExtent l="0" t="0" r="0" b="0"/>
                <wp:wrapTopAndBottom/>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3420" cy="2489200"/>
                        </a:xfrm>
                        <a:prstGeom prst="rect">
                          <a:avLst/>
                        </a:prstGeom>
                        <a:solidFill>
                          <a:srgbClr val="E1F1EF"/>
                        </a:solidFill>
                        <a:ln w="6096">
                          <a:solidFill>
                            <a:srgbClr val="BEBEBE"/>
                          </a:solidFill>
                          <a:prstDash val="solid"/>
                        </a:ln>
                      </wps:spPr>
                      <wps:txbx>
                        <w:txbxContent>
                          <w:p w14:paraId="3A789E2B" w14:textId="77777777" w:rsidR="00BC24A8" w:rsidRDefault="00000000">
                            <w:pPr>
                              <w:spacing w:before="119"/>
                              <w:ind w:left="2" w:right="34"/>
                              <w:jc w:val="center"/>
                              <w:rPr>
                                <w:color w:val="000000"/>
                                <w:sz w:val="20"/>
                              </w:rPr>
                            </w:pPr>
                            <w:r>
                              <w:rPr>
                                <w:color w:val="000000"/>
                                <w:sz w:val="20"/>
                              </w:rPr>
                              <w:t>S</w:t>
                            </w:r>
                            <w:r>
                              <w:rPr>
                                <w:color w:val="000000"/>
                                <w:spacing w:val="-16"/>
                                <w:sz w:val="20"/>
                              </w:rPr>
                              <w:t xml:space="preserve"> </w:t>
                            </w:r>
                            <w:r>
                              <w:rPr>
                                <w:color w:val="000000"/>
                                <w:spacing w:val="14"/>
                                <w:sz w:val="20"/>
                              </w:rPr>
                              <w:t>TO</w:t>
                            </w:r>
                            <w:r>
                              <w:rPr>
                                <w:color w:val="000000"/>
                                <w:spacing w:val="-15"/>
                                <w:sz w:val="20"/>
                              </w:rPr>
                              <w:t xml:space="preserve"> </w:t>
                            </w:r>
                            <w:r>
                              <w:rPr>
                                <w:color w:val="000000"/>
                                <w:sz w:val="20"/>
                              </w:rPr>
                              <w:t>R</w:t>
                            </w:r>
                            <w:r>
                              <w:rPr>
                                <w:color w:val="000000"/>
                                <w:spacing w:val="-15"/>
                                <w:sz w:val="20"/>
                              </w:rPr>
                              <w:t xml:space="preserve"> </w:t>
                            </w:r>
                            <w:r>
                              <w:rPr>
                                <w:color w:val="000000"/>
                                <w:sz w:val="20"/>
                              </w:rPr>
                              <w:t>Y</w:t>
                            </w:r>
                            <w:r>
                              <w:rPr>
                                <w:color w:val="000000"/>
                                <w:spacing w:val="58"/>
                                <w:sz w:val="20"/>
                              </w:rPr>
                              <w:t xml:space="preserve"> </w:t>
                            </w:r>
                            <w:r>
                              <w:rPr>
                                <w:color w:val="000000"/>
                                <w:sz w:val="20"/>
                              </w:rPr>
                              <w:t>1</w:t>
                            </w:r>
                            <w:r>
                              <w:rPr>
                                <w:color w:val="000000"/>
                                <w:spacing w:val="-15"/>
                                <w:sz w:val="20"/>
                              </w:rPr>
                              <w:t xml:space="preserve"> </w:t>
                            </w:r>
                            <w:r>
                              <w:rPr>
                                <w:color w:val="000000"/>
                                <w:spacing w:val="-10"/>
                                <w:sz w:val="20"/>
                              </w:rPr>
                              <w:t>:</w:t>
                            </w:r>
                          </w:p>
                          <w:p w14:paraId="4058A2B3" w14:textId="77777777" w:rsidR="00BC24A8" w:rsidRDefault="00000000">
                            <w:pPr>
                              <w:spacing w:before="1"/>
                              <w:ind w:left="35" w:right="34"/>
                              <w:jc w:val="center"/>
                              <w:rPr>
                                <w:rFonts w:ascii="Calibri"/>
                                <w:b/>
                                <w:color w:val="000000"/>
                                <w:sz w:val="20"/>
                              </w:rPr>
                            </w:pPr>
                            <w:r>
                              <w:rPr>
                                <w:rFonts w:ascii="Calibri"/>
                                <w:b/>
                                <w:color w:val="17365A"/>
                                <w:sz w:val="20"/>
                              </w:rPr>
                              <w:t>Breaking</w:t>
                            </w:r>
                            <w:r>
                              <w:rPr>
                                <w:rFonts w:ascii="Calibri"/>
                                <w:b/>
                                <w:color w:val="17365A"/>
                                <w:spacing w:val="-9"/>
                                <w:sz w:val="20"/>
                              </w:rPr>
                              <w:t xml:space="preserve"> </w:t>
                            </w:r>
                            <w:r>
                              <w:rPr>
                                <w:rFonts w:ascii="Calibri"/>
                                <w:b/>
                                <w:color w:val="17365A"/>
                                <w:sz w:val="20"/>
                              </w:rPr>
                              <w:t>the</w:t>
                            </w:r>
                            <w:r>
                              <w:rPr>
                                <w:rFonts w:ascii="Calibri"/>
                                <w:b/>
                                <w:color w:val="17365A"/>
                                <w:spacing w:val="-8"/>
                                <w:sz w:val="20"/>
                              </w:rPr>
                              <w:t xml:space="preserve"> </w:t>
                            </w:r>
                            <w:r>
                              <w:rPr>
                                <w:rFonts w:ascii="Calibri"/>
                                <w:b/>
                                <w:color w:val="17365A"/>
                                <w:sz w:val="20"/>
                              </w:rPr>
                              <w:t>Deadlock</w:t>
                            </w:r>
                            <w:r>
                              <w:rPr>
                                <w:rFonts w:ascii="Calibri"/>
                                <w:b/>
                                <w:color w:val="17365A"/>
                                <w:spacing w:val="-8"/>
                                <w:sz w:val="20"/>
                              </w:rPr>
                              <w:t xml:space="preserve"> </w:t>
                            </w:r>
                            <w:r>
                              <w:rPr>
                                <w:rFonts w:ascii="Calibri"/>
                                <w:b/>
                                <w:color w:val="17365A"/>
                                <w:sz w:val="20"/>
                              </w:rPr>
                              <w:t>in</w:t>
                            </w:r>
                            <w:r>
                              <w:rPr>
                                <w:rFonts w:ascii="Calibri"/>
                                <w:b/>
                                <w:color w:val="17365A"/>
                                <w:spacing w:val="-7"/>
                                <w:sz w:val="20"/>
                              </w:rPr>
                              <w:t xml:space="preserve"> </w:t>
                            </w:r>
                            <w:r>
                              <w:rPr>
                                <w:rFonts w:ascii="Calibri"/>
                                <w:b/>
                                <w:color w:val="17365A"/>
                                <w:sz w:val="20"/>
                              </w:rPr>
                              <w:t>Communication</w:t>
                            </w:r>
                            <w:r>
                              <w:rPr>
                                <w:rFonts w:ascii="Calibri"/>
                                <w:b/>
                                <w:color w:val="17365A"/>
                                <w:spacing w:val="-7"/>
                                <w:sz w:val="20"/>
                              </w:rPr>
                              <w:t xml:space="preserve"> </w:t>
                            </w:r>
                            <w:r>
                              <w:rPr>
                                <w:rFonts w:ascii="Calibri"/>
                                <w:b/>
                                <w:color w:val="17365A"/>
                                <w:sz w:val="20"/>
                              </w:rPr>
                              <w:t>and</w:t>
                            </w:r>
                            <w:r>
                              <w:rPr>
                                <w:rFonts w:ascii="Calibri"/>
                                <w:b/>
                                <w:color w:val="17365A"/>
                                <w:spacing w:val="-7"/>
                                <w:sz w:val="20"/>
                              </w:rPr>
                              <w:t xml:space="preserve"> </w:t>
                            </w:r>
                            <w:r>
                              <w:rPr>
                                <w:rFonts w:ascii="Calibri"/>
                                <w:b/>
                                <w:color w:val="17365A"/>
                                <w:sz w:val="20"/>
                              </w:rPr>
                              <w:t>Coordination</w:t>
                            </w:r>
                            <w:r>
                              <w:rPr>
                                <w:rFonts w:ascii="Calibri"/>
                                <w:b/>
                                <w:color w:val="17365A"/>
                                <w:spacing w:val="-7"/>
                                <w:sz w:val="20"/>
                              </w:rPr>
                              <w:t xml:space="preserve"> </w:t>
                            </w:r>
                            <w:r>
                              <w:rPr>
                                <w:rFonts w:ascii="Calibri"/>
                                <w:b/>
                                <w:color w:val="17365A"/>
                                <w:sz w:val="20"/>
                              </w:rPr>
                              <w:t>to</w:t>
                            </w:r>
                            <w:r>
                              <w:rPr>
                                <w:rFonts w:ascii="Calibri"/>
                                <w:b/>
                                <w:color w:val="17365A"/>
                                <w:spacing w:val="-7"/>
                                <w:sz w:val="20"/>
                              </w:rPr>
                              <w:t xml:space="preserve"> </w:t>
                            </w:r>
                            <w:r>
                              <w:rPr>
                                <w:rFonts w:ascii="Calibri"/>
                                <w:b/>
                                <w:color w:val="17365A"/>
                                <w:sz w:val="20"/>
                              </w:rPr>
                              <w:t>Advance</w:t>
                            </w:r>
                            <w:r>
                              <w:rPr>
                                <w:rFonts w:ascii="Calibri"/>
                                <w:b/>
                                <w:color w:val="17365A"/>
                                <w:spacing w:val="-8"/>
                                <w:sz w:val="20"/>
                              </w:rPr>
                              <w:t xml:space="preserve"> </w:t>
                            </w:r>
                            <w:r>
                              <w:rPr>
                                <w:rFonts w:ascii="Calibri"/>
                                <w:b/>
                                <w:color w:val="17365A"/>
                                <w:sz w:val="20"/>
                              </w:rPr>
                              <w:t>One</w:t>
                            </w:r>
                            <w:r>
                              <w:rPr>
                                <w:rFonts w:ascii="Calibri"/>
                                <w:b/>
                                <w:color w:val="17365A"/>
                                <w:spacing w:val="-8"/>
                                <w:sz w:val="20"/>
                              </w:rPr>
                              <w:t xml:space="preserve"> </w:t>
                            </w:r>
                            <w:r>
                              <w:rPr>
                                <w:rFonts w:ascii="Calibri"/>
                                <w:b/>
                                <w:color w:val="17365A"/>
                                <w:sz w:val="20"/>
                              </w:rPr>
                              <w:t>Data</w:t>
                            </w:r>
                            <w:r>
                              <w:rPr>
                                <w:rFonts w:ascii="Calibri"/>
                                <w:b/>
                                <w:color w:val="17365A"/>
                                <w:spacing w:val="-8"/>
                                <w:sz w:val="20"/>
                              </w:rPr>
                              <w:t xml:space="preserve"> </w:t>
                            </w:r>
                            <w:r>
                              <w:rPr>
                                <w:rFonts w:ascii="Calibri"/>
                                <w:b/>
                                <w:color w:val="17365A"/>
                                <w:spacing w:val="-2"/>
                                <w:sz w:val="20"/>
                              </w:rPr>
                              <w:t>Implementation</w:t>
                            </w:r>
                          </w:p>
                          <w:p w14:paraId="23668705" w14:textId="77777777" w:rsidR="00BC24A8" w:rsidRDefault="00000000">
                            <w:pPr>
                              <w:spacing w:before="242"/>
                              <w:ind w:left="247" w:right="246"/>
                              <w:jc w:val="both"/>
                              <w:rPr>
                                <w:color w:val="000000"/>
                                <w:sz w:val="18"/>
                              </w:rPr>
                            </w:pPr>
                            <w:r>
                              <w:rPr>
                                <w:color w:val="000000"/>
                                <w:sz w:val="18"/>
                              </w:rPr>
                              <w:t xml:space="preserve">Since the issuance of the One Data Governor Regulation in 2022, efforts to establish data governance in Papua Barat have continued to face challenges. The regulation was already in place, but coordination and communication among technical government agencies remained rigid. Each worked in isolation, making the path toward data integration feel </w:t>
                            </w:r>
                            <w:r>
                              <w:rPr>
                                <w:color w:val="000000"/>
                                <w:spacing w:val="-2"/>
                                <w:sz w:val="18"/>
                              </w:rPr>
                              <w:t>slow.</w:t>
                            </w:r>
                          </w:p>
                          <w:p w14:paraId="2F568410" w14:textId="77777777" w:rsidR="00BC24A8" w:rsidRDefault="00000000">
                            <w:pPr>
                              <w:spacing w:before="161"/>
                              <w:ind w:left="247" w:right="242"/>
                              <w:jc w:val="both"/>
                              <w:rPr>
                                <w:color w:val="000000"/>
                                <w:sz w:val="18"/>
                              </w:rPr>
                            </w:pPr>
                            <w:r>
                              <w:rPr>
                                <w:color w:val="000000"/>
                                <w:sz w:val="18"/>
                              </w:rPr>
                              <w:t>The presence of SKALA brought an important shift. Through facilitation, mentoring, and providing space for joint discussions, the long-standing communication freeze began to thaw. As a result, several derivative regulations were drafted, the capacity of civil servants increased, and the Papua Barat One Data Forum was established. This forum became a platform to foster mutual understanding and align actions across agencies.</w:t>
                            </w:r>
                          </w:p>
                          <w:p w14:paraId="25152AF6" w14:textId="77777777" w:rsidR="00BC24A8" w:rsidRDefault="00000000">
                            <w:pPr>
                              <w:spacing w:before="160"/>
                              <w:ind w:left="247" w:right="248"/>
                              <w:jc w:val="both"/>
                              <w:rPr>
                                <w:color w:val="000000"/>
                                <w:sz w:val="18"/>
                              </w:rPr>
                            </w:pPr>
                            <w:r>
                              <w:rPr>
                                <w:color w:val="000000"/>
                                <w:sz w:val="18"/>
                              </w:rPr>
                              <w:t>Although</w:t>
                            </w:r>
                            <w:r>
                              <w:rPr>
                                <w:color w:val="000000"/>
                                <w:spacing w:val="-9"/>
                                <w:sz w:val="18"/>
                              </w:rPr>
                              <w:t xml:space="preserve"> </w:t>
                            </w:r>
                            <w:r>
                              <w:rPr>
                                <w:color w:val="000000"/>
                                <w:sz w:val="18"/>
                              </w:rPr>
                              <w:t>the</w:t>
                            </w:r>
                            <w:r>
                              <w:rPr>
                                <w:color w:val="000000"/>
                                <w:spacing w:val="-9"/>
                                <w:sz w:val="18"/>
                              </w:rPr>
                              <w:t xml:space="preserve"> </w:t>
                            </w:r>
                            <w:r>
                              <w:rPr>
                                <w:color w:val="000000"/>
                                <w:sz w:val="18"/>
                              </w:rPr>
                              <w:t>compilation</w:t>
                            </w:r>
                            <w:r>
                              <w:rPr>
                                <w:color w:val="000000"/>
                                <w:spacing w:val="-9"/>
                                <w:sz w:val="18"/>
                              </w:rPr>
                              <w:t xml:space="preserve"> </w:t>
                            </w:r>
                            <w:r>
                              <w:rPr>
                                <w:color w:val="000000"/>
                                <w:sz w:val="18"/>
                              </w:rPr>
                              <w:t>of</w:t>
                            </w:r>
                            <w:r>
                              <w:rPr>
                                <w:color w:val="000000"/>
                                <w:spacing w:val="-10"/>
                                <w:sz w:val="18"/>
                              </w:rPr>
                              <w:t xml:space="preserve"> </w:t>
                            </w:r>
                            <w:r>
                              <w:rPr>
                                <w:color w:val="000000"/>
                                <w:sz w:val="18"/>
                              </w:rPr>
                              <w:t>the</w:t>
                            </w:r>
                            <w:r>
                              <w:rPr>
                                <w:color w:val="000000"/>
                                <w:spacing w:val="-9"/>
                                <w:sz w:val="18"/>
                              </w:rPr>
                              <w:t xml:space="preserve"> </w:t>
                            </w:r>
                            <w:r>
                              <w:rPr>
                                <w:color w:val="000000"/>
                                <w:sz w:val="18"/>
                              </w:rPr>
                              <w:t>Data</w:t>
                            </w:r>
                            <w:r>
                              <w:rPr>
                                <w:color w:val="000000"/>
                                <w:spacing w:val="-10"/>
                                <w:sz w:val="18"/>
                              </w:rPr>
                              <w:t xml:space="preserve"> </w:t>
                            </w:r>
                            <w:r>
                              <w:rPr>
                                <w:color w:val="000000"/>
                                <w:sz w:val="18"/>
                              </w:rPr>
                              <w:t>Inventory</w:t>
                            </w:r>
                            <w:r>
                              <w:rPr>
                                <w:color w:val="000000"/>
                                <w:spacing w:val="-9"/>
                                <w:sz w:val="18"/>
                              </w:rPr>
                              <w:t xml:space="preserve"> </w:t>
                            </w:r>
                            <w:r>
                              <w:rPr>
                                <w:color w:val="000000"/>
                                <w:sz w:val="18"/>
                              </w:rPr>
                              <w:t>is</w:t>
                            </w:r>
                            <w:r>
                              <w:rPr>
                                <w:color w:val="000000"/>
                                <w:spacing w:val="-9"/>
                                <w:sz w:val="18"/>
                              </w:rPr>
                              <w:t xml:space="preserve"> </w:t>
                            </w:r>
                            <w:r>
                              <w:rPr>
                                <w:color w:val="000000"/>
                                <w:sz w:val="18"/>
                              </w:rPr>
                              <w:t>still</w:t>
                            </w:r>
                            <w:r>
                              <w:rPr>
                                <w:color w:val="000000"/>
                                <w:spacing w:val="-8"/>
                                <w:sz w:val="18"/>
                              </w:rPr>
                              <w:t xml:space="preserve"> </w:t>
                            </w:r>
                            <w:r>
                              <w:rPr>
                                <w:color w:val="000000"/>
                                <w:sz w:val="18"/>
                              </w:rPr>
                              <w:t>underway,</w:t>
                            </w:r>
                            <w:r>
                              <w:rPr>
                                <w:color w:val="000000"/>
                                <w:spacing w:val="-10"/>
                                <w:sz w:val="18"/>
                              </w:rPr>
                              <w:t xml:space="preserve"> </w:t>
                            </w:r>
                            <w:r>
                              <w:rPr>
                                <w:color w:val="000000"/>
                                <w:sz w:val="18"/>
                              </w:rPr>
                              <w:t>Papua</w:t>
                            </w:r>
                            <w:r>
                              <w:rPr>
                                <w:color w:val="000000"/>
                                <w:spacing w:val="-10"/>
                                <w:sz w:val="18"/>
                              </w:rPr>
                              <w:t xml:space="preserve"> </w:t>
                            </w:r>
                            <w:r>
                              <w:rPr>
                                <w:color w:val="000000"/>
                                <w:sz w:val="18"/>
                              </w:rPr>
                              <w:t>Barat</w:t>
                            </w:r>
                            <w:r>
                              <w:rPr>
                                <w:color w:val="000000"/>
                                <w:spacing w:val="-8"/>
                                <w:sz w:val="18"/>
                              </w:rPr>
                              <w:t xml:space="preserve"> </w:t>
                            </w:r>
                            <w:r>
                              <w:rPr>
                                <w:color w:val="000000"/>
                                <w:sz w:val="18"/>
                              </w:rPr>
                              <w:t>has</w:t>
                            </w:r>
                            <w:r>
                              <w:rPr>
                                <w:color w:val="000000"/>
                                <w:spacing w:val="-9"/>
                                <w:sz w:val="18"/>
                              </w:rPr>
                              <w:t xml:space="preserve"> </w:t>
                            </w:r>
                            <w:r>
                              <w:rPr>
                                <w:color w:val="000000"/>
                                <w:sz w:val="18"/>
                              </w:rPr>
                              <w:t>already</w:t>
                            </w:r>
                            <w:r>
                              <w:rPr>
                                <w:color w:val="000000"/>
                                <w:spacing w:val="-9"/>
                                <w:sz w:val="18"/>
                              </w:rPr>
                              <w:t xml:space="preserve"> </w:t>
                            </w:r>
                            <w:r>
                              <w:rPr>
                                <w:color w:val="000000"/>
                                <w:sz w:val="18"/>
                              </w:rPr>
                              <w:t>made</w:t>
                            </w:r>
                            <w:r>
                              <w:rPr>
                                <w:color w:val="000000"/>
                                <w:spacing w:val="-9"/>
                                <w:sz w:val="18"/>
                              </w:rPr>
                              <w:t xml:space="preserve"> </w:t>
                            </w:r>
                            <w:r>
                              <w:rPr>
                                <w:color w:val="000000"/>
                                <w:sz w:val="18"/>
                              </w:rPr>
                              <w:t>significant</w:t>
                            </w:r>
                            <w:r>
                              <w:rPr>
                                <w:color w:val="000000"/>
                                <w:spacing w:val="-8"/>
                                <w:sz w:val="18"/>
                              </w:rPr>
                              <w:t xml:space="preserve"> </w:t>
                            </w:r>
                            <w:r>
                              <w:rPr>
                                <w:color w:val="000000"/>
                                <w:sz w:val="18"/>
                              </w:rPr>
                              <w:t>progress.</w:t>
                            </w:r>
                            <w:r>
                              <w:rPr>
                                <w:color w:val="000000"/>
                                <w:spacing w:val="-10"/>
                                <w:sz w:val="18"/>
                              </w:rPr>
                              <w:t xml:space="preserve"> </w:t>
                            </w:r>
                            <w:r>
                              <w:rPr>
                                <w:color w:val="000000"/>
                                <w:sz w:val="18"/>
                              </w:rPr>
                              <w:t>The growing coordination is now a crucial foundation for sustainable data governance.</w:t>
                            </w:r>
                          </w:p>
                        </w:txbxContent>
                      </wps:txbx>
                      <wps:bodyPr wrap="square" lIns="0" tIns="0" rIns="0" bIns="0" rtlCol="0">
                        <a:noAutofit/>
                      </wps:bodyPr>
                    </wps:wsp>
                  </a:graphicData>
                </a:graphic>
              </wp:anchor>
            </w:drawing>
          </mc:Choice>
          <mc:Fallback>
            <w:pict>
              <v:shape w14:anchorId="7BAB639E" id="Textbox 277" o:spid="_x0000_s1081" type="#_x0000_t202" style="position:absolute;left:0;text-align:left;margin-left:70.9pt;margin-top:14.1pt;width:454.6pt;height:196pt;z-index:-156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" fillcolor="#e1f1ef" strokecolor="#bebebe" strokeweight=".48pt">
                <v:path arrowok="t"/>
                <v:textbox inset="0,0,0,0">
                  <w:txbxContent>
                    <w:p w14:paraId="3A789E2B" w14:textId="77777777" w:rsidR="00BC24A8" w:rsidRDefault="00000000">
                      <w:pPr>
                        <w:spacing w:before="119"/>
                        <w:ind w:left="2" w:right="34"/>
                        <w:jc w:val="center"/>
                        <w:rPr>
                          <w:color w:val="000000"/>
                          <w:sz w:val="20"/>
                        </w:rPr>
                      </w:pPr>
                      <w:r>
                        <w:rPr>
                          <w:color w:val="000000"/>
                          <w:sz w:val="20"/>
                        </w:rPr>
                        <w:t>S</w:t>
                      </w:r>
                      <w:r>
                        <w:rPr>
                          <w:color w:val="000000"/>
                          <w:spacing w:val="-16"/>
                          <w:sz w:val="20"/>
                        </w:rPr>
                        <w:t xml:space="preserve"> </w:t>
                      </w:r>
                      <w:r>
                        <w:rPr>
                          <w:color w:val="000000"/>
                          <w:spacing w:val="14"/>
                          <w:sz w:val="20"/>
                        </w:rPr>
                        <w:t>TO</w:t>
                      </w:r>
                      <w:r>
                        <w:rPr>
                          <w:color w:val="000000"/>
                          <w:spacing w:val="-15"/>
                          <w:sz w:val="20"/>
                        </w:rPr>
                        <w:t xml:space="preserve"> </w:t>
                      </w:r>
                      <w:r>
                        <w:rPr>
                          <w:color w:val="000000"/>
                          <w:sz w:val="20"/>
                        </w:rPr>
                        <w:t>R</w:t>
                      </w:r>
                      <w:r>
                        <w:rPr>
                          <w:color w:val="000000"/>
                          <w:spacing w:val="-15"/>
                          <w:sz w:val="20"/>
                        </w:rPr>
                        <w:t xml:space="preserve"> </w:t>
                      </w:r>
                      <w:r>
                        <w:rPr>
                          <w:color w:val="000000"/>
                          <w:sz w:val="20"/>
                        </w:rPr>
                        <w:t>Y</w:t>
                      </w:r>
                      <w:r>
                        <w:rPr>
                          <w:color w:val="000000"/>
                          <w:spacing w:val="58"/>
                          <w:sz w:val="20"/>
                        </w:rPr>
                        <w:t xml:space="preserve"> </w:t>
                      </w:r>
                      <w:r>
                        <w:rPr>
                          <w:color w:val="000000"/>
                          <w:sz w:val="20"/>
                        </w:rPr>
                        <w:t>1</w:t>
                      </w:r>
                      <w:r>
                        <w:rPr>
                          <w:color w:val="000000"/>
                          <w:spacing w:val="-15"/>
                          <w:sz w:val="20"/>
                        </w:rPr>
                        <w:t xml:space="preserve"> </w:t>
                      </w:r>
                      <w:r>
                        <w:rPr>
                          <w:color w:val="000000"/>
                          <w:spacing w:val="-10"/>
                          <w:sz w:val="20"/>
                        </w:rPr>
                        <w:t>:</w:t>
                      </w:r>
                    </w:p>
                    <w:p w14:paraId="4058A2B3" w14:textId="77777777" w:rsidR="00BC24A8" w:rsidRDefault="00000000">
                      <w:pPr>
                        <w:spacing w:before="1"/>
                        <w:ind w:left="35" w:right="34"/>
                        <w:jc w:val="center"/>
                        <w:rPr>
                          <w:rFonts w:ascii="Calibri"/>
                          <w:b/>
                          <w:color w:val="000000"/>
                          <w:sz w:val="20"/>
                        </w:rPr>
                      </w:pPr>
                      <w:r>
                        <w:rPr>
                          <w:rFonts w:ascii="Calibri"/>
                          <w:b/>
                          <w:color w:val="17365A"/>
                          <w:sz w:val="20"/>
                        </w:rPr>
                        <w:t>Breaking</w:t>
                      </w:r>
                      <w:r>
                        <w:rPr>
                          <w:rFonts w:ascii="Calibri"/>
                          <w:b/>
                          <w:color w:val="17365A"/>
                          <w:spacing w:val="-9"/>
                          <w:sz w:val="20"/>
                        </w:rPr>
                        <w:t xml:space="preserve"> </w:t>
                      </w:r>
                      <w:r>
                        <w:rPr>
                          <w:rFonts w:ascii="Calibri"/>
                          <w:b/>
                          <w:color w:val="17365A"/>
                          <w:sz w:val="20"/>
                        </w:rPr>
                        <w:t>the</w:t>
                      </w:r>
                      <w:r>
                        <w:rPr>
                          <w:rFonts w:ascii="Calibri"/>
                          <w:b/>
                          <w:color w:val="17365A"/>
                          <w:spacing w:val="-8"/>
                          <w:sz w:val="20"/>
                        </w:rPr>
                        <w:t xml:space="preserve"> </w:t>
                      </w:r>
                      <w:r>
                        <w:rPr>
                          <w:rFonts w:ascii="Calibri"/>
                          <w:b/>
                          <w:color w:val="17365A"/>
                          <w:sz w:val="20"/>
                        </w:rPr>
                        <w:t>Deadlock</w:t>
                      </w:r>
                      <w:r>
                        <w:rPr>
                          <w:rFonts w:ascii="Calibri"/>
                          <w:b/>
                          <w:color w:val="17365A"/>
                          <w:spacing w:val="-8"/>
                          <w:sz w:val="20"/>
                        </w:rPr>
                        <w:t xml:space="preserve"> </w:t>
                      </w:r>
                      <w:r>
                        <w:rPr>
                          <w:rFonts w:ascii="Calibri"/>
                          <w:b/>
                          <w:color w:val="17365A"/>
                          <w:sz w:val="20"/>
                        </w:rPr>
                        <w:t>in</w:t>
                      </w:r>
                      <w:r>
                        <w:rPr>
                          <w:rFonts w:ascii="Calibri"/>
                          <w:b/>
                          <w:color w:val="17365A"/>
                          <w:spacing w:val="-7"/>
                          <w:sz w:val="20"/>
                        </w:rPr>
                        <w:t xml:space="preserve"> </w:t>
                      </w:r>
                      <w:r>
                        <w:rPr>
                          <w:rFonts w:ascii="Calibri"/>
                          <w:b/>
                          <w:color w:val="17365A"/>
                          <w:sz w:val="20"/>
                        </w:rPr>
                        <w:t>Communication</w:t>
                      </w:r>
                      <w:r>
                        <w:rPr>
                          <w:rFonts w:ascii="Calibri"/>
                          <w:b/>
                          <w:color w:val="17365A"/>
                          <w:spacing w:val="-7"/>
                          <w:sz w:val="20"/>
                        </w:rPr>
                        <w:t xml:space="preserve"> </w:t>
                      </w:r>
                      <w:r>
                        <w:rPr>
                          <w:rFonts w:ascii="Calibri"/>
                          <w:b/>
                          <w:color w:val="17365A"/>
                          <w:sz w:val="20"/>
                        </w:rPr>
                        <w:t>and</w:t>
                      </w:r>
                      <w:r>
                        <w:rPr>
                          <w:rFonts w:ascii="Calibri"/>
                          <w:b/>
                          <w:color w:val="17365A"/>
                          <w:spacing w:val="-7"/>
                          <w:sz w:val="20"/>
                        </w:rPr>
                        <w:t xml:space="preserve"> </w:t>
                      </w:r>
                      <w:r>
                        <w:rPr>
                          <w:rFonts w:ascii="Calibri"/>
                          <w:b/>
                          <w:color w:val="17365A"/>
                          <w:sz w:val="20"/>
                        </w:rPr>
                        <w:t>Coordination</w:t>
                      </w:r>
                      <w:r>
                        <w:rPr>
                          <w:rFonts w:ascii="Calibri"/>
                          <w:b/>
                          <w:color w:val="17365A"/>
                          <w:spacing w:val="-7"/>
                          <w:sz w:val="20"/>
                        </w:rPr>
                        <w:t xml:space="preserve"> </w:t>
                      </w:r>
                      <w:r>
                        <w:rPr>
                          <w:rFonts w:ascii="Calibri"/>
                          <w:b/>
                          <w:color w:val="17365A"/>
                          <w:sz w:val="20"/>
                        </w:rPr>
                        <w:t>to</w:t>
                      </w:r>
                      <w:r>
                        <w:rPr>
                          <w:rFonts w:ascii="Calibri"/>
                          <w:b/>
                          <w:color w:val="17365A"/>
                          <w:spacing w:val="-7"/>
                          <w:sz w:val="20"/>
                        </w:rPr>
                        <w:t xml:space="preserve"> </w:t>
                      </w:r>
                      <w:r>
                        <w:rPr>
                          <w:rFonts w:ascii="Calibri"/>
                          <w:b/>
                          <w:color w:val="17365A"/>
                          <w:sz w:val="20"/>
                        </w:rPr>
                        <w:t>Advance</w:t>
                      </w:r>
                      <w:r>
                        <w:rPr>
                          <w:rFonts w:ascii="Calibri"/>
                          <w:b/>
                          <w:color w:val="17365A"/>
                          <w:spacing w:val="-8"/>
                          <w:sz w:val="20"/>
                        </w:rPr>
                        <w:t xml:space="preserve"> </w:t>
                      </w:r>
                      <w:r>
                        <w:rPr>
                          <w:rFonts w:ascii="Calibri"/>
                          <w:b/>
                          <w:color w:val="17365A"/>
                          <w:sz w:val="20"/>
                        </w:rPr>
                        <w:t>One</w:t>
                      </w:r>
                      <w:r>
                        <w:rPr>
                          <w:rFonts w:ascii="Calibri"/>
                          <w:b/>
                          <w:color w:val="17365A"/>
                          <w:spacing w:val="-8"/>
                          <w:sz w:val="20"/>
                        </w:rPr>
                        <w:t xml:space="preserve"> </w:t>
                      </w:r>
                      <w:r>
                        <w:rPr>
                          <w:rFonts w:ascii="Calibri"/>
                          <w:b/>
                          <w:color w:val="17365A"/>
                          <w:sz w:val="20"/>
                        </w:rPr>
                        <w:t>Data</w:t>
                      </w:r>
                      <w:r>
                        <w:rPr>
                          <w:rFonts w:ascii="Calibri"/>
                          <w:b/>
                          <w:color w:val="17365A"/>
                          <w:spacing w:val="-8"/>
                          <w:sz w:val="20"/>
                        </w:rPr>
                        <w:t xml:space="preserve"> </w:t>
                      </w:r>
                      <w:r>
                        <w:rPr>
                          <w:rFonts w:ascii="Calibri"/>
                          <w:b/>
                          <w:color w:val="17365A"/>
                          <w:spacing w:val="-2"/>
                          <w:sz w:val="20"/>
                        </w:rPr>
                        <w:t>Implementation</w:t>
                      </w:r>
                    </w:p>
                    <w:p w14:paraId="23668705" w14:textId="77777777" w:rsidR="00BC24A8" w:rsidRDefault="00000000">
                      <w:pPr>
                        <w:spacing w:before="242"/>
                        <w:ind w:left="247" w:right="246"/>
                        <w:jc w:val="both"/>
                        <w:rPr>
                          <w:color w:val="000000"/>
                          <w:sz w:val="18"/>
                        </w:rPr>
                      </w:pPr>
                      <w:r>
                        <w:rPr>
                          <w:color w:val="000000"/>
                          <w:sz w:val="18"/>
                        </w:rPr>
                        <w:t xml:space="preserve">Since the issuance of the One Data Governor Regulation in 2022, efforts to establish data governance in Papua Barat have continued to face challenges. The regulation was already in place, but coordination and communication among technical government agencies remained rigid. Each worked in isolation, making the path toward data integration feel </w:t>
                      </w:r>
                      <w:r>
                        <w:rPr>
                          <w:color w:val="000000"/>
                          <w:spacing w:val="-2"/>
                          <w:sz w:val="18"/>
                        </w:rPr>
                        <w:t>slow.</w:t>
                      </w:r>
                    </w:p>
                    <w:p w14:paraId="2F568410" w14:textId="77777777" w:rsidR="00BC24A8" w:rsidRDefault="00000000">
                      <w:pPr>
                        <w:spacing w:before="161"/>
                        <w:ind w:left="247" w:right="242"/>
                        <w:jc w:val="both"/>
                        <w:rPr>
                          <w:color w:val="000000"/>
                          <w:sz w:val="18"/>
                        </w:rPr>
                      </w:pPr>
                      <w:r>
                        <w:rPr>
                          <w:color w:val="000000"/>
                          <w:sz w:val="18"/>
                        </w:rPr>
                        <w:t>The presence of SKALA brought an important shift. Through facilitation, mentoring, and providing space for joint discussions, the long-standing communication freeze began to thaw. As a result, several derivative regulations were drafted, the capacity of civil servants increased, and the Papua Barat One Data Forum was established. This forum became a platform to foster mutual understanding and align actions across agencies.</w:t>
                      </w:r>
                    </w:p>
                    <w:p w14:paraId="25152AF6" w14:textId="77777777" w:rsidR="00BC24A8" w:rsidRDefault="00000000">
                      <w:pPr>
                        <w:spacing w:before="160"/>
                        <w:ind w:left="247" w:right="248"/>
                        <w:jc w:val="both"/>
                        <w:rPr>
                          <w:color w:val="000000"/>
                          <w:sz w:val="18"/>
                        </w:rPr>
                      </w:pPr>
                      <w:r>
                        <w:rPr>
                          <w:color w:val="000000"/>
                          <w:sz w:val="18"/>
                        </w:rPr>
                        <w:t>Although</w:t>
                      </w:r>
                      <w:r>
                        <w:rPr>
                          <w:color w:val="000000"/>
                          <w:spacing w:val="-9"/>
                          <w:sz w:val="18"/>
                        </w:rPr>
                        <w:t xml:space="preserve"> </w:t>
                      </w:r>
                      <w:r>
                        <w:rPr>
                          <w:color w:val="000000"/>
                          <w:sz w:val="18"/>
                        </w:rPr>
                        <w:t>the</w:t>
                      </w:r>
                      <w:r>
                        <w:rPr>
                          <w:color w:val="000000"/>
                          <w:spacing w:val="-9"/>
                          <w:sz w:val="18"/>
                        </w:rPr>
                        <w:t xml:space="preserve"> </w:t>
                      </w:r>
                      <w:r>
                        <w:rPr>
                          <w:color w:val="000000"/>
                          <w:sz w:val="18"/>
                        </w:rPr>
                        <w:t>compilation</w:t>
                      </w:r>
                      <w:r>
                        <w:rPr>
                          <w:color w:val="000000"/>
                          <w:spacing w:val="-9"/>
                          <w:sz w:val="18"/>
                        </w:rPr>
                        <w:t xml:space="preserve"> </w:t>
                      </w:r>
                      <w:r>
                        <w:rPr>
                          <w:color w:val="000000"/>
                          <w:sz w:val="18"/>
                        </w:rPr>
                        <w:t>of</w:t>
                      </w:r>
                      <w:r>
                        <w:rPr>
                          <w:color w:val="000000"/>
                          <w:spacing w:val="-10"/>
                          <w:sz w:val="18"/>
                        </w:rPr>
                        <w:t xml:space="preserve"> </w:t>
                      </w:r>
                      <w:r>
                        <w:rPr>
                          <w:color w:val="000000"/>
                          <w:sz w:val="18"/>
                        </w:rPr>
                        <w:t>the</w:t>
                      </w:r>
                      <w:r>
                        <w:rPr>
                          <w:color w:val="000000"/>
                          <w:spacing w:val="-9"/>
                          <w:sz w:val="18"/>
                        </w:rPr>
                        <w:t xml:space="preserve"> </w:t>
                      </w:r>
                      <w:r>
                        <w:rPr>
                          <w:color w:val="000000"/>
                          <w:sz w:val="18"/>
                        </w:rPr>
                        <w:t>Data</w:t>
                      </w:r>
                      <w:r>
                        <w:rPr>
                          <w:color w:val="000000"/>
                          <w:spacing w:val="-10"/>
                          <w:sz w:val="18"/>
                        </w:rPr>
                        <w:t xml:space="preserve"> </w:t>
                      </w:r>
                      <w:r>
                        <w:rPr>
                          <w:color w:val="000000"/>
                          <w:sz w:val="18"/>
                        </w:rPr>
                        <w:t>Inventory</w:t>
                      </w:r>
                      <w:r>
                        <w:rPr>
                          <w:color w:val="000000"/>
                          <w:spacing w:val="-9"/>
                          <w:sz w:val="18"/>
                        </w:rPr>
                        <w:t xml:space="preserve"> </w:t>
                      </w:r>
                      <w:r>
                        <w:rPr>
                          <w:color w:val="000000"/>
                          <w:sz w:val="18"/>
                        </w:rPr>
                        <w:t>is</w:t>
                      </w:r>
                      <w:r>
                        <w:rPr>
                          <w:color w:val="000000"/>
                          <w:spacing w:val="-9"/>
                          <w:sz w:val="18"/>
                        </w:rPr>
                        <w:t xml:space="preserve"> </w:t>
                      </w:r>
                      <w:r>
                        <w:rPr>
                          <w:color w:val="000000"/>
                          <w:sz w:val="18"/>
                        </w:rPr>
                        <w:t>still</w:t>
                      </w:r>
                      <w:r>
                        <w:rPr>
                          <w:color w:val="000000"/>
                          <w:spacing w:val="-8"/>
                          <w:sz w:val="18"/>
                        </w:rPr>
                        <w:t xml:space="preserve"> </w:t>
                      </w:r>
                      <w:r>
                        <w:rPr>
                          <w:color w:val="000000"/>
                          <w:sz w:val="18"/>
                        </w:rPr>
                        <w:t>underway,</w:t>
                      </w:r>
                      <w:r>
                        <w:rPr>
                          <w:color w:val="000000"/>
                          <w:spacing w:val="-10"/>
                          <w:sz w:val="18"/>
                        </w:rPr>
                        <w:t xml:space="preserve"> </w:t>
                      </w:r>
                      <w:r>
                        <w:rPr>
                          <w:color w:val="000000"/>
                          <w:sz w:val="18"/>
                        </w:rPr>
                        <w:t>Papua</w:t>
                      </w:r>
                      <w:r>
                        <w:rPr>
                          <w:color w:val="000000"/>
                          <w:spacing w:val="-10"/>
                          <w:sz w:val="18"/>
                        </w:rPr>
                        <w:t xml:space="preserve"> </w:t>
                      </w:r>
                      <w:r>
                        <w:rPr>
                          <w:color w:val="000000"/>
                          <w:sz w:val="18"/>
                        </w:rPr>
                        <w:t>Barat</w:t>
                      </w:r>
                      <w:r>
                        <w:rPr>
                          <w:color w:val="000000"/>
                          <w:spacing w:val="-8"/>
                          <w:sz w:val="18"/>
                        </w:rPr>
                        <w:t xml:space="preserve"> </w:t>
                      </w:r>
                      <w:r>
                        <w:rPr>
                          <w:color w:val="000000"/>
                          <w:sz w:val="18"/>
                        </w:rPr>
                        <w:t>has</w:t>
                      </w:r>
                      <w:r>
                        <w:rPr>
                          <w:color w:val="000000"/>
                          <w:spacing w:val="-9"/>
                          <w:sz w:val="18"/>
                        </w:rPr>
                        <w:t xml:space="preserve"> </w:t>
                      </w:r>
                      <w:r>
                        <w:rPr>
                          <w:color w:val="000000"/>
                          <w:sz w:val="18"/>
                        </w:rPr>
                        <w:t>already</w:t>
                      </w:r>
                      <w:r>
                        <w:rPr>
                          <w:color w:val="000000"/>
                          <w:spacing w:val="-9"/>
                          <w:sz w:val="18"/>
                        </w:rPr>
                        <w:t xml:space="preserve"> </w:t>
                      </w:r>
                      <w:r>
                        <w:rPr>
                          <w:color w:val="000000"/>
                          <w:sz w:val="18"/>
                        </w:rPr>
                        <w:t>made</w:t>
                      </w:r>
                      <w:r>
                        <w:rPr>
                          <w:color w:val="000000"/>
                          <w:spacing w:val="-9"/>
                          <w:sz w:val="18"/>
                        </w:rPr>
                        <w:t xml:space="preserve"> </w:t>
                      </w:r>
                      <w:r>
                        <w:rPr>
                          <w:color w:val="000000"/>
                          <w:sz w:val="18"/>
                        </w:rPr>
                        <w:t>significant</w:t>
                      </w:r>
                      <w:r>
                        <w:rPr>
                          <w:color w:val="000000"/>
                          <w:spacing w:val="-8"/>
                          <w:sz w:val="18"/>
                        </w:rPr>
                        <w:t xml:space="preserve"> </w:t>
                      </w:r>
                      <w:r>
                        <w:rPr>
                          <w:color w:val="000000"/>
                          <w:sz w:val="18"/>
                        </w:rPr>
                        <w:t>progress.</w:t>
                      </w:r>
                      <w:r>
                        <w:rPr>
                          <w:color w:val="000000"/>
                          <w:spacing w:val="-10"/>
                          <w:sz w:val="18"/>
                        </w:rPr>
                        <w:t xml:space="preserve"> </w:t>
                      </w:r>
                      <w:r>
                        <w:rPr>
                          <w:color w:val="000000"/>
                          <w:sz w:val="18"/>
                        </w:rPr>
                        <w:t>The growing coordination is now a crucial foundation for sustainable data governance.</w:t>
                      </w:r>
                    </w:p>
                  </w:txbxContent>
                </v:textbox>
                <w10:wrap type="topAndBottom" anchorx="page"/>
              </v:shape>
            </w:pict>
          </mc:Fallback>
        </mc:AlternateContent>
      </w:r>
      <w:r>
        <w:rPr>
          <w:rFonts w:ascii="Calibri"/>
          <w:color w:val="272727"/>
        </w:rPr>
        <w:t>Significant</w:t>
      </w:r>
      <w:r>
        <w:rPr>
          <w:rFonts w:ascii="Calibri"/>
          <w:color w:val="272727"/>
          <w:spacing w:val="-10"/>
        </w:rPr>
        <w:t xml:space="preserve"> </w:t>
      </w:r>
      <w:r>
        <w:rPr>
          <w:rFonts w:ascii="Calibri"/>
          <w:color w:val="272727"/>
        </w:rPr>
        <w:t>change</w:t>
      </w:r>
      <w:r>
        <w:rPr>
          <w:rFonts w:ascii="Calibri"/>
          <w:color w:val="272727"/>
          <w:spacing w:val="-11"/>
        </w:rPr>
        <w:t xml:space="preserve"> </w:t>
      </w:r>
      <w:r>
        <w:rPr>
          <w:rFonts w:ascii="Calibri"/>
          <w:color w:val="272727"/>
          <w:spacing w:val="-4"/>
        </w:rPr>
        <w:t>story</w:t>
      </w:r>
    </w:p>
    <w:p w14:paraId="5A63AC9A" w14:textId="77777777" w:rsidR="00BC24A8" w:rsidRDefault="00BC24A8">
      <w:pPr>
        <w:pStyle w:val="BodyText"/>
        <w:rPr>
          <w:rFonts w:ascii="Calibri"/>
        </w:rPr>
        <w:sectPr w:rsidR="00BC24A8">
          <w:pgSz w:w="11910" w:h="16840"/>
          <w:pgMar w:top="1320" w:right="850" w:bottom="1100" w:left="1275" w:header="0" w:footer="907" w:gutter="0"/>
          <w:cols w:space="720"/>
        </w:sectPr>
      </w:pPr>
    </w:p>
    <w:p w14:paraId="3CE181E9" w14:textId="77777777" w:rsidR="00BC24A8" w:rsidRDefault="00000000">
      <w:pPr>
        <w:pStyle w:val="BodyText"/>
        <w:rPr>
          <w:rFonts w:ascii="Calibri"/>
          <w:sz w:val="18"/>
        </w:rPr>
      </w:pPr>
      <w:r>
        <w:rPr>
          <w:rFonts w:ascii="Calibri"/>
          <w:noProof/>
          <w:sz w:val="18"/>
        </w:rPr>
        <mc:AlternateContent>
          <mc:Choice Requires="wpg">
            <w:drawing>
              <wp:anchor distT="0" distB="0" distL="0" distR="0" simplePos="0" relativeHeight="478690816" behindDoc="1" locked="0" layoutInCell="1" allowOverlap="1" wp14:anchorId="69114B00" wp14:editId="4B7F3DA4">
                <wp:simplePos x="0" y="0"/>
                <wp:positionH relativeFrom="page">
                  <wp:posOffset>897636</wp:posOffset>
                </wp:positionH>
                <wp:positionV relativeFrom="page">
                  <wp:posOffset>900671</wp:posOffset>
                </wp:positionV>
                <wp:extent cx="5779135" cy="5311775"/>
                <wp:effectExtent l="0" t="0" r="0" b="0"/>
                <wp:wrapNone/>
                <wp:docPr id="278" name="Group 278" descr="…The presence of SKALA in pushing for One Data Papua Barat has been very positive. SKALA managed to bridge the communication freeze that had long existed among technical agencies.&#10;Zaenal Fanumbi, Head of Cryptography and Statistics Division, Papua Barat Communication and Information&#10;Office (Diskominfo)&#10;&#10;&#10;&#10;S TO R Y 2 :&#10;Strengthening Understanding and Capacity for an MSS and GEDSI-Responsive RPJMD&#10;Preparing an RPJMD is not merely a five-year obligation. It carries the direction of regional development, defines priorities, and reflects the government’s commitment to meeting the needs of the people. In Papua Barat, this process presents its own challenges. The drafting team must be able to translate the vision and mission of the regional head while also accommodating national strategic policies, including MSS and GEDSI.&#10;Before SKALA’s involvement, discussions on MSS and GEDSI often did not receive sufficient attention. Although data and regulations were available, they were not fully utilised to strengthen the arguments and policy directions in the document.&#10;SKALA’s support changed the way the team worked. By introducing various data analysis tools, regulations, and relevant policies, the Bappeda team began to approach the RPJMD drafting process from a new perspective—more structured, evidence-based, and responsive to the needs of basic services and vulnerable groups.&#10;Now, MSS and GEDSI are no longer treated as additional notes, but have become an integral part of Papua Barat’s RPJMD framework.&#10;&#10;&#10;..SKALA’s support in the RPJMD draing process has been very signiflcant. SKALA provided input, learning, and knowledge to Bappeda to ensure that the RPJMD takes into account the needs of MSS and GEDSI. Deassy D. Tetelepta, Head of Bappeda Papua Bara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5311775"/>
                          <a:chOff x="0" y="0"/>
                          <a:chExt cx="5779135" cy="5311775"/>
                        </a:xfrm>
                      </wpg:grpSpPr>
                      <wps:wsp>
                        <wps:cNvPr id="279" name="Graphic 279"/>
                        <wps:cNvSpPr/>
                        <wps:spPr>
                          <a:xfrm>
                            <a:off x="6095" y="6108"/>
                            <a:ext cx="5765800" cy="1461770"/>
                          </a:xfrm>
                          <a:custGeom>
                            <a:avLst/>
                            <a:gdLst/>
                            <a:ahLst/>
                            <a:cxnLst/>
                            <a:rect l="l" t="t" r="r" b="b"/>
                            <a:pathLst>
                              <a:path w="5765800" h="1461770">
                                <a:moveTo>
                                  <a:pt x="5765292" y="0"/>
                                </a:moveTo>
                                <a:lnTo>
                                  <a:pt x="0" y="0"/>
                                </a:lnTo>
                                <a:lnTo>
                                  <a:pt x="0" y="1461516"/>
                                </a:lnTo>
                                <a:lnTo>
                                  <a:pt x="5765292" y="1461516"/>
                                </a:lnTo>
                                <a:lnTo>
                                  <a:pt x="5765292" y="0"/>
                                </a:lnTo>
                                <a:close/>
                              </a:path>
                            </a:pathLst>
                          </a:custGeom>
                          <a:solidFill>
                            <a:srgbClr val="E1F1EF"/>
                          </a:solidFill>
                        </wps:spPr>
                        <wps:bodyPr wrap="square" lIns="0" tIns="0" rIns="0" bIns="0" rtlCol="0">
                          <a:prstTxWarp prst="textNoShape">
                            <a:avLst/>
                          </a:prstTxWarp>
                          <a:noAutofit/>
                        </wps:bodyPr>
                      </wps:wsp>
                      <wps:wsp>
                        <wps:cNvPr id="280" name="Graphic 280"/>
                        <wps:cNvSpPr/>
                        <wps:spPr>
                          <a:xfrm>
                            <a:off x="0" y="0"/>
                            <a:ext cx="5779135" cy="1468120"/>
                          </a:xfrm>
                          <a:custGeom>
                            <a:avLst/>
                            <a:gdLst/>
                            <a:ahLst/>
                            <a:cxnLst/>
                            <a:rect l="l" t="t" r="r" b="b"/>
                            <a:pathLst>
                              <a:path w="5779135" h="1468120">
                                <a:moveTo>
                                  <a:pt x="6108" y="6121"/>
                                </a:moveTo>
                                <a:lnTo>
                                  <a:pt x="0" y="6121"/>
                                </a:lnTo>
                                <a:lnTo>
                                  <a:pt x="0" y="1467624"/>
                                </a:lnTo>
                                <a:lnTo>
                                  <a:pt x="6108" y="1467624"/>
                                </a:lnTo>
                                <a:lnTo>
                                  <a:pt x="6108" y="6121"/>
                                </a:lnTo>
                                <a:close/>
                              </a:path>
                              <a:path w="5779135" h="1468120">
                                <a:moveTo>
                                  <a:pt x="5779008" y="6121"/>
                                </a:moveTo>
                                <a:lnTo>
                                  <a:pt x="5772912" y="6121"/>
                                </a:lnTo>
                                <a:lnTo>
                                  <a:pt x="5772912" y="1467624"/>
                                </a:lnTo>
                                <a:lnTo>
                                  <a:pt x="5779008" y="1467624"/>
                                </a:lnTo>
                                <a:lnTo>
                                  <a:pt x="5779008" y="6121"/>
                                </a:lnTo>
                                <a:close/>
                              </a:path>
                              <a:path w="5779135" h="1468120">
                                <a:moveTo>
                                  <a:pt x="5779008" y="0"/>
                                </a:moveTo>
                                <a:lnTo>
                                  <a:pt x="5772912" y="0"/>
                                </a:lnTo>
                                <a:lnTo>
                                  <a:pt x="6108" y="0"/>
                                </a:lnTo>
                                <a:lnTo>
                                  <a:pt x="0" y="0"/>
                                </a:lnTo>
                                <a:lnTo>
                                  <a:pt x="0" y="6108"/>
                                </a:lnTo>
                                <a:lnTo>
                                  <a:pt x="6096" y="6108"/>
                                </a:lnTo>
                                <a:lnTo>
                                  <a:pt x="5772912" y="6108"/>
                                </a:lnTo>
                                <a:lnTo>
                                  <a:pt x="5779008" y="6108"/>
                                </a:lnTo>
                                <a:lnTo>
                                  <a:pt x="5779008" y="0"/>
                                </a:lnTo>
                                <a:close/>
                              </a:path>
                            </a:pathLst>
                          </a:custGeom>
                          <a:solidFill>
                            <a:srgbClr val="BEBEBE"/>
                          </a:solidFill>
                        </wps:spPr>
                        <wps:bodyPr wrap="square" lIns="0" tIns="0" rIns="0" bIns="0" rtlCol="0">
                          <a:prstTxWarp prst="textNoShape">
                            <a:avLst/>
                          </a:prstTxWarp>
                          <a:noAutofit/>
                        </wps:bodyPr>
                      </wps:wsp>
                      <wps:wsp>
                        <wps:cNvPr id="281" name="Graphic 281"/>
                        <wps:cNvSpPr/>
                        <wps:spPr>
                          <a:xfrm>
                            <a:off x="6095" y="1475244"/>
                            <a:ext cx="5765800" cy="3830320"/>
                          </a:xfrm>
                          <a:custGeom>
                            <a:avLst/>
                            <a:gdLst/>
                            <a:ahLst/>
                            <a:cxnLst/>
                            <a:rect l="l" t="t" r="r" b="b"/>
                            <a:pathLst>
                              <a:path w="5765800" h="3830320">
                                <a:moveTo>
                                  <a:pt x="5765292" y="0"/>
                                </a:moveTo>
                                <a:lnTo>
                                  <a:pt x="0" y="0"/>
                                </a:lnTo>
                                <a:lnTo>
                                  <a:pt x="0" y="3829811"/>
                                </a:lnTo>
                                <a:lnTo>
                                  <a:pt x="5765292" y="3829811"/>
                                </a:lnTo>
                                <a:lnTo>
                                  <a:pt x="5765292" y="0"/>
                                </a:lnTo>
                                <a:close/>
                              </a:path>
                            </a:pathLst>
                          </a:custGeom>
                          <a:solidFill>
                            <a:srgbClr val="E1F1EF"/>
                          </a:solidFill>
                        </wps:spPr>
                        <wps:bodyPr wrap="square" lIns="0" tIns="0" rIns="0" bIns="0" rtlCol="0">
                          <a:prstTxWarp prst="textNoShape">
                            <a:avLst/>
                          </a:prstTxWarp>
                          <a:noAutofit/>
                        </wps:bodyPr>
                      </wps:wsp>
                      <wps:wsp>
                        <wps:cNvPr id="282" name="Graphic 282"/>
                        <wps:cNvSpPr/>
                        <wps:spPr>
                          <a:xfrm>
                            <a:off x="0" y="1467611"/>
                            <a:ext cx="5779135" cy="3843654"/>
                          </a:xfrm>
                          <a:custGeom>
                            <a:avLst/>
                            <a:gdLst/>
                            <a:ahLst/>
                            <a:cxnLst/>
                            <a:rect l="l" t="t" r="r" b="b"/>
                            <a:pathLst>
                              <a:path w="5779135" h="3843654">
                                <a:moveTo>
                                  <a:pt x="5779008" y="0"/>
                                </a:moveTo>
                                <a:lnTo>
                                  <a:pt x="5772912" y="0"/>
                                </a:lnTo>
                                <a:lnTo>
                                  <a:pt x="5772912" y="6108"/>
                                </a:lnTo>
                                <a:lnTo>
                                  <a:pt x="5772912" y="3837444"/>
                                </a:lnTo>
                                <a:lnTo>
                                  <a:pt x="6108" y="3837444"/>
                                </a:lnTo>
                                <a:lnTo>
                                  <a:pt x="6108" y="6108"/>
                                </a:lnTo>
                                <a:lnTo>
                                  <a:pt x="5772912" y="6108"/>
                                </a:lnTo>
                                <a:lnTo>
                                  <a:pt x="5772912" y="0"/>
                                </a:lnTo>
                                <a:lnTo>
                                  <a:pt x="6108" y="0"/>
                                </a:lnTo>
                                <a:lnTo>
                                  <a:pt x="0" y="0"/>
                                </a:lnTo>
                                <a:lnTo>
                                  <a:pt x="0" y="6108"/>
                                </a:lnTo>
                                <a:lnTo>
                                  <a:pt x="0" y="3837444"/>
                                </a:lnTo>
                                <a:lnTo>
                                  <a:pt x="0" y="3843540"/>
                                </a:lnTo>
                                <a:lnTo>
                                  <a:pt x="6096" y="3843540"/>
                                </a:lnTo>
                                <a:lnTo>
                                  <a:pt x="5772912" y="3843540"/>
                                </a:lnTo>
                                <a:lnTo>
                                  <a:pt x="5779008" y="3843540"/>
                                </a:lnTo>
                                <a:lnTo>
                                  <a:pt x="5779008" y="3837444"/>
                                </a:lnTo>
                                <a:lnTo>
                                  <a:pt x="5779008" y="6108"/>
                                </a:lnTo>
                                <a:lnTo>
                                  <a:pt x="5779008" y="0"/>
                                </a:lnTo>
                                <a:close/>
                              </a:path>
                            </a:pathLst>
                          </a:custGeom>
                          <a:solidFill>
                            <a:srgbClr val="BEBEBE"/>
                          </a:solidFill>
                        </wps:spPr>
                        <wps:bodyPr wrap="square" lIns="0" tIns="0" rIns="0" bIns="0" rtlCol="0">
                          <a:prstTxWarp prst="textNoShape">
                            <a:avLst/>
                          </a:prstTxWarp>
                          <a:noAutofit/>
                        </wps:bodyPr>
                      </wps:wsp>
                      <wps:wsp>
                        <wps:cNvPr id="283" name="Graphic 283"/>
                        <wps:cNvSpPr/>
                        <wps:spPr>
                          <a:xfrm>
                            <a:off x="180594" y="252107"/>
                            <a:ext cx="5410200" cy="819150"/>
                          </a:xfrm>
                          <a:custGeom>
                            <a:avLst/>
                            <a:gdLst/>
                            <a:ahLst/>
                            <a:cxnLst/>
                            <a:rect l="l" t="t" r="r" b="b"/>
                            <a:pathLst>
                              <a:path w="5410200" h="819150">
                                <a:moveTo>
                                  <a:pt x="0" y="0"/>
                                </a:moveTo>
                                <a:lnTo>
                                  <a:pt x="5410200" y="0"/>
                                </a:lnTo>
                                <a:lnTo>
                                  <a:pt x="5410200" y="818908"/>
                                </a:lnTo>
                                <a:lnTo>
                                  <a:pt x="0" y="818908"/>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28" cstate="print"/>
                          <a:stretch>
                            <a:fillRect/>
                          </a:stretch>
                        </pic:blipFill>
                        <pic:spPr>
                          <a:xfrm>
                            <a:off x="241573" y="97707"/>
                            <a:ext cx="223210" cy="205051"/>
                          </a:xfrm>
                          <a:prstGeom prst="rect">
                            <a:avLst/>
                          </a:prstGeom>
                        </pic:spPr>
                      </pic:pic>
                      <pic:pic xmlns:pic="http://schemas.openxmlformats.org/drawingml/2006/picture">
                        <pic:nvPicPr>
                          <pic:cNvPr id="285" name="Image 285"/>
                          <pic:cNvPicPr/>
                        </pic:nvPicPr>
                        <pic:blipFill>
                          <a:blip r:embed="rId25" cstate="print"/>
                          <a:stretch>
                            <a:fillRect/>
                          </a:stretch>
                        </pic:blipFill>
                        <pic:spPr>
                          <a:xfrm>
                            <a:off x="5298185" y="1021372"/>
                            <a:ext cx="223210" cy="205051"/>
                          </a:xfrm>
                          <a:prstGeom prst="rect">
                            <a:avLst/>
                          </a:prstGeom>
                        </pic:spPr>
                      </pic:pic>
                      <wps:wsp>
                        <wps:cNvPr id="286" name="Graphic 286"/>
                        <wps:cNvSpPr/>
                        <wps:spPr>
                          <a:xfrm>
                            <a:off x="172973" y="4230573"/>
                            <a:ext cx="5410200" cy="770890"/>
                          </a:xfrm>
                          <a:custGeom>
                            <a:avLst/>
                            <a:gdLst/>
                            <a:ahLst/>
                            <a:cxnLst/>
                            <a:rect l="l" t="t" r="r" b="b"/>
                            <a:pathLst>
                              <a:path w="5410200" h="770890">
                                <a:moveTo>
                                  <a:pt x="0" y="0"/>
                                </a:moveTo>
                                <a:lnTo>
                                  <a:pt x="5410200" y="0"/>
                                </a:lnTo>
                                <a:lnTo>
                                  <a:pt x="5410200" y="770636"/>
                                </a:lnTo>
                                <a:lnTo>
                                  <a:pt x="0" y="770636"/>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22" cstate="print"/>
                          <a:stretch>
                            <a:fillRect/>
                          </a:stretch>
                        </pic:blipFill>
                        <pic:spPr>
                          <a:xfrm>
                            <a:off x="233952" y="4076238"/>
                            <a:ext cx="223210" cy="204949"/>
                          </a:xfrm>
                          <a:prstGeom prst="rect">
                            <a:avLst/>
                          </a:prstGeom>
                        </pic:spPr>
                      </pic:pic>
                      <pic:pic xmlns:pic="http://schemas.openxmlformats.org/drawingml/2006/picture">
                        <pic:nvPicPr>
                          <pic:cNvPr id="288" name="Image 288"/>
                          <pic:cNvPicPr/>
                        </pic:nvPicPr>
                        <pic:blipFill>
                          <a:blip r:embed="rId20" cstate="print"/>
                          <a:stretch>
                            <a:fillRect/>
                          </a:stretch>
                        </pic:blipFill>
                        <pic:spPr>
                          <a:xfrm>
                            <a:off x="5290565" y="4944762"/>
                            <a:ext cx="223210" cy="204949"/>
                          </a:xfrm>
                          <a:prstGeom prst="rect">
                            <a:avLst/>
                          </a:prstGeom>
                        </pic:spPr>
                      </pic:pic>
                    </wpg:wgp>
                  </a:graphicData>
                </a:graphic>
              </wp:anchor>
            </w:drawing>
          </mc:Choice>
          <mc:Fallback>
            <w:pict>
              <v:group w14:anchorId="2C31A7E8" id="Group 278" o:spid="_x0000_s1026" alt="…The presence of SKALA in pushing for One Data Papua Barat has been very positive. SKALA managed to bridge the communication freeze that had long existed among technical agencies.&#10;Zaenal Fanumbi, Head of Cryptography and Statistics Division, Papua Barat Communication and Information&#10;Office (Diskominfo)&#10;&#10;&#10;&#10;S TO R Y 2 :&#10;Strengthening Understanding and Capacity for an MSS and GEDSI-Responsive RPJMD&#10;Preparing an RPJMD is not merely a five-year obligation. It carries the direction of regional development, defines priorities, and reflects the government’s commitment to meeting the needs of the people. In Papua Barat, this process presents its own challenges. The drafting team must be able to translate the vision and mission of the regional head while also accommodating national strategic policies, including MSS and GEDSI.&#10;Before SKALA’s involvement, discussions on MSS and GEDSI often did not receive sufficient attention. Although data and regulations were available, they were not fully utilised to strengthen the arguments and policy directions in the document.&#10;SKALA’s support changed the way the team worked. By introducing various data analysis tools, regulations, and relevant policies, the Bappeda team began to approach the RPJMD drafting process from a new perspective—more structured, evidence-based, and responsive to the needs of basic services and vulnerable groups.&#10;Now, MSS and GEDSI are no longer treated as additional notes, but have become an integral part of Papua Barat’s RPJMD framework.&#10;&#10;&#10;..SKALA’s support in the RPJMD draing process has been very signiflcant. SKALA provided input, learning, and knowledge to Bappeda to ensure that the RPJMD takes into account the needs of MSS and GEDSI. Deassy D. Tetelepta, Head of Bappeda Papua Barat" style="position:absolute;margin-left:70.7pt;margin-top:70.9pt;width:455.05pt;height:418.25pt;z-index:-24625664;mso-wrap-distance-left:0;mso-wrap-distance-right:0;mso-position-horizontal-relative:page;mso-position-vertical-relative:page" coordsize="57791,5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">
                <v:shape id="Graphic 279" o:spid="_x0000_s1027" style="position:absolute;left:60;top:61;width:57658;height:14617;visibility:visible;mso-wrap-style:square;v-text-anchor:top" coordsize="5765800,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" path="m5765292,l,,,1461516r5765292,l5765292,xe" fillcolor="#e1f1ef" stroked="f">
                  <v:path arrowok="t"/>
                </v:shape>
                <v:shape id="Graphic 280" o:spid="_x0000_s1028" style="position:absolute;width:57791;height:14681;visibility:visible;mso-wrap-style:square;v-text-anchor:top" coordsize="5779135,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" path="m6108,6121l,6121,,1467624r6108,l6108,6121xem5779008,6121r-6096,l5772912,1467624r6096,l5779008,6121xem5779008,r-6096,l6108,,,,,6108r6096,l5772912,6108r6096,l5779008,xe" fillcolor="#bebebe" stroked="f">
                  <v:path arrowok="t"/>
                </v:shape>
                <v:shape id="Graphic 281" o:spid="_x0000_s1029" style="position:absolute;left:60;top:14752;width:57658;height:38303;visibility:visible;mso-wrap-style:square;v-text-anchor:top" coordsize="5765800,38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" path="m5765292,l,,,3829811r5765292,l5765292,xe" fillcolor="#e1f1ef" stroked="f">
                  <v:path arrowok="t"/>
                </v:shape>
                <v:shape id="Graphic 282" o:spid="_x0000_s1030" style="position:absolute;top:14676;width:57791;height:38436;visibility:visible;mso-wrap-style:square;v-text-anchor:top" coordsize="5779135,384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" path="m5779008,r-6096,l5772912,6108r,3831336l6108,3837444,6108,6108r5766804,l5772912,,6108,,,,,6108,,3837444r,6096l6096,3843540r5766816,l5779008,3843540r,-6096l5779008,6108r,-6108xe" fillcolor="#bebebe" stroked="f">
                  <v:path arrowok="t"/>
                </v:shape>
                <v:shape id="Graphic 283" o:spid="_x0000_s1031" style="position:absolute;left:1805;top:2521;width:54102;height:8191;visibility:visible;mso-wrap-style:square;v-text-anchor:top" coordsize="541020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" path="m,l5410200,r,818908l,818908,,xe" filled="f" strokecolor="#17365a" strokeweight="1pt">
                  <v:path arrowok="t"/>
                </v:shape>
                <v:shape id="Image 284" o:spid="_x0000_s1032" type="#_x0000_t75" style="position:absolute;left:2415;top:977;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">
                  <v:imagedata r:id="rId29" o:title=""/>
                </v:shape>
                <v:shape id="Image 285" o:spid="_x0000_s1033" type="#_x0000_t75" style="position:absolute;left:52981;top:10213;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">
                  <v:imagedata r:id="rId27" o:title=""/>
                </v:shape>
                <v:shape id="Graphic 286" o:spid="_x0000_s1034" style="position:absolute;left:1729;top:42305;width:54102;height:7709;visibility:visible;mso-wrap-style:square;v-text-anchor:top" coordsize="541020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" path="m,l5410200,r,770636l,770636,,xe" filled="f" strokecolor="#17365a" strokeweight="1pt">
                  <v:path arrowok="t"/>
                </v:shape>
                <v:shape id="Image 287" o:spid="_x0000_s1035" type="#_x0000_t75" style="position:absolute;left:2339;top:40762;width:2232;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">
                  <v:imagedata r:id="rId23" o:title=""/>
                </v:shape>
                <v:shape id="Image 288" o:spid="_x0000_s1036" type="#_x0000_t75" style="position:absolute;left:52905;top:49447;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">
                  <v:imagedata r:id="rId21" o:title=""/>
                </v:shape>
                <w10:wrap anchorx="page" anchory="page"/>
              </v:group>
            </w:pict>
          </mc:Fallback>
        </mc:AlternateContent>
      </w:r>
    </w:p>
    <w:p w14:paraId="3241AC0D" w14:textId="77777777" w:rsidR="00BC24A8" w:rsidRDefault="00BC24A8">
      <w:pPr>
        <w:pStyle w:val="BodyText"/>
        <w:spacing w:before="174"/>
        <w:rPr>
          <w:rFonts w:ascii="Calibri"/>
          <w:sz w:val="18"/>
        </w:rPr>
      </w:pPr>
    </w:p>
    <w:p w14:paraId="1C72317C" w14:textId="77777777" w:rsidR="00BC24A8" w:rsidRDefault="00000000">
      <w:pPr>
        <w:spacing w:before="1" w:line="292" w:lineRule="auto"/>
        <w:ind w:left="721" w:right="1116"/>
        <w:rPr>
          <w:rFonts w:ascii="Times New Roman" w:hAnsi="Times New Roman"/>
          <w:b/>
          <w:i/>
          <w:sz w:val="18"/>
        </w:rPr>
      </w:pPr>
      <w:r>
        <w:rPr>
          <w:rFonts w:ascii="Times New Roman" w:hAnsi="Times New Roman"/>
          <w:b/>
          <w:i/>
          <w:color w:val="17365A"/>
          <w:sz w:val="18"/>
        </w:rPr>
        <w:t>…The</w:t>
      </w:r>
      <w:r>
        <w:rPr>
          <w:rFonts w:ascii="Times New Roman" w:hAnsi="Times New Roman"/>
          <w:b/>
          <w:i/>
          <w:color w:val="17365A"/>
          <w:spacing w:val="-12"/>
          <w:sz w:val="18"/>
        </w:rPr>
        <w:t xml:space="preserve"> </w:t>
      </w:r>
      <w:r>
        <w:rPr>
          <w:rFonts w:ascii="Times New Roman" w:hAnsi="Times New Roman"/>
          <w:b/>
          <w:i/>
          <w:color w:val="17365A"/>
          <w:sz w:val="18"/>
        </w:rPr>
        <w:t>presence</w:t>
      </w:r>
      <w:r>
        <w:rPr>
          <w:rFonts w:ascii="Times New Roman" w:hAnsi="Times New Roman"/>
          <w:b/>
          <w:i/>
          <w:color w:val="17365A"/>
          <w:spacing w:val="-11"/>
          <w:sz w:val="18"/>
        </w:rPr>
        <w:t xml:space="preserve"> </w:t>
      </w:r>
      <w:r>
        <w:rPr>
          <w:rFonts w:ascii="Times New Roman" w:hAnsi="Times New Roman"/>
          <w:b/>
          <w:i/>
          <w:color w:val="17365A"/>
          <w:sz w:val="18"/>
        </w:rPr>
        <w:t>of</w:t>
      </w:r>
      <w:r>
        <w:rPr>
          <w:rFonts w:ascii="Times New Roman" w:hAnsi="Times New Roman"/>
          <w:b/>
          <w:i/>
          <w:color w:val="17365A"/>
          <w:spacing w:val="-9"/>
          <w:sz w:val="18"/>
        </w:rPr>
        <w:t xml:space="preserve"> </w:t>
      </w:r>
      <w:r>
        <w:rPr>
          <w:rFonts w:ascii="Times New Roman" w:hAnsi="Times New Roman"/>
          <w:b/>
          <w:i/>
          <w:color w:val="17365A"/>
          <w:sz w:val="18"/>
        </w:rPr>
        <w:t>SKALA</w:t>
      </w:r>
      <w:r>
        <w:rPr>
          <w:rFonts w:ascii="Times New Roman" w:hAnsi="Times New Roman"/>
          <w:b/>
          <w:i/>
          <w:color w:val="17365A"/>
          <w:spacing w:val="-10"/>
          <w:sz w:val="18"/>
        </w:rPr>
        <w:t xml:space="preserve"> </w:t>
      </w:r>
      <w:r>
        <w:rPr>
          <w:rFonts w:ascii="Times New Roman" w:hAnsi="Times New Roman"/>
          <w:b/>
          <w:i/>
          <w:color w:val="17365A"/>
          <w:sz w:val="18"/>
        </w:rPr>
        <w:t>in</w:t>
      </w:r>
      <w:r>
        <w:rPr>
          <w:rFonts w:ascii="Times New Roman" w:hAnsi="Times New Roman"/>
          <w:b/>
          <w:i/>
          <w:color w:val="17365A"/>
          <w:spacing w:val="-12"/>
          <w:sz w:val="18"/>
        </w:rPr>
        <w:t xml:space="preserve"> </w:t>
      </w:r>
      <w:r>
        <w:rPr>
          <w:rFonts w:ascii="Times New Roman" w:hAnsi="Times New Roman"/>
          <w:b/>
          <w:i/>
          <w:color w:val="17365A"/>
          <w:sz w:val="18"/>
        </w:rPr>
        <w:t>pushing</w:t>
      </w:r>
      <w:r>
        <w:rPr>
          <w:rFonts w:ascii="Times New Roman" w:hAnsi="Times New Roman"/>
          <w:b/>
          <w:i/>
          <w:color w:val="17365A"/>
          <w:spacing w:val="-10"/>
          <w:sz w:val="18"/>
        </w:rPr>
        <w:t xml:space="preserve"> </w:t>
      </w:r>
      <w:r>
        <w:rPr>
          <w:rFonts w:ascii="Times New Roman" w:hAnsi="Times New Roman"/>
          <w:b/>
          <w:i/>
          <w:color w:val="17365A"/>
          <w:sz w:val="18"/>
        </w:rPr>
        <w:t>for</w:t>
      </w:r>
      <w:r>
        <w:rPr>
          <w:rFonts w:ascii="Times New Roman" w:hAnsi="Times New Roman"/>
          <w:b/>
          <w:i/>
          <w:color w:val="17365A"/>
          <w:spacing w:val="-12"/>
          <w:sz w:val="18"/>
        </w:rPr>
        <w:t xml:space="preserve"> </w:t>
      </w:r>
      <w:r>
        <w:rPr>
          <w:rFonts w:ascii="Times New Roman" w:hAnsi="Times New Roman"/>
          <w:b/>
          <w:i/>
          <w:color w:val="17365A"/>
          <w:sz w:val="18"/>
        </w:rPr>
        <w:t>One</w:t>
      </w:r>
      <w:r>
        <w:rPr>
          <w:rFonts w:ascii="Times New Roman" w:hAnsi="Times New Roman"/>
          <w:b/>
          <w:i/>
          <w:color w:val="17365A"/>
          <w:spacing w:val="-11"/>
          <w:sz w:val="18"/>
        </w:rPr>
        <w:t xml:space="preserve"> </w:t>
      </w:r>
      <w:r>
        <w:rPr>
          <w:rFonts w:ascii="Times New Roman" w:hAnsi="Times New Roman"/>
          <w:b/>
          <w:i/>
          <w:color w:val="17365A"/>
          <w:sz w:val="18"/>
        </w:rPr>
        <w:t>Data</w:t>
      </w:r>
      <w:r>
        <w:rPr>
          <w:rFonts w:ascii="Times New Roman" w:hAnsi="Times New Roman"/>
          <w:b/>
          <w:i/>
          <w:color w:val="17365A"/>
          <w:spacing w:val="-9"/>
          <w:sz w:val="18"/>
        </w:rPr>
        <w:t xml:space="preserve"> </w:t>
      </w:r>
      <w:r>
        <w:rPr>
          <w:rFonts w:ascii="Times New Roman" w:hAnsi="Times New Roman"/>
          <w:b/>
          <w:i/>
          <w:color w:val="17365A"/>
          <w:sz w:val="18"/>
        </w:rPr>
        <w:t>Papua</w:t>
      </w:r>
      <w:r>
        <w:rPr>
          <w:rFonts w:ascii="Times New Roman" w:hAnsi="Times New Roman"/>
          <w:b/>
          <w:i/>
          <w:color w:val="17365A"/>
          <w:spacing w:val="-9"/>
          <w:sz w:val="18"/>
        </w:rPr>
        <w:t xml:space="preserve"> </w:t>
      </w:r>
      <w:r>
        <w:rPr>
          <w:rFonts w:ascii="Times New Roman" w:hAnsi="Times New Roman"/>
          <w:b/>
          <w:i/>
          <w:color w:val="17365A"/>
          <w:sz w:val="18"/>
        </w:rPr>
        <w:t>Barat</w:t>
      </w:r>
      <w:r>
        <w:rPr>
          <w:rFonts w:ascii="Times New Roman" w:hAnsi="Times New Roman"/>
          <w:b/>
          <w:i/>
          <w:color w:val="17365A"/>
          <w:spacing w:val="-9"/>
          <w:sz w:val="18"/>
        </w:rPr>
        <w:t xml:space="preserve"> </w:t>
      </w:r>
      <w:r>
        <w:rPr>
          <w:rFonts w:ascii="Times New Roman" w:hAnsi="Times New Roman"/>
          <w:b/>
          <w:i/>
          <w:color w:val="17365A"/>
          <w:sz w:val="18"/>
        </w:rPr>
        <w:t>has</w:t>
      </w:r>
      <w:r>
        <w:rPr>
          <w:rFonts w:ascii="Times New Roman" w:hAnsi="Times New Roman"/>
          <w:b/>
          <w:i/>
          <w:color w:val="17365A"/>
          <w:spacing w:val="-10"/>
          <w:sz w:val="18"/>
        </w:rPr>
        <w:t xml:space="preserve"> </w:t>
      </w:r>
      <w:r>
        <w:rPr>
          <w:rFonts w:ascii="Times New Roman" w:hAnsi="Times New Roman"/>
          <w:b/>
          <w:i/>
          <w:color w:val="17365A"/>
          <w:sz w:val="18"/>
        </w:rPr>
        <w:t>been</w:t>
      </w:r>
      <w:r>
        <w:rPr>
          <w:rFonts w:ascii="Times New Roman" w:hAnsi="Times New Roman"/>
          <w:b/>
          <w:i/>
          <w:color w:val="17365A"/>
          <w:spacing w:val="-12"/>
          <w:sz w:val="18"/>
        </w:rPr>
        <w:t xml:space="preserve"> </w:t>
      </w:r>
      <w:r>
        <w:rPr>
          <w:rFonts w:ascii="Times New Roman" w:hAnsi="Times New Roman"/>
          <w:b/>
          <w:i/>
          <w:color w:val="17365A"/>
          <w:sz w:val="18"/>
        </w:rPr>
        <w:t>very</w:t>
      </w:r>
      <w:r>
        <w:rPr>
          <w:rFonts w:ascii="Times New Roman" w:hAnsi="Times New Roman"/>
          <w:b/>
          <w:i/>
          <w:color w:val="17365A"/>
          <w:spacing w:val="-9"/>
          <w:sz w:val="18"/>
        </w:rPr>
        <w:t xml:space="preserve"> </w:t>
      </w:r>
      <w:r>
        <w:rPr>
          <w:rFonts w:ascii="Times New Roman" w:hAnsi="Times New Roman"/>
          <w:b/>
          <w:i/>
          <w:color w:val="17365A"/>
          <w:sz w:val="18"/>
        </w:rPr>
        <w:t>positive.</w:t>
      </w:r>
      <w:r>
        <w:rPr>
          <w:rFonts w:ascii="Times New Roman" w:hAnsi="Times New Roman"/>
          <w:b/>
          <w:i/>
          <w:color w:val="17365A"/>
          <w:spacing w:val="-9"/>
          <w:sz w:val="18"/>
        </w:rPr>
        <w:t xml:space="preserve"> </w:t>
      </w:r>
      <w:r>
        <w:rPr>
          <w:rFonts w:ascii="Times New Roman" w:hAnsi="Times New Roman"/>
          <w:b/>
          <w:i/>
          <w:color w:val="17365A"/>
          <w:sz w:val="18"/>
        </w:rPr>
        <w:t>SKALA</w:t>
      </w:r>
      <w:r>
        <w:rPr>
          <w:rFonts w:ascii="Times New Roman" w:hAnsi="Times New Roman"/>
          <w:b/>
          <w:i/>
          <w:color w:val="17365A"/>
          <w:spacing w:val="-10"/>
          <w:sz w:val="18"/>
        </w:rPr>
        <w:t xml:space="preserve"> </w:t>
      </w:r>
      <w:r>
        <w:rPr>
          <w:rFonts w:ascii="Times New Roman" w:hAnsi="Times New Roman"/>
          <w:b/>
          <w:i/>
          <w:color w:val="17365A"/>
          <w:sz w:val="18"/>
        </w:rPr>
        <w:t>managed</w:t>
      </w:r>
      <w:r>
        <w:rPr>
          <w:rFonts w:ascii="Times New Roman" w:hAnsi="Times New Roman"/>
          <w:b/>
          <w:i/>
          <w:color w:val="17365A"/>
          <w:spacing w:val="-12"/>
          <w:sz w:val="18"/>
        </w:rPr>
        <w:t xml:space="preserve"> </w:t>
      </w:r>
      <w:r>
        <w:rPr>
          <w:rFonts w:ascii="Times New Roman" w:hAnsi="Times New Roman"/>
          <w:b/>
          <w:i/>
          <w:color w:val="17365A"/>
          <w:sz w:val="18"/>
        </w:rPr>
        <w:t>to bridge</w:t>
      </w:r>
      <w:r>
        <w:rPr>
          <w:rFonts w:ascii="Times New Roman" w:hAnsi="Times New Roman"/>
          <w:b/>
          <w:i/>
          <w:color w:val="17365A"/>
          <w:spacing w:val="-3"/>
          <w:sz w:val="18"/>
        </w:rPr>
        <w:t xml:space="preserve"> </w:t>
      </w:r>
      <w:r>
        <w:rPr>
          <w:rFonts w:ascii="Times New Roman" w:hAnsi="Times New Roman"/>
          <w:b/>
          <w:i/>
          <w:color w:val="17365A"/>
          <w:sz w:val="18"/>
        </w:rPr>
        <w:t>the</w:t>
      </w:r>
      <w:r>
        <w:rPr>
          <w:rFonts w:ascii="Times New Roman" w:hAnsi="Times New Roman"/>
          <w:b/>
          <w:i/>
          <w:color w:val="17365A"/>
          <w:spacing w:val="-3"/>
          <w:sz w:val="18"/>
        </w:rPr>
        <w:t xml:space="preserve"> </w:t>
      </w:r>
      <w:r>
        <w:rPr>
          <w:rFonts w:ascii="Times New Roman" w:hAnsi="Times New Roman"/>
          <w:b/>
          <w:i/>
          <w:color w:val="17365A"/>
          <w:sz w:val="18"/>
        </w:rPr>
        <w:t>communication</w:t>
      </w:r>
      <w:r>
        <w:rPr>
          <w:rFonts w:ascii="Times New Roman" w:hAnsi="Times New Roman"/>
          <w:b/>
          <w:i/>
          <w:color w:val="17365A"/>
          <w:spacing w:val="-3"/>
          <w:sz w:val="18"/>
        </w:rPr>
        <w:t xml:space="preserve"> </w:t>
      </w:r>
      <w:r>
        <w:rPr>
          <w:rFonts w:ascii="Times New Roman" w:hAnsi="Times New Roman"/>
          <w:b/>
          <w:i/>
          <w:color w:val="17365A"/>
          <w:sz w:val="18"/>
        </w:rPr>
        <w:t>freeze that</w:t>
      </w:r>
      <w:r>
        <w:rPr>
          <w:rFonts w:ascii="Times New Roman" w:hAnsi="Times New Roman"/>
          <w:b/>
          <w:i/>
          <w:color w:val="17365A"/>
          <w:spacing w:val="-1"/>
          <w:sz w:val="18"/>
        </w:rPr>
        <w:t xml:space="preserve"> </w:t>
      </w:r>
      <w:r>
        <w:rPr>
          <w:rFonts w:ascii="Times New Roman" w:hAnsi="Times New Roman"/>
          <w:b/>
          <w:i/>
          <w:color w:val="17365A"/>
          <w:sz w:val="18"/>
        </w:rPr>
        <w:t>had</w:t>
      </w:r>
      <w:r>
        <w:rPr>
          <w:rFonts w:ascii="Times New Roman" w:hAnsi="Times New Roman"/>
          <w:b/>
          <w:i/>
          <w:color w:val="17365A"/>
          <w:spacing w:val="-1"/>
          <w:sz w:val="18"/>
        </w:rPr>
        <w:t xml:space="preserve"> </w:t>
      </w:r>
      <w:r>
        <w:rPr>
          <w:rFonts w:ascii="Times New Roman" w:hAnsi="Times New Roman"/>
          <w:b/>
          <w:i/>
          <w:color w:val="17365A"/>
          <w:sz w:val="18"/>
        </w:rPr>
        <w:t>long existed</w:t>
      </w:r>
      <w:r>
        <w:rPr>
          <w:rFonts w:ascii="Times New Roman" w:hAnsi="Times New Roman"/>
          <w:b/>
          <w:i/>
          <w:color w:val="17365A"/>
          <w:spacing w:val="-1"/>
          <w:sz w:val="18"/>
        </w:rPr>
        <w:t xml:space="preserve"> </w:t>
      </w:r>
      <w:r>
        <w:rPr>
          <w:rFonts w:ascii="Times New Roman" w:hAnsi="Times New Roman"/>
          <w:b/>
          <w:i/>
          <w:color w:val="17365A"/>
          <w:sz w:val="18"/>
        </w:rPr>
        <w:t>among technical agencies.</w:t>
      </w:r>
    </w:p>
    <w:p w14:paraId="63E135D1" w14:textId="77777777" w:rsidR="00BC24A8" w:rsidRDefault="00000000">
      <w:pPr>
        <w:spacing w:line="201" w:lineRule="exact"/>
        <w:ind w:left="721"/>
        <w:rPr>
          <w:i/>
          <w:sz w:val="18"/>
        </w:rPr>
      </w:pPr>
      <w:r>
        <w:rPr>
          <w:i/>
          <w:color w:val="17365A"/>
          <w:sz w:val="18"/>
        </w:rPr>
        <w:t>Zaenal</w:t>
      </w:r>
      <w:r>
        <w:rPr>
          <w:i/>
          <w:color w:val="17365A"/>
          <w:spacing w:val="11"/>
          <w:sz w:val="18"/>
        </w:rPr>
        <w:t xml:space="preserve"> </w:t>
      </w:r>
      <w:r>
        <w:rPr>
          <w:i/>
          <w:color w:val="17365A"/>
          <w:sz w:val="18"/>
        </w:rPr>
        <w:t>Fanumbi,</w:t>
      </w:r>
      <w:r>
        <w:rPr>
          <w:i/>
          <w:color w:val="17365A"/>
          <w:spacing w:val="9"/>
          <w:sz w:val="18"/>
        </w:rPr>
        <w:t xml:space="preserve"> </w:t>
      </w:r>
      <w:r>
        <w:rPr>
          <w:i/>
          <w:color w:val="17365A"/>
          <w:sz w:val="18"/>
        </w:rPr>
        <w:t>Head</w:t>
      </w:r>
      <w:r>
        <w:rPr>
          <w:i/>
          <w:color w:val="17365A"/>
          <w:spacing w:val="10"/>
          <w:sz w:val="18"/>
        </w:rPr>
        <w:t xml:space="preserve"> </w:t>
      </w:r>
      <w:r>
        <w:rPr>
          <w:i/>
          <w:color w:val="17365A"/>
          <w:sz w:val="18"/>
        </w:rPr>
        <w:t>of</w:t>
      </w:r>
      <w:r>
        <w:rPr>
          <w:i/>
          <w:color w:val="17365A"/>
          <w:spacing w:val="10"/>
          <w:sz w:val="18"/>
        </w:rPr>
        <w:t xml:space="preserve"> </w:t>
      </w:r>
      <w:r>
        <w:rPr>
          <w:i/>
          <w:color w:val="17365A"/>
          <w:sz w:val="18"/>
        </w:rPr>
        <w:t>Cryptography</w:t>
      </w:r>
      <w:r>
        <w:rPr>
          <w:i/>
          <w:color w:val="17365A"/>
          <w:spacing w:val="11"/>
          <w:sz w:val="18"/>
        </w:rPr>
        <w:t xml:space="preserve"> </w:t>
      </w:r>
      <w:r>
        <w:rPr>
          <w:i/>
          <w:color w:val="17365A"/>
          <w:sz w:val="18"/>
        </w:rPr>
        <w:t>and</w:t>
      </w:r>
      <w:r>
        <w:rPr>
          <w:i/>
          <w:color w:val="17365A"/>
          <w:spacing w:val="10"/>
          <w:sz w:val="18"/>
        </w:rPr>
        <w:t xml:space="preserve"> </w:t>
      </w:r>
      <w:r>
        <w:rPr>
          <w:i/>
          <w:color w:val="17365A"/>
          <w:sz w:val="18"/>
        </w:rPr>
        <w:t>Statistics</w:t>
      </w:r>
      <w:r>
        <w:rPr>
          <w:i/>
          <w:color w:val="17365A"/>
          <w:spacing w:val="10"/>
          <w:sz w:val="18"/>
        </w:rPr>
        <w:t xml:space="preserve"> </w:t>
      </w:r>
      <w:r>
        <w:rPr>
          <w:i/>
          <w:color w:val="17365A"/>
          <w:sz w:val="18"/>
        </w:rPr>
        <w:t>Division,</w:t>
      </w:r>
      <w:r>
        <w:rPr>
          <w:i/>
          <w:color w:val="17365A"/>
          <w:spacing w:val="10"/>
          <w:sz w:val="18"/>
        </w:rPr>
        <w:t xml:space="preserve"> </w:t>
      </w:r>
      <w:r>
        <w:rPr>
          <w:i/>
          <w:color w:val="17365A"/>
          <w:sz w:val="18"/>
        </w:rPr>
        <w:t>Papua</w:t>
      </w:r>
      <w:r>
        <w:rPr>
          <w:i/>
          <w:color w:val="17365A"/>
          <w:spacing w:val="10"/>
          <w:sz w:val="18"/>
        </w:rPr>
        <w:t xml:space="preserve"> </w:t>
      </w:r>
      <w:r>
        <w:rPr>
          <w:i/>
          <w:color w:val="17365A"/>
          <w:sz w:val="18"/>
        </w:rPr>
        <w:t>Barat</w:t>
      </w:r>
      <w:r>
        <w:rPr>
          <w:i/>
          <w:color w:val="17365A"/>
          <w:spacing w:val="11"/>
          <w:sz w:val="18"/>
        </w:rPr>
        <w:t xml:space="preserve"> </w:t>
      </w:r>
      <w:r>
        <w:rPr>
          <w:i/>
          <w:color w:val="17365A"/>
          <w:sz w:val="18"/>
        </w:rPr>
        <w:t>Communication</w:t>
      </w:r>
      <w:r>
        <w:rPr>
          <w:i/>
          <w:color w:val="17365A"/>
          <w:spacing w:val="10"/>
          <w:sz w:val="18"/>
        </w:rPr>
        <w:t xml:space="preserve"> </w:t>
      </w:r>
      <w:r>
        <w:rPr>
          <w:i/>
          <w:color w:val="17365A"/>
          <w:sz w:val="18"/>
        </w:rPr>
        <w:t>and</w:t>
      </w:r>
      <w:r>
        <w:rPr>
          <w:i/>
          <w:color w:val="17365A"/>
          <w:spacing w:val="11"/>
          <w:sz w:val="18"/>
        </w:rPr>
        <w:t xml:space="preserve"> </w:t>
      </w:r>
      <w:r>
        <w:rPr>
          <w:i/>
          <w:color w:val="17365A"/>
          <w:spacing w:val="-2"/>
          <w:sz w:val="18"/>
        </w:rPr>
        <w:t>Information</w:t>
      </w:r>
    </w:p>
    <w:p w14:paraId="51DA6F9C" w14:textId="77777777" w:rsidR="00BC24A8" w:rsidRDefault="00000000">
      <w:pPr>
        <w:spacing w:before="1"/>
        <w:ind w:left="721"/>
        <w:rPr>
          <w:i/>
          <w:sz w:val="18"/>
        </w:rPr>
      </w:pPr>
      <w:r>
        <w:rPr>
          <w:i/>
          <w:color w:val="17365A"/>
          <w:sz w:val="18"/>
        </w:rPr>
        <w:t>Office</w:t>
      </w:r>
      <w:r>
        <w:rPr>
          <w:i/>
          <w:color w:val="17365A"/>
          <w:spacing w:val="-6"/>
          <w:sz w:val="18"/>
        </w:rPr>
        <w:t xml:space="preserve"> </w:t>
      </w:r>
      <w:r>
        <w:rPr>
          <w:i/>
          <w:color w:val="17365A"/>
          <w:spacing w:val="-2"/>
          <w:sz w:val="18"/>
        </w:rPr>
        <w:t>(Diskominfo)</w:t>
      </w:r>
    </w:p>
    <w:p w14:paraId="43F8A7F6" w14:textId="77777777" w:rsidR="00BC24A8" w:rsidRDefault="00BC24A8">
      <w:pPr>
        <w:pStyle w:val="BodyText"/>
        <w:rPr>
          <w:i/>
          <w:sz w:val="20"/>
        </w:rPr>
      </w:pPr>
    </w:p>
    <w:p w14:paraId="35505E9C" w14:textId="77777777" w:rsidR="00BC24A8" w:rsidRDefault="00BC24A8">
      <w:pPr>
        <w:pStyle w:val="BodyText"/>
        <w:rPr>
          <w:i/>
          <w:sz w:val="20"/>
        </w:rPr>
      </w:pPr>
    </w:p>
    <w:p w14:paraId="674A6322" w14:textId="77777777" w:rsidR="00BC24A8" w:rsidRDefault="00BC24A8">
      <w:pPr>
        <w:pStyle w:val="BodyText"/>
        <w:spacing w:before="168"/>
        <w:rPr>
          <w:i/>
          <w:sz w:val="20"/>
        </w:rPr>
      </w:pPr>
    </w:p>
    <w:p w14:paraId="2BC9EEBD" w14:textId="77777777" w:rsidR="00BC24A8" w:rsidRDefault="00000000">
      <w:pPr>
        <w:ind w:right="440"/>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2</w:t>
      </w:r>
      <w:r>
        <w:rPr>
          <w:spacing w:val="-15"/>
          <w:sz w:val="20"/>
        </w:rPr>
        <w:t xml:space="preserve"> </w:t>
      </w:r>
      <w:r>
        <w:rPr>
          <w:spacing w:val="-10"/>
          <w:sz w:val="20"/>
        </w:rPr>
        <w:t>:</w:t>
      </w:r>
    </w:p>
    <w:p w14:paraId="7CD884E6" w14:textId="77777777" w:rsidR="00BC24A8" w:rsidRDefault="00000000">
      <w:pPr>
        <w:spacing w:before="1"/>
        <w:ind w:left="37" w:right="440"/>
        <w:jc w:val="center"/>
        <w:rPr>
          <w:rFonts w:ascii="Calibri"/>
          <w:b/>
          <w:sz w:val="20"/>
        </w:rPr>
      </w:pPr>
      <w:r>
        <w:rPr>
          <w:rFonts w:ascii="Calibri"/>
          <w:b/>
          <w:color w:val="17365A"/>
          <w:sz w:val="20"/>
        </w:rPr>
        <w:t>Strengthening</w:t>
      </w:r>
      <w:r>
        <w:rPr>
          <w:rFonts w:ascii="Calibri"/>
          <w:b/>
          <w:color w:val="17365A"/>
          <w:spacing w:val="-10"/>
          <w:sz w:val="20"/>
        </w:rPr>
        <w:t xml:space="preserve"> </w:t>
      </w:r>
      <w:r>
        <w:rPr>
          <w:rFonts w:ascii="Calibri"/>
          <w:b/>
          <w:color w:val="17365A"/>
          <w:sz w:val="20"/>
        </w:rPr>
        <w:t>Understanding</w:t>
      </w:r>
      <w:r>
        <w:rPr>
          <w:rFonts w:ascii="Calibri"/>
          <w:b/>
          <w:color w:val="17365A"/>
          <w:spacing w:val="-10"/>
          <w:sz w:val="20"/>
        </w:rPr>
        <w:t xml:space="preserve"> </w:t>
      </w:r>
      <w:r>
        <w:rPr>
          <w:rFonts w:ascii="Calibri"/>
          <w:b/>
          <w:color w:val="17365A"/>
          <w:sz w:val="20"/>
        </w:rPr>
        <w:t>and</w:t>
      </w:r>
      <w:r>
        <w:rPr>
          <w:rFonts w:ascii="Calibri"/>
          <w:b/>
          <w:color w:val="17365A"/>
          <w:spacing w:val="-8"/>
          <w:sz w:val="20"/>
        </w:rPr>
        <w:t xml:space="preserve"> </w:t>
      </w:r>
      <w:r>
        <w:rPr>
          <w:rFonts w:ascii="Calibri"/>
          <w:b/>
          <w:color w:val="17365A"/>
          <w:sz w:val="20"/>
        </w:rPr>
        <w:t>Capacity</w:t>
      </w:r>
      <w:r>
        <w:rPr>
          <w:rFonts w:ascii="Calibri"/>
          <w:b/>
          <w:color w:val="17365A"/>
          <w:spacing w:val="-9"/>
          <w:sz w:val="20"/>
        </w:rPr>
        <w:t xml:space="preserve"> </w:t>
      </w:r>
      <w:r>
        <w:rPr>
          <w:rFonts w:ascii="Calibri"/>
          <w:b/>
          <w:color w:val="17365A"/>
          <w:sz w:val="20"/>
        </w:rPr>
        <w:t>for</w:t>
      </w:r>
      <w:r>
        <w:rPr>
          <w:rFonts w:ascii="Calibri"/>
          <w:b/>
          <w:color w:val="17365A"/>
          <w:spacing w:val="-8"/>
          <w:sz w:val="20"/>
        </w:rPr>
        <w:t xml:space="preserve"> </w:t>
      </w:r>
      <w:r>
        <w:rPr>
          <w:rFonts w:ascii="Calibri"/>
          <w:b/>
          <w:color w:val="17365A"/>
          <w:sz w:val="20"/>
        </w:rPr>
        <w:t>an</w:t>
      </w:r>
      <w:r>
        <w:rPr>
          <w:rFonts w:ascii="Calibri"/>
          <w:b/>
          <w:color w:val="17365A"/>
          <w:spacing w:val="-8"/>
          <w:sz w:val="20"/>
        </w:rPr>
        <w:t xml:space="preserve"> </w:t>
      </w:r>
      <w:r>
        <w:rPr>
          <w:rFonts w:ascii="Calibri"/>
          <w:b/>
          <w:color w:val="17365A"/>
          <w:sz w:val="20"/>
        </w:rPr>
        <w:t>MSS</w:t>
      </w:r>
      <w:r>
        <w:rPr>
          <w:rFonts w:ascii="Calibri"/>
          <w:b/>
          <w:color w:val="17365A"/>
          <w:spacing w:val="-10"/>
          <w:sz w:val="20"/>
        </w:rPr>
        <w:t xml:space="preserve"> </w:t>
      </w:r>
      <w:r>
        <w:rPr>
          <w:rFonts w:ascii="Calibri"/>
          <w:b/>
          <w:color w:val="17365A"/>
          <w:sz w:val="20"/>
        </w:rPr>
        <w:t>and</w:t>
      </w:r>
      <w:r>
        <w:rPr>
          <w:rFonts w:ascii="Calibri"/>
          <w:b/>
          <w:color w:val="17365A"/>
          <w:spacing w:val="-9"/>
          <w:sz w:val="20"/>
        </w:rPr>
        <w:t xml:space="preserve"> </w:t>
      </w:r>
      <w:r>
        <w:rPr>
          <w:rFonts w:ascii="Calibri"/>
          <w:b/>
          <w:color w:val="17365A"/>
          <w:sz w:val="20"/>
        </w:rPr>
        <w:t>GEDSI-Responsive</w:t>
      </w:r>
      <w:r>
        <w:rPr>
          <w:rFonts w:ascii="Calibri"/>
          <w:b/>
          <w:color w:val="17365A"/>
          <w:spacing w:val="-9"/>
          <w:sz w:val="20"/>
        </w:rPr>
        <w:t xml:space="preserve"> </w:t>
      </w:r>
      <w:r>
        <w:rPr>
          <w:rFonts w:ascii="Calibri"/>
          <w:b/>
          <w:color w:val="17365A"/>
          <w:spacing w:val="-2"/>
          <w:sz w:val="20"/>
        </w:rPr>
        <w:t>RPJMD</w:t>
      </w:r>
    </w:p>
    <w:p w14:paraId="196F6D42" w14:textId="77777777" w:rsidR="00BC24A8" w:rsidRDefault="00000000">
      <w:pPr>
        <w:spacing w:before="243"/>
        <w:ind w:left="395" w:right="796"/>
        <w:jc w:val="both"/>
        <w:rPr>
          <w:sz w:val="18"/>
        </w:rPr>
      </w:pPr>
      <w:r>
        <w:rPr>
          <w:sz w:val="18"/>
        </w:rPr>
        <w:t>Preparing an RPJMD is not merely a five-year obligation. It carries the direction of regional development, defines priorities,</w:t>
      </w:r>
      <w:r>
        <w:rPr>
          <w:spacing w:val="-2"/>
          <w:sz w:val="18"/>
        </w:rPr>
        <w:t xml:space="preserve"> </w:t>
      </w:r>
      <w:r>
        <w:rPr>
          <w:sz w:val="18"/>
        </w:rPr>
        <w:t>and</w:t>
      </w:r>
      <w:r>
        <w:rPr>
          <w:spacing w:val="-1"/>
          <w:sz w:val="18"/>
        </w:rPr>
        <w:t xml:space="preserve"> </w:t>
      </w:r>
      <w:r>
        <w:rPr>
          <w:sz w:val="18"/>
        </w:rPr>
        <w:t>reflects</w:t>
      </w:r>
      <w:r>
        <w:rPr>
          <w:spacing w:val="-1"/>
          <w:sz w:val="18"/>
        </w:rPr>
        <w:t xml:space="preserve"> </w:t>
      </w:r>
      <w:r>
        <w:rPr>
          <w:sz w:val="18"/>
        </w:rPr>
        <w:t>the</w:t>
      </w:r>
      <w:r>
        <w:rPr>
          <w:spacing w:val="-1"/>
          <w:sz w:val="18"/>
        </w:rPr>
        <w:t xml:space="preserve"> </w:t>
      </w:r>
      <w:r>
        <w:rPr>
          <w:sz w:val="18"/>
        </w:rPr>
        <w:t>government’s</w:t>
      </w:r>
      <w:r>
        <w:rPr>
          <w:spacing w:val="-1"/>
          <w:sz w:val="18"/>
        </w:rPr>
        <w:t xml:space="preserve"> </w:t>
      </w:r>
      <w:r>
        <w:rPr>
          <w:sz w:val="18"/>
        </w:rPr>
        <w:t>commitment</w:t>
      </w:r>
      <w:r>
        <w:rPr>
          <w:spacing w:val="-1"/>
          <w:sz w:val="18"/>
        </w:rPr>
        <w:t xml:space="preserve"> </w:t>
      </w:r>
      <w:r>
        <w:rPr>
          <w:sz w:val="18"/>
        </w:rPr>
        <w:t>to meeting</w:t>
      </w:r>
      <w:r>
        <w:rPr>
          <w:spacing w:val="-1"/>
          <w:sz w:val="18"/>
        </w:rPr>
        <w:t xml:space="preserve"> </w:t>
      </w:r>
      <w:r>
        <w:rPr>
          <w:sz w:val="18"/>
        </w:rPr>
        <w:t>the</w:t>
      </w:r>
      <w:r>
        <w:rPr>
          <w:spacing w:val="-1"/>
          <w:sz w:val="18"/>
        </w:rPr>
        <w:t xml:space="preserve"> </w:t>
      </w:r>
      <w:r>
        <w:rPr>
          <w:sz w:val="18"/>
        </w:rPr>
        <w:t>needs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people. In</w:t>
      </w:r>
      <w:r>
        <w:rPr>
          <w:spacing w:val="-1"/>
          <w:sz w:val="18"/>
        </w:rPr>
        <w:t xml:space="preserve"> </w:t>
      </w:r>
      <w:r>
        <w:rPr>
          <w:sz w:val="18"/>
        </w:rPr>
        <w:t>Papua Barat,</w:t>
      </w:r>
      <w:r>
        <w:rPr>
          <w:spacing w:val="-2"/>
          <w:sz w:val="18"/>
        </w:rPr>
        <w:t xml:space="preserve"> </w:t>
      </w:r>
      <w:r>
        <w:rPr>
          <w:sz w:val="18"/>
        </w:rPr>
        <w:t>this</w:t>
      </w:r>
      <w:r>
        <w:rPr>
          <w:spacing w:val="-1"/>
          <w:sz w:val="18"/>
        </w:rPr>
        <w:t xml:space="preserve"> </w:t>
      </w:r>
      <w:r>
        <w:rPr>
          <w:sz w:val="18"/>
        </w:rPr>
        <w:t>process presents its own challenges. The drafting team must be able to translate the vision and mission of the regional head while also accommodating national strategic policies, including MSS and GEDSI.</w:t>
      </w:r>
    </w:p>
    <w:p w14:paraId="62BF40A3" w14:textId="77777777" w:rsidR="00BC24A8" w:rsidRDefault="00000000">
      <w:pPr>
        <w:spacing w:before="160"/>
        <w:ind w:left="395" w:right="794"/>
        <w:jc w:val="both"/>
        <w:rPr>
          <w:sz w:val="18"/>
        </w:rPr>
      </w:pPr>
      <w:r>
        <w:rPr>
          <w:sz w:val="18"/>
        </w:rPr>
        <w:t>Before</w:t>
      </w:r>
      <w:r>
        <w:rPr>
          <w:spacing w:val="-8"/>
          <w:sz w:val="18"/>
        </w:rPr>
        <w:t xml:space="preserve"> </w:t>
      </w:r>
      <w:r>
        <w:rPr>
          <w:sz w:val="18"/>
        </w:rPr>
        <w:t>SKALA’s</w:t>
      </w:r>
      <w:r>
        <w:rPr>
          <w:spacing w:val="-8"/>
          <w:sz w:val="18"/>
        </w:rPr>
        <w:t xml:space="preserve"> </w:t>
      </w:r>
      <w:r>
        <w:rPr>
          <w:sz w:val="18"/>
        </w:rPr>
        <w:t>involvement,</w:t>
      </w:r>
      <w:r>
        <w:rPr>
          <w:spacing w:val="-9"/>
          <w:sz w:val="18"/>
        </w:rPr>
        <w:t xml:space="preserve"> </w:t>
      </w:r>
      <w:r>
        <w:rPr>
          <w:sz w:val="18"/>
        </w:rPr>
        <w:t>discussions</w:t>
      </w:r>
      <w:r>
        <w:rPr>
          <w:spacing w:val="-8"/>
          <w:sz w:val="18"/>
        </w:rPr>
        <w:t xml:space="preserve"> </w:t>
      </w:r>
      <w:r>
        <w:rPr>
          <w:sz w:val="18"/>
        </w:rPr>
        <w:t>on</w:t>
      </w:r>
      <w:r>
        <w:rPr>
          <w:spacing w:val="-8"/>
          <w:sz w:val="18"/>
        </w:rPr>
        <w:t xml:space="preserve"> </w:t>
      </w:r>
      <w:r>
        <w:rPr>
          <w:sz w:val="18"/>
        </w:rPr>
        <w:t>MSS</w:t>
      </w:r>
      <w:r>
        <w:rPr>
          <w:spacing w:val="-8"/>
          <w:sz w:val="18"/>
        </w:rPr>
        <w:t xml:space="preserve"> </w:t>
      </w:r>
      <w:r>
        <w:rPr>
          <w:sz w:val="18"/>
        </w:rPr>
        <w:t>and</w:t>
      </w:r>
      <w:r>
        <w:rPr>
          <w:spacing w:val="-8"/>
          <w:sz w:val="18"/>
        </w:rPr>
        <w:t xml:space="preserve"> </w:t>
      </w:r>
      <w:r>
        <w:rPr>
          <w:sz w:val="18"/>
        </w:rPr>
        <w:t>GEDSI</w:t>
      </w:r>
      <w:r>
        <w:rPr>
          <w:spacing w:val="-9"/>
          <w:sz w:val="18"/>
        </w:rPr>
        <w:t xml:space="preserve"> </w:t>
      </w:r>
      <w:r>
        <w:rPr>
          <w:sz w:val="18"/>
        </w:rPr>
        <w:t>often</w:t>
      </w:r>
      <w:r>
        <w:rPr>
          <w:spacing w:val="-8"/>
          <w:sz w:val="18"/>
        </w:rPr>
        <w:t xml:space="preserve"> </w:t>
      </w:r>
      <w:r>
        <w:rPr>
          <w:sz w:val="18"/>
        </w:rPr>
        <w:t>did</w:t>
      </w:r>
      <w:r>
        <w:rPr>
          <w:spacing w:val="-8"/>
          <w:sz w:val="18"/>
        </w:rPr>
        <w:t xml:space="preserve"> </w:t>
      </w:r>
      <w:r>
        <w:rPr>
          <w:sz w:val="18"/>
        </w:rPr>
        <w:t>not</w:t>
      </w:r>
      <w:r>
        <w:rPr>
          <w:spacing w:val="-8"/>
          <w:sz w:val="18"/>
        </w:rPr>
        <w:t xml:space="preserve"> </w:t>
      </w:r>
      <w:r>
        <w:rPr>
          <w:sz w:val="18"/>
        </w:rPr>
        <w:t>receive</w:t>
      </w:r>
      <w:r>
        <w:rPr>
          <w:spacing w:val="-8"/>
          <w:sz w:val="18"/>
        </w:rPr>
        <w:t xml:space="preserve"> </w:t>
      </w:r>
      <w:r>
        <w:rPr>
          <w:sz w:val="18"/>
        </w:rPr>
        <w:t>sufficient</w:t>
      </w:r>
      <w:r>
        <w:rPr>
          <w:spacing w:val="-8"/>
          <w:sz w:val="18"/>
        </w:rPr>
        <w:t xml:space="preserve"> </w:t>
      </w:r>
      <w:r>
        <w:rPr>
          <w:sz w:val="18"/>
        </w:rPr>
        <w:t>attention.</w:t>
      </w:r>
      <w:r>
        <w:rPr>
          <w:spacing w:val="-9"/>
          <w:sz w:val="18"/>
        </w:rPr>
        <w:t xml:space="preserve"> </w:t>
      </w:r>
      <w:r>
        <w:rPr>
          <w:sz w:val="18"/>
        </w:rPr>
        <w:t>Although</w:t>
      </w:r>
      <w:r>
        <w:rPr>
          <w:spacing w:val="-8"/>
          <w:sz w:val="18"/>
        </w:rPr>
        <w:t xml:space="preserve"> </w:t>
      </w:r>
      <w:r>
        <w:rPr>
          <w:sz w:val="18"/>
        </w:rPr>
        <w:t>data</w:t>
      </w:r>
      <w:r>
        <w:rPr>
          <w:spacing w:val="-9"/>
          <w:sz w:val="18"/>
        </w:rPr>
        <w:t xml:space="preserve"> </w:t>
      </w:r>
      <w:r>
        <w:rPr>
          <w:sz w:val="18"/>
        </w:rPr>
        <w:t xml:space="preserve">and regulations were available, they were not fully utilised to strengthen the arguments and policy directions in the </w:t>
      </w:r>
      <w:r>
        <w:rPr>
          <w:spacing w:val="-2"/>
          <w:sz w:val="18"/>
        </w:rPr>
        <w:t>document.</w:t>
      </w:r>
    </w:p>
    <w:p w14:paraId="5E1F87E0" w14:textId="77777777" w:rsidR="00BC24A8" w:rsidRDefault="00000000">
      <w:pPr>
        <w:spacing w:before="162"/>
        <w:ind w:left="395" w:right="793"/>
        <w:jc w:val="both"/>
        <w:rPr>
          <w:sz w:val="18"/>
        </w:rPr>
      </w:pPr>
      <w:r>
        <w:rPr>
          <w:sz w:val="18"/>
        </w:rPr>
        <w:t>SKALA’s</w:t>
      </w:r>
      <w:r>
        <w:rPr>
          <w:spacing w:val="-6"/>
          <w:sz w:val="18"/>
        </w:rPr>
        <w:t xml:space="preserve"> </w:t>
      </w:r>
      <w:r>
        <w:rPr>
          <w:sz w:val="18"/>
        </w:rPr>
        <w:t>support</w:t>
      </w:r>
      <w:r>
        <w:rPr>
          <w:spacing w:val="-8"/>
          <w:sz w:val="18"/>
        </w:rPr>
        <w:t xml:space="preserve"> </w:t>
      </w:r>
      <w:r>
        <w:rPr>
          <w:sz w:val="18"/>
        </w:rPr>
        <w:t>changed</w:t>
      </w:r>
      <w:r>
        <w:rPr>
          <w:spacing w:val="-6"/>
          <w:sz w:val="18"/>
        </w:rPr>
        <w:t xml:space="preserve"> </w:t>
      </w:r>
      <w:r>
        <w:rPr>
          <w:sz w:val="18"/>
        </w:rPr>
        <w:t>the</w:t>
      </w:r>
      <w:r>
        <w:rPr>
          <w:spacing w:val="-9"/>
          <w:sz w:val="18"/>
        </w:rPr>
        <w:t xml:space="preserve"> </w:t>
      </w:r>
      <w:r>
        <w:rPr>
          <w:sz w:val="18"/>
        </w:rPr>
        <w:t>way</w:t>
      </w:r>
      <w:r>
        <w:rPr>
          <w:spacing w:val="-9"/>
          <w:sz w:val="18"/>
        </w:rPr>
        <w:t xml:space="preserve"> </w:t>
      </w:r>
      <w:r>
        <w:rPr>
          <w:sz w:val="18"/>
        </w:rPr>
        <w:t>the</w:t>
      </w:r>
      <w:r>
        <w:rPr>
          <w:spacing w:val="-6"/>
          <w:sz w:val="18"/>
        </w:rPr>
        <w:t xml:space="preserve"> </w:t>
      </w:r>
      <w:r>
        <w:rPr>
          <w:sz w:val="18"/>
        </w:rPr>
        <w:t>team</w:t>
      </w:r>
      <w:r>
        <w:rPr>
          <w:spacing w:val="-7"/>
          <w:sz w:val="18"/>
        </w:rPr>
        <w:t xml:space="preserve"> </w:t>
      </w:r>
      <w:r>
        <w:rPr>
          <w:sz w:val="18"/>
        </w:rPr>
        <w:t>worked.</w:t>
      </w:r>
      <w:r>
        <w:rPr>
          <w:spacing w:val="-7"/>
          <w:sz w:val="18"/>
        </w:rPr>
        <w:t xml:space="preserve"> </w:t>
      </w:r>
      <w:r>
        <w:rPr>
          <w:sz w:val="18"/>
        </w:rPr>
        <w:t>By</w:t>
      </w:r>
      <w:r>
        <w:rPr>
          <w:spacing w:val="-9"/>
          <w:sz w:val="18"/>
        </w:rPr>
        <w:t xml:space="preserve"> </w:t>
      </w:r>
      <w:r>
        <w:rPr>
          <w:sz w:val="18"/>
        </w:rPr>
        <w:t>introducing</w:t>
      </w:r>
      <w:r>
        <w:rPr>
          <w:spacing w:val="-9"/>
          <w:sz w:val="18"/>
        </w:rPr>
        <w:t xml:space="preserve"> </w:t>
      </w:r>
      <w:r>
        <w:rPr>
          <w:sz w:val="18"/>
        </w:rPr>
        <w:t>various</w:t>
      </w:r>
      <w:r>
        <w:rPr>
          <w:spacing w:val="-6"/>
          <w:sz w:val="18"/>
        </w:rPr>
        <w:t xml:space="preserve"> </w:t>
      </w:r>
      <w:r>
        <w:rPr>
          <w:sz w:val="18"/>
        </w:rPr>
        <w:t>data</w:t>
      </w:r>
      <w:r>
        <w:rPr>
          <w:spacing w:val="-7"/>
          <w:sz w:val="18"/>
        </w:rPr>
        <w:t xml:space="preserve"> </w:t>
      </w:r>
      <w:r>
        <w:rPr>
          <w:sz w:val="18"/>
        </w:rPr>
        <w:t>analysis</w:t>
      </w:r>
      <w:r>
        <w:rPr>
          <w:spacing w:val="-6"/>
          <w:sz w:val="18"/>
        </w:rPr>
        <w:t xml:space="preserve"> </w:t>
      </w:r>
      <w:r>
        <w:rPr>
          <w:sz w:val="18"/>
        </w:rPr>
        <w:t>tools,</w:t>
      </w:r>
      <w:r>
        <w:rPr>
          <w:spacing w:val="-9"/>
          <w:sz w:val="18"/>
        </w:rPr>
        <w:t xml:space="preserve"> </w:t>
      </w:r>
      <w:r>
        <w:rPr>
          <w:sz w:val="18"/>
        </w:rPr>
        <w:t>regulations,</w:t>
      </w:r>
      <w:r>
        <w:rPr>
          <w:spacing w:val="-7"/>
          <w:sz w:val="18"/>
        </w:rPr>
        <w:t xml:space="preserve"> </w:t>
      </w:r>
      <w:r>
        <w:rPr>
          <w:sz w:val="18"/>
        </w:rPr>
        <w:t>and</w:t>
      </w:r>
      <w:r>
        <w:rPr>
          <w:spacing w:val="-6"/>
          <w:sz w:val="18"/>
        </w:rPr>
        <w:t xml:space="preserve"> </w:t>
      </w:r>
      <w:r>
        <w:rPr>
          <w:sz w:val="18"/>
        </w:rPr>
        <w:t>relevant policies, the Bappeda team began to approach the RPJMD drafting process from a new perspective—more structured, evidence-based, and responsive to the needs of basic services and vulnerable groups.</w:t>
      </w:r>
    </w:p>
    <w:p w14:paraId="7AAC9455" w14:textId="77777777" w:rsidR="00BC24A8" w:rsidRDefault="00000000">
      <w:pPr>
        <w:spacing w:before="159"/>
        <w:ind w:left="395" w:right="795"/>
        <w:jc w:val="both"/>
        <w:rPr>
          <w:sz w:val="18"/>
        </w:rPr>
      </w:pPr>
      <w:r>
        <w:rPr>
          <w:sz w:val="18"/>
        </w:rPr>
        <w:t>Now,</w:t>
      </w:r>
      <w:r>
        <w:rPr>
          <w:spacing w:val="-11"/>
          <w:sz w:val="18"/>
        </w:rPr>
        <w:t xml:space="preserve"> </w:t>
      </w:r>
      <w:r>
        <w:rPr>
          <w:sz w:val="18"/>
        </w:rPr>
        <w:t>MSS</w:t>
      </w:r>
      <w:r>
        <w:rPr>
          <w:spacing w:val="-10"/>
          <w:sz w:val="18"/>
        </w:rPr>
        <w:t xml:space="preserve"> </w:t>
      </w:r>
      <w:r>
        <w:rPr>
          <w:sz w:val="18"/>
        </w:rPr>
        <w:t>and</w:t>
      </w:r>
      <w:r>
        <w:rPr>
          <w:spacing w:val="-10"/>
          <w:sz w:val="18"/>
        </w:rPr>
        <w:t xml:space="preserve"> </w:t>
      </w:r>
      <w:r>
        <w:rPr>
          <w:sz w:val="18"/>
        </w:rPr>
        <w:t>GEDSI</w:t>
      </w:r>
      <w:r>
        <w:rPr>
          <w:spacing w:val="-10"/>
          <w:sz w:val="18"/>
        </w:rPr>
        <w:t xml:space="preserve"> </w:t>
      </w:r>
      <w:r>
        <w:rPr>
          <w:sz w:val="18"/>
        </w:rPr>
        <w:t>are</w:t>
      </w:r>
      <w:r>
        <w:rPr>
          <w:spacing w:val="-10"/>
          <w:sz w:val="18"/>
        </w:rPr>
        <w:t xml:space="preserve"> </w:t>
      </w:r>
      <w:r>
        <w:rPr>
          <w:sz w:val="18"/>
        </w:rPr>
        <w:t>no</w:t>
      </w:r>
      <w:r>
        <w:rPr>
          <w:spacing w:val="-11"/>
          <w:sz w:val="18"/>
        </w:rPr>
        <w:t xml:space="preserve"> </w:t>
      </w:r>
      <w:r>
        <w:rPr>
          <w:sz w:val="18"/>
        </w:rPr>
        <w:t>longer</w:t>
      </w:r>
      <w:r>
        <w:rPr>
          <w:spacing w:val="-10"/>
          <w:sz w:val="18"/>
        </w:rPr>
        <w:t xml:space="preserve"> </w:t>
      </w:r>
      <w:r>
        <w:rPr>
          <w:sz w:val="18"/>
        </w:rPr>
        <w:t>treated</w:t>
      </w:r>
      <w:r>
        <w:rPr>
          <w:spacing w:val="-10"/>
          <w:sz w:val="18"/>
        </w:rPr>
        <w:t xml:space="preserve"> </w:t>
      </w:r>
      <w:r>
        <w:rPr>
          <w:sz w:val="18"/>
        </w:rPr>
        <w:t>as</w:t>
      </w:r>
      <w:r>
        <w:rPr>
          <w:spacing w:val="-10"/>
          <w:sz w:val="18"/>
        </w:rPr>
        <w:t xml:space="preserve"> </w:t>
      </w:r>
      <w:r>
        <w:rPr>
          <w:sz w:val="18"/>
        </w:rPr>
        <w:t>additional</w:t>
      </w:r>
      <w:r>
        <w:rPr>
          <w:spacing w:val="-10"/>
          <w:sz w:val="18"/>
        </w:rPr>
        <w:t xml:space="preserve"> </w:t>
      </w:r>
      <w:r>
        <w:rPr>
          <w:sz w:val="18"/>
        </w:rPr>
        <w:t>notes,</w:t>
      </w:r>
      <w:r>
        <w:rPr>
          <w:spacing w:val="-10"/>
          <w:sz w:val="18"/>
        </w:rPr>
        <w:t xml:space="preserve"> </w:t>
      </w:r>
      <w:r>
        <w:rPr>
          <w:sz w:val="18"/>
        </w:rPr>
        <w:t>but</w:t>
      </w:r>
      <w:r>
        <w:rPr>
          <w:spacing w:val="-11"/>
          <w:sz w:val="18"/>
        </w:rPr>
        <w:t xml:space="preserve"> </w:t>
      </w:r>
      <w:r>
        <w:rPr>
          <w:sz w:val="18"/>
        </w:rPr>
        <w:t>have</w:t>
      </w:r>
      <w:r>
        <w:rPr>
          <w:spacing w:val="-10"/>
          <w:sz w:val="18"/>
        </w:rPr>
        <w:t xml:space="preserve"> </w:t>
      </w:r>
      <w:r>
        <w:rPr>
          <w:sz w:val="18"/>
        </w:rPr>
        <w:t>become</w:t>
      </w:r>
      <w:r>
        <w:rPr>
          <w:spacing w:val="-10"/>
          <w:sz w:val="18"/>
        </w:rPr>
        <w:t xml:space="preserve"> </w:t>
      </w:r>
      <w:r>
        <w:rPr>
          <w:sz w:val="18"/>
        </w:rPr>
        <w:t>an</w:t>
      </w:r>
      <w:r>
        <w:rPr>
          <w:spacing w:val="-10"/>
          <w:sz w:val="18"/>
        </w:rPr>
        <w:t xml:space="preserve"> </w:t>
      </w:r>
      <w:r>
        <w:rPr>
          <w:sz w:val="18"/>
        </w:rPr>
        <w:t>integral</w:t>
      </w:r>
      <w:r>
        <w:rPr>
          <w:spacing w:val="-10"/>
          <w:sz w:val="18"/>
        </w:rPr>
        <w:t xml:space="preserve"> </w:t>
      </w:r>
      <w:r>
        <w:rPr>
          <w:sz w:val="18"/>
        </w:rPr>
        <w:t>part</w:t>
      </w:r>
      <w:r>
        <w:rPr>
          <w:spacing w:val="-10"/>
          <w:sz w:val="18"/>
        </w:rPr>
        <w:t xml:space="preserve"> </w:t>
      </w:r>
      <w:r>
        <w:rPr>
          <w:sz w:val="18"/>
        </w:rPr>
        <w:t>of</w:t>
      </w:r>
      <w:r>
        <w:rPr>
          <w:spacing w:val="-11"/>
          <w:sz w:val="18"/>
        </w:rPr>
        <w:t xml:space="preserve"> </w:t>
      </w:r>
      <w:r>
        <w:rPr>
          <w:sz w:val="18"/>
        </w:rPr>
        <w:t>Papua</w:t>
      </w:r>
      <w:r>
        <w:rPr>
          <w:spacing w:val="-10"/>
          <w:sz w:val="18"/>
        </w:rPr>
        <w:t xml:space="preserve"> </w:t>
      </w:r>
      <w:r>
        <w:rPr>
          <w:sz w:val="18"/>
        </w:rPr>
        <w:t>Barat’s</w:t>
      </w:r>
      <w:r>
        <w:rPr>
          <w:spacing w:val="-10"/>
          <w:sz w:val="18"/>
        </w:rPr>
        <w:t xml:space="preserve"> </w:t>
      </w:r>
      <w:r>
        <w:rPr>
          <w:sz w:val="18"/>
        </w:rPr>
        <w:t xml:space="preserve">RPJMD </w:t>
      </w:r>
      <w:r>
        <w:rPr>
          <w:spacing w:val="-2"/>
          <w:sz w:val="18"/>
        </w:rPr>
        <w:t>framework.</w:t>
      </w:r>
    </w:p>
    <w:p w14:paraId="49C379AA" w14:textId="77777777" w:rsidR="00BC24A8" w:rsidRDefault="00BC24A8">
      <w:pPr>
        <w:pStyle w:val="BodyText"/>
        <w:rPr>
          <w:sz w:val="18"/>
        </w:rPr>
      </w:pPr>
    </w:p>
    <w:p w14:paraId="6B1F411A" w14:textId="77777777" w:rsidR="00BC24A8" w:rsidRDefault="00BC24A8">
      <w:pPr>
        <w:pStyle w:val="BodyText"/>
        <w:spacing w:before="149"/>
        <w:rPr>
          <w:sz w:val="18"/>
        </w:rPr>
      </w:pPr>
    </w:p>
    <w:p w14:paraId="29117430" w14:textId="77777777" w:rsidR="00BC24A8" w:rsidRDefault="00000000">
      <w:pPr>
        <w:spacing w:line="280" w:lineRule="auto"/>
        <w:ind w:left="709" w:right="1116"/>
        <w:rPr>
          <w:i/>
          <w:sz w:val="18"/>
        </w:rPr>
      </w:pPr>
      <w:r>
        <w:rPr>
          <w:rFonts w:ascii="Times New Roman" w:hAnsi="Times New Roman"/>
          <w:b/>
          <w:i/>
          <w:color w:val="17365A"/>
          <w:spacing w:val="-4"/>
          <w:sz w:val="18"/>
        </w:rPr>
        <w:t xml:space="preserve">..SKALA’s support in the RPJMD draing process has been very signiflcant. SKALA provided input, learning, </w:t>
      </w:r>
      <w:r>
        <w:rPr>
          <w:rFonts w:ascii="Times New Roman" w:hAnsi="Times New Roman"/>
          <w:b/>
          <w:i/>
          <w:color w:val="17365A"/>
          <w:sz w:val="18"/>
        </w:rPr>
        <w:t>and</w:t>
      </w:r>
      <w:r>
        <w:rPr>
          <w:rFonts w:ascii="Times New Roman" w:hAnsi="Times New Roman"/>
          <w:b/>
          <w:i/>
          <w:color w:val="17365A"/>
          <w:spacing w:val="-8"/>
          <w:sz w:val="18"/>
        </w:rPr>
        <w:t xml:space="preserve"> </w:t>
      </w:r>
      <w:r>
        <w:rPr>
          <w:rFonts w:ascii="Times New Roman" w:hAnsi="Times New Roman"/>
          <w:b/>
          <w:i/>
          <w:color w:val="17365A"/>
          <w:sz w:val="18"/>
        </w:rPr>
        <w:t>knowledge</w:t>
      </w:r>
      <w:r>
        <w:rPr>
          <w:rFonts w:ascii="Times New Roman" w:hAnsi="Times New Roman"/>
          <w:b/>
          <w:i/>
          <w:color w:val="17365A"/>
          <w:spacing w:val="-9"/>
          <w:sz w:val="18"/>
        </w:rPr>
        <w:t xml:space="preserve"> </w:t>
      </w:r>
      <w:r>
        <w:rPr>
          <w:rFonts w:ascii="Times New Roman" w:hAnsi="Times New Roman"/>
          <w:b/>
          <w:i/>
          <w:color w:val="17365A"/>
          <w:sz w:val="18"/>
        </w:rPr>
        <w:t>to</w:t>
      </w:r>
      <w:r>
        <w:rPr>
          <w:rFonts w:ascii="Times New Roman" w:hAnsi="Times New Roman"/>
          <w:b/>
          <w:i/>
          <w:color w:val="17365A"/>
          <w:spacing w:val="-6"/>
          <w:sz w:val="18"/>
        </w:rPr>
        <w:t xml:space="preserve"> </w:t>
      </w:r>
      <w:r>
        <w:rPr>
          <w:rFonts w:ascii="Times New Roman" w:hAnsi="Times New Roman"/>
          <w:b/>
          <w:i/>
          <w:color w:val="17365A"/>
          <w:sz w:val="18"/>
        </w:rPr>
        <w:t>Bappeda</w:t>
      </w:r>
      <w:r>
        <w:rPr>
          <w:rFonts w:ascii="Times New Roman" w:hAnsi="Times New Roman"/>
          <w:b/>
          <w:i/>
          <w:color w:val="17365A"/>
          <w:spacing w:val="-6"/>
          <w:sz w:val="18"/>
        </w:rPr>
        <w:t xml:space="preserve"> </w:t>
      </w:r>
      <w:r>
        <w:rPr>
          <w:rFonts w:ascii="Times New Roman" w:hAnsi="Times New Roman"/>
          <w:b/>
          <w:i/>
          <w:color w:val="17365A"/>
          <w:sz w:val="18"/>
        </w:rPr>
        <w:t>to</w:t>
      </w:r>
      <w:r>
        <w:rPr>
          <w:rFonts w:ascii="Times New Roman" w:hAnsi="Times New Roman"/>
          <w:b/>
          <w:i/>
          <w:color w:val="17365A"/>
          <w:spacing w:val="-8"/>
          <w:sz w:val="18"/>
        </w:rPr>
        <w:t xml:space="preserve"> </w:t>
      </w:r>
      <w:r>
        <w:rPr>
          <w:rFonts w:ascii="Times New Roman" w:hAnsi="Times New Roman"/>
          <w:b/>
          <w:i/>
          <w:color w:val="17365A"/>
          <w:sz w:val="18"/>
        </w:rPr>
        <w:t>ensure</w:t>
      </w:r>
      <w:r>
        <w:rPr>
          <w:rFonts w:ascii="Times New Roman" w:hAnsi="Times New Roman"/>
          <w:b/>
          <w:i/>
          <w:color w:val="17365A"/>
          <w:spacing w:val="-9"/>
          <w:sz w:val="18"/>
        </w:rPr>
        <w:t xml:space="preserve"> </w:t>
      </w:r>
      <w:r>
        <w:rPr>
          <w:rFonts w:ascii="Times New Roman" w:hAnsi="Times New Roman"/>
          <w:b/>
          <w:i/>
          <w:color w:val="17365A"/>
          <w:sz w:val="18"/>
        </w:rPr>
        <w:t>that</w:t>
      </w:r>
      <w:r>
        <w:rPr>
          <w:rFonts w:ascii="Times New Roman" w:hAnsi="Times New Roman"/>
          <w:b/>
          <w:i/>
          <w:color w:val="17365A"/>
          <w:spacing w:val="-8"/>
          <w:sz w:val="18"/>
        </w:rPr>
        <w:t xml:space="preserve"> </w:t>
      </w:r>
      <w:r>
        <w:rPr>
          <w:rFonts w:ascii="Times New Roman" w:hAnsi="Times New Roman"/>
          <w:b/>
          <w:i/>
          <w:color w:val="17365A"/>
          <w:sz w:val="18"/>
        </w:rPr>
        <w:t>the</w:t>
      </w:r>
      <w:r>
        <w:rPr>
          <w:rFonts w:ascii="Times New Roman" w:hAnsi="Times New Roman"/>
          <w:b/>
          <w:i/>
          <w:color w:val="17365A"/>
          <w:spacing w:val="-9"/>
          <w:sz w:val="18"/>
        </w:rPr>
        <w:t xml:space="preserve"> </w:t>
      </w:r>
      <w:r>
        <w:rPr>
          <w:rFonts w:ascii="Times New Roman" w:hAnsi="Times New Roman"/>
          <w:b/>
          <w:i/>
          <w:color w:val="17365A"/>
          <w:sz w:val="18"/>
        </w:rPr>
        <w:t>RPJMD</w:t>
      </w:r>
      <w:r>
        <w:rPr>
          <w:rFonts w:ascii="Times New Roman" w:hAnsi="Times New Roman"/>
          <w:b/>
          <w:i/>
          <w:color w:val="17365A"/>
          <w:spacing w:val="-8"/>
          <w:sz w:val="18"/>
        </w:rPr>
        <w:t xml:space="preserve"> </w:t>
      </w:r>
      <w:r>
        <w:rPr>
          <w:rFonts w:ascii="Times New Roman" w:hAnsi="Times New Roman"/>
          <w:b/>
          <w:i/>
          <w:color w:val="17365A"/>
          <w:sz w:val="18"/>
        </w:rPr>
        <w:t>takes</w:t>
      </w:r>
      <w:r>
        <w:rPr>
          <w:rFonts w:ascii="Times New Roman" w:hAnsi="Times New Roman"/>
          <w:b/>
          <w:i/>
          <w:color w:val="17365A"/>
          <w:spacing w:val="-7"/>
          <w:sz w:val="18"/>
        </w:rPr>
        <w:t xml:space="preserve"> </w:t>
      </w:r>
      <w:r>
        <w:rPr>
          <w:rFonts w:ascii="Times New Roman" w:hAnsi="Times New Roman"/>
          <w:b/>
          <w:i/>
          <w:color w:val="17365A"/>
          <w:sz w:val="18"/>
        </w:rPr>
        <w:t>into</w:t>
      </w:r>
      <w:r>
        <w:rPr>
          <w:rFonts w:ascii="Times New Roman" w:hAnsi="Times New Roman"/>
          <w:b/>
          <w:i/>
          <w:color w:val="17365A"/>
          <w:spacing w:val="-8"/>
          <w:sz w:val="18"/>
        </w:rPr>
        <w:t xml:space="preserve"> </w:t>
      </w:r>
      <w:r>
        <w:rPr>
          <w:rFonts w:ascii="Times New Roman" w:hAnsi="Times New Roman"/>
          <w:b/>
          <w:i/>
          <w:color w:val="17365A"/>
          <w:sz w:val="18"/>
        </w:rPr>
        <w:t>account</w:t>
      </w:r>
      <w:r>
        <w:rPr>
          <w:rFonts w:ascii="Times New Roman" w:hAnsi="Times New Roman"/>
          <w:b/>
          <w:i/>
          <w:color w:val="17365A"/>
          <w:spacing w:val="-8"/>
          <w:sz w:val="18"/>
        </w:rPr>
        <w:t xml:space="preserve"> </w:t>
      </w:r>
      <w:r>
        <w:rPr>
          <w:rFonts w:ascii="Times New Roman" w:hAnsi="Times New Roman"/>
          <w:b/>
          <w:i/>
          <w:color w:val="17365A"/>
          <w:sz w:val="18"/>
        </w:rPr>
        <w:t>the</w:t>
      </w:r>
      <w:r>
        <w:rPr>
          <w:rFonts w:ascii="Times New Roman" w:hAnsi="Times New Roman"/>
          <w:b/>
          <w:i/>
          <w:color w:val="17365A"/>
          <w:spacing w:val="-9"/>
          <w:sz w:val="18"/>
        </w:rPr>
        <w:t xml:space="preserve"> </w:t>
      </w:r>
      <w:r>
        <w:rPr>
          <w:rFonts w:ascii="Times New Roman" w:hAnsi="Times New Roman"/>
          <w:b/>
          <w:i/>
          <w:color w:val="17365A"/>
          <w:sz w:val="18"/>
        </w:rPr>
        <w:t>needs</w:t>
      </w:r>
      <w:r>
        <w:rPr>
          <w:rFonts w:ascii="Times New Roman" w:hAnsi="Times New Roman"/>
          <w:b/>
          <w:i/>
          <w:color w:val="17365A"/>
          <w:spacing w:val="-7"/>
          <w:sz w:val="18"/>
        </w:rPr>
        <w:t xml:space="preserve"> </w:t>
      </w:r>
      <w:r>
        <w:rPr>
          <w:rFonts w:ascii="Times New Roman" w:hAnsi="Times New Roman"/>
          <w:b/>
          <w:i/>
          <w:color w:val="17365A"/>
          <w:sz w:val="18"/>
        </w:rPr>
        <w:t>of</w:t>
      </w:r>
      <w:r>
        <w:rPr>
          <w:rFonts w:ascii="Times New Roman" w:hAnsi="Times New Roman"/>
          <w:b/>
          <w:i/>
          <w:color w:val="17365A"/>
          <w:spacing w:val="-8"/>
          <w:sz w:val="18"/>
        </w:rPr>
        <w:t xml:space="preserve"> </w:t>
      </w:r>
      <w:r>
        <w:rPr>
          <w:rFonts w:ascii="Times New Roman" w:hAnsi="Times New Roman"/>
          <w:b/>
          <w:i/>
          <w:color w:val="17365A"/>
          <w:sz w:val="18"/>
        </w:rPr>
        <w:t>MSS</w:t>
      </w:r>
      <w:r>
        <w:rPr>
          <w:rFonts w:ascii="Times New Roman" w:hAnsi="Times New Roman"/>
          <w:b/>
          <w:i/>
          <w:color w:val="17365A"/>
          <w:spacing w:val="-7"/>
          <w:sz w:val="18"/>
        </w:rPr>
        <w:t xml:space="preserve"> </w:t>
      </w:r>
      <w:r>
        <w:rPr>
          <w:rFonts w:ascii="Times New Roman" w:hAnsi="Times New Roman"/>
          <w:b/>
          <w:i/>
          <w:color w:val="17365A"/>
          <w:sz w:val="18"/>
        </w:rPr>
        <w:t>and</w:t>
      </w:r>
      <w:r>
        <w:rPr>
          <w:rFonts w:ascii="Times New Roman" w:hAnsi="Times New Roman"/>
          <w:b/>
          <w:i/>
          <w:color w:val="17365A"/>
          <w:spacing w:val="-6"/>
          <w:sz w:val="18"/>
        </w:rPr>
        <w:t xml:space="preserve"> </w:t>
      </w:r>
      <w:r>
        <w:rPr>
          <w:rFonts w:ascii="Times New Roman" w:hAnsi="Times New Roman"/>
          <w:b/>
          <w:i/>
          <w:color w:val="17365A"/>
          <w:sz w:val="18"/>
        </w:rPr>
        <w:t xml:space="preserve">GEDSI. </w:t>
      </w:r>
      <w:r>
        <w:rPr>
          <w:i/>
          <w:color w:val="17365A"/>
          <w:sz w:val="18"/>
        </w:rPr>
        <w:t>Deassy D. Tetelepta, Head of Bappeda Papua Barat</w:t>
      </w:r>
    </w:p>
    <w:p w14:paraId="1DA32517" w14:textId="77777777" w:rsidR="00BC24A8" w:rsidRDefault="00BC24A8">
      <w:pPr>
        <w:pStyle w:val="BodyText"/>
        <w:rPr>
          <w:i/>
        </w:rPr>
      </w:pPr>
    </w:p>
    <w:p w14:paraId="16D29A0E" w14:textId="77777777" w:rsidR="00BC24A8" w:rsidRDefault="00BC24A8">
      <w:pPr>
        <w:pStyle w:val="BodyText"/>
        <w:rPr>
          <w:i/>
        </w:rPr>
      </w:pPr>
    </w:p>
    <w:p w14:paraId="286CD57E" w14:textId="77777777" w:rsidR="00BC24A8" w:rsidRDefault="00BC24A8">
      <w:pPr>
        <w:pStyle w:val="BodyText"/>
        <w:rPr>
          <w:i/>
        </w:rPr>
      </w:pPr>
    </w:p>
    <w:p w14:paraId="72470468" w14:textId="77777777" w:rsidR="00BC24A8" w:rsidRDefault="00BC24A8">
      <w:pPr>
        <w:pStyle w:val="BodyText"/>
        <w:spacing w:before="140"/>
        <w:rPr>
          <w:i/>
        </w:rPr>
      </w:pPr>
    </w:p>
    <w:p w14:paraId="29810E7B" w14:textId="77777777" w:rsidR="00BC24A8" w:rsidRDefault="00000000">
      <w:pPr>
        <w:pStyle w:val="BodyText"/>
        <w:ind w:left="143"/>
        <w:rPr>
          <w:rFonts w:ascii="Calibri"/>
        </w:rPr>
      </w:pPr>
      <w:r>
        <w:rPr>
          <w:rFonts w:ascii="Calibri"/>
          <w:color w:val="272727"/>
        </w:rPr>
        <w:t>Challenges</w:t>
      </w:r>
      <w:r>
        <w:rPr>
          <w:rFonts w:ascii="Calibri"/>
          <w:color w:val="272727"/>
          <w:spacing w:val="-7"/>
        </w:rPr>
        <w:t xml:space="preserve"> </w:t>
      </w:r>
      <w:r>
        <w:rPr>
          <w:rFonts w:ascii="Calibri"/>
          <w:color w:val="272727"/>
        </w:rPr>
        <w:t>and</w:t>
      </w:r>
      <w:r>
        <w:rPr>
          <w:rFonts w:ascii="Calibri"/>
          <w:color w:val="272727"/>
          <w:spacing w:val="-5"/>
        </w:rPr>
        <w:t xml:space="preserve"> </w:t>
      </w:r>
      <w:r>
        <w:rPr>
          <w:rFonts w:ascii="Calibri"/>
          <w:color w:val="272727"/>
        </w:rPr>
        <w:t>lessons</w:t>
      </w:r>
      <w:r>
        <w:rPr>
          <w:rFonts w:ascii="Calibri"/>
          <w:color w:val="272727"/>
          <w:spacing w:val="-4"/>
        </w:rPr>
        <w:t xml:space="preserve"> </w:t>
      </w:r>
      <w:r>
        <w:rPr>
          <w:rFonts w:ascii="Calibri"/>
          <w:color w:val="272727"/>
          <w:spacing w:val="-2"/>
        </w:rPr>
        <w:t>learned</w:t>
      </w:r>
    </w:p>
    <w:p w14:paraId="57155288" w14:textId="77777777" w:rsidR="00BC24A8" w:rsidRDefault="00000000">
      <w:pPr>
        <w:pStyle w:val="Heading5"/>
        <w:spacing w:before="22" w:line="381" w:lineRule="auto"/>
        <w:ind w:right="3387"/>
      </w:pPr>
      <w:r>
        <w:rPr>
          <w:color w:val="17365A"/>
        </w:rPr>
        <w:t>Program</w:t>
      </w:r>
      <w:r>
        <w:rPr>
          <w:color w:val="17365A"/>
          <w:spacing w:val="-10"/>
        </w:rPr>
        <w:t xml:space="preserve"> </w:t>
      </w:r>
      <w:r>
        <w:rPr>
          <w:color w:val="17365A"/>
        </w:rPr>
        <w:t>implementation</w:t>
      </w:r>
      <w:r>
        <w:rPr>
          <w:color w:val="17365A"/>
          <w:spacing w:val="-11"/>
        </w:rPr>
        <w:t xml:space="preserve"> </w:t>
      </w:r>
      <w:r>
        <w:rPr>
          <w:color w:val="17365A"/>
        </w:rPr>
        <w:t>challenges,</w:t>
      </w:r>
      <w:r>
        <w:rPr>
          <w:color w:val="17365A"/>
          <w:spacing w:val="-12"/>
        </w:rPr>
        <w:t xml:space="preserve"> </w:t>
      </w:r>
      <w:r>
        <w:rPr>
          <w:color w:val="17365A"/>
        </w:rPr>
        <w:t>impacts,</w:t>
      </w:r>
      <w:r>
        <w:rPr>
          <w:color w:val="17365A"/>
          <w:spacing w:val="-10"/>
        </w:rPr>
        <w:t xml:space="preserve"> </w:t>
      </w:r>
      <w:r>
        <w:rPr>
          <w:color w:val="17365A"/>
        </w:rPr>
        <w:t>and</w:t>
      </w:r>
      <w:r>
        <w:rPr>
          <w:color w:val="17365A"/>
          <w:spacing w:val="-11"/>
        </w:rPr>
        <w:t xml:space="preserve"> </w:t>
      </w:r>
      <w:r>
        <w:rPr>
          <w:color w:val="17365A"/>
        </w:rPr>
        <w:t xml:space="preserve">solutions </w:t>
      </w:r>
      <w:r>
        <w:rPr>
          <w:spacing w:val="-2"/>
        </w:rPr>
        <w:t>Challenges</w:t>
      </w:r>
    </w:p>
    <w:p w14:paraId="680C210B" w14:textId="77777777" w:rsidR="00BC24A8" w:rsidRDefault="00000000">
      <w:pPr>
        <w:pStyle w:val="ListParagraph"/>
        <w:numPr>
          <w:ilvl w:val="1"/>
          <w:numId w:val="24"/>
        </w:numPr>
        <w:tabs>
          <w:tab w:val="left" w:pos="863"/>
        </w:tabs>
        <w:spacing w:before="1"/>
        <w:ind w:right="564"/>
        <w:jc w:val="left"/>
      </w:pPr>
      <w:r>
        <w:t>The implementation of SAIK+ stalled in several villages. Lack of commitment and prioritisation has resulted in suboptimal data collection, updating, and regular verification.</w:t>
      </w:r>
    </w:p>
    <w:p w14:paraId="345C8394" w14:textId="77777777" w:rsidR="00BC24A8" w:rsidRDefault="00000000">
      <w:pPr>
        <w:pStyle w:val="ListParagraph"/>
        <w:numPr>
          <w:ilvl w:val="1"/>
          <w:numId w:val="24"/>
        </w:numPr>
        <w:tabs>
          <w:tab w:val="left" w:pos="863"/>
        </w:tabs>
        <w:ind w:hanging="360"/>
        <w:jc w:val="left"/>
      </w:pPr>
      <w:r>
        <w:t>Village-level</w:t>
      </w:r>
      <w:r>
        <w:rPr>
          <w:spacing w:val="-7"/>
        </w:rPr>
        <w:t xml:space="preserve"> </w:t>
      </w:r>
      <w:r>
        <w:t>data</w:t>
      </w:r>
      <w:r>
        <w:rPr>
          <w:spacing w:val="-5"/>
        </w:rPr>
        <w:t xml:space="preserve"> </w:t>
      </w:r>
      <w:r>
        <w:t>is</w:t>
      </w:r>
      <w:r>
        <w:rPr>
          <w:spacing w:val="-4"/>
        </w:rPr>
        <w:t xml:space="preserve"> </w:t>
      </w:r>
      <w:r>
        <w:t>critical</w:t>
      </w:r>
      <w:r>
        <w:rPr>
          <w:spacing w:val="-5"/>
        </w:rPr>
        <w:t xml:space="preserve"> </w:t>
      </w:r>
      <w:r>
        <w:t>for</w:t>
      </w:r>
      <w:r>
        <w:rPr>
          <w:spacing w:val="-3"/>
        </w:rPr>
        <w:t xml:space="preserve"> </w:t>
      </w:r>
      <w:r>
        <w:t>top-down</w:t>
      </w:r>
      <w:r>
        <w:rPr>
          <w:spacing w:val="-5"/>
        </w:rPr>
        <w:t xml:space="preserve"> </w:t>
      </w:r>
      <w:r>
        <w:t>planning,</w:t>
      </w:r>
      <w:r>
        <w:rPr>
          <w:spacing w:val="-5"/>
        </w:rPr>
        <w:t xml:space="preserve"> </w:t>
      </w:r>
      <w:r>
        <w:t>but</w:t>
      </w:r>
      <w:r>
        <w:rPr>
          <w:spacing w:val="-6"/>
        </w:rPr>
        <w:t xml:space="preserve"> </w:t>
      </w:r>
      <w:r>
        <w:t>budget</w:t>
      </w:r>
      <w:r>
        <w:rPr>
          <w:spacing w:val="-4"/>
        </w:rPr>
        <w:t xml:space="preserve"> </w:t>
      </w:r>
      <w:r>
        <w:t>allocations</w:t>
      </w:r>
      <w:r>
        <w:rPr>
          <w:spacing w:val="-5"/>
        </w:rPr>
        <w:t xml:space="preserve"> </w:t>
      </w:r>
      <w:r>
        <w:t>remain</w:t>
      </w:r>
      <w:r>
        <w:rPr>
          <w:spacing w:val="-2"/>
        </w:rPr>
        <w:t xml:space="preserve"> limited.</w:t>
      </w:r>
    </w:p>
    <w:p w14:paraId="5C30A3C6" w14:textId="77777777" w:rsidR="00BC24A8" w:rsidRDefault="00000000">
      <w:pPr>
        <w:pStyle w:val="ListParagraph"/>
        <w:numPr>
          <w:ilvl w:val="1"/>
          <w:numId w:val="24"/>
        </w:numPr>
        <w:tabs>
          <w:tab w:val="left" w:pos="863"/>
        </w:tabs>
        <w:spacing w:before="1"/>
        <w:ind w:right="563"/>
        <w:jc w:val="left"/>
      </w:pPr>
      <w:r>
        <w:t>Regional</w:t>
      </w:r>
      <w:r>
        <w:rPr>
          <w:spacing w:val="26"/>
        </w:rPr>
        <w:t xml:space="preserve"> </w:t>
      </w:r>
      <w:r>
        <w:t>fiscal</w:t>
      </w:r>
      <w:r>
        <w:rPr>
          <w:spacing w:val="28"/>
        </w:rPr>
        <w:t xml:space="preserve"> </w:t>
      </w:r>
      <w:r>
        <w:t>constraints</w:t>
      </w:r>
      <w:r>
        <w:rPr>
          <w:spacing w:val="27"/>
        </w:rPr>
        <w:t xml:space="preserve"> </w:t>
      </w:r>
      <w:r>
        <w:t>have</w:t>
      </w:r>
      <w:r>
        <w:rPr>
          <w:spacing w:val="30"/>
        </w:rPr>
        <w:t xml:space="preserve"> </w:t>
      </w:r>
      <w:r>
        <w:t>led</w:t>
      </w:r>
      <w:r>
        <w:rPr>
          <w:spacing w:val="29"/>
        </w:rPr>
        <w:t xml:space="preserve"> </w:t>
      </w:r>
      <w:r>
        <w:t>to</w:t>
      </w:r>
      <w:r>
        <w:rPr>
          <w:spacing w:val="26"/>
        </w:rPr>
        <w:t xml:space="preserve"> </w:t>
      </w:r>
      <w:r>
        <w:t>minimal</w:t>
      </w:r>
      <w:r>
        <w:rPr>
          <w:spacing w:val="28"/>
        </w:rPr>
        <w:t xml:space="preserve"> </w:t>
      </w:r>
      <w:r>
        <w:t>funding</w:t>
      </w:r>
      <w:r>
        <w:rPr>
          <w:spacing w:val="28"/>
        </w:rPr>
        <w:t xml:space="preserve"> </w:t>
      </w:r>
      <w:r>
        <w:t>for</w:t>
      </w:r>
      <w:r>
        <w:rPr>
          <w:spacing w:val="29"/>
        </w:rPr>
        <w:t xml:space="preserve"> </w:t>
      </w:r>
      <w:r>
        <w:t>the</w:t>
      </w:r>
      <w:r>
        <w:rPr>
          <w:spacing w:val="28"/>
        </w:rPr>
        <w:t xml:space="preserve"> </w:t>
      </w:r>
      <w:r>
        <w:t>Secretariat</w:t>
      </w:r>
      <w:r>
        <w:rPr>
          <w:spacing w:val="28"/>
        </w:rPr>
        <w:t xml:space="preserve"> </w:t>
      </w:r>
      <w:r>
        <w:t>of</w:t>
      </w:r>
      <w:r>
        <w:rPr>
          <w:spacing w:val="30"/>
        </w:rPr>
        <w:t xml:space="preserve"> </w:t>
      </w:r>
      <w:r>
        <w:t>the</w:t>
      </w:r>
      <w:r>
        <w:rPr>
          <w:spacing w:val="30"/>
        </w:rPr>
        <w:t xml:space="preserve"> </w:t>
      </w:r>
      <w:r>
        <w:t>One</w:t>
      </w:r>
      <w:r>
        <w:rPr>
          <w:spacing w:val="30"/>
        </w:rPr>
        <w:t xml:space="preserve"> </w:t>
      </w:r>
      <w:r>
        <w:t xml:space="preserve">Data </w:t>
      </w:r>
      <w:r>
        <w:rPr>
          <w:spacing w:val="-2"/>
        </w:rPr>
        <w:t>Forum.</w:t>
      </w:r>
    </w:p>
    <w:p w14:paraId="5107C90E" w14:textId="77777777" w:rsidR="00BC24A8" w:rsidRDefault="00000000">
      <w:pPr>
        <w:pStyle w:val="ListParagraph"/>
        <w:numPr>
          <w:ilvl w:val="1"/>
          <w:numId w:val="24"/>
        </w:numPr>
        <w:tabs>
          <w:tab w:val="left" w:pos="863"/>
        </w:tabs>
        <w:spacing w:before="3" w:line="237" w:lineRule="auto"/>
        <w:ind w:right="565"/>
        <w:jc w:val="left"/>
      </w:pPr>
      <w:r>
        <w:t>Commitment among data producers toward One Data implementation is uneven, leaving the data inventory incomplete.</w:t>
      </w:r>
    </w:p>
    <w:p w14:paraId="32B90E08" w14:textId="77777777" w:rsidR="00BC24A8" w:rsidRDefault="00000000">
      <w:pPr>
        <w:pStyle w:val="ListParagraph"/>
        <w:numPr>
          <w:ilvl w:val="1"/>
          <w:numId w:val="24"/>
        </w:numPr>
        <w:tabs>
          <w:tab w:val="left" w:pos="863"/>
        </w:tabs>
        <w:spacing w:before="2"/>
        <w:ind w:right="563"/>
        <w:jc w:val="left"/>
      </w:pPr>
      <w:r>
        <w:t>The</w:t>
      </w:r>
      <w:r>
        <w:rPr>
          <w:spacing w:val="-13"/>
        </w:rPr>
        <w:t xml:space="preserve"> </w:t>
      </w:r>
      <w:r>
        <w:t>implementation</w:t>
      </w:r>
      <w:r>
        <w:rPr>
          <w:spacing w:val="-12"/>
        </w:rPr>
        <w:t xml:space="preserve"> </w:t>
      </w:r>
      <w:r>
        <w:t>of</w:t>
      </w:r>
      <w:r>
        <w:rPr>
          <w:spacing w:val="-13"/>
        </w:rPr>
        <w:t xml:space="preserve"> </w:t>
      </w:r>
      <w:r>
        <w:t>the</w:t>
      </w:r>
      <w:r>
        <w:rPr>
          <w:spacing w:val="-13"/>
        </w:rPr>
        <w:t xml:space="preserve"> </w:t>
      </w:r>
      <w:r>
        <w:t>SKALA</w:t>
      </w:r>
      <w:r>
        <w:rPr>
          <w:spacing w:val="-12"/>
        </w:rPr>
        <w:t xml:space="preserve"> </w:t>
      </w:r>
      <w:r>
        <w:t>program</w:t>
      </w:r>
      <w:r>
        <w:rPr>
          <w:spacing w:val="-13"/>
        </w:rPr>
        <w:t xml:space="preserve"> </w:t>
      </w:r>
      <w:r>
        <w:t>was</w:t>
      </w:r>
      <w:r>
        <w:rPr>
          <w:spacing w:val="-12"/>
        </w:rPr>
        <w:t xml:space="preserve"> </w:t>
      </w:r>
      <w:r>
        <w:t>temporarily</w:t>
      </w:r>
      <w:r>
        <w:rPr>
          <w:spacing w:val="-13"/>
        </w:rPr>
        <w:t xml:space="preserve"> </w:t>
      </w:r>
      <w:r>
        <w:t>suspended</w:t>
      </w:r>
      <w:r>
        <w:rPr>
          <w:spacing w:val="-12"/>
        </w:rPr>
        <w:t xml:space="preserve"> </w:t>
      </w:r>
      <w:r>
        <w:t>(Jan–Mar</w:t>
      </w:r>
      <w:r>
        <w:rPr>
          <w:spacing w:val="-12"/>
        </w:rPr>
        <w:t xml:space="preserve"> </w:t>
      </w:r>
      <w:r>
        <w:t>2025),</w:t>
      </w:r>
      <w:r>
        <w:rPr>
          <w:spacing w:val="-13"/>
        </w:rPr>
        <w:t xml:space="preserve"> </w:t>
      </w:r>
      <w:r>
        <w:t>causing several AWP output targets to remain unmet.</w:t>
      </w:r>
    </w:p>
    <w:p w14:paraId="005C0A9F" w14:textId="77777777" w:rsidR="00BC24A8" w:rsidRDefault="00000000">
      <w:pPr>
        <w:pStyle w:val="ListParagraph"/>
        <w:numPr>
          <w:ilvl w:val="1"/>
          <w:numId w:val="24"/>
        </w:numPr>
        <w:tabs>
          <w:tab w:val="left" w:pos="863"/>
        </w:tabs>
        <w:ind w:right="564"/>
        <w:jc w:val="left"/>
      </w:pPr>
      <w:r>
        <w:t>Limited SKALA staffing at the subnational level has slowed progress in achieving AWP 24/25</w:t>
      </w:r>
      <w:r>
        <w:rPr>
          <w:spacing w:val="40"/>
        </w:rPr>
        <w:t xml:space="preserve"> </w:t>
      </w:r>
      <w:r>
        <w:rPr>
          <w:spacing w:val="-2"/>
        </w:rPr>
        <w:t>targets.</w:t>
      </w:r>
    </w:p>
    <w:p w14:paraId="661034B3" w14:textId="77777777" w:rsidR="00BC24A8" w:rsidRDefault="00BC24A8">
      <w:pPr>
        <w:pStyle w:val="ListParagraph"/>
        <w:jc w:val="left"/>
        <w:sectPr w:rsidR="00BC24A8">
          <w:pgSz w:w="11910" w:h="16840"/>
          <w:pgMar w:top="1400" w:right="850" w:bottom="1100" w:left="1275" w:header="0" w:footer="907" w:gutter="0"/>
          <w:cols w:space="720"/>
        </w:sectPr>
      </w:pPr>
    </w:p>
    <w:p w14:paraId="16C2A70D" w14:textId="77777777" w:rsidR="00BC24A8" w:rsidRDefault="00000000">
      <w:pPr>
        <w:pStyle w:val="Heading5"/>
        <w:spacing w:before="39"/>
      </w:pPr>
      <w:r>
        <w:rPr>
          <w:spacing w:val="-2"/>
        </w:rPr>
        <w:t>Solutions</w:t>
      </w:r>
    </w:p>
    <w:p w14:paraId="448F4E6D" w14:textId="77777777" w:rsidR="00BC24A8" w:rsidRDefault="00000000">
      <w:pPr>
        <w:pStyle w:val="ListParagraph"/>
        <w:numPr>
          <w:ilvl w:val="1"/>
          <w:numId w:val="24"/>
        </w:numPr>
        <w:tabs>
          <w:tab w:val="left" w:pos="863"/>
        </w:tabs>
        <w:spacing w:before="159"/>
        <w:ind w:right="564"/>
        <w:jc w:val="left"/>
      </w:pPr>
      <w:r>
        <w:t>Advocating</w:t>
      </w:r>
      <w:r>
        <w:rPr>
          <w:spacing w:val="-3"/>
        </w:rPr>
        <w:t xml:space="preserve"> </w:t>
      </w:r>
      <w:r>
        <w:t>for</w:t>
      </w:r>
      <w:r>
        <w:rPr>
          <w:spacing w:val="-2"/>
        </w:rPr>
        <w:t xml:space="preserve"> </w:t>
      </w:r>
      <w:r>
        <w:t>and</w:t>
      </w:r>
      <w:r>
        <w:rPr>
          <w:spacing w:val="-2"/>
        </w:rPr>
        <w:t xml:space="preserve"> </w:t>
      </w:r>
      <w:r>
        <w:t>supporting</w:t>
      </w:r>
      <w:r>
        <w:rPr>
          <w:spacing w:val="-1"/>
        </w:rPr>
        <w:t xml:space="preserve"> </w:t>
      </w:r>
      <w:r>
        <w:t>strategic</w:t>
      </w:r>
      <w:r>
        <w:rPr>
          <w:spacing w:val="-3"/>
        </w:rPr>
        <w:t xml:space="preserve"> </w:t>
      </w:r>
      <w:r>
        <w:t>programs</w:t>
      </w:r>
      <w:r>
        <w:rPr>
          <w:spacing w:val="-2"/>
        </w:rPr>
        <w:t xml:space="preserve"> </w:t>
      </w:r>
      <w:r>
        <w:t>related</w:t>
      </w:r>
      <w:r>
        <w:rPr>
          <w:spacing w:val="-2"/>
        </w:rPr>
        <w:t xml:space="preserve"> </w:t>
      </w:r>
      <w:r>
        <w:t>to OAP</w:t>
      </w:r>
      <w:r>
        <w:rPr>
          <w:spacing w:val="-2"/>
        </w:rPr>
        <w:t xml:space="preserve"> </w:t>
      </w:r>
      <w:r>
        <w:t>data</w:t>
      </w:r>
      <w:r>
        <w:rPr>
          <w:spacing w:val="-1"/>
        </w:rPr>
        <w:t xml:space="preserve"> </w:t>
      </w:r>
      <w:r>
        <w:t>collection to ensure the sustainability of SAIK+.</w:t>
      </w:r>
    </w:p>
    <w:p w14:paraId="48C087FC" w14:textId="77777777" w:rsidR="00BC24A8" w:rsidRDefault="00000000">
      <w:pPr>
        <w:pStyle w:val="ListParagraph"/>
        <w:numPr>
          <w:ilvl w:val="1"/>
          <w:numId w:val="24"/>
        </w:numPr>
        <w:tabs>
          <w:tab w:val="left" w:pos="863"/>
        </w:tabs>
        <w:spacing w:before="1"/>
        <w:ind w:hanging="360"/>
        <w:jc w:val="left"/>
      </w:pPr>
      <w:r>
        <w:t>Exploring</w:t>
      </w:r>
      <w:r>
        <w:rPr>
          <w:spacing w:val="-9"/>
        </w:rPr>
        <w:t xml:space="preserve"> </w:t>
      </w:r>
      <w:r>
        <w:t>alternative</w:t>
      </w:r>
      <w:r>
        <w:rPr>
          <w:spacing w:val="-9"/>
        </w:rPr>
        <w:t xml:space="preserve"> </w:t>
      </w:r>
      <w:r>
        <w:t>sources</w:t>
      </w:r>
      <w:r>
        <w:rPr>
          <w:spacing w:val="-8"/>
        </w:rPr>
        <w:t xml:space="preserve"> </w:t>
      </w:r>
      <w:r>
        <w:t>of</w:t>
      </w:r>
      <w:r>
        <w:rPr>
          <w:spacing w:val="-9"/>
        </w:rPr>
        <w:t xml:space="preserve"> </w:t>
      </w:r>
      <w:r>
        <w:t>funding</w:t>
      </w:r>
      <w:r>
        <w:rPr>
          <w:spacing w:val="-9"/>
        </w:rPr>
        <w:t xml:space="preserve"> </w:t>
      </w:r>
      <w:r>
        <w:t>to</w:t>
      </w:r>
      <w:r>
        <w:rPr>
          <w:spacing w:val="-9"/>
        </w:rPr>
        <w:t xml:space="preserve"> </w:t>
      </w:r>
      <w:r>
        <w:t>strengthen</w:t>
      </w:r>
      <w:r>
        <w:rPr>
          <w:spacing w:val="-7"/>
        </w:rPr>
        <w:t xml:space="preserve"> </w:t>
      </w:r>
      <w:r>
        <w:t>the</w:t>
      </w:r>
      <w:r>
        <w:rPr>
          <w:spacing w:val="-10"/>
        </w:rPr>
        <w:t xml:space="preserve"> </w:t>
      </w:r>
      <w:r>
        <w:t>functionality</w:t>
      </w:r>
      <w:r>
        <w:rPr>
          <w:spacing w:val="-7"/>
        </w:rPr>
        <w:t xml:space="preserve"> </w:t>
      </w:r>
      <w:r>
        <w:t>of</w:t>
      </w:r>
      <w:r>
        <w:rPr>
          <w:spacing w:val="-7"/>
        </w:rPr>
        <w:t xml:space="preserve"> </w:t>
      </w:r>
      <w:r>
        <w:t>the</w:t>
      </w:r>
      <w:r>
        <w:rPr>
          <w:spacing w:val="-7"/>
        </w:rPr>
        <w:t xml:space="preserve"> </w:t>
      </w:r>
      <w:r>
        <w:t>One</w:t>
      </w:r>
      <w:r>
        <w:rPr>
          <w:spacing w:val="-9"/>
        </w:rPr>
        <w:t xml:space="preserve"> </w:t>
      </w:r>
      <w:r>
        <w:t>Data</w:t>
      </w:r>
      <w:r>
        <w:rPr>
          <w:spacing w:val="-8"/>
        </w:rPr>
        <w:t xml:space="preserve"> </w:t>
      </w:r>
      <w:r>
        <w:rPr>
          <w:spacing w:val="-2"/>
        </w:rPr>
        <w:t>Forum.</w:t>
      </w:r>
    </w:p>
    <w:p w14:paraId="1D2DA6F7" w14:textId="77777777" w:rsidR="00BC24A8" w:rsidRDefault="00000000">
      <w:pPr>
        <w:pStyle w:val="ListParagraph"/>
        <w:numPr>
          <w:ilvl w:val="1"/>
          <w:numId w:val="24"/>
        </w:numPr>
        <w:tabs>
          <w:tab w:val="left" w:pos="863"/>
        </w:tabs>
        <w:spacing w:line="279" w:lineRule="exact"/>
        <w:ind w:hanging="360"/>
        <w:jc w:val="left"/>
      </w:pPr>
      <w:r>
        <w:t>Rebuilding</w:t>
      </w:r>
      <w:r>
        <w:rPr>
          <w:spacing w:val="-5"/>
        </w:rPr>
        <w:t xml:space="preserve"> </w:t>
      </w:r>
      <w:r>
        <w:t>the</w:t>
      </w:r>
      <w:r>
        <w:rPr>
          <w:spacing w:val="-3"/>
        </w:rPr>
        <w:t xml:space="preserve"> </w:t>
      </w:r>
      <w:r>
        <w:t>capacity</w:t>
      </w:r>
      <w:r>
        <w:rPr>
          <w:spacing w:val="-3"/>
        </w:rPr>
        <w:t xml:space="preserve"> </w:t>
      </w:r>
      <w:r>
        <w:t>and</w:t>
      </w:r>
      <w:r>
        <w:rPr>
          <w:spacing w:val="-6"/>
        </w:rPr>
        <w:t xml:space="preserve"> </w:t>
      </w:r>
      <w:r>
        <w:t>understanding</w:t>
      </w:r>
      <w:r>
        <w:rPr>
          <w:spacing w:val="-5"/>
        </w:rPr>
        <w:t xml:space="preserve"> </w:t>
      </w:r>
      <w:r>
        <w:t>of</w:t>
      </w:r>
      <w:r>
        <w:rPr>
          <w:spacing w:val="-3"/>
        </w:rPr>
        <w:t xml:space="preserve"> </w:t>
      </w:r>
      <w:r>
        <w:t>data</w:t>
      </w:r>
      <w:r>
        <w:rPr>
          <w:spacing w:val="-7"/>
        </w:rPr>
        <w:t xml:space="preserve"> </w:t>
      </w:r>
      <w:r>
        <w:t>producers</w:t>
      </w:r>
      <w:r>
        <w:rPr>
          <w:spacing w:val="-5"/>
        </w:rPr>
        <w:t xml:space="preserve"> </w:t>
      </w:r>
      <w:r>
        <w:t>in</w:t>
      </w:r>
      <w:r>
        <w:rPr>
          <w:spacing w:val="-6"/>
        </w:rPr>
        <w:t xml:space="preserve"> </w:t>
      </w:r>
      <w:r>
        <w:t>managing</w:t>
      </w:r>
      <w:r>
        <w:rPr>
          <w:spacing w:val="-7"/>
        </w:rPr>
        <w:t xml:space="preserve"> </w:t>
      </w:r>
      <w:r>
        <w:t>sectoral</w:t>
      </w:r>
      <w:r>
        <w:rPr>
          <w:spacing w:val="-5"/>
        </w:rPr>
        <w:t xml:space="preserve"> </w:t>
      </w:r>
      <w:r>
        <w:rPr>
          <w:spacing w:val="-2"/>
        </w:rPr>
        <w:t>data.</w:t>
      </w:r>
    </w:p>
    <w:p w14:paraId="7B6B1217" w14:textId="77777777" w:rsidR="00BC24A8" w:rsidRDefault="00000000">
      <w:pPr>
        <w:pStyle w:val="ListParagraph"/>
        <w:numPr>
          <w:ilvl w:val="1"/>
          <w:numId w:val="24"/>
        </w:numPr>
        <w:tabs>
          <w:tab w:val="left" w:pos="863"/>
        </w:tabs>
        <w:ind w:right="564"/>
        <w:jc w:val="left"/>
      </w:pPr>
      <w:r>
        <w:t>Strengthening SKALA’s role at the subnational level, with the option of adding additional staff to support program implementation and administration.</w:t>
      </w:r>
    </w:p>
    <w:p w14:paraId="55A1FDAE" w14:textId="77777777" w:rsidR="00BC24A8" w:rsidRDefault="00BC24A8">
      <w:pPr>
        <w:pStyle w:val="BodyText"/>
        <w:spacing w:before="264"/>
      </w:pPr>
    </w:p>
    <w:p w14:paraId="428DE9D5" w14:textId="77777777" w:rsidR="00BC24A8" w:rsidRDefault="00000000">
      <w:pPr>
        <w:pStyle w:val="Heading5"/>
      </w:pPr>
      <w:r>
        <w:rPr>
          <w:color w:val="17365A"/>
        </w:rPr>
        <w:t>Lessons</w:t>
      </w:r>
      <w:r>
        <w:rPr>
          <w:color w:val="17365A"/>
          <w:spacing w:val="-6"/>
        </w:rPr>
        <w:t xml:space="preserve"> </w:t>
      </w:r>
      <w:r>
        <w:rPr>
          <w:color w:val="17365A"/>
          <w:spacing w:val="-2"/>
        </w:rPr>
        <w:t>learned</w:t>
      </w:r>
    </w:p>
    <w:p w14:paraId="59506040" w14:textId="77777777" w:rsidR="00BC24A8" w:rsidRDefault="00BC24A8">
      <w:pPr>
        <w:pStyle w:val="BodyText"/>
        <w:spacing w:before="8"/>
        <w:rPr>
          <w:rFonts w:ascii="Calibri"/>
          <w:b/>
          <w:sz w:val="12"/>
        </w:rPr>
      </w:pPr>
    </w:p>
    <w:tbl>
      <w:tblPr>
        <w:tblW w:w="0" w:type="auto"/>
        <w:tblInd w:w="142" w:type="dxa"/>
        <w:tblLayout w:type="fixed"/>
        <w:tblCellMar>
          <w:left w:w="0" w:type="dxa"/>
          <w:right w:w="0" w:type="dxa"/>
        </w:tblCellMar>
        <w:tblLook w:val="01E0" w:firstRow="1" w:lastRow="1" w:firstColumn="1" w:lastColumn="1" w:noHBand="0" w:noVBand="0"/>
      </w:tblPr>
      <w:tblGrid>
        <w:gridCol w:w="2879"/>
        <w:gridCol w:w="6221"/>
      </w:tblGrid>
      <w:tr w:rsidR="00BC24A8" w14:paraId="5D3D63B9" w14:textId="77777777">
        <w:trPr>
          <w:trHeight w:val="420"/>
        </w:trPr>
        <w:tc>
          <w:tcPr>
            <w:tcW w:w="2879" w:type="dxa"/>
            <w:shd w:val="clear" w:color="auto" w:fill="17365A"/>
          </w:tcPr>
          <w:p w14:paraId="7B896936" w14:textId="77777777" w:rsidR="00BC24A8" w:rsidRDefault="00000000">
            <w:pPr>
              <w:pStyle w:val="TableParagraph"/>
              <w:spacing w:before="88"/>
              <w:ind w:left="116"/>
              <w:rPr>
                <w:rFonts w:ascii="Calibri"/>
                <w:b/>
                <w:sz w:val="20"/>
              </w:rPr>
            </w:pPr>
            <w:r>
              <w:rPr>
                <w:rFonts w:ascii="Calibri"/>
                <w:b/>
                <w:color w:val="FFFFFF"/>
                <w:sz w:val="20"/>
              </w:rPr>
              <w:t>Lessons</w:t>
            </w:r>
            <w:r>
              <w:rPr>
                <w:rFonts w:ascii="Calibri"/>
                <w:b/>
                <w:color w:val="FFFFFF"/>
                <w:spacing w:val="-7"/>
                <w:sz w:val="20"/>
              </w:rPr>
              <w:t xml:space="preserve"> </w:t>
            </w:r>
            <w:r>
              <w:rPr>
                <w:rFonts w:ascii="Calibri"/>
                <w:b/>
                <w:color w:val="FFFFFF"/>
                <w:sz w:val="20"/>
              </w:rPr>
              <w:t>learned</w:t>
            </w:r>
            <w:r>
              <w:rPr>
                <w:rFonts w:ascii="Calibri"/>
                <w:b/>
                <w:color w:val="FFFFFF"/>
                <w:spacing w:val="-6"/>
                <w:sz w:val="20"/>
              </w:rPr>
              <w:t xml:space="preserve"> </w:t>
            </w:r>
            <w:r>
              <w:rPr>
                <w:rFonts w:ascii="Calibri"/>
                <w:b/>
                <w:color w:val="FFFFFF"/>
                <w:spacing w:val="-4"/>
                <w:sz w:val="20"/>
              </w:rPr>
              <w:t>theme</w:t>
            </w:r>
          </w:p>
        </w:tc>
        <w:tc>
          <w:tcPr>
            <w:tcW w:w="6221" w:type="dxa"/>
            <w:shd w:val="clear" w:color="auto" w:fill="17365A"/>
          </w:tcPr>
          <w:p w14:paraId="61964762" w14:textId="77777777" w:rsidR="00BC24A8" w:rsidRDefault="00000000">
            <w:pPr>
              <w:pStyle w:val="TableParagraph"/>
              <w:spacing w:before="88"/>
              <w:ind w:left="117"/>
              <w:rPr>
                <w:rFonts w:ascii="Calibri"/>
                <w:b/>
                <w:sz w:val="20"/>
              </w:rPr>
            </w:pPr>
            <w:r>
              <w:rPr>
                <w:rFonts w:ascii="Calibri"/>
                <w:b/>
                <w:color w:val="FFFFFF"/>
                <w:sz w:val="20"/>
              </w:rPr>
              <w:t>Lessons</w:t>
            </w:r>
            <w:r>
              <w:rPr>
                <w:rFonts w:ascii="Calibri"/>
                <w:b/>
                <w:color w:val="FFFFFF"/>
                <w:spacing w:val="-7"/>
                <w:sz w:val="20"/>
              </w:rPr>
              <w:t xml:space="preserve"> </w:t>
            </w:r>
            <w:r>
              <w:rPr>
                <w:rFonts w:ascii="Calibri"/>
                <w:b/>
                <w:color w:val="FFFFFF"/>
                <w:sz w:val="20"/>
              </w:rPr>
              <w:t>learned</w:t>
            </w:r>
            <w:r>
              <w:rPr>
                <w:rFonts w:ascii="Calibri"/>
                <w:b/>
                <w:color w:val="FFFFFF"/>
                <w:spacing w:val="-6"/>
                <w:sz w:val="20"/>
              </w:rPr>
              <w:t xml:space="preserve"> </w:t>
            </w:r>
            <w:r>
              <w:rPr>
                <w:rFonts w:ascii="Calibri"/>
                <w:b/>
                <w:color w:val="FFFFFF"/>
                <w:spacing w:val="-2"/>
                <w:sz w:val="20"/>
              </w:rPr>
              <w:t>description</w:t>
            </w:r>
          </w:p>
        </w:tc>
      </w:tr>
      <w:tr w:rsidR="00BC24A8" w14:paraId="132B553B" w14:textId="77777777">
        <w:trPr>
          <w:trHeight w:val="2195"/>
        </w:trPr>
        <w:tc>
          <w:tcPr>
            <w:tcW w:w="2879" w:type="dxa"/>
            <w:tcBorders>
              <w:bottom w:val="single" w:sz="4" w:space="0" w:color="BEBEBE"/>
            </w:tcBorders>
          </w:tcPr>
          <w:p w14:paraId="1727AA58" w14:textId="77777777" w:rsidR="00BC24A8" w:rsidRDefault="00000000">
            <w:pPr>
              <w:pStyle w:val="TableParagraph"/>
              <w:spacing w:before="162"/>
              <w:ind w:left="116" w:right="118"/>
              <w:rPr>
                <w:sz w:val="18"/>
              </w:rPr>
            </w:pPr>
            <w:r>
              <w:rPr>
                <w:sz w:val="18"/>
              </w:rPr>
              <w:t>Developing</w:t>
            </w:r>
            <w:r>
              <w:rPr>
                <w:spacing w:val="-10"/>
                <w:sz w:val="18"/>
              </w:rPr>
              <w:t xml:space="preserve"> </w:t>
            </w:r>
            <w:r>
              <w:rPr>
                <w:sz w:val="18"/>
              </w:rPr>
              <w:t>a</w:t>
            </w:r>
            <w:r>
              <w:rPr>
                <w:spacing w:val="-10"/>
                <w:sz w:val="18"/>
              </w:rPr>
              <w:t xml:space="preserve"> </w:t>
            </w:r>
            <w:r>
              <w:rPr>
                <w:sz w:val="18"/>
              </w:rPr>
              <w:t>more</w:t>
            </w:r>
            <w:r>
              <w:rPr>
                <w:spacing w:val="-9"/>
                <w:sz w:val="18"/>
              </w:rPr>
              <w:t xml:space="preserve"> </w:t>
            </w:r>
            <w:r>
              <w:rPr>
                <w:sz w:val="18"/>
              </w:rPr>
              <w:t>consolidated</w:t>
            </w:r>
            <w:r>
              <w:rPr>
                <w:spacing w:val="-11"/>
                <w:sz w:val="18"/>
              </w:rPr>
              <w:t xml:space="preserve"> </w:t>
            </w:r>
            <w:r>
              <w:rPr>
                <w:sz w:val="18"/>
              </w:rPr>
              <w:t>and inclusive framework for MSS implementation and regular</w:t>
            </w:r>
            <w:r>
              <w:rPr>
                <w:spacing w:val="40"/>
                <w:sz w:val="18"/>
              </w:rPr>
              <w:t xml:space="preserve"> </w:t>
            </w:r>
            <w:r>
              <w:rPr>
                <w:spacing w:val="-2"/>
                <w:sz w:val="18"/>
              </w:rPr>
              <w:t>planning</w:t>
            </w:r>
          </w:p>
        </w:tc>
        <w:tc>
          <w:tcPr>
            <w:tcW w:w="6221" w:type="dxa"/>
            <w:tcBorders>
              <w:bottom w:val="single" w:sz="4" w:space="0" w:color="BEBEBE"/>
            </w:tcBorders>
          </w:tcPr>
          <w:p w14:paraId="67BEA84A" w14:textId="77777777" w:rsidR="00BC24A8" w:rsidRDefault="00000000">
            <w:pPr>
              <w:pStyle w:val="TableParagraph"/>
              <w:spacing w:before="102"/>
              <w:ind w:left="117" w:right="100"/>
              <w:rPr>
                <w:sz w:val="18"/>
              </w:rPr>
            </w:pPr>
            <w:r>
              <w:rPr>
                <w:sz w:val="18"/>
              </w:rPr>
              <w:t>Technical support and knowledge transfer from SKALA encouraged the RPJMD drafting team in Papua Barat to actively consult and explore new approaches. As a result,</w:t>
            </w:r>
            <w:r>
              <w:rPr>
                <w:spacing w:val="-4"/>
                <w:sz w:val="18"/>
              </w:rPr>
              <w:t xml:space="preserve"> </w:t>
            </w:r>
            <w:r>
              <w:rPr>
                <w:sz w:val="18"/>
              </w:rPr>
              <w:t>the</w:t>
            </w:r>
            <w:r>
              <w:rPr>
                <w:spacing w:val="-3"/>
                <w:sz w:val="18"/>
              </w:rPr>
              <w:t xml:space="preserve"> </w:t>
            </w:r>
            <w:r>
              <w:rPr>
                <w:sz w:val="18"/>
              </w:rPr>
              <w:t>planning</w:t>
            </w:r>
            <w:r>
              <w:rPr>
                <w:spacing w:val="-4"/>
                <w:sz w:val="18"/>
              </w:rPr>
              <w:t xml:space="preserve"> </w:t>
            </w:r>
            <w:r>
              <w:rPr>
                <w:sz w:val="18"/>
              </w:rPr>
              <w:t>document</w:t>
            </w:r>
            <w:r>
              <w:rPr>
                <w:spacing w:val="-2"/>
                <w:sz w:val="18"/>
              </w:rPr>
              <w:t xml:space="preserve"> </w:t>
            </w:r>
            <w:r>
              <w:rPr>
                <w:sz w:val="18"/>
              </w:rPr>
              <w:t>is</w:t>
            </w:r>
            <w:r>
              <w:rPr>
                <w:spacing w:val="-6"/>
                <w:sz w:val="18"/>
              </w:rPr>
              <w:t xml:space="preserve"> </w:t>
            </w:r>
            <w:r>
              <w:rPr>
                <w:sz w:val="18"/>
              </w:rPr>
              <w:t>now</w:t>
            </w:r>
            <w:r>
              <w:rPr>
                <w:spacing w:val="-4"/>
                <w:sz w:val="18"/>
              </w:rPr>
              <w:t xml:space="preserve"> </w:t>
            </w:r>
            <w:r>
              <w:rPr>
                <w:sz w:val="18"/>
              </w:rPr>
              <w:t>more</w:t>
            </w:r>
            <w:r>
              <w:rPr>
                <w:spacing w:val="-3"/>
                <w:sz w:val="18"/>
              </w:rPr>
              <w:t xml:space="preserve"> </w:t>
            </w:r>
            <w:r>
              <w:rPr>
                <w:sz w:val="18"/>
              </w:rPr>
              <w:t>consolidated,</w:t>
            </w:r>
            <w:r>
              <w:rPr>
                <w:spacing w:val="-4"/>
                <w:sz w:val="18"/>
              </w:rPr>
              <w:t xml:space="preserve"> </w:t>
            </w:r>
            <w:r>
              <w:rPr>
                <w:sz w:val="18"/>
              </w:rPr>
              <w:t>inclusive,</w:t>
            </w:r>
            <w:r>
              <w:rPr>
                <w:spacing w:val="-4"/>
                <w:sz w:val="18"/>
              </w:rPr>
              <w:t xml:space="preserve"> </w:t>
            </w:r>
            <w:r>
              <w:rPr>
                <w:sz w:val="18"/>
              </w:rPr>
              <w:t>and</w:t>
            </w:r>
            <w:r>
              <w:rPr>
                <w:spacing w:val="-3"/>
                <w:sz w:val="18"/>
              </w:rPr>
              <w:t xml:space="preserve"> </w:t>
            </w:r>
            <w:r>
              <w:rPr>
                <w:sz w:val="18"/>
              </w:rPr>
              <w:t>better</w:t>
            </w:r>
            <w:r>
              <w:rPr>
                <w:spacing w:val="-3"/>
                <w:sz w:val="18"/>
              </w:rPr>
              <w:t xml:space="preserve"> </w:t>
            </w:r>
            <w:r>
              <w:rPr>
                <w:sz w:val="18"/>
              </w:rPr>
              <w:t>able to accommodate GEDSI and MSS.</w:t>
            </w:r>
          </w:p>
          <w:p w14:paraId="184B132D" w14:textId="77777777" w:rsidR="00BC24A8" w:rsidRDefault="00000000">
            <w:pPr>
              <w:pStyle w:val="TableParagraph"/>
              <w:ind w:left="117" w:right="100"/>
              <w:rPr>
                <w:sz w:val="18"/>
              </w:rPr>
            </w:pPr>
            <w:r>
              <w:rPr>
                <w:sz w:val="18"/>
              </w:rPr>
              <w:t>This</w:t>
            </w:r>
            <w:r>
              <w:rPr>
                <w:spacing w:val="-3"/>
                <w:sz w:val="18"/>
              </w:rPr>
              <w:t xml:space="preserve"> </w:t>
            </w:r>
            <w:r>
              <w:rPr>
                <w:sz w:val="18"/>
              </w:rPr>
              <w:t>success</w:t>
            </w:r>
            <w:r>
              <w:rPr>
                <w:spacing w:val="-3"/>
                <w:sz w:val="18"/>
              </w:rPr>
              <w:t xml:space="preserve"> </w:t>
            </w:r>
            <w:r>
              <w:rPr>
                <w:sz w:val="18"/>
              </w:rPr>
              <w:t>emerged</w:t>
            </w:r>
            <w:r>
              <w:rPr>
                <w:spacing w:val="-3"/>
                <w:sz w:val="18"/>
              </w:rPr>
              <w:t xml:space="preserve"> </w:t>
            </w:r>
            <w:r>
              <w:rPr>
                <w:sz w:val="18"/>
              </w:rPr>
              <w:t>because</w:t>
            </w:r>
            <w:r>
              <w:rPr>
                <w:spacing w:val="-3"/>
                <w:sz w:val="18"/>
              </w:rPr>
              <w:t xml:space="preserve"> </w:t>
            </w:r>
            <w:r>
              <w:rPr>
                <w:sz w:val="18"/>
              </w:rPr>
              <w:t>the</w:t>
            </w:r>
            <w:r>
              <w:rPr>
                <w:spacing w:val="-3"/>
                <w:sz w:val="18"/>
              </w:rPr>
              <w:t xml:space="preserve"> </w:t>
            </w:r>
            <w:r>
              <w:rPr>
                <w:sz w:val="18"/>
              </w:rPr>
              <w:t>team</w:t>
            </w:r>
            <w:r>
              <w:rPr>
                <w:spacing w:val="-4"/>
                <w:sz w:val="18"/>
              </w:rPr>
              <w:t xml:space="preserve"> </w:t>
            </w:r>
            <w:r>
              <w:rPr>
                <w:sz w:val="18"/>
              </w:rPr>
              <w:t>was</w:t>
            </w:r>
            <w:r>
              <w:rPr>
                <w:spacing w:val="-3"/>
                <w:sz w:val="18"/>
              </w:rPr>
              <w:t xml:space="preserve"> </w:t>
            </w:r>
            <w:r>
              <w:rPr>
                <w:sz w:val="18"/>
              </w:rPr>
              <w:t>willing</w:t>
            </w:r>
            <w:r>
              <w:rPr>
                <w:spacing w:val="-4"/>
                <w:sz w:val="18"/>
              </w:rPr>
              <w:t xml:space="preserve"> </w:t>
            </w:r>
            <w:r>
              <w:rPr>
                <w:sz w:val="18"/>
              </w:rPr>
              <w:t>to</w:t>
            </w:r>
            <w:r>
              <w:rPr>
                <w:spacing w:val="-4"/>
                <w:sz w:val="18"/>
              </w:rPr>
              <w:t xml:space="preserve"> </w:t>
            </w:r>
            <w:r>
              <w:rPr>
                <w:sz w:val="18"/>
              </w:rPr>
              <w:t>learn,</w:t>
            </w:r>
            <w:r>
              <w:rPr>
                <w:spacing w:val="-4"/>
                <w:sz w:val="18"/>
              </w:rPr>
              <w:t xml:space="preserve"> </w:t>
            </w:r>
            <w:r>
              <w:rPr>
                <w:sz w:val="18"/>
              </w:rPr>
              <w:t>and</w:t>
            </w:r>
            <w:r>
              <w:rPr>
                <w:spacing w:val="-3"/>
                <w:sz w:val="18"/>
              </w:rPr>
              <w:t xml:space="preserve"> </w:t>
            </w:r>
            <w:r>
              <w:rPr>
                <w:sz w:val="18"/>
              </w:rPr>
              <w:t>actively</w:t>
            </w:r>
            <w:r>
              <w:rPr>
                <w:spacing w:val="-3"/>
                <w:sz w:val="18"/>
              </w:rPr>
              <w:t xml:space="preserve"> </w:t>
            </w:r>
            <w:r>
              <w:rPr>
                <w:sz w:val="18"/>
              </w:rPr>
              <w:t>engaged in consultations and communication with SKALA’s Technical Advisors. The key learning from this experience is that optimal results can be achieved when the team is directly involved, maintains intensive communication with technical support, and shows willingness to change old practices.</w:t>
            </w:r>
          </w:p>
        </w:tc>
      </w:tr>
      <w:tr w:rsidR="00BC24A8" w14:paraId="452C61C0" w14:textId="77777777">
        <w:trPr>
          <w:trHeight w:val="1713"/>
        </w:trPr>
        <w:tc>
          <w:tcPr>
            <w:tcW w:w="2879" w:type="dxa"/>
            <w:tcBorders>
              <w:top w:val="single" w:sz="4" w:space="0" w:color="BEBEBE"/>
              <w:bottom w:val="single" w:sz="4" w:space="0" w:color="BEBEBE"/>
            </w:tcBorders>
          </w:tcPr>
          <w:p w14:paraId="00716E89" w14:textId="77777777" w:rsidR="00BC24A8" w:rsidRDefault="00000000">
            <w:pPr>
              <w:pStyle w:val="TableParagraph"/>
              <w:spacing w:before="116"/>
              <w:ind w:left="116"/>
              <w:rPr>
                <w:sz w:val="18"/>
              </w:rPr>
            </w:pPr>
            <w:r>
              <w:rPr>
                <w:sz w:val="18"/>
              </w:rPr>
              <w:t>Program</w:t>
            </w:r>
            <w:r>
              <w:rPr>
                <w:spacing w:val="-7"/>
                <w:sz w:val="18"/>
              </w:rPr>
              <w:t xml:space="preserve"> </w:t>
            </w:r>
            <w:r>
              <w:rPr>
                <w:spacing w:val="-2"/>
                <w:sz w:val="18"/>
              </w:rPr>
              <w:t>management</w:t>
            </w:r>
          </w:p>
        </w:tc>
        <w:tc>
          <w:tcPr>
            <w:tcW w:w="6221" w:type="dxa"/>
            <w:tcBorders>
              <w:top w:val="single" w:sz="4" w:space="0" w:color="BEBEBE"/>
              <w:bottom w:val="single" w:sz="4" w:space="0" w:color="BEBEBE"/>
            </w:tcBorders>
          </w:tcPr>
          <w:p w14:paraId="1AAA36CB" w14:textId="77777777" w:rsidR="00BC24A8" w:rsidRDefault="00000000">
            <w:pPr>
              <w:pStyle w:val="TableParagraph"/>
              <w:spacing w:before="56"/>
              <w:ind w:left="117"/>
              <w:rPr>
                <w:sz w:val="18"/>
              </w:rPr>
            </w:pPr>
            <w:r>
              <w:rPr>
                <w:sz w:val="18"/>
              </w:rPr>
              <w:t>Joint cross-provincial activities in Tanah Papua have proven effective in achieving uniform</w:t>
            </w:r>
            <w:r>
              <w:rPr>
                <w:spacing w:val="-4"/>
                <w:sz w:val="18"/>
              </w:rPr>
              <w:t xml:space="preserve"> </w:t>
            </w:r>
            <w:r>
              <w:rPr>
                <w:sz w:val="18"/>
              </w:rPr>
              <w:t>outputs</w:t>
            </w:r>
            <w:r>
              <w:rPr>
                <w:spacing w:val="-3"/>
                <w:sz w:val="18"/>
              </w:rPr>
              <w:t xml:space="preserve"> </w:t>
            </w:r>
            <w:r>
              <w:rPr>
                <w:sz w:val="18"/>
              </w:rPr>
              <w:t>while</w:t>
            </w:r>
            <w:r>
              <w:rPr>
                <w:spacing w:val="-3"/>
                <w:sz w:val="18"/>
              </w:rPr>
              <w:t xml:space="preserve"> </w:t>
            </w:r>
            <w:r>
              <w:rPr>
                <w:sz w:val="18"/>
              </w:rPr>
              <w:t>also</w:t>
            </w:r>
            <w:r>
              <w:rPr>
                <w:spacing w:val="-4"/>
                <w:sz w:val="18"/>
              </w:rPr>
              <w:t xml:space="preserve"> </w:t>
            </w:r>
            <w:r>
              <w:rPr>
                <w:sz w:val="18"/>
              </w:rPr>
              <w:t>saving</w:t>
            </w:r>
            <w:r>
              <w:rPr>
                <w:spacing w:val="-6"/>
                <w:sz w:val="18"/>
              </w:rPr>
              <w:t xml:space="preserve"> </w:t>
            </w:r>
            <w:r>
              <w:rPr>
                <w:sz w:val="18"/>
              </w:rPr>
              <w:t>SKALA’s</w:t>
            </w:r>
            <w:r>
              <w:rPr>
                <w:spacing w:val="-3"/>
                <w:sz w:val="18"/>
              </w:rPr>
              <w:t xml:space="preserve"> </w:t>
            </w:r>
            <w:r>
              <w:rPr>
                <w:sz w:val="18"/>
              </w:rPr>
              <w:t>limited</w:t>
            </w:r>
            <w:r>
              <w:rPr>
                <w:spacing w:val="-3"/>
                <w:sz w:val="18"/>
              </w:rPr>
              <w:t xml:space="preserve"> </w:t>
            </w:r>
            <w:r>
              <w:rPr>
                <w:sz w:val="18"/>
              </w:rPr>
              <w:t>time</w:t>
            </w:r>
            <w:r>
              <w:rPr>
                <w:spacing w:val="-3"/>
                <w:sz w:val="18"/>
              </w:rPr>
              <w:t xml:space="preserve"> </w:t>
            </w:r>
            <w:r>
              <w:rPr>
                <w:sz w:val="18"/>
              </w:rPr>
              <w:t>and</w:t>
            </w:r>
            <w:r>
              <w:rPr>
                <w:spacing w:val="-3"/>
                <w:sz w:val="18"/>
              </w:rPr>
              <w:t xml:space="preserve"> </w:t>
            </w:r>
            <w:r>
              <w:rPr>
                <w:sz w:val="18"/>
              </w:rPr>
              <w:t>resources.</w:t>
            </w:r>
            <w:r>
              <w:rPr>
                <w:spacing w:val="-4"/>
                <w:sz w:val="18"/>
              </w:rPr>
              <w:t xml:space="preserve"> </w:t>
            </w:r>
            <w:r>
              <w:rPr>
                <w:sz w:val="18"/>
              </w:rPr>
              <w:t>This</w:t>
            </w:r>
            <w:r>
              <w:rPr>
                <w:spacing w:val="-3"/>
                <w:sz w:val="18"/>
              </w:rPr>
              <w:t xml:space="preserve"> </w:t>
            </w:r>
            <w:r>
              <w:rPr>
                <w:sz w:val="18"/>
              </w:rPr>
              <w:t>success was supported by coordinated planning and the involvement of all provinces in a single forum.</w:t>
            </w:r>
          </w:p>
          <w:p w14:paraId="0F04C5FE" w14:textId="77777777" w:rsidR="00BC24A8" w:rsidRDefault="00000000">
            <w:pPr>
              <w:pStyle w:val="TableParagraph"/>
              <w:spacing w:before="2"/>
              <w:ind w:left="117" w:right="174"/>
              <w:rPr>
                <w:sz w:val="18"/>
              </w:rPr>
            </w:pPr>
            <w:r>
              <w:rPr>
                <w:sz w:val="18"/>
              </w:rPr>
              <w:t>However,</w:t>
            </w:r>
            <w:r>
              <w:rPr>
                <w:spacing w:val="-4"/>
                <w:sz w:val="18"/>
              </w:rPr>
              <w:t xml:space="preserve"> </w:t>
            </w:r>
            <w:r>
              <w:rPr>
                <w:sz w:val="18"/>
              </w:rPr>
              <w:t>if</w:t>
            </w:r>
            <w:r>
              <w:rPr>
                <w:spacing w:val="-4"/>
                <w:sz w:val="18"/>
              </w:rPr>
              <w:t xml:space="preserve"> </w:t>
            </w:r>
            <w:r>
              <w:rPr>
                <w:sz w:val="18"/>
              </w:rPr>
              <w:t>replicated</w:t>
            </w:r>
            <w:r>
              <w:rPr>
                <w:spacing w:val="-3"/>
                <w:sz w:val="18"/>
              </w:rPr>
              <w:t xml:space="preserve"> </w:t>
            </w:r>
            <w:r>
              <w:rPr>
                <w:sz w:val="18"/>
              </w:rPr>
              <w:t>or</w:t>
            </w:r>
            <w:r>
              <w:rPr>
                <w:spacing w:val="-3"/>
                <w:sz w:val="18"/>
              </w:rPr>
              <w:t xml:space="preserve"> </w:t>
            </w:r>
            <w:r>
              <w:rPr>
                <w:sz w:val="18"/>
              </w:rPr>
              <w:t>continued,</w:t>
            </w:r>
            <w:r>
              <w:rPr>
                <w:spacing w:val="-4"/>
                <w:sz w:val="18"/>
              </w:rPr>
              <w:t xml:space="preserve"> </w:t>
            </w:r>
            <w:r>
              <w:rPr>
                <w:sz w:val="18"/>
              </w:rPr>
              <w:t>it</w:t>
            </w:r>
            <w:r>
              <w:rPr>
                <w:spacing w:val="-2"/>
                <w:sz w:val="18"/>
              </w:rPr>
              <w:t xml:space="preserve"> </w:t>
            </w:r>
            <w:r>
              <w:rPr>
                <w:sz w:val="18"/>
              </w:rPr>
              <w:t>will</w:t>
            </w:r>
            <w:r>
              <w:rPr>
                <w:spacing w:val="-5"/>
                <w:sz w:val="18"/>
              </w:rPr>
              <w:t xml:space="preserve"> </w:t>
            </w:r>
            <w:r>
              <w:rPr>
                <w:sz w:val="18"/>
              </w:rPr>
              <w:t>be</w:t>
            </w:r>
            <w:r>
              <w:rPr>
                <w:spacing w:val="-3"/>
                <w:sz w:val="18"/>
              </w:rPr>
              <w:t xml:space="preserve"> </w:t>
            </w:r>
            <w:r>
              <w:rPr>
                <w:sz w:val="18"/>
              </w:rPr>
              <w:t>important</w:t>
            </w:r>
            <w:r>
              <w:rPr>
                <w:spacing w:val="-2"/>
                <w:sz w:val="18"/>
              </w:rPr>
              <w:t xml:space="preserve"> </w:t>
            </w:r>
            <w:r>
              <w:rPr>
                <w:sz w:val="18"/>
              </w:rPr>
              <w:t>to</w:t>
            </w:r>
            <w:r>
              <w:rPr>
                <w:spacing w:val="-4"/>
                <w:sz w:val="18"/>
              </w:rPr>
              <w:t xml:space="preserve"> </w:t>
            </w:r>
            <w:r>
              <w:rPr>
                <w:sz w:val="18"/>
              </w:rPr>
              <w:t>ensure</w:t>
            </w:r>
            <w:r>
              <w:rPr>
                <w:spacing w:val="-6"/>
                <w:sz w:val="18"/>
              </w:rPr>
              <w:t xml:space="preserve"> </w:t>
            </w:r>
            <w:r>
              <w:rPr>
                <w:sz w:val="18"/>
              </w:rPr>
              <w:t>the</w:t>
            </w:r>
            <w:r>
              <w:rPr>
                <w:spacing w:val="-3"/>
                <w:sz w:val="18"/>
              </w:rPr>
              <w:t xml:space="preserve"> </w:t>
            </w:r>
            <w:r>
              <w:rPr>
                <w:sz w:val="18"/>
              </w:rPr>
              <w:t>availability of adequate facilitators/resource persons so that material delivery remains effective despite the large number of participants</w:t>
            </w:r>
          </w:p>
        </w:tc>
      </w:tr>
    </w:tbl>
    <w:p w14:paraId="52AED4FC" w14:textId="77777777" w:rsidR="00BC24A8" w:rsidRDefault="00BC24A8">
      <w:pPr>
        <w:pStyle w:val="BodyText"/>
        <w:rPr>
          <w:rFonts w:ascii="Calibri"/>
          <w:b/>
        </w:rPr>
      </w:pPr>
    </w:p>
    <w:p w14:paraId="182D9B9F" w14:textId="77777777" w:rsidR="00BC24A8" w:rsidRDefault="00BC24A8">
      <w:pPr>
        <w:pStyle w:val="BodyText"/>
        <w:spacing w:before="178"/>
        <w:rPr>
          <w:rFonts w:ascii="Calibri"/>
          <w:b/>
        </w:rPr>
      </w:pPr>
    </w:p>
    <w:p w14:paraId="28B7CE99" w14:textId="77777777" w:rsidR="00BC24A8" w:rsidRDefault="00000000">
      <w:pPr>
        <w:ind w:left="143"/>
        <w:rPr>
          <w:i/>
        </w:rPr>
      </w:pPr>
      <w:r>
        <w:rPr>
          <w:i/>
          <w:color w:val="1F3762"/>
        </w:rPr>
        <w:t>FY</w:t>
      </w:r>
      <w:r>
        <w:rPr>
          <w:i/>
          <w:color w:val="1F3762"/>
          <w:spacing w:val="-6"/>
        </w:rPr>
        <w:t xml:space="preserve"> </w:t>
      </w:r>
      <w:r>
        <w:rPr>
          <w:i/>
          <w:color w:val="1F3762"/>
        </w:rPr>
        <w:t>2025/2026</w:t>
      </w:r>
      <w:r>
        <w:rPr>
          <w:i/>
          <w:color w:val="1F3762"/>
          <w:spacing w:val="-5"/>
        </w:rPr>
        <w:t xml:space="preserve"> </w:t>
      </w:r>
      <w:r>
        <w:rPr>
          <w:i/>
          <w:color w:val="1F3762"/>
        </w:rPr>
        <w:t>SKALA</w:t>
      </w:r>
      <w:r>
        <w:rPr>
          <w:i/>
          <w:color w:val="1F3762"/>
          <w:spacing w:val="-8"/>
        </w:rPr>
        <w:t xml:space="preserve"> </w:t>
      </w:r>
      <w:r>
        <w:rPr>
          <w:i/>
          <w:color w:val="1F3762"/>
        </w:rPr>
        <w:t>Program</w:t>
      </w:r>
      <w:r>
        <w:rPr>
          <w:i/>
          <w:color w:val="1F3762"/>
          <w:spacing w:val="-5"/>
        </w:rPr>
        <w:t xml:space="preserve"> </w:t>
      </w:r>
      <w:r>
        <w:rPr>
          <w:i/>
          <w:color w:val="1F3762"/>
          <w:spacing w:val="-2"/>
        </w:rPr>
        <w:t>Summary</w:t>
      </w:r>
    </w:p>
    <w:p w14:paraId="2E7D8106" w14:textId="77777777" w:rsidR="00BC24A8" w:rsidRDefault="00000000">
      <w:pPr>
        <w:pStyle w:val="ListParagraph"/>
        <w:numPr>
          <w:ilvl w:val="1"/>
          <w:numId w:val="21"/>
        </w:numPr>
        <w:tabs>
          <w:tab w:val="left" w:pos="683"/>
        </w:tabs>
        <w:spacing w:before="163"/>
        <w:ind w:hanging="631"/>
        <w:rPr>
          <w:rFonts w:ascii="Calibri"/>
          <w:b/>
        </w:rPr>
      </w:pPr>
      <w:r w:rsidRPr="00795364">
        <w:rPr>
          <w:rFonts w:ascii="Calibri"/>
          <w:b/>
          <w:color w:val="008279"/>
        </w:rPr>
        <w:t>Summary</w:t>
      </w:r>
      <w:r w:rsidRPr="00795364">
        <w:rPr>
          <w:rFonts w:ascii="Calibri"/>
          <w:b/>
          <w:color w:val="008279"/>
          <w:spacing w:val="-5"/>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intended</w:t>
      </w:r>
      <w:r w:rsidRPr="00795364">
        <w:rPr>
          <w:rFonts w:ascii="Calibri"/>
          <w:b/>
          <w:color w:val="008279"/>
          <w:spacing w:val="-6"/>
        </w:rPr>
        <w:t xml:space="preserve"> </w:t>
      </w:r>
      <w:r w:rsidRPr="00795364">
        <w:rPr>
          <w:rFonts w:ascii="Calibri"/>
          <w:b/>
          <w:color w:val="008279"/>
          <w:spacing w:val="-2"/>
        </w:rPr>
        <w:t>results</w:t>
      </w:r>
    </w:p>
    <w:p w14:paraId="1FCB9AEC" w14:textId="77777777" w:rsidR="00BC24A8" w:rsidRDefault="00BC24A8">
      <w:pPr>
        <w:pStyle w:val="BodyText"/>
        <w:spacing w:before="2"/>
        <w:rPr>
          <w:rFonts w:ascii="Calibri"/>
          <w:b/>
          <w:sz w:val="19"/>
        </w:rPr>
      </w:pPr>
    </w:p>
    <w:tbl>
      <w:tblPr>
        <w:tblW w:w="0" w:type="auto"/>
        <w:tblInd w:w="143" w:type="dxa"/>
        <w:tblLayout w:type="fixed"/>
        <w:tblCellMar>
          <w:left w:w="0" w:type="dxa"/>
          <w:right w:w="0" w:type="dxa"/>
        </w:tblCellMar>
        <w:tblLook w:val="01E0" w:firstRow="1" w:lastRow="1" w:firstColumn="1" w:lastColumn="1" w:noHBand="0" w:noVBand="0"/>
      </w:tblPr>
      <w:tblGrid>
        <w:gridCol w:w="2712"/>
        <w:gridCol w:w="6387"/>
      </w:tblGrid>
      <w:tr w:rsidR="00BC24A8" w14:paraId="52996F05" w14:textId="77777777">
        <w:trPr>
          <w:trHeight w:val="379"/>
        </w:trPr>
        <w:tc>
          <w:tcPr>
            <w:tcW w:w="2712" w:type="dxa"/>
            <w:shd w:val="clear" w:color="auto" w:fill="17365A"/>
          </w:tcPr>
          <w:p w14:paraId="61031E1C" w14:textId="77777777" w:rsidR="00BC24A8" w:rsidRDefault="00000000">
            <w:pPr>
              <w:pStyle w:val="TableParagraph"/>
              <w:spacing w:before="59"/>
              <w:ind w:left="115"/>
              <w:rPr>
                <w:rFonts w:ascii="Calibri"/>
                <w:b/>
                <w:sz w:val="20"/>
              </w:rPr>
            </w:pPr>
            <w:r>
              <w:rPr>
                <w:rFonts w:ascii="Calibri"/>
                <w:b/>
                <w:color w:val="FFFFFF"/>
                <w:spacing w:val="-2"/>
                <w:sz w:val="20"/>
              </w:rPr>
              <w:t>Narrative</w:t>
            </w:r>
          </w:p>
        </w:tc>
        <w:tc>
          <w:tcPr>
            <w:tcW w:w="6387" w:type="dxa"/>
            <w:shd w:val="clear" w:color="auto" w:fill="17365A"/>
          </w:tcPr>
          <w:p w14:paraId="4FA6F1DC" w14:textId="77777777" w:rsidR="00BC24A8" w:rsidRDefault="00000000">
            <w:pPr>
              <w:pStyle w:val="TableParagraph"/>
              <w:spacing w:before="59"/>
              <w:ind w:left="192"/>
              <w:rPr>
                <w:rFonts w:ascii="Calibri"/>
                <w:b/>
                <w:sz w:val="20"/>
              </w:rPr>
            </w:pPr>
            <w:r>
              <w:rPr>
                <w:rFonts w:ascii="Calibri"/>
                <w:b/>
                <w:color w:val="FFFFFF"/>
                <w:sz w:val="20"/>
              </w:rPr>
              <w:t>Summary</w:t>
            </w:r>
            <w:r>
              <w:rPr>
                <w:rFonts w:ascii="Calibri"/>
                <w:b/>
                <w:color w:val="FFFFFF"/>
                <w:spacing w:val="-5"/>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key</w:t>
            </w:r>
            <w:r>
              <w:rPr>
                <w:rFonts w:ascii="Calibri"/>
                <w:b/>
                <w:color w:val="FFFFFF"/>
                <w:spacing w:val="-4"/>
                <w:sz w:val="20"/>
              </w:rPr>
              <w:t xml:space="preserve"> </w:t>
            </w:r>
            <w:r>
              <w:rPr>
                <w:rFonts w:ascii="Calibri"/>
                <w:b/>
                <w:color w:val="FFFFFF"/>
                <w:sz w:val="20"/>
              </w:rPr>
              <w:t>outputs</w:t>
            </w:r>
            <w:r>
              <w:rPr>
                <w:rFonts w:ascii="Calibri"/>
                <w:b/>
                <w:color w:val="FFFFFF"/>
                <w:spacing w:val="-4"/>
                <w:sz w:val="20"/>
              </w:rPr>
              <w:t xml:space="preserve"> </w:t>
            </w:r>
            <w:r>
              <w:rPr>
                <w:rFonts w:ascii="Calibri"/>
                <w:b/>
                <w:color w:val="FFFFFF"/>
                <w:sz w:val="20"/>
              </w:rPr>
              <w:t>to</w:t>
            </w:r>
            <w:r>
              <w:rPr>
                <w:rFonts w:ascii="Calibri"/>
                <w:b/>
                <w:color w:val="FFFFFF"/>
                <w:spacing w:val="-5"/>
                <w:sz w:val="20"/>
              </w:rPr>
              <w:t xml:space="preserve"> </w:t>
            </w:r>
            <w:r>
              <w:rPr>
                <w:rFonts w:ascii="Calibri"/>
                <w:b/>
                <w:color w:val="FFFFFF"/>
                <w:sz w:val="20"/>
              </w:rPr>
              <w:t>be</w:t>
            </w:r>
            <w:r>
              <w:rPr>
                <w:rFonts w:ascii="Calibri"/>
                <w:b/>
                <w:color w:val="FFFFFF"/>
                <w:spacing w:val="-4"/>
                <w:sz w:val="20"/>
              </w:rPr>
              <w:t xml:space="preserve"> </w:t>
            </w:r>
            <w:r>
              <w:rPr>
                <w:rFonts w:ascii="Calibri"/>
                <w:b/>
                <w:color w:val="FFFFFF"/>
                <w:sz w:val="20"/>
              </w:rPr>
              <w:t>delivered</w:t>
            </w:r>
            <w:r>
              <w:rPr>
                <w:rFonts w:ascii="Calibri"/>
                <w:b/>
                <w:color w:val="FFFFFF"/>
                <w:spacing w:val="-3"/>
                <w:sz w:val="20"/>
              </w:rPr>
              <w:t xml:space="preserve"> </w:t>
            </w:r>
            <w:r>
              <w:rPr>
                <w:rFonts w:ascii="Calibri"/>
                <w:b/>
                <w:color w:val="FFFFFF"/>
                <w:sz w:val="20"/>
              </w:rPr>
              <w:t>in</w:t>
            </w:r>
            <w:r>
              <w:rPr>
                <w:rFonts w:ascii="Calibri"/>
                <w:b/>
                <w:color w:val="FFFFFF"/>
                <w:spacing w:val="-3"/>
                <w:sz w:val="20"/>
              </w:rPr>
              <w:t xml:space="preserve"> </w:t>
            </w:r>
            <w:r>
              <w:rPr>
                <w:rFonts w:ascii="Calibri"/>
                <w:b/>
                <w:color w:val="FFFFFF"/>
                <w:sz w:val="20"/>
              </w:rPr>
              <w:t>order</w:t>
            </w:r>
            <w:r>
              <w:rPr>
                <w:rFonts w:ascii="Calibri"/>
                <w:b/>
                <w:color w:val="FFFFFF"/>
                <w:spacing w:val="-4"/>
                <w:sz w:val="20"/>
              </w:rPr>
              <w:t xml:space="preserve"> </w:t>
            </w:r>
            <w:r>
              <w:rPr>
                <w:rFonts w:ascii="Calibri"/>
                <w:b/>
                <w:color w:val="FFFFFF"/>
                <w:sz w:val="20"/>
              </w:rPr>
              <w:t>to</w:t>
            </w:r>
            <w:r>
              <w:rPr>
                <w:rFonts w:ascii="Calibri"/>
                <w:b/>
                <w:color w:val="FFFFFF"/>
                <w:spacing w:val="-3"/>
                <w:sz w:val="20"/>
              </w:rPr>
              <w:t xml:space="preserve"> </w:t>
            </w:r>
            <w:r>
              <w:rPr>
                <w:rFonts w:ascii="Calibri"/>
                <w:b/>
                <w:color w:val="FFFFFF"/>
                <w:sz w:val="20"/>
              </w:rPr>
              <w:t>achieve</w:t>
            </w:r>
            <w:r>
              <w:rPr>
                <w:rFonts w:ascii="Calibri"/>
                <w:b/>
                <w:color w:val="FFFFFF"/>
                <w:spacing w:val="-4"/>
                <w:sz w:val="20"/>
              </w:rPr>
              <w:t xml:space="preserve"> </w:t>
            </w:r>
            <w:r>
              <w:rPr>
                <w:rFonts w:ascii="Calibri"/>
                <w:b/>
                <w:color w:val="FFFFFF"/>
                <w:sz w:val="20"/>
              </w:rPr>
              <w:t>the</w:t>
            </w:r>
            <w:r>
              <w:rPr>
                <w:rFonts w:ascii="Calibri"/>
                <w:b/>
                <w:color w:val="FFFFFF"/>
                <w:spacing w:val="-3"/>
                <w:sz w:val="20"/>
              </w:rPr>
              <w:t xml:space="preserve"> </w:t>
            </w:r>
            <w:r>
              <w:rPr>
                <w:rFonts w:ascii="Calibri"/>
                <w:b/>
                <w:color w:val="FFFFFF"/>
                <w:spacing w:val="-2"/>
                <w:sz w:val="20"/>
              </w:rPr>
              <w:t>narrative</w:t>
            </w:r>
          </w:p>
        </w:tc>
      </w:tr>
      <w:tr w:rsidR="00BC24A8" w14:paraId="4F9D6969" w14:textId="77777777">
        <w:trPr>
          <w:trHeight w:val="1257"/>
        </w:trPr>
        <w:tc>
          <w:tcPr>
            <w:tcW w:w="2712" w:type="dxa"/>
            <w:tcBorders>
              <w:bottom w:val="single" w:sz="4" w:space="0" w:color="BEBEBE"/>
            </w:tcBorders>
          </w:tcPr>
          <w:p w14:paraId="6344F472" w14:textId="77777777" w:rsidR="00BC24A8" w:rsidRDefault="00000000">
            <w:pPr>
              <w:pStyle w:val="TableParagraph"/>
              <w:spacing w:before="102"/>
              <w:ind w:left="115" w:right="45"/>
              <w:rPr>
                <w:sz w:val="18"/>
              </w:rPr>
            </w:pPr>
            <w:r>
              <w:rPr>
                <w:sz w:val="18"/>
              </w:rPr>
              <w:t>Develop and institutionalise consultation spaces and engagement mechanisms with vulnerable communities to promote</w:t>
            </w:r>
            <w:r>
              <w:rPr>
                <w:spacing w:val="-11"/>
                <w:sz w:val="18"/>
              </w:rPr>
              <w:t xml:space="preserve"> </w:t>
            </w:r>
            <w:r>
              <w:rPr>
                <w:sz w:val="18"/>
              </w:rPr>
              <w:t>more</w:t>
            </w:r>
            <w:r>
              <w:rPr>
                <w:spacing w:val="-10"/>
                <w:sz w:val="18"/>
              </w:rPr>
              <w:t xml:space="preserve"> </w:t>
            </w:r>
            <w:r>
              <w:rPr>
                <w:sz w:val="18"/>
              </w:rPr>
              <w:t>inclusive</w:t>
            </w:r>
            <w:r>
              <w:rPr>
                <w:spacing w:val="-10"/>
                <w:sz w:val="18"/>
              </w:rPr>
              <w:t xml:space="preserve"> </w:t>
            </w:r>
            <w:r>
              <w:rPr>
                <w:sz w:val="18"/>
              </w:rPr>
              <w:t>planning.</w:t>
            </w:r>
          </w:p>
        </w:tc>
        <w:tc>
          <w:tcPr>
            <w:tcW w:w="6387" w:type="dxa"/>
            <w:tcBorders>
              <w:bottom w:val="single" w:sz="4" w:space="0" w:color="BEBEBE"/>
            </w:tcBorders>
          </w:tcPr>
          <w:p w14:paraId="6762AD40" w14:textId="77777777" w:rsidR="00BC24A8" w:rsidRDefault="00000000">
            <w:pPr>
              <w:pStyle w:val="TableParagraph"/>
              <w:spacing w:before="102"/>
              <w:ind w:left="192" w:right="129"/>
              <w:rPr>
                <w:sz w:val="18"/>
              </w:rPr>
            </w:pPr>
            <w:r>
              <w:rPr>
                <w:sz w:val="18"/>
              </w:rPr>
              <w:t>GEDSI:</w:t>
            </w:r>
            <w:r>
              <w:rPr>
                <w:spacing w:val="-3"/>
                <w:sz w:val="18"/>
              </w:rPr>
              <w:t xml:space="preserve"> </w:t>
            </w:r>
            <w:r>
              <w:rPr>
                <w:sz w:val="18"/>
              </w:rPr>
              <w:t>involvement</w:t>
            </w:r>
            <w:r>
              <w:rPr>
                <w:spacing w:val="-2"/>
                <w:sz w:val="18"/>
              </w:rPr>
              <w:t xml:space="preserve"> </w:t>
            </w:r>
            <w:r>
              <w:rPr>
                <w:sz w:val="18"/>
              </w:rPr>
              <w:t>of</w:t>
            </w:r>
            <w:r>
              <w:rPr>
                <w:spacing w:val="-4"/>
                <w:sz w:val="18"/>
              </w:rPr>
              <w:t xml:space="preserve"> </w:t>
            </w:r>
            <w:r>
              <w:rPr>
                <w:sz w:val="18"/>
              </w:rPr>
              <w:t>persons</w:t>
            </w:r>
            <w:r>
              <w:rPr>
                <w:spacing w:val="-3"/>
                <w:sz w:val="18"/>
              </w:rPr>
              <w:t xml:space="preserve"> </w:t>
            </w:r>
            <w:r>
              <w:rPr>
                <w:sz w:val="18"/>
              </w:rPr>
              <w:t>with</w:t>
            </w:r>
            <w:r>
              <w:rPr>
                <w:spacing w:val="-3"/>
                <w:sz w:val="18"/>
              </w:rPr>
              <w:t xml:space="preserve"> </w:t>
            </w:r>
            <w:r>
              <w:rPr>
                <w:sz w:val="18"/>
              </w:rPr>
              <w:t>disabilities</w:t>
            </w:r>
            <w:r>
              <w:rPr>
                <w:spacing w:val="-3"/>
                <w:sz w:val="18"/>
              </w:rPr>
              <w:t xml:space="preserve"> </w:t>
            </w:r>
            <w:r>
              <w:rPr>
                <w:sz w:val="18"/>
              </w:rPr>
              <w:t>in</w:t>
            </w:r>
            <w:r>
              <w:rPr>
                <w:spacing w:val="-3"/>
                <w:sz w:val="18"/>
              </w:rPr>
              <w:t xml:space="preserve"> </w:t>
            </w:r>
            <w:r>
              <w:rPr>
                <w:sz w:val="18"/>
              </w:rPr>
              <w:t>providing</w:t>
            </w:r>
            <w:r>
              <w:rPr>
                <w:spacing w:val="-6"/>
                <w:sz w:val="18"/>
              </w:rPr>
              <w:t xml:space="preserve"> </w:t>
            </w:r>
            <w:r>
              <w:rPr>
                <w:sz w:val="18"/>
              </w:rPr>
              <w:t>input</w:t>
            </w:r>
            <w:r>
              <w:rPr>
                <w:spacing w:val="-2"/>
                <w:sz w:val="18"/>
              </w:rPr>
              <w:t xml:space="preserve"> </w:t>
            </w:r>
            <w:r>
              <w:rPr>
                <w:sz w:val="18"/>
              </w:rPr>
              <w:t>for</w:t>
            </w:r>
            <w:r>
              <w:rPr>
                <w:spacing w:val="-3"/>
                <w:sz w:val="18"/>
              </w:rPr>
              <w:t xml:space="preserve"> </w:t>
            </w:r>
            <w:r>
              <w:rPr>
                <w:sz w:val="18"/>
              </w:rPr>
              <w:t>RAD</w:t>
            </w:r>
            <w:r>
              <w:rPr>
                <w:spacing w:val="-2"/>
                <w:sz w:val="18"/>
              </w:rPr>
              <w:t xml:space="preserve"> </w:t>
            </w:r>
            <w:r>
              <w:rPr>
                <w:sz w:val="18"/>
              </w:rPr>
              <w:t>PD</w:t>
            </w:r>
            <w:r>
              <w:rPr>
                <w:spacing w:val="-2"/>
                <w:sz w:val="18"/>
              </w:rPr>
              <w:t xml:space="preserve"> </w:t>
            </w:r>
            <w:r>
              <w:rPr>
                <w:sz w:val="18"/>
              </w:rPr>
              <w:t>and</w:t>
            </w:r>
            <w:r>
              <w:rPr>
                <w:spacing w:val="-3"/>
                <w:sz w:val="18"/>
              </w:rPr>
              <w:t xml:space="preserve"> </w:t>
            </w:r>
            <w:r>
              <w:rPr>
                <w:sz w:val="18"/>
              </w:rPr>
              <w:t>as a part of the Technical Team on Gender Mainstreaming (PUG).</w:t>
            </w:r>
          </w:p>
        </w:tc>
      </w:tr>
      <w:tr w:rsidR="00BC24A8" w14:paraId="0836B50F" w14:textId="77777777">
        <w:trPr>
          <w:trHeight w:val="1770"/>
        </w:trPr>
        <w:tc>
          <w:tcPr>
            <w:tcW w:w="2712" w:type="dxa"/>
            <w:tcBorders>
              <w:top w:val="single" w:sz="4" w:space="0" w:color="BEBEBE"/>
              <w:bottom w:val="single" w:sz="4" w:space="0" w:color="BEBEBE"/>
            </w:tcBorders>
          </w:tcPr>
          <w:p w14:paraId="64E1AFF8" w14:textId="77777777" w:rsidR="00BC24A8" w:rsidRDefault="00000000">
            <w:pPr>
              <w:pStyle w:val="TableParagraph"/>
              <w:spacing w:before="116"/>
              <w:ind w:left="115"/>
              <w:rPr>
                <w:sz w:val="18"/>
              </w:rPr>
            </w:pPr>
            <w:r>
              <w:rPr>
                <w:sz w:val="18"/>
              </w:rPr>
              <w:t>Strengthen</w:t>
            </w:r>
            <w:r>
              <w:rPr>
                <w:spacing w:val="-11"/>
                <w:sz w:val="18"/>
              </w:rPr>
              <w:t xml:space="preserve"> </w:t>
            </w:r>
            <w:r>
              <w:rPr>
                <w:sz w:val="18"/>
              </w:rPr>
              <w:t>the</w:t>
            </w:r>
            <w:r>
              <w:rPr>
                <w:spacing w:val="-10"/>
                <w:sz w:val="18"/>
              </w:rPr>
              <w:t xml:space="preserve"> </w:t>
            </w:r>
            <w:r>
              <w:rPr>
                <w:sz w:val="18"/>
              </w:rPr>
              <w:t>data</w:t>
            </w:r>
            <w:r>
              <w:rPr>
                <w:spacing w:val="-10"/>
                <w:sz w:val="18"/>
              </w:rPr>
              <w:t xml:space="preserve"> </w:t>
            </w:r>
            <w:r>
              <w:rPr>
                <w:sz w:val="18"/>
              </w:rPr>
              <w:t>governance framework to support inclusive basic service delivery</w:t>
            </w:r>
          </w:p>
        </w:tc>
        <w:tc>
          <w:tcPr>
            <w:tcW w:w="6387" w:type="dxa"/>
            <w:tcBorders>
              <w:top w:val="single" w:sz="4" w:space="0" w:color="BEBEBE"/>
              <w:bottom w:val="single" w:sz="4" w:space="0" w:color="BEBEBE"/>
            </w:tcBorders>
          </w:tcPr>
          <w:p w14:paraId="41289A3B" w14:textId="77777777" w:rsidR="00BC24A8" w:rsidRDefault="00000000">
            <w:pPr>
              <w:pStyle w:val="TableParagraph"/>
              <w:numPr>
                <w:ilvl w:val="0"/>
                <w:numId w:val="20"/>
              </w:numPr>
              <w:tabs>
                <w:tab w:val="left" w:pos="523"/>
              </w:tabs>
              <w:spacing w:before="116"/>
              <w:ind w:right="413" w:hanging="361"/>
              <w:rPr>
                <w:sz w:val="18"/>
              </w:rPr>
            </w:pPr>
            <w:r>
              <w:rPr>
                <w:sz w:val="18"/>
              </w:rPr>
              <w:t>Revitalisation</w:t>
            </w:r>
            <w:r>
              <w:rPr>
                <w:spacing w:val="-5"/>
                <w:sz w:val="18"/>
              </w:rPr>
              <w:t xml:space="preserve"> </w:t>
            </w:r>
            <w:r>
              <w:rPr>
                <w:sz w:val="18"/>
              </w:rPr>
              <w:t>of</w:t>
            </w:r>
            <w:r>
              <w:rPr>
                <w:spacing w:val="-5"/>
                <w:sz w:val="18"/>
              </w:rPr>
              <w:t xml:space="preserve"> </w:t>
            </w:r>
            <w:r>
              <w:rPr>
                <w:sz w:val="18"/>
              </w:rPr>
              <w:t>SAIK+:</w:t>
            </w:r>
            <w:r>
              <w:rPr>
                <w:spacing w:val="-5"/>
                <w:sz w:val="18"/>
              </w:rPr>
              <w:t xml:space="preserve"> </w:t>
            </w:r>
            <w:r>
              <w:rPr>
                <w:sz w:val="18"/>
              </w:rPr>
              <w:t>Expanded</w:t>
            </w:r>
            <w:r>
              <w:rPr>
                <w:spacing w:val="-5"/>
                <w:sz w:val="18"/>
              </w:rPr>
              <w:t xml:space="preserve"> </w:t>
            </w:r>
            <w:r>
              <w:rPr>
                <w:sz w:val="18"/>
              </w:rPr>
              <w:t>coverage</w:t>
            </w:r>
            <w:r>
              <w:rPr>
                <w:spacing w:val="-5"/>
                <w:sz w:val="18"/>
              </w:rPr>
              <w:t xml:space="preserve"> </w:t>
            </w:r>
            <w:r>
              <w:rPr>
                <w:sz w:val="18"/>
              </w:rPr>
              <w:t>of</w:t>
            </w:r>
            <w:r>
              <w:rPr>
                <w:spacing w:val="-5"/>
                <w:sz w:val="18"/>
              </w:rPr>
              <w:t xml:space="preserve"> </w:t>
            </w:r>
            <w:r>
              <w:rPr>
                <w:sz w:val="18"/>
              </w:rPr>
              <w:t>district/city</w:t>
            </w:r>
            <w:r>
              <w:rPr>
                <w:spacing w:val="-5"/>
                <w:sz w:val="18"/>
              </w:rPr>
              <w:t xml:space="preserve"> </w:t>
            </w:r>
            <w:r>
              <w:rPr>
                <w:sz w:val="18"/>
              </w:rPr>
              <w:t>data</w:t>
            </w:r>
            <w:r>
              <w:rPr>
                <w:spacing w:val="-5"/>
                <w:sz w:val="18"/>
              </w:rPr>
              <w:t xml:space="preserve"> </w:t>
            </w:r>
            <w:r>
              <w:rPr>
                <w:sz w:val="18"/>
              </w:rPr>
              <w:t>updates</w:t>
            </w:r>
            <w:r>
              <w:rPr>
                <w:spacing w:val="-5"/>
                <w:sz w:val="18"/>
              </w:rPr>
              <w:t xml:space="preserve"> </w:t>
            </w:r>
            <w:r>
              <w:rPr>
                <w:sz w:val="18"/>
              </w:rPr>
              <w:t>and increased use of SAIK+ data.</w:t>
            </w:r>
          </w:p>
          <w:p w14:paraId="4DB19ACE" w14:textId="77777777" w:rsidR="00BC24A8" w:rsidRDefault="00000000">
            <w:pPr>
              <w:pStyle w:val="TableParagraph"/>
              <w:numPr>
                <w:ilvl w:val="0"/>
                <w:numId w:val="20"/>
              </w:numPr>
              <w:tabs>
                <w:tab w:val="left" w:pos="523"/>
              </w:tabs>
              <w:ind w:right="417"/>
              <w:rPr>
                <w:sz w:val="18"/>
              </w:rPr>
            </w:pPr>
            <w:r>
              <w:rPr>
                <w:sz w:val="18"/>
              </w:rPr>
              <w:t>Strengthening</w:t>
            </w:r>
            <w:r>
              <w:rPr>
                <w:spacing w:val="-5"/>
                <w:sz w:val="18"/>
              </w:rPr>
              <w:t xml:space="preserve"> </w:t>
            </w:r>
            <w:r>
              <w:rPr>
                <w:sz w:val="18"/>
              </w:rPr>
              <w:t>One</w:t>
            </w:r>
            <w:r>
              <w:rPr>
                <w:spacing w:val="-4"/>
                <w:sz w:val="18"/>
              </w:rPr>
              <w:t xml:space="preserve"> </w:t>
            </w:r>
            <w:r>
              <w:rPr>
                <w:sz w:val="18"/>
              </w:rPr>
              <w:t>Data:</w:t>
            </w:r>
            <w:r>
              <w:rPr>
                <w:spacing w:val="-4"/>
                <w:sz w:val="18"/>
              </w:rPr>
              <w:t xml:space="preserve"> </w:t>
            </w:r>
            <w:r>
              <w:rPr>
                <w:sz w:val="18"/>
              </w:rPr>
              <w:t>development</w:t>
            </w:r>
            <w:r>
              <w:rPr>
                <w:spacing w:val="-3"/>
                <w:sz w:val="18"/>
              </w:rPr>
              <w:t xml:space="preserve"> </w:t>
            </w:r>
            <w:r>
              <w:rPr>
                <w:sz w:val="18"/>
              </w:rPr>
              <w:t>of</w:t>
            </w:r>
            <w:r>
              <w:rPr>
                <w:spacing w:val="-5"/>
                <w:sz w:val="18"/>
              </w:rPr>
              <w:t xml:space="preserve"> </w:t>
            </w:r>
            <w:r>
              <w:rPr>
                <w:sz w:val="18"/>
              </w:rPr>
              <w:t>data</w:t>
            </w:r>
            <w:r>
              <w:rPr>
                <w:spacing w:val="-5"/>
                <w:sz w:val="18"/>
              </w:rPr>
              <w:t xml:space="preserve"> </w:t>
            </w:r>
            <w:r>
              <w:rPr>
                <w:sz w:val="18"/>
              </w:rPr>
              <w:t>portals,</w:t>
            </w:r>
            <w:r>
              <w:rPr>
                <w:spacing w:val="-5"/>
                <w:sz w:val="18"/>
              </w:rPr>
              <w:t xml:space="preserve"> </w:t>
            </w:r>
            <w:r>
              <w:rPr>
                <w:sz w:val="18"/>
              </w:rPr>
              <w:t>staff</w:t>
            </w:r>
            <w:r>
              <w:rPr>
                <w:spacing w:val="-5"/>
                <w:sz w:val="18"/>
              </w:rPr>
              <w:t xml:space="preserve"> </w:t>
            </w:r>
            <w:r>
              <w:rPr>
                <w:sz w:val="18"/>
              </w:rPr>
              <w:t>capacity</w:t>
            </w:r>
            <w:r>
              <w:rPr>
                <w:spacing w:val="-4"/>
                <w:sz w:val="18"/>
              </w:rPr>
              <w:t xml:space="preserve"> </w:t>
            </w:r>
            <w:r>
              <w:rPr>
                <w:sz w:val="18"/>
              </w:rPr>
              <w:t>in</w:t>
            </w:r>
            <w:r>
              <w:rPr>
                <w:spacing w:val="-4"/>
                <w:sz w:val="18"/>
              </w:rPr>
              <w:t xml:space="preserve"> </w:t>
            </w:r>
            <w:r>
              <w:rPr>
                <w:sz w:val="18"/>
              </w:rPr>
              <w:t>One Data forums, and functionality of data forums.</w:t>
            </w:r>
          </w:p>
          <w:p w14:paraId="318CB4B7" w14:textId="77777777" w:rsidR="00BC24A8" w:rsidRDefault="00000000">
            <w:pPr>
              <w:pStyle w:val="TableParagraph"/>
              <w:numPr>
                <w:ilvl w:val="0"/>
                <w:numId w:val="20"/>
              </w:numPr>
              <w:tabs>
                <w:tab w:val="left" w:pos="523"/>
              </w:tabs>
              <w:spacing w:line="219" w:lineRule="exact"/>
              <w:rPr>
                <w:sz w:val="18"/>
              </w:rPr>
            </w:pPr>
            <w:r>
              <w:rPr>
                <w:sz w:val="18"/>
              </w:rPr>
              <w:t>Enhancing</w:t>
            </w:r>
            <w:r>
              <w:rPr>
                <w:spacing w:val="-3"/>
                <w:sz w:val="18"/>
              </w:rPr>
              <w:t xml:space="preserve"> </w:t>
            </w:r>
            <w:r>
              <w:rPr>
                <w:sz w:val="18"/>
              </w:rPr>
              <w:t>data</w:t>
            </w:r>
            <w:r>
              <w:rPr>
                <w:spacing w:val="-3"/>
                <w:sz w:val="18"/>
              </w:rPr>
              <w:t xml:space="preserve"> </w:t>
            </w:r>
            <w:r>
              <w:rPr>
                <w:sz w:val="18"/>
              </w:rPr>
              <w:t>analysis</w:t>
            </w:r>
            <w:r>
              <w:rPr>
                <w:spacing w:val="-1"/>
                <w:sz w:val="18"/>
              </w:rPr>
              <w:t xml:space="preserve"> </w:t>
            </w:r>
            <w:r>
              <w:rPr>
                <w:sz w:val="18"/>
              </w:rPr>
              <w:t>capacity</w:t>
            </w:r>
            <w:r>
              <w:rPr>
                <w:spacing w:val="-2"/>
                <w:sz w:val="18"/>
              </w:rPr>
              <w:t xml:space="preserve"> </w:t>
            </w:r>
            <w:r>
              <w:rPr>
                <w:sz w:val="18"/>
              </w:rPr>
              <w:t>(use</w:t>
            </w:r>
            <w:r>
              <w:rPr>
                <w:spacing w:val="-2"/>
                <w:sz w:val="18"/>
              </w:rPr>
              <w:t xml:space="preserve"> </w:t>
            </w:r>
            <w:r>
              <w:rPr>
                <w:sz w:val="18"/>
              </w:rPr>
              <w:t>of</w:t>
            </w:r>
            <w:r>
              <w:rPr>
                <w:spacing w:val="-2"/>
                <w:sz w:val="18"/>
              </w:rPr>
              <w:t xml:space="preserve"> SEPAKAT).</w:t>
            </w:r>
          </w:p>
          <w:p w14:paraId="7DFDAF30" w14:textId="77777777" w:rsidR="00BC24A8" w:rsidRDefault="00000000">
            <w:pPr>
              <w:pStyle w:val="TableParagraph"/>
              <w:numPr>
                <w:ilvl w:val="0"/>
                <w:numId w:val="20"/>
              </w:numPr>
              <w:tabs>
                <w:tab w:val="left" w:pos="523"/>
              </w:tabs>
              <w:spacing w:before="1"/>
              <w:ind w:right="418"/>
              <w:rPr>
                <w:sz w:val="18"/>
              </w:rPr>
            </w:pPr>
            <w:r>
              <w:rPr>
                <w:sz w:val="18"/>
              </w:rPr>
              <w:t>Development</w:t>
            </w:r>
            <w:r>
              <w:rPr>
                <w:spacing w:val="-5"/>
                <w:sz w:val="18"/>
              </w:rPr>
              <w:t xml:space="preserve"> </w:t>
            </w:r>
            <w:r>
              <w:rPr>
                <w:sz w:val="18"/>
              </w:rPr>
              <w:t>of</w:t>
            </w:r>
            <w:r>
              <w:rPr>
                <w:spacing w:val="-7"/>
                <w:sz w:val="18"/>
              </w:rPr>
              <w:t xml:space="preserve"> </w:t>
            </w:r>
            <w:r>
              <w:rPr>
                <w:sz w:val="18"/>
              </w:rPr>
              <w:t>the</w:t>
            </w:r>
            <w:r>
              <w:rPr>
                <w:spacing w:val="-6"/>
                <w:sz w:val="18"/>
              </w:rPr>
              <w:t xml:space="preserve"> </w:t>
            </w:r>
            <w:r>
              <w:rPr>
                <w:sz w:val="18"/>
              </w:rPr>
              <w:t>SPBE</w:t>
            </w:r>
            <w:r>
              <w:rPr>
                <w:spacing w:val="-6"/>
                <w:sz w:val="18"/>
              </w:rPr>
              <w:t xml:space="preserve"> </w:t>
            </w:r>
            <w:r>
              <w:rPr>
                <w:sz w:val="18"/>
              </w:rPr>
              <w:t>(Electronic-Based</w:t>
            </w:r>
            <w:r>
              <w:rPr>
                <w:spacing w:val="-6"/>
                <w:sz w:val="18"/>
              </w:rPr>
              <w:t xml:space="preserve"> </w:t>
            </w:r>
            <w:r>
              <w:rPr>
                <w:sz w:val="18"/>
              </w:rPr>
              <w:t>Government</w:t>
            </w:r>
            <w:r>
              <w:rPr>
                <w:spacing w:val="-5"/>
                <w:sz w:val="18"/>
              </w:rPr>
              <w:t xml:space="preserve"> </w:t>
            </w:r>
            <w:r>
              <w:rPr>
                <w:sz w:val="18"/>
              </w:rPr>
              <w:t>System)</w:t>
            </w:r>
            <w:r>
              <w:rPr>
                <w:spacing w:val="-7"/>
                <w:sz w:val="18"/>
              </w:rPr>
              <w:t xml:space="preserve"> </w:t>
            </w:r>
            <w:r>
              <w:rPr>
                <w:sz w:val="18"/>
              </w:rPr>
              <w:t>Roadmap and SIPD RI.</w:t>
            </w:r>
          </w:p>
        </w:tc>
      </w:tr>
      <w:tr w:rsidR="00BC24A8" w14:paraId="4546280A" w14:textId="77777777">
        <w:trPr>
          <w:trHeight w:val="1113"/>
        </w:trPr>
        <w:tc>
          <w:tcPr>
            <w:tcW w:w="2712" w:type="dxa"/>
            <w:tcBorders>
              <w:top w:val="single" w:sz="4" w:space="0" w:color="BEBEBE"/>
              <w:bottom w:val="single" w:sz="4" w:space="0" w:color="BEBEBE"/>
            </w:tcBorders>
          </w:tcPr>
          <w:p w14:paraId="35CCB43A" w14:textId="77777777" w:rsidR="00BC24A8" w:rsidRDefault="00000000">
            <w:pPr>
              <w:pStyle w:val="TableParagraph"/>
              <w:spacing w:before="119"/>
              <w:ind w:left="115"/>
              <w:rPr>
                <w:sz w:val="18"/>
              </w:rPr>
            </w:pPr>
            <w:r>
              <w:rPr>
                <w:sz w:val="18"/>
              </w:rPr>
              <w:t>Develop</w:t>
            </w:r>
            <w:r>
              <w:rPr>
                <w:spacing w:val="-9"/>
                <w:sz w:val="18"/>
              </w:rPr>
              <w:t xml:space="preserve"> </w:t>
            </w:r>
            <w:r>
              <w:rPr>
                <w:sz w:val="18"/>
              </w:rPr>
              <w:t>a</w:t>
            </w:r>
            <w:r>
              <w:rPr>
                <w:spacing w:val="-10"/>
                <w:sz w:val="18"/>
              </w:rPr>
              <w:t xml:space="preserve"> </w:t>
            </w:r>
            <w:r>
              <w:rPr>
                <w:sz w:val="18"/>
              </w:rPr>
              <w:t>more</w:t>
            </w:r>
            <w:r>
              <w:rPr>
                <w:spacing w:val="-9"/>
                <w:sz w:val="18"/>
              </w:rPr>
              <w:t xml:space="preserve"> </w:t>
            </w:r>
            <w:r>
              <w:rPr>
                <w:sz w:val="18"/>
              </w:rPr>
              <w:t>consolidated</w:t>
            </w:r>
            <w:r>
              <w:rPr>
                <w:spacing w:val="-9"/>
                <w:sz w:val="18"/>
              </w:rPr>
              <w:t xml:space="preserve"> </w:t>
            </w:r>
            <w:r>
              <w:rPr>
                <w:sz w:val="18"/>
              </w:rPr>
              <w:t xml:space="preserve">and inclusive framework for MSS implementation and routine </w:t>
            </w:r>
            <w:r>
              <w:rPr>
                <w:spacing w:val="-2"/>
                <w:sz w:val="18"/>
              </w:rPr>
              <w:t>planning</w:t>
            </w:r>
          </w:p>
        </w:tc>
        <w:tc>
          <w:tcPr>
            <w:tcW w:w="6387" w:type="dxa"/>
            <w:tcBorders>
              <w:top w:val="single" w:sz="4" w:space="0" w:color="BEBEBE"/>
              <w:bottom w:val="single" w:sz="4" w:space="0" w:color="BEBEBE"/>
            </w:tcBorders>
          </w:tcPr>
          <w:p w14:paraId="092ADC42" w14:textId="77777777" w:rsidR="00BC24A8" w:rsidRDefault="00000000">
            <w:pPr>
              <w:pStyle w:val="TableParagraph"/>
              <w:numPr>
                <w:ilvl w:val="0"/>
                <w:numId w:val="19"/>
              </w:numPr>
              <w:tabs>
                <w:tab w:val="left" w:pos="523"/>
              </w:tabs>
              <w:spacing w:before="119"/>
              <w:ind w:right="258" w:hanging="361"/>
              <w:rPr>
                <w:sz w:val="18"/>
              </w:rPr>
            </w:pPr>
            <w:r>
              <w:rPr>
                <w:sz w:val="18"/>
              </w:rPr>
              <w:t>MSS: Action</w:t>
            </w:r>
            <w:r>
              <w:rPr>
                <w:spacing w:val="-3"/>
                <w:sz w:val="18"/>
              </w:rPr>
              <w:t xml:space="preserve"> </w:t>
            </w:r>
            <w:r>
              <w:rPr>
                <w:sz w:val="18"/>
              </w:rPr>
              <w:t>Plans,</w:t>
            </w:r>
            <w:r>
              <w:rPr>
                <w:spacing w:val="-4"/>
                <w:sz w:val="18"/>
              </w:rPr>
              <w:t xml:space="preserve"> </w:t>
            </w:r>
            <w:r>
              <w:rPr>
                <w:sz w:val="18"/>
              </w:rPr>
              <w:t>reporting</w:t>
            </w:r>
            <w:r>
              <w:rPr>
                <w:spacing w:val="-4"/>
                <w:sz w:val="18"/>
              </w:rPr>
              <w:t xml:space="preserve"> </w:t>
            </w:r>
            <w:r>
              <w:rPr>
                <w:sz w:val="18"/>
              </w:rPr>
              <w:t>and</w:t>
            </w:r>
            <w:r>
              <w:rPr>
                <w:spacing w:val="-6"/>
                <w:sz w:val="18"/>
              </w:rPr>
              <w:t xml:space="preserve"> </w:t>
            </w:r>
            <w:r>
              <w:rPr>
                <w:sz w:val="18"/>
              </w:rPr>
              <w:t>costing,</w:t>
            </w:r>
            <w:r>
              <w:rPr>
                <w:spacing w:val="-4"/>
                <w:sz w:val="18"/>
              </w:rPr>
              <w:t xml:space="preserve"> </w:t>
            </w:r>
            <w:r>
              <w:rPr>
                <w:sz w:val="18"/>
              </w:rPr>
              <w:t>integration</w:t>
            </w:r>
            <w:r>
              <w:rPr>
                <w:spacing w:val="-3"/>
                <w:sz w:val="18"/>
              </w:rPr>
              <w:t xml:space="preserve"> </w:t>
            </w:r>
            <w:r>
              <w:rPr>
                <w:sz w:val="18"/>
              </w:rPr>
              <w:t>of</w:t>
            </w:r>
            <w:r>
              <w:rPr>
                <w:spacing w:val="-4"/>
                <w:sz w:val="18"/>
              </w:rPr>
              <w:t xml:space="preserve"> </w:t>
            </w:r>
            <w:r>
              <w:rPr>
                <w:sz w:val="18"/>
              </w:rPr>
              <w:t>MSS</w:t>
            </w:r>
            <w:r>
              <w:rPr>
                <w:spacing w:val="-3"/>
                <w:sz w:val="18"/>
              </w:rPr>
              <w:t xml:space="preserve"> </w:t>
            </w:r>
            <w:r>
              <w:rPr>
                <w:sz w:val="18"/>
              </w:rPr>
              <w:t>Action</w:t>
            </w:r>
            <w:r>
              <w:rPr>
                <w:spacing w:val="-3"/>
                <w:sz w:val="18"/>
              </w:rPr>
              <w:t xml:space="preserve"> </w:t>
            </w:r>
            <w:r>
              <w:rPr>
                <w:sz w:val="18"/>
              </w:rPr>
              <w:t>Plans</w:t>
            </w:r>
            <w:r>
              <w:rPr>
                <w:spacing w:val="-3"/>
                <w:sz w:val="18"/>
              </w:rPr>
              <w:t xml:space="preserve"> </w:t>
            </w:r>
            <w:r>
              <w:rPr>
                <w:sz w:val="18"/>
              </w:rPr>
              <w:t>into planning</w:t>
            </w:r>
            <w:r>
              <w:rPr>
                <w:spacing w:val="-2"/>
                <w:sz w:val="18"/>
              </w:rPr>
              <w:t xml:space="preserve"> </w:t>
            </w:r>
            <w:r>
              <w:rPr>
                <w:sz w:val="18"/>
              </w:rPr>
              <w:t>documents.</w:t>
            </w:r>
          </w:p>
          <w:p w14:paraId="4C507285" w14:textId="77777777" w:rsidR="00BC24A8" w:rsidRDefault="00000000">
            <w:pPr>
              <w:pStyle w:val="TableParagraph"/>
              <w:numPr>
                <w:ilvl w:val="0"/>
                <w:numId w:val="19"/>
              </w:numPr>
              <w:tabs>
                <w:tab w:val="left" w:pos="523"/>
              </w:tabs>
              <w:ind w:right="348" w:hanging="361"/>
              <w:rPr>
                <w:sz w:val="18"/>
              </w:rPr>
            </w:pPr>
            <w:r>
              <w:rPr>
                <w:sz w:val="18"/>
              </w:rPr>
              <w:t>Regular</w:t>
            </w:r>
            <w:r>
              <w:rPr>
                <w:spacing w:val="-4"/>
                <w:sz w:val="18"/>
              </w:rPr>
              <w:t xml:space="preserve"> </w:t>
            </w:r>
            <w:r>
              <w:rPr>
                <w:sz w:val="18"/>
              </w:rPr>
              <w:t>Planning:</w:t>
            </w:r>
            <w:r>
              <w:rPr>
                <w:spacing w:val="-2"/>
                <w:sz w:val="18"/>
              </w:rPr>
              <w:t xml:space="preserve"> </w:t>
            </w:r>
            <w:r>
              <w:rPr>
                <w:sz w:val="18"/>
              </w:rPr>
              <w:t>RPJMD</w:t>
            </w:r>
            <w:r>
              <w:rPr>
                <w:spacing w:val="-4"/>
                <w:sz w:val="18"/>
              </w:rPr>
              <w:t xml:space="preserve"> </w:t>
            </w:r>
            <w:r>
              <w:rPr>
                <w:sz w:val="18"/>
              </w:rPr>
              <w:t>and</w:t>
            </w:r>
            <w:r>
              <w:rPr>
                <w:spacing w:val="-4"/>
                <w:sz w:val="18"/>
              </w:rPr>
              <w:t xml:space="preserve"> </w:t>
            </w:r>
            <w:r>
              <w:rPr>
                <w:sz w:val="18"/>
              </w:rPr>
              <w:t>RKPD</w:t>
            </w:r>
            <w:r>
              <w:rPr>
                <w:spacing w:val="-4"/>
                <w:sz w:val="18"/>
              </w:rPr>
              <w:t xml:space="preserve"> </w:t>
            </w:r>
            <w:r>
              <w:rPr>
                <w:sz w:val="18"/>
              </w:rPr>
              <w:t>that</w:t>
            </w:r>
            <w:r>
              <w:rPr>
                <w:spacing w:val="-4"/>
                <w:sz w:val="18"/>
              </w:rPr>
              <w:t xml:space="preserve"> </w:t>
            </w:r>
            <w:r>
              <w:rPr>
                <w:sz w:val="18"/>
              </w:rPr>
              <w:t>prioritise</w:t>
            </w:r>
            <w:r>
              <w:rPr>
                <w:spacing w:val="-5"/>
                <w:sz w:val="18"/>
              </w:rPr>
              <w:t xml:space="preserve"> </w:t>
            </w:r>
            <w:r>
              <w:rPr>
                <w:sz w:val="18"/>
              </w:rPr>
              <w:t>MSS</w:t>
            </w:r>
            <w:r>
              <w:rPr>
                <w:spacing w:val="-4"/>
                <w:sz w:val="18"/>
              </w:rPr>
              <w:t xml:space="preserve"> </w:t>
            </w:r>
            <w:r>
              <w:rPr>
                <w:sz w:val="18"/>
              </w:rPr>
              <w:t>and</w:t>
            </w:r>
            <w:r>
              <w:rPr>
                <w:spacing w:val="-4"/>
                <w:sz w:val="18"/>
              </w:rPr>
              <w:t xml:space="preserve"> </w:t>
            </w:r>
            <w:r>
              <w:rPr>
                <w:sz w:val="18"/>
              </w:rPr>
              <w:t>GEDSI,</w:t>
            </w:r>
            <w:r>
              <w:rPr>
                <w:spacing w:val="-5"/>
                <w:sz w:val="18"/>
              </w:rPr>
              <w:t xml:space="preserve"> </w:t>
            </w:r>
            <w:r>
              <w:rPr>
                <w:sz w:val="18"/>
              </w:rPr>
              <w:t>enhanced capacity in using program and activity nomenclature cascades.</w:t>
            </w:r>
          </w:p>
        </w:tc>
      </w:tr>
    </w:tbl>
    <w:p w14:paraId="2F7AEBAA" w14:textId="77777777" w:rsidR="00BC24A8" w:rsidRDefault="00BC24A8">
      <w:pPr>
        <w:pStyle w:val="TableParagraph"/>
        <w:rPr>
          <w:sz w:val="18"/>
        </w:rPr>
        <w:sectPr w:rsidR="00BC24A8">
          <w:pgSz w:w="11910" w:h="16840"/>
          <w:pgMar w:top="1360" w:right="850" w:bottom="1576" w:left="1275" w:header="0" w:footer="907" w:gutter="0"/>
          <w:cols w:space="720"/>
        </w:sectPr>
      </w:pPr>
    </w:p>
    <w:tbl>
      <w:tblPr>
        <w:tblW w:w="0" w:type="auto"/>
        <w:tblInd w:w="136" w:type="dxa"/>
        <w:tblLayout w:type="fixed"/>
        <w:tblCellMar>
          <w:left w:w="0" w:type="dxa"/>
          <w:right w:w="0" w:type="dxa"/>
        </w:tblCellMar>
        <w:tblLook w:val="01E0" w:firstRow="1" w:lastRow="1" w:firstColumn="1" w:lastColumn="1" w:noHBand="0" w:noVBand="0"/>
      </w:tblPr>
      <w:tblGrid>
        <w:gridCol w:w="2749"/>
        <w:gridCol w:w="6356"/>
      </w:tblGrid>
      <w:tr w:rsidR="00BC24A8" w14:paraId="06FFC68B" w14:textId="77777777">
        <w:trPr>
          <w:trHeight w:val="552"/>
        </w:trPr>
        <w:tc>
          <w:tcPr>
            <w:tcW w:w="2749" w:type="dxa"/>
            <w:tcBorders>
              <w:bottom w:val="single" w:sz="4" w:space="0" w:color="BEBEBE"/>
            </w:tcBorders>
          </w:tcPr>
          <w:p w14:paraId="19AF9F0B" w14:textId="77777777" w:rsidR="00BC24A8" w:rsidRDefault="00BC24A8">
            <w:pPr>
              <w:pStyle w:val="TableParagraph"/>
              <w:rPr>
                <w:rFonts w:ascii="Times New Roman"/>
                <w:sz w:val="18"/>
              </w:rPr>
            </w:pPr>
          </w:p>
        </w:tc>
        <w:tc>
          <w:tcPr>
            <w:tcW w:w="6356" w:type="dxa"/>
            <w:tcBorders>
              <w:bottom w:val="single" w:sz="4" w:space="0" w:color="BEBEBE"/>
            </w:tcBorders>
          </w:tcPr>
          <w:p w14:paraId="01752B03" w14:textId="77777777" w:rsidR="00BC24A8" w:rsidRDefault="00000000">
            <w:pPr>
              <w:pStyle w:val="TableParagraph"/>
              <w:numPr>
                <w:ilvl w:val="0"/>
                <w:numId w:val="18"/>
              </w:numPr>
              <w:tabs>
                <w:tab w:val="left" w:pos="493"/>
              </w:tabs>
              <w:ind w:right="326"/>
              <w:rPr>
                <w:sz w:val="18"/>
              </w:rPr>
            </w:pPr>
            <w:r>
              <w:rPr>
                <w:sz w:val="18"/>
              </w:rPr>
              <w:t>PERA:</w:t>
            </w:r>
            <w:r>
              <w:rPr>
                <w:spacing w:val="-4"/>
                <w:sz w:val="18"/>
              </w:rPr>
              <w:t xml:space="preserve"> </w:t>
            </w:r>
            <w:r>
              <w:rPr>
                <w:sz w:val="18"/>
              </w:rPr>
              <w:t>Utilisation</w:t>
            </w:r>
            <w:r>
              <w:rPr>
                <w:spacing w:val="-4"/>
                <w:sz w:val="18"/>
              </w:rPr>
              <w:t xml:space="preserve"> </w:t>
            </w:r>
            <w:r>
              <w:rPr>
                <w:sz w:val="18"/>
              </w:rPr>
              <w:t>of</w:t>
            </w:r>
            <w:r>
              <w:rPr>
                <w:spacing w:val="-5"/>
                <w:sz w:val="18"/>
              </w:rPr>
              <w:t xml:space="preserve"> </w:t>
            </w:r>
            <w:r>
              <w:rPr>
                <w:sz w:val="18"/>
              </w:rPr>
              <w:t>PERA</w:t>
            </w:r>
            <w:r>
              <w:rPr>
                <w:spacing w:val="-5"/>
                <w:sz w:val="18"/>
              </w:rPr>
              <w:t xml:space="preserve"> </w:t>
            </w:r>
            <w:r>
              <w:rPr>
                <w:sz w:val="18"/>
              </w:rPr>
              <w:t>study</w:t>
            </w:r>
            <w:r>
              <w:rPr>
                <w:spacing w:val="-4"/>
                <w:sz w:val="18"/>
              </w:rPr>
              <w:t xml:space="preserve"> </w:t>
            </w:r>
            <w:r>
              <w:rPr>
                <w:sz w:val="18"/>
              </w:rPr>
              <w:t>results</w:t>
            </w:r>
            <w:r>
              <w:rPr>
                <w:spacing w:val="-4"/>
                <w:sz w:val="18"/>
              </w:rPr>
              <w:t xml:space="preserve"> </w:t>
            </w:r>
            <w:r>
              <w:rPr>
                <w:sz w:val="18"/>
              </w:rPr>
              <w:t>in</w:t>
            </w:r>
            <w:r>
              <w:rPr>
                <w:spacing w:val="-4"/>
                <w:sz w:val="18"/>
              </w:rPr>
              <w:t xml:space="preserve"> </w:t>
            </w:r>
            <w:r>
              <w:rPr>
                <w:sz w:val="18"/>
              </w:rPr>
              <w:t>formulating</w:t>
            </w:r>
            <w:r>
              <w:rPr>
                <w:spacing w:val="-5"/>
                <w:sz w:val="18"/>
              </w:rPr>
              <w:t xml:space="preserve"> </w:t>
            </w:r>
            <w:r>
              <w:rPr>
                <w:sz w:val="18"/>
              </w:rPr>
              <w:t>strategic</w:t>
            </w:r>
            <w:r>
              <w:rPr>
                <w:spacing w:val="-4"/>
                <w:sz w:val="18"/>
              </w:rPr>
              <w:t xml:space="preserve"> </w:t>
            </w:r>
            <w:r>
              <w:rPr>
                <w:sz w:val="18"/>
              </w:rPr>
              <w:t>programs</w:t>
            </w:r>
            <w:r>
              <w:rPr>
                <w:spacing w:val="-4"/>
                <w:sz w:val="18"/>
              </w:rPr>
              <w:t xml:space="preserve"> </w:t>
            </w:r>
            <w:r>
              <w:rPr>
                <w:sz w:val="18"/>
              </w:rPr>
              <w:t xml:space="preserve">and </w:t>
            </w:r>
            <w:r>
              <w:rPr>
                <w:spacing w:val="-2"/>
                <w:sz w:val="18"/>
              </w:rPr>
              <w:t>activities.</w:t>
            </w:r>
          </w:p>
        </w:tc>
      </w:tr>
      <w:tr w:rsidR="00BC24A8" w14:paraId="3A90A764" w14:textId="77777777">
        <w:trPr>
          <w:trHeight w:val="1653"/>
        </w:trPr>
        <w:tc>
          <w:tcPr>
            <w:tcW w:w="2749" w:type="dxa"/>
            <w:tcBorders>
              <w:top w:val="single" w:sz="4" w:space="0" w:color="BEBEBE"/>
              <w:bottom w:val="single" w:sz="4" w:space="0" w:color="BEBEBE"/>
            </w:tcBorders>
          </w:tcPr>
          <w:p w14:paraId="1D707BAC" w14:textId="77777777" w:rsidR="00BC24A8" w:rsidRDefault="00000000">
            <w:pPr>
              <w:pStyle w:val="TableParagraph"/>
              <w:spacing w:before="119"/>
              <w:ind w:left="122" w:right="97"/>
              <w:rPr>
                <w:sz w:val="18"/>
              </w:rPr>
            </w:pPr>
            <w:r>
              <w:rPr>
                <w:sz w:val="18"/>
              </w:rPr>
              <w:t>Establish a more responsive local government</w:t>
            </w:r>
            <w:r>
              <w:rPr>
                <w:spacing w:val="-11"/>
                <w:sz w:val="18"/>
              </w:rPr>
              <w:t xml:space="preserve"> </w:t>
            </w:r>
            <w:r>
              <w:rPr>
                <w:sz w:val="18"/>
              </w:rPr>
              <w:t>budget</w:t>
            </w:r>
            <w:r>
              <w:rPr>
                <w:spacing w:val="-10"/>
                <w:sz w:val="18"/>
              </w:rPr>
              <w:t xml:space="preserve"> </w:t>
            </w:r>
            <w:r>
              <w:rPr>
                <w:sz w:val="18"/>
              </w:rPr>
              <w:t>management framework to ensure inclusive basic service delivery</w:t>
            </w:r>
          </w:p>
        </w:tc>
        <w:tc>
          <w:tcPr>
            <w:tcW w:w="6356" w:type="dxa"/>
            <w:tcBorders>
              <w:top w:val="single" w:sz="4" w:space="0" w:color="BEBEBE"/>
              <w:bottom w:val="single" w:sz="4" w:space="0" w:color="BEBEBE"/>
            </w:tcBorders>
          </w:tcPr>
          <w:p w14:paraId="7F4524CC" w14:textId="77777777" w:rsidR="00BC24A8" w:rsidRDefault="00000000">
            <w:pPr>
              <w:pStyle w:val="TableParagraph"/>
              <w:numPr>
                <w:ilvl w:val="0"/>
                <w:numId w:val="17"/>
              </w:numPr>
              <w:tabs>
                <w:tab w:val="left" w:pos="493"/>
              </w:tabs>
              <w:spacing w:before="119" w:line="219" w:lineRule="exact"/>
              <w:rPr>
                <w:sz w:val="18"/>
              </w:rPr>
            </w:pPr>
            <w:r>
              <w:rPr>
                <w:sz w:val="18"/>
              </w:rPr>
              <w:t>PDRD:</w:t>
            </w:r>
            <w:r>
              <w:rPr>
                <w:spacing w:val="-2"/>
                <w:sz w:val="18"/>
              </w:rPr>
              <w:t xml:space="preserve"> </w:t>
            </w:r>
            <w:r>
              <w:rPr>
                <w:sz w:val="18"/>
              </w:rPr>
              <w:t>Policies</w:t>
            </w:r>
            <w:r>
              <w:rPr>
                <w:spacing w:val="-1"/>
                <w:sz w:val="18"/>
              </w:rPr>
              <w:t xml:space="preserve"> </w:t>
            </w:r>
            <w:r>
              <w:rPr>
                <w:sz w:val="18"/>
              </w:rPr>
              <w:t>and</w:t>
            </w:r>
            <w:r>
              <w:rPr>
                <w:spacing w:val="-1"/>
                <w:sz w:val="18"/>
              </w:rPr>
              <w:t xml:space="preserve"> </w:t>
            </w:r>
            <w:r>
              <w:rPr>
                <w:sz w:val="18"/>
              </w:rPr>
              <w:t>regulations</w:t>
            </w:r>
            <w:r>
              <w:rPr>
                <w:spacing w:val="-2"/>
                <w:sz w:val="18"/>
              </w:rPr>
              <w:t xml:space="preserve"> </w:t>
            </w:r>
            <w:r>
              <w:rPr>
                <w:sz w:val="18"/>
              </w:rPr>
              <w:t>for</w:t>
            </w:r>
            <w:r>
              <w:rPr>
                <w:spacing w:val="-3"/>
                <w:sz w:val="18"/>
              </w:rPr>
              <w:t xml:space="preserve"> </w:t>
            </w:r>
            <w:r>
              <w:rPr>
                <w:sz w:val="18"/>
              </w:rPr>
              <w:t>optimising</w:t>
            </w:r>
            <w:r>
              <w:rPr>
                <w:spacing w:val="-5"/>
                <w:sz w:val="18"/>
              </w:rPr>
              <w:t xml:space="preserve"> </w:t>
            </w:r>
            <w:r>
              <w:rPr>
                <w:sz w:val="18"/>
              </w:rPr>
              <w:t xml:space="preserve">local </w:t>
            </w:r>
            <w:r>
              <w:rPr>
                <w:spacing w:val="-2"/>
                <w:sz w:val="18"/>
              </w:rPr>
              <w:t>revenue.</w:t>
            </w:r>
          </w:p>
          <w:p w14:paraId="1AA1AE38" w14:textId="77777777" w:rsidR="00BC24A8" w:rsidRDefault="00000000">
            <w:pPr>
              <w:pStyle w:val="TableParagraph"/>
              <w:numPr>
                <w:ilvl w:val="0"/>
                <w:numId w:val="17"/>
              </w:numPr>
              <w:tabs>
                <w:tab w:val="left" w:pos="493"/>
              </w:tabs>
              <w:ind w:right="455"/>
              <w:rPr>
                <w:sz w:val="18"/>
              </w:rPr>
            </w:pPr>
            <w:r>
              <w:rPr>
                <w:sz w:val="18"/>
              </w:rPr>
              <w:t>PPRG:</w:t>
            </w:r>
            <w:r>
              <w:rPr>
                <w:spacing w:val="-4"/>
                <w:sz w:val="18"/>
              </w:rPr>
              <w:t xml:space="preserve"> </w:t>
            </w:r>
            <w:r>
              <w:rPr>
                <w:sz w:val="18"/>
              </w:rPr>
              <w:t>Gender</w:t>
            </w:r>
            <w:r>
              <w:rPr>
                <w:spacing w:val="-4"/>
                <w:sz w:val="18"/>
              </w:rPr>
              <w:t xml:space="preserve"> </w:t>
            </w:r>
            <w:r>
              <w:rPr>
                <w:sz w:val="18"/>
              </w:rPr>
              <w:t>Analysis</w:t>
            </w:r>
            <w:r>
              <w:rPr>
                <w:spacing w:val="-4"/>
                <w:sz w:val="18"/>
              </w:rPr>
              <w:t xml:space="preserve"> </w:t>
            </w:r>
            <w:r>
              <w:rPr>
                <w:sz w:val="18"/>
              </w:rPr>
              <w:t>Pathway</w:t>
            </w:r>
            <w:r>
              <w:rPr>
                <w:spacing w:val="-4"/>
                <w:sz w:val="18"/>
              </w:rPr>
              <w:t xml:space="preserve"> </w:t>
            </w:r>
            <w:r>
              <w:rPr>
                <w:sz w:val="18"/>
              </w:rPr>
              <w:t>(GAP)</w:t>
            </w:r>
            <w:r>
              <w:rPr>
                <w:spacing w:val="-5"/>
                <w:sz w:val="18"/>
              </w:rPr>
              <w:t xml:space="preserve"> </w:t>
            </w:r>
            <w:r>
              <w:rPr>
                <w:sz w:val="18"/>
              </w:rPr>
              <w:t>/</w:t>
            </w:r>
            <w:r>
              <w:rPr>
                <w:spacing w:val="-5"/>
                <w:sz w:val="18"/>
              </w:rPr>
              <w:t xml:space="preserve"> </w:t>
            </w:r>
            <w:r>
              <w:rPr>
                <w:sz w:val="18"/>
              </w:rPr>
              <w:t>Gender</w:t>
            </w:r>
            <w:r>
              <w:rPr>
                <w:spacing w:val="-4"/>
                <w:sz w:val="18"/>
              </w:rPr>
              <w:t xml:space="preserve"> </w:t>
            </w:r>
            <w:r>
              <w:rPr>
                <w:sz w:val="18"/>
              </w:rPr>
              <w:t>Budget</w:t>
            </w:r>
            <w:r>
              <w:rPr>
                <w:spacing w:val="-3"/>
                <w:sz w:val="18"/>
              </w:rPr>
              <w:t xml:space="preserve"> </w:t>
            </w:r>
            <w:r>
              <w:rPr>
                <w:sz w:val="18"/>
              </w:rPr>
              <w:t>Statement</w:t>
            </w:r>
            <w:r>
              <w:rPr>
                <w:spacing w:val="-3"/>
                <w:sz w:val="18"/>
              </w:rPr>
              <w:t xml:space="preserve"> </w:t>
            </w:r>
            <w:r>
              <w:rPr>
                <w:sz w:val="18"/>
              </w:rPr>
              <w:t>(GBS)</w:t>
            </w:r>
            <w:r>
              <w:rPr>
                <w:spacing w:val="-5"/>
                <w:sz w:val="18"/>
              </w:rPr>
              <w:t xml:space="preserve"> </w:t>
            </w:r>
            <w:r>
              <w:rPr>
                <w:sz w:val="18"/>
              </w:rPr>
              <w:t>in OPD planning, strengthening the</w:t>
            </w:r>
            <w:r>
              <w:rPr>
                <w:spacing w:val="-2"/>
                <w:sz w:val="18"/>
              </w:rPr>
              <w:t xml:space="preserve"> </w:t>
            </w:r>
            <w:r>
              <w:rPr>
                <w:sz w:val="18"/>
              </w:rPr>
              <w:t>role of the Gender Mainstreaming Team.</w:t>
            </w:r>
          </w:p>
          <w:p w14:paraId="47A55F34" w14:textId="77777777" w:rsidR="00BC24A8" w:rsidRDefault="00000000">
            <w:pPr>
              <w:pStyle w:val="TableParagraph"/>
              <w:numPr>
                <w:ilvl w:val="0"/>
                <w:numId w:val="17"/>
              </w:numPr>
              <w:tabs>
                <w:tab w:val="left" w:pos="493"/>
              </w:tabs>
              <w:spacing w:before="1"/>
              <w:ind w:right="385"/>
              <w:rPr>
                <w:sz w:val="18"/>
              </w:rPr>
            </w:pPr>
            <w:r>
              <w:rPr>
                <w:sz w:val="18"/>
              </w:rPr>
              <w:t>Palm</w:t>
            </w:r>
            <w:r>
              <w:rPr>
                <w:spacing w:val="-5"/>
                <w:sz w:val="18"/>
              </w:rPr>
              <w:t xml:space="preserve"> </w:t>
            </w:r>
            <w:r>
              <w:rPr>
                <w:sz w:val="18"/>
              </w:rPr>
              <w:t>Oil</w:t>
            </w:r>
            <w:r>
              <w:rPr>
                <w:spacing w:val="-3"/>
                <w:sz w:val="18"/>
              </w:rPr>
              <w:t xml:space="preserve"> </w:t>
            </w:r>
            <w:r>
              <w:rPr>
                <w:sz w:val="18"/>
              </w:rPr>
              <w:t>Revenue</w:t>
            </w:r>
            <w:r>
              <w:rPr>
                <w:spacing w:val="-4"/>
                <w:sz w:val="18"/>
              </w:rPr>
              <w:t xml:space="preserve"> </w:t>
            </w:r>
            <w:r>
              <w:rPr>
                <w:sz w:val="18"/>
              </w:rPr>
              <w:t>Sharing</w:t>
            </w:r>
            <w:r>
              <w:rPr>
                <w:spacing w:val="-5"/>
                <w:sz w:val="18"/>
              </w:rPr>
              <w:t xml:space="preserve"> </w:t>
            </w:r>
            <w:r>
              <w:rPr>
                <w:sz w:val="18"/>
              </w:rPr>
              <w:t>Fund</w:t>
            </w:r>
            <w:r>
              <w:rPr>
                <w:spacing w:val="-4"/>
                <w:sz w:val="18"/>
              </w:rPr>
              <w:t xml:space="preserve"> </w:t>
            </w:r>
            <w:r>
              <w:rPr>
                <w:sz w:val="18"/>
              </w:rPr>
              <w:t>(DBH</w:t>
            </w:r>
            <w:r>
              <w:rPr>
                <w:spacing w:val="-5"/>
                <w:sz w:val="18"/>
              </w:rPr>
              <w:t xml:space="preserve"> </w:t>
            </w:r>
            <w:r>
              <w:rPr>
                <w:sz w:val="18"/>
              </w:rPr>
              <w:t>Sawit):</w:t>
            </w:r>
            <w:r>
              <w:rPr>
                <w:spacing w:val="-4"/>
                <w:sz w:val="18"/>
              </w:rPr>
              <w:t xml:space="preserve"> </w:t>
            </w:r>
            <w:r>
              <w:rPr>
                <w:sz w:val="18"/>
              </w:rPr>
              <w:t>Development</w:t>
            </w:r>
            <w:r>
              <w:rPr>
                <w:spacing w:val="-3"/>
                <w:sz w:val="18"/>
              </w:rPr>
              <w:t xml:space="preserve"> </w:t>
            </w:r>
            <w:r>
              <w:rPr>
                <w:sz w:val="18"/>
              </w:rPr>
              <w:t>of</w:t>
            </w:r>
            <w:r>
              <w:rPr>
                <w:spacing w:val="-5"/>
                <w:sz w:val="18"/>
              </w:rPr>
              <w:t xml:space="preserve"> </w:t>
            </w:r>
            <w:r>
              <w:rPr>
                <w:sz w:val="18"/>
              </w:rPr>
              <w:t>an</w:t>
            </w:r>
            <w:r>
              <w:rPr>
                <w:spacing w:val="-4"/>
                <w:sz w:val="18"/>
              </w:rPr>
              <w:t xml:space="preserve"> </w:t>
            </w:r>
            <w:r>
              <w:rPr>
                <w:sz w:val="18"/>
              </w:rPr>
              <w:t>Action</w:t>
            </w:r>
            <w:r>
              <w:rPr>
                <w:spacing w:val="-4"/>
                <w:sz w:val="18"/>
              </w:rPr>
              <w:t xml:space="preserve"> </w:t>
            </w:r>
            <w:r>
              <w:rPr>
                <w:sz w:val="18"/>
              </w:rPr>
              <w:t xml:space="preserve">Plan </w:t>
            </w:r>
            <w:r>
              <w:rPr>
                <w:spacing w:val="-2"/>
                <w:sz w:val="18"/>
              </w:rPr>
              <w:t>document.</w:t>
            </w:r>
          </w:p>
          <w:p w14:paraId="2E4224F5" w14:textId="77777777" w:rsidR="00BC24A8" w:rsidRDefault="00000000">
            <w:pPr>
              <w:pStyle w:val="TableParagraph"/>
              <w:numPr>
                <w:ilvl w:val="0"/>
                <w:numId w:val="17"/>
              </w:numPr>
              <w:tabs>
                <w:tab w:val="left" w:pos="493"/>
              </w:tabs>
              <w:spacing w:line="219" w:lineRule="exact"/>
              <w:rPr>
                <w:sz w:val="18"/>
              </w:rPr>
            </w:pPr>
            <w:r>
              <w:rPr>
                <w:sz w:val="18"/>
              </w:rPr>
              <w:t>DAK</w:t>
            </w:r>
            <w:r>
              <w:rPr>
                <w:spacing w:val="-1"/>
                <w:sz w:val="18"/>
              </w:rPr>
              <w:t xml:space="preserve"> </w:t>
            </w:r>
            <w:r>
              <w:rPr>
                <w:sz w:val="18"/>
              </w:rPr>
              <w:t>and</w:t>
            </w:r>
            <w:r>
              <w:rPr>
                <w:spacing w:val="-1"/>
                <w:sz w:val="18"/>
              </w:rPr>
              <w:t xml:space="preserve"> </w:t>
            </w:r>
            <w:r>
              <w:rPr>
                <w:sz w:val="18"/>
              </w:rPr>
              <w:t>DAU:</w:t>
            </w:r>
            <w:r>
              <w:rPr>
                <w:spacing w:val="-1"/>
                <w:sz w:val="18"/>
              </w:rPr>
              <w:t xml:space="preserve"> </w:t>
            </w:r>
            <w:r>
              <w:rPr>
                <w:sz w:val="18"/>
              </w:rPr>
              <w:t>Capacity</w:t>
            </w:r>
            <w:r>
              <w:rPr>
                <w:spacing w:val="-1"/>
                <w:sz w:val="18"/>
              </w:rPr>
              <w:t xml:space="preserve"> </w:t>
            </w:r>
            <w:r>
              <w:rPr>
                <w:spacing w:val="-2"/>
                <w:sz w:val="18"/>
              </w:rPr>
              <w:t>development.</w:t>
            </w:r>
          </w:p>
        </w:tc>
      </w:tr>
      <w:tr w:rsidR="00BC24A8" w14:paraId="4B1A65BD" w14:textId="77777777">
        <w:trPr>
          <w:trHeight w:val="1113"/>
        </w:trPr>
        <w:tc>
          <w:tcPr>
            <w:tcW w:w="2749" w:type="dxa"/>
            <w:tcBorders>
              <w:top w:val="single" w:sz="4" w:space="0" w:color="BEBEBE"/>
              <w:bottom w:val="single" w:sz="4" w:space="0" w:color="BEBEBE"/>
            </w:tcBorders>
          </w:tcPr>
          <w:p w14:paraId="5A727FBE" w14:textId="77777777" w:rsidR="00BC24A8" w:rsidRDefault="00000000">
            <w:pPr>
              <w:pStyle w:val="TableParagraph"/>
              <w:spacing w:before="116"/>
              <w:ind w:left="122" w:right="97"/>
              <w:rPr>
                <w:sz w:val="18"/>
              </w:rPr>
            </w:pPr>
            <w:r>
              <w:rPr>
                <w:sz w:val="18"/>
              </w:rPr>
              <w:t>Promote more effective management</w:t>
            </w:r>
            <w:r>
              <w:rPr>
                <w:spacing w:val="-11"/>
                <w:sz w:val="18"/>
              </w:rPr>
              <w:t xml:space="preserve"> </w:t>
            </w:r>
            <w:r>
              <w:rPr>
                <w:sz w:val="18"/>
              </w:rPr>
              <w:t>of</w:t>
            </w:r>
            <w:r>
              <w:rPr>
                <w:spacing w:val="-10"/>
                <w:sz w:val="18"/>
              </w:rPr>
              <w:t xml:space="preserve"> </w:t>
            </w:r>
            <w:r>
              <w:rPr>
                <w:sz w:val="18"/>
              </w:rPr>
              <w:t>Special</w:t>
            </w:r>
            <w:r>
              <w:rPr>
                <w:spacing w:val="-10"/>
                <w:sz w:val="18"/>
              </w:rPr>
              <w:t xml:space="preserve"> </w:t>
            </w:r>
            <w:r>
              <w:rPr>
                <w:sz w:val="18"/>
              </w:rPr>
              <w:t>Autonomy (Otsus)</w:t>
            </w:r>
            <w:r>
              <w:rPr>
                <w:spacing w:val="-2"/>
                <w:sz w:val="18"/>
              </w:rPr>
              <w:t xml:space="preserve"> </w:t>
            </w:r>
            <w:r>
              <w:rPr>
                <w:sz w:val="18"/>
              </w:rPr>
              <w:t>funds</w:t>
            </w:r>
          </w:p>
        </w:tc>
        <w:tc>
          <w:tcPr>
            <w:tcW w:w="6356" w:type="dxa"/>
            <w:tcBorders>
              <w:top w:val="single" w:sz="4" w:space="0" w:color="BEBEBE"/>
              <w:bottom w:val="single" w:sz="4" w:space="0" w:color="BEBEBE"/>
            </w:tcBorders>
          </w:tcPr>
          <w:p w14:paraId="759B82BF" w14:textId="77777777" w:rsidR="00BC24A8" w:rsidRDefault="00000000">
            <w:pPr>
              <w:pStyle w:val="TableParagraph"/>
              <w:numPr>
                <w:ilvl w:val="0"/>
                <w:numId w:val="16"/>
              </w:numPr>
              <w:tabs>
                <w:tab w:val="left" w:pos="493"/>
              </w:tabs>
              <w:spacing w:before="116"/>
              <w:ind w:right="500"/>
              <w:rPr>
                <w:sz w:val="18"/>
              </w:rPr>
            </w:pPr>
            <w:r>
              <w:rPr>
                <w:sz w:val="18"/>
              </w:rPr>
              <w:t>Special</w:t>
            </w:r>
            <w:r>
              <w:rPr>
                <w:spacing w:val="-5"/>
                <w:sz w:val="18"/>
              </w:rPr>
              <w:t xml:space="preserve"> </w:t>
            </w:r>
            <w:r>
              <w:rPr>
                <w:sz w:val="18"/>
              </w:rPr>
              <w:t>Autonomy</w:t>
            </w:r>
            <w:r>
              <w:rPr>
                <w:spacing w:val="-6"/>
                <w:sz w:val="18"/>
              </w:rPr>
              <w:t xml:space="preserve"> </w:t>
            </w:r>
            <w:r>
              <w:rPr>
                <w:sz w:val="18"/>
              </w:rPr>
              <w:t>(Otsus):</w:t>
            </w:r>
            <w:r>
              <w:rPr>
                <w:spacing w:val="-6"/>
                <w:sz w:val="18"/>
              </w:rPr>
              <w:t xml:space="preserve"> </w:t>
            </w:r>
            <w:r>
              <w:rPr>
                <w:sz w:val="18"/>
              </w:rPr>
              <w:t>Establishment</w:t>
            </w:r>
            <w:r>
              <w:rPr>
                <w:spacing w:val="-5"/>
                <w:sz w:val="18"/>
              </w:rPr>
              <w:t xml:space="preserve"> </w:t>
            </w:r>
            <w:r>
              <w:rPr>
                <w:sz w:val="18"/>
              </w:rPr>
              <w:t>of</w:t>
            </w:r>
            <w:r>
              <w:rPr>
                <w:spacing w:val="-6"/>
                <w:sz w:val="18"/>
              </w:rPr>
              <w:t xml:space="preserve"> </w:t>
            </w:r>
            <w:r>
              <w:rPr>
                <w:sz w:val="18"/>
              </w:rPr>
              <w:t>coordination</w:t>
            </w:r>
            <w:r>
              <w:rPr>
                <w:spacing w:val="-6"/>
                <w:sz w:val="18"/>
              </w:rPr>
              <w:t xml:space="preserve"> </w:t>
            </w:r>
            <w:r>
              <w:rPr>
                <w:sz w:val="18"/>
              </w:rPr>
              <w:t>forums,</w:t>
            </w:r>
            <w:r>
              <w:rPr>
                <w:spacing w:val="-6"/>
                <w:sz w:val="18"/>
              </w:rPr>
              <w:t xml:space="preserve"> </w:t>
            </w:r>
            <w:r>
              <w:rPr>
                <w:sz w:val="18"/>
              </w:rPr>
              <w:t>capacity building for provincial evaluators, and more inclusive RAP substance.</w:t>
            </w:r>
          </w:p>
          <w:p w14:paraId="69F3DAB6" w14:textId="77777777" w:rsidR="00BC24A8" w:rsidRDefault="00000000">
            <w:pPr>
              <w:pStyle w:val="TableParagraph"/>
              <w:numPr>
                <w:ilvl w:val="0"/>
                <w:numId w:val="16"/>
              </w:numPr>
              <w:tabs>
                <w:tab w:val="left" w:pos="493"/>
              </w:tabs>
              <w:spacing w:before="3"/>
              <w:ind w:right="279"/>
              <w:rPr>
                <w:sz w:val="18"/>
              </w:rPr>
            </w:pPr>
            <w:r>
              <w:rPr>
                <w:sz w:val="18"/>
              </w:rPr>
              <w:t>Oil</w:t>
            </w:r>
            <w:r>
              <w:rPr>
                <w:spacing w:val="-3"/>
                <w:sz w:val="18"/>
              </w:rPr>
              <w:t xml:space="preserve"> </w:t>
            </w:r>
            <w:r>
              <w:rPr>
                <w:sz w:val="18"/>
              </w:rPr>
              <w:t>&amp;</w:t>
            </w:r>
            <w:r>
              <w:rPr>
                <w:spacing w:val="-5"/>
                <w:sz w:val="18"/>
              </w:rPr>
              <w:t xml:space="preserve"> </w:t>
            </w:r>
            <w:r>
              <w:rPr>
                <w:sz w:val="18"/>
              </w:rPr>
              <w:t>Gas</w:t>
            </w:r>
            <w:r>
              <w:rPr>
                <w:spacing w:val="-4"/>
                <w:sz w:val="18"/>
              </w:rPr>
              <w:t xml:space="preserve"> </w:t>
            </w:r>
            <w:r>
              <w:rPr>
                <w:sz w:val="18"/>
              </w:rPr>
              <w:t>Revenue</w:t>
            </w:r>
            <w:r>
              <w:rPr>
                <w:spacing w:val="-4"/>
                <w:sz w:val="18"/>
              </w:rPr>
              <w:t xml:space="preserve"> </w:t>
            </w:r>
            <w:r>
              <w:rPr>
                <w:sz w:val="18"/>
              </w:rPr>
              <w:t>Sharing</w:t>
            </w:r>
            <w:r>
              <w:rPr>
                <w:spacing w:val="-5"/>
                <w:sz w:val="18"/>
              </w:rPr>
              <w:t xml:space="preserve"> </w:t>
            </w:r>
            <w:r>
              <w:rPr>
                <w:sz w:val="18"/>
              </w:rPr>
              <w:t>Fund</w:t>
            </w:r>
            <w:r>
              <w:rPr>
                <w:spacing w:val="-4"/>
                <w:sz w:val="18"/>
              </w:rPr>
              <w:t xml:space="preserve"> </w:t>
            </w:r>
            <w:r>
              <w:rPr>
                <w:sz w:val="18"/>
              </w:rPr>
              <w:t>(DBH</w:t>
            </w:r>
            <w:r>
              <w:rPr>
                <w:spacing w:val="-5"/>
                <w:sz w:val="18"/>
              </w:rPr>
              <w:t xml:space="preserve"> </w:t>
            </w:r>
            <w:r>
              <w:rPr>
                <w:sz w:val="18"/>
              </w:rPr>
              <w:t>Migas):</w:t>
            </w:r>
            <w:r>
              <w:rPr>
                <w:spacing w:val="-4"/>
                <w:sz w:val="18"/>
              </w:rPr>
              <w:t xml:space="preserve"> </w:t>
            </w:r>
            <w:r>
              <w:rPr>
                <w:sz w:val="18"/>
              </w:rPr>
              <w:t>Strengthening</w:t>
            </w:r>
            <w:r>
              <w:rPr>
                <w:spacing w:val="-5"/>
                <w:sz w:val="18"/>
              </w:rPr>
              <w:t xml:space="preserve"> </w:t>
            </w:r>
            <w:r>
              <w:rPr>
                <w:sz w:val="18"/>
              </w:rPr>
              <w:t>capacity</w:t>
            </w:r>
            <w:r>
              <w:rPr>
                <w:spacing w:val="-4"/>
                <w:sz w:val="18"/>
              </w:rPr>
              <w:t xml:space="preserve"> </w:t>
            </w:r>
            <w:r>
              <w:rPr>
                <w:sz w:val="18"/>
              </w:rPr>
              <w:t>for</w:t>
            </w:r>
            <w:r>
              <w:rPr>
                <w:spacing w:val="-4"/>
                <w:sz w:val="18"/>
              </w:rPr>
              <w:t xml:space="preserve"> </w:t>
            </w:r>
            <w:r>
              <w:rPr>
                <w:sz w:val="18"/>
              </w:rPr>
              <w:t xml:space="preserve">RAP </w:t>
            </w:r>
            <w:r>
              <w:rPr>
                <w:spacing w:val="-2"/>
                <w:sz w:val="18"/>
              </w:rPr>
              <w:t>preparation.</w:t>
            </w:r>
          </w:p>
        </w:tc>
      </w:tr>
    </w:tbl>
    <w:p w14:paraId="4EBDD388" w14:textId="77777777" w:rsidR="00BC24A8" w:rsidRDefault="00BC24A8">
      <w:pPr>
        <w:pStyle w:val="BodyText"/>
        <w:spacing w:before="221"/>
        <w:rPr>
          <w:rFonts w:ascii="Calibri"/>
          <w:b/>
        </w:rPr>
      </w:pPr>
    </w:p>
    <w:p w14:paraId="6368FA5F" w14:textId="77777777" w:rsidR="00BC24A8" w:rsidRDefault="00000000">
      <w:pPr>
        <w:pStyle w:val="ListParagraph"/>
        <w:numPr>
          <w:ilvl w:val="1"/>
          <w:numId w:val="21"/>
        </w:numPr>
        <w:tabs>
          <w:tab w:val="left" w:pos="683"/>
        </w:tabs>
        <w:ind w:hanging="631"/>
        <w:rPr>
          <w:rFonts w:ascii="Calibri"/>
          <w:b/>
        </w:rPr>
      </w:pPr>
      <w:r w:rsidRPr="00795364">
        <w:rPr>
          <w:rFonts w:ascii="Calibri"/>
          <w:b/>
          <w:color w:val="008279"/>
        </w:rPr>
        <w:t>Summary</w:t>
      </w:r>
      <w:r w:rsidRPr="00795364">
        <w:rPr>
          <w:rFonts w:ascii="Calibri"/>
          <w:b/>
          <w:color w:val="008279"/>
          <w:spacing w:val="-6"/>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key</w:t>
      </w:r>
      <w:r w:rsidRPr="00795364">
        <w:rPr>
          <w:rFonts w:ascii="Calibri"/>
          <w:b/>
          <w:color w:val="008279"/>
          <w:spacing w:val="-5"/>
        </w:rPr>
        <w:t xml:space="preserve"> </w:t>
      </w:r>
      <w:r w:rsidRPr="00795364">
        <w:rPr>
          <w:rFonts w:ascii="Calibri"/>
          <w:b/>
          <w:color w:val="008279"/>
          <w:spacing w:val="-2"/>
        </w:rPr>
        <w:t>support/inputs</w:t>
      </w:r>
    </w:p>
    <w:p w14:paraId="4D59F2EA" w14:textId="77777777" w:rsidR="00BC24A8" w:rsidRDefault="00BC24A8">
      <w:pPr>
        <w:pStyle w:val="BodyText"/>
        <w:spacing w:before="6"/>
        <w:rPr>
          <w:rFonts w:ascii="Calibri"/>
          <w:b/>
          <w:sz w:val="19"/>
        </w:rPr>
      </w:pPr>
    </w:p>
    <w:tbl>
      <w:tblPr>
        <w:tblW w:w="0" w:type="auto"/>
        <w:tblInd w:w="136" w:type="dxa"/>
        <w:tblLayout w:type="fixed"/>
        <w:tblCellMar>
          <w:left w:w="0" w:type="dxa"/>
          <w:right w:w="0" w:type="dxa"/>
        </w:tblCellMar>
        <w:tblLook w:val="01E0" w:firstRow="1" w:lastRow="1" w:firstColumn="1" w:lastColumn="1" w:noHBand="0" w:noVBand="0"/>
      </w:tblPr>
      <w:tblGrid>
        <w:gridCol w:w="1627"/>
        <w:gridCol w:w="2791"/>
        <w:gridCol w:w="2069"/>
        <w:gridCol w:w="2611"/>
      </w:tblGrid>
      <w:tr w:rsidR="00BC24A8" w14:paraId="27B90223" w14:textId="77777777">
        <w:trPr>
          <w:trHeight w:val="376"/>
        </w:trPr>
        <w:tc>
          <w:tcPr>
            <w:tcW w:w="1627" w:type="dxa"/>
            <w:shd w:val="clear" w:color="auto" w:fill="17365A"/>
          </w:tcPr>
          <w:p w14:paraId="0EC8E423" w14:textId="77777777" w:rsidR="00BC24A8" w:rsidRDefault="00000000">
            <w:pPr>
              <w:pStyle w:val="TableParagraph"/>
              <w:spacing w:before="56"/>
              <w:ind w:left="115"/>
              <w:rPr>
                <w:rFonts w:ascii="Calibri"/>
                <w:b/>
                <w:sz w:val="20"/>
              </w:rPr>
            </w:pPr>
            <w:r>
              <w:rPr>
                <w:rFonts w:ascii="Calibri"/>
                <w:b/>
                <w:color w:val="FFFFFF"/>
                <w:spacing w:val="-2"/>
                <w:sz w:val="20"/>
              </w:rPr>
              <w:t>Theme</w:t>
            </w:r>
          </w:p>
        </w:tc>
        <w:tc>
          <w:tcPr>
            <w:tcW w:w="2791" w:type="dxa"/>
            <w:shd w:val="clear" w:color="auto" w:fill="17365A"/>
          </w:tcPr>
          <w:p w14:paraId="4BE4C01F" w14:textId="77777777" w:rsidR="00BC24A8" w:rsidRDefault="00000000">
            <w:pPr>
              <w:pStyle w:val="TableParagraph"/>
              <w:spacing w:before="56"/>
              <w:ind w:left="1" w:right="1"/>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2"/>
                <w:sz w:val="20"/>
              </w:rPr>
              <w:t>workshops</w:t>
            </w:r>
          </w:p>
        </w:tc>
        <w:tc>
          <w:tcPr>
            <w:tcW w:w="2069" w:type="dxa"/>
            <w:shd w:val="clear" w:color="auto" w:fill="17365A"/>
          </w:tcPr>
          <w:p w14:paraId="21AB41F3" w14:textId="77777777" w:rsidR="00BC24A8" w:rsidRDefault="00000000">
            <w:pPr>
              <w:pStyle w:val="TableParagraph"/>
              <w:spacing w:before="56"/>
              <w:ind w:right="1"/>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5"/>
                <w:sz w:val="20"/>
              </w:rPr>
              <w:t>TAS</w:t>
            </w:r>
          </w:p>
        </w:tc>
        <w:tc>
          <w:tcPr>
            <w:tcW w:w="2611" w:type="dxa"/>
            <w:shd w:val="clear" w:color="auto" w:fill="17365A"/>
          </w:tcPr>
          <w:p w14:paraId="420DD534" w14:textId="77777777" w:rsidR="00BC24A8" w:rsidRDefault="00000000">
            <w:pPr>
              <w:pStyle w:val="TableParagraph"/>
              <w:spacing w:before="56"/>
              <w:ind w:left="1" w:right="2"/>
              <w:jc w:val="center"/>
              <w:rPr>
                <w:rFonts w:ascii="Calibri"/>
                <w:b/>
                <w:sz w:val="20"/>
              </w:rPr>
            </w:pPr>
            <w:r>
              <w:rPr>
                <w:rFonts w:ascii="Calibri"/>
                <w:b/>
                <w:color w:val="FFFFFF"/>
                <w:sz w:val="20"/>
              </w:rPr>
              <w:t>Capacity</w:t>
            </w:r>
            <w:r>
              <w:rPr>
                <w:rFonts w:ascii="Calibri"/>
                <w:b/>
                <w:color w:val="FFFFFF"/>
                <w:spacing w:val="-9"/>
                <w:sz w:val="20"/>
              </w:rPr>
              <w:t xml:space="preserve"> </w:t>
            </w:r>
            <w:r>
              <w:rPr>
                <w:rFonts w:ascii="Calibri"/>
                <w:b/>
                <w:color w:val="FFFFFF"/>
                <w:spacing w:val="-2"/>
                <w:sz w:val="20"/>
              </w:rPr>
              <w:t>building</w:t>
            </w:r>
          </w:p>
        </w:tc>
      </w:tr>
      <w:tr w:rsidR="00BC24A8" w14:paraId="3F0F7582" w14:textId="77777777">
        <w:trPr>
          <w:trHeight w:val="378"/>
        </w:trPr>
        <w:tc>
          <w:tcPr>
            <w:tcW w:w="1627" w:type="dxa"/>
            <w:tcBorders>
              <w:bottom w:val="single" w:sz="4" w:space="0" w:color="BEBEBE"/>
            </w:tcBorders>
          </w:tcPr>
          <w:p w14:paraId="7F93AECF" w14:textId="77777777" w:rsidR="00BC24A8" w:rsidRDefault="00000000">
            <w:pPr>
              <w:pStyle w:val="TableParagraph"/>
              <w:spacing w:before="102"/>
              <w:ind w:left="115"/>
              <w:rPr>
                <w:sz w:val="18"/>
              </w:rPr>
            </w:pPr>
            <w:r>
              <w:rPr>
                <w:spacing w:val="-5"/>
                <w:sz w:val="18"/>
              </w:rPr>
              <w:t>DNA</w:t>
            </w:r>
          </w:p>
        </w:tc>
        <w:tc>
          <w:tcPr>
            <w:tcW w:w="2791" w:type="dxa"/>
            <w:tcBorders>
              <w:bottom w:val="single" w:sz="4" w:space="0" w:color="BEBEBE"/>
            </w:tcBorders>
          </w:tcPr>
          <w:p w14:paraId="5FA640F2" w14:textId="77777777" w:rsidR="00BC24A8" w:rsidRDefault="00000000">
            <w:pPr>
              <w:pStyle w:val="TableParagraph"/>
              <w:spacing w:before="102"/>
              <w:ind w:right="1"/>
              <w:jc w:val="center"/>
              <w:rPr>
                <w:sz w:val="18"/>
              </w:rPr>
            </w:pPr>
            <w:r>
              <w:rPr>
                <w:spacing w:val="-10"/>
                <w:sz w:val="18"/>
              </w:rPr>
              <w:t>5</w:t>
            </w:r>
          </w:p>
        </w:tc>
        <w:tc>
          <w:tcPr>
            <w:tcW w:w="2069" w:type="dxa"/>
            <w:tcBorders>
              <w:bottom w:val="single" w:sz="4" w:space="0" w:color="BEBEBE"/>
            </w:tcBorders>
          </w:tcPr>
          <w:p w14:paraId="08166699" w14:textId="77777777" w:rsidR="00BC24A8" w:rsidRDefault="00000000">
            <w:pPr>
              <w:pStyle w:val="TableParagraph"/>
              <w:spacing w:before="102"/>
              <w:ind w:left="1" w:right="1"/>
              <w:jc w:val="center"/>
              <w:rPr>
                <w:sz w:val="18"/>
              </w:rPr>
            </w:pPr>
            <w:r>
              <w:rPr>
                <w:spacing w:val="-10"/>
                <w:sz w:val="18"/>
              </w:rPr>
              <w:t>1</w:t>
            </w:r>
          </w:p>
        </w:tc>
        <w:tc>
          <w:tcPr>
            <w:tcW w:w="2611" w:type="dxa"/>
            <w:tcBorders>
              <w:bottom w:val="single" w:sz="4" w:space="0" w:color="BEBEBE"/>
            </w:tcBorders>
          </w:tcPr>
          <w:p w14:paraId="5E6AB786" w14:textId="77777777" w:rsidR="00BC24A8" w:rsidRDefault="00000000">
            <w:pPr>
              <w:pStyle w:val="TableParagraph"/>
              <w:spacing w:before="102"/>
              <w:ind w:right="2"/>
              <w:jc w:val="center"/>
              <w:rPr>
                <w:sz w:val="18"/>
              </w:rPr>
            </w:pPr>
            <w:r>
              <w:rPr>
                <w:spacing w:val="-10"/>
                <w:sz w:val="18"/>
              </w:rPr>
              <w:t>3</w:t>
            </w:r>
          </w:p>
        </w:tc>
      </w:tr>
      <w:tr w:rsidR="00BC24A8" w14:paraId="4D6E222A" w14:textId="77777777">
        <w:trPr>
          <w:trHeight w:val="333"/>
        </w:trPr>
        <w:tc>
          <w:tcPr>
            <w:tcW w:w="1627" w:type="dxa"/>
            <w:tcBorders>
              <w:top w:val="single" w:sz="4" w:space="0" w:color="BEBEBE"/>
              <w:bottom w:val="single" w:sz="4" w:space="0" w:color="BEBEBE"/>
            </w:tcBorders>
          </w:tcPr>
          <w:p w14:paraId="4F1BD04C" w14:textId="77777777" w:rsidR="00BC24A8" w:rsidRDefault="00000000">
            <w:pPr>
              <w:pStyle w:val="TableParagraph"/>
              <w:spacing w:before="56"/>
              <w:ind w:left="115"/>
              <w:rPr>
                <w:sz w:val="18"/>
              </w:rPr>
            </w:pPr>
            <w:r>
              <w:rPr>
                <w:spacing w:val="-5"/>
                <w:sz w:val="18"/>
              </w:rPr>
              <w:t>MSS</w:t>
            </w:r>
          </w:p>
        </w:tc>
        <w:tc>
          <w:tcPr>
            <w:tcW w:w="2791" w:type="dxa"/>
            <w:tcBorders>
              <w:top w:val="single" w:sz="4" w:space="0" w:color="BEBEBE"/>
              <w:bottom w:val="single" w:sz="4" w:space="0" w:color="BEBEBE"/>
            </w:tcBorders>
          </w:tcPr>
          <w:p w14:paraId="7912C5CD" w14:textId="77777777" w:rsidR="00BC24A8" w:rsidRDefault="00000000">
            <w:pPr>
              <w:pStyle w:val="TableParagraph"/>
              <w:spacing w:before="56"/>
              <w:ind w:right="1"/>
              <w:jc w:val="center"/>
              <w:rPr>
                <w:sz w:val="18"/>
              </w:rPr>
            </w:pPr>
            <w:r>
              <w:rPr>
                <w:spacing w:val="-10"/>
                <w:sz w:val="18"/>
              </w:rPr>
              <w:t>4</w:t>
            </w:r>
          </w:p>
        </w:tc>
        <w:tc>
          <w:tcPr>
            <w:tcW w:w="2069" w:type="dxa"/>
            <w:tcBorders>
              <w:top w:val="single" w:sz="4" w:space="0" w:color="BEBEBE"/>
              <w:bottom w:val="single" w:sz="4" w:space="0" w:color="BEBEBE"/>
            </w:tcBorders>
          </w:tcPr>
          <w:p w14:paraId="603B53A4" w14:textId="77777777" w:rsidR="00BC24A8" w:rsidRDefault="00000000">
            <w:pPr>
              <w:pStyle w:val="TableParagraph"/>
              <w:spacing w:before="56"/>
              <w:ind w:left="1" w:right="1"/>
              <w:jc w:val="center"/>
              <w:rPr>
                <w:sz w:val="18"/>
              </w:rPr>
            </w:pPr>
            <w:r>
              <w:rPr>
                <w:spacing w:val="-10"/>
                <w:sz w:val="18"/>
              </w:rPr>
              <w:t>2</w:t>
            </w:r>
          </w:p>
        </w:tc>
        <w:tc>
          <w:tcPr>
            <w:tcW w:w="2611" w:type="dxa"/>
            <w:tcBorders>
              <w:top w:val="single" w:sz="4" w:space="0" w:color="BEBEBE"/>
              <w:bottom w:val="single" w:sz="4" w:space="0" w:color="BEBEBE"/>
            </w:tcBorders>
          </w:tcPr>
          <w:p w14:paraId="5F049251" w14:textId="77777777" w:rsidR="00BC24A8" w:rsidRDefault="00000000">
            <w:pPr>
              <w:pStyle w:val="TableParagraph"/>
              <w:spacing w:before="56"/>
              <w:ind w:right="2"/>
              <w:jc w:val="center"/>
              <w:rPr>
                <w:sz w:val="18"/>
              </w:rPr>
            </w:pPr>
            <w:r>
              <w:rPr>
                <w:spacing w:val="-10"/>
                <w:sz w:val="18"/>
              </w:rPr>
              <w:t>3</w:t>
            </w:r>
          </w:p>
        </w:tc>
      </w:tr>
      <w:tr w:rsidR="00BC24A8" w14:paraId="152E725F" w14:textId="77777777">
        <w:trPr>
          <w:trHeight w:val="333"/>
        </w:trPr>
        <w:tc>
          <w:tcPr>
            <w:tcW w:w="1627" w:type="dxa"/>
            <w:tcBorders>
              <w:top w:val="single" w:sz="4" w:space="0" w:color="BEBEBE"/>
              <w:bottom w:val="single" w:sz="4" w:space="0" w:color="BEBEBE"/>
            </w:tcBorders>
          </w:tcPr>
          <w:p w14:paraId="15217EF3" w14:textId="77777777" w:rsidR="00BC24A8" w:rsidRDefault="00000000">
            <w:pPr>
              <w:pStyle w:val="TableParagraph"/>
              <w:spacing w:before="56"/>
              <w:ind w:left="115"/>
              <w:rPr>
                <w:sz w:val="18"/>
              </w:rPr>
            </w:pPr>
            <w:r>
              <w:rPr>
                <w:spacing w:val="-5"/>
                <w:sz w:val="18"/>
              </w:rPr>
              <w:t>PFM</w:t>
            </w:r>
          </w:p>
        </w:tc>
        <w:tc>
          <w:tcPr>
            <w:tcW w:w="2791" w:type="dxa"/>
            <w:tcBorders>
              <w:top w:val="single" w:sz="4" w:space="0" w:color="BEBEBE"/>
              <w:bottom w:val="single" w:sz="4" w:space="0" w:color="BEBEBE"/>
            </w:tcBorders>
          </w:tcPr>
          <w:p w14:paraId="410FF403" w14:textId="77777777" w:rsidR="00BC24A8" w:rsidRDefault="00000000">
            <w:pPr>
              <w:pStyle w:val="TableParagraph"/>
              <w:spacing w:before="56"/>
              <w:ind w:right="1"/>
              <w:jc w:val="center"/>
              <w:rPr>
                <w:sz w:val="18"/>
              </w:rPr>
            </w:pPr>
            <w:r>
              <w:rPr>
                <w:spacing w:val="-10"/>
                <w:sz w:val="18"/>
              </w:rPr>
              <w:t>3</w:t>
            </w:r>
          </w:p>
        </w:tc>
        <w:tc>
          <w:tcPr>
            <w:tcW w:w="2069" w:type="dxa"/>
            <w:tcBorders>
              <w:top w:val="single" w:sz="4" w:space="0" w:color="BEBEBE"/>
              <w:bottom w:val="single" w:sz="4" w:space="0" w:color="BEBEBE"/>
            </w:tcBorders>
          </w:tcPr>
          <w:p w14:paraId="1C10F8B9" w14:textId="77777777" w:rsidR="00BC24A8" w:rsidRDefault="00000000">
            <w:pPr>
              <w:pStyle w:val="TableParagraph"/>
              <w:spacing w:before="56"/>
              <w:ind w:left="1" w:right="1"/>
              <w:jc w:val="center"/>
              <w:rPr>
                <w:sz w:val="18"/>
              </w:rPr>
            </w:pPr>
            <w:r>
              <w:rPr>
                <w:spacing w:val="-10"/>
                <w:sz w:val="18"/>
              </w:rPr>
              <w:t>1</w:t>
            </w:r>
          </w:p>
        </w:tc>
        <w:tc>
          <w:tcPr>
            <w:tcW w:w="2611" w:type="dxa"/>
            <w:tcBorders>
              <w:top w:val="single" w:sz="4" w:space="0" w:color="BEBEBE"/>
              <w:bottom w:val="single" w:sz="4" w:space="0" w:color="BEBEBE"/>
            </w:tcBorders>
          </w:tcPr>
          <w:p w14:paraId="52229EAF" w14:textId="77777777" w:rsidR="00BC24A8" w:rsidRDefault="00000000">
            <w:pPr>
              <w:pStyle w:val="TableParagraph"/>
              <w:spacing w:before="56"/>
              <w:ind w:right="2"/>
              <w:jc w:val="center"/>
              <w:rPr>
                <w:sz w:val="18"/>
              </w:rPr>
            </w:pPr>
            <w:r>
              <w:rPr>
                <w:spacing w:val="-10"/>
                <w:sz w:val="18"/>
              </w:rPr>
              <w:t>2</w:t>
            </w:r>
          </w:p>
        </w:tc>
      </w:tr>
      <w:tr w:rsidR="00BC24A8" w14:paraId="751162AC" w14:textId="77777777">
        <w:trPr>
          <w:trHeight w:val="333"/>
        </w:trPr>
        <w:tc>
          <w:tcPr>
            <w:tcW w:w="1627" w:type="dxa"/>
            <w:tcBorders>
              <w:top w:val="single" w:sz="4" w:space="0" w:color="BEBEBE"/>
              <w:bottom w:val="single" w:sz="4" w:space="0" w:color="BEBEBE"/>
            </w:tcBorders>
          </w:tcPr>
          <w:p w14:paraId="31E67556" w14:textId="77777777" w:rsidR="00BC24A8" w:rsidRDefault="00000000">
            <w:pPr>
              <w:pStyle w:val="TableParagraph"/>
              <w:spacing w:before="59"/>
              <w:ind w:left="115"/>
              <w:rPr>
                <w:sz w:val="18"/>
              </w:rPr>
            </w:pPr>
            <w:r>
              <w:rPr>
                <w:spacing w:val="-2"/>
                <w:sz w:val="18"/>
              </w:rPr>
              <w:t>GEDSI</w:t>
            </w:r>
          </w:p>
        </w:tc>
        <w:tc>
          <w:tcPr>
            <w:tcW w:w="2791" w:type="dxa"/>
            <w:tcBorders>
              <w:top w:val="single" w:sz="4" w:space="0" w:color="BEBEBE"/>
              <w:bottom w:val="single" w:sz="4" w:space="0" w:color="BEBEBE"/>
            </w:tcBorders>
          </w:tcPr>
          <w:p w14:paraId="71304160" w14:textId="77777777" w:rsidR="00BC24A8" w:rsidRDefault="00000000">
            <w:pPr>
              <w:pStyle w:val="TableParagraph"/>
              <w:spacing w:before="59"/>
              <w:ind w:right="1"/>
              <w:jc w:val="center"/>
              <w:rPr>
                <w:sz w:val="18"/>
              </w:rPr>
            </w:pPr>
            <w:r>
              <w:rPr>
                <w:spacing w:val="-10"/>
                <w:sz w:val="18"/>
              </w:rPr>
              <w:t>5</w:t>
            </w:r>
          </w:p>
        </w:tc>
        <w:tc>
          <w:tcPr>
            <w:tcW w:w="2069" w:type="dxa"/>
            <w:tcBorders>
              <w:top w:val="single" w:sz="4" w:space="0" w:color="BEBEBE"/>
              <w:bottom w:val="single" w:sz="4" w:space="0" w:color="BEBEBE"/>
            </w:tcBorders>
          </w:tcPr>
          <w:p w14:paraId="6348F79C" w14:textId="77777777" w:rsidR="00BC24A8" w:rsidRDefault="00000000">
            <w:pPr>
              <w:pStyle w:val="TableParagraph"/>
              <w:spacing w:before="59"/>
              <w:ind w:left="1" w:right="1"/>
              <w:jc w:val="center"/>
              <w:rPr>
                <w:sz w:val="18"/>
              </w:rPr>
            </w:pPr>
            <w:r>
              <w:rPr>
                <w:spacing w:val="-10"/>
                <w:sz w:val="18"/>
              </w:rPr>
              <w:t>0</w:t>
            </w:r>
          </w:p>
        </w:tc>
        <w:tc>
          <w:tcPr>
            <w:tcW w:w="2611" w:type="dxa"/>
            <w:tcBorders>
              <w:top w:val="single" w:sz="4" w:space="0" w:color="BEBEBE"/>
              <w:bottom w:val="single" w:sz="4" w:space="0" w:color="BEBEBE"/>
            </w:tcBorders>
          </w:tcPr>
          <w:p w14:paraId="014FFFB5" w14:textId="77777777" w:rsidR="00BC24A8" w:rsidRDefault="00000000">
            <w:pPr>
              <w:pStyle w:val="TableParagraph"/>
              <w:spacing w:before="59"/>
              <w:ind w:right="2"/>
              <w:jc w:val="center"/>
              <w:rPr>
                <w:sz w:val="18"/>
              </w:rPr>
            </w:pPr>
            <w:r>
              <w:rPr>
                <w:spacing w:val="-10"/>
                <w:sz w:val="18"/>
              </w:rPr>
              <w:t>3</w:t>
            </w:r>
          </w:p>
        </w:tc>
      </w:tr>
    </w:tbl>
    <w:p w14:paraId="370348DD" w14:textId="77777777" w:rsidR="00BC24A8" w:rsidRDefault="00BC24A8">
      <w:pPr>
        <w:pStyle w:val="TableParagraph"/>
        <w:jc w:val="center"/>
        <w:rPr>
          <w:sz w:val="18"/>
        </w:rPr>
        <w:sectPr w:rsidR="00BC24A8">
          <w:type w:val="continuous"/>
          <w:pgSz w:w="11910" w:h="16840"/>
          <w:pgMar w:top="1440" w:right="850" w:bottom="1100" w:left="1275" w:header="0" w:footer="907" w:gutter="0"/>
          <w:cols w:space="720"/>
        </w:sectPr>
      </w:pPr>
    </w:p>
    <w:p w14:paraId="140F065A" w14:textId="77777777" w:rsidR="00BC24A8" w:rsidRDefault="00000000">
      <w:pPr>
        <w:pStyle w:val="Heading3"/>
      </w:pPr>
      <w:bookmarkStart w:id="233" w:name="Papua_Selatan_Province_Semester_Report"/>
      <w:bookmarkStart w:id="234" w:name="_bookmark164"/>
      <w:bookmarkEnd w:id="233"/>
      <w:bookmarkEnd w:id="234"/>
      <w:r>
        <w:rPr>
          <w:color w:val="137D87"/>
          <w:spacing w:val="-2"/>
        </w:rPr>
        <w:t>Papua</w:t>
      </w:r>
      <w:r>
        <w:rPr>
          <w:color w:val="137D87"/>
          <w:spacing w:val="-28"/>
        </w:rPr>
        <w:t xml:space="preserve"> </w:t>
      </w:r>
      <w:r>
        <w:rPr>
          <w:color w:val="137D87"/>
          <w:spacing w:val="-2"/>
        </w:rPr>
        <w:t>Selatan</w:t>
      </w:r>
      <w:r>
        <w:rPr>
          <w:color w:val="137D87"/>
          <w:spacing w:val="-27"/>
        </w:rPr>
        <w:t xml:space="preserve"> </w:t>
      </w:r>
      <w:r>
        <w:rPr>
          <w:color w:val="137D87"/>
          <w:spacing w:val="-2"/>
        </w:rPr>
        <w:t>Province</w:t>
      </w:r>
      <w:r>
        <w:rPr>
          <w:color w:val="137D87"/>
          <w:spacing w:val="-27"/>
        </w:rPr>
        <w:t xml:space="preserve"> </w:t>
      </w:r>
      <w:r>
        <w:rPr>
          <w:color w:val="137D87"/>
          <w:spacing w:val="-2"/>
        </w:rPr>
        <w:t>Semester</w:t>
      </w:r>
      <w:r>
        <w:rPr>
          <w:color w:val="137D87"/>
          <w:spacing w:val="-26"/>
        </w:rPr>
        <w:t xml:space="preserve"> </w:t>
      </w:r>
      <w:r>
        <w:rPr>
          <w:color w:val="137D87"/>
          <w:spacing w:val="-2"/>
        </w:rPr>
        <w:t>Report</w:t>
      </w:r>
    </w:p>
    <w:p w14:paraId="1F7369CA" w14:textId="77777777" w:rsidR="00BC24A8" w:rsidRDefault="00000000">
      <w:pPr>
        <w:pStyle w:val="BodyText"/>
        <w:spacing w:before="20"/>
        <w:ind w:left="143"/>
      </w:pPr>
      <w:r>
        <w:rPr>
          <w:spacing w:val="-2"/>
        </w:rPr>
        <w:t>(January-June</w:t>
      </w:r>
      <w:r>
        <w:rPr>
          <w:spacing w:val="9"/>
        </w:rPr>
        <w:t xml:space="preserve"> </w:t>
      </w:r>
      <w:r>
        <w:rPr>
          <w:spacing w:val="-4"/>
        </w:rPr>
        <w:t>2025)</w:t>
      </w:r>
    </w:p>
    <w:p w14:paraId="29AE1B9D" w14:textId="77777777" w:rsidR="00BC24A8" w:rsidRDefault="00BC24A8">
      <w:pPr>
        <w:pStyle w:val="BodyText"/>
      </w:pPr>
    </w:p>
    <w:p w14:paraId="1766167A" w14:textId="77777777" w:rsidR="00BC24A8" w:rsidRDefault="00BC24A8">
      <w:pPr>
        <w:pStyle w:val="BodyText"/>
        <w:spacing w:before="134"/>
      </w:pPr>
    </w:p>
    <w:p w14:paraId="427901E3" w14:textId="77777777" w:rsidR="00BC24A8" w:rsidRDefault="00000000">
      <w:pPr>
        <w:spacing w:before="1"/>
        <w:ind w:left="143"/>
        <w:rPr>
          <w:i/>
        </w:rPr>
      </w:pPr>
      <w:bookmarkStart w:id="235" w:name="Context_of_Papua_Selatan_Province"/>
      <w:bookmarkEnd w:id="235"/>
      <w:r>
        <w:rPr>
          <w:i/>
          <w:color w:val="1F3762"/>
        </w:rPr>
        <w:t>Context</w:t>
      </w:r>
      <w:r>
        <w:rPr>
          <w:i/>
          <w:color w:val="1F3762"/>
          <w:spacing w:val="-10"/>
        </w:rPr>
        <w:t xml:space="preserve"> </w:t>
      </w:r>
      <w:r>
        <w:rPr>
          <w:i/>
          <w:color w:val="1F3762"/>
        </w:rPr>
        <w:t>of</w:t>
      </w:r>
      <w:r>
        <w:rPr>
          <w:i/>
          <w:color w:val="1F3762"/>
          <w:spacing w:val="-7"/>
        </w:rPr>
        <w:t xml:space="preserve"> </w:t>
      </w:r>
      <w:r>
        <w:rPr>
          <w:i/>
          <w:color w:val="1F3762"/>
        </w:rPr>
        <w:t>Papua</w:t>
      </w:r>
      <w:r>
        <w:rPr>
          <w:i/>
          <w:color w:val="1F3762"/>
          <w:spacing w:val="-8"/>
        </w:rPr>
        <w:t xml:space="preserve"> </w:t>
      </w:r>
      <w:r>
        <w:rPr>
          <w:i/>
          <w:color w:val="1F3762"/>
        </w:rPr>
        <w:t>Selatan</w:t>
      </w:r>
      <w:r>
        <w:rPr>
          <w:i/>
          <w:color w:val="1F3762"/>
          <w:spacing w:val="-7"/>
        </w:rPr>
        <w:t xml:space="preserve"> </w:t>
      </w:r>
      <w:r>
        <w:rPr>
          <w:i/>
          <w:color w:val="1F3762"/>
          <w:spacing w:val="-2"/>
        </w:rPr>
        <w:t>Province</w:t>
      </w:r>
    </w:p>
    <w:p w14:paraId="374A4AD1" w14:textId="77777777" w:rsidR="00BC24A8" w:rsidRDefault="00000000">
      <w:pPr>
        <w:spacing w:before="43"/>
        <w:ind w:left="143"/>
        <w:rPr>
          <w:rFonts w:ascii="Calibri"/>
          <w:i/>
        </w:rPr>
      </w:pPr>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5"/>
        </w:rPr>
        <w:t xml:space="preserve"> </w:t>
      </w:r>
      <w:r>
        <w:rPr>
          <w:rFonts w:ascii="Calibri"/>
          <w:i/>
          <w:color w:val="272727"/>
        </w:rPr>
        <w:t>basic</w:t>
      </w:r>
      <w:r>
        <w:rPr>
          <w:rFonts w:ascii="Calibri"/>
          <w:i/>
          <w:color w:val="272727"/>
          <w:spacing w:val="-5"/>
        </w:rPr>
        <w:t xml:space="preserve"> </w:t>
      </w:r>
      <w:r>
        <w:rPr>
          <w:rFonts w:ascii="Calibri"/>
          <w:i/>
          <w:color w:val="272727"/>
        </w:rPr>
        <w:t>services,</w:t>
      </w:r>
      <w:r>
        <w:rPr>
          <w:rFonts w:ascii="Calibri"/>
          <w:i/>
          <w:color w:val="272727"/>
          <w:spacing w:val="-7"/>
        </w:rPr>
        <w:t xml:space="preserve"> </w:t>
      </w:r>
      <w:r>
        <w:rPr>
          <w:rFonts w:ascii="Calibri"/>
          <w:i/>
          <w:color w:val="272727"/>
        </w:rPr>
        <w:t>vulnerable</w:t>
      </w:r>
      <w:r>
        <w:rPr>
          <w:rFonts w:ascii="Calibri"/>
          <w:i/>
          <w:color w:val="272727"/>
          <w:spacing w:val="-4"/>
        </w:rPr>
        <w:t xml:space="preserve"> </w:t>
      </w:r>
      <w:r>
        <w:rPr>
          <w:rFonts w:ascii="Calibri"/>
          <w:i/>
          <w:color w:val="272727"/>
        </w:rPr>
        <w:t>groups,</w:t>
      </w:r>
      <w:r>
        <w:rPr>
          <w:rFonts w:ascii="Calibri"/>
          <w:i/>
          <w:color w:val="272727"/>
          <w:spacing w:val="-5"/>
        </w:rPr>
        <w:t xml:space="preserve"> </w:t>
      </w:r>
      <w:r>
        <w:rPr>
          <w:rFonts w:ascii="Calibri"/>
          <w:i/>
          <w:color w:val="272727"/>
        </w:rPr>
        <w:t>and</w:t>
      </w:r>
      <w:r>
        <w:rPr>
          <w:rFonts w:ascii="Calibri"/>
          <w:i/>
          <w:color w:val="272727"/>
          <w:spacing w:val="-6"/>
        </w:rPr>
        <w:t xml:space="preserve"> </w:t>
      </w:r>
      <w:r>
        <w:rPr>
          <w:rFonts w:ascii="Calibri"/>
          <w:i/>
          <w:color w:val="272727"/>
        </w:rPr>
        <w:t>fiscal</w:t>
      </w:r>
      <w:r>
        <w:rPr>
          <w:rFonts w:ascii="Calibri"/>
          <w:i/>
          <w:color w:val="272727"/>
          <w:spacing w:val="-5"/>
        </w:rPr>
        <w:t xml:space="preserve"> </w:t>
      </w:r>
      <w:r>
        <w:rPr>
          <w:rFonts w:ascii="Calibri"/>
          <w:i/>
          <w:color w:val="272727"/>
          <w:spacing w:val="-2"/>
        </w:rPr>
        <w:t>capacity</w:t>
      </w:r>
    </w:p>
    <w:p w14:paraId="3824F63D" w14:textId="77777777" w:rsidR="00BC24A8" w:rsidRDefault="00BC24A8">
      <w:pPr>
        <w:pStyle w:val="BodyText"/>
        <w:spacing w:before="63"/>
        <w:rPr>
          <w:rFonts w:ascii="Calibri"/>
          <w:i/>
        </w:rPr>
      </w:pPr>
    </w:p>
    <w:p w14:paraId="7D07527B" w14:textId="77777777" w:rsidR="00BC24A8" w:rsidRDefault="00000000">
      <w:pPr>
        <w:pStyle w:val="Heading5"/>
      </w:pPr>
      <w:r>
        <w:rPr>
          <w:color w:val="767070"/>
          <w:spacing w:val="-2"/>
        </w:rPr>
        <w:t>Key</w:t>
      </w:r>
      <w:r>
        <w:rPr>
          <w:color w:val="767070"/>
          <w:spacing w:val="4"/>
        </w:rPr>
        <w:t xml:space="preserve"> </w:t>
      </w:r>
      <w:r>
        <w:rPr>
          <w:color w:val="767070"/>
          <w:spacing w:val="-2"/>
        </w:rPr>
        <w:t>development</w:t>
      </w:r>
      <w:r>
        <w:rPr>
          <w:color w:val="767070"/>
          <w:spacing w:val="4"/>
        </w:rPr>
        <w:t xml:space="preserve"> </w:t>
      </w:r>
      <w:r>
        <w:rPr>
          <w:color w:val="767070"/>
          <w:spacing w:val="-2"/>
        </w:rPr>
        <w:t>outcome</w:t>
      </w:r>
      <w:r>
        <w:rPr>
          <w:color w:val="767070"/>
        </w:rPr>
        <w:t xml:space="preserve"> </w:t>
      </w:r>
      <w:r>
        <w:rPr>
          <w:color w:val="767070"/>
          <w:spacing w:val="-2"/>
        </w:rPr>
        <w:t>indicators</w:t>
      </w:r>
      <w:r>
        <w:rPr>
          <w:color w:val="767070"/>
          <w:spacing w:val="2"/>
        </w:rPr>
        <w:t xml:space="preserve"> </w:t>
      </w:r>
      <w:r>
        <w:rPr>
          <w:color w:val="767070"/>
          <w:spacing w:val="-4"/>
        </w:rPr>
        <w:t>data</w:t>
      </w:r>
    </w:p>
    <w:p w14:paraId="1CF42E19"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461"/>
        <w:gridCol w:w="5983"/>
        <w:gridCol w:w="2384"/>
      </w:tblGrid>
      <w:tr w:rsidR="00BC24A8" w14:paraId="4DD5FCBA" w14:textId="77777777">
        <w:trPr>
          <w:trHeight w:val="359"/>
        </w:trPr>
        <w:tc>
          <w:tcPr>
            <w:tcW w:w="6444" w:type="dxa"/>
            <w:gridSpan w:val="2"/>
            <w:tcBorders>
              <w:bottom w:val="single" w:sz="4" w:space="0" w:color="BEBEBE"/>
            </w:tcBorders>
            <w:shd w:val="clear" w:color="auto" w:fill="17365A"/>
          </w:tcPr>
          <w:p w14:paraId="5E9940D5" w14:textId="77777777" w:rsidR="00BC24A8" w:rsidRDefault="00000000">
            <w:pPr>
              <w:pStyle w:val="TableParagraph"/>
              <w:spacing w:before="59"/>
              <w:ind w:left="206"/>
              <w:rPr>
                <w:rFonts w:ascii="Calibri"/>
                <w:b/>
                <w:sz w:val="20"/>
              </w:rPr>
            </w:pPr>
            <w:r>
              <w:rPr>
                <w:rFonts w:ascii="Calibri"/>
                <w:b/>
                <w:color w:val="FFFFFF"/>
                <w:sz w:val="20"/>
              </w:rPr>
              <w:t>Indicator</w:t>
            </w:r>
            <w:r>
              <w:rPr>
                <w:rFonts w:ascii="Calibri"/>
                <w:b/>
                <w:color w:val="FFFFFF"/>
                <w:spacing w:val="-7"/>
                <w:sz w:val="20"/>
              </w:rPr>
              <w:t xml:space="preserve"> </w:t>
            </w:r>
            <w:r>
              <w:rPr>
                <w:rFonts w:ascii="Calibri"/>
                <w:b/>
                <w:color w:val="FFFFFF"/>
                <w:spacing w:val="-5"/>
                <w:sz w:val="20"/>
                <w:vertAlign w:val="superscript"/>
              </w:rPr>
              <w:t>d)</w:t>
            </w:r>
          </w:p>
        </w:tc>
        <w:tc>
          <w:tcPr>
            <w:tcW w:w="2384" w:type="dxa"/>
            <w:tcBorders>
              <w:bottom w:val="single" w:sz="4" w:space="0" w:color="BEBEBE"/>
            </w:tcBorders>
            <w:shd w:val="clear" w:color="auto" w:fill="17365A"/>
          </w:tcPr>
          <w:p w14:paraId="38591DB8" w14:textId="77777777" w:rsidR="00BC24A8" w:rsidRDefault="00000000">
            <w:pPr>
              <w:pStyle w:val="TableParagraph"/>
              <w:spacing w:before="59"/>
              <w:ind w:right="198"/>
              <w:jc w:val="center"/>
              <w:rPr>
                <w:rFonts w:ascii="Calibri"/>
                <w:b/>
                <w:sz w:val="20"/>
              </w:rPr>
            </w:pPr>
            <w:r>
              <w:rPr>
                <w:rFonts w:ascii="Calibri"/>
                <w:b/>
                <w:color w:val="FFFFFF"/>
                <w:sz w:val="20"/>
              </w:rPr>
              <w:t>Papua</w:t>
            </w:r>
            <w:r>
              <w:rPr>
                <w:rFonts w:ascii="Calibri"/>
                <w:b/>
                <w:color w:val="FFFFFF"/>
                <w:spacing w:val="-5"/>
                <w:sz w:val="20"/>
              </w:rPr>
              <w:t xml:space="preserve"> </w:t>
            </w:r>
            <w:r>
              <w:rPr>
                <w:rFonts w:ascii="Calibri"/>
                <w:b/>
                <w:color w:val="FFFFFF"/>
                <w:spacing w:val="-2"/>
                <w:sz w:val="20"/>
              </w:rPr>
              <w:t>Selatan</w:t>
            </w:r>
          </w:p>
        </w:tc>
      </w:tr>
      <w:tr w:rsidR="00BC24A8" w14:paraId="264A6042" w14:textId="77777777">
        <w:trPr>
          <w:trHeight w:val="333"/>
        </w:trPr>
        <w:tc>
          <w:tcPr>
            <w:tcW w:w="461" w:type="dxa"/>
            <w:tcBorders>
              <w:top w:val="single" w:sz="4" w:space="0" w:color="BEBEBE"/>
            </w:tcBorders>
          </w:tcPr>
          <w:p w14:paraId="254D4017" w14:textId="77777777" w:rsidR="00BC24A8" w:rsidRDefault="00000000">
            <w:pPr>
              <w:pStyle w:val="TableParagraph"/>
              <w:spacing w:before="56"/>
              <w:ind w:left="4"/>
              <w:jc w:val="center"/>
              <w:rPr>
                <w:sz w:val="18"/>
              </w:rPr>
            </w:pPr>
            <w:r>
              <w:rPr>
                <w:spacing w:val="-10"/>
                <w:sz w:val="18"/>
              </w:rPr>
              <w:t>1</w:t>
            </w:r>
          </w:p>
        </w:tc>
        <w:tc>
          <w:tcPr>
            <w:tcW w:w="5983" w:type="dxa"/>
            <w:tcBorders>
              <w:top w:val="single" w:sz="4" w:space="0" w:color="BEBEBE"/>
              <w:bottom w:val="single" w:sz="4" w:space="0" w:color="BEBEBE"/>
            </w:tcBorders>
          </w:tcPr>
          <w:p w14:paraId="1FA08800" w14:textId="77777777" w:rsidR="00BC24A8" w:rsidRDefault="00000000">
            <w:pPr>
              <w:pStyle w:val="TableParagraph"/>
              <w:spacing w:before="56"/>
              <w:ind w:left="107"/>
              <w:rPr>
                <w:sz w:val="18"/>
              </w:rPr>
            </w:pPr>
            <w:r>
              <w:rPr>
                <w:sz w:val="18"/>
              </w:rPr>
              <w:t>Net</w:t>
            </w:r>
            <w:r>
              <w:rPr>
                <w:spacing w:val="-1"/>
                <w:sz w:val="18"/>
              </w:rPr>
              <w:t xml:space="preserve"> </w:t>
            </w:r>
            <w:r>
              <w:rPr>
                <w:sz w:val="18"/>
              </w:rPr>
              <w:t>Enrollment Rate</w:t>
            </w:r>
            <w:r>
              <w:rPr>
                <w:spacing w:val="-2"/>
                <w:sz w:val="18"/>
              </w:rPr>
              <w:t xml:space="preserve"> </w:t>
            </w:r>
            <w:r>
              <w:rPr>
                <w:sz w:val="18"/>
              </w:rPr>
              <w:t>(%)</w:t>
            </w:r>
            <w:r>
              <w:rPr>
                <w:spacing w:val="-2"/>
                <w:sz w:val="18"/>
              </w:rPr>
              <w:t xml:space="preserve"> </w:t>
            </w:r>
            <w:r>
              <w:rPr>
                <w:sz w:val="18"/>
              </w:rPr>
              <w:t>(Regional Education</w:t>
            </w:r>
            <w:r>
              <w:rPr>
                <w:spacing w:val="-2"/>
                <w:sz w:val="18"/>
              </w:rPr>
              <w:t xml:space="preserve"> </w:t>
            </w:r>
            <w:r>
              <w:rPr>
                <w:sz w:val="18"/>
              </w:rPr>
              <w:t>Balance</w:t>
            </w:r>
            <w:r>
              <w:rPr>
                <w:spacing w:val="-1"/>
                <w:sz w:val="18"/>
              </w:rPr>
              <w:t xml:space="preserve"> </w:t>
            </w:r>
            <w:r>
              <w:rPr>
                <w:sz w:val="18"/>
              </w:rPr>
              <w:t>Sheet,</w:t>
            </w:r>
            <w:r>
              <w:rPr>
                <w:spacing w:val="-2"/>
                <w:sz w:val="18"/>
              </w:rPr>
              <w:t xml:space="preserve"> 2023/2024)</w:t>
            </w:r>
          </w:p>
        </w:tc>
        <w:tc>
          <w:tcPr>
            <w:tcW w:w="2384" w:type="dxa"/>
            <w:tcBorders>
              <w:top w:val="single" w:sz="4" w:space="0" w:color="BEBEBE"/>
              <w:bottom w:val="single" w:sz="4" w:space="0" w:color="BEBEBE"/>
            </w:tcBorders>
          </w:tcPr>
          <w:p w14:paraId="6C8E3313" w14:textId="77777777" w:rsidR="00BC24A8" w:rsidRDefault="00BC24A8">
            <w:pPr>
              <w:pStyle w:val="TableParagraph"/>
              <w:rPr>
                <w:rFonts w:ascii="Times New Roman"/>
                <w:sz w:val="18"/>
              </w:rPr>
            </w:pPr>
          </w:p>
        </w:tc>
      </w:tr>
      <w:tr w:rsidR="00BC24A8" w14:paraId="7925A0AE" w14:textId="77777777">
        <w:trPr>
          <w:trHeight w:val="333"/>
        </w:trPr>
        <w:tc>
          <w:tcPr>
            <w:tcW w:w="461" w:type="dxa"/>
          </w:tcPr>
          <w:p w14:paraId="0E5B7D4D"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66E2A4B9" w14:textId="77777777" w:rsidR="00BC24A8" w:rsidRDefault="00000000">
            <w:pPr>
              <w:pStyle w:val="TableParagraph"/>
              <w:tabs>
                <w:tab w:val="left" w:pos="532"/>
              </w:tabs>
              <w:spacing w:before="59"/>
              <w:ind w:left="107"/>
              <w:rPr>
                <w:sz w:val="18"/>
              </w:rPr>
            </w:pPr>
            <w:r>
              <w:rPr>
                <w:spacing w:val="-5"/>
                <w:sz w:val="18"/>
              </w:rPr>
              <w:t>a.</w:t>
            </w:r>
            <w:r>
              <w:rPr>
                <w:sz w:val="18"/>
              </w:rPr>
              <w:tab/>
              <w:t>Elementary</w:t>
            </w:r>
            <w:r>
              <w:rPr>
                <w:spacing w:val="-4"/>
                <w:sz w:val="18"/>
              </w:rPr>
              <w:t xml:space="preserve"> </w:t>
            </w:r>
            <w:r>
              <w:rPr>
                <w:spacing w:val="-2"/>
                <w:sz w:val="18"/>
              </w:rPr>
              <w:t>school/MI/equivalent</w:t>
            </w:r>
          </w:p>
        </w:tc>
        <w:tc>
          <w:tcPr>
            <w:tcW w:w="2384" w:type="dxa"/>
            <w:tcBorders>
              <w:top w:val="single" w:sz="4" w:space="0" w:color="BEBEBE"/>
              <w:bottom w:val="single" w:sz="4" w:space="0" w:color="BEBEBE"/>
            </w:tcBorders>
          </w:tcPr>
          <w:p w14:paraId="1FD63E6D" w14:textId="77777777" w:rsidR="00BC24A8" w:rsidRDefault="00000000">
            <w:pPr>
              <w:pStyle w:val="TableParagraph"/>
              <w:spacing w:before="59"/>
              <w:ind w:left="1" w:right="198"/>
              <w:jc w:val="center"/>
              <w:rPr>
                <w:sz w:val="18"/>
              </w:rPr>
            </w:pPr>
            <w:r>
              <w:rPr>
                <w:spacing w:val="-2"/>
                <w:sz w:val="18"/>
              </w:rPr>
              <w:t>66,25</w:t>
            </w:r>
          </w:p>
        </w:tc>
      </w:tr>
      <w:tr w:rsidR="00BC24A8" w14:paraId="5C5ADFD0" w14:textId="77777777">
        <w:trPr>
          <w:trHeight w:val="335"/>
        </w:trPr>
        <w:tc>
          <w:tcPr>
            <w:tcW w:w="461" w:type="dxa"/>
          </w:tcPr>
          <w:p w14:paraId="33921F2F"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07C31E2D" w14:textId="77777777" w:rsidR="00BC24A8" w:rsidRDefault="00000000">
            <w:pPr>
              <w:pStyle w:val="TableParagraph"/>
              <w:tabs>
                <w:tab w:val="left" w:pos="539"/>
              </w:tabs>
              <w:spacing w:before="59"/>
              <w:ind w:left="107"/>
              <w:rPr>
                <w:sz w:val="18"/>
              </w:rPr>
            </w:pPr>
            <w:r>
              <w:rPr>
                <w:spacing w:val="-5"/>
                <w:sz w:val="18"/>
              </w:rPr>
              <w:t>b.</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384" w:type="dxa"/>
            <w:tcBorders>
              <w:top w:val="single" w:sz="4" w:space="0" w:color="BEBEBE"/>
              <w:bottom w:val="single" w:sz="4" w:space="0" w:color="BEBEBE"/>
            </w:tcBorders>
          </w:tcPr>
          <w:p w14:paraId="63695E7D" w14:textId="77777777" w:rsidR="00BC24A8" w:rsidRDefault="00000000">
            <w:pPr>
              <w:pStyle w:val="TableParagraph"/>
              <w:spacing w:before="59"/>
              <w:ind w:left="1" w:right="198"/>
              <w:jc w:val="center"/>
              <w:rPr>
                <w:sz w:val="18"/>
              </w:rPr>
            </w:pPr>
            <w:r>
              <w:rPr>
                <w:spacing w:val="-2"/>
                <w:sz w:val="18"/>
              </w:rPr>
              <w:t>43,90</w:t>
            </w:r>
          </w:p>
        </w:tc>
      </w:tr>
      <w:tr w:rsidR="00BC24A8" w14:paraId="32587A05" w14:textId="77777777">
        <w:trPr>
          <w:trHeight w:val="333"/>
        </w:trPr>
        <w:tc>
          <w:tcPr>
            <w:tcW w:w="461" w:type="dxa"/>
            <w:tcBorders>
              <w:bottom w:val="single" w:sz="4" w:space="0" w:color="BEBEBE"/>
            </w:tcBorders>
          </w:tcPr>
          <w:p w14:paraId="254918D0"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0049ACC6" w14:textId="77777777" w:rsidR="00BC24A8" w:rsidRDefault="00000000">
            <w:pPr>
              <w:pStyle w:val="TableParagraph"/>
              <w:tabs>
                <w:tab w:val="left" w:pos="539"/>
              </w:tabs>
              <w:spacing w:before="56"/>
              <w:ind w:left="107"/>
              <w:rPr>
                <w:sz w:val="18"/>
              </w:rPr>
            </w:pPr>
            <w:r>
              <w:rPr>
                <w:spacing w:val="-5"/>
                <w:sz w:val="18"/>
              </w:rPr>
              <w:t>c.</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384" w:type="dxa"/>
            <w:tcBorders>
              <w:top w:val="single" w:sz="4" w:space="0" w:color="BEBEBE"/>
              <w:bottom w:val="single" w:sz="4" w:space="0" w:color="BEBEBE"/>
            </w:tcBorders>
          </w:tcPr>
          <w:p w14:paraId="2575C6CD" w14:textId="77777777" w:rsidR="00BC24A8" w:rsidRDefault="00000000">
            <w:pPr>
              <w:pStyle w:val="TableParagraph"/>
              <w:spacing w:before="56"/>
              <w:ind w:left="1" w:right="198"/>
              <w:jc w:val="center"/>
              <w:rPr>
                <w:sz w:val="18"/>
              </w:rPr>
            </w:pPr>
            <w:r>
              <w:rPr>
                <w:spacing w:val="-2"/>
                <w:sz w:val="18"/>
              </w:rPr>
              <w:t>50,45</w:t>
            </w:r>
          </w:p>
        </w:tc>
      </w:tr>
      <w:tr w:rsidR="00BC24A8" w14:paraId="54AABBF2" w14:textId="77777777">
        <w:trPr>
          <w:trHeight w:val="333"/>
        </w:trPr>
        <w:tc>
          <w:tcPr>
            <w:tcW w:w="461" w:type="dxa"/>
            <w:tcBorders>
              <w:top w:val="single" w:sz="4" w:space="0" w:color="BEBEBE"/>
            </w:tcBorders>
          </w:tcPr>
          <w:p w14:paraId="074DE7FD" w14:textId="77777777" w:rsidR="00BC24A8" w:rsidRDefault="00000000">
            <w:pPr>
              <w:pStyle w:val="TableParagraph"/>
              <w:spacing w:before="56"/>
              <w:ind w:left="4"/>
              <w:jc w:val="center"/>
              <w:rPr>
                <w:sz w:val="18"/>
              </w:rPr>
            </w:pPr>
            <w:r>
              <w:rPr>
                <w:spacing w:val="-10"/>
                <w:sz w:val="18"/>
              </w:rPr>
              <w:t>2</w:t>
            </w:r>
          </w:p>
        </w:tc>
        <w:tc>
          <w:tcPr>
            <w:tcW w:w="5983" w:type="dxa"/>
            <w:tcBorders>
              <w:top w:val="single" w:sz="4" w:space="0" w:color="BEBEBE"/>
              <w:bottom w:val="single" w:sz="4" w:space="0" w:color="BEBEBE"/>
            </w:tcBorders>
          </w:tcPr>
          <w:p w14:paraId="52C9840A" w14:textId="77777777" w:rsidR="00BC24A8" w:rsidRDefault="00000000">
            <w:pPr>
              <w:pStyle w:val="TableParagraph"/>
              <w:spacing w:before="56"/>
              <w:ind w:left="107"/>
              <w:rPr>
                <w:sz w:val="18"/>
              </w:rPr>
            </w:pPr>
            <w:r>
              <w:rPr>
                <w:sz w:val="18"/>
              </w:rPr>
              <w:t>Gross</w:t>
            </w:r>
            <w:r>
              <w:rPr>
                <w:spacing w:val="-2"/>
                <w:sz w:val="18"/>
              </w:rPr>
              <w:t xml:space="preserve"> </w:t>
            </w:r>
            <w:r>
              <w:rPr>
                <w:sz w:val="18"/>
              </w:rPr>
              <w:t>Enrollment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(Regional</w:t>
            </w:r>
            <w:r>
              <w:rPr>
                <w:spacing w:val="-1"/>
                <w:sz w:val="18"/>
              </w:rPr>
              <w:t xml:space="preserve"> </w:t>
            </w:r>
            <w:r>
              <w:rPr>
                <w:sz w:val="18"/>
              </w:rPr>
              <w:t>Education</w:t>
            </w:r>
            <w:r>
              <w:rPr>
                <w:spacing w:val="-2"/>
                <w:sz w:val="18"/>
              </w:rPr>
              <w:t xml:space="preserve"> </w:t>
            </w:r>
            <w:r>
              <w:rPr>
                <w:sz w:val="18"/>
              </w:rPr>
              <w:t>Balance</w:t>
            </w:r>
            <w:r>
              <w:rPr>
                <w:spacing w:val="-2"/>
                <w:sz w:val="18"/>
              </w:rPr>
              <w:t xml:space="preserve"> </w:t>
            </w:r>
            <w:r>
              <w:rPr>
                <w:sz w:val="18"/>
              </w:rPr>
              <w:t>Sheet,</w:t>
            </w:r>
            <w:r>
              <w:rPr>
                <w:spacing w:val="-2"/>
                <w:sz w:val="18"/>
              </w:rPr>
              <w:t xml:space="preserve"> 2023/2024)</w:t>
            </w:r>
          </w:p>
        </w:tc>
        <w:tc>
          <w:tcPr>
            <w:tcW w:w="2384" w:type="dxa"/>
            <w:tcBorders>
              <w:top w:val="single" w:sz="4" w:space="0" w:color="BEBEBE"/>
              <w:bottom w:val="single" w:sz="4" w:space="0" w:color="BEBEBE"/>
            </w:tcBorders>
          </w:tcPr>
          <w:p w14:paraId="17DB5724" w14:textId="77777777" w:rsidR="00BC24A8" w:rsidRDefault="00BC24A8">
            <w:pPr>
              <w:pStyle w:val="TableParagraph"/>
              <w:rPr>
                <w:rFonts w:ascii="Times New Roman"/>
                <w:sz w:val="18"/>
              </w:rPr>
            </w:pPr>
          </w:p>
        </w:tc>
      </w:tr>
      <w:tr w:rsidR="00BC24A8" w14:paraId="5D0D40F4" w14:textId="77777777">
        <w:trPr>
          <w:trHeight w:val="333"/>
        </w:trPr>
        <w:tc>
          <w:tcPr>
            <w:tcW w:w="461" w:type="dxa"/>
          </w:tcPr>
          <w:p w14:paraId="34F911C6"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522BB11F" w14:textId="77777777" w:rsidR="00BC24A8" w:rsidRDefault="00000000">
            <w:pPr>
              <w:pStyle w:val="TableParagraph"/>
              <w:tabs>
                <w:tab w:val="left" w:pos="539"/>
              </w:tabs>
              <w:spacing w:before="59"/>
              <w:ind w:left="107"/>
              <w:rPr>
                <w:sz w:val="18"/>
              </w:rPr>
            </w:pPr>
            <w:r>
              <w:rPr>
                <w:spacing w:val="-5"/>
                <w:sz w:val="18"/>
              </w:rPr>
              <w:t>a.</w:t>
            </w:r>
            <w:r>
              <w:rPr>
                <w:sz w:val="18"/>
              </w:rPr>
              <w:tab/>
              <w:t>Early</w:t>
            </w:r>
            <w:r>
              <w:rPr>
                <w:spacing w:val="-2"/>
                <w:sz w:val="18"/>
              </w:rPr>
              <w:t xml:space="preserve"> </w:t>
            </w:r>
            <w:r>
              <w:rPr>
                <w:sz w:val="18"/>
              </w:rPr>
              <w:t>childhood</w:t>
            </w:r>
            <w:r>
              <w:rPr>
                <w:spacing w:val="-1"/>
                <w:sz w:val="18"/>
              </w:rPr>
              <w:t xml:space="preserve"> </w:t>
            </w:r>
            <w:r>
              <w:rPr>
                <w:spacing w:val="-2"/>
                <w:sz w:val="18"/>
              </w:rPr>
              <w:t>education/equivalent</w:t>
            </w:r>
          </w:p>
        </w:tc>
        <w:tc>
          <w:tcPr>
            <w:tcW w:w="2384" w:type="dxa"/>
            <w:tcBorders>
              <w:top w:val="single" w:sz="4" w:space="0" w:color="BEBEBE"/>
              <w:bottom w:val="single" w:sz="4" w:space="0" w:color="BEBEBE"/>
            </w:tcBorders>
          </w:tcPr>
          <w:p w14:paraId="7136C415" w14:textId="77777777" w:rsidR="00BC24A8" w:rsidRDefault="00000000">
            <w:pPr>
              <w:pStyle w:val="TableParagraph"/>
              <w:spacing w:before="59"/>
              <w:ind w:left="1" w:right="198"/>
              <w:jc w:val="center"/>
              <w:rPr>
                <w:sz w:val="18"/>
              </w:rPr>
            </w:pPr>
            <w:r>
              <w:rPr>
                <w:spacing w:val="-2"/>
                <w:sz w:val="18"/>
              </w:rPr>
              <w:t>11,45</w:t>
            </w:r>
          </w:p>
        </w:tc>
      </w:tr>
      <w:tr w:rsidR="00BC24A8" w14:paraId="7F345A5C" w14:textId="77777777">
        <w:trPr>
          <w:trHeight w:val="333"/>
        </w:trPr>
        <w:tc>
          <w:tcPr>
            <w:tcW w:w="461" w:type="dxa"/>
          </w:tcPr>
          <w:p w14:paraId="6081BD0F"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6C3EE248" w14:textId="77777777" w:rsidR="00BC24A8" w:rsidRDefault="00000000">
            <w:pPr>
              <w:pStyle w:val="TableParagraph"/>
              <w:tabs>
                <w:tab w:val="left" w:pos="539"/>
              </w:tabs>
              <w:spacing w:before="59"/>
              <w:ind w:left="107"/>
              <w:rPr>
                <w:sz w:val="18"/>
              </w:rPr>
            </w:pPr>
            <w:r>
              <w:rPr>
                <w:spacing w:val="-5"/>
                <w:sz w:val="18"/>
              </w:rPr>
              <w:t>b.</w:t>
            </w:r>
            <w:r>
              <w:rPr>
                <w:sz w:val="18"/>
              </w:rPr>
              <w:tab/>
              <w:t>Elementary</w:t>
            </w:r>
            <w:r>
              <w:rPr>
                <w:spacing w:val="-4"/>
                <w:sz w:val="18"/>
              </w:rPr>
              <w:t xml:space="preserve"> </w:t>
            </w:r>
            <w:r>
              <w:rPr>
                <w:spacing w:val="-2"/>
                <w:sz w:val="18"/>
              </w:rPr>
              <w:t>school/MI/equivalent</w:t>
            </w:r>
          </w:p>
        </w:tc>
        <w:tc>
          <w:tcPr>
            <w:tcW w:w="2384" w:type="dxa"/>
            <w:tcBorders>
              <w:top w:val="single" w:sz="4" w:space="0" w:color="BEBEBE"/>
              <w:bottom w:val="single" w:sz="4" w:space="0" w:color="BEBEBE"/>
            </w:tcBorders>
          </w:tcPr>
          <w:p w14:paraId="437BCB55" w14:textId="77777777" w:rsidR="00BC24A8" w:rsidRDefault="00000000">
            <w:pPr>
              <w:pStyle w:val="TableParagraph"/>
              <w:spacing w:before="59"/>
              <w:ind w:left="1" w:right="198"/>
              <w:jc w:val="center"/>
              <w:rPr>
                <w:sz w:val="18"/>
              </w:rPr>
            </w:pPr>
            <w:r>
              <w:rPr>
                <w:spacing w:val="-2"/>
                <w:sz w:val="18"/>
              </w:rPr>
              <w:t>92,39</w:t>
            </w:r>
          </w:p>
        </w:tc>
      </w:tr>
      <w:tr w:rsidR="00BC24A8" w14:paraId="767F7ACB" w14:textId="77777777">
        <w:trPr>
          <w:trHeight w:val="335"/>
        </w:trPr>
        <w:tc>
          <w:tcPr>
            <w:tcW w:w="461" w:type="dxa"/>
          </w:tcPr>
          <w:p w14:paraId="167B7D80"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1A8A5791" w14:textId="77777777" w:rsidR="00BC24A8" w:rsidRDefault="00000000">
            <w:pPr>
              <w:pStyle w:val="TableParagraph"/>
              <w:tabs>
                <w:tab w:val="left" w:pos="539"/>
              </w:tabs>
              <w:spacing w:before="59"/>
              <w:ind w:left="107"/>
              <w:rPr>
                <w:sz w:val="18"/>
              </w:rPr>
            </w:pPr>
            <w:r>
              <w:rPr>
                <w:spacing w:val="-5"/>
                <w:sz w:val="18"/>
              </w:rPr>
              <w:t>c.</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384" w:type="dxa"/>
            <w:tcBorders>
              <w:top w:val="single" w:sz="4" w:space="0" w:color="BEBEBE"/>
              <w:bottom w:val="single" w:sz="4" w:space="0" w:color="BEBEBE"/>
            </w:tcBorders>
          </w:tcPr>
          <w:p w14:paraId="484E14C4" w14:textId="77777777" w:rsidR="00BC24A8" w:rsidRDefault="00000000">
            <w:pPr>
              <w:pStyle w:val="TableParagraph"/>
              <w:spacing w:before="59"/>
              <w:ind w:left="1" w:right="198"/>
              <w:jc w:val="center"/>
              <w:rPr>
                <w:sz w:val="18"/>
              </w:rPr>
            </w:pPr>
            <w:r>
              <w:rPr>
                <w:spacing w:val="-2"/>
                <w:sz w:val="18"/>
              </w:rPr>
              <w:t>72,36</w:t>
            </w:r>
          </w:p>
        </w:tc>
      </w:tr>
      <w:tr w:rsidR="00BC24A8" w14:paraId="11BF949D" w14:textId="77777777">
        <w:trPr>
          <w:trHeight w:val="333"/>
        </w:trPr>
        <w:tc>
          <w:tcPr>
            <w:tcW w:w="461" w:type="dxa"/>
            <w:tcBorders>
              <w:bottom w:val="single" w:sz="4" w:space="0" w:color="BEBEBE"/>
            </w:tcBorders>
          </w:tcPr>
          <w:p w14:paraId="1396A48D"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153370CB" w14:textId="77777777" w:rsidR="00BC24A8" w:rsidRDefault="00000000">
            <w:pPr>
              <w:pStyle w:val="TableParagraph"/>
              <w:tabs>
                <w:tab w:val="left" w:pos="539"/>
              </w:tabs>
              <w:spacing w:before="56"/>
              <w:ind w:left="107"/>
              <w:rPr>
                <w:sz w:val="18"/>
              </w:rPr>
            </w:pPr>
            <w:r>
              <w:rPr>
                <w:spacing w:val="-5"/>
                <w:sz w:val="18"/>
              </w:rPr>
              <w:t>d.</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384" w:type="dxa"/>
            <w:tcBorders>
              <w:top w:val="single" w:sz="4" w:space="0" w:color="BEBEBE"/>
              <w:bottom w:val="single" w:sz="4" w:space="0" w:color="BEBEBE"/>
            </w:tcBorders>
          </w:tcPr>
          <w:p w14:paraId="717ADEBB" w14:textId="77777777" w:rsidR="00BC24A8" w:rsidRDefault="00000000">
            <w:pPr>
              <w:pStyle w:val="TableParagraph"/>
              <w:spacing w:before="56"/>
              <w:ind w:left="1" w:right="198"/>
              <w:jc w:val="center"/>
              <w:rPr>
                <w:sz w:val="18"/>
              </w:rPr>
            </w:pPr>
            <w:r>
              <w:rPr>
                <w:spacing w:val="-2"/>
                <w:sz w:val="18"/>
              </w:rPr>
              <w:t>87,11</w:t>
            </w:r>
          </w:p>
        </w:tc>
      </w:tr>
      <w:tr w:rsidR="00BC24A8" w14:paraId="7BF6129B" w14:textId="77777777">
        <w:trPr>
          <w:trHeight w:val="333"/>
        </w:trPr>
        <w:tc>
          <w:tcPr>
            <w:tcW w:w="461" w:type="dxa"/>
            <w:tcBorders>
              <w:top w:val="single" w:sz="4" w:space="0" w:color="BEBEBE"/>
            </w:tcBorders>
          </w:tcPr>
          <w:p w14:paraId="7DB4F511" w14:textId="77777777" w:rsidR="00BC24A8" w:rsidRDefault="00000000">
            <w:pPr>
              <w:pStyle w:val="TableParagraph"/>
              <w:spacing w:before="56"/>
              <w:ind w:left="4"/>
              <w:jc w:val="center"/>
              <w:rPr>
                <w:sz w:val="18"/>
              </w:rPr>
            </w:pPr>
            <w:r>
              <w:rPr>
                <w:spacing w:val="-10"/>
                <w:sz w:val="18"/>
              </w:rPr>
              <w:t>3</w:t>
            </w:r>
          </w:p>
        </w:tc>
        <w:tc>
          <w:tcPr>
            <w:tcW w:w="5983" w:type="dxa"/>
            <w:tcBorders>
              <w:top w:val="single" w:sz="4" w:space="0" w:color="BEBEBE"/>
              <w:bottom w:val="single" w:sz="4" w:space="0" w:color="BEBEBE"/>
            </w:tcBorders>
          </w:tcPr>
          <w:p w14:paraId="222A898F" w14:textId="77777777" w:rsidR="00BC24A8" w:rsidRDefault="00000000">
            <w:pPr>
              <w:pStyle w:val="TableParagraph"/>
              <w:spacing w:before="56"/>
              <w:ind w:left="107"/>
              <w:rPr>
                <w:sz w:val="18"/>
              </w:rPr>
            </w:pPr>
            <w:r>
              <w:rPr>
                <w:sz w:val="18"/>
              </w:rPr>
              <w:t>School</w:t>
            </w:r>
            <w:r>
              <w:rPr>
                <w:spacing w:val="-1"/>
                <w:sz w:val="18"/>
              </w:rPr>
              <w:t xml:space="preserve"> </w:t>
            </w:r>
            <w:r>
              <w:rPr>
                <w:sz w:val="18"/>
              </w:rPr>
              <w:t>Dropout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(BPS,</w:t>
            </w:r>
            <w:r>
              <w:rPr>
                <w:spacing w:val="-2"/>
                <w:sz w:val="18"/>
              </w:rPr>
              <w:t xml:space="preserve"> </w:t>
            </w:r>
            <w:r>
              <w:rPr>
                <w:spacing w:val="-4"/>
                <w:sz w:val="18"/>
              </w:rPr>
              <w:t>2022)</w:t>
            </w:r>
          </w:p>
        </w:tc>
        <w:tc>
          <w:tcPr>
            <w:tcW w:w="2384" w:type="dxa"/>
            <w:tcBorders>
              <w:top w:val="single" w:sz="4" w:space="0" w:color="BEBEBE"/>
              <w:bottom w:val="single" w:sz="4" w:space="0" w:color="BEBEBE"/>
            </w:tcBorders>
          </w:tcPr>
          <w:p w14:paraId="54EBFA81" w14:textId="77777777" w:rsidR="00BC24A8" w:rsidRDefault="00BC24A8">
            <w:pPr>
              <w:pStyle w:val="TableParagraph"/>
              <w:rPr>
                <w:rFonts w:ascii="Times New Roman"/>
                <w:sz w:val="18"/>
              </w:rPr>
            </w:pPr>
          </w:p>
        </w:tc>
      </w:tr>
      <w:tr w:rsidR="00BC24A8" w14:paraId="3D62C8BB" w14:textId="77777777">
        <w:trPr>
          <w:trHeight w:val="333"/>
        </w:trPr>
        <w:tc>
          <w:tcPr>
            <w:tcW w:w="461" w:type="dxa"/>
          </w:tcPr>
          <w:p w14:paraId="2A34CC28"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4688DA25" w14:textId="77777777" w:rsidR="00BC24A8" w:rsidRDefault="00000000">
            <w:pPr>
              <w:pStyle w:val="TableParagraph"/>
              <w:tabs>
                <w:tab w:val="left" w:pos="539"/>
              </w:tabs>
              <w:spacing w:before="59"/>
              <w:ind w:left="107"/>
              <w:rPr>
                <w:sz w:val="18"/>
              </w:rPr>
            </w:pPr>
            <w:r>
              <w:rPr>
                <w:spacing w:val="-5"/>
                <w:sz w:val="18"/>
              </w:rPr>
              <w:t>a.</w:t>
            </w:r>
            <w:r>
              <w:rPr>
                <w:sz w:val="18"/>
              </w:rPr>
              <w:tab/>
              <w:t>Elementary</w:t>
            </w:r>
            <w:r>
              <w:rPr>
                <w:spacing w:val="-4"/>
                <w:sz w:val="18"/>
              </w:rPr>
              <w:t xml:space="preserve"> </w:t>
            </w:r>
            <w:r>
              <w:rPr>
                <w:spacing w:val="-2"/>
                <w:sz w:val="18"/>
              </w:rPr>
              <w:t>school/MI/equivalent</w:t>
            </w:r>
          </w:p>
        </w:tc>
        <w:tc>
          <w:tcPr>
            <w:tcW w:w="2384" w:type="dxa"/>
            <w:tcBorders>
              <w:top w:val="single" w:sz="4" w:space="0" w:color="BEBEBE"/>
              <w:bottom w:val="single" w:sz="4" w:space="0" w:color="BEBEBE"/>
            </w:tcBorders>
          </w:tcPr>
          <w:p w14:paraId="0B259F73" w14:textId="77777777" w:rsidR="00BC24A8" w:rsidRDefault="00000000">
            <w:pPr>
              <w:pStyle w:val="TableParagraph"/>
              <w:spacing w:before="59"/>
              <w:ind w:left="2" w:right="198"/>
              <w:jc w:val="center"/>
              <w:rPr>
                <w:sz w:val="18"/>
              </w:rPr>
            </w:pPr>
            <w:r>
              <w:rPr>
                <w:sz w:val="18"/>
              </w:rPr>
              <w:t>2,38</w:t>
            </w:r>
            <w:r>
              <w:rPr>
                <w:spacing w:val="-1"/>
                <w:sz w:val="18"/>
              </w:rPr>
              <w:t xml:space="preserve"> </w:t>
            </w:r>
            <w:r>
              <w:rPr>
                <w:spacing w:val="-5"/>
                <w:sz w:val="18"/>
              </w:rPr>
              <w:t>a)</w:t>
            </w:r>
          </w:p>
        </w:tc>
      </w:tr>
      <w:tr w:rsidR="00BC24A8" w14:paraId="38BC5F77" w14:textId="77777777">
        <w:trPr>
          <w:trHeight w:val="335"/>
        </w:trPr>
        <w:tc>
          <w:tcPr>
            <w:tcW w:w="461" w:type="dxa"/>
          </w:tcPr>
          <w:p w14:paraId="11BB927E"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63EF961B" w14:textId="77777777" w:rsidR="00BC24A8" w:rsidRDefault="00000000">
            <w:pPr>
              <w:pStyle w:val="TableParagraph"/>
              <w:tabs>
                <w:tab w:val="left" w:pos="539"/>
              </w:tabs>
              <w:spacing w:before="59"/>
              <w:ind w:left="107"/>
              <w:rPr>
                <w:sz w:val="18"/>
              </w:rPr>
            </w:pPr>
            <w:r>
              <w:rPr>
                <w:spacing w:val="-5"/>
                <w:sz w:val="18"/>
              </w:rPr>
              <w:t>b.</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384" w:type="dxa"/>
            <w:tcBorders>
              <w:top w:val="single" w:sz="4" w:space="0" w:color="BEBEBE"/>
              <w:bottom w:val="single" w:sz="4" w:space="0" w:color="BEBEBE"/>
            </w:tcBorders>
          </w:tcPr>
          <w:p w14:paraId="795E7BB2" w14:textId="77777777" w:rsidR="00BC24A8" w:rsidRDefault="00000000">
            <w:pPr>
              <w:pStyle w:val="TableParagraph"/>
              <w:spacing w:before="59"/>
              <w:ind w:left="2" w:right="198"/>
              <w:jc w:val="center"/>
              <w:rPr>
                <w:sz w:val="18"/>
              </w:rPr>
            </w:pPr>
            <w:r>
              <w:rPr>
                <w:sz w:val="18"/>
              </w:rPr>
              <w:t>3,22</w:t>
            </w:r>
            <w:r>
              <w:rPr>
                <w:spacing w:val="-1"/>
                <w:sz w:val="18"/>
              </w:rPr>
              <w:t xml:space="preserve"> </w:t>
            </w:r>
            <w:r>
              <w:rPr>
                <w:spacing w:val="-5"/>
                <w:sz w:val="18"/>
              </w:rPr>
              <w:t>a)</w:t>
            </w:r>
          </w:p>
        </w:tc>
      </w:tr>
      <w:tr w:rsidR="00BC24A8" w14:paraId="374652EE" w14:textId="77777777">
        <w:trPr>
          <w:trHeight w:val="333"/>
        </w:trPr>
        <w:tc>
          <w:tcPr>
            <w:tcW w:w="461" w:type="dxa"/>
            <w:tcBorders>
              <w:bottom w:val="single" w:sz="4" w:space="0" w:color="BEBEBE"/>
            </w:tcBorders>
          </w:tcPr>
          <w:p w14:paraId="2DA71F30"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7F644ECC" w14:textId="77777777" w:rsidR="00BC24A8" w:rsidRDefault="00000000">
            <w:pPr>
              <w:pStyle w:val="TableParagraph"/>
              <w:tabs>
                <w:tab w:val="left" w:pos="539"/>
              </w:tabs>
              <w:spacing w:before="56"/>
              <w:ind w:left="107"/>
              <w:rPr>
                <w:sz w:val="18"/>
              </w:rPr>
            </w:pPr>
            <w:r>
              <w:rPr>
                <w:spacing w:val="-5"/>
                <w:sz w:val="18"/>
              </w:rPr>
              <w:t>c.</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384" w:type="dxa"/>
            <w:tcBorders>
              <w:top w:val="single" w:sz="4" w:space="0" w:color="BEBEBE"/>
              <w:bottom w:val="single" w:sz="4" w:space="0" w:color="BEBEBE"/>
            </w:tcBorders>
          </w:tcPr>
          <w:p w14:paraId="462FEA8F" w14:textId="77777777" w:rsidR="00BC24A8" w:rsidRDefault="00000000">
            <w:pPr>
              <w:pStyle w:val="TableParagraph"/>
              <w:spacing w:before="56"/>
              <w:ind w:left="2" w:right="198"/>
              <w:jc w:val="center"/>
              <w:rPr>
                <w:sz w:val="18"/>
              </w:rPr>
            </w:pPr>
            <w:r>
              <w:rPr>
                <w:sz w:val="18"/>
              </w:rPr>
              <w:t>0,83</w:t>
            </w:r>
            <w:r>
              <w:rPr>
                <w:spacing w:val="-1"/>
                <w:sz w:val="18"/>
              </w:rPr>
              <w:t xml:space="preserve"> </w:t>
            </w:r>
            <w:r>
              <w:rPr>
                <w:spacing w:val="-5"/>
                <w:sz w:val="18"/>
              </w:rPr>
              <w:t>a)</w:t>
            </w:r>
          </w:p>
        </w:tc>
      </w:tr>
      <w:tr w:rsidR="00BC24A8" w14:paraId="3F4D75A1" w14:textId="77777777">
        <w:trPr>
          <w:trHeight w:val="333"/>
        </w:trPr>
        <w:tc>
          <w:tcPr>
            <w:tcW w:w="461" w:type="dxa"/>
            <w:tcBorders>
              <w:top w:val="single" w:sz="4" w:space="0" w:color="BEBEBE"/>
              <w:bottom w:val="single" w:sz="4" w:space="0" w:color="BEBEBE"/>
            </w:tcBorders>
          </w:tcPr>
          <w:p w14:paraId="1FE84C47" w14:textId="77777777" w:rsidR="00BC24A8" w:rsidRDefault="00000000">
            <w:pPr>
              <w:pStyle w:val="TableParagraph"/>
              <w:spacing w:before="56"/>
              <w:ind w:left="4"/>
              <w:jc w:val="center"/>
              <w:rPr>
                <w:sz w:val="18"/>
              </w:rPr>
            </w:pPr>
            <w:r>
              <w:rPr>
                <w:spacing w:val="-10"/>
                <w:sz w:val="18"/>
              </w:rPr>
              <w:t>4</w:t>
            </w:r>
          </w:p>
        </w:tc>
        <w:tc>
          <w:tcPr>
            <w:tcW w:w="5983" w:type="dxa"/>
            <w:tcBorders>
              <w:top w:val="single" w:sz="4" w:space="0" w:color="BEBEBE"/>
              <w:bottom w:val="single" w:sz="4" w:space="0" w:color="BEBEBE"/>
            </w:tcBorders>
          </w:tcPr>
          <w:p w14:paraId="2DC31523" w14:textId="77777777" w:rsidR="00BC24A8" w:rsidRDefault="00000000">
            <w:pPr>
              <w:pStyle w:val="TableParagraph"/>
              <w:spacing w:before="56"/>
              <w:ind w:left="107"/>
              <w:rPr>
                <w:sz w:val="18"/>
              </w:rPr>
            </w:pPr>
            <w:r>
              <w:rPr>
                <w:sz w:val="18"/>
              </w:rPr>
              <w:t>Infant</w:t>
            </w:r>
            <w:r>
              <w:rPr>
                <w:spacing w:val="-2"/>
                <w:sz w:val="18"/>
              </w:rPr>
              <w:t xml:space="preserve"> </w:t>
            </w:r>
            <w:r>
              <w:rPr>
                <w:sz w:val="18"/>
              </w:rPr>
              <w:t>Mortality</w:t>
            </w:r>
            <w:r>
              <w:rPr>
                <w:spacing w:val="-1"/>
                <w:sz w:val="18"/>
              </w:rPr>
              <w:t xml:space="preserve"> </w:t>
            </w:r>
            <w:r>
              <w:rPr>
                <w:sz w:val="18"/>
              </w:rPr>
              <w:t>Rate</w:t>
            </w:r>
            <w:r>
              <w:rPr>
                <w:spacing w:val="-1"/>
                <w:sz w:val="18"/>
              </w:rPr>
              <w:t xml:space="preserve"> </w:t>
            </w:r>
            <w:r>
              <w:rPr>
                <w:sz w:val="18"/>
              </w:rPr>
              <w:t>(per</w:t>
            </w:r>
            <w:r>
              <w:rPr>
                <w:spacing w:val="-1"/>
                <w:sz w:val="18"/>
              </w:rPr>
              <w:t xml:space="preserve"> </w:t>
            </w:r>
            <w:r>
              <w:rPr>
                <w:sz w:val="18"/>
              </w:rPr>
              <w:t>1,000 live</w:t>
            </w:r>
            <w:r>
              <w:rPr>
                <w:spacing w:val="-1"/>
                <w:sz w:val="18"/>
              </w:rPr>
              <w:t xml:space="preserve"> </w:t>
            </w:r>
            <w:r>
              <w:rPr>
                <w:sz w:val="18"/>
              </w:rPr>
              <w:t>births)</w:t>
            </w:r>
            <w:r>
              <w:rPr>
                <w:spacing w:val="-2"/>
                <w:sz w:val="18"/>
              </w:rPr>
              <w:t xml:space="preserve"> </w:t>
            </w:r>
            <w:r>
              <w:rPr>
                <w:sz w:val="18"/>
              </w:rPr>
              <w:t>(BPS,</w:t>
            </w:r>
            <w:r>
              <w:rPr>
                <w:spacing w:val="-1"/>
                <w:sz w:val="18"/>
              </w:rPr>
              <w:t xml:space="preserve"> </w:t>
            </w:r>
            <w:r>
              <w:rPr>
                <w:spacing w:val="-2"/>
                <w:sz w:val="18"/>
              </w:rPr>
              <w:t>2020)</w:t>
            </w:r>
          </w:p>
        </w:tc>
        <w:tc>
          <w:tcPr>
            <w:tcW w:w="2384" w:type="dxa"/>
            <w:tcBorders>
              <w:top w:val="single" w:sz="4" w:space="0" w:color="BEBEBE"/>
              <w:bottom w:val="single" w:sz="4" w:space="0" w:color="BEBEBE"/>
            </w:tcBorders>
          </w:tcPr>
          <w:p w14:paraId="300EB549" w14:textId="77777777" w:rsidR="00BC24A8" w:rsidRDefault="00000000">
            <w:pPr>
              <w:pStyle w:val="TableParagraph"/>
              <w:spacing w:before="56"/>
              <w:ind w:left="4" w:right="198"/>
              <w:jc w:val="center"/>
              <w:rPr>
                <w:sz w:val="18"/>
              </w:rPr>
            </w:pPr>
            <w:r>
              <w:rPr>
                <w:sz w:val="18"/>
              </w:rPr>
              <w:t>38,17</w:t>
            </w:r>
            <w:r>
              <w:rPr>
                <w:spacing w:val="1"/>
                <w:sz w:val="18"/>
              </w:rPr>
              <w:t xml:space="preserve"> </w:t>
            </w:r>
            <w:r>
              <w:rPr>
                <w:spacing w:val="-5"/>
                <w:sz w:val="18"/>
              </w:rPr>
              <w:t>a)</w:t>
            </w:r>
          </w:p>
        </w:tc>
      </w:tr>
      <w:tr w:rsidR="00BC24A8" w14:paraId="39011FCD" w14:textId="77777777">
        <w:trPr>
          <w:trHeight w:val="333"/>
        </w:trPr>
        <w:tc>
          <w:tcPr>
            <w:tcW w:w="461" w:type="dxa"/>
            <w:tcBorders>
              <w:top w:val="single" w:sz="4" w:space="0" w:color="BEBEBE"/>
              <w:bottom w:val="single" w:sz="4" w:space="0" w:color="BEBEBE"/>
            </w:tcBorders>
          </w:tcPr>
          <w:p w14:paraId="19A67F9A" w14:textId="77777777" w:rsidR="00BC24A8" w:rsidRDefault="00000000">
            <w:pPr>
              <w:pStyle w:val="TableParagraph"/>
              <w:spacing w:before="56"/>
              <w:ind w:left="4"/>
              <w:jc w:val="center"/>
              <w:rPr>
                <w:sz w:val="18"/>
              </w:rPr>
            </w:pPr>
            <w:r>
              <w:rPr>
                <w:spacing w:val="-10"/>
                <w:sz w:val="18"/>
              </w:rPr>
              <w:t>5</w:t>
            </w:r>
          </w:p>
        </w:tc>
        <w:tc>
          <w:tcPr>
            <w:tcW w:w="5983" w:type="dxa"/>
            <w:tcBorders>
              <w:top w:val="single" w:sz="4" w:space="0" w:color="BEBEBE"/>
              <w:bottom w:val="single" w:sz="4" w:space="0" w:color="BEBEBE"/>
            </w:tcBorders>
          </w:tcPr>
          <w:p w14:paraId="2379EFD1" w14:textId="77777777" w:rsidR="00BC24A8" w:rsidRDefault="00000000">
            <w:pPr>
              <w:pStyle w:val="TableParagraph"/>
              <w:spacing w:before="56"/>
              <w:ind w:left="107"/>
              <w:rPr>
                <w:sz w:val="18"/>
              </w:rPr>
            </w:pPr>
            <w:r>
              <w:rPr>
                <w:sz w:val="18"/>
              </w:rPr>
              <w:t>Maternal</w:t>
            </w:r>
            <w:r>
              <w:rPr>
                <w:spacing w:val="-3"/>
                <w:sz w:val="18"/>
              </w:rPr>
              <w:t xml:space="preserve"> </w:t>
            </w:r>
            <w:r>
              <w:rPr>
                <w:sz w:val="18"/>
              </w:rPr>
              <w:t>Mortality</w:t>
            </w:r>
            <w:r>
              <w:rPr>
                <w:spacing w:val="-3"/>
                <w:sz w:val="18"/>
              </w:rPr>
              <w:t xml:space="preserve"> </w:t>
            </w:r>
            <w:r>
              <w:rPr>
                <w:sz w:val="18"/>
              </w:rPr>
              <w:t>Rate</w:t>
            </w:r>
            <w:r>
              <w:rPr>
                <w:spacing w:val="-1"/>
                <w:sz w:val="18"/>
              </w:rPr>
              <w:t xml:space="preserve"> </w:t>
            </w:r>
            <w:r>
              <w:rPr>
                <w:sz w:val="18"/>
              </w:rPr>
              <w:t>(per</w:t>
            </w:r>
            <w:r>
              <w:rPr>
                <w:spacing w:val="-2"/>
                <w:sz w:val="18"/>
              </w:rPr>
              <w:t xml:space="preserve"> </w:t>
            </w:r>
            <w:r>
              <w:rPr>
                <w:sz w:val="18"/>
              </w:rPr>
              <w:t>100,000</w:t>
            </w:r>
            <w:r>
              <w:rPr>
                <w:spacing w:val="-1"/>
                <w:sz w:val="18"/>
              </w:rPr>
              <w:t xml:space="preserve"> </w:t>
            </w:r>
            <w:r>
              <w:rPr>
                <w:sz w:val="18"/>
              </w:rPr>
              <w:t>live</w:t>
            </w:r>
            <w:r>
              <w:rPr>
                <w:spacing w:val="-2"/>
                <w:sz w:val="18"/>
              </w:rPr>
              <w:t xml:space="preserve"> </w:t>
            </w:r>
            <w:r>
              <w:rPr>
                <w:sz w:val="18"/>
              </w:rPr>
              <w:t>births)</w:t>
            </w:r>
            <w:r>
              <w:rPr>
                <w:spacing w:val="-2"/>
                <w:sz w:val="18"/>
              </w:rPr>
              <w:t xml:space="preserve"> </w:t>
            </w:r>
            <w:r>
              <w:rPr>
                <w:sz w:val="18"/>
              </w:rPr>
              <w:t>(BPS,</w:t>
            </w:r>
            <w:r>
              <w:rPr>
                <w:spacing w:val="-2"/>
                <w:sz w:val="18"/>
              </w:rPr>
              <w:t xml:space="preserve"> 2020)</w:t>
            </w:r>
          </w:p>
        </w:tc>
        <w:tc>
          <w:tcPr>
            <w:tcW w:w="2384" w:type="dxa"/>
            <w:tcBorders>
              <w:top w:val="single" w:sz="4" w:space="0" w:color="BEBEBE"/>
              <w:bottom w:val="single" w:sz="4" w:space="0" w:color="BEBEBE"/>
            </w:tcBorders>
          </w:tcPr>
          <w:p w14:paraId="17F1F999" w14:textId="77777777" w:rsidR="00BC24A8" w:rsidRDefault="00000000">
            <w:pPr>
              <w:pStyle w:val="TableParagraph"/>
              <w:spacing w:before="56"/>
              <w:ind w:left="4" w:right="198"/>
              <w:jc w:val="center"/>
              <w:rPr>
                <w:sz w:val="18"/>
              </w:rPr>
            </w:pPr>
            <w:r>
              <w:rPr>
                <w:sz w:val="18"/>
              </w:rPr>
              <w:t xml:space="preserve">565 </w:t>
            </w:r>
            <w:r>
              <w:rPr>
                <w:spacing w:val="-5"/>
                <w:sz w:val="18"/>
              </w:rPr>
              <w:t>a)</w:t>
            </w:r>
          </w:p>
        </w:tc>
      </w:tr>
      <w:tr w:rsidR="00BC24A8" w14:paraId="292797C9" w14:textId="77777777">
        <w:trPr>
          <w:trHeight w:val="333"/>
        </w:trPr>
        <w:tc>
          <w:tcPr>
            <w:tcW w:w="461" w:type="dxa"/>
            <w:tcBorders>
              <w:top w:val="single" w:sz="4" w:space="0" w:color="BEBEBE"/>
              <w:bottom w:val="single" w:sz="4" w:space="0" w:color="BEBEBE"/>
            </w:tcBorders>
          </w:tcPr>
          <w:p w14:paraId="7B2DBE4E" w14:textId="77777777" w:rsidR="00BC24A8" w:rsidRDefault="00000000">
            <w:pPr>
              <w:pStyle w:val="TableParagraph"/>
              <w:spacing w:before="59"/>
              <w:ind w:left="4"/>
              <w:jc w:val="center"/>
              <w:rPr>
                <w:sz w:val="18"/>
              </w:rPr>
            </w:pPr>
            <w:r>
              <w:rPr>
                <w:spacing w:val="-10"/>
                <w:sz w:val="18"/>
              </w:rPr>
              <w:t>6</w:t>
            </w:r>
          </w:p>
        </w:tc>
        <w:tc>
          <w:tcPr>
            <w:tcW w:w="5983" w:type="dxa"/>
            <w:tcBorders>
              <w:top w:val="single" w:sz="4" w:space="0" w:color="BEBEBE"/>
              <w:bottom w:val="single" w:sz="4" w:space="0" w:color="BEBEBE"/>
            </w:tcBorders>
          </w:tcPr>
          <w:p w14:paraId="24EAB770" w14:textId="77777777" w:rsidR="00BC24A8" w:rsidRDefault="00000000">
            <w:pPr>
              <w:pStyle w:val="TableParagraph"/>
              <w:spacing w:before="59"/>
              <w:ind w:left="107"/>
              <w:rPr>
                <w:sz w:val="18"/>
              </w:rPr>
            </w:pPr>
            <w:r>
              <w:rPr>
                <w:sz w:val="18"/>
              </w:rPr>
              <w:t>Stunting</w:t>
            </w:r>
            <w:r>
              <w:rPr>
                <w:spacing w:val="-5"/>
                <w:sz w:val="18"/>
              </w:rPr>
              <w:t xml:space="preserve"> </w:t>
            </w:r>
            <w:r>
              <w:rPr>
                <w:sz w:val="18"/>
              </w:rPr>
              <w:t>prevalence</w:t>
            </w:r>
            <w:r>
              <w:rPr>
                <w:spacing w:val="-2"/>
                <w:sz w:val="18"/>
              </w:rPr>
              <w:t xml:space="preserve"> </w:t>
            </w:r>
            <w:r>
              <w:rPr>
                <w:sz w:val="18"/>
              </w:rPr>
              <w:t>in</w:t>
            </w:r>
            <w:r>
              <w:rPr>
                <w:spacing w:val="-1"/>
                <w:sz w:val="18"/>
              </w:rPr>
              <w:t xml:space="preserve"> </w:t>
            </w:r>
            <w:r>
              <w:rPr>
                <w:sz w:val="18"/>
              </w:rPr>
              <w:t>Children</w:t>
            </w:r>
            <w:r>
              <w:rPr>
                <w:spacing w:val="-2"/>
                <w:sz w:val="18"/>
              </w:rPr>
              <w:t xml:space="preserve"> </w:t>
            </w:r>
            <w:r>
              <w:rPr>
                <w:sz w:val="18"/>
              </w:rPr>
              <w:t>Aged</w:t>
            </w:r>
            <w:r>
              <w:rPr>
                <w:spacing w:val="-1"/>
                <w:sz w:val="18"/>
              </w:rPr>
              <w:t xml:space="preserve"> </w:t>
            </w:r>
            <w:r>
              <w:rPr>
                <w:sz w:val="18"/>
              </w:rPr>
              <w:t>0–59</w:t>
            </w:r>
            <w:r>
              <w:rPr>
                <w:spacing w:val="-2"/>
                <w:sz w:val="18"/>
              </w:rPr>
              <w:t xml:space="preserve"> </w:t>
            </w:r>
            <w:r>
              <w:rPr>
                <w:sz w:val="18"/>
              </w:rPr>
              <w:t>Months</w:t>
            </w:r>
            <w:r>
              <w:rPr>
                <w:spacing w:val="1"/>
                <w:sz w:val="18"/>
              </w:rPr>
              <w:t xml:space="preserve"> </w:t>
            </w:r>
            <w:r>
              <w:rPr>
                <w:sz w:val="18"/>
              </w:rPr>
              <w:t>(%)</w:t>
            </w:r>
            <w:r>
              <w:rPr>
                <w:spacing w:val="-1"/>
                <w:sz w:val="18"/>
              </w:rPr>
              <w:t xml:space="preserve"> </w:t>
            </w:r>
            <w:r>
              <w:rPr>
                <w:sz w:val="18"/>
              </w:rPr>
              <w:t>(SKI,</w:t>
            </w:r>
            <w:r>
              <w:rPr>
                <w:spacing w:val="-2"/>
                <w:sz w:val="18"/>
              </w:rPr>
              <w:t xml:space="preserve"> 2023)</w:t>
            </w:r>
          </w:p>
        </w:tc>
        <w:tc>
          <w:tcPr>
            <w:tcW w:w="2384" w:type="dxa"/>
            <w:tcBorders>
              <w:top w:val="single" w:sz="4" w:space="0" w:color="BEBEBE"/>
              <w:bottom w:val="single" w:sz="4" w:space="0" w:color="BEBEBE"/>
            </w:tcBorders>
          </w:tcPr>
          <w:p w14:paraId="5B8C1C54" w14:textId="77777777" w:rsidR="00BC24A8" w:rsidRDefault="00000000">
            <w:pPr>
              <w:pStyle w:val="TableParagraph"/>
              <w:spacing w:before="59"/>
              <w:ind w:left="3" w:right="198"/>
              <w:jc w:val="center"/>
              <w:rPr>
                <w:sz w:val="18"/>
              </w:rPr>
            </w:pPr>
            <w:r>
              <w:rPr>
                <w:spacing w:val="-4"/>
                <w:sz w:val="18"/>
              </w:rPr>
              <w:t>24,8</w:t>
            </w:r>
          </w:p>
        </w:tc>
      </w:tr>
      <w:tr w:rsidR="00BC24A8" w14:paraId="5620407B" w14:textId="77777777">
        <w:trPr>
          <w:trHeight w:val="335"/>
        </w:trPr>
        <w:tc>
          <w:tcPr>
            <w:tcW w:w="461" w:type="dxa"/>
            <w:tcBorders>
              <w:top w:val="single" w:sz="4" w:space="0" w:color="BEBEBE"/>
              <w:bottom w:val="single" w:sz="4" w:space="0" w:color="BEBEBE"/>
            </w:tcBorders>
          </w:tcPr>
          <w:p w14:paraId="6EF6C89E" w14:textId="77777777" w:rsidR="00BC24A8" w:rsidRDefault="00000000">
            <w:pPr>
              <w:pStyle w:val="TableParagraph"/>
              <w:spacing w:before="59"/>
              <w:ind w:left="4"/>
              <w:jc w:val="center"/>
              <w:rPr>
                <w:sz w:val="18"/>
              </w:rPr>
            </w:pPr>
            <w:r>
              <w:rPr>
                <w:spacing w:val="-10"/>
                <w:sz w:val="18"/>
              </w:rPr>
              <w:t>7</w:t>
            </w:r>
          </w:p>
        </w:tc>
        <w:tc>
          <w:tcPr>
            <w:tcW w:w="5983" w:type="dxa"/>
            <w:tcBorders>
              <w:top w:val="single" w:sz="4" w:space="0" w:color="BEBEBE"/>
              <w:bottom w:val="single" w:sz="4" w:space="0" w:color="BEBEBE"/>
            </w:tcBorders>
          </w:tcPr>
          <w:p w14:paraId="0C7B43FF" w14:textId="77777777" w:rsidR="00BC24A8" w:rsidRDefault="00000000">
            <w:pPr>
              <w:pStyle w:val="TableParagraph"/>
              <w:spacing w:before="59"/>
              <w:ind w:left="107"/>
              <w:rPr>
                <w:sz w:val="18"/>
              </w:rPr>
            </w:pPr>
            <w:r>
              <w:rPr>
                <w:sz w:val="18"/>
              </w:rPr>
              <w:t>Open</w:t>
            </w:r>
            <w:r>
              <w:rPr>
                <w:spacing w:val="-2"/>
                <w:sz w:val="18"/>
              </w:rPr>
              <w:t xml:space="preserve"> </w:t>
            </w:r>
            <w:r>
              <w:rPr>
                <w:sz w:val="18"/>
              </w:rPr>
              <w:t>Unemployment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(BPS,</w:t>
            </w:r>
            <w:r>
              <w:rPr>
                <w:spacing w:val="-1"/>
                <w:sz w:val="18"/>
              </w:rPr>
              <w:t xml:space="preserve"> </w:t>
            </w:r>
            <w:r>
              <w:rPr>
                <w:spacing w:val="-2"/>
                <w:sz w:val="18"/>
              </w:rPr>
              <w:t>2024)</w:t>
            </w:r>
          </w:p>
        </w:tc>
        <w:tc>
          <w:tcPr>
            <w:tcW w:w="2384" w:type="dxa"/>
            <w:tcBorders>
              <w:top w:val="single" w:sz="4" w:space="0" w:color="BEBEBE"/>
              <w:bottom w:val="single" w:sz="4" w:space="0" w:color="BEBEBE"/>
            </w:tcBorders>
          </w:tcPr>
          <w:p w14:paraId="6FEC4502" w14:textId="77777777" w:rsidR="00BC24A8" w:rsidRDefault="00000000">
            <w:pPr>
              <w:pStyle w:val="TableParagraph"/>
              <w:spacing w:before="59"/>
              <w:ind w:left="3" w:right="198"/>
              <w:jc w:val="center"/>
              <w:rPr>
                <w:sz w:val="18"/>
              </w:rPr>
            </w:pPr>
            <w:r>
              <w:rPr>
                <w:spacing w:val="-4"/>
                <w:sz w:val="18"/>
              </w:rPr>
              <w:t>4,75</w:t>
            </w:r>
          </w:p>
        </w:tc>
      </w:tr>
      <w:tr w:rsidR="00BC24A8" w14:paraId="54F9C064" w14:textId="77777777">
        <w:trPr>
          <w:trHeight w:val="333"/>
        </w:trPr>
        <w:tc>
          <w:tcPr>
            <w:tcW w:w="461" w:type="dxa"/>
            <w:tcBorders>
              <w:top w:val="single" w:sz="4" w:space="0" w:color="BEBEBE"/>
            </w:tcBorders>
          </w:tcPr>
          <w:p w14:paraId="2E56981C" w14:textId="77777777" w:rsidR="00BC24A8" w:rsidRDefault="00000000">
            <w:pPr>
              <w:pStyle w:val="TableParagraph"/>
              <w:spacing w:before="56"/>
              <w:ind w:left="4"/>
              <w:jc w:val="center"/>
              <w:rPr>
                <w:sz w:val="18"/>
              </w:rPr>
            </w:pPr>
            <w:r>
              <w:rPr>
                <w:spacing w:val="-10"/>
                <w:sz w:val="18"/>
              </w:rPr>
              <w:t>8</w:t>
            </w:r>
          </w:p>
        </w:tc>
        <w:tc>
          <w:tcPr>
            <w:tcW w:w="5983" w:type="dxa"/>
            <w:tcBorders>
              <w:top w:val="single" w:sz="4" w:space="0" w:color="BEBEBE"/>
              <w:bottom w:val="single" w:sz="4" w:space="0" w:color="BEBEBE"/>
            </w:tcBorders>
          </w:tcPr>
          <w:p w14:paraId="4B163374" w14:textId="77777777" w:rsidR="00BC24A8" w:rsidRDefault="00000000">
            <w:pPr>
              <w:pStyle w:val="TableParagraph"/>
              <w:spacing w:before="56"/>
              <w:ind w:left="107"/>
              <w:rPr>
                <w:sz w:val="18"/>
              </w:rPr>
            </w:pPr>
            <w:r>
              <w:rPr>
                <w:sz w:val="18"/>
              </w:rPr>
              <w:t>Poverty</w:t>
            </w:r>
            <w:r>
              <w:rPr>
                <w:spacing w:val="-6"/>
                <w:sz w:val="18"/>
              </w:rPr>
              <w:t xml:space="preserve"> </w:t>
            </w:r>
            <w:r>
              <w:rPr>
                <w:spacing w:val="-2"/>
                <w:sz w:val="18"/>
              </w:rPr>
              <w:t>Situation</w:t>
            </w:r>
          </w:p>
        </w:tc>
        <w:tc>
          <w:tcPr>
            <w:tcW w:w="2384" w:type="dxa"/>
            <w:tcBorders>
              <w:top w:val="single" w:sz="4" w:space="0" w:color="BEBEBE"/>
              <w:bottom w:val="single" w:sz="4" w:space="0" w:color="BEBEBE"/>
            </w:tcBorders>
          </w:tcPr>
          <w:p w14:paraId="2DC0B558" w14:textId="77777777" w:rsidR="00BC24A8" w:rsidRDefault="00BC24A8">
            <w:pPr>
              <w:pStyle w:val="TableParagraph"/>
              <w:rPr>
                <w:rFonts w:ascii="Times New Roman"/>
                <w:sz w:val="18"/>
              </w:rPr>
            </w:pPr>
          </w:p>
        </w:tc>
      </w:tr>
      <w:tr w:rsidR="00BC24A8" w14:paraId="10E73A7B" w14:textId="77777777">
        <w:trPr>
          <w:trHeight w:val="333"/>
        </w:trPr>
        <w:tc>
          <w:tcPr>
            <w:tcW w:w="461" w:type="dxa"/>
          </w:tcPr>
          <w:p w14:paraId="0C56AADA"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73E51D99" w14:textId="77777777" w:rsidR="00BC24A8" w:rsidRDefault="00000000">
            <w:pPr>
              <w:pStyle w:val="TableParagraph"/>
              <w:tabs>
                <w:tab w:val="left" w:pos="539"/>
              </w:tabs>
              <w:spacing w:before="56"/>
              <w:ind w:left="88"/>
              <w:rPr>
                <w:sz w:val="18"/>
              </w:rPr>
            </w:pPr>
            <w:r>
              <w:rPr>
                <w:spacing w:val="-5"/>
                <w:sz w:val="18"/>
              </w:rPr>
              <w:t>a.</w:t>
            </w:r>
            <w:r>
              <w:rPr>
                <w:sz w:val="18"/>
              </w:rPr>
              <w:tab/>
              <w:t>Percentage</w:t>
            </w:r>
            <w:r>
              <w:rPr>
                <w:spacing w:val="-4"/>
                <w:sz w:val="18"/>
              </w:rPr>
              <w:t xml:space="preserve"> </w:t>
            </w:r>
            <w:r>
              <w:rPr>
                <w:sz w:val="18"/>
              </w:rPr>
              <w:t>of</w:t>
            </w:r>
            <w:r>
              <w:rPr>
                <w:spacing w:val="-4"/>
                <w:sz w:val="18"/>
              </w:rPr>
              <w:t xml:space="preserve"> </w:t>
            </w:r>
            <w:r>
              <w:rPr>
                <w:sz w:val="18"/>
              </w:rPr>
              <w:t>Poor</w:t>
            </w:r>
            <w:r>
              <w:rPr>
                <w:spacing w:val="-3"/>
                <w:sz w:val="18"/>
              </w:rPr>
              <w:t xml:space="preserve"> </w:t>
            </w:r>
            <w:r>
              <w:rPr>
                <w:sz w:val="18"/>
              </w:rPr>
              <w:t>Population</w:t>
            </w:r>
            <w:r>
              <w:rPr>
                <w:spacing w:val="-3"/>
                <w:sz w:val="18"/>
              </w:rPr>
              <w:t xml:space="preserve"> </w:t>
            </w:r>
            <w:r>
              <w:rPr>
                <w:sz w:val="18"/>
              </w:rPr>
              <w:t>(BPS,</w:t>
            </w:r>
            <w:r>
              <w:rPr>
                <w:spacing w:val="-3"/>
                <w:sz w:val="18"/>
              </w:rPr>
              <w:t xml:space="preserve"> </w:t>
            </w:r>
            <w:r>
              <w:rPr>
                <w:spacing w:val="-4"/>
                <w:sz w:val="18"/>
              </w:rPr>
              <w:t>2024)</w:t>
            </w:r>
          </w:p>
        </w:tc>
        <w:tc>
          <w:tcPr>
            <w:tcW w:w="2384" w:type="dxa"/>
            <w:tcBorders>
              <w:top w:val="single" w:sz="4" w:space="0" w:color="BEBEBE"/>
              <w:bottom w:val="single" w:sz="4" w:space="0" w:color="BEBEBE"/>
            </w:tcBorders>
          </w:tcPr>
          <w:p w14:paraId="37AD5D76" w14:textId="77777777" w:rsidR="00BC24A8" w:rsidRDefault="00000000">
            <w:pPr>
              <w:pStyle w:val="TableParagraph"/>
              <w:spacing w:before="56"/>
              <w:ind w:left="1" w:right="198"/>
              <w:jc w:val="center"/>
              <w:rPr>
                <w:sz w:val="18"/>
              </w:rPr>
            </w:pPr>
            <w:r>
              <w:rPr>
                <w:spacing w:val="-2"/>
                <w:sz w:val="18"/>
              </w:rPr>
              <w:t>17,44</w:t>
            </w:r>
          </w:p>
        </w:tc>
      </w:tr>
      <w:tr w:rsidR="00BC24A8" w14:paraId="01690A15" w14:textId="77777777">
        <w:trPr>
          <w:trHeight w:val="333"/>
        </w:trPr>
        <w:tc>
          <w:tcPr>
            <w:tcW w:w="461" w:type="dxa"/>
          </w:tcPr>
          <w:p w14:paraId="11BB4685"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588D1AE1" w14:textId="77777777" w:rsidR="00BC24A8" w:rsidRDefault="00000000">
            <w:pPr>
              <w:pStyle w:val="TableParagraph"/>
              <w:tabs>
                <w:tab w:val="left" w:pos="539"/>
              </w:tabs>
              <w:spacing w:before="59"/>
              <w:ind w:left="107"/>
              <w:rPr>
                <w:sz w:val="18"/>
              </w:rPr>
            </w:pPr>
            <w:r>
              <w:rPr>
                <w:spacing w:val="-5"/>
                <w:sz w:val="18"/>
              </w:rPr>
              <w:t>b.</w:t>
            </w:r>
            <w:r>
              <w:rPr>
                <w:sz w:val="18"/>
              </w:rPr>
              <w:tab/>
              <w:t>Poverty</w:t>
            </w:r>
            <w:r>
              <w:rPr>
                <w:spacing w:val="-3"/>
                <w:sz w:val="18"/>
              </w:rPr>
              <w:t xml:space="preserve"> </w:t>
            </w:r>
            <w:r>
              <w:rPr>
                <w:sz w:val="18"/>
              </w:rPr>
              <w:t>Depth</w:t>
            </w:r>
            <w:r>
              <w:rPr>
                <w:spacing w:val="-3"/>
                <w:sz w:val="18"/>
              </w:rPr>
              <w:t xml:space="preserve"> </w:t>
            </w:r>
            <w:r>
              <w:rPr>
                <w:sz w:val="18"/>
              </w:rPr>
              <w:t>Index</w:t>
            </w:r>
            <w:r>
              <w:rPr>
                <w:spacing w:val="-3"/>
                <w:sz w:val="18"/>
              </w:rPr>
              <w:t xml:space="preserve"> </w:t>
            </w:r>
            <w:r>
              <w:rPr>
                <w:sz w:val="18"/>
              </w:rPr>
              <w:t>(BPS,</w:t>
            </w:r>
            <w:r>
              <w:rPr>
                <w:spacing w:val="-2"/>
                <w:sz w:val="18"/>
              </w:rPr>
              <w:t xml:space="preserve"> </w:t>
            </w:r>
            <w:r>
              <w:rPr>
                <w:spacing w:val="-4"/>
                <w:sz w:val="18"/>
              </w:rPr>
              <w:t>2024)</w:t>
            </w:r>
          </w:p>
        </w:tc>
        <w:tc>
          <w:tcPr>
            <w:tcW w:w="2384" w:type="dxa"/>
            <w:tcBorders>
              <w:top w:val="single" w:sz="4" w:space="0" w:color="BEBEBE"/>
              <w:bottom w:val="single" w:sz="4" w:space="0" w:color="BEBEBE"/>
            </w:tcBorders>
          </w:tcPr>
          <w:p w14:paraId="384D1D47" w14:textId="77777777" w:rsidR="00BC24A8" w:rsidRDefault="00000000">
            <w:pPr>
              <w:pStyle w:val="TableParagraph"/>
              <w:spacing w:before="59"/>
              <w:ind w:left="1" w:right="198"/>
              <w:jc w:val="center"/>
              <w:rPr>
                <w:sz w:val="18"/>
              </w:rPr>
            </w:pPr>
            <w:r>
              <w:rPr>
                <w:spacing w:val="-4"/>
                <w:sz w:val="18"/>
              </w:rPr>
              <w:t>3,71</w:t>
            </w:r>
          </w:p>
        </w:tc>
      </w:tr>
      <w:tr w:rsidR="00BC24A8" w14:paraId="109C6625" w14:textId="77777777">
        <w:trPr>
          <w:trHeight w:val="335"/>
        </w:trPr>
        <w:tc>
          <w:tcPr>
            <w:tcW w:w="461" w:type="dxa"/>
          </w:tcPr>
          <w:p w14:paraId="35B48093"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68B5630A" w14:textId="77777777" w:rsidR="00BC24A8" w:rsidRDefault="00000000">
            <w:pPr>
              <w:pStyle w:val="TableParagraph"/>
              <w:tabs>
                <w:tab w:val="left" w:pos="539"/>
              </w:tabs>
              <w:spacing w:before="59"/>
              <w:ind w:left="107"/>
              <w:rPr>
                <w:sz w:val="18"/>
              </w:rPr>
            </w:pPr>
            <w:r>
              <w:rPr>
                <w:spacing w:val="-5"/>
                <w:sz w:val="18"/>
              </w:rPr>
              <w:t>c.</w:t>
            </w:r>
            <w:r>
              <w:rPr>
                <w:sz w:val="18"/>
              </w:rPr>
              <w:tab/>
              <w:t>Poverty</w:t>
            </w:r>
            <w:r>
              <w:rPr>
                <w:spacing w:val="-4"/>
                <w:sz w:val="18"/>
              </w:rPr>
              <w:t xml:space="preserve"> </w:t>
            </w:r>
            <w:r>
              <w:rPr>
                <w:sz w:val="18"/>
              </w:rPr>
              <w:t>Severity</w:t>
            </w:r>
            <w:r>
              <w:rPr>
                <w:spacing w:val="-3"/>
                <w:sz w:val="18"/>
              </w:rPr>
              <w:t xml:space="preserve"> </w:t>
            </w:r>
            <w:r>
              <w:rPr>
                <w:sz w:val="18"/>
              </w:rPr>
              <w:t>Index</w:t>
            </w:r>
            <w:r>
              <w:rPr>
                <w:spacing w:val="-3"/>
                <w:sz w:val="18"/>
              </w:rPr>
              <w:t xml:space="preserve"> </w:t>
            </w:r>
            <w:r>
              <w:rPr>
                <w:sz w:val="18"/>
              </w:rPr>
              <w:t>(BPS,</w:t>
            </w:r>
            <w:r>
              <w:rPr>
                <w:spacing w:val="-3"/>
                <w:sz w:val="18"/>
              </w:rPr>
              <w:t xml:space="preserve"> </w:t>
            </w:r>
            <w:r>
              <w:rPr>
                <w:spacing w:val="-2"/>
                <w:sz w:val="18"/>
              </w:rPr>
              <w:t>2024)</w:t>
            </w:r>
          </w:p>
        </w:tc>
        <w:tc>
          <w:tcPr>
            <w:tcW w:w="2384" w:type="dxa"/>
            <w:tcBorders>
              <w:top w:val="single" w:sz="4" w:space="0" w:color="BEBEBE"/>
              <w:bottom w:val="single" w:sz="4" w:space="0" w:color="BEBEBE"/>
            </w:tcBorders>
          </w:tcPr>
          <w:p w14:paraId="11A5618F" w14:textId="77777777" w:rsidR="00BC24A8" w:rsidRDefault="00000000">
            <w:pPr>
              <w:pStyle w:val="TableParagraph"/>
              <w:spacing w:before="59"/>
              <w:ind w:left="1" w:right="198"/>
              <w:jc w:val="center"/>
              <w:rPr>
                <w:sz w:val="18"/>
              </w:rPr>
            </w:pPr>
            <w:r>
              <w:rPr>
                <w:spacing w:val="-4"/>
                <w:sz w:val="18"/>
              </w:rPr>
              <w:t>1,08</w:t>
            </w:r>
          </w:p>
        </w:tc>
      </w:tr>
      <w:tr w:rsidR="00BC24A8" w14:paraId="00D1E7B2" w14:textId="77777777">
        <w:trPr>
          <w:trHeight w:val="333"/>
        </w:trPr>
        <w:tc>
          <w:tcPr>
            <w:tcW w:w="461" w:type="dxa"/>
            <w:tcBorders>
              <w:bottom w:val="single" w:sz="4" w:space="0" w:color="BEBEBE"/>
            </w:tcBorders>
          </w:tcPr>
          <w:p w14:paraId="5B075FF3" w14:textId="77777777" w:rsidR="00BC24A8" w:rsidRDefault="00BC24A8">
            <w:pPr>
              <w:pStyle w:val="TableParagraph"/>
              <w:rPr>
                <w:rFonts w:ascii="Times New Roman"/>
                <w:sz w:val="18"/>
              </w:rPr>
            </w:pPr>
          </w:p>
        </w:tc>
        <w:tc>
          <w:tcPr>
            <w:tcW w:w="5983" w:type="dxa"/>
            <w:tcBorders>
              <w:top w:val="single" w:sz="4" w:space="0" w:color="BEBEBE"/>
              <w:bottom w:val="single" w:sz="4" w:space="0" w:color="BEBEBE"/>
            </w:tcBorders>
          </w:tcPr>
          <w:p w14:paraId="44F8C432" w14:textId="77777777" w:rsidR="00BC24A8" w:rsidRDefault="00000000">
            <w:pPr>
              <w:pStyle w:val="TableParagraph"/>
              <w:tabs>
                <w:tab w:val="left" w:pos="539"/>
              </w:tabs>
              <w:spacing w:before="56"/>
              <w:ind w:left="107"/>
              <w:rPr>
                <w:sz w:val="18"/>
              </w:rPr>
            </w:pPr>
            <w:r>
              <w:rPr>
                <w:spacing w:val="-5"/>
                <w:sz w:val="18"/>
              </w:rPr>
              <w:t>d.</w:t>
            </w:r>
            <w:r>
              <w:rPr>
                <w:sz w:val="18"/>
              </w:rPr>
              <w:tab/>
              <w:t>Poverty</w:t>
            </w:r>
            <w:r>
              <w:rPr>
                <w:spacing w:val="-3"/>
                <w:sz w:val="18"/>
              </w:rPr>
              <w:t xml:space="preserve"> </w:t>
            </w:r>
            <w:r>
              <w:rPr>
                <w:sz w:val="18"/>
              </w:rPr>
              <w:t>Line</w:t>
            </w:r>
            <w:r>
              <w:rPr>
                <w:spacing w:val="-2"/>
                <w:sz w:val="18"/>
              </w:rPr>
              <w:t xml:space="preserve"> (rupiah/capita/month)</w:t>
            </w:r>
          </w:p>
        </w:tc>
        <w:tc>
          <w:tcPr>
            <w:tcW w:w="2384" w:type="dxa"/>
            <w:tcBorders>
              <w:top w:val="single" w:sz="4" w:space="0" w:color="BEBEBE"/>
              <w:bottom w:val="single" w:sz="4" w:space="0" w:color="BEBEBE"/>
            </w:tcBorders>
          </w:tcPr>
          <w:p w14:paraId="168B809E" w14:textId="77777777" w:rsidR="00BC24A8" w:rsidRDefault="00000000">
            <w:pPr>
              <w:pStyle w:val="TableParagraph"/>
              <w:spacing w:before="56"/>
              <w:ind w:left="1" w:right="198"/>
              <w:jc w:val="center"/>
              <w:rPr>
                <w:sz w:val="18"/>
              </w:rPr>
            </w:pPr>
            <w:r>
              <w:rPr>
                <w:spacing w:val="-2"/>
                <w:sz w:val="18"/>
              </w:rPr>
              <w:t>519.979</w:t>
            </w:r>
          </w:p>
        </w:tc>
      </w:tr>
      <w:tr w:rsidR="00BC24A8" w14:paraId="260CD057" w14:textId="77777777">
        <w:trPr>
          <w:trHeight w:val="333"/>
        </w:trPr>
        <w:tc>
          <w:tcPr>
            <w:tcW w:w="461" w:type="dxa"/>
            <w:tcBorders>
              <w:top w:val="single" w:sz="4" w:space="0" w:color="BEBEBE"/>
              <w:bottom w:val="single" w:sz="4" w:space="0" w:color="BEBEBE"/>
            </w:tcBorders>
          </w:tcPr>
          <w:p w14:paraId="0FB25748" w14:textId="77777777" w:rsidR="00BC24A8" w:rsidRDefault="00000000">
            <w:pPr>
              <w:pStyle w:val="TableParagraph"/>
              <w:spacing w:before="56"/>
              <w:ind w:left="4"/>
              <w:jc w:val="center"/>
              <w:rPr>
                <w:sz w:val="18"/>
              </w:rPr>
            </w:pPr>
            <w:r>
              <w:rPr>
                <w:spacing w:val="-10"/>
                <w:sz w:val="18"/>
              </w:rPr>
              <w:t>9</w:t>
            </w:r>
          </w:p>
        </w:tc>
        <w:tc>
          <w:tcPr>
            <w:tcW w:w="5983" w:type="dxa"/>
            <w:tcBorders>
              <w:top w:val="single" w:sz="4" w:space="0" w:color="BEBEBE"/>
              <w:bottom w:val="single" w:sz="4" w:space="0" w:color="BEBEBE"/>
            </w:tcBorders>
          </w:tcPr>
          <w:p w14:paraId="47CB20CD" w14:textId="77777777" w:rsidR="00BC24A8" w:rsidRDefault="00000000">
            <w:pPr>
              <w:pStyle w:val="TableParagraph"/>
              <w:spacing w:before="56"/>
              <w:ind w:left="107"/>
              <w:rPr>
                <w:sz w:val="18"/>
              </w:rPr>
            </w:pPr>
            <w:r>
              <w:rPr>
                <w:sz w:val="18"/>
              </w:rPr>
              <w:t>Gini</w:t>
            </w:r>
            <w:r>
              <w:rPr>
                <w:spacing w:val="-3"/>
                <w:sz w:val="18"/>
              </w:rPr>
              <w:t xml:space="preserve"> </w:t>
            </w:r>
            <w:r>
              <w:rPr>
                <w:sz w:val="18"/>
              </w:rPr>
              <w:t>Coefficient</w:t>
            </w:r>
            <w:r>
              <w:rPr>
                <w:spacing w:val="-1"/>
                <w:sz w:val="18"/>
              </w:rPr>
              <w:t xml:space="preserve"> </w:t>
            </w:r>
            <w:r>
              <w:rPr>
                <w:sz w:val="18"/>
              </w:rPr>
              <w:t>(BPS,</w:t>
            </w:r>
            <w:r>
              <w:rPr>
                <w:spacing w:val="-2"/>
                <w:sz w:val="18"/>
              </w:rPr>
              <w:t xml:space="preserve"> 2024)</w:t>
            </w:r>
          </w:p>
        </w:tc>
        <w:tc>
          <w:tcPr>
            <w:tcW w:w="2384" w:type="dxa"/>
            <w:tcBorders>
              <w:top w:val="single" w:sz="4" w:space="0" w:color="BEBEBE"/>
              <w:bottom w:val="single" w:sz="4" w:space="0" w:color="BEBEBE"/>
            </w:tcBorders>
          </w:tcPr>
          <w:p w14:paraId="56B62DED" w14:textId="77777777" w:rsidR="00BC24A8" w:rsidRDefault="00000000">
            <w:pPr>
              <w:pStyle w:val="TableParagraph"/>
              <w:spacing w:before="56"/>
              <w:ind w:left="3" w:right="198"/>
              <w:jc w:val="center"/>
              <w:rPr>
                <w:sz w:val="18"/>
              </w:rPr>
            </w:pPr>
            <w:r>
              <w:rPr>
                <w:spacing w:val="-2"/>
                <w:sz w:val="18"/>
              </w:rPr>
              <w:t>0,404</w:t>
            </w:r>
          </w:p>
        </w:tc>
      </w:tr>
      <w:tr w:rsidR="00BC24A8" w14:paraId="6B4D6AB9" w14:textId="77777777">
        <w:trPr>
          <w:trHeight w:val="333"/>
        </w:trPr>
        <w:tc>
          <w:tcPr>
            <w:tcW w:w="461" w:type="dxa"/>
            <w:tcBorders>
              <w:top w:val="single" w:sz="4" w:space="0" w:color="BEBEBE"/>
              <w:bottom w:val="single" w:sz="4" w:space="0" w:color="BEBEBE"/>
            </w:tcBorders>
          </w:tcPr>
          <w:p w14:paraId="54A15B04" w14:textId="77777777" w:rsidR="00BC24A8" w:rsidRDefault="00000000">
            <w:pPr>
              <w:pStyle w:val="TableParagraph"/>
              <w:spacing w:before="56"/>
              <w:ind w:left="4"/>
              <w:jc w:val="center"/>
              <w:rPr>
                <w:sz w:val="18"/>
              </w:rPr>
            </w:pPr>
            <w:r>
              <w:rPr>
                <w:spacing w:val="-5"/>
                <w:sz w:val="18"/>
              </w:rPr>
              <w:t>10</w:t>
            </w:r>
          </w:p>
        </w:tc>
        <w:tc>
          <w:tcPr>
            <w:tcW w:w="5983" w:type="dxa"/>
            <w:tcBorders>
              <w:top w:val="single" w:sz="4" w:space="0" w:color="BEBEBE"/>
              <w:bottom w:val="single" w:sz="4" w:space="0" w:color="BEBEBE"/>
            </w:tcBorders>
          </w:tcPr>
          <w:p w14:paraId="4D2D983F" w14:textId="77777777" w:rsidR="00BC24A8" w:rsidRDefault="00000000">
            <w:pPr>
              <w:pStyle w:val="TableParagraph"/>
              <w:spacing w:before="56"/>
              <w:ind w:left="107"/>
              <w:rPr>
                <w:sz w:val="18"/>
              </w:rPr>
            </w:pPr>
            <w:r>
              <w:rPr>
                <w:sz w:val="18"/>
              </w:rPr>
              <w:t>HDI</w:t>
            </w:r>
            <w:r>
              <w:rPr>
                <w:spacing w:val="-3"/>
                <w:sz w:val="18"/>
              </w:rPr>
              <w:t xml:space="preserve"> </w:t>
            </w:r>
            <w:r>
              <w:rPr>
                <w:sz w:val="18"/>
              </w:rPr>
              <w:t>(using</w:t>
            </w:r>
            <w:r>
              <w:rPr>
                <w:spacing w:val="-3"/>
                <w:sz w:val="18"/>
              </w:rPr>
              <w:t xml:space="preserve"> </w:t>
            </w:r>
            <w:r>
              <w:rPr>
                <w:sz w:val="18"/>
              </w:rPr>
              <w:t>Life</w:t>
            </w:r>
            <w:r>
              <w:rPr>
                <w:spacing w:val="-2"/>
                <w:sz w:val="18"/>
              </w:rPr>
              <w:t xml:space="preserve"> </w:t>
            </w:r>
            <w:r>
              <w:rPr>
                <w:sz w:val="18"/>
              </w:rPr>
              <w:t>Expectancy from</w:t>
            </w:r>
            <w:r>
              <w:rPr>
                <w:spacing w:val="-2"/>
                <w:sz w:val="18"/>
              </w:rPr>
              <w:t xml:space="preserve"> </w:t>
            </w:r>
            <w:r>
              <w:rPr>
                <w:sz w:val="18"/>
              </w:rPr>
              <w:t>SP2020 LF)</w:t>
            </w:r>
            <w:r>
              <w:rPr>
                <w:spacing w:val="-3"/>
                <w:sz w:val="18"/>
              </w:rPr>
              <w:t xml:space="preserve"> </w:t>
            </w:r>
            <w:r>
              <w:rPr>
                <w:sz w:val="18"/>
              </w:rPr>
              <w:t>(BPS,</w:t>
            </w:r>
            <w:r>
              <w:rPr>
                <w:spacing w:val="-2"/>
                <w:sz w:val="18"/>
              </w:rPr>
              <w:t xml:space="preserve"> 2023)</w:t>
            </w:r>
          </w:p>
        </w:tc>
        <w:tc>
          <w:tcPr>
            <w:tcW w:w="2384" w:type="dxa"/>
            <w:tcBorders>
              <w:top w:val="single" w:sz="4" w:space="0" w:color="BEBEBE"/>
              <w:bottom w:val="single" w:sz="4" w:space="0" w:color="BEBEBE"/>
            </w:tcBorders>
          </w:tcPr>
          <w:p w14:paraId="69368306" w14:textId="77777777" w:rsidR="00BC24A8" w:rsidRDefault="00000000">
            <w:pPr>
              <w:pStyle w:val="TableParagraph"/>
              <w:spacing w:before="56"/>
              <w:ind w:left="4" w:right="198"/>
              <w:jc w:val="center"/>
              <w:rPr>
                <w:sz w:val="18"/>
              </w:rPr>
            </w:pPr>
            <w:r>
              <w:rPr>
                <w:sz w:val="18"/>
              </w:rPr>
              <w:t>63,01</w:t>
            </w:r>
            <w:r>
              <w:rPr>
                <w:spacing w:val="1"/>
                <w:sz w:val="18"/>
              </w:rPr>
              <w:t xml:space="preserve"> </w:t>
            </w:r>
            <w:r>
              <w:rPr>
                <w:spacing w:val="-5"/>
                <w:sz w:val="18"/>
              </w:rPr>
              <w:t>a)</w:t>
            </w:r>
          </w:p>
        </w:tc>
      </w:tr>
    </w:tbl>
    <w:p w14:paraId="14042A7B" w14:textId="77777777" w:rsidR="00BC24A8" w:rsidRDefault="00000000">
      <w:pPr>
        <w:spacing w:before="131"/>
        <w:ind w:left="143"/>
        <w:rPr>
          <w:sz w:val="16"/>
        </w:rPr>
      </w:pPr>
      <w:r>
        <w:rPr>
          <w:sz w:val="16"/>
        </w:rPr>
        <w:t>Data</w:t>
      </w:r>
      <w:r>
        <w:rPr>
          <w:spacing w:val="-8"/>
          <w:sz w:val="16"/>
        </w:rPr>
        <w:t xml:space="preserve"> </w:t>
      </w:r>
      <w:r>
        <w:rPr>
          <w:sz w:val="16"/>
        </w:rPr>
        <w:t>Source:</w:t>
      </w:r>
      <w:r>
        <w:rPr>
          <w:spacing w:val="-7"/>
          <w:sz w:val="16"/>
        </w:rPr>
        <w:t xml:space="preserve"> </w:t>
      </w:r>
      <w:r>
        <w:rPr>
          <w:sz w:val="16"/>
        </w:rPr>
        <w:t>Compiled</w:t>
      </w:r>
      <w:r>
        <w:rPr>
          <w:spacing w:val="-8"/>
          <w:sz w:val="16"/>
        </w:rPr>
        <w:t xml:space="preserve"> </w:t>
      </w:r>
      <w:r>
        <w:rPr>
          <w:sz w:val="16"/>
        </w:rPr>
        <w:t>from</w:t>
      </w:r>
      <w:r>
        <w:rPr>
          <w:spacing w:val="-8"/>
          <w:sz w:val="16"/>
        </w:rPr>
        <w:t xml:space="preserve"> </w:t>
      </w:r>
      <w:r>
        <w:rPr>
          <w:sz w:val="16"/>
        </w:rPr>
        <w:t>BPS</w:t>
      </w:r>
      <w:r>
        <w:rPr>
          <w:spacing w:val="-8"/>
          <w:sz w:val="16"/>
        </w:rPr>
        <w:t xml:space="preserve"> </w:t>
      </w:r>
      <w:r>
        <w:rPr>
          <w:sz w:val="16"/>
        </w:rPr>
        <w:t>publications,</w:t>
      </w:r>
      <w:r>
        <w:rPr>
          <w:spacing w:val="-10"/>
          <w:sz w:val="16"/>
        </w:rPr>
        <w:t xml:space="preserve"> </w:t>
      </w:r>
      <w:r>
        <w:rPr>
          <w:sz w:val="16"/>
        </w:rPr>
        <w:t>Education</w:t>
      </w:r>
      <w:r>
        <w:rPr>
          <w:spacing w:val="-7"/>
          <w:sz w:val="16"/>
        </w:rPr>
        <w:t xml:space="preserve"> </w:t>
      </w:r>
      <w:r>
        <w:rPr>
          <w:sz w:val="16"/>
        </w:rPr>
        <w:t>Balance</w:t>
      </w:r>
      <w:r>
        <w:rPr>
          <w:spacing w:val="-8"/>
          <w:sz w:val="16"/>
        </w:rPr>
        <w:t xml:space="preserve"> </w:t>
      </w:r>
      <w:r>
        <w:rPr>
          <w:spacing w:val="-4"/>
          <w:sz w:val="16"/>
        </w:rPr>
        <w:t>Sheet</w:t>
      </w:r>
    </w:p>
    <w:p w14:paraId="7EDE5A1E" w14:textId="77777777" w:rsidR="00BC24A8" w:rsidRDefault="00BC24A8">
      <w:pPr>
        <w:rPr>
          <w:sz w:val="16"/>
        </w:rPr>
        <w:sectPr w:rsidR="00BC24A8">
          <w:pgSz w:w="11910" w:h="16840"/>
          <w:pgMar w:top="1320" w:right="850" w:bottom="1100" w:left="1275" w:header="0" w:footer="907" w:gutter="0"/>
          <w:cols w:space="720"/>
        </w:sectPr>
      </w:pPr>
    </w:p>
    <w:p w14:paraId="33341BE6" w14:textId="77777777" w:rsidR="00BC24A8" w:rsidRDefault="00000000">
      <w:pPr>
        <w:pStyle w:val="Heading5"/>
        <w:spacing w:before="39"/>
      </w:pPr>
      <w:r>
        <w:rPr>
          <w:color w:val="767070"/>
        </w:rPr>
        <w:t>MSS</w:t>
      </w:r>
      <w:r>
        <w:rPr>
          <w:color w:val="767070"/>
          <w:spacing w:val="-9"/>
        </w:rPr>
        <w:t xml:space="preserve"> </w:t>
      </w:r>
      <w:r>
        <w:rPr>
          <w:color w:val="767070"/>
        </w:rPr>
        <w:t>Achievement</w:t>
      </w:r>
      <w:r>
        <w:rPr>
          <w:color w:val="767070"/>
          <w:spacing w:val="-7"/>
        </w:rPr>
        <w:t xml:space="preserve"> </w:t>
      </w:r>
      <w:r>
        <w:rPr>
          <w:color w:val="767070"/>
        </w:rPr>
        <w:t>Index</w:t>
      </w:r>
      <w:r>
        <w:rPr>
          <w:color w:val="767070"/>
          <w:spacing w:val="-10"/>
        </w:rPr>
        <w:t xml:space="preserve"> </w:t>
      </w:r>
      <w:r>
        <w:rPr>
          <w:color w:val="767070"/>
        </w:rPr>
        <w:t>Data,</w:t>
      </w:r>
      <w:r>
        <w:rPr>
          <w:color w:val="767070"/>
          <w:spacing w:val="-8"/>
        </w:rPr>
        <w:t xml:space="preserve"> </w:t>
      </w:r>
      <w:r>
        <w:rPr>
          <w:color w:val="767070"/>
          <w:spacing w:val="-2"/>
        </w:rPr>
        <w:t>2022–2024</w:t>
      </w:r>
    </w:p>
    <w:p w14:paraId="711F08B7" w14:textId="77777777" w:rsidR="00BC24A8" w:rsidRDefault="00BC24A8">
      <w:pPr>
        <w:pStyle w:val="BodyText"/>
        <w:spacing w:before="8"/>
        <w:rPr>
          <w:rFonts w:ascii="Calibri"/>
          <w:b/>
          <w:sz w:val="12"/>
        </w:rPr>
      </w:pPr>
    </w:p>
    <w:tbl>
      <w:tblPr>
        <w:tblW w:w="0" w:type="auto"/>
        <w:tblInd w:w="150" w:type="dxa"/>
        <w:tblLayout w:type="fixed"/>
        <w:tblCellMar>
          <w:left w:w="0" w:type="dxa"/>
          <w:right w:w="0" w:type="dxa"/>
        </w:tblCellMar>
        <w:tblLook w:val="01E0" w:firstRow="1" w:lastRow="1" w:firstColumn="1" w:lastColumn="1" w:noHBand="0" w:noVBand="0"/>
      </w:tblPr>
      <w:tblGrid>
        <w:gridCol w:w="2527"/>
        <w:gridCol w:w="2064"/>
        <w:gridCol w:w="2249"/>
        <w:gridCol w:w="2160"/>
      </w:tblGrid>
      <w:tr w:rsidR="00BC24A8" w14:paraId="44FB287B" w14:textId="77777777">
        <w:trPr>
          <w:trHeight w:val="643"/>
        </w:trPr>
        <w:tc>
          <w:tcPr>
            <w:tcW w:w="2527" w:type="dxa"/>
            <w:shd w:val="clear" w:color="auto" w:fill="17365A"/>
          </w:tcPr>
          <w:p w14:paraId="4E9E3D3B" w14:textId="77777777" w:rsidR="00BC24A8" w:rsidRDefault="00000000">
            <w:pPr>
              <w:pStyle w:val="TableParagraph"/>
              <w:spacing w:before="191"/>
              <w:ind w:left="107"/>
              <w:rPr>
                <w:rFonts w:ascii="Calibri"/>
                <w:b/>
                <w:sz w:val="20"/>
              </w:rPr>
            </w:pPr>
            <w:r>
              <w:rPr>
                <w:rFonts w:ascii="Calibri"/>
                <w:b/>
                <w:color w:val="FFFFFF"/>
                <w:spacing w:val="-2"/>
                <w:sz w:val="20"/>
              </w:rPr>
              <w:t>Sector</w:t>
            </w:r>
          </w:p>
        </w:tc>
        <w:tc>
          <w:tcPr>
            <w:tcW w:w="2064" w:type="dxa"/>
            <w:shd w:val="clear" w:color="auto" w:fill="17365A"/>
          </w:tcPr>
          <w:p w14:paraId="279FD7E0" w14:textId="77777777" w:rsidR="00BC24A8" w:rsidRDefault="00000000">
            <w:pPr>
              <w:pStyle w:val="TableParagraph"/>
              <w:spacing w:before="59" w:line="259" w:lineRule="auto"/>
              <w:ind w:left="417" w:right="278" w:hanging="140"/>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 Index 2022 (%)</w:t>
            </w:r>
          </w:p>
        </w:tc>
        <w:tc>
          <w:tcPr>
            <w:tcW w:w="2249" w:type="dxa"/>
            <w:shd w:val="clear" w:color="auto" w:fill="17365A"/>
          </w:tcPr>
          <w:p w14:paraId="3A29853E" w14:textId="77777777" w:rsidR="00BC24A8" w:rsidRDefault="00000000">
            <w:pPr>
              <w:pStyle w:val="TableParagraph"/>
              <w:spacing w:before="59" w:line="259" w:lineRule="auto"/>
              <w:ind w:left="763" w:hanging="646"/>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w:t>
            </w:r>
            <w:r>
              <w:rPr>
                <w:rFonts w:ascii="Calibri"/>
                <w:b/>
                <w:color w:val="FFFFFF"/>
                <w:spacing w:val="-11"/>
                <w:sz w:val="20"/>
              </w:rPr>
              <w:t xml:space="preserve"> </w:t>
            </w:r>
            <w:r>
              <w:rPr>
                <w:rFonts w:ascii="Calibri"/>
                <w:b/>
                <w:color w:val="FFFFFF"/>
                <w:sz w:val="20"/>
              </w:rPr>
              <w:t>Index 2023 (%)</w:t>
            </w:r>
          </w:p>
        </w:tc>
        <w:tc>
          <w:tcPr>
            <w:tcW w:w="2160" w:type="dxa"/>
            <w:shd w:val="clear" w:color="auto" w:fill="17365A"/>
          </w:tcPr>
          <w:p w14:paraId="65E95F55" w14:textId="77777777" w:rsidR="00BC24A8" w:rsidRDefault="00000000">
            <w:pPr>
              <w:pStyle w:val="TableParagraph"/>
              <w:spacing w:before="59" w:line="259" w:lineRule="auto"/>
              <w:ind w:left="463" w:right="322" w:hanging="140"/>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 Index 2024 (%)</w:t>
            </w:r>
          </w:p>
        </w:tc>
      </w:tr>
      <w:tr w:rsidR="00BC24A8" w14:paraId="5F34FD7C" w14:textId="77777777">
        <w:trPr>
          <w:trHeight w:val="719"/>
        </w:trPr>
        <w:tc>
          <w:tcPr>
            <w:tcW w:w="2527" w:type="dxa"/>
            <w:tcBorders>
              <w:bottom w:val="single" w:sz="4" w:space="0" w:color="BEBEBE"/>
            </w:tcBorders>
          </w:tcPr>
          <w:p w14:paraId="724CC009" w14:textId="77777777" w:rsidR="00BC24A8" w:rsidRDefault="00000000">
            <w:pPr>
              <w:pStyle w:val="TableParagraph"/>
              <w:spacing w:before="102"/>
              <w:ind w:left="107"/>
              <w:rPr>
                <w:sz w:val="18"/>
              </w:rPr>
            </w:pPr>
            <w:r>
              <w:rPr>
                <w:spacing w:val="-2"/>
                <w:sz w:val="18"/>
              </w:rPr>
              <w:t>Education</w:t>
            </w:r>
          </w:p>
          <w:p w14:paraId="057012CF" w14:textId="77777777" w:rsidR="00BC24A8" w:rsidRDefault="00000000">
            <w:pPr>
              <w:pStyle w:val="TableParagraph"/>
              <w:spacing w:before="123"/>
              <w:ind w:left="107"/>
              <w:rPr>
                <w:sz w:val="18"/>
              </w:rPr>
            </w:pPr>
            <w:r>
              <w:rPr>
                <w:noProof/>
                <w:sz w:val="18"/>
              </w:rPr>
              <mc:AlternateContent>
                <mc:Choice Requires="wpg">
                  <w:drawing>
                    <wp:anchor distT="0" distB="0" distL="0" distR="0" simplePos="0" relativeHeight="478691328" behindDoc="1" locked="0" layoutInCell="1" allowOverlap="1" wp14:anchorId="13E60965" wp14:editId="6B6CA21B">
                      <wp:simplePos x="0" y="0"/>
                      <wp:positionH relativeFrom="column">
                        <wp:posOffset>0</wp:posOffset>
                      </wp:positionH>
                      <wp:positionV relativeFrom="paragraph">
                        <wp:posOffset>34523</wp:posOffset>
                      </wp:positionV>
                      <wp:extent cx="5715000" cy="6350"/>
                      <wp:effectExtent l="0" t="0" r="0" b="0"/>
                      <wp:wrapNone/>
                      <wp:docPr id="289" name="Group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6350"/>
                                <a:chOff x="0" y="0"/>
                                <a:chExt cx="5715000" cy="6350"/>
                              </a:xfrm>
                            </wpg:grpSpPr>
                            <wps:wsp>
                              <wps:cNvPr id="290" name="Graphic 290"/>
                              <wps:cNvSpPr/>
                              <wps:spPr>
                                <a:xfrm>
                                  <a:off x="0" y="0"/>
                                  <a:ext cx="5715000" cy="6350"/>
                                </a:xfrm>
                                <a:custGeom>
                                  <a:avLst/>
                                  <a:gdLst/>
                                  <a:ahLst/>
                                  <a:cxnLst/>
                                  <a:rect l="l" t="t" r="r" b="b"/>
                                  <a:pathLst>
                                    <a:path w="5715000" h="6350">
                                      <a:moveTo>
                                        <a:pt x="4343387" y="0"/>
                                      </a:moveTo>
                                      <a:lnTo>
                                        <a:pt x="4343387" y="0"/>
                                      </a:lnTo>
                                      <a:lnTo>
                                        <a:pt x="0" y="0"/>
                                      </a:lnTo>
                                      <a:lnTo>
                                        <a:pt x="0" y="6108"/>
                                      </a:lnTo>
                                      <a:lnTo>
                                        <a:pt x="4343387" y="6108"/>
                                      </a:lnTo>
                                      <a:lnTo>
                                        <a:pt x="4343387" y="0"/>
                                      </a:lnTo>
                                      <a:close/>
                                    </a:path>
                                    <a:path w="5715000" h="6350">
                                      <a:moveTo>
                                        <a:pt x="5714987" y="0"/>
                                      </a:moveTo>
                                      <a:lnTo>
                                        <a:pt x="4349496" y="0"/>
                                      </a:lnTo>
                                      <a:lnTo>
                                        <a:pt x="4343400" y="0"/>
                                      </a:lnTo>
                                      <a:lnTo>
                                        <a:pt x="4343400" y="6108"/>
                                      </a:lnTo>
                                      <a:lnTo>
                                        <a:pt x="4349496" y="6108"/>
                                      </a:lnTo>
                                      <a:lnTo>
                                        <a:pt x="5714987" y="6108"/>
                                      </a:lnTo>
                                      <a:lnTo>
                                        <a:pt x="5714987"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7AE51003" id="Group 289" o:spid="_x0000_s1026" alt="&quot;&quot;" style="position:absolute;margin-left:0;margin-top:2.7pt;width:450pt;height:.5pt;z-index:-24625152;mso-wrap-distance-left:0;mso-wrap-distance-right:0" coordsize="571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">
                      <v:shape id="Graphic 290" o:spid="_x0000_s1027" style="position:absolute;width:57150;height:63;visibility:visible;mso-wrap-style:square;v-text-anchor:top" coordsize="5715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" path="m4343387,r,l,,,6108r4343387,l4343387,xem5714987,l4349496,r-6096,l4343400,6108r6096,l5714987,6108r,-6108xe" fillcolor="#bebebe" stroked="f">
                        <v:path arrowok="t"/>
                      </v:shape>
                    </v:group>
                  </w:pict>
                </mc:Fallback>
              </mc:AlternateContent>
            </w:r>
            <w:r>
              <w:rPr>
                <w:spacing w:val="-2"/>
                <w:sz w:val="18"/>
              </w:rPr>
              <w:t>Health</w:t>
            </w:r>
          </w:p>
        </w:tc>
        <w:tc>
          <w:tcPr>
            <w:tcW w:w="2064" w:type="dxa"/>
            <w:tcBorders>
              <w:bottom w:val="single" w:sz="4" w:space="0" w:color="BEBEBE"/>
            </w:tcBorders>
          </w:tcPr>
          <w:p w14:paraId="378E344A" w14:textId="77777777" w:rsidR="00BC24A8" w:rsidRDefault="00000000">
            <w:pPr>
              <w:pStyle w:val="TableParagraph"/>
              <w:spacing w:before="102"/>
              <w:jc w:val="center"/>
              <w:rPr>
                <w:sz w:val="18"/>
              </w:rPr>
            </w:pPr>
            <w:r>
              <w:rPr>
                <w:spacing w:val="-5"/>
                <w:sz w:val="18"/>
              </w:rPr>
              <w:t>29</w:t>
            </w:r>
          </w:p>
          <w:p w14:paraId="6578D159" w14:textId="77777777" w:rsidR="00BC24A8" w:rsidRDefault="00000000">
            <w:pPr>
              <w:pStyle w:val="TableParagraph"/>
              <w:spacing w:before="123"/>
              <w:jc w:val="center"/>
              <w:rPr>
                <w:sz w:val="18"/>
              </w:rPr>
            </w:pPr>
            <w:r>
              <w:rPr>
                <w:spacing w:val="-5"/>
                <w:sz w:val="18"/>
              </w:rPr>
              <w:t>25</w:t>
            </w:r>
          </w:p>
        </w:tc>
        <w:tc>
          <w:tcPr>
            <w:tcW w:w="2249" w:type="dxa"/>
            <w:tcBorders>
              <w:bottom w:val="single" w:sz="4" w:space="0" w:color="BEBEBE"/>
            </w:tcBorders>
          </w:tcPr>
          <w:p w14:paraId="670434B2" w14:textId="77777777" w:rsidR="00BC24A8" w:rsidRDefault="00000000">
            <w:pPr>
              <w:pStyle w:val="TableParagraph"/>
              <w:spacing w:before="102"/>
              <w:ind w:left="56" w:right="56"/>
              <w:jc w:val="center"/>
              <w:rPr>
                <w:sz w:val="18"/>
              </w:rPr>
            </w:pPr>
            <w:r>
              <w:rPr>
                <w:spacing w:val="-5"/>
                <w:sz w:val="18"/>
              </w:rPr>
              <w:t>19</w:t>
            </w:r>
          </w:p>
          <w:p w14:paraId="27668A0D" w14:textId="77777777" w:rsidR="00BC24A8" w:rsidRDefault="00000000">
            <w:pPr>
              <w:pStyle w:val="TableParagraph"/>
              <w:spacing w:before="123"/>
              <w:ind w:left="56" w:right="56"/>
              <w:jc w:val="center"/>
              <w:rPr>
                <w:sz w:val="18"/>
              </w:rPr>
            </w:pPr>
            <w:r>
              <w:rPr>
                <w:spacing w:val="-5"/>
                <w:sz w:val="18"/>
              </w:rPr>
              <w:t>40</w:t>
            </w:r>
          </w:p>
        </w:tc>
        <w:tc>
          <w:tcPr>
            <w:tcW w:w="2160" w:type="dxa"/>
            <w:tcBorders>
              <w:bottom w:val="single" w:sz="4" w:space="0" w:color="BEBEBE"/>
            </w:tcBorders>
          </w:tcPr>
          <w:p w14:paraId="23CAD217" w14:textId="77777777" w:rsidR="00BC24A8" w:rsidRDefault="00000000">
            <w:pPr>
              <w:pStyle w:val="TableParagraph"/>
              <w:spacing w:before="102"/>
              <w:ind w:right="2"/>
              <w:jc w:val="center"/>
              <w:rPr>
                <w:sz w:val="18"/>
              </w:rPr>
            </w:pPr>
            <w:r>
              <w:rPr>
                <w:spacing w:val="-5"/>
                <w:sz w:val="18"/>
              </w:rPr>
              <w:t>85</w:t>
            </w:r>
          </w:p>
          <w:p w14:paraId="36EA8D21" w14:textId="77777777" w:rsidR="00BC24A8" w:rsidRDefault="00000000">
            <w:pPr>
              <w:pStyle w:val="TableParagraph"/>
              <w:spacing w:before="123"/>
              <w:ind w:right="2"/>
              <w:jc w:val="center"/>
              <w:rPr>
                <w:sz w:val="18"/>
              </w:rPr>
            </w:pPr>
            <w:r>
              <w:rPr>
                <w:spacing w:val="-5"/>
                <w:sz w:val="18"/>
              </w:rPr>
              <w:t>69</w:t>
            </w:r>
          </w:p>
        </w:tc>
      </w:tr>
      <w:tr w:rsidR="00BC24A8" w14:paraId="55EF8070" w14:textId="77777777">
        <w:trPr>
          <w:trHeight w:val="335"/>
        </w:trPr>
        <w:tc>
          <w:tcPr>
            <w:tcW w:w="2527" w:type="dxa"/>
            <w:tcBorders>
              <w:top w:val="single" w:sz="4" w:space="0" w:color="BEBEBE"/>
              <w:bottom w:val="single" w:sz="4" w:space="0" w:color="BEBEBE"/>
            </w:tcBorders>
          </w:tcPr>
          <w:p w14:paraId="0EED575D" w14:textId="77777777" w:rsidR="00BC24A8" w:rsidRDefault="00000000">
            <w:pPr>
              <w:pStyle w:val="TableParagraph"/>
              <w:spacing w:before="59"/>
              <w:ind w:left="107"/>
              <w:rPr>
                <w:sz w:val="18"/>
              </w:rPr>
            </w:pPr>
            <w:r>
              <w:rPr>
                <w:sz w:val="18"/>
              </w:rPr>
              <w:t xml:space="preserve">Social </w:t>
            </w:r>
            <w:r>
              <w:rPr>
                <w:spacing w:val="-2"/>
                <w:sz w:val="18"/>
              </w:rPr>
              <w:t>Affairs</w:t>
            </w:r>
          </w:p>
        </w:tc>
        <w:tc>
          <w:tcPr>
            <w:tcW w:w="2064" w:type="dxa"/>
            <w:tcBorders>
              <w:top w:val="single" w:sz="4" w:space="0" w:color="BEBEBE"/>
              <w:bottom w:val="single" w:sz="4" w:space="0" w:color="BEBEBE"/>
            </w:tcBorders>
          </w:tcPr>
          <w:p w14:paraId="423D520B" w14:textId="77777777" w:rsidR="00BC24A8" w:rsidRDefault="00000000">
            <w:pPr>
              <w:pStyle w:val="TableParagraph"/>
              <w:spacing w:before="59"/>
              <w:jc w:val="center"/>
              <w:rPr>
                <w:sz w:val="18"/>
              </w:rPr>
            </w:pPr>
            <w:r>
              <w:rPr>
                <w:spacing w:val="-5"/>
                <w:sz w:val="18"/>
              </w:rPr>
              <w:t>13</w:t>
            </w:r>
          </w:p>
        </w:tc>
        <w:tc>
          <w:tcPr>
            <w:tcW w:w="2249" w:type="dxa"/>
            <w:tcBorders>
              <w:top w:val="single" w:sz="4" w:space="0" w:color="BEBEBE"/>
              <w:bottom w:val="single" w:sz="4" w:space="0" w:color="BEBEBE"/>
            </w:tcBorders>
          </w:tcPr>
          <w:p w14:paraId="45813FDF" w14:textId="77777777" w:rsidR="00BC24A8" w:rsidRDefault="00000000">
            <w:pPr>
              <w:pStyle w:val="TableParagraph"/>
              <w:spacing w:before="59"/>
              <w:ind w:left="56" w:right="56"/>
              <w:jc w:val="center"/>
              <w:rPr>
                <w:sz w:val="18"/>
              </w:rPr>
            </w:pPr>
            <w:r>
              <w:rPr>
                <w:spacing w:val="-5"/>
                <w:sz w:val="18"/>
              </w:rPr>
              <w:t>25</w:t>
            </w:r>
          </w:p>
        </w:tc>
        <w:tc>
          <w:tcPr>
            <w:tcW w:w="2160" w:type="dxa"/>
            <w:tcBorders>
              <w:top w:val="single" w:sz="4" w:space="0" w:color="BEBEBE"/>
              <w:bottom w:val="single" w:sz="4" w:space="0" w:color="BEBEBE"/>
            </w:tcBorders>
          </w:tcPr>
          <w:p w14:paraId="0A7C199E" w14:textId="77777777" w:rsidR="00BC24A8" w:rsidRDefault="00000000">
            <w:pPr>
              <w:pStyle w:val="TableParagraph"/>
              <w:spacing w:before="59"/>
              <w:ind w:right="2"/>
              <w:jc w:val="center"/>
              <w:rPr>
                <w:sz w:val="18"/>
              </w:rPr>
            </w:pPr>
            <w:r>
              <w:rPr>
                <w:spacing w:val="-5"/>
                <w:sz w:val="18"/>
              </w:rPr>
              <w:t>70</w:t>
            </w:r>
          </w:p>
        </w:tc>
      </w:tr>
      <w:tr w:rsidR="00BC24A8" w14:paraId="252F6F31" w14:textId="77777777">
        <w:trPr>
          <w:trHeight w:val="333"/>
        </w:trPr>
        <w:tc>
          <w:tcPr>
            <w:tcW w:w="2527" w:type="dxa"/>
            <w:tcBorders>
              <w:top w:val="single" w:sz="4" w:space="0" w:color="BEBEBE"/>
              <w:bottom w:val="single" w:sz="4" w:space="0" w:color="BEBEBE"/>
            </w:tcBorders>
          </w:tcPr>
          <w:p w14:paraId="601F31CF" w14:textId="77777777" w:rsidR="00BC24A8" w:rsidRDefault="00000000">
            <w:pPr>
              <w:pStyle w:val="TableParagraph"/>
              <w:spacing w:before="56"/>
              <w:ind w:left="107"/>
              <w:rPr>
                <w:sz w:val="18"/>
              </w:rPr>
            </w:pPr>
            <w:r>
              <w:rPr>
                <w:sz w:val="18"/>
              </w:rPr>
              <w:t>Public</w:t>
            </w:r>
            <w:r>
              <w:rPr>
                <w:spacing w:val="-1"/>
                <w:sz w:val="18"/>
              </w:rPr>
              <w:t xml:space="preserve"> </w:t>
            </w:r>
            <w:r>
              <w:rPr>
                <w:spacing w:val="-2"/>
                <w:sz w:val="18"/>
              </w:rPr>
              <w:t>Works</w:t>
            </w:r>
          </w:p>
        </w:tc>
        <w:tc>
          <w:tcPr>
            <w:tcW w:w="2064" w:type="dxa"/>
            <w:tcBorders>
              <w:top w:val="single" w:sz="4" w:space="0" w:color="BEBEBE"/>
              <w:bottom w:val="single" w:sz="4" w:space="0" w:color="BEBEBE"/>
            </w:tcBorders>
          </w:tcPr>
          <w:p w14:paraId="27C6CC56" w14:textId="77777777" w:rsidR="00BC24A8" w:rsidRDefault="00000000">
            <w:pPr>
              <w:pStyle w:val="TableParagraph"/>
              <w:spacing w:before="56"/>
              <w:jc w:val="center"/>
              <w:rPr>
                <w:sz w:val="18"/>
              </w:rPr>
            </w:pPr>
            <w:r>
              <w:rPr>
                <w:spacing w:val="-5"/>
                <w:sz w:val="18"/>
              </w:rPr>
              <w:t>19</w:t>
            </w:r>
          </w:p>
        </w:tc>
        <w:tc>
          <w:tcPr>
            <w:tcW w:w="2249" w:type="dxa"/>
            <w:tcBorders>
              <w:top w:val="single" w:sz="4" w:space="0" w:color="BEBEBE"/>
              <w:bottom w:val="single" w:sz="4" w:space="0" w:color="BEBEBE"/>
            </w:tcBorders>
          </w:tcPr>
          <w:p w14:paraId="1099B592" w14:textId="77777777" w:rsidR="00BC24A8" w:rsidRDefault="00000000">
            <w:pPr>
              <w:pStyle w:val="TableParagraph"/>
              <w:spacing w:before="56"/>
              <w:ind w:left="56" w:right="56"/>
              <w:jc w:val="center"/>
              <w:rPr>
                <w:sz w:val="18"/>
              </w:rPr>
            </w:pPr>
            <w:r>
              <w:rPr>
                <w:spacing w:val="-5"/>
                <w:sz w:val="18"/>
              </w:rPr>
              <w:t>13</w:t>
            </w:r>
          </w:p>
        </w:tc>
        <w:tc>
          <w:tcPr>
            <w:tcW w:w="2160" w:type="dxa"/>
            <w:tcBorders>
              <w:top w:val="single" w:sz="4" w:space="0" w:color="BEBEBE"/>
              <w:bottom w:val="single" w:sz="4" w:space="0" w:color="BEBEBE"/>
            </w:tcBorders>
          </w:tcPr>
          <w:p w14:paraId="73D74999" w14:textId="77777777" w:rsidR="00BC24A8" w:rsidRDefault="00000000">
            <w:pPr>
              <w:pStyle w:val="TableParagraph"/>
              <w:spacing w:before="56"/>
              <w:ind w:right="2"/>
              <w:jc w:val="center"/>
              <w:rPr>
                <w:sz w:val="18"/>
              </w:rPr>
            </w:pPr>
            <w:r>
              <w:rPr>
                <w:spacing w:val="-5"/>
                <w:sz w:val="18"/>
              </w:rPr>
              <w:t>83</w:t>
            </w:r>
          </w:p>
        </w:tc>
      </w:tr>
      <w:tr w:rsidR="00BC24A8" w14:paraId="23AA00E5" w14:textId="77777777">
        <w:trPr>
          <w:trHeight w:val="333"/>
        </w:trPr>
        <w:tc>
          <w:tcPr>
            <w:tcW w:w="2527" w:type="dxa"/>
            <w:tcBorders>
              <w:top w:val="single" w:sz="4" w:space="0" w:color="BEBEBE"/>
              <w:bottom w:val="single" w:sz="4" w:space="0" w:color="BEBEBE"/>
            </w:tcBorders>
          </w:tcPr>
          <w:p w14:paraId="27C960FA" w14:textId="77777777" w:rsidR="00BC24A8" w:rsidRDefault="00000000">
            <w:pPr>
              <w:pStyle w:val="TableParagraph"/>
              <w:spacing w:before="56"/>
              <w:ind w:left="107"/>
              <w:rPr>
                <w:sz w:val="18"/>
              </w:rPr>
            </w:pPr>
            <w:r>
              <w:rPr>
                <w:sz w:val="18"/>
              </w:rPr>
              <w:t>Public</w:t>
            </w:r>
            <w:r>
              <w:rPr>
                <w:spacing w:val="-1"/>
                <w:sz w:val="18"/>
              </w:rPr>
              <w:t xml:space="preserve"> </w:t>
            </w:r>
            <w:r>
              <w:rPr>
                <w:spacing w:val="-2"/>
                <w:sz w:val="18"/>
              </w:rPr>
              <w:t>Housing</w:t>
            </w:r>
          </w:p>
        </w:tc>
        <w:tc>
          <w:tcPr>
            <w:tcW w:w="2064" w:type="dxa"/>
            <w:tcBorders>
              <w:top w:val="single" w:sz="4" w:space="0" w:color="BEBEBE"/>
              <w:bottom w:val="single" w:sz="4" w:space="0" w:color="BEBEBE"/>
            </w:tcBorders>
          </w:tcPr>
          <w:p w14:paraId="739A16CE" w14:textId="77777777" w:rsidR="00BC24A8" w:rsidRDefault="00000000">
            <w:pPr>
              <w:pStyle w:val="TableParagraph"/>
              <w:spacing w:before="56"/>
              <w:jc w:val="center"/>
              <w:rPr>
                <w:sz w:val="18"/>
              </w:rPr>
            </w:pPr>
            <w:r>
              <w:rPr>
                <w:spacing w:val="-5"/>
                <w:sz w:val="18"/>
              </w:rPr>
              <w:t>10</w:t>
            </w:r>
          </w:p>
        </w:tc>
        <w:tc>
          <w:tcPr>
            <w:tcW w:w="2249" w:type="dxa"/>
            <w:tcBorders>
              <w:top w:val="single" w:sz="4" w:space="0" w:color="BEBEBE"/>
              <w:bottom w:val="single" w:sz="4" w:space="0" w:color="BEBEBE"/>
            </w:tcBorders>
          </w:tcPr>
          <w:p w14:paraId="7969E1AE" w14:textId="77777777" w:rsidR="00BC24A8" w:rsidRDefault="00000000">
            <w:pPr>
              <w:pStyle w:val="TableParagraph"/>
              <w:spacing w:before="56"/>
              <w:ind w:left="56" w:right="56"/>
              <w:jc w:val="center"/>
              <w:rPr>
                <w:sz w:val="18"/>
              </w:rPr>
            </w:pPr>
            <w:r>
              <w:rPr>
                <w:spacing w:val="-5"/>
                <w:sz w:val="18"/>
              </w:rPr>
              <w:t>27</w:t>
            </w:r>
          </w:p>
        </w:tc>
        <w:tc>
          <w:tcPr>
            <w:tcW w:w="2160" w:type="dxa"/>
            <w:tcBorders>
              <w:top w:val="single" w:sz="4" w:space="0" w:color="BEBEBE"/>
              <w:bottom w:val="single" w:sz="4" w:space="0" w:color="BEBEBE"/>
            </w:tcBorders>
          </w:tcPr>
          <w:p w14:paraId="6E03D25C" w14:textId="77777777" w:rsidR="00BC24A8" w:rsidRDefault="00000000">
            <w:pPr>
              <w:pStyle w:val="TableParagraph"/>
              <w:spacing w:before="56"/>
              <w:ind w:right="2"/>
              <w:jc w:val="center"/>
              <w:rPr>
                <w:sz w:val="18"/>
              </w:rPr>
            </w:pPr>
            <w:r>
              <w:rPr>
                <w:spacing w:val="-5"/>
                <w:sz w:val="18"/>
              </w:rPr>
              <w:t>63</w:t>
            </w:r>
          </w:p>
        </w:tc>
      </w:tr>
      <w:tr w:rsidR="00BC24A8" w14:paraId="11C000C3" w14:textId="77777777">
        <w:trPr>
          <w:trHeight w:val="597"/>
        </w:trPr>
        <w:tc>
          <w:tcPr>
            <w:tcW w:w="2527" w:type="dxa"/>
            <w:tcBorders>
              <w:top w:val="single" w:sz="4" w:space="0" w:color="BEBEBE"/>
            </w:tcBorders>
          </w:tcPr>
          <w:p w14:paraId="4BF11334" w14:textId="77777777" w:rsidR="00BC24A8" w:rsidRDefault="00000000">
            <w:pPr>
              <w:pStyle w:val="TableParagraph"/>
              <w:spacing w:before="59"/>
              <w:ind w:left="107"/>
              <w:rPr>
                <w:sz w:val="18"/>
              </w:rPr>
            </w:pPr>
            <w:r>
              <w:rPr>
                <w:sz w:val="18"/>
              </w:rPr>
              <w:t>Public Order and Community Protection</w:t>
            </w:r>
            <w:r>
              <w:rPr>
                <w:spacing w:val="-3"/>
                <w:sz w:val="18"/>
              </w:rPr>
              <w:t xml:space="preserve"> </w:t>
            </w:r>
            <w:r>
              <w:rPr>
                <w:spacing w:val="-2"/>
                <w:sz w:val="18"/>
              </w:rPr>
              <w:t>(Trantibumlinmas)</w:t>
            </w:r>
          </w:p>
        </w:tc>
        <w:tc>
          <w:tcPr>
            <w:tcW w:w="2064" w:type="dxa"/>
            <w:tcBorders>
              <w:top w:val="single" w:sz="4" w:space="0" w:color="BEBEBE"/>
            </w:tcBorders>
          </w:tcPr>
          <w:p w14:paraId="7A7A8CB3" w14:textId="77777777" w:rsidR="00BC24A8" w:rsidRDefault="00000000">
            <w:pPr>
              <w:pStyle w:val="TableParagraph"/>
              <w:spacing w:before="59"/>
              <w:jc w:val="center"/>
              <w:rPr>
                <w:sz w:val="18"/>
              </w:rPr>
            </w:pPr>
            <w:r>
              <w:rPr>
                <w:spacing w:val="-10"/>
                <w:sz w:val="18"/>
              </w:rPr>
              <w:t>5</w:t>
            </w:r>
          </w:p>
        </w:tc>
        <w:tc>
          <w:tcPr>
            <w:tcW w:w="2249" w:type="dxa"/>
            <w:tcBorders>
              <w:top w:val="single" w:sz="4" w:space="0" w:color="BEBEBE"/>
            </w:tcBorders>
          </w:tcPr>
          <w:p w14:paraId="4A74B4ED" w14:textId="77777777" w:rsidR="00BC24A8" w:rsidRDefault="00000000">
            <w:pPr>
              <w:pStyle w:val="TableParagraph"/>
              <w:spacing w:before="59"/>
              <w:ind w:left="56" w:right="56"/>
              <w:jc w:val="center"/>
              <w:rPr>
                <w:sz w:val="18"/>
              </w:rPr>
            </w:pPr>
            <w:r>
              <w:rPr>
                <w:spacing w:val="-5"/>
                <w:sz w:val="18"/>
              </w:rPr>
              <w:t>25</w:t>
            </w:r>
          </w:p>
        </w:tc>
        <w:tc>
          <w:tcPr>
            <w:tcW w:w="2160" w:type="dxa"/>
            <w:tcBorders>
              <w:top w:val="single" w:sz="4" w:space="0" w:color="BEBEBE"/>
            </w:tcBorders>
          </w:tcPr>
          <w:p w14:paraId="7A4DB259" w14:textId="77777777" w:rsidR="00BC24A8" w:rsidRDefault="00000000">
            <w:pPr>
              <w:pStyle w:val="TableParagraph"/>
              <w:spacing w:before="59"/>
              <w:ind w:right="2"/>
              <w:jc w:val="center"/>
              <w:rPr>
                <w:sz w:val="18"/>
              </w:rPr>
            </w:pPr>
            <w:r>
              <w:rPr>
                <w:spacing w:val="-5"/>
                <w:sz w:val="18"/>
              </w:rPr>
              <w:t>79</w:t>
            </w:r>
          </w:p>
        </w:tc>
      </w:tr>
      <w:tr w:rsidR="00BC24A8" w14:paraId="5913874B" w14:textId="77777777">
        <w:trPr>
          <w:trHeight w:val="335"/>
        </w:trPr>
        <w:tc>
          <w:tcPr>
            <w:tcW w:w="2527" w:type="dxa"/>
            <w:tcBorders>
              <w:bottom w:val="single" w:sz="4" w:space="0" w:color="BEBEBE"/>
              <w:right w:val="single" w:sz="18" w:space="0" w:color="FFFFFF"/>
            </w:tcBorders>
            <w:shd w:val="clear" w:color="auto" w:fill="A7A9AC"/>
          </w:tcPr>
          <w:p w14:paraId="0DE9F935" w14:textId="77777777" w:rsidR="00BC24A8" w:rsidRDefault="00000000">
            <w:pPr>
              <w:pStyle w:val="TableParagraph"/>
              <w:spacing w:before="59"/>
              <w:ind w:left="107"/>
              <w:rPr>
                <w:rFonts w:ascii="Calibri"/>
                <w:b/>
                <w:sz w:val="18"/>
              </w:rPr>
            </w:pPr>
            <w:r w:rsidRPr="00795364">
              <w:rPr>
                <w:rFonts w:ascii="Calibri"/>
                <w:b/>
                <w:color w:val="000000"/>
                <w:sz w:val="18"/>
              </w:rPr>
              <w:t>Papua</w:t>
            </w:r>
            <w:r w:rsidRPr="00795364">
              <w:rPr>
                <w:rFonts w:ascii="Calibri"/>
                <w:b/>
                <w:color w:val="000000"/>
                <w:spacing w:val="-5"/>
                <w:sz w:val="18"/>
              </w:rPr>
              <w:t xml:space="preserve"> </w:t>
            </w:r>
            <w:r w:rsidRPr="00795364">
              <w:rPr>
                <w:rFonts w:ascii="Calibri"/>
                <w:b/>
                <w:color w:val="000000"/>
                <w:spacing w:val="-2"/>
                <w:sz w:val="18"/>
              </w:rPr>
              <w:t>Selatan</w:t>
            </w:r>
          </w:p>
        </w:tc>
        <w:tc>
          <w:tcPr>
            <w:tcW w:w="2064" w:type="dxa"/>
            <w:tcBorders>
              <w:left w:val="single" w:sz="18" w:space="0" w:color="FFFFFF"/>
              <w:bottom w:val="single" w:sz="4" w:space="0" w:color="BEBEBE"/>
              <w:right w:val="single" w:sz="18" w:space="0" w:color="FFFFFF"/>
            </w:tcBorders>
            <w:shd w:val="clear" w:color="auto" w:fill="A7A9AC"/>
          </w:tcPr>
          <w:p w14:paraId="640A1ADA" w14:textId="77777777" w:rsidR="00BC24A8" w:rsidRDefault="00000000">
            <w:pPr>
              <w:pStyle w:val="TableParagraph"/>
              <w:spacing w:before="59"/>
              <w:jc w:val="center"/>
              <w:rPr>
                <w:rFonts w:ascii="Calibri"/>
                <w:b/>
                <w:sz w:val="18"/>
              </w:rPr>
            </w:pPr>
            <w:r w:rsidRPr="00795364">
              <w:rPr>
                <w:rFonts w:ascii="Calibri"/>
                <w:b/>
                <w:color w:val="000000"/>
                <w:spacing w:val="-5"/>
                <w:sz w:val="18"/>
              </w:rPr>
              <w:t>17</w:t>
            </w:r>
          </w:p>
        </w:tc>
        <w:tc>
          <w:tcPr>
            <w:tcW w:w="2249" w:type="dxa"/>
            <w:tcBorders>
              <w:left w:val="single" w:sz="18" w:space="0" w:color="FFFFFF"/>
              <w:bottom w:val="single" w:sz="4" w:space="0" w:color="BEBEBE"/>
              <w:right w:val="single" w:sz="18" w:space="0" w:color="FFFFFF"/>
            </w:tcBorders>
            <w:shd w:val="clear" w:color="auto" w:fill="A7A9AC"/>
          </w:tcPr>
          <w:p w14:paraId="72B50AAA" w14:textId="77777777" w:rsidR="00BC24A8" w:rsidRDefault="00000000">
            <w:pPr>
              <w:pStyle w:val="TableParagraph"/>
              <w:spacing w:before="59"/>
              <w:jc w:val="center"/>
              <w:rPr>
                <w:rFonts w:ascii="Calibri"/>
                <w:b/>
                <w:sz w:val="18"/>
              </w:rPr>
            </w:pPr>
            <w:r w:rsidRPr="00795364">
              <w:rPr>
                <w:rFonts w:ascii="Calibri"/>
                <w:b/>
                <w:color w:val="000000"/>
                <w:spacing w:val="-5"/>
                <w:sz w:val="18"/>
              </w:rPr>
              <w:t>25</w:t>
            </w:r>
          </w:p>
        </w:tc>
        <w:tc>
          <w:tcPr>
            <w:tcW w:w="2160" w:type="dxa"/>
            <w:tcBorders>
              <w:left w:val="single" w:sz="18" w:space="0" w:color="FFFFFF"/>
              <w:bottom w:val="single" w:sz="4" w:space="0" w:color="BEBEBE"/>
            </w:tcBorders>
            <w:shd w:val="clear" w:color="auto" w:fill="A7A9AC"/>
          </w:tcPr>
          <w:p w14:paraId="2667040F" w14:textId="77777777" w:rsidR="00BC24A8" w:rsidRDefault="00000000">
            <w:pPr>
              <w:pStyle w:val="TableParagraph"/>
              <w:spacing w:before="59"/>
              <w:ind w:right="25"/>
              <w:jc w:val="center"/>
              <w:rPr>
                <w:rFonts w:ascii="Calibri"/>
                <w:b/>
                <w:sz w:val="18"/>
              </w:rPr>
            </w:pPr>
            <w:r w:rsidRPr="00795364">
              <w:rPr>
                <w:rFonts w:ascii="Calibri"/>
                <w:b/>
                <w:color w:val="000000"/>
                <w:spacing w:val="-5"/>
                <w:sz w:val="18"/>
              </w:rPr>
              <w:t>75</w:t>
            </w:r>
          </w:p>
        </w:tc>
      </w:tr>
    </w:tbl>
    <w:p w14:paraId="5D3A2BE6" w14:textId="77777777" w:rsidR="00BC24A8" w:rsidRDefault="00000000">
      <w:pPr>
        <w:spacing w:before="126"/>
        <w:ind w:left="143"/>
        <w:rPr>
          <w:sz w:val="16"/>
        </w:rPr>
      </w:pPr>
      <w:r>
        <w:rPr>
          <w:spacing w:val="-2"/>
          <w:sz w:val="16"/>
        </w:rPr>
        <w:t>Data</w:t>
      </w:r>
      <w:r>
        <w:rPr>
          <w:spacing w:val="5"/>
          <w:sz w:val="16"/>
        </w:rPr>
        <w:t xml:space="preserve"> </w:t>
      </w:r>
      <w:r>
        <w:rPr>
          <w:spacing w:val="-2"/>
          <w:sz w:val="16"/>
        </w:rPr>
        <w:t>source</w:t>
      </w:r>
      <w:r>
        <w:rPr>
          <w:i/>
          <w:spacing w:val="-2"/>
          <w:sz w:val="16"/>
        </w:rPr>
        <w:t>:</w:t>
      </w:r>
      <w:r>
        <w:rPr>
          <w:i/>
          <w:spacing w:val="7"/>
          <w:sz w:val="16"/>
        </w:rPr>
        <w:t xml:space="preserve"> </w:t>
      </w:r>
      <w:hyperlink r:id="rId57">
        <w:r w:rsidR="00BC24A8">
          <w:rPr>
            <w:color w:val="0562C1"/>
            <w:spacing w:val="-2"/>
            <w:sz w:val="16"/>
            <w:u w:val="single" w:color="0562C1"/>
          </w:rPr>
          <w:t>https://spm.bangda.kemendagri.go.id/publikas</w:t>
        </w:r>
        <w:r w:rsidR="00BC24A8">
          <w:rPr>
            <w:color w:val="0562C1"/>
            <w:spacing w:val="-2"/>
            <w:sz w:val="16"/>
          </w:rPr>
          <w:t>i</w:t>
        </w:r>
      </w:hyperlink>
      <w:r>
        <w:rPr>
          <w:color w:val="0562C1"/>
          <w:spacing w:val="8"/>
          <w:sz w:val="16"/>
        </w:rPr>
        <w:t xml:space="preserve"> </w:t>
      </w:r>
      <w:r>
        <w:rPr>
          <w:spacing w:val="-2"/>
          <w:sz w:val="16"/>
        </w:rPr>
        <w:t>(Average</w:t>
      </w:r>
      <w:r>
        <w:rPr>
          <w:spacing w:val="7"/>
          <w:sz w:val="16"/>
        </w:rPr>
        <w:t xml:space="preserve"> </w:t>
      </w:r>
      <w:r>
        <w:rPr>
          <w:spacing w:val="-2"/>
          <w:sz w:val="16"/>
        </w:rPr>
        <w:t>in</w:t>
      </w:r>
      <w:r>
        <w:rPr>
          <w:spacing w:val="7"/>
          <w:sz w:val="16"/>
        </w:rPr>
        <w:t xml:space="preserve"> </w:t>
      </w:r>
      <w:r>
        <w:rPr>
          <w:spacing w:val="-2"/>
          <w:sz w:val="16"/>
        </w:rPr>
        <w:t>the</w:t>
      </w:r>
      <w:r>
        <w:rPr>
          <w:spacing w:val="7"/>
          <w:sz w:val="16"/>
        </w:rPr>
        <w:t xml:space="preserve"> </w:t>
      </w:r>
      <w:r>
        <w:rPr>
          <w:spacing w:val="-2"/>
          <w:sz w:val="16"/>
        </w:rPr>
        <w:t>4th</w:t>
      </w:r>
      <w:r>
        <w:rPr>
          <w:spacing w:val="8"/>
          <w:sz w:val="16"/>
        </w:rPr>
        <w:t xml:space="preserve"> </w:t>
      </w:r>
      <w:r>
        <w:rPr>
          <w:spacing w:val="-2"/>
          <w:sz w:val="16"/>
        </w:rPr>
        <w:t>quarter</w:t>
      </w:r>
      <w:r>
        <w:rPr>
          <w:spacing w:val="6"/>
          <w:sz w:val="16"/>
        </w:rPr>
        <w:t xml:space="preserve"> </w:t>
      </w:r>
      <w:r>
        <w:rPr>
          <w:spacing w:val="-2"/>
          <w:sz w:val="16"/>
        </w:rPr>
        <w:t>of</w:t>
      </w:r>
      <w:r>
        <w:rPr>
          <w:spacing w:val="7"/>
          <w:sz w:val="16"/>
        </w:rPr>
        <w:t xml:space="preserve"> </w:t>
      </w:r>
      <w:r>
        <w:rPr>
          <w:spacing w:val="-2"/>
          <w:sz w:val="16"/>
        </w:rPr>
        <w:t>each</w:t>
      </w:r>
      <w:r>
        <w:rPr>
          <w:spacing w:val="7"/>
          <w:sz w:val="16"/>
        </w:rPr>
        <w:t xml:space="preserve"> </w:t>
      </w:r>
      <w:r>
        <w:rPr>
          <w:spacing w:val="-2"/>
          <w:sz w:val="16"/>
        </w:rPr>
        <w:t>year).</w:t>
      </w:r>
    </w:p>
    <w:p w14:paraId="1BB306BA" w14:textId="77777777" w:rsidR="00BC24A8" w:rsidRDefault="00BC24A8">
      <w:pPr>
        <w:pStyle w:val="BodyText"/>
        <w:spacing w:before="233"/>
      </w:pPr>
    </w:p>
    <w:p w14:paraId="3E15BDD3" w14:textId="77777777" w:rsidR="00BC24A8" w:rsidRDefault="00000000">
      <w:pPr>
        <w:pStyle w:val="BodyText"/>
        <w:spacing w:line="278" w:lineRule="auto"/>
        <w:ind w:left="143" w:right="563"/>
        <w:jc w:val="both"/>
      </w:pPr>
      <w:r>
        <w:t>Papua Selatan’s MSS performance showed a significant leap between 2022–2024. The province's average</w:t>
      </w:r>
      <w:r>
        <w:rPr>
          <w:spacing w:val="-1"/>
        </w:rPr>
        <w:t xml:space="preserve"> </w:t>
      </w:r>
      <w:r>
        <w:t>achievement</w:t>
      </w:r>
      <w:r>
        <w:rPr>
          <w:spacing w:val="-1"/>
        </w:rPr>
        <w:t xml:space="preserve"> </w:t>
      </w:r>
      <w:r>
        <w:t>rate</w:t>
      </w:r>
      <w:r>
        <w:rPr>
          <w:spacing w:val="-1"/>
        </w:rPr>
        <w:t xml:space="preserve"> </w:t>
      </w:r>
      <w:r>
        <w:t>increased from</w:t>
      </w:r>
      <w:r>
        <w:rPr>
          <w:spacing w:val="-2"/>
        </w:rPr>
        <w:t xml:space="preserve"> </w:t>
      </w:r>
      <w:r>
        <w:t>17%</w:t>
      </w:r>
      <w:r>
        <w:rPr>
          <w:spacing w:val="-3"/>
        </w:rPr>
        <w:t xml:space="preserve"> </w:t>
      </w:r>
      <w:r>
        <w:t>to</w:t>
      </w:r>
      <w:r>
        <w:rPr>
          <w:spacing w:val="-2"/>
        </w:rPr>
        <w:t xml:space="preserve"> </w:t>
      </w:r>
      <w:r>
        <w:t>75%,</w:t>
      </w:r>
      <w:r>
        <w:rPr>
          <w:spacing w:val="-1"/>
        </w:rPr>
        <w:t xml:space="preserve"> </w:t>
      </w:r>
      <w:r>
        <w:t>with the</w:t>
      </w:r>
      <w:r>
        <w:rPr>
          <w:spacing w:val="-4"/>
        </w:rPr>
        <w:t xml:space="preserve"> </w:t>
      </w:r>
      <w:r>
        <w:t>highest</w:t>
      </w:r>
      <w:r>
        <w:rPr>
          <w:spacing w:val="-1"/>
        </w:rPr>
        <w:t xml:space="preserve"> </w:t>
      </w:r>
      <w:r>
        <w:t>increase</w:t>
      </w:r>
      <w:r>
        <w:rPr>
          <w:spacing w:val="-4"/>
        </w:rPr>
        <w:t xml:space="preserve"> </w:t>
      </w:r>
      <w:r>
        <w:t>seen in the</w:t>
      </w:r>
      <w:r>
        <w:rPr>
          <w:spacing w:val="-4"/>
        </w:rPr>
        <w:t xml:space="preserve"> </w:t>
      </w:r>
      <w:r>
        <w:t xml:space="preserve">Education </w:t>
      </w:r>
      <w:r>
        <w:rPr>
          <w:spacing w:val="-2"/>
        </w:rPr>
        <w:t>sector.</w:t>
      </w:r>
      <w:r>
        <w:rPr>
          <w:spacing w:val="-3"/>
        </w:rPr>
        <w:t xml:space="preserve"> </w:t>
      </w:r>
      <w:r>
        <w:rPr>
          <w:spacing w:val="-2"/>
        </w:rPr>
        <w:t>All</w:t>
      </w:r>
      <w:r>
        <w:rPr>
          <w:spacing w:val="-3"/>
        </w:rPr>
        <w:t xml:space="preserve"> </w:t>
      </w:r>
      <w:r>
        <w:rPr>
          <w:spacing w:val="-2"/>
        </w:rPr>
        <w:t>sectors improved</w:t>
      </w:r>
      <w:r>
        <w:rPr>
          <w:spacing w:val="-6"/>
        </w:rPr>
        <w:t xml:space="preserve"> </w:t>
      </w:r>
      <w:r>
        <w:rPr>
          <w:spacing w:val="-2"/>
        </w:rPr>
        <w:t>following support</w:t>
      </w:r>
      <w:r>
        <w:rPr>
          <w:spacing w:val="-3"/>
        </w:rPr>
        <w:t xml:space="preserve"> </w:t>
      </w:r>
      <w:r>
        <w:rPr>
          <w:spacing w:val="-2"/>
        </w:rPr>
        <w:t>from</w:t>
      </w:r>
      <w:r>
        <w:rPr>
          <w:spacing w:val="-4"/>
        </w:rPr>
        <w:t xml:space="preserve"> </w:t>
      </w:r>
      <w:r>
        <w:rPr>
          <w:spacing w:val="-2"/>
        </w:rPr>
        <w:t>SKALA,</w:t>
      </w:r>
      <w:r>
        <w:rPr>
          <w:spacing w:val="-3"/>
        </w:rPr>
        <w:t xml:space="preserve"> </w:t>
      </w:r>
      <w:r>
        <w:rPr>
          <w:spacing w:val="-2"/>
        </w:rPr>
        <w:t>with 2024 achievement</w:t>
      </w:r>
      <w:r>
        <w:rPr>
          <w:spacing w:val="-7"/>
        </w:rPr>
        <w:t xml:space="preserve"> </w:t>
      </w:r>
      <w:r>
        <w:rPr>
          <w:spacing w:val="-2"/>
        </w:rPr>
        <w:t>rates exceeding 60%.</w:t>
      </w:r>
    </w:p>
    <w:p w14:paraId="63202097" w14:textId="77777777" w:rsidR="00BC24A8" w:rsidRDefault="00BC24A8">
      <w:pPr>
        <w:pStyle w:val="BodyText"/>
        <w:spacing w:before="181"/>
      </w:pPr>
    </w:p>
    <w:p w14:paraId="628F31FF" w14:textId="77777777" w:rsidR="00BC24A8" w:rsidRDefault="00000000">
      <w:pPr>
        <w:pStyle w:val="Heading5"/>
        <w:jc w:val="both"/>
      </w:pPr>
      <w:r>
        <w:rPr>
          <w:color w:val="767070"/>
        </w:rPr>
        <w:t>MSS</w:t>
      </w:r>
      <w:r>
        <w:rPr>
          <w:color w:val="767070"/>
          <w:spacing w:val="-10"/>
        </w:rPr>
        <w:t xml:space="preserve"> </w:t>
      </w:r>
      <w:r>
        <w:rPr>
          <w:color w:val="767070"/>
        </w:rPr>
        <w:t>Reporting</w:t>
      </w:r>
      <w:r>
        <w:rPr>
          <w:color w:val="767070"/>
          <w:spacing w:val="-7"/>
        </w:rPr>
        <w:t xml:space="preserve"> </w:t>
      </w:r>
      <w:r>
        <w:rPr>
          <w:color w:val="767070"/>
        </w:rPr>
        <w:t>Data</w:t>
      </w:r>
      <w:r>
        <w:rPr>
          <w:color w:val="767070"/>
          <w:spacing w:val="-10"/>
        </w:rPr>
        <w:t xml:space="preserve"> </w:t>
      </w:r>
      <w:r>
        <w:rPr>
          <w:color w:val="767070"/>
        </w:rPr>
        <w:t>2024-</w:t>
      </w:r>
      <w:r>
        <w:rPr>
          <w:color w:val="767070"/>
          <w:spacing w:val="-4"/>
        </w:rPr>
        <w:t>2025</w:t>
      </w:r>
    </w:p>
    <w:p w14:paraId="2A7DE81E" w14:textId="77777777" w:rsidR="00BC24A8" w:rsidRDefault="00BC24A8">
      <w:pPr>
        <w:pStyle w:val="BodyText"/>
        <w:spacing w:before="8" w:after="1"/>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267"/>
        <w:gridCol w:w="1349"/>
        <w:gridCol w:w="1351"/>
        <w:gridCol w:w="1260"/>
        <w:gridCol w:w="1260"/>
        <w:gridCol w:w="1262"/>
        <w:gridCol w:w="1257"/>
      </w:tblGrid>
      <w:tr w:rsidR="00BC24A8" w14:paraId="23037572" w14:textId="77777777">
        <w:trPr>
          <w:trHeight w:val="360"/>
        </w:trPr>
        <w:tc>
          <w:tcPr>
            <w:tcW w:w="1267" w:type="dxa"/>
            <w:shd w:val="clear" w:color="auto" w:fill="17365A"/>
          </w:tcPr>
          <w:p w14:paraId="3B3E90A1" w14:textId="77777777" w:rsidR="00BC24A8" w:rsidRDefault="00000000">
            <w:pPr>
              <w:pStyle w:val="TableParagraph"/>
              <w:spacing w:before="59"/>
              <w:ind w:left="115"/>
              <w:rPr>
                <w:rFonts w:ascii="Calibri"/>
                <w:b/>
                <w:sz w:val="20"/>
              </w:rPr>
            </w:pPr>
            <w:r>
              <w:rPr>
                <w:rFonts w:ascii="Calibri"/>
                <w:b/>
                <w:color w:val="FFFFFF"/>
                <w:spacing w:val="-2"/>
                <w:sz w:val="20"/>
              </w:rPr>
              <w:t>Quarter</w:t>
            </w:r>
          </w:p>
        </w:tc>
        <w:tc>
          <w:tcPr>
            <w:tcW w:w="1349" w:type="dxa"/>
            <w:shd w:val="clear" w:color="auto" w:fill="17365A"/>
          </w:tcPr>
          <w:p w14:paraId="6A3F4023" w14:textId="77777777" w:rsidR="00BC24A8" w:rsidRDefault="00000000">
            <w:pPr>
              <w:pStyle w:val="TableParagraph"/>
              <w:spacing w:before="59"/>
              <w:ind w:right="7"/>
              <w:jc w:val="center"/>
              <w:rPr>
                <w:rFonts w:ascii="Calibri"/>
                <w:b/>
                <w:sz w:val="20"/>
              </w:rPr>
            </w:pPr>
            <w:r>
              <w:rPr>
                <w:rFonts w:ascii="Calibri"/>
                <w:b/>
                <w:color w:val="FFFFFF"/>
                <w:sz w:val="20"/>
              </w:rPr>
              <w:t>QI</w:t>
            </w:r>
            <w:r>
              <w:rPr>
                <w:rFonts w:ascii="Calibri"/>
                <w:b/>
                <w:color w:val="FFFFFF"/>
                <w:spacing w:val="-5"/>
                <w:sz w:val="20"/>
              </w:rPr>
              <w:t xml:space="preserve"> </w:t>
            </w:r>
            <w:r>
              <w:rPr>
                <w:rFonts w:ascii="Calibri"/>
                <w:b/>
                <w:color w:val="FFFFFF"/>
                <w:sz w:val="20"/>
              </w:rPr>
              <w:t>2024</w:t>
            </w:r>
            <w:r>
              <w:rPr>
                <w:rFonts w:ascii="Calibri"/>
                <w:b/>
                <w:color w:val="FFFFFF"/>
                <w:spacing w:val="-4"/>
                <w:sz w:val="20"/>
              </w:rPr>
              <w:t xml:space="preserve"> </w:t>
            </w:r>
            <w:r>
              <w:rPr>
                <w:rFonts w:ascii="Calibri"/>
                <w:b/>
                <w:color w:val="FFFFFF"/>
                <w:spacing w:val="-5"/>
                <w:sz w:val="20"/>
              </w:rPr>
              <w:t>(%)</w:t>
            </w:r>
          </w:p>
        </w:tc>
        <w:tc>
          <w:tcPr>
            <w:tcW w:w="1351" w:type="dxa"/>
            <w:shd w:val="clear" w:color="auto" w:fill="17365A"/>
          </w:tcPr>
          <w:p w14:paraId="178C5BC7" w14:textId="77777777" w:rsidR="00BC24A8" w:rsidRDefault="00000000">
            <w:pPr>
              <w:pStyle w:val="TableParagraph"/>
              <w:spacing w:before="59"/>
              <w:ind w:left="87" w:right="92"/>
              <w:jc w:val="center"/>
              <w:rPr>
                <w:rFonts w:ascii="Calibri"/>
                <w:b/>
                <w:sz w:val="20"/>
              </w:rPr>
            </w:pPr>
            <w:r>
              <w:rPr>
                <w:rFonts w:ascii="Calibri"/>
                <w:b/>
                <w:color w:val="FFFFFF"/>
                <w:sz w:val="20"/>
              </w:rPr>
              <w:t>Q2</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260" w:type="dxa"/>
            <w:shd w:val="clear" w:color="auto" w:fill="17365A"/>
          </w:tcPr>
          <w:p w14:paraId="7EA9ABB1" w14:textId="77777777" w:rsidR="00BC24A8" w:rsidRDefault="00000000">
            <w:pPr>
              <w:pStyle w:val="TableParagraph"/>
              <w:spacing w:before="59"/>
              <w:ind w:right="5"/>
              <w:jc w:val="center"/>
              <w:rPr>
                <w:rFonts w:ascii="Calibri"/>
                <w:b/>
                <w:sz w:val="20"/>
              </w:rPr>
            </w:pPr>
            <w:r>
              <w:rPr>
                <w:rFonts w:ascii="Calibri"/>
                <w:b/>
                <w:color w:val="FFFFFF"/>
                <w:sz w:val="20"/>
              </w:rPr>
              <w:t>Q3</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260" w:type="dxa"/>
            <w:shd w:val="clear" w:color="auto" w:fill="17365A"/>
          </w:tcPr>
          <w:p w14:paraId="4E2CB3AA" w14:textId="77777777" w:rsidR="00BC24A8" w:rsidRDefault="00000000">
            <w:pPr>
              <w:pStyle w:val="TableParagraph"/>
              <w:spacing w:before="59"/>
              <w:ind w:right="5"/>
              <w:jc w:val="center"/>
              <w:rPr>
                <w:rFonts w:ascii="Calibri"/>
                <w:b/>
                <w:sz w:val="20"/>
              </w:rPr>
            </w:pPr>
            <w:r>
              <w:rPr>
                <w:rFonts w:ascii="Calibri"/>
                <w:b/>
                <w:color w:val="FFFFFF"/>
                <w:sz w:val="20"/>
              </w:rPr>
              <w:t>Q4</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262" w:type="dxa"/>
            <w:shd w:val="clear" w:color="auto" w:fill="17365A"/>
          </w:tcPr>
          <w:p w14:paraId="23F55F18" w14:textId="77777777" w:rsidR="00BC24A8" w:rsidRDefault="00000000">
            <w:pPr>
              <w:pStyle w:val="TableParagraph"/>
              <w:spacing w:before="59"/>
              <w:ind w:left="3" w:right="5"/>
              <w:jc w:val="center"/>
              <w:rPr>
                <w:rFonts w:ascii="Calibri"/>
                <w:b/>
                <w:sz w:val="20"/>
              </w:rPr>
            </w:pPr>
            <w:r>
              <w:rPr>
                <w:rFonts w:ascii="Calibri"/>
                <w:b/>
                <w:color w:val="FFFFFF"/>
                <w:sz w:val="20"/>
              </w:rPr>
              <w:t>Q1</w:t>
            </w:r>
            <w:r>
              <w:rPr>
                <w:rFonts w:ascii="Calibri"/>
                <w:b/>
                <w:color w:val="FFFFFF"/>
                <w:spacing w:val="-5"/>
                <w:sz w:val="20"/>
              </w:rPr>
              <w:t xml:space="preserve"> </w:t>
            </w:r>
            <w:r>
              <w:rPr>
                <w:rFonts w:ascii="Calibri"/>
                <w:b/>
                <w:color w:val="FFFFFF"/>
                <w:sz w:val="20"/>
              </w:rPr>
              <w:t>2025</w:t>
            </w:r>
            <w:r>
              <w:rPr>
                <w:rFonts w:ascii="Calibri"/>
                <w:b/>
                <w:color w:val="FFFFFF"/>
                <w:spacing w:val="-5"/>
                <w:sz w:val="20"/>
              </w:rPr>
              <w:t xml:space="preserve"> (%)</w:t>
            </w:r>
          </w:p>
        </w:tc>
        <w:tc>
          <w:tcPr>
            <w:tcW w:w="1257" w:type="dxa"/>
            <w:shd w:val="clear" w:color="auto" w:fill="17365A"/>
          </w:tcPr>
          <w:p w14:paraId="174DE97F" w14:textId="77777777" w:rsidR="00BC24A8" w:rsidRDefault="00000000">
            <w:pPr>
              <w:pStyle w:val="TableParagraph"/>
              <w:spacing w:before="59"/>
              <w:ind w:right="1"/>
              <w:jc w:val="center"/>
              <w:rPr>
                <w:rFonts w:ascii="Calibri"/>
                <w:b/>
                <w:sz w:val="20"/>
              </w:rPr>
            </w:pPr>
            <w:r>
              <w:rPr>
                <w:rFonts w:ascii="Calibri"/>
                <w:b/>
                <w:color w:val="FFFFFF"/>
                <w:sz w:val="20"/>
              </w:rPr>
              <w:t>Q2</w:t>
            </w:r>
            <w:r>
              <w:rPr>
                <w:rFonts w:ascii="Calibri"/>
                <w:b/>
                <w:color w:val="FFFFFF"/>
                <w:spacing w:val="-5"/>
                <w:sz w:val="20"/>
              </w:rPr>
              <w:t xml:space="preserve"> </w:t>
            </w:r>
            <w:r>
              <w:rPr>
                <w:rFonts w:ascii="Calibri"/>
                <w:b/>
                <w:color w:val="FFFFFF"/>
                <w:sz w:val="20"/>
              </w:rPr>
              <w:t>2025</w:t>
            </w:r>
            <w:r>
              <w:rPr>
                <w:rFonts w:ascii="Calibri"/>
                <w:b/>
                <w:color w:val="FFFFFF"/>
                <w:spacing w:val="-5"/>
                <w:sz w:val="20"/>
              </w:rPr>
              <w:t xml:space="preserve"> (%)</w:t>
            </w:r>
          </w:p>
        </w:tc>
      </w:tr>
      <w:tr w:rsidR="00BC24A8" w14:paraId="5B258AF5" w14:textId="77777777">
        <w:trPr>
          <w:trHeight w:val="376"/>
        </w:trPr>
        <w:tc>
          <w:tcPr>
            <w:tcW w:w="1267" w:type="dxa"/>
            <w:tcBorders>
              <w:bottom w:val="single" w:sz="4" w:space="0" w:color="BEBEBE"/>
            </w:tcBorders>
          </w:tcPr>
          <w:p w14:paraId="56BD54C1" w14:textId="77777777" w:rsidR="00BC24A8" w:rsidRDefault="00000000">
            <w:pPr>
              <w:pStyle w:val="TableParagraph"/>
              <w:spacing w:before="102"/>
              <w:ind w:left="115"/>
              <w:rPr>
                <w:sz w:val="18"/>
              </w:rPr>
            </w:pPr>
            <w:r>
              <w:rPr>
                <w:sz w:val="18"/>
              </w:rPr>
              <w:t>Papua</w:t>
            </w:r>
            <w:r>
              <w:rPr>
                <w:spacing w:val="-5"/>
                <w:sz w:val="18"/>
              </w:rPr>
              <w:t xml:space="preserve"> </w:t>
            </w:r>
            <w:r>
              <w:rPr>
                <w:spacing w:val="-2"/>
                <w:sz w:val="18"/>
              </w:rPr>
              <w:t>Selatan</w:t>
            </w:r>
          </w:p>
        </w:tc>
        <w:tc>
          <w:tcPr>
            <w:tcW w:w="1349" w:type="dxa"/>
            <w:tcBorders>
              <w:bottom w:val="single" w:sz="4" w:space="0" w:color="BEBEBE"/>
            </w:tcBorders>
          </w:tcPr>
          <w:p w14:paraId="38694EC0" w14:textId="77777777" w:rsidR="00BC24A8" w:rsidRDefault="00000000">
            <w:pPr>
              <w:pStyle w:val="TableParagraph"/>
              <w:spacing w:before="102"/>
              <w:ind w:left="5" w:right="7"/>
              <w:jc w:val="center"/>
              <w:rPr>
                <w:sz w:val="18"/>
              </w:rPr>
            </w:pPr>
            <w:r>
              <w:rPr>
                <w:spacing w:val="-10"/>
                <w:sz w:val="18"/>
              </w:rPr>
              <w:t>0</w:t>
            </w:r>
          </w:p>
        </w:tc>
        <w:tc>
          <w:tcPr>
            <w:tcW w:w="1351" w:type="dxa"/>
            <w:tcBorders>
              <w:bottom w:val="single" w:sz="4" w:space="0" w:color="BEBEBE"/>
            </w:tcBorders>
          </w:tcPr>
          <w:p w14:paraId="3AFEDF09" w14:textId="77777777" w:rsidR="00BC24A8" w:rsidRDefault="00000000">
            <w:pPr>
              <w:pStyle w:val="TableParagraph"/>
              <w:spacing w:before="102"/>
              <w:ind w:left="87" w:right="87"/>
              <w:jc w:val="center"/>
              <w:rPr>
                <w:sz w:val="18"/>
              </w:rPr>
            </w:pPr>
            <w:r>
              <w:rPr>
                <w:spacing w:val="-10"/>
                <w:sz w:val="18"/>
              </w:rPr>
              <w:t>0</w:t>
            </w:r>
          </w:p>
        </w:tc>
        <w:tc>
          <w:tcPr>
            <w:tcW w:w="1260" w:type="dxa"/>
            <w:tcBorders>
              <w:bottom w:val="single" w:sz="4" w:space="0" w:color="BEBEBE"/>
            </w:tcBorders>
          </w:tcPr>
          <w:p w14:paraId="5EBF3A74" w14:textId="77777777" w:rsidR="00BC24A8" w:rsidRDefault="00000000">
            <w:pPr>
              <w:pStyle w:val="TableParagraph"/>
              <w:spacing w:before="102"/>
              <w:ind w:left="1" w:right="5"/>
              <w:jc w:val="center"/>
              <w:rPr>
                <w:sz w:val="18"/>
              </w:rPr>
            </w:pPr>
            <w:r>
              <w:rPr>
                <w:spacing w:val="-2"/>
                <w:sz w:val="18"/>
              </w:rPr>
              <w:t>95.83</w:t>
            </w:r>
          </w:p>
        </w:tc>
        <w:tc>
          <w:tcPr>
            <w:tcW w:w="1260" w:type="dxa"/>
            <w:tcBorders>
              <w:bottom w:val="single" w:sz="4" w:space="0" w:color="BEBEBE"/>
            </w:tcBorders>
          </w:tcPr>
          <w:p w14:paraId="69325A57" w14:textId="77777777" w:rsidR="00BC24A8" w:rsidRDefault="00000000">
            <w:pPr>
              <w:pStyle w:val="TableParagraph"/>
              <w:spacing w:before="102"/>
              <w:ind w:left="4" w:right="5"/>
              <w:jc w:val="center"/>
              <w:rPr>
                <w:sz w:val="18"/>
              </w:rPr>
            </w:pPr>
            <w:r>
              <w:rPr>
                <w:spacing w:val="-2"/>
                <w:sz w:val="18"/>
              </w:rPr>
              <w:t>98.18</w:t>
            </w:r>
          </w:p>
        </w:tc>
        <w:tc>
          <w:tcPr>
            <w:tcW w:w="1262" w:type="dxa"/>
            <w:tcBorders>
              <w:bottom w:val="single" w:sz="4" w:space="0" w:color="BEBEBE"/>
            </w:tcBorders>
          </w:tcPr>
          <w:p w14:paraId="4BC0B284" w14:textId="77777777" w:rsidR="00BC24A8" w:rsidRDefault="00000000">
            <w:pPr>
              <w:pStyle w:val="TableParagraph"/>
              <w:spacing w:before="102"/>
              <w:ind w:left="6" w:right="5"/>
              <w:jc w:val="center"/>
              <w:rPr>
                <w:sz w:val="18"/>
              </w:rPr>
            </w:pPr>
            <w:r>
              <w:rPr>
                <w:spacing w:val="-4"/>
                <w:sz w:val="18"/>
              </w:rPr>
              <w:t>8.33</w:t>
            </w:r>
          </w:p>
        </w:tc>
        <w:tc>
          <w:tcPr>
            <w:tcW w:w="1257" w:type="dxa"/>
            <w:tcBorders>
              <w:bottom w:val="single" w:sz="4" w:space="0" w:color="BEBEBE"/>
            </w:tcBorders>
          </w:tcPr>
          <w:p w14:paraId="3A8D55E8" w14:textId="77777777" w:rsidR="00BC24A8" w:rsidRDefault="00000000">
            <w:pPr>
              <w:pStyle w:val="TableParagraph"/>
              <w:spacing w:before="102"/>
              <w:ind w:left="1" w:right="1"/>
              <w:jc w:val="center"/>
              <w:rPr>
                <w:sz w:val="18"/>
              </w:rPr>
            </w:pPr>
            <w:r>
              <w:rPr>
                <w:spacing w:val="-5"/>
                <w:sz w:val="18"/>
              </w:rPr>
              <w:t>100</w:t>
            </w:r>
          </w:p>
        </w:tc>
      </w:tr>
    </w:tbl>
    <w:p w14:paraId="4A50C580" w14:textId="77777777" w:rsidR="00BC24A8" w:rsidRDefault="00000000">
      <w:pPr>
        <w:spacing w:before="124"/>
        <w:ind w:left="179"/>
        <w:jc w:val="both"/>
        <w:rPr>
          <w:sz w:val="16"/>
        </w:rPr>
      </w:pPr>
      <w:r>
        <w:rPr>
          <w:sz w:val="16"/>
        </w:rPr>
        <w:t>Data</w:t>
      </w:r>
      <w:r>
        <w:rPr>
          <w:spacing w:val="-10"/>
          <w:sz w:val="16"/>
        </w:rPr>
        <w:t xml:space="preserve"> </w:t>
      </w:r>
      <w:r>
        <w:rPr>
          <w:sz w:val="16"/>
        </w:rPr>
        <w:t>source:</w:t>
      </w:r>
      <w:r>
        <w:rPr>
          <w:spacing w:val="-7"/>
          <w:sz w:val="16"/>
        </w:rPr>
        <w:t xml:space="preserve"> </w:t>
      </w:r>
      <w:hyperlink r:id="rId58">
        <w:r w:rsidR="00BC24A8">
          <w:rPr>
            <w:sz w:val="16"/>
            <w:u w:val="single"/>
          </w:rPr>
          <w:t>https://spm.bangda.kemendagri.go.id/</w:t>
        </w:r>
      </w:hyperlink>
      <w:r>
        <w:rPr>
          <w:spacing w:val="-6"/>
          <w:sz w:val="16"/>
        </w:rPr>
        <w:t xml:space="preserve"> </w:t>
      </w:r>
      <w:r>
        <w:rPr>
          <w:sz w:val="16"/>
        </w:rPr>
        <w:t>(As</w:t>
      </w:r>
      <w:r>
        <w:rPr>
          <w:spacing w:val="-9"/>
          <w:sz w:val="16"/>
        </w:rPr>
        <w:t xml:space="preserve"> </w:t>
      </w:r>
      <w:r>
        <w:rPr>
          <w:sz w:val="16"/>
        </w:rPr>
        <w:t>of</w:t>
      </w:r>
      <w:r>
        <w:rPr>
          <w:spacing w:val="-9"/>
          <w:sz w:val="16"/>
        </w:rPr>
        <w:t xml:space="preserve"> </w:t>
      </w:r>
      <w:r>
        <w:rPr>
          <w:sz w:val="16"/>
        </w:rPr>
        <w:t>July</w:t>
      </w:r>
      <w:r>
        <w:rPr>
          <w:spacing w:val="-9"/>
          <w:sz w:val="16"/>
        </w:rPr>
        <w:t xml:space="preserve"> </w:t>
      </w:r>
      <w:r>
        <w:rPr>
          <w:sz w:val="16"/>
        </w:rPr>
        <w:t>28,</w:t>
      </w:r>
      <w:r>
        <w:rPr>
          <w:spacing w:val="-9"/>
          <w:sz w:val="16"/>
        </w:rPr>
        <w:t xml:space="preserve"> </w:t>
      </w:r>
      <w:r>
        <w:rPr>
          <w:spacing w:val="-2"/>
          <w:sz w:val="16"/>
        </w:rPr>
        <w:t>2025)</w:t>
      </w:r>
    </w:p>
    <w:p w14:paraId="17B599F1" w14:textId="77777777" w:rsidR="00BC24A8" w:rsidRDefault="00BC24A8">
      <w:pPr>
        <w:pStyle w:val="BodyText"/>
        <w:spacing w:before="194"/>
      </w:pPr>
    </w:p>
    <w:p w14:paraId="2CDF6F3F" w14:textId="77777777" w:rsidR="00BC24A8" w:rsidRDefault="00000000">
      <w:pPr>
        <w:pStyle w:val="Heading5"/>
      </w:pPr>
      <w:r>
        <w:rPr>
          <w:color w:val="767070"/>
        </w:rPr>
        <w:t>Regional</w:t>
      </w:r>
      <w:r>
        <w:rPr>
          <w:color w:val="767070"/>
          <w:spacing w:val="-7"/>
        </w:rPr>
        <w:t xml:space="preserve"> </w:t>
      </w:r>
      <w:r>
        <w:rPr>
          <w:color w:val="767070"/>
        </w:rPr>
        <w:t>Revenue</w:t>
      </w:r>
      <w:r>
        <w:rPr>
          <w:color w:val="767070"/>
          <w:spacing w:val="-8"/>
        </w:rPr>
        <w:t xml:space="preserve"> </w:t>
      </w:r>
      <w:r>
        <w:rPr>
          <w:color w:val="767070"/>
        </w:rPr>
        <w:t>and</w:t>
      </w:r>
      <w:r>
        <w:rPr>
          <w:color w:val="767070"/>
          <w:spacing w:val="-8"/>
        </w:rPr>
        <w:t xml:space="preserve"> </w:t>
      </w:r>
      <w:r>
        <w:rPr>
          <w:color w:val="767070"/>
        </w:rPr>
        <w:t>Expenditure</w:t>
      </w:r>
      <w:r>
        <w:rPr>
          <w:color w:val="767070"/>
          <w:spacing w:val="-7"/>
        </w:rPr>
        <w:t xml:space="preserve"> </w:t>
      </w:r>
      <w:r>
        <w:rPr>
          <w:color w:val="767070"/>
        </w:rPr>
        <w:t>Budget</w:t>
      </w:r>
      <w:r>
        <w:rPr>
          <w:color w:val="767070"/>
          <w:spacing w:val="-9"/>
        </w:rPr>
        <w:t xml:space="preserve"> </w:t>
      </w:r>
      <w:r>
        <w:rPr>
          <w:color w:val="767070"/>
        </w:rPr>
        <w:t>(APBD)</w:t>
      </w:r>
      <w:r>
        <w:rPr>
          <w:color w:val="767070"/>
          <w:spacing w:val="-6"/>
        </w:rPr>
        <w:t xml:space="preserve"> </w:t>
      </w:r>
      <w:r>
        <w:rPr>
          <w:color w:val="767070"/>
          <w:spacing w:val="-4"/>
        </w:rPr>
        <w:t>Data</w:t>
      </w:r>
    </w:p>
    <w:p w14:paraId="12BB7C50" w14:textId="77777777" w:rsidR="00BC24A8" w:rsidRDefault="00BC24A8">
      <w:pPr>
        <w:pStyle w:val="BodyText"/>
        <w:spacing w:before="10"/>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3138"/>
        <w:gridCol w:w="3058"/>
        <w:gridCol w:w="2811"/>
      </w:tblGrid>
      <w:tr w:rsidR="00BC24A8" w14:paraId="5FFEB2FA" w14:textId="77777777">
        <w:trPr>
          <w:trHeight w:val="376"/>
        </w:trPr>
        <w:tc>
          <w:tcPr>
            <w:tcW w:w="3138" w:type="dxa"/>
            <w:shd w:val="clear" w:color="auto" w:fill="17365A"/>
          </w:tcPr>
          <w:p w14:paraId="3D9CB3EC" w14:textId="77777777" w:rsidR="00BC24A8" w:rsidRDefault="00000000">
            <w:pPr>
              <w:pStyle w:val="TableParagraph"/>
              <w:spacing w:before="66"/>
              <w:ind w:left="115"/>
              <w:rPr>
                <w:rFonts w:ascii="Calibri"/>
                <w:b/>
                <w:sz w:val="20"/>
              </w:rPr>
            </w:pPr>
            <w:r>
              <w:rPr>
                <w:rFonts w:ascii="Calibri"/>
                <w:b/>
                <w:color w:val="FFFFFF"/>
                <w:sz w:val="20"/>
              </w:rPr>
              <w:t>APBD</w:t>
            </w:r>
            <w:r>
              <w:rPr>
                <w:rFonts w:ascii="Calibri"/>
                <w:b/>
                <w:color w:val="FFFFFF"/>
                <w:spacing w:val="-7"/>
                <w:sz w:val="20"/>
              </w:rPr>
              <w:t xml:space="preserve"> </w:t>
            </w:r>
            <w:r>
              <w:rPr>
                <w:rFonts w:ascii="Calibri"/>
                <w:b/>
                <w:color w:val="FFFFFF"/>
                <w:spacing w:val="-2"/>
                <w:sz w:val="20"/>
              </w:rPr>
              <w:t>Structure</w:t>
            </w:r>
          </w:p>
        </w:tc>
        <w:tc>
          <w:tcPr>
            <w:tcW w:w="3058" w:type="dxa"/>
            <w:shd w:val="clear" w:color="auto" w:fill="17365A"/>
          </w:tcPr>
          <w:p w14:paraId="3FAF3AAD" w14:textId="77777777" w:rsidR="00BC24A8" w:rsidRDefault="00000000">
            <w:pPr>
              <w:pStyle w:val="TableParagraph"/>
              <w:spacing w:before="66"/>
              <w:ind w:left="486"/>
              <w:jc w:val="center"/>
              <w:rPr>
                <w:rFonts w:ascii="Calibri"/>
                <w:b/>
                <w:sz w:val="20"/>
              </w:rPr>
            </w:pPr>
            <w:r>
              <w:rPr>
                <w:rFonts w:ascii="Calibri"/>
                <w:b/>
                <w:color w:val="FFFFFF"/>
                <w:spacing w:val="-4"/>
                <w:sz w:val="20"/>
              </w:rPr>
              <w:t>2024</w:t>
            </w:r>
          </w:p>
        </w:tc>
        <w:tc>
          <w:tcPr>
            <w:tcW w:w="2811" w:type="dxa"/>
            <w:shd w:val="clear" w:color="auto" w:fill="17365A"/>
          </w:tcPr>
          <w:p w14:paraId="406AE5CD" w14:textId="77777777" w:rsidR="00BC24A8" w:rsidRDefault="00000000">
            <w:pPr>
              <w:pStyle w:val="TableParagraph"/>
              <w:spacing w:before="66"/>
              <w:ind w:left="195"/>
              <w:jc w:val="center"/>
              <w:rPr>
                <w:rFonts w:ascii="Calibri"/>
                <w:b/>
                <w:sz w:val="20"/>
              </w:rPr>
            </w:pPr>
            <w:r>
              <w:rPr>
                <w:rFonts w:ascii="Calibri"/>
                <w:b/>
                <w:color w:val="FFFFFF"/>
                <w:spacing w:val="-4"/>
                <w:sz w:val="20"/>
              </w:rPr>
              <w:t>2025</w:t>
            </w:r>
          </w:p>
        </w:tc>
      </w:tr>
      <w:tr w:rsidR="00BC24A8" w14:paraId="6CEF8C91" w14:textId="77777777">
        <w:trPr>
          <w:trHeight w:val="446"/>
        </w:trPr>
        <w:tc>
          <w:tcPr>
            <w:tcW w:w="3138" w:type="dxa"/>
            <w:tcBorders>
              <w:bottom w:val="single" w:sz="4" w:space="0" w:color="BEBEBE"/>
            </w:tcBorders>
          </w:tcPr>
          <w:p w14:paraId="492501ED" w14:textId="77777777" w:rsidR="00BC24A8" w:rsidRDefault="00000000">
            <w:pPr>
              <w:pStyle w:val="TableParagraph"/>
              <w:spacing w:before="102"/>
              <w:ind w:left="115"/>
              <w:rPr>
                <w:sz w:val="18"/>
              </w:rPr>
            </w:pPr>
            <w:r>
              <w:rPr>
                <w:sz w:val="18"/>
              </w:rPr>
              <w:t>Total</w:t>
            </w:r>
            <w:r>
              <w:rPr>
                <w:spacing w:val="-2"/>
                <w:sz w:val="18"/>
              </w:rPr>
              <w:t xml:space="preserve"> Revenue</w:t>
            </w:r>
          </w:p>
        </w:tc>
        <w:tc>
          <w:tcPr>
            <w:tcW w:w="3058" w:type="dxa"/>
            <w:tcBorders>
              <w:bottom w:val="single" w:sz="4" w:space="0" w:color="BEBEBE"/>
            </w:tcBorders>
          </w:tcPr>
          <w:p w14:paraId="2BC7CA86" w14:textId="77777777" w:rsidR="00BC24A8" w:rsidRDefault="00000000">
            <w:pPr>
              <w:pStyle w:val="TableParagraph"/>
              <w:tabs>
                <w:tab w:val="left" w:pos="1095"/>
              </w:tabs>
              <w:spacing w:before="102"/>
              <w:ind w:left="438"/>
              <w:rPr>
                <w:sz w:val="18"/>
              </w:rPr>
            </w:pPr>
            <w:r>
              <w:rPr>
                <w:spacing w:val="-5"/>
                <w:sz w:val="18"/>
              </w:rPr>
              <w:t>IDR</w:t>
            </w:r>
            <w:r>
              <w:rPr>
                <w:sz w:val="18"/>
              </w:rPr>
              <w:tab/>
            </w:r>
            <w:r>
              <w:rPr>
                <w:spacing w:val="-2"/>
                <w:sz w:val="18"/>
              </w:rPr>
              <w:t>1,661,257,991,893.00</w:t>
            </w:r>
          </w:p>
        </w:tc>
        <w:tc>
          <w:tcPr>
            <w:tcW w:w="2811" w:type="dxa"/>
            <w:tcBorders>
              <w:bottom w:val="single" w:sz="4" w:space="0" w:color="BEBEBE"/>
            </w:tcBorders>
          </w:tcPr>
          <w:p w14:paraId="2AB13FF6" w14:textId="77777777" w:rsidR="00BC24A8" w:rsidRDefault="00000000">
            <w:pPr>
              <w:pStyle w:val="TableParagraph"/>
              <w:tabs>
                <w:tab w:val="left" w:pos="1006"/>
              </w:tabs>
              <w:spacing w:before="102"/>
              <w:ind w:left="308"/>
              <w:rPr>
                <w:sz w:val="18"/>
              </w:rPr>
            </w:pPr>
            <w:r>
              <w:rPr>
                <w:spacing w:val="-5"/>
                <w:sz w:val="18"/>
              </w:rPr>
              <w:t>IDR</w:t>
            </w:r>
            <w:r>
              <w:rPr>
                <w:sz w:val="18"/>
              </w:rPr>
              <w:tab/>
            </w:r>
            <w:r>
              <w:rPr>
                <w:spacing w:val="-2"/>
                <w:sz w:val="18"/>
              </w:rPr>
              <w:t>1,529,958,997,529.00</w:t>
            </w:r>
          </w:p>
        </w:tc>
      </w:tr>
      <w:tr w:rsidR="00BC24A8" w14:paraId="19C369F6" w14:textId="77777777">
        <w:trPr>
          <w:trHeight w:val="400"/>
        </w:trPr>
        <w:tc>
          <w:tcPr>
            <w:tcW w:w="3138" w:type="dxa"/>
            <w:tcBorders>
              <w:top w:val="single" w:sz="4" w:space="0" w:color="BEBEBE"/>
              <w:bottom w:val="single" w:sz="4" w:space="0" w:color="BEBEBE"/>
            </w:tcBorders>
          </w:tcPr>
          <w:p w14:paraId="3CF08C77" w14:textId="77777777" w:rsidR="00BC24A8" w:rsidRDefault="00000000">
            <w:pPr>
              <w:pStyle w:val="TableParagraph"/>
              <w:spacing w:before="56"/>
              <w:ind w:left="115"/>
              <w:rPr>
                <w:sz w:val="18"/>
              </w:rPr>
            </w:pPr>
            <w:r>
              <w:rPr>
                <w:sz w:val="18"/>
              </w:rPr>
              <w:t>Regional</w:t>
            </w:r>
            <w:r>
              <w:rPr>
                <w:spacing w:val="-2"/>
                <w:sz w:val="18"/>
              </w:rPr>
              <w:t xml:space="preserve"> </w:t>
            </w:r>
            <w:r>
              <w:rPr>
                <w:sz w:val="18"/>
              </w:rPr>
              <w:t>Revenue</w:t>
            </w:r>
            <w:r>
              <w:rPr>
                <w:spacing w:val="-2"/>
                <w:sz w:val="18"/>
              </w:rPr>
              <w:t xml:space="preserve"> </w:t>
            </w:r>
            <w:r>
              <w:rPr>
                <w:spacing w:val="-4"/>
                <w:sz w:val="18"/>
              </w:rPr>
              <w:t>(PAD)</w:t>
            </w:r>
          </w:p>
        </w:tc>
        <w:tc>
          <w:tcPr>
            <w:tcW w:w="3058" w:type="dxa"/>
            <w:tcBorders>
              <w:top w:val="single" w:sz="4" w:space="0" w:color="BEBEBE"/>
              <w:bottom w:val="single" w:sz="4" w:space="0" w:color="BEBEBE"/>
            </w:tcBorders>
          </w:tcPr>
          <w:p w14:paraId="73497962" w14:textId="77777777" w:rsidR="00BC24A8" w:rsidRDefault="00000000">
            <w:pPr>
              <w:pStyle w:val="TableParagraph"/>
              <w:tabs>
                <w:tab w:val="left" w:pos="1300"/>
              </w:tabs>
              <w:spacing w:before="56"/>
              <w:ind w:left="438"/>
              <w:rPr>
                <w:sz w:val="18"/>
              </w:rPr>
            </w:pPr>
            <w:r>
              <w:rPr>
                <w:spacing w:val="-5"/>
                <w:sz w:val="18"/>
              </w:rPr>
              <w:t>IDR</w:t>
            </w:r>
            <w:r>
              <w:rPr>
                <w:sz w:val="18"/>
              </w:rPr>
              <w:tab/>
            </w:r>
            <w:r>
              <w:rPr>
                <w:spacing w:val="-2"/>
                <w:sz w:val="18"/>
              </w:rPr>
              <w:t>145,342,910,893.00</w:t>
            </w:r>
          </w:p>
        </w:tc>
        <w:tc>
          <w:tcPr>
            <w:tcW w:w="2811" w:type="dxa"/>
            <w:tcBorders>
              <w:top w:val="single" w:sz="4" w:space="0" w:color="BEBEBE"/>
              <w:bottom w:val="single" w:sz="4" w:space="0" w:color="BEBEBE"/>
            </w:tcBorders>
          </w:tcPr>
          <w:p w14:paraId="64C2A1BB" w14:textId="77777777" w:rsidR="00BC24A8" w:rsidRDefault="00000000">
            <w:pPr>
              <w:pStyle w:val="TableParagraph"/>
              <w:tabs>
                <w:tab w:val="left" w:pos="1170"/>
              </w:tabs>
              <w:spacing w:before="56"/>
              <w:ind w:left="308"/>
              <w:rPr>
                <w:sz w:val="18"/>
              </w:rPr>
            </w:pPr>
            <w:r>
              <w:rPr>
                <w:spacing w:val="-5"/>
                <w:sz w:val="18"/>
              </w:rPr>
              <w:t>IDR</w:t>
            </w:r>
            <w:r>
              <w:rPr>
                <w:sz w:val="18"/>
              </w:rPr>
              <w:tab/>
            </w:r>
            <w:r>
              <w:rPr>
                <w:spacing w:val="-2"/>
                <w:sz w:val="18"/>
              </w:rPr>
              <w:t>130,993,681,252.00</w:t>
            </w:r>
          </w:p>
        </w:tc>
      </w:tr>
      <w:tr w:rsidR="00BC24A8" w14:paraId="5D7DA729" w14:textId="77777777">
        <w:trPr>
          <w:trHeight w:val="402"/>
        </w:trPr>
        <w:tc>
          <w:tcPr>
            <w:tcW w:w="3138" w:type="dxa"/>
            <w:tcBorders>
              <w:top w:val="single" w:sz="4" w:space="0" w:color="BEBEBE"/>
              <w:bottom w:val="single" w:sz="4" w:space="0" w:color="BEBEBE"/>
            </w:tcBorders>
          </w:tcPr>
          <w:p w14:paraId="78C4D2D6" w14:textId="77777777" w:rsidR="00BC24A8" w:rsidRDefault="00000000">
            <w:pPr>
              <w:pStyle w:val="TableParagraph"/>
              <w:spacing w:before="59"/>
              <w:ind w:left="115"/>
              <w:rPr>
                <w:sz w:val="18"/>
              </w:rPr>
            </w:pPr>
            <w:r>
              <w:rPr>
                <w:sz w:val="18"/>
              </w:rPr>
              <w:t>Fiscal</w:t>
            </w:r>
            <w:r>
              <w:rPr>
                <w:spacing w:val="-1"/>
                <w:sz w:val="18"/>
              </w:rPr>
              <w:t xml:space="preserve"> </w:t>
            </w:r>
            <w:r>
              <w:rPr>
                <w:sz w:val="18"/>
              </w:rPr>
              <w:t>Transfer</w:t>
            </w:r>
            <w:r>
              <w:rPr>
                <w:spacing w:val="-1"/>
                <w:sz w:val="18"/>
              </w:rPr>
              <w:t xml:space="preserve"> </w:t>
            </w:r>
            <w:r>
              <w:rPr>
                <w:spacing w:val="-4"/>
                <w:sz w:val="18"/>
              </w:rPr>
              <w:t>(TKD)</w:t>
            </w:r>
          </w:p>
        </w:tc>
        <w:tc>
          <w:tcPr>
            <w:tcW w:w="3058" w:type="dxa"/>
            <w:tcBorders>
              <w:top w:val="single" w:sz="4" w:space="0" w:color="BEBEBE"/>
              <w:bottom w:val="single" w:sz="4" w:space="0" w:color="BEBEBE"/>
            </w:tcBorders>
          </w:tcPr>
          <w:p w14:paraId="31D95F18" w14:textId="77777777" w:rsidR="00BC24A8" w:rsidRDefault="00000000">
            <w:pPr>
              <w:pStyle w:val="TableParagraph"/>
              <w:tabs>
                <w:tab w:val="left" w:pos="1136"/>
              </w:tabs>
              <w:spacing w:before="59"/>
              <w:ind w:left="438"/>
              <w:rPr>
                <w:sz w:val="18"/>
              </w:rPr>
            </w:pPr>
            <w:r>
              <w:rPr>
                <w:spacing w:val="-5"/>
                <w:sz w:val="18"/>
              </w:rPr>
              <w:t>IDR</w:t>
            </w:r>
            <w:r>
              <w:rPr>
                <w:sz w:val="18"/>
              </w:rPr>
              <w:tab/>
            </w:r>
            <w:r>
              <w:rPr>
                <w:spacing w:val="-2"/>
                <w:sz w:val="18"/>
              </w:rPr>
              <w:t>1,492,915,081,000.00</w:t>
            </w:r>
          </w:p>
        </w:tc>
        <w:tc>
          <w:tcPr>
            <w:tcW w:w="2811" w:type="dxa"/>
            <w:tcBorders>
              <w:top w:val="single" w:sz="4" w:space="0" w:color="BEBEBE"/>
              <w:bottom w:val="single" w:sz="4" w:space="0" w:color="BEBEBE"/>
            </w:tcBorders>
          </w:tcPr>
          <w:p w14:paraId="7B21DF3A" w14:textId="77777777" w:rsidR="00BC24A8" w:rsidRDefault="00000000">
            <w:pPr>
              <w:pStyle w:val="TableParagraph"/>
              <w:tabs>
                <w:tab w:val="left" w:pos="1006"/>
              </w:tabs>
              <w:spacing w:before="59"/>
              <w:ind w:left="308"/>
              <w:rPr>
                <w:sz w:val="18"/>
              </w:rPr>
            </w:pPr>
            <w:r>
              <w:rPr>
                <w:spacing w:val="-5"/>
                <w:sz w:val="18"/>
              </w:rPr>
              <w:t>IDR</w:t>
            </w:r>
            <w:r>
              <w:rPr>
                <w:sz w:val="18"/>
              </w:rPr>
              <w:tab/>
            </w:r>
            <w:r>
              <w:rPr>
                <w:spacing w:val="-2"/>
                <w:sz w:val="18"/>
              </w:rPr>
              <w:t>1,378,965,316,277.00</w:t>
            </w:r>
          </w:p>
        </w:tc>
      </w:tr>
      <w:tr w:rsidR="00BC24A8" w14:paraId="3B496C46" w14:textId="77777777">
        <w:trPr>
          <w:trHeight w:val="402"/>
        </w:trPr>
        <w:tc>
          <w:tcPr>
            <w:tcW w:w="3138" w:type="dxa"/>
            <w:tcBorders>
              <w:top w:val="single" w:sz="4" w:space="0" w:color="BEBEBE"/>
              <w:bottom w:val="single" w:sz="4" w:space="0" w:color="BEBEBE"/>
            </w:tcBorders>
          </w:tcPr>
          <w:p w14:paraId="3882A9BC" w14:textId="77777777" w:rsidR="00BC24A8" w:rsidRDefault="00000000">
            <w:pPr>
              <w:pStyle w:val="TableParagraph"/>
              <w:spacing w:before="59"/>
              <w:ind w:left="115"/>
              <w:rPr>
                <w:sz w:val="18"/>
              </w:rPr>
            </w:pPr>
            <w:r>
              <w:rPr>
                <w:sz w:val="18"/>
              </w:rPr>
              <w:t>Other</w:t>
            </w:r>
            <w:r>
              <w:rPr>
                <w:spacing w:val="-3"/>
                <w:sz w:val="18"/>
              </w:rPr>
              <w:t xml:space="preserve"> </w:t>
            </w:r>
            <w:r>
              <w:rPr>
                <w:sz w:val="18"/>
              </w:rPr>
              <w:t>Legitimate</w:t>
            </w:r>
            <w:r>
              <w:rPr>
                <w:spacing w:val="-4"/>
                <w:sz w:val="18"/>
              </w:rPr>
              <w:t xml:space="preserve"> </w:t>
            </w:r>
            <w:r>
              <w:rPr>
                <w:sz w:val="18"/>
              </w:rPr>
              <w:t>Regional</w:t>
            </w:r>
            <w:r>
              <w:rPr>
                <w:spacing w:val="-2"/>
                <w:sz w:val="18"/>
              </w:rPr>
              <w:t xml:space="preserve"> Revenues</w:t>
            </w:r>
          </w:p>
        </w:tc>
        <w:tc>
          <w:tcPr>
            <w:tcW w:w="3058" w:type="dxa"/>
            <w:tcBorders>
              <w:top w:val="single" w:sz="4" w:space="0" w:color="BEBEBE"/>
              <w:bottom w:val="single" w:sz="4" w:space="0" w:color="BEBEBE"/>
            </w:tcBorders>
          </w:tcPr>
          <w:p w14:paraId="07B662F9" w14:textId="77777777" w:rsidR="00BC24A8" w:rsidRDefault="00000000">
            <w:pPr>
              <w:pStyle w:val="TableParagraph"/>
              <w:tabs>
                <w:tab w:val="left" w:pos="1382"/>
              </w:tabs>
              <w:spacing w:before="59"/>
              <w:ind w:left="438"/>
              <w:rPr>
                <w:sz w:val="18"/>
              </w:rPr>
            </w:pPr>
            <w:r>
              <w:rPr>
                <w:spacing w:val="-5"/>
                <w:sz w:val="18"/>
              </w:rPr>
              <w:t>IDR</w:t>
            </w:r>
            <w:r>
              <w:rPr>
                <w:sz w:val="18"/>
              </w:rPr>
              <w:tab/>
            </w:r>
            <w:r>
              <w:rPr>
                <w:spacing w:val="-2"/>
                <w:sz w:val="18"/>
              </w:rPr>
              <w:t>23,000,000,000.00</w:t>
            </w:r>
          </w:p>
        </w:tc>
        <w:tc>
          <w:tcPr>
            <w:tcW w:w="2811" w:type="dxa"/>
            <w:tcBorders>
              <w:top w:val="single" w:sz="4" w:space="0" w:color="BEBEBE"/>
              <w:bottom w:val="single" w:sz="4" w:space="0" w:color="BEBEBE"/>
            </w:tcBorders>
          </w:tcPr>
          <w:p w14:paraId="7AFF9D7B" w14:textId="77777777" w:rsidR="00BC24A8" w:rsidRDefault="00000000">
            <w:pPr>
              <w:pStyle w:val="TableParagraph"/>
              <w:tabs>
                <w:tab w:val="left" w:pos="1252"/>
              </w:tabs>
              <w:spacing w:before="59"/>
              <w:ind w:left="308"/>
              <w:rPr>
                <w:sz w:val="18"/>
              </w:rPr>
            </w:pPr>
            <w:r>
              <w:rPr>
                <w:spacing w:val="-5"/>
                <w:sz w:val="18"/>
              </w:rPr>
              <w:t>IDR</w:t>
            </w:r>
            <w:r>
              <w:rPr>
                <w:sz w:val="18"/>
              </w:rPr>
              <w:tab/>
            </w:r>
            <w:r>
              <w:rPr>
                <w:spacing w:val="-2"/>
                <w:sz w:val="18"/>
              </w:rPr>
              <w:t>20,000,000,000.00</w:t>
            </w:r>
          </w:p>
        </w:tc>
      </w:tr>
      <w:tr w:rsidR="00BC24A8" w14:paraId="49091DD4" w14:textId="77777777">
        <w:trPr>
          <w:trHeight w:val="400"/>
        </w:trPr>
        <w:tc>
          <w:tcPr>
            <w:tcW w:w="3138" w:type="dxa"/>
            <w:tcBorders>
              <w:top w:val="single" w:sz="4" w:space="0" w:color="BEBEBE"/>
              <w:bottom w:val="single" w:sz="4" w:space="0" w:color="BEBEBE"/>
            </w:tcBorders>
          </w:tcPr>
          <w:p w14:paraId="0ACB8530" w14:textId="77777777" w:rsidR="00BC24A8" w:rsidRDefault="00000000">
            <w:pPr>
              <w:pStyle w:val="TableParagraph"/>
              <w:spacing w:before="56"/>
              <w:ind w:left="115"/>
              <w:rPr>
                <w:sz w:val="18"/>
              </w:rPr>
            </w:pPr>
            <w:r>
              <w:rPr>
                <w:sz w:val="18"/>
              </w:rPr>
              <w:t>Total</w:t>
            </w:r>
            <w:r>
              <w:rPr>
                <w:spacing w:val="-4"/>
                <w:sz w:val="18"/>
              </w:rPr>
              <w:t xml:space="preserve"> </w:t>
            </w:r>
            <w:r>
              <w:rPr>
                <w:spacing w:val="-2"/>
                <w:sz w:val="18"/>
              </w:rPr>
              <w:t>Expenditure</w:t>
            </w:r>
          </w:p>
        </w:tc>
        <w:tc>
          <w:tcPr>
            <w:tcW w:w="3058" w:type="dxa"/>
            <w:tcBorders>
              <w:top w:val="single" w:sz="4" w:space="0" w:color="BEBEBE"/>
              <w:bottom w:val="single" w:sz="4" w:space="0" w:color="BEBEBE"/>
            </w:tcBorders>
          </w:tcPr>
          <w:p w14:paraId="3CC1280D" w14:textId="77777777" w:rsidR="00BC24A8" w:rsidRDefault="00000000">
            <w:pPr>
              <w:pStyle w:val="TableParagraph"/>
              <w:tabs>
                <w:tab w:val="left" w:pos="1136"/>
              </w:tabs>
              <w:spacing w:before="56"/>
              <w:ind w:left="438"/>
              <w:rPr>
                <w:sz w:val="18"/>
              </w:rPr>
            </w:pPr>
            <w:r>
              <w:rPr>
                <w:spacing w:val="-5"/>
                <w:sz w:val="18"/>
              </w:rPr>
              <w:t>IDR</w:t>
            </w:r>
            <w:r>
              <w:rPr>
                <w:sz w:val="18"/>
              </w:rPr>
              <w:tab/>
            </w:r>
            <w:r>
              <w:rPr>
                <w:spacing w:val="-2"/>
                <w:sz w:val="18"/>
              </w:rPr>
              <w:t>1,910,601,605,605.00</w:t>
            </w:r>
          </w:p>
        </w:tc>
        <w:tc>
          <w:tcPr>
            <w:tcW w:w="2811" w:type="dxa"/>
            <w:tcBorders>
              <w:top w:val="single" w:sz="4" w:space="0" w:color="BEBEBE"/>
              <w:bottom w:val="single" w:sz="4" w:space="0" w:color="BEBEBE"/>
            </w:tcBorders>
          </w:tcPr>
          <w:p w14:paraId="592A5B9B" w14:textId="77777777" w:rsidR="00BC24A8" w:rsidRDefault="00000000">
            <w:pPr>
              <w:pStyle w:val="TableParagraph"/>
              <w:tabs>
                <w:tab w:val="left" w:pos="1006"/>
              </w:tabs>
              <w:spacing w:before="56"/>
              <w:ind w:left="308"/>
              <w:rPr>
                <w:sz w:val="18"/>
              </w:rPr>
            </w:pPr>
            <w:r>
              <w:rPr>
                <w:spacing w:val="-5"/>
                <w:sz w:val="18"/>
              </w:rPr>
              <w:t>IDR</w:t>
            </w:r>
            <w:r>
              <w:rPr>
                <w:sz w:val="18"/>
              </w:rPr>
              <w:tab/>
            </w:r>
            <w:r>
              <w:rPr>
                <w:spacing w:val="-2"/>
                <w:sz w:val="18"/>
              </w:rPr>
              <w:t>1,724,133,001,643.00</w:t>
            </w:r>
          </w:p>
        </w:tc>
      </w:tr>
      <w:tr w:rsidR="00BC24A8" w14:paraId="1F184F44" w14:textId="77777777">
        <w:trPr>
          <w:trHeight w:val="402"/>
        </w:trPr>
        <w:tc>
          <w:tcPr>
            <w:tcW w:w="3138" w:type="dxa"/>
            <w:tcBorders>
              <w:top w:val="single" w:sz="4" w:space="0" w:color="BEBEBE"/>
              <w:bottom w:val="single" w:sz="4" w:space="0" w:color="BEBEBE"/>
            </w:tcBorders>
          </w:tcPr>
          <w:p w14:paraId="7DCA23A8" w14:textId="77777777" w:rsidR="00BC24A8" w:rsidRDefault="00000000">
            <w:pPr>
              <w:pStyle w:val="TableParagraph"/>
              <w:spacing w:before="59"/>
              <w:ind w:left="115"/>
              <w:rPr>
                <w:sz w:val="18"/>
              </w:rPr>
            </w:pPr>
            <w:r>
              <w:rPr>
                <w:sz w:val="18"/>
              </w:rPr>
              <w:t>Operating</w:t>
            </w:r>
            <w:r>
              <w:rPr>
                <w:spacing w:val="-3"/>
                <w:sz w:val="18"/>
              </w:rPr>
              <w:t xml:space="preserve"> </w:t>
            </w:r>
            <w:r>
              <w:rPr>
                <w:spacing w:val="-2"/>
                <w:sz w:val="18"/>
              </w:rPr>
              <w:t>Expenditure</w:t>
            </w:r>
          </w:p>
        </w:tc>
        <w:tc>
          <w:tcPr>
            <w:tcW w:w="3058" w:type="dxa"/>
            <w:tcBorders>
              <w:top w:val="single" w:sz="4" w:space="0" w:color="BEBEBE"/>
              <w:bottom w:val="single" w:sz="4" w:space="0" w:color="BEBEBE"/>
            </w:tcBorders>
          </w:tcPr>
          <w:p w14:paraId="4EC6D579" w14:textId="77777777" w:rsidR="00BC24A8" w:rsidRDefault="00000000">
            <w:pPr>
              <w:pStyle w:val="TableParagraph"/>
              <w:tabs>
                <w:tab w:val="left" w:pos="1136"/>
              </w:tabs>
              <w:spacing w:before="59"/>
              <w:ind w:left="438"/>
              <w:rPr>
                <w:sz w:val="18"/>
              </w:rPr>
            </w:pPr>
            <w:r>
              <w:rPr>
                <w:spacing w:val="-5"/>
                <w:sz w:val="18"/>
              </w:rPr>
              <w:t>IDR</w:t>
            </w:r>
            <w:r>
              <w:rPr>
                <w:sz w:val="18"/>
              </w:rPr>
              <w:tab/>
            </w:r>
            <w:r>
              <w:rPr>
                <w:spacing w:val="-2"/>
                <w:sz w:val="18"/>
              </w:rPr>
              <w:t>1,219,739,545,447.00</w:t>
            </w:r>
          </w:p>
        </w:tc>
        <w:tc>
          <w:tcPr>
            <w:tcW w:w="2811" w:type="dxa"/>
            <w:tcBorders>
              <w:top w:val="single" w:sz="4" w:space="0" w:color="BEBEBE"/>
              <w:bottom w:val="single" w:sz="4" w:space="0" w:color="BEBEBE"/>
            </w:tcBorders>
          </w:tcPr>
          <w:p w14:paraId="3CF85D19" w14:textId="77777777" w:rsidR="00BC24A8" w:rsidRDefault="00000000">
            <w:pPr>
              <w:pStyle w:val="TableParagraph"/>
              <w:tabs>
                <w:tab w:val="left" w:pos="1006"/>
              </w:tabs>
              <w:spacing w:before="59"/>
              <w:ind w:left="308"/>
              <w:rPr>
                <w:sz w:val="18"/>
              </w:rPr>
            </w:pPr>
            <w:r>
              <w:rPr>
                <w:spacing w:val="-5"/>
                <w:sz w:val="18"/>
              </w:rPr>
              <w:t>IDR</w:t>
            </w:r>
            <w:r>
              <w:rPr>
                <w:sz w:val="18"/>
              </w:rPr>
              <w:tab/>
            </w:r>
            <w:r>
              <w:rPr>
                <w:spacing w:val="-2"/>
                <w:sz w:val="18"/>
              </w:rPr>
              <w:t>1,243,138,117,468.00</w:t>
            </w:r>
          </w:p>
        </w:tc>
      </w:tr>
      <w:tr w:rsidR="00BC24A8" w14:paraId="33B0D07E" w14:textId="77777777">
        <w:trPr>
          <w:trHeight w:val="402"/>
        </w:trPr>
        <w:tc>
          <w:tcPr>
            <w:tcW w:w="3138" w:type="dxa"/>
            <w:tcBorders>
              <w:top w:val="single" w:sz="4" w:space="0" w:color="BEBEBE"/>
              <w:bottom w:val="single" w:sz="4" w:space="0" w:color="BEBEBE"/>
            </w:tcBorders>
          </w:tcPr>
          <w:p w14:paraId="02A5AC9D" w14:textId="77777777" w:rsidR="00BC24A8" w:rsidRDefault="00000000">
            <w:pPr>
              <w:pStyle w:val="TableParagraph"/>
              <w:spacing w:before="59"/>
              <w:ind w:left="115"/>
              <w:rPr>
                <w:sz w:val="18"/>
              </w:rPr>
            </w:pPr>
            <w:r>
              <w:rPr>
                <w:sz w:val="18"/>
              </w:rPr>
              <w:t>Capital</w:t>
            </w:r>
            <w:r>
              <w:rPr>
                <w:spacing w:val="-3"/>
                <w:sz w:val="18"/>
              </w:rPr>
              <w:t xml:space="preserve"> </w:t>
            </w:r>
            <w:r>
              <w:rPr>
                <w:spacing w:val="-2"/>
                <w:sz w:val="18"/>
              </w:rPr>
              <w:t>Expenditure</w:t>
            </w:r>
          </w:p>
        </w:tc>
        <w:tc>
          <w:tcPr>
            <w:tcW w:w="3058" w:type="dxa"/>
            <w:tcBorders>
              <w:top w:val="single" w:sz="4" w:space="0" w:color="BEBEBE"/>
              <w:bottom w:val="single" w:sz="4" w:space="0" w:color="BEBEBE"/>
            </w:tcBorders>
          </w:tcPr>
          <w:p w14:paraId="28DBAC66" w14:textId="77777777" w:rsidR="00BC24A8" w:rsidRDefault="00000000">
            <w:pPr>
              <w:pStyle w:val="TableParagraph"/>
              <w:tabs>
                <w:tab w:val="left" w:pos="1300"/>
              </w:tabs>
              <w:spacing w:before="59"/>
              <w:ind w:left="438"/>
              <w:rPr>
                <w:sz w:val="18"/>
              </w:rPr>
            </w:pPr>
            <w:r>
              <w:rPr>
                <w:spacing w:val="-5"/>
                <w:sz w:val="18"/>
              </w:rPr>
              <w:t>IDR</w:t>
            </w:r>
            <w:r>
              <w:rPr>
                <w:sz w:val="18"/>
              </w:rPr>
              <w:tab/>
            </w:r>
            <w:r>
              <w:rPr>
                <w:spacing w:val="-2"/>
                <w:sz w:val="18"/>
              </w:rPr>
              <w:t>476,013,499,156.00</w:t>
            </w:r>
          </w:p>
        </w:tc>
        <w:tc>
          <w:tcPr>
            <w:tcW w:w="2811" w:type="dxa"/>
            <w:tcBorders>
              <w:top w:val="single" w:sz="4" w:space="0" w:color="BEBEBE"/>
              <w:bottom w:val="single" w:sz="4" w:space="0" w:color="BEBEBE"/>
            </w:tcBorders>
          </w:tcPr>
          <w:p w14:paraId="0E7182BA" w14:textId="77777777" w:rsidR="00BC24A8" w:rsidRDefault="00000000">
            <w:pPr>
              <w:pStyle w:val="TableParagraph"/>
              <w:tabs>
                <w:tab w:val="left" w:pos="1170"/>
              </w:tabs>
              <w:spacing w:before="59"/>
              <w:ind w:left="308"/>
              <w:rPr>
                <w:sz w:val="18"/>
              </w:rPr>
            </w:pPr>
            <w:r>
              <w:rPr>
                <w:spacing w:val="-5"/>
                <w:sz w:val="18"/>
              </w:rPr>
              <w:t>IDR</w:t>
            </w:r>
            <w:r>
              <w:rPr>
                <w:sz w:val="18"/>
              </w:rPr>
              <w:tab/>
            </w:r>
            <w:r>
              <w:rPr>
                <w:spacing w:val="-2"/>
                <w:sz w:val="18"/>
              </w:rPr>
              <w:t>337,477,754,757.00</w:t>
            </w:r>
          </w:p>
        </w:tc>
      </w:tr>
      <w:tr w:rsidR="00BC24A8" w14:paraId="6E923C9E" w14:textId="77777777">
        <w:trPr>
          <w:trHeight w:val="400"/>
        </w:trPr>
        <w:tc>
          <w:tcPr>
            <w:tcW w:w="3138" w:type="dxa"/>
            <w:tcBorders>
              <w:top w:val="single" w:sz="4" w:space="0" w:color="BEBEBE"/>
              <w:bottom w:val="single" w:sz="4" w:space="0" w:color="BEBEBE"/>
            </w:tcBorders>
          </w:tcPr>
          <w:p w14:paraId="213B5116" w14:textId="77777777" w:rsidR="00BC24A8" w:rsidRDefault="00000000">
            <w:pPr>
              <w:pStyle w:val="TableParagraph"/>
              <w:spacing w:before="56"/>
              <w:ind w:left="115"/>
              <w:rPr>
                <w:sz w:val="18"/>
              </w:rPr>
            </w:pPr>
            <w:r>
              <w:rPr>
                <w:sz w:val="18"/>
              </w:rPr>
              <w:t>Contingency</w:t>
            </w:r>
            <w:r>
              <w:rPr>
                <w:spacing w:val="-3"/>
                <w:sz w:val="18"/>
              </w:rPr>
              <w:t xml:space="preserve"> </w:t>
            </w:r>
            <w:r>
              <w:rPr>
                <w:spacing w:val="-2"/>
                <w:sz w:val="18"/>
              </w:rPr>
              <w:t>Expenditure</w:t>
            </w:r>
          </w:p>
        </w:tc>
        <w:tc>
          <w:tcPr>
            <w:tcW w:w="3058" w:type="dxa"/>
            <w:tcBorders>
              <w:top w:val="single" w:sz="4" w:space="0" w:color="BEBEBE"/>
              <w:bottom w:val="single" w:sz="4" w:space="0" w:color="BEBEBE"/>
            </w:tcBorders>
          </w:tcPr>
          <w:p w14:paraId="7BA26E43" w14:textId="77777777" w:rsidR="00BC24A8" w:rsidRDefault="00000000">
            <w:pPr>
              <w:pStyle w:val="TableParagraph"/>
              <w:tabs>
                <w:tab w:val="left" w:pos="1382"/>
              </w:tabs>
              <w:spacing w:before="56"/>
              <w:ind w:left="438"/>
              <w:rPr>
                <w:sz w:val="18"/>
              </w:rPr>
            </w:pPr>
            <w:r>
              <w:rPr>
                <w:spacing w:val="-5"/>
                <w:sz w:val="18"/>
              </w:rPr>
              <w:t>IDR</w:t>
            </w:r>
            <w:r>
              <w:rPr>
                <w:sz w:val="18"/>
              </w:rPr>
              <w:tab/>
            </w:r>
            <w:r>
              <w:rPr>
                <w:spacing w:val="-2"/>
                <w:sz w:val="18"/>
              </w:rPr>
              <w:t>23,049,828,741.00</w:t>
            </w:r>
          </w:p>
        </w:tc>
        <w:tc>
          <w:tcPr>
            <w:tcW w:w="2811" w:type="dxa"/>
            <w:tcBorders>
              <w:top w:val="single" w:sz="4" w:space="0" w:color="BEBEBE"/>
              <w:bottom w:val="single" w:sz="4" w:space="0" w:color="BEBEBE"/>
            </w:tcBorders>
          </w:tcPr>
          <w:p w14:paraId="216D062A" w14:textId="77777777" w:rsidR="00BC24A8" w:rsidRDefault="00000000">
            <w:pPr>
              <w:pStyle w:val="TableParagraph"/>
              <w:tabs>
                <w:tab w:val="left" w:pos="1374"/>
              </w:tabs>
              <w:spacing w:before="56"/>
              <w:ind w:left="308"/>
              <w:rPr>
                <w:sz w:val="18"/>
              </w:rPr>
            </w:pPr>
            <w:r>
              <w:rPr>
                <w:spacing w:val="-5"/>
                <w:sz w:val="18"/>
              </w:rPr>
              <w:t>IDR</w:t>
            </w:r>
            <w:r>
              <w:rPr>
                <w:sz w:val="18"/>
              </w:rPr>
              <w:tab/>
            </w:r>
            <w:r>
              <w:rPr>
                <w:spacing w:val="-2"/>
                <w:sz w:val="18"/>
              </w:rPr>
              <w:t>6,127,587,297.00</w:t>
            </w:r>
          </w:p>
        </w:tc>
      </w:tr>
      <w:tr w:rsidR="00BC24A8" w14:paraId="24EC8623" w14:textId="77777777">
        <w:trPr>
          <w:trHeight w:val="402"/>
        </w:trPr>
        <w:tc>
          <w:tcPr>
            <w:tcW w:w="3138" w:type="dxa"/>
            <w:tcBorders>
              <w:top w:val="single" w:sz="4" w:space="0" w:color="BEBEBE"/>
              <w:bottom w:val="single" w:sz="4" w:space="0" w:color="BEBEBE"/>
            </w:tcBorders>
          </w:tcPr>
          <w:p w14:paraId="7B2C5E8C" w14:textId="77777777" w:rsidR="00BC24A8" w:rsidRDefault="00000000">
            <w:pPr>
              <w:pStyle w:val="TableParagraph"/>
              <w:spacing w:before="59"/>
              <w:ind w:left="115"/>
              <w:rPr>
                <w:sz w:val="18"/>
              </w:rPr>
            </w:pPr>
            <w:r>
              <w:rPr>
                <w:sz w:val="18"/>
              </w:rPr>
              <w:t>Transfer</w:t>
            </w:r>
            <w:r>
              <w:rPr>
                <w:spacing w:val="-6"/>
                <w:sz w:val="18"/>
              </w:rPr>
              <w:t xml:space="preserve"> </w:t>
            </w:r>
            <w:r>
              <w:rPr>
                <w:spacing w:val="-2"/>
                <w:sz w:val="18"/>
              </w:rPr>
              <w:t>Expenditure</w:t>
            </w:r>
          </w:p>
        </w:tc>
        <w:tc>
          <w:tcPr>
            <w:tcW w:w="3058" w:type="dxa"/>
            <w:tcBorders>
              <w:top w:val="single" w:sz="4" w:space="0" w:color="BEBEBE"/>
              <w:bottom w:val="single" w:sz="4" w:space="0" w:color="BEBEBE"/>
            </w:tcBorders>
          </w:tcPr>
          <w:p w14:paraId="70342973" w14:textId="77777777" w:rsidR="00BC24A8" w:rsidRDefault="00000000">
            <w:pPr>
              <w:pStyle w:val="TableParagraph"/>
              <w:tabs>
                <w:tab w:val="left" w:pos="1259"/>
              </w:tabs>
              <w:spacing w:before="59"/>
              <w:ind w:left="397"/>
              <w:rPr>
                <w:sz w:val="18"/>
              </w:rPr>
            </w:pPr>
            <w:r>
              <w:rPr>
                <w:spacing w:val="-5"/>
                <w:sz w:val="18"/>
              </w:rPr>
              <w:t>IDR</w:t>
            </w:r>
            <w:r>
              <w:rPr>
                <w:sz w:val="18"/>
              </w:rPr>
              <w:tab/>
            </w:r>
            <w:r>
              <w:rPr>
                <w:spacing w:val="-2"/>
                <w:sz w:val="18"/>
              </w:rPr>
              <w:t>191,798,732,261.00</w:t>
            </w:r>
          </w:p>
        </w:tc>
        <w:tc>
          <w:tcPr>
            <w:tcW w:w="2811" w:type="dxa"/>
            <w:tcBorders>
              <w:top w:val="single" w:sz="4" w:space="0" w:color="BEBEBE"/>
              <w:bottom w:val="single" w:sz="4" w:space="0" w:color="BEBEBE"/>
            </w:tcBorders>
          </w:tcPr>
          <w:p w14:paraId="1C272614" w14:textId="77777777" w:rsidR="00BC24A8" w:rsidRDefault="00000000">
            <w:pPr>
              <w:pStyle w:val="TableParagraph"/>
              <w:tabs>
                <w:tab w:val="left" w:pos="1170"/>
              </w:tabs>
              <w:spacing w:before="59"/>
              <w:ind w:left="308"/>
              <w:rPr>
                <w:sz w:val="18"/>
              </w:rPr>
            </w:pPr>
            <w:r>
              <w:rPr>
                <w:spacing w:val="-5"/>
                <w:sz w:val="18"/>
              </w:rPr>
              <w:t>IDR</w:t>
            </w:r>
            <w:r>
              <w:rPr>
                <w:sz w:val="18"/>
              </w:rPr>
              <w:tab/>
            </w:r>
            <w:r>
              <w:rPr>
                <w:spacing w:val="-2"/>
                <w:sz w:val="18"/>
              </w:rPr>
              <w:t>137,389,542,121.00</w:t>
            </w:r>
          </w:p>
        </w:tc>
      </w:tr>
      <w:tr w:rsidR="00BC24A8" w14:paraId="11326E63" w14:textId="77777777">
        <w:trPr>
          <w:trHeight w:val="402"/>
        </w:trPr>
        <w:tc>
          <w:tcPr>
            <w:tcW w:w="3138" w:type="dxa"/>
            <w:tcBorders>
              <w:top w:val="single" w:sz="4" w:space="0" w:color="BEBEBE"/>
              <w:bottom w:val="single" w:sz="4" w:space="0" w:color="BEBEBE"/>
            </w:tcBorders>
          </w:tcPr>
          <w:p w14:paraId="20E2C163" w14:textId="77777777" w:rsidR="00BC24A8" w:rsidRDefault="00000000">
            <w:pPr>
              <w:pStyle w:val="TableParagraph"/>
              <w:spacing w:before="59"/>
              <w:ind w:left="115"/>
              <w:rPr>
                <w:sz w:val="18"/>
              </w:rPr>
            </w:pPr>
            <w:r>
              <w:rPr>
                <w:sz w:val="18"/>
              </w:rPr>
              <w:t>Regional</w:t>
            </w:r>
            <w:r>
              <w:rPr>
                <w:spacing w:val="-2"/>
                <w:sz w:val="18"/>
              </w:rPr>
              <w:t xml:space="preserve"> Financing</w:t>
            </w:r>
          </w:p>
        </w:tc>
        <w:tc>
          <w:tcPr>
            <w:tcW w:w="3058" w:type="dxa"/>
            <w:tcBorders>
              <w:top w:val="single" w:sz="4" w:space="0" w:color="BEBEBE"/>
              <w:bottom w:val="single" w:sz="4" w:space="0" w:color="BEBEBE"/>
            </w:tcBorders>
          </w:tcPr>
          <w:p w14:paraId="3621B02F" w14:textId="77777777" w:rsidR="00BC24A8" w:rsidRDefault="00000000">
            <w:pPr>
              <w:pStyle w:val="TableParagraph"/>
              <w:tabs>
                <w:tab w:val="left" w:pos="1259"/>
              </w:tabs>
              <w:spacing w:before="59"/>
              <w:ind w:left="397"/>
              <w:rPr>
                <w:sz w:val="18"/>
              </w:rPr>
            </w:pPr>
            <w:r>
              <w:rPr>
                <w:spacing w:val="-5"/>
                <w:sz w:val="18"/>
              </w:rPr>
              <w:t>IDR</w:t>
            </w:r>
            <w:r>
              <w:rPr>
                <w:sz w:val="18"/>
              </w:rPr>
              <w:tab/>
            </w:r>
            <w:r>
              <w:rPr>
                <w:spacing w:val="-2"/>
                <w:sz w:val="18"/>
              </w:rPr>
              <w:t>249,343,613,712.00</w:t>
            </w:r>
          </w:p>
        </w:tc>
        <w:tc>
          <w:tcPr>
            <w:tcW w:w="2811" w:type="dxa"/>
            <w:tcBorders>
              <w:top w:val="single" w:sz="4" w:space="0" w:color="BEBEBE"/>
              <w:bottom w:val="single" w:sz="4" w:space="0" w:color="BEBEBE"/>
            </w:tcBorders>
          </w:tcPr>
          <w:p w14:paraId="4570BDE9" w14:textId="77777777" w:rsidR="00BC24A8" w:rsidRDefault="00000000">
            <w:pPr>
              <w:pStyle w:val="TableParagraph"/>
              <w:tabs>
                <w:tab w:val="left" w:pos="1170"/>
              </w:tabs>
              <w:spacing w:before="59"/>
              <w:ind w:left="308"/>
              <w:rPr>
                <w:sz w:val="18"/>
              </w:rPr>
            </w:pPr>
            <w:r>
              <w:rPr>
                <w:spacing w:val="-5"/>
                <w:sz w:val="18"/>
              </w:rPr>
              <w:t>IDR</w:t>
            </w:r>
            <w:r>
              <w:rPr>
                <w:sz w:val="18"/>
              </w:rPr>
              <w:tab/>
            </w:r>
            <w:r>
              <w:rPr>
                <w:spacing w:val="-2"/>
                <w:sz w:val="18"/>
              </w:rPr>
              <w:t>194,174,004,114.00</w:t>
            </w:r>
          </w:p>
        </w:tc>
      </w:tr>
      <w:tr w:rsidR="00BC24A8" w14:paraId="5196AD5C" w14:textId="77777777">
        <w:trPr>
          <w:trHeight w:val="402"/>
        </w:trPr>
        <w:tc>
          <w:tcPr>
            <w:tcW w:w="3138" w:type="dxa"/>
            <w:tcBorders>
              <w:top w:val="single" w:sz="4" w:space="0" w:color="BEBEBE"/>
              <w:bottom w:val="single" w:sz="4" w:space="0" w:color="BEBEBE"/>
            </w:tcBorders>
          </w:tcPr>
          <w:p w14:paraId="56C17E2A" w14:textId="77777777" w:rsidR="00BC24A8" w:rsidRDefault="00000000">
            <w:pPr>
              <w:pStyle w:val="TableParagraph"/>
              <w:spacing w:before="56"/>
              <w:ind w:left="115"/>
              <w:rPr>
                <w:sz w:val="18"/>
              </w:rPr>
            </w:pPr>
            <w:r>
              <w:rPr>
                <w:sz w:val="18"/>
              </w:rPr>
              <w:t>Financing</w:t>
            </w:r>
            <w:r>
              <w:rPr>
                <w:spacing w:val="1"/>
                <w:sz w:val="18"/>
              </w:rPr>
              <w:t xml:space="preserve"> </w:t>
            </w:r>
            <w:r>
              <w:rPr>
                <w:spacing w:val="-2"/>
                <w:sz w:val="18"/>
              </w:rPr>
              <w:t>Receipts</w:t>
            </w:r>
          </w:p>
        </w:tc>
        <w:tc>
          <w:tcPr>
            <w:tcW w:w="3058" w:type="dxa"/>
            <w:tcBorders>
              <w:top w:val="single" w:sz="4" w:space="0" w:color="BEBEBE"/>
              <w:bottom w:val="single" w:sz="4" w:space="0" w:color="BEBEBE"/>
            </w:tcBorders>
          </w:tcPr>
          <w:p w14:paraId="581205EC" w14:textId="77777777" w:rsidR="00BC24A8" w:rsidRDefault="00000000">
            <w:pPr>
              <w:pStyle w:val="TableParagraph"/>
              <w:tabs>
                <w:tab w:val="left" w:pos="1300"/>
              </w:tabs>
              <w:spacing w:before="56"/>
              <w:ind w:left="438"/>
              <w:rPr>
                <w:sz w:val="18"/>
              </w:rPr>
            </w:pPr>
            <w:r>
              <w:rPr>
                <w:spacing w:val="-5"/>
                <w:sz w:val="18"/>
              </w:rPr>
              <w:t>IDR</w:t>
            </w:r>
            <w:r>
              <w:rPr>
                <w:sz w:val="18"/>
              </w:rPr>
              <w:tab/>
            </w:r>
            <w:r>
              <w:rPr>
                <w:spacing w:val="-2"/>
                <w:sz w:val="18"/>
              </w:rPr>
              <w:t>249,343,613,712.00</w:t>
            </w:r>
          </w:p>
        </w:tc>
        <w:tc>
          <w:tcPr>
            <w:tcW w:w="2811" w:type="dxa"/>
            <w:tcBorders>
              <w:top w:val="single" w:sz="4" w:space="0" w:color="BEBEBE"/>
              <w:bottom w:val="single" w:sz="4" w:space="0" w:color="BEBEBE"/>
            </w:tcBorders>
          </w:tcPr>
          <w:p w14:paraId="467A0175" w14:textId="77777777" w:rsidR="00BC24A8" w:rsidRDefault="00000000">
            <w:pPr>
              <w:pStyle w:val="TableParagraph"/>
              <w:tabs>
                <w:tab w:val="left" w:pos="1170"/>
              </w:tabs>
              <w:spacing w:before="56"/>
              <w:ind w:left="308"/>
              <w:rPr>
                <w:sz w:val="18"/>
              </w:rPr>
            </w:pPr>
            <w:r>
              <w:rPr>
                <w:spacing w:val="-5"/>
                <w:sz w:val="18"/>
              </w:rPr>
              <w:t>IDR</w:t>
            </w:r>
            <w:r>
              <w:rPr>
                <w:sz w:val="18"/>
              </w:rPr>
              <w:tab/>
            </w:r>
            <w:r>
              <w:rPr>
                <w:spacing w:val="-2"/>
                <w:sz w:val="18"/>
              </w:rPr>
              <w:t>194,174,004,114.00</w:t>
            </w:r>
          </w:p>
        </w:tc>
      </w:tr>
    </w:tbl>
    <w:p w14:paraId="1C8583AE" w14:textId="77777777" w:rsidR="00BC24A8" w:rsidRDefault="00000000">
      <w:pPr>
        <w:spacing w:before="131"/>
        <w:ind w:left="143"/>
        <w:rPr>
          <w:sz w:val="16"/>
        </w:rPr>
      </w:pPr>
      <w:r>
        <w:rPr>
          <w:sz w:val="16"/>
        </w:rPr>
        <w:t>Source</w:t>
      </w:r>
      <w:r>
        <w:rPr>
          <w:i/>
          <w:sz w:val="16"/>
        </w:rPr>
        <w:t>:</w:t>
      </w:r>
      <w:r>
        <w:rPr>
          <w:i/>
          <w:spacing w:val="-7"/>
          <w:sz w:val="16"/>
        </w:rPr>
        <w:t xml:space="preserve"> </w:t>
      </w:r>
      <w:hyperlink r:id="rId59">
        <w:r w:rsidR="00BC24A8">
          <w:rPr>
            <w:color w:val="0562C1"/>
            <w:spacing w:val="-2"/>
            <w:sz w:val="16"/>
            <w:u w:val="single" w:color="0562C1"/>
          </w:rPr>
          <w:t>https://djpk.kemenkeu.go.id/</w:t>
        </w:r>
      </w:hyperlink>
    </w:p>
    <w:p w14:paraId="49197B35" w14:textId="77777777" w:rsidR="00BC24A8" w:rsidRDefault="00BC24A8">
      <w:pPr>
        <w:rPr>
          <w:sz w:val="16"/>
        </w:rPr>
        <w:sectPr w:rsidR="00BC24A8">
          <w:pgSz w:w="11910" w:h="16840"/>
          <w:pgMar w:top="1360" w:right="850" w:bottom="1100" w:left="1275" w:header="0" w:footer="907" w:gutter="0"/>
          <w:cols w:space="720"/>
        </w:sectPr>
      </w:pPr>
    </w:p>
    <w:p w14:paraId="719887A7" w14:textId="77777777" w:rsidR="00BC24A8" w:rsidRDefault="00000000">
      <w:pPr>
        <w:pStyle w:val="BodyText"/>
        <w:spacing w:before="39" w:line="278" w:lineRule="auto"/>
        <w:ind w:left="143" w:right="564"/>
        <w:jc w:val="both"/>
      </w:pPr>
      <w:r>
        <w:t>The total revenue of Papua Selatan Province decreased from IDR 1.6 trillion (2024) to IDR 1.5 trillion (2025), with a reduction in all revenue and expenditure categories. The revenue structure indicates a high</w:t>
      </w:r>
      <w:r>
        <w:rPr>
          <w:spacing w:val="-13"/>
        </w:rPr>
        <w:t xml:space="preserve"> </w:t>
      </w:r>
      <w:r>
        <w:t>fiscal</w:t>
      </w:r>
      <w:r>
        <w:rPr>
          <w:spacing w:val="-12"/>
        </w:rPr>
        <w:t xml:space="preserve"> </w:t>
      </w:r>
      <w:r>
        <w:t>dependence</w:t>
      </w:r>
      <w:r>
        <w:rPr>
          <w:spacing w:val="-13"/>
        </w:rPr>
        <w:t xml:space="preserve"> </w:t>
      </w:r>
      <w:r>
        <w:t>on</w:t>
      </w:r>
      <w:r>
        <w:rPr>
          <w:spacing w:val="-12"/>
        </w:rPr>
        <w:t xml:space="preserve"> </w:t>
      </w:r>
      <w:r>
        <w:t>the</w:t>
      </w:r>
      <w:r>
        <w:rPr>
          <w:spacing w:val="-13"/>
        </w:rPr>
        <w:t xml:space="preserve"> </w:t>
      </w:r>
      <w:r>
        <w:t>central</w:t>
      </w:r>
      <w:r>
        <w:rPr>
          <w:spacing w:val="-12"/>
        </w:rPr>
        <w:t xml:space="preserve"> </w:t>
      </w:r>
      <w:r>
        <w:t>government,</w:t>
      </w:r>
      <w:r>
        <w:rPr>
          <w:spacing w:val="-13"/>
        </w:rPr>
        <w:t xml:space="preserve"> </w:t>
      </w:r>
      <w:r>
        <w:t>with</w:t>
      </w:r>
      <w:r>
        <w:rPr>
          <w:spacing w:val="-12"/>
        </w:rPr>
        <w:t xml:space="preserve"> </w:t>
      </w:r>
      <w:r>
        <w:t>TKD</w:t>
      </w:r>
      <w:r>
        <w:rPr>
          <w:spacing w:val="-12"/>
        </w:rPr>
        <w:t xml:space="preserve"> </w:t>
      </w:r>
      <w:r>
        <w:t>accounting</w:t>
      </w:r>
      <w:r>
        <w:rPr>
          <w:spacing w:val="-13"/>
        </w:rPr>
        <w:t xml:space="preserve"> </w:t>
      </w:r>
      <w:r>
        <w:t>for</w:t>
      </w:r>
      <w:r>
        <w:rPr>
          <w:spacing w:val="-12"/>
        </w:rPr>
        <w:t xml:space="preserve"> </w:t>
      </w:r>
      <w:r>
        <w:t>more</w:t>
      </w:r>
      <w:r>
        <w:rPr>
          <w:spacing w:val="-13"/>
        </w:rPr>
        <w:t xml:space="preserve"> </w:t>
      </w:r>
      <w:r>
        <w:t>than</w:t>
      </w:r>
      <w:r>
        <w:rPr>
          <w:spacing w:val="-12"/>
        </w:rPr>
        <w:t xml:space="preserve"> </w:t>
      </w:r>
      <w:r>
        <w:t>80%</w:t>
      </w:r>
      <w:r>
        <w:rPr>
          <w:spacing w:val="-13"/>
        </w:rPr>
        <w:t xml:space="preserve"> </w:t>
      </w:r>
      <w:r>
        <w:t>of</w:t>
      </w:r>
      <w:r>
        <w:rPr>
          <w:spacing w:val="-12"/>
        </w:rPr>
        <w:t xml:space="preserve"> </w:t>
      </w:r>
      <w:r>
        <w:t>the</w:t>
      </w:r>
      <w:r>
        <w:rPr>
          <w:spacing w:val="-12"/>
        </w:rPr>
        <w:t xml:space="preserve"> </w:t>
      </w:r>
      <w:r>
        <w:t>APBD.</w:t>
      </w:r>
    </w:p>
    <w:p w14:paraId="039904FD" w14:textId="77777777" w:rsidR="00BC24A8" w:rsidRDefault="00BC24A8">
      <w:pPr>
        <w:pStyle w:val="BodyText"/>
        <w:spacing w:before="201"/>
      </w:pPr>
    </w:p>
    <w:p w14:paraId="20610001" w14:textId="77777777" w:rsidR="00BC24A8" w:rsidRDefault="00000000">
      <w:pPr>
        <w:ind w:left="143"/>
        <w:rPr>
          <w:rFonts w:ascii="Calibri"/>
          <w:i/>
        </w:rPr>
      </w:pPr>
      <w:r>
        <w:rPr>
          <w:rFonts w:ascii="Calibri"/>
          <w:i/>
          <w:color w:val="272727"/>
        </w:rPr>
        <w:t>Dynamics</w:t>
      </w:r>
      <w:r>
        <w:rPr>
          <w:rFonts w:ascii="Calibri"/>
          <w:i/>
          <w:color w:val="272727"/>
          <w:spacing w:val="-6"/>
        </w:rPr>
        <w:t xml:space="preserve"> </w:t>
      </w:r>
      <w:r>
        <w:rPr>
          <w:rFonts w:ascii="Calibri"/>
          <w:i/>
          <w:color w:val="272727"/>
        </w:rPr>
        <w:t>shaping</w:t>
      </w:r>
      <w:r>
        <w:rPr>
          <w:rFonts w:ascii="Calibri"/>
          <w:i/>
          <w:color w:val="272727"/>
          <w:spacing w:val="-6"/>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6"/>
        </w:rPr>
        <w:t xml:space="preserve"> </w:t>
      </w:r>
      <w:r>
        <w:rPr>
          <w:rFonts w:ascii="Calibri"/>
          <w:i/>
          <w:color w:val="272727"/>
          <w:spacing w:val="-2"/>
        </w:rPr>
        <w:t>implementation</w:t>
      </w:r>
    </w:p>
    <w:p w14:paraId="4449F2A4" w14:textId="77777777" w:rsidR="00BC24A8" w:rsidRDefault="00000000">
      <w:pPr>
        <w:pStyle w:val="BodyText"/>
        <w:spacing w:before="22" w:line="278" w:lineRule="auto"/>
        <w:ind w:left="143" w:right="561"/>
        <w:jc w:val="both"/>
      </w:pPr>
      <w:r>
        <w:t>Papua Selatan inaugurated its governor and vice governor on February 20, 2025. According to regulations, changes to the new provincial agencies structure can only be made six months after the inauguration. However, to ensure the smooth functioning of the government, the governor has appointed the Head of the Regional Revenue, Finance, and Asset Management Agency (</w:t>
      </w:r>
      <w:r>
        <w:rPr>
          <w:i/>
        </w:rPr>
        <w:t>BPPKAD</w:t>
      </w:r>
      <w:r>
        <w:t>) and the Head of the Communications, Statistics, and Encryption Agency (</w:t>
      </w:r>
      <w:r>
        <w:rPr>
          <w:i/>
        </w:rPr>
        <w:t>Diskominfo</w:t>
      </w:r>
      <w:r>
        <w:t xml:space="preserve">). Throughout this semester, SKALA has intensified coordination to understand the new regional leadership's policy </w:t>
      </w:r>
      <w:r>
        <w:rPr>
          <w:spacing w:val="-2"/>
        </w:rPr>
        <w:t>direction.</w:t>
      </w:r>
    </w:p>
    <w:p w14:paraId="63EE53F8" w14:textId="77777777" w:rsidR="00BC24A8" w:rsidRDefault="00000000">
      <w:pPr>
        <w:pStyle w:val="BodyText"/>
        <w:spacing w:before="156" w:line="278" w:lineRule="auto"/>
        <w:ind w:left="143" w:right="562"/>
        <w:jc w:val="both"/>
      </w:pPr>
      <w:r>
        <w:rPr>
          <w:spacing w:val="-2"/>
        </w:rPr>
        <w:t>This</w:t>
      </w:r>
      <w:r>
        <w:rPr>
          <w:spacing w:val="-4"/>
        </w:rPr>
        <w:t xml:space="preserve"> </w:t>
      </w:r>
      <w:r>
        <w:rPr>
          <w:spacing w:val="-2"/>
        </w:rPr>
        <w:t>semester,</w:t>
      </w:r>
      <w:r>
        <w:rPr>
          <w:spacing w:val="-4"/>
        </w:rPr>
        <w:t xml:space="preserve"> </w:t>
      </w:r>
      <w:r>
        <w:rPr>
          <w:spacing w:val="-2"/>
        </w:rPr>
        <w:t>the</w:t>
      </w:r>
      <w:r>
        <w:rPr>
          <w:spacing w:val="-7"/>
        </w:rPr>
        <w:t xml:space="preserve"> </w:t>
      </w:r>
      <w:r>
        <w:rPr>
          <w:spacing w:val="-2"/>
        </w:rPr>
        <w:t>Papua</w:t>
      </w:r>
      <w:r>
        <w:rPr>
          <w:spacing w:val="-6"/>
        </w:rPr>
        <w:t xml:space="preserve"> </w:t>
      </w:r>
      <w:r>
        <w:rPr>
          <w:spacing w:val="-2"/>
        </w:rPr>
        <w:t>Selatan</w:t>
      </w:r>
      <w:r>
        <w:rPr>
          <w:spacing w:val="-5"/>
        </w:rPr>
        <w:t xml:space="preserve"> </w:t>
      </w:r>
      <w:r>
        <w:rPr>
          <w:spacing w:val="-2"/>
        </w:rPr>
        <w:t>government</w:t>
      </w:r>
      <w:r>
        <w:rPr>
          <w:spacing w:val="-6"/>
        </w:rPr>
        <w:t xml:space="preserve"> </w:t>
      </w:r>
      <w:r>
        <w:rPr>
          <w:spacing w:val="-2"/>
        </w:rPr>
        <w:t>is</w:t>
      </w:r>
      <w:r>
        <w:rPr>
          <w:spacing w:val="-4"/>
        </w:rPr>
        <w:t xml:space="preserve"> </w:t>
      </w:r>
      <w:r>
        <w:rPr>
          <w:spacing w:val="-2"/>
        </w:rPr>
        <w:t>focused</w:t>
      </w:r>
      <w:r>
        <w:rPr>
          <w:spacing w:val="-10"/>
        </w:rPr>
        <w:t xml:space="preserve"> </w:t>
      </w:r>
      <w:r>
        <w:rPr>
          <w:spacing w:val="-2"/>
        </w:rPr>
        <w:t>on</w:t>
      </w:r>
      <w:r>
        <w:rPr>
          <w:spacing w:val="-5"/>
        </w:rPr>
        <w:t xml:space="preserve"> </w:t>
      </w:r>
      <w:r>
        <w:rPr>
          <w:spacing w:val="-2"/>
        </w:rPr>
        <w:t>drafting</w:t>
      </w:r>
      <w:r>
        <w:rPr>
          <w:spacing w:val="-6"/>
        </w:rPr>
        <w:t xml:space="preserve"> </w:t>
      </w:r>
      <w:r>
        <w:rPr>
          <w:spacing w:val="-2"/>
        </w:rPr>
        <w:t>the</w:t>
      </w:r>
      <w:r>
        <w:rPr>
          <w:spacing w:val="-9"/>
        </w:rPr>
        <w:t xml:space="preserve"> </w:t>
      </w:r>
      <w:r>
        <w:rPr>
          <w:spacing w:val="-2"/>
        </w:rPr>
        <w:t>2025–2029</w:t>
      </w:r>
      <w:r>
        <w:rPr>
          <w:spacing w:val="-7"/>
        </w:rPr>
        <w:t xml:space="preserve"> </w:t>
      </w:r>
      <w:r>
        <w:rPr>
          <w:spacing w:val="-2"/>
        </w:rPr>
        <w:t>RPJMD</w:t>
      </w:r>
      <w:r>
        <w:rPr>
          <w:spacing w:val="-5"/>
        </w:rPr>
        <w:t xml:space="preserve"> </w:t>
      </w:r>
      <w:r>
        <w:rPr>
          <w:spacing w:val="-2"/>
        </w:rPr>
        <w:t>and</w:t>
      </w:r>
      <w:r>
        <w:rPr>
          <w:spacing w:val="-5"/>
        </w:rPr>
        <w:t xml:space="preserve"> </w:t>
      </w:r>
      <w:r>
        <w:rPr>
          <w:spacing w:val="-2"/>
        </w:rPr>
        <w:t>the</w:t>
      </w:r>
      <w:r>
        <w:rPr>
          <w:spacing w:val="-9"/>
        </w:rPr>
        <w:t xml:space="preserve"> </w:t>
      </w:r>
      <w:r>
        <w:rPr>
          <w:spacing w:val="-2"/>
        </w:rPr>
        <w:t xml:space="preserve">2026 </w:t>
      </w:r>
      <w:r>
        <w:t>RKPD. This is a lengthy process that incorporates both</w:t>
      </w:r>
      <w:r>
        <w:rPr>
          <w:spacing w:val="-2"/>
        </w:rPr>
        <w:t xml:space="preserve"> </w:t>
      </w:r>
      <w:r>
        <w:t>regional and national</w:t>
      </w:r>
      <w:r>
        <w:rPr>
          <w:spacing w:val="-1"/>
        </w:rPr>
        <w:t xml:space="preserve"> </w:t>
      </w:r>
      <w:r>
        <w:t>priorities, which limits the region's flexibility to formulate contextual programs. SKALA needs to adjust its support to align with these regional priorities.</w:t>
      </w:r>
    </w:p>
    <w:p w14:paraId="49183B7E" w14:textId="77777777" w:rsidR="00BC24A8" w:rsidRDefault="00BC24A8">
      <w:pPr>
        <w:pStyle w:val="BodyText"/>
        <w:spacing w:before="199"/>
      </w:pPr>
    </w:p>
    <w:p w14:paraId="41AF27EA" w14:textId="77777777" w:rsidR="00BC24A8" w:rsidRDefault="00000000">
      <w:pPr>
        <w:ind w:left="143"/>
        <w:rPr>
          <w:rFonts w:ascii="Calibri"/>
          <w:i/>
        </w:rPr>
      </w:pPr>
      <w:r>
        <w:rPr>
          <w:rFonts w:ascii="Calibri"/>
          <w:i/>
          <w:color w:val="272727"/>
        </w:rPr>
        <w:t>Overview</w:t>
      </w:r>
      <w:r>
        <w:rPr>
          <w:rFonts w:ascii="Calibri"/>
          <w:i/>
          <w:color w:val="272727"/>
          <w:spacing w:val="-3"/>
        </w:rPr>
        <w:t xml:space="preserve"> </w:t>
      </w:r>
      <w:r>
        <w:rPr>
          <w:rFonts w:ascii="Calibri"/>
          <w:i/>
          <w:color w:val="272727"/>
        </w:rPr>
        <w:t>of</w:t>
      </w:r>
      <w:r>
        <w:rPr>
          <w:rFonts w:ascii="Calibri"/>
          <w:i/>
          <w:color w:val="272727"/>
          <w:spacing w:val="-4"/>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3"/>
        </w:rPr>
        <w:t xml:space="preserve"> </w:t>
      </w:r>
      <w:r>
        <w:rPr>
          <w:rFonts w:ascii="Calibri"/>
          <w:i/>
          <w:color w:val="272727"/>
        </w:rPr>
        <w:t>priorities</w:t>
      </w:r>
      <w:r>
        <w:rPr>
          <w:rFonts w:ascii="Calibri"/>
          <w:i/>
          <w:color w:val="272727"/>
          <w:spacing w:val="-3"/>
        </w:rPr>
        <w:t xml:space="preserve"> </w:t>
      </w:r>
      <w:r>
        <w:rPr>
          <w:rFonts w:ascii="Calibri"/>
          <w:i/>
          <w:color w:val="272727"/>
        </w:rPr>
        <w:t>in</w:t>
      </w:r>
      <w:r>
        <w:rPr>
          <w:rFonts w:ascii="Calibri"/>
          <w:i/>
          <w:color w:val="272727"/>
          <w:spacing w:val="-6"/>
        </w:rPr>
        <w:t xml:space="preserve"> </w:t>
      </w:r>
      <w:r>
        <w:rPr>
          <w:rFonts w:ascii="Calibri"/>
          <w:i/>
          <w:color w:val="272727"/>
        </w:rPr>
        <w:t>provinces</w:t>
      </w:r>
      <w:r>
        <w:rPr>
          <w:rFonts w:ascii="Calibri"/>
          <w:i/>
          <w:color w:val="272727"/>
          <w:spacing w:val="-6"/>
        </w:rPr>
        <w:t xml:space="preserve"> </w:t>
      </w:r>
      <w:r>
        <w:rPr>
          <w:rFonts w:ascii="Calibri"/>
          <w:i/>
          <w:color w:val="272727"/>
        </w:rPr>
        <w:t>in</w:t>
      </w:r>
      <w:r>
        <w:rPr>
          <w:rFonts w:ascii="Calibri"/>
          <w:i/>
          <w:color w:val="272727"/>
          <w:spacing w:val="-6"/>
        </w:rPr>
        <w:t xml:space="preserve"> </w:t>
      </w:r>
      <w:r>
        <w:rPr>
          <w:rFonts w:ascii="Calibri"/>
          <w:i/>
          <w:color w:val="272727"/>
        </w:rPr>
        <w:t>FY</w:t>
      </w:r>
      <w:r>
        <w:rPr>
          <w:rFonts w:ascii="Calibri"/>
          <w:i/>
          <w:color w:val="272727"/>
          <w:spacing w:val="-4"/>
        </w:rPr>
        <w:t xml:space="preserve"> </w:t>
      </w:r>
      <w:r>
        <w:rPr>
          <w:rFonts w:ascii="Calibri"/>
          <w:i/>
          <w:color w:val="272727"/>
          <w:spacing w:val="-2"/>
        </w:rPr>
        <w:t>2024/2025</w:t>
      </w:r>
    </w:p>
    <w:p w14:paraId="779B1F5C" w14:textId="77777777" w:rsidR="00BC24A8" w:rsidRDefault="00000000">
      <w:pPr>
        <w:pStyle w:val="Heading5"/>
        <w:spacing w:before="22"/>
      </w:pPr>
      <w:r>
        <w:rPr>
          <w:color w:val="17365A"/>
        </w:rPr>
        <w:t>Focus</w:t>
      </w:r>
      <w:r>
        <w:rPr>
          <w:color w:val="17365A"/>
          <w:spacing w:val="-4"/>
        </w:rPr>
        <w:t xml:space="preserve"> </w:t>
      </w:r>
      <w:r>
        <w:rPr>
          <w:color w:val="17365A"/>
        </w:rPr>
        <w:t>areas</w:t>
      </w:r>
      <w:r>
        <w:rPr>
          <w:color w:val="17365A"/>
          <w:spacing w:val="-4"/>
        </w:rPr>
        <w:t xml:space="preserve"> </w:t>
      </w:r>
      <w:r>
        <w:rPr>
          <w:color w:val="17365A"/>
        </w:rPr>
        <w:t>of</w:t>
      </w:r>
      <w:r>
        <w:rPr>
          <w:color w:val="17365A"/>
          <w:spacing w:val="-4"/>
        </w:rPr>
        <w:t xml:space="preserve"> </w:t>
      </w:r>
      <w:r>
        <w:rPr>
          <w:color w:val="17365A"/>
        </w:rPr>
        <w:t>SKALA</w:t>
      </w:r>
      <w:r>
        <w:rPr>
          <w:color w:val="17365A"/>
          <w:spacing w:val="-7"/>
        </w:rPr>
        <w:t xml:space="preserve"> </w:t>
      </w:r>
      <w:r>
        <w:rPr>
          <w:color w:val="17365A"/>
        </w:rPr>
        <w:t>support</w:t>
      </w:r>
      <w:r>
        <w:rPr>
          <w:color w:val="17365A"/>
          <w:spacing w:val="-4"/>
        </w:rPr>
        <w:t xml:space="preserve"> </w:t>
      </w:r>
      <w:r>
        <w:rPr>
          <w:color w:val="17365A"/>
          <w:spacing w:val="-2"/>
        </w:rPr>
        <w:t>program</w:t>
      </w:r>
    </w:p>
    <w:p w14:paraId="150F0715" w14:textId="77777777" w:rsidR="00BC24A8" w:rsidRDefault="00000000">
      <w:pPr>
        <w:pStyle w:val="ListParagraph"/>
        <w:numPr>
          <w:ilvl w:val="2"/>
          <w:numId w:val="21"/>
        </w:numPr>
        <w:tabs>
          <w:tab w:val="left" w:pos="861"/>
        </w:tabs>
        <w:spacing w:before="161"/>
        <w:ind w:left="861" w:hanging="358"/>
      </w:pPr>
      <w:r>
        <w:t>Implementation</w:t>
      </w:r>
      <w:r>
        <w:rPr>
          <w:spacing w:val="-10"/>
        </w:rPr>
        <w:t xml:space="preserve"> </w:t>
      </w:r>
      <w:r>
        <w:t>of</w:t>
      </w:r>
      <w:r>
        <w:rPr>
          <w:spacing w:val="-8"/>
        </w:rPr>
        <w:t xml:space="preserve"> </w:t>
      </w:r>
      <w:r>
        <w:t>MSS</w:t>
      </w:r>
      <w:r>
        <w:rPr>
          <w:spacing w:val="-7"/>
        </w:rPr>
        <w:t xml:space="preserve"> </w:t>
      </w:r>
      <w:r>
        <w:t>(Strengthening</w:t>
      </w:r>
      <w:r>
        <w:rPr>
          <w:spacing w:val="-8"/>
        </w:rPr>
        <w:t xml:space="preserve"> </w:t>
      </w:r>
      <w:r>
        <w:t>Capacity</w:t>
      </w:r>
      <w:r>
        <w:rPr>
          <w:spacing w:val="-7"/>
        </w:rPr>
        <w:t xml:space="preserve"> </w:t>
      </w:r>
      <w:r>
        <w:t>in</w:t>
      </w:r>
      <w:r>
        <w:rPr>
          <w:spacing w:val="-9"/>
        </w:rPr>
        <w:t xml:space="preserve"> </w:t>
      </w:r>
      <w:r>
        <w:t>the</w:t>
      </w:r>
      <w:r>
        <w:rPr>
          <w:spacing w:val="-10"/>
        </w:rPr>
        <w:t xml:space="preserve"> </w:t>
      </w:r>
      <w:r>
        <w:t>Preparation</w:t>
      </w:r>
      <w:r>
        <w:rPr>
          <w:spacing w:val="-7"/>
        </w:rPr>
        <w:t xml:space="preserve"> </w:t>
      </w:r>
      <w:r>
        <w:t>of</w:t>
      </w:r>
      <w:r>
        <w:rPr>
          <w:spacing w:val="-10"/>
        </w:rPr>
        <w:t xml:space="preserve"> </w:t>
      </w:r>
      <w:r>
        <w:t>Action</w:t>
      </w:r>
      <w:r>
        <w:rPr>
          <w:spacing w:val="-10"/>
        </w:rPr>
        <w:t xml:space="preserve"> </w:t>
      </w:r>
      <w:r>
        <w:rPr>
          <w:spacing w:val="-2"/>
        </w:rPr>
        <w:t>Plans)</w:t>
      </w:r>
    </w:p>
    <w:p w14:paraId="7C8F7170" w14:textId="77777777" w:rsidR="00BC24A8" w:rsidRDefault="00000000">
      <w:pPr>
        <w:pStyle w:val="ListParagraph"/>
        <w:numPr>
          <w:ilvl w:val="2"/>
          <w:numId w:val="21"/>
        </w:numPr>
        <w:tabs>
          <w:tab w:val="left" w:pos="861"/>
        </w:tabs>
        <w:spacing w:before="19"/>
        <w:ind w:left="861" w:hanging="358"/>
      </w:pPr>
      <w:r>
        <w:t>Expansion</w:t>
      </w:r>
      <w:r>
        <w:rPr>
          <w:spacing w:val="-10"/>
        </w:rPr>
        <w:t xml:space="preserve"> </w:t>
      </w:r>
      <w:r>
        <w:t>of</w:t>
      </w:r>
      <w:r>
        <w:rPr>
          <w:spacing w:val="-9"/>
        </w:rPr>
        <w:t xml:space="preserve"> </w:t>
      </w:r>
      <w:r>
        <w:t>Papua</w:t>
      </w:r>
      <w:r>
        <w:rPr>
          <w:spacing w:val="-8"/>
        </w:rPr>
        <w:t xml:space="preserve"> </w:t>
      </w:r>
      <w:r>
        <w:t>Selatan</w:t>
      </w:r>
      <w:r>
        <w:rPr>
          <w:spacing w:val="-10"/>
        </w:rPr>
        <w:t xml:space="preserve"> </w:t>
      </w:r>
      <w:r>
        <w:t>SIRIOS</w:t>
      </w:r>
      <w:r>
        <w:rPr>
          <w:spacing w:val="-7"/>
        </w:rPr>
        <w:t xml:space="preserve"> </w:t>
      </w:r>
      <w:r>
        <w:t>(Merauke</w:t>
      </w:r>
      <w:r>
        <w:rPr>
          <w:spacing w:val="-8"/>
        </w:rPr>
        <w:t xml:space="preserve"> </w:t>
      </w:r>
      <w:r>
        <w:rPr>
          <w:spacing w:val="-2"/>
        </w:rPr>
        <w:t>Regency)</w:t>
      </w:r>
    </w:p>
    <w:p w14:paraId="25FFDA76" w14:textId="77777777" w:rsidR="00BC24A8" w:rsidRDefault="00000000">
      <w:pPr>
        <w:pStyle w:val="ListParagraph"/>
        <w:numPr>
          <w:ilvl w:val="2"/>
          <w:numId w:val="21"/>
        </w:numPr>
        <w:tabs>
          <w:tab w:val="left" w:pos="860"/>
        </w:tabs>
        <w:spacing w:before="22"/>
        <w:ind w:left="860" w:hanging="358"/>
      </w:pPr>
      <w:r>
        <w:t>Special</w:t>
      </w:r>
      <w:r>
        <w:rPr>
          <w:spacing w:val="-10"/>
        </w:rPr>
        <w:t xml:space="preserve"> </w:t>
      </w:r>
      <w:r>
        <w:t>Autonomy</w:t>
      </w:r>
      <w:r>
        <w:rPr>
          <w:spacing w:val="-8"/>
        </w:rPr>
        <w:t xml:space="preserve"> </w:t>
      </w:r>
      <w:r>
        <w:t>Fund</w:t>
      </w:r>
      <w:r>
        <w:rPr>
          <w:spacing w:val="-7"/>
        </w:rPr>
        <w:t xml:space="preserve"> </w:t>
      </w:r>
      <w:r>
        <w:t>Management</w:t>
      </w:r>
      <w:r>
        <w:rPr>
          <w:spacing w:val="-7"/>
        </w:rPr>
        <w:t xml:space="preserve"> </w:t>
      </w:r>
      <w:r>
        <w:t>(</w:t>
      </w:r>
      <w:r>
        <w:rPr>
          <w:i/>
        </w:rPr>
        <w:t>Musrenbangsus</w:t>
      </w:r>
      <w:r>
        <w:rPr>
          <w:i/>
          <w:spacing w:val="-8"/>
        </w:rPr>
        <w:t xml:space="preserve"> </w:t>
      </w:r>
      <w:r>
        <w:t>and</w:t>
      </w:r>
      <w:r>
        <w:rPr>
          <w:spacing w:val="-8"/>
        </w:rPr>
        <w:t xml:space="preserve"> </w:t>
      </w:r>
      <w:r>
        <w:t>SIPPP</w:t>
      </w:r>
      <w:r>
        <w:rPr>
          <w:spacing w:val="-6"/>
        </w:rPr>
        <w:t xml:space="preserve"> </w:t>
      </w:r>
      <w:r>
        <w:rPr>
          <w:spacing w:val="-2"/>
        </w:rPr>
        <w:t>Guidelines)</w:t>
      </w:r>
    </w:p>
    <w:p w14:paraId="636CB59C" w14:textId="77777777" w:rsidR="00BC24A8" w:rsidRDefault="00000000">
      <w:pPr>
        <w:pStyle w:val="ListParagraph"/>
        <w:numPr>
          <w:ilvl w:val="2"/>
          <w:numId w:val="21"/>
        </w:numPr>
        <w:tabs>
          <w:tab w:val="left" w:pos="860"/>
        </w:tabs>
        <w:spacing w:before="22"/>
        <w:ind w:left="860" w:hanging="358"/>
      </w:pPr>
      <w:r>
        <w:t>Regular</w:t>
      </w:r>
      <w:r>
        <w:rPr>
          <w:spacing w:val="-7"/>
        </w:rPr>
        <w:t xml:space="preserve"> </w:t>
      </w:r>
      <w:r>
        <w:t>Local</w:t>
      </w:r>
      <w:r>
        <w:rPr>
          <w:spacing w:val="-9"/>
        </w:rPr>
        <w:t xml:space="preserve"> </w:t>
      </w:r>
      <w:r>
        <w:t>Government</w:t>
      </w:r>
      <w:r>
        <w:rPr>
          <w:spacing w:val="-10"/>
        </w:rPr>
        <w:t xml:space="preserve"> </w:t>
      </w:r>
      <w:r>
        <w:t>Planning</w:t>
      </w:r>
      <w:r>
        <w:rPr>
          <w:spacing w:val="-7"/>
        </w:rPr>
        <w:t xml:space="preserve"> </w:t>
      </w:r>
      <w:r>
        <w:t>and</w:t>
      </w:r>
      <w:r>
        <w:rPr>
          <w:spacing w:val="-7"/>
        </w:rPr>
        <w:t xml:space="preserve"> </w:t>
      </w:r>
      <w:r>
        <w:t>Budgeting</w:t>
      </w:r>
      <w:r>
        <w:rPr>
          <w:spacing w:val="-10"/>
        </w:rPr>
        <w:t xml:space="preserve"> </w:t>
      </w:r>
      <w:r>
        <w:rPr>
          <w:spacing w:val="-2"/>
        </w:rPr>
        <w:t>(RPJMD)</w:t>
      </w:r>
    </w:p>
    <w:p w14:paraId="5C800C38" w14:textId="77777777" w:rsidR="00BC24A8" w:rsidRDefault="00000000">
      <w:pPr>
        <w:pStyle w:val="ListParagraph"/>
        <w:numPr>
          <w:ilvl w:val="2"/>
          <w:numId w:val="21"/>
        </w:numPr>
        <w:tabs>
          <w:tab w:val="left" w:pos="860"/>
        </w:tabs>
        <w:spacing w:before="22"/>
        <w:ind w:left="860" w:hanging="358"/>
      </w:pPr>
      <w:r>
        <w:t>Initiation</w:t>
      </w:r>
      <w:r>
        <w:rPr>
          <w:spacing w:val="-8"/>
        </w:rPr>
        <w:t xml:space="preserve"> </w:t>
      </w:r>
      <w:r>
        <w:t>of</w:t>
      </w:r>
      <w:r>
        <w:rPr>
          <w:spacing w:val="-10"/>
        </w:rPr>
        <w:t xml:space="preserve"> </w:t>
      </w:r>
      <w:r>
        <w:t>the</w:t>
      </w:r>
      <w:r>
        <w:rPr>
          <w:spacing w:val="-11"/>
        </w:rPr>
        <w:t xml:space="preserve"> </w:t>
      </w:r>
      <w:r>
        <w:t>Formulation</w:t>
      </w:r>
      <w:r>
        <w:rPr>
          <w:spacing w:val="-7"/>
        </w:rPr>
        <w:t xml:space="preserve"> </w:t>
      </w:r>
      <w:r>
        <w:t>of</w:t>
      </w:r>
      <w:r>
        <w:rPr>
          <w:spacing w:val="-10"/>
        </w:rPr>
        <w:t xml:space="preserve"> </w:t>
      </w:r>
      <w:r>
        <w:t>Papua</w:t>
      </w:r>
      <w:r>
        <w:rPr>
          <w:spacing w:val="-9"/>
        </w:rPr>
        <w:t xml:space="preserve"> </w:t>
      </w:r>
      <w:r>
        <w:t>Selatan</w:t>
      </w:r>
      <w:r>
        <w:rPr>
          <w:spacing w:val="-10"/>
        </w:rPr>
        <w:t xml:space="preserve"> </w:t>
      </w:r>
      <w:r>
        <w:t>PAD</w:t>
      </w:r>
      <w:r>
        <w:rPr>
          <w:spacing w:val="-8"/>
        </w:rPr>
        <w:t xml:space="preserve"> </w:t>
      </w:r>
      <w:r>
        <w:t>Road</w:t>
      </w:r>
      <w:r>
        <w:rPr>
          <w:spacing w:val="-8"/>
        </w:rPr>
        <w:t xml:space="preserve"> </w:t>
      </w:r>
      <w:r>
        <w:rPr>
          <w:spacing w:val="-5"/>
        </w:rPr>
        <w:t>Map</w:t>
      </w:r>
    </w:p>
    <w:p w14:paraId="3761A56C" w14:textId="77777777" w:rsidR="00BC24A8" w:rsidRDefault="00BC24A8">
      <w:pPr>
        <w:pStyle w:val="BodyText"/>
        <w:spacing w:before="202"/>
      </w:pPr>
    </w:p>
    <w:p w14:paraId="3813FB59" w14:textId="77777777" w:rsidR="00BC24A8" w:rsidRDefault="00000000">
      <w:pPr>
        <w:pStyle w:val="Heading5"/>
        <w:ind w:left="142"/>
      </w:pPr>
      <w:r>
        <w:rPr>
          <w:color w:val="17365A"/>
        </w:rPr>
        <w:t>Implementation</w:t>
      </w:r>
      <w:r>
        <w:rPr>
          <w:color w:val="17365A"/>
          <w:spacing w:val="-10"/>
        </w:rPr>
        <w:t xml:space="preserve"> </w:t>
      </w:r>
      <w:r>
        <w:rPr>
          <w:color w:val="17365A"/>
        </w:rPr>
        <w:t>of</w:t>
      </w:r>
      <w:r>
        <w:rPr>
          <w:color w:val="17365A"/>
          <w:spacing w:val="-8"/>
        </w:rPr>
        <w:t xml:space="preserve"> </w:t>
      </w:r>
      <w:r>
        <w:rPr>
          <w:color w:val="17365A"/>
        </w:rPr>
        <w:t>Monitoring</w:t>
      </w:r>
      <w:r>
        <w:rPr>
          <w:color w:val="17365A"/>
          <w:spacing w:val="-9"/>
        </w:rPr>
        <w:t xml:space="preserve"> </w:t>
      </w:r>
      <w:r>
        <w:rPr>
          <w:color w:val="17365A"/>
        </w:rPr>
        <w:t>and</w:t>
      </w:r>
      <w:r>
        <w:rPr>
          <w:color w:val="17365A"/>
          <w:spacing w:val="-9"/>
        </w:rPr>
        <w:t xml:space="preserve"> </w:t>
      </w:r>
      <w:r>
        <w:rPr>
          <w:color w:val="17365A"/>
        </w:rPr>
        <w:t>Evaluation</w:t>
      </w:r>
      <w:r>
        <w:rPr>
          <w:color w:val="17365A"/>
          <w:spacing w:val="-9"/>
        </w:rPr>
        <w:t xml:space="preserve"> </w:t>
      </w:r>
      <w:r>
        <w:rPr>
          <w:color w:val="17365A"/>
        </w:rPr>
        <w:t>(M&amp;E)</w:t>
      </w:r>
      <w:r>
        <w:rPr>
          <w:color w:val="17365A"/>
          <w:spacing w:val="-9"/>
        </w:rPr>
        <w:t xml:space="preserve"> </w:t>
      </w:r>
      <w:r>
        <w:rPr>
          <w:color w:val="17365A"/>
        </w:rPr>
        <w:t>and</w:t>
      </w:r>
      <w:r>
        <w:rPr>
          <w:color w:val="17365A"/>
          <w:spacing w:val="-9"/>
        </w:rPr>
        <w:t xml:space="preserve"> </w:t>
      </w:r>
      <w:r>
        <w:rPr>
          <w:color w:val="17365A"/>
        </w:rPr>
        <w:t>program</w:t>
      </w:r>
      <w:r>
        <w:rPr>
          <w:color w:val="17365A"/>
          <w:spacing w:val="-7"/>
        </w:rPr>
        <w:t xml:space="preserve"> </w:t>
      </w:r>
      <w:r>
        <w:rPr>
          <w:color w:val="17365A"/>
          <w:spacing w:val="-2"/>
        </w:rPr>
        <w:t>documentation</w:t>
      </w:r>
    </w:p>
    <w:p w14:paraId="719E5A5F" w14:textId="77777777" w:rsidR="00BC24A8" w:rsidRDefault="00000000">
      <w:pPr>
        <w:pStyle w:val="BodyText"/>
        <w:spacing w:before="161" w:line="278" w:lineRule="auto"/>
        <w:ind w:left="142" w:right="563"/>
        <w:jc w:val="both"/>
      </w:pPr>
      <w:r>
        <w:rPr>
          <w:spacing w:val="-2"/>
        </w:rPr>
        <w:t>Monitoring</w:t>
      </w:r>
      <w:r>
        <w:rPr>
          <w:spacing w:val="-6"/>
        </w:rPr>
        <w:t xml:space="preserve"> </w:t>
      </w:r>
      <w:r>
        <w:rPr>
          <w:spacing w:val="-2"/>
        </w:rPr>
        <w:t>is conducted on</w:t>
      </w:r>
      <w:r>
        <w:rPr>
          <w:spacing w:val="-7"/>
        </w:rPr>
        <w:t xml:space="preserve"> </w:t>
      </w:r>
      <w:r>
        <w:rPr>
          <w:spacing w:val="-2"/>
        </w:rPr>
        <w:t>a</w:t>
      </w:r>
      <w:r>
        <w:rPr>
          <w:spacing w:val="-4"/>
        </w:rPr>
        <w:t xml:space="preserve"> </w:t>
      </w:r>
      <w:r>
        <w:rPr>
          <w:spacing w:val="-2"/>
        </w:rPr>
        <w:t>limited basis through activities, informal</w:t>
      </w:r>
      <w:r>
        <w:rPr>
          <w:spacing w:val="-4"/>
        </w:rPr>
        <w:t xml:space="preserve"> </w:t>
      </w:r>
      <w:r>
        <w:rPr>
          <w:spacing w:val="-2"/>
        </w:rPr>
        <w:t>discussions,</w:t>
      </w:r>
      <w:r>
        <w:rPr>
          <w:spacing w:val="-4"/>
        </w:rPr>
        <w:t xml:space="preserve"> </w:t>
      </w:r>
      <w:r>
        <w:rPr>
          <w:spacing w:val="-2"/>
        </w:rPr>
        <w:t>and regular</w:t>
      </w:r>
      <w:r>
        <w:rPr>
          <w:spacing w:val="-5"/>
        </w:rPr>
        <w:t xml:space="preserve"> </w:t>
      </w:r>
      <w:r>
        <w:rPr>
          <w:spacing w:val="-2"/>
        </w:rPr>
        <w:t xml:space="preserve">meetings. </w:t>
      </w:r>
      <w:r>
        <w:t>This</w:t>
      </w:r>
      <w:r>
        <w:rPr>
          <w:spacing w:val="-13"/>
        </w:rPr>
        <w:t xml:space="preserve"> </w:t>
      </w:r>
      <w:r>
        <w:t>semester,</w:t>
      </w:r>
      <w:r>
        <w:rPr>
          <w:spacing w:val="-12"/>
        </w:rPr>
        <w:t xml:space="preserve"> </w:t>
      </w:r>
      <w:r>
        <w:t>more</w:t>
      </w:r>
      <w:r>
        <w:rPr>
          <w:spacing w:val="-13"/>
        </w:rPr>
        <w:t xml:space="preserve"> </w:t>
      </w:r>
      <w:r>
        <w:t>in-depth</w:t>
      </w:r>
      <w:r>
        <w:rPr>
          <w:spacing w:val="-12"/>
        </w:rPr>
        <w:t xml:space="preserve"> </w:t>
      </w:r>
      <w:r>
        <w:t>monitoring</w:t>
      </w:r>
      <w:r>
        <w:rPr>
          <w:spacing w:val="-13"/>
        </w:rPr>
        <w:t xml:space="preserve"> </w:t>
      </w:r>
      <w:r>
        <w:t>and</w:t>
      </w:r>
      <w:r>
        <w:rPr>
          <w:spacing w:val="-12"/>
        </w:rPr>
        <w:t xml:space="preserve"> </w:t>
      </w:r>
      <w:r>
        <w:t>evaluation,</w:t>
      </w:r>
      <w:r>
        <w:rPr>
          <w:spacing w:val="-13"/>
        </w:rPr>
        <w:t xml:space="preserve"> </w:t>
      </w:r>
      <w:r>
        <w:t>through</w:t>
      </w:r>
      <w:r>
        <w:rPr>
          <w:spacing w:val="-12"/>
        </w:rPr>
        <w:t xml:space="preserve"> </w:t>
      </w:r>
      <w:r>
        <w:t>interviews</w:t>
      </w:r>
      <w:r>
        <w:rPr>
          <w:spacing w:val="-12"/>
        </w:rPr>
        <w:t xml:space="preserve"> </w:t>
      </w:r>
      <w:r>
        <w:t>and</w:t>
      </w:r>
      <w:r>
        <w:rPr>
          <w:spacing w:val="-13"/>
        </w:rPr>
        <w:t xml:space="preserve"> </w:t>
      </w:r>
      <w:r>
        <w:t>group</w:t>
      </w:r>
      <w:r>
        <w:rPr>
          <w:spacing w:val="-12"/>
        </w:rPr>
        <w:t xml:space="preserve"> </w:t>
      </w:r>
      <w:r>
        <w:t>discussions,</w:t>
      </w:r>
      <w:r>
        <w:rPr>
          <w:spacing w:val="-13"/>
        </w:rPr>
        <w:t xml:space="preserve"> </w:t>
      </w:r>
      <w:r>
        <w:t>was conducted to document four topics, namely: changes in the substance of RAP Otsus for Minimum Service</w:t>
      </w:r>
      <w:r>
        <w:rPr>
          <w:spacing w:val="-7"/>
        </w:rPr>
        <w:t xml:space="preserve"> </w:t>
      </w:r>
      <w:r>
        <w:t>Standards</w:t>
      </w:r>
      <w:r>
        <w:rPr>
          <w:spacing w:val="-5"/>
        </w:rPr>
        <w:t xml:space="preserve"> </w:t>
      </w:r>
      <w:r>
        <w:t>(MSS)</w:t>
      </w:r>
      <w:r>
        <w:rPr>
          <w:spacing w:val="-7"/>
        </w:rPr>
        <w:t xml:space="preserve"> </w:t>
      </w:r>
      <w:r>
        <w:t>and</w:t>
      </w:r>
      <w:r>
        <w:rPr>
          <w:spacing w:val="-5"/>
        </w:rPr>
        <w:t xml:space="preserve"> </w:t>
      </w:r>
      <w:r>
        <w:t>Gender</w:t>
      </w:r>
      <w:r>
        <w:rPr>
          <w:spacing w:val="-8"/>
        </w:rPr>
        <w:t xml:space="preserve"> </w:t>
      </w:r>
      <w:r>
        <w:t>Equality,</w:t>
      </w:r>
      <w:r>
        <w:rPr>
          <w:spacing w:val="-5"/>
        </w:rPr>
        <w:t xml:space="preserve"> </w:t>
      </w:r>
      <w:r>
        <w:t>Disability,</w:t>
      </w:r>
      <w:r>
        <w:rPr>
          <w:spacing w:val="-5"/>
        </w:rPr>
        <w:t xml:space="preserve"> </w:t>
      </w:r>
      <w:r>
        <w:t>and</w:t>
      </w:r>
      <w:r>
        <w:rPr>
          <w:spacing w:val="-8"/>
        </w:rPr>
        <w:t xml:space="preserve"> </w:t>
      </w:r>
      <w:r>
        <w:t>Social</w:t>
      </w:r>
      <w:r>
        <w:rPr>
          <w:spacing w:val="-7"/>
        </w:rPr>
        <w:t xml:space="preserve"> </w:t>
      </w:r>
      <w:r>
        <w:t>Inclusion</w:t>
      </w:r>
      <w:r>
        <w:rPr>
          <w:spacing w:val="-8"/>
        </w:rPr>
        <w:t xml:space="preserve"> </w:t>
      </w:r>
      <w:r>
        <w:t>(GEDSI),</w:t>
      </w:r>
      <w:r>
        <w:rPr>
          <w:spacing w:val="-5"/>
        </w:rPr>
        <w:t xml:space="preserve"> </w:t>
      </w:r>
      <w:r>
        <w:t>and</w:t>
      </w:r>
      <w:r>
        <w:rPr>
          <w:spacing w:val="-5"/>
        </w:rPr>
        <w:t xml:space="preserve"> </w:t>
      </w:r>
      <w:r>
        <w:t>integration</w:t>
      </w:r>
      <w:r>
        <w:rPr>
          <w:spacing w:val="-5"/>
        </w:rPr>
        <w:t xml:space="preserve"> </w:t>
      </w:r>
      <w:r>
        <w:t>of MSS and GEDSI into the 2025 Regional Development Work Plan (RKPD) and Regional Revenue and Expenditure Budget (APBD). The results of the M&amp;E on these two topics provide input for the SKALA team to strengthen program governance in Papua Selatan, while also serving as a reflection forum for the local government in planning Otsus and other programs that prioritise MSS and GEDSI.</w:t>
      </w:r>
    </w:p>
    <w:p w14:paraId="62FDF4EE" w14:textId="77777777" w:rsidR="00BC24A8" w:rsidRDefault="00BC24A8">
      <w:pPr>
        <w:pStyle w:val="BodyText"/>
        <w:spacing w:line="278" w:lineRule="auto"/>
        <w:jc w:val="both"/>
        <w:sectPr w:rsidR="00BC24A8">
          <w:pgSz w:w="11910" w:h="16840"/>
          <w:pgMar w:top="1360" w:right="850" w:bottom="1100" w:left="1275" w:header="0" w:footer="907" w:gutter="0"/>
          <w:cols w:space="720"/>
        </w:sectPr>
      </w:pPr>
    </w:p>
    <w:p w14:paraId="43AA4991" w14:textId="77777777" w:rsidR="00BC24A8" w:rsidRDefault="00000000">
      <w:pPr>
        <w:spacing w:before="39"/>
        <w:ind w:left="143"/>
        <w:rPr>
          <w:i/>
        </w:rPr>
      </w:pPr>
      <w:r>
        <w:rPr>
          <w:i/>
          <w:color w:val="1F3762"/>
        </w:rPr>
        <w:t>Program</w:t>
      </w:r>
      <w:r>
        <w:rPr>
          <w:i/>
          <w:color w:val="1F3762"/>
          <w:spacing w:val="-9"/>
        </w:rPr>
        <w:t xml:space="preserve"> </w:t>
      </w:r>
      <w:r>
        <w:rPr>
          <w:i/>
          <w:color w:val="1F3762"/>
        </w:rPr>
        <w:t>Implementation</w:t>
      </w:r>
      <w:r>
        <w:rPr>
          <w:i/>
          <w:color w:val="1F3762"/>
          <w:spacing w:val="-9"/>
        </w:rPr>
        <w:t xml:space="preserve"> </w:t>
      </w:r>
      <w:r>
        <w:rPr>
          <w:i/>
          <w:color w:val="1F3762"/>
        </w:rPr>
        <w:t>and</w:t>
      </w:r>
      <w:r>
        <w:rPr>
          <w:i/>
          <w:color w:val="1F3762"/>
          <w:spacing w:val="-9"/>
        </w:rPr>
        <w:t xml:space="preserve"> </w:t>
      </w:r>
      <w:r>
        <w:rPr>
          <w:i/>
          <w:color w:val="1F3762"/>
        </w:rPr>
        <w:t>Learning</w:t>
      </w:r>
      <w:r>
        <w:rPr>
          <w:i/>
          <w:color w:val="1F3762"/>
          <w:spacing w:val="-7"/>
        </w:rPr>
        <w:t xml:space="preserve"> </w:t>
      </w:r>
      <w:r>
        <w:rPr>
          <w:i/>
          <w:color w:val="1F3762"/>
          <w:spacing w:val="-2"/>
        </w:rPr>
        <w:t>Results/Progress</w:t>
      </w:r>
    </w:p>
    <w:p w14:paraId="76D52A39" w14:textId="77777777" w:rsidR="00BC24A8" w:rsidRDefault="00000000">
      <w:pPr>
        <w:pStyle w:val="BodyText"/>
        <w:spacing w:before="41"/>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4"/>
        </w:rPr>
        <w:t xml:space="preserve"> </w:t>
      </w:r>
      <w:r>
        <w:rPr>
          <w:rFonts w:ascii="Calibri"/>
          <w:color w:val="272727"/>
        </w:rPr>
        <w:t>at</w:t>
      </w:r>
      <w:r>
        <w:rPr>
          <w:rFonts w:ascii="Calibri"/>
          <w:color w:val="272727"/>
          <w:spacing w:val="-5"/>
        </w:rPr>
        <w:t xml:space="preserve"> </w:t>
      </w:r>
      <w:r>
        <w:rPr>
          <w:rFonts w:ascii="Calibri"/>
          <w:color w:val="272727"/>
        </w:rPr>
        <w:t>the</w:t>
      </w:r>
      <w:r>
        <w:rPr>
          <w:rFonts w:ascii="Calibri"/>
          <w:color w:val="272727"/>
          <w:spacing w:val="-3"/>
        </w:rPr>
        <w:t xml:space="preserve"> </w:t>
      </w:r>
      <w:r>
        <w:rPr>
          <w:rFonts w:ascii="Calibri"/>
          <w:color w:val="272727"/>
        </w:rPr>
        <w:t>Input</w:t>
      </w:r>
      <w:r>
        <w:rPr>
          <w:rFonts w:ascii="Calibri"/>
          <w:color w:val="272727"/>
          <w:spacing w:val="-2"/>
        </w:rPr>
        <w:t xml:space="preserve"> </w:t>
      </w:r>
      <w:r>
        <w:rPr>
          <w:rFonts w:ascii="Calibri"/>
          <w:color w:val="272727"/>
          <w:spacing w:val="-4"/>
        </w:rPr>
        <w:t>level</w:t>
      </w:r>
    </w:p>
    <w:p w14:paraId="6AC1B1C8" w14:textId="77777777" w:rsidR="00BC24A8" w:rsidRDefault="00BC24A8">
      <w:pPr>
        <w:pStyle w:val="BodyText"/>
        <w:spacing w:before="223"/>
        <w:rPr>
          <w:rFonts w:ascii="Calibri"/>
        </w:rPr>
      </w:pPr>
    </w:p>
    <w:p w14:paraId="23CE4736" w14:textId="77777777" w:rsidR="00BC24A8" w:rsidRDefault="00000000">
      <w:pPr>
        <w:pStyle w:val="Heading5"/>
        <w:spacing w:before="1"/>
      </w:pPr>
      <w:bookmarkStart w:id="236" w:name="_bookmark165"/>
      <w:bookmarkEnd w:id="236"/>
      <w:r>
        <w:rPr>
          <w:color w:val="767070"/>
        </w:rPr>
        <w:t>Table</w:t>
      </w:r>
      <w:r>
        <w:rPr>
          <w:color w:val="767070"/>
          <w:spacing w:val="-11"/>
        </w:rPr>
        <w:t xml:space="preserve"> </w:t>
      </w:r>
      <w:r>
        <w:rPr>
          <w:color w:val="767070"/>
        </w:rPr>
        <w:t>24:</w:t>
      </w:r>
      <w:r>
        <w:rPr>
          <w:color w:val="767070"/>
          <w:spacing w:val="-10"/>
        </w:rPr>
        <w:t xml:space="preserve"> </w:t>
      </w:r>
      <w:r>
        <w:rPr>
          <w:color w:val="767070"/>
        </w:rPr>
        <w:t>Table</w:t>
      </w:r>
      <w:r>
        <w:rPr>
          <w:color w:val="767070"/>
          <w:spacing w:val="-11"/>
        </w:rPr>
        <w:t xml:space="preserve"> </w:t>
      </w:r>
      <w:r>
        <w:rPr>
          <w:color w:val="767070"/>
        </w:rPr>
        <w:t>of</w:t>
      </w:r>
      <w:r>
        <w:rPr>
          <w:color w:val="767070"/>
          <w:spacing w:val="-9"/>
        </w:rPr>
        <w:t xml:space="preserve"> </w:t>
      </w:r>
      <w:r>
        <w:rPr>
          <w:color w:val="767070"/>
        </w:rPr>
        <w:t>program</w:t>
      </w:r>
      <w:r>
        <w:rPr>
          <w:color w:val="767070"/>
          <w:spacing w:val="-11"/>
        </w:rPr>
        <w:t xml:space="preserve"> </w:t>
      </w:r>
      <w:r>
        <w:rPr>
          <w:color w:val="767070"/>
        </w:rPr>
        <w:t>input</w:t>
      </w:r>
      <w:r>
        <w:rPr>
          <w:color w:val="767070"/>
          <w:spacing w:val="-10"/>
        </w:rPr>
        <w:t xml:space="preserve"> </w:t>
      </w:r>
      <w:r>
        <w:rPr>
          <w:color w:val="767070"/>
        </w:rPr>
        <w:t>summary</w:t>
      </w:r>
      <w:r>
        <w:rPr>
          <w:color w:val="767070"/>
          <w:spacing w:val="-10"/>
        </w:rPr>
        <w:t xml:space="preserve"> </w:t>
      </w:r>
      <w:r>
        <w:rPr>
          <w:color w:val="767070"/>
        </w:rPr>
        <w:t>(January-June</w:t>
      </w:r>
      <w:r>
        <w:rPr>
          <w:color w:val="767070"/>
          <w:spacing w:val="-10"/>
        </w:rPr>
        <w:t xml:space="preserve"> </w:t>
      </w:r>
      <w:r>
        <w:rPr>
          <w:color w:val="767070"/>
          <w:spacing w:val="-2"/>
        </w:rPr>
        <w:t>2025)</w:t>
      </w:r>
    </w:p>
    <w:p w14:paraId="3B8E9844" w14:textId="77777777" w:rsidR="00BC24A8" w:rsidRDefault="00BC24A8">
      <w:pPr>
        <w:pStyle w:val="BodyText"/>
        <w:spacing w:before="4" w:after="1"/>
        <w:rPr>
          <w:rFonts w:ascii="Calibri"/>
          <w:b/>
          <w:sz w:val="16"/>
        </w:rPr>
      </w:pPr>
    </w:p>
    <w:tbl>
      <w:tblPr>
        <w:tblW w:w="0" w:type="auto"/>
        <w:tblCellSpacing w:w="21" w:type="dxa"/>
        <w:tblInd w:w="172" w:type="dxa"/>
        <w:tblLayout w:type="fixed"/>
        <w:tblCellMar>
          <w:left w:w="0" w:type="dxa"/>
          <w:right w:w="0" w:type="dxa"/>
        </w:tblCellMar>
        <w:tblLook w:val="01E0" w:firstRow="1" w:lastRow="1" w:firstColumn="1" w:lastColumn="1" w:noHBand="0" w:noVBand="0"/>
      </w:tblPr>
      <w:tblGrid>
        <w:gridCol w:w="2741"/>
        <w:gridCol w:w="1350"/>
        <w:gridCol w:w="1799"/>
        <w:gridCol w:w="3370"/>
      </w:tblGrid>
      <w:tr w:rsidR="00BC24A8" w14:paraId="067C1D84" w14:textId="77777777">
        <w:trPr>
          <w:trHeight w:val="643"/>
          <w:tblCellSpacing w:w="21" w:type="dxa"/>
        </w:trPr>
        <w:tc>
          <w:tcPr>
            <w:tcW w:w="2678" w:type="dxa"/>
            <w:tcBorders>
              <w:right w:val="nil"/>
            </w:tcBorders>
            <w:shd w:val="clear" w:color="auto" w:fill="17365A"/>
          </w:tcPr>
          <w:p w14:paraId="687444A3" w14:textId="77777777" w:rsidR="00BC24A8" w:rsidRDefault="00000000">
            <w:pPr>
              <w:pStyle w:val="TableParagraph"/>
              <w:spacing w:before="191"/>
              <w:ind w:left="107"/>
              <w:rPr>
                <w:rFonts w:ascii="Calibri"/>
                <w:b/>
                <w:sz w:val="20"/>
              </w:rPr>
            </w:pPr>
            <w:r>
              <w:rPr>
                <w:rFonts w:ascii="Calibri"/>
                <w:b/>
                <w:color w:val="FFFFFF"/>
                <w:sz w:val="20"/>
              </w:rPr>
              <w:t>Input</w:t>
            </w:r>
            <w:r>
              <w:rPr>
                <w:rFonts w:ascii="Calibri"/>
                <w:b/>
                <w:color w:val="FFFFFF"/>
                <w:spacing w:val="-3"/>
                <w:sz w:val="20"/>
              </w:rPr>
              <w:t xml:space="preserve"> </w:t>
            </w:r>
            <w:r>
              <w:rPr>
                <w:rFonts w:ascii="Calibri"/>
                <w:b/>
                <w:color w:val="FFFFFF"/>
                <w:spacing w:val="-4"/>
                <w:sz w:val="20"/>
              </w:rPr>
              <w:t>type</w:t>
            </w:r>
          </w:p>
        </w:tc>
        <w:tc>
          <w:tcPr>
            <w:tcW w:w="1308" w:type="dxa"/>
            <w:tcBorders>
              <w:left w:val="nil"/>
              <w:right w:val="nil"/>
            </w:tcBorders>
            <w:shd w:val="clear" w:color="auto" w:fill="17365A"/>
          </w:tcPr>
          <w:p w14:paraId="4F7A1C8C" w14:textId="77777777" w:rsidR="00BC24A8" w:rsidRDefault="00000000">
            <w:pPr>
              <w:pStyle w:val="TableParagraph"/>
              <w:spacing w:before="59" w:line="259" w:lineRule="auto"/>
              <w:ind w:left="391" w:right="203" w:hanging="188"/>
              <w:rPr>
                <w:rFonts w:ascii="Calibri"/>
                <w:b/>
                <w:sz w:val="20"/>
              </w:rPr>
            </w:pPr>
            <w:r>
              <w:rPr>
                <w:rFonts w:ascii="Calibri"/>
                <w:b/>
                <w:color w:val="FFFFFF"/>
                <w:sz w:val="20"/>
              </w:rPr>
              <w:t>Number</w:t>
            </w:r>
            <w:r>
              <w:rPr>
                <w:rFonts w:ascii="Calibri"/>
                <w:b/>
                <w:color w:val="FFFFFF"/>
                <w:spacing w:val="-12"/>
                <w:sz w:val="20"/>
              </w:rPr>
              <w:t xml:space="preserve"> </w:t>
            </w:r>
            <w:r>
              <w:rPr>
                <w:rFonts w:ascii="Calibri"/>
                <w:b/>
                <w:color w:val="FFFFFF"/>
                <w:sz w:val="20"/>
              </w:rPr>
              <w:t xml:space="preserve">of </w:t>
            </w:r>
            <w:r>
              <w:rPr>
                <w:rFonts w:ascii="Calibri"/>
                <w:b/>
                <w:color w:val="FFFFFF"/>
                <w:spacing w:val="-2"/>
                <w:sz w:val="20"/>
              </w:rPr>
              <w:t>inputs</w:t>
            </w:r>
          </w:p>
        </w:tc>
        <w:tc>
          <w:tcPr>
            <w:tcW w:w="1757" w:type="dxa"/>
            <w:tcBorders>
              <w:left w:val="nil"/>
              <w:right w:val="nil"/>
            </w:tcBorders>
            <w:shd w:val="clear" w:color="auto" w:fill="17365A"/>
          </w:tcPr>
          <w:p w14:paraId="1AA5FFF4" w14:textId="77777777" w:rsidR="00BC24A8" w:rsidRDefault="00000000">
            <w:pPr>
              <w:pStyle w:val="TableParagraph"/>
              <w:spacing w:before="59" w:line="259" w:lineRule="auto"/>
              <w:ind w:left="434" w:right="350" w:hanging="87"/>
              <w:rPr>
                <w:rFonts w:ascii="Calibri"/>
                <w:b/>
                <w:sz w:val="20"/>
              </w:rPr>
            </w:pPr>
            <w:r>
              <w:rPr>
                <w:rFonts w:ascii="Calibri"/>
                <w:b/>
                <w:color w:val="FFFFFF"/>
                <w:sz w:val="20"/>
              </w:rPr>
              <w:t>Total</w:t>
            </w:r>
            <w:r>
              <w:rPr>
                <w:rFonts w:ascii="Calibri"/>
                <w:b/>
                <w:color w:val="FFFFFF"/>
                <w:spacing w:val="-12"/>
                <w:sz w:val="20"/>
              </w:rPr>
              <w:t xml:space="preserve"> </w:t>
            </w:r>
            <w:r>
              <w:rPr>
                <w:rFonts w:ascii="Calibri"/>
                <w:b/>
                <w:color w:val="FFFFFF"/>
                <w:sz w:val="20"/>
              </w:rPr>
              <w:t xml:space="preserve">budget </w:t>
            </w:r>
            <w:r>
              <w:rPr>
                <w:rFonts w:ascii="Calibri"/>
                <w:b/>
                <w:color w:val="FFFFFF"/>
                <w:spacing w:val="-2"/>
                <w:sz w:val="20"/>
              </w:rPr>
              <w:t>realisation</w:t>
            </w:r>
          </w:p>
        </w:tc>
        <w:tc>
          <w:tcPr>
            <w:tcW w:w="3307" w:type="dxa"/>
            <w:tcBorders>
              <w:left w:val="nil"/>
            </w:tcBorders>
            <w:shd w:val="clear" w:color="auto" w:fill="17365A"/>
          </w:tcPr>
          <w:p w14:paraId="6D58E5FD" w14:textId="77777777" w:rsidR="00BC24A8" w:rsidRDefault="00000000">
            <w:pPr>
              <w:pStyle w:val="TableParagraph"/>
              <w:spacing w:before="191"/>
              <w:ind w:left="84"/>
              <w:rPr>
                <w:rFonts w:ascii="Calibri"/>
                <w:b/>
                <w:sz w:val="20"/>
              </w:rPr>
            </w:pPr>
            <w:r>
              <w:rPr>
                <w:rFonts w:ascii="Calibri"/>
                <w:b/>
                <w:color w:val="FFFFFF"/>
                <w:sz w:val="20"/>
              </w:rPr>
              <w:t>Number</w:t>
            </w:r>
            <w:r>
              <w:rPr>
                <w:rFonts w:ascii="Calibri"/>
                <w:b/>
                <w:color w:val="FFFFFF"/>
                <w:spacing w:val="-6"/>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participants</w:t>
            </w:r>
            <w:r>
              <w:rPr>
                <w:rFonts w:ascii="Calibri"/>
                <w:b/>
                <w:color w:val="FFFFFF"/>
                <w:spacing w:val="-5"/>
                <w:sz w:val="20"/>
              </w:rPr>
              <w:t xml:space="preserve"> </w:t>
            </w:r>
            <w:r>
              <w:rPr>
                <w:rFonts w:ascii="Calibri"/>
                <w:b/>
                <w:color w:val="FFFFFF"/>
                <w:spacing w:val="-2"/>
                <w:sz w:val="20"/>
              </w:rPr>
              <w:t>involved</w:t>
            </w:r>
          </w:p>
        </w:tc>
      </w:tr>
    </w:tbl>
    <w:p w14:paraId="6284F524" w14:textId="77777777" w:rsidR="00BC24A8" w:rsidRDefault="00000000">
      <w:pPr>
        <w:tabs>
          <w:tab w:val="left" w:pos="3472"/>
          <w:tab w:val="left" w:pos="6100"/>
        </w:tabs>
        <w:spacing w:before="102"/>
        <w:ind w:left="251"/>
        <w:rPr>
          <w:sz w:val="18"/>
        </w:rPr>
      </w:pPr>
      <w:r>
        <w:rPr>
          <w:sz w:val="18"/>
        </w:rPr>
        <w:t>Focus</w:t>
      </w:r>
      <w:r>
        <w:rPr>
          <w:spacing w:val="-3"/>
          <w:sz w:val="18"/>
        </w:rPr>
        <w:t xml:space="preserve"> </w:t>
      </w:r>
      <w:r>
        <w:rPr>
          <w:sz w:val="18"/>
        </w:rPr>
        <w:t>Group</w:t>
      </w:r>
      <w:r>
        <w:rPr>
          <w:spacing w:val="-1"/>
          <w:sz w:val="18"/>
        </w:rPr>
        <w:t xml:space="preserve"> </w:t>
      </w:r>
      <w:r>
        <w:rPr>
          <w:sz w:val="18"/>
        </w:rPr>
        <w:t>Discussion</w:t>
      </w:r>
      <w:r>
        <w:rPr>
          <w:spacing w:val="-1"/>
          <w:sz w:val="18"/>
        </w:rPr>
        <w:t xml:space="preserve"> </w:t>
      </w:r>
      <w:r>
        <w:rPr>
          <w:spacing w:val="-4"/>
          <w:sz w:val="18"/>
        </w:rPr>
        <w:t>(FGD)</w:t>
      </w:r>
      <w:r>
        <w:rPr>
          <w:sz w:val="18"/>
        </w:rPr>
        <w:tab/>
      </w:r>
      <w:r>
        <w:rPr>
          <w:spacing w:val="-10"/>
          <w:sz w:val="18"/>
        </w:rPr>
        <w:t>1</w:t>
      </w:r>
      <w:r>
        <w:rPr>
          <w:sz w:val="18"/>
        </w:rPr>
        <w:tab/>
        <w:t>Person time</w:t>
      </w:r>
      <w:hyperlink w:anchor="_bookmark167" w:history="1">
        <w:r w:rsidR="00BC24A8">
          <w:rPr>
            <w:position w:val="5"/>
            <w:sz w:val="12"/>
          </w:rPr>
          <w:t>87</w:t>
        </w:r>
      </w:hyperlink>
      <w:r>
        <w:rPr>
          <w:sz w:val="18"/>
        </w:rPr>
        <w:t>:</w:t>
      </w:r>
      <w:r>
        <w:rPr>
          <w:spacing w:val="3"/>
          <w:sz w:val="18"/>
        </w:rPr>
        <w:t xml:space="preserve"> </w:t>
      </w:r>
      <w:r>
        <w:rPr>
          <w:sz w:val="18"/>
        </w:rPr>
        <w:t>1012</w:t>
      </w:r>
      <w:r>
        <w:rPr>
          <w:spacing w:val="3"/>
          <w:sz w:val="18"/>
        </w:rPr>
        <w:t xml:space="preserve"> </w:t>
      </w:r>
      <w:r>
        <w:rPr>
          <w:spacing w:val="-2"/>
          <w:sz w:val="18"/>
        </w:rPr>
        <w:t>orang</w:t>
      </w:r>
    </w:p>
    <w:p w14:paraId="21BD5C04" w14:textId="77777777" w:rsidR="00BC24A8" w:rsidRDefault="00000000">
      <w:pPr>
        <w:pStyle w:val="ListParagraph"/>
        <w:numPr>
          <w:ilvl w:val="0"/>
          <w:numId w:val="15"/>
        </w:numPr>
        <w:tabs>
          <w:tab w:val="left" w:pos="6431"/>
        </w:tabs>
        <w:spacing w:before="59" w:line="214" w:lineRule="exact"/>
        <w:jc w:val="left"/>
        <w:rPr>
          <w:sz w:val="18"/>
        </w:rPr>
      </w:pPr>
      <w:r>
        <w:rPr>
          <w:noProof/>
          <w:sz w:val="18"/>
        </w:rPr>
        <mc:AlternateContent>
          <mc:Choice Requires="wps">
            <w:drawing>
              <wp:anchor distT="0" distB="0" distL="0" distR="0" simplePos="0" relativeHeight="15775232" behindDoc="0" locked="0" layoutInCell="1" allowOverlap="1" wp14:anchorId="42164835" wp14:editId="4193C45E">
                <wp:simplePos x="0" y="0"/>
                <wp:positionH relativeFrom="page">
                  <wp:posOffset>900684</wp:posOffset>
                </wp:positionH>
                <wp:positionV relativeFrom="paragraph">
                  <wp:posOffset>106713</wp:posOffset>
                </wp:positionV>
                <wp:extent cx="3716020" cy="6350"/>
                <wp:effectExtent l="0" t="0" r="0" b="0"/>
                <wp:wrapNone/>
                <wp:docPr id="291" name="Graphic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6020" cy="6350"/>
                        </a:xfrm>
                        <a:custGeom>
                          <a:avLst/>
                          <a:gdLst/>
                          <a:ahLst/>
                          <a:cxnLst/>
                          <a:rect l="l" t="t" r="r" b="b"/>
                          <a:pathLst>
                            <a:path w="3716020" h="6350">
                              <a:moveTo>
                                <a:pt x="1720583" y="0"/>
                              </a:moveTo>
                              <a:lnTo>
                                <a:pt x="1714500" y="0"/>
                              </a:lnTo>
                              <a:lnTo>
                                <a:pt x="0" y="0"/>
                              </a:lnTo>
                              <a:lnTo>
                                <a:pt x="0" y="6108"/>
                              </a:lnTo>
                              <a:lnTo>
                                <a:pt x="1714500" y="6108"/>
                              </a:lnTo>
                              <a:lnTo>
                                <a:pt x="1720583" y="6108"/>
                              </a:lnTo>
                              <a:lnTo>
                                <a:pt x="1720583" y="0"/>
                              </a:lnTo>
                              <a:close/>
                            </a:path>
                            <a:path w="3716020" h="6350">
                              <a:moveTo>
                                <a:pt x="3715499" y="0"/>
                              </a:moveTo>
                              <a:lnTo>
                                <a:pt x="2578608" y="0"/>
                              </a:lnTo>
                              <a:lnTo>
                                <a:pt x="2572524" y="0"/>
                              </a:lnTo>
                              <a:lnTo>
                                <a:pt x="1720596" y="0"/>
                              </a:lnTo>
                              <a:lnTo>
                                <a:pt x="1720596" y="6108"/>
                              </a:lnTo>
                              <a:lnTo>
                                <a:pt x="2572512" y="6108"/>
                              </a:lnTo>
                              <a:lnTo>
                                <a:pt x="2578608" y="6108"/>
                              </a:lnTo>
                              <a:lnTo>
                                <a:pt x="3715499" y="6108"/>
                              </a:lnTo>
                              <a:lnTo>
                                <a:pt x="3715499"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196C5CCE" id="Graphic 291" o:spid="_x0000_s1026" alt="&quot;&quot;" style="position:absolute;margin-left:70.9pt;margin-top:8.4pt;width:292.6pt;height:.5pt;z-index:15775232;visibility:visible;mso-wrap-style:square;mso-wrap-distance-left:0;mso-wrap-distance-top:0;mso-wrap-distance-right:0;mso-wrap-distance-bottom:0;mso-position-horizontal:absolute;mso-position-horizontal-relative:page;mso-position-vertical:absolute;mso-position-vertical-relative:text;v-text-anchor:top" coordsize="37160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" path="m1720583,r-6083,l,,,6108r1714500,l1720583,6108r,-6108xem3715499,l2578608,r-6084,l1720596,r,6108l2572512,6108r6096,l3715499,6108r,-6108xe" fillcolor="#bebebe" stroked="f">
                <v:path arrowok="t"/>
                <w10:wrap anchorx="page"/>
              </v:shape>
            </w:pict>
          </mc:Fallback>
        </mc:AlternateContent>
      </w:r>
      <w:r>
        <w:rPr>
          <w:sz w:val="18"/>
        </w:rPr>
        <w:t>Male:</w:t>
      </w:r>
      <w:r>
        <w:rPr>
          <w:spacing w:val="-2"/>
          <w:sz w:val="18"/>
        </w:rPr>
        <w:t xml:space="preserve"> </w:t>
      </w:r>
      <w:r>
        <w:rPr>
          <w:spacing w:val="-5"/>
          <w:sz w:val="18"/>
        </w:rPr>
        <w:t>768</w:t>
      </w:r>
    </w:p>
    <w:p w14:paraId="787FDB8B" w14:textId="77777777" w:rsidR="00BC24A8" w:rsidRDefault="00BC24A8">
      <w:pPr>
        <w:pStyle w:val="ListParagraph"/>
        <w:spacing w:line="214" w:lineRule="exact"/>
        <w:jc w:val="left"/>
        <w:rPr>
          <w:sz w:val="18"/>
        </w:rPr>
        <w:sectPr w:rsidR="00BC24A8">
          <w:pgSz w:w="11910" w:h="16840"/>
          <w:pgMar w:top="1360" w:right="850" w:bottom="1100" w:left="1275" w:header="0" w:footer="907" w:gutter="0"/>
          <w:cols w:space="720"/>
        </w:sectPr>
      </w:pPr>
    </w:p>
    <w:p w14:paraId="5C165862" w14:textId="77777777" w:rsidR="00BC24A8" w:rsidRDefault="00000000">
      <w:pPr>
        <w:tabs>
          <w:tab w:val="right" w:pos="3563"/>
        </w:tabs>
        <w:spacing w:line="183" w:lineRule="exact"/>
        <w:ind w:left="251"/>
        <w:rPr>
          <w:sz w:val="18"/>
        </w:rPr>
      </w:pPr>
      <w:r>
        <w:rPr>
          <w:sz w:val="18"/>
        </w:rPr>
        <w:t>Learning</w:t>
      </w:r>
      <w:r>
        <w:rPr>
          <w:spacing w:val="-4"/>
          <w:sz w:val="18"/>
        </w:rPr>
        <w:t xml:space="preserve"> </w:t>
      </w:r>
      <w:r>
        <w:rPr>
          <w:spacing w:val="-2"/>
          <w:sz w:val="18"/>
        </w:rPr>
        <w:t>forum</w:t>
      </w:r>
      <w:r>
        <w:rPr>
          <w:rFonts w:ascii="Times New Roman"/>
          <w:b/>
          <w:sz w:val="18"/>
        </w:rPr>
        <w:tab/>
      </w:r>
      <w:r>
        <w:rPr>
          <w:spacing w:val="-10"/>
          <w:sz w:val="18"/>
        </w:rPr>
        <w:t>1</w:t>
      </w:r>
    </w:p>
    <w:p w14:paraId="60498F3A" w14:textId="77777777" w:rsidR="00BC24A8" w:rsidRDefault="00000000">
      <w:pPr>
        <w:spacing w:before="117"/>
        <w:ind w:left="251"/>
        <w:rPr>
          <w:sz w:val="18"/>
        </w:rPr>
      </w:pPr>
      <w:r>
        <w:br w:type="column"/>
      </w:r>
      <w:r>
        <w:rPr>
          <w:sz w:val="18"/>
        </w:rPr>
        <w:t>Rp.</w:t>
      </w:r>
      <w:r>
        <w:rPr>
          <w:spacing w:val="-1"/>
          <w:sz w:val="18"/>
        </w:rPr>
        <w:t xml:space="preserve"> </w:t>
      </w:r>
      <w:r>
        <w:rPr>
          <w:spacing w:val="-2"/>
          <w:sz w:val="18"/>
        </w:rPr>
        <w:t>5,508,695</w:t>
      </w:r>
    </w:p>
    <w:p w14:paraId="010885EE" w14:textId="77777777" w:rsidR="00BC24A8" w:rsidRDefault="00000000">
      <w:pPr>
        <w:pStyle w:val="ListParagraph"/>
        <w:numPr>
          <w:ilvl w:val="0"/>
          <w:numId w:val="15"/>
        </w:numPr>
        <w:tabs>
          <w:tab w:val="left" w:pos="611"/>
        </w:tabs>
        <w:spacing w:before="7"/>
        <w:ind w:left="611"/>
        <w:jc w:val="left"/>
        <w:rPr>
          <w:sz w:val="18"/>
        </w:rPr>
      </w:pPr>
      <w:r>
        <w:br w:type="column"/>
      </w:r>
      <w:r>
        <w:rPr>
          <w:sz w:val="18"/>
        </w:rPr>
        <w:t>Female:</w:t>
      </w:r>
      <w:r>
        <w:rPr>
          <w:spacing w:val="-2"/>
          <w:sz w:val="18"/>
        </w:rPr>
        <w:t xml:space="preserve"> </w:t>
      </w:r>
      <w:r>
        <w:rPr>
          <w:spacing w:val="-5"/>
          <w:sz w:val="18"/>
        </w:rPr>
        <w:t>244</w:t>
      </w:r>
    </w:p>
    <w:p w14:paraId="3F06B77B" w14:textId="77777777" w:rsidR="00BC24A8" w:rsidRDefault="00000000">
      <w:pPr>
        <w:pStyle w:val="ListParagraph"/>
        <w:numPr>
          <w:ilvl w:val="0"/>
          <w:numId w:val="15"/>
        </w:numPr>
        <w:tabs>
          <w:tab w:val="left" w:pos="611"/>
        </w:tabs>
        <w:spacing w:before="1"/>
        <w:ind w:left="611"/>
        <w:jc w:val="left"/>
        <w:rPr>
          <w:sz w:val="18"/>
        </w:rPr>
      </w:pPr>
      <w:r>
        <w:rPr>
          <w:noProof/>
          <w:sz w:val="18"/>
        </w:rPr>
        <mc:AlternateContent>
          <mc:Choice Requires="wps">
            <w:drawing>
              <wp:anchor distT="0" distB="0" distL="0" distR="0" simplePos="0" relativeHeight="15775744" behindDoc="0" locked="0" layoutInCell="1" allowOverlap="1" wp14:anchorId="1427CB42" wp14:editId="5CE12CFA">
                <wp:simplePos x="0" y="0"/>
                <wp:positionH relativeFrom="page">
                  <wp:posOffset>900684</wp:posOffset>
                </wp:positionH>
                <wp:positionV relativeFrom="paragraph">
                  <wp:posOffset>205447</wp:posOffset>
                </wp:positionV>
                <wp:extent cx="3716020" cy="6350"/>
                <wp:effectExtent l="0" t="0" r="0" b="0"/>
                <wp:wrapNone/>
                <wp:docPr id="292" name="Graphic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6020" cy="6350"/>
                        </a:xfrm>
                        <a:custGeom>
                          <a:avLst/>
                          <a:gdLst/>
                          <a:ahLst/>
                          <a:cxnLst/>
                          <a:rect l="l" t="t" r="r" b="b"/>
                          <a:pathLst>
                            <a:path w="3716020" h="6350">
                              <a:moveTo>
                                <a:pt x="1720583" y="0"/>
                              </a:moveTo>
                              <a:lnTo>
                                <a:pt x="1714500" y="0"/>
                              </a:lnTo>
                              <a:lnTo>
                                <a:pt x="0" y="0"/>
                              </a:lnTo>
                              <a:lnTo>
                                <a:pt x="0" y="6108"/>
                              </a:lnTo>
                              <a:lnTo>
                                <a:pt x="1714500" y="6108"/>
                              </a:lnTo>
                              <a:lnTo>
                                <a:pt x="1720583" y="6108"/>
                              </a:lnTo>
                              <a:lnTo>
                                <a:pt x="1720583" y="0"/>
                              </a:lnTo>
                              <a:close/>
                            </a:path>
                            <a:path w="3716020" h="6350">
                              <a:moveTo>
                                <a:pt x="3715499" y="0"/>
                              </a:moveTo>
                              <a:lnTo>
                                <a:pt x="2578608" y="0"/>
                              </a:lnTo>
                              <a:lnTo>
                                <a:pt x="2572524" y="0"/>
                              </a:lnTo>
                              <a:lnTo>
                                <a:pt x="1720596" y="0"/>
                              </a:lnTo>
                              <a:lnTo>
                                <a:pt x="1720596" y="6108"/>
                              </a:lnTo>
                              <a:lnTo>
                                <a:pt x="2572512" y="6108"/>
                              </a:lnTo>
                              <a:lnTo>
                                <a:pt x="2578608" y="6108"/>
                              </a:lnTo>
                              <a:lnTo>
                                <a:pt x="3715499" y="6108"/>
                              </a:lnTo>
                              <a:lnTo>
                                <a:pt x="3715499"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1749FCA2" id="Graphic 292" o:spid="_x0000_s1026" alt="&quot;&quot;" style="position:absolute;margin-left:70.9pt;margin-top:16.2pt;width:292.6pt;height:.5pt;z-index:15775744;visibility:visible;mso-wrap-style:square;mso-wrap-distance-left:0;mso-wrap-distance-top:0;mso-wrap-distance-right:0;mso-wrap-distance-bottom:0;mso-position-horizontal:absolute;mso-position-horizontal-relative:page;mso-position-vertical:absolute;mso-position-vertical-relative:text;v-text-anchor:top" coordsize="37160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" path="m1720583,r-6083,l,,,6108r1714500,l1720583,6108r,-6108xem3715499,l2578608,r-6084,l1720596,r,6108l2572512,6108r6096,l3715499,6108r,-6108xe" fillcolor="#bebebe" stroked="f">
                <v:path arrowok="t"/>
                <w10:wrap anchorx="page"/>
              </v:shape>
            </w:pict>
          </mc:Fallback>
        </mc:AlternateContent>
      </w:r>
      <w:r>
        <w:rPr>
          <w:sz w:val="18"/>
        </w:rPr>
        <w:t>People</w:t>
      </w:r>
      <w:r>
        <w:rPr>
          <w:spacing w:val="-2"/>
          <w:sz w:val="18"/>
        </w:rPr>
        <w:t xml:space="preserve"> </w:t>
      </w:r>
      <w:r>
        <w:rPr>
          <w:sz w:val="18"/>
        </w:rPr>
        <w:t>with</w:t>
      </w:r>
      <w:r>
        <w:rPr>
          <w:spacing w:val="-2"/>
          <w:sz w:val="18"/>
        </w:rPr>
        <w:t xml:space="preserve"> </w:t>
      </w:r>
      <w:r>
        <w:rPr>
          <w:sz w:val="18"/>
        </w:rPr>
        <w:t>disability:</w:t>
      </w:r>
      <w:r>
        <w:rPr>
          <w:spacing w:val="-2"/>
          <w:sz w:val="18"/>
        </w:rPr>
        <w:t xml:space="preserve"> </w:t>
      </w:r>
      <w:r>
        <w:rPr>
          <w:spacing w:val="-10"/>
          <w:sz w:val="18"/>
        </w:rPr>
        <w:t>1</w:t>
      </w:r>
    </w:p>
    <w:p w14:paraId="7FB9B01D" w14:textId="77777777" w:rsidR="00BC24A8" w:rsidRDefault="00BC24A8">
      <w:pPr>
        <w:pStyle w:val="ListParagraph"/>
        <w:jc w:val="left"/>
        <w:rPr>
          <w:sz w:val="18"/>
        </w:rPr>
        <w:sectPr w:rsidR="00BC24A8">
          <w:type w:val="continuous"/>
          <w:pgSz w:w="11910" w:h="16840"/>
          <w:pgMar w:top="1920" w:right="850" w:bottom="280" w:left="1275" w:header="0" w:footer="907" w:gutter="0"/>
          <w:cols w:num="3" w:space="720" w:equalWidth="0">
            <w:col w:w="3604" w:space="735"/>
            <w:col w:w="1291" w:space="190"/>
            <w:col w:w="3965"/>
          </w:cols>
        </w:sectPr>
      </w:pPr>
    </w:p>
    <w:p w14:paraId="11A64A50" w14:textId="77777777" w:rsidR="00BC24A8" w:rsidRDefault="00000000">
      <w:pPr>
        <w:tabs>
          <w:tab w:val="left" w:pos="3472"/>
          <w:tab w:val="left" w:pos="4499"/>
        </w:tabs>
        <w:spacing w:before="167"/>
        <w:ind w:left="251"/>
        <w:rPr>
          <w:sz w:val="18"/>
        </w:rPr>
      </w:pPr>
      <w:r>
        <w:rPr>
          <w:spacing w:val="-2"/>
          <w:position w:val="10"/>
          <w:sz w:val="18"/>
        </w:rPr>
        <w:t>Workshop</w:t>
      </w:r>
      <w:r>
        <w:rPr>
          <w:position w:val="10"/>
          <w:sz w:val="18"/>
        </w:rPr>
        <w:tab/>
      </w:r>
      <w:r>
        <w:rPr>
          <w:spacing w:val="-10"/>
          <w:position w:val="10"/>
          <w:sz w:val="18"/>
        </w:rPr>
        <w:t>4</w:t>
      </w:r>
      <w:r>
        <w:rPr>
          <w:position w:val="10"/>
          <w:sz w:val="18"/>
        </w:rPr>
        <w:tab/>
      </w:r>
      <w:r>
        <w:rPr>
          <w:sz w:val="18"/>
        </w:rPr>
        <w:t>Rp.</w:t>
      </w:r>
      <w:r>
        <w:rPr>
          <w:spacing w:val="-3"/>
          <w:sz w:val="18"/>
        </w:rPr>
        <w:t xml:space="preserve"> </w:t>
      </w:r>
      <w:r>
        <w:rPr>
          <w:spacing w:val="-2"/>
          <w:sz w:val="18"/>
        </w:rPr>
        <w:t>367,003,277</w:t>
      </w:r>
    </w:p>
    <w:p w14:paraId="337DA99E" w14:textId="77777777" w:rsidR="00BC24A8" w:rsidRDefault="00000000">
      <w:pPr>
        <w:tabs>
          <w:tab w:val="left" w:pos="3472"/>
        </w:tabs>
        <w:spacing w:before="220"/>
        <w:ind w:left="251"/>
        <w:rPr>
          <w:sz w:val="18"/>
        </w:rPr>
      </w:pPr>
      <w:r>
        <w:rPr>
          <w:noProof/>
          <w:sz w:val="18"/>
        </w:rPr>
        <mc:AlternateContent>
          <mc:Choice Requires="wps">
            <w:drawing>
              <wp:anchor distT="0" distB="0" distL="0" distR="0" simplePos="0" relativeHeight="15776256" behindDoc="0" locked="0" layoutInCell="1" allowOverlap="1" wp14:anchorId="7897D241" wp14:editId="45876310">
                <wp:simplePos x="0" y="0"/>
                <wp:positionH relativeFrom="page">
                  <wp:posOffset>900684</wp:posOffset>
                </wp:positionH>
                <wp:positionV relativeFrom="paragraph">
                  <wp:posOffset>97603</wp:posOffset>
                </wp:positionV>
                <wp:extent cx="3716020" cy="6350"/>
                <wp:effectExtent l="0" t="0" r="0" b="0"/>
                <wp:wrapNone/>
                <wp:docPr id="293" name="Graphic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6020" cy="6350"/>
                        </a:xfrm>
                        <a:custGeom>
                          <a:avLst/>
                          <a:gdLst/>
                          <a:ahLst/>
                          <a:cxnLst/>
                          <a:rect l="l" t="t" r="r" b="b"/>
                          <a:pathLst>
                            <a:path w="3716020" h="6350">
                              <a:moveTo>
                                <a:pt x="1720583" y="0"/>
                              </a:moveTo>
                              <a:lnTo>
                                <a:pt x="1714500" y="0"/>
                              </a:lnTo>
                              <a:lnTo>
                                <a:pt x="0" y="0"/>
                              </a:lnTo>
                              <a:lnTo>
                                <a:pt x="0" y="6096"/>
                              </a:lnTo>
                              <a:lnTo>
                                <a:pt x="1714500" y="6096"/>
                              </a:lnTo>
                              <a:lnTo>
                                <a:pt x="1720583" y="6096"/>
                              </a:lnTo>
                              <a:lnTo>
                                <a:pt x="1720583" y="0"/>
                              </a:lnTo>
                              <a:close/>
                            </a:path>
                            <a:path w="3716020" h="6350">
                              <a:moveTo>
                                <a:pt x="3715499" y="0"/>
                              </a:moveTo>
                              <a:lnTo>
                                <a:pt x="2578608" y="0"/>
                              </a:lnTo>
                              <a:lnTo>
                                <a:pt x="2572524" y="0"/>
                              </a:lnTo>
                              <a:lnTo>
                                <a:pt x="1720596" y="0"/>
                              </a:lnTo>
                              <a:lnTo>
                                <a:pt x="1720596" y="6096"/>
                              </a:lnTo>
                              <a:lnTo>
                                <a:pt x="2572512" y="6096"/>
                              </a:lnTo>
                              <a:lnTo>
                                <a:pt x="2578608" y="6096"/>
                              </a:lnTo>
                              <a:lnTo>
                                <a:pt x="3715499" y="6096"/>
                              </a:lnTo>
                              <a:lnTo>
                                <a:pt x="3715499"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9CB7C31" id="Graphic 293" o:spid="_x0000_s1026" alt="&quot;&quot;" style="position:absolute;margin-left:70.9pt;margin-top:7.7pt;width:292.6pt;height:.5pt;z-index:15776256;visibility:visible;mso-wrap-style:square;mso-wrap-distance-left:0;mso-wrap-distance-top:0;mso-wrap-distance-right:0;mso-wrap-distance-bottom:0;mso-position-horizontal:absolute;mso-position-horizontal-relative:page;mso-position-vertical:absolute;mso-position-vertical-relative:text;v-text-anchor:top" coordsize="37160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" path="m1720583,r-6083,l,,,6096r1714500,l1720583,6096r,-6096xem3715499,l2578608,r-6084,l1720596,r,6096l2572512,6096r6096,l3715499,6096r,-6096xe" fillcolor="#bebebe" stroked="f">
                <v:path arrowok="t"/>
                <w10:wrap anchorx="page"/>
              </v:shape>
            </w:pict>
          </mc:Fallback>
        </mc:AlternateContent>
      </w:r>
      <w:r>
        <w:rPr>
          <w:spacing w:val="-2"/>
          <w:sz w:val="18"/>
        </w:rPr>
        <w:t>Training</w:t>
      </w:r>
      <w:r>
        <w:rPr>
          <w:rFonts w:ascii="Times New Roman"/>
          <w:b/>
          <w:sz w:val="18"/>
        </w:rPr>
        <w:tab/>
      </w:r>
      <w:r>
        <w:rPr>
          <w:spacing w:val="-10"/>
          <w:sz w:val="18"/>
        </w:rPr>
        <w:t>1</w:t>
      </w:r>
    </w:p>
    <w:p w14:paraId="76E0E1F8" w14:textId="77777777" w:rsidR="00BC24A8" w:rsidRDefault="00000000">
      <w:pPr>
        <w:spacing w:before="59"/>
        <w:rPr>
          <w:sz w:val="18"/>
        </w:rPr>
      </w:pPr>
      <w:r>
        <w:br w:type="column"/>
      </w:r>
    </w:p>
    <w:p w14:paraId="2C49E38D" w14:textId="77777777" w:rsidR="00BC24A8" w:rsidRDefault="00000000">
      <w:pPr>
        <w:ind w:left="280"/>
        <w:rPr>
          <w:sz w:val="18"/>
        </w:rPr>
      </w:pPr>
      <w:r>
        <w:rPr>
          <w:sz w:val="18"/>
        </w:rPr>
        <w:t>Headcount:</w:t>
      </w:r>
      <w:r>
        <w:rPr>
          <w:spacing w:val="-2"/>
          <w:sz w:val="18"/>
        </w:rPr>
        <w:t xml:space="preserve"> </w:t>
      </w:r>
      <w:r>
        <w:rPr>
          <w:sz w:val="18"/>
        </w:rPr>
        <w:t>39</w:t>
      </w:r>
      <w:r>
        <w:rPr>
          <w:spacing w:val="-1"/>
          <w:sz w:val="18"/>
        </w:rPr>
        <w:t xml:space="preserve"> </w:t>
      </w:r>
      <w:r>
        <w:rPr>
          <w:spacing w:val="-2"/>
          <w:sz w:val="18"/>
        </w:rPr>
        <w:t>orang</w:t>
      </w:r>
    </w:p>
    <w:p w14:paraId="29AB66D3" w14:textId="77777777" w:rsidR="00BC24A8" w:rsidRDefault="00000000">
      <w:pPr>
        <w:pStyle w:val="ListParagraph"/>
        <w:numPr>
          <w:ilvl w:val="0"/>
          <w:numId w:val="15"/>
        </w:numPr>
        <w:tabs>
          <w:tab w:val="left" w:pos="611"/>
        </w:tabs>
        <w:spacing w:before="59"/>
        <w:ind w:left="611"/>
        <w:jc w:val="left"/>
        <w:rPr>
          <w:sz w:val="18"/>
        </w:rPr>
      </w:pPr>
      <w:r>
        <w:rPr>
          <w:sz w:val="18"/>
        </w:rPr>
        <w:t>Male:</w:t>
      </w:r>
      <w:r>
        <w:rPr>
          <w:spacing w:val="-2"/>
          <w:sz w:val="18"/>
        </w:rPr>
        <w:t xml:space="preserve"> </w:t>
      </w:r>
      <w:r>
        <w:rPr>
          <w:spacing w:val="-5"/>
          <w:sz w:val="18"/>
        </w:rPr>
        <w:t>25</w:t>
      </w:r>
    </w:p>
    <w:p w14:paraId="2F9474E2" w14:textId="77777777" w:rsidR="00BC24A8" w:rsidRDefault="00000000">
      <w:pPr>
        <w:pStyle w:val="ListParagraph"/>
        <w:numPr>
          <w:ilvl w:val="0"/>
          <w:numId w:val="15"/>
        </w:numPr>
        <w:tabs>
          <w:tab w:val="left" w:pos="611"/>
        </w:tabs>
        <w:spacing w:before="1"/>
        <w:ind w:left="611"/>
        <w:jc w:val="left"/>
        <w:rPr>
          <w:sz w:val="18"/>
        </w:rPr>
      </w:pPr>
      <w:r>
        <w:rPr>
          <w:noProof/>
          <w:sz w:val="18"/>
        </w:rPr>
        <mc:AlternateContent>
          <mc:Choice Requires="wps">
            <w:drawing>
              <wp:anchor distT="0" distB="0" distL="0" distR="0" simplePos="0" relativeHeight="15776768" behindDoc="0" locked="0" layoutInCell="1" allowOverlap="1" wp14:anchorId="4472FD6A" wp14:editId="75F03A65">
                <wp:simplePos x="0" y="0"/>
                <wp:positionH relativeFrom="page">
                  <wp:posOffset>900684</wp:posOffset>
                </wp:positionH>
                <wp:positionV relativeFrom="paragraph">
                  <wp:posOffset>236253</wp:posOffset>
                </wp:positionV>
                <wp:extent cx="3716020" cy="6350"/>
                <wp:effectExtent l="0" t="0" r="0" b="0"/>
                <wp:wrapNone/>
                <wp:docPr id="294" name="Graphic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6020" cy="6350"/>
                        </a:xfrm>
                        <a:custGeom>
                          <a:avLst/>
                          <a:gdLst/>
                          <a:ahLst/>
                          <a:cxnLst/>
                          <a:rect l="l" t="t" r="r" b="b"/>
                          <a:pathLst>
                            <a:path w="3716020" h="6350">
                              <a:moveTo>
                                <a:pt x="1720583" y="0"/>
                              </a:moveTo>
                              <a:lnTo>
                                <a:pt x="1714500" y="0"/>
                              </a:lnTo>
                              <a:lnTo>
                                <a:pt x="0" y="0"/>
                              </a:lnTo>
                              <a:lnTo>
                                <a:pt x="0" y="6096"/>
                              </a:lnTo>
                              <a:lnTo>
                                <a:pt x="1714500" y="6096"/>
                              </a:lnTo>
                              <a:lnTo>
                                <a:pt x="1720583" y="6096"/>
                              </a:lnTo>
                              <a:lnTo>
                                <a:pt x="1720583" y="0"/>
                              </a:lnTo>
                              <a:close/>
                            </a:path>
                            <a:path w="3716020" h="6350">
                              <a:moveTo>
                                <a:pt x="3715499" y="0"/>
                              </a:moveTo>
                              <a:lnTo>
                                <a:pt x="2578608" y="0"/>
                              </a:lnTo>
                              <a:lnTo>
                                <a:pt x="2572524" y="0"/>
                              </a:lnTo>
                              <a:lnTo>
                                <a:pt x="1720596" y="0"/>
                              </a:lnTo>
                              <a:lnTo>
                                <a:pt x="1720596" y="6096"/>
                              </a:lnTo>
                              <a:lnTo>
                                <a:pt x="2572512" y="6096"/>
                              </a:lnTo>
                              <a:lnTo>
                                <a:pt x="2578608" y="6096"/>
                              </a:lnTo>
                              <a:lnTo>
                                <a:pt x="3715499" y="6096"/>
                              </a:lnTo>
                              <a:lnTo>
                                <a:pt x="3715499"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784275BE" id="Graphic 294" o:spid="_x0000_s1026" alt="&quot;&quot;" style="position:absolute;margin-left:70.9pt;margin-top:18.6pt;width:292.6pt;height:.5pt;z-index:15776768;visibility:visible;mso-wrap-style:square;mso-wrap-distance-left:0;mso-wrap-distance-top:0;mso-wrap-distance-right:0;mso-wrap-distance-bottom:0;mso-position-horizontal:absolute;mso-position-horizontal-relative:page;mso-position-vertical:absolute;mso-position-vertical-relative:text;v-text-anchor:top" coordsize="37160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" path="m1720583,r-6083,l,,,6096r1714500,l1720583,6096r,-6096xem3715499,l2578608,r-6084,l1720596,r,6096l2572512,6096r6096,l3715499,6096r,-6096xe" fillcolor="#bebebe" stroked="f">
                <v:path arrowok="t"/>
                <w10:wrap anchorx="page"/>
              </v:shape>
            </w:pict>
          </mc:Fallback>
        </mc:AlternateContent>
      </w:r>
      <w:r>
        <w:rPr>
          <w:sz w:val="18"/>
        </w:rPr>
        <w:t>Female:</w:t>
      </w:r>
      <w:r>
        <w:rPr>
          <w:spacing w:val="-2"/>
          <w:sz w:val="18"/>
        </w:rPr>
        <w:t xml:space="preserve"> </w:t>
      </w:r>
      <w:r>
        <w:rPr>
          <w:spacing w:val="-5"/>
          <w:sz w:val="18"/>
        </w:rPr>
        <w:t>14</w:t>
      </w:r>
    </w:p>
    <w:p w14:paraId="6D54DFD6" w14:textId="77777777" w:rsidR="00BC24A8" w:rsidRDefault="00BC24A8">
      <w:pPr>
        <w:pStyle w:val="ListParagraph"/>
        <w:jc w:val="left"/>
        <w:rPr>
          <w:sz w:val="18"/>
        </w:rPr>
        <w:sectPr w:rsidR="00BC24A8">
          <w:type w:val="continuous"/>
          <w:pgSz w:w="11910" w:h="16840"/>
          <w:pgMar w:top="1920" w:right="850" w:bottom="280" w:left="1275" w:header="0" w:footer="907" w:gutter="0"/>
          <w:cols w:num="2" w:space="720" w:equalWidth="0">
            <w:col w:w="5721" w:space="99"/>
            <w:col w:w="3965"/>
          </w:cols>
        </w:sectPr>
      </w:pPr>
    </w:p>
    <w:p w14:paraId="6C1BF77F" w14:textId="77777777" w:rsidR="00BC24A8" w:rsidRDefault="00000000">
      <w:pPr>
        <w:tabs>
          <w:tab w:val="right" w:pos="3563"/>
        </w:tabs>
        <w:spacing w:before="220"/>
        <w:ind w:left="251"/>
        <w:rPr>
          <w:sz w:val="18"/>
        </w:rPr>
      </w:pPr>
      <w:r>
        <w:rPr>
          <w:spacing w:val="-5"/>
          <w:sz w:val="18"/>
        </w:rPr>
        <w:t>TA</w:t>
      </w:r>
      <w:r>
        <w:rPr>
          <w:rFonts w:ascii="Times New Roman"/>
          <w:b/>
          <w:sz w:val="18"/>
        </w:rPr>
        <w:tab/>
      </w:r>
      <w:r>
        <w:rPr>
          <w:spacing w:val="-10"/>
          <w:sz w:val="18"/>
        </w:rPr>
        <w:t>4</w:t>
      </w:r>
    </w:p>
    <w:p w14:paraId="07F2AC91" w14:textId="77777777" w:rsidR="00BC24A8" w:rsidRDefault="00000000">
      <w:pPr>
        <w:pStyle w:val="BodyText"/>
        <w:rPr>
          <w:sz w:val="6"/>
        </w:rPr>
      </w:pPr>
      <w:r>
        <w:rPr>
          <w:noProof/>
          <w:sz w:val="6"/>
        </w:rPr>
        <mc:AlternateContent>
          <mc:Choice Requires="wpg">
            <w:drawing>
              <wp:anchor distT="0" distB="0" distL="0" distR="0" simplePos="0" relativeHeight="487633408" behindDoc="1" locked="0" layoutInCell="1" allowOverlap="1" wp14:anchorId="20EB3D55" wp14:editId="1BFD2FE0">
                <wp:simplePos x="0" y="0"/>
                <wp:positionH relativeFrom="page">
                  <wp:posOffset>891539</wp:posOffset>
                </wp:positionH>
                <wp:positionV relativeFrom="paragraph">
                  <wp:posOffset>62230</wp:posOffset>
                </wp:positionV>
                <wp:extent cx="5838825" cy="231775"/>
                <wp:effectExtent l="0" t="0" r="0" b="0"/>
                <wp:wrapTopAndBottom/>
                <wp:docPr id="295" name="Group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231775"/>
                          <a:chOff x="0" y="0"/>
                          <a:chExt cx="5838825" cy="231775"/>
                        </a:xfrm>
                      </wpg:grpSpPr>
                      <wps:wsp>
                        <wps:cNvPr id="296" name="Graphic 296"/>
                        <wps:cNvSpPr/>
                        <wps:spPr>
                          <a:xfrm>
                            <a:off x="9144" y="0"/>
                            <a:ext cx="5829300" cy="226060"/>
                          </a:xfrm>
                          <a:custGeom>
                            <a:avLst/>
                            <a:gdLst/>
                            <a:ahLst/>
                            <a:cxnLst/>
                            <a:rect l="l" t="t" r="r" b="b"/>
                            <a:pathLst>
                              <a:path w="5829300" h="226060">
                                <a:moveTo>
                                  <a:pt x="1700784" y="188988"/>
                                </a:moveTo>
                                <a:lnTo>
                                  <a:pt x="1700771" y="38100"/>
                                </a:lnTo>
                                <a:lnTo>
                                  <a:pt x="1700771" y="1524"/>
                                </a:lnTo>
                                <a:lnTo>
                                  <a:pt x="1700771" y="0"/>
                                </a:lnTo>
                                <a:lnTo>
                                  <a:pt x="0" y="0"/>
                                </a:lnTo>
                                <a:lnTo>
                                  <a:pt x="0" y="1524"/>
                                </a:lnTo>
                                <a:lnTo>
                                  <a:pt x="0" y="38100"/>
                                </a:lnTo>
                                <a:lnTo>
                                  <a:pt x="0" y="188988"/>
                                </a:lnTo>
                                <a:lnTo>
                                  <a:pt x="0" y="225552"/>
                                </a:lnTo>
                                <a:lnTo>
                                  <a:pt x="1700771" y="225552"/>
                                </a:lnTo>
                                <a:lnTo>
                                  <a:pt x="1700784" y="188988"/>
                                </a:lnTo>
                                <a:close/>
                              </a:path>
                              <a:path w="5829300" h="226060">
                                <a:moveTo>
                                  <a:pt x="5829300" y="0"/>
                                </a:moveTo>
                                <a:lnTo>
                                  <a:pt x="5829300" y="0"/>
                                </a:lnTo>
                                <a:lnTo>
                                  <a:pt x="1728216" y="0"/>
                                </a:lnTo>
                                <a:lnTo>
                                  <a:pt x="1728216" y="1524"/>
                                </a:lnTo>
                                <a:lnTo>
                                  <a:pt x="1728216" y="38100"/>
                                </a:lnTo>
                                <a:lnTo>
                                  <a:pt x="1728216" y="225552"/>
                                </a:lnTo>
                                <a:lnTo>
                                  <a:pt x="2570988" y="225552"/>
                                </a:lnTo>
                                <a:lnTo>
                                  <a:pt x="3713988" y="225552"/>
                                </a:lnTo>
                                <a:lnTo>
                                  <a:pt x="5829300" y="225552"/>
                                </a:lnTo>
                                <a:lnTo>
                                  <a:pt x="5829300" y="38100"/>
                                </a:lnTo>
                                <a:lnTo>
                                  <a:pt x="5829300" y="1524"/>
                                </a:lnTo>
                                <a:lnTo>
                                  <a:pt x="5829300" y="0"/>
                                </a:lnTo>
                                <a:close/>
                              </a:path>
                            </a:pathLst>
                          </a:custGeom>
                          <a:solidFill>
                            <a:srgbClr val="A7A9AC"/>
                          </a:solidFill>
                        </wps:spPr>
                        <wps:bodyPr wrap="square" lIns="0" tIns="0" rIns="0" bIns="0" rtlCol="0">
                          <a:prstTxWarp prst="textNoShape">
                            <a:avLst/>
                          </a:prstTxWarp>
                          <a:noAutofit/>
                        </wps:bodyPr>
                      </wps:wsp>
                      <wps:wsp>
                        <wps:cNvPr id="297" name="Graphic 297"/>
                        <wps:cNvSpPr/>
                        <wps:spPr>
                          <a:xfrm>
                            <a:off x="0" y="225552"/>
                            <a:ext cx="1710055" cy="6350"/>
                          </a:xfrm>
                          <a:custGeom>
                            <a:avLst/>
                            <a:gdLst/>
                            <a:ahLst/>
                            <a:cxnLst/>
                            <a:rect l="l" t="t" r="r" b="b"/>
                            <a:pathLst>
                              <a:path w="1710055" h="6350">
                                <a:moveTo>
                                  <a:pt x="1709927" y="0"/>
                                </a:moveTo>
                                <a:lnTo>
                                  <a:pt x="0" y="0"/>
                                </a:lnTo>
                                <a:lnTo>
                                  <a:pt x="0" y="6096"/>
                                </a:lnTo>
                                <a:lnTo>
                                  <a:pt x="1709927" y="6096"/>
                                </a:lnTo>
                                <a:lnTo>
                                  <a:pt x="1709927" y="0"/>
                                </a:lnTo>
                                <a:close/>
                              </a:path>
                            </a:pathLst>
                          </a:custGeom>
                          <a:solidFill>
                            <a:srgbClr val="BEBEBE"/>
                          </a:solidFill>
                        </wps:spPr>
                        <wps:bodyPr wrap="square" lIns="0" tIns="0" rIns="0" bIns="0" rtlCol="0">
                          <a:prstTxWarp prst="textNoShape">
                            <a:avLst/>
                          </a:prstTxWarp>
                          <a:noAutofit/>
                        </wps:bodyPr>
                      </wps:wsp>
                      <wps:wsp>
                        <wps:cNvPr id="298" name="Graphic 298"/>
                        <wps:cNvSpPr/>
                        <wps:spPr>
                          <a:xfrm>
                            <a:off x="1737360" y="188976"/>
                            <a:ext cx="844550" cy="36830"/>
                          </a:xfrm>
                          <a:custGeom>
                            <a:avLst/>
                            <a:gdLst/>
                            <a:ahLst/>
                            <a:cxnLst/>
                            <a:rect l="l" t="t" r="r" b="b"/>
                            <a:pathLst>
                              <a:path w="844550" h="36830">
                                <a:moveTo>
                                  <a:pt x="0" y="36575"/>
                                </a:moveTo>
                                <a:lnTo>
                                  <a:pt x="844296" y="36575"/>
                                </a:lnTo>
                                <a:lnTo>
                                  <a:pt x="844296" y="0"/>
                                </a:lnTo>
                                <a:lnTo>
                                  <a:pt x="0" y="0"/>
                                </a:lnTo>
                                <a:lnTo>
                                  <a:pt x="0" y="36575"/>
                                </a:lnTo>
                                <a:close/>
                              </a:path>
                            </a:pathLst>
                          </a:custGeom>
                          <a:solidFill>
                            <a:srgbClr val="A7A9AC"/>
                          </a:solidFill>
                        </wps:spPr>
                        <wps:bodyPr wrap="square" lIns="0" tIns="0" rIns="0" bIns="0" rtlCol="0">
                          <a:prstTxWarp prst="textNoShape">
                            <a:avLst/>
                          </a:prstTxWarp>
                          <a:noAutofit/>
                        </wps:bodyPr>
                      </wps:wsp>
                      <wps:wsp>
                        <wps:cNvPr id="299" name="Graphic 299"/>
                        <wps:cNvSpPr/>
                        <wps:spPr>
                          <a:xfrm>
                            <a:off x="1709928" y="225551"/>
                            <a:ext cx="871855" cy="6350"/>
                          </a:xfrm>
                          <a:custGeom>
                            <a:avLst/>
                            <a:gdLst/>
                            <a:ahLst/>
                            <a:cxnLst/>
                            <a:rect l="l" t="t" r="r" b="b"/>
                            <a:pathLst>
                              <a:path w="871855" h="6350">
                                <a:moveTo>
                                  <a:pt x="871740" y="0"/>
                                </a:moveTo>
                                <a:lnTo>
                                  <a:pt x="6096" y="0"/>
                                </a:lnTo>
                                <a:lnTo>
                                  <a:pt x="0" y="0"/>
                                </a:lnTo>
                                <a:lnTo>
                                  <a:pt x="0" y="6108"/>
                                </a:lnTo>
                                <a:lnTo>
                                  <a:pt x="6096" y="6108"/>
                                </a:lnTo>
                                <a:lnTo>
                                  <a:pt x="871740" y="6108"/>
                                </a:lnTo>
                                <a:lnTo>
                                  <a:pt x="871740" y="0"/>
                                </a:lnTo>
                                <a:close/>
                              </a:path>
                            </a:pathLst>
                          </a:custGeom>
                          <a:solidFill>
                            <a:srgbClr val="BEBEBE"/>
                          </a:solidFill>
                        </wps:spPr>
                        <wps:bodyPr wrap="square" lIns="0" tIns="0" rIns="0" bIns="0" rtlCol="0">
                          <a:prstTxWarp prst="textNoShape">
                            <a:avLst/>
                          </a:prstTxWarp>
                          <a:noAutofit/>
                        </wps:bodyPr>
                      </wps:wsp>
                      <wps:wsp>
                        <wps:cNvPr id="300" name="Graphic 300"/>
                        <wps:cNvSpPr/>
                        <wps:spPr>
                          <a:xfrm>
                            <a:off x="2581655" y="188976"/>
                            <a:ext cx="1143000" cy="36830"/>
                          </a:xfrm>
                          <a:custGeom>
                            <a:avLst/>
                            <a:gdLst/>
                            <a:ahLst/>
                            <a:cxnLst/>
                            <a:rect l="l" t="t" r="r" b="b"/>
                            <a:pathLst>
                              <a:path w="1143000" h="36830">
                                <a:moveTo>
                                  <a:pt x="1143000" y="0"/>
                                </a:moveTo>
                                <a:lnTo>
                                  <a:pt x="0" y="0"/>
                                </a:lnTo>
                                <a:lnTo>
                                  <a:pt x="0" y="36575"/>
                                </a:lnTo>
                                <a:lnTo>
                                  <a:pt x="1143000" y="36575"/>
                                </a:lnTo>
                                <a:lnTo>
                                  <a:pt x="1143000" y="0"/>
                                </a:lnTo>
                                <a:close/>
                              </a:path>
                            </a:pathLst>
                          </a:custGeom>
                          <a:solidFill>
                            <a:srgbClr val="A7A9AC"/>
                          </a:solidFill>
                        </wps:spPr>
                        <wps:bodyPr wrap="square" lIns="0" tIns="0" rIns="0" bIns="0" rtlCol="0">
                          <a:prstTxWarp prst="textNoShape">
                            <a:avLst/>
                          </a:prstTxWarp>
                          <a:noAutofit/>
                        </wps:bodyPr>
                      </wps:wsp>
                      <wps:wsp>
                        <wps:cNvPr id="301" name="Graphic 301"/>
                        <wps:cNvSpPr/>
                        <wps:spPr>
                          <a:xfrm>
                            <a:off x="2572512" y="225551"/>
                            <a:ext cx="3266440" cy="6350"/>
                          </a:xfrm>
                          <a:custGeom>
                            <a:avLst/>
                            <a:gdLst/>
                            <a:ahLst/>
                            <a:cxnLst/>
                            <a:rect l="l" t="t" r="r" b="b"/>
                            <a:pathLst>
                              <a:path w="3266440" h="6350">
                                <a:moveTo>
                                  <a:pt x="3265932" y="0"/>
                                </a:moveTo>
                                <a:lnTo>
                                  <a:pt x="3265932" y="0"/>
                                </a:lnTo>
                                <a:lnTo>
                                  <a:pt x="0" y="0"/>
                                </a:lnTo>
                                <a:lnTo>
                                  <a:pt x="0" y="6108"/>
                                </a:lnTo>
                                <a:lnTo>
                                  <a:pt x="3265932" y="6108"/>
                                </a:lnTo>
                                <a:lnTo>
                                  <a:pt x="3265932" y="0"/>
                                </a:lnTo>
                                <a:close/>
                              </a:path>
                            </a:pathLst>
                          </a:custGeom>
                          <a:solidFill>
                            <a:srgbClr val="BEBEBE"/>
                          </a:solidFill>
                        </wps:spPr>
                        <wps:bodyPr wrap="square" lIns="0" tIns="0" rIns="0" bIns="0" rtlCol="0">
                          <a:prstTxWarp prst="textNoShape">
                            <a:avLst/>
                          </a:prstTxWarp>
                          <a:noAutofit/>
                        </wps:bodyPr>
                      </wps:wsp>
                      <wps:wsp>
                        <wps:cNvPr id="302" name="Textbox 302"/>
                        <wps:cNvSpPr txBox="1"/>
                        <wps:spPr>
                          <a:xfrm>
                            <a:off x="77723" y="62102"/>
                            <a:ext cx="320040" cy="114300"/>
                          </a:xfrm>
                          <a:prstGeom prst="rect">
                            <a:avLst/>
                          </a:prstGeom>
                        </wps:spPr>
                        <wps:txbx>
                          <w:txbxContent>
                            <w:p w14:paraId="6F4D6AAD" w14:textId="77777777" w:rsidR="00BC24A8" w:rsidRDefault="00000000">
                              <w:pPr>
                                <w:spacing w:line="180" w:lineRule="exact"/>
                                <w:rPr>
                                  <w:rFonts w:ascii="Calibri"/>
                                  <w:b/>
                                  <w:sz w:val="18"/>
                                </w:rPr>
                              </w:pPr>
                              <w:r>
                                <w:rPr>
                                  <w:rFonts w:ascii="Calibri"/>
                                  <w:b/>
                                  <w:color w:val="FFFFFF"/>
                                  <w:spacing w:val="-2"/>
                                  <w:sz w:val="18"/>
                                </w:rPr>
                                <w:t>TOTAL</w:t>
                              </w:r>
                            </w:p>
                          </w:txbxContent>
                        </wps:txbx>
                        <wps:bodyPr wrap="square" lIns="0" tIns="0" rIns="0" bIns="0" rtlCol="0">
                          <a:noAutofit/>
                        </wps:bodyPr>
                      </wps:wsp>
                      <wps:wsp>
                        <wps:cNvPr id="303" name="Textbox 303"/>
                        <wps:cNvSpPr txBox="1"/>
                        <wps:spPr>
                          <a:xfrm>
                            <a:off x="2770632" y="62102"/>
                            <a:ext cx="774065" cy="114300"/>
                          </a:xfrm>
                          <a:prstGeom prst="rect">
                            <a:avLst/>
                          </a:prstGeom>
                        </wps:spPr>
                        <wps:txbx>
                          <w:txbxContent>
                            <w:p w14:paraId="5DEA143C" w14:textId="77777777" w:rsidR="00BC24A8" w:rsidRDefault="00000000">
                              <w:pPr>
                                <w:spacing w:line="180" w:lineRule="exact"/>
                                <w:rPr>
                                  <w:rFonts w:ascii="Calibri"/>
                                  <w:b/>
                                  <w:sz w:val="18"/>
                                </w:rPr>
                              </w:pPr>
                              <w:r>
                                <w:rPr>
                                  <w:rFonts w:ascii="Calibri"/>
                                  <w:b/>
                                  <w:color w:val="FFFFFF"/>
                                  <w:sz w:val="18"/>
                                </w:rPr>
                                <w:t>Rp.</w:t>
                              </w:r>
                              <w:r>
                                <w:rPr>
                                  <w:rFonts w:ascii="Calibri"/>
                                  <w:b/>
                                  <w:color w:val="FFFFFF"/>
                                  <w:spacing w:val="-2"/>
                                  <w:sz w:val="18"/>
                                </w:rPr>
                                <w:t xml:space="preserve"> 372,511,972</w:t>
                              </w:r>
                            </w:p>
                          </w:txbxContent>
                        </wps:txbx>
                        <wps:bodyPr wrap="square" lIns="0" tIns="0" rIns="0" bIns="0" rtlCol="0">
                          <a:noAutofit/>
                        </wps:bodyPr>
                      </wps:wsp>
                    </wpg:wgp>
                  </a:graphicData>
                </a:graphic>
              </wp:anchor>
            </w:drawing>
          </mc:Choice>
          <mc:Fallback>
            <w:pict>
              <v:group w14:anchorId="20EB3D55" id="Group 295" o:spid="_x0000_s1082" alt="&quot;&quot;" style="position:absolute;margin-left:70.2pt;margin-top:4.9pt;width:459.75pt;height:18.25pt;z-index:-15683072;mso-wrap-distance-left:0;mso-wrap-distance-right:0;mso-position-horizontal-relative:page;mso-position-vertical-relative:text" coordsize="58388,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">
                <v:shape id="Graphic 296" o:spid="_x0000_s1083" style="position:absolute;left:91;width:58293;height:2260;visibility:visible;mso-wrap-style:square;v-text-anchor:top" coordsize="582930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" path="m1700784,188988r-13,-150888l1700771,1524r,-1524l,,,1524,,38100,,188988r,36564l1700771,225552r13,-36564xem5829300,r,l1728216,r,1524l1728216,38100r,187452l2570988,225552r1143000,l5829300,225552r,-187452l5829300,1524r,-1524xe" fillcolor="#a7a9ac" stroked="f">
                  <v:path arrowok="t"/>
                </v:shape>
                <v:shape id="Graphic 297" o:spid="_x0000_s1084" style="position:absolute;top:2255;width:17100;height:64;visibility:visible;mso-wrap-style:square;v-text-anchor:top" coordsize="17100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" path="m1709927,l,,,6096r1709927,l1709927,xe" fillcolor="#bebebe" stroked="f">
                  <v:path arrowok="t"/>
                </v:shape>
                <v:shape id="Graphic 298" o:spid="_x0000_s1085" style="position:absolute;left:17373;top:1889;width:8446;height:369;visibility:visible;mso-wrap-style:square;v-text-anchor:top" coordsize="84455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" path="m,36575r844296,l844296,,,,,36575xe" fillcolor="#a7a9ac" stroked="f">
                  <v:path arrowok="t"/>
                </v:shape>
                <v:shape id="Graphic 299" o:spid="_x0000_s1086" style="position:absolute;left:17099;top:2255;width:8718;height:64;visibility:visible;mso-wrap-style:square;v-text-anchor:top" coordsize="8718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" path="m871740,l6096,,,,,6108r6096,l871740,6108r,-6108xe" fillcolor="#bebebe" stroked="f">
                  <v:path arrowok="t"/>
                </v:shape>
                <v:shape id="Graphic 300" o:spid="_x0000_s1087" style="position:absolute;left:25816;top:1889;width:11430;height:369;visibility:visible;mso-wrap-style:square;v-text-anchor:top" coordsize="11430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" path="m1143000,l,,,36575r1143000,l1143000,xe" fillcolor="#a7a9ac" stroked="f">
                  <v:path arrowok="t"/>
                </v:shape>
                <v:shape id="Graphic 301" o:spid="_x0000_s1088" style="position:absolute;left:25725;top:2255;width:32664;height:64;visibility:visible;mso-wrap-style:square;v-text-anchor:top" coordsize="32664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" path="m3265932,r,l,,,6108r3265932,l3265932,xe" fillcolor="#bebebe" stroked="f">
                  <v:path arrowok="t"/>
                </v:shape>
                <v:shape id="Textbox 302" o:spid="_x0000_s1089" type="#_x0000_t202" style="position:absolute;left:777;top:621;width:32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4D6AAD" w14:textId="77777777" w:rsidR="00BC24A8" w:rsidRDefault="00000000">
                        <w:pPr>
                          <w:spacing w:line="180" w:lineRule="exact"/>
                          <w:rPr>
                            <w:rFonts w:ascii="Calibri"/>
                            <w:b/>
                            <w:sz w:val="18"/>
                          </w:rPr>
                        </w:pPr>
                        <w:r>
                          <w:rPr>
                            <w:rFonts w:ascii="Calibri"/>
                            <w:b/>
                            <w:color w:val="FFFFFF"/>
                            <w:spacing w:val="-2"/>
                            <w:sz w:val="18"/>
                          </w:rPr>
                          <w:t>TOTAL</w:t>
                        </w:r>
                      </w:p>
                    </w:txbxContent>
                  </v:textbox>
                </v:shape>
                <v:shape id="Textbox 303" o:spid="_x0000_s1090" type="#_x0000_t202" style="position:absolute;left:27706;top:621;width:77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5DEA143C" w14:textId="77777777" w:rsidR="00BC24A8" w:rsidRDefault="00000000">
                        <w:pPr>
                          <w:spacing w:line="180" w:lineRule="exact"/>
                          <w:rPr>
                            <w:rFonts w:ascii="Calibri"/>
                            <w:b/>
                            <w:sz w:val="18"/>
                          </w:rPr>
                        </w:pPr>
                        <w:r>
                          <w:rPr>
                            <w:rFonts w:ascii="Calibri"/>
                            <w:b/>
                            <w:color w:val="FFFFFF"/>
                            <w:sz w:val="18"/>
                          </w:rPr>
                          <w:t>Rp.</w:t>
                        </w:r>
                        <w:r>
                          <w:rPr>
                            <w:rFonts w:ascii="Calibri"/>
                            <w:b/>
                            <w:color w:val="FFFFFF"/>
                            <w:spacing w:val="-2"/>
                            <w:sz w:val="18"/>
                          </w:rPr>
                          <w:t xml:space="preserve"> 372,511,972</w:t>
                        </w:r>
                      </w:p>
                    </w:txbxContent>
                  </v:textbox>
                </v:shape>
                <w10:wrap type="topAndBottom" anchorx="page"/>
              </v:group>
            </w:pict>
          </mc:Fallback>
        </mc:AlternateContent>
      </w:r>
    </w:p>
    <w:p w14:paraId="03D2D9AC" w14:textId="77777777" w:rsidR="00BC24A8" w:rsidRDefault="00000000">
      <w:pPr>
        <w:spacing w:before="119"/>
        <w:ind w:left="265"/>
        <w:rPr>
          <w:sz w:val="16"/>
        </w:rPr>
      </w:pPr>
      <w:r>
        <w:rPr>
          <w:sz w:val="16"/>
        </w:rPr>
        <w:t>Data</w:t>
      </w:r>
      <w:r>
        <w:rPr>
          <w:spacing w:val="-4"/>
          <w:sz w:val="16"/>
        </w:rPr>
        <w:t xml:space="preserve"> </w:t>
      </w:r>
      <w:r>
        <w:rPr>
          <w:sz w:val="16"/>
        </w:rPr>
        <w:t>source:</w:t>
      </w:r>
      <w:r>
        <w:rPr>
          <w:spacing w:val="-4"/>
          <w:sz w:val="16"/>
        </w:rPr>
        <w:t xml:space="preserve"> </w:t>
      </w:r>
      <w:r>
        <w:rPr>
          <w:sz w:val="16"/>
        </w:rPr>
        <w:t>SKALA</w:t>
      </w:r>
      <w:r>
        <w:rPr>
          <w:spacing w:val="-3"/>
          <w:sz w:val="16"/>
        </w:rPr>
        <w:t xml:space="preserve"> </w:t>
      </w:r>
      <w:r>
        <w:rPr>
          <w:sz w:val="16"/>
        </w:rPr>
        <w:t>MIS</w:t>
      </w:r>
      <w:r>
        <w:rPr>
          <w:spacing w:val="-6"/>
          <w:sz w:val="16"/>
        </w:rPr>
        <w:t xml:space="preserve"> </w:t>
      </w:r>
      <w:r>
        <w:rPr>
          <w:sz w:val="16"/>
        </w:rPr>
        <w:t>as</w:t>
      </w:r>
      <w:r>
        <w:rPr>
          <w:spacing w:val="-6"/>
          <w:sz w:val="16"/>
        </w:rPr>
        <w:t xml:space="preserve"> </w:t>
      </w:r>
      <w:r>
        <w:rPr>
          <w:sz w:val="16"/>
        </w:rPr>
        <w:t>of</w:t>
      </w:r>
      <w:r>
        <w:rPr>
          <w:spacing w:val="-5"/>
          <w:sz w:val="16"/>
        </w:rPr>
        <w:t xml:space="preserve"> </w:t>
      </w:r>
      <w:r>
        <w:rPr>
          <w:sz w:val="16"/>
        </w:rPr>
        <w:t>August</w:t>
      </w:r>
      <w:r>
        <w:rPr>
          <w:spacing w:val="-4"/>
          <w:sz w:val="16"/>
        </w:rPr>
        <w:t xml:space="preserve"> </w:t>
      </w:r>
      <w:r>
        <w:rPr>
          <w:sz w:val="16"/>
        </w:rPr>
        <w:t>1,</w:t>
      </w:r>
      <w:r>
        <w:rPr>
          <w:spacing w:val="-5"/>
          <w:sz w:val="16"/>
        </w:rPr>
        <w:t xml:space="preserve"> </w:t>
      </w:r>
      <w:r>
        <w:rPr>
          <w:spacing w:val="-4"/>
          <w:sz w:val="16"/>
        </w:rPr>
        <w:t>2025</w:t>
      </w:r>
    </w:p>
    <w:p w14:paraId="4AF5484B" w14:textId="77777777" w:rsidR="00BC24A8" w:rsidRDefault="00BC24A8">
      <w:pPr>
        <w:pStyle w:val="BodyText"/>
        <w:rPr>
          <w:sz w:val="16"/>
        </w:rPr>
      </w:pPr>
    </w:p>
    <w:p w14:paraId="3EE3308D" w14:textId="77777777" w:rsidR="00BC24A8" w:rsidRDefault="00BC24A8">
      <w:pPr>
        <w:pStyle w:val="BodyText"/>
        <w:spacing w:before="110"/>
        <w:rPr>
          <w:sz w:val="16"/>
        </w:rPr>
      </w:pPr>
    </w:p>
    <w:p w14:paraId="2CCA59C1" w14:textId="77777777" w:rsidR="00BC24A8" w:rsidRDefault="00000000">
      <w:pPr>
        <w:pStyle w:val="BodyText"/>
        <w:ind w:left="143"/>
        <w:rPr>
          <w:rFonts w:ascii="Calibri"/>
        </w:rPr>
      </w:pPr>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3"/>
        </w:rPr>
        <w:t xml:space="preserve"> </w:t>
      </w:r>
      <w:r>
        <w:rPr>
          <w:rFonts w:ascii="Calibri"/>
          <w:color w:val="272727"/>
        </w:rPr>
        <w:t>at</w:t>
      </w:r>
      <w:r>
        <w:rPr>
          <w:rFonts w:ascii="Calibri"/>
          <w:color w:val="272727"/>
          <w:spacing w:val="-4"/>
        </w:rPr>
        <w:t xml:space="preserve"> </w:t>
      </w:r>
      <w:r>
        <w:rPr>
          <w:rFonts w:ascii="Calibri"/>
          <w:color w:val="272727"/>
        </w:rPr>
        <w:t>the</w:t>
      </w:r>
      <w:r>
        <w:rPr>
          <w:rFonts w:ascii="Calibri"/>
          <w:color w:val="272727"/>
          <w:spacing w:val="-5"/>
        </w:rPr>
        <w:t xml:space="preserve"> </w:t>
      </w:r>
      <w:r>
        <w:rPr>
          <w:rFonts w:ascii="Calibri"/>
          <w:color w:val="272727"/>
        </w:rPr>
        <w:t>Output</w:t>
      </w:r>
      <w:r>
        <w:rPr>
          <w:rFonts w:ascii="Calibri"/>
          <w:color w:val="272727"/>
          <w:spacing w:val="-2"/>
        </w:rPr>
        <w:t xml:space="preserve"> </w:t>
      </w:r>
      <w:r>
        <w:rPr>
          <w:rFonts w:ascii="Calibri"/>
          <w:color w:val="272727"/>
          <w:spacing w:val="-4"/>
        </w:rPr>
        <w:t>level</w:t>
      </w:r>
    </w:p>
    <w:p w14:paraId="69E2145B" w14:textId="77777777" w:rsidR="00BC24A8" w:rsidRDefault="00BC24A8">
      <w:pPr>
        <w:pStyle w:val="BodyText"/>
        <w:spacing w:before="36"/>
        <w:rPr>
          <w:rFonts w:ascii="Calibri"/>
        </w:rPr>
      </w:pPr>
    </w:p>
    <w:p w14:paraId="2133DFB2" w14:textId="77777777" w:rsidR="00BC24A8" w:rsidRDefault="00000000">
      <w:pPr>
        <w:pStyle w:val="Heading5"/>
        <w:spacing w:before="1"/>
      </w:pPr>
      <w:bookmarkStart w:id="237" w:name="_bookmark166"/>
      <w:bookmarkEnd w:id="237"/>
      <w:r>
        <w:rPr>
          <w:color w:val="767070"/>
        </w:rPr>
        <w:t>Table</w:t>
      </w:r>
      <w:r>
        <w:rPr>
          <w:color w:val="767070"/>
          <w:spacing w:val="-7"/>
        </w:rPr>
        <w:t xml:space="preserve"> </w:t>
      </w:r>
      <w:r>
        <w:rPr>
          <w:color w:val="767070"/>
        </w:rPr>
        <w:t>25:</w:t>
      </w:r>
      <w:r>
        <w:rPr>
          <w:color w:val="767070"/>
          <w:spacing w:val="-7"/>
        </w:rPr>
        <w:t xml:space="preserve"> </w:t>
      </w:r>
      <w:r>
        <w:rPr>
          <w:color w:val="767070"/>
        </w:rPr>
        <w:t>Table</w:t>
      </w:r>
      <w:r>
        <w:rPr>
          <w:color w:val="767070"/>
          <w:spacing w:val="-6"/>
        </w:rPr>
        <w:t xml:space="preserve"> </w:t>
      </w:r>
      <w:r>
        <w:rPr>
          <w:color w:val="767070"/>
        </w:rPr>
        <w:t>of</w:t>
      </w:r>
      <w:r>
        <w:rPr>
          <w:color w:val="767070"/>
          <w:spacing w:val="-7"/>
        </w:rPr>
        <w:t xml:space="preserve"> </w:t>
      </w:r>
      <w:r>
        <w:rPr>
          <w:color w:val="767070"/>
        </w:rPr>
        <w:t>summary</w:t>
      </w:r>
      <w:r>
        <w:rPr>
          <w:color w:val="767070"/>
          <w:spacing w:val="-5"/>
        </w:rPr>
        <w:t xml:space="preserve"> </w:t>
      </w:r>
      <w:r>
        <w:rPr>
          <w:color w:val="767070"/>
        </w:rPr>
        <w:t>of</w:t>
      </w:r>
      <w:r>
        <w:rPr>
          <w:color w:val="767070"/>
          <w:spacing w:val="-6"/>
        </w:rPr>
        <w:t xml:space="preserve"> </w:t>
      </w:r>
      <w:r>
        <w:rPr>
          <w:color w:val="767070"/>
        </w:rPr>
        <w:t>FY</w:t>
      </w:r>
      <w:r>
        <w:rPr>
          <w:color w:val="767070"/>
          <w:spacing w:val="-7"/>
        </w:rPr>
        <w:t xml:space="preserve"> </w:t>
      </w:r>
      <w:r>
        <w:rPr>
          <w:color w:val="767070"/>
        </w:rPr>
        <w:t>2024/2025</w:t>
      </w:r>
      <w:r>
        <w:rPr>
          <w:color w:val="767070"/>
          <w:spacing w:val="-7"/>
        </w:rPr>
        <w:t xml:space="preserve"> </w:t>
      </w:r>
      <w:r>
        <w:rPr>
          <w:color w:val="767070"/>
        </w:rPr>
        <w:t>work</w:t>
      </w:r>
      <w:r>
        <w:rPr>
          <w:color w:val="767070"/>
          <w:spacing w:val="-5"/>
        </w:rPr>
        <w:t xml:space="preserve"> </w:t>
      </w:r>
      <w:r>
        <w:rPr>
          <w:color w:val="767070"/>
        </w:rPr>
        <w:t>plan</w:t>
      </w:r>
      <w:r>
        <w:rPr>
          <w:color w:val="767070"/>
          <w:spacing w:val="-7"/>
        </w:rPr>
        <w:t xml:space="preserve"> </w:t>
      </w:r>
      <w:r>
        <w:rPr>
          <w:color w:val="767070"/>
        </w:rPr>
        <w:t>outputs</w:t>
      </w:r>
      <w:r>
        <w:rPr>
          <w:color w:val="767070"/>
          <w:spacing w:val="-5"/>
        </w:rPr>
        <w:t xml:space="preserve"> </w:t>
      </w:r>
      <w:r>
        <w:rPr>
          <w:color w:val="767070"/>
        </w:rPr>
        <w:t>as</w:t>
      </w:r>
      <w:r>
        <w:rPr>
          <w:color w:val="767070"/>
          <w:spacing w:val="-4"/>
        </w:rPr>
        <w:t xml:space="preserve"> </w:t>
      </w:r>
      <w:r>
        <w:rPr>
          <w:color w:val="767070"/>
        </w:rPr>
        <w:t>of</w:t>
      </w:r>
      <w:r>
        <w:rPr>
          <w:color w:val="767070"/>
          <w:spacing w:val="-6"/>
        </w:rPr>
        <w:t xml:space="preserve"> </w:t>
      </w:r>
      <w:r>
        <w:rPr>
          <w:color w:val="767070"/>
        </w:rPr>
        <w:t>June</w:t>
      </w:r>
      <w:r>
        <w:rPr>
          <w:color w:val="767070"/>
          <w:spacing w:val="-6"/>
        </w:rPr>
        <w:t xml:space="preserve"> </w:t>
      </w:r>
      <w:r>
        <w:rPr>
          <w:color w:val="767070"/>
          <w:spacing w:val="-4"/>
        </w:rPr>
        <w:t>2025</w:t>
      </w:r>
    </w:p>
    <w:p w14:paraId="5E197412" w14:textId="77777777" w:rsidR="00BC24A8" w:rsidRDefault="00BC24A8">
      <w:pPr>
        <w:pStyle w:val="BodyText"/>
        <w:spacing w:before="12"/>
        <w:rPr>
          <w:rFonts w:ascii="Calibri"/>
          <w:b/>
          <w:sz w:val="15"/>
        </w:rPr>
      </w:pPr>
    </w:p>
    <w:tbl>
      <w:tblPr>
        <w:tblW w:w="0" w:type="auto"/>
        <w:tblInd w:w="143" w:type="dxa"/>
        <w:tblLayout w:type="fixed"/>
        <w:tblCellMar>
          <w:left w:w="0" w:type="dxa"/>
          <w:right w:w="0" w:type="dxa"/>
        </w:tblCellMar>
        <w:tblLook w:val="01E0" w:firstRow="1" w:lastRow="1" w:firstColumn="1" w:lastColumn="1" w:noHBand="0" w:noVBand="0"/>
      </w:tblPr>
      <w:tblGrid>
        <w:gridCol w:w="1848"/>
        <w:gridCol w:w="2158"/>
        <w:gridCol w:w="2201"/>
        <w:gridCol w:w="2871"/>
      </w:tblGrid>
      <w:tr w:rsidR="00BC24A8" w14:paraId="106FFDEF" w14:textId="77777777">
        <w:trPr>
          <w:trHeight w:val="398"/>
        </w:trPr>
        <w:tc>
          <w:tcPr>
            <w:tcW w:w="1848" w:type="dxa"/>
            <w:shd w:val="clear" w:color="auto" w:fill="17365A"/>
          </w:tcPr>
          <w:p w14:paraId="1186D087" w14:textId="77777777" w:rsidR="00BC24A8" w:rsidRDefault="00000000">
            <w:pPr>
              <w:pStyle w:val="TableParagraph"/>
              <w:spacing w:before="78"/>
              <w:ind w:left="115"/>
              <w:rPr>
                <w:rFonts w:ascii="Calibri"/>
                <w:b/>
                <w:sz w:val="20"/>
              </w:rPr>
            </w:pPr>
            <w:r>
              <w:rPr>
                <w:rFonts w:ascii="Calibri"/>
                <w:b/>
                <w:color w:val="FFFFFF"/>
                <w:spacing w:val="-2"/>
                <w:sz w:val="20"/>
              </w:rPr>
              <w:t>Theme</w:t>
            </w:r>
          </w:p>
        </w:tc>
        <w:tc>
          <w:tcPr>
            <w:tcW w:w="2158" w:type="dxa"/>
            <w:shd w:val="clear" w:color="auto" w:fill="17365A"/>
          </w:tcPr>
          <w:p w14:paraId="7BFA736D" w14:textId="77777777" w:rsidR="00BC24A8" w:rsidRDefault="00000000">
            <w:pPr>
              <w:pStyle w:val="TableParagraph"/>
              <w:spacing w:before="78"/>
              <w:ind w:left="1"/>
              <w:jc w:val="center"/>
              <w:rPr>
                <w:rFonts w:ascii="Calibri"/>
                <w:b/>
                <w:sz w:val="20"/>
              </w:rPr>
            </w:pPr>
            <w:r>
              <w:rPr>
                <w:rFonts w:ascii="Calibri"/>
                <w:b/>
                <w:color w:val="FFFFFF"/>
                <w:spacing w:val="-2"/>
                <w:sz w:val="20"/>
              </w:rPr>
              <w:t>Completed</w:t>
            </w:r>
          </w:p>
        </w:tc>
        <w:tc>
          <w:tcPr>
            <w:tcW w:w="2201" w:type="dxa"/>
            <w:shd w:val="clear" w:color="auto" w:fill="17365A"/>
          </w:tcPr>
          <w:p w14:paraId="522B1921" w14:textId="77777777" w:rsidR="00BC24A8" w:rsidRDefault="00000000">
            <w:pPr>
              <w:pStyle w:val="TableParagraph"/>
              <w:spacing w:before="78"/>
              <w:ind w:left="4" w:right="1"/>
              <w:jc w:val="center"/>
              <w:rPr>
                <w:rFonts w:ascii="Calibri"/>
                <w:b/>
                <w:sz w:val="20"/>
              </w:rPr>
            </w:pPr>
            <w:r>
              <w:rPr>
                <w:rFonts w:ascii="Calibri"/>
                <w:b/>
                <w:color w:val="FFFFFF"/>
                <w:sz w:val="20"/>
              </w:rPr>
              <w:t>Not</w:t>
            </w:r>
            <w:r>
              <w:rPr>
                <w:rFonts w:ascii="Calibri"/>
                <w:b/>
                <w:color w:val="FFFFFF"/>
                <w:spacing w:val="-4"/>
                <w:sz w:val="20"/>
              </w:rPr>
              <w:t xml:space="preserve"> </w:t>
            </w:r>
            <w:r>
              <w:rPr>
                <w:rFonts w:ascii="Calibri"/>
                <w:b/>
                <w:color w:val="FFFFFF"/>
                <w:spacing w:val="-2"/>
                <w:sz w:val="20"/>
              </w:rPr>
              <w:t>Started</w:t>
            </w:r>
          </w:p>
        </w:tc>
        <w:tc>
          <w:tcPr>
            <w:tcW w:w="2871" w:type="dxa"/>
            <w:shd w:val="clear" w:color="auto" w:fill="17365A"/>
          </w:tcPr>
          <w:p w14:paraId="5A6FDCA1" w14:textId="77777777" w:rsidR="00BC24A8" w:rsidRDefault="00000000">
            <w:pPr>
              <w:pStyle w:val="TableParagraph"/>
              <w:spacing w:before="78"/>
              <w:ind w:left="1" w:right="2"/>
              <w:jc w:val="center"/>
              <w:rPr>
                <w:rFonts w:ascii="Calibri"/>
                <w:b/>
                <w:sz w:val="20"/>
              </w:rPr>
            </w:pPr>
            <w:r>
              <w:rPr>
                <w:rFonts w:ascii="Calibri"/>
                <w:b/>
                <w:color w:val="FFFFFF"/>
                <w:spacing w:val="-2"/>
                <w:sz w:val="20"/>
              </w:rPr>
              <w:t>Ongoing</w:t>
            </w:r>
          </w:p>
        </w:tc>
      </w:tr>
      <w:tr w:rsidR="00BC24A8" w14:paraId="3906344D" w14:textId="77777777">
        <w:trPr>
          <w:trHeight w:val="441"/>
        </w:trPr>
        <w:tc>
          <w:tcPr>
            <w:tcW w:w="1848" w:type="dxa"/>
            <w:tcBorders>
              <w:bottom w:val="single" w:sz="4" w:space="0" w:color="BEBEBE"/>
            </w:tcBorders>
          </w:tcPr>
          <w:p w14:paraId="336D6D73" w14:textId="77777777" w:rsidR="00BC24A8" w:rsidRDefault="00000000">
            <w:pPr>
              <w:pStyle w:val="TableParagraph"/>
              <w:spacing w:before="102"/>
              <w:ind w:left="115"/>
              <w:rPr>
                <w:sz w:val="18"/>
              </w:rPr>
            </w:pPr>
            <w:r>
              <w:rPr>
                <w:spacing w:val="-5"/>
                <w:sz w:val="18"/>
              </w:rPr>
              <w:t>DNA</w:t>
            </w:r>
          </w:p>
        </w:tc>
        <w:tc>
          <w:tcPr>
            <w:tcW w:w="2158" w:type="dxa"/>
            <w:tcBorders>
              <w:bottom w:val="single" w:sz="4" w:space="0" w:color="BEBEBE"/>
            </w:tcBorders>
          </w:tcPr>
          <w:p w14:paraId="080CB464" w14:textId="77777777" w:rsidR="00BC24A8" w:rsidRDefault="00000000">
            <w:pPr>
              <w:pStyle w:val="TableParagraph"/>
              <w:spacing w:before="133"/>
              <w:ind w:left="1" w:right="1"/>
              <w:jc w:val="center"/>
              <w:rPr>
                <w:sz w:val="18"/>
              </w:rPr>
            </w:pPr>
            <w:r>
              <w:rPr>
                <w:spacing w:val="-10"/>
                <w:sz w:val="18"/>
              </w:rPr>
              <w:t>1</w:t>
            </w:r>
          </w:p>
        </w:tc>
        <w:tc>
          <w:tcPr>
            <w:tcW w:w="2201" w:type="dxa"/>
            <w:tcBorders>
              <w:bottom w:val="single" w:sz="4" w:space="0" w:color="BEBEBE"/>
            </w:tcBorders>
          </w:tcPr>
          <w:p w14:paraId="6A710B1C" w14:textId="77777777" w:rsidR="00BC24A8" w:rsidRDefault="00000000">
            <w:pPr>
              <w:pStyle w:val="TableParagraph"/>
              <w:spacing w:before="133"/>
              <w:ind w:left="3" w:right="2"/>
              <w:jc w:val="center"/>
              <w:rPr>
                <w:sz w:val="18"/>
              </w:rPr>
            </w:pPr>
            <w:r>
              <w:rPr>
                <w:spacing w:val="-10"/>
                <w:sz w:val="18"/>
              </w:rPr>
              <w:t>5</w:t>
            </w:r>
          </w:p>
        </w:tc>
        <w:tc>
          <w:tcPr>
            <w:tcW w:w="2871" w:type="dxa"/>
            <w:tcBorders>
              <w:bottom w:val="single" w:sz="4" w:space="0" w:color="BEBEBE"/>
            </w:tcBorders>
          </w:tcPr>
          <w:p w14:paraId="0DC42683" w14:textId="77777777" w:rsidR="00BC24A8" w:rsidRDefault="00000000">
            <w:pPr>
              <w:pStyle w:val="TableParagraph"/>
              <w:spacing w:before="133"/>
              <w:ind w:left="1" w:right="2"/>
              <w:jc w:val="center"/>
              <w:rPr>
                <w:sz w:val="18"/>
              </w:rPr>
            </w:pPr>
            <w:r>
              <w:rPr>
                <w:spacing w:val="-10"/>
                <w:sz w:val="18"/>
              </w:rPr>
              <w:t>6</w:t>
            </w:r>
          </w:p>
        </w:tc>
      </w:tr>
      <w:tr w:rsidR="00BC24A8" w14:paraId="5C390439" w14:textId="77777777">
        <w:trPr>
          <w:trHeight w:val="397"/>
        </w:trPr>
        <w:tc>
          <w:tcPr>
            <w:tcW w:w="1848" w:type="dxa"/>
            <w:tcBorders>
              <w:top w:val="single" w:sz="4" w:space="0" w:color="BEBEBE"/>
              <w:bottom w:val="single" w:sz="4" w:space="0" w:color="BEBEBE"/>
            </w:tcBorders>
          </w:tcPr>
          <w:p w14:paraId="3E11371A" w14:textId="77777777" w:rsidR="00BC24A8" w:rsidRDefault="00000000">
            <w:pPr>
              <w:pStyle w:val="TableParagraph"/>
              <w:spacing w:before="59"/>
              <w:ind w:left="115"/>
              <w:rPr>
                <w:sz w:val="18"/>
              </w:rPr>
            </w:pPr>
            <w:r>
              <w:rPr>
                <w:spacing w:val="-5"/>
                <w:sz w:val="18"/>
              </w:rPr>
              <w:t>MSS</w:t>
            </w:r>
          </w:p>
        </w:tc>
        <w:tc>
          <w:tcPr>
            <w:tcW w:w="2158" w:type="dxa"/>
            <w:tcBorders>
              <w:top w:val="single" w:sz="4" w:space="0" w:color="BEBEBE"/>
              <w:bottom w:val="single" w:sz="4" w:space="0" w:color="BEBEBE"/>
            </w:tcBorders>
          </w:tcPr>
          <w:p w14:paraId="357BC513" w14:textId="77777777" w:rsidR="00BC24A8" w:rsidRDefault="00000000">
            <w:pPr>
              <w:pStyle w:val="TableParagraph"/>
              <w:spacing w:before="90"/>
              <w:ind w:left="1" w:right="1"/>
              <w:jc w:val="center"/>
              <w:rPr>
                <w:sz w:val="18"/>
              </w:rPr>
            </w:pPr>
            <w:r>
              <w:rPr>
                <w:spacing w:val="-10"/>
                <w:sz w:val="18"/>
              </w:rPr>
              <w:t>2</w:t>
            </w:r>
          </w:p>
        </w:tc>
        <w:tc>
          <w:tcPr>
            <w:tcW w:w="2201" w:type="dxa"/>
            <w:tcBorders>
              <w:top w:val="single" w:sz="4" w:space="0" w:color="BEBEBE"/>
              <w:bottom w:val="single" w:sz="4" w:space="0" w:color="BEBEBE"/>
            </w:tcBorders>
          </w:tcPr>
          <w:p w14:paraId="68444191" w14:textId="77777777" w:rsidR="00BC24A8" w:rsidRDefault="00000000">
            <w:pPr>
              <w:pStyle w:val="TableParagraph"/>
              <w:spacing w:before="90"/>
              <w:ind w:left="3" w:right="2"/>
              <w:jc w:val="center"/>
              <w:rPr>
                <w:sz w:val="18"/>
              </w:rPr>
            </w:pPr>
            <w:r>
              <w:rPr>
                <w:spacing w:val="-5"/>
                <w:sz w:val="18"/>
              </w:rPr>
              <w:t>13</w:t>
            </w:r>
          </w:p>
        </w:tc>
        <w:tc>
          <w:tcPr>
            <w:tcW w:w="2871" w:type="dxa"/>
            <w:tcBorders>
              <w:top w:val="single" w:sz="4" w:space="0" w:color="BEBEBE"/>
              <w:bottom w:val="single" w:sz="4" w:space="0" w:color="BEBEBE"/>
            </w:tcBorders>
          </w:tcPr>
          <w:p w14:paraId="1D944573" w14:textId="77777777" w:rsidR="00BC24A8" w:rsidRDefault="00000000">
            <w:pPr>
              <w:pStyle w:val="TableParagraph"/>
              <w:spacing w:before="90"/>
              <w:ind w:left="1" w:right="2"/>
              <w:jc w:val="center"/>
              <w:rPr>
                <w:sz w:val="18"/>
              </w:rPr>
            </w:pPr>
            <w:r>
              <w:rPr>
                <w:spacing w:val="-5"/>
                <w:sz w:val="18"/>
              </w:rPr>
              <w:t>12</w:t>
            </w:r>
          </w:p>
        </w:tc>
      </w:tr>
      <w:tr w:rsidR="00BC24A8" w14:paraId="44AAC739" w14:textId="77777777">
        <w:trPr>
          <w:trHeight w:val="400"/>
        </w:trPr>
        <w:tc>
          <w:tcPr>
            <w:tcW w:w="1848" w:type="dxa"/>
            <w:tcBorders>
              <w:top w:val="single" w:sz="4" w:space="0" w:color="BEBEBE"/>
              <w:bottom w:val="single" w:sz="4" w:space="0" w:color="BEBEBE"/>
            </w:tcBorders>
          </w:tcPr>
          <w:p w14:paraId="1263E86F" w14:textId="77777777" w:rsidR="00BC24A8" w:rsidRDefault="00000000">
            <w:pPr>
              <w:pStyle w:val="TableParagraph"/>
              <w:spacing w:before="59"/>
              <w:ind w:left="115"/>
              <w:rPr>
                <w:sz w:val="18"/>
              </w:rPr>
            </w:pPr>
            <w:r>
              <w:rPr>
                <w:spacing w:val="-5"/>
                <w:sz w:val="18"/>
              </w:rPr>
              <w:t>PFM</w:t>
            </w:r>
          </w:p>
        </w:tc>
        <w:tc>
          <w:tcPr>
            <w:tcW w:w="2158" w:type="dxa"/>
            <w:tcBorders>
              <w:top w:val="single" w:sz="4" w:space="0" w:color="BEBEBE"/>
              <w:bottom w:val="single" w:sz="4" w:space="0" w:color="BEBEBE"/>
            </w:tcBorders>
          </w:tcPr>
          <w:p w14:paraId="1DD8A91E" w14:textId="77777777" w:rsidR="00BC24A8" w:rsidRDefault="00000000">
            <w:pPr>
              <w:pStyle w:val="TableParagraph"/>
              <w:spacing w:before="90"/>
              <w:ind w:left="1" w:right="1"/>
              <w:jc w:val="center"/>
              <w:rPr>
                <w:sz w:val="18"/>
              </w:rPr>
            </w:pPr>
            <w:r>
              <w:rPr>
                <w:spacing w:val="-10"/>
                <w:sz w:val="18"/>
              </w:rPr>
              <w:t>-</w:t>
            </w:r>
          </w:p>
        </w:tc>
        <w:tc>
          <w:tcPr>
            <w:tcW w:w="2201" w:type="dxa"/>
            <w:tcBorders>
              <w:top w:val="single" w:sz="4" w:space="0" w:color="BEBEBE"/>
              <w:bottom w:val="single" w:sz="4" w:space="0" w:color="BEBEBE"/>
            </w:tcBorders>
          </w:tcPr>
          <w:p w14:paraId="1BDC9F9E" w14:textId="77777777" w:rsidR="00BC24A8" w:rsidRDefault="00000000">
            <w:pPr>
              <w:pStyle w:val="TableParagraph"/>
              <w:spacing w:before="90"/>
              <w:ind w:left="3" w:right="2"/>
              <w:jc w:val="center"/>
              <w:rPr>
                <w:sz w:val="18"/>
              </w:rPr>
            </w:pPr>
            <w:r>
              <w:rPr>
                <w:spacing w:val="-10"/>
                <w:sz w:val="18"/>
              </w:rPr>
              <w:t>9</w:t>
            </w:r>
          </w:p>
        </w:tc>
        <w:tc>
          <w:tcPr>
            <w:tcW w:w="2871" w:type="dxa"/>
            <w:tcBorders>
              <w:top w:val="single" w:sz="4" w:space="0" w:color="BEBEBE"/>
              <w:bottom w:val="single" w:sz="4" w:space="0" w:color="BEBEBE"/>
            </w:tcBorders>
          </w:tcPr>
          <w:p w14:paraId="79E44151" w14:textId="77777777" w:rsidR="00BC24A8" w:rsidRDefault="00000000">
            <w:pPr>
              <w:pStyle w:val="TableParagraph"/>
              <w:spacing w:before="90"/>
              <w:ind w:right="2"/>
              <w:jc w:val="center"/>
              <w:rPr>
                <w:sz w:val="18"/>
              </w:rPr>
            </w:pPr>
            <w:r>
              <w:rPr>
                <w:spacing w:val="-10"/>
                <w:sz w:val="18"/>
              </w:rPr>
              <w:t>-</w:t>
            </w:r>
          </w:p>
        </w:tc>
      </w:tr>
    </w:tbl>
    <w:p w14:paraId="66A9A6DA" w14:textId="77777777" w:rsidR="00BC24A8" w:rsidRDefault="00000000">
      <w:pPr>
        <w:spacing w:before="125"/>
        <w:ind w:left="143"/>
        <w:rPr>
          <w:sz w:val="16"/>
        </w:rPr>
      </w:pPr>
      <w:r>
        <w:rPr>
          <w:sz w:val="16"/>
        </w:rPr>
        <w:t>Data</w:t>
      </w:r>
      <w:r>
        <w:rPr>
          <w:spacing w:val="-9"/>
          <w:sz w:val="16"/>
        </w:rPr>
        <w:t xml:space="preserve"> </w:t>
      </w:r>
      <w:r>
        <w:rPr>
          <w:sz w:val="16"/>
        </w:rPr>
        <w:t>source:</w:t>
      </w:r>
      <w:r>
        <w:rPr>
          <w:spacing w:val="-6"/>
          <w:sz w:val="16"/>
        </w:rPr>
        <w:t xml:space="preserve"> </w:t>
      </w:r>
      <w:r>
        <w:rPr>
          <w:sz w:val="16"/>
        </w:rPr>
        <w:t>MIS</w:t>
      </w:r>
      <w:r>
        <w:rPr>
          <w:spacing w:val="-6"/>
          <w:sz w:val="16"/>
        </w:rPr>
        <w:t xml:space="preserve"> </w:t>
      </w:r>
      <w:r>
        <w:rPr>
          <w:sz w:val="16"/>
        </w:rPr>
        <w:t>Data</w:t>
      </w:r>
      <w:r>
        <w:rPr>
          <w:spacing w:val="-4"/>
          <w:sz w:val="16"/>
        </w:rPr>
        <w:t xml:space="preserve"> </w:t>
      </w:r>
      <w:r>
        <w:rPr>
          <w:sz w:val="16"/>
        </w:rPr>
        <w:t>for</w:t>
      </w:r>
      <w:r>
        <w:rPr>
          <w:spacing w:val="-6"/>
          <w:sz w:val="16"/>
        </w:rPr>
        <w:t xml:space="preserve"> </w:t>
      </w:r>
      <w:r>
        <w:rPr>
          <w:sz w:val="16"/>
        </w:rPr>
        <w:t>Provincial</w:t>
      </w:r>
      <w:r>
        <w:rPr>
          <w:spacing w:val="-4"/>
          <w:sz w:val="16"/>
        </w:rPr>
        <w:t xml:space="preserve"> </w:t>
      </w:r>
      <w:r>
        <w:rPr>
          <w:sz w:val="16"/>
        </w:rPr>
        <w:t>Report</w:t>
      </w:r>
      <w:r>
        <w:rPr>
          <w:spacing w:val="-6"/>
          <w:sz w:val="16"/>
        </w:rPr>
        <w:t xml:space="preserve"> </w:t>
      </w:r>
      <w:r>
        <w:rPr>
          <w:sz w:val="16"/>
        </w:rPr>
        <w:t>as</w:t>
      </w:r>
      <w:r>
        <w:rPr>
          <w:spacing w:val="-4"/>
          <w:sz w:val="16"/>
        </w:rPr>
        <w:t xml:space="preserve"> </w:t>
      </w:r>
      <w:r>
        <w:rPr>
          <w:sz w:val="16"/>
        </w:rPr>
        <w:t>of</w:t>
      </w:r>
      <w:r>
        <w:rPr>
          <w:spacing w:val="-6"/>
          <w:sz w:val="16"/>
        </w:rPr>
        <w:t xml:space="preserve"> </w:t>
      </w:r>
      <w:r>
        <w:rPr>
          <w:sz w:val="16"/>
        </w:rPr>
        <w:t>28</w:t>
      </w:r>
      <w:r>
        <w:rPr>
          <w:spacing w:val="-5"/>
          <w:sz w:val="16"/>
        </w:rPr>
        <w:t xml:space="preserve"> </w:t>
      </w:r>
      <w:r>
        <w:rPr>
          <w:sz w:val="16"/>
        </w:rPr>
        <w:t>July</w:t>
      </w:r>
      <w:r>
        <w:rPr>
          <w:spacing w:val="-6"/>
          <w:sz w:val="16"/>
        </w:rPr>
        <w:t xml:space="preserve"> </w:t>
      </w:r>
      <w:r>
        <w:rPr>
          <w:spacing w:val="-4"/>
          <w:sz w:val="16"/>
        </w:rPr>
        <w:t>2025</w:t>
      </w:r>
    </w:p>
    <w:p w14:paraId="1572EE89" w14:textId="77777777" w:rsidR="00BC24A8" w:rsidRDefault="00BC24A8">
      <w:pPr>
        <w:pStyle w:val="BodyText"/>
        <w:rPr>
          <w:sz w:val="16"/>
        </w:rPr>
      </w:pPr>
    </w:p>
    <w:p w14:paraId="7535C27A" w14:textId="77777777" w:rsidR="00BC24A8" w:rsidRDefault="00BC24A8">
      <w:pPr>
        <w:pStyle w:val="BodyText"/>
        <w:spacing w:before="111"/>
        <w:rPr>
          <w:sz w:val="16"/>
        </w:rPr>
      </w:pPr>
    </w:p>
    <w:p w14:paraId="2A72B1D1" w14:textId="77777777" w:rsidR="00BC24A8" w:rsidRDefault="00000000">
      <w:pPr>
        <w:pStyle w:val="ListParagraph"/>
        <w:numPr>
          <w:ilvl w:val="1"/>
          <w:numId w:val="15"/>
        </w:numPr>
        <w:tabs>
          <w:tab w:val="left" w:pos="861"/>
          <w:tab w:val="left" w:pos="863"/>
        </w:tabs>
        <w:ind w:right="565" w:hanging="361"/>
        <w:rPr>
          <w:rFonts w:ascii="Symbol" w:hAnsi="Symbol"/>
        </w:rPr>
      </w:pPr>
      <w:r>
        <w:t>DNA: SKALA facilitated technical recommendations and the expansion of SIRIOS in Merauke District to strengthen capacity, institutional arrangements, planning, and budgeting.</w:t>
      </w:r>
    </w:p>
    <w:p w14:paraId="0D1C5D32" w14:textId="77777777" w:rsidR="00BC24A8" w:rsidRDefault="00000000">
      <w:pPr>
        <w:pStyle w:val="ListParagraph"/>
        <w:numPr>
          <w:ilvl w:val="1"/>
          <w:numId w:val="15"/>
        </w:numPr>
        <w:tabs>
          <w:tab w:val="left" w:pos="861"/>
          <w:tab w:val="left" w:pos="863"/>
        </w:tabs>
        <w:spacing w:before="1"/>
        <w:ind w:right="561" w:hanging="361"/>
        <w:rPr>
          <w:rFonts w:ascii="Symbol" w:hAnsi="Symbol"/>
        </w:rPr>
      </w:pPr>
      <w:r>
        <w:t>MSS:</w:t>
      </w:r>
      <w:r>
        <w:rPr>
          <w:spacing w:val="-9"/>
        </w:rPr>
        <w:t xml:space="preserve"> </w:t>
      </w:r>
      <w:r>
        <w:t>SKALA</w:t>
      </w:r>
      <w:r>
        <w:rPr>
          <w:spacing w:val="-10"/>
        </w:rPr>
        <w:t xml:space="preserve"> </w:t>
      </w:r>
      <w:r>
        <w:t>facilitated</w:t>
      </w:r>
      <w:r>
        <w:rPr>
          <w:spacing w:val="-6"/>
        </w:rPr>
        <w:t xml:space="preserve"> </w:t>
      </w:r>
      <w:r>
        <w:t>capacity</w:t>
      </w:r>
      <w:r>
        <w:rPr>
          <w:spacing w:val="-6"/>
        </w:rPr>
        <w:t xml:space="preserve"> </w:t>
      </w:r>
      <w:r>
        <w:t>strengthening</w:t>
      </w:r>
      <w:r>
        <w:rPr>
          <w:spacing w:val="-11"/>
        </w:rPr>
        <w:t xml:space="preserve"> </w:t>
      </w:r>
      <w:r>
        <w:t>for</w:t>
      </w:r>
      <w:r>
        <w:rPr>
          <w:spacing w:val="-8"/>
        </w:rPr>
        <w:t xml:space="preserve"> </w:t>
      </w:r>
      <w:r>
        <w:t>civil</w:t>
      </w:r>
      <w:r>
        <w:rPr>
          <w:spacing w:val="-9"/>
        </w:rPr>
        <w:t xml:space="preserve"> </w:t>
      </w:r>
      <w:r>
        <w:t>servants</w:t>
      </w:r>
      <w:r>
        <w:rPr>
          <w:spacing w:val="-8"/>
        </w:rPr>
        <w:t xml:space="preserve"> </w:t>
      </w:r>
      <w:r>
        <w:t>in</w:t>
      </w:r>
      <w:r>
        <w:rPr>
          <w:spacing w:val="-9"/>
        </w:rPr>
        <w:t xml:space="preserve"> </w:t>
      </w:r>
      <w:r>
        <w:t>drafting</w:t>
      </w:r>
      <w:r>
        <w:rPr>
          <w:spacing w:val="-9"/>
        </w:rPr>
        <w:t xml:space="preserve"> </w:t>
      </w:r>
      <w:r>
        <w:t>MSS</w:t>
      </w:r>
      <w:r>
        <w:rPr>
          <w:spacing w:val="-8"/>
        </w:rPr>
        <w:t xml:space="preserve"> </w:t>
      </w:r>
      <w:r>
        <w:t>Action</w:t>
      </w:r>
      <w:r>
        <w:rPr>
          <w:spacing w:val="-9"/>
        </w:rPr>
        <w:t xml:space="preserve"> </w:t>
      </w:r>
      <w:r>
        <w:t>Plans</w:t>
      </w:r>
      <w:r>
        <w:rPr>
          <w:spacing w:val="-8"/>
        </w:rPr>
        <w:t xml:space="preserve"> </w:t>
      </w:r>
      <w:r>
        <w:t>and targets, monitoring and reporting, using Musrenbangsus and SIPPP guidelines, preparing RPJMD,</w:t>
      </w:r>
      <w:r>
        <w:rPr>
          <w:spacing w:val="-2"/>
        </w:rPr>
        <w:t xml:space="preserve"> </w:t>
      </w:r>
      <w:r>
        <w:t>engaging</w:t>
      </w:r>
      <w:r>
        <w:rPr>
          <w:spacing w:val="-6"/>
        </w:rPr>
        <w:t xml:space="preserve"> </w:t>
      </w:r>
      <w:r>
        <w:t>vulnerable</w:t>
      </w:r>
      <w:r>
        <w:rPr>
          <w:spacing w:val="-2"/>
        </w:rPr>
        <w:t xml:space="preserve"> </w:t>
      </w:r>
      <w:r>
        <w:t>groups</w:t>
      </w:r>
      <w:r>
        <w:rPr>
          <w:spacing w:val="-2"/>
        </w:rPr>
        <w:t xml:space="preserve"> </w:t>
      </w:r>
      <w:r>
        <w:t>in</w:t>
      </w:r>
      <w:r>
        <w:rPr>
          <w:spacing w:val="-5"/>
        </w:rPr>
        <w:t xml:space="preserve"> </w:t>
      </w:r>
      <w:r>
        <w:t>pre-RPJMD</w:t>
      </w:r>
      <w:r>
        <w:rPr>
          <w:spacing w:val="-2"/>
        </w:rPr>
        <w:t xml:space="preserve"> </w:t>
      </w:r>
      <w:r>
        <w:t>thematic</w:t>
      </w:r>
      <w:r>
        <w:rPr>
          <w:spacing w:val="-3"/>
        </w:rPr>
        <w:t xml:space="preserve"> </w:t>
      </w:r>
      <w:r>
        <w:t>consultations,</w:t>
      </w:r>
      <w:r>
        <w:rPr>
          <w:spacing w:val="-2"/>
        </w:rPr>
        <w:t xml:space="preserve"> </w:t>
      </w:r>
      <w:r>
        <w:t>and</w:t>
      </w:r>
      <w:r>
        <w:rPr>
          <w:spacing w:val="-5"/>
        </w:rPr>
        <w:t xml:space="preserve"> </w:t>
      </w:r>
      <w:r>
        <w:t>establishing</w:t>
      </w:r>
      <w:r>
        <w:rPr>
          <w:spacing w:val="-3"/>
        </w:rPr>
        <w:t xml:space="preserve"> </w:t>
      </w:r>
      <w:r>
        <w:t>the PUG Team.</w:t>
      </w:r>
    </w:p>
    <w:p w14:paraId="142FF878" w14:textId="77777777" w:rsidR="00BC24A8" w:rsidRDefault="00BC24A8">
      <w:pPr>
        <w:pStyle w:val="BodyText"/>
        <w:rPr>
          <w:sz w:val="20"/>
        </w:rPr>
      </w:pPr>
    </w:p>
    <w:p w14:paraId="0F5BDB01" w14:textId="77777777" w:rsidR="00BC24A8" w:rsidRDefault="00BC24A8">
      <w:pPr>
        <w:pStyle w:val="BodyText"/>
        <w:rPr>
          <w:sz w:val="20"/>
        </w:rPr>
      </w:pPr>
    </w:p>
    <w:p w14:paraId="51ED6CCF" w14:textId="77777777" w:rsidR="00BC24A8" w:rsidRDefault="00BC24A8">
      <w:pPr>
        <w:pStyle w:val="BodyText"/>
        <w:rPr>
          <w:sz w:val="20"/>
        </w:rPr>
      </w:pPr>
    </w:p>
    <w:p w14:paraId="1C742AED" w14:textId="77777777" w:rsidR="00BC24A8" w:rsidRDefault="00BC24A8">
      <w:pPr>
        <w:pStyle w:val="BodyText"/>
        <w:rPr>
          <w:sz w:val="20"/>
        </w:rPr>
      </w:pPr>
    </w:p>
    <w:p w14:paraId="2F9F84E4" w14:textId="77777777" w:rsidR="00BC24A8" w:rsidRDefault="00BC24A8">
      <w:pPr>
        <w:pStyle w:val="BodyText"/>
        <w:rPr>
          <w:sz w:val="20"/>
        </w:rPr>
      </w:pPr>
    </w:p>
    <w:p w14:paraId="15B9DA8D" w14:textId="77777777" w:rsidR="00BC24A8" w:rsidRDefault="00BC24A8">
      <w:pPr>
        <w:pStyle w:val="BodyText"/>
        <w:rPr>
          <w:sz w:val="20"/>
        </w:rPr>
      </w:pPr>
    </w:p>
    <w:p w14:paraId="1601FDC9" w14:textId="77777777" w:rsidR="00BC24A8" w:rsidRDefault="00000000">
      <w:pPr>
        <w:pStyle w:val="BodyText"/>
        <w:spacing w:before="176"/>
        <w:rPr>
          <w:sz w:val="20"/>
        </w:rPr>
      </w:pPr>
      <w:r>
        <w:rPr>
          <w:noProof/>
          <w:sz w:val="20"/>
        </w:rPr>
        <mc:AlternateContent>
          <mc:Choice Requires="wps">
            <w:drawing>
              <wp:anchor distT="0" distB="0" distL="0" distR="0" simplePos="0" relativeHeight="487633920" behindDoc="1" locked="0" layoutInCell="1" allowOverlap="1" wp14:anchorId="41B409BB" wp14:editId="5B226F87">
                <wp:simplePos x="0" y="0"/>
                <wp:positionH relativeFrom="page">
                  <wp:posOffset>900683</wp:posOffset>
                </wp:positionH>
                <wp:positionV relativeFrom="paragraph">
                  <wp:posOffset>282627</wp:posOffset>
                </wp:positionV>
                <wp:extent cx="1828800" cy="9525"/>
                <wp:effectExtent l="0" t="0" r="0" b="0"/>
                <wp:wrapTopAndBottom/>
                <wp:docPr id="304" name="Graphic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CE4B51" id="Graphic 304" o:spid="_x0000_s1026" alt="&quot;&quot;" style="position:absolute;margin-left:70.9pt;margin-top:22.25pt;width:2in;height:.75pt;z-index:-156825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" path="m1828800,l,,,9144r1828800,l1828800,xe" fillcolor="black" stroked="f">
                <v:path arrowok="t"/>
                <w10:wrap type="topAndBottom" anchorx="page"/>
              </v:shape>
            </w:pict>
          </mc:Fallback>
        </mc:AlternateContent>
      </w:r>
    </w:p>
    <w:p w14:paraId="6571C216" w14:textId="77777777" w:rsidR="00BC24A8" w:rsidRDefault="00BC24A8">
      <w:pPr>
        <w:pStyle w:val="BodyText"/>
        <w:spacing w:before="105"/>
        <w:rPr>
          <w:sz w:val="16"/>
        </w:rPr>
      </w:pPr>
    </w:p>
    <w:p w14:paraId="582FBD6D" w14:textId="77777777" w:rsidR="00BC24A8" w:rsidRDefault="00000000">
      <w:pPr>
        <w:spacing w:before="1"/>
        <w:ind w:left="143" w:right="662" w:hanging="1"/>
        <w:rPr>
          <w:sz w:val="16"/>
        </w:rPr>
      </w:pPr>
      <w:bookmarkStart w:id="238" w:name="_bookmark167"/>
      <w:bookmarkEnd w:id="238"/>
      <w:r>
        <w:rPr>
          <w:color w:val="767070"/>
          <w:sz w:val="16"/>
          <w:vertAlign w:val="superscript"/>
        </w:rPr>
        <w:t>87</w:t>
      </w:r>
      <w:r>
        <w:rPr>
          <w:color w:val="767070"/>
          <w:spacing w:val="-5"/>
          <w:sz w:val="16"/>
        </w:rPr>
        <w:t xml:space="preserve"> </w:t>
      </w:r>
      <w:r>
        <w:rPr>
          <w:color w:val="767070"/>
          <w:sz w:val="16"/>
        </w:rPr>
        <w:t>Person</w:t>
      </w:r>
      <w:r>
        <w:rPr>
          <w:color w:val="767070"/>
          <w:spacing w:val="-4"/>
          <w:sz w:val="16"/>
        </w:rPr>
        <w:t xml:space="preserve"> </w:t>
      </w:r>
      <w:r>
        <w:rPr>
          <w:color w:val="767070"/>
          <w:sz w:val="16"/>
        </w:rPr>
        <w:t>time</w:t>
      </w:r>
      <w:r>
        <w:rPr>
          <w:color w:val="767070"/>
          <w:spacing w:val="-5"/>
          <w:sz w:val="16"/>
        </w:rPr>
        <w:t xml:space="preserve"> </w:t>
      </w:r>
      <w:r>
        <w:rPr>
          <w:color w:val="767070"/>
          <w:sz w:val="16"/>
        </w:rPr>
        <w:t>refers</w:t>
      </w:r>
      <w:r>
        <w:rPr>
          <w:color w:val="767070"/>
          <w:spacing w:val="-4"/>
          <w:sz w:val="16"/>
        </w:rPr>
        <w:t xml:space="preserve"> </w:t>
      </w:r>
      <w:r>
        <w:rPr>
          <w:color w:val="767070"/>
          <w:sz w:val="16"/>
        </w:rPr>
        <w:t>to</w:t>
      </w:r>
      <w:r>
        <w:rPr>
          <w:color w:val="767070"/>
          <w:spacing w:val="-4"/>
          <w:sz w:val="16"/>
        </w:rPr>
        <w:t xml:space="preserve"> </w:t>
      </w:r>
      <w:r>
        <w:rPr>
          <w:color w:val="767070"/>
          <w:sz w:val="16"/>
        </w:rPr>
        <w:t>the</w:t>
      </w:r>
      <w:r>
        <w:rPr>
          <w:color w:val="767070"/>
          <w:spacing w:val="-5"/>
          <w:sz w:val="16"/>
        </w:rPr>
        <w:t xml:space="preserve"> </w:t>
      </w:r>
      <w:r>
        <w:rPr>
          <w:color w:val="767070"/>
          <w:sz w:val="16"/>
        </w:rPr>
        <w:t>total</w:t>
      </w:r>
      <w:r>
        <w:rPr>
          <w:color w:val="767070"/>
          <w:spacing w:val="-7"/>
          <w:sz w:val="16"/>
        </w:rPr>
        <w:t xml:space="preserve"> </w:t>
      </w:r>
      <w:r>
        <w:rPr>
          <w:color w:val="767070"/>
          <w:sz w:val="16"/>
        </w:rPr>
        <w:t>instances</w:t>
      </w:r>
      <w:r>
        <w:rPr>
          <w:color w:val="767070"/>
          <w:spacing w:val="-4"/>
          <w:sz w:val="16"/>
        </w:rPr>
        <w:t xml:space="preserve"> </w:t>
      </w:r>
      <w:r>
        <w:rPr>
          <w:color w:val="767070"/>
          <w:sz w:val="16"/>
        </w:rPr>
        <w:t>of</w:t>
      </w:r>
      <w:r>
        <w:rPr>
          <w:color w:val="767070"/>
          <w:spacing w:val="-5"/>
          <w:sz w:val="16"/>
        </w:rPr>
        <w:t xml:space="preserve"> </w:t>
      </w:r>
      <w:r>
        <w:rPr>
          <w:color w:val="767070"/>
          <w:sz w:val="16"/>
        </w:rPr>
        <w:t>participation;</w:t>
      </w:r>
      <w:r>
        <w:rPr>
          <w:color w:val="767070"/>
          <w:spacing w:val="-4"/>
          <w:sz w:val="16"/>
        </w:rPr>
        <w:t xml:space="preserve"> </w:t>
      </w:r>
      <w:r>
        <w:rPr>
          <w:color w:val="767070"/>
          <w:sz w:val="16"/>
        </w:rPr>
        <w:t>one</w:t>
      </w:r>
      <w:r>
        <w:rPr>
          <w:color w:val="767070"/>
          <w:spacing w:val="-7"/>
          <w:sz w:val="16"/>
        </w:rPr>
        <w:t xml:space="preserve"> </w:t>
      </w:r>
      <w:r>
        <w:rPr>
          <w:color w:val="767070"/>
          <w:sz w:val="16"/>
        </w:rPr>
        <w:t>individual</w:t>
      </w:r>
      <w:r>
        <w:rPr>
          <w:color w:val="767070"/>
          <w:spacing w:val="-4"/>
          <w:sz w:val="16"/>
        </w:rPr>
        <w:t xml:space="preserve"> </w:t>
      </w:r>
      <w:r>
        <w:rPr>
          <w:color w:val="767070"/>
          <w:sz w:val="16"/>
        </w:rPr>
        <w:t>may</w:t>
      </w:r>
      <w:r>
        <w:rPr>
          <w:color w:val="767070"/>
          <w:spacing w:val="-6"/>
          <w:sz w:val="16"/>
        </w:rPr>
        <w:t xml:space="preserve"> </w:t>
      </w:r>
      <w:r>
        <w:rPr>
          <w:color w:val="767070"/>
          <w:sz w:val="16"/>
        </w:rPr>
        <w:t>participate</w:t>
      </w:r>
      <w:r>
        <w:rPr>
          <w:color w:val="767070"/>
          <w:spacing w:val="-5"/>
          <w:sz w:val="16"/>
        </w:rPr>
        <w:t xml:space="preserve"> </w:t>
      </w:r>
      <w:r>
        <w:rPr>
          <w:color w:val="767070"/>
          <w:sz w:val="16"/>
        </w:rPr>
        <w:t>more</w:t>
      </w:r>
      <w:r>
        <w:rPr>
          <w:color w:val="767070"/>
          <w:spacing w:val="-5"/>
          <w:sz w:val="16"/>
        </w:rPr>
        <w:t xml:space="preserve"> </w:t>
      </w:r>
      <w:r>
        <w:rPr>
          <w:color w:val="767070"/>
          <w:sz w:val="16"/>
        </w:rPr>
        <w:t>than</w:t>
      </w:r>
      <w:r>
        <w:rPr>
          <w:color w:val="767070"/>
          <w:spacing w:val="-4"/>
          <w:sz w:val="16"/>
        </w:rPr>
        <w:t xml:space="preserve"> </w:t>
      </w:r>
      <w:r>
        <w:rPr>
          <w:color w:val="767070"/>
          <w:sz w:val="16"/>
        </w:rPr>
        <w:t>once</w:t>
      </w:r>
      <w:r>
        <w:rPr>
          <w:color w:val="767070"/>
          <w:spacing w:val="-5"/>
          <w:sz w:val="16"/>
        </w:rPr>
        <w:t xml:space="preserve"> </w:t>
      </w:r>
      <w:r>
        <w:rPr>
          <w:color w:val="767070"/>
          <w:sz w:val="16"/>
        </w:rPr>
        <w:t>in</w:t>
      </w:r>
      <w:r>
        <w:rPr>
          <w:color w:val="767070"/>
          <w:spacing w:val="-4"/>
          <w:sz w:val="16"/>
        </w:rPr>
        <w:t xml:space="preserve"> </w:t>
      </w:r>
      <w:r>
        <w:rPr>
          <w:color w:val="767070"/>
          <w:sz w:val="16"/>
        </w:rPr>
        <w:t>SKALA-supported</w:t>
      </w:r>
      <w:r>
        <w:rPr>
          <w:color w:val="767070"/>
          <w:spacing w:val="-4"/>
          <w:sz w:val="16"/>
        </w:rPr>
        <w:t xml:space="preserve"> </w:t>
      </w:r>
      <w:r>
        <w:rPr>
          <w:color w:val="767070"/>
          <w:sz w:val="16"/>
        </w:rPr>
        <w:t>activities.</w:t>
      </w:r>
      <w:r>
        <w:rPr>
          <w:color w:val="767070"/>
          <w:spacing w:val="40"/>
          <w:sz w:val="16"/>
        </w:rPr>
        <w:t xml:space="preserve"> </w:t>
      </w:r>
      <w:r>
        <w:rPr>
          <w:color w:val="767070"/>
          <w:sz w:val="16"/>
        </w:rPr>
        <w:t>Headcount refers to participants whose costs are covered by SKALA.</w:t>
      </w:r>
    </w:p>
    <w:p w14:paraId="3A82ECF8" w14:textId="77777777" w:rsidR="00BC24A8" w:rsidRDefault="00BC24A8">
      <w:pPr>
        <w:rPr>
          <w:sz w:val="16"/>
        </w:rPr>
        <w:sectPr w:rsidR="00BC24A8">
          <w:type w:val="continuous"/>
          <w:pgSz w:w="11910" w:h="16840"/>
          <w:pgMar w:top="1920" w:right="850" w:bottom="280" w:left="1275" w:header="0" w:footer="907" w:gutter="0"/>
          <w:cols w:space="720"/>
        </w:sectPr>
      </w:pPr>
    </w:p>
    <w:p w14:paraId="4BC9AEEC" w14:textId="77777777" w:rsidR="00BC24A8" w:rsidRDefault="00000000">
      <w:pPr>
        <w:pStyle w:val="BodyText"/>
        <w:spacing w:before="39"/>
        <w:ind w:left="143"/>
        <w:rPr>
          <w:rFonts w:ascii="Calibri"/>
        </w:rPr>
      </w:pPr>
      <w:r>
        <w:rPr>
          <w:rFonts w:ascii="Calibri"/>
          <w:color w:val="272727"/>
        </w:rPr>
        <w:t>Summary</w:t>
      </w:r>
      <w:r>
        <w:rPr>
          <w:rFonts w:ascii="Calibri"/>
          <w:color w:val="272727"/>
          <w:spacing w:val="-5"/>
        </w:rPr>
        <w:t xml:space="preserve"> </w:t>
      </w:r>
      <w:r>
        <w:rPr>
          <w:rFonts w:ascii="Calibri"/>
          <w:color w:val="272727"/>
        </w:rPr>
        <w:t>of</w:t>
      </w:r>
      <w:r>
        <w:rPr>
          <w:rFonts w:ascii="Calibri"/>
          <w:color w:val="272727"/>
          <w:spacing w:val="-8"/>
        </w:rPr>
        <w:t xml:space="preserve"> </w:t>
      </w:r>
      <w:r>
        <w:rPr>
          <w:rFonts w:ascii="Calibri"/>
          <w:color w:val="272727"/>
        </w:rPr>
        <w:t>results</w:t>
      </w:r>
      <w:r>
        <w:rPr>
          <w:rFonts w:ascii="Calibri"/>
          <w:color w:val="272727"/>
          <w:spacing w:val="-5"/>
        </w:rPr>
        <w:t xml:space="preserve"> </w:t>
      </w:r>
      <w:r>
        <w:rPr>
          <w:rFonts w:ascii="Calibri"/>
          <w:color w:val="272727"/>
        </w:rPr>
        <w:t>at</w:t>
      </w:r>
      <w:r>
        <w:rPr>
          <w:rFonts w:ascii="Calibri"/>
          <w:color w:val="272727"/>
          <w:spacing w:val="-8"/>
        </w:rPr>
        <w:t xml:space="preserve"> </w:t>
      </w:r>
      <w:r>
        <w:rPr>
          <w:rFonts w:ascii="Calibri"/>
          <w:color w:val="272727"/>
        </w:rPr>
        <w:t>the</w:t>
      </w:r>
      <w:r>
        <w:rPr>
          <w:rFonts w:ascii="Calibri"/>
          <w:color w:val="272727"/>
          <w:spacing w:val="-4"/>
        </w:rPr>
        <w:t xml:space="preserve"> </w:t>
      </w:r>
      <w:r>
        <w:rPr>
          <w:rFonts w:ascii="Calibri"/>
          <w:color w:val="272727"/>
        </w:rPr>
        <w:t>Intermediate</w:t>
      </w:r>
      <w:r>
        <w:rPr>
          <w:rFonts w:ascii="Calibri"/>
          <w:color w:val="272727"/>
          <w:spacing w:val="-8"/>
        </w:rPr>
        <w:t xml:space="preserve"> </w:t>
      </w:r>
      <w:r>
        <w:rPr>
          <w:rFonts w:ascii="Calibri"/>
          <w:color w:val="272727"/>
        </w:rPr>
        <w:t>Outcome</w:t>
      </w:r>
      <w:r>
        <w:rPr>
          <w:rFonts w:ascii="Calibri"/>
          <w:color w:val="272727"/>
          <w:spacing w:val="-4"/>
        </w:rPr>
        <w:t xml:space="preserve"> </w:t>
      </w:r>
      <w:r>
        <w:rPr>
          <w:rFonts w:ascii="Calibri"/>
          <w:color w:val="272727"/>
        </w:rPr>
        <w:t>(IO)</w:t>
      </w:r>
      <w:r>
        <w:rPr>
          <w:rFonts w:ascii="Calibri"/>
          <w:color w:val="272727"/>
          <w:spacing w:val="-9"/>
        </w:rPr>
        <w:t xml:space="preserve"> </w:t>
      </w:r>
      <w:r>
        <w:rPr>
          <w:rFonts w:ascii="Calibri"/>
          <w:color w:val="272727"/>
          <w:spacing w:val="-2"/>
        </w:rPr>
        <w:t>level</w:t>
      </w:r>
    </w:p>
    <w:p w14:paraId="134882DB" w14:textId="77777777" w:rsidR="00BC24A8" w:rsidRDefault="00000000">
      <w:pPr>
        <w:spacing w:before="19"/>
        <w:ind w:left="143"/>
        <w:rPr>
          <w:rFonts w:ascii="Calibri"/>
          <w:b/>
        </w:rPr>
      </w:pPr>
      <w:r>
        <w:rPr>
          <w:rFonts w:ascii="Calibri"/>
          <w:b/>
          <w:color w:val="17365A"/>
        </w:rPr>
        <w:t>Data</w:t>
      </w:r>
      <w:r>
        <w:rPr>
          <w:rFonts w:ascii="Calibri"/>
          <w:b/>
          <w:color w:val="17365A"/>
          <w:spacing w:val="-4"/>
        </w:rPr>
        <w:t xml:space="preserve"> </w:t>
      </w:r>
      <w:r>
        <w:rPr>
          <w:rFonts w:ascii="Calibri"/>
          <w:b/>
          <w:color w:val="17365A"/>
        </w:rPr>
        <w:t>availability,</w:t>
      </w:r>
      <w:r>
        <w:rPr>
          <w:rFonts w:ascii="Calibri"/>
          <w:b/>
          <w:color w:val="17365A"/>
          <w:spacing w:val="-1"/>
        </w:rPr>
        <w:t xml:space="preserve"> </w:t>
      </w:r>
      <w:r>
        <w:rPr>
          <w:rFonts w:ascii="Calibri"/>
          <w:b/>
          <w:color w:val="17365A"/>
        </w:rPr>
        <w:t>management,</w:t>
      </w:r>
      <w:r>
        <w:rPr>
          <w:rFonts w:ascii="Calibri"/>
          <w:b/>
          <w:color w:val="17365A"/>
          <w:spacing w:val="-1"/>
        </w:rPr>
        <w:t xml:space="preserve"> </w:t>
      </w:r>
      <w:r>
        <w:rPr>
          <w:rFonts w:ascii="Calibri"/>
          <w:b/>
          <w:color w:val="17365A"/>
        </w:rPr>
        <w:t>and</w:t>
      </w:r>
      <w:r>
        <w:rPr>
          <w:rFonts w:ascii="Calibri"/>
          <w:b/>
          <w:color w:val="17365A"/>
          <w:spacing w:val="-3"/>
        </w:rPr>
        <w:t xml:space="preserve"> </w:t>
      </w:r>
      <w:r>
        <w:rPr>
          <w:rFonts w:ascii="Calibri"/>
          <w:b/>
          <w:color w:val="17365A"/>
        </w:rPr>
        <w:t>utilisation</w:t>
      </w:r>
      <w:r>
        <w:rPr>
          <w:rFonts w:ascii="Calibri"/>
          <w:b/>
          <w:color w:val="17365A"/>
          <w:spacing w:val="-2"/>
        </w:rPr>
        <w:t xml:space="preserve"> </w:t>
      </w:r>
      <w:r>
        <w:rPr>
          <w:rFonts w:ascii="Calibri"/>
          <w:b/>
          <w:color w:val="17365A"/>
        </w:rPr>
        <w:t>to</w:t>
      </w:r>
      <w:r>
        <w:rPr>
          <w:rFonts w:ascii="Calibri"/>
          <w:b/>
          <w:color w:val="17365A"/>
          <w:spacing w:val="-3"/>
        </w:rPr>
        <w:t xml:space="preserve"> </w:t>
      </w:r>
      <w:r>
        <w:rPr>
          <w:rFonts w:ascii="Calibri"/>
          <w:b/>
          <w:color w:val="17365A"/>
        </w:rPr>
        <w:t>improve</w:t>
      </w:r>
      <w:r>
        <w:rPr>
          <w:rFonts w:ascii="Calibri"/>
          <w:b/>
          <w:color w:val="17365A"/>
          <w:spacing w:val="-3"/>
        </w:rPr>
        <w:t xml:space="preserve"> </w:t>
      </w:r>
      <w:r>
        <w:rPr>
          <w:rFonts w:ascii="Calibri"/>
          <w:b/>
          <w:color w:val="17365A"/>
        </w:rPr>
        <w:t>evidence-based</w:t>
      </w:r>
      <w:r>
        <w:rPr>
          <w:rFonts w:ascii="Calibri"/>
          <w:b/>
          <w:color w:val="17365A"/>
          <w:spacing w:val="-2"/>
        </w:rPr>
        <w:t xml:space="preserve"> </w:t>
      </w:r>
      <w:r>
        <w:rPr>
          <w:rFonts w:ascii="Calibri"/>
          <w:b/>
          <w:color w:val="17365A"/>
        </w:rPr>
        <w:t>planning</w:t>
      </w:r>
      <w:r>
        <w:rPr>
          <w:rFonts w:ascii="Calibri"/>
          <w:b/>
          <w:color w:val="17365A"/>
          <w:spacing w:val="-1"/>
        </w:rPr>
        <w:t xml:space="preserve"> </w:t>
      </w:r>
      <w:r>
        <w:rPr>
          <w:rFonts w:ascii="Calibri"/>
          <w:b/>
          <w:color w:val="17365A"/>
        </w:rPr>
        <w:t>processes</w:t>
      </w:r>
      <w:r>
        <w:rPr>
          <w:rFonts w:ascii="Calibri"/>
          <w:b/>
          <w:color w:val="17365A"/>
          <w:spacing w:val="-2"/>
        </w:rPr>
        <w:t xml:space="preserve"> </w:t>
      </w:r>
      <w:r>
        <w:rPr>
          <w:rFonts w:ascii="Calibri"/>
          <w:b/>
          <w:color w:val="17365A"/>
        </w:rPr>
        <w:t>(IO</w:t>
      </w:r>
      <w:r>
        <w:rPr>
          <w:rFonts w:ascii="Calibri"/>
          <w:b/>
          <w:color w:val="17365A"/>
          <w:spacing w:val="-4"/>
        </w:rPr>
        <w:t xml:space="preserve"> </w:t>
      </w:r>
      <w:r>
        <w:rPr>
          <w:rFonts w:ascii="Calibri"/>
          <w:b/>
          <w:color w:val="17365A"/>
          <w:spacing w:val="-10"/>
        </w:rPr>
        <w:t>5</w:t>
      </w:r>
    </w:p>
    <w:p w14:paraId="5FD0CD58" w14:textId="77777777" w:rsidR="00BC24A8" w:rsidRDefault="00000000">
      <w:pPr>
        <w:spacing w:before="1"/>
        <w:ind w:left="143"/>
        <w:rPr>
          <w:rFonts w:ascii="Calibri"/>
          <w:b/>
        </w:rPr>
      </w:pPr>
      <w:r>
        <w:rPr>
          <w:rFonts w:ascii="Calibri"/>
          <w:b/>
          <w:color w:val="17365A"/>
        </w:rPr>
        <w:t>and</w:t>
      </w:r>
      <w:r>
        <w:rPr>
          <w:rFonts w:ascii="Calibri"/>
          <w:b/>
          <w:color w:val="17365A"/>
          <w:spacing w:val="-5"/>
        </w:rPr>
        <w:t xml:space="preserve"> 9)</w:t>
      </w:r>
    </w:p>
    <w:p w14:paraId="6862953D" w14:textId="77777777" w:rsidR="00BC24A8" w:rsidRDefault="00000000">
      <w:pPr>
        <w:spacing w:before="161"/>
        <w:ind w:left="143"/>
        <w:rPr>
          <w:rFonts w:ascii="Calibri"/>
          <w:b/>
        </w:rPr>
      </w:pPr>
      <w:r>
        <w:rPr>
          <w:rFonts w:ascii="Calibri"/>
          <w:b/>
        </w:rPr>
        <w:t>SKALA</w:t>
      </w:r>
      <w:r>
        <w:rPr>
          <w:rFonts w:ascii="Calibri"/>
          <w:b/>
          <w:spacing w:val="-5"/>
        </w:rPr>
        <w:t xml:space="preserve"> </w:t>
      </w:r>
      <w:r>
        <w:rPr>
          <w:rFonts w:ascii="Calibri"/>
          <w:b/>
        </w:rPr>
        <w:t>supports</w:t>
      </w:r>
      <w:r>
        <w:rPr>
          <w:rFonts w:ascii="Calibri"/>
          <w:b/>
          <w:spacing w:val="-5"/>
        </w:rPr>
        <w:t xml:space="preserve"> </w:t>
      </w:r>
      <w:r>
        <w:rPr>
          <w:rFonts w:ascii="Calibri"/>
          <w:b/>
        </w:rPr>
        <w:t>the</w:t>
      </w:r>
      <w:r>
        <w:rPr>
          <w:rFonts w:ascii="Calibri"/>
          <w:b/>
          <w:spacing w:val="-6"/>
        </w:rPr>
        <w:t xml:space="preserve"> </w:t>
      </w:r>
      <w:r>
        <w:rPr>
          <w:rFonts w:ascii="Calibri"/>
          <w:b/>
        </w:rPr>
        <w:t>expansion</w:t>
      </w:r>
      <w:r>
        <w:rPr>
          <w:rFonts w:ascii="Calibri"/>
          <w:b/>
          <w:spacing w:val="-6"/>
        </w:rPr>
        <w:t xml:space="preserve"> </w:t>
      </w:r>
      <w:r>
        <w:rPr>
          <w:rFonts w:ascii="Calibri"/>
          <w:b/>
        </w:rPr>
        <w:t>of</w:t>
      </w:r>
      <w:r>
        <w:rPr>
          <w:rFonts w:ascii="Calibri"/>
          <w:b/>
          <w:spacing w:val="-5"/>
        </w:rPr>
        <w:t xml:space="preserve"> </w:t>
      </w:r>
      <w:r>
        <w:rPr>
          <w:rFonts w:ascii="Calibri"/>
          <w:b/>
          <w:spacing w:val="-2"/>
        </w:rPr>
        <w:t>SIRIOS</w:t>
      </w:r>
      <w:hyperlink w:anchor="_bookmark168" w:history="1">
        <w:r w:rsidR="00BC24A8">
          <w:rPr>
            <w:rFonts w:ascii="Calibri"/>
            <w:b/>
            <w:spacing w:val="-2"/>
            <w:vertAlign w:val="superscript"/>
          </w:rPr>
          <w:t>88</w:t>
        </w:r>
      </w:hyperlink>
      <w:r>
        <w:rPr>
          <w:rFonts w:ascii="Calibri"/>
          <w:b/>
          <w:spacing w:val="-2"/>
        </w:rPr>
        <w:t>:</w:t>
      </w:r>
    </w:p>
    <w:p w14:paraId="2904310F" w14:textId="77777777" w:rsidR="00BC24A8" w:rsidRDefault="00000000">
      <w:pPr>
        <w:pStyle w:val="ListParagraph"/>
        <w:numPr>
          <w:ilvl w:val="1"/>
          <w:numId w:val="15"/>
        </w:numPr>
        <w:tabs>
          <w:tab w:val="left" w:pos="861"/>
          <w:tab w:val="left" w:pos="863"/>
        </w:tabs>
        <w:spacing w:before="159"/>
        <w:ind w:right="565" w:hanging="361"/>
        <w:rPr>
          <w:rFonts w:ascii="Symbol" w:hAnsi="Symbol"/>
        </w:rPr>
      </w:pPr>
      <w:r>
        <w:t>Merauke District allocated IDR 2.2 billion to expand the Village Information System (SIRIOS), including</w:t>
      </w:r>
      <w:r>
        <w:rPr>
          <w:spacing w:val="-2"/>
        </w:rPr>
        <w:t xml:space="preserve"> </w:t>
      </w:r>
      <w:r>
        <w:t>training,</w:t>
      </w:r>
      <w:r>
        <w:rPr>
          <w:spacing w:val="-3"/>
        </w:rPr>
        <w:t xml:space="preserve"> </w:t>
      </w:r>
      <w:r>
        <w:t>honoraria</w:t>
      </w:r>
      <w:r>
        <w:rPr>
          <w:spacing w:val="-3"/>
        </w:rPr>
        <w:t xml:space="preserve"> </w:t>
      </w:r>
      <w:r>
        <w:t>for</w:t>
      </w:r>
      <w:r>
        <w:rPr>
          <w:spacing w:val="-4"/>
        </w:rPr>
        <w:t xml:space="preserve"> </w:t>
      </w:r>
      <w:r>
        <w:t>district</w:t>
      </w:r>
      <w:r>
        <w:rPr>
          <w:spacing w:val="-2"/>
        </w:rPr>
        <w:t xml:space="preserve"> </w:t>
      </w:r>
      <w:r>
        <w:t>verifiers,</w:t>
      </w:r>
      <w:r>
        <w:rPr>
          <w:spacing w:val="-1"/>
        </w:rPr>
        <w:t xml:space="preserve"> </w:t>
      </w:r>
      <w:r>
        <w:t>and</w:t>
      </w:r>
      <w:r>
        <w:rPr>
          <w:spacing w:val="-4"/>
        </w:rPr>
        <w:t xml:space="preserve"> </w:t>
      </w:r>
      <w:r>
        <w:t>support</w:t>
      </w:r>
      <w:r>
        <w:rPr>
          <w:spacing w:val="-2"/>
        </w:rPr>
        <w:t xml:space="preserve"> </w:t>
      </w:r>
      <w:r>
        <w:t>for</w:t>
      </w:r>
      <w:r>
        <w:rPr>
          <w:spacing w:val="-4"/>
        </w:rPr>
        <w:t xml:space="preserve"> </w:t>
      </w:r>
      <w:r>
        <w:t>village</w:t>
      </w:r>
      <w:r>
        <w:rPr>
          <w:spacing w:val="-3"/>
        </w:rPr>
        <w:t xml:space="preserve"> </w:t>
      </w:r>
      <w:r>
        <w:t>data</w:t>
      </w:r>
      <w:r>
        <w:rPr>
          <w:spacing w:val="-3"/>
        </w:rPr>
        <w:t xml:space="preserve"> </w:t>
      </w:r>
      <w:r>
        <w:t>officers</w:t>
      </w:r>
      <w:r>
        <w:rPr>
          <w:spacing w:val="-1"/>
        </w:rPr>
        <w:t xml:space="preserve"> </w:t>
      </w:r>
      <w:r>
        <w:t>across</w:t>
      </w:r>
      <w:r>
        <w:rPr>
          <w:spacing w:val="-3"/>
        </w:rPr>
        <w:t xml:space="preserve"> </w:t>
      </w:r>
      <w:r>
        <w:t>11 sub-districts and 179 villages.</w:t>
      </w:r>
    </w:p>
    <w:p w14:paraId="20DAD582" w14:textId="77777777" w:rsidR="00BC24A8" w:rsidRDefault="00000000">
      <w:pPr>
        <w:pStyle w:val="ListParagraph"/>
        <w:numPr>
          <w:ilvl w:val="1"/>
          <w:numId w:val="15"/>
        </w:numPr>
        <w:tabs>
          <w:tab w:val="left" w:pos="861"/>
          <w:tab w:val="left" w:pos="863"/>
        </w:tabs>
        <w:spacing w:before="1"/>
        <w:ind w:right="564" w:hanging="361"/>
        <w:rPr>
          <w:rFonts w:ascii="Symbol" w:hAnsi="Symbol"/>
        </w:rPr>
      </w:pPr>
      <w:r>
        <w:t>SKALA</w:t>
      </w:r>
      <w:r>
        <w:rPr>
          <w:spacing w:val="-2"/>
        </w:rPr>
        <w:t xml:space="preserve"> </w:t>
      </w:r>
      <w:r>
        <w:t>facilitated</w:t>
      </w:r>
      <w:r>
        <w:rPr>
          <w:spacing w:val="-1"/>
        </w:rPr>
        <w:t xml:space="preserve"> </w:t>
      </w:r>
      <w:r>
        <w:t>training</w:t>
      </w:r>
      <w:r>
        <w:rPr>
          <w:spacing w:val="-5"/>
        </w:rPr>
        <w:t xml:space="preserve"> </w:t>
      </w:r>
      <w:r>
        <w:t>for</w:t>
      </w:r>
      <w:r>
        <w:rPr>
          <w:spacing w:val="-1"/>
        </w:rPr>
        <w:t xml:space="preserve"> </w:t>
      </w:r>
      <w:r>
        <w:t>88</w:t>
      </w:r>
      <w:r>
        <w:rPr>
          <w:spacing w:val="-1"/>
        </w:rPr>
        <w:t xml:space="preserve"> </w:t>
      </w:r>
      <w:r>
        <w:t>civil</w:t>
      </w:r>
      <w:r>
        <w:rPr>
          <w:spacing w:val="-3"/>
        </w:rPr>
        <w:t xml:space="preserve"> </w:t>
      </w:r>
      <w:r>
        <w:t>servants</w:t>
      </w:r>
      <w:r>
        <w:rPr>
          <w:spacing w:val="-1"/>
        </w:rPr>
        <w:t xml:space="preserve"> </w:t>
      </w:r>
      <w:r>
        <w:t>(M:53,</w:t>
      </w:r>
      <w:r>
        <w:rPr>
          <w:spacing w:val="-1"/>
        </w:rPr>
        <w:t xml:space="preserve"> </w:t>
      </w:r>
      <w:r>
        <w:t>F:35)</w:t>
      </w:r>
      <w:r>
        <w:rPr>
          <w:spacing w:val="-1"/>
        </w:rPr>
        <w:t xml:space="preserve"> </w:t>
      </w:r>
      <w:r>
        <w:t>on</w:t>
      </w:r>
      <w:r>
        <w:rPr>
          <w:spacing w:val="-1"/>
        </w:rPr>
        <w:t xml:space="preserve"> </w:t>
      </w:r>
      <w:r>
        <w:t>the</w:t>
      </w:r>
      <w:r>
        <w:rPr>
          <w:spacing w:val="-1"/>
        </w:rPr>
        <w:t xml:space="preserve"> </w:t>
      </w:r>
      <w:r>
        <w:t>village</w:t>
      </w:r>
      <w:r>
        <w:rPr>
          <w:spacing w:val="-1"/>
        </w:rPr>
        <w:t xml:space="preserve"> </w:t>
      </w:r>
      <w:r>
        <w:t>information</w:t>
      </w:r>
      <w:r>
        <w:rPr>
          <w:spacing w:val="-1"/>
        </w:rPr>
        <w:t xml:space="preserve"> </w:t>
      </w:r>
      <w:r>
        <w:t>system</w:t>
      </w:r>
      <w:r>
        <w:rPr>
          <w:spacing w:val="-1"/>
        </w:rPr>
        <w:t xml:space="preserve"> </w:t>
      </w:r>
      <w:r>
        <w:t>to support SIRIOS expansion from OPDs to the district/sub-district level.</w:t>
      </w:r>
    </w:p>
    <w:p w14:paraId="063D9387" w14:textId="77777777" w:rsidR="00BC24A8" w:rsidRDefault="00000000">
      <w:pPr>
        <w:pStyle w:val="ListParagraph"/>
        <w:numPr>
          <w:ilvl w:val="1"/>
          <w:numId w:val="15"/>
        </w:numPr>
        <w:tabs>
          <w:tab w:val="left" w:pos="861"/>
          <w:tab w:val="left" w:pos="863"/>
        </w:tabs>
        <w:ind w:right="563" w:hanging="361"/>
        <w:rPr>
          <w:rFonts w:ascii="Symbol" w:hAnsi="Symbol"/>
        </w:rPr>
      </w:pPr>
      <w:r>
        <w:t>74 village data officers and verifiers were trained in using SIRIOS/SID, increasing OAP data coverage more than</w:t>
      </w:r>
      <w:r>
        <w:rPr>
          <w:spacing w:val="-2"/>
        </w:rPr>
        <w:t xml:space="preserve"> </w:t>
      </w:r>
      <w:r>
        <w:t>tenfold,</w:t>
      </w:r>
      <w:r>
        <w:rPr>
          <w:spacing w:val="-1"/>
        </w:rPr>
        <w:t xml:space="preserve"> </w:t>
      </w:r>
      <w:r>
        <w:t>from</w:t>
      </w:r>
      <w:r>
        <w:rPr>
          <w:spacing w:val="-2"/>
        </w:rPr>
        <w:t xml:space="preserve"> </w:t>
      </w:r>
      <w:r>
        <w:t>74</w:t>
      </w:r>
      <w:r>
        <w:rPr>
          <w:spacing w:val="-1"/>
        </w:rPr>
        <w:t xml:space="preserve"> </w:t>
      </w:r>
      <w:r>
        <w:t>households</w:t>
      </w:r>
      <w:r>
        <w:rPr>
          <w:spacing w:val="-1"/>
        </w:rPr>
        <w:t xml:space="preserve"> </w:t>
      </w:r>
      <w:r>
        <w:t>(85</w:t>
      </w:r>
      <w:r>
        <w:rPr>
          <w:spacing w:val="-1"/>
        </w:rPr>
        <w:t xml:space="preserve"> </w:t>
      </w:r>
      <w:r>
        <w:t>people) to</w:t>
      </w:r>
      <w:r>
        <w:rPr>
          <w:spacing w:val="-2"/>
        </w:rPr>
        <w:t xml:space="preserve"> </w:t>
      </w:r>
      <w:r>
        <w:t>279</w:t>
      </w:r>
      <w:r>
        <w:rPr>
          <w:spacing w:val="-1"/>
        </w:rPr>
        <w:t xml:space="preserve"> </w:t>
      </w:r>
      <w:r>
        <w:t>households</w:t>
      </w:r>
      <w:r>
        <w:rPr>
          <w:spacing w:val="-1"/>
        </w:rPr>
        <w:t xml:space="preserve"> </w:t>
      </w:r>
      <w:r>
        <w:t>(892</w:t>
      </w:r>
      <w:r>
        <w:rPr>
          <w:spacing w:val="-1"/>
        </w:rPr>
        <w:t xml:space="preserve"> </w:t>
      </w:r>
      <w:r>
        <w:t>people).</w:t>
      </w:r>
    </w:p>
    <w:p w14:paraId="03515779" w14:textId="77777777" w:rsidR="00BC24A8" w:rsidRDefault="00000000">
      <w:pPr>
        <w:pStyle w:val="ListParagraph"/>
        <w:numPr>
          <w:ilvl w:val="1"/>
          <w:numId w:val="15"/>
        </w:numPr>
        <w:tabs>
          <w:tab w:val="left" w:pos="861"/>
          <w:tab w:val="left" w:pos="863"/>
        </w:tabs>
        <w:ind w:right="563" w:hanging="361"/>
        <w:rPr>
          <w:rFonts w:ascii="Symbol" w:hAnsi="Symbol"/>
        </w:rPr>
      </w:pPr>
      <w:r>
        <w:t>Governor Regulation 10/2025 on the South Papua Indigenous Peoples Information System (SIRIOS) encouraged Bapperida to provide SIRIOS facilitators for training in Merauke District.</w:t>
      </w:r>
    </w:p>
    <w:p w14:paraId="62955DA0" w14:textId="77777777" w:rsidR="00BC24A8" w:rsidRDefault="00000000">
      <w:pPr>
        <w:pStyle w:val="ListParagraph"/>
        <w:numPr>
          <w:ilvl w:val="1"/>
          <w:numId w:val="15"/>
        </w:numPr>
        <w:tabs>
          <w:tab w:val="left" w:pos="862"/>
          <w:tab w:val="left" w:pos="864"/>
        </w:tabs>
        <w:ind w:left="864" w:right="564" w:hanging="361"/>
        <w:rPr>
          <w:rFonts w:ascii="Symbol" w:hAnsi="Symbol"/>
        </w:rPr>
      </w:pPr>
      <w:r>
        <w:t>Collaboration with Musamus University brought in three lecturers as SIRIOS trainers, strengthening the role of the local university in expanding SIRIOS coverage.</w:t>
      </w:r>
    </w:p>
    <w:p w14:paraId="1735A476" w14:textId="77777777" w:rsidR="00BC24A8" w:rsidRDefault="00000000">
      <w:pPr>
        <w:pStyle w:val="ListParagraph"/>
        <w:numPr>
          <w:ilvl w:val="1"/>
          <w:numId w:val="15"/>
        </w:numPr>
        <w:tabs>
          <w:tab w:val="left" w:pos="862"/>
          <w:tab w:val="left" w:pos="864"/>
        </w:tabs>
        <w:ind w:left="864" w:right="564" w:hanging="361"/>
        <w:rPr>
          <w:rFonts w:ascii="Symbol" w:hAnsi="Symbol"/>
        </w:rPr>
      </w:pPr>
      <w:r>
        <w:t>BPS issued a Recommendation Letter confirming the collection, processing, and analysis of SIRIOS data as official statistical data.</w:t>
      </w:r>
    </w:p>
    <w:p w14:paraId="7FF30B78" w14:textId="77777777" w:rsidR="00BC24A8" w:rsidRDefault="00000000">
      <w:pPr>
        <w:pStyle w:val="ListParagraph"/>
        <w:numPr>
          <w:ilvl w:val="1"/>
          <w:numId w:val="15"/>
        </w:numPr>
        <w:tabs>
          <w:tab w:val="left" w:pos="862"/>
          <w:tab w:val="left" w:pos="864"/>
        </w:tabs>
        <w:ind w:left="864" w:right="562" w:hanging="361"/>
        <w:rPr>
          <w:rFonts w:ascii="Symbol" w:hAnsi="Symbol"/>
        </w:rPr>
      </w:pPr>
      <w:r>
        <w:t>As of June 2025, 4.5% of the Papua Selatan population is covered by SIRIOS, with the highest coverage in Boven Digoel (18%) and the lowest in Mappi (less than 1%).</w:t>
      </w:r>
    </w:p>
    <w:p w14:paraId="2A0BFB2C" w14:textId="77777777" w:rsidR="00BC24A8" w:rsidRDefault="00BC24A8">
      <w:pPr>
        <w:pStyle w:val="BodyText"/>
        <w:spacing w:before="80"/>
      </w:pPr>
    </w:p>
    <w:p w14:paraId="28AF9523" w14:textId="77777777" w:rsidR="00BC24A8" w:rsidRDefault="00000000">
      <w:pPr>
        <w:pStyle w:val="Heading5"/>
        <w:spacing w:before="1"/>
        <w:ind w:left="144"/>
      </w:pPr>
      <w:r>
        <w:t>SKALA</w:t>
      </w:r>
      <w:r>
        <w:rPr>
          <w:spacing w:val="-7"/>
        </w:rPr>
        <w:t xml:space="preserve"> </w:t>
      </w:r>
      <w:r>
        <w:t>mendukung</w:t>
      </w:r>
      <w:r>
        <w:rPr>
          <w:spacing w:val="-7"/>
        </w:rPr>
        <w:t xml:space="preserve"> </w:t>
      </w:r>
      <w:r>
        <w:t>pemanfaatan</w:t>
      </w:r>
      <w:r>
        <w:rPr>
          <w:spacing w:val="-9"/>
        </w:rPr>
        <w:t xml:space="preserve"> </w:t>
      </w:r>
      <w:r>
        <w:t>data</w:t>
      </w:r>
      <w:r>
        <w:rPr>
          <w:spacing w:val="-9"/>
        </w:rPr>
        <w:t xml:space="preserve"> </w:t>
      </w:r>
      <w:r>
        <w:t>untuk</w:t>
      </w:r>
      <w:r>
        <w:rPr>
          <w:spacing w:val="-7"/>
        </w:rPr>
        <w:t xml:space="preserve"> </w:t>
      </w:r>
      <w:r>
        <w:rPr>
          <w:spacing w:val="-2"/>
        </w:rPr>
        <w:t>perencanaan:</w:t>
      </w:r>
    </w:p>
    <w:p w14:paraId="72F9247F" w14:textId="77777777" w:rsidR="00BC24A8" w:rsidRDefault="00000000">
      <w:pPr>
        <w:pStyle w:val="ListParagraph"/>
        <w:numPr>
          <w:ilvl w:val="1"/>
          <w:numId w:val="15"/>
        </w:numPr>
        <w:tabs>
          <w:tab w:val="left" w:pos="863"/>
        </w:tabs>
        <w:spacing w:before="159"/>
        <w:ind w:right="564"/>
        <w:rPr>
          <w:rFonts w:ascii="Symbol" w:hAnsi="Symbol"/>
          <w:sz w:val="20"/>
        </w:rPr>
      </w:pPr>
      <w:r>
        <w:t xml:space="preserve">Regsosek memberikan </w:t>
      </w:r>
      <w:r>
        <w:rPr>
          <w:sz w:val="20"/>
        </w:rPr>
        <w:t xml:space="preserve">gambaran </w:t>
      </w:r>
      <w:r>
        <w:t>kondisi situasi daerah, khususnya sebaran penduduk miskin, dalam dokumen RPJMD 2025–2029,</w:t>
      </w:r>
    </w:p>
    <w:p w14:paraId="5AFA1299" w14:textId="77777777" w:rsidR="00BC24A8" w:rsidRDefault="00BC24A8">
      <w:pPr>
        <w:pStyle w:val="BodyText"/>
        <w:spacing w:before="104"/>
      </w:pPr>
    </w:p>
    <w:p w14:paraId="46A8582A" w14:textId="77777777" w:rsidR="00BC24A8" w:rsidRDefault="00000000">
      <w:pPr>
        <w:pStyle w:val="Heading5"/>
        <w:spacing w:line="384" w:lineRule="auto"/>
        <w:ind w:right="1346"/>
      </w:pPr>
      <w:r>
        <w:rPr>
          <w:color w:val="17365A"/>
        </w:rPr>
        <w:t>Better</w:t>
      </w:r>
      <w:r>
        <w:rPr>
          <w:color w:val="17365A"/>
          <w:spacing w:val="-6"/>
        </w:rPr>
        <w:t xml:space="preserve"> </w:t>
      </w:r>
      <w:r>
        <w:rPr>
          <w:color w:val="17365A"/>
        </w:rPr>
        <w:t>public</w:t>
      </w:r>
      <w:r>
        <w:rPr>
          <w:color w:val="17365A"/>
          <w:spacing w:val="-5"/>
        </w:rPr>
        <w:t xml:space="preserve"> </w:t>
      </w:r>
      <w:r>
        <w:rPr>
          <w:color w:val="17365A"/>
        </w:rPr>
        <w:t>financial</w:t>
      </w:r>
      <w:r>
        <w:rPr>
          <w:color w:val="17365A"/>
          <w:spacing w:val="-3"/>
        </w:rPr>
        <w:t xml:space="preserve"> </w:t>
      </w:r>
      <w:r>
        <w:rPr>
          <w:color w:val="17365A"/>
        </w:rPr>
        <w:t>management</w:t>
      </w:r>
      <w:r>
        <w:rPr>
          <w:color w:val="17365A"/>
          <w:spacing w:val="-6"/>
        </w:rPr>
        <w:t xml:space="preserve"> </w:t>
      </w:r>
      <w:r>
        <w:rPr>
          <w:color w:val="17365A"/>
        </w:rPr>
        <w:t>to</w:t>
      </w:r>
      <w:r>
        <w:rPr>
          <w:color w:val="17365A"/>
          <w:spacing w:val="-5"/>
        </w:rPr>
        <w:t xml:space="preserve"> </w:t>
      </w:r>
      <w:r>
        <w:rPr>
          <w:color w:val="17365A"/>
        </w:rPr>
        <w:t>support</w:t>
      </w:r>
      <w:r>
        <w:rPr>
          <w:color w:val="17365A"/>
          <w:spacing w:val="-6"/>
        </w:rPr>
        <w:t xml:space="preserve"> </w:t>
      </w:r>
      <w:r>
        <w:rPr>
          <w:color w:val="17365A"/>
        </w:rPr>
        <w:t>improved</w:t>
      </w:r>
      <w:r>
        <w:rPr>
          <w:color w:val="17365A"/>
          <w:spacing w:val="-5"/>
        </w:rPr>
        <w:t xml:space="preserve"> </w:t>
      </w:r>
      <w:r>
        <w:rPr>
          <w:color w:val="17365A"/>
        </w:rPr>
        <w:t>service</w:t>
      </w:r>
      <w:r>
        <w:rPr>
          <w:color w:val="17365A"/>
          <w:spacing w:val="-5"/>
        </w:rPr>
        <w:t xml:space="preserve"> </w:t>
      </w:r>
      <w:r>
        <w:rPr>
          <w:color w:val="17365A"/>
        </w:rPr>
        <w:t>delivery</w:t>
      </w:r>
      <w:r>
        <w:rPr>
          <w:color w:val="17365A"/>
          <w:spacing w:val="-3"/>
        </w:rPr>
        <w:t xml:space="preserve"> </w:t>
      </w:r>
      <w:r>
        <w:rPr>
          <w:color w:val="17365A"/>
        </w:rPr>
        <w:t>(IO</w:t>
      </w:r>
      <w:r>
        <w:rPr>
          <w:color w:val="17365A"/>
          <w:spacing w:val="-7"/>
        </w:rPr>
        <w:t xml:space="preserve"> </w:t>
      </w:r>
      <w:r>
        <w:rPr>
          <w:color w:val="17365A"/>
        </w:rPr>
        <w:t>4</w:t>
      </w:r>
      <w:r>
        <w:rPr>
          <w:color w:val="17365A"/>
          <w:spacing w:val="-3"/>
        </w:rPr>
        <w:t xml:space="preserve"> </w:t>
      </w:r>
      <w:r>
        <w:rPr>
          <w:color w:val="17365A"/>
        </w:rPr>
        <w:t>and</w:t>
      </w:r>
      <w:r>
        <w:rPr>
          <w:color w:val="17365A"/>
          <w:spacing w:val="-5"/>
        </w:rPr>
        <w:t xml:space="preserve"> </w:t>
      </w:r>
      <w:r>
        <w:rPr>
          <w:color w:val="17365A"/>
        </w:rPr>
        <w:t xml:space="preserve">6) </w:t>
      </w:r>
      <w:r>
        <w:t>SKALA supports MSS implementation and its integration into planning:</w:t>
      </w:r>
    </w:p>
    <w:p w14:paraId="434B2244" w14:textId="77777777" w:rsidR="00BC24A8" w:rsidRDefault="00000000">
      <w:pPr>
        <w:pStyle w:val="ListParagraph"/>
        <w:numPr>
          <w:ilvl w:val="1"/>
          <w:numId w:val="15"/>
        </w:numPr>
        <w:tabs>
          <w:tab w:val="left" w:pos="861"/>
          <w:tab w:val="left" w:pos="863"/>
        </w:tabs>
        <w:ind w:right="562" w:hanging="361"/>
        <w:rPr>
          <w:rFonts w:ascii="Symbol" w:hAnsi="Symbol"/>
        </w:rPr>
      </w:pPr>
      <w:r>
        <w:t>16</w:t>
      </w:r>
      <w:r>
        <w:rPr>
          <w:spacing w:val="-1"/>
        </w:rPr>
        <w:t xml:space="preserve"> </w:t>
      </w:r>
      <w:r>
        <w:t>civil</w:t>
      </w:r>
      <w:r>
        <w:rPr>
          <w:spacing w:val="-3"/>
        </w:rPr>
        <w:t xml:space="preserve"> </w:t>
      </w:r>
      <w:r>
        <w:t>servants</w:t>
      </w:r>
      <w:r>
        <w:rPr>
          <w:spacing w:val="-1"/>
        </w:rPr>
        <w:t xml:space="preserve"> </w:t>
      </w:r>
      <w:r>
        <w:t>(10</w:t>
      </w:r>
      <w:r>
        <w:rPr>
          <w:spacing w:val="-1"/>
        </w:rPr>
        <w:t xml:space="preserve"> </w:t>
      </w:r>
      <w:r>
        <w:t>men,</w:t>
      </w:r>
      <w:r>
        <w:rPr>
          <w:spacing w:val="-1"/>
        </w:rPr>
        <w:t xml:space="preserve"> </w:t>
      </w:r>
      <w:r>
        <w:t>6</w:t>
      </w:r>
      <w:r>
        <w:rPr>
          <w:spacing w:val="-1"/>
        </w:rPr>
        <w:t xml:space="preserve"> </w:t>
      </w:r>
      <w:r>
        <w:t>women) were</w:t>
      </w:r>
      <w:r>
        <w:rPr>
          <w:spacing w:val="-1"/>
        </w:rPr>
        <w:t xml:space="preserve"> </w:t>
      </w:r>
      <w:r>
        <w:t>trained</w:t>
      </w:r>
      <w:r>
        <w:rPr>
          <w:spacing w:val="-1"/>
        </w:rPr>
        <w:t xml:space="preserve"> </w:t>
      </w:r>
      <w:r>
        <w:t>in</w:t>
      </w:r>
      <w:r>
        <w:rPr>
          <w:spacing w:val="-1"/>
        </w:rPr>
        <w:t xml:space="preserve"> </w:t>
      </w:r>
      <w:r>
        <w:t>drafting</w:t>
      </w:r>
      <w:r>
        <w:rPr>
          <w:spacing w:val="-2"/>
        </w:rPr>
        <w:t xml:space="preserve"> </w:t>
      </w:r>
      <w:r>
        <w:t>MSS</w:t>
      </w:r>
      <w:r>
        <w:rPr>
          <w:spacing w:val="-1"/>
        </w:rPr>
        <w:t xml:space="preserve"> </w:t>
      </w:r>
      <w:r>
        <w:t>Action</w:t>
      </w:r>
      <w:r>
        <w:rPr>
          <w:spacing w:val="-1"/>
        </w:rPr>
        <w:t xml:space="preserve"> </w:t>
      </w:r>
      <w:r>
        <w:t>Plans,</w:t>
      </w:r>
      <w:r>
        <w:rPr>
          <w:spacing w:val="-1"/>
        </w:rPr>
        <w:t xml:space="preserve"> </w:t>
      </w:r>
      <w:r>
        <w:t>resulting in the first-ever MSS Action Plan drafted by the Papua Selatan regional government.</w:t>
      </w:r>
    </w:p>
    <w:p w14:paraId="346E70D5" w14:textId="77777777" w:rsidR="00BC24A8" w:rsidRDefault="00000000">
      <w:pPr>
        <w:pStyle w:val="ListParagraph"/>
        <w:numPr>
          <w:ilvl w:val="1"/>
          <w:numId w:val="15"/>
        </w:numPr>
        <w:tabs>
          <w:tab w:val="left" w:pos="861"/>
          <w:tab w:val="left" w:pos="863"/>
        </w:tabs>
        <w:ind w:right="563" w:hanging="361"/>
        <w:rPr>
          <w:rFonts w:ascii="Symbol" w:hAnsi="Symbol"/>
        </w:rPr>
      </w:pPr>
      <w:r>
        <w:t>The MSS achievement index increased significantly from 17% in 2022 to 75% in 2024. This improvement resulted from various MSS training sessions facilitated by SKALA, including support on indicator review, problem mapping, and target setting.</w:t>
      </w:r>
    </w:p>
    <w:p w14:paraId="0BEB64F6" w14:textId="77777777" w:rsidR="00BC24A8" w:rsidRDefault="00000000">
      <w:pPr>
        <w:pStyle w:val="ListParagraph"/>
        <w:numPr>
          <w:ilvl w:val="1"/>
          <w:numId w:val="15"/>
        </w:numPr>
        <w:tabs>
          <w:tab w:val="left" w:pos="861"/>
          <w:tab w:val="left" w:pos="863"/>
        </w:tabs>
        <w:ind w:right="562" w:hanging="361"/>
        <w:rPr>
          <w:rFonts w:ascii="Symbol" w:hAnsi="Symbol"/>
        </w:rPr>
      </w:pPr>
      <w:r>
        <w:t>The Governor’s Decree on MSS 2025 targets was issued, with SKALA providing technical input on target determination and indicator review by sector.</w:t>
      </w:r>
    </w:p>
    <w:p w14:paraId="608CF314" w14:textId="77777777" w:rsidR="00BC24A8" w:rsidRDefault="00000000">
      <w:pPr>
        <w:pStyle w:val="ListParagraph"/>
        <w:numPr>
          <w:ilvl w:val="1"/>
          <w:numId w:val="15"/>
        </w:numPr>
        <w:tabs>
          <w:tab w:val="left" w:pos="863"/>
        </w:tabs>
        <w:ind w:right="564"/>
        <w:rPr>
          <w:rFonts w:ascii="Symbol" w:hAnsi="Symbol"/>
          <w:sz w:val="18"/>
        </w:rPr>
      </w:pPr>
      <w:r>
        <w:t>The</w:t>
      </w:r>
      <w:r>
        <w:rPr>
          <w:spacing w:val="-13"/>
        </w:rPr>
        <w:t xml:space="preserve"> </w:t>
      </w:r>
      <w:r>
        <w:t>Papua</w:t>
      </w:r>
      <w:r>
        <w:rPr>
          <w:spacing w:val="-12"/>
        </w:rPr>
        <w:t xml:space="preserve"> </w:t>
      </w:r>
      <w:r>
        <w:t>Selatan</w:t>
      </w:r>
      <w:r>
        <w:rPr>
          <w:spacing w:val="-13"/>
        </w:rPr>
        <w:t xml:space="preserve"> </w:t>
      </w:r>
      <w:r>
        <w:t>RPJMD</w:t>
      </w:r>
      <w:r>
        <w:rPr>
          <w:spacing w:val="-12"/>
        </w:rPr>
        <w:t xml:space="preserve"> </w:t>
      </w:r>
      <w:r>
        <w:t>2025–2029</w:t>
      </w:r>
      <w:r>
        <w:rPr>
          <w:spacing w:val="-13"/>
        </w:rPr>
        <w:t xml:space="preserve"> </w:t>
      </w:r>
      <w:r>
        <w:t>now</w:t>
      </w:r>
      <w:r>
        <w:rPr>
          <w:spacing w:val="-12"/>
        </w:rPr>
        <w:t xml:space="preserve"> </w:t>
      </w:r>
      <w:r>
        <w:t>integrates</w:t>
      </w:r>
      <w:r>
        <w:rPr>
          <w:spacing w:val="-13"/>
        </w:rPr>
        <w:t xml:space="preserve"> </w:t>
      </w:r>
      <w:r>
        <w:t>MSS</w:t>
      </w:r>
      <w:r>
        <w:rPr>
          <w:spacing w:val="-12"/>
        </w:rPr>
        <w:t xml:space="preserve"> </w:t>
      </w:r>
      <w:r>
        <w:t>and</w:t>
      </w:r>
      <w:r>
        <w:rPr>
          <w:spacing w:val="-12"/>
        </w:rPr>
        <w:t xml:space="preserve"> </w:t>
      </w:r>
      <w:r>
        <w:t>GEDSI</w:t>
      </w:r>
      <w:r>
        <w:rPr>
          <w:spacing w:val="-13"/>
        </w:rPr>
        <w:t xml:space="preserve"> </w:t>
      </w:r>
      <w:r>
        <w:t>considerations</w:t>
      </w:r>
      <w:r>
        <w:rPr>
          <w:spacing w:val="-12"/>
        </w:rPr>
        <w:t xml:space="preserve"> </w:t>
      </w:r>
      <w:r>
        <w:t>in</w:t>
      </w:r>
      <w:r>
        <w:rPr>
          <w:spacing w:val="-13"/>
        </w:rPr>
        <w:t xml:space="preserve"> </w:t>
      </w:r>
      <w:r>
        <w:t>problem mapping, policy directions, strategic issues, and indicators.</w:t>
      </w:r>
    </w:p>
    <w:p w14:paraId="1A562B92" w14:textId="77777777" w:rsidR="00BC24A8" w:rsidRDefault="00BC24A8">
      <w:pPr>
        <w:pStyle w:val="BodyText"/>
        <w:spacing w:before="99"/>
      </w:pPr>
    </w:p>
    <w:p w14:paraId="76D249B1" w14:textId="77777777" w:rsidR="00BC24A8" w:rsidRDefault="00000000">
      <w:pPr>
        <w:pStyle w:val="Heading5"/>
      </w:pPr>
      <w:r>
        <w:t>SKALA</w:t>
      </w:r>
      <w:r>
        <w:rPr>
          <w:spacing w:val="-5"/>
        </w:rPr>
        <w:t xml:space="preserve"> </w:t>
      </w:r>
      <w:r>
        <w:t>supports</w:t>
      </w:r>
      <w:r>
        <w:rPr>
          <w:spacing w:val="-5"/>
        </w:rPr>
        <w:t xml:space="preserve"> </w:t>
      </w:r>
      <w:r>
        <w:t>the</w:t>
      </w:r>
      <w:r>
        <w:rPr>
          <w:spacing w:val="-7"/>
        </w:rPr>
        <w:t xml:space="preserve"> </w:t>
      </w:r>
      <w:r>
        <w:t>optimisation</w:t>
      </w:r>
      <w:r>
        <w:rPr>
          <w:spacing w:val="-6"/>
        </w:rPr>
        <w:t xml:space="preserve"> </w:t>
      </w:r>
      <w:r>
        <w:t>of</w:t>
      </w:r>
      <w:r>
        <w:rPr>
          <w:spacing w:val="-6"/>
        </w:rPr>
        <w:t xml:space="preserve"> </w:t>
      </w:r>
      <w:r>
        <w:t>Otsus</w:t>
      </w:r>
      <w:r>
        <w:rPr>
          <w:spacing w:val="-4"/>
        </w:rPr>
        <w:t xml:space="preserve"> </w:t>
      </w:r>
      <w:r>
        <w:t>funds</w:t>
      </w:r>
      <w:r>
        <w:rPr>
          <w:spacing w:val="-8"/>
        </w:rPr>
        <w:t xml:space="preserve"> </w:t>
      </w:r>
      <w:r>
        <w:t>for</w:t>
      </w:r>
      <w:r>
        <w:rPr>
          <w:spacing w:val="-5"/>
        </w:rPr>
        <w:t xml:space="preserve"> </w:t>
      </w:r>
      <w:r>
        <w:t>basic</w:t>
      </w:r>
      <w:r>
        <w:rPr>
          <w:spacing w:val="-6"/>
        </w:rPr>
        <w:t xml:space="preserve"> </w:t>
      </w:r>
      <w:r>
        <w:rPr>
          <w:spacing w:val="-2"/>
        </w:rPr>
        <w:t>services:</w:t>
      </w:r>
    </w:p>
    <w:p w14:paraId="7C61FA57" w14:textId="77777777" w:rsidR="00BC24A8" w:rsidRDefault="00000000">
      <w:pPr>
        <w:pStyle w:val="ListParagraph"/>
        <w:numPr>
          <w:ilvl w:val="1"/>
          <w:numId w:val="15"/>
        </w:numPr>
        <w:tabs>
          <w:tab w:val="left" w:pos="861"/>
          <w:tab w:val="left" w:pos="863"/>
        </w:tabs>
        <w:spacing w:before="161"/>
        <w:ind w:right="564" w:hanging="361"/>
        <w:rPr>
          <w:rFonts w:ascii="Symbol" w:hAnsi="Symbol"/>
        </w:rPr>
      </w:pPr>
      <w:r>
        <w:t>86</w:t>
      </w:r>
      <w:r>
        <w:rPr>
          <w:spacing w:val="-12"/>
        </w:rPr>
        <w:t xml:space="preserve"> </w:t>
      </w:r>
      <w:r>
        <w:t>participants</w:t>
      </w:r>
      <w:r>
        <w:rPr>
          <w:spacing w:val="-11"/>
        </w:rPr>
        <w:t xml:space="preserve"> </w:t>
      </w:r>
      <w:r>
        <w:t>received</w:t>
      </w:r>
      <w:r>
        <w:rPr>
          <w:spacing w:val="-12"/>
        </w:rPr>
        <w:t xml:space="preserve"> </w:t>
      </w:r>
      <w:r>
        <w:t>socialisation</w:t>
      </w:r>
      <w:r>
        <w:rPr>
          <w:spacing w:val="-9"/>
        </w:rPr>
        <w:t xml:space="preserve"> </w:t>
      </w:r>
      <w:r>
        <w:t>on</w:t>
      </w:r>
      <w:r>
        <w:rPr>
          <w:spacing w:val="-9"/>
        </w:rPr>
        <w:t xml:space="preserve"> </w:t>
      </w:r>
      <w:r>
        <w:t>using</w:t>
      </w:r>
      <w:r>
        <w:rPr>
          <w:spacing w:val="-10"/>
        </w:rPr>
        <w:t xml:space="preserve"> </w:t>
      </w:r>
      <w:r>
        <w:t>the</w:t>
      </w:r>
      <w:r>
        <w:rPr>
          <w:spacing w:val="-11"/>
        </w:rPr>
        <w:t xml:space="preserve"> </w:t>
      </w:r>
      <w:r>
        <w:t>Musrenbangsus</w:t>
      </w:r>
      <w:r>
        <w:rPr>
          <w:spacing w:val="-9"/>
        </w:rPr>
        <w:t xml:space="preserve"> </w:t>
      </w:r>
      <w:r>
        <w:t>and</w:t>
      </w:r>
      <w:r>
        <w:rPr>
          <w:spacing w:val="-12"/>
        </w:rPr>
        <w:t xml:space="preserve"> </w:t>
      </w:r>
      <w:r>
        <w:t>SIPPP</w:t>
      </w:r>
      <w:r>
        <w:rPr>
          <w:spacing w:val="-9"/>
        </w:rPr>
        <w:t xml:space="preserve"> </w:t>
      </w:r>
      <w:r>
        <w:t>guidelines</w:t>
      </w:r>
      <w:r>
        <w:rPr>
          <w:spacing w:val="-11"/>
        </w:rPr>
        <w:t xml:space="preserve"> </w:t>
      </w:r>
      <w:r>
        <w:t>(Papua, Papua Pegunungan, Papua Selatan clusters).</w:t>
      </w:r>
    </w:p>
    <w:p w14:paraId="55CDE34D" w14:textId="77777777" w:rsidR="00BC24A8" w:rsidRDefault="00000000">
      <w:pPr>
        <w:pStyle w:val="ListParagraph"/>
        <w:numPr>
          <w:ilvl w:val="1"/>
          <w:numId w:val="15"/>
        </w:numPr>
        <w:tabs>
          <w:tab w:val="left" w:pos="861"/>
          <w:tab w:val="left" w:pos="863"/>
        </w:tabs>
        <w:ind w:right="565" w:hanging="361"/>
        <w:rPr>
          <w:rFonts w:ascii="Symbol" w:hAnsi="Symbol"/>
        </w:rPr>
      </w:pPr>
      <w:r>
        <w:t>The</w:t>
      </w:r>
      <w:r>
        <w:rPr>
          <w:spacing w:val="-2"/>
        </w:rPr>
        <w:t xml:space="preserve"> </w:t>
      </w:r>
      <w:r>
        <w:t>RIPPP</w:t>
      </w:r>
      <w:r>
        <w:rPr>
          <w:spacing w:val="-5"/>
        </w:rPr>
        <w:t xml:space="preserve"> </w:t>
      </w:r>
      <w:r>
        <w:t>has</w:t>
      </w:r>
      <w:r>
        <w:rPr>
          <w:spacing w:val="-4"/>
        </w:rPr>
        <w:t xml:space="preserve"> </w:t>
      </w:r>
      <w:r>
        <w:t>been</w:t>
      </w:r>
      <w:r>
        <w:rPr>
          <w:spacing w:val="-2"/>
        </w:rPr>
        <w:t xml:space="preserve"> </w:t>
      </w:r>
      <w:r>
        <w:t>aligned</w:t>
      </w:r>
      <w:r>
        <w:rPr>
          <w:spacing w:val="-5"/>
        </w:rPr>
        <w:t xml:space="preserve"> </w:t>
      </w:r>
      <w:r>
        <w:t>with</w:t>
      </w:r>
      <w:r>
        <w:rPr>
          <w:spacing w:val="-2"/>
        </w:rPr>
        <w:t xml:space="preserve"> </w:t>
      </w:r>
      <w:r>
        <w:t>the</w:t>
      </w:r>
      <w:r>
        <w:rPr>
          <w:spacing w:val="-4"/>
        </w:rPr>
        <w:t xml:space="preserve"> </w:t>
      </w:r>
      <w:r>
        <w:t>RPJMD</w:t>
      </w:r>
      <w:r>
        <w:rPr>
          <w:spacing w:val="-2"/>
        </w:rPr>
        <w:t xml:space="preserve"> </w:t>
      </w:r>
      <w:r>
        <w:t>2025–2029,</w:t>
      </w:r>
      <w:r>
        <w:rPr>
          <w:spacing w:val="-4"/>
        </w:rPr>
        <w:t xml:space="preserve"> </w:t>
      </w:r>
      <w:r>
        <w:t>ensuring</w:t>
      </w:r>
      <w:r>
        <w:rPr>
          <w:spacing w:val="-3"/>
        </w:rPr>
        <w:t xml:space="preserve"> </w:t>
      </w:r>
      <w:r>
        <w:t>that</w:t>
      </w:r>
      <w:r>
        <w:rPr>
          <w:spacing w:val="-3"/>
        </w:rPr>
        <w:t xml:space="preserve"> </w:t>
      </w:r>
      <w:r>
        <w:t>Otsus</w:t>
      </w:r>
      <w:r>
        <w:rPr>
          <w:spacing w:val="-2"/>
        </w:rPr>
        <w:t xml:space="preserve"> </w:t>
      </w:r>
      <w:r>
        <w:t>priority</w:t>
      </w:r>
      <w:r>
        <w:rPr>
          <w:spacing w:val="-2"/>
        </w:rPr>
        <w:t xml:space="preserve"> </w:t>
      </w:r>
      <w:r>
        <w:t>programs are integrated into policy strategies and regional development directions.</w:t>
      </w:r>
    </w:p>
    <w:p w14:paraId="5695D903" w14:textId="77777777" w:rsidR="00BC24A8" w:rsidRDefault="00BC24A8">
      <w:pPr>
        <w:pStyle w:val="BodyText"/>
        <w:rPr>
          <w:sz w:val="20"/>
        </w:rPr>
      </w:pPr>
    </w:p>
    <w:p w14:paraId="4DB33256" w14:textId="77777777" w:rsidR="00BC24A8" w:rsidRDefault="00000000">
      <w:pPr>
        <w:pStyle w:val="BodyText"/>
        <w:spacing w:before="80"/>
        <w:rPr>
          <w:sz w:val="20"/>
        </w:rPr>
      </w:pPr>
      <w:r>
        <w:rPr>
          <w:noProof/>
          <w:sz w:val="20"/>
        </w:rPr>
        <mc:AlternateContent>
          <mc:Choice Requires="wps">
            <w:drawing>
              <wp:anchor distT="0" distB="0" distL="0" distR="0" simplePos="0" relativeHeight="487636480" behindDoc="1" locked="0" layoutInCell="1" allowOverlap="1" wp14:anchorId="4212121E" wp14:editId="531D6F00">
                <wp:simplePos x="0" y="0"/>
                <wp:positionH relativeFrom="page">
                  <wp:posOffset>900683</wp:posOffset>
                </wp:positionH>
                <wp:positionV relativeFrom="paragraph">
                  <wp:posOffset>221452</wp:posOffset>
                </wp:positionV>
                <wp:extent cx="1828800" cy="9525"/>
                <wp:effectExtent l="0" t="0" r="0" b="0"/>
                <wp:wrapTopAndBottom/>
                <wp:docPr id="305" name="Graphic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1687ED" id="Graphic 305" o:spid="_x0000_s1026" alt="&quot;&quot;" style="position:absolute;margin-left:70.9pt;margin-top:17.45pt;width:2in;height:.75pt;z-index:-156800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" path="m1828800,l,,,9144r1828800,l1828800,xe" fillcolor="black" stroked="f">
                <v:path arrowok="t"/>
                <w10:wrap type="topAndBottom" anchorx="page"/>
              </v:shape>
            </w:pict>
          </mc:Fallback>
        </mc:AlternateContent>
      </w:r>
    </w:p>
    <w:p w14:paraId="6E9EFCCF" w14:textId="77777777" w:rsidR="00BC24A8" w:rsidRDefault="00BC24A8">
      <w:pPr>
        <w:pStyle w:val="BodyText"/>
        <w:spacing w:before="105"/>
        <w:rPr>
          <w:sz w:val="16"/>
        </w:rPr>
      </w:pPr>
    </w:p>
    <w:p w14:paraId="64557CCB" w14:textId="77777777" w:rsidR="00BC24A8" w:rsidRDefault="00000000">
      <w:pPr>
        <w:spacing w:before="1"/>
        <w:ind w:left="143" w:right="465"/>
        <w:rPr>
          <w:sz w:val="16"/>
        </w:rPr>
      </w:pPr>
      <w:bookmarkStart w:id="239" w:name="_bookmark168"/>
      <w:bookmarkEnd w:id="239"/>
      <w:r>
        <w:rPr>
          <w:color w:val="767070"/>
          <w:sz w:val="16"/>
          <w:vertAlign w:val="superscript"/>
        </w:rPr>
        <w:t>88</w:t>
      </w:r>
      <w:r>
        <w:rPr>
          <w:color w:val="767070"/>
          <w:spacing w:val="-4"/>
          <w:sz w:val="16"/>
        </w:rPr>
        <w:t xml:space="preserve"> </w:t>
      </w:r>
      <w:r>
        <w:rPr>
          <w:color w:val="767070"/>
          <w:sz w:val="16"/>
        </w:rPr>
        <w:t>SIRIOS</w:t>
      </w:r>
      <w:r>
        <w:rPr>
          <w:color w:val="767070"/>
          <w:spacing w:val="-4"/>
          <w:sz w:val="16"/>
        </w:rPr>
        <w:t xml:space="preserve"> </w:t>
      </w:r>
      <w:r>
        <w:rPr>
          <w:color w:val="767070"/>
          <w:sz w:val="16"/>
        </w:rPr>
        <w:t>(South</w:t>
      </w:r>
      <w:r>
        <w:rPr>
          <w:color w:val="767070"/>
          <w:spacing w:val="-6"/>
          <w:sz w:val="16"/>
        </w:rPr>
        <w:t xml:space="preserve"> </w:t>
      </w:r>
      <w:r>
        <w:rPr>
          <w:color w:val="767070"/>
          <w:sz w:val="16"/>
        </w:rPr>
        <w:t>Papua</w:t>
      </w:r>
      <w:r>
        <w:rPr>
          <w:color w:val="767070"/>
          <w:spacing w:val="-3"/>
          <w:sz w:val="16"/>
        </w:rPr>
        <w:t xml:space="preserve"> </w:t>
      </w:r>
      <w:r>
        <w:rPr>
          <w:color w:val="767070"/>
          <w:sz w:val="16"/>
        </w:rPr>
        <w:t>Indigenous</w:t>
      </w:r>
      <w:r>
        <w:rPr>
          <w:color w:val="767070"/>
          <w:spacing w:val="-6"/>
          <w:sz w:val="16"/>
        </w:rPr>
        <w:t xml:space="preserve"> </w:t>
      </w:r>
      <w:r>
        <w:rPr>
          <w:color w:val="767070"/>
          <w:sz w:val="16"/>
        </w:rPr>
        <w:t>Peoples</w:t>
      </w:r>
      <w:r>
        <w:rPr>
          <w:color w:val="767070"/>
          <w:spacing w:val="-3"/>
          <w:sz w:val="16"/>
        </w:rPr>
        <w:t xml:space="preserve"> </w:t>
      </w:r>
      <w:r>
        <w:rPr>
          <w:color w:val="767070"/>
          <w:sz w:val="16"/>
        </w:rPr>
        <w:t>Information</w:t>
      </w:r>
      <w:r>
        <w:rPr>
          <w:color w:val="767070"/>
          <w:spacing w:val="-3"/>
          <w:sz w:val="16"/>
        </w:rPr>
        <w:t xml:space="preserve"> </w:t>
      </w:r>
      <w:r>
        <w:rPr>
          <w:color w:val="767070"/>
          <w:sz w:val="16"/>
        </w:rPr>
        <w:t>System)</w:t>
      </w:r>
      <w:r>
        <w:rPr>
          <w:color w:val="767070"/>
          <w:spacing w:val="-6"/>
          <w:sz w:val="16"/>
        </w:rPr>
        <w:t xml:space="preserve"> </w:t>
      </w:r>
      <w:r>
        <w:rPr>
          <w:color w:val="767070"/>
          <w:sz w:val="16"/>
        </w:rPr>
        <w:t>is</w:t>
      </w:r>
      <w:r>
        <w:rPr>
          <w:color w:val="767070"/>
          <w:spacing w:val="-3"/>
          <w:sz w:val="16"/>
        </w:rPr>
        <w:t xml:space="preserve"> </w:t>
      </w:r>
      <w:r>
        <w:rPr>
          <w:color w:val="767070"/>
          <w:sz w:val="16"/>
        </w:rPr>
        <w:t>an</w:t>
      </w:r>
      <w:r>
        <w:rPr>
          <w:color w:val="767070"/>
          <w:spacing w:val="-3"/>
          <w:sz w:val="16"/>
        </w:rPr>
        <w:t xml:space="preserve"> </w:t>
      </w:r>
      <w:r>
        <w:rPr>
          <w:color w:val="767070"/>
          <w:sz w:val="16"/>
        </w:rPr>
        <w:t>information</w:t>
      </w:r>
      <w:r>
        <w:rPr>
          <w:color w:val="767070"/>
          <w:spacing w:val="-3"/>
          <w:sz w:val="16"/>
        </w:rPr>
        <w:t xml:space="preserve"> </w:t>
      </w:r>
      <w:r>
        <w:rPr>
          <w:color w:val="767070"/>
          <w:sz w:val="16"/>
        </w:rPr>
        <w:t>system</w:t>
      </w:r>
      <w:r>
        <w:rPr>
          <w:color w:val="767070"/>
          <w:spacing w:val="-4"/>
          <w:sz w:val="16"/>
        </w:rPr>
        <w:t xml:space="preserve"> </w:t>
      </w:r>
      <w:r>
        <w:rPr>
          <w:color w:val="767070"/>
          <w:sz w:val="16"/>
        </w:rPr>
        <w:t>that</w:t>
      </w:r>
      <w:r>
        <w:rPr>
          <w:color w:val="767070"/>
          <w:spacing w:val="-4"/>
          <w:sz w:val="16"/>
        </w:rPr>
        <w:t xml:space="preserve"> </w:t>
      </w:r>
      <w:r>
        <w:rPr>
          <w:color w:val="767070"/>
          <w:sz w:val="16"/>
        </w:rPr>
        <w:t>manages</w:t>
      </w:r>
      <w:r>
        <w:rPr>
          <w:color w:val="767070"/>
          <w:spacing w:val="-6"/>
          <w:sz w:val="16"/>
        </w:rPr>
        <w:t xml:space="preserve"> </w:t>
      </w:r>
      <w:r>
        <w:rPr>
          <w:color w:val="767070"/>
          <w:sz w:val="16"/>
        </w:rPr>
        <w:t>population</w:t>
      </w:r>
      <w:r>
        <w:rPr>
          <w:color w:val="767070"/>
          <w:spacing w:val="-6"/>
          <w:sz w:val="16"/>
        </w:rPr>
        <w:t xml:space="preserve"> </w:t>
      </w:r>
      <w:r>
        <w:rPr>
          <w:color w:val="767070"/>
          <w:sz w:val="16"/>
        </w:rPr>
        <w:t>and</w:t>
      </w:r>
      <w:r>
        <w:rPr>
          <w:color w:val="767070"/>
          <w:spacing w:val="-6"/>
          <w:sz w:val="16"/>
        </w:rPr>
        <w:t xml:space="preserve"> </w:t>
      </w:r>
      <w:r>
        <w:rPr>
          <w:color w:val="767070"/>
          <w:sz w:val="16"/>
        </w:rPr>
        <w:t>household</w:t>
      </w:r>
      <w:r>
        <w:rPr>
          <w:color w:val="767070"/>
          <w:spacing w:val="-3"/>
          <w:sz w:val="16"/>
        </w:rPr>
        <w:t xml:space="preserve"> </w:t>
      </w:r>
      <w:r>
        <w:rPr>
          <w:color w:val="767070"/>
          <w:sz w:val="16"/>
        </w:rPr>
        <w:t>data</w:t>
      </w:r>
      <w:r>
        <w:rPr>
          <w:color w:val="767070"/>
          <w:spacing w:val="-3"/>
          <w:sz w:val="16"/>
        </w:rPr>
        <w:t xml:space="preserve"> </w:t>
      </w:r>
      <w:r>
        <w:rPr>
          <w:color w:val="767070"/>
          <w:sz w:val="16"/>
        </w:rPr>
        <w:t>at</w:t>
      </w:r>
      <w:r>
        <w:rPr>
          <w:color w:val="767070"/>
          <w:spacing w:val="-4"/>
          <w:sz w:val="16"/>
        </w:rPr>
        <w:t xml:space="preserve"> </w:t>
      </w:r>
      <w:r>
        <w:rPr>
          <w:color w:val="767070"/>
          <w:sz w:val="16"/>
        </w:rPr>
        <w:t>the</w:t>
      </w:r>
      <w:r>
        <w:rPr>
          <w:color w:val="767070"/>
          <w:spacing w:val="40"/>
          <w:sz w:val="16"/>
        </w:rPr>
        <w:t xml:space="preserve"> </w:t>
      </w:r>
      <w:r>
        <w:rPr>
          <w:color w:val="767070"/>
          <w:sz w:val="16"/>
        </w:rPr>
        <w:t>village level in Papua Selatan.</w:t>
      </w:r>
    </w:p>
    <w:p w14:paraId="3EA171A8" w14:textId="77777777" w:rsidR="00BC24A8" w:rsidRDefault="00BC24A8">
      <w:pPr>
        <w:rPr>
          <w:sz w:val="16"/>
        </w:rPr>
        <w:sectPr w:rsidR="00BC24A8">
          <w:pgSz w:w="11910" w:h="16840"/>
          <w:pgMar w:top="1360" w:right="850" w:bottom="1100" w:left="1275" w:header="0" w:footer="907" w:gutter="0"/>
          <w:cols w:space="720"/>
        </w:sectPr>
      </w:pPr>
    </w:p>
    <w:p w14:paraId="529201D0" w14:textId="77777777" w:rsidR="00BC24A8" w:rsidRDefault="00000000">
      <w:pPr>
        <w:pStyle w:val="ListParagraph"/>
        <w:numPr>
          <w:ilvl w:val="1"/>
          <w:numId w:val="15"/>
        </w:numPr>
        <w:tabs>
          <w:tab w:val="left" w:pos="861"/>
          <w:tab w:val="left" w:pos="863"/>
        </w:tabs>
        <w:spacing w:before="79"/>
        <w:ind w:right="565" w:hanging="361"/>
        <w:rPr>
          <w:rFonts w:ascii="Symbol" w:hAnsi="Symbol"/>
        </w:rPr>
      </w:pPr>
      <w:r>
        <w:t>A social protection design for children under five and OAP families is currently being drafted, with substantive support from SKALA.</w:t>
      </w:r>
    </w:p>
    <w:p w14:paraId="465C62DA" w14:textId="77777777" w:rsidR="00BC24A8" w:rsidRDefault="00BC24A8">
      <w:pPr>
        <w:pStyle w:val="BodyText"/>
        <w:spacing w:before="102"/>
      </w:pPr>
    </w:p>
    <w:p w14:paraId="61491A50" w14:textId="77777777" w:rsidR="00BC24A8" w:rsidRDefault="00000000">
      <w:pPr>
        <w:pStyle w:val="Heading5"/>
      </w:pPr>
      <w:r>
        <w:t>SKALA</w:t>
      </w:r>
      <w:r>
        <w:rPr>
          <w:spacing w:val="-7"/>
        </w:rPr>
        <w:t xml:space="preserve"> </w:t>
      </w:r>
      <w:r>
        <w:t>promotes</w:t>
      </w:r>
      <w:r>
        <w:rPr>
          <w:spacing w:val="-10"/>
        </w:rPr>
        <w:t xml:space="preserve"> </w:t>
      </w:r>
      <w:r>
        <w:t>gender-responsive</w:t>
      </w:r>
      <w:r>
        <w:rPr>
          <w:spacing w:val="-10"/>
        </w:rPr>
        <w:t xml:space="preserve"> </w:t>
      </w:r>
      <w:r>
        <w:t>planning</w:t>
      </w:r>
      <w:r>
        <w:rPr>
          <w:spacing w:val="-9"/>
        </w:rPr>
        <w:t xml:space="preserve"> </w:t>
      </w:r>
      <w:r>
        <w:t>and</w:t>
      </w:r>
      <w:r>
        <w:rPr>
          <w:spacing w:val="-8"/>
        </w:rPr>
        <w:t xml:space="preserve"> </w:t>
      </w:r>
      <w:r>
        <w:t>budgeting</w:t>
      </w:r>
      <w:r>
        <w:rPr>
          <w:spacing w:val="-9"/>
        </w:rPr>
        <w:t xml:space="preserve"> </w:t>
      </w:r>
      <w:r>
        <w:t>(PPRG)</w:t>
      </w:r>
      <w:r>
        <w:rPr>
          <w:spacing w:val="-8"/>
        </w:rPr>
        <w:t xml:space="preserve"> </w:t>
      </w:r>
      <w:r>
        <w:t>by</w:t>
      </w:r>
      <w:r>
        <w:rPr>
          <w:spacing w:val="-9"/>
        </w:rPr>
        <w:t xml:space="preserve"> </w:t>
      </w:r>
      <w:r>
        <w:t>strengthening</w:t>
      </w:r>
      <w:r>
        <w:rPr>
          <w:spacing w:val="-7"/>
        </w:rPr>
        <w:t xml:space="preserve"> </w:t>
      </w:r>
      <w:r>
        <w:t>the</w:t>
      </w:r>
      <w:r>
        <w:rPr>
          <w:spacing w:val="-10"/>
        </w:rPr>
        <w:t xml:space="preserve"> </w:t>
      </w:r>
      <w:r>
        <w:t>role</w:t>
      </w:r>
      <w:r>
        <w:rPr>
          <w:spacing w:val="-10"/>
        </w:rPr>
        <w:t xml:space="preserve"> </w:t>
      </w:r>
      <w:r>
        <w:t>of</w:t>
      </w:r>
      <w:r>
        <w:rPr>
          <w:spacing w:val="-10"/>
        </w:rPr>
        <w:t xml:space="preserve"> </w:t>
      </w:r>
      <w:r>
        <w:rPr>
          <w:spacing w:val="-5"/>
        </w:rPr>
        <w:t>the</w:t>
      </w:r>
    </w:p>
    <w:p w14:paraId="4C835617" w14:textId="77777777" w:rsidR="00BC24A8" w:rsidRDefault="00000000">
      <w:pPr>
        <w:ind w:left="143"/>
        <w:rPr>
          <w:rFonts w:ascii="Calibri"/>
          <w:b/>
        </w:rPr>
      </w:pPr>
      <w:r>
        <w:rPr>
          <w:rFonts w:ascii="Calibri"/>
          <w:b/>
        </w:rPr>
        <w:t>PUG</w:t>
      </w:r>
      <w:r>
        <w:rPr>
          <w:rFonts w:ascii="Calibri"/>
          <w:b/>
          <w:spacing w:val="-4"/>
        </w:rPr>
        <w:t xml:space="preserve"> </w:t>
      </w:r>
      <w:r>
        <w:rPr>
          <w:rFonts w:ascii="Calibri"/>
          <w:b/>
          <w:spacing w:val="-2"/>
        </w:rPr>
        <w:t>Team:</w:t>
      </w:r>
    </w:p>
    <w:p w14:paraId="658A80D4" w14:textId="77777777" w:rsidR="00BC24A8" w:rsidRDefault="00000000">
      <w:pPr>
        <w:pStyle w:val="ListParagraph"/>
        <w:numPr>
          <w:ilvl w:val="1"/>
          <w:numId w:val="15"/>
        </w:numPr>
        <w:tabs>
          <w:tab w:val="left" w:pos="863"/>
        </w:tabs>
        <w:spacing w:before="159"/>
        <w:ind w:right="563"/>
        <w:rPr>
          <w:rFonts w:ascii="Symbol" w:hAnsi="Symbol"/>
          <w:sz w:val="20"/>
        </w:rPr>
      </w:pPr>
      <w:r>
        <w:t xml:space="preserve">The Governor’s Decree on the PUG Implementation Team has been issued to guide OPDs in implementing Gender-Responsive </w:t>
      </w:r>
      <w:r>
        <w:rPr>
          <w:sz w:val="20"/>
        </w:rPr>
        <w:t>Planning and Budgeting (PPRG).</w:t>
      </w:r>
    </w:p>
    <w:p w14:paraId="0D7D2201" w14:textId="77777777" w:rsidR="00BC24A8" w:rsidRDefault="00BC24A8">
      <w:pPr>
        <w:pStyle w:val="BodyText"/>
        <w:spacing w:before="103"/>
      </w:pPr>
    </w:p>
    <w:p w14:paraId="148E43CD" w14:textId="77777777" w:rsidR="00BC24A8" w:rsidRDefault="00000000">
      <w:pPr>
        <w:pStyle w:val="Heading5"/>
        <w:spacing w:before="1"/>
      </w:pPr>
      <w:r>
        <w:rPr>
          <w:color w:val="17365A"/>
        </w:rPr>
        <w:t>GEDSI</w:t>
      </w:r>
      <w:r>
        <w:rPr>
          <w:color w:val="17365A"/>
          <w:spacing w:val="-5"/>
        </w:rPr>
        <w:t xml:space="preserve"> </w:t>
      </w:r>
      <w:r>
        <w:rPr>
          <w:color w:val="17365A"/>
        </w:rPr>
        <w:t>–</w:t>
      </w:r>
      <w:r>
        <w:rPr>
          <w:color w:val="17365A"/>
          <w:spacing w:val="-3"/>
        </w:rPr>
        <w:t xml:space="preserve"> </w:t>
      </w:r>
      <w:r>
        <w:rPr>
          <w:color w:val="17365A"/>
        </w:rPr>
        <w:t>Participation</w:t>
      </w:r>
      <w:r>
        <w:rPr>
          <w:color w:val="17365A"/>
          <w:spacing w:val="-4"/>
        </w:rPr>
        <w:t xml:space="preserve"> </w:t>
      </w:r>
      <w:r>
        <w:rPr>
          <w:color w:val="17365A"/>
        </w:rPr>
        <w:t>and</w:t>
      </w:r>
      <w:r>
        <w:rPr>
          <w:color w:val="17365A"/>
          <w:spacing w:val="-5"/>
        </w:rPr>
        <w:t xml:space="preserve"> </w:t>
      </w:r>
      <w:r>
        <w:rPr>
          <w:color w:val="17365A"/>
        </w:rPr>
        <w:t>Planning</w:t>
      </w:r>
      <w:r>
        <w:rPr>
          <w:color w:val="17365A"/>
          <w:spacing w:val="-4"/>
        </w:rPr>
        <w:t xml:space="preserve"> </w:t>
      </w:r>
      <w:r>
        <w:rPr>
          <w:color w:val="17365A"/>
        </w:rPr>
        <w:t>(IO</w:t>
      </w:r>
      <w:r>
        <w:rPr>
          <w:color w:val="17365A"/>
          <w:spacing w:val="-7"/>
        </w:rPr>
        <w:t xml:space="preserve"> </w:t>
      </w:r>
      <w:r>
        <w:rPr>
          <w:color w:val="17365A"/>
        </w:rPr>
        <w:t>7</w:t>
      </w:r>
      <w:r>
        <w:rPr>
          <w:color w:val="17365A"/>
          <w:spacing w:val="-3"/>
        </w:rPr>
        <w:t xml:space="preserve"> </w:t>
      </w:r>
      <w:r>
        <w:rPr>
          <w:color w:val="17365A"/>
        </w:rPr>
        <w:t>and</w:t>
      </w:r>
      <w:r>
        <w:rPr>
          <w:color w:val="17365A"/>
          <w:spacing w:val="-4"/>
        </w:rPr>
        <w:t xml:space="preserve"> </w:t>
      </w:r>
      <w:r>
        <w:rPr>
          <w:color w:val="17365A"/>
          <w:spacing w:val="-5"/>
        </w:rPr>
        <w:t>8)</w:t>
      </w:r>
    </w:p>
    <w:p w14:paraId="30CBD53B" w14:textId="77777777" w:rsidR="00BC24A8" w:rsidRDefault="00000000">
      <w:pPr>
        <w:spacing w:before="161"/>
        <w:ind w:left="143"/>
        <w:rPr>
          <w:rFonts w:ascii="Calibri"/>
          <w:b/>
        </w:rPr>
      </w:pPr>
      <w:r>
        <w:rPr>
          <w:rFonts w:ascii="Calibri"/>
          <w:b/>
        </w:rPr>
        <w:t>SKALA</w:t>
      </w:r>
      <w:r>
        <w:rPr>
          <w:rFonts w:ascii="Calibri"/>
          <w:b/>
          <w:spacing w:val="-8"/>
        </w:rPr>
        <w:t xml:space="preserve"> </w:t>
      </w:r>
      <w:r>
        <w:rPr>
          <w:rFonts w:ascii="Calibri"/>
          <w:b/>
        </w:rPr>
        <w:t>supports</w:t>
      </w:r>
      <w:r>
        <w:rPr>
          <w:rFonts w:ascii="Calibri"/>
          <w:b/>
          <w:spacing w:val="-6"/>
        </w:rPr>
        <w:t xml:space="preserve"> </w:t>
      </w:r>
      <w:r>
        <w:rPr>
          <w:rFonts w:ascii="Calibri"/>
          <w:b/>
        </w:rPr>
        <w:t>the</w:t>
      </w:r>
      <w:r>
        <w:rPr>
          <w:rFonts w:ascii="Calibri"/>
          <w:b/>
          <w:spacing w:val="-7"/>
        </w:rPr>
        <w:t xml:space="preserve"> </w:t>
      </w:r>
      <w:r>
        <w:rPr>
          <w:rFonts w:ascii="Calibri"/>
          <w:b/>
        </w:rPr>
        <w:t>involvement</w:t>
      </w:r>
      <w:r>
        <w:rPr>
          <w:rFonts w:ascii="Calibri"/>
          <w:b/>
          <w:spacing w:val="-6"/>
        </w:rPr>
        <w:t xml:space="preserve"> </w:t>
      </w:r>
      <w:r>
        <w:rPr>
          <w:rFonts w:ascii="Calibri"/>
          <w:b/>
        </w:rPr>
        <w:t>of</w:t>
      </w:r>
      <w:r>
        <w:rPr>
          <w:rFonts w:ascii="Calibri"/>
          <w:b/>
          <w:spacing w:val="-9"/>
        </w:rPr>
        <w:t xml:space="preserve"> </w:t>
      </w:r>
      <w:r>
        <w:rPr>
          <w:rFonts w:ascii="Calibri"/>
          <w:b/>
        </w:rPr>
        <w:t>vulnerable</w:t>
      </w:r>
      <w:r>
        <w:rPr>
          <w:rFonts w:ascii="Calibri"/>
          <w:b/>
          <w:spacing w:val="-9"/>
        </w:rPr>
        <w:t xml:space="preserve"> </w:t>
      </w:r>
      <w:r>
        <w:rPr>
          <w:rFonts w:ascii="Calibri"/>
          <w:b/>
        </w:rPr>
        <w:t>groups</w:t>
      </w:r>
      <w:r>
        <w:rPr>
          <w:rFonts w:ascii="Calibri"/>
          <w:b/>
          <w:spacing w:val="-5"/>
        </w:rPr>
        <w:t xml:space="preserve"> </w:t>
      </w:r>
      <w:r>
        <w:rPr>
          <w:rFonts w:ascii="Calibri"/>
          <w:b/>
        </w:rPr>
        <w:t>in</w:t>
      </w:r>
      <w:r>
        <w:rPr>
          <w:rFonts w:ascii="Calibri"/>
          <w:b/>
          <w:spacing w:val="-7"/>
        </w:rPr>
        <w:t xml:space="preserve"> </w:t>
      </w:r>
      <w:r>
        <w:rPr>
          <w:rFonts w:ascii="Calibri"/>
          <w:b/>
          <w:spacing w:val="-2"/>
        </w:rPr>
        <w:t>planning:</w:t>
      </w:r>
    </w:p>
    <w:p w14:paraId="16C01666" w14:textId="77777777" w:rsidR="00BC24A8" w:rsidRDefault="00000000">
      <w:pPr>
        <w:pStyle w:val="ListParagraph"/>
        <w:numPr>
          <w:ilvl w:val="1"/>
          <w:numId w:val="15"/>
        </w:numPr>
        <w:tabs>
          <w:tab w:val="left" w:pos="861"/>
          <w:tab w:val="left" w:pos="863"/>
        </w:tabs>
        <w:spacing w:before="159"/>
        <w:ind w:right="562" w:hanging="361"/>
        <w:rPr>
          <w:rFonts w:ascii="Symbol" w:hAnsi="Symbol"/>
        </w:rPr>
      </w:pPr>
      <w:r>
        <w:t>23 CSOs and</w:t>
      </w:r>
      <w:r>
        <w:rPr>
          <w:spacing w:val="-3"/>
        </w:rPr>
        <w:t xml:space="preserve"> </w:t>
      </w:r>
      <w:r>
        <w:t>3 DPOs were</w:t>
      </w:r>
      <w:r>
        <w:rPr>
          <w:spacing w:val="-2"/>
        </w:rPr>
        <w:t xml:space="preserve"> </w:t>
      </w:r>
      <w:r>
        <w:t>engaged in the preparation</w:t>
      </w:r>
      <w:r>
        <w:rPr>
          <w:spacing w:val="-3"/>
        </w:rPr>
        <w:t xml:space="preserve"> </w:t>
      </w:r>
      <w:r>
        <w:t>of the Papua</w:t>
      </w:r>
      <w:r>
        <w:rPr>
          <w:spacing w:val="-4"/>
        </w:rPr>
        <w:t xml:space="preserve"> </w:t>
      </w:r>
      <w:r>
        <w:t>Selatan RPJMD 2025–2029 through the GEDSI thematic pre-Musrenbang process. This process generated 177 proposals, which were submitted to the Vice Governor. Bappeda and the drafting team will review and analyse these proposals to incorporate them into the RPJMD.</w:t>
      </w:r>
    </w:p>
    <w:p w14:paraId="6227F1FD" w14:textId="77777777" w:rsidR="00BC24A8" w:rsidRDefault="00BC24A8">
      <w:pPr>
        <w:pStyle w:val="BodyText"/>
        <w:spacing w:before="262"/>
      </w:pPr>
    </w:p>
    <w:p w14:paraId="317B53D3" w14:textId="77777777" w:rsidR="00BC24A8" w:rsidRDefault="00000000">
      <w:pPr>
        <w:pStyle w:val="Heading5"/>
      </w:pPr>
      <w:r>
        <w:rPr>
          <w:color w:val="17365A"/>
        </w:rPr>
        <w:t>Impact</w:t>
      </w:r>
      <w:r>
        <w:rPr>
          <w:color w:val="17365A"/>
          <w:spacing w:val="-3"/>
        </w:rPr>
        <w:t xml:space="preserve"> </w:t>
      </w:r>
      <w:r>
        <w:rPr>
          <w:color w:val="17365A"/>
        </w:rPr>
        <w:t>of</w:t>
      </w:r>
      <w:r>
        <w:rPr>
          <w:color w:val="17365A"/>
          <w:spacing w:val="-2"/>
        </w:rPr>
        <w:t xml:space="preserve"> results/changes</w:t>
      </w:r>
    </w:p>
    <w:p w14:paraId="634B821E" w14:textId="77777777" w:rsidR="00BC24A8" w:rsidRDefault="00BC24A8">
      <w:pPr>
        <w:pStyle w:val="BodyText"/>
        <w:spacing w:before="8" w:after="1"/>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407"/>
        <w:gridCol w:w="7693"/>
      </w:tblGrid>
      <w:tr w:rsidR="00BC24A8" w14:paraId="2B40F994" w14:textId="77777777">
        <w:trPr>
          <w:trHeight w:val="439"/>
        </w:trPr>
        <w:tc>
          <w:tcPr>
            <w:tcW w:w="1407" w:type="dxa"/>
            <w:shd w:val="clear" w:color="auto" w:fill="17365A"/>
          </w:tcPr>
          <w:p w14:paraId="62CBA924" w14:textId="77777777" w:rsidR="00BC24A8" w:rsidRDefault="00000000">
            <w:pPr>
              <w:pStyle w:val="TableParagraph"/>
              <w:spacing w:before="97"/>
              <w:ind w:left="115"/>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693" w:type="dxa"/>
            <w:shd w:val="clear" w:color="auto" w:fill="17365A"/>
          </w:tcPr>
          <w:p w14:paraId="3A24A7AA" w14:textId="77777777" w:rsidR="00BC24A8" w:rsidRDefault="00000000">
            <w:pPr>
              <w:pStyle w:val="TableParagraph"/>
              <w:spacing w:before="97"/>
              <w:ind w:left="184"/>
              <w:rPr>
                <w:rFonts w:ascii="Calibri"/>
                <w:b/>
                <w:sz w:val="20"/>
              </w:rPr>
            </w:pPr>
            <w:r>
              <w:rPr>
                <w:rFonts w:ascii="Calibri"/>
                <w:b/>
                <w:color w:val="FFFFFF"/>
                <w:spacing w:val="-2"/>
                <w:sz w:val="20"/>
              </w:rPr>
              <w:t>Impact</w:t>
            </w:r>
          </w:p>
        </w:tc>
      </w:tr>
      <w:tr w:rsidR="00BC24A8" w14:paraId="6BFB79D6" w14:textId="77777777">
        <w:trPr>
          <w:trHeight w:val="1816"/>
        </w:trPr>
        <w:tc>
          <w:tcPr>
            <w:tcW w:w="1407" w:type="dxa"/>
            <w:tcBorders>
              <w:bottom w:val="single" w:sz="4" w:space="0" w:color="BEBEBE"/>
            </w:tcBorders>
          </w:tcPr>
          <w:p w14:paraId="76B36DEA" w14:textId="77777777" w:rsidR="00BC24A8" w:rsidRDefault="00000000">
            <w:pPr>
              <w:pStyle w:val="TableParagraph"/>
              <w:spacing w:before="162"/>
              <w:ind w:left="115"/>
              <w:rPr>
                <w:sz w:val="18"/>
              </w:rPr>
            </w:pPr>
            <w:r>
              <w:rPr>
                <w:spacing w:val="-2"/>
                <w:sz w:val="18"/>
              </w:rPr>
              <w:t>Methodological</w:t>
            </w:r>
            <w:r>
              <w:rPr>
                <w:sz w:val="18"/>
              </w:rPr>
              <w:t xml:space="preserve"> </w:t>
            </w:r>
            <w:r>
              <w:rPr>
                <w:spacing w:val="-2"/>
                <w:sz w:val="18"/>
              </w:rPr>
              <w:t>Impacts</w:t>
            </w:r>
          </w:p>
        </w:tc>
        <w:tc>
          <w:tcPr>
            <w:tcW w:w="7693" w:type="dxa"/>
            <w:tcBorders>
              <w:bottom w:val="single" w:sz="4" w:space="0" w:color="BEBEBE"/>
            </w:tcBorders>
          </w:tcPr>
          <w:p w14:paraId="5C8CB154" w14:textId="77777777" w:rsidR="00BC24A8" w:rsidRDefault="00000000">
            <w:pPr>
              <w:pStyle w:val="TableParagraph"/>
              <w:numPr>
                <w:ilvl w:val="0"/>
                <w:numId w:val="14"/>
              </w:numPr>
              <w:tabs>
                <w:tab w:val="left" w:pos="515"/>
              </w:tabs>
              <w:spacing w:before="162" w:line="219" w:lineRule="exact"/>
              <w:rPr>
                <w:sz w:val="18"/>
              </w:rPr>
            </w:pPr>
            <w:r>
              <w:rPr>
                <w:sz w:val="18"/>
              </w:rPr>
              <w:t>88</w:t>
            </w:r>
            <w:r>
              <w:rPr>
                <w:spacing w:val="-3"/>
                <w:sz w:val="18"/>
              </w:rPr>
              <w:t xml:space="preserve"> </w:t>
            </w:r>
            <w:r>
              <w:rPr>
                <w:sz w:val="18"/>
              </w:rPr>
              <w:t>civil</w:t>
            </w:r>
            <w:r>
              <w:rPr>
                <w:spacing w:val="-1"/>
                <w:sz w:val="18"/>
              </w:rPr>
              <w:t xml:space="preserve"> </w:t>
            </w:r>
            <w:r>
              <w:rPr>
                <w:sz w:val="18"/>
              </w:rPr>
              <w:t>servants</w:t>
            </w:r>
            <w:r>
              <w:rPr>
                <w:spacing w:val="-2"/>
                <w:sz w:val="18"/>
              </w:rPr>
              <w:t xml:space="preserve"> </w:t>
            </w:r>
            <w:r>
              <w:rPr>
                <w:sz w:val="18"/>
              </w:rPr>
              <w:t>trained</w:t>
            </w:r>
            <w:r>
              <w:rPr>
                <w:spacing w:val="-5"/>
                <w:sz w:val="18"/>
              </w:rPr>
              <w:t xml:space="preserve"> </w:t>
            </w:r>
            <w:r>
              <w:rPr>
                <w:sz w:val="18"/>
              </w:rPr>
              <w:t>in</w:t>
            </w:r>
            <w:r>
              <w:rPr>
                <w:spacing w:val="-2"/>
                <w:sz w:val="18"/>
              </w:rPr>
              <w:t xml:space="preserve"> </w:t>
            </w:r>
            <w:r>
              <w:rPr>
                <w:sz w:val="18"/>
              </w:rPr>
              <w:t>village-level</w:t>
            </w:r>
            <w:r>
              <w:rPr>
                <w:spacing w:val="-1"/>
                <w:sz w:val="18"/>
              </w:rPr>
              <w:t xml:space="preserve"> </w:t>
            </w:r>
            <w:r>
              <w:rPr>
                <w:sz w:val="18"/>
              </w:rPr>
              <w:t>information</w:t>
            </w:r>
            <w:r>
              <w:rPr>
                <w:spacing w:val="-2"/>
                <w:sz w:val="18"/>
              </w:rPr>
              <w:t xml:space="preserve"> </w:t>
            </w:r>
            <w:r>
              <w:rPr>
                <w:sz w:val="18"/>
              </w:rPr>
              <w:t>system</w:t>
            </w:r>
            <w:r>
              <w:rPr>
                <w:spacing w:val="-3"/>
                <w:sz w:val="18"/>
              </w:rPr>
              <w:t xml:space="preserve"> </w:t>
            </w:r>
            <w:r>
              <w:rPr>
                <w:spacing w:val="-2"/>
                <w:sz w:val="18"/>
              </w:rPr>
              <w:t>management.</w:t>
            </w:r>
          </w:p>
          <w:p w14:paraId="1C7BBF28" w14:textId="77777777" w:rsidR="00BC24A8" w:rsidRDefault="00000000">
            <w:pPr>
              <w:pStyle w:val="TableParagraph"/>
              <w:numPr>
                <w:ilvl w:val="0"/>
                <w:numId w:val="14"/>
              </w:numPr>
              <w:tabs>
                <w:tab w:val="left" w:pos="515"/>
              </w:tabs>
              <w:spacing w:line="219" w:lineRule="exact"/>
              <w:rPr>
                <w:sz w:val="18"/>
              </w:rPr>
            </w:pPr>
            <w:r>
              <w:rPr>
                <w:sz w:val="18"/>
              </w:rPr>
              <w:t>74</w:t>
            </w:r>
            <w:r>
              <w:rPr>
                <w:spacing w:val="-4"/>
                <w:sz w:val="18"/>
              </w:rPr>
              <w:t xml:space="preserve"> </w:t>
            </w:r>
            <w:r>
              <w:rPr>
                <w:sz w:val="18"/>
              </w:rPr>
              <w:t>village</w:t>
            </w:r>
            <w:r>
              <w:rPr>
                <w:spacing w:val="-2"/>
                <w:sz w:val="18"/>
              </w:rPr>
              <w:t xml:space="preserve"> </w:t>
            </w:r>
            <w:r>
              <w:rPr>
                <w:sz w:val="18"/>
              </w:rPr>
              <w:t>cadres</w:t>
            </w:r>
            <w:r>
              <w:rPr>
                <w:spacing w:val="-1"/>
                <w:sz w:val="18"/>
              </w:rPr>
              <w:t xml:space="preserve"> </w:t>
            </w:r>
            <w:r>
              <w:rPr>
                <w:sz w:val="18"/>
              </w:rPr>
              <w:t>and</w:t>
            </w:r>
            <w:r>
              <w:rPr>
                <w:spacing w:val="-2"/>
                <w:sz w:val="18"/>
              </w:rPr>
              <w:t xml:space="preserve"> </w:t>
            </w:r>
            <w:r>
              <w:rPr>
                <w:sz w:val="18"/>
              </w:rPr>
              <w:t>verifiers</w:t>
            </w:r>
            <w:r>
              <w:rPr>
                <w:spacing w:val="-5"/>
                <w:sz w:val="18"/>
              </w:rPr>
              <w:t xml:space="preserve"> </w:t>
            </w:r>
            <w:r>
              <w:rPr>
                <w:sz w:val="18"/>
              </w:rPr>
              <w:t>trained</w:t>
            </w:r>
            <w:r>
              <w:rPr>
                <w:spacing w:val="-1"/>
                <w:sz w:val="18"/>
              </w:rPr>
              <w:t xml:space="preserve"> </w:t>
            </w:r>
            <w:r>
              <w:rPr>
                <w:sz w:val="18"/>
              </w:rPr>
              <w:t>for</w:t>
            </w:r>
            <w:r>
              <w:rPr>
                <w:spacing w:val="-2"/>
                <w:sz w:val="18"/>
              </w:rPr>
              <w:t xml:space="preserve"> </w:t>
            </w:r>
            <w:r>
              <w:rPr>
                <w:sz w:val="18"/>
              </w:rPr>
              <w:t>the</w:t>
            </w:r>
            <w:r>
              <w:rPr>
                <w:spacing w:val="-2"/>
                <w:sz w:val="18"/>
              </w:rPr>
              <w:t xml:space="preserve"> </w:t>
            </w:r>
            <w:r>
              <w:rPr>
                <w:sz w:val="18"/>
              </w:rPr>
              <w:t>Village</w:t>
            </w:r>
            <w:r>
              <w:rPr>
                <w:spacing w:val="-1"/>
                <w:sz w:val="18"/>
              </w:rPr>
              <w:t xml:space="preserve"> </w:t>
            </w:r>
            <w:r>
              <w:rPr>
                <w:sz w:val="18"/>
              </w:rPr>
              <w:t>Information</w:t>
            </w:r>
            <w:r>
              <w:rPr>
                <w:spacing w:val="-2"/>
                <w:sz w:val="18"/>
              </w:rPr>
              <w:t xml:space="preserve"> </w:t>
            </w:r>
            <w:r>
              <w:rPr>
                <w:sz w:val="18"/>
              </w:rPr>
              <w:t>System</w:t>
            </w:r>
            <w:r>
              <w:rPr>
                <w:spacing w:val="-2"/>
                <w:sz w:val="18"/>
              </w:rPr>
              <w:t xml:space="preserve"> (SIRIOS).</w:t>
            </w:r>
          </w:p>
          <w:p w14:paraId="52611AA0" w14:textId="77777777" w:rsidR="00BC24A8" w:rsidRDefault="00000000">
            <w:pPr>
              <w:pStyle w:val="TableParagraph"/>
              <w:numPr>
                <w:ilvl w:val="0"/>
                <w:numId w:val="14"/>
              </w:numPr>
              <w:tabs>
                <w:tab w:val="left" w:pos="515"/>
              </w:tabs>
              <w:spacing w:before="1" w:line="219" w:lineRule="exact"/>
              <w:rPr>
                <w:sz w:val="18"/>
              </w:rPr>
            </w:pPr>
            <w:r>
              <w:rPr>
                <w:sz w:val="18"/>
              </w:rPr>
              <w:t>3</w:t>
            </w:r>
            <w:r>
              <w:rPr>
                <w:spacing w:val="-2"/>
                <w:sz w:val="18"/>
              </w:rPr>
              <w:t xml:space="preserve"> </w:t>
            </w:r>
            <w:r>
              <w:rPr>
                <w:sz w:val="18"/>
              </w:rPr>
              <w:t>lecturers</w:t>
            </w:r>
            <w:r>
              <w:rPr>
                <w:spacing w:val="-1"/>
                <w:sz w:val="18"/>
              </w:rPr>
              <w:t xml:space="preserve"> </w:t>
            </w:r>
            <w:r>
              <w:rPr>
                <w:sz w:val="18"/>
              </w:rPr>
              <w:t>from</w:t>
            </w:r>
            <w:r>
              <w:rPr>
                <w:spacing w:val="-3"/>
                <w:sz w:val="18"/>
              </w:rPr>
              <w:t xml:space="preserve"> </w:t>
            </w:r>
            <w:r>
              <w:rPr>
                <w:sz w:val="18"/>
              </w:rPr>
              <w:t>Musamus</w:t>
            </w:r>
            <w:r>
              <w:rPr>
                <w:spacing w:val="-1"/>
                <w:sz w:val="18"/>
              </w:rPr>
              <w:t xml:space="preserve"> </w:t>
            </w:r>
            <w:r>
              <w:rPr>
                <w:sz w:val="18"/>
              </w:rPr>
              <w:t>University</w:t>
            </w:r>
            <w:r>
              <w:rPr>
                <w:spacing w:val="-1"/>
                <w:sz w:val="18"/>
              </w:rPr>
              <w:t xml:space="preserve"> </w:t>
            </w:r>
            <w:r>
              <w:rPr>
                <w:sz w:val="18"/>
              </w:rPr>
              <w:t>trained</w:t>
            </w:r>
            <w:r>
              <w:rPr>
                <w:spacing w:val="-2"/>
                <w:sz w:val="18"/>
              </w:rPr>
              <w:t xml:space="preserve"> </w:t>
            </w:r>
            <w:r>
              <w:rPr>
                <w:sz w:val="18"/>
              </w:rPr>
              <w:t>as</w:t>
            </w:r>
            <w:r>
              <w:rPr>
                <w:spacing w:val="-1"/>
                <w:sz w:val="18"/>
              </w:rPr>
              <w:t xml:space="preserve"> </w:t>
            </w:r>
            <w:r>
              <w:rPr>
                <w:sz w:val="18"/>
              </w:rPr>
              <w:t>SIRIOS</w:t>
            </w:r>
            <w:r>
              <w:rPr>
                <w:spacing w:val="-1"/>
                <w:sz w:val="18"/>
              </w:rPr>
              <w:t xml:space="preserve"> </w:t>
            </w:r>
            <w:r>
              <w:rPr>
                <w:spacing w:val="-2"/>
                <w:sz w:val="18"/>
              </w:rPr>
              <w:t>trainers.</w:t>
            </w:r>
          </w:p>
          <w:p w14:paraId="724755B2" w14:textId="77777777" w:rsidR="00BC24A8" w:rsidRDefault="00000000">
            <w:pPr>
              <w:pStyle w:val="TableParagraph"/>
              <w:numPr>
                <w:ilvl w:val="0"/>
                <w:numId w:val="14"/>
              </w:numPr>
              <w:tabs>
                <w:tab w:val="left" w:pos="515"/>
              </w:tabs>
              <w:spacing w:line="219" w:lineRule="exact"/>
              <w:rPr>
                <w:sz w:val="18"/>
              </w:rPr>
            </w:pPr>
            <w:r>
              <w:rPr>
                <w:sz w:val="18"/>
              </w:rPr>
              <w:t>Draft</w:t>
            </w:r>
            <w:r>
              <w:rPr>
                <w:spacing w:val="-1"/>
                <w:sz w:val="18"/>
              </w:rPr>
              <w:t xml:space="preserve"> </w:t>
            </w:r>
            <w:r>
              <w:rPr>
                <w:sz w:val="18"/>
              </w:rPr>
              <w:t>Papua</w:t>
            </w:r>
            <w:r>
              <w:rPr>
                <w:spacing w:val="-3"/>
                <w:sz w:val="18"/>
              </w:rPr>
              <w:t xml:space="preserve"> </w:t>
            </w:r>
            <w:r>
              <w:rPr>
                <w:sz w:val="18"/>
              </w:rPr>
              <w:t>Selatan</w:t>
            </w:r>
            <w:r>
              <w:rPr>
                <w:spacing w:val="-2"/>
                <w:sz w:val="18"/>
              </w:rPr>
              <w:t xml:space="preserve"> </w:t>
            </w:r>
            <w:r>
              <w:rPr>
                <w:sz w:val="18"/>
              </w:rPr>
              <w:t>MSS</w:t>
            </w:r>
            <w:r>
              <w:rPr>
                <w:spacing w:val="-1"/>
                <w:sz w:val="18"/>
              </w:rPr>
              <w:t xml:space="preserve"> </w:t>
            </w:r>
            <w:r>
              <w:rPr>
                <w:sz w:val="18"/>
              </w:rPr>
              <w:t>Action</w:t>
            </w:r>
            <w:r>
              <w:rPr>
                <w:spacing w:val="-2"/>
                <w:sz w:val="18"/>
              </w:rPr>
              <w:t xml:space="preserve"> </w:t>
            </w:r>
            <w:r>
              <w:rPr>
                <w:sz w:val="18"/>
              </w:rPr>
              <w:t>Plan</w:t>
            </w:r>
            <w:r>
              <w:rPr>
                <w:spacing w:val="-2"/>
                <w:sz w:val="18"/>
              </w:rPr>
              <w:t xml:space="preserve"> </w:t>
            </w:r>
            <w:r>
              <w:rPr>
                <w:sz w:val="18"/>
              </w:rPr>
              <w:t xml:space="preserve">(Renaksi </w:t>
            </w:r>
            <w:r>
              <w:rPr>
                <w:spacing w:val="-4"/>
                <w:sz w:val="18"/>
              </w:rPr>
              <w:t>MSS).</w:t>
            </w:r>
          </w:p>
          <w:p w14:paraId="35AF8B3F" w14:textId="77777777" w:rsidR="00BC24A8" w:rsidRDefault="00000000">
            <w:pPr>
              <w:pStyle w:val="TableParagraph"/>
              <w:numPr>
                <w:ilvl w:val="0"/>
                <w:numId w:val="14"/>
              </w:numPr>
              <w:tabs>
                <w:tab w:val="left" w:pos="515"/>
              </w:tabs>
              <w:spacing w:before="1" w:line="219" w:lineRule="exact"/>
              <w:rPr>
                <w:sz w:val="18"/>
              </w:rPr>
            </w:pPr>
            <w:r>
              <w:rPr>
                <w:sz w:val="18"/>
              </w:rPr>
              <w:t>MSS</w:t>
            </w:r>
            <w:r>
              <w:rPr>
                <w:spacing w:val="-3"/>
                <w:sz w:val="18"/>
              </w:rPr>
              <w:t xml:space="preserve"> </w:t>
            </w:r>
            <w:r>
              <w:rPr>
                <w:sz w:val="18"/>
              </w:rPr>
              <w:t>achievement</w:t>
            </w:r>
            <w:r>
              <w:rPr>
                <w:spacing w:val="-2"/>
                <w:sz w:val="18"/>
              </w:rPr>
              <w:t xml:space="preserve"> </w:t>
            </w:r>
            <w:r>
              <w:rPr>
                <w:sz w:val="18"/>
              </w:rPr>
              <w:t>targets</w:t>
            </w:r>
            <w:r>
              <w:rPr>
                <w:spacing w:val="-2"/>
                <w:sz w:val="18"/>
              </w:rPr>
              <w:t xml:space="preserve"> </w:t>
            </w:r>
            <w:r>
              <w:rPr>
                <w:sz w:val="18"/>
              </w:rPr>
              <w:t>for</w:t>
            </w:r>
            <w:r>
              <w:rPr>
                <w:spacing w:val="-2"/>
                <w:sz w:val="18"/>
              </w:rPr>
              <w:t xml:space="preserve"> 2025.</w:t>
            </w:r>
          </w:p>
          <w:p w14:paraId="2A7DB3D9" w14:textId="77777777" w:rsidR="00BC24A8" w:rsidRDefault="00000000">
            <w:pPr>
              <w:pStyle w:val="TableParagraph"/>
              <w:numPr>
                <w:ilvl w:val="0"/>
                <w:numId w:val="14"/>
              </w:numPr>
              <w:tabs>
                <w:tab w:val="left" w:pos="515"/>
              </w:tabs>
              <w:spacing w:line="219" w:lineRule="exact"/>
              <w:rPr>
                <w:sz w:val="18"/>
              </w:rPr>
            </w:pPr>
            <w:r>
              <w:rPr>
                <w:sz w:val="18"/>
              </w:rPr>
              <w:t>16</w:t>
            </w:r>
            <w:r>
              <w:rPr>
                <w:spacing w:val="-1"/>
                <w:sz w:val="18"/>
              </w:rPr>
              <w:t xml:space="preserve"> </w:t>
            </w:r>
            <w:r>
              <w:rPr>
                <w:sz w:val="18"/>
              </w:rPr>
              <w:t>individuals</w:t>
            </w:r>
            <w:r>
              <w:rPr>
                <w:spacing w:val="-1"/>
                <w:sz w:val="18"/>
              </w:rPr>
              <w:t xml:space="preserve"> </w:t>
            </w:r>
            <w:r>
              <w:rPr>
                <w:sz w:val="18"/>
              </w:rPr>
              <w:t>trained</w:t>
            </w:r>
            <w:r>
              <w:rPr>
                <w:spacing w:val="-4"/>
                <w:sz w:val="18"/>
              </w:rPr>
              <w:t xml:space="preserve"> </w:t>
            </w:r>
            <w:r>
              <w:rPr>
                <w:sz w:val="18"/>
              </w:rPr>
              <w:t>in drafting</w:t>
            </w:r>
            <w:r>
              <w:rPr>
                <w:spacing w:val="-2"/>
                <w:sz w:val="18"/>
              </w:rPr>
              <w:t xml:space="preserve"> </w:t>
            </w:r>
            <w:r>
              <w:rPr>
                <w:sz w:val="18"/>
              </w:rPr>
              <w:t>the</w:t>
            </w:r>
            <w:r>
              <w:rPr>
                <w:spacing w:val="-1"/>
                <w:sz w:val="18"/>
              </w:rPr>
              <w:t xml:space="preserve"> </w:t>
            </w:r>
            <w:r>
              <w:rPr>
                <w:sz w:val="18"/>
              </w:rPr>
              <w:t>MSS</w:t>
            </w:r>
            <w:r>
              <w:rPr>
                <w:spacing w:val="-1"/>
                <w:sz w:val="18"/>
              </w:rPr>
              <w:t xml:space="preserve"> </w:t>
            </w:r>
            <w:r>
              <w:rPr>
                <w:sz w:val="18"/>
              </w:rPr>
              <w:t xml:space="preserve">Action </w:t>
            </w:r>
            <w:r>
              <w:rPr>
                <w:spacing w:val="-4"/>
                <w:sz w:val="18"/>
              </w:rPr>
              <w:t>Plan.</w:t>
            </w:r>
          </w:p>
          <w:p w14:paraId="33695C02" w14:textId="77777777" w:rsidR="00BC24A8" w:rsidRDefault="00000000">
            <w:pPr>
              <w:pStyle w:val="TableParagraph"/>
              <w:numPr>
                <w:ilvl w:val="0"/>
                <w:numId w:val="14"/>
              </w:numPr>
              <w:tabs>
                <w:tab w:val="left" w:pos="515"/>
              </w:tabs>
              <w:spacing w:before="1"/>
              <w:rPr>
                <w:sz w:val="18"/>
              </w:rPr>
            </w:pPr>
            <w:r>
              <w:rPr>
                <w:sz w:val="18"/>
              </w:rPr>
              <w:t>86</w:t>
            </w:r>
            <w:r>
              <w:rPr>
                <w:spacing w:val="-4"/>
                <w:sz w:val="18"/>
              </w:rPr>
              <w:t xml:space="preserve"> </w:t>
            </w:r>
            <w:r>
              <w:rPr>
                <w:sz w:val="18"/>
              </w:rPr>
              <w:t>civil</w:t>
            </w:r>
            <w:r>
              <w:rPr>
                <w:spacing w:val="-1"/>
                <w:sz w:val="18"/>
              </w:rPr>
              <w:t xml:space="preserve"> </w:t>
            </w:r>
            <w:r>
              <w:rPr>
                <w:sz w:val="18"/>
              </w:rPr>
              <w:t>servants</w:t>
            </w:r>
            <w:r>
              <w:rPr>
                <w:spacing w:val="-2"/>
                <w:sz w:val="18"/>
              </w:rPr>
              <w:t xml:space="preserve"> </w:t>
            </w:r>
            <w:r>
              <w:rPr>
                <w:sz w:val="18"/>
              </w:rPr>
              <w:t>exposed</w:t>
            </w:r>
            <w:r>
              <w:rPr>
                <w:spacing w:val="-2"/>
                <w:sz w:val="18"/>
              </w:rPr>
              <w:t xml:space="preserve"> </w:t>
            </w:r>
            <w:r>
              <w:rPr>
                <w:sz w:val="18"/>
              </w:rPr>
              <w:t>to</w:t>
            </w:r>
            <w:r>
              <w:rPr>
                <w:spacing w:val="-2"/>
                <w:sz w:val="18"/>
              </w:rPr>
              <w:t xml:space="preserve"> </w:t>
            </w:r>
            <w:r>
              <w:rPr>
                <w:sz w:val="18"/>
              </w:rPr>
              <w:t>the</w:t>
            </w:r>
            <w:r>
              <w:rPr>
                <w:spacing w:val="-5"/>
                <w:sz w:val="18"/>
              </w:rPr>
              <w:t xml:space="preserve"> </w:t>
            </w:r>
            <w:r>
              <w:rPr>
                <w:sz w:val="18"/>
              </w:rPr>
              <w:t>Musrenbangsus</w:t>
            </w:r>
            <w:r>
              <w:rPr>
                <w:spacing w:val="-2"/>
                <w:sz w:val="18"/>
              </w:rPr>
              <w:t xml:space="preserve"> </w:t>
            </w:r>
            <w:r>
              <w:rPr>
                <w:sz w:val="18"/>
              </w:rPr>
              <w:t>and</w:t>
            </w:r>
            <w:r>
              <w:rPr>
                <w:spacing w:val="-2"/>
                <w:sz w:val="18"/>
              </w:rPr>
              <w:t xml:space="preserve"> </w:t>
            </w:r>
            <w:r>
              <w:rPr>
                <w:sz w:val="18"/>
              </w:rPr>
              <w:t>SIPPP</w:t>
            </w:r>
            <w:r>
              <w:rPr>
                <w:spacing w:val="-2"/>
                <w:sz w:val="18"/>
              </w:rPr>
              <w:t xml:space="preserve"> guidelines.</w:t>
            </w:r>
          </w:p>
        </w:tc>
      </w:tr>
      <w:tr w:rsidR="00BC24A8" w14:paraId="0FA06898" w14:textId="77777777">
        <w:trPr>
          <w:trHeight w:val="1991"/>
        </w:trPr>
        <w:tc>
          <w:tcPr>
            <w:tcW w:w="1407" w:type="dxa"/>
            <w:tcBorders>
              <w:top w:val="single" w:sz="4" w:space="0" w:color="BEBEBE"/>
              <w:bottom w:val="single" w:sz="4" w:space="0" w:color="BEBEBE"/>
            </w:tcBorders>
          </w:tcPr>
          <w:p w14:paraId="297E0107" w14:textId="77777777" w:rsidR="00BC24A8" w:rsidRDefault="00000000">
            <w:pPr>
              <w:pStyle w:val="TableParagraph"/>
              <w:spacing w:before="116"/>
              <w:ind w:left="115" w:right="6"/>
              <w:rPr>
                <w:sz w:val="18"/>
              </w:rPr>
            </w:pPr>
            <w:r>
              <w:rPr>
                <w:spacing w:val="-2"/>
                <w:sz w:val="18"/>
              </w:rPr>
              <w:t>Ecosystem</w:t>
            </w:r>
            <w:r>
              <w:rPr>
                <w:sz w:val="18"/>
              </w:rPr>
              <w:t xml:space="preserve"> </w:t>
            </w:r>
            <w:r>
              <w:rPr>
                <w:spacing w:val="-2"/>
                <w:sz w:val="18"/>
              </w:rPr>
              <w:t>Impacts</w:t>
            </w:r>
          </w:p>
        </w:tc>
        <w:tc>
          <w:tcPr>
            <w:tcW w:w="7693" w:type="dxa"/>
            <w:tcBorders>
              <w:top w:val="single" w:sz="4" w:space="0" w:color="BEBEBE"/>
              <w:bottom w:val="single" w:sz="4" w:space="0" w:color="BEBEBE"/>
            </w:tcBorders>
          </w:tcPr>
          <w:p w14:paraId="61FA2DCD" w14:textId="77777777" w:rsidR="00BC24A8" w:rsidRDefault="00000000">
            <w:pPr>
              <w:pStyle w:val="TableParagraph"/>
              <w:numPr>
                <w:ilvl w:val="0"/>
                <w:numId w:val="13"/>
              </w:numPr>
              <w:tabs>
                <w:tab w:val="left" w:pos="515"/>
              </w:tabs>
              <w:spacing w:before="116"/>
              <w:rPr>
                <w:sz w:val="18"/>
              </w:rPr>
            </w:pPr>
            <w:r>
              <w:rPr>
                <w:sz w:val="18"/>
              </w:rPr>
              <w:t>Governor</w:t>
            </w:r>
            <w:r>
              <w:rPr>
                <w:spacing w:val="-5"/>
                <w:sz w:val="18"/>
              </w:rPr>
              <w:t xml:space="preserve"> </w:t>
            </w:r>
            <w:r>
              <w:rPr>
                <w:sz w:val="18"/>
              </w:rPr>
              <w:t>Regulation</w:t>
            </w:r>
            <w:r>
              <w:rPr>
                <w:spacing w:val="-2"/>
                <w:sz w:val="18"/>
              </w:rPr>
              <w:t xml:space="preserve"> </w:t>
            </w:r>
            <w:r>
              <w:rPr>
                <w:sz w:val="18"/>
              </w:rPr>
              <w:t>No.</w:t>
            </w:r>
            <w:r>
              <w:rPr>
                <w:spacing w:val="-3"/>
                <w:sz w:val="18"/>
              </w:rPr>
              <w:t xml:space="preserve"> </w:t>
            </w:r>
            <w:r>
              <w:rPr>
                <w:sz w:val="18"/>
              </w:rPr>
              <w:t>10/2025</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Papua</w:t>
            </w:r>
            <w:r>
              <w:rPr>
                <w:spacing w:val="-3"/>
                <w:sz w:val="18"/>
              </w:rPr>
              <w:t xml:space="preserve"> </w:t>
            </w:r>
            <w:r>
              <w:rPr>
                <w:sz w:val="18"/>
              </w:rPr>
              <w:t>Selatan</w:t>
            </w:r>
            <w:r>
              <w:rPr>
                <w:spacing w:val="-2"/>
                <w:sz w:val="18"/>
              </w:rPr>
              <w:t xml:space="preserve"> </w:t>
            </w:r>
            <w:r>
              <w:rPr>
                <w:sz w:val="18"/>
              </w:rPr>
              <w:t>Orang</w:t>
            </w:r>
            <w:r>
              <w:rPr>
                <w:spacing w:val="-3"/>
                <w:sz w:val="18"/>
              </w:rPr>
              <w:t xml:space="preserve"> </w:t>
            </w:r>
            <w:r>
              <w:rPr>
                <w:sz w:val="18"/>
              </w:rPr>
              <w:t>Asli</w:t>
            </w:r>
            <w:r>
              <w:rPr>
                <w:spacing w:val="-2"/>
                <w:sz w:val="18"/>
              </w:rPr>
              <w:t xml:space="preserve"> </w:t>
            </w:r>
            <w:r>
              <w:rPr>
                <w:sz w:val="18"/>
              </w:rPr>
              <w:t>Information</w:t>
            </w:r>
            <w:r>
              <w:rPr>
                <w:spacing w:val="-2"/>
                <w:sz w:val="18"/>
              </w:rPr>
              <w:t xml:space="preserve"> </w:t>
            </w:r>
            <w:r>
              <w:rPr>
                <w:sz w:val="18"/>
              </w:rPr>
              <w:t>System</w:t>
            </w:r>
            <w:r>
              <w:rPr>
                <w:spacing w:val="-3"/>
                <w:sz w:val="18"/>
              </w:rPr>
              <w:t xml:space="preserve"> </w:t>
            </w:r>
            <w:r>
              <w:rPr>
                <w:spacing w:val="-2"/>
                <w:sz w:val="18"/>
              </w:rPr>
              <w:t>(SIRIOS).</w:t>
            </w:r>
          </w:p>
          <w:p w14:paraId="55BBFD85" w14:textId="77777777" w:rsidR="00BC24A8" w:rsidRDefault="00000000">
            <w:pPr>
              <w:pStyle w:val="TableParagraph"/>
              <w:numPr>
                <w:ilvl w:val="0"/>
                <w:numId w:val="13"/>
              </w:numPr>
              <w:tabs>
                <w:tab w:val="left" w:pos="515"/>
              </w:tabs>
              <w:spacing w:before="1"/>
              <w:ind w:right="786"/>
              <w:rPr>
                <w:sz w:val="18"/>
              </w:rPr>
            </w:pPr>
            <w:r>
              <w:rPr>
                <w:sz w:val="18"/>
              </w:rPr>
              <w:t>BPS</w:t>
            </w:r>
            <w:r>
              <w:rPr>
                <w:spacing w:val="-5"/>
                <w:sz w:val="18"/>
              </w:rPr>
              <w:t xml:space="preserve"> </w:t>
            </w:r>
            <w:r>
              <w:rPr>
                <w:sz w:val="18"/>
              </w:rPr>
              <w:t>Recommendation</w:t>
            </w:r>
            <w:r>
              <w:rPr>
                <w:spacing w:val="-5"/>
                <w:sz w:val="18"/>
              </w:rPr>
              <w:t xml:space="preserve"> </w:t>
            </w:r>
            <w:r>
              <w:rPr>
                <w:sz w:val="18"/>
              </w:rPr>
              <w:t>Letter</w:t>
            </w:r>
            <w:r>
              <w:rPr>
                <w:spacing w:val="-5"/>
                <w:sz w:val="18"/>
              </w:rPr>
              <w:t xml:space="preserve"> </w:t>
            </w:r>
            <w:r>
              <w:rPr>
                <w:sz w:val="18"/>
              </w:rPr>
              <w:t>No.</w:t>
            </w:r>
            <w:r>
              <w:rPr>
                <w:spacing w:val="-6"/>
                <w:sz w:val="18"/>
              </w:rPr>
              <w:t xml:space="preserve"> </w:t>
            </w:r>
            <w:r>
              <w:rPr>
                <w:sz w:val="18"/>
              </w:rPr>
              <w:t>B-349/94563/VS.600/2024</w:t>
            </w:r>
            <w:r>
              <w:rPr>
                <w:spacing w:val="-5"/>
                <w:sz w:val="18"/>
              </w:rPr>
              <w:t xml:space="preserve"> </w:t>
            </w:r>
            <w:r>
              <w:rPr>
                <w:sz w:val="18"/>
              </w:rPr>
              <w:t>regarding</w:t>
            </w:r>
            <w:r>
              <w:rPr>
                <w:spacing w:val="-6"/>
                <w:sz w:val="18"/>
              </w:rPr>
              <w:t xml:space="preserve"> </w:t>
            </w:r>
            <w:r>
              <w:rPr>
                <w:sz w:val="18"/>
              </w:rPr>
              <w:t>Sectoral</w:t>
            </w:r>
            <w:r>
              <w:rPr>
                <w:spacing w:val="-4"/>
                <w:sz w:val="18"/>
              </w:rPr>
              <w:t xml:space="preserve"> </w:t>
            </w:r>
            <w:r>
              <w:rPr>
                <w:sz w:val="18"/>
              </w:rPr>
              <w:t>Statistics Activities (SIRIOS).</w:t>
            </w:r>
          </w:p>
          <w:p w14:paraId="27F9AE4F" w14:textId="77777777" w:rsidR="00BC24A8" w:rsidRDefault="00000000">
            <w:pPr>
              <w:pStyle w:val="TableParagraph"/>
              <w:numPr>
                <w:ilvl w:val="0"/>
                <w:numId w:val="13"/>
              </w:numPr>
              <w:tabs>
                <w:tab w:val="left" w:pos="515"/>
              </w:tabs>
              <w:spacing w:line="219" w:lineRule="exact"/>
              <w:rPr>
                <w:sz w:val="18"/>
              </w:rPr>
            </w:pPr>
            <w:r>
              <w:rPr>
                <w:sz w:val="18"/>
              </w:rPr>
              <w:t>Draft</w:t>
            </w:r>
            <w:r>
              <w:rPr>
                <w:spacing w:val="-4"/>
                <w:sz w:val="18"/>
              </w:rPr>
              <w:t xml:space="preserve"> </w:t>
            </w:r>
            <w:r>
              <w:rPr>
                <w:sz w:val="18"/>
              </w:rPr>
              <w:t>Governor</w:t>
            </w:r>
            <w:r>
              <w:rPr>
                <w:spacing w:val="-3"/>
                <w:sz w:val="18"/>
              </w:rPr>
              <w:t xml:space="preserve"> </w:t>
            </w:r>
            <w:r>
              <w:rPr>
                <w:sz w:val="18"/>
              </w:rPr>
              <w:t>Regulation</w:t>
            </w:r>
            <w:r>
              <w:rPr>
                <w:spacing w:val="-2"/>
                <w:sz w:val="18"/>
              </w:rPr>
              <w:t xml:space="preserve"> </w:t>
            </w:r>
            <w:r>
              <w:rPr>
                <w:sz w:val="18"/>
              </w:rPr>
              <w:t>No.</w:t>
            </w:r>
            <w:r>
              <w:rPr>
                <w:spacing w:val="-4"/>
                <w:sz w:val="18"/>
              </w:rPr>
              <w:t xml:space="preserve"> </w:t>
            </w:r>
            <w:r>
              <w:rPr>
                <w:sz w:val="18"/>
              </w:rPr>
              <w:t>8/2025</w:t>
            </w:r>
            <w:r>
              <w:rPr>
                <w:spacing w:val="-2"/>
                <w:sz w:val="18"/>
              </w:rPr>
              <w:t xml:space="preserve"> </w:t>
            </w:r>
            <w:r>
              <w:rPr>
                <w:sz w:val="18"/>
              </w:rPr>
              <w:t>on</w:t>
            </w:r>
            <w:r>
              <w:rPr>
                <w:spacing w:val="-3"/>
                <w:sz w:val="18"/>
              </w:rPr>
              <w:t xml:space="preserve"> </w:t>
            </w:r>
            <w:r>
              <w:rPr>
                <w:sz w:val="18"/>
              </w:rPr>
              <w:t>Papua</w:t>
            </w:r>
            <w:r>
              <w:rPr>
                <w:spacing w:val="-3"/>
                <w:sz w:val="18"/>
              </w:rPr>
              <w:t xml:space="preserve"> </w:t>
            </w:r>
            <w:r>
              <w:rPr>
                <w:sz w:val="18"/>
              </w:rPr>
              <w:t>Selatan</w:t>
            </w:r>
            <w:r>
              <w:rPr>
                <w:spacing w:val="-2"/>
                <w:sz w:val="18"/>
              </w:rPr>
              <w:t xml:space="preserve"> </w:t>
            </w:r>
            <w:r>
              <w:rPr>
                <w:sz w:val="18"/>
              </w:rPr>
              <w:t>One</w:t>
            </w:r>
            <w:r>
              <w:rPr>
                <w:spacing w:val="-3"/>
                <w:sz w:val="18"/>
              </w:rPr>
              <w:t xml:space="preserve"> </w:t>
            </w:r>
            <w:r>
              <w:rPr>
                <w:sz w:val="18"/>
              </w:rPr>
              <w:t>Data</w:t>
            </w:r>
            <w:r>
              <w:rPr>
                <w:spacing w:val="-3"/>
                <w:sz w:val="18"/>
              </w:rPr>
              <w:t xml:space="preserve"> </w:t>
            </w:r>
            <w:r>
              <w:rPr>
                <w:sz w:val="18"/>
              </w:rPr>
              <w:t>Integration</w:t>
            </w:r>
            <w:r>
              <w:rPr>
                <w:spacing w:val="-3"/>
                <w:sz w:val="18"/>
              </w:rPr>
              <w:t xml:space="preserve"> </w:t>
            </w:r>
            <w:r>
              <w:rPr>
                <w:sz w:val="18"/>
              </w:rPr>
              <w:t>(PASSTI)</w:t>
            </w:r>
            <w:r>
              <w:rPr>
                <w:spacing w:val="-1"/>
                <w:sz w:val="18"/>
              </w:rPr>
              <w:t xml:space="preserve"> </w:t>
            </w:r>
            <w:r>
              <w:rPr>
                <w:spacing w:val="-10"/>
                <w:sz w:val="18"/>
              </w:rPr>
              <w:t>–</w:t>
            </w:r>
          </w:p>
          <w:p w14:paraId="30A0E21E" w14:textId="77777777" w:rsidR="00BC24A8" w:rsidRDefault="00000000">
            <w:pPr>
              <w:pStyle w:val="TableParagraph"/>
              <w:spacing w:line="219" w:lineRule="exact"/>
              <w:ind w:left="515"/>
              <w:rPr>
                <w:sz w:val="18"/>
              </w:rPr>
            </w:pPr>
            <w:r>
              <w:rPr>
                <w:sz w:val="18"/>
              </w:rPr>
              <w:t>currently</w:t>
            </w:r>
            <w:r>
              <w:rPr>
                <w:spacing w:val="-1"/>
                <w:sz w:val="18"/>
              </w:rPr>
              <w:t xml:space="preserve"> </w:t>
            </w:r>
            <w:r>
              <w:rPr>
                <w:sz w:val="18"/>
              </w:rPr>
              <w:t>under</w:t>
            </w:r>
            <w:r>
              <w:rPr>
                <w:spacing w:val="-1"/>
                <w:sz w:val="18"/>
              </w:rPr>
              <w:t xml:space="preserve"> </w:t>
            </w:r>
            <w:r>
              <w:rPr>
                <w:sz w:val="18"/>
              </w:rPr>
              <w:t>data</w:t>
            </w:r>
            <w:r>
              <w:rPr>
                <w:spacing w:val="-1"/>
                <w:sz w:val="18"/>
              </w:rPr>
              <w:t xml:space="preserve"> </w:t>
            </w:r>
            <w:r>
              <w:rPr>
                <w:spacing w:val="-2"/>
                <w:sz w:val="18"/>
              </w:rPr>
              <w:t>collection.</w:t>
            </w:r>
          </w:p>
          <w:p w14:paraId="270F7570" w14:textId="77777777" w:rsidR="00BC24A8" w:rsidRDefault="00000000">
            <w:pPr>
              <w:pStyle w:val="TableParagraph"/>
              <w:numPr>
                <w:ilvl w:val="0"/>
                <w:numId w:val="13"/>
              </w:numPr>
              <w:tabs>
                <w:tab w:val="left" w:pos="515"/>
              </w:tabs>
              <w:spacing w:before="1" w:line="219" w:lineRule="exact"/>
              <w:rPr>
                <w:sz w:val="18"/>
              </w:rPr>
            </w:pPr>
            <w:r>
              <w:rPr>
                <w:sz w:val="18"/>
              </w:rPr>
              <w:t>Governor’s</w:t>
            </w:r>
            <w:r>
              <w:rPr>
                <w:spacing w:val="-2"/>
                <w:sz w:val="18"/>
              </w:rPr>
              <w:t xml:space="preserve"> </w:t>
            </w:r>
            <w:r>
              <w:rPr>
                <w:sz w:val="18"/>
              </w:rPr>
              <w:t>Decree</w:t>
            </w:r>
            <w:r>
              <w:rPr>
                <w:spacing w:val="-2"/>
                <w:sz w:val="18"/>
              </w:rPr>
              <w:t xml:space="preserve"> </w:t>
            </w:r>
            <w:r>
              <w:rPr>
                <w:sz w:val="18"/>
              </w:rPr>
              <w:t>on</w:t>
            </w:r>
            <w:r>
              <w:rPr>
                <w:spacing w:val="-2"/>
                <w:sz w:val="18"/>
              </w:rPr>
              <w:t xml:space="preserve"> </w:t>
            </w:r>
            <w:r>
              <w:rPr>
                <w:sz w:val="18"/>
              </w:rPr>
              <w:t>the</w:t>
            </w:r>
            <w:r>
              <w:rPr>
                <w:spacing w:val="-1"/>
                <w:sz w:val="18"/>
              </w:rPr>
              <w:t xml:space="preserve"> </w:t>
            </w:r>
            <w:r>
              <w:rPr>
                <w:sz w:val="18"/>
              </w:rPr>
              <w:t>Papua</w:t>
            </w:r>
            <w:r>
              <w:rPr>
                <w:spacing w:val="-3"/>
                <w:sz w:val="18"/>
              </w:rPr>
              <w:t xml:space="preserve"> </w:t>
            </w:r>
            <w:r>
              <w:rPr>
                <w:sz w:val="18"/>
              </w:rPr>
              <w:t>Selatan</w:t>
            </w:r>
            <w:r>
              <w:rPr>
                <w:spacing w:val="-2"/>
                <w:sz w:val="18"/>
              </w:rPr>
              <w:t xml:space="preserve"> </w:t>
            </w:r>
            <w:r>
              <w:rPr>
                <w:sz w:val="18"/>
              </w:rPr>
              <w:t>PUG</w:t>
            </w:r>
            <w:r>
              <w:rPr>
                <w:spacing w:val="-1"/>
                <w:sz w:val="18"/>
              </w:rPr>
              <w:t xml:space="preserve"> </w:t>
            </w:r>
            <w:r>
              <w:rPr>
                <w:spacing w:val="-2"/>
                <w:sz w:val="18"/>
              </w:rPr>
              <w:t>Team.</w:t>
            </w:r>
          </w:p>
          <w:p w14:paraId="171909AE" w14:textId="77777777" w:rsidR="00BC24A8" w:rsidRDefault="00000000">
            <w:pPr>
              <w:pStyle w:val="TableParagraph"/>
              <w:numPr>
                <w:ilvl w:val="0"/>
                <w:numId w:val="13"/>
              </w:numPr>
              <w:tabs>
                <w:tab w:val="left" w:pos="515"/>
              </w:tabs>
              <w:spacing w:line="219" w:lineRule="exact"/>
              <w:rPr>
                <w:sz w:val="18"/>
              </w:rPr>
            </w:pPr>
            <w:r>
              <w:rPr>
                <w:sz w:val="18"/>
              </w:rPr>
              <w:t>Draft</w:t>
            </w:r>
            <w:r>
              <w:rPr>
                <w:spacing w:val="-4"/>
                <w:sz w:val="18"/>
              </w:rPr>
              <w:t xml:space="preserve"> </w:t>
            </w:r>
            <w:r>
              <w:rPr>
                <w:sz w:val="18"/>
              </w:rPr>
              <w:t>Governor</w:t>
            </w:r>
            <w:r>
              <w:rPr>
                <w:spacing w:val="-2"/>
                <w:sz w:val="18"/>
              </w:rPr>
              <w:t xml:space="preserve"> </w:t>
            </w:r>
            <w:r>
              <w:rPr>
                <w:sz w:val="18"/>
              </w:rPr>
              <w:t>Regulation</w:t>
            </w:r>
            <w:r>
              <w:rPr>
                <w:spacing w:val="-2"/>
                <w:sz w:val="18"/>
              </w:rPr>
              <w:t xml:space="preserve"> </w:t>
            </w:r>
            <w:r>
              <w:rPr>
                <w:sz w:val="18"/>
              </w:rPr>
              <w:t>on</w:t>
            </w:r>
            <w:r>
              <w:rPr>
                <w:spacing w:val="-2"/>
                <w:sz w:val="18"/>
              </w:rPr>
              <w:t xml:space="preserve"> </w:t>
            </w:r>
            <w:r>
              <w:rPr>
                <w:sz w:val="18"/>
              </w:rPr>
              <w:t>Papua</w:t>
            </w:r>
            <w:r>
              <w:rPr>
                <w:spacing w:val="-3"/>
                <w:sz w:val="18"/>
              </w:rPr>
              <w:t xml:space="preserve"> </w:t>
            </w:r>
            <w:r>
              <w:rPr>
                <w:sz w:val="18"/>
              </w:rPr>
              <w:t>Selatan</w:t>
            </w:r>
            <w:r>
              <w:rPr>
                <w:spacing w:val="-2"/>
                <w:sz w:val="18"/>
              </w:rPr>
              <w:t xml:space="preserve"> </w:t>
            </w:r>
            <w:r>
              <w:rPr>
                <w:sz w:val="18"/>
              </w:rPr>
              <w:t>MSS</w:t>
            </w:r>
            <w:r>
              <w:rPr>
                <w:spacing w:val="-2"/>
                <w:sz w:val="18"/>
              </w:rPr>
              <w:t xml:space="preserve"> </w:t>
            </w:r>
            <w:r>
              <w:rPr>
                <w:sz w:val="18"/>
              </w:rPr>
              <w:t>Action</w:t>
            </w:r>
            <w:r>
              <w:rPr>
                <w:spacing w:val="-2"/>
                <w:sz w:val="18"/>
              </w:rPr>
              <w:t xml:space="preserve"> </w:t>
            </w:r>
            <w:r>
              <w:rPr>
                <w:spacing w:val="-4"/>
                <w:sz w:val="18"/>
              </w:rPr>
              <w:t>Plan.</w:t>
            </w:r>
          </w:p>
          <w:p w14:paraId="36951055" w14:textId="77777777" w:rsidR="00BC24A8" w:rsidRDefault="00000000">
            <w:pPr>
              <w:pStyle w:val="TableParagraph"/>
              <w:numPr>
                <w:ilvl w:val="0"/>
                <w:numId w:val="13"/>
              </w:numPr>
              <w:tabs>
                <w:tab w:val="left" w:pos="515"/>
              </w:tabs>
              <w:spacing w:before="2"/>
              <w:rPr>
                <w:sz w:val="18"/>
              </w:rPr>
            </w:pPr>
            <w:r>
              <w:rPr>
                <w:sz w:val="18"/>
              </w:rPr>
              <w:t>Draft</w:t>
            </w:r>
            <w:r>
              <w:rPr>
                <w:spacing w:val="-2"/>
                <w:sz w:val="18"/>
              </w:rPr>
              <w:t xml:space="preserve"> </w:t>
            </w:r>
            <w:r>
              <w:rPr>
                <w:sz w:val="18"/>
              </w:rPr>
              <w:t>Papua</w:t>
            </w:r>
            <w:r>
              <w:rPr>
                <w:spacing w:val="-3"/>
                <w:sz w:val="18"/>
              </w:rPr>
              <w:t xml:space="preserve"> </w:t>
            </w:r>
            <w:r>
              <w:rPr>
                <w:sz w:val="18"/>
              </w:rPr>
              <w:t>Selatan</w:t>
            </w:r>
            <w:r>
              <w:rPr>
                <w:spacing w:val="-2"/>
                <w:sz w:val="18"/>
              </w:rPr>
              <w:t xml:space="preserve"> </w:t>
            </w:r>
            <w:r>
              <w:rPr>
                <w:sz w:val="18"/>
              </w:rPr>
              <w:t>RPJMD</w:t>
            </w:r>
            <w:r>
              <w:rPr>
                <w:spacing w:val="-1"/>
                <w:sz w:val="18"/>
              </w:rPr>
              <w:t xml:space="preserve"> </w:t>
            </w:r>
            <w:r>
              <w:rPr>
                <w:spacing w:val="-2"/>
                <w:sz w:val="18"/>
              </w:rPr>
              <w:t>2025–2029.</w:t>
            </w:r>
          </w:p>
        </w:tc>
      </w:tr>
      <w:tr w:rsidR="00BC24A8" w14:paraId="04513B25" w14:textId="77777777">
        <w:trPr>
          <w:trHeight w:val="673"/>
        </w:trPr>
        <w:tc>
          <w:tcPr>
            <w:tcW w:w="1407" w:type="dxa"/>
            <w:tcBorders>
              <w:top w:val="single" w:sz="4" w:space="0" w:color="BEBEBE"/>
              <w:bottom w:val="single" w:sz="4" w:space="0" w:color="BEBEBE"/>
            </w:tcBorders>
          </w:tcPr>
          <w:p w14:paraId="17D94F49" w14:textId="77777777" w:rsidR="00BC24A8" w:rsidRDefault="00000000">
            <w:pPr>
              <w:pStyle w:val="TableParagraph"/>
              <w:spacing w:before="116"/>
              <w:ind w:left="115"/>
              <w:rPr>
                <w:sz w:val="18"/>
              </w:rPr>
            </w:pPr>
            <w:r>
              <w:rPr>
                <w:spacing w:val="-2"/>
                <w:sz w:val="18"/>
              </w:rPr>
              <w:t>Operational</w:t>
            </w:r>
            <w:r>
              <w:rPr>
                <w:sz w:val="18"/>
              </w:rPr>
              <w:t xml:space="preserve"> </w:t>
            </w:r>
            <w:r>
              <w:rPr>
                <w:spacing w:val="-2"/>
                <w:sz w:val="18"/>
              </w:rPr>
              <w:t>Impacts</w:t>
            </w:r>
          </w:p>
        </w:tc>
        <w:tc>
          <w:tcPr>
            <w:tcW w:w="7693" w:type="dxa"/>
            <w:tcBorders>
              <w:top w:val="single" w:sz="4" w:space="0" w:color="BEBEBE"/>
              <w:bottom w:val="single" w:sz="4" w:space="0" w:color="BEBEBE"/>
            </w:tcBorders>
          </w:tcPr>
          <w:p w14:paraId="06C3629D" w14:textId="77777777" w:rsidR="00BC24A8" w:rsidRDefault="00000000">
            <w:pPr>
              <w:pStyle w:val="TableParagraph"/>
              <w:numPr>
                <w:ilvl w:val="0"/>
                <w:numId w:val="12"/>
              </w:numPr>
              <w:tabs>
                <w:tab w:val="left" w:pos="515"/>
              </w:tabs>
              <w:spacing w:before="116"/>
              <w:rPr>
                <w:sz w:val="18"/>
              </w:rPr>
            </w:pPr>
            <w:r>
              <w:rPr>
                <w:sz w:val="18"/>
              </w:rPr>
              <w:t>Merauke</w:t>
            </w:r>
            <w:r>
              <w:rPr>
                <w:spacing w:val="-2"/>
                <w:sz w:val="18"/>
              </w:rPr>
              <w:t xml:space="preserve"> </w:t>
            </w:r>
            <w:r>
              <w:rPr>
                <w:sz w:val="18"/>
              </w:rPr>
              <w:t>District</w:t>
            </w:r>
            <w:r>
              <w:rPr>
                <w:spacing w:val="-2"/>
                <w:sz w:val="18"/>
              </w:rPr>
              <w:t xml:space="preserve"> </w:t>
            </w:r>
            <w:r>
              <w:rPr>
                <w:sz w:val="18"/>
              </w:rPr>
              <w:t>allocated</w:t>
            </w:r>
            <w:r>
              <w:rPr>
                <w:spacing w:val="-2"/>
                <w:sz w:val="18"/>
              </w:rPr>
              <w:t xml:space="preserve"> </w:t>
            </w:r>
            <w:r>
              <w:rPr>
                <w:sz w:val="18"/>
              </w:rPr>
              <w:t>IDR</w:t>
            </w:r>
            <w:r>
              <w:rPr>
                <w:spacing w:val="-2"/>
                <w:sz w:val="18"/>
              </w:rPr>
              <w:t xml:space="preserve"> </w:t>
            </w:r>
            <w:r>
              <w:rPr>
                <w:sz w:val="18"/>
              </w:rPr>
              <w:t>2.2</w:t>
            </w:r>
            <w:r>
              <w:rPr>
                <w:spacing w:val="-2"/>
                <w:sz w:val="18"/>
              </w:rPr>
              <w:t xml:space="preserve"> </w:t>
            </w:r>
            <w:r>
              <w:rPr>
                <w:sz w:val="18"/>
              </w:rPr>
              <w:t>billion</w:t>
            </w:r>
            <w:r>
              <w:rPr>
                <w:spacing w:val="-1"/>
                <w:sz w:val="18"/>
              </w:rPr>
              <w:t xml:space="preserve"> </w:t>
            </w:r>
            <w:r>
              <w:rPr>
                <w:sz w:val="18"/>
              </w:rPr>
              <w:t>for</w:t>
            </w:r>
            <w:r>
              <w:rPr>
                <w:spacing w:val="-2"/>
                <w:sz w:val="18"/>
              </w:rPr>
              <w:t xml:space="preserve"> SIRIOS.</w:t>
            </w:r>
          </w:p>
          <w:p w14:paraId="10AAD244" w14:textId="77777777" w:rsidR="00BC24A8" w:rsidRDefault="00000000">
            <w:pPr>
              <w:pStyle w:val="TableParagraph"/>
              <w:numPr>
                <w:ilvl w:val="0"/>
                <w:numId w:val="12"/>
              </w:numPr>
              <w:tabs>
                <w:tab w:val="left" w:pos="515"/>
              </w:tabs>
              <w:spacing w:before="1"/>
              <w:rPr>
                <w:sz w:val="18"/>
              </w:rPr>
            </w:pPr>
            <w:r>
              <w:rPr>
                <w:sz w:val="18"/>
              </w:rPr>
              <w:t>Allocation</w:t>
            </w:r>
            <w:r>
              <w:rPr>
                <w:spacing w:val="-3"/>
                <w:sz w:val="18"/>
              </w:rPr>
              <w:t xml:space="preserve"> </w:t>
            </w:r>
            <w:r>
              <w:rPr>
                <w:sz w:val="18"/>
              </w:rPr>
              <w:t>and</w:t>
            </w:r>
            <w:r>
              <w:rPr>
                <w:spacing w:val="-2"/>
                <w:sz w:val="18"/>
              </w:rPr>
              <w:t xml:space="preserve"> </w:t>
            </w:r>
            <w:r>
              <w:rPr>
                <w:sz w:val="18"/>
              </w:rPr>
              <w:t>procurement</w:t>
            </w:r>
            <w:r>
              <w:rPr>
                <w:spacing w:val="-1"/>
                <w:sz w:val="18"/>
              </w:rPr>
              <w:t xml:space="preserve"> </w:t>
            </w:r>
            <w:r>
              <w:rPr>
                <w:sz w:val="18"/>
              </w:rPr>
              <w:t>of</w:t>
            </w:r>
            <w:r>
              <w:rPr>
                <w:spacing w:val="-3"/>
                <w:sz w:val="18"/>
              </w:rPr>
              <w:t xml:space="preserve"> </w:t>
            </w:r>
            <w:r>
              <w:rPr>
                <w:sz w:val="18"/>
              </w:rPr>
              <w:t>servers</w:t>
            </w:r>
            <w:r>
              <w:rPr>
                <w:spacing w:val="-2"/>
                <w:sz w:val="18"/>
              </w:rPr>
              <w:t xml:space="preserve"> </w:t>
            </w:r>
            <w:r>
              <w:rPr>
                <w:sz w:val="18"/>
              </w:rPr>
              <w:t>to</w:t>
            </w:r>
            <w:r>
              <w:rPr>
                <w:spacing w:val="-3"/>
                <w:sz w:val="18"/>
              </w:rPr>
              <w:t xml:space="preserve"> </w:t>
            </w:r>
            <w:r>
              <w:rPr>
                <w:sz w:val="18"/>
              </w:rPr>
              <w:t>support</w:t>
            </w:r>
            <w:r>
              <w:rPr>
                <w:spacing w:val="-1"/>
                <w:sz w:val="18"/>
              </w:rPr>
              <w:t xml:space="preserve"> </w:t>
            </w:r>
            <w:r>
              <w:rPr>
                <w:sz w:val="18"/>
              </w:rPr>
              <w:t>SIRIOS</w:t>
            </w:r>
            <w:r>
              <w:rPr>
                <w:spacing w:val="-2"/>
                <w:sz w:val="18"/>
              </w:rPr>
              <w:t xml:space="preserve"> expansion.</w:t>
            </w:r>
          </w:p>
        </w:tc>
      </w:tr>
    </w:tbl>
    <w:p w14:paraId="3B56B603" w14:textId="77777777" w:rsidR="00BC24A8" w:rsidRDefault="00BC24A8">
      <w:pPr>
        <w:pStyle w:val="TableParagraph"/>
        <w:rPr>
          <w:sz w:val="18"/>
        </w:rPr>
        <w:sectPr w:rsidR="00BC24A8">
          <w:pgSz w:w="11910" w:h="16840"/>
          <w:pgMar w:top="1320" w:right="850" w:bottom="1100" w:left="1275" w:header="0" w:footer="907" w:gutter="0"/>
          <w:cols w:space="720"/>
        </w:sectPr>
      </w:pPr>
    </w:p>
    <w:p w14:paraId="08915414" w14:textId="77777777" w:rsidR="00BC24A8" w:rsidRDefault="00000000">
      <w:pPr>
        <w:pStyle w:val="BodyText"/>
        <w:spacing w:before="39" w:after="23"/>
        <w:ind w:left="143"/>
        <w:rPr>
          <w:rFonts w:ascii="Calibri"/>
        </w:rPr>
      </w:pPr>
      <w:bookmarkStart w:id="240" w:name="Significant_changes_story"/>
      <w:bookmarkEnd w:id="240"/>
      <w:r>
        <w:rPr>
          <w:rFonts w:ascii="Calibri"/>
          <w:color w:val="272727"/>
        </w:rPr>
        <w:t>Significant</w:t>
      </w:r>
      <w:r>
        <w:rPr>
          <w:rFonts w:ascii="Calibri"/>
          <w:color w:val="272727"/>
          <w:spacing w:val="-10"/>
        </w:rPr>
        <w:t xml:space="preserve"> </w:t>
      </w:r>
      <w:r>
        <w:rPr>
          <w:rFonts w:ascii="Calibri"/>
          <w:color w:val="272727"/>
        </w:rPr>
        <w:t>changes</w:t>
      </w:r>
      <w:r>
        <w:rPr>
          <w:rFonts w:ascii="Calibri"/>
          <w:color w:val="272727"/>
          <w:spacing w:val="-11"/>
        </w:rPr>
        <w:t xml:space="preserve"> </w:t>
      </w:r>
      <w:r>
        <w:rPr>
          <w:rFonts w:ascii="Calibri"/>
          <w:color w:val="272727"/>
          <w:spacing w:val="-4"/>
        </w:rPr>
        <w:t>story</w:t>
      </w:r>
    </w:p>
    <w:tbl>
      <w:tblPr>
        <w:tblW w:w="0" w:type="auto"/>
        <w:tblInd w:w="14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091"/>
      </w:tblGrid>
      <w:tr w:rsidR="00BC24A8" w14:paraId="5CA0CD38" w14:textId="77777777">
        <w:trPr>
          <w:trHeight w:val="6911"/>
        </w:trPr>
        <w:tc>
          <w:tcPr>
            <w:tcW w:w="9091" w:type="dxa"/>
          </w:tcPr>
          <w:p w14:paraId="4A534594" w14:textId="77777777" w:rsidR="00BC24A8" w:rsidRDefault="00000000">
            <w:pPr>
              <w:pStyle w:val="TableParagraph"/>
              <w:spacing w:before="119"/>
              <w:ind w:left="11" w:right="38"/>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1</w:t>
            </w:r>
            <w:r>
              <w:rPr>
                <w:spacing w:val="-15"/>
                <w:sz w:val="20"/>
              </w:rPr>
              <w:t xml:space="preserve"> </w:t>
            </w:r>
            <w:r>
              <w:rPr>
                <w:spacing w:val="-10"/>
                <w:sz w:val="20"/>
              </w:rPr>
              <w:t>:</w:t>
            </w:r>
          </w:p>
          <w:p w14:paraId="77A10F16" w14:textId="77777777" w:rsidR="00BC24A8" w:rsidRDefault="00000000">
            <w:pPr>
              <w:pStyle w:val="TableParagraph"/>
              <w:ind w:left="33" w:right="27"/>
              <w:jc w:val="center"/>
              <w:rPr>
                <w:rFonts w:ascii="Calibri"/>
                <w:b/>
                <w:sz w:val="20"/>
              </w:rPr>
            </w:pPr>
            <w:r>
              <w:rPr>
                <w:rFonts w:ascii="Calibri"/>
                <w:b/>
                <w:color w:val="17365A"/>
                <w:sz w:val="20"/>
              </w:rPr>
              <w:t>Vulnerable</w:t>
            </w:r>
            <w:r>
              <w:rPr>
                <w:rFonts w:ascii="Calibri"/>
                <w:b/>
                <w:color w:val="17365A"/>
                <w:spacing w:val="-9"/>
                <w:sz w:val="20"/>
              </w:rPr>
              <w:t xml:space="preserve"> </w:t>
            </w:r>
            <w:r>
              <w:rPr>
                <w:rFonts w:ascii="Calibri"/>
                <w:b/>
                <w:color w:val="17365A"/>
                <w:sz w:val="20"/>
              </w:rPr>
              <w:t>Communities</w:t>
            </w:r>
            <w:r>
              <w:rPr>
                <w:rFonts w:ascii="Calibri"/>
                <w:b/>
                <w:color w:val="17365A"/>
                <w:spacing w:val="-9"/>
                <w:sz w:val="20"/>
              </w:rPr>
              <w:t xml:space="preserve"> </w:t>
            </w:r>
            <w:r>
              <w:rPr>
                <w:rFonts w:ascii="Calibri"/>
                <w:b/>
                <w:color w:val="17365A"/>
                <w:sz w:val="20"/>
              </w:rPr>
              <w:t>a</w:t>
            </w:r>
            <w:r>
              <w:rPr>
                <w:rFonts w:ascii="Calibri"/>
                <w:b/>
                <w:color w:val="17365A"/>
                <w:spacing w:val="-8"/>
                <w:sz w:val="20"/>
              </w:rPr>
              <w:t xml:space="preserve"> </w:t>
            </w:r>
            <w:r>
              <w:rPr>
                <w:rFonts w:ascii="Calibri"/>
                <w:b/>
                <w:color w:val="17365A"/>
                <w:sz w:val="20"/>
              </w:rPr>
              <w:t>Voice</w:t>
            </w:r>
            <w:r>
              <w:rPr>
                <w:rFonts w:ascii="Calibri"/>
                <w:b/>
                <w:color w:val="17365A"/>
                <w:spacing w:val="-9"/>
                <w:sz w:val="20"/>
              </w:rPr>
              <w:t xml:space="preserve"> </w:t>
            </w:r>
            <w:r>
              <w:rPr>
                <w:rFonts w:ascii="Calibri"/>
                <w:b/>
                <w:color w:val="17365A"/>
                <w:sz w:val="20"/>
              </w:rPr>
              <w:t>in</w:t>
            </w:r>
            <w:r>
              <w:rPr>
                <w:rFonts w:ascii="Calibri"/>
                <w:b/>
                <w:color w:val="17365A"/>
                <w:spacing w:val="-8"/>
                <w:sz w:val="20"/>
              </w:rPr>
              <w:t xml:space="preserve"> </w:t>
            </w:r>
            <w:r>
              <w:rPr>
                <w:rFonts w:ascii="Calibri"/>
                <w:b/>
                <w:color w:val="17365A"/>
                <w:sz w:val="20"/>
              </w:rPr>
              <w:t>the</w:t>
            </w:r>
            <w:r>
              <w:rPr>
                <w:rFonts w:ascii="Calibri"/>
                <w:b/>
                <w:color w:val="17365A"/>
                <w:spacing w:val="-8"/>
                <w:sz w:val="20"/>
              </w:rPr>
              <w:t xml:space="preserve"> </w:t>
            </w:r>
            <w:r>
              <w:rPr>
                <w:rFonts w:ascii="Calibri"/>
                <w:b/>
                <w:color w:val="17365A"/>
                <w:sz w:val="20"/>
              </w:rPr>
              <w:t>RPJMD</w:t>
            </w:r>
            <w:r>
              <w:rPr>
                <w:rFonts w:ascii="Calibri"/>
                <w:b/>
                <w:color w:val="17365A"/>
                <w:spacing w:val="-10"/>
                <w:sz w:val="20"/>
              </w:rPr>
              <w:t xml:space="preserve"> </w:t>
            </w:r>
            <w:r>
              <w:rPr>
                <w:rFonts w:ascii="Calibri"/>
                <w:b/>
                <w:color w:val="17365A"/>
                <w:sz w:val="20"/>
              </w:rPr>
              <w:t>of</w:t>
            </w:r>
            <w:r>
              <w:rPr>
                <w:rFonts w:ascii="Calibri"/>
                <w:b/>
                <w:color w:val="17365A"/>
                <w:spacing w:val="-9"/>
                <w:sz w:val="20"/>
              </w:rPr>
              <w:t xml:space="preserve"> </w:t>
            </w:r>
            <w:r>
              <w:rPr>
                <w:rFonts w:ascii="Calibri"/>
                <w:b/>
                <w:color w:val="17365A"/>
                <w:sz w:val="20"/>
              </w:rPr>
              <w:t>Papua</w:t>
            </w:r>
            <w:r>
              <w:rPr>
                <w:rFonts w:ascii="Calibri"/>
                <w:b/>
                <w:color w:val="17365A"/>
                <w:spacing w:val="-8"/>
                <w:sz w:val="20"/>
              </w:rPr>
              <w:t xml:space="preserve"> </w:t>
            </w:r>
            <w:r>
              <w:rPr>
                <w:rFonts w:ascii="Calibri"/>
                <w:b/>
                <w:color w:val="17365A"/>
                <w:spacing w:val="-2"/>
                <w:sz w:val="20"/>
              </w:rPr>
              <w:t>Selatan</w:t>
            </w:r>
          </w:p>
          <w:p w14:paraId="78CCB467" w14:textId="77777777" w:rsidR="00BC24A8" w:rsidRDefault="00000000">
            <w:pPr>
              <w:pStyle w:val="TableParagraph"/>
              <w:spacing w:before="243"/>
              <w:ind w:left="251" w:right="239"/>
              <w:jc w:val="both"/>
              <w:rPr>
                <w:sz w:val="18"/>
              </w:rPr>
            </w:pPr>
            <w:r>
              <w:rPr>
                <w:noProof/>
                <w:sz w:val="18"/>
              </w:rPr>
              <mc:AlternateContent>
                <mc:Choice Requires="wpg">
                  <w:drawing>
                    <wp:anchor distT="0" distB="0" distL="0" distR="0" simplePos="0" relativeHeight="478695424" behindDoc="1" locked="0" layoutInCell="1" allowOverlap="1" wp14:anchorId="2B6762A8" wp14:editId="60116B74">
                      <wp:simplePos x="0" y="0"/>
                      <wp:positionH relativeFrom="column">
                        <wp:posOffset>3041</wp:posOffset>
                      </wp:positionH>
                      <wp:positionV relativeFrom="paragraph">
                        <wp:posOffset>-386088</wp:posOffset>
                      </wp:positionV>
                      <wp:extent cx="5765800" cy="4389120"/>
                      <wp:effectExtent l="0" t="0" r="0" b="0"/>
                      <wp:wrapNone/>
                      <wp:docPr id="306" name="Group 306" descr="S TO R Y 1 :&#10;Vulnerable Communities a Voice in the RPJMD of Papua Selatan&#10;As a new autonomous region (DOB) in Tanah Papua, Papua Selatan continues to improve its development planning. A key step is ensuring that regional planning truly reflects the needs of its residents—including vulnerable groups and persons with disabilities.&#10;Previously, there was limited space for them to express their aspirations in the RPJMD drafting process. The process tended to be formal, and the input received was often general. With SKALA’s support, the Papua Selatan Provincial Government was introduced to a GEDSI-themed Musrenbang approach—a special forum that provides a safe and focused space for vulnerable groups to speak.&#10;In this forum, their stories, challenges, and needs were taken seriously. The outcome was not just a list of aspirations, but evidence-based recommendations grounded in real experiences, which could be directly incorporated into the RPJMD. This approach also enabled the RPJMD drafting team to produce a planning document that is more inclusive and relevant.&#10;&#10; &#10;This is the flrst time I’ve seen how a thematic musrenbang works technically and how the community is genuinely listened to. With this approach, Bappeda and the RPJMD draing team have strong evidence to formulate policy directions and strategic programs that support the community and vulnerable or disabled groups,&#10;Dr. Esau Hambore, S.STP, M.Si, Head of Planning Division, Bappeda Papua Selatan&#10;&#10; &#10;&#10;Today, the provincial government has a more inclusive, evidence-based participation method. This change not only strengthens the RPJMD document but also builds community trust that their voices truly influence the development direction of Papua Selat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4389120"/>
                                <a:chOff x="0" y="0"/>
                                <a:chExt cx="5765800" cy="4389120"/>
                              </a:xfrm>
                            </wpg:grpSpPr>
                            <wps:wsp>
                              <wps:cNvPr id="307" name="Graphic 307"/>
                              <wps:cNvSpPr/>
                              <wps:spPr>
                                <a:xfrm>
                                  <a:off x="0" y="0"/>
                                  <a:ext cx="5765800" cy="4389120"/>
                                </a:xfrm>
                                <a:custGeom>
                                  <a:avLst/>
                                  <a:gdLst/>
                                  <a:ahLst/>
                                  <a:cxnLst/>
                                  <a:rect l="l" t="t" r="r" b="b"/>
                                  <a:pathLst>
                                    <a:path w="5765800" h="4389120">
                                      <a:moveTo>
                                        <a:pt x="5765292" y="0"/>
                                      </a:moveTo>
                                      <a:lnTo>
                                        <a:pt x="0" y="0"/>
                                      </a:lnTo>
                                      <a:lnTo>
                                        <a:pt x="0" y="4389120"/>
                                      </a:lnTo>
                                      <a:lnTo>
                                        <a:pt x="5765292" y="4389120"/>
                                      </a:lnTo>
                                      <a:lnTo>
                                        <a:pt x="5765292" y="0"/>
                                      </a:lnTo>
                                      <a:close/>
                                    </a:path>
                                  </a:pathLst>
                                </a:custGeom>
                                <a:solidFill>
                                  <a:srgbClr val="E1F1EF"/>
                                </a:solidFill>
                              </wps:spPr>
                              <wps:bodyPr wrap="square" lIns="0" tIns="0" rIns="0" bIns="0" rtlCol="0">
                                <a:prstTxWarp prst="textNoShape">
                                  <a:avLst/>
                                </a:prstTxWarp>
                                <a:noAutofit/>
                              </wps:bodyPr>
                            </wps:wsp>
                            <wps:wsp>
                              <wps:cNvPr id="308" name="Graphic 308"/>
                              <wps:cNvSpPr/>
                              <wps:spPr>
                                <a:xfrm>
                                  <a:off x="176403" y="2561183"/>
                                  <a:ext cx="5410200" cy="1042669"/>
                                </a:xfrm>
                                <a:custGeom>
                                  <a:avLst/>
                                  <a:gdLst/>
                                  <a:ahLst/>
                                  <a:cxnLst/>
                                  <a:rect l="l" t="t" r="r" b="b"/>
                                  <a:pathLst>
                                    <a:path w="5410200" h="1042669">
                                      <a:moveTo>
                                        <a:pt x="0" y="0"/>
                                      </a:moveTo>
                                      <a:lnTo>
                                        <a:pt x="5410200" y="0"/>
                                      </a:lnTo>
                                      <a:lnTo>
                                        <a:pt x="5410200" y="1042581"/>
                                      </a:lnTo>
                                      <a:lnTo>
                                        <a:pt x="0" y="1042581"/>
                                      </a:lnTo>
                                      <a:lnTo>
                                        <a:pt x="0" y="0"/>
                                      </a:lnTo>
                                      <a:close/>
                                    </a:path>
                                  </a:pathLst>
                                </a:custGeom>
                                <a:ln w="12700">
                                  <a:solidFill>
                                    <a:srgbClr val="17365A"/>
                                  </a:solidFill>
                                  <a:prstDash val="solid"/>
                                </a:ln>
                              </wps:spPr>
                              <wps:bodyPr wrap="square" lIns="0" tIns="0" rIns="0" bIns="0" rtlCol="0">
                                <a:prstTxWarp prst="textNoShape">
                                  <a:avLst/>
                                </a:prstTxWarp>
                                <a:noAutofit/>
                              </wps:bodyPr>
                            </wps:wsp>
                          </wpg:wgp>
                        </a:graphicData>
                      </a:graphic>
                    </wp:anchor>
                  </w:drawing>
                </mc:Choice>
                <mc:Fallback>
                  <w:pict>
                    <v:group w14:anchorId="380EF91E" id="Group 306" o:spid="_x0000_s1026" alt="S TO R Y 1 :&#10;Vulnerable Communities a Voice in the RPJMD of Papua Selatan&#10;As a new autonomous region (DOB) in Tanah Papua, Papua Selatan continues to improve its development planning. A key step is ensuring that regional planning truly reflects the needs of its residents—including vulnerable groups and persons with disabilities.&#10;Previously, there was limited space for them to express their aspirations in the RPJMD drafting process. The process tended to be formal, and the input received was often general. With SKALA’s support, the Papua Selatan Provincial Government was introduced to a GEDSI-themed Musrenbang approach—a special forum that provides a safe and focused space for vulnerable groups to speak.&#10;In this forum, their stories, challenges, and needs were taken seriously. The outcome was not just a list of aspirations, but evidence-based recommendations grounded in real experiences, which could be directly incorporated into the RPJMD. This approach also enabled the RPJMD drafting team to produce a planning document that is more inclusive and relevant.&#10;&#10; &#10;This is the flrst time I’ve seen how a thematic musrenbang works technically and how the community is genuinely listened to. With this approach, Bappeda and the RPJMD draing team have strong evidence to formulate policy directions and strategic programs that support the community and vulnerable or disabled groups,&#10;Dr. Esau Hambore, S.STP, M.Si, Head of Planning Division, Bappeda Papua Selatan&#10;&#10; &#10;&#10;Today, the provincial government has a more inclusive, evidence-based participation method. This change not only strengthens the RPJMD document but also builds community trust that their voices truly influence the development direction of Papua Selatan." style="position:absolute;margin-left:.25pt;margin-top:-30.4pt;width:454pt;height:345.6pt;z-index:-24621056;mso-wrap-distance-left:0;mso-wrap-distance-right:0" coordsize="57658,4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">
                      <v:shape id="Graphic 307" o:spid="_x0000_s1027" style="position:absolute;width:57658;height:43891;visibility:visible;mso-wrap-style:square;v-text-anchor:top" coordsize="5765800,43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" path="m5765292,l,,,4389120r5765292,l5765292,xe" fillcolor="#e1f1ef" stroked="f">
                        <v:path arrowok="t"/>
                      </v:shape>
                      <v:shape id="Graphic 308" o:spid="_x0000_s1028" style="position:absolute;left:1764;top:25611;width:54102;height:10427;visibility:visible;mso-wrap-style:square;v-text-anchor:top" coordsize="541020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" path="m,l5410200,r,1042581l,1042581,,xe" filled="f" strokecolor="#17365a" strokeweight="1pt">
                        <v:path arrowok="t"/>
                      </v:shape>
                    </v:group>
                  </w:pict>
                </mc:Fallback>
              </mc:AlternateContent>
            </w:r>
            <w:r>
              <w:rPr>
                <w:sz w:val="18"/>
              </w:rPr>
              <w:t>As a new autonomous region (DOB) in Tanah Papua, Papua Selatan continues to improve its development planning. A key step is ensuring that regional planning truly reflects the needs of its residents—including vulnerable groups and persons with disabilities.</w:t>
            </w:r>
          </w:p>
          <w:p w14:paraId="6031C588" w14:textId="77777777" w:rsidR="00BC24A8" w:rsidRDefault="00000000">
            <w:pPr>
              <w:pStyle w:val="TableParagraph"/>
              <w:spacing w:before="162"/>
              <w:ind w:left="251" w:right="238"/>
              <w:jc w:val="both"/>
              <w:rPr>
                <w:sz w:val="18"/>
              </w:rPr>
            </w:pPr>
            <w:r>
              <w:rPr>
                <w:sz w:val="18"/>
              </w:rPr>
              <w:t>Previously, there was limited space for them to express their aspirations in the RPJMD drafting process. The process tended to be formal, and the input received was often general. With SKALA’s support, the Papua Selatan Provincial Government was introduced to a GEDSI-themed Musrenbang approach—a special forum that provides a safe and focused space for vulnerable groups to speak.</w:t>
            </w:r>
          </w:p>
          <w:p w14:paraId="7073E4D2" w14:textId="77777777" w:rsidR="00BC24A8" w:rsidRDefault="00000000">
            <w:pPr>
              <w:pStyle w:val="TableParagraph"/>
              <w:spacing w:before="160"/>
              <w:ind w:left="251" w:right="239"/>
              <w:jc w:val="both"/>
              <w:rPr>
                <w:sz w:val="18"/>
              </w:rPr>
            </w:pPr>
            <w:r>
              <w:rPr>
                <w:sz w:val="18"/>
              </w:rPr>
              <w:t>In this forum, their stories, challenges, and needs were taken seriously. The outcome was not just a list of aspirations, but evidence-based recommendations grounded in real experiences, which could be directly incorporated into the RPJMD.</w:t>
            </w:r>
            <w:r>
              <w:rPr>
                <w:spacing w:val="-11"/>
                <w:sz w:val="18"/>
              </w:rPr>
              <w:t xml:space="preserve"> </w:t>
            </w:r>
            <w:r>
              <w:rPr>
                <w:sz w:val="18"/>
              </w:rPr>
              <w:t>This</w:t>
            </w:r>
            <w:r>
              <w:rPr>
                <w:spacing w:val="-9"/>
                <w:sz w:val="18"/>
              </w:rPr>
              <w:t xml:space="preserve"> </w:t>
            </w:r>
            <w:r>
              <w:rPr>
                <w:sz w:val="18"/>
              </w:rPr>
              <w:t>approach</w:t>
            </w:r>
            <w:r>
              <w:rPr>
                <w:spacing w:val="-9"/>
                <w:sz w:val="18"/>
              </w:rPr>
              <w:t xml:space="preserve"> </w:t>
            </w:r>
            <w:r>
              <w:rPr>
                <w:sz w:val="18"/>
              </w:rPr>
              <w:t>also</w:t>
            </w:r>
            <w:r>
              <w:rPr>
                <w:spacing w:val="-9"/>
                <w:sz w:val="18"/>
              </w:rPr>
              <w:t xml:space="preserve"> </w:t>
            </w:r>
            <w:r>
              <w:rPr>
                <w:sz w:val="18"/>
              </w:rPr>
              <w:t>enabled</w:t>
            </w:r>
            <w:r>
              <w:rPr>
                <w:spacing w:val="-9"/>
                <w:sz w:val="18"/>
              </w:rPr>
              <w:t xml:space="preserve"> </w:t>
            </w:r>
            <w:r>
              <w:rPr>
                <w:sz w:val="18"/>
              </w:rPr>
              <w:t>the</w:t>
            </w:r>
            <w:r>
              <w:rPr>
                <w:spacing w:val="-9"/>
                <w:sz w:val="18"/>
              </w:rPr>
              <w:t xml:space="preserve"> </w:t>
            </w:r>
            <w:r>
              <w:rPr>
                <w:sz w:val="18"/>
              </w:rPr>
              <w:t>RPJMD</w:t>
            </w:r>
            <w:r>
              <w:rPr>
                <w:spacing w:val="-8"/>
                <w:sz w:val="18"/>
              </w:rPr>
              <w:t xml:space="preserve"> </w:t>
            </w:r>
            <w:r>
              <w:rPr>
                <w:sz w:val="18"/>
              </w:rPr>
              <w:t>drafting</w:t>
            </w:r>
            <w:r>
              <w:rPr>
                <w:spacing w:val="-9"/>
                <w:sz w:val="18"/>
              </w:rPr>
              <w:t xml:space="preserve"> </w:t>
            </w:r>
            <w:r>
              <w:rPr>
                <w:sz w:val="18"/>
              </w:rPr>
              <w:t>team</w:t>
            </w:r>
            <w:r>
              <w:rPr>
                <w:spacing w:val="-9"/>
                <w:sz w:val="18"/>
              </w:rPr>
              <w:t xml:space="preserve"> </w:t>
            </w:r>
            <w:r>
              <w:rPr>
                <w:sz w:val="18"/>
              </w:rPr>
              <w:t>to</w:t>
            </w:r>
            <w:r>
              <w:rPr>
                <w:spacing w:val="-9"/>
                <w:sz w:val="18"/>
              </w:rPr>
              <w:t xml:space="preserve"> </w:t>
            </w:r>
            <w:r>
              <w:rPr>
                <w:sz w:val="18"/>
              </w:rPr>
              <w:t>produce</w:t>
            </w:r>
            <w:r>
              <w:rPr>
                <w:spacing w:val="-9"/>
                <w:sz w:val="18"/>
              </w:rPr>
              <w:t xml:space="preserve"> </w:t>
            </w:r>
            <w:r>
              <w:rPr>
                <w:sz w:val="18"/>
              </w:rPr>
              <w:t>a</w:t>
            </w:r>
            <w:r>
              <w:rPr>
                <w:spacing w:val="-9"/>
                <w:sz w:val="18"/>
              </w:rPr>
              <w:t xml:space="preserve"> </w:t>
            </w:r>
            <w:r>
              <w:rPr>
                <w:sz w:val="18"/>
              </w:rPr>
              <w:t>planning</w:t>
            </w:r>
            <w:r>
              <w:rPr>
                <w:spacing w:val="-11"/>
                <w:sz w:val="18"/>
              </w:rPr>
              <w:t xml:space="preserve"> </w:t>
            </w:r>
            <w:r>
              <w:rPr>
                <w:sz w:val="18"/>
              </w:rPr>
              <w:t>document</w:t>
            </w:r>
            <w:r>
              <w:rPr>
                <w:spacing w:val="-7"/>
                <w:sz w:val="18"/>
              </w:rPr>
              <w:t xml:space="preserve"> </w:t>
            </w:r>
            <w:r>
              <w:rPr>
                <w:sz w:val="18"/>
              </w:rPr>
              <w:t>that</w:t>
            </w:r>
            <w:r>
              <w:rPr>
                <w:spacing w:val="-9"/>
                <w:sz w:val="18"/>
              </w:rPr>
              <w:t xml:space="preserve"> </w:t>
            </w:r>
            <w:r>
              <w:rPr>
                <w:sz w:val="18"/>
              </w:rPr>
              <w:t>is</w:t>
            </w:r>
            <w:r>
              <w:rPr>
                <w:spacing w:val="-11"/>
                <w:sz w:val="18"/>
              </w:rPr>
              <w:t xml:space="preserve"> </w:t>
            </w:r>
            <w:r>
              <w:rPr>
                <w:sz w:val="18"/>
              </w:rPr>
              <w:t>more</w:t>
            </w:r>
            <w:r>
              <w:rPr>
                <w:spacing w:val="-8"/>
                <w:sz w:val="18"/>
              </w:rPr>
              <w:t xml:space="preserve"> </w:t>
            </w:r>
            <w:r>
              <w:rPr>
                <w:sz w:val="18"/>
              </w:rPr>
              <w:t>inclusive</w:t>
            </w:r>
            <w:r>
              <w:rPr>
                <w:spacing w:val="-9"/>
                <w:sz w:val="18"/>
              </w:rPr>
              <w:t xml:space="preserve"> </w:t>
            </w:r>
            <w:r>
              <w:rPr>
                <w:sz w:val="18"/>
              </w:rPr>
              <w:t xml:space="preserve">and </w:t>
            </w:r>
            <w:r>
              <w:rPr>
                <w:spacing w:val="-2"/>
                <w:sz w:val="18"/>
              </w:rPr>
              <w:t>relevant.</w:t>
            </w:r>
          </w:p>
          <w:p w14:paraId="291E3424" w14:textId="77777777" w:rsidR="00BC24A8" w:rsidRDefault="00BC24A8">
            <w:pPr>
              <w:pStyle w:val="TableParagraph"/>
              <w:spacing w:before="5"/>
              <w:rPr>
                <w:rFonts w:ascii="Calibri"/>
                <w:sz w:val="16"/>
              </w:rPr>
            </w:pPr>
          </w:p>
          <w:p w14:paraId="06C319A1" w14:textId="77777777" w:rsidR="00BC24A8" w:rsidRDefault="00000000">
            <w:pPr>
              <w:pStyle w:val="TableParagraph"/>
              <w:ind w:left="378"/>
              <w:rPr>
                <w:rFonts w:ascii="Calibri"/>
                <w:sz w:val="20"/>
              </w:rPr>
            </w:pPr>
            <w:r>
              <w:rPr>
                <w:rFonts w:ascii="Calibri"/>
                <w:noProof/>
                <w:sz w:val="20"/>
              </w:rPr>
              <w:drawing>
                <wp:inline distT="0" distB="0" distL="0" distR="0" wp14:anchorId="22685CB0" wp14:editId="17541D9B">
                  <wp:extent cx="222889" cy="204787"/>
                  <wp:effectExtent l="0" t="0" r="0" b="0"/>
                  <wp:docPr id="309" name="Image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22889" cy="204787"/>
                          </a:xfrm>
                          <a:prstGeom prst="rect">
                            <a:avLst/>
                          </a:prstGeom>
                        </pic:spPr>
                      </pic:pic>
                    </a:graphicData>
                  </a:graphic>
                </wp:inline>
              </w:drawing>
            </w:r>
          </w:p>
          <w:p w14:paraId="05BAF315" w14:textId="77777777" w:rsidR="00BC24A8" w:rsidRDefault="00000000">
            <w:pPr>
              <w:pStyle w:val="TableParagraph"/>
              <w:spacing w:before="137" w:line="290" w:lineRule="auto"/>
              <w:ind w:left="580" w:right="573"/>
              <w:jc w:val="both"/>
              <w:rPr>
                <w:rFonts w:ascii="Times New Roman" w:hAnsi="Times New Roman"/>
                <w:b/>
                <w:i/>
                <w:sz w:val="18"/>
              </w:rPr>
            </w:pPr>
            <w:r>
              <w:rPr>
                <w:rFonts w:ascii="Times New Roman" w:hAnsi="Times New Roman"/>
                <w:b/>
                <w:i/>
                <w:color w:val="17365A"/>
                <w:sz w:val="18"/>
              </w:rPr>
              <w:t>This is the flrst time I’ve seen how a thematic musrenbang works technically and how the community is genuinely</w:t>
            </w:r>
            <w:r>
              <w:rPr>
                <w:rFonts w:ascii="Times New Roman" w:hAnsi="Times New Roman"/>
                <w:b/>
                <w:i/>
                <w:color w:val="17365A"/>
                <w:spacing w:val="-4"/>
                <w:sz w:val="18"/>
              </w:rPr>
              <w:t xml:space="preserve"> </w:t>
            </w:r>
            <w:r>
              <w:rPr>
                <w:rFonts w:ascii="Times New Roman" w:hAnsi="Times New Roman"/>
                <w:b/>
                <w:i/>
                <w:color w:val="17365A"/>
                <w:sz w:val="18"/>
              </w:rPr>
              <w:t>listened</w:t>
            </w:r>
            <w:r>
              <w:rPr>
                <w:rFonts w:ascii="Times New Roman" w:hAnsi="Times New Roman"/>
                <w:b/>
                <w:i/>
                <w:color w:val="17365A"/>
                <w:spacing w:val="-3"/>
                <w:sz w:val="18"/>
              </w:rPr>
              <w:t xml:space="preserve"> </w:t>
            </w:r>
            <w:r>
              <w:rPr>
                <w:rFonts w:ascii="Times New Roman" w:hAnsi="Times New Roman"/>
                <w:b/>
                <w:i/>
                <w:color w:val="17365A"/>
                <w:sz w:val="18"/>
              </w:rPr>
              <w:t>to.</w:t>
            </w:r>
            <w:r>
              <w:rPr>
                <w:rFonts w:ascii="Times New Roman" w:hAnsi="Times New Roman"/>
                <w:b/>
                <w:i/>
                <w:color w:val="17365A"/>
                <w:spacing w:val="-3"/>
                <w:sz w:val="18"/>
              </w:rPr>
              <w:t xml:space="preserve"> </w:t>
            </w:r>
            <w:r>
              <w:rPr>
                <w:rFonts w:ascii="Times New Roman" w:hAnsi="Times New Roman"/>
                <w:b/>
                <w:i/>
                <w:color w:val="17365A"/>
                <w:sz w:val="18"/>
              </w:rPr>
              <w:t>With</w:t>
            </w:r>
            <w:r>
              <w:rPr>
                <w:rFonts w:ascii="Times New Roman" w:hAnsi="Times New Roman"/>
                <w:b/>
                <w:i/>
                <w:color w:val="17365A"/>
                <w:spacing w:val="-4"/>
                <w:sz w:val="18"/>
              </w:rPr>
              <w:t xml:space="preserve"> </w:t>
            </w:r>
            <w:r>
              <w:rPr>
                <w:rFonts w:ascii="Times New Roman" w:hAnsi="Times New Roman"/>
                <w:b/>
                <w:i/>
                <w:color w:val="17365A"/>
                <w:sz w:val="18"/>
              </w:rPr>
              <w:t>this</w:t>
            </w:r>
            <w:r>
              <w:rPr>
                <w:rFonts w:ascii="Times New Roman" w:hAnsi="Times New Roman"/>
                <w:b/>
                <w:i/>
                <w:color w:val="17365A"/>
                <w:spacing w:val="-1"/>
                <w:sz w:val="18"/>
              </w:rPr>
              <w:t xml:space="preserve"> </w:t>
            </w:r>
            <w:r>
              <w:rPr>
                <w:rFonts w:ascii="Times New Roman" w:hAnsi="Times New Roman"/>
                <w:b/>
                <w:i/>
                <w:color w:val="17365A"/>
                <w:sz w:val="18"/>
              </w:rPr>
              <w:t>approach,</w:t>
            </w:r>
            <w:r>
              <w:rPr>
                <w:rFonts w:ascii="Times New Roman" w:hAnsi="Times New Roman"/>
                <w:b/>
                <w:i/>
                <w:color w:val="17365A"/>
                <w:spacing w:val="-3"/>
                <w:sz w:val="18"/>
              </w:rPr>
              <w:t xml:space="preserve"> </w:t>
            </w:r>
            <w:r>
              <w:rPr>
                <w:rFonts w:ascii="Times New Roman" w:hAnsi="Times New Roman"/>
                <w:b/>
                <w:i/>
                <w:color w:val="17365A"/>
                <w:sz w:val="18"/>
              </w:rPr>
              <w:t>Bappeda</w:t>
            </w:r>
            <w:r>
              <w:rPr>
                <w:rFonts w:ascii="Times New Roman" w:hAnsi="Times New Roman"/>
                <w:b/>
                <w:i/>
                <w:color w:val="17365A"/>
                <w:spacing w:val="-4"/>
                <w:sz w:val="18"/>
              </w:rPr>
              <w:t xml:space="preserve"> </w:t>
            </w:r>
            <w:r>
              <w:rPr>
                <w:rFonts w:ascii="Times New Roman" w:hAnsi="Times New Roman"/>
                <w:b/>
                <w:i/>
                <w:color w:val="17365A"/>
                <w:sz w:val="18"/>
              </w:rPr>
              <w:t>and</w:t>
            </w:r>
            <w:r>
              <w:rPr>
                <w:rFonts w:ascii="Times New Roman" w:hAnsi="Times New Roman"/>
                <w:b/>
                <w:i/>
                <w:color w:val="17365A"/>
                <w:spacing w:val="-3"/>
                <w:sz w:val="18"/>
              </w:rPr>
              <w:t xml:space="preserve"> </w:t>
            </w:r>
            <w:r>
              <w:rPr>
                <w:rFonts w:ascii="Times New Roman" w:hAnsi="Times New Roman"/>
                <w:b/>
                <w:i/>
                <w:color w:val="17365A"/>
                <w:sz w:val="18"/>
              </w:rPr>
              <w:t>the</w:t>
            </w:r>
            <w:r>
              <w:rPr>
                <w:rFonts w:ascii="Times New Roman" w:hAnsi="Times New Roman"/>
                <w:b/>
                <w:i/>
                <w:color w:val="17365A"/>
                <w:spacing w:val="-5"/>
                <w:sz w:val="18"/>
              </w:rPr>
              <w:t xml:space="preserve"> </w:t>
            </w:r>
            <w:r>
              <w:rPr>
                <w:rFonts w:ascii="Times New Roman" w:hAnsi="Times New Roman"/>
                <w:b/>
                <w:i/>
                <w:color w:val="17365A"/>
                <w:sz w:val="18"/>
              </w:rPr>
              <w:t>RPJMD</w:t>
            </w:r>
            <w:r>
              <w:rPr>
                <w:rFonts w:ascii="Times New Roman" w:hAnsi="Times New Roman"/>
                <w:b/>
                <w:i/>
                <w:color w:val="17365A"/>
                <w:spacing w:val="-4"/>
                <w:sz w:val="18"/>
              </w:rPr>
              <w:t xml:space="preserve"> </w:t>
            </w:r>
            <w:r>
              <w:rPr>
                <w:rFonts w:ascii="Times New Roman" w:hAnsi="Times New Roman"/>
                <w:b/>
                <w:i/>
                <w:color w:val="17365A"/>
                <w:sz w:val="18"/>
              </w:rPr>
              <w:t>draing</w:t>
            </w:r>
            <w:r>
              <w:rPr>
                <w:rFonts w:ascii="Times New Roman" w:hAnsi="Times New Roman"/>
                <w:b/>
                <w:i/>
                <w:color w:val="17365A"/>
                <w:spacing w:val="-3"/>
                <w:sz w:val="18"/>
              </w:rPr>
              <w:t xml:space="preserve"> </w:t>
            </w:r>
            <w:r>
              <w:rPr>
                <w:rFonts w:ascii="Times New Roman" w:hAnsi="Times New Roman"/>
                <w:b/>
                <w:i/>
                <w:color w:val="17365A"/>
                <w:sz w:val="18"/>
              </w:rPr>
              <w:t>team</w:t>
            </w:r>
            <w:r>
              <w:rPr>
                <w:rFonts w:ascii="Times New Roman" w:hAnsi="Times New Roman"/>
                <w:b/>
                <w:i/>
                <w:color w:val="17365A"/>
                <w:spacing w:val="-4"/>
                <w:sz w:val="18"/>
              </w:rPr>
              <w:t xml:space="preserve"> </w:t>
            </w:r>
            <w:r>
              <w:rPr>
                <w:rFonts w:ascii="Times New Roman" w:hAnsi="Times New Roman"/>
                <w:b/>
                <w:i/>
                <w:color w:val="17365A"/>
                <w:sz w:val="18"/>
              </w:rPr>
              <w:t>have</w:t>
            </w:r>
            <w:r>
              <w:rPr>
                <w:rFonts w:ascii="Times New Roman" w:hAnsi="Times New Roman"/>
                <w:b/>
                <w:i/>
                <w:color w:val="17365A"/>
                <w:spacing w:val="-5"/>
                <w:sz w:val="18"/>
              </w:rPr>
              <w:t xml:space="preserve"> </w:t>
            </w:r>
            <w:r>
              <w:rPr>
                <w:rFonts w:ascii="Times New Roman" w:hAnsi="Times New Roman"/>
                <w:b/>
                <w:i/>
                <w:color w:val="17365A"/>
                <w:sz w:val="18"/>
              </w:rPr>
              <w:t>strong</w:t>
            </w:r>
            <w:r>
              <w:rPr>
                <w:rFonts w:ascii="Times New Roman" w:hAnsi="Times New Roman"/>
                <w:b/>
                <w:i/>
                <w:color w:val="17365A"/>
                <w:spacing w:val="-3"/>
                <w:sz w:val="18"/>
              </w:rPr>
              <w:t xml:space="preserve"> </w:t>
            </w:r>
            <w:r>
              <w:rPr>
                <w:rFonts w:ascii="Times New Roman" w:hAnsi="Times New Roman"/>
                <w:b/>
                <w:i/>
                <w:color w:val="17365A"/>
                <w:sz w:val="18"/>
              </w:rPr>
              <w:t>evidence</w:t>
            </w:r>
            <w:r>
              <w:rPr>
                <w:rFonts w:ascii="Times New Roman" w:hAnsi="Times New Roman"/>
                <w:b/>
                <w:i/>
                <w:color w:val="17365A"/>
                <w:spacing w:val="-3"/>
                <w:sz w:val="18"/>
              </w:rPr>
              <w:t xml:space="preserve"> </w:t>
            </w:r>
            <w:r>
              <w:rPr>
                <w:rFonts w:ascii="Times New Roman" w:hAnsi="Times New Roman"/>
                <w:b/>
                <w:i/>
                <w:color w:val="17365A"/>
                <w:sz w:val="18"/>
              </w:rPr>
              <w:t xml:space="preserve">to formulate policy directions and strategic programs that support the community and vulnerable or disabled </w:t>
            </w:r>
            <w:r>
              <w:rPr>
                <w:rFonts w:ascii="Times New Roman" w:hAnsi="Times New Roman"/>
                <w:b/>
                <w:i/>
                <w:color w:val="17365A"/>
                <w:spacing w:val="-2"/>
                <w:sz w:val="18"/>
              </w:rPr>
              <w:t>groups,</w:t>
            </w:r>
          </w:p>
          <w:p w14:paraId="700C2BF1" w14:textId="77777777" w:rsidR="00BC24A8" w:rsidRDefault="00000000">
            <w:pPr>
              <w:pStyle w:val="TableParagraph"/>
              <w:spacing w:line="204" w:lineRule="exact"/>
              <w:ind w:left="580"/>
              <w:jc w:val="both"/>
              <w:rPr>
                <w:i/>
                <w:sz w:val="18"/>
              </w:rPr>
            </w:pPr>
            <w:r>
              <w:rPr>
                <w:i/>
                <w:color w:val="17365A"/>
                <w:sz w:val="18"/>
              </w:rPr>
              <w:t>Dr.</w:t>
            </w:r>
            <w:r>
              <w:rPr>
                <w:i/>
                <w:color w:val="17365A"/>
                <w:spacing w:val="-8"/>
                <w:sz w:val="18"/>
              </w:rPr>
              <w:t xml:space="preserve"> </w:t>
            </w:r>
            <w:r>
              <w:rPr>
                <w:i/>
                <w:color w:val="17365A"/>
                <w:sz w:val="18"/>
              </w:rPr>
              <w:t>Esau</w:t>
            </w:r>
            <w:r>
              <w:rPr>
                <w:i/>
                <w:color w:val="17365A"/>
                <w:spacing w:val="-5"/>
                <w:sz w:val="18"/>
              </w:rPr>
              <w:t xml:space="preserve"> </w:t>
            </w:r>
            <w:r>
              <w:rPr>
                <w:i/>
                <w:color w:val="17365A"/>
                <w:sz w:val="18"/>
              </w:rPr>
              <w:t>Hambore,</w:t>
            </w:r>
            <w:r>
              <w:rPr>
                <w:i/>
                <w:color w:val="17365A"/>
                <w:spacing w:val="-6"/>
                <w:sz w:val="18"/>
              </w:rPr>
              <w:t xml:space="preserve"> </w:t>
            </w:r>
            <w:r>
              <w:rPr>
                <w:i/>
                <w:color w:val="17365A"/>
                <w:sz w:val="18"/>
              </w:rPr>
              <w:t>S.STP,</w:t>
            </w:r>
            <w:r>
              <w:rPr>
                <w:i/>
                <w:color w:val="17365A"/>
                <w:spacing w:val="-5"/>
                <w:sz w:val="18"/>
              </w:rPr>
              <w:t xml:space="preserve"> </w:t>
            </w:r>
            <w:r>
              <w:rPr>
                <w:i/>
                <w:color w:val="17365A"/>
                <w:sz w:val="18"/>
              </w:rPr>
              <w:t>M.Si,</w:t>
            </w:r>
            <w:r>
              <w:rPr>
                <w:i/>
                <w:color w:val="17365A"/>
                <w:spacing w:val="-6"/>
                <w:sz w:val="18"/>
              </w:rPr>
              <w:t xml:space="preserve"> </w:t>
            </w:r>
            <w:r>
              <w:rPr>
                <w:i/>
                <w:color w:val="17365A"/>
                <w:sz w:val="18"/>
              </w:rPr>
              <w:t>Head</w:t>
            </w:r>
            <w:r>
              <w:rPr>
                <w:i/>
                <w:color w:val="17365A"/>
                <w:spacing w:val="-5"/>
                <w:sz w:val="18"/>
              </w:rPr>
              <w:t xml:space="preserve"> </w:t>
            </w:r>
            <w:r>
              <w:rPr>
                <w:i/>
                <w:color w:val="17365A"/>
                <w:sz w:val="18"/>
              </w:rPr>
              <w:t>of</w:t>
            </w:r>
            <w:r>
              <w:rPr>
                <w:i/>
                <w:color w:val="17365A"/>
                <w:spacing w:val="-5"/>
                <w:sz w:val="18"/>
              </w:rPr>
              <w:t xml:space="preserve"> </w:t>
            </w:r>
            <w:r>
              <w:rPr>
                <w:i/>
                <w:color w:val="17365A"/>
                <w:sz w:val="18"/>
              </w:rPr>
              <w:t>Planning</w:t>
            </w:r>
            <w:r>
              <w:rPr>
                <w:i/>
                <w:color w:val="17365A"/>
                <w:spacing w:val="-5"/>
                <w:sz w:val="18"/>
              </w:rPr>
              <w:t xml:space="preserve"> </w:t>
            </w:r>
            <w:r>
              <w:rPr>
                <w:i/>
                <w:color w:val="17365A"/>
                <w:sz w:val="18"/>
              </w:rPr>
              <w:t>Division,</w:t>
            </w:r>
            <w:r>
              <w:rPr>
                <w:i/>
                <w:color w:val="17365A"/>
                <w:spacing w:val="-6"/>
                <w:sz w:val="18"/>
              </w:rPr>
              <w:t xml:space="preserve"> </w:t>
            </w:r>
            <w:r>
              <w:rPr>
                <w:i/>
                <w:color w:val="17365A"/>
                <w:sz w:val="18"/>
              </w:rPr>
              <w:t>Bappeda</w:t>
            </w:r>
            <w:r>
              <w:rPr>
                <w:i/>
                <w:color w:val="17365A"/>
                <w:spacing w:val="-5"/>
                <w:sz w:val="18"/>
              </w:rPr>
              <w:t xml:space="preserve"> </w:t>
            </w:r>
            <w:r>
              <w:rPr>
                <w:i/>
                <w:color w:val="17365A"/>
                <w:sz w:val="18"/>
              </w:rPr>
              <w:t>Papua</w:t>
            </w:r>
            <w:r>
              <w:rPr>
                <w:i/>
                <w:color w:val="17365A"/>
                <w:spacing w:val="-4"/>
                <w:sz w:val="18"/>
              </w:rPr>
              <w:t xml:space="preserve"> </w:t>
            </w:r>
            <w:r>
              <w:rPr>
                <w:i/>
                <w:color w:val="17365A"/>
                <w:spacing w:val="-2"/>
                <w:sz w:val="18"/>
              </w:rPr>
              <w:t>Selatan</w:t>
            </w:r>
          </w:p>
          <w:p w14:paraId="1DFEA90D" w14:textId="77777777" w:rsidR="00BC24A8" w:rsidRDefault="00BC24A8">
            <w:pPr>
              <w:pStyle w:val="TableParagraph"/>
              <w:spacing w:before="3"/>
              <w:rPr>
                <w:rFonts w:ascii="Calibri"/>
                <w:sz w:val="8"/>
              </w:rPr>
            </w:pPr>
          </w:p>
          <w:p w14:paraId="4DA80BCC" w14:textId="77777777" w:rsidR="00BC24A8" w:rsidRDefault="00000000">
            <w:pPr>
              <w:pStyle w:val="TableParagraph"/>
              <w:ind w:left="8341"/>
              <w:rPr>
                <w:rFonts w:ascii="Calibri"/>
                <w:sz w:val="20"/>
              </w:rPr>
            </w:pPr>
            <w:r>
              <w:rPr>
                <w:rFonts w:ascii="Calibri"/>
                <w:noProof/>
                <w:sz w:val="20"/>
              </w:rPr>
              <w:drawing>
                <wp:inline distT="0" distB="0" distL="0" distR="0" wp14:anchorId="78EB97F4" wp14:editId="11007C55">
                  <wp:extent cx="222889" cy="204787"/>
                  <wp:effectExtent l="0" t="0" r="0" b="0"/>
                  <wp:docPr id="310" name="Image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22889" cy="204787"/>
                          </a:xfrm>
                          <a:prstGeom prst="rect">
                            <a:avLst/>
                          </a:prstGeom>
                        </pic:spPr>
                      </pic:pic>
                    </a:graphicData>
                  </a:graphic>
                </wp:inline>
              </w:drawing>
            </w:r>
          </w:p>
          <w:p w14:paraId="42D9742A" w14:textId="77777777" w:rsidR="00BC24A8" w:rsidRDefault="00BC24A8">
            <w:pPr>
              <w:pStyle w:val="TableParagraph"/>
              <w:spacing w:before="33"/>
              <w:rPr>
                <w:rFonts w:ascii="Calibri"/>
                <w:sz w:val="18"/>
              </w:rPr>
            </w:pPr>
          </w:p>
          <w:p w14:paraId="2B4A4E0B" w14:textId="77777777" w:rsidR="00BC24A8" w:rsidRDefault="00000000">
            <w:pPr>
              <w:pStyle w:val="TableParagraph"/>
              <w:spacing w:before="1"/>
              <w:ind w:left="251" w:right="238"/>
              <w:jc w:val="both"/>
              <w:rPr>
                <w:sz w:val="18"/>
              </w:rPr>
            </w:pPr>
            <w:r>
              <w:rPr>
                <w:sz w:val="18"/>
              </w:rPr>
              <w:t>Today, the provincial government has a more inclusive, evidence-based participation method. This change not only strengthens the RPJMD document but also builds community trust that their voices truly influence the development direction of Papua Selatan.</w:t>
            </w:r>
          </w:p>
        </w:tc>
      </w:tr>
      <w:tr w:rsidR="00BC24A8" w14:paraId="11606402" w14:textId="77777777">
        <w:trPr>
          <w:trHeight w:val="4888"/>
        </w:trPr>
        <w:tc>
          <w:tcPr>
            <w:tcW w:w="9091" w:type="dxa"/>
            <w:shd w:val="clear" w:color="auto" w:fill="E1F1EF"/>
          </w:tcPr>
          <w:p w14:paraId="1FEDB34A" w14:textId="77777777" w:rsidR="00BC24A8" w:rsidRDefault="00000000">
            <w:pPr>
              <w:pStyle w:val="TableParagraph"/>
              <w:spacing w:before="121"/>
              <w:ind w:left="11" w:right="38"/>
              <w:jc w:val="center"/>
              <w:rPr>
                <w:sz w:val="20"/>
              </w:rPr>
            </w:pPr>
            <w:r>
              <w:rPr>
                <w:sz w:val="20"/>
              </w:rPr>
              <w:t>S</w:t>
            </w:r>
            <w:r>
              <w:rPr>
                <w:spacing w:val="-16"/>
                <w:sz w:val="20"/>
              </w:rPr>
              <w:t xml:space="preserve"> </w:t>
            </w:r>
            <w:r>
              <w:rPr>
                <w:spacing w:val="14"/>
                <w:sz w:val="20"/>
              </w:rPr>
              <w:t>TO</w:t>
            </w:r>
            <w:r>
              <w:rPr>
                <w:spacing w:val="-15"/>
                <w:sz w:val="20"/>
              </w:rPr>
              <w:t xml:space="preserve"> </w:t>
            </w:r>
            <w:r>
              <w:rPr>
                <w:sz w:val="20"/>
              </w:rPr>
              <w:t>R</w:t>
            </w:r>
            <w:r>
              <w:rPr>
                <w:spacing w:val="-15"/>
                <w:sz w:val="20"/>
              </w:rPr>
              <w:t xml:space="preserve"> </w:t>
            </w:r>
            <w:r>
              <w:rPr>
                <w:sz w:val="20"/>
              </w:rPr>
              <w:t>Y</w:t>
            </w:r>
            <w:r>
              <w:rPr>
                <w:spacing w:val="58"/>
                <w:sz w:val="20"/>
              </w:rPr>
              <w:t xml:space="preserve"> </w:t>
            </w:r>
            <w:r>
              <w:rPr>
                <w:sz w:val="20"/>
              </w:rPr>
              <w:t>2</w:t>
            </w:r>
            <w:r>
              <w:rPr>
                <w:spacing w:val="-15"/>
                <w:sz w:val="20"/>
              </w:rPr>
              <w:t xml:space="preserve"> </w:t>
            </w:r>
            <w:r>
              <w:rPr>
                <w:spacing w:val="-10"/>
                <w:sz w:val="20"/>
              </w:rPr>
              <w:t>:</w:t>
            </w:r>
          </w:p>
          <w:p w14:paraId="7D03DE78" w14:textId="77777777" w:rsidR="00BC24A8" w:rsidRDefault="00000000">
            <w:pPr>
              <w:pStyle w:val="TableParagraph"/>
              <w:spacing w:before="1"/>
              <w:ind w:left="36" w:right="27"/>
              <w:jc w:val="center"/>
              <w:rPr>
                <w:rFonts w:ascii="Calibri"/>
                <w:b/>
                <w:sz w:val="20"/>
              </w:rPr>
            </w:pPr>
            <w:r>
              <w:rPr>
                <w:rFonts w:ascii="Calibri"/>
                <w:b/>
                <w:color w:val="17365A"/>
                <w:spacing w:val="-2"/>
                <w:sz w:val="20"/>
              </w:rPr>
              <w:t>Engaging</w:t>
            </w:r>
            <w:r>
              <w:rPr>
                <w:rFonts w:ascii="Calibri"/>
                <w:b/>
                <w:color w:val="17365A"/>
                <w:spacing w:val="1"/>
                <w:sz w:val="20"/>
              </w:rPr>
              <w:t xml:space="preserve"> </w:t>
            </w:r>
            <w:r>
              <w:rPr>
                <w:rFonts w:ascii="Calibri"/>
                <w:b/>
                <w:color w:val="17365A"/>
                <w:spacing w:val="-2"/>
                <w:sz w:val="20"/>
              </w:rPr>
              <w:t>Stakeholders</w:t>
            </w:r>
            <w:r>
              <w:rPr>
                <w:rFonts w:ascii="Calibri"/>
                <w:b/>
                <w:color w:val="17365A"/>
                <w:spacing w:val="2"/>
                <w:sz w:val="20"/>
              </w:rPr>
              <w:t xml:space="preserve"> </w:t>
            </w:r>
            <w:r>
              <w:rPr>
                <w:rFonts w:ascii="Calibri"/>
                <w:b/>
                <w:color w:val="17365A"/>
                <w:spacing w:val="-2"/>
                <w:sz w:val="20"/>
              </w:rPr>
              <w:t>to</w:t>
            </w:r>
            <w:r>
              <w:rPr>
                <w:rFonts w:ascii="Calibri"/>
                <w:b/>
                <w:color w:val="17365A"/>
                <w:spacing w:val="5"/>
                <w:sz w:val="20"/>
              </w:rPr>
              <w:t xml:space="preserve"> </w:t>
            </w:r>
            <w:r>
              <w:rPr>
                <w:rFonts w:ascii="Calibri"/>
                <w:b/>
                <w:color w:val="17365A"/>
                <w:spacing w:val="-2"/>
                <w:sz w:val="20"/>
              </w:rPr>
              <w:t>Accelerate</w:t>
            </w:r>
            <w:r>
              <w:rPr>
                <w:rFonts w:ascii="Calibri"/>
                <w:b/>
                <w:color w:val="17365A"/>
                <w:spacing w:val="3"/>
                <w:sz w:val="20"/>
              </w:rPr>
              <w:t xml:space="preserve"> </w:t>
            </w:r>
            <w:r>
              <w:rPr>
                <w:rFonts w:ascii="Calibri"/>
                <w:b/>
                <w:color w:val="17365A"/>
                <w:spacing w:val="-2"/>
                <w:sz w:val="20"/>
              </w:rPr>
              <w:t>Disaggregated</w:t>
            </w:r>
            <w:r>
              <w:rPr>
                <w:rFonts w:ascii="Calibri"/>
                <w:b/>
                <w:color w:val="17365A"/>
                <w:spacing w:val="3"/>
                <w:sz w:val="20"/>
              </w:rPr>
              <w:t xml:space="preserve"> </w:t>
            </w:r>
            <w:r>
              <w:rPr>
                <w:rFonts w:ascii="Calibri"/>
                <w:b/>
                <w:color w:val="17365A"/>
                <w:spacing w:val="-2"/>
                <w:sz w:val="20"/>
              </w:rPr>
              <w:t>OAP</w:t>
            </w:r>
            <w:r>
              <w:rPr>
                <w:rFonts w:ascii="Calibri"/>
                <w:b/>
                <w:color w:val="17365A"/>
                <w:spacing w:val="1"/>
                <w:sz w:val="20"/>
              </w:rPr>
              <w:t xml:space="preserve"> </w:t>
            </w:r>
            <w:r>
              <w:rPr>
                <w:rFonts w:ascii="Calibri"/>
                <w:b/>
                <w:color w:val="17365A"/>
                <w:spacing w:val="-2"/>
                <w:sz w:val="20"/>
              </w:rPr>
              <w:t>Data</w:t>
            </w:r>
            <w:r>
              <w:rPr>
                <w:rFonts w:ascii="Calibri"/>
                <w:b/>
                <w:color w:val="17365A"/>
                <w:spacing w:val="3"/>
                <w:sz w:val="20"/>
              </w:rPr>
              <w:t xml:space="preserve"> </w:t>
            </w:r>
            <w:r>
              <w:rPr>
                <w:rFonts w:ascii="Calibri"/>
                <w:b/>
                <w:color w:val="17365A"/>
                <w:spacing w:val="-2"/>
                <w:sz w:val="20"/>
              </w:rPr>
              <w:t>Collection</w:t>
            </w:r>
            <w:r>
              <w:rPr>
                <w:rFonts w:ascii="Calibri"/>
                <w:b/>
                <w:color w:val="17365A"/>
                <w:spacing w:val="3"/>
                <w:sz w:val="20"/>
              </w:rPr>
              <w:t xml:space="preserve"> </w:t>
            </w:r>
            <w:r>
              <w:rPr>
                <w:rFonts w:ascii="Calibri"/>
                <w:b/>
                <w:color w:val="17365A"/>
                <w:spacing w:val="-2"/>
                <w:sz w:val="20"/>
              </w:rPr>
              <w:t>in</w:t>
            </w:r>
            <w:r>
              <w:rPr>
                <w:rFonts w:ascii="Calibri"/>
                <w:b/>
                <w:color w:val="17365A"/>
                <w:spacing w:val="3"/>
                <w:sz w:val="20"/>
              </w:rPr>
              <w:t xml:space="preserve"> </w:t>
            </w:r>
            <w:r>
              <w:rPr>
                <w:rFonts w:ascii="Calibri"/>
                <w:b/>
                <w:color w:val="17365A"/>
                <w:spacing w:val="-2"/>
                <w:sz w:val="20"/>
              </w:rPr>
              <w:t>Merauke</w:t>
            </w:r>
          </w:p>
          <w:p w14:paraId="187A9177" w14:textId="77777777" w:rsidR="00BC24A8" w:rsidRDefault="00000000">
            <w:pPr>
              <w:pStyle w:val="TableParagraph"/>
              <w:spacing w:before="243"/>
              <w:ind w:left="251" w:right="239"/>
              <w:jc w:val="both"/>
              <w:rPr>
                <w:sz w:val="18"/>
              </w:rPr>
            </w:pPr>
            <w:r>
              <w:rPr>
                <w:sz w:val="18"/>
              </w:rPr>
              <w:t>The</w:t>
            </w:r>
            <w:r>
              <w:rPr>
                <w:spacing w:val="-11"/>
                <w:sz w:val="18"/>
              </w:rPr>
              <w:t xml:space="preserve"> </w:t>
            </w:r>
            <w:r>
              <w:rPr>
                <w:sz w:val="18"/>
              </w:rPr>
              <w:t>availability</w:t>
            </w:r>
            <w:r>
              <w:rPr>
                <w:spacing w:val="-10"/>
                <w:sz w:val="18"/>
              </w:rPr>
              <w:t xml:space="preserve"> </w:t>
            </w:r>
            <w:r>
              <w:rPr>
                <w:sz w:val="18"/>
              </w:rPr>
              <w:t>of</w:t>
            </w:r>
            <w:r>
              <w:rPr>
                <w:spacing w:val="-10"/>
                <w:sz w:val="18"/>
              </w:rPr>
              <w:t xml:space="preserve"> </w:t>
            </w:r>
            <w:r>
              <w:rPr>
                <w:sz w:val="18"/>
              </w:rPr>
              <w:t>disaggregated</w:t>
            </w:r>
            <w:r>
              <w:rPr>
                <w:spacing w:val="-10"/>
                <w:sz w:val="18"/>
              </w:rPr>
              <w:t xml:space="preserve"> </w:t>
            </w:r>
            <w:r>
              <w:rPr>
                <w:sz w:val="18"/>
              </w:rPr>
              <w:t>data</w:t>
            </w:r>
            <w:r>
              <w:rPr>
                <w:spacing w:val="-10"/>
                <w:sz w:val="18"/>
              </w:rPr>
              <w:t xml:space="preserve"> </w:t>
            </w:r>
            <w:r>
              <w:rPr>
                <w:sz w:val="18"/>
              </w:rPr>
              <w:t>specifically</w:t>
            </w:r>
            <w:r>
              <w:rPr>
                <w:spacing w:val="-11"/>
                <w:sz w:val="18"/>
              </w:rPr>
              <w:t xml:space="preserve"> </w:t>
            </w:r>
            <w:r>
              <w:rPr>
                <w:sz w:val="18"/>
              </w:rPr>
              <w:t>on</w:t>
            </w:r>
            <w:r>
              <w:rPr>
                <w:spacing w:val="-10"/>
                <w:sz w:val="18"/>
              </w:rPr>
              <w:t xml:space="preserve"> </w:t>
            </w:r>
            <w:r>
              <w:rPr>
                <w:sz w:val="18"/>
              </w:rPr>
              <w:t>the</w:t>
            </w:r>
            <w:r>
              <w:rPr>
                <w:spacing w:val="-10"/>
                <w:sz w:val="18"/>
              </w:rPr>
              <w:t xml:space="preserve"> </w:t>
            </w:r>
            <w:r>
              <w:rPr>
                <w:sz w:val="18"/>
              </w:rPr>
              <w:t>Orang</w:t>
            </w:r>
            <w:r>
              <w:rPr>
                <w:spacing w:val="-10"/>
                <w:sz w:val="18"/>
              </w:rPr>
              <w:t xml:space="preserve"> </w:t>
            </w:r>
            <w:r>
              <w:rPr>
                <w:sz w:val="18"/>
              </w:rPr>
              <w:t>Asli</w:t>
            </w:r>
            <w:r>
              <w:rPr>
                <w:spacing w:val="-10"/>
                <w:sz w:val="18"/>
              </w:rPr>
              <w:t xml:space="preserve"> </w:t>
            </w:r>
            <w:r>
              <w:rPr>
                <w:sz w:val="18"/>
              </w:rPr>
              <w:t>Papua</w:t>
            </w:r>
            <w:r>
              <w:rPr>
                <w:spacing w:val="-10"/>
                <w:sz w:val="18"/>
              </w:rPr>
              <w:t xml:space="preserve"> </w:t>
            </w:r>
            <w:r>
              <w:rPr>
                <w:sz w:val="18"/>
              </w:rPr>
              <w:t>(OAP)</w:t>
            </w:r>
            <w:r>
              <w:rPr>
                <w:spacing w:val="-11"/>
                <w:sz w:val="18"/>
              </w:rPr>
              <w:t xml:space="preserve"> </w:t>
            </w:r>
            <w:r>
              <w:rPr>
                <w:sz w:val="18"/>
              </w:rPr>
              <w:t>has</w:t>
            </w:r>
            <w:r>
              <w:rPr>
                <w:spacing w:val="-10"/>
                <w:sz w:val="18"/>
              </w:rPr>
              <w:t xml:space="preserve"> </w:t>
            </w:r>
            <w:r>
              <w:rPr>
                <w:sz w:val="18"/>
              </w:rPr>
              <w:t>become</w:t>
            </w:r>
            <w:r>
              <w:rPr>
                <w:spacing w:val="-10"/>
                <w:sz w:val="18"/>
              </w:rPr>
              <w:t xml:space="preserve"> </w:t>
            </w:r>
            <w:r>
              <w:rPr>
                <w:sz w:val="18"/>
              </w:rPr>
              <w:t>an</w:t>
            </w:r>
            <w:r>
              <w:rPr>
                <w:spacing w:val="-10"/>
                <w:sz w:val="18"/>
              </w:rPr>
              <w:t xml:space="preserve"> </w:t>
            </w:r>
            <w:r>
              <w:rPr>
                <w:sz w:val="18"/>
              </w:rPr>
              <w:t>urgent</w:t>
            </w:r>
            <w:r>
              <w:rPr>
                <w:spacing w:val="-10"/>
                <w:sz w:val="18"/>
              </w:rPr>
              <w:t xml:space="preserve"> </w:t>
            </w:r>
            <w:r>
              <w:rPr>
                <w:sz w:val="18"/>
              </w:rPr>
              <w:t>need</w:t>
            </w:r>
            <w:r>
              <w:rPr>
                <w:spacing w:val="-10"/>
                <w:sz w:val="18"/>
              </w:rPr>
              <w:t xml:space="preserve"> </w:t>
            </w:r>
            <w:r>
              <w:rPr>
                <w:sz w:val="18"/>
              </w:rPr>
              <w:t>for</w:t>
            </w:r>
            <w:r>
              <w:rPr>
                <w:spacing w:val="-11"/>
                <w:sz w:val="18"/>
              </w:rPr>
              <w:t xml:space="preserve"> </w:t>
            </w:r>
            <w:r>
              <w:rPr>
                <w:sz w:val="18"/>
              </w:rPr>
              <w:t xml:space="preserve">Merauke </w:t>
            </w:r>
            <w:r>
              <w:rPr>
                <w:spacing w:val="-2"/>
                <w:sz w:val="18"/>
              </w:rPr>
              <w:t>Regency.</w:t>
            </w:r>
            <w:r>
              <w:rPr>
                <w:spacing w:val="-4"/>
                <w:sz w:val="18"/>
              </w:rPr>
              <w:t xml:space="preserve"> </w:t>
            </w:r>
            <w:r>
              <w:rPr>
                <w:spacing w:val="-2"/>
                <w:sz w:val="18"/>
              </w:rPr>
              <w:t>Without accurate</w:t>
            </w:r>
            <w:r>
              <w:rPr>
                <w:spacing w:val="-3"/>
                <w:sz w:val="18"/>
              </w:rPr>
              <w:t xml:space="preserve"> </w:t>
            </w:r>
            <w:r>
              <w:rPr>
                <w:spacing w:val="-2"/>
                <w:sz w:val="18"/>
              </w:rPr>
              <w:t>data,</w:t>
            </w:r>
            <w:r>
              <w:rPr>
                <w:spacing w:val="-4"/>
                <w:sz w:val="18"/>
              </w:rPr>
              <w:t xml:space="preserve"> </w:t>
            </w:r>
            <w:r>
              <w:rPr>
                <w:spacing w:val="-2"/>
                <w:sz w:val="18"/>
              </w:rPr>
              <w:t>it is</w:t>
            </w:r>
            <w:r>
              <w:rPr>
                <w:spacing w:val="-3"/>
                <w:sz w:val="18"/>
              </w:rPr>
              <w:t xml:space="preserve"> </w:t>
            </w:r>
            <w:r>
              <w:rPr>
                <w:spacing w:val="-2"/>
                <w:sz w:val="18"/>
              </w:rPr>
              <w:t>difficult for</w:t>
            </w:r>
            <w:r>
              <w:rPr>
                <w:spacing w:val="-3"/>
                <w:sz w:val="18"/>
              </w:rPr>
              <w:t xml:space="preserve"> </w:t>
            </w:r>
            <w:r>
              <w:rPr>
                <w:spacing w:val="-2"/>
                <w:sz w:val="18"/>
              </w:rPr>
              <w:t>the</w:t>
            </w:r>
            <w:r>
              <w:rPr>
                <w:spacing w:val="-3"/>
                <w:sz w:val="18"/>
              </w:rPr>
              <w:t xml:space="preserve"> </w:t>
            </w:r>
            <w:r>
              <w:rPr>
                <w:spacing w:val="-2"/>
                <w:sz w:val="18"/>
              </w:rPr>
              <w:t>government to</w:t>
            </w:r>
            <w:r>
              <w:rPr>
                <w:spacing w:val="-3"/>
                <w:sz w:val="18"/>
              </w:rPr>
              <w:t xml:space="preserve"> </w:t>
            </w:r>
            <w:r>
              <w:rPr>
                <w:spacing w:val="-2"/>
                <w:sz w:val="18"/>
              </w:rPr>
              <w:t>ensure</w:t>
            </w:r>
            <w:r>
              <w:rPr>
                <w:spacing w:val="-3"/>
                <w:sz w:val="18"/>
              </w:rPr>
              <w:t xml:space="preserve"> </w:t>
            </w:r>
            <w:r>
              <w:rPr>
                <w:spacing w:val="-2"/>
                <w:sz w:val="18"/>
              </w:rPr>
              <w:t>that basic</w:t>
            </w:r>
            <w:r>
              <w:rPr>
                <w:spacing w:val="-3"/>
                <w:sz w:val="18"/>
              </w:rPr>
              <w:t xml:space="preserve"> </w:t>
            </w:r>
            <w:r>
              <w:rPr>
                <w:spacing w:val="-2"/>
                <w:sz w:val="18"/>
              </w:rPr>
              <w:t>services</w:t>
            </w:r>
            <w:r>
              <w:rPr>
                <w:spacing w:val="-3"/>
                <w:sz w:val="18"/>
              </w:rPr>
              <w:t xml:space="preserve"> </w:t>
            </w:r>
            <w:r>
              <w:rPr>
                <w:spacing w:val="-2"/>
                <w:sz w:val="18"/>
              </w:rPr>
              <w:t>and</w:t>
            </w:r>
            <w:r>
              <w:rPr>
                <w:spacing w:val="-3"/>
                <w:sz w:val="18"/>
              </w:rPr>
              <w:t xml:space="preserve"> </w:t>
            </w:r>
            <w:r>
              <w:rPr>
                <w:spacing w:val="-2"/>
                <w:sz w:val="18"/>
              </w:rPr>
              <w:t>social protection</w:t>
            </w:r>
            <w:r>
              <w:rPr>
                <w:spacing w:val="-3"/>
                <w:sz w:val="18"/>
              </w:rPr>
              <w:t xml:space="preserve"> </w:t>
            </w:r>
            <w:r>
              <w:rPr>
                <w:spacing w:val="-2"/>
                <w:sz w:val="18"/>
              </w:rPr>
              <w:t>reach</w:t>
            </w:r>
            <w:r>
              <w:rPr>
                <w:sz w:val="18"/>
              </w:rPr>
              <w:t xml:space="preserve"> the right targets, as mandated by the Otsus Law.</w:t>
            </w:r>
          </w:p>
          <w:p w14:paraId="312B3D0D" w14:textId="77777777" w:rsidR="00BC24A8" w:rsidRDefault="00000000">
            <w:pPr>
              <w:pStyle w:val="TableParagraph"/>
              <w:spacing w:before="159"/>
              <w:ind w:left="251" w:right="238"/>
              <w:jc w:val="both"/>
              <w:rPr>
                <w:sz w:val="18"/>
              </w:rPr>
            </w:pPr>
            <w:r>
              <w:rPr>
                <w:sz w:val="18"/>
              </w:rPr>
              <w:t>When</w:t>
            </w:r>
            <w:r>
              <w:rPr>
                <w:spacing w:val="-4"/>
                <w:sz w:val="18"/>
              </w:rPr>
              <w:t xml:space="preserve"> </w:t>
            </w:r>
            <w:r>
              <w:rPr>
                <w:sz w:val="18"/>
              </w:rPr>
              <w:t>the</w:t>
            </w:r>
            <w:r>
              <w:rPr>
                <w:spacing w:val="-4"/>
                <w:sz w:val="18"/>
              </w:rPr>
              <w:t xml:space="preserve"> </w:t>
            </w:r>
            <w:r>
              <w:rPr>
                <w:sz w:val="18"/>
              </w:rPr>
              <w:t>South</w:t>
            </w:r>
            <w:r>
              <w:rPr>
                <w:spacing w:val="-6"/>
                <w:sz w:val="18"/>
              </w:rPr>
              <w:t xml:space="preserve"> </w:t>
            </w:r>
            <w:r>
              <w:rPr>
                <w:sz w:val="18"/>
              </w:rPr>
              <w:t>Papua</w:t>
            </w:r>
            <w:r>
              <w:rPr>
                <w:spacing w:val="-5"/>
                <w:sz w:val="18"/>
              </w:rPr>
              <w:t xml:space="preserve"> </w:t>
            </w:r>
            <w:r>
              <w:rPr>
                <w:sz w:val="18"/>
              </w:rPr>
              <w:t>Orang</w:t>
            </w:r>
            <w:r>
              <w:rPr>
                <w:spacing w:val="-4"/>
                <w:sz w:val="18"/>
              </w:rPr>
              <w:t xml:space="preserve"> </w:t>
            </w:r>
            <w:r>
              <w:rPr>
                <w:sz w:val="18"/>
              </w:rPr>
              <w:t>Asli</w:t>
            </w:r>
            <w:r>
              <w:rPr>
                <w:spacing w:val="-3"/>
                <w:sz w:val="18"/>
              </w:rPr>
              <w:t xml:space="preserve"> </w:t>
            </w:r>
            <w:r>
              <w:rPr>
                <w:sz w:val="18"/>
              </w:rPr>
              <w:t>Information</w:t>
            </w:r>
            <w:r>
              <w:rPr>
                <w:spacing w:val="-6"/>
                <w:sz w:val="18"/>
              </w:rPr>
              <w:t xml:space="preserve"> </w:t>
            </w:r>
            <w:r>
              <w:rPr>
                <w:sz w:val="18"/>
              </w:rPr>
              <w:t>System</w:t>
            </w:r>
            <w:r>
              <w:rPr>
                <w:spacing w:val="-5"/>
                <w:sz w:val="18"/>
              </w:rPr>
              <w:t xml:space="preserve"> </w:t>
            </w:r>
            <w:r>
              <w:rPr>
                <w:sz w:val="18"/>
              </w:rPr>
              <w:t>(SIRIOS)</w:t>
            </w:r>
            <w:r>
              <w:rPr>
                <w:spacing w:val="-5"/>
                <w:sz w:val="18"/>
              </w:rPr>
              <w:t xml:space="preserve"> </w:t>
            </w:r>
            <w:r>
              <w:rPr>
                <w:sz w:val="18"/>
              </w:rPr>
              <w:t>was</w:t>
            </w:r>
            <w:r>
              <w:rPr>
                <w:spacing w:val="-3"/>
                <w:sz w:val="18"/>
              </w:rPr>
              <w:t xml:space="preserve"> </w:t>
            </w:r>
            <w:r>
              <w:rPr>
                <w:sz w:val="18"/>
              </w:rPr>
              <w:t>introduced,</w:t>
            </w:r>
            <w:r>
              <w:rPr>
                <w:spacing w:val="-5"/>
                <w:sz w:val="18"/>
              </w:rPr>
              <w:t xml:space="preserve"> </w:t>
            </w:r>
            <w:r>
              <w:rPr>
                <w:sz w:val="18"/>
              </w:rPr>
              <w:t>the</w:t>
            </w:r>
            <w:r>
              <w:rPr>
                <w:spacing w:val="-4"/>
                <w:sz w:val="18"/>
              </w:rPr>
              <w:t xml:space="preserve"> </w:t>
            </w:r>
            <w:r>
              <w:rPr>
                <w:sz w:val="18"/>
              </w:rPr>
              <w:t>Merauke</w:t>
            </w:r>
            <w:r>
              <w:rPr>
                <w:spacing w:val="-4"/>
                <w:sz w:val="18"/>
              </w:rPr>
              <w:t xml:space="preserve"> </w:t>
            </w:r>
            <w:r>
              <w:rPr>
                <w:sz w:val="18"/>
              </w:rPr>
              <w:t>Regency</w:t>
            </w:r>
            <w:r>
              <w:rPr>
                <w:spacing w:val="-7"/>
                <w:sz w:val="18"/>
              </w:rPr>
              <w:t xml:space="preserve"> </w:t>
            </w:r>
            <w:r>
              <w:rPr>
                <w:sz w:val="18"/>
              </w:rPr>
              <w:t>Government</w:t>
            </w:r>
            <w:r>
              <w:rPr>
                <w:spacing w:val="-3"/>
                <w:sz w:val="18"/>
              </w:rPr>
              <w:t xml:space="preserve"> </w:t>
            </w:r>
            <w:r>
              <w:rPr>
                <w:sz w:val="18"/>
              </w:rPr>
              <w:t xml:space="preserve">saw </w:t>
            </w:r>
            <w:r>
              <w:rPr>
                <w:spacing w:val="-2"/>
                <w:sz w:val="18"/>
              </w:rPr>
              <w:t>a significant opportunity. Bapperida Merauke immediately initiated</w:t>
            </w:r>
            <w:r>
              <w:rPr>
                <w:spacing w:val="-3"/>
                <w:sz w:val="18"/>
              </w:rPr>
              <w:t xml:space="preserve"> </w:t>
            </w:r>
            <w:r>
              <w:rPr>
                <w:spacing w:val="-2"/>
                <w:sz w:val="18"/>
              </w:rPr>
              <w:t>disaggregated OAP data collection across 22 districts,</w:t>
            </w:r>
            <w:r>
              <w:rPr>
                <w:sz w:val="18"/>
              </w:rPr>
              <w:t xml:space="preserve"> 11 sub-districts, and 179 villages, supported by a 2025 Otsus budget of 2.2 billion rupiah.</w:t>
            </w:r>
          </w:p>
          <w:p w14:paraId="62D1E5C0" w14:textId="77777777" w:rsidR="00BC24A8" w:rsidRDefault="00000000">
            <w:pPr>
              <w:pStyle w:val="TableParagraph"/>
              <w:spacing w:before="161"/>
              <w:ind w:left="251" w:right="238"/>
              <w:jc w:val="both"/>
              <w:rPr>
                <w:sz w:val="18"/>
              </w:rPr>
            </w:pPr>
            <w:r>
              <w:rPr>
                <w:sz w:val="18"/>
              </w:rPr>
              <w:t>To</w:t>
            </w:r>
            <w:r>
              <w:rPr>
                <w:spacing w:val="-9"/>
                <w:sz w:val="18"/>
              </w:rPr>
              <w:t xml:space="preserve"> </w:t>
            </w:r>
            <w:r>
              <w:rPr>
                <w:sz w:val="18"/>
              </w:rPr>
              <w:t>ensure</w:t>
            </w:r>
            <w:r>
              <w:rPr>
                <w:spacing w:val="-8"/>
                <w:sz w:val="18"/>
              </w:rPr>
              <w:t xml:space="preserve"> </w:t>
            </w:r>
            <w:r>
              <w:rPr>
                <w:sz w:val="18"/>
              </w:rPr>
              <w:t>the</w:t>
            </w:r>
            <w:r>
              <w:rPr>
                <w:spacing w:val="-8"/>
                <w:sz w:val="18"/>
              </w:rPr>
              <w:t xml:space="preserve"> </w:t>
            </w:r>
            <w:r>
              <w:rPr>
                <w:sz w:val="18"/>
              </w:rPr>
              <w:t>process</w:t>
            </w:r>
            <w:r>
              <w:rPr>
                <w:spacing w:val="-8"/>
                <w:sz w:val="18"/>
              </w:rPr>
              <w:t xml:space="preserve"> </w:t>
            </w:r>
            <w:r>
              <w:rPr>
                <w:sz w:val="18"/>
              </w:rPr>
              <w:t>ran</w:t>
            </w:r>
            <w:r>
              <w:rPr>
                <w:spacing w:val="-8"/>
                <w:sz w:val="18"/>
              </w:rPr>
              <w:t xml:space="preserve"> </w:t>
            </w:r>
            <w:r>
              <w:rPr>
                <w:sz w:val="18"/>
              </w:rPr>
              <w:t>effectively,</w:t>
            </w:r>
            <w:r>
              <w:rPr>
                <w:spacing w:val="-9"/>
                <w:sz w:val="18"/>
              </w:rPr>
              <w:t xml:space="preserve"> </w:t>
            </w:r>
            <w:r>
              <w:rPr>
                <w:sz w:val="18"/>
              </w:rPr>
              <w:t>Bapperida</w:t>
            </w:r>
            <w:r>
              <w:rPr>
                <w:spacing w:val="-9"/>
                <w:sz w:val="18"/>
              </w:rPr>
              <w:t xml:space="preserve"> </w:t>
            </w:r>
            <w:r>
              <w:rPr>
                <w:sz w:val="18"/>
              </w:rPr>
              <w:t>engaged</w:t>
            </w:r>
            <w:r>
              <w:rPr>
                <w:spacing w:val="-8"/>
                <w:sz w:val="18"/>
              </w:rPr>
              <w:t xml:space="preserve"> </w:t>
            </w:r>
            <w:r>
              <w:rPr>
                <w:sz w:val="18"/>
              </w:rPr>
              <w:t>all</w:t>
            </w:r>
            <w:r>
              <w:rPr>
                <w:spacing w:val="-7"/>
                <w:sz w:val="18"/>
              </w:rPr>
              <w:t xml:space="preserve"> </w:t>
            </w:r>
            <w:r>
              <w:rPr>
                <w:sz w:val="18"/>
              </w:rPr>
              <w:t>stakeholders</w:t>
            </w:r>
            <w:r>
              <w:rPr>
                <w:spacing w:val="-8"/>
                <w:sz w:val="18"/>
              </w:rPr>
              <w:t xml:space="preserve"> </w:t>
            </w:r>
            <w:r>
              <w:rPr>
                <w:sz w:val="18"/>
              </w:rPr>
              <w:t>according</w:t>
            </w:r>
            <w:r>
              <w:rPr>
                <w:spacing w:val="-9"/>
                <w:sz w:val="18"/>
              </w:rPr>
              <w:t xml:space="preserve"> </w:t>
            </w:r>
            <w:r>
              <w:rPr>
                <w:sz w:val="18"/>
              </w:rPr>
              <w:t>to</w:t>
            </w:r>
            <w:r>
              <w:rPr>
                <w:spacing w:val="-9"/>
                <w:sz w:val="18"/>
              </w:rPr>
              <w:t xml:space="preserve"> </w:t>
            </w:r>
            <w:r>
              <w:rPr>
                <w:sz w:val="18"/>
              </w:rPr>
              <w:t>their</w:t>
            </w:r>
            <w:r>
              <w:rPr>
                <w:spacing w:val="-10"/>
                <w:sz w:val="18"/>
              </w:rPr>
              <w:t xml:space="preserve"> </w:t>
            </w:r>
            <w:r>
              <w:rPr>
                <w:sz w:val="18"/>
              </w:rPr>
              <w:t>respective</w:t>
            </w:r>
            <w:r>
              <w:rPr>
                <w:spacing w:val="-8"/>
                <w:sz w:val="18"/>
              </w:rPr>
              <w:t xml:space="preserve"> </w:t>
            </w:r>
            <w:r>
              <w:rPr>
                <w:sz w:val="18"/>
              </w:rPr>
              <w:t>roles.</w:t>
            </w:r>
            <w:r>
              <w:rPr>
                <w:spacing w:val="-9"/>
                <w:sz w:val="18"/>
              </w:rPr>
              <w:t xml:space="preserve"> </w:t>
            </w:r>
            <w:r>
              <w:rPr>
                <w:sz w:val="18"/>
              </w:rPr>
              <w:t>In</w:t>
            </w:r>
            <w:r>
              <w:rPr>
                <w:spacing w:val="-8"/>
                <w:sz w:val="18"/>
              </w:rPr>
              <w:t xml:space="preserve"> </w:t>
            </w:r>
            <w:r>
              <w:rPr>
                <w:sz w:val="18"/>
              </w:rPr>
              <w:t>addition to</w:t>
            </w:r>
            <w:r>
              <w:rPr>
                <w:spacing w:val="-11"/>
                <w:sz w:val="18"/>
              </w:rPr>
              <w:t xml:space="preserve"> </w:t>
            </w:r>
            <w:r>
              <w:rPr>
                <w:sz w:val="18"/>
              </w:rPr>
              <w:t>technical</w:t>
            </w:r>
            <w:r>
              <w:rPr>
                <w:spacing w:val="-10"/>
                <w:sz w:val="18"/>
              </w:rPr>
              <w:t xml:space="preserve"> </w:t>
            </w:r>
            <w:r>
              <w:rPr>
                <w:sz w:val="18"/>
              </w:rPr>
              <w:t>regional</w:t>
            </w:r>
            <w:r>
              <w:rPr>
                <w:spacing w:val="-10"/>
                <w:sz w:val="18"/>
              </w:rPr>
              <w:t xml:space="preserve"> </w:t>
            </w:r>
            <w:r>
              <w:rPr>
                <w:sz w:val="18"/>
              </w:rPr>
              <w:t>agencies,</w:t>
            </w:r>
            <w:r>
              <w:rPr>
                <w:spacing w:val="-10"/>
                <w:sz w:val="18"/>
              </w:rPr>
              <w:t xml:space="preserve"> </w:t>
            </w:r>
            <w:r>
              <w:rPr>
                <w:sz w:val="18"/>
              </w:rPr>
              <w:t>the</w:t>
            </w:r>
            <w:r>
              <w:rPr>
                <w:spacing w:val="-10"/>
                <w:sz w:val="18"/>
              </w:rPr>
              <w:t xml:space="preserve"> </w:t>
            </w:r>
            <w:r>
              <w:rPr>
                <w:sz w:val="18"/>
              </w:rPr>
              <w:t>government</w:t>
            </w:r>
            <w:r>
              <w:rPr>
                <w:spacing w:val="-11"/>
                <w:sz w:val="18"/>
              </w:rPr>
              <w:t xml:space="preserve"> </w:t>
            </w:r>
            <w:r>
              <w:rPr>
                <w:sz w:val="18"/>
              </w:rPr>
              <w:t>collaborated</w:t>
            </w:r>
            <w:r>
              <w:rPr>
                <w:spacing w:val="-10"/>
                <w:sz w:val="18"/>
              </w:rPr>
              <w:t xml:space="preserve"> </w:t>
            </w:r>
            <w:r>
              <w:rPr>
                <w:sz w:val="18"/>
              </w:rPr>
              <w:t>with</w:t>
            </w:r>
            <w:r>
              <w:rPr>
                <w:spacing w:val="-10"/>
                <w:sz w:val="18"/>
              </w:rPr>
              <w:t xml:space="preserve"> </w:t>
            </w:r>
            <w:r>
              <w:rPr>
                <w:sz w:val="18"/>
              </w:rPr>
              <w:t>international</w:t>
            </w:r>
            <w:r>
              <w:rPr>
                <w:spacing w:val="-10"/>
                <w:sz w:val="18"/>
              </w:rPr>
              <w:t xml:space="preserve"> </w:t>
            </w:r>
            <w:r>
              <w:rPr>
                <w:sz w:val="18"/>
              </w:rPr>
              <w:t>development</w:t>
            </w:r>
            <w:r>
              <w:rPr>
                <w:spacing w:val="-10"/>
                <w:sz w:val="18"/>
              </w:rPr>
              <w:t xml:space="preserve"> </w:t>
            </w:r>
            <w:r>
              <w:rPr>
                <w:sz w:val="18"/>
              </w:rPr>
              <w:t>partners</w:t>
            </w:r>
            <w:r>
              <w:rPr>
                <w:spacing w:val="-10"/>
                <w:sz w:val="18"/>
              </w:rPr>
              <w:t xml:space="preserve"> </w:t>
            </w:r>
            <w:r>
              <w:rPr>
                <w:sz w:val="18"/>
              </w:rPr>
              <w:t>such</w:t>
            </w:r>
            <w:r>
              <w:rPr>
                <w:spacing w:val="-11"/>
                <w:sz w:val="18"/>
              </w:rPr>
              <w:t xml:space="preserve"> </w:t>
            </w:r>
            <w:r>
              <w:rPr>
                <w:sz w:val="18"/>
              </w:rPr>
              <w:t>as</w:t>
            </w:r>
            <w:r>
              <w:rPr>
                <w:spacing w:val="-10"/>
                <w:sz w:val="18"/>
              </w:rPr>
              <w:t xml:space="preserve"> </w:t>
            </w:r>
            <w:r>
              <w:rPr>
                <w:sz w:val="18"/>
              </w:rPr>
              <w:t>SKALA,</w:t>
            </w:r>
            <w:r>
              <w:rPr>
                <w:spacing w:val="-10"/>
                <w:sz w:val="18"/>
              </w:rPr>
              <w:t xml:space="preserve"> </w:t>
            </w:r>
            <w:r>
              <w:rPr>
                <w:sz w:val="18"/>
              </w:rPr>
              <w:t>the local NGO Yayasan JERAT, and Musamus University. SKALA contributed by designing a systematic data collection mechanism,</w:t>
            </w:r>
            <w:r>
              <w:rPr>
                <w:spacing w:val="-8"/>
                <w:sz w:val="18"/>
              </w:rPr>
              <w:t xml:space="preserve"> </w:t>
            </w:r>
            <w:r>
              <w:rPr>
                <w:sz w:val="18"/>
              </w:rPr>
              <w:t>training</w:t>
            </w:r>
            <w:r>
              <w:rPr>
                <w:spacing w:val="-7"/>
                <w:sz w:val="18"/>
              </w:rPr>
              <w:t xml:space="preserve"> </w:t>
            </w:r>
            <w:r>
              <w:rPr>
                <w:sz w:val="18"/>
              </w:rPr>
              <w:t>village</w:t>
            </w:r>
            <w:r>
              <w:rPr>
                <w:spacing w:val="-7"/>
                <w:sz w:val="18"/>
              </w:rPr>
              <w:t xml:space="preserve"> </w:t>
            </w:r>
            <w:r>
              <w:rPr>
                <w:sz w:val="18"/>
              </w:rPr>
              <w:t>operators,</w:t>
            </w:r>
            <w:r>
              <w:rPr>
                <w:spacing w:val="-8"/>
                <w:sz w:val="18"/>
              </w:rPr>
              <w:t xml:space="preserve"> </w:t>
            </w:r>
            <w:r>
              <w:rPr>
                <w:sz w:val="18"/>
              </w:rPr>
              <w:t>and</w:t>
            </w:r>
            <w:r>
              <w:rPr>
                <w:spacing w:val="-7"/>
                <w:sz w:val="18"/>
              </w:rPr>
              <w:t xml:space="preserve"> </w:t>
            </w:r>
            <w:r>
              <w:rPr>
                <w:sz w:val="18"/>
              </w:rPr>
              <w:t>integrating</w:t>
            </w:r>
            <w:r>
              <w:rPr>
                <w:spacing w:val="-7"/>
                <w:sz w:val="18"/>
              </w:rPr>
              <w:t xml:space="preserve"> </w:t>
            </w:r>
            <w:r>
              <w:rPr>
                <w:sz w:val="18"/>
              </w:rPr>
              <w:t>the</w:t>
            </w:r>
            <w:r>
              <w:rPr>
                <w:spacing w:val="-7"/>
                <w:sz w:val="18"/>
              </w:rPr>
              <w:t xml:space="preserve"> </w:t>
            </w:r>
            <w:r>
              <w:rPr>
                <w:sz w:val="18"/>
              </w:rPr>
              <w:t>results</w:t>
            </w:r>
            <w:r>
              <w:rPr>
                <w:spacing w:val="-7"/>
                <w:sz w:val="18"/>
              </w:rPr>
              <w:t xml:space="preserve"> </w:t>
            </w:r>
            <w:r>
              <w:rPr>
                <w:sz w:val="18"/>
              </w:rPr>
              <w:t>into</w:t>
            </w:r>
            <w:r>
              <w:rPr>
                <w:spacing w:val="-7"/>
                <w:sz w:val="18"/>
              </w:rPr>
              <w:t xml:space="preserve"> </w:t>
            </w:r>
            <w:r>
              <w:rPr>
                <w:sz w:val="18"/>
              </w:rPr>
              <w:t>SIRIOS</w:t>
            </w:r>
            <w:r>
              <w:rPr>
                <w:spacing w:val="-7"/>
                <w:sz w:val="18"/>
              </w:rPr>
              <w:t xml:space="preserve"> </w:t>
            </w:r>
            <w:r>
              <w:rPr>
                <w:sz w:val="18"/>
              </w:rPr>
              <w:t>to</w:t>
            </w:r>
            <w:r>
              <w:rPr>
                <w:spacing w:val="-7"/>
                <w:sz w:val="18"/>
              </w:rPr>
              <w:t xml:space="preserve"> </w:t>
            </w:r>
            <w:r>
              <w:rPr>
                <w:sz w:val="18"/>
              </w:rPr>
              <w:t>ensure</w:t>
            </w:r>
            <w:r>
              <w:rPr>
                <w:spacing w:val="-7"/>
                <w:sz w:val="18"/>
              </w:rPr>
              <w:t xml:space="preserve"> </w:t>
            </w:r>
            <w:r>
              <w:rPr>
                <w:sz w:val="18"/>
              </w:rPr>
              <w:t>the</w:t>
            </w:r>
            <w:r>
              <w:rPr>
                <w:spacing w:val="-7"/>
                <w:sz w:val="18"/>
              </w:rPr>
              <w:t xml:space="preserve"> </w:t>
            </w:r>
            <w:r>
              <w:rPr>
                <w:sz w:val="18"/>
              </w:rPr>
              <w:t>data</w:t>
            </w:r>
            <w:r>
              <w:rPr>
                <w:spacing w:val="-8"/>
                <w:sz w:val="18"/>
              </w:rPr>
              <w:t xml:space="preserve"> </w:t>
            </w:r>
            <w:r>
              <w:rPr>
                <w:sz w:val="18"/>
              </w:rPr>
              <w:t>could</w:t>
            </w:r>
            <w:r>
              <w:rPr>
                <w:spacing w:val="-9"/>
                <w:sz w:val="18"/>
              </w:rPr>
              <w:t xml:space="preserve"> </w:t>
            </w:r>
            <w:r>
              <w:rPr>
                <w:sz w:val="18"/>
              </w:rPr>
              <w:t>be</w:t>
            </w:r>
            <w:r>
              <w:rPr>
                <w:spacing w:val="-7"/>
                <w:sz w:val="18"/>
              </w:rPr>
              <w:t xml:space="preserve"> </w:t>
            </w:r>
            <w:r>
              <w:rPr>
                <w:sz w:val="18"/>
              </w:rPr>
              <w:t>used</w:t>
            </w:r>
            <w:r>
              <w:rPr>
                <w:spacing w:val="-7"/>
                <w:sz w:val="18"/>
              </w:rPr>
              <w:t xml:space="preserve"> </w:t>
            </w:r>
            <w:r>
              <w:rPr>
                <w:sz w:val="18"/>
              </w:rPr>
              <w:t>as</w:t>
            </w:r>
            <w:r>
              <w:rPr>
                <w:spacing w:val="-7"/>
                <w:sz w:val="18"/>
              </w:rPr>
              <w:t xml:space="preserve"> </w:t>
            </w:r>
            <w:r>
              <w:rPr>
                <w:sz w:val="18"/>
              </w:rPr>
              <w:t>a</w:t>
            </w:r>
            <w:r>
              <w:rPr>
                <w:spacing w:val="-8"/>
                <w:sz w:val="18"/>
              </w:rPr>
              <w:t xml:space="preserve"> </w:t>
            </w:r>
            <w:r>
              <w:rPr>
                <w:sz w:val="18"/>
              </w:rPr>
              <w:t>basis for planning and budgeting.</w:t>
            </w:r>
          </w:p>
          <w:p w14:paraId="2967E246" w14:textId="77777777" w:rsidR="00BC24A8" w:rsidRDefault="00000000">
            <w:pPr>
              <w:pStyle w:val="TableParagraph"/>
              <w:spacing w:before="159"/>
              <w:ind w:left="251"/>
              <w:jc w:val="both"/>
              <w:rPr>
                <w:sz w:val="18"/>
              </w:rPr>
            </w:pPr>
            <w:r>
              <w:rPr>
                <w:sz w:val="18"/>
              </w:rPr>
              <w:t>Merauke</w:t>
            </w:r>
            <w:r>
              <w:rPr>
                <w:spacing w:val="-5"/>
                <w:sz w:val="18"/>
              </w:rPr>
              <w:t xml:space="preserve"> </w:t>
            </w:r>
            <w:r>
              <w:rPr>
                <w:sz w:val="18"/>
              </w:rPr>
              <w:t>Regent</w:t>
            </w:r>
            <w:r>
              <w:rPr>
                <w:spacing w:val="-3"/>
                <w:sz w:val="18"/>
              </w:rPr>
              <w:t xml:space="preserve"> </w:t>
            </w:r>
            <w:r>
              <w:rPr>
                <w:sz w:val="18"/>
              </w:rPr>
              <w:t>Yoseph</w:t>
            </w:r>
            <w:r>
              <w:rPr>
                <w:spacing w:val="-4"/>
                <w:sz w:val="18"/>
              </w:rPr>
              <w:t xml:space="preserve"> </w:t>
            </w:r>
            <w:r>
              <w:rPr>
                <w:sz w:val="18"/>
              </w:rPr>
              <w:t>Bladib</w:t>
            </w:r>
            <w:r>
              <w:rPr>
                <w:spacing w:val="-5"/>
                <w:sz w:val="18"/>
              </w:rPr>
              <w:t xml:space="preserve"> </w:t>
            </w:r>
            <w:r>
              <w:rPr>
                <w:sz w:val="18"/>
              </w:rPr>
              <w:t>Gebze,</w:t>
            </w:r>
            <w:r>
              <w:rPr>
                <w:spacing w:val="-5"/>
                <w:sz w:val="18"/>
              </w:rPr>
              <w:t xml:space="preserve"> </w:t>
            </w:r>
            <w:r>
              <w:rPr>
                <w:sz w:val="18"/>
              </w:rPr>
              <w:t>SH,</w:t>
            </w:r>
            <w:r>
              <w:rPr>
                <w:spacing w:val="-5"/>
                <w:sz w:val="18"/>
              </w:rPr>
              <w:t xml:space="preserve"> </w:t>
            </w:r>
            <w:r>
              <w:rPr>
                <w:sz w:val="18"/>
              </w:rPr>
              <w:t>LL.M.,</w:t>
            </w:r>
            <w:r>
              <w:rPr>
                <w:spacing w:val="-5"/>
                <w:sz w:val="18"/>
              </w:rPr>
              <w:t xml:space="preserve"> </w:t>
            </w:r>
            <w:r>
              <w:rPr>
                <w:sz w:val="18"/>
              </w:rPr>
              <w:t>emphasised</w:t>
            </w:r>
            <w:r>
              <w:rPr>
                <w:spacing w:val="-5"/>
                <w:sz w:val="18"/>
              </w:rPr>
              <w:t xml:space="preserve"> </w:t>
            </w:r>
            <w:r>
              <w:rPr>
                <w:sz w:val="18"/>
              </w:rPr>
              <w:t>his</w:t>
            </w:r>
            <w:r>
              <w:rPr>
                <w:spacing w:val="-5"/>
                <w:sz w:val="18"/>
              </w:rPr>
              <w:t xml:space="preserve"> </w:t>
            </w:r>
            <w:r>
              <w:rPr>
                <w:sz w:val="18"/>
              </w:rPr>
              <w:t>commitment</w:t>
            </w:r>
            <w:r>
              <w:rPr>
                <w:spacing w:val="-3"/>
                <w:sz w:val="18"/>
              </w:rPr>
              <w:t xml:space="preserve"> </w:t>
            </w:r>
            <w:r>
              <w:rPr>
                <w:sz w:val="18"/>
              </w:rPr>
              <w:t>during</w:t>
            </w:r>
            <w:r>
              <w:rPr>
                <w:spacing w:val="-5"/>
                <w:sz w:val="18"/>
              </w:rPr>
              <w:t xml:space="preserve"> </w:t>
            </w:r>
            <w:r>
              <w:rPr>
                <w:sz w:val="18"/>
              </w:rPr>
              <w:t>the</w:t>
            </w:r>
            <w:r>
              <w:rPr>
                <w:spacing w:val="-5"/>
                <w:sz w:val="18"/>
              </w:rPr>
              <w:t xml:space="preserve"> </w:t>
            </w:r>
            <w:r>
              <w:rPr>
                <w:sz w:val="18"/>
              </w:rPr>
              <w:t>launch</w:t>
            </w:r>
            <w:r>
              <w:rPr>
                <w:spacing w:val="-4"/>
                <w:sz w:val="18"/>
              </w:rPr>
              <w:t xml:space="preserve"> </w:t>
            </w:r>
            <w:r>
              <w:rPr>
                <w:sz w:val="18"/>
              </w:rPr>
              <w:t>on</w:t>
            </w:r>
            <w:r>
              <w:rPr>
                <w:spacing w:val="-7"/>
                <w:sz w:val="18"/>
              </w:rPr>
              <w:t xml:space="preserve"> </w:t>
            </w:r>
            <w:r>
              <w:rPr>
                <w:sz w:val="18"/>
              </w:rPr>
              <w:t>11</w:t>
            </w:r>
            <w:r>
              <w:rPr>
                <w:spacing w:val="-4"/>
                <w:sz w:val="18"/>
              </w:rPr>
              <w:t xml:space="preserve"> </w:t>
            </w:r>
            <w:r>
              <w:rPr>
                <w:sz w:val="18"/>
              </w:rPr>
              <w:t>June</w:t>
            </w:r>
            <w:r>
              <w:rPr>
                <w:spacing w:val="-4"/>
                <w:sz w:val="18"/>
              </w:rPr>
              <w:t xml:space="preserve"> </w:t>
            </w:r>
            <w:r>
              <w:rPr>
                <w:spacing w:val="-2"/>
                <w:sz w:val="18"/>
              </w:rPr>
              <w:t>2025:</w:t>
            </w:r>
          </w:p>
        </w:tc>
      </w:tr>
    </w:tbl>
    <w:p w14:paraId="39E96CA1" w14:textId="77777777" w:rsidR="00BC24A8" w:rsidRDefault="00BC24A8">
      <w:pPr>
        <w:pStyle w:val="TableParagraph"/>
        <w:jc w:val="both"/>
        <w:rPr>
          <w:sz w:val="18"/>
        </w:rPr>
        <w:sectPr w:rsidR="00BC24A8">
          <w:pgSz w:w="11910" w:h="16840"/>
          <w:pgMar w:top="1360" w:right="850" w:bottom="1100" w:left="1275" w:header="0" w:footer="907" w:gutter="0"/>
          <w:cols w:space="720"/>
        </w:sectPr>
      </w:pPr>
    </w:p>
    <w:p w14:paraId="4AF93667" w14:textId="77777777" w:rsidR="00BC24A8" w:rsidRDefault="00000000">
      <w:pPr>
        <w:pStyle w:val="BodyText"/>
        <w:ind w:left="138"/>
        <w:rPr>
          <w:rFonts w:ascii="Calibri"/>
          <w:sz w:val="20"/>
        </w:rPr>
      </w:pPr>
      <w:r>
        <w:rPr>
          <w:rFonts w:ascii="Calibri"/>
          <w:noProof/>
          <w:sz w:val="20"/>
        </w:rPr>
        <mc:AlternateContent>
          <mc:Choice Requires="wpg">
            <w:drawing>
              <wp:inline distT="0" distB="0" distL="0" distR="0" wp14:anchorId="5DE6A787" wp14:editId="3E8C2C9D">
                <wp:extent cx="5779135" cy="2123440"/>
                <wp:effectExtent l="9525" t="0" r="0" b="635"/>
                <wp:docPr id="311" name="Group 311" descr="Disaggregated OAP data collection is a tangible demonstration of support for the OAP. Therefore, all involved parties must take responsibility according to their roles. District heads ensure sub-districts and villages perform optimally, village heads ensure operators work properly, and village operators input the data accurately.&#10;&#10;&#10;&#10;With multi-stakeholder support and SKALA’s technical guidance, OAP data collection is now conducted in a more structured and inclusive manner. This change not only accelerates data gathering but also ensures that the results can be effectively used to inform affirmative policies that benefit the OAP in Merauk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2123440"/>
                          <a:chOff x="0" y="0"/>
                          <a:chExt cx="5779135" cy="2123440"/>
                        </a:xfrm>
                      </wpg:grpSpPr>
                      <wps:wsp>
                        <wps:cNvPr id="312" name="Graphic 312"/>
                        <wps:cNvSpPr/>
                        <wps:spPr>
                          <a:xfrm>
                            <a:off x="6089" y="6102"/>
                            <a:ext cx="5765800" cy="2110740"/>
                          </a:xfrm>
                          <a:custGeom>
                            <a:avLst/>
                            <a:gdLst/>
                            <a:ahLst/>
                            <a:cxnLst/>
                            <a:rect l="l" t="t" r="r" b="b"/>
                            <a:pathLst>
                              <a:path w="5765800" h="2110740">
                                <a:moveTo>
                                  <a:pt x="5765292" y="0"/>
                                </a:moveTo>
                                <a:lnTo>
                                  <a:pt x="0" y="0"/>
                                </a:lnTo>
                                <a:lnTo>
                                  <a:pt x="0" y="2110739"/>
                                </a:lnTo>
                                <a:lnTo>
                                  <a:pt x="5765292" y="2110739"/>
                                </a:lnTo>
                                <a:lnTo>
                                  <a:pt x="5765292" y="0"/>
                                </a:lnTo>
                                <a:close/>
                              </a:path>
                            </a:pathLst>
                          </a:custGeom>
                          <a:solidFill>
                            <a:srgbClr val="E1F1EF"/>
                          </a:solidFill>
                        </wps:spPr>
                        <wps:bodyPr wrap="square" lIns="0" tIns="0" rIns="0" bIns="0" rtlCol="0">
                          <a:prstTxWarp prst="textNoShape">
                            <a:avLst/>
                          </a:prstTxWarp>
                          <a:noAutofit/>
                        </wps:bodyPr>
                      </wps:wsp>
                      <wps:wsp>
                        <wps:cNvPr id="313" name="Graphic 313"/>
                        <wps:cNvSpPr/>
                        <wps:spPr>
                          <a:xfrm>
                            <a:off x="185667" y="303549"/>
                            <a:ext cx="5410200" cy="866775"/>
                          </a:xfrm>
                          <a:custGeom>
                            <a:avLst/>
                            <a:gdLst/>
                            <a:ahLst/>
                            <a:cxnLst/>
                            <a:rect l="l" t="t" r="r" b="b"/>
                            <a:pathLst>
                              <a:path w="5410200" h="866775">
                                <a:moveTo>
                                  <a:pt x="0" y="0"/>
                                </a:moveTo>
                                <a:lnTo>
                                  <a:pt x="5410200" y="0"/>
                                </a:lnTo>
                                <a:lnTo>
                                  <a:pt x="5410200" y="866736"/>
                                </a:lnTo>
                                <a:lnTo>
                                  <a:pt x="0" y="866736"/>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14" cstate="print"/>
                          <a:stretch>
                            <a:fillRect/>
                          </a:stretch>
                        </pic:blipFill>
                        <pic:spPr>
                          <a:xfrm>
                            <a:off x="246646" y="149131"/>
                            <a:ext cx="223210" cy="205072"/>
                          </a:xfrm>
                          <a:prstGeom prst="rect">
                            <a:avLst/>
                          </a:prstGeom>
                        </pic:spPr>
                      </pic:pic>
                      <pic:pic xmlns:pic="http://schemas.openxmlformats.org/drawingml/2006/picture">
                        <pic:nvPicPr>
                          <pic:cNvPr id="315" name="Image 315"/>
                          <pic:cNvPicPr/>
                        </pic:nvPicPr>
                        <pic:blipFill>
                          <a:blip r:embed="rId20" cstate="print"/>
                          <a:stretch>
                            <a:fillRect/>
                          </a:stretch>
                        </pic:blipFill>
                        <pic:spPr>
                          <a:xfrm>
                            <a:off x="5300022" y="1111510"/>
                            <a:ext cx="223210" cy="205072"/>
                          </a:xfrm>
                          <a:prstGeom prst="rect">
                            <a:avLst/>
                          </a:prstGeom>
                        </pic:spPr>
                      </pic:pic>
                      <wps:wsp>
                        <wps:cNvPr id="316" name="Textbox 316"/>
                        <wps:cNvSpPr txBox="1"/>
                        <wps:spPr>
                          <a:xfrm>
                            <a:off x="3047" y="3047"/>
                            <a:ext cx="5773420" cy="2117090"/>
                          </a:xfrm>
                          <a:prstGeom prst="rect">
                            <a:avLst/>
                          </a:prstGeom>
                          <a:ln w="6096">
                            <a:solidFill>
                              <a:srgbClr val="BEBEBE"/>
                            </a:solidFill>
                            <a:prstDash val="solid"/>
                          </a:ln>
                        </wps:spPr>
                        <wps:txbx>
                          <w:txbxContent>
                            <w:p w14:paraId="2938B1A4" w14:textId="77777777" w:rsidR="00BC24A8" w:rsidRDefault="00BC24A8">
                              <w:pPr>
                                <w:rPr>
                                  <w:rFonts w:ascii="Calibri"/>
                                  <w:sz w:val="18"/>
                                </w:rPr>
                              </w:pPr>
                            </w:p>
                            <w:p w14:paraId="7F039819" w14:textId="77777777" w:rsidR="00BC24A8" w:rsidRDefault="00BC24A8">
                              <w:pPr>
                                <w:rPr>
                                  <w:rFonts w:ascii="Calibri"/>
                                  <w:sz w:val="18"/>
                                </w:rPr>
                              </w:pPr>
                            </w:p>
                            <w:p w14:paraId="47EEE7C6" w14:textId="77777777" w:rsidR="00BC24A8" w:rsidRDefault="00BC24A8">
                              <w:pPr>
                                <w:spacing w:before="27"/>
                                <w:rPr>
                                  <w:rFonts w:ascii="Calibri"/>
                                  <w:sz w:val="18"/>
                                </w:rPr>
                              </w:pPr>
                            </w:p>
                            <w:p w14:paraId="333E77F7" w14:textId="77777777" w:rsidR="00BC24A8" w:rsidRDefault="00000000">
                              <w:pPr>
                                <w:spacing w:line="290" w:lineRule="auto"/>
                                <w:ind w:left="580" w:right="572"/>
                                <w:jc w:val="both"/>
                                <w:rPr>
                                  <w:rFonts w:ascii="Times New Roman"/>
                                  <w:b/>
                                  <w:i/>
                                  <w:sz w:val="18"/>
                                </w:rPr>
                              </w:pPr>
                              <w:r>
                                <w:rPr>
                                  <w:rFonts w:ascii="Times New Roman"/>
                                  <w:b/>
                                  <w:i/>
                                  <w:color w:val="17365A"/>
                                  <w:spacing w:val="-2"/>
                                  <w:sz w:val="18"/>
                                </w:rPr>
                                <w:t>Disaggregated</w:t>
                              </w:r>
                              <w:r>
                                <w:rPr>
                                  <w:rFonts w:ascii="Times New Roman"/>
                                  <w:b/>
                                  <w:i/>
                                  <w:color w:val="17365A"/>
                                  <w:spacing w:val="-9"/>
                                  <w:sz w:val="18"/>
                                </w:rPr>
                                <w:t xml:space="preserve"> </w:t>
                              </w:r>
                              <w:r>
                                <w:rPr>
                                  <w:rFonts w:ascii="Times New Roman"/>
                                  <w:b/>
                                  <w:i/>
                                  <w:color w:val="17365A"/>
                                  <w:spacing w:val="-2"/>
                                  <w:sz w:val="18"/>
                                </w:rPr>
                                <w:t>OAP</w:t>
                              </w:r>
                              <w:r>
                                <w:rPr>
                                  <w:rFonts w:ascii="Times New Roman"/>
                                  <w:b/>
                                  <w:i/>
                                  <w:color w:val="17365A"/>
                                  <w:spacing w:val="-5"/>
                                  <w:sz w:val="18"/>
                                </w:rPr>
                                <w:t xml:space="preserve"> </w:t>
                              </w:r>
                              <w:r>
                                <w:rPr>
                                  <w:rFonts w:ascii="Times New Roman"/>
                                  <w:b/>
                                  <w:i/>
                                  <w:color w:val="17365A"/>
                                  <w:spacing w:val="-2"/>
                                  <w:sz w:val="18"/>
                                </w:rPr>
                                <w:t>data</w:t>
                              </w:r>
                              <w:r>
                                <w:rPr>
                                  <w:rFonts w:ascii="Times New Roman"/>
                                  <w:b/>
                                  <w:i/>
                                  <w:color w:val="17365A"/>
                                  <w:spacing w:val="-6"/>
                                  <w:sz w:val="18"/>
                                </w:rPr>
                                <w:t xml:space="preserve"> </w:t>
                              </w:r>
                              <w:r>
                                <w:rPr>
                                  <w:rFonts w:ascii="Times New Roman"/>
                                  <w:b/>
                                  <w:i/>
                                  <w:color w:val="17365A"/>
                                  <w:spacing w:val="-2"/>
                                  <w:sz w:val="18"/>
                                </w:rPr>
                                <w:t>collection</w:t>
                              </w:r>
                              <w:r>
                                <w:rPr>
                                  <w:rFonts w:ascii="Times New Roman"/>
                                  <w:b/>
                                  <w:i/>
                                  <w:color w:val="17365A"/>
                                  <w:spacing w:val="-10"/>
                                  <w:sz w:val="18"/>
                                </w:rPr>
                                <w:t xml:space="preserve"> </w:t>
                              </w:r>
                              <w:r>
                                <w:rPr>
                                  <w:rFonts w:ascii="Times New Roman"/>
                                  <w:b/>
                                  <w:i/>
                                  <w:color w:val="17365A"/>
                                  <w:spacing w:val="-2"/>
                                  <w:sz w:val="18"/>
                                </w:rPr>
                                <w:t>is</w:t>
                              </w:r>
                              <w:r>
                                <w:rPr>
                                  <w:rFonts w:ascii="Times New Roman"/>
                                  <w:b/>
                                  <w:i/>
                                  <w:color w:val="17365A"/>
                                  <w:spacing w:val="-3"/>
                                  <w:sz w:val="18"/>
                                </w:rPr>
                                <w:t xml:space="preserve"> </w:t>
                              </w:r>
                              <w:r>
                                <w:rPr>
                                  <w:rFonts w:ascii="Times New Roman"/>
                                  <w:b/>
                                  <w:i/>
                                  <w:color w:val="17365A"/>
                                  <w:spacing w:val="-2"/>
                                  <w:sz w:val="18"/>
                                </w:rPr>
                                <w:t>a</w:t>
                              </w:r>
                              <w:r>
                                <w:rPr>
                                  <w:rFonts w:ascii="Times New Roman"/>
                                  <w:b/>
                                  <w:i/>
                                  <w:color w:val="17365A"/>
                                  <w:spacing w:val="-6"/>
                                  <w:sz w:val="18"/>
                                </w:rPr>
                                <w:t xml:space="preserve"> </w:t>
                              </w:r>
                              <w:r>
                                <w:rPr>
                                  <w:rFonts w:ascii="Times New Roman"/>
                                  <w:b/>
                                  <w:i/>
                                  <w:color w:val="17365A"/>
                                  <w:spacing w:val="-2"/>
                                  <w:sz w:val="18"/>
                                </w:rPr>
                                <w:t>tangible</w:t>
                              </w:r>
                              <w:r>
                                <w:rPr>
                                  <w:rFonts w:ascii="Times New Roman"/>
                                  <w:b/>
                                  <w:i/>
                                  <w:color w:val="17365A"/>
                                  <w:spacing w:val="-7"/>
                                  <w:sz w:val="18"/>
                                </w:rPr>
                                <w:t xml:space="preserve"> </w:t>
                              </w:r>
                              <w:r>
                                <w:rPr>
                                  <w:rFonts w:ascii="Times New Roman"/>
                                  <w:b/>
                                  <w:i/>
                                  <w:color w:val="17365A"/>
                                  <w:spacing w:val="-2"/>
                                  <w:sz w:val="18"/>
                                </w:rPr>
                                <w:t>demonstration</w:t>
                              </w:r>
                              <w:r>
                                <w:rPr>
                                  <w:rFonts w:ascii="Times New Roman"/>
                                  <w:b/>
                                  <w:i/>
                                  <w:color w:val="17365A"/>
                                  <w:spacing w:val="-10"/>
                                  <w:sz w:val="18"/>
                                </w:rPr>
                                <w:t xml:space="preserve"> </w:t>
                              </w:r>
                              <w:r>
                                <w:rPr>
                                  <w:rFonts w:ascii="Times New Roman"/>
                                  <w:b/>
                                  <w:i/>
                                  <w:color w:val="17365A"/>
                                  <w:spacing w:val="-2"/>
                                  <w:sz w:val="18"/>
                                </w:rPr>
                                <w:t>of</w:t>
                              </w:r>
                              <w:r>
                                <w:rPr>
                                  <w:rFonts w:ascii="Times New Roman"/>
                                  <w:b/>
                                  <w:i/>
                                  <w:color w:val="17365A"/>
                                  <w:spacing w:val="-8"/>
                                  <w:sz w:val="18"/>
                                </w:rPr>
                                <w:t xml:space="preserve"> </w:t>
                              </w:r>
                              <w:r>
                                <w:rPr>
                                  <w:rFonts w:ascii="Times New Roman"/>
                                  <w:b/>
                                  <w:i/>
                                  <w:color w:val="17365A"/>
                                  <w:spacing w:val="-2"/>
                                  <w:sz w:val="18"/>
                                </w:rPr>
                                <w:t>support</w:t>
                              </w:r>
                              <w:r>
                                <w:rPr>
                                  <w:rFonts w:ascii="Times New Roman"/>
                                  <w:b/>
                                  <w:i/>
                                  <w:color w:val="17365A"/>
                                  <w:spacing w:val="-8"/>
                                  <w:sz w:val="18"/>
                                </w:rPr>
                                <w:t xml:space="preserve"> </w:t>
                              </w:r>
                              <w:r>
                                <w:rPr>
                                  <w:rFonts w:ascii="Times New Roman"/>
                                  <w:b/>
                                  <w:i/>
                                  <w:color w:val="17365A"/>
                                  <w:spacing w:val="-2"/>
                                  <w:sz w:val="18"/>
                                </w:rPr>
                                <w:t>for</w:t>
                              </w:r>
                              <w:r>
                                <w:rPr>
                                  <w:rFonts w:ascii="Times New Roman"/>
                                  <w:b/>
                                  <w:i/>
                                  <w:color w:val="17365A"/>
                                  <w:spacing w:val="-7"/>
                                  <w:sz w:val="18"/>
                                </w:rPr>
                                <w:t xml:space="preserve"> </w:t>
                              </w:r>
                              <w:r>
                                <w:rPr>
                                  <w:rFonts w:ascii="Times New Roman"/>
                                  <w:b/>
                                  <w:i/>
                                  <w:color w:val="17365A"/>
                                  <w:spacing w:val="-2"/>
                                  <w:sz w:val="18"/>
                                </w:rPr>
                                <w:t>the</w:t>
                              </w:r>
                              <w:r>
                                <w:rPr>
                                  <w:rFonts w:ascii="Times New Roman"/>
                                  <w:b/>
                                  <w:i/>
                                  <w:color w:val="17365A"/>
                                  <w:spacing w:val="-10"/>
                                  <w:sz w:val="18"/>
                                </w:rPr>
                                <w:t xml:space="preserve"> </w:t>
                              </w:r>
                              <w:r>
                                <w:rPr>
                                  <w:rFonts w:ascii="Times New Roman"/>
                                  <w:b/>
                                  <w:i/>
                                  <w:color w:val="17365A"/>
                                  <w:spacing w:val="-2"/>
                                  <w:sz w:val="18"/>
                                </w:rPr>
                                <w:t>OAP.</w:t>
                              </w:r>
                              <w:r>
                                <w:rPr>
                                  <w:rFonts w:ascii="Times New Roman"/>
                                  <w:b/>
                                  <w:i/>
                                  <w:color w:val="17365A"/>
                                  <w:spacing w:val="-7"/>
                                  <w:sz w:val="18"/>
                                </w:rPr>
                                <w:t xml:space="preserve"> </w:t>
                              </w:r>
                              <w:r>
                                <w:rPr>
                                  <w:rFonts w:ascii="Times New Roman"/>
                                  <w:b/>
                                  <w:i/>
                                  <w:color w:val="17365A"/>
                                  <w:spacing w:val="-2"/>
                                  <w:sz w:val="18"/>
                                </w:rPr>
                                <w:t>Therefore,</w:t>
                              </w:r>
                              <w:r>
                                <w:rPr>
                                  <w:rFonts w:ascii="Times New Roman"/>
                                  <w:b/>
                                  <w:i/>
                                  <w:color w:val="17365A"/>
                                  <w:spacing w:val="-9"/>
                                  <w:sz w:val="18"/>
                                </w:rPr>
                                <w:t xml:space="preserve"> </w:t>
                              </w:r>
                              <w:r>
                                <w:rPr>
                                  <w:rFonts w:ascii="Times New Roman"/>
                                  <w:b/>
                                  <w:i/>
                                  <w:color w:val="17365A"/>
                                  <w:spacing w:val="-2"/>
                                  <w:sz w:val="18"/>
                                </w:rPr>
                                <w:t>all</w:t>
                              </w:r>
                              <w:r>
                                <w:rPr>
                                  <w:rFonts w:ascii="Times New Roman"/>
                                  <w:b/>
                                  <w:i/>
                                  <w:color w:val="17365A"/>
                                  <w:spacing w:val="-5"/>
                                  <w:sz w:val="18"/>
                                </w:rPr>
                                <w:t xml:space="preserve"> </w:t>
                              </w:r>
                              <w:r>
                                <w:rPr>
                                  <w:rFonts w:ascii="Times New Roman"/>
                                  <w:b/>
                                  <w:i/>
                                  <w:color w:val="17365A"/>
                                  <w:spacing w:val="-2"/>
                                  <w:sz w:val="18"/>
                                </w:rPr>
                                <w:t xml:space="preserve">involved </w:t>
                              </w:r>
                              <w:r>
                                <w:rPr>
                                  <w:rFonts w:ascii="Times New Roman"/>
                                  <w:b/>
                                  <w:i/>
                                  <w:color w:val="17365A"/>
                                  <w:sz w:val="18"/>
                                </w:rPr>
                                <w:t xml:space="preserve">parties must take responsibility according to their roles. District heads ensure sub-districts and villages perform optimally, village heads ensure operators work properly, and village operators input the data </w:t>
                              </w:r>
                              <w:r>
                                <w:rPr>
                                  <w:rFonts w:ascii="Times New Roman"/>
                                  <w:b/>
                                  <w:i/>
                                  <w:color w:val="17365A"/>
                                  <w:spacing w:val="-2"/>
                                  <w:sz w:val="18"/>
                                </w:rPr>
                                <w:t>accurately.</w:t>
                              </w:r>
                            </w:p>
                            <w:p w14:paraId="7E8CFAD2" w14:textId="77777777" w:rsidR="00BC24A8" w:rsidRDefault="00BC24A8">
                              <w:pPr>
                                <w:rPr>
                                  <w:rFonts w:ascii="Times New Roman"/>
                                  <w:b/>
                                  <w:i/>
                                  <w:sz w:val="18"/>
                                </w:rPr>
                              </w:pPr>
                            </w:p>
                            <w:p w14:paraId="017F3E0F" w14:textId="77777777" w:rsidR="00BC24A8" w:rsidRDefault="00BC24A8">
                              <w:pPr>
                                <w:rPr>
                                  <w:rFonts w:ascii="Times New Roman"/>
                                  <w:b/>
                                  <w:i/>
                                  <w:sz w:val="18"/>
                                </w:rPr>
                              </w:pPr>
                            </w:p>
                            <w:p w14:paraId="097C6AFE" w14:textId="77777777" w:rsidR="00BC24A8" w:rsidRDefault="00BC24A8">
                              <w:pPr>
                                <w:spacing w:before="135"/>
                                <w:rPr>
                                  <w:rFonts w:ascii="Times New Roman"/>
                                  <w:b/>
                                  <w:i/>
                                  <w:sz w:val="18"/>
                                </w:rPr>
                              </w:pPr>
                            </w:p>
                            <w:p w14:paraId="052145D4" w14:textId="77777777" w:rsidR="00BC24A8" w:rsidRDefault="00000000">
                              <w:pPr>
                                <w:ind w:left="247" w:right="243"/>
                                <w:jc w:val="both"/>
                                <w:rPr>
                                  <w:sz w:val="18"/>
                                </w:rPr>
                              </w:pPr>
                              <w:r>
                                <w:rPr>
                                  <w:sz w:val="18"/>
                                </w:rPr>
                                <w:t>With multi-stakeholder support and SKALA’s technical guidance, OAP data collection is now conducted in a more structured and inclusive manner. This change not only accelerates data gathering but also ensures that the results can be effectively used to inform affirmative policies that benefit the OAP in Merauke.</w:t>
                              </w:r>
                            </w:p>
                          </w:txbxContent>
                        </wps:txbx>
                        <wps:bodyPr wrap="square" lIns="0" tIns="0" rIns="0" bIns="0" rtlCol="0">
                          <a:noAutofit/>
                        </wps:bodyPr>
                      </wps:wsp>
                    </wpg:wgp>
                  </a:graphicData>
                </a:graphic>
              </wp:inline>
            </w:drawing>
          </mc:Choice>
          <mc:Fallback>
            <w:pict>
              <v:group w14:anchorId="5DE6A787" id="Group 311" o:spid="_x0000_s1091" alt="Disaggregated OAP data collection is a tangible demonstration of support for the OAP. Therefore, all involved parties must take responsibility according to their roles. District heads ensure sub-districts and villages perform optimally, village heads ensure operators work properly, and village operators input the data accurately.&#10;&#10;&#10;&#10;With multi-stakeholder support and SKALA’s technical guidance, OAP data collection is now conducted in a more structured and inclusive manner. This change not only accelerates data gathering but also ensures that the results can be effectively used to inform affirmative policies that benefit the OAP in Merauke." style="width:455.05pt;height:167.2pt;mso-position-horizontal-relative:char;mso-position-vertical-relative:line" coordsize="57791,2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">
                <v:shape id="Graphic 312" o:spid="_x0000_s1092" style="position:absolute;left:60;top:61;width:57658;height:21107;visibility:visible;mso-wrap-style:square;v-text-anchor:top" coordsize="5765800,21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" path="m5765292,l,,,2110739r5765292,l5765292,xe" fillcolor="#e1f1ef" stroked="f">
                  <v:path arrowok="t"/>
                </v:shape>
                <v:shape id="Graphic 313" o:spid="_x0000_s1093" style="position:absolute;left:1856;top:3035;width:54102;height:8668;visibility:visible;mso-wrap-style:square;v-text-anchor:top" coordsize="541020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" path="m,l5410200,r,866736l,866736,,xe" filled="f" strokecolor="#17365a" strokeweight="1pt">
                  <v:path arrowok="t"/>
                </v:shape>
                <v:shape id="Image 314" o:spid="_x0000_s1094" type="#_x0000_t75" style="position:absolute;left:2466;top:1491;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">
                  <v:imagedata r:id="rId16" o:title=""/>
                </v:shape>
                <v:shape id="Image 315" o:spid="_x0000_s1095" type="#_x0000_t75" style="position:absolute;left:53000;top:11115;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">
                  <v:imagedata r:id="rId21" o:title=""/>
                </v:shape>
                <v:shape id="Textbox 316" o:spid="_x0000_s1096" type="#_x0000_t202" style="position:absolute;left:30;top:30;width:57734;height:2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" filled="f" strokecolor="#bebebe" strokeweight=".48pt">
                  <v:textbox inset="0,0,0,0">
                    <w:txbxContent>
                      <w:p w14:paraId="2938B1A4" w14:textId="77777777" w:rsidR="00BC24A8" w:rsidRDefault="00BC24A8">
                        <w:pPr>
                          <w:rPr>
                            <w:rFonts w:ascii="Calibri"/>
                            <w:sz w:val="18"/>
                          </w:rPr>
                        </w:pPr>
                      </w:p>
                      <w:p w14:paraId="7F039819" w14:textId="77777777" w:rsidR="00BC24A8" w:rsidRDefault="00BC24A8">
                        <w:pPr>
                          <w:rPr>
                            <w:rFonts w:ascii="Calibri"/>
                            <w:sz w:val="18"/>
                          </w:rPr>
                        </w:pPr>
                      </w:p>
                      <w:p w14:paraId="47EEE7C6" w14:textId="77777777" w:rsidR="00BC24A8" w:rsidRDefault="00BC24A8">
                        <w:pPr>
                          <w:spacing w:before="27"/>
                          <w:rPr>
                            <w:rFonts w:ascii="Calibri"/>
                            <w:sz w:val="18"/>
                          </w:rPr>
                        </w:pPr>
                      </w:p>
                      <w:p w14:paraId="333E77F7" w14:textId="77777777" w:rsidR="00BC24A8" w:rsidRDefault="00000000">
                        <w:pPr>
                          <w:spacing w:line="290" w:lineRule="auto"/>
                          <w:ind w:left="580" w:right="572"/>
                          <w:jc w:val="both"/>
                          <w:rPr>
                            <w:rFonts w:ascii="Times New Roman"/>
                            <w:b/>
                            <w:i/>
                            <w:sz w:val="18"/>
                          </w:rPr>
                        </w:pPr>
                        <w:r>
                          <w:rPr>
                            <w:rFonts w:ascii="Times New Roman"/>
                            <w:b/>
                            <w:i/>
                            <w:color w:val="17365A"/>
                            <w:spacing w:val="-2"/>
                            <w:sz w:val="18"/>
                          </w:rPr>
                          <w:t>Disaggregated</w:t>
                        </w:r>
                        <w:r>
                          <w:rPr>
                            <w:rFonts w:ascii="Times New Roman"/>
                            <w:b/>
                            <w:i/>
                            <w:color w:val="17365A"/>
                            <w:spacing w:val="-9"/>
                            <w:sz w:val="18"/>
                          </w:rPr>
                          <w:t xml:space="preserve"> </w:t>
                        </w:r>
                        <w:r>
                          <w:rPr>
                            <w:rFonts w:ascii="Times New Roman"/>
                            <w:b/>
                            <w:i/>
                            <w:color w:val="17365A"/>
                            <w:spacing w:val="-2"/>
                            <w:sz w:val="18"/>
                          </w:rPr>
                          <w:t>OAP</w:t>
                        </w:r>
                        <w:r>
                          <w:rPr>
                            <w:rFonts w:ascii="Times New Roman"/>
                            <w:b/>
                            <w:i/>
                            <w:color w:val="17365A"/>
                            <w:spacing w:val="-5"/>
                            <w:sz w:val="18"/>
                          </w:rPr>
                          <w:t xml:space="preserve"> </w:t>
                        </w:r>
                        <w:r>
                          <w:rPr>
                            <w:rFonts w:ascii="Times New Roman"/>
                            <w:b/>
                            <w:i/>
                            <w:color w:val="17365A"/>
                            <w:spacing w:val="-2"/>
                            <w:sz w:val="18"/>
                          </w:rPr>
                          <w:t>data</w:t>
                        </w:r>
                        <w:r>
                          <w:rPr>
                            <w:rFonts w:ascii="Times New Roman"/>
                            <w:b/>
                            <w:i/>
                            <w:color w:val="17365A"/>
                            <w:spacing w:val="-6"/>
                            <w:sz w:val="18"/>
                          </w:rPr>
                          <w:t xml:space="preserve"> </w:t>
                        </w:r>
                        <w:r>
                          <w:rPr>
                            <w:rFonts w:ascii="Times New Roman"/>
                            <w:b/>
                            <w:i/>
                            <w:color w:val="17365A"/>
                            <w:spacing w:val="-2"/>
                            <w:sz w:val="18"/>
                          </w:rPr>
                          <w:t>collection</w:t>
                        </w:r>
                        <w:r>
                          <w:rPr>
                            <w:rFonts w:ascii="Times New Roman"/>
                            <w:b/>
                            <w:i/>
                            <w:color w:val="17365A"/>
                            <w:spacing w:val="-10"/>
                            <w:sz w:val="18"/>
                          </w:rPr>
                          <w:t xml:space="preserve"> </w:t>
                        </w:r>
                        <w:r>
                          <w:rPr>
                            <w:rFonts w:ascii="Times New Roman"/>
                            <w:b/>
                            <w:i/>
                            <w:color w:val="17365A"/>
                            <w:spacing w:val="-2"/>
                            <w:sz w:val="18"/>
                          </w:rPr>
                          <w:t>is</w:t>
                        </w:r>
                        <w:r>
                          <w:rPr>
                            <w:rFonts w:ascii="Times New Roman"/>
                            <w:b/>
                            <w:i/>
                            <w:color w:val="17365A"/>
                            <w:spacing w:val="-3"/>
                            <w:sz w:val="18"/>
                          </w:rPr>
                          <w:t xml:space="preserve"> </w:t>
                        </w:r>
                        <w:r>
                          <w:rPr>
                            <w:rFonts w:ascii="Times New Roman"/>
                            <w:b/>
                            <w:i/>
                            <w:color w:val="17365A"/>
                            <w:spacing w:val="-2"/>
                            <w:sz w:val="18"/>
                          </w:rPr>
                          <w:t>a</w:t>
                        </w:r>
                        <w:r>
                          <w:rPr>
                            <w:rFonts w:ascii="Times New Roman"/>
                            <w:b/>
                            <w:i/>
                            <w:color w:val="17365A"/>
                            <w:spacing w:val="-6"/>
                            <w:sz w:val="18"/>
                          </w:rPr>
                          <w:t xml:space="preserve"> </w:t>
                        </w:r>
                        <w:r>
                          <w:rPr>
                            <w:rFonts w:ascii="Times New Roman"/>
                            <w:b/>
                            <w:i/>
                            <w:color w:val="17365A"/>
                            <w:spacing w:val="-2"/>
                            <w:sz w:val="18"/>
                          </w:rPr>
                          <w:t>tangible</w:t>
                        </w:r>
                        <w:r>
                          <w:rPr>
                            <w:rFonts w:ascii="Times New Roman"/>
                            <w:b/>
                            <w:i/>
                            <w:color w:val="17365A"/>
                            <w:spacing w:val="-7"/>
                            <w:sz w:val="18"/>
                          </w:rPr>
                          <w:t xml:space="preserve"> </w:t>
                        </w:r>
                        <w:r>
                          <w:rPr>
                            <w:rFonts w:ascii="Times New Roman"/>
                            <w:b/>
                            <w:i/>
                            <w:color w:val="17365A"/>
                            <w:spacing w:val="-2"/>
                            <w:sz w:val="18"/>
                          </w:rPr>
                          <w:t>demonstration</w:t>
                        </w:r>
                        <w:r>
                          <w:rPr>
                            <w:rFonts w:ascii="Times New Roman"/>
                            <w:b/>
                            <w:i/>
                            <w:color w:val="17365A"/>
                            <w:spacing w:val="-10"/>
                            <w:sz w:val="18"/>
                          </w:rPr>
                          <w:t xml:space="preserve"> </w:t>
                        </w:r>
                        <w:r>
                          <w:rPr>
                            <w:rFonts w:ascii="Times New Roman"/>
                            <w:b/>
                            <w:i/>
                            <w:color w:val="17365A"/>
                            <w:spacing w:val="-2"/>
                            <w:sz w:val="18"/>
                          </w:rPr>
                          <w:t>of</w:t>
                        </w:r>
                        <w:r>
                          <w:rPr>
                            <w:rFonts w:ascii="Times New Roman"/>
                            <w:b/>
                            <w:i/>
                            <w:color w:val="17365A"/>
                            <w:spacing w:val="-8"/>
                            <w:sz w:val="18"/>
                          </w:rPr>
                          <w:t xml:space="preserve"> </w:t>
                        </w:r>
                        <w:r>
                          <w:rPr>
                            <w:rFonts w:ascii="Times New Roman"/>
                            <w:b/>
                            <w:i/>
                            <w:color w:val="17365A"/>
                            <w:spacing w:val="-2"/>
                            <w:sz w:val="18"/>
                          </w:rPr>
                          <w:t>support</w:t>
                        </w:r>
                        <w:r>
                          <w:rPr>
                            <w:rFonts w:ascii="Times New Roman"/>
                            <w:b/>
                            <w:i/>
                            <w:color w:val="17365A"/>
                            <w:spacing w:val="-8"/>
                            <w:sz w:val="18"/>
                          </w:rPr>
                          <w:t xml:space="preserve"> </w:t>
                        </w:r>
                        <w:r>
                          <w:rPr>
                            <w:rFonts w:ascii="Times New Roman"/>
                            <w:b/>
                            <w:i/>
                            <w:color w:val="17365A"/>
                            <w:spacing w:val="-2"/>
                            <w:sz w:val="18"/>
                          </w:rPr>
                          <w:t>for</w:t>
                        </w:r>
                        <w:r>
                          <w:rPr>
                            <w:rFonts w:ascii="Times New Roman"/>
                            <w:b/>
                            <w:i/>
                            <w:color w:val="17365A"/>
                            <w:spacing w:val="-7"/>
                            <w:sz w:val="18"/>
                          </w:rPr>
                          <w:t xml:space="preserve"> </w:t>
                        </w:r>
                        <w:r>
                          <w:rPr>
                            <w:rFonts w:ascii="Times New Roman"/>
                            <w:b/>
                            <w:i/>
                            <w:color w:val="17365A"/>
                            <w:spacing w:val="-2"/>
                            <w:sz w:val="18"/>
                          </w:rPr>
                          <w:t>the</w:t>
                        </w:r>
                        <w:r>
                          <w:rPr>
                            <w:rFonts w:ascii="Times New Roman"/>
                            <w:b/>
                            <w:i/>
                            <w:color w:val="17365A"/>
                            <w:spacing w:val="-10"/>
                            <w:sz w:val="18"/>
                          </w:rPr>
                          <w:t xml:space="preserve"> </w:t>
                        </w:r>
                        <w:r>
                          <w:rPr>
                            <w:rFonts w:ascii="Times New Roman"/>
                            <w:b/>
                            <w:i/>
                            <w:color w:val="17365A"/>
                            <w:spacing w:val="-2"/>
                            <w:sz w:val="18"/>
                          </w:rPr>
                          <w:t>OAP.</w:t>
                        </w:r>
                        <w:r>
                          <w:rPr>
                            <w:rFonts w:ascii="Times New Roman"/>
                            <w:b/>
                            <w:i/>
                            <w:color w:val="17365A"/>
                            <w:spacing w:val="-7"/>
                            <w:sz w:val="18"/>
                          </w:rPr>
                          <w:t xml:space="preserve"> </w:t>
                        </w:r>
                        <w:r>
                          <w:rPr>
                            <w:rFonts w:ascii="Times New Roman"/>
                            <w:b/>
                            <w:i/>
                            <w:color w:val="17365A"/>
                            <w:spacing w:val="-2"/>
                            <w:sz w:val="18"/>
                          </w:rPr>
                          <w:t>Therefore,</w:t>
                        </w:r>
                        <w:r>
                          <w:rPr>
                            <w:rFonts w:ascii="Times New Roman"/>
                            <w:b/>
                            <w:i/>
                            <w:color w:val="17365A"/>
                            <w:spacing w:val="-9"/>
                            <w:sz w:val="18"/>
                          </w:rPr>
                          <w:t xml:space="preserve"> </w:t>
                        </w:r>
                        <w:r>
                          <w:rPr>
                            <w:rFonts w:ascii="Times New Roman"/>
                            <w:b/>
                            <w:i/>
                            <w:color w:val="17365A"/>
                            <w:spacing w:val="-2"/>
                            <w:sz w:val="18"/>
                          </w:rPr>
                          <w:t>all</w:t>
                        </w:r>
                        <w:r>
                          <w:rPr>
                            <w:rFonts w:ascii="Times New Roman"/>
                            <w:b/>
                            <w:i/>
                            <w:color w:val="17365A"/>
                            <w:spacing w:val="-5"/>
                            <w:sz w:val="18"/>
                          </w:rPr>
                          <w:t xml:space="preserve"> </w:t>
                        </w:r>
                        <w:r>
                          <w:rPr>
                            <w:rFonts w:ascii="Times New Roman"/>
                            <w:b/>
                            <w:i/>
                            <w:color w:val="17365A"/>
                            <w:spacing w:val="-2"/>
                            <w:sz w:val="18"/>
                          </w:rPr>
                          <w:t xml:space="preserve">involved </w:t>
                        </w:r>
                        <w:r>
                          <w:rPr>
                            <w:rFonts w:ascii="Times New Roman"/>
                            <w:b/>
                            <w:i/>
                            <w:color w:val="17365A"/>
                            <w:sz w:val="18"/>
                          </w:rPr>
                          <w:t xml:space="preserve">parties must take responsibility according to their roles. District heads ensure sub-districts and villages perform optimally, village heads ensure operators work properly, and village operators input the data </w:t>
                        </w:r>
                        <w:r>
                          <w:rPr>
                            <w:rFonts w:ascii="Times New Roman"/>
                            <w:b/>
                            <w:i/>
                            <w:color w:val="17365A"/>
                            <w:spacing w:val="-2"/>
                            <w:sz w:val="18"/>
                          </w:rPr>
                          <w:t>accurately.</w:t>
                        </w:r>
                      </w:p>
                      <w:p w14:paraId="7E8CFAD2" w14:textId="77777777" w:rsidR="00BC24A8" w:rsidRDefault="00BC24A8">
                        <w:pPr>
                          <w:rPr>
                            <w:rFonts w:ascii="Times New Roman"/>
                            <w:b/>
                            <w:i/>
                            <w:sz w:val="18"/>
                          </w:rPr>
                        </w:pPr>
                      </w:p>
                      <w:p w14:paraId="017F3E0F" w14:textId="77777777" w:rsidR="00BC24A8" w:rsidRDefault="00BC24A8">
                        <w:pPr>
                          <w:rPr>
                            <w:rFonts w:ascii="Times New Roman"/>
                            <w:b/>
                            <w:i/>
                            <w:sz w:val="18"/>
                          </w:rPr>
                        </w:pPr>
                      </w:p>
                      <w:p w14:paraId="097C6AFE" w14:textId="77777777" w:rsidR="00BC24A8" w:rsidRDefault="00BC24A8">
                        <w:pPr>
                          <w:spacing w:before="135"/>
                          <w:rPr>
                            <w:rFonts w:ascii="Times New Roman"/>
                            <w:b/>
                            <w:i/>
                            <w:sz w:val="18"/>
                          </w:rPr>
                        </w:pPr>
                      </w:p>
                      <w:p w14:paraId="052145D4" w14:textId="77777777" w:rsidR="00BC24A8" w:rsidRDefault="00000000">
                        <w:pPr>
                          <w:ind w:left="247" w:right="243"/>
                          <w:jc w:val="both"/>
                          <w:rPr>
                            <w:sz w:val="18"/>
                          </w:rPr>
                        </w:pPr>
                        <w:r>
                          <w:rPr>
                            <w:sz w:val="18"/>
                          </w:rPr>
                          <w:t>With multi-stakeholder support and SKALA’s technical guidance, OAP data collection is now conducted in a more structured and inclusive manner. This change not only accelerates data gathering but also ensures that the results can be effectively used to inform affirmative policies that benefit the OAP in Merauke.</w:t>
                        </w:r>
                      </w:p>
                    </w:txbxContent>
                  </v:textbox>
                </v:shape>
                <w10:anchorlock/>
              </v:group>
            </w:pict>
          </mc:Fallback>
        </mc:AlternateContent>
      </w:r>
    </w:p>
    <w:p w14:paraId="55A8E60F" w14:textId="77777777" w:rsidR="00BC24A8" w:rsidRDefault="00BC24A8">
      <w:pPr>
        <w:pStyle w:val="BodyText"/>
        <w:spacing w:before="184"/>
        <w:rPr>
          <w:rFonts w:ascii="Calibri"/>
        </w:rPr>
      </w:pPr>
    </w:p>
    <w:p w14:paraId="4B8EA2B8" w14:textId="77777777" w:rsidR="00BC24A8" w:rsidRDefault="00000000">
      <w:pPr>
        <w:pStyle w:val="BodyText"/>
        <w:ind w:left="143"/>
        <w:rPr>
          <w:rFonts w:ascii="Calibri"/>
        </w:rPr>
      </w:pPr>
      <w:r>
        <w:rPr>
          <w:rFonts w:ascii="Calibri"/>
          <w:color w:val="272727"/>
        </w:rPr>
        <w:t>Challenges</w:t>
      </w:r>
      <w:r>
        <w:rPr>
          <w:rFonts w:ascii="Calibri"/>
          <w:color w:val="272727"/>
          <w:spacing w:val="-7"/>
        </w:rPr>
        <w:t xml:space="preserve"> </w:t>
      </w:r>
      <w:r>
        <w:rPr>
          <w:rFonts w:ascii="Calibri"/>
          <w:color w:val="272727"/>
        </w:rPr>
        <w:t>and</w:t>
      </w:r>
      <w:r>
        <w:rPr>
          <w:rFonts w:ascii="Calibri"/>
          <w:color w:val="272727"/>
          <w:spacing w:val="-5"/>
        </w:rPr>
        <w:t xml:space="preserve"> </w:t>
      </w:r>
      <w:r>
        <w:rPr>
          <w:rFonts w:ascii="Calibri"/>
          <w:color w:val="272727"/>
        </w:rPr>
        <w:t>lessons</w:t>
      </w:r>
      <w:r>
        <w:rPr>
          <w:rFonts w:ascii="Calibri"/>
          <w:color w:val="272727"/>
          <w:spacing w:val="-4"/>
        </w:rPr>
        <w:t xml:space="preserve"> </w:t>
      </w:r>
      <w:r>
        <w:rPr>
          <w:rFonts w:ascii="Calibri"/>
          <w:color w:val="272727"/>
          <w:spacing w:val="-2"/>
        </w:rPr>
        <w:t>learned</w:t>
      </w:r>
    </w:p>
    <w:p w14:paraId="3A053B72" w14:textId="77777777" w:rsidR="00BC24A8" w:rsidRDefault="00000000">
      <w:pPr>
        <w:pStyle w:val="Heading5"/>
        <w:spacing w:before="22" w:line="384" w:lineRule="auto"/>
        <w:ind w:right="3387"/>
      </w:pPr>
      <w:r>
        <w:rPr>
          <w:color w:val="17365A"/>
        </w:rPr>
        <w:t>Program</w:t>
      </w:r>
      <w:r>
        <w:rPr>
          <w:color w:val="17365A"/>
          <w:spacing w:val="-10"/>
        </w:rPr>
        <w:t xml:space="preserve"> </w:t>
      </w:r>
      <w:r>
        <w:rPr>
          <w:color w:val="17365A"/>
        </w:rPr>
        <w:t>implementation</w:t>
      </w:r>
      <w:r>
        <w:rPr>
          <w:color w:val="17365A"/>
          <w:spacing w:val="-11"/>
        </w:rPr>
        <w:t xml:space="preserve"> </w:t>
      </w:r>
      <w:r>
        <w:rPr>
          <w:color w:val="17365A"/>
        </w:rPr>
        <w:t>challenges,</w:t>
      </w:r>
      <w:r>
        <w:rPr>
          <w:color w:val="17365A"/>
          <w:spacing w:val="-12"/>
        </w:rPr>
        <w:t xml:space="preserve"> </w:t>
      </w:r>
      <w:r>
        <w:rPr>
          <w:color w:val="17365A"/>
        </w:rPr>
        <w:t>impacts,</w:t>
      </w:r>
      <w:r>
        <w:rPr>
          <w:color w:val="17365A"/>
          <w:spacing w:val="-10"/>
        </w:rPr>
        <w:t xml:space="preserve"> </w:t>
      </w:r>
      <w:r>
        <w:rPr>
          <w:color w:val="17365A"/>
        </w:rPr>
        <w:t>and</w:t>
      </w:r>
      <w:r>
        <w:rPr>
          <w:color w:val="17365A"/>
          <w:spacing w:val="-11"/>
        </w:rPr>
        <w:t xml:space="preserve"> </w:t>
      </w:r>
      <w:r>
        <w:rPr>
          <w:color w:val="17365A"/>
        </w:rPr>
        <w:t xml:space="preserve">solutions </w:t>
      </w:r>
      <w:r>
        <w:rPr>
          <w:spacing w:val="-2"/>
        </w:rPr>
        <w:t>Challenges</w:t>
      </w:r>
    </w:p>
    <w:p w14:paraId="75C64CA4" w14:textId="77777777" w:rsidR="00BC24A8" w:rsidRDefault="00000000">
      <w:pPr>
        <w:pStyle w:val="ListParagraph"/>
        <w:numPr>
          <w:ilvl w:val="1"/>
          <w:numId w:val="15"/>
        </w:numPr>
        <w:tabs>
          <w:tab w:val="left" w:pos="861"/>
          <w:tab w:val="left" w:pos="863"/>
        </w:tabs>
        <w:ind w:right="564" w:hanging="361"/>
        <w:rPr>
          <w:rFonts w:ascii="Symbol" w:hAnsi="Symbol"/>
        </w:rPr>
      </w:pPr>
      <w:r>
        <w:t>The</w:t>
      </w:r>
      <w:r>
        <w:rPr>
          <w:spacing w:val="-3"/>
        </w:rPr>
        <w:t xml:space="preserve"> </w:t>
      </w:r>
      <w:r>
        <w:t>expansion</w:t>
      </w:r>
      <w:r>
        <w:rPr>
          <w:spacing w:val="-4"/>
        </w:rPr>
        <w:t xml:space="preserve"> </w:t>
      </w:r>
      <w:r>
        <w:t>of</w:t>
      </w:r>
      <w:r>
        <w:rPr>
          <w:spacing w:val="-3"/>
        </w:rPr>
        <w:t xml:space="preserve"> </w:t>
      </w:r>
      <w:r>
        <w:t>SIRIOS</w:t>
      </w:r>
      <w:r>
        <w:rPr>
          <w:spacing w:val="-3"/>
        </w:rPr>
        <w:t xml:space="preserve"> </w:t>
      </w:r>
      <w:r>
        <w:t>in</w:t>
      </w:r>
      <w:r>
        <w:rPr>
          <w:spacing w:val="-6"/>
        </w:rPr>
        <w:t xml:space="preserve"> </w:t>
      </w:r>
      <w:r>
        <w:t>Kabupaten</w:t>
      </w:r>
      <w:r>
        <w:rPr>
          <w:spacing w:val="-4"/>
        </w:rPr>
        <w:t xml:space="preserve"> </w:t>
      </w:r>
      <w:r>
        <w:t>Merauke</w:t>
      </w:r>
      <w:r>
        <w:rPr>
          <w:spacing w:val="-5"/>
        </w:rPr>
        <w:t xml:space="preserve"> </w:t>
      </w:r>
      <w:r>
        <w:t>faced</w:t>
      </w:r>
      <w:r>
        <w:rPr>
          <w:spacing w:val="-4"/>
        </w:rPr>
        <w:t xml:space="preserve"> </w:t>
      </w:r>
      <w:r>
        <w:t>challenges</w:t>
      </w:r>
      <w:r>
        <w:rPr>
          <w:spacing w:val="-3"/>
        </w:rPr>
        <w:t xml:space="preserve"> </w:t>
      </w:r>
      <w:r>
        <w:t>reaching</w:t>
      </w:r>
      <w:r>
        <w:rPr>
          <w:spacing w:val="-5"/>
        </w:rPr>
        <w:t xml:space="preserve"> </w:t>
      </w:r>
      <w:r>
        <w:t>remote</w:t>
      </w:r>
      <w:r>
        <w:rPr>
          <w:spacing w:val="-3"/>
        </w:rPr>
        <w:t xml:space="preserve"> </w:t>
      </w:r>
      <w:r>
        <w:t>areas</w:t>
      </w:r>
      <w:r>
        <w:rPr>
          <w:spacing w:val="-3"/>
        </w:rPr>
        <w:t xml:space="preserve"> </w:t>
      </w:r>
      <w:r>
        <w:t>due</w:t>
      </w:r>
      <w:r>
        <w:rPr>
          <w:spacing w:val="-3"/>
        </w:rPr>
        <w:t xml:space="preserve"> </w:t>
      </w:r>
      <w:r>
        <w:t>to limited</w:t>
      </w:r>
      <w:r>
        <w:rPr>
          <w:spacing w:val="-7"/>
        </w:rPr>
        <w:t xml:space="preserve"> </w:t>
      </w:r>
      <w:r>
        <w:t>transportation,</w:t>
      </w:r>
      <w:r>
        <w:rPr>
          <w:spacing w:val="-6"/>
        </w:rPr>
        <w:t xml:space="preserve"> </w:t>
      </w:r>
      <w:r>
        <w:t>low</w:t>
      </w:r>
      <w:r>
        <w:rPr>
          <w:spacing w:val="-12"/>
        </w:rPr>
        <w:t xml:space="preserve"> </w:t>
      </w:r>
      <w:r>
        <w:t>capacity</w:t>
      </w:r>
      <w:r>
        <w:rPr>
          <w:spacing w:val="-7"/>
        </w:rPr>
        <w:t xml:space="preserve"> </w:t>
      </w:r>
      <w:r>
        <w:t>of</w:t>
      </w:r>
      <w:r>
        <w:rPr>
          <w:spacing w:val="-9"/>
        </w:rPr>
        <w:t xml:space="preserve"> </w:t>
      </w:r>
      <w:r>
        <w:t>village</w:t>
      </w:r>
      <w:r>
        <w:rPr>
          <w:spacing w:val="-6"/>
        </w:rPr>
        <w:t xml:space="preserve"> </w:t>
      </w:r>
      <w:r>
        <w:t>cadres</w:t>
      </w:r>
      <w:r>
        <w:rPr>
          <w:spacing w:val="-9"/>
        </w:rPr>
        <w:t xml:space="preserve"> </w:t>
      </w:r>
      <w:r>
        <w:t>to</w:t>
      </w:r>
      <w:r>
        <w:rPr>
          <w:spacing w:val="-10"/>
        </w:rPr>
        <w:t xml:space="preserve"> </w:t>
      </w:r>
      <w:r>
        <w:t>operate</w:t>
      </w:r>
      <w:r>
        <w:rPr>
          <w:spacing w:val="-9"/>
        </w:rPr>
        <w:t xml:space="preserve"> </w:t>
      </w:r>
      <w:r>
        <w:t>laptops,</w:t>
      </w:r>
      <w:r>
        <w:rPr>
          <w:spacing w:val="-9"/>
        </w:rPr>
        <w:t xml:space="preserve"> </w:t>
      </w:r>
      <w:r>
        <w:t>lack</w:t>
      </w:r>
      <w:r>
        <w:rPr>
          <w:spacing w:val="-9"/>
        </w:rPr>
        <w:t xml:space="preserve"> </w:t>
      </w:r>
      <w:r>
        <w:t>of</w:t>
      </w:r>
      <w:r>
        <w:rPr>
          <w:spacing w:val="-9"/>
        </w:rPr>
        <w:t xml:space="preserve"> </w:t>
      </w:r>
      <w:r>
        <w:t>laptops</w:t>
      </w:r>
      <w:r>
        <w:rPr>
          <w:spacing w:val="-9"/>
        </w:rPr>
        <w:t xml:space="preserve"> </w:t>
      </w:r>
      <w:r>
        <w:t>for</w:t>
      </w:r>
      <w:r>
        <w:rPr>
          <w:spacing w:val="-9"/>
        </w:rPr>
        <w:t xml:space="preserve"> </w:t>
      </w:r>
      <w:r>
        <w:t>data entry, and poor internet signals in villages.</w:t>
      </w:r>
    </w:p>
    <w:p w14:paraId="537733AD" w14:textId="77777777" w:rsidR="00BC24A8" w:rsidRDefault="00000000">
      <w:pPr>
        <w:pStyle w:val="ListParagraph"/>
        <w:numPr>
          <w:ilvl w:val="1"/>
          <w:numId w:val="15"/>
        </w:numPr>
        <w:tabs>
          <w:tab w:val="left" w:pos="861"/>
          <w:tab w:val="left" w:pos="863"/>
        </w:tabs>
        <w:ind w:right="564" w:hanging="361"/>
        <w:rPr>
          <w:rFonts w:ascii="Symbol" w:hAnsi="Symbol"/>
        </w:rPr>
      </w:pPr>
      <w:r>
        <w:t>Bappeda</w:t>
      </w:r>
      <w:r>
        <w:rPr>
          <w:spacing w:val="-4"/>
        </w:rPr>
        <w:t xml:space="preserve"> </w:t>
      </w:r>
      <w:r>
        <w:t>remained</w:t>
      </w:r>
      <w:r>
        <w:rPr>
          <w:spacing w:val="-5"/>
        </w:rPr>
        <w:t xml:space="preserve"> </w:t>
      </w:r>
      <w:r>
        <w:t>focused</w:t>
      </w:r>
      <w:r>
        <w:rPr>
          <w:spacing w:val="-5"/>
        </w:rPr>
        <w:t xml:space="preserve"> </w:t>
      </w:r>
      <w:r>
        <w:t>on</w:t>
      </w:r>
      <w:r>
        <w:rPr>
          <w:spacing w:val="-5"/>
        </w:rPr>
        <w:t xml:space="preserve"> </w:t>
      </w:r>
      <w:r>
        <w:t>drafting</w:t>
      </w:r>
      <w:r>
        <w:rPr>
          <w:spacing w:val="-3"/>
        </w:rPr>
        <w:t xml:space="preserve"> </w:t>
      </w:r>
      <w:r>
        <w:t>planning</w:t>
      </w:r>
      <w:r>
        <w:rPr>
          <w:spacing w:val="-3"/>
        </w:rPr>
        <w:t xml:space="preserve"> </w:t>
      </w:r>
      <w:r>
        <w:t>documents</w:t>
      </w:r>
      <w:r>
        <w:rPr>
          <w:spacing w:val="-4"/>
        </w:rPr>
        <w:t xml:space="preserve"> </w:t>
      </w:r>
      <w:r>
        <w:t>(RPJMD,</w:t>
      </w:r>
      <w:r>
        <w:rPr>
          <w:spacing w:val="-4"/>
        </w:rPr>
        <w:t xml:space="preserve"> </w:t>
      </w:r>
      <w:r>
        <w:t>RKPD,</w:t>
      </w:r>
      <w:r>
        <w:rPr>
          <w:spacing w:val="-4"/>
        </w:rPr>
        <w:t xml:space="preserve"> </w:t>
      </w:r>
      <w:r>
        <w:t>RENJA),</w:t>
      </w:r>
      <w:r>
        <w:rPr>
          <w:spacing w:val="-2"/>
        </w:rPr>
        <w:t xml:space="preserve"> </w:t>
      </w:r>
      <w:r>
        <w:t>limiting</w:t>
      </w:r>
      <w:r>
        <w:rPr>
          <w:spacing w:val="-3"/>
        </w:rPr>
        <w:t xml:space="preserve"> </w:t>
      </w:r>
      <w:r>
        <w:t>its ability to support other activities.</w:t>
      </w:r>
    </w:p>
    <w:p w14:paraId="1F0656AE" w14:textId="77777777" w:rsidR="00BC24A8" w:rsidRDefault="00000000">
      <w:pPr>
        <w:pStyle w:val="ListParagraph"/>
        <w:numPr>
          <w:ilvl w:val="1"/>
          <w:numId w:val="15"/>
        </w:numPr>
        <w:tabs>
          <w:tab w:val="left" w:pos="862"/>
        </w:tabs>
        <w:spacing w:line="279" w:lineRule="exact"/>
        <w:ind w:left="862" w:hanging="359"/>
        <w:rPr>
          <w:rFonts w:ascii="Symbol" w:hAnsi="Symbol"/>
        </w:rPr>
      </w:pPr>
      <w:r>
        <w:t>Budget</w:t>
      </w:r>
      <w:r>
        <w:rPr>
          <w:spacing w:val="-10"/>
        </w:rPr>
        <w:t xml:space="preserve"> </w:t>
      </w:r>
      <w:r>
        <w:t>constraints</w:t>
      </w:r>
      <w:r>
        <w:rPr>
          <w:spacing w:val="-5"/>
        </w:rPr>
        <w:t xml:space="preserve"> </w:t>
      </w:r>
      <w:r>
        <w:t>restricted</w:t>
      </w:r>
      <w:r>
        <w:rPr>
          <w:spacing w:val="-4"/>
        </w:rPr>
        <w:t xml:space="preserve"> </w:t>
      </w:r>
      <w:r>
        <w:t>SIRIOS</w:t>
      </w:r>
      <w:r>
        <w:rPr>
          <w:spacing w:val="-5"/>
        </w:rPr>
        <w:t xml:space="preserve"> </w:t>
      </w:r>
      <w:r>
        <w:t>expansion,</w:t>
      </w:r>
      <w:r>
        <w:rPr>
          <w:spacing w:val="-6"/>
        </w:rPr>
        <w:t xml:space="preserve"> </w:t>
      </w:r>
      <w:r>
        <w:t>especially</w:t>
      </w:r>
      <w:r>
        <w:rPr>
          <w:spacing w:val="-4"/>
        </w:rPr>
        <w:t xml:space="preserve"> </w:t>
      </w:r>
      <w:r>
        <w:t>to</w:t>
      </w:r>
      <w:r>
        <w:rPr>
          <w:spacing w:val="-4"/>
        </w:rPr>
        <w:t xml:space="preserve"> </w:t>
      </w:r>
      <w:r>
        <w:t>other</w:t>
      </w:r>
      <w:r>
        <w:rPr>
          <w:spacing w:val="-6"/>
        </w:rPr>
        <w:t xml:space="preserve"> </w:t>
      </w:r>
      <w:r>
        <w:rPr>
          <w:spacing w:val="-2"/>
        </w:rPr>
        <w:t>districts.</w:t>
      </w:r>
    </w:p>
    <w:p w14:paraId="51381B17" w14:textId="77777777" w:rsidR="00BC24A8" w:rsidRDefault="00000000">
      <w:pPr>
        <w:pStyle w:val="ListParagraph"/>
        <w:numPr>
          <w:ilvl w:val="1"/>
          <w:numId w:val="15"/>
        </w:numPr>
        <w:tabs>
          <w:tab w:val="left" w:pos="864"/>
        </w:tabs>
        <w:ind w:left="864" w:right="563" w:hanging="361"/>
        <w:jc w:val="left"/>
        <w:rPr>
          <w:rFonts w:ascii="Symbol" w:hAnsi="Symbol"/>
        </w:rPr>
      </w:pPr>
      <w:r>
        <w:t>SKALA</w:t>
      </w:r>
      <w:r>
        <w:rPr>
          <w:spacing w:val="-5"/>
        </w:rPr>
        <w:t xml:space="preserve"> </w:t>
      </w:r>
      <w:r>
        <w:t>activities</w:t>
      </w:r>
      <w:r>
        <w:rPr>
          <w:spacing w:val="-7"/>
        </w:rPr>
        <w:t xml:space="preserve"> </w:t>
      </w:r>
      <w:r>
        <w:t>had</w:t>
      </w:r>
      <w:r>
        <w:rPr>
          <w:spacing w:val="-5"/>
        </w:rPr>
        <w:t xml:space="preserve"> </w:t>
      </w:r>
      <w:r>
        <w:t>to</w:t>
      </w:r>
      <w:r>
        <w:rPr>
          <w:spacing w:val="-5"/>
        </w:rPr>
        <w:t xml:space="preserve"> </w:t>
      </w:r>
      <w:r>
        <w:t>adjust</w:t>
      </w:r>
      <w:r>
        <w:rPr>
          <w:spacing w:val="-6"/>
        </w:rPr>
        <w:t xml:space="preserve"> </w:t>
      </w:r>
      <w:r>
        <w:t>schedules</w:t>
      </w:r>
      <w:r>
        <w:rPr>
          <w:spacing w:val="-4"/>
        </w:rPr>
        <w:t xml:space="preserve"> </w:t>
      </w:r>
      <w:r>
        <w:t>according</w:t>
      </w:r>
      <w:r>
        <w:rPr>
          <w:spacing w:val="-6"/>
        </w:rPr>
        <w:t xml:space="preserve"> </w:t>
      </w:r>
      <w:r>
        <w:t>to</w:t>
      </w:r>
      <w:r>
        <w:rPr>
          <w:spacing w:val="-5"/>
        </w:rPr>
        <w:t xml:space="preserve"> </w:t>
      </w:r>
      <w:r>
        <w:t>the</w:t>
      </w:r>
      <w:r>
        <w:rPr>
          <w:spacing w:val="-4"/>
        </w:rPr>
        <w:t xml:space="preserve"> </w:t>
      </w:r>
      <w:r>
        <w:t>local</w:t>
      </w:r>
      <w:r>
        <w:rPr>
          <w:spacing w:val="-6"/>
        </w:rPr>
        <w:t xml:space="preserve"> </w:t>
      </w:r>
      <w:r>
        <w:t>government’s</w:t>
      </w:r>
      <w:r>
        <w:rPr>
          <w:spacing w:val="-4"/>
        </w:rPr>
        <w:t xml:space="preserve"> </w:t>
      </w:r>
      <w:r>
        <w:t>workload,</w:t>
      </w:r>
      <w:r>
        <w:rPr>
          <w:spacing w:val="-4"/>
        </w:rPr>
        <w:t xml:space="preserve"> </w:t>
      </w:r>
      <w:r>
        <w:t>causing changes in planned activities.</w:t>
      </w:r>
    </w:p>
    <w:p w14:paraId="70741EF0" w14:textId="77777777" w:rsidR="00BC24A8" w:rsidRDefault="00000000">
      <w:pPr>
        <w:pStyle w:val="ListParagraph"/>
        <w:numPr>
          <w:ilvl w:val="1"/>
          <w:numId w:val="15"/>
        </w:numPr>
        <w:tabs>
          <w:tab w:val="left" w:pos="864"/>
        </w:tabs>
        <w:ind w:left="864" w:right="562" w:hanging="361"/>
        <w:jc w:val="left"/>
        <w:rPr>
          <w:rFonts w:ascii="Symbol" w:hAnsi="Symbol"/>
        </w:rPr>
      </w:pPr>
      <w:r>
        <w:t>Temporary suspension of program activities from Jan–Mar 2025 resulted in some outputs not being achieved.</w:t>
      </w:r>
    </w:p>
    <w:p w14:paraId="31D3D85F" w14:textId="77777777" w:rsidR="00BC24A8" w:rsidRDefault="00000000">
      <w:pPr>
        <w:pStyle w:val="ListParagraph"/>
        <w:numPr>
          <w:ilvl w:val="1"/>
          <w:numId w:val="15"/>
        </w:numPr>
        <w:tabs>
          <w:tab w:val="left" w:pos="864"/>
        </w:tabs>
        <w:spacing w:before="1"/>
        <w:ind w:left="864"/>
        <w:jc w:val="left"/>
        <w:rPr>
          <w:rFonts w:ascii="Symbol" w:hAnsi="Symbol"/>
        </w:rPr>
      </w:pPr>
      <w:r>
        <w:t>Limited</w:t>
      </w:r>
      <w:r>
        <w:rPr>
          <w:spacing w:val="-5"/>
        </w:rPr>
        <w:t xml:space="preserve"> </w:t>
      </w:r>
      <w:r>
        <w:t>SKALA</w:t>
      </w:r>
      <w:r>
        <w:rPr>
          <w:spacing w:val="-4"/>
        </w:rPr>
        <w:t xml:space="preserve"> </w:t>
      </w:r>
      <w:r>
        <w:t>staff</w:t>
      </w:r>
      <w:r>
        <w:rPr>
          <w:spacing w:val="-2"/>
        </w:rPr>
        <w:t xml:space="preserve"> </w:t>
      </w:r>
      <w:r>
        <w:t>at</w:t>
      </w:r>
      <w:r>
        <w:rPr>
          <w:spacing w:val="-3"/>
        </w:rPr>
        <w:t xml:space="preserve"> </w:t>
      </w:r>
      <w:r>
        <w:t>the</w:t>
      </w:r>
      <w:r>
        <w:rPr>
          <w:spacing w:val="-4"/>
        </w:rPr>
        <w:t xml:space="preserve"> </w:t>
      </w:r>
      <w:r>
        <w:t>regional</w:t>
      </w:r>
      <w:r>
        <w:rPr>
          <w:spacing w:val="-4"/>
        </w:rPr>
        <w:t xml:space="preserve"> </w:t>
      </w:r>
      <w:r>
        <w:t>level</w:t>
      </w:r>
      <w:r>
        <w:rPr>
          <w:spacing w:val="-4"/>
        </w:rPr>
        <w:t xml:space="preserve"> </w:t>
      </w:r>
      <w:r>
        <w:t>slowed</w:t>
      </w:r>
      <w:r>
        <w:rPr>
          <w:spacing w:val="-5"/>
        </w:rPr>
        <w:t xml:space="preserve"> </w:t>
      </w:r>
      <w:r>
        <w:t>target</w:t>
      </w:r>
      <w:r>
        <w:rPr>
          <w:spacing w:val="-7"/>
        </w:rPr>
        <w:t xml:space="preserve"> </w:t>
      </w:r>
      <w:r>
        <w:rPr>
          <w:spacing w:val="-2"/>
        </w:rPr>
        <w:t>achievement.</w:t>
      </w:r>
    </w:p>
    <w:p w14:paraId="27207FAB" w14:textId="77777777" w:rsidR="00BC24A8" w:rsidRDefault="00BC24A8">
      <w:pPr>
        <w:pStyle w:val="BodyText"/>
        <w:spacing w:before="101"/>
      </w:pPr>
    </w:p>
    <w:p w14:paraId="24CE7DB8" w14:textId="77777777" w:rsidR="00BC24A8" w:rsidRDefault="00000000">
      <w:pPr>
        <w:pStyle w:val="Heading5"/>
      </w:pPr>
      <w:r>
        <w:rPr>
          <w:spacing w:val="-2"/>
        </w:rPr>
        <w:t>Solutions</w:t>
      </w:r>
    </w:p>
    <w:p w14:paraId="20B9B0F8" w14:textId="77777777" w:rsidR="00BC24A8" w:rsidRDefault="00000000">
      <w:pPr>
        <w:pStyle w:val="ListParagraph"/>
        <w:numPr>
          <w:ilvl w:val="1"/>
          <w:numId w:val="15"/>
        </w:numPr>
        <w:tabs>
          <w:tab w:val="left" w:pos="863"/>
        </w:tabs>
        <w:spacing w:before="159"/>
        <w:ind w:right="562" w:hanging="361"/>
        <w:jc w:val="left"/>
        <w:rPr>
          <w:rFonts w:ascii="Symbol" w:hAnsi="Symbol"/>
        </w:rPr>
      </w:pPr>
      <w:r>
        <w:t>Advocacy</w:t>
      </w:r>
      <w:r>
        <w:rPr>
          <w:spacing w:val="40"/>
        </w:rPr>
        <w:t xml:space="preserve"> </w:t>
      </w:r>
      <w:r>
        <w:t>and</w:t>
      </w:r>
      <w:r>
        <w:rPr>
          <w:spacing w:val="40"/>
        </w:rPr>
        <w:t xml:space="preserve"> </w:t>
      </w:r>
      <w:r>
        <w:t>sharing</w:t>
      </w:r>
      <w:r>
        <w:rPr>
          <w:spacing w:val="39"/>
        </w:rPr>
        <w:t xml:space="preserve"> </w:t>
      </w:r>
      <w:r>
        <w:t>of</w:t>
      </w:r>
      <w:r>
        <w:rPr>
          <w:spacing w:val="40"/>
        </w:rPr>
        <w:t xml:space="preserve"> </w:t>
      </w:r>
      <w:r>
        <w:t>good</w:t>
      </w:r>
      <w:r>
        <w:rPr>
          <w:spacing w:val="40"/>
        </w:rPr>
        <w:t xml:space="preserve"> </w:t>
      </w:r>
      <w:r>
        <w:t>practices</w:t>
      </w:r>
      <w:r>
        <w:rPr>
          <w:spacing w:val="40"/>
        </w:rPr>
        <w:t xml:space="preserve"> </w:t>
      </w:r>
      <w:r>
        <w:t>related</w:t>
      </w:r>
      <w:r>
        <w:rPr>
          <w:spacing w:val="40"/>
        </w:rPr>
        <w:t xml:space="preserve"> </w:t>
      </w:r>
      <w:r>
        <w:t>to</w:t>
      </w:r>
      <w:r>
        <w:rPr>
          <w:spacing w:val="37"/>
        </w:rPr>
        <w:t xml:space="preserve"> </w:t>
      </w:r>
      <w:r>
        <w:t>SAIK+</w:t>
      </w:r>
      <w:r>
        <w:rPr>
          <w:spacing w:val="40"/>
        </w:rPr>
        <w:t xml:space="preserve"> </w:t>
      </w:r>
      <w:r>
        <w:t>have</w:t>
      </w:r>
      <w:r>
        <w:rPr>
          <w:spacing w:val="40"/>
        </w:rPr>
        <w:t xml:space="preserve"> </w:t>
      </w:r>
      <w:r>
        <w:t>been</w:t>
      </w:r>
      <w:r>
        <w:rPr>
          <w:spacing w:val="40"/>
        </w:rPr>
        <w:t xml:space="preserve"> </w:t>
      </w:r>
      <w:r>
        <w:t>conducted</w:t>
      </w:r>
      <w:r>
        <w:rPr>
          <w:spacing w:val="40"/>
        </w:rPr>
        <w:t xml:space="preserve"> </w:t>
      </w:r>
      <w:r>
        <w:t>in</w:t>
      </w:r>
      <w:r>
        <w:rPr>
          <w:spacing w:val="40"/>
        </w:rPr>
        <w:t xml:space="preserve"> </w:t>
      </w:r>
      <w:r>
        <w:t>several districts in Papua Selatan to support the expansion of SIRIOS.</w:t>
      </w:r>
    </w:p>
    <w:p w14:paraId="0EC6EB9E" w14:textId="77777777" w:rsidR="00BC24A8" w:rsidRDefault="00000000">
      <w:pPr>
        <w:pStyle w:val="ListParagraph"/>
        <w:numPr>
          <w:ilvl w:val="1"/>
          <w:numId w:val="15"/>
        </w:numPr>
        <w:tabs>
          <w:tab w:val="left" w:pos="863"/>
        </w:tabs>
        <w:spacing w:before="1"/>
        <w:ind w:right="563" w:hanging="361"/>
        <w:jc w:val="left"/>
        <w:rPr>
          <w:rFonts w:ascii="Symbol" w:hAnsi="Symbol"/>
        </w:rPr>
      </w:pPr>
      <w:r>
        <w:t>Mitigation</w:t>
      </w:r>
      <w:r>
        <w:rPr>
          <w:spacing w:val="34"/>
        </w:rPr>
        <w:t xml:space="preserve"> </w:t>
      </w:r>
      <w:r>
        <w:t>plans</w:t>
      </w:r>
      <w:r>
        <w:rPr>
          <w:spacing w:val="34"/>
        </w:rPr>
        <w:t xml:space="preserve"> </w:t>
      </w:r>
      <w:r>
        <w:t>have</w:t>
      </w:r>
      <w:r>
        <w:rPr>
          <w:spacing w:val="35"/>
        </w:rPr>
        <w:t xml:space="preserve"> </w:t>
      </w:r>
      <w:r>
        <w:t>been</w:t>
      </w:r>
      <w:r>
        <w:rPr>
          <w:spacing w:val="34"/>
        </w:rPr>
        <w:t xml:space="preserve"> </w:t>
      </w:r>
      <w:r>
        <w:t>prepared</w:t>
      </w:r>
      <w:r>
        <w:rPr>
          <w:spacing w:val="32"/>
        </w:rPr>
        <w:t xml:space="preserve"> </w:t>
      </w:r>
      <w:r>
        <w:t>by</w:t>
      </w:r>
      <w:r>
        <w:rPr>
          <w:spacing w:val="34"/>
        </w:rPr>
        <w:t xml:space="preserve"> </w:t>
      </w:r>
      <w:r>
        <w:t>SKALA,</w:t>
      </w:r>
      <w:r>
        <w:rPr>
          <w:spacing w:val="35"/>
        </w:rPr>
        <w:t xml:space="preserve"> </w:t>
      </w:r>
      <w:r>
        <w:t>including</w:t>
      </w:r>
      <w:r>
        <w:rPr>
          <w:spacing w:val="33"/>
        </w:rPr>
        <w:t xml:space="preserve"> </w:t>
      </w:r>
      <w:r>
        <w:t>adding</w:t>
      </w:r>
      <w:r>
        <w:rPr>
          <w:spacing w:val="31"/>
        </w:rPr>
        <w:t xml:space="preserve"> </w:t>
      </w:r>
      <w:r>
        <w:t>staff</w:t>
      </w:r>
      <w:r>
        <w:rPr>
          <w:spacing w:val="35"/>
        </w:rPr>
        <w:t xml:space="preserve"> </w:t>
      </w:r>
      <w:r>
        <w:t>to</w:t>
      </w:r>
      <w:r>
        <w:rPr>
          <w:spacing w:val="33"/>
        </w:rPr>
        <w:t xml:space="preserve"> </w:t>
      </w:r>
      <w:r>
        <w:t>support</w:t>
      </w:r>
      <w:r>
        <w:rPr>
          <w:spacing w:val="33"/>
        </w:rPr>
        <w:t xml:space="preserve"> </w:t>
      </w:r>
      <w:r>
        <w:t>program implementation and administration.</w:t>
      </w:r>
    </w:p>
    <w:p w14:paraId="0049D7DB" w14:textId="77777777" w:rsidR="00BC24A8" w:rsidRDefault="00000000">
      <w:pPr>
        <w:pStyle w:val="ListParagraph"/>
        <w:numPr>
          <w:ilvl w:val="1"/>
          <w:numId w:val="15"/>
        </w:numPr>
        <w:tabs>
          <w:tab w:val="left" w:pos="863"/>
        </w:tabs>
        <w:spacing w:before="1"/>
        <w:jc w:val="left"/>
        <w:rPr>
          <w:rFonts w:ascii="Symbol" w:hAnsi="Symbol"/>
        </w:rPr>
      </w:pPr>
      <w:r>
        <w:rPr>
          <w:spacing w:val="-2"/>
        </w:rPr>
        <w:t>The central and</w:t>
      </w:r>
      <w:r>
        <w:rPr>
          <w:spacing w:val="-1"/>
        </w:rPr>
        <w:t xml:space="preserve"> </w:t>
      </w:r>
      <w:r>
        <w:rPr>
          <w:spacing w:val="-2"/>
        </w:rPr>
        <w:t>local</w:t>
      </w:r>
      <w:r>
        <w:rPr>
          <w:spacing w:val="-5"/>
        </w:rPr>
        <w:t xml:space="preserve"> </w:t>
      </w:r>
      <w:r>
        <w:rPr>
          <w:spacing w:val="-2"/>
        </w:rPr>
        <w:t>governments</w:t>
      </w:r>
      <w:r>
        <w:rPr>
          <w:spacing w:val="-3"/>
        </w:rPr>
        <w:t xml:space="preserve"> </w:t>
      </w:r>
      <w:r>
        <w:rPr>
          <w:spacing w:val="-2"/>
        </w:rPr>
        <w:t>coordinated</w:t>
      </w:r>
      <w:r>
        <w:rPr>
          <w:spacing w:val="-3"/>
        </w:rPr>
        <w:t xml:space="preserve"> </w:t>
      </w:r>
      <w:r>
        <w:rPr>
          <w:spacing w:val="-2"/>
        </w:rPr>
        <w:t>to</w:t>
      </w:r>
      <w:r>
        <w:rPr>
          <w:spacing w:val="-5"/>
        </w:rPr>
        <w:t xml:space="preserve"> </w:t>
      </w:r>
      <w:r>
        <w:rPr>
          <w:spacing w:val="-2"/>
        </w:rPr>
        <w:t>find</w:t>
      </w:r>
      <w:r>
        <w:rPr>
          <w:spacing w:val="-3"/>
        </w:rPr>
        <w:t xml:space="preserve"> </w:t>
      </w:r>
      <w:r>
        <w:rPr>
          <w:spacing w:val="-2"/>
        </w:rPr>
        <w:t>solutions</w:t>
      </w:r>
      <w:r>
        <w:rPr>
          <w:spacing w:val="-3"/>
        </w:rPr>
        <w:t xml:space="preserve"> </w:t>
      </w:r>
      <w:r>
        <w:rPr>
          <w:spacing w:val="-2"/>
        </w:rPr>
        <w:t>for</w:t>
      </w:r>
      <w:r>
        <w:t xml:space="preserve"> </w:t>
      </w:r>
      <w:r>
        <w:rPr>
          <w:spacing w:val="-2"/>
        </w:rPr>
        <w:t>implementing</w:t>
      </w:r>
      <w:r>
        <w:rPr>
          <w:spacing w:val="-8"/>
        </w:rPr>
        <w:t xml:space="preserve"> </w:t>
      </w:r>
      <w:r>
        <w:rPr>
          <w:spacing w:val="-2"/>
        </w:rPr>
        <w:t>PP</w:t>
      </w:r>
      <w:r>
        <w:rPr>
          <w:spacing w:val="-3"/>
        </w:rPr>
        <w:t xml:space="preserve"> </w:t>
      </w:r>
      <w:r>
        <w:rPr>
          <w:spacing w:val="-2"/>
        </w:rPr>
        <w:t>106/2021.</w:t>
      </w:r>
    </w:p>
    <w:p w14:paraId="2BEA9CAA" w14:textId="77777777" w:rsidR="00BC24A8" w:rsidRDefault="00000000">
      <w:pPr>
        <w:pStyle w:val="ListParagraph"/>
        <w:numPr>
          <w:ilvl w:val="1"/>
          <w:numId w:val="15"/>
        </w:numPr>
        <w:tabs>
          <w:tab w:val="left" w:pos="863"/>
        </w:tabs>
        <w:jc w:val="left"/>
        <w:rPr>
          <w:rFonts w:ascii="Symbol" w:hAnsi="Symbol"/>
        </w:rPr>
      </w:pPr>
      <w:r>
        <w:t>Schedules</w:t>
      </w:r>
      <w:r>
        <w:rPr>
          <w:spacing w:val="-7"/>
        </w:rPr>
        <w:t xml:space="preserve"> </w:t>
      </w:r>
      <w:r>
        <w:t>must</w:t>
      </w:r>
      <w:r>
        <w:rPr>
          <w:spacing w:val="-6"/>
        </w:rPr>
        <w:t xml:space="preserve"> </w:t>
      </w:r>
      <w:r>
        <w:t>be</w:t>
      </w:r>
      <w:r>
        <w:rPr>
          <w:spacing w:val="-5"/>
        </w:rPr>
        <w:t xml:space="preserve"> </w:t>
      </w:r>
      <w:r>
        <w:t>adjusted</w:t>
      </w:r>
      <w:r>
        <w:rPr>
          <w:spacing w:val="-2"/>
        </w:rPr>
        <w:t xml:space="preserve"> </w:t>
      </w:r>
      <w:r>
        <w:t>well</w:t>
      </w:r>
      <w:r>
        <w:rPr>
          <w:spacing w:val="-5"/>
        </w:rPr>
        <w:t xml:space="preserve"> </w:t>
      </w:r>
      <w:r>
        <w:t>in</w:t>
      </w:r>
      <w:r>
        <w:rPr>
          <w:spacing w:val="-5"/>
        </w:rPr>
        <w:t xml:space="preserve"> </w:t>
      </w:r>
      <w:r>
        <w:t>advance</w:t>
      </w:r>
      <w:r>
        <w:rPr>
          <w:spacing w:val="-5"/>
        </w:rPr>
        <w:t xml:space="preserve"> </w:t>
      </w:r>
      <w:r>
        <w:t>to</w:t>
      </w:r>
      <w:r>
        <w:rPr>
          <w:spacing w:val="-3"/>
        </w:rPr>
        <w:t xml:space="preserve"> </w:t>
      </w:r>
      <w:r>
        <w:t>avoid</w:t>
      </w:r>
      <w:r>
        <w:rPr>
          <w:spacing w:val="-3"/>
        </w:rPr>
        <w:t xml:space="preserve"> </w:t>
      </w:r>
      <w:r>
        <w:t>conflicts</w:t>
      </w:r>
      <w:r>
        <w:rPr>
          <w:spacing w:val="-3"/>
        </w:rPr>
        <w:t xml:space="preserve"> </w:t>
      </w:r>
      <w:r>
        <w:t>with</w:t>
      </w:r>
      <w:r>
        <w:rPr>
          <w:spacing w:val="-5"/>
        </w:rPr>
        <w:t xml:space="preserve"> </w:t>
      </w:r>
      <w:r>
        <w:t>government</w:t>
      </w:r>
      <w:r>
        <w:rPr>
          <w:spacing w:val="-3"/>
        </w:rPr>
        <w:t xml:space="preserve"> </w:t>
      </w:r>
      <w:r>
        <w:rPr>
          <w:spacing w:val="-2"/>
        </w:rPr>
        <w:t>activities.</w:t>
      </w:r>
    </w:p>
    <w:p w14:paraId="6288F0C3" w14:textId="77777777" w:rsidR="00BC24A8" w:rsidRDefault="00BC24A8">
      <w:pPr>
        <w:pStyle w:val="BodyText"/>
        <w:spacing w:before="262"/>
      </w:pPr>
    </w:p>
    <w:p w14:paraId="3A894A3F" w14:textId="77777777" w:rsidR="00BC24A8" w:rsidRDefault="00000000">
      <w:pPr>
        <w:pStyle w:val="Heading5"/>
      </w:pPr>
      <w:r>
        <w:rPr>
          <w:color w:val="17365A"/>
        </w:rPr>
        <w:t>Lessons</w:t>
      </w:r>
      <w:r>
        <w:rPr>
          <w:color w:val="17365A"/>
          <w:spacing w:val="-6"/>
        </w:rPr>
        <w:t xml:space="preserve"> </w:t>
      </w:r>
      <w:r>
        <w:rPr>
          <w:color w:val="17365A"/>
          <w:spacing w:val="-2"/>
        </w:rPr>
        <w:t>learned</w:t>
      </w:r>
    </w:p>
    <w:p w14:paraId="3FF231D2" w14:textId="77777777" w:rsidR="00BC24A8" w:rsidRDefault="00BC24A8">
      <w:pPr>
        <w:pStyle w:val="BodyText"/>
        <w:spacing w:before="8"/>
        <w:rPr>
          <w:rFonts w:ascii="Calibri"/>
          <w:b/>
          <w:sz w:val="12"/>
        </w:rPr>
      </w:pPr>
    </w:p>
    <w:tbl>
      <w:tblPr>
        <w:tblW w:w="0" w:type="auto"/>
        <w:tblInd w:w="141" w:type="dxa"/>
        <w:tblLayout w:type="fixed"/>
        <w:tblCellMar>
          <w:left w:w="0" w:type="dxa"/>
          <w:right w:w="0" w:type="dxa"/>
        </w:tblCellMar>
        <w:tblLook w:val="01E0" w:firstRow="1" w:lastRow="1" w:firstColumn="1" w:lastColumn="1" w:noHBand="0" w:noVBand="0"/>
      </w:tblPr>
      <w:tblGrid>
        <w:gridCol w:w="2066"/>
        <w:gridCol w:w="7035"/>
      </w:tblGrid>
      <w:tr w:rsidR="00BC24A8" w14:paraId="3E6CB906" w14:textId="77777777">
        <w:trPr>
          <w:trHeight w:val="420"/>
        </w:trPr>
        <w:tc>
          <w:tcPr>
            <w:tcW w:w="2066" w:type="dxa"/>
            <w:shd w:val="clear" w:color="auto" w:fill="17365A"/>
          </w:tcPr>
          <w:p w14:paraId="496E2473" w14:textId="77777777" w:rsidR="00BC24A8" w:rsidRDefault="00000000">
            <w:pPr>
              <w:pStyle w:val="TableParagraph"/>
              <w:spacing w:before="90"/>
              <w:ind w:left="116"/>
              <w:rPr>
                <w:rFonts w:ascii="Calibri"/>
                <w:b/>
                <w:sz w:val="20"/>
              </w:rPr>
            </w:pPr>
            <w:r>
              <w:rPr>
                <w:rFonts w:ascii="Calibri"/>
                <w:b/>
                <w:color w:val="FFFFFF"/>
                <w:sz w:val="20"/>
              </w:rPr>
              <w:t>Lesson</w:t>
            </w:r>
            <w:r>
              <w:rPr>
                <w:rFonts w:ascii="Calibri"/>
                <w:b/>
                <w:color w:val="FFFFFF"/>
                <w:spacing w:val="-6"/>
                <w:sz w:val="20"/>
              </w:rPr>
              <w:t xml:space="preserve"> </w:t>
            </w:r>
            <w:r>
              <w:rPr>
                <w:rFonts w:ascii="Calibri"/>
                <w:b/>
                <w:color w:val="FFFFFF"/>
                <w:sz w:val="20"/>
              </w:rPr>
              <w:t>learned</w:t>
            </w:r>
            <w:r>
              <w:rPr>
                <w:rFonts w:ascii="Calibri"/>
                <w:b/>
                <w:color w:val="FFFFFF"/>
                <w:spacing w:val="-6"/>
                <w:sz w:val="20"/>
              </w:rPr>
              <w:t xml:space="preserve"> </w:t>
            </w:r>
            <w:r>
              <w:rPr>
                <w:rFonts w:ascii="Calibri"/>
                <w:b/>
                <w:color w:val="FFFFFF"/>
                <w:spacing w:val="-4"/>
                <w:sz w:val="20"/>
              </w:rPr>
              <w:t>theme</w:t>
            </w:r>
          </w:p>
        </w:tc>
        <w:tc>
          <w:tcPr>
            <w:tcW w:w="7035" w:type="dxa"/>
            <w:shd w:val="clear" w:color="auto" w:fill="17365A"/>
          </w:tcPr>
          <w:p w14:paraId="21791D7B" w14:textId="77777777" w:rsidR="00BC24A8" w:rsidRDefault="00000000">
            <w:pPr>
              <w:pStyle w:val="TableParagraph"/>
              <w:spacing w:before="90"/>
              <w:ind w:left="119"/>
              <w:rPr>
                <w:rFonts w:ascii="Calibri"/>
                <w:b/>
                <w:sz w:val="20"/>
              </w:rPr>
            </w:pPr>
            <w:r>
              <w:rPr>
                <w:rFonts w:ascii="Calibri"/>
                <w:b/>
                <w:color w:val="FFFFFF"/>
                <w:sz w:val="20"/>
              </w:rPr>
              <w:t>Lessons</w:t>
            </w:r>
            <w:r>
              <w:rPr>
                <w:rFonts w:ascii="Calibri"/>
                <w:b/>
                <w:color w:val="FFFFFF"/>
                <w:spacing w:val="-7"/>
                <w:sz w:val="20"/>
              </w:rPr>
              <w:t xml:space="preserve"> </w:t>
            </w:r>
            <w:r>
              <w:rPr>
                <w:rFonts w:ascii="Calibri"/>
                <w:b/>
                <w:color w:val="FFFFFF"/>
                <w:sz w:val="20"/>
              </w:rPr>
              <w:t>learned</w:t>
            </w:r>
            <w:r>
              <w:rPr>
                <w:rFonts w:ascii="Calibri"/>
                <w:b/>
                <w:color w:val="FFFFFF"/>
                <w:spacing w:val="-6"/>
                <w:sz w:val="20"/>
              </w:rPr>
              <w:t xml:space="preserve"> </w:t>
            </w:r>
            <w:r>
              <w:rPr>
                <w:rFonts w:ascii="Calibri"/>
                <w:b/>
                <w:color w:val="FFFFFF"/>
                <w:spacing w:val="-2"/>
                <w:sz w:val="20"/>
              </w:rPr>
              <w:t>descriptions</w:t>
            </w:r>
          </w:p>
        </w:tc>
      </w:tr>
      <w:tr w:rsidR="00BC24A8" w14:paraId="62F9B36F" w14:textId="77777777">
        <w:trPr>
          <w:trHeight w:val="1696"/>
        </w:trPr>
        <w:tc>
          <w:tcPr>
            <w:tcW w:w="2066" w:type="dxa"/>
            <w:tcBorders>
              <w:bottom w:val="single" w:sz="4" w:space="0" w:color="BEBEBE"/>
            </w:tcBorders>
          </w:tcPr>
          <w:p w14:paraId="6C02DDA4" w14:textId="77777777" w:rsidR="00BC24A8" w:rsidRDefault="00000000">
            <w:pPr>
              <w:pStyle w:val="TableParagraph"/>
              <w:spacing w:before="102"/>
              <w:ind w:left="116" w:right="76"/>
              <w:rPr>
                <w:sz w:val="18"/>
              </w:rPr>
            </w:pPr>
            <w:r>
              <w:rPr>
                <w:sz w:val="18"/>
              </w:rPr>
              <w:t>Data</w:t>
            </w:r>
            <w:r>
              <w:rPr>
                <w:spacing w:val="-11"/>
                <w:sz w:val="18"/>
              </w:rPr>
              <w:t xml:space="preserve"> </w:t>
            </w:r>
            <w:r>
              <w:rPr>
                <w:sz w:val="18"/>
              </w:rPr>
              <w:t>Provision</w:t>
            </w:r>
            <w:r>
              <w:rPr>
                <w:spacing w:val="-10"/>
                <w:sz w:val="18"/>
              </w:rPr>
              <w:t xml:space="preserve"> </w:t>
            </w:r>
            <w:r>
              <w:rPr>
                <w:sz w:val="18"/>
              </w:rPr>
              <w:t xml:space="preserve">&amp; </w:t>
            </w:r>
            <w:r>
              <w:rPr>
                <w:spacing w:val="-2"/>
                <w:sz w:val="18"/>
              </w:rPr>
              <w:t>Utilisation</w:t>
            </w:r>
          </w:p>
        </w:tc>
        <w:tc>
          <w:tcPr>
            <w:tcW w:w="7035" w:type="dxa"/>
            <w:tcBorders>
              <w:bottom w:val="single" w:sz="4" w:space="0" w:color="BEBEBE"/>
            </w:tcBorders>
          </w:tcPr>
          <w:p w14:paraId="44FDBAD7" w14:textId="77777777" w:rsidR="00BC24A8" w:rsidRDefault="00000000">
            <w:pPr>
              <w:pStyle w:val="TableParagraph"/>
              <w:spacing w:before="102"/>
              <w:ind w:left="119" w:right="356"/>
              <w:jc w:val="both"/>
              <w:rPr>
                <w:sz w:val="18"/>
              </w:rPr>
            </w:pPr>
            <w:r>
              <w:rPr>
                <w:sz w:val="18"/>
              </w:rPr>
              <w:t>The expansion of</w:t>
            </w:r>
            <w:r>
              <w:rPr>
                <w:spacing w:val="-1"/>
                <w:sz w:val="18"/>
              </w:rPr>
              <w:t xml:space="preserve"> </w:t>
            </w:r>
            <w:r>
              <w:rPr>
                <w:sz w:val="18"/>
              </w:rPr>
              <w:t>SID/SIRIOS in Merauke District succeeded due</w:t>
            </w:r>
            <w:r>
              <w:rPr>
                <w:spacing w:val="-3"/>
                <w:sz w:val="18"/>
              </w:rPr>
              <w:t xml:space="preserve"> </w:t>
            </w:r>
            <w:r>
              <w:rPr>
                <w:sz w:val="18"/>
              </w:rPr>
              <w:t>to</w:t>
            </w:r>
            <w:r>
              <w:rPr>
                <w:spacing w:val="-3"/>
                <w:sz w:val="18"/>
              </w:rPr>
              <w:t xml:space="preserve"> </w:t>
            </w:r>
            <w:r>
              <w:rPr>
                <w:sz w:val="18"/>
              </w:rPr>
              <w:t>direct support from</w:t>
            </w:r>
            <w:r>
              <w:rPr>
                <w:spacing w:val="-1"/>
                <w:sz w:val="18"/>
              </w:rPr>
              <w:t xml:space="preserve"> </w:t>
            </w:r>
            <w:r>
              <w:rPr>
                <w:sz w:val="18"/>
              </w:rPr>
              <w:t>the regional head, ensuring smooth implementation from upstream to downstream. Effective advocacy</w:t>
            </w:r>
            <w:r>
              <w:rPr>
                <w:spacing w:val="-3"/>
                <w:sz w:val="18"/>
              </w:rPr>
              <w:t xml:space="preserve"> </w:t>
            </w:r>
            <w:r>
              <w:rPr>
                <w:sz w:val="18"/>
              </w:rPr>
              <w:t>built</w:t>
            </w:r>
            <w:r>
              <w:rPr>
                <w:spacing w:val="-2"/>
                <w:sz w:val="18"/>
              </w:rPr>
              <w:t xml:space="preserve"> </w:t>
            </w:r>
            <w:r>
              <w:rPr>
                <w:sz w:val="18"/>
              </w:rPr>
              <w:t>a</w:t>
            </w:r>
            <w:r>
              <w:rPr>
                <w:spacing w:val="-3"/>
                <w:sz w:val="18"/>
              </w:rPr>
              <w:t xml:space="preserve"> </w:t>
            </w:r>
            <w:r>
              <w:rPr>
                <w:sz w:val="18"/>
              </w:rPr>
              <w:t>strong</w:t>
            </w:r>
            <w:r>
              <w:rPr>
                <w:spacing w:val="-3"/>
                <w:sz w:val="18"/>
              </w:rPr>
              <w:t xml:space="preserve"> </w:t>
            </w:r>
            <w:r>
              <w:rPr>
                <w:sz w:val="18"/>
              </w:rPr>
              <w:t>understanding</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importance</w:t>
            </w:r>
            <w:r>
              <w:rPr>
                <w:spacing w:val="-3"/>
                <w:sz w:val="18"/>
              </w:rPr>
              <w:t xml:space="preserve"> </w:t>
            </w:r>
            <w:r>
              <w:rPr>
                <w:sz w:val="18"/>
              </w:rPr>
              <w:t>of</w:t>
            </w:r>
            <w:r>
              <w:rPr>
                <w:spacing w:val="-3"/>
                <w:sz w:val="18"/>
              </w:rPr>
              <w:t xml:space="preserve"> </w:t>
            </w:r>
            <w:r>
              <w:rPr>
                <w:sz w:val="18"/>
              </w:rPr>
              <w:t>data,</w:t>
            </w:r>
            <w:r>
              <w:rPr>
                <w:spacing w:val="-3"/>
                <w:sz w:val="18"/>
              </w:rPr>
              <w:t xml:space="preserve"> </w:t>
            </w:r>
            <w:r>
              <w:rPr>
                <w:sz w:val="18"/>
              </w:rPr>
              <w:t>resulting</w:t>
            </w:r>
            <w:r>
              <w:rPr>
                <w:spacing w:val="-5"/>
                <w:sz w:val="18"/>
              </w:rPr>
              <w:t xml:space="preserve"> </w:t>
            </w:r>
            <w:r>
              <w:rPr>
                <w:sz w:val="18"/>
              </w:rPr>
              <w:t>in</w:t>
            </w:r>
            <w:r>
              <w:rPr>
                <w:spacing w:val="-3"/>
                <w:sz w:val="18"/>
              </w:rPr>
              <w:t xml:space="preserve"> </w:t>
            </w:r>
            <w:r>
              <w:rPr>
                <w:sz w:val="18"/>
              </w:rPr>
              <w:t>an</w:t>
            </w:r>
            <w:r>
              <w:rPr>
                <w:spacing w:val="-3"/>
                <w:sz w:val="18"/>
              </w:rPr>
              <w:t xml:space="preserve"> </w:t>
            </w:r>
            <w:r>
              <w:rPr>
                <w:sz w:val="18"/>
              </w:rPr>
              <w:t>integrated system and more accurate data for evidence-based planning.</w:t>
            </w:r>
          </w:p>
          <w:p w14:paraId="54F59110" w14:textId="77777777" w:rsidR="00BC24A8" w:rsidRDefault="00BC24A8">
            <w:pPr>
              <w:pStyle w:val="TableParagraph"/>
              <w:rPr>
                <w:rFonts w:ascii="Calibri"/>
                <w:b/>
                <w:sz w:val="18"/>
              </w:rPr>
            </w:pPr>
          </w:p>
          <w:p w14:paraId="6BCAED2C" w14:textId="77777777" w:rsidR="00BC24A8" w:rsidRDefault="00000000">
            <w:pPr>
              <w:pStyle w:val="TableParagraph"/>
              <w:ind w:left="119" w:right="331"/>
              <w:jc w:val="both"/>
              <w:rPr>
                <w:sz w:val="18"/>
              </w:rPr>
            </w:pPr>
            <w:r>
              <w:rPr>
                <w:sz w:val="18"/>
              </w:rPr>
              <w:t>The key lesson is that replication requires full support from the regional head, technical capacity</w:t>
            </w:r>
            <w:r>
              <w:rPr>
                <w:spacing w:val="-4"/>
                <w:sz w:val="18"/>
              </w:rPr>
              <w:t xml:space="preserve"> </w:t>
            </w:r>
            <w:r>
              <w:rPr>
                <w:sz w:val="18"/>
              </w:rPr>
              <w:t>of</w:t>
            </w:r>
            <w:r>
              <w:rPr>
                <w:spacing w:val="-3"/>
                <w:sz w:val="18"/>
              </w:rPr>
              <w:t xml:space="preserve"> </w:t>
            </w:r>
            <w:r>
              <w:rPr>
                <w:sz w:val="18"/>
              </w:rPr>
              <w:t>data</w:t>
            </w:r>
            <w:r>
              <w:rPr>
                <w:spacing w:val="-3"/>
                <w:sz w:val="18"/>
              </w:rPr>
              <w:t xml:space="preserve"> </w:t>
            </w:r>
            <w:r>
              <w:rPr>
                <w:sz w:val="18"/>
              </w:rPr>
              <w:t>managers,</w:t>
            </w:r>
            <w:r>
              <w:rPr>
                <w:spacing w:val="-3"/>
                <w:sz w:val="18"/>
              </w:rPr>
              <w:t xml:space="preserve"> </w:t>
            </w:r>
            <w:r>
              <w:rPr>
                <w:sz w:val="18"/>
              </w:rPr>
              <w:t>cross-provincial</w:t>
            </w:r>
            <w:r>
              <w:rPr>
                <w:spacing w:val="-1"/>
                <w:sz w:val="18"/>
              </w:rPr>
              <w:t xml:space="preserve"> </w:t>
            </w:r>
            <w:r>
              <w:rPr>
                <w:sz w:val="18"/>
              </w:rPr>
              <w:t>agency</w:t>
            </w:r>
            <w:r>
              <w:rPr>
                <w:spacing w:val="-2"/>
                <w:sz w:val="18"/>
              </w:rPr>
              <w:t xml:space="preserve"> </w:t>
            </w:r>
            <w:r>
              <w:rPr>
                <w:sz w:val="18"/>
              </w:rPr>
              <w:t>coordination,</w:t>
            </w:r>
            <w:r>
              <w:rPr>
                <w:spacing w:val="-3"/>
                <w:sz w:val="18"/>
              </w:rPr>
              <w:t xml:space="preserve"> </w:t>
            </w:r>
            <w:r>
              <w:rPr>
                <w:sz w:val="18"/>
              </w:rPr>
              <w:t>and</w:t>
            </w:r>
            <w:r>
              <w:rPr>
                <w:spacing w:val="-2"/>
                <w:sz w:val="18"/>
              </w:rPr>
              <w:t xml:space="preserve"> </w:t>
            </w:r>
            <w:r>
              <w:rPr>
                <w:sz w:val="18"/>
              </w:rPr>
              <w:t>continuous</w:t>
            </w:r>
            <w:r>
              <w:rPr>
                <w:spacing w:val="-1"/>
                <w:sz w:val="18"/>
              </w:rPr>
              <w:t xml:space="preserve"> </w:t>
            </w:r>
            <w:r>
              <w:rPr>
                <w:spacing w:val="-2"/>
                <w:sz w:val="18"/>
              </w:rPr>
              <w:t>advocacy.</w:t>
            </w:r>
          </w:p>
        </w:tc>
      </w:tr>
    </w:tbl>
    <w:p w14:paraId="20658C4F" w14:textId="77777777" w:rsidR="00BC24A8" w:rsidRDefault="00BC24A8">
      <w:pPr>
        <w:pStyle w:val="TableParagraph"/>
        <w:jc w:val="both"/>
        <w:rPr>
          <w:sz w:val="18"/>
        </w:rPr>
        <w:sectPr w:rsidR="00BC24A8">
          <w:pgSz w:w="11910" w:h="16840"/>
          <w:pgMar w:top="1400" w:right="850" w:bottom="1627" w:left="1275" w:header="0" w:footer="907" w:gutter="0"/>
          <w:cols w:space="720"/>
        </w:sectPr>
      </w:pPr>
    </w:p>
    <w:tbl>
      <w:tblPr>
        <w:tblW w:w="0" w:type="auto"/>
        <w:tblInd w:w="150" w:type="dxa"/>
        <w:tblLayout w:type="fixed"/>
        <w:tblCellMar>
          <w:left w:w="0" w:type="dxa"/>
          <w:right w:w="0" w:type="dxa"/>
        </w:tblCellMar>
        <w:tblLook w:val="01E0" w:firstRow="1" w:lastRow="1" w:firstColumn="1" w:lastColumn="1" w:noHBand="0" w:noVBand="0"/>
      </w:tblPr>
      <w:tblGrid>
        <w:gridCol w:w="2071"/>
        <w:gridCol w:w="7020"/>
      </w:tblGrid>
      <w:tr w:rsidR="00BC24A8" w14:paraId="7DE3CCF2" w14:textId="77777777">
        <w:trPr>
          <w:trHeight w:val="578"/>
        </w:trPr>
        <w:tc>
          <w:tcPr>
            <w:tcW w:w="2071" w:type="dxa"/>
            <w:tcBorders>
              <w:bottom w:val="single" w:sz="4" w:space="0" w:color="BEBEBE"/>
            </w:tcBorders>
          </w:tcPr>
          <w:p w14:paraId="72C46426" w14:textId="77777777" w:rsidR="00BC24A8" w:rsidRDefault="00BC24A8">
            <w:pPr>
              <w:pStyle w:val="TableParagraph"/>
              <w:rPr>
                <w:rFonts w:ascii="Times New Roman"/>
                <w:sz w:val="18"/>
              </w:rPr>
            </w:pPr>
          </w:p>
        </w:tc>
        <w:tc>
          <w:tcPr>
            <w:tcW w:w="7020" w:type="dxa"/>
            <w:tcBorders>
              <w:bottom w:val="single" w:sz="4" w:space="0" w:color="BEBEBE"/>
            </w:tcBorders>
          </w:tcPr>
          <w:p w14:paraId="73430182" w14:textId="77777777" w:rsidR="00BC24A8" w:rsidRDefault="00000000">
            <w:pPr>
              <w:pStyle w:val="TableParagraph"/>
              <w:spacing w:line="183" w:lineRule="exact"/>
              <w:ind w:left="105"/>
              <w:rPr>
                <w:sz w:val="18"/>
              </w:rPr>
            </w:pPr>
            <w:r>
              <w:rPr>
                <w:sz w:val="18"/>
              </w:rPr>
              <w:t>Failures</w:t>
            </w:r>
            <w:r>
              <w:rPr>
                <w:spacing w:val="-2"/>
                <w:sz w:val="18"/>
              </w:rPr>
              <w:t xml:space="preserve"> </w:t>
            </w:r>
            <w:r>
              <w:rPr>
                <w:sz w:val="18"/>
              </w:rPr>
              <w:t>may</w:t>
            </w:r>
            <w:r>
              <w:rPr>
                <w:spacing w:val="-3"/>
                <w:sz w:val="18"/>
              </w:rPr>
              <w:t xml:space="preserve"> </w:t>
            </w:r>
            <w:r>
              <w:rPr>
                <w:sz w:val="18"/>
              </w:rPr>
              <w:t>occur</w:t>
            </w:r>
            <w:r>
              <w:rPr>
                <w:spacing w:val="-2"/>
                <w:sz w:val="18"/>
              </w:rPr>
              <w:t xml:space="preserve"> </w:t>
            </w:r>
            <w:r>
              <w:rPr>
                <w:sz w:val="18"/>
              </w:rPr>
              <w:t>if</w:t>
            </w:r>
            <w:r>
              <w:rPr>
                <w:spacing w:val="-3"/>
                <w:sz w:val="18"/>
              </w:rPr>
              <w:t xml:space="preserve"> </w:t>
            </w:r>
            <w:r>
              <w:rPr>
                <w:sz w:val="18"/>
              </w:rPr>
              <w:t>strategic</w:t>
            </w:r>
            <w:r>
              <w:rPr>
                <w:spacing w:val="-1"/>
                <w:sz w:val="18"/>
              </w:rPr>
              <w:t xml:space="preserve"> </w:t>
            </w:r>
            <w:r>
              <w:rPr>
                <w:sz w:val="18"/>
              </w:rPr>
              <w:t>communication</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regional head</w:t>
            </w:r>
            <w:r>
              <w:rPr>
                <w:spacing w:val="-2"/>
                <w:sz w:val="18"/>
              </w:rPr>
              <w:t xml:space="preserve"> </w:t>
            </w:r>
            <w:r>
              <w:rPr>
                <w:sz w:val="18"/>
              </w:rPr>
              <w:t>is</w:t>
            </w:r>
            <w:r>
              <w:rPr>
                <w:spacing w:val="-2"/>
                <w:sz w:val="18"/>
              </w:rPr>
              <w:t xml:space="preserve"> </w:t>
            </w:r>
            <w:r>
              <w:rPr>
                <w:sz w:val="18"/>
              </w:rPr>
              <w:t>weak,</w:t>
            </w:r>
            <w:r>
              <w:rPr>
                <w:spacing w:val="-3"/>
                <w:sz w:val="18"/>
              </w:rPr>
              <w:t xml:space="preserve"> </w:t>
            </w:r>
            <w:r>
              <w:rPr>
                <w:sz w:val="18"/>
              </w:rPr>
              <w:t>leading</w:t>
            </w:r>
            <w:r>
              <w:rPr>
                <w:spacing w:val="-2"/>
                <w:sz w:val="18"/>
              </w:rPr>
              <w:t xml:space="preserve"> </w:t>
            </w:r>
            <w:r>
              <w:rPr>
                <w:spacing w:val="-5"/>
                <w:sz w:val="18"/>
              </w:rPr>
              <w:t>to</w:t>
            </w:r>
          </w:p>
          <w:p w14:paraId="6C9DD43B" w14:textId="77777777" w:rsidR="00BC24A8" w:rsidRDefault="00000000">
            <w:pPr>
              <w:pStyle w:val="TableParagraph"/>
              <w:spacing w:before="1"/>
              <w:ind w:left="105"/>
              <w:rPr>
                <w:sz w:val="18"/>
              </w:rPr>
            </w:pPr>
            <w:r>
              <w:rPr>
                <w:sz w:val="18"/>
              </w:rPr>
              <w:t>unmet</w:t>
            </w:r>
            <w:r>
              <w:rPr>
                <w:spacing w:val="-2"/>
                <w:sz w:val="18"/>
              </w:rPr>
              <w:t xml:space="preserve"> </w:t>
            </w:r>
            <w:r>
              <w:rPr>
                <w:sz w:val="18"/>
              </w:rPr>
              <w:t>political</w:t>
            </w:r>
            <w:r>
              <w:rPr>
                <w:spacing w:val="-1"/>
                <w:sz w:val="18"/>
              </w:rPr>
              <w:t xml:space="preserve"> </w:t>
            </w:r>
            <w:r>
              <w:rPr>
                <w:sz w:val="18"/>
              </w:rPr>
              <w:t>priorities</w:t>
            </w:r>
            <w:r>
              <w:rPr>
                <w:spacing w:val="-2"/>
                <w:sz w:val="18"/>
              </w:rPr>
              <w:t xml:space="preserve"> </w:t>
            </w:r>
            <w:r>
              <w:rPr>
                <w:sz w:val="18"/>
              </w:rPr>
              <w:t>and</w:t>
            </w:r>
            <w:r>
              <w:rPr>
                <w:spacing w:val="-2"/>
                <w:sz w:val="18"/>
              </w:rPr>
              <w:t xml:space="preserve"> </w:t>
            </w:r>
            <w:r>
              <w:rPr>
                <w:sz w:val="18"/>
              </w:rPr>
              <w:t>insufficient</w:t>
            </w:r>
            <w:r>
              <w:rPr>
                <w:spacing w:val="-1"/>
                <w:sz w:val="18"/>
              </w:rPr>
              <w:t xml:space="preserve"> </w:t>
            </w:r>
            <w:r>
              <w:rPr>
                <w:sz w:val="18"/>
              </w:rPr>
              <w:t>resource</w:t>
            </w:r>
            <w:r>
              <w:rPr>
                <w:spacing w:val="-2"/>
                <w:sz w:val="18"/>
              </w:rPr>
              <w:t xml:space="preserve"> support.</w:t>
            </w:r>
          </w:p>
        </w:tc>
      </w:tr>
      <w:tr w:rsidR="00BC24A8" w14:paraId="0107098C" w14:textId="77777777">
        <w:trPr>
          <w:trHeight w:val="2370"/>
        </w:trPr>
        <w:tc>
          <w:tcPr>
            <w:tcW w:w="2071" w:type="dxa"/>
            <w:tcBorders>
              <w:top w:val="single" w:sz="4" w:space="0" w:color="BEBEBE"/>
              <w:bottom w:val="single" w:sz="4" w:space="0" w:color="BEBEBE"/>
            </w:tcBorders>
          </w:tcPr>
          <w:p w14:paraId="273A6750" w14:textId="77777777" w:rsidR="00BC24A8" w:rsidRDefault="00000000">
            <w:pPr>
              <w:pStyle w:val="TableParagraph"/>
              <w:spacing w:before="59"/>
              <w:ind w:left="107" w:right="144"/>
              <w:rPr>
                <w:sz w:val="18"/>
              </w:rPr>
            </w:pPr>
            <w:r>
              <w:rPr>
                <w:sz w:val="18"/>
              </w:rPr>
              <w:t>MSS Implementation (planning,</w:t>
            </w:r>
            <w:r>
              <w:rPr>
                <w:spacing w:val="-11"/>
                <w:sz w:val="18"/>
              </w:rPr>
              <w:t xml:space="preserve"> </w:t>
            </w:r>
            <w:r>
              <w:rPr>
                <w:sz w:val="18"/>
              </w:rPr>
              <w:t>achievements, and reporting)</w:t>
            </w:r>
          </w:p>
        </w:tc>
        <w:tc>
          <w:tcPr>
            <w:tcW w:w="7020" w:type="dxa"/>
            <w:tcBorders>
              <w:top w:val="single" w:sz="4" w:space="0" w:color="BEBEBE"/>
              <w:bottom w:val="single" w:sz="4" w:space="0" w:color="BEBEBE"/>
            </w:tcBorders>
          </w:tcPr>
          <w:p w14:paraId="069A243C" w14:textId="77777777" w:rsidR="00BC24A8" w:rsidRDefault="00000000">
            <w:pPr>
              <w:pStyle w:val="TableParagraph"/>
              <w:spacing w:before="59"/>
              <w:ind w:left="105" w:right="65"/>
              <w:rPr>
                <w:sz w:val="18"/>
              </w:rPr>
            </w:pPr>
            <w:r>
              <w:rPr>
                <w:sz w:val="18"/>
              </w:rPr>
              <w:t>Active engagement of the Bangda MSS Secretariat, together with the active role of the MSS Implementation Team, has proven to accelerate MSS implementation in Papua Selatan. The key</w:t>
            </w:r>
            <w:r>
              <w:rPr>
                <w:spacing w:val="-3"/>
                <w:sz w:val="18"/>
              </w:rPr>
              <w:t xml:space="preserve"> </w:t>
            </w:r>
            <w:r>
              <w:rPr>
                <w:sz w:val="18"/>
              </w:rPr>
              <w:t>success</w:t>
            </w:r>
            <w:r>
              <w:rPr>
                <w:spacing w:val="-3"/>
                <w:sz w:val="18"/>
              </w:rPr>
              <w:t xml:space="preserve"> </w:t>
            </w:r>
            <w:r>
              <w:rPr>
                <w:sz w:val="18"/>
              </w:rPr>
              <w:t>factors</w:t>
            </w:r>
            <w:r>
              <w:rPr>
                <w:spacing w:val="-3"/>
                <w:sz w:val="18"/>
              </w:rPr>
              <w:t xml:space="preserve"> </w:t>
            </w:r>
            <w:r>
              <w:rPr>
                <w:sz w:val="18"/>
              </w:rPr>
              <w:t>were</w:t>
            </w:r>
            <w:r>
              <w:rPr>
                <w:spacing w:val="-3"/>
                <w:sz w:val="18"/>
              </w:rPr>
              <w:t xml:space="preserve"> </w:t>
            </w:r>
            <w:r>
              <w:rPr>
                <w:sz w:val="18"/>
              </w:rPr>
              <w:t>intensive</w:t>
            </w:r>
            <w:r>
              <w:rPr>
                <w:spacing w:val="-3"/>
                <w:sz w:val="18"/>
              </w:rPr>
              <w:t xml:space="preserve"> </w:t>
            </w:r>
            <w:r>
              <w:rPr>
                <w:sz w:val="18"/>
              </w:rPr>
              <w:t>coordination</w:t>
            </w:r>
            <w:r>
              <w:rPr>
                <w:spacing w:val="-3"/>
                <w:sz w:val="18"/>
              </w:rPr>
              <w:t xml:space="preserve"> </w:t>
            </w:r>
            <w:r>
              <w:rPr>
                <w:sz w:val="18"/>
              </w:rPr>
              <w:t>and</w:t>
            </w:r>
            <w:r>
              <w:rPr>
                <w:spacing w:val="-3"/>
                <w:sz w:val="18"/>
              </w:rPr>
              <w:t xml:space="preserve"> </w:t>
            </w:r>
            <w:r>
              <w:rPr>
                <w:sz w:val="18"/>
              </w:rPr>
              <w:t>clear</w:t>
            </w:r>
            <w:r>
              <w:rPr>
                <w:spacing w:val="-3"/>
                <w:sz w:val="18"/>
              </w:rPr>
              <w:t xml:space="preserve"> </w:t>
            </w:r>
            <w:r>
              <w:rPr>
                <w:sz w:val="18"/>
              </w:rPr>
              <w:t>role</w:t>
            </w:r>
            <w:r>
              <w:rPr>
                <w:spacing w:val="-3"/>
                <w:sz w:val="18"/>
              </w:rPr>
              <w:t xml:space="preserve"> </w:t>
            </w:r>
            <w:r>
              <w:rPr>
                <w:sz w:val="18"/>
              </w:rPr>
              <w:t>division,</w:t>
            </w:r>
            <w:r>
              <w:rPr>
                <w:spacing w:val="-4"/>
                <w:sz w:val="18"/>
              </w:rPr>
              <w:t xml:space="preserve"> </w:t>
            </w:r>
            <w:r>
              <w:rPr>
                <w:sz w:val="18"/>
              </w:rPr>
              <w:t>resulting</w:t>
            </w:r>
            <w:r>
              <w:rPr>
                <w:spacing w:val="-6"/>
                <w:sz w:val="18"/>
              </w:rPr>
              <w:t xml:space="preserve"> </w:t>
            </w:r>
            <w:r>
              <w:rPr>
                <w:sz w:val="18"/>
              </w:rPr>
              <w:t>this</w:t>
            </w:r>
            <w:r>
              <w:rPr>
                <w:spacing w:val="-3"/>
                <w:sz w:val="18"/>
              </w:rPr>
              <w:t xml:space="preserve"> </w:t>
            </w:r>
            <w:r>
              <w:rPr>
                <w:sz w:val="18"/>
              </w:rPr>
              <w:t>semester in several important outcomes: preparation of the MSS Action Plan, timely submission of quarterly reports, and achievement of the 2025 MSS targets.</w:t>
            </w:r>
          </w:p>
          <w:p w14:paraId="626CBFCD" w14:textId="77777777" w:rsidR="00BC24A8" w:rsidRDefault="00000000">
            <w:pPr>
              <w:pStyle w:val="TableParagraph"/>
              <w:spacing w:before="219"/>
              <w:ind w:left="105"/>
              <w:rPr>
                <w:sz w:val="18"/>
              </w:rPr>
            </w:pPr>
            <w:r>
              <w:rPr>
                <w:sz w:val="18"/>
              </w:rPr>
              <w:t>The</w:t>
            </w:r>
            <w:r>
              <w:rPr>
                <w:spacing w:val="-3"/>
                <w:sz w:val="18"/>
              </w:rPr>
              <w:t xml:space="preserve"> </w:t>
            </w:r>
            <w:r>
              <w:rPr>
                <w:sz w:val="18"/>
              </w:rPr>
              <w:t>main</w:t>
            </w:r>
            <w:r>
              <w:rPr>
                <w:spacing w:val="-3"/>
                <w:sz w:val="18"/>
              </w:rPr>
              <w:t xml:space="preserve"> </w:t>
            </w:r>
            <w:r>
              <w:rPr>
                <w:sz w:val="18"/>
              </w:rPr>
              <w:t>lesson</w:t>
            </w:r>
            <w:r>
              <w:rPr>
                <w:spacing w:val="-3"/>
                <w:sz w:val="18"/>
              </w:rPr>
              <w:t xml:space="preserve"> </w:t>
            </w:r>
            <w:r>
              <w:rPr>
                <w:sz w:val="18"/>
              </w:rPr>
              <w:t>learned</w:t>
            </w:r>
            <w:r>
              <w:rPr>
                <w:spacing w:val="-3"/>
                <w:sz w:val="18"/>
              </w:rPr>
              <w:t xml:space="preserve"> </w:t>
            </w:r>
            <w:r>
              <w:rPr>
                <w:sz w:val="18"/>
              </w:rPr>
              <w:t>is</w:t>
            </w:r>
            <w:r>
              <w:rPr>
                <w:spacing w:val="-3"/>
                <w:sz w:val="18"/>
              </w:rPr>
              <w:t xml:space="preserve"> </w:t>
            </w:r>
            <w:r>
              <w:rPr>
                <w:sz w:val="18"/>
              </w:rPr>
              <w:t>that</w:t>
            </w:r>
            <w:r>
              <w:rPr>
                <w:spacing w:val="-2"/>
                <w:sz w:val="18"/>
              </w:rPr>
              <w:t xml:space="preserve"> </w:t>
            </w:r>
            <w:r>
              <w:rPr>
                <w:sz w:val="18"/>
              </w:rPr>
              <w:t>strong</w:t>
            </w:r>
            <w:r>
              <w:rPr>
                <w:spacing w:val="-4"/>
                <w:sz w:val="18"/>
              </w:rPr>
              <w:t xml:space="preserve"> </w:t>
            </w:r>
            <w:r>
              <w:rPr>
                <w:sz w:val="18"/>
              </w:rPr>
              <w:t>commitment</w:t>
            </w:r>
            <w:r>
              <w:rPr>
                <w:spacing w:val="-2"/>
                <w:sz w:val="18"/>
              </w:rPr>
              <w:t xml:space="preserve"> </w:t>
            </w:r>
            <w:r>
              <w:rPr>
                <w:sz w:val="18"/>
              </w:rPr>
              <w:t>and</w:t>
            </w:r>
            <w:r>
              <w:rPr>
                <w:spacing w:val="-3"/>
                <w:sz w:val="18"/>
              </w:rPr>
              <w:t xml:space="preserve"> </w:t>
            </w:r>
            <w:r>
              <w:rPr>
                <w:sz w:val="18"/>
              </w:rPr>
              <w:t>close</w:t>
            </w:r>
            <w:r>
              <w:rPr>
                <w:spacing w:val="-3"/>
                <w:sz w:val="18"/>
              </w:rPr>
              <w:t xml:space="preserve"> </w:t>
            </w:r>
            <w:r>
              <w:rPr>
                <w:sz w:val="18"/>
              </w:rPr>
              <w:t>collaboration</w:t>
            </w:r>
            <w:r>
              <w:rPr>
                <w:spacing w:val="-3"/>
                <w:sz w:val="18"/>
              </w:rPr>
              <w:t xml:space="preserve"> </w:t>
            </w:r>
            <w:r>
              <w:rPr>
                <w:sz w:val="18"/>
              </w:rPr>
              <w:t>between</w:t>
            </w:r>
            <w:r>
              <w:rPr>
                <w:spacing w:val="-3"/>
                <w:sz w:val="18"/>
              </w:rPr>
              <w:t xml:space="preserve"> </w:t>
            </w:r>
            <w:r>
              <w:rPr>
                <w:sz w:val="18"/>
              </w:rPr>
              <w:t>the</w:t>
            </w:r>
            <w:r>
              <w:rPr>
                <w:spacing w:val="-3"/>
                <w:sz w:val="18"/>
              </w:rPr>
              <w:t xml:space="preserve"> </w:t>
            </w:r>
            <w:r>
              <w:rPr>
                <w:sz w:val="18"/>
              </w:rPr>
              <w:t>MSS Secretariat and Implementation Team, regular coordination mechanisms, and clarity of roles and responsibilities are essential. Failures may occur if coordination is inconsistent, roles overlap, or monitoring is irregular, potentially hindering MSS target achievement.</w:t>
            </w:r>
          </w:p>
        </w:tc>
      </w:tr>
      <w:tr w:rsidR="00BC24A8" w14:paraId="36632868" w14:textId="77777777">
        <w:trPr>
          <w:trHeight w:val="1713"/>
        </w:trPr>
        <w:tc>
          <w:tcPr>
            <w:tcW w:w="2071" w:type="dxa"/>
            <w:tcBorders>
              <w:top w:val="single" w:sz="4" w:space="0" w:color="BEBEBE"/>
            </w:tcBorders>
          </w:tcPr>
          <w:p w14:paraId="0605ECD2" w14:textId="77777777" w:rsidR="00BC24A8" w:rsidRDefault="00000000">
            <w:pPr>
              <w:pStyle w:val="TableParagraph"/>
              <w:spacing w:before="59"/>
              <w:ind w:left="107" w:right="849"/>
              <w:rPr>
                <w:sz w:val="18"/>
              </w:rPr>
            </w:pPr>
            <w:r>
              <w:rPr>
                <w:sz w:val="18"/>
              </w:rPr>
              <w:t>Coordination</w:t>
            </w:r>
            <w:r>
              <w:rPr>
                <w:spacing w:val="-11"/>
                <w:sz w:val="18"/>
              </w:rPr>
              <w:t xml:space="preserve"> </w:t>
            </w:r>
            <w:r>
              <w:rPr>
                <w:sz w:val="18"/>
              </w:rPr>
              <w:t xml:space="preserve">&amp; </w:t>
            </w:r>
            <w:r>
              <w:rPr>
                <w:spacing w:val="-2"/>
                <w:sz w:val="18"/>
              </w:rPr>
              <w:t>Collaboration</w:t>
            </w:r>
          </w:p>
        </w:tc>
        <w:tc>
          <w:tcPr>
            <w:tcW w:w="7020" w:type="dxa"/>
            <w:tcBorders>
              <w:top w:val="single" w:sz="4" w:space="0" w:color="BEBEBE"/>
              <w:bottom w:val="single" w:sz="4" w:space="0" w:color="BEBEBE"/>
            </w:tcBorders>
          </w:tcPr>
          <w:p w14:paraId="2C5AE72B" w14:textId="77777777" w:rsidR="00BC24A8" w:rsidRDefault="00000000">
            <w:pPr>
              <w:pStyle w:val="TableParagraph"/>
              <w:spacing w:before="59"/>
              <w:ind w:left="105" w:right="65"/>
              <w:rPr>
                <w:sz w:val="18"/>
              </w:rPr>
            </w:pPr>
            <w:r>
              <w:rPr>
                <w:sz w:val="18"/>
              </w:rPr>
              <w:t>The successful preparation of the provincial RPJMD was supported by various collaborations, both among government agencies and with donor programs. Focused collaboration between SKALA and TAF, with clearly defined roles—TAF supporting CSOs and SKALA supporting the government—enabled</w:t>
            </w:r>
            <w:r>
              <w:rPr>
                <w:spacing w:val="-4"/>
                <w:sz w:val="18"/>
              </w:rPr>
              <w:t xml:space="preserve"> </w:t>
            </w:r>
            <w:r>
              <w:rPr>
                <w:sz w:val="18"/>
              </w:rPr>
              <w:t>the</w:t>
            </w:r>
            <w:r>
              <w:rPr>
                <w:spacing w:val="-4"/>
                <w:sz w:val="18"/>
              </w:rPr>
              <w:t xml:space="preserve"> </w:t>
            </w:r>
            <w:r>
              <w:rPr>
                <w:sz w:val="18"/>
              </w:rPr>
              <w:t>effective</w:t>
            </w:r>
            <w:r>
              <w:rPr>
                <w:spacing w:val="-4"/>
                <w:sz w:val="18"/>
              </w:rPr>
              <w:t xml:space="preserve"> </w:t>
            </w:r>
            <w:r>
              <w:rPr>
                <w:sz w:val="18"/>
              </w:rPr>
              <w:t>engagement</w:t>
            </w:r>
            <w:r>
              <w:rPr>
                <w:spacing w:val="-3"/>
                <w:sz w:val="18"/>
              </w:rPr>
              <w:t xml:space="preserve"> </w:t>
            </w:r>
            <w:r>
              <w:rPr>
                <w:sz w:val="18"/>
              </w:rPr>
              <w:t>of</w:t>
            </w:r>
            <w:r>
              <w:rPr>
                <w:spacing w:val="-5"/>
                <w:sz w:val="18"/>
              </w:rPr>
              <w:t xml:space="preserve"> </w:t>
            </w:r>
            <w:r>
              <w:rPr>
                <w:sz w:val="18"/>
              </w:rPr>
              <w:t>vulnerable</w:t>
            </w:r>
            <w:r>
              <w:rPr>
                <w:spacing w:val="-4"/>
                <w:sz w:val="18"/>
              </w:rPr>
              <w:t xml:space="preserve"> </w:t>
            </w:r>
            <w:r>
              <w:rPr>
                <w:sz w:val="18"/>
              </w:rPr>
              <w:t>groups</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RPJMD,</w:t>
            </w:r>
            <w:r>
              <w:rPr>
                <w:spacing w:val="-5"/>
                <w:sz w:val="18"/>
              </w:rPr>
              <w:t xml:space="preserve"> </w:t>
            </w:r>
            <w:r>
              <w:rPr>
                <w:sz w:val="18"/>
              </w:rPr>
              <w:t>resulting in more inclusive policies. Amid limited capacity and experience in CSO participation, collaboration</w:t>
            </w:r>
            <w:r>
              <w:rPr>
                <w:spacing w:val="-2"/>
                <w:sz w:val="18"/>
              </w:rPr>
              <w:t xml:space="preserve"> </w:t>
            </w:r>
            <w:r>
              <w:rPr>
                <w:sz w:val="18"/>
              </w:rPr>
              <w:t>with</w:t>
            </w:r>
            <w:r>
              <w:rPr>
                <w:spacing w:val="-2"/>
                <w:sz w:val="18"/>
              </w:rPr>
              <w:t xml:space="preserve"> </w:t>
            </w:r>
            <w:r>
              <w:rPr>
                <w:sz w:val="18"/>
              </w:rPr>
              <w:t>clear</w:t>
            </w:r>
            <w:r>
              <w:rPr>
                <w:spacing w:val="-2"/>
                <w:sz w:val="18"/>
              </w:rPr>
              <w:t xml:space="preserve"> </w:t>
            </w:r>
            <w:r>
              <w:rPr>
                <w:sz w:val="18"/>
              </w:rPr>
              <w:t>roles</w:t>
            </w:r>
            <w:r>
              <w:rPr>
                <w:spacing w:val="-2"/>
                <w:sz w:val="18"/>
              </w:rPr>
              <w:t xml:space="preserve"> </w:t>
            </w:r>
            <w:r>
              <w:rPr>
                <w:sz w:val="18"/>
              </w:rPr>
              <w:t>and</w:t>
            </w:r>
            <w:r>
              <w:rPr>
                <w:spacing w:val="-5"/>
                <w:sz w:val="18"/>
              </w:rPr>
              <w:t xml:space="preserve"> </w:t>
            </w:r>
            <w:r>
              <w:rPr>
                <w:sz w:val="18"/>
              </w:rPr>
              <w:t>regular</w:t>
            </w:r>
            <w:r>
              <w:rPr>
                <w:spacing w:val="-2"/>
                <w:sz w:val="18"/>
              </w:rPr>
              <w:t xml:space="preserve"> </w:t>
            </w:r>
            <w:r>
              <w:rPr>
                <w:sz w:val="18"/>
              </w:rPr>
              <w:t>communication</w:t>
            </w:r>
            <w:r>
              <w:rPr>
                <w:spacing w:val="-2"/>
                <w:sz w:val="18"/>
              </w:rPr>
              <w:t xml:space="preserve"> </w:t>
            </w:r>
            <w:r>
              <w:rPr>
                <w:sz w:val="18"/>
              </w:rPr>
              <w:t>emerged</w:t>
            </w:r>
            <w:r>
              <w:rPr>
                <w:spacing w:val="-2"/>
                <w:sz w:val="18"/>
              </w:rPr>
              <w:t xml:space="preserve"> </w:t>
            </w:r>
            <w:r>
              <w:rPr>
                <w:sz w:val="18"/>
              </w:rPr>
              <w:t>as</w:t>
            </w:r>
            <w:r>
              <w:rPr>
                <w:spacing w:val="-2"/>
                <w:sz w:val="18"/>
              </w:rPr>
              <w:t xml:space="preserve"> </w:t>
            </w:r>
            <w:r>
              <w:rPr>
                <w:sz w:val="18"/>
              </w:rPr>
              <w:t>a</w:t>
            </w:r>
            <w:r>
              <w:rPr>
                <w:spacing w:val="-3"/>
                <w:sz w:val="18"/>
              </w:rPr>
              <w:t xml:space="preserve"> </w:t>
            </w:r>
            <w:r>
              <w:rPr>
                <w:sz w:val="18"/>
              </w:rPr>
              <w:t>replicable</w:t>
            </w:r>
            <w:r>
              <w:rPr>
                <w:spacing w:val="-2"/>
                <w:sz w:val="18"/>
              </w:rPr>
              <w:t xml:space="preserve"> </w:t>
            </w:r>
            <w:r>
              <w:rPr>
                <w:sz w:val="18"/>
              </w:rPr>
              <w:t>practice</w:t>
            </w:r>
            <w:r>
              <w:rPr>
                <w:spacing w:val="-2"/>
                <w:sz w:val="18"/>
              </w:rPr>
              <w:t xml:space="preserve"> </w:t>
            </w:r>
            <w:r>
              <w:rPr>
                <w:sz w:val="18"/>
              </w:rPr>
              <w:t>for other regions facing similar challenges.</w:t>
            </w:r>
          </w:p>
        </w:tc>
      </w:tr>
      <w:tr w:rsidR="00BC24A8" w14:paraId="2CA634F5" w14:textId="77777777">
        <w:trPr>
          <w:trHeight w:val="1713"/>
        </w:trPr>
        <w:tc>
          <w:tcPr>
            <w:tcW w:w="2071" w:type="dxa"/>
            <w:tcBorders>
              <w:bottom w:val="single" w:sz="4" w:space="0" w:color="BEBEBE"/>
            </w:tcBorders>
          </w:tcPr>
          <w:p w14:paraId="1511F8C9" w14:textId="77777777" w:rsidR="00BC24A8" w:rsidRDefault="00BC24A8">
            <w:pPr>
              <w:pStyle w:val="TableParagraph"/>
              <w:rPr>
                <w:rFonts w:ascii="Times New Roman"/>
                <w:sz w:val="18"/>
              </w:rPr>
            </w:pPr>
          </w:p>
        </w:tc>
        <w:tc>
          <w:tcPr>
            <w:tcW w:w="7020" w:type="dxa"/>
            <w:tcBorders>
              <w:top w:val="single" w:sz="4" w:space="0" w:color="BEBEBE"/>
              <w:bottom w:val="single" w:sz="4" w:space="0" w:color="BEBEBE"/>
            </w:tcBorders>
          </w:tcPr>
          <w:p w14:paraId="6D81EE77" w14:textId="77777777" w:rsidR="00BC24A8" w:rsidRDefault="00000000">
            <w:pPr>
              <w:pStyle w:val="TableParagraph"/>
              <w:spacing w:before="56"/>
              <w:ind w:left="105" w:right="194"/>
              <w:rPr>
                <w:sz w:val="18"/>
              </w:rPr>
            </w:pPr>
            <w:r>
              <w:rPr>
                <w:sz w:val="18"/>
              </w:rPr>
              <w:t>Collaboration among provincial agencies in the expansion of SIRIOS in Kabupaten Merauke had a positive impact on the implementation of technical activities. For example, the Population</w:t>
            </w:r>
            <w:r>
              <w:rPr>
                <w:spacing w:val="-3"/>
                <w:sz w:val="18"/>
              </w:rPr>
              <w:t xml:space="preserve"> </w:t>
            </w:r>
            <w:r>
              <w:rPr>
                <w:sz w:val="18"/>
              </w:rPr>
              <w:t>and</w:t>
            </w:r>
            <w:r>
              <w:rPr>
                <w:spacing w:val="-3"/>
                <w:sz w:val="18"/>
              </w:rPr>
              <w:t xml:space="preserve"> </w:t>
            </w:r>
            <w:r>
              <w:rPr>
                <w:sz w:val="18"/>
              </w:rPr>
              <w:t>Civil</w:t>
            </w:r>
            <w:r>
              <w:rPr>
                <w:spacing w:val="-2"/>
                <w:sz w:val="18"/>
              </w:rPr>
              <w:t xml:space="preserve"> </w:t>
            </w:r>
            <w:r>
              <w:rPr>
                <w:sz w:val="18"/>
              </w:rPr>
              <w:t>Registration</w:t>
            </w:r>
            <w:r>
              <w:rPr>
                <w:spacing w:val="-6"/>
                <w:sz w:val="18"/>
              </w:rPr>
              <w:t xml:space="preserve"> </w:t>
            </w:r>
            <w:r>
              <w:rPr>
                <w:sz w:val="18"/>
              </w:rPr>
              <w:t>Office</w:t>
            </w:r>
            <w:r>
              <w:rPr>
                <w:spacing w:val="-3"/>
                <w:sz w:val="18"/>
              </w:rPr>
              <w:t xml:space="preserve"> </w:t>
            </w:r>
            <w:r>
              <w:rPr>
                <w:sz w:val="18"/>
              </w:rPr>
              <w:t>agreed</w:t>
            </w:r>
            <w:r>
              <w:rPr>
                <w:spacing w:val="-3"/>
                <w:sz w:val="18"/>
              </w:rPr>
              <w:t xml:space="preserve"> </w:t>
            </w:r>
            <w:r>
              <w:rPr>
                <w:sz w:val="18"/>
              </w:rPr>
              <w:t>to</w:t>
            </w:r>
            <w:r>
              <w:rPr>
                <w:spacing w:val="-4"/>
                <w:sz w:val="18"/>
              </w:rPr>
              <w:t xml:space="preserve"> </w:t>
            </w:r>
            <w:r>
              <w:rPr>
                <w:sz w:val="18"/>
              </w:rPr>
              <w:t>print</w:t>
            </w:r>
            <w:r>
              <w:rPr>
                <w:spacing w:val="-2"/>
                <w:sz w:val="18"/>
              </w:rPr>
              <w:t xml:space="preserve"> </w:t>
            </w:r>
            <w:r>
              <w:rPr>
                <w:sz w:val="18"/>
              </w:rPr>
              <w:t>pre-list</w:t>
            </w:r>
            <w:r>
              <w:rPr>
                <w:spacing w:val="-2"/>
                <w:sz w:val="18"/>
              </w:rPr>
              <w:t xml:space="preserve"> </w:t>
            </w:r>
            <w:r>
              <w:rPr>
                <w:sz w:val="18"/>
              </w:rPr>
              <w:t>data</w:t>
            </w:r>
            <w:r>
              <w:rPr>
                <w:spacing w:val="-4"/>
                <w:sz w:val="18"/>
              </w:rPr>
              <w:t xml:space="preserve"> </w:t>
            </w:r>
            <w:r>
              <w:rPr>
                <w:sz w:val="18"/>
              </w:rPr>
              <w:t>based</w:t>
            </w:r>
            <w:r>
              <w:rPr>
                <w:spacing w:val="-3"/>
                <w:sz w:val="18"/>
              </w:rPr>
              <w:t xml:space="preserve"> </w:t>
            </w:r>
            <w:r>
              <w:rPr>
                <w:sz w:val="18"/>
              </w:rPr>
              <w:t>on</w:t>
            </w:r>
            <w:r>
              <w:rPr>
                <w:spacing w:val="-3"/>
                <w:sz w:val="18"/>
              </w:rPr>
              <w:t xml:space="preserve"> </w:t>
            </w:r>
            <w:r>
              <w:rPr>
                <w:sz w:val="18"/>
              </w:rPr>
              <w:t>Family</w:t>
            </w:r>
            <w:r>
              <w:rPr>
                <w:spacing w:val="-4"/>
                <w:sz w:val="18"/>
              </w:rPr>
              <w:t xml:space="preserve"> </w:t>
            </w:r>
            <w:r>
              <w:rPr>
                <w:sz w:val="18"/>
              </w:rPr>
              <w:t>Cards</w:t>
            </w:r>
            <w:r>
              <w:rPr>
                <w:spacing w:val="-3"/>
                <w:sz w:val="18"/>
              </w:rPr>
              <w:t xml:space="preserve"> </w:t>
            </w:r>
            <w:r>
              <w:rPr>
                <w:sz w:val="18"/>
              </w:rPr>
              <w:t>as a basis for data collection by village cadres for SIRIOS, while the Communication and Informatics Office provided internet access during training sessions. The success of SIRIOS expansion relies on each agency fulfilling its role, effective coordination, and concrete resource support.</w:t>
            </w:r>
          </w:p>
        </w:tc>
      </w:tr>
    </w:tbl>
    <w:p w14:paraId="7F4A59DD" w14:textId="77777777" w:rsidR="00BC24A8" w:rsidRDefault="00BC24A8">
      <w:pPr>
        <w:pStyle w:val="BodyText"/>
        <w:spacing w:before="221"/>
        <w:rPr>
          <w:rFonts w:ascii="Calibri"/>
          <w:b/>
        </w:rPr>
      </w:pPr>
    </w:p>
    <w:p w14:paraId="626682B2" w14:textId="77777777" w:rsidR="00BC24A8" w:rsidRDefault="00000000">
      <w:pPr>
        <w:ind w:left="143"/>
        <w:rPr>
          <w:i/>
        </w:rPr>
      </w:pPr>
      <w:r>
        <w:rPr>
          <w:i/>
          <w:color w:val="1F3762"/>
        </w:rPr>
        <w:t>FY</w:t>
      </w:r>
      <w:r>
        <w:rPr>
          <w:i/>
          <w:color w:val="1F3762"/>
          <w:spacing w:val="-6"/>
        </w:rPr>
        <w:t xml:space="preserve"> </w:t>
      </w:r>
      <w:r>
        <w:rPr>
          <w:i/>
          <w:color w:val="1F3762"/>
        </w:rPr>
        <w:t>2025/2026</w:t>
      </w:r>
      <w:r>
        <w:rPr>
          <w:i/>
          <w:color w:val="1F3762"/>
          <w:spacing w:val="-5"/>
        </w:rPr>
        <w:t xml:space="preserve"> </w:t>
      </w:r>
      <w:r>
        <w:rPr>
          <w:i/>
          <w:color w:val="1F3762"/>
        </w:rPr>
        <w:t>SKALA</w:t>
      </w:r>
      <w:r>
        <w:rPr>
          <w:i/>
          <w:color w:val="1F3762"/>
          <w:spacing w:val="-8"/>
        </w:rPr>
        <w:t xml:space="preserve"> </w:t>
      </w:r>
      <w:r>
        <w:rPr>
          <w:i/>
          <w:color w:val="1F3762"/>
        </w:rPr>
        <w:t>Program</w:t>
      </w:r>
      <w:r>
        <w:rPr>
          <w:i/>
          <w:color w:val="1F3762"/>
          <w:spacing w:val="-5"/>
        </w:rPr>
        <w:t xml:space="preserve"> </w:t>
      </w:r>
      <w:r>
        <w:rPr>
          <w:i/>
          <w:color w:val="1F3762"/>
          <w:spacing w:val="-2"/>
        </w:rPr>
        <w:t>Summary</w:t>
      </w:r>
    </w:p>
    <w:p w14:paraId="11B0D9FB" w14:textId="77777777" w:rsidR="00BC24A8" w:rsidRDefault="00000000">
      <w:pPr>
        <w:pStyle w:val="ListParagraph"/>
        <w:numPr>
          <w:ilvl w:val="1"/>
          <w:numId w:val="11"/>
        </w:numPr>
        <w:tabs>
          <w:tab w:val="left" w:pos="501"/>
        </w:tabs>
        <w:spacing w:before="164"/>
        <w:ind w:left="501" w:hanging="449"/>
        <w:rPr>
          <w:rFonts w:ascii="Calibri"/>
          <w:b/>
        </w:rPr>
      </w:pPr>
      <w:r w:rsidRPr="00795364">
        <w:rPr>
          <w:rFonts w:ascii="Calibri"/>
          <w:b/>
          <w:color w:val="008279"/>
        </w:rPr>
        <w:t>Summary</w:t>
      </w:r>
      <w:r w:rsidRPr="00795364">
        <w:rPr>
          <w:rFonts w:ascii="Calibri"/>
          <w:b/>
          <w:color w:val="008279"/>
          <w:spacing w:val="-5"/>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intended</w:t>
      </w:r>
      <w:r w:rsidRPr="00795364">
        <w:rPr>
          <w:rFonts w:ascii="Calibri"/>
          <w:b/>
          <w:color w:val="008279"/>
          <w:spacing w:val="-6"/>
        </w:rPr>
        <w:t xml:space="preserve"> </w:t>
      </w:r>
      <w:r w:rsidRPr="00795364">
        <w:rPr>
          <w:rFonts w:ascii="Calibri"/>
          <w:b/>
          <w:color w:val="008279"/>
          <w:spacing w:val="-2"/>
        </w:rPr>
        <w:t>results</w:t>
      </w:r>
    </w:p>
    <w:p w14:paraId="48A73A90" w14:textId="77777777" w:rsidR="00BC24A8" w:rsidRDefault="00BC24A8">
      <w:pPr>
        <w:pStyle w:val="BodyText"/>
        <w:spacing w:before="1" w:after="1"/>
        <w:rPr>
          <w:rFonts w:ascii="Calibri"/>
          <w:b/>
          <w:sz w:val="19"/>
        </w:rPr>
      </w:pPr>
    </w:p>
    <w:tbl>
      <w:tblPr>
        <w:tblW w:w="0" w:type="auto"/>
        <w:tblInd w:w="143" w:type="dxa"/>
        <w:tblLayout w:type="fixed"/>
        <w:tblCellMar>
          <w:left w:w="0" w:type="dxa"/>
          <w:right w:w="0" w:type="dxa"/>
        </w:tblCellMar>
        <w:tblLook w:val="01E0" w:firstRow="1" w:lastRow="1" w:firstColumn="1" w:lastColumn="1" w:noHBand="0" w:noVBand="0"/>
      </w:tblPr>
      <w:tblGrid>
        <w:gridCol w:w="3310"/>
        <w:gridCol w:w="5789"/>
      </w:tblGrid>
      <w:tr w:rsidR="00BC24A8" w14:paraId="4BDBC49F" w14:textId="77777777">
        <w:trPr>
          <w:trHeight w:val="643"/>
        </w:trPr>
        <w:tc>
          <w:tcPr>
            <w:tcW w:w="3310" w:type="dxa"/>
            <w:shd w:val="clear" w:color="auto" w:fill="17365A"/>
          </w:tcPr>
          <w:p w14:paraId="527E91FC" w14:textId="77777777" w:rsidR="00BC24A8" w:rsidRDefault="00000000">
            <w:pPr>
              <w:pStyle w:val="TableParagraph"/>
              <w:spacing w:before="191"/>
              <w:ind w:left="115"/>
              <w:rPr>
                <w:rFonts w:ascii="Calibri"/>
                <w:b/>
                <w:sz w:val="20"/>
              </w:rPr>
            </w:pPr>
            <w:r>
              <w:rPr>
                <w:rFonts w:ascii="Calibri"/>
                <w:b/>
                <w:color w:val="FFFFFF"/>
                <w:spacing w:val="-2"/>
                <w:sz w:val="20"/>
              </w:rPr>
              <w:t>Narrative</w:t>
            </w:r>
          </w:p>
        </w:tc>
        <w:tc>
          <w:tcPr>
            <w:tcW w:w="5789" w:type="dxa"/>
            <w:shd w:val="clear" w:color="auto" w:fill="17365A"/>
          </w:tcPr>
          <w:p w14:paraId="5CB34B0F" w14:textId="77777777" w:rsidR="00BC24A8" w:rsidRDefault="00000000">
            <w:pPr>
              <w:pStyle w:val="TableParagraph"/>
              <w:spacing w:before="59"/>
              <w:ind w:left="134"/>
              <w:rPr>
                <w:rFonts w:ascii="Calibri"/>
                <w:b/>
                <w:sz w:val="20"/>
              </w:rPr>
            </w:pPr>
            <w:r>
              <w:rPr>
                <w:rFonts w:ascii="Calibri"/>
                <w:b/>
                <w:color w:val="FFFFFF"/>
                <w:sz w:val="20"/>
              </w:rPr>
              <w:t>Summary</w:t>
            </w:r>
            <w:r>
              <w:rPr>
                <w:rFonts w:ascii="Calibri"/>
                <w:b/>
                <w:color w:val="FFFFFF"/>
                <w:spacing w:val="-5"/>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key</w:t>
            </w:r>
            <w:r>
              <w:rPr>
                <w:rFonts w:ascii="Calibri"/>
                <w:b/>
                <w:color w:val="FFFFFF"/>
                <w:spacing w:val="-5"/>
                <w:sz w:val="20"/>
              </w:rPr>
              <w:t xml:space="preserve"> </w:t>
            </w:r>
            <w:r>
              <w:rPr>
                <w:rFonts w:ascii="Calibri"/>
                <w:b/>
                <w:color w:val="FFFFFF"/>
                <w:sz w:val="20"/>
              </w:rPr>
              <w:t>outputs</w:t>
            </w:r>
            <w:r>
              <w:rPr>
                <w:rFonts w:ascii="Calibri"/>
                <w:b/>
                <w:color w:val="FFFFFF"/>
                <w:spacing w:val="-4"/>
                <w:sz w:val="20"/>
              </w:rPr>
              <w:t xml:space="preserve"> </w:t>
            </w:r>
            <w:r>
              <w:rPr>
                <w:rFonts w:ascii="Calibri"/>
                <w:b/>
                <w:color w:val="FFFFFF"/>
                <w:sz w:val="20"/>
              </w:rPr>
              <w:t>to</w:t>
            </w:r>
            <w:r>
              <w:rPr>
                <w:rFonts w:ascii="Calibri"/>
                <w:b/>
                <w:color w:val="FFFFFF"/>
                <w:spacing w:val="-5"/>
                <w:sz w:val="20"/>
              </w:rPr>
              <w:t xml:space="preserve"> </w:t>
            </w:r>
            <w:r>
              <w:rPr>
                <w:rFonts w:ascii="Calibri"/>
                <w:b/>
                <w:color w:val="FFFFFF"/>
                <w:sz w:val="20"/>
              </w:rPr>
              <w:t>be</w:t>
            </w:r>
            <w:r>
              <w:rPr>
                <w:rFonts w:ascii="Calibri"/>
                <w:b/>
                <w:color w:val="FFFFFF"/>
                <w:spacing w:val="-4"/>
                <w:sz w:val="20"/>
              </w:rPr>
              <w:t xml:space="preserve"> </w:t>
            </w:r>
            <w:r>
              <w:rPr>
                <w:rFonts w:ascii="Calibri"/>
                <w:b/>
                <w:color w:val="FFFFFF"/>
                <w:sz w:val="20"/>
              </w:rPr>
              <w:t>delivered</w:t>
            </w:r>
            <w:r>
              <w:rPr>
                <w:rFonts w:ascii="Calibri"/>
                <w:b/>
                <w:color w:val="FFFFFF"/>
                <w:spacing w:val="-3"/>
                <w:sz w:val="20"/>
              </w:rPr>
              <w:t xml:space="preserve"> </w:t>
            </w:r>
            <w:r>
              <w:rPr>
                <w:rFonts w:ascii="Calibri"/>
                <w:b/>
                <w:color w:val="FFFFFF"/>
                <w:sz w:val="20"/>
              </w:rPr>
              <w:t>in</w:t>
            </w:r>
            <w:r>
              <w:rPr>
                <w:rFonts w:ascii="Calibri"/>
                <w:b/>
                <w:color w:val="FFFFFF"/>
                <w:spacing w:val="-3"/>
                <w:sz w:val="20"/>
              </w:rPr>
              <w:t xml:space="preserve"> </w:t>
            </w:r>
            <w:r>
              <w:rPr>
                <w:rFonts w:ascii="Calibri"/>
                <w:b/>
                <w:color w:val="FFFFFF"/>
                <w:sz w:val="20"/>
              </w:rPr>
              <w:t>order</w:t>
            </w:r>
            <w:r>
              <w:rPr>
                <w:rFonts w:ascii="Calibri"/>
                <w:b/>
                <w:color w:val="FFFFFF"/>
                <w:spacing w:val="-5"/>
                <w:sz w:val="20"/>
              </w:rPr>
              <w:t xml:space="preserve"> </w:t>
            </w:r>
            <w:r>
              <w:rPr>
                <w:rFonts w:ascii="Calibri"/>
                <w:b/>
                <w:color w:val="FFFFFF"/>
                <w:sz w:val="20"/>
              </w:rPr>
              <w:t>to</w:t>
            </w:r>
            <w:r>
              <w:rPr>
                <w:rFonts w:ascii="Calibri"/>
                <w:b/>
                <w:color w:val="FFFFFF"/>
                <w:spacing w:val="-3"/>
                <w:sz w:val="20"/>
              </w:rPr>
              <w:t xml:space="preserve"> </w:t>
            </w:r>
            <w:r>
              <w:rPr>
                <w:rFonts w:ascii="Calibri"/>
                <w:b/>
                <w:color w:val="FFFFFF"/>
                <w:sz w:val="20"/>
              </w:rPr>
              <w:t>achieve</w:t>
            </w:r>
            <w:r>
              <w:rPr>
                <w:rFonts w:ascii="Calibri"/>
                <w:b/>
                <w:color w:val="FFFFFF"/>
                <w:spacing w:val="-3"/>
                <w:sz w:val="20"/>
              </w:rPr>
              <w:t xml:space="preserve"> </w:t>
            </w:r>
            <w:r>
              <w:rPr>
                <w:rFonts w:ascii="Calibri"/>
                <w:b/>
                <w:color w:val="FFFFFF"/>
                <w:spacing w:val="-5"/>
                <w:sz w:val="20"/>
              </w:rPr>
              <w:t>the</w:t>
            </w:r>
          </w:p>
          <w:p w14:paraId="65536879" w14:textId="77777777" w:rsidR="00BC24A8" w:rsidRDefault="00000000">
            <w:pPr>
              <w:pStyle w:val="TableParagraph"/>
              <w:spacing w:before="20"/>
              <w:ind w:left="134"/>
              <w:rPr>
                <w:rFonts w:ascii="Calibri"/>
                <w:b/>
                <w:sz w:val="20"/>
              </w:rPr>
            </w:pPr>
            <w:r>
              <w:rPr>
                <w:rFonts w:ascii="Calibri"/>
                <w:b/>
                <w:color w:val="FFFFFF"/>
                <w:spacing w:val="-2"/>
                <w:sz w:val="20"/>
              </w:rPr>
              <w:t>narrative</w:t>
            </w:r>
          </w:p>
        </w:tc>
      </w:tr>
      <w:tr w:rsidR="00BC24A8" w14:paraId="17DAE0D1" w14:textId="77777777">
        <w:trPr>
          <w:trHeight w:val="1156"/>
        </w:trPr>
        <w:tc>
          <w:tcPr>
            <w:tcW w:w="3310" w:type="dxa"/>
            <w:tcBorders>
              <w:bottom w:val="single" w:sz="4" w:space="0" w:color="BEBEBE"/>
            </w:tcBorders>
          </w:tcPr>
          <w:p w14:paraId="4912D95C" w14:textId="77777777" w:rsidR="00BC24A8" w:rsidRDefault="00000000">
            <w:pPr>
              <w:pStyle w:val="TableParagraph"/>
              <w:spacing w:before="162"/>
              <w:ind w:left="115"/>
              <w:rPr>
                <w:sz w:val="18"/>
              </w:rPr>
            </w:pPr>
            <w:r>
              <w:rPr>
                <w:sz w:val="18"/>
              </w:rPr>
              <w:t>Develop and institutionalise consultation spaces</w:t>
            </w:r>
            <w:r>
              <w:rPr>
                <w:spacing w:val="-10"/>
                <w:sz w:val="18"/>
              </w:rPr>
              <w:t xml:space="preserve"> </w:t>
            </w:r>
            <w:r>
              <w:rPr>
                <w:sz w:val="18"/>
              </w:rPr>
              <w:t>and</w:t>
            </w:r>
            <w:r>
              <w:rPr>
                <w:spacing w:val="-10"/>
                <w:sz w:val="18"/>
              </w:rPr>
              <w:t xml:space="preserve"> </w:t>
            </w:r>
            <w:r>
              <w:rPr>
                <w:sz w:val="18"/>
              </w:rPr>
              <w:t>engagement</w:t>
            </w:r>
            <w:r>
              <w:rPr>
                <w:spacing w:val="-9"/>
                <w:sz w:val="18"/>
              </w:rPr>
              <w:t xml:space="preserve"> </w:t>
            </w:r>
            <w:r>
              <w:rPr>
                <w:sz w:val="18"/>
              </w:rPr>
              <w:t>mechanisms</w:t>
            </w:r>
            <w:r>
              <w:rPr>
                <w:spacing w:val="-10"/>
                <w:sz w:val="18"/>
              </w:rPr>
              <w:t xml:space="preserve"> </w:t>
            </w:r>
            <w:r>
              <w:rPr>
                <w:sz w:val="18"/>
              </w:rPr>
              <w:t>with vulnerable</w:t>
            </w:r>
            <w:r>
              <w:rPr>
                <w:spacing w:val="-8"/>
                <w:sz w:val="18"/>
              </w:rPr>
              <w:t xml:space="preserve"> </w:t>
            </w:r>
            <w:r>
              <w:rPr>
                <w:sz w:val="18"/>
              </w:rPr>
              <w:t>communities</w:t>
            </w:r>
            <w:r>
              <w:rPr>
                <w:spacing w:val="-10"/>
                <w:sz w:val="18"/>
              </w:rPr>
              <w:t xml:space="preserve"> </w:t>
            </w:r>
            <w:r>
              <w:rPr>
                <w:sz w:val="18"/>
              </w:rPr>
              <w:t>to</w:t>
            </w:r>
            <w:r>
              <w:rPr>
                <w:spacing w:val="-8"/>
                <w:sz w:val="18"/>
              </w:rPr>
              <w:t xml:space="preserve"> </w:t>
            </w:r>
            <w:r>
              <w:rPr>
                <w:sz w:val="18"/>
              </w:rPr>
              <w:t>promote</w:t>
            </w:r>
            <w:r>
              <w:rPr>
                <w:spacing w:val="-8"/>
                <w:sz w:val="18"/>
              </w:rPr>
              <w:t xml:space="preserve"> </w:t>
            </w:r>
            <w:r>
              <w:rPr>
                <w:sz w:val="18"/>
              </w:rPr>
              <w:t>more inclusive</w:t>
            </w:r>
            <w:r>
              <w:rPr>
                <w:spacing w:val="-6"/>
                <w:sz w:val="18"/>
              </w:rPr>
              <w:t xml:space="preserve"> </w:t>
            </w:r>
            <w:r>
              <w:rPr>
                <w:sz w:val="18"/>
              </w:rPr>
              <w:t>planning.</w:t>
            </w:r>
          </w:p>
        </w:tc>
        <w:tc>
          <w:tcPr>
            <w:tcW w:w="5789" w:type="dxa"/>
            <w:tcBorders>
              <w:bottom w:val="single" w:sz="4" w:space="0" w:color="BEBEBE"/>
            </w:tcBorders>
          </w:tcPr>
          <w:p w14:paraId="732970D7" w14:textId="77777777" w:rsidR="00BC24A8" w:rsidRDefault="00000000">
            <w:pPr>
              <w:pStyle w:val="TableParagraph"/>
              <w:numPr>
                <w:ilvl w:val="0"/>
                <w:numId w:val="10"/>
              </w:numPr>
              <w:tabs>
                <w:tab w:val="left" w:pos="465"/>
              </w:tabs>
              <w:spacing w:before="162"/>
              <w:ind w:right="220" w:hanging="361"/>
              <w:rPr>
                <w:sz w:val="18"/>
              </w:rPr>
            </w:pPr>
            <w:r>
              <w:rPr>
                <w:sz w:val="18"/>
              </w:rPr>
              <w:t>GEDSI: involvement of persons with disabilities in providing input for RAD</w:t>
            </w:r>
            <w:r>
              <w:rPr>
                <w:spacing w:val="-3"/>
                <w:sz w:val="18"/>
              </w:rPr>
              <w:t xml:space="preserve"> </w:t>
            </w:r>
            <w:r>
              <w:rPr>
                <w:sz w:val="18"/>
              </w:rPr>
              <w:t>PD</w:t>
            </w:r>
            <w:r>
              <w:rPr>
                <w:spacing w:val="-3"/>
                <w:sz w:val="18"/>
              </w:rPr>
              <w:t xml:space="preserve"> </w:t>
            </w:r>
            <w:r>
              <w:rPr>
                <w:sz w:val="18"/>
              </w:rPr>
              <w:t>and</w:t>
            </w:r>
            <w:r>
              <w:rPr>
                <w:spacing w:val="-4"/>
                <w:sz w:val="18"/>
              </w:rPr>
              <w:t xml:space="preserve"> </w:t>
            </w:r>
            <w:r>
              <w:rPr>
                <w:sz w:val="18"/>
              </w:rPr>
              <w:t>as</w:t>
            </w:r>
            <w:r>
              <w:rPr>
                <w:spacing w:val="-4"/>
                <w:sz w:val="18"/>
              </w:rPr>
              <w:t xml:space="preserve"> </w:t>
            </w:r>
            <w:r>
              <w:rPr>
                <w:sz w:val="18"/>
              </w:rPr>
              <w:t>a</w:t>
            </w:r>
            <w:r>
              <w:rPr>
                <w:spacing w:val="-5"/>
                <w:sz w:val="18"/>
              </w:rPr>
              <w:t xml:space="preserve"> </w:t>
            </w:r>
            <w:r>
              <w:rPr>
                <w:sz w:val="18"/>
              </w:rPr>
              <w:t>part</w:t>
            </w:r>
            <w:r>
              <w:rPr>
                <w:spacing w:val="-3"/>
                <w:sz w:val="18"/>
              </w:rPr>
              <w:t xml:space="preserve"> </w:t>
            </w:r>
            <w:r>
              <w:rPr>
                <w:sz w:val="18"/>
              </w:rPr>
              <w:t>of</w:t>
            </w:r>
            <w:r>
              <w:rPr>
                <w:spacing w:val="-5"/>
                <w:sz w:val="18"/>
              </w:rPr>
              <w:t xml:space="preserve"> </w:t>
            </w:r>
            <w:r>
              <w:rPr>
                <w:sz w:val="18"/>
              </w:rPr>
              <w:t>the</w:t>
            </w:r>
            <w:r>
              <w:rPr>
                <w:spacing w:val="-4"/>
                <w:sz w:val="18"/>
              </w:rPr>
              <w:t xml:space="preserve"> </w:t>
            </w:r>
            <w:r>
              <w:rPr>
                <w:sz w:val="18"/>
              </w:rPr>
              <w:t>Technical</w:t>
            </w:r>
            <w:r>
              <w:rPr>
                <w:spacing w:val="-3"/>
                <w:sz w:val="18"/>
              </w:rPr>
              <w:t xml:space="preserve"> </w:t>
            </w:r>
            <w:r>
              <w:rPr>
                <w:sz w:val="18"/>
              </w:rPr>
              <w:t>Team</w:t>
            </w:r>
            <w:r>
              <w:rPr>
                <w:spacing w:val="-5"/>
                <w:sz w:val="18"/>
              </w:rPr>
              <w:t xml:space="preserve"> </w:t>
            </w:r>
            <w:r>
              <w:rPr>
                <w:sz w:val="18"/>
              </w:rPr>
              <w:t>on</w:t>
            </w:r>
            <w:r>
              <w:rPr>
                <w:spacing w:val="-4"/>
                <w:sz w:val="18"/>
              </w:rPr>
              <w:t xml:space="preserve"> </w:t>
            </w:r>
            <w:r>
              <w:rPr>
                <w:sz w:val="18"/>
              </w:rPr>
              <w:t>Gender</w:t>
            </w:r>
            <w:r>
              <w:rPr>
                <w:spacing w:val="-4"/>
                <w:sz w:val="18"/>
              </w:rPr>
              <w:t xml:space="preserve"> </w:t>
            </w:r>
            <w:r>
              <w:rPr>
                <w:sz w:val="18"/>
              </w:rPr>
              <w:t xml:space="preserve">Mainstreaming </w:t>
            </w:r>
            <w:r>
              <w:rPr>
                <w:spacing w:val="-2"/>
                <w:sz w:val="18"/>
              </w:rPr>
              <w:t>(PUG).</w:t>
            </w:r>
          </w:p>
        </w:tc>
      </w:tr>
      <w:tr w:rsidR="00BC24A8" w14:paraId="69029EBC" w14:textId="77777777">
        <w:trPr>
          <w:trHeight w:val="1991"/>
        </w:trPr>
        <w:tc>
          <w:tcPr>
            <w:tcW w:w="3310" w:type="dxa"/>
            <w:tcBorders>
              <w:top w:val="single" w:sz="4" w:space="0" w:color="BEBEBE"/>
              <w:bottom w:val="single" w:sz="4" w:space="0" w:color="BEBEBE"/>
            </w:tcBorders>
          </w:tcPr>
          <w:p w14:paraId="42EF7D61" w14:textId="77777777" w:rsidR="00BC24A8" w:rsidRDefault="00000000">
            <w:pPr>
              <w:pStyle w:val="TableParagraph"/>
              <w:spacing w:before="116"/>
              <w:ind w:left="115" w:right="90"/>
              <w:rPr>
                <w:sz w:val="18"/>
              </w:rPr>
            </w:pPr>
            <w:r>
              <w:rPr>
                <w:sz w:val="18"/>
              </w:rPr>
              <w:t>Strengthen the data governance framework</w:t>
            </w:r>
            <w:r>
              <w:rPr>
                <w:spacing w:val="-10"/>
                <w:sz w:val="18"/>
              </w:rPr>
              <w:t xml:space="preserve"> </w:t>
            </w:r>
            <w:r>
              <w:rPr>
                <w:sz w:val="18"/>
              </w:rPr>
              <w:t>to</w:t>
            </w:r>
            <w:r>
              <w:rPr>
                <w:spacing w:val="-10"/>
                <w:sz w:val="18"/>
              </w:rPr>
              <w:t xml:space="preserve"> </w:t>
            </w:r>
            <w:r>
              <w:rPr>
                <w:sz w:val="18"/>
              </w:rPr>
              <w:t>support</w:t>
            </w:r>
            <w:r>
              <w:rPr>
                <w:spacing w:val="-9"/>
                <w:sz w:val="18"/>
              </w:rPr>
              <w:t xml:space="preserve"> </w:t>
            </w:r>
            <w:r>
              <w:rPr>
                <w:sz w:val="18"/>
              </w:rPr>
              <w:t>inclusive</w:t>
            </w:r>
            <w:r>
              <w:rPr>
                <w:spacing w:val="-10"/>
                <w:sz w:val="18"/>
              </w:rPr>
              <w:t xml:space="preserve"> </w:t>
            </w:r>
            <w:r>
              <w:rPr>
                <w:sz w:val="18"/>
              </w:rPr>
              <w:t>basic service</w:t>
            </w:r>
            <w:r>
              <w:rPr>
                <w:spacing w:val="-2"/>
                <w:sz w:val="18"/>
              </w:rPr>
              <w:t xml:space="preserve"> </w:t>
            </w:r>
            <w:r>
              <w:rPr>
                <w:sz w:val="18"/>
              </w:rPr>
              <w:t>delivery</w:t>
            </w:r>
          </w:p>
        </w:tc>
        <w:tc>
          <w:tcPr>
            <w:tcW w:w="5789" w:type="dxa"/>
            <w:tcBorders>
              <w:top w:val="single" w:sz="4" w:space="0" w:color="BEBEBE"/>
              <w:bottom w:val="single" w:sz="4" w:space="0" w:color="BEBEBE"/>
            </w:tcBorders>
          </w:tcPr>
          <w:p w14:paraId="78A9C8B4" w14:textId="77777777" w:rsidR="00BC24A8" w:rsidRDefault="00000000">
            <w:pPr>
              <w:pStyle w:val="TableParagraph"/>
              <w:numPr>
                <w:ilvl w:val="0"/>
                <w:numId w:val="9"/>
              </w:numPr>
              <w:tabs>
                <w:tab w:val="left" w:pos="465"/>
              </w:tabs>
              <w:spacing w:before="116"/>
              <w:ind w:right="132" w:hanging="361"/>
              <w:rPr>
                <w:sz w:val="18"/>
              </w:rPr>
            </w:pPr>
            <w:r>
              <w:rPr>
                <w:sz w:val="18"/>
              </w:rPr>
              <w:t>SIRIOS Expansion: Accelerated SIRIOS data collection in Asmat, Boven Digoel,</w:t>
            </w:r>
            <w:r>
              <w:rPr>
                <w:spacing w:val="-6"/>
                <w:sz w:val="18"/>
              </w:rPr>
              <w:t xml:space="preserve"> </w:t>
            </w:r>
            <w:r>
              <w:rPr>
                <w:sz w:val="18"/>
              </w:rPr>
              <w:t>and</w:t>
            </w:r>
            <w:r>
              <w:rPr>
                <w:spacing w:val="-5"/>
                <w:sz w:val="18"/>
              </w:rPr>
              <w:t xml:space="preserve"> </w:t>
            </w:r>
            <w:r>
              <w:rPr>
                <w:sz w:val="18"/>
              </w:rPr>
              <w:t>Mappi</w:t>
            </w:r>
            <w:r>
              <w:rPr>
                <w:spacing w:val="-4"/>
                <w:sz w:val="18"/>
              </w:rPr>
              <w:t xml:space="preserve"> </w:t>
            </w:r>
            <w:r>
              <w:rPr>
                <w:sz w:val="18"/>
              </w:rPr>
              <w:t>districts</w:t>
            </w:r>
            <w:r>
              <w:rPr>
                <w:spacing w:val="-8"/>
                <w:sz w:val="18"/>
              </w:rPr>
              <w:t xml:space="preserve"> </w:t>
            </w:r>
            <w:r>
              <w:rPr>
                <w:sz w:val="18"/>
              </w:rPr>
              <w:t>through</w:t>
            </w:r>
            <w:r>
              <w:rPr>
                <w:spacing w:val="-5"/>
                <w:sz w:val="18"/>
              </w:rPr>
              <w:t xml:space="preserve"> </w:t>
            </w:r>
            <w:r>
              <w:rPr>
                <w:sz w:val="18"/>
              </w:rPr>
              <w:t>collaboration</w:t>
            </w:r>
            <w:r>
              <w:rPr>
                <w:spacing w:val="-5"/>
                <w:sz w:val="18"/>
              </w:rPr>
              <w:t xml:space="preserve"> </w:t>
            </w:r>
            <w:r>
              <w:rPr>
                <w:sz w:val="18"/>
              </w:rPr>
              <w:t>with</w:t>
            </w:r>
            <w:r>
              <w:rPr>
                <w:spacing w:val="-5"/>
                <w:sz w:val="18"/>
              </w:rPr>
              <w:t xml:space="preserve"> </w:t>
            </w:r>
            <w:r>
              <w:rPr>
                <w:sz w:val="18"/>
              </w:rPr>
              <w:t>external</w:t>
            </w:r>
            <w:r>
              <w:rPr>
                <w:spacing w:val="-4"/>
                <w:sz w:val="18"/>
              </w:rPr>
              <w:t xml:space="preserve"> </w:t>
            </w:r>
            <w:r>
              <w:rPr>
                <w:sz w:val="18"/>
              </w:rPr>
              <w:t>partners (universities,</w:t>
            </w:r>
            <w:r>
              <w:rPr>
                <w:spacing w:val="-2"/>
                <w:sz w:val="18"/>
              </w:rPr>
              <w:t xml:space="preserve"> </w:t>
            </w:r>
            <w:r>
              <w:rPr>
                <w:sz w:val="18"/>
              </w:rPr>
              <w:t>churches).</w:t>
            </w:r>
          </w:p>
          <w:p w14:paraId="248592C2" w14:textId="77777777" w:rsidR="00BC24A8" w:rsidRDefault="00000000">
            <w:pPr>
              <w:pStyle w:val="TableParagraph"/>
              <w:numPr>
                <w:ilvl w:val="0"/>
                <w:numId w:val="9"/>
              </w:numPr>
              <w:tabs>
                <w:tab w:val="left" w:pos="465"/>
              </w:tabs>
              <w:spacing w:before="1"/>
              <w:ind w:right="201" w:hanging="361"/>
              <w:rPr>
                <w:sz w:val="18"/>
              </w:rPr>
            </w:pPr>
            <w:r>
              <w:rPr>
                <w:sz w:val="18"/>
              </w:rPr>
              <w:t>One Data Strengthening: Development of one data regulations, advocacy</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data</w:t>
            </w:r>
            <w:r>
              <w:rPr>
                <w:spacing w:val="-4"/>
                <w:sz w:val="18"/>
              </w:rPr>
              <w:t xml:space="preserve"> </w:t>
            </w:r>
            <w:r>
              <w:rPr>
                <w:sz w:val="18"/>
              </w:rPr>
              <w:t>portal,</w:t>
            </w:r>
            <w:r>
              <w:rPr>
                <w:spacing w:val="-4"/>
                <w:sz w:val="18"/>
              </w:rPr>
              <w:t xml:space="preserve"> </w:t>
            </w:r>
            <w:r>
              <w:rPr>
                <w:sz w:val="18"/>
              </w:rPr>
              <w:t>capacity</w:t>
            </w:r>
            <w:r>
              <w:rPr>
                <w:spacing w:val="-3"/>
                <w:sz w:val="18"/>
              </w:rPr>
              <w:t xml:space="preserve"> </w:t>
            </w:r>
            <w:r>
              <w:rPr>
                <w:sz w:val="18"/>
              </w:rPr>
              <w:t>building</w:t>
            </w:r>
            <w:r>
              <w:rPr>
                <w:spacing w:val="-4"/>
                <w:sz w:val="18"/>
              </w:rPr>
              <w:t xml:space="preserve"> </w:t>
            </w:r>
            <w:r>
              <w:rPr>
                <w:sz w:val="18"/>
              </w:rPr>
              <w:t>for</w:t>
            </w:r>
            <w:r>
              <w:rPr>
                <w:spacing w:val="-3"/>
                <w:sz w:val="18"/>
              </w:rPr>
              <w:t xml:space="preserve"> </w:t>
            </w:r>
            <w:r>
              <w:rPr>
                <w:sz w:val="18"/>
              </w:rPr>
              <w:t>data</w:t>
            </w:r>
            <w:r>
              <w:rPr>
                <w:spacing w:val="-4"/>
                <w:sz w:val="18"/>
              </w:rPr>
              <w:t xml:space="preserve"> </w:t>
            </w:r>
            <w:r>
              <w:rPr>
                <w:sz w:val="18"/>
              </w:rPr>
              <w:t>custodians,</w:t>
            </w:r>
            <w:r>
              <w:rPr>
                <w:spacing w:val="-7"/>
                <w:sz w:val="18"/>
              </w:rPr>
              <w:t xml:space="preserve"> </w:t>
            </w:r>
            <w:r>
              <w:rPr>
                <w:sz w:val="18"/>
              </w:rPr>
              <w:t>and ensuring the functionality of the One Data forum.</w:t>
            </w:r>
          </w:p>
          <w:p w14:paraId="335BEF93" w14:textId="77777777" w:rsidR="00BC24A8" w:rsidRDefault="00000000">
            <w:pPr>
              <w:pStyle w:val="TableParagraph"/>
              <w:numPr>
                <w:ilvl w:val="0"/>
                <w:numId w:val="9"/>
              </w:numPr>
              <w:tabs>
                <w:tab w:val="left" w:pos="465"/>
              </w:tabs>
              <w:spacing w:before="1"/>
              <w:ind w:right="112" w:hanging="361"/>
              <w:rPr>
                <w:sz w:val="18"/>
              </w:rPr>
            </w:pPr>
            <w:r>
              <w:rPr>
                <w:sz w:val="18"/>
              </w:rPr>
              <w:t>Data</w:t>
            </w:r>
            <w:r>
              <w:rPr>
                <w:spacing w:val="-5"/>
                <w:sz w:val="18"/>
              </w:rPr>
              <w:t xml:space="preserve"> </w:t>
            </w:r>
            <w:r>
              <w:rPr>
                <w:sz w:val="18"/>
              </w:rPr>
              <w:t>Analysis</w:t>
            </w:r>
            <w:r>
              <w:rPr>
                <w:spacing w:val="-4"/>
                <w:sz w:val="18"/>
              </w:rPr>
              <w:t xml:space="preserve"> </w:t>
            </w:r>
            <w:r>
              <w:rPr>
                <w:sz w:val="18"/>
              </w:rPr>
              <w:t>Capacity:</w:t>
            </w:r>
            <w:r>
              <w:rPr>
                <w:spacing w:val="-4"/>
                <w:sz w:val="18"/>
              </w:rPr>
              <w:t xml:space="preserve"> </w:t>
            </w:r>
            <w:r>
              <w:rPr>
                <w:sz w:val="18"/>
              </w:rPr>
              <w:t>Strengthening</w:t>
            </w:r>
            <w:r>
              <w:rPr>
                <w:spacing w:val="-5"/>
                <w:sz w:val="18"/>
              </w:rPr>
              <w:t xml:space="preserve"> </w:t>
            </w:r>
            <w:r>
              <w:rPr>
                <w:sz w:val="18"/>
              </w:rPr>
              <w:t>analytical</w:t>
            </w:r>
            <w:r>
              <w:rPr>
                <w:spacing w:val="-3"/>
                <w:sz w:val="18"/>
              </w:rPr>
              <w:t xml:space="preserve"> </w:t>
            </w:r>
            <w:r>
              <w:rPr>
                <w:sz w:val="18"/>
              </w:rPr>
              <w:t>skills</w:t>
            </w:r>
            <w:r>
              <w:rPr>
                <w:spacing w:val="-4"/>
                <w:sz w:val="18"/>
              </w:rPr>
              <w:t xml:space="preserve"> </w:t>
            </w:r>
            <w:r>
              <w:rPr>
                <w:sz w:val="18"/>
              </w:rPr>
              <w:t>through</w:t>
            </w:r>
            <w:r>
              <w:rPr>
                <w:spacing w:val="-4"/>
                <w:sz w:val="18"/>
              </w:rPr>
              <w:t xml:space="preserve"> </w:t>
            </w:r>
            <w:r>
              <w:rPr>
                <w:sz w:val="18"/>
              </w:rPr>
              <w:t>the</w:t>
            </w:r>
            <w:r>
              <w:rPr>
                <w:spacing w:val="-4"/>
                <w:sz w:val="18"/>
              </w:rPr>
              <w:t xml:space="preserve"> </w:t>
            </w:r>
            <w:r>
              <w:rPr>
                <w:sz w:val="18"/>
              </w:rPr>
              <w:t>use</w:t>
            </w:r>
            <w:r>
              <w:rPr>
                <w:spacing w:val="-4"/>
                <w:sz w:val="18"/>
              </w:rPr>
              <w:t xml:space="preserve"> </w:t>
            </w:r>
            <w:r>
              <w:rPr>
                <w:sz w:val="18"/>
              </w:rPr>
              <w:t xml:space="preserve">of </w:t>
            </w:r>
            <w:r>
              <w:rPr>
                <w:spacing w:val="-2"/>
                <w:sz w:val="18"/>
              </w:rPr>
              <w:t>SEPAKAT.</w:t>
            </w:r>
          </w:p>
        </w:tc>
      </w:tr>
      <w:tr w:rsidR="00BC24A8" w14:paraId="7A7CF469" w14:textId="77777777">
        <w:trPr>
          <w:trHeight w:val="1113"/>
        </w:trPr>
        <w:tc>
          <w:tcPr>
            <w:tcW w:w="3310" w:type="dxa"/>
            <w:tcBorders>
              <w:top w:val="single" w:sz="4" w:space="0" w:color="BEBEBE"/>
              <w:bottom w:val="single" w:sz="4" w:space="0" w:color="BEBEBE"/>
            </w:tcBorders>
          </w:tcPr>
          <w:p w14:paraId="24908550" w14:textId="77777777" w:rsidR="00BC24A8" w:rsidRDefault="00000000">
            <w:pPr>
              <w:pStyle w:val="TableParagraph"/>
              <w:spacing w:before="119"/>
              <w:ind w:left="115"/>
              <w:rPr>
                <w:sz w:val="18"/>
              </w:rPr>
            </w:pPr>
            <w:r>
              <w:rPr>
                <w:sz w:val="18"/>
              </w:rPr>
              <w:t>Develop</w:t>
            </w:r>
            <w:r>
              <w:rPr>
                <w:spacing w:val="-7"/>
                <w:sz w:val="18"/>
              </w:rPr>
              <w:t xml:space="preserve"> </w:t>
            </w:r>
            <w:r>
              <w:rPr>
                <w:sz w:val="18"/>
              </w:rPr>
              <w:t>a</w:t>
            </w:r>
            <w:r>
              <w:rPr>
                <w:spacing w:val="-8"/>
                <w:sz w:val="18"/>
              </w:rPr>
              <w:t xml:space="preserve"> </w:t>
            </w:r>
            <w:r>
              <w:rPr>
                <w:sz w:val="18"/>
              </w:rPr>
              <w:t>more</w:t>
            </w:r>
            <w:r>
              <w:rPr>
                <w:spacing w:val="-7"/>
                <w:sz w:val="18"/>
              </w:rPr>
              <w:t xml:space="preserve"> </w:t>
            </w:r>
            <w:r>
              <w:rPr>
                <w:sz w:val="18"/>
              </w:rPr>
              <w:t>consolidated</w:t>
            </w:r>
            <w:r>
              <w:rPr>
                <w:spacing w:val="-7"/>
                <w:sz w:val="18"/>
              </w:rPr>
              <w:t xml:space="preserve"> </w:t>
            </w:r>
            <w:r>
              <w:rPr>
                <w:sz w:val="18"/>
              </w:rPr>
              <w:t>and</w:t>
            </w:r>
            <w:r>
              <w:rPr>
                <w:spacing w:val="-10"/>
                <w:sz w:val="18"/>
              </w:rPr>
              <w:t xml:space="preserve"> </w:t>
            </w:r>
            <w:r>
              <w:rPr>
                <w:sz w:val="18"/>
              </w:rPr>
              <w:t>inclusive framework for MSS implementation and routine planning</w:t>
            </w:r>
          </w:p>
        </w:tc>
        <w:tc>
          <w:tcPr>
            <w:tcW w:w="5789" w:type="dxa"/>
            <w:tcBorders>
              <w:top w:val="single" w:sz="4" w:space="0" w:color="BEBEBE"/>
              <w:bottom w:val="single" w:sz="4" w:space="0" w:color="BEBEBE"/>
            </w:tcBorders>
          </w:tcPr>
          <w:p w14:paraId="575720EF" w14:textId="77777777" w:rsidR="00BC24A8" w:rsidRDefault="00000000">
            <w:pPr>
              <w:pStyle w:val="TableParagraph"/>
              <w:numPr>
                <w:ilvl w:val="0"/>
                <w:numId w:val="8"/>
              </w:numPr>
              <w:tabs>
                <w:tab w:val="left" w:pos="465"/>
              </w:tabs>
              <w:spacing w:before="119"/>
              <w:ind w:right="655"/>
              <w:rPr>
                <w:sz w:val="18"/>
              </w:rPr>
            </w:pPr>
            <w:r>
              <w:rPr>
                <w:sz w:val="18"/>
              </w:rPr>
              <w:t>MSS:</w:t>
            </w:r>
            <w:r>
              <w:rPr>
                <w:spacing w:val="-4"/>
                <w:sz w:val="18"/>
              </w:rPr>
              <w:t xml:space="preserve"> </w:t>
            </w:r>
            <w:r>
              <w:rPr>
                <w:sz w:val="18"/>
              </w:rPr>
              <w:t>Reporting</w:t>
            </w:r>
            <w:r>
              <w:rPr>
                <w:spacing w:val="-5"/>
                <w:sz w:val="18"/>
              </w:rPr>
              <w:t xml:space="preserve"> </w:t>
            </w:r>
            <w:r>
              <w:rPr>
                <w:sz w:val="18"/>
              </w:rPr>
              <w:t>and</w:t>
            </w:r>
            <w:r>
              <w:rPr>
                <w:spacing w:val="-4"/>
                <w:sz w:val="18"/>
              </w:rPr>
              <w:t xml:space="preserve"> </w:t>
            </w:r>
            <w:r>
              <w:rPr>
                <w:sz w:val="18"/>
              </w:rPr>
              <w:t>costing,</w:t>
            </w:r>
            <w:r>
              <w:rPr>
                <w:spacing w:val="-5"/>
                <w:sz w:val="18"/>
              </w:rPr>
              <w:t xml:space="preserve"> </w:t>
            </w:r>
            <w:r>
              <w:rPr>
                <w:sz w:val="18"/>
              </w:rPr>
              <w:t>integration</w:t>
            </w:r>
            <w:r>
              <w:rPr>
                <w:spacing w:val="-4"/>
                <w:sz w:val="18"/>
              </w:rPr>
              <w:t xml:space="preserve"> </w:t>
            </w:r>
            <w:r>
              <w:rPr>
                <w:sz w:val="18"/>
              </w:rPr>
              <w:t>of</w:t>
            </w:r>
            <w:r>
              <w:rPr>
                <w:spacing w:val="-5"/>
                <w:sz w:val="18"/>
              </w:rPr>
              <w:t xml:space="preserve"> </w:t>
            </w:r>
            <w:r>
              <w:rPr>
                <w:sz w:val="18"/>
              </w:rPr>
              <w:t>MSS</w:t>
            </w:r>
            <w:r>
              <w:rPr>
                <w:spacing w:val="-4"/>
                <w:sz w:val="18"/>
              </w:rPr>
              <w:t xml:space="preserve"> </w:t>
            </w:r>
            <w:r>
              <w:rPr>
                <w:sz w:val="18"/>
              </w:rPr>
              <w:t>Action</w:t>
            </w:r>
            <w:r>
              <w:rPr>
                <w:spacing w:val="-4"/>
                <w:sz w:val="18"/>
              </w:rPr>
              <w:t xml:space="preserve"> </w:t>
            </w:r>
            <w:r>
              <w:rPr>
                <w:sz w:val="18"/>
              </w:rPr>
              <w:t>Plans</w:t>
            </w:r>
            <w:r>
              <w:rPr>
                <w:spacing w:val="-4"/>
                <w:sz w:val="18"/>
              </w:rPr>
              <w:t xml:space="preserve"> </w:t>
            </w:r>
            <w:r>
              <w:rPr>
                <w:sz w:val="18"/>
              </w:rPr>
              <w:t>into planning</w:t>
            </w:r>
            <w:r>
              <w:rPr>
                <w:spacing w:val="-2"/>
                <w:sz w:val="18"/>
              </w:rPr>
              <w:t xml:space="preserve"> </w:t>
            </w:r>
            <w:r>
              <w:rPr>
                <w:sz w:val="18"/>
              </w:rPr>
              <w:t>documents.</w:t>
            </w:r>
          </w:p>
          <w:p w14:paraId="4497469E" w14:textId="77777777" w:rsidR="00BC24A8" w:rsidRDefault="00000000">
            <w:pPr>
              <w:pStyle w:val="TableParagraph"/>
              <w:numPr>
                <w:ilvl w:val="0"/>
                <w:numId w:val="8"/>
              </w:numPr>
              <w:tabs>
                <w:tab w:val="left" w:pos="465"/>
              </w:tabs>
              <w:ind w:right="245"/>
              <w:rPr>
                <w:sz w:val="18"/>
              </w:rPr>
            </w:pPr>
            <w:r>
              <w:rPr>
                <w:sz w:val="18"/>
              </w:rPr>
              <w:t>Policy</w:t>
            </w:r>
            <w:r>
              <w:rPr>
                <w:spacing w:val="-5"/>
                <w:sz w:val="18"/>
              </w:rPr>
              <w:t xml:space="preserve"> </w:t>
            </w:r>
            <w:r>
              <w:rPr>
                <w:sz w:val="18"/>
              </w:rPr>
              <w:t>Advocacy:</w:t>
            </w:r>
            <w:r>
              <w:rPr>
                <w:spacing w:val="-5"/>
                <w:sz w:val="18"/>
              </w:rPr>
              <w:t xml:space="preserve"> </w:t>
            </w:r>
            <w:r>
              <w:rPr>
                <w:sz w:val="18"/>
              </w:rPr>
              <w:t>Strengthening</w:t>
            </w:r>
            <w:r>
              <w:rPr>
                <w:spacing w:val="-5"/>
                <w:sz w:val="18"/>
              </w:rPr>
              <w:t xml:space="preserve"> </w:t>
            </w:r>
            <w:r>
              <w:rPr>
                <w:sz w:val="18"/>
              </w:rPr>
              <w:t>the</w:t>
            </w:r>
            <w:r>
              <w:rPr>
                <w:spacing w:val="-5"/>
                <w:sz w:val="18"/>
              </w:rPr>
              <w:t xml:space="preserve"> </w:t>
            </w:r>
            <w:r>
              <w:rPr>
                <w:sz w:val="18"/>
              </w:rPr>
              <w:t>capacity</w:t>
            </w:r>
            <w:r>
              <w:rPr>
                <w:spacing w:val="-5"/>
                <w:sz w:val="18"/>
              </w:rPr>
              <w:t xml:space="preserve"> </w:t>
            </w:r>
            <w:r>
              <w:rPr>
                <w:sz w:val="18"/>
              </w:rPr>
              <w:t>of</w:t>
            </w:r>
            <w:r>
              <w:rPr>
                <w:spacing w:val="-5"/>
                <w:sz w:val="18"/>
              </w:rPr>
              <w:t xml:space="preserve"> </w:t>
            </w:r>
            <w:r>
              <w:rPr>
                <w:sz w:val="18"/>
              </w:rPr>
              <w:t>functional</w:t>
            </w:r>
            <w:r>
              <w:rPr>
                <w:spacing w:val="-4"/>
                <w:sz w:val="18"/>
              </w:rPr>
              <w:t xml:space="preserve"> </w:t>
            </w:r>
            <w:r>
              <w:rPr>
                <w:sz w:val="18"/>
              </w:rPr>
              <w:t>positions</w:t>
            </w:r>
            <w:r>
              <w:rPr>
                <w:spacing w:val="-7"/>
                <w:sz w:val="18"/>
              </w:rPr>
              <w:t xml:space="preserve"> </w:t>
            </w:r>
            <w:r>
              <w:rPr>
                <w:sz w:val="18"/>
              </w:rPr>
              <w:t>for policy</w:t>
            </w:r>
            <w:r>
              <w:rPr>
                <w:spacing w:val="-2"/>
                <w:sz w:val="18"/>
              </w:rPr>
              <w:t xml:space="preserve"> </w:t>
            </w:r>
            <w:r>
              <w:rPr>
                <w:sz w:val="18"/>
              </w:rPr>
              <w:t>analysis.</w:t>
            </w:r>
          </w:p>
        </w:tc>
      </w:tr>
      <w:tr w:rsidR="00BC24A8" w14:paraId="33381B6F" w14:textId="77777777">
        <w:trPr>
          <w:trHeight w:val="614"/>
        </w:trPr>
        <w:tc>
          <w:tcPr>
            <w:tcW w:w="3310" w:type="dxa"/>
            <w:tcBorders>
              <w:top w:val="single" w:sz="4" w:space="0" w:color="BEBEBE"/>
              <w:bottom w:val="single" w:sz="4" w:space="0" w:color="BEBEBE"/>
            </w:tcBorders>
          </w:tcPr>
          <w:p w14:paraId="26B95842" w14:textId="77777777" w:rsidR="00BC24A8" w:rsidRDefault="00000000">
            <w:pPr>
              <w:pStyle w:val="TableParagraph"/>
              <w:spacing w:before="116"/>
              <w:ind w:left="115"/>
              <w:rPr>
                <w:sz w:val="18"/>
              </w:rPr>
            </w:pPr>
            <w:r>
              <w:rPr>
                <w:sz w:val="18"/>
              </w:rPr>
              <w:t>Establish a more responsive local government</w:t>
            </w:r>
            <w:r>
              <w:rPr>
                <w:spacing w:val="-11"/>
                <w:sz w:val="18"/>
              </w:rPr>
              <w:t xml:space="preserve"> </w:t>
            </w:r>
            <w:r>
              <w:rPr>
                <w:sz w:val="18"/>
              </w:rPr>
              <w:t>budget</w:t>
            </w:r>
            <w:r>
              <w:rPr>
                <w:spacing w:val="-10"/>
                <w:sz w:val="18"/>
              </w:rPr>
              <w:t xml:space="preserve"> </w:t>
            </w:r>
            <w:r>
              <w:rPr>
                <w:sz w:val="18"/>
              </w:rPr>
              <w:t>management</w:t>
            </w:r>
          </w:p>
        </w:tc>
        <w:tc>
          <w:tcPr>
            <w:tcW w:w="5789" w:type="dxa"/>
            <w:tcBorders>
              <w:top w:val="single" w:sz="4" w:space="0" w:color="BEBEBE"/>
              <w:bottom w:val="single" w:sz="4" w:space="0" w:color="BEBEBE"/>
            </w:tcBorders>
          </w:tcPr>
          <w:p w14:paraId="2F7B960C" w14:textId="77777777" w:rsidR="00BC24A8" w:rsidRDefault="00000000">
            <w:pPr>
              <w:pStyle w:val="TableParagraph"/>
              <w:numPr>
                <w:ilvl w:val="0"/>
                <w:numId w:val="7"/>
              </w:numPr>
              <w:tabs>
                <w:tab w:val="left" w:pos="465"/>
              </w:tabs>
              <w:spacing w:before="116"/>
              <w:ind w:right="196"/>
              <w:rPr>
                <w:sz w:val="18"/>
              </w:rPr>
            </w:pPr>
            <w:r>
              <w:rPr>
                <w:sz w:val="18"/>
              </w:rPr>
              <w:t>Regional</w:t>
            </w:r>
            <w:r>
              <w:rPr>
                <w:spacing w:val="-4"/>
                <w:sz w:val="18"/>
              </w:rPr>
              <w:t xml:space="preserve"> </w:t>
            </w:r>
            <w:r>
              <w:rPr>
                <w:sz w:val="18"/>
              </w:rPr>
              <w:t>Revenue</w:t>
            </w:r>
            <w:r>
              <w:rPr>
                <w:spacing w:val="-3"/>
                <w:sz w:val="18"/>
              </w:rPr>
              <w:t xml:space="preserve"> </w:t>
            </w:r>
            <w:r>
              <w:rPr>
                <w:sz w:val="18"/>
              </w:rPr>
              <w:t>(PDRD):</w:t>
            </w:r>
            <w:r>
              <w:rPr>
                <w:spacing w:val="-5"/>
                <w:sz w:val="18"/>
              </w:rPr>
              <w:t xml:space="preserve"> </w:t>
            </w:r>
            <w:r>
              <w:rPr>
                <w:sz w:val="18"/>
              </w:rPr>
              <w:t>Policies</w:t>
            </w:r>
            <w:r>
              <w:rPr>
                <w:spacing w:val="-5"/>
                <w:sz w:val="18"/>
              </w:rPr>
              <w:t xml:space="preserve"> </w:t>
            </w:r>
            <w:r>
              <w:rPr>
                <w:sz w:val="18"/>
              </w:rPr>
              <w:t>and</w:t>
            </w:r>
            <w:r>
              <w:rPr>
                <w:spacing w:val="-5"/>
                <w:sz w:val="18"/>
              </w:rPr>
              <w:t xml:space="preserve"> </w:t>
            </w:r>
            <w:r>
              <w:rPr>
                <w:sz w:val="18"/>
              </w:rPr>
              <w:t>regulations</w:t>
            </w:r>
            <w:r>
              <w:rPr>
                <w:spacing w:val="-5"/>
                <w:sz w:val="18"/>
              </w:rPr>
              <w:t xml:space="preserve"> </w:t>
            </w:r>
            <w:r>
              <w:rPr>
                <w:sz w:val="18"/>
              </w:rPr>
              <w:t>to</w:t>
            </w:r>
            <w:r>
              <w:rPr>
                <w:spacing w:val="-6"/>
                <w:sz w:val="18"/>
              </w:rPr>
              <w:t xml:space="preserve"> </w:t>
            </w:r>
            <w:r>
              <w:rPr>
                <w:sz w:val="18"/>
              </w:rPr>
              <w:t>optimise</w:t>
            </w:r>
            <w:r>
              <w:rPr>
                <w:spacing w:val="-6"/>
                <w:sz w:val="18"/>
              </w:rPr>
              <w:t xml:space="preserve"> </w:t>
            </w:r>
            <w:r>
              <w:rPr>
                <w:sz w:val="18"/>
              </w:rPr>
              <w:t>regional revenue, with enhanced capacity for ASN.</w:t>
            </w:r>
          </w:p>
        </w:tc>
      </w:tr>
    </w:tbl>
    <w:p w14:paraId="0A813955" w14:textId="77777777" w:rsidR="00BC24A8" w:rsidRDefault="00BC24A8">
      <w:pPr>
        <w:pStyle w:val="TableParagraph"/>
        <w:rPr>
          <w:sz w:val="18"/>
        </w:rPr>
        <w:sectPr w:rsidR="00BC24A8">
          <w:type w:val="continuous"/>
          <w:pgSz w:w="11910" w:h="16840"/>
          <w:pgMar w:top="1520" w:right="850" w:bottom="1427" w:left="1275" w:header="0" w:footer="907" w:gutter="0"/>
          <w:cols w:space="720"/>
        </w:sectPr>
      </w:pPr>
    </w:p>
    <w:tbl>
      <w:tblPr>
        <w:tblW w:w="0" w:type="auto"/>
        <w:tblInd w:w="143" w:type="dxa"/>
        <w:tblLayout w:type="fixed"/>
        <w:tblCellMar>
          <w:left w:w="0" w:type="dxa"/>
          <w:right w:w="0" w:type="dxa"/>
        </w:tblCellMar>
        <w:tblLook w:val="01E0" w:firstRow="1" w:lastRow="1" w:firstColumn="1" w:lastColumn="1" w:noHBand="0" w:noVBand="0"/>
      </w:tblPr>
      <w:tblGrid>
        <w:gridCol w:w="3226"/>
        <w:gridCol w:w="5872"/>
      </w:tblGrid>
      <w:tr w:rsidR="00BC24A8" w14:paraId="79D8582A" w14:textId="77777777">
        <w:trPr>
          <w:trHeight w:val="994"/>
        </w:trPr>
        <w:tc>
          <w:tcPr>
            <w:tcW w:w="3226" w:type="dxa"/>
            <w:tcBorders>
              <w:bottom w:val="single" w:sz="4" w:space="0" w:color="BEBEBE"/>
            </w:tcBorders>
          </w:tcPr>
          <w:p w14:paraId="1A813AB6" w14:textId="77777777" w:rsidR="00BC24A8" w:rsidRDefault="00000000">
            <w:pPr>
              <w:pStyle w:val="TableParagraph"/>
              <w:ind w:left="115" w:right="73"/>
              <w:rPr>
                <w:sz w:val="18"/>
              </w:rPr>
            </w:pPr>
            <w:r>
              <w:rPr>
                <w:sz w:val="18"/>
              </w:rPr>
              <w:t>framework</w:t>
            </w:r>
            <w:r>
              <w:rPr>
                <w:spacing w:val="-9"/>
                <w:sz w:val="18"/>
              </w:rPr>
              <w:t xml:space="preserve"> </w:t>
            </w:r>
            <w:r>
              <w:rPr>
                <w:sz w:val="18"/>
              </w:rPr>
              <w:t>to</w:t>
            </w:r>
            <w:r>
              <w:rPr>
                <w:spacing w:val="-10"/>
                <w:sz w:val="18"/>
              </w:rPr>
              <w:t xml:space="preserve"> </w:t>
            </w:r>
            <w:r>
              <w:rPr>
                <w:sz w:val="18"/>
              </w:rPr>
              <w:t>ensure</w:t>
            </w:r>
            <w:r>
              <w:rPr>
                <w:spacing w:val="-9"/>
                <w:sz w:val="18"/>
              </w:rPr>
              <w:t xml:space="preserve"> </w:t>
            </w:r>
            <w:r>
              <w:rPr>
                <w:sz w:val="18"/>
              </w:rPr>
              <w:t>inclusive</w:t>
            </w:r>
            <w:r>
              <w:rPr>
                <w:spacing w:val="-9"/>
                <w:sz w:val="18"/>
              </w:rPr>
              <w:t xml:space="preserve"> </w:t>
            </w:r>
            <w:r>
              <w:rPr>
                <w:sz w:val="18"/>
              </w:rPr>
              <w:t>basic service</w:t>
            </w:r>
            <w:r>
              <w:rPr>
                <w:spacing w:val="-2"/>
                <w:sz w:val="18"/>
              </w:rPr>
              <w:t xml:space="preserve"> </w:t>
            </w:r>
            <w:r>
              <w:rPr>
                <w:sz w:val="18"/>
              </w:rPr>
              <w:t>delivery</w:t>
            </w:r>
          </w:p>
        </w:tc>
        <w:tc>
          <w:tcPr>
            <w:tcW w:w="5872" w:type="dxa"/>
            <w:tcBorders>
              <w:bottom w:val="single" w:sz="4" w:space="0" w:color="BEBEBE"/>
            </w:tcBorders>
          </w:tcPr>
          <w:p w14:paraId="6AB620DF" w14:textId="77777777" w:rsidR="00BC24A8" w:rsidRDefault="00000000">
            <w:pPr>
              <w:pStyle w:val="TableParagraph"/>
              <w:numPr>
                <w:ilvl w:val="0"/>
                <w:numId w:val="6"/>
              </w:numPr>
              <w:tabs>
                <w:tab w:val="left" w:pos="549"/>
              </w:tabs>
              <w:ind w:right="505"/>
              <w:rPr>
                <w:sz w:val="18"/>
              </w:rPr>
            </w:pPr>
            <w:r>
              <w:rPr>
                <w:sz w:val="18"/>
              </w:rPr>
              <w:t>PPRG (Gender Responsive and Pro-GEDSI Planning): Gap/GBS in provincial</w:t>
            </w:r>
            <w:r>
              <w:rPr>
                <w:spacing w:val="-3"/>
                <w:sz w:val="18"/>
              </w:rPr>
              <w:t xml:space="preserve"> </w:t>
            </w:r>
            <w:r>
              <w:rPr>
                <w:sz w:val="18"/>
              </w:rPr>
              <w:t>agencies’</w:t>
            </w:r>
            <w:r>
              <w:rPr>
                <w:spacing w:val="-5"/>
                <w:sz w:val="18"/>
              </w:rPr>
              <w:t xml:space="preserve"> </w:t>
            </w:r>
            <w:r>
              <w:rPr>
                <w:sz w:val="18"/>
              </w:rPr>
              <w:t>planning,</w:t>
            </w:r>
            <w:r>
              <w:rPr>
                <w:spacing w:val="-5"/>
                <w:sz w:val="18"/>
              </w:rPr>
              <w:t xml:space="preserve"> </w:t>
            </w:r>
            <w:r>
              <w:rPr>
                <w:sz w:val="18"/>
              </w:rPr>
              <w:t>optimising</w:t>
            </w:r>
            <w:r>
              <w:rPr>
                <w:spacing w:val="-5"/>
                <w:sz w:val="18"/>
              </w:rPr>
              <w:t xml:space="preserve"> </w:t>
            </w:r>
            <w:r>
              <w:rPr>
                <w:sz w:val="18"/>
              </w:rPr>
              <w:t>the</w:t>
            </w:r>
            <w:r>
              <w:rPr>
                <w:spacing w:val="-5"/>
                <w:sz w:val="18"/>
              </w:rPr>
              <w:t xml:space="preserve"> </w:t>
            </w:r>
            <w:r>
              <w:rPr>
                <w:sz w:val="18"/>
              </w:rPr>
              <w:t>role</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PUG</w:t>
            </w:r>
            <w:r>
              <w:rPr>
                <w:spacing w:val="-6"/>
                <w:sz w:val="18"/>
              </w:rPr>
              <w:t xml:space="preserve"> </w:t>
            </w:r>
            <w:r>
              <w:rPr>
                <w:sz w:val="18"/>
              </w:rPr>
              <w:t>team.</w:t>
            </w:r>
          </w:p>
          <w:p w14:paraId="6817F329" w14:textId="77777777" w:rsidR="00BC24A8" w:rsidRDefault="00000000">
            <w:pPr>
              <w:pStyle w:val="TableParagraph"/>
              <w:numPr>
                <w:ilvl w:val="0"/>
                <w:numId w:val="6"/>
              </w:numPr>
              <w:tabs>
                <w:tab w:val="left" w:pos="549"/>
              </w:tabs>
              <w:ind w:right="820" w:hanging="361"/>
              <w:rPr>
                <w:sz w:val="18"/>
              </w:rPr>
            </w:pPr>
            <w:r>
              <w:rPr>
                <w:sz w:val="18"/>
              </w:rPr>
              <w:t>DAK</w:t>
            </w:r>
            <w:r>
              <w:rPr>
                <w:spacing w:val="-4"/>
                <w:sz w:val="18"/>
              </w:rPr>
              <w:t xml:space="preserve"> </w:t>
            </w:r>
            <w:r>
              <w:rPr>
                <w:sz w:val="18"/>
              </w:rPr>
              <w:t>&amp;</w:t>
            </w:r>
            <w:r>
              <w:rPr>
                <w:spacing w:val="-5"/>
                <w:sz w:val="18"/>
              </w:rPr>
              <w:t xml:space="preserve"> </w:t>
            </w:r>
            <w:r>
              <w:rPr>
                <w:sz w:val="18"/>
              </w:rPr>
              <w:t>DAU:</w:t>
            </w:r>
            <w:r>
              <w:rPr>
                <w:spacing w:val="-4"/>
                <w:sz w:val="18"/>
              </w:rPr>
              <w:t xml:space="preserve"> </w:t>
            </w:r>
            <w:r>
              <w:rPr>
                <w:sz w:val="18"/>
              </w:rPr>
              <w:t>Capacity</w:t>
            </w:r>
            <w:r>
              <w:rPr>
                <w:spacing w:val="-4"/>
                <w:sz w:val="18"/>
              </w:rPr>
              <w:t xml:space="preserve"> </w:t>
            </w:r>
            <w:r>
              <w:rPr>
                <w:sz w:val="18"/>
              </w:rPr>
              <w:t>building,</w:t>
            </w:r>
            <w:r>
              <w:rPr>
                <w:spacing w:val="-5"/>
                <w:sz w:val="18"/>
              </w:rPr>
              <w:t xml:space="preserve"> </w:t>
            </w:r>
            <w:r>
              <w:rPr>
                <w:sz w:val="18"/>
              </w:rPr>
              <w:t>technical</w:t>
            </w:r>
            <w:r>
              <w:rPr>
                <w:spacing w:val="-4"/>
                <w:sz w:val="18"/>
              </w:rPr>
              <w:t xml:space="preserve"> </w:t>
            </w:r>
            <w:r>
              <w:rPr>
                <w:sz w:val="18"/>
              </w:rPr>
              <w:t>guidance</w:t>
            </w:r>
            <w:r>
              <w:rPr>
                <w:spacing w:val="-4"/>
                <w:sz w:val="18"/>
              </w:rPr>
              <w:t xml:space="preserve"> </w:t>
            </w:r>
            <w:r>
              <w:rPr>
                <w:sz w:val="18"/>
              </w:rPr>
              <w:t>for</w:t>
            </w:r>
            <w:r>
              <w:rPr>
                <w:spacing w:val="-4"/>
                <w:sz w:val="18"/>
              </w:rPr>
              <w:t xml:space="preserve"> </w:t>
            </w:r>
            <w:r>
              <w:rPr>
                <w:sz w:val="18"/>
              </w:rPr>
              <w:t>planning mandatory infrastructure.</w:t>
            </w:r>
          </w:p>
        </w:tc>
      </w:tr>
      <w:tr w:rsidR="00BC24A8" w14:paraId="232A8A3B" w14:textId="77777777">
        <w:trPr>
          <w:trHeight w:val="671"/>
        </w:trPr>
        <w:tc>
          <w:tcPr>
            <w:tcW w:w="3226" w:type="dxa"/>
            <w:tcBorders>
              <w:top w:val="single" w:sz="4" w:space="0" w:color="BEBEBE"/>
              <w:bottom w:val="single" w:sz="4" w:space="0" w:color="BEBEBE"/>
            </w:tcBorders>
          </w:tcPr>
          <w:p w14:paraId="7BBB2F27" w14:textId="77777777" w:rsidR="00BC24A8" w:rsidRDefault="00000000">
            <w:pPr>
              <w:pStyle w:val="TableParagraph"/>
              <w:spacing w:before="116"/>
              <w:ind w:left="115" w:right="73"/>
              <w:rPr>
                <w:sz w:val="18"/>
              </w:rPr>
            </w:pPr>
            <w:r>
              <w:rPr>
                <w:sz w:val="18"/>
              </w:rPr>
              <w:t>Promote</w:t>
            </w:r>
            <w:r>
              <w:rPr>
                <w:spacing w:val="-10"/>
                <w:sz w:val="18"/>
              </w:rPr>
              <w:t xml:space="preserve"> </w:t>
            </w:r>
            <w:r>
              <w:rPr>
                <w:sz w:val="18"/>
              </w:rPr>
              <w:t>more</w:t>
            </w:r>
            <w:r>
              <w:rPr>
                <w:spacing w:val="-10"/>
                <w:sz w:val="18"/>
              </w:rPr>
              <w:t xml:space="preserve"> </w:t>
            </w:r>
            <w:r>
              <w:rPr>
                <w:sz w:val="18"/>
              </w:rPr>
              <w:t>effective</w:t>
            </w:r>
            <w:r>
              <w:rPr>
                <w:spacing w:val="-10"/>
                <w:sz w:val="18"/>
              </w:rPr>
              <w:t xml:space="preserve"> </w:t>
            </w:r>
            <w:r>
              <w:rPr>
                <w:sz w:val="18"/>
              </w:rPr>
              <w:t>management</w:t>
            </w:r>
            <w:r>
              <w:rPr>
                <w:spacing w:val="-9"/>
                <w:sz w:val="18"/>
              </w:rPr>
              <w:t xml:space="preserve"> </w:t>
            </w:r>
            <w:r>
              <w:rPr>
                <w:sz w:val="18"/>
              </w:rPr>
              <w:t>of Special Autonomy (Otsus) funds</w:t>
            </w:r>
          </w:p>
        </w:tc>
        <w:tc>
          <w:tcPr>
            <w:tcW w:w="5872" w:type="dxa"/>
            <w:tcBorders>
              <w:top w:val="single" w:sz="4" w:space="0" w:color="BEBEBE"/>
              <w:bottom w:val="single" w:sz="4" w:space="0" w:color="BEBEBE"/>
            </w:tcBorders>
          </w:tcPr>
          <w:p w14:paraId="570CDA96" w14:textId="77777777" w:rsidR="00BC24A8" w:rsidRDefault="00000000">
            <w:pPr>
              <w:pStyle w:val="TableParagraph"/>
              <w:numPr>
                <w:ilvl w:val="0"/>
                <w:numId w:val="5"/>
              </w:numPr>
              <w:tabs>
                <w:tab w:val="left" w:pos="549"/>
              </w:tabs>
              <w:spacing w:before="116"/>
              <w:ind w:right="623"/>
              <w:rPr>
                <w:sz w:val="18"/>
              </w:rPr>
            </w:pPr>
            <w:r>
              <w:rPr>
                <w:sz w:val="18"/>
              </w:rPr>
              <w:t>Otsus</w:t>
            </w:r>
            <w:r>
              <w:rPr>
                <w:spacing w:val="-5"/>
                <w:sz w:val="18"/>
              </w:rPr>
              <w:t xml:space="preserve"> </w:t>
            </w:r>
            <w:r>
              <w:rPr>
                <w:sz w:val="18"/>
              </w:rPr>
              <w:t>(Special</w:t>
            </w:r>
            <w:r>
              <w:rPr>
                <w:spacing w:val="-4"/>
                <w:sz w:val="18"/>
              </w:rPr>
              <w:t xml:space="preserve"> </w:t>
            </w:r>
            <w:r>
              <w:rPr>
                <w:sz w:val="18"/>
              </w:rPr>
              <w:t>Autonomy</w:t>
            </w:r>
            <w:r>
              <w:rPr>
                <w:spacing w:val="-5"/>
                <w:sz w:val="18"/>
              </w:rPr>
              <w:t xml:space="preserve"> </w:t>
            </w:r>
            <w:r>
              <w:rPr>
                <w:sz w:val="18"/>
              </w:rPr>
              <w:t>Fund):</w:t>
            </w:r>
            <w:r>
              <w:rPr>
                <w:spacing w:val="-5"/>
                <w:sz w:val="18"/>
              </w:rPr>
              <w:t xml:space="preserve"> </w:t>
            </w:r>
            <w:r>
              <w:rPr>
                <w:sz w:val="18"/>
              </w:rPr>
              <w:t>Executive</w:t>
            </w:r>
            <w:r>
              <w:rPr>
                <w:spacing w:val="-5"/>
                <w:sz w:val="18"/>
              </w:rPr>
              <w:t xml:space="preserve"> </w:t>
            </w:r>
            <w:r>
              <w:rPr>
                <w:sz w:val="18"/>
              </w:rPr>
              <w:t>training</w:t>
            </w:r>
            <w:r>
              <w:rPr>
                <w:spacing w:val="-5"/>
                <w:sz w:val="18"/>
              </w:rPr>
              <w:t xml:space="preserve"> </w:t>
            </w:r>
            <w:r>
              <w:rPr>
                <w:sz w:val="18"/>
              </w:rPr>
              <w:t>on</w:t>
            </w:r>
            <w:r>
              <w:rPr>
                <w:spacing w:val="-5"/>
                <w:sz w:val="18"/>
              </w:rPr>
              <w:t xml:space="preserve"> </w:t>
            </w:r>
            <w:r>
              <w:rPr>
                <w:sz w:val="18"/>
              </w:rPr>
              <w:t>Otsus</w:t>
            </w:r>
            <w:r>
              <w:rPr>
                <w:spacing w:val="-5"/>
                <w:sz w:val="18"/>
              </w:rPr>
              <w:t xml:space="preserve"> </w:t>
            </w:r>
            <w:r>
              <w:rPr>
                <w:sz w:val="18"/>
              </w:rPr>
              <w:t>fund policies, priority programs financed by Otsus.</w:t>
            </w:r>
          </w:p>
        </w:tc>
      </w:tr>
    </w:tbl>
    <w:p w14:paraId="3205B5D4" w14:textId="77777777" w:rsidR="00BC24A8" w:rsidRDefault="00BC24A8">
      <w:pPr>
        <w:pStyle w:val="BodyText"/>
        <w:spacing w:before="223"/>
        <w:rPr>
          <w:rFonts w:ascii="Calibri"/>
          <w:b/>
        </w:rPr>
      </w:pPr>
    </w:p>
    <w:p w14:paraId="201D48EE" w14:textId="77777777" w:rsidR="00BC24A8" w:rsidRDefault="00000000">
      <w:pPr>
        <w:pStyle w:val="ListParagraph"/>
        <w:numPr>
          <w:ilvl w:val="1"/>
          <w:numId w:val="11"/>
        </w:numPr>
        <w:tabs>
          <w:tab w:val="left" w:pos="863"/>
        </w:tabs>
        <w:ind w:left="863" w:hanging="811"/>
        <w:rPr>
          <w:rFonts w:ascii="Calibri"/>
          <w:b/>
        </w:rPr>
      </w:pPr>
      <w:bookmarkStart w:id="241" w:name="3.2__Summary_of_key_support/inputs"/>
      <w:bookmarkEnd w:id="241"/>
      <w:r w:rsidRPr="00795364">
        <w:rPr>
          <w:rFonts w:ascii="Calibri"/>
          <w:b/>
          <w:color w:val="008279"/>
        </w:rPr>
        <w:t>Summary</w:t>
      </w:r>
      <w:r w:rsidRPr="00795364">
        <w:rPr>
          <w:rFonts w:ascii="Calibri"/>
          <w:b/>
          <w:color w:val="008279"/>
          <w:spacing w:val="-6"/>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key</w:t>
      </w:r>
      <w:r w:rsidRPr="00795364">
        <w:rPr>
          <w:rFonts w:ascii="Calibri"/>
          <w:b/>
          <w:color w:val="008279"/>
          <w:spacing w:val="-5"/>
        </w:rPr>
        <w:t xml:space="preserve"> </w:t>
      </w:r>
      <w:r w:rsidRPr="00795364">
        <w:rPr>
          <w:rFonts w:ascii="Calibri"/>
          <w:b/>
          <w:color w:val="008279"/>
          <w:spacing w:val="-2"/>
        </w:rPr>
        <w:t>support/inputs</w:t>
      </w:r>
    </w:p>
    <w:p w14:paraId="1E838DCE" w14:textId="77777777" w:rsidR="00BC24A8" w:rsidRDefault="00BC24A8">
      <w:pPr>
        <w:pStyle w:val="BodyText"/>
        <w:spacing w:before="2"/>
        <w:rPr>
          <w:rFonts w:ascii="Calibri"/>
          <w:b/>
          <w:sz w:val="19"/>
        </w:rPr>
      </w:pPr>
    </w:p>
    <w:tbl>
      <w:tblPr>
        <w:tblW w:w="0" w:type="auto"/>
        <w:tblInd w:w="143" w:type="dxa"/>
        <w:tblLayout w:type="fixed"/>
        <w:tblCellMar>
          <w:left w:w="0" w:type="dxa"/>
          <w:right w:w="0" w:type="dxa"/>
        </w:tblCellMar>
        <w:tblLook w:val="01E0" w:firstRow="1" w:lastRow="1" w:firstColumn="1" w:lastColumn="1" w:noHBand="0" w:noVBand="0"/>
      </w:tblPr>
      <w:tblGrid>
        <w:gridCol w:w="845"/>
        <w:gridCol w:w="2703"/>
        <w:gridCol w:w="1673"/>
        <w:gridCol w:w="3879"/>
      </w:tblGrid>
      <w:tr w:rsidR="00BC24A8" w14:paraId="5E8CA55E" w14:textId="77777777">
        <w:trPr>
          <w:trHeight w:val="422"/>
        </w:trPr>
        <w:tc>
          <w:tcPr>
            <w:tcW w:w="845" w:type="dxa"/>
            <w:shd w:val="clear" w:color="auto" w:fill="17365A"/>
          </w:tcPr>
          <w:p w14:paraId="37E3EC48" w14:textId="77777777" w:rsidR="00BC24A8" w:rsidRDefault="00000000">
            <w:pPr>
              <w:pStyle w:val="TableParagraph"/>
              <w:spacing w:before="80"/>
              <w:ind w:left="115"/>
              <w:rPr>
                <w:rFonts w:ascii="Calibri"/>
                <w:b/>
                <w:sz w:val="20"/>
              </w:rPr>
            </w:pPr>
            <w:r>
              <w:rPr>
                <w:rFonts w:ascii="Calibri"/>
                <w:b/>
                <w:color w:val="FFFFFF"/>
                <w:spacing w:val="-2"/>
                <w:sz w:val="20"/>
              </w:rPr>
              <w:t>Theme</w:t>
            </w:r>
          </w:p>
        </w:tc>
        <w:tc>
          <w:tcPr>
            <w:tcW w:w="2703" w:type="dxa"/>
            <w:shd w:val="clear" w:color="auto" w:fill="17365A"/>
          </w:tcPr>
          <w:p w14:paraId="3DEC54D5" w14:textId="77777777" w:rsidR="00BC24A8" w:rsidRDefault="00000000">
            <w:pPr>
              <w:pStyle w:val="TableParagraph"/>
              <w:spacing w:before="80"/>
              <w:ind w:left="1"/>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2"/>
                <w:sz w:val="20"/>
              </w:rPr>
              <w:t>workshops</w:t>
            </w:r>
          </w:p>
        </w:tc>
        <w:tc>
          <w:tcPr>
            <w:tcW w:w="1673" w:type="dxa"/>
            <w:shd w:val="clear" w:color="auto" w:fill="17365A"/>
          </w:tcPr>
          <w:p w14:paraId="2E7F3E94" w14:textId="77777777" w:rsidR="00BC24A8" w:rsidRDefault="00000000">
            <w:pPr>
              <w:pStyle w:val="TableParagraph"/>
              <w:spacing w:before="80"/>
              <w:ind w:left="1" w:right="7"/>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5"/>
                <w:sz w:val="20"/>
              </w:rPr>
              <w:t>Tas</w:t>
            </w:r>
          </w:p>
        </w:tc>
        <w:tc>
          <w:tcPr>
            <w:tcW w:w="3879" w:type="dxa"/>
            <w:shd w:val="clear" w:color="auto" w:fill="17365A"/>
          </w:tcPr>
          <w:p w14:paraId="62908D61" w14:textId="77777777" w:rsidR="00BC24A8" w:rsidRDefault="00000000">
            <w:pPr>
              <w:pStyle w:val="TableParagraph"/>
              <w:spacing w:before="80"/>
              <w:ind w:left="1" w:right="5"/>
              <w:jc w:val="center"/>
              <w:rPr>
                <w:rFonts w:ascii="Calibri"/>
                <w:b/>
                <w:sz w:val="20"/>
              </w:rPr>
            </w:pPr>
            <w:r>
              <w:rPr>
                <w:rFonts w:ascii="Calibri"/>
                <w:b/>
                <w:color w:val="FFFFFF"/>
                <w:sz w:val="20"/>
              </w:rPr>
              <w:t>Capacity</w:t>
            </w:r>
            <w:r>
              <w:rPr>
                <w:rFonts w:ascii="Calibri"/>
                <w:b/>
                <w:color w:val="FFFFFF"/>
                <w:spacing w:val="-9"/>
                <w:sz w:val="20"/>
              </w:rPr>
              <w:t xml:space="preserve"> </w:t>
            </w:r>
            <w:r>
              <w:rPr>
                <w:rFonts w:ascii="Calibri"/>
                <w:b/>
                <w:color w:val="FFFFFF"/>
                <w:spacing w:val="-2"/>
                <w:sz w:val="20"/>
              </w:rPr>
              <w:t>building</w:t>
            </w:r>
          </w:p>
        </w:tc>
      </w:tr>
      <w:tr w:rsidR="00BC24A8" w14:paraId="63478BEB" w14:textId="77777777">
        <w:trPr>
          <w:trHeight w:val="438"/>
        </w:trPr>
        <w:tc>
          <w:tcPr>
            <w:tcW w:w="845" w:type="dxa"/>
            <w:tcBorders>
              <w:bottom w:val="single" w:sz="4" w:space="0" w:color="BEBEBE"/>
            </w:tcBorders>
          </w:tcPr>
          <w:p w14:paraId="54B0ECE6" w14:textId="77777777" w:rsidR="00BC24A8" w:rsidRDefault="00000000">
            <w:pPr>
              <w:pStyle w:val="TableParagraph"/>
              <w:spacing w:before="162"/>
              <w:ind w:left="115"/>
              <w:rPr>
                <w:sz w:val="18"/>
              </w:rPr>
            </w:pPr>
            <w:r>
              <w:rPr>
                <w:spacing w:val="-5"/>
                <w:sz w:val="18"/>
              </w:rPr>
              <w:t>DNA</w:t>
            </w:r>
          </w:p>
        </w:tc>
        <w:tc>
          <w:tcPr>
            <w:tcW w:w="2703" w:type="dxa"/>
            <w:tcBorders>
              <w:bottom w:val="single" w:sz="4" w:space="0" w:color="BEBEBE"/>
            </w:tcBorders>
          </w:tcPr>
          <w:p w14:paraId="227D2705" w14:textId="77777777" w:rsidR="00BC24A8" w:rsidRDefault="00000000">
            <w:pPr>
              <w:pStyle w:val="TableParagraph"/>
              <w:spacing w:before="133"/>
              <w:ind w:left="1" w:right="1"/>
              <w:jc w:val="center"/>
              <w:rPr>
                <w:sz w:val="18"/>
              </w:rPr>
            </w:pPr>
            <w:r>
              <w:rPr>
                <w:spacing w:val="-10"/>
                <w:sz w:val="18"/>
              </w:rPr>
              <w:t>5</w:t>
            </w:r>
          </w:p>
        </w:tc>
        <w:tc>
          <w:tcPr>
            <w:tcW w:w="1673" w:type="dxa"/>
            <w:tcBorders>
              <w:bottom w:val="single" w:sz="4" w:space="0" w:color="BEBEBE"/>
            </w:tcBorders>
          </w:tcPr>
          <w:p w14:paraId="364EC122" w14:textId="77777777" w:rsidR="00BC24A8" w:rsidRDefault="00000000">
            <w:pPr>
              <w:pStyle w:val="TableParagraph"/>
              <w:spacing w:before="133"/>
              <w:ind w:right="7"/>
              <w:jc w:val="center"/>
              <w:rPr>
                <w:sz w:val="18"/>
              </w:rPr>
            </w:pPr>
            <w:r>
              <w:rPr>
                <w:spacing w:val="-10"/>
                <w:sz w:val="18"/>
              </w:rPr>
              <w:t>1</w:t>
            </w:r>
          </w:p>
        </w:tc>
        <w:tc>
          <w:tcPr>
            <w:tcW w:w="3879" w:type="dxa"/>
            <w:tcBorders>
              <w:bottom w:val="single" w:sz="4" w:space="0" w:color="BEBEBE"/>
            </w:tcBorders>
          </w:tcPr>
          <w:p w14:paraId="065418C9" w14:textId="77777777" w:rsidR="00BC24A8" w:rsidRDefault="00000000">
            <w:pPr>
              <w:pStyle w:val="TableParagraph"/>
              <w:spacing w:before="104"/>
              <w:ind w:right="5"/>
              <w:jc w:val="center"/>
              <w:rPr>
                <w:sz w:val="18"/>
              </w:rPr>
            </w:pPr>
            <w:r>
              <w:rPr>
                <w:spacing w:val="-10"/>
                <w:sz w:val="18"/>
              </w:rPr>
              <w:t>2</w:t>
            </w:r>
          </w:p>
        </w:tc>
      </w:tr>
      <w:tr w:rsidR="00BC24A8" w14:paraId="113567CE" w14:textId="77777777">
        <w:trPr>
          <w:trHeight w:val="393"/>
        </w:trPr>
        <w:tc>
          <w:tcPr>
            <w:tcW w:w="845" w:type="dxa"/>
            <w:tcBorders>
              <w:top w:val="single" w:sz="4" w:space="0" w:color="BEBEBE"/>
              <w:bottom w:val="single" w:sz="4" w:space="0" w:color="BEBEBE"/>
            </w:tcBorders>
          </w:tcPr>
          <w:p w14:paraId="4ACF995A" w14:textId="77777777" w:rsidR="00BC24A8" w:rsidRDefault="00000000">
            <w:pPr>
              <w:pStyle w:val="TableParagraph"/>
              <w:spacing w:before="116"/>
              <w:ind w:left="115"/>
              <w:rPr>
                <w:sz w:val="18"/>
              </w:rPr>
            </w:pPr>
            <w:r>
              <w:rPr>
                <w:spacing w:val="-5"/>
                <w:sz w:val="18"/>
              </w:rPr>
              <w:t>MSS</w:t>
            </w:r>
          </w:p>
        </w:tc>
        <w:tc>
          <w:tcPr>
            <w:tcW w:w="2703" w:type="dxa"/>
            <w:tcBorders>
              <w:top w:val="single" w:sz="4" w:space="0" w:color="BEBEBE"/>
              <w:bottom w:val="single" w:sz="4" w:space="0" w:color="BEBEBE"/>
            </w:tcBorders>
          </w:tcPr>
          <w:p w14:paraId="193AE984" w14:textId="77777777" w:rsidR="00BC24A8" w:rsidRDefault="00000000">
            <w:pPr>
              <w:pStyle w:val="TableParagraph"/>
              <w:spacing w:before="87"/>
              <w:ind w:left="1" w:right="1"/>
              <w:jc w:val="center"/>
              <w:rPr>
                <w:sz w:val="18"/>
              </w:rPr>
            </w:pPr>
            <w:r>
              <w:rPr>
                <w:spacing w:val="-10"/>
                <w:sz w:val="18"/>
              </w:rPr>
              <w:t>4</w:t>
            </w:r>
          </w:p>
        </w:tc>
        <w:tc>
          <w:tcPr>
            <w:tcW w:w="1673" w:type="dxa"/>
            <w:tcBorders>
              <w:top w:val="single" w:sz="4" w:space="0" w:color="BEBEBE"/>
              <w:bottom w:val="single" w:sz="4" w:space="0" w:color="BEBEBE"/>
            </w:tcBorders>
          </w:tcPr>
          <w:p w14:paraId="041D1BF0" w14:textId="77777777" w:rsidR="00BC24A8" w:rsidRDefault="00000000">
            <w:pPr>
              <w:pStyle w:val="TableParagraph"/>
              <w:spacing w:before="87"/>
              <w:ind w:right="7"/>
              <w:jc w:val="center"/>
              <w:rPr>
                <w:sz w:val="18"/>
              </w:rPr>
            </w:pPr>
            <w:r>
              <w:rPr>
                <w:spacing w:val="-10"/>
                <w:sz w:val="18"/>
              </w:rPr>
              <w:t>1</w:t>
            </w:r>
          </w:p>
        </w:tc>
        <w:tc>
          <w:tcPr>
            <w:tcW w:w="3879" w:type="dxa"/>
            <w:tcBorders>
              <w:top w:val="single" w:sz="4" w:space="0" w:color="BEBEBE"/>
              <w:bottom w:val="single" w:sz="4" w:space="0" w:color="BEBEBE"/>
            </w:tcBorders>
          </w:tcPr>
          <w:p w14:paraId="6BC57564" w14:textId="77777777" w:rsidR="00BC24A8" w:rsidRDefault="00000000">
            <w:pPr>
              <w:pStyle w:val="TableParagraph"/>
              <w:spacing w:before="59"/>
              <w:ind w:right="5"/>
              <w:jc w:val="center"/>
              <w:rPr>
                <w:sz w:val="18"/>
              </w:rPr>
            </w:pPr>
            <w:r>
              <w:rPr>
                <w:spacing w:val="-10"/>
                <w:sz w:val="18"/>
              </w:rPr>
              <w:t>3</w:t>
            </w:r>
          </w:p>
        </w:tc>
      </w:tr>
      <w:tr w:rsidR="00BC24A8" w14:paraId="714A188F" w14:textId="77777777">
        <w:trPr>
          <w:trHeight w:val="393"/>
        </w:trPr>
        <w:tc>
          <w:tcPr>
            <w:tcW w:w="845" w:type="dxa"/>
            <w:tcBorders>
              <w:top w:val="single" w:sz="4" w:space="0" w:color="BEBEBE"/>
              <w:bottom w:val="single" w:sz="4" w:space="0" w:color="BEBEBE"/>
            </w:tcBorders>
          </w:tcPr>
          <w:p w14:paraId="48DC01A8" w14:textId="77777777" w:rsidR="00BC24A8" w:rsidRDefault="00000000">
            <w:pPr>
              <w:pStyle w:val="TableParagraph"/>
              <w:spacing w:before="119"/>
              <w:ind w:left="115"/>
              <w:rPr>
                <w:sz w:val="18"/>
              </w:rPr>
            </w:pPr>
            <w:r>
              <w:rPr>
                <w:spacing w:val="-5"/>
                <w:sz w:val="18"/>
              </w:rPr>
              <w:t>PFM</w:t>
            </w:r>
          </w:p>
        </w:tc>
        <w:tc>
          <w:tcPr>
            <w:tcW w:w="2703" w:type="dxa"/>
            <w:tcBorders>
              <w:top w:val="single" w:sz="4" w:space="0" w:color="BEBEBE"/>
              <w:bottom w:val="single" w:sz="4" w:space="0" w:color="BEBEBE"/>
            </w:tcBorders>
          </w:tcPr>
          <w:p w14:paraId="3B38703C" w14:textId="77777777" w:rsidR="00BC24A8" w:rsidRDefault="00000000">
            <w:pPr>
              <w:pStyle w:val="TableParagraph"/>
              <w:spacing w:before="87"/>
              <w:ind w:left="1" w:right="1"/>
              <w:jc w:val="center"/>
              <w:rPr>
                <w:sz w:val="18"/>
              </w:rPr>
            </w:pPr>
            <w:r>
              <w:rPr>
                <w:spacing w:val="-10"/>
                <w:sz w:val="18"/>
              </w:rPr>
              <w:t>3</w:t>
            </w:r>
          </w:p>
        </w:tc>
        <w:tc>
          <w:tcPr>
            <w:tcW w:w="1673" w:type="dxa"/>
            <w:tcBorders>
              <w:top w:val="single" w:sz="4" w:space="0" w:color="BEBEBE"/>
              <w:bottom w:val="single" w:sz="4" w:space="0" w:color="BEBEBE"/>
            </w:tcBorders>
          </w:tcPr>
          <w:p w14:paraId="7F367E57" w14:textId="77777777" w:rsidR="00BC24A8" w:rsidRDefault="00000000">
            <w:pPr>
              <w:pStyle w:val="TableParagraph"/>
              <w:spacing w:before="87"/>
              <w:ind w:left="3" w:right="7"/>
              <w:jc w:val="center"/>
              <w:rPr>
                <w:sz w:val="18"/>
              </w:rPr>
            </w:pPr>
            <w:r>
              <w:rPr>
                <w:spacing w:val="-10"/>
                <w:sz w:val="18"/>
              </w:rPr>
              <w:t>-</w:t>
            </w:r>
          </w:p>
        </w:tc>
        <w:tc>
          <w:tcPr>
            <w:tcW w:w="3879" w:type="dxa"/>
            <w:tcBorders>
              <w:top w:val="single" w:sz="4" w:space="0" w:color="BEBEBE"/>
              <w:bottom w:val="single" w:sz="4" w:space="0" w:color="BEBEBE"/>
            </w:tcBorders>
          </w:tcPr>
          <w:p w14:paraId="6899D9EC" w14:textId="77777777" w:rsidR="00BC24A8" w:rsidRDefault="00000000">
            <w:pPr>
              <w:pStyle w:val="TableParagraph"/>
              <w:spacing w:before="59"/>
              <w:ind w:right="5"/>
              <w:jc w:val="center"/>
              <w:rPr>
                <w:sz w:val="18"/>
              </w:rPr>
            </w:pPr>
            <w:r>
              <w:rPr>
                <w:spacing w:val="-10"/>
                <w:sz w:val="18"/>
              </w:rPr>
              <w:t>3</w:t>
            </w:r>
          </w:p>
        </w:tc>
      </w:tr>
      <w:tr w:rsidR="00BC24A8" w14:paraId="4591FE88" w14:textId="77777777">
        <w:trPr>
          <w:trHeight w:val="395"/>
        </w:trPr>
        <w:tc>
          <w:tcPr>
            <w:tcW w:w="845" w:type="dxa"/>
            <w:tcBorders>
              <w:top w:val="single" w:sz="4" w:space="0" w:color="BEBEBE"/>
              <w:bottom w:val="single" w:sz="4" w:space="0" w:color="BEBEBE"/>
            </w:tcBorders>
          </w:tcPr>
          <w:p w14:paraId="429D2062" w14:textId="77777777" w:rsidR="00BC24A8" w:rsidRDefault="00000000">
            <w:pPr>
              <w:pStyle w:val="TableParagraph"/>
              <w:spacing w:before="119"/>
              <w:ind w:left="115"/>
              <w:rPr>
                <w:sz w:val="18"/>
              </w:rPr>
            </w:pPr>
            <w:r>
              <w:rPr>
                <w:spacing w:val="-2"/>
                <w:sz w:val="18"/>
              </w:rPr>
              <w:t>GEDSI</w:t>
            </w:r>
          </w:p>
        </w:tc>
        <w:tc>
          <w:tcPr>
            <w:tcW w:w="2703" w:type="dxa"/>
            <w:tcBorders>
              <w:top w:val="single" w:sz="4" w:space="0" w:color="BEBEBE"/>
              <w:bottom w:val="single" w:sz="4" w:space="0" w:color="BEBEBE"/>
            </w:tcBorders>
          </w:tcPr>
          <w:p w14:paraId="20F021F3" w14:textId="77777777" w:rsidR="00BC24A8" w:rsidRDefault="00000000">
            <w:pPr>
              <w:pStyle w:val="TableParagraph"/>
              <w:spacing w:before="87"/>
              <w:ind w:left="1" w:right="1"/>
              <w:jc w:val="center"/>
              <w:rPr>
                <w:sz w:val="18"/>
              </w:rPr>
            </w:pPr>
            <w:r>
              <w:rPr>
                <w:spacing w:val="-10"/>
                <w:sz w:val="18"/>
              </w:rPr>
              <w:t>4</w:t>
            </w:r>
          </w:p>
        </w:tc>
        <w:tc>
          <w:tcPr>
            <w:tcW w:w="1673" w:type="dxa"/>
            <w:tcBorders>
              <w:top w:val="single" w:sz="4" w:space="0" w:color="BEBEBE"/>
              <w:bottom w:val="single" w:sz="4" w:space="0" w:color="BEBEBE"/>
            </w:tcBorders>
          </w:tcPr>
          <w:p w14:paraId="375332A8" w14:textId="77777777" w:rsidR="00BC24A8" w:rsidRDefault="00000000">
            <w:pPr>
              <w:pStyle w:val="TableParagraph"/>
              <w:spacing w:before="87"/>
              <w:ind w:left="3" w:right="7"/>
              <w:jc w:val="center"/>
              <w:rPr>
                <w:sz w:val="18"/>
              </w:rPr>
            </w:pPr>
            <w:r>
              <w:rPr>
                <w:spacing w:val="-10"/>
                <w:sz w:val="18"/>
              </w:rPr>
              <w:t>-</w:t>
            </w:r>
          </w:p>
        </w:tc>
        <w:tc>
          <w:tcPr>
            <w:tcW w:w="3879" w:type="dxa"/>
            <w:tcBorders>
              <w:top w:val="single" w:sz="4" w:space="0" w:color="BEBEBE"/>
              <w:bottom w:val="single" w:sz="4" w:space="0" w:color="BEBEBE"/>
            </w:tcBorders>
          </w:tcPr>
          <w:p w14:paraId="0DCB2689" w14:textId="77777777" w:rsidR="00BC24A8" w:rsidRDefault="00000000">
            <w:pPr>
              <w:pStyle w:val="TableParagraph"/>
              <w:spacing w:before="59"/>
              <w:ind w:right="5"/>
              <w:jc w:val="center"/>
              <w:rPr>
                <w:sz w:val="18"/>
              </w:rPr>
            </w:pPr>
            <w:r>
              <w:rPr>
                <w:spacing w:val="-10"/>
                <w:sz w:val="18"/>
              </w:rPr>
              <w:t>2</w:t>
            </w:r>
          </w:p>
        </w:tc>
      </w:tr>
    </w:tbl>
    <w:p w14:paraId="0CDE7A0E" w14:textId="77777777" w:rsidR="00BC24A8" w:rsidRDefault="00BC24A8">
      <w:pPr>
        <w:pStyle w:val="TableParagraph"/>
        <w:jc w:val="center"/>
        <w:rPr>
          <w:sz w:val="18"/>
        </w:rPr>
        <w:sectPr w:rsidR="00BC24A8">
          <w:type w:val="continuous"/>
          <w:pgSz w:w="11910" w:h="16840"/>
          <w:pgMar w:top="1440" w:right="850" w:bottom="1100" w:left="1275" w:header="0" w:footer="907" w:gutter="0"/>
          <w:cols w:space="720"/>
        </w:sectPr>
      </w:pPr>
    </w:p>
    <w:p w14:paraId="4DFD2BF9" w14:textId="77777777" w:rsidR="00BC24A8" w:rsidRDefault="00000000">
      <w:pPr>
        <w:pStyle w:val="Heading3"/>
      </w:pPr>
      <w:bookmarkStart w:id="242" w:name="Papua_Province_Semester_Report"/>
      <w:bookmarkStart w:id="243" w:name="_bookmark169"/>
      <w:bookmarkEnd w:id="242"/>
      <w:bookmarkEnd w:id="243"/>
      <w:r>
        <w:rPr>
          <w:color w:val="137D87"/>
          <w:spacing w:val="-4"/>
        </w:rPr>
        <w:t>Papua</w:t>
      </w:r>
      <w:r>
        <w:rPr>
          <w:color w:val="137D87"/>
          <w:spacing w:val="-23"/>
        </w:rPr>
        <w:t xml:space="preserve"> </w:t>
      </w:r>
      <w:r>
        <w:rPr>
          <w:color w:val="137D87"/>
          <w:spacing w:val="-4"/>
        </w:rPr>
        <w:t>Province</w:t>
      </w:r>
      <w:r>
        <w:rPr>
          <w:color w:val="137D87"/>
          <w:spacing w:val="-19"/>
        </w:rPr>
        <w:t xml:space="preserve"> </w:t>
      </w:r>
      <w:r>
        <w:rPr>
          <w:color w:val="137D87"/>
          <w:spacing w:val="-4"/>
        </w:rPr>
        <w:t>Semester</w:t>
      </w:r>
      <w:r>
        <w:rPr>
          <w:color w:val="137D87"/>
          <w:spacing w:val="-18"/>
        </w:rPr>
        <w:t xml:space="preserve"> </w:t>
      </w:r>
      <w:r>
        <w:rPr>
          <w:color w:val="137D87"/>
          <w:spacing w:val="-4"/>
        </w:rPr>
        <w:t>Report</w:t>
      </w:r>
    </w:p>
    <w:p w14:paraId="048CD4D7" w14:textId="77777777" w:rsidR="00BC24A8" w:rsidRDefault="00000000">
      <w:pPr>
        <w:pStyle w:val="BodyText"/>
        <w:spacing w:before="20"/>
        <w:ind w:left="143"/>
      </w:pPr>
      <w:r>
        <w:rPr>
          <w:spacing w:val="-2"/>
        </w:rPr>
        <w:t>(January-June</w:t>
      </w:r>
      <w:r>
        <w:rPr>
          <w:spacing w:val="9"/>
        </w:rPr>
        <w:t xml:space="preserve"> </w:t>
      </w:r>
      <w:r>
        <w:rPr>
          <w:spacing w:val="-4"/>
        </w:rPr>
        <w:t>2025)</w:t>
      </w:r>
    </w:p>
    <w:p w14:paraId="29CDE65E" w14:textId="77777777" w:rsidR="00BC24A8" w:rsidRDefault="00BC24A8">
      <w:pPr>
        <w:pStyle w:val="BodyText"/>
      </w:pPr>
    </w:p>
    <w:p w14:paraId="5B0B68B5" w14:textId="77777777" w:rsidR="00BC24A8" w:rsidRDefault="00BC24A8">
      <w:pPr>
        <w:pStyle w:val="BodyText"/>
        <w:spacing w:before="134"/>
      </w:pPr>
    </w:p>
    <w:p w14:paraId="5FBCC94F" w14:textId="77777777" w:rsidR="00BC24A8" w:rsidRDefault="00000000">
      <w:pPr>
        <w:spacing w:before="1"/>
        <w:ind w:left="143"/>
        <w:rPr>
          <w:i/>
        </w:rPr>
      </w:pPr>
      <w:bookmarkStart w:id="244" w:name="Context_of_Papua_Province"/>
      <w:bookmarkEnd w:id="244"/>
      <w:r>
        <w:rPr>
          <w:i/>
          <w:color w:val="1F3762"/>
        </w:rPr>
        <w:t>Context</w:t>
      </w:r>
      <w:r>
        <w:rPr>
          <w:i/>
          <w:color w:val="1F3762"/>
          <w:spacing w:val="-9"/>
        </w:rPr>
        <w:t xml:space="preserve"> </w:t>
      </w:r>
      <w:r>
        <w:rPr>
          <w:i/>
          <w:color w:val="1F3762"/>
        </w:rPr>
        <w:t>of</w:t>
      </w:r>
      <w:r>
        <w:rPr>
          <w:i/>
          <w:color w:val="1F3762"/>
          <w:spacing w:val="-7"/>
        </w:rPr>
        <w:t xml:space="preserve"> </w:t>
      </w:r>
      <w:r>
        <w:rPr>
          <w:i/>
          <w:color w:val="1F3762"/>
        </w:rPr>
        <w:t>Papua</w:t>
      </w:r>
      <w:r>
        <w:rPr>
          <w:i/>
          <w:color w:val="1F3762"/>
          <w:spacing w:val="-7"/>
        </w:rPr>
        <w:t xml:space="preserve"> </w:t>
      </w:r>
      <w:r>
        <w:rPr>
          <w:i/>
          <w:color w:val="1F3762"/>
          <w:spacing w:val="-2"/>
        </w:rPr>
        <w:t>Province</w:t>
      </w:r>
    </w:p>
    <w:p w14:paraId="6883C891" w14:textId="77777777" w:rsidR="00BC24A8" w:rsidRDefault="00000000">
      <w:pPr>
        <w:spacing w:before="43"/>
        <w:ind w:left="143"/>
        <w:rPr>
          <w:rFonts w:ascii="Calibri"/>
          <w:i/>
        </w:rPr>
      </w:pPr>
      <w:bookmarkStart w:id="245" w:name="Overview_of_basic_services,_vulnerable_g"/>
      <w:bookmarkEnd w:id="245"/>
      <w:r>
        <w:rPr>
          <w:rFonts w:ascii="Calibri"/>
          <w:i/>
          <w:color w:val="272727"/>
        </w:rPr>
        <w:t>Overview</w:t>
      </w:r>
      <w:r>
        <w:rPr>
          <w:rFonts w:ascii="Calibri"/>
          <w:i/>
          <w:color w:val="272727"/>
          <w:spacing w:val="-4"/>
        </w:rPr>
        <w:t xml:space="preserve"> </w:t>
      </w:r>
      <w:r>
        <w:rPr>
          <w:rFonts w:ascii="Calibri"/>
          <w:i/>
          <w:color w:val="272727"/>
        </w:rPr>
        <w:t>of</w:t>
      </w:r>
      <w:r>
        <w:rPr>
          <w:rFonts w:ascii="Calibri"/>
          <w:i/>
          <w:color w:val="272727"/>
          <w:spacing w:val="-5"/>
        </w:rPr>
        <w:t xml:space="preserve"> </w:t>
      </w:r>
      <w:r>
        <w:rPr>
          <w:rFonts w:ascii="Calibri"/>
          <w:i/>
          <w:color w:val="272727"/>
        </w:rPr>
        <w:t>basic</w:t>
      </w:r>
      <w:r>
        <w:rPr>
          <w:rFonts w:ascii="Calibri"/>
          <w:i/>
          <w:color w:val="272727"/>
          <w:spacing w:val="-5"/>
        </w:rPr>
        <w:t xml:space="preserve"> </w:t>
      </w:r>
      <w:r>
        <w:rPr>
          <w:rFonts w:ascii="Calibri"/>
          <w:i/>
          <w:color w:val="272727"/>
        </w:rPr>
        <w:t>services,</w:t>
      </w:r>
      <w:r>
        <w:rPr>
          <w:rFonts w:ascii="Calibri"/>
          <w:i/>
          <w:color w:val="272727"/>
          <w:spacing w:val="-7"/>
        </w:rPr>
        <w:t xml:space="preserve"> </w:t>
      </w:r>
      <w:r>
        <w:rPr>
          <w:rFonts w:ascii="Calibri"/>
          <w:i/>
          <w:color w:val="272727"/>
        </w:rPr>
        <w:t>vulnerable</w:t>
      </w:r>
      <w:r>
        <w:rPr>
          <w:rFonts w:ascii="Calibri"/>
          <w:i/>
          <w:color w:val="272727"/>
          <w:spacing w:val="-4"/>
        </w:rPr>
        <w:t xml:space="preserve"> </w:t>
      </w:r>
      <w:r>
        <w:rPr>
          <w:rFonts w:ascii="Calibri"/>
          <w:i/>
          <w:color w:val="272727"/>
        </w:rPr>
        <w:t>groups,</w:t>
      </w:r>
      <w:r>
        <w:rPr>
          <w:rFonts w:ascii="Calibri"/>
          <w:i/>
          <w:color w:val="272727"/>
          <w:spacing w:val="-5"/>
        </w:rPr>
        <w:t xml:space="preserve"> </w:t>
      </w:r>
      <w:r>
        <w:rPr>
          <w:rFonts w:ascii="Calibri"/>
          <w:i/>
          <w:color w:val="272727"/>
        </w:rPr>
        <w:t>and</w:t>
      </w:r>
      <w:r>
        <w:rPr>
          <w:rFonts w:ascii="Calibri"/>
          <w:i/>
          <w:color w:val="272727"/>
          <w:spacing w:val="-6"/>
        </w:rPr>
        <w:t xml:space="preserve"> </w:t>
      </w:r>
      <w:r>
        <w:rPr>
          <w:rFonts w:ascii="Calibri"/>
          <w:i/>
          <w:color w:val="272727"/>
        </w:rPr>
        <w:t>fiscal</w:t>
      </w:r>
      <w:r>
        <w:rPr>
          <w:rFonts w:ascii="Calibri"/>
          <w:i/>
          <w:color w:val="272727"/>
          <w:spacing w:val="-5"/>
        </w:rPr>
        <w:t xml:space="preserve"> </w:t>
      </w:r>
      <w:r>
        <w:rPr>
          <w:rFonts w:ascii="Calibri"/>
          <w:i/>
          <w:color w:val="272727"/>
          <w:spacing w:val="-2"/>
        </w:rPr>
        <w:t>capacity</w:t>
      </w:r>
    </w:p>
    <w:p w14:paraId="22B25FF5" w14:textId="77777777" w:rsidR="00BC24A8" w:rsidRDefault="00BC24A8">
      <w:pPr>
        <w:pStyle w:val="BodyText"/>
        <w:spacing w:before="121"/>
        <w:rPr>
          <w:rFonts w:ascii="Calibri"/>
          <w:i/>
        </w:rPr>
      </w:pPr>
    </w:p>
    <w:p w14:paraId="30180875" w14:textId="77777777" w:rsidR="00BC24A8" w:rsidRDefault="00000000">
      <w:pPr>
        <w:pStyle w:val="Heading5"/>
      </w:pPr>
      <w:r>
        <w:rPr>
          <w:color w:val="767070"/>
          <w:spacing w:val="-2"/>
        </w:rPr>
        <w:t>Key</w:t>
      </w:r>
      <w:r>
        <w:rPr>
          <w:color w:val="767070"/>
          <w:spacing w:val="4"/>
        </w:rPr>
        <w:t xml:space="preserve"> </w:t>
      </w:r>
      <w:r>
        <w:rPr>
          <w:color w:val="767070"/>
          <w:spacing w:val="-2"/>
        </w:rPr>
        <w:t>development</w:t>
      </w:r>
      <w:r>
        <w:rPr>
          <w:color w:val="767070"/>
          <w:spacing w:val="4"/>
        </w:rPr>
        <w:t xml:space="preserve"> </w:t>
      </w:r>
      <w:r>
        <w:rPr>
          <w:color w:val="767070"/>
          <w:spacing w:val="-2"/>
        </w:rPr>
        <w:t>outcome</w:t>
      </w:r>
      <w:r>
        <w:rPr>
          <w:color w:val="767070"/>
        </w:rPr>
        <w:t xml:space="preserve"> </w:t>
      </w:r>
      <w:r>
        <w:rPr>
          <w:color w:val="767070"/>
          <w:spacing w:val="-2"/>
        </w:rPr>
        <w:t>indicators</w:t>
      </w:r>
      <w:r>
        <w:rPr>
          <w:color w:val="767070"/>
          <w:spacing w:val="2"/>
        </w:rPr>
        <w:t xml:space="preserve"> </w:t>
      </w:r>
      <w:r>
        <w:rPr>
          <w:color w:val="767070"/>
          <w:spacing w:val="-4"/>
        </w:rPr>
        <w:t>data</w:t>
      </w:r>
    </w:p>
    <w:p w14:paraId="25092ACD" w14:textId="77777777" w:rsidR="00BC24A8" w:rsidRDefault="00BC24A8">
      <w:pPr>
        <w:pStyle w:val="BodyText"/>
        <w:spacing w:before="10"/>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502"/>
        <w:gridCol w:w="6235"/>
        <w:gridCol w:w="2271"/>
      </w:tblGrid>
      <w:tr w:rsidR="00BC24A8" w14:paraId="4B7889F4" w14:textId="77777777">
        <w:trPr>
          <w:trHeight w:val="357"/>
        </w:trPr>
        <w:tc>
          <w:tcPr>
            <w:tcW w:w="6737" w:type="dxa"/>
            <w:gridSpan w:val="2"/>
            <w:shd w:val="clear" w:color="auto" w:fill="17365A"/>
          </w:tcPr>
          <w:p w14:paraId="6BBBBA16" w14:textId="77777777" w:rsidR="00BC24A8" w:rsidRDefault="00000000">
            <w:pPr>
              <w:pStyle w:val="TableParagraph"/>
              <w:spacing w:before="56"/>
              <w:ind w:left="206"/>
              <w:rPr>
                <w:rFonts w:ascii="Calibri"/>
                <w:b/>
                <w:sz w:val="20"/>
              </w:rPr>
            </w:pPr>
            <w:r>
              <w:rPr>
                <w:rFonts w:ascii="Calibri"/>
                <w:b/>
                <w:color w:val="FFFFFF"/>
                <w:spacing w:val="-2"/>
                <w:sz w:val="20"/>
              </w:rPr>
              <w:t>Indicator</w:t>
            </w:r>
          </w:p>
        </w:tc>
        <w:tc>
          <w:tcPr>
            <w:tcW w:w="2271" w:type="dxa"/>
            <w:tcBorders>
              <w:bottom w:val="single" w:sz="4" w:space="0" w:color="BEBEBE"/>
            </w:tcBorders>
            <w:shd w:val="clear" w:color="auto" w:fill="17365A"/>
          </w:tcPr>
          <w:p w14:paraId="1BDEC000" w14:textId="77777777" w:rsidR="00BC24A8" w:rsidRDefault="00000000">
            <w:pPr>
              <w:pStyle w:val="TableParagraph"/>
              <w:spacing w:before="56"/>
              <w:ind w:right="961"/>
              <w:jc w:val="right"/>
              <w:rPr>
                <w:rFonts w:ascii="Calibri"/>
                <w:b/>
                <w:sz w:val="20"/>
              </w:rPr>
            </w:pPr>
            <w:r>
              <w:rPr>
                <w:rFonts w:ascii="Calibri"/>
                <w:b/>
                <w:color w:val="FFFFFF"/>
                <w:spacing w:val="-2"/>
                <w:sz w:val="20"/>
              </w:rPr>
              <w:t>Papua</w:t>
            </w:r>
          </w:p>
        </w:tc>
      </w:tr>
      <w:tr w:rsidR="00BC24A8" w14:paraId="14DD0E00" w14:textId="77777777">
        <w:trPr>
          <w:trHeight w:val="369"/>
        </w:trPr>
        <w:tc>
          <w:tcPr>
            <w:tcW w:w="502" w:type="dxa"/>
          </w:tcPr>
          <w:p w14:paraId="6A513A31" w14:textId="77777777" w:rsidR="00BC24A8" w:rsidRDefault="00000000">
            <w:pPr>
              <w:pStyle w:val="TableParagraph"/>
              <w:spacing w:before="92"/>
              <w:ind w:right="134"/>
              <w:jc w:val="center"/>
              <w:rPr>
                <w:sz w:val="18"/>
              </w:rPr>
            </w:pPr>
            <w:r>
              <w:rPr>
                <w:spacing w:val="-5"/>
                <w:sz w:val="18"/>
              </w:rPr>
              <w:t>1.</w:t>
            </w:r>
          </w:p>
        </w:tc>
        <w:tc>
          <w:tcPr>
            <w:tcW w:w="6235" w:type="dxa"/>
            <w:tcBorders>
              <w:bottom w:val="single" w:sz="4" w:space="0" w:color="BEBEBE"/>
            </w:tcBorders>
          </w:tcPr>
          <w:p w14:paraId="493260DD" w14:textId="77777777" w:rsidR="00BC24A8" w:rsidRDefault="00000000">
            <w:pPr>
              <w:pStyle w:val="TableParagraph"/>
              <w:spacing w:before="92"/>
              <w:ind w:left="107"/>
              <w:rPr>
                <w:sz w:val="18"/>
              </w:rPr>
            </w:pPr>
            <w:r>
              <w:rPr>
                <w:sz w:val="18"/>
              </w:rPr>
              <w:t>Net</w:t>
            </w:r>
            <w:r>
              <w:rPr>
                <w:spacing w:val="-1"/>
                <w:sz w:val="18"/>
              </w:rPr>
              <w:t xml:space="preserve"> </w:t>
            </w:r>
            <w:r>
              <w:rPr>
                <w:sz w:val="18"/>
              </w:rPr>
              <w:t>Enrollment Rate</w:t>
            </w:r>
            <w:r>
              <w:rPr>
                <w:spacing w:val="-2"/>
                <w:sz w:val="18"/>
              </w:rPr>
              <w:t xml:space="preserve"> </w:t>
            </w:r>
            <w:r>
              <w:rPr>
                <w:sz w:val="18"/>
              </w:rPr>
              <w:t>(%)</w:t>
            </w:r>
            <w:r>
              <w:rPr>
                <w:spacing w:val="-2"/>
                <w:sz w:val="18"/>
              </w:rPr>
              <w:t xml:space="preserve"> </w:t>
            </w:r>
            <w:r>
              <w:rPr>
                <w:sz w:val="18"/>
              </w:rPr>
              <w:t>(Regional Education</w:t>
            </w:r>
            <w:r>
              <w:rPr>
                <w:spacing w:val="-2"/>
                <w:sz w:val="18"/>
              </w:rPr>
              <w:t xml:space="preserve"> </w:t>
            </w:r>
            <w:r>
              <w:rPr>
                <w:sz w:val="18"/>
              </w:rPr>
              <w:t>Balance</w:t>
            </w:r>
            <w:r>
              <w:rPr>
                <w:spacing w:val="-1"/>
                <w:sz w:val="18"/>
              </w:rPr>
              <w:t xml:space="preserve"> </w:t>
            </w:r>
            <w:r>
              <w:rPr>
                <w:sz w:val="18"/>
              </w:rPr>
              <w:t>Sheet,</w:t>
            </w:r>
            <w:r>
              <w:rPr>
                <w:spacing w:val="-2"/>
                <w:sz w:val="18"/>
              </w:rPr>
              <w:t xml:space="preserve"> 2023/2024)</w:t>
            </w:r>
          </w:p>
        </w:tc>
        <w:tc>
          <w:tcPr>
            <w:tcW w:w="2271" w:type="dxa"/>
            <w:tcBorders>
              <w:top w:val="single" w:sz="4" w:space="0" w:color="BEBEBE"/>
              <w:bottom w:val="single" w:sz="4" w:space="0" w:color="BEBEBE"/>
            </w:tcBorders>
          </w:tcPr>
          <w:p w14:paraId="2CBAC9D0" w14:textId="77777777" w:rsidR="00BC24A8" w:rsidRDefault="00BC24A8">
            <w:pPr>
              <w:pStyle w:val="TableParagraph"/>
              <w:rPr>
                <w:rFonts w:ascii="Times New Roman"/>
                <w:sz w:val="18"/>
              </w:rPr>
            </w:pPr>
          </w:p>
        </w:tc>
      </w:tr>
      <w:tr w:rsidR="00BC24A8" w14:paraId="7E847F5E" w14:textId="77777777">
        <w:trPr>
          <w:trHeight w:val="333"/>
        </w:trPr>
        <w:tc>
          <w:tcPr>
            <w:tcW w:w="502" w:type="dxa"/>
          </w:tcPr>
          <w:p w14:paraId="7F6EDCE1"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5B1C9D7F" w14:textId="77777777" w:rsidR="00BC24A8" w:rsidRDefault="00000000">
            <w:pPr>
              <w:pStyle w:val="TableParagraph"/>
              <w:tabs>
                <w:tab w:val="left" w:pos="493"/>
              </w:tabs>
              <w:spacing w:before="56"/>
              <w:ind w:left="134"/>
              <w:rPr>
                <w:sz w:val="18"/>
              </w:rPr>
            </w:pPr>
            <w:r>
              <w:rPr>
                <w:spacing w:val="-5"/>
                <w:sz w:val="18"/>
              </w:rPr>
              <w:t>a.</w:t>
            </w:r>
            <w:r>
              <w:rPr>
                <w:sz w:val="18"/>
              </w:rPr>
              <w:tab/>
              <w:t>Elementary</w:t>
            </w:r>
            <w:r>
              <w:rPr>
                <w:spacing w:val="-4"/>
                <w:sz w:val="18"/>
              </w:rPr>
              <w:t xml:space="preserve"> </w:t>
            </w:r>
            <w:r>
              <w:rPr>
                <w:spacing w:val="-2"/>
                <w:sz w:val="18"/>
              </w:rPr>
              <w:t>school/MI/equivalent</w:t>
            </w:r>
          </w:p>
        </w:tc>
        <w:tc>
          <w:tcPr>
            <w:tcW w:w="2271" w:type="dxa"/>
            <w:tcBorders>
              <w:top w:val="single" w:sz="4" w:space="0" w:color="BEBEBE"/>
              <w:bottom w:val="single" w:sz="4" w:space="0" w:color="BEBEBE"/>
            </w:tcBorders>
          </w:tcPr>
          <w:p w14:paraId="73D2F16B" w14:textId="77777777" w:rsidR="00BC24A8" w:rsidRDefault="00000000">
            <w:pPr>
              <w:pStyle w:val="TableParagraph"/>
              <w:spacing w:before="56"/>
              <w:ind w:right="1016"/>
              <w:jc w:val="right"/>
              <w:rPr>
                <w:sz w:val="18"/>
              </w:rPr>
            </w:pPr>
            <w:r>
              <w:rPr>
                <w:spacing w:val="-2"/>
                <w:sz w:val="18"/>
              </w:rPr>
              <w:t>78.46</w:t>
            </w:r>
          </w:p>
        </w:tc>
      </w:tr>
      <w:tr w:rsidR="00BC24A8" w14:paraId="6CBBFA4B" w14:textId="77777777">
        <w:trPr>
          <w:trHeight w:val="333"/>
        </w:trPr>
        <w:tc>
          <w:tcPr>
            <w:tcW w:w="502" w:type="dxa"/>
          </w:tcPr>
          <w:p w14:paraId="3C172FC3"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609013FE" w14:textId="77777777" w:rsidR="00BC24A8" w:rsidRDefault="00000000">
            <w:pPr>
              <w:pStyle w:val="TableParagraph"/>
              <w:tabs>
                <w:tab w:val="left" w:pos="539"/>
              </w:tabs>
              <w:spacing w:before="59"/>
              <w:ind w:left="107"/>
              <w:rPr>
                <w:sz w:val="18"/>
              </w:rPr>
            </w:pPr>
            <w:r>
              <w:rPr>
                <w:spacing w:val="-5"/>
                <w:sz w:val="18"/>
              </w:rPr>
              <w:t>b.</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271" w:type="dxa"/>
            <w:tcBorders>
              <w:top w:val="single" w:sz="4" w:space="0" w:color="BEBEBE"/>
              <w:bottom w:val="single" w:sz="4" w:space="0" w:color="BEBEBE"/>
            </w:tcBorders>
          </w:tcPr>
          <w:p w14:paraId="125BF468" w14:textId="77777777" w:rsidR="00BC24A8" w:rsidRDefault="00000000">
            <w:pPr>
              <w:pStyle w:val="TableParagraph"/>
              <w:spacing w:before="59"/>
              <w:ind w:right="1016"/>
              <w:jc w:val="right"/>
              <w:rPr>
                <w:sz w:val="18"/>
              </w:rPr>
            </w:pPr>
            <w:r>
              <w:rPr>
                <w:spacing w:val="-2"/>
                <w:sz w:val="18"/>
              </w:rPr>
              <w:t>78.46</w:t>
            </w:r>
          </w:p>
        </w:tc>
      </w:tr>
      <w:tr w:rsidR="00BC24A8" w14:paraId="7CC908C9" w14:textId="77777777">
        <w:trPr>
          <w:trHeight w:val="333"/>
        </w:trPr>
        <w:tc>
          <w:tcPr>
            <w:tcW w:w="502" w:type="dxa"/>
            <w:tcBorders>
              <w:bottom w:val="single" w:sz="4" w:space="0" w:color="BEBEBE"/>
            </w:tcBorders>
          </w:tcPr>
          <w:p w14:paraId="027DF826"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35A588AC" w14:textId="77777777" w:rsidR="00BC24A8" w:rsidRDefault="00000000">
            <w:pPr>
              <w:pStyle w:val="TableParagraph"/>
              <w:tabs>
                <w:tab w:val="left" w:pos="539"/>
              </w:tabs>
              <w:spacing w:before="59"/>
              <w:ind w:left="107"/>
              <w:rPr>
                <w:sz w:val="18"/>
              </w:rPr>
            </w:pPr>
            <w:r>
              <w:rPr>
                <w:spacing w:val="-5"/>
                <w:sz w:val="18"/>
              </w:rPr>
              <w:t>c.</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271" w:type="dxa"/>
            <w:tcBorders>
              <w:top w:val="single" w:sz="4" w:space="0" w:color="BEBEBE"/>
              <w:bottom w:val="single" w:sz="4" w:space="0" w:color="BEBEBE"/>
            </w:tcBorders>
          </w:tcPr>
          <w:p w14:paraId="2A78F12D" w14:textId="77777777" w:rsidR="00BC24A8" w:rsidRDefault="00000000">
            <w:pPr>
              <w:pStyle w:val="TableParagraph"/>
              <w:spacing w:before="59"/>
              <w:ind w:right="1016"/>
              <w:jc w:val="right"/>
              <w:rPr>
                <w:sz w:val="18"/>
              </w:rPr>
            </w:pPr>
            <w:r>
              <w:rPr>
                <w:spacing w:val="-2"/>
                <w:sz w:val="18"/>
              </w:rPr>
              <w:t>44.98</w:t>
            </w:r>
          </w:p>
        </w:tc>
      </w:tr>
      <w:tr w:rsidR="00BC24A8" w14:paraId="4AA98BED" w14:textId="77777777">
        <w:trPr>
          <w:trHeight w:val="395"/>
        </w:trPr>
        <w:tc>
          <w:tcPr>
            <w:tcW w:w="502" w:type="dxa"/>
            <w:tcBorders>
              <w:top w:val="single" w:sz="4" w:space="0" w:color="BEBEBE"/>
            </w:tcBorders>
          </w:tcPr>
          <w:p w14:paraId="47630520" w14:textId="77777777" w:rsidR="00BC24A8" w:rsidRDefault="00000000">
            <w:pPr>
              <w:pStyle w:val="TableParagraph"/>
              <w:spacing w:before="59"/>
              <w:ind w:right="134"/>
              <w:jc w:val="center"/>
              <w:rPr>
                <w:sz w:val="18"/>
              </w:rPr>
            </w:pPr>
            <w:r>
              <w:rPr>
                <w:spacing w:val="-5"/>
                <w:sz w:val="18"/>
              </w:rPr>
              <w:t>2.</w:t>
            </w:r>
          </w:p>
        </w:tc>
        <w:tc>
          <w:tcPr>
            <w:tcW w:w="6235" w:type="dxa"/>
            <w:tcBorders>
              <w:top w:val="single" w:sz="4" w:space="0" w:color="BEBEBE"/>
              <w:bottom w:val="single" w:sz="4" w:space="0" w:color="BEBEBE"/>
            </w:tcBorders>
          </w:tcPr>
          <w:p w14:paraId="3CC86B13" w14:textId="77777777" w:rsidR="00BC24A8" w:rsidRDefault="00000000">
            <w:pPr>
              <w:pStyle w:val="TableParagraph"/>
              <w:spacing w:before="59"/>
              <w:ind w:left="107"/>
              <w:rPr>
                <w:sz w:val="18"/>
              </w:rPr>
            </w:pPr>
            <w:r>
              <w:rPr>
                <w:sz w:val="18"/>
              </w:rPr>
              <w:t>Gross</w:t>
            </w:r>
            <w:r>
              <w:rPr>
                <w:spacing w:val="-2"/>
                <w:sz w:val="18"/>
              </w:rPr>
              <w:t xml:space="preserve"> </w:t>
            </w:r>
            <w:r>
              <w:rPr>
                <w:sz w:val="18"/>
              </w:rPr>
              <w:t>Enrollment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(Regional</w:t>
            </w:r>
            <w:r>
              <w:rPr>
                <w:spacing w:val="-1"/>
                <w:sz w:val="18"/>
              </w:rPr>
              <w:t xml:space="preserve"> </w:t>
            </w:r>
            <w:r>
              <w:rPr>
                <w:sz w:val="18"/>
              </w:rPr>
              <w:t>Education</w:t>
            </w:r>
            <w:r>
              <w:rPr>
                <w:spacing w:val="-2"/>
                <w:sz w:val="18"/>
              </w:rPr>
              <w:t xml:space="preserve"> </w:t>
            </w:r>
            <w:r>
              <w:rPr>
                <w:sz w:val="18"/>
              </w:rPr>
              <w:t>Balance</w:t>
            </w:r>
            <w:r>
              <w:rPr>
                <w:spacing w:val="-2"/>
                <w:sz w:val="18"/>
              </w:rPr>
              <w:t xml:space="preserve"> </w:t>
            </w:r>
            <w:r>
              <w:rPr>
                <w:sz w:val="18"/>
              </w:rPr>
              <w:t>Sheet,</w:t>
            </w:r>
            <w:r>
              <w:rPr>
                <w:spacing w:val="-2"/>
                <w:sz w:val="18"/>
              </w:rPr>
              <w:t xml:space="preserve"> 2023/2024)</w:t>
            </w:r>
          </w:p>
        </w:tc>
        <w:tc>
          <w:tcPr>
            <w:tcW w:w="2271" w:type="dxa"/>
            <w:tcBorders>
              <w:top w:val="single" w:sz="4" w:space="0" w:color="BEBEBE"/>
              <w:bottom w:val="single" w:sz="4" w:space="0" w:color="BEBEBE"/>
            </w:tcBorders>
          </w:tcPr>
          <w:p w14:paraId="6FC0988F" w14:textId="77777777" w:rsidR="00BC24A8" w:rsidRDefault="00BC24A8">
            <w:pPr>
              <w:pStyle w:val="TableParagraph"/>
              <w:rPr>
                <w:rFonts w:ascii="Times New Roman"/>
                <w:sz w:val="18"/>
              </w:rPr>
            </w:pPr>
          </w:p>
        </w:tc>
      </w:tr>
      <w:tr w:rsidR="00BC24A8" w14:paraId="4A748297" w14:textId="77777777">
        <w:trPr>
          <w:trHeight w:val="333"/>
        </w:trPr>
        <w:tc>
          <w:tcPr>
            <w:tcW w:w="502" w:type="dxa"/>
          </w:tcPr>
          <w:p w14:paraId="6569E52D"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2A89E6A3" w14:textId="77777777" w:rsidR="00BC24A8" w:rsidRDefault="00000000">
            <w:pPr>
              <w:pStyle w:val="TableParagraph"/>
              <w:tabs>
                <w:tab w:val="left" w:pos="585"/>
              </w:tabs>
              <w:spacing w:before="56"/>
              <w:ind w:left="107"/>
              <w:rPr>
                <w:sz w:val="18"/>
              </w:rPr>
            </w:pPr>
            <w:r>
              <w:rPr>
                <w:spacing w:val="-5"/>
                <w:sz w:val="18"/>
              </w:rPr>
              <w:t>a.</w:t>
            </w:r>
            <w:r>
              <w:rPr>
                <w:sz w:val="18"/>
              </w:rPr>
              <w:tab/>
              <w:t>Early</w:t>
            </w:r>
            <w:r>
              <w:rPr>
                <w:spacing w:val="-2"/>
                <w:sz w:val="18"/>
              </w:rPr>
              <w:t xml:space="preserve"> </w:t>
            </w:r>
            <w:r>
              <w:rPr>
                <w:sz w:val="18"/>
              </w:rPr>
              <w:t>childhood</w:t>
            </w:r>
            <w:r>
              <w:rPr>
                <w:spacing w:val="-1"/>
                <w:sz w:val="18"/>
              </w:rPr>
              <w:t xml:space="preserve"> </w:t>
            </w:r>
            <w:r>
              <w:rPr>
                <w:spacing w:val="-2"/>
                <w:sz w:val="18"/>
              </w:rPr>
              <w:t>education/equivalent</w:t>
            </w:r>
          </w:p>
        </w:tc>
        <w:tc>
          <w:tcPr>
            <w:tcW w:w="2271" w:type="dxa"/>
            <w:tcBorders>
              <w:top w:val="single" w:sz="4" w:space="0" w:color="BEBEBE"/>
              <w:bottom w:val="single" w:sz="4" w:space="0" w:color="BEBEBE"/>
            </w:tcBorders>
          </w:tcPr>
          <w:p w14:paraId="0761B54A" w14:textId="77777777" w:rsidR="00BC24A8" w:rsidRDefault="00000000">
            <w:pPr>
              <w:pStyle w:val="TableParagraph"/>
              <w:spacing w:before="56"/>
              <w:ind w:right="1016"/>
              <w:jc w:val="right"/>
              <w:rPr>
                <w:sz w:val="18"/>
              </w:rPr>
            </w:pPr>
            <w:r>
              <w:rPr>
                <w:spacing w:val="-2"/>
                <w:sz w:val="18"/>
              </w:rPr>
              <w:t>23,56</w:t>
            </w:r>
          </w:p>
        </w:tc>
      </w:tr>
      <w:tr w:rsidR="00BC24A8" w14:paraId="7F89AAA2" w14:textId="77777777">
        <w:trPr>
          <w:trHeight w:val="333"/>
        </w:trPr>
        <w:tc>
          <w:tcPr>
            <w:tcW w:w="502" w:type="dxa"/>
          </w:tcPr>
          <w:p w14:paraId="72C2C939"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35AE7EE7" w14:textId="77777777" w:rsidR="00BC24A8" w:rsidRDefault="00000000">
            <w:pPr>
              <w:pStyle w:val="TableParagraph"/>
              <w:tabs>
                <w:tab w:val="left" w:pos="539"/>
              </w:tabs>
              <w:spacing w:before="56"/>
              <w:ind w:left="107"/>
              <w:rPr>
                <w:sz w:val="18"/>
              </w:rPr>
            </w:pPr>
            <w:r>
              <w:rPr>
                <w:spacing w:val="-5"/>
                <w:sz w:val="18"/>
              </w:rPr>
              <w:t>b.</w:t>
            </w:r>
            <w:r>
              <w:rPr>
                <w:sz w:val="18"/>
              </w:rPr>
              <w:tab/>
              <w:t>Elementary</w:t>
            </w:r>
            <w:r>
              <w:rPr>
                <w:spacing w:val="-4"/>
                <w:sz w:val="18"/>
              </w:rPr>
              <w:t xml:space="preserve"> </w:t>
            </w:r>
            <w:r>
              <w:rPr>
                <w:spacing w:val="-2"/>
                <w:sz w:val="18"/>
              </w:rPr>
              <w:t>school/MI/equivalent</w:t>
            </w:r>
          </w:p>
        </w:tc>
        <w:tc>
          <w:tcPr>
            <w:tcW w:w="2271" w:type="dxa"/>
            <w:tcBorders>
              <w:top w:val="single" w:sz="4" w:space="0" w:color="BEBEBE"/>
              <w:bottom w:val="single" w:sz="4" w:space="0" w:color="BEBEBE"/>
            </w:tcBorders>
          </w:tcPr>
          <w:p w14:paraId="02472CAD" w14:textId="77777777" w:rsidR="00BC24A8" w:rsidRDefault="00000000">
            <w:pPr>
              <w:pStyle w:val="TableParagraph"/>
              <w:spacing w:before="56"/>
              <w:ind w:right="1016"/>
              <w:jc w:val="right"/>
              <w:rPr>
                <w:sz w:val="18"/>
              </w:rPr>
            </w:pPr>
            <w:r>
              <w:rPr>
                <w:spacing w:val="-2"/>
                <w:sz w:val="18"/>
              </w:rPr>
              <w:t>93,33</w:t>
            </w:r>
          </w:p>
        </w:tc>
      </w:tr>
      <w:tr w:rsidR="00BC24A8" w14:paraId="49E3FF5F" w14:textId="77777777">
        <w:trPr>
          <w:trHeight w:val="333"/>
        </w:trPr>
        <w:tc>
          <w:tcPr>
            <w:tcW w:w="502" w:type="dxa"/>
          </w:tcPr>
          <w:p w14:paraId="5F63F520"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18BFA92A" w14:textId="77777777" w:rsidR="00BC24A8" w:rsidRDefault="00000000">
            <w:pPr>
              <w:pStyle w:val="TableParagraph"/>
              <w:tabs>
                <w:tab w:val="left" w:pos="539"/>
              </w:tabs>
              <w:spacing w:before="59"/>
              <w:ind w:left="107"/>
              <w:rPr>
                <w:sz w:val="18"/>
              </w:rPr>
            </w:pPr>
            <w:r>
              <w:rPr>
                <w:spacing w:val="-5"/>
                <w:sz w:val="18"/>
              </w:rPr>
              <w:t>c.</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271" w:type="dxa"/>
            <w:tcBorders>
              <w:top w:val="single" w:sz="4" w:space="0" w:color="BEBEBE"/>
              <w:bottom w:val="single" w:sz="4" w:space="0" w:color="BEBEBE"/>
            </w:tcBorders>
          </w:tcPr>
          <w:p w14:paraId="0BC97040" w14:textId="77777777" w:rsidR="00BC24A8" w:rsidRDefault="00000000">
            <w:pPr>
              <w:pStyle w:val="TableParagraph"/>
              <w:spacing w:before="59"/>
              <w:ind w:right="1016"/>
              <w:jc w:val="right"/>
              <w:rPr>
                <w:sz w:val="18"/>
              </w:rPr>
            </w:pPr>
            <w:r>
              <w:rPr>
                <w:spacing w:val="-2"/>
                <w:sz w:val="18"/>
              </w:rPr>
              <w:t>94,66</w:t>
            </w:r>
          </w:p>
        </w:tc>
      </w:tr>
      <w:tr w:rsidR="00BC24A8" w14:paraId="6C88FF6D" w14:textId="77777777">
        <w:trPr>
          <w:trHeight w:val="335"/>
        </w:trPr>
        <w:tc>
          <w:tcPr>
            <w:tcW w:w="502" w:type="dxa"/>
            <w:tcBorders>
              <w:bottom w:val="single" w:sz="4" w:space="0" w:color="BEBEBE"/>
            </w:tcBorders>
          </w:tcPr>
          <w:p w14:paraId="4AC8BB39"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11C36023" w14:textId="77777777" w:rsidR="00BC24A8" w:rsidRDefault="00000000">
            <w:pPr>
              <w:pStyle w:val="TableParagraph"/>
              <w:tabs>
                <w:tab w:val="left" w:pos="539"/>
              </w:tabs>
              <w:spacing w:before="59"/>
              <w:ind w:left="107"/>
              <w:rPr>
                <w:sz w:val="18"/>
              </w:rPr>
            </w:pPr>
            <w:r>
              <w:rPr>
                <w:spacing w:val="-5"/>
                <w:sz w:val="18"/>
              </w:rPr>
              <w:t>d.</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271" w:type="dxa"/>
            <w:tcBorders>
              <w:top w:val="single" w:sz="4" w:space="0" w:color="BEBEBE"/>
              <w:bottom w:val="single" w:sz="4" w:space="0" w:color="BEBEBE"/>
            </w:tcBorders>
          </w:tcPr>
          <w:p w14:paraId="0F4BDDCF" w14:textId="77777777" w:rsidR="00BC24A8" w:rsidRDefault="00000000">
            <w:pPr>
              <w:pStyle w:val="TableParagraph"/>
              <w:spacing w:before="59"/>
              <w:ind w:right="1016"/>
              <w:jc w:val="right"/>
              <w:rPr>
                <w:sz w:val="18"/>
              </w:rPr>
            </w:pPr>
            <w:r>
              <w:rPr>
                <w:spacing w:val="-2"/>
                <w:sz w:val="18"/>
              </w:rPr>
              <w:t>67,18</w:t>
            </w:r>
          </w:p>
        </w:tc>
      </w:tr>
      <w:tr w:rsidR="00BC24A8" w14:paraId="59220ADD" w14:textId="77777777">
        <w:trPr>
          <w:trHeight w:val="393"/>
        </w:trPr>
        <w:tc>
          <w:tcPr>
            <w:tcW w:w="502" w:type="dxa"/>
            <w:tcBorders>
              <w:top w:val="single" w:sz="4" w:space="0" w:color="BEBEBE"/>
            </w:tcBorders>
          </w:tcPr>
          <w:p w14:paraId="5EBBDF66" w14:textId="77777777" w:rsidR="00BC24A8" w:rsidRDefault="00000000">
            <w:pPr>
              <w:pStyle w:val="TableParagraph"/>
              <w:spacing w:before="56"/>
              <w:ind w:right="134"/>
              <w:jc w:val="center"/>
              <w:rPr>
                <w:sz w:val="18"/>
              </w:rPr>
            </w:pPr>
            <w:r>
              <w:rPr>
                <w:spacing w:val="-5"/>
                <w:sz w:val="18"/>
              </w:rPr>
              <w:t>3.</w:t>
            </w:r>
          </w:p>
        </w:tc>
        <w:tc>
          <w:tcPr>
            <w:tcW w:w="6235" w:type="dxa"/>
            <w:tcBorders>
              <w:top w:val="single" w:sz="4" w:space="0" w:color="BEBEBE"/>
              <w:bottom w:val="single" w:sz="4" w:space="0" w:color="BEBEBE"/>
            </w:tcBorders>
          </w:tcPr>
          <w:p w14:paraId="68762DFC" w14:textId="77777777" w:rsidR="00BC24A8" w:rsidRDefault="00000000">
            <w:pPr>
              <w:pStyle w:val="TableParagraph"/>
              <w:spacing w:before="56"/>
              <w:ind w:left="107"/>
              <w:rPr>
                <w:sz w:val="18"/>
              </w:rPr>
            </w:pPr>
            <w:r>
              <w:rPr>
                <w:sz w:val="18"/>
              </w:rPr>
              <w:t>School</w:t>
            </w:r>
            <w:r>
              <w:rPr>
                <w:spacing w:val="-1"/>
                <w:sz w:val="18"/>
              </w:rPr>
              <w:t xml:space="preserve"> </w:t>
            </w:r>
            <w:r>
              <w:rPr>
                <w:sz w:val="18"/>
              </w:rPr>
              <w:t>Dropout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(BPS,</w:t>
            </w:r>
            <w:r>
              <w:rPr>
                <w:spacing w:val="-2"/>
                <w:sz w:val="18"/>
              </w:rPr>
              <w:t xml:space="preserve"> </w:t>
            </w:r>
            <w:r>
              <w:rPr>
                <w:spacing w:val="-4"/>
                <w:sz w:val="18"/>
              </w:rPr>
              <w:t>2022)</w:t>
            </w:r>
          </w:p>
        </w:tc>
        <w:tc>
          <w:tcPr>
            <w:tcW w:w="2271" w:type="dxa"/>
            <w:tcBorders>
              <w:top w:val="single" w:sz="4" w:space="0" w:color="BEBEBE"/>
              <w:bottom w:val="single" w:sz="4" w:space="0" w:color="BEBEBE"/>
            </w:tcBorders>
          </w:tcPr>
          <w:p w14:paraId="18CF05E6" w14:textId="77777777" w:rsidR="00BC24A8" w:rsidRDefault="00BC24A8">
            <w:pPr>
              <w:pStyle w:val="TableParagraph"/>
              <w:rPr>
                <w:rFonts w:ascii="Times New Roman"/>
                <w:sz w:val="18"/>
              </w:rPr>
            </w:pPr>
          </w:p>
        </w:tc>
      </w:tr>
      <w:tr w:rsidR="00BC24A8" w14:paraId="76E0DC4A" w14:textId="77777777">
        <w:trPr>
          <w:trHeight w:val="333"/>
        </w:trPr>
        <w:tc>
          <w:tcPr>
            <w:tcW w:w="502" w:type="dxa"/>
          </w:tcPr>
          <w:p w14:paraId="0A07B6FA"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65033D81" w14:textId="77777777" w:rsidR="00BC24A8" w:rsidRDefault="00000000">
            <w:pPr>
              <w:pStyle w:val="TableParagraph"/>
              <w:tabs>
                <w:tab w:val="left" w:pos="493"/>
              </w:tabs>
              <w:spacing w:before="56"/>
              <w:ind w:left="107"/>
              <w:rPr>
                <w:sz w:val="18"/>
              </w:rPr>
            </w:pPr>
            <w:r>
              <w:rPr>
                <w:spacing w:val="-5"/>
                <w:sz w:val="18"/>
              </w:rPr>
              <w:t>a.</w:t>
            </w:r>
            <w:r>
              <w:rPr>
                <w:sz w:val="18"/>
              </w:rPr>
              <w:tab/>
              <w:t>Elementary</w:t>
            </w:r>
            <w:r>
              <w:rPr>
                <w:spacing w:val="-4"/>
                <w:sz w:val="18"/>
              </w:rPr>
              <w:t xml:space="preserve"> </w:t>
            </w:r>
            <w:r>
              <w:rPr>
                <w:spacing w:val="-2"/>
                <w:sz w:val="18"/>
              </w:rPr>
              <w:t>school/MI/equivalent</w:t>
            </w:r>
          </w:p>
        </w:tc>
        <w:tc>
          <w:tcPr>
            <w:tcW w:w="2271" w:type="dxa"/>
            <w:tcBorders>
              <w:top w:val="single" w:sz="4" w:space="0" w:color="BEBEBE"/>
              <w:bottom w:val="single" w:sz="4" w:space="0" w:color="BEBEBE"/>
            </w:tcBorders>
          </w:tcPr>
          <w:p w14:paraId="485B6FE7" w14:textId="77777777" w:rsidR="00BC24A8" w:rsidRDefault="00000000">
            <w:pPr>
              <w:pStyle w:val="TableParagraph"/>
              <w:spacing w:before="56"/>
              <w:ind w:right="171"/>
              <w:jc w:val="center"/>
              <w:rPr>
                <w:sz w:val="18"/>
              </w:rPr>
            </w:pPr>
            <w:r>
              <w:rPr>
                <w:spacing w:val="-4"/>
                <w:sz w:val="18"/>
              </w:rPr>
              <w:t>2.38</w:t>
            </w:r>
          </w:p>
        </w:tc>
      </w:tr>
      <w:tr w:rsidR="00BC24A8" w14:paraId="17B2C194" w14:textId="77777777">
        <w:trPr>
          <w:trHeight w:val="333"/>
        </w:trPr>
        <w:tc>
          <w:tcPr>
            <w:tcW w:w="502" w:type="dxa"/>
          </w:tcPr>
          <w:p w14:paraId="2B6FE7E3"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7F1FC39B" w14:textId="77777777" w:rsidR="00BC24A8" w:rsidRDefault="00000000">
            <w:pPr>
              <w:pStyle w:val="TableParagraph"/>
              <w:tabs>
                <w:tab w:val="left" w:pos="539"/>
              </w:tabs>
              <w:spacing w:before="56"/>
              <w:ind w:left="107"/>
              <w:rPr>
                <w:sz w:val="18"/>
              </w:rPr>
            </w:pPr>
            <w:r>
              <w:rPr>
                <w:spacing w:val="-5"/>
                <w:sz w:val="18"/>
              </w:rPr>
              <w:t>b.</w:t>
            </w:r>
            <w:r>
              <w:rPr>
                <w:sz w:val="18"/>
              </w:rPr>
              <w:tab/>
              <w:t>Junior</w:t>
            </w:r>
            <w:r>
              <w:rPr>
                <w:spacing w:val="-1"/>
                <w:sz w:val="18"/>
              </w:rPr>
              <w:t xml:space="preserve"> </w:t>
            </w:r>
            <w:r>
              <w:rPr>
                <w:sz w:val="18"/>
              </w:rPr>
              <w:t>high</w:t>
            </w:r>
            <w:r>
              <w:rPr>
                <w:spacing w:val="-1"/>
                <w:sz w:val="18"/>
              </w:rPr>
              <w:t xml:space="preserve"> </w:t>
            </w:r>
            <w:r>
              <w:rPr>
                <w:spacing w:val="-2"/>
                <w:sz w:val="18"/>
              </w:rPr>
              <w:t>school/MTs/equivalent</w:t>
            </w:r>
          </w:p>
        </w:tc>
        <w:tc>
          <w:tcPr>
            <w:tcW w:w="2271" w:type="dxa"/>
            <w:tcBorders>
              <w:top w:val="single" w:sz="4" w:space="0" w:color="BEBEBE"/>
              <w:bottom w:val="single" w:sz="4" w:space="0" w:color="BEBEBE"/>
            </w:tcBorders>
          </w:tcPr>
          <w:p w14:paraId="00A010D7" w14:textId="77777777" w:rsidR="00BC24A8" w:rsidRDefault="00000000">
            <w:pPr>
              <w:pStyle w:val="TableParagraph"/>
              <w:spacing w:before="56"/>
              <w:ind w:right="171"/>
              <w:jc w:val="center"/>
              <w:rPr>
                <w:sz w:val="18"/>
              </w:rPr>
            </w:pPr>
            <w:r>
              <w:rPr>
                <w:spacing w:val="-4"/>
                <w:sz w:val="18"/>
              </w:rPr>
              <w:t>3.22</w:t>
            </w:r>
          </w:p>
        </w:tc>
      </w:tr>
      <w:tr w:rsidR="00BC24A8" w14:paraId="4955A204" w14:textId="77777777">
        <w:trPr>
          <w:trHeight w:val="333"/>
        </w:trPr>
        <w:tc>
          <w:tcPr>
            <w:tcW w:w="502" w:type="dxa"/>
            <w:tcBorders>
              <w:bottom w:val="single" w:sz="4" w:space="0" w:color="BEBEBE"/>
            </w:tcBorders>
          </w:tcPr>
          <w:p w14:paraId="3FB90A75"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38D2F89E" w14:textId="77777777" w:rsidR="00BC24A8" w:rsidRDefault="00000000">
            <w:pPr>
              <w:pStyle w:val="TableParagraph"/>
              <w:tabs>
                <w:tab w:val="left" w:pos="539"/>
              </w:tabs>
              <w:spacing w:before="59"/>
              <w:ind w:left="107"/>
              <w:rPr>
                <w:sz w:val="18"/>
              </w:rPr>
            </w:pPr>
            <w:r>
              <w:rPr>
                <w:spacing w:val="-5"/>
                <w:sz w:val="18"/>
              </w:rPr>
              <w:t>c.</w:t>
            </w:r>
            <w:r>
              <w:rPr>
                <w:sz w:val="18"/>
              </w:rPr>
              <w:tab/>
              <w:t>Senior</w:t>
            </w:r>
            <w:r>
              <w:rPr>
                <w:spacing w:val="-3"/>
                <w:sz w:val="18"/>
              </w:rPr>
              <w:t xml:space="preserve"> </w:t>
            </w:r>
            <w:r>
              <w:rPr>
                <w:sz w:val="18"/>
              </w:rPr>
              <w:t>high</w:t>
            </w:r>
            <w:r>
              <w:rPr>
                <w:spacing w:val="-3"/>
                <w:sz w:val="18"/>
              </w:rPr>
              <w:t xml:space="preserve"> </w:t>
            </w:r>
            <w:r>
              <w:rPr>
                <w:sz w:val="18"/>
              </w:rPr>
              <w:t>school/vocational</w:t>
            </w:r>
            <w:r>
              <w:rPr>
                <w:spacing w:val="-2"/>
                <w:sz w:val="18"/>
              </w:rPr>
              <w:t xml:space="preserve"> school/MA/equivalent</w:t>
            </w:r>
          </w:p>
        </w:tc>
        <w:tc>
          <w:tcPr>
            <w:tcW w:w="2271" w:type="dxa"/>
            <w:tcBorders>
              <w:top w:val="single" w:sz="4" w:space="0" w:color="BEBEBE"/>
              <w:bottom w:val="single" w:sz="4" w:space="0" w:color="BEBEBE"/>
            </w:tcBorders>
          </w:tcPr>
          <w:p w14:paraId="109899EC" w14:textId="77777777" w:rsidR="00BC24A8" w:rsidRDefault="00000000">
            <w:pPr>
              <w:pStyle w:val="TableParagraph"/>
              <w:spacing w:before="59"/>
              <w:ind w:right="171"/>
              <w:jc w:val="center"/>
              <w:rPr>
                <w:sz w:val="18"/>
              </w:rPr>
            </w:pPr>
            <w:r>
              <w:rPr>
                <w:spacing w:val="-4"/>
                <w:sz w:val="18"/>
              </w:rPr>
              <w:t>0.83</w:t>
            </w:r>
          </w:p>
        </w:tc>
      </w:tr>
      <w:tr w:rsidR="00BC24A8" w14:paraId="73B47DFD" w14:textId="77777777">
        <w:trPr>
          <w:trHeight w:val="395"/>
        </w:trPr>
        <w:tc>
          <w:tcPr>
            <w:tcW w:w="502" w:type="dxa"/>
            <w:tcBorders>
              <w:top w:val="single" w:sz="4" w:space="0" w:color="BEBEBE"/>
              <w:bottom w:val="single" w:sz="4" w:space="0" w:color="BEBEBE"/>
            </w:tcBorders>
          </w:tcPr>
          <w:p w14:paraId="75353E87" w14:textId="77777777" w:rsidR="00BC24A8" w:rsidRDefault="00000000">
            <w:pPr>
              <w:pStyle w:val="TableParagraph"/>
              <w:spacing w:before="59"/>
              <w:ind w:right="134"/>
              <w:jc w:val="center"/>
              <w:rPr>
                <w:sz w:val="18"/>
              </w:rPr>
            </w:pPr>
            <w:r>
              <w:rPr>
                <w:spacing w:val="-5"/>
                <w:sz w:val="18"/>
              </w:rPr>
              <w:t>4.</w:t>
            </w:r>
          </w:p>
        </w:tc>
        <w:tc>
          <w:tcPr>
            <w:tcW w:w="6235" w:type="dxa"/>
            <w:tcBorders>
              <w:top w:val="single" w:sz="4" w:space="0" w:color="BEBEBE"/>
              <w:bottom w:val="single" w:sz="4" w:space="0" w:color="BEBEBE"/>
            </w:tcBorders>
          </w:tcPr>
          <w:p w14:paraId="16ACC166" w14:textId="77777777" w:rsidR="00BC24A8" w:rsidRDefault="00000000">
            <w:pPr>
              <w:pStyle w:val="TableParagraph"/>
              <w:spacing w:before="59"/>
              <w:ind w:left="107"/>
              <w:rPr>
                <w:sz w:val="18"/>
              </w:rPr>
            </w:pPr>
            <w:r>
              <w:rPr>
                <w:sz w:val="18"/>
              </w:rPr>
              <w:t>Infant</w:t>
            </w:r>
            <w:r>
              <w:rPr>
                <w:spacing w:val="-2"/>
                <w:sz w:val="18"/>
              </w:rPr>
              <w:t xml:space="preserve"> </w:t>
            </w:r>
            <w:r>
              <w:rPr>
                <w:sz w:val="18"/>
              </w:rPr>
              <w:t>Mortality</w:t>
            </w:r>
            <w:r>
              <w:rPr>
                <w:spacing w:val="-1"/>
                <w:sz w:val="18"/>
              </w:rPr>
              <w:t xml:space="preserve"> </w:t>
            </w:r>
            <w:r>
              <w:rPr>
                <w:sz w:val="18"/>
              </w:rPr>
              <w:t>Rate</w:t>
            </w:r>
            <w:r>
              <w:rPr>
                <w:spacing w:val="-1"/>
                <w:sz w:val="18"/>
              </w:rPr>
              <w:t xml:space="preserve"> </w:t>
            </w:r>
            <w:r>
              <w:rPr>
                <w:sz w:val="18"/>
              </w:rPr>
              <w:t>(per</w:t>
            </w:r>
            <w:r>
              <w:rPr>
                <w:spacing w:val="-1"/>
                <w:sz w:val="18"/>
              </w:rPr>
              <w:t xml:space="preserve"> </w:t>
            </w:r>
            <w:r>
              <w:rPr>
                <w:sz w:val="18"/>
              </w:rPr>
              <w:t>1,000 live</w:t>
            </w:r>
            <w:r>
              <w:rPr>
                <w:spacing w:val="-1"/>
                <w:sz w:val="18"/>
              </w:rPr>
              <w:t xml:space="preserve"> </w:t>
            </w:r>
            <w:r>
              <w:rPr>
                <w:sz w:val="18"/>
              </w:rPr>
              <w:t>births)</w:t>
            </w:r>
            <w:r>
              <w:rPr>
                <w:spacing w:val="-2"/>
                <w:sz w:val="18"/>
              </w:rPr>
              <w:t xml:space="preserve"> </w:t>
            </w:r>
            <w:r>
              <w:rPr>
                <w:sz w:val="18"/>
              </w:rPr>
              <w:t>(BPS,</w:t>
            </w:r>
            <w:r>
              <w:rPr>
                <w:spacing w:val="-1"/>
                <w:sz w:val="18"/>
              </w:rPr>
              <w:t xml:space="preserve"> </w:t>
            </w:r>
            <w:r>
              <w:rPr>
                <w:spacing w:val="-2"/>
                <w:sz w:val="18"/>
              </w:rPr>
              <w:t>2020)</w:t>
            </w:r>
          </w:p>
        </w:tc>
        <w:tc>
          <w:tcPr>
            <w:tcW w:w="2271" w:type="dxa"/>
            <w:tcBorders>
              <w:top w:val="single" w:sz="4" w:space="0" w:color="BEBEBE"/>
              <w:bottom w:val="single" w:sz="4" w:space="0" w:color="BEBEBE"/>
            </w:tcBorders>
          </w:tcPr>
          <w:p w14:paraId="7C841F5F" w14:textId="77777777" w:rsidR="00BC24A8" w:rsidRDefault="00000000">
            <w:pPr>
              <w:pStyle w:val="TableParagraph"/>
              <w:spacing w:before="59"/>
              <w:ind w:right="1013"/>
              <w:jc w:val="right"/>
              <w:rPr>
                <w:sz w:val="18"/>
              </w:rPr>
            </w:pPr>
            <w:r>
              <w:rPr>
                <w:spacing w:val="-2"/>
                <w:sz w:val="18"/>
              </w:rPr>
              <w:t>38.17</w:t>
            </w:r>
          </w:p>
        </w:tc>
      </w:tr>
      <w:tr w:rsidR="00BC24A8" w14:paraId="06492461" w14:textId="77777777">
        <w:trPr>
          <w:trHeight w:val="393"/>
        </w:trPr>
        <w:tc>
          <w:tcPr>
            <w:tcW w:w="502" w:type="dxa"/>
            <w:tcBorders>
              <w:top w:val="single" w:sz="4" w:space="0" w:color="BEBEBE"/>
              <w:bottom w:val="single" w:sz="4" w:space="0" w:color="BEBEBE"/>
            </w:tcBorders>
          </w:tcPr>
          <w:p w14:paraId="6E524420" w14:textId="77777777" w:rsidR="00BC24A8" w:rsidRDefault="00000000">
            <w:pPr>
              <w:pStyle w:val="TableParagraph"/>
              <w:spacing w:before="56"/>
              <w:ind w:right="134"/>
              <w:jc w:val="center"/>
              <w:rPr>
                <w:sz w:val="18"/>
              </w:rPr>
            </w:pPr>
            <w:r>
              <w:rPr>
                <w:spacing w:val="-5"/>
                <w:sz w:val="18"/>
              </w:rPr>
              <w:t>5.</w:t>
            </w:r>
          </w:p>
        </w:tc>
        <w:tc>
          <w:tcPr>
            <w:tcW w:w="6235" w:type="dxa"/>
            <w:tcBorders>
              <w:top w:val="single" w:sz="4" w:space="0" w:color="BEBEBE"/>
              <w:bottom w:val="single" w:sz="4" w:space="0" w:color="BEBEBE"/>
            </w:tcBorders>
          </w:tcPr>
          <w:p w14:paraId="650C6B25" w14:textId="77777777" w:rsidR="00BC24A8" w:rsidRDefault="00000000">
            <w:pPr>
              <w:pStyle w:val="TableParagraph"/>
              <w:spacing w:before="56"/>
              <w:ind w:left="107"/>
              <w:rPr>
                <w:sz w:val="18"/>
              </w:rPr>
            </w:pPr>
            <w:r>
              <w:rPr>
                <w:sz w:val="18"/>
              </w:rPr>
              <w:t>Maternal</w:t>
            </w:r>
            <w:r>
              <w:rPr>
                <w:spacing w:val="-3"/>
                <w:sz w:val="18"/>
              </w:rPr>
              <w:t xml:space="preserve"> </w:t>
            </w:r>
            <w:r>
              <w:rPr>
                <w:sz w:val="18"/>
              </w:rPr>
              <w:t>Mortality</w:t>
            </w:r>
            <w:r>
              <w:rPr>
                <w:spacing w:val="-3"/>
                <w:sz w:val="18"/>
              </w:rPr>
              <w:t xml:space="preserve"> </w:t>
            </w:r>
            <w:r>
              <w:rPr>
                <w:sz w:val="18"/>
              </w:rPr>
              <w:t>Rate</w:t>
            </w:r>
            <w:r>
              <w:rPr>
                <w:spacing w:val="-1"/>
                <w:sz w:val="18"/>
              </w:rPr>
              <w:t xml:space="preserve"> </w:t>
            </w:r>
            <w:r>
              <w:rPr>
                <w:sz w:val="18"/>
              </w:rPr>
              <w:t>(per</w:t>
            </w:r>
            <w:r>
              <w:rPr>
                <w:spacing w:val="-2"/>
                <w:sz w:val="18"/>
              </w:rPr>
              <w:t xml:space="preserve"> </w:t>
            </w:r>
            <w:r>
              <w:rPr>
                <w:sz w:val="18"/>
              </w:rPr>
              <w:t>100,000</w:t>
            </w:r>
            <w:r>
              <w:rPr>
                <w:spacing w:val="-1"/>
                <w:sz w:val="18"/>
              </w:rPr>
              <w:t xml:space="preserve"> </w:t>
            </w:r>
            <w:r>
              <w:rPr>
                <w:sz w:val="18"/>
              </w:rPr>
              <w:t>live</w:t>
            </w:r>
            <w:r>
              <w:rPr>
                <w:spacing w:val="-2"/>
                <w:sz w:val="18"/>
              </w:rPr>
              <w:t xml:space="preserve"> </w:t>
            </w:r>
            <w:r>
              <w:rPr>
                <w:sz w:val="18"/>
              </w:rPr>
              <w:t>births)</w:t>
            </w:r>
            <w:r>
              <w:rPr>
                <w:spacing w:val="-2"/>
                <w:sz w:val="18"/>
              </w:rPr>
              <w:t xml:space="preserve"> </w:t>
            </w:r>
            <w:r>
              <w:rPr>
                <w:sz w:val="18"/>
              </w:rPr>
              <w:t>(BPS,</w:t>
            </w:r>
            <w:r>
              <w:rPr>
                <w:spacing w:val="-2"/>
                <w:sz w:val="18"/>
              </w:rPr>
              <w:t xml:space="preserve"> 2020)</w:t>
            </w:r>
          </w:p>
        </w:tc>
        <w:tc>
          <w:tcPr>
            <w:tcW w:w="2271" w:type="dxa"/>
            <w:tcBorders>
              <w:top w:val="single" w:sz="4" w:space="0" w:color="BEBEBE"/>
              <w:bottom w:val="single" w:sz="4" w:space="0" w:color="BEBEBE"/>
            </w:tcBorders>
          </w:tcPr>
          <w:p w14:paraId="28775D75" w14:textId="77777777" w:rsidR="00BC24A8" w:rsidRDefault="00000000">
            <w:pPr>
              <w:pStyle w:val="TableParagraph"/>
              <w:spacing w:before="59"/>
              <w:ind w:right="171"/>
              <w:jc w:val="center"/>
              <w:rPr>
                <w:sz w:val="18"/>
              </w:rPr>
            </w:pPr>
            <w:r>
              <w:rPr>
                <w:spacing w:val="-5"/>
                <w:sz w:val="18"/>
              </w:rPr>
              <w:t>565</w:t>
            </w:r>
          </w:p>
        </w:tc>
      </w:tr>
      <w:tr w:rsidR="00BC24A8" w14:paraId="2112DC3A" w14:textId="77777777">
        <w:trPr>
          <w:trHeight w:val="393"/>
        </w:trPr>
        <w:tc>
          <w:tcPr>
            <w:tcW w:w="502" w:type="dxa"/>
            <w:tcBorders>
              <w:top w:val="single" w:sz="4" w:space="0" w:color="BEBEBE"/>
              <w:bottom w:val="single" w:sz="4" w:space="0" w:color="BEBEBE"/>
            </w:tcBorders>
          </w:tcPr>
          <w:p w14:paraId="3F054CAB" w14:textId="77777777" w:rsidR="00BC24A8" w:rsidRDefault="00000000">
            <w:pPr>
              <w:pStyle w:val="TableParagraph"/>
              <w:spacing w:before="56"/>
              <w:ind w:right="134"/>
              <w:jc w:val="center"/>
              <w:rPr>
                <w:sz w:val="18"/>
              </w:rPr>
            </w:pPr>
            <w:r>
              <w:rPr>
                <w:spacing w:val="-5"/>
                <w:sz w:val="18"/>
              </w:rPr>
              <w:t>6.</w:t>
            </w:r>
          </w:p>
        </w:tc>
        <w:tc>
          <w:tcPr>
            <w:tcW w:w="6235" w:type="dxa"/>
            <w:tcBorders>
              <w:top w:val="single" w:sz="4" w:space="0" w:color="BEBEBE"/>
              <w:bottom w:val="single" w:sz="4" w:space="0" w:color="BEBEBE"/>
            </w:tcBorders>
          </w:tcPr>
          <w:p w14:paraId="495B1523" w14:textId="77777777" w:rsidR="00BC24A8" w:rsidRDefault="00000000">
            <w:pPr>
              <w:pStyle w:val="TableParagraph"/>
              <w:spacing w:before="56"/>
              <w:ind w:left="107"/>
              <w:rPr>
                <w:sz w:val="18"/>
              </w:rPr>
            </w:pPr>
            <w:r>
              <w:rPr>
                <w:sz w:val="18"/>
              </w:rPr>
              <w:t>Stunting</w:t>
            </w:r>
            <w:r>
              <w:rPr>
                <w:spacing w:val="-5"/>
                <w:sz w:val="18"/>
              </w:rPr>
              <w:t xml:space="preserve"> </w:t>
            </w:r>
            <w:r>
              <w:rPr>
                <w:sz w:val="18"/>
              </w:rPr>
              <w:t>prevalence</w:t>
            </w:r>
            <w:r>
              <w:rPr>
                <w:spacing w:val="-2"/>
                <w:sz w:val="18"/>
              </w:rPr>
              <w:t xml:space="preserve"> </w:t>
            </w:r>
            <w:r>
              <w:rPr>
                <w:sz w:val="18"/>
              </w:rPr>
              <w:t>in</w:t>
            </w:r>
            <w:r>
              <w:rPr>
                <w:spacing w:val="-1"/>
                <w:sz w:val="18"/>
              </w:rPr>
              <w:t xml:space="preserve"> </w:t>
            </w:r>
            <w:r>
              <w:rPr>
                <w:sz w:val="18"/>
              </w:rPr>
              <w:t>Children</w:t>
            </w:r>
            <w:r>
              <w:rPr>
                <w:spacing w:val="-2"/>
                <w:sz w:val="18"/>
              </w:rPr>
              <w:t xml:space="preserve"> </w:t>
            </w:r>
            <w:r>
              <w:rPr>
                <w:sz w:val="18"/>
              </w:rPr>
              <w:t>Aged</w:t>
            </w:r>
            <w:r>
              <w:rPr>
                <w:spacing w:val="-1"/>
                <w:sz w:val="18"/>
              </w:rPr>
              <w:t xml:space="preserve"> </w:t>
            </w:r>
            <w:r>
              <w:rPr>
                <w:sz w:val="18"/>
              </w:rPr>
              <w:t>0–59</w:t>
            </w:r>
            <w:r>
              <w:rPr>
                <w:spacing w:val="-2"/>
                <w:sz w:val="18"/>
              </w:rPr>
              <w:t xml:space="preserve"> </w:t>
            </w:r>
            <w:r>
              <w:rPr>
                <w:sz w:val="18"/>
              </w:rPr>
              <w:t>Months</w:t>
            </w:r>
            <w:r>
              <w:rPr>
                <w:spacing w:val="1"/>
                <w:sz w:val="18"/>
              </w:rPr>
              <w:t xml:space="preserve"> </w:t>
            </w:r>
            <w:r>
              <w:rPr>
                <w:sz w:val="18"/>
              </w:rPr>
              <w:t>(%)</w:t>
            </w:r>
            <w:r>
              <w:rPr>
                <w:spacing w:val="-1"/>
                <w:sz w:val="18"/>
              </w:rPr>
              <w:t xml:space="preserve"> </w:t>
            </w:r>
            <w:r>
              <w:rPr>
                <w:sz w:val="18"/>
              </w:rPr>
              <w:t>(SKI,</w:t>
            </w:r>
            <w:r>
              <w:rPr>
                <w:spacing w:val="-2"/>
                <w:sz w:val="18"/>
              </w:rPr>
              <w:t xml:space="preserve"> 2023)</w:t>
            </w:r>
          </w:p>
        </w:tc>
        <w:tc>
          <w:tcPr>
            <w:tcW w:w="2271" w:type="dxa"/>
            <w:tcBorders>
              <w:top w:val="single" w:sz="4" w:space="0" w:color="BEBEBE"/>
              <w:bottom w:val="single" w:sz="4" w:space="0" w:color="BEBEBE"/>
            </w:tcBorders>
          </w:tcPr>
          <w:p w14:paraId="4646B176" w14:textId="77777777" w:rsidR="00BC24A8" w:rsidRDefault="00000000">
            <w:pPr>
              <w:pStyle w:val="TableParagraph"/>
              <w:spacing w:before="59"/>
              <w:ind w:left="2" w:right="171"/>
              <w:jc w:val="center"/>
              <w:rPr>
                <w:sz w:val="18"/>
              </w:rPr>
            </w:pPr>
            <w:r>
              <w:rPr>
                <w:spacing w:val="-4"/>
                <w:sz w:val="18"/>
              </w:rPr>
              <w:t>28.6</w:t>
            </w:r>
          </w:p>
        </w:tc>
      </w:tr>
      <w:tr w:rsidR="00BC24A8" w14:paraId="7E79CB91" w14:textId="77777777">
        <w:trPr>
          <w:trHeight w:val="393"/>
        </w:trPr>
        <w:tc>
          <w:tcPr>
            <w:tcW w:w="502" w:type="dxa"/>
            <w:tcBorders>
              <w:top w:val="single" w:sz="4" w:space="0" w:color="BEBEBE"/>
              <w:bottom w:val="single" w:sz="4" w:space="0" w:color="BEBEBE"/>
            </w:tcBorders>
          </w:tcPr>
          <w:p w14:paraId="6B97672C" w14:textId="77777777" w:rsidR="00BC24A8" w:rsidRDefault="00000000">
            <w:pPr>
              <w:pStyle w:val="TableParagraph"/>
              <w:spacing w:before="59"/>
              <w:ind w:right="134"/>
              <w:jc w:val="center"/>
              <w:rPr>
                <w:sz w:val="18"/>
              </w:rPr>
            </w:pPr>
            <w:r>
              <w:rPr>
                <w:spacing w:val="-5"/>
                <w:sz w:val="18"/>
              </w:rPr>
              <w:t>7.</w:t>
            </w:r>
          </w:p>
        </w:tc>
        <w:tc>
          <w:tcPr>
            <w:tcW w:w="6235" w:type="dxa"/>
            <w:tcBorders>
              <w:top w:val="single" w:sz="4" w:space="0" w:color="BEBEBE"/>
              <w:bottom w:val="single" w:sz="4" w:space="0" w:color="BEBEBE"/>
            </w:tcBorders>
          </w:tcPr>
          <w:p w14:paraId="2A5DF57A" w14:textId="77777777" w:rsidR="00BC24A8" w:rsidRDefault="00000000">
            <w:pPr>
              <w:pStyle w:val="TableParagraph"/>
              <w:spacing w:before="59"/>
              <w:ind w:left="107"/>
              <w:rPr>
                <w:sz w:val="18"/>
              </w:rPr>
            </w:pPr>
            <w:r>
              <w:rPr>
                <w:sz w:val="18"/>
              </w:rPr>
              <w:t>Open</w:t>
            </w:r>
            <w:r>
              <w:rPr>
                <w:spacing w:val="-2"/>
                <w:sz w:val="18"/>
              </w:rPr>
              <w:t xml:space="preserve"> </w:t>
            </w:r>
            <w:r>
              <w:rPr>
                <w:sz w:val="18"/>
              </w:rPr>
              <w:t>Unemployment</w:t>
            </w:r>
            <w:r>
              <w:rPr>
                <w:spacing w:val="-1"/>
                <w:sz w:val="18"/>
              </w:rPr>
              <w:t xml:space="preserve"> </w:t>
            </w:r>
            <w:r>
              <w:rPr>
                <w:sz w:val="18"/>
              </w:rPr>
              <w:t>Rate</w:t>
            </w:r>
            <w:r>
              <w:rPr>
                <w:spacing w:val="-2"/>
                <w:sz w:val="18"/>
              </w:rPr>
              <w:t xml:space="preserve"> </w:t>
            </w:r>
            <w:r>
              <w:rPr>
                <w:sz w:val="18"/>
              </w:rPr>
              <w:t>(%)</w:t>
            </w:r>
            <w:r>
              <w:rPr>
                <w:spacing w:val="-1"/>
                <w:sz w:val="18"/>
              </w:rPr>
              <w:t xml:space="preserve"> </w:t>
            </w:r>
            <w:r>
              <w:rPr>
                <w:sz w:val="18"/>
              </w:rPr>
              <w:t>(BPS,</w:t>
            </w:r>
            <w:r>
              <w:rPr>
                <w:spacing w:val="-1"/>
                <w:sz w:val="18"/>
              </w:rPr>
              <w:t xml:space="preserve"> </w:t>
            </w:r>
            <w:r>
              <w:rPr>
                <w:spacing w:val="-2"/>
                <w:sz w:val="18"/>
              </w:rPr>
              <w:t>2024)</w:t>
            </w:r>
          </w:p>
        </w:tc>
        <w:tc>
          <w:tcPr>
            <w:tcW w:w="2271" w:type="dxa"/>
            <w:tcBorders>
              <w:top w:val="single" w:sz="4" w:space="0" w:color="BEBEBE"/>
              <w:bottom w:val="single" w:sz="4" w:space="0" w:color="BEBEBE"/>
            </w:tcBorders>
          </w:tcPr>
          <w:p w14:paraId="719F11C6" w14:textId="77777777" w:rsidR="00BC24A8" w:rsidRDefault="00000000">
            <w:pPr>
              <w:pStyle w:val="TableParagraph"/>
              <w:spacing w:before="59"/>
              <w:ind w:left="2" w:right="171"/>
              <w:jc w:val="center"/>
              <w:rPr>
                <w:sz w:val="18"/>
              </w:rPr>
            </w:pPr>
            <w:r>
              <w:rPr>
                <w:spacing w:val="-4"/>
                <w:sz w:val="18"/>
              </w:rPr>
              <w:t>5.81</w:t>
            </w:r>
          </w:p>
        </w:tc>
      </w:tr>
      <w:tr w:rsidR="00BC24A8" w14:paraId="129205F7" w14:textId="77777777">
        <w:trPr>
          <w:trHeight w:val="395"/>
        </w:trPr>
        <w:tc>
          <w:tcPr>
            <w:tcW w:w="502" w:type="dxa"/>
            <w:tcBorders>
              <w:top w:val="single" w:sz="4" w:space="0" w:color="BEBEBE"/>
            </w:tcBorders>
          </w:tcPr>
          <w:p w14:paraId="21837695" w14:textId="77777777" w:rsidR="00BC24A8" w:rsidRDefault="00000000">
            <w:pPr>
              <w:pStyle w:val="TableParagraph"/>
              <w:spacing w:before="59"/>
              <w:ind w:right="134"/>
              <w:jc w:val="center"/>
              <w:rPr>
                <w:sz w:val="18"/>
              </w:rPr>
            </w:pPr>
            <w:r>
              <w:rPr>
                <w:spacing w:val="-5"/>
                <w:sz w:val="18"/>
              </w:rPr>
              <w:t>8.</w:t>
            </w:r>
          </w:p>
        </w:tc>
        <w:tc>
          <w:tcPr>
            <w:tcW w:w="6235" w:type="dxa"/>
            <w:tcBorders>
              <w:top w:val="single" w:sz="4" w:space="0" w:color="BEBEBE"/>
              <w:bottom w:val="single" w:sz="4" w:space="0" w:color="BEBEBE"/>
            </w:tcBorders>
          </w:tcPr>
          <w:p w14:paraId="4B69042D" w14:textId="77777777" w:rsidR="00BC24A8" w:rsidRDefault="00000000">
            <w:pPr>
              <w:pStyle w:val="TableParagraph"/>
              <w:spacing w:before="59"/>
              <w:ind w:left="107"/>
              <w:rPr>
                <w:sz w:val="18"/>
              </w:rPr>
            </w:pPr>
            <w:r>
              <w:rPr>
                <w:sz w:val="18"/>
              </w:rPr>
              <w:t>Poverty</w:t>
            </w:r>
            <w:r>
              <w:rPr>
                <w:spacing w:val="-6"/>
                <w:sz w:val="18"/>
              </w:rPr>
              <w:t xml:space="preserve"> </w:t>
            </w:r>
            <w:r>
              <w:rPr>
                <w:spacing w:val="-2"/>
                <w:sz w:val="18"/>
              </w:rPr>
              <w:t>Situation</w:t>
            </w:r>
          </w:p>
        </w:tc>
        <w:tc>
          <w:tcPr>
            <w:tcW w:w="2271" w:type="dxa"/>
            <w:tcBorders>
              <w:top w:val="single" w:sz="4" w:space="0" w:color="BEBEBE"/>
              <w:bottom w:val="single" w:sz="4" w:space="0" w:color="BEBEBE"/>
            </w:tcBorders>
          </w:tcPr>
          <w:p w14:paraId="16D20838" w14:textId="77777777" w:rsidR="00BC24A8" w:rsidRDefault="00BC24A8">
            <w:pPr>
              <w:pStyle w:val="TableParagraph"/>
              <w:rPr>
                <w:rFonts w:ascii="Times New Roman"/>
                <w:sz w:val="18"/>
              </w:rPr>
            </w:pPr>
          </w:p>
        </w:tc>
      </w:tr>
      <w:tr w:rsidR="00BC24A8" w14:paraId="3A38A38D" w14:textId="77777777">
        <w:trPr>
          <w:trHeight w:val="333"/>
        </w:trPr>
        <w:tc>
          <w:tcPr>
            <w:tcW w:w="502" w:type="dxa"/>
          </w:tcPr>
          <w:p w14:paraId="06FBA25C"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7E905DCA" w14:textId="77777777" w:rsidR="00BC24A8" w:rsidRDefault="00000000">
            <w:pPr>
              <w:pStyle w:val="TableParagraph"/>
              <w:tabs>
                <w:tab w:val="left" w:pos="493"/>
              </w:tabs>
              <w:spacing w:before="56"/>
              <w:ind w:left="134"/>
              <w:rPr>
                <w:sz w:val="18"/>
              </w:rPr>
            </w:pPr>
            <w:r>
              <w:rPr>
                <w:spacing w:val="-5"/>
                <w:sz w:val="18"/>
              </w:rPr>
              <w:t>a.</w:t>
            </w:r>
            <w:r>
              <w:rPr>
                <w:sz w:val="18"/>
              </w:rPr>
              <w:tab/>
              <w:t>Percentage</w:t>
            </w:r>
            <w:r>
              <w:rPr>
                <w:spacing w:val="-4"/>
                <w:sz w:val="18"/>
              </w:rPr>
              <w:t xml:space="preserve"> </w:t>
            </w:r>
            <w:r>
              <w:rPr>
                <w:sz w:val="18"/>
              </w:rPr>
              <w:t>of</w:t>
            </w:r>
            <w:r>
              <w:rPr>
                <w:spacing w:val="-4"/>
                <w:sz w:val="18"/>
              </w:rPr>
              <w:t xml:space="preserve"> </w:t>
            </w:r>
            <w:r>
              <w:rPr>
                <w:sz w:val="18"/>
              </w:rPr>
              <w:t>Poor</w:t>
            </w:r>
            <w:r>
              <w:rPr>
                <w:spacing w:val="-3"/>
                <w:sz w:val="18"/>
              </w:rPr>
              <w:t xml:space="preserve"> </w:t>
            </w:r>
            <w:r>
              <w:rPr>
                <w:sz w:val="18"/>
              </w:rPr>
              <w:t>Population</w:t>
            </w:r>
            <w:r>
              <w:rPr>
                <w:spacing w:val="-3"/>
                <w:sz w:val="18"/>
              </w:rPr>
              <w:t xml:space="preserve"> </w:t>
            </w:r>
            <w:r>
              <w:rPr>
                <w:sz w:val="18"/>
              </w:rPr>
              <w:t>(BPS,</w:t>
            </w:r>
            <w:r>
              <w:rPr>
                <w:spacing w:val="-3"/>
                <w:sz w:val="18"/>
              </w:rPr>
              <w:t xml:space="preserve"> </w:t>
            </w:r>
            <w:r>
              <w:rPr>
                <w:spacing w:val="-4"/>
                <w:sz w:val="18"/>
              </w:rPr>
              <w:t>2024)</w:t>
            </w:r>
          </w:p>
        </w:tc>
        <w:tc>
          <w:tcPr>
            <w:tcW w:w="2271" w:type="dxa"/>
            <w:tcBorders>
              <w:top w:val="single" w:sz="4" w:space="0" w:color="BEBEBE"/>
              <w:bottom w:val="single" w:sz="4" w:space="0" w:color="BEBEBE"/>
            </w:tcBorders>
          </w:tcPr>
          <w:p w14:paraId="036AFB55" w14:textId="77777777" w:rsidR="00BC24A8" w:rsidRDefault="00000000">
            <w:pPr>
              <w:pStyle w:val="TableParagraph"/>
              <w:spacing w:before="56"/>
              <w:ind w:right="1016"/>
              <w:jc w:val="right"/>
              <w:rPr>
                <w:sz w:val="18"/>
              </w:rPr>
            </w:pPr>
            <w:r>
              <w:rPr>
                <w:spacing w:val="-2"/>
                <w:sz w:val="18"/>
              </w:rPr>
              <w:t>17,26</w:t>
            </w:r>
          </w:p>
        </w:tc>
      </w:tr>
      <w:tr w:rsidR="00BC24A8" w14:paraId="04BB21A9" w14:textId="77777777">
        <w:trPr>
          <w:trHeight w:val="333"/>
        </w:trPr>
        <w:tc>
          <w:tcPr>
            <w:tcW w:w="502" w:type="dxa"/>
          </w:tcPr>
          <w:p w14:paraId="29E7307D"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253C0434" w14:textId="77777777" w:rsidR="00BC24A8" w:rsidRDefault="00000000">
            <w:pPr>
              <w:pStyle w:val="TableParagraph"/>
              <w:tabs>
                <w:tab w:val="left" w:pos="539"/>
              </w:tabs>
              <w:spacing w:before="56"/>
              <w:ind w:left="107"/>
              <w:rPr>
                <w:sz w:val="18"/>
              </w:rPr>
            </w:pPr>
            <w:r>
              <w:rPr>
                <w:spacing w:val="-5"/>
                <w:sz w:val="18"/>
              </w:rPr>
              <w:t>b.</w:t>
            </w:r>
            <w:r>
              <w:rPr>
                <w:sz w:val="18"/>
              </w:rPr>
              <w:tab/>
              <w:t>Poverty</w:t>
            </w:r>
            <w:r>
              <w:rPr>
                <w:spacing w:val="-3"/>
                <w:sz w:val="18"/>
              </w:rPr>
              <w:t xml:space="preserve"> </w:t>
            </w:r>
            <w:r>
              <w:rPr>
                <w:sz w:val="18"/>
              </w:rPr>
              <w:t>Depth</w:t>
            </w:r>
            <w:r>
              <w:rPr>
                <w:spacing w:val="-3"/>
                <w:sz w:val="18"/>
              </w:rPr>
              <w:t xml:space="preserve"> </w:t>
            </w:r>
            <w:r>
              <w:rPr>
                <w:sz w:val="18"/>
              </w:rPr>
              <w:t>Index</w:t>
            </w:r>
            <w:r>
              <w:rPr>
                <w:spacing w:val="-3"/>
                <w:sz w:val="18"/>
              </w:rPr>
              <w:t xml:space="preserve"> </w:t>
            </w:r>
            <w:r>
              <w:rPr>
                <w:sz w:val="18"/>
              </w:rPr>
              <w:t>(BPS,</w:t>
            </w:r>
            <w:r>
              <w:rPr>
                <w:spacing w:val="-2"/>
                <w:sz w:val="18"/>
              </w:rPr>
              <w:t xml:space="preserve"> </w:t>
            </w:r>
            <w:r>
              <w:rPr>
                <w:spacing w:val="-4"/>
                <w:sz w:val="18"/>
              </w:rPr>
              <w:t>2024)</w:t>
            </w:r>
          </w:p>
        </w:tc>
        <w:tc>
          <w:tcPr>
            <w:tcW w:w="2271" w:type="dxa"/>
            <w:tcBorders>
              <w:top w:val="single" w:sz="4" w:space="0" w:color="BEBEBE"/>
              <w:bottom w:val="single" w:sz="4" w:space="0" w:color="BEBEBE"/>
            </w:tcBorders>
          </w:tcPr>
          <w:p w14:paraId="0A79FBBC" w14:textId="77777777" w:rsidR="00BC24A8" w:rsidRDefault="00000000">
            <w:pPr>
              <w:pStyle w:val="TableParagraph"/>
              <w:spacing w:before="56"/>
              <w:ind w:right="171"/>
              <w:jc w:val="center"/>
              <w:rPr>
                <w:sz w:val="18"/>
              </w:rPr>
            </w:pPr>
            <w:r>
              <w:rPr>
                <w:spacing w:val="-4"/>
                <w:sz w:val="18"/>
              </w:rPr>
              <w:t>4,01</w:t>
            </w:r>
          </w:p>
        </w:tc>
      </w:tr>
      <w:tr w:rsidR="00BC24A8" w14:paraId="12110956" w14:textId="77777777">
        <w:trPr>
          <w:trHeight w:val="333"/>
        </w:trPr>
        <w:tc>
          <w:tcPr>
            <w:tcW w:w="502" w:type="dxa"/>
          </w:tcPr>
          <w:p w14:paraId="1A06F304"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17A590C9" w14:textId="77777777" w:rsidR="00BC24A8" w:rsidRDefault="00000000">
            <w:pPr>
              <w:pStyle w:val="TableParagraph"/>
              <w:tabs>
                <w:tab w:val="left" w:pos="539"/>
              </w:tabs>
              <w:spacing w:before="56"/>
              <w:ind w:left="107"/>
              <w:rPr>
                <w:sz w:val="18"/>
              </w:rPr>
            </w:pPr>
            <w:r>
              <w:rPr>
                <w:spacing w:val="-5"/>
                <w:sz w:val="18"/>
              </w:rPr>
              <w:t>c.</w:t>
            </w:r>
            <w:r>
              <w:rPr>
                <w:sz w:val="18"/>
              </w:rPr>
              <w:tab/>
              <w:t>Poverty</w:t>
            </w:r>
            <w:r>
              <w:rPr>
                <w:spacing w:val="-4"/>
                <w:sz w:val="18"/>
              </w:rPr>
              <w:t xml:space="preserve"> </w:t>
            </w:r>
            <w:r>
              <w:rPr>
                <w:sz w:val="18"/>
              </w:rPr>
              <w:t>Severity</w:t>
            </w:r>
            <w:r>
              <w:rPr>
                <w:spacing w:val="-3"/>
                <w:sz w:val="18"/>
              </w:rPr>
              <w:t xml:space="preserve"> </w:t>
            </w:r>
            <w:r>
              <w:rPr>
                <w:sz w:val="18"/>
              </w:rPr>
              <w:t>Index</w:t>
            </w:r>
            <w:r>
              <w:rPr>
                <w:spacing w:val="-3"/>
                <w:sz w:val="18"/>
              </w:rPr>
              <w:t xml:space="preserve"> </w:t>
            </w:r>
            <w:r>
              <w:rPr>
                <w:sz w:val="18"/>
              </w:rPr>
              <w:t>(BPS,</w:t>
            </w:r>
            <w:r>
              <w:rPr>
                <w:spacing w:val="-3"/>
                <w:sz w:val="18"/>
              </w:rPr>
              <w:t xml:space="preserve"> </w:t>
            </w:r>
            <w:r>
              <w:rPr>
                <w:spacing w:val="-2"/>
                <w:sz w:val="18"/>
              </w:rPr>
              <w:t>2024)</w:t>
            </w:r>
          </w:p>
        </w:tc>
        <w:tc>
          <w:tcPr>
            <w:tcW w:w="2271" w:type="dxa"/>
            <w:tcBorders>
              <w:top w:val="single" w:sz="4" w:space="0" w:color="BEBEBE"/>
              <w:bottom w:val="single" w:sz="4" w:space="0" w:color="BEBEBE"/>
            </w:tcBorders>
          </w:tcPr>
          <w:p w14:paraId="45B02890" w14:textId="77777777" w:rsidR="00BC24A8" w:rsidRDefault="00000000">
            <w:pPr>
              <w:pStyle w:val="TableParagraph"/>
              <w:spacing w:before="56"/>
              <w:ind w:right="171"/>
              <w:jc w:val="center"/>
              <w:rPr>
                <w:sz w:val="18"/>
              </w:rPr>
            </w:pPr>
            <w:r>
              <w:rPr>
                <w:spacing w:val="-4"/>
                <w:sz w:val="18"/>
              </w:rPr>
              <w:t>1,25</w:t>
            </w:r>
          </w:p>
        </w:tc>
      </w:tr>
      <w:tr w:rsidR="00BC24A8" w14:paraId="546E5400" w14:textId="77777777">
        <w:trPr>
          <w:trHeight w:val="333"/>
        </w:trPr>
        <w:tc>
          <w:tcPr>
            <w:tcW w:w="502" w:type="dxa"/>
            <w:tcBorders>
              <w:bottom w:val="single" w:sz="4" w:space="0" w:color="BEBEBE"/>
            </w:tcBorders>
          </w:tcPr>
          <w:p w14:paraId="329FE6BC" w14:textId="77777777" w:rsidR="00BC24A8" w:rsidRDefault="00BC24A8">
            <w:pPr>
              <w:pStyle w:val="TableParagraph"/>
              <w:rPr>
                <w:rFonts w:ascii="Times New Roman"/>
                <w:sz w:val="18"/>
              </w:rPr>
            </w:pPr>
          </w:p>
        </w:tc>
        <w:tc>
          <w:tcPr>
            <w:tcW w:w="6235" w:type="dxa"/>
            <w:tcBorders>
              <w:top w:val="single" w:sz="4" w:space="0" w:color="BEBEBE"/>
              <w:bottom w:val="single" w:sz="4" w:space="0" w:color="BEBEBE"/>
            </w:tcBorders>
          </w:tcPr>
          <w:p w14:paraId="3B638081" w14:textId="77777777" w:rsidR="00BC24A8" w:rsidRDefault="00000000">
            <w:pPr>
              <w:pStyle w:val="TableParagraph"/>
              <w:tabs>
                <w:tab w:val="left" w:pos="539"/>
              </w:tabs>
              <w:spacing w:before="59"/>
              <w:ind w:left="107"/>
              <w:rPr>
                <w:sz w:val="18"/>
              </w:rPr>
            </w:pPr>
            <w:r>
              <w:rPr>
                <w:spacing w:val="-5"/>
                <w:sz w:val="18"/>
              </w:rPr>
              <w:t>d.</w:t>
            </w:r>
            <w:r>
              <w:rPr>
                <w:sz w:val="18"/>
              </w:rPr>
              <w:tab/>
              <w:t>Poverty</w:t>
            </w:r>
            <w:r>
              <w:rPr>
                <w:spacing w:val="-3"/>
                <w:sz w:val="18"/>
              </w:rPr>
              <w:t xml:space="preserve"> </w:t>
            </w:r>
            <w:r>
              <w:rPr>
                <w:sz w:val="18"/>
              </w:rPr>
              <w:t>Line</w:t>
            </w:r>
            <w:r>
              <w:rPr>
                <w:spacing w:val="-2"/>
                <w:sz w:val="18"/>
              </w:rPr>
              <w:t xml:space="preserve"> (rupiah/capita/month)</w:t>
            </w:r>
          </w:p>
        </w:tc>
        <w:tc>
          <w:tcPr>
            <w:tcW w:w="2271" w:type="dxa"/>
            <w:tcBorders>
              <w:top w:val="single" w:sz="4" w:space="0" w:color="BEBEBE"/>
              <w:bottom w:val="single" w:sz="4" w:space="0" w:color="BEBEBE"/>
            </w:tcBorders>
          </w:tcPr>
          <w:p w14:paraId="7345B644" w14:textId="77777777" w:rsidR="00BC24A8" w:rsidRDefault="00000000">
            <w:pPr>
              <w:pStyle w:val="TableParagraph"/>
              <w:spacing w:before="59"/>
              <w:ind w:right="924"/>
              <w:jc w:val="right"/>
              <w:rPr>
                <w:sz w:val="18"/>
              </w:rPr>
            </w:pPr>
            <w:r>
              <w:rPr>
                <w:spacing w:val="-2"/>
                <w:sz w:val="18"/>
              </w:rPr>
              <w:t>674.371</w:t>
            </w:r>
          </w:p>
        </w:tc>
      </w:tr>
      <w:tr w:rsidR="00BC24A8" w14:paraId="47279766" w14:textId="77777777">
        <w:trPr>
          <w:trHeight w:val="395"/>
        </w:trPr>
        <w:tc>
          <w:tcPr>
            <w:tcW w:w="502" w:type="dxa"/>
            <w:tcBorders>
              <w:top w:val="single" w:sz="4" w:space="0" w:color="BEBEBE"/>
              <w:bottom w:val="single" w:sz="4" w:space="0" w:color="BEBEBE"/>
            </w:tcBorders>
          </w:tcPr>
          <w:p w14:paraId="2799633C" w14:textId="77777777" w:rsidR="00BC24A8" w:rsidRDefault="00000000">
            <w:pPr>
              <w:pStyle w:val="TableParagraph"/>
              <w:spacing w:before="59"/>
              <w:ind w:right="134"/>
              <w:jc w:val="center"/>
              <w:rPr>
                <w:sz w:val="18"/>
              </w:rPr>
            </w:pPr>
            <w:r>
              <w:rPr>
                <w:spacing w:val="-5"/>
                <w:sz w:val="18"/>
              </w:rPr>
              <w:t>9.</w:t>
            </w:r>
          </w:p>
        </w:tc>
        <w:tc>
          <w:tcPr>
            <w:tcW w:w="6235" w:type="dxa"/>
            <w:tcBorders>
              <w:top w:val="single" w:sz="4" w:space="0" w:color="BEBEBE"/>
              <w:bottom w:val="single" w:sz="4" w:space="0" w:color="BEBEBE"/>
            </w:tcBorders>
          </w:tcPr>
          <w:p w14:paraId="4280C977" w14:textId="77777777" w:rsidR="00BC24A8" w:rsidRDefault="00000000">
            <w:pPr>
              <w:pStyle w:val="TableParagraph"/>
              <w:spacing w:before="59"/>
              <w:ind w:left="107"/>
              <w:rPr>
                <w:sz w:val="18"/>
              </w:rPr>
            </w:pPr>
            <w:r>
              <w:rPr>
                <w:sz w:val="18"/>
              </w:rPr>
              <w:t>Gini</w:t>
            </w:r>
            <w:r>
              <w:rPr>
                <w:spacing w:val="-3"/>
                <w:sz w:val="18"/>
              </w:rPr>
              <w:t xml:space="preserve"> </w:t>
            </w:r>
            <w:r>
              <w:rPr>
                <w:sz w:val="18"/>
              </w:rPr>
              <w:t>Coefficient</w:t>
            </w:r>
            <w:r>
              <w:rPr>
                <w:spacing w:val="-1"/>
                <w:sz w:val="18"/>
              </w:rPr>
              <w:t xml:space="preserve"> </w:t>
            </w:r>
            <w:r>
              <w:rPr>
                <w:sz w:val="18"/>
              </w:rPr>
              <w:t>(BPS,</w:t>
            </w:r>
            <w:r>
              <w:rPr>
                <w:spacing w:val="-2"/>
                <w:sz w:val="18"/>
              </w:rPr>
              <w:t xml:space="preserve"> 2024)</w:t>
            </w:r>
          </w:p>
        </w:tc>
        <w:tc>
          <w:tcPr>
            <w:tcW w:w="2271" w:type="dxa"/>
            <w:tcBorders>
              <w:top w:val="single" w:sz="4" w:space="0" w:color="BEBEBE"/>
              <w:bottom w:val="single" w:sz="4" w:space="0" w:color="BEBEBE"/>
            </w:tcBorders>
          </w:tcPr>
          <w:p w14:paraId="61BDBDCF" w14:textId="77777777" w:rsidR="00BC24A8" w:rsidRDefault="00000000">
            <w:pPr>
              <w:pStyle w:val="TableParagraph"/>
              <w:spacing w:before="59"/>
              <w:ind w:right="1013"/>
              <w:jc w:val="right"/>
              <w:rPr>
                <w:sz w:val="18"/>
              </w:rPr>
            </w:pPr>
            <w:r>
              <w:rPr>
                <w:spacing w:val="-2"/>
                <w:sz w:val="18"/>
              </w:rPr>
              <w:t>0.362</w:t>
            </w:r>
          </w:p>
        </w:tc>
      </w:tr>
      <w:tr w:rsidR="00BC24A8" w14:paraId="6462DB81" w14:textId="77777777">
        <w:trPr>
          <w:trHeight w:val="364"/>
        </w:trPr>
        <w:tc>
          <w:tcPr>
            <w:tcW w:w="502" w:type="dxa"/>
            <w:tcBorders>
              <w:top w:val="single" w:sz="4" w:space="0" w:color="BEBEBE"/>
              <w:bottom w:val="single" w:sz="4" w:space="0" w:color="BEBEBE"/>
            </w:tcBorders>
          </w:tcPr>
          <w:p w14:paraId="54E7FECB" w14:textId="77777777" w:rsidR="00BC24A8" w:rsidRDefault="00000000">
            <w:pPr>
              <w:pStyle w:val="TableParagraph"/>
              <w:spacing w:before="56"/>
              <w:ind w:left="92" w:right="134"/>
              <w:jc w:val="center"/>
              <w:rPr>
                <w:sz w:val="18"/>
              </w:rPr>
            </w:pPr>
            <w:r>
              <w:rPr>
                <w:spacing w:val="-5"/>
                <w:sz w:val="18"/>
              </w:rPr>
              <w:t>10.</w:t>
            </w:r>
          </w:p>
        </w:tc>
        <w:tc>
          <w:tcPr>
            <w:tcW w:w="6235" w:type="dxa"/>
            <w:tcBorders>
              <w:top w:val="single" w:sz="4" w:space="0" w:color="BEBEBE"/>
              <w:bottom w:val="single" w:sz="4" w:space="0" w:color="BEBEBE"/>
            </w:tcBorders>
          </w:tcPr>
          <w:p w14:paraId="63268A4F" w14:textId="77777777" w:rsidR="00BC24A8" w:rsidRDefault="00000000">
            <w:pPr>
              <w:pStyle w:val="TableParagraph"/>
              <w:spacing w:before="56"/>
              <w:ind w:left="107"/>
              <w:rPr>
                <w:sz w:val="18"/>
              </w:rPr>
            </w:pPr>
            <w:r>
              <w:rPr>
                <w:sz w:val="18"/>
              </w:rPr>
              <w:t>HDI</w:t>
            </w:r>
            <w:r>
              <w:rPr>
                <w:spacing w:val="-3"/>
                <w:sz w:val="18"/>
              </w:rPr>
              <w:t xml:space="preserve"> </w:t>
            </w:r>
            <w:r>
              <w:rPr>
                <w:sz w:val="18"/>
              </w:rPr>
              <w:t>(using</w:t>
            </w:r>
            <w:r>
              <w:rPr>
                <w:spacing w:val="-3"/>
                <w:sz w:val="18"/>
              </w:rPr>
              <w:t xml:space="preserve"> </w:t>
            </w:r>
            <w:r>
              <w:rPr>
                <w:sz w:val="18"/>
              </w:rPr>
              <w:t>Life</w:t>
            </w:r>
            <w:r>
              <w:rPr>
                <w:spacing w:val="-2"/>
                <w:sz w:val="18"/>
              </w:rPr>
              <w:t xml:space="preserve"> </w:t>
            </w:r>
            <w:r>
              <w:rPr>
                <w:sz w:val="18"/>
              </w:rPr>
              <w:t>Expectancy from</w:t>
            </w:r>
            <w:r>
              <w:rPr>
                <w:spacing w:val="-2"/>
                <w:sz w:val="18"/>
              </w:rPr>
              <w:t xml:space="preserve"> </w:t>
            </w:r>
            <w:r>
              <w:rPr>
                <w:sz w:val="18"/>
              </w:rPr>
              <w:t>SP2020 LF)</w:t>
            </w:r>
            <w:r>
              <w:rPr>
                <w:spacing w:val="-3"/>
                <w:sz w:val="18"/>
              </w:rPr>
              <w:t xml:space="preserve"> </w:t>
            </w:r>
            <w:r>
              <w:rPr>
                <w:sz w:val="18"/>
              </w:rPr>
              <w:t>(BPS,</w:t>
            </w:r>
            <w:r>
              <w:rPr>
                <w:spacing w:val="-2"/>
                <w:sz w:val="18"/>
              </w:rPr>
              <w:t xml:space="preserve"> 2023)</w:t>
            </w:r>
          </w:p>
        </w:tc>
        <w:tc>
          <w:tcPr>
            <w:tcW w:w="2271" w:type="dxa"/>
            <w:tcBorders>
              <w:top w:val="single" w:sz="4" w:space="0" w:color="BEBEBE"/>
              <w:bottom w:val="single" w:sz="4" w:space="0" w:color="BEBEBE"/>
            </w:tcBorders>
          </w:tcPr>
          <w:p w14:paraId="5894ED5D" w14:textId="77777777" w:rsidR="00BC24A8" w:rsidRDefault="00000000">
            <w:pPr>
              <w:pStyle w:val="TableParagraph"/>
              <w:spacing w:before="73"/>
              <w:ind w:right="1013"/>
              <w:jc w:val="right"/>
              <w:rPr>
                <w:sz w:val="18"/>
              </w:rPr>
            </w:pPr>
            <w:r>
              <w:rPr>
                <w:spacing w:val="-2"/>
                <w:sz w:val="18"/>
              </w:rPr>
              <w:t>63.01</w:t>
            </w:r>
          </w:p>
        </w:tc>
      </w:tr>
    </w:tbl>
    <w:p w14:paraId="3F8BD215" w14:textId="77777777" w:rsidR="00BC24A8" w:rsidRDefault="00000000">
      <w:pPr>
        <w:spacing w:before="131"/>
        <w:ind w:left="143"/>
        <w:rPr>
          <w:sz w:val="16"/>
        </w:rPr>
      </w:pPr>
      <w:r>
        <w:rPr>
          <w:sz w:val="16"/>
        </w:rPr>
        <w:t>Data</w:t>
      </w:r>
      <w:r>
        <w:rPr>
          <w:spacing w:val="-7"/>
          <w:sz w:val="16"/>
        </w:rPr>
        <w:t xml:space="preserve"> </w:t>
      </w:r>
      <w:r>
        <w:rPr>
          <w:sz w:val="16"/>
        </w:rPr>
        <w:t>Source:</w:t>
      </w:r>
      <w:r>
        <w:rPr>
          <w:spacing w:val="-6"/>
          <w:sz w:val="16"/>
        </w:rPr>
        <w:t xml:space="preserve"> </w:t>
      </w:r>
      <w:r>
        <w:rPr>
          <w:sz w:val="16"/>
        </w:rPr>
        <w:t>Compiled</w:t>
      </w:r>
      <w:r>
        <w:rPr>
          <w:spacing w:val="-7"/>
          <w:sz w:val="16"/>
        </w:rPr>
        <w:t xml:space="preserve"> </w:t>
      </w:r>
      <w:r>
        <w:rPr>
          <w:sz w:val="16"/>
        </w:rPr>
        <w:t>from</w:t>
      </w:r>
      <w:r>
        <w:rPr>
          <w:spacing w:val="-7"/>
          <w:sz w:val="16"/>
        </w:rPr>
        <w:t xml:space="preserve"> </w:t>
      </w:r>
      <w:r>
        <w:rPr>
          <w:sz w:val="16"/>
        </w:rPr>
        <w:t>BPS</w:t>
      </w:r>
      <w:r>
        <w:rPr>
          <w:spacing w:val="-7"/>
          <w:sz w:val="16"/>
        </w:rPr>
        <w:t xml:space="preserve"> </w:t>
      </w:r>
      <w:r>
        <w:rPr>
          <w:sz w:val="16"/>
        </w:rPr>
        <w:t>publications,</w:t>
      </w:r>
      <w:r>
        <w:rPr>
          <w:spacing w:val="-8"/>
          <w:sz w:val="16"/>
        </w:rPr>
        <w:t xml:space="preserve"> </w:t>
      </w:r>
      <w:r>
        <w:rPr>
          <w:sz w:val="16"/>
        </w:rPr>
        <w:t>Education</w:t>
      </w:r>
      <w:r>
        <w:rPr>
          <w:spacing w:val="-6"/>
          <w:sz w:val="16"/>
        </w:rPr>
        <w:t xml:space="preserve"> </w:t>
      </w:r>
      <w:r>
        <w:rPr>
          <w:sz w:val="16"/>
        </w:rPr>
        <w:t>Balance</w:t>
      </w:r>
      <w:r>
        <w:rPr>
          <w:spacing w:val="-8"/>
          <w:sz w:val="16"/>
        </w:rPr>
        <w:t xml:space="preserve"> </w:t>
      </w:r>
      <w:r>
        <w:rPr>
          <w:sz w:val="16"/>
        </w:rPr>
        <w:t>Sheet,</w:t>
      </w:r>
      <w:r>
        <w:rPr>
          <w:spacing w:val="-8"/>
          <w:sz w:val="16"/>
        </w:rPr>
        <w:t xml:space="preserve"> </w:t>
      </w:r>
      <w:r>
        <w:rPr>
          <w:sz w:val="16"/>
        </w:rPr>
        <w:t>and</w:t>
      </w:r>
      <w:r>
        <w:rPr>
          <w:spacing w:val="-8"/>
          <w:sz w:val="16"/>
        </w:rPr>
        <w:t xml:space="preserve"> </w:t>
      </w:r>
      <w:r>
        <w:rPr>
          <w:sz w:val="16"/>
        </w:rPr>
        <w:t>Indonesia</w:t>
      </w:r>
      <w:r>
        <w:rPr>
          <w:spacing w:val="-7"/>
          <w:sz w:val="16"/>
        </w:rPr>
        <w:t xml:space="preserve"> </w:t>
      </w:r>
      <w:r>
        <w:rPr>
          <w:sz w:val="16"/>
        </w:rPr>
        <w:t>Health</w:t>
      </w:r>
      <w:r>
        <w:rPr>
          <w:spacing w:val="-6"/>
          <w:sz w:val="16"/>
        </w:rPr>
        <w:t xml:space="preserve"> </w:t>
      </w:r>
      <w:r>
        <w:rPr>
          <w:spacing w:val="-2"/>
          <w:sz w:val="16"/>
        </w:rPr>
        <w:t>Survey.</w:t>
      </w:r>
    </w:p>
    <w:p w14:paraId="720750E2" w14:textId="77777777" w:rsidR="00BC24A8" w:rsidRDefault="00BC24A8">
      <w:pPr>
        <w:rPr>
          <w:sz w:val="16"/>
        </w:rPr>
        <w:sectPr w:rsidR="00BC24A8">
          <w:pgSz w:w="11910" w:h="16840"/>
          <w:pgMar w:top="1320" w:right="850" w:bottom="1100" w:left="1275" w:header="0" w:footer="907" w:gutter="0"/>
          <w:cols w:space="720"/>
        </w:sectPr>
      </w:pPr>
    </w:p>
    <w:p w14:paraId="1DB6E577" w14:textId="77777777" w:rsidR="00BC24A8" w:rsidRDefault="00000000">
      <w:pPr>
        <w:pStyle w:val="Heading5"/>
        <w:spacing w:before="39"/>
      </w:pPr>
      <w:r>
        <w:rPr>
          <w:color w:val="767070"/>
        </w:rPr>
        <w:t>MSS</w:t>
      </w:r>
      <w:r>
        <w:rPr>
          <w:color w:val="767070"/>
          <w:spacing w:val="-9"/>
        </w:rPr>
        <w:t xml:space="preserve"> </w:t>
      </w:r>
      <w:r>
        <w:rPr>
          <w:color w:val="767070"/>
        </w:rPr>
        <w:t>Achievement</w:t>
      </w:r>
      <w:r>
        <w:rPr>
          <w:color w:val="767070"/>
          <w:spacing w:val="-7"/>
        </w:rPr>
        <w:t xml:space="preserve"> </w:t>
      </w:r>
      <w:r>
        <w:rPr>
          <w:color w:val="767070"/>
        </w:rPr>
        <w:t>Index</w:t>
      </w:r>
      <w:r>
        <w:rPr>
          <w:color w:val="767070"/>
          <w:spacing w:val="-10"/>
        </w:rPr>
        <w:t xml:space="preserve"> </w:t>
      </w:r>
      <w:r>
        <w:rPr>
          <w:color w:val="767070"/>
        </w:rPr>
        <w:t>Data,</w:t>
      </w:r>
      <w:r>
        <w:rPr>
          <w:color w:val="767070"/>
          <w:spacing w:val="-8"/>
        </w:rPr>
        <w:t xml:space="preserve"> </w:t>
      </w:r>
      <w:r>
        <w:rPr>
          <w:color w:val="767070"/>
          <w:spacing w:val="-2"/>
        </w:rPr>
        <w:t>2022–2024</w:t>
      </w:r>
    </w:p>
    <w:p w14:paraId="0C8DC759" w14:textId="77777777" w:rsidR="00BC24A8" w:rsidRDefault="00BC24A8">
      <w:pPr>
        <w:pStyle w:val="BodyText"/>
        <w:spacing w:before="8"/>
        <w:rPr>
          <w:rFonts w:ascii="Calibri"/>
          <w:b/>
          <w:sz w:val="12"/>
        </w:rPr>
      </w:pPr>
    </w:p>
    <w:tbl>
      <w:tblPr>
        <w:tblW w:w="0" w:type="auto"/>
        <w:tblInd w:w="150" w:type="dxa"/>
        <w:tblLayout w:type="fixed"/>
        <w:tblCellMar>
          <w:left w:w="0" w:type="dxa"/>
          <w:right w:w="0" w:type="dxa"/>
        </w:tblCellMar>
        <w:tblLook w:val="01E0" w:firstRow="1" w:lastRow="1" w:firstColumn="1" w:lastColumn="1" w:noHBand="0" w:noVBand="0"/>
      </w:tblPr>
      <w:tblGrid>
        <w:gridCol w:w="2969"/>
        <w:gridCol w:w="1983"/>
        <w:gridCol w:w="2072"/>
        <w:gridCol w:w="1978"/>
      </w:tblGrid>
      <w:tr w:rsidR="00BC24A8" w14:paraId="37AB5E8B" w14:textId="77777777">
        <w:trPr>
          <w:trHeight w:val="643"/>
        </w:trPr>
        <w:tc>
          <w:tcPr>
            <w:tcW w:w="2969" w:type="dxa"/>
            <w:shd w:val="clear" w:color="auto" w:fill="17365A"/>
          </w:tcPr>
          <w:p w14:paraId="36254EE4" w14:textId="77777777" w:rsidR="00BC24A8" w:rsidRDefault="00000000">
            <w:pPr>
              <w:pStyle w:val="TableParagraph"/>
              <w:spacing w:before="191"/>
              <w:ind w:left="107"/>
              <w:rPr>
                <w:rFonts w:ascii="Calibri"/>
                <w:b/>
                <w:sz w:val="20"/>
              </w:rPr>
            </w:pPr>
            <w:r>
              <w:rPr>
                <w:rFonts w:ascii="Calibri"/>
                <w:b/>
                <w:color w:val="FFFFFF"/>
                <w:spacing w:val="-2"/>
                <w:sz w:val="20"/>
              </w:rPr>
              <w:t>Sector</w:t>
            </w:r>
          </w:p>
        </w:tc>
        <w:tc>
          <w:tcPr>
            <w:tcW w:w="1983" w:type="dxa"/>
            <w:shd w:val="clear" w:color="auto" w:fill="17365A"/>
          </w:tcPr>
          <w:p w14:paraId="50504516" w14:textId="77777777" w:rsidR="00BC24A8" w:rsidRDefault="00000000">
            <w:pPr>
              <w:pStyle w:val="TableParagraph"/>
              <w:spacing w:before="59" w:line="259" w:lineRule="auto"/>
              <w:ind w:left="376" w:right="232" w:hanging="140"/>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 Index 2022 (%)</w:t>
            </w:r>
          </w:p>
        </w:tc>
        <w:tc>
          <w:tcPr>
            <w:tcW w:w="2072" w:type="dxa"/>
            <w:shd w:val="clear" w:color="auto" w:fill="17365A"/>
          </w:tcPr>
          <w:p w14:paraId="3277490A" w14:textId="77777777" w:rsidR="00BC24A8" w:rsidRDefault="00000000">
            <w:pPr>
              <w:pStyle w:val="TableParagraph"/>
              <w:spacing w:before="59" w:line="259" w:lineRule="auto"/>
              <w:ind w:left="421" w:right="276" w:hanging="140"/>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 Index 2023 (%)</w:t>
            </w:r>
          </w:p>
        </w:tc>
        <w:tc>
          <w:tcPr>
            <w:tcW w:w="1978" w:type="dxa"/>
            <w:shd w:val="clear" w:color="auto" w:fill="17365A"/>
          </w:tcPr>
          <w:p w14:paraId="2539DBA0" w14:textId="77777777" w:rsidR="00BC24A8" w:rsidRDefault="00000000">
            <w:pPr>
              <w:pStyle w:val="TableParagraph"/>
              <w:spacing w:before="59" w:line="259" w:lineRule="auto"/>
              <w:ind w:left="372" w:right="231" w:hanging="140"/>
              <w:rPr>
                <w:rFonts w:ascii="Calibri"/>
                <w:b/>
                <w:sz w:val="20"/>
              </w:rPr>
            </w:pPr>
            <w:r>
              <w:rPr>
                <w:rFonts w:ascii="Calibri"/>
                <w:b/>
                <w:color w:val="FFFFFF"/>
                <w:sz w:val="20"/>
              </w:rPr>
              <w:t>MSS</w:t>
            </w:r>
            <w:r>
              <w:rPr>
                <w:rFonts w:ascii="Calibri"/>
                <w:b/>
                <w:color w:val="FFFFFF"/>
                <w:spacing w:val="-12"/>
                <w:sz w:val="20"/>
              </w:rPr>
              <w:t xml:space="preserve"> </w:t>
            </w:r>
            <w:r>
              <w:rPr>
                <w:rFonts w:ascii="Calibri"/>
                <w:b/>
                <w:color w:val="FFFFFF"/>
                <w:sz w:val="20"/>
              </w:rPr>
              <w:t>Achievement Index 2024 (%)</w:t>
            </w:r>
          </w:p>
        </w:tc>
      </w:tr>
      <w:tr w:rsidR="00BC24A8" w14:paraId="0F048C32" w14:textId="77777777">
        <w:trPr>
          <w:trHeight w:val="376"/>
        </w:trPr>
        <w:tc>
          <w:tcPr>
            <w:tcW w:w="2969" w:type="dxa"/>
            <w:tcBorders>
              <w:bottom w:val="single" w:sz="4" w:space="0" w:color="BEBEBE"/>
            </w:tcBorders>
          </w:tcPr>
          <w:p w14:paraId="4456D708" w14:textId="77777777" w:rsidR="00BC24A8" w:rsidRDefault="00000000">
            <w:pPr>
              <w:pStyle w:val="TableParagraph"/>
              <w:spacing w:before="102"/>
              <w:ind w:left="107"/>
              <w:rPr>
                <w:sz w:val="18"/>
              </w:rPr>
            </w:pPr>
            <w:r>
              <w:rPr>
                <w:spacing w:val="-2"/>
                <w:sz w:val="18"/>
              </w:rPr>
              <w:t>Education</w:t>
            </w:r>
          </w:p>
        </w:tc>
        <w:tc>
          <w:tcPr>
            <w:tcW w:w="1983" w:type="dxa"/>
            <w:tcBorders>
              <w:bottom w:val="single" w:sz="4" w:space="0" w:color="BEBEBE"/>
            </w:tcBorders>
          </w:tcPr>
          <w:p w14:paraId="52843442" w14:textId="77777777" w:rsidR="00BC24A8" w:rsidRDefault="00000000">
            <w:pPr>
              <w:pStyle w:val="TableParagraph"/>
              <w:spacing w:before="102"/>
              <w:jc w:val="center"/>
              <w:rPr>
                <w:sz w:val="18"/>
              </w:rPr>
            </w:pPr>
            <w:r>
              <w:rPr>
                <w:spacing w:val="-5"/>
                <w:sz w:val="18"/>
              </w:rPr>
              <w:t>44</w:t>
            </w:r>
          </w:p>
        </w:tc>
        <w:tc>
          <w:tcPr>
            <w:tcW w:w="2072" w:type="dxa"/>
            <w:tcBorders>
              <w:bottom w:val="single" w:sz="4" w:space="0" w:color="BEBEBE"/>
            </w:tcBorders>
          </w:tcPr>
          <w:p w14:paraId="34D5A676" w14:textId="77777777" w:rsidR="00BC24A8" w:rsidRDefault="00000000">
            <w:pPr>
              <w:pStyle w:val="TableParagraph"/>
              <w:spacing w:before="102"/>
              <w:ind w:right="2"/>
              <w:jc w:val="center"/>
              <w:rPr>
                <w:sz w:val="18"/>
              </w:rPr>
            </w:pPr>
            <w:r>
              <w:rPr>
                <w:spacing w:val="-5"/>
                <w:sz w:val="18"/>
              </w:rPr>
              <w:t>49</w:t>
            </w:r>
          </w:p>
        </w:tc>
        <w:tc>
          <w:tcPr>
            <w:tcW w:w="1978" w:type="dxa"/>
            <w:tcBorders>
              <w:bottom w:val="single" w:sz="4" w:space="0" w:color="BEBEBE"/>
            </w:tcBorders>
          </w:tcPr>
          <w:p w14:paraId="035FD895" w14:textId="77777777" w:rsidR="00BC24A8" w:rsidRDefault="00000000">
            <w:pPr>
              <w:pStyle w:val="TableParagraph"/>
              <w:spacing w:before="102"/>
              <w:ind w:right="6"/>
              <w:jc w:val="center"/>
              <w:rPr>
                <w:sz w:val="18"/>
              </w:rPr>
            </w:pPr>
            <w:r>
              <w:rPr>
                <w:spacing w:val="-5"/>
                <w:sz w:val="18"/>
              </w:rPr>
              <w:t>62</w:t>
            </w:r>
          </w:p>
        </w:tc>
      </w:tr>
      <w:tr w:rsidR="00BC24A8" w14:paraId="2BB1D3C9" w14:textId="77777777">
        <w:trPr>
          <w:trHeight w:val="333"/>
        </w:trPr>
        <w:tc>
          <w:tcPr>
            <w:tcW w:w="2969" w:type="dxa"/>
            <w:tcBorders>
              <w:top w:val="single" w:sz="4" w:space="0" w:color="BEBEBE"/>
              <w:bottom w:val="single" w:sz="4" w:space="0" w:color="BEBEBE"/>
            </w:tcBorders>
          </w:tcPr>
          <w:p w14:paraId="3C831941" w14:textId="77777777" w:rsidR="00BC24A8" w:rsidRDefault="00000000">
            <w:pPr>
              <w:pStyle w:val="TableParagraph"/>
              <w:spacing w:before="59"/>
              <w:ind w:left="107"/>
              <w:rPr>
                <w:sz w:val="18"/>
              </w:rPr>
            </w:pPr>
            <w:r>
              <w:rPr>
                <w:spacing w:val="-2"/>
                <w:sz w:val="18"/>
              </w:rPr>
              <w:t>Health</w:t>
            </w:r>
          </w:p>
        </w:tc>
        <w:tc>
          <w:tcPr>
            <w:tcW w:w="1983" w:type="dxa"/>
            <w:tcBorders>
              <w:top w:val="single" w:sz="4" w:space="0" w:color="BEBEBE"/>
              <w:bottom w:val="single" w:sz="4" w:space="0" w:color="BEBEBE"/>
            </w:tcBorders>
          </w:tcPr>
          <w:p w14:paraId="0C6CAA35" w14:textId="77777777" w:rsidR="00BC24A8" w:rsidRDefault="00000000">
            <w:pPr>
              <w:pStyle w:val="TableParagraph"/>
              <w:spacing w:before="59"/>
              <w:jc w:val="center"/>
              <w:rPr>
                <w:sz w:val="18"/>
              </w:rPr>
            </w:pPr>
            <w:r>
              <w:rPr>
                <w:spacing w:val="-5"/>
                <w:sz w:val="18"/>
              </w:rPr>
              <w:t>40</w:t>
            </w:r>
          </w:p>
        </w:tc>
        <w:tc>
          <w:tcPr>
            <w:tcW w:w="2072" w:type="dxa"/>
            <w:tcBorders>
              <w:top w:val="single" w:sz="4" w:space="0" w:color="BEBEBE"/>
              <w:bottom w:val="single" w:sz="4" w:space="0" w:color="BEBEBE"/>
            </w:tcBorders>
          </w:tcPr>
          <w:p w14:paraId="3FCA73B1" w14:textId="77777777" w:rsidR="00BC24A8" w:rsidRDefault="00000000">
            <w:pPr>
              <w:pStyle w:val="TableParagraph"/>
              <w:spacing w:before="59"/>
              <w:ind w:right="2"/>
              <w:jc w:val="center"/>
              <w:rPr>
                <w:sz w:val="18"/>
              </w:rPr>
            </w:pPr>
            <w:r>
              <w:rPr>
                <w:spacing w:val="-5"/>
                <w:sz w:val="18"/>
              </w:rPr>
              <w:t>53</w:t>
            </w:r>
          </w:p>
        </w:tc>
        <w:tc>
          <w:tcPr>
            <w:tcW w:w="1978" w:type="dxa"/>
            <w:tcBorders>
              <w:top w:val="single" w:sz="4" w:space="0" w:color="BEBEBE"/>
              <w:bottom w:val="single" w:sz="4" w:space="0" w:color="BEBEBE"/>
            </w:tcBorders>
          </w:tcPr>
          <w:p w14:paraId="54C52F3B" w14:textId="77777777" w:rsidR="00BC24A8" w:rsidRDefault="00000000">
            <w:pPr>
              <w:pStyle w:val="TableParagraph"/>
              <w:spacing w:before="59"/>
              <w:ind w:right="6"/>
              <w:jc w:val="center"/>
              <w:rPr>
                <w:sz w:val="18"/>
              </w:rPr>
            </w:pPr>
            <w:r>
              <w:rPr>
                <w:spacing w:val="-5"/>
                <w:sz w:val="18"/>
              </w:rPr>
              <w:t>66</w:t>
            </w:r>
          </w:p>
        </w:tc>
      </w:tr>
      <w:tr w:rsidR="00BC24A8" w14:paraId="15562B72" w14:textId="77777777">
        <w:trPr>
          <w:trHeight w:val="335"/>
        </w:trPr>
        <w:tc>
          <w:tcPr>
            <w:tcW w:w="2969" w:type="dxa"/>
            <w:tcBorders>
              <w:top w:val="single" w:sz="4" w:space="0" w:color="BEBEBE"/>
              <w:bottom w:val="single" w:sz="4" w:space="0" w:color="BEBEBE"/>
            </w:tcBorders>
          </w:tcPr>
          <w:p w14:paraId="60168854" w14:textId="77777777" w:rsidR="00BC24A8" w:rsidRDefault="00000000">
            <w:pPr>
              <w:pStyle w:val="TableParagraph"/>
              <w:spacing w:before="59"/>
              <w:ind w:left="107"/>
              <w:rPr>
                <w:sz w:val="18"/>
              </w:rPr>
            </w:pPr>
            <w:r>
              <w:rPr>
                <w:sz w:val="18"/>
              </w:rPr>
              <w:t xml:space="preserve">Social </w:t>
            </w:r>
            <w:r>
              <w:rPr>
                <w:spacing w:val="-2"/>
                <w:sz w:val="18"/>
              </w:rPr>
              <w:t>Affairs</w:t>
            </w:r>
          </w:p>
        </w:tc>
        <w:tc>
          <w:tcPr>
            <w:tcW w:w="1983" w:type="dxa"/>
            <w:tcBorders>
              <w:top w:val="single" w:sz="4" w:space="0" w:color="BEBEBE"/>
              <w:bottom w:val="single" w:sz="4" w:space="0" w:color="BEBEBE"/>
            </w:tcBorders>
          </w:tcPr>
          <w:p w14:paraId="5B78F533" w14:textId="77777777" w:rsidR="00BC24A8" w:rsidRDefault="00000000">
            <w:pPr>
              <w:pStyle w:val="TableParagraph"/>
              <w:spacing w:before="59"/>
              <w:jc w:val="center"/>
              <w:rPr>
                <w:sz w:val="18"/>
              </w:rPr>
            </w:pPr>
            <w:r>
              <w:rPr>
                <w:spacing w:val="-5"/>
                <w:sz w:val="18"/>
              </w:rPr>
              <w:t>20</w:t>
            </w:r>
          </w:p>
        </w:tc>
        <w:tc>
          <w:tcPr>
            <w:tcW w:w="2072" w:type="dxa"/>
            <w:tcBorders>
              <w:top w:val="single" w:sz="4" w:space="0" w:color="BEBEBE"/>
              <w:bottom w:val="single" w:sz="4" w:space="0" w:color="BEBEBE"/>
            </w:tcBorders>
          </w:tcPr>
          <w:p w14:paraId="4A639AF1" w14:textId="77777777" w:rsidR="00BC24A8" w:rsidRDefault="00000000">
            <w:pPr>
              <w:pStyle w:val="TableParagraph"/>
              <w:spacing w:before="59"/>
              <w:ind w:right="2"/>
              <w:jc w:val="center"/>
              <w:rPr>
                <w:sz w:val="18"/>
              </w:rPr>
            </w:pPr>
            <w:r>
              <w:rPr>
                <w:spacing w:val="-5"/>
                <w:sz w:val="18"/>
              </w:rPr>
              <w:t>30</w:t>
            </w:r>
          </w:p>
        </w:tc>
        <w:tc>
          <w:tcPr>
            <w:tcW w:w="1978" w:type="dxa"/>
            <w:tcBorders>
              <w:top w:val="single" w:sz="4" w:space="0" w:color="BEBEBE"/>
              <w:bottom w:val="single" w:sz="4" w:space="0" w:color="BEBEBE"/>
            </w:tcBorders>
          </w:tcPr>
          <w:p w14:paraId="6A3BDB3A" w14:textId="77777777" w:rsidR="00BC24A8" w:rsidRDefault="00000000">
            <w:pPr>
              <w:pStyle w:val="TableParagraph"/>
              <w:spacing w:before="59"/>
              <w:ind w:right="6"/>
              <w:jc w:val="center"/>
              <w:rPr>
                <w:sz w:val="18"/>
              </w:rPr>
            </w:pPr>
            <w:r>
              <w:rPr>
                <w:spacing w:val="-5"/>
                <w:sz w:val="18"/>
              </w:rPr>
              <w:t>42</w:t>
            </w:r>
          </w:p>
        </w:tc>
      </w:tr>
      <w:tr w:rsidR="00BC24A8" w14:paraId="4BF035D2" w14:textId="77777777">
        <w:trPr>
          <w:trHeight w:val="333"/>
        </w:trPr>
        <w:tc>
          <w:tcPr>
            <w:tcW w:w="2969" w:type="dxa"/>
            <w:tcBorders>
              <w:top w:val="single" w:sz="4" w:space="0" w:color="BEBEBE"/>
              <w:bottom w:val="single" w:sz="4" w:space="0" w:color="BEBEBE"/>
            </w:tcBorders>
          </w:tcPr>
          <w:p w14:paraId="25CD730E" w14:textId="77777777" w:rsidR="00BC24A8" w:rsidRDefault="00000000">
            <w:pPr>
              <w:pStyle w:val="TableParagraph"/>
              <w:spacing w:before="56"/>
              <w:ind w:left="107"/>
              <w:rPr>
                <w:sz w:val="18"/>
              </w:rPr>
            </w:pPr>
            <w:r>
              <w:rPr>
                <w:sz w:val="18"/>
              </w:rPr>
              <w:t>Public</w:t>
            </w:r>
            <w:r>
              <w:rPr>
                <w:spacing w:val="-1"/>
                <w:sz w:val="18"/>
              </w:rPr>
              <w:t xml:space="preserve"> </w:t>
            </w:r>
            <w:r>
              <w:rPr>
                <w:spacing w:val="-2"/>
                <w:sz w:val="18"/>
              </w:rPr>
              <w:t>Works</w:t>
            </w:r>
          </w:p>
        </w:tc>
        <w:tc>
          <w:tcPr>
            <w:tcW w:w="1983" w:type="dxa"/>
            <w:tcBorders>
              <w:top w:val="single" w:sz="4" w:space="0" w:color="BEBEBE"/>
              <w:bottom w:val="single" w:sz="4" w:space="0" w:color="BEBEBE"/>
            </w:tcBorders>
          </w:tcPr>
          <w:p w14:paraId="55C3B43B" w14:textId="77777777" w:rsidR="00BC24A8" w:rsidRDefault="00000000">
            <w:pPr>
              <w:pStyle w:val="TableParagraph"/>
              <w:spacing w:before="56"/>
              <w:jc w:val="center"/>
              <w:rPr>
                <w:sz w:val="18"/>
              </w:rPr>
            </w:pPr>
            <w:r>
              <w:rPr>
                <w:spacing w:val="-5"/>
                <w:sz w:val="18"/>
              </w:rPr>
              <w:t>20</w:t>
            </w:r>
          </w:p>
        </w:tc>
        <w:tc>
          <w:tcPr>
            <w:tcW w:w="2072" w:type="dxa"/>
            <w:tcBorders>
              <w:top w:val="single" w:sz="4" w:space="0" w:color="BEBEBE"/>
              <w:bottom w:val="single" w:sz="4" w:space="0" w:color="BEBEBE"/>
            </w:tcBorders>
          </w:tcPr>
          <w:p w14:paraId="4FE61499" w14:textId="77777777" w:rsidR="00BC24A8" w:rsidRDefault="00000000">
            <w:pPr>
              <w:pStyle w:val="TableParagraph"/>
              <w:spacing w:before="56"/>
              <w:ind w:right="2"/>
              <w:jc w:val="center"/>
              <w:rPr>
                <w:sz w:val="18"/>
              </w:rPr>
            </w:pPr>
            <w:r>
              <w:rPr>
                <w:spacing w:val="-5"/>
                <w:sz w:val="18"/>
              </w:rPr>
              <w:t>36</w:t>
            </w:r>
          </w:p>
        </w:tc>
        <w:tc>
          <w:tcPr>
            <w:tcW w:w="1978" w:type="dxa"/>
            <w:tcBorders>
              <w:top w:val="single" w:sz="4" w:space="0" w:color="BEBEBE"/>
              <w:bottom w:val="single" w:sz="4" w:space="0" w:color="BEBEBE"/>
            </w:tcBorders>
          </w:tcPr>
          <w:p w14:paraId="48B11144" w14:textId="77777777" w:rsidR="00BC24A8" w:rsidRDefault="00000000">
            <w:pPr>
              <w:pStyle w:val="TableParagraph"/>
              <w:spacing w:before="56"/>
              <w:ind w:right="6"/>
              <w:jc w:val="center"/>
              <w:rPr>
                <w:sz w:val="18"/>
              </w:rPr>
            </w:pPr>
            <w:r>
              <w:rPr>
                <w:spacing w:val="-5"/>
                <w:sz w:val="18"/>
              </w:rPr>
              <w:t>63</w:t>
            </w:r>
          </w:p>
        </w:tc>
      </w:tr>
      <w:tr w:rsidR="00BC24A8" w14:paraId="1DD371D8" w14:textId="77777777">
        <w:trPr>
          <w:trHeight w:val="333"/>
        </w:trPr>
        <w:tc>
          <w:tcPr>
            <w:tcW w:w="2969" w:type="dxa"/>
            <w:tcBorders>
              <w:top w:val="single" w:sz="4" w:space="0" w:color="BEBEBE"/>
              <w:bottom w:val="single" w:sz="4" w:space="0" w:color="BEBEBE"/>
            </w:tcBorders>
          </w:tcPr>
          <w:p w14:paraId="594D8424" w14:textId="77777777" w:rsidR="00BC24A8" w:rsidRDefault="00000000">
            <w:pPr>
              <w:pStyle w:val="TableParagraph"/>
              <w:spacing w:before="56"/>
              <w:ind w:left="107"/>
              <w:rPr>
                <w:sz w:val="18"/>
              </w:rPr>
            </w:pPr>
            <w:r>
              <w:rPr>
                <w:sz w:val="18"/>
              </w:rPr>
              <w:t>Public</w:t>
            </w:r>
            <w:r>
              <w:rPr>
                <w:spacing w:val="-1"/>
                <w:sz w:val="18"/>
              </w:rPr>
              <w:t xml:space="preserve"> </w:t>
            </w:r>
            <w:r>
              <w:rPr>
                <w:spacing w:val="-2"/>
                <w:sz w:val="18"/>
              </w:rPr>
              <w:t>Housing</w:t>
            </w:r>
          </w:p>
        </w:tc>
        <w:tc>
          <w:tcPr>
            <w:tcW w:w="1983" w:type="dxa"/>
            <w:tcBorders>
              <w:top w:val="single" w:sz="4" w:space="0" w:color="BEBEBE"/>
              <w:bottom w:val="single" w:sz="4" w:space="0" w:color="BEBEBE"/>
            </w:tcBorders>
          </w:tcPr>
          <w:p w14:paraId="0DD34487" w14:textId="77777777" w:rsidR="00BC24A8" w:rsidRDefault="00000000">
            <w:pPr>
              <w:pStyle w:val="TableParagraph"/>
              <w:spacing w:before="56"/>
              <w:jc w:val="center"/>
              <w:rPr>
                <w:sz w:val="18"/>
              </w:rPr>
            </w:pPr>
            <w:r>
              <w:rPr>
                <w:spacing w:val="-5"/>
                <w:sz w:val="18"/>
              </w:rPr>
              <w:t>20</w:t>
            </w:r>
          </w:p>
        </w:tc>
        <w:tc>
          <w:tcPr>
            <w:tcW w:w="2072" w:type="dxa"/>
            <w:tcBorders>
              <w:top w:val="single" w:sz="4" w:space="0" w:color="BEBEBE"/>
              <w:bottom w:val="single" w:sz="4" w:space="0" w:color="BEBEBE"/>
            </w:tcBorders>
          </w:tcPr>
          <w:p w14:paraId="7CF8B4A6" w14:textId="77777777" w:rsidR="00BC24A8" w:rsidRDefault="00000000">
            <w:pPr>
              <w:pStyle w:val="TableParagraph"/>
              <w:spacing w:before="56"/>
              <w:ind w:right="2"/>
              <w:jc w:val="center"/>
              <w:rPr>
                <w:sz w:val="18"/>
              </w:rPr>
            </w:pPr>
            <w:r>
              <w:rPr>
                <w:spacing w:val="-5"/>
                <w:sz w:val="18"/>
              </w:rPr>
              <w:t>25</w:t>
            </w:r>
          </w:p>
        </w:tc>
        <w:tc>
          <w:tcPr>
            <w:tcW w:w="1978" w:type="dxa"/>
            <w:tcBorders>
              <w:top w:val="single" w:sz="4" w:space="0" w:color="BEBEBE"/>
              <w:bottom w:val="single" w:sz="4" w:space="0" w:color="BEBEBE"/>
            </w:tcBorders>
          </w:tcPr>
          <w:p w14:paraId="6C373AB0" w14:textId="77777777" w:rsidR="00BC24A8" w:rsidRDefault="00000000">
            <w:pPr>
              <w:pStyle w:val="TableParagraph"/>
              <w:spacing w:before="56"/>
              <w:ind w:right="6"/>
              <w:jc w:val="center"/>
              <w:rPr>
                <w:sz w:val="18"/>
              </w:rPr>
            </w:pPr>
            <w:r>
              <w:rPr>
                <w:spacing w:val="-5"/>
                <w:sz w:val="18"/>
              </w:rPr>
              <w:t>48</w:t>
            </w:r>
          </w:p>
        </w:tc>
      </w:tr>
      <w:tr w:rsidR="00BC24A8" w14:paraId="5F71BBF2" w14:textId="77777777">
        <w:trPr>
          <w:trHeight w:val="597"/>
        </w:trPr>
        <w:tc>
          <w:tcPr>
            <w:tcW w:w="2969" w:type="dxa"/>
            <w:tcBorders>
              <w:top w:val="single" w:sz="4" w:space="0" w:color="BEBEBE"/>
            </w:tcBorders>
          </w:tcPr>
          <w:p w14:paraId="53C32157" w14:textId="77777777" w:rsidR="00BC24A8" w:rsidRDefault="00000000">
            <w:pPr>
              <w:pStyle w:val="TableParagraph"/>
              <w:spacing w:before="59"/>
              <w:ind w:left="107" w:right="30"/>
              <w:rPr>
                <w:sz w:val="18"/>
              </w:rPr>
            </w:pPr>
            <w:r>
              <w:rPr>
                <w:sz w:val="18"/>
              </w:rPr>
              <w:t>Public Order and Community Protection</w:t>
            </w:r>
            <w:r>
              <w:rPr>
                <w:spacing w:val="-3"/>
                <w:sz w:val="18"/>
              </w:rPr>
              <w:t xml:space="preserve"> </w:t>
            </w:r>
            <w:r>
              <w:rPr>
                <w:spacing w:val="-2"/>
                <w:sz w:val="18"/>
              </w:rPr>
              <w:t>(Trantibumlinmas)</w:t>
            </w:r>
          </w:p>
        </w:tc>
        <w:tc>
          <w:tcPr>
            <w:tcW w:w="1983" w:type="dxa"/>
            <w:tcBorders>
              <w:top w:val="single" w:sz="4" w:space="0" w:color="BEBEBE"/>
            </w:tcBorders>
          </w:tcPr>
          <w:p w14:paraId="7FE2F772" w14:textId="77777777" w:rsidR="00BC24A8" w:rsidRDefault="00000000">
            <w:pPr>
              <w:pStyle w:val="TableParagraph"/>
              <w:spacing w:before="167"/>
              <w:jc w:val="center"/>
              <w:rPr>
                <w:sz w:val="18"/>
              </w:rPr>
            </w:pPr>
            <w:r>
              <w:rPr>
                <w:spacing w:val="-5"/>
                <w:sz w:val="18"/>
              </w:rPr>
              <w:t>13</w:t>
            </w:r>
          </w:p>
        </w:tc>
        <w:tc>
          <w:tcPr>
            <w:tcW w:w="2072" w:type="dxa"/>
            <w:tcBorders>
              <w:top w:val="single" w:sz="4" w:space="0" w:color="BEBEBE"/>
            </w:tcBorders>
          </w:tcPr>
          <w:p w14:paraId="413BBF62" w14:textId="77777777" w:rsidR="00BC24A8" w:rsidRDefault="00000000">
            <w:pPr>
              <w:pStyle w:val="TableParagraph"/>
              <w:spacing w:before="167"/>
              <w:ind w:right="2"/>
              <w:jc w:val="center"/>
              <w:rPr>
                <w:sz w:val="18"/>
              </w:rPr>
            </w:pPr>
            <w:r>
              <w:rPr>
                <w:spacing w:val="-5"/>
                <w:sz w:val="18"/>
              </w:rPr>
              <w:t>37</w:t>
            </w:r>
          </w:p>
        </w:tc>
        <w:tc>
          <w:tcPr>
            <w:tcW w:w="1978" w:type="dxa"/>
            <w:tcBorders>
              <w:top w:val="single" w:sz="4" w:space="0" w:color="BEBEBE"/>
            </w:tcBorders>
          </w:tcPr>
          <w:p w14:paraId="2C29ECE4" w14:textId="77777777" w:rsidR="00BC24A8" w:rsidRDefault="00000000">
            <w:pPr>
              <w:pStyle w:val="TableParagraph"/>
              <w:spacing w:before="167"/>
              <w:ind w:right="6"/>
              <w:jc w:val="center"/>
              <w:rPr>
                <w:sz w:val="18"/>
              </w:rPr>
            </w:pPr>
            <w:r>
              <w:rPr>
                <w:spacing w:val="-5"/>
                <w:sz w:val="18"/>
              </w:rPr>
              <w:t>45</w:t>
            </w:r>
          </w:p>
        </w:tc>
      </w:tr>
      <w:tr w:rsidR="00BC24A8" w14:paraId="51387035" w14:textId="77777777">
        <w:trPr>
          <w:trHeight w:val="352"/>
        </w:trPr>
        <w:tc>
          <w:tcPr>
            <w:tcW w:w="2969" w:type="dxa"/>
            <w:tcBorders>
              <w:bottom w:val="single" w:sz="4" w:space="0" w:color="BEBEBE"/>
              <w:right w:val="single" w:sz="18" w:space="0" w:color="FFFFFF"/>
            </w:tcBorders>
            <w:shd w:val="clear" w:color="auto" w:fill="A7A9AC"/>
          </w:tcPr>
          <w:p w14:paraId="294419F1" w14:textId="77777777" w:rsidR="00BC24A8" w:rsidRDefault="00000000">
            <w:pPr>
              <w:pStyle w:val="TableParagraph"/>
              <w:spacing w:before="59"/>
              <w:ind w:left="107"/>
              <w:rPr>
                <w:rFonts w:ascii="Calibri"/>
                <w:b/>
                <w:sz w:val="18"/>
              </w:rPr>
            </w:pPr>
            <w:r w:rsidRPr="00795364">
              <w:rPr>
                <w:rFonts w:ascii="Calibri"/>
                <w:b/>
                <w:color w:val="000000"/>
                <w:spacing w:val="-2"/>
                <w:sz w:val="18"/>
              </w:rPr>
              <w:t>Papua</w:t>
            </w:r>
          </w:p>
        </w:tc>
        <w:tc>
          <w:tcPr>
            <w:tcW w:w="1983" w:type="dxa"/>
            <w:tcBorders>
              <w:left w:val="single" w:sz="18" w:space="0" w:color="FFFFFF"/>
              <w:bottom w:val="single" w:sz="4" w:space="0" w:color="BEBEBE"/>
              <w:right w:val="single" w:sz="18" w:space="0" w:color="FFFFFF"/>
            </w:tcBorders>
            <w:shd w:val="clear" w:color="auto" w:fill="A7A9AC"/>
          </w:tcPr>
          <w:p w14:paraId="34A40306" w14:textId="77777777" w:rsidR="00BC24A8" w:rsidRDefault="00000000">
            <w:pPr>
              <w:pStyle w:val="TableParagraph"/>
              <w:spacing w:before="59"/>
              <w:jc w:val="center"/>
              <w:rPr>
                <w:rFonts w:ascii="Calibri"/>
                <w:b/>
                <w:sz w:val="18"/>
              </w:rPr>
            </w:pPr>
            <w:r w:rsidRPr="00795364">
              <w:rPr>
                <w:rFonts w:ascii="Calibri"/>
                <w:b/>
                <w:color w:val="000000"/>
                <w:spacing w:val="-5"/>
                <w:sz w:val="18"/>
              </w:rPr>
              <w:t>26</w:t>
            </w:r>
          </w:p>
        </w:tc>
        <w:tc>
          <w:tcPr>
            <w:tcW w:w="2072" w:type="dxa"/>
            <w:tcBorders>
              <w:left w:val="single" w:sz="18" w:space="0" w:color="FFFFFF"/>
              <w:bottom w:val="single" w:sz="4" w:space="0" w:color="BEBEBE"/>
              <w:right w:val="single" w:sz="18" w:space="0" w:color="FFFFFF"/>
            </w:tcBorders>
            <w:shd w:val="clear" w:color="auto" w:fill="A7A9AC"/>
          </w:tcPr>
          <w:p w14:paraId="1314DA2B" w14:textId="77777777" w:rsidR="00BC24A8" w:rsidRDefault="00000000">
            <w:pPr>
              <w:pStyle w:val="TableParagraph"/>
              <w:spacing w:before="59"/>
              <w:ind w:right="2"/>
              <w:jc w:val="center"/>
              <w:rPr>
                <w:rFonts w:ascii="Calibri"/>
                <w:b/>
                <w:sz w:val="18"/>
              </w:rPr>
            </w:pPr>
            <w:r w:rsidRPr="00795364">
              <w:rPr>
                <w:rFonts w:ascii="Calibri"/>
                <w:b/>
                <w:color w:val="000000"/>
                <w:spacing w:val="-5"/>
                <w:sz w:val="18"/>
              </w:rPr>
              <w:t>38</w:t>
            </w:r>
          </w:p>
        </w:tc>
        <w:tc>
          <w:tcPr>
            <w:tcW w:w="1978" w:type="dxa"/>
            <w:tcBorders>
              <w:left w:val="single" w:sz="18" w:space="0" w:color="FFFFFF"/>
              <w:bottom w:val="single" w:sz="4" w:space="0" w:color="BEBEBE"/>
            </w:tcBorders>
            <w:shd w:val="clear" w:color="auto" w:fill="A7A9AC"/>
          </w:tcPr>
          <w:p w14:paraId="2202670F" w14:textId="77777777" w:rsidR="00BC24A8" w:rsidRDefault="00000000">
            <w:pPr>
              <w:pStyle w:val="TableParagraph"/>
              <w:spacing w:before="59"/>
              <w:ind w:right="28"/>
              <w:jc w:val="center"/>
              <w:rPr>
                <w:rFonts w:ascii="Calibri"/>
                <w:b/>
                <w:sz w:val="18"/>
              </w:rPr>
            </w:pPr>
            <w:r w:rsidRPr="00795364">
              <w:rPr>
                <w:rFonts w:ascii="Calibri"/>
                <w:b/>
                <w:color w:val="000000"/>
                <w:spacing w:val="-5"/>
                <w:sz w:val="18"/>
              </w:rPr>
              <w:t>54</w:t>
            </w:r>
          </w:p>
        </w:tc>
      </w:tr>
    </w:tbl>
    <w:p w14:paraId="7D357F36" w14:textId="77777777" w:rsidR="00BC24A8" w:rsidRDefault="00000000">
      <w:pPr>
        <w:spacing w:before="126"/>
        <w:ind w:left="143"/>
        <w:rPr>
          <w:sz w:val="16"/>
        </w:rPr>
      </w:pPr>
      <w:r>
        <w:rPr>
          <w:spacing w:val="-2"/>
          <w:sz w:val="16"/>
        </w:rPr>
        <w:t>Data</w:t>
      </w:r>
      <w:r>
        <w:rPr>
          <w:spacing w:val="8"/>
          <w:sz w:val="16"/>
        </w:rPr>
        <w:t xml:space="preserve"> </w:t>
      </w:r>
      <w:r>
        <w:rPr>
          <w:spacing w:val="-2"/>
          <w:sz w:val="16"/>
        </w:rPr>
        <w:t>Source:</w:t>
      </w:r>
      <w:r>
        <w:rPr>
          <w:spacing w:val="8"/>
          <w:sz w:val="16"/>
        </w:rPr>
        <w:t xml:space="preserve"> </w:t>
      </w:r>
      <w:hyperlink r:id="rId60">
        <w:r w:rsidR="00BC24A8">
          <w:rPr>
            <w:color w:val="0562C1"/>
            <w:spacing w:val="-2"/>
            <w:sz w:val="16"/>
            <w:u w:val="single" w:color="0562C1"/>
          </w:rPr>
          <w:t>https://spm.bangda.kemendagri.go.id/publikas</w:t>
        </w:r>
        <w:r w:rsidR="00BC24A8">
          <w:rPr>
            <w:color w:val="0562C1"/>
            <w:spacing w:val="-2"/>
            <w:sz w:val="16"/>
          </w:rPr>
          <w:t>i</w:t>
        </w:r>
      </w:hyperlink>
      <w:r>
        <w:rPr>
          <w:color w:val="0562C1"/>
          <w:spacing w:val="8"/>
          <w:sz w:val="16"/>
        </w:rPr>
        <w:t xml:space="preserve"> </w:t>
      </w:r>
      <w:r>
        <w:rPr>
          <w:spacing w:val="-2"/>
          <w:sz w:val="16"/>
        </w:rPr>
        <w:t>(Average</w:t>
      </w:r>
      <w:r>
        <w:rPr>
          <w:spacing w:val="7"/>
          <w:sz w:val="16"/>
        </w:rPr>
        <w:t xml:space="preserve"> </w:t>
      </w:r>
      <w:r>
        <w:rPr>
          <w:spacing w:val="-2"/>
          <w:sz w:val="16"/>
        </w:rPr>
        <w:t>performance</w:t>
      </w:r>
      <w:r>
        <w:rPr>
          <w:spacing w:val="8"/>
          <w:sz w:val="16"/>
        </w:rPr>
        <w:t xml:space="preserve"> </w:t>
      </w:r>
      <w:r>
        <w:rPr>
          <w:spacing w:val="-2"/>
          <w:sz w:val="16"/>
        </w:rPr>
        <w:t>in</w:t>
      </w:r>
      <w:r>
        <w:rPr>
          <w:spacing w:val="8"/>
          <w:sz w:val="16"/>
        </w:rPr>
        <w:t xml:space="preserve"> </w:t>
      </w:r>
      <w:r>
        <w:rPr>
          <w:spacing w:val="-2"/>
          <w:sz w:val="16"/>
        </w:rPr>
        <w:t>Quarter</w:t>
      </w:r>
      <w:r>
        <w:rPr>
          <w:spacing w:val="7"/>
          <w:sz w:val="16"/>
        </w:rPr>
        <w:t xml:space="preserve"> </w:t>
      </w:r>
      <w:r>
        <w:rPr>
          <w:spacing w:val="-2"/>
          <w:sz w:val="16"/>
        </w:rPr>
        <w:t>4</w:t>
      </w:r>
      <w:r>
        <w:rPr>
          <w:spacing w:val="7"/>
          <w:sz w:val="16"/>
        </w:rPr>
        <w:t xml:space="preserve"> </w:t>
      </w:r>
      <w:r>
        <w:rPr>
          <w:spacing w:val="-2"/>
          <w:sz w:val="16"/>
        </w:rPr>
        <w:t>each</w:t>
      </w:r>
      <w:r>
        <w:rPr>
          <w:spacing w:val="8"/>
          <w:sz w:val="16"/>
        </w:rPr>
        <w:t xml:space="preserve"> </w:t>
      </w:r>
      <w:r>
        <w:rPr>
          <w:spacing w:val="-2"/>
          <w:sz w:val="16"/>
        </w:rPr>
        <w:t>year).</w:t>
      </w:r>
    </w:p>
    <w:p w14:paraId="085E3248" w14:textId="77777777" w:rsidR="00BC24A8" w:rsidRDefault="00BC24A8">
      <w:pPr>
        <w:pStyle w:val="BodyText"/>
      </w:pPr>
    </w:p>
    <w:p w14:paraId="20BBAAC8" w14:textId="77777777" w:rsidR="00BC24A8" w:rsidRDefault="00BC24A8">
      <w:pPr>
        <w:pStyle w:val="BodyText"/>
        <w:spacing w:before="41"/>
      </w:pPr>
    </w:p>
    <w:p w14:paraId="5A937E17" w14:textId="77777777" w:rsidR="00BC24A8" w:rsidRDefault="00000000">
      <w:pPr>
        <w:pStyle w:val="BodyText"/>
        <w:spacing w:line="278" w:lineRule="auto"/>
        <w:ind w:left="143"/>
      </w:pPr>
      <w:r>
        <w:t>The</w:t>
      </w:r>
      <w:r>
        <w:rPr>
          <w:spacing w:val="39"/>
        </w:rPr>
        <w:t xml:space="preserve"> </w:t>
      </w:r>
      <w:r>
        <w:t>MSS</w:t>
      </w:r>
      <w:r>
        <w:rPr>
          <w:spacing w:val="39"/>
        </w:rPr>
        <w:t xml:space="preserve"> </w:t>
      </w:r>
      <w:r>
        <w:t>performance</w:t>
      </w:r>
      <w:r>
        <w:rPr>
          <w:spacing w:val="36"/>
        </w:rPr>
        <w:t xml:space="preserve"> </w:t>
      </w:r>
      <w:r>
        <w:t>of</w:t>
      </w:r>
      <w:r>
        <w:rPr>
          <w:spacing w:val="36"/>
        </w:rPr>
        <w:t xml:space="preserve"> </w:t>
      </w:r>
      <w:r>
        <w:t>Papua</w:t>
      </w:r>
      <w:r>
        <w:rPr>
          <w:spacing w:val="37"/>
        </w:rPr>
        <w:t xml:space="preserve"> </w:t>
      </w:r>
      <w:r>
        <w:t>Province</w:t>
      </w:r>
      <w:r>
        <w:rPr>
          <w:spacing w:val="39"/>
        </w:rPr>
        <w:t xml:space="preserve"> </w:t>
      </w:r>
      <w:r>
        <w:t>from</w:t>
      </w:r>
      <w:r>
        <w:rPr>
          <w:spacing w:val="38"/>
        </w:rPr>
        <w:t xml:space="preserve"> </w:t>
      </w:r>
      <w:r>
        <w:t>2022–2024</w:t>
      </w:r>
      <w:r>
        <w:rPr>
          <w:spacing w:val="36"/>
        </w:rPr>
        <w:t xml:space="preserve"> </w:t>
      </w:r>
      <w:r>
        <w:t>shows</w:t>
      </w:r>
      <w:r>
        <w:rPr>
          <w:spacing w:val="39"/>
        </w:rPr>
        <w:t xml:space="preserve"> </w:t>
      </w:r>
      <w:r>
        <w:t>improvement,</w:t>
      </w:r>
      <w:r>
        <w:rPr>
          <w:spacing w:val="40"/>
        </w:rPr>
        <w:t xml:space="preserve"> </w:t>
      </w:r>
      <w:r>
        <w:t>with</w:t>
      </w:r>
      <w:r>
        <w:rPr>
          <w:spacing w:val="38"/>
        </w:rPr>
        <w:t xml:space="preserve"> </w:t>
      </w:r>
      <w:r>
        <w:t>the</w:t>
      </w:r>
      <w:r>
        <w:rPr>
          <w:spacing w:val="39"/>
        </w:rPr>
        <w:t xml:space="preserve"> </w:t>
      </w:r>
      <w:r>
        <w:t>average achievement index increasing despite remaining below 60%.</w:t>
      </w:r>
    </w:p>
    <w:p w14:paraId="6759247A" w14:textId="77777777" w:rsidR="00BC24A8" w:rsidRDefault="00BC24A8">
      <w:pPr>
        <w:pStyle w:val="BodyText"/>
        <w:spacing w:before="203"/>
      </w:pPr>
    </w:p>
    <w:p w14:paraId="61D93A47" w14:textId="77777777" w:rsidR="00BC24A8" w:rsidRDefault="00000000">
      <w:pPr>
        <w:pStyle w:val="Heading5"/>
      </w:pPr>
      <w:r>
        <w:rPr>
          <w:color w:val="767070"/>
        </w:rPr>
        <w:t>MSS</w:t>
      </w:r>
      <w:r>
        <w:rPr>
          <w:color w:val="767070"/>
          <w:spacing w:val="-8"/>
        </w:rPr>
        <w:t xml:space="preserve"> </w:t>
      </w:r>
      <w:r>
        <w:rPr>
          <w:color w:val="767070"/>
        </w:rPr>
        <w:t>Reporting</w:t>
      </w:r>
      <w:r>
        <w:rPr>
          <w:color w:val="767070"/>
          <w:spacing w:val="-6"/>
        </w:rPr>
        <w:t xml:space="preserve"> </w:t>
      </w:r>
      <w:r>
        <w:rPr>
          <w:color w:val="767070"/>
        </w:rPr>
        <w:t>Data,</w:t>
      </w:r>
      <w:r>
        <w:rPr>
          <w:color w:val="767070"/>
          <w:spacing w:val="-8"/>
        </w:rPr>
        <w:t xml:space="preserve"> </w:t>
      </w:r>
      <w:r>
        <w:rPr>
          <w:color w:val="767070"/>
          <w:spacing w:val="-4"/>
        </w:rPr>
        <w:t>2025</w:t>
      </w:r>
    </w:p>
    <w:p w14:paraId="659DAD74"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070"/>
        <w:gridCol w:w="1264"/>
        <w:gridCol w:w="1266"/>
        <w:gridCol w:w="1357"/>
        <w:gridCol w:w="1355"/>
        <w:gridCol w:w="1429"/>
        <w:gridCol w:w="1259"/>
      </w:tblGrid>
      <w:tr w:rsidR="00BC24A8" w14:paraId="7D784FBF" w14:textId="77777777">
        <w:trPr>
          <w:trHeight w:val="360"/>
        </w:trPr>
        <w:tc>
          <w:tcPr>
            <w:tcW w:w="1070" w:type="dxa"/>
            <w:shd w:val="clear" w:color="auto" w:fill="17365A"/>
          </w:tcPr>
          <w:p w14:paraId="6D14180D" w14:textId="77777777" w:rsidR="00BC24A8" w:rsidRDefault="00000000">
            <w:pPr>
              <w:pStyle w:val="TableParagraph"/>
              <w:spacing w:before="59"/>
              <w:ind w:left="115"/>
              <w:rPr>
                <w:rFonts w:ascii="Calibri"/>
                <w:b/>
                <w:sz w:val="20"/>
              </w:rPr>
            </w:pPr>
            <w:r>
              <w:rPr>
                <w:rFonts w:ascii="Calibri"/>
                <w:b/>
                <w:color w:val="FFFFFF"/>
                <w:spacing w:val="-2"/>
                <w:sz w:val="20"/>
              </w:rPr>
              <w:t>Quarter</w:t>
            </w:r>
          </w:p>
        </w:tc>
        <w:tc>
          <w:tcPr>
            <w:tcW w:w="1264" w:type="dxa"/>
            <w:shd w:val="clear" w:color="auto" w:fill="17365A"/>
          </w:tcPr>
          <w:p w14:paraId="36EB8D8E" w14:textId="77777777" w:rsidR="00BC24A8" w:rsidRDefault="00000000">
            <w:pPr>
              <w:pStyle w:val="TableParagraph"/>
              <w:spacing w:before="59"/>
              <w:ind w:right="3"/>
              <w:jc w:val="center"/>
              <w:rPr>
                <w:rFonts w:ascii="Calibri"/>
                <w:b/>
                <w:sz w:val="20"/>
              </w:rPr>
            </w:pPr>
            <w:r>
              <w:rPr>
                <w:rFonts w:ascii="Calibri"/>
                <w:b/>
                <w:color w:val="FFFFFF"/>
                <w:sz w:val="20"/>
              </w:rPr>
              <w:t>Q1</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266" w:type="dxa"/>
            <w:shd w:val="clear" w:color="auto" w:fill="17365A"/>
          </w:tcPr>
          <w:p w14:paraId="05A24A8B" w14:textId="77777777" w:rsidR="00BC24A8" w:rsidRDefault="00000000">
            <w:pPr>
              <w:pStyle w:val="TableParagraph"/>
              <w:spacing w:before="59"/>
              <w:ind w:left="3" w:right="4"/>
              <w:jc w:val="center"/>
              <w:rPr>
                <w:rFonts w:ascii="Calibri"/>
                <w:b/>
                <w:sz w:val="20"/>
              </w:rPr>
            </w:pPr>
            <w:r>
              <w:rPr>
                <w:rFonts w:ascii="Calibri"/>
                <w:b/>
                <w:color w:val="FFFFFF"/>
                <w:sz w:val="20"/>
              </w:rPr>
              <w:t>Q2</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357" w:type="dxa"/>
            <w:shd w:val="clear" w:color="auto" w:fill="17365A"/>
          </w:tcPr>
          <w:p w14:paraId="3E1274B0" w14:textId="77777777" w:rsidR="00BC24A8" w:rsidRDefault="00000000">
            <w:pPr>
              <w:pStyle w:val="TableParagraph"/>
              <w:spacing w:before="59"/>
              <w:ind w:left="1"/>
              <w:jc w:val="center"/>
              <w:rPr>
                <w:rFonts w:ascii="Calibri"/>
                <w:b/>
                <w:sz w:val="20"/>
              </w:rPr>
            </w:pPr>
            <w:r>
              <w:rPr>
                <w:rFonts w:ascii="Calibri"/>
                <w:b/>
                <w:color w:val="FFFFFF"/>
                <w:sz w:val="20"/>
              </w:rPr>
              <w:t>Q3</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355" w:type="dxa"/>
            <w:shd w:val="clear" w:color="auto" w:fill="17365A"/>
          </w:tcPr>
          <w:p w14:paraId="651354A2" w14:textId="77777777" w:rsidR="00BC24A8" w:rsidRDefault="00000000">
            <w:pPr>
              <w:pStyle w:val="TableParagraph"/>
              <w:spacing w:before="59"/>
              <w:ind w:left="6" w:right="1"/>
              <w:jc w:val="center"/>
              <w:rPr>
                <w:rFonts w:ascii="Calibri"/>
                <w:b/>
                <w:sz w:val="20"/>
              </w:rPr>
            </w:pPr>
            <w:r>
              <w:rPr>
                <w:rFonts w:ascii="Calibri"/>
                <w:b/>
                <w:color w:val="FFFFFF"/>
                <w:sz w:val="20"/>
              </w:rPr>
              <w:t>Q4</w:t>
            </w:r>
            <w:r>
              <w:rPr>
                <w:rFonts w:ascii="Calibri"/>
                <w:b/>
                <w:color w:val="FFFFFF"/>
                <w:spacing w:val="-5"/>
                <w:sz w:val="20"/>
              </w:rPr>
              <w:t xml:space="preserve"> </w:t>
            </w:r>
            <w:r>
              <w:rPr>
                <w:rFonts w:ascii="Calibri"/>
                <w:b/>
                <w:color w:val="FFFFFF"/>
                <w:sz w:val="20"/>
              </w:rPr>
              <w:t>2024</w:t>
            </w:r>
            <w:r>
              <w:rPr>
                <w:rFonts w:ascii="Calibri"/>
                <w:b/>
                <w:color w:val="FFFFFF"/>
                <w:spacing w:val="-5"/>
                <w:sz w:val="20"/>
              </w:rPr>
              <w:t xml:space="preserve"> (%)</w:t>
            </w:r>
          </w:p>
        </w:tc>
        <w:tc>
          <w:tcPr>
            <w:tcW w:w="1429" w:type="dxa"/>
            <w:shd w:val="clear" w:color="auto" w:fill="17365A"/>
          </w:tcPr>
          <w:p w14:paraId="31A2BCBE" w14:textId="77777777" w:rsidR="00BC24A8" w:rsidRDefault="00000000">
            <w:pPr>
              <w:pStyle w:val="TableParagraph"/>
              <w:spacing w:before="59"/>
              <w:ind w:left="11" w:right="6"/>
              <w:jc w:val="center"/>
              <w:rPr>
                <w:rFonts w:ascii="Calibri"/>
                <w:b/>
                <w:sz w:val="20"/>
              </w:rPr>
            </w:pPr>
            <w:r>
              <w:rPr>
                <w:rFonts w:ascii="Calibri"/>
                <w:b/>
                <w:color w:val="FFFFFF"/>
                <w:sz w:val="20"/>
              </w:rPr>
              <w:t>Q1</w:t>
            </w:r>
            <w:r>
              <w:rPr>
                <w:rFonts w:ascii="Calibri"/>
                <w:b/>
                <w:color w:val="FFFFFF"/>
                <w:spacing w:val="-5"/>
                <w:sz w:val="20"/>
              </w:rPr>
              <w:t xml:space="preserve"> </w:t>
            </w:r>
            <w:r>
              <w:rPr>
                <w:rFonts w:ascii="Calibri"/>
                <w:b/>
                <w:color w:val="FFFFFF"/>
                <w:sz w:val="20"/>
              </w:rPr>
              <w:t>2025</w:t>
            </w:r>
            <w:r>
              <w:rPr>
                <w:rFonts w:ascii="Calibri"/>
                <w:b/>
                <w:color w:val="FFFFFF"/>
                <w:spacing w:val="-5"/>
                <w:sz w:val="20"/>
              </w:rPr>
              <w:t xml:space="preserve"> (%)</w:t>
            </w:r>
          </w:p>
        </w:tc>
        <w:tc>
          <w:tcPr>
            <w:tcW w:w="1259" w:type="dxa"/>
            <w:shd w:val="clear" w:color="auto" w:fill="17365A"/>
          </w:tcPr>
          <w:p w14:paraId="4B2FA275" w14:textId="77777777" w:rsidR="00BC24A8" w:rsidRDefault="00000000">
            <w:pPr>
              <w:pStyle w:val="TableParagraph"/>
              <w:spacing w:before="59"/>
              <w:ind w:left="11" w:right="6"/>
              <w:jc w:val="center"/>
              <w:rPr>
                <w:rFonts w:ascii="Calibri"/>
                <w:b/>
                <w:sz w:val="20"/>
              </w:rPr>
            </w:pPr>
            <w:r>
              <w:rPr>
                <w:rFonts w:ascii="Calibri"/>
                <w:b/>
                <w:color w:val="FFFFFF"/>
                <w:sz w:val="20"/>
              </w:rPr>
              <w:t>Q2</w:t>
            </w:r>
            <w:r>
              <w:rPr>
                <w:rFonts w:ascii="Calibri"/>
                <w:b/>
                <w:color w:val="FFFFFF"/>
                <w:spacing w:val="-5"/>
                <w:sz w:val="20"/>
              </w:rPr>
              <w:t xml:space="preserve"> </w:t>
            </w:r>
            <w:r>
              <w:rPr>
                <w:rFonts w:ascii="Calibri"/>
                <w:b/>
                <w:color w:val="FFFFFF"/>
                <w:sz w:val="20"/>
              </w:rPr>
              <w:t>2025</w:t>
            </w:r>
            <w:r>
              <w:rPr>
                <w:rFonts w:ascii="Calibri"/>
                <w:b/>
                <w:color w:val="FFFFFF"/>
                <w:spacing w:val="-5"/>
                <w:sz w:val="20"/>
              </w:rPr>
              <w:t xml:space="preserve"> (%)</w:t>
            </w:r>
          </w:p>
        </w:tc>
      </w:tr>
      <w:tr w:rsidR="00BC24A8" w14:paraId="108E4582" w14:textId="77777777">
        <w:trPr>
          <w:trHeight w:val="441"/>
        </w:trPr>
        <w:tc>
          <w:tcPr>
            <w:tcW w:w="1070" w:type="dxa"/>
            <w:tcBorders>
              <w:bottom w:val="single" w:sz="4" w:space="0" w:color="BEBEBE"/>
            </w:tcBorders>
          </w:tcPr>
          <w:p w14:paraId="0B984C26" w14:textId="77777777" w:rsidR="00BC24A8" w:rsidRDefault="00000000">
            <w:pPr>
              <w:pStyle w:val="TableParagraph"/>
              <w:spacing w:before="160"/>
              <w:ind w:left="115"/>
              <w:rPr>
                <w:sz w:val="18"/>
              </w:rPr>
            </w:pPr>
            <w:r>
              <w:rPr>
                <w:spacing w:val="-2"/>
                <w:sz w:val="18"/>
              </w:rPr>
              <w:t>Papua</w:t>
            </w:r>
          </w:p>
        </w:tc>
        <w:tc>
          <w:tcPr>
            <w:tcW w:w="1264" w:type="dxa"/>
            <w:tcBorders>
              <w:bottom w:val="single" w:sz="4" w:space="0" w:color="BEBEBE"/>
            </w:tcBorders>
          </w:tcPr>
          <w:p w14:paraId="6CAE07B9" w14:textId="77777777" w:rsidR="00BC24A8" w:rsidRDefault="00000000">
            <w:pPr>
              <w:pStyle w:val="TableParagraph"/>
              <w:spacing w:before="133"/>
              <w:ind w:left="2" w:right="3"/>
              <w:jc w:val="center"/>
              <w:rPr>
                <w:sz w:val="18"/>
              </w:rPr>
            </w:pPr>
            <w:r>
              <w:rPr>
                <w:spacing w:val="-5"/>
                <w:sz w:val="18"/>
              </w:rPr>
              <w:t>0.4</w:t>
            </w:r>
          </w:p>
        </w:tc>
        <w:tc>
          <w:tcPr>
            <w:tcW w:w="1266" w:type="dxa"/>
            <w:tcBorders>
              <w:bottom w:val="single" w:sz="4" w:space="0" w:color="BEBEBE"/>
            </w:tcBorders>
          </w:tcPr>
          <w:p w14:paraId="6B6B2DB4" w14:textId="77777777" w:rsidR="00BC24A8" w:rsidRDefault="00000000">
            <w:pPr>
              <w:pStyle w:val="TableParagraph"/>
              <w:spacing w:before="133"/>
              <w:ind w:left="4" w:right="1"/>
              <w:jc w:val="center"/>
              <w:rPr>
                <w:sz w:val="18"/>
              </w:rPr>
            </w:pPr>
            <w:r>
              <w:rPr>
                <w:spacing w:val="-2"/>
                <w:sz w:val="18"/>
              </w:rPr>
              <w:t>21.26</w:t>
            </w:r>
          </w:p>
        </w:tc>
        <w:tc>
          <w:tcPr>
            <w:tcW w:w="1357" w:type="dxa"/>
            <w:tcBorders>
              <w:bottom w:val="single" w:sz="4" w:space="0" w:color="BEBEBE"/>
            </w:tcBorders>
          </w:tcPr>
          <w:p w14:paraId="09C54901" w14:textId="77777777" w:rsidR="00BC24A8" w:rsidRDefault="00000000">
            <w:pPr>
              <w:pStyle w:val="TableParagraph"/>
              <w:spacing w:before="133"/>
              <w:ind w:left="1"/>
              <w:jc w:val="center"/>
              <w:rPr>
                <w:sz w:val="18"/>
              </w:rPr>
            </w:pPr>
            <w:r>
              <w:rPr>
                <w:spacing w:val="-2"/>
                <w:sz w:val="18"/>
              </w:rPr>
              <w:t>53.45</w:t>
            </w:r>
          </w:p>
        </w:tc>
        <w:tc>
          <w:tcPr>
            <w:tcW w:w="1355" w:type="dxa"/>
            <w:tcBorders>
              <w:bottom w:val="single" w:sz="4" w:space="0" w:color="BEBEBE"/>
            </w:tcBorders>
          </w:tcPr>
          <w:p w14:paraId="708E7384" w14:textId="77777777" w:rsidR="00BC24A8" w:rsidRDefault="00000000">
            <w:pPr>
              <w:pStyle w:val="TableParagraph"/>
              <w:spacing w:before="133"/>
              <w:ind w:left="6"/>
              <w:jc w:val="center"/>
              <w:rPr>
                <w:sz w:val="18"/>
              </w:rPr>
            </w:pPr>
            <w:r>
              <w:rPr>
                <w:spacing w:val="-2"/>
                <w:sz w:val="18"/>
              </w:rPr>
              <w:t>77.81</w:t>
            </w:r>
          </w:p>
        </w:tc>
        <w:tc>
          <w:tcPr>
            <w:tcW w:w="1429" w:type="dxa"/>
            <w:tcBorders>
              <w:bottom w:val="single" w:sz="4" w:space="0" w:color="BEBEBE"/>
            </w:tcBorders>
          </w:tcPr>
          <w:p w14:paraId="23F28C16" w14:textId="77777777" w:rsidR="00BC24A8" w:rsidRDefault="00000000">
            <w:pPr>
              <w:pStyle w:val="TableParagraph"/>
              <w:spacing w:before="133"/>
              <w:ind w:left="11"/>
              <w:jc w:val="center"/>
              <w:rPr>
                <w:sz w:val="18"/>
              </w:rPr>
            </w:pPr>
            <w:r>
              <w:rPr>
                <w:spacing w:val="-4"/>
                <w:sz w:val="18"/>
              </w:rPr>
              <w:t>10.4</w:t>
            </w:r>
          </w:p>
        </w:tc>
        <w:tc>
          <w:tcPr>
            <w:tcW w:w="1259" w:type="dxa"/>
            <w:tcBorders>
              <w:bottom w:val="single" w:sz="4" w:space="0" w:color="BEBEBE"/>
            </w:tcBorders>
          </w:tcPr>
          <w:p w14:paraId="2AF4E8A8" w14:textId="77777777" w:rsidR="00BC24A8" w:rsidRDefault="00000000">
            <w:pPr>
              <w:pStyle w:val="TableParagraph"/>
              <w:spacing w:before="104"/>
              <w:ind w:left="11"/>
              <w:jc w:val="center"/>
              <w:rPr>
                <w:sz w:val="18"/>
              </w:rPr>
            </w:pPr>
            <w:r>
              <w:rPr>
                <w:spacing w:val="-5"/>
                <w:sz w:val="18"/>
              </w:rPr>
              <w:t>100</w:t>
            </w:r>
          </w:p>
        </w:tc>
      </w:tr>
    </w:tbl>
    <w:p w14:paraId="3D0D42DA" w14:textId="77777777" w:rsidR="00BC24A8" w:rsidRDefault="00000000">
      <w:pPr>
        <w:spacing w:before="124"/>
        <w:ind w:left="143"/>
        <w:rPr>
          <w:sz w:val="16"/>
        </w:rPr>
      </w:pPr>
      <w:r>
        <w:rPr>
          <w:sz w:val="16"/>
        </w:rPr>
        <w:t>Source:</w:t>
      </w:r>
      <w:r>
        <w:rPr>
          <w:spacing w:val="-10"/>
          <w:sz w:val="16"/>
        </w:rPr>
        <w:t xml:space="preserve"> </w:t>
      </w:r>
      <w:r>
        <w:rPr>
          <w:sz w:val="16"/>
        </w:rPr>
        <w:t>https://spm.bangda.kemendagri.go.id/</w:t>
      </w:r>
      <w:r>
        <w:rPr>
          <w:spacing w:val="-9"/>
          <w:sz w:val="16"/>
        </w:rPr>
        <w:t xml:space="preserve"> </w:t>
      </w:r>
      <w:r>
        <w:rPr>
          <w:sz w:val="16"/>
        </w:rPr>
        <w:t>(as</w:t>
      </w:r>
      <w:r>
        <w:rPr>
          <w:spacing w:val="-9"/>
          <w:sz w:val="16"/>
        </w:rPr>
        <w:t xml:space="preserve"> </w:t>
      </w:r>
      <w:r>
        <w:rPr>
          <w:sz w:val="16"/>
        </w:rPr>
        <w:t>of</w:t>
      </w:r>
      <w:r>
        <w:rPr>
          <w:spacing w:val="-9"/>
          <w:sz w:val="16"/>
        </w:rPr>
        <w:t xml:space="preserve"> </w:t>
      </w:r>
      <w:r>
        <w:rPr>
          <w:sz w:val="16"/>
        </w:rPr>
        <w:t>28</w:t>
      </w:r>
      <w:r>
        <w:rPr>
          <w:spacing w:val="-9"/>
          <w:sz w:val="16"/>
        </w:rPr>
        <w:t xml:space="preserve"> </w:t>
      </w:r>
      <w:r>
        <w:rPr>
          <w:sz w:val="16"/>
        </w:rPr>
        <w:t>July</w:t>
      </w:r>
      <w:r>
        <w:rPr>
          <w:spacing w:val="-9"/>
          <w:sz w:val="16"/>
        </w:rPr>
        <w:t xml:space="preserve"> </w:t>
      </w:r>
      <w:r>
        <w:rPr>
          <w:spacing w:val="-2"/>
          <w:sz w:val="16"/>
        </w:rPr>
        <w:t>2025)</w:t>
      </w:r>
    </w:p>
    <w:p w14:paraId="40CA68A2" w14:textId="77777777" w:rsidR="00BC24A8" w:rsidRDefault="00BC24A8">
      <w:pPr>
        <w:pStyle w:val="BodyText"/>
        <w:rPr>
          <w:sz w:val="16"/>
        </w:rPr>
      </w:pPr>
    </w:p>
    <w:p w14:paraId="301CD49C" w14:textId="77777777" w:rsidR="00BC24A8" w:rsidRDefault="00BC24A8">
      <w:pPr>
        <w:pStyle w:val="BodyText"/>
        <w:spacing w:before="112"/>
        <w:rPr>
          <w:sz w:val="16"/>
        </w:rPr>
      </w:pPr>
    </w:p>
    <w:p w14:paraId="5D1542A1" w14:textId="77777777" w:rsidR="00BC24A8" w:rsidRDefault="00000000">
      <w:pPr>
        <w:pStyle w:val="BodyText"/>
        <w:spacing w:line="276" w:lineRule="auto"/>
        <w:ind w:left="143"/>
      </w:pPr>
      <w:r>
        <w:t>The</w:t>
      </w:r>
      <w:r>
        <w:rPr>
          <w:spacing w:val="79"/>
        </w:rPr>
        <w:t xml:space="preserve"> </w:t>
      </w:r>
      <w:r>
        <w:t>completion</w:t>
      </w:r>
      <w:r>
        <w:rPr>
          <w:spacing w:val="80"/>
        </w:rPr>
        <w:t xml:space="preserve"> </w:t>
      </w:r>
      <w:r>
        <w:t>rate</w:t>
      </w:r>
      <w:r>
        <w:rPr>
          <w:spacing w:val="79"/>
        </w:rPr>
        <w:t xml:space="preserve"> </w:t>
      </w:r>
      <w:r>
        <w:t>of</w:t>
      </w:r>
      <w:r>
        <w:rPr>
          <w:spacing w:val="79"/>
        </w:rPr>
        <w:t xml:space="preserve"> </w:t>
      </w:r>
      <w:r>
        <w:t>Papua</w:t>
      </w:r>
      <w:r>
        <w:rPr>
          <w:spacing w:val="79"/>
        </w:rPr>
        <w:t xml:space="preserve"> </w:t>
      </w:r>
      <w:r>
        <w:t>Province’s</w:t>
      </w:r>
      <w:r>
        <w:rPr>
          <w:spacing w:val="80"/>
        </w:rPr>
        <w:t xml:space="preserve"> </w:t>
      </w:r>
      <w:r>
        <w:t>MSS</w:t>
      </w:r>
      <w:r>
        <w:rPr>
          <w:spacing w:val="80"/>
        </w:rPr>
        <w:t xml:space="preserve"> </w:t>
      </w:r>
      <w:r>
        <w:t>reports</w:t>
      </w:r>
      <w:r>
        <w:rPr>
          <w:spacing w:val="79"/>
        </w:rPr>
        <w:t xml:space="preserve"> </w:t>
      </w:r>
      <w:r>
        <w:t>during</w:t>
      </w:r>
      <w:r>
        <w:rPr>
          <w:spacing w:val="80"/>
        </w:rPr>
        <w:t xml:space="preserve"> </w:t>
      </w:r>
      <w:r>
        <w:t>2024–2025</w:t>
      </w:r>
      <w:r>
        <w:rPr>
          <w:spacing w:val="79"/>
        </w:rPr>
        <w:t xml:space="preserve"> </w:t>
      </w:r>
      <w:r>
        <w:t>shows</w:t>
      </w:r>
      <w:r>
        <w:rPr>
          <w:spacing w:val="80"/>
        </w:rPr>
        <w:t xml:space="preserve"> </w:t>
      </w:r>
      <w:r>
        <w:t>a</w:t>
      </w:r>
      <w:r>
        <w:rPr>
          <w:spacing w:val="77"/>
        </w:rPr>
        <w:t xml:space="preserve"> </w:t>
      </w:r>
      <w:r>
        <w:t>significant improvement, indicating steady progress despite some fluctuations observed in early 2025.</w:t>
      </w:r>
    </w:p>
    <w:p w14:paraId="13AA1227" w14:textId="77777777" w:rsidR="00BC24A8" w:rsidRDefault="00BC24A8">
      <w:pPr>
        <w:pStyle w:val="BodyText"/>
        <w:spacing w:before="206"/>
      </w:pPr>
    </w:p>
    <w:p w14:paraId="7E8718B6" w14:textId="77777777" w:rsidR="00BC24A8" w:rsidRDefault="00000000">
      <w:pPr>
        <w:pStyle w:val="Heading5"/>
      </w:pPr>
      <w:r>
        <w:rPr>
          <w:color w:val="767070"/>
        </w:rPr>
        <w:t>Regional</w:t>
      </w:r>
      <w:r>
        <w:rPr>
          <w:color w:val="767070"/>
          <w:spacing w:val="-7"/>
        </w:rPr>
        <w:t xml:space="preserve"> </w:t>
      </w:r>
      <w:r>
        <w:rPr>
          <w:color w:val="767070"/>
        </w:rPr>
        <w:t>Revenue</w:t>
      </w:r>
      <w:r>
        <w:rPr>
          <w:color w:val="767070"/>
          <w:spacing w:val="-8"/>
        </w:rPr>
        <w:t xml:space="preserve"> </w:t>
      </w:r>
      <w:r>
        <w:rPr>
          <w:color w:val="767070"/>
        </w:rPr>
        <w:t>and</w:t>
      </w:r>
      <w:r>
        <w:rPr>
          <w:color w:val="767070"/>
          <w:spacing w:val="-8"/>
        </w:rPr>
        <w:t xml:space="preserve"> </w:t>
      </w:r>
      <w:r>
        <w:rPr>
          <w:color w:val="767070"/>
        </w:rPr>
        <w:t>Expenditure</w:t>
      </w:r>
      <w:r>
        <w:rPr>
          <w:color w:val="767070"/>
          <w:spacing w:val="-7"/>
        </w:rPr>
        <w:t xml:space="preserve"> </w:t>
      </w:r>
      <w:r>
        <w:rPr>
          <w:color w:val="767070"/>
        </w:rPr>
        <w:t>Budget</w:t>
      </w:r>
      <w:r>
        <w:rPr>
          <w:color w:val="767070"/>
          <w:spacing w:val="-9"/>
        </w:rPr>
        <w:t xml:space="preserve"> </w:t>
      </w:r>
      <w:r>
        <w:rPr>
          <w:color w:val="767070"/>
        </w:rPr>
        <w:t>(APBD)</w:t>
      </w:r>
      <w:r>
        <w:rPr>
          <w:color w:val="767070"/>
          <w:spacing w:val="-6"/>
        </w:rPr>
        <w:t xml:space="preserve"> </w:t>
      </w:r>
      <w:r>
        <w:rPr>
          <w:color w:val="767070"/>
          <w:spacing w:val="-4"/>
        </w:rPr>
        <w:t>Data</w:t>
      </w:r>
    </w:p>
    <w:p w14:paraId="1FCC0750"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3653"/>
        <w:gridCol w:w="3041"/>
        <w:gridCol w:w="2313"/>
      </w:tblGrid>
      <w:tr w:rsidR="00BC24A8" w14:paraId="6B28F1F0" w14:textId="77777777">
        <w:trPr>
          <w:trHeight w:val="403"/>
        </w:trPr>
        <w:tc>
          <w:tcPr>
            <w:tcW w:w="3653" w:type="dxa"/>
            <w:shd w:val="clear" w:color="auto" w:fill="17365A"/>
          </w:tcPr>
          <w:p w14:paraId="71415204" w14:textId="77777777" w:rsidR="00BC24A8" w:rsidRDefault="00000000">
            <w:pPr>
              <w:pStyle w:val="TableParagraph"/>
              <w:spacing w:before="80"/>
              <w:ind w:left="115"/>
              <w:rPr>
                <w:rFonts w:ascii="Calibri"/>
                <w:b/>
                <w:sz w:val="20"/>
              </w:rPr>
            </w:pPr>
            <w:r>
              <w:rPr>
                <w:rFonts w:ascii="Calibri"/>
                <w:b/>
                <w:color w:val="FFFFFF"/>
                <w:sz w:val="20"/>
              </w:rPr>
              <w:t>APBD</w:t>
            </w:r>
            <w:r>
              <w:rPr>
                <w:rFonts w:ascii="Calibri"/>
                <w:b/>
                <w:color w:val="FFFFFF"/>
                <w:spacing w:val="-7"/>
                <w:sz w:val="20"/>
              </w:rPr>
              <w:t xml:space="preserve"> </w:t>
            </w:r>
            <w:r>
              <w:rPr>
                <w:rFonts w:ascii="Calibri"/>
                <w:b/>
                <w:color w:val="FFFFFF"/>
                <w:spacing w:val="-2"/>
                <w:sz w:val="20"/>
              </w:rPr>
              <w:t>Structure</w:t>
            </w:r>
          </w:p>
        </w:tc>
        <w:tc>
          <w:tcPr>
            <w:tcW w:w="3041" w:type="dxa"/>
            <w:shd w:val="clear" w:color="auto" w:fill="17365A"/>
          </w:tcPr>
          <w:p w14:paraId="71F44801" w14:textId="77777777" w:rsidR="00BC24A8" w:rsidRDefault="00000000">
            <w:pPr>
              <w:pStyle w:val="TableParagraph"/>
              <w:spacing w:before="80"/>
              <w:ind w:left="1730"/>
              <w:rPr>
                <w:rFonts w:ascii="Calibri"/>
                <w:b/>
                <w:sz w:val="20"/>
              </w:rPr>
            </w:pPr>
            <w:r>
              <w:rPr>
                <w:rFonts w:ascii="Calibri"/>
                <w:b/>
                <w:color w:val="FFFFFF"/>
                <w:spacing w:val="-4"/>
                <w:sz w:val="20"/>
              </w:rPr>
              <w:t>2024</w:t>
            </w:r>
          </w:p>
        </w:tc>
        <w:tc>
          <w:tcPr>
            <w:tcW w:w="2313" w:type="dxa"/>
            <w:shd w:val="clear" w:color="auto" w:fill="17365A"/>
          </w:tcPr>
          <w:p w14:paraId="437B4593" w14:textId="77777777" w:rsidR="00BC24A8" w:rsidRDefault="00000000">
            <w:pPr>
              <w:pStyle w:val="TableParagraph"/>
              <w:spacing w:before="80"/>
              <w:ind w:left="68" w:right="11"/>
              <w:jc w:val="center"/>
              <w:rPr>
                <w:rFonts w:ascii="Calibri"/>
                <w:b/>
                <w:sz w:val="20"/>
              </w:rPr>
            </w:pPr>
            <w:r>
              <w:rPr>
                <w:rFonts w:ascii="Calibri"/>
                <w:b/>
                <w:color w:val="FFFFFF"/>
                <w:spacing w:val="-4"/>
                <w:sz w:val="20"/>
              </w:rPr>
              <w:t>2025</w:t>
            </w:r>
          </w:p>
        </w:tc>
      </w:tr>
      <w:tr w:rsidR="00BC24A8" w14:paraId="0F027BC6" w14:textId="77777777">
        <w:trPr>
          <w:trHeight w:val="378"/>
        </w:trPr>
        <w:tc>
          <w:tcPr>
            <w:tcW w:w="3653" w:type="dxa"/>
            <w:tcBorders>
              <w:bottom w:val="single" w:sz="4" w:space="0" w:color="BEBEBE"/>
            </w:tcBorders>
          </w:tcPr>
          <w:p w14:paraId="1CD686B7" w14:textId="77777777" w:rsidR="00BC24A8" w:rsidRDefault="00000000">
            <w:pPr>
              <w:pStyle w:val="TableParagraph"/>
              <w:spacing w:before="102"/>
              <w:ind w:left="115"/>
              <w:rPr>
                <w:sz w:val="18"/>
              </w:rPr>
            </w:pPr>
            <w:r>
              <w:rPr>
                <w:sz w:val="18"/>
              </w:rPr>
              <w:t>Total</w:t>
            </w:r>
            <w:r>
              <w:rPr>
                <w:spacing w:val="-2"/>
                <w:sz w:val="18"/>
              </w:rPr>
              <w:t xml:space="preserve"> Revenue</w:t>
            </w:r>
          </w:p>
        </w:tc>
        <w:tc>
          <w:tcPr>
            <w:tcW w:w="3041" w:type="dxa"/>
            <w:tcBorders>
              <w:bottom w:val="single" w:sz="4" w:space="0" w:color="BEBEBE"/>
            </w:tcBorders>
          </w:tcPr>
          <w:p w14:paraId="6CFADE23" w14:textId="77777777" w:rsidR="00BC24A8" w:rsidRDefault="00000000">
            <w:pPr>
              <w:pStyle w:val="TableParagraph"/>
              <w:spacing w:before="102"/>
              <w:ind w:right="249"/>
              <w:jc w:val="right"/>
              <w:rPr>
                <w:sz w:val="18"/>
              </w:rPr>
            </w:pPr>
            <w:r>
              <w:rPr>
                <w:sz w:val="18"/>
              </w:rPr>
              <w:t xml:space="preserve">IDR </w:t>
            </w:r>
            <w:r>
              <w:rPr>
                <w:spacing w:val="-2"/>
                <w:sz w:val="18"/>
              </w:rPr>
              <w:t>2,739,243,604,215.00</w:t>
            </w:r>
          </w:p>
        </w:tc>
        <w:tc>
          <w:tcPr>
            <w:tcW w:w="2313" w:type="dxa"/>
            <w:tcBorders>
              <w:bottom w:val="single" w:sz="4" w:space="0" w:color="BEBEBE"/>
            </w:tcBorders>
          </w:tcPr>
          <w:p w14:paraId="6F28E5BD" w14:textId="77777777" w:rsidR="00BC24A8" w:rsidRDefault="00000000">
            <w:pPr>
              <w:pStyle w:val="TableParagraph"/>
              <w:spacing w:before="102"/>
              <w:ind w:left="57" w:right="68"/>
              <w:jc w:val="center"/>
              <w:rPr>
                <w:sz w:val="18"/>
              </w:rPr>
            </w:pPr>
            <w:r>
              <w:rPr>
                <w:sz w:val="18"/>
              </w:rPr>
              <w:t xml:space="preserve">IDR </w:t>
            </w:r>
            <w:r>
              <w:rPr>
                <w:spacing w:val="-2"/>
                <w:sz w:val="18"/>
              </w:rPr>
              <w:t>2,580,517,519,866.00</w:t>
            </w:r>
          </w:p>
        </w:tc>
      </w:tr>
      <w:tr w:rsidR="00BC24A8" w14:paraId="3E071537" w14:textId="77777777">
        <w:trPr>
          <w:trHeight w:val="402"/>
        </w:trPr>
        <w:tc>
          <w:tcPr>
            <w:tcW w:w="3653" w:type="dxa"/>
            <w:tcBorders>
              <w:top w:val="single" w:sz="4" w:space="0" w:color="BEBEBE"/>
              <w:bottom w:val="single" w:sz="4" w:space="0" w:color="BEBEBE"/>
            </w:tcBorders>
          </w:tcPr>
          <w:p w14:paraId="6D5314FF" w14:textId="77777777" w:rsidR="00BC24A8" w:rsidRDefault="00000000">
            <w:pPr>
              <w:pStyle w:val="TableParagraph"/>
              <w:spacing w:before="56"/>
              <w:ind w:left="115"/>
              <w:rPr>
                <w:sz w:val="18"/>
              </w:rPr>
            </w:pPr>
            <w:r>
              <w:rPr>
                <w:sz w:val="18"/>
              </w:rPr>
              <w:t>PAD</w:t>
            </w:r>
            <w:r>
              <w:rPr>
                <w:spacing w:val="-2"/>
                <w:sz w:val="18"/>
              </w:rPr>
              <w:t xml:space="preserve"> </w:t>
            </w:r>
            <w:r>
              <w:rPr>
                <w:sz w:val="18"/>
              </w:rPr>
              <w:t>(Regional</w:t>
            </w:r>
            <w:r>
              <w:rPr>
                <w:spacing w:val="-2"/>
                <w:sz w:val="18"/>
              </w:rPr>
              <w:t xml:space="preserve"> Revenue)</w:t>
            </w:r>
          </w:p>
        </w:tc>
        <w:tc>
          <w:tcPr>
            <w:tcW w:w="3041" w:type="dxa"/>
            <w:tcBorders>
              <w:top w:val="single" w:sz="4" w:space="0" w:color="BEBEBE"/>
              <w:bottom w:val="single" w:sz="4" w:space="0" w:color="BEBEBE"/>
            </w:tcBorders>
          </w:tcPr>
          <w:p w14:paraId="27597213" w14:textId="77777777" w:rsidR="00BC24A8" w:rsidRDefault="00000000">
            <w:pPr>
              <w:pStyle w:val="TableParagraph"/>
              <w:tabs>
                <w:tab w:val="left" w:pos="453"/>
              </w:tabs>
              <w:spacing w:before="56"/>
              <w:ind w:right="222"/>
              <w:jc w:val="right"/>
              <w:rPr>
                <w:sz w:val="18"/>
              </w:rPr>
            </w:pPr>
            <w:r>
              <w:rPr>
                <w:spacing w:val="-5"/>
                <w:sz w:val="18"/>
              </w:rPr>
              <w:t>IDR</w:t>
            </w:r>
            <w:r>
              <w:rPr>
                <w:sz w:val="18"/>
              </w:rPr>
              <w:tab/>
            </w:r>
            <w:r>
              <w:rPr>
                <w:spacing w:val="-2"/>
                <w:sz w:val="18"/>
              </w:rPr>
              <w:t>565,381,850,000.00</w:t>
            </w:r>
          </w:p>
        </w:tc>
        <w:tc>
          <w:tcPr>
            <w:tcW w:w="2313" w:type="dxa"/>
            <w:tcBorders>
              <w:top w:val="single" w:sz="4" w:space="0" w:color="BEBEBE"/>
              <w:bottom w:val="single" w:sz="4" w:space="0" w:color="BEBEBE"/>
            </w:tcBorders>
          </w:tcPr>
          <w:p w14:paraId="2D7A0B0F" w14:textId="77777777" w:rsidR="00BC24A8" w:rsidRDefault="00000000">
            <w:pPr>
              <w:pStyle w:val="TableParagraph"/>
              <w:tabs>
                <w:tab w:val="left" w:pos="466"/>
              </w:tabs>
              <w:spacing w:before="56"/>
              <w:ind w:left="13"/>
              <w:jc w:val="center"/>
              <w:rPr>
                <w:sz w:val="18"/>
              </w:rPr>
            </w:pPr>
            <w:r>
              <w:rPr>
                <w:spacing w:val="-5"/>
                <w:sz w:val="18"/>
              </w:rPr>
              <w:t>IDR</w:t>
            </w:r>
            <w:r>
              <w:rPr>
                <w:sz w:val="18"/>
              </w:rPr>
              <w:tab/>
            </w:r>
            <w:r>
              <w:rPr>
                <w:spacing w:val="-2"/>
                <w:sz w:val="18"/>
              </w:rPr>
              <w:t>515,406,169,254.00</w:t>
            </w:r>
          </w:p>
        </w:tc>
      </w:tr>
      <w:tr w:rsidR="00BC24A8" w14:paraId="2D626AFC" w14:textId="77777777">
        <w:trPr>
          <w:trHeight w:val="400"/>
        </w:trPr>
        <w:tc>
          <w:tcPr>
            <w:tcW w:w="3653" w:type="dxa"/>
            <w:tcBorders>
              <w:top w:val="single" w:sz="4" w:space="0" w:color="BEBEBE"/>
              <w:bottom w:val="single" w:sz="4" w:space="0" w:color="BEBEBE"/>
            </w:tcBorders>
          </w:tcPr>
          <w:p w14:paraId="30C5C5DC" w14:textId="77777777" w:rsidR="00BC24A8" w:rsidRDefault="00000000">
            <w:pPr>
              <w:pStyle w:val="TableParagraph"/>
              <w:spacing w:before="56"/>
              <w:ind w:left="115"/>
              <w:rPr>
                <w:sz w:val="18"/>
              </w:rPr>
            </w:pPr>
            <w:r>
              <w:rPr>
                <w:sz w:val="18"/>
              </w:rPr>
              <w:t xml:space="preserve">TKD (Fiscal </w:t>
            </w:r>
            <w:r>
              <w:rPr>
                <w:spacing w:val="-2"/>
                <w:sz w:val="18"/>
              </w:rPr>
              <w:t>Transfer)</w:t>
            </w:r>
          </w:p>
        </w:tc>
        <w:tc>
          <w:tcPr>
            <w:tcW w:w="3041" w:type="dxa"/>
            <w:tcBorders>
              <w:top w:val="single" w:sz="4" w:space="0" w:color="BEBEBE"/>
              <w:bottom w:val="single" w:sz="4" w:space="0" w:color="BEBEBE"/>
            </w:tcBorders>
          </w:tcPr>
          <w:p w14:paraId="2E444B76" w14:textId="77777777" w:rsidR="00BC24A8" w:rsidRDefault="00000000">
            <w:pPr>
              <w:pStyle w:val="TableParagraph"/>
              <w:spacing w:before="56"/>
              <w:ind w:right="208"/>
              <w:jc w:val="right"/>
              <w:rPr>
                <w:sz w:val="18"/>
              </w:rPr>
            </w:pPr>
            <w:r>
              <w:rPr>
                <w:sz w:val="18"/>
              </w:rPr>
              <w:t>IDR</w:t>
            </w:r>
            <w:r>
              <w:rPr>
                <w:spacing w:val="40"/>
                <w:sz w:val="18"/>
              </w:rPr>
              <w:t xml:space="preserve"> </w:t>
            </w:r>
            <w:r>
              <w:rPr>
                <w:spacing w:val="-2"/>
                <w:sz w:val="18"/>
              </w:rPr>
              <w:t>2,172,861,754,215.00</w:t>
            </w:r>
          </w:p>
        </w:tc>
        <w:tc>
          <w:tcPr>
            <w:tcW w:w="2313" w:type="dxa"/>
            <w:tcBorders>
              <w:top w:val="single" w:sz="4" w:space="0" w:color="BEBEBE"/>
              <w:bottom w:val="single" w:sz="4" w:space="0" w:color="BEBEBE"/>
            </w:tcBorders>
          </w:tcPr>
          <w:p w14:paraId="0D0FACBC" w14:textId="77777777" w:rsidR="00BC24A8" w:rsidRDefault="00000000">
            <w:pPr>
              <w:pStyle w:val="TableParagraph"/>
              <w:spacing w:before="56"/>
              <w:ind w:left="57" w:right="30"/>
              <w:jc w:val="center"/>
              <w:rPr>
                <w:sz w:val="18"/>
              </w:rPr>
            </w:pPr>
            <w:r>
              <w:rPr>
                <w:sz w:val="18"/>
              </w:rPr>
              <w:t>IDR</w:t>
            </w:r>
            <w:r>
              <w:rPr>
                <w:spacing w:val="40"/>
                <w:sz w:val="18"/>
              </w:rPr>
              <w:t xml:space="preserve"> </w:t>
            </w:r>
            <w:r>
              <w:rPr>
                <w:spacing w:val="-2"/>
                <w:sz w:val="18"/>
              </w:rPr>
              <w:t>2,064,061,350,612.00</w:t>
            </w:r>
          </w:p>
        </w:tc>
      </w:tr>
      <w:tr w:rsidR="00BC24A8" w14:paraId="6DD8AD40" w14:textId="77777777">
        <w:trPr>
          <w:trHeight w:val="402"/>
        </w:trPr>
        <w:tc>
          <w:tcPr>
            <w:tcW w:w="3653" w:type="dxa"/>
            <w:tcBorders>
              <w:top w:val="single" w:sz="4" w:space="0" w:color="BEBEBE"/>
              <w:bottom w:val="single" w:sz="4" w:space="0" w:color="BEBEBE"/>
            </w:tcBorders>
          </w:tcPr>
          <w:p w14:paraId="33AF1259" w14:textId="77777777" w:rsidR="00BC24A8" w:rsidRDefault="00000000">
            <w:pPr>
              <w:pStyle w:val="TableParagraph"/>
              <w:spacing w:before="59"/>
              <w:ind w:left="115"/>
              <w:rPr>
                <w:sz w:val="18"/>
              </w:rPr>
            </w:pPr>
            <w:r>
              <w:rPr>
                <w:sz w:val="18"/>
              </w:rPr>
              <w:t>Other</w:t>
            </w:r>
            <w:r>
              <w:rPr>
                <w:spacing w:val="-3"/>
                <w:sz w:val="18"/>
              </w:rPr>
              <w:t xml:space="preserve"> </w:t>
            </w:r>
            <w:r>
              <w:rPr>
                <w:sz w:val="18"/>
              </w:rPr>
              <w:t>Legitimate</w:t>
            </w:r>
            <w:r>
              <w:rPr>
                <w:spacing w:val="-4"/>
                <w:sz w:val="18"/>
              </w:rPr>
              <w:t xml:space="preserve"> </w:t>
            </w:r>
            <w:r>
              <w:rPr>
                <w:sz w:val="18"/>
              </w:rPr>
              <w:t>Regional</w:t>
            </w:r>
            <w:r>
              <w:rPr>
                <w:spacing w:val="-2"/>
                <w:sz w:val="18"/>
              </w:rPr>
              <w:t xml:space="preserve"> Revenues</w:t>
            </w:r>
          </w:p>
        </w:tc>
        <w:tc>
          <w:tcPr>
            <w:tcW w:w="3041" w:type="dxa"/>
            <w:tcBorders>
              <w:top w:val="single" w:sz="4" w:space="0" w:color="BEBEBE"/>
              <w:bottom w:val="single" w:sz="4" w:space="0" w:color="BEBEBE"/>
            </w:tcBorders>
          </w:tcPr>
          <w:p w14:paraId="5E5FC123" w14:textId="77777777" w:rsidR="00BC24A8" w:rsidRDefault="00000000">
            <w:pPr>
              <w:pStyle w:val="TableParagraph"/>
              <w:tabs>
                <w:tab w:val="left" w:pos="616"/>
              </w:tabs>
              <w:spacing w:before="59"/>
              <w:ind w:right="242"/>
              <w:jc w:val="right"/>
              <w:rPr>
                <w:sz w:val="18"/>
              </w:rPr>
            </w:pPr>
            <w:r>
              <w:rPr>
                <w:spacing w:val="-5"/>
                <w:sz w:val="18"/>
              </w:rPr>
              <w:t>IDR</w:t>
            </w:r>
            <w:r>
              <w:rPr>
                <w:sz w:val="18"/>
              </w:rPr>
              <w:tab/>
            </w:r>
            <w:r>
              <w:rPr>
                <w:spacing w:val="-2"/>
                <w:sz w:val="18"/>
              </w:rPr>
              <w:t>1,000,000,000.00</w:t>
            </w:r>
          </w:p>
        </w:tc>
        <w:tc>
          <w:tcPr>
            <w:tcW w:w="2313" w:type="dxa"/>
            <w:tcBorders>
              <w:top w:val="single" w:sz="4" w:space="0" w:color="BEBEBE"/>
              <w:bottom w:val="single" w:sz="4" w:space="0" w:color="BEBEBE"/>
            </w:tcBorders>
          </w:tcPr>
          <w:p w14:paraId="1A814FA2" w14:textId="77777777" w:rsidR="00BC24A8" w:rsidRDefault="00000000">
            <w:pPr>
              <w:pStyle w:val="TableParagraph"/>
              <w:tabs>
                <w:tab w:val="left" w:pos="616"/>
              </w:tabs>
              <w:spacing w:before="59"/>
              <w:ind w:right="4"/>
              <w:jc w:val="center"/>
              <w:rPr>
                <w:sz w:val="18"/>
              </w:rPr>
            </w:pPr>
            <w:r>
              <w:rPr>
                <w:spacing w:val="-5"/>
                <w:sz w:val="18"/>
              </w:rPr>
              <w:t>IDR</w:t>
            </w:r>
            <w:r>
              <w:rPr>
                <w:sz w:val="18"/>
              </w:rPr>
              <w:tab/>
            </w:r>
            <w:r>
              <w:rPr>
                <w:spacing w:val="-2"/>
                <w:sz w:val="18"/>
              </w:rPr>
              <w:t>1,050,000,000.00</w:t>
            </w:r>
          </w:p>
        </w:tc>
      </w:tr>
      <w:tr w:rsidR="00BC24A8" w14:paraId="181C2ECD" w14:textId="77777777">
        <w:trPr>
          <w:trHeight w:val="402"/>
        </w:trPr>
        <w:tc>
          <w:tcPr>
            <w:tcW w:w="3653" w:type="dxa"/>
            <w:tcBorders>
              <w:top w:val="single" w:sz="4" w:space="0" w:color="BEBEBE"/>
              <w:bottom w:val="single" w:sz="4" w:space="0" w:color="BEBEBE"/>
            </w:tcBorders>
          </w:tcPr>
          <w:p w14:paraId="2C7B6151" w14:textId="77777777" w:rsidR="00BC24A8" w:rsidRDefault="00000000">
            <w:pPr>
              <w:pStyle w:val="TableParagraph"/>
              <w:spacing w:before="56"/>
              <w:ind w:left="115"/>
              <w:rPr>
                <w:sz w:val="18"/>
              </w:rPr>
            </w:pPr>
            <w:r>
              <w:rPr>
                <w:sz w:val="18"/>
              </w:rPr>
              <w:t>Total</w:t>
            </w:r>
            <w:r>
              <w:rPr>
                <w:spacing w:val="-4"/>
                <w:sz w:val="18"/>
              </w:rPr>
              <w:t xml:space="preserve"> </w:t>
            </w:r>
            <w:r>
              <w:rPr>
                <w:spacing w:val="-2"/>
                <w:sz w:val="18"/>
              </w:rPr>
              <w:t>Expenditure</w:t>
            </w:r>
          </w:p>
        </w:tc>
        <w:tc>
          <w:tcPr>
            <w:tcW w:w="3041" w:type="dxa"/>
            <w:tcBorders>
              <w:top w:val="single" w:sz="4" w:space="0" w:color="BEBEBE"/>
              <w:bottom w:val="single" w:sz="4" w:space="0" w:color="BEBEBE"/>
            </w:tcBorders>
          </w:tcPr>
          <w:p w14:paraId="14513E04" w14:textId="77777777" w:rsidR="00BC24A8" w:rsidRDefault="00000000">
            <w:pPr>
              <w:pStyle w:val="TableParagraph"/>
              <w:spacing w:before="56"/>
              <w:ind w:right="249"/>
              <w:jc w:val="right"/>
              <w:rPr>
                <w:sz w:val="18"/>
              </w:rPr>
            </w:pPr>
            <w:r>
              <w:rPr>
                <w:sz w:val="18"/>
              </w:rPr>
              <w:t xml:space="preserve">IDR </w:t>
            </w:r>
            <w:r>
              <w:rPr>
                <w:spacing w:val="-2"/>
                <w:sz w:val="18"/>
              </w:rPr>
              <w:t>3,009,243,604,215.00</w:t>
            </w:r>
          </w:p>
        </w:tc>
        <w:tc>
          <w:tcPr>
            <w:tcW w:w="2313" w:type="dxa"/>
            <w:tcBorders>
              <w:top w:val="single" w:sz="4" w:space="0" w:color="BEBEBE"/>
              <w:bottom w:val="single" w:sz="4" w:space="0" w:color="BEBEBE"/>
            </w:tcBorders>
          </w:tcPr>
          <w:p w14:paraId="0BC4CDEA" w14:textId="77777777" w:rsidR="00BC24A8" w:rsidRDefault="00000000">
            <w:pPr>
              <w:pStyle w:val="TableParagraph"/>
              <w:spacing w:before="56"/>
              <w:ind w:left="57" w:right="68"/>
              <w:jc w:val="center"/>
              <w:rPr>
                <w:sz w:val="18"/>
              </w:rPr>
            </w:pPr>
            <w:r>
              <w:rPr>
                <w:sz w:val="18"/>
              </w:rPr>
              <w:t xml:space="preserve">IDR </w:t>
            </w:r>
            <w:r>
              <w:rPr>
                <w:spacing w:val="-2"/>
                <w:sz w:val="18"/>
              </w:rPr>
              <w:t>2,765,925,071,404.00</w:t>
            </w:r>
          </w:p>
        </w:tc>
      </w:tr>
      <w:tr w:rsidR="00BC24A8" w14:paraId="267A809C" w14:textId="77777777">
        <w:trPr>
          <w:trHeight w:val="400"/>
        </w:trPr>
        <w:tc>
          <w:tcPr>
            <w:tcW w:w="3653" w:type="dxa"/>
            <w:tcBorders>
              <w:top w:val="single" w:sz="4" w:space="0" w:color="BEBEBE"/>
              <w:bottom w:val="single" w:sz="4" w:space="0" w:color="BEBEBE"/>
            </w:tcBorders>
          </w:tcPr>
          <w:p w14:paraId="0C3C2912" w14:textId="77777777" w:rsidR="00BC24A8" w:rsidRDefault="00000000">
            <w:pPr>
              <w:pStyle w:val="TableParagraph"/>
              <w:spacing w:before="56"/>
              <w:ind w:left="115"/>
              <w:rPr>
                <w:sz w:val="18"/>
              </w:rPr>
            </w:pPr>
            <w:r>
              <w:rPr>
                <w:sz w:val="18"/>
              </w:rPr>
              <w:t>Operating</w:t>
            </w:r>
            <w:r>
              <w:rPr>
                <w:spacing w:val="-3"/>
                <w:sz w:val="18"/>
              </w:rPr>
              <w:t xml:space="preserve"> </w:t>
            </w:r>
            <w:r>
              <w:rPr>
                <w:spacing w:val="-2"/>
                <w:sz w:val="18"/>
              </w:rPr>
              <w:t>Expenditure</w:t>
            </w:r>
          </w:p>
        </w:tc>
        <w:tc>
          <w:tcPr>
            <w:tcW w:w="3041" w:type="dxa"/>
            <w:tcBorders>
              <w:top w:val="single" w:sz="4" w:space="0" w:color="BEBEBE"/>
              <w:bottom w:val="single" w:sz="4" w:space="0" w:color="BEBEBE"/>
            </w:tcBorders>
          </w:tcPr>
          <w:p w14:paraId="7B004CA9" w14:textId="77777777" w:rsidR="00BC24A8" w:rsidRDefault="00000000">
            <w:pPr>
              <w:pStyle w:val="TableParagraph"/>
              <w:spacing w:before="56"/>
              <w:ind w:right="208"/>
              <w:jc w:val="right"/>
              <w:rPr>
                <w:sz w:val="18"/>
              </w:rPr>
            </w:pPr>
            <w:r>
              <w:rPr>
                <w:sz w:val="18"/>
              </w:rPr>
              <w:t>IDR</w:t>
            </w:r>
            <w:r>
              <w:rPr>
                <w:spacing w:val="40"/>
                <w:sz w:val="18"/>
              </w:rPr>
              <w:t xml:space="preserve"> </w:t>
            </w:r>
            <w:r>
              <w:rPr>
                <w:spacing w:val="-2"/>
                <w:sz w:val="18"/>
              </w:rPr>
              <w:t>2,252,986,230,154.00</w:t>
            </w:r>
          </w:p>
        </w:tc>
        <w:tc>
          <w:tcPr>
            <w:tcW w:w="2313" w:type="dxa"/>
            <w:tcBorders>
              <w:top w:val="single" w:sz="4" w:space="0" w:color="BEBEBE"/>
              <w:bottom w:val="single" w:sz="4" w:space="0" w:color="BEBEBE"/>
            </w:tcBorders>
          </w:tcPr>
          <w:p w14:paraId="5589E747" w14:textId="77777777" w:rsidR="00BC24A8" w:rsidRDefault="00000000">
            <w:pPr>
              <w:pStyle w:val="TableParagraph"/>
              <w:spacing w:before="56"/>
              <w:ind w:left="57" w:right="30"/>
              <w:jc w:val="center"/>
              <w:rPr>
                <w:sz w:val="18"/>
              </w:rPr>
            </w:pPr>
            <w:r>
              <w:rPr>
                <w:sz w:val="18"/>
              </w:rPr>
              <w:t>IDR</w:t>
            </w:r>
            <w:r>
              <w:rPr>
                <w:spacing w:val="40"/>
                <w:sz w:val="18"/>
              </w:rPr>
              <w:t xml:space="preserve"> </w:t>
            </w:r>
            <w:r>
              <w:rPr>
                <w:spacing w:val="-2"/>
                <w:sz w:val="18"/>
              </w:rPr>
              <w:t>2,147,048,958,844.00</w:t>
            </w:r>
          </w:p>
        </w:tc>
      </w:tr>
      <w:tr w:rsidR="00BC24A8" w14:paraId="28AA1F09" w14:textId="77777777">
        <w:trPr>
          <w:trHeight w:val="402"/>
        </w:trPr>
        <w:tc>
          <w:tcPr>
            <w:tcW w:w="3653" w:type="dxa"/>
            <w:tcBorders>
              <w:top w:val="single" w:sz="4" w:space="0" w:color="BEBEBE"/>
              <w:bottom w:val="single" w:sz="4" w:space="0" w:color="BEBEBE"/>
            </w:tcBorders>
          </w:tcPr>
          <w:p w14:paraId="44A4B724" w14:textId="77777777" w:rsidR="00BC24A8" w:rsidRDefault="00000000">
            <w:pPr>
              <w:pStyle w:val="TableParagraph"/>
              <w:spacing w:before="59"/>
              <w:ind w:left="115"/>
              <w:rPr>
                <w:sz w:val="18"/>
              </w:rPr>
            </w:pPr>
            <w:r>
              <w:rPr>
                <w:sz w:val="18"/>
              </w:rPr>
              <w:t>Capital</w:t>
            </w:r>
            <w:r>
              <w:rPr>
                <w:spacing w:val="-3"/>
                <w:sz w:val="18"/>
              </w:rPr>
              <w:t xml:space="preserve"> </w:t>
            </w:r>
            <w:r>
              <w:rPr>
                <w:spacing w:val="-2"/>
                <w:sz w:val="18"/>
              </w:rPr>
              <w:t>Expenditure</w:t>
            </w:r>
          </w:p>
        </w:tc>
        <w:tc>
          <w:tcPr>
            <w:tcW w:w="3041" w:type="dxa"/>
            <w:tcBorders>
              <w:top w:val="single" w:sz="4" w:space="0" w:color="BEBEBE"/>
              <w:bottom w:val="single" w:sz="4" w:space="0" w:color="BEBEBE"/>
            </w:tcBorders>
          </w:tcPr>
          <w:p w14:paraId="7E12AB14" w14:textId="77777777" w:rsidR="00BC24A8" w:rsidRDefault="00000000">
            <w:pPr>
              <w:pStyle w:val="TableParagraph"/>
              <w:tabs>
                <w:tab w:val="left" w:pos="453"/>
              </w:tabs>
              <w:spacing w:before="59"/>
              <w:ind w:right="222"/>
              <w:jc w:val="right"/>
              <w:rPr>
                <w:sz w:val="18"/>
              </w:rPr>
            </w:pPr>
            <w:r>
              <w:rPr>
                <w:spacing w:val="-5"/>
                <w:sz w:val="18"/>
              </w:rPr>
              <w:t>IDR</w:t>
            </w:r>
            <w:r>
              <w:rPr>
                <w:sz w:val="18"/>
              </w:rPr>
              <w:tab/>
            </w:r>
            <w:r>
              <w:rPr>
                <w:spacing w:val="-2"/>
                <w:sz w:val="18"/>
              </w:rPr>
              <w:t>524,358,964,787.00</w:t>
            </w:r>
          </w:p>
        </w:tc>
        <w:tc>
          <w:tcPr>
            <w:tcW w:w="2313" w:type="dxa"/>
            <w:tcBorders>
              <w:top w:val="single" w:sz="4" w:space="0" w:color="BEBEBE"/>
              <w:bottom w:val="single" w:sz="4" w:space="0" w:color="BEBEBE"/>
            </w:tcBorders>
          </w:tcPr>
          <w:p w14:paraId="2D3A17A7" w14:textId="77777777" w:rsidR="00BC24A8" w:rsidRDefault="00000000">
            <w:pPr>
              <w:pStyle w:val="TableParagraph"/>
              <w:tabs>
                <w:tab w:val="left" w:pos="466"/>
              </w:tabs>
              <w:spacing w:before="59"/>
              <w:ind w:left="13"/>
              <w:jc w:val="center"/>
              <w:rPr>
                <w:sz w:val="18"/>
              </w:rPr>
            </w:pPr>
            <w:r>
              <w:rPr>
                <w:spacing w:val="-5"/>
                <w:sz w:val="18"/>
              </w:rPr>
              <w:t>IDR</w:t>
            </w:r>
            <w:r>
              <w:rPr>
                <w:sz w:val="18"/>
              </w:rPr>
              <w:tab/>
            </w:r>
            <w:r>
              <w:rPr>
                <w:spacing w:val="-2"/>
                <w:sz w:val="18"/>
              </w:rPr>
              <w:t>471,386,467,634.00</w:t>
            </w:r>
          </w:p>
        </w:tc>
      </w:tr>
      <w:tr w:rsidR="00BC24A8" w14:paraId="5BC0819C" w14:textId="77777777">
        <w:trPr>
          <w:trHeight w:val="402"/>
        </w:trPr>
        <w:tc>
          <w:tcPr>
            <w:tcW w:w="3653" w:type="dxa"/>
            <w:tcBorders>
              <w:top w:val="single" w:sz="4" w:space="0" w:color="BEBEBE"/>
              <w:bottom w:val="single" w:sz="4" w:space="0" w:color="BEBEBE"/>
            </w:tcBorders>
          </w:tcPr>
          <w:p w14:paraId="21756D0B" w14:textId="77777777" w:rsidR="00BC24A8" w:rsidRDefault="00000000">
            <w:pPr>
              <w:pStyle w:val="TableParagraph"/>
              <w:spacing w:before="56"/>
              <w:ind w:left="115"/>
              <w:rPr>
                <w:sz w:val="18"/>
              </w:rPr>
            </w:pPr>
            <w:r>
              <w:rPr>
                <w:sz w:val="18"/>
              </w:rPr>
              <w:t>Contingency</w:t>
            </w:r>
            <w:r>
              <w:rPr>
                <w:spacing w:val="-3"/>
                <w:sz w:val="18"/>
              </w:rPr>
              <w:t xml:space="preserve"> </w:t>
            </w:r>
            <w:r>
              <w:rPr>
                <w:spacing w:val="-2"/>
                <w:sz w:val="18"/>
              </w:rPr>
              <w:t>Expenditure</w:t>
            </w:r>
          </w:p>
        </w:tc>
        <w:tc>
          <w:tcPr>
            <w:tcW w:w="3041" w:type="dxa"/>
            <w:tcBorders>
              <w:top w:val="single" w:sz="4" w:space="0" w:color="BEBEBE"/>
              <w:bottom w:val="single" w:sz="4" w:space="0" w:color="BEBEBE"/>
            </w:tcBorders>
          </w:tcPr>
          <w:p w14:paraId="30E5117E" w14:textId="77777777" w:rsidR="00BC24A8" w:rsidRDefault="00000000">
            <w:pPr>
              <w:pStyle w:val="TableParagraph"/>
              <w:tabs>
                <w:tab w:val="left" w:pos="535"/>
              </w:tabs>
              <w:spacing w:before="56"/>
              <w:ind w:right="232"/>
              <w:jc w:val="right"/>
              <w:rPr>
                <w:sz w:val="18"/>
              </w:rPr>
            </w:pPr>
            <w:r>
              <w:rPr>
                <w:spacing w:val="-5"/>
                <w:sz w:val="18"/>
              </w:rPr>
              <w:t>IDR</w:t>
            </w:r>
            <w:r>
              <w:rPr>
                <w:sz w:val="18"/>
              </w:rPr>
              <w:tab/>
            </w:r>
            <w:r>
              <w:rPr>
                <w:spacing w:val="-2"/>
                <w:sz w:val="18"/>
              </w:rPr>
              <w:t>11,520,581,274.00</w:t>
            </w:r>
          </w:p>
        </w:tc>
        <w:tc>
          <w:tcPr>
            <w:tcW w:w="2313" w:type="dxa"/>
            <w:tcBorders>
              <w:top w:val="single" w:sz="4" w:space="0" w:color="BEBEBE"/>
              <w:bottom w:val="single" w:sz="4" w:space="0" w:color="BEBEBE"/>
            </w:tcBorders>
          </w:tcPr>
          <w:p w14:paraId="5EDCE816" w14:textId="77777777" w:rsidR="00BC24A8" w:rsidRDefault="00000000">
            <w:pPr>
              <w:pStyle w:val="TableParagraph"/>
              <w:tabs>
                <w:tab w:val="left" w:pos="616"/>
              </w:tabs>
              <w:spacing w:before="56"/>
              <w:ind w:right="4"/>
              <w:jc w:val="center"/>
              <w:rPr>
                <w:sz w:val="18"/>
              </w:rPr>
            </w:pPr>
            <w:r>
              <w:rPr>
                <w:spacing w:val="-5"/>
                <w:sz w:val="18"/>
              </w:rPr>
              <w:t>IDR</w:t>
            </w:r>
            <w:r>
              <w:rPr>
                <w:sz w:val="18"/>
              </w:rPr>
              <w:tab/>
            </w:r>
            <w:r>
              <w:rPr>
                <w:spacing w:val="-2"/>
                <w:sz w:val="18"/>
              </w:rPr>
              <w:t>9,206,362,926.00</w:t>
            </w:r>
          </w:p>
        </w:tc>
      </w:tr>
      <w:tr w:rsidR="00BC24A8" w14:paraId="679CDD02" w14:textId="77777777">
        <w:trPr>
          <w:trHeight w:val="400"/>
        </w:trPr>
        <w:tc>
          <w:tcPr>
            <w:tcW w:w="3653" w:type="dxa"/>
            <w:tcBorders>
              <w:top w:val="single" w:sz="4" w:space="0" w:color="BEBEBE"/>
              <w:bottom w:val="single" w:sz="4" w:space="0" w:color="BEBEBE"/>
            </w:tcBorders>
          </w:tcPr>
          <w:p w14:paraId="033933EA" w14:textId="77777777" w:rsidR="00BC24A8" w:rsidRDefault="00000000">
            <w:pPr>
              <w:pStyle w:val="TableParagraph"/>
              <w:spacing w:before="56"/>
              <w:ind w:left="115"/>
              <w:rPr>
                <w:sz w:val="18"/>
              </w:rPr>
            </w:pPr>
            <w:r>
              <w:rPr>
                <w:sz w:val="18"/>
              </w:rPr>
              <w:t>Transfer</w:t>
            </w:r>
            <w:r>
              <w:rPr>
                <w:spacing w:val="-6"/>
                <w:sz w:val="18"/>
              </w:rPr>
              <w:t xml:space="preserve"> </w:t>
            </w:r>
            <w:r>
              <w:rPr>
                <w:spacing w:val="-2"/>
                <w:sz w:val="18"/>
              </w:rPr>
              <w:t>Expenditure</w:t>
            </w:r>
          </w:p>
        </w:tc>
        <w:tc>
          <w:tcPr>
            <w:tcW w:w="3041" w:type="dxa"/>
            <w:tcBorders>
              <w:top w:val="single" w:sz="4" w:space="0" w:color="BEBEBE"/>
              <w:bottom w:val="single" w:sz="4" w:space="0" w:color="BEBEBE"/>
            </w:tcBorders>
          </w:tcPr>
          <w:p w14:paraId="44893D3F" w14:textId="77777777" w:rsidR="00BC24A8" w:rsidRDefault="00000000">
            <w:pPr>
              <w:pStyle w:val="TableParagraph"/>
              <w:tabs>
                <w:tab w:val="left" w:pos="453"/>
              </w:tabs>
              <w:spacing w:before="56"/>
              <w:ind w:right="222"/>
              <w:jc w:val="right"/>
              <w:rPr>
                <w:sz w:val="18"/>
              </w:rPr>
            </w:pPr>
            <w:r>
              <w:rPr>
                <w:spacing w:val="-5"/>
                <w:sz w:val="18"/>
              </w:rPr>
              <w:t>IDR</w:t>
            </w:r>
            <w:r>
              <w:rPr>
                <w:sz w:val="18"/>
              </w:rPr>
              <w:tab/>
            </w:r>
            <w:r>
              <w:rPr>
                <w:spacing w:val="-2"/>
                <w:sz w:val="18"/>
              </w:rPr>
              <w:t>220,377,828,000.00</w:t>
            </w:r>
          </w:p>
        </w:tc>
        <w:tc>
          <w:tcPr>
            <w:tcW w:w="2313" w:type="dxa"/>
            <w:tcBorders>
              <w:top w:val="single" w:sz="4" w:space="0" w:color="BEBEBE"/>
              <w:bottom w:val="single" w:sz="4" w:space="0" w:color="BEBEBE"/>
            </w:tcBorders>
          </w:tcPr>
          <w:p w14:paraId="5FFF7E4B" w14:textId="77777777" w:rsidR="00BC24A8" w:rsidRDefault="00000000">
            <w:pPr>
              <w:pStyle w:val="TableParagraph"/>
              <w:tabs>
                <w:tab w:val="left" w:pos="466"/>
              </w:tabs>
              <w:spacing w:before="56"/>
              <w:ind w:left="13"/>
              <w:jc w:val="center"/>
              <w:rPr>
                <w:sz w:val="18"/>
              </w:rPr>
            </w:pPr>
            <w:r>
              <w:rPr>
                <w:spacing w:val="-5"/>
                <w:sz w:val="18"/>
              </w:rPr>
              <w:t>IDR</w:t>
            </w:r>
            <w:r>
              <w:rPr>
                <w:sz w:val="18"/>
              </w:rPr>
              <w:tab/>
            </w:r>
            <w:r>
              <w:rPr>
                <w:spacing w:val="-2"/>
                <w:sz w:val="18"/>
              </w:rPr>
              <w:t>138,283,282,000.00</w:t>
            </w:r>
          </w:p>
        </w:tc>
      </w:tr>
    </w:tbl>
    <w:p w14:paraId="07D786CC" w14:textId="77777777" w:rsidR="00BC24A8" w:rsidRDefault="00BC24A8">
      <w:pPr>
        <w:pStyle w:val="TableParagraph"/>
        <w:jc w:val="center"/>
        <w:rPr>
          <w:sz w:val="18"/>
        </w:rPr>
        <w:sectPr w:rsidR="00BC24A8">
          <w:pgSz w:w="11910" w:h="16840"/>
          <w:pgMar w:top="1360" w:right="850" w:bottom="1100" w:left="1275" w:header="0" w:footer="907" w:gutter="0"/>
          <w:cols w:space="720"/>
        </w:sectPr>
      </w:pPr>
    </w:p>
    <w:p w14:paraId="725AF741" w14:textId="77777777" w:rsidR="00BC24A8" w:rsidRDefault="00BC24A8">
      <w:pPr>
        <w:pStyle w:val="BodyText"/>
        <w:spacing w:before="3"/>
        <w:rPr>
          <w:rFonts w:ascii="Calibri"/>
          <w:b/>
          <w:sz w:val="2"/>
        </w:rPr>
      </w:pPr>
    </w:p>
    <w:tbl>
      <w:tblPr>
        <w:tblW w:w="0" w:type="auto"/>
        <w:tblInd w:w="143" w:type="dxa"/>
        <w:tblLayout w:type="fixed"/>
        <w:tblCellMar>
          <w:left w:w="0" w:type="dxa"/>
          <w:right w:w="0" w:type="dxa"/>
        </w:tblCellMar>
        <w:tblLook w:val="01E0" w:firstRow="1" w:lastRow="1" w:firstColumn="1" w:lastColumn="1" w:noHBand="0" w:noVBand="0"/>
      </w:tblPr>
      <w:tblGrid>
        <w:gridCol w:w="3144"/>
        <w:gridCol w:w="3543"/>
        <w:gridCol w:w="2320"/>
      </w:tblGrid>
      <w:tr w:rsidR="00BC24A8" w14:paraId="15662922" w14:textId="77777777">
        <w:trPr>
          <w:trHeight w:val="307"/>
        </w:trPr>
        <w:tc>
          <w:tcPr>
            <w:tcW w:w="3144" w:type="dxa"/>
            <w:tcBorders>
              <w:bottom w:val="single" w:sz="4" w:space="0" w:color="BEBEBE"/>
            </w:tcBorders>
          </w:tcPr>
          <w:p w14:paraId="26CC6CD4" w14:textId="77777777" w:rsidR="00BC24A8" w:rsidRDefault="00000000">
            <w:pPr>
              <w:pStyle w:val="TableParagraph"/>
              <w:spacing w:line="183" w:lineRule="exact"/>
              <w:ind w:left="115"/>
              <w:rPr>
                <w:sz w:val="18"/>
              </w:rPr>
            </w:pPr>
            <w:r>
              <w:rPr>
                <w:sz w:val="18"/>
              </w:rPr>
              <w:t>Regional</w:t>
            </w:r>
            <w:r>
              <w:rPr>
                <w:spacing w:val="-2"/>
                <w:sz w:val="18"/>
              </w:rPr>
              <w:t xml:space="preserve"> Financing</w:t>
            </w:r>
          </w:p>
        </w:tc>
        <w:tc>
          <w:tcPr>
            <w:tcW w:w="3543" w:type="dxa"/>
            <w:tcBorders>
              <w:bottom w:val="single" w:sz="4" w:space="0" w:color="BEBEBE"/>
            </w:tcBorders>
          </w:tcPr>
          <w:p w14:paraId="0B77D05E" w14:textId="77777777" w:rsidR="00BC24A8" w:rsidRDefault="00000000">
            <w:pPr>
              <w:pStyle w:val="TableParagraph"/>
              <w:spacing w:line="183" w:lineRule="exact"/>
              <w:ind w:right="256"/>
              <w:jc w:val="right"/>
              <w:rPr>
                <w:sz w:val="18"/>
              </w:rPr>
            </w:pPr>
            <w:r>
              <w:rPr>
                <w:sz w:val="18"/>
              </w:rPr>
              <w:t>IDR</w:t>
            </w:r>
            <w:r>
              <w:rPr>
                <w:spacing w:val="40"/>
                <w:sz w:val="18"/>
              </w:rPr>
              <w:t xml:space="preserve">  </w:t>
            </w:r>
            <w:r>
              <w:rPr>
                <w:spacing w:val="-2"/>
                <w:sz w:val="18"/>
              </w:rPr>
              <w:t>300,000,000,000.00</w:t>
            </w:r>
          </w:p>
        </w:tc>
        <w:tc>
          <w:tcPr>
            <w:tcW w:w="2320" w:type="dxa"/>
            <w:tcBorders>
              <w:bottom w:val="single" w:sz="4" w:space="0" w:color="BEBEBE"/>
            </w:tcBorders>
          </w:tcPr>
          <w:p w14:paraId="0E816757" w14:textId="77777777" w:rsidR="00BC24A8" w:rsidRDefault="00000000">
            <w:pPr>
              <w:pStyle w:val="TableParagraph"/>
              <w:spacing w:line="183" w:lineRule="exact"/>
              <w:ind w:left="20" w:right="38"/>
              <w:jc w:val="center"/>
              <w:rPr>
                <w:sz w:val="18"/>
              </w:rPr>
            </w:pPr>
            <w:r>
              <w:rPr>
                <w:sz w:val="18"/>
              </w:rPr>
              <w:t>IDR</w:t>
            </w:r>
            <w:r>
              <w:rPr>
                <w:spacing w:val="40"/>
                <w:sz w:val="18"/>
              </w:rPr>
              <w:t xml:space="preserve">  </w:t>
            </w:r>
            <w:r>
              <w:rPr>
                <w:spacing w:val="-2"/>
                <w:sz w:val="18"/>
              </w:rPr>
              <w:t>205,407,551,538.00</w:t>
            </w:r>
          </w:p>
        </w:tc>
      </w:tr>
      <w:tr w:rsidR="00BC24A8" w14:paraId="14C74203" w14:textId="77777777">
        <w:trPr>
          <w:trHeight w:val="402"/>
        </w:trPr>
        <w:tc>
          <w:tcPr>
            <w:tcW w:w="3144" w:type="dxa"/>
            <w:tcBorders>
              <w:top w:val="single" w:sz="4" w:space="0" w:color="BEBEBE"/>
              <w:bottom w:val="single" w:sz="4" w:space="0" w:color="BEBEBE"/>
            </w:tcBorders>
          </w:tcPr>
          <w:p w14:paraId="0B44BD7E" w14:textId="77777777" w:rsidR="00BC24A8" w:rsidRDefault="00000000">
            <w:pPr>
              <w:pStyle w:val="TableParagraph"/>
              <w:spacing w:before="59"/>
              <w:ind w:left="115"/>
              <w:rPr>
                <w:sz w:val="18"/>
              </w:rPr>
            </w:pPr>
            <w:r>
              <w:rPr>
                <w:sz w:val="18"/>
              </w:rPr>
              <w:t>Financing</w:t>
            </w:r>
            <w:r>
              <w:rPr>
                <w:spacing w:val="1"/>
                <w:sz w:val="18"/>
              </w:rPr>
              <w:t xml:space="preserve"> </w:t>
            </w:r>
            <w:r>
              <w:rPr>
                <w:spacing w:val="-2"/>
                <w:sz w:val="18"/>
              </w:rPr>
              <w:t>Receipts</w:t>
            </w:r>
          </w:p>
        </w:tc>
        <w:tc>
          <w:tcPr>
            <w:tcW w:w="3543" w:type="dxa"/>
            <w:tcBorders>
              <w:top w:val="single" w:sz="4" w:space="0" w:color="BEBEBE"/>
              <w:bottom w:val="single" w:sz="4" w:space="0" w:color="BEBEBE"/>
            </w:tcBorders>
          </w:tcPr>
          <w:p w14:paraId="672650D4" w14:textId="77777777" w:rsidR="00BC24A8" w:rsidRDefault="00000000">
            <w:pPr>
              <w:pStyle w:val="TableParagraph"/>
              <w:tabs>
                <w:tab w:val="left" w:pos="453"/>
              </w:tabs>
              <w:spacing w:before="59"/>
              <w:ind w:right="215"/>
              <w:jc w:val="right"/>
              <w:rPr>
                <w:sz w:val="18"/>
              </w:rPr>
            </w:pPr>
            <w:r>
              <w:rPr>
                <w:spacing w:val="-5"/>
                <w:sz w:val="18"/>
              </w:rPr>
              <w:t>IDR</w:t>
            </w:r>
            <w:r>
              <w:rPr>
                <w:sz w:val="18"/>
              </w:rPr>
              <w:tab/>
            </w:r>
            <w:r>
              <w:rPr>
                <w:spacing w:val="-2"/>
                <w:sz w:val="18"/>
              </w:rPr>
              <w:t>285,000,000,000.00</w:t>
            </w:r>
          </w:p>
        </w:tc>
        <w:tc>
          <w:tcPr>
            <w:tcW w:w="2320" w:type="dxa"/>
            <w:tcBorders>
              <w:top w:val="single" w:sz="4" w:space="0" w:color="BEBEBE"/>
              <w:bottom w:val="single" w:sz="4" w:space="0" w:color="BEBEBE"/>
            </w:tcBorders>
          </w:tcPr>
          <w:p w14:paraId="43F7CED9" w14:textId="77777777" w:rsidR="00BC24A8" w:rsidRDefault="00000000">
            <w:pPr>
              <w:pStyle w:val="TableParagraph"/>
              <w:tabs>
                <w:tab w:val="left" w:pos="473"/>
              </w:tabs>
              <w:spacing w:before="59"/>
              <w:ind w:left="20"/>
              <w:jc w:val="center"/>
              <w:rPr>
                <w:sz w:val="18"/>
              </w:rPr>
            </w:pPr>
            <w:r>
              <w:rPr>
                <w:spacing w:val="-5"/>
                <w:sz w:val="18"/>
              </w:rPr>
              <w:t>IDR</w:t>
            </w:r>
            <w:r>
              <w:rPr>
                <w:sz w:val="18"/>
              </w:rPr>
              <w:tab/>
            </w:r>
            <w:r>
              <w:rPr>
                <w:spacing w:val="-2"/>
                <w:sz w:val="18"/>
              </w:rPr>
              <w:t>195,407,551,538.00</w:t>
            </w:r>
          </w:p>
        </w:tc>
      </w:tr>
      <w:tr w:rsidR="00BC24A8" w14:paraId="647D42CD" w14:textId="77777777">
        <w:trPr>
          <w:trHeight w:val="402"/>
        </w:trPr>
        <w:tc>
          <w:tcPr>
            <w:tcW w:w="3144" w:type="dxa"/>
            <w:tcBorders>
              <w:top w:val="single" w:sz="4" w:space="0" w:color="BEBEBE"/>
              <w:bottom w:val="single" w:sz="4" w:space="0" w:color="BEBEBE"/>
            </w:tcBorders>
          </w:tcPr>
          <w:p w14:paraId="3B3C2523" w14:textId="77777777" w:rsidR="00BC24A8" w:rsidRDefault="00000000">
            <w:pPr>
              <w:pStyle w:val="TableParagraph"/>
              <w:spacing w:before="56"/>
              <w:ind w:left="115"/>
              <w:rPr>
                <w:sz w:val="18"/>
              </w:rPr>
            </w:pPr>
            <w:r>
              <w:rPr>
                <w:sz w:val="18"/>
              </w:rPr>
              <w:t>Financing</w:t>
            </w:r>
            <w:r>
              <w:rPr>
                <w:spacing w:val="-3"/>
                <w:sz w:val="18"/>
              </w:rPr>
              <w:t xml:space="preserve"> </w:t>
            </w:r>
            <w:r>
              <w:rPr>
                <w:spacing w:val="-2"/>
                <w:sz w:val="18"/>
              </w:rPr>
              <w:t>Expenditure</w:t>
            </w:r>
          </w:p>
        </w:tc>
        <w:tc>
          <w:tcPr>
            <w:tcW w:w="3543" w:type="dxa"/>
            <w:tcBorders>
              <w:top w:val="single" w:sz="4" w:space="0" w:color="BEBEBE"/>
              <w:bottom w:val="single" w:sz="4" w:space="0" w:color="BEBEBE"/>
            </w:tcBorders>
          </w:tcPr>
          <w:p w14:paraId="0D698476" w14:textId="77777777" w:rsidR="00BC24A8" w:rsidRDefault="00000000">
            <w:pPr>
              <w:pStyle w:val="TableParagraph"/>
              <w:tabs>
                <w:tab w:val="left" w:pos="535"/>
              </w:tabs>
              <w:spacing w:before="56"/>
              <w:ind w:right="225"/>
              <w:jc w:val="right"/>
              <w:rPr>
                <w:sz w:val="18"/>
              </w:rPr>
            </w:pPr>
            <w:r>
              <w:rPr>
                <w:spacing w:val="-5"/>
                <w:sz w:val="18"/>
              </w:rPr>
              <w:t>IDR</w:t>
            </w:r>
            <w:r>
              <w:rPr>
                <w:sz w:val="18"/>
              </w:rPr>
              <w:tab/>
            </w:r>
            <w:r>
              <w:rPr>
                <w:spacing w:val="-2"/>
                <w:sz w:val="18"/>
              </w:rPr>
              <w:t>15,000,000,000.00</w:t>
            </w:r>
          </w:p>
        </w:tc>
        <w:tc>
          <w:tcPr>
            <w:tcW w:w="2320" w:type="dxa"/>
            <w:tcBorders>
              <w:top w:val="single" w:sz="4" w:space="0" w:color="BEBEBE"/>
              <w:bottom w:val="single" w:sz="4" w:space="0" w:color="BEBEBE"/>
            </w:tcBorders>
          </w:tcPr>
          <w:p w14:paraId="240B670E" w14:textId="77777777" w:rsidR="00BC24A8" w:rsidRDefault="00000000">
            <w:pPr>
              <w:pStyle w:val="TableParagraph"/>
              <w:tabs>
                <w:tab w:val="left" w:pos="545"/>
              </w:tabs>
              <w:spacing w:before="56"/>
              <w:ind w:left="10"/>
              <w:jc w:val="center"/>
              <w:rPr>
                <w:sz w:val="18"/>
              </w:rPr>
            </w:pPr>
            <w:r>
              <w:rPr>
                <w:spacing w:val="-5"/>
                <w:sz w:val="18"/>
              </w:rPr>
              <w:t>IDR</w:t>
            </w:r>
            <w:r>
              <w:rPr>
                <w:sz w:val="18"/>
              </w:rPr>
              <w:tab/>
            </w:r>
            <w:r>
              <w:rPr>
                <w:spacing w:val="-2"/>
                <w:sz w:val="18"/>
              </w:rPr>
              <w:t>10,000,000,000.00</w:t>
            </w:r>
          </w:p>
        </w:tc>
      </w:tr>
    </w:tbl>
    <w:p w14:paraId="34788D96" w14:textId="77777777" w:rsidR="00BC24A8" w:rsidRDefault="00000000">
      <w:pPr>
        <w:spacing w:before="6"/>
        <w:ind w:left="179"/>
        <w:rPr>
          <w:sz w:val="16"/>
        </w:rPr>
      </w:pPr>
      <w:r>
        <w:rPr>
          <w:sz w:val="16"/>
        </w:rPr>
        <w:t>Data</w:t>
      </w:r>
      <w:r>
        <w:rPr>
          <w:spacing w:val="-8"/>
          <w:sz w:val="16"/>
        </w:rPr>
        <w:t xml:space="preserve"> </w:t>
      </w:r>
      <w:r>
        <w:rPr>
          <w:sz w:val="16"/>
        </w:rPr>
        <w:t>source:</w:t>
      </w:r>
      <w:r>
        <w:rPr>
          <w:spacing w:val="-5"/>
          <w:sz w:val="16"/>
        </w:rPr>
        <w:t xml:space="preserve"> </w:t>
      </w:r>
      <w:hyperlink r:id="rId61">
        <w:r w:rsidR="00BC24A8">
          <w:rPr>
            <w:color w:val="0562C1"/>
            <w:spacing w:val="-2"/>
            <w:sz w:val="16"/>
            <w:u w:val="single" w:color="0562C1"/>
          </w:rPr>
          <w:t>https://djpk.kemenkeu.go.id/</w:t>
        </w:r>
      </w:hyperlink>
    </w:p>
    <w:p w14:paraId="0FDC888A" w14:textId="77777777" w:rsidR="00BC24A8" w:rsidRDefault="00BC24A8">
      <w:pPr>
        <w:pStyle w:val="BodyText"/>
        <w:spacing w:before="74"/>
      </w:pPr>
    </w:p>
    <w:p w14:paraId="1A6ECFD5" w14:textId="77777777" w:rsidR="00BC24A8" w:rsidRDefault="00000000">
      <w:pPr>
        <w:pStyle w:val="BodyText"/>
        <w:spacing w:line="278" w:lineRule="auto"/>
        <w:ind w:left="143" w:right="565"/>
        <w:jc w:val="both"/>
      </w:pPr>
      <w:r>
        <w:t>Papua Province’s APBD for the 2022–2024 fiscal years decreased by 5.79% due to reduced regional revenue</w:t>
      </w:r>
      <w:r>
        <w:rPr>
          <w:spacing w:val="-10"/>
        </w:rPr>
        <w:t xml:space="preserve"> </w:t>
      </w:r>
      <w:r>
        <w:t>and</w:t>
      </w:r>
      <w:r>
        <w:rPr>
          <w:spacing w:val="-11"/>
        </w:rPr>
        <w:t xml:space="preserve"> </w:t>
      </w:r>
      <w:r>
        <w:t>transfer</w:t>
      </w:r>
      <w:r>
        <w:rPr>
          <w:spacing w:val="-8"/>
        </w:rPr>
        <w:t xml:space="preserve"> </w:t>
      </w:r>
      <w:r>
        <w:t>income,</w:t>
      </w:r>
      <w:r>
        <w:rPr>
          <w:spacing w:val="-8"/>
        </w:rPr>
        <w:t xml:space="preserve"> </w:t>
      </w:r>
      <w:r>
        <w:t>although</w:t>
      </w:r>
      <w:r>
        <w:rPr>
          <w:spacing w:val="-11"/>
        </w:rPr>
        <w:t xml:space="preserve"> </w:t>
      </w:r>
      <w:r>
        <w:t>other</w:t>
      </w:r>
      <w:r>
        <w:rPr>
          <w:spacing w:val="-8"/>
        </w:rPr>
        <w:t xml:space="preserve"> </w:t>
      </w:r>
      <w:r>
        <w:t>revenue</w:t>
      </w:r>
      <w:r>
        <w:rPr>
          <w:spacing w:val="-10"/>
        </w:rPr>
        <w:t xml:space="preserve"> </w:t>
      </w:r>
      <w:r>
        <w:t>items</w:t>
      </w:r>
      <w:r>
        <w:rPr>
          <w:spacing w:val="-8"/>
        </w:rPr>
        <w:t xml:space="preserve"> </w:t>
      </w:r>
      <w:r>
        <w:t>showed</w:t>
      </w:r>
      <w:r>
        <w:rPr>
          <w:spacing w:val="-11"/>
        </w:rPr>
        <w:t xml:space="preserve"> </w:t>
      </w:r>
      <w:r>
        <w:t>slight</w:t>
      </w:r>
      <w:r>
        <w:rPr>
          <w:spacing w:val="-9"/>
        </w:rPr>
        <w:t xml:space="preserve"> </w:t>
      </w:r>
      <w:r>
        <w:t>increases.</w:t>
      </w:r>
      <w:r>
        <w:rPr>
          <w:spacing w:val="-8"/>
        </w:rPr>
        <w:t xml:space="preserve"> </w:t>
      </w:r>
      <w:r>
        <w:t>Transfer</w:t>
      </w:r>
      <w:r>
        <w:rPr>
          <w:spacing w:val="-8"/>
        </w:rPr>
        <w:t xml:space="preserve"> </w:t>
      </w:r>
      <w:r>
        <w:t>revenues accounted for the largest proportion, ranging from 79.35% to 79.98% of total regional revenue.</w:t>
      </w:r>
    </w:p>
    <w:p w14:paraId="2827CC9D" w14:textId="77777777" w:rsidR="00BC24A8" w:rsidRDefault="00BC24A8">
      <w:pPr>
        <w:pStyle w:val="BodyText"/>
        <w:spacing w:before="201"/>
      </w:pPr>
    </w:p>
    <w:p w14:paraId="19E15949" w14:textId="77777777" w:rsidR="00BC24A8" w:rsidRDefault="00000000">
      <w:pPr>
        <w:ind w:left="143"/>
        <w:rPr>
          <w:rFonts w:ascii="Calibri"/>
          <w:i/>
        </w:rPr>
      </w:pPr>
      <w:bookmarkStart w:id="246" w:name="Dynamics_shaping_SKALA_program_implement"/>
      <w:bookmarkEnd w:id="246"/>
      <w:r>
        <w:rPr>
          <w:rFonts w:ascii="Calibri"/>
          <w:i/>
          <w:color w:val="272727"/>
        </w:rPr>
        <w:t>Dynamics</w:t>
      </w:r>
      <w:r>
        <w:rPr>
          <w:rFonts w:ascii="Calibri"/>
          <w:i/>
          <w:color w:val="272727"/>
          <w:spacing w:val="-6"/>
        </w:rPr>
        <w:t xml:space="preserve"> </w:t>
      </w:r>
      <w:r>
        <w:rPr>
          <w:rFonts w:ascii="Calibri"/>
          <w:i/>
          <w:color w:val="272727"/>
        </w:rPr>
        <w:t>shaping</w:t>
      </w:r>
      <w:r>
        <w:rPr>
          <w:rFonts w:ascii="Calibri"/>
          <w:i/>
          <w:color w:val="272727"/>
          <w:spacing w:val="-6"/>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6"/>
        </w:rPr>
        <w:t xml:space="preserve"> </w:t>
      </w:r>
      <w:r>
        <w:rPr>
          <w:rFonts w:ascii="Calibri"/>
          <w:i/>
          <w:color w:val="272727"/>
          <w:spacing w:val="-2"/>
        </w:rPr>
        <w:t>implementation</w:t>
      </w:r>
    </w:p>
    <w:p w14:paraId="752B0C79" w14:textId="77777777" w:rsidR="00BC24A8" w:rsidRDefault="00000000">
      <w:pPr>
        <w:pStyle w:val="BodyText"/>
        <w:spacing w:before="22" w:line="278" w:lineRule="auto"/>
        <w:ind w:left="143" w:right="563"/>
        <w:jc w:val="both"/>
      </w:pPr>
      <w:r>
        <w:t>Entering mid-2025, Papua</w:t>
      </w:r>
      <w:r>
        <w:rPr>
          <w:spacing w:val="-1"/>
        </w:rPr>
        <w:t xml:space="preserve"> </w:t>
      </w:r>
      <w:r>
        <w:t>conducted a</w:t>
      </w:r>
      <w:r>
        <w:rPr>
          <w:spacing w:val="-1"/>
        </w:rPr>
        <w:t xml:space="preserve"> </w:t>
      </w:r>
      <w:r>
        <w:t>repeat</w:t>
      </w:r>
      <w:r>
        <w:rPr>
          <w:spacing w:val="-1"/>
        </w:rPr>
        <w:t xml:space="preserve"> </w:t>
      </w:r>
      <w:r>
        <w:t>vote</w:t>
      </w:r>
      <w:r>
        <w:rPr>
          <w:spacing w:val="-1"/>
        </w:rPr>
        <w:t xml:space="preserve"> </w:t>
      </w:r>
      <w:r>
        <w:t>for</w:t>
      </w:r>
      <w:r>
        <w:rPr>
          <w:spacing w:val="-2"/>
        </w:rPr>
        <w:t xml:space="preserve"> </w:t>
      </w:r>
      <w:r>
        <w:t>the</w:t>
      </w:r>
      <w:r>
        <w:rPr>
          <w:spacing w:val="-1"/>
        </w:rPr>
        <w:t xml:space="preserve"> </w:t>
      </w:r>
      <w:r>
        <w:t>regional</w:t>
      </w:r>
      <w:r>
        <w:rPr>
          <w:spacing w:val="-1"/>
        </w:rPr>
        <w:t xml:space="preserve"> </w:t>
      </w:r>
      <w:r>
        <w:t>head election. This repeat</w:t>
      </w:r>
      <w:r>
        <w:rPr>
          <w:spacing w:val="-1"/>
        </w:rPr>
        <w:t xml:space="preserve"> </w:t>
      </w:r>
      <w:r>
        <w:t>election incurred</w:t>
      </w:r>
      <w:r>
        <w:rPr>
          <w:spacing w:val="-13"/>
        </w:rPr>
        <w:t xml:space="preserve"> </w:t>
      </w:r>
      <w:r>
        <w:t>substantial</w:t>
      </w:r>
      <w:r>
        <w:rPr>
          <w:spacing w:val="-12"/>
        </w:rPr>
        <w:t xml:space="preserve"> </w:t>
      </w:r>
      <w:r>
        <w:t>costs</w:t>
      </w:r>
      <w:r>
        <w:rPr>
          <w:spacing w:val="-13"/>
        </w:rPr>
        <w:t xml:space="preserve"> </w:t>
      </w:r>
      <w:r>
        <w:t>from</w:t>
      </w:r>
      <w:r>
        <w:rPr>
          <w:spacing w:val="-12"/>
        </w:rPr>
        <w:t xml:space="preserve"> </w:t>
      </w:r>
      <w:r>
        <w:t>the</w:t>
      </w:r>
      <w:r>
        <w:rPr>
          <w:spacing w:val="-13"/>
        </w:rPr>
        <w:t xml:space="preserve"> </w:t>
      </w:r>
      <w:r>
        <w:t>regional</w:t>
      </w:r>
      <w:r>
        <w:rPr>
          <w:spacing w:val="-12"/>
        </w:rPr>
        <w:t xml:space="preserve"> </w:t>
      </w:r>
      <w:r>
        <w:t>budget,</w:t>
      </w:r>
      <w:r>
        <w:rPr>
          <w:spacing w:val="-13"/>
        </w:rPr>
        <w:t xml:space="preserve"> </w:t>
      </w:r>
      <w:r>
        <w:t>in</w:t>
      </w:r>
      <w:r>
        <w:rPr>
          <w:spacing w:val="-12"/>
        </w:rPr>
        <w:t xml:space="preserve"> </w:t>
      </w:r>
      <w:r>
        <w:t>addition</w:t>
      </w:r>
      <w:r>
        <w:rPr>
          <w:spacing w:val="-12"/>
        </w:rPr>
        <w:t xml:space="preserve"> </w:t>
      </w:r>
      <w:r>
        <w:t>to</w:t>
      </w:r>
      <w:r>
        <w:rPr>
          <w:spacing w:val="-13"/>
        </w:rPr>
        <w:t xml:space="preserve"> </w:t>
      </w:r>
      <w:r>
        <w:t>the</w:t>
      </w:r>
      <w:r>
        <w:rPr>
          <w:spacing w:val="-12"/>
        </w:rPr>
        <w:t xml:space="preserve"> </w:t>
      </w:r>
      <w:r>
        <w:t>obligation</w:t>
      </w:r>
      <w:r>
        <w:rPr>
          <w:spacing w:val="-13"/>
        </w:rPr>
        <w:t xml:space="preserve"> </w:t>
      </w:r>
      <w:r>
        <w:t>to</w:t>
      </w:r>
      <w:r>
        <w:rPr>
          <w:spacing w:val="-12"/>
        </w:rPr>
        <w:t xml:space="preserve"> </w:t>
      </w:r>
      <w:r>
        <w:t>cover</w:t>
      </w:r>
      <w:r>
        <w:rPr>
          <w:spacing w:val="-13"/>
        </w:rPr>
        <w:t xml:space="preserve"> </w:t>
      </w:r>
      <w:r>
        <w:t>over</w:t>
      </w:r>
      <w:r>
        <w:rPr>
          <w:spacing w:val="-12"/>
        </w:rPr>
        <w:t xml:space="preserve"> </w:t>
      </w:r>
      <w:r>
        <w:t>3,000</w:t>
      </w:r>
      <w:r>
        <w:rPr>
          <w:spacing w:val="-12"/>
        </w:rPr>
        <w:t xml:space="preserve"> </w:t>
      </w:r>
      <w:r>
        <w:t>civil servants who should have been funded by the proposed new autonomous region (DOB). Central government policies on</w:t>
      </w:r>
      <w:r>
        <w:rPr>
          <w:spacing w:val="-1"/>
        </w:rPr>
        <w:t xml:space="preserve"> </w:t>
      </w:r>
      <w:r>
        <w:t>budget efficiency during the leadership transition increased various pressures, particularly related to financing.</w:t>
      </w:r>
    </w:p>
    <w:p w14:paraId="0F8A7EB0" w14:textId="77777777" w:rsidR="00BC24A8" w:rsidRDefault="00000000">
      <w:pPr>
        <w:pStyle w:val="BodyText"/>
        <w:spacing w:before="156" w:line="278" w:lineRule="auto"/>
        <w:ind w:left="143" w:right="563"/>
        <w:jc w:val="both"/>
      </w:pPr>
      <w:r>
        <w:t xml:space="preserve">These situation has delayed the preparation of the nal Medium-Term Development Plan (RPJMD) and </w:t>
      </w:r>
      <w:r>
        <w:rPr>
          <w:spacing w:val="-2"/>
        </w:rPr>
        <w:t>lowered the</w:t>
      </w:r>
      <w:r>
        <w:rPr>
          <w:spacing w:val="-4"/>
        </w:rPr>
        <w:t xml:space="preserve"> </w:t>
      </w:r>
      <w:r>
        <w:rPr>
          <w:spacing w:val="-2"/>
        </w:rPr>
        <w:t>priority of</w:t>
      </w:r>
      <w:r>
        <w:rPr>
          <w:spacing w:val="-6"/>
        </w:rPr>
        <w:t xml:space="preserve"> </w:t>
      </w:r>
      <w:r>
        <w:rPr>
          <w:spacing w:val="-2"/>
        </w:rPr>
        <w:t>several</w:t>
      </w:r>
      <w:r>
        <w:rPr>
          <w:spacing w:val="-3"/>
        </w:rPr>
        <w:t xml:space="preserve"> </w:t>
      </w:r>
      <w:r>
        <w:rPr>
          <w:spacing w:val="-2"/>
        </w:rPr>
        <w:t>activities supported by</w:t>
      </w:r>
      <w:r>
        <w:rPr>
          <w:spacing w:val="-4"/>
        </w:rPr>
        <w:t xml:space="preserve"> </w:t>
      </w:r>
      <w:r>
        <w:rPr>
          <w:spacing w:val="-2"/>
        </w:rPr>
        <w:t>SKALA.</w:t>
      </w:r>
      <w:r>
        <w:rPr>
          <w:spacing w:val="-4"/>
        </w:rPr>
        <w:t xml:space="preserve"> </w:t>
      </w:r>
      <w:r>
        <w:rPr>
          <w:spacing w:val="-2"/>
        </w:rPr>
        <w:t>For</w:t>
      </w:r>
      <w:r>
        <w:rPr>
          <w:spacing w:val="-4"/>
        </w:rPr>
        <w:t xml:space="preserve"> </w:t>
      </w:r>
      <w:r>
        <w:rPr>
          <w:spacing w:val="-2"/>
        </w:rPr>
        <w:t>example, the</w:t>
      </w:r>
      <w:r>
        <w:rPr>
          <w:spacing w:val="-4"/>
        </w:rPr>
        <w:t xml:space="preserve"> </w:t>
      </w:r>
      <w:r>
        <w:rPr>
          <w:spacing w:val="-2"/>
        </w:rPr>
        <w:t>One</w:t>
      </w:r>
      <w:r>
        <w:rPr>
          <w:spacing w:val="-6"/>
        </w:rPr>
        <w:t xml:space="preserve"> </w:t>
      </w:r>
      <w:r>
        <w:rPr>
          <w:spacing w:val="-2"/>
        </w:rPr>
        <w:t>Data</w:t>
      </w:r>
      <w:r>
        <w:rPr>
          <w:spacing w:val="-3"/>
        </w:rPr>
        <w:t xml:space="preserve"> </w:t>
      </w:r>
      <w:r>
        <w:rPr>
          <w:spacing w:val="-2"/>
        </w:rPr>
        <w:t xml:space="preserve">Forum activities </w:t>
      </w:r>
      <w:r>
        <w:t>were postponed, while new requests for support emerged, such as elaborating the Special Autonomy (</w:t>
      </w:r>
      <w:r>
        <w:rPr>
          <w:i/>
        </w:rPr>
        <w:t>Otsus</w:t>
      </w:r>
      <w:r>
        <w:t>) governance.</w:t>
      </w:r>
    </w:p>
    <w:p w14:paraId="4F2ADBCF" w14:textId="77777777" w:rsidR="00BC24A8" w:rsidRDefault="00000000">
      <w:pPr>
        <w:pStyle w:val="BodyText"/>
        <w:spacing w:before="157" w:line="278" w:lineRule="auto"/>
        <w:ind w:left="143" w:right="564"/>
        <w:jc w:val="both"/>
      </w:pPr>
      <w:r>
        <w:t>SKALA was</w:t>
      </w:r>
      <w:r>
        <w:rPr>
          <w:spacing w:val="-1"/>
        </w:rPr>
        <w:t xml:space="preserve"> </w:t>
      </w:r>
      <w:r>
        <w:t>also forced to</w:t>
      </w:r>
      <w:r>
        <w:rPr>
          <w:spacing w:val="-2"/>
        </w:rPr>
        <w:t xml:space="preserve"> </w:t>
      </w:r>
      <w:r>
        <w:t>adjust</w:t>
      </w:r>
      <w:r>
        <w:rPr>
          <w:spacing w:val="-1"/>
        </w:rPr>
        <w:t xml:space="preserve"> </w:t>
      </w:r>
      <w:r>
        <w:t>its</w:t>
      </w:r>
      <w:r>
        <w:rPr>
          <w:spacing w:val="-1"/>
        </w:rPr>
        <w:t xml:space="preserve"> </w:t>
      </w:r>
      <w:r>
        <w:t>support</w:t>
      </w:r>
      <w:r>
        <w:rPr>
          <w:spacing w:val="-1"/>
        </w:rPr>
        <w:t xml:space="preserve"> </w:t>
      </w:r>
      <w:r>
        <w:t>for the</w:t>
      </w:r>
      <w:r>
        <w:rPr>
          <w:spacing w:val="-4"/>
        </w:rPr>
        <w:t xml:space="preserve"> </w:t>
      </w:r>
      <w:r>
        <w:t>preparation</w:t>
      </w:r>
      <w:r>
        <w:rPr>
          <w:spacing w:val="-2"/>
        </w:rPr>
        <w:t xml:space="preserve"> </w:t>
      </w:r>
      <w:r>
        <w:t>of</w:t>
      </w:r>
      <w:r>
        <w:rPr>
          <w:spacing w:val="-1"/>
        </w:rPr>
        <w:t xml:space="preserve"> </w:t>
      </w:r>
      <w:r>
        <w:t>the</w:t>
      </w:r>
      <w:r>
        <w:rPr>
          <w:spacing w:val="-1"/>
        </w:rPr>
        <w:t xml:space="preserve"> </w:t>
      </w:r>
      <w:r>
        <w:t>Regional</w:t>
      </w:r>
      <w:r>
        <w:rPr>
          <w:spacing w:val="-1"/>
        </w:rPr>
        <w:t xml:space="preserve"> </w:t>
      </w:r>
      <w:r>
        <w:t>Government</w:t>
      </w:r>
      <w:r>
        <w:rPr>
          <w:spacing w:val="-1"/>
        </w:rPr>
        <w:t xml:space="preserve"> </w:t>
      </w:r>
      <w:r>
        <w:t>Work</w:t>
      </w:r>
      <w:r>
        <w:rPr>
          <w:spacing w:val="-1"/>
        </w:rPr>
        <w:t xml:space="preserve"> </w:t>
      </w:r>
      <w:r>
        <w:t>Plan (RKPD) due to delays in the issuance of RKPD guidelines from the Ministry of Home Affairs (MoHA), changes</w:t>
      </w:r>
      <w:r>
        <w:rPr>
          <w:spacing w:val="-13"/>
        </w:rPr>
        <w:t xml:space="preserve"> </w:t>
      </w:r>
      <w:r>
        <w:t>in</w:t>
      </w:r>
      <w:r>
        <w:rPr>
          <w:spacing w:val="-12"/>
        </w:rPr>
        <w:t xml:space="preserve"> </w:t>
      </w:r>
      <w:r>
        <w:t>indicators</w:t>
      </w:r>
      <w:r>
        <w:rPr>
          <w:spacing w:val="-13"/>
        </w:rPr>
        <w:t xml:space="preserve"> </w:t>
      </w:r>
      <w:r>
        <w:t>of</w:t>
      </w:r>
      <w:r>
        <w:rPr>
          <w:spacing w:val="-12"/>
        </w:rPr>
        <w:t xml:space="preserve"> </w:t>
      </w:r>
      <w:r>
        <w:t>the</w:t>
      </w:r>
      <w:r>
        <w:rPr>
          <w:spacing w:val="-13"/>
        </w:rPr>
        <w:t xml:space="preserve"> </w:t>
      </w:r>
      <w:r>
        <w:t>National</w:t>
      </w:r>
      <w:r>
        <w:rPr>
          <w:spacing w:val="-12"/>
        </w:rPr>
        <w:t xml:space="preserve"> </w:t>
      </w:r>
      <w:r>
        <w:t>Health</w:t>
      </w:r>
      <w:r>
        <w:rPr>
          <w:spacing w:val="-13"/>
        </w:rPr>
        <w:t xml:space="preserve"> </w:t>
      </w:r>
      <w:r>
        <w:t>Master</w:t>
      </w:r>
      <w:r>
        <w:rPr>
          <w:spacing w:val="-12"/>
        </w:rPr>
        <w:t xml:space="preserve"> </w:t>
      </w:r>
      <w:r>
        <w:t>Plan,</w:t>
      </w:r>
      <w:r>
        <w:rPr>
          <w:spacing w:val="-12"/>
        </w:rPr>
        <w:t xml:space="preserve"> </w:t>
      </w:r>
      <w:r>
        <w:t>and</w:t>
      </w:r>
      <w:r>
        <w:rPr>
          <w:spacing w:val="-13"/>
        </w:rPr>
        <w:t xml:space="preserve"> </w:t>
      </w:r>
      <w:r>
        <w:t>the</w:t>
      </w:r>
      <w:r>
        <w:rPr>
          <w:spacing w:val="-12"/>
        </w:rPr>
        <w:t xml:space="preserve"> </w:t>
      </w:r>
      <w:r>
        <w:t>release</w:t>
      </w:r>
      <w:r>
        <w:rPr>
          <w:spacing w:val="-13"/>
        </w:rPr>
        <w:t xml:space="preserve"> </w:t>
      </w:r>
      <w:r>
        <w:t>of</w:t>
      </w:r>
      <w:r>
        <w:rPr>
          <w:spacing w:val="-12"/>
        </w:rPr>
        <w:t xml:space="preserve"> </w:t>
      </w:r>
      <w:r>
        <w:t>new</w:t>
      </w:r>
      <w:r>
        <w:rPr>
          <w:spacing w:val="-13"/>
        </w:rPr>
        <w:t xml:space="preserve"> </w:t>
      </w:r>
      <w:r>
        <w:t>indicators</w:t>
      </w:r>
      <w:r>
        <w:rPr>
          <w:spacing w:val="-12"/>
        </w:rPr>
        <w:t xml:space="preserve"> </w:t>
      </w:r>
      <w:r>
        <w:t>from</w:t>
      </w:r>
      <w:r>
        <w:rPr>
          <w:spacing w:val="-12"/>
        </w:rPr>
        <w:t xml:space="preserve"> </w:t>
      </w:r>
      <w:r>
        <w:t xml:space="preserve">sectoral </w:t>
      </w:r>
      <w:r>
        <w:rPr>
          <w:spacing w:val="-2"/>
        </w:rPr>
        <w:t>ministries.</w:t>
      </w:r>
    </w:p>
    <w:p w14:paraId="3A3F850B" w14:textId="77777777" w:rsidR="00BC24A8" w:rsidRDefault="00BC24A8">
      <w:pPr>
        <w:pStyle w:val="BodyText"/>
        <w:spacing w:before="201"/>
      </w:pPr>
    </w:p>
    <w:p w14:paraId="31DFBF9A" w14:textId="77777777" w:rsidR="00BC24A8" w:rsidRDefault="00000000">
      <w:pPr>
        <w:spacing w:before="1"/>
        <w:ind w:left="143"/>
        <w:rPr>
          <w:rFonts w:ascii="Calibri"/>
          <w:i/>
        </w:rPr>
      </w:pPr>
      <w:bookmarkStart w:id="247" w:name="Overview_of_SKALA_program_priorities_in_"/>
      <w:bookmarkEnd w:id="247"/>
      <w:r>
        <w:rPr>
          <w:rFonts w:ascii="Calibri"/>
          <w:i/>
          <w:color w:val="272727"/>
        </w:rPr>
        <w:t>Overview</w:t>
      </w:r>
      <w:r>
        <w:rPr>
          <w:rFonts w:ascii="Calibri"/>
          <w:i/>
          <w:color w:val="272727"/>
          <w:spacing w:val="-3"/>
        </w:rPr>
        <w:t xml:space="preserve"> </w:t>
      </w:r>
      <w:r>
        <w:rPr>
          <w:rFonts w:ascii="Calibri"/>
          <w:i/>
          <w:color w:val="272727"/>
        </w:rPr>
        <w:t>of</w:t>
      </w:r>
      <w:r>
        <w:rPr>
          <w:rFonts w:ascii="Calibri"/>
          <w:i/>
          <w:color w:val="272727"/>
          <w:spacing w:val="-4"/>
        </w:rPr>
        <w:t xml:space="preserve"> </w:t>
      </w:r>
      <w:r>
        <w:rPr>
          <w:rFonts w:ascii="Calibri"/>
          <w:i/>
          <w:color w:val="272727"/>
        </w:rPr>
        <w:t>SKALA</w:t>
      </w:r>
      <w:r>
        <w:rPr>
          <w:rFonts w:ascii="Calibri"/>
          <w:i/>
          <w:color w:val="272727"/>
          <w:spacing w:val="-6"/>
        </w:rPr>
        <w:t xml:space="preserve"> </w:t>
      </w:r>
      <w:r>
        <w:rPr>
          <w:rFonts w:ascii="Calibri"/>
          <w:i/>
          <w:color w:val="272727"/>
        </w:rPr>
        <w:t>program</w:t>
      </w:r>
      <w:r>
        <w:rPr>
          <w:rFonts w:ascii="Calibri"/>
          <w:i/>
          <w:color w:val="272727"/>
          <w:spacing w:val="-3"/>
        </w:rPr>
        <w:t xml:space="preserve"> </w:t>
      </w:r>
      <w:r>
        <w:rPr>
          <w:rFonts w:ascii="Calibri"/>
          <w:i/>
          <w:color w:val="272727"/>
        </w:rPr>
        <w:t>priorities</w:t>
      </w:r>
      <w:r>
        <w:rPr>
          <w:rFonts w:ascii="Calibri"/>
          <w:i/>
          <w:color w:val="272727"/>
          <w:spacing w:val="-3"/>
        </w:rPr>
        <w:t xml:space="preserve"> </w:t>
      </w:r>
      <w:r>
        <w:rPr>
          <w:rFonts w:ascii="Calibri"/>
          <w:i/>
          <w:color w:val="272727"/>
        </w:rPr>
        <w:t>in</w:t>
      </w:r>
      <w:r>
        <w:rPr>
          <w:rFonts w:ascii="Calibri"/>
          <w:i/>
          <w:color w:val="272727"/>
          <w:spacing w:val="-6"/>
        </w:rPr>
        <w:t xml:space="preserve"> </w:t>
      </w:r>
      <w:r>
        <w:rPr>
          <w:rFonts w:ascii="Calibri"/>
          <w:i/>
          <w:color w:val="272727"/>
        </w:rPr>
        <w:t>provinces</w:t>
      </w:r>
      <w:r>
        <w:rPr>
          <w:rFonts w:ascii="Calibri"/>
          <w:i/>
          <w:color w:val="272727"/>
          <w:spacing w:val="-6"/>
        </w:rPr>
        <w:t xml:space="preserve"> </w:t>
      </w:r>
      <w:r>
        <w:rPr>
          <w:rFonts w:ascii="Calibri"/>
          <w:i/>
          <w:color w:val="272727"/>
        </w:rPr>
        <w:t>in</w:t>
      </w:r>
      <w:r>
        <w:rPr>
          <w:rFonts w:ascii="Calibri"/>
          <w:i/>
          <w:color w:val="272727"/>
          <w:spacing w:val="-6"/>
        </w:rPr>
        <w:t xml:space="preserve"> </w:t>
      </w:r>
      <w:r>
        <w:rPr>
          <w:rFonts w:ascii="Calibri"/>
          <w:i/>
          <w:color w:val="272727"/>
        </w:rPr>
        <w:t>FY</w:t>
      </w:r>
      <w:r>
        <w:rPr>
          <w:rFonts w:ascii="Calibri"/>
          <w:i/>
          <w:color w:val="272727"/>
          <w:spacing w:val="-4"/>
        </w:rPr>
        <w:t xml:space="preserve"> </w:t>
      </w:r>
      <w:r>
        <w:rPr>
          <w:rFonts w:ascii="Calibri"/>
          <w:i/>
          <w:color w:val="272727"/>
          <w:spacing w:val="-2"/>
        </w:rPr>
        <w:t>2024/2025</w:t>
      </w:r>
    </w:p>
    <w:p w14:paraId="6FC65128" w14:textId="77777777" w:rsidR="00BC24A8" w:rsidRDefault="00000000">
      <w:pPr>
        <w:pStyle w:val="Heading5"/>
        <w:spacing w:before="21"/>
      </w:pPr>
      <w:r>
        <w:t>Focus</w:t>
      </w:r>
      <w:r>
        <w:rPr>
          <w:spacing w:val="-4"/>
        </w:rPr>
        <w:t xml:space="preserve"> </w:t>
      </w:r>
      <w:r>
        <w:t>areas</w:t>
      </w:r>
      <w:r>
        <w:rPr>
          <w:spacing w:val="-4"/>
        </w:rPr>
        <w:t xml:space="preserve"> </w:t>
      </w:r>
      <w:r>
        <w:t>of</w:t>
      </w:r>
      <w:r>
        <w:rPr>
          <w:spacing w:val="-4"/>
        </w:rPr>
        <w:t xml:space="preserve"> </w:t>
      </w:r>
      <w:r>
        <w:t>SKALA</w:t>
      </w:r>
      <w:r>
        <w:rPr>
          <w:spacing w:val="-7"/>
        </w:rPr>
        <w:t xml:space="preserve"> </w:t>
      </w:r>
      <w:r>
        <w:t>support</w:t>
      </w:r>
      <w:r>
        <w:rPr>
          <w:spacing w:val="-4"/>
        </w:rPr>
        <w:t xml:space="preserve"> </w:t>
      </w:r>
      <w:r>
        <w:rPr>
          <w:spacing w:val="-2"/>
        </w:rPr>
        <w:t>program</w:t>
      </w:r>
    </w:p>
    <w:p w14:paraId="2624600C" w14:textId="77777777" w:rsidR="00BC24A8" w:rsidRDefault="00000000">
      <w:pPr>
        <w:pStyle w:val="ListParagraph"/>
        <w:numPr>
          <w:ilvl w:val="2"/>
          <w:numId w:val="11"/>
        </w:numPr>
        <w:tabs>
          <w:tab w:val="left" w:pos="861"/>
          <w:tab w:val="left" w:pos="863"/>
        </w:tabs>
        <w:spacing w:before="162" w:line="256" w:lineRule="auto"/>
        <w:ind w:right="564"/>
      </w:pPr>
      <w:r>
        <w:t xml:space="preserve">Strengthening capacity in the formulation, implementation, and application of the MSS Action </w:t>
      </w:r>
      <w:r>
        <w:rPr>
          <w:spacing w:val="-2"/>
        </w:rPr>
        <w:t>Plan.</w:t>
      </w:r>
    </w:p>
    <w:p w14:paraId="5C857138" w14:textId="77777777" w:rsidR="00BC24A8" w:rsidRDefault="00000000">
      <w:pPr>
        <w:pStyle w:val="ListParagraph"/>
        <w:numPr>
          <w:ilvl w:val="2"/>
          <w:numId w:val="11"/>
        </w:numPr>
        <w:tabs>
          <w:tab w:val="left" w:pos="861"/>
          <w:tab w:val="left" w:pos="863"/>
        </w:tabs>
        <w:spacing w:before="3" w:line="259" w:lineRule="auto"/>
        <w:ind w:right="563"/>
      </w:pPr>
      <w:r>
        <w:t>Advocacy</w:t>
      </w:r>
      <w:r>
        <w:rPr>
          <w:spacing w:val="-12"/>
        </w:rPr>
        <w:t xml:space="preserve"> </w:t>
      </w:r>
      <w:r>
        <w:t>to</w:t>
      </w:r>
      <w:r>
        <w:rPr>
          <w:spacing w:val="-12"/>
        </w:rPr>
        <w:t xml:space="preserve"> </w:t>
      </w:r>
      <w:r>
        <w:t>promote</w:t>
      </w:r>
      <w:r>
        <w:rPr>
          <w:spacing w:val="-13"/>
        </w:rPr>
        <w:t xml:space="preserve"> </w:t>
      </w:r>
      <w:r>
        <w:t>the</w:t>
      </w:r>
      <w:r>
        <w:rPr>
          <w:spacing w:val="-12"/>
        </w:rPr>
        <w:t xml:space="preserve"> </w:t>
      </w:r>
      <w:r>
        <w:t>expansion</w:t>
      </w:r>
      <w:r>
        <w:rPr>
          <w:spacing w:val="-11"/>
        </w:rPr>
        <w:t xml:space="preserve"> </w:t>
      </w:r>
      <w:r>
        <w:t>and</w:t>
      </w:r>
      <w:r>
        <w:rPr>
          <w:spacing w:val="-11"/>
        </w:rPr>
        <w:t xml:space="preserve"> </w:t>
      </w:r>
      <w:r>
        <w:t>use</w:t>
      </w:r>
      <w:r>
        <w:rPr>
          <w:spacing w:val="-13"/>
        </w:rPr>
        <w:t xml:space="preserve"> </w:t>
      </w:r>
      <w:r>
        <w:t>of</w:t>
      </w:r>
      <w:r>
        <w:rPr>
          <w:spacing w:val="-12"/>
        </w:rPr>
        <w:t xml:space="preserve"> </w:t>
      </w:r>
      <w:r>
        <w:t>SIO</w:t>
      </w:r>
      <w:r>
        <w:rPr>
          <w:spacing w:val="-12"/>
        </w:rPr>
        <w:t xml:space="preserve"> </w:t>
      </w:r>
      <w:r>
        <w:t>Papua</w:t>
      </w:r>
      <w:r>
        <w:rPr>
          <w:spacing w:val="-13"/>
        </w:rPr>
        <w:t xml:space="preserve"> </w:t>
      </w:r>
      <w:r>
        <w:t>(village</w:t>
      </w:r>
      <w:r>
        <w:rPr>
          <w:spacing w:val="-12"/>
        </w:rPr>
        <w:t xml:space="preserve"> </w:t>
      </w:r>
      <w:r>
        <w:t>information</w:t>
      </w:r>
      <w:r>
        <w:rPr>
          <w:spacing w:val="-11"/>
        </w:rPr>
        <w:t xml:space="preserve"> </w:t>
      </w:r>
      <w:r>
        <w:t>system</w:t>
      </w:r>
      <w:r>
        <w:rPr>
          <w:spacing w:val="-11"/>
        </w:rPr>
        <w:t xml:space="preserve"> </w:t>
      </w:r>
      <w:r>
        <w:t>of</w:t>
      </w:r>
      <w:r>
        <w:rPr>
          <w:spacing w:val="-13"/>
        </w:rPr>
        <w:t xml:space="preserve"> </w:t>
      </w:r>
      <w:r>
        <w:t>Papuan Indigenous People).</w:t>
      </w:r>
    </w:p>
    <w:p w14:paraId="0655486A" w14:textId="77777777" w:rsidR="00BC24A8" w:rsidRDefault="00000000">
      <w:pPr>
        <w:pStyle w:val="ListParagraph"/>
        <w:numPr>
          <w:ilvl w:val="2"/>
          <w:numId w:val="11"/>
        </w:numPr>
        <w:tabs>
          <w:tab w:val="left" w:pos="861"/>
        </w:tabs>
        <w:spacing w:before="1"/>
        <w:ind w:left="861" w:hanging="358"/>
      </w:pPr>
      <w:r>
        <w:t>Guidance</w:t>
      </w:r>
      <w:r>
        <w:rPr>
          <w:spacing w:val="-9"/>
        </w:rPr>
        <w:t xml:space="preserve"> </w:t>
      </w:r>
      <w:r>
        <w:t>and</w:t>
      </w:r>
      <w:r>
        <w:rPr>
          <w:spacing w:val="-8"/>
        </w:rPr>
        <w:t xml:space="preserve"> </w:t>
      </w:r>
      <w:r>
        <w:t>strengthening</w:t>
      </w:r>
      <w:r>
        <w:rPr>
          <w:spacing w:val="-8"/>
        </w:rPr>
        <w:t xml:space="preserve"> </w:t>
      </w:r>
      <w:r>
        <w:t>of</w:t>
      </w:r>
      <w:r>
        <w:rPr>
          <w:spacing w:val="-9"/>
        </w:rPr>
        <w:t xml:space="preserve"> </w:t>
      </w:r>
      <w:r>
        <w:t>One</w:t>
      </w:r>
      <w:r>
        <w:rPr>
          <w:spacing w:val="-9"/>
        </w:rPr>
        <w:t xml:space="preserve"> </w:t>
      </w:r>
      <w:r>
        <w:t>Data</w:t>
      </w:r>
      <w:r>
        <w:rPr>
          <w:spacing w:val="-8"/>
        </w:rPr>
        <w:t xml:space="preserve"> </w:t>
      </w:r>
      <w:r>
        <w:t>implementation</w:t>
      </w:r>
      <w:r>
        <w:rPr>
          <w:spacing w:val="-8"/>
        </w:rPr>
        <w:t xml:space="preserve"> </w:t>
      </w:r>
      <w:r>
        <w:t>at</w:t>
      </w:r>
      <w:r>
        <w:rPr>
          <w:spacing w:val="-8"/>
        </w:rPr>
        <w:t xml:space="preserve"> </w:t>
      </w:r>
      <w:r>
        <w:t>the</w:t>
      </w:r>
      <w:r>
        <w:rPr>
          <w:spacing w:val="-9"/>
        </w:rPr>
        <w:t xml:space="preserve"> </w:t>
      </w:r>
      <w:r>
        <w:t>district/city</w:t>
      </w:r>
      <w:r>
        <w:rPr>
          <w:spacing w:val="-7"/>
        </w:rPr>
        <w:t xml:space="preserve"> </w:t>
      </w:r>
      <w:r>
        <w:rPr>
          <w:spacing w:val="-2"/>
        </w:rPr>
        <w:t>level.</w:t>
      </w:r>
    </w:p>
    <w:p w14:paraId="10C7C089" w14:textId="77777777" w:rsidR="00BC24A8" w:rsidRDefault="00000000">
      <w:pPr>
        <w:pStyle w:val="ListParagraph"/>
        <w:numPr>
          <w:ilvl w:val="2"/>
          <w:numId w:val="11"/>
        </w:numPr>
        <w:tabs>
          <w:tab w:val="left" w:pos="861"/>
        </w:tabs>
        <w:spacing w:before="19"/>
        <w:ind w:left="861" w:hanging="358"/>
      </w:pPr>
      <w:r>
        <w:t>Enhancing</w:t>
      </w:r>
      <w:r>
        <w:rPr>
          <w:spacing w:val="-7"/>
        </w:rPr>
        <w:t xml:space="preserve"> </w:t>
      </w:r>
      <w:r>
        <w:t>capacity</w:t>
      </w:r>
      <w:r>
        <w:rPr>
          <w:spacing w:val="-1"/>
        </w:rPr>
        <w:t xml:space="preserve"> </w:t>
      </w:r>
      <w:r>
        <w:t>to</w:t>
      </w:r>
      <w:r>
        <w:rPr>
          <w:spacing w:val="-3"/>
        </w:rPr>
        <w:t xml:space="preserve"> </w:t>
      </w:r>
      <w:r>
        <w:t>manage</w:t>
      </w:r>
      <w:r>
        <w:rPr>
          <w:spacing w:val="-2"/>
        </w:rPr>
        <w:t xml:space="preserve"> </w:t>
      </w:r>
      <w:r>
        <w:t>Special</w:t>
      </w:r>
      <w:r>
        <w:rPr>
          <w:spacing w:val="-1"/>
        </w:rPr>
        <w:t xml:space="preserve"> </w:t>
      </w:r>
      <w:r>
        <w:t>Autonomy Funds</w:t>
      </w:r>
      <w:r>
        <w:rPr>
          <w:spacing w:val="-2"/>
        </w:rPr>
        <w:t xml:space="preserve"> </w:t>
      </w:r>
      <w:r>
        <w:t>using</w:t>
      </w:r>
      <w:r>
        <w:rPr>
          <w:spacing w:val="-3"/>
        </w:rPr>
        <w:t xml:space="preserve"> </w:t>
      </w:r>
      <w:r>
        <w:t>the</w:t>
      </w:r>
      <w:r>
        <w:rPr>
          <w:spacing w:val="-5"/>
        </w:rPr>
        <w:t xml:space="preserve"> </w:t>
      </w:r>
      <w:r>
        <w:t>Musrenbangsus</w:t>
      </w:r>
      <w:r>
        <w:rPr>
          <w:spacing w:val="-1"/>
        </w:rPr>
        <w:t xml:space="preserve"> </w:t>
      </w:r>
      <w:r>
        <w:t>and</w:t>
      </w:r>
      <w:r>
        <w:rPr>
          <w:spacing w:val="-3"/>
        </w:rPr>
        <w:t xml:space="preserve"> </w:t>
      </w:r>
      <w:r>
        <w:t>SIPPP</w:t>
      </w:r>
      <w:r>
        <w:rPr>
          <w:spacing w:val="-12"/>
        </w:rPr>
        <w:t xml:space="preserve"> </w:t>
      </w:r>
      <w:hyperlink w:anchor="_bookmark170" w:history="1">
        <w:r w:rsidR="00BC24A8">
          <w:rPr>
            <w:spacing w:val="-5"/>
            <w:vertAlign w:val="superscript"/>
          </w:rPr>
          <w:t>89</w:t>
        </w:r>
      </w:hyperlink>
    </w:p>
    <w:p w14:paraId="5A31F9D2" w14:textId="77777777" w:rsidR="00BC24A8" w:rsidRDefault="00000000">
      <w:pPr>
        <w:pStyle w:val="BodyText"/>
        <w:spacing w:before="23"/>
        <w:ind w:left="863"/>
      </w:pPr>
      <w:r>
        <w:rPr>
          <w:spacing w:val="-2"/>
        </w:rPr>
        <w:t>guidelines.</w:t>
      </w:r>
    </w:p>
    <w:p w14:paraId="4A49D404" w14:textId="77777777" w:rsidR="00BC24A8" w:rsidRDefault="00000000">
      <w:pPr>
        <w:pStyle w:val="ListParagraph"/>
        <w:numPr>
          <w:ilvl w:val="2"/>
          <w:numId w:val="11"/>
        </w:numPr>
        <w:tabs>
          <w:tab w:val="left" w:pos="861"/>
        </w:tabs>
        <w:spacing w:before="22"/>
        <w:ind w:left="861" w:hanging="358"/>
      </w:pPr>
      <w:r>
        <w:t>Regular</w:t>
      </w:r>
      <w:r>
        <w:rPr>
          <w:spacing w:val="-8"/>
        </w:rPr>
        <w:t xml:space="preserve"> </w:t>
      </w:r>
      <w:r>
        <w:t>regional</w:t>
      </w:r>
      <w:r>
        <w:rPr>
          <w:spacing w:val="-10"/>
        </w:rPr>
        <w:t xml:space="preserve"> </w:t>
      </w:r>
      <w:r>
        <w:t>planning</w:t>
      </w:r>
      <w:r>
        <w:rPr>
          <w:spacing w:val="-9"/>
        </w:rPr>
        <w:t xml:space="preserve"> </w:t>
      </w:r>
      <w:r>
        <w:t>and</w:t>
      </w:r>
      <w:r>
        <w:rPr>
          <w:spacing w:val="-7"/>
        </w:rPr>
        <w:t xml:space="preserve"> </w:t>
      </w:r>
      <w:r>
        <w:t>budgeting</w:t>
      </w:r>
      <w:r>
        <w:rPr>
          <w:spacing w:val="-9"/>
        </w:rPr>
        <w:t xml:space="preserve"> </w:t>
      </w:r>
      <w:r>
        <w:t>(RPJMD</w:t>
      </w:r>
      <w:r>
        <w:rPr>
          <w:spacing w:val="-11"/>
        </w:rPr>
        <w:t xml:space="preserve"> </w:t>
      </w:r>
      <w:r>
        <w:t>and</w:t>
      </w:r>
      <w:r>
        <w:rPr>
          <w:spacing w:val="-10"/>
        </w:rPr>
        <w:t xml:space="preserve"> </w:t>
      </w:r>
      <w:r>
        <w:rPr>
          <w:spacing w:val="-2"/>
        </w:rPr>
        <w:t>RKPD).</w:t>
      </w:r>
    </w:p>
    <w:p w14:paraId="0D57786B" w14:textId="77777777" w:rsidR="00BC24A8" w:rsidRDefault="00BC24A8">
      <w:pPr>
        <w:pStyle w:val="BodyText"/>
        <w:rPr>
          <w:sz w:val="20"/>
        </w:rPr>
      </w:pPr>
    </w:p>
    <w:p w14:paraId="6FB367FA" w14:textId="77777777" w:rsidR="00BC24A8" w:rsidRDefault="00BC24A8">
      <w:pPr>
        <w:pStyle w:val="BodyText"/>
        <w:rPr>
          <w:sz w:val="20"/>
        </w:rPr>
      </w:pPr>
    </w:p>
    <w:p w14:paraId="50A8CA1F" w14:textId="77777777" w:rsidR="00BC24A8" w:rsidRDefault="00BC24A8">
      <w:pPr>
        <w:pStyle w:val="BodyText"/>
        <w:rPr>
          <w:sz w:val="20"/>
        </w:rPr>
      </w:pPr>
    </w:p>
    <w:p w14:paraId="765EDB1A" w14:textId="77777777" w:rsidR="00BC24A8" w:rsidRDefault="00BC24A8">
      <w:pPr>
        <w:pStyle w:val="BodyText"/>
        <w:rPr>
          <w:sz w:val="20"/>
        </w:rPr>
      </w:pPr>
    </w:p>
    <w:p w14:paraId="30087E77" w14:textId="77777777" w:rsidR="00BC24A8" w:rsidRDefault="00BC24A8">
      <w:pPr>
        <w:pStyle w:val="BodyText"/>
        <w:rPr>
          <w:sz w:val="20"/>
        </w:rPr>
      </w:pPr>
    </w:p>
    <w:p w14:paraId="50E8652F" w14:textId="77777777" w:rsidR="00BC24A8" w:rsidRDefault="00000000">
      <w:pPr>
        <w:pStyle w:val="BodyText"/>
        <w:spacing w:before="204"/>
        <w:rPr>
          <w:sz w:val="20"/>
        </w:rPr>
      </w:pPr>
      <w:r>
        <w:rPr>
          <w:noProof/>
          <w:sz w:val="20"/>
        </w:rPr>
        <mc:AlternateContent>
          <mc:Choice Requires="wps">
            <w:drawing>
              <wp:anchor distT="0" distB="0" distL="0" distR="0" simplePos="0" relativeHeight="487638016" behindDoc="1" locked="0" layoutInCell="1" allowOverlap="1" wp14:anchorId="7DA8A60D" wp14:editId="22984DD1">
                <wp:simplePos x="0" y="0"/>
                <wp:positionH relativeFrom="page">
                  <wp:posOffset>900683</wp:posOffset>
                </wp:positionH>
                <wp:positionV relativeFrom="paragraph">
                  <wp:posOffset>299887</wp:posOffset>
                </wp:positionV>
                <wp:extent cx="1828800" cy="9525"/>
                <wp:effectExtent l="0" t="0" r="0" b="0"/>
                <wp:wrapTopAndBottom/>
                <wp:docPr id="317" name="Graphic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00ECF6" id="Graphic 317" o:spid="_x0000_s1026" alt="&quot;&quot;" style="position:absolute;margin-left:70.9pt;margin-top:23.6pt;width:2in;height:.75pt;z-index:-156784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" path="m1828800,l,,,9144r1828800,l1828800,xe" fillcolor="black" stroked="f">
                <v:path arrowok="t"/>
                <w10:wrap type="topAndBottom" anchorx="page"/>
              </v:shape>
            </w:pict>
          </mc:Fallback>
        </mc:AlternateContent>
      </w:r>
    </w:p>
    <w:p w14:paraId="7E7EA0A0" w14:textId="77777777" w:rsidR="00BC24A8" w:rsidRDefault="00BC24A8">
      <w:pPr>
        <w:pStyle w:val="BodyText"/>
        <w:spacing w:before="105"/>
        <w:rPr>
          <w:sz w:val="16"/>
        </w:rPr>
      </w:pPr>
    </w:p>
    <w:p w14:paraId="5AE5112F" w14:textId="77777777" w:rsidR="00BC24A8" w:rsidRDefault="00000000">
      <w:pPr>
        <w:spacing w:before="1"/>
        <w:ind w:left="143" w:right="662"/>
        <w:rPr>
          <w:sz w:val="16"/>
        </w:rPr>
      </w:pPr>
      <w:bookmarkStart w:id="248" w:name="_bookmark170"/>
      <w:bookmarkEnd w:id="248"/>
      <w:r>
        <w:rPr>
          <w:color w:val="767070"/>
          <w:sz w:val="16"/>
          <w:vertAlign w:val="superscript"/>
        </w:rPr>
        <w:t>89</w:t>
      </w:r>
      <w:r>
        <w:rPr>
          <w:color w:val="767070"/>
          <w:spacing w:val="-5"/>
          <w:sz w:val="16"/>
        </w:rPr>
        <w:t xml:space="preserve"> </w:t>
      </w:r>
      <w:r>
        <w:rPr>
          <w:color w:val="767070"/>
          <w:sz w:val="16"/>
        </w:rPr>
        <w:t>SIPPP</w:t>
      </w:r>
      <w:r>
        <w:rPr>
          <w:color w:val="767070"/>
          <w:spacing w:val="-5"/>
          <w:sz w:val="16"/>
        </w:rPr>
        <w:t xml:space="preserve"> </w:t>
      </w:r>
      <w:r>
        <w:rPr>
          <w:color w:val="767070"/>
          <w:sz w:val="16"/>
        </w:rPr>
        <w:t>is</w:t>
      </w:r>
      <w:r>
        <w:rPr>
          <w:color w:val="767070"/>
          <w:spacing w:val="-4"/>
          <w:sz w:val="16"/>
        </w:rPr>
        <w:t xml:space="preserve"> </w:t>
      </w:r>
      <w:r>
        <w:rPr>
          <w:color w:val="767070"/>
          <w:sz w:val="16"/>
        </w:rPr>
        <w:t>the</w:t>
      </w:r>
      <w:r>
        <w:rPr>
          <w:color w:val="767070"/>
          <w:spacing w:val="-5"/>
          <w:sz w:val="16"/>
        </w:rPr>
        <w:t xml:space="preserve"> </w:t>
      </w:r>
      <w:r>
        <w:rPr>
          <w:color w:val="767070"/>
          <w:sz w:val="16"/>
        </w:rPr>
        <w:t>Papua</w:t>
      </w:r>
      <w:r>
        <w:rPr>
          <w:color w:val="767070"/>
          <w:spacing w:val="-4"/>
          <w:sz w:val="16"/>
        </w:rPr>
        <w:t xml:space="preserve"> </w:t>
      </w:r>
      <w:r>
        <w:rPr>
          <w:color w:val="767070"/>
          <w:sz w:val="16"/>
        </w:rPr>
        <w:t>Planning</w:t>
      </w:r>
      <w:r>
        <w:rPr>
          <w:color w:val="767070"/>
          <w:spacing w:val="-6"/>
          <w:sz w:val="16"/>
        </w:rPr>
        <w:t xml:space="preserve"> </w:t>
      </w:r>
      <w:r>
        <w:rPr>
          <w:color w:val="767070"/>
          <w:sz w:val="16"/>
        </w:rPr>
        <w:t>and</w:t>
      </w:r>
      <w:r>
        <w:rPr>
          <w:color w:val="767070"/>
          <w:spacing w:val="-4"/>
          <w:sz w:val="16"/>
        </w:rPr>
        <w:t xml:space="preserve"> </w:t>
      </w:r>
      <w:r>
        <w:rPr>
          <w:color w:val="767070"/>
          <w:sz w:val="16"/>
        </w:rPr>
        <w:t>Budgeting</w:t>
      </w:r>
      <w:r>
        <w:rPr>
          <w:color w:val="767070"/>
          <w:spacing w:val="-6"/>
          <w:sz w:val="16"/>
        </w:rPr>
        <w:t xml:space="preserve"> </w:t>
      </w:r>
      <w:r>
        <w:rPr>
          <w:color w:val="767070"/>
          <w:sz w:val="16"/>
        </w:rPr>
        <w:t>Information</w:t>
      </w:r>
      <w:r>
        <w:rPr>
          <w:color w:val="767070"/>
          <w:spacing w:val="-4"/>
          <w:sz w:val="16"/>
        </w:rPr>
        <w:t xml:space="preserve"> </w:t>
      </w:r>
      <w:r>
        <w:rPr>
          <w:color w:val="767070"/>
          <w:sz w:val="16"/>
        </w:rPr>
        <w:t>System—a</w:t>
      </w:r>
      <w:r>
        <w:rPr>
          <w:color w:val="767070"/>
          <w:spacing w:val="-4"/>
          <w:sz w:val="16"/>
        </w:rPr>
        <w:t xml:space="preserve"> </w:t>
      </w:r>
      <w:r>
        <w:rPr>
          <w:color w:val="767070"/>
          <w:sz w:val="16"/>
        </w:rPr>
        <w:t>digital</w:t>
      </w:r>
      <w:r>
        <w:rPr>
          <w:color w:val="767070"/>
          <w:spacing w:val="-4"/>
          <w:sz w:val="16"/>
        </w:rPr>
        <w:t xml:space="preserve"> </w:t>
      </w:r>
      <w:r>
        <w:rPr>
          <w:color w:val="767070"/>
          <w:sz w:val="16"/>
        </w:rPr>
        <w:t>platform</w:t>
      </w:r>
      <w:r>
        <w:rPr>
          <w:color w:val="767070"/>
          <w:spacing w:val="-6"/>
          <w:sz w:val="16"/>
        </w:rPr>
        <w:t xml:space="preserve"> </w:t>
      </w:r>
      <w:r>
        <w:rPr>
          <w:color w:val="767070"/>
          <w:sz w:val="16"/>
        </w:rPr>
        <w:t>used</w:t>
      </w:r>
      <w:r>
        <w:rPr>
          <w:color w:val="767070"/>
          <w:spacing w:val="-4"/>
          <w:sz w:val="16"/>
        </w:rPr>
        <w:t xml:space="preserve"> </w:t>
      </w:r>
      <w:r>
        <w:rPr>
          <w:color w:val="767070"/>
          <w:sz w:val="16"/>
        </w:rPr>
        <w:t>to</w:t>
      </w:r>
      <w:r>
        <w:rPr>
          <w:color w:val="767070"/>
          <w:spacing w:val="-5"/>
          <w:sz w:val="16"/>
        </w:rPr>
        <w:t xml:space="preserve"> </w:t>
      </w:r>
      <w:r>
        <w:rPr>
          <w:color w:val="767070"/>
          <w:sz w:val="16"/>
        </w:rPr>
        <w:t>manage</w:t>
      </w:r>
      <w:r>
        <w:rPr>
          <w:color w:val="767070"/>
          <w:spacing w:val="-6"/>
          <w:sz w:val="16"/>
        </w:rPr>
        <w:t xml:space="preserve"> </w:t>
      </w:r>
      <w:r>
        <w:rPr>
          <w:color w:val="767070"/>
          <w:sz w:val="16"/>
        </w:rPr>
        <w:t>and</w:t>
      </w:r>
      <w:r>
        <w:rPr>
          <w:color w:val="767070"/>
          <w:spacing w:val="-6"/>
          <w:sz w:val="16"/>
        </w:rPr>
        <w:t xml:space="preserve"> </w:t>
      </w:r>
      <w:r>
        <w:rPr>
          <w:color w:val="767070"/>
          <w:sz w:val="16"/>
        </w:rPr>
        <w:t>integrate</w:t>
      </w:r>
      <w:r>
        <w:rPr>
          <w:color w:val="767070"/>
          <w:spacing w:val="-6"/>
          <w:sz w:val="16"/>
        </w:rPr>
        <w:t xml:space="preserve"> </w:t>
      </w:r>
      <w:r>
        <w:rPr>
          <w:color w:val="767070"/>
          <w:sz w:val="16"/>
        </w:rPr>
        <w:t>planning</w:t>
      </w:r>
      <w:r>
        <w:rPr>
          <w:color w:val="767070"/>
          <w:spacing w:val="-6"/>
          <w:sz w:val="16"/>
        </w:rPr>
        <w:t xml:space="preserve"> </w:t>
      </w:r>
      <w:r>
        <w:rPr>
          <w:color w:val="767070"/>
          <w:sz w:val="16"/>
        </w:rPr>
        <w:t>and</w:t>
      </w:r>
      <w:r>
        <w:rPr>
          <w:color w:val="767070"/>
          <w:spacing w:val="-4"/>
          <w:sz w:val="16"/>
        </w:rPr>
        <w:t xml:space="preserve"> </w:t>
      </w:r>
      <w:r>
        <w:rPr>
          <w:color w:val="767070"/>
          <w:sz w:val="16"/>
        </w:rPr>
        <w:t>budgeting</w:t>
      </w:r>
      <w:r>
        <w:rPr>
          <w:color w:val="767070"/>
          <w:spacing w:val="40"/>
          <w:sz w:val="16"/>
        </w:rPr>
        <w:t xml:space="preserve"> </w:t>
      </w:r>
      <w:r>
        <w:rPr>
          <w:color w:val="767070"/>
          <w:sz w:val="16"/>
        </w:rPr>
        <w:t>processes in Papua.</w:t>
      </w:r>
    </w:p>
    <w:p w14:paraId="20D12A0B" w14:textId="77777777" w:rsidR="00BC24A8" w:rsidRDefault="00BC24A8">
      <w:pPr>
        <w:rPr>
          <w:sz w:val="16"/>
        </w:rPr>
        <w:sectPr w:rsidR="00BC24A8">
          <w:pgSz w:w="11910" w:h="16840"/>
          <w:pgMar w:top="1460" w:right="850" w:bottom="1100" w:left="1275" w:header="0" w:footer="907" w:gutter="0"/>
          <w:cols w:space="720"/>
        </w:sectPr>
      </w:pPr>
    </w:p>
    <w:p w14:paraId="1346A60A" w14:textId="77777777" w:rsidR="00BC24A8" w:rsidRDefault="00000000">
      <w:pPr>
        <w:pStyle w:val="Heading5"/>
        <w:spacing w:before="39"/>
      </w:pPr>
      <w:r>
        <w:t>Implementation</w:t>
      </w:r>
      <w:r>
        <w:rPr>
          <w:spacing w:val="-10"/>
        </w:rPr>
        <w:t xml:space="preserve"> </w:t>
      </w:r>
      <w:r>
        <w:t>of</w:t>
      </w:r>
      <w:r>
        <w:rPr>
          <w:spacing w:val="-8"/>
        </w:rPr>
        <w:t xml:space="preserve"> </w:t>
      </w:r>
      <w:r>
        <w:t>Monitoring</w:t>
      </w:r>
      <w:r>
        <w:rPr>
          <w:spacing w:val="-9"/>
        </w:rPr>
        <w:t xml:space="preserve"> </w:t>
      </w:r>
      <w:r>
        <w:t>and</w:t>
      </w:r>
      <w:r>
        <w:rPr>
          <w:spacing w:val="-9"/>
        </w:rPr>
        <w:t xml:space="preserve"> </w:t>
      </w:r>
      <w:r>
        <w:t>Evaluation</w:t>
      </w:r>
      <w:r>
        <w:rPr>
          <w:spacing w:val="-9"/>
        </w:rPr>
        <w:t xml:space="preserve"> </w:t>
      </w:r>
      <w:r>
        <w:t>(M&amp;E)</w:t>
      </w:r>
      <w:r>
        <w:rPr>
          <w:spacing w:val="-9"/>
        </w:rPr>
        <w:t xml:space="preserve"> </w:t>
      </w:r>
      <w:r>
        <w:t>and</w:t>
      </w:r>
      <w:r>
        <w:rPr>
          <w:spacing w:val="-9"/>
        </w:rPr>
        <w:t xml:space="preserve"> </w:t>
      </w:r>
      <w:r>
        <w:t>program</w:t>
      </w:r>
      <w:r>
        <w:rPr>
          <w:spacing w:val="-7"/>
        </w:rPr>
        <w:t xml:space="preserve"> </w:t>
      </w:r>
      <w:r>
        <w:rPr>
          <w:spacing w:val="-2"/>
        </w:rPr>
        <w:t>documentation</w:t>
      </w:r>
    </w:p>
    <w:p w14:paraId="185C9066" w14:textId="77777777" w:rsidR="00BC24A8" w:rsidRDefault="00000000">
      <w:pPr>
        <w:pStyle w:val="BodyText"/>
        <w:spacing w:before="159" w:line="278" w:lineRule="auto"/>
        <w:ind w:left="143" w:right="561"/>
        <w:jc w:val="both"/>
      </w:pPr>
      <w:r>
        <w:t>Monitoring in Papua is limited to routine activities such as events, informal discussions, and regular meetings. The limited number of MERL personnel covering four provinces simultaneously has constrained efforts to collect more in-depth data. In Papua Province, data collection activities are only conducted on the more inclusive thematic areas of the Special Autonomy Budget Plan, planning and budgeting</w:t>
      </w:r>
      <w:r>
        <w:rPr>
          <w:spacing w:val="-7"/>
        </w:rPr>
        <w:t xml:space="preserve"> </w:t>
      </w:r>
      <w:r>
        <w:t>that</w:t>
      </w:r>
      <w:r>
        <w:rPr>
          <w:spacing w:val="-7"/>
        </w:rPr>
        <w:t xml:space="preserve"> </w:t>
      </w:r>
      <w:r>
        <w:t>are</w:t>
      </w:r>
      <w:r>
        <w:rPr>
          <w:spacing w:val="-7"/>
        </w:rPr>
        <w:t xml:space="preserve"> </w:t>
      </w:r>
      <w:r>
        <w:t>responsive</w:t>
      </w:r>
      <w:r>
        <w:rPr>
          <w:spacing w:val="-7"/>
        </w:rPr>
        <w:t xml:space="preserve"> </w:t>
      </w:r>
      <w:r>
        <w:t>to</w:t>
      </w:r>
      <w:r>
        <w:rPr>
          <w:spacing w:val="-6"/>
        </w:rPr>
        <w:t xml:space="preserve"> </w:t>
      </w:r>
      <w:r>
        <w:t>MSS</w:t>
      </w:r>
      <w:r>
        <w:rPr>
          <w:spacing w:val="-5"/>
        </w:rPr>
        <w:t xml:space="preserve"> </w:t>
      </w:r>
      <w:r>
        <w:t>and</w:t>
      </w:r>
      <w:r>
        <w:rPr>
          <w:spacing w:val="-8"/>
        </w:rPr>
        <w:t xml:space="preserve"> </w:t>
      </w:r>
      <w:r>
        <w:t>GEDSI.</w:t>
      </w:r>
      <w:r>
        <w:rPr>
          <w:spacing w:val="-5"/>
        </w:rPr>
        <w:t xml:space="preserve"> </w:t>
      </w:r>
      <w:r>
        <w:t>In</w:t>
      </w:r>
      <w:r>
        <w:rPr>
          <w:spacing w:val="-6"/>
        </w:rPr>
        <w:t xml:space="preserve"> </w:t>
      </w:r>
      <w:r>
        <w:t>other</w:t>
      </w:r>
      <w:r>
        <w:rPr>
          <w:spacing w:val="-6"/>
        </w:rPr>
        <w:t xml:space="preserve"> </w:t>
      </w:r>
      <w:r>
        <w:t>provinces,</w:t>
      </w:r>
      <w:r>
        <w:rPr>
          <w:spacing w:val="-5"/>
        </w:rPr>
        <w:t xml:space="preserve"> </w:t>
      </w:r>
      <w:r>
        <w:t>this</w:t>
      </w:r>
      <w:r>
        <w:rPr>
          <w:spacing w:val="-8"/>
        </w:rPr>
        <w:t xml:space="preserve"> </w:t>
      </w:r>
      <w:r>
        <w:t>may</w:t>
      </w:r>
      <w:r>
        <w:rPr>
          <w:spacing w:val="-5"/>
        </w:rPr>
        <w:t xml:space="preserve"> </w:t>
      </w:r>
      <w:r>
        <w:t>cover</w:t>
      </w:r>
      <w:r>
        <w:rPr>
          <w:spacing w:val="-8"/>
        </w:rPr>
        <w:t xml:space="preserve"> </w:t>
      </w:r>
      <w:r>
        <w:t>5-6</w:t>
      </w:r>
      <w:r>
        <w:rPr>
          <w:spacing w:val="-5"/>
        </w:rPr>
        <w:t xml:space="preserve"> </w:t>
      </w:r>
      <w:r>
        <w:t>thematic</w:t>
      </w:r>
      <w:r>
        <w:rPr>
          <w:spacing w:val="-7"/>
        </w:rPr>
        <w:t xml:space="preserve"> </w:t>
      </w:r>
      <w:r>
        <w:t>areas. Externally, the</w:t>
      </w:r>
      <w:r>
        <w:rPr>
          <w:spacing w:val="-2"/>
        </w:rPr>
        <w:t xml:space="preserve"> </w:t>
      </w:r>
      <w:r>
        <w:t>local</w:t>
      </w:r>
      <w:r>
        <w:rPr>
          <w:spacing w:val="-2"/>
        </w:rPr>
        <w:t xml:space="preserve"> </w:t>
      </w:r>
      <w:r>
        <w:t>government's</w:t>
      </w:r>
      <w:r>
        <w:rPr>
          <w:spacing w:val="-2"/>
        </w:rPr>
        <w:t xml:space="preserve"> </w:t>
      </w:r>
      <w:r>
        <w:t>busy</w:t>
      </w:r>
      <w:r>
        <w:rPr>
          <w:spacing w:val="-2"/>
        </w:rPr>
        <w:t xml:space="preserve"> </w:t>
      </w:r>
      <w:r>
        <w:t>schedule</w:t>
      </w:r>
      <w:r>
        <w:rPr>
          <w:spacing w:val="-2"/>
        </w:rPr>
        <w:t xml:space="preserve"> </w:t>
      </w:r>
      <w:r>
        <w:t>in preparing</w:t>
      </w:r>
      <w:r>
        <w:rPr>
          <w:spacing w:val="-1"/>
        </w:rPr>
        <w:t xml:space="preserve"> </w:t>
      </w:r>
      <w:r>
        <w:t>and</w:t>
      </w:r>
      <w:r>
        <w:rPr>
          <w:spacing w:val="-3"/>
        </w:rPr>
        <w:t xml:space="preserve"> </w:t>
      </w:r>
      <w:r>
        <w:t>discussing</w:t>
      </w:r>
      <w:r>
        <w:rPr>
          <w:spacing w:val="-1"/>
        </w:rPr>
        <w:t xml:space="preserve"> </w:t>
      </w:r>
      <w:r>
        <w:t>the</w:t>
      </w:r>
      <w:r>
        <w:rPr>
          <w:spacing w:val="-4"/>
        </w:rPr>
        <w:t xml:space="preserve"> </w:t>
      </w:r>
      <w:r>
        <w:t>Regional</w:t>
      </w:r>
      <w:r>
        <w:rPr>
          <w:spacing w:val="-2"/>
        </w:rPr>
        <w:t xml:space="preserve"> </w:t>
      </w:r>
      <w:r>
        <w:t>Government Work Plan (RKPD) and Local Government Apparatus work plans (Renja OPD) also poses a challenge in collecting data from SKALA partners.</w:t>
      </w:r>
    </w:p>
    <w:p w14:paraId="321C4676" w14:textId="77777777" w:rsidR="00BC24A8" w:rsidRDefault="00BC24A8">
      <w:pPr>
        <w:pStyle w:val="BodyText"/>
      </w:pPr>
    </w:p>
    <w:p w14:paraId="01C7F98F" w14:textId="77777777" w:rsidR="00BC24A8" w:rsidRDefault="00BC24A8">
      <w:pPr>
        <w:pStyle w:val="BodyText"/>
        <w:spacing w:before="90"/>
      </w:pPr>
    </w:p>
    <w:p w14:paraId="6FBD8A82" w14:textId="77777777" w:rsidR="00BC24A8" w:rsidRDefault="00000000">
      <w:pPr>
        <w:ind w:left="143"/>
        <w:jc w:val="both"/>
        <w:rPr>
          <w:i/>
        </w:rPr>
      </w:pPr>
      <w:bookmarkStart w:id="249" w:name="Program_Implementation_and_Learning_Resu"/>
      <w:bookmarkEnd w:id="249"/>
      <w:r>
        <w:rPr>
          <w:i/>
          <w:color w:val="1F3762"/>
        </w:rPr>
        <w:t>Program</w:t>
      </w:r>
      <w:r>
        <w:rPr>
          <w:i/>
          <w:color w:val="1F3762"/>
          <w:spacing w:val="-9"/>
        </w:rPr>
        <w:t xml:space="preserve"> </w:t>
      </w:r>
      <w:r>
        <w:rPr>
          <w:i/>
          <w:color w:val="1F3762"/>
        </w:rPr>
        <w:t>Implementation</w:t>
      </w:r>
      <w:r>
        <w:rPr>
          <w:i/>
          <w:color w:val="1F3762"/>
          <w:spacing w:val="-9"/>
        </w:rPr>
        <w:t xml:space="preserve"> </w:t>
      </w:r>
      <w:r>
        <w:rPr>
          <w:i/>
          <w:color w:val="1F3762"/>
        </w:rPr>
        <w:t>and</w:t>
      </w:r>
      <w:r>
        <w:rPr>
          <w:i/>
          <w:color w:val="1F3762"/>
          <w:spacing w:val="-9"/>
        </w:rPr>
        <w:t xml:space="preserve"> </w:t>
      </w:r>
      <w:r>
        <w:rPr>
          <w:i/>
          <w:color w:val="1F3762"/>
        </w:rPr>
        <w:t>Learning</w:t>
      </w:r>
      <w:r>
        <w:rPr>
          <w:i/>
          <w:color w:val="1F3762"/>
          <w:spacing w:val="-7"/>
        </w:rPr>
        <w:t xml:space="preserve"> </w:t>
      </w:r>
      <w:r>
        <w:rPr>
          <w:i/>
          <w:color w:val="1F3762"/>
          <w:spacing w:val="-2"/>
        </w:rPr>
        <w:t>Results/Progress</w:t>
      </w:r>
    </w:p>
    <w:p w14:paraId="557799D5" w14:textId="77777777" w:rsidR="00BC24A8" w:rsidRDefault="00000000">
      <w:pPr>
        <w:pStyle w:val="BodyText"/>
        <w:spacing w:before="44"/>
        <w:ind w:left="143"/>
        <w:rPr>
          <w:rFonts w:ascii="Calibri"/>
        </w:rPr>
      </w:pPr>
      <w:bookmarkStart w:id="250" w:name="Summary_of_results_at_the_Input_level"/>
      <w:bookmarkEnd w:id="250"/>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4"/>
        </w:rPr>
        <w:t xml:space="preserve"> </w:t>
      </w:r>
      <w:r>
        <w:rPr>
          <w:rFonts w:ascii="Calibri"/>
          <w:color w:val="272727"/>
        </w:rPr>
        <w:t>at</w:t>
      </w:r>
      <w:r>
        <w:rPr>
          <w:rFonts w:ascii="Calibri"/>
          <w:color w:val="272727"/>
          <w:spacing w:val="-5"/>
        </w:rPr>
        <w:t xml:space="preserve"> </w:t>
      </w:r>
      <w:r>
        <w:rPr>
          <w:rFonts w:ascii="Calibri"/>
          <w:color w:val="272727"/>
        </w:rPr>
        <w:t>the</w:t>
      </w:r>
      <w:r>
        <w:rPr>
          <w:rFonts w:ascii="Calibri"/>
          <w:color w:val="272727"/>
          <w:spacing w:val="-3"/>
        </w:rPr>
        <w:t xml:space="preserve"> </w:t>
      </w:r>
      <w:r>
        <w:rPr>
          <w:rFonts w:ascii="Calibri"/>
          <w:color w:val="272727"/>
        </w:rPr>
        <w:t>Input</w:t>
      </w:r>
      <w:r>
        <w:rPr>
          <w:rFonts w:ascii="Calibri"/>
          <w:color w:val="272727"/>
          <w:spacing w:val="-2"/>
        </w:rPr>
        <w:t xml:space="preserve"> </w:t>
      </w:r>
      <w:r>
        <w:rPr>
          <w:rFonts w:ascii="Calibri"/>
          <w:color w:val="272727"/>
          <w:spacing w:val="-4"/>
        </w:rPr>
        <w:t>level</w:t>
      </w:r>
    </w:p>
    <w:p w14:paraId="685573D7" w14:textId="77777777" w:rsidR="00BC24A8" w:rsidRDefault="00BC24A8">
      <w:pPr>
        <w:pStyle w:val="BodyText"/>
        <w:spacing w:before="62"/>
        <w:rPr>
          <w:rFonts w:ascii="Calibri"/>
        </w:rPr>
      </w:pPr>
    </w:p>
    <w:p w14:paraId="3149FBCA" w14:textId="77777777" w:rsidR="00BC24A8" w:rsidRDefault="00000000">
      <w:pPr>
        <w:pStyle w:val="Heading5"/>
      </w:pPr>
      <w:bookmarkStart w:id="251" w:name="_bookmark171"/>
      <w:bookmarkEnd w:id="251"/>
      <w:r>
        <w:rPr>
          <w:color w:val="767070"/>
        </w:rPr>
        <w:t>Table</w:t>
      </w:r>
      <w:r>
        <w:rPr>
          <w:color w:val="767070"/>
          <w:spacing w:val="-13"/>
        </w:rPr>
        <w:t xml:space="preserve"> </w:t>
      </w:r>
      <w:r>
        <w:rPr>
          <w:color w:val="767070"/>
        </w:rPr>
        <w:t>26:</w:t>
      </w:r>
      <w:r>
        <w:rPr>
          <w:color w:val="767070"/>
          <w:spacing w:val="-10"/>
        </w:rPr>
        <w:t xml:space="preserve"> </w:t>
      </w:r>
      <w:r>
        <w:rPr>
          <w:color w:val="767070"/>
        </w:rPr>
        <w:t>Table</w:t>
      </w:r>
      <w:r>
        <w:rPr>
          <w:color w:val="767070"/>
          <w:spacing w:val="-10"/>
        </w:rPr>
        <w:t xml:space="preserve"> </w:t>
      </w:r>
      <w:r>
        <w:rPr>
          <w:color w:val="767070"/>
        </w:rPr>
        <w:t>of</w:t>
      </w:r>
      <w:r>
        <w:rPr>
          <w:color w:val="767070"/>
          <w:spacing w:val="-10"/>
        </w:rPr>
        <w:t xml:space="preserve"> </w:t>
      </w:r>
      <w:r>
        <w:rPr>
          <w:color w:val="767070"/>
        </w:rPr>
        <w:t>program</w:t>
      </w:r>
      <w:r>
        <w:rPr>
          <w:color w:val="767070"/>
          <w:spacing w:val="-11"/>
        </w:rPr>
        <w:t xml:space="preserve"> </w:t>
      </w:r>
      <w:r>
        <w:rPr>
          <w:color w:val="767070"/>
        </w:rPr>
        <w:t>input</w:t>
      </w:r>
      <w:r>
        <w:rPr>
          <w:color w:val="767070"/>
          <w:spacing w:val="-9"/>
        </w:rPr>
        <w:t xml:space="preserve"> </w:t>
      </w:r>
      <w:r>
        <w:rPr>
          <w:color w:val="767070"/>
        </w:rPr>
        <w:t>summary</w:t>
      </w:r>
      <w:r>
        <w:rPr>
          <w:color w:val="767070"/>
          <w:spacing w:val="-10"/>
        </w:rPr>
        <w:t xml:space="preserve"> </w:t>
      </w:r>
      <w:r>
        <w:rPr>
          <w:color w:val="767070"/>
        </w:rPr>
        <w:t>(January–June</w:t>
      </w:r>
      <w:r>
        <w:rPr>
          <w:color w:val="767070"/>
          <w:spacing w:val="-10"/>
        </w:rPr>
        <w:t xml:space="preserve"> </w:t>
      </w:r>
      <w:r>
        <w:rPr>
          <w:color w:val="767070"/>
          <w:spacing w:val="-2"/>
        </w:rPr>
        <w:t>2025)</w:t>
      </w:r>
    </w:p>
    <w:p w14:paraId="7E4D3172" w14:textId="77777777" w:rsidR="00BC24A8" w:rsidRDefault="00BC24A8">
      <w:pPr>
        <w:pStyle w:val="BodyText"/>
        <w:spacing w:before="5" w:after="1"/>
        <w:rPr>
          <w:rFonts w:ascii="Calibri"/>
          <w:b/>
          <w:sz w:val="16"/>
        </w:rPr>
      </w:pPr>
    </w:p>
    <w:tbl>
      <w:tblPr>
        <w:tblW w:w="0" w:type="auto"/>
        <w:tblInd w:w="150" w:type="dxa"/>
        <w:tblLayout w:type="fixed"/>
        <w:tblCellMar>
          <w:left w:w="0" w:type="dxa"/>
          <w:right w:w="0" w:type="dxa"/>
        </w:tblCellMar>
        <w:tblLook w:val="01E0" w:firstRow="1" w:lastRow="1" w:firstColumn="1" w:lastColumn="1" w:noHBand="0" w:noVBand="0"/>
      </w:tblPr>
      <w:tblGrid>
        <w:gridCol w:w="1620"/>
        <w:gridCol w:w="2251"/>
        <w:gridCol w:w="2249"/>
        <w:gridCol w:w="2971"/>
      </w:tblGrid>
      <w:tr w:rsidR="00BC24A8" w14:paraId="0F97EA00" w14:textId="77777777">
        <w:trPr>
          <w:trHeight w:val="379"/>
        </w:trPr>
        <w:tc>
          <w:tcPr>
            <w:tcW w:w="1620" w:type="dxa"/>
            <w:shd w:val="clear" w:color="auto" w:fill="17365A"/>
          </w:tcPr>
          <w:p w14:paraId="726EE40A" w14:textId="77777777" w:rsidR="00BC24A8" w:rsidRDefault="00000000">
            <w:pPr>
              <w:pStyle w:val="TableParagraph"/>
              <w:spacing w:before="59"/>
              <w:ind w:left="107"/>
              <w:rPr>
                <w:rFonts w:ascii="Calibri"/>
                <w:b/>
                <w:sz w:val="20"/>
              </w:rPr>
            </w:pPr>
            <w:r>
              <w:rPr>
                <w:rFonts w:ascii="Calibri"/>
                <w:b/>
                <w:color w:val="FFFFFF"/>
                <w:sz w:val="20"/>
              </w:rPr>
              <w:t>Input</w:t>
            </w:r>
            <w:r>
              <w:rPr>
                <w:rFonts w:ascii="Calibri"/>
                <w:b/>
                <w:color w:val="FFFFFF"/>
                <w:spacing w:val="-3"/>
                <w:sz w:val="20"/>
              </w:rPr>
              <w:t xml:space="preserve"> </w:t>
            </w:r>
            <w:r>
              <w:rPr>
                <w:rFonts w:ascii="Calibri"/>
                <w:b/>
                <w:color w:val="FFFFFF"/>
                <w:spacing w:val="-4"/>
                <w:sz w:val="20"/>
              </w:rPr>
              <w:t>type</w:t>
            </w:r>
          </w:p>
        </w:tc>
        <w:tc>
          <w:tcPr>
            <w:tcW w:w="2251" w:type="dxa"/>
            <w:shd w:val="clear" w:color="auto" w:fill="17365A"/>
          </w:tcPr>
          <w:p w14:paraId="232F36C4" w14:textId="77777777" w:rsidR="00BC24A8" w:rsidRDefault="00000000">
            <w:pPr>
              <w:pStyle w:val="TableParagraph"/>
              <w:spacing w:before="59"/>
              <w:ind w:left="2" w:right="2"/>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2"/>
                <w:sz w:val="20"/>
              </w:rPr>
              <w:t>inputs</w:t>
            </w:r>
          </w:p>
        </w:tc>
        <w:tc>
          <w:tcPr>
            <w:tcW w:w="2249" w:type="dxa"/>
            <w:shd w:val="clear" w:color="auto" w:fill="17365A"/>
          </w:tcPr>
          <w:p w14:paraId="6554BCAA" w14:textId="77777777" w:rsidR="00BC24A8" w:rsidRDefault="00000000">
            <w:pPr>
              <w:pStyle w:val="TableParagraph"/>
              <w:spacing w:before="59"/>
              <w:ind w:right="56"/>
              <w:jc w:val="center"/>
              <w:rPr>
                <w:rFonts w:ascii="Calibri"/>
                <w:b/>
                <w:sz w:val="20"/>
              </w:rPr>
            </w:pPr>
            <w:r>
              <w:rPr>
                <w:rFonts w:ascii="Calibri"/>
                <w:b/>
                <w:color w:val="FFFFFF"/>
                <w:sz w:val="20"/>
              </w:rPr>
              <w:t>Total</w:t>
            </w:r>
            <w:r>
              <w:rPr>
                <w:rFonts w:ascii="Calibri"/>
                <w:b/>
                <w:color w:val="FFFFFF"/>
                <w:spacing w:val="-6"/>
                <w:sz w:val="20"/>
              </w:rPr>
              <w:t xml:space="preserve"> </w:t>
            </w:r>
            <w:r>
              <w:rPr>
                <w:rFonts w:ascii="Calibri"/>
                <w:b/>
                <w:color w:val="FFFFFF"/>
                <w:sz w:val="20"/>
              </w:rPr>
              <w:t>budget</w:t>
            </w:r>
            <w:r>
              <w:rPr>
                <w:rFonts w:ascii="Calibri"/>
                <w:b/>
                <w:color w:val="FFFFFF"/>
                <w:spacing w:val="-5"/>
                <w:sz w:val="20"/>
              </w:rPr>
              <w:t xml:space="preserve"> </w:t>
            </w:r>
            <w:r>
              <w:rPr>
                <w:rFonts w:ascii="Calibri"/>
                <w:b/>
                <w:color w:val="FFFFFF"/>
                <w:spacing w:val="-2"/>
                <w:sz w:val="20"/>
              </w:rPr>
              <w:t>realisation</w:t>
            </w:r>
          </w:p>
        </w:tc>
        <w:tc>
          <w:tcPr>
            <w:tcW w:w="2971" w:type="dxa"/>
            <w:shd w:val="clear" w:color="auto" w:fill="17365A"/>
          </w:tcPr>
          <w:p w14:paraId="7ED6C030" w14:textId="77777777" w:rsidR="00BC24A8" w:rsidRDefault="00000000">
            <w:pPr>
              <w:pStyle w:val="TableParagraph"/>
              <w:spacing w:before="59"/>
              <w:ind w:left="107"/>
              <w:rPr>
                <w:rFonts w:ascii="Calibri"/>
                <w:b/>
                <w:sz w:val="20"/>
              </w:rPr>
            </w:pPr>
            <w:r>
              <w:rPr>
                <w:rFonts w:ascii="Calibri"/>
                <w:b/>
                <w:color w:val="FFFFFF"/>
                <w:sz w:val="20"/>
              </w:rPr>
              <w:t>Number</w:t>
            </w:r>
            <w:r>
              <w:rPr>
                <w:rFonts w:ascii="Calibri"/>
                <w:b/>
                <w:color w:val="FFFFFF"/>
                <w:spacing w:val="-6"/>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participants</w:t>
            </w:r>
            <w:r>
              <w:rPr>
                <w:rFonts w:ascii="Calibri"/>
                <w:b/>
                <w:color w:val="FFFFFF"/>
                <w:spacing w:val="-5"/>
                <w:sz w:val="20"/>
              </w:rPr>
              <w:t xml:space="preserve"> </w:t>
            </w:r>
            <w:r>
              <w:rPr>
                <w:rFonts w:ascii="Calibri"/>
                <w:b/>
                <w:color w:val="FFFFFF"/>
                <w:spacing w:val="-2"/>
                <w:sz w:val="20"/>
              </w:rPr>
              <w:t>involved</w:t>
            </w:r>
          </w:p>
        </w:tc>
      </w:tr>
      <w:tr w:rsidR="00BC24A8" w14:paraId="71D548BE" w14:textId="77777777">
        <w:trPr>
          <w:trHeight w:val="337"/>
        </w:trPr>
        <w:tc>
          <w:tcPr>
            <w:tcW w:w="1620" w:type="dxa"/>
          </w:tcPr>
          <w:p w14:paraId="51F8BF84" w14:textId="77777777" w:rsidR="00BC24A8" w:rsidRDefault="00000000">
            <w:pPr>
              <w:pStyle w:val="TableParagraph"/>
              <w:spacing w:before="102" w:line="216" w:lineRule="exact"/>
              <w:ind w:left="107"/>
              <w:rPr>
                <w:sz w:val="18"/>
              </w:rPr>
            </w:pPr>
            <w:r>
              <w:rPr>
                <w:spacing w:val="-2"/>
                <w:sz w:val="18"/>
              </w:rPr>
              <w:t>Workshop</w:t>
            </w:r>
          </w:p>
        </w:tc>
        <w:tc>
          <w:tcPr>
            <w:tcW w:w="2251" w:type="dxa"/>
          </w:tcPr>
          <w:p w14:paraId="4ED809A9" w14:textId="77777777" w:rsidR="00BC24A8" w:rsidRDefault="00000000">
            <w:pPr>
              <w:pStyle w:val="TableParagraph"/>
              <w:spacing w:before="102" w:line="216" w:lineRule="exact"/>
              <w:ind w:right="2"/>
              <w:jc w:val="center"/>
              <w:rPr>
                <w:sz w:val="18"/>
              </w:rPr>
            </w:pPr>
            <w:r>
              <w:rPr>
                <w:spacing w:val="-10"/>
                <w:sz w:val="18"/>
              </w:rPr>
              <w:t>4</w:t>
            </w:r>
          </w:p>
        </w:tc>
        <w:tc>
          <w:tcPr>
            <w:tcW w:w="2249" w:type="dxa"/>
          </w:tcPr>
          <w:p w14:paraId="50F78903" w14:textId="77777777" w:rsidR="00BC24A8" w:rsidRDefault="00000000">
            <w:pPr>
              <w:pStyle w:val="TableParagraph"/>
              <w:spacing w:before="102" w:line="216" w:lineRule="exact"/>
              <w:ind w:left="50" w:right="56"/>
              <w:jc w:val="center"/>
              <w:rPr>
                <w:sz w:val="18"/>
              </w:rPr>
            </w:pPr>
            <w:r>
              <w:rPr>
                <w:sz w:val="18"/>
              </w:rPr>
              <w:t xml:space="preserve">IDR </w:t>
            </w:r>
            <w:r>
              <w:rPr>
                <w:spacing w:val="-2"/>
                <w:sz w:val="18"/>
              </w:rPr>
              <w:t>525,245,910</w:t>
            </w:r>
          </w:p>
        </w:tc>
        <w:tc>
          <w:tcPr>
            <w:tcW w:w="2971" w:type="dxa"/>
          </w:tcPr>
          <w:p w14:paraId="43501227" w14:textId="77777777" w:rsidR="00BC24A8" w:rsidRDefault="00000000">
            <w:pPr>
              <w:pStyle w:val="TableParagraph"/>
              <w:spacing w:before="102" w:line="216" w:lineRule="exact"/>
              <w:ind w:left="107"/>
              <w:rPr>
                <w:sz w:val="18"/>
              </w:rPr>
            </w:pPr>
            <w:r>
              <w:rPr>
                <w:sz w:val="18"/>
              </w:rPr>
              <w:t>Person</w:t>
            </w:r>
            <w:r>
              <w:rPr>
                <w:spacing w:val="4"/>
                <w:sz w:val="18"/>
              </w:rPr>
              <w:t xml:space="preserve"> </w:t>
            </w:r>
            <w:r>
              <w:rPr>
                <w:sz w:val="18"/>
              </w:rPr>
              <w:t>time</w:t>
            </w:r>
            <w:hyperlink w:anchor="_bookmark173" w:history="1">
              <w:r w:rsidR="00BC24A8">
                <w:rPr>
                  <w:position w:val="5"/>
                  <w:sz w:val="12"/>
                </w:rPr>
                <w:t>90</w:t>
              </w:r>
            </w:hyperlink>
            <w:r>
              <w:rPr>
                <w:sz w:val="18"/>
              </w:rPr>
              <w:t>:</w:t>
            </w:r>
            <w:r>
              <w:rPr>
                <w:spacing w:val="4"/>
                <w:sz w:val="18"/>
              </w:rPr>
              <w:t xml:space="preserve"> </w:t>
            </w:r>
            <w:r>
              <w:rPr>
                <w:spacing w:val="-5"/>
                <w:sz w:val="18"/>
              </w:rPr>
              <w:t>636</w:t>
            </w:r>
          </w:p>
        </w:tc>
      </w:tr>
      <w:tr w:rsidR="00BC24A8" w14:paraId="371A68F4" w14:textId="77777777">
        <w:trPr>
          <w:trHeight w:val="219"/>
        </w:trPr>
        <w:tc>
          <w:tcPr>
            <w:tcW w:w="1620" w:type="dxa"/>
          </w:tcPr>
          <w:p w14:paraId="1E54946A" w14:textId="77777777" w:rsidR="00BC24A8" w:rsidRDefault="00BC24A8">
            <w:pPr>
              <w:pStyle w:val="TableParagraph"/>
              <w:rPr>
                <w:rFonts w:ascii="Times New Roman"/>
                <w:sz w:val="14"/>
              </w:rPr>
            </w:pPr>
          </w:p>
        </w:tc>
        <w:tc>
          <w:tcPr>
            <w:tcW w:w="2251" w:type="dxa"/>
          </w:tcPr>
          <w:p w14:paraId="2DCE75DC" w14:textId="77777777" w:rsidR="00BC24A8" w:rsidRDefault="00BC24A8">
            <w:pPr>
              <w:pStyle w:val="TableParagraph"/>
              <w:rPr>
                <w:rFonts w:ascii="Times New Roman"/>
                <w:sz w:val="14"/>
              </w:rPr>
            </w:pPr>
          </w:p>
        </w:tc>
        <w:tc>
          <w:tcPr>
            <w:tcW w:w="2249" w:type="dxa"/>
          </w:tcPr>
          <w:p w14:paraId="648C3A1C" w14:textId="77777777" w:rsidR="00BC24A8" w:rsidRDefault="00BC24A8">
            <w:pPr>
              <w:pStyle w:val="TableParagraph"/>
              <w:rPr>
                <w:rFonts w:ascii="Times New Roman"/>
                <w:sz w:val="14"/>
              </w:rPr>
            </w:pPr>
          </w:p>
        </w:tc>
        <w:tc>
          <w:tcPr>
            <w:tcW w:w="2971" w:type="dxa"/>
          </w:tcPr>
          <w:p w14:paraId="729E1F0F" w14:textId="77777777" w:rsidR="00BC24A8" w:rsidRDefault="00000000">
            <w:pPr>
              <w:pStyle w:val="TableParagraph"/>
              <w:spacing w:line="200" w:lineRule="exact"/>
              <w:ind w:left="107"/>
              <w:rPr>
                <w:sz w:val="18"/>
              </w:rPr>
            </w:pPr>
            <w:r>
              <w:rPr>
                <w:sz w:val="18"/>
              </w:rPr>
              <w:t>Male:</w:t>
            </w:r>
            <w:r>
              <w:rPr>
                <w:spacing w:val="-2"/>
                <w:sz w:val="18"/>
              </w:rPr>
              <w:t xml:space="preserve"> </w:t>
            </w:r>
            <w:r>
              <w:rPr>
                <w:spacing w:val="-5"/>
                <w:sz w:val="18"/>
              </w:rPr>
              <w:t>359</w:t>
            </w:r>
          </w:p>
        </w:tc>
      </w:tr>
      <w:tr w:rsidR="00BC24A8" w14:paraId="0C57E8B4" w14:textId="77777777">
        <w:trPr>
          <w:trHeight w:val="399"/>
        </w:trPr>
        <w:tc>
          <w:tcPr>
            <w:tcW w:w="1620" w:type="dxa"/>
            <w:tcBorders>
              <w:bottom w:val="single" w:sz="4" w:space="0" w:color="BEBEBE"/>
            </w:tcBorders>
          </w:tcPr>
          <w:p w14:paraId="0B391EB4" w14:textId="77777777" w:rsidR="00BC24A8" w:rsidRDefault="00BC24A8">
            <w:pPr>
              <w:pStyle w:val="TableParagraph"/>
              <w:rPr>
                <w:rFonts w:ascii="Times New Roman"/>
                <w:sz w:val="20"/>
              </w:rPr>
            </w:pPr>
          </w:p>
        </w:tc>
        <w:tc>
          <w:tcPr>
            <w:tcW w:w="2251" w:type="dxa"/>
            <w:tcBorders>
              <w:bottom w:val="single" w:sz="4" w:space="0" w:color="BEBEBE"/>
            </w:tcBorders>
          </w:tcPr>
          <w:p w14:paraId="295B8C80" w14:textId="77777777" w:rsidR="00BC24A8" w:rsidRDefault="00BC24A8">
            <w:pPr>
              <w:pStyle w:val="TableParagraph"/>
              <w:rPr>
                <w:rFonts w:ascii="Times New Roman"/>
                <w:sz w:val="20"/>
              </w:rPr>
            </w:pPr>
          </w:p>
        </w:tc>
        <w:tc>
          <w:tcPr>
            <w:tcW w:w="2249" w:type="dxa"/>
            <w:tcBorders>
              <w:bottom w:val="single" w:sz="4" w:space="0" w:color="BEBEBE"/>
            </w:tcBorders>
          </w:tcPr>
          <w:p w14:paraId="3829CB50" w14:textId="77777777" w:rsidR="00BC24A8" w:rsidRDefault="00BC24A8">
            <w:pPr>
              <w:pStyle w:val="TableParagraph"/>
              <w:rPr>
                <w:rFonts w:ascii="Times New Roman"/>
                <w:sz w:val="20"/>
              </w:rPr>
            </w:pPr>
          </w:p>
        </w:tc>
        <w:tc>
          <w:tcPr>
            <w:tcW w:w="2971" w:type="dxa"/>
          </w:tcPr>
          <w:p w14:paraId="36699A79" w14:textId="77777777" w:rsidR="00BC24A8" w:rsidRDefault="00000000">
            <w:pPr>
              <w:pStyle w:val="TableParagraph"/>
              <w:spacing w:line="204" w:lineRule="exact"/>
              <w:ind w:left="107"/>
              <w:rPr>
                <w:sz w:val="18"/>
              </w:rPr>
            </w:pPr>
            <w:r>
              <w:rPr>
                <w:sz w:val="18"/>
              </w:rPr>
              <w:t>Female:</w:t>
            </w:r>
            <w:r>
              <w:rPr>
                <w:spacing w:val="-2"/>
                <w:sz w:val="18"/>
              </w:rPr>
              <w:t xml:space="preserve"> </w:t>
            </w:r>
            <w:r>
              <w:rPr>
                <w:spacing w:val="-5"/>
                <w:sz w:val="18"/>
              </w:rPr>
              <w:t>277</w:t>
            </w:r>
          </w:p>
        </w:tc>
      </w:tr>
      <w:tr w:rsidR="00BC24A8" w14:paraId="3B1AD689" w14:textId="77777777">
        <w:trPr>
          <w:trHeight w:val="470"/>
        </w:trPr>
        <w:tc>
          <w:tcPr>
            <w:tcW w:w="1620" w:type="dxa"/>
            <w:tcBorders>
              <w:top w:val="single" w:sz="4" w:space="0" w:color="BEBEBE"/>
            </w:tcBorders>
          </w:tcPr>
          <w:p w14:paraId="23870594" w14:textId="77777777" w:rsidR="00BC24A8" w:rsidRDefault="00000000">
            <w:pPr>
              <w:pStyle w:val="TableParagraph"/>
              <w:spacing w:before="59"/>
              <w:ind w:left="107"/>
              <w:rPr>
                <w:sz w:val="18"/>
              </w:rPr>
            </w:pPr>
            <w:r>
              <w:rPr>
                <w:spacing w:val="-5"/>
                <w:sz w:val="18"/>
              </w:rPr>
              <w:t>TA</w:t>
            </w:r>
          </w:p>
        </w:tc>
        <w:tc>
          <w:tcPr>
            <w:tcW w:w="2251" w:type="dxa"/>
            <w:tcBorders>
              <w:top w:val="single" w:sz="4" w:space="0" w:color="BEBEBE"/>
            </w:tcBorders>
          </w:tcPr>
          <w:p w14:paraId="0DEDBD7C" w14:textId="77777777" w:rsidR="00BC24A8" w:rsidRDefault="00000000">
            <w:pPr>
              <w:pStyle w:val="TableParagraph"/>
              <w:spacing w:before="59"/>
              <w:ind w:right="2"/>
              <w:jc w:val="center"/>
              <w:rPr>
                <w:sz w:val="18"/>
              </w:rPr>
            </w:pPr>
            <w:r>
              <w:rPr>
                <w:spacing w:val="-10"/>
                <w:sz w:val="18"/>
              </w:rPr>
              <w:t>9</w:t>
            </w:r>
          </w:p>
        </w:tc>
        <w:tc>
          <w:tcPr>
            <w:tcW w:w="2249" w:type="dxa"/>
            <w:vMerge w:val="restart"/>
            <w:tcBorders>
              <w:top w:val="single" w:sz="4" w:space="0" w:color="BEBEBE"/>
            </w:tcBorders>
          </w:tcPr>
          <w:p w14:paraId="748AF2CB" w14:textId="77777777" w:rsidR="00BC24A8" w:rsidRDefault="00BC24A8">
            <w:pPr>
              <w:pStyle w:val="TableParagraph"/>
              <w:rPr>
                <w:rFonts w:ascii="Times New Roman"/>
                <w:sz w:val="20"/>
              </w:rPr>
            </w:pPr>
          </w:p>
        </w:tc>
        <w:tc>
          <w:tcPr>
            <w:tcW w:w="2971" w:type="dxa"/>
          </w:tcPr>
          <w:p w14:paraId="11915128" w14:textId="77777777" w:rsidR="00BC24A8" w:rsidRDefault="00000000">
            <w:pPr>
              <w:pStyle w:val="TableParagraph"/>
              <w:spacing w:before="13"/>
              <w:ind w:left="107"/>
              <w:rPr>
                <w:sz w:val="18"/>
              </w:rPr>
            </w:pPr>
            <w:r>
              <w:rPr>
                <w:sz w:val="18"/>
              </w:rPr>
              <w:t>Headcount</w:t>
            </w:r>
            <w:r>
              <w:rPr>
                <w:position w:val="5"/>
                <w:sz w:val="12"/>
              </w:rPr>
              <w:t>1</w:t>
            </w:r>
            <w:r>
              <w:rPr>
                <w:sz w:val="18"/>
              </w:rPr>
              <w:t>:</w:t>
            </w:r>
            <w:r>
              <w:rPr>
                <w:spacing w:val="-3"/>
                <w:sz w:val="18"/>
              </w:rPr>
              <w:t xml:space="preserve"> </w:t>
            </w:r>
            <w:r>
              <w:rPr>
                <w:spacing w:val="-5"/>
                <w:sz w:val="18"/>
              </w:rPr>
              <w:t>53</w:t>
            </w:r>
          </w:p>
          <w:p w14:paraId="0EE3254E" w14:textId="77777777" w:rsidR="00BC24A8" w:rsidRDefault="00000000">
            <w:pPr>
              <w:pStyle w:val="TableParagraph"/>
              <w:spacing w:before="1" w:line="217" w:lineRule="exact"/>
              <w:ind w:left="107"/>
              <w:rPr>
                <w:sz w:val="18"/>
              </w:rPr>
            </w:pPr>
            <w:r>
              <w:rPr>
                <w:sz w:val="18"/>
              </w:rPr>
              <w:t>Male:</w:t>
            </w:r>
            <w:r>
              <w:rPr>
                <w:spacing w:val="-2"/>
                <w:sz w:val="18"/>
              </w:rPr>
              <w:t xml:space="preserve"> </w:t>
            </w:r>
            <w:r>
              <w:rPr>
                <w:spacing w:val="-5"/>
                <w:sz w:val="18"/>
              </w:rPr>
              <w:t>29</w:t>
            </w:r>
          </w:p>
        </w:tc>
      </w:tr>
      <w:tr w:rsidR="00BC24A8" w14:paraId="400BBC6A" w14:textId="77777777">
        <w:trPr>
          <w:trHeight w:val="433"/>
        </w:trPr>
        <w:tc>
          <w:tcPr>
            <w:tcW w:w="1620" w:type="dxa"/>
          </w:tcPr>
          <w:p w14:paraId="0FA51E43" w14:textId="77777777" w:rsidR="00BC24A8" w:rsidRDefault="00BC24A8">
            <w:pPr>
              <w:pStyle w:val="TableParagraph"/>
              <w:rPr>
                <w:rFonts w:ascii="Times New Roman"/>
                <w:sz w:val="20"/>
              </w:rPr>
            </w:pPr>
          </w:p>
        </w:tc>
        <w:tc>
          <w:tcPr>
            <w:tcW w:w="2251" w:type="dxa"/>
          </w:tcPr>
          <w:p w14:paraId="4C86B7AC" w14:textId="77777777" w:rsidR="00BC24A8" w:rsidRDefault="00BC24A8">
            <w:pPr>
              <w:pStyle w:val="TableParagraph"/>
              <w:rPr>
                <w:rFonts w:ascii="Times New Roman"/>
                <w:sz w:val="20"/>
              </w:rPr>
            </w:pPr>
          </w:p>
        </w:tc>
        <w:tc>
          <w:tcPr>
            <w:tcW w:w="2249" w:type="dxa"/>
            <w:vMerge/>
            <w:tcBorders>
              <w:top w:val="nil"/>
            </w:tcBorders>
          </w:tcPr>
          <w:p w14:paraId="67411853" w14:textId="77777777" w:rsidR="00BC24A8" w:rsidRDefault="00BC24A8">
            <w:pPr>
              <w:rPr>
                <w:sz w:val="2"/>
                <w:szCs w:val="2"/>
              </w:rPr>
            </w:pPr>
          </w:p>
        </w:tc>
        <w:tc>
          <w:tcPr>
            <w:tcW w:w="2971" w:type="dxa"/>
          </w:tcPr>
          <w:p w14:paraId="474F15FF" w14:textId="77777777" w:rsidR="00BC24A8" w:rsidRDefault="00000000">
            <w:pPr>
              <w:pStyle w:val="TableParagraph"/>
              <w:spacing w:line="204" w:lineRule="exact"/>
              <w:ind w:left="107"/>
              <w:rPr>
                <w:sz w:val="18"/>
              </w:rPr>
            </w:pPr>
            <w:r>
              <w:rPr>
                <w:sz w:val="18"/>
              </w:rPr>
              <w:t>Female:</w:t>
            </w:r>
            <w:r>
              <w:rPr>
                <w:spacing w:val="-2"/>
                <w:sz w:val="18"/>
              </w:rPr>
              <w:t xml:space="preserve"> </w:t>
            </w:r>
            <w:r>
              <w:rPr>
                <w:spacing w:val="-5"/>
                <w:sz w:val="18"/>
              </w:rPr>
              <w:t>24</w:t>
            </w:r>
          </w:p>
        </w:tc>
      </w:tr>
      <w:tr w:rsidR="00BC24A8" w14:paraId="23C8C309" w14:textId="77777777">
        <w:trPr>
          <w:trHeight w:val="352"/>
        </w:trPr>
        <w:tc>
          <w:tcPr>
            <w:tcW w:w="1620" w:type="dxa"/>
            <w:tcBorders>
              <w:bottom w:val="single" w:sz="4" w:space="0" w:color="BEBEBE"/>
              <w:right w:val="single" w:sz="18" w:space="0" w:color="FFFFFF"/>
            </w:tcBorders>
            <w:shd w:val="clear" w:color="auto" w:fill="A7A9AC"/>
          </w:tcPr>
          <w:p w14:paraId="1D48141D" w14:textId="77777777" w:rsidR="00BC24A8" w:rsidRDefault="00000000">
            <w:pPr>
              <w:pStyle w:val="TableParagraph"/>
              <w:spacing w:before="61"/>
              <w:ind w:left="107"/>
              <w:rPr>
                <w:rFonts w:ascii="Calibri"/>
                <w:b/>
                <w:sz w:val="18"/>
              </w:rPr>
            </w:pPr>
            <w:r w:rsidRPr="00795364">
              <w:rPr>
                <w:rFonts w:ascii="Calibri"/>
                <w:b/>
                <w:color w:val="000000"/>
                <w:spacing w:val="-2"/>
                <w:sz w:val="18"/>
              </w:rPr>
              <w:t>TOTAL</w:t>
            </w:r>
          </w:p>
        </w:tc>
        <w:tc>
          <w:tcPr>
            <w:tcW w:w="2251" w:type="dxa"/>
            <w:tcBorders>
              <w:left w:val="single" w:sz="18" w:space="0" w:color="FFFFFF"/>
              <w:bottom w:val="single" w:sz="4" w:space="0" w:color="BEBEBE"/>
              <w:right w:val="single" w:sz="18" w:space="0" w:color="FFFFFF"/>
            </w:tcBorders>
            <w:shd w:val="clear" w:color="auto" w:fill="A7A9AC"/>
          </w:tcPr>
          <w:p w14:paraId="71385BB2" w14:textId="77777777" w:rsidR="00BC24A8" w:rsidRDefault="00000000">
            <w:pPr>
              <w:pStyle w:val="TableParagraph"/>
              <w:spacing w:before="61"/>
              <w:ind w:right="2"/>
              <w:jc w:val="center"/>
              <w:rPr>
                <w:rFonts w:ascii="Calibri"/>
                <w:b/>
                <w:sz w:val="18"/>
              </w:rPr>
            </w:pPr>
            <w:r w:rsidRPr="00795364">
              <w:rPr>
                <w:rFonts w:ascii="Calibri"/>
                <w:b/>
                <w:color w:val="000000"/>
                <w:spacing w:val="-5"/>
                <w:sz w:val="18"/>
              </w:rPr>
              <w:t>13</w:t>
            </w:r>
          </w:p>
        </w:tc>
        <w:tc>
          <w:tcPr>
            <w:tcW w:w="2249" w:type="dxa"/>
            <w:tcBorders>
              <w:left w:val="single" w:sz="18" w:space="0" w:color="FFFFFF"/>
              <w:bottom w:val="single" w:sz="4" w:space="0" w:color="BEBEBE"/>
            </w:tcBorders>
            <w:shd w:val="clear" w:color="auto" w:fill="A7A9AC"/>
          </w:tcPr>
          <w:p w14:paraId="1A22C097" w14:textId="77777777" w:rsidR="00BC24A8" w:rsidRDefault="00000000">
            <w:pPr>
              <w:pStyle w:val="TableParagraph"/>
              <w:spacing w:before="61"/>
              <w:ind w:right="29"/>
              <w:jc w:val="center"/>
              <w:rPr>
                <w:rFonts w:ascii="Calibri"/>
                <w:b/>
                <w:sz w:val="18"/>
              </w:rPr>
            </w:pPr>
            <w:r w:rsidRPr="00795364">
              <w:rPr>
                <w:rFonts w:ascii="Calibri"/>
                <w:b/>
                <w:color w:val="000000"/>
                <w:sz w:val="18"/>
              </w:rPr>
              <w:t>Rp.</w:t>
            </w:r>
            <w:r w:rsidRPr="00795364">
              <w:rPr>
                <w:rFonts w:ascii="Calibri"/>
                <w:b/>
                <w:color w:val="000000"/>
                <w:spacing w:val="-2"/>
                <w:sz w:val="18"/>
              </w:rPr>
              <w:t xml:space="preserve"> 525,245,910</w:t>
            </w:r>
          </w:p>
        </w:tc>
        <w:tc>
          <w:tcPr>
            <w:tcW w:w="2971" w:type="dxa"/>
            <w:tcBorders>
              <w:bottom w:val="single" w:sz="4" w:space="0" w:color="BEBEBE"/>
            </w:tcBorders>
            <w:shd w:val="clear" w:color="auto" w:fill="A7A9AC"/>
          </w:tcPr>
          <w:p w14:paraId="42431D53" w14:textId="77777777" w:rsidR="00BC24A8" w:rsidRDefault="00BC24A8">
            <w:pPr>
              <w:pStyle w:val="TableParagraph"/>
              <w:rPr>
                <w:rFonts w:ascii="Times New Roman"/>
                <w:sz w:val="20"/>
              </w:rPr>
            </w:pPr>
          </w:p>
        </w:tc>
      </w:tr>
    </w:tbl>
    <w:p w14:paraId="67EEE77D" w14:textId="77777777" w:rsidR="00BC24A8" w:rsidRDefault="00000000">
      <w:pPr>
        <w:spacing w:before="123"/>
        <w:ind w:left="143"/>
        <w:jc w:val="both"/>
        <w:rPr>
          <w:sz w:val="16"/>
        </w:rPr>
      </w:pPr>
      <w:r>
        <w:rPr>
          <w:sz w:val="16"/>
        </w:rPr>
        <w:t>Data</w:t>
      </w:r>
      <w:r>
        <w:rPr>
          <w:spacing w:val="-9"/>
          <w:sz w:val="16"/>
        </w:rPr>
        <w:t xml:space="preserve"> </w:t>
      </w:r>
      <w:r>
        <w:rPr>
          <w:sz w:val="16"/>
        </w:rPr>
        <w:t>source:</w:t>
      </w:r>
      <w:r>
        <w:rPr>
          <w:spacing w:val="-4"/>
          <w:sz w:val="16"/>
        </w:rPr>
        <w:t xml:space="preserve"> </w:t>
      </w:r>
      <w:r>
        <w:rPr>
          <w:sz w:val="16"/>
        </w:rPr>
        <w:t>SKALA</w:t>
      </w:r>
      <w:r>
        <w:rPr>
          <w:spacing w:val="-6"/>
          <w:sz w:val="16"/>
        </w:rPr>
        <w:t xml:space="preserve"> </w:t>
      </w:r>
      <w:r>
        <w:rPr>
          <w:sz w:val="16"/>
        </w:rPr>
        <w:t>MIS</w:t>
      </w:r>
      <w:r>
        <w:rPr>
          <w:spacing w:val="-5"/>
          <w:sz w:val="16"/>
        </w:rPr>
        <w:t xml:space="preserve"> </w:t>
      </w:r>
      <w:r>
        <w:rPr>
          <w:sz w:val="16"/>
        </w:rPr>
        <w:t>retrieved</w:t>
      </w:r>
      <w:r>
        <w:rPr>
          <w:spacing w:val="-7"/>
          <w:sz w:val="16"/>
        </w:rPr>
        <w:t xml:space="preserve"> </w:t>
      </w:r>
      <w:r>
        <w:rPr>
          <w:sz w:val="16"/>
        </w:rPr>
        <w:t>on</w:t>
      </w:r>
      <w:r>
        <w:rPr>
          <w:spacing w:val="-7"/>
          <w:sz w:val="16"/>
        </w:rPr>
        <w:t xml:space="preserve"> </w:t>
      </w:r>
      <w:r>
        <w:rPr>
          <w:sz w:val="16"/>
        </w:rPr>
        <w:t>August</w:t>
      </w:r>
      <w:r>
        <w:rPr>
          <w:spacing w:val="-5"/>
          <w:sz w:val="16"/>
        </w:rPr>
        <w:t xml:space="preserve"> </w:t>
      </w:r>
      <w:r>
        <w:rPr>
          <w:sz w:val="16"/>
        </w:rPr>
        <w:t>1,</w:t>
      </w:r>
      <w:r>
        <w:rPr>
          <w:spacing w:val="-6"/>
          <w:sz w:val="16"/>
        </w:rPr>
        <w:t xml:space="preserve"> </w:t>
      </w:r>
      <w:r>
        <w:rPr>
          <w:spacing w:val="-4"/>
          <w:sz w:val="16"/>
        </w:rPr>
        <w:t>2025.</w:t>
      </w:r>
    </w:p>
    <w:p w14:paraId="5333A197" w14:textId="77777777" w:rsidR="00BC24A8" w:rsidRDefault="00BC24A8">
      <w:pPr>
        <w:pStyle w:val="BodyText"/>
        <w:rPr>
          <w:sz w:val="16"/>
        </w:rPr>
      </w:pPr>
    </w:p>
    <w:p w14:paraId="7ECB0F5E" w14:textId="77777777" w:rsidR="00BC24A8" w:rsidRDefault="00BC24A8">
      <w:pPr>
        <w:pStyle w:val="BodyText"/>
        <w:spacing w:before="113"/>
        <w:rPr>
          <w:sz w:val="16"/>
        </w:rPr>
      </w:pPr>
    </w:p>
    <w:p w14:paraId="4F199078" w14:textId="77777777" w:rsidR="00BC24A8" w:rsidRDefault="00000000">
      <w:pPr>
        <w:pStyle w:val="BodyText"/>
        <w:ind w:left="143"/>
        <w:rPr>
          <w:rFonts w:ascii="Calibri"/>
        </w:rPr>
      </w:pPr>
      <w:bookmarkStart w:id="252" w:name="Summary_of_results_at_the_Output_level"/>
      <w:bookmarkEnd w:id="252"/>
      <w:r>
        <w:rPr>
          <w:rFonts w:ascii="Calibri"/>
          <w:color w:val="272727"/>
        </w:rPr>
        <w:t>Summary</w:t>
      </w:r>
      <w:r>
        <w:rPr>
          <w:rFonts w:ascii="Calibri"/>
          <w:color w:val="272727"/>
          <w:spacing w:val="-3"/>
        </w:rPr>
        <w:t xml:space="preserve"> </w:t>
      </w:r>
      <w:r>
        <w:rPr>
          <w:rFonts w:ascii="Calibri"/>
          <w:color w:val="272727"/>
        </w:rPr>
        <w:t>of</w:t>
      </w:r>
      <w:r>
        <w:rPr>
          <w:rFonts w:ascii="Calibri"/>
          <w:color w:val="272727"/>
          <w:spacing w:val="-5"/>
        </w:rPr>
        <w:t xml:space="preserve"> </w:t>
      </w:r>
      <w:r>
        <w:rPr>
          <w:rFonts w:ascii="Calibri"/>
          <w:color w:val="272727"/>
        </w:rPr>
        <w:t>results</w:t>
      </w:r>
      <w:r>
        <w:rPr>
          <w:rFonts w:ascii="Calibri"/>
          <w:color w:val="272727"/>
          <w:spacing w:val="-3"/>
        </w:rPr>
        <w:t xml:space="preserve"> </w:t>
      </w:r>
      <w:r>
        <w:rPr>
          <w:rFonts w:ascii="Calibri"/>
          <w:color w:val="272727"/>
        </w:rPr>
        <w:t>at</w:t>
      </w:r>
      <w:r>
        <w:rPr>
          <w:rFonts w:ascii="Calibri"/>
          <w:color w:val="272727"/>
          <w:spacing w:val="-4"/>
        </w:rPr>
        <w:t xml:space="preserve"> </w:t>
      </w:r>
      <w:r>
        <w:rPr>
          <w:rFonts w:ascii="Calibri"/>
          <w:color w:val="272727"/>
        </w:rPr>
        <w:t>the</w:t>
      </w:r>
      <w:r>
        <w:rPr>
          <w:rFonts w:ascii="Calibri"/>
          <w:color w:val="272727"/>
          <w:spacing w:val="-5"/>
        </w:rPr>
        <w:t xml:space="preserve"> </w:t>
      </w:r>
      <w:r>
        <w:rPr>
          <w:rFonts w:ascii="Calibri"/>
          <w:color w:val="272727"/>
        </w:rPr>
        <w:t>Output</w:t>
      </w:r>
      <w:r>
        <w:rPr>
          <w:rFonts w:ascii="Calibri"/>
          <w:color w:val="272727"/>
          <w:spacing w:val="-2"/>
        </w:rPr>
        <w:t xml:space="preserve"> </w:t>
      </w:r>
      <w:r>
        <w:rPr>
          <w:rFonts w:ascii="Calibri"/>
          <w:color w:val="272727"/>
          <w:spacing w:val="-4"/>
        </w:rPr>
        <w:t>level</w:t>
      </w:r>
    </w:p>
    <w:p w14:paraId="22C8273C" w14:textId="77777777" w:rsidR="00BC24A8" w:rsidRDefault="00BC24A8">
      <w:pPr>
        <w:pStyle w:val="BodyText"/>
        <w:spacing w:before="36"/>
        <w:rPr>
          <w:rFonts w:ascii="Calibri"/>
        </w:rPr>
      </w:pPr>
    </w:p>
    <w:p w14:paraId="7395E1E4" w14:textId="77777777" w:rsidR="00BC24A8" w:rsidRDefault="00000000">
      <w:pPr>
        <w:pStyle w:val="Heading5"/>
        <w:spacing w:before="1"/>
      </w:pPr>
      <w:bookmarkStart w:id="253" w:name="_bookmark172"/>
      <w:bookmarkEnd w:id="253"/>
      <w:r>
        <w:rPr>
          <w:color w:val="767070"/>
        </w:rPr>
        <w:t>Table</w:t>
      </w:r>
      <w:r>
        <w:rPr>
          <w:color w:val="767070"/>
          <w:spacing w:val="-7"/>
        </w:rPr>
        <w:t xml:space="preserve"> </w:t>
      </w:r>
      <w:r>
        <w:rPr>
          <w:color w:val="767070"/>
        </w:rPr>
        <w:t>27:</w:t>
      </w:r>
      <w:r>
        <w:rPr>
          <w:color w:val="767070"/>
          <w:spacing w:val="-7"/>
        </w:rPr>
        <w:t xml:space="preserve"> </w:t>
      </w:r>
      <w:r>
        <w:rPr>
          <w:color w:val="767070"/>
        </w:rPr>
        <w:t>Table</w:t>
      </w:r>
      <w:r>
        <w:rPr>
          <w:color w:val="767070"/>
          <w:spacing w:val="-6"/>
        </w:rPr>
        <w:t xml:space="preserve"> </w:t>
      </w:r>
      <w:r>
        <w:rPr>
          <w:color w:val="767070"/>
        </w:rPr>
        <w:t>of</w:t>
      </w:r>
      <w:r>
        <w:rPr>
          <w:color w:val="767070"/>
          <w:spacing w:val="-7"/>
        </w:rPr>
        <w:t xml:space="preserve"> </w:t>
      </w:r>
      <w:r>
        <w:rPr>
          <w:color w:val="767070"/>
        </w:rPr>
        <w:t>summary</w:t>
      </w:r>
      <w:r>
        <w:rPr>
          <w:color w:val="767070"/>
          <w:spacing w:val="-5"/>
        </w:rPr>
        <w:t xml:space="preserve"> </w:t>
      </w:r>
      <w:r>
        <w:rPr>
          <w:color w:val="767070"/>
        </w:rPr>
        <w:t>of</w:t>
      </w:r>
      <w:r>
        <w:rPr>
          <w:color w:val="767070"/>
          <w:spacing w:val="-6"/>
        </w:rPr>
        <w:t xml:space="preserve"> </w:t>
      </w:r>
      <w:r>
        <w:rPr>
          <w:color w:val="767070"/>
        </w:rPr>
        <w:t>FY</w:t>
      </w:r>
      <w:r>
        <w:rPr>
          <w:color w:val="767070"/>
          <w:spacing w:val="-7"/>
        </w:rPr>
        <w:t xml:space="preserve"> </w:t>
      </w:r>
      <w:r>
        <w:rPr>
          <w:color w:val="767070"/>
        </w:rPr>
        <w:t>2024/2025</w:t>
      </w:r>
      <w:r>
        <w:rPr>
          <w:color w:val="767070"/>
          <w:spacing w:val="-7"/>
        </w:rPr>
        <w:t xml:space="preserve"> </w:t>
      </w:r>
      <w:r>
        <w:rPr>
          <w:color w:val="767070"/>
        </w:rPr>
        <w:t>work</w:t>
      </w:r>
      <w:r>
        <w:rPr>
          <w:color w:val="767070"/>
          <w:spacing w:val="-5"/>
        </w:rPr>
        <w:t xml:space="preserve"> </w:t>
      </w:r>
      <w:r>
        <w:rPr>
          <w:color w:val="767070"/>
        </w:rPr>
        <w:t>plan</w:t>
      </w:r>
      <w:r>
        <w:rPr>
          <w:color w:val="767070"/>
          <w:spacing w:val="-7"/>
        </w:rPr>
        <w:t xml:space="preserve"> </w:t>
      </w:r>
      <w:r>
        <w:rPr>
          <w:color w:val="767070"/>
        </w:rPr>
        <w:t>outputs</w:t>
      </w:r>
      <w:r>
        <w:rPr>
          <w:color w:val="767070"/>
          <w:spacing w:val="-5"/>
        </w:rPr>
        <w:t xml:space="preserve"> </w:t>
      </w:r>
      <w:r>
        <w:rPr>
          <w:color w:val="767070"/>
        </w:rPr>
        <w:t>as</w:t>
      </w:r>
      <w:r>
        <w:rPr>
          <w:color w:val="767070"/>
          <w:spacing w:val="-4"/>
        </w:rPr>
        <w:t xml:space="preserve"> </w:t>
      </w:r>
      <w:r>
        <w:rPr>
          <w:color w:val="767070"/>
        </w:rPr>
        <w:t>of</w:t>
      </w:r>
      <w:r>
        <w:rPr>
          <w:color w:val="767070"/>
          <w:spacing w:val="-6"/>
        </w:rPr>
        <w:t xml:space="preserve"> </w:t>
      </w:r>
      <w:r>
        <w:rPr>
          <w:color w:val="767070"/>
        </w:rPr>
        <w:t>June</w:t>
      </w:r>
      <w:r>
        <w:rPr>
          <w:color w:val="767070"/>
          <w:spacing w:val="-6"/>
        </w:rPr>
        <w:t xml:space="preserve"> </w:t>
      </w:r>
      <w:r>
        <w:rPr>
          <w:color w:val="767070"/>
          <w:spacing w:val="-4"/>
        </w:rPr>
        <w:t>2025</w:t>
      </w:r>
    </w:p>
    <w:p w14:paraId="5807D167" w14:textId="77777777" w:rsidR="00BC24A8" w:rsidRDefault="00BC24A8">
      <w:pPr>
        <w:pStyle w:val="BodyText"/>
        <w:spacing w:before="12"/>
        <w:rPr>
          <w:rFonts w:ascii="Calibri"/>
          <w:b/>
          <w:sz w:val="15"/>
        </w:rPr>
      </w:pPr>
    </w:p>
    <w:tbl>
      <w:tblPr>
        <w:tblW w:w="0" w:type="auto"/>
        <w:tblInd w:w="143" w:type="dxa"/>
        <w:tblLayout w:type="fixed"/>
        <w:tblCellMar>
          <w:left w:w="0" w:type="dxa"/>
          <w:right w:w="0" w:type="dxa"/>
        </w:tblCellMar>
        <w:tblLook w:val="01E0" w:firstRow="1" w:lastRow="1" w:firstColumn="1" w:lastColumn="1" w:noHBand="0" w:noVBand="0"/>
      </w:tblPr>
      <w:tblGrid>
        <w:gridCol w:w="2357"/>
        <w:gridCol w:w="1807"/>
        <w:gridCol w:w="2076"/>
        <w:gridCol w:w="2837"/>
      </w:tblGrid>
      <w:tr w:rsidR="00BC24A8" w14:paraId="06846DE9" w14:textId="77777777">
        <w:trPr>
          <w:trHeight w:val="398"/>
        </w:trPr>
        <w:tc>
          <w:tcPr>
            <w:tcW w:w="2357" w:type="dxa"/>
            <w:shd w:val="clear" w:color="auto" w:fill="17365A"/>
          </w:tcPr>
          <w:p w14:paraId="3EF933B6" w14:textId="77777777" w:rsidR="00BC24A8" w:rsidRDefault="00000000">
            <w:pPr>
              <w:pStyle w:val="TableParagraph"/>
              <w:spacing w:before="78"/>
              <w:ind w:left="115"/>
              <w:rPr>
                <w:rFonts w:ascii="Calibri"/>
                <w:b/>
                <w:sz w:val="20"/>
              </w:rPr>
            </w:pPr>
            <w:r>
              <w:rPr>
                <w:rFonts w:ascii="Calibri"/>
                <w:b/>
                <w:color w:val="FFFFFF"/>
                <w:spacing w:val="-2"/>
                <w:sz w:val="20"/>
              </w:rPr>
              <w:t>Theme</w:t>
            </w:r>
          </w:p>
        </w:tc>
        <w:tc>
          <w:tcPr>
            <w:tcW w:w="1807" w:type="dxa"/>
            <w:shd w:val="clear" w:color="auto" w:fill="17365A"/>
          </w:tcPr>
          <w:p w14:paraId="7941980B" w14:textId="77777777" w:rsidR="00BC24A8" w:rsidRDefault="00000000">
            <w:pPr>
              <w:pStyle w:val="TableParagraph"/>
              <w:spacing w:before="78"/>
              <w:ind w:left="6" w:right="4"/>
              <w:jc w:val="center"/>
              <w:rPr>
                <w:rFonts w:ascii="Calibri"/>
                <w:b/>
                <w:sz w:val="20"/>
              </w:rPr>
            </w:pPr>
            <w:r>
              <w:rPr>
                <w:rFonts w:ascii="Calibri"/>
                <w:b/>
                <w:color w:val="FFFFFF"/>
                <w:spacing w:val="-2"/>
                <w:sz w:val="20"/>
              </w:rPr>
              <w:t>Completed</w:t>
            </w:r>
          </w:p>
        </w:tc>
        <w:tc>
          <w:tcPr>
            <w:tcW w:w="2076" w:type="dxa"/>
            <w:shd w:val="clear" w:color="auto" w:fill="17365A"/>
          </w:tcPr>
          <w:p w14:paraId="6472D069" w14:textId="77777777" w:rsidR="00BC24A8" w:rsidRDefault="00000000">
            <w:pPr>
              <w:pStyle w:val="TableParagraph"/>
              <w:spacing w:before="78"/>
              <w:ind w:left="5" w:right="5"/>
              <w:jc w:val="center"/>
              <w:rPr>
                <w:rFonts w:ascii="Calibri"/>
                <w:b/>
                <w:sz w:val="20"/>
              </w:rPr>
            </w:pPr>
            <w:r>
              <w:rPr>
                <w:rFonts w:ascii="Calibri"/>
                <w:b/>
                <w:color w:val="FFFFFF"/>
                <w:sz w:val="20"/>
              </w:rPr>
              <w:t>Not</w:t>
            </w:r>
            <w:r>
              <w:rPr>
                <w:rFonts w:ascii="Calibri"/>
                <w:b/>
                <w:color w:val="FFFFFF"/>
                <w:spacing w:val="-4"/>
                <w:sz w:val="20"/>
              </w:rPr>
              <w:t xml:space="preserve"> </w:t>
            </w:r>
            <w:r>
              <w:rPr>
                <w:rFonts w:ascii="Calibri"/>
                <w:b/>
                <w:color w:val="FFFFFF"/>
                <w:spacing w:val="-2"/>
                <w:sz w:val="20"/>
              </w:rPr>
              <w:t>Started</w:t>
            </w:r>
          </w:p>
        </w:tc>
        <w:tc>
          <w:tcPr>
            <w:tcW w:w="2837" w:type="dxa"/>
            <w:shd w:val="clear" w:color="auto" w:fill="17365A"/>
          </w:tcPr>
          <w:p w14:paraId="23B23412" w14:textId="77777777" w:rsidR="00BC24A8" w:rsidRDefault="00000000">
            <w:pPr>
              <w:pStyle w:val="TableParagraph"/>
              <w:spacing w:before="78"/>
              <w:ind w:right="1"/>
              <w:jc w:val="center"/>
              <w:rPr>
                <w:rFonts w:ascii="Calibri"/>
                <w:b/>
                <w:sz w:val="20"/>
              </w:rPr>
            </w:pPr>
            <w:r>
              <w:rPr>
                <w:rFonts w:ascii="Calibri"/>
                <w:b/>
                <w:color w:val="FFFFFF"/>
                <w:spacing w:val="-2"/>
                <w:sz w:val="20"/>
              </w:rPr>
              <w:t>Ongoing</w:t>
            </w:r>
          </w:p>
        </w:tc>
      </w:tr>
      <w:tr w:rsidR="00BC24A8" w14:paraId="563E9AE4" w14:textId="77777777">
        <w:trPr>
          <w:trHeight w:val="441"/>
        </w:trPr>
        <w:tc>
          <w:tcPr>
            <w:tcW w:w="2357" w:type="dxa"/>
            <w:tcBorders>
              <w:bottom w:val="single" w:sz="4" w:space="0" w:color="BEBEBE"/>
            </w:tcBorders>
          </w:tcPr>
          <w:p w14:paraId="21792F2E" w14:textId="77777777" w:rsidR="00BC24A8" w:rsidRDefault="00000000">
            <w:pPr>
              <w:pStyle w:val="TableParagraph"/>
              <w:spacing w:before="102"/>
              <w:ind w:left="115"/>
              <w:rPr>
                <w:sz w:val="18"/>
              </w:rPr>
            </w:pPr>
            <w:r>
              <w:rPr>
                <w:spacing w:val="-5"/>
                <w:sz w:val="18"/>
              </w:rPr>
              <w:t>DNA</w:t>
            </w:r>
          </w:p>
        </w:tc>
        <w:tc>
          <w:tcPr>
            <w:tcW w:w="1807" w:type="dxa"/>
            <w:tcBorders>
              <w:bottom w:val="single" w:sz="4" w:space="0" w:color="BEBEBE"/>
            </w:tcBorders>
          </w:tcPr>
          <w:p w14:paraId="4113BFA4" w14:textId="77777777" w:rsidR="00BC24A8" w:rsidRDefault="00000000">
            <w:pPr>
              <w:pStyle w:val="TableParagraph"/>
              <w:spacing w:before="133"/>
              <w:ind w:left="4" w:right="4"/>
              <w:jc w:val="center"/>
              <w:rPr>
                <w:sz w:val="18"/>
              </w:rPr>
            </w:pPr>
            <w:r>
              <w:rPr>
                <w:spacing w:val="-10"/>
                <w:sz w:val="18"/>
              </w:rPr>
              <w:t>-</w:t>
            </w:r>
          </w:p>
        </w:tc>
        <w:tc>
          <w:tcPr>
            <w:tcW w:w="2076" w:type="dxa"/>
            <w:tcBorders>
              <w:bottom w:val="single" w:sz="4" w:space="0" w:color="BEBEBE"/>
            </w:tcBorders>
          </w:tcPr>
          <w:p w14:paraId="2DABDECE" w14:textId="77777777" w:rsidR="00BC24A8" w:rsidRDefault="00000000">
            <w:pPr>
              <w:pStyle w:val="TableParagraph"/>
              <w:spacing w:before="133"/>
              <w:ind w:right="5"/>
              <w:jc w:val="center"/>
              <w:rPr>
                <w:sz w:val="18"/>
              </w:rPr>
            </w:pPr>
            <w:r>
              <w:rPr>
                <w:spacing w:val="-10"/>
                <w:sz w:val="18"/>
              </w:rPr>
              <w:t>6</w:t>
            </w:r>
          </w:p>
        </w:tc>
        <w:tc>
          <w:tcPr>
            <w:tcW w:w="2837" w:type="dxa"/>
            <w:tcBorders>
              <w:bottom w:val="single" w:sz="4" w:space="0" w:color="BEBEBE"/>
            </w:tcBorders>
          </w:tcPr>
          <w:p w14:paraId="358F51B7" w14:textId="77777777" w:rsidR="00BC24A8" w:rsidRDefault="00000000">
            <w:pPr>
              <w:pStyle w:val="TableParagraph"/>
              <w:spacing w:before="133"/>
              <w:ind w:left="1" w:right="1"/>
              <w:jc w:val="center"/>
              <w:rPr>
                <w:sz w:val="18"/>
              </w:rPr>
            </w:pPr>
            <w:r>
              <w:rPr>
                <w:spacing w:val="-10"/>
                <w:sz w:val="18"/>
              </w:rPr>
              <w:t>4</w:t>
            </w:r>
          </w:p>
        </w:tc>
      </w:tr>
      <w:tr w:rsidR="00BC24A8" w14:paraId="429AFC7E" w14:textId="77777777">
        <w:trPr>
          <w:trHeight w:val="397"/>
        </w:trPr>
        <w:tc>
          <w:tcPr>
            <w:tcW w:w="2357" w:type="dxa"/>
            <w:tcBorders>
              <w:top w:val="single" w:sz="4" w:space="0" w:color="BEBEBE"/>
              <w:bottom w:val="single" w:sz="4" w:space="0" w:color="BEBEBE"/>
            </w:tcBorders>
          </w:tcPr>
          <w:p w14:paraId="3AC90C9F" w14:textId="77777777" w:rsidR="00BC24A8" w:rsidRDefault="00000000">
            <w:pPr>
              <w:pStyle w:val="TableParagraph"/>
              <w:spacing w:before="59"/>
              <w:ind w:left="115"/>
              <w:rPr>
                <w:sz w:val="18"/>
              </w:rPr>
            </w:pPr>
            <w:r>
              <w:rPr>
                <w:spacing w:val="-5"/>
                <w:sz w:val="18"/>
              </w:rPr>
              <w:t>MSS</w:t>
            </w:r>
          </w:p>
        </w:tc>
        <w:tc>
          <w:tcPr>
            <w:tcW w:w="1807" w:type="dxa"/>
            <w:tcBorders>
              <w:top w:val="single" w:sz="4" w:space="0" w:color="BEBEBE"/>
              <w:bottom w:val="single" w:sz="4" w:space="0" w:color="BEBEBE"/>
            </w:tcBorders>
          </w:tcPr>
          <w:p w14:paraId="4DF609E6" w14:textId="77777777" w:rsidR="00BC24A8" w:rsidRDefault="00000000">
            <w:pPr>
              <w:pStyle w:val="TableParagraph"/>
              <w:spacing w:before="90"/>
              <w:ind w:left="4" w:right="4"/>
              <w:jc w:val="center"/>
              <w:rPr>
                <w:sz w:val="18"/>
              </w:rPr>
            </w:pPr>
            <w:r>
              <w:rPr>
                <w:spacing w:val="-10"/>
                <w:sz w:val="18"/>
              </w:rPr>
              <w:t>2</w:t>
            </w:r>
          </w:p>
        </w:tc>
        <w:tc>
          <w:tcPr>
            <w:tcW w:w="2076" w:type="dxa"/>
            <w:tcBorders>
              <w:top w:val="single" w:sz="4" w:space="0" w:color="BEBEBE"/>
              <w:bottom w:val="single" w:sz="4" w:space="0" w:color="BEBEBE"/>
            </w:tcBorders>
          </w:tcPr>
          <w:p w14:paraId="72E6AA19" w14:textId="77777777" w:rsidR="00BC24A8" w:rsidRDefault="00000000">
            <w:pPr>
              <w:pStyle w:val="TableParagraph"/>
              <w:spacing w:before="90"/>
              <w:ind w:right="5"/>
              <w:jc w:val="center"/>
              <w:rPr>
                <w:sz w:val="18"/>
              </w:rPr>
            </w:pPr>
            <w:r>
              <w:rPr>
                <w:spacing w:val="-5"/>
                <w:sz w:val="18"/>
              </w:rPr>
              <w:t>14</w:t>
            </w:r>
          </w:p>
        </w:tc>
        <w:tc>
          <w:tcPr>
            <w:tcW w:w="2837" w:type="dxa"/>
            <w:tcBorders>
              <w:top w:val="single" w:sz="4" w:space="0" w:color="BEBEBE"/>
              <w:bottom w:val="single" w:sz="4" w:space="0" w:color="BEBEBE"/>
            </w:tcBorders>
          </w:tcPr>
          <w:p w14:paraId="1618705A" w14:textId="77777777" w:rsidR="00BC24A8" w:rsidRDefault="00000000">
            <w:pPr>
              <w:pStyle w:val="TableParagraph"/>
              <w:spacing w:before="90"/>
              <w:ind w:left="1" w:right="1"/>
              <w:jc w:val="center"/>
              <w:rPr>
                <w:sz w:val="18"/>
              </w:rPr>
            </w:pPr>
            <w:r>
              <w:rPr>
                <w:spacing w:val="-5"/>
                <w:sz w:val="18"/>
              </w:rPr>
              <w:t>11</w:t>
            </w:r>
          </w:p>
        </w:tc>
      </w:tr>
      <w:tr w:rsidR="00BC24A8" w14:paraId="34449860" w14:textId="77777777">
        <w:trPr>
          <w:trHeight w:val="335"/>
        </w:trPr>
        <w:tc>
          <w:tcPr>
            <w:tcW w:w="2357" w:type="dxa"/>
            <w:tcBorders>
              <w:top w:val="single" w:sz="4" w:space="0" w:color="BEBEBE"/>
              <w:bottom w:val="single" w:sz="4" w:space="0" w:color="BEBEBE"/>
            </w:tcBorders>
          </w:tcPr>
          <w:p w14:paraId="4ED558C5" w14:textId="77777777" w:rsidR="00BC24A8" w:rsidRDefault="00000000">
            <w:pPr>
              <w:pStyle w:val="TableParagraph"/>
              <w:spacing w:before="59"/>
              <w:ind w:left="115"/>
              <w:rPr>
                <w:sz w:val="18"/>
              </w:rPr>
            </w:pPr>
            <w:r>
              <w:rPr>
                <w:spacing w:val="-5"/>
                <w:sz w:val="18"/>
              </w:rPr>
              <w:t>PFM</w:t>
            </w:r>
          </w:p>
        </w:tc>
        <w:tc>
          <w:tcPr>
            <w:tcW w:w="1807" w:type="dxa"/>
            <w:tcBorders>
              <w:top w:val="single" w:sz="4" w:space="0" w:color="BEBEBE"/>
              <w:bottom w:val="single" w:sz="4" w:space="0" w:color="BEBEBE"/>
            </w:tcBorders>
          </w:tcPr>
          <w:p w14:paraId="69BB6617" w14:textId="77777777" w:rsidR="00BC24A8" w:rsidRDefault="00000000">
            <w:pPr>
              <w:pStyle w:val="TableParagraph"/>
              <w:spacing w:before="59"/>
              <w:ind w:left="4" w:right="4"/>
              <w:jc w:val="center"/>
              <w:rPr>
                <w:sz w:val="18"/>
              </w:rPr>
            </w:pPr>
            <w:r>
              <w:rPr>
                <w:spacing w:val="-10"/>
                <w:sz w:val="18"/>
              </w:rPr>
              <w:t>-</w:t>
            </w:r>
          </w:p>
        </w:tc>
        <w:tc>
          <w:tcPr>
            <w:tcW w:w="2076" w:type="dxa"/>
            <w:tcBorders>
              <w:top w:val="single" w:sz="4" w:space="0" w:color="BEBEBE"/>
              <w:bottom w:val="single" w:sz="4" w:space="0" w:color="BEBEBE"/>
            </w:tcBorders>
          </w:tcPr>
          <w:p w14:paraId="5548691B" w14:textId="77777777" w:rsidR="00BC24A8" w:rsidRDefault="00000000">
            <w:pPr>
              <w:pStyle w:val="TableParagraph"/>
              <w:spacing w:before="59"/>
              <w:ind w:right="5"/>
              <w:jc w:val="center"/>
              <w:rPr>
                <w:sz w:val="18"/>
              </w:rPr>
            </w:pPr>
            <w:r>
              <w:rPr>
                <w:spacing w:val="-10"/>
                <w:sz w:val="18"/>
              </w:rPr>
              <w:t>9</w:t>
            </w:r>
          </w:p>
        </w:tc>
        <w:tc>
          <w:tcPr>
            <w:tcW w:w="2837" w:type="dxa"/>
            <w:tcBorders>
              <w:top w:val="single" w:sz="4" w:space="0" w:color="BEBEBE"/>
              <w:bottom w:val="single" w:sz="4" w:space="0" w:color="BEBEBE"/>
            </w:tcBorders>
          </w:tcPr>
          <w:p w14:paraId="55F50819" w14:textId="77777777" w:rsidR="00BC24A8" w:rsidRDefault="00000000">
            <w:pPr>
              <w:pStyle w:val="TableParagraph"/>
              <w:spacing w:before="59"/>
              <w:ind w:left="1" w:right="1"/>
              <w:jc w:val="center"/>
              <w:rPr>
                <w:sz w:val="18"/>
              </w:rPr>
            </w:pPr>
            <w:r>
              <w:rPr>
                <w:spacing w:val="-10"/>
                <w:sz w:val="18"/>
              </w:rPr>
              <w:t>-</w:t>
            </w:r>
          </w:p>
        </w:tc>
      </w:tr>
    </w:tbl>
    <w:p w14:paraId="469666ED" w14:textId="77777777" w:rsidR="00BC24A8" w:rsidRDefault="00000000">
      <w:pPr>
        <w:spacing w:before="126"/>
        <w:ind w:left="179"/>
        <w:jc w:val="both"/>
        <w:rPr>
          <w:sz w:val="16"/>
        </w:rPr>
      </w:pPr>
      <w:r>
        <w:rPr>
          <w:sz w:val="16"/>
        </w:rPr>
        <w:t>Data</w:t>
      </w:r>
      <w:r>
        <w:rPr>
          <w:spacing w:val="-6"/>
          <w:sz w:val="16"/>
        </w:rPr>
        <w:t xml:space="preserve"> </w:t>
      </w:r>
      <w:r>
        <w:rPr>
          <w:sz w:val="16"/>
        </w:rPr>
        <w:t>source:</w:t>
      </w:r>
      <w:r>
        <w:rPr>
          <w:spacing w:val="-4"/>
          <w:sz w:val="16"/>
        </w:rPr>
        <w:t xml:space="preserve"> </w:t>
      </w:r>
      <w:r>
        <w:rPr>
          <w:sz w:val="16"/>
        </w:rPr>
        <w:t>SKALA</w:t>
      </w:r>
      <w:r>
        <w:rPr>
          <w:spacing w:val="-5"/>
          <w:sz w:val="16"/>
        </w:rPr>
        <w:t xml:space="preserve"> </w:t>
      </w:r>
      <w:r>
        <w:rPr>
          <w:sz w:val="16"/>
        </w:rPr>
        <w:t>MIS</w:t>
      </w:r>
      <w:r>
        <w:rPr>
          <w:spacing w:val="-5"/>
          <w:sz w:val="16"/>
        </w:rPr>
        <w:t xml:space="preserve"> </w:t>
      </w:r>
      <w:r>
        <w:rPr>
          <w:sz w:val="16"/>
        </w:rPr>
        <w:t>retrieved</w:t>
      </w:r>
      <w:r>
        <w:rPr>
          <w:spacing w:val="-6"/>
          <w:sz w:val="16"/>
        </w:rPr>
        <w:t xml:space="preserve"> </w:t>
      </w:r>
      <w:r>
        <w:rPr>
          <w:sz w:val="16"/>
        </w:rPr>
        <w:t>on</w:t>
      </w:r>
      <w:r>
        <w:rPr>
          <w:spacing w:val="-7"/>
          <w:sz w:val="16"/>
        </w:rPr>
        <w:t xml:space="preserve"> </w:t>
      </w:r>
      <w:r>
        <w:rPr>
          <w:sz w:val="16"/>
        </w:rPr>
        <w:t>July</w:t>
      </w:r>
      <w:r>
        <w:rPr>
          <w:spacing w:val="-5"/>
          <w:sz w:val="16"/>
        </w:rPr>
        <w:t xml:space="preserve"> </w:t>
      </w:r>
      <w:r>
        <w:rPr>
          <w:sz w:val="16"/>
        </w:rPr>
        <w:t>28,</w:t>
      </w:r>
      <w:r>
        <w:rPr>
          <w:spacing w:val="-5"/>
          <w:sz w:val="16"/>
        </w:rPr>
        <w:t xml:space="preserve"> </w:t>
      </w:r>
      <w:r>
        <w:rPr>
          <w:spacing w:val="-2"/>
          <w:sz w:val="16"/>
        </w:rPr>
        <w:t>2025.</w:t>
      </w:r>
    </w:p>
    <w:p w14:paraId="12F779F4" w14:textId="77777777" w:rsidR="00BC24A8" w:rsidRDefault="00BC24A8">
      <w:pPr>
        <w:pStyle w:val="BodyText"/>
        <w:rPr>
          <w:sz w:val="20"/>
        </w:rPr>
      </w:pPr>
    </w:p>
    <w:p w14:paraId="3B0E2FAD" w14:textId="77777777" w:rsidR="00BC24A8" w:rsidRDefault="00BC24A8">
      <w:pPr>
        <w:pStyle w:val="BodyText"/>
        <w:rPr>
          <w:sz w:val="20"/>
        </w:rPr>
      </w:pPr>
    </w:p>
    <w:p w14:paraId="2A47D5DE" w14:textId="77777777" w:rsidR="00BC24A8" w:rsidRDefault="00BC24A8">
      <w:pPr>
        <w:pStyle w:val="BodyText"/>
        <w:rPr>
          <w:sz w:val="20"/>
        </w:rPr>
      </w:pPr>
    </w:p>
    <w:p w14:paraId="20E46D35" w14:textId="77777777" w:rsidR="00BC24A8" w:rsidRDefault="00BC24A8">
      <w:pPr>
        <w:pStyle w:val="BodyText"/>
        <w:rPr>
          <w:sz w:val="20"/>
        </w:rPr>
      </w:pPr>
    </w:p>
    <w:p w14:paraId="763E4FA2" w14:textId="77777777" w:rsidR="00BC24A8" w:rsidRDefault="00BC24A8">
      <w:pPr>
        <w:pStyle w:val="BodyText"/>
        <w:rPr>
          <w:sz w:val="20"/>
        </w:rPr>
      </w:pPr>
    </w:p>
    <w:p w14:paraId="4F8201B2" w14:textId="77777777" w:rsidR="00BC24A8" w:rsidRDefault="00000000">
      <w:pPr>
        <w:pStyle w:val="BodyText"/>
        <w:spacing w:before="203"/>
        <w:rPr>
          <w:sz w:val="20"/>
        </w:rPr>
      </w:pPr>
      <w:r>
        <w:rPr>
          <w:noProof/>
          <w:sz w:val="20"/>
        </w:rPr>
        <mc:AlternateContent>
          <mc:Choice Requires="wps">
            <w:drawing>
              <wp:anchor distT="0" distB="0" distL="0" distR="0" simplePos="0" relativeHeight="487638528" behindDoc="1" locked="0" layoutInCell="1" allowOverlap="1" wp14:anchorId="2BC22A05" wp14:editId="47EE090B">
                <wp:simplePos x="0" y="0"/>
                <wp:positionH relativeFrom="page">
                  <wp:posOffset>900683</wp:posOffset>
                </wp:positionH>
                <wp:positionV relativeFrom="paragraph">
                  <wp:posOffset>299335</wp:posOffset>
                </wp:positionV>
                <wp:extent cx="1828800" cy="9525"/>
                <wp:effectExtent l="0" t="0" r="0" b="0"/>
                <wp:wrapTopAndBottom/>
                <wp:docPr id="318" name="Graphic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3FA752" id="Graphic 318" o:spid="_x0000_s1026" alt="&quot;&quot;" style="position:absolute;margin-left:70.9pt;margin-top:23.55pt;width:2in;height:.75pt;z-index:-1567795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" path="m1828800,l,,,9144r1828800,l1828800,xe" fillcolor="black" stroked="f">
                <v:path arrowok="t"/>
                <w10:wrap type="topAndBottom" anchorx="page"/>
              </v:shape>
            </w:pict>
          </mc:Fallback>
        </mc:AlternateContent>
      </w:r>
    </w:p>
    <w:p w14:paraId="4987EFA4" w14:textId="77777777" w:rsidR="00BC24A8" w:rsidRDefault="00BC24A8">
      <w:pPr>
        <w:pStyle w:val="BodyText"/>
        <w:spacing w:before="105"/>
        <w:rPr>
          <w:sz w:val="16"/>
        </w:rPr>
      </w:pPr>
    </w:p>
    <w:p w14:paraId="7F014895" w14:textId="77777777" w:rsidR="00BC24A8" w:rsidRDefault="00000000">
      <w:pPr>
        <w:spacing w:before="1"/>
        <w:ind w:left="143" w:right="662" w:hanging="1"/>
        <w:rPr>
          <w:sz w:val="16"/>
        </w:rPr>
      </w:pPr>
      <w:bookmarkStart w:id="254" w:name="_bookmark173"/>
      <w:bookmarkEnd w:id="254"/>
      <w:r>
        <w:rPr>
          <w:color w:val="767070"/>
          <w:sz w:val="16"/>
          <w:vertAlign w:val="superscript"/>
        </w:rPr>
        <w:t>90</w:t>
      </w:r>
      <w:r>
        <w:rPr>
          <w:color w:val="767070"/>
          <w:spacing w:val="-5"/>
          <w:sz w:val="16"/>
        </w:rPr>
        <w:t xml:space="preserve"> </w:t>
      </w:r>
      <w:r>
        <w:rPr>
          <w:color w:val="767070"/>
          <w:sz w:val="16"/>
        </w:rPr>
        <w:t>Person</w:t>
      </w:r>
      <w:r>
        <w:rPr>
          <w:color w:val="767070"/>
          <w:spacing w:val="-4"/>
          <w:sz w:val="16"/>
        </w:rPr>
        <w:t xml:space="preserve"> </w:t>
      </w:r>
      <w:r>
        <w:rPr>
          <w:color w:val="767070"/>
          <w:sz w:val="16"/>
        </w:rPr>
        <w:t>time</w:t>
      </w:r>
      <w:r>
        <w:rPr>
          <w:color w:val="767070"/>
          <w:spacing w:val="-5"/>
          <w:sz w:val="16"/>
        </w:rPr>
        <w:t xml:space="preserve"> </w:t>
      </w:r>
      <w:r>
        <w:rPr>
          <w:color w:val="767070"/>
          <w:sz w:val="16"/>
        </w:rPr>
        <w:t>refers</w:t>
      </w:r>
      <w:r>
        <w:rPr>
          <w:color w:val="767070"/>
          <w:spacing w:val="-4"/>
          <w:sz w:val="16"/>
        </w:rPr>
        <w:t xml:space="preserve"> </w:t>
      </w:r>
      <w:r>
        <w:rPr>
          <w:color w:val="767070"/>
          <w:sz w:val="16"/>
        </w:rPr>
        <w:t>to</w:t>
      </w:r>
      <w:r>
        <w:rPr>
          <w:color w:val="767070"/>
          <w:spacing w:val="-4"/>
          <w:sz w:val="16"/>
        </w:rPr>
        <w:t xml:space="preserve"> </w:t>
      </w:r>
      <w:r>
        <w:rPr>
          <w:color w:val="767070"/>
          <w:sz w:val="16"/>
        </w:rPr>
        <w:t>the</w:t>
      </w:r>
      <w:r>
        <w:rPr>
          <w:color w:val="767070"/>
          <w:spacing w:val="-5"/>
          <w:sz w:val="16"/>
        </w:rPr>
        <w:t xml:space="preserve"> </w:t>
      </w:r>
      <w:r>
        <w:rPr>
          <w:color w:val="767070"/>
          <w:sz w:val="16"/>
        </w:rPr>
        <w:t>total</w:t>
      </w:r>
      <w:r>
        <w:rPr>
          <w:color w:val="767070"/>
          <w:spacing w:val="-7"/>
          <w:sz w:val="16"/>
        </w:rPr>
        <w:t xml:space="preserve"> </w:t>
      </w:r>
      <w:r>
        <w:rPr>
          <w:color w:val="767070"/>
          <w:sz w:val="16"/>
        </w:rPr>
        <w:t>instances</w:t>
      </w:r>
      <w:r>
        <w:rPr>
          <w:color w:val="767070"/>
          <w:spacing w:val="-4"/>
          <w:sz w:val="16"/>
        </w:rPr>
        <w:t xml:space="preserve"> </w:t>
      </w:r>
      <w:r>
        <w:rPr>
          <w:color w:val="767070"/>
          <w:sz w:val="16"/>
        </w:rPr>
        <w:t>of</w:t>
      </w:r>
      <w:r>
        <w:rPr>
          <w:color w:val="767070"/>
          <w:spacing w:val="-5"/>
          <w:sz w:val="16"/>
        </w:rPr>
        <w:t xml:space="preserve"> </w:t>
      </w:r>
      <w:r>
        <w:rPr>
          <w:color w:val="767070"/>
          <w:sz w:val="16"/>
        </w:rPr>
        <w:t>participation;</w:t>
      </w:r>
      <w:r>
        <w:rPr>
          <w:color w:val="767070"/>
          <w:spacing w:val="-4"/>
          <w:sz w:val="16"/>
        </w:rPr>
        <w:t xml:space="preserve"> </w:t>
      </w:r>
      <w:r>
        <w:rPr>
          <w:color w:val="767070"/>
          <w:sz w:val="16"/>
        </w:rPr>
        <w:t>one</w:t>
      </w:r>
      <w:r>
        <w:rPr>
          <w:color w:val="767070"/>
          <w:spacing w:val="-7"/>
          <w:sz w:val="16"/>
        </w:rPr>
        <w:t xml:space="preserve"> </w:t>
      </w:r>
      <w:r>
        <w:rPr>
          <w:color w:val="767070"/>
          <w:sz w:val="16"/>
        </w:rPr>
        <w:t>individual</w:t>
      </w:r>
      <w:r>
        <w:rPr>
          <w:color w:val="767070"/>
          <w:spacing w:val="-4"/>
          <w:sz w:val="16"/>
        </w:rPr>
        <w:t xml:space="preserve"> </w:t>
      </w:r>
      <w:r>
        <w:rPr>
          <w:color w:val="767070"/>
          <w:sz w:val="16"/>
        </w:rPr>
        <w:t>may</w:t>
      </w:r>
      <w:r>
        <w:rPr>
          <w:color w:val="767070"/>
          <w:spacing w:val="-6"/>
          <w:sz w:val="16"/>
        </w:rPr>
        <w:t xml:space="preserve"> </w:t>
      </w:r>
      <w:r>
        <w:rPr>
          <w:color w:val="767070"/>
          <w:sz w:val="16"/>
        </w:rPr>
        <w:t>participate</w:t>
      </w:r>
      <w:r>
        <w:rPr>
          <w:color w:val="767070"/>
          <w:spacing w:val="-5"/>
          <w:sz w:val="16"/>
        </w:rPr>
        <w:t xml:space="preserve"> </w:t>
      </w:r>
      <w:r>
        <w:rPr>
          <w:color w:val="767070"/>
          <w:sz w:val="16"/>
        </w:rPr>
        <w:t>more</w:t>
      </w:r>
      <w:r>
        <w:rPr>
          <w:color w:val="767070"/>
          <w:spacing w:val="-5"/>
          <w:sz w:val="16"/>
        </w:rPr>
        <w:t xml:space="preserve"> </w:t>
      </w:r>
      <w:r>
        <w:rPr>
          <w:color w:val="767070"/>
          <w:sz w:val="16"/>
        </w:rPr>
        <w:t>than</w:t>
      </w:r>
      <w:r>
        <w:rPr>
          <w:color w:val="767070"/>
          <w:spacing w:val="-4"/>
          <w:sz w:val="16"/>
        </w:rPr>
        <w:t xml:space="preserve"> </w:t>
      </w:r>
      <w:r>
        <w:rPr>
          <w:color w:val="767070"/>
          <w:sz w:val="16"/>
        </w:rPr>
        <w:t>once</w:t>
      </w:r>
      <w:r>
        <w:rPr>
          <w:color w:val="767070"/>
          <w:spacing w:val="-5"/>
          <w:sz w:val="16"/>
        </w:rPr>
        <w:t xml:space="preserve"> </w:t>
      </w:r>
      <w:r>
        <w:rPr>
          <w:color w:val="767070"/>
          <w:sz w:val="16"/>
        </w:rPr>
        <w:t>in</w:t>
      </w:r>
      <w:r>
        <w:rPr>
          <w:color w:val="767070"/>
          <w:spacing w:val="-4"/>
          <w:sz w:val="16"/>
        </w:rPr>
        <w:t xml:space="preserve"> </w:t>
      </w:r>
      <w:r>
        <w:rPr>
          <w:color w:val="767070"/>
          <w:sz w:val="16"/>
        </w:rPr>
        <w:t>SKALA-supported</w:t>
      </w:r>
      <w:r>
        <w:rPr>
          <w:color w:val="767070"/>
          <w:spacing w:val="-4"/>
          <w:sz w:val="16"/>
        </w:rPr>
        <w:t xml:space="preserve"> </w:t>
      </w:r>
      <w:r>
        <w:rPr>
          <w:color w:val="767070"/>
          <w:sz w:val="16"/>
        </w:rPr>
        <w:t>activities.</w:t>
      </w:r>
      <w:r>
        <w:rPr>
          <w:color w:val="767070"/>
          <w:spacing w:val="40"/>
          <w:sz w:val="16"/>
        </w:rPr>
        <w:t xml:space="preserve"> </w:t>
      </w:r>
      <w:r>
        <w:rPr>
          <w:color w:val="767070"/>
          <w:sz w:val="16"/>
        </w:rPr>
        <w:t>Headcount refers to participants whose costs are covered by SKALA.</w:t>
      </w:r>
    </w:p>
    <w:p w14:paraId="6F4A6C72" w14:textId="77777777" w:rsidR="00BC24A8" w:rsidRDefault="00BC24A8">
      <w:pPr>
        <w:rPr>
          <w:sz w:val="16"/>
        </w:rPr>
        <w:sectPr w:rsidR="00BC24A8">
          <w:pgSz w:w="11910" w:h="16840"/>
          <w:pgMar w:top="1360" w:right="850" w:bottom="1100" w:left="1275" w:header="0" w:footer="907" w:gutter="0"/>
          <w:cols w:space="720"/>
        </w:sectPr>
      </w:pPr>
    </w:p>
    <w:p w14:paraId="152F360C" w14:textId="77777777" w:rsidR="00BC24A8" w:rsidRDefault="00000000">
      <w:pPr>
        <w:pStyle w:val="ListParagraph"/>
        <w:numPr>
          <w:ilvl w:val="3"/>
          <w:numId w:val="11"/>
        </w:numPr>
        <w:tabs>
          <w:tab w:val="left" w:pos="861"/>
          <w:tab w:val="left" w:pos="863"/>
        </w:tabs>
        <w:spacing w:before="79"/>
        <w:ind w:right="563" w:hanging="361"/>
      </w:pPr>
      <w:r>
        <w:t>DNA: SKALA provides technical input and facilitates the expansion of SIO Papua in several districts in Papua, the implementation of Satu Data Daerah, and capacity building for civil servants in understanding SDPDN and e-Walidata</w:t>
      </w:r>
      <w:hyperlink w:anchor="_bookmark174" w:history="1">
        <w:r w:rsidR="00BC24A8">
          <w:rPr>
            <w:vertAlign w:val="superscript"/>
          </w:rPr>
          <w:t>91</w:t>
        </w:r>
      </w:hyperlink>
      <w:r>
        <w:t>.</w:t>
      </w:r>
    </w:p>
    <w:p w14:paraId="4F391BBD" w14:textId="77777777" w:rsidR="00BC24A8" w:rsidRDefault="00000000">
      <w:pPr>
        <w:pStyle w:val="ListParagraph"/>
        <w:numPr>
          <w:ilvl w:val="3"/>
          <w:numId w:val="11"/>
        </w:numPr>
        <w:tabs>
          <w:tab w:val="left" w:pos="863"/>
        </w:tabs>
        <w:ind w:right="565"/>
      </w:pPr>
      <w:r>
        <w:t xml:space="preserve">MSS: SKALA facilitated capacity building for civil servants in drafting MSS Action Plans, conducting MSS monitoring and reporting, using </w:t>
      </w:r>
      <w:r>
        <w:rPr>
          <w:i/>
        </w:rPr>
        <w:t xml:space="preserve">Musrenbangsus </w:t>
      </w:r>
      <w:r>
        <w:t>and SIPPP guidelines, integrating GEDSI into various local programs and policies, and preparing RKPD that accommodates MSS and GEDSI.</w:t>
      </w:r>
    </w:p>
    <w:p w14:paraId="5CE9F009" w14:textId="77777777" w:rsidR="00BC24A8" w:rsidRDefault="00000000">
      <w:pPr>
        <w:pStyle w:val="ListParagraph"/>
        <w:numPr>
          <w:ilvl w:val="3"/>
          <w:numId w:val="11"/>
        </w:numPr>
        <w:tabs>
          <w:tab w:val="left" w:pos="863"/>
        </w:tabs>
        <w:ind w:right="562"/>
      </w:pPr>
      <w:r>
        <w:t>PFM: SKALA provided technical input in a rapid assessment of regional revenue to identify revenue potential and the impacts of provincial expansion.</w:t>
      </w:r>
    </w:p>
    <w:p w14:paraId="15AA62F6" w14:textId="77777777" w:rsidR="00BC24A8" w:rsidRDefault="00BC24A8">
      <w:pPr>
        <w:pStyle w:val="BodyText"/>
        <w:spacing w:before="58"/>
      </w:pPr>
    </w:p>
    <w:p w14:paraId="44A33B1A" w14:textId="77777777" w:rsidR="00BC24A8" w:rsidRDefault="00000000">
      <w:pPr>
        <w:pStyle w:val="BodyText"/>
        <w:spacing w:before="1"/>
        <w:ind w:left="143"/>
        <w:rPr>
          <w:rFonts w:ascii="Calibri"/>
        </w:rPr>
      </w:pPr>
      <w:bookmarkStart w:id="255" w:name="Summary_of_results_at_the_Intermediate_O"/>
      <w:bookmarkEnd w:id="255"/>
      <w:r>
        <w:rPr>
          <w:rFonts w:ascii="Calibri"/>
          <w:color w:val="272727"/>
        </w:rPr>
        <w:t>Summary</w:t>
      </w:r>
      <w:r>
        <w:rPr>
          <w:rFonts w:ascii="Calibri"/>
          <w:color w:val="272727"/>
          <w:spacing w:val="-5"/>
        </w:rPr>
        <w:t xml:space="preserve"> </w:t>
      </w:r>
      <w:r>
        <w:rPr>
          <w:rFonts w:ascii="Calibri"/>
          <w:color w:val="272727"/>
        </w:rPr>
        <w:t>of</w:t>
      </w:r>
      <w:r>
        <w:rPr>
          <w:rFonts w:ascii="Calibri"/>
          <w:color w:val="272727"/>
          <w:spacing w:val="-8"/>
        </w:rPr>
        <w:t xml:space="preserve"> </w:t>
      </w:r>
      <w:r>
        <w:rPr>
          <w:rFonts w:ascii="Calibri"/>
          <w:color w:val="272727"/>
        </w:rPr>
        <w:t>results</w:t>
      </w:r>
      <w:r>
        <w:rPr>
          <w:rFonts w:ascii="Calibri"/>
          <w:color w:val="272727"/>
          <w:spacing w:val="-5"/>
        </w:rPr>
        <w:t xml:space="preserve"> </w:t>
      </w:r>
      <w:r>
        <w:rPr>
          <w:rFonts w:ascii="Calibri"/>
          <w:color w:val="272727"/>
        </w:rPr>
        <w:t>at</w:t>
      </w:r>
      <w:r>
        <w:rPr>
          <w:rFonts w:ascii="Calibri"/>
          <w:color w:val="272727"/>
          <w:spacing w:val="-8"/>
        </w:rPr>
        <w:t xml:space="preserve"> </w:t>
      </w:r>
      <w:r>
        <w:rPr>
          <w:rFonts w:ascii="Calibri"/>
          <w:color w:val="272727"/>
        </w:rPr>
        <w:t>the</w:t>
      </w:r>
      <w:r>
        <w:rPr>
          <w:rFonts w:ascii="Calibri"/>
          <w:color w:val="272727"/>
          <w:spacing w:val="-4"/>
        </w:rPr>
        <w:t xml:space="preserve"> </w:t>
      </w:r>
      <w:r>
        <w:rPr>
          <w:rFonts w:ascii="Calibri"/>
          <w:color w:val="272727"/>
        </w:rPr>
        <w:t>Intermediate</w:t>
      </w:r>
      <w:r>
        <w:rPr>
          <w:rFonts w:ascii="Calibri"/>
          <w:color w:val="272727"/>
          <w:spacing w:val="-8"/>
        </w:rPr>
        <w:t xml:space="preserve"> </w:t>
      </w:r>
      <w:r>
        <w:rPr>
          <w:rFonts w:ascii="Calibri"/>
          <w:color w:val="272727"/>
        </w:rPr>
        <w:t>Outcome</w:t>
      </w:r>
      <w:r>
        <w:rPr>
          <w:rFonts w:ascii="Calibri"/>
          <w:color w:val="272727"/>
          <w:spacing w:val="-4"/>
        </w:rPr>
        <w:t xml:space="preserve"> </w:t>
      </w:r>
      <w:r>
        <w:rPr>
          <w:rFonts w:ascii="Calibri"/>
          <w:color w:val="272727"/>
        </w:rPr>
        <w:t>(IO)</w:t>
      </w:r>
      <w:r>
        <w:rPr>
          <w:rFonts w:ascii="Calibri"/>
          <w:color w:val="272727"/>
          <w:spacing w:val="-9"/>
        </w:rPr>
        <w:t xml:space="preserve"> </w:t>
      </w:r>
      <w:r>
        <w:rPr>
          <w:rFonts w:ascii="Calibri"/>
          <w:color w:val="272727"/>
          <w:spacing w:val="-2"/>
        </w:rPr>
        <w:t>level</w:t>
      </w:r>
    </w:p>
    <w:p w14:paraId="451F3614" w14:textId="77777777" w:rsidR="00BC24A8" w:rsidRDefault="00000000">
      <w:pPr>
        <w:pStyle w:val="Heading5"/>
        <w:spacing w:before="21"/>
      </w:pPr>
      <w:r>
        <w:rPr>
          <w:color w:val="17365A"/>
        </w:rPr>
        <w:t>Data</w:t>
      </w:r>
      <w:r>
        <w:rPr>
          <w:color w:val="17365A"/>
          <w:spacing w:val="-4"/>
        </w:rPr>
        <w:t xml:space="preserve"> </w:t>
      </w:r>
      <w:r>
        <w:rPr>
          <w:color w:val="17365A"/>
        </w:rPr>
        <w:t>availability,</w:t>
      </w:r>
      <w:r>
        <w:rPr>
          <w:color w:val="17365A"/>
          <w:spacing w:val="-1"/>
        </w:rPr>
        <w:t xml:space="preserve"> </w:t>
      </w:r>
      <w:r>
        <w:rPr>
          <w:color w:val="17365A"/>
        </w:rPr>
        <w:t>management,</w:t>
      </w:r>
      <w:r>
        <w:rPr>
          <w:color w:val="17365A"/>
          <w:spacing w:val="-1"/>
        </w:rPr>
        <w:t xml:space="preserve"> </w:t>
      </w:r>
      <w:r>
        <w:rPr>
          <w:color w:val="17365A"/>
        </w:rPr>
        <w:t>and</w:t>
      </w:r>
      <w:r>
        <w:rPr>
          <w:color w:val="17365A"/>
          <w:spacing w:val="-3"/>
        </w:rPr>
        <w:t xml:space="preserve"> </w:t>
      </w:r>
      <w:r>
        <w:rPr>
          <w:color w:val="17365A"/>
        </w:rPr>
        <w:t>utilisation</w:t>
      </w:r>
      <w:r>
        <w:rPr>
          <w:color w:val="17365A"/>
          <w:spacing w:val="-2"/>
        </w:rPr>
        <w:t xml:space="preserve"> </w:t>
      </w:r>
      <w:r>
        <w:rPr>
          <w:color w:val="17365A"/>
        </w:rPr>
        <w:t>to</w:t>
      </w:r>
      <w:r>
        <w:rPr>
          <w:color w:val="17365A"/>
          <w:spacing w:val="-3"/>
        </w:rPr>
        <w:t xml:space="preserve"> </w:t>
      </w:r>
      <w:r>
        <w:rPr>
          <w:color w:val="17365A"/>
        </w:rPr>
        <w:t>improve</w:t>
      </w:r>
      <w:r>
        <w:rPr>
          <w:color w:val="17365A"/>
          <w:spacing w:val="-3"/>
        </w:rPr>
        <w:t xml:space="preserve"> </w:t>
      </w:r>
      <w:r>
        <w:rPr>
          <w:color w:val="17365A"/>
        </w:rPr>
        <w:t>evidence-based</w:t>
      </w:r>
      <w:r>
        <w:rPr>
          <w:color w:val="17365A"/>
          <w:spacing w:val="-2"/>
        </w:rPr>
        <w:t xml:space="preserve"> </w:t>
      </w:r>
      <w:r>
        <w:rPr>
          <w:color w:val="17365A"/>
        </w:rPr>
        <w:t>planning</w:t>
      </w:r>
      <w:r>
        <w:rPr>
          <w:color w:val="17365A"/>
          <w:spacing w:val="-1"/>
        </w:rPr>
        <w:t xml:space="preserve"> </w:t>
      </w:r>
      <w:r>
        <w:rPr>
          <w:color w:val="17365A"/>
        </w:rPr>
        <w:t>processes</w:t>
      </w:r>
      <w:r>
        <w:rPr>
          <w:color w:val="17365A"/>
          <w:spacing w:val="-2"/>
        </w:rPr>
        <w:t xml:space="preserve"> </w:t>
      </w:r>
      <w:r>
        <w:rPr>
          <w:color w:val="17365A"/>
        </w:rPr>
        <w:t>(IO</w:t>
      </w:r>
      <w:r>
        <w:rPr>
          <w:color w:val="17365A"/>
          <w:spacing w:val="-4"/>
        </w:rPr>
        <w:t xml:space="preserve"> </w:t>
      </w:r>
      <w:r>
        <w:rPr>
          <w:color w:val="17365A"/>
          <w:spacing w:val="-10"/>
        </w:rPr>
        <w:t>5</w:t>
      </w:r>
    </w:p>
    <w:p w14:paraId="596A6ABE" w14:textId="77777777" w:rsidR="00BC24A8" w:rsidRDefault="00000000">
      <w:pPr>
        <w:spacing w:before="1"/>
        <w:ind w:left="143"/>
        <w:rPr>
          <w:rFonts w:ascii="Calibri"/>
          <w:b/>
        </w:rPr>
      </w:pPr>
      <w:r>
        <w:rPr>
          <w:rFonts w:ascii="Calibri"/>
          <w:b/>
          <w:color w:val="17365A"/>
        </w:rPr>
        <w:t>and</w:t>
      </w:r>
      <w:r>
        <w:rPr>
          <w:rFonts w:ascii="Calibri"/>
          <w:b/>
          <w:color w:val="17365A"/>
          <w:spacing w:val="-5"/>
        </w:rPr>
        <w:t xml:space="preserve"> 9)</w:t>
      </w:r>
    </w:p>
    <w:p w14:paraId="628DCDD1" w14:textId="77777777" w:rsidR="00BC24A8" w:rsidRDefault="00000000">
      <w:pPr>
        <w:pStyle w:val="ListParagraph"/>
        <w:numPr>
          <w:ilvl w:val="3"/>
          <w:numId w:val="11"/>
        </w:numPr>
        <w:tabs>
          <w:tab w:val="left" w:pos="861"/>
          <w:tab w:val="left" w:pos="863"/>
        </w:tabs>
        <w:spacing w:before="158"/>
        <w:ind w:right="565" w:hanging="361"/>
      </w:pPr>
      <w:r>
        <w:t>SKALA</w:t>
      </w:r>
      <w:r>
        <w:rPr>
          <w:spacing w:val="-3"/>
        </w:rPr>
        <w:t xml:space="preserve"> </w:t>
      </w:r>
      <w:r>
        <w:t>successfully</w:t>
      </w:r>
      <w:r>
        <w:rPr>
          <w:spacing w:val="-2"/>
        </w:rPr>
        <w:t xml:space="preserve"> </w:t>
      </w:r>
      <w:r>
        <w:t>advocated</w:t>
      </w:r>
      <w:r>
        <w:rPr>
          <w:spacing w:val="-2"/>
        </w:rPr>
        <w:t xml:space="preserve"> </w:t>
      </w:r>
      <w:r>
        <w:t>with</w:t>
      </w:r>
      <w:r>
        <w:rPr>
          <w:spacing w:val="-4"/>
        </w:rPr>
        <w:t xml:space="preserve"> </w:t>
      </w:r>
      <w:r>
        <w:t>Waropen</w:t>
      </w:r>
      <w:r>
        <w:rPr>
          <w:spacing w:val="-4"/>
        </w:rPr>
        <w:t xml:space="preserve"> </w:t>
      </w:r>
      <w:r>
        <w:t>District</w:t>
      </w:r>
      <w:r>
        <w:rPr>
          <w:spacing w:val="-5"/>
        </w:rPr>
        <w:t xml:space="preserve"> </w:t>
      </w:r>
      <w:r>
        <w:t>Government,</w:t>
      </w:r>
      <w:r>
        <w:rPr>
          <w:spacing w:val="-3"/>
        </w:rPr>
        <w:t xml:space="preserve"> </w:t>
      </w:r>
      <w:r>
        <w:t>resulting</w:t>
      </w:r>
      <w:r>
        <w:rPr>
          <w:spacing w:val="-3"/>
        </w:rPr>
        <w:t xml:space="preserve"> </w:t>
      </w:r>
      <w:r>
        <w:t>in</w:t>
      </w:r>
      <w:r>
        <w:rPr>
          <w:spacing w:val="-2"/>
        </w:rPr>
        <w:t xml:space="preserve"> </w:t>
      </w:r>
      <w:r>
        <w:t>the</w:t>
      </w:r>
      <w:r>
        <w:rPr>
          <w:spacing w:val="-3"/>
        </w:rPr>
        <w:t xml:space="preserve"> </w:t>
      </w:r>
      <w:r>
        <w:t>allocation</w:t>
      </w:r>
      <w:r>
        <w:rPr>
          <w:spacing w:val="-2"/>
        </w:rPr>
        <w:t xml:space="preserve"> </w:t>
      </w:r>
      <w:r>
        <w:t>of IDR 1 billion for Village Cadre training.</w:t>
      </w:r>
    </w:p>
    <w:p w14:paraId="751DC01C" w14:textId="77777777" w:rsidR="00BC24A8" w:rsidRDefault="00000000">
      <w:pPr>
        <w:pStyle w:val="ListParagraph"/>
        <w:numPr>
          <w:ilvl w:val="3"/>
          <w:numId w:val="11"/>
        </w:numPr>
        <w:tabs>
          <w:tab w:val="left" w:pos="861"/>
          <w:tab w:val="left" w:pos="863"/>
        </w:tabs>
        <w:spacing w:before="1"/>
        <w:ind w:right="564" w:hanging="361"/>
      </w:pPr>
      <w:r>
        <w:t>Monitoring and supervision (</w:t>
      </w:r>
      <w:r>
        <w:rPr>
          <w:i/>
        </w:rPr>
        <w:t xml:space="preserve">Korbinwas) </w:t>
      </w:r>
      <w:r>
        <w:t>facilitated by SKALA from the Central Data Agency to Papua Province, enabled the provincial government to strengthen the draft Jayapura Mayor Regulation on the One Data regional system.</w:t>
      </w:r>
    </w:p>
    <w:p w14:paraId="115FF5AD" w14:textId="77777777" w:rsidR="00BC24A8" w:rsidRDefault="00000000">
      <w:pPr>
        <w:pStyle w:val="ListParagraph"/>
        <w:numPr>
          <w:ilvl w:val="3"/>
          <w:numId w:val="11"/>
        </w:numPr>
        <w:tabs>
          <w:tab w:val="left" w:pos="861"/>
          <w:tab w:val="left" w:pos="863"/>
        </w:tabs>
        <w:spacing w:before="1"/>
        <w:ind w:right="565" w:hanging="361"/>
      </w:pPr>
      <w:r>
        <w:t>As</w:t>
      </w:r>
      <w:r>
        <w:rPr>
          <w:spacing w:val="-3"/>
        </w:rPr>
        <w:t xml:space="preserve"> </w:t>
      </w:r>
      <w:r>
        <w:t>of</w:t>
      </w:r>
      <w:r>
        <w:rPr>
          <w:spacing w:val="-3"/>
        </w:rPr>
        <w:t xml:space="preserve"> </w:t>
      </w:r>
      <w:r>
        <w:t>June</w:t>
      </w:r>
      <w:r>
        <w:rPr>
          <w:spacing w:val="-3"/>
        </w:rPr>
        <w:t xml:space="preserve"> </w:t>
      </w:r>
      <w:r>
        <w:t>2025,</w:t>
      </w:r>
      <w:r>
        <w:rPr>
          <w:spacing w:val="-3"/>
        </w:rPr>
        <w:t xml:space="preserve"> </w:t>
      </w:r>
      <w:r>
        <w:t>SIO</w:t>
      </w:r>
      <w:r>
        <w:rPr>
          <w:spacing w:val="-5"/>
        </w:rPr>
        <w:t xml:space="preserve"> </w:t>
      </w:r>
      <w:r>
        <w:t>Papua</w:t>
      </w:r>
      <w:r>
        <w:rPr>
          <w:spacing w:val="-5"/>
        </w:rPr>
        <w:t xml:space="preserve"> </w:t>
      </w:r>
      <w:r>
        <w:t>coverage</w:t>
      </w:r>
      <w:r>
        <w:rPr>
          <w:spacing w:val="-3"/>
        </w:rPr>
        <w:t xml:space="preserve"> </w:t>
      </w:r>
      <w:r>
        <w:t>reached</w:t>
      </w:r>
      <w:r>
        <w:rPr>
          <w:spacing w:val="-4"/>
        </w:rPr>
        <w:t xml:space="preserve"> </w:t>
      </w:r>
      <w:r>
        <w:t>6.8%,</w:t>
      </w:r>
      <w:r>
        <w:rPr>
          <w:spacing w:val="-1"/>
        </w:rPr>
        <w:t xml:space="preserve"> </w:t>
      </w:r>
      <w:r>
        <w:t>with</w:t>
      </w:r>
      <w:r>
        <w:rPr>
          <w:spacing w:val="-1"/>
        </w:rPr>
        <w:t xml:space="preserve"> </w:t>
      </w:r>
      <w:r>
        <w:t>the</w:t>
      </w:r>
      <w:r>
        <w:rPr>
          <w:spacing w:val="-3"/>
        </w:rPr>
        <w:t xml:space="preserve"> </w:t>
      </w:r>
      <w:r>
        <w:t>highest</w:t>
      </w:r>
      <w:r>
        <w:rPr>
          <w:spacing w:val="-5"/>
        </w:rPr>
        <w:t xml:space="preserve"> </w:t>
      </w:r>
      <w:r>
        <w:t>in</w:t>
      </w:r>
      <w:r>
        <w:rPr>
          <w:spacing w:val="-4"/>
        </w:rPr>
        <w:t xml:space="preserve"> </w:t>
      </w:r>
      <w:r>
        <w:t>Jayapura</w:t>
      </w:r>
      <w:r>
        <w:rPr>
          <w:spacing w:val="-3"/>
        </w:rPr>
        <w:t xml:space="preserve"> </w:t>
      </w:r>
      <w:r>
        <w:t>District</w:t>
      </w:r>
      <w:r>
        <w:rPr>
          <w:spacing w:val="-5"/>
        </w:rPr>
        <w:t xml:space="preserve"> </w:t>
      </w:r>
      <w:r>
        <w:t>(39%). In other districts/municipalities, coverage remains low, below 1% of the population (Jayapura City, Sarmi, Biak, Mamberamo Raya, Yapen, and Keerom).</w:t>
      </w:r>
    </w:p>
    <w:p w14:paraId="296098EF" w14:textId="77777777" w:rsidR="00BC24A8" w:rsidRDefault="00BC24A8">
      <w:pPr>
        <w:pStyle w:val="BodyText"/>
        <w:spacing w:before="260"/>
      </w:pPr>
    </w:p>
    <w:p w14:paraId="79D7CD4E" w14:textId="77777777" w:rsidR="00BC24A8" w:rsidRDefault="00000000">
      <w:pPr>
        <w:pStyle w:val="Heading5"/>
        <w:spacing w:line="384" w:lineRule="auto"/>
        <w:ind w:right="1346"/>
      </w:pPr>
      <w:r>
        <w:rPr>
          <w:color w:val="17365A"/>
        </w:rPr>
        <w:t>Better</w:t>
      </w:r>
      <w:r>
        <w:rPr>
          <w:color w:val="17365A"/>
          <w:spacing w:val="-6"/>
        </w:rPr>
        <w:t xml:space="preserve"> </w:t>
      </w:r>
      <w:r>
        <w:rPr>
          <w:color w:val="17365A"/>
        </w:rPr>
        <w:t>public</w:t>
      </w:r>
      <w:r>
        <w:rPr>
          <w:color w:val="17365A"/>
          <w:spacing w:val="-5"/>
        </w:rPr>
        <w:t xml:space="preserve"> </w:t>
      </w:r>
      <w:r>
        <w:rPr>
          <w:color w:val="17365A"/>
        </w:rPr>
        <w:t>financial</w:t>
      </w:r>
      <w:r>
        <w:rPr>
          <w:color w:val="17365A"/>
          <w:spacing w:val="-3"/>
        </w:rPr>
        <w:t xml:space="preserve"> </w:t>
      </w:r>
      <w:r>
        <w:rPr>
          <w:color w:val="17365A"/>
        </w:rPr>
        <w:t>management</w:t>
      </w:r>
      <w:r>
        <w:rPr>
          <w:color w:val="17365A"/>
          <w:spacing w:val="-6"/>
        </w:rPr>
        <w:t xml:space="preserve"> </w:t>
      </w:r>
      <w:r>
        <w:rPr>
          <w:color w:val="17365A"/>
        </w:rPr>
        <w:t>to</w:t>
      </w:r>
      <w:r>
        <w:rPr>
          <w:color w:val="17365A"/>
          <w:spacing w:val="-5"/>
        </w:rPr>
        <w:t xml:space="preserve"> </w:t>
      </w:r>
      <w:r>
        <w:rPr>
          <w:color w:val="17365A"/>
        </w:rPr>
        <w:t>support</w:t>
      </w:r>
      <w:r>
        <w:rPr>
          <w:color w:val="17365A"/>
          <w:spacing w:val="-6"/>
        </w:rPr>
        <w:t xml:space="preserve"> </w:t>
      </w:r>
      <w:r>
        <w:rPr>
          <w:color w:val="17365A"/>
        </w:rPr>
        <w:t>improved</w:t>
      </w:r>
      <w:r>
        <w:rPr>
          <w:color w:val="17365A"/>
          <w:spacing w:val="-5"/>
        </w:rPr>
        <w:t xml:space="preserve"> </w:t>
      </w:r>
      <w:r>
        <w:rPr>
          <w:color w:val="17365A"/>
        </w:rPr>
        <w:t>service</w:t>
      </w:r>
      <w:r>
        <w:rPr>
          <w:color w:val="17365A"/>
          <w:spacing w:val="-5"/>
        </w:rPr>
        <w:t xml:space="preserve"> </w:t>
      </w:r>
      <w:r>
        <w:rPr>
          <w:color w:val="17365A"/>
        </w:rPr>
        <w:t>delivery</w:t>
      </w:r>
      <w:r>
        <w:rPr>
          <w:color w:val="17365A"/>
          <w:spacing w:val="-3"/>
        </w:rPr>
        <w:t xml:space="preserve"> </w:t>
      </w:r>
      <w:r>
        <w:rPr>
          <w:color w:val="17365A"/>
        </w:rPr>
        <w:t>(IO</w:t>
      </w:r>
      <w:r>
        <w:rPr>
          <w:color w:val="17365A"/>
          <w:spacing w:val="-7"/>
        </w:rPr>
        <w:t xml:space="preserve"> </w:t>
      </w:r>
      <w:r>
        <w:rPr>
          <w:color w:val="17365A"/>
        </w:rPr>
        <w:t>4</w:t>
      </w:r>
      <w:r>
        <w:rPr>
          <w:color w:val="17365A"/>
          <w:spacing w:val="-3"/>
        </w:rPr>
        <w:t xml:space="preserve"> </w:t>
      </w:r>
      <w:r>
        <w:rPr>
          <w:color w:val="17365A"/>
        </w:rPr>
        <w:t>and</w:t>
      </w:r>
      <w:r>
        <w:rPr>
          <w:color w:val="17365A"/>
          <w:spacing w:val="-5"/>
        </w:rPr>
        <w:t xml:space="preserve"> </w:t>
      </w:r>
      <w:r>
        <w:rPr>
          <w:color w:val="17365A"/>
        </w:rPr>
        <w:t xml:space="preserve">6) </w:t>
      </w:r>
      <w:r>
        <w:t>SKALA supported the implementation of MSS in Papua Province</w:t>
      </w:r>
    </w:p>
    <w:p w14:paraId="66EC2A49" w14:textId="77777777" w:rsidR="00BC24A8" w:rsidRDefault="00000000">
      <w:pPr>
        <w:pStyle w:val="ListParagraph"/>
        <w:numPr>
          <w:ilvl w:val="3"/>
          <w:numId w:val="11"/>
        </w:numPr>
        <w:tabs>
          <w:tab w:val="left" w:pos="863"/>
        </w:tabs>
        <w:ind w:right="562" w:hanging="361"/>
        <w:jc w:val="left"/>
      </w:pPr>
      <w:r>
        <w:t>20</w:t>
      </w:r>
      <w:r>
        <w:rPr>
          <w:spacing w:val="40"/>
        </w:rPr>
        <w:t xml:space="preserve"> </w:t>
      </w:r>
      <w:r>
        <w:t>people</w:t>
      </w:r>
      <w:r>
        <w:rPr>
          <w:spacing w:val="40"/>
        </w:rPr>
        <w:t xml:space="preserve"> </w:t>
      </w:r>
      <w:r>
        <w:t>(12</w:t>
      </w:r>
      <w:r>
        <w:rPr>
          <w:spacing w:val="40"/>
        </w:rPr>
        <w:t xml:space="preserve"> </w:t>
      </w:r>
      <w:r>
        <w:t>men,</w:t>
      </w:r>
      <w:r>
        <w:rPr>
          <w:spacing w:val="40"/>
        </w:rPr>
        <w:t xml:space="preserve"> </w:t>
      </w:r>
      <w:r>
        <w:t>8</w:t>
      </w:r>
      <w:r>
        <w:rPr>
          <w:spacing w:val="40"/>
        </w:rPr>
        <w:t xml:space="preserve"> </w:t>
      </w:r>
      <w:r>
        <w:t>women)</w:t>
      </w:r>
      <w:r>
        <w:rPr>
          <w:spacing w:val="40"/>
        </w:rPr>
        <w:t xml:space="preserve"> </w:t>
      </w:r>
      <w:r>
        <w:t>were</w:t>
      </w:r>
      <w:r>
        <w:rPr>
          <w:spacing w:val="40"/>
        </w:rPr>
        <w:t xml:space="preserve"> </w:t>
      </w:r>
      <w:r>
        <w:t>trained</w:t>
      </w:r>
      <w:r>
        <w:rPr>
          <w:spacing w:val="40"/>
        </w:rPr>
        <w:t xml:space="preserve"> </w:t>
      </w:r>
      <w:r>
        <w:t>in</w:t>
      </w:r>
      <w:r>
        <w:rPr>
          <w:spacing w:val="40"/>
        </w:rPr>
        <w:t xml:space="preserve"> </w:t>
      </w:r>
      <w:r>
        <w:t>drafting</w:t>
      </w:r>
      <w:r>
        <w:rPr>
          <w:spacing w:val="40"/>
        </w:rPr>
        <w:t xml:space="preserve"> </w:t>
      </w:r>
      <w:r>
        <w:t>MSS</w:t>
      </w:r>
      <w:r>
        <w:rPr>
          <w:spacing w:val="40"/>
        </w:rPr>
        <w:t xml:space="preserve"> </w:t>
      </w:r>
      <w:r>
        <w:t>Action</w:t>
      </w:r>
      <w:r>
        <w:rPr>
          <w:spacing w:val="40"/>
        </w:rPr>
        <w:t xml:space="preserve"> </w:t>
      </w:r>
      <w:r>
        <w:t>Plans,</w:t>
      </w:r>
      <w:r>
        <w:rPr>
          <w:spacing w:val="40"/>
        </w:rPr>
        <w:t xml:space="preserve"> </w:t>
      </w:r>
      <w:r>
        <w:t>producing</w:t>
      </w:r>
      <w:r>
        <w:rPr>
          <w:spacing w:val="40"/>
        </w:rPr>
        <w:t xml:space="preserve"> </w:t>
      </w:r>
      <w:r>
        <w:t>the province’s first draft MSS Action Plans.</w:t>
      </w:r>
    </w:p>
    <w:p w14:paraId="0D1F2397" w14:textId="77777777" w:rsidR="00BC24A8" w:rsidRDefault="00000000">
      <w:pPr>
        <w:pStyle w:val="ListParagraph"/>
        <w:numPr>
          <w:ilvl w:val="3"/>
          <w:numId w:val="11"/>
        </w:numPr>
        <w:tabs>
          <w:tab w:val="left" w:pos="863"/>
        </w:tabs>
        <w:ind w:right="563" w:hanging="361"/>
        <w:jc w:val="left"/>
      </w:pPr>
      <w:r>
        <w:t>MSS capacity-building workshops facilitated by SKALA helped increase the MSS achievement index from 26% in 2022 to 54% in 2024.</w:t>
      </w:r>
    </w:p>
    <w:p w14:paraId="7EA50F00" w14:textId="77777777" w:rsidR="00BC24A8" w:rsidRDefault="00000000">
      <w:pPr>
        <w:pStyle w:val="ListParagraph"/>
        <w:numPr>
          <w:ilvl w:val="3"/>
          <w:numId w:val="11"/>
        </w:numPr>
        <w:tabs>
          <w:tab w:val="left" w:pos="864"/>
        </w:tabs>
        <w:ind w:left="864" w:right="564" w:hanging="361"/>
        <w:jc w:val="left"/>
      </w:pPr>
      <w:r>
        <w:t>The</w:t>
      </w:r>
      <w:r>
        <w:rPr>
          <w:spacing w:val="32"/>
        </w:rPr>
        <w:t xml:space="preserve"> </w:t>
      </w:r>
      <w:r>
        <w:t>MSS</w:t>
      </w:r>
      <w:r>
        <w:rPr>
          <w:spacing w:val="29"/>
        </w:rPr>
        <w:t xml:space="preserve"> </w:t>
      </w:r>
      <w:r>
        <w:t>Implementation</w:t>
      </w:r>
      <w:r>
        <w:rPr>
          <w:spacing w:val="32"/>
        </w:rPr>
        <w:t xml:space="preserve"> </w:t>
      </w:r>
      <w:r>
        <w:t>Team</w:t>
      </w:r>
      <w:r>
        <w:rPr>
          <w:spacing w:val="32"/>
        </w:rPr>
        <w:t xml:space="preserve"> </w:t>
      </w:r>
      <w:r>
        <w:t>is</w:t>
      </w:r>
      <w:r>
        <w:rPr>
          <w:spacing w:val="32"/>
        </w:rPr>
        <w:t xml:space="preserve"> </w:t>
      </w:r>
      <w:r>
        <w:t>being</w:t>
      </w:r>
      <w:r>
        <w:rPr>
          <w:spacing w:val="31"/>
        </w:rPr>
        <w:t xml:space="preserve"> </w:t>
      </w:r>
      <w:r>
        <w:t>aligned</w:t>
      </w:r>
      <w:r>
        <w:rPr>
          <w:spacing w:val="32"/>
        </w:rPr>
        <w:t xml:space="preserve"> </w:t>
      </w:r>
      <w:r>
        <w:t>with</w:t>
      </w:r>
      <w:r>
        <w:rPr>
          <w:spacing w:val="32"/>
        </w:rPr>
        <w:t xml:space="preserve"> </w:t>
      </w:r>
      <w:r>
        <w:t>the</w:t>
      </w:r>
      <w:r>
        <w:rPr>
          <w:spacing w:val="32"/>
        </w:rPr>
        <w:t xml:space="preserve"> </w:t>
      </w:r>
      <w:r>
        <w:t>latest</w:t>
      </w:r>
      <w:r>
        <w:rPr>
          <w:spacing w:val="30"/>
        </w:rPr>
        <w:t xml:space="preserve"> </w:t>
      </w:r>
      <w:r>
        <w:t>regulations,</w:t>
      </w:r>
      <w:r>
        <w:rPr>
          <w:spacing w:val="32"/>
        </w:rPr>
        <w:t xml:space="preserve"> </w:t>
      </w:r>
      <w:r>
        <w:t>with</w:t>
      </w:r>
      <w:r>
        <w:rPr>
          <w:spacing w:val="32"/>
        </w:rPr>
        <w:t xml:space="preserve"> </w:t>
      </w:r>
      <w:r>
        <w:t>the</w:t>
      </w:r>
      <w:r>
        <w:rPr>
          <w:spacing w:val="32"/>
        </w:rPr>
        <w:t xml:space="preserve"> </w:t>
      </w:r>
      <w:r>
        <w:t>team structure streamlined from 23 to 12 members.</w:t>
      </w:r>
    </w:p>
    <w:p w14:paraId="1D3D6737" w14:textId="77777777" w:rsidR="00BC24A8" w:rsidRDefault="00BC24A8">
      <w:pPr>
        <w:pStyle w:val="BodyText"/>
        <w:spacing w:before="101"/>
      </w:pPr>
    </w:p>
    <w:p w14:paraId="57AD7854" w14:textId="77777777" w:rsidR="00BC24A8" w:rsidRDefault="00000000">
      <w:pPr>
        <w:pStyle w:val="Heading5"/>
      </w:pPr>
      <w:r>
        <w:t>SKALA</w:t>
      </w:r>
      <w:r>
        <w:rPr>
          <w:spacing w:val="-5"/>
        </w:rPr>
        <w:t xml:space="preserve"> </w:t>
      </w:r>
      <w:r>
        <w:t>supported</w:t>
      </w:r>
      <w:r>
        <w:rPr>
          <w:spacing w:val="-5"/>
        </w:rPr>
        <w:t xml:space="preserve"> </w:t>
      </w:r>
      <w:r>
        <w:t>the</w:t>
      </w:r>
      <w:r>
        <w:rPr>
          <w:spacing w:val="-6"/>
        </w:rPr>
        <w:t xml:space="preserve"> </w:t>
      </w:r>
      <w:r>
        <w:t>quality</w:t>
      </w:r>
      <w:r>
        <w:rPr>
          <w:spacing w:val="-4"/>
        </w:rPr>
        <w:t xml:space="preserve"> </w:t>
      </w:r>
      <w:r>
        <w:t>of</w:t>
      </w:r>
      <w:r>
        <w:rPr>
          <w:spacing w:val="-5"/>
        </w:rPr>
        <w:t xml:space="preserve"> </w:t>
      </w:r>
      <w:r>
        <w:t>planning</w:t>
      </w:r>
      <w:r>
        <w:rPr>
          <w:spacing w:val="-4"/>
        </w:rPr>
        <w:t xml:space="preserve"> </w:t>
      </w:r>
      <w:r>
        <w:rPr>
          <w:spacing w:val="-2"/>
        </w:rPr>
        <w:t>documents</w:t>
      </w:r>
    </w:p>
    <w:p w14:paraId="34EE1611" w14:textId="77777777" w:rsidR="00BC24A8" w:rsidRDefault="00000000">
      <w:pPr>
        <w:pStyle w:val="ListParagraph"/>
        <w:numPr>
          <w:ilvl w:val="3"/>
          <w:numId w:val="11"/>
        </w:numPr>
        <w:tabs>
          <w:tab w:val="left" w:pos="861"/>
          <w:tab w:val="left" w:pos="863"/>
        </w:tabs>
        <w:spacing w:before="159"/>
        <w:ind w:right="563" w:hanging="361"/>
      </w:pPr>
      <w:r>
        <w:t>Papua</w:t>
      </w:r>
      <w:r>
        <w:rPr>
          <w:spacing w:val="-13"/>
        </w:rPr>
        <w:t xml:space="preserve"> </w:t>
      </w:r>
      <w:r>
        <w:t>Province’s</w:t>
      </w:r>
      <w:r>
        <w:rPr>
          <w:spacing w:val="-12"/>
        </w:rPr>
        <w:t xml:space="preserve"> </w:t>
      </w:r>
      <w:r>
        <w:t>technocratic</w:t>
      </w:r>
      <w:r>
        <w:rPr>
          <w:spacing w:val="-13"/>
        </w:rPr>
        <w:t xml:space="preserve"> </w:t>
      </w:r>
      <w:r>
        <w:t>RPJMD</w:t>
      </w:r>
      <w:r>
        <w:rPr>
          <w:spacing w:val="-12"/>
        </w:rPr>
        <w:t xml:space="preserve"> </w:t>
      </w:r>
      <w:r>
        <w:t>has</w:t>
      </w:r>
      <w:r>
        <w:rPr>
          <w:spacing w:val="-13"/>
        </w:rPr>
        <w:t xml:space="preserve"> </w:t>
      </w:r>
      <w:r>
        <w:t>incorporated</w:t>
      </w:r>
      <w:r>
        <w:rPr>
          <w:spacing w:val="-12"/>
        </w:rPr>
        <w:t xml:space="preserve"> </w:t>
      </w:r>
      <w:r>
        <w:t>indicators,</w:t>
      </w:r>
      <w:r>
        <w:rPr>
          <w:spacing w:val="-13"/>
        </w:rPr>
        <w:t xml:space="preserve"> </w:t>
      </w:r>
      <w:r>
        <w:t>issues,</w:t>
      </w:r>
      <w:r>
        <w:rPr>
          <w:spacing w:val="-12"/>
        </w:rPr>
        <w:t xml:space="preserve"> </w:t>
      </w:r>
      <w:r>
        <w:t>and</w:t>
      </w:r>
      <w:r>
        <w:rPr>
          <w:spacing w:val="-12"/>
        </w:rPr>
        <w:t xml:space="preserve"> </w:t>
      </w:r>
      <w:r>
        <w:t>strategies</w:t>
      </w:r>
      <w:r>
        <w:rPr>
          <w:spacing w:val="-13"/>
        </w:rPr>
        <w:t xml:space="preserve"> </w:t>
      </w:r>
      <w:r>
        <w:t>related to MSS and</w:t>
      </w:r>
      <w:r>
        <w:rPr>
          <w:spacing w:val="-1"/>
        </w:rPr>
        <w:t xml:space="preserve"> </w:t>
      </w:r>
      <w:r>
        <w:t>Gender.</w:t>
      </w:r>
      <w:r>
        <w:rPr>
          <w:spacing w:val="-1"/>
        </w:rPr>
        <w:t xml:space="preserve"> </w:t>
      </w:r>
      <w:r>
        <w:t>The</w:t>
      </w:r>
      <w:r>
        <w:rPr>
          <w:spacing w:val="-1"/>
        </w:rPr>
        <w:t xml:space="preserve"> </w:t>
      </w:r>
      <w:r>
        <w:t>document clearly</w:t>
      </w:r>
      <w:r>
        <w:rPr>
          <w:spacing w:val="-1"/>
        </w:rPr>
        <w:t xml:space="preserve"> </w:t>
      </w:r>
      <w:r>
        <w:t>guided</w:t>
      </w:r>
      <w:r>
        <w:rPr>
          <w:spacing w:val="-1"/>
        </w:rPr>
        <w:t xml:space="preserve"> </w:t>
      </w:r>
      <w:r>
        <w:t>the</w:t>
      </w:r>
      <w:r>
        <w:rPr>
          <w:spacing w:val="-3"/>
        </w:rPr>
        <w:t xml:space="preserve"> </w:t>
      </w:r>
      <w:r>
        <w:t>preparation</w:t>
      </w:r>
      <w:r>
        <w:rPr>
          <w:spacing w:val="-1"/>
        </w:rPr>
        <w:t xml:space="preserve"> </w:t>
      </w:r>
      <w:r>
        <w:t>of</w:t>
      </w:r>
      <w:r>
        <w:rPr>
          <w:spacing w:val="-1"/>
        </w:rPr>
        <w:t xml:space="preserve"> </w:t>
      </w:r>
      <w:r>
        <w:t>the 2026</w:t>
      </w:r>
      <w:r>
        <w:rPr>
          <w:spacing w:val="-1"/>
        </w:rPr>
        <w:t xml:space="preserve"> </w:t>
      </w:r>
      <w:r>
        <w:t>RKPD,</w:t>
      </w:r>
      <w:r>
        <w:rPr>
          <w:spacing w:val="-1"/>
        </w:rPr>
        <w:t xml:space="preserve"> </w:t>
      </w:r>
      <w:r>
        <w:t>including 13</w:t>
      </w:r>
      <w:r>
        <w:rPr>
          <w:spacing w:val="-6"/>
        </w:rPr>
        <w:t xml:space="preserve"> </w:t>
      </w:r>
      <w:r>
        <w:t>MSS</w:t>
      </w:r>
      <w:r>
        <w:rPr>
          <w:spacing w:val="-6"/>
        </w:rPr>
        <w:t xml:space="preserve"> </w:t>
      </w:r>
      <w:r>
        <w:t>Priority</w:t>
      </w:r>
      <w:r>
        <w:rPr>
          <w:spacing w:val="-6"/>
        </w:rPr>
        <w:t xml:space="preserve"> </w:t>
      </w:r>
      <w:r>
        <w:t>Programs</w:t>
      </w:r>
      <w:r>
        <w:rPr>
          <w:spacing w:val="-3"/>
        </w:rPr>
        <w:t xml:space="preserve"> </w:t>
      </w:r>
      <w:r>
        <w:t>and</w:t>
      </w:r>
      <w:r>
        <w:rPr>
          <w:spacing w:val="-6"/>
        </w:rPr>
        <w:t xml:space="preserve"> </w:t>
      </w:r>
      <w:r>
        <w:t>23</w:t>
      </w:r>
      <w:r>
        <w:rPr>
          <w:spacing w:val="-6"/>
        </w:rPr>
        <w:t xml:space="preserve"> </w:t>
      </w:r>
      <w:r>
        <w:t>Gender</w:t>
      </w:r>
      <w:r>
        <w:rPr>
          <w:spacing w:val="-4"/>
        </w:rPr>
        <w:t xml:space="preserve"> </w:t>
      </w:r>
      <w:r>
        <w:t>Priority</w:t>
      </w:r>
      <w:r>
        <w:rPr>
          <w:spacing w:val="-6"/>
        </w:rPr>
        <w:t xml:space="preserve"> </w:t>
      </w:r>
      <w:r>
        <w:t>Programs.</w:t>
      </w:r>
      <w:r>
        <w:rPr>
          <w:spacing w:val="-5"/>
        </w:rPr>
        <w:t xml:space="preserve"> </w:t>
      </w:r>
      <w:r>
        <w:t>MSS</w:t>
      </w:r>
      <w:r>
        <w:rPr>
          <w:spacing w:val="-6"/>
        </w:rPr>
        <w:t xml:space="preserve"> </w:t>
      </w:r>
      <w:r>
        <w:t>was</w:t>
      </w:r>
      <w:r>
        <w:rPr>
          <w:spacing w:val="-3"/>
        </w:rPr>
        <w:t xml:space="preserve"> </w:t>
      </w:r>
      <w:r>
        <w:t>also</w:t>
      </w:r>
      <w:r>
        <w:rPr>
          <w:spacing w:val="-7"/>
        </w:rPr>
        <w:t xml:space="preserve"> </w:t>
      </w:r>
      <w:r>
        <w:t>established</w:t>
      </w:r>
      <w:r>
        <w:rPr>
          <w:spacing w:val="-6"/>
        </w:rPr>
        <w:t xml:space="preserve"> </w:t>
      </w:r>
      <w:r>
        <w:t>as</w:t>
      </w:r>
      <w:r>
        <w:rPr>
          <w:spacing w:val="-6"/>
        </w:rPr>
        <w:t xml:space="preserve"> </w:t>
      </w:r>
      <w:r>
        <w:t>one</w:t>
      </w:r>
      <w:r>
        <w:rPr>
          <w:spacing w:val="-3"/>
        </w:rPr>
        <w:t xml:space="preserve"> </w:t>
      </w:r>
      <w:r>
        <w:t>of the four main development objectives.</w:t>
      </w:r>
    </w:p>
    <w:p w14:paraId="2CD16511" w14:textId="77777777" w:rsidR="00BC24A8" w:rsidRDefault="00000000">
      <w:pPr>
        <w:pStyle w:val="ListParagraph"/>
        <w:numPr>
          <w:ilvl w:val="3"/>
          <w:numId w:val="11"/>
        </w:numPr>
        <w:tabs>
          <w:tab w:val="left" w:pos="861"/>
          <w:tab w:val="left" w:pos="863"/>
        </w:tabs>
        <w:spacing w:before="1"/>
        <w:ind w:right="565" w:hanging="361"/>
      </w:pPr>
      <w:r>
        <w:t>The 2026 RKPD has been designed with reference to the RIPPP for the acceleration of standardised</w:t>
      </w:r>
      <w:r>
        <w:rPr>
          <w:spacing w:val="-5"/>
        </w:rPr>
        <w:t xml:space="preserve"> </w:t>
      </w:r>
      <w:r>
        <w:t>health</w:t>
      </w:r>
      <w:r>
        <w:rPr>
          <w:spacing w:val="-2"/>
        </w:rPr>
        <w:t xml:space="preserve"> </w:t>
      </w:r>
      <w:r>
        <w:t>and</w:t>
      </w:r>
      <w:r>
        <w:rPr>
          <w:spacing w:val="-5"/>
        </w:rPr>
        <w:t xml:space="preserve"> </w:t>
      </w:r>
      <w:r>
        <w:t>education</w:t>
      </w:r>
      <w:r>
        <w:rPr>
          <w:spacing w:val="-2"/>
        </w:rPr>
        <w:t xml:space="preserve"> </w:t>
      </w:r>
      <w:r>
        <w:t>services.</w:t>
      </w:r>
      <w:r>
        <w:rPr>
          <w:spacing w:val="-2"/>
        </w:rPr>
        <w:t xml:space="preserve"> </w:t>
      </w:r>
      <w:r>
        <w:t>SKALA</w:t>
      </w:r>
      <w:r>
        <w:rPr>
          <w:spacing w:val="-5"/>
        </w:rPr>
        <w:t xml:space="preserve"> </w:t>
      </w:r>
      <w:r>
        <w:t>successfully</w:t>
      </w:r>
      <w:r>
        <w:rPr>
          <w:spacing w:val="-2"/>
        </w:rPr>
        <w:t xml:space="preserve"> </w:t>
      </w:r>
      <w:r>
        <w:t>advocated</w:t>
      </w:r>
      <w:r>
        <w:rPr>
          <w:spacing w:val="-5"/>
        </w:rPr>
        <w:t xml:space="preserve"> </w:t>
      </w:r>
      <w:r>
        <w:t>for</w:t>
      </w:r>
      <w:r>
        <w:rPr>
          <w:spacing w:val="-5"/>
        </w:rPr>
        <w:t xml:space="preserve"> </w:t>
      </w:r>
      <w:r>
        <w:t>the</w:t>
      </w:r>
      <w:r>
        <w:rPr>
          <w:spacing w:val="-4"/>
        </w:rPr>
        <w:t xml:space="preserve"> </w:t>
      </w:r>
      <w:r>
        <w:t>formation</w:t>
      </w:r>
      <w:r>
        <w:rPr>
          <w:spacing w:val="-2"/>
        </w:rPr>
        <w:t xml:space="preserve"> </w:t>
      </w:r>
      <w:r>
        <w:t>of a special discussion team on basic services and MSS in the preparation of the 2026 RKPD.</w:t>
      </w:r>
    </w:p>
    <w:p w14:paraId="781EFD50" w14:textId="77777777" w:rsidR="00BC24A8" w:rsidRDefault="00BC24A8">
      <w:pPr>
        <w:pStyle w:val="BodyText"/>
        <w:rPr>
          <w:sz w:val="20"/>
        </w:rPr>
      </w:pPr>
    </w:p>
    <w:p w14:paraId="57E8D27C" w14:textId="77777777" w:rsidR="00BC24A8" w:rsidRDefault="00BC24A8">
      <w:pPr>
        <w:pStyle w:val="BodyText"/>
        <w:rPr>
          <w:sz w:val="20"/>
        </w:rPr>
      </w:pPr>
    </w:p>
    <w:p w14:paraId="19DFB298" w14:textId="77777777" w:rsidR="00BC24A8" w:rsidRDefault="00BC24A8">
      <w:pPr>
        <w:pStyle w:val="BodyText"/>
        <w:rPr>
          <w:sz w:val="20"/>
        </w:rPr>
      </w:pPr>
    </w:p>
    <w:p w14:paraId="35D33900" w14:textId="77777777" w:rsidR="00BC24A8" w:rsidRDefault="00BC24A8">
      <w:pPr>
        <w:pStyle w:val="BodyText"/>
        <w:rPr>
          <w:sz w:val="20"/>
        </w:rPr>
      </w:pPr>
    </w:p>
    <w:p w14:paraId="033E8F4B" w14:textId="77777777" w:rsidR="00BC24A8" w:rsidRDefault="00000000">
      <w:pPr>
        <w:pStyle w:val="BodyText"/>
        <w:spacing w:before="80"/>
        <w:rPr>
          <w:sz w:val="20"/>
        </w:rPr>
      </w:pPr>
      <w:r>
        <w:rPr>
          <w:noProof/>
          <w:sz w:val="20"/>
        </w:rPr>
        <mc:AlternateContent>
          <mc:Choice Requires="wps">
            <w:drawing>
              <wp:anchor distT="0" distB="0" distL="0" distR="0" simplePos="0" relativeHeight="487639040" behindDoc="1" locked="0" layoutInCell="1" allowOverlap="1" wp14:anchorId="7DD7327C" wp14:editId="11DDB4BB">
                <wp:simplePos x="0" y="0"/>
                <wp:positionH relativeFrom="page">
                  <wp:posOffset>900683</wp:posOffset>
                </wp:positionH>
                <wp:positionV relativeFrom="paragraph">
                  <wp:posOffset>221069</wp:posOffset>
                </wp:positionV>
                <wp:extent cx="1828800" cy="9525"/>
                <wp:effectExtent l="0" t="0" r="0" b="0"/>
                <wp:wrapTopAndBottom/>
                <wp:docPr id="319" name="Graphic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1D880F" id="Graphic 319" o:spid="_x0000_s1026" alt="&quot;&quot;" style="position:absolute;margin-left:70.9pt;margin-top:17.4pt;width:2in;height:.75pt;z-index:-156774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" path="m1828800,l,,,9144r1828800,l1828800,xe" fillcolor="black" stroked="f">
                <v:path arrowok="t"/>
                <w10:wrap type="topAndBottom" anchorx="page"/>
              </v:shape>
            </w:pict>
          </mc:Fallback>
        </mc:AlternateContent>
      </w:r>
    </w:p>
    <w:p w14:paraId="120BDF01" w14:textId="77777777" w:rsidR="00BC24A8" w:rsidRDefault="00BC24A8">
      <w:pPr>
        <w:pStyle w:val="BodyText"/>
        <w:spacing w:before="105"/>
        <w:rPr>
          <w:sz w:val="16"/>
        </w:rPr>
      </w:pPr>
    </w:p>
    <w:p w14:paraId="6C76EA07" w14:textId="77777777" w:rsidR="00BC24A8" w:rsidRDefault="00000000">
      <w:pPr>
        <w:spacing w:before="1"/>
        <w:ind w:left="143" w:right="648"/>
        <w:rPr>
          <w:sz w:val="16"/>
        </w:rPr>
      </w:pPr>
      <w:bookmarkStart w:id="256" w:name="_bookmark174"/>
      <w:bookmarkEnd w:id="256"/>
      <w:r>
        <w:rPr>
          <w:color w:val="767070"/>
          <w:sz w:val="16"/>
          <w:vertAlign w:val="superscript"/>
        </w:rPr>
        <w:t>91</w:t>
      </w:r>
      <w:r>
        <w:rPr>
          <w:color w:val="767070"/>
          <w:spacing w:val="-6"/>
          <w:sz w:val="16"/>
        </w:rPr>
        <w:t xml:space="preserve"> </w:t>
      </w:r>
      <w:r>
        <w:rPr>
          <w:color w:val="767070"/>
          <w:sz w:val="16"/>
        </w:rPr>
        <w:t>E-Walidata</w:t>
      </w:r>
      <w:r>
        <w:rPr>
          <w:color w:val="767070"/>
          <w:spacing w:val="-5"/>
          <w:sz w:val="16"/>
        </w:rPr>
        <w:t xml:space="preserve"> </w:t>
      </w:r>
      <w:r>
        <w:rPr>
          <w:color w:val="767070"/>
          <w:sz w:val="16"/>
        </w:rPr>
        <w:t>is</w:t>
      </w:r>
      <w:r>
        <w:rPr>
          <w:color w:val="767070"/>
          <w:spacing w:val="-8"/>
          <w:sz w:val="16"/>
        </w:rPr>
        <w:t xml:space="preserve"> </w:t>
      </w:r>
      <w:r>
        <w:rPr>
          <w:color w:val="767070"/>
          <w:sz w:val="16"/>
        </w:rPr>
        <w:t>an</w:t>
      </w:r>
      <w:r>
        <w:rPr>
          <w:color w:val="767070"/>
          <w:spacing w:val="-8"/>
          <w:sz w:val="16"/>
        </w:rPr>
        <w:t xml:space="preserve"> </w:t>
      </w:r>
      <w:r>
        <w:rPr>
          <w:color w:val="767070"/>
          <w:sz w:val="16"/>
        </w:rPr>
        <w:t>application</w:t>
      </w:r>
      <w:r>
        <w:rPr>
          <w:color w:val="767070"/>
          <w:spacing w:val="-5"/>
          <w:sz w:val="16"/>
        </w:rPr>
        <w:t xml:space="preserve"> </w:t>
      </w:r>
      <w:r>
        <w:rPr>
          <w:color w:val="767070"/>
          <w:sz w:val="16"/>
        </w:rPr>
        <w:t>for</w:t>
      </w:r>
      <w:r>
        <w:rPr>
          <w:color w:val="767070"/>
          <w:spacing w:val="-6"/>
          <w:sz w:val="16"/>
        </w:rPr>
        <w:t xml:space="preserve"> </w:t>
      </w:r>
      <w:r>
        <w:rPr>
          <w:color w:val="767070"/>
          <w:sz w:val="16"/>
        </w:rPr>
        <w:t>managing</w:t>
      </w:r>
      <w:r>
        <w:rPr>
          <w:color w:val="767070"/>
          <w:spacing w:val="-7"/>
          <w:sz w:val="16"/>
        </w:rPr>
        <w:t xml:space="preserve"> </w:t>
      </w:r>
      <w:r>
        <w:rPr>
          <w:color w:val="767070"/>
          <w:sz w:val="16"/>
        </w:rPr>
        <w:t>regional</w:t>
      </w:r>
      <w:r>
        <w:rPr>
          <w:color w:val="767070"/>
          <w:spacing w:val="-5"/>
          <w:sz w:val="16"/>
        </w:rPr>
        <w:t xml:space="preserve"> </w:t>
      </w:r>
      <w:r>
        <w:rPr>
          <w:color w:val="767070"/>
          <w:sz w:val="16"/>
        </w:rPr>
        <w:t>development</w:t>
      </w:r>
      <w:r>
        <w:rPr>
          <w:color w:val="767070"/>
          <w:spacing w:val="-6"/>
          <w:sz w:val="16"/>
        </w:rPr>
        <w:t xml:space="preserve"> </w:t>
      </w:r>
      <w:r>
        <w:rPr>
          <w:color w:val="767070"/>
          <w:sz w:val="16"/>
        </w:rPr>
        <w:t>planning</w:t>
      </w:r>
      <w:r>
        <w:rPr>
          <w:color w:val="767070"/>
          <w:spacing w:val="-7"/>
          <w:sz w:val="16"/>
        </w:rPr>
        <w:t xml:space="preserve"> </w:t>
      </w:r>
      <w:r>
        <w:rPr>
          <w:color w:val="767070"/>
          <w:sz w:val="16"/>
        </w:rPr>
        <w:t>data,</w:t>
      </w:r>
      <w:r>
        <w:rPr>
          <w:color w:val="767070"/>
          <w:spacing w:val="-7"/>
          <w:sz w:val="16"/>
        </w:rPr>
        <w:t xml:space="preserve"> </w:t>
      </w:r>
      <w:r>
        <w:rPr>
          <w:color w:val="767070"/>
          <w:sz w:val="16"/>
        </w:rPr>
        <w:t>developed</w:t>
      </w:r>
      <w:r>
        <w:rPr>
          <w:color w:val="767070"/>
          <w:spacing w:val="-5"/>
          <w:sz w:val="16"/>
        </w:rPr>
        <w:t xml:space="preserve"> </w:t>
      </w:r>
      <w:r>
        <w:rPr>
          <w:color w:val="767070"/>
          <w:sz w:val="16"/>
        </w:rPr>
        <w:t>by</w:t>
      </w:r>
      <w:r>
        <w:rPr>
          <w:color w:val="767070"/>
          <w:spacing w:val="-5"/>
          <w:sz w:val="16"/>
        </w:rPr>
        <w:t xml:space="preserve"> </w:t>
      </w:r>
      <w:r>
        <w:rPr>
          <w:color w:val="767070"/>
          <w:sz w:val="16"/>
        </w:rPr>
        <w:t>the</w:t>
      </w:r>
      <w:r>
        <w:rPr>
          <w:color w:val="767070"/>
          <w:spacing w:val="-6"/>
          <w:sz w:val="16"/>
        </w:rPr>
        <w:t xml:space="preserve"> </w:t>
      </w:r>
      <w:r>
        <w:rPr>
          <w:color w:val="767070"/>
          <w:sz w:val="16"/>
        </w:rPr>
        <w:t>Data</w:t>
      </w:r>
      <w:r>
        <w:rPr>
          <w:color w:val="767070"/>
          <w:spacing w:val="-7"/>
          <w:sz w:val="16"/>
        </w:rPr>
        <w:t xml:space="preserve"> </w:t>
      </w:r>
      <w:r>
        <w:rPr>
          <w:color w:val="767070"/>
          <w:sz w:val="16"/>
        </w:rPr>
        <w:t>and</w:t>
      </w:r>
      <w:r>
        <w:rPr>
          <w:color w:val="767070"/>
          <w:spacing w:val="-5"/>
          <w:sz w:val="16"/>
        </w:rPr>
        <w:t xml:space="preserve"> </w:t>
      </w:r>
      <w:r>
        <w:rPr>
          <w:color w:val="767070"/>
          <w:sz w:val="16"/>
        </w:rPr>
        <w:t>Information</w:t>
      </w:r>
      <w:r>
        <w:rPr>
          <w:color w:val="767070"/>
          <w:spacing w:val="-5"/>
          <w:sz w:val="16"/>
        </w:rPr>
        <w:t xml:space="preserve"> </w:t>
      </w:r>
      <w:r>
        <w:rPr>
          <w:color w:val="767070"/>
          <w:sz w:val="16"/>
        </w:rPr>
        <w:t>Technology</w:t>
      </w:r>
      <w:r>
        <w:rPr>
          <w:color w:val="767070"/>
          <w:spacing w:val="-6"/>
          <w:sz w:val="16"/>
        </w:rPr>
        <w:t xml:space="preserve"> </w:t>
      </w:r>
      <w:r>
        <w:rPr>
          <w:color w:val="767070"/>
          <w:sz w:val="16"/>
        </w:rPr>
        <w:t>Center</w:t>
      </w:r>
      <w:r>
        <w:rPr>
          <w:color w:val="767070"/>
          <w:spacing w:val="40"/>
          <w:sz w:val="16"/>
        </w:rPr>
        <w:t xml:space="preserve"> </w:t>
      </w:r>
      <w:r>
        <w:rPr>
          <w:color w:val="767070"/>
          <w:sz w:val="16"/>
        </w:rPr>
        <w:t>(Pusdatin) of the Ministry of Home Affairs.</w:t>
      </w:r>
    </w:p>
    <w:p w14:paraId="28FCF605" w14:textId="77777777" w:rsidR="00BC24A8" w:rsidRDefault="00BC24A8">
      <w:pPr>
        <w:rPr>
          <w:sz w:val="16"/>
        </w:rPr>
        <w:sectPr w:rsidR="00BC24A8">
          <w:pgSz w:w="11910" w:h="16840"/>
          <w:pgMar w:top="1320" w:right="850" w:bottom="1100" w:left="1275" w:header="0" w:footer="907" w:gutter="0"/>
          <w:cols w:space="720"/>
        </w:sectPr>
      </w:pPr>
    </w:p>
    <w:p w14:paraId="0B76F1D1" w14:textId="77777777" w:rsidR="00BC24A8" w:rsidRDefault="00000000">
      <w:pPr>
        <w:pStyle w:val="Heading5"/>
        <w:spacing w:before="39"/>
      </w:pPr>
      <w:r>
        <w:t>SKALA</w:t>
      </w:r>
      <w:r>
        <w:rPr>
          <w:spacing w:val="-6"/>
        </w:rPr>
        <w:t xml:space="preserve"> </w:t>
      </w:r>
      <w:r>
        <w:t>supported</w:t>
      </w:r>
      <w:r>
        <w:rPr>
          <w:spacing w:val="-7"/>
        </w:rPr>
        <w:t xml:space="preserve"> </w:t>
      </w:r>
      <w:r>
        <w:t>the</w:t>
      </w:r>
      <w:r>
        <w:rPr>
          <w:spacing w:val="-7"/>
        </w:rPr>
        <w:t xml:space="preserve"> </w:t>
      </w:r>
      <w:r>
        <w:t>optimisation</w:t>
      </w:r>
      <w:r>
        <w:rPr>
          <w:spacing w:val="-6"/>
        </w:rPr>
        <w:t xml:space="preserve"> </w:t>
      </w:r>
      <w:r>
        <w:t>of</w:t>
      </w:r>
      <w:r>
        <w:rPr>
          <w:spacing w:val="-7"/>
        </w:rPr>
        <w:t xml:space="preserve"> </w:t>
      </w:r>
      <w:r>
        <w:t>Otsus</w:t>
      </w:r>
      <w:r>
        <w:rPr>
          <w:spacing w:val="-7"/>
        </w:rPr>
        <w:t xml:space="preserve"> </w:t>
      </w:r>
      <w:r>
        <w:t>for</w:t>
      </w:r>
      <w:r>
        <w:rPr>
          <w:spacing w:val="-5"/>
        </w:rPr>
        <w:t xml:space="preserve"> </w:t>
      </w:r>
      <w:r>
        <w:t>basic</w:t>
      </w:r>
      <w:r>
        <w:rPr>
          <w:spacing w:val="-9"/>
        </w:rPr>
        <w:t xml:space="preserve"> </w:t>
      </w:r>
      <w:r>
        <w:rPr>
          <w:spacing w:val="-2"/>
        </w:rPr>
        <w:t>services</w:t>
      </w:r>
    </w:p>
    <w:p w14:paraId="6D2783CA" w14:textId="77777777" w:rsidR="00BC24A8" w:rsidRDefault="00000000">
      <w:pPr>
        <w:pStyle w:val="ListParagraph"/>
        <w:numPr>
          <w:ilvl w:val="3"/>
          <w:numId w:val="11"/>
        </w:numPr>
        <w:tabs>
          <w:tab w:val="left" w:pos="861"/>
          <w:tab w:val="left" w:pos="863"/>
        </w:tabs>
        <w:spacing w:before="159"/>
        <w:ind w:right="565" w:hanging="361"/>
      </w:pPr>
      <w:r>
        <w:t>86</w:t>
      </w:r>
      <w:r>
        <w:rPr>
          <w:spacing w:val="-1"/>
        </w:rPr>
        <w:t xml:space="preserve"> </w:t>
      </w:r>
      <w:r>
        <w:t>civil</w:t>
      </w:r>
      <w:r>
        <w:rPr>
          <w:spacing w:val="-3"/>
        </w:rPr>
        <w:t xml:space="preserve"> </w:t>
      </w:r>
      <w:r>
        <w:t>servants</w:t>
      </w:r>
      <w:r>
        <w:rPr>
          <w:spacing w:val="-3"/>
        </w:rPr>
        <w:t xml:space="preserve"> </w:t>
      </w:r>
      <w:r>
        <w:t>received</w:t>
      </w:r>
      <w:r>
        <w:rPr>
          <w:spacing w:val="-1"/>
        </w:rPr>
        <w:t xml:space="preserve"> </w:t>
      </w:r>
      <w:r>
        <w:t>training</w:t>
      </w:r>
      <w:r>
        <w:rPr>
          <w:spacing w:val="-2"/>
        </w:rPr>
        <w:t xml:space="preserve"> </w:t>
      </w:r>
      <w:r>
        <w:t>on</w:t>
      </w:r>
      <w:r>
        <w:rPr>
          <w:spacing w:val="-1"/>
        </w:rPr>
        <w:t xml:space="preserve"> </w:t>
      </w:r>
      <w:r>
        <w:t>the</w:t>
      </w:r>
      <w:r>
        <w:rPr>
          <w:spacing w:val="-1"/>
        </w:rPr>
        <w:t xml:space="preserve"> </w:t>
      </w:r>
      <w:r>
        <w:t>use</w:t>
      </w:r>
      <w:r>
        <w:rPr>
          <w:spacing w:val="-1"/>
        </w:rPr>
        <w:t xml:space="preserve"> </w:t>
      </w:r>
      <w:r>
        <w:t>of</w:t>
      </w:r>
      <w:r>
        <w:rPr>
          <w:spacing w:val="-3"/>
        </w:rPr>
        <w:t xml:space="preserve"> </w:t>
      </w:r>
      <w:r>
        <w:t>Musrenbangsus</w:t>
      </w:r>
      <w:r>
        <w:rPr>
          <w:spacing w:val="-3"/>
        </w:rPr>
        <w:t xml:space="preserve"> </w:t>
      </w:r>
      <w:r>
        <w:t>and</w:t>
      </w:r>
      <w:r>
        <w:rPr>
          <w:spacing w:val="-4"/>
        </w:rPr>
        <w:t xml:space="preserve"> </w:t>
      </w:r>
      <w:r>
        <w:t>SIPPP</w:t>
      </w:r>
      <w:r>
        <w:rPr>
          <w:spacing w:val="-1"/>
        </w:rPr>
        <w:t xml:space="preserve"> </w:t>
      </w:r>
      <w:r>
        <w:t>guidelines,</w:t>
      </w:r>
      <w:r>
        <w:rPr>
          <w:spacing w:val="-3"/>
        </w:rPr>
        <w:t xml:space="preserve"> </w:t>
      </w:r>
      <w:r>
        <w:t>from</w:t>
      </w:r>
      <w:r>
        <w:rPr>
          <w:spacing w:val="-1"/>
        </w:rPr>
        <w:t xml:space="preserve"> </w:t>
      </w:r>
      <w:r>
        <w:t>the Papua, Papua Pegunungan, and Papua Selatan clusters.</w:t>
      </w:r>
    </w:p>
    <w:p w14:paraId="1FF7C450" w14:textId="77777777" w:rsidR="00BC24A8" w:rsidRDefault="00000000">
      <w:pPr>
        <w:pStyle w:val="ListParagraph"/>
        <w:numPr>
          <w:ilvl w:val="3"/>
          <w:numId w:val="11"/>
        </w:numPr>
        <w:tabs>
          <w:tab w:val="left" w:pos="861"/>
          <w:tab w:val="left" w:pos="863"/>
        </w:tabs>
        <w:spacing w:before="1"/>
        <w:ind w:right="565" w:hanging="361"/>
      </w:pPr>
      <w:r>
        <w:t>A</w:t>
      </w:r>
      <w:r>
        <w:rPr>
          <w:spacing w:val="-2"/>
        </w:rPr>
        <w:t xml:space="preserve"> </w:t>
      </w:r>
      <w:r>
        <w:t>rapid</w:t>
      </w:r>
      <w:r>
        <w:rPr>
          <w:spacing w:val="-4"/>
        </w:rPr>
        <w:t xml:space="preserve"> </w:t>
      </w:r>
      <w:r>
        <w:t>assessment</w:t>
      </w:r>
      <w:r>
        <w:rPr>
          <w:spacing w:val="-2"/>
        </w:rPr>
        <w:t xml:space="preserve"> </w:t>
      </w:r>
      <w:r>
        <w:t>report</w:t>
      </w:r>
      <w:r>
        <w:rPr>
          <w:spacing w:val="-5"/>
        </w:rPr>
        <w:t xml:space="preserve"> </w:t>
      </w:r>
      <w:r>
        <w:t>on</w:t>
      </w:r>
      <w:r>
        <w:rPr>
          <w:spacing w:val="-1"/>
        </w:rPr>
        <w:t xml:space="preserve"> </w:t>
      </w:r>
      <w:r>
        <w:t>Papua</w:t>
      </w:r>
      <w:r>
        <w:rPr>
          <w:spacing w:val="-3"/>
        </w:rPr>
        <w:t xml:space="preserve"> </w:t>
      </w:r>
      <w:r>
        <w:t>regional</w:t>
      </w:r>
      <w:r>
        <w:rPr>
          <w:spacing w:val="-5"/>
        </w:rPr>
        <w:t xml:space="preserve"> </w:t>
      </w:r>
      <w:r>
        <w:t>revenue</w:t>
      </w:r>
      <w:r>
        <w:rPr>
          <w:spacing w:val="-5"/>
        </w:rPr>
        <w:t xml:space="preserve"> </w:t>
      </w:r>
      <w:r>
        <w:t>is</w:t>
      </w:r>
      <w:r>
        <w:rPr>
          <w:spacing w:val="-1"/>
        </w:rPr>
        <w:t xml:space="preserve"> </w:t>
      </w:r>
      <w:r>
        <w:t>currently</w:t>
      </w:r>
      <w:r>
        <w:rPr>
          <w:spacing w:val="-3"/>
        </w:rPr>
        <w:t xml:space="preserve"> </w:t>
      </w:r>
      <w:r>
        <w:t>being</w:t>
      </w:r>
      <w:r>
        <w:rPr>
          <w:spacing w:val="-2"/>
        </w:rPr>
        <w:t xml:space="preserve"> </w:t>
      </w:r>
      <w:r>
        <w:t>compiled</w:t>
      </w:r>
      <w:r>
        <w:rPr>
          <w:spacing w:val="-4"/>
        </w:rPr>
        <w:t xml:space="preserve"> </w:t>
      </w:r>
      <w:r>
        <w:t>with</w:t>
      </w:r>
      <w:r>
        <w:rPr>
          <w:spacing w:val="-1"/>
        </w:rPr>
        <w:t xml:space="preserve"> </w:t>
      </w:r>
      <w:r>
        <w:t xml:space="preserve">SKALA’s </w:t>
      </w:r>
      <w:r>
        <w:rPr>
          <w:spacing w:val="-2"/>
        </w:rPr>
        <w:t>support.</w:t>
      </w:r>
    </w:p>
    <w:p w14:paraId="7F32E223" w14:textId="77777777" w:rsidR="00BC24A8" w:rsidRDefault="00BC24A8">
      <w:pPr>
        <w:pStyle w:val="BodyText"/>
        <w:spacing w:before="183"/>
      </w:pPr>
    </w:p>
    <w:p w14:paraId="5E1A57F1" w14:textId="77777777" w:rsidR="00BC24A8" w:rsidRDefault="00000000">
      <w:pPr>
        <w:pStyle w:val="Heading5"/>
      </w:pPr>
      <w:r>
        <w:rPr>
          <w:color w:val="17365A"/>
        </w:rPr>
        <w:t>GEDSI</w:t>
      </w:r>
      <w:r>
        <w:rPr>
          <w:color w:val="17365A"/>
          <w:spacing w:val="-5"/>
        </w:rPr>
        <w:t xml:space="preserve"> </w:t>
      </w:r>
      <w:r>
        <w:rPr>
          <w:color w:val="17365A"/>
        </w:rPr>
        <w:t>–</w:t>
      </w:r>
      <w:r>
        <w:rPr>
          <w:color w:val="17365A"/>
          <w:spacing w:val="-3"/>
        </w:rPr>
        <w:t xml:space="preserve"> </w:t>
      </w:r>
      <w:r>
        <w:rPr>
          <w:color w:val="17365A"/>
        </w:rPr>
        <w:t>Participation</w:t>
      </w:r>
      <w:r>
        <w:rPr>
          <w:color w:val="17365A"/>
          <w:spacing w:val="-4"/>
        </w:rPr>
        <w:t xml:space="preserve"> </w:t>
      </w:r>
      <w:r>
        <w:rPr>
          <w:color w:val="17365A"/>
        </w:rPr>
        <w:t>and</w:t>
      </w:r>
      <w:r>
        <w:rPr>
          <w:color w:val="17365A"/>
          <w:spacing w:val="-5"/>
        </w:rPr>
        <w:t xml:space="preserve"> </w:t>
      </w:r>
      <w:r>
        <w:rPr>
          <w:color w:val="17365A"/>
        </w:rPr>
        <w:t>Planning</w:t>
      </w:r>
      <w:r>
        <w:rPr>
          <w:color w:val="17365A"/>
          <w:spacing w:val="-4"/>
        </w:rPr>
        <w:t xml:space="preserve"> </w:t>
      </w:r>
      <w:r>
        <w:rPr>
          <w:color w:val="17365A"/>
        </w:rPr>
        <w:t>(IO</w:t>
      </w:r>
      <w:r>
        <w:rPr>
          <w:color w:val="17365A"/>
          <w:spacing w:val="-7"/>
        </w:rPr>
        <w:t xml:space="preserve"> </w:t>
      </w:r>
      <w:r>
        <w:rPr>
          <w:color w:val="17365A"/>
        </w:rPr>
        <w:t>7</w:t>
      </w:r>
      <w:r>
        <w:rPr>
          <w:color w:val="17365A"/>
          <w:spacing w:val="-3"/>
        </w:rPr>
        <w:t xml:space="preserve"> </w:t>
      </w:r>
      <w:r>
        <w:rPr>
          <w:color w:val="17365A"/>
        </w:rPr>
        <w:t>and</w:t>
      </w:r>
      <w:r>
        <w:rPr>
          <w:color w:val="17365A"/>
          <w:spacing w:val="-4"/>
        </w:rPr>
        <w:t xml:space="preserve"> </w:t>
      </w:r>
      <w:r>
        <w:rPr>
          <w:color w:val="17365A"/>
          <w:spacing w:val="-5"/>
        </w:rPr>
        <w:t>8)</w:t>
      </w:r>
    </w:p>
    <w:p w14:paraId="33ACA2E0" w14:textId="77777777" w:rsidR="00BC24A8" w:rsidRDefault="00000000">
      <w:pPr>
        <w:pStyle w:val="ListParagraph"/>
        <w:numPr>
          <w:ilvl w:val="3"/>
          <w:numId w:val="11"/>
        </w:numPr>
        <w:tabs>
          <w:tab w:val="left" w:pos="861"/>
          <w:tab w:val="left" w:pos="863"/>
        </w:tabs>
        <w:spacing w:before="159"/>
        <w:ind w:right="562" w:hanging="361"/>
      </w:pPr>
      <w:r>
        <w:t>Training and capacity-building facilitated by SKALA has produced a gender-responsive budget tagging report, which was submitted to the Gender Equality and Child Protection (PUG) Team to support Gender-Responsive Planning and Budgeting (PPRG) implementation in Papua.</w:t>
      </w:r>
    </w:p>
    <w:p w14:paraId="00F13B8D" w14:textId="77777777" w:rsidR="00BC24A8" w:rsidRDefault="00BC24A8">
      <w:pPr>
        <w:pStyle w:val="BodyText"/>
      </w:pPr>
    </w:p>
    <w:p w14:paraId="41865156" w14:textId="77777777" w:rsidR="00BC24A8" w:rsidRDefault="00BC24A8">
      <w:pPr>
        <w:pStyle w:val="BodyText"/>
        <w:spacing w:before="75"/>
      </w:pPr>
    </w:p>
    <w:p w14:paraId="58EB2429" w14:textId="77777777" w:rsidR="00BC24A8" w:rsidRDefault="00000000">
      <w:pPr>
        <w:pStyle w:val="Heading5"/>
      </w:pPr>
      <w:r>
        <w:rPr>
          <w:color w:val="17365A"/>
        </w:rPr>
        <w:t>Impact</w:t>
      </w:r>
      <w:r>
        <w:rPr>
          <w:color w:val="17365A"/>
          <w:spacing w:val="-3"/>
        </w:rPr>
        <w:t xml:space="preserve"> </w:t>
      </w:r>
      <w:r>
        <w:rPr>
          <w:color w:val="17365A"/>
        </w:rPr>
        <w:t>of</w:t>
      </w:r>
      <w:r>
        <w:rPr>
          <w:color w:val="17365A"/>
          <w:spacing w:val="-2"/>
        </w:rPr>
        <w:t xml:space="preserve"> results/changes</w:t>
      </w:r>
    </w:p>
    <w:p w14:paraId="4FD72EFB" w14:textId="77777777" w:rsidR="00BC24A8" w:rsidRDefault="00BC24A8">
      <w:pPr>
        <w:pStyle w:val="BodyText"/>
        <w:spacing w:before="8"/>
        <w:rPr>
          <w:rFonts w:ascii="Calibri"/>
          <w:b/>
          <w:sz w:val="12"/>
        </w:rPr>
      </w:pPr>
    </w:p>
    <w:tbl>
      <w:tblPr>
        <w:tblW w:w="0" w:type="auto"/>
        <w:tblInd w:w="143" w:type="dxa"/>
        <w:tblLayout w:type="fixed"/>
        <w:tblCellMar>
          <w:left w:w="0" w:type="dxa"/>
          <w:right w:w="0" w:type="dxa"/>
        </w:tblCellMar>
        <w:tblLook w:val="01E0" w:firstRow="1" w:lastRow="1" w:firstColumn="1" w:lastColumn="1" w:noHBand="0" w:noVBand="0"/>
      </w:tblPr>
      <w:tblGrid>
        <w:gridCol w:w="1429"/>
        <w:gridCol w:w="7669"/>
      </w:tblGrid>
      <w:tr w:rsidR="00BC24A8" w14:paraId="085995B8" w14:textId="77777777">
        <w:trPr>
          <w:trHeight w:val="518"/>
        </w:trPr>
        <w:tc>
          <w:tcPr>
            <w:tcW w:w="1429" w:type="dxa"/>
            <w:shd w:val="clear" w:color="auto" w:fill="17365A"/>
          </w:tcPr>
          <w:p w14:paraId="0D323737" w14:textId="77777777" w:rsidR="00BC24A8" w:rsidRDefault="00000000">
            <w:pPr>
              <w:pStyle w:val="TableParagraph"/>
              <w:spacing w:before="138"/>
              <w:ind w:left="115"/>
              <w:rPr>
                <w:rFonts w:ascii="Calibri"/>
                <w:b/>
                <w:sz w:val="20"/>
              </w:rPr>
            </w:pPr>
            <w:r>
              <w:rPr>
                <w:rFonts w:ascii="Calibri"/>
                <w:b/>
                <w:color w:val="FFFFFF"/>
                <w:sz w:val="20"/>
              </w:rPr>
              <w:t>Impact</w:t>
            </w:r>
            <w:r>
              <w:rPr>
                <w:rFonts w:ascii="Calibri"/>
                <w:b/>
                <w:color w:val="FFFFFF"/>
                <w:spacing w:val="-5"/>
                <w:sz w:val="20"/>
              </w:rPr>
              <w:t xml:space="preserve"> </w:t>
            </w:r>
            <w:r>
              <w:rPr>
                <w:rFonts w:ascii="Calibri"/>
                <w:b/>
                <w:color w:val="FFFFFF"/>
                <w:spacing w:val="-4"/>
                <w:sz w:val="20"/>
              </w:rPr>
              <w:t>Type</w:t>
            </w:r>
          </w:p>
        </w:tc>
        <w:tc>
          <w:tcPr>
            <w:tcW w:w="7669" w:type="dxa"/>
            <w:shd w:val="clear" w:color="auto" w:fill="17365A"/>
          </w:tcPr>
          <w:p w14:paraId="5A7CFF43" w14:textId="77777777" w:rsidR="00BC24A8" w:rsidRDefault="00000000">
            <w:pPr>
              <w:pStyle w:val="TableParagraph"/>
              <w:spacing w:before="138"/>
              <w:ind w:left="208"/>
              <w:rPr>
                <w:rFonts w:ascii="Calibri"/>
                <w:b/>
                <w:sz w:val="20"/>
              </w:rPr>
            </w:pPr>
            <w:r>
              <w:rPr>
                <w:rFonts w:ascii="Calibri"/>
                <w:b/>
                <w:color w:val="FFFFFF"/>
                <w:spacing w:val="-2"/>
                <w:sz w:val="20"/>
              </w:rPr>
              <w:t>Impact</w:t>
            </w:r>
          </w:p>
        </w:tc>
      </w:tr>
      <w:tr w:rsidR="00BC24A8" w14:paraId="0832000B" w14:textId="77777777">
        <w:trPr>
          <w:trHeight w:val="1595"/>
        </w:trPr>
        <w:tc>
          <w:tcPr>
            <w:tcW w:w="1429" w:type="dxa"/>
            <w:tcBorders>
              <w:bottom w:val="single" w:sz="4" w:space="0" w:color="BEBEBE"/>
            </w:tcBorders>
          </w:tcPr>
          <w:p w14:paraId="6FD1684A" w14:textId="77777777" w:rsidR="00BC24A8" w:rsidRDefault="00000000">
            <w:pPr>
              <w:pStyle w:val="TableParagraph"/>
              <w:spacing w:before="162"/>
              <w:ind w:left="115"/>
              <w:rPr>
                <w:sz w:val="18"/>
              </w:rPr>
            </w:pPr>
            <w:r>
              <w:rPr>
                <w:spacing w:val="-2"/>
                <w:sz w:val="18"/>
              </w:rPr>
              <w:t>Methodological</w:t>
            </w:r>
            <w:r>
              <w:rPr>
                <w:sz w:val="18"/>
              </w:rPr>
              <w:t xml:space="preserve"> </w:t>
            </w:r>
            <w:r>
              <w:rPr>
                <w:spacing w:val="-2"/>
                <w:sz w:val="18"/>
              </w:rPr>
              <w:t>Impacts</w:t>
            </w:r>
          </w:p>
        </w:tc>
        <w:tc>
          <w:tcPr>
            <w:tcW w:w="7669" w:type="dxa"/>
            <w:tcBorders>
              <w:bottom w:val="single" w:sz="4" w:space="0" w:color="BEBEBE"/>
            </w:tcBorders>
          </w:tcPr>
          <w:p w14:paraId="4F9AE4C7" w14:textId="77777777" w:rsidR="00BC24A8" w:rsidRDefault="00000000">
            <w:pPr>
              <w:pStyle w:val="TableParagraph"/>
              <w:numPr>
                <w:ilvl w:val="0"/>
                <w:numId w:val="4"/>
              </w:numPr>
              <w:tabs>
                <w:tab w:val="left" w:pos="539"/>
              </w:tabs>
              <w:spacing w:before="162" w:line="219" w:lineRule="exact"/>
              <w:rPr>
                <w:sz w:val="18"/>
              </w:rPr>
            </w:pPr>
            <w:r>
              <w:rPr>
                <w:sz w:val="18"/>
              </w:rPr>
              <w:t>20</w:t>
            </w:r>
            <w:r>
              <w:rPr>
                <w:spacing w:val="-2"/>
                <w:sz w:val="18"/>
              </w:rPr>
              <w:t xml:space="preserve"> </w:t>
            </w:r>
            <w:r>
              <w:rPr>
                <w:sz w:val="18"/>
              </w:rPr>
              <w:t>participants</w:t>
            </w:r>
            <w:r>
              <w:rPr>
                <w:spacing w:val="-2"/>
                <w:sz w:val="18"/>
              </w:rPr>
              <w:t xml:space="preserve"> </w:t>
            </w:r>
            <w:r>
              <w:rPr>
                <w:sz w:val="18"/>
              </w:rPr>
              <w:t>(M:12,</w:t>
            </w:r>
            <w:r>
              <w:rPr>
                <w:spacing w:val="-3"/>
                <w:sz w:val="18"/>
              </w:rPr>
              <w:t xml:space="preserve"> </w:t>
            </w:r>
            <w:r>
              <w:rPr>
                <w:sz w:val="18"/>
              </w:rPr>
              <w:t>F:8)</w:t>
            </w:r>
            <w:r>
              <w:rPr>
                <w:spacing w:val="-2"/>
                <w:sz w:val="18"/>
              </w:rPr>
              <w:t xml:space="preserve"> </w:t>
            </w:r>
            <w:r>
              <w:rPr>
                <w:sz w:val="18"/>
              </w:rPr>
              <w:t>received</w:t>
            </w:r>
            <w:r>
              <w:rPr>
                <w:spacing w:val="-2"/>
                <w:sz w:val="18"/>
              </w:rPr>
              <w:t xml:space="preserve"> </w:t>
            </w:r>
            <w:r>
              <w:rPr>
                <w:sz w:val="18"/>
              </w:rPr>
              <w:t>training</w:t>
            </w:r>
            <w:r>
              <w:rPr>
                <w:spacing w:val="-3"/>
                <w:sz w:val="18"/>
              </w:rPr>
              <w:t xml:space="preserve"> </w:t>
            </w:r>
            <w:r>
              <w:rPr>
                <w:sz w:val="18"/>
              </w:rPr>
              <w:t>on</w:t>
            </w:r>
            <w:r>
              <w:rPr>
                <w:spacing w:val="-1"/>
                <w:sz w:val="18"/>
              </w:rPr>
              <w:t xml:space="preserve"> </w:t>
            </w:r>
            <w:r>
              <w:rPr>
                <w:sz w:val="18"/>
              </w:rPr>
              <w:t>drafting</w:t>
            </w:r>
            <w:r>
              <w:rPr>
                <w:spacing w:val="-3"/>
                <w:sz w:val="18"/>
              </w:rPr>
              <w:t xml:space="preserve"> </w:t>
            </w:r>
            <w:r>
              <w:rPr>
                <w:sz w:val="18"/>
              </w:rPr>
              <w:t>MSS</w:t>
            </w:r>
            <w:r>
              <w:rPr>
                <w:spacing w:val="-2"/>
                <w:sz w:val="18"/>
              </w:rPr>
              <w:t xml:space="preserve"> </w:t>
            </w:r>
            <w:r>
              <w:rPr>
                <w:sz w:val="18"/>
              </w:rPr>
              <w:t>Action</w:t>
            </w:r>
            <w:r>
              <w:rPr>
                <w:spacing w:val="-1"/>
                <w:sz w:val="18"/>
              </w:rPr>
              <w:t xml:space="preserve"> </w:t>
            </w:r>
            <w:r>
              <w:rPr>
                <w:spacing w:val="-2"/>
                <w:sz w:val="18"/>
              </w:rPr>
              <w:t>Plans.</w:t>
            </w:r>
          </w:p>
          <w:p w14:paraId="044796EA" w14:textId="77777777" w:rsidR="00BC24A8" w:rsidRDefault="00000000">
            <w:pPr>
              <w:pStyle w:val="TableParagraph"/>
              <w:numPr>
                <w:ilvl w:val="0"/>
                <w:numId w:val="4"/>
              </w:numPr>
              <w:tabs>
                <w:tab w:val="left" w:pos="539"/>
              </w:tabs>
              <w:spacing w:line="219" w:lineRule="exact"/>
              <w:rPr>
                <w:sz w:val="18"/>
              </w:rPr>
            </w:pPr>
            <w:r>
              <w:rPr>
                <w:sz w:val="18"/>
              </w:rPr>
              <w:t>Papua’s</w:t>
            </w:r>
            <w:r>
              <w:rPr>
                <w:spacing w:val="-4"/>
                <w:sz w:val="18"/>
              </w:rPr>
              <w:t xml:space="preserve"> </w:t>
            </w:r>
            <w:r>
              <w:rPr>
                <w:sz w:val="18"/>
              </w:rPr>
              <w:t>2026</w:t>
            </w:r>
            <w:r>
              <w:rPr>
                <w:spacing w:val="-3"/>
                <w:sz w:val="18"/>
              </w:rPr>
              <w:t xml:space="preserve"> </w:t>
            </w:r>
            <w:r>
              <w:rPr>
                <w:sz w:val="18"/>
              </w:rPr>
              <w:t>RKPD</w:t>
            </w:r>
            <w:r>
              <w:rPr>
                <w:spacing w:val="-1"/>
                <w:sz w:val="18"/>
              </w:rPr>
              <w:t xml:space="preserve"> </w:t>
            </w:r>
            <w:r>
              <w:rPr>
                <w:sz w:val="18"/>
              </w:rPr>
              <w:t>places</w:t>
            </w:r>
            <w:r>
              <w:rPr>
                <w:spacing w:val="-2"/>
                <w:sz w:val="18"/>
              </w:rPr>
              <w:t xml:space="preserve"> </w:t>
            </w:r>
            <w:r>
              <w:rPr>
                <w:sz w:val="18"/>
              </w:rPr>
              <w:t>greater</w:t>
            </w:r>
            <w:r>
              <w:rPr>
                <w:spacing w:val="-2"/>
                <w:sz w:val="18"/>
              </w:rPr>
              <w:t xml:space="preserve"> </w:t>
            </w:r>
            <w:r>
              <w:rPr>
                <w:sz w:val="18"/>
              </w:rPr>
              <w:t>priority</w:t>
            </w:r>
            <w:r>
              <w:rPr>
                <w:spacing w:val="-2"/>
                <w:sz w:val="18"/>
              </w:rPr>
              <w:t xml:space="preserve"> </w:t>
            </w:r>
            <w:r>
              <w:rPr>
                <w:sz w:val="18"/>
              </w:rPr>
              <w:t>on</w:t>
            </w:r>
            <w:r>
              <w:rPr>
                <w:spacing w:val="-2"/>
                <w:sz w:val="18"/>
              </w:rPr>
              <w:t xml:space="preserve"> </w:t>
            </w:r>
            <w:r>
              <w:rPr>
                <w:sz w:val="18"/>
              </w:rPr>
              <w:t>MSS,</w:t>
            </w:r>
            <w:r>
              <w:rPr>
                <w:spacing w:val="-3"/>
                <w:sz w:val="18"/>
              </w:rPr>
              <w:t xml:space="preserve"> </w:t>
            </w:r>
            <w:r>
              <w:rPr>
                <w:sz w:val="18"/>
              </w:rPr>
              <w:t>Gender,</w:t>
            </w:r>
            <w:r>
              <w:rPr>
                <w:spacing w:val="-3"/>
                <w:sz w:val="18"/>
              </w:rPr>
              <w:t xml:space="preserve"> </w:t>
            </w:r>
            <w:r>
              <w:rPr>
                <w:sz w:val="18"/>
              </w:rPr>
              <w:t>and</w:t>
            </w:r>
            <w:r>
              <w:rPr>
                <w:spacing w:val="-2"/>
                <w:sz w:val="18"/>
              </w:rPr>
              <w:t xml:space="preserve"> </w:t>
            </w:r>
            <w:r>
              <w:rPr>
                <w:sz w:val="18"/>
              </w:rPr>
              <w:t>RIPPP</w:t>
            </w:r>
            <w:r>
              <w:rPr>
                <w:spacing w:val="-2"/>
                <w:sz w:val="18"/>
              </w:rPr>
              <w:t xml:space="preserve"> objectives.</w:t>
            </w:r>
          </w:p>
          <w:p w14:paraId="497542B5" w14:textId="77777777" w:rsidR="00BC24A8" w:rsidRDefault="00000000">
            <w:pPr>
              <w:pStyle w:val="TableParagraph"/>
              <w:numPr>
                <w:ilvl w:val="0"/>
                <w:numId w:val="4"/>
              </w:numPr>
              <w:tabs>
                <w:tab w:val="left" w:pos="539"/>
              </w:tabs>
              <w:spacing w:before="1"/>
              <w:rPr>
                <w:sz w:val="18"/>
              </w:rPr>
            </w:pPr>
            <w:r>
              <w:rPr>
                <w:sz w:val="18"/>
              </w:rPr>
              <w:t>Advocacy</w:t>
            </w:r>
            <w:r>
              <w:rPr>
                <w:spacing w:val="-5"/>
                <w:sz w:val="18"/>
              </w:rPr>
              <w:t xml:space="preserve"> </w:t>
            </w:r>
            <w:r>
              <w:rPr>
                <w:sz w:val="18"/>
              </w:rPr>
              <w:t>document</w:t>
            </w:r>
            <w:r>
              <w:rPr>
                <w:spacing w:val="-1"/>
                <w:sz w:val="18"/>
              </w:rPr>
              <w:t xml:space="preserve"> </w:t>
            </w:r>
            <w:r>
              <w:rPr>
                <w:sz w:val="18"/>
              </w:rPr>
              <w:t>for</w:t>
            </w:r>
            <w:r>
              <w:rPr>
                <w:spacing w:val="-2"/>
                <w:sz w:val="18"/>
              </w:rPr>
              <w:t xml:space="preserve"> </w:t>
            </w:r>
            <w:r>
              <w:rPr>
                <w:sz w:val="18"/>
              </w:rPr>
              <w:t>Gender</w:t>
            </w:r>
            <w:r>
              <w:rPr>
                <w:spacing w:val="-2"/>
                <w:sz w:val="18"/>
              </w:rPr>
              <w:t xml:space="preserve"> </w:t>
            </w:r>
            <w:r>
              <w:rPr>
                <w:sz w:val="18"/>
              </w:rPr>
              <w:t>integration</w:t>
            </w:r>
            <w:r>
              <w:rPr>
                <w:spacing w:val="-2"/>
                <w:sz w:val="18"/>
              </w:rPr>
              <w:t xml:space="preserve"> </w:t>
            </w:r>
            <w:r>
              <w:rPr>
                <w:sz w:val="18"/>
              </w:rPr>
              <w:t>is</w:t>
            </w:r>
            <w:r>
              <w:rPr>
                <w:spacing w:val="-2"/>
                <w:sz w:val="18"/>
              </w:rPr>
              <w:t xml:space="preserve"> </w:t>
            </w:r>
            <w:r>
              <w:rPr>
                <w:sz w:val="18"/>
              </w:rPr>
              <w:t>available</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RPJMD</w:t>
            </w:r>
            <w:r>
              <w:rPr>
                <w:spacing w:val="-1"/>
                <w:sz w:val="18"/>
              </w:rPr>
              <w:t xml:space="preserve"> </w:t>
            </w:r>
            <w:r>
              <w:rPr>
                <w:spacing w:val="-2"/>
                <w:sz w:val="18"/>
              </w:rPr>
              <w:t>process.</w:t>
            </w:r>
          </w:p>
          <w:p w14:paraId="328D0055" w14:textId="77777777" w:rsidR="00BC24A8" w:rsidRDefault="00000000">
            <w:pPr>
              <w:pStyle w:val="TableParagraph"/>
              <w:numPr>
                <w:ilvl w:val="0"/>
                <w:numId w:val="4"/>
              </w:numPr>
              <w:tabs>
                <w:tab w:val="left" w:pos="539"/>
              </w:tabs>
              <w:spacing w:before="1" w:line="219" w:lineRule="exact"/>
              <w:rPr>
                <w:sz w:val="18"/>
              </w:rPr>
            </w:pPr>
            <w:r>
              <w:rPr>
                <w:sz w:val="18"/>
              </w:rPr>
              <w:t>Report</w:t>
            </w:r>
            <w:r>
              <w:rPr>
                <w:spacing w:val="-3"/>
                <w:sz w:val="18"/>
              </w:rPr>
              <w:t xml:space="preserve"> </w:t>
            </w:r>
            <w:r>
              <w:rPr>
                <w:sz w:val="18"/>
              </w:rPr>
              <w:t>on</w:t>
            </w:r>
            <w:r>
              <w:rPr>
                <w:spacing w:val="-3"/>
                <w:sz w:val="18"/>
              </w:rPr>
              <w:t xml:space="preserve"> </w:t>
            </w:r>
            <w:r>
              <w:rPr>
                <w:sz w:val="18"/>
              </w:rPr>
              <w:t>gender-responsive</w:t>
            </w:r>
            <w:r>
              <w:rPr>
                <w:spacing w:val="-3"/>
                <w:sz w:val="18"/>
              </w:rPr>
              <w:t xml:space="preserve"> </w:t>
            </w:r>
            <w:r>
              <w:rPr>
                <w:sz w:val="18"/>
              </w:rPr>
              <w:t>budget</w:t>
            </w:r>
            <w:r>
              <w:rPr>
                <w:spacing w:val="-2"/>
                <w:sz w:val="18"/>
              </w:rPr>
              <w:t xml:space="preserve"> </w:t>
            </w:r>
            <w:r>
              <w:rPr>
                <w:sz w:val="18"/>
              </w:rPr>
              <w:t>tagging</w:t>
            </w:r>
            <w:r>
              <w:rPr>
                <w:spacing w:val="-3"/>
                <w:sz w:val="18"/>
              </w:rPr>
              <w:t xml:space="preserve"> </w:t>
            </w:r>
            <w:r>
              <w:rPr>
                <w:spacing w:val="-2"/>
                <w:sz w:val="18"/>
              </w:rPr>
              <w:t>completed.</w:t>
            </w:r>
          </w:p>
          <w:p w14:paraId="665289E7" w14:textId="77777777" w:rsidR="00BC24A8" w:rsidRDefault="00000000">
            <w:pPr>
              <w:pStyle w:val="TableParagraph"/>
              <w:numPr>
                <w:ilvl w:val="0"/>
                <w:numId w:val="4"/>
              </w:numPr>
              <w:tabs>
                <w:tab w:val="left" w:pos="539"/>
              </w:tabs>
              <w:spacing w:line="219" w:lineRule="exact"/>
              <w:rPr>
                <w:sz w:val="18"/>
              </w:rPr>
            </w:pPr>
            <w:r>
              <w:rPr>
                <w:sz w:val="18"/>
              </w:rPr>
              <w:t>Report</w:t>
            </w:r>
            <w:r>
              <w:rPr>
                <w:spacing w:val="-2"/>
                <w:sz w:val="18"/>
              </w:rPr>
              <w:t xml:space="preserve"> </w:t>
            </w:r>
            <w:r>
              <w:rPr>
                <w:sz w:val="18"/>
              </w:rPr>
              <w:t>on</w:t>
            </w:r>
            <w:r>
              <w:rPr>
                <w:spacing w:val="-2"/>
                <w:sz w:val="18"/>
              </w:rPr>
              <w:t xml:space="preserve"> </w:t>
            </w:r>
            <w:r>
              <w:rPr>
                <w:sz w:val="18"/>
              </w:rPr>
              <w:t>rapid</w:t>
            </w:r>
            <w:r>
              <w:rPr>
                <w:spacing w:val="-2"/>
                <w:sz w:val="18"/>
              </w:rPr>
              <w:t xml:space="preserve"> </w:t>
            </w:r>
            <w:r>
              <w:rPr>
                <w:sz w:val="18"/>
              </w:rPr>
              <w:t>assessment</w:t>
            </w:r>
            <w:r>
              <w:rPr>
                <w:spacing w:val="-1"/>
                <w:sz w:val="18"/>
              </w:rPr>
              <w:t xml:space="preserve"> </w:t>
            </w:r>
            <w:r>
              <w:rPr>
                <w:sz w:val="18"/>
              </w:rPr>
              <w:t>of</w:t>
            </w:r>
            <w:r>
              <w:rPr>
                <w:spacing w:val="-3"/>
                <w:sz w:val="18"/>
              </w:rPr>
              <w:t xml:space="preserve"> </w:t>
            </w:r>
            <w:r>
              <w:rPr>
                <w:sz w:val="18"/>
              </w:rPr>
              <w:t>regional</w:t>
            </w:r>
            <w:r>
              <w:rPr>
                <w:spacing w:val="-1"/>
                <w:sz w:val="18"/>
              </w:rPr>
              <w:t xml:space="preserve"> </w:t>
            </w:r>
            <w:r>
              <w:rPr>
                <w:sz w:val="18"/>
              </w:rPr>
              <w:t>revenue</w:t>
            </w:r>
            <w:r>
              <w:rPr>
                <w:spacing w:val="-2"/>
                <w:sz w:val="18"/>
              </w:rPr>
              <w:t xml:space="preserve"> completed.</w:t>
            </w:r>
          </w:p>
          <w:p w14:paraId="078158A2" w14:textId="77777777" w:rsidR="00BC24A8" w:rsidRDefault="00000000">
            <w:pPr>
              <w:pStyle w:val="TableParagraph"/>
              <w:numPr>
                <w:ilvl w:val="0"/>
                <w:numId w:val="4"/>
              </w:numPr>
              <w:tabs>
                <w:tab w:val="left" w:pos="539"/>
              </w:tabs>
              <w:spacing w:before="1"/>
              <w:rPr>
                <w:sz w:val="18"/>
              </w:rPr>
            </w:pPr>
            <w:r>
              <w:rPr>
                <w:sz w:val="18"/>
              </w:rPr>
              <w:t>86</w:t>
            </w:r>
            <w:r>
              <w:rPr>
                <w:spacing w:val="-4"/>
                <w:sz w:val="18"/>
              </w:rPr>
              <w:t xml:space="preserve"> </w:t>
            </w:r>
            <w:r>
              <w:rPr>
                <w:sz w:val="18"/>
              </w:rPr>
              <w:t>participants</w:t>
            </w:r>
            <w:r>
              <w:rPr>
                <w:spacing w:val="-5"/>
                <w:sz w:val="18"/>
              </w:rPr>
              <w:t xml:space="preserve"> </w:t>
            </w:r>
            <w:r>
              <w:rPr>
                <w:sz w:val="18"/>
              </w:rPr>
              <w:t>received</w:t>
            </w:r>
            <w:r>
              <w:rPr>
                <w:spacing w:val="-2"/>
                <w:sz w:val="18"/>
              </w:rPr>
              <w:t xml:space="preserve"> </w:t>
            </w:r>
            <w:r>
              <w:rPr>
                <w:sz w:val="18"/>
              </w:rPr>
              <w:t>socialisation</w:t>
            </w:r>
            <w:r>
              <w:rPr>
                <w:spacing w:val="-2"/>
                <w:sz w:val="18"/>
              </w:rPr>
              <w:t xml:space="preserve"> </w:t>
            </w:r>
            <w:r>
              <w:rPr>
                <w:sz w:val="18"/>
              </w:rPr>
              <w:t>on</w:t>
            </w:r>
            <w:r>
              <w:rPr>
                <w:spacing w:val="-2"/>
                <w:sz w:val="18"/>
              </w:rPr>
              <w:t xml:space="preserve"> </w:t>
            </w:r>
            <w:r>
              <w:rPr>
                <w:sz w:val="18"/>
              </w:rPr>
              <w:t>using</w:t>
            </w:r>
            <w:r>
              <w:rPr>
                <w:spacing w:val="-3"/>
                <w:sz w:val="18"/>
              </w:rPr>
              <w:t xml:space="preserve"> </w:t>
            </w:r>
            <w:r>
              <w:rPr>
                <w:sz w:val="18"/>
              </w:rPr>
              <w:t>Musrenbangsus</w:t>
            </w:r>
            <w:r>
              <w:rPr>
                <w:spacing w:val="-2"/>
                <w:sz w:val="18"/>
              </w:rPr>
              <w:t xml:space="preserve"> </w:t>
            </w:r>
            <w:r>
              <w:rPr>
                <w:sz w:val="18"/>
              </w:rPr>
              <w:t>and</w:t>
            </w:r>
            <w:r>
              <w:rPr>
                <w:spacing w:val="-2"/>
                <w:sz w:val="18"/>
              </w:rPr>
              <w:t xml:space="preserve"> </w:t>
            </w:r>
            <w:r>
              <w:rPr>
                <w:sz w:val="18"/>
              </w:rPr>
              <w:t>SIPPP</w:t>
            </w:r>
            <w:r>
              <w:rPr>
                <w:spacing w:val="-2"/>
                <w:sz w:val="18"/>
              </w:rPr>
              <w:t xml:space="preserve"> guidelines.</w:t>
            </w:r>
          </w:p>
        </w:tc>
      </w:tr>
      <w:tr w:rsidR="00BC24A8" w14:paraId="6D789CDC" w14:textId="77777777">
        <w:trPr>
          <w:trHeight w:val="894"/>
        </w:trPr>
        <w:tc>
          <w:tcPr>
            <w:tcW w:w="1429" w:type="dxa"/>
            <w:tcBorders>
              <w:top w:val="single" w:sz="4" w:space="0" w:color="BEBEBE"/>
              <w:bottom w:val="single" w:sz="4" w:space="0" w:color="BEBEBE"/>
            </w:tcBorders>
          </w:tcPr>
          <w:p w14:paraId="01385A86" w14:textId="77777777" w:rsidR="00BC24A8" w:rsidRDefault="00000000">
            <w:pPr>
              <w:pStyle w:val="TableParagraph"/>
              <w:spacing w:before="119"/>
              <w:ind w:left="115" w:right="28"/>
              <w:rPr>
                <w:sz w:val="18"/>
              </w:rPr>
            </w:pPr>
            <w:r>
              <w:rPr>
                <w:spacing w:val="-2"/>
                <w:sz w:val="18"/>
              </w:rPr>
              <w:t>Ecosystem</w:t>
            </w:r>
            <w:r>
              <w:rPr>
                <w:sz w:val="18"/>
              </w:rPr>
              <w:t xml:space="preserve"> </w:t>
            </w:r>
            <w:r>
              <w:rPr>
                <w:spacing w:val="-2"/>
                <w:sz w:val="18"/>
              </w:rPr>
              <w:t>Impacts</w:t>
            </w:r>
          </w:p>
        </w:tc>
        <w:tc>
          <w:tcPr>
            <w:tcW w:w="7669" w:type="dxa"/>
            <w:tcBorders>
              <w:top w:val="single" w:sz="4" w:space="0" w:color="BEBEBE"/>
              <w:bottom w:val="single" w:sz="4" w:space="0" w:color="BEBEBE"/>
            </w:tcBorders>
          </w:tcPr>
          <w:p w14:paraId="69F586D1" w14:textId="77777777" w:rsidR="00BC24A8" w:rsidRDefault="00000000">
            <w:pPr>
              <w:pStyle w:val="TableParagraph"/>
              <w:numPr>
                <w:ilvl w:val="0"/>
                <w:numId w:val="3"/>
              </w:numPr>
              <w:tabs>
                <w:tab w:val="left" w:pos="539"/>
              </w:tabs>
              <w:spacing w:before="119" w:line="219" w:lineRule="exact"/>
              <w:rPr>
                <w:sz w:val="18"/>
              </w:rPr>
            </w:pPr>
            <w:r>
              <w:rPr>
                <w:sz w:val="18"/>
              </w:rPr>
              <w:t>Draft</w:t>
            </w:r>
            <w:r>
              <w:rPr>
                <w:spacing w:val="-1"/>
                <w:sz w:val="18"/>
              </w:rPr>
              <w:t xml:space="preserve"> </w:t>
            </w:r>
            <w:r>
              <w:rPr>
                <w:sz w:val="18"/>
              </w:rPr>
              <w:t>Mayor</w:t>
            </w:r>
            <w:r>
              <w:rPr>
                <w:spacing w:val="-2"/>
                <w:sz w:val="18"/>
              </w:rPr>
              <w:t xml:space="preserve"> </w:t>
            </w:r>
            <w:r>
              <w:rPr>
                <w:sz w:val="18"/>
              </w:rPr>
              <w:t>Regulation</w:t>
            </w:r>
            <w:r>
              <w:rPr>
                <w:spacing w:val="-2"/>
                <w:sz w:val="18"/>
              </w:rPr>
              <w:t xml:space="preserve"> </w:t>
            </w:r>
            <w:r>
              <w:rPr>
                <w:sz w:val="18"/>
              </w:rPr>
              <w:t>on</w:t>
            </w:r>
            <w:r>
              <w:rPr>
                <w:spacing w:val="-2"/>
                <w:sz w:val="18"/>
              </w:rPr>
              <w:t xml:space="preserve"> </w:t>
            </w:r>
            <w:r>
              <w:rPr>
                <w:sz w:val="18"/>
              </w:rPr>
              <w:t>the</w:t>
            </w:r>
            <w:r>
              <w:rPr>
                <w:spacing w:val="-1"/>
                <w:sz w:val="18"/>
              </w:rPr>
              <w:t xml:space="preserve"> </w:t>
            </w:r>
            <w:r>
              <w:rPr>
                <w:sz w:val="18"/>
              </w:rPr>
              <w:t>One</w:t>
            </w:r>
            <w:r>
              <w:rPr>
                <w:spacing w:val="-2"/>
                <w:sz w:val="18"/>
              </w:rPr>
              <w:t xml:space="preserve"> </w:t>
            </w:r>
            <w:r>
              <w:rPr>
                <w:sz w:val="18"/>
              </w:rPr>
              <w:t>Data</w:t>
            </w:r>
            <w:r>
              <w:rPr>
                <w:spacing w:val="-3"/>
                <w:sz w:val="18"/>
              </w:rPr>
              <w:t xml:space="preserve"> </w:t>
            </w:r>
            <w:r>
              <w:rPr>
                <w:sz w:val="18"/>
              </w:rPr>
              <w:t xml:space="preserve">regional </w:t>
            </w:r>
            <w:r>
              <w:rPr>
                <w:spacing w:val="-2"/>
                <w:sz w:val="18"/>
              </w:rPr>
              <w:t>system.</w:t>
            </w:r>
          </w:p>
          <w:p w14:paraId="0B41EC5A" w14:textId="77777777" w:rsidR="00BC24A8" w:rsidRDefault="00000000">
            <w:pPr>
              <w:pStyle w:val="TableParagraph"/>
              <w:numPr>
                <w:ilvl w:val="0"/>
                <w:numId w:val="3"/>
              </w:numPr>
              <w:tabs>
                <w:tab w:val="left" w:pos="539"/>
              </w:tabs>
              <w:spacing w:line="219" w:lineRule="exact"/>
              <w:rPr>
                <w:sz w:val="18"/>
              </w:rPr>
            </w:pPr>
            <w:r>
              <w:rPr>
                <w:sz w:val="18"/>
              </w:rPr>
              <w:t>Draft</w:t>
            </w:r>
            <w:r>
              <w:rPr>
                <w:spacing w:val="-3"/>
                <w:sz w:val="18"/>
              </w:rPr>
              <w:t xml:space="preserve"> </w:t>
            </w:r>
            <w:r>
              <w:rPr>
                <w:sz w:val="18"/>
              </w:rPr>
              <w:t>revitalisation</w:t>
            </w:r>
            <w:r>
              <w:rPr>
                <w:spacing w:val="-2"/>
                <w:sz w:val="18"/>
              </w:rPr>
              <w:t xml:space="preserve"> </w:t>
            </w:r>
            <w:r>
              <w:rPr>
                <w:sz w:val="18"/>
              </w:rPr>
              <w:t>of</w:t>
            </w:r>
            <w:r>
              <w:rPr>
                <w:spacing w:val="-3"/>
                <w:sz w:val="18"/>
              </w:rPr>
              <w:t xml:space="preserve"> </w:t>
            </w:r>
            <w:r>
              <w:rPr>
                <w:sz w:val="18"/>
              </w:rPr>
              <w:t>MSS</w:t>
            </w:r>
            <w:r>
              <w:rPr>
                <w:spacing w:val="-2"/>
                <w:sz w:val="18"/>
              </w:rPr>
              <w:t xml:space="preserve"> </w:t>
            </w:r>
            <w:r>
              <w:rPr>
                <w:sz w:val="18"/>
              </w:rPr>
              <w:t>Implementation</w:t>
            </w:r>
            <w:r>
              <w:rPr>
                <w:spacing w:val="-2"/>
                <w:sz w:val="18"/>
              </w:rPr>
              <w:t xml:space="preserve"> Team.</w:t>
            </w:r>
          </w:p>
          <w:p w14:paraId="7B14F143" w14:textId="77777777" w:rsidR="00BC24A8" w:rsidRDefault="00000000">
            <w:pPr>
              <w:pStyle w:val="TableParagraph"/>
              <w:numPr>
                <w:ilvl w:val="0"/>
                <w:numId w:val="3"/>
              </w:numPr>
              <w:tabs>
                <w:tab w:val="left" w:pos="539"/>
              </w:tabs>
              <w:spacing w:before="1"/>
              <w:rPr>
                <w:sz w:val="18"/>
              </w:rPr>
            </w:pPr>
            <w:r>
              <w:rPr>
                <w:sz w:val="18"/>
              </w:rPr>
              <w:t>Draft</w:t>
            </w:r>
            <w:r>
              <w:rPr>
                <w:spacing w:val="-1"/>
                <w:sz w:val="18"/>
              </w:rPr>
              <w:t xml:space="preserve"> </w:t>
            </w:r>
            <w:r>
              <w:rPr>
                <w:sz w:val="18"/>
              </w:rPr>
              <w:t>MSS</w:t>
            </w:r>
            <w:r>
              <w:rPr>
                <w:spacing w:val="-1"/>
                <w:sz w:val="18"/>
              </w:rPr>
              <w:t xml:space="preserve"> </w:t>
            </w:r>
            <w:r>
              <w:rPr>
                <w:sz w:val="18"/>
              </w:rPr>
              <w:t>Action Plans</w:t>
            </w:r>
            <w:r>
              <w:rPr>
                <w:spacing w:val="-1"/>
                <w:sz w:val="18"/>
              </w:rPr>
              <w:t xml:space="preserve"> </w:t>
            </w:r>
            <w:r>
              <w:rPr>
                <w:spacing w:val="-2"/>
                <w:sz w:val="18"/>
              </w:rPr>
              <w:t>2025–2029.</w:t>
            </w:r>
          </w:p>
        </w:tc>
      </w:tr>
      <w:tr w:rsidR="00BC24A8" w14:paraId="0F1BB9AD" w14:textId="77777777">
        <w:trPr>
          <w:trHeight w:val="673"/>
        </w:trPr>
        <w:tc>
          <w:tcPr>
            <w:tcW w:w="1429" w:type="dxa"/>
            <w:tcBorders>
              <w:top w:val="single" w:sz="4" w:space="0" w:color="BEBEBE"/>
              <w:bottom w:val="single" w:sz="4" w:space="0" w:color="BEBEBE"/>
            </w:tcBorders>
          </w:tcPr>
          <w:p w14:paraId="47269823" w14:textId="77777777" w:rsidR="00BC24A8" w:rsidRDefault="00000000">
            <w:pPr>
              <w:pStyle w:val="TableParagraph"/>
              <w:spacing w:before="116"/>
              <w:ind w:left="115"/>
              <w:rPr>
                <w:sz w:val="18"/>
              </w:rPr>
            </w:pPr>
            <w:r>
              <w:rPr>
                <w:spacing w:val="-2"/>
                <w:sz w:val="18"/>
              </w:rPr>
              <w:t>Operational</w:t>
            </w:r>
            <w:r>
              <w:rPr>
                <w:sz w:val="18"/>
              </w:rPr>
              <w:t xml:space="preserve"> </w:t>
            </w:r>
            <w:r>
              <w:rPr>
                <w:spacing w:val="-2"/>
                <w:sz w:val="18"/>
              </w:rPr>
              <w:t>Impacts</w:t>
            </w:r>
          </w:p>
        </w:tc>
        <w:tc>
          <w:tcPr>
            <w:tcW w:w="7669" w:type="dxa"/>
            <w:tcBorders>
              <w:top w:val="single" w:sz="4" w:space="0" w:color="BEBEBE"/>
              <w:bottom w:val="single" w:sz="4" w:space="0" w:color="BEBEBE"/>
            </w:tcBorders>
          </w:tcPr>
          <w:p w14:paraId="2EA74611" w14:textId="77777777" w:rsidR="00BC24A8" w:rsidRDefault="00000000">
            <w:pPr>
              <w:pStyle w:val="TableParagraph"/>
              <w:numPr>
                <w:ilvl w:val="0"/>
                <w:numId w:val="2"/>
              </w:numPr>
              <w:tabs>
                <w:tab w:val="left" w:pos="539"/>
              </w:tabs>
              <w:spacing w:before="116"/>
              <w:rPr>
                <w:sz w:val="18"/>
              </w:rPr>
            </w:pPr>
            <w:r>
              <w:rPr>
                <w:sz w:val="18"/>
              </w:rPr>
              <w:t>2026</w:t>
            </w:r>
            <w:r>
              <w:rPr>
                <w:spacing w:val="-2"/>
                <w:sz w:val="18"/>
              </w:rPr>
              <w:t xml:space="preserve"> </w:t>
            </w:r>
            <w:r>
              <w:rPr>
                <w:sz w:val="18"/>
              </w:rPr>
              <w:t>RKPD</w:t>
            </w:r>
            <w:r>
              <w:rPr>
                <w:spacing w:val="-1"/>
                <w:sz w:val="18"/>
              </w:rPr>
              <w:t xml:space="preserve"> </w:t>
            </w:r>
            <w:r>
              <w:rPr>
                <w:sz w:val="18"/>
              </w:rPr>
              <w:t>focuses</w:t>
            </w:r>
            <w:r>
              <w:rPr>
                <w:spacing w:val="-2"/>
                <w:sz w:val="18"/>
              </w:rPr>
              <w:t xml:space="preserve"> </w:t>
            </w:r>
            <w:r>
              <w:rPr>
                <w:sz w:val="18"/>
              </w:rPr>
              <w:t>more</w:t>
            </w:r>
            <w:r>
              <w:rPr>
                <w:spacing w:val="-1"/>
                <w:sz w:val="18"/>
              </w:rPr>
              <w:t xml:space="preserve"> </w:t>
            </w:r>
            <w:r>
              <w:rPr>
                <w:sz w:val="18"/>
              </w:rPr>
              <w:t>on</w:t>
            </w:r>
            <w:r>
              <w:rPr>
                <w:spacing w:val="-2"/>
                <w:sz w:val="18"/>
              </w:rPr>
              <w:t xml:space="preserve"> </w:t>
            </w:r>
            <w:r>
              <w:rPr>
                <w:sz w:val="18"/>
              </w:rPr>
              <w:t>MSS</w:t>
            </w:r>
            <w:r>
              <w:rPr>
                <w:spacing w:val="-2"/>
                <w:sz w:val="18"/>
              </w:rPr>
              <w:t xml:space="preserve"> </w:t>
            </w:r>
            <w:r>
              <w:rPr>
                <w:sz w:val="18"/>
              </w:rPr>
              <w:t>(13</w:t>
            </w:r>
            <w:r>
              <w:rPr>
                <w:spacing w:val="-1"/>
                <w:sz w:val="18"/>
              </w:rPr>
              <w:t xml:space="preserve"> </w:t>
            </w:r>
            <w:r>
              <w:rPr>
                <w:sz w:val="18"/>
              </w:rPr>
              <w:t>priority</w:t>
            </w:r>
            <w:r>
              <w:rPr>
                <w:spacing w:val="-2"/>
                <w:sz w:val="18"/>
              </w:rPr>
              <w:t xml:space="preserve"> </w:t>
            </w:r>
            <w:r>
              <w:rPr>
                <w:sz w:val="18"/>
              </w:rPr>
              <w:t>programs)</w:t>
            </w:r>
            <w:r>
              <w:rPr>
                <w:spacing w:val="-3"/>
                <w:sz w:val="18"/>
              </w:rPr>
              <w:t xml:space="preserve"> </w:t>
            </w:r>
            <w:r>
              <w:rPr>
                <w:sz w:val="18"/>
              </w:rPr>
              <w:t>and</w:t>
            </w:r>
            <w:r>
              <w:rPr>
                <w:spacing w:val="-1"/>
                <w:sz w:val="18"/>
              </w:rPr>
              <w:t xml:space="preserve"> </w:t>
            </w:r>
            <w:r>
              <w:rPr>
                <w:sz w:val="18"/>
              </w:rPr>
              <w:t>Gender</w:t>
            </w:r>
            <w:r>
              <w:rPr>
                <w:spacing w:val="-2"/>
                <w:sz w:val="18"/>
              </w:rPr>
              <w:t xml:space="preserve"> </w:t>
            </w:r>
            <w:r>
              <w:rPr>
                <w:sz w:val="18"/>
              </w:rPr>
              <w:t>(33</w:t>
            </w:r>
            <w:r>
              <w:rPr>
                <w:spacing w:val="-2"/>
                <w:sz w:val="18"/>
              </w:rPr>
              <w:t xml:space="preserve"> </w:t>
            </w:r>
            <w:r>
              <w:rPr>
                <w:sz w:val="18"/>
              </w:rPr>
              <w:t>priority</w:t>
            </w:r>
            <w:r>
              <w:rPr>
                <w:spacing w:val="-1"/>
                <w:sz w:val="18"/>
              </w:rPr>
              <w:t xml:space="preserve"> </w:t>
            </w:r>
            <w:r>
              <w:rPr>
                <w:spacing w:val="-2"/>
                <w:sz w:val="18"/>
              </w:rPr>
              <w:t>programs).</w:t>
            </w:r>
          </w:p>
          <w:p w14:paraId="6237BB5D" w14:textId="77777777" w:rsidR="00BC24A8" w:rsidRDefault="00000000">
            <w:pPr>
              <w:pStyle w:val="TableParagraph"/>
              <w:numPr>
                <w:ilvl w:val="0"/>
                <w:numId w:val="2"/>
              </w:numPr>
              <w:tabs>
                <w:tab w:val="left" w:pos="539"/>
              </w:tabs>
              <w:spacing w:before="1"/>
              <w:rPr>
                <w:sz w:val="18"/>
              </w:rPr>
            </w:pPr>
            <w:r>
              <w:rPr>
                <w:sz w:val="18"/>
              </w:rPr>
              <w:t>Waropen</w:t>
            </w:r>
            <w:r>
              <w:rPr>
                <w:spacing w:val="-5"/>
                <w:sz w:val="18"/>
              </w:rPr>
              <w:t xml:space="preserve"> </w:t>
            </w:r>
            <w:r>
              <w:rPr>
                <w:sz w:val="18"/>
              </w:rPr>
              <w:t>District</w:t>
            </w:r>
            <w:r>
              <w:rPr>
                <w:spacing w:val="-1"/>
                <w:sz w:val="18"/>
              </w:rPr>
              <w:t xml:space="preserve"> </w:t>
            </w:r>
            <w:r>
              <w:rPr>
                <w:sz w:val="18"/>
              </w:rPr>
              <w:t>allocated</w:t>
            </w:r>
            <w:r>
              <w:rPr>
                <w:spacing w:val="-2"/>
                <w:sz w:val="18"/>
              </w:rPr>
              <w:t xml:space="preserve"> </w:t>
            </w:r>
            <w:r>
              <w:rPr>
                <w:sz w:val="18"/>
              </w:rPr>
              <w:t>IDR</w:t>
            </w:r>
            <w:r>
              <w:rPr>
                <w:spacing w:val="-2"/>
                <w:sz w:val="18"/>
              </w:rPr>
              <w:t xml:space="preserve"> </w:t>
            </w:r>
            <w:r>
              <w:rPr>
                <w:sz w:val="18"/>
              </w:rPr>
              <w:t>1</w:t>
            </w:r>
            <w:r>
              <w:rPr>
                <w:spacing w:val="-5"/>
                <w:sz w:val="18"/>
              </w:rPr>
              <w:t xml:space="preserve"> </w:t>
            </w:r>
            <w:r>
              <w:rPr>
                <w:sz w:val="18"/>
              </w:rPr>
              <w:t>billion</w:t>
            </w:r>
            <w:r>
              <w:rPr>
                <w:spacing w:val="-2"/>
                <w:sz w:val="18"/>
              </w:rPr>
              <w:t xml:space="preserve"> </w:t>
            </w:r>
            <w:r>
              <w:rPr>
                <w:sz w:val="18"/>
              </w:rPr>
              <w:t>from</w:t>
            </w:r>
            <w:r>
              <w:rPr>
                <w:spacing w:val="-3"/>
                <w:sz w:val="18"/>
              </w:rPr>
              <w:t xml:space="preserve"> </w:t>
            </w:r>
            <w:r>
              <w:rPr>
                <w:sz w:val="18"/>
              </w:rPr>
              <w:t>the</w:t>
            </w:r>
            <w:r>
              <w:rPr>
                <w:spacing w:val="-3"/>
                <w:sz w:val="18"/>
              </w:rPr>
              <w:t xml:space="preserve"> </w:t>
            </w:r>
            <w:r>
              <w:rPr>
                <w:sz w:val="18"/>
              </w:rPr>
              <w:t>2025</w:t>
            </w:r>
            <w:r>
              <w:rPr>
                <w:spacing w:val="-2"/>
                <w:sz w:val="18"/>
              </w:rPr>
              <w:t xml:space="preserve"> </w:t>
            </w:r>
            <w:r>
              <w:rPr>
                <w:sz w:val="18"/>
              </w:rPr>
              <w:t>regional</w:t>
            </w:r>
            <w:r>
              <w:rPr>
                <w:spacing w:val="-1"/>
                <w:sz w:val="18"/>
              </w:rPr>
              <w:t xml:space="preserve"> </w:t>
            </w:r>
            <w:r>
              <w:rPr>
                <w:sz w:val="18"/>
              </w:rPr>
              <w:t>budget</w:t>
            </w:r>
            <w:r>
              <w:rPr>
                <w:spacing w:val="-1"/>
                <w:sz w:val="18"/>
              </w:rPr>
              <w:t xml:space="preserve"> </w:t>
            </w:r>
            <w:r>
              <w:rPr>
                <w:sz w:val="18"/>
              </w:rPr>
              <w:t>to</w:t>
            </w:r>
            <w:r>
              <w:rPr>
                <w:spacing w:val="-3"/>
                <w:sz w:val="18"/>
              </w:rPr>
              <w:t xml:space="preserve"> </w:t>
            </w:r>
            <w:r>
              <w:rPr>
                <w:sz w:val="18"/>
              </w:rPr>
              <w:t>expand</w:t>
            </w:r>
            <w:r>
              <w:rPr>
                <w:spacing w:val="-2"/>
                <w:sz w:val="18"/>
              </w:rPr>
              <w:t xml:space="preserve"> </w:t>
            </w:r>
            <w:r>
              <w:rPr>
                <w:sz w:val="18"/>
              </w:rPr>
              <w:t>Papua’s</w:t>
            </w:r>
            <w:r>
              <w:rPr>
                <w:spacing w:val="-2"/>
                <w:sz w:val="18"/>
              </w:rPr>
              <w:t xml:space="preserve"> </w:t>
            </w:r>
            <w:r>
              <w:rPr>
                <w:spacing w:val="-4"/>
                <w:sz w:val="18"/>
              </w:rPr>
              <w:t>SIO.</w:t>
            </w:r>
          </w:p>
        </w:tc>
      </w:tr>
    </w:tbl>
    <w:p w14:paraId="35AEE1FD" w14:textId="77777777" w:rsidR="00BC24A8" w:rsidRDefault="00BC24A8">
      <w:pPr>
        <w:pStyle w:val="BodyText"/>
        <w:rPr>
          <w:rFonts w:ascii="Calibri"/>
          <w:b/>
        </w:rPr>
      </w:pPr>
    </w:p>
    <w:p w14:paraId="11206CF9" w14:textId="77777777" w:rsidR="00BC24A8" w:rsidRDefault="00BC24A8">
      <w:pPr>
        <w:pStyle w:val="BodyText"/>
        <w:spacing w:before="19"/>
        <w:rPr>
          <w:rFonts w:ascii="Calibri"/>
          <w:b/>
        </w:rPr>
      </w:pPr>
    </w:p>
    <w:p w14:paraId="24013991" w14:textId="77777777" w:rsidR="00BC24A8" w:rsidRDefault="00000000">
      <w:pPr>
        <w:pStyle w:val="BodyText"/>
        <w:ind w:left="143"/>
        <w:rPr>
          <w:rFonts w:ascii="Calibri"/>
        </w:rPr>
      </w:pPr>
      <w:r>
        <w:rPr>
          <w:rFonts w:ascii="Calibri"/>
          <w:noProof/>
        </w:rPr>
        <mc:AlternateContent>
          <mc:Choice Requires="wps">
            <w:drawing>
              <wp:anchor distT="0" distB="0" distL="0" distR="0" simplePos="0" relativeHeight="487639552" behindDoc="1" locked="0" layoutInCell="1" allowOverlap="1" wp14:anchorId="21572E62" wp14:editId="289B1A34">
                <wp:simplePos x="0" y="0"/>
                <wp:positionH relativeFrom="page">
                  <wp:posOffset>900690</wp:posOffset>
                </wp:positionH>
                <wp:positionV relativeFrom="paragraph">
                  <wp:posOffset>178787</wp:posOffset>
                </wp:positionV>
                <wp:extent cx="5773420" cy="1713230"/>
                <wp:effectExtent l="0" t="0" r="0" b="0"/>
                <wp:wrapTopAndBottom/>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3420" cy="1713230"/>
                        </a:xfrm>
                        <a:prstGeom prst="rect">
                          <a:avLst/>
                        </a:prstGeom>
                        <a:solidFill>
                          <a:srgbClr val="E1F1EF"/>
                        </a:solidFill>
                        <a:ln w="6096">
                          <a:solidFill>
                            <a:srgbClr val="BEBEBE"/>
                          </a:solidFill>
                          <a:prstDash val="solid"/>
                        </a:ln>
                      </wps:spPr>
                      <wps:txbx>
                        <w:txbxContent>
                          <w:p w14:paraId="27B2B6AA" w14:textId="77777777" w:rsidR="00BC24A8" w:rsidRDefault="00000000">
                            <w:pPr>
                              <w:spacing w:before="121"/>
                              <w:ind w:left="34" w:right="34"/>
                              <w:jc w:val="center"/>
                              <w:rPr>
                                <w:rFonts w:ascii="Calibri" w:hAnsi="Calibri"/>
                                <w:b/>
                                <w:color w:val="000000"/>
                                <w:sz w:val="20"/>
                              </w:rPr>
                            </w:pPr>
                            <w:r>
                              <w:rPr>
                                <w:rFonts w:ascii="Calibri" w:hAnsi="Calibri"/>
                                <w:b/>
                                <w:color w:val="17365A"/>
                                <w:spacing w:val="-2"/>
                                <w:sz w:val="20"/>
                              </w:rPr>
                              <w:t>Papua’s</w:t>
                            </w:r>
                            <w:r>
                              <w:rPr>
                                <w:rFonts w:ascii="Calibri" w:hAnsi="Calibri"/>
                                <w:b/>
                                <w:color w:val="17365A"/>
                                <w:spacing w:val="-4"/>
                                <w:sz w:val="20"/>
                              </w:rPr>
                              <w:t xml:space="preserve"> </w:t>
                            </w:r>
                            <w:r>
                              <w:rPr>
                                <w:rFonts w:ascii="Calibri" w:hAnsi="Calibri"/>
                                <w:b/>
                                <w:color w:val="17365A"/>
                                <w:spacing w:val="-2"/>
                                <w:sz w:val="20"/>
                              </w:rPr>
                              <w:t>PUG Technical</w:t>
                            </w:r>
                            <w:r>
                              <w:rPr>
                                <w:rFonts w:ascii="Calibri" w:hAnsi="Calibri"/>
                                <w:b/>
                                <w:color w:val="17365A"/>
                                <w:spacing w:val="-3"/>
                                <w:sz w:val="20"/>
                              </w:rPr>
                              <w:t xml:space="preserve"> </w:t>
                            </w:r>
                            <w:r>
                              <w:rPr>
                                <w:rFonts w:ascii="Calibri" w:hAnsi="Calibri"/>
                                <w:b/>
                                <w:color w:val="17365A"/>
                                <w:spacing w:val="-2"/>
                                <w:sz w:val="20"/>
                              </w:rPr>
                              <w:t>Team</w:t>
                            </w:r>
                            <w:r>
                              <w:rPr>
                                <w:rFonts w:ascii="Calibri" w:hAnsi="Calibri"/>
                                <w:b/>
                                <w:color w:val="17365A"/>
                                <w:spacing w:val="-1"/>
                                <w:sz w:val="20"/>
                              </w:rPr>
                              <w:t xml:space="preserve"> </w:t>
                            </w:r>
                            <w:r>
                              <w:rPr>
                                <w:rFonts w:ascii="Calibri" w:hAnsi="Calibri"/>
                                <w:b/>
                                <w:color w:val="17365A"/>
                                <w:spacing w:val="-2"/>
                                <w:sz w:val="20"/>
                              </w:rPr>
                              <w:t>Becomes More Strategic and Active</w:t>
                            </w:r>
                          </w:p>
                          <w:p w14:paraId="0E1666BC" w14:textId="77777777" w:rsidR="00BC24A8" w:rsidRDefault="00000000">
                            <w:pPr>
                              <w:spacing w:before="243"/>
                              <w:ind w:left="247" w:right="243"/>
                              <w:jc w:val="both"/>
                              <w:rPr>
                                <w:color w:val="000000"/>
                                <w:sz w:val="18"/>
                              </w:rPr>
                            </w:pPr>
                            <w:r>
                              <w:rPr>
                                <w:color w:val="000000"/>
                                <w:sz w:val="18"/>
                              </w:rPr>
                              <w:t>Since</w:t>
                            </w:r>
                            <w:r>
                              <w:rPr>
                                <w:color w:val="000000"/>
                                <w:spacing w:val="-2"/>
                                <w:sz w:val="18"/>
                              </w:rPr>
                              <w:t xml:space="preserve"> </w:t>
                            </w:r>
                            <w:r>
                              <w:rPr>
                                <w:color w:val="000000"/>
                                <w:sz w:val="18"/>
                              </w:rPr>
                              <w:t>SKALA</w:t>
                            </w:r>
                            <w:r>
                              <w:rPr>
                                <w:color w:val="000000"/>
                                <w:spacing w:val="-2"/>
                                <w:sz w:val="18"/>
                              </w:rPr>
                              <w:t xml:space="preserve"> </w:t>
                            </w:r>
                            <w:r>
                              <w:rPr>
                                <w:color w:val="000000"/>
                                <w:sz w:val="18"/>
                              </w:rPr>
                              <w:t>provided</w:t>
                            </w:r>
                            <w:r>
                              <w:rPr>
                                <w:color w:val="000000"/>
                                <w:spacing w:val="-4"/>
                                <w:sz w:val="18"/>
                              </w:rPr>
                              <w:t xml:space="preserve"> </w:t>
                            </w:r>
                            <w:r>
                              <w:rPr>
                                <w:color w:val="000000"/>
                                <w:sz w:val="18"/>
                              </w:rPr>
                              <w:t>support</w:t>
                            </w:r>
                            <w:r>
                              <w:rPr>
                                <w:color w:val="000000"/>
                                <w:spacing w:val="-3"/>
                                <w:sz w:val="18"/>
                              </w:rPr>
                              <w:t xml:space="preserve"> </w:t>
                            </w:r>
                            <w:r>
                              <w:rPr>
                                <w:color w:val="000000"/>
                                <w:sz w:val="18"/>
                              </w:rPr>
                              <w:t>to</w:t>
                            </w:r>
                            <w:r>
                              <w:rPr>
                                <w:color w:val="000000"/>
                                <w:spacing w:val="-4"/>
                                <w:sz w:val="18"/>
                              </w:rPr>
                              <w:t xml:space="preserve"> </w:t>
                            </w:r>
                            <w:r>
                              <w:rPr>
                                <w:color w:val="000000"/>
                                <w:sz w:val="18"/>
                              </w:rPr>
                              <w:t>Papua</w:t>
                            </w:r>
                            <w:r>
                              <w:rPr>
                                <w:color w:val="000000"/>
                                <w:spacing w:val="-2"/>
                                <w:sz w:val="18"/>
                              </w:rPr>
                              <w:t xml:space="preserve"> </w:t>
                            </w:r>
                            <w:r>
                              <w:rPr>
                                <w:color w:val="000000"/>
                                <w:sz w:val="18"/>
                              </w:rPr>
                              <w:t>PUG</w:t>
                            </w:r>
                            <w:r>
                              <w:rPr>
                                <w:color w:val="000000"/>
                                <w:spacing w:val="-2"/>
                                <w:sz w:val="18"/>
                              </w:rPr>
                              <w:t xml:space="preserve"> </w:t>
                            </w:r>
                            <w:r>
                              <w:rPr>
                                <w:color w:val="000000"/>
                                <w:sz w:val="18"/>
                              </w:rPr>
                              <w:t>Technical</w:t>
                            </w:r>
                            <w:r>
                              <w:rPr>
                                <w:color w:val="000000"/>
                                <w:spacing w:val="-1"/>
                                <w:sz w:val="18"/>
                              </w:rPr>
                              <w:t xml:space="preserve"> </w:t>
                            </w:r>
                            <w:r>
                              <w:rPr>
                                <w:color w:val="000000"/>
                                <w:sz w:val="18"/>
                              </w:rPr>
                              <w:t>Team</w:t>
                            </w:r>
                            <w:r>
                              <w:rPr>
                                <w:color w:val="000000"/>
                                <w:spacing w:val="-2"/>
                                <w:sz w:val="18"/>
                              </w:rPr>
                              <w:t xml:space="preserve"> </w:t>
                            </w:r>
                            <w:r>
                              <w:rPr>
                                <w:color w:val="000000"/>
                                <w:sz w:val="18"/>
                              </w:rPr>
                              <w:t>in</w:t>
                            </w:r>
                            <w:r>
                              <w:rPr>
                                <w:color w:val="000000"/>
                                <w:spacing w:val="-2"/>
                                <w:sz w:val="18"/>
                              </w:rPr>
                              <w:t xml:space="preserve"> </w:t>
                            </w:r>
                            <w:r>
                              <w:rPr>
                                <w:color w:val="000000"/>
                                <w:sz w:val="18"/>
                              </w:rPr>
                              <w:t>2024,</w:t>
                            </w:r>
                            <w:r>
                              <w:rPr>
                                <w:color w:val="000000"/>
                                <w:spacing w:val="-2"/>
                                <w:sz w:val="18"/>
                              </w:rPr>
                              <w:t xml:space="preserve"> </w:t>
                            </w:r>
                            <w:r>
                              <w:rPr>
                                <w:color w:val="000000"/>
                                <w:sz w:val="18"/>
                              </w:rPr>
                              <w:t>the</w:t>
                            </w:r>
                            <w:r>
                              <w:rPr>
                                <w:color w:val="000000"/>
                                <w:spacing w:val="-2"/>
                                <w:sz w:val="18"/>
                              </w:rPr>
                              <w:t xml:space="preserve"> </w:t>
                            </w:r>
                            <w:r>
                              <w:rPr>
                                <w:color w:val="000000"/>
                                <w:sz w:val="18"/>
                              </w:rPr>
                              <w:t>team’s</w:t>
                            </w:r>
                            <w:r>
                              <w:rPr>
                                <w:color w:val="000000"/>
                                <w:spacing w:val="-2"/>
                                <w:sz w:val="18"/>
                              </w:rPr>
                              <w:t xml:space="preserve"> </w:t>
                            </w:r>
                            <w:r>
                              <w:rPr>
                                <w:color w:val="000000"/>
                                <w:sz w:val="18"/>
                              </w:rPr>
                              <w:t>role</w:t>
                            </w:r>
                            <w:r>
                              <w:rPr>
                                <w:color w:val="000000"/>
                                <w:spacing w:val="-4"/>
                                <w:sz w:val="18"/>
                              </w:rPr>
                              <w:t xml:space="preserve"> </w:t>
                            </w:r>
                            <w:r>
                              <w:rPr>
                                <w:color w:val="000000"/>
                                <w:sz w:val="18"/>
                              </w:rPr>
                              <w:t>in</w:t>
                            </w:r>
                            <w:r>
                              <w:rPr>
                                <w:color w:val="000000"/>
                                <w:spacing w:val="-4"/>
                                <w:sz w:val="18"/>
                              </w:rPr>
                              <w:t xml:space="preserve"> </w:t>
                            </w:r>
                            <w:r>
                              <w:rPr>
                                <w:color w:val="000000"/>
                                <w:sz w:val="18"/>
                              </w:rPr>
                              <w:t>implementing</w:t>
                            </w:r>
                            <w:r>
                              <w:rPr>
                                <w:color w:val="000000"/>
                                <w:spacing w:val="-2"/>
                                <w:sz w:val="18"/>
                              </w:rPr>
                              <w:t xml:space="preserve"> </w:t>
                            </w:r>
                            <w:r>
                              <w:rPr>
                                <w:color w:val="000000"/>
                                <w:sz w:val="18"/>
                              </w:rPr>
                              <w:t>PPRG</w:t>
                            </w:r>
                            <w:r>
                              <w:rPr>
                                <w:color w:val="000000"/>
                                <w:spacing w:val="-2"/>
                                <w:sz w:val="18"/>
                              </w:rPr>
                              <w:t xml:space="preserve"> </w:t>
                            </w:r>
                            <w:r>
                              <w:rPr>
                                <w:color w:val="000000"/>
                                <w:sz w:val="18"/>
                              </w:rPr>
                              <w:t>has</w:t>
                            </w:r>
                            <w:r>
                              <w:rPr>
                                <w:color w:val="000000"/>
                                <w:spacing w:val="-2"/>
                                <w:sz w:val="18"/>
                              </w:rPr>
                              <w:t xml:space="preserve"> </w:t>
                            </w:r>
                            <w:r>
                              <w:rPr>
                                <w:color w:val="000000"/>
                                <w:sz w:val="18"/>
                              </w:rPr>
                              <w:t>shown significant</w:t>
                            </w:r>
                            <w:r>
                              <w:rPr>
                                <w:color w:val="000000"/>
                                <w:spacing w:val="-7"/>
                                <w:sz w:val="18"/>
                              </w:rPr>
                              <w:t xml:space="preserve"> </w:t>
                            </w:r>
                            <w:r>
                              <w:rPr>
                                <w:color w:val="000000"/>
                                <w:sz w:val="18"/>
                              </w:rPr>
                              <w:t>changes.</w:t>
                            </w:r>
                            <w:r>
                              <w:rPr>
                                <w:color w:val="000000"/>
                                <w:spacing w:val="-9"/>
                                <w:sz w:val="18"/>
                              </w:rPr>
                              <w:t xml:space="preserve"> </w:t>
                            </w:r>
                            <w:r>
                              <w:rPr>
                                <w:color w:val="000000"/>
                                <w:sz w:val="18"/>
                              </w:rPr>
                              <w:t>From</w:t>
                            </w:r>
                            <w:r>
                              <w:rPr>
                                <w:color w:val="000000"/>
                                <w:spacing w:val="-9"/>
                                <w:sz w:val="18"/>
                              </w:rPr>
                              <w:t xml:space="preserve"> </w:t>
                            </w:r>
                            <w:r>
                              <w:rPr>
                                <w:color w:val="000000"/>
                                <w:sz w:val="18"/>
                              </w:rPr>
                              <w:t>revitalising</w:t>
                            </w:r>
                            <w:r>
                              <w:rPr>
                                <w:color w:val="000000"/>
                                <w:spacing w:val="-9"/>
                                <w:sz w:val="18"/>
                              </w:rPr>
                              <w:t xml:space="preserve"> </w:t>
                            </w:r>
                            <w:r>
                              <w:rPr>
                                <w:color w:val="000000"/>
                                <w:sz w:val="18"/>
                              </w:rPr>
                              <w:t>regulations</w:t>
                            </w:r>
                            <w:r>
                              <w:rPr>
                                <w:color w:val="000000"/>
                                <w:spacing w:val="-8"/>
                                <w:sz w:val="18"/>
                              </w:rPr>
                              <w:t xml:space="preserve"> </w:t>
                            </w:r>
                            <w:r>
                              <w:rPr>
                                <w:color w:val="000000"/>
                                <w:sz w:val="18"/>
                              </w:rPr>
                              <w:t>to</w:t>
                            </w:r>
                            <w:r>
                              <w:rPr>
                                <w:color w:val="000000"/>
                                <w:spacing w:val="-10"/>
                                <w:sz w:val="18"/>
                              </w:rPr>
                              <w:t xml:space="preserve"> </w:t>
                            </w:r>
                            <w:r>
                              <w:rPr>
                                <w:color w:val="000000"/>
                                <w:sz w:val="18"/>
                              </w:rPr>
                              <w:t>strengthening</w:t>
                            </w:r>
                            <w:r>
                              <w:rPr>
                                <w:color w:val="000000"/>
                                <w:spacing w:val="-10"/>
                                <w:sz w:val="18"/>
                              </w:rPr>
                              <w:t xml:space="preserve"> </w:t>
                            </w:r>
                            <w:r>
                              <w:rPr>
                                <w:color w:val="000000"/>
                                <w:sz w:val="18"/>
                              </w:rPr>
                              <w:t>coordination</w:t>
                            </w:r>
                            <w:r>
                              <w:rPr>
                                <w:color w:val="000000"/>
                                <w:spacing w:val="-10"/>
                                <w:sz w:val="18"/>
                              </w:rPr>
                              <w:t xml:space="preserve"> </w:t>
                            </w:r>
                            <w:r>
                              <w:rPr>
                                <w:color w:val="000000"/>
                                <w:sz w:val="18"/>
                              </w:rPr>
                              <w:t>and</w:t>
                            </w:r>
                            <w:r>
                              <w:rPr>
                                <w:color w:val="000000"/>
                                <w:spacing w:val="-8"/>
                                <w:sz w:val="18"/>
                              </w:rPr>
                              <w:t xml:space="preserve"> </w:t>
                            </w:r>
                            <w:r>
                              <w:rPr>
                                <w:color w:val="000000"/>
                                <w:sz w:val="18"/>
                              </w:rPr>
                              <w:t>communication</w:t>
                            </w:r>
                            <w:r>
                              <w:rPr>
                                <w:color w:val="000000"/>
                                <w:spacing w:val="-8"/>
                                <w:sz w:val="18"/>
                              </w:rPr>
                              <w:t xml:space="preserve"> </w:t>
                            </w:r>
                            <w:r>
                              <w:rPr>
                                <w:color w:val="000000"/>
                                <w:sz w:val="18"/>
                              </w:rPr>
                              <w:t>among</w:t>
                            </w:r>
                            <w:r>
                              <w:rPr>
                                <w:color w:val="000000"/>
                                <w:spacing w:val="-9"/>
                                <w:sz w:val="18"/>
                              </w:rPr>
                              <w:t xml:space="preserve"> </w:t>
                            </w:r>
                            <w:r>
                              <w:rPr>
                                <w:color w:val="000000"/>
                                <w:sz w:val="18"/>
                              </w:rPr>
                              <w:t>PUG-driving institutions in Papua Province, the team now works in a more strategic and focused manner.</w:t>
                            </w:r>
                          </w:p>
                          <w:p w14:paraId="0C6FFF02" w14:textId="77777777" w:rsidR="00BC24A8" w:rsidRDefault="00000000">
                            <w:pPr>
                              <w:spacing w:before="162"/>
                              <w:ind w:left="247" w:right="242"/>
                              <w:jc w:val="both"/>
                              <w:rPr>
                                <w:color w:val="000000"/>
                                <w:sz w:val="18"/>
                              </w:rPr>
                            </w:pPr>
                            <w:r>
                              <w:rPr>
                                <w:color w:val="000000"/>
                                <w:sz w:val="18"/>
                              </w:rPr>
                              <w:t>The Papua PUG Team has conducted various activities,</w:t>
                            </w:r>
                            <w:r>
                              <w:rPr>
                                <w:color w:val="000000"/>
                                <w:spacing w:val="-1"/>
                                <w:sz w:val="18"/>
                              </w:rPr>
                              <w:t xml:space="preserve"> </w:t>
                            </w:r>
                            <w:r>
                              <w:rPr>
                                <w:color w:val="000000"/>
                                <w:sz w:val="18"/>
                              </w:rPr>
                              <w:t>including providing</w:t>
                            </w:r>
                            <w:r>
                              <w:rPr>
                                <w:color w:val="000000"/>
                                <w:spacing w:val="-1"/>
                                <w:sz w:val="18"/>
                              </w:rPr>
                              <w:t xml:space="preserve"> </w:t>
                            </w:r>
                            <w:r>
                              <w:rPr>
                                <w:color w:val="000000"/>
                                <w:sz w:val="18"/>
                              </w:rPr>
                              <w:t>guidance on</w:t>
                            </w:r>
                            <w:r>
                              <w:rPr>
                                <w:color w:val="000000"/>
                                <w:spacing w:val="-1"/>
                                <w:sz w:val="18"/>
                              </w:rPr>
                              <w:t xml:space="preserve"> </w:t>
                            </w:r>
                            <w:r>
                              <w:rPr>
                                <w:color w:val="000000"/>
                                <w:sz w:val="18"/>
                              </w:rPr>
                              <w:t>the</w:t>
                            </w:r>
                            <w:r>
                              <w:rPr>
                                <w:color w:val="000000"/>
                                <w:spacing w:val="-1"/>
                                <w:sz w:val="18"/>
                              </w:rPr>
                              <w:t xml:space="preserve"> </w:t>
                            </w:r>
                            <w:r>
                              <w:rPr>
                                <w:color w:val="000000"/>
                                <w:sz w:val="18"/>
                              </w:rPr>
                              <w:t>implementation of Gender Action Budget and Gender Budget Statement (GAB/GBS) in several provincial agencies and preparing reports on PPRG implementation</w:t>
                            </w:r>
                            <w:r>
                              <w:rPr>
                                <w:color w:val="000000"/>
                                <w:spacing w:val="-11"/>
                                <w:sz w:val="18"/>
                              </w:rPr>
                              <w:t xml:space="preserve"> </w:t>
                            </w:r>
                            <w:r>
                              <w:rPr>
                                <w:color w:val="000000"/>
                                <w:sz w:val="18"/>
                              </w:rPr>
                              <w:t>in</w:t>
                            </w:r>
                            <w:r>
                              <w:rPr>
                                <w:color w:val="000000"/>
                                <w:spacing w:val="-10"/>
                                <w:sz w:val="18"/>
                              </w:rPr>
                              <w:t xml:space="preserve"> </w:t>
                            </w:r>
                            <w:r>
                              <w:rPr>
                                <w:color w:val="000000"/>
                                <w:sz w:val="18"/>
                              </w:rPr>
                              <w:t>the</w:t>
                            </w:r>
                            <w:r>
                              <w:rPr>
                                <w:color w:val="000000"/>
                                <w:spacing w:val="-10"/>
                                <w:sz w:val="18"/>
                              </w:rPr>
                              <w:t xml:space="preserve"> </w:t>
                            </w:r>
                            <w:r>
                              <w:rPr>
                                <w:color w:val="000000"/>
                                <w:sz w:val="18"/>
                              </w:rPr>
                              <w:t>province.</w:t>
                            </w:r>
                            <w:r>
                              <w:rPr>
                                <w:color w:val="000000"/>
                                <w:spacing w:val="-10"/>
                                <w:sz w:val="18"/>
                              </w:rPr>
                              <w:t xml:space="preserve"> </w:t>
                            </w:r>
                            <w:r>
                              <w:rPr>
                                <w:color w:val="000000"/>
                                <w:sz w:val="18"/>
                              </w:rPr>
                              <w:t>Notably,</w:t>
                            </w:r>
                            <w:r>
                              <w:rPr>
                                <w:color w:val="000000"/>
                                <w:spacing w:val="-9"/>
                                <w:sz w:val="18"/>
                              </w:rPr>
                              <w:t xml:space="preserve"> </w:t>
                            </w:r>
                            <w:r>
                              <w:rPr>
                                <w:color w:val="000000"/>
                                <w:sz w:val="18"/>
                              </w:rPr>
                              <w:t>the</w:t>
                            </w:r>
                            <w:r>
                              <w:rPr>
                                <w:color w:val="000000"/>
                                <w:spacing w:val="-9"/>
                                <w:sz w:val="18"/>
                              </w:rPr>
                              <w:t xml:space="preserve"> </w:t>
                            </w:r>
                            <w:r>
                              <w:rPr>
                                <w:color w:val="000000"/>
                                <w:sz w:val="18"/>
                              </w:rPr>
                              <w:t>team</w:t>
                            </w:r>
                            <w:r>
                              <w:rPr>
                                <w:color w:val="000000"/>
                                <w:spacing w:val="-10"/>
                                <w:sz w:val="18"/>
                              </w:rPr>
                              <w:t xml:space="preserve"> </w:t>
                            </w:r>
                            <w:r>
                              <w:rPr>
                                <w:color w:val="000000"/>
                                <w:sz w:val="18"/>
                              </w:rPr>
                              <w:t>successfully</w:t>
                            </w:r>
                            <w:r>
                              <w:rPr>
                                <w:color w:val="000000"/>
                                <w:spacing w:val="-9"/>
                                <w:sz w:val="18"/>
                              </w:rPr>
                              <w:t xml:space="preserve"> </w:t>
                            </w:r>
                            <w:r>
                              <w:rPr>
                                <w:color w:val="000000"/>
                                <w:sz w:val="18"/>
                              </w:rPr>
                              <w:t>produced</w:t>
                            </w:r>
                            <w:r>
                              <w:rPr>
                                <w:color w:val="000000"/>
                                <w:spacing w:val="-9"/>
                                <w:sz w:val="18"/>
                              </w:rPr>
                              <w:t xml:space="preserve"> </w:t>
                            </w:r>
                            <w:r>
                              <w:rPr>
                                <w:color w:val="000000"/>
                                <w:sz w:val="18"/>
                              </w:rPr>
                              <w:t>gender-based</w:t>
                            </w:r>
                            <w:r>
                              <w:rPr>
                                <w:color w:val="000000"/>
                                <w:spacing w:val="-9"/>
                                <w:sz w:val="18"/>
                              </w:rPr>
                              <w:t xml:space="preserve"> </w:t>
                            </w:r>
                            <w:r>
                              <w:rPr>
                                <w:color w:val="000000"/>
                                <w:sz w:val="18"/>
                              </w:rPr>
                              <w:t>analyses</w:t>
                            </w:r>
                            <w:r>
                              <w:rPr>
                                <w:color w:val="000000"/>
                                <w:spacing w:val="-9"/>
                                <w:sz w:val="18"/>
                              </w:rPr>
                              <w:t xml:space="preserve"> </w:t>
                            </w:r>
                            <w:r>
                              <w:rPr>
                                <w:color w:val="000000"/>
                                <w:sz w:val="18"/>
                              </w:rPr>
                              <w:t>to</w:t>
                            </w:r>
                            <w:r>
                              <w:rPr>
                                <w:color w:val="000000"/>
                                <w:spacing w:val="-9"/>
                                <w:sz w:val="18"/>
                              </w:rPr>
                              <w:t xml:space="preserve"> </w:t>
                            </w:r>
                            <w:r>
                              <w:rPr>
                                <w:color w:val="000000"/>
                                <w:sz w:val="18"/>
                              </w:rPr>
                              <w:t>advocate</w:t>
                            </w:r>
                            <w:r>
                              <w:rPr>
                                <w:color w:val="000000"/>
                                <w:spacing w:val="-9"/>
                                <w:sz w:val="18"/>
                              </w:rPr>
                              <w:t xml:space="preserve"> </w:t>
                            </w:r>
                            <w:r>
                              <w:rPr>
                                <w:color w:val="000000"/>
                                <w:sz w:val="18"/>
                              </w:rPr>
                              <w:t>for</w:t>
                            </w:r>
                            <w:r>
                              <w:rPr>
                                <w:color w:val="000000"/>
                                <w:spacing w:val="-8"/>
                                <w:sz w:val="18"/>
                              </w:rPr>
                              <w:t xml:space="preserve"> </w:t>
                            </w:r>
                            <w:r>
                              <w:rPr>
                                <w:color w:val="000000"/>
                                <w:sz w:val="18"/>
                              </w:rPr>
                              <w:t>a</w:t>
                            </w:r>
                            <w:r>
                              <w:rPr>
                                <w:color w:val="000000"/>
                                <w:spacing w:val="-10"/>
                                <w:sz w:val="18"/>
                              </w:rPr>
                              <w:t xml:space="preserve"> </w:t>
                            </w:r>
                            <w:r>
                              <w:rPr>
                                <w:color w:val="000000"/>
                                <w:sz w:val="18"/>
                              </w:rPr>
                              <w:t>more GEDSI-responsive RPJMD. While gender analysis had been conducted since 2022, SKALA’s support strengthened the team’s capacity and skills, enabling more effective implementation in 2024–2025.</w:t>
                            </w:r>
                          </w:p>
                        </w:txbxContent>
                      </wps:txbx>
                      <wps:bodyPr wrap="square" lIns="0" tIns="0" rIns="0" bIns="0" rtlCol="0">
                        <a:noAutofit/>
                      </wps:bodyPr>
                    </wps:wsp>
                  </a:graphicData>
                </a:graphic>
              </wp:anchor>
            </w:drawing>
          </mc:Choice>
          <mc:Fallback>
            <w:pict>
              <v:shape w14:anchorId="21572E62" id="Textbox 320" o:spid="_x0000_s1097" type="#_x0000_t202" style="position:absolute;left:0;text-align:left;margin-left:70.9pt;margin-top:14.1pt;width:454.6pt;height:134.9pt;z-index:-156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" fillcolor="#e1f1ef" strokecolor="#bebebe" strokeweight=".48pt">
                <v:path arrowok="t"/>
                <v:textbox inset="0,0,0,0">
                  <w:txbxContent>
                    <w:p w14:paraId="27B2B6AA" w14:textId="77777777" w:rsidR="00BC24A8" w:rsidRDefault="00000000">
                      <w:pPr>
                        <w:spacing w:before="121"/>
                        <w:ind w:left="34" w:right="34"/>
                        <w:jc w:val="center"/>
                        <w:rPr>
                          <w:rFonts w:ascii="Calibri" w:hAnsi="Calibri"/>
                          <w:b/>
                          <w:color w:val="000000"/>
                          <w:sz w:val="20"/>
                        </w:rPr>
                      </w:pPr>
                      <w:r>
                        <w:rPr>
                          <w:rFonts w:ascii="Calibri" w:hAnsi="Calibri"/>
                          <w:b/>
                          <w:color w:val="17365A"/>
                          <w:spacing w:val="-2"/>
                          <w:sz w:val="20"/>
                        </w:rPr>
                        <w:t>Papua’s</w:t>
                      </w:r>
                      <w:r>
                        <w:rPr>
                          <w:rFonts w:ascii="Calibri" w:hAnsi="Calibri"/>
                          <w:b/>
                          <w:color w:val="17365A"/>
                          <w:spacing w:val="-4"/>
                          <w:sz w:val="20"/>
                        </w:rPr>
                        <w:t xml:space="preserve"> </w:t>
                      </w:r>
                      <w:r>
                        <w:rPr>
                          <w:rFonts w:ascii="Calibri" w:hAnsi="Calibri"/>
                          <w:b/>
                          <w:color w:val="17365A"/>
                          <w:spacing w:val="-2"/>
                          <w:sz w:val="20"/>
                        </w:rPr>
                        <w:t>PUG Technical</w:t>
                      </w:r>
                      <w:r>
                        <w:rPr>
                          <w:rFonts w:ascii="Calibri" w:hAnsi="Calibri"/>
                          <w:b/>
                          <w:color w:val="17365A"/>
                          <w:spacing w:val="-3"/>
                          <w:sz w:val="20"/>
                        </w:rPr>
                        <w:t xml:space="preserve"> </w:t>
                      </w:r>
                      <w:r>
                        <w:rPr>
                          <w:rFonts w:ascii="Calibri" w:hAnsi="Calibri"/>
                          <w:b/>
                          <w:color w:val="17365A"/>
                          <w:spacing w:val="-2"/>
                          <w:sz w:val="20"/>
                        </w:rPr>
                        <w:t>Team</w:t>
                      </w:r>
                      <w:r>
                        <w:rPr>
                          <w:rFonts w:ascii="Calibri" w:hAnsi="Calibri"/>
                          <w:b/>
                          <w:color w:val="17365A"/>
                          <w:spacing w:val="-1"/>
                          <w:sz w:val="20"/>
                        </w:rPr>
                        <w:t xml:space="preserve"> </w:t>
                      </w:r>
                      <w:r>
                        <w:rPr>
                          <w:rFonts w:ascii="Calibri" w:hAnsi="Calibri"/>
                          <w:b/>
                          <w:color w:val="17365A"/>
                          <w:spacing w:val="-2"/>
                          <w:sz w:val="20"/>
                        </w:rPr>
                        <w:t>Becomes More Strategic and Active</w:t>
                      </w:r>
                    </w:p>
                    <w:p w14:paraId="0E1666BC" w14:textId="77777777" w:rsidR="00BC24A8" w:rsidRDefault="00000000">
                      <w:pPr>
                        <w:spacing w:before="243"/>
                        <w:ind w:left="247" w:right="243"/>
                        <w:jc w:val="both"/>
                        <w:rPr>
                          <w:color w:val="000000"/>
                          <w:sz w:val="18"/>
                        </w:rPr>
                      </w:pPr>
                      <w:r>
                        <w:rPr>
                          <w:color w:val="000000"/>
                          <w:sz w:val="18"/>
                        </w:rPr>
                        <w:t>Since</w:t>
                      </w:r>
                      <w:r>
                        <w:rPr>
                          <w:color w:val="000000"/>
                          <w:spacing w:val="-2"/>
                          <w:sz w:val="18"/>
                        </w:rPr>
                        <w:t xml:space="preserve"> </w:t>
                      </w:r>
                      <w:r>
                        <w:rPr>
                          <w:color w:val="000000"/>
                          <w:sz w:val="18"/>
                        </w:rPr>
                        <w:t>SKALA</w:t>
                      </w:r>
                      <w:r>
                        <w:rPr>
                          <w:color w:val="000000"/>
                          <w:spacing w:val="-2"/>
                          <w:sz w:val="18"/>
                        </w:rPr>
                        <w:t xml:space="preserve"> </w:t>
                      </w:r>
                      <w:r>
                        <w:rPr>
                          <w:color w:val="000000"/>
                          <w:sz w:val="18"/>
                        </w:rPr>
                        <w:t>provided</w:t>
                      </w:r>
                      <w:r>
                        <w:rPr>
                          <w:color w:val="000000"/>
                          <w:spacing w:val="-4"/>
                          <w:sz w:val="18"/>
                        </w:rPr>
                        <w:t xml:space="preserve"> </w:t>
                      </w:r>
                      <w:r>
                        <w:rPr>
                          <w:color w:val="000000"/>
                          <w:sz w:val="18"/>
                        </w:rPr>
                        <w:t>support</w:t>
                      </w:r>
                      <w:r>
                        <w:rPr>
                          <w:color w:val="000000"/>
                          <w:spacing w:val="-3"/>
                          <w:sz w:val="18"/>
                        </w:rPr>
                        <w:t xml:space="preserve"> </w:t>
                      </w:r>
                      <w:r>
                        <w:rPr>
                          <w:color w:val="000000"/>
                          <w:sz w:val="18"/>
                        </w:rPr>
                        <w:t>to</w:t>
                      </w:r>
                      <w:r>
                        <w:rPr>
                          <w:color w:val="000000"/>
                          <w:spacing w:val="-4"/>
                          <w:sz w:val="18"/>
                        </w:rPr>
                        <w:t xml:space="preserve"> </w:t>
                      </w:r>
                      <w:r>
                        <w:rPr>
                          <w:color w:val="000000"/>
                          <w:sz w:val="18"/>
                        </w:rPr>
                        <w:t>Papua</w:t>
                      </w:r>
                      <w:r>
                        <w:rPr>
                          <w:color w:val="000000"/>
                          <w:spacing w:val="-2"/>
                          <w:sz w:val="18"/>
                        </w:rPr>
                        <w:t xml:space="preserve"> </w:t>
                      </w:r>
                      <w:r>
                        <w:rPr>
                          <w:color w:val="000000"/>
                          <w:sz w:val="18"/>
                        </w:rPr>
                        <w:t>PUG</w:t>
                      </w:r>
                      <w:r>
                        <w:rPr>
                          <w:color w:val="000000"/>
                          <w:spacing w:val="-2"/>
                          <w:sz w:val="18"/>
                        </w:rPr>
                        <w:t xml:space="preserve"> </w:t>
                      </w:r>
                      <w:r>
                        <w:rPr>
                          <w:color w:val="000000"/>
                          <w:sz w:val="18"/>
                        </w:rPr>
                        <w:t>Technical</w:t>
                      </w:r>
                      <w:r>
                        <w:rPr>
                          <w:color w:val="000000"/>
                          <w:spacing w:val="-1"/>
                          <w:sz w:val="18"/>
                        </w:rPr>
                        <w:t xml:space="preserve"> </w:t>
                      </w:r>
                      <w:r>
                        <w:rPr>
                          <w:color w:val="000000"/>
                          <w:sz w:val="18"/>
                        </w:rPr>
                        <w:t>Team</w:t>
                      </w:r>
                      <w:r>
                        <w:rPr>
                          <w:color w:val="000000"/>
                          <w:spacing w:val="-2"/>
                          <w:sz w:val="18"/>
                        </w:rPr>
                        <w:t xml:space="preserve"> </w:t>
                      </w:r>
                      <w:r>
                        <w:rPr>
                          <w:color w:val="000000"/>
                          <w:sz w:val="18"/>
                        </w:rPr>
                        <w:t>in</w:t>
                      </w:r>
                      <w:r>
                        <w:rPr>
                          <w:color w:val="000000"/>
                          <w:spacing w:val="-2"/>
                          <w:sz w:val="18"/>
                        </w:rPr>
                        <w:t xml:space="preserve"> </w:t>
                      </w:r>
                      <w:r>
                        <w:rPr>
                          <w:color w:val="000000"/>
                          <w:sz w:val="18"/>
                        </w:rPr>
                        <w:t>2024,</w:t>
                      </w:r>
                      <w:r>
                        <w:rPr>
                          <w:color w:val="000000"/>
                          <w:spacing w:val="-2"/>
                          <w:sz w:val="18"/>
                        </w:rPr>
                        <w:t xml:space="preserve"> </w:t>
                      </w:r>
                      <w:r>
                        <w:rPr>
                          <w:color w:val="000000"/>
                          <w:sz w:val="18"/>
                        </w:rPr>
                        <w:t>the</w:t>
                      </w:r>
                      <w:r>
                        <w:rPr>
                          <w:color w:val="000000"/>
                          <w:spacing w:val="-2"/>
                          <w:sz w:val="18"/>
                        </w:rPr>
                        <w:t xml:space="preserve"> </w:t>
                      </w:r>
                      <w:r>
                        <w:rPr>
                          <w:color w:val="000000"/>
                          <w:sz w:val="18"/>
                        </w:rPr>
                        <w:t>team’s</w:t>
                      </w:r>
                      <w:r>
                        <w:rPr>
                          <w:color w:val="000000"/>
                          <w:spacing w:val="-2"/>
                          <w:sz w:val="18"/>
                        </w:rPr>
                        <w:t xml:space="preserve"> </w:t>
                      </w:r>
                      <w:r>
                        <w:rPr>
                          <w:color w:val="000000"/>
                          <w:sz w:val="18"/>
                        </w:rPr>
                        <w:t>role</w:t>
                      </w:r>
                      <w:r>
                        <w:rPr>
                          <w:color w:val="000000"/>
                          <w:spacing w:val="-4"/>
                          <w:sz w:val="18"/>
                        </w:rPr>
                        <w:t xml:space="preserve"> </w:t>
                      </w:r>
                      <w:r>
                        <w:rPr>
                          <w:color w:val="000000"/>
                          <w:sz w:val="18"/>
                        </w:rPr>
                        <w:t>in</w:t>
                      </w:r>
                      <w:r>
                        <w:rPr>
                          <w:color w:val="000000"/>
                          <w:spacing w:val="-4"/>
                          <w:sz w:val="18"/>
                        </w:rPr>
                        <w:t xml:space="preserve"> </w:t>
                      </w:r>
                      <w:r>
                        <w:rPr>
                          <w:color w:val="000000"/>
                          <w:sz w:val="18"/>
                        </w:rPr>
                        <w:t>implementing</w:t>
                      </w:r>
                      <w:r>
                        <w:rPr>
                          <w:color w:val="000000"/>
                          <w:spacing w:val="-2"/>
                          <w:sz w:val="18"/>
                        </w:rPr>
                        <w:t xml:space="preserve"> </w:t>
                      </w:r>
                      <w:r>
                        <w:rPr>
                          <w:color w:val="000000"/>
                          <w:sz w:val="18"/>
                        </w:rPr>
                        <w:t>PPRG</w:t>
                      </w:r>
                      <w:r>
                        <w:rPr>
                          <w:color w:val="000000"/>
                          <w:spacing w:val="-2"/>
                          <w:sz w:val="18"/>
                        </w:rPr>
                        <w:t xml:space="preserve"> </w:t>
                      </w:r>
                      <w:r>
                        <w:rPr>
                          <w:color w:val="000000"/>
                          <w:sz w:val="18"/>
                        </w:rPr>
                        <w:t>has</w:t>
                      </w:r>
                      <w:r>
                        <w:rPr>
                          <w:color w:val="000000"/>
                          <w:spacing w:val="-2"/>
                          <w:sz w:val="18"/>
                        </w:rPr>
                        <w:t xml:space="preserve"> </w:t>
                      </w:r>
                      <w:r>
                        <w:rPr>
                          <w:color w:val="000000"/>
                          <w:sz w:val="18"/>
                        </w:rPr>
                        <w:t>shown significant</w:t>
                      </w:r>
                      <w:r>
                        <w:rPr>
                          <w:color w:val="000000"/>
                          <w:spacing w:val="-7"/>
                          <w:sz w:val="18"/>
                        </w:rPr>
                        <w:t xml:space="preserve"> </w:t>
                      </w:r>
                      <w:r>
                        <w:rPr>
                          <w:color w:val="000000"/>
                          <w:sz w:val="18"/>
                        </w:rPr>
                        <w:t>changes.</w:t>
                      </w:r>
                      <w:r>
                        <w:rPr>
                          <w:color w:val="000000"/>
                          <w:spacing w:val="-9"/>
                          <w:sz w:val="18"/>
                        </w:rPr>
                        <w:t xml:space="preserve"> </w:t>
                      </w:r>
                      <w:r>
                        <w:rPr>
                          <w:color w:val="000000"/>
                          <w:sz w:val="18"/>
                        </w:rPr>
                        <w:t>From</w:t>
                      </w:r>
                      <w:r>
                        <w:rPr>
                          <w:color w:val="000000"/>
                          <w:spacing w:val="-9"/>
                          <w:sz w:val="18"/>
                        </w:rPr>
                        <w:t xml:space="preserve"> </w:t>
                      </w:r>
                      <w:r>
                        <w:rPr>
                          <w:color w:val="000000"/>
                          <w:sz w:val="18"/>
                        </w:rPr>
                        <w:t>revitalising</w:t>
                      </w:r>
                      <w:r>
                        <w:rPr>
                          <w:color w:val="000000"/>
                          <w:spacing w:val="-9"/>
                          <w:sz w:val="18"/>
                        </w:rPr>
                        <w:t xml:space="preserve"> </w:t>
                      </w:r>
                      <w:r>
                        <w:rPr>
                          <w:color w:val="000000"/>
                          <w:sz w:val="18"/>
                        </w:rPr>
                        <w:t>regulations</w:t>
                      </w:r>
                      <w:r>
                        <w:rPr>
                          <w:color w:val="000000"/>
                          <w:spacing w:val="-8"/>
                          <w:sz w:val="18"/>
                        </w:rPr>
                        <w:t xml:space="preserve"> </w:t>
                      </w:r>
                      <w:r>
                        <w:rPr>
                          <w:color w:val="000000"/>
                          <w:sz w:val="18"/>
                        </w:rPr>
                        <w:t>to</w:t>
                      </w:r>
                      <w:r>
                        <w:rPr>
                          <w:color w:val="000000"/>
                          <w:spacing w:val="-10"/>
                          <w:sz w:val="18"/>
                        </w:rPr>
                        <w:t xml:space="preserve"> </w:t>
                      </w:r>
                      <w:r>
                        <w:rPr>
                          <w:color w:val="000000"/>
                          <w:sz w:val="18"/>
                        </w:rPr>
                        <w:t>strengthening</w:t>
                      </w:r>
                      <w:r>
                        <w:rPr>
                          <w:color w:val="000000"/>
                          <w:spacing w:val="-10"/>
                          <w:sz w:val="18"/>
                        </w:rPr>
                        <w:t xml:space="preserve"> </w:t>
                      </w:r>
                      <w:r>
                        <w:rPr>
                          <w:color w:val="000000"/>
                          <w:sz w:val="18"/>
                        </w:rPr>
                        <w:t>coordination</w:t>
                      </w:r>
                      <w:r>
                        <w:rPr>
                          <w:color w:val="000000"/>
                          <w:spacing w:val="-10"/>
                          <w:sz w:val="18"/>
                        </w:rPr>
                        <w:t xml:space="preserve"> </w:t>
                      </w:r>
                      <w:r>
                        <w:rPr>
                          <w:color w:val="000000"/>
                          <w:sz w:val="18"/>
                        </w:rPr>
                        <w:t>and</w:t>
                      </w:r>
                      <w:r>
                        <w:rPr>
                          <w:color w:val="000000"/>
                          <w:spacing w:val="-8"/>
                          <w:sz w:val="18"/>
                        </w:rPr>
                        <w:t xml:space="preserve"> </w:t>
                      </w:r>
                      <w:r>
                        <w:rPr>
                          <w:color w:val="000000"/>
                          <w:sz w:val="18"/>
                        </w:rPr>
                        <w:t>communication</w:t>
                      </w:r>
                      <w:r>
                        <w:rPr>
                          <w:color w:val="000000"/>
                          <w:spacing w:val="-8"/>
                          <w:sz w:val="18"/>
                        </w:rPr>
                        <w:t xml:space="preserve"> </w:t>
                      </w:r>
                      <w:r>
                        <w:rPr>
                          <w:color w:val="000000"/>
                          <w:sz w:val="18"/>
                        </w:rPr>
                        <w:t>among</w:t>
                      </w:r>
                      <w:r>
                        <w:rPr>
                          <w:color w:val="000000"/>
                          <w:spacing w:val="-9"/>
                          <w:sz w:val="18"/>
                        </w:rPr>
                        <w:t xml:space="preserve"> </w:t>
                      </w:r>
                      <w:r>
                        <w:rPr>
                          <w:color w:val="000000"/>
                          <w:sz w:val="18"/>
                        </w:rPr>
                        <w:t>PUG-driving institutions in Papua Province, the team now works in a more strategic and focused manner.</w:t>
                      </w:r>
                    </w:p>
                    <w:p w14:paraId="0C6FFF02" w14:textId="77777777" w:rsidR="00BC24A8" w:rsidRDefault="00000000">
                      <w:pPr>
                        <w:spacing w:before="162"/>
                        <w:ind w:left="247" w:right="242"/>
                        <w:jc w:val="both"/>
                        <w:rPr>
                          <w:color w:val="000000"/>
                          <w:sz w:val="18"/>
                        </w:rPr>
                      </w:pPr>
                      <w:r>
                        <w:rPr>
                          <w:color w:val="000000"/>
                          <w:sz w:val="18"/>
                        </w:rPr>
                        <w:t>The Papua PUG Team has conducted various activities,</w:t>
                      </w:r>
                      <w:r>
                        <w:rPr>
                          <w:color w:val="000000"/>
                          <w:spacing w:val="-1"/>
                          <w:sz w:val="18"/>
                        </w:rPr>
                        <w:t xml:space="preserve"> </w:t>
                      </w:r>
                      <w:r>
                        <w:rPr>
                          <w:color w:val="000000"/>
                          <w:sz w:val="18"/>
                        </w:rPr>
                        <w:t>including providing</w:t>
                      </w:r>
                      <w:r>
                        <w:rPr>
                          <w:color w:val="000000"/>
                          <w:spacing w:val="-1"/>
                          <w:sz w:val="18"/>
                        </w:rPr>
                        <w:t xml:space="preserve"> </w:t>
                      </w:r>
                      <w:r>
                        <w:rPr>
                          <w:color w:val="000000"/>
                          <w:sz w:val="18"/>
                        </w:rPr>
                        <w:t>guidance on</w:t>
                      </w:r>
                      <w:r>
                        <w:rPr>
                          <w:color w:val="000000"/>
                          <w:spacing w:val="-1"/>
                          <w:sz w:val="18"/>
                        </w:rPr>
                        <w:t xml:space="preserve"> </w:t>
                      </w:r>
                      <w:r>
                        <w:rPr>
                          <w:color w:val="000000"/>
                          <w:sz w:val="18"/>
                        </w:rPr>
                        <w:t>the</w:t>
                      </w:r>
                      <w:r>
                        <w:rPr>
                          <w:color w:val="000000"/>
                          <w:spacing w:val="-1"/>
                          <w:sz w:val="18"/>
                        </w:rPr>
                        <w:t xml:space="preserve"> </w:t>
                      </w:r>
                      <w:r>
                        <w:rPr>
                          <w:color w:val="000000"/>
                          <w:sz w:val="18"/>
                        </w:rPr>
                        <w:t>implementation of Gender Action Budget and Gender Budget Statement (GAB/GBS) in several provincial agencies and preparing reports on PPRG implementation</w:t>
                      </w:r>
                      <w:r>
                        <w:rPr>
                          <w:color w:val="000000"/>
                          <w:spacing w:val="-11"/>
                          <w:sz w:val="18"/>
                        </w:rPr>
                        <w:t xml:space="preserve"> </w:t>
                      </w:r>
                      <w:r>
                        <w:rPr>
                          <w:color w:val="000000"/>
                          <w:sz w:val="18"/>
                        </w:rPr>
                        <w:t>in</w:t>
                      </w:r>
                      <w:r>
                        <w:rPr>
                          <w:color w:val="000000"/>
                          <w:spacing w:val="-10"/>
                          <w:sz w:val="18"/>
                        </w:rPr>
                        <w:t xml:space="preserve"> </w:t>
                      </w:r>
                      <w:r>
                        <w:rPr>
                          <w:color w:val="000000"/>
                          <w:sz w:val="18"/>
                        </w:rPr>
                        <w:t>the</w:t>
                      </w:r>
                      <w:r>
                        <w:rPr>
                          <w:color w:val="000000"/>
                          <w:spacing w:val="-10"/>
                          <w:sz w:val="18"/>
                        </w:rPr>
                        <w:t xml:space="preserve"> </w:t>
                      </w:r>
                      <w:r>
                        <w:rPr>
                          <w:color w:val="000000"/>
                          <w:sz w:val="18"/>
                        </w:rPr>
                        <w:t>province.</w:t>
                      </w:r>
                      <w:r>
                        <w:rPr>
                          <w:color w:val="000000"/>
                          <w:spacing w:val="-10"/>
                          <w:sz w:val="18"/>
                        </w:rPr>
                        <w:t xml:space="preserve"> </w:t>
                      </w:r>
                      <w:r>
                        <w:rPr>
                          <w:color w:val="000000"/>
                          <w:sz w:val="18"/>
                        </w:rPr>
                        <w:t>Notably,</w:t>
                      </w:r>
                      <w:r>
                        <w:rPr>
                          <w:color w:val="000000"/>
                          <w:spacing w:val="-9"/>
                          <w:sz w:val="18"/>
                        </w:rPr>
                        <w:t xml:space="preserve"> </w:t>
                      </w:r>
                      <w:r>
                        <w:rPr>
                          <w:color w:val="000000"/>
                          <w:sz w:val="18"/>
                        </w:rPr>
                        <w:t>the</w:t>
                      </w:r>
                      <w:r>
                        <w:rPr>
                          <w:color w:val="000000"/>
                          <w:spacing w:val="-9"/>
                          <w:sz w:val="18"/>
                        </w:rPr>
                        <w:t xml:space="preserve"> </w:t>
                      </w:r>
                      <w:r>
                        <w:rPr>
                          <w:color w:val="000000"/>
                          <w:sz w:val="18"/>
                        </w:rPr>
                        <w:t>team</w:t>
                      </w:r>
                      <w:r>
                        <w:rPr>
                          <w:color w:val="000000"/>
                          <w:spacing w:val="-10"/>
                          <w:sz w:val="18"/>
                        </w:rPr>
                        <w:t xml:space="preserve"> </w:t>
                      </w:r>
                      <w:r>
                        <w:rPr>
                          <w:color w:val="000000"/>
                          <w:sz w:val="18"/>
                        </w:rPr>
                        <w:t>successfully</w:t>
                      </w:r>
                      <w:r>
                        <w:rPr>
                          <w:color w:val="000000"/>
                          <w:spacing w:val="-9"/>
                          <w:sz w:val="18"/>
                        </w:rPr>
                        <w:t xml:space="preserve"> </w:t>
                      </w:r>
                      <w:r>
                        <w:rPr>
                          <w:color w:val="000000"/>
                          <w:sz w:val="18"/>
                        </w:rPr>
                        <w:t>produced</w:t>
                      </w:r>
                      <w:r>
                        <w:rPr>
                          <w:color w:val="000000"/>
                          <w:spacing w:val="-9"/>
                          <w:sz w:val="18"/>
                        </w:rPr>
                        <w:t xml:space="preserve"> </w:t>
                      </w:r>
                      <w:r>
                        <w:rPr>
                          <w:color w:val="000000"/>
                          <w:sz w:val="18"/>
                        </w:rPr>
                        <w:t>gender-based</w:t>
                      </w:r>
                      <w:r>
                        <w:rPr>
                          <w:color w:val="000000"/>
                          <w:spacing w:val="-9"/>
                          <w:sz w:val="18"/>
                        </w:rPr>
                        <w:t xml:space="preserve"> </w:t>
                      </w:r>
                      <w:r>
                        <w:rPr>
                          <w:color w:val="000000"/>
                          <w:sz w:val="18"/>
                        </w:rPr>
                        <w:t>analyses</w:t>
                      </w:r>
                      <w:r>
                        <w:rPr>
                          <w:color w:val="000000"/>
                          <w:spacing w:val="-9"/>
                          <w:sz w:val="18"/>
                        </w:rPr>
                        <w:t xml:space="preserve"> </w:t>
                      </w:r>
                      <w:r>
                        <w:rPr>
                          <w:color w:val="000000"/>
                          <w:sz w:val="18"/>
                        </w:rPr>
                        <w:t>to</w:t>
                      </w:r>
                      <w:r>
                        <w:rPr>
                          <w:color w:val="000000"/>
                          <w:spacing w:val="-9"/>
                          <w:sz w:val="18"/>
                        </w:rPr>
                        <w:t xml:space="preserve"> </w:t>
                      </w:r>
                      <w:r>
                        <w:rPr>
                          <w:color w:val="000000"/>
                          <w:sz w:val="18"/>
                        </w:rPr>
                        <w:t>advocate</w:t>
                      </w:r>
                      <w:r>
                        <w:rPr>
                          <w:color w:val="000000"/>
                          <w:spacing w:val="-9"/>
                          <w:sz w:val="18"/>
                        </w:rPr>
                        <w:t xml:space="preserve"> </w:t>
                      </w:r>
                      <w:r>
                        <w:rPr>
                          <w:color w:val="000000"/>
                          <w:sz w:val="18"/>
                        </w:rPr>
                        <w:t>for</w:t>
                      </w:r>
                      <w:r>
                        <w:rPr>
                          <w:color w:val="000000"/>
                          <w:spacing w:val="-8"/>
                          <w:sz w:val="18"/>
                        </w:rPr>
                        <w:t xml:space="preserve"> </w:t>
                      </w:r>
                      <w:r>
                        <w:rPr>
                          <w:color w:val="000000"/>
                          <w:sz w:val="18"/>
                        </w:rPr>
                        <w:t>a</w:t>
                      </w:r>
                      <w:r>
                        <w:rPr>
                          <w:color w:val="000000"/>
                          <w:spacing w:val="-10"/>
                          <w:sz w:val="18"/>
                        </w:rPr>
                        <w:t xml:space="preserve"> </w:t>
                      </w:r>
                      <w:r>
                        <w:rPr>
                          <w:color w:val="000000"/>
                          <w:sz w:val="18"/>
                        </w:rPr>
                        <w:t>more GEDSI-responsive RPJMD. While gender analysis had been conducted since 2022, SKALA’s support strengthened the team’s capacity and skills, enabling more effective implementation in 2024–2025.</w:t>
                      </w:r>
                    </w:p>
                  </w:txbxContent>
                </v:textbox>
                <w10:wrap type="topAndBottom" anchorx="page"/>
              </v:shape>
            </w:pict>
          </mc:Fallback>
        </mc:AlternateContent>
      </w:r>
      <w:bookmarkStart w:id="257" w:name="Significant_change_story"/>
      <w:bookmarkEnd w:id="257"/>
      <w:r>
        <w:rPr>
          <w:rFonts w:ascii="Calibri"/>
          <w:color w:val="272727"/>
        </w:rPr>
        <w:t>Significant</w:t>
      </w:r>
      <w:r>
        <w:rPr>
          <w:rFonts w:ascii="Calibri"/>
          <w:color w:val="272727"/>
          <w:spacing w:val="-10"/>
        </w:rPr>
        <w:t xml:space="preserve"> </w:t>
      </w:r>
      <w:r>
        <w:rPr>
          <w:rFonts w:ascii="Calibri"/>
          <w:color w:val="272727"/>
        </w:rPr>
        <w:t>change</w:t>
      </w:r>
      <w:r>
        <w:rPr>
          <w:rFonts w:ascii="Calibri"/>
          <w:color w:val="272727"/>
          <w:spacing w:val="-11"/>
        </w:rPr>
        <w:t xml:space="preserve"> </w:t>
      </w:r>
      <w:r>
        <w:rPr>
          <w:rFonts w:ascii="Calibri"/>
          <w:color w:val="272727"/>
          <w:spacing w:val="-4"/>
        </w:rPr>
        <w:t>story</w:t>
      </w:r>
    </w:p>
    <w:p w14:paraId="5E0A307D" w14:textId="77777777" w:rsidR="00BC24A8" w:rsidRDefault="00BC24A8">
      <w:pPr>
        <w:pStyle w:val="BodyText"/>
        <w:rPr>
          <w:rFonts w:ascii="Calibri"/>
        </w:rPr>
        <w:sectPr w:rsidR="00BC24A8">
          <w:pgSz w:w="11910" w:h="16840"/>
          <w:pgMar w:top="1360" w:right="850" w:bottom="1100" w:left="1275" w:header="0" w:footer="907" w:gutter="0"/>
          <w:cols w:space="720"/>
        </w:sectPr>
      </w:pPr>
    </w:p>
    <w:p w14:paraId="47F309D2" w14:textId="77777777" w:rsidR="00BC24A8" w:rsidRDefault="00000000">
      <w:pPr>
        <w:pStyle w:val="BodyText"/>
        <w:ind w:left="138"/>
        <w:rPr>
          <w:rFonts w:ascii="Calibri"/>
          <w:sz w:val="20"/>
        </w:rPr>
      </w:pPr>
      <w:r>
        <w:rPr>
          <w:rFonts w:ascii="Calibri"/>
          <w:noProof/>
          <w:sz w:val="20"/>
        </w:rPr>
        <mc:AlternateContent>
          <mc:Choice Requires="wpg">
            <w:drawing>
              <wp:inline distT="0" distB="0" distL="0" distR="0" wp14:anchorId="614903FF" wp14:editId="753F4692">
                <wp:extent cx="5779135" cy="1751330"/>
                <wp:effectExtent l="9525" t="0" r="0" b="1269"/>
                <wp:docPr id="321" name="Group 321" descr="The PUG Technical Team’s eﬀorts to conduct gender analysis began in 2022, initiated by Dinsos P3A and Bappeda. However, the team, consisting of PUG-driving institutions, truly became capable of conducting gender analysis eﬀectively only in 2024–2025 with SKALA’s support. The technical team still needs further strengthening to ensure that this important work continues systematically and is fully internalized moving forward.&#10;Adeltje Viviane Silvana Pekade, Papua Provincial PUG Technical Te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1751330"/>
                          <a:chOff x="0" y="0"/>
                          <a:chExt cx="5779135" cy="1751330"/>
                        </a:xfrm>
                      </wpg:grpSpPr>
                      <wps:wsp>
                        <wps:cNvPr id="322" name="Graphic 322"/>
                        <wps:cNvSpPr/>
                        <wps:spPr>
                          <a:xfrm>
                            <a:off x="6089" y="6102"/>
                            <a:ext cx="5765800" cy="1739264"/>
                          </a:xfrm>
                          <a:custGeom>
                            <a:avLst/>
                            <a:gdLst/>
                            <a:ahLst/>
                            <a:cxnLst/>
                            <a:rect l="l" t="t" r="r" b="b"/>
                            <a:pathLst>
                              <a:path w="5765800" h="1739264">
                                <a:moveTo>
                                  <a:pt x="5765292" y="0"/>
                                </a:moveTo>
                                <a:lnTo>
                                  <a:pt x="0" y="0"/>
                                </a:lnTo>
                                <a:lnTo>
                                  <a:pt x="0" y="1738883"/>
                                </a:lnTo>
                                <a:lnTo>
                                  <a:pt x="5765292" y="1738883"/>
                                </a:lnTo>
                                <a:lnTo>
                                  <a:pt x="5765292" y="0"/>
                                </a:lnTo>
                                <a:close/>
                              </a:path>
                            </a:pathLst>
                          </a:custGeom>
                          <a:solidFill>
                            <a:srgbClr val="E1F1EF"/>
                          </a:solidFill>
                        </wps:spPr>
                        <wps:bodyPr wrap="square" lIns="0" tIns="0" rIns="0" bIns="0" rtlCol="0">
                          <a:prstTxWarp prst="textNoShape">
                            <a:avLst/>
                          </a:prstTxWarp>
                          <a:noAutofit/>
                        </wps:bodyPr>
                      </wps:wsp>
                      <wps:wsp>
                        <wps:cNvPr id="323" name="Graphic 323"/>
                        <wps:cNvSpPr/>
                        <wps:spPr>
                          <a:xfrm>
                            <a:off x="180587" y="271151"/>
                            <a:ext cx="5410200" cy="1181100"/>
                          </a:xfrm>
                          <a:custGeom>
                            <a:avLst/>
                            <a:gdLst/>
                            <a:ahLst/>
                            <a:cxnLst/>
                            <a:rect l="l" t="t" r="r" b="b"/>
                            <a:pathLst>
                              <a:path w="5410200" h="1181100">
                                <a:moveTo>
                                  <a:pt x="0" y="0"/>
                                </a:moveTo>
                                <a:lnTo>
                                  <a:pt x="5410200" y="0"/>
                                </a:lnTo>
                                <a:lnTo>
                                  <a:pt x="5410200" y="1180477"/>
                                </a:lnTo>
                                <a:lnTo>
                                  <a:pt x="0" y="1180477"/>
                                </a:lnTo>
                                <a:lnTo>
                                  <a:pt x="0" y="0"/>
                                </a:lnTo>
                                <a:close/>
                              </a:path>
                            </a:pathLst>
                          </a:custGeom>
                          <a:ln w="12700">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28" cstate="print"/>
                          <a:stretch>
                            <a:fillRect/>
                          </a:stretch>
                        </pic:blipFill>
                        <pic:spPr>
                          <a:xfrm>
                            <a:off x="241567" y="116752"/>
                            <a:ext cx="223210" cy="205052"/>
                          </a:xfrm>
                          <a:prstGeom prst="rect">
                            <a:avLst/>
                          </a:prstGeom>
                        </pic:spPr>
                      </pic:pic>
                      <pic:pic xmlns:pic="http://schemas.openxmlformats.org/drawingml/2006/picture">
                        <pic:nvPicPr>
                          <pic:cNvPr id="325" name="Image 325"/>
                          <pic:cNvPicPr/>
                        </pic:nvPicPr>
                        <pic:blipFill>
                          <a:blip r:embed="rId20" cstate="print"/>
                          <a:stretch>
                            <a:fillRect/>
                          </a:stretch>
                        </pic:blipFill>
                        <pic:spPr>
                          <a:xfrm>
                            <a:off x="5297886" y="1399826"/>
                            <a:ext cx="223210" cy="205052"/>
                          </a:xfrm>
                          <a:prstGeom prst="rect">
                            <a:avLst/>
                          </a:prstGeom>
                        </pic:spPr>
                      </pic:pic>
                      <wps:wsp>
                        <wps:cNvPr id="326" name="Textbox 326"/>
                        <wps:cNvSpPr txBox="1"/>
                        <wps:spPr>
                          <a:xfrm>
                            <a:off x="3047" y="3047"/>
                            <a:ext cx="5773420" cy="1744980"/>
                          </a:xfrm>
                          <a:prstGeom prst="rect">
                            <a:avLst/>
                          </a:prstGeom>
                          <a:ln w="6096">
                            <a:solidFill>
                              <a:srgbClr val="BEBEBE"/>
                            </a:solidFill>
                            <a:prstDash val="solid"/>
                          </a:ln>
                        </wps:spPr>
                        <wps:txbx>
                          <w:txbxContent>
                            <w:p w14:paraId="143E8E31" w14:textId="77777777" w:rsidR="00BC24A8" w:rsidRDefault="00BC24A8">
                              <w:pPr>
                                <w:rPr>
                                  <w:rFonts w:ascii="Calibri"/>
                                  <w:sz w:val="18"/>
                                </w:rPr>
                              </w:pPr>
                            </w:p>
                            <w:p w14:paraId="3EE19F1B" w14:textId="77777777" w:rsidR="00BC24A8" w:rsidRDefault="00BC24A8">
                              <w:pPr>
                                <w:spacing w:before="196"/>
                                <w:rPr>
                                  <w:rFonts w:ascii="Calibri"/>
                                  <w:sz w:val="18"/>
                                </w:rPr>
                              </w:pPr>
                            </w:p>
                            <w:p w14:paraId="70A19636" w14:textId="77777777" w:rsidR="00BC24A8" w:rsidRDefault="00000000">
                              <w:pPr>
                                <w:spacing w:line="290" w:lineRule="auto"/>
                                <w:ind w:left="573" w:right="577"/>
                                <w:jc w:val="both"/>
                                <w:rPr>
                                  <w:rFonts w:ascii="Times New Roman" w:hAnsi="Times New Roman"/>
                                  <w:b/>
                                  <w:i/>
                                  <w:sz w:val="18"/>
                                </w:rPr>
                              </w:pPr>
                              <w:r>
                                <w:rPr>
                                  <w:rFonts w:ascii="Times New Roman" w:hAnsi="Times New Roman"/>
                                  <w:b/>
                                  <w:i/>
                                  <w:color w:val="17365A"/>
                                  <w:sz w:val="18"/>
                                </w:rPr>
                                <w:t>The PUG Technical Team’s eﬀorts to conduct gender analysis began in 2022, initiated by Dinsos P3A and Bappeda. However, the team, consisting of PUG-driving institutions, truly became capable of conducting gender</w:t>
                              </w:r>
                              <w:r>
                                <w:rPr>
                                  <w:rFonts w:ascii="Times New Roman" w:hAnsi="Times New Roman"/>
                                  <w:b/>
                                  <w:i/>
                                  <w:color w:val="17365A"/>
                                  <w:spacing w:val="-4"/>
                                  <w:sz w:val="18"/>
                                </w:rPr>
                                <w:t xml:space="preserve"> </w:t>
                              </w:r>
                              <w:r>
                                <w:rPr>
                                  <w:rFonts w:ascii="Times New Roman" w:hAnsi="Times New Roman"/>
                                  <w:b/>
                                  <w:i/>
                                  <w:color w:val="17365A"/>
                                  <w:sz w:val="18"/>
                                </w:rPr>
                                <w:t>analysis</w:t>
                              </w:r>
                              <w:r>
                                <w:rPr>
                                  <w:rFonts w:ascii="Times New Roman" w:hAnsi="Times New Roman"/>
                                  <w:b/>
                                  <w:i/>
                                  <w:color w:val="17365A"/>
                                  <w:spacing w:val="-3"/>
                                  <w:sz w:val="18"/>
                                </w:rPr>
                                <w:t xml:space="preserve"> </w:t>
                              </w:r>
                              <w:r>
                                <w:rPr>
                                  <w:rFonts w:ascii="Times New Roman" w:hAnsi="Times New Roman"/>
                                  <w:b/>
                                  <w:i/>
                                  <w:color w:val="17365A"/>
                                  <w:sz w:val="18"/>
                                </w:rPr>
                                <w:t>eﬀectively</w:t>
                              </w:r>
                              <w:r>
                                <w:rPr>
                                  <w:rFonts w:ascii="Times New Roman" w:hAnsi="Times New Roman"/>
                                  <w:b/>
                                  <w:i/>
                                  <w:color w:val="17365A"/>
                                  <w:spacing w:val="-4"/>
                                  <w:sz w:val="18"/>
                                </w:rPr>
                                <w:t xml:space="preserve"> </w:t>
                              </w:r>
                              <w:r>
                                <w:rPr>
                                  <w:rFonts w:ascii="Times New Roman" w:hAnsi="Times New Roman"/>
                                  <w:b/>
                                  <w:i/>
                                  <w:color w:val="17365A"/>
                                  <w:sz w:val="18"/>
                                </w:rPr>
                                <w:t>only</w:t>
                              </w:r>
                              <w:r>
                                <w:rPr>
                                  <w:rFonts w:ascii="Times New Roman" w:hAnsi="Times New Roman"/>
                                  <w:b/>
                                  <w:i/>
                                  <w:color w:val="17365A"/>
                                  <w:spacing w:val="-4"/>
                                  <w:sz w:val="18"/>
                                </w:rPr>
                                <w:t xml:space="preserve"> </w:t>
                              </w:r>
                              <w:r>
                                <w:rPr>
                                  <w:rFonts w:ascii="Times New Roman" w:hAnsi="Times New Roman"/>
                                  <w:b/>
                                  <w:i/>
                                  <w:color w:val="17365A"/>
                                  <w:sz w:val="18"/>
                                </w:rPr>
                                <w:t>in</w:t>
                              </w:r>
                              <w:r>
                                <w:rPr>
                                  <w:rFonts w:ascii="Times New Roman" w:hAnsi="Times New Roman"/>
                                  <w:b/>
                                  <w:i/>
                                  <w:color w:val="17365A"/>
                                  <w:spacing w:val="-4"/>
                                  <w:sz w:val="18"/>
                                </w:rPr>
                                <w:t xml:space="preserve"> </w:t>
                              </w:r>
                              <w:r>
                                <w:rPr>
                                  <w:rFonts w:ascii="Times New Roman" w:hAnsi="Times New Roman"/>
                                  <w:b/>
                                  <w:i/>
                                  <w:color w:val="17365A"/>
                                  <w:sz w:val="18"/>
                                </w:rPr>
                                <w:t>2024–2025</w:t>
                              </w:r>
                              <w:r>
                                <w:rPr>
                                  <w:rFonts w:ascii="Times New Roman" w:hAnsi="Times New Roman"/>
                                  <w:b/>
                                  <w:i/>
                                  <w:color w:val="17365A"/>
                                  <w:spacing w:val="-4"/>
                                  <w:sz w:val="18"/>
                                </w:rPr>
                                <w:t xml:space="preserve"> </w:t>
                              </w:r>
                              <w:r>
                                <w:rPr>
                                  <w:rFonts w:ascii="Times New Roman" w:hAnsi="Times New Roman"/>
                                  <w:b/>
                                  <w:i/>
                                  <w:color w:val="17365A"/>
                                  <w:sz w:val="18"/>
                                </w:rPr>
                                <w:t>with</w:t>
                              </w:r>
                              <w:r>
                                <w:rPr>
                                  <w:rFonts w:ascii="Times New Roman" w:hAnsi="Times New Roman"/>
                                  <w:b/>
                                  <w:i/>
                                  <w:color w:val="17365A"/>
                                  <w:spacing w:val="-3"/>
                                  <w:sz w:val="18"/>
                                </w:rPr>
                                <w:t xml:space="preserve"> </w:t>
                              </w:r>
                              <w:r>
                                <w:rPr>
                                  <w:rFonts w:ascii="Times New Roman" w:hAnsi="Times New Roman"/>
                                  <w:b/>
                                  <w:i/>
                                  <w:color w:val="17365A"/>
                                  <w:sz w:val="18"/>
                                </w:rPr>
                                <w:t>SKALA’s</w:t>
                              </w:r>
                              <w:r>
                                <w:rPr>
                                  <w:rFonts w:ascii="Times New Roman" w:hAnsi="Times New Roman"/>
                                  <w:b/>
                                  <w:i/>
                                  <w:color w:val="17365A"/>
                                  <w:spacing w:val="-3"/>
                                  <w:sz w:val="18"/>
                                </w:rPr>
                                <w:t xml:space="preserve"> </w:t>
                              </w:r>
                              <w:r>
                                <w:rPr>
                                  <w:rFonts w:ascii="Times New Roman" w:hAnsi="Times New Roman"/>
                                  <w:b/>
                                  <w:i/>
                                  <w:color w:val="17365A"/>
                                  <w:sz w:val="18"/>
                                </w:rPr>
                                <w:t>support.</w:t>
                              </w:r>
                              <w:r>
                                <w:rPr>
                                  <w:rFonts w:ascii="Times New Roman" w:hAnsi="Times New Roman"/>
                                  <w:b/>
                                  <w:i/>
                                  <w:color w:val="17365A"/>
                                  <w:spacing w:val="-3"/>
                                  <w:sz w:val="18"/>
                                </w:rPr>
                                <w:t xml:space="preserve"> </w:t>
                              </w:r>
                              <w:r>
                                <w:rPr>
                                  <w:rFonts w:ascii="Times New Roman" w:hAnsi="Times New Roman"/>
                                  <w:b/>
                                  <w:i/>
                                  <w:color w:val="17365A"/>
                                  <w:sz w:val="18"/>
                                </w:rPr>
                                <w:t>The</w:t>
                              </w:r>
                              <w:r>
                                <w:rPr>
                                  <w:rFonts w:ascii="Times New Roman" w:hAnsi="Times New Roman"/>
                                  <w:b/>
                                  <w:i/>
                                  <w:color w:val="17365A"/>
                                  <w:spacing w:val="-4"/>
                                  <w:sz w:val="18"/>
                                </w:rPr>
                                <w:t xml:space="preserve"> </w:t>
                              </w:r>
                              <w:r>
                                <w:rPr>
                                  <w:rFonts w:ascii="Times New Roman" w:hAnsi="Times New Roman"/>
                                  <w:b/>
                                  <w:i/>
                                  <w:color w:val="17365A"/>
                                  <w:sz w:val="18"/>
                                </w:rPr>
                                <w:t>technical</w:t>
                              </w:r>
                              <w:r>
                                <w:rPr>
                                  <w:rFonts w:ascii="Times New Roman" w:hAnsi="Times New Roman"/>
                                  <w:b/>
                                  <w:i/>
                                  <w:color w:val="17365A"/>
                                  <w:spacing w:val="-3"/>
                                  <w:sz w:val="18"/>
                                </w:rPr>
                                <w:t xml:space="preserve"> </w:t>
                              </w:r>
                              <w:r>
                                <w:rPr>
                                  <w:rFonts w:ascii="Times New Roman" w:hAnsi="Times New Roman"/>
                                  <w:b/>
                                  <w:i/>
                                  <w:color w:val="17365A"/>
                                  <w:sz w:val="18"/>
                                </w:rPr>
                                <w:t>team</w:t>
                              </w:r>
                              <w:r>
                                <w:rPr>
                                  <w:rFonts w:ascii="Times New Roman" w:hAnsi="Times New Roman"/>
                                  <w:b/>
                                  <w:i/>
                                  <w:color w:val="17365A"/>
                                  <w:spacing w:val="-4"/>
                                  <w:sz w:val="18"/>
                                </w:rPr>
                                <w:t xml:space="preserve"> </w:t>
                              </w:r>
                              <w:r>
                                <w:rPr>
                                  <w:rFonts w:ascii="Times New Roman" w:hAnsi="Times New Roman"/>
                                  <w:b/>
                                  <w:i/>
                                  <w:color w:val="17365A"/>
                                  <w:sz w:val="18"/>
                                </w:rPr>
                                <w:t>still</w:t>
                              </w:r>
                              <w:r>
                                <w:rPr>
                                  <w:rFonts w:ascii="Times New Roman" w:hAnsi="Times New Roman"/>
                                  <w:b/>
                                  <w:i/>
                                  <w:color w:val="17365A"/>
                                  <w:spacing w:val="-3"/>
                                  <w:sz w:val="18"/>
                                </w:rPr>
                                <w:t xml:space="preserve"> </w:t>
                              </w:r>
                              <w:r>
                                <w:rPr>
                                  <w:rFonts w:ascii="Times New Roman" w:hAnsi="Times New Roman"/>
                                  <w:b/>
                                  <w:i/>
                                  <w:color w:val="17365A"/>
                                  <w:sz w:val="18"/>
                                </w:rPr>
                                <w:t>needs</w:t>
                              </w:r>
                              <w:r>
                                <w:rPr>
                                  <w:rFonts w:ascii="Times New Roman" w:hAnsi="Times New Roman"/>
                                  <w:b/>
                                  <w:i/>
                                  <w:color w:val="17365A"/>
                                  <w:spacing w:val="-3"/>
                                  <w:sz w:val="18"/>
                                </w:rPr>
                                <w:t xml:space="preserve"> </w:t>
                              </w:r>
                              <w:r>
                                <w:rPr>
                                  <w:rFonts w:ascii="Times New Roman" w:hAnsi="Times New Roman"/>
                                  <w:b/>
                                  <w:i/>
                                  <w:color w:val="17365A"/>
                                  <w:sz w:val="18"/>
                                </w:rPr>
                                <w:t xml:space="preserve">further strengthening to ensure that this important work continues systematically and is fully internalized moving </w:t>
                              </w:r>
                              <w:r>
                                <w:rPr>
                                  <w:rFonts w:ascii="Times New Roman" w:hAnsi="Times New Roman"/>
                                  <w:b/>
                                  <w:i/>
                                  <w:color w:val="17365A"/>
                                  <w:spacing w:val="-2"/>
                                  <w:sz w:val="18"/>
                                </w:rPr>
                                <w:t>forward.</w:t>
                              </w:r>
                            </w:p>
                            <w:p w14:paraId="020C99CB" w14:textId="77777777" w:rsidR="00BC24A8" w:rsidRDefault="00000000">
                              <w:pPr>
                                <w:spacing w:line="205" w:lineRule="exact"/>
                                <w:ind w:left="573"/>
                                <w:jc w:val="both"/>
                                <w:rPr>
                                  <w:i/>
                                  <w:sz w:val="18"/>
                                </w:rPr>
                              </w:pPr>
                              <w:r>
                                <w:rPr>
                                  <w:i/>
                                  <w:color w:val="17365A"/>
                                  <w:sz w:val="18"/>
                                </w:rPr>
                                <w:t>Adeltje</w:t>
                              </w:r>
                              <w:r>
                                <w:rPr>
                                  <w:i/>
                                  <w:color w:val="17365A"/>
                                  <w:spacing w:val="-7"/>
                                  <w:sz w:val="18"/>
                                </w:rPr>
                                <w:t xml:space="preserve"> </w:t>
                              </w:r>
                              <w:r>
                                <w:rPr>
                                  <w:i/>
                                  <w:color w:val="17365A"/>
                                  <w:sz w:val="18"/>
                                </w:rPr>
                                <w:t>Viviane</w:t>
                              </w:r>
                              <w:r>
                                <w:rPr>
                                  <w:i/>
                                  <w:color w:val="17365A"/>
                                  <w:spacing w:val="-7"/>
                                  <w:sz w:val="18"/>
                                </w:rPr>
                                <w:t xml:space="preserve"> </w:t>
                              </w:r>
                              <w:r>
                                <w:rPr>
                                  <w:i/>
                                  <w:color w:val="17365A"/>
                                  <w:sz w:val="18"/>
                                </w:rPr>
                                <w:t>Silvana</w:t>
                              </w:r>
                              <w:r>
                                <w:rPr>
                                  <w:i/>
                                  <w:color w:val="17365A"/>
                                  <w:spacing w:val="-6"/>
                                  <w:sz w:val="18"/>
                                </w:rPr>
                                <w:t xml:space="preserve"> </w:t>
                              </w:r>
                              <w:r>
                                <w:rPr>
                                  <w:i/>
                                  <w:color w:val="17365A"/>
                                  <w:sz w:val="18"/>
                                </w:rPr>
                                <w:t>Pekade,</w:t>
                              </w:r>
                              <w:r>
                                <w:rPr>
                                  <w:i/>
                                  <w:color w:val="17365A"/>
                                  <w:spacing w:val="-7"/>
                                  <w:sz w:val="18"/>
                                </w:rPr>
                                <w:t xml:space="preserve"> </w:t>
                              </w:r>
                              <w:r>
                                <w:rPr>
                                  <w:i/>
                                  <w:color w:val="17365A"/>
                                  <w:sz w:val="18"/>
                                </w:rPr>
                                <w:t>Papua</w:t>
                              </w:r>
                              <w:r>
                                <w:rPr>
                                  <w:i/>
                                  <w:color w:val="17365A"/>
                                  <w:spacing w:val="-6"/>
                                  <w:sz w:val="18"/>
                                </w:rPr>
                                <w:t xml:space="preserve"> </w:t>
                              </w:r>
                              <w:r>
                                <w:rPr>
                                  <w:i/>
                                  <w:color w:val="17365A"/>
                                  <w:sz w:val="18"/>
                                </w:rPr>
                                <w:t>Provincial</w:t>
                              </w:r>
                              <w:r>
                                <w:rPr>
                                  <w:i/>
                                  <w:color w:val="17365A"/>
                                  <w:spacing w:val="-5"/>
                                  <w:sz w:val="18"/>
                                </w:rPr>
                                <w:t xml:space="preserve"> </w:t>
                              </w:r>
                              <w:r>
                                <w:rPr>
                                  <w:i/>
                                  <w:color w:val="17365A"/>
                                  <w:sz w:val="18"/>
                                </w:rPr>
                                <w:t>PUG</w:t>
                              </w:r>
                              <w:r>
                                <w:rPr>
                                  <w:i/>
                                  <w:color w:val="17365A"/>
                                  <w:spacing w:val="-5"/>
                                  <w:sz w:val="18"/>
                                </w:rPr>
                                <w:t xml:space="preserve"> </w:t>
                              </w:r>
                              <w:r>
                                <w:rPr>
                                  <w:i/>
                                  <w:color w:val="17365A"/>
                                  <w:sz w:val="18"/>
                                </w:rPr>
                                <w:t>Technical</w:t>
                              </w:r>
                              <w:r>
                                <w:rPr>
                                  <w:i/>
                                  <w:color w:val="17365A"/>
                                  <w:spacing w:val="-5"/>
                                  <w:sz w:val="18"/>
                                </w:rPr>
                                <w:t xml:space="preserve"> </w:t>
                              </w:r>
                              <w:r>
                                <w:rPr>
                                  <w:i/>
                                  <w:color w:val="17365A"/>
                                  <w:spacing w:val="-4"/>
                                  <w:sz w:val="18"/>
                                </w:rPr>
                                <w:t>Team</w:t>
                              </w:r>
                            </w:p>
                          </w:txbxContent>
                        </wps:txbx>
                        <wps:bodyPr wrap="square" lIns="0" tIns="0" rIns="0" bIns="0" rtlCol="0">
                          <a:noAutofit/>
                        </wps:bodyPr>
                      </wps:wsp>
                    </wpg:wgp>
                  </a:graphicData>
                </a:graphic>
              </wp:inline>
            </w:drawing>
          </mc:Choice>
          <mc:Fallback>
            <w:pict>
              <v:group w14:anchorId="614903FF" id="Group 321" o:spid="_x0000_s1098" alt="The PUG Technical Team’s eﬀorts to conduct gender analysis began in 2022, initiated by Dinsos P3A and Bappeda. However, the team, consisting of PUG-driving institutions, truly became capable of conducting gender analysis eﬀectively only in 2024–2025 with SKALA’s support. The technical team still needs further strengthening to ensure that this important work continues systematically and is fully internalized moving forward.&#10;Adeltje Viviane Silvana Pekade, Papua Provincial PUG Technical Team." style="width:455.05pt;height:137.9pt;mso-position-horizontal-relative:char;mso-position-vertical-relative:line" coordsize="57791,17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">
                <v:shape id="Graphic 322" o:spid="_x0000_s1099" style="position:absolute;left:60;top:61;width:57658;height:17392;visibility:visible;mso-wrap-style:square;v-text-anchor:top" coordsize="5765800,17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" path="m5765292,l,,,1738883r5765292,l5765292,xe" fillcolor="#e1f1ef" stroked="f">
                  <v:path arrowok="t"/>
                </v:shape>
                <v:shape id="Graphic 323" o:spid="_x0000_s1100" style="position:absolute;left:1805;top:2711;width:54102;height:11811;visibility:visible;mso-wrap-style:square;v-text-anchor:top" coordsize="541020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" path="m,l5410200,r,1180477l,1180477,,xe" filled="f" strokecolor="#17365a" strokeweight="1pt">
                  <v:path arrowok="t"/>
                </v:shape>
                <v:shape id="Image 324" o:spid="_x0000_s1101" type="#_x0000_t75" style="position:absolute;left:2415;top:1167;width:2232;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">
                  <v:imagedata r:id="rId29" o:title=""/>
                </v:shape>
                <v:shape id="Image 325" o:spid="_x0000_s1102" type="#_x0000_t75" style="position:absolute;left:52978;top:13998;width:223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">
                  <v:imagedata r:id="rId21" o:title=""/>
                </v:shape>
                <v:shape id="Textbox 326" o:spid="_x0000_s1103" type="#_x0000_t202" style="position:absolute;left:30;top:30;width:57734;height:1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" filled="f" strokecolor="#bebebe" strokeweight=".48pt">
                  <v:textbox inset="0,0,0,0">
                    <w:txbxContent>
                      <w:p w14:paraId="143E8E31" w14:textId="77777777" w:rsidR="00BC24A8" w:rsidRDefault="00BC24A8">
                        <w:pPr>
                          <w:rPr>
                            <w:rFonts w:ascii="Calibri"/>
                            <w:sz w:val="18"/>
                          </w:rPr>
                        </w:pPr>
                      </w:p>
                      <w:p w14:paraId="3EE19F1B" w14:textId="77777777" w:rsidR="00BC24A8" w:rsidRDefault="00BC24A8">
                        <w:pPr>
                          <w:spacing w:before="196"/>
                          <w:rPr>
                            <w:rFonts w:ascii="Calibri"/>
                            <w:sz w:val="18"/>
                          </w:rPr>
                        </w:pPr>
                      </w:p>
                      <w:p w14:paraId="70A19636" w14:textId="77777777" w:rsidR="00BC24A8" w:rsidRDefault="00000000">
                        <w:pPr>
                          <w:spacing w:line="290" w:lineRule="auto"/>
                          <w:ind w:left="573" w:right="577"/>
                          <w:jc w:val="both"/>
                          <w:rPr>
                            <w:rFonts w:ascii="Times New Roman" w:hAnsi="Times New Roman"/>
                            <w:b/>
                            <w:i/>
                            <w:sz w:val="18"/>
                          </w:rPr>
                        </w:pPr>
                        <w:r>
                          <w:rPr>
                            <w:rFonts w:ascii="Times New Roman" w:hAnsi="Times New Roman"/>
                            <w:b/>
                            <w:i/>
                            <w:color w:val="17365A"/>
                            <w:sz w:val="18"/>
                          </w:rPr>
                          <w:t>The PUG Technical Team’s eﬀorts to conduct gender analysis began in 2022, initiated by Dinsos P3A and Bappeda. However, the team, consisting of PUG-driving institutions, truly became capable of conducting gender</w:t>
                        </w:r>
                        <w:r>
                          <w:rPr>
                            <w:rFonts w:ascii="Times New Roman" w:hAnsi="Times New Roman"/>
                            <w:b/>
                            <w:i/>
                            <w:color w:val="17365A"/>
                            <w:spacing w:val="-4"/>
                            <w:sz w:val="18"/>
                          </w:rPr>
                          <w:t xml:space="preserve"> </w:t>
                        </w:r>
                        <w:r>
                          <w:rPr>
                            <w:rFonts w:ascii="Times New Roman" w:hAnsi="Times New Roman"/>
                            <w:b/>
                            <w:i/>
                            <w:color w:val="17365A"/>
                            <w:sz w:val="18"/>
                          </w:rPr>
                          <w:t>analysis</w:t>
                        </w:r>
                        <w:r>
                          <w:rPr>
                            <w:rFonts w:ascii="Times New Roman" w:hAnsi="Times New Roman"/>
                            <w:b/>
                            <w:i/>
                            <w:color w:val="17365A"/>
                            <w:spacing w:val="-3"/>
                            <w:sz w:val="18"/>
                          </w:rPr>
                          <w:t xml:space="preserve"> </w:t>
                        </w:r>
                        <w:r>
                          <w:rPr>
                            <w:rFonts w:ascii="Times New Roman" w:hAnsi="Times New Roman"/>
                            <w:b/>
                            <w:i/>
                            <w:color w:val="17365A"/>
                            <w:sz w:val="18"/>
                          </w:rPr>
                          <w:t>eﬀectively</w:t>
                        </w:r>
                        <w:r>
                          <w:rPr>
                            <w:rFonts w:ascii="Times New Roman" w:hAnsi="Times New Roman"/>
                            <w:b/>
                            <w:i/>
                            <w:color w:val="17365A"/>
                            <w:spacing w:val="-4"/>
                            <w:sz w:val="18"/>
                          </w:rPr>
                          <w:t xml:space="preserve"> </w:t>
                        </w:r>
                        <w:r>
                          <w:rPr>
                            <w:rFonts w:ascii="Times New Roman" w:hAnsi="Times New Roman"/>
                            <w:b/>
                            <w:i/>
                            <w:color w:val="17365A"/>
                            <w:sz w:val="18"/>
                          </w:rPr>
                          <w:t>only</w:t>
                        </w:r>
                        <w:r>
                          <w:rPr>
                            <w:rFonts w:ascii="Times New Roman" w:hAnsi="Times New Roman"/>
                            <w:b/>
                            <w:i/>
                            <w:color w:val="17365A"/>
                            <w:spacing w:val="-4"/>
                            <w:sz w:val="18"/>
                          </w:rPr>
                          <w:t xml:space="preserve"> </w:t>
                        </w:r>
                        <w:r>
                          <w:rPr>
                            <w:rFonts w:ascii="Times New Roman" w:hAnsi="Times New Roman"/>
                            <w:b/>
                            <w:i/>
                            <w:color w:val="17365A"/>
                            <w:sz w:val="18"/>
                          </w:rPr>
                          <w:t>in</w:t>
                        </w:r>
                        <w:r>
                          <w:rPr>
                            <w:rFonts w:ascii="Times New Roman" w:hAnsi="Times New Roman"/>
                            <w:b/>
                            <w:i/>
                            <w:color w:val="17365A"/>
                            <w:spacing w:val="-4"/>
                            <w:sz w:val="18"/>
                          </w:rPr>
                          <w:t xml:space="preserve"> </w:t>
                        </w:r>
                        <w:r>
                          <w:rPr>
                            <w:rFonts w:ascii="Times New Roman" w:hAnsi="Times New Roman"/>
                            <w:b/>
                            <w:i/>
                            <w:color w:val="17365A"/>
                            <w:sz w:val="18"/>
                          </w:rPr>
                          <w:t>2024–2025</w:t>
                        </w:r>
                        <w:r>
                          <w:rPr>
                            <w:rFonts w:ascii="Times New Roman" w:hAnsi="Times New Roman"/>
                            <w:b/>
                            <w:i/>
                            <w:color w:val="17365A"/>
                            <w:spacing w:val="-4"/>
                            <w:sz w:val="18"/>
                          </w:rPr>
                          <w:t xml:space="preserve"> </w:t>
                        </w:r>
                        <w:r>
                          <w:rPr>
                            <w:rFonts w:ascii="Times New Roman" w:hAnsi="Times New Roman"/>
                            <w:b/>
                            <w:i/>
                            <w:color w:val="17365A"/>
                            <w:sz w:val="18"/>
                          </w:rPr>
                          <w:t>with</w:t>
                        </w:r>
                        <w:r>
                          <w:rPr>
                            <w:rFonts w:ascii="Times New Roman" w:hAnsi="Times New Roman"/>
                            <w:b/>
                            <w:i/>
                            <w:color w:val="17365A"/>
                            <w:spacing w:val="-3"/>
                            <w:sz w:val="18"/>
                          </w:rPr>
                          <w:t xml:space="preserve"> </w:t>
                        </w:r>
                        <w:r>
                          <w:rPr>
                            <w:rFonts w:ascii="Times New Roman" w:hAnsi="Times New Roman"/>
                            <w:b/>
                            <w:i/>
                            <w:color w:val="17365A"/>
                            <w:sz w:val="18"/>
                          </w:rPr>
                          <w:t>SKALA’s</w:t>
                        </w:r>
                        <w:r>
                          <w:rPr>
                            <w:rFonts w:ascii="Times New Roman" w:hAnsi="Times New Roman"/>
                            <w:b/>
                            <w:i/>
                            <w:color w:val="17365A"/>
                            <w:spacing w:val="-3"/>
                            <w:sz w:val="18"/>
                          </w:rPr>
                          <w:t xml:space="preserve"> </w:t>
                        </w:r>
                        <w:r>
                          <w:rPr>
                            <w:rFonts w:ascii="Times New Roman" w:hAnsi="Times New Roman"/>
                            <w:b/>
                            <w:i/>
                            <w:color w:val="17365A"/>
                            <w:sz w:val="18"/>
                          </w:rPr>
                          <w:t>support.</w:t>
                        </w:r>
                        <w:r>
                          <w:rPr>
                            <w:rFonts w:ascii="Times New Roman" w:hAnsi="Times New Roman"/>
                            <w:b/>
                            <w:i/>
                            <w:color w:val="17365A"/>
                            <w:spacing w:val="-3"/>
                            <w:sz w:val="18"/>
                          </w:rPr>
                          <w:t xml:space="preserve"> </w:t>
                        </w:r>
                        <w:r>
                          <w:rPr>
                            <w:rFonts w:ascii="Times New Roman" w:hAnsi="Times New Roman"/>
                            <w:b/>
                            <w:i/>
                            <w:color w:val="17365A"/>
                            <w:sz w:val="18"/>
                          </w:rPr>
                          <w:t>The</w:t>
                        </w:r>
                        <w:r>
                          <w:rPr>
                            <w:rFonts w:ascii="Times New Roman" w:hAnsi="Times New Roman"/>
                            <w:b/>
                            <w:i/>
                            <w:color w:val="17365A"/>
                            <w:spacing w:val="-4"/>
                            <w:sz w:val="18"/>
                          </w:rPr>
                          <w:t xml:space="preserve"> </w:t>
                        </w:r>
                        <w:r>
                          <w:rPr>
                            <w:rFonts w:ascii="Times New Roman" w:hAnsi="Times New Roman"/>
                            <w:b/>
                            <w:i/>
                            <w:color w:val="17365A"/>
                            <w:sz w:val="18"/>
                          </w:rPr>
                          <w:t>technical</w:t>
                        </w:r>
                        <w:r>
                          <w:rPr>
                            <w:rFonts w:ascii="Times New Roman" w:hAnsi="Times New Roman"/>
                            <w:b/>
                            <w:i/>
                            <w:color w:val="17365A"/>
                            <w:spacing w:val="-3"/>
                            <w:sz w:val="18"/>
                          </w:rPr>
                          <w:t xml:space="preserve"> </w:t>
                        </w:r>
                        <w:r>
                          <w:rPr>
                            <w:rFonts w:ascii="Times New Roman" w:hAnsi="Times New Roman"/>
                            <w:b/>
                            <w:i/>
                            <w:color w:val="17365A"/>
                            <w:sz w:val="18"/>
                          </w:rPr>
                          <w:t>team</w:t>
                        </w:r>
                        <w:r>
                          <w:rPr>
                            <w:rFonts w:ascii="Times New Roman" w:hAnsi="Times New Roman"/>
                            <w:b/>
                            <w:i/>
                            <w:color w:val="17365A"/>
                            <w:spacing w:val="-4"/>
                            <w:sz w:val="18"/>
                          </w:rPr>
                          <w:t xml:space="preserve"> </w:t>
                        </w:r>
                        <w:r>
                          <w:rPr>
                            <w:rFonts w:ascii="Times New Roman" w:hAnsi="Times New Roman"/>
                            <w:b/>
                            <w:i/>
                            <w:color w:val="17365A"/>
                            <w:sz w:val="18"/>
                          </w:rPr>
                          <w:t>still</w:t>
                        </w:r>
                        <w:r>
                          <w:rPr>
                            <w:rFonts w:ascii="Times New Roman" w:hAnsi="Times New Roman"/>
                            <w:b/>
                            <w:i/>
                            <w:color w:val="17365A"/>
                            <w:spacing w:val="-3"/>
                            <w:sz w:val="18"/>
                          </w:rPr>
                          <w:t xml:space="preserve"> </w:t>
                        </w:r>
                        <w:r>
                          <w:rPr>
                            <w:rFonts w:ascii="Times New Roman" w:hAnsi="Times New Roman"/>
                            <w:b/>
                            <w:i/>
                            <w:color w:val="17365A"/>
                            <w:sz w:val="18"/>
                          </w:rPr>
                          <w:t>needs</w:t>
                        </w:r>
                        <w:r>
                          <w:rPr>
                            <w:rFonts w:ascii="Times New Roman" w:hAnsi="Times New Roman"/>
                            <w:b/>
                            <w:i/>
                            <w:color w:val="17365A"/>
                            <w:spacing w:val="-3"/>
                            <w:sz w:val="18"/>
                          </w:rPr>
                          <w:t xml:space="preserve"> </w:t>
                        </w:r>
                        <w:r>
                          <w:rPr>
                            <w:rFonts w:ascii="Times New Roman" w:hAnsi="Times New Roman"/>
                            <w:b/>
                            <w:i/>
                            <w:color w:val="17365A"/>
                            <w:sz w:val="18"/>
                          </w:rPr>
                          <w:t xml:space="preserve">further strengthening to ensure that this important work continues systematically and is fully internalized moving </w:t>
                        </w:r>
                        <w:r>
                          <w:rPr>
                            <w:rFonts w:ascii="Times New Roman" w:hAnsi="Times New Roman"/>
                            <w:b/>
                            <w:i/>
                            <w:color w:val="17365A"/>
                            <w:spacing w:val="-2"/>
                            <w:sz w:val="18"/>
                          </w:rPr>
                          <w:t>forward.</w:t>
                        </w:r>
                      </w:p>
                      <w:p w14:paraId="020C99CB" w14:textId="77777777" w:rsidR="00BC24A8" w:rsidRDefault="00000000">
                        <w:pPr>
                          <w:spacing w:line="205" w:lineRule="exact"/>
                          <w:ind w:left="573"/>
                          <w:jc w:val="both"/>
                          <w:rPr>
                            <w:i/>
                            <w:sz w:val="18"/>
                          </w:rPr>
                        </w:pPr>
                        <w:r>
                          <w:rPr>
                            <w:i/>
                            <w:color w:val="17365A"/>
                            <w:sz w:val="18"/>
                          </w:rPr>
                          <w:t>Adeltje</w:t>
                        </w:r>
                        <w:r>
                          <w:rPr>
                            <w:i/>
                            <w:color w:val="17365A"/>
                            <w:spacing w:val="-7"/>
                            <w:sz w:val="18"/>
                          </w:rPr>
                          <w:t xml:space="preserve"> </w:t>
                        </w:r>
                        <w:r>
                          <w:rPr>
                            <w:i/>
                            <w:color w:val="17365A"/>
                            <w:sz w:val="18"/>
                          </w:rPr>
                          <w:t>Viviane</w:t>
                        </w:r>
                        <w:r>
                          <w:rPr>
                            <w:i/>
                            <w:color w:val="17365A"/>
                            <w:spacing w:val="-7"/>
                            <w:sz w:val="18"/>
                          </w:rPr>
                          <w:t xml:space="preserve"> </w:t>
                        </w:r>
                        <w:r>
                          <w:rPr>
                            <w:i/>
                            <w:color w:val="17365A"/>
                            <w:sz w:val="18"/>
                          </w:rPr>
                          <w:t>Silvana</w:t>
                        </w:r>
                        <w:r>
                          <w:rPr>
                            <w:i/>
                            <w:color w:val="17365A"/>
                            <w:spacing w:val="-6"/>
                            <w:sz w:val="18"/>
                          </w:rPr>
                          <w:t xml:space="preserve"> </w:t>
                        </w:r>
                        <w:r>
                          <w:rPr>
                            <w:i/>
                            <w:color w:val="17365A"/>
                            <w:sz w:val="18"/>
                          </w:rPr>
                          <w:t>Pekade,</w:t>
                        </w:r>
                        <w:r>
                          <w:rPr>
                            <w:i/>
                            <w:color w:val="17365A"/>
                            <w:spacing w:val="-7"/>
                            <w:sz w:val="18"/>
                          </w:rPr>
                          <w:t xml:space="preserve"> </w:t>
                        </w:r>
                        <w:r>
                          <w:rPr>
                            <w:i/>
                            <w:color w:val="17365A"/>
                            <w:sz w:val="18"/>
                          </w:rPr>
                          <w:t>Papua</w:t>
                        </w:r>
                        <w:r>
                          <w:rPr>
                            <w:i/>
                            <w:color w:val="17365A"/>
                            <w:spacing w:val="-6"/>
                            <w:sz w:val="18"/>
                          </w:rPr>
                          <w:t xml:space="preserve"> </w:t>
                        </w:r>
                        <w:r>
                          <w:rPr>
                            <w:i/>
                            <w:color w:val="17365A"/>
                            <w:sz w:val="18"/>
                          </w:rPr>
                          <w:t>Provincial</w:t>
                        </w:r>
                        <w:r>
                          <w:rPr>
                            <w:i/>
                            <w:color w:val="17365A"/>
                            <w:spacing w:val="-5"/>
                            <w:sz w:val="18"/>
                          </w:rPr>
                          <w:t xml:space="preserve"> </w:t>
                        </w:r>
                        <w:r>
                          <w:rPr>
                            <w:i/>
                            <w:color w:val="17365A"/>
                            <w:sz w:val="18"/>
                          </w:rPr>
                          <w:t>PUG</w:t>
                        </w:r>
                        <w:r>
                          <w:rPr>
                            <w:i/>
                            <w:color w:val="17365A"/>
                            <w:spacing w:val="-5"/>
                            <w:sz w:val="18"/>
                          </w:rPr>
                          <w:t xml:space="preserve"> </w:t>
                        </w:r>
                        <w:r>
                          <w:rPr>
                            <w:i/>
                            <w:color w:val="17365A"/>
                            <w:sz w:val="18"/>
                          </w:rPr>
                          <w:t>Technical</w:t>
                        </w:r>
                        <w:r>
                          <w:rPr>
                            <w:i/>
                            <w:color w:val="17365A"/>
                            <w:spacing w:val="-5"/>
                            <w:sz w:val="18"/>
                          </w:rPr>
                          <w:t xml:space="preserve"> </w:t>
                        </w:r>
                        <w:r>
                          <w:rPr>
                            <w:i/>
                            <w:color w:val="17365A"/>
                            <w:spacing w:val="-4"/>
                            <w:sz w:val="18"/>
                          </w:rPr>
                          <w:t>Team</w:t>
                        </w:r>
                      </w:p>
                    </w:txbxContent>
                  </v:textbox>
                </v:shape>
                <w10:anchorlock/>
              </v:group>
            </w:pict>
          </mc:Fallback>
        </mc:AlternateContent>
      </w:r>
    </w:p>
    <w:p w14:paraId="51CC9208" w14:textId="77777777" w:rsidR="00BC24A8" w:rsidRDefault="00BC24A8">
      <w:pPr>
        <w:pStyle w:val="BodyText"/>
        <w:spacing w:before="186"/>
        <w:rPr>
          <w:rFonts w:ascii="Calibri"/>
        </w:rPr>
      </w:pPr>
    </w:p>
    <w:p w14:paraId="300B2775" w14:textId="77777777" w:rsidR="00BC24A8" w:rsidRDefault="00000000">
      <w:pPr>
        <w:pStyle w:val="BodyText"/>
        <w:ind w:left="143"/>
        <w:rPr>
          <w:rFonts w:ascii="Calibri"/>
        </w:rPr>
      </w:pPr>
      <w:bookmarkStart w:id="258" w:name="Challenges_and_lessons_learned"/>
      <w:bookmarkEnd w:id="258"/>
      <w:r>
        <w:rPr>
          <w:rFonts w:ascii="Calibri"/>
          <w:color w:val="272727"/>
        </w:rPr>
        <w:t>Challenges</w:t>
      </w:r>
      <w:r>
        <w:rPr>
          <w:rFonts w:ascii="Calibri"/>
          <w:color w:val="272727"/>
          <w:spacing w:val="-7"/>
        </w:rPr>
        <w:t xml:space="preserve"> </w:t>
      </w:r>
      <w:r>
        <w:rPr>
          <w:rFonts w:ascii="Calibri"/>
          <w:color w:val="272727"/>
        </w:rPr>
        <w:t>and</w:t>
      </w:r>
      <w:r>
        <w:rPr>
          <w:rFonts w:ascii="Calibri"/>
          <w:color w:val="272727"/>
          <w:spacing w:val="-5"/>
        </w:rPr>
        <w:t xml:space="preserve"> </w:t>
      </w:r>
      <w:r>
        <w:rPr>
          <w:rFonts w:ascii="Calibri"/>
          <w:color w:val="272727"/>
        </w:rPr>
        <w:t>lessons</w:t>
      </w:r>
      <w:r>
        <w:rPr>
          <w:rFonts w:ascii="Calibri"/>
          <w:color w:val="272727"/>
          <w:spacing w:val="-4"/>
        </w:rPr>
        <w:t xml:space="preserve"> </w:t>
      </w:r>
      <w:r>
        <w:rPr>
          <w:rFonts w:ascii="Calibri"/>
          <w:color w:val="272727"/>
          <w:spacing w:val="-2"/>
        </w:rPr>
        <w:t>learned</w:t>
      </w:r>
    </w:p>
    <w:p w14:paraId="36F57238" w14:textId="77777777" w:rsidR="00BC24A8" w:rsidRDefault="00000000">
      <w:pPr>
        <w:pStyle w:val="Heading5"/>
        <w:spacing w:before="19" w:line="384" w:lineRule="auto"/>
        <w:ind w:right="3387"/>
      </w:pPr>
      <w:r>
        <w:rPr>
          <w:color w:val="17365A"/>
        </w:rPr>
        <w:t>Program</w:t>
      </w:r>
      <w:r>
        <w:rPr>
          <w:color w:val="17365A"/>
          <w:spacing w:val="-10"/>
        </w:rPr>
        <w:t xml:space="preserve"> </w:t>
      </w:r>
      <w:r>
        <w:rPr>
          <w:color w:val="17365A"/>
        </w:rPr>
        <w:t>implementation</w:t>
      </w:r>
      <w:r>
        <w:rPr>
          <w:color w:val="17365A"/>
          <w:spacing w:val="-11"/>
        </w:rPr>
        <w:t xml:space="preserve"> </w:t>
      </w:r>
      <w:r>
        <w:rPr>
          <w:color w:val="17365A"/>
        </w:rPr>
        <w:t>challenges,</w:t>
      </w:r>
      <w:r>
        <w:rPr>
          <w:color w:val="17365A"/>
          <w:spacing w:val="-12"/>
        </w:rPr>
        <w:t xml:space="preserve"> </w:t>
      </w:r>
      <w:r>
        <w:rPr>
          <w:color w:val="17365A"/>
        </w:rPr>
        <w:t>impacts,</w:t>
      </w:r>
      <w:r>
        <w:rPr>
          <w:color w:val="17365A"/>
          <w:spacing w:val="-10"/>
        </w:rPr>
        <w:t xml:space="preserve"> </w:t>
      </w:r>
      <w:r>
        <w:rPr>
          <w:color w:val="17365A"/>
        </w:rPr>
        <w:t>and</w:t>
      </w:r>
      <w:r>
        <w:rPr>
          <w:color w:val="17365A"/>
          <w:spacing w:val="-11"/>
        </w:rPr>
        <w:t xml:space="preserve"> </w:t>
      </w:r>
      <w:r>
        <w:rPr>
          <w:color w:val="17365A"/>
        </w:rPr>
        <w:t xml:space="preserve">solutions </w:t>
      </w:r>
      <w:r>
        <w:rPr>
          <w:spacing w:val="-2"/>
        </w:rPr>
        <w:t>Challenges</w:t>
      </w:r>
    </w:p>
    <w:p w14:paraId="012BA976" w14:textId="77777777" w:rsidR="00BC24A8" w:rsidRDefault="00000000">
      <w:pPr>
        <w:pStyle w:val="ListParagraph"/>
        <w:numPr>
          <w:ilvl w:val="3"/>
          <w:numId w:val="11"/>
        </w:numPr>
        <w:tabs>
          <w:tab w:val="left" w:pos="863"/>
        </w:tabs>
        <w:ind w:right="565" w:hanging="361"/>
        <w:jc w:val="left"/>
      </w:pPr>
      <w:r>
        <w:t>Late</w:t>
      </w:r>
      <w:r>
        <w:rPr>
          <w:spacing w:val="40"/>
        </w:rPr>
        <w:t xml:space="preserve"> </w:t>
      </w:r>
      <w:r>
        <w:t>dissemination</w:t>
      </w:r>
      <w:r>
        <w:rPr>
          <w:spacing w:val="40"/>
        </w:rPr>
        <w:t xml:space="preserve"> </w:t>
      </w:r>
      <w:r>
        <w:t>of</w:t>
      </w:r>
      <w:r>
        <w:rPr>
          <w:spacing w:val="40"/>
        </w:rPr>
        <w:t xml:space="preserve"> </w:t>
      </w:r>
      <w:r>
        <w:t>the</w:t>
      </w:r>
      <w:r>
        <w:rPr>
          <w:spacing w:val="40"/>
        </w:rPr>
        <w:t xml:space="preserve"> </w:t>
      </w:r>
      <w:r>
        <w:t>Musrenbangsus</w:t>
      </w:r>
      <w:r>
        <w:rPr>
          <w:spacing w:val="40"/>
        </w:rPr>
        <w:t xml:space="preserve"> </w:t>
      </w:r>
      <w:r>
        <w:t>and</w:t>
      </w:r>
      <w:r>
        <w:rPr>
          <w:spacing w:val="40"/>
        </w:rPr>
        <w:t xml:space="preserve"> </w:t>
      </w:r>
      <w:r>
        <w:t>SIPPP</w:t>
      </w:r>
      <w:r>
        <w:rPr>
          <w:spacing w:val="40"/>
        </w:rPr>
        <w:t xml:space="preserve"> </w:t>
      </w:r>
      <w:r>
        <w:t>guidelines,</w:t>
      </w:r>
      <w:r>
        <w:rPr>
          <w:spacing w:val="40"/>
        </w:rPr>
        <w:t xml:space="preserve"> </w:t>
      </w:r>
      <w:r>
        <w:t>resulting</w:t>
      </w:r>
      <w:r>
        <w:rPr>
          <w:spacing w:val="40"/>
        </w:rPr>
        <w:t xml:space="preserve"> </w:t>
      </w:r>
      <w:r>
        <w:t>in</w:t>
      </w:r>
      <w:r>
        <w:rPr>
          <w:spacing w:val="40"/>
        </w:rPr>
        <w:t xml:space="preserve"> </w:t>
      </w:r>
      <w:r>
        <w:t>inadequate</w:t>
      </w:r>
      <w:r>
        <w:rPr>
          <w:spacing w:val="40"/>
        </w:rPr>
        <w:t xml:space="preserve"> </w:t>
      </w:r>
      <w:r>
        <w:t>preparation and understanding of the planning process by local governments.</w:t>
      </w:r>
    </w:p>
    <w:p w14:paraId="0310C28D" w14:textId="77777777" w:rsidR="00BC24A8" w:rsidRDefault="00000000">
      <w:pPr>
        <w:pStyle w:val="ListParagraph"/>
        <w:numPr>
          <w:ilvl w:val="3"/>
          <w:numId w:val="11"/>
        </w:numPr>
        <w:tabs>
          <w:tab w:val="left" w:pos="863"/>
        </w:tabs>
        <w:ind w:right="564" w:hanging="361"/>
        <w:jc w:val="left"/>
      </w:pPr>
      <w:r>
        <w:t>Limited budgets hindered support for the One Data Forum, so data was not fully available for planning documents (RPJMD and RKPD).</w:t>
      </w:r>
    </w:p>
    <w:p w14:paraId="350454EB" w14:textId="77777777" w:rsidR="00BC24A8" w:rsidRDefault="00000000">
      <w:pPr>
        <w:pStyle w:val="ListParagraph"/>
        <w:numPr>
          <w:ilvl w:val="3"/>
          <w:numId w:val="11"/>
        </w:numPr>
        <w:tabs>
          <w:tab w:val="left" w:pos="864"/>
        </w:tabs>
        <w:spacing w:before="2" w:line="237" w:lineRule="auto"/>
        <w:ind w:left="864" w:right="561" w:hanging="361"/>
        <w:jc w:val="left"/>
      </w:pPr>
      <w:r>
        <w:t>PUG-driving institutions have improved but are not yet fully effective. Understanding of PPRG across provincial agencies remains uneven, and GAB and GBS are not yet available.</w:t>
      </w:r>
    </w:p>
    <w:p w14:paraId="023A9B78" w14:textId="77777777" w:rsidR="00BC24A8" w:rsidRDefault="00000000">
      <w:pPr>
        <w:pStyle w:val="ListParagraph"/>
        <w:numPr>
          <w:ilvl w:val="3"/>
          <w:numId w:val="11"/>
        </w:numPr>
        <w:tabs>
          <w:tab w:val="left" w:pos="864"/>
        </w:tabs>
        <w:spacing w:before="1"/>
        <w:ind w:left="864" w:right="563" w:hanging="361"/>
        <w:jc w:val="left"/>
      </w:pPr>
      <w:r>
        <w:t xml:space="preserve">Activities under the SKALA program were suspended from January to March 2025, resulting in the failure to achieve the targets of </w:t>
      </w:r>
      <w:r>
        <w:rPr>
          <w:i/>
        </w:rPr>
        <w:t xml:space="preserve">the Annual Work Plan </w:t>
      </w:r>
      <w:r>
        <w:t>for FY24/25.</w:t>
      </w:r>
    </w:p>
    <w:p w14:paraId="1D6AF87D" w14:textId="77777777" w:rsidR="00BC24A8" w:rsidRDefault="00BC24A8">
      <w:pPr>
        <w:pStyle w:val="BodyText"/>
        <w:spacing w:before="104"/>
      </w:pPr>
    </w:p>
    <w:p w14:paraId="2BCBA3D9" w14:textId="77777777" w:rsidR="00BC24A8" w:rsidRDefault="00000000">
      <w:pPr>
        <w:pStyle w:val="Heading5"/>
      </w:pPr>
      <w:r>
        <w:rPr>
          <w:spacing w:val="-2"/>
        </w:rPr>
        <w:t>Solutions</w:t>
      </w:r>
    </w:p>
    <w:p w14:paraId="3E599928" w14:textId="77777777" w:rsidR="00BC24A8" w:rsidRDefault="00000000">
      <w:pPr>
        <w:pStyle w:val="ListParagraph"/>
        <w:numPr>
          <w:ilvl w:val="3"/>
          <w:numId w:val="11"/>
        </w:numPr>
        <w:tabs>
          <w:tab w:val="left" w:pos="863"/>
        </w:tabs>
        <w:spacing w:before="159"/>
        <w:jc w:val="left"/>
      </w:pPr>
      <w:r>
        <w:t>Continue</w:t>
      </w:r>
      <w:r>
        <w:rPr>
          <w:spacing w:val="-6"/>
        </w:rPr>
        <w:t xml:space="preserve"> </w:t>
      </w:r>
      <w:r>
        <w:t>the</w:t>
      </w:r>
      <w:r>
        <w:rPr>
          <w:spacing w:val="-3"/>
        </w:rPr>
        <w:t xml:space="preserve"> </w:t>
      </w:r>
      <w:r>
        <w:t>unachieved</w:t>
      </w:r>
      <w:r>
        <w:rPr>
          <w:spacing w:val="-6"/>
        </w:rPr>
        <w:t xml:space="preserve"> </w:t>
      </w:r>
      <w:r>
        <w:t>outputs</w:t>
      </w:r>
      <w:r>
        <w:rPr>
          <w:spacing w:val="-5"/>
        </w:rPr>
        <w:t xml:space="preserve"> </w:t>
      </w:r>
      <w:r>
        <w:t>into</w:t>
      </w:r>
      <w:r>
        <w:rPr>
          <w:spacing w:val="-5"/>
        </w:rPr>
        <w:t xml:space="preserve"> </w:t>
      </w:r>
      <w:r>
        <w:rPr>
          <w:i/>
        </w:rPr>
        <w:t>the</w:t>
      </w:r>
      <w:r>
        <w:rPr>
          <w:i/>
          <w:spacing w:val="-4"/>
        </w:rPr>
        <w:t xml:space="preserve"> </w:t>
      </w:r>
      <w:r>
        <w:rPr>
          <w:i/>
        </w:rPr>
        <w:t>Annual</w:t>
      </w:r>
      <w:r>
        <w:rPr>
          <w:i/>
          <w:spacing w:val="-7"/>
        </w:rPr>
        <w:t xml:space="preserve"> </w:t>
      </w:r>
      <w:r>
        <w:rPr>
          <w:i/>
        </w:rPr>
        <w:t>Work</w:t>
      </w:r>
      <w:r>
        <w:rPr>
          <w:i/>
          <w:spacing w:val="-3"/>
        </w:rPr>
        <w:t xml:space="preserve"> </w:t>
      </w:r>
      <w:r>
        <w:rPr>
          <w:i/>
        </w:rPr>
        <w:t>Plan</w:t>
      </w:r>
      <w:r>
        <w:rPr>
          <w:i/>
          <w:spacing w:val="-3"/>
        </w:rPr>
        <w:t xml:space="preserve"> </w:t>
      </w:r>
      <w:r>
        <w:rPr>
          <w:spacing w:val="-2"/>
        </w:rPr>
        <w:t>FY25/26.</w:t>
      </w:r>
    </w:p>
    <w:p w14:paraId="0E556325" w14:textId="77777777" w:rsidR="00BC24A8" w:rsidRDefault="00000000">
      <w:pPr>
        <w:pStyle w:val="ListParagraph"/>
        <w:numPr>
          <w:ilvl w:val="3"/>
          <w:numId w:val="11"/>
        </w:numPr>
        <w:tabs>
          <w:tab w:val="left" w:pos="863"/>
        </w:tabs>
        <w:spacing w:before="1"/>
        <w:jc w:val="left"/>
      </w:pPr>
      <w:r>
        <w:t>Advocating</w:t>
      </w:r>
      <w:r>
        <w:rPr>
          <w:spacing w:val="-3"/>
        </w:rPr>
        <w:t xml:space="preserve"> </w:t>
      </w:r>
      <w:r>
        <w:t>for</w:t>
      </w:r>
      <w:r>
        <w:rPr>
          <w:spacing w:val="-2"/>
        </w:rPr>
        <w:t xml:space="preserve"> </w:t>
      </w:r>
      <w:r>
        <w:t>a</w:t>
      </w:r>
      <w:r>
        <w:rPr>
          <w:spacing w:val="-6"/>
        </w:rPr>
        <w:t xml:space="preserve"> </w:t>
      </w:r>
      <w:r>
        <w:t>budget</w:t>
      </w:r>
      <w:r>
        <w:rPr>
          <w:spacing w:val="-6"/>
        </w:rPr>
        <w:t xml:space="preserve"> </w:t>
      </w:r>
      <w:r>
        <w:t>for</w:t>
      </w:r>
      <w:r>
        <w:rPr>
          <w:spacing w:val="-4"/>
        </w:rPr>
        <w:t xml:space="preserve"> </w:t>
      </w:r>
      <w:r>
        <w:t>the</w:t>
      </w:r>
      <w:r>
        <w:rPr>
          <w:spacing w:val="-4"/>
        </w:rPr>
        <w:t xml:space="preserve"> </w:t>
      </w:r>
      <w:r>
        <w:t>one</w:t>
      </w:r>
      <w:r>
        <w:rPr>
          <w:spacing w:val="-2"/>
        </w:rPr>
        <w:t xml:space="preserve"> </w:t>
      </w:r>
      <w:r>
        <w:t>data</w:t>
      </w:r>
      <w:r>
        <w:rPr>
          <w:spacing w:val="-6"/>
        </w:rPr>
        <w:t xml:space="preserve"> </w:t>
      </w:r>
      <w:r>
        <w:t>forum</w:t>
      </w:r>
      <w:r>
        <w:rPr>
          <w:spacing w:val="-4"/>
        </w:rPr>
        <w:t xml:space="preserve"> </w:t>
      </w:r>
      <w:r>
        <w:t>and</w:t>
      </w:r>
      <w:r>
        <w:rPr>
          <w:spacing w:val="-5"/>
        </w:rPr>
        <w:t xml:space="preserve"> </w:t>
      </w:r>
      <w:r>
        <w:t>seeking</w:t>
      </w:r>
      <w:r>
        <w:rPr>
          <w:spacing w:val="-6"/>
        </w:rPr>
        <w:t xml:space="preserve"> </w:t>
      </w:r>
      <w:r>
        <w:t>alternative</w:t>
      </w:r>
      <w:r>
        <w:rPr>
          <w:spacing w:val="-2"/>
        </w:rPr>
        <w:t xml:space="preserve"> </w:t>
      </w:r>
      <w:r>
        <w:t>funding</w:t>
      </w:r>
      <w:r>
        <w:rPr>
          <w:spacing w:val="-5"/>
        </w:rPr>
        <w:t xml:space="preserve"> </w:t>
      </w:r>
      <w:r>
        <w:rPr>
          <w:spacing w:val="-2"/>
        </w:rPr>
        <w:t>sources.</w:t>
      </w:r>
    </w:p>
    <w:p w14:paraId="7CC948DF" w14:textId="77777777" w:rsidR="00BC24A8" w:rsidRDefault="00000000">
      <w:pPr>
        <w:pStyle w:val="ListParagraph"/>
        <w:numPr>
          <w:ilvl w:val="3"/>
          <w:numId w:val="11"/>
        </w:numPr>
        <w:tabs>
          <w:tab w:val="left" w:pos="863"/>
        </w:tabs>
        <w:ind w:right="563" w:hanging="361"/>
        <w:jc w:val="left"/>
      </w:pPr>
      <w:r>
        <w:t>Encourage provincial agencies to actively engage in GEDSI activities, particularly in preparing GAB and GBS.</w:t>
      </w:r>
    </w:p>
    <w:p w14:paraId="50FD8953" w14:textId="77777777" w:rsidR="00BC24A8" w:rsidRDefault="00BC24A8">
      <w:pPr>
        <w:pStyle w:val="BodyText"/>
      </w:pPr>
    </w:p>
    <w:p w14:paraId="298A07CD" w14:textId="77777777" w:rsidR="00BC24A8" w:rsidRDefault="00BC24A8">
      <w:pPr>
        <w:pStyle w:val="BodyText"/>
      </w:pPr>
    </w:p>
    <w:p w14:paraId="2F5A045D" w14:textId="77777777" w:rsidR="00BC24A8" w:rsidRDefault="00BC24A8">
      <w:pPr>
        <w:pStyle w:val="BodyText"/>
      </w:pPr>
    </w:p>
    <w:p w14:paraId="2B6622CD" w14:textId="77777777" w:rsidR="00BC24A8" w:rsidRDefault="00BC24A8">
      <w:pPr>
        <w:pStyle w:val="BodyText"/>
      </w:pPr>
    </w:p>
    <w:p w14:paraId="0851E319" w14:textId="77777777" w:rsidR="00BC24A8" w:rsidRDefault="00BC24A8">
      <w:pPr>
        <w:pStyle w:val="BodyText"/>
        <w:spacing w:before="2"/>
      </w:pPr>
    </w:p>
    <w:p w14:paraId="4881FAA4" w14:textId="77777777" w:rsidR="00BC24A8" w:rsidRDefault="00000000">
      <w:pPr>
        <w:pStyle w:val="Heading5"/>
      </w:pPr>
      <w:r>
        <w:rPr>
          <w:color w:val="17365A"/>
        </w:rPr>
        <w:t>Lessons</w:t>
      </w:r>
      <w:r>
        <w:rPr>
          <w:color w:val="17365A"/>
          <w:spacing w:val="-3"/>
        </w:rPr>
        <w:t xml:space="preserve"> </w:t>
      </w:r>
      <w:r>
        <w:rPr>
          <w:color w:val="17365A"/>
          <w:spacing w:val="-2"/>
        </w:rPr>
        <w:t>Learned</w:t>
      </w:r>
    </w:p>
    <w:p w14:paraId="3D794723" w14:textId="77777777" w:rsidR="00BC24A8" w:rsidRDefault="00BC24A8">
      <w:pPr>
        <w:pStyle w:val="BodyText"/>
        <w:spacing w:before="10"/>
        <w:rPr>
          <w:rFonts w:ascii="Calibri"/>
          <w:b/>
          <w:sz w:val="12"/>
        </w:rPr>
      </w:pPr>
    </w:p>
    <w:tbl>
      <w:tblPr>
        <w:tblW w:w="0" w:type="auto"/>
        <w:tblInd w:w="141" w:type="dxa"/>
        <w:tblLayout w:type="fixed"/>
        <w:tblCellMar>
          <w:left w:w="0" w:type="dxa"/>
          <w:right w:w="0" w:type="dxa"/>
        </w:tblCellMar>
        <w:tblLook w:val="01E0" w:firstRow="1" w:lastRow="1" w:firstColumn="1" w:lastColumn="1" w:noHBand="0" w:noVBand="0"/>
      </w:tblPr>
      <w:tblGrid>
        <w:gridCol w:w="2516"/>
        <w:gridCol w:w="6584"/>
      </w:tblGrid>
      <w:tr w:rsidR="00BC24A8" w14:paraId="5FFC5593" w14:textId="77777777">
        <w:trPr>
          <w:trHeight w:val="420"/>
        </w:trPr>
        <w:tc>
          <w:tcPr>
            <w:tcW w:w="2516" w:type="dxa"/>
            <w:shd w:val="clear" w:color="auto" w:fill="17365A"/>
          </w:tcPr>
          <w:p w14:paraId="70AAD038" w14:textId="77777777" w:rsidR="00BC24A8" w:rsidRDefault="00000000">
            <w:pPr>
              <w:pStyle w:val="TableParagraph"/>
              <w:spacing w:before="88"/>
              <w:ind w:left="116"/>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theme</w:t>
            </w:r>
          </w:p>
        </w:tc>
        <w:tc>
          <w:tcPr>
            <w:tcW w:w="6584" w:type="dxa"/>
            <w:shd w:val="clear" w:color="auto" w:fill="17365A"/>
          </w:tcPr>
          <w:p w14:paraId="6402F19F" w14:textId="77777777" w:rsidR="00BC24A8" w:rsidRDefault="00000000">
            <w:pPr>
              <w:pStyle w:val="TableParagraph"/>
              <w:spacing w:before="88"/>
              <w:ind w:left="121"/>
              <w:rPr>
                <w:rFonts w:ascii="Calibri"/>
                <w:b/>
                <w:sz w:val="20"/>
              </w:rPr>
            </w:pPr>
            <w:r>
              <w:rPr>
                <w:rFonts w:ascii="Calibri"/>
                <w:b/>
                <w:color w:val="FFFFFF"/>
                <w:sz w:val="20"/>
              </w:rPr>
              <w:t>Learning</w:t>
            </w:r>
            <w:r>
              <w:rPr>
                <w:rFonts w:ascii="Calibri"/>
                <w:b/>
                <w:color w:val="FFFFFF"/>
                <w:spacing w:val="-8"/>
                <w:sz w:val="20"/>
              </w:rPr>
              <w:t xml:space="preserve"> </w:t>
            </w:r>
            <w:r>
              <w:rPr>
                <w:rFonts w:ascii="Calibri"/>
                <w:b/>
                <w:color w:val="FFFFFF"/>
                <w:spacing w:val="-2"/>
                <w:sz w:val="20"/>
              </w:rPr>
              <w:t>description</w:t>
            </w:r>
          </w:p>
        </w:tc>
      </w:tr>
      <w:tr w:rsidR="00BC24A8" w14:paraId="6C2179AD" w14:textId="77777777">
        <w:trPr>
          <w:trHeight w:val="1583"/>
        </w:trPr>
        <w:tc>
          <w:tcPr>
            <w:tcW w:w="2516" w:type="dxa"/>
            <w:tcBorders>
              <w:bottom w:val="single" w:sz="4" w:space="0" w:color="BEBEBE"/>
            </w:tcBorders>
          </w:tcPr>
          <w:p w14:paraId="6E6BC90F" w14:textId="77777777" w:rsidR="00BC24A8" w:rsidRDefault="00000000">
            <w:pPr>
              <w:pStyle w:val="TableParagraph"/>
              <w:spacing w:before="100"/>
              <w:ind w:left="116"/>
              <w:rPr>
                <w:sz w:val="18"/>
              </w:rPr>
            </w:pPr>
            <w:r>
              <w:rPr>
                <w:sz w:val="18"/>
              </w:rPr>
              <w:t>MSS</w:t>
            </w:r>
            <w:r>
              <w:rPr>
                <w:spacing w:val="-11"/>
                <w:sz w:val="18"/>
              </w:rPr>
              <w:t xml:space="preserve"> </w:t>
            </w:r>
            <w:r>
              <w:rPr>
                <w:sz w:val="18"/>
              </w:rPr>
              <w:t>implementation</w:t>
            </w:r>
            <w:r>
              <w:rPr>
                <w:spacing w:val="-10"/>
                <w:sz w:val="18"/>
              </w:rPr>
              <w:t xml:space="preserve"> </w:t>
            </w:r>
            <w:r>
              <w:rPr>
                <w:sz w:val="18"/>
              </w:rPr>
              <w:t>(planning, achievements, and reporting)</w:t>
            </w:r>
          </w:p>
        </w:tc>
        <w:tc>
          <w:tcPr>
            <w:tcW w:w="6584" w:type="dxa"/>
            <w:tcBorders>
              <w:bottom w:val="single" w:sz="4" w:space="0" w:color="BEBEBE"/>
            </w:tcBorders>
          </w:tcPr>
          <w:p w14:paraId="380D2A6D" w14:textId="77777777" w:rsidR="00BC24A8" w:rsidRDefault="00000000">
            <w:pPr>
              <w:pStyle w:val="TableParagraph"/>
              <w:spacing w:before="100" w:line="252" w:lineRule="auto"/>
              <w:ind w:left="120" w:right="126"/>
              <w:rPr>
                <w:sz w:val="18"/>
              </w:rPr>
            </w:pPr>
            <w:r>
              <w:rPr>
                <w:sz w:val="18"/>
              </w:rPr>
              <w:t>The involvement of the Inspectorate in MSS implementation has proven to enhance alignment between planning, execution, and reporting through e-MSS, LPPD</w:t>
            </w:r>
            <w:hyperlink w:anchor="_bookmark175" w:history="1">
              <w:r w:rsidR="00BC24A8">
                <w:rPr>
                  <w:sz w:val="18"/>
                  <w:vertAlign w:val="superscript"/>
                </w:rPr>
                <w:t>92</w:t>
              </w:r>
            </w:hyperlink>
            <w:r>
              <w:rPr>
                <w:sz w:val="18"/>
              </w:rPr>
              <w:t>, and LKPD</w:t>
            </w:r>
            <w:hyperlink w:anchor="_bookmark176" w:history="1">
              <w:r w:rsidR="00BC24A8">
                <w:rPr>
                  <w:sz w:val="18"/>
                  <w:vertAlign w:val="superscript"/>
                </w:rPr>
                <w:t>93</w:t>
              </w:r>
            </w:hyperlink>
            <w:r>
              <w:rPr>
                <w:sz w:val="18"/>
              </w:rPr>
              <w:t>.</w:t>
            </w:r>
            <w:r>
              <w:rPr>
                <w:spacing w:val="-3"/>
                <w:sz w:val="18"/>
              </w:rPr>
              <w:t xml:space="preserve"> </w:t>
            </w:r>
            <w:r>
              <w:rPr>
                <w:sz w:val="18"/>
              </w:rPr>
              <w:t>This</w:t>
            </w:r>
            <w:r>
              <w:rPr>
                <w:spacing w:val="-2"/>
                <w:sz w:val="18"/>
              </w:rPr>
              <w:t xml:space="preserve"> </w:t>
            </w:r>
            <w:r>
              <w:rPr>
                <w:sz w:val="18"/>
              </w:rPr>
              <w:t>demonstrates</w:t>
            </w:r>
            <w:r>
              <w:rPr>
                <w:spacing w:val="-2"/>
                <w:sz w:val="18"/>
              </w:rPr>
              <w:t xml:space="preserve"> </w:t>
            </w:r>
            <w:r>
              <w:rPr>
                <w:sz w:val="18"/>
              </w:rPr>
              <w:t>that</w:t>
            </w:r>
            <w:r>
              <w:rPr>
                <w:spacing w:val="-1"/>
                <w:sz w:val="18"/>
              </w:rPr>
              <w:t xml:space="preserve"> </w:t>
            </w:r>
            <w:r>
              <w:rPr>
                <w:sz w:val="18"/>
              </w:rPr>
              <w:t>MSS</w:t>
            </w:r>
            <w:r>
              <w:rPr>
                <w:spacing w:val="-2"/>
                <w:sz w:val="18"/>
              </w:rPr>
              <w:t xml:space="preserve"> </w:t>
            </w:r>
            <w:r>
              <w:rPr>
                <w:sz w:val="18"/>
              </w:rPr>
              <w:t>implementation</w:t>
            </w:r>
            <w:r>
              <w:rPr>
                <w:spacing w:val="-2"/>
                <w:sz w:val="18"/>
              </w:rPr>
              <w:t xml:space="preserve"> </w:t>
            </w:r>
            <w:r>
              <w:rPr>
                <w:sz w:val="18"/>
              </w:rPr>
              <w:t>requires</w:t>
            </w:r>
            <w:r>
              <w:rPr>
                <w:spacing w:val="-2"/>
                <w:sz w:val="18"/>
              </w:rPr>
              <w:t xml:space="preserve"> </w:t>
            </w:r>
            <w:r>
              <w:rPr>
                <w:sz w:val="18"/>
              </w:rPr>
              <w:t>support</w:t>
            </w:r>
            <w:r>
              <w:rPr>
                <w:spacing w:val="-1"/>
                <w:sz w:val="18"/>
              </w:rPr>
              <w:t xml:space="preserve"> </w:t>
            </w:r>
            <w:r>
              <w:rPr>
                <w:sz w:val="18"/>
              </w:rPr>
              <w:t>from</w:t>
            </w:r>
            <w:r>
              <w:rPr>
                <w:spacing w:val="-3"/>
                <w:sz w:val="18"/>
              </w:rPr>
              <w:t xml:space="preserve"> </w:t>
            </w:r>
            <w:r>
              <w:rPr>
                <w:sz w:val="18"/>
              </w:rPr>
              <w:t>responsible parties throughout the process—from planning, budgeting, and monitoring &amp; evaluation to reporting—including Bappeda, the Inspectorate, BKAD, the Government Bureau, and relevant provincial agencies.</w:t>
            </w:r>
          </w:p>
        </w:tc>
      </w:tr>
    </w:tbl>
    <w:p w14:paraId="5B45D922" w14:textId="77777777" w:rsidR="00BC24A8" w:rsidRDefault="00BC24A8">
      <w:pPr>
        <w:pStyle w:val="BodyText"/>
        <w:rPr>
          <w:rFonts w:ascii="Calibri"/>
          <w:b/>
          <w:sz w:val="20"/>
        </w:rPr>
      </w:pPr>
    </w:p>
    <w:p w14:paraId="21A7CDC9" w14:textId="77777777" w:rsidR="00BC24A8" w:rsidRDefault="00000000">
      <w:pPr>
        <w:pStyle w:val="BodyText"/>
        <w:spacing w:before="40"/>
        <w:rPr>
          <w:rFonts w:ascii="Calibri"/>
          <w:b/>
          <w:sz w:val="20"/>
        </w:rPr>
      </w:pPr>
      <w:r>
        <w:rPr>
          <w:rFonts w:ascii="Calibri"/>
          <w:b/>
          <w:noProof/>
          <w:sz w:val="20"/>
        </w:rPr>
        <mc:AlternateContent>
          <mc:Choice Requires="wps">
            <w:drawing>
              <wp:anchor distT="0" distB="0" distL="0" distR="0" simplePos="0" relativeHeight="487640576" behindDoc="1" locked="0" layoutInCell="1" allowOverlap="1" wp14:anchorId="19C10C09" wp14:editId="1783346B">
                <wp:simplePos x="0" y="0"/>
                <wp:positionH relativeFrom="page">
                  <wp:posOffset>900683</wp:posOffset>
                </wp:positionH>
                <wp:positionV relativeFrom="paragraph">
                  <wp:posOffset>195871</wp:posOffset>
                </wp:positionV>
                <wp:extent cx="1828800" cy="9525"/>
                <wp:effectExtent l="0" t="0" r="0" b="0"/>
                <wp:wrapTopAndBottom/>
                <wp:docPr id="327" name="Graphic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15B24A" id="Graphic 327" o:spid="_x0000_s1026" alt="&quot;&quot;" style="position:absolute;margin-left:70.9pt;margin-top:15.4pt;width:2in;height:.75pt;z-index:-156759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" path="m1828800,l,,,9144r1828800,l1828800,xe" fillcolor="black" stroked="f">
                <v:path arrowok="t"/>
                <w10:wrap type="topAndBottom" anchorx="page"/>
              </v:shape>
            </w:pict>
          </mc:Fallback>
        </mc:AlternateContent>
      </w:r>
    </w:p>
    <w:p w14:paraId="3D8E6918" w14:textId="77777777" w:rsidR="00BC24A8" w:rsidRDefault="00BC24A8">
      <w:pPr>
        <w:pStyle w:val="BodyText"/>
        <w:spacing w:before="32"/>
        <w:rPr>
          <w:rFonts w:ascii="Calibri"/>
          <w:b/>
        </w:rPr>
      </w:pPr>
    </w:p>
    <w:p w14:paraId="1B6285BA" w14:textId="77777777" w:rsidR="00BC24A8" w:rsidRDefault="00000000">
      <w:pPr>
        <w:spacing w:line="195" w:lineRule="exact"/>
        <w:ind w:left="143"/>
        <w:rPr>
          <w:sz w:val="16"/>
        </w:rPr>
      </w:pPr>
      <w:bookmarkStart w:id="259" w:name="_bookmark175"/>
      <w:bookmarkEnd w:id="259"/>
      <w:r>
        <w:rPr>
          <w:color w:val="767070"/>
          <w:sz w:val="16"/>
          <w:vertAlign w:val="superscript"/>
        </w:rPr>
        <w:t>92</w:t>
      </w:r>
      <w:r>
        <w:rPr>
          <w:color w:val="767070"/>
          <w:spacing w:val="-7"/>
          <w:sz w:val="16"/>
        </w:rPr>
        <w:t xml:space="preserve"> </w:t>
      </w:r>
      <w:r>
        <w:rPr>
          <w:color w:val="767070"/>
          <w:sz w:val="16"/>
        </w:rPr>
        <w:t>LPPD</w:t>
      </w:r>
      <w:r>
        <w:rPr>
          <w:color w:val="767070"/>
          <w:spacing w:val="-6"/>
          <w:sz w:val="16"/>
        </w:rPr>
        <w:t xml:space="preserve"> </w:t>
      </w:r>
      <w:r>
        <w:rPr>
          <w:color w:val="767070"/>
          <w:sz w:val="16"/>
        </w:rPr>
        <w:t>(Regional</w:t>
      </w:r>
      <w:r>
        <w:rPr>
          <w:color w:val="767070"/>
          <w:spacing w:val="-6"/>
          <w:sz w:val="16"/>
        </w:rPr>
        <w:t xml:space="preserve"> </w:t>
      </w:r>
      <w:r>
        <w:rPr>
          <w:color w:val="767070"/>
          <w:sz w:val="16"/>
        </w:rPr>
        <w:t>Government</w:t>
      </w:r>
      <w:r>
        <w:rPr>
          <w:color w:val="767070"/>
          <w:spacing w:val="-7"/>
          <w:sz w:val="16"/>
        </w:rPr>
        <w:t xml:space="preserve"> </w:t>
      </w:r>
      <w:r>
        <w:rPr>
          <w:color w:val="767070"/>
          <w:sz w:val="16"/>
        </w:rPr>
        <w:t>Implementation</w:t>
      </w:r>
      <w:r>
        <w:rPr>
          <w:color w:val="767070"/>
          <w:spacing w:val="-5"/>
          <w:sz w:val="16"/>
        </w:rPr>
        <w:t xml:space="preserve"> </w:t>
      </w:r>
      <w:r>
        <w:rPr>
          <w:color w:val="767070"/>
          <w:sz w:val="16"/>
        </w:rPr>
        <w:t>Report):</w:t>
      </w:r>
      <w:r>
        <w:rPr>
          <w:color w:val="767070"/>
          <w:spacing w:val="-8"/>
          <w:sz w:val="16"/>
        </w:rPr>
        <w:t xml:space="preserve"> </w:t>
      </w:r>
      <w:r>
        <w:rPr>
          <w:color w:val="767070"/>
          <w:sz w:val="16"/>
        </w:rPr>
        <w:t>A</w:t>
      </w:r>
      <w:r>
        <w:rPr>
          <w:color w:val="767070"/>
          <w:spacing w:val="-6"/>
          <w:sz w:val="16"/>
        </w:rPr>
        <w:t xml:space="preserve"> </w:t>
      </w:r>
      <w:r>
        <w:rPr>
          <w:color w:val="767070"/>
          <w:sz w:val="16"/>
        </w:rPr>
        <w:t>report</w:t>
      </w:r>
      <w:r>
        <w:rPr>
          <w:color w:val="767070"/>
          <w:spacing w:val="-8"/>
          <w:sz w:val="16"/>
        </w:rPr>
        <w:t xml:space="preserve"> </w:t>
      </w:r>
      <w:r>
        <w:rPr>
          <w:color w:val="767070"/>
          <w:sz w:val="16"/>
        </w:rPr>
        <w:t>prepared</w:t>
      </w:r>
      <w:r>
        <w:rPr>
          <w:color w:val="767070"/>
          <w:spacing w:val="-6"/>
          <w:sz w:val="16"/>
        </w:rPr>
        <w:t xml:space="preserve"> </w:t>
      </w:r>
      <w:r>
        <w:rPr>
          <w:color w:val="767070"/>
          <w:sz w:val="16"/>
        </w:rPr>
        <w:t>by</w:t>
      </w:r>
      <w:r>
        <w:rPr>
          <w:color w:val="767070"/>
          <w:spacing w:val="-8"/>
          <w:sz w:val="16"/>
        </w:rPr>
        <w:t xml:space="preserve"> </w:t>
      </w:r>
      <w:r>
        <w:rPr>
          <w:color w:val="767070"/>
          <w:sz w:val="16"/>
        </w:rPr>
        <w:t>the</w:t>
      </w:r>
      <w:r>
        <w:rPr>
          <w:color w:val="767070"/>
          <w:spacing w:val="-6"/>
          <w:sz w:val="16"/>
        </w:rPr>
        <w:t xml:space="preserve"> </w:t>
      </w:r>
      <w:r>
        <w:rPr>
          <w:color w:val="767070"/>
          <w:sz w:val="16"/>
        </w:rPr>
        <w:t>regional</w:t>
      </w:r>
      <w:r>
        <w:rPr>
          <w:color w:val="767070"/>
          <w:spacing w:val="-6"/>
          <w:sz w:val="16"/>
        </w:rPr>
        <w:t xml:space="preserve"> </w:t>
      </w:r>
      <w:r>
        <w:rPr>
          <w:color w:val="767070"/>
          <w:sz w:val="16"/>
        </w:rPr>
        <w:t>head</w:t>
      </w:r>
      <w:r>
        <w:rPr>
          <w:color w:val="767070"/>
          <w:spacing w:val="-6"/>
          <w:sz w:val="16"/>
        </w:rPr>
        <w:t xml:space="preserve"> </w:t>
      </w:r>
      <w:r>
        <w:rPr>
          <w:color w:val="767070"/>
          <w:sz w:val="16"/>
        </w:rPr>
        <w:t>for</w:t>
      </w:r>
      <w:r>
        <w:rPr>
          <w:color w:val="767070"/>
          <w:spacing w:val="-7"/>
          <w:sz w:val="16"/>
        </w:rPr>
        <w:t xml:space="preserve"> </w:t>
      </w:r>
      <w:r>
        <w:rPr>
          <w:color w:val="767070"/>
          <w:sz w:val="16"/>
        </w:rPr>
        <w:t>the</w:t>
      </w:r>
      <w:r>
        <w:rPr>
          <w:color w:val="767070"/>
          <w:spacing w:val="-6"/>
          <w:sz w:val="16"/>
        </w:rPr>
        <w:t xml:space="preserve"> </w:t>
      </w:r>
      <w:r>
        <w:rPr>
          <w:color w:val="767070"/>
          <w:sz w:val="16"/>
        </w:rPr>
        <w:t>central</w:t>
      </w:r>
      <w:r>
        <w:rPr>
          <w:color w:val="767070"/>
          <w:spacing w:val="-6"/>
          <w:sz w:val="16"/>
        </w:rPr>
        <w:t xml:space="preserve"> </w:t>
      </w:r>
      <w:r>
        <w:rPr>
          <w:color w:val="767070"/>
          <w:spacing w:val="-2"/>
          <w:sz w:val="16"/>
        </w:rPr>
        <w:t>government..</w:t>
      </w:r>
    </w:p>
    <w:p w14:paraId="2DB0F967" w14:textId="77777777" w:rsidR="00BC24A8" w:rsidRDefault="00000000">
      <w:pPr>
        <w:ind w:left="143" w:right="648" w:hanging="1"/>
        <w:rPr>
          <w:sz w:val="16"/>
        </w:rPr>
      </w:pPr>
      <w:bookmarkStart w:id="260" w:name="_bookmark176"/>
      <w:bookmarkEnd w:id="260"/>
      <w:r>
        <w:rPr>
          <w:color w:val="767070"/>
          <w:sz w:val="16"/>
          <w:vertAlign w:val="superscript"/>
        </w:rPr>
        <w:t>93</w:t>
      </w:r>
      <w:r>
        <w:rPr>
          <w:color w:val="767070"/>
          <w:spacing w:val="-5"/>
          <w:sz w:val="16"/>
        </w:rPr>
        <w:t xml:space="preserve"> </w:t>
      </w:r>
      <w:r>
        <w:rPr>
          <w:color w:val="767070"/>
          <w:sz w:val="16"/>
        </w:rPr>
        <w:t>LKPD</w:t>
      </w:r>
      <w:r>
        <w:rPr>
          <w:color w:val="767070"/>
          <w:spacing w:val="-4"/>
          <w:sz w:val="16"/>
        </w:rPr>
        <w:t xml:space="preserve"> </w:t>
      </w:r>
      <w:r>
        <w:rPr>
          <w:color w:val="767070"/>
          <w:sz w:val="16"/>
        </w:rPr>
        <w:t>(Regional</w:t>
      </w:r>
      <w:r>
        <w:rPr>
          <w:color w:val="767070"/>
          <w:spacing w:val="-4"/>
          <w:sz w:val="16"/>
        </w:rPr>
        <w:t xml:space="preserve"> </w:t>
      </w:r>
      <w:r>
        <w:rPr>
          <w:color w:val="767070"/>
          <w:sz w:val="16"/>
        </w:rPr>
        <w:t>Government</w:t>
      </w:r>
      <w:r>
        <w:rPr>
          <w:color w:val="767070"/>
          <w:spacing w:val="-7"/>
          <w:sz w:val="16"/>
        </w:rPr>
        <w:t xml:space="preserve"> </w:t>
      </w:r>
      <w:r>
        <w:rPr>
          <w:color w:val="767070"/>
          <w:sz w:val="16"/>
        </w:rPr>
        <w:t>Performance</w:t>
      </w:r>
      <w:r>
        <w:rPr>
          <w:color w:val="767070"/>
          <w:spacing w:val="-5"/>
          <w:sz w:val="16"/>
        </w:rPr>
        <w:t xml:space="preserve"> </w:t>
      </w:r>
      <w:r>
        <w:rPr>
          <w:color w:val="767070"/>
          <w:sz w:val="16"/>
        </w:rPr>
        <w:t>Report):</w:t>
      </w:r>
      <w:r>
        <w:rPr>
          <w:color w:val="767070"/>
          <w:spacing w:val="-6"/>
          <w:sz w:val="16"/>
        </w:rPr>
        <w:t xml:space="preserve"> </w:t>
      </w:r>
      <w:r>
        <w:rPr>
          <w:color w:val="767070"/>
          <w:sz w:val="16"/>
        </w:rPr>
        <w:t>A</w:t>
      </w:r>
      <w:r>
        <w:rPr>
          <w:color w:val="767070"/>
          <w:spacing w:val="-4"/>
          <w:sz w:val="16"/>
        </w:rPr>
        <w:t xml:space="preserve"> </w:t>
      </w:r>
      <w:r>
        <w:rPr>
          <w:color w:val="767070"/>
          <w:sz w:val="16"/>
        </w:rPr>
        <w:t>report</w:t>
      </w:r>
      <w:r>
        <w:rPr>
          <w:color w:val="767070"/>
          <w:spacing w:val="-5"/>
          <w:sz w:val="16"/>
        </w:rPr>
        <w:t xml:space="preserve"> </w:t>
      </w:r>
      <w:r>
        <w:rPr>
          <w:color w:val="767070"/>
          <w:sz w:val="16"/>
        </w:rPr>
        <w:t>submitted</w:t>
      </w:r>
      <w:r>
        <w:rPr>
          <w:color w:val="767070"/>
          <w:spacing w:val="-4"/>
          <w:sz w:val="16"/>
        </w:rPr>
        <w:t xml:space="preserve"> </w:t>
      </w:r>
      <w:r>
        <w:rPr>
          <w:color w:val="767070"/>
          <w:sz w:val="16"/>
        </w:rPr>
        <w:t>by</w:t>
      </w:r>
      <w:r>
        <w:rPr>
          <w:color w:val="767070"/>
          <w:spacing w:val="-4"/>
          <w:sz w:val="16"/>
        </w:rPr>
        <w:t xml:space="preserve"> </w:t>
      </w:r>
      <w:r>
        <w:rPr>
          <w:color w:val="767070"/>
          <w:sz w:val="16"/>
        </w:rPr>
        <w:t>the</w:t>
      </w:r>
      <w:r>
        <w:rPr>
          <w:color w:val="767070"/>
          <w:spacing w:val="-5"/>
          <w:sz w:val="16"/>
        </w:rPr>
        <w:t xml:space="preserve"> </w:t>
      </w:r>
      <w:r>
        <w:rPr>
          <w:color w:val="767070"/>
          <w:sz w:val="16"/>
        </w:rPr>
        <w:t>regional</w:t>
      </w:r>
      <w:r>
        <w:rPr>
          <w:color w:val="767070"/>
          <w:spacing w:val="-4"/>
          <w:sz w:val="16"/>
        </w:rPr>
        <w:t xml:space="preserve"> </w:t>
      </w:r>
      <w:r>
        <w:rPr>
          <w:color w:val="767070"/>
          <w:sz w:val="16"/>
        </w:rPr>
        <w:t>head</w:t>
      </w:r>
      <w:r>
        <w:rPr>
          <w:color w:val="767070"/>
          <w:spacing w:val="-4"/>
          <w:sz w:val="16"/>
        </w:rPr>
        <w:t xml:space="preserve"> </w:t>
      </w:r>
      <w:r>
        <w:rPr>
          <w:color w:val="767070"/>
          <w:sz w:val="16"/>
        </w:rPr>
        <w:t>to</w:t>
      </w:r>
      <w:r>
        <w:rPr>
          <w:color w:val="767070"/>
          <w:spacing w:val="-4"/>
          <w:sz w:val="16"/>
        </w:rPr>
        <w:t xml:space="preserve"> </w:t>
      </w:r>
      <w:r>
        <w:rPr>
          <w:color w:val="767070"/>
          <w:sz w:val="16"/>
        </w:rPr>
        <w:t>the</w:t>
      </w:r>
      <w:r>
        <w:rPr>
          <w:color w:val="767070"/>
          <w:spacing w:val="-5"/>
          <w:sz w:val="16"/>
        </w:rPr>
        <w:t xml:space="preserve"> </w:t>
      </w:r>
      <w:r>
        <w:rPr>
          <w:color w:val="767070"/>
          <w:sz w:val="16"/>
        </w:rPr>
        <w:t>Regional</w:t>
      </w:r>
      <w:r>
        <w:rPr>
          <w:color w:val="767070"/>
          <w:spacing w:val="-4"/>
          <w:sz w:val="16"/>
        </w:rPr>
        <w:t xml:space="preserve"> </w:t>
      </w:r>
      <w:r>
        <w:rPr>
          <w:color w:val="767070"/>
          <w:sz w:val="16"/>
        </w:rPr>
        <w:t>House</w:t>
      </w:r>
      <w:r>
        <w:rPr>
          <w:color w:val="767070"/>
          <w:spacing w:val="-5"/>
          <w:sz w:val="16"/>
        </w:rPr>
        <w:t xml:space="preserve"> </w:t>
      </w:r>
      <w:r>
        <w:rPr>
          <w:color w:val="767070"/>
          <w:sz w:val="16"/>
        </w:rPr>
        <w:t>of</w:t>
      </w:r>
      <w:r>
        <w:rPr>
          <w:color w:val="767070"/>
          <w:spacing w:val="-5"/>
          <w:sz w:val="16"/>
        </w:rPr>
        <w:t xml:space="preserve"> </w:t>
      </w:r>
      <w:r>
        <w:rPr>
          <w:color w:val="767070"/>
          <w:sz w:val="16"/>
        </w:rPr>
        <w:t>Representatives</w:t>
      </w:r>
      <w:r>
        <w:rPr>
          <w:color w:val="767070"/>
          <w:spacing w:val="40"/>
          <w:sz w:val="16"/>
        </w:rPr>
        <w:t xml:space="preserve"> </w:t>
      </w:r>
      <w:r>
        <w:rPr>
          <w:color w:val="767070"/>
          <w:spacing w:val="-2"/>
          <w:sz w:val="16"/>
        </w:rPr>
        <w:t>(DPRD).</w:t>
      </w:r>
    </w:p>
    <w:p w14:paraId="795CAD2C" w14:textId="77777777" w:rsidR="00BC24A8" w:rsidRDefault="00BC24A8">
      <w:pPr>
        <w:rPr>
          <w:sz w:val="16"/>
        </w:rPr>
        <w:sectPr w:rsidR="00BC24A8">
          <w:pgSz w:w="11910" w:h="16840"/>
          <w:pgMar w:top="1400" w:right="850" w:bottom="1100" w:left="1275" w:header="0" w:footer="907" w:gutter="0"/>
          <w:cols w:space="720"/>
        </w:sectPr>
      </w:pPr>
    </w:p>
    <w:p w14:paraId="736C5922" w14:textId="77777777" w:rsidR="00BC24A8" w:rsidRDefault="00BC24A8">
      <w:pPr>
        <w:pStyle w:val="BodyText"/>
        <w:spacing w:before="3"/>
        <w:rPr>
          <w:sz w:val="2"/>
        </w:rPr>
      </w:pPr>
    </w:p>
    <w:tbl>
      <w:tblPr>
        <w:tblW w:w="0" w:type="auto"/>
        <w:tblInd w:w="136" w:type="dxa"/>
        <w:tblLayout w:type="fixed"/>
        <w:tblCellMar>
          <w:left w:w="0" w:type="dxa"/>
          <w:right w:w="0" w:type="dxa"/>
        </w:tblCellMar>
        <w:tblLook w:val="01E0" w:firstRow="1" w:lastRow="1" w:firstColumn="1" w:lastColumn="1" w:noHBand="0" w:noVBand="0"/>
      </w:tblPr>
      <w:tblGrid>
        <w:gridCol w:w="2198"/>
        <w:gridCol w:w="6907"/>
      </w:tblGrid>
      <w:tr w:rsidR="00BC24A8" w14:paraId="609803BB" w14:textId="77777777">
        <w:trPr>
          <w:trHeight w:val="1178"/>
        </w:trPr>
        <w:tc>
          <w:tcPr>
            <w:tcW w:w="2198" w:type="dxa"/>
            <w:tcBorders>
              <w:bottom w:val="single" w:sz="4" w:space="0" w:color="BEBEBE"/>
            </w:tcBorders>
          </w:tcPr>
          <w:p w14:paraId="1EA459C6" w14:textId="77777777" w:rsidR="00BC24A8" w:rsidRDefault="00000000">
            <w:pPr>
              <w:pStyle w:val="TableParagraph"/>
              <w:spacing w:line="183" w:lineRule="exact"/>
              <w:ind w:left="122"/>
              <w:rPr>
                <w:sz w:val="18"/>
              </w:rPr>
            </w:pPr>
            <w:r>
              <w:rPr>
                <w:sz w:val="18"/>
              </w:rPr>
              <w:t>Program</w:t>
            </w:r>
            <w:r>
              <w:rPr>
                <w:spacing w:val="-7"/>
                <w:sz w:val="18"/>
              </w:rPr>
              <w:t xml:space="preserve"> </w:t>
            </w:r>
            <w:r>
              <w:rPr>
                <w:spacing w:val="-2"/>
                <w:sz w:val="18"/>
              </w:rPr>
              <w:t>Management</w:t>
            </w:r>
          </w:p>
        </w:tc>
        <w:tc>
          <w:tcPr>
            <w:tcW w:w="6907" w:type="dxa"/>
            <w:tcBorders>
              <w:bottom w:val="single" w:sz="4" w:space="0" w:color="BEBEBE"/>
            </w:tcBorders>
          </w:tcPr>
          <w:p w14:paraId="2214D47A" w14:textId="77777777" w:rsidR="00BC24A8" w:rsidRDefault="00000000">
            <w:pPr>
              <w:pStyle w:val="TableParagraph"/>
              <w:spacing w:line="183" w:lineRule="exact"/>
              <w:ind w:left="444"/>
              <w:rPr>
                <w:sz w:val="18"/>
              </w:rPr>
            </w:pPr>
            <w:r>
              <w:rPr>
                <w:sz w:val="18"/>
              </w:rPr>
              <w:t>Inter</w:t>
            </w:r>
            <w:r>
              <w:rPr>
                <w:spacing w:val="-2"/>
                <w:sz w:val="18"/>
              </w:rPr>
              <w:t xml:space="preserve"> </w:t>
            </w:r>
            <w:r>
              <w:rPr>
                <w:sz w:val="18"/>
              </w:rPr>
              <w:t>cross-provincial activities</w:t>
            </w:r>
            <w:r>
              <w:rPr>
                <w:spacing w:val="-5"/>
                <w:sz w:val="18"/>
              </w:rPr>
              <w:t xml:space="preserve"> </w:t>
            </w:r>
            <w:r>
              <w:rPr>
                <w:sz w:val="18"/>
              </w:rPr>
              <w:t>in</w:t>
            </w:r>
            <w:r>
              <w:rPr>
                <w:spacing w:val="-4"/>
                <w:sz w:val="18"/>
              </w:rPr>
              <w:t xml:space="preserve"> </w:t>
            </w:r>
            <w:r>
              <w:rPr>
                <w:sz w:val="18"/>
              </w:rPr>
              <w:t>Papua</w:t>
            </w:r>
            <w:r>
              <w:rPr>
                <w:spacing w:val="-2"/>
                <w:sz w:val="18"/>
              </w:rPr>
              <w:t xml:space="preserve"> </w:t>
            </w:r>
            <w:r>
              <w:rPr>
                <w:sz w:val="18"/>
              </w:rPr>
              <w:t>have</w:t>
            </w:r>
            <w:r>
              <w:rPr>
                <w:spacing w:val="-2"/>
                <w:sz w:val="18"/>
              </w:rPr>
              <w:t xml:space="preserve"> </w:t>
            </w:r>
            <w:r>
              <w:rPr>
                <w:sz w:val="18"/>
              </w:rPr>
              <w:t>proven</w:t>
            </w:r>
            <w:r>
              <w:rPr>
                <w:spacing w:val="-1"/>
                <w:sz w:val="18"/>
              </w:rPr>
              <w:t xml:space="preserve"> </w:t>
            </w:r>
            <w:r>
              <w:rPr>
                <w:sz w:val="18"/>
              </w:rPr>
              <w:t>effective</w:t>
            </w:r>
            <w:r>
              <w:rPr>
                <w:spacing w:val="-2"/>
                <w:sz w:val="18"/>
              </w:rPr>
              <w:t xml:space="preserve"> </w:t>
            </w:r>
            <w:r>
              <w:rPr>
                <w:sz w:val="18"/>
              </w:rPr>
              <w:t>in</w:t>
            </w:r>
            <w:r>
              <w:rPr>
                <w:spacing w:val="-1"/>
                <w:sz w:val="18"/>
              </w:rPr>
              <w:t xml:space="preserve"> </w:t>
            </w:r>
            <w:r>
              <w:rPr>
                <w:sz w:val="18"/>
              </w:rPr>
              <w:t>achieving</w:t>
            </w:r>
            <w:r>
              <w:rPr>
                <w:spacing w:val="-2"/>
                <w:sz w:val="18"/>
              </w:rPr>
              <w:t xml:space="preserve"> uniform</w:t>
            </w:r>
          </w:p>
          <w:p w14:paraId="1428141B" w14:textId="77777777" w:rsidR="00BC24A8" w:rsidRDefault="00000000">
            <w:pPr>
              <w:pStyle w:val="TableParagraph"/>
              <w:spacing w:before="1"/>
              <w:ind w:left="444" w:right="118"/>
              <w:rPr>
                <w:sz w:val="18"/>
              </w:rPr>
            </w:pPr>
            <w:r>
              <w:rPr>
                <w:sz w:val="18"/>
              </w:rPr>
              <w:t>outputs</w:t>
            </w:r>
            <w:r>
              <w:rPr>
                <w:spacing w:val="-3"/>
                <w:sz w:val="18"/>
              </w:rPr>
              <w:t xml:space="preserve"> </w:t>
            </w:r>
            <w:r>
              <w:rPr>
                <w:sz w:val="18"/>
              </w:rPr>
              <w:t>while</w:t>
            </w:r>
            <w:r>
              <w:rPr>
                <w:spacing w:val="-3"/>
                <w:sz w:val="18"/>
              </w:rPr>
              <w:t xml:space="preserve"> </w:t>
            </w:r>
            <w:r>
              <w:rPr>
                <w:sz w:val="18"/>
              </w:rPr>
              <w:t>saving</w:t>
            </w:r>
            <w:r>
              <w:rPr>
                <w:spacing w:val="-4"/>
                <w:sz w:val="18"/>
              </w:rPr>
              <w:t xml:space="preserve"> </w:t>
            </w:r>
            <w:r>
              <w:rPr>
                <w:sz w:val="18"/>
              </w:rPr>
              <w:t>SKALA’s</w:t>
            </w:r>
            <w:r>
              <w:rPr>
                <w:spacing w:val="-3"/>
                <w:sz w:val="18"/>
              </w:rPr>
              <w:t xml:space="preserve"> </w:t>
            </w:r>
            <w:r>
              <w:rPr>
                <w:sz w:val="18"/>
              </w:rPr>
              <w:t>limited</w:t>
            </w:r>
            <w:r>
              <w:rPr>
                <w:spacing w:val="-3"/>
                <w:sz w:val="18"/>
              </w:rPr>
              <w:t xml:space="preserve"> </w:t>
            </w:r>
            <w:r>
              <w:rPr>
                <w:sz w:val="18"/>
              </w:rPr>
              <w:t>time</w:t>
            </w:r>
            <w:r>
              <w:rPr>
                <w:spacing w:val="-3"/>
                <w:sz w:val="18"/>
              </w:rPr>
              <w:t xml:space="preserve"> </w:t>
            </w:r>
            <w:r>
              <w:rPr>
                <w:sz w:val="18"/>
              </w:rPr>
              <w:t>and</w:t>
            </w:r>
            <w:r>
              <w:rPr>
                <w:spacing w:val="-3"/>
                <w:sz w:val="18"/>
              </w:rPr>
              <w:t xml:space="preserve"> </w:t>
            </w:r>
            <w:r>
              <w:rPr>
                <w:sz w:val="18"/>
              </w:rPr>
              <w:t>resources.</w:t>
            </w:r>
            <w:r>
              <w:rPr>
                <w:spacing w:val="-4"/>
                <w:sz w:val="18"/>
              </w:rPr>
              <w:t xml:space="preserve"> </w:t>
            </w:r>
            <w:r>
              <w:rPr>
                <w:sz w:val="18"/>
              </w:rPr>
              <w:t>This</w:t>
            </w:r>
            <w:r>
              <w:rPr>
                <w:spacing w:val="-3"/>
                <w:sz w:val="18"/>
              </w:rPr>
              <w:t xml:space="preserve"> </w:t>
            </w:r>
            <w:r>
              <w:rPr>
                <w:sz w:val="18"/>
              </w:rPr>
              <w:t>success</w:t>
            </w:r>
            <w:r>
              <w:rPr>
                <w:spacing w:val="-3"/>
                <w:sz w:val="18"/>
              </w:rPr>
              <w:t xml:space="preserve"> </w:t>
            </w:r>
            <w:r>
              <w:rPr>
                <w:sz w:val="18"/>
              </w:rPr>
              <w:t>was</w:t>
            </w:r>
            <w:r>
              <w:rPr>
                <w:spacing w:val="-3"/>
                <w:sz w:val="18"/>
              </w:rPr>
              <w:t xml:space="preserve"> </w:t>
            </w:r>
            <w:r>
              <w:rPr>
                <w:sz w:val="18"/>
              </w:rPr>
              <w:t>supported</w:t>
            </w:r>
            <w:r>
              <w:rPr>
                <w:spacing w:val="-3"/>
                <w:sz w:val="18"/>
              </w:rPr>
              <w:t xml:space="preserve"> </w:t>
            </w:r>
            <w:r>
              <w:rPr>
                <w:sz w:val="18"/>
              </w:rPr>
              <w:t>by coordinated planning and the engagement of all provinces in a single forum. However,</w:t>
            </w:r>
            <w:r>
              <w:rPr>
                <w:spacing w:val="40"/>
                <w:sz w:val="18"/>
              </w:rPr>
              <w:t xml:space="preserve"> </w:t>
            </w:r>
            <w:r>
              <w:rPr>
                <w:sz w:val="18"/>
              </w:rPr>
              <w:t>if</w:t>
            </w:r>
            <w:r>
              <w:rPr>
                <w:spacing w:val="-4"/>
                <w:sz w:val="18"/>
              </w:rPr>
              <w:t xml:space="preserve"> </w:t>
            </w:r>
            <w:r>
              <w:rPr>
                <w:sz w:val="18"/>
              </w:rPr>
              <w:t>replicated</w:t>
            </w:r>
            <w:r>
              <w:rPr>
                <w:spacing w:val="-3"/>
                <w:sz w:val="18"/>
              </w:rPr>
              <w:t xml:space="preserve"> </w:t>
            </w:r>
            <w:r>
              <w:rPr>
                <w:sz w:val="18"/>
              </w:rPr>
              <w:t>or</w:t>
            </w:r>
            <w:r>
              <w:rPr>
                <w:spacing w:val="-3"/>
                <w:sz w:val="18"/>
              </w:rPr>
              <w:t xml:space="preserve"> </w:t>
            </w:r>
            <w:r>
              <w:rPr>
                <w:sz w:val="18"/>
              </w:rPr>
              <w:t>continued,</w:t>
            </w:r>
            <w:r>
              <w:rPr>
                <w:spacing w:val="-4"/>
                <w:sz w:val="18"/>
              </w:rPr>
              <w:t xml:space="preserve"> </w:t>
            </w:r>
            <w:r>
              <w:rPr>
                <w:sz w:val="18"/>
              </w:rPr>
              <w:t>adequate</w:t>
            </w:r>
            <w:r>
              <w:rPr>
                <w:spacing w:val="-3"/>
                <w:sz w:val="18"/>
              </w:rPr>
              <w:t xml:space="preserve"> </w:t>
            </w:r>
            <w:r>
              <w:rPr>
                <w:sz w:val="18"/>
              </w:rPr>
              <w:t>facilitators</w:t>
            </w:r>
            <w:r>
              <w:rPr>
                <w:spacing w:val="-6"/>
                <w:sz w:val="18"/>
              </w:rPr>
              <w:t xml:space="preserve"> </w:t>
            </w:r>
            <w:r>
              <w:rPr>
                <w:sz w:val="18"/>
              </w:rPr>
              <w:t>or</w:t>
            </w:r>
            <w:r>
              <w:rPr>
                <w:spacing w:val="-3"/>
                <w:sz w:val="18"/>
              </w:rPr>
              <w:t xml:space="preserve"> </w:t>
            </w:r>
            <w:r>
              <w:rPr>
                <w:sz w:val="18"/>
              </w:rPr>
              <w:t>resource</w:t>
            </w:r>
            <w:r>
              <w:rPr>
                <w:spacing w:val="-3"/>
                <w:sz w:val="18"/>
              </w:rPr>
              <w:t xml:space="preserve"> </w:t>
            </w:r>
            <w:r>
              <w:rPr>
                <w:sz w:val="18"/>
              </w:rPr>
              <w:t>persons</w:t>
            </w:r>
            <w:r>
              <w:rPr>
                <w:spacing w:val="-6"/>
                <w:sz w:val="18"/>
              </w:rPr>
              <w:t xml:space="preserve"> </w:t>
            </w:r>
            <w:r>
              <w:rPr>
                <w:sz w:val="18"/>
              </w:rPr>
              <w:t>must</w:t>
            </w:r>
            <w:r>
              <w:rPr>
                <w:spacing w:val="-2"/>
                <w:sz w:val="18"/>
              </w:rPr>
              <w:t xml:space="preserve"> </w:t>
            </w:r>
            <w:r>
              <w:rPr>
                <w:sz w:val="18"/>
              </w:rPr>
              <w:t>be</w:t>
            </w:r>
            <w:r>
              <w:rPr>
                <w:spacing w:val="-3"/>
                <w:sz w:val="18"/>
              </w:rPr>
              <w:t xml:space="preserve"> </w:t>
            </w:r>
            <w:r>
              <w:rPr>
                <w:sz w:val="18"/>
              </w:rPr>
              <w:t>ensured</w:t>
            </w:r>
            <w:r>
              <w:rPr>
                <w:spacing w:val="-3"/>
                <w:sz w:val="18"/>
              </w:rPr>
              <w:t xml:space="preserve"> </w:t>
            </w:r>
            <w:r>
              <w:rPr>
                <w:sz w:val="18"/>
              </w:rPr>
              <w:t>to maintain effective delivery even with large numbers of participants.</w:t>
            </w:r>
          </w:p>
        </w:tc>
      </w:tr>
    </w:tbl>
    <w:p w14:paraId="42D4186A" w14:textId="77777777" w:rsidR="00BC24A8" w:rsidRDefault="00BC24A8">
      <w:pPr>
        <w:pStyle w:val="BodyText"/>
      </w:pPr>
    </w:p>
    <w:p w14:paraId="5DB98188" w14:textId="77777777" w:rsidR="00BC24A8" w:rsidRDefault="00BC24A8">
      <w:pPr>
        <w:pStyle w:val="BodyText"/>
        <w:spacing w:before="181"/>
      </w:pPr>
    </w:p>
    <w:p w14:paraId="30AB353E" w14:textId="77777777" w:rsidR="00BC24A8" w:rsidRDefault="00000000">
      <w:pPr>
        <w:ind w:left="143"/>
        <w:rPr>
          <w:i/>
        </w:rPr>
      </w:pPr>
      <w:bookmarkStart w:id="261" w:name="FY_2025/2026_SKALA_Program_Summary"/>
      <w:bookmarkEnd w:id="261"/>
      <w:r>
        <w:rPr>
          <w:i/>
          <w:color w:val="1F3762"/>
        </w:rPr>
        <w:t>FY</w:t>
      </w:r>
      <w:r>
        <w:rPr>
          <w:i/>
          <w:color w:val="1F3762"/>
          <w:spacing w:val="-6"/>
        </w:rPr>
        <w:t xml:space="preserve"> </w:t>
      </w:r>
      <w:r>
        <w:rPr>
          <w:i/>
          <w:color w:val="1F3762"/>
        </w:rPr>
        <w:t>2025/2026</w:t>
      </w:r>
      <w:r>
        <w:rPr>
          <w:i/>
          <w:color w:val="1F3762"/>
          <w:spacing w:val="-5"/>
        </w:rPr>
        <w:t xml:space="preserve"> </w:t>
      </w:r>
      <w:r>
        <w:rPr>
          <w:i/>
          <w:color w:val="1F3762"/>
        </w:rPr>
        <w:t>SKALA</w:t>
      </w:r>
      <w:r>
        <w:rPr>
          <w:i/>
          <w:color w:val="1F3762"/>
          <w:spacing w:val="-8"/>
        </w:rPr>
        <w:t xml:space="preserve"> </w:t>
      </w:r>
      <w:r>
        <w:rPr>
          <w:i/>
          <w:color w:val="1F3762"/>
        </w:rPr>
        <w:t>Program</w:t>
      </w:r>
      <w:r>
        <w:rPr>
          <w:i/>
          <w:color w:val="1F3762"/>
          <w:spacing w:val="-5"/>
        </w:rPr>
        <w:t xml:space="preserve"> </w:t>
      </w:r>
      <w:r>
        <w:rPr>
          <w:i/>
          <w:color w:val="1F3762"/>
          <w:spacing w:val="-2"/>
        </w:rPr>
        <w:t>Summary</w:t>
      </w:r>
    </w:p>
    <w:p w14:paraId="33266883" w14:textId="77777777" w:rsidR="00BC24A8" w:rsidRDefault="00000000">
      <w:pPr>
        <w:pStyle w:val="Heading5"/>
        <w:numPr>
          <w:ilvl w:val="1"/>
          <w:numId w:val="1"/>
        </w:numPr>
        <w:tabs>
          <w:tab w:val="left" w:pos="501"/>
        </w:tabs>
        <w:spacing w:before="161"/>
        <w:ind w:left="501" w:hanging="449"/>
      </w:pPr>
      <w:bookmarkStart w:id="262" w:name="3.1_Summary_of_intended_results"/>
      <w:bookmarkEnd w:id="262"/>
      <w:r w:rsidRPr="00795364">
        <w:rPr>
          <w:color w:val="008279"/>
        </w:rPr>
        <w:t>Summary</w:t>
      </w:r>
      <w:r w:rsidRPr="00795364">
        <w:rPr>
          <w:color w:val="008279"/>
          <w:spacing w:val="-5"/>
        </w:rPr>
        <w:t xml:space="preserve"> </w:t>
      </w:r>
      <w:r w:rsidRPr="00795364">
        <w:rPr>
          <w:color w:val="008279"/>
        </w:rPr>
        <w:t>of</w:t>
      </w:r>
      <w:r w:rsidRPr="00795364">
        <w:rPr>
          <w:color w:val="008279"/>
          <w:spacing w:val="-5"/>
        </w:rPr>
        <w:t xml:space="preserve"> </w:t>
      </w:r>
      <w:r w:rsidRPr="00795364">
        <w:rPr>
          <w:color w:val="008279"/>
        </w:rPr>
        <w:t>intended</w:t>
      </w:r>
      <w:r w:rsidRPr="00795364">
        <w:rPr>
          <w:color w:val="008279"/>
          <w:spacing w:val="-6"/>
        </w:rPr>
        <w:t xml:space="preserve"> </w:t>
      </w:r>
      <w:r w:rsidRPr="00795364">
        <w:rPr>
          <w:color w:val="008279"/>
          <w:spacing w:val="-2"/>
        </w:rPr>
        <w:t>results</w:t>
      </w:r>
    </w:p>
    <w:p w14:paraId="63842D06" w14:textId="77777777" w:rsidR="00BC24A8" w:rsidRDefault="00BC24A8">
      <w:pPr>
        <w:pStyle w:val="BodyText"/>
        <w:spacing w:before="4"/>
        <w:rPr>
          <w:rFonts w:ascii="Calibri"/>
          <w:b/>
          <w:sz w:val="19"/>
        </w:rPr>
      </w:pPr>
    </w:p>
    <w:tbl>
      <w:tblPr>
        <w:tblW w:w="0" w:type="auto"/>
        <w:tblInd w:w="143" w:type="dxa"/>
        <w:tblLayout w:type="fixed"/>
        <w:tblCellMar>
          <w:left w:w="0" w:type="dxa"/>
          <w:right w:w="0" w:type="dxa"/>
        </w:tblCellMar>
        <w:tblLook w:val="01E0" w:firstRow="1" w:lastRow="1" w:firstColumn="1" w:lastColumn="1" w:noHBand="0" w:noVBand="0"/>
      </w:tblPr>
      <w:tblGrid>
        <w:gridCol w:w="2757"/>
        <w:gridCol w:w="6342"/>
      </w:tblGrid>
      <w:tr w:rsidR="00BC24A8" w14:paraId="7DF8D01E" w14:textId="77777777">
        <w:trPr>
          <w:trHeight w:val="379"/>
        </w:trPr>
        <w:tc>
          <w:tcPr>
            <w:tcW w:w="2757" w:type="dxa"/>
            <w:shd w:val="clear" w:color="auto" w:fill="17365A"/>
          </w:tcPr>
          <w:p w14:paraId="60C02B4D" w14:textId="77777777" w:rsidR="00BC24A8" w:rsidRDefault="00000000">
            <w:pPr>
              <w:pStyle w:val="TableParagraph"/>
              <w:spacing w:before="59"/>
              <w:ind w:left="115"/>
              <w:rPr>
                <w:rFonts w:ascii="Calibri"/>
                <w:b/>
                <w:sz w:val="20"/>
              </w:rPr>
            </w:pPr>
            <w:r>
              <w:rPr>
                <w:rFonts w:ascii="Calibri"/>
                <w:b/>
                <w:color w:val="FFFFFF"/>
                <w:spacing w:val="-2"/>
                <w:sz w:val="20"/>
              </w:rPr>
              <w:t>Narrative</w:t>
            </w:r>
          </w:p>
        </w:tc>
        <w:tc>
          <w:tcPr>
            <w:tcW w:w="6342" w:type="dxa"/>
            <w:shd w:val="clear" w:color="auto" w:fill="17365A"/>
          </w:tcPr>
          <w:p w14:paraId="474A06EF" w14:textId="77777777" w:rsidR="00BC24A8" w:rsidRDefault="00000000">
            <w:pPr>
              <w:pStyle w:val="TableParagraph"/>
              <w:spacing w:before="59"/>
              <w:ind w:left="147"/>
              <w:rPr>
                <w:rFonts w:ascii="Calibri"/>
                <w:b/>
                <w:sz w:val="20"/>
              </w:rPr>
            </w:pPr>
            <w:r>
              <w:rPr>
                <w:rFonts w:ascii="Calibri"/>
                <w:b/>
                <w:color w:val="FFFFFF"/>
                <w:sz w:val="20"/>
              </w:rPr>
              <w:t>Summary</w:t>
            </w:r>
            <w:r>
              <w:rPr>
                <w:rFonts w:ascii="Calibri"/>
                <w:b/>
                <w:color w:val="FFFFFF"/>
                <w:spacing w:val="-5"/>
                <w:sz w:val="20"/>
              </w:rPr>
              <w:t xml:space="preserve"> </w:t>
            </w:r>
            <w:r>
              <w:rPr>
                <w:rFonts w:ascii="Calibri"/>
                <w:b/>
                <w:color w:val="FFFFFF"/>
                <w:sz w:val="20"/>
              </w:rPr>
              <w:t>of</w:t>
            </w:r>
            <w:r>
              <w:rPr>
                <w:rFonts w:ascii="Calibri"/>
                <w:b/>
                <w:color w:val="FFFFFF"/>
                <w:spacing w:val="-5"/>
                <w:sz w:val="20"/>
              </w:rPr>
              <w:t xml:space="preserve"> </w:t>
            </w:r>
            <w:r>
              <w:rPr>
                <w:rFonts w:ascii="Calibri"/>
                <w:b/>
                <w:color w:val="FFFFFF"/>
                <w:sz w:val="20"/>
              </w:rPr>
              <w:t>key</w:t>
            </w:r>
            <w:r>
              <w:rPr>
                <w:rFonts w:ascii="Calibri"/>
                <w:b/>
                <w:color w:val="FFFFFF"/>
                <w:spacing w:val="-4"/>
                <w:sz w:val="20"/>
              </w:rPr>
              <w:t xml:space="preserve"> </w:t>
            </w:r>
            <w:r>
              <w:rPr>
                <w:rFonts w:ascii="Calibri"/>
                <w:b/>
                <w:color w:val="FFFFFF"/>
                <w:sz w:val="20"/>
              </w:rPr>
              <w:t>outputs</w:t>
            </w:r>
            <w:r>
              <w:rPr>
                <w:rFonts w:ascii="Calibri"/>
                <w:b/>
                <w:color w:val="FFFFFF"/>
                <w:spacing w:val="-4"/>
                <w:sz w:val="20"/>
              </w:rPr>
              <w:t xml:space="preserve"> </w:t>
            </w:r>
            <w:r>
              <w:rPr>
                <w:rFonts w:ascii="Calibri"/>
                <w:b/>
                <w:color w:val="FFFFFF"/>
                <w:sz w:val="20"/>
              </w:rPr>
              <w:t>to</w:t>
            </w:r>
            <w:r>
              <w:rPr>
                <w:rFonts w:ascii="Calibri"/>
                <w:b/>
                <w:color w:val="FFFFFF"/>
                <w:spacing w:val="-5"/>
                <w:sz w:val="20"/>
              </w:rPr>
              <w:t xml:space="preserve"> </w:t>
            </w:r>
            <w:r>
              <w:rPr>
                <w:rFonts w:ascii="Calibri"/>
                <w:b/>
                <w:color w:val="FFFFFF"/>
                <w:sz w:val="20"/>
              </w:rPr>
              <w:t>be</w:t>
            </w:r>
            <w:r>
              <w:rPr>
                <w:rFonts w:ascii="Calibri"/>
                <w:b/>
                <w:color w:val="FFFFFF"/>
                <w:spacing w:val="-4"/>
                <w:sz w:val="20"/>
              </w:rPr>
              <w:t xml:space="preserve"> </w:t>
            </w:r>
            <w:r>
              <w:rPr>
                <w:rFonts w:ascii="Calibri"/>
                <w:b/>
                <w:color w:val="FFFFFF"/>
                <w:sz w:val="20"/>
              </w:rPr>
              <w:t>delivered</w:t>
            </w:r>
            <w:r>
              <w:rPr>
                <w:rFonts w:ascii="Calibri"/>
                <w:b/>
                <w:color w:val="FFFFFF"/>
                <w:spacing w:val="-3"/>
                <w:sz w:val="20"/>
              </w:rPr>
              <w:t xml:space="preserve"> </w:t>
            </w:r>
            <w:r>
              <w:rPr>
                <w:rFonts w:ascii="Calibri"/>
                <w:b/>
                <w:color w:val="FFFFFF"/>
                <w:sz w:val="20"/>
              </w:rPr>
              <w:t>in</w:t>
            </w:r>
            <w:r>
              <w:rPr>
                <w:rFonts w:ascii="Calibri"/>
                <w:b/>
                <w:color w:val="FFFFFF"/>
                <w:spacing w:val="-3"/>
                <w:sz w:val="20"/>
              </w:rPr>
              <w:t xml:space="preserve"> </w:t>
            </w:r>
            <w:r>
              <w:rPr>
                <w:rFonts w:ascii="Calibri"/>
                <w:b/>
                <w:color w:val="FFFFFF"/>
                <w:sz w:val="20"/>
              </w:rPr>
              <w:t>order</w:t>
            </w:r>
            <w:r>
              <w:rPr>
                <w:rFonts w:ascii="Calibri"/>
                <w:b/>
                <w:color w:val="FFFFFF"/>
                <w:spacing w:val="-4"/>
                <w:sz w:val="20"/>
              </w:rPr>
              <w:t xml:space="preserve"> </w:t>
            </w:r>
            <w:r>
              <w:rPr>
                <w:rFonts w:ascii="Calibri"/>
                <w:b/>
                <w:color w:val="FFFFFF"/>
                <w:sz w:val="20"/>
              </w:rPr>
              <w:t>to</w:t>
            </w:r>
            <w:r>
              <w:rPr>
                <w:rFonts w:ascii="Calibri"/>
                <w:b/>
                <w:color w:val="FFFFFF"/>
                <w:spacing w:val="-3"/>
                <w:sz w:val="20"/>
              </w:rPr>
              <w:t xml:space="preserve"> </w:t>
            </w:r>
            <w:r>
              <w:rPr>
                <w:rFonts w:ascii="Calibri"/>
                <w:b/>
                <w:color w:val="FFFFFF"/>
                <w:sz w:val="20"/>
              </w:rPr>
              <w:t>achieve</w:t>
            </w:r>
            <w:r>
              <w:rPr>
                <w:rFonts w:ascii="Calibri"/>
                <w:b/>
                <w:color w:val="FFFFFF"/>
                <w:spacing w:val="-4"/>
                <w:sz w:val="20"/>
              </w:rPr>
              <w:t xml:space="preserve"> </w:t>
            </w:r>
            <w:r>
              <w:rPr>
                <w:rFonts w:ascii="Calibri"/>
                <w:b/>
                <w:color w:val="FFFFFF"/>
                <w:sz w:val="20"/>
              </w:rPr>
              <w:t>the</w:t>
            </w:r>
            <w:r>
              <w:rPr>
                <w:rFonts w:ascii="Calibri"/>
                <w:b/>
                <w:color w:val="FFFFFF"/>
                <w:spacing w:val="-3"/>
                <w:sz w:val="20"/>
              </w:rPr>
              <w:t xml:space="preserve"> </w:t>
            </w:r>
            <w:r>
              <w:rPr>
                <w:rFonts w:ascii="Calibri"/>
                <w:b/>
                <w:color w:val="FFFFFF"/>
                <w:spacing w:val="-2"/>
                <w:sz w:val="20"/>
              </w:rPr>
              <w:t>narrative</w:t>
            </w:r>
          </w:p>
        </w:tc>
      </w:tr>
      <w:tr w:rsidR="00BC24A8" w14:paraId="49708FCE" w14:textId="77777777">
        <w:trPr>
          <w:trHeight w:val="1255"/>
        </w:trPr>
        <w:tc>
          <w:tcPr>
            <w:tcW w:w="2757" w:type="dxa"/>
            <w:tcBorders>
              <w:bottom w:val="single" w:sz="4" w:space="0" w:color="BEBEBE"/>
            </w:tcBorders>
          </w:tcPr>
          <w:p w14:paraId="4D55122C" w14:textId="77777777" w:rsidR="00BC24A8" w:rsidRDefault="00000000">
            <w:pPr>
              <w:pStyle w:val="TableParagraph"/>
              <w:spacing w:before="100"/>
              <w:ind w:left="115" w:right="112"/>
              <w:rPr>
                <w:sz w:val="18"/>
              </w:rPr>
            </w:pPr>
            <w:r>
              <w:rPr>
                <w:sz w:val="18"/>
              </w:rPr>
              <w:t>Develop and institutionalise consultation spaces and engagement mechanisms with vulnerable communities to promote</w:t>
            </w:r>
            <w:r>
              <w:rPr>
                <w:spacing w:val="-11"/>
                <w:sz w:val="18"/>
              </w:rPr>
              <w:t xml:space="preserve"> </w:t>
            </w:r>
            <w:r>
              <w:rPr>
                <w:sz w:val="18"/>
              </w:rPr>
              <w:t>more</w:t>
            </w:r>
            <w:r>
              <w:rPr>
                <w:spacing w:val="-10"/>
                <w:sz w:val="18"/>
              </w:rPr>
              <w:t xml:space="preserve"> </w:t>
            </w:r>
            <w:r>
              <w:rPr>
                <w:sz w:val="18"/>
              </w:rPr>
              <w:t>inclusive</w:t>
            </w:r>
            <w:r>
              <w:rPr>
                <w:spacing w:val="-10"/>
                <w:sz w:val="18"/>
              </w:rPr>
              <w:t xml:space="preserve"> </w:t>
            </w:r>
            <w:r>
              <w:rPr>
                <w:sz w:val="18"/>
              </w:rPr>
              <w:t>planning.</w:t>
            </w:r>
          </w:p>
        </w:tc>
        <w:tc>
          <w:tcPr>
            <w:tcW w:w="6342" w:type="dxa"/>
            <w:tcBorders>
              <w:bottom w:val="single" w:sz="4" w:space="0" w:color="BEBEBE"/>
            </w:tcBorders>
          </w:tcPr>
          <w:p w14:paraId="53A704D0" w14:textId="77777777" w:rsidR="00BC24A8" w:rsidRDefault="00000000">
            <w:pPr>
              <w:pStyle w:val="TableParagraph"/>
              <w:spacing w:before="100"/>
              <w:ind w:left="147" w:right="129"/>
              <w:rPr>
                <w:sz w:val="18"/>
              </w:rPr>
            </w:pPr>
            <w:r>
              <w:rPr>
                <w:sz w:val="18"/>
              </w:rPr>
              <w:t>GEDSI:</w:t>
            </w:r>
            <w:r>
              <w:rPr>
                <w:spacing w:val="-3"/>
                <w:sz w:val="18"/>
              </w:rPr>
              <w:t xml:space="preserve"> </w:t>
            </w:r>
            <w:r>
              <w:rPr>
                <w:sz w:val="18"/>
              </w:rPr>
              <w:t>involvement</w:t>
            </w:r>
            <w:r>
              <w:rPr>
                <w:spacing w:val="-2"/>
                <w:sz w:val="18"/>
              </w:rPr>
              <w:t xml:space="preserve"> </w:t>
            </w:r>
            <w:r>
              <w:rPr>
                <w:sz w:val="18"/>
              </w:rPr>
              <w:t>of</w:t>
            </w:r>
            <w:r>
              <w:rPr>
                <w:spacing w:val="-4"/>
                <w:sz w:val="18"/>
              </w:rPr>
              <w:t xml:space="preserve"> </w:t>
            </w:r>
            <w:r>
              <w:rPr>
                <w:sz w:val="18"/>
              </w:rPr>
              <w:t>persons</w:t>
            </w:r>
            <w:r>
              <w:rPr>
                <w:spacing w:val="-3"/>
                <w:sz w:val="18"/>
              </w:rPr>
              <w:t xml:space="preserve"> </w:t>
            </w:r>
            <w:r>
              <w:rPr>
                <w:sz w:val="18"/>
              </w:rPr>
              <w:t>with</w:t>
            </w:r>
            <w:r>
              <w:rPr>
                <w:spacing w:val="-3"/>
                <w:sz w:val="18"/>
              </w:rPr>
              <w:t xml:space="preserve"> </w:t>
            </w:r>
            <w:r>
              <w:rPr>
                <w:sz w:val="18"/>
              </w:rPr>
              <w:t>disabilities</w:t>
            </w:r>
            <w:r>
              <w:rPr>
                <w:spacing w:val="-3"/>
                <w:sz w:val="18"/>
              </w:rPr>
              <w:t xml:space="preserve"> </w:t>
            </w:r>
            <w:r>
              <w:rPr>
                <w:sz w:val="18"/>
              </w:rPr>
              <w:t>in</w:t>
            </w:r>
            <w:r>
              <w:rPr>
                <w:spacing w:val="-3"/>
                <w:sz w:val="18"/>
              </w:rPr>
              <w:t xml:space="preserve"> </w:t>
            </w:r>
            <w:r>
              <w:rPr>
                <w:sz w:val="18"/>
              </w:rPr>
              <w:t>providing</w:t>
            </w:r>
            <w:r>
              <w:rPr>
                <w:spacing w:val="-6"/>
                <w:sz w:val="18"/>
              </w:rPr>
              <w:t xml:space="preserve"> </w:t>
            </w:r>
            <w:r>
              <w:rPr>
                <w:sz w:val="18"/>
              </w:rPr>
              <w:t>input</w:t>
            </w:r>
            <w:r>
              <w:rPr>
                <w:spacing w:val="-2"/>
                <w:sz w:val="18"/>
              </w:rPr>
              <w:t xml:space="preserve"> </w:t>
            </w:r>
            <w:r>
              <w:rPr>
                <w:sz w:val="18"/>
              </w:rPr>
              <w:t>for</w:t>
            </w:r>
            <w:r>
              <w:rPr>
                <w:spacing w:val="-3"/>
                <w:sz w:val="18"/>
              </w:rPr>
              <w:t xml:space="preserve"> </w:t>
            </w:r>
            <w:r>
              <w:rPr>
                <w:sz w:val="18"/>
              </w:rPr>
              <w:t>RAD</w:t>
            </w:r>
            <w:r>
              <w:rPr>
                <w:spacing w:val="-2"/>
                <w:sz w:val="18"/>
              </w:rPr>
              <w:t xml:space="preserve"> </w:t>
            </w:r>
            <w:r>
              <w:rPr>
                <w:sz w:val="18"/>
              </w:rPr>
              <w:t>PD</w:t>
            </w:r>
            <w:r>
              <w:rPr>
                <w:spacing w:val="-2"/>
                <w:sz w:val="18"/>
              </w:rPr>
              <w:t xml:space="preserve"> </w:t>
            </w:r>
            <w:r>
              <w:rPr>
                <w:sz w:val="18"/>
              </w:rPr>
              <w:t>and</w:t>
            </w:r>
            <w:r>
              <w:rPr>
                <w:spacing w:val="-3"/>
                <w:sz w:val="18"/>
              </w:rPr>
              <w:t xml:space="preserve"> </w:t>
            </w:r>
            <w:r>
              <w:rPr>
                <w:sz w:val="18"/>
              </w:rPr>
              <w:t>as a part of the Technical Team on Gender Mainstreaming (PUG).</w:t>
            </w:r>
          </w:p>
        </w:tc>
      </w:tr>
      <w:tr w:rsidR="00BC24A8" w14:paraId="1C3B6832" w14:textId="77777777">
        <w:trPr>
          <w:trHeight w:val="1297"/>
        </w:trPr>
        <w:tc>
          <w:tcPr>
            <w:tcW w:w="2757" w:type="dxa"/>
            <w:tcBorders>
              <w:top w:val="single" w:sz="4" w:space="0" w:color="BEBEBE"/>
              <w:bottom w:val="single" w:sz="4" w:space="0" w:color="BEBEBE"/>
            </w:tcBorders>
          </w:tcPr>
          <w:p w14:paraId="7E49AF6B" w14:textId="77777777" w:rsidR="00BC24A8" w:rsidRDefault="00000000">
            <w:pPr>
              <w:pStyle w:val="TableParagraph"/>
              <w:spacing w:before="59"/>
              <w:ind w:left="115" w:right="112"/>
              <w:rPr>
                <w:sz w:val="18"/>
              </w:rPr>
            </w:pPr>
            <w:r>
              <w:rPr>
                <w:sz w:val="18"/>
              </w:rPr>
              <w:t>Strengthen</w:t>
            </w:r>
            <w:r>
              <w:rPr>
                <w:spacing w:val="-11"/>
                <w:sz w:val="18"/>
              </w:rPr>
              <w:t xml:space="preserve"> </w:t>
            </w:r>
            <w:r>
              <w:rPr>
                <w:sz w:val="18"/>
              </w:rPr>
              <w:t>the</w:t>
            </w:r>
            <w:r>
              <w:rPr>
                <w:spacing w:val="-10"/>
                <w:sz w:val="18"/>
              </w:rPr>
              <w:t xml:space="preserve"> </w:t>
            </w:r>
            <w:r>
              <w:rPr>
                <w:sz w:val="18"/>
              </w:rPr>
              <w:t>data</w:t>
            </w:r>
            <w:r>
              <w:rPr>
                <w:spacing w:val="-10"/>
                <w:sz w:val="18"/>
              </w:rPr>
              <w:t xml:space="preserve"> </w:t>
            </w:r>
            <w:r>
              <w:rPr>
                <w:sz w:val="18"/>
              </w:rPr>
              <w:t>governance framework to support inclusive basic service delivery</w:t>
            </w:r>
          </w:p>
        </w:tc>
        <w:tc>
          <w:tcPr>
            <w:tcW w:w="6342" w:type="dxa"/>
            <w:tcBorders>
              <w:top w:val="single" w:sz="4" w:space="0" w:color="BEBEBE"/>
              <w:bottom w:val="single" w:sz="4" w:space="0" w:color="BEBEBE"/>
            </w:tcBorders>
          </w:tcPr>
          <w:p w14:paraId="6BDB970D" w14:textId="77777777" w:rsidR="00BC24A8" w:rsidRDefault="00000000">
            <w:pPr>
              <w:pStyle w:val="TableParagraph"/>
              <w:spacing w:before="59"/>
              <w:ind w:left="147" w:right="727"/>
              <w:rPr>
                <w:sz w:val="18"/>
              </w:rPr>
            </w:pPr>
            <w:r>
              <w:rPr>
                <w:sz w:val="18"/>
              </w:rPr>
              <w:t>Increasing</w:t>
            </w:r>
            <w:r>
              <w:rPr>
                <w:spacing w:val="-4"/>
                <w:sz w:val="18"/>
              </w:rPr>
              <w:t xml:space="preserve"> </w:t>
            </w:r>
            <w:r>
              <w:rPr>
                <w:sz w:val="18"/>
              </w:rPr>
              <w:t>coverage</w:t>
            </w:r>
            <w:r>
              <w:rPr>
                <w:spacing w:val="-4"/>
                <w:sz w:val="18"/>
              </w:rPr>
              <w:t xml:space="preserve"> </w:t>
            </w:r>
            <w:r>
              <w:rPr>
                <w:sz w:val="18"/>
              </w:rPr>
              <w:t>of</w:t>
            </w:r>
            <w:r>
              <w:rPr>
                <w:spacing w:val="-4"/>
                <w:sz w:val="18"/>
              </w:rPr>
              <w:t xml:space="preserve"> </w:t>
            </w:r>
            <w:r>
              <w:rPr>
                <w:sz w:val="18"/>
              </w:rPr>
              <w:t>districts/cities</w:t>
            </w:r>
            <w:r>
              <w:rPr>
                <w:spacing w:val="-4"/>
                <w:sz w:val="18"/>
              </w:rPr>
              <w:t xml:space="preserve"> </w:t>
            </w:r>
            <w:r>
              <w:rPr>
                <w:sz w:val="18"/>
              </w:rPr>
              <w:t>and</w:t>
            </w:r>
            <w:r>
              <w:rPr>
                <w:spacing w:val="-4"/>
                <w:sz w:val="18"/>
              </w:rPr>
              <w:t xml:space="preserve"> </w:t>
            </w:r>
            <w:r>
              <w:rPr>
                <w:sz w:val="18"/>
              </w:rPr>
              <w:t>utilisation</w:t>
            </w:r>
            <w:r>
              <w:rPr>
                <w:spacing w:val="-4"/>
                <w:sz w:val="18"/>
              </w:rPr>
              <w:t xml:space="preserve"> </w:t>
            </w:r>
            <w:r>
              <w:rPr>
                <w:sz w:val="18"/>
              </w:rPr>
              <w:t>of</w:t>
            </w:r>
            <w:r>
              <w:rPr>
                <w:spacing w:val="-4"/>
                <w:sz w:val="18"/>
              </w:rPr>
              <w:t xml:space="preserve"> </w:t>
            </w:r>
            <w:r>
              <w:rPr>
                <w:sz w:val="18"/>
              </w:rPr>
              <w:t>Papua’s</w:t>
            </w:r>
            <w:r>
              <w:rPr>
                <w:spacing w:val="-4"/>
                <w:sz w:val="18"/>
              </w:rPr>
              <w:t xml:space="preserve"> </w:t>
            </w:r>
            <w:r>
              <w:rPr>
                <w:sz w:val="18"/>
              </w:rPr>
              <w:t>SIO</w:t>
            </w:r>
            <w:r>
              <w:rPr>
                <w:spacing w:val="-2"/>
                <w:sz w:val="18"/>
              </w:rPr>
              <w:t xml:space="preserve"> </w:t>
            </w:r>
            <w:r>
              <w:rPr>
                <w:sz w:val="18"/>
              </w:rPr>
              <w:t>data. Strengthening Papua Data Centre (regulatory adjustments, data portal revitalisation,</w:t>
            </w:r>
            <w:r>
              <w:rPr>
                <w:spacing w:val="-5"/>
                <w:sz w:val="18"/>
              </w:rPr>
              <w:t xml:space="preserve"> </w:t>
            </w:r>
            <w:r>
              <w:rPr>
                <w:sz w:val="18"/>
              </w:rPr>
              <w:t>staff</w:t>
            </w:r>
            <w:r>
              <w:rPr>
                <w:spacing w:val="-5"/>
                <w:sz w:val="18"/>
              </w:rPr>
              <w:t xml:space="preserve"> </w:t>
            </w:r>
            <w:r>
              <w:rPr>
                <w:sz w:val="18"/>
              </w:rPr>
              <w:t>capacity</w:t>
            </w:r>
            <w:r>
              <w:rPr>
                <w:spacing w:val="-4"/>
                <w:sz w:val="18"/>
              </w:rPr>
              <w:t xml:space="preserve"> </w:t>
            </w:r>
            <w:r>
              <w:rPr>
                <w:sz w:val="18"/>
              </w:rPr>
              <w:t>building,</w:t>
            </w:r>
            <w:r>
              <w:rPr>
                <w:spacing w:val="-5"/>
                <w:sz w:val="18"/>
              </w:rPr>
              <w:t xml:space="preserve"> </w:t>
            </w:r>
            <w:r>
              <w:rPr>
                <w:sz w:val="18"/>
              </w:rPr>
              <w:t>and</w:t>
            </w:r>
            <w:r>
              <w:rPr>
                <w:spacing w:val="-4"/>
                <w:sz w:val="18"/>
              </w:rPr>
              <w:t xml:space="preserve"> </w:t>
            </w:r>
            <w:r>
              <w:rPr>
                <w:sz w:val="18"/>
              </w:rPr>
              <w:t>functioning</w:t>
            </w:r>
            <w:r>
              <w:rPr>
                <w:spacing w:val="-5"/>
                <w:sz w:val="18"/>
              </w:rPr>
              <w:t xml:space="preserve"> </w:t>
            </w:r>
            <w:r>
              <w:rPr>
                <w:sz w:val="18"/>
              </w:rPr>
              <w:t>of</w:t>
            </w:r>
            <w:r>
              <w:rPr>
                <w:spacing w:val="-5"/>
                <w:sz w:val="18"/>
              </w:rPr>
              <w:t xml:space="preserve"> </w:t>
            </w:r>
            <w:r>
              <w:rPr>
                <w:sz w:val="18"/>
              </w:rPr>
              <w:t>the</w:t>
            </w:r>
            <w:r>
              <w:rPr>
                <w:spacing w:val="-4"/>
                <w:sz w:val="18"/>
              </w:rPr>
              <w:t xml:space="preserve"> </w:t>
            </w:r>
            <w:r>
              <w:rPr>
                <w:sz w:val="18"/>
              </w:rPr>
              <w:t>data</w:t>
            </w:r>
            <w:r>
              <w:rPr>
                <w:spacing w:val="-5"/>
                <w:sz w:val="18"/>
              </w:rPr>
              <w:t xml:space="preserve"> </w:t>
            </w:r>
            <w:r>
              <w:rPr>
                <w:sz w:val="18"/>
              </w:rPr>
              <w:t>forum). One Data oversight (Korbinwas) at the district/city level.</w:t>
            </w:r>
          </w:p>
          <w:p w14:paraId="623EBF3D" w14:textId="77777777" w:rsidR="00BC24A8" w:rsidRDefault="00000000">
            <w:pPr>
              <w:pStyle w:val="TableParagraph"/>
              <w:spacing w:before="18"/>
              <w:ind w:left="147"/>
              <w:rPr>
                <w:sz w:val="18"/>
              </w:rPr>
            </w:pPr>
            <w:r>
              <w:rPr>
                <w:sz w:val="18"/>
              </w:rPr>
              <w:t>Strengthening</w:t>
            </w:r>
            <w:r>
              <w:rPr>
                <w:spacing w:val="-3"/>
                <w:sz w:val="18"/>
              </w:rPr>
              <w:t xml:space="preserve"> </w:t>
            </w:r>
            <w:r>
              <w:rPr>
                <w:sz w:val="18"/>
              </w:rPr>
              <w:t>data</w:t>
            </w:r>
            <w:r>
              <w:rPr>
                <w:spacing w:val="-3"/>
                <w:sz w:val="18"/>
              </w:rPr>
              <w:t xml:space="preserve"> </w:t>
            </w:r>
            <w:r>
              <w:rPr>
                <w:sz w:val="18"/>
              </w:rPr>
              <w:t>analysis</w:t>
            </w:r>
            <w:r>
              <w:rPr>
                <w:spacing w:val="-2"/>
                <w:sz w:val="18"/>
              </w:rPr>
              <w:t xml:space="preserve"> </w:t>
            </w:r>
            <w:r>
              <w:rPr>
                <w:sz w:val="18"/>
              </w:rPr>
              <w:t>capacity</w:t>
            </w:r>
            <w:r>
              <w:rPr>
                <w:spacing w:val="-2"/>
                <w:sz w:val="18"/>
              </w:rPr>
              <w:t xml:space="preserve"> </w:t>
            </w:r>
            <w:r>
              <w:rPr>
                <w:sz w:val="18"/>
              </w:rPr>
              <w:t>(use</w:t>
            </w:r>
            <w:r>
              <w:rPr>
                <w:spacing w:val="-2"/>
                <w:sz w:val="18"/>
              </w:rPr>
              <w:t xml:space="preserve"> </w:t>
            </w:r>
            <w:r>
              <w:rPr>
                <w:sz w:val="18"/>
              </w:rPr>
              <w:t>of</w:t>
            </w:r>
            <w:r>
              <w:rPr>
                <w:spacing w:val="-2"/>
                <w:sz w:val="18"/>
              </w:rPr>
              <w:t xml:space="preserve"> SEPAKAT</w:t>
            </w:r>
            <w:hyperlink w:anchor="_bookmark177" w:history="1">
              <w:r w:rsidR="00BC24A8">
                <w:rPr>
                  <w:spacing w:val="-2"/>
                  <w:sz w:val="18"/>
                  <w:vertAlign w:val="superscript"/>
                </w:rPr>
                <w:t>94</w:t>
              </w:r>
            </w:hyperlink>
            <w:r>
              <w:rPr>
                <w:spacing w:val="-2"/>
                <w:sz w:val="18"/>
              </w:rPr>
              <w:t>).</w:t>
            </w:r>
          </w:p>
        </w:tc>
      </w:tr>
      <w:tr w:rsidR="00BC24A8" w14:paraId="2FE9D919" w14:textId="77777777">
        <w:trPr>
          <w:trHeight w:val="1271"/>
        </w:trPr>
        <w:tc>
          <w:tcPr>
            <w:tcW w:w="2757" w:type="dxa"/>
            <w:tcBorders>
              <w:top w:val="single" w:sz="4" w:space="0" w:color="BEBEBE"/>
              <w:bottom w:val="single" w:sz="4" w:space="0" w:color="BEBEBE"/>
            </w:tcBorders>
          </w:tcPr>
          <w:p w14:paraId="2E190242" w14:textId="77777777" w:rsidR="00BC24A8" w:rsidRDefault="00000000">
            <w:pPr>
              <w:pStyle w:val="TableParagraph"/>
              <w:spacing w:before="56"/>
              <w:ind w:left="115" w:right="112"/>
              <w:rPr>
                <w:sz w:val="18"/>
              </w:rPr>
            </w:pPr>
            <w:r>
              <w:rPr>
                <w:sz w:val="18"/>
              </w:rPr>
              <w:t>Develop</w:t>
            </w:r>
            <w:r>
              <w:rPr>
                <w:spacing w:val="-9"/>
                <w:sz w:val="18"/>
              </w:rPr>
              <w:t xml:space="preserve"> </w:t>
            </w:r>
            <w:r>
              <w:rPr>
                <w:sz w:val="18"/>
              </w:rPr>
              <w:t>a</w:t>
            </w:r>
            <w:r>
              <w:rPr>
                <w:spacing w:val="-10"/>
                <w:sz w:val="18"/>
              </w:rPr>
              <w:t xml:space="preserve"> </w:t>
            </w:r>
            <w:r>
              <w:rPr>
                <w:sz w:val="18"/>
              </w:rPr>
              <w:t>more</w:t>
            </w:r>
            <w:r>
              <w:rPr>
                <w:spacing w:val="-9"/>
                <w:sz w:val="18"/>
              </w:rPr>
              <w:t xml:space="preserve"> </w:t>
            </w:r>
            <w:r>
              <w:rPr>
                <w:sz w:val="18"/>
              </w:rPr>
              <w:t>consolidated</w:t>
            </w:r>
            <w:r>
              <w:rPr>
                <w:spacing w:val="-9"/>
                <w:sz w:val="18"/>
              </w:rPr>
              <w:t xml:space="preserve"> </w:t>
            </w:r>
            <w:r>
              <w:rPr>
                <w:sz w:val="18"/>
              </w:rPr>
              <w:t xml:space="preserve">and inclusive framework for MSS implementation and routine </w:t>
            </w:r>
            <w:r>
              <w:rPr>
                <w:spacing w:val="-2"/>
                <w:sz w:val="18"/>
              </w:rPr>
              <w:t>planning</w:t>
            </w:r>
          </w:p>
        </w:tc>
        <w:tc>
          <w:tcPr>
            <w:tcW w:w="6342" w:type="dxa"/>
            <w:tcBorders>
              <w:top w:val="single" w:sz="4" w:space="0" w:color="BEBEBE"/>
              <w:bottom w:val="single" w:sz="4" w:space="0" w:color="BEBEBE"/>
            </w:tcBorders>
          </w:tcPr>
          <w:p w14:paraId="10786B61" w14:textId="77777777" w:rsidR="00BC24A8" w:rsidRDefault="00000000">
            <w:pPr>
              <w:pStyle w:val="TableParagraph"/>
              <w:spacing w:before="56"/>
              <w:ind w:left="147"/>
              <w:rPr>
                <w:sz w:val="18"/>
              </w:rPr>
            </w:pPr>
            <w:r>
              <w:rPr>
                <w:sz w:val="18"/>
              </w:rPr>
              <w:t>MSS:</w:t>
            </w:r>
            <w:r>
              <w:rPr>
                <w:spacing w:val="-3"/>
                <w:sz w:val="18"/>
              </w:rPr>
              <w:t xml:space="preserve"> </w:t>
            </w:r>
            <w:r>
              <w:rPr>
                <w:sz w:val="18"/>
              </w:rPr>
              <w:t>MSS</w:t>
            </w:r>
            <w:r>
              <w:rPr>
                <w:spacing w:val="-3"/>
                <w:sz w:val="18"/>
              </w:rPr>
              <w:t xml:space="preserve"> </w:t>
            </w:r>
            <w:r>
              <w:rPr>
                <w:sz w:val="18"/>
              </w:rPr>
              <w:t>Action</w:t>
            </w:r>
            <w:r>
              <w:rPr>
                <w:spacing w:val="-3"/>
                <w:sz w:val="18"/>
              </w:rPr>
              <w:t xml:space="preserve"> </w:t>
            </w:r>
            <w:r>
              <w:rPr>
                <w:sz w:val="18"/>
              </w:rPr>
              <w:t>Plans,</w:t>
            </w:r>
            <w:r>
              <w:rPr>
                <w:spacing w:val="-4"/>
                <w:sz w:val="18"/>
              </w:rPr>
              <w:t xml:space="preserve"> </w:t>
            </w:r>
            <w:r>
              <w:rPr>
                <w:sz w:val="18"/>
              </w:rPr>
              <w:t>reporting</w:t>
            </w:r>
            <w:r>
              <w:rPr>
                <w:spacing w:val="-6"/>
                <w:sz w:val="18"/>
              </w:rPr>
              <w:t xml:space="preserve"> </w:t>
            </w:r>
            <w:r>
              <w:rPr>
                <w:sz w:val="18"/>
              </w:rPr>
              <w:t>and</w:t>
            </w:r>
            <w:r>
              <w:rPr>
                <w:spacing w:val="-3"/>
                <w:sz w:val="18"/>
              </w:rPr>
              <w:t xml:space="preserve"> </w:t>
            </w:r>
            <w:r>
              <w:rPr>
                <w:sz w:val="18"/>
              </w:rPr>
              <w:t>costing,</w:t>
            </w:r>
            <w:r>
              <w:rPr>
                <w:spacing w:val="-4"/>
                <w:sz w:val="18"/>
              </w:rPr>
              <w:t xml:space="preserve"> </w:t>
            </w:r>
            <w:r>
              <w:rPr>
                <w:sz w:val="18"/>
              </w:rPr>
              <w:t>integration</w:t>
            </w:r>
            <w:r>
              <w:rPr>
                <w:spacing w:val="-3"/>
                <w:sz w:val="18"/>
              </w:rPr>
              <w:t xml:space="preserve"> </w:t>
            </w:r>
            <w:r>
              <w:rPr>
                <w:sz w:val="18"/>
              </w:rPr>
              <w:t>of</w:t>
            </w:r>
            <w:r>
              <w:rPr>
                <w:spacing w:val="-4"/>
                <w:sz w:val="18"/>
              </w:rPr>
              <w:t xml:space="preserve"> </w:t>
            </w:r>
            <w:r>
              <w:rPr>
                <w:sz w:val="18"/>
              </w:rPr>
              <w:t>MSS</w:t>
            </w:r>
            <w:r>
              <w:rPr>
                <w:spacing w:val="-3"/>
                <w:sz w:val="18"/>
              </w:rPr>
              <w:t xml:space="preserve"> </w:t>
            </w:r>
            <w:r>
              <w:rPr>
                <w:sz w:val="18"/>
              </w:rPr>
              <w:t>Action</w:t>
            </w:r>
            <w:r>
              <w:rPr>
                <w:spacing w:val="-3"/>
                <w:sz w:val="18"/>
              </w:rPr>
              <w:t xml:space="preserve"> </w:t>
            </w:r>
            <w:r>
              <w:rPr>
                <w:sz w:val="18"/>
              </w:rPr>
              <w:t>Plans</w:t>
            </w:r>
            <w:r>
              <w:rPr>
                <w:spacing w:val="-3"/>
                <w:sz w:val="18"/>
              </w:rPr>
              <w:t xml:space="preserve"> </w:t>
            </w:r>
            <w:r>
              <w:rPr>
                <w:sz w:val="18"/>
              </w:rPr>
              <w:t>into planning</w:t>
            </w:r>
            <w:r>
              <w:rPr>
                <w:spacing w:val="-2"/>
                <w:sz w:val="18"/>
              </w:rPr>
              <w:t xml:space="preserve"> </w:t>
            </w:r>
            <w:r>
              <w:rPr>
                <w:sz w:val="18"/>
              </w:rPr>
              <w:t>documents.</w:t>
            </w:r>
          </w:p>
          <w:p w14:paraId="76BC3410" w14:textId="77777777" w:rsidR="00BC24A8" w:rsidRDefault="00000000">
            <w:pPr>
              <w:pStyle w:val="TableParagraph"/>
              <w:spacing w:before="2"/>
              <w:ind w:left="147"/>
              <w:rPr>
                <w:sz w:val="18"/>
              </w:rPr>
            </w:pPr>
            <w:r>
              <w:rPr>
                <w:sz w:val="18"/>
              </w:rPr>
              <w:t>RKPD</w:t>
            </w:r>
            <w:r>
              <w:rPr>
                <w:spacing w:val="-3"/>
                <w:sz w:val="18"/>
              </w:rPr>
              <w:t xml:space="preserve"> </w:t>
            </w:r>
            <w:r>
              <w:rPr>
                <w:sz w:val="18"/>
              </w:rPr>
              <w:t>planning</w:t>
            </w:r>
            <w:r>
              <w:rPr>
                <w:spacing w:val="-6"/>
                <w:sz w:val="18"/>
              </w:rPr>
              <w:t xml:space="preserve"> </w:t>
            </w:r>
            <w:r>
              <w:rPr>
                <w:sz w:val="18"/>
              </w:rPr>
              <w:t>that</w:t>
            </w:r>
            <w:r>
              <w:rPr>
                <w:spacing w:val="-3"/>
                <w:sz w:val="18"/>
              </w:rPr>
              <w:t xml:space="preserve"> </w:t>
            </w:r>
            <w:r>
              <w:rPr>
                <w:sz w:val="18"/>
              </w:rPr>
              <w:t>prioritises</w:t>
            </w:r>
            <w:r>
              <w:rPr>
                <w:spacing w:val="-4"/>
                <w:sz w:val="18"/>
              </w:rPr>
              <w:t xml:space="preserve"> </w:t>
            </w:r>
            <w:r>
              <w:rPr>
                <w:sz w:val="18"/>
              </w:rPr>
              <w:t>MSS</w:t>
            </w:r>
            <w:r>
              <w:rPr>
                <w:spacing w:val="-4"/>
                <w:sz w:val="18"/>
              </w:rPr>
              <w:t xml:space="preserve"> </w:t>
            </w:r>
            <w:r>
              <w:rPr>
                <w:sz w:val="18"/>
              </w:rPr>
              <w:t>and</w:t>
            </w:r>
            <w:r>
              <w:rPr>
                <w:spacing w:val="-4"/>
                <w:sz w:val="18"/>
              </w:rPr>
              <w:t xml:space="preserve"> </w:t>
            </w:r>
            <w:r>
              <w:rPr>
                <w:sz w:val="18"/>
              </w:rPr>
              <w:t>GEDSI,</w:t>
            </w:r>
            <w:r>
              <w:rPr>
                <w:spacing w:val="-5"/>
                <w:sz w:val="18"/>
              </w:rPr>
              <w:t xml:space="preserve"> </w:t>
            </w:r>
            <w:r>
              <w:rPr>
                <w:sz w:val="18"/>
              </w:rPr>
              <w:t>with</w:t>
            </w:r>
            <w:r>
              <w:rPr>
                <w:spacing w:val="-4"/>
                <w:sz w:val="18"/>
              </w:rPr>
              <w:t xml:space="preserve"> </w:t>
            </w:r>
            <w:r>
              <w:rPr>
                <w:sz w:val="18"/>
              </w:rPr>
              <w:t>capacity</w:t>
            </w:r>
            <w:r>
              <w:rPr>
                <w:spacing w:val="-4"/>
                <w:sz w:val="18"/>
              </w:rPr>
              <w:t xml:space="preserve"> </w:t>
            </w:r>
            <w:r>
              <w:rPr>
                <w:sz w:val="18"/>
              </w:rPr>
              <w:t>for</w:t>
            </w:r>
            <w:r>
              <w:rPr>
                <w:spacing w:val="-4"/>
                <w:sz w:val="18"/>
              </w:rPr>
              <w:t xml:space="preserve"> </w:t>
            </w:r>
            <w:r>
              <w:rPr>
                <w:sz w:val="18"/>
              </w:rPr>
              <w:t>using</w:t>
            </w:r>
            <w:r>
              <w:rPr>
                <w:spacing w:val="-5"/>
                <w:sz w:val="18"/>
              </w:rPr>
              <w:t xml:space="preserve"> </w:t>
            </w:r>
            <w:r>
              <w:rPr>
                <w:sz w:val="18"/>
              </w:rPr>
              <w:t>cascade nomenclature for programs and activities.</w:t>
            </w:r>
          </w:p>
          <w:p w14:paraId="2D26431F" w14:textId="77777777" w:rsidR="00BC24A8" w:rsidRDefault="00000000">
            <w:pPr>
              <w:pStyle w:val="TableParagraph"/>
              <w:spacing w:line="219" w:lineRule="exact"/>
              <w:ind w:left="147"/>
              <w:rPr>
                <w:sz w:val="18"/>
              </w:rPr>
            </w:pPr>
            <w:r>
              <w:rPr>
                <w:sz w:val="18"/>
              </w:rPr>
              <w:t>Utilisation</w:t>
            </w:r>
            <w:r>
              <w:rPr>
                <w:spacing w:val="-4"/>
                <w:sz w:val="18"/>
              </w:rPr>
              <w:t xml:space="preserve"> </w:t>
            </w:r>
            <w:r>
              <w:rPr>
                <w:sz w:val="18"/>
              </w:rPr>
              <w:t>of</w:t>
            </w:r>
            <w:r>
              <w:rPr>
                <w:spacing w:val="-3"/>
                <w:sz w:val="18"/>
              </w:rPr>
              <w:t xml:space="preserve"> </w:t>
            </w:r>
            <w:r>
              <w:rPr>
                <w:sz w:val="18"/>
              </w:rPr>
              <w:t>PERA</w:t>
            </w:r>
            <w:r>
              <w:rPr>
                <w:spacing w:val="-2"/>
                <w:sz w:val="18"/>
              </w:rPr>
              <w:t xml:space="preserve"> </w:t>
            </w:r>
            <w:r>
              <w:rPr>
                <w:sz w:val="18"/>
              </w:rPr>
              <w:t>study</w:t>
            </w:r>
            <w:r>
              <w:rPr>
                <w:spacing w:val="-4"/>
                <w:sz w:val="18"/>
              </w:rPr>
              <w:t xml:space="preserve"> </w:t>
            </w:r>
            <w:r>
              <w:rPr>
                <w:sz w:val="18"/>
              </w:rPr>
              <w:t>results</w:t>
            </w:r>
            <w:r>
              <w:rPr>
                <w:spacing w:val="-5"/>
                <w:sz w:val="18"/>
              </w:rPr>
              <w:t xml:space="preserve"> </w:t>
            </w:r>
            <w:r>
              <w:rPr>
                <w:sz w:val="18"/>
              </w:rPr>
              <w:t>in</w:t>
            </w:r>
            <w:r>
              <w:rPr>
                <w:spacing w:val="-1"/>
                <w:sz w:val="18"/>
              </w:rPr>
              <w:t xml:space="preserve"> </w:t>
            </w:r>
            <w:r>
              <w:rPr>
                <w:sz w:val="18"/>
              </w:rPr>
              <w:t>formulating</w:t>
            </w:r>
            <w:r>
              <w:rPr>
                <w:spacing w:val="-3"/>
                <w:sz w:val="18"/>
              </w:rPr>
              <w:t xml:space="preserve"> </w:t>
            </w:r>
            <w:r>
              <w:rPr>
                <w:sz w:val="18"/>
              </w:rPr>
              <w:t>strategic</w:t>
            </w:r>
            <w:r>
              <w:rPr>
                <w:spacing w:val="-2"/>
                <w:sz w:val="18"/>
              </w:rPr>
              <w:t xml:space="preserve"> </w:t>
            </w:r>
            <w:r>
              <w:rPr>
                <w:sz w:val="18"/>
              </w:rPr>
              <w:t>programs</w:t>
            </w:r>
            <w:r>
              <w:rPr>
                <w:spacing w:val="-4"/>
                <w:sz w:val="18"/>
              </w:rPr>
              <w:t xml:space="preserve"> </w:t>
            </w:r>
            <w:r>
              <w:rPr>
                <w:sz w:val="18"/>
              </w:rPr>
              <w:t>and</w:t>
            </w:r>
            <w:r>
              <w:rPr>
                <w:spacing w:val="-1"/>
                <w:sz w:val="18"/>
              </w:rPr>
              <w:t xml:space="preserve"> </w:t>
            </w:r>
            <w:r>
              <w:rPr>
                <w:spacing w:val="-2"/>
                <w:sz w:val="18"/>
              </w:rPr>
              <w:t>activities.</w:t>
            </w:r>
          </w:p>
        </w:tc>
      </w:tr>
      <w:tr w:rsidR="00BC24A8" w14:paraId="1CC236B0" w14:textId="77777777">
        <w:trPr>
          <w:trHeight w:val="1053"/>
        </w:trPr>
        <w:tc>
          <w:tcPr>
            <w:tcW w:w="2757" w:type="dxa"/>
            <w:tcBorders>
              <w:top w:val="single" w:sz="4" w:space="0" w:color="BEBEBE"/>
              <w:bottom w:val="single" w:sz="4" w:space="0" w:color="BEBEBE"/>
            </w:tcBorders>
          </w:tcPr>
          <w:p w14:paraId="393A6FF2" w14:textId="77777777" w:rsidR="00BC24A8" w:rsidRDefault="00000000">
            <w:pPr>
              <w:pStyle w:val="TableParagraph"/>
              <w:spacing w:before="59"/>
              <w:ind w:left="115" w:right="112"/>
              <w:rPr>
                <w:sz w:val="18"/>
              </w:rPr>
            </w:pPr>
            <w:r>
              <w:rPr>
                <w:sz w:val="18"/>
              </w:rPr>
              <w:t>Establish a more responsive local government</w:t>
            </w:r>
            <w:r>
              <w:rPr>
                <w:spacing w:val="-11"/>
                <w:sz w:val="18"/>
              </w:rPr>
              <w:t xml:space="preserve"> </w:t>
            </w:r>
            <w:r>
              <w:rPr>
                <w:sz w:val="18"/>
              </w:rPr>
              <w:t>budget</w:t>
            </w:r>
            <w:r>
              <w:rPr>
                <w:spacing w:val="-10"/>
                <w:sz w:val="18"/>
              </w:rPr>
              <w:t xml:space="preserve"> </w:t>
            </w:r>
            <w:r>
              <w:rPr>
                <w:sz w:val="18"/>
              </w:rPr>
              <w:t>management framework to ensure inclusive basic service delivery</w:t>
            </w:r>
          </w:p>
        </w:tc>
        <w:tc>
          <w:tcPr>
            <w:tcW w:w="6342" w:type="dxa"/>
            <w:tcBorders>
              <w:top w:val="single" w:sz="4" w:space="0" w:color="BEBEBE"/>
              <w:bottom w:val="single" w:sz="4" w:space="0" w:color="BEBEBE"/>
            </w:tcBorders>
          </w:tcPr>
          <w:p w14:paraId="11E564EB" w14:textId="77777777" w:rsidR="00BC24A8" w:rsidRDefault="00000000">
            <w:pPr>
              <w:pStyle w:val="TableParagraph"/>
              <w:spacing w:before="59"/>
              <w:ind w:left="147"/>
              <w:rPr>
                <w:sz w:val="18"/>
              </w:rPr>
            </w:pPr>
            <w:r>
              <w:rPr>
                <w:sz w:val="18"/>
              </w:rPr>
              <w:t>Supporting</w:t>
            </w:r>
            <w:r>
              <w:rPr>
                <w:spacing w:val="-5"/>
                <w:sz w:val="18"/>
              </w:rPr>
              <w:t xml:space="preserve"> </w:t>
            </w:r>
            <w:r>
              <w:rPr>
                <w:sz w:val="18"/>
              </w:rPr>
              <w:t>the</w:t>
            </w:r>
            <w:r>
              <w:rPr>
                <w:spacing w:val="-7"/>
                <w:sz w:val="18"/>
              </w:rPr>
              <w:t xml:space="preserve"> </w:t>
            </w:r>
            <w:r>
              <w:rPr>
                <w:sz w:val="18"/>
              </w:rPr>
              <w:t>implementation</w:t>
            </w:r>
            <w:r>
              <w:rPr>
                <w:spacing w:val="-4"/>
                <w:sz w:val="18"/>
              </w:rPr>
              <w:t xml:space="preserve"> </w:t>
            </w:r>
            <w:r>
              <w:rPr>
                <w:sz w:val="18"/>
              </w:rPr>
              <w:t>of</w:t>
            </w:r>
            <w:r>
              <w:rPr>
                <w:spacing w:val="-5"/>
                <w:sz w:val="18"/>
              </w:rPr>
              <w:t xml:space="preserve"> </w:t>
            </w:r>
            <w:r>
              <w:rPr>
                <w:sz w:val="18"/>
              </w:rPr>
              <w:t>policies</w:t>
            </w:r>
            <w:r>
              <w:rPr>
                <w:spacing w:val="-4"/>
                <w:sz w:val="18"/>
              </w:rPr>
              <w:t xml:space="preserve"> </w:t>
            </w:r>
            <w:r>
              <w:rPr>
                <w:sz w:val="18"/>
              </w:rPr>
              <w:t>and</w:t>
            </w:r>
            <w:r>
              <w:rPr>
                <w:spacing w:val="-4"/>
                <w:sz w:val="18"/>
              </w:rPr>
              <w:t xml:space="preserve"> </w:t>
            </w:r>
            <w:r>
              <w:rPr>
                <w:sz w:val="18"/>
              </w:rPr>
              <w:t>regulations</w:t>
            </w:r>
            <w:r>
              <w:rPr>
                <w:spacing w:val="-4"/>
                <w:sz w:val="18"/>
              </w:rPr>
              <w:t xml:space="preserve"> </w:t>
            </w:r>
            <w:r>
              <w:rPr>
                <w:sz w:val="18"/>
              </w:rPr>
              <w:t>to</w:t>
            </w:r>
            <w:r>
              <w:rPr>
                <w:spacing w:val="-5"/>
                <w:sz w:val="18"/>
              </w:rPr>
              <w:t xml:space="preserve"> </w:t>
            </w:r>
            <w:r>
              <w:rPr>
                <w:sz w:val="18"/>
              </w:rPr>
              <w:t>optimise</w:t>
            </w:r>
            <w:r>
              <w:rPr>
                <w:spacing w:val="-5"/>
                <w:sz w:val="18"/>
              </w:rPr>
              <w:t xml:space="preserve"> </w:t>
            </w:r>
            <w:r>
              <w:rPr>
                <w:sz w:val="18"/>
              </w:rPr>
              <w:t xml:space="preserve">regional </w:t>
            </w:r>
            <w:r>
              <w:rPr>
                <w:spacing w:val="-2"/>
                <w:sz w:val="18"/>
              </w:rPr>
              <w:t>revenue.</w:t>
            </w:r>
          </w:p>
          <w:p w14:paraId="285D4238" w14:textId="77777777" w:rsidR="00BC24A8" w:rsidRDefault="00000000">
            <w:pPr>
              <w:pStyle w:val="TableParagraph"/>
              <w:ind w:left="147" w:right="727"/>
              <w:rPr>
                <w:sz w:val="18"/>
              </w:rPr>
            </w:pPr>
            <w:r>
              <w:rPr>
                <w:sz w:val="18"/>
              </w:rPr>
              <w:t>Preparation</w:t>
            </w:r>
            <w:r>
              <w:rPr>
                <w:spacing w:val="-3"/>
                <w:sz w:val="18"/>
              </w:rPr>
              <w:t xml:space="preserve"> </w:t>
            </w:r>
            <w:r>
              <w:rPr>
                <w:sz w:val="18"/>
              </w:rPr>
              <w:t>of</w:t>
            </w:r>
            <w:r>
              <w:rPr>
                <w:spacing w:val="-4"/>
                <w:sz w:val="18"/>
              </w:rPr>
              <w:t xml:space="preserve"> </w:t>
            </w:r>
            <w:r>
              <w:rPr>
                <w:sz w:val="18"/>
              </w:rPr>
              <w:t>Palm</w:t>
            </w:r>
            <w:r>
              <w:rPr>
                <w:spacing w:val="-4"/>
                <w:sz w:val="18"/>
              </w:rPr>
              <w:t xml:space="preserve"> </w:t>
            </w:r>
            <w:r>
              <w:rPr>
                <w:sz w:val="18"/>
              </w:rPr>
              <w:t>Oil</w:t>
            </w:r>
            <w:r>
              <w:rPr>
                <w:spacing w:val="-3"/>
                <w:sz w:val="18"/>
              </w:rPr>
              <w:t xml:space="preserve"> </w:t>
            </w:r>
            <w:r>
              <w:rPr>
                <w:sz w:val="18"/>
              </w:rPr>
              <w:t>Revenue</w:t>
            </w:r>
            <w:r>
              <w:rPr>
                <w:spacing w:val="-3"/>
                <w:sz w:val="18"/>
              </w:rPr>
              <w:t xml:space="preserve"> </w:t>
            </w:r>
            <w:r>
              <w:rPr>
                <w:sz w:val="18"/>
              </w:rPr>
              <w:t>Sharing</w:t>
            </w:r>
            <w:r>
              <w:rPr>
                <w:spacing w:val="-4"/>
                <w:sz w:val="18"/>
              </w:rPr>
              <w:t xml:space="preserve"> </w:t>
            </w:r>
            <w:r>
              <w:rPr>
                <w:sz w:val="18"/>
              </w:rPr>
              <w:t>Fund</w:t>
            </w:r>
            <w:r>
              <w:rPr>
                <w:spacing w:val="-3"/>
                <w:sz w:val="18"/>
              </w:rPr>
              <w:t xml:space="preserve"> </w:t>
            </w:r>
            <w:r>
              <w:rPr>
                <w:sz w:val="18"/>
              </w:rPr>
              <w:t>(DBH</w:t>
            </w:r>
            <w:r>
              <w:rPr>
                <w:spacing w:val="-4"/>
                <w:sz w:val="18"/>
              </w:rPr>
              <w:t xml:space="preserve"> </w:t>
            </w:r>
            <w:r>
              <w:rPr>
                <w:sz w:val="18"/>
              </w:rPr>
              <w:t>Sawit)</w:t>
            </w:r>
            <w:r>
              <w:rPr>
                <w:spacing w:val="-4"/>
                <w:sz w:val="18"/>
              </w:rPr>
              <w:t xml:space="preserve"> </w:t>
            </w:r>
            <w:r>
              <w:rPr>
                <w:sz w:val="18"/>
              </w:rPr>
              <w:t>Action</w:t>
            </w:r>
            <w:r>
              <w:rPr>
                <w:spacing w:val="-6"/>
                <w:sz w:val="18"/>
              </w:rPr>
              <w:t xml:space="preserve"> </w:t>
            </w:r>
            <w:r>
              <w:rPr>
                <w:sz w:val="18"/>
              </w:rPr>
              <w:t>Plans. Enhancing capacity for managing DAK and DAU.</w:t>
            </w:r>
          </w:p>
        </w:tc>
      </w:tr>
      <w:tr w:rsidR="00BC24A8" w14:paraId="404E42B0" w14:textId="77777777">
        <w:trPr>
          <w:trHeight w:val="1053"/>
        </w:trPr>
        <w:tc>
          <w:tcPr>
            <w:tcW w:w="2757" w:type="dxa"/>
            <w:tcBorders>
              <w:top w:val="single" w:sz="4" w:space="0" w:color="BEBEBE"/>
              <w:bottom w:val="single" w:sz="4" w:space="0" w:color="BEBEBE"/>
            </w:tcBorders>
          </w:tcPr>
          <w:p w14:paraId="61B8B755" w14:textId="77777777" w:rsidR="00BC24A8" w:rsidRDefault="00000000">
            <w:pPr>
              <w:pStyle w:val="TableParagraph"/>
              <w:spacing w:before="59"/>
              <w:ind w:left="115"/>
              <w:rPr>
                <w:sz w:val="18"/>
              </w:rPr>
            </w:pPr>
            <w:r>
              <w:rPr>
                <w:sz w:val="18"/>
              </w:rPr>
              <w:t>Promote more effective management</w:t>
            </w:r>
            <w:r>
              <w:rPr>
                <w:spacing w:val="-11"/>
                <w:sz w:val="18"/>
              </w:rPr>
              <w:t xml:space="preserve"> </w:t>
            </w:r>
            <w:r>
              <w:rPr>
                <w:sz w:val="18"/>
              </w:rPr>
              <w:t>of</w:t>
            </w:r>
            <w:r>
              <w:rPr>
                <w:spacing w:val="-10"/>
                <w:sz w:val="18"/>
              </w:rPr>
              <w:t xml:space="preserve"> </w:t>
            </w:r>
            <w:r>
              <w:rPr>
                <w:sz w:val="18"/>
              </w:rPr>
              <w:t>Special</w:t>
            </w:r>
            <w:r>
              <w:rPr>
                <w:spacing w:val="-10"/>
                <w:sz w:val="18"/>
              </w:rPr>
              <w:t xml:space="preserve"> </w:t>
            </w:r>
            <w:r>
              <w:rPr>
                <w:sz w:val="18"/>
              </w:rPr>
              <w:t>Autonomy (Otsus)</w:t>
            </w:r>
            <w:r>
              <w:rPr>
                <w:spacing w:val="-2"/>
                <w:sz w:val="18"/>
              </w:rPr>
              <w:t xml:space="preserve"> </w:t>
            </w:r>
            <w:r>
              <w:rPr>
                <w:sz w:val="18"/>
              </w:rPr>
              <w:t>funds</w:t>
            </w:r>
          </w:p>
        </w:tc>
        <w:tc>
          <w:tcPr>
            <w:tcW w:w="6342" w:type="dxa"/>
            <w:tcBorders>
              <w:top w:val="single" w:sz="4" w:space="0" w:color="BEBEBE"/>
              <w:bottom w:val="single" w:sz="4" w:space="0" w:color="BEBEBE"/>
            </w:tcBorders>
          </w:tcPr>
          <w:p w14:paraId="065E16F7" w14:textId="77777777" w:rsidR="00BC24A8" w:rsidRDefault="00000000">
            <w:pPr>
              <w:pStyle w:val="TableParagraph"/>
              <w:spacing w:before="59"/>
              <w:ind w:left="147" w:right="194"/>
              <w:rPr>
                <w:sz w:val="18"/>
              </w:rPr>
            </w:pPr>
            <w:r>
              <w:rPr>
                <w:sz w:val="18"/>
              </w:rPr>
              <w:t>Establishing</w:t>
            </w:r>
            <w:r>
              <w:rPr>
                <w:spacing w:val="-7"/>
                <w:sz w:val="18"/>
              </w:rPr>
              <w:t xml:space="preserve"> </w:t>
            </w:r>
            <w:r>
              <w:rPr>
                <w:sz w:val="18"/>
              </w:rPr>
              <w:t>Otsus</w:t>
            </w:r>
            <w:r>
              <w:rPr>
                <w:spacing w:val="-6"/>
                <w:sz w:val="18"/>
              </w:rPr>
              <w:t xml:space="preserve"> </w:t>
            </w:r>
            <w:r>
              <w:rPr>
                <w:sz w:val="18"/>
              </w:rPr>
              <w:t>coordination</w:t>
            </w:r>
            <w:r>
              <w:rPr>
                <w:spacing w:val="-6"/>
                <w:sz w:val="18"/>
              </w:rPr>
              <w:t xml:space="preserve"> </w:t>
            </w:r>
            <w:r>
              <w:rPr>
                <w:sz w:val="18"/>
              </w:rPr>
              <w:t>forums,</w:t>
            </w:r>
            <w:r>
              <w:rPr>
                <w:spacing w:val="-7"/>
                <w:sz w:val="18"/>
              </w:rPr>
              <w:t xml:space="preserve"> </w:t>
            </w:r>
            <w:r>
              <w:rPr>
                <w:sz w:val="18"/>
              </w:rPr>
              <w:t>increasing</w:t>
            </w:r>
            <w:r>
              <w:rPr>
                <w:spacing w:val="-7"/>
                <w:sz w:val="18"/>
              </w:rPr>
              <w:t xml:space="preserve"> </w:t>
            </w:r>
            <w:r>
              <w:rPr>
                <w:sz w:val="18"/>
              </w:rPr>
              <w:t>provincial</w:t>
            </w:r>
            <w:r>
              <w:rPr>
                <w:spacing w:val="-5"/>
                <w:sz w:val="18"/>
              </w:rPr>
              <w:t xml:space="preserve"> </w:t>
            </w:r>
            <w:r>
              <w:rPr>
                <w:sz w:val="18"/>
              </w:rPr>
              <w:t>evaluator</w:t>
            </w:r>
            <w:r>
              <w:rPr>
                <w:spacing w:val="-6"/>
                <w:sz w:val="18"/>
              </w:rPr>
              <w:t xml:space="preserve"> </w:t>
            </w:r>
            <w:r>
              <w:rPr>
                <w:sz w:val="18"/>
              </w:rPr>
              <w:t>capacity, and producing more inclusive RAP content.</w:t>
            </w:r>
          </w:p>
          <w:p w14:paraId="62A3C876" w14:textId="77777777" w:rsidR="00BC24A8" w:rsidRDefault="00000000">
            <w:pPr>
              <w:pStyle w:val="TableParagraph"/>
              <w:ind w:left="147"/>
              <w:rPr>
                <w:sz w:val="18"/>
              </w:rPr>
            </w:pPr>
            <w:r>
              <w:rPr>
                <w:sz w:val="18"/>
              </w:rPr>
              <w:t>Strengthening</w:t>
            </w:r>
            <w:r>
              <w:rPr>
                <w:spacing w:val="-4"/>
                <w:sz w:val="18"/>
              </w:rPr>
              <w:t xml:space="preserve"> </w:t>
            </w:r>
            <w:r>
              <w:rPr>
                <w:sz w:val="18"/>
              </w:rPr>
              <w:t>capacity</w:t>
            </w:r>
            <w:r>
              <w:rPr>
                <w:spacing w:val="-4"/>
                <w:sz w:val="18"/>
              </w:rPr>
              <w:t xml:space="preserve"> </w:t>
            </w:r>
            <w:r>
              <w:rPr>
                <w:sz w:val="18"/>
              </w:rPr>
              <w:t>for</w:t>
            </w:r>
            <w:r>
              <w:rPr>
                <w:spacing w:val="-4"/>
                <w:sz w:val="18"/>
              </w:rPr>
              <w:t xml:space="preserve"> </w:t>
            </w:r>
            <w:r>
              <w:rPr>
                <w:sz w:val="18"/>
              </w:rPr>
              <w:t>preparing</w:t>
            </w:r>
            <w:r>
              <w:rPr>
                <w:spacing w:val="-4"/>
                <w:sz w:val="18"/>
              </w:rPr>
              <w:t xml:space="preserve"> </w:t>
            </w:r>
            <w:r>
              <w:rPr>
                <w:sz w:val="18"/>
              </w:rPr>
              <w:t>Oil</w:t>
            </w:r>
            <w:r>
              <w:rPr>
                <w:spacing w:val="-3"/>
                <w:sz w:val="18"/>
              </w:rPr>
              <w:t xml:space="preserve"> </w:t>
            </w:r>
            <w:r>
              <w:rPr>
                <w:sz w:val="18"/>
              </w:rPr>
              <w:t>&amp;</w:t>
            </w:r>
            <w:r>
              <w:rPr>
                <w:spacing w:val="-4"/>
                <w:sz w:val="18"/>
              </w:rPr>
              <w:t xml:space="preserve"> </w:t>
            </w:r>
            <w:r>
              <w:rPr>
                <w:sz w:val="18"/>
              </w:rPr>
              <w:t>Gas</w:t>
            </w:r>
            <w:r>
              <w:rPr>
                <w:spacing w:val="-4"/>
                <w:sz w:val="18"/>
              </w:rPr>
              <w:t xml:space="preserve"> </w:t>
            </w:r>
            <w:r>
              <w:rPr>
                <w:sz w:val="18"/>
              </w:rPr>
              <w:t>Revenue</w:t>
            </w:r>
            <w:r>
              <w:rPr>
                <w:spacing w:val="-4"/>
                <w:sz w:val="18"/>
              </w:rPr>
              <w:t xml:space="preserve"> </w:t>
            </w:r>
            <w:r>
              <w:rPr>
                <w:sz w:val="18"/>
              </w:rPr>
              <w:t>Sharing</w:t>
            </w:r>
            <w:r>
              <w:rPr>
                <w:spacing w:val="-4"/>
                <w:sz w:val="18"/>
              </w:rPr>
              <w:t xml:space="preserve"> </w:t>
            </w:r>
            <w:r>
              <w:rPr>
                <w:sz w:val="18"/>
              </w:rPr>
              <w:t>Fund</w:t>
            </w:r>
            <w:r>
              <w:rPr>
                <w:spacing w:val="-4"/>
                <w:sz w:val="18"/>
              </w:rPr>
              <w:t xml:space="preserve"> </w:t>
            </w:r>
            <w:r>
              <w:rPr>
                <w:sz w:val="18"/>
              </w:rPr>
              <w:t>(DBH</w:t>
            </w:r>
            <w:r>
              <w:rPr>
                <w:spacing w:val="-4"/>
                <w:sz w:val="18"/>
              </w:rPr>
              <w:t xml:space="preserve"> </w:t>
            </w:r>
            <w:r>
              <w:rPr>
                <w:sz w:val="18"/>
              </w:rPr>
              <w:t xml:space="preserve">Migas) </w:t>
            </w:r>
            <w:r>
              <w:rPr>
                <w:spacing w:val="-4"/>
                <w:sz w:val="18"/>
              </w:rPr>
              <w:t>RAP.</w:t>
            </w:r>
          </w:p>
        </w:tc>
      </w:tr>
    </w:tbl>
    <w:p w14:paraId="15614264" w14:textId="77777777" w:rsidR="00BC24A8" w:rsidRDefault="00BC24A8">
      <w:pPr>
        <w:pStyle w:val="BodyText"/>
        <w:spacing w:before="210"/>
        <w:rPr>
          <w:rFonts w:ascii="Calibri"/>
          <w:b/>
        </w:rPr>
      </w:pPr>
    </w:p>
    <w:p w14:paraId="4F3CB1BF" w14:textId="77777777" w:rsidR="00BC24A8" w:rsidRDefault="00000000">
      <w:pPr>
        <w:pStyle w:val="ListParagraph"/>
        <w:numPr>
          <w:ilvl w:val="1"/>
          <w:numId w:val="1"/>
        </w:numPr>
        <w:tabs>
          <w:tab w:val="left" w:pos="683"/>
        </w:tabs>
        <w:ind w:left="683" w:hanging="631"/>
        <w:rPr>
          <w:rFonts w:ascii="Calibri"/>
          <w:b/>
        </w:rPr>
      </w:pPr>
      <w:bookmarkStart w:id="263" w:name="3.2_Summary_of_key_support/inputs"/>
      <w:bookmarkEnd w:id="263"/>
      <w:r w:rsidRPr="00795364">
        <w:rPr>
          <w:rFonts w:ascii="Calibri"/>
          <w:b/>
          <w:color w:val="008279"/>
        </w:rPr>
        <w:t>Summary</w:t>
      </w:r>
      <w:r w:rsidRPr="00795364">
        <w:rPr>
          <w:rFonts w:ascii="Calibri"/>
          <w:b/>
          <w:color w:val="008279"/>
          <w:spacing w:val="-6"/>
        </w:rPr>
        <w:t xml:space="preserve"> </w:t>
      </w:r>
      <w:r w:rsidRPr="00795364">
        <w:rPr>
          <w:rFonts w:ascii="Calibri"/>
          <w:b/>
          <w:color w:val="008279"/>
        </w:rPr>
        <w:t>of</w:t>
      </w:r>
      <w:r w:rsidRPr="00795364">
        <w:rPr>
          <w:rFonts w:ascii="Calibri"/>
          <w:b/>
          <w:color w:val="008279"/>
          <w:spacing w:val="-5"/>
        </w:rPr>
        <w:t xml:space="preserve"> </w:t>
      </w:r>
      <w:r w:rsidRPr="00795364">
        <w:rPr>
          <w:rFonts w:ascii="Calibri"/>
          <w:b/>
          <w:color w:val="008279"/>
        </w:rPr>
        <w:t>key</w:t>
      </w:r>
      <w:r w:rsidRPr="00795364">
        <w:rPr>
          <w:rFonts w:ascii="Calibri"/>
          <w:b/>
          <w:color w:val="008279"/>
          <w:spacing w:val="-5"/>
        </w:rPr>
        <w:t xml:space="preserve"> </w:t>
      </w:r>
      <w:r w:rsidRPr="00795364">
        <w:rPr>
          <w:rFonts w:ascii="Calibri"/>
          <w:b/>
          <w:color w:val="008279"/>
          <w:spacing w:val="-2"/>
        </w:rPr>
        <w:t>support/inputs</w:t>
      </w:r>
    </w:p>
    <w:p w14:paraId="667BC7CC" w14:textId="77777777" w:rsidR="00BC24A8" w:rsidRDefault="00BC24A8">
      <w:pPr>
        <w:pStyle w:val="BodyText"/>
        <w:spacing w:before="2"/>
        <w:rPr>
          <w:rFonts w:ascii="Calibri"/>
          <w:b/>
          <w:sz w:val="19"/>
        </w:rPr>
      </w:pPr>
    </w:p>
    <w:tbl>
      <w:tblPr>
        <w:tblW w:w="0" w:type="auto"/>
        <w:tblInd w:w="143" w:type="dxa"/>
        <w:tblLayout w:type="fixed"/>
        <w:tblCellMar>
          <w:left w:w="0" w:type="dxa"/>
          <w:right w:w="0" w:type="dxa"/>
        </w:tblCellMar>
        <w:tblLook w:val="01E0" w:firstRow="1" w:lastRow="1" w:firstColumn="1" w:lastColumn="1" w:noHBand="0" w:noVBand="0"/>
      </w:tblPr>
      <w:tblGrid>
        <w:gridCol w:w="1498"/>
        <w:gridCol w:w="2201"/>
        <w:gridCol w:w="2700"/>
        <w:gridCol w:w="2700"/>
      </w:tblGrid>
      <w:tr w:rsidR="00BC24A8" w14:paraId="09548DBD" w14:textId="77777777">
        <w:trPr>
          <w:trHeight w:val="379"/>
        </w:trPr>
        <w:tc>
          <w:tcPr>
            <w:tcW w:w="1498" w:type="dxa"/>
            <w:shd w:val="clear" w:color="auto" w:fill="17365A"/>
          </w:tcPr>
          <w:p w14:paraId="35ACCE07" w14:textId="77777777" w:rsidR="00BC24A8" w:rsidRDefault="00000000">
            <w:pPr>
              <w:pStyle w:val="TableParagraph"/>
              <w:spacing w:before="59"/>
              <w:ind w:left="115"/>
              <w:rPr>
                <w:rFonts w:ascii="Calibri"/>
                <w:b/>
                <w:sz w:val="20"/>
              </w:rPr>
            </w:pPr>
            <w:r>
              <w:rPr>
                <w:rFonts w:ascii="Calibri"/>
                <w:b/>
                <w:color w:val="FFFFFF"/>
                <w:spacing w:val="-2"/>
                <w:sz w:val="20"/>
              </w:rPr>
              <w:t>Theme</w:t>
            </w:r>
          </w:p>
        </w:tc>
        <w:tc>
          <w:tcPr>
            <w:tcW w:w="2201" w:type="dxa"/>
            <w:shd w:val="clear" w:color="auto" w:fill="17365A"/>
          </w:tcPr>
          <w:p w14:paraId="4168B21E" w14:textId="77777777" w:rsidR="00BC24A8" w:rsidRDefault="00000000">
            <w:pPr>
              <w:pStyle w:val="TableParagraph"/>
              <w:spacing w:before="59"/>
              <w:ind w:left="3" w:right="3"/>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2"/>
                <w:sz w:val="20"/>
              </w:rPr>
              <w:t>workshops</w:t>
            </w:r>
          </w:p>
        </w:tc>
        <w:tc>
          <w:tcPr>
            <w:tcW w:w="2700" w:type="dxa"/>
            <w:shd w:val="clear" w:color="auto" w:fill="17365A"/>
          </w:tcPr>
          <w:p w14:paraId="6885FEFD" w14:textId="77777777" w:rsidR="00BC24A8" w:rsidRDefault="00000000">
            <w:pPr>
              <w:pStyle w:val="TableParagraph"/>
              <w:spacing w:before="59"/>
              <w:ind w:right="8"/>
              <w:jc w:val="center"/>
              <w:rPr>
                <w:rFonts w:ascii="Calibri"/>
                <w:b/>
                <w:sz w:val="20"/>
              </w:rPr>
            </w:pPr>
            <w:r>
              <w:rPr>
                <w:rFonts w:ascii="Calibri"/>
                <w:b/>
                <w:color w:val="FFFFFF"/>
                <w:sz w:val="20"/>
              </w:rPr>
              <w:t>Number</w:t>
            </w:r>
            <w:r>
              <w:rPr>
                <w:rFonts w:ascii="Calibri"/>
                <w:b/>
                <w:color w:val="FFFFFF"/>
                <w:spacing w:val="-4"/>
                <w:sz w:val="20"/>
              </w:rPr>
              <w:t xml:space="preserve"> </w:t>
            </w:r>
            <w:r>
              <w:rPr>
                <w:rFonts w:ascii="Calibri"/>
                <w:b/>
                <w:color w:val="FFFFFF"/>
                <w:sz w:val="20"/>
              </w:rPr>
              <w:t>of</w:t>
            </w:r>
            <w:r>
              <w:rPr>
                <w:rFonts w:ascii="Calibri"/>
                <w:b/>
                <w:color w:val="FFFFFF"/>
                <w:spacing w:val="-4"/>
                <w:sz w:val="20"/>
              </w:rPr>
              <w:t xml:space="preserve"> </w:t>
            </w:r>
            <w:r>
              <w:rPr>
                <w:rFonts w:ascii="Calibri"/>
                <w:b/>
                <w:color w:val="FFFFFF"/>
                <w:spacing w:val="-5"/>
                <w:sz w:val="20"/>
              </w:rPr>
              <w:t>TAS</w:t>
            </w:r>
          </w:p>
        </w:tc>
        <w:tc>
          <w:tcPr>
            <w:tcW w:w="2700" w:type="dxa"/>
            <w:shd w:val="clear" w:color="auto" w:fill="17365A"/>
          </w:tcPr>
          <w:p w14:paraId="779424CC" w14:textId="77777777" w:rsidR="00BC24A8" w:rsidRDefault="00000000">
            <w:pPr>
              <w:pStyle w:val="TableParagraph"/>
              <w:spacing w:before="59"/>
              <w:ind w:left="3" w:right="8"/>
              <w:jc w:val="center"/>
              <w:rPr>
                <w:rFonts w:ascii="Calibri"/>
                <w:b/>
                <w:sz w:val="20"/>
              </w:rPr>
            </w:pPr>
            <w:r>
              <w:rPr>
                <w:rFonts w:ascii="Calibri"/>
                <w:b/>
                <w:color w:val="FFFFFF"/>
                <w:sz w:val="20"/>
              </w:rPr>
              <w:t>Capacity</w:t>
            </w:r>
            <w:r>
              <w:rPr>
                <w:rFonts w:ascii="Calibri"/>
                <w:b/>
                <w:color w:val="FFFFFF"/>
                <w:spacing w:val="-9"/>
                <w:sz w:val="20"/>
              </w:rPr>
              <w:t xml:space="preserve"> </w:t>
            </w:r>
            <w:r>
              <w:rPr>
                <w:rFonts w:ascii="Calibri"/>
                <w:b/>
                <w:color w:val="FFFFFF"/>
                <w:spacing w:val="-2"/>
                <w:sz w:val="20"/>
              </w:rPr>
              <w:t>building</w:t>
            </w:r>
          </w:p>
        </w:tc>
      </w:tr>
      <w:tr w:rsidR="00BC24A8" w14:paraId="48D7CB20" w14:textId="77777777">
        <w:trPr>
          <w:trHeight w:val="378"/>
        </w:trPr>
        <w:tc>
          <w:tcPr>
            <w:tcW w:w="1498" w:type="dxa"/>
            <w:tcBorders>
              <w:bottom w:val="single" w:sz="4" w:space="0" w:color="BEBEBE"/>
            </w:tcBorders>
          </w:tcPr>
          <w:p w14:paraId="0BCE473B" w14:textId="77777777" w:rsidR="00BC24A8" w:rsidRDefault="00000000">
            <w:pPr>
              <w:pStyle w:val="TableParagraph"/>
              <w:spacing w:before="102"/>
              <w:ind w:left="115"/>
              <w:rPr>
                <w:sz w:val="18"/>
              </w:rPr>
            </w:pPr>
            <w:r>
              <w:rPr>
                <w:spacing w:val="-5"/>
                <w:sz w:val="18"/>
              </w:rPr>
              <w:t>DNA</w:t>
            </w:r>
          </w:p>
        </w:tc>
        <w:tc>
          <w:tcPr>
            <w:tcW w:w="2201" w:type="dxa"/>
            <w:tcBorders>
              <w:bottom w:val="single" w:sz="4" w:space="0" w:color="BEBEBE"/>
            </w:tcBorders>
          </w:tcPr>
          <w:p w14:paraId="038F656C" w14:textId="77777777" w:rsidR="00BC24A8" w:rsidRDefault="00000000">
            <w:pPr>
              <w:pStyle w:val="TableParagraph"/>
              <w:spacing w:before="102"/>
              <w:ind w:left="3" w:right="4"/>
              <w:jc w:val="center"/>
              <w:rPr>
                <w:sz w:val="18"/>
              </w:rPr>
            </w:pPr>
            <w:r>
              <w:rPr>
                <w:spacing w:val="-10"/>
                <w:sz w:val="18"/>
              </w:rPr>
              <w:t>5</w:t>
            </w:r>
          </w:p>
        </w:tc>
        <w:tc>
          <w:tcPr>
            <w:tcW w:w="2700" w:type="dxa"/>
            <w:tcBorders>
              <w:bottom w:val="single" w:sz="4" w:space="0" w:color="BEBEBE"/>
            </w:tcBorders>
          </w:tcPr>
          <w:p w14:paraId="2F32A28C" w14:textId="77777777" w:rsidR="00BC24A8" w:rsidRDefault="00000000">
            <w:pPr>
              <w:pStyle w:val="TableParagraph"/>
              <w:spacing w:before="102"/>
              <w:ind w:left="2" w:right="8"/>
              <w:jc w:val="center"/>
              <w:rPr>
                <w:sz w:val="18"/>
              </w:rPr>
            </w:pPr>
            <w:r>
              <w:rPr>
                <w:spacing w:val="-10"/>
                <w:sz w:val="18"/>
              </w:rPr>
              <w:t>1</w:t>
            </w:r>
          </w:p>
        </w:tc>
        <w:tc>
          <w:tcPr>
            <w:tcW w:w="2700" w:type="dxa"/>
            <w:tcBorders>
              <w:bottom w:val="single" w:sz="4" w:space="0" w:color="BEBEBE"/>
            </w:tcBorders>
          </w:tcPr>
          <w:p w14:paraId="4492A52F" w14:textId="77777777" w:rsidR="00BC24A8" w:rsidRDefault="00000000">
            <w:pPr>
              <w:pStyle w:val="TableParagraph"/>
              <w:spacing w:before="102"/>
              <w:ind w:left="2" w:right="8"/>
              <w:jc w:val="center"/>
              <w:rPr>
                <w:sz w:val="18"/>
              </w:rPr>
            </w:pPr>
            <w:r>
              <w:rPr>
                <w:spacing w:val="-10"/>
                <w:sz w:val="18"/>
              </w:rPr>
              <w:t>4</w:t>
            </w:r>
          </w:p>
        </w:tc>
      </w:tr>
      <w:tr w:rsidR="00BC24A8" w14:paraId="63CB341C" w14:textId="77777777">
        <w:trPr>
          <w:trHeight w:val="333"/>
        </w:trPr>
        <w:tc>
          <w:tcPr>
            <w:tcW w:w="1498" w:type="dxa"/>
            <w:tcBorders>
              <w:top w:val="single" w:sz="4" w:space="0" w:color="BEBEBE"/>
              <w:bottom w:val="single" w:sz="4" w:space="0" w:color="BEBEBE"/>
            </w:tcBorders>
          </w:tcPr>
          <w:p w14:paraId="1998564E" w14:textId="77777777" w:rsidR="00BC24A8" w:rsidRDefault="00000000">
            <w:pPr>
              <w:pStyle w:val="TableParagraph"/>
              <w:spacing w:before="56"/>
              <w:ind w:left="115"/>
              <w:rPr>
                <w:sz w:val="18"/>
              </w:rPr>
            </w:pPr>
            <w:r>
              <w:rPr>
                <w:spacing w:val="-5"/>
                <w:sz w:val="18"/>
              </w:rPr>
              <w:t>MSS</w:t>
            </w:r>
          </w:p>
        </w:tc>
        <w:tc>
          <w:tcPr>
            <w:tcW w:w="2201" w:type="dxa"/>
            <w:tcBorders>
              <w:top w:val="single" w:sz="4" w:space="0" w:color="BEBEBE"/>
              <w:bottom w:val="single" w:sz="4" w:space="0" w:color="BEBEBE"/>
            </w:tcBorders>
          </w:tcPr>
          <w:p w14:paraId="0433B359" w14:textId="77777777" w:rsidR="00BC24A8" w:rsidRDefault="00000000">
            <w:pPr>
              <w:pStyle w:val="TableParagraph"/>
              <w:spacing w:before="56"/>
              <w:ind w:left="3" w:right="4"/>
              <w:jc w:val="center"/>
              <w:rPr>
                <w:sz w:val="18"/>
              </w:rPr>
            </w:pPr>
            <w:r>
              <w:rPr>
                <w:spacing w:val="-10"/>
                <w:sz w:val="18"/>
              </w:rPr>
              <w:t>5</w:t>
            </w:r>
          </w:p>
        </w:tc>
        <w:tc>
          <w:tcPr>
            <w:tcW w:w="2700" w:type="dxa"/>
            <w:tcBorders>
              <w:top w:val="single" w:sz="4" w:space="0" w:color="BEBEBE"/>
              <w:bottom w:val="single" w:sz="4" w:space="0" w:color="BEBEBE"/>
            </w:tcBorders>
          </w:tcPr>
          <w:p w14:paraId="4E741BF9" w14:textId="77777777" w:rsidR="00BC24A8" w:rsidRDefault="00000000">
            <w:pPr>
              <w:pStyle w:val="TableParagraph"/>
              <w:spacing w:before="56"/>
              <w:ind w:left="2" w:right="8"/>
              <w:jc w:val="center"/>
              <w:rPr>
                <w:sz w:val="18"/>
              </w:rPr>
            </w:pPr>
            <w:r>
              <w:rPr>
                <w:spacing w:val="-10"/>
                <w:sz w:val="18"/>
              </w:rPr>
              <w:t>5</w:t>
            </w:r>
          </w:p>
        </w:tc>
        <w:tc>
          <w:tcPr>
            <w:tcW w:w="2700" w:type="dxa"/>
            <w:tcBorders>
              <w:top w:val="single" w:sz="4" w:space="0" w:color="BEBEBE"/>
              <w:bottom w:val="single" w:sz="4" w:space="0" w:color="BEBEBE"/>
            </w:tcBorders>
          </w:tcPr>
          <w:p w14:paraId="5761F39A" w14:textId="77777777" w:rsidR="00BC24A8" w:rsidRDefault="00000000">
            <w:pPr>
              <w:pStyle w:val="TableParagraph"/>
              <w:spacing w:before="56"/>
              <w:ind w:left="2" w:right="8"/>
              <w:jc w:val="center"/>
              <w:rPr>
                <w:sz w:val="18"/>
              </w:rPr>
            </w:pPr>
            <w:r>
              <w:rPr>
                <w:spacing w:val="-10"/>
                <w:sz w:val="18"/>
              </w:rPr>
              <w:t>3</w:t>
            </w:r>
          </w:p>
        </w:tc>
      </w:tr>
      <w:tr w:rsidR="00BC24A8" w14:paraId="594514ED" w14:textId="77777777">
        <w:trPr>
          <w:trHeight w:val="333"/>
        </w:trPr>
        <w:tc>
          <w:tcPr>
            <w:tcW w:w="1498" w:type="dxa"/>
            <w:tcBorders>
              <w:top w:val="single" w:sz="4" w:space="0" w:color="BEBEBE"/>
              <w:bottom w:val="single" w:sz="4" w:space="0" w:color="BEBEBE"/>
            </w:tcBorders>
          </w:tcPr>
          <w:p w14:paraId="059AF5DC" w14:textId="77777777" w:rsidR="00BC24A8" w:rsidRDefault="00000000">
            <w:pPr>
              <w:pStyle w:val="TableParagraph"/>
              <w:spacing w:before="56"/>
              <w:ind w:left="115"/>
              <w:rPr>
                <w:sz w:val="18"/>
              </w:rPr>
            </w:pPr>
            <w:r>
              <w:rPr>
                <w:spacing w:val="-5"/>
                <w:sz w:val="18"/>
              </w:rPr>
              <w:t>PFM</w:t>
            </w:r>
          </w:p>
        </w:tc>
        <w:tc>
          <w:tcPr>
            <w:tcW w:w="2201" w:type="dxa"/>
            <w:tcBorders>
              <w:top w:val="single" w:sz="4" w:space="0" w:color="BEBEBE"/>
              <w:bottom w:val="single" w:sz="4" w:space="0" w:color="BEBEBE"/>
            </w:tcBorders>
          </w:tcPr>
          <w:p w14:paraId="24D6AAAD" w14:textId="77777777" w:rsidR="00BC24A8" w:rsidRDefault="00000000">
            <w:pPr>
              <w:pStyle w:val="TableParagraph"/>
              <w:spacing w:before="56"/>
              <w:ind w:left="3" w:right="4"/>
              <w:jc w:val="center"/>
              <w:rPr>
                <w:sz w:val="18"/>
              </w:rPr>
            </w:pPr>
            <w:r>
              <w:rPr>
                <w:spacing w:val="-10"/>
                <w:sz w:val="18"/>
              </w:rPr>
              <w:t>3</w:t>
            </w:r>
          </w:p>
        </w:tc>
        <w:tc>
          <w:tcPr>
            <w:tcW w:w="2700" w:type="dxa"/>
            <w:tcBorders>
              <w:top w:val="single" w:sz="4" w:space="0" w:color="BEBEBE"/>
              <w:bottom w:val="single" w:sz="4" w:space="0" w:color="BEBEBE"/>
            </w:tcBorders>
          </w:tcPr>
          <w:p w14:paraId="5A5E79B3" w14:textId="77777777" w:rsidR="00BC24A8" w:rsidRDefault="00000000">
            <w:pPr>
              <w:pStyle w:val="TableParagraph"/>
              <w:spacing w:before="56"/>
              <w:ind w:left="2" w:right="8"/>
              <w:jc w:val="center"/>
              <w:rPr>
                <w:sz w:val="18"/>
              </w:rPr>
            </w:pPr>
            <w:r>
              <w:rPr>
                <w:spacing w:val="-10"/>
                <w:sz w:val="18"/>
              </w:rPr>
              <w:t>3</w:t>
            </w:r>
          </w:p>
        </w:tc>
        <w:tc>
          <w:tcPr>
            <w:tcW w:w="2700" w:type="dxa"/>
            <w:tcBorders>
              <w:top w:val="single" w:sz="4" w:space="0" w:color="BEBEBE"/>
              <w:bottom w:val="single" w:sz="4" w:space="0" w:color="BEBEBE"/>
            </w:tcBorders>
          </w:tcPr>
          <w:p w14:paraId="756FB379" w14:textId="77777777" w:rsidR="00BC24A8" w:rsidRDefault="00000000">
            <w:pPr>
              <w:pStyle w:val="TableParagraph"/>
              <w:spacing w:before="56"/>
              <w:ind w:left="2" w:right="8"/>
              <w:jc w:val="center"/>
              <w:rPr>
                <w:sz w:val="18"/>
              </w:rPr>
            </w:pPr>
            <w:r>
              <w:rPr>
                <w:spacing w:val="-10"/>
                <w:sz w:val="18"/>
              </w:rPr>
              <w:t>4</w:t>
            </w:r>
          </w:p>
        </w:tc>
      </w:tr>
      <w:tr w:rsidR="00BC24A8" w14:paraId="5A417297" w14:textId="77777777">
        <w:trPr>
          <w:trHeight w:val="333"/>
        </w:trPr>
        <w:tc>
          <w:tcPr>
            <w:tcW w:w="1498" w:type="dxa"/>
            <w:tcBorders>
              <w:top w:val="single" w:sz="4" w:space="0" w:color="BEBEBE"/>
              <w:bottom w:val="single" w:sz="4" w:space="0" w:color="BEBEBE"/>
            </w:tcBorders>
          </w:tcPr>
          <w:p w14:paraId="4A40BE8F" w14:textId="77777777" w:rsidR="00BC24A8" w:rsidRDefault="00000000">
            <w:pPr>
              <w:pStyle w:val="TableParagraph"/>
              <w:spacing w:before="56"/>
              <w:ind w:left="115"/>
              <w:rPr>
                <w:sz w:val="18"/>
              </w:rPr>
            </w:pPr>
            <w:r>
              <w:rPr>
                <w:spacing w:val="-2"/>
                <w:sz w:val="18"/>
              </w:rPr>
              <w:t>GEDSI</w:t>
            </w:r>
          </w:p>
        </w:tc>
        <w:tc>
          <w:tcPr>
            <w:tcW w:w="2201" w:type="dxa"/>
            <w:tcBorders>
              <w:top w:val="single" w:sz="4" w:space="0" w:color="BEBEBE"/>
              <w:bottom w:val="single" w:sz="4" w:space="0" w:color="BEBEBE"/>
            </w:tcBorders>
          </w:tcPr>
          <w:p w14:paraId="30DB5475" w14:textId="77777777" w:rsidR="00BC24A8" w:rsidRDefault="00000000">
            <w:pPr>
              <w:pStyle w:val="TableParagraph"/>
              <w:spacing w:before="56"/>
              <w:ind w:left="3" w:right="4"/>
              <w:jc w:val="center"/>
              <w:rPr>
                <w:sz w:val="18"/>
              </w:rPr>
            </w:pPr>
            <w:r>
              <w:rPr>
                <w:spacing w:val="-10"/>
                <w:sz w:val="18"/>
              </w:rPr>
              <w:t>3</w:t>
            </w:r>
          </w:p>
        </w:tc>
        <w:tc>
          <w:tcPr>
            <w:tcW w:w="2700" w:type="dxa"/>
            <w:tcBorders>
              <w:top w:val="single" w:sz="4" w:space="0" w:color="BEBEBE"/>
              <w:bottom w:val="single" w:sz="4" w:space="0" w:color="BEBEBE"/>
            </w:tcBorders>
          </w:tcPr>
          <w:p w14:paraId="6943E48B" w14:textId="77777777" w:rsidR="00BC24A8" w:rsidRDefault="00000000">
            <w:pPr>
              <w:pStyle w:val="TableParagraph"/>
              <w:spacing w:before="56"/>
              <w:ind w:left="4" w:right="8"/>
              <w:jc w:val="center"/>
              <w:rPr>
                <w:sz w:val="18"/>
              </w:rPr>
            </w:pPr>
            <w:r>
              <w:rPr>
                <w:spacing w:val="-10"/>
                <w:sz w:val="18"/>
              </w:rPr>
              <w:t>-</w:t>
            </w:r>
          </w:p>
        </w:tc>
        <w:tc>
          <w:tcPr>
            <w:tcW w:w="2700" w:type="dxa"/>
            <w:tcBorders>
              <w:top w:val="single" w:sz="4" w:space="0" w:color="BEBEBE"/>
              <w:bottom w:val="single" w:sz="4" w:space="0" w:color="BEBEBE"/>
            </w:tcBorders>
          </w:tcPr>
          <w:p w14:paraId="6CA392BE" w14:textId="77777777" w:rsidR="00BC24A8" w:rsidRDefault="00000000">
            <w:pPr>
              <w:pStyle w:val="TableParagraph"/>
              <w:spacing w:before="56"/>
              <w:ind w:left="2" w:right="8"/>
              <w:jc w:val="center"/>
              <w:rPr>
                <w:sz w:val="18"/>
              </w:rPr>
            </w:pPr>
            <w:r>
              <w:rPr>
                <w:spacing w:val="-10"/>
                <w:sz w:val="18"/>
              </w:rPr>
              <w:t>3</w:t>
            </w:r>
          </w:p>
        </w:tc>
      </w:tr>
    </w:tbl>
    <w:p w14:paraId="1BD5F688" w14:textId="77777777" w:rsidR="00BC24A8" w:rsidRDefault="00BC24A8">
      <w:pPr>
        <w:pStyle w:val="BodyText"/>
        <w:rPr>
          <w:rFonts w:ascii="Calibri"/>
          <w:b/>
          <w:sz w:val="20"/>
        </w:rPr>
      </w:pPr>
    </w:p>
    <w:p w14:paraId="7A5F738E" w14:textId="77777777" w:rsidR="00BC24A8" w:rsidRDefault="00BC24A8">
      <w:pPr>
        <w:pStyle w:val="BodyText"/>
        <w:rPr>
          <w:rFonts w:ascii="Calibri"/>
          <w:b/>
          <w:sz w:val="20"/>
        </w:rPr>
      </w:pPr>
    </w:p>
    <w:p w14:paraId="3AE0F89C" w14:textId="77777777" w:rsidR="00BC24A8" w:rsidRDefault="00000000">
      <w:pPr>
        <w:pStyle w:val="BodyText"/>
        <w:spacing w:before="190"/>
        <w:rPr>
          <w:rFonts w:ascii="Calibri"/>
          <w:b/>
          <w:sz w:val="20"/>
        </w:rPr>
      </w:pPr>
      <w:r>
        <w:rPr>
          <w:rFonts w:ascii="Calibri"/>
          <w:b/>
          <w:noProof/>
          <w:sz w:val="20"/>
        </w:rPr>
        <mc:AlternateContent>
          <mc:Choice Requires="wps">
            <w:drawing>
              <wp:anchor distT="0" distB="0" distL="0" distR="0" simplePos="0" relativeHeight="487641088" behindDoc="1" locked="0" layoutInCell="1" allowOverlap="1" wp14:anchorId="38F2C81E" wp14:editId="1F7EBD92">
                <wp:simplePos x="0" y="0"/>
                <wp:positionH relativeFrom="page">
                  <wp:posOffset>900683</wp:posOffset>
                </wp:positionH>
                <wp:positionV relativeFrom="paragraph">
                  <wp:posOffset>291419</wp:posOffset>
                </wp:positionV>
                <wp:extent cx="1828800" cy="9525"/>
                <wp:effectExtent l="0" t="0" r="0" b="0"/>
                <wp:wrapTopAndBottom/>
                <wp:docPr id="328" name="Graphic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2E7AFF" id="Graphic 328" o:spid="_x0000_s1026" alt="&quot;&quot;" style="position:absolute;margin-left:70.9pt;margin-top:22.95pt;width:2in;height:.75pt;z-index:-156753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" path="m1828800,l,,,9144r1828800,l1828800,xe" fillcolor="black" stroked="f">
                <v:path arrowok="t"/>
                <w10:wrap type="topAndBottom" anchorx="page"/>
              </v:shape>
            </w:pict>
          </mc:Fallback>
        </mc:AlternateContent>
      </w:r>
    </w:p>
    <w:p w14:paraId="63AE5368" w14:textId="77777777" w:rsidR="00BC24A8" w:rsidRDefault="00BC24A8">
      <w:pPr>
        <w:pStyle w:val="BodyText"/>
        <w:spacing w:before="32"/>
        <w:rPr>
          <w:rFonts w:ascii="Calibri"/>
          <w:b/>
        </w:rPr>
      </w:pPr>
    </w:p>
    <w:p w14:paraId="31C2BBB6" w14:textId="77777777" w:rsidR="00BC24A8" w:rsidRDefault="00000000">
      <w:pPr>
        <w:ind w:left="143" w:right="648"/>
        <w:rPr>
          <w:sz w:val="16"/>
        </w:rPr>
      </w:pPr>
      <w:bookmarkStart w:id="264" w:name="_bookmark177"/>
      <w:bookmarkEnd w:id="264"/>
      <w:r>
        <w:rPr>
          <w:color w:val="767070"/>
          <w:sz w:val="16"/>
          <w:vertAlign w:val="superscript"/>
        </w:rPr>
        <w:t>94</w:t>
      </w:r>
      <w:r>
        <w:rPr>
          <w:color w:val="767070"/>
          <w:spacing w:val="-6"/>
          <w:sz w:val="16"/>
        </w:rPr>
        <w:t xml:space="preserve"> </w:t>
      </w:r>
      <w:r>
        <w:rPr>
          <w:color w:val="767070"/>
          <w:sz w:val="16"/>
        </w:rPr>
        <w:t>SEPAKAT</w:t>
      </w:r>
      <w:r>
        <w:rPr>
          <w:color w:val="767070"/>
          <w:spacing w:val="-7"/>
          <w:sz w:val="16"/>
        </w:rPr>
        <w:t xml:space="preserve"> </w:t>
      </w:r>
      <w:r>
        <w:rPr>
          <w:color w:val="767070"/>
          <w:sz w:val="16"/>
        </w:rPr>
        <w:t>(Integrated</w:t>
      </w:r>
      <w:r>
        <w:rPr>
          <w:color w:val="767070"/>
          <w:spacing w:val="-6"/>
          <w:sz w:val="16"/>
        </w:rPr>
        <w:t xml:space="preserve"> </w:t>
      </w:r>
      <w:r>
        <w:rPr>
          <w:color w:val="767070"/>
          <w:sz w:val="16"/>
        </w:rPr>
        <w:t>Regsosek-Based</w:t>
      </w:r>
      <w:r>
        <w:rPr>
          <w:color w:val="767070"/>
          <w:spacing w:val="-8"/>
          <w:sz w:val="16"/>
        </w:rPr>
        <w:t xml:space="preserve"> </w:t>
      </w:r>
      <w:r>
        <w:rPr>
          <w:color w:val="767070"/>
          <w:sz w:val="16"/>
        </w:rPr>
        <w:t>Development</w:t>
      </w:r>
      <w:r>
        <w:rPr>
          <w:color w:val="767070"/>
          <w:spacing w:val="-6"/>
          <w:sz w:val="16"/>
        </w:rPr>
        <w:t xml:space="preserve"> </w:t>
      </w:r>
      <w:r>
        <w:rPr>
          <w:color w:val="767070"/>
          <w:sz w:val="16"/>
        </w:rPr>
        <w:t>Planning</w:t>
      </w:r>
      <w:r>
        <w:rPr>
          <w:color w:val="767070"/>
          <w:spacing w:val="-7"/>
          <w:sz w:val="16"/>
        </w:rPr>
        <w:t xml:space="preserve"> </w:t>
      </w:r>
      <w:r>
        <w:rPr>
          <w:color w:val="767070"/>
          <w:sz w:val="16"/>
        </w:rPr>
        <w:t>System)</w:t>
      </w:r>
      <w:r>
        <w:rPr>
          <w:color w:val="767070"/>
          <w:spacing w:val="-6"/>
          <w:sz w:val="16"/>
        </w:rPr>
        <w:t xml:space="preserve"> </w:t>
      </w:r>
      <w:r>
        <w:rPr>
          <w:color w:val="767070"/>
          <w:sz w:val="16"/>
        </w:rPr>
        <w:t>is</w:t>
      </w:r>
      <w:r>
        <w:rPr>
          <w:color w:val="767070"/>
          <w:spacing w:val="-8"/>
          <w:sz w:val="16"/>
        </w:rPr>
        <w:t xml:space="preserve"> </w:t>
      </w:r>
      <w:r>
        <w:rPr>
          <w:color w:val="767070"/>
          <w:sz w:val="16"/>
        </w:rPr>
        <w:t>a</w:t>
      </w:r>
      <w:r>
        <w:rPr>
          <w:color w:val="767070"/>
          <w:spacing w:val="-6"/>
          <w:sz w:val="16"/>
        </w:rPr>
        <w:t xml:space="preserve"> </w:t>
      </w:r>
      <w:r>
        <w:rPr>
          <w:color w:val="767070"/>
          <w:sz w:val="16"/>
        </w:rPr>
        <w:t>web-based</w:t>
      </w:r>
      <w:r>
        <w:rPr>
          <w:color w:val="767070"/>
          <w:spacing w:val="-6"/>
          <w:sz w:val="16"/>
        </w:rPr>
        <w:t xml:space="preserve"> </w:t>
      </w:r>
      <w:r>
        <w:rPr>
          <w:color w:val="767070"/>
          <w:sz w:val="16"/>
        </w:rPr>
        <w:t>application</w:t>
      </w:r>
      <w:r>
        <w:rPr>
          <w:color w:val="767070"/>
          <w:spacing w:val="-6"/>
          <w:sz w:val="16"/>
        </w:rPr>
        <w:t xml:space="preserve"> </w:t>
      </w:r>
      <w:r>
        <w:rPr>
          <w:color w:val="767070"/>
          <w:sz w:val="16"/>
        </w:rPr>
        <w:t>that</w:t>
      </w:r>
      <w:r>
        <w:rPr>
          <w:color w:val="767070"/>
          <w:spacing w:val="-8"/>
          <w:sz w:val="16"/>
        </w:rPr>
        <w:t xml:space="preserve"> </w:t>
      </w:r>
      <w:r>
        <w:rPr>
          <w:color w:val="767070"/>
          <w:sz w:val="16"/>
        </w:rPr>
        <w:t>provides</w:t>
      </w:r>
      <w:r>
        <w:rPr>
          <w:color w:val="767070"/>
          <w:spacing w:val="-8"/>
          <w:sz w:val="16"/>
        </w:rPr>
        <w:t xml:space="preserve"> </w:t>
      </w:r>
      <w:r>
        <w:rPr>
          <w:color w:val="767070"/>
          <w:sz w:val="16"/>
        </w:rPr>
        <w:t>analysis</w:t>
      </w:r>
      <w:r>
        <w:rPr>
          <w:color w:val="767070"/>
          <w:spacing w:val="-6"/>
          <w:sz w:val="16"/>
        </w:rPr>
        <w:t xml:space="preserve"> </w:t>
      </w:r>
      <w:r>
        <w:rPr>
          <w:color w:val="767070"/>
          <w:sz w:val="16"/>
        </w:rPr>
        <w:t>using</w:t>
      </w:r>
      <w:r>
        <w:rPr>
          <w:color w:val="767070"/>
          <w:spacing w:val="-7"/>
          <w:sz w:val="16"/>
        </w:rPr>
        <w:t xml:space="preserve"> </w:t>
      </w:r>
      <w:r>
        <w:rPr>
          <w:color w:val="767070"/>
          <w:sz w:val="16"/>
        </w:rPr>
        <w:t>both</w:t>
      </w:r>
      <w:r>
        <w:rPr>
          <w:color w:val="767070"/>
          <w:spacing w:val="-6"/>
          <w:sz w:val="16"/>
        </w:rPr>
        <w:t xml:space="preserve"> </w:t>
      </w:r>
      <w:r>
        <w:rPr>
          <w:color w:val="767070"/>
          <w:sz w:val="16"/>
        </w:rPr>
        <w:t>macro</w:t>
      </w:r>
      <w:r>
        <w:rPr>
          <w:color w:val="767070"/>
          <w:spacing w:val="40"/>
          <w:sz w:val="16"/>
        </w:rPr>
        <w:t xml:space="preserve"> </w:t>
      </w:r>
      <w:r>
        <w:rPr>
          <w:color w:val="767070"/>
          <w:sz w:val="16"/>
        </w:rPr>
        <w:t>and micro-level data.</w:t>
      </w:r>
    </w:p>
    <w:p w14:paraId="16A8036C" w14:textId="77777777" w:rsidR="00BC24A8" w:rsidRDefault="00BC24A8">
      <w:pPr>
        <w:rPr>
          <w:sz w:val="16"/>
        </w:rPr>
        <w:sectPr w:rsidR="00BC24A8">
          <w:pgSz w:w="11910" w:h="16840"/>
          <w:pgMar w:top="1460" w:right="850" w:bottom="1100" w:left="1275" w:header="0" w:footer="907" w:gutter="0"/>
          <w:cols w:space="720"/>
        </w:sectPr>
      </w:pPr>
    </w:p>
    <w:p w14:paraId="4697F298" w14:textId="77777777" w:rsidR="00BC24A8" w:rsidRDefault="00BC24A8">
      <w:pPr>
        <w:pStyle w:val="BodyText"/>
        <w:spacing w:before="4"/>
        <w:rPr>
          <w:sz w:val="16"/>
        </w:rPr>
      </w:pPr>
    </w:p>
    <w:p w14:paraId="4E427913" w14:textId="77777777" w:rsidR="00BC24A8" w:rsidRDefault="00BC24A8">
      <w:pPr>
        <w:pStyle w:val="BodyText"/>
        <w:rPr>
          <w:sz w:val="16"/>
        </w:rPr>
        <w:sectPr w:rsidR="00BC24A8">
          <w:pgSz w:w="11910" w:h="16840"/>
          <w:pgMar w:top="1920" w:right="850" w:bottom="1100" w:left="1275" w:header="0" w:footer="907" w:gutter="0"/>
          <w:cols w:space="720"/>
        </w:sectPr>
      </w:pPr>
    </w:p>
    <w:p w14:paraId="672BAF28" w14:textId="77777777" w:rsidR="00BC24A8" w:rsidRDefault="00000000">
      <w:pPr>
        <w:pStyle w:val="BodyText"/>
        <w:rPr>
          <w:sz w:val="20"/>
        </w:rPr>
      </w:pPr>
      <w:r>
        <w:rPr>
          <w:noProof/>
          <w:sz w:val="20"/>
        </w:rPr>
        <mc:AlternateContent>
          <mc:Choice Requires="wps">
            <w:drawing>
              <wp:anchor distT="0" distB="0" distL="0" distR="0" simplePos="0" relativeHeight="478701056" behindDoc="1" locked="0" layoutInCell="1" allowOverlap="1" wp14:anchorId="2F5189E5" wp14:editId="6623E0F8">
                <wp:simplePos x="0" y="0"/>
                <wp:positionH relativeFrom="page">
                  <wp:posOffset>557783</wp:posOffset>
                </wp:positionH>
                <wp:positionV relativeFrom="page">
                  <wp:posOffset>10195559</wp:posOffset>
                </wp:positionV>
                <wp:extent cx="2961640" cy="14795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1640" cy="147955"/>
                        </a:xfrm>
                        <a:prstGeom prst="rect">
                          <a:avLst/>
                        </a:prstGeom>
                      </wps:spPr>
                      <wps:txbx>
                        <w:txbxContent>
                          <w:p w14:paraId="729424F6" w14:textId="77777777" w:rsidR="00BC24A8" w:rsidRDefault="00000000">
                            <w:pPr>
                              <w:tabs>
                                <w:tab w:val="left" w:pos="976"/>
                                <w:tab w:val="left" w:pos="3477"/>
                              </w:tabs>
                              <w:spacing w:line="226" w:lineRule="exact"/>
                              <w:rPr>
                                <w:rFonts w:ascii="Trebuchet MS" w:hAnsi="Trebuchet MS"/>
                                <w:position w:val="1"/>
                                <w:sz w:val="14"/>
                              </w:rPr>
                            </w:pPr>
                            <w:r>
                              <w:rPr>
                                <w:rFonts w:ascii="Calibri" w:hAnsi="Calibri"/>
                                <w:b/>
                                <w:color w:val="FFFFFF"/>
                                <w:spacing w:val="-5"/>
                                <w:position w:val="2"/>
                              </w:rPr>
                              <w:t>182</w:t>
                            </w:r>
                            <w:r>
                              <w:rPr>
                                <w:rFonts w:ascii="Calibri" w:hAnsi="Calibri"/>
                                <w:b/>
                                <w:color w:val="FFFFFF"/>
                                <w:position w:val="2"/>
                              </w:rPr>
                              <w:tab/>
                            </w:r>
                            <w:r>
                              <w:rPr>
                                <w:rFonts w:ascii="Trebuchet MS" w:hAnsi="Trebuchet MS"/>
                                <w:b/>
                                <w:color w:val="17365A"/>
                                <w:w w:val="95"/>
                                <w:sz w:val="16"/>
                              </w:rPr>
                              <w:t>SKALA:</w:t>
                            </w:r>
                            <w:r>
                              <w:rPr>
                                <w:rFonts w:ascii="Trebuchet MS" w:hAnsi="Trebuchet MS"/>
                                <w:b/>
                                <w:color w:val="17365A"/>
                                <w:spacing w:val="-1"/>
                                <w:sz w:val="16"/>
                              </w:rPr>
                              <w:t xml:space="preserve"> </w:t>
                            </w:r>
                            <w:r>
                              <w:rPr>
                                <w:rFonts w:ascii="Trebuchet MS" w:hAnsi="Trebuchet MS"/>
                                <w:b/>
                                <w:color w:val="17365A"/>
                                <w:w w:val="95"/>
                                <w:sz w:val="16"/>
                              </w:rPr>
                              <w:t>Six</w:t>
                            </w:r>
                            <w:r>
                              <w:rPr>
                                <w:rFonts w:ascii="Trebuchet MS" w:hAnsi="Trebuchet MS"/>
                                <w:b/>
                                <w:color w:val="17365A"/>
                                <w:sz w:val="16"/>
                              </w:rPr>
                              <w:t xml:space="preserve"> </w:t>
                            </w:r>
                            <w:r>
                              <w:rPr>
                                <w:rFonts w:ascii="Trebuchet MS" w:hAnsi="Trebuchet MS"/>
                                <w:b/>
                                <w:color w:val="17365A"/>
                                <w:w w:val="95"/>
                                <w:sz w:val="16"/>
                              </w:rPr>
                              <w:t>Monthly</w:t>
                            </w:r>
                            <w:r>
                              <w:rPr>
                                <w:rFonts w:ascii="Trebuchet MS" w:hAnsi="Trebuchet MS"/>
                                <w:b/>
                                <w:color w:val="17365A"/>
                                <w:sz w:val="16"/>
                              </w:rPr>
                              <w:t xml:space="preserve"> </w:t>
                            </w:r>
                            <w:r>
                              <w:rPr>
                                <w:rFonts w:ascii="Trebuchet MS" w:hAnsi="Trebuchet MS"/>
                                <w:b/>
                                <w:color w:val="17365A"/>
                                <w:spacing w:val="-2"/>
                                <w:w w:val="95"/>
                                <w:sz w:val="16"/>
                              </w:rPr>
                              <w:t>Progress</w:t>
                            </w:r>
                            <w:r>
                              <w:rPr>
                                <w:rFonts w:ascii="Trebuchet MS" w:hAnsi="Trebuchet MS"/>
                                <w:b/>
                                <w:color w:val="17365A"/>
                                <w:sz w:val="16"/>
                              </w:rPr>
                              <w:tab/>
                            </w:r>
                            <w:r>
                              <w:rPr>
                                <w:rFonts w:ascii="Trebuchet MS" w:hAnsi="Trebuchet MS"/>
                                <w:color w:val="404040"/>
                                <w:w w:val="90"/>
                                <w:position w:val="1"/>
                                <w:sz w:val="14"/>
                              </w:rPr>
                              <w:t>January</w:t>
                            </w:r>
                            <w:r>
                              <w:rPr>
                                <w:rFonts w:ascii="Trebuchet MS" w:hAnsi="Trebuchet MS"/>
                                <w:color w:val="404040"/>
                                <w:spacing w:val="-2"/>
                                <w:position w:val="1"/>
                                <w:sz w:val="14"/>
                              </w:rPr>
                              <w:t xml:space="preserve"> </w:t>
                            </w:r>
                            <w:r>
                              <w:rPr>
                                <w:rFonts w:ascii="Trebuchet MS" w:hAnsi="Trebuchet MS"/>
                                <w:color w:val="404040"/>
                                <w:w w:val="90"/>
                                <w:position w:val="1"/>
                                <w:sz w:val="14"/>
                              </w:rPr>
                              <w:t>–</w:t>
                            </w:r>
                            <w:r>
                              <w:rPr>
                                <w:rFonts w:ascii="Trebuchet MS" w:hAnsi="Trebuchet MS"/>
                                <w:color w:val="404040"/>
                                <w:position w:val="1"/>
                                <w:sz w:val="14"/>
                              </w:rPr>
                              <w:t xml:space="preserve"> </w:t>
                            </w:r>
                            <w:r>
                              <w:rPr>
                                <w:rFonts w:ascii="Trebuchet MS" w:hAnsi="Trebuchet MS"/>
                                <w:color w:val="404040"/>
                                <w:w w:val="90"/>
                                <w:position w:val="1"/>
                                <w:sz w:val="14"/>
                              </w:rPr>
                              <w:t>June</w:t>
                            </w:r>
                            <w:r>
                              <w:rPr>
                                <w:rFonts w:ascii="Trebuchet MS" w:hAnsi="Trebuchet MS"/>
                                <w:color w:val="404040"/>
                                <w:position w:val="1"/>
                                <w:sz w:val="14"/>
                              </w:rPr>
                              <w:t xml:space="preserve"> </w:t>
                            </w:r>
                            <w:r>
                              <w:rPr>
                                <w:rFonts w:ascii="Trebuchet MS" w:hAnsi="Trebuchet MS"/>
                                <w:color w:val="404040"/>
                                <w:spacing w:val="-4"/>
                                <w:w w:val="90"/>
                                <w:position w:val="1"/>
                                <w:sz w:val="14"/>
                              </w:rPr>
                              <w:t>2025</w:t>
                            </w:r>
                          </w:p>
                        </w:txbxContent>
                      </wps:txbx>
                      <wps:bodyPr wrap="square" lIns="0" tIns="0" rIns="0" bIns="0" rtlCol="0">
                        <a:noAutofit/>
                      </wps:bodyPr>
                    </wps:wsp>
                  </a:graphicData>
                </a:graphic>
              </wp:anchor>
            </w:drawing>
          </mc:Choice>
          <mc:Fallback>
            <w:pict>
              <v:shape w14:anchorId="2F5189E5" id="Textbox 329" o:spid="_x0000_s1104" type="#_x0000_t202" style="position:absolute;margin-left:43.9pt;margin-top:802.8pt;width:233.2pt;height:11.65pt;z-index:-246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" filled="f" stroked="f">
                <v:textbox inset="0,0,0,0">
                  <w:txbxContent>
                    <w:p w14:paraId="729424F6" w14:textId="77777777" w:rsidR="00BC24A8" w:rsidRDefault="00000000">
                      <w:pPr>
                        <w:tabs>
                          <w:tab w:val="left" w:pos="976"/>
                          <w:tab w:val="left" w:pos="3477"/>
                        </w:tabs>
                        <w:spacing w:line="226" w:lineRule="exact"/>
                        <w:rPr>
                          <w:rFonts w:ascii="Trebuchet MS" w:hAnsi="Trebuchet MS"/>
                          <w:position w:val="1"/>
                          <w:sz w:val="14"/>
                        </w:rPr>
                      </w:pPr>
                      <w:r>
                        <w:rPr>
                          <w:rFonts w:ascii="Calibri" w:hAnsi="Calibri"/>
                          <w:b/>
                          <w:color w:val="FFFFFF"/>
                          <w:spacing w:val="-5"/>
                          <w:position w:val="2"/>
                        </w:rPr>
                        <w:t>182</w:t>
                      </w:r>
                      <w:r>
                        <w:rPr>
                          <w:rFonts w:ascii="Calibri" w:hAnsi="Calibri"/>
                          <w:b/>
                          <w:color w:val="FFFFFF"/>
                          <w:position w:val="2"/>
                        </w:rPr>
                        <w:tab/>
                      </w:r>
                      <w:r>
                        <w:rPr>
                          <w:rFonts w:ascii="Trebuchet MS" w:hAnsi="Trebuchet MS"/>
                          <w:b/>
                          <w:color w:val="17365A"/>
                          <w:w w:val="95"/>
                          <w:sz w:val="16"/>
                        </w:rPr>
                        <w:t>SKALA:</w:t>
                      </w:r>
                      <w:r>
                        <w:rPr>
                          <w:rFonts w:ascii="Trebuchet MS" w:hAnsi="Trebuchet MS"/>
                          <w:b/>
                          <w:color w:val="17365A"/>
                          <w:spacing w:val="-1"/>
                          <w:sz w:val="16"/>
                        </w:rPr>
                        <w:t xml:space="preserve"> </w:t>
                      </w:r>
                      <w:r>
                        <w:rPr>
                          <w:rFonts w:ascii="Trebuchet MS" w:hAnsi="Trebuchet MS"/>
                          <w:b/>
                          <w:color w:val="17365A"/>
                          <w:w w:val="95"/>
                          <w:sz w:val="16"/>
                        </w:rPr>
                        <w:t>Six</w:t>
                      </w:r>
                      <w:r>
                        <w:rPr>
                          <w:rFonts w:ascii="Trebuchet MS" w:hAnsi="Trebuchet MS"/>
                          <w:b/>
                          <w:color w:val="17365A"/>
                          <w:sz w:val="16"/>
                        </w:rPr>
                        <w:t xml:space="preserve"> </w:t>
                      </w:r>
                      <w:r>
                        <w:rPr>
                          <w:rFonts w:ascii="Trebuchet MS" w:hAnsi="Trebuchet MS"/>
                          <w:b/>
                          <w:color w:val="17365A"/>
                          <w:w w:val="95"/>
                          <w:sz w:val="16"/>
                        </w:rPr>
                        <w:t>Monthly</w:t>
                      </w:r>
                      <w:r>
                        <w:rPr>
                          <w:rFonts w:ascii="Trebuchet MS" w:hAnsi="Trebuchet MS"/>
                          <w:b/>
                          <w:color w:val="17365A"/>
                          <w:sz w:val="16"/>
                        </w:rPr>
                        <w:t xml:space="preserve"> </w:t>
                      </w:r>
                      <w:r>
                        <w:rPr>
                          <w:rFonts w:ascii="Trebuchet MS" w:hAnsi="Trebuchet MS"/>
                          <w:b/>
                          <w:color w:val="17365A"/>
                          <w:spacing w:val="-2"/>
                          <w:w w:val="95"/>
                          <w:sz w:val="16"/>
                        </w:rPr>
                        <w:t>Progress</w:t>
                      </w:r>
                      <w:r>
                        <w:rPr>
                          <w:rFonts w:ascii="Trebuchet MS" w:hAnsi="Trebuchet MS"/>
                          <w:b/>
                          <w:color w:val="17365A"/>
                          <w:sz w:val="16"/>
                        </w:rPr>
                        <w:tab/>
                      </w:r>
                      <w:r>
                        <w:rPr>
                          <w:rFonts w:ascii="Trebuchet MS" w:hAnsi="Trebuchet MS"/>
                          <w:color w:val="404040"/>
                          <w:w w:val="90"/>
                          <w:position w:val="1"/>
                          <w:sz w:val="14"/>
                        </w:rPr>
                        <w:t>January</w:t>
                      </w:r>
                      <w:r>
                        <w:rPr>
                          <w:rFonts w:ascii="Trebuchet MS" w:hAnsi="Trebuchet MS"/>
                          <w:color w:val="404040"/>
                          <w:spacing w:val="-2"/>
                          <w:position w:val="1"/>
                          <w:sz w:val="14"/>
                        </w:rPr>
                        <w:t xml:space="preserve"> </w:t>
                      </w:r>
                      <w:r>
                        <w:rPr>
                          <w:rFonts w:ascii="Trebuchet MS" w:hAnsi="Trebuchet MS"/>
                          <w:color w:val="404040"/>
                          <w:w w:val="90"/>
                          <w:position w:val="1"/>
                          <w:sz w:val="14"/>
                        </w:rPr>
                        <w:t>–</w:t>
                      </w:r>
                      <w:r>
                        <w:rPr>
                          <w:rFonts w:ascii="Trebuchet MS" w:hAnsi="Trebuchet MS"/>
                          <w:color w:val="404040"/>
                          <w:position w:val="1"/>
                          <w:sz w:val="14"/>
                        </w:rPr>
                        <w:t xml:space="preserve"> </w:t>
                      </w:r>
                      <w:r>
                        <w:rPr>
                          <w:rFonts w:ascii="Trebuchet MS" w:hAnsi="Trebuchet MS"/>
                          <w:color w:val="404040"/>
                          <w:w w:val="90"/>
                          <w:position w:val="1"/>
                          <w:sz w:val="14"/>
                        </w:rPr>
                        <w:t>June</w:t>
                      </w:r>
                      <w:r>
                        <w:rPr>
                          <w:rFonts w:ascii="Trebuchet MS" w:hAnsi="Trebuchet MS"/>
                          <w:color w:val="404040"/>
                          <w:position w:val="1"/>
                          <w:sz w:val="14"/>
                        </w:rPr>
                        <w:t xml:space="preserve"> </w:t>
                      </w:r>
                      <w:r>
                        <w:rPr>
                          <w:rFonts w:ascii="Trebuchet MS" w:hAnsi="Trebuchet MS"/>
                          <w:color w:val="404040"/>
                          <w:spacing w:val="-4"/>
                          <w:w w:val="90"/>
                          <w:position w:val="1"/>
                          <w:sz w:val="14"/>
                        </w:rPr>
                        <w:t>2025</w:t>
                      </w:r>
                    </w:p>
                  </w:txbxContent>
                </v:textbox>
                <w10:wrap anchorx="page" anchory="page"/>
              </v:shape>
            </w:pict>
          </mc:Fallback>
        </mc:AlternateContent>
      </w:r>
      <w:r>
        <w:rPr>
          <w:noProof/>
          <w:sz w:val="20"/>
        </w:rPr>
        <mc:AlternateContent>
          <mc:Choice Requires="wpg">
            <w:drawing>
              <wp:anchor distT="0" distB="0" distL="0" distR="0" simplePos="0" relativeHeight="478701568" behindDoc="1" locked="0" layoutInCell="1" allowOverlap="1" wp14:anchorId="097A6E94" wp14:editId="5C3B5591">
                <wp:simplePos x="0" y="0"/>
                <wp:positionH relativeFrom="page">
                  <wp:posOffset>0</wp:posOffset>
                </wp:positionH>
                <wp:positionV relativeFrom="page">
                  <wp:posOffset>0</wp:posOffset>
                </wp:positionV>
                <wp:extent cx="7560945" cy="10692765"/>
                <wp:effectExtent l="0" t="0" r="0" b="0"/>
                <wp:wrapNone/>
                <wp:docPr id="330" name="Group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wps:wsp>
                        <wps:cNvPr id="331" name="Graphic 331"/>
                        <wps:cNvSpPr/>
                        <wps:spPr>
                          <a:xfrm>
                            <a:off x="231775" y="10046899"/>
                            <a:ext cx="7096759" cy="1270"/>
                          </a:xfrm>
                          <a:custGeom>
                            <a:avLst/>
                            <a:gdLst/>
                            <a:ahLst/>
                            <a:cxnLst/>
                            <a:rect l="l" t="t" r="r" b="b"/>
                            <a:pathLst>
                              <a:path w="7096759">
                                <a:moveTo>
                                  <a:pt x="0" y="0"/>
                                </a:moveTo>
                                <a:lnTo>
                                  <a:pt x="107648" y="0"/>
                                </a:lnTo>
                              </a:path>
                              <a:path w="7096759">
                                <a:moveTo>
                                  <a:pt x="671536" y="0"/>
                                </a:moveTo>
                                <a:lnTo>
                                  <a:pt x="2699562" y="0"/>
                                </a:lnTo>
                              </a:path>
                              <a:path w="7096759">
                                <a:moveTo>
                                  <a:pt x="3475164" y="0"/>
                                </a:moveTo>
                                <a:lnTo>
                                  <a:pt x="3739146" y="0"/>
                                </a:lnTo>
                              </a:path>
                              <a:path w="7096759">
                                <a:moveTo>
                                  <a:pt x="5524398" y="0"/>
                                </a:moveTo>
                                <a:lnTo>
                                  <a:pt x="7096759" y="0"/>
                                </a:lnTo>
                              </a:path>
                            </a:pathLst>
                          </a:custGeom>
                          <a:ln w="1270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62" cstate="print"/>
                          <a:stretch>
                            <a:fillRect/>
                          </a:stretch>
                        </pic:blipFill>
                        <pic:spPr>
                          <a:xfrm>
                            <a:off x="897646" y="9938770"/>
                            <a:ext cx="77510" cy="115771"/>
                          </a:xfrm>
                          <a:prstGeom prst="rect">
                            <a:avLst/>
                          </a:prstGeom>
                        </pic:spPr>
                      </pic:pic>
                      <wps:wsp>
                        <wps:cNvPr id="333" name="Graphic 333"/>
                        <wps:cNvSpPr/>
                        <wps:spPr>
                          <a:xfrm>
                            <a:off x="339423" y="9938919"/>
                            <a:ext cx="564515" cy="753745"/>
                          </a:xfrm>
                          <a:custGeom>
                            <a:avLst/>
                            <a:gdLst/>
                            <a:ahLst/>
                            <a:cxnLst/>
                            <a:rect l="l" t="t" r="r" b="b"/>
                            <a:pathLst>
                              <a:path w="564515" h="753745">
                                <a:moveTo>
                                  <a:pt x="563887" y="753464"/>
                                </a:moveTo>
                                <a:lnTo>
                                  <a:pt x="0" y="753464"/>
                                </a:lnTo>
                                <a:lnTo>
                                  <a:pt x="0" y="0"/>
                                </a:lnTo>
                                <a:lnTo>
                                  <a:pt x="563887" y="0"/>
                                </a:lnTo>
                                <a:lnTo>
                                  <a:pt x="563887" y="753464"/>
                                </a:lnTo>
                                <a:close/>
                              </a:path>
                            </a:pathLst>
                          </a:custGeom>
                          <a:solidFill>
                            <a:srgbClr val="00ACA3"/>
                          </a:solidFill>
                        </wps:spPr>
                        <wps:bodyPr wrap="square" lIns="0" tIns="0" rIns="0" bIns="0" rtlCol="0">
                          <a:prstTxWarp prst="textNoShape">
                            <a:avLst/>
                          </a:prstTxWarp>
                          <a:noAutofit/>
                        </wps:bodyPr>
                      </wps:wsp>
                      <wps:wsp>
                        <wps:cNvPr id="334" name="Graphic 334"/>
                        <wps:cNvSpPr/>
                        <wps:spPr>
                          <a:xfrm>
                            <a:off x="2649231" y="10214414"/>
                            <a:ext cx="1270" cy="120014"/>
                          </a:xfrm>
                          <a:custGeom>
                            <a:avLst/>
                            <a:gdLst/>
                            <a:ahLst/>
                            <a:cxnLst/>
                            <a:rect l="l" t="t" r="r" b="b"/>
                            <a:pathLst>
                              <a:path h="120014">
                                <a:moveTo>
                                  <a:pt x="0" y="0"/>
                                </a:moveTo>
                                <a:lnTo>
                                  <a:pt x="0" y="119888"/>
                                </a:lnTo>
                              </a:path>
                            </a:pathLst>
                          </a:custGeom>
                          <a:ln w="28575">
                            <a:solidFill>
                              <a:srgbClr val="00ACA3"/>
                            </a:solidFill>
                            <a:prstDash val="solid"/>
                          </a:ln>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63" cstate="print"/>
                          <a:stretch>
                            <a:fillRect/>
                          </a:stretch>
                        </pic:blipFill>
                        <pic:spPr>
                          <a:xfrm>
                            <a:off x="0" y="0"/>
                            <a:ext cx="7560564" cy="10692383"/>
                          </a:xfrm>
                          <a:prstGeom prst="rect">
                            <a:avLst/>
                          </a:prstGeom>
                        </pic:spPr>
                      </pic:pic>
                    </wpg:wgp>
                  </a:graphicData>
                </a:graphic>
              </wp:anchor>
            </w:drawing>
          </mc:Choice>
          <mc:Fallback>
            <w:pict>
              <v:group w14:anchorId="5873348E" id="Group 330" o:spid="_x0000_s1026" alt="&quot;&quot;" style="position:absolute;margin-left:0;margin-top:0;width:595.35pt;height:841.95pt;z-index:-24614912;mso-wrap-distance-left:0;mso-wrap-distance-right:0;mso-position-horizontal-relative:page;mso-position-vertical-relative:page" coordsize="75609,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XLf/AFK1Tq5b/wCpWgCSiiigAooooAKKKKACiiigAooooAKKKKACiiig&#10;AooooAKKKKACiiigAooooAKKKKACiiigAooooAKKKKACiiigAooooAKKKKACiiigAooooAKKKKAC&#10;iiigAooooAKKKKACiiigAooooAKKKKACiiigAooooAKKKKACiiigAooooAKKKKACiiigAooooAKK&#10;KKACiiigAooooAKKKKACiiigAooooAKKKKACiiigAooooAKKKKACiiigAooooAKKKKAM+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W/+pWqdXLf/AFK0ASUUUUAFFFFABRRRQAUUUUAF&#10;FFFABRRRQAUUUUAFFFFABRRRQAUUUUAFFFFABRRRQAUUUUAFFFFABRRRQAUUUUAFFFFABRRRQAUU&#10;UUAFFFFABRRRQAUUUUAFFFFABRRRQAUUUUAFFFFABRRRQAUUUUAFFFFABRRRQAUUUUAFFFFABRRR&#10;QAUUUUAFFFFABRRRQAUUUUAFFFFABRRRQAUUUUAFFFFABRRRQAUUUUAFFFFABRRRQAUUUUAFFFFA&#10;BRRRQBn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Vy3/1K1Tq5b/6laAJKKKKACiii&#10;gAooooAKKKKACiiigAooooAKKKKACiiigAooooAKKKKACiiigAooooAKKKKACiiigAooooAKKKKA&#10;CiiigAooooAKKKKACiiigAooooAKKKKACiiigAooooAKKKKACiiigAooooAKKKKACiiigAooooAK&#10;KKKACiiigAooooAKKKKACiiigAooooAKKKKACiiigAooooAKKKKACiiigAooooAKKKKACiiigAoo&#10;ooAKKKKACiiigAooooAz6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5b/6lap1ct/9&#10;StAElFFFABRRRQAUUUUAFFFFABRRRQAUUUUAFFFFABRRRQAUUUUAFFFFABRRRQAUUUUAFFFFABRR&#10;RQAUUUUAFFFFABRRRQAUUUUAFFFFABRRRQAUUUUAFFFFABRRRQAUUUUAFFFFABRRRQAUUUUAFFFF&#10;ABRRRQAUUUUAFFFFABRRRQAUUUUAFFFFABRRRQAUUUUAFFFFABRRRQAUUUUAFFFFABRRRQAUUUUA&#10;FFFFABRRRQAUUUUAFFFFABRRRQAUUUUAZ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ct/9StU6uW/+pWgCSiiigAooooAKKKKACiiigAooooAKKKKACiiigAooooAKKKKACiiigAooooA&#10;KKKKACiiigAooooAKKKKACiiigAooooAKKKKACiiigAooooAKKKKACiiigAooooAKKKKACiiigAo&#10;oooAKKKKACiiigAooooAKKKKACiiigAooooAKKKKACiiigAooooAKKKKACiiigAooooAKKKKACii&#10;igAooooAKKKKACiiigAooooAKKKKACiiigAooooAKKKKAM+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uW/wDqVqnVy3/1K0ASUUUUAFFFFABRRRQAUUUUAFFFFABRRRQAUUUUAFFFFABR&#10;RRQAUUUUAFFFFABRRRQAUUUUAFFFFABRRRQAUUUUAFFFFABRRRQAUUUUAFFFFABRRRQAUUUUAFFF&#10;FABRRRQAUUUUAFFFFABRRRQAUUUUAFFFFABRRRQAUUUUAFFFFABRRRQAUUUUAFFFFABRRRQAUUUU&#10;AFFFFABRRRQAUUUUAFFFFABRRRQAUUUUAFFFFABRRRQAUUUUAFFFFABRRRQBn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rlv/AKlap1ct/wDUrQBJRRRQAUUUUAFF&#10;FFABRRRQAUUUUAFFFFABRRRQAUUUUAFFFFABRRRQAUUUUAFFFFABRRRQAUUUUAFFFFABRRRQAUUU&#10;UAFFFFABRRRQAUUUUAFFFFABRRRQAUUUUAFFFFABRRRQAUUUUAFFFFABRRRQAUUUUAFFFFABRRRQ&#10;AUUUUAFFFFABRRRQAUUUUAFFFFABRRRQAUUUUAFFFFABRRRQAUUUUAFFFFABRRRQAUUUUAFFFFAB&#10;RRRQAUUUUAFFFFAG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XLf/AFK1Tq5b/wCp&#10;WgCSiiigAooooAKKKKACiiigAooooAKKKKACiiigAooooAKKKKACiiigAooooAKKKKACiiigAooo&#10;oAKKKKACiiigAooooAKKKKACiiigAooooAKKKKACiiigAooooAKKKKACiiigAooooAKKKKACiiig&#10;AooooAKKKKACiiigAooooAKKKKACiiigAooooAKKKKACiiigAooooAKKKKACiiigAooooAKKKKAC&#10;iiigAooooAKKKKACiiigAooooAKKKKAM+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uW/+pWqdXLf/AFK0ASUUUUAFFFFABRRRQAUUUUAFFFFABRRRQAUUUUAFFFFABRRRQAUUUUAFFFFA&#10;BRRRQAUUUUAFFFFABRRRQAUUUUAFFFFABRRRQAUUUUAFFFFABRRRQAUUUUAFFFFABRRRQAUUUUAF&#10;FFFABRRRQAUUUUAFFFFABRRRQAUUUUAFFFFABRRRQAUUUUAFFFFABRRRQAUUUUAFFFFABRRRQAUU&#10;UUAFFFFABRRRQAUUUUAFFFFABRRRQAUUUUAFFFFABRRRQBn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Vy3/1K1Tq5b/6laAJKKKKACiiigAooooAKKKKACiiigAooooAKKKKACiiigAoo&#10;ooAKKKKACiiigAooooAKKKKACiiigAooooAKKKKACiiigAooooAKKKKACiiigAooooAKKKKACiii&#10;gAooooAKKKKACiiigAooooAKKKKACiiigAooooAKKKKACiiigAooooAKKKKACiiigAooooAKKKKA&#10;CiiigAooooAKKKKACiiigAooooAKKKKACiiigAooooAKKKKACiiigAooooAz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5b/6lap1ct/9StAElFFFABRRRQAUUUUAFFFFABRRRQAUUUUA&#10;FFFFABRRRQAUUUUAFFFFABRRRQAUUUUAFFFFABRRRQAUUUUAFFFFABRRRQAUUUUAFFFFABRRRQAU&#10;UUUAFFFFABRRRQAUUUUAFFFFABRRRQAUUUUAFFFFABRRRQAUUUUAFFFFABRRRQAUUUUAFFFFABRR&#10;RQAUUUUAFFFFABRRRQAUUUUAFFFFABRRRQAUUUUAFFFFABRRRQAUUUUAFFFFABRRRQAUUUUAZ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t/9StU6uW/+pWgCSiiigAooooAKKKKACii&#10;igAooooAKKKKACiiigAooooAKKKKACiiigAooooAKKKKACiiigAooooAKKKKACiiigAooooAKKKK&#10;ACiiigAooooAKKKKACiiigAooooAKKKKACiiigAooooAKKKKACiiigAooooAKKKKACiiigAooooA&#10;KKKKACiiigAooooAKKKKACiiigAooooAKKKKACiiigAooooAKKKKACiiigAooooAKKKKACiiigAo&#10;oooAKKKKAM+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uW/wDqVqnVy3/1K0ASUUUU&#10;AFFFFABRRRQAUUUUAFFFFABRRRQAUUUUAFFFFABRRRQAUUUUAFFFFABRRRQAUUUUAFFFFABRRRQA&#10;UUUUAFFFFABRRRQAUUUUAFFFFABRRRQAUUUUAFFFFABRRRQAUUUUAFFFFABRRRQAUUUUAFFFFABR&#10;RRQAUUUUAFFFFABRRRQAUUUUAFFFFABRRRQAUUUUAFFFFABRRRQAUUUUAFFFFABRRRQAUUUUAFFF&#10;FABRRRQAUUUUAFFFFABRRRQBn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y3/ANSt&#10;U6uW/wDqVoAkooooAKKKKACiiigAooooAKKKKACiiigAooooAKKKKACiiigAooooAKKKKACiiigA&#10;ooooAKKKKACiiigAooooAKKKKACiiigAooooAKKKKACiiigAooooAKKKKACiiigAooooAKKKKACi&#10;iigAooooAKKKKACiiigAooooAKKKKACiiigAooooAKKKKACiiigAooooAKKKKACiiigAooooAKKK&#10;KACiiigAooooAKKKKACiiigAooooAKKKKACiiigDP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rlv/AKlap1ct/wDUrQBJRRRQAUUUUAFFFFABRRRQAUUUUAFFFFABRRRQAUUUUAFFFFAB&#10;RRRQAUUUUAFFFFABRRRQAUUUUAFFFFABRRRQAUUUUAFFFFABRRRQAUUUUAFFFFABRRRQAUUUUAFF&#10;FFABRRRQAUUUUAFFFFABRRRQAUUUUAFFFFABRRRQAUUUUAFFFFABRRRQAUUUUAFFFFABRRRQAUUU&#10;UAFFFFABRRRQAUUUUAFFFFABRRRQAUUUUAFFFFABRRRQAUUUUAFFFFAGf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XLf/AFK1Tq5b/wCpWgCSiiigAooooAKKKKACiiigAooooAKKKKAC&#10;iiigAooooAKKKKACiiigAooooAKKKKACiiigAooooAKKKKACiiigAooooAKKKKACiiigAooooAKK&#10;KKACiiigAooooAKKKKACiiigAooooAKKKKACiiigAooooAKKKKACiiigAooooAKKKKACiiigAooo&#10;oAKKKKACiiigAooooAKKKKACiiigAooooAKKKKACiiigAooooAKKKKACiiigAooooAKKKKAM+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uW/+pWqdXLf/AFK0ASUUUUAFFFFABRRRQAUU&#10;UUAFFFFABRRRQAUUUUAFFFFABRRRQAUUUUAFFFFABRRRQAUUUUAFFFFABRRRQAUUUUAFFFFABRRR&#10;QAUUUUAFFFFABRRRQAUUUUAFFFFABRRRQAUUUUAFFFFABRRRQAUUUUAFFFFABRRRQAUUUUAFFFFA&#10;BRRRQAUUUUAFFFFABRRRQAUUUUAFFFFABRRRQAUUUUAFFFFABRRRQAUUUUAFFFFABRRRQAUUUUAF&#10;FFFABRRRQBn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y3/1K1Tq5b/6laAJKKKKA&#10;CiiigAooooAKKKKACiiigAooooAKKKKACiiigAooooAKKKKACiiigAooooAKKKKACiiigAooooAK&#10;KKKACiiigAooooAKKKKACiiigAooooAKKKKACiiigAooooAKKKKACiiigAooooAKKKKACiiigAoo&#10;ooAKKKKACiiigAooooAKKKKACiiigAooooAKKKKACiiigAooooAKKKKACiiigAooooAKKKKACiii&#10;gAooooAKKKKACiiigAooooAz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5b/6lap1&#10;ct/9StAElFFFABRRRQAUUUUAFFJmloAKKKKACiiigAooooAKKKKACiiigAooooAKKKKACiiigAoo&#10;ooAKKKKACiiigAooooAKKKKACiiigAooooAKKKKACiiigAooooAKKKKACiiigAooooAKKKKACiii&#10;gAooooAKKKKACiiigAooooAKKKKACiiigAooooAKKKKACiiigAooooAKKKKACiiigAooooAKKKKA&#10;CiiigAooooAKKKKACiiigAooooAKKKKACiiigDP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">
                <v:shape id="Graphic 331" o:spid="_x0000_s1027" style="position:absolute;left:2317;top:100468;width:70968;height:13;visibility:visible;mso-wrap-style:square;v-text-anchor:top" coordsize="70967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" path="m,l107648,em671536,l2699562,em3475164,r263982,em5524398,l7096759,e" filled="f" strokecolor="#a6a6a6" strokeweight="1pt">
                  <v:path arrowok="t"/>
                </v:shape>
                <v:shape id="Image 332" o:spid="_x0000_s1028" type="#_x0000_t75" style="position:absolute;left:8976;top:99387;width:775;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">
                  <v:imagedata r:id="rId64" o:title=""/>
                </v:shape>
                <v:shape id="Graphic 333" o:spid="_x0000_s1029" style="position:absolute;left:3394;top:99389;width:5645;height:7537;visibility:visible;mso-wrap-style:square;v-text-anchor:top" coordsize="56451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" path="m563887,753464l,753464,,,563887,r,753464xe" fillcolor="#00aca3" stroked="f">
                  <v:path arrowok="t"/>
                </v:shape>
                <v:shape id="Graphic 334" o:spid="_x0000_s1030" style="position:absolute;left:26492;top:102144;width:13;height:1200;visibility:visible;mso-wrap-style:square;v-text-anchor:top" coordsize="127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" path="m,l,119888e" filled="f" strokecolor="#00aca3" strokeweight="2.25pt">
                  <v:path arrowok="t"/>
                </v:shape>
                <v:shape id="Image 335" o:spid="_x0000_s1031" type="#_x0000_t75"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">
                  <v:imagedata r:id="rId65" o:title=""/>
                </v:shape>
                <w10:wrap anchorx="page" anchory="page"/>
              </v:group>
            </w:pict>
          </mc:Fallback>
        </mc:AlternateContent>
      </w:r>
    </w:p>
    <w:p w14:paraId="11EB88E5" w14:textId="77777777" w:rsidR="00BC24A8" w:rsidRDefault="00BC24A8">
      <w:pPr>
        <w:pStyle w:val="BodyText"/>
        <w:rPr>
          <w:sz w:val="20"/>
        </w:rPr>
      </w:pPr>
    </w:p>
    <w:p w14:paraId="13EF7A3B" w14:textId="77777777" w:rsidR="00BC24A8" w:rsidRDefault="00BC24A8">
      <w:pPr>
        <w:pStyle w:val="BodyText"/>
        <w:rPr>
          <w:sz w:val="20"/>
        </w:rPr>
      </w:pPr>
    </w:p>
    <w:p w14:paraId="6530F662" w14:textId="77777777" w:rsidR="00BC24A8" w:rsidRDefault="00BC24A8">
      <w:pPr>
        <w:pStyle w:val="BodyText"/>
        <w:rPr>
          <w:sz w:val="20"/>
        </w:rPr>
      </w:pPr>
    </w:p>
    <w:p w14:paraId="2268FC59" w14:textId="77777777" w:rsidR="00BC24A8" w:rsidRDefault="00BC24A8">
      <w:pPr>
        <w:pStyle w:val="BodyText"/>
        <w:rPr>
          <w:sz w:val="20"/>
        </w:rPr>
      </w:pPr>
    </w:p>
    <w:p w14:paraId="30A5A7A4" w14:textId="77777777" w:rsidR="00BC24A8" w:rsidRDefault="00BC24A8">
      <w:pPr>
        <w:pStyle w:val="BodyText"/>
        <w:rPr>
          <w:sz w:val="20"/>
        </w:rPr>
      </w:pPr>
    </w:p>
    <w:p w14:paraId="5E1D1917" w14:textId="77777777" w:rsidR="00BC24A8" w:rsidRDefault="00BC24A8">
      <w:pPr>
        <w:pStyle w:val="BodyText"/>
        <w:rPr>
          <w:sz w:val="20"/>
        </w:rPr>
      </w:pPr>
    </w:p>
    <w:p w14:paraId="1D587162" w14:textId="77777777" w:rsidR="00BC24A8" w:rsidRDefault="00BC24A8">
      <w:pPr>
        <w:pStyle w:val="BodyText"/>
        <w:rPr>
          <w:sz w:val="20"/>
        </w:rPr>
      </w:pPr>
    </w:p>
    <w:p w14:paraId="650270E6" w14:textId="77777777" w:rsidR="00BC24A8" w:rsidRDefault="00BC24A8">
      <w:pPr>
        <w:pStyle w:val="BodyText"/>
        <w:rPr>
          <w:sz w:val="20"/>
        </w:rPr>
      </w:pPr>
    </w:p>
    <w:p w14:paraId="29B21F84" w14:textId="77777777" w:rsidR="00BC24A8" w:rsidRDefault="00BC24A8">
      <w:pPr>
        <w:pStyle w:val="BodyText"/>
        <w:rPr>
          <w:sz w:val="20"/>
        </w:rPr>
      </w:pPr>
    </w:p>
    <w:p w14:paraId="316FDD60" w14:textId="77777777" w:rsidR="00BC24A8" w:rsidRDefault="00BC24A8">
      <w:pPr>
        <w:pStyle w:val="BodyText"/>
        <w:rPr>
          <w:sz w:val="20"/>
        </w:rPr>
      </w:pPr>
    </w:p>
    <w:p w14:paraId="2B8C7E39" w14:textId="77777777" w:rsidR="00BC24A8" w:rsidRDefault="00BC24A8">
      <w:pPr>
        <w:pStyle w:val="BodyText"/>
        <w:rPr>
          <w:sz w:val="20"/>
        </w:rPr>
      </w:pPr>
    </w:p>
    <w:p w14:paraId="47D31C16" w14:textId="77777777" w:rsidR="00BC24A8" w:rsidRDefault="00BC24A8">
      <w:pPr>
        <w:pStyle w:val="BodyText"/>
        <w:rPr>
          <w:sz w:val="20"/>
        </w:rPr>
      </w:pPr>
    </w:p>
    <w:p w14:paraId="08E9477F" w14:textId="77777777" w:rsidR="00BC24A8" w:rsidRDefault="00BC24A8">
      <w:pPr>
        <w:pStyle w:val="BodyText"/>
        <w:rPr>
          <w:sz w:val="20"/>
        </w:rPr>
      </w:pPr>
    </w:p>
    <w:p w14:paraId="78687BE5" w14:textId="77777777" w:rsidR="00BC24A8" w:rsidRDefault="00BC24A8">
      <w:pPr>
        <w:pStyle w:val="BodyText"/>
        <w:rPr>
          <w:sz w:val="20"/>
        </w:rPr>
      </w:pPr>
    </w:p>
    <w:p w14:paraId="5B65F933" w14:textId="77777777" w:rsidR="00BC24A8" w:rsidRDefault="00BC24A8">
      <w:pPr>
        <w:pStyle w:val="BodyText"/>
        <w:rPr>
          <w:sz w:val="20"/>
        </w:rPr>
      </w:pPr>
    </w:p>
    <w:p w14:paraId="721600DA" w14:textId="77777777" w:rsidR="00BC24A8" w:rsidRDefault="00BC24A8">
      <w:pPr>
        <w:pStyle w:val="BodyText"/>
        <w:rPr>
          <w:sz w:val="20"/>
        </w:rPr>
      </w:pPr>
    </w:p>
    <w:p w14:paraId="512B978A" w14:textId="77777777" w:rsidR="00BC24A8" w:rsidRDefault="00BC24A8">
      <w:pPr>
        <w:pStyle w:val="BodyText"/>
        <w:rPr>
          <w:sz w:val="20"/>
        </w:rPr>
      </w:pPr>
    </w:p>
    <w:p w14:paraId="10617C27" w14:textId="77777777" w:rsidR="00BC24A8" w:rsidRDefault="00BC24A8">
      <w:pPr>
        <w:pStyle w:val="BodyText"/>
        <w:rPr>
          <w:sz w:val="20"/>
        </w:rPr>
      </w:pPr>
    </w:p>
    <w:p w14:paraId="06E490AE" w14:textId="77777777" w:rsidR="00BC24A8" w:rsidRDefault="00BC24A8">
      <w:pPr>
        <w:pStyle w:val="BodyText"/>
        <w:rPr>
          <w:sz w:val="20"/>
        </w:rPr>
      </w:pPr>
    </w:p>
    <w:p w14:paraId="098F12A5" w14:textId="77777777" w:rsidR="00BC24A8" w:rsidRDefault="00BC24A8">
      <w:pPr>
        <w:pStyle w:val="BodyText"/>
        <w:rPr>
          <w:sz w:val="20"/>
        </w:rPr>
      </w:pPr>
    </w:p>
    <w:p w14:paraId="50CAF698" w14:textId="77777777" w:rsidR="00BC24A8" w:rsidRDefault="00BC24A8">
      <w:pPr>
        <w:pStyle w:val="BodyText"/>
        <w:rPr>
          <w:sz w:val="20"/>
        </w:rPr>
      </w:pPr>
    </w:p>
    <w:p w14:paraId="1562F6F8" w14:textId="77777777" w:rsidR="00BC24A8" w:rsidRDefault="00BC24A8">
      <w:pPr>
        <w:pStyle w:val="BodyText"/>
        <w:rPr>
          <w:sz w:val="20"/>
        </w:rPr>
      </w:pPr>
    </w:p>
    <w:p w14:paraId="10A94217" w14:textId="77777777" w:rsidR="00BC24A8" w:rsidRDefault="00BC24A8">
      <w:pPr>
        <w:pStyle w:val="BodyText"/>
        <w:rPr>
          <w:sz w:val="20"/>
        </w:rPr>
      </w:pPr>
    </w:p>
    <w:p w14:paraId="48593676" w14:textId="77777777" w:rsidR="00BC24A8" w:rsidRDefault="00BC24A8">
      <w:pPr>
        <w:pStyle w:val="BodyText"/>
        <w:rPr>
          <w:sz w:val="20"/>
        </w:rPr>
      </w:pPr>
    </w:p>
    <w:p w14:paraId="218B18FF" w14:textId="77777777" w:rsidR="00BC24A8" w:rsidRDefault="00BC24A8">
      <w:pPr>
        <w:pStyle w:val="BodyText"/>
        <w:rPr>
          <w:sz w:val="20"/>
        </w:rPr>
      </w:pPr>
    </w:p>
    <w:p w14:paraId="704AB717" w14:textId="77777777" w:rsidR="00BC24A8" w:rsidRDefault="00BC24A8">
      <w:pPr>
        <w:pStyle w:val="BodyText"/>
        <w:rPr>
          <w:sz w:val="20"/>
        </w:rPr>
      </w:pPr>
    </w:p>
    <w:p w14:paraId="7D5EDFFE" w14:textId="77777777" w:rsidR="00BC24A8" w:rsidRDefault="00BC24A8">
      <w:pPr>
        <w:pStyle w:val="BodyText"/>
        <w:rPr>
          <w:sz w:val="20"/>
        </w:rPr>
      </w:pPr>
    </w:p>
    <w:p w14:paraId="3BC4102E" w14:textId="77777777" w:rsidR="00BC24A8" w:rsidRDefault="00BC24A8">
      <w:pPr>
        <w:pStyle w:val="BodyText"/>
        <w:rPr>
          <w:sz w:val="20"/>
        </w:rPr>
      </w:pPr>
    </w:p>
    <w:p w14:paraId="6BAD86C1" w14:textId="77777777" w:rsidR="00BC24A8" w:rsidRDefault="00BC24A8">
      <w:pPr>
        <w:pStyle w:val="BodyText"/>
        <w:rPr>
          <w:sz w:val="20"/>
        </w:rPr>
      </w:pPr>
    </w:p>
    <w:p w14:paraId="7B179657" w14:textId="77777777" w:rsidR="00BC24A8" w:rsidRDefault="00BC24A8">
      <w:pPr>
        <w:pStyle w:val="BodyText"/>
        <w:rPr>
          <w:sz w:val="20"/>
        </w:rPr>
      </w:pPr>
    </w:p>
    <w:p w14:paraId="52EF8E1A" w14:textId="77777777" w:rsidR="00BC24A8" w:rsidRDefault="00BC24A8">
      <w:pPr>
        <w:pStyle w:val="BodyText"/>
        <w:rPr>
          <w:sz w:val="20"/>
        </w:rPr>
      </w:pPr>
    </w:p>
    <w:p w14:paraId="4B2B5715" w14:textId="77777777" w:rsidR="00BC24A8" w:rsidRDefault="00BC24A8">
      <w:pPr>
        <w:pStyle w:val="BodyText"/>
        <w:rPr>
          <w:sz w:val="20"/>
        </w:rPr>
      </w:pPr>
    </w:p>
    <w:p w14:paraId="58B8A016" w14:textId="77777777" w:rsidR="00BC24A8" w:rsidRDefault="00BC24A8">
      <w:pPr>
        <w:pStyle w:val="BodyText"/>
        <w:rPr>
          <w:sz w:val="20"/>
        </w:rPr>
      </w:pPr>
    </w:p>
    <w:p w14:paraId="3DE25591" w14:textId="77777777" w:rsidR="00BC24A8" w:rsidRDefault="00BC24A8">
      <w:pPr>
        <w:pStyle w:val="BodyText"/>
        <w:rPr>
          <w:sz w:val="20"/>
        </w:rPr>
      </w:pPr>
    </w:p>
    <w:p w14:paraId="2EF972E5" w14:textId="77777777" w:rsidR="00BC24A8" w:rsidRDefault="00BC24A8">
      <w:pPr>
        <w:pStyle w:val="BodyText"/>
        <w:rPr>
          <w:sz w:val="20"/>
        </w:rPr>
      </w:pPr>
    </w:p>
    <w:p w14:paraId="32B97F27" w14:textId="77777777" w:rsidR="00BC24A8" w:rsidRDefault="00BC24A8">
      <w:pPr>
        <w:pStyle w:val="BodyText"/>
        <w:rPr>
          <w:sz w:val="20"/>
        </w:rPr>
      </w:pPr>
    </w:p>
    <w:p w14:paraId="114FCB58" w14:textId="77777777" w:rsidR="00BC24A8" w:rsidRDefault="00BC24A8">
      <w:pPr>
        <w:pStyle w:val="BodyText"/>
        <w:rPr>
          <w:sz w:val="20"/>
        </w:rPr>
      </w:pPr>
    </w:p>
    <w:p w14:paraId="3D38B015" w14:textId="77777777" w:rsidR="00BC24A8" w:rsidRDefault="00BC24A8">
      <w:pPr>
        <w:pStyle w:val="BodyText"/>
        <w:rPr>
          <w:sz w:val="20"/>
        </w:rPr>
      </w:pPr>
    </w:p>
    <w:p w14:paraId="42C7E98C" w14:textId="77777777" w:rsidR="00BC24A8" w:rsidRDefault="00BC24A8">
      <w:pPr>
        <w:pStyle w:val="BodyText"/>
        <w:rPr>
          <w:sz w:val="20"/>
        </w:rPr>
      </w:pPr>
    </w:p>
    <w:p w14:paraId="0A578A7C" w14:textId="77777777" w:rsidR="00BC24A8" w:rsidRDefault="00BC24A8">
      <w:pPr>
        <w:pStyle w:val="BodyText"/>
        <w:rPr>
          <w:sz w:val="20"/>
        </w:rPr>
      </w:pPr>
    </w:p>
    <w:p w14:paraId="5B687CBB" w14:textId="77777777" w:rsidR="00BC24A8" w:rsidRDefault="00BC24A8">
      <w:pPr>
        <w:pStyle w:val="BodyText"/>
        <w:rPr>
          <w:sz w:val="20"/>
        </w:rPr>
      </w:pPr>
    </w:p>
    <w:p w14:paraId="5285E8ED" w14:textId="77777777" w:rsidR="00BC24A8" w:rsidRDefault="00BC24A8">
      <w:pPr>
        <w:pStyle w:val="BodyText"/>
        <w:rPr>
          <w:sz w:val="20"/>
        </w:rPr>
      </w:pPr>
    </w:p>
    <w:p w14:paraId="7645A183" w14:textId="77777777" w:rsidR="00BC24A8" w:rsidRDefault="00BC24A8">
      <w:pPr>
        <w:pStyle w:val="BodyText"/>
        <w:rPr>
          <w:sz w:val="20"/>
        </w:rPr>
      </w:pPr>
    </w:p>
    <w:p w14:paraId="6852217D" w14:textId="77777777" w:rsidR="00BC24A8" w:rsidRDefault="00BC24A8">
      <w:pPr>
        <w:pStyle w:val="BodyText"/>
        <w:rPr>
          <w:sz w:val="20"/>
        </w:rPr>
      </w:pPr>
    </w:p>
    <w:p w14:paraId="31DB9ED7" w14:textId="77777777" w:rsidR="00BC24A8" w:rsidRDefault="00BC24A8">
      <w:pPr>
        <w:pStyle w:val="BodyText"/>
        <w:rPr>
          <w:sz w:val="20"/>
        </w:rPr>
      </w:pPr>
    </w:p>
    <w:p w14:paraId="51695D32" w14:textId="77777777" w:rsidR="00BC24A8" w:rsidRDefault="00BC24A8">
      <w:pPr>
        <w:pStyle w:val="BodyText"/>
        <w:rPr>
          <w:sz w:val="20"/>
        </w:rPr>
      </w:pPr>
    </w:p>
    <w:p w14:paraId="52291EC1" w14:textId="77777777" w:rsidR="00BC24A8" w:rsidRDefault="00BC24A8">
      <w:pPr>
        <w:pStyle w:val="BodyText"/>
        <w:rPr>
          <w:sz w:val="20"/>
        </w:rPr>
      </w:pPr>
    </w:p>
    <w:p w14:paraId="0E8DB8EB" w14:textId="77777777" w:rsidR="00BC24A8" w:rsidRDefault="00BC24A8">
      <w:pPr>
        <w:pStyle w:val="BodyText"/>
        <w:rPr>
          <w:sz w:val="20"/>
        </w:rPr>
      </w:pPr>
    </w:p>
    <w:p w14:paraId="6DFBCAF0" w14:textId="77777777" w:rsidR="00BC24A8" w:rsidRDefault="00BC24A8">
      <w:pPr>
        <w:pStyle w:val="BodyText"/>
        <w:rPr>
          <w:sz w:val="20"/>
        </w:rPr>
      </w:pPr>
    </w:p>
    <w:p w14:paraId="6FA54289" w14:textId="77777777" w:rsidR="00BC24A8" w:rsidRDefault="00BC24A8">
      <w:pPr>
        <w:pStyle w:val="BodyText"/>
        <w:rPr>
          <w:sz w:val="20"/>
        </w:rPr>
      </w:pPr>
    </w:p>
    <w:p w14:paraId="31F66A98" w14:textId="77777777" w:rsidR="00BC24A8" w:rsidRDefault="00BC24A8">
      <w:pPr>
        <w:pStyle w:val="BodyText"/>
        <w:rPr>
          <w:sz w:val="20"/>
        </w:rPr>
      </w:pPr>
    </w:p>
    <w:p w14:paraId="5564278D" w14:textId="77777777" w:rsidR="00BC24A8" w:rsidRDefault="00BC24A8">
      <w:pPr>
        <w:pStyle w:val="BodyText"/>
        <w:rPr>
          <w:sz w:val="20"/>
        </w:rPr>
      </w:pPr>
    </w:p>
    <w:p w14:paraId="7E4E405C" w14:textId="77777777" w:rsidR="00BC24A8" w:rsidRDefault="00BC24A8">
      <w:pPr>
        <w:pStyle w:val="BodyText"/>
        <w:rPr>
          <w:sz w:val="20"/>
        </w:rPr>
      </w:pPr>
    </w:p>
    <w:p w14:paraId="1B07F818" w14:textId="77777777" w:rsidR="00BC24A8" w:rsidRDefault="00BC24A8">
      <w:pPr>
        <w:pStyle w:val="BodyText"/>
        <w:rPr>
          <w:sz w:val="20"/>
        </w:rPr>
      </w:pPr>
    </w:p>
    <w:p w14:paraId="1BC56F23" w14:textId="77777777" w:rsidR="00BC24A8" w:rsidRDefault="00BC24A8">
      <w:pPr>
        <w:pStyle w:val="BodyText"/>
        <w:spacing w:before="69"/>
        <w:rPr>
          <w:sz w:val="20"/>
        </w:rPr>
      </w:pPr>
    </w:p>
    <w:p w14:paraId="004550F5" w14:textId="77777777" w:rsidR="00BC24A8" w:rsidRDefault="00000000">
      <w:pPr>
        <w:tabs>
          <w:tab w:val="left" w:pos="4978"/>
        </w:tabs>
        <w:ind w:left="3341"/>
        <w:rPr>
          <w:sz w:val="20"/>
        </w:rPr>
      </w:pPr>
      <w:r>
        <w:rPr>
          <w:noProof/>
          <w:sz w:val="20"/>
        </w:rPr>
        <mc:AlternateContent>
          <mc:Choice Requires="wps">
            <w:drawing>
              <wp:inline distT="0" distB="0" distL="0" distR="0" wp14:anchorId="08143301" wp14:editId="09F56411">
                <wp:extent cx="775970" cy="253365"/>
                <wp:effectExtent l="0" t="0" r="0" b="0"/>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253365"/>
                        </a:xfrm>
                        <a:prstGeom prst="rect">
                          <a:avLst/>
                        </a:prstGeom>
                        <a:solidFill>
                          <a:srgbClr val="14365A"/>
                        </a:solidFill>
                      </wps:spPr>
                      <wps:txbx>
                        <w:txbxContent>
                          <w:p w14:paraId="12E12C00" w14:textId="77777777" w:rsidR="00BC24A8" w:rsidRDefault="00000000">
                            <w:pPr>
                              <w:spacing w:before="87"/>
                              <w:ind w:left="13"/>
                              <w:rPr>
                                <w:rFonts w:ascii="Trebuchet MS"/>
                                <w:color w:val="000000"/>
                                <w:sz w:val="20"/>
                              </w:rPr>
                            </w:pPr>
                            <w:r>
                              <w:rPr>
                                <w:rFonts w:ascii="Trebuchet MS"/>
                                <w:color w:val="FFFFFF"/>
                                <w:spacing w:val="-2"/>
                                <w:sz w:val="20"/>
                              </w:rPr>
                              <w:t>skala.or.id</w:t>
                            </w:r>
                          </w:p>
                        </w:txbxContent>
                      </wps:txbx>
                      <wps:bodyPr wrap="square" lIns="0" tIns="0" rIns="0" bIns="0" rtlCol="0">
                        <a:noAutofit/>
                      </wps:bodyPr>
                    </wps:wsp>
                  </a:graphicData>
                </a:graphic>
              </wp:inline>
            </w:drawing>
          </mc:Choice>
          <mc:Fallback>
            <w:pict>
              <v:shape w14:anchorId="08143301" id="Textbox 336" o:spid="_x0000_s1105" type="#_x0000_t202" style="width:61.1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" fillcolor="#14365a" stroked="f">
                <v:textbox inset="0,0,0,0">
                  <w:txbxContent>
                    <w:p w14:paraId="12E12C00" w14:textId="77777777" w:rsidR="00BC24A8" w:rsidRDefault="00000000">
                      <w:pPr>
                        <w:spacing w:before="87"/>
                        <w:ind w:left="13"/>
                        <w:rPr>
                          <w:rFonts w:ascii="Trebuchet MS"/>
                          <w:color w:val="000000"/>
                          <w:sz w:val="20"/>
                        </w:rPr>
                      </w:pPr>
                      <w:r>
                        <w:rPr>
                          <w:rFonts w:ascii="Trebuchet MS"/>
                          <w:color w:val="FFFFFF"/>
                          <w:spacing w:val="-2"/>
                          <w:sz w:val="20"/>
                        </w:rPr>
                        <w:t>skala.or.id</w:t>
                      </w:r>
                    </w:p>
                  </w:txbxContent>
                </v:textbox>
                <w10:anchorlock/>
              </v:shape>
            </w:pict>
          </mc:Fallback>
        </mc:AlternateContent>
      </w:r>
      <w:r>
        <w:rPr>
          <w:sz w:val="20"/>
        </w:rPr>
        <w:tab/>
      </w:r>
      <w:r>
        <w:rPr>
          <w:noProof/>
          <w:sz w:val="20"/>
        </w:rPr>
        <mc:AlternateContent>
          <mc:Choice Requires="wps">
            <w:drawing>
              <wp:inline distT="0" distB="0" distL="0" distR="0" wp14:anchorId="260C8438" wp14:editId="493919FB">
                <wp:extent cx="1785620" cy="253365"/>
                <wp:effectExtent l="0" t="0" r="0" b="0"/>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253365"/>
                        </a:xfrm>
                        <a:prstGeom prst="rect">
                          <a:avLst/>
                        </a:prstGeom>
                        <a:solidFill>
                          <a:srgbClr val="14365A"/>
                        </a:solidFill>
                      </wps:spPr>
                      <wps:txbx>
                        <w:txbxContent>
                          <w:p w14:paraId="36B24031" w14:textId="77777777" w:rsidR="00BC24A8" w:rsidRDefault="00BC24A8">
                            <w:pPr>
                              <w:spacing w:before="75"/>
                              <w:ind w:left="12"/>
                              <w:rPr>
                                <w:rFonts w:ascii="Trebuchet MS"/>
                                <w:color w:val="000000"/>
                                <w:sz w:val="20"/>
                              </w:rPr>
                            </w:pPr>
                            <w:hyperlink r:id="rId66">
                              <w:r>
                                <w:rPr>
                                  <w:rFonts w:ascii="Trebuchet MS"/>
                                  <w:color w:val="FFFFFF"/>
                                  <w:spacing w:val="-2"/>
                                  <w:sz w:val="20"/>
                                </w:rPr>
                                <w:t>info@skala.or.id</w:t>
                              </w:r>
                            </w:hyperlink>
                          </w:p>
                        </w:txbxContent>
                      </wps:txbx>
                      <wps:bodyPr wrap="square" lIns="0" tIns="0" rIns="0" bIns="0" rtlCol="0">
                        <a:noAutofit/>
                      </wps:bodyPr>
                    </wps:wsp>
                  </a:graphicData>
                </a:graphic>
              </wp:inline>
            </w:drawing>
          </mc:Choice>
          <mc:Fallback>
            <w:pict>
              <v:shape w14:anchorId="260C8438" id="Textbox 337" o:spid="_x0000_s1106" type="#_x0000_t202" style="width:140.6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" fillcolor="#14365a" stroked="f">
                <v:textbox inset="0,0,0,0">
                  <w:txbxContent>
                    <w:p w14:paraId="36B24031" w14:textId="77777777" w:rsidR="00BC24A8" w:rsidRDefault="00BC24A8">
                      <w:pPr>
                        <w:spacing w:before="75"/>
                        <w:ind w:left="12"/>
                        <w:rPr>
                          <w:rFonts w:ascii="Trebuchet MS"/>
                          <w:color w:val="000000"/>
                          <w:sz w:val="20"/>
                        </w:rPr>
                      </w:pPr>
                      <w:hyperlink r:id="rId67">
                        <w:r>
                          <w:rPr>
                            <w:rFonts w:ascii="Trebuchet MS"/>
                            <w:color w:val="FFFFFF"/>
                            <w:spacing w:val="-2"/>
                            <w:sz w:val="20"/>
                          </w:rPr>
                          <w:t>info@skala.or.id</w:t>
                        </w:r>
                      </w:hyperlink>
                    </w:p>
                  </w:txbxContent>
                </v:textbox>
                <w10:anchorlock/>
              </v:shape>
            </w:pict>
          </mc:Fallback>
        </mc:AlternateContent>
      </w:r>
    </w:p>
    <w:sectPr w:rsidR="00BC24A8">
      <w:footerReference w:type="default" r:id="rId68"/>
      <w:pgSz w:w="11910" w:h="16840"/>
      <w:pgMar w:top="1920" w:right="850"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94946" w14:textId="77777777" w:rsidR="002E536E" w:rsidRDefault="002E536E">
      <w:r>
        <w:separator/>
      </w:r>
    </w:p>
  </w:endnote>
  <w:endnote w:type="continuationSeparator" w:id="0">
    <w:p w14:paraId="31EA433D" w14:textId="77777777" w:rsidR="002E536E" w:rsidRDefault="002E5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3022" w14:textId="77777777" w:rsidR="00BC24A8" w:rsidRDefault="00000000">
    <w:pPr>
      <w:pStyle w:val="BodyText"/>
      <w:spacing w:line="14" w:lineRule="auto"/>
      <w:rPr>
        <w:sz w:val="20"/>
      </w:rPr>
    </w:pPr>
    <w:r>
      <w:rPr>
        <w:noProof/>
        <w:sz w:val="20"/>
      </w:rPr>
      <mc:AlternateContent>
        <mc:Choice Requires="wpg">
          <w:drawing>
            <wp:anchor distT="0" distB="0" distL="0" distR="0" simplePos="0" relativeHeight="251650048" behindDoc="1" locked="0" layoutInCell="1" allowOverlap="1" wp14:anchorId="5FA3B369" wp14:editId="2427DD4F">
              <wp:simplePos x="0" y="0"/>
              <wp:positionH relativeFrom="page">
                <wp:posOffset>231775</wp:posOffset>
              </wp:positionH>
              <wp:positionV relativeFrom="page">
                <wp:posOffset>9938770</wp:posOffset>
              </wp:positionV>
              <wp:extent cx="7096759" cy="75374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759" cy="753745"/>
                        <a:chOff x="0" y="0"/>
                        <a:chExt cx="7096759" cy="753745"/>
                      </a:xfrm>
                    </wpg:grpSpPr>
                    <wps:wsp>
                      <wps:cNvPr id="3" name="Graphic 3"/>
                      <wps:cNvSpPr/>
                      <wps:spPr>
                        <a:xfrm>
                          <a:off x="0" y="108130"/>
                          <a:ext cx="7096759" cy="1270"/>
                        </a:xfrm>
                        <a:custGeom>
                          <a:avLst/>
                          <a:gdLst/>
                          <a:ahLst/>
                          <a:cxnLst/>
                          <a:rect l="l" t="t" r="r" b="b"/>
                          <a:pathLst>
                            <a:path w="7096759">
                              <a:moveTo>
                                <a:pt x="0" y="0"/>
                              </a:moveTo>
                              <a:lnTo>
                                <a:pt x="107648" y="0"/>
                              </a:lnTo>
                            </a:path>
                            <a:path w="7096759">
                              <a:moveTo>
                                <a:pt x="671536" y="0"/>
                              </a:moveTo>
                              <a:lnTo>
                                <a:pt x="7096759" y="0"/>
                              </a:lnTo>
                            </a:path>
                          </a:pathLst>
                        </a:custGeom>
                        <a:ln w="1270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 cstate="print"/>
                        <a:stretch>
                          <a:fillRect/>
                        </a:stretch>
                      </pic:blipFill>
                      <pic:spPr>
                        <a:xfrm>
                          <a:off x="665872" y="0"/>
                          <a:ext cx="77510" cy="115771"/>
                        </a:xfrm>
                        <a:prstGeom prst="rect">
                          <a:avLst/>
                        </a:prstGeom>
                      </pic:spPr>
                    </pic:pic>
                    <wps:wsp>
                      <wps:cNvPr id="5" name="Graphic 5"/>
                      <wps:cNvSpPr/>
                      <wps:spPr>
                        <a:xfrm>
                          <a:off x="107648" y="149"/>
                          <a:ext cx="564515" cy="753745"/>
                        </a:xfrm>
                        <a:custGeom>
                          <a:avLst/>
                          <a:gdLst/>
                          <a:ahLst/>
                          <a:cxnLst/>
                          <a:rect l="l" t="t" r="r" b="b"/>
                          <a:pathLst>
                            <a:path w="564515" h="753745">
                              <a:moveTo>
                                <a:pt x="563887" y="753464"/>
                              </a:moveTo>
                              <a:lnTo>
                                <a:pt x="0" y="753464"/>
                              </a:lnTo>
                              <a:lnTo>
                                <a:pt x="0" y="0"/>
                              </a:lnTo>
                              <a:lnTo>
                                <a:pt x="563887" y="0"/>
                              </a:lnTo>
                              <a:lnTo>
                                <a:pt x="563887" y="753464"/>
                              </a:lnTo>
                              <a:close/>
                            </a:path>
                          </a:pathLst>
                        </a:custGeom>
                        <a:solidFill>
                          <a:srgbClr val="00ACA3"/>
                        </a:solidFill>
                      </wps:spPr>
                      <wps:bodyPr wrap="square" lIns="0" tIns="0" rIns="0" bIns="0" rtlCol="0">
                        <a:prstTxWarp prst="textNoShape">
                          <a:avLst/>
                        </a:prstTxWarp>
                        <a:noAutofit/>
                      </wps:bodyPr>
                    </wps:wsp>
                    <wps:wsp>
                      <wps:cNvPr id="6" name="Graphic 6"/>
                      <wps:cNvSpPr/>
                      <wps:spPr>
                        <a:xfrm>
                          <a:off x="2417456" y="275644"/>
                          <a:ext cx="1270" cy="120014"/>
                        </a:xfrm>
                        <a:custGeom>
                          <a:avLst/>
                          <a:gdLst/>
                          <a:ahLst/>
                          <a:cxnLst/>
                          <a:rect l="l" t="t" r="r" b="b"/>
                          <a:pathLst>
                            <a:path h="120014">
                              <a:moveTo>
                                <a:pt x="0" y="0"/>
                              </a:moveTo>
                              <a:lnTo>
                                <a:pt x="0" y="119888"/>
                              </a:lnTo>
                            </a:path>
                          </a:pathLst>
                        </a:custGeom>
                        <a:ln w="28575">
                          <a:solidFill>
                            <a:srgbClr val="00ACA3"/>
                          </a:solidFill>
                          <a:prstDash val="solid"/>
                        </a:ln>
                      </wps:spPr>
                      <wps:bodyPr wrap="square" lIns="0" tIns="0" rIns="0" bIns="0" rtlCol="0">
                        <a:prstTxWarp prst="textNoShape">
                          <a:avLst/>
                        </a:prstTxWarp>
                        <a:noAutofit/>
                      </wps:bodyPr>
                    </wps:wsp>
                  </wpg:wgp>
                </a:graphicData>
              </a:graphic>
            </wp:anchor>
          </w:drawing>
        </mc:Choice>
        <mc:Fallback>
          <w:pict>
            <v:group w14:anchorId="1E433DB8" id="Group 2" o:spid="_x0000_s1026" alt="&quot;&quot;" style="position:absolute;margin-left:18.25pt;margin-top:782.6pt;width:558.8pt;height:59.35pt;z-index:-251666432;mso-wrap-distance-left:0;mso-wrap-distance-right:0;mso-position-horizontal-relative:page;mso-position-vertical-relative:page" coordsize="70967,7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">
              <v:shape id="Graphic 3" o:spid="_x0000_s1027" style="position:absolute;top:1081;width:70967;height:13;visibility:visible;mso-wrap-style:square;v-text-anchor:top" coordsize="70967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" path="m,l107648,em671536,l7096759,e" filled="f" strokecolor="#a6a6a6"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6658;width:775;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">
                <v:imagedata r:id="rId2" o:title=""/>
              </v:shape>
              <v:shape id="Graphic 5" o:spid="_x0000_s1029" style="position:absolute;left:1076;top:1;width:5645;height:7537;visibility:visible;mso-wrap-style:square;v-text-anchor:top" coordsize="56451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" path="m563887,753464l,753464,,,563887,r,753464xe" fillcolor="#00aca3" stroked="f">
                <v:path arrowok="t"/>
              </v:shape>
              <v:shape id="Graphic 6" o:spid="_x0000_s1030" style="position:absolute;left:24174;top:2756;width:13;height:1200;visibility:visible;mso-wrap-style:square;v-text-anchor:top" coordsize="127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" path="m,l,119888e" filled="f" strokecolor="#00aca3" strokeweight="2.25pt">
                <v:path arrowok="t"/>
              </v:shape>
              <w10:wrap anchorx="page" anchory="page"/>
            </v:group>
          </w:pict>
        </mc:Fallback>
      </mc:AlternateContent>
    </w:r>
    <w:r>
      <w:rPr>
        <w:noProof/>
        <w:sz w:val="20"/>
      </w:rPr>
      <mc:AlternateContent>
        <mc:Choice Requires="wps">
          <w:drawing>
            <wp:anchor distT="0" distB="0" distL="0" distR="0" simplePos="0" relativeHeight="251652096" behindDoc="1" locked="0" layoutInCell="1" allowOverlap="1" wp14:anchorId="35246168" wp14:editId="4FB99BD6">
              <wp:simplePos x="0" y="0"/>
              <wp:positionH relativeFrom="page">
                <wp:posOffset>519683</wp:posOffset>
              </wp:positionH>
              <wp:positionV relativeFrom="page">
                <wp:posOffset>10182859</wp:posOffset>
              </wp:positionV>
              <wp:extent cx="1943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5735"/>
                      </a:xfrm>
                      <a:prstGeom prst="rect">
                        <a:avLst/>
                      </a:prstGeom>
                    </wps:spPr>
                    <wps:txbx>
                      <w:txbxContent>
                        <w:p w14:paraId="3D21F0E8" w14:textId="77777777" w:rsidR="00BC24A8" w:rsidRDefault="00000000">
                          <w:pPr>
                            <w:spacing w:line="245" w:lineRule="exact"/>
                            <w:ind w:left="60"/>
                            <w:rPr>
                              <w:rFonts w:ascii="Calibri"/>
                              <w:b/>
                            </w:rPr>
                          </w:pPr>
                          <w:r>
                            <w:rPr>
                              <w:rFonts w:ascii="Calibri"/>
                              <w:b/>
                              <w:color w:val="FFFFFF"/>
                              <w:spacing w:val="-5"/>
                            </w:rPr>
                            <w:fldChar w:fldCharType="begin"/>
                          </w:r>
                          <w:r>
                            <w:rPr>
                              <w:rFonts w:ascii="Calibri"/>
                              <w:b/>
                              <w:color w:val="FFFFFF"/>
                              <w:spacing w:val="-5"/>
                            </w:rPr>
                            <w:instrText xml:space="preserve"> PAGE </w:instrText>
                          </w:r>
                          <w:r>
                            <w:rPr>
                              <w:rFonts w:ascii="Calibri"/>
                              <w:b/>
                              <w:color w:val="FFFFFF"/>
                              <w:spacing w:val="-5"/>
                            </w:rPr>
                            <w:fldChar w:fldCharType="separate"/>
                          </w:r>
                          <w:r>
                            <w:rPr>
                              <w:rFonts w:ascii="Calibri"/>
                              <w:b/>
                              <w:color w:val="FFFFFF"/>
                              <w:spacing w:val="-5"/>
                            </w:rPr>
                            <w:t>10</w:t>
                          </w:r>
                          <w:r>
                            <w:rPr>
                              <w:rFonts w:ascii="Calibri"/>
                              <w:b/>
                              <w:color w:val="FFFFFF"/>
                              <w:spacing w:val="-5"/>
                            </w:rPr>
                            <w:fldChar w:fldCharType="end"/>
                          </w:r>
                        </w:p>
                      </w:txbxContent>
                    </wps:txbx>
                    <wps:bodyPr wrap="square" lIns="0" tIns="0" rIns="0" bIns="0" rtlCol="0">
                      <a:noAutofit/>
                    </wps:bodyPr>
                  </wps:wsp>
                </a:graphicData>
              </a:graphic>
            </wp:anchor>
          </w:drawing>
        </mc:Choice>
        <mc:Fallback>
          <w:pict>
            <v:shapetype w14:anchorId="35246168" id="_x0000_t202" coordsize="21600,21600" o:spt="202" path="m,l,21600r21600,l21600,xe">
              <v:stroke joinstyle="miter"/>
              <v:path gradientshapeok="t" o:connecttype="rect"/>
            </v:shapetype>
            <v:shape id="Textbox 7" o:spid="_x0000_s1107" type="#_x0000_t202" style="position:absolute;margin-left:40.9pt;margin-top:801.8pt;width:15.3pt;height:13.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" filled="f" stroked="f">
              <v:textbox inset="0,0,0,0">
                <w:txbxContent>
                  <w:p w14:paraId="3D21F0E8" w14:textId="77777777" w:rsidR="00BC24A8" w:rsidRDefault="00000000">
                    <w:pPr>
                      <w:spacing w:line="245" w:lineRule="exact"/>
                      <w:ind w:left="60"/>
                      <w:rPr>
                        <w:rFonts w:ascii="Calibri"/>
                        <w:b/>
                      </w:rPr>
                    </w:pPr>
                    <w:r>
                      <w:rPr>
                        <w:rFonts w:ascii="Calibri"/>
                        <w:b/>
                        <w:color w:val="FFFFFF"/>
                        <w:spacing w:val="-5"/>
                      </w:rPr>
                      <w:fldChar w:fldCharType="begin"/>
                    </w:r>
                    <w:r>
                      <w:rPr>
                        <w:rFonts w:ascii="Calibri"/>
                        <w:b/>
                        <w:color w:val="FFFFFF"/>
                        <w:spacing w:val="-5"/>
                      </w:rPr>
                      <w:instrText xml:space="preserve"> PAGE </w:instrText>
                    </w:r>
                    <w:r>
                      <w:rPr>
                        <w:rFonts w:ascii="Calibri"/>
                        <w:b/>
                        <w:color w:val="FFFFFF"/>
                        <w:spacing w:val="-5"/>
                      </w:rPr>
                      <w:fldChar w:fldCharType="separate"/>
                    </w:r>
                    <w:r>
                      <w:rPr>
                        <w:rFonts w:ascii="Calibri"/>
                        <w:b/>
                        <w:color w:val="FFFFFF"/>
                        <w:spacing w:val="-5"/>
                      </w:rPr>
                      <w:t>10</w:t>
                    </w:r>
                    <w:r>
                      <w:rPr>
                        <w:rFonts w:ascii="Calibri"/>
                        <w:b/>
                        <w:color w:val="FFFFFF"/>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4144" behindDoc="1" locked="0" layoutInCell="1" allowOverlap="1" wp14:anchorId="1E9C3E68" wp14:editId="6B12D134">
              <wp:simplePos x="0" y="0"/>
              <wp:positionH relativeFrom="page">
                <wp:posOffset>1165352</wp:posOffset>
              </wp:positionH>
              <wp:positionV relativeFrom="page">
                <wp:posOffset>10205856</wp:posOffset>
              </wp:positionV>
              <wp:extent cx="1340485" cy="15049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150495"/>
                      </a:xfrm>
                      <a:prstGeom prst="rect">
                        <a:avLst/>
                      </a:prstGeom>
                    </wps:spPr>
                    <wps:txbx>
                      <w:txbxContent>
                        <w:p w14:paraId="289F0458" w14:textId="77777777" w:rsidR="00BC24A8" w:rsidRDefault="00000000">
                          <w:pPr>
                            <w:spacing w:before="20"/>
                            <w:ind w:left="20"/>
                            <w:rPr>
                              <w:rFonts w:ascii="Trebuchet MS"/>
                              <w:b/>
                              <w:sz w:val="16"/>
                            </w:rPr>
                          </w:pPr>
                          <w:r>
                            <w:rPr>
                              <w:rFonts w:ascii="Trebuchet MS"/>
                              <w:b/>
                              <w:color w:val="17365A"/>
                              <w:spacing w:val="-2"/>
                              <w:sz w:val="16"/>
                            </w:rPr>
                            <w:t>SKALA:</w:t>
                          </w:r>
                          <w:r>
                            <w:rPr>
                              <w:rFonts w:ascii="Trebuchet MS"/>
                              <w:b/>
                              <w:color w:val="17365A"/>
                              <w:spacing w:val="-12"/>
                              <w:sz w:val="16"/>
                            </w:rPr>
                            <w:t xml:space="preserve"> </w:t>
                          </w:r>
                          <w:r>
                            <w:rPr>
                              <w:rFonts w:ascii="Trebuchet MS"/>
                              <w:b/>
                              <w:color w:val="17365A"/>
                              <w:spacing w:val="-2"/>
                              <w:sz w:val="16"/>
                            </w:rPr>
                            <w:t>Six</w:t>
                          </w:r>
                          <w:r>
                            <w:rPr>
                              <w:rFonts w:ascii="Trebuchet MS"/>
                              <w:b/>
                              <w:color w:val="17365A"/>
                              <w:spacing w:val="-12"/>
                              <w:sz w:val="16"/>
                            </w:rPr>
                            <w:t xml:space="preserve"> </w:t>
                          </w:r>
                          <w:r>
                            <w:rPr>
                              <w:rFonts w:ascii="Trebuchet MS"/>
                              <w:b/>
                              <w:color w:val="17365A"/>
                              <w:spacing w:val="-2"/>
                              <w:sz w:val="16"/>
                            </w:rPr>
                            <w:t>Monthly</w:t>
                          </w:r>
                          <w:r>
                            <w:rPr>
                              <w:rFonts w:ascii="Trebuchet MS"/>
                              <w:b/>
                              <w:color w:val="17365A"/>
                              <w:spacing w:val="-12"/>
                              <w:sz w:val="16"/>
                            </w:rPr>
                            <w:t xml:space="preserve"> </w:t>
                          </w:r>
                          <w:r>
                            <w:rPr>
                              <w:rFonts w:ascii="Trebuchet MS"/>
                              <w:b/>
                              <w:color w:val="17365A"/>
                              <w:spacing w:val="-2"/>
                              <w:sz w:val="16"/>
                            </w:rPr>
                            <w:t>Progress</w:t>
                          </w:r>
                        </w:p>
                      </w:txbxContent>
                    </wps:txbx>
                    <wps:bodyPr wrap="square" lIns="0" tIns="0" rIns="0" bIns="0" rtlCol="0">
                      <a:noAutofit/>
                    </wps:bodyPr>
                  </wps:wsp>
                </a:graphicData>
              </a:graphic>
            </wp:anchor>
          </w:drawing>
        </mc:Choice>
        <mc:Fallback>
          <w:pict>
            <v:shape w14:anchorId="1E9C3E68" id="Textbox 8" o:spid="_x0000_s1108" type="#_x0000_t202" style="position:absolute;margin-left:91.75pt;margin-top:803.6pt;width:105.55pt;height:11.8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" filled="f" stroked="f">
              <v:textbox inset="0,0,0,0">
                <w:txbxContent>
                  <w:p w14:paraId="289F0458" w14:textId="77777777" w:rsidR="00BC24A8" w:rsidRDefault="00000000">
                    <w:pPr>
                      <w:spacing w:before="20"/>
                      <w:ind w:left="20"/>
                      <w:rPr>
                        <w:rFonts w:ascii="Trebuchet MS"/>
                        <w:b/>
                        <w:sz w:val="16"/>
                      </w:rPr>
                    </w:pPr>
                    <w:r>
                      <w:rPr>
                        <w:rFonts w:ascii="Trebuchet MS"/>
                        <w:b/>
                        <w:color w:val="17365A"/>
                        <w:spacing w:val="-2"/>
                        <w:sz w:val="16"/>
                      </w:rPr>
                      <w:t>SKALA:</w:t>
                    </w:r>
                    <w:r>
                      <w:rPr>
                        <w:rFonts w:ascii="Trebuchet MS"/>
                        <w:b/>
                        <w:color w:val="17365A"/>
                        <w:spacing w:val="-12"/>
                        <w:sz w:val="16"/>
                      </w:rPr>
                      <w:t xml:space="preserve"> </w:t>
                    </w:r>
                    <w:r>
                      <w:rPr>
                        <w:rFonts w:ascii="Trebuchet MS"/>
                        <w:b/>
                        <w:color w:val="17365A"/>
                        <w:spacing w:val="-2"/>
                        <w:sz w:val="16"/>
                      </w:rPr>
                      <w:t>Six</w:t>
                    </w:r>
                    <w:r>
                      <w:rPr>
                        <w:rFonts w:ascii="Trebuchet MS"/>
                        <w:b/>
                        <w:color w:val="17365A"/>
                        <w:spacing w:val="-12"/>
                        <w:sz w:val="16"/>
                      </w:rPr>
                      <w:t xml:space="preserve"> </w:t>
                    </w:r>
                    <w:r>
                      <w:rPr>
                        <w:rFonts w:ascii="Trebuchet MS"/>
                        <w:b/>
                        <w:color w:val="17365A"/>
                        <w:spacing w:val="-2"/>
                        <w:sz w:val="16"/>
                      </w:rPr>
                      <w:t>Monthly</w:t>
                    </w:r>
                    <w:r>
                      <w:rPr>
                        <w:rFonts w:ascii="Trebuchet MS"/>
                        <w:b/>
                        <w:color w:val="17365A"/>
                        <w:spacing w:val="-12"/>
                        <w:sz w:val="16"/>
                      </w:rPr>
                      <w:t xml:space="preserve"> </w:t>
                    </w:r>
                    <w:r>
                      <w:rPr>
                        <w:rFonts w:ascii="Trebuchet MS"/>
                        <w:b/>
                        <w:color w:val="17365A"/>
                        <w:spacing w:val="-2"/>
                        <w:sz w:val="16"/>
                      </w:rPr>
                      <w:t>Progress</w:t>
                    </w:r>
                  </w:p>
                </w:txbxContent>
              </v:textbox>
              <w10:wrap anchorx="page" anchory="page"/>
            </v:shape>
          </w:pict>
        </mc:Fallback>
      </mc:AlternateContent>
    </w:r>
    <w:r>
      <w:rPr>
        <w:noProof/>
        <w:sz w:val="20"/>
      </w:rPr>
      <mc:AlternateContent>
        <mc:Choice Requires="wps">
          <w:drawing>
            <wp:anchor distT="0" distB="0" distL="0" distR="0" simplePos="0" relativeHeight="251656192" behindDoc="1" locked="0" layoutInCell="1" allowOverlap="1" wp14:anchorId="4BF0A549" wp14:editId="6A01C2D9">
              <wp:simplePos x="0" y="0"/>
              <wp:positionH relativeFrom="page">
                <wp:posOffset>2753360</wp:posOffset>
              </wp:positionH>
              <wp:positionV relativeFrom="page">
                <wp:posOffset>10209590</wp:posOffset>
              </wp:positionV>
              <wp:extent cx="778510" cy="1333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33350"/>
                      </a:xfrm>
                      <a:prstGeom prst="rect">
                        <a:avLst/>
                      </a:prstGeom>
                    </wps:spPr>
                    <wps:txbx>
                      <w:txbxContent>
                        <w:p w14:paraId="1480C582" w14:textId="77777777" w:rsidR="00BC24A8" w:rsidRDefault="00000000">
                          <w:pPr>
                            <w:spacing w:before="19"/>
                            <w:ind w:left="20"/>
                            <w:rPr>
                              <w:rFonts w:ascii="Trebuchet MS" w:hAnsi="Trebuchet MS"/>
                              <w:sz w:val="14"/>
                            </w:rPr>
                          </w:pPr>
                          <w:r>
                            <w:rPr>
                              <w:rFonts w:ascii="Trebuchet MS" w:hAnsi="Trebuchet MS"/>
                              <w:color w:val="404040"/>
                              <w:w w:val="90"/>
                              <w:sz w:val="14"/>
                            </w:rPr>
                            <w:t>January</w:t>
                          </w:r>
                          <w:r>
                            <w:rPr>
                              <w:rFonts w:ascii="Trebuchet MS" w:hAnsi="Trebuchet MS"/>
                              <w:color w:val="404040"/>
                              <w:spacing w:val="-2"/>
                              <w:sz w:val="14"/>
                            </w:rPr>
                            <w:t xml:space="preserve"> </w:t>
                          </w:r>
                          <w:r>
                            <w:rPr>
                              <w:rFonts w:ascii="Trebuchet MS" w:hAnsi="Trebuchet MS"/>
                              <w:color w:val="404040"/>
                              <w:w w:val="90"/>
                              <w:sz w:val="14"/>
                            </w:rPr>
                            <w:t>–</w:t>
                          </w:r>
                          <w:r>
                            <w:rPr>
                              <w:rFonts w:ascii="Trebuchet MS" w:hAnsi="Trebuchet MS"/>
                              <w:color w:val="404040"/>
                              <w:sz w:val="14"/>
                            </w:rPr>
                            <w:t xml:space="preserve"> </w:t>
                          </w:r>
                          <w:r>
                            <w:rPr>
                              <w:rFonts w:ascii="Trebuchet MS" w:hAnsi="Trebuchet MS"/>
                              <w:color w:val="404040"/>
                              <w:w w:val="90"/>
                              <w:sz w:val="14"/>
                            </w:rPr>
                            <w:t>June</w:t>
                          </w:r>
                          <w:r>
                            <w:rPr>
                              <w:rFonts w:ascii="Trebuchet MS" w:hAnsi="Trebuchet MS"/>
                              <w:color w:val="404040"/>
                              <w:sz w:val="14"/>
                            </w:rPr>
                            <w:t xml:space="preserve"> </w:t>
                          </w:r>
                          <w:r>
                            <w:rPr>
                              <w:rFonts w:ascii="Trebuchet MS" w:hAnsi="Trebuchet MS"/>
                              <w:color w:val="404040"/>
                              <w:spacing w:val="-4"/>
                              <w:w w:val="90"/>
                              <w:sz w:val="14"/>
                            </w:rPr>
                            <w:t>2025</w:t>
                          </w:r>
                        </w:p>
                      </w:txbxContent>
                    </wps:txbx>
                    <wps:bodyPr wrap="square" lIns="0" tIns="0" rIns="0" bIns="0" rtlCol="0">
                      <a:noAutofit/>
                    </wps:bodyPr>
                  </wps:wsp>
                </a:graphicData>
              </a:graphic>
            </wp:anchor>
          </w:drawing>
        </mc:Choice>
        <mc:Fallback>
          <w:pict>
            <v:shape w14:anchorId="4BF0A549" id="Textbox 9" o:spid="_x0000_s1109" type="#_x0000_t202" style="position:absolute;margin-left:216.8pt;margin-top:803.9pt;width:61.3pt;height:1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" filled="f" stroked="f">
              <v:textbox inset="0,0,0,0">
                <w:txbxContent>
                  <w:p w14:paraId="1480C582" w14:textId="77777777" w:rsidR="00BC24A8" w:rsidRDefault="00000000">
                    <w:pPr>
                      <w:spacing w:before="19"/>
                      <w:ind w:left="20"/>
                      <w:rPr>
                        <w:rFonts w:ascii="Trebuchet MS" w:hAnsi="Trebuchet MS"/>
                        <w:sz w:val="14"/>
                      </w:rPr>
                    </w:pPr>
                    <w:r>
                      <w:rPr>
                        <w:rFonts w:ascii="Trebuchet MS" w:hAnsi="Trebuchet MS"/>
                        <w:color w:val="404040"/>
                        <w:w w:val="90"/>
                        <w:sz w:val="14"/>
                      </w:rPr>
                      <w:t>January</w:t>
                    </w:r>
                    <w:r>
                      <w:rPr>
                        <w:rFonts w:ascii="Trebuchet MS" w:hAnsi="Trebuchet MS"/>
                        <w:color w:val="404040"/>
                        <w:spacing w:val="-2"/>
                        <w:sz w:val="14"/>
                      </w:rPr>
                      <w:t xml:space="preserve"> </w:t>
                    </w:r>
                    <w:r>
                      <w:rPr>
                        <w:rFonts w:ascii="Trebuchet MS" w:hAnsi="Trebuchet MS"/>
                        <w:color w:val="404040"/>
                        <w:w w:val="90"/>
                        <w:sz w:val="14"/>
                      </w:rPr>
                      <w:t>–</w:t>
                    </w:r>
                    <w:r>
                      <w:rPr>
                        <w:rFonts w:ascii="Trebuchet MS" w:hAnsi="Trebuchet MS"/>
                        <w:color w:val="404040"/>
                        <w:sz w:val="14"/>
                      </w:rPr>
                      <w:t xml:space="preserve"> </w:t>
                    </w:r>
                    <w:r>
                      <w:rPr>
                        <w:rFonts w:ascii="Trebuchet MS" w:hAnsi="Trebuchet MS"/>
                        <w:color w:val="404040"/>
                        <w:w w:val="90"/>
                        <w:sz w:val="14"/>
                      </w:rPr>
                      <w:t>June</w:t>
                    </w:r>
                    <w:r>
                      <w:rPr>
                        <w:rFonts w:ascii="Trebuchet MS" w:hAnsi="Trebuchet MS"/>
                        <w:color w:val="404040"/>
                        <w:sz w:val="14"/>
                      </w:rPr>
                      <w:t xml:space="preserve"> </w:t>
                    </w:r>
                    <w:r>
                      <w:rPr>
                        <w:rFonts w:ascii="Trebuchet MS" w:hAnsi="Trebuchet MS"/>
                        <w:color w:val="404040"/>
                        <w:spacing w:val="-4"/>
                        <w:w w:val="90"/>
                        <w:sz w:val="14"/>
                      </w:rPr>
                      <w:t>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B3141" w14:textId="77777777" w:rsidR="00BC24A8" w:rsidRDefault="00000000">
    <w:pPr>
      <w:pStyle w:val="BodyText"/>
      <w:spacing w:line="14" w:lineRule="auto"/>
      <w:rPr>
        <w:sz w:val="20"/>
      </w:rPr>
    </w:pPr>
    <w:r>
      <w:rPr>
        <w:noProof/>
        <w:sz w:val="20"/>
      </w:rPr>
      <mc:AlternateContent>
        <mc:Choice Requires="wpg">
          <w:drawing>
            <wp:anchor distT="0" distB="0" distL="0" distR="0" simplePos="0" relativeHeight="251651072" behindDoc="1" locked="0" layoutInCell="1" allowOverlap="1" wp14:anchorId="609CFD29" wp14:editId="2861E310">
              <wp:simplePos x="0" y="0"/>
              <wp:positionH relativeFrom="page">
                <wp:posOffset>231775</wp:posOffset>
              </wp:positionH>
              <wp:positionV relativeFrom="page">
                <wp:posOffset>9938770</wp:posOffset>
              </wp:positionV>
              <wp:extent cx="7096759" cy="753745"/>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759" cy="753745"/>
                        <a:chOff x="0" y="0"/>
                        <a:chExt cx="7096759" cy="753745"/>
                      </a:xfrm>
                    </wpg:grpSpPr>
                    <wps:wsp>
                      <wps:cNvPr id="11" name="Graphic 11"/>
                      <wps:cNvSpPr/>
                      <wps:spPr>
                        <a:xfrm>
                          <a:off x="0" y="108130"/>
                          <a:ext cx="7096759" cy="1270"/>
                        </a:xfrm>
                        <a:custGeom>
                          <a:avLst/>
                          <a:gdLst/>
                          <a:ahLst/>
                          <a:cxnLst/>
                          <a:rect l="l" t="t" r="r" b="b"/>
                          <a:pathLst>
                            <a:path w="7096759">
                              <a:moveTo>
                                <a:pt x="0" y="0"/>
                              </a:moveTo>
                              <a:lnTo>
                                <a:pt x="107648" y="0"/>
                              </a:lnTo>
                            </a:path>
                            <a:path w="7096759">
                              <a:moveTo>
                                <a:pt x="671536" y="0"/>
                              </a:moveTo>
                              <a:lnTo>
                                <a:pt x="7096759" y="0"/>
                              </a:lnTo>
                            </a:path>
                          </a:pathLst>
                        </a:custGeom>
                        <a:ln w="1270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 cstate="print"/>
                        <a:stretch>
                          <a:fillRect/>
                        </a:stretch>
                      </pic:blipFill>
                      <pic:spPr>
                        <a:xfrm>
                          <a:off x="665872" y="0"/>
                          <a:ext cx="77510" cy="115771"/>
                        </a:xfrm>
                        <a:prstGeom prst="rect">
                          <a:avLst/>
                        </a:prstGeom>
                      </pic:spPr>
                    </pic:pic>
                    <wps:wsp>
                      <wps:cNvPr id="13" name="Graphic 13"/>
                      <wps:cNvSpPr/>
                      <wps:spPr>
                        <a:xfrm>
                          <a:off x="107648" y="149"/>
                          <a:ext cx="564515" cy="753745"/>
                        </a:xfrm>
                        <a:custGeom>
                          <a:avLst/>
                          <a:gdLst/>
                          <a:ahLst/>
                          <a:cxnLst/>
                          <a:rect l="l" t="t" r="r" b="b"/>
                          <a:pathLst>
                            <a:path w="564515" h="753745">
                              <a:moveTo>
                                <a:pt x="563887" y="753464"/>
                              </a:moveTo>
                              <a:lnTo>
                                <a:pt x="0" y="753464"/>
                              </a:lnTo>
                              <a:lnTo>
                                <a:pt x="0" y="0"/>
                              </a:lnTo>
                              <a:lnTo>
                                <a:pt x="563887" y="0"/>
                              </a:lnTo>
                              <a:lnTo>
                                <a:pt x="563887" y="753464"/>
                              </a:lnTo>
                              <a:close/>
                            </a:path>
                          </a:pathLst>
                        </a:custGeom>
                        <a:solidFill>
                          <a:srgbClr val="00ACA3"/>
                        </a:solidFill>
                      </wps:spPr>
                      <wps:bodyPr wrap="square" lIns="0" tIns="0" rIns="0" bIns="0" rtlCol="0">
                        <a:prstTxWarp prst="textNoShape">
                          <a:avLst/>
                        </a:prstTxWarp>
                        <a:noAutofit/>
                      </wps:bodyPr>
                    </wps:wsp>
                    <wps:wsp>
                      <wps:cNvPr id="14" name="Graphic 14"/>
                      <wps:cNvSpPr/>
                      <wps:spPr>
                        <a:xfrm>
                          <a:off x="2417456" y="275644"/>
                          <a:ext cx="1270" cy="120014"/>
                        </a:xfrm>
                        <a:custGeom>
                          <a:avLst/>
                          <a:gdLst/>
                          <a:ahLst/>
                          <a:cxnLst/>
                          <a:rect l="l" t="t" r="r" b="b"/>
                          <a:pathLst>
                            <a:path h="120014">
                              <a:moveTo>
                                <a:pt x="0" y="0"/>
                              </a:moveTo>
                              <a:lnTo>
                                <a:pt x="0" y="119888"/>
                              </a:lnTo>
                            </a:path>
                          </a:pathLst>
                        </a:custGeom>
                        <a:ln w="28575">
                          <a:solidFill>
                            <a:srgbClr val="00ACA3"/>
                          </a:solidFill>
                          <a:prstDash val="solid"/>
                        </a:ln>
                      </wps:spPr>
                      <wps:bodyPr wrap="square" lIns="0" tIns="0" rIns="0" bIns="0" rtlCol="0">
                        <a:prstTxWarp prst="textNoShape">
                          <a:avLst/>
                        </a:prstTxWarp>
                        <a:noAutofit/>
                      </wps:bodyPr>
                    </wps:wsp>
                  </wpg:wgp>
                </a:graphicData>
              </a:graphic>
            </wp:anchor>
          </w:drawing>
        </mc:Choice>
        <mc:Fallback>
          <w:pict>
            <v:group w14:anchorId="6BFA7774" id="Group 10" o:spid="_x0000_s1026" alt="&quot;&quot;" style="position:absolute;margin-left:18.25pt;margin-top:782.6pt;width:558.8pt;height:59.35pt;z-index:-251665408;mso-wrap-distance-left:0;mso-wrap-distance-right:0;mso-position-horizontal-relative:page;mso-position-vertical-relative:page" coordsize="70967,7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">
              <v:shape id="Graphic 11" o:spid="_x0000_s1027" style="position:absolute;top:1081;width:70967;height:13;visibility:visible;mso-wrap-style:square;v-text-anchor:top" coordsize="70967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" path="m,l107648,em671536,l7096759,e" filled="f" strokecolor="#a6a6a6"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6658;width:775;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">
                <v:imagedata r:id="rId2" o:title=""/>
              </v:shape>
              <v:shape id="Graphic 13" o:spid="_x0000_s1029" style="position:absolute;left:1076;top:1;width:5645;height:7537;visibility:visible;mso-wrap-style:square;v-text-anchor:top" coordsize="56451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" path="m563887,753464l,753464,,,563887,r,753464xe" fillcolor="#00aca3" stroked="f">
                <v:path arrowok="t"/>
              </v:shape>
              <v:shape id="Graphic 14" o:spid="_x0000_s1030" style="position:absolute;left:24174;top:2756;width:13;height:1200;visibility:visible;mso-wrap-style:square;v-text-anchor:top" coordsize="127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" path="m,l,119888e" filled="f" strokecolor="#00aca3" strokeweight="2.25pt">
                <v:path arrowok="t"/>
              </v:shape>
              <w10:wrap anchorx="page" anchory="page"/>
            </v:group>
          </w:pict>
        </mc:Fallback>
      </mc:AlternateContent>
    </w:r>
    <w:r>
      <w:rPr>
        <w:noProof/>
        <w:sz w:val="20"/>
      </w:rPr>
      <mc:AlternateContent>
        <mc:Choice Requires="wps">
          <w:drawing>
            <wp:anchor distT="0" distB="0" distL="0" distR="0" simplePos="0" relativeHeight="251653120" behindDoc="1" locked="0" layoutInCell="1" allowOverlap="1" wp14:anchorId="493918AC" wp14:editId="2E7469B6">
              <wp:simplePos x="0" y="0"/>
              <wp:positionH relativeFrom="page">
                <wp:posOffset>519683</wp:posOffset>
              </wp:positionH>
              <wp:positionV relativeFrom="page">
                <wp:posOffset>10182859</wp:posOffset>
              </wp:positionV>
              <wp:extent cx="19431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5735"/>
                      </a:xfrm>
                      <a:prstGeom prst="rect">
                        <a:avLst/>
                      </a:prstGeom>
                    </wps:spPr>
                    <wps:txbx>
                      <w:txbxContent>
                        <w:p w14:paraId="63A81D82" w14:textId="77777777" w:rsidR="00BC24A8" w:rsidRDefault="00000000">
                          <w:pPr>
                            <w:spacing w:line="245" w:lineRule="exact"/>
                            <w:ind w:left="60"/>
                            <w:rPr>
                              <w:rFonts w:ascii="Calibri"/>
                              <w:b/>
                            </w:rPr>
                          </w:pPr>
                          <w:r>
                            <w:rPr>
                              <w:rFonts w:ascii="Calibri"/>
                              <w:b/>
                              <w:color w:val="FFFFFF"/>
                              <w:spacing w:val="-5"/>
                            </w:rPr>
                            <w:fldChar w:fldCharType="begin"/>
                          </w:r>
                          <w:r>
                            <w:rPr>
                              <w:rFonts w:ascii="Calibri"/>
                              <w:b/>
                              <w:color w:val="FFFFFF"/>
                              <w:spacing w:val="-5"/>
                            </w:rPr>
                            <w:instrText xml:space="preserve"> PAGE </w:instrText>
                          </w:r>
                          <w:r>
                            <w:rPr>
                              <w:rFonts w:ascii="Calibri"/>
                              <w:b/>
                              <w:color w:val="FFFFFF"/>
                              <w:spacing w:val="-5"/>
                            </w:rPr>
                            <w:fldChar w:fldCharType="separate"/>
                          </w:r>
                          <w:r>
                            <w:rPr>
                              <w:rFonts w:ascii="Calibri"/>
                              <w:b/>
                              <w:color w:val="FFFFFF"/>
                              <w:spacing w:val="-5"/>
                            </w:rPr>
                            <w:t>10</w:t>
                          </w:r>
                          <w:r>
                            <w:rPr>
                              <w:rFonts w:ascii="Calibri"/>
                              <w:b/>
                              <w:color w:val="FFFFFF"/>
                              <w:spacing w:val="-5"/>
                            </w:rPr>
                            <w:fldChar w:fldCharType="end"/>
                          </w:r>
                        </w:p>
                      </w:txbxContent>
                    </wps:txbx>
                    <wps:bodyPr wrap="square" lIns="0" tIns="0" rIns="0" bIns="0" rtlCol="0">
                      <a:noAutofit/>
                    </wps:bodyPr>
                  </wps:wsp>
                </a:graphicData>
              </a:graphic>
            </wp:anchor>
          </w:drawing>
        </mc:Choice>
        <mc:Fallback>
          <w:pict>
            <v:shapetype w14:anchorId="493918AC" id="_x0000_t202" coordsize="21600,21600" o:spt="202" path="m,l,21600r21600,l21600,xe">
              <v:stroke joinstyle="miter"/>
              <v:path gradientshapeok="t" o:connecttype="rect"/>
            </v:shapetype>
            <v:shape id="Textbox 15" o:spid="_x0000_s1110" type="#_x0000_t202" style="position:absolute;margin-left:40.9pt;margin-top:801.8pt;width:15.3pt;height:13.0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" filled="f" stroked="f">
              <v:textbox inset="0,0,0,0">
                <w:txbxContent>
                  <w:p w14:paraId="63A81D82" w14:textId="77777777" w:rsidR="00BC24A8" w:rsidRDefault="00000000">
                    <w:pPr>
                      <w:spacing w:line="245" w:lineRule="exact"/>
                      <w:ind w:left="60"/>
                      <w:rPr>
                        <w:rFonts w:ascii="Calibri"/>
                        <w:b/>
                      </w:rPr>
                    </w:pPr>
                    <w:r>
                      <w:rPr>
                        <w:rFonts w:ascii="Calibri"/>
                        <w:b/>
                        <w:color w:val="FFFFFF"/>
                        <w:spacing w:val="-5"/>
                      </w:rPr>
                      <w:fldChar w:fldCharType="begin"/>
                    </w:r>
                    <w:r>
                      <w:rPr>
                        <w:rFonts w:ascii="Calibri"/>
                        <w:b/>
                        <w:color w:val="FFFFFF"/>
                        <w:spacing w:val="-5"/>
                      </w:rPr>
                      <w:instrText xml:space="preserve"> PAGE </w:instrText>
                    </w:r>
                    <w:r>
                      <w:rPr>
                        <w:rFonts w:ascii="Calibri"/>
                        <w:b/>
                        <w:color w:val="FFFFFF"/>
                        <w:spacing w:val="-5"/>
                      </w:rPr>
                      <w:fldChar w:fldCharType="separate"/>
                    </w:r>
                    <w:r>
                      <w:rPr>
                        <w:rFonts w:ascii="Calibri"/>
                        <w:b/>
                        <w:color w:val="FFFFFF"/>
                        <w:spacing w:val="-5"/>
                      </w:rPr>
                      <w:t>10</w:t>
                    </w:r>
                    <w:r>
                      <w:rPr>
                        <w:rFonts w:ascii="Calibri"/>
                        <w:b/>
                        <w:color w:val="FFFFFF"/>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5168" behindDoc="1" locked="0" layoutInCell="1" allowOverlap="1" wp14:anchorId="43082749" wp14:editId="2AD7EFE4">
              <wp:simplePos x="0" y="0"/>
              <wp:positionH relativeFrom="page">
                <wp:posOffset>1165352</wp:posOffset>
              </wp:positionH>
              <wp:positionV relativeFrom="page">
                <wp:posOffset>10205856</wp:posOffset>
              </wp:positionV>
              <wp:extent cx="1340485" cy="15049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150495"/>
                      </a:xfrm>
                      <a:prstGeom prst="rect">
                        <a:avLst/>
                      </a:prstGeom>
                    </wps:spPr>
                    <wps:txbx>
                      <w:txbxContent>
                        <w:p w14:paraId="4332B412" w14:textId="77777777" w:rsidR="00BC24A8" w:rsidRDefault="00000000">
                          <w:pPr>
                            <w:spacing w:before="20"/>
                            <w:ind w:left="20"/>
                            <w:rPr>
                              <w:rFonts w:ascii="Trebuchet MS"/>
                              <w:b/>
                              <w:sz w:val="16"/>
                            </w:rPr>
                          </w:pPr>
                          <w:r>
                            <w:rPr>
                              <w:rFonts w:ascii="Trebuchet MS"/>
                              <w:b/>
                              <w:color w:val="17365A"/>
                              <w:spacing w:val="-2"/>
                              <w:sz w:val="16"/>
                            </w:rPr>
                            <w:t>SKALA:</w:t>
                          </w:r>
                          <w:r>
                            <w:rPr>
                              <w:rFonts w:ascii="Trebuchet MS"/>
                              <w:b/>
                              <w:color w:val="17365A"/>
                              <w:spacing w:val="-12"/>
                              <w:sz w:val="16"/>
                            </w:rPr>
                            <w:t xml:space="preserve"> </w:t>
                          </w:r>
                          <w:r>
                            <w:rPr>
                              <w:rFonts w:ascii="Trebuchet MS"/>
                              <w:b/>
                              <w:color w:val="17365A"/>
                              <w:spacing w:val="-2"/>
                              <w:sz w:val="16"/>
                            </w:rPr>
                            <w:t>Six</w:t>
                          </w:r>
                          <w:r>
                            <w:rPr>
                              <w:rFonts w:ascii="Trebuchet MS"/>
                              <w:b/>
                              <w:color w:val="17365A"/>
                              <w:spacing w:val="-12"/>
                              <w:sz w:val="16"/>
                            </w:rPr>
                            <w:t xml:space="preserve"> </w:t>
                          </w:r>
                          <w:r>
                            <w:rPr>
                              <w:rFonts w:ascii="Trebuchet MS"/>
                              <w:b/>
                              <w:color w:val="17365A"/>
                              <w:spacing w:val="-2"/>
                              <w:sz w:val="16"/>
                            </w:rPr>
                            <w:t>Monthly</w:t>
                          </w:r>
                          <w:r>
                            <w:rPr>
                              <w:rFonts w:ascii="Trebuchet MS"/>
                              <w:b/>
                              <w:color w:val="17365A"/>
                              <w:spacing w:val="-12"/>
                              <w:sz w:val="16"/>
                            </w:rPr>
                            <w:t xml:space="preserve"> </w:t>
                          </w:r>
                          <w:r>
                            <w:rPr>
                              <w:rFonts w:ascii="Trebuchet MS"/>
                              <w:b/>
                              <w:color w:val="17365A"/>
                              <w:spacing w:val="-2"/>
                              <w:sz w:val="16"/>
                            </w:rPr>
                            <w:t>Progress</w:t>
                          </w:r>
                        </w:p>
                      </w:txbxContent>
                    </wps:txbx>
                    <wps:bodyPr wrap="square" lIns="0" tIns="0" rIns="0" bIns="0" rtlCol="0">
                      <a:noAutofit/>
                    </wps:bodyPr>
                  </wps:wsp>
                </a:graphicData>
              </a:graphic>
            </wp:anchor>
          </w:drawing>
        </mc:Choice>
        <mc:Fallback>
          <w:pict>
            <v:shape w14:anchorId="43082749" id="Textbox 16" o:spid="_x0000_s1111" type="#_x0000_t202" style="position:absolute;margin-left:91.75pt;margin-top:803.6pt;width:105.55pt;height:11.8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" filled="f" stroked="f">
              <v:textbox inset="0,0,0,0">
                <w:txbxContent>
                  <w:p w14:paraId="4332B412" w14:textId="77777777" w:rsidR="00BC24A8" w:rsidRDefault="00000000">
                    <w:pPr>
                      <w:spacing w:before="20"/>
                      <w:ind w:left="20"/>
                      <w:rPr>
                        <w:rFonts w:ascii="Trebuchet MS"/>
                        <w:b/>
                        <w:sz w:val="16"/>
                      </w:rPr>
                    </w:pPr>
                    <w:r>
                      <w:rPr>
                        <w:rFonts w:ascii="Trebuchet MS"/>
                        <w:b/>
                        <w:color w:val="17365A"/>
                        <w:spacing w:val="-2"/>
                        <w:sz w:val="16"/>
                      </w:rPr>
                      <w:t>SKALA:</w:t>
                    </w:r>
                    <w:r>
                      <w:rPr>
                        <w:rFonts w:ascii="Trebuchet MS"/>
                        <w:b/>
                        <w:color w:val="17365A"/>
                        <w:spacing w:val="-12"/>
                        <w:sz w:val="16"/>
                      </w:rPr>
                      <w:t xml:space="preserve"> </w:t>
                    </w:r>
                    <w:r>
                      <w:rPr>
                        <w:rFonts w:ascii="Trebuchet MS"/>
                        <w:b/>
                        <w:color w:val="17365A"/>
                        <w:spacing w:val="-2"/>
                        <w:sz w:val="16"/>
                      </w:rPr>
                      <w:t>Six</w:t>
                    </w:r>
                    <w:r>
                      <w:rPr>
                        <w:rFonts w:ascii="Trebuchet MS"/>
                        <w:b/>
                        <w:color w:val="17365A"/>
                        <w:spacing w:val="-12"/>
                        <w:sz w:val="16"/>
                      </w:rPr>
                      <w:t xml:space="preserve"> </w:t>
                    </w:r>
                    <w:r>
                      <w:rPr>
                        <w:rFonts w:ascii="Trebuchet MS"/>
                        <w:b/>
                        <w:color w:val="17365A"/>
                        <w:spacing w:val="-2"/>
                        <w:sz w:val="16"/>
                      </w:rPr>
                      <w:t>Monthly</w:t>
                    </w:r>
                    <w:r>
                      <w:rPr>
                        <w:rFonts w:ascii="Trebuchet MS"/>
                        <w:b/>
                        <w:color w:val="17365A"/>
                        <w:spacing w:val="-12"/>
                        <w:sz w:val="16"/>
                      </w:rPr>
                      <w:t xml:space="preserve"> </w:t>
                    </w:r>
                    <w:r>
                      <w:rPr>
                        <w:rFonts w:ascii="Trebuchet MS"/>
                        <w:b/>
                        <w:color w:val="17365A"/>
                        <w:spacing w:val="-2"/>
                        <w:sz w:val="16"/>
                      </w:rPr>
                      <w:t>Progress</w:t>
                    </w:r>
                  </w:p>
                </w:txbxContent>
              </v:textbox>
              <w10:wrap anchorx="page" anchory="page"/>
            </v:shape>
          </w:pict>
        </mc:Fallback>
      </mc:AlternateContent>
    </w:r>
    <w:r>
      <w:rPr>
        <w:noProof/>
        <w:sz w:val="20"/>
      </w:rPr>
      <mc:AlternateContent>
        <mc:Choice Requires="wps">
          <w:drawing>
            <wp:anchor distT="0" distB="0" distL="0" distR="0" simplePos="0" relativeHeight="251657216" behindDoc="1" locked="0" layoutInCell="1" allowOverlap="1" wp14:anchorId="391AC589" wp14:editId="5318EC17">
              <wp:simplePos x="0" y="0"/>
              <wp:positionH relativeFrom="page">
                <wp:posOffset>2753360</wp:posOffset>
              </wp:positionH>
              <wp:positionV relativeFrom="page">
                <wp:posOffset>10209590</wp:posOffset>
              </wp:positionV>
              <wp:extent cx="778510" cy="13335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33350"/>
                      </a:xfrm>
                      <a:prstGeom prst="rect">
                        <a:avLst/>
                      </a:prstGeom>
                    </wps:spPr>
                    <wps:txbx>
                      <w:txbxContent>
                        <w:p w14:paraId="3B9012AC" w14:textId="77777777" w:rsidR="00BC24A8" w:rsidRDefault="00000000">
                          <w:pPr>
                            <w:spacing w:before="19"/>
                            <w:ind w:left="20"/>
                            <w:rPr>
                              <w:rFonts w:ascii="Trebuchet MS" w:hAnsi="Trebuchet MS"/>
                              <w:sz w:val="14"/>
                            </w:rPr>
                          </w:pPr>
                          <w:r>
                            <w:rPr>
                              <w:rFonts w:ascii="Trebuchet MS" w:hAnsi="Trebuchet MS"/>
                              <w:color w:val="404040"/>
                              <w:w w:val="90"/>
                              <w:sz w:val="14"/>
                            </w:rPr>
                            <w:t>January</w:t>
                          </w:r>
                          <w:r>
                            <w:rPr>
                              <w:rFonts w:ascii="Trebuchet MS" w:hAnsi="Trebuchet MS"/>
                              <w:color w:val="404040"/>
                              <w:spacing w:val="-2"/>
                              <w:sz w:val="14"/>
                            </w:rPr>
                            <w:t xml:space="preserve"> </w:t>
                          </w:r>
                          <w:r>
                            <w:rPr>
                              <w:rFonts w:ascii="Trebuchet MS" w:hAnsi="Trebuchet MS"/>
                              <w:color w:val="404040"/>
                              <w:w w:val="90"/>
                              <w:sz w:val="14"/>
                            </w:rPr>
                            <w:t>–</w:t>
                          </w:r>
                          <w:r>
                            <w:rPr>
                              <w:rFonts w:ascii="Trebuchet MS" w:hAnsi="Trebuchet MS"/>
                              <w:color w:val="404040"/>
                              <w:sz w:val="14"/>
                            </w:rPr>
                            <w:t xml:space="preserve"> </w:t>
                          </w:r>
                          <w:r>
                            <w:rPr>
                              <w:rFonts w:ascii="Trebuchet MS" w:hAnsi="Trebuchet MS"/>
                              <w:color w:val="404040"/>
                              <w:w w:val="90"/>
                              <w:sz w:val="14"/>
                            </w:rPr>
                            <w:t>June</w:t>
                          </w:r>
                          <w:r>
                            <w:rPr>
                              <w:rFonts w:ascii="Trebuchet MS" w:hAnsi="Trebuchet MS"/>
                              <w:color w:val="404040"/>
                              <w:sz w:val="14"/>
                            </w:rPr>
                            <w:t xml:space="preserve"> </w:t>
                          </w:r>
                          <w:r>
                            <w:rPr>
                              <w:rFonts w:ascii="Trebuchet MS" w:hAnsi="Trebuchet MS"/>
                              <w:color w:val="404040"/>
                              <w:spacing w:val="-4"/>
                              <w:w w:val="90"/>
                              <w:sz w:val="14"/>
                            </w:rPr>
                            <w:t>2025</w:t>
                          </w:r>
                        </w:p>
                      </w:txbxContent>
                    </wps:txbx>
                    <wps:bodyPr wrap="square" lIns="0" tIns="0" rIns="0" bIns="0" rtlCol="0">
                      <a:noAutofit/>
                    </wps:bodyPr>
                  </wps:wsp>
                </a:graphicData>
              </a:graphic>
            </wp:anchor>
          </w:drawing>
        </mc:Choice>
        <mc:Fallback>
          <w:pict>
            <v:shape w14:anchorId="391AC589" id="Textbox 17" o:spid="_x0000_s1112" type="#_x0000_t202" style="position:absolute;margin-left:216.8pt;margin-top:803.9pt;width:61.3pt;height:1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" filled="f" stroked="f">
              <v:textbox inset="0,0,0,0">
                <w:txbxContent>
                  <w:p w14:paraId="3B9012AC" w14:textId="77777777" w:rsidR="00BC24A8" w:rsidRDefault="00000000">
                    <w:pPr>
                      <w:spacing w:before="19"/>
                      <w:ind w:left="20"/>
                      <w:rPr>
                        <w:rFonts w:ascii="Trebuchet MS" w:hAnsi="Trebuchet MS"/>
                        <w:sz w:val="14"/>
                      </w:rPr>
                    </w:pPr>
                    <w:r>
                      <w:rPr>
                        <w:rFonts w:ascii="Trebuchet MS" w:hAnsi="Trebuchet MS"/>
                        <w:color w:val="404040"/>
                        <w:w w:val="90"/>
                        <w:sz w:val="14"/>
                      </w:rPr>
                      <w:t>January</w:t>
                    </w:r>
                    <w:r>
                      <w:rPr>
                        <w:rFonts w:ascii="Trebuchet MS" w:hAnsi="Trebuchet MS"/>
                        <w:color w:val="404040"/>
                        <w:spacing w:val="-2"/>
                        <w:sz w:val="14"/>
                      </w:rPr>
                      <w:t xml:space="preserve"> </w:t>
                    </w:r>
                    <w:r>
                      <w:rPr>
                        <w:rFonts w:ascii="Trebuchet MS" w:hAnsi="Trebuchet MS"/>
                        <w:color w:val="404040"/>
                        <w:w w:val="90"/>
                        <w:sz w:val="14"/>
                      </w:rPr>
                      <w:t>–</w:t>
                    </w:r>
                    <w:r>
                      <w:rPr>
                        <w:rFonts w:ascii="Trebuchet MS" w:hAnsi="Trebuchet MS"/>
                        <w:color w:val="404040"/>
                        <w:sz w:val="14"/>
                      </w:rPr>
                      <w:t xml:space="preserve"> </w:t>
                    </w:r>
                    <w:r>
                      <w:rPr>
                        <w:rFonts w:ascii="Trebuchet MS" w:hAnsi="Trebuchet MS"/>
                        <w:color w:val="404040"/>
                        <w:w w:val="90"/>
                        <w:sz w:val="14"/>
                      </w:rPr>
                      <w:t>June</w:t>
                    </w:r>
                    <w:r>
                      <w:rPr>
                        <w:rFonts w:ascii="Trebuchet MS" w:hAnsi="Trebuchet MS"/>
                        <w:color w:val="404040"/>
                        <w:sz w:val="14"/>
                      </w:rPr>
                      <w:t xml:space="preserve"> </w:t>
                    </w:r>
                    <w:r>
                      <w:rPr>
                        <w:rFonts w:ascii="Trebuchet MS" w:hAnsi="Trebuchet MS"/>
                        <w:color w:val="404040"/>
                        <w:spacing w:val="-4"/>
                        <w:w w:val="90"/>
                        <w:sz w:val="14"/>
                      </w:rPr>
                      <w:t>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A86C7" w14:textId="77777777" w:rsidR="00BC24A8" w:rsidRDefault="00000000">
    <w:pPr>
      <w:pStyle w:val="BodyText"/>
      <w:spacing w:line="14" w:lineRule="auto"/>
      <w:rPr>
        <w:sz w:val="20"/>
      </w:rPr>
    </w:pPr>
    <w:r>
      <w:rPr>
        <w:noProof/>
        <w:sz w:val="20"/>
      </w:rPr>
      <mc:AlternateContent>
        <mc:Choice Requires="wpg">
          <w:drawing>
            <wp:anchor distT="0" distB="0" distL="0" distR="0" simplePos="0" relativeHeight="251658240" behindDoc="1" locked="0" layoutInCell="1" allowOverlap="1" wp14:anchorId="7E260797" wp14:editId="2427704D">
              <wp:simplePos x="0" y="0"/>
              <wp:positionH relativeFrom="page">
                <wp:posOffset>411482</wp:posOffset>
              </wp:positionH>
              <wp:positionV relativeFrom="page">
                <wp:posOffset>6806953</wp:posOffset>
              </wp:positionV>
              <wp:extent cx="7096759" cy="753745"/>
              <wp:effectExtent l="0" t="0" r="0" b="0"/>
              <wp:wrapNone/>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759" cy="753745"/>
                        <a:chOff x="0" y="0"/>
                        <a:chExt cx="7096759" cy="753745"/>
                      </a:xfrm>
                    </wpg:grpSpPr>
                    <wps:wsp>
                      <wps:cNvPr id="39" name="Graphic 39"/>
                      <wps:cNvSpPr/>
                      <wps:spPr>
                        <a:xfrm>
                          <a:off x="0" y="108125"/>
                          <a:ext cx="7096759" cy="1270"/>
                        </a:xfrm>
                        <a:custGeom>
                          <a:avLst/>
                          <a:gdLst/>
                          <a:ahLst/>
                          <a:cxnLst/>
                          <a:rect l="l" t="t" r="r" b="b"/>
                          <a:pathLst>
                            <a:path w="7096759">
                              <a:moveTo>
                                <a:pt x="0" y="0"/>
                              </a:moveTo>
                              <a:lnTo>
                                <a:pt x="107636" y="0"/>
                              </a:lnTo>
                            </a:path>
                            <a:path w="7096759">
                              <a:moveTo>
                                <a:pt x="671371" y="0"/>
                              </a:moveTo>
                              <a:lnTo>
                                <a:pt x="7096759" y="0"/>
                              </a:lnTo>
                            </a:path>
                          </a:pathLst>
                        </a:custGeom>
                        <a:ln w="1270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 cstate="print"/>
                        <a:stretch>
                          <a:fillRect/>
                        </a:stretch>
                      </pic:blipFill>
                      <pic:spPr>
                        <a:xfrm>
                          <a:off x="665715" y="0"/>
                          <a:ext cx="77489" cy="115802"/>
                        </a:xfrm>
                        <a:prstGeom prst="rect">
                          <a:avLst/>
                        </a:prstGeom>
                      </pic:spPr>
                    </pic:pic>
                    <wps:wsp>
                      <wps:cNvPr id="41" name="Graphic 41"/>
                      <wps:cNvSpPr/>
                      <wps:spPr>
                        <a:xfrm>
                          <a:off x="107636" y="143"/>
                          <a:ext cx="563880" cy="753745"/>
                        </a:xfrm>
                        <a:custGeom>
                          <a:avLst/>
                          <a:gdLst/>
                          <a:ahLst/>
                          <a:cxnLst/>
                          <a:rect l="l" t="t" r="r" b="b"/>
                          <a:pathLst>
                            <a:path w="563880" h="753745">
                              <a:moveTo>
                                <a:pt x="563735" y="753466"/>
                              </a:moveTo>
                              <a:lnTo>
                                <a:pt x="0" y="753466"/>
                              </a:lnTo>
                              <a:lnTo>
                                <a:pt x="0" y="0"/>
                              </a:lnTo>
                              <a:lnTo>
                                <a:pt x="563735" y="0"/>
                              </a:lnTo>
                              <a:lnTo>
                                <a:pt x="563735" y="753466"/>
                              </a:lnTo>
                              <a:close/>
                            </a:path>
                          </a:pathLst>
                        </a:custGeom>
                        <a:solidFill>
                          <a:srgbClr val="00ACA3"/>
                        </a:solidFill>
                      </wps:spPr>
                      <wps:bodyPr wrap="square" lIns="0" tIns="0" rIns="0" bIns="0" rtlCol="0">
                        <a:prstTxWarp prst="textNoShape">
                          <a:avLst/>
                        </a:prstTxWarp>
                        <a:noAutofit/>
                      </wps:bodyPr>
                    </wps:wsp>
                    <wps:wsp>
                      <wps:cNvPr id="42" name="Graphic 42"/>
                      <wps:cNvSpPr/>
                      <wps:spPr>
                        <a:xfrm>
                          <a:off x="2417456" y="275638"/>
                          <a:ext cx="1270" cy="120014"/>
                        </a:xfrm>
                        <a:custGeom>
                          <a:avLst/>
                          <a:gdLst/>
                          <a:ahLst/>
                          <a:cxnLst/>
                          <a:rect l="l" t="t" r="r" b="b"/>
                          <a:pathLst>
                            <a:path h="120014">
                              <a:moveTo>
                                <a:pt x="0" y="0"/>
                              </a:moveTo>
                              <a:lnTo>
                                <a:pt x="0" y="119887"/>
                              </a:lnTo>
                            </a:path>
                          </a:pathLst>
                        </a:custGeom>
                        <a:ln w="28575">
                          <a:solidFill>
                            <a:srgbClr val="00ACA3"/>
                          </a:solidFill>
                          <a:prstDash val="solid"/>
                        </a:ln>
                      </wps:spPr>
                      <wps:bodyPr wrap="square" lIns="0" tIns="0" rIns="0" bIns="0" rtlCol="0">
                        <a:prstTxWarp prst="textNoShape">
                          <a:avLst/>
                        </a:prstTxWarp>
                        <a:noAutofit/>
                      </wps:bodyPr>
                    </wps:wsp>
                  </wpg:wgp>
                </a:graphicData>
              </a:graphic>
            </wp:anchor>
          </w:drawing>
        </mc:Choice>
        <mc:Fallback>
          <w:pict>
            <v:group w14:anchorId="1EAA8F45" id="Group 38" o:spid="_x0000_s1026" alt="&quot;&quot;" style="position:absolute;margin-left:32.4pt;margin-top:536pt;width:558.8pt;height:59.35pt;z-index:-251658240;mso-wrap-distance-left:0;mso-wrap-distance-right:0;mso-position-horizontal-relative:page;mso-position-vertical-relative:page" coordsize="70967,7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">
              <v:shape id="Graphic 39" o:spid="_x0000_s1027" style="position:absolute;top:1081;width:70967;height:12;visibility:visible;mso-wrap-style:square;v-text-anchor:top" coordsize="70967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" path="m,l107636,em671371,l7096759,e" filled="f" strokecolor="#a6a6a6"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8" type="#_x0000_t75" style="position:absolute;left:6657;width:775;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">
                <v:imagedata r:id="rId2" o:title=""/>
              </v:shape>
              <v:shape id="Graphic 41" o:spid="_x0000_s1029" style="position:absolute;left:1076;top:1;width:5639;height:7537;visibility:visible;mso-wrap-style:square;v-text-anchor:top" coordsize="563880,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" path="m563735,753466l,753466,,,563735,r,753466xe" fillcolor="#00aca3" stroked="f">
                <v:path arrowok="t"/>
              </v:shape>
              <v:shape id="Graphic 42" o:spid="_x0000_s1030" style="position:absolute;left:24174;top:2756;width:13;height:1200;visibility:visible;mso-wrap-style:square;v-text-anchor:top" coordsize="127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" path="m,l,119887e" filled="f" strokecolor="#00aca3" strokeweight="2.25pt">
                <v:path arrowok="t"/>
              </v:shape>
              <w10:wrap anchorx="page" anchory="page"/>
            </v:group>
          </w:pict>
        </mc:Fallback>
      </mc:AlternateContent>
    </w:r>
    <w:r>
      <w:rPr>
        <w:noProof/>
        <w:sz w:val="20"/>
      </w:rPr>
      <mc:AlternateContent>
        <mc:Choice Requires="wps">
          <w:drawing>
            <wp:anchor distT="0" distB="0" distL="0" distR="0" simplePos="0" relativeHeight="251659264" behindDoc="1" locked="0" layoutInCell="1" allowOverlap="1" wp14:anchorId="1AD89729" wp14:editId="022BB2B3">
              <wp:simplePos x="0" y="0"/>
              <wp:positionH relativeFrom="page">
                <wp:posOffset>724916</wp:posOffset>
              </wp:positionH>
              <wp:positionV relativeFrom="page">
                <wp:posOffset>7051040</wp:posOffset>
              </wp:positionV>
              <wp:extent cx="16891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007E954" w14:textId="77777777" w:rsidR="00BC24A8" w:rsidRDefault="00000000">
                          <w:pPr>
                            <w:spacing w:line="245" w:lineRule="exact"/>
                            <w:ind w:left="20"/>
                            <w:rPr>
                              <w:rFonts w:ascii="Calibri"/>
                              <w:b/>
                            </w:rPr>
                          </w:pPr>
                          <w:r>
                            <w:rPr>
                              <w:rFonts w:ascii="Calibri"/>
                              <w:b/>
                              <w:color w:val="FFFFFF"/>
                              <w:spacing w:val="-5"/>
                            </w:rPr>
                            <w:t>41</w:t>
                          </w:r>
                        </w:p>
                      </w:txbxContent>
                    </wps:txbx>
                    <wps:bodyPr wrap="square" lIns="0" tIns="0" rIns="0" bIns="0" rtlCol="0">
                      <a:noAutofit/>
                    </wps:bodyPr>
                  </wps:wsp>
                </a:graphicData>
              </a:graphic>
            </wp:anchor>
          </w:drawing>
        </mc:Choice>
        <mc:Fallback>
          <w:pict>
            <v:shapetype w14:anchorId="1AD89729" id="_x0000_t202" coordsize="21600,21600" o:spt="202" path="m,l,21600r21600,l21600,xe">
              <v:stroke joinstyle="miter"/>
              <v:path gradientshapeok="t" o:connecttype="rect"/>
            </v:shapetype>
            <v:shape id="Textbox 43" o:spid="_x0000_s1113" type="#_x0000_t202" style="position:absolute;margin-left:57.1pt;margin-top:555.2pt;width:13.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cc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" filled="f" stroked="f">
              <v:textbox inset="0,0,0,0">
                <w:txbxContent>
                  <w:p w14:paraId="4007E954" w14:textId="77777777" w:rsidR="00BC24A8" w:rsidRDefault="00000000">
                    <w:pPr>
                      <w:spacing w:line="245" w:lineRule="exact"/>
                      <w:ind w:left="20"/>
                      <w:rPr>
                        <w:rFonts w:ascii="Calibri"/>
                        <w:b/>
                      </w:rPr>
                    </w:pPr>
                    <w:r>
                      <w:rPr>
                        <w:rFonts w:ascii="Calibri"/>
                        <w:b/>
                        <w:color w:val="FFFFFF"/>
                        <w:spacing w:val="-5"/>
                      </w:rPr>
                      <w:t>41</w:t>
                    </w: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61733659" wp14:editId="1BF8CC74">
              <wp:simplePos x="0" y="0"/>
              <wp:positionH relativeFrom="page">
                <wp:posOffset>1345183</wp:posOffset>
              </wp:positionH>
              <wp:positionV relativeFrom="page">
                <wp:posOffset>7074036</wp:posOffset>
              </wp:positionV>
              <wp:extent cx="1340485" cy="15049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150495"/>
                      </a:xfrm>
                      <a:prstGeom prst="rect">
                        <a:avLst/>
                      </a:prstGeom>
                    </wps:spPr>
                    <wps:txbx>
                      <w:txbxContent>
                        <w:p w14:paraId="2F020C6C" w14:textId="77777777" w:rsidR="00BC24A8" w:rsidRDefault="00000000">
                          <w:pPr>
                            <w:spacing w:before="20"/>
                            <w:ind w:left="20"/>
                            <w:rPr>
                              <w:rFonts w:ascii="Trebuchet MS"/>
                              <w:b/>
                              <w:sz w:val="16"/>
                            </w:rPr>
                          </w:pPr>
                          <w:r>
                            <w:rPr>
                              <w:rFonts w:ascii="Trebuchet MS"/>
                              <w:b/>
                              <w:color w:val="17365A"/>
                              <w:spacing w:val="-2"/>
                              <w:sz w:val="16"/>
                            </w:rPr>
                            <w:t>SKALA:</w:t>
                          </w:r>
                          <w:r>
                            <w:rPr>
                              <w:rFonts w:ascii="Trebuchet MS"/>
                              <w:b/>
                              <w:color w:val="17365A"/>
                              <w:spacing w:val="-12"/>
                              <w:sz w:val="16"/>
                            </w:rPr>
                            <w:t xml:space="preserve"> </w:t>
                          </w:r>
                          <w:r>
                            <w:rPr>
                              <w:rFonts w:ascii="Trebuchet MS"/>
                              <w:b/>
                              <w:color w:val="17365A"/>
                              <w:spacing w:val="-2"/>
                              <w:sz w:val="16"/>
                            </w:rPr>
                            <w:t>Six</w:t>
                          </w:r>
                          <w:r>
                            <w:rPr>
                              <w:rFonts w:ascii="Trebuchet MS"/>
                              <w:b/>
                              <w:color w:val="17365A"/>
                              <w:spacing w:val="-12"/>
                              <w:sz w:val="16"/>
                            </w:rPr>
                            <w:t xml:space="preserve"> </w:t>
                          </w:r>
                          <w:r>
                            <w:rPr>
                              <w:rFonts w:ascii="Trebuchet MS"/>
                              <w:b/>
                              <w:color w:val="17365A"/>
                              <w:spacing w:val="-2"/>
                              <w:sz w:val="16"/>
                            </w:rPr>
                            <w:t>Monthly</w:t>
                          </w:r>
                          <w:r>
                            <w:rPr>
                              <w:rFonts w:ascii="Trebuchet MS"/>
                              <w:b/>
                              <w:color w:val="17365A"/>
                              <w:spacing w:val="-12"/>
                              <w:sz w:val="16"/>
                            </w:rPr>
                            <w:t xml:space="preserve"> </w:t>
                          </w:r>
                          <w:r>
                            <w:rPr>
                              <w:rFonts w:ascii="Trebuchet MS"/>
                              <w:b/>
                              <w:color w:val="17365A"/>
                              <w:spacing w:val="-2"/>
                              <w:sz w:val="16"/>
                            </w:rPr>
                            <w:t>Progress</w:t>
                          </w:r>
                        </w:p>
                      </w:txbxContent>
                    </wps:txbx>
                    <wps:bodyPr wrap="square" lIns="0" tIns="0" rIns="0" bIns="0" rtlCol="0">
                      <a:noAutofit/>
                    </wps:bodyPr>
                  </wps:wsp>
                </a:graphicData>
              </a:graphic>
            </wp:anchor>
          </w:drawing>
        </mc:Choice>
        <mc:Fallback>
          <w:pict>
            <v:shape w14:anchorId="61733659" id="Textbox 44" o:spid="_x0000_s1114" type="#_x0000_t202" style="position:absolute;margin-left:105.9pt;margin-top:557pt;width:105.55pt;height:11.8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" filled="f" stroked="f">
              <v:textbox inset="0,0,0,0">
                <w:txbxContent>
                  <w:p w14:paraId="2F020C6C" w14:textId="77777777" w:rsidR="00BC24A8" w:rsidRDefault="00000000">
                    <w:pPr>
                      <w:spacing w:before="20"/>
                      <w:ind w:left="20"/>
                      <w:rPr>
                        <w:rFonts w:ascii="Trebuchet MS"/>
                        <w:b/>
                        <w:sz w:val="16"/>
                      </w:rPr>
                    </w:pPr>
                    <w:r>
                      <w:rPr>
                        <w:rFonts w:ascii="Trebuchet MS"/>
                        <w:b/>
                        <w:color w:val="17365A"/>
                        <w:spacing w:val="-2"/>
                        <w:sz w:val="16"/>
                      </w:rPr>
                      <w:t>SKALA:</w:t>
                    </w:r>
                    <w:r>
                      <w:rPr>
                        <w:rFonts w:ascii="Trebuchet MS"/>
                        <w:b/>
                        <w:color w:val="17365A"/>
                        <w:spacing w:val="-12"/>
                        <w:sz w:val="16"/>
                      </w:rPr>
                      <w:t xml:space="preserve"> </w:t>
                    </w:r>
                    <w:r>
                      <w:rPr>
                        <w:rFonts w:ascii="Trebuchet MS"/>
                        <w:b/>
                        <w:color w:val="17365A"/>
                        <w:spacing w:val="-2"/>
                        <w:sz w:val="16"/>
                      </w:rPr>
                      <w:t>Six</w:t>
                    </w:r>
                    <w:r>
                      <w:rPr>
                        <w:rFonts w:ascii="Trebuchet MS"/>
                        <w:b/>
                        <w:color w:val="17365A"/>
                        <w:spacing w:val="-12"/>
                        <w:sz w:val="16"/>
                      </w:rPr>
                      <w:t xml:space="preserve"> </w:t>
                    </w:r>
                    <w:r>
                      <w:rPr>
                        <w:rFonts w:ascii="Trebuchet MS"/>
                        <w:b/>
                        <w:color w:val="17365A"/>
                        <w:spacing w:val="-2"/>
                        <w:sz w:val="16"/>
                      </w:rPr>
                      <w:t>Monthly</w:t>
                    </w:r>
                    <w:r>
                      <w:rPr>
                        <w:rFonts w:ascii="Trebuchet MS"/>
                        <w:b/>
                        <w:color w:val="17365A"/>
                        <w:spacing w:val="-12"/>
                        <w:sz w:val="16"/>
                      </w:rPr>
                      <w:t xml:space="preserve"> </w:t>
                    </w:r>
                    <w:r>
                      <w:rPr>
                        <w:rFonts w:ascii="Trebuchet MS"/>
                        <w:b/>
                        <w:color w:val="17365A"/>
                        <w:spacing w:val="-2"/>
                        <w:sz w:val="16"/>
                      </w:rPr>
                      <w:t>Progress</w:t>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32C839A3" wp14:editId="4657DE3B">
              <wp:simplePos x="0" y="0"/>
              <wp:positionH relativeFrom="page">
                <wp:posOffset>2933192</wp:posOffset>
              </wp:positionH>
              <wp:positionV relativeFrom="page">
                <wp:posOffset>7077771</wp:posOffset>
              </wp:positionV>
              <wp:extent cx="778510" cy="13335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33350"/>
                      </a:xfrm>
                      <a:prstGeom prst="rect">
                        <a:avLst/>
                      </a:prstGeom>
                    </wps:spPr>
                    <wps:txbx>
                      <w:txbxContent>
                        <w:p w14:paraId="1F1F4CFB" w14:textId="77777777" w:rsidR="00BC24A8" w:rsidRDefault="00000000">
                          <w:pPr>
                            <w:spacing w:before="19"/>
                            <w:ind w:left="20"/>
                            <w:rPr>
                              <w:rFonts w:ascii="Trebuchet MS" w:hAnsi="Trebuchet MS"/>
                              <w:sz w:val="14"/>
                            </w:rPr>
                          </w:pPr>
                          <w:r>
                            <w:rPr>
                              <w:rFonts w:ascii="Trebuchet MS" w:hAnsi="Trebuchet MS"/>
                              <w:color w:val="404040"/>
                              <w:w w:val="90"/>
                              <w:sz w:val="14"/>
                            </w:rPr>
                            <w:t>January</w:t>
                          </w:r>
                          <w:r>
                            <w:rPr>
                              <w:rFonts w:ascii="Trebuchet MS" w:hAnsi="Trebuchet MS"/>
                              <w:color w:val="404040"/>
                              <w:spacing w:val="-2"/>
                              <w:sz w:val="14"/>
                            </w:rPr>
                            <w:t xml:space="preserve"> </w:t>
                          </w:r>
                          <w:r>
                            <w:rPr>
                              <w:rFonts w:ascii="Trebuchet MS" w:hAnsi="Trebuchet MS"/>
                              <w:color w:val="404040"/>
                              <w:w w:val="90"/>
                              <w:sz w:val="14"/>
                            </w:rPr>
                            <w:t>–</w:t>
                          </w:r>
                          <w:r>
                            <w:rPr>
                              <w:rFonts w:ascii="Trebuchet MS" w:hAnsi="Trebuchet MS"/>
                              <w:color w:val="404040"/>
                              <w:sz w:val="14"/>
                            </w:rPr>
                            <w:t xml:space="preserve"> </w:t>
                          </w:r>
                          <w:r>
                            <w:rPr>
                              <w:rFonts w:ascii="Trebuchet MS" w:hAnsi="Trebuchet MS"/>
                              <w:color w:val="404040"/>
                              <w:w w:val="90"/>
                              <w:sz w:val="14"/>
                            </w:rPr>
                            <w:t>June</w:t>
                          </w:r>
                          <w:r>
                            <w:rPr>
                              <w:rFonts w:ascii="Trebuchet MS" w:hAnsi="Trebuchet MS"/>
                              <w:color w:val="404040"/>
                              <w:sz w:val="14"/>
                            </w:rPr>
                            <w:t xml:space="preserve"> </w:t>
                          </w:r>
                          <w:r>
                            <w:rPr>
                              <w:rFonts w:ascii="Trebuchet MS" w:hAnsi="Trebuchet MS"/>
                              <w:color w:val="404040"/>
                              <w:spacing w:val="-4"/>
                              <w:w w:val="90"/>
                              <w:sz w:val="14"/>
                            </w:rPr>
                            <w:t>2025</w:t>
                          </w:r>
                        </w:p>
                      </w:txbxContent>
                    </wps:txbx>
                    <wps:bodyPr wrap="square" lIns="0" tIns="0" rIns="0" bIns="0" rtlCol="0">
                      <a:noAutofit/>
                    </wps:bodyPr>
                  </wps:wsp>
                </a:graphicData>
              </a:graphic>
            </wp:anchor>
          </w:drawing>
        </mc:Choice>
        <mc:Fallback>
          <w:pict>
            <v:shape w14:anchorId="32C839A3" id="Textbox 45" o:spid="_x0000_s1115" type="#_x0000_t202" style="position:absolute;margin-left:230.95pt;margin-top:557.3pt;width:61.3pt;height:1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" filled="f" stroked="f">
              <v:textbox inset="0,0,0,0">
                <w:txbxContent>
                  <w:p w14:paraId="1F1F4CFB" w14:textId="77777777" w:rsidR="00BC24A8" w:rsidRDefault="00000000">
                    <w:pPr>
                      <w:spacing w:before="19"/>
                      <w:ind w:left="20"/>
                      <w:rPr>
                        <w:rFonts w:ascii="Trebuchet MS" w:hAnsi="Trebuchet MS"/>
                        <w:sz w:val="14"/>
                      </w:rPr>
                    </w:pPr>
                    <w:r>
                      <w:rPr>
                        <w:rFonts w:ascii="Trebuchet MS" w:hAnsi="Trebuchet MS"/>
                        <w:color w:val="404040"/>
                        <w:w w:val="90"/>
                        <w:sz w:val="14"/>
                      </w:rPr>
                      <w:t>January</w:t>
                    </w:r>
                    <w:r>
                      <w:rPr>
                        <w:rFonts w:ascii="Trebuchet MS" w:hAnsi="Trebuchet MS"/>
                        <w:color w:val="404040"/>
                        <w:spacing w:val="-2"/>
                        <w:sz w:val="14"/>
                      </w:rPr>
                      <w:t xml:space="preserve"> </w:t>
                    </w:r>
                    <w:r>
                      <w:rPr>
                        <w:rFonts w:ascii="Trebuchet MS" w:hAnsi="Trebuchet MS"/>
                        <w:color w:val="404040"/>
                        <w:w w:val="90"/>
                        <w:sz w:val="14"/>
                      </w:rPr>
                      <w:t>–</w:t>
                    </w:r>
                    <w:r>
                      <w:rPr>
                        <w:rFonts w:ascii="Trebuchet MS" w:hAnsi="Trebuchet MS"/>
                        <w:color w:val="404040"/>
                        <w:sz w:val="14"/>
                      </w:rPr>
                      <w:t xml:space="preserve"> </w:t>
                    </w:r>
                    <w:r>
                      <w:rPr>
                        <w:rFonts w:ascii="Trebuchet MS" w:hAnsi="Trebuchet MS"/>
                        <w:color w:val="404040"/>
                        <w:w w:val="90"/>
                        <w:sz w:val="14"/>
                      </w:rPr>
                      <w:t>June</w:t>
                    </w:r>
                    <w:r>
                      <w:rPr>
                        <w:rFonts w:ascii="Trebuchet MS" w:hAnsi="Trebuchet MS"/>
                        <w:color w:val="404040"/>
                        <w:sz w:val="14"/>
                      </w:rPr>
                      <w:t xml:space="preserve"> </w:t>
                    </w:r>
                    <w:r>
                      <w:rPr>
                        <w:rFonts w:ascii="Trebuchet MS" w:hAnsi="Trebuchet MS"/>
                        <w:color w:val="404040"/>
                        <w:spacing w:val="-4"/>
                        <w:w w:val="90"/>
                        <w:sz w:val="14"/>
                      </w:rPr>
                      <w:t>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537D" w14:textId="77777777" w:rsidR="00BC24A8" w:rsidRDefault="00000000">
    <w:pPr>
      <w:pStyle w:val="BodyText"/>
      <w:spacing w:line="14" w:lineRule="auto"/>
      <w:rPr>
        <w:sz w:val="20"/>
      </w:rPr>
    </w:pPr>
    <w:r>
      <w:rPr>
        <w:noProof/>
        <w:sz w:val="20"/>
      </w:rPr>
      <mc:AlternateContent>
        <mc:Choice Requires="wpg">
          <w:drawing>
            <wp:anchor distT="0" distB="0" distL="0" distR="0" simplePos="0" relativeHeight="251662336" behindDoc="1" locked="0" layoutInCell="1" allowOverlap="1" wp14:anchorId="33F56A3B" wp14:editId="21BD0B9C">
              <wp:simplePos x="0" y="0"/>
              <wp:positionH relativeFrom="page">
                <wp:posOffset>231775</wp:posOffset>
              </wp:positionH>
              <wp:positionV relativeFrom="page">
                <wp:posOffset>9938770</wp:posOffset>
              </wp:positionV>
              <wp:extent cx="7096759" cy="753745"/>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759" cy="753745"/>
                        <a:chOff x="0" y="0"/>
                        <a:chExt cx="7096759" cy="753745"/>
                      </a:xfrm>
                    </wpg:grpSpPr>
                    <wps:wsp>
                      <wps:cNvPr id="48" name="Graphic 48"/>
                      <wps:cNvSpPr/>
                      <wps:spPr>
                        <a:xfrm>
                          <a:off x="0" y="108130"/>
                          <a:ext cx="7096759" cy="1270"/>
                        </a:xfrm>
                        <a:custGeom>
                          <a:avLst/>
                          <a:gdLst/>
                          <a:ahLst/>
                          <a:cxnLst/>
                          <a:rect l="l" t="t" r="r" b="b"/>
                          <a:pathLst>
                            <a:path w="7096759">
                              <a:moveTo>
                                <a:pt x="0" y="0"/>
                              </a:moveTo>
                              <a:lnTo>
                                <a:pt x="107648" y="0"/>
                              </a:lnTo>
                            </a:path>
                            <a:path w="7096759">
                              <a:moveTo>
                                <a:pt x="671536" y="0"/>
                              </a:moveTo>
                              <a:lnTo>
                                <a:pt x="7096759" y="0"/>
                              </a:lnTo>
                            </a:path>
                          </a:pathLst>
                        </a:custGeom>
                        <a:ln w="1270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 cstate="print"/>
                        <a:stretch>
                          <a:fillRect/>
                        </a:stretch>
                      </pic:blipFill>
                      <pic:spPr>
                        <a:xfrm>
                          <a:off x="665872" y="0"/>
                          <a:ext cx="77510" cy="115771"/>
                        </a:xfrm>
                        <a:prstGeom prst="rect">
                          <a:avLst/>
                        </a:prstGeom>
                      </pic:spPr>
                    </pic:pic>
                    <wps:wsp>
                      <wps:cNvPr id="50" name="Graphic 50"/>
                      <wps:cNvSpPr/>
                      <wps:spPr>
                        <a:xfrm>
                          <a:off x="107648" y="149"/>
                          <a:ext cx="564515" cy="753745"/>
                        </a:xfrm>
                        <a:custGeom>
                          <a:avLst/>
                          <a:gdLst/>
                          <a:ahLst/>
                          <a:cxnLst/>
                          <a:rect l="l" t="t" r="r" b="b"/>
                          <a:pathLst>
                            <a:path w="564515" h="753745">
                              <a:moveTo>
                                <a:pt x="563887" y="753464"/>
                              </a:moveTo>
                              <a:lnTo>
                                <a:pt x="0" y="753464"/>
                              </a:lnTo>
                              <a:lnTo>
                                <a:pt x="0" y="0"/>
                              </a:lnTo>
                              <a:lnTo>
                                <a:pt x="563887" y="0"/>
                              </a:lnTo>
                              <a:lnTo>
                                <a:pt x="563887" y="753464"/>
                              </a:lnTo>
                              <a:close/>
                            </a:path>
                          </a:pathLst>
                        </a:custGeom>
                        <a:solidFill>
                          <a:srgbClr val="00ACA3"/>
                        </a:solidFill>
                      </wps:spPr>
                      <wps:bodyPr wrap="square" lIns="0" tIns="0" rIns="0" bIns="0" rtlCol="0">
                        <a:prstTxWarp prst="textNoShape">
                          <a:avLst/>
                        </a:prstTxWarp>
                        <a:noAutofit/>
                      </wps:bodyPr>
                    </wps:wsp>
                    <wps:wsp>
                      <wps:cNvPr id="51" name="Graphic 51"/>
                      <wps:cNvSpPr/>
                      <wps:spPr>
                        <a:xfrm>
                          <a:off x="2417456" y="275644"/>
                          <a:ext cx="1270" cy="120014"/>
                        </a:xfrm>
                        <a:custGeom>
                          <a:avLst/>
                          <a:gdLst/>
                          <a:ahLst/>
                          <a:cxnLst/>
                          <a:rect l="l" t="t" r="r" b="b"/>
                          <a:pathLst>
                            <a:path h="120014">
                              <a:moveTo>
                                <a:pt x="0" y="0"/>
                              </a:moveTo>
                              <a:lnTo>
                                <a:pt x="0" y="119888"/>
                              </a:lnTo>
                            </a:path>
                          </a:pathLst>
                        </a:custGeom>
                        <a:ln w="28575">
                          <a:solidFill>
                            <a:srgbClr val="00ACA3"/>
                          </a:solidFill>
                          <a:prstDash val="solid"/>
                        </a:ln>
                      </wps:spPr>
                      <wps:bodyPr wrap="square" lIns="0" tIns="0" rIns="0" bIns="0" rtlCol="0">
                        <a:prstTxWarp prst="textNoShape">
                          <a:avLst/>
                        </a:prstTxWarp>
                        <a:noAutofit/>
                      </wps:bodyPr>
                    </wps:wsp>
                  </wpg:wgp>
                </a:graphicData>
              </a:graphic>
            </wp:anchor>
          </w:drawing>
        </mc:Choice>
        <mc:Fallback>
          <w:pict>
            <v:group w14:anchorId="2D1561C3" id="Group 47" o:spid="_x0000_s1026" alt="&quot;&quot;" style="position:absolute;margin-left:18.25pt;margin-top:782.6pt;width:558.8pt;height:59.35pt;z-index:-251654144;mso-wrap-distance-left:0;mso-wrap-distance-right:0;mso-position-horizontal-relative:page;mso-position-vertical-relative:page" coordsize="70967,7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">
              <v:shape id="Graphic 48" o:spid="_x0000_s1027" style="position:absolute;top:1081;width:70967;height:13;visibility:visible;mso-wrap-style:square;v-text-anchor:top" coordsize="70967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" path="m,l107648,em671536,l7096759,e" filled="f" strokecolor="#a6a6a6"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8" type="#_x0000_t75" style="position:absolute;left:6658;width:775;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">
                <v:imagedata r:id="rId2" o:title=""/>
              </v:shape>
              <v:shape id="Graphic 50" o:spid="_x0000_s1029" style="position:absolute;left:1076;top:1;width:5645;height:7537;visibility:visible;mso-wrap-style:square;v-text-anchor:top" coordsize="56451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" path="m563887,753464l,753464,,,563887,r,753464xe" fillcolor="#00aca3" stroked="f">
                <v:path arrowok="t"/>
              </v:shape>
              <v:shape id="Graphic 51" o:spid="_x0000_s1030" style="position:absolute;left:24174;top:2756;width:13;height:1200;visibility:visible;mso-wrap-style:square;v-text-anchor:top" coordsize="127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" path="m,l,119888e" filled="f" strokecolor="#00aca3" strokeweight="2.25pt">
                <v:path arrowok="t"/>
              </v:shape>
              <w10:wrap anchorx="page" anchory="page"/>
            </v:group>
          </w:pict>
        </mc:Fallback>
      </mc:AlternateContent>
    </w:r>
    <w:r>
      <w:rPr>
        <w:noProof/>
        <w:sz w:val="20"/>
      </w:rPr>
      <mc:AlternateContent>
        <mc:Choice Requires="wps">
          <w:drawing>
            <wp:anchor distT="0" distB="0" distL="0" distR="0" simplePos="0" relativeHeight="251663360" behindDoc="1" locked="0" layoutInCell="1" allowOverlap="1" wp14:anchorId="39B5672C" wp14:editId="7F43E344">
              <wp:simplePos x="0" y="0"/>
              <wp:positionH relativeFrom="page">
                <wp:posOffset>519683</wp:posOffset>
              </wp:positionH>
              <wp:positionV relativeFrom="page">
                <wp:posOffset>10182859</wp:posOffset>
              </wp:positionV>
              <wp:extent cx="262890"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65735"/>
                      </a:xfrm>
                      <a:prstGeom prst="rect">
                        <a:avLst/>
                      </a:prstGeom>
                    </wps:spPr>
                    <wps:txbx>
                      <w:txbxContent>
                        <w:p w14:paraId="331E5F84" w14:textId="77777777" w:rsidR="00BC24A8" w:rsidRDefault="00000000">
                          <w:pPr>
                            <w:spacing w:line="245" w:lineRule="exact"/>
                            <w:ind w:left="60"/>
                            <w:rPr>
                              <w:rFonts w:ascii="Calibri"/>
                              <w:b/>
                            </w:rPr>
                          </w:pPr>
                          <w:r>
                            <w:rPr>
                              <w:rFonts w:ascii="Calibri"/>
                              <w:b/>
                              <w:color w:val="FFFFFF"/>
                              <w:spacing w:val="-5"/>
                            </w:rPr>
                            <w:fldChar w:fldCharType="begin"/>
                          </w:r>
                          <w:r>
                            <w:rPr>
                              <w:rFonts w:ascii="Calibri"/>
                              <w:b/>
                              <w:color w:val="FFFFFF"/>
                              <w:spacing w:val="-5"/>
                            </w:rPr>
                            <w:instrText xml:space="preserve"> PAGE </w:instrText>
                          </w:r>
                          <w:r>
                            <w:rPr>
                              <w:rFonts w:ascii="Calibri"/>
                              <w:b/>
                              <w:color w:val="FFFFFF"/>
                              <w:spacing w:val="-5"/>
                            </w:rPr>
                            <w:fldChar w:fldCharType="separate"/>
                          </w:r>
                          <w:r>
                            <w:rPr>
                              <w:rFonts w:ascii="Calibri"/>
                              <w:b/>
                              <w:color w:val="FFFFFF"/>
                              <w:spacing w:val="-5"/>
                            </w:rPr>
                            <w:t>100</w:t>
                          </w:r>
                          <w:r>
                            <w:rPr>
                              <w:rFonts w:ascii="Calibri"/>
                              <w:b/>
                              <w:color w:val="FFFFFF"/>
                              <w:spacing w:val="-5"/>
                            </w:rPr>
                            <w:fldChar w:fldCharType="end"/>
                          </w:r>
                        </w:p>
                      </w:txbxContent>
                    </wps:txbx>
                    <wps:bodyPr wrap="square" lIns="0" tIns="0" rIns="0" bIns="0" rtlCol="0">
                      <a:noAutofit/>
                    </wps:bodyPr>
                  </wps:wsp>
                </a:graphicData>
              </a:graphic>
            </wp:anchor>
          </w:drawing>
        </mc:Choice>
        <mc:Fallback>
          <w:pict>
            <v:shapetype w14:anchorId="39B5672C" id="_x0000_t202" coordsize="21600,21600" o:spt="202" path="m,l,21600r21600,l21600,xe">
              <v:stroke joinstyle="miter"/>
              <v:path gradientshapeok="t" o:connecttype="rect"/>
            </v:shapetype>
            <v:shape id="Textbox 52" o:spid="_x0000_s1116" type="#_x0000_t202" style="position:absolute;margin-left:40.9pt;margin-top:801.8pt;width:20.7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" filled="f" stroked="f">
              <v:textbox inset="0,0,0,0">
                <w:txbxContent>
                  <w:p w14:paraId="331E5F84" w14:textId="77777777" w:rsidR="00BC24A8" w:rsidRDefault="00000000">
                    <w:pPr>
                      <w:spacing w:line="245" w:lineRule="exact"/>
                      <w:ind w:left="60"/>
                      <w:rPr>
                        <w:rFonts w:ascii="Calibri"/>
                        <w:b/>
                      </w:rPr>
                    </w:pPr>
                    <w:r>
                      <w:rPr>
                        <w:rFonts w:ascii="Calibri"/>
                        <w:b/>
                        <w:color w:val="FFFFFF"/>
                        <w:spacing w:val="-5"/>
                      </w:rPr>
                      <w:fldChar w:fldCharType="begin"/>
                    </w:r>
                    <w:r>
                      <w:rPr>
                        <w:rFonts w:ascii="Calibri"/>
                        <w:b/>
                        <w:color w:val="FFFFFF"/>
                        <w:spacing w:val="-5"/>
                      </w:rPr>
                      <w:instrText xml:space="preserve"> PAGE </w:instrText>
                    </w:r>
                    <w:r>
                      <w:rPr>
                        <w:rFonts w:ascii="Calibri"/>
                        <w:b/>
                        <w:color w:val="FFFFFF"/>
                        <w:spacing w:val="-5"/>
                      </w:rPr>
                      <w:fldChar w:fldCharType="separate"/>
                    </w:r>
                    <w:r>
                      <w:rPr>
                        <w:rFonts w:ascii="Calibri"/>
                        <w:b/>
                        <w:color w:val="FFFFFF"/>
                        <w:spacing w:val="-5"/>
                      </w:rPr>
                      <w:t>100</w:t>
                    </w:r>
                    <w:r>
                      <w:rPr>
                        <w:rFonts w:ascii="Calibri"/>
                        <w:b/>
                        <w:color w:val="FFFFFF"/>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6A729133" wp14:editId="48394823">
              <wp:simplePos x="0" y="0"/>
              <wp:positionH relativeFrom="page">
                <wp:posOffset>1165352</wp:posOffset>
              </wp:positionH>
              <wp:positionV relativeFrom="page">
                <wp:posOffset>10205856</wp:posOffset>
              </wp:positionV>
              <wp:extent cx="1340485" cy="15049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150495"/>
                      </a:xfrm>
                      <a:prstGeom prst="rect">
                        <a:avLst/>
                      </a:prstGeom>
                    </wps:spPr>
                    <wps:txbx>
                      <w:txbxContent>
                        <w:p w14:paraId="3C2CA556" w14:textId="77777777" w:rsidR="00BC24A8" w:rsidRDefault="00000000">
                          <w:pPr>
                            <w:spacing w:before="20"/>
                            <w:ind w:left="20"/>
                            <w:rPr>
                              <w:rFonts w:ascii="Trebuchet MS"/>
                              <w:b/>
                              <w:sz w:val="16"/>
                            </w:rPr>
                          </w:pPr>
                          <w:r>
                            <w:rPr>
                              <w:rFonts w:ascii="Trebuchet MS"/>
                              <w:b/>
                              <w:color w:val="17365A"/>
                              <w:spacing w:val="-2"/>
                              <w:sz w:val="16"/>
                            </w:rPr>
                            <w:t>SKALA:</w:t>
                          </w:r>
                          <w:r>
                            <w:rPr>
                              <w:rFonts w:ascii="Trebuchet MS"/>
                              <w:b/>
                              <w:color w:val="17365A"/>
                              <w:spacing w:val="-12"/>
                              <w:sz w:val="16"/>
                            </w:rPr>
                            <w:t xml:space="preserve"> </w:t>
                          </w:r>
                          <w:r>
                            <w:rPr>
                              <w:rFonts w:ascii="Trebuchet MS"/>
                              <w:b/>
                              <w:color w:val="17365A"/>
                              <w:spacing w:val="-2"/>
                              <w:sz w:val="16"/>
                            </w:rPr>
                            <w:t>Six</w:t>
                          </w:r>
                          <w:r>
                            <w:rPr>
                              <w:rFonts w:ascii="Trebuchet MS"/>
                              <w:b/>
                              <w:color w:val="17365A"/>
                              <w:spacing w:val="-12"/>
                              <w:sz w:val="16"/>
                            </w:rPr>
                            <w:t xml:space="preserve"> </w:t>
                          </w:r>
                          <w:r>
                            <w:rPr>
                              <w:rFonts w:ascii="Trebuchet MS"/>
                              <w:b/>
                              <w:color w:val="17365A"/>
                              <w:spacing w:val="-2"/>
                              <w:sz w:val="16"/>
                            </w:rPr>
                            <w:t>Monthly</w:t>
                          </w:r>
                          <w:r>
                            <w:rPr>
                              <w:rFonts w:ascii="Trebuchet MS"/>
                              <w:b/>
                              <w:color w:val="17365A"/>
                              <w:spacing w:val="-12"/>
                              <w:sz w:val="16"/>
                            </w:rPr>
                            <w:t xml:space="preserve"> </w:t>
                          </w:r>
                          <w:r>
                            <w:rPr>
                              <w:rFonts w:ascii="Trebuchet MS"/>
                              <w:b/>
                              <w:color w:val="17365A"/>
                              <w:spacing w:val="-2"/>
                              <w:sz w:val="16"/>
                            </w:rPr>
                            <w:t>Progress</w:t>
                          </w:r>
                        </w:p>
                      </w:txbxContent>
                    </wps:txbx>
                    <wps:bodyPr wrap="square" lIns="0" tIns="0" rIns="0" bIns="0" rtlCol="0">
                      <a:noAutofit/>
                    </wps:bodyPr>
                  </wps:wsp>
                </a:graphicData>
              </a:graphic>
            </wp:anchor>
          </w:drawing>
        </mc:Choice>
        <mc:Fallback>
          <w:pict>
            <v:shape w14:anchorId="6A729133" id="Textbox 53" o:spid="_x0000_s1117" type="#_x0000_t202" style="position:absolute;margin-left:91.75pt;margin-top:803.6pt;width:105.55pt;height:11.8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" filled="f" stroked="f">
              <v:textbox inset="0,0,0,0">
                <w:txbxContent>
                  <w:p w14:paraId="3C2CA556" w14:textId="77777777" w:rsidR="00BC24A8" w:rsidRDefault="00000000">
                    <w:pPr>
                      <w:spacing w:before="20"/>
                      <w:ind w:left="20"/>
                      <w:rPr>
                        <w:rFonts w:ascii="Trebuchet MS"/>
                        <w:b/>
                        <w:sz w:val="16"/>
                      </w:rPr>
                    </w:pPr>
                    <w:r>
                      <w:rPr>
                        <w:rFonts w:ascii="Trebuchet MS"/>
                        <w:b/>
                        <w:color w:val="17365A"/>
                        <w:spacing w:val="-2"/>
                        <w:sz w:val="16"/>
                      </w:rPr>
                      <w:t>SKALA:</w:t>
                    </w:r>
                    <w:r>
                      <w:rPr>
                        <w:rFonts w:ascii="Trebuchet MS"/>
                        <w:b/>
                        <w:color w:val="17365A"/>
                        <w:spacing w:val="-12"/>
                        <w:sz w:val="16"/>
                      </w:rPr>
                      <w:t xml:space="preserve"> </w:t>
                    </w:r>
                    <w:r>
                      <w:rPr>
                        <w:rFonts w:ascii="Trebuchet MS"/>
                        <w:b/>
                        <w:color w:val="17365A"/>
                        <w:spacing w:val="-2"/>
                        <w:sz w:val="16"/>
                      </w:rPr>
                      <w:t>Six</w:t>
                    </w:r>
                    <w:r>
                      <w:rPr>
                        <w:rFonts w:ascii="Trebuchet MS"/>
                        <w:b/>
                        <w:color w:val="17365A"/>
                        <w:spacing w:val="-12"/>
                        <w:sz w:val="16"/>
                      </w:rPr>
                      <w:t xml:space="preserve"> </w:t>
                    </w:r>
                    <w:r>
                      <w:rPr>
                        <w:rFonts w:ascii="Trebuchet MS"/>
                        <w:b/>
                        <w:color w:val="17365A"/>
                        <w:spacing w:val="-2"/>
                        <w:sz w:val="16"/>
                      </w:rPr>
                      <w:t>Monthly</w:t>
                    </w:r>
                    <w:r>
                      <w:rPr>
                        <w:rFonts w:ascii="Trebuchet MS"/>
                        <w:b/>
                        <w:color w:val="17365A"/>
                        <w:spacing w:val="-12"/>
                        <w:sz w:val="16"/>
                      </w:rPr>
                      <w:t xml:space="preserve"> </w:t>
                    </w:r>
                    <w:r>
                      <w:rPr>
                        <w:rFonts w:ascii="Trebuchet MS"/>
                        <w:b/>
                        <w:color w:val="17365A"/>
                        <w:spacing w:val="-2"/>
                        <w:sz w:val="16"/>
                      </w:rPr>
                      <w:t>Progress</w:t>
                    </w:r>
                  </w:p>
                </w:txbxContent>
              </v:textbox>
              <w10:wrap anchorx="page" anchory="page"/>
            </v:shape>
          </w:pict>
        </mc:Fallback>
      </mc:AlternateContent>
    </w:r>
    <w:r>
      <w:rPr>
        <w:noProof/>
        <w:sz w:val="20"/>
      </w:rPr>
      <mc:AlternateContent>
        <mc:Choice Requires="wps">
          <w:drawing>
            <wp:anchor distT="0" distB="0" distL="0" distR="0" simplePos="0" relativeHeight="251665408" behindDoc="1" locked="0" layoutInCell="1" allowOverlap="1" wp14:anchorId="58915528" wp14:editId="5A7CD5B1">
              <wp:simplePos x="0" y="0"/>
              <wp:positionH relativeFrom="page">
                <wp:posOffset>2753360</wp:posOffset>
              </wp:positionH>
              <wp:positionV relativeFrom="page">
                <wp:posOffset>10209590</wp:posOffset>
              </wp:positionV>
              <wp:extent cx="778510" cy="13335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33350"/>
                      </a:xfrm>
                      <a:prstGeom prst="rect">
                        <a:avLst/>
                      </a:prstGeom>
                    </wps:spPr>
                    <wps:txbx>
                      <w:txbxContent>
                        <w:p w14:paraId="12A44C58" w14:textId="77777777" w:rsidR="00BC24A8" w:rsidRDefault="00000000">
                          <w:pPr>
                            <w:spacing w:before="19"/>
                            <w:ind w:left="20"/>
                            <w:rPr>
                              <w:rFonts w:ascii="Trebuchet MS" w:hAnsi="Trebuchet MS"/>
                              <w:sz w:val="14"/>
                            </w:rPr>
                          </w:pPr>
                          <w:r>
                            <w:rPr>
                              <w:rFonts w:ascii="Trebuchet MS" w:hAnsi="Trebuchet MS"/>
                              <w:color w:val="404040"/>
                              <w:w w:val="90"/>
                              <w:sz w:val="14"/>
                            </w:rPr>
                            <w:t>January</w:t>
                          </w:r>
                          <w:r>
                            <w:rPr>
                              <w:rFonts w:ascii="Trebuchet MS" w:hAnsi="Trebuchet MS"/>
                              <w:color w:val="404040"/>
                              <w:spacing w:val="-2"/>
                              <w:sz w:val="14"/>
                            </w:rPr>
                            <w:t xml:space="preserve"> </w:t>
                          </w:r>
                          <w:r>
                            <w:rPr>
                              <w:rFonts w:ascii="Trebuchet MS" w:hAnsi="Trebuchet MS"/>
                              <w:color w:val="404040"/>
                              <w:w w:val="90"/>
                              <w:sz w:val="14"/>
                            </w:rPr>
                            <w:t>–</w:t>
                          </w:r>
                          <w:r>
                            <w:rPr>
                              <w:rFonts w:ascii="Trebuchet MS" w:hAnsi="Trebuchet MS"/>
                              <w:color w:val="404040"/>
                              <w:sz w:val="14"/>
                            </w:rPr>
                            <w:t xml:space="preserve"> </w:t>
                          </w:r>
                          <w:r>
                            <w:rPr>
                              <w:rFonts w:ascii="Trebuchet MS" w:hAnsi="Trebuchet MS"/>
                              <w:color w:val="404040"/>
                              <w:w w:val="90"/>
                              <w:sz w:val="14"/>
                            </w:rPr>
                            <w:t>June</w:t>
                          </w:r>
                          <w:r>
                            <w:rPr>
                              <w:rFonts w:ascii="Trebuchet MS" w:hAnsi="Trebuchet MS"/>
                              <w:color w:val="404040"/>
                              <w:sz w:val="14"/>
                            </w:rPr>
                            <w:t xml:space="preserve"> </w:t>
                          </w:r>
                          <w:r>
                            <w:rPr>
                              <w:rFonts w:ascii="Trebuchet MS" w:hAnsi="Trebuchet MS"/>
                              <w:color w:val="404040"/>
                              <w:spacing w:val="-4"/>
                              <w:w w:val="90"/>
                              <w:sz w:val="14"/>
                            </w:rPr>
                            <w:t>2025</w:t>
                          </w:r>
                        </w:p>
                      </w:txbxContent>
                    </wps:txbx>
                    <wps:bodyPr wrap="square" lIns="0" tIns="0" rIns="0" bIns="0" rtlCol="0">
                      <a:noAutofit/>
                    </wps:bodyPr>
                  </wps:wsp>
                </a:graphicData>
              </a:graphic>
            </wp:anchor>
          </w:drawing>
        </mc:Choice>
        <mc:Fallback>
          <w:pict>
            <v:shape w14:anchorId="58915528" id="Textbox 54" o:spid="_x0000_s1118" type="#_x0000_t202" style="position:absolute;margin-left:216.8pt;margin-top:803.9pt;width:61.3pt;height:1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" filled="f" stroked="f">
              <v:textbox inset="0,0,0,0">
                <w:txbxContent>
                  <w:p w14:paraId="12A44C58" w14:textId="77777777" w:rsidR="00BC24A8" w:rsidRDefault="00000000">
                    <w:pPr>
                      <w:spacing w:before="19"/>
                      <w:ind w:left="20"/>
                      <w:rPr>
                        <w:rFonts w:ascii="Trebuchet MS" w:hAnsi="Trebuchet MS"/>
                        <w:sz w:val="14"/>
                      </w:rPr>
                    </w:pPr>
                    <w:r>
                      <w:rPr>
                        <w:rFonts w:ascii="Trebuchet MS" w:hAnsi="Trebuchet MS"/>
                        <w:color w:val="404040"/>
                        <w:w w:val="90"/>
                        <w:sz w:val="14"/>
                      </w:rPr>
                      <w:t>January</w:t>
                    </w:r>
                    <w:r>
                      <w:rPr>
                        <w:rFonts w:ascii="Trebuchet MS" w:hAnsi="Trebuchet MS"/>
                        <w:color w:val="404040"/>
                        <w:spacing w:val="-2"/>
                        <w:sz w:val="14"/>
                      </w:rPr>
                      <w:t xml:space="preserve"> </w:t>
                    </w:r>
                    <w:r>
                      <w:rPr>
                        <w:rFonts w:ascii="Trebuchet MS" w:hAnsi="Trebuchet MS"/>
                        <w:color w:val="404040"/>
                        <w:w w:val="90"/>
                        <w:sz w:val="14"/>
                      </w:rPr>
                      <w:t>–</w:t>
                    </w:r>
                    <w:r>
                      <w:rPr>
                        <w:rFonts w:ascii="Trebuchet MS" w:hAnsi="Trebuchet MS"/>
                        <w:color w:val="404040"/>
                        <w:sz w:val="14"/>
                      </w:rPr>
                      <w:t xml:space="preserve"> </w:t>
                    </w:r>
                    <w:r>
                      <w:rPr>
                        <w:rFonts w:ascii="Trebuchet MS" w:hAnsi="Trebuchet MS"/>
                        <w:color w:val="404040"/>
                        <w:w w:val="90"/>
                        <w:sz w:val="14"/>
                      </w:rPr>
                      <w:t>June</w:t>
                    </w:r>
                    <w:r>
                      <w:rPr>
                        <w:rFonts w:ascii="Trebuchet MS" w:hAnsi="Trebuchet MS"/>
                        <w:color w:val="404040"/>
                        <w:sz w:val="14"/>
                      </w:rPr>
                      <w:t xml:space="preserve"> </w:t>
                    </w:r>
                    <w:r>
                      <w:rPr>
                        <w:rFonts w:ascii="Trebuchet MS" w:hAnsi="Trebuchet MS"/>
                        <w:color w:val="404040"/>
                        <w:spacing w:val="-4"/>
                        <w:w w:val="90"/>
                        <w:sz w:val="14"/>
                      </w:rPr>
                      <w:t>2025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3BA5" w14:textId="77777777" w:rsidR="00BC24A8" w:rsidRDefault="00BC24A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FBD37" w14:textId="77777777" w:rsidR="002E536E" w:rsidRDefault="002E536E">
      <w:r>
        <w:separator/>
      </w:r>
    </w:p>
  </w:footnote>
  <w:footnote w:type="continuationSeparator" w:id="0">
    <w:p w14:paraId="16414F74" w14:textId="77777777" w:rsidR="002E536E" w:rsidRDefault="002E53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7994"/>
    <w:multiLevelType w:val="hybridMultilevel"/>
    <w:tmpl w:val="CD9A3C32"/>
    <w:lvl w:ilvl="0" w:tplc="A0C09854">
      <w:numFmt w:val="bullet"/>
      <w:lvlText w:val=""/>
      <w:lvlJc w:val="left"/>
      <w:pPr>
        <w:ind w:left="683" w:hanging="360"/>
      </w:pPr>
      <w:rPr>
        <w:rFonts w:ascii="Symbol" w:eastAsia="Symbol" w:hAnsi="Symbol" w:cs="Symbol" w:hint="default"/>
        <w:b w:val="0"/>
        <w:bCs w:val="0"/>
        <w:i w:val="0"/>
        <w:iCs w:val="0"/>
        <w:spacing w:val="0"/>
        <w:w w:val="100"/>
        <w:sz w:val="22"/>
        <w:szCs w:val="22"/>
        <w:lang w:val="en-US" w:eastAsia="en-US" w:bidi="ar-SA"/>
      </w:rPr>
    </w:lvl>
    <w:lvl w:ilvl="1" w:tplc="779E7DD0">
      <w:numFmt w:val="bullet"/>
      <w:lvlText w:val="•"/>
      <w:lvlJc w:val="left"/>
      <w:pPr>
        <w:ind w:left="1561" w:hanging="360"/>
      </w:pPr>
      <w:rPr>
        <w:rFonts w:hint="default"/>
        <w:lang w:val="en-US" w:eastAsia="en-US" w:bidi="ar-SA"/>
      </w:rPr>
    </w:lvl>
    <w:lvl w:ilvl="2" w:tplc="12FC8ACA">
      <w:numFmt w:val="bullet"/>
      <w:lvlText w:val="•"/>
      <w:lvlJc w:val="left"/>
      <w:pPr>
        <w:ind w:left="2443" w:hanging="360"/>
      </w:pPr>
      <w:rPr>
        <w:rFonts w:hint="default"/>
        <w:lang w:val="en-US" w:eastAsia="en-US" w:bidi="ar-SA"/>
      </w:rPr>
    </w:lvl>
    <w:lvl w:ilvl="3" w:tplc="D9F8B706">
      <w:numFmt w:val="bullet"/>
      <w:lvlText w:val="•"/>
      <w:lvlJc w:val="left"/>
      <w:pPr>
        <w:ind w:left="3325" w:hanging="360"/>
      </w:pPr>
      <w:rPr>
        <w:rFonts w:hint="default"/>
        <w:lang w:val="en-US" w:eastAsia="en-US" w:bidi="ar-SA"/>
      </w:rPr>
    </w:lvl>
    <w:lvl w:ilvl="4" w:tplc="16BEF298">
      <w:numFmt w:val="bullet"/>
      <w:lvlText w:val="•"/>
      <w:lvlJc w:val="left"/>
      <w:pPr>
        <w:ind w:left="4207" w:hanging="360"/>
      </w:pPr>
      <w:rPr>
        <w:rFonts w:hint="default"/>
        <w:lang w:val="en-US" w:eastAsia="en-US" w:bidi="ar-SA"/>
      </w:rPr>
    </w:lvl>
    <w:lvl w:ilvl="5" w:tplc="68B2F98E">
      <w:numFmt w:val="bullet"/>
      <w:lvlText w:val="•"/>
      <w:lvlJc w:val="left"/>
      <w:pPr>
        <w:ind w:left="5089" w:hanging="360"/>
      </w:pPr>
      <w:rPr>
        <w:rFonts w:hint="default"/>
        <w:lang w:val="en-US" w:eastAsia="en-US" w:bidi="ar-SA"/>
      </w:rPr>
    </w:lvl>
    <w:lvl w:ilvl="6" w:tplc="5AE21B10">
      <w:numFmt w:val="bullet"/>
      <w:lvlText w:val="•"/>
      <w:lvlJc w:val="left"/>
      <w:pPr>
        <w:ind w:left="5971" w:hanging="360"/>
      </w:pPr>
      <w:rPr>
        <w:rFonts w:hint="default"/>
        <w:lang w:val="en-US" w:eastAsia="en-US" w:bidi="ar-SA"/>
      </w:rPr>
    </w:lvl>
    <w:lvl w:ilvl="7" w:tplc="7C8CAC94">
      <w:numFmt w:val="bullet"/>
      <w:lvlText w:val="•"/>
      <w:lvlJc w:val="left"/>
      <w:pPr>
        <w:ind w:left="6852" w:hanging="360"/>
      </w:pPr>
      <w:rPr>
        <w:rFonts w:hint="default"/>
        <w:lang w:val="en-US" w:eastAsia="en-US" w:bidi="ar-SA"/>
      </w:rPr>
    </w:lvl>
    <w:lvl w:ilvl="8" w:tplc="38825BB2">
      <w:numFmt w:val="bullet"/>
      <w:lvlText w:val="•"/>
      <w:lvlJc w:val="left"/>
      <w:pPr>
        <w:ind w:left="7734" w:hanging="360"/>
      </w:pPr>
      <w:rPr>
        <w:rFonts w:hint="default"/>
        <w:lang w:val="en-US" w:eastAsia="en-US" w:bidi="ar-SA"/>
      </w:rPr>
    </w:lvl>
  </w:abstractNum>
  <w:abstractNum w:abstractNumId="1" w15:restartNumberingAfterBreak="0">
    <w:nsid w:val="026345C0"/>
    <w:multiLevelType w:val="hybridMultilevel"/>
    <w:tmpl w:val="1A8CCC60"/>
    <w:lvl w:ilvl="0" w:tplc="F5DE0DA8">
      <w:numFmt w:val="bullet"/>
      <w:lvlText w:val="•"/>
      <w:lvlJc w:val="left"/>
      <w:pPr>
        <w:ind w:left="6108" w:hanging="360"/>
      </w:pPr>
      <w:rPr>
        <w:rFonts w:ascii="Trebuchet MS" w:eastAsia="Trebuchet MS" w:hAnsi="Trebuchet MS" w:cs="Trebuchet MS" w:hint="default"/>
        <w:b w:val="0"/>
        <w:bCs w:val="0"/>
        <w:i w:val="0"/>
        <w:iCs w:val="0"/>
        <w:spacing w:val="0"/>
        <w:w w:val="89"/>
        <w:sz w:val="18"/>
        <w:szCs w:val="18"/>
        <w:lang w:val="en-US" w:eastAsia="en-US" w:bidi="ar-SA"/>
      </w:rPr>
    </w:lvl>
    <w:lvl w:ilvl="1" w:tplc="22EC290C">
      <w:numFmt w:val="bullet"/>
      <w:lvlText w:val="•"/>
      <w:lvlJc w:val="left"/>
      <w:pPr>
        <w:ind w:left="6353" w:hanging="360"/>
      </w:pPr>
      <w:rPr>
        <w:rFonts w:hint="default"/>
        <w:lang w:val="en-US" w:eastAsia="en-US" w:bidi="ar-SA"/>
      </w:rPr>
    </w:lvl>
    <w:lvl w:ilvl="2" w:tplc="2BCEF796">
      <w:numFmt w:val="bullet"/>
      <w:lvlText w:val="•"/>
      <w:lvlJc w:val="left"/>
      <w:pPr>
        <w:ind w:left="6607" w:hanging="360"/>
      </w:pPr>
      <w:rPr>
        <w:rFonts w:hint="default"/>
        <w:lang w:val="en-US" w:eastAsia="en-US" w:bidi="ar-SA"/>
      </w:rPr>
    </w:lvl>
    <w:lvl w:ilvl="3" w:tplc="D1EC0A58">
      <w:numFmt w:val="bullet"/>
      <w:lvlText w:val="•"/>
      <w:lvlJc w:val="left"/>
      <w:pPr>
        <w:ind w:left="6861" w:hanging="360"/>
      </w:pPr>
      <w:rPr>
        <w:rFonts w:hint="default"/>
        <w:lang w:val="en-US" w:eastAsia="en-US" w:bidi="ar-SA"/>
      </w:rPr>
    </w:lvl>
    <w:lvl w:ilvl="4" w:tplc="294CD4C4">
      <w:numFmt w:val="bullet"/>
      <w:lvlText w:val="•"/>
      <w:lvlJc w:val="left"/>
      <w:pPr>
        <w:ind w:left="7115" w:hanging="360"/>
      </w:pPr>
      <w:rPr>
        <w:rFonts w:hint="default"/>
        <w:lang w:val="en-US" w:eastAsia="en-US" w:bidi="ar-SA"/>
      </w:rPr>
    </w:lvl>
    <w:lvl w:ilvl="5" w:tplc="F10E2CC6">
      <w:numFmt w:val="bullet"/>
      <w:lvlText w:val="•"/>
      <w:lvlJc w:val="left"/>
      <w:pPr>
        <w:ind w:left="7369" w:hanging="360"/>
      </w:pPr>
      <w:rPr>
        <w:rFonts w:hint="default"/>
        <w:lang w:val="en-US" w:eastAsia="en-US" w:bidi="ar-SA"/>
      </w:rPr>
    </w:lvl>
    <w:lvl w:ilvl="6" w:tplc="F4B4439A">
      <w:numFmt w:val="bullet"/>
      <w:lvlText w:val="•"/>
      <w:lvlJc w:val="left"/>
      <w:pPr>
        <w:ind w:left="7622" w:hanging="360"/>
      </w:pPr>
      <w:rPr>
        <w:rFonts w:hint="default"/>
        <w:lang w:val="en-US" w:eastAsia="en-US" w:bidi="ar-SA"/>
      </w:rPr>
    </w:lvl>
    <w:lvl w:ilvl="7" w:tplc="DAC43342">
      <w:numFmt w:val="bullet"/>
      <w:lvlText w:val="•"/>
      <w:lvlJc w:val="left"/>
      <w:pPr>
        <w:ind w:left="7876" w:hanging="360"/>
      </w:pPr>
      <w:rPr>
        <w:rFonts w:hint="default"/>
        <w:lang w:val="en-US" w:eastAsia="en-US" w:bidi="ar-SA"/>
      </w:rPr>
    </w:lvl>
    <w:lvl w:ilvl="8" w:tplc="C9CE8E76">
      <w:numFmt w:val="bullet"/>
      <w:lvlText w:val="•"/>
      <w:lvlJc w:val="left"/>
      <w:pPr>
        <w:ind w:left="8130" w:hanging="360"/>
      </w:pPr>
      <w:rPr>
        <w:rFonts w:hint="default"/>
        <w:lang w:val="en-US" w:eastAsia="en-US" w:bidi="ar-SA"/>
      </w:rPr>
    </w:lvl>
  </w:abstractNum>
  <w:abstractNum w:abstractNumId="2" w15:restartNumberingAfterBreak="0">
    <w:nsid w:val="027A388B"/>
    <w:multiLevelType w:val="hybridMultilevel"/>
    <w:tmpl w:val="F4F62E36"/>
    <w:lvl w:ilvl="0" w:tplc="35DCA54E">
      <w:start w:val="1"/>
      <w:numFmt w:val="decimal"/>
      <w:lvlText w:val="%1."/>
      <w:lvlJc w:val="left"/>
      <w:pPr>
        <w:ind w:left="503" w:hanging="361"/>
        <w:jc w:val="right"/>
      </w:pPr>
      <w:rPr>
        <w:rFonts w:ascii="Calibri" w:eastAsia="Calibri" w:hAnsi="Calibri" w:cs="Calibri" w:hint="default"/>
        <w:b/>
        <w:bCs/>
        <w:i w:val="0"/>
        <w:iCs w:val="0"/>
        <w:spacing w:val="0"/>
        <w:w w:val="100"/>
        <w:sz w:val="22"/>
        <w:szCs w:val="22"/>
        <w:lang w:val="en-US" w:eastAsia="en-US" w:bidi="ar-SA"/>
      </w:rPr>
    </w:lvl>
    <w:lvl w:ilvl="1" w:tplc="46F6CF38">
      <w:numFmt w:val="bullet"/>
      <w:lvlText w:val=""/>
      <w:lvlJc w:val="left"/>
      <w:pPr>
        <w:ind w:left="863" w:hanging="361"/>
      </w:pPr>
      <w:rPr>
        <w:rFonts w:ascii="Symbol" w:eastAsia="Symbol" w:hAnsi="Symbol" w:cs="Symbol" w:hint="default"/>
        <w:b w:val="0"/>
        <w:bCs w:val="0"/>
        <w:i w:val="0"/>
        <w:iCs w:val="0"/>
        <w:spacing w:val="0"/>
        <w:w w:val="100"/>
        <w:sz w:val="22"/>
        <w:szCs w:val="22"/>
        <w:lang w:val="en-US" w:eastAsia="en-US" w:bidi="ar-SA"/>
      </w:rPr>
    </w:lvl>
    <w:lvl w:ilvl="2" w:tplc="42DEAD96">
      <w:numFmt w:val="bullet"/>
      <w:lvlText w:val="o"/>
      <w:lvlJc w:val="left"/>
      <w:pPr>
        <w:ind w:left="1224" w:hanging="361"/>
      </w:pPr>
      <w:rPr>
        <w:rFonts w:ascii="Courier New" w:eastAsia="Courier New" w:hAnsi="Courier New" w:cs="Courier New" w:hint="default"/>
        <w:b w:val="0"/>
        <w:bCs w:val="0"/>
        <w:i w:val="0"/>
        <w:iCs w:val="0"/>
        <w:spacing w:val="0"/>
        <w:w w:val="100"/>
        <w:sz w:val="22"/>
        <w:szCs w:val="22"/>
        <w:lang w:val="en-US" w:eastAsia="en-US" w:bidi="ar-SA"/>
      </w:rPr>
    </w:lvl>
    <w:lvl w:ilvl="3" w:tplc="063A53F0">
      <w:numFmt w:val="bullet"/>
      <w:lvlText w:val="-"/>
      <w:lvlJc w:val="left"/>
      <w:pPr>
        <w:ind w:left="1583" w:hanging="360"/>
      </w:pPr>
      <w:rPr>
        <w:rFonts w:ascii="Calibri" w:eastAsia="Calibri" w:hAnsi="Calibri" w:cs="Calibri" w:hint="default"/>
        <w:b w:val="0"/>
        <w:bCs w:val="0"/>
        <w:i w:val="0"/>
        <w:iCs w:val="0"/>
        <w:spacing w:val="0"/>
        <w:w w:val="100"/>
        <w:sz w:val="22"/>
        <w:szCs w:val="22"/>
        <w:lang w:val="en-US" w:eastAsia="en-US" w:bidi="ar-SA"/>
      </w:rPr>
    </w:lvl>
    <w:lvl w:ilvl="4" w:tplc="AC52644E">
      <w:numFmt w:val="bullet"/>
      <w:lvlText w:val="•"/>
      <w:lvlJc w:val="left"/>
      <w:pPr>
        <w:ind w:left="2751" w:hanging="360"/>
      </w:pPr>
      <w:rPr>
        <w:rFonts w:hint="default"/>
        <w:lang w:val="en-US" w:eastAsia="en-US" w:bidi="ar-SA"/>
      </w:rPr>
    </w:lvl>
    <w:lvl w:ilvl="5" w:tplc="A120D50E">
      <w:numFmt w:val="bullet"/>
      <w:lvlText w:val="•"/>
      <w:lvlJc w:val="left"/>
      <w:pPr>
        <w:ind w:left="3923" w:hanging="360"/>
      </w:pPr>
      <w:rPr>
        <w:rFonts w:hint="default"/>
        <w:lang w:val="en-US" w:eastAsia="en-US" w:bidi="ar-SA"/>
      </w:rPr>
    </w:lvl>
    <w:lvl w:ilvl="6" w:tplc="28209680">
      <w:numFmt w:val="bullet"/>
      <w:lvlText w:val="•"/>
      <w:lvlJc w:val="left"/>
      <w:pPr>
        <w:ind w:left="5094" w:hanging="360"/>
      </w:pPr>
      <w:rPr>
        <w:rFonts w:hint="default"/>
        <w:lang w:val="en-US" w:eastAsia="en-US" w:bidi="ar-SA"/>
      </w:rPr>
    </w:lvl>
    <w:lvl w:ilvl="7" w:tplc="2D0C69B6">
      <w:numFmt w:val="bullet"/>
      <w:lvlText w:val="•"/>
      <w:lvlJc w:val="left"/>
      <w:pPr>
        <w:ind w:left="6266" w:hanging="360"/>
      </w:pPr>
      <w:rPr>
        <w:rFonts w:hint="default"/>
        <w:lang w:val="en-US" w:eastAsia="en-US" w:bidi="ar-SA"/>
      </w:rPr>
    </w:lvl>
    <w:lvl w:ilvl="8" w:tplc="FA0AF314">
      <w:numFmt w:val="bullet"/>
      <w:lvlText w:val="•"/>
      <w:lvlJc w:val="left"/>
      <w:pPr>
        <w:ind w:left="7438" w:hanging="360"/>
      </w:pPr>
      <w:rPr>
        <w:rFonts w:hint="default"/>
        <w:lang w:val="en-US" w:eastAsia="en-US" w:bidi="ar-SA"/>
      </w:rPr>
    </w:lvl>
  </w:abstractNum>
  <w:abstractNum w:abstractNumId="3" w15:restartNumberingAfterBreak="0">
    <w:nsid w:val="032B2B75"/>
    <w:multiLevelType w:val="hybridMultilevel"/>
    <w:tmpl w:val="ADC037CE"/>
    <w:lvl w:ilvl="0" w:tplc="5AA87CB8">
      <w:numFmt w:val="bullet"/>
      <w:lvlText w:val="•"/>
      <w:lvlJc w:val="left"/>
      <w:pPr>
        <w:ind w:left="126" w:hanging="360"/>
      </w:pPr>
      <w:rPr>
        <w:rFonts w:ascii="Trebuchet MS" w:eastAsia="Trebuchet MS" w:hAnsi="Trebuchet MS" w:cs="Trebuchet MS" w:hint="default"/>
        <w:b w:val="0"/>
        <w:bCs w:val="0"/>
        <w:i w:val="0"/>
        <w:iCs w:val="0"/>
        <w:spacing w:val="0"/>
        <w:w w:val="89"/>
        <w:sz w:val="18"/>
        <w:szCs w:val="18"/>
        <w:lang w:val="en-US" w:eastAsia="en-US" w:bidi="ar-SA"/>
      </w:rPr>
    </w:lvl>
    <w:lvl w:ilvl="1" w:tplc="172EB156">
      <w:numFmt w:val="bullet"/>
      <w:lvlText w:val="•"/>
      <w:lvlJc w:val="left"/>
      <w:pPr>
        <w:ind w:left="632" w:hanging="360"/>
      </w:pPr>
      <w:rPr>
        <w:rFonts w:hint="default"/>
        <w:lang w:val="en-US" w:eastAsia="en-US" w:bidi="ar-SA"/>
      </w:rPr>
    </w:lvl>
    <w:lvl w:ilvl="2" w:tplc="B5C83064">
      <w:numFmt w:val="bullet"/>
      <w:lvlText w:val="•"/>
      <w:lvlJc w:val="left"/>
      <w:pPr>
        <w:ind w:left="1144" w:hanging="360"/>
      </w:pPr>
      <w:rPr>
        <w:rFonts w:hint="default"/>
        <w:lang w:val="en-US" w:eastAsia="en-US" w:bidi="ar-SA"/>
      </w:rPr>
    </w:lvl>
    <w:lvl w:ilvl="3" w:tplc="DB14286C">
      <w:numFmt w:val="bullet"/>
      <w:lvlText w:val="•"/>
      <w:lvlJc w:val="left"/>
      <w:pPr>
        <w:ind w:left="1656" w:hanging="360"/>
      </w:pPr>
      <w:rPr>
        <w:rFonts w:hint="default"/>
        <w:lang w:val="en-US" w:eastAsia="en-US" w:bidi="ar-SA"/>
      </w:rPr>
    </w:lvl>
    <w:lvl w:ilvl="4" w:tplc="0D8E7EE0">
      <w:numFmt w:val="bullet"/>
      <w:lvlText w:val="•"/>
      <w:lvlJc w:val="left"/>
      <w:pPr>
        <w:ind w:left="2168" w:hanging="360"/>
      </w:pPr>
      <w:rPr>
        <w:rFonts w:hint="default"/>
        <w:lang w:val="en-US" w:eastAsia="en-US" w:bidi="ar-SA"/>
      </w:rPr>
    </w:lvl>
    <w:lvl w:ilvl="5" w:tplc="D8FA8BEC">
      <w:numFmt w:val="bullet"/>
      <w:lvlText w:val="•"/>
      <w:lvlJc w:val="left"/>
      <w:pPr>
        <w:ind w:left="2680" w:hanging="360"/>
      </w:pPr>
      <w:rPr>
        <w:rFonts w:hint="default"/>
        <w:lang w:val="en-US" w:eastAsia="en-US" w:bidi="ar-SA"/>
      </w:rPr>
    </w:lvl>
    <w:lvl w:ilvl="6" w:tplc="61A0A266">
      <w:numFmt w:val="bullet"/>
      <w:lvlText w:val="•"/>
      <w:lvlJc w:val="left"/>
      <w:pPr>
        <w:ind w:left="3192" w:hanging="360"/>
      </w:pPr>
      <w:rPr>
        <w:rFonts w:hint="default"/>
        <w:lang w:val="en-US" w:eastAsia="en-US" w:bidi="ar-SA"/>
      </w:rPr>
    </w:lvl>
    <w:lvl w:ilvl="7" w:tplc="B9580A4C">
      <w:numFmt w:val="bullet"/>
      <w:lvlText w:val="•"/>
      <w:lvlJc w:val="left"/>
      <w:pPr>
        <w:ind w:left="3704" w:hanging="360"/>
      </w:pPr>
      <w:rPr>
        <w:rFonts w:hint="default"/>
        <w:lang w:val="en-US" w:eastAsia="en-US" w:bidi="ar-SA"/>
      </w:rPr>
    </w:lvl>
    <w:lvl w:ilvl="8" w:tplc="813EA4D8">
      <w:numFmt w:val="bullet"/>
      <w:lvlText w:val="•"/>
      <w:lvlJc w:val="left"/>
      <w:pPr>
        <w:ind w:left="4216" w:hanging="360"/>
      </w:pPr>
      <w:rPr>
        <w:rFonts w:hint="default"/>
        <w:lang w:val="en-US" w:eastAsia="en-US" w:bidi="ar-SA"/>
      </w:rPr>
    </w:lvl>
  </w:abstractNum>
  <w:abstractNum w:abstractNumId="4" w15:restartNumberingAfterBreak="0">
    <w:nsid w:val="04B54F72"/>
    <w:multiLevelType w:val="hybridMultilevel"/>
    <w:tmpl w:val="FEC68CE2"/>
    <w:lvl w:ilvl="0" w:tplc="5DE0AEFC">
      <w:numFmt w:val="bullet"/>
      <w:lvlText w:val="•"/>
      <w:lvlJc w:val="left"/>
      <w:pPr>
        <w:ind w:left="439" w:hanging="360"/>
      </w:pPr>
      <w:rPr>
        <w:rFonts w:ascii="Trebuchet MS" w:eastAsia="Trebuchet MS" w:hAnsi="Trebuchet MS" w:cs="Trebuchet MS" w:hint="default"/>
        <w:b w:val="0"/>
        <w:bCs w:val="0"/>
        <w:i w:val="0"/>
        <w:iCs w:val="0"/>
        <w:spacing w:val="0"/>
        <w:w w:val="89"/>
        <w:sz w:val="18"/>
        <w:szCs w:val="18"/>
        <w:lang w:val="en-US" w:eastAsia="en-US" w:bidi="ar-SA"/>
      </w:rPr>
    </w:lvl>
    <w:lvl w:ilvl="1" w:tplc="9B602590">
      <w:numFmt w:val="bullet"/>
      <w:lvlText w:val="•"/>
      <w:lvlJc w:val="left"/>
      <w:pPr>
        <w:ind w:left="1154" w:hanging="360"/>
      </w:pPr>
      <w:rPr>
        <w:rFonts w:hint="default"/>
        <w:lang w:val="en-US" w:eastAsia="en-US" w:bidi="ar-SA"/>
      </w:rPr>
    </w:lvl>
    <w:lvl w:ilvl="2" w:tplc="4CE8C25A">
      <w:numFmt w:val="bullet"/>
      <w:lvlText w:val="•"/>
      <w:lvlJc w:val="left"/>
      <w:pPr>
        <w:ind w:left="1868" w:hanging="360"/>
      </w:pPr>
      <w:rPr>
        <w:rFonts w:hint="default"/>
        <w:lang w:val="en-US" w:eastAsia="en-US" w:bidi="ar-SA"/>
      </w:rPr>
    </w:lvl>
    <w:lvl w:ilvl="3" w:tplc="A91636E4">
      <w:numFmt w:val="bullet"/>
      <w:lvlText w:val="•"/>
      <w:lvlJc w:val="left"/>
      <w:pPr>
        <w:ind w:left="2582" w:hanging="360"/>
      </w:pPr>
      <w:rPr>
        <w:rFonts w:hint="default"/>
        <w:lang w:val="en-US" w:eastAsia="en-US" w:bidi="ar-SA"/>
      </w:rPr>
    </w:lvl>
    <w:lvl w:ilvl="4" w:tplc="5B9E45DC">
      <w:numFmt w:val="bullet"/>
      <w:lvlText w:val="•"/>
      <w:lvlJc w:val="left"/>
      <w:pPr>
        <w:ind w:left="3296" w:hanging="360"/>
      </w:pPr>
      <w:rPr>
        <w:rFonts w:hint="default"/>
        <w:lang w:val="en-US" w:eastAsia="en-US" w:bidi="ar-SA"/>
      </w:rPr>
    </w:lvl>
    <w:lvl w:ilvl="5" w:tplc="679E97BA">
      <w:numFmt w:val="bullet"/>
      <w:lvlText w:val="•"/>
      <w:lvlJc w:val="left"/>
      <w:pPr>
        <w:ind w:left="4011" w:hanging="360"/>
      </w:pPr>
      <w:rPr>
        <w:rFonts w:hint="default"/>
        <w:lang w:val="en-US" w:eastAsia="en-US" w:bidi="ar-SA"/>
      </w:rPr>
    </w:lvl>
    <w:lvl w:ilvl="6" w:tplc="5F70BAB4">
      <w:numFmt w:val="bullet"/>
      <w:lvlText w:val="•"/>
      <w:lvlJc w:val="left"/>
      <w:pPr>
        <w:ind w:left="4725" w:hanging="360"/>
      </w:pPr>
      <w:rPr>
        <w:rFonts w:hint="default"/>
        <w:lang w:val="en-US" w:eastAsia="en-US" w:bidi="ar-SA"/>
      </w:rPr>
    </w:lvl>
    <w:lvl w:ilvl="7" w:tplc="41ACE4A4">
      <w:numFmt w:val="bullet"/>
      <w:lvlText w:val="•"/>
      <w:lvlJc w:val="left"/>
      <w:pPr>
        <w:ind w:left="5439" w:hanging="360"/>
      </w:pPr>
      <w:rPr>
        <w:rFonts w:hint="default"/>
        <w:lang w:val="en-US" w:eastAsia="en-US" w:bidi="ar-SA"/>
      </w:rPr>
    </w:lvl>
    <w:lvl w:ilvl="8" w:tplc="25687A12">
      <w:numFmt w:val="bullet"/>
      <w:lvlText w:val="•"/>
      <w:lvlJc w:val="left"/>
      <w:pPr>
        <w:ind w:left="6153" w:hanging="360"/>
      </w:pPr>
      <w:rPr>
        <w:rFonts w:hint="default"/>
        <w:lang w:val="en-US" w:eastAsia="en-US" w:bidi="ar-SA"/>
      </w:rPr>
    </w:lvl>
  </w:abstractNum>
  <w:abstractNum w:abstractNumId="5" w15:restartNumberingAfterBreak="0">
    <w:nsid w:val="057E536F"/>
    <w:multiLevelType w:val="hybridMultilevel"/>
    <w:tmpl w:val="3BCEB386"/>
    <w:lvl w:ilvl="0" w:tplc="A30A6932">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11B6B3B4">
      <w:numFmt w:val="bullet"/>
      <w:lvlText w:val="•"/>
      <w:lvlJc w:val="left"/>
      <w:pPr>
        <w:ind w:left="1752" w:hanging="360"/>
      </w:pPr>
      <w:rPr>
        <w:rFonts w:hint="default"/>
        <w:lang w:val="en-US" w:eastAsia="en-US" w:bidi="ar-SA"/>
      </w:rPr>
    </w:lvl>
    <w:lvl w:ilvl="2" w:tplc="74B01E00">
      <w:numFmt w:val="bullet"/>
      <w:lvlText w:val="•"/>
      <w:lvlJc w:val="left"/>
      <w:pPr>
        <w:ind w:left="2644" w:hanging="360"/>
      </w:pPr>
      <w:rPr>
        <w:rFonts w:hint="default"/>
        <w:lang w:val="en-US" w:eastAsia="en-US" w:bidi="ar-SA"/>
      </w:rPr>
    </w:lvl>
    <w:lvl w:ilvl="3" w:tplc="2CA28C94">
      <w:numFmt w:val="bullet"/>
      <w:lvlText w:val="•"/>
      <w:lvlJc w:val="left"/>
      <w:pPr>
        <w:ind w:left="3536" w:hanging="360"/>
      </w:pPr>
      <w:rPr>
        <w:rFonts w:hint="default"/>
        <w:lang w:val="en-US" w:eastAsia="en-US" w:bidi="ar-SA"/>
      </w:rPr>
    </w:lvl>
    <w:lvl w:ilvl="4" w:tplc="9D180CCA">
      <w:numFmt w:val="bullet"/>
      <w:lvlText w:val="•"/>
      <w:lvlJc w:val="left"/>
      <w:pPr>
        <w:ind w:left="4428" w:hanging="360"/>
      </w:pPr>
      <w:rPr>
        <w:rFonts w:hint="default"/>
        <w:lang w:val="en-US" w:eastAsia="en-US" w:bidi="ar-SA"/>
      </w:rPr>
    </w:lvl>
    <w:lvl w:ilvl="5" w:tplc="E09ECC5C">
      <w:numFmt w:val="bullet"/>
      <w:lvlText w:val="•"/>
      <w:lvlJc w:val="left"/>
      <w:pPr>
        <w:ind w:left="5320" w:hanging="360"/>
      </w:pPr>
      <w:rPr>
        <w:rFonts w:hint="default"/>
        <w:lang w:val="en-US" w:eastAsia="en-US" w:bidi="ar-SA"/>
      </w:rPr>
    </w:lvl>
    <w:lvl w:ilvl="6" w:tplc="95EC149C">
      <w:numFmt w:val="bullet"/>
      <w:lvlText w:val="•"/>
      <w:lvlJc w:val="left"/>
      <w:pPr>
        <w:ind w:left="6212" w:hanging="360"/>
      </w:pPr>
      <w:rPr>
        <w:rFonts w:hint="default"/>
        <w:lang w:val="en-US" w:eastAsia="en-US" w:bidi="ar-SA"/>
      </w:rPr>
    </w:lvl>
    <w:lvl w:ilvl="7" w:tplc="175C7914">
      <w:numFmt w:val="bullet"/>
      <w:lvlText w:val="•"/>
      <w:lvlJc w:val="left"/>
      <w:pPr>
        <w:ind w:left="7104" w:hanging="360"/>
      </w:pPr>
      <w:rPr>
        <w:rFonts w:hint="default"/>
        <w:lang w:val="en-US" w:eastAsia="en-US" w:bidi="ar-SA"/>
      </w:rPr>
    </w:lvl>
    <w:lvl w:ilvl="8" w:tplc="7D5A7BF2">
      <w:numFmt w:val="bullet"/>
      <w:lvlText w:val="•"/>
      <w:lvlJc w:val="left"/>
      <w:pPr>
        <w:ind w:left="7997" w:hanging="360"/>
      </w:pPr>
      <w:rPr>
        <w:rFonts w:hint="default"/>
        <w:lang w:val="en-US" w:eastAsia="en-US" w:bidi="ar-SA"/>
      </w:rPr>
    </w:lvl>
  </w:abstractNum>
  <w:abstractNum w:abstractNumId="6" w15:restartNumberingAfterBreak="0">
    <w:nsid w:val="05E304EF"/>
    <w:multiLevelType w:val="hybridMultilevel"/>
    <w:tmpl w:val="EBFE1F5A"/>
    <w:lvl w:ilvl="0" w:tplc="3D541EFA">
      <w:numFmt w:val="bullet"/>
      <w:lvlText w:val="•"/>
      <w:lvlJc w:val="left"/>
      <w:pPr>
        <w:ind w:left="455" w:hanging="360"/>
      </w:pPr>
      <w:rPr>
        <w:rFonts w:ascii="Trebuchet MS" w:eastAsia="Trebuchet MS" w:hAnsi="Trebuchet MS" w:cs="Trebuchet MS" w:hint="default"/>
        <w:b w:val="0"/>
        <w:bCs w:val="0"/>
        <w:i w:val="0"/>
        <w:iCs w:val="0"/>
        <w:spacing w:val="0"/>
        <w:w w:val="89"/>
        <w:sz w:val="18"/>
        <w:szCs w:val="18"/>
        <w:lang w:val="en-US" w:eastAsia="en-US" w:bidi="ar-SA"/>
      </w:rPr>
    </w:lvl>
    <w:lvl w:ilvl="1" w:tplc="B6ECFF38">
      <w:numFmt w:val="bullet"/>
      <w:lvlText w:val="•"/>
      <w:lvlJc w:val="left"/>
      <w:pPr>
        <w:ind w:left="1115" w:hanging="360"/>
      </w:pPr>
      <w:rPr>
        <w:rFonts w:hint="default"/>
        <w:lang w:val="en-US" w:eastAsia="en-US" w:bidi="ar-SA"/>
      </w:rPr>
    </w:lvl>
    <w:lvl w:ilvl="2" w:tplc="9C3C22C8">
      <w:numFmt w:val="bullet"/>
      <w:lvlText w:val="•"/>
      <w:lvlJc w:val="left"/>
      <w:pPr>
        <w:ind w:left="1771" w:hanging="360"/>
      </w:pPr>
      <w:rPr>
        <w:rFonts w:hint="default"/>
        <w:lang w:val="en-US" w:eastAsia="en-US" w:bidi="ar-SA"/>
      </w:rPr>
    </w:lvl>
    <w:lvl w:ilvl="3" w:tplc="DDB4E830">
      <w:numFmt w:val="bullet"/>
      <w:lvlText w:val="•"/>
      <w:lvlJc w:val="left"/>
      <w:pPr>
        <w:ind w:left="2426" w:hanging="360"/>
      </w:pPr>
      <w:rPr>
        <w:rFonts w:hint="default"/>
        <w:lang w:val="en-US" w:eastAsia="en-US" w:bidi="ar-SA"/>
      </w:rPr>
    </w:lvl>
    <w:lvl w:ilvl="4" w:tplc="FA923F14">
      <w:numFmt w:val="bullet"/>
      <w:lvlText w:val="•"/>
      <w:lvlJc w:val="left"/>
      <w:pPr>
        <w:ind w:left="3082" w:hanging="360"/>
      </w:pPr>
      <w:rPr>
        <w:rFonts w:hint="default"/>
        <w:lang w:val="en-US" w:eastAsia="en-US" w:bidi="ar-SA"/>
      </w:rPr>
    </w:lvl>
    <w:lvl w:ilvl="5" w:tplc="3C7E120E">
      <w:numFmt w:val="bullet"/>
      <w:lvlText w:val="•"/>
      <w:lvlJc w:val="left"/>
      <w:pPr>
        <w:ind w:left="3737" w:hanging="360"/>
      </w:pPr>
      <w:rPr>
        <w:rFonts w:hint="default"/>
        <w:lang w:val="en-US" w:eastAsia="en-US" w:bidi="ar-SA"/>
      </w:rPr>
    </w:lvl>
    <w:lvl w:ilvl="6" w:tplc="18388908">
      <w:numFmt w:val="bullet"/>
      <w:lvlText w:val="•"/>
      <w:lvlJc w:val="left"/>
      <w:pPr>
        <w:ind w:left="4393" w:hanging="360"/>
      </w:pPr>
      <w:rPr>
        <w:rFonts w:hint="default"/>
        <w:lang w:val="en-US" w:eastAsia="en-US" w:bidi="ar-SA"/>
      </w:rPr>
    </w:lvl>
    <w:lvl w:ilvl="7" w:tplc="7EEA5146">
      <w:numFmt w:val="bullet"/>
      <w:lvlText w:val="•"/>
      <w:lvlJc w:val="left"/>
      <w:pPr>
        <w:ind w:left="5048" w:hanging="360"/>
      </w:pPr>
      <w:rPr>
        <w:rFonts w:hint="default"/>
        <w:lang w:val="en-US" w:eastAsia="en-US" w:bidi="ar-SA"/>
      </w:rPr>
    </w:lvl>
    <w:lvl w:ilvl="8" w:tplc="40E63694">
      <w:numFmt w:val="bullet"/>
      <w:lvlText w:val="•"/>
      <w:lvlJc w:val="left"/>
      <w:pPr>
        <w:ind w:left="5704" w:hanging="360"/>
      </w:pPr>
      <w:rPr>
        <w:rFonts w:hint="default"/>
        <w:lang w:val="en-US" w:eastAsia="en-US" w:bidi="ar-SA"/>
      </w:rPr>
    </w:lvl>
  </w:abstractNum>
  <w:abstractNum w:abstractNumId="7" w15:restartNumberingAfterBreak="0">
    <w:nsid w:val="079B6ADD"/>
    <w:multiLevelType w:val="hybridMultilevel"/>
    <w:tmpl w:val="D0062160"/>
    <w:lvl w:ilvl="0" w:tplc="E444A4F6">
      <w:numFmt w:val="bullet"/>
      <w:lvlText w:val="•"/>
      <w:lvlJc w:val="left"/>
      <w:pPr>
        <w:ind w:left="464" w:hanging="360"/>
      </w:pPr>
      <w:rPr>
        <w:rFonts w:ascii="Trebuchet MS" w:eastAsia="Trebuchet MS" w:hAnsi="Trebuchet MS" w:cs="Trebuchet MS" w:hint="default"/>
        <w:b w:val="0"/>
        <w:bCs w:val="0"/>
        <w:i w:val="0"/>
        <w:iCs w:val="0"/>
        <w:spacing w:val="0"/>
        <w:w w:val="89"/>
        <w:sz w:val="18"/>
        <w:szCs w:val="18"/>
        <w:lang w:val="en-US" w:eastAsia="en-US" w:bidi="ar-SA"/>
      </w:rPr>
    </w:lvl>
    <w:lvl w:ilvl="1" w:tplc="12EC60B2">
      <w:numFmt w:val="bullet"/>
      <w:lvlText w:val="•"/>
      <w:lvlJc w:val="left"/>
      <w:pPr>
        <w:ind w:left="1064" w:hanging="360"/>
      </w:pPr>
      <w:rPr>
        <w:rFonts w:hint="default"/>
        <w:lang w:val="en-US" w:eastAsia="en-US" w:bidi="ar-SA"/>
      </w:rPr>
    </w:lvl>
    <w:lvl w:ilvl="2" w:tplc="FDC40BAA">
      <w:numFmt w:val="bullet"/>
      <w:lvlText w:val="•"/>
      <w:lvlJc w:val="left"/>
      <w:pPr>
        <w:ind w:left="1669" w:hanging="360"/>
      </w:pPr>
      <w:rPr>
        <w:rFonts w:hint="default"/>
        <w:lang w:val="en-US" w:eastAsia="en-US" w:bidi="ar-SA"/>
      </w:rPr>
    </w:lvl>
    <w:lvl w:ilvl="3" w:tplc="D2A0C8C6">
      <w:numFmt w:val="bullet"/>
      <w:lvlText w:val="•"/>
      <w:lvlJc w:val="left"/>
      <w:pPr>
        <w:ind w:left="2274" w:hanging="360"/>
      </w:pPr>
      <w:rPr>
        <w:rFonts w:hint="default"/>
        <w:lang w:val="en-US" w:eastAsia="en-US" w:bidi="ar-SA"/>
      </w:rPr>
    </w:lvl>
    <w:lvl w:ilvl="4" w:tplc="0F76846A">
      <w:numFmt w:val="bullet"/>
      <w:lvlText w:val="•"/>
      <w:lvlJc w:val="left"/>
      <w:pPr>
        <w:ind w:left="2879" w:hanging="360"/>
      </w:pPr>
      <w:rPr>
        <w:rFonts w:hint="default"/>
        <w:lang w:val="en-US" w:eastAsia="en-US" w:bidi="ar-SA"/>
      </w:rPr>
    </w:lvl>
    <w:lvl w:ilvl="5" w:tplc="39CC92FE">
      <w:numFmt w:val="bullet"/>
      <w:lvlText w:val="•"/>
      <w:lvlJc w:val="left"/>
      <w:pPr>
        <w:ind w:left="3484" w:hanging="360"/>
      </w:pPr>
      <w:rPr>
        <w:rFonts w:hint="default"/>
        <w:lang w:val="en-US" w:eastAsia="en-US" w:bidi="ar-SA"/>
      </w:rPr>
    </w:lvl>
    <w:lvl w:ilvl="6" w:tplc="9A789676">
      <w:numFmt w:val="bullet"/>
      <w:lvlText w:val="•"/>
      <w:lvlJc w:val="left"/>
      <w:pPr>
        <w:ind w:left="4088" w:hanging="360"/>
      </w:pPr>
      <w:rPr>
        <w:rFonts w:hint="default"/>
        <w:lang w:val="en-US" w:eastAsia="en-US" w:bidi="ar-SA"/>
      </w:rPr>
    </w:lvl>
    <w:lvl w:ilvl="7" w:tplc="D18C9AEE">
      <w:numFmt w:val="bullet"/>
      <w:lvlText w:val="•"/>
      <w:lvlJc w:val="left"/>
      <w:pPr>
        <w:ind w:left="4693" w:hanging="360"/>
      </w:pPr>
      <w:rPr>
        <w:rFonts w:hint="default"/>
        <w:lang w:val="en-US" w:eastAsia="en-US" w:bidi="ar-SA"/>
      </w:rPr>
    </w:lvl>
    <w:lvl w:ilvl="8" w:tplc="4A88C798">
      <w:numFmt w:val="bullet"/>
      <w:lvlText w:val="•"/>
      <w:lvlJc w:val="left"/>
      <w:pPr>
        <w:ind w:left="5298" w:hanging="360"/>
      </w:pPr>
      <w:rPr>
        <w:rFonts w:hint="default"/>
        <w:lang w:val="en-US" w:eastAsia="en-US" w:bidi="ar-SA"/>
      </w:rPr>
    </w:lvl>
  </w:abstractNum>
  <w:abstractNum w:abstractNumId="8" w15:restartNumberingAfterBreak="0">
    <w:nsid w:val="07CC5E1D"/>
    <w:multiLevelType w:val="multilevel"/>
    <w:tmpl w:val="93CA3290"/>
    <w:lvl w:ilvl="0">
      <w:start w:val="3"/>
      <w:numFmt w:val="decimal"/>
      <w:lvlText w:val="%1"/>
      <w:lvlJc w:val="left"/>
      <w:pPr>
        <w:ind w:left="503" w:hanging="452"/>
        <w:jc w:val="left"/>
      </w:pPr>
      <w:rPr>
        <w:rFonts w:hint="default"/>
        <w:lang w:val="en-US" w:eastAsia="en-US" w:bidi="ar-SA"/>
      </w:rPr>
    </w:lvl>
    <w:lvl w:ilvl="1">
      <w:start w:val="1"/>
      <w:numFmt w:val="decimal"/>
      <w:lvlText w:val="%1.%2"/>
      <w:lvlJc w:val="left"/>
      <w:pPr>
        <w:ind w:left="503" w:hanging="452"/>
        <w:jc w:val="left"/>
      </w:pPr>
      <w:rPr>
        <w:rFonts w:ascii="Calibri" w:eastAsia="Calibri" w:hAnsi="Calibri" w:cs="Calibri" w:hint="default"/>
        <w:b/>
        <w:bCs/>
        <w:i w:val="0"/>
        <w:iCs w:val="0"/>
        <w:color w:val="00ACA3"/>
        <w:spacing w:val="-2"/>
        <w:w w:val="100"/>
        <w:sz w:val="22"/>
        <w:szCs w:val="22"/>
        <w:lang w:val="en-US" w:eastAsia="en-US" w:bidi="ar-SA"/>
      </w:rPr>
    </w:lvl>
    <w:lvl w:ilvl="2">
      <w:start w:val="1"/>
      <w:numFmt w:val="decimal"/>
      <w:lvlText w:val="%3."/>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3">
      <w:numFmt w:val="bullet"/>
      <w:lvlText w:val=""/>
      <w:lvlJc w:val="left"/>
      <w:pPr>
        <w:ind w:left="863"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833" w:hanging="360"/>
      </w:pPr>
      <w:rPr>
        <w:rFonts w:hint="default"/>
        <w:lang w:val="en-US" w:eastAsia="en-US" w:bidi="ar-SA"/>
      </w:rPr>
    </w:lvl>
    <w:lvl w:ilvl="5">
      <w:numFmt w:val="bullet"/>
      <w:lvlText w:val="•"/>
      <w:lvlJc w:val="left"/>
      <w:pPr>
        <w:ind w:left="4825" w:hanging="360"/>
      </w:pPr>
      <w:rPr>
        <w:rFonts w:hint="default"/>
        <w:lang w:val="en-US" w:eastAsia="en-US" w:bidi="ar-SA"/>
      </w:rPr>
    </w:lvl>
    <w:lvl w:ilvl="6">
      <w:numFmt w:val="bullet"/>
      <w:lvlText w:val="•"/>
      <w:lvlJc w:val="left"/>
      <w:pPr>
        <w:ind w:left="5816" w:hanging="360"/>
      </w:pPr>
      <w:rPr>
        <w:rFonts w:hint="default"/>
        <w:lang w:val="en-US" w:eastAsia="en-US" w:bidi="ar-SA"/>
      </w:rPr>
    </w:lvl>
    <w:lvl w:ilvl="7">
      <w:numFmt w:val="bullet"/>
      <w:lvlText w:val="•"/>
      <w:lvlJc w:val="left"/>
      <w:pPr>
        <w:ind w:left="6807" w:hanging="360"/>
      </w:pPr>
      <w:rPr>
        <w:rFonts w:hint="default"/>
        <w:lang w:val="en-US" w:eastAsia="en-US" w:bidi="ar-SA"/>
      </w:rPr>
    </w:lvl>
    <w:lvl w:ilvl="8">
      <w:numFmt w:val="bullet"/>
      <w:lvlText w:val="•"/>
      <w:lvlJc w:val="left"/>
      <w:pPr>
        <w:ind w:left="7798" w:hanging="360"/>
      </w:pPr>
      <w:rPr>
        <w:rFonts w:hint="default"/>
        <w:lang w:val="en-US" w:eastAsia="en-US" w:bidi="ar-SA"/>
      </w:rPr>
    </w:lvl>
  </w:abstractNum>
  <w:abstractNum w:abstractNumId="9" w15:restartNumberingAfterBreak="0">
    <w:nsid w:val="08317F6A"/>
    <w:multiLevelType w:val="hybridMultilevel"/>
    <w:tmpl w:val="C068C9E2"/>
    <w:lvl w:ilvl="0" w:tplc="6BCC0790">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96747242">
      <w:numFmt w:val="bullet"/>
      <w:lvlText w:val="•"/>
      <w:lvlJc w:val="left"/>
      <w:pPr>
        <w:ind w:left="1752" w:hanging="360"/>
      </w:pPr>
      <w:rPr>
        <w:rFonts w:hint="default"/>
        <w:lang w:val="en-US" w:eastAsia="en-US" w:bidi="ar-SA"/>
      </w:rPr>
    </w:lvl>
    <w:lvl w:ilvl="2" w:tplc="D1509B1A">
      <w:numFmt w:val="bullet"/>
      <w:lvlText w:val="•"/>
      <w:lvlJc w:val="left"/>
      <w:pPr>
        <w:ind w:left="2644" w:hanging="360"/>
      </w:pPr>
      <w:rPr>
        <w:rFonts w:hint="default"/>
        <w:lang w:val="en-US" w:eastAsia="en-US" w:bidi="ar-SA"/>
      </w:rPr>
    </w:lvl>
    <w:lvl w:ilvl="3" w:tplc="A69411C4">
      <w:numFmt w:val="bullet"/>
      <w:lvlText w:val="•"/>
      <w:lvlJc w:val="left"/>
      <w:pPr>
        <w:ind w:left="3536" w:hanging="360"/>
      </w:pPr>
      <w:rPr>
        <w:rFonts w:hint="default"/>
        <w:lang w:val="en-US" w:eastAsia="en-US" w:bidi="ar-SA"/>
      </w:rPr>
    </w:lvl>
    <w:lvl w:ilvl="4" w:tplc="FE5492BA">
      <w:numFmt w:val="bullet"/>
      <w:lvlText w:val="•"/>
      <w:lvlJc w:val="left"/>
      <w:pPr>
        <w:ind w:left="4428" w:hanging="360"/>
      </w:pPr>
      <w:rPr>
        <w:rFonts w:hint="default"/>
        <w:lang w:val="en-US" w:eastAsia="en-US" w:bidi="ar-SA"/>
      </w:rPr>
    </w:lvl>
    <w:lvl w:ilvl="5" w:tplc="9558C7E0">
      <w:numFmt w:val="bullet"/>
      <w:lvlText w:val="•"/>
      <w:lvlJc w:val="left"/>
      <w:pPr>
        <w:ind w:left="5320" w:hanging="360"/>
      </w:pPr>
      <w:rPr>
        <w:rFonts w:hint="default"/>
        <w:lang w:val="en-US" w:eastAsia="en-US" w:bidi="ar-SA"/>
      </w:rPr>
    </w:lvl>
    <w:lvl w:ilvl="6" w:tplc="82C0759A">
      <w:numFmt w:val="bullet"/>
      <w:lvlText w:val="•"/>
      <w:lvlJc w:val="left"/>
      <w:pPr>
        <w:ind w:left="6212" w:hanging="360"/>
      </w:pPr>
      <w:rPr>
        <w:rFonts w:hint="default"/>
        <w:lang w:val="en-US" w:eastAsia="en-US" w:bidi="ar-SA"/>
      </w:rPr>
    </w:lvl>
    <w:lvl w:ilvl="7" w:tplc="1018C9FE">
      <w:numFmt w:val="bullet"/>
      <w:lvlText w:val="•"/>
      <w:lvlJc w:val="left"/>
      <w:pPr>
        <w:ind w:left="7104" w:hanging="360"/>
      </w:pPr>
      <w:rPr>
        <w:rFonts w:hint="default"/>
        <w:lang w:val="en-US" w:eastAsia="en-US" w:bidi="ar-SA"/>
      </w:rPr>
    </w:lvl>
    <w:lvl w:ilvl="8" w:tplc="9B8A9998">
      <w:numFmt w:val="bullet"/>
      <w:lvlText w:val="•"/>
      <w:lvlJc w:val="left"/>
      <w:pPr>
        <w:ind w:left="7997" w:hanging="360"/>
      </w:pPr>
      <w:rPr>
        <w:rFonts w:hint="default"/>
        <w:lang w:val="en-US" w:eastAsia="en-US" w:bidi="ar-SA"/>
      </w:rPr>
    </w:lvl>
  </w:abstractNum>
  <w:abstractNum w:abstractNumId="10" w15:restartNumberingAfterBreak="0">
    <w:nsid w:val="08BA6652"/>
    <w:multiLevelType w:val="hybridMultilevel"/>
    <w:tmpl w:val="417C7DA2"/>
    <w:lvl w:ilvl="0" w:tplc="25E65360">
      <w:numFmt w:val="bullet"/>
      <w:lvlText w:val="•"/>
      <w:lvlJc w:val="left"/>
      <w:pPr>
        <w:ind w:left="461" w:hanging="360"/>
      </w:pPr>
      <w:rPr>
        <w:rFonts w:ascii="Trebuchet MS" w:eastAsia="Trebuchet MS" w:hAnsi="Trebuchet MS" w:cs="Trebuchet MS" w:hint="default"/>
        <w:spacing w:val="0"/>
        <w:w w:val="88"/>
        <w:lang w:val="en-US" w:eastAsia="en-US" w:bidi="ar-SA"/>
      </w:rPr>
    </w:lvl>
    <w:lvl w:ilvl="1" w:tplc="FBD476D4">
      <w:numFmt w:val="bullet"/>
      <w:lvlText w:val="•"/>
      <w:lvlJc w:val="left"/>
      <w:pPr>
        <w:ind w:left="1100" w:hanging="360"/>
      </w:pPr>
      <w:rPr>
        <w:rFonts w:hint="default"/>
        <w:lang w:val="en-US" w:eastAsia="en-US" w:bidi="ar-SA"/>
      </w:rPr>
    </w:lvl>
    <w:lvl w:ilvl="2" w:tplc="4570665A">
      <w:numFmt w:val="bullet"/>
      <w:lvlText w:val="•"/>
      <w:lvlJc w:val="left"/>
      <w:pPr>
        <w:ind w:left="1740" w:hanging="360"/>
      </w:pPr>
      <w:rPr>
        <w:rFonts w:hint="default"/>
        <w:lang w:val="en-US" w:eastAsia="en-US" w:bidi="ar-SA"/>
      </w:rPr>
    </w:lvl>
    <w:lvl w:ilvl="3" w:tplc="F998068A">
      <w:numFmt w:val="bullet"/>
      <w:lvlText w:val="•"/>
      <w:lvlJc w:val="left"/>
      <w:pPr>
        <w:ind w:left="2380" w:hanging="360"/>
      </w:pPr>
      <w:rPr>
        <w:rFonts w:hint="default"/>
        <w:lang w:val="en-US" w:eastAsia="en-US" w:bidi="ar-SA"/>
      </w:rPr>
    </w:lvl>
    <w:lvl w:ilvl="4" w:tplc="15826BB8">
      <w:numFmt w:val="bullet"/>
      <w:lvlText w:val="•"/>
      <w:lvlJc w:val="left"/>
      <w:pPr>
        <w:ind w:left="3021" w:hanging="360"/>
      </w:pPr>
      <w:rPr>
        <w:rFonts w:hint="default"/>
        <w:lang w:val="en-US" w:eastAsia="en-US" w:bidi="ar-SA"/>
      </w:rPr>
    </w:lvl>
    <w:lvl w:ilvl="5" w:tplc="0F7A3F34">
      <w:numFmt w:val="bullet"/>
      <w:lvlText w:val="•"/>
      <w:lvlJc w:val="left"/>
      <w:pPr>
        <w:ind w:left="3661" w:hanging="360"/>
      </w:pPr>
      <w:rPr>
        <w:rFonts w:hint="default"/>
        <w:lang w:val="en-US" w:eastAsia="en-US" w:bidi="ar-SA"/>
      </w:rPr>
    </w:lvl>
    <w:lvl w:ilvl="6" w:tplc="097C241A">
      <w:numFmt w:val="bullet"/>
      <w:lvlText w:val="•"/>
      <w:lvlJc w:val="left"/>
      <w:pPr>
        <w:ind w:left="4301" w:hanging="360"/>
      </w:pPr>
      <w:rPr>
        <w:rFonts w:hint="default"/>
        <w:lang w:val="en-US" w:eastAsia="en-US" w:bidi="ar-SA"/>
      </w:rPr>
    </w:lvl>
    <w:lvl w:ilvl="7" w:tplc="41C44652">
      <w:numFmt w:val="bullet"/>
      <w:lvlText w:val="•"/>
      <w:lvlJc w:val="left"/>
      <w:pPr>
        <w:ind w:left="4942" w:hanging="360"/>
      </w:pPr>
      <w:rPr>
        <w:rFonts w:hint="default"/>
        <w:lang w:val="en-US" w:eastAsia="en-US" w:bidi="ar-SA"/>
      </w:rPr>
    </w:lvl>
    <w:lvl w:ilvl="8" w:tplc="3BDE2BA0">
      <w:numFmt w:val="bullet"/>
      <w:lvlText w:val="•"/>
      <w:lvlJc w:val="left"/>
      <w:pPr>
        <w:ind w:left="5582" w:hanging="360"/>
      </w:pPr>
      <w:rPr>
        <w:rFonts w:hint="default"/>
        <w:lang w:val="en-US" w:eastAsia="en-US" w:bidi="ar-SA"/>
      </w:rPr>
    </w:lvl>
  </w:abstractNum>
  <w:abstractNum w:abstractNumId="11" w15:restartNumberingAfterBreak="0">
    <w:nsid w:val="09B2143F"/>
    <w:multiLevelType w:val="hybridMultilevel"/>
    <w:tmpl w:val="D1625B44"/>
    <w:lvl w:ilvl="0" w:tplc="9EBACBC4">
      <w:numFmt w:val="bullet"/>
      <w:lvlText w:val="•"/>
      <w:lvlJc w:val="left"/>
      <w:pPr>
        <w:ind w:left="1936" w:hanging="360"/>
      </w:pPr>
      <w:rPr>
        <w:rFonts w:ascii="Trebuchet MS" w:eastAsia="Trebuchet MS" w:hAnsi="Trebuchet MS" w:cs="Trebuchet MS" w:hint="default"/>
        <w:b w:val="0"/>
        <w:bCs w:val="0"/>
        <w:i w:val="0"/>
        <w:iCs w:val="0"/>
        <w:spacing w:val="0"/>
        <w:w w:val="89"/>
        <w:sz w:val="18"/>
        <w:szCs w:val="18"/>
        <w:lang w:val="en-US" w:eastAsia="en-US" w:bidi="ar-SA"/>
      </w:rPr>
    </w:lvl>
    <w:lvl w:ilvl="1" w:tplc="C16E559E">
      <w:numFmt w:val="bullet"/>
      <w:lvlText w:val="•"/>
      <w:lvlJc w:val="left"/>
      <w:pPr>
        <w:ind w:left="2210" w:hanging="360"/>
      </w:pPr>
      <w:rPr>
        <w:rFonts w:hint="default"/>
        <w:lang w:val="en-US" w:eastAsia="en-US" w:bidi="ar-SA"/>
      </w:rPr>
    </w:lvl>
    <w:lvl w:ilvl="2" w:tplc="11DC7270">
      <w:numFmt w:val="bullet"/>
      <w:lvlText w:val="•"/>
      <w:lvlJc w:val="left"/>
      <w:pPr>
        <w:ind w:left="2481" w:hanging="360"/>
      </w:pPr>
      <w:rPr>
        <w:rFonts w:hint="default"/>
        <w:lang w:val="en-US" w:eastAsia="en-US" w:bidi="ar-SA"/>
      </w:rPr>
    </w:lvl>
    <w:lvl w:ilvl="3" w:tplc="C16E0D44">
      <w:numFmt w:val="bullet"/>
      <w:lvlText w:val="•"/>
      <w:lvlJc w:val="left"/>
      <w:pPr>
        <w:ind w:left="2752" w:hanging="360"/>
      </w:pPr>
      <w:rPr>
        <w:rFonts w:hint="default"/>
        <w:lang w:val="en-US" w:eastAsia="en-US" w:bidi="ar-SA"/>
      </w:rPr>
    </w:lvl>
    <w:lvl w:ilvl="4" w:tplc="552CEB80">
      <w:numFmt w:val="bullet"/>
      <w:lvlText w:val="•"/>
      <w:lvlJc w:val="left"/>
      <w:pPr>
        <w:ind w:left="3023" w:hanging="360"/>
      </w:pPr>
      <w:rPr>
        <w:rFonts w:hint="default"/>
        <w:lang w:val="en-US" w:eastAsia="en-US" w:bidi="ar-SA"/>
      </w:rPr>
    </w:lvl>
    <w:lvl w:ilvl="5" w:tplc="2B88689C">
      <w:numFmt w:val="bullet"/>
      <w:lvlText w:val="•"/>
      <w:lvlJc w:val="left"/>
      <w:pPr>
        <w:ind w:left="3294" w:hanging="360"/>
      </w:pPr>
      <w:rPr>
        <w:rFonts w:hint="default"/>
        <w:lang w:val="en-US" w:eastAsia="en-US" w:bidi="ar-SA"/>
      </w:rPr>
    </w:lvl>
    <w:lvl w:ilvl="6" w:tplc="94248D8A">
      <w:numFmt w:val="bullet"/>
      <w:lvlText w:val="•"/>
      <w:lvlJc w:val="left"/>
      <w:pPr>
        <w:ind w:left="3564" w:hanging="360"/>
      </w:pPr>
      <w:rPr>
        <w:rFonts w:hint="default"/>
        <w:lang w:val="en-US" w:eastAsia="en-US" w:bidi="ar-SA"/>
      </w:rPr>
    </w:lvl>
    <w:lvl w:ilvl="7" w:tplc="63E2423C">
      <w:numFmt w:val="bullet"/>
      <w:lvlText w:val="•"/>
      <w:lvlJc w:val="left"/>
      <w:pPr>
        <w:ind w:left="3835" w:hanging="360"/>
      </w:pPr>
      <w:rPr>
        <w:rFonts w:hint="default"/>
        <w:lang w:val="en-US" w:eastAsia="en-US" w:bidi="ar-SA"/>
      </w:rPr>
    </w:lvl>
    <w:lvl w:ilvl="8" w:tplc="59F22BEA">
      <w:numFmt w:val="bullet"/>
      <w:lvlText w:val="•"/>
      <w:lvlJc w:val="left"/>
      <w:pPr>
        <w:ind w:left="4106" w:hanging="360"/>
      </w:pPr>
      <w:rPr>
        <w:rFonts w:hint="default"/>
        <w:lang w:val="en-US" w:eastAsia="en-US" w:bidi="ar-SA"/>
      </w:rPr>
    </w:lvl>
  </w:abstractNum>
  <w:abstractNum w:abstractNumId="12" w15:restartNumberingAfterBreak="0">
    <w:nsid w:val="0A5920F0"/>
    <w:multiLevelType w:val="hybridMultilevel"/>
    <w:tmpl w:val="9F5642C2"/>
    <w:lvl w:ilvl="0" w:tplc="6BA4D7F8">
      <w:numFmt w:val="bullet"/>
      <w:lvlText w:val="•"/>
      <w:lvlJc w:val="left"/>
      <w:pPr>
        <w:ind w:left="501" w:hanging="360"/>
      </w:pPr>
      <w:rPr>
        <w:rFonts w:ascii="Trebuchet MS" w:eastAsia="Trebuchet MS" w:hAnsi="Trebuchet MS" w:cs="Trebuchet MS" w:hint="default"/>
        <w:b w:val="0"/>
        <w:bCs w:val="0"/>
        <w:i w:val="0"/>
        <w:iCs w:val="0"/>
        <w:spacing w:val="0"/>
        <w:w w:val="89"/>
        <w:sz w:val="18"/>
        <w:szCs w:val="18"/>
        <w:lang w:val="en-US" w:eastAsia="en-US" w:bidi="ar-SA"/>
      </w:rPr>
    </w:lvl>
    <w:lvl w:ilvl="1" w:tplc="E230FBFE">
      <w:numFmt w:val="bullet"/>
      <w:lvlText w:val="•"/>
      <w:lvlJc w:val="left"/>
      <w:pPr>
        <w:ind w:left="1149" w:hanging="360"/>
      </w:pPr>
      <w:rPr>
        <w:rFonts w:hint="default"/>
        <w:lang w:val="en-US" w:eastAsia="en-US" w:bidi="ar-SA"/>
      </w:rPr>
    </w:lvl>
    <w:lvl w:ilvl="2" w:tplc="E39A2B22">
      <w:numFmt w:val="bullet"/>
      <w:lvlText w:val="•"/>
      <w:lvlJc w:val="left"/>
      <w:pPr>
        <w:ind w:left="1798" w:hanging="360"/>
      </w:pPr>
      <w:rPr>
        <w:rFonts w:hint="default"/>
        <w:lang w:val="en-US" w:eastAsia="en-US" w:bidi="ar-SA"/>
      </w:rPr>
    </w:lvl>
    <w:lvl w:ilvl="3" w:tplc="46581336">
      <w:numFmt w:val="bullet"/>
      <w:lvlText w:val="•"/>
      <w:lvlJc w:val="left"/>
      <w:pPr>
        <w:ind w:left="2447" w:hanging="360"/>
      </w:pPr>
      <w:rPr>
        <w:rFonts w:hint="default"/>
        <w:lang w:val="en-US" w:eastAsia="en-US" w:bidi="ar-SA"/>
      </w:rPr>
    </w:lvl>
    <w:lvl w:ilvl="4" w:tplc="737278BE">
      <w:numFmt w:val="bullet"/>
      <w:lvlText w:val="•"/>
      <w:lvlJc w:val="left"/>
      <w:pPr>
        <w:ind w:left="3097" w:hanging="360"/>
      </w:pPr>
      <w:rPr>
        <w:rFonts w:hint="default"/>
        <w:lang w:val="en-US" w:eastAsia="en-US" w:bidi="ar-SA"/>
      </w:rPr>
    </w:lvl>
    <w:lvl w:ilvl="5" w:tplc="976CB5EA">
      <w:numFmt w:val="bullet"/>
      <w:lvlText w:val="•"/>
      <w:lvlJc w:val="left"/>
      <w:pPr>
        <w:ind w:left="3746" w:hanging="360"/>
      </w:pPr>
      <w:rPr>
        <w:rFonts w:hint="default"/>
        <w:lang w:val="en-US" w:eastAsia="en-US" w:bidi="ar-SA"/>
      </w:rPr>
    </w:lvl>
    <w:lvl w:ilvl="6" w:tplc="899A3CB8">
      <w:numFmt w:val="bullet"/>
      <w:lvlText w:val="•"/>
      <w:lvlJc w:val="left"/>
      <w:pPr>
        <w:ind w:left="4395" w:hanging="360"/>
      </w:pPr>
      <w:rPr>
        <w:rFonts w:hint="default"/>
        <w:lang w:val="en-US" w:eastAsia="en-US" w:bidi="ar-SA"/>
      </w:rPr>
    </w:lvl>
    <w:lvl w:ilvl="7" w:tplc="B8763198">
      <w:numFmt w:val="bullet"/>
      <w:lvlText w:val="•"/>
      <w:lvlJc w:val="left"/>
      <w:pPr>
        <w:ind w:left="5045" w:hanging="360"/>
      </w:pPr>
      <w:rPr>
        <w:rFonts w:hint="default"/>
        <w:lang w:val="en-US" w:eastAsia="en-US" w:bidi="ar-SA"/>
      </w:rPr>
    </w:lvl>
    <w:lvl w:ilvl="8" w:tplc="F976CE84">
      <w:numFmt w:val="bullet"/>
      <w:lvlText w:val="•"/>
      <w:lvlJc w:val="left"/>
      <w:pPr>
        <w:ind w:left="5694" w:hanging="360"/>
      </w:pPr>
      <w:rPr>
        <w:rFonts w:hint="default"/>
        <w:lang w:val="en-US" w:eastAsia="en-US" w:bidi="ar-SA"/>
      </w:rPr>
    </w:lvl>
  </w:abstractNum>
  <w:abstractNum w:abstractNumId="13" w15:restartNumberingAfterBreak="0">
    <w:nsid w:val="0AAE61C6"/>
    <w:multiLevelType w:val="hybridMultilevel"/>
    <w:tmpl w:val="4B602B28"/>
    <w:lvl w:ilvl="0" w:tplc="16FE81C6">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1B16A328">
      <w:numFmt w:val="bullet"/>
      <w:lvlText w:val="•"/>
      <w:lvlJc w:val="left"/>
      <w:pPr>
        <w:ind w:left="1752" w:hanging="360"/>
      </w:pPr>
      <w:rPr>
        <w:rFonts w:hint="default"/>
        <w:lang w:val="en-US" w:eastAsia="en-US" w:bidi="ar-SA"/>
      </w:rPr>
    </w:lvl>
    <w:lvl w:ilvl="2" w:tplc="E770778E">
      <w:numFmt w:val="bullet"/>
      <w:lvlText w:val="•"/>
      <w:lvlJc w:val="left"/>
      <w:pPr>
        <w:ind w:left="2644" w:hanging="360"/>
      </w:pPr>
      <w:rPr>
        <w:rFonts w:hint="default"/>
        <w:lang w:val="en-US" w:eastAsia="en-US" w:bidi="ar-SA"/>
      </w:rPr>
    </w:lvl>
    <w:lvl w:ilvl="3" w:tplc="E4DEB50C">
      <w:numFmt w:val="bullet"/>
      <w:lvlText w:val="•"/>
      <w:lvlJc w:val="left"/>
      <w:pPr>
        <w:ind w:left="3536" w:hanging="360"/>
      </w:pPr>
      <w:rPr>
        <w:rFonts w:hint="default"/>
        <w:lang w:val="en-US" w:eastAsia="en-US" w:bidi="ar-SA"/>
      </w:rPr>
    </w:lvl>
    <w:lvl w:ilvl="4" w:tplc="27D0A38C">
      <w:numFmt w:val="bullet"/>
      <w:lvlText w:val="•"/>
      <w:lvlJc w:val="left"/>
      <w:pPr>
        <w:ind w:left="4428" w:hanging="360"/>
      </w:pPr>
      <w:rPr>
        <w:rFonts w:hint="default"/>
        <w:lang w:val="en-US" w:eastAsia="en-US" w:bidi="ar-SA"/>
      </w:rPr>
    </w:lvl>
    <w:lvl w:ilvl="5" w:tplc="9CC0235C">
      <w:numFmt w:val="bullet"/>
      <w:lvlText w:val="•"/>
      <w:lvlJc w:val="left"/>
      <w:pPr>
        <w:ind w:left="5320" w:hanging="360"/>
      </w:pPr>
      <w:rPr>
        <w:rFonts w:hint="default"/>
        <w:lang w:val="en-US" w:eastAsia="en-US" w:bidi="ar-SA"/>
      </w:rPr>
    </w:lvl>
    <w:lvl w:ilvl="6" w:tplc="05DAFAA8">
      <w:numFmt w:val="bullet"/>
      <w:lvlText w:val="•"/>
      <w:lvlJc w:val="left"/>
      <w:pPr>
        <w:ind w:left="6212" w:hanging="360"/>
      </w:pPr>
      <w:rPr>
        <w:rFonts w:hint="default"/>
        <w:lang w:val="en-US" w:eastAsia="en-US" w:bidi="ar-SA"/>
      </w:rPr>
    </w:lvl>
    <w:lvl w:ilvl="7" w:tplc="B9BC1116">
      <w:numFmt w:val="bullet"/>
      <w:lvlText w:val="•"/>
      <w:lvlJc w:val="left"/>
      <w:pPr>
        <w:ind w:left="7104" w:hanging="360"/>
      </w:pPr>
      <w:rPr>
        <w:rFonts w:hint="default"/>
        <w:lang w:val="en-US" w:eastAsia="en-US" w:bidi="ar-SA"/>
      </w:rPr>
    </w:lvl>
    <w:lvl w:ilvl="8" w:tplc="F3E2CB62">
      <w:numFmt w:val="bullet"/>
      <w:lvlText w:val="•"/>
      <w:lvlJc w:val="left"/>
      <w:pPr>
        <w:ind w:left="7997" w:hanging="360"/>
      </w:pPr>
      <w:rPr>
        <w:rFonts w:hint="default"/>
        <w:lang w:val="en-US" w:eastAsia="en-US" w:bidi="ar-SA"/>
      </w:rPr>
    </w:lvl>
  </w:abstractNum>
  <w:abstractNum w:abstractNumId="14" w15:restartNumberingAfterBreak="0">
    <w:nsid w:val="0BAA3C5B"/>
    <w:multiLevelType w:val="hybridMultilevel"/>
    <w:tmpl w:val="7F3EF040"/>
    <w:lvl w:ilvl="0" w:tplc="5BA6897A">
      <w:numFmt w:val="bullet"/>
      <w:lvlText w:val="•"/>
      <w:lvlJc w:val="left"/>
      <w:pPr>
        <w:ind w:left="590" w:hanging="360"/>
      </w:pPr>
      <w:rPr>
        <w:rFonts w:ascii="Trebuchet MS" w:eastAsia="Trebuchet MS" w:hAnsi="Trebuchet MS" w:cs="Trebuchet MS" w:hint="default"/>
        <w:b w:val="0"/>
        <w:bCs w:val="0"/>
        <w:i w:val="0"/>
        <w:iCs w:val="0"/>
        <w:spacing w:val="0"/>
        <w:w w:val="89"/>
        <w:sz w:val="18"/>
        <w:szCs w:val="18"/>
        <w:lang w:val="en-US" w:eastAsia="en-US" w:bidi="ar-SA"/>
      </w:rPr>
    </w:lvl>
    <w:lvl w:ilvl="1" w:tplc="97B0DFC0">
      <w:numFmt w:val="bullet"/>
      <w:lvlText w:val="•"/>
      <w:lvlJc w:val="left"/>
      <w:pPr>
        <w:ind w:left="1329" w:hanging="360"/>
      </w:pPr>
      <w:rPr>
        <w:rFonts w:hint="default"/>
        <w:lang w:val="en-US" w:eastAsia="en-US" w:bidi="ar-SA"/>
      </w:rPr>
    </w:lvl>
    <w:lvl w:ilvl="2" w:tplc="57FAA9FA">
      <w:numFmt w:val="bullet"/>
      <w:lvlText w:val="•"/>
      <w:lvlJc w:val="left"/>
      <w:pPr>
        <w:ind w:left="2058" w:hanging="360"/>
      </w:pPr>
      <w:rPr>
        <w:rFonts w:hint="default"/>
        <w:lang w:val="en-US" w:eastAsia="en-US" w:bidi="ar-SA"/>
      </w:rPr>
    </w:lvl>
    <w:lvl w:ilvl="3" w:tplc="8EC491E2">
      <w:numFmt w:val="bullet"/>
      <w:lvlText w:val="•"/>
      <w:lvlJc w:val="left"/>
      <w:pPr>
        <w:ind w:left="2788" w:hanging="360"/>
      </w:pPr>
      <w:rPr>
        <w:rFonts w:hint="default"/>
        <w:lang w:val="en-US" w:eastAsia="en-US" w:bidi="ar-SA"/>
      </w:rPr>
    </w:lvl>
    <w:lvl w:ilvl="4" w:tplc="0FD8430C">
      <w:numFmt w:val="bullet"/>
      <w:lvlText w:val="•"/>
      <w:lvlJc w:val="left"/>
      <w:pPr>
        <w:ind w:left="3517" w:hanging="360"/>
      </w:pPr>
      <w:rPr>
        <w:rFonts w:hint="default"/>
        <w:lang w:val="en-US" w:eastAsia="en-US" w:bidi="ar-SA"/>
      </w:rPr>
    </w:lvl>
    <w:lvl w:ilvl="5" w:tplc="6F0478E6">
      <w:numFmt w:val="bullet"/>
      <w:lvlText w:val="•"/>
      <w:lvlJc w:val="left"/>
      <w:pPr>
        <w:ind w:left="4247" w:hanging="360"/>
      </w:pPr>
      <w:rPr>
        <w:rFonts w:hint="default"/>
        <w:lang w:val="en-US" w:eastAsia="en-US" w:bidi="ar-SA"/>
      </w:rPr>
    </w:lvl>
    <w:lvl w:ilvl="6" w:tplc="A76A33E0">
      <w:numFmt w:val="bullet"/>
      <w:lvlText w:val="•"/>
      <w:lvlJc w:val="left"/>
      <w:pPr>
        <w:ind w:left="4976" w:hanging="360"/>
      </w:pPr>
      <w:rPr>
        <w:rFonts w:hint="default"/>
        <w:lang w:val="en-US" w:eastAsia="en-US" w:bidi="ar-SA"/>
      </w:rPr>
    </w:lvl>
    <w:lvl w:ilvl="7" w:tplc="A18E2FB8">
      <w:numFmt w:val="bullet"/>
      <w:lvlText w:val="•"/>
      <w:lvlJc w:val="left"/>
      <w:pPr>
        <w:ind w:left="5705" w:hanging="360"/>
      </w:pPr>
      <w:rPr>
        <w:rFonts w:hint="default"/>
        <w:lang w:val="en-US" w:eastAsia="en-US" w:bidi="ar-SA"/>
      </w:rPr>
    </w:lvl>
    <w:lvl w:ilvl="8" w:tplc="F3C68A80">
      <w:numFmt w:val="bullet"/>
      <w:lvlText w:val="•"/>
      <w:lvlJc w:val="left"/>
      <w:pPr>
        <w:ind w:left="6435" w:hanging="360"/>
      </w:pPr>
      <w:rPr>
        <w:rFonts w:hint="default"/>
        <w:lang w:val="en-US" w:eastAsia="en-US" w:bidi="ar-SA"/>
      </w:rPr>
    </w:lvl>
  </w:abstractNum>
  <w:abstractNum w:abstractNumId="15" w15:restartNumberingAfterBreak="0">
    <w:nsid w:val="0E52092A"/>
    <w:multiLevelType w:val="hybridMultilevel"/>
    <w:tmpl w:val="6090F08C"/>
    <w:lvl w:ilvl="0" w:tplc="BE680B7A">
      <w:numFmt w:val="bullet"/>
      <w:lvlText w:val="•"/>
      <w:lvlJc w:val="left"/>
      <w:pPr>
        <w:ind w:left="466" w:hanging="360"/>
      </w:pPr>
      <w:rPr>
        <w:rFonts w:ascii="Trebuchet MS" w:eastAsia="Trebuchet MS" w:hAnsi="Trebuchet MS" w:cs="Trebuchet MS" w:hint="default"/>
        <w:b w:val="0"/>
        <w:bCs w:val="0"/>
        <w:i w:val="0"/>
        <w:iCs w:val="0"/>
        <w:spacing w:val="0"/>
        <w:w w:val="89"/>
        <w:sz w:val="18"/>
        <w:szCs w:val="18"/>
        <w:lang w:val="en-US" w:eastAsia="en-US" w:bidi="ar-SA"/>
      </w:rPr>
    </w:lvl>
    <w:lvl w:ilvl="1" w:tplc="BBC62AFE">
      <w:numFmt w:val="bullet"/>
      <w:lvlText w:val="•"/>
      <w:lvlJc w:val="left"/>
      <w:pPr>
        <w:ind w:left="1073" w:hanging="360"/>
      </w:pPr>
      <w:rPr>
        <w:rFonts w:hint="default"/>
        <w:lang w:val="en-US" w:eastAsia="en-US" w:bidi="ar-SA"/>
      </w:rPr>
    </w:lvl>
    <w:lvl w:ilvl="2" w:tplc="D892134C">
      <w:numFmt w:val="bullet"/>
      <w:lvlText w:val="•"/>
      <w:lvlJc w:val="left"/>
      <w:pPr>
        <w:ind w:left="1687" w:hanging="360"/>
      </w:pPr>
      <w:rPr>
        <w:rFonts w:hint="default"/>
        <w:lang w:val="en-US" w:eastAsia="en-US" w:bidi="ar-SA"/>
      </w:rPr>
    </w:lvl>
    <w:lvl w:ilvl="3" w:tplc="B456CB34">
      <w:numFmt w:val="bullet"/>
      <w:lvlText w:val="•"/>
      <w:lvlJc w:val="left"/>
      <w:pPr>
        <w:ind w:left="2301" w:hanging="360"/>
      </w:pPr>
      <w:rPr>
        <w:rFonts w:hint="default"/>
        <w:lang w:val="en-US" w:eastAsia="en-US" w:bidi="ar-SA"/>
      </w:rPr>
    </w:lvl>
    <w:lvl w:ilvl="4" w:tplc="31DC1A40">
      <w:numFmt w:val="bullet"/>
      <w:lvlText w:val="•"/>
      <w:lvlJc w:val="left"/>
      <w:pPr>
        <w:ind w:left="2915" w:hanging="360"/>
      </w:pPr>
      <w:rPr>
        <w:rFonts w:hint="default"/>
        <w:lang w:val="en-US" w:eastAsia="en-US" w:bidi="ar-SA"/>
      </w:rPr>
    </w:lvl>
    <w:lvl w:ilvl="5" w:tplc="54BACFA6">
      <w:numFmt w:val="bullet"/>
      <w:lvlText w:val="•"/>
      <w:lvlJc w:val="left"/>
      <w:pPr>
        <w:ind w:left="3529" w:hanging="360"/>
      </w:pPr>
      <w:rPr>
        <w:rFonts w:hint="default"/>
        <w:lang w:val="en-US" w:eastAsia="en-US" w:bidi="ar-SA"/>
      </w:rPr>
    </w:lvl>
    <w:lvl w:ilvl="6" w:tplc="C242E9CE">
      <w:numFmt w:val="bullet"/>
      <w:lvlText w:val="•"/>
      <w:lvlJc w:val="left"/>
      <w:pPr>
        <w:ind w:left="4142" w:hanging="360"/>
      </w:pPr>
      <w:rPr>
        <w:rFonts w:hint="default"/>
        <w:lang w:val="en-US" w:eastAsia="en-US" w:bidi="ar-SA"/>
      </w:rPr>
    </w:lvl>
    <w:lvl w:ilvl="7" w:tplc="2DFEC812">
      <w:numFmt w:val="bullet"/>
      <w:lvlText w:val="•"/>
      <w:lvlJc w:val="left"/>
      <w:pPr>
        <w:ind w:left="4756" w:hanging="360"/>
      </w:pPr>
      <w:rPr>
        <w:rFonts w:hint="default"/>
        <w:lang w:val="en-US" w:eastAsia="en-US" w:bidi="ar-SA"/>
      </w:rPr>
    </w:lvl>
    <w:lvl w:ilvl="8" w:tplc="E034DCC2">
      <w:numFmt w:val="bullet"/>
      <w:lvlText w:val="•"/>
      <w:lvlJc w:val="left"/>
      <w:pPr>
        <w:ind w:left="5370" w:hanging="360"/>
      </w:pPr>
      <w:rPr>
        <w:rFonts w:hint="default"/>
        <w:lang w:val="en-US" w:eastAsia="en-US" w:bidi="ar-SA"/>
      </w:rPr>
    </w:lvl>
  </w:abstractNum>
  <w:abstractNum w:abstractNumId="16" w15:restartNumberingAfterBreak="0">
    <w:nsid w:val="0F3C21F3"/>
    <w:multiLevelType w:val="hybridMultilevel"/>
    <w:tmpl w:val="5700F3EC"/>
    <w:lvl w:ilvl="0" w:tplc="418C0112">
      <w:numFmt w:val="bullet"/>
      <w:lvlText w:val="•"/>
      <w:lvlJc w:val="left"/>
      <w:pPr>
        <w:ind w:left="531" w:hanging="360"/>
      </w:pPr>
      <w:rPr>
        <w:rFonts w:ascii="Trebuchet MS" w:eastAsia="Trebuchet MS" w:hAnsi="Trebuchet MS" w:cs="Trebuchet MS" w:hint="default"/>
        <w:b w:val="0"/>
        <w:bCs w:val="0"/>
        <w:i w:val="0"/>
        <w:iCs w:val="0"/>
        <w:spacing w:val="0"/>
        <w:w w:val="89"/>
        <w:sz w:val="18"/>
        <w:szCs w:val="18"/>
        <w:lang w:val="en-US" w:eastAsia="en-US" w:bidi="ar-SA"/>
      </w:rPr>
    </w:lvl>
    <w:lvl w:ilvl="1" w:tplc="49B4F2A2">
      <w:numFmt w:val="bullet"/>
      <w:lvlText w:val="•"/>
      <w:lvlJc w:val="left"/>
      <w:pPr>
        <w:ind w:left="1215" w:hanging="360"/>
      </w:pPr>
      <w:rPr>
        <w:rFonts w:hint="default"/>
        <w:lang w:val="en-US" w:eastAsia="en-US" w:bidi="ar-SA"/>
      </w:rPr>
    </w:lvl>
    <w:lvl w:ilvl="2" w:tplc="B9380840">
      <w:numFmt w:val="bullet"/>
      <w:lvlText w:val="•"/>
      <w:lvlJc w:val="left"/>
      <w:pPr>
        <w:ind w:left="1891" w:hanging="360"/>
      </w:pPr>
      <w:rPr>
        <w:rFonts w:hint="default"/>
        <w:lang w:val="en-US" w:eastAsia="en-US" w:bidi="ar-SA"/>
      </w:rPr>
    </w:lvl>
    <w:lvl w:ilvl="3" w:tplc="B8901B84">
      <w:numFmt w:val="bullet"/>
      <w:lvlText w:val="•"/>
      <w:lvlJc w:val="left"/>
      <w:pPr>
        <w:ind w:left="2566" w:hanging="360"/>
      </w:pPr>
      <w:rPr>
        <w:rFonts w:hint="default"/>
        <w:lang w:val="en-US" w:eastAsia="en-US" w:bidi="ar-SA"/>
      </w:rPr>
    </w:lvl>
    <w:lvl w:ilvl="4" w:tplc="10866306">
      <w:numFmt w:val="bullet"/>
      <w:lvlText w:val="•"/>
      <w:lvlJc w:val="left"/>
      <w:pPr>
        <w:ind w:left="3242" w:hanging="360"/>
      </w:pPr>
      <w:rPr>
        <w:rFonts w:hint="default"/>
        <w:lang w:val="en-US" w:eastAsia="en-US" w:bidi="ar-SA"/>
      </w:rPr>
    </w:lvl>
    <w:lvl w:ilvl="5" w:tplc="3348C98E">
      <w:numFmt w:val="bullet"/>
      <w:lvlText w:val="•"/>
      <w:lvlJc w:val="left"/>
      <w:pPr>
        <w:ind w:left="3917" w:hanging="360"/>
      </w:pPr>
      <w:rPr>
        <w:rFonts w:hint="default"/>
        <w:lang w:val="en-US" w:eastAsia="en-US" w:bidi="ar-SA"/>
      </w:rPr>
    </w:lvl>
    <w:lvl w:ilvl="6" w:tplc="E7EAA834">
      <w:numFmt w:val="bullet"/>
      <w:lvlText w:val="•"/>
      <w:lvlJc w:val="left"/>
      <w:pPr>
        <w:ind w:left="4593" w:hanging="360"/>
      </w:pPr>
      <w:rPr>
        <w:rFonts w:hint="default"/>
        <w:lang w:val="en-US" w:eastAsia="en-US" w:bidi="ar-SA"/>
      </w:rPr>
    </w:lvl>
    <w:lvl w:ilvl="7" w:tplc="4AF62DC6">
      <w:numFmt w:val="bullet"/>
      <w:lvlText w:val="•"/>
      <w:lvlJc w:val="left"/>
      <w:pPr>
        <w:ind w:left="5268" w:hanging="360"/>
      </w:pPr>
      <w:rPr>
        <w:rFonts w:hint="default"/>
        <w:lang w:val="en-US" w:eastAsia="en-US" w:bidi="ar-SA"/>
      </w:rPr>
    </w:lvl>
    <w:lvl w:ilvl="8" w:tplc="516ABE12">
      <w:numFmt w:val="bullet"/>
      <w:lvlText w:val="•"/>
      <w:lvlJc w:val="left"/>
      <w:pPr>
        <w:ind w:left="5944" w:hanging="360"/>
      </w:pPr>
      <w:rPr>
        <w:rFonts w:hint="default"/>
        <w:lang w:val="en-US" w:eastAsia="en-US" w:bidi="ar-SA"/>
      </w:rPr>
    </w:lvl>
  </w:abstractNum>
  <w:abstractNum w:abstractNumId="17" w15:restartNumberingAfterBreak="0">
    <w:nsid w:val="102A3F8B"/>
    <w:multiLevelType w:val="hybridMultilevel"/>
    <w:tmpl w:val="EB6E697C"/>
    <w:lvl w:ilvl="0" w:tplc="3BEEAD0C">
      <w:numFmt w:val="bullet"/>
      <w:lvlText w:val="•"/>
      <w:lvlJc w:val="left"/>
      <w:pPr>
        <w:ind w:left="493" w:hanging="360"/>
      </w:pPr>
      <w:rPr>
        <w:rFonts w:ascii="Trebuchet MS" w:eastAsia="Trebuchet MS" w:hAnsi="Trebuchet MS" w:cs="Trebuchet MS" w:hint="default"/>
        <w:b w:val="0"/>
        <w:bCs w:val="0"/>
        <w:i w:val="0"/>
        <w:iCs w:val="0"/>
        <w:spacing w:val="0"/>
        <w:w w:val="89"/>
        <w:sz w:val="18"/>
        <w:szCs w:val="18"/>
        <w:lang w:val="en-US" w:eastAsia="en-US" w:bidi="ar-SA"/>
      </w:rPr>
    </w:lvl>
    <w:lvl w:ilvl="1" w:tplc="436E3A16">
      <w:numFmt w:val="bullet"/>
      <w:lvlText w:val="•"/>
      <w:lvlJc w:val="left"/>
      <w:pPr>
        <w:ind w:left="1085" w:hanging="360"/>
      </w:pPr>
      <w:rPr>
        <w:rFonts w:hint="default"/>
        <w:lang w:val="en-US" w:eastAsia="en-US" w:bidi="ar-SA"/>
      </w:rPr>
    </w:lvl>
    <w:lvl w:ilvl="2" w:tplc="CAE419F6">
      <w:numFmt w:val="bullet"/>
      <w:lvlText w:val="•"/>
      <w:lvlJc w:val="left"/>
      <w:pPr>
        <w:ind w:left="1671" w:hanging="360"/>
      </w:pPr>
      <w:rPr>
        <w:rFonts w:hint="default"/>
        <w:lang w:val="en-US" w:eastAsia="en-US" w:bidi="ar-SA"/>
      </w:rPr>
    </w:lvl>
    <w:lvl w:ilvl="3" w:tplc="770227F0">
      <w:numFmt w:val="bullet"/>
      <w:lvlText w:val="•"/>
      <w:lvlJc w:val="left"/>
      <w:pPr>
        <w:ind w:left="2256" w:hanging="360"/>
      </w:pPr>
      <w:rPr>
        <w:rFonts w:hint="default"/>
        <w:lang w:val="en-US" w:eastAsia="en-US" w:bidi="ar-SA"/>
      </w:rPr>
    </w:lvl>
    <w:lvl w:ilvl="4" w:tplc="A872B0D2">
      <w:numFmt w:val="bullet"/>
      <w:lvlText w:val="•"/>
      <w:lvlJc w:val="left"/>
      <w:pPr>
        <w:ind w:left="2842" w:hanging="360"/>
      </w:pPr>
      <w:rPr>
        <w:rFonts w:hint="default"/>
        <w:lang w:val="en-US" w:eastAsia="en-US" w:bidi="ar-SA"/>
      </w:rPr>
    </w:lvl>
    <w:lvl w:ilvl="5" w:tplc="DBE8EC7C">
      <w:numFmt w:val="bullet"/>
      <w:lvlText w:val="•"/>
      <w:lvlJc w:val="left"/>
      <w:pPr>
        <w:ind w:left="3428" w:hanging="360"/>
      </w:pPr>
      <w:rPr>
        <w:rFonts w:hint="default"/>
        <w:lang w:val="en-US" w:eastAsia="en-US" w:bidi="ar-SA"/>
      </w:rPr>
    </w:lvl>
    <w:lvl w:ilvl="6" w:tplc="05726142">
      <w:numFmt w:val="bullet"/>
      <w:lvlText w:val="•"/>
      <w:lvlJc w:val="left"/>
      <w:pPr>
        <w:ind w:left="4013" w:hanging="360"/>
      </w:pPr>
      <w:rPr>
        <w:rFonts w:hint="default"/>
        <w:lang w:val="en-US" w:eastAsia="en-US" w:bidi="ar-SA"/>
      </w:rPr>
    </w:lvl>
    <w:lvl w:ilvl="7" w:tplc="AD7C21AC">
      <w:numFmt w:val="bullet"/>
      <w:lvlText w:val="•"/>
      <w:lvlJc w:val="left"/>
      <w:pPr>
        <w:ind w:left="4599" w:hanging="360"/>
      </w:pPr>
      <w:rPr>
        <w:rFonts w:hint="default"/>
        <w:lang w:val="en-US" w:eastAsia="en-US" w:bidi="ar-SA"/>
      </w:rPr>
    </w:lvl>
    <w:lvl w:ilvl="8" w:tplc="45FAF3D2">
      <w:numFmt w:val="bullet"/>
      <w:lvlText w:val="•"/>
      <w:lvlJc w:val="left"/>
      <w:pPr>
        <w:ind w:left="5184" w:hanging="360"/>
      </w:pPr>
      <w:rPr>
        <w:rFonts w:hint="default"/>
        <w:lang w:val="en-US" w:eastAsia="en-US" w:bidi="ar-SA"/>
      </w:rPr>
    </w:lvl>
  </w:abstractNum>
  <w:abstractNum w:abstractNumId="18" w15:restartNumberingAfterBreak="0">
    <w:nsid w:val="11407C4F"/>
    <w:multiLevelType w:val="hybridMultilevel"/>
    <w:tmpl w:val="8B560C42"/>
    <w:lvl w:ilvl="0" w:tplc="85DEFEC4">
      <w:numFmt w:val="bullet"/>
      <w:lvlText w:val="•"/>
      <w:lvlJc w:val="left"/>
      <w:pPr>
        <w:ind w:left="539" w:hanging="360"/>
      </w:pPr>
      <w:rPr>
        <w:rFonts w:ascii="Trebuchet MS" w:eastAsia="Trebuchet MS" w:hAnsi="Trebuchet MS" w:cs="Trebuchet MS" w:hint="default"/>
        <w:b w:val="0"/>
        <w:bCs w:val="0"/>
        <w:i w:val="0"/>
        <w:iCs w:val="0"/>
        <w:spacing w:val="0"/>
        <w:w w:val="89"/>
        <w:sz w:val="18"/>
        <w:szCs w:val="18"/>
        <w:lang w:val="en-US" w:eastAsia="en-US" w:bidi="ar-SA"/>
      </w:rPr>
    </w:lvl>
    <w:lvl w:ilvl="1" w:tplc="6982F61E">
      <w:numFmt w:val="bullet"/>
      <w:lvlText w:val="•"/>
      <w:lvlJc w:val="left"/>
      <w:pPr>
        <w:ind w:left="1252" w:hanging="360"/>
      </w:pPr>
      <w:rPr>
        <w:rFonts w:hint="default"/>
        <w:lang w:val="en-US" w:eastAsia="en-US" w:bidi="ar-SA"/>
      </w:rPr>
    </w:lvl>
    <w:lvl w:ilvl="2" w:tplc="95DEEFAA">
      <w:numFmt w:val="bullet"/>
      <w:lvlText w:val="•"/>
      <w:lvlJc w:val="left"/>
      <w:pPr>
        <w:ind w:left="1965" w:hanging="360"/>
      </w:pPr>
      <w:rPr>
        <w:rFonts w:hint="default"/>
        <w:lang w:val="en-US" w:eastAsia="en-US" w:bidi="ar-SA"/>
      </w:rPr>
    </w:lvl>
    <w:lvl w:ilvl="3" w:tplc="05840934">
      <w:numFmt w:val="bullet"/>
      <w:lvlText w:val="•"/>
      <w:lvlJc w:val="left"/>
      <w:pPr>
        <w:ind w:left="2678" w:hanging="360"/>
      </w:pPr>
      <w:rPr>
        <w:rFonts w:hint="default"/>
        <w:lang w:val="en-US" w:eastAsia="en-US" w:bidi="ar-SA"/>
      </w:rPr>
    </w:lvl>
    <w:lvl w:ilvl="4" w:tplc="63809E06">
      <w:numFmt w:val="bullet"/>
      <w:lvlText w:val="•"/>
      <w:lvlJc w:val="left"/>
      <w:pPr>
        <w:ind w:left="3391" w:hanging="360"/>
      </w:pPr>
      <w:rPr>
        <w:rFonts w:hint="default"/>
        <w:lang w:val="en-US" w:eastAsia="en-US" w:bidi="ar-SA"/>
      </w:rPr>
    </w:lvl>
    <w:lvl w:ilvl="5" w:tplc="E21AAD46">
      <w:numFmt w:val="bullet"/>
      <w:lvlText w:val="•"/>
      <w:lvlJc w:val="left"/>
      <w:pPr>
        <w:ind w:left="4104" w:hanging="360"/>
      </w:pPr>
      <w:rPr>
        <w:rFonts w:hint="default"/>
        <w:lang w:val="en-US" w:eastAsia="en-US" w:bidi="ar-SA"/>
      </w:rPr>
    </w:lvl>
    <w:lvl w:ilvl="6" w:tplc="0178B370">
      <w:numFmt w:val="bullet"/>
      <w:lvlText w:val="•"/>
      <w:lvlJc w:val="left"/>
      <w:pPr>
        <w:ind w:left="4817" w:hanging="360"/>
      </w:pPr>
      <w:rPr>
        <w:rFonts w:hint="default"/>
        <w:lang w:val="en-US" w:eastAsia="en-US" w:bidi="ar-SA"/>
      </w:rPr>
    </w:lvl>
    <w:lvl w:ilvl="7" w:tplc="7FA41DD6">
      <w:numFmt w:val="bullet"/>
      <w:lvlText w:val="•"/>
      <w:lvlJc w:val="left"/>
      <w:pPr>
        <w:ind w:left="5530" w:hanging="360"/>
      </w:pPr>
      <w:rPr>
        <w:rFonts w:hint="default"/>
        <w:lang w:val="en-US" w:eastAsia="en-US" w:bidi="ar-SA"/>
      </w:rPr>
    </w:lvl>
    <w:lvl w:ilvl="8" w:tplc="F3942710">
      <w:numFmt w:val="bullet"/>
      <w:lvlText w:val="•"/>
      <w:lvlJc w:val="left"/>
      <w:pPr>
        <w:ind w:left="6243" w:hanging="360"/>
      </w:pPr>
      <w:rPr>
        <w:rFonts w:hint="default"/>
        <w:lang w:val="en-US" w:eastAsia="en-US" w:bidi="ar-SA"/>
      </w:rPr>
    </w:lvl>
  </w:abstractNum>
  <w:abstractNum w:abstractNumId="19" w15:restartNumberingAfterBreak="0">
    <w:nsid w:val="115653AC"/>
    <w:multiLevelType w:val="hybridMultilevel"/>
    <w:tmpl w:val="7D48A7C6"/>
    <w:lvl w:ilvl="0" w:tplc="F250B072">
      <w:numFmt w:val="bullet"/>
      <w:lvlText w:val="•"/>
      <w:lvlJc w:val="left"/>
      <w:pPr>
        <w:ind w:left="453" w:hanging="360"/>
      </w:pPr>
      <w:rPr>
        <w:rFonts w:ascii="Trebuchet MS" w:eastAsia="Trebuchet MS" w:hAnsi="Trebuchet MS" w:cs="Trebuchet MS" w:hint="default"/>
        <w:b w:val="0"/>
        <w:bCs w:val="0"/>
        <w:i w:val="0"/>
        <w:iCs w:val="0"/>
        <w:spacing w:val="0"/>
        <w:w w:val="89"/>
        <w:sz w:val="18"/>
        <w:szCs w:val="18"/>
        <w:lang w:val="en-US" w:eastAsia="en-US" w:bidi="ar-SA"/>
      </w:rPr>
    </w:lvl>
    <w:lvl w:ilvl="1" w:tplc="918ADB34">
      <w:numFmt w:val="bullet"/>
      <w:lvlText w:val="•"/>
      <w:lvlJc w:val="left"/>
      <w:pPr>
        <w:ind w:left="1189" w:hanging="360"/>
      </w:pPr>
      <w:rPr>
        <w:rFonts w:hint="default"/>
        <w:lang w:val="en-US" w:eastAsia="en-US" w:bidi="ar-SA"/>
      </w:rPr>
    </w:lvl>
    <w:lvl w:ilvl="2" w:tplc="F0FCA308">
      <w:numFmt w:val="bullet"/>
      <w:lvlText w:val="•"/>
      <w:lvlJc w:val="left"/>
      <w:pPr>
        <w:ind w:left="1919" w:hanging="360"/>
      </w:pPr>
      <w:rPr>
        <w:rFonts w:hint="default"/>
        <w:lang w:val="en-US" w:eastAsia="en-US" w:bidi="ar-SA"/>
      </w:rPr>
    </w:lvl>
    <w:lvl w:ilvl="3" w:tplc="D1ECDCF8">
      <w:numFmt w:val="bullet"/>
      <w:lvlText w:val="•"/>
      <w:lvlJc w:val="left"/>
      <w:pPr>
        <w:ind w:left="2648" w:hanging="360"/>
      </w:pPr>
      <w:rPr>
        <w:rFonts w:hint="default"/>
        <w:lang w:val="en-US" w:eastAsia="en-US" w:bidi="ar-SA"/>
      </w:rPr>
    </w:lvl>
    <w:lvl w:ilvl="4" w:tplc="A4E2216A">
      <w:numFmt w:val="bullet"/>
      <w:lvlText w:val="•"/>
      <w:lvlJc w:val="left"/>
      <w:pPr>
        <w:ind w:left="3378" w:hanging="360"/>
      </w:pPr>
      <w:rPr>
        <w:rFonts w:hint="default"/>
        <w:lang w:val="en-US" w:eastAsia="en-US" w:bidi="ar-SA"/>
      </w:rPr>
    </w:lvl>
    <w:lvl w:ilvl="5" w:tplc="202A5F58">
      <w:numFmt w:val="bullet"/>
      <w:lvlText w:val="•"/>
      <w:lvlJc w:val="left"/>
      <w:pPr>
        <w:ind w:left="4107" w:hanging="360"/>
      </w:pPr>
      <w:rPr>
        <w:rFonts w:hint="default"/>
        <w:lang w:val="en-US" w:eastAsia="en-US" w:bidi="ar-SA"/>
      </w:rPr>
    </w:lvl>
    <w:lvl w:ilvl="6" w:tplc="4ACA79B2">
      <w:numFmt w:val="bullet"/>
      <w:lvlText w:val="•"/>
      <w:lvlJc w:val="left"/>
      <w:pPr>
        <w:ind w:left="4837" w:hanging="360"/>
      </w:pPr>
      <w:rPr>
        <w:rFonts w:hint="default"/>
        <w:lang w:val="en-US" w:eastAsia="en-US" w:bidi="ar-SA"/>
      </w:rPr>
    </w:lvl>
    <w:lvl w:ilvl="7" w:tplc="19449460">
      <w:numFmt w:val="bullet"/>
      <w:lvlText w:val="•"/>
      <w:lvlJc w:val="left"/>
      <w:pPr>
        <w:ind w:left="5566" w:hanging="360"/>
      </w:pPr>
      <w:rPr>
        <w:rFonts w:hint="default"/>
        <w:lang w:val="en-US" w:eastAsia="en-US" w:bidi="ar-SA"/>
      </w:rPr>
    </w:lvl>
    <w:lvl w:ilvl="8" w:tplc="91F00D66">
      <w:numFmt w:val="bullet"/>
      <w:lvlText w:val="•"/>
      <w:lvlJc w:val="left"/>
      <w:pPr>
        <w:ind w:left="6296" w:hanging="360"/>
      </w:pPr>
      <w:rPr>
        <w:rFonts w:hint="default"/>
        <w:lang w:val="en-US" w:eastAsia="en-US" w:bidi="ar-SA"/>
      </w:rPr>
    </w:lvl>
  </w:abstractNum>
  <w:abstractNum w:abstractNumId="20" w15:restartNumberingAfterBreak="0">
    <w:nsid w:val="120E465C"/>
    <w:multiLevelType w:val="hybridMultilevel"/>
    <w:tmpl w:val="1772E52E"/>
    <w:lvl w:ilvl="0" w:tplc="C9AEB3CC">
      <w:numFmt w:val="bullet"/>
      <w:lvlText w:val="•"/>
      <w:lvlJc w:val="left"/>
      <w:pPr>
        <w:ind w:left="464" w:hanging="360"/>
      </w:pPr>
      <w:rPr>
        <w:rFonts w:ascii="Trebuchet MS" w:eastAsia="Trebuchet MS" w:hAnsi="Trebuchet MS" w:cs="Trebuchet MS" w:hint="default"/>
        <w:b w:val="0"/>
        <w:bCs w:val="0"/>
        <w:i w:val="0"/>
        <w:iCs w:val="0"/>
        <w:spacing w:val="0"/>
        <w:w w:val="89"/>
        <w:sz w:val="18"/>
        <w:szCs w:val="18"/>
        <w:lang w:val="en-US" w:eastAsia="en-US" w:bidi="ar-SA"/>
      </w:rPr>
    </w:lvl>
    <w:lvl w:ilvl="1" w:tplc="2AD6A66A">
      <w:numFmt w:val="bullet"/>
      <w:lvlText w:val="•"/>
      <w:lvlJc w:val="left"/>
      <w:pPr>
        <w:ind w:left="1064" w:hanging="360"/>
      </w:pPr>
      <w:rPr>
        <w:rFonts w:hint="default"/>
        <w:lang w:val="en-US" w:eastAsia="en-US" w:bidi="ar-SA"/>
      </w:rPr>
    </w:lvl>
    <w:lvl w:ilvl="2" w:tplc="E30A8108">
      <w:numFmt w:val="bullet"/>
      <w:lvlText w:val="•"/>
      <w:lvlJc w:val="left"/>
      <w:pPr>
        <w:ind w:left="1669" w:hanging="360"/>
      </w:pPr>
      <w:rPr>
        <w:rFonts w:hint="default"/>
        <w:lang w:val="en-US" w:eastAsia="en-US" w:bidi="ar-SA"/>
      </w:rPr>
    </w:lvl>
    <w:lvl w:ilvl="3" w:tplc="78F4A9BC">
      <w:numFmt w:val="bullet"/>
      <w:lvlText w:val="•"/>
      <w:lvlJc w:val="left"/>
      <w:pPr>
        <w:ind w:left="2274" w:hanging="360"/>
      </w:pPr>
      <w:rPr>
        <w:rFonts w:hint="default"/>
        <w:lang w:val="en-US" w:eastAsia="en-US" w:bidi="ar-SA"/>
      </w:rPr>
    </w:lvl>
    <w:lvl w:ilvl="4" w:tplc="24402042">
      <w:numFmt w:val="bullet"/>
      <w:lvlText w:val="•"/>
      <w:lvlJc w:val="left"/>
      <w:pPr>
        <w:ind w:left="2879" w:hanging="360"/>
      </w:pPr>
      <w:rPr>
        <w:rFonts w:hint="default"/>
        <w:lang w:val="en-US" w:eastAsia="en-US" w:bidi="ar-SA"/>
      </w:rPr>
    </w:lvl>
    <w:lvl w:ilvl="5" w:tplc="064A7F84">
      <w:numFmt w:val="bullet"/>
      <w:lvlText w:val="•"/>
      <w:lvlJc w:val="left"/>
      <w:pPr>
        <w:ind w:left="3484" w:hanging="360"/>
      </w:pPr>
      <w:rPr>
        <w:rFonts w:hint="default"/>
        <w:lang w:val="en-US" w:eastAsia="en-US" w:bidi="ar-SA"/>
      </w:rPr>
    </w:lvl>
    <w:lvl w:ilvl="6" w:tplc="8E7EE378">
      <w:numFmt w:val="bullet"/>
      <w:lvlText w:val="•"/>
      <w:lvlJc w:val="left"/>
      <w:pPr>
        <w:ind w:left="4088" w:hanging="360"/>
      </w:pPr>
      <w:rPr>
        <w:rFonts w:hint="default"/>
        <w:lang w:val="en-US" w:eastAsia="en-US" w:bidi="ar-SA"/>
      </w:rPr>
    </w:lvl>
    <w:lvl w:ilvl="7" w:tplc="1C206288">
      <w:numFmt w:val="bullet"/>
      <w:lvlText w:val="•"/>
      <w:lvlJc w:val="left"/>
      <w:pPr>
        <w:ind w:left="4693" w:hanging="360"/>
      </w:pPr>
      <w:rPr>
        <w:rFonts w:hint="default"/>
        <w:lang w:val="en-US" w:eastAsia="en-US" w:bidi="ar-SA"/>
      </w:rPr>
    </w:lvl>
    <w:lvl w:ilvl="8" w:tplc="558A28F6">
      <w:numFmt w:val="bullet"/>
      <w:lvlText w:val="•"/>
      <w:lvlJc w:val="left"/>
      <w:pPr>
        <w:ind w:left="5298" w:hanging="360"/>
      </w:pPr>
      <w:rPr>
        <w:rFonts w:hint="default"/>
        <w:lang w:val="en-US" w:eastAsia="en-US" w:bidi="ar-SA"/>
      </w:rPr>
    </w:lvl>
  </w:abstractNum>
  <w:abstractNum w:abstractNumId="21" w15:restartNumberingAfterBreak="0">
    <w:nsid w:val="1242203F"/>
    <w:multiLevelType w:val="hybridMultilevel"/>
    <w:tmpl w:val="7DE41BBE"/>
    <w:lvl w:ilvl="0" w:tplc="BDBC530C">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4BC41684">
      <w:numFmt w:val="bullet"/>
      <w:lvlText w:val="•"/>
      <w:lvlJc w:val="left"/>
      <w:pPr>
        <w:ind w:left="1752" w:hanging="360"/>
      </w:pPr>
      <w:rPr>
        <w:rFonts w:hint="default"/>
        <w:lang w:val="en-US" w:eastAsia="en-US" w:bidi="ar-SA"/>
      </w:rPr>
    </w:lvl>
    <w:lvl w:ilvl="2" w:tplc="248ECC7A">
      <w:numFmt w:val="bullet"/>
      <w:lvlText w:val="•"/>
      <w:lvlJc w:val="left"/>
      <w:pPr>
        <w:ind w:left="2644" w:hanging="360"/>
      </w:pPr>
      <w:rPr>
        <w:rFonts w:hint="default"/>
        <w:lang w:val="en-US" w:eastAsia="en-US" w:bidi="ar-SA"/>
      </w:rPr>
    </w:lvl>
    <w:lvl w:ilvl="3" w:tplc="1F30B500">
      <w:numFmt w:val="bullet"/>
      <w:lvlText w:val="•"/>
      <w:lvlJc w:val="left"/>
      <w:pPr>
        <w:ind w:left="3536" w:hanging="360"/>
      </w:pPr>
      <w:rPr>
        <w:rFonts w:hint="default"/>
        <w:lang w:val="en-US" w:eastAsia="en-US" w:bidi="ar-SA"/>
      </w:rPr>
    </w:lvl>
    <w:lvl w:ilvl="4" w:tplc="6F023090">
      <w:numFmt w:val="bullet"/>
      <w:lvlText w:val="•"/>
      <w:lvlJc w:val="left"/>
      <w:pPr>
        <w:ind w:left="4428" w:hanging="360"/>
      </w:pPr>
      <w:rPr>
        <w:rFonts w:hint="default"/>
        <w:lang w:val="en-US" w:eastAsia="en-US" w:bidi="ar-SA"/>
      </w:rPr>
    </w:lvl>
    <w:lvl w:ilvl="5" w:tplc="606EEC0C">
      <w:numFmt w:val="bullet"/>
      <w:lvlText w:val="•"/>
      <w:lvlJc w:val="left"/>
      <w:pPr>
        <w:ind w:left="5320" w:hanging="360"/>
      </w:pPr>
      <w:rPr>
        <w:rFonts w:hint="default"/>
        <w:lang w:val="en-US" w:eastAsia="en-US" w:bidi="ar-SA"/>
      </w:rPr>
    </w:lvl>
    <w:lvl w:ilvl="6" w:tplc="1654F0C0">
      <w:numFmt w:val="bullet"/>
      <w:lvlText w:val="•"/>
      <w:lvlJc w:val="left"/>
      <w:pPr>
        <w:ind w:left="6212" w:hanging="360"/>
      </w:pPr>
      <w:rPr>
        <w:rFonts w:hint="default"/>
        <w:lang w:val="en-US" w:eastAsia="en-US" w:bidi="ar-SA"/>
      </w:rPr>
    </w:lvl>
    <w:lvl w:ilvl="7" w:tplc="9DD8E7A0">
      <w:numFmt w:val="bullet"/>
      <w:lvlText w:val="•"/>
      <w:lvlJc w:val="left"/>
      <w:pPr>
        <w:ind w:left="7104" w:hanging="360"/>
      </w:pPr>
      <w:rPr>
        <w:rFonts w:hint="default"/>
        <w:lang w:val="en-US" w:eastAsia="en-US" w:bidi="ar-SA"/>
      </w:rPr>
    </w:lvl>
    <w:lvl w:ilvl="8" w:tplc="6DAE32BE">
      <w:numFmt w:val="bullet"/>
      <w:lvlText w:val="•"/>
      <w:lvlJc w:val="left"/>
      <w:pPr>
        <w:ind w:left="7997" w:hanging="360"/>
      </w:pPr>
      <w:rPr>
        <w:rFonts w:hint="default"/>
        <w:lang w:val="en-US" w:eastAsia="en-US" w:bidi="ar-SA"/>
      </w:rPr>
    </w:lvl>
  </w:abstractNum>
  <w:abstractNum w:abstractNumId="22" w15:restartNumberingAfterBreak="0">
    <w:nsid w:val="1269738E"/>
    <w:multiLevelType w:val="hybridMultilevel"/>
    <w:tmpl w:val="C600659E"/>
    <w:lvl w:ilvl="0" w:tplc="BCA6B01C">
      <w:numFmt w:val="bullet"/>
      <w:lvlText w:val="•"/>
      <w:lvlJc w:val="left"/>
      <w:pPr>
        <w:ind w:left="516" w:hanging="360"/>
      </w:pPr>
      <w:rPr>
        <w:rFonts w:ascii="Trebuchet MS" w:eastAsia="Trebuchet MS" w:hAnsi="Trebuchet MS" w:cs="Trebuchet MS" w:hint="default"/>
        <w:b w:val="0"/>
        <w:bCs w:val="0"/>
        <w:i w:val="0"/>
        <w:iCs w:val="0"/>
        <w:spacing w:val="0"/>
        <w:w w:val="89"/>
        <w:sz w:val="18"/>
        <w:szCs w:val="18"/>
        <w:lang w:val="en-US" w:eastAsia="en-US" w:bidi="ar-SA"/>
      </w:rPr>
    </w:lvl>
    <w:lvl w:ilvl="1" w:tplc="ACA6EFA2">
      <w:numFmt w:val="bullet"/>
      <w:lvlText w:val="•"/>
      <w:lvlJc w:val="left"/>
      <w:pPr>
        <w:ind w:left="1237" w:hanging="360"/>
      </w:pPr>
      <w:rPr>
        <w:rFonts w:hint="default"/>
        <w:lang w:val="en-US" w:eastAsia="en-US" w:bidi="ar-SA"/>
      </w:rPr>
    </w:lvl>
    <w:lvl w:ilvl="2" w:tplc="CDDACBB8">
      <w:numFmt w:val="bullet"/>
      <w:lvlText w:val="•"/>
      <w:lvlJc w:val="left"/>
      <w:pPr>
        <w:ind w:left="1954" w:hanging="360"/>
      </w:pPr>
      <w:rPr>
        <w:rFonts w:hint="default"/>
        <w:lang w:val="en-US" w:eastAsia="en-US" w:bidi="ar-SA"/>
      </w:rPr>
    </w:lvl>
    <w:lvl w:ilvl="3" w:tplc="E98E690A">
      <w:numFmt w:val="bullet"/>
      <w:lvlText w:val="•"/>
      <w:lvlJc w:val="left"/>
      <w:pPr>
        <w:ind w:left="2671" w:hanging="360"/>
      </w:pPr>
      <w:rPr>
        <w:rFonts w:hint="default"/>
        <w:lang w:val="en-US" w:eastAsia="en-US" w:bidi="ar-SA"/>
      </w:rPr>
    </w:lvl>
    <w:lvl w:ilvl="4" w:tplc="06728FEA">
      <w:numFmt w:val="bullet"/>
      <w:lvlText w:val="•"/>
      <w:lvlJc w:val="left"/>
      <w:pPr>
        <w:ind w:left="3388" w:hanging="360"/>
      </w:pPr>
      <w:rPr>
        <w:rFonts w:hint="default"/>
        <w:lang w:val="en-US" w:eastAsia="en-US" w:bidi="ar-SA"/>
      </w:rPr>
    </w:lvl>
    <w:lvl w:ilvl="5" w:tplc="8050FE56">
      <w:numFmt w:val="bullet"/>
      <w:lvlText w:val="•"/>
      <w:lvlJc w:val="left"/>
      <w:pPr>
        <w:ind w:left="4106" w:hanging="360"/>
      </w:pPr>
      <w:rPr>
        <w:rFonts w:hint="default"/>
        <w:lang w:val="en-US" w:eastAsia="en-US" w:bidi="ar-SA"/>
      </w:rPr>
    </w:lvl>
    <w:lvl w:ilvl="6" w:tplc="E31C6EDC">
      <w:numFmt w:val="bullet"/>
      <w:lvlText w:val="•"/>
      <w:lvlJc w:val="left"/>
      <w:pPr>
        <w:ind w:left="4823" w:hanging="360"/>
      </w:pPr>
      <w:rPr>
        <w:rFonts w:hint="default"/>
        <w:lang w:val="en-US" w:eastAsia="en-US" w:bidi="ar-SA"/>
      </w:rPr>
    </w:lvl>
    <w:lvl w:ilvl="7" w:tplc="7A00DD56">
      <w:numFmt w:val="bullet"/>
      <w:lvlText w:val="•"/>
      <w:lvlJc w:val="left"/>
      <w:pPr>
        <w:ind w:left="5540" w:hanging="360"/>
      </w:pPr>
      <w:rPr>
        <w:rFonts w:hint="default"/>
        <w:lang w:val="en-US" w:eastAsia="en-US" w:bidi="ar-SA"/>
      </w:rPr>
    </w:lvl>
    <w:lvl w:ilvl="8" w:tplc="B80676CE">
      <w:numFmt w:val="bullet"/>
      <w:lvlText w:val="•"/>
      <w:lvlJc w:val="left"/>
      <w:pPr>
        <w:ind w:left="6257" w:hanging="360"/>
      </w:pPr>
      <w:rPr>
        <w:rFonts w:hint="default"/>
        <w:lang w:val="en-US" w:eastAsia="en-US" w:bidi="ar-SA"/>
      </w:rPr>
    </w:lvl>
  </w:abstractNum>
  <w:abstractNum w:abstractNumId="23" w15:restartNumberingAfterBreak="0">
    <w:nsid w:val="130E2992"/>
    <w:multiLevelType w:val="hybridMultilevel"/>
    <w:tmpl w:val="DCD6871C"/>
    <w:lvl w:ilvl="0" w:tplc="DE305478">
      <w:start w:val="1"/>
      <w:numFmt w:val="decimal"/>
      <w:lvlText w:val="%1."/>
      <w:lvlJc w:val="left"/>
      <w:pPr>
        <w:ind w:left="862"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173A540A">
      <w:numFmt w:val="bullet"/>
      <w:lvlText w:val="•"/>
      <w:lvlJc w:val="left"/>
      <w:pPr>
        <w:ind w:left="1752" w:hanging="360"/>
      </w:pPr>
      <w:rPr>
        <w:rFonts w:hint="default"/>
        <w:lang w:val="en-US" w:eastAsia="en-US" w:bidi="ar-SA"/>
      </w:rPr>
    </w:lvl>
    <w:lvl w:ilvl="2" w:tplc="7DA6E7A4">
      <w:numFmt w:val="bullet"/>
      <w:lvlText w:val="•"/>
      <w:lvlJc w:val="left"/>
      <w:pPr>
        <w:ind w:left="2644" w:hanging="360"/>
      </w:pPr>
      <w:rPr>
        <w:rFonts w:hint="default"/>
        <w:lang w:val="en-US" w:eastAsia="en-US" w:bidi="ar-SA"/>
      </w:rPr>
    </w:lvl>
    <w:lvl w:ilvl="3" w:tplc="FCD877A2">
      <w:numFmt w:val="bullet"/>
      <w:lvlText w:val="•"/>
      <w:lvlJc w:val="left"/>
      <w:pPr>
        <w:ind w:left="3536" w:hanging="360"/>
      </w:pPr>
      <w:rPr>
        <w:rFonts w:hint="default"/>
        <w:lang w:val="en-US" w:eastAsia="en-US" w:bidi="ar-SA"/>
      </w:rPr>
    </w:lvl>
    <w:lvl w:ilvl="4" w:tplc="0F184E2C">
      <w:numFmt w:val="bullet"/>
      <w:lvlText w:val="•"/>
      <w:lvlJc w:val="left"/>
      <w:pPr>
        <w:ind w:left="4428" w:hanging="360"/>
      </w:pPr>
      <w:rPr>
        <w:rFonts w:hint="default"/>
        <w:lang w:val="en-US" w:eastAsia="en-US" w:bidi="ar-SA"/>
      </w:rPr>
    </w:lvl>
    <w:lvl w:ilvl="5" w:tplc="772EA7E4">
      <w:numFmt w:val="bullet"/>
      <w:lvlText w:val="•"/>
      <w:lvlJc w:val="left"/>
      <w:pPr>
        <w:ind w:left="5320" w:hanging="360"/>
      </w:pPr>
      <w:rPr>
        <w:rFonts w:hint="default"/>
        <w:lang w:val="en-US" w:eastAsia="en-US" w:bidi="ar-SA"/>
      </w:rPr>
    </w:lvl>
    <w:lvl w:ilvl="6" w:tplc="71FAFDD8">
      <w:numFmt w:val="bullet"/>
      <w:lvlText w:val="•"/>
      <w:lvlJc w:val="left"/>
      <w:pPr>
        <w:ind w:left="6212" w:hanging="360"/>
      </w:pPr>
      <w:rPr>
        <w:rFonts w:hint="default"/>
        <w:lang w:val="en-US" w:eastAsia="en-US" w:bidi="ar-SA"/>
      </w:rPr>
    </w:lvl>
    <w:lvl w:ilvl="7" w:tplc="D4903FC4">
      <w:numFmt w:val="bullet"/>
      <w:lvlText w:val="•"/>
      <w:lvlJc w:val="left"/>
      <w:pPr>
        <w:ind w:left="7104" w:hanging="360"/>
      </w:pPr>
      <w:rPr>
        <w:rFonts w:hint="default"/>
        <w:lang w:val="en-US" w:eastAsia="en-US" w:bidi="ar-SA"/>
      </w:rPr>
    </w:lvl>
    <w:lvl w:ilvl="8" w:tplc="B9EC0F78">
      <w:numFmt w:val="bullet"/>
      <w:lvlText w:val="•"/>
      <w:lvlJc w:val="left"/>
      <w:pPr>
        <w:ind w:left="7997" w:hanging="360"/>
      </w:pPr>
      <w:rPr>
        <w:rFonts w:hint="default"/>
        <w:lang w:val="en-US" w:eastAsia="en-US" w:bidi="ar-SA"/>
      </w:rPr>
    </w:lvl>
  </w:abstractNum>
  <w:abstractNum w:abstractNumId="24" w15:restartNumberingAfterBreak="0">
    <w:nsid w:val="13833D82"/>
    <w:multiLevelType w:val="hybridMultilevel"/>
    <w:tmpl w:val="ED7676F0"/>
    <w:lvl w:ilvl="0" w:tplc="6E0651FE">
      <w:numFmt w:val="bullet"/>
      <w:lvlText w:val="•"/>
      <w:lvlJc w:val="left"/>
      <w:pPr>
        <w:ind w:left="533" w:hanging="360"/>
      </w:pPr>
      <w:rPr>
        <w:rFonts w:ascii="Trebuchet MS" w:eastAsia="Trebuchet MS" w:hAnsi="Trebuchet MS" w:cs="Trebuchet MS" w:hint="default"/>
        <w:b w:val="0"/>
        <w:bCs w:val="0"/>
        <w:i w:val="0"/>
        <w:iCs w:val="0"/>
        <w:spacing w:val="0"/>
        <w:w w:val="89"/>
        <w:sz w:val="18"/>
        <w:szCs w:val="18"/>
        <w:lang w:val="en-US" w:eastAsia="en-US" w:bidi="ar-SA"/>
      </w:rPr>
    </w:lvl>
    <w:lvl w:ilvl="1" w:tplc="172A15FE">
      <w:numFmt w:val="bullet"/>
      <w:lvlText w:val="•"/>
      <w:lvlJc w:val="left"/>
      <w:pPr>
        <w:ind w:left="1253" w:hanging="360"/>
      </w:pPr>
      <w:rPr>
        <w:rFonts w:hint="default"/>
        <w:lang w:val="en-US" w:eastAsia="en-US" w:bidi="ar-SA"/>
      </w:rPr>
    </w:lvl>
    <w:lvl w:ilvl="2" w:tplc="F50A17A0">
      <w:numFmt w:val="bullet"/>
      <w:lvlText w:val="•"/>
      <w:lvlJc w:val="left"/>
      <w:pPr>
        <w:ind w:left="1967" w:hanging="360"/>
      </w:pPr>
      <w:rPr>
        <w:rFonts w:hint="default"/>
        <w:lang w:val="en-US" w:eastAsia="en-US" w:bidi="ar-SA"/>
      </w:rPr>
    </w:lvl>
    <w:lvl w:ilvl="3" w:tplc="AB3E10AE">
      <w:numFmt w:val="bullet"/>
      <w:lvlText w:val="•"/>
      <w:lvlJc w:val="left"/>
      <w:pPr>
        <w:ind w:left="2680" w:hanging="360"/>
      </w:pPr>
      <w:rPr>
        <w:rFonts w:hint="default"/>
        <w:lang w:val="en-US" w:eastAsia="en-US" w:bidi="ar-SA"/>
      </w:rPr>
    </w:lvl>
    <w:lvl w:ilvl="4" w:tplc="3B20C508">
      <w:numFmt w:val="bullet"/>
      <w:lvlText w:val="•"/>
      <w:lvlJc w:val="left"/>
      <w:pPr>
        <w:ind w:left="3394" w:hanging="360"/>
      </w:pPr>
      <w:rPr>
        <w:rFonts w:hint="default"/>
        <w:lang w:val="en-US" w:eastAsia="en-US" w:bidi="ar-SA"/>
      </w:rPr>
    </w:lvl>
    <w:lvl w:ilvl="5" w:tplc="3BE07320">
      <w:numFmt w:val="bullet"/>
      <w:lvlText w:val="•"/>
      <w:lvlJc w:val="left"/>
      <w:pPr>
        <w:ind w:left="4107" w:hanging="360"/>
      </w:pPr>
      <w:rPr>
        <w:rFonts w:hint="default"/>
        <w:lang w:val="en-US" w:eastAsia="en-US" w:bidi="ar-SA"/>
      </w:rPr>
    </w:lvl>
    <w:lvl w:ilvl="6" w:tplc="32BE221A">
      <w:numFmt w:val="bullet"/>
      <w:lvlText w:val="•"/>
      <w:lvlJc w:val="left"/>
      <w:pPr>
        <w:ind w:left="4821" w:hanging="360"/>
      </w:pPr>
      <w:rPr>
        <w:rFonts w:hint="default"/>
        <w:lang w:val="en-US" w:eastAsia="en-US" w:bidi="ar-SA"/>
      </w:rPr>
    </w:lvl>
    <w:lvl w:ilvl="7" w:tplc="BF8E1E1E">
      <w:numFmt w:val="bullet"/>
      <w:lvlText w:val="•"/>
      <w:lvlJc w:val="left"/>
      <w:pPr>
        <w:ind w:left="5534" w:hanging="360"/>
      </w:pPr>
      <w:rPr>
        <w:rFonts w:hint="default"/>
        <w:lang w:val="en-US" w:eastAsia="en-US" w:bidi="ar-SA"/>
      </w:rPr>
    </w:lvl>
    <w:lvl w:ilvl="8" w:tplc="B7F021EE">
      <w:numFmt w:val="bullet"/>
      <w:lvlText w:val="•"/>
      <w:lvlJc w:val="left"/>
      <w:pPr>
        <w:ind w:left="6248" w:hanging="360"/>
      </w:pPr>
      <w:rPr>
        <w:rFonts w:hint="default"/>
        <w:lang w:val="en-US" w:eastAsia="en-US" w:bidi="ar-SA"/>
      </w:rPr>
    </w:lvl>
  </w:abstractNum>
  <w:abstractNum w:abstractNumId="25" w15:restartNumberingAfterBreak="0">
    <w:nsid w:val="139E4994"/>
    <w:multiLevelType w:val="hybridMultilevel"/>
    <w:tmpl w:val="F9EA46E8"/>
    <w:lvl w:ilvl="0" w:tplc="7FB4B6A8">
      <w:numFmt w:val="bullet"/>
      <w:lvlText w:val="•"/>
      <w:lvlJc w:val="left"/>
      <w:pPr>
        <w:ind w:left="486" w:hanging="360"/>
      </w:pPr>
      <w:rPr>
        <w:rFonts w:ascii="Trebuchet MS" w:eastAsia="Trebuchet MS" w:hAnsi="Trebuchet MS" w:cs="Trebuchet MS" w:hint="default"/>
        <w:b w:val="0"/>
        <w:bCs w:val="0"/>
        <w:i w:val="0"/>
        <w:iCs w:val="0"/>
        <w:spacing w:val="0"/>
        <w:w w:val="89"/>
        <w:sz w:val="18"/>
        <w:szCs w:val="18"/>
        <w:lang w:val="en-US" w:eastAsia="en-US" w:bidi="ar-SA"/>
      </w:rPr>
    </w:lvl>
    <w:lvl w:ilvl="1" w:tplc="CEE24A50">
      <w:numFmt w:val="bullet"/>
      <w:lvlText w:val="•"/>
      <w:lvlJc w:val="left"/>
      <w:pPr>
        <w:ind w:left="1204" w:hanging="360"/>
      </w:pPr>
      <w:rPr>
        <w:rFonts w:hint="default"/>
        <w:lang w:val="en-US" w:eastAsia="en-US" w:bidi="ar-SA"/>
      </w:rPr>
    </w:lvl>
    <w:lvl w:ilvl="2" w:tplc="560460C2">
      <w:numFmt w:val="bullet"/>
      <w:lvlText w:val="•"/>
      <w:lvlJc w:val="left"/>
      <w:pPr>
        <w:ind w:left="1928" w:hanging="360"/>
      </w:pPr>
      <w:rPr>
        <w:rFonts w:hint="default"/>
        <w:lang w:val="en-US" w:eastAsia="en-US" w:bidi="ar-SA"/>
      </w:rPr>
    </w:lvl>
    <w:lvl w:ilvl="3" w:tplc="4F3E6E88">
      <w:numFmt w:val="bullet"/>
      <w:lvlText w:val="•"/>
      <w:lvlJc w:val="left"/>
      <w:pPr>
        <w:ind w:left="2652" w:hanging="360"/>
      </w:pPr>
      <w:rPr>
        <w:rFonts w:hint="default"/>
        <w:lang w:val="en-US" w:eastAsia="en-US" w:bidi="ar-SA"/>
      </w:rPr>
    </w:lvl>
    <w:lvl w:ilvl="4" w:tplc="F40E86F6">
      <w:numFmt w:val="bullet"/>
      <w:lvlText w:val="•"/>
      <w:lvlJc w:val="left"/>
      <w:pPr>
        <w:ind w:left="3376" w:hanging="360"/>
      </w:pPr>
      <w:rPr>
        <w:rFonts w:hint="default"/>
        <w:lang w:val="en-US" w:eastAsia="en-US" w:bidi="ar-SA"/>
      </w:rPr>
    </w:lvl>
    <w:lvl w:ilvl="5" w:tplc="F156297E">
      <w:numFmt w:val="bullet"/>
      <w:lvlText w:val="•"/>
      <w:lvlJc w:val="left"/>
      <w:pPr>
        <w:ind w:left="4101" w:hanging="360"/>
      </w:pPr>
      <w:rPr>
        <w:rFonts w:hint="default"/>
        <w:lang w:val="en-US" w:eastAsia="en-US" w:bidi="ar-SA"/>
      </w:rPr>
    </w:lvl>
    <w:lvl w:ilvl="6" w:tplc="48C4F6AC">
      <w:numFmt w:val="bullet"/>
      <w:lvlText w:val="•"/>
      <w:lvlJc w:val="left"/>
      <w:pPr>
        <w:ind w:left="4825" w:hanging="360"/>
      </w:pPr>
      <w:rPr>
        <w:rFonts w:hint="default"/>
        <w:lang w:val="en-US" w:eastAsia="en-US" w:bidi="ar-SA"/>
      </w:rPr>
    </w:lvl>
    <w:lvl w:ilvl="7" w:tplc="A796D05A">
      <w:numFmt w:val="bullet"/>
      <w:lvlText w:val="•"/>
      <w:lvlJc w:val="left"/>
      <w:pPr>
        <w:ind w:left="5549" w:hanging="360"/>
      </w:pPr>
      <w:rPr>
        <w:rFonts w:hint="default"/>
        <w:lang w:val="en-US" w:eastAsia="en-US" w:bidi="ar-SA"/>
      </w:rPr>
    </w:lvl>
    <w:lvl w:ilvl="8" w:tplc="A89297D6">
      <w:numFmt w:val="bullet"/>
      <w:lvlText w:val="•"/>
      <w:lvlJc w:val="left"/>
      <w:pPr>
        <w:ind w:left="6273" w:hanging="360"/>
      </w:pPr>
      <w:rPr>
        <w:rFonts w:hint="default"/>
        <w:lang w:val="en-US" w:eastAsia="en-US" w:bidi="ar-SA"/>
      </w:rPr>
    </w:lvl>
  </w:abstractNum>
  <w:abstractNum w:abstractNumId="26" w15:restartNumberingAfterBreak="0">
    <w:nsid w:val="13B12A7F"/>
    <w:multiLevelType w:val="hybridMultilevel"/>
    <w:tmpl w:val="0F0C8D76"/>
    <w:lvl w:ilvl="0" w:tplc="75281BC4">
      <w:numFmt w:val="bullet"/>
      <w:lvlText w:val="•"/>
      <w:lvlJc w:val="left"/>
      <w:pPr>
        <w:ind w:left="6431" w:hanging="360"/>
      </w:pPr>
      <w:rPr>
        <w:rFonts w:ascii="Trebuchet MS" w:eastAsia="Trebuchet MS" w:hAnsi="Trebuchet MS" w:cs="Trebuchet MS" w:hint="default"/>
        <w:b w:val="0"/>
        <w:bCs w:val="0"/>
        <w:i w:val="0"/>
        <w:iCs w:val="0"/>
        <w:spacing w:val="0"/>
        <w:w w:val="89"/>
        <w:sz w:val="18"/>
        <w:szCs w:val="18"/>
        <w:lang w:val="en-US" w:eastAsia="en-US" w:bidi="ar-SA"/>
      </w:rPr>
    </w:lvl>
    <w:lvl w:ilvl="1" w:tplc="B290EA98">
      <w:numFmt w:val="bullet"/>
      <w:lvlText w:val=""/>
      <w:lvlJc w:val="left"/>
      <w:pPr>
        <w:ind w:left="863" w:hanging="360"/>
      </w:pPr>
      <w:rPr>
        <w:rFonts w:ascii="Symbol" w:eastAsia="Symbol" w:hAnsi="Symbol" w:cs="Symbol" w:hint="default"/>
        <w:spacing w:val="0"/>
        <w:w w:val="100"/>
        <w:lang w:val="en-US" w:eastAsia="en-US" w:bidi="ar-SA"/>
      </w:rPr>
    </w:lvl>
    <w:lvl w:ilvl="2" w:tplc="6B6EB1A4">
      <w:numFmt w:val="bullet"/>
      <w:lvlText w:val="•"/>
      <w:lvlJc w:val="left"/>
      <w:pPr>
        <w:ind w:left="6811" w:hanging="360"/>
      </w:pPr>
      <w:rPr>
        <w:rFonts w:hint="default"/>
        <w:lang w:val="en-US" w:eastAsia="en-US" w:bidi="ar-SA"/>
      </w:rPr>
    </w:lvl>
    <w:lvl w:ilvl="3" w:tplc="67C46ACE">
      <w:numFmt w:val="bullet"/>
      <w:lvlText w:val="•"/>
      <w:lvlJc w:val="left"/>
      <w:pPr>
        <w:ind w:left="7182" w:hanging="360"/>
      </w:pPr>
      <w:rPr>
        <w:rFonts w:hint="default"/>
        <w:lang w:val="en-US" w:eastAsia="en-US" w:bidi="ar-SA"/>
      </w:rPr>
    </w:lvl>
    <w:lvl w:ilvl="4" w:tplc="CF72E40A">
      <w:numFmt w:val="bullet"/>
      <w:lvlText w:val="•"/>
      <w:lvlJc w:val="left"/>
      <w:pPr>
        <w:ind w:left="7553" w:hanging="360"/>
      </w:pPr>
      <w:rPr>
        <w:rFonts w:hint="default"/>
        <w:lang w:val="en-US" w:eastAsia="en-US" w:bidi="ar-SA"/>
      </w:rPr>
    </w:lvl>
    <w:lvl w:ilvl="5" w:tplc="02F0ED34">
      <w:numFmt w:val="bullet"/>
      <w:lvlText w:val="•"/>
      <w:lvlJc w:val="left"/>
      <w:pPr>
        <w:ind w:left="7925" w:hanging="360"/>
      </w:pPr>
      <w:rPr>
        <w:rFonts w:hint="default"/>
        <w:lang w:val="en-US" w:eastAsia="en-US" w:bidi="ar-SA"/>
      </w:rPr>
    </w:lvl>
    <w:lvl w:ilvl="6" w:tplc="8E225184">
      <w:numFmt w:val="bullet"/>
      <w:lvlText w:val="•"/>
      <w:lvlJc w:val="left"/>
      <w:pPr>
        <w:ind w:left="8296" w:hanging="360"/>
      </w:pPr>
      <w:rPr>
        <w:rFonts w:hint="default"/>
        <w:lang w:val="en-US" w:eastAsia="en-US" w:bidi="ar-SA"/>
      </w:rPr>
    </w:lvl>
    <w:lvl w:ilvl="7" w:tplc="C5D04CEC">
      <w:numFmt w:val="bullet"/>
      <w:lvlText w:val="•"/>
      <w:lvlJc w:val="left"/>
      <w:pPr>
        <w:ind w:left="8667" w:hanging="360"/>
      </w:pPr>
      <w:rPr>
        <w:rFonts w:hint="default"/>
        <w:lang w:val="en-US" w:eastAsia="en-US" w:bidi="ar-SA"/>
      </w:rPr>
    </w:lvl>
    <w:lvl w:ilvl="8" w:tplc="6EBA5A3E">
      <w:numFmt w:val="bullet"/>
      <w:lvlText w:val="•"/>
      <w:lvlJc w:val="left"/>
      <w:pPr>
        <w:ind w:left="9038" w:hanging="360"/>
      </w:pPr>
      <w:rPr>
        <w:rFonts w:hint="default"/>
        <w:lang w:val="en-US" w:eastAsia="en-US" w:bidi="ar-SA"/>
      </w:rPr>
    </w:lvl>
  </w:abstractNum>
  <w:abstractNum w:abstractNumId="27" w15:restartNumberingAfterBreak="0">
    <w:nsid w:val="13D21170"/>
    <w:multiLevelType w:val="hybridMultilevel"/>
    <w:tmpl w:val="6EFC4A78"/>
    <w:lvl w:ilvl="0" w:tplc="714E281A">
      <w:numFmt w:val="bullet"/>
      <w:lvlText w:val="•"/>
      <w:lvlJc w:val="left"/>
      <w:pPr>
        <w:ind w:left="379" w:hanging="180"/>
      </w:pPr>
      <w:rPr>
        <w:rFonts w:ascii="Trebuchet MS" w:eastAsia="Trebuchet MS" w:hAnsi="Trebuchet MS" w:cs="Trebuchet MS" w:hint="default"/>
        <w:b w:val="0"/>
        <w:bCs w:val="0"/>
        <w:i w:val="0"/>
        <w:iCs w:val="0"/>
        <w:spacing w:val="0"/>
        <w:w w:val="89"/>
        <w:sz w:val="18"/>
        <w:szCs w:val="18"/>
        <w:lang w:val="en-US" w:eastAsia="en-US" w:bidi="ar-SA"/>
      </w:rPr>
    </w:lvl>
    <w:lvl w:ilvl="1" w:tplc="CDE8DAFA">
      <w:numFmt w:val="bullet"/>
      <w:lvlText w:val="•"/>
      <w:lvlJc w:val="left"/>
      <w:pPr>
        <w:ind w:left="552" w:hanging="180"/>
      </w:pPr>
      <w:rPr>
        <w:rFonts w:ascii="Trebuchet MS" w:eastAsia="Trebuchet MS" w:hAnsi="Trebuchet MS" w:cs="Trebuchet MS" w:hint="default"/>
        <w:b w:val="0"/>
        <w:bCs w:val="0"/>
        <w:i w:val="0"/>
        <w:iCs w:val="0"/>
        <w:spacing w:val="0"/>
        <w:w w:val="89"/>
        <w:sz w:val="18"/>
        <w:szCs w:val="18"/>
        <w:lang w:val="en-US" w:eastAsia="en-US" w:bidi="ar-SA"/>
      </w:rPr>
    </w:lvl>
    <w:lvl w:ilvl="2" w:tplc="6040CA8C">
      <w:numFmt w:val="bullet"/>
      <w:lvlText w:val="•"/>
      <w:lvlJc w:val="left"/>
      <w:pPr>
        <w:ind w:left="739" w:hanging="180"/>
      </w:pPr>
      <w:rPr>
        <w:rFonts w:hint="default"/>
        <w:lang w:val="en-US" w:eastAsia="en-US" w:bidi="ar-SA"/>
      </w:rPr>
    </w:lvl>
    <w:lvl w:ilvl="3" w:tplc="F8FA269C">
      <w:numFmt w:val="bullet"/>
      <w:lvlText w:val="•"/>
      <w:lvlJc w:val="left"/>
      <w:pPr>
        <w:ind w:left="918" w:hanging="180"/>
      </w:pPr>
      <w:rPr>
        <w:rFonts w:hint="default"/>
        <w:lang w:val="en-US" w:eastAsia="en-US" w:bidi="ar-SA"/>
      </w:rPr>
    </w:lvl>
    <w:lvl w:ilvl="4" w:tplc="B0FC2746">
      <w:numFmt w:val="bullet"/>
      <w:lvlText w:val="•"/>
      <w:lvlJc w:val="left"/>
      <w:pPr>
        <w:ind w:left="1097" w:hanging="180"/>
      </w:pPr>
      <w:rPr>
        <w:rFonts w:hint="default"/>
        <w:lang w:val="en-US" w:eastAsia="en-US" w:bidi="ar-SA"/>
      </w:rPr>
    </w:lvl>
    <w:lvl w:ilvl="5" w:tplc="FC9EC87C">
      <w:numFmt w:val="bullet"/>
      <w:lvlText w:val="•"/>
      <w:lvlJc w:val="left"/>
      <w:pPr>
        <w:ind w:left="1276" w:hanging="180"/>
      </w:pPr>
      <w:rPr>
        <w:rFonts w:hint="default"/>
        <w:lang w:val="en-US" w:eastAsia="en-US" w:bidi="ar-SA"/>
      </w:rPr>
    </w:lvl>
    <w:lvl w:ilvl="6" w:tplc="B0C27354">
      <w:numFmt w:val="bullet"/>
      <w:lvlText w:val="•"/>
      <w:lvlJc w:val="left"/>
      <w:pPr>
        <w:ind w:left="1455" w:hanging="180"/>
      </w:pPr>
      <w:rPr>
        <w:rFonts w:hint="default"/>
        <w:lang w:val="en-US" w:eastAsia="en-US" w:bidi="ar-SA"/>
      </w:rPr>
    </w:lvl>
    <w:lvl w:ilvl="7" w:tplc="C10A3130">
      <w:numFmt w:val="bullet"/>
      <w:lvlText w:val="•"/>
      <w:lvlJc w:val="left"/>
      <w:pPr>
        <w:ind w:left="1634" w:hanging="180"/>
      </w:pPr>
      <w:rPr>
        <w:rFonts w:hint="default"/>
        <w:lang w:val="en-US" w:eastAsia="en-US" w:bidi="ar-SA"/>
      </w:rPr>
    </w:lvl>
    <w:lvl w:ilvl="8" w:tplc="72022BDC">
      <w:numFmt w:val="bullet"/>
      <w:lvlText w:val="•"/>
      <w:lvlJc w:val="left"/>
      <w:pPr>
        <w:ind w:left="1813" w:hanging="180"/>
      </w:pPr>
      <w:rPr>
        <w:rFonts w:hint="default"/>
        <w:lang w:val="en-US" w:eastAsia="en-US" w:bidi="ar-SA"/>
      </w:rPr>
    </w:lvl>
  </w:abstractNum>
  <w:abstractNum w:abstractNumId="28" w15:restartNumberingAfterBreak="0">
    <w:nsid w:val="15436DC2"/>
    <w:multiLevelType w:val="hybridMultilevel"/>
    <w:tmpl w:val="D93A2152"/>
    <w:lvl w:ilvl="0" w:tplc="A3EAB97A">
      <w:numFmt w:val="bullet"/>
      <w:lvlText w:val="•"/>
      <w:lvlJc w:val="left"/>
      <w:pPr>
        <w:ind w:left="466" w:hanging="360"/>
      </w:pPr>
      <w:rPr>
        <w:rFonts w:ascii="Trebuchet MS" w:eastAsia="Trebuchet MS" w:hAnsi="Trebuchet MS" w:cs="Trebuchet MS" w:hint="default"/>
        <w:b w:val="0"/>
        <w:bCs w:val="0"/>
        <w:i w:val="0"/>
        <w:iCs w:val="0"/>
        <w:spacing w:val="0"/>
        <w:w w:val="89"/>
        <w:sz w:val="18"/>
        <w:szCs w:val="18"/>
        <w:lang w:val="en-US" w:eastAsia="en-US" w:bidi="ar-SA"/>
      </w:rPr>
    </w:lvl>
    <w:lvl w:ilvl="1" w:tplc="FAD0BD3E">
      <w:numFmt w:val="bullet"/>
      <w:lvlText w:val="•"/>
      <w:lvlJc w:val="left"/>
      <w:pPr>
        <w:ind w:left="1073" w:hanging="360"/>
      </w:pPr>
      <w:rPr>
        <w:rFonts w:hint="default"/>
        <w:lang w:val="en-US" w:eastAsia="en-US" w:bidi="ar-SA"/>
      </w:rPr>
    </w:lvl>
    <w:lvl w:ilvl="2" w:tplc="7FC08080">
      <w:numFmt w:val="bullet"/>
      <w:lvlText w:val="•"/>
      <w:lvlJc w:val="left"/>
      <w:pPr>
        <w:ind w:left="1687" w:hanging="360"/>
      </w:pPr>
      <w:rPr>
        <w:rFonts w:hint="default"/>
        <w:lang w:val="en-US" w:eastAsia="en-US" w:bidi="ar-SA"/>
      </w:rPr>
    </w:lvl>
    <w:lvl w:ilvl="3" w:tplc="0E52C2AE">
      <w:numFmt w:val="bullet"/>
      <w:lvlText w:val="•"/>
      <w:lvlJc w:val="left"/>
      <w:pPr>
        <w:ind w:left="2301" w:hanging="360"/>
      </w:pPr>
      <w:rPr>
        <w:rFonts w:hint="default"/>
        <w:lang w:val="en-US" w:eastAsia="en-US" w:bidi="ar-SA"/>
      </w:rPr>
    </w:lvl>
    <w:lvl w:ilvl="4" w:tplc="131EC710">
      <w:numFmt w:val="bullet"/>
      <w:lvlText w:val="•"/>
      <w:lvlJc w:val="left"/>
      <w:pPr>
        <w:ind w:left="2915" w:hanging="360"/>
      </w:pPr>
      <w:rPr>
        <w:rFonts w:hint="default"/>
        <w:lang w:val="en-US" w:eastAsia="en-US" w:bidi="ar-SA"/>
      </w:rPr>
    </w:lvl>
    <w:lvl w:ilvl="5" w:tplc="61CE8E52">
      <w:numFmt w:val="bullet"/>
      <w:lvlText w:val="•"/>
      <w:lvlJc w:val="left"/>
      <w:pPr>
        <w:ind w:left="3529" w:hanging="360"/>
      </w:pPr>
      <w:rPr>
        <w:rFonts w:hint="default"/>
        <w:lang w:val="en-US" w:eastAsia="en-US" w:bidi="ar-SA"/>
      </w:rPr>
    </w:lvl>
    <w:lvl w:ilvl="6" w:tplc="6A221394">
      <w:numFmt w:val="bullet"/>
      <w:lvlText w:val="•"/>
      <w:lvlJc w:val="left"/>
      <w:pPr>
        <w:ind w:left="4142" w:hanging="360"/>
      </w:pPr>
      <w:rPr>
        <w:rFonts w:hint="default"/>
        <w:lang w:val="en-US" w:eastAsia="en-US" w:bidi="ar-SA"/>
      </w:rPr>
    </w:lvl>
    <w:lvl w:ilvl="7" w:tplc="59DA6814">
      <w:numFmt w:val="bullet"/>
      <w:lvlText w:val="•"/>
      <w:lvlJc w:val="left"/>
      <w:pPr>
        <w:ind w:left="4756" w:hanging="360"/>
      </w:pPr>
      <w:rPr>
        <w:rFonts w:hint="default"/>
        <w:lang w:val="en-US" w:eastAsia="en-US" w:bidi="ar-SA"/>
      </w:rPr>
    </w:lvl>
    <w:lvl w:ilvl="8" w:tplc="5FDC0F62">
      <w:numFmt w:val="bullet"/>
      <w:lvlText w:val="•"/>
      <w:lvlJc w:val="left"/>
      <w:pPr>
        <w:ind w:left="5370" w:hanging="360"/>
      </w:pPr>
      <w:rPr>
        <w:rFonts w:hint="default"/>
        <w:lang w:val="en-US" w:eastAsia="en-US" w:bidi="ar-SA"/>
      </w:rPr>
    </w:lvl>
  </w:abstractNum>
  <w:abstractNum w:abstractNumId="29" w15:restartNumberingAfterBreak="0">
    <w:nsid w:val="15883B7E"/>
    <w:multiLevelType w:val="hybridMultilevel"/>
    <w:tmpl w:val="3126DED4"/>
    <w:lvl w:ilvl="0" w:tplc="E77E5FFE">
      <w:numFmt w:val="bullet"/>
      <w:lvlText w:val="•"/>
      <w:lvlJc w:val="left"/>
      <w:pPr>
        <w:ind w:left="611" w:hanging="360"/>
      </w:pPr>
      <w:rPr>
        <w:rFonts w:ascii="Trebuchet MS" w:eastAsia="Trebuchet MS" w:hAnsi="Trebuchet MS" w:cs="Trebuchet MS" w:hint="default"/>
        <w:b w:val="0"/>
        <w:bCs w:val="0"/>
        <w:i w:val="0"/>
        <w:iCs w:val="0"/>
        <w:spacing w:val="0"/>
        <w:w w:val="89"/>
        <w:sz w:val="18"/>
        <w:szCs w:val="18"/>
        <w:lang w:val="en-US" w:eastAsia="en-US" w:bidi="ar-SA"/>
      </w:rPr>
    </w:lvl>
    <w:lvl w:ilvl="1" w:tplc="031CB324">
      <w:numFmt w:val="bullet"/>
      <w:lvlText w:val=""/>
      <w:lvlJc w:val="left"/>
      <w:pPr>
        <w:ind w:left="863" w:hanging="360"/>
      </w:pPr>
      <w:rPr>
        <w:rFonts w:ascii="Symbol" w:eastAsia="Symbol" w:hAnsi="Symbol" w:cs="Symbol" w:hint="default"/>
        <w:b w:val="0"/>
        <w:bCs w:val="0"/>
        <w:i w:val="0"/>
        <w:iCs w:val="0"/>
        <w:spacing w:val="0"/>
        <w:w w:val="100"/>
        <w:sz w:val="22"/>
        <w:szCs w:val="22"/>
        <w:lang w:val="en-US" w:eastAsia="en-US" w:bidi="ar-SA"/>
      </w:rPr>
    </w:lvl>
    <w:lvl w:ilvl="2" w:tplc="0908B12A">
      <w:numFmt w:val="bullet"/>
      <w:lvlText w:val="o"/>
      <w:lvlJc w:val="left"/>
      <w:pPr>
        <w:ind w:left="1223" w:hanging="361"/>
      </w:pPr>
      <w:rPr>
        <w:rFonts w:ascii="Courier New" w:eastAsia="Courier New" w:hAnsi="Courier New" w:cs="Courier New" w:hint="default"/>
        <w:b w:val="0"/>
        <w:bCs w:val="0"/>
        <w:i w:val="0"/>
        <w:iCs w:val="0"/>
        <w:spacing w:val="0"/>
        <w:w w:val="100"/>
        <w:sz w:val="22"/>
        <w:szCs w:val="22"/>
        <w:lang w:val="en-US" w:eastAsia="en-US" w:bidi="ar-SA"/>
      </w:rPr>
    </w:lvl>
    <w:lvl w:ilvl="3" w:tplc="49BC23A6">
      <w:numFmt w:val="bullet"/>
      <w:lvlText w:val="•"/>
      <w:lvlJc w:val="left"/>
      <w:pPr>
        <w:ind w:left="1461" w:hanging="361"/>
      </w:pPr>
      <w:rPr>
        <w:rFonts w:hint="default"/>
        <w:lang w:val="en-US" w:eastAsia="en-US" w:bidi="ar-SA"/>
      </w:rPr>
    </w:lvl>
    <w:lvl w:ilvl="4" w:tplc="DDDA932A">
      <w:numFmt w:val="bullet"/>
      <w:lvlText w:val="•"/>
      <w:lvlJc w:val="left"/>
      <w:pPr>
        <w:ind w:left="1702" w:hanging="361"/>
      </w:pPr>
      <w:rPr>
        <w:rFonts w:hint="default"/>
        <w:lang w:val="en-US" w:eastAsia="en-US" w:bidi="ar-SA"/>
      </w:rPr>
    </w:lvl>
    <w:lvl w:ilvl="5" w:tplc="1AE4E198">
      <w:numFmt w:val="bullet"/>
      <w:lvlText w:val="•"/>
      <w:lvlJc w:val="left"/>
      <w:pPr>
        <w:ind w:left="1943" w:hanging="361"/>
      </w:pPr>
      <w:rPr>
        <w:rFonts w:hint="default"/>
        <w:lang w:val="en-US" w:eastAsia="en-US" w:bidi="ar-SA"/>
      </w:rPr>
    </w:lvl>
    <w:lvl w:ilvl="6" w:tplc="440A9F2A">
      <w:numFmt w:val="bullet"/>
      <w:lvlText w:val="•"/>
      <w:lvlJc w:val="left"/>
      <w:pPr>
        <w:ind w:left="2185" w:hanging="361"/>
      </w:pPr>
      <w:rPr>
        <w:rFonts w:hint="default"/>
        <w:lang w:val="en-US" w:eastAsia="en-US" w:bidi="ar-SA"/>
      </w:rPr>
    </w:lvl>
    <w:lvl w:ilvl="7" w:tplc="BC78E3A4">
      <w:numFmt w:val="bullet"/>
      <w:lvlText w:val="•"/>
      <w:lvlJc w:val="left"/>
      <w:pPr>
        <w:ind w:left="2426" w:hanging="361"/>
      </w:pPr>
      <w:rPr>
        <w:rFonts w:hint="default"/>
        <w:lang w:val="en-US" w:eastAsia="en-US" w:bidi="ar-SA"/>
      </w:rPr>
    </w:lvl>
    <w:lvl w:ilvl="8" w:tplc="8CD2BB44">
      <w:numFmt w:val="bullet"/>
      <w:lvlText w:val="•"/>
      <w:lvlJc w:val="left"/>
      <w:pPr>
        <w:ind w:left="2667" w:hanging="361"/>
      </w:pPr>
      <w:rPr>
        <w:rFonts w:hint="default"/>
        <w:lang w:val="en-US" w:eastAsia="en-US" w:bidi="ar-SA"/>
      </w:rPr>
    </w:lvl>
  </w:abstractNum>
  <w:abstractNum w:abstractNumId="30" w15:restartNumberingAfterBreak="0">
    <w:nsid w:val="18CC0EC3"/>
    <w:multiLevelType w:val="hybridMultilevel"/>
    <w:tmpl w:val="2022FB80"/>
    <w:lvl w:ilvl="0" w:tplc="00506380">
      <w:start w:val="1"/>
      <w:numFmt w:val="decimal"/>
      <w:lvlText w:val="%1."/>
      <w:lvlJc w:val="left"/>
      <w:pPr>
        <w:ind w:left="409" w:hanging="252"/>
        <w:jc w:val="left"/>
      </w:pPr>
      <w:rPr>
        <w:rFonts w:ascii="Calibri Light" w:eastAsia="Calibri Light" w:hAnsi="Calibri Light" w:cs="Calibri Light" w:hint="default"/>
        <w:b w:val="0"/>
        <w:bCs w:val="0"/>
        <w:i w:val="0"/>
        <w:iCs w:val="0"/>
        <w:spacing w:val="0"/>
        <w:w w:val="100"/>
        <w:sz w:val="18"/>
        <w:szCs w:val="18"/>
        <w:lang w:val="en-US" w:eastAsia="en-US" w:bidi="ar-SA"/>
      </w:rPr>
    </w:lvl>
    <w:lvl w:ilvl="1" w:tplc="BF663936">
      <w:numFmt w:val="bullet"/>
      <w:lvlText w:val="•"/>
      <w:lvlJc w:val="left"/>
      <w:pPr>
        <w:ind w:left="571" w:hanging="252"/>
      </w:pPr>
      <w:rPr>
        <w:rFonts w:hint="default"/>
        <w:lang w:val="en-US" w:eastAsia="en-US" w:bidi="ar-SA"/>
      </w:rPr>
    </w:lvl>
    <w:lvl w:ilvl="2" w:tplc="4D40E698">
      <w:numFmt w:val="bullet"/>
      <w:lvlText w:val="•"/>
      <w:lvlJc w:val="left"/>
      <w:pPr>
        <w:ind w:left="743" w:hanging="252"/>
      </w:pPr>
      <w:rPr>
        <w:rFonts w:hint="default"/>
        <w:lang w:val="en-US" w:eastAsia="en-US" w:bidi="ar-SA"/>
      </w:rPr>
    </w:lvl>
    <w:lvl w:ilvl="3" w:tplc="12E4081E">
      <w:numFmt w:val="bullet"/>
      <w:lvlText w:val="•"/>
      <w:lvlJc w:val="left"/>
      <w:pPr>
        <w:ind w:left="915" w:hanging="252"/>
      </w:pPr>
      <w:rPr>
        <w:rFonts w:hint="default"/>
        <w:lang w:val="en-US" w:eastAsia="en-US" w:bidi="ar-SA"/>
      </w:rPr>
    </w:lvl>
    <w:lvl w:ilvl="4" w:tplc="BA8ACCE6">
      <w:numFmt w:val="bullet"/>
      <w:lvlText w:val="•"/>
      <w:lvlJc w:val="left"/>
      <w:pPr>
        <w:ind w:left="1087" w:hanging="252"/>
      </w:pPr>
      <w:rPr>
        <w:rFonts w:hint="default"/>
        <w:lang w:val="en-US" w:eastAsia="en-US" w:bidi="ar-SA"/>
      </w:rPr>
    </w:lvl>
    <w:lvl w:ilvl="5" w:tplc="53BCEC68">
      <w:numFmt w:val="bullet"/>
      <w:lvlText w:val="•"/>
      <w:lvlJc w:val="left"/>
      <w:pPr>
        <w:ind w:left="1259" w:hanging="252"/>
      </w:pPr>
      <w:rPr>
        <w:rFonts w:hint="default"/>
        <w:lang w:val="en-US" w:eastAsia="en-US" w:bidi="ar-SA"/>
      </w:rPr>
    </w:lvl>
    <w:lvl w:ilvl="6" w:tplc="D6145842">
      <w:numFmt w:val="bullet"/>
      <w:lvlText w:val="•"/>
      <w:lvlJc w:val="left"/>
      <w:pPr>
        <w:ind w:left="1431" w:hanging="252"/>
      </w:pPr>
      <w:rPr>
        <w:rFonts w:hint="default"/>
        <w:lang w:val="en-US" w:eastAsia="en-US" w:bidi="ar-SA"/>
      </w:rPr>
    </w:lvl>
    <w:lvl w:ilvl="7" w:tplc="37089FB6">
      <w:numFmt w:val="bullet"/>
      <w:lvlText w:val="•"/>
      <w:lvlJc w:val="left"/>
      <w:pPr>
        <w:ind w:left="1603" w:hanging="252"/>
      </w:pPr>
      <w:rPr>
        <w:rFonts w:hint="default"/>
        <w:lang w:val="en-US" w:eastAsia="en-US" w:bidi="ar-SA"/>
      </w:rPr>
    </w:lvl>
    <w:lvl w:ilvl="8" w:tplc="A3DCAB6A">
      <w:numFmt w:val="bullet"/>
      <w:lvlText w:val="•"/>
      <w:lvlJc w:val="left"/>
      <w:pPr>
        <w:ind w:left="1775" w:hanging="252"/>
      </w:pPr>
      <w:rPr>
        <w:rFonts w:hint="default"/>
        <w:lang w:val="en-US" w:eastAsia="en-US" w:bidi="ar-SA"/>
      </w:rPr>
    </w:lvl>
  </w:abstractNum>
  <w:abstractNum w:abstractNumId="31" w15:restartNumberingAfterBreak="0">
    <w:nsid w:val="19A7557C"/>
    <w:multiLevelType w:val="hybridMultilevel"/>
    <w:tmpl w:val="845A0DA4"/>
    <w:lvl w:ilvl="0" w:tplc="C74433A6">
      <w:numFmt w:val="bullet"/>
      <w:lvlText w:val="•"/>
      <w:lvlJc w:val="left"/>
      <w:pPr>
        <w:ind w:left="590" w:hanging="360"/>
      </w:pPr>
      <w:rPr>
        <w:rFonts w:ascii="Trebuchet MS" w:eastAsia="Trebuchet MS" w:hAnsi="Trebuchet MS" w:cs="Trebuchet MS" w:hint="default"/>
        <w:b w:val="0"/>
        <w:bCs w:val="0"/>
        <w:i w:val="0"/>
        <w:iCs w:val="0"/>
        <w:spacing w:val="0"/>
        <w:w w:val="89"/>
        <w:sz w:val="18"/>
        <w:szCs w:val="18"/>
        <w:lang w:val="en-US" w:eastAsia="en-US" w:bidi="ar-SA"/>
      </w:rPr>
    </w:lvl>
    <w:lvl w:ilvl="1" w:tplc="E4AC3794">
      <w:numFmt w:val="bullet"/>
      <w:lvlText w:val="•"/>
      <w:lvlJc w:val="left"/>
      <w:pPr>
        <w:ind w:left="1329" w:hanging="360"/>
      </w:pPr>
      <w:rPr>
        <w:rFonts w:hint="default"/>
        <w:lang w:val="en-US" w:eastAsia="en-US" w:bidi="ar-SA"/>
      </w:rPr>
    </w:lvl>
    <w:lvl w:ilvl="2" w:tplc="7354B894">
      <w:numFmt w:val="bullet"/>
      <w:lvlText w:val="•"/>
      <w:lvlJc w:val="left"/>
      <w:pPr>
        <w:ind w:left="2058" w:hanging="360"/>
      </w:pPr>
      <w:rPr>
        <w:rFonts w:hint="default"/>
        <w:lang w:val="en-US" w:eastAsia="en-US" w:bidi="ar-SA"/>
      </w:rPr>
    </w:lvl>
    <w:lvl w:ilvl="3" w:tplc="A73C3640">
      <w:numFmt w:val="bullet"/>
      <w:lvlText w:val="•"/>
      <w:lvlJc w:val="left"/>
      <w:pPr>
        <w:ind w:left="2788" w:hanging="360"/>
      </w:pPr>
      <w:rPr>
        <w:rFonts w:hint="default"/>
        <w:lang w:val="en-US" w:eastAsia="en-US" w:bidi="ar-SA"/>
      </w:rPr>
    </w:lvl>
    <w:lvl w:ilvl="4" w:tplc="BB74C716">
      <w:numFmt w:val="bullet"/>
      <w:lvlText w:val="•"/>
      <w:lvlJc w:val="left"/>
      <w:pPr>
        <w:ind w:left="3517" w:hanging="360"/>
      </w:pPr>
      <w:rPr>
        <w:rFonts w:hint="default"/>
        <w:lang w:val="en-US" w:eastAsia="en-US" w:bidi="ar-SA"/>
      </w:rPr>
    </w:lvl>
    <w:lvl w:ilvl="5" w:tplc="1D62C2EE">
      <w:numFmt w:val="bullet"/>
      <w:lvlText w:val="•"/>
      <w:lvlJc w:val="left"/>
      <w:pPr>
        <w:ind w:left="4247" w:hanging="360"/>
      </w:pPr>
      <w:rPr>
        <w:rFonts w:hint="default"/>
        <w:lang w:val="en-US" w:eastAsia="en-US" w:bidi="ar-SA"/>
      </w:rPr>
    </w:lvl>
    <w:lvl w:ilvl="6" w:tplc="A0B24C00">
      <w:numFmt w:val="bullet"/>
      <w:lvlText w:val="•"/>
      <w:lvlJc w:val="left"/>
      <w:pPr>
        <w:ind w:left="4976" w:hanging="360"/>
      </w:pPr>
      <w:rPr>
        <w:rFonts w:hint="default"/>
        <w:lang w:val="en-US" w:eastAsia="en-US" w:bidi="ar-SA"/>
      </w:rPr>
    </w:lvl>
    <w:lvl w:ilvl="7" w:tplc="0838ABE4">
      <w:numFmt w:val="bullet"/>
      <w:lvlText w:val="•"/>
      <w:lvlJc w:val="left"/>
      <w:pPr>
        <w:ind w:left="5705" w:hanging="360"/>
      </w:pPr>
      <w:rPr>
        <w:rFonts w:hint="default"/>
        <w:lang w:val="en-US" w:eastAsia="en-US" w:bidi="ar-SA"/>
      </w:rPr>
    </w:lvl>
    <w:lvl w:ilvl="8" w:tplc="F000B78A">
      <w:numFmt w:val="bullet"/>
      <w:lvlText w:val="•"/>
      <w:lvlJc w:val="left"/>
      <w:pPr>
        <w:ind w:left="6435" w:hanging="360"/>
      </w:pPr>
      <w:rPr>
        <w:rFonts w:hint="default"/>
        <w:lang w:val="en-US" w:eastAsia="en-US" w:bidi="ar-SA"/>
      </w:rPr>
    </w:lvl>
  </w:abstractNum>
  <w:abstractNum w:abstractNumId="32" w15:restartNumberingAfterBreak="0">
    <w:nsid w:val="19A87E62"/>
    <w:multiLevelType w:val="hybridMultilevel"/>
    <w:tmpl w:val="8ED623F2"/>
    <w:lvl w:ilvl="0" w:tplc="5DA61928">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891C7096">
      <w:numFmt w:val="bullet"/>
      <w:lvlText w:val="•"/>
      <w:lvlJc w:val="left"/>
      <w:pPr>
        <w:ind w:left="1752" w:hanging="360"/>
      </w:pPr>
      <w:rPr>
        <w:rFonts w:hint="default"/>
        <w:lang w:val="en-US" w:eastAsia="en-US" w:bidi="ar-SA"/>
      </w:rPr>
    </w:lvl>
    <w:lvl w:ilvl="2" w:tplc="C16016A4">
      <w:numFmt w:val="bullet"/>
      <w:lvlText w:val="•"/>
      <w:lvlJc w:val="left"/>
      <w:pPr>
        <w:ind w:left="2644" w:hanging="360"/>
      </w:pPr>
      <w:rPr>
        <w:rFonts w:hint="default"/>
        <w:lang w:val="en-US" w:eastAsia="en-US" w:bidi="ar-SA"/>
      </w:rPr>
    </w:lvl>
    <w:lvl w:ilvl="3" w:tplc="E8EA1EF6">
      <w:numFmt w:val="bullet"/>
      <w:lvlText w:val="•"/>
      <w:lvlJc w:val="left"/>
      <w:pPr>
        <w:ind w:left="3536" w:hanging="360"/>
      </w:pPr>
      <w:rPr>
        <w:rFonts w:hint="default"/>
        <w:lang w:val="en-US" w:eastAsia="en-US" w:bidi="ar-SA"/>
      </w:rPr>
    </w:lvl>
    <w:lvl w:ilvl="4" w:tplc="15AE2210">
      <w:numFmt w:val="bullet"/>
      <w:lvlText w:val="•"/>
      <w:lvlJc w:val="left"/>
      <w:pPr>
        <w:ind w:left="4428" w:hanging="360"/>
      </w:pPr>
      <w:rPr>
        <w:rFonts w:hint="default"/>
        <w:lang w:val="en-US" w:eastAsia="en-US" w:bidi="ar-SA"/>
      </w:rPr>
    </w:lvl>
    <w:lvl w:ilvl="5" w:tplc="327C4F1C">
      <w:numFmt w:val="bullet"/>
      <w:lvlText w:val="•"/>
      <w:lvlJc w:val="left"/>
      <w:pPr>
        <w:ind w:left="5320" w:hanging="360"/>
      </w:pPr>
      <w:rPr>
        <w:rFonts w:hint="default"/>
        <w:lang w:val="en-US" w:eastAsia="en-US" w:bidi="ar-SA"/>
      </w:rPr>
    </w:lvl>
    <w:lvl w:ilvl="6" w:tplc="50C63AC6">
      <w:numFmt w:val="bullet"/>
      <w:lvlText w:val="•"/>
      <w:lvlJc w:val="left"/>
      <w:pPr>
        <w:ind w:left="6212" w:hanging="360"/>
      </w:pPr>
      <w:rPr>
        <w:rFonts w:hint="default"/>
        <w:lang w:val="en-US" w:eastAsia="en-US" w:bidi="ar-SA"/>
      </w:rPr>
    </w:lvl>
    <w:lvl w:ilvl="7" w:tplc="360CC79C">
      <w:numFmt w:val="bullet"/>
      <w:lvlText w:val="•"/>
      <w:lvlJc w:val="left"/>
      <w:pPr>
        <w:ind w:left="7104" w:hanging="360"/>
      </w:pPr>
      <w:rPr>
        <w:rFonts w:hint="default"/>
        <w:lang w:val="en-US" w:eastAsia="en-US" w:bidi="ar-SA"/>
      </w:rPr>
    </w:lvl>
    <w:lvl w:ilvl="8" w:tplc="472AABD2">
      <w:numFmt w:val="bullet"/>
      <w:lvlText w:val="•"/>
      <w:lvlJc w:val="left"/>
      <w:pPr>
        <w:ind w:left="7997" w:hanging="360"/>
      </w:pPr>
      <w:rPr>
        <w:rFonts w:hint="default"/>
        <w:lang w:val="en-US" w:eastAsia="en-US" w:bidi="ar-SA"/>
      </w:rPr>
    </w:lvl>
  </w:abstractNum>
  <w:abstractNum w:abstractNumId="33" w15:restartNumberingAfterBreak="0">
    <w:nsid w:val="1AB671EB"/>
    <w:multiLevelType w:val="hybridMultilevel"/>
    <w:tmpl w:val="0CD46FEC"/>
    <w:lvl w:ilvl="0" w:tplc="4A32B08A">
      <w:numFmt w:val="bullet"/>
      <w:lvlText w:val="•"/>
      <w:lvlJc w:val="left"/>
      <w:pPr>
        <w:ind w:left="415" w:hanging="360"/>
      </w:pPr>
      <w:rPr>
        <w:rFonts w:ascii="Trebuchet MS" w:eastAsia="Trebuchet MS" w:hAnsi="Trebuchet MS" w:cs="Trebuchet MS" w:hint="default"/>
        <w:b w:val="0"/>
        <w:bCs w:val="0"/>
        <w:i w:val="0"/>
        <w:iCs w:val="0"/>
        <w:spacing w:val="0"/>
        <w:w w:val="89"/>
        <w:sz w:val="18"/>
        <w:szCs w:val="18"/>
        <w:lang w:val="en-US" w:eastAsia="en-US" w:bidi="ar-SA"/>
      </w:rPr>
    </w:lvl>
    <w:lvl w:ilvl="1" w:tplc="4294795A">
      <w:numFmt w:val="bullet"/>
      <w:lvlText w:val="•"/>
      <w:lvlJc w:val="left"/>
      <w:pPr>
        <w:ind w:left="1059" w:hanging="360"/>
      </w:pPr>
      <w:rPr>
        <w:rFonts w:hint="default"/>
        <w:lang w:val="en-US" w:eastAsia="en-US" w:bidi="ar-SA"/>
      </w:rPr>
    </w:lvl>
    <w:lvl w:ilvl="2" w:tplc="141842C6">
      <w:numFmt w:val="bullet"/>
      <w:lvlText w:val="•"/>
      <w:lvlJc w:val="left"/>
      <w:pPr>
        <w:ind w:left="1699" w:hanging="360"/>
      </w:pPr>
      <w:rPr>
        <w:rFonts w:hint="default"/>
        <w:lang w:val="en-US" w:eastAsia="en-US" w:bidi="ar-SA"/>
      </w:rPr>
    </w:lvl>
    <w:lvl w:ilvl="3" w:tplc="21FE9A0A">
      <w:numFmt w:val="bullet"/>
      <w:lvlText w:val="•"/>
      <w:lvlJc w:val="left"/>
      <w:pPr>
        <w:ind w:left="2339" w:hanging="360"/>
      </w:pPr>
      <w:rPr>
        <w:rFonts w:hint="default"/>
        <w:lang w:val="en-US" w:eastAsia="en-US" w:bidi="ar-SA"/>
      </w:rPr>
    </w:lvl>
    <w:lvl w:ilvl="4" w:tplc="07A4A092">
      <w:numFmt w:val="bullet"/>
      <w:lvlText w:val="•"/>
      <w:lvlJc w:val="left"/>
      <w:pPr>
        <w:ind w:left="2979" w:hanging="360"/>
      </w:pPr>
      <w:rPr>
        <w:rFonts w:hint="default"/>
        <w:lang w:val="en-US" w:eastAsia="en-US" w:bidi="ar-SA"/>
      </w:rPr>
    </w:lvl>
    <w:lvl w:ilvl="5" w:tplc="94200ECE">
      <w:numFmt w:val="bullet"/>
      <w:lvlText w:val="•"/>
      <w:lvlJc w:val="left"/>
      <w:pPr>
        <w:ind w:left="3619" w:hanging="360"/>
      </w:pPr>
      <w:rPr>
        <w:rFonts w:hint="default"/>
        <w:lang w:val="en-US" w:eastAsia="en-US" w:bidi="ar-SA"/>
      </w:rPr>
    </w:lvl>
    <w:lvl w:ilvl="6" w:tplc="54F25AA8">
      <w:numFmt w:val="bullet"/>
      <w:lvlText w:val="•"/>
      <w:lvlJc w:val="left"/>
      <w:pPr>
        <w:ind w:left="4258" w:hanging="360"/>
      </w:pPr>
      <w:rPr>
        <w:rFonts w:hint="default"/>
        <w:lang w:val="en-US" w:eastAsia="en-US" w:bidi="ar-SA"/>
      </w:rPr>
    </w:lvl>
    <w:lvl w:ilvl="7" w:tplc="60147AF8">
      <w:numFmt w:val="bullet"/>
      <w:lvlText w:val="•"/>
      <w:lvlJc w:val="left"/>
      <w:pPr>
        <w:ind w:left="4898" w:hanging="360"/>
      </w:pPr>
      <w:rPr>
        <w:rFonts w:hint="default"/>
        <w:lang w:val="en-US" w:eastAsia="en-US" w:bidi="ar-SA"/>
      </w:rPr>
    </w:lvl>
    <w:lvl w:ilvl="8" w:tplc="EA208CB4">
      <w:numFmt w:val="bullet"/>
      <w:lvlText w:val="•"/>
      <w:lvlJc w:val="left"/>
      <w:pPr>
        <w:ind w:left="5538" w:hanging="360"/>
      </w:pPr>
      <w:rPr>
        <w:rFonts w:hint="default"/>
        <w:lang w:val="en-US" w:eastAsia="en-US" w:bidi="ar-SA"/>
      </w:rPr>
    </w:lvl>
  </w:abstractNum>
  <w:abstractNum w:abstractNumId="34" w15:restartNumberingAfterBreak="0">
    <w:nsid w:val="1AF25E4F"/>
    <w:multiLevelType w:val="hybridMultilevel"/>
    <w:tmpl w:val="87402FB8"/>
    <w:lvl w:ilvl="0" w:tplc="FA180A9C">
      <w:numFmt w:val="bullet"/>
      <w:lvlText w:val=""/>
      <w:lvlJc w:val="left"/>
      <w:pPr>
        <w:ind w:left="863" w:hanging="360"/>
      </w:pPr>
      <w:rPr>
        <w:rFonts w:ascii="Symbol" w:eastAsia="Symbol" w:hAnsi="Symbol" w:cs="Symbol" w:hint="default"/>
        <w:b w:val="0"/>
        <w:bCs w:val="0"/>
        <w:i w:val="0"/>
        <w:iCs w:val="0"/>
        <w:spacing w:val="0"/>
        <w:w w:val="100"/>
        <w:sz w:val="22"/>
        <w:szCs w:val="22"/>
        <w:lang w:val="en-US" w:eastAsia="en-US" w:bidi="ar-SA"/>
      </w:rPr>
    </w:lvl>
    <w:lvl w:ilvl="1" w:tplc="5E86C232">
      <w:numFmt w:val="bullet"/>
      <w:lvlText w:val="•"/>
      <w:lvlJc w:val="left"/>
      <w:pPr>
        <w:ind w:left="1752" w:hanging="360"/>
      </w:pPr>
      <w:rPr>
        <w:rFonts w:hint="default"/>
        <w:lang w:val="en-US" w:eastAsia="en-US" w:bidi="ar-SA"/>
      </w:rPr>
    </w:lvl>
    <w:lvl w:ilvl="2" w:tplc="8FD8D01A">
      <w:numFmt w:val="bullet"/>
      <w:lvlText w:val="•"/>
      <w:lvlJc w:val="left"/>
      <w:pPr>
        <w:ind w:left="2644" w:hanging="360"/>
      </w:pPr>
      <w:rPr>
        <w:rFonts w:hint="default"/>
        <w:lang w:val="en-US" w:eastAsia="en-US" w:bidi="ar-SA"/>
      </w:rPr>
    </w:lvl>
    <w:lvl w:ilvl="3" w:tplc="226E3FB0">
      <w:numFmt w:val="bullet"/>
      <w:lvlText w:val="•"/>
      <w:lvlJc w:val="left"/>
      <w:pPr>
        <w:ind w:left="3536" w:hanging="360"/>
      </w:pPr>
      <w:rPr>
        <w:rFonts w:hint="default"/>
        <w:lang w:val="en-US" w:eastAsia="en-US" w:bidi="ar-SA"/>
      </w:rPr>
    </w:lvl>
    <w:lvl w:ilvl="4" w:tplc="C4464128">
      <w:numFmt w:val="bullet"/>
      <w:lvlText w:val="•"/>
      <w:lvlJc w:val="left"/>
      <w:pPr>
        <w:ind w:left="4428" w:hanging="360"/>
      </w:pPr>
      <w:rPr>
        <w:rFonts w:hint="default"/>
        <w:lang w:val="en-US" w:eastAsia="en-US" w:bidi="ar-SA"/>
      </w:rPr>
    </w:lvl>
    <w:lvl w:ilvl="5" w:tplc="1F404030">
      <w:numFmt w:val="bullet"/>
      <w:lvlText w:val="•"/>
      <w:lvlJc w:val="left"/>
      <w:pPr>
        <w:ind w:left="5320" w:hanging="360"/>
      </w:pPr>
      <w:rPr>
        <w:rFonts w:hint="default"/>
        <w:lang w:val="en-US" w:eastAsia="en-US" w:bidi="ar-SA"/>
      </w:rPr>
    </w:lvl>
    <w:lvl w:ilvl="6" w:tplc="BC80FD14">
      <w:numFmt w:val="bullet"/>
      <w:lvlText w:val="•"/>
      <w:lvlJc w:val="left"/>
      <w:pPr>
        <w:ind w:left="6212" w:hanging="360"/>
      </w:pPr>
      <w:rPr>
        <w:rFonts w:hint="default"/>
        <w:lang w:val="en-US" w:eastAsia="en-US" w:bidi="ar-SA"/>
      </w:rPr>
    </w:lvl>
    <w:lvl w:ilvl="7" w:tplc="81DC7CAE">
      <w:numFmt w:val="bullet"/>
      <w:lvlText w:val="•"/>
      <w:lvlJc w:val="left"/>
      <w:pPr>
        <w:ind w:left="7104" w:hanging="360"/>
      </w:pPr>
      <w:rPr>
        <w:rFonts w:hint="default"/>
        <w:lang w:val="en-US" w:eastAsia="en-US" w:bidi="ar-SA"/>
      </w:rPr>
    </w:lvl>
    <w:lvl w:ilvl="8" w:tplc="7C207DB6">
      <w:numFmt w:val="bullet"/>
      <w:lvlText w:val="•"/>
      <w:lvlJc w:val="left"/>
      <w:pPr>
        <w:ind w:left="7997" w:hanging="360"/>
      </w:pPr>
      <w:rPr>
        <w:rFonts w:hint="default"/>
        <w:lang w:val="en-US" w:eastAsia="en-US" w:bidi="ar-SA"/>
      </w:rPr>
    </w:lvl>
  </w:abstractNum>
  <w:abstractNum w:abstractNumId="35" w15:restartNumberingAfterBreak="0">
    <w:nsid w:val="1AFC6CAF"/>
    <w:multiLevelType w:val="hybridMultilevel"/>
    <w:tmpl w:val="71EA855A"/>
    <w:lvl w:ilvl="0" w:tplc="4EDCA884">
      <w:numFmt w:val="bullet"/>
      <w:lvlText w:val="•"/>
      <w:lvlJc w:val="left"/>
      <w:pPr>
        <w:ind w:left="327" w:hanging="180"/>
      </w:pPr>
      <w:rPr>
        <w:rFonts w:ascii="Trebuchet MS" w:eastAsia="Trebuchet MS" w:hAnsi="Trebuchet MS" w:cs="Trebuchet MS" w:hint="default"/>
        <w:b w:val="0"/>
        <w:bCs w:val="0"/>
        <w:i w:val="0"/>
        <w:iCs w:val="0"/>
        <w:spacing w:val="0"/>
        <w:w w:val="89"/>
        <w:sz w:val="18"/>
        <w:szCs w:val="18"/>
        <w:lang w:val="en-US" w:eastAsia="en-US" w:bidi="ar-SA"/>
      </w:rPr>
    </w:lvl>
    <w:lvl w:ilvl="1" w:tplc="7D42D42C">
      <w:numFmt w:val="bullet"/>
      <w:lvlText w:val="•"/>
      <w:lvlJc w:val="left"/>
      <w:pPr>
        <w:ind w:left="499" w:hanging="180"/>
      </w:pPr>
      <w:rPr>
        <w:rFonts w:hint="default"/>
        <w:lang w:val="en-US" w:eastAsia="en-US" w:bidi="ar-SA"/>
      </w:rPr>
    </w:lvl>
    <w:lvl w:ilvl="2" w:tplc="3F90C5DC">
      <w:numFmt w:val="bullet"/>
      <w:lvlText w:val="•"/>
      <w:lvlJc w:val="left"/>
      <w:pPr>
        <w:ind w:left="679" w:hanging="180"/>
      </w:pPr>
      <w:rPr>
        <w:rFonts w:hint="default"/>
        <w:lang w:val="en-US" w:eastAsia="en-US" w:bidi="ar-SA"/>
      </w:rPr>
    </w:lvl>
    <w:lvl w:ilvl="3" w:tplc="23F253C8">
      <w:numFmt w:val="bullet"/>
      <w:lvlText w:val="•"/>
      <w:lvlJc w:val="left"/>
      <w:pPr>
        <w:ind w:left="859" w:hanging="180"/>
      </w:pPr>
      <w:rPr>
        <w:rFonts w:hint="default"/>
        <w:lang w:val="en-US" w:eastAsia="en-US" w:bidi="ar-SA"/>
      </w:rPr>
    </w:lvl>
    <w:lvl w:ilvl="4" w:tplc="92FEA164">
      <w:numFmt w:val="bullet"/>
      <w:lvlText w:val="•"/>
      <w:lvlJc w:val="left"/>
      <w:pPr>
        <w:ind w:left="1039" w:hanging="180"/>
      </w:pPr>
      <w:rPr>
        <w:rFonts w:hint="default"/>
        <w:lang w:val="en-US" w:eastAsia="en-US" w:bidi="ar-SA"/>
      </w:rPr>
    </w:lvl>
    <w:lvl w:ilvl="5" w:tplc="276A710C">
      <w:numFmt w:val="bullet"/>
      <w:lvlText w:val="•"/>
      <w:lvlJc w:val="left"/>
      <w:pPr>
        <w:ind w:left="1219" w:hanging="180"/>
      </w:pPr>
      <w:rPr>
        <w:rFonts w:hint="default"/>
        <w:lang w:val="en-US" w:eastAsia="en-US" w:bidi="ar-SA"/>
      </w:rPr>
    </w:lvl>
    <w:lvl w:ilvl="6" w:tplc="3FC282D8">
      <w:numFmt w:val="bullet"/>
      <w:lvlText w:val="•"/>
      <w:lvlJc w:val="left"/>
      <w:pPr>
        <w:ind w:left="1399" w:hanging="180"/>
      </w:pPr>
      <w:rPr>
        <w:rFonts w:hint="default"/>
        <w:lang w:val="en-US" w:eastAsia="en-US" w:bidi="ar-SA"/>
      </w:rPr>
    </w:lvl>
    <w:lvl w:ilvl="7" w:tplc="28746AE6">
      <w:numFmt w:val="bullet"/>
      <w:lvlText w:val="•"/>
      <w:lvlJc w:val="left"/>
      <w:pPr>
        <w:ind w:left="1579" w:hanging="180"/>
      </w:pPr>
      <w:rPr>
        <w:rFonts w:hint="default"/>
        <w:lang w:val="en-US" w:eastAsia="en-US" w:bidi="ar-SA"/>
      </w:rPr>
    </w:lvl>
    <w:lvl w:ilvl="8" w:tplc="67D4C514">
      <w:numFmt w:val="bullet"/>
      <w:lvlText w:val="•"/>
      <w:lvlJc w:val="left"/>
      <w:pPr>
        <w:ind w:left="1759" w:hanging="180"/>
      </w:pPr>
      <w:rPr>
        <w:rFonts w:hint="default"/>
        <w:lang w:val="en-US" w:eastAsia="en-US" w:bidi="ar-SA"/>
      </w:rPr>
    </w:lvl>
  </w:abstractNum>
  <w:abstractNum w:abstractNumId="36" w15:restartNumberingAfterBreak="0">
    <w:nsid w:val="1B473146"/>
    <w:multiLevelType w:val="hybridMultilevel"/>
    <w:tmpl w:val="2D545EF6"/>
    <w:lvl w:ilvl="0" w:tplc="64E0519E">
      <w:numFmt w:val="bullet"/>
      <w:lvlText w:val="•"/>
      <w:lvlJc w:val="left"/>
      <w:pPr>
        <w:ind w:left="452" w:hanging="360"/>
      </w:pPr>
      <w:rPr>
        <w:rFonts w:ascii="Trebuchet MS" w:eastAsia="Trebuchet MS" w:hAnsi="Trebuchet MS" w:cs="Trebuchet MS" w:hint="default"/>
        <w:b w:val="0"/>
        <w:bCs w:val="0"/>
        <w:i w:val="0"/>
        <w:iCs w:val="0"/>
        <w:spacing w:val="0"/>
        <w:w w:val="89"/>
        <w:sz w:val="18"/>
        <w:szCs w:val="18"/>
        <w:lang w:val="en-US" w:eastAsia="en-US" w:bidi="ar-SA"/>
      </w:rPr>
    </w:lvl>
    <w:lvl w:ilvl="1" w:tplc="8B2ED4E6">
      <w:numFmt w:val="bullet"/>
      <w:lvlText w:val="•"/>
      <w:lvlJc w:val="left"/>
      <w:pPr>
        <w:ind w:left="1189" w:hanging="360"/>
      </w:pPr>
      <w:rPr>
        <w:rFonts w:hint="default"/>
        <w:lang w:val="en-US" w:eastAsia="en-US" w:bidi="ar-SA"/>
      </w:rPr>
    </w:lvl>
    <w:lvl w:ilvl="2" w:tplc="04BAA9A0">
      <w:numFmt w:val="bullet"/>
      <w:lvlText w:val="•"/>
      <w:lvlJc w:val="left"/>
      <w:pPr>
        <w:ind w:left="1919" w:hanging="360"/>
      </w:pPr>
      <w:rPr>
        <w:rFonts w:hint="default"/>
        <w:lang w:val="en-US" w:eastAsia="en-US" w:bidi="ar-SA"/>
      </w:rPr>
    </w:lvl>
    <w:lvl w:ilvl="3" w:tplc="D92E33F6">
      <w:numFmt w:val="bullet"/>
      <w:lvlText w:val="•"/>
      <w:lvlJc w:val="left"/>
      <w:pPr>
        <w:ind w:left="2648" w:hanging="360"/>
      </w:pPr>
      <w:rPr>
        <w:rFonts w:hint="default"/>
        <w:lang w:val="en-US" w:eastAsia="en-US" w:bidi="ar-SA"/>
      </w:rPr>
    </w:lvl>
    <w:lvl w:ilvl="4" w:tplc="D11EF0C0">
      <w:numFmt w:val="bullet"/>
      <w:lvlText w:val="•"/>
      <w:lvlJc w:val="left"/>
      <w:pPr>
        <w:ind w:left="3378" w:hanging="360"/>
      </w:pPr>
      <w:rPr>
        <w:rFonts w:hint="default"/>
        <w:lang w:val="en-US" w:eastAsia="en-US" w:bidi="ar-SA"/>
      </w:rPr>
    </w:lvl>
    <w:lvl w:ilvl="5" w:tplc="9F3A25A6">
      <w:numFmt w:val="bullet"/>
      <w:lvlText w:val="•"/>
      <w:lvlJc w:val="left"/>
      <w:pPr>
        <w:ind w:left="4108" w:hanging="360"/>
      </w:pPr>
      <w:rPr>
        <w:rFonts w:hint="default"/>
        <w:lang w:val="en-US" w:eastAsia="en-US" w:bidi="ar-SA"/>
      </w:rPr>
    </w:lvl>
    <w:lvl w:ilvl="6" w:tplc="DAC2F7C2">
      <w:numFmt w:val="bullet"/>
      <w:lvlText w:val="•"/>
      <w:lvlJc w:val="left"/>
      <w:pPr>
        <w:ind w:left="4837" w:hanging="360"/>
      </w:pPr>
      <w:rPr>
        <w:rFonts w:hint="default"/>
        <w:lang w:val="en-US" w:eastAsia="en-US" w:bidi="ar-SA"/>
      </w:rPr>
    </w:lvl>
    <w:lvl w:ilvl="7" w:tplc="526C8CA8">
      <w:numFmt w:val="bullet"/>
      <w:lvlText w:val="•"/>
      <w:lvlJc w:val="left"/>
      <w:pPr>
        <w:ind w:left="5567" w:hanging="360"/>
      </w:pPr>
      <w:rPr>
        <w:rFonts w:hint="default"/>
        <w:lang w:val="en-US" w:eastAsia="en-US" w:bidi="ar-SA"/>
      </w:rPr>
    </w:lvl>
    <w:lvl w:ilvl="8" w:tplc="A07C5738">
      <w:numFmt w:val="bullet"/>
      <w:lvlText w:val="•"/>
      <w:lvlJc w:val="left"/>
      <w:pPr>
        <w:ind w:left="6296" w:hanging="360"/>
      </w:pPr>
      <w:rPr>
        <w:rFonts w:hint="default"/>
        <w:lang w:val="en-US" w:eastAsia="en-US" w:bidi="ar-SA"/>
      </w:rPr>
    </w:lvl>
  </w:abstractNum>
  <w:abstractNum w:abstractNumId="37" w15:restartNumberingAfterBreak="0">
    <w:nsid w:val="1B5F4426"/>
    <w:multiLevelType w:val="hybridMultilevel"/>
    <w:tmpl w:val="2DC8B28E"/>
    <w:lvl w:ilvl="0" w:tplc="790A0360">
      <w:numFmt w:val="bullet"/>
      <w:lvlText w:val="•"/>
      <w:lvlJc w:val="left"/>
      <w:pPr>
        <w:ind w:left="461" w:hanging="360"/>
      </w:pPr>
      <w:rPr>
        <w:rFonts w:ascii="Trebuchet MS" w:eastAsia="Trebuchet MS" w:hAnsi="Trebuchet MS" w:cs="Trebuchet MS" w:hint="default"/>
        <w:b w:val="0"/>
        <w:bCs w:val="0"/>
        <w:i w:val="0"/>
        <w:iCs w:val="0"/>
        <w:spacing w:val="0"/>
        <w:w w:val="89"/>
        <w:sz w:val="18"/>
        <w:szCs w:val="18"/>
        <w:lang w:val="en-US" w:eastAsia="en-US" w:bidi="ar-SA"/>
      </w:rPr>
    </w:lvl>
    <w:lvl w:ilvl="1" w:tplc="C9426DCE">
      <w:numFmt w:val="bullet"/>
      <w:lvlText w:val="•"/>
      <w:lvlJc w:val="left"/>
      <w:pPr>
        <w:ind w:left="1100" w:hanging="360"/>
      </w:pPr>
      <w:rPr>
        <w:rFonts w:hint="default"/>
        <w:lang w:val="en-US" w:eastAsia="en-US" w:bidi="ar-SA"/>
      </w:rPr>
    </w:lvl>
    <w:lvl w:ilvl="2" w:tplc="E9144530">
      <w:numFmt w:val="bullet"/>
      <w:lvlText w:val="•"/>
      <w:lvlJc w:val="left"/>
      <w:pPr>
        <w:ind w:left="1740" w:hanging="360"/>
      </w:pPr>
      <w:rPr>
        <w:rFonts w:hint="default"/>
        <w:lang w:val="en-US" w:eastAsia="en-US" w:bidi="ar-SA"/>
      </w:rPr>
    </w:lvl>
    <w:lvl w:ilvl="3" w:tplc="C91CBB44">
      <w:numFmt w:val="bullet"/>
      <w:lvlText w:val="•"/>
      <w:lvlJc w:val="left"/>
      <w:pPr>
        <w:ind w:left="2380" w:hanging="360"/>
      </w:pPr>
      <w:rPr>
        <w:rFonts w:hint="default"/>
        <w:lang w:val="en-US" w:eastAsia="en-US" w:bidi="ar-SA"/>
      </w:rPr>
    </w:lvl>
    <w:lvl w:ilvl="4" w:tplc="9C46C298">
      <w:numFmt w:val="bullet"/>
      <w:lvlText w:val="•"/>
      <w:lvlJc w:val="left"/>
      <w:pPr>
        <w:ind w:left="3021" w:hanging="360"/>
      </w:pPr>
      <w:rPr>
        <w:rFonts w:hint="default"/>
        <w:lang w:val="en-US" w:eastAsia="en-US" w:bidi="ar-SA"/>
      </w:rPr>
    </w:lvl>
    <w:lvl w:ilvl="5" w:tplc="BCDE1782">
      <w:numFmt w:val="bullet"/>
      <w:lvlText w:val="•"/>
      <w:lvlJc w:val="left"/>
      <w:pPr>
        <w:ind w:left="3661" w:hanging="360"/>
      </w:pPr>
      <w:rPr>
        <w:rFonts w:hint="default"/>
        <w:lang w:val="en-US" w:eastAsia="en-US" w:bidi="ar-SA"/>
      </w:rPr>
    </w:lvl>
    <w:lvl w:ilvl="6" w:tplc="44C6EAC0">
      <w:numFmt w:val="bullet"/>
      <w:lvlText w:val="•"/>
      <w:lvlJc w:val="left"/>
      <w:pPr>
        <w:ind w:left="4301" w:hanging="360"/>
      </w:pPr>
      <w:rPr>
        <w:rFonts w:hint="default"/>
        <w:lang w:val="en-US" w:eastAsia="en-US" w:bidi="ar-SA"/>
      </w:rPr>
    </w:lvl>
    <w:lvl w:ilvl="7" w:tplc="8EE8CC56">
      <w:numFmt w:val="bullet"/>
      <w:lvlText w:val="•"/>
      <w:lvlJc w:val="left"/>
      <w:pPr>
        <w:ind w:left="4942" w:hanging="360"/>
      </w:pPr>
      <w:rPr>
        <w:rFonts w:hint="default"/>
        <w:lang w:val="en-US" w:eastAsia="en-US" w:bidi="ar-SA"/>
      </w:rPr>
    </w:lvl>
    <w:lvl w:ilvl="8" w:tplc="7EF0602A">
      <w:numFmt w:val="bullet"/>
      <w:lvlText w:val="•"/>
      <w:lvlJc w:val="left"/>
      <w:pPr>
        <w:ind w:left="5582" w:hanging="360"/>
      </w:pPr>
      <w:rPr>
        <w:rFonts w:hint="default"/>
        <w:lang w:val="en-US" w:eastAsia="en-US" w:bidi="ar-SA"/>
      </w:rPr>
    </w:lvl>
  </w:abstractNum>
  <w:abstractNum w:abstractNumId="38" w15:restartNumberingAfterBreak="0">
    <w:nsid w:val="1CA35D48"/>
    <w:multiLevelType w:val="hybridMultilevel"/>
    <w:tmpl w:val="A6F6C9CC"/>
    <w:lvl w:ilvl="0" w:tplc="325E9E34">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A2925D1E">
      <w:numFmt w:val="bullet"/>
      <w:lvlText w:val="•"/>
      <w:lvlJc w:val="left"/>
      <w:pPr>
        <w:ind w:left="1723" w:hanging="360"/>
      </w:pPr>
      <w:rPr>
        <w:rFonts w:hint="default"/>
        <w:lang w:val="en-US" w:eastAsia="en-US" w:bidi="ar-SA"/>
      </w:rPr>
    </w:lvl>
    <w:lvl w:ilvl="2" w:tplc="B70A7B68">
      <w:numFmt w:val="bullet"/>
      <w:lvlText w:val="•"/>
      <w:lvlJc w:val="left"/>
      <w:pPr>
        <w:ind w:left="2587" w:hanging="360"/>
      </w:pPr>
      <w:rPr>
        <w:rFonts w:hint="default"/>
        <w:lang w:val="en-US" w:eastAsia="en-US" w:bidi="ar-SA"/>
      </w:rPr>
    </w:lvl>
    <w:lvl w:ilvl="3" w:tplc="D6446776">
      <w:numFmt w:val="bullet"/>
      <w:lvlText w:val="•"/>
      <w:lvlJc w:val="left"/>
      <w:pPr>
        <w:ind w:left="3451" w:hanging="360"/>
      </w:pPr>
      <w:rPr>
        <w:rFonts w:hint="default"/>
        <w:lang w:val="en-US" w:eastAsia="en-US" w:bidi="ar-SA"/>
      </w:rPr>
    </w:lvl>
    <w:lvl w:ilvl="4" w:tplc="8188E250">
      <w:numFmt w:val="bullet"/>
      <w:lvlText w:val="•"/>
      <w:lvlJc w:val="left"/>
      <w:pPr>
        <w:ind w:left="4315" w:hanging="360"/>
      </w:pPr>
      <w:rPr>
        <w:rFonts w:hint="default"/>
        <w:lang w:val="en-US" w:eastAsia="en-US" w:bidi="ar-SA"/>
      </w:rPr>
    </w:lvl>
    <w:lvl w:ilvl="5" w:tplc="BABE86D4">
      <w:numFmt w:val="bullet"/>
      <w:lvlText w:val="•"/>
      <w:lvlJc w:val="left"/>
      <w:pPr>
        <w:ind w:left="5179" w:hanging="360"/>
      </w:pPr>
      <w:rPr>
        <w:rFonts w:hint="default"/>
        <w:lang w:val="en-US" w:eastAsia="en-US" w:bidi="ar-SA"/>
      </w:rPr>
    </w:lvl>
    <w:lvl w:ilvl="6" w:tplc="F4A893C6">
      <w:numFmt w:val="bullet"/>
      <w:lvlText w:val="•"/>
      <w:lvlJc w:val="left"/>
      <w:pPr>
        <w:ind w:left="6043" w:hanging="360"/>
      </w:pPr>
      <w:rPr>
        <w:rFonts w:hint="default"/>
        <w:lang w:val="en-US" w:eastAsia="en-US" w:bidi="ar-SA"/>
      </w:rPr>
    </w:lvl>
    <w:lvl w:ilvl="7" w:tplc="7CD6A6B2">
      <w:numFmt w:val="bullet"/>
      <w:lvlText w:val="•"/>
      <w:lvlJc w:val="left"/>
      <w:pPr>
        <w:ind w:left="6906" w:hanging="360"/>
      </w:pPr>
      <w:rPr>
        <w:rFonts w:hint="default"/>
        <w:lang w:val="en-US" w:eastAsia="en-US" w:bidi="ar-SA"/>
      </w:rPr>
    </w:lvl>
    <w:lvl w:ilvl="8" w:tplc="8AD4929A">
      <w:numFmt w:val="bullet"/>
      <w:lvlText w:val="•"/>
      <w:lvlJc w:val="left"/>
      <w:pPr>
        <w:ind w:left="7770" w:hanging="360"/>
      </w:pPr>
      <w:rPr>
        <w:rFonts w:hint="default"/>
        <w:lang w:val="en-US" w:eastAsia="en-US" w:bidi="ar-SA"/>
      </w:rPr>
    </w:lvl>
  </w:abstractNum>
  <w:abstractNum w:abstractNumId="39" w15:restartNumberingAfterBreak="0">
    <w:nsid w:val="1D492FB6"/>
    <w:multiLevelType w:val="multilevel"/>
    <w:tmpl w:val="2E82BA72"/>
    <w:lvl w:ilvl="0">
      <w:start w:val="3"/>
      <w:numFmt w:val="decimal"/>
      <w:lvlText w:val="%1"/>
      <w:lvlJc w:val="left"/>
      <w:pPr>
        <w:ind w:left="503" w:hanging="452"/>
        <w:jc w:val="left"/>
      </w:pPr>
      <w:rPr>
        <w:rFonts w:hint="default"/>
        <w:lang w:val="en-US" w:eastAsia="en-US" w:bidi="ar-SA"/>
      </w:rPr>
    </w:lvl>
    <w:lvl w:ilvl="1">
      <w:start w:val="1"/>
      <w:numFmt w:val="decimal"/>
      <w:lvlText w:val="%1.%2"/>
      <w:lvlJc w:val="left"/>
      <w:pPr>
        <w:ind w:left="503" w:hanging="452"/>
        <w:jc w:val="left"/>
      </w:pPr>
      <w:rPr>
        <w:rFonts w:ascii="Calibri" w:eastAsia="Calibri" w:hAnsi="Calibri" w:cs="Calibri" w:hint="default"/>
        <w:b/>
        <w:bCs/>
        <w:i w:val="0"/>
        <w:iCs w:val="0"/>
        <w:color w:val="00ACA3"/>
        <w:spacing w:val="-2"/>
        <w:w w:val="100"/>
        <w:sz w:val="22"/>
        <w:szCs w:val="22"/>
        <w:lang w:val="en-US" w:eastAsia="en-US" w:bidi="ar-SA"/>
      </w:rPr>
    </w:lvl>
    <w:lvl w:ilvl="2">
      <w:numFmt w:val="bullet"/>
      <w:lvlText w:val="•"/>
      <w:lvlJc w:val="left"/>
      <w:pPr>
        <w:ind w:left="2356" w:hanging="452"/>
      </w:pPr>
      <w:rPr>
        <w:rFonts w:hint="default"/>
        <w:lang w:val="en-US" w:eastAsia="en-US" w:bidi="ar-SA"/>
      </w:rPr>
    </w:lvl>
    <w:lvl w:ilvl="3">
      <w:numFmt w:val="bullet"/>
      <w:lvlText w:val="•"/>
      <w:lvlJc w:val="left"/>
      <w:pPr>
        <w:ind w:left="3284" w:hanging="452"/>
      </w:pPr>
      <w:rPr>
        <w:rFonts w:hint="default"/>
        <w:lang w:val="en-US" w:eastAsia="en-US" w:bidi="ar-SA"/>
      </w:rPr>
    </w:lvl>
    <w:lvl w:ilvl="4">
      <w:numFmt w:val="bullet"/>
      <w:lvlText w:val="•"/>
      <w:lvlJc w:val="left"/>
      <w:pPr>
        <w:ind w:left="4212" w:hanging="452"/>
      </w:pPr>
      <w:rPr>
        <w:rFonts w:hint="default"/>
        <w:lang w:val="en-US" w:eastAsia="en-US" w:bidi="ar-SA"/>
      </w:rPr>
    </w:lvl>
    <w:lvl w:ilvl="5">
      <w:numFmt w:val="bullet"/>
      <w:lvlText w:val="•"/>
      <w:lvlJc w:val="left"/>
      <w:pPr>
        <w:ind w:left="5140" w:hanging="452"/>
      </w:pPr>
      <w:rPr>
        <w:rFonts w:hint="default"/>
        <w:lang w:val="en-US" w:eastAsia="en-US" w:bidi="ar-SA"/>
      </w:rPr>
    </w:lvl>
    <w:lvl w:ilvl="6">
      <w:numFmt w:val="bullet"/>
      <w:lvlText w:val="•"/>
      <w:lvlJc w:val="left"/>
      <w:pPr>
        <w:ind w:left="6068" w:hanging="452"/>
      </w:pPr>
      <w:rPr>
        <w:rFonts w:hint="default"/>
        <w:lang w:val="en-US" w:eastAsia="en-US" w:bidi="ar-SA"/>
      </w:rPr>
    </w:lvl>
    <w:lvl w:ilvl="7">
      <w:numFmt w:val="bullet"/>
      <w:lvlText w:val="•"/>
      <w:lvlJc w:val="left"/>
      <w:pPr>
        <w:ind w:left="6996" w:hanging="452"/>
      </w:pPr>
      <w:rPr>
        <w:rFonts w:hint="default"/>
        <w:lang w:val="en-US" w:eastAsia="en-US" w:bidi="ar-SA"/>
      </w:rPr>
    </w:lvl>
    <w:lvl w:ilvl="8">
      <w:numFmt w:val="bullet"/>
      <w:lvlText w:val="•"/>
      <w:lvlJc w:val="left"/>
      <w:pPr>
        <w:ind w:left="7925" w:hanging="452"/>
      </w:pPr>
      <w:rPr>
        <w:rFonts w:hint="default"/>
        <w:lang w:val="en-US" w:eastAsia="en-US" w:bidi="ar-SA"/>
      </w:rPr>
    </w:lvl>
  </w:abstractNum>
  <w:abstractNum w:abstractNumId="40" w15:restartNumberingAfterBreak="0">
    <w:nsid w:val="20D418AB"/>
    <w:multiLevelType w:val="hybridMultilevel"/>
    <w:tmpl w:val="07C679DE"/>
    <w:lvl w:ilvl="0" w:tplc="992E0F5C">
      <w:numFmt w:val="bullet"/>
      <w:lvlText w:val="•"/>
      <w:lvlJc w:val="left"/>
      <w:pPr>
        <w:ind w:left="310" w:hanging="180"/>
      </w:pPr>
      <w:rPr>
        <w:rFonts w:ascii="Trebuchet MS" w:eastAsia="Trebuchet MS" w:hAnsi="Trebuchet MS" w:cs="Trebuchet MS" w:hint="default"/>
        <w:b w:val="0"/>
        <w:bCs w:val="0"/>
        <w:i w:val="0"/>
        <w:iCs w:val="0"/>
        <w:spacing w:val="0"/>
        <w:w w:val="89"/>
        <w:sz w:val="18"/>
        <w:szCs w:val="18"/>
        <w:lang w:val="en-US" w:eastAsia="en-US" w:bidi="ar-SA"/>
      </w:rPr>
    </w:lvl>
    <w:lvl w:ilvl="1" w:tplc="C0062E7E">
      <w:numFmt w:val="bullet"/>
      <w:lvlText w:val="•"/>
      <w:lvlJc w:val="left"/>
      <w:pPr>
        <w:ind w:left="497" w:hanging="180"/>
      </w:pPr>
      <w:rPr>
        <w:rFonts w:hint="default"/>
        <w:lang w:val="en-US" w:eastAsia="en-US" w:bidi="ar-SA"/>
      </w:rPr>
    </w:lvl>
    <w:lvl w:ilvl="2" w:tplc="255233C8">
      <w:numFmt w:val="bullet"/>
      <w:lvlText w:val="•"/>
      <w:lvlJc w:val="left"/>
      <w:pPr>
        <w:ind w:left="675" w:hanging="180"/>
      </w:pPr>
      <w:rPr>
        <w:rFonts w:hint="default"/>
        <w:lang w:val="en-US" w:eastAsia="en-US" w:bidi="ar-SA"/>
      </w:rPr>
    </w:lvl>
    <w:lvl w:ilvl="3" w:tplc="05BC5736">
      <w:numFmt w:val="bullet"/>
      <w:lvlText w:val="•"/>
      <w:lvlJc w:val="left"/>
      <w:pPr>
        <w:ind w:left="853" w:hanging="180"/>
      </w:pPr>
      <w:rPr>
        <w:rFonts w:hint="default"/>
        <w:lang w:val="en-US" w:eastAsia="en-US" w:bidi="ar-SA"/>
      </w:rPr>
    </w:lvl>
    <w:lvl w:ilvl="4" w:tplc="1264C32A">
      <w:numFmt w:val="bullet"/>
      <w:lvlText w:val="•"/>
      <w:lvlJc w:val="left"/>
      <w:pPr>
        <w:ind w:left="1031" w:hanging="180"/>
      </w:pPr>
      <w:rPr>
        <w:rFonts w:hint="default"/>
        <w:lang w:val="en-US" w:eastAsia="en-US" w:bidi="ar-SA"/>
      </w:rPr>
    </w:lvl>
    <w:lvl w:ilvl="5" w:tplc="D27EEC86">
      <w:numFmt w:val="bullet"/>
      <w:lvlText w:val="•"/>
      <w:lvlJc w:val="left"/>
      <w:pPr>
        <w:ind w:left="1209" w:hanging="180"/>
      </w:pPr>
      <w:rPr>
        <w:rFonts w:hint="default"/>
        <w:lang w:val="en-US" w:eastAsia="en-US" w:bidi="ar-SA"/>
      </w:rPr>
    </w:lvl>
    <w:lvl w:ilvl="6" w:tplc="70F6E8B2">
      <w:numFmt w:val="bullet"/>
      <w:lvlText w:val="•"/>
      <w:lvlJc w:val="left"/>
      <w:pPr>
        <w:ind w:left="1387" w:hanging="180"/>
      </w:pPr>
      <w:rPr>
        <w:rFonts w:hint="default"/>
        <w:lang w:val="en-US" w:eastAsia="en-US" w:bidi="ar-SA"/>
      </w:rPr>
    </w:lvl>
    <w:lvl w:ilvl="7" w:tplc="BC6AAEEC">
      <w:numFmt w:val="bullet"/>
      <w:lvlText w:val="•"/>
      <w:lvlJc w:val="left"/>
      <w:pPr>
        <w:ind w:left="1565" w:hanging="180"/>
      </w:pPr>
      <w:rPr>
        <w:rFonts w:hint="default"/>
        <w:lang w:val="en-US" w:eastAsia="en-US" w:bidi="ar-SA"/>
      </w:rPr>
    </w:lvl>
    <w:lvl w:ilvl="8" w:tplc="09F8F21C">
      <w:numFmt w:val="bullet"/>
      <w:lvlText w:val="•"/>
      <w:lvlJc w:val="left"/>
      <w:pPr>
        <w:ind w:left="1743" w:hanging="180"/>
      </w:pPr>
      <w:rPr>
        <w:rFonts w:hint="default"/>
        <w:lang w:val="en-US" w:eastAsia="en-US" w:bidi="ar-SA"/>
      </w:rPr>
    </w:lvl>
  </w:abstractNum>
  <w:abstractNum w:abstractNumId="41" w15:restartNumberingAfterBreak="0">
    <w:nsid w:val="21AF7320"/>
    <w:multiLevelType w:val="hybridMultilevel"/>
    <w:tmpl w:val="B8120E9A"/>
    <w:lvl w:ilvl="0" w:tplc="862A92F0">
      <w:numFmt w:val="bullet"/>
      <w:lvlText w:val="•"/>
      <w:lvlJc w:val="left"/>
      <w:pPr>
        <w:ind w:left="310" w:hanging="180"/>
      </w:pPr>
      <w:rPr>
        <w:rFonts w:ascii="Trebuchet MS" w:eastAsia="Trebuchet MS" w:hAnsi="Trebuchet MS" w:cs="Trebuchet MS" w:hint="default"/>
        <w:b w:val="0"/>
        <w:bCs w:val="0"/>
        <w:i w:val="0"/>
        <w:iCs w:val="0"/>
        <w:spacing w:val="0"/>
        <w:w w:val="89"/>
        <w:sz w:val="18"/>
        <w:szCs w:val="18"/>
        <w:lang w:val="en-US" w:eastAsia="en-US" w:bidi="ar-SA"/>
      </w:rPr>
    </w:lvl>
    <w:lvl w:ilvl="1" w:tplc="8CF2AE34">
      <w:numFmt w:val="bullet"/>
      <w:lvlText w:val="•"/>
      <w:lvlJc w:val="left"/>
      <w:pPr>
        <w:ind w:left="497" w:hanging="180"/>
      </w:pPr>
      <w:rPr>
        <w:rFonts w:hint="default"/>
        <w:lang w:val="en-US" w:eastAsia="en-US" w:bidi="ar-SA"/>
      </w:rPr>
    </w:lvl>
    <w:lvl w:ilvl="2" w:tplc="A590FBE0">
      <w:numFmt w:val="bullet"/>
      <w:lvlText w:val="•"/>
      <w:lvlJc w:val="left"/>
      <w:pPr>
        <w:ind w:left="675" w:hanging="180"/>
      </w:pPr>
      <w:rPr>
        <w:rFonts w:hint="default"/>
        <w:lang w:val="en-US" w:eastAsia="en-US" w:bidi="ar-SA"/>
      </w:rPr>
    </w:lvl>
    <w:lvl w:ilvl="3" w:tplc="6B8A265C">
      <w:numFmt w:val="bullet"/>
      <w:lvlText w:val="•"/>
      <w:lvlJc w:val="left"/>
      <w:pPr>
        <w:ind w:left="853" w:hanging="180"/>
      </w:pPr>
      <w:rPr>
        <w:rFonts w:hint="default"/>
        <w:lang w:val="en-US" w:eastAsia="en-US" w:bidi="ar-SA"/>
      </w:rPr>
    </w:lvl>
    <w:lvl w:ilvl="4" w:tplc="DC74120A">
      <w:numFmt w:val="bullet"/>
      <w:lvlText w:val="•"/>
      <w:lvlJc w:val="left"/>
      <w:pPr>
        <w:ind w:left="1031" w:hanging="180"/>
      </w:pPr>
      <w:rPr>
        <w:rFonts w:hint="default"/>
        <w:lang w:val="en-US" w:eastAsia="en-US" w:bidi="ar-SA"/>
      </w:rPr>
    </w:lvl>
    <w:lvl w:ilvl="5" w:tplc="733432A6">
      <w:numFmt w:val="bullet"/>
      <w:lvlText w:val="•"/>
      <w:lvlJc w:val="left"/>
      <w:pPr>
        <w:ind w:left="1209" w:hanging="180"/>
      </w:pPr>
      <w:rPr>
        <w:rFonts w:hint="default"/>
        <w:lang w:val="en-US" w:eastAsia="en-US" w:bidi="ar-SA"/>
      </w:rPr>
    </w:lvl>
    <w:lvl w:ilvl="6" w:tplc="6EECE250">
      <w:numFmt w:val="bullet"/>
      <w:lvlText w:val="•"/>
      <w:lvlJc w:val="left"/>
      <w:pPr>
        <w:ind w:left="1387" w:hanging="180"/>
      </w:pPr>
      <w:rPr>
        <w:rFonts w:hint="default"/>
        <w:lang w:val="en-US" w:eastAsia="en-US" w:bidi="ar-SA"/>
      </w:rPr>
    </w:lvl>
    <w:lvl w:ilvl="7" w:tplc="9D6E30D6">
      <w:numFmt w:val="bullet"/>
      <w:lvlText w:val="•"/>
      <w:lvlJc w:val="left"/>
      <w:pPr>
        <w:ind w:left="1565" w:hanging="180"/>
      </w:pPr>
      <w:rPr>
        <w:rFonts w:hint="default"/>
        <w:lang w:val="en-US" w:eastAsia="en-US" w:bidi="ar-SA"/>
      </w:rPr>
    </w:lvl>
    <w:lvl w:ilvl="8" w:tplc="F81E1C98">
      <w:numFmt w:val="bullet"/>
      <w:lvlText w:val="•"/>
      <w:lvlJc w:val="left"/>
      <w:pPr>
        <w:ind w:left="1743" w:hanging="180"/>
      </w:pPr>
      <w:rPr>
        <w:rFonts w:hint="default"/>
        <w:lang w:val="en-US" w:eastAsia="en-US" w:bidi="ar-SA"/>
      </w:rPr>
    </w:lvl>
  </w:abstractNum>
  <w:abstractNum w:abstractNumId="42" w15:restartNumberingAfterBreak="0">
    <w:nsid w:val="21B12F00"/>
    <w:multiLevelType w:val="hybridMultilevel"/>
    <w:tmpl w:val="A7364D94"/>
    <w:lvl w:ilvl="0" w:tplc="82102D5E">
      <w:numFmt w:val="bullet"/>
      <w:lvlText w:val="•"/>
      <w:lvlJc w:val="left"/>
      <w:pPr>
        <w:ind w:left="455" w:hanging="360"/>
      </w:pPr>
      <w:rPr>
        <w:rFonts w:ascii="Trebuchet MS" w:eastAsia="Trebuchet MS" w:hAnsi="Trebuchet MS" w:cs="Trebuchet MS" w:hint="default"/>
        <w:b w:val="0"/>
        <w:bCs w:val="0"/>
        <w:i w:val="0"/>
        <w:iCs w:val="0"/>
        <w:spacing w:val="0"/>
        <w:w w:val="89"/>
        <w:sz w:val="18"/>
        <w:szCs w:val="18"/>
        <w:lang w:val="en-US" w:eastAsia="en-US" w:bidi="ar-SA"/>
      </w:rPr>
    </w:lvl>
    <w:lvl w:ilvl="1" w:tplc="C660CFEE">
      <w:numFmt w:val="bullet"/>
      <w:lvlText w:val="•"/>
      <w:lvlJc w:val="left"/>
      <w:pPr>
        <w:ind w:left="1115" w:hanging="360"/>
      </w:pPr>
      <w:rPr>
        <w:rFonts w:hint="default"/>
        <w:lang w:val="en-US" w:eastAsia="en-US" w:bidi="ar-SA"/>
      </w:rPr>
    </w:lvl>
    <w:lvl w:ilvl="2" w:tplc="99EEB85E">
      <w:numFmt w:val="bullet"/>
      <w:lvlText w:val="•"/>
      <w:lvlJc w:val="left"/>
      <w:pPr>
        <w:ind w:left="1771" w:hanging="360"/>
      </w:pPr>
      <w:rPr>
        <w:rFonts w:hint="default"/>
        <w:lang w:val="en-US" w:eastAsia="en-US" w:bidi="ar-SA"/>
      </w:rPr>
    </w:lvl>
    <w:lvl w:ilvl="3" w:tplc="94C030B6">
      <w:numFmt w:val="bullet"/>
      <w:lvlText w:val="•"/>
      <w:lvlJc w:val="left"/>
      <w:pPr>
        <w:ind w:left="2426" w:hanging="360"/>
      </w:pPr>
      <w:rPr>
        <w:rFonts w:hint="default"/>
        <w:lang w:val="en-US" w:eastAsia="en-US" w:bidi="ar-SA"/>
      </w:rPr>
    </w:lvl>
    <w:lvl w:ilvl="4" w:tplc="FEBC229A">
      <w:numFmt w:val="bullet"/>
      <w:lvlText w:val="•"/>
      <w:lvlJc w:val="left"/>
      <w:pPr>
        <w:ind w:left="3082" w:hanging="360"/>
      </w:pPr>
      <w:rPr>
        <w:rFonts w:hint="default"/>
        <w:lang w:val="en-US" w:eastAsia="en-US" w:bidi="ar-SA"/>
      </w:rPr>
    </w:lvl>
    <w:lvl w:ilvl="5" w:tplc="CAC6BE9C">
      <w:numFmt w:val="bullet"/>
      <w:lvlText w:val="•"/>
      <w:lvlJc w:val="left"/>
      <w:pPr>
        <w:ind w:left="3737" w:hanging="360"/>
      </w:pPr>
      <w:rPr>
        <w:rFonts w:hint="default"/>
        <w:lang w:val="en-US" w:eastAsia="en-US" w:bidi="ar-SA"/>
      </w:rPr>
    </w:lvl>
    <w:lvl w:ilvl="6" w:tplc="F0E40266">
      <w:numFmt w:val="bullet"/>
      <w:lvlText w:val="•"/>
      <w:lvlJc w:val="left"/>
      <w:pPr>
        <w:ind w:left="4393" w:hanging="360"/>
      </w:pPr>
      <w:rPr>
        <w:rFonts w:hint="default"/>
        <w:lang w:val="en-US" w:eastAsia="en-US" w:bidi="ar-SA"/>
      </w:rPr>
    </w:lvl>
    <w:lvl w:ilvl="7" w:tplc="3A983D50">
      <w:numFmt w:val="bullet"/>
      <w:lvlText w:val="•"/>
      <w:lvlJc w:val="left"/>
      <w:pPr>
        <w:ind w:left="5048" w:hanging="360"/>
      </w:pPr>
      <w:rPr>
        <w:rFonts w:hint="default"/>
        <w:lang w:val="en-US" w:eastAsia="en-US" w:bidi="ar-SA"/>
      </w:rPr>
    </w:lvl>
    <w:lvl w:ilvl="8" w:tplc="82242170">
      <w:numFmt w:val="bullet"/>
      <w:lvlText w:val="•"/>
      <w:lvlJc w:val="left"/>
      <w:pPr>
        <w:ind w:left="5704" w:hanging="360"/>
      </w:pPr>
      <w:rPr>
        <w:rFonts w:hint="default"/>
        <w:lang w:val="en-US" w:eastAsia="en-US" w:bidi="ar-SA"/>
      </w:rPr>
    </w:lvl>
  </w:abstractNum>
  <w:abstractNum w:abstractNumId="43" w15:restartNumberingAfterBreak="0">
    <w:nsid w:val="222648D4"/>
    <w:multiLevelType w:val="hybridMultilevel"/>
    <w:tmpl w:val="73BC5A92"/>
    <w:lvl w:ilvl="0" w:tplc="FC56F5A2">
      <w:numFmt w:val="bullet"/>
      <w:lvlText w:val="•"/>
      <w:lvlJc w:val="left"/>
      <w:pPr>
        <w:ind w:left="439" w:hanging="360"/>
      </w:pPr>
      <w:rPr>
        <w:rFonts w:ascii="Trebuchet MS" w:eastAsia="Trebuchet MS" w:hAnsi="Trebuchet MS" w:cs="Trebuchet MS" w:hint="default"/>
        <w:b w:val="0"/>
        <w:bCs w:val="0"/>
        <w:i w:val="0"/>
        <w:iCs w:val="0"/>
        <w:spacing w:val="0"/>
        <w:w w:val="89"/>
        <w:sz w:val="18"/>
        <w:szCs w:val="18"/>
        <w:lang w:val="en-US" w:eastAsia="en-US" w:bidi="ar-SA"/>
      </w:rPr>
    </w:lvl>
    <w:lvl w:ilvl="1" w:tplc="C9766586">
      <w:numFmt w:val="bullet"/>
      <w:lvlText w:val="•"/>
      <w:lvlJc w:val="left"/>
      <w:pPr>
        <w:ind w:left="1154" w:hanging="360"/>
      </w:pPr>
      <w:rPr>
        <w:rFonts w:hint="default"/>
        <w:lang w:val="en-US" w:eastAsia="en-US" w:bidi="ar-SA"/>
      </w:rPr>
    </w:lvl>
    <w:lvl w:ilvl="2" w:tplc="62802010">
      <w:numFmt w:val="bullet"/>
      <w:lvlText w:val="•"/>
      <w:lvlJc w:val="left"/>
      <w:pPr>
        <w:ind w:left="1868" w:hanging="360"/>
      </w:pPr>
      <w:rPr>
        <w:rFonts w:hint="default"/>
        <w:lang w:val="en-US" w:eastAsia="en-US" w:bidi="ar-SA"/>
      </w:rPr>
    </w:lvl>
    <w:lvl w:ilvl="3" w:tplc="7D049568">
      <w:numFmt w:val="bullet"/>
      <w:lvlText w:val="•"/>
      <w:lvlJc w:val="left"/>
      <w:pPr>
        <w:ind w:left="2582" w:hanging="360"/>
      </w:pPr>
      <w:rPr>
        <w:rFonts w:hint="default"/>
        <w:lang w:val="en-US" w:eastAsia="en-US" w:bidi="ar-SA"/>
      </w:rPr>
    </w:lvl>
    <w:lvl w:ilvl="4" w:tplc="343C5588">
      <w:numFmt w:val="bullet"/>
      <w:lvlText w:val="•"/>
      <w:lvlJc w:val="left"/>
      <w:pPr>
        <w:ind w:left="3296" w:hanging="360"/>
      </w:pPr>
      <w:rPr>
        <w:rFonts w:hint="default"/>
        <w:lang w:val="en-US" w:eastAsia="en-US" w:bidi="ar-SA"/>
      </w:rPr>
    </w:lvl>
    <w:lvl w:ilvl="5" w:tplc="A578809E">
      <w:numFmt w:val="bullet"/>
      <w:lvlText w:val="•"/>
      <w:lvlJc w:val="left"/>
      <w:pPr>
        <w:ind w:left="4011" w:hanging="360"/>
      </w:pPr>
      <w:rPr>
        <w:rFonts w:hint="default"/>
        <w:lang w:val="en-US" w:eastAsia="en-US" w:bidi="ar-SA"/>
      </w:rPr>
    </w:lvl>
    <w:lvl w:ilvl="6" w:tplc="B1E42F18">
      <w:numFmt w:val="bullet"/>
      <w:lvlText w:val="•"/>
      <w:lvlJc w:val="left"/>
      <w:pPr>
        <w:ind w:left="4725" w:hanging="360"/>
      </w:pPr>
      <w:rPr>
        <w:rFonts w:hint="default"/>
        <w:lang w:val="en-US" w:eastAsia="en-US" w:bidi="ar-SA"/>
      </w:rPr>
    </w:lvl>
    <w:lvl w:ilvl="7" w:tplc="03FAE780">
      <w:numFmt w:val="bullet"/>
      <w:lvlText w:val="•"/>
      <w:lvlJc w:val="left"/>
      <w:pPr>
        <w:ind w:left="5439" w:hanging="360"/>
      </w:pPr>
      <w:rPr>
        <w:rFonts w:hint="default"/>
        <w:lang w:val="en-US" w:eastAsia="en-US" w:bidi="ar-SA"/>
      </w:rPr>
    </w:lvl>
    <w:lvl w:ilvl="8" w:tplc="E04680E6">
      <w:numFmt w:val="bullet"/>
      <w:lvlText w:val="•"/>
      <w:lvlJc w:val="left"/>
      <w:pPr>
        <w:ind w:left="6153" w:hanging="360"/>
      </w:pPr>
      <w:rPr>
        <w:rFonts w:hint="default"/>
        <w:lang w:val="en-US" w:eastAsia="en-US" w:bidi="ar-SA"/>
      </w:rPr>
    </w:lvl>
  </w:abstractNum>
  <w:abstractNum w:abstractNumId="44" w15:restartNumberingAfterBreak="0">
    <w:nsid w:val="22E72307"/>
    <w:multiLevelType w:val="hybridMultilevel"/>
    <w:tmpl w:val="EE3272A6"/>
    <w:lvl w:ilvl="0" w:tplc="EEF018AA">
      <w:numFmt w:val="bullet"/>
      <w:lvlText w:val="•"/>
      <w:lvlJc w:val="left"/>
      <w:pPr>
        <w:ind w:left="452" w:hanging="360"/>
      </w:pPr>
      <w:rPr>
        <w:rFonts w:ascii="Trebuchet MS" w:eastAsia="Trebuchet MS" w:hAnsi="Trebuchet MS" w:cs="Trebuchet MS" w:hint="default"/>
        <w:b w:val="0"/>
        <w:bCs w:val="0"/>
        <w:i w:val="0"/>
        <w:iCs w:val="0"/>
        <w:spacing w:val="0"/>
        <w:w w:val="89"/>
        <w:sz w:val="18"/>
        <w:szCs w:val="18"/>
        <w:lang w:val="en-US" w:eastAsia="en-US" w:bidi="ar-SA"/>
      </w:rPr>
    </w:lvl>
    <w:lvl w:ilvl="1" w:tplc="A85AEF38">
      <w:numFmt w:val="bullet"/>
      <w:lvlText w:val="•"/>
      <w:lvlJc w:val="left"/>
      <w:pPr>
        <w:ind w:left="1189" w:hanging="360"/>
      </w:pPr>
      <w:rPr>
        <w:rFonts w:hint="default"/>
        <w:lang w:val="en-US" w:eastAsia="en-US" w:bidi="ar-SA"/>
      </w:rPr>
    </w:lvl>
    <w:lvl w:ilvl="2" w:tplc="D468426C">
      <w:numFmt w:val="bullet"/>
      <w:lvlText w:val="•"/>
      <w:lvlJc w:val="left"/>
      <w:pPr>
        <w:ind w:left="1919" w:hanging="360"/>
      </w:pPr>
      <w:rPr>
        <w:rFonts w:hint="default"/>
        <w:lang w:val="en-US" w:eastAsia="en-US" w:bidi="ar-SA"/>
      </w:rPr>
    </w:lvl>
    <w:lvl w:ilvl="3" w:tplc="A3EE8AD2">
      <w:numFmt w:val="bullet"/>
      <w:lvlText w:val="•"/>
      <w:lvlJc w:val="left"/>
      <w:pPr>
        <w:ind w:left="2648" w:hanging="360"/>
      </w:pPr>
      <w:rPr>
        <w:rFonts w:hint="default"/>
        <w:lang w:val="en-US" w:eastAsia="en-US" w:bidi="ar-SA"/>
      </w:rPr>
    </w:lvl>
    <w:lvl w:ilvl="4" w:tplc="02BA128A">
      <w:numFmt w:val="bullet"/>
      <w:lvlText w:val="•"/>
      <w:lvlJc w:val="left"/>
      <w:pPr>
        <w:ind w:left="3378" w:hanging="360"/>
      </w:pPr>
      <w:rPr>
        <w:rFonts w:hint="default"/>
        <w:lang w:val="en-US" w:eastAsia="en-US" w:bidi="ar-SA"/>
      </w:rPr>
    </w:lvl>
    <w:lvl w:ilvl="5" w:tplc="796A72AC">
      <w:numFmt w:val="bullet"/>
      <w:lvlText w:val="•"/>
      <w:lvlJc w:val="left"/>
      <w:pPr>
        <w:ind w:left="4108" w:hanging="360"/>
      </w:pPr>
      <w:rPr>
        <w:rFonts w:hint="default"/>
        <w:lang w:val="en-US" w:eastAsia="en-US" w:bidi="ar-SA"/>
      </w:rPr>
    </w:lvl>
    <w:lvl w:ilvl="6" w:tplc="A88EF626">
      <w:numFmt w:val="bullet"/>
      <w:lvlText w:val="•"/>
      <w:lvlJc w:val="left"/>
      <w:pPr>
        <w:ind w:left="4837" w:hanging="360"/>
      </w:pPr>
      <w:rPr>
        <w:rFonts w:hint="default"/>
        <w:lang w:val="en-US" w:eastAsia="en-US" w:bidi="ar-SA"/>
      </w:rPr>
    </w:lvl>
    <w:lvl w:ilvl="7" w:tplc="B192C322">
      <w:numFmt w:val="bullet"/>
      <w:lvlText w:val="•"/>
      <w:lvlJc w:val="left"/>
      <w:pPr>
        <w:ind w:left="5567" w:hanging="360"/>
      </w:pPr>
      <w:rPr>
        <w:rFonts w:hint="default"/>
        <w:lang w:val="en-US" w:eastAsia="en-US" w:bidi="ar-SA"/>
      </w:rPr>
    </w:lvl>
    <w:lvl w:ilvl="8" w:tplc="6B38D2EA">
      <w:numFmt w:val="bullet"/>
      <w:lvlText w:val="•"/>
      <w:lvlJc w:val="left"/>
      <w:pPr>
        <w:ind w:left="6296" w:hanging="360"/>
      </w:pPr>
      <w:rPr>
        <w:rFonts w:hint="default"/>
        <w:lang w:val="en-US" w:eastAsia="en-US" w:bidi="ar-SA"/>
      </w:rPr>
    </w:lvl>
  </w:abstractNum>
  <w:abstractNum w:abstractNumId="45" w15:restartNumberingAfterBreak="0">
    <w:nsid w:val="242C6330"/>
    <w:multiLevelType w:val="hybridMultilevel"/>
    <w:tmpl w:val="D8142384"/>
    <w:lvl w:ilvl="0" w:tplc="0382E4CA">
      <w:numFmt w:val="bullet"/>
      <w:lvlText w:val="•"/>
      <w:lvlJc w:val="left"/>
      <w:pPr>
        <w:ind w:left="460" w:hanging="360"/>
      </w:pPr>
      <w:rPr>
        <w:rFonts w:ascii="Trebuchet MS" w:eastAsia="Trebuchet MS" w:hAnsi="Trebuchet MS" w:cs="Trebuchet MS" w:hint="default"/>
        <w:b w:val="0"/>
        <w:bCs w:val="0"/>
        <w:i w:val="0"/>
        <w:iCs w:val="0"/>
        <w:spacing w:val="0"/>
        <w:w w:val="89"/>
        <w:sz w:val="18"/>
        <w:szCs w:val="18"/>
        <w:lang w:val="en-US" w:eastAsia="en-US" w:bidi="ar-SA"/>
      </w:rPr>
    </w:lvl>
    <w:lvl w:ilvl="1" w:tplc="D7D82BCE">
      <w:numFmt w:val="bullet"/>
      <w:lvlText w:val="•"/>
      <w:lvlJc w:val="left"/>
      <w:pPr>
        <w:ind w:left="1091" w:hanging="360"/>
      </w:pPr>
      <w:rPr>
        <w:rFonts w:hint="default"/>
        <w:lang w:val="en-US" w:eastAsia="en-US" w:bidi="ar-SA"/>
      </w:rPr>
    </w:lvl>
    <w:lvl w:ilvl="2" w:tplc="D186A4B6">
      <w:numFmt w:val="bullet"/>
      <w:lvlText w:val="•"/>
      <w:lvlJc w:val="left"/>
      <w:pPr>
        <w:ind w:left="1722" w:hanging="360"/>
      </w:pPr>
      <w:rPr>
        <w:rFonts w:hint="default"/>
        <w:lang w:val="en-US" w:eastAsia="en-US" w:bidi="ar-SA"/>
      </w:rPr>
    </w:lvl>
    <w:lvl w:ilvl="3" w:tplc="88849DFA">
      <w:numFmt w:val="bullet"/>
      <w:lvlText w:val="•"/>
      <w:lvlJc w:val="left"/>
      <w:pPr>
        <w:ind w:left="2353" w:hanging="360"/>
      </w:pPr>
      <w:rPr>
        <w:rFonts w:hint="default"/>
        <w:lang w:val="en-US" w:eastAsia="en-US" w:bidi="ar-SA"/>
      </w:rPr>
    </w:lvl>
    <w:lvl w:ilvl="4" w:tplc="010695F6">
      <w:numFmt w:val="bullet"/>
      <w:lvlText w:val="•"/>
      <w:lvlJc w:val="left"/>
      <w:pPr>
        <w:ind w:left="2985" w:hanging="360"/>
      </w:pPr>
      <w:rPr>
        <w:rFonts w:hint="default"/>
        <w:lang w:val="en-US" w:eastAsia="en-US" w:bidi="ar-SA"/>
      </w:rPr>
    </w:lvl>
    <w:lvl w:ilvl="5" w:tplc="926A822A">
      <w:numFmt w:val="bullet"/>
      <w:lvlText w:val="•"/>
      <w:lvlJc w:val="left"/>
      <w:pPr>
        <w:ind w:left="3616" w:hanging="360"/>
      </w:pPr>
      <w:rPr>
        <w:rFonts w:hint="default"/>
        <w:lang w:val="en-US" w:eastAsia="en-US" w:bidi="ar-SA"/>
      </w:rPr>
    </w:lvl>
    <w:lvl w:ilvl="6" w:tplc="27DCA786">
      <w:numFmt w:val="bullet"/>
      <w:lvlText w:val="•"/>
      <w:lvlJc w:val="left"/>
      <w:pPr>
        <w:ind w:left="4247" w:hanging="360"/>
      </w:pPr>
      <w:rPr>
        <w:rFonts w:hint="default"/>
        <w:lang w:val="en-US" w:eastAsia="en-US" w:bidi="ar-SA"/>
      </w:rPr>
    </w:lvl>
    <w:lvl w:ilvl="7" w:tplc="5D44681C">
      <w:numFmt w:val="bullet"/>
      <w:lvlText w:val="•"/>
      <w:lvlJc w:val="left"/>
      <w:pPr>
        <w:ind w:left="4879" w:hanging="360"/>
      </w:pPr>
      <w:rPr>
        <w:rFonts w:hint="default"/>
        <w:lang w:val="en-US" w:eastAsia="en-US" w:bidi="ar-SA"/>
      </w:rPr>
    </w:lvl>
    <w:lvl w:ilvl="8" w:tplc="64FEF4CA">
      <w:numFmt w:val="bullet"/>
      <w:lvlText w:val="•"/>
      <w:lvlJc w:val="left"/>
      <w:pPr>
        <w:ind w:left="5510" w:hanging="360"/>
      </w:pPr>
      <w:rPr>
        <w:rFonts w:hint="default"/>
        <w:lang w:val="en-US" w:eastAsia="en-US" w:bidi="ar-SA"/>
      </w:rPr>
    </w:lvl>
  </w:abstractNum>
  <w:abstractNum w:abstractNumId="46" w15:restartNumberingAfterBreak="0">
    <w:nsid w:val="25555E4C"/>
    <w:multiLevelType w:val="hybridMultilevel"/>
    <w:tmpl w:val="9D74EFEE"/>
    <w:lvl w:ilvl="0" w:tplc="37D428F4">
      <w:numFmt w:val="bullet"/>
      <w:lvlText w:val="•"/>
      <w:lvlJc w:val="left"/>
      <w:pPr>
        <w:ind w:left="501" w:hanging="360"/>
      </w:pPr>
      <w:rPr>
        <w:rFonts w:ascii="Trebuchet MS" w:eastAsia="Trebuchet MS" w:hAnsi="Trebuchet MS" w:cs="Trebuchet MS" w:hint="default"/>
        <w:b w:val="0"/>
        <w:bCs w:val="0"/>
        <w:i w:val="0"/>
        <w:iCs w:val="0"/>
        <w:spacing w:val="0"/>
        <w:w w:val="89"/>
        <w:sz w:val="18"/>
        <w:szCs w:val="18"/>
        <w:lang w:val="en-US" w:eastAsia="en-US" w:bidi="ar-SA"/>
      </w:rPr>
    </w:lvl>
    <w:lvl w:ilvl="1" w:tplc="616CF9DE">
      <w:numFmt w:val="bullet"/>
      <w:lvlText w:val="•"/>
      <w:lvlJc w:val="left"/>
      <w:pPr>
        <w:ind w:left="1149" w:hanging="360"/>
      </w:pPr>
      <w:rPr>
        <w:rFonts w:hint="default"/>
        <w:lang w:val="en-US" w:eastAsia="en-US" w:bidi="ar-SA"/>
      </w:rPr>
    </w:lvl>
    <w:lvl w:ilvl="2" w:tplc="5C384948">
      <w:numFmt w:val="bullet"/>
      <w:lvlText w:val="•"/>
      <w:lvlJc w:val="left"/>
      <w:pPr>
        <w:ind w:left="1798" w:hanging="360"/>
      </w:pPr>
      <w:rPr>
        <w:rFonts w:hint="default"/>
        <w:lang w:val="en-US" w:eastAsia="en-US" w:bidi="ar-SA"/>
      </w:rPr>
    </w:lvl>
    <w:lvl w:ilvl="3" w:tplc="BFF80868">
      <w:numFmt w:val="bullet"/>
      <w:lvlText w:val="•"/>
      <w:lvlJc w:val="left"/>
      <w:pPr>
        <w:ind w:left="2447" w:hanging="360"/>
      </w:pPr>
      <w:rPr>
        <w:rFonts w:hint="default"/>
        <w:lang w:val="en-US" w:eastAsia="en-US" w:bidi="ar-SA"/>
      </w:rPr>
    </w:lvl>
    <w:lvl w:ilvl="4" w:tplc="CCE4FFEE">
      <w:numFmt w:val="bullet"/>
      <w:lvlText w:val="•"/>
      <w:lvlJc w:val="left"/>
      <w:pPr>
        <w:ind w:left="3097" w:hanging="360"/>
      </w:pPr>
      <w:rPr>
        <w:rFonts w:hint="default"/>
        <w:lang w:val="en-US" w:eastAsia="en-US" w:bidi="ar-SA"/>
      </w:rPr>
    </w:lvl>
    <w:lvl w:ilvl="5" w:tplc="009A61DE">
      <w:numFmt w:val="bullet"/>
      <w:lvlText w:val="•"/>
      <w:lvlJc w:val="left"/>
      <w:pPr>
        <w:ind w:left="3746" w:hanging="360"/>
      </w:pPr>
      <w:rPr>
        <w:rFonts w:hint="default"/>
        <w:lang w:val="en-US" w:eastAsia="en-US" w:bidi="ar-SA"/>
      </w:rPr>
    </w:lvl>
    <w:lvl w:ilvl="6" w:tplc="0FC8CDB2">
      <w:numFmt w:val="bullet"/>
      <w:lvlText w:val="•"/>
      <w:lvlJc w:val="left"/>
      <w:pPr>
        <w:ind w:left="4395" w:hanging="360"/>
      </w:pPr>
      <w:rPr>
        <w:rFonts w:hint="default"/>
        <w:lang w:val="en-US" w:eastAsia="en-US" w:bidi="ar-SA"/>
      </w:rPr>
    </w:lvl>
    <w:lvl w:ilvl="7" w:tplc="BEC07F8A">
      <w:numFmt w:val="bullet"/>
      <w:lvlText w:val="•"/>
      <w:lvlJc w:val="left"/>
      <w:pPr>
        <w:ind w:left="5045" w:hanging="360"/>
      </w:pPr>
      <w:rPr>
        <w:rFonts w:hint="default"/>
        <w:lang w:val="en-US" w:eastAsia="en-US" w:bidi="ar-SA"/>
      </w:rPr>
    </w:lvl>
    <w:lvl w:ilvl="8" w:tplc="6AF226C2">
      <w:numFmt w:val="bullet"/>
      <w:lvlText w:val="•"/>
      <w:lvlJc w:val="left"/>
      <w:pPr>
        <w:ind w:left="5694" w:hanging="360"/>
      </w:pPr>
      <w:rPr>
        <w:rFonts w:hint="default"/>
        <w:lang w:val="en-US" w:eastAsia="en-US" w:bidi="ar-SA"/>
      </w:rPr>
    </w:lvl>
  </w:abstractNum>
  <w:abstractNum w:abstractNumId="47" w15:restartNumberingAfterBreak="0">
    <w:nsid w:val="255C6138"/>
    <w:multiLevelType w:val="hybridMultilevel"/>
    <w:tmpl w:val="EE3C324A"/>
    <w:lvl w:ilvl="0" w:tplc="A964CB76">
      <w:numFmt w:val="bullet"/>
      <w:lvlText w:val="•"/>
      <w:lvlJc w:val="left"/>
      <w:pPr>
        <w:ind w:left="452" w:hanging="360"/>
      </w:pPr>
      <w:rPr>
        <w:rFonts w:ascii="Trebuchet MS" w:eastAsia="Trebuchet MS" w:hAnsi="Trebuchet MS" w:cs="Trebuchet MS" w:hint="default"/>
        <w:b w:val="0"/>
        <w:bCs w:val="0"/>
        <w:i w:val="0"/>
        <w:iCs w:val="0"/>
        <w:spacing w:val="0"/>
        <w:w w:val="89"/>
        <w:sz w:val="18"/>
        <w:szCs w:val="18"/>
        <w:lang w:val="en-US" w:eastAsia="en-US" w:bidi="ar-SA"/>
      </w:rPr>
    </w:lvl>
    <w:lvl w:ilvl="1" w:tplc="E2EABCA0">
      <w:numFmt w:val="bullet"/>
      <w:lvlText w:val="•"/>
      <w:lvlJc w:val="left"/>
      <w:pPr>
        <w:ind w:left="1189" w:hanging="360"/>
      </w:pPr>
      <w:rPr>
        <w:rFonts w:hint="default"/>
        <w:lang w:val="en-US" w:eastAsia="en-US" w:bidi="ar-SA"/>
      </w:rPr>
    </w:lvl>
    <w:lvl w:ilvl="2" w:tplc="EC368906">
      <w:numFmt w:val="bullet"/>
      <w:lvlText w:val="•"/>
      <w:lvlJc w:val="left"/>
      <w:pPr>
        <w:ind w:left="1919" w:hanging="360"/>
      </w:pPr>
      <w:rPr>
        <w:rFonts w:hint="default"/>
        <w:lang w:val="en-US" w:eastAsia="en-US" w:bidi="ar-SA"/>
      </w:rPr>
    </w:lvl>
    <w:lvl w:ilvl="3" w:tplc="477A8A4E">
      <w:numFmt w:val="bullet"/>
      <w:lvlText w:val="•"/>
      <w:lvlJc w:val="left"/>
      <w:pPr>
        <w:ind w:left="2648" w:hanging="360"/>
      </w:pPr>
      <w:rPr>
        <w:rFonts w:hint="default"/>
        <w:lang w:val="en-US" w:eastAsia="en-US" w:bidi="ar-SA"/>
      </w:rPr>
    </w:lvl>
    <w:lvl w:ilvl="4" w:tplc="4E22E034">
      <w:numFmt w:val="bullet"/>
      <w:lvlText w:val="•"/>
      <w:lvlJc w:val="left"/>
      <w:pPr>
        <w:ind w:left="3378" w:hanging="360"/>
      </w:pPr>
      <w:rPr>
        <w:rFonts w:hint="default"/>
        <w:lang w:val="en-US" w:eastAsia="en-US" w:bidi="ar-SA"/>
      </w:rPr>
    </w:lvl>
    <w:lvl w:ilvl="5" w:tplc="A724B910">
      <w:numFmt w:val="bullet"/>
      <w:lvlText w:val="•"/>
      <w:lvlJc w:val="left"/>
      <w:pPr>
        <w:ind w:left="4108" w:hanging="360"/>
      </w:pPr>
      <w:rPr>
        <w:rFonts w:hint="default"/>
        <w:lang w:val="en-US" w:eastAsia="en-US" w:bidi="ar-SA"/>
      </w:rPr>
    </w:lvl>
    <w:lvl w:ilvl="6" w:tplc="35EE745C">
      <w:numFmt w:val="bullet"/>
      <w:lvlText w:val="•"/>
      <w:lvlJc w:val="left"/>
      <w:pPr>
        <w:ind w:left="4837" w:hanging="360"/>
      </w:pPr>
      <w:rPr>
        <w:rFonts w:hint="default"/>
        <w:lang w:val="en-US" w:eastAsia="en-US" w:bidi="ar-SA"/>
      </w:rPr>
    </w:lvl>
    <w:lvl w:ilvl="7" w:tplc="5D829D9E">
      <w:numFmt w:val="bullet"/>
      <w:lvlText w:val="•"/>
      <w:lvlJc w:val="left"/>
      <w:pPr>
        <w:ind w:left="5567" w:hanging="360"/>
      </w:pPr>
      <w:rPr>
        <w:rFonts w:hint="default"/>
        <w:lang w:val="en-US" w:eastAsia="en-US" w:bidi="ar-SA"/>
      </w:rPr>
    </w:lvl>
    <w:lvl w:ilvl="8" w:tplc="549430CC">
      <w:numFmt w:val="bullet"/>
      <w:lvlText w:val="•"/>
      <w:lvlJc w:val="left"/>
      <w:pPr>
        <w:ind w:left="6296" w:hanging="360"/>
      </w:pPr>
      <w:rPr>
        <w:rFonts w:hint="default"/>
        <w:lang w:val="en-US" w:eastAsia="en-US" w:bidi="ar-SA"/>
      </w:rPr>
    </w:lvl>
  </w:abstractNum>
  <w:abstractNum w:abstractNumId="48" w15:restartNumberingAfterBreak="0">
    <w:nsid w:val="25AD2854"/>
    <w:multiLevelType w:val="hybridMultilevel"/>
    <w:tmpl w:val="9E06CE0E"/>
    <w:lvl w:ilvl="0" w:tplc="A72263C8">
      <w:start w:val="1"/>
      <w:numFmt w:val="decimal"/>
      <w:lvlText w:val="%1."/>
      <w:lvlJc w:val="left"/>
      <w:pPr>
        <w:ind w:left="68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71C4ED9C">
      <w:numFmt w:val="bullet"/>
      <w:lvlText w:val=""/>
      <w:lvlJc w:val="left"/>
      <w:pPr>
        <w:ind w:left="683" w:hanging="361"/>
      </w:pPr>
      <w:rPr>
        <w:rFonts w:ascii="Symbol" w:eastAsia="Symbol" w:hAnsi="Symbol" w:cs="Symbol" w:hint="default"/>
        <w:b w:val="0"/>
        <w:bCs w:val="0"/>
        <w:i w:val="0"/>
        <w:iCs w:val="0"/>
        <w:spacing w:val="0"/>
        <w:w w:val="100"/>
        <w:sz w:val="22"/>
        <w:szCs w:val="22"/>
        <w:lang w:val="en-US" w:eastAsia="en-US" w:bidi="ar-SA"/>
      </w:rPr>
    </w:lvl>
    <w:lvl w:ilvl="2" w:tplc="32FC43AA">
      <w:numFmt w:val="bullet"/>
      <w:lvlText w:val="-"/>
      <w:lvlJc w:val="left"/>
      <w:pPr>
        <w:ind w:left="1043" w:hanging="360"/>
      </w:pPr>
      <w:rPr>
        <w:rFonts w:ascii="Calibri" w:eastAsia="Calibri" w:hAnsi="Calibri" w:cs="Calibri" w:hint="default"/>
        <w:b w:val="0"/>
        <w:bCs w:val="0"/>
        <w:i w:val="0"/>
        <w:iCs w:val="0"/>
        <w:spacing w:val="0"/>
        <w:w w:val="100"/>
        <w:sz w:val="22"/>
        <w:szCs w:val="22"/>
        <w:lang w:val="en-US" w:eastAsia="en-US" w:bidi="ar-SA"/>
      </w:rPr>
    </w:lvl>
    <w:lvl w:ilvl="3" w:tplc="312CD716">
      <w:numFmt w:val="bullet"/>
      <w:lvlText w:val="•"/>
      <w:lvlJc w:val="left"/>
      <w:pPr>
        <w:ind w:left="2982" w:hanging="360"/>
      </w:pPr>
      <w:rPr>
        <w:rFonts w:hint="default"/>
        <w:lang w:val="en-US" w:eastAsia="en-US" w:bidi="ar-SA"/>
      </w:rPr>
    </w:lvl>
    <w:lvl w:ilvl="4" w:tplc="F51E01D8">
      <w:numFmt w:val="bullet"/>
      <w:lvlText w:val="•"/>
      <w:lvlJc w:val="left"/>
      <w:pPr>
        <w:ind w:left="3953" w:hanging="360"/>
      </w:pPr>
      <w:rPr>
        <w:rFonts w:hint="default"/>
        <w:lang w:val="en-US" w:eastAsia="en-US" w:bidi="ar-SA"/>
      </w:rPr>
    </w:lvl>
    <w:lvl w:ilvl="5" w:tplc="2A929BC0">
      <w:numFmt w:val="bullet"/>
      <w:lvlText w:val="•"/>
      <w:lvlJc w:val="left"/>
      <w:pPr>
        <w:ind w:left="4925" w:hanging="360"/>
      </w:pPr>
      <w:rPr>
        <w:rFonts w:hint="default"/>
        <w:lang w:val="en-US" w:eastAsia="en-US" w:bidi="ar-SA"/>
      </w:rPr>
    </w:lvl>
    <w:lvl w:ilvl="6" w:tplc="AAF051E2">
      <w:numFmt w:val="bullet"/>
      <w:lvlText w:val="•"/>
      <w:lvlJc w:val="left"/>
      <w:pPr>
        <w:ind w:left="5896" w:hanging="360"/>
      </w:pPr>
      <w:rPr>
        <w:rFonts w:hint="default"/>
        <w:lang w:val="en-US" w:eastAsia="en-US" w:bidi="ar-SA"/>
      </w:rPr>
    </w:lvl>
    <w:lvl w:ilvl="7" w:tplc="A30C6C86">
      <w:numFmt w:val="bullet"/>
      <w:lvlText w:val="•"/>
      <w:lvlJc w:val="left"/>
      <w:pPr>
        <w:ind w:left="6867" w:hanging="360"/>
      </w:pPr>
      <w:rPr>
        <w:rFonts w:hint="default"/>
        <w:lang w:val="en-US" w:eastAsia="en-US" w:bidi="ar-SA"/>
      </w:rPr>
    </w:lvl>
    <w:lvl w:ilvl="8" w:tplc="A97C97D8">
      <w:numFmt w:val="bullet"/>
      <w:lvlText w:val="•"/>
      <w:lvlJc w:val="left"/>
      <w:pPr>
        <w:ind w:left="7838" w:hanging="360"/>
      </w:pPr>
      <w:rPr>
        <w:rFonts w:hint="default"/>
        <w:lang w:val="en-US" w:eastAsia="en-US" w:bidi="ar-SA"/>
      </w:rPr>
    </w:lvl>
  </w:abstractNum>
  <w:abstractNum w:abstractNumId="49" w15:restartNumberingAfterBreak="0">
    <w:nsid w:val="265D6B1A"/>
    <w:multiLevelType w:val="hybridMultilevel"/>
    <w:tmpl w:val="27A081F6"/>
    <w:lvl w:ilvl="0" w:tplc="45C29000">
      <w:start w:val="1"/>
      <w:numFmt w:val="lowerLetter"/>
      <w:lvlText w:val="%1."/>
      <w:lvlJc w:val="left"/>
      <w:pPr>
        <w:ind w:left="451" w:hanging="180"/>
        <w:jc w:val="left"/>
      </w:pPr>
      <w:rPr>
        <w:rFonts w:ascii="Calibri Light" w:eastAsia="Calibri Light" w:hAnsi="Calibri Light" w:cs="Calibri Light" w:hint="default"/>
        <w:b w:val="0"/>
        <w:bCs w:val="0"/>
        <w:i w:val="0"/>
        <w:iCs w:val="0"/>
        <w:spacing w:val="-1"/>
        <w:w w:val="100"/>
        <w:sz w:val="18"/>
        <w:szCs w:val="18"/>
        <w:lang w:val="en-US" w:eastAsia="en-US" w:bidi="ar-SA"/>
      </w:rPr>
    </w:lvl>
    <w:lvl w:ilvl="1" w:tplc="C53637B0">
      <w:numFmt w:val="bullet"/>
      <w:lvlText w:val="•"/>
      <w:lvlJc w:val="left"/>
      <w:pPr>
        <w:ind w:left="621" w:hanging="180"/>
      </w:pPr>
      <w:rPr>
        <w:rFonts w:hint="default"/>
        <w:lang w:val="en-US" w:eastAsia="en-US" w:bidi="ar-SA"/>
      </w:rPr>
    </w:lvl>
    <w:lvl w:ilvl="2" w:tplc="D5CA4A4E">
      <w:numFmt w:val="bullet"/>
      <w:lvlText w:val="•"/>
      <w:lvlJc w:val="left"/>
      <w:pPr>
        <w:ind w:left="782" w:hanging="180"/>
      </w:pPr>
      <w:rPr>
        <w:rFonts w:hint="default"/>
        <w:lang w:val="en-US" w:eastAsia="en-US" w:bidi="ar-SA"/>
      </w:rPr>
    </w:lvl>
    <w:lvl w:ilvl="3" w:tplc="15D01A2A">
      <w:numFmt w:val="bullet"/>
      <w:lvlText w:val="•"/>
      <w:lvlJc w:val="left"/>
      <w:pPr>
        <w:ind w:left="943" w:hanging="180"/>
      </w:pPr>
      <w:rPr>
        <w:rFonts w:hint="default"/>
        <w:lang w:val="en-US" w:eastAsia="en-US" w:bidi="ar-SA"/>
      </w:rPr>
    </w:lvl>
    <w:lvl w:ilvl="4" w:tplc="45F2CB26">
      <w:numFmt w:val="bullet"/>
      <w:lvlText w:val="•"/>
      <w:lvlJc w:val="left"/>
      <w:pPr>
        <w:ind w:left="1104" w:hanging="180"/>
      </w:pPr>
      <w:rPr>
        <w:rFonts w:hint="default"/>
        <w:lang w:val="en-US" w:eastAsia="en-US" w:bidi="ar-SA"/>
      </w:rPr>
    </w:lvl>
    <w:lvl w:ilvl="5" w:tplc="274CF6E2">
      <w:numFmt w:val="bullet"/>
      <w:lvlText w:val="•"/>
      <w:lvlJc w:val="left"/>
      <w:pPr>
        <w:ind w:left="1265" w:hanging="180"/>
      </w:pPr>
      <w:rPr>
        <w:rFonts w:hint="default"/>
        <w:lang w:val="en-US" w:eastAsia="en-US" w:bidi="ar-SA"/>
      </w:rPr>
    </w:lvl>
    <w:lvl w:ilvl="6" w:tplc="D0561E96">
      <w:numFmt w:val="bullet"/>
      <w:lvlText w:val="•"/>
      <w:lvlJc w:val="left"/>
      <w:pPr>
        <w:ind w:left="1426" w:hanging="180"/>
      </w:pPr>
      <w:rPr>
        <w:rFonts w:hint="default"/>
        <w:lang w:val="en-US" w:eastAsia="en-US" w:bidi="ar-SA"/>
      </w:rPr>
    </w:lvl>
    <w:lvl w:ilvl="7" w:tplc="E0187784">
      <w:numFmt w:val="bullet"/>
      <w:lvlText w:val="•"/>
      <w:lvlJc w:val="left"/>
      <w:pPr>
        <w:ind w:left="1587" w:hanging="180"/>
      </w:pPr>
      <w:rPr>
        <w:rFonts w:hint="default"/>
        <w:lang w:val="en-US" w:eastAsia="en-US" w:bidi="ar-SA"/>
      </w:rPr>
    </w:lvl>
    <w:lvl w:ilvl="8" w:tplc="A768E982">
      <w:numFmt w:val="bullet"/>
      <w:lvlText w:val="•"/>
      <w:lvlJc w:val="left"/>
      <w:pPr>
        <w:ind w:left="1748" w:hanging="180"/>
      </w:pPr>
      <w:rPr>
        <w:rFonts w:hint="default"/>
        <w:lang w:val="en-US" w:eastAsia="en-US" w:bidi="ar-SA"/>
      </w:rPr>
    </w:lvl>
  </w:abstractNum>
  <w:abstractNum w:abstractNumId="50" w15:restartNumberingAfterBreak="0">
    <w:nsid w:val="26EE2D2A"/>
    <w:multiLevelType w:val="multilevel"/>
    <w:tmpl w:val="C7D26152"/>
    <w:lvl w:ilvl="0">
      <w:start w:val="3"/>
      <w:numFmt w:val="decimal"/>
      <w:lvlText w:val="%1"/>
      <w:lvlJc w:val="left"/>
      <w:pPr>
        <w:ind w:left="683" w:hanging="632"/>
        <w:jc w:val="left"/>
      </w:pPr>
      <w:rPr>
        <w:rFonts w:hint="default"/>
        <w:lang w:val="en-US" w:eastAsia="en-US" w:bidi="ar-SA"/>
      </w:rPr>
    </w:lvl>
    <w:lvl w:ilvl="1">
      <w:start w:val="1"/>
      <w:numFmt w:val="decimal"/>
      <w:lvlText w:val="%1.%2"/>
      <w:lvlJc w:val="left"/>
      <w:pPr>
        <w:ind w:left="683" w:hanging="632"/>
        <w:jc w:val="left"/>
      </w:pPr>
      <w:rPr>
        <w:rFonts w:ascii="Calibri" w:eastAsia="Calibri" w:hAnsi="Calibri" w:cs="Calibri" w:hint="default"/>
        <w:b/>
        <w:bCs/>
        <w:i w:val="0"/>
        <w:iCs w:val="0"/>
        <w:color w:val="00ACA3"/>
        <w:spacing w:val="-2"/>
        <w:w w:val="100"/>
        <w:sz w:val="22"/>
        <w:szCs w:val="22"/>
        <w:lang w:val="en-US" w:eastAsia="en-US" w:bidi="ar-SA"/>
      </w:rPr>
    </w:lvl>
    <w:lvl w:ilvl="2">
      <w:start w:val="1"/>
      <w:numFmt w:val="decimal"/>
      <w:lvlText w:val="%3."/>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3">
      <w:numFmt w:val="bullet"/>
      <w:lvlText w:val="•"/>
      <w:lvlJc w:val="left"/>
      <w:pPr>
        <w:ind w:left="2842" w:hanging="360"/>
      </w:pPr>
      <w:rPr>
        <w:rFonts w:hint="default"/>
        <w:lang w:val="en-US" w:eastAsia="en-US" w:bidi="ar-SA"/>
      </w:rPr>
    </w:lvl>
    <w:lvl w:ilvl="4">
      <w:numFmt w:val="bullet"/>
      <w:lvlText w:val="•"/>
      <w:lvlJc w:val="left"/>
      <w:pPr>
        <w:ind w:left="3833" w:hanging="360"/>
      </w:pPr>
      <w:rPr>
        <w:rFonts w:hint="default"/>
        <w:lang w:val="en-US" w:eastAsia="en-US" w:bidi="ar-SA"/>
      </w:rPr>
    </w:lvl>
    <w:lvl w:ilvl="5">
      <w:numFmt w:val="bullet"/>
      <w:lvlText w:val="•"/>
      <w:lvlJc w:val="left"/>
      <w:pPr>
        <w:ind w:left="4825" w:hanging="360"/>
      </w:pPr>
      <w:rPr>
        <w:rFonts w:hint="default"/>
        <w:lang w:val="en-US" w:eastAsia="en-US" w:bidi="ar-SA"/>
      </w:rPr>
    </w:lvl>
    <w:lvl w:ilvl="6">
      <w:numFmt w:val="bullet"/>
      <w:lvlText w:val="•"/>
      <w:lvlJc w:val="left"/>
      <w:pPr>
        <w:ind w:left="5816" w:hanging="360"/>
      </w:pPr>
      <w:rPr>
        <w:rFonts w:hint="default"/>
        <w:lang w:val="en-US" w:eastAsia="en-US" w:bidi="ar-SA"/>
      </w:rPr>
    </w:lvl>
    <w:lvl w:ilvl="7">
      <w:numFmt w:val="bullet"/>
      <w:lvlText w:val="•"/>
      <w:lvlJc w:val="left"/>
      <w:pPr>
        <w:ind w:left="6807" w:hanging="360"/>
      </w:pPr>
      <w:rPr>
        <w:rFonts w:hint="default"/>
        <w:lang w:val="en-US" w:eastAsia="en-US" w:bidi="ar-SA"/>
      </w:rPr>
    </w:lvl>
    <w:lvl w:ilvl="8">
      <w:numFmt w:val="bullet"/>
      <w:lvlText w:val="•"/>
      <w:lvlJc w:val="left"/>
      <w:pPr>
        <w:ind w:left="7798" w:hanging="360"/>
      </w:pPr>
      <w:rPr>
        <w:rFonts w:hint="default"/>
        <w:lang w:val="en-US" w:eastAsia="en-US" w:bidi="ar-SA"/>
      </w:rPr>
    </w:lvl>
  </w:abstractNum>
  <w:abstractNum w:abstractNumId="51" w15:restartNumberingAfterBreak="0">
    <w:nsid w:val="27286F06"/>
    <w:multiLevelType w:val="hybridMultilevel"/>
    <w:tmpl w:val="F65497B4"/>
    <w:lvl w:ilvl="0" w:tplc="6D62E3A6">
      <w:numFmt w:val="bullet"/>
      <w:lvlText w:val="•"/>
      <w:lvlJc w:val="left"/>
      <w:pPr>
        <w:ind w:left="523" w:hanging="360"/>
      </w:pPr>
      <w:rPr>
        <w:rFonts w:ascii="Trebuchet MS" w:eastAsia="Trebuchet MS" w:hAnsi="Trebuchet MS" w:cs="Trebuchet MS" w:hint="default"/>
        <w:b w:val="0"/>
        <w:bCs w:val="0"/>
        <w:i w:val="0"/>
        <w:iCs w:val="0"/>
        <w:spacing w:val="0"/>
        <w:w w:val="89"/>
        <w:sz w:val="18"/>
        <w:szCs w:val="18"/>
        <w:lang w:val="en-US" w:eastAsia="en-US" w:bidi="ar-SA"/>
      </w:rPr>
    </w:lvl>
    <w:lvl w:ilvl="1" w:tplc="E8F215E0">
      <w:numFmt w:val="bullet"/>
      <w:lvlText w:val="•"/>
      <w:lvlJc w:val="left"/>
      <w:pPr>
        <w:ind w:left="1106" w:hanging="360"/>
      </w:pPr>
      <w:rPr>
        <w:rFonts w:hint="default"/>
        <w:lang w:val="en-US" w:eastAsia="en-US" w:bidi="ar-SA"/>
      </w:rPr>
    </w:lvl>
    <w:lvl w:ilvl="2" w:tplc="8E083386">
      <w:numFmt w:val="bullet"/>
      <w:lvlText w:val="•"/>
      <w:lvlJc w:val="left"/>
      <w:pPr>
        <w:ind w:left="1693" w:hanging="360"/>
      </w:pPr>
      <w:rPr>
        <w:rFonts w:hint="default"/>
        <w:lang w:val="en-US" w:eastAsia="en-US" w:bidi="ar-SA"/>
      </w:rPr>
    </w:lvl>
    <w:lvl w:ilvl="3" w:tplc="10D65F1A">
      <w:numFmt w:val="bullet"/>
      <w:lvlText w:val="•"/>
      <w:lvlJc w:val="left"/>
      <w:pPr>
        <w:ind w:left="2280" w:hanging="360"/>
      </w:pPr>
      <w:rPr>
        <w:rFonts w:hint="default"/>
        <w:lang w:val="en-US" w:eastAsia="en-US" w:bidi="ar-SA"/>
      </w:rPr>
    </w:lvl>
    <w:lvl w:ilvl="4" w:tplc="C50625A4">
      <w:numFmt w:val="bullet"/>
      <w:lvlText w:val="•"/>
      <w:lvlJc w:val="left"/>
      <w:pPr>
        <w:ind w:left="2866" w:hanging="360"/>
      </w:pPr>
      <w:rPr>
        <w:rFonts w:hint="default"/>
        <w:lang w:val="en-US" w:eastAsia="en-US" w:bidi="ar-SA"/>
      </w:rPr>
    </w:lvl>
    <w:lvl w:ilvl="5" w:tplc="913C48FE">
      <w:numFmt w:val="bullet"/>
      <w:lvlText w:val="•"/>
      <w:lvlJc w:val="left"/>
      <w:pPr>
        <w:ind w:left="3453" w:hanging="360"/>
      </w:pPr>
      <w:rPr>
        <w:rFonts w:hint="default"/>
        <w:lang w:val="en-US" w:eastAsia="en-US" w:bidi="ar-SA"/>
      </w:rPr>
    </w:lvl>
    <w:lvl w:ilvl="6" w:tplc="925C4458">
      <w:numFmt w:val="bullet"/>
      <w:lvlText w:val="•"/>
      <w:lvlJc w:val="left"/>
      <w:pPr>
        <w:ind w:left="4040" w:hanging="360"/>
      </w:pPr>
      <w:rPr>
        <w:rFonts w:hint="default"/>
        <w:lang w:val="en-US" w:eastAsia="en-US" w:bidi="ar-SA"/>
      </w:rPr>
    </w:lvl>
    <w:lvl w:ilvl="7" w:tplc="4880AD2C">
      <w:numFmt w:val="bullet"/>
      <w:lvlText w:val="•"/>
      <w:lvlJc w:val="left"/>
      <w:pPr>
        <w:ind w:left="4626" w:hanging="360"/>
      </w:pPr>
      <w:rPr>
        <w:rFonts w:hint="default"/>
        <w:lang w:val="en-US" w:eastAsia="en-US" w:bidi="ar-SA"/>
      </w:rPr>
    </w:lvl>
    <w:lvl w:ilvl="8" w:tplc="0A0CBE52">
      <w:numFmt w:val="bullet"/>
      <w:lvlText w:val="•"/>
      <w:lvlJc w:val="left"/>
      <w:pPr>
        <w:ind w:left="5213" w:hanging="360"/>
      </w:pPr>
      <w:rPr>
        <w:rFonts w:hint="default"/>
        <w:lang w:val="en-US" w:eastAsia="en-US" w:bidi="ar-SA"/>
      </w:rPr>
    </w:lvl>
  </w:abstractNum>
  <w:abstractNum w:abstractNumId="52" w15:restartNumberingAfterBreak="0">
    <w:nsid w:val="27837558"/>
    <w:multiLevelType w:val="hybridMultilevel"/>
    <w:tmpl w:val="25582EB8"/>
    <w:lvl w:ilvl="0" w:tplc="B3D473C8">
      <w:numFmt w:val="bullet"/>
      <w:lvlText w:val="•"/>
      <w:lvlJc w:val="left"/>
      <w:pPr>
        <w:ind w:left="415" w:hanging="360"/>
      </w:pPr>
      <w:rPr>
        <w:rFonts w:ascii="Trebuchet MS" w:eastAsia="Trebuchet MS" w:hAnsi="Trebuchet MS" w:cs="Trebuchet MS" w:hint="default"/>
        <w:b w:val="0"/>
        <w:bCs w:val="0"/>
        <w:i w:val="0"/>
        <w:iCs w:val="0"/>
        <w:spacing w:val="0"/>
        <w:w w:val="89"/>
        <w:sz w:val="18"/>
        <w:szCs w:val="18"/>
        <w:lang w:val="en-US" w:eastAsia="en-US" w:bidi="ar-SA"/>
      </w:rPr>
    </w:lvl>
    <w:lvl w:ilvl="1" w:tplc="629669F4">
      <w:numFmt w:val="bullet"/>
      <w:lvlText w:val="•"/>
      <w:lvlJc w:val="left"/>
      <w:pPr>
        <w:ind w:left="1059" w:hanging="360"/>
      </w:pPr>
      <w:rPr>
        <w:rFonts w:hint="default"/>
        <w:lang w:val="en-US" w:eastAsia="en-US" w:bidi="ar-SA"/>
      </w:rPr>
    </w:lvl>
    <w:lvl w:ilvl="2" w:tplc="45508D40">
      <w:numFmt w:val="bullet"/>
      <w:lvlText w:val="•"/>
      <w:lvlJc w:val="left"/>
      <w:pPr>
        <w:ind w:left="1699" w:hanging="360"/>
      </w:pPr>
      <w:rPr>
        <w:rFonts w:hint="default"/>
        <w:lang w:val="en-US" w:eastAsia="en-US" w:bidi="ar-SA"/>
      </w:rPr>
    </w:lvl>
    <w:lvl w:ilvl="3" w:tplc="311E9276">
      <w:numFmt w:val="bullet"/>
      <w:lvlText w:val="•"/>
      <w:lvlJc w:val="left"/>
      <w:pPr>
        <w:ind w:left="2339" w:hanging="360"/>
      </w:pPr>
      <w:rPr>
        <w:rFonts w:hint="default"/>
        <w:lang w:val="en-US" w:eastAsia="en-US" w:bidi="ar-SA"/>
      </w:rPr>
    </w:lvl>
    <w:lvl w:ilvl="4" w:tplc="3D266B94">
      <w:numFmt w:val="bullet"/>
      <w:lvlText w:val="•"/>
      <w:lvlJc w:val="left"/>
      <w:pPr>
        <w:ind w:left="2979" w:hanging="360"/>
      </w:pPr>
      <w:rPr>
        <w:rFonts w:hint="default"/>
        <w:lang w:val="en-US" w:eastAsia="en-US" w:bidi="ar-SA"/>
      </w:rPr>
    </w:lvl>
    <w:lvl w:ilvl="5" w:tplc="9C1450F0">
      <w:numFmt w:val="bullet"/>
      <w:lvlText w:val="•"/>
      <w:lvlJc w:val="left"/>
      <w:pPr>
        <w:ind w:left="3619" w:hanging="360"/>
      </w:pPr>
      <w:rPr>
        <w:rFonts w:hint="default"/>
        <w:lang w:val="en-US" w:eastAsia="en-US" w:bidi="ar-SA"/>
      </w:rPr>
    </w:lvl>
    <w:lvl w:ilvl="6" w:tplc="572EE32A">
      <w:numFmt w:val="bullet"/>
      <w:lvlText w:val="•"/>
      <w:lvlJc w:val="left"/>
      <w:pPr>
        <w:ind w:left="4258" w:hanging="360"/>
      </w:pPr>
      <w:rPr>
        <w:rFonts w:hint="default"/>
        <w:lang w:val="en-US" w:eastAsia="en-US" w:bidi="ar-SA"/>
      </w:rPr>
    </w:lvl>
    <w:lvl w:ilvl="7" w:tplc="8012D494">
      <w:numFmt w:val="bullet"/>
      <w:lvlText w:val="•"/>
      <w:lvlJc w:val="left"/>
      <w:pPr>
        <w:ind w:left="4898" w:hanging="360"/>
      </w:pPr>
      <w:rPr>
        <w:rFonts w:hint="default"/>
        <w:lang w:val="en-US" w:eastAsia="en-US" w:bidi="ar-SA"/>
      </w:rPr>
    </w:lvl>
    <w:lvl w:ilvl="8" w:tplc="F192FD6A">
      <w:numFmt w:val="bullet"/>
      <w:lvlText w:val="•"/>
      <w:lvlJc w:val="left"/>
      <w:pPr>
        <w:ind w:left="5538" w:hanging="360"/>
      </w:pPr>
      <w:rPr>
        <w:rFonts w:hint="default"/>
        <w:lang w:val="en-US" w:eastAsia="en-US" w:bidi="ar-SA"/>
      </w:rPr>
    </w:lvl>
  </w:abstractNum>
  <w:abstractNum w:abstractNumId="53" w15:restartNumberingAfterBreak="0">
    <w:nsid w:val="28A86554"/>
    <w:multiLevelType w:val="hybridMultilevel"/>
    <w:tmpl w:val="2F2E4D8C"/>
    <w:lvl w:ilvl="0" w:tplc="88F81D2A">
      <w:numFmt w:val="bullet"/>
      <w:lvlText w:val="•"/>
      <w:lvlJc w:val="left"/>
      <w:pPr>
        <w:ind w:left="456" w:hanging="360"/>
      </w:pPr>
      <w:rPr>
        <w:rFonts w:ascii="Trebuchet MS" w:eastAsia="Trebuchet MS" w:hAnsi="Trebuchet MS" w:cs="Trebuchet MS" w:hint="default"/>
        <w:b w:val="0"/>
        <w:bCs w:val="0"/>
        <w:i w:val="0"/>
        <w:iCs w:val="0"/>
        <w:spacing w:val="0"/>
        <w:w w:val="89"/>
        <w:sz w:val="18"/>
        <w:szCs w:val="18"/>
        <w:lang w:val="en-US" w:eastAsia="en-US" w:bidi="ar-SA"/>
      </w:rPr>
    </w:lvl>
    <w:lvl w:ilvl="1" w:tplc="3A1A7966">
      <w:numFmt w:val="bullet"/>
      <w:lvlText w:val="•"/>
      <w:lvlJc w:val="left"/>
      <w:pPr>
        <w:ind w:left="1108" w:hanging="360"/>
      </w:pPr>
      <w:rPr>
        <w:rFonts w:hint="default"/>
        <w:lang w:val="en-US" w:eastAsia="en-US" w:bidi="ar-SA"/>
      </w:rPr>
    </w:lvl>
    <w:lvl w:ilvl="2" w:tplc="B54A8780">
      <w:numFmt w:val="bullet"/>
      <w:lvlText w:val="•"/>
      <w:lvlJc w:val="left"/>
      <w:pPr>
        <w:ind w:left="1757" w:hanging="360"/>
      </w:pPr>
      <w:rPr>
        <w:rFonts w:hint="default"/>
        <w:lang w:val="en-US" w:eastAsia="en-US" w:bidi="ar-SA"/>
      </w:rPr>
    </w:lvl>
    <w:lvl w:ilvl="3" w:tplc="E326E5B8">
      <w:numFmt w:val="bullet"/>
      <w:lvlText w:val="•"/>
      <w:lvlJc w:val="left"/>
      <w:pPr>
        <w:ind w:left="2406" w:hanging="360"/>
      </w:pPr>
      <w:rPr>
        <w:rFonts w:hint="default"/>
        <w:lang w:val="en-US" w:eastAsia="en-US" w:bidi="ar-SA"/>
      </w:rPr>
    </w:lvl>
    <w:lvl w:ilvl="4" w:tplc="4F0E2C48">
      <w:numFmt w:val="bullet"/>
      <w:lvlText w:val="•"/>
      <w:lvlJc w:val="left"/>
      <w:pPr>
        <w:ind w:left="3055" w:hanging="360"/>
      </w:pPr>
      <w:rPr>
        <w:rFonts w:hint="default"/>
        <w:lang w:val="en-US" w:eastAsia="en-US" w:bidi="ar-SA"/>
      </w:rPr>
    </w:lvl>
    <w:lvl w:ilvl="5" w:tplc="098CA7E8">
      <w:numFmt w:val="bullet"/>
      <w:lvlText w:val="•"/>
      <w:lvlJc w:val="left"/>
      <w:pPr>
        <w:ind w:left="3704" w:hanging="360"/>
      </w:pPr>
      <w:rPr>
        <w:rFonts w:hint="default"/>
        <w:lang w:val="en-US" w:eastAsia="en-US" w:bidi="ar-SA"/>
      </w:rPr>
    </w:lvl>
    <w:lvl w:ilvl="6" w:tplc="0128926C">
      <w:numFmt w:val="bullet"/>
      <w:lvlText w:val="•"/>
      <w:lvlJc w:val="left"/>
      <w:pPr>
        <w:ind w:left="4352" w:hanging="360"/>
      </w:pPr>
      <w:rPr>
        <w:rFonts w:hint="default"/>
        <w:lang w:val="en-US" w:eastAsia="en-US" w:bidi="ar-SA"/>
      </w:rPr>
    </w:lvl>
    <w:lvl w:ilvl="7" w:tplc="A544D08E">
      <w:numFmt w:val="bullet"/>
      <w:lvlText w:val="•"/>
      <w:lvlJc w:val="left"/>
      <w:pPr>
        <w:ind w:left="5001" w:hanging="360"/>
      </w:pPr>
      <w:rPr>
        <w:rFonts w:hint="default"/>
        <w:lang w:val="en-US" w:eastAsia="en-US" w:bidi="ar-SA"/>
      </w:rPr>
    </w:lvl>
    <w:lvl w:ilvl="8" w:tplc="8256AA0A">
      <w:numFmt w:val="bullet"/>
      <w:lvlText w:val="•"/>
      <w:lvlJc w:val="left"/>
      <w:pPr>
        <w:ind w:left="5650" w:hanging="360"/>
      </w:pPr>
      <w:rPr>
        <w:rFonts w:hint="default"/>
        <w:lang w:val="en-US" w:eastAsia="en-US" w:bidi="ar-SA"/>
      </w:rPr>
    </w:lvl>
  </w:abstractNum>
  <w:abstractNum w:abstractNumId="54" w15:restartNumberingAfterBreak="0">
    <w:nsid w:val="296C5547"/>
    <w:multiLevelType w:val="hybridMultilevel"/>
    <w:tmpl w:val="B964A838"/>
    <w:lvl w:ilvl="0" w:tplc="0072772C">
      <w:numFmt w:val="bullet"/>
      <w:lvlText w:val="•"/>
      <w:lvlJc w:val="left"/>
      <w:pPr>
        <w:ind w:left="796" w:hanging="180"/>
      </w:pPr>
      <w:rPr>
        <w:rFonts w:ascii="Trebuchet MS" w:eastAsia="Trebuchet MS" w:hAnsi="Trebuchet MS" w:cs="Trebuchet MS" w:hint="default"/>
        <w:b w:val="0"/>
        <w:bCs w:val="0"/>
        <w:i w:val="0"/>
        <w:iCs w:val="0"/>
        <w:spacing w:val="0"/>
        <w:w w:val="89"/>
        <w:sz w:val="18"/>
        <w:szCs w:val="18"/>
        <w:lang w:val="en-US" w:eastAsia="en-US" w:bidi="ar-SA"/>
      </w:rPr>
    </w:lvl>
    <w:lvl w:ilvl="1" w:tplc="48C4FC16">
      <w:numFmt w:val="bullet"/>
      <w:lvlText w:val="•"/>
      <w:lvlJc w:val="left"/>
      <w:pPr>
        <w:ind w:left="979" w:hanging="180"/>
      </w:pPr>
      <w:rPr>
        <w:rFonts w:hint="default"/>
        <w:lang w:val="en-US" w:eastAsia="en-US" w:bidi="ar-SA"/>
      </w:rPr>
    </w:lvl>
    <w:lvl w:ilvl="2" w:tplc="97B68A84">
      <w:numFmt w:val="bullet"/>
      <w:lvlText w:val="•"/>
      <w:lvlJc w:val="left"/>
      <w:pPr>
        <w:ind w:left="1158" w:hanging="180"/>
      </w:pPr>
      <w:rPr>
        <w:rFonts w:hint="default"/>
        <w:lang w:val="en-US" w:eastAsia="en-US" w:bidi="ar-SA"/>
      </w:rPr>
    </w:lvl>
    <w:lvl w:ilvl="3" w:tplc="671E769C">
      <w:numFmt w:val="bullet"/>
      <w:lvlText w:val="•"/>
      <w:lvlJc w:val="left"/>
      <w:pPr>
        <w:ind w:left="1338" w:hanging="180"/>
      </w:pPr>
      <w:rPr>
        <w:rFonts w:hint="default"/>
        <w:lang w:val="en-US" w:eastAsia="en-US" w:bidi="ar-SA"/>
      </w:rPr>
    </w:lvl>
    <w:lvl w:ilvl="4" w:tplc="A5924BBA">
      <w:numFmt w:val="bullet"/>
      <w:lvlText w:val="•"/>
      <w:lvlJc w:val="left"/>
      <w:pPr>
        <w:ind w:left="1517" w:hanging="180"/>
      </w:pPr>
      <w:rPr>
        <w:rFonts w:hint="default"/>
        <w:lang w:val="en-US" w:eastAsia="en-US" w:bidi="ar-SA"/>
      </w:rPr>
    </w:lvl>
    <w:lvl w:ilvl="5" w:tplc="99C474F2">
      <w:numFmt w:val="bullet"/>
      <w:lvlText w:val="•"/>
      <w:lvlJc w:val="left"/>
      <w:pPr>
        <w:ind w:left="1697" w:hanging="180"/>
      </w:pPr>
      <w:rPr>
        <w:rFonts w:hint="default"/>
        <w:lang w:val="en-US" w:eastAsia="en-US" w:bidi="ar-SA"/>
      </w:rPr>
    </w:lvl>
    <w:lvl w:ilvl="6" w:tplc="060E990C">
      <w:numFmt w:val="bullet"/>
      <w:lvlText w:val="•"/>
      <w:lvlJc w:val="left"/>
      <w:pPr>
        <w:ind w:left="1876" w:hanging="180"/>
      </w:pPr>
      <w:rPr>
        <w:rFonts w:hint="default"/>
        <w:lang w:val="en-US" w:eastAsia="en-US" w:bidi="ar-SA"/>
      </w:rPr>
    </w:lvl>
    <w:lvl w:ilvl="7" w:tplc="D368DB98">
      <w:numFmt w:val="bullet"/>
      <w:lvlText w:val="•"/>
      <w:lvlJc w:val="left"/>
      <w:pPr>
        <w:ind w:left="2055" w:hanging="180"/>
      </w:pPr>
      <w:rPr>
        <w:rFonts w:hint="default"/>
        <w:lang w:val="en-US" w:eastAsia="en-US" w:bidi="ar-SA"/>
      </w:rPr>
    </w:lvl>
    <w:lvl w:ilvl="8" w:tplc="F87E7F98">
      <w:numFmt w:val="bullet"/>
      <w:lvlText w:val="•"/>
      <w:lvlJc w:val="left"/>
      <w:pPr>
        <w:ind w:left="2235" w:hanging="180"/>
      </w:pPr>
      <w:rPr>
        <w:rFonts w:hint="default"/>
        <w:lang w:val="en-US" w:eastAsia="en-US" w:bidi="ar-SA"/>
      </w:rPr>
    </w:lvl>
  </w:abstractNum>
  <w:abstractNum w:abstractNumId="55" w15:restartNumberingAfterBreak="0">
    <w:nsid w:val="299A3A72"/>
    <w:multiLevelType w:val="hybridMultilevel"/>
    <w:tmpl w:val="C426663A"/>
    <w:lvl w:ilvl="0" w:tplc="20468D0C">
      <w:start w:val="1"/>
      <w:numFmt w:val="decimal"/>
      <w:lvlText w:val="%1."/>
      <w:lvlJc w:val="left"/>
      <w:pPr>
        <w:ind w:left="862"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91FAB14E">
      <w:numFmt w:val="bullet"/>
      <w:lvlText w:val="•"/>
      <w:lvlJc w:val="left"/>
      <w:pPr>
        <w:ind w:left="1752" w:hanging="360"/>
      </w:pPr>
      <w:rPr>
        <w:rFonts w:hint="default"/>
        <w:lang w:val="en-US" w:eastAsia="en-US" w:bidi="ar-SA"/>
      </w:rPr>
    </w:lvl>
    <w:lvl w:ilvl="2" w:tplc="74A431D6">
      <w:numFmt w:val="bullet"/>
      <w:lvlText w:val="•"/>
      <w:lvlJc w:val="left"/>
      <w:pPr>
        <w:ind w:left="2644" w:hanging="360"/>
      </w:pPr>
      <w:rPr>
        <w:rFonts w:hint="default"/>
        <w:lang w:val="en-US" w:eastAsia="en-US" w:bidi="ar-SA"/>
      </w:rPr>
    </w:lvl>
    <w:lvl w:ilvl="3" w:tplc="3EDCF40A">
      <w:numFmt w:val="bullet"/>
      <w:lvlText w:val="•"/>
      <w:lvlJc w:val="left"/>
      <w:pPr>
        <w:ind w:left="3536" w:hanging="360"/>
      </w:pPr>
      <w:rPr>
        <w:rFonts w:hint="default"/>
        <w:lang w:val="en-US" w:eastAsia="en-US" w:bidi="ar-SA"/>
      </w:rPr>
    </w:lvl>
    <w:lvl w:ilvl="4" w:tplc="B1907D8E">
      <w:numFmt w:val="bullet"/>
      <w:lvlText w:val="•"/>
      <w:lvlJc w:val="left"/>
      <w:pPr>
        <w:ind w:left="4428" w:hanging="360"/>
      </w:pPr>
      <w:rPr>
        <w:rFonts w:hint="default"/>
        <w:lang w:val="en-US" w:eastAsia="en-US" w:bidi="ar-SA"/>
      </w:rPr>
    </w:lvl>
    <w:lvl w:ilvl="5" w:tplc="242AC0DC">
      <w:numFmt w:val="bullet"/>
      <w:lvlText w:val="•"/>
      <w:lvlJc w:val="left"/>
      <w:pPr>
        <w:ind w:left="5320" w:hanging="360"/>
      </w:pPr>
      <w:rPr>
        <w:rFonts w:hint="default"/>
        <w:lang w:val="en-US" w:eastAsia="en-US" w:bidi="ar-SA"/>
      </w:rPr>
    </w:lvl>
    <w:lvl w:ilvl="6" w:tplc="599633B8">
      <w:numFmt w:val="bullet"/>
      <w:lvlText w:val="•"/>
      <w:lvlJc w:val="left"/>
      <w:pPr>
        <w:ind w:left="6212" w:hanging="360"/>
      </w:pPr>
      <w:rPr>
        <w:rFonts w:hint="default"/>
        <w:lang w:val="en-US" w:eastAsia="en-US" w:bidi="ar-SA"/>
      </w:rPr>
    </w:lvl>
    <w:lvl w:ilvl="7" w:tplc="72360978">
      <w:numFmt w:val="bullet"/>
      <w:lvlText w:val="•"/>
      <w:lvlJc w:val="left"/>
      <w:pPr>
        <w:ind w:left="7104" w:hanging="360"/>
      </w:pPr>
      <w:rPr>
        <w:rFonts w:hint="default"/>
        <w:lang w:val="en-US" w:eastAsia="en-US" w:bidi="ar-SA"/>
      </w:rPr>
    </w:lvl>
    <w:lvl w:ilvl="8" w:tplc="AB1E16A2">
      <w:numFmt w:val="bullet"/>
      <w:lvlText w:val="•"/>
      <w:lvlJc w:val="left"/>
      <w:pPr>
        <w:ind w:left="7997" w:hanging="360"/>
      </w:pPr>
      <w:rPr>
        <w:rFonts w:hint="default"/>
        <w:lang w:val="en-US" w:eastAsia="en-US" w:bidi="ar-SA"/>
      </w:rPr>
    </w:lvl>
  </w:abstractNum>
  <w:abstractNum w:abstractNumId="56" w15:restartNumberingAfterBreak="0">
    <w:nsid w:val="29A96A54"/>
    <w:multiLevelType w:val="hybridMultilevel"/>
    <w:tmpl w:val="E14265C4"/>
    <w:lvl w:ilvl="0" w:tplc="77BA7ABA">
      <w:numFmt w:val="bullet"/>
      <w:lvlText w:val="•"/>
      <w:lvlJc w:val="left"/>
      <w:pPr>
        <w:ind w:left="907" w:hanging="360"/>
      </w:pPr>
      <w:rPr>
        <w:rFonts w:ascii="Trebuchet MS" w:eastAsia="Trebuchet MS" w:hAnsi="Trebuchet MS" w:cs="Trebuchet MS" w:hint="default"/>
        <w:b w:val="0"/>
        <w:bCs w:val="0"/>
        <w:i w:val="0"/>
        <w:iCs w:val="0"/>
        <w:spacing w:val="0"/>
        <w:w w:val="89"/>
        <w:sz w:val="18"/>
        <w:szCs w:val="18"/>
        <w:lang w:val="en-US" w:eastAsia="en-US" w:bidi="ar-SA"/>
      </w:rPr>
    </w:lvl>
    <w:lvl w:ilvl="1" w:tplc="8F982E3A">
      <w:numFmt w:val="bullet"/>
      <w:lvlText w:val="•"/>
      <w:lvlJc w:val="left"/>
      <w:pPr>
        <w:ind w:left="1576" w:hanging="360"/>
      </w:pPr>
      <w:rPr>
        <w:rFonts w:hint="default"/>
        <w:lang w:val="en-US" w:eastAsia="en-US" w:bidi="ar-SA"/>
      </w:rPr>
    </w:lvl>
    <w:lvl w:ilvl="2" w:tplc="CDD055EC">
      <w:numFmt w:val="bullet"/>
      <w:lvlText w:val="•"/>
      <w:lvlJc w:val="left"/>
      <w:pPr>
        <w:ind w:left="2252" w:hanging="360"/>
      </w:pPr>
      <w:rPr>
        <w:rFonts w:hint="default"/>
        <w:lang w:val="en-US" w:eastAsia="en-US" w:bidi="ar-SA"/>
      </w:rPr>
    </w:lvl>
    <w:lvl w:ilvl="3" w:tplc="B1B0238A">
      <w:numFmt w:val="bullet"/>
      <w:lvlText w:val="•"/>
      <w:lvlJc w:val="left"/>
      <w:pPr>
        <w:ind w:left="2928" w:hanging="360"/>
      </w:pPr>
      <w:rPr>
        <w:rFonts w:hint="default"/>
        <w:lang w:val="en-US" w:eastAsia="en-US" w:bidi="ar-SA"/>
      </w:rPr>
    </w:lvl>
    <w:lvl w:ilvl="4" w:tplc="F2401468">
      <w:numFmt w:val="bullet"/>
      <w:lvlText w:val="•"/>
      <w:lvlJc w:val="left"/>
      <w:pPr>
        <w:ind w:left="3604" w:hanging="360"/>
      </w:pPr>
      <w:rPr>
        <w:rFonts w:hint="default"/>
        <w:lang w:val="en-US" w:eastAsia="en-US" w:bidi="ar-SA"/>
      </w:rPr>
    </w:lvl>
    <w:lvl w:ilvl="5" w:tplc="53AC6758">
      <w:numFmt w:val="bullet"/>
      <w:lvlText w:val="•"/>
      <w:lvlJc w:val="left"/>
      <w:pPr>
        <w:ind w:left="4280" w:hanging="360"/>
      </w:pPr>
      <w:rPr>
        <w:rFonts w:hint="default"/>
        <w:lang w:val="en-US" w:eastAsia="en-US" w:bidi="ar-SA"/>
      </w:rPr>
    </w:lvl>
    <w:lvl w:ilvl="6" w:tplc="0130F268">
      <w:numFmt w:val="bullet"/>
      <w:lvlText w:val="•"/>
      <w:lvlJc w:val="left"/>
      <w:pPr>
        <w:ind w:left="4956" w:hanging="360"/>
      </w:pPr>
      <w:rPr>
        <w:rFonts w:hint="default"/>
        <w:lang w:val="en-US" w:eastAsia="en-US" w:bidi="ar-SA"/>
      </w:rPr>
    </w:lvl>
    <w:lvl w:ilvl="7" w:tplc="49A0CFC0">
      <w:numFmt w:val="bullet"/>
      <w:lvlText w:val="•"/>
      <w:lvlJc w:val="left"/>
      <w:pPr>
        <w:ind w:left="5632" w:hanging="360"/>
      </w:pPr>
      <w:rPr>
        <w:rFonts w:hint="default"/>
        <w:lang w:val="en-US" w:eastAsia="en-US" w:bidi="ar-SA"/>
      </w:rPr>
    </w:lvl>
    <w:lvl w:ilvl="8" w:tplc="8FD20EE4">
      <w:numFmt w:val="bullet"/>
      <w:lvlText w:val="•"/>
      <w:lvlJc w:val="left"/>
      <w:pPr>
        <w:ind w:left="6308" w:hanging="360"/>
      </w:pPr>
      <w:rPr>
        <w:rFonts w:hint="default"/>
        <w:lang w:val="en-US" w:eastAsia="en-US" w:bidi="ar-SA"/>
      </w:rPr>
    </w:lvl>
  </w:abstractNum>
  <w:abstractNum w:abstractNumId="57" w15:restartNumberingAfterBreak="0">
    <w:nsid w:val="2AF40814"/>
    <w:multiLevelType w:val="hybridMultilevel"/>
    <w:tmpl w:val="4EB28370"/>
    <w:lvl w:ilvl="0" w:tplc="CF208BC8">
      <w:numFmt w:val="bullet"/>
      <w:lvlText w:val="•"/>
      <w:lvlJc w:val="left"/>
      <w:pPr>
        <w:ind w:left="461" w:hanging="360"/>
      </w:pPr>
      <w:rPr>
        <w:rFonts w:ascii="Trebuchet MS" w:eastAsia="Trebuchet MS" w:hAnsi="Trebuchet MS" w:cs="Trebuchet MS" w:hint="default"/>
        <w:spacing w:val="0"/>
        <w:w w:val="88"/>
        <w:lang w:val="en-US" w:eastAsia="en-US" w:bidi="ar-SA"/>
      </w:rPr>
    </w:lvl>
    <w:lvl w:ilvl="1" w:tplc="D9DA27D8">
      <w:numFmt w:val="bullet"/>
      <w:lvlText w:val="•"/>
      <w:lvlJc w:val="left"/>
      <w:pPr>
        <w:ind w:left="1100" w:hanging="360"/>
      </w:pPr>
      <w:rPr>
        <w:rFonts w:hint="default"/>
        <w:lang w:val="en-US" w:eastAsia="en-US" w:bidi="ar-SA"/>
      </w:rPr>
    </w:lvl>
    <w:lvl w:ilvl="2" w:tplc="D5E404A8">
      <w:numFmt w:val="bullet"/>
      <w:lvlText w:val="•"/>
      <w:lvlJc w:val="left"/>
      <w:pPr>
        <w:ind w:left="1740" w:hanging="360"/>
      </w:pPr>
      <w:rPr>
        <w:rFonts w:hint="default"/>
        <w:lang w:val="en-US" w:eastAsia="en-US" w:bidi="ar-SA"/>
      </w:rPr>
    </w:lvl>
    <w:lvl w:ilvl="3" w:tplc="F920D670">
      <w:numFmt w:val="bullet"/>
      <w:lvlText w:val="•"/>
      <w:lvlJc w:val="left"/>
      <w:pPr>
        <w:ind w:left="2380" w:hanging="360"/>
      </w:pPr>
      <w:rPr>
        <w:rFonts w:hint="default"/>
        <w:lang w:val="en-US" w:eastAsia="en-US" w:bidi="ar-SA"/>
      </w:rPr>
    </w:lvl>
    <w:lvl w:ilvl="4" w:tplc="3BB01C6A">
      <w:numFmt w:val="bullet"/>
      <w:lvlText w:val="•"/>
      <w:lvlJc w:val="left"/>
      <w:pPr>
        <w:ind w:left="3021" w:hanging="360"/>
      </w:pPr>
      <w:rPr>
        <w:rFonts w:hint="default"/>
        <w:lang w:val="en-US" w:eastAsia="en-US" w:bidi="ar-SA"/>
      </w:rPr>
    </w:lvl>
    <w:lvl w:ilvl="5" w:tplc="90F6D406">
      <w:numFmt w:val="bullet"/>
      <w:lvlText w:val="•"/>
      <w:lvlJc w:val="left"/>
      <w:pPr>
        <w:ind w:left="3661" w:hanging="360"/>
      </w:pPr>
      <w:rPr>
        <w:rFonts w:hint="default"/>
        <w:lang w:val="en-US" w:eastAsia="en-US" w:bidi="ar-SA"/>
      </w:rPr>
    </w:lvl>
    <w:lvl w:ilvl="6" w:tplc="84486366">
      <w:numFmt w:val="bullet"/>
      <w:lvlText w:val="•"/>
      <w:lvlJc w:val="left"/>
      <w:pPr>
        <w:ind w:left="4301" w:hanging="360"/>
      </w:pPr>
      <w:rPr>
        <w:rFonts w:hint="default"/>
        <w:lang w:val="en-US" w:eastAsia="en-US" w:bidi="ar-SA"/>
      </w:rPr>
    </w:lvl>
    <w:lvl w:ilvl="7" w:tplc="9C54C4EC">
      <w:numFmt w:val="bullet"/>
      <w:lvlText w:val="•"/>
      <w:lvlJc w:val="left"/>
      <w:pPr>
        <w:ind w:left="4942" w:hanging="360"/>
      </w:pPr>
      <w:rPr>
        <w:rFonts w:hint="default"/>
        <w:lang w:val="en-US" w:eastAsia="en-US" w:bidi="ar-SA"/>
      </w:rPr>
    </w:lvl>
    <w:lvl w:ilvl="8" w:tplc="3F5E85C2">
      <w:numFmt w:val="bullet"/>
      <w:lvlText w:val="•"/>
      <w:lvlJc w:val="left"/>
      <w:pPr>
        <w:ind w:left="5582" w:hanging="360"/>
      </w:pPr>
      <w:rPr>
        <w:rFonts w:hint="default"/>
        <w:lang w:val="en-US" w:eastAsia="en-US" w:bidi="ar-SA"/>
      </w:rPr>
    </w:lvl>
  </w:abstractNum>
  <w:abstractNum w:abstractNumId="58" w15:restartNumberingAfterBreak="0">
    <w:nsid w:val="2BEE01B6"/>
    <w:multiLevelType w:val="hybridMultilevel"/>
    <w:tmpl w:val="B0567CA6"/>
    <w:lvl w:ilvl="0" w:tplc="5F549BBE">
      <w:numFmt w:val="bullet"/>
      <w:lvlText w:val="•"/>
      <w:lvlJc w:val="left"/>
      <w:pPr>
        <w:ind w:left="539" w:hanging="360"/>
      </w:pPr>
      <w:rPr>
        <w:rFonts w:ascii="Trebuchet MS" w:eastAsia="Trebuchet MS" w:hAnsi="Trebuchet MS" w:cs="Trebuchet MS" w:hint="default"/>
        <w:b w:val="0"/>
        <w:bCs w:val="0"/>
        <w:i w:val="0"/>
        <w:iCs w:val="0"/>
        <w:spacing w:val="0"/>
        <w:w w:val="89"/>
        <w:sz w:val="18"/>
        <w:szCs w:val="18"/>
        <w:lang w:val="en-US" w:eastAsia="en-US" w:bidi="ar-SA"/>
      </w:rPr>
    </w:lvl>
    <w:lvl w:ilvl="1" w:tplc="48122B92">
      <w:numFmt w:val="bullet"/>
      <w:lvlText w:val="•"/>
      <w:lvlJc w:val="left"/>
      <w:pPr>
        <w:ind w:left="1252" w:hanging="360"/>
      </w:pPr>
      <w:rPr>
        <w:rFonts w:hint="default"/>
        <w:lang w:val="en-US" w:eastAsia="en-US" w:bidi="ar-SA"/>
      </w:rPr>
    </w:lvl>
    <w:lvl w:ilvl="2" w:tplc="E31E9332">
      <w:numFmt w:val="bullet"/>
      <w:lvlText w:val="•"/>
      <w:lvlJc w:val="left"/>
      <w:pPr>
        <w:ind w:left="1965" w:hanging="360"/>
      </w:pPr>
      <w:rPr>
        <w:rFonts w:hint="default"/>
        <w:lang w:val="en-US" w:eastAsia="en-US" w:bidi="ar-SA"/>
      </w:rPr>
    </w:lvl>
    <w:lvl w:ilvl="3" w:tplc="4A2AA752">
      <w:numFmt w:val="bullet"/>
      <w:lvlText w:val="•"/>
      <w:lvlJc w:val="left"/>
      <w:pPr>
        <w:ind w:left="2678" w:hanging="360"/>
      </w:pPr>
      <w:rPr>
        <w:rFonts w:hint="default"/>
        <w:lang w:val="en-US" w:eastAsia="en-US" w:bidi="ar-SA"/>
      </w:rPr>
    </w:lvl>
    <w:lvl w:ilvl="4" w:tplc="98E87208">
      <w:numFmt w:val="bullet"/>
      <w:lvlText w:val="•"/>
      <w:lvlJc w:val="left"/>
      <w:pPr>
        <w:ind w:left="3391" w:hanging="360"/>
      </w:pPr>
      <w:rPr>
        <w:rFonts w:hint="default"/>
        <w:lang w:val="en-US" w:eastAsia="en-US" w:bidi="ar-SA"/>
      </w:rPr>
    </w:lvl>
    <w:lvl w:ilvl="5" w:tplc="1D0A495E">
      <w:numFmt w:val="bullet"/>
      <w:lvlText w:val="•"/>
      <w:lvlJc w:val="left"/>
      <w:pPr>
        <w:ind w:left="4104" w:hanging="360"/>
      </w:pPr>
      <w:rPr>
        <w:rFonts w:hint="default"/>
        <w:lang w:val="en-US" w:eastAsia="en-US" w:bidi="ar-SA"/>
      </w:rPr>
    </w:lvl>
    <w:lvl w:ilvl="6" w:tplc="11D8F7A8">
      <w:numFmt w:val="bullet"/>
      <w:lvlText w:val="•"/>
      <w:lvlJc w:val="left"/>
      <w:pPr>
        <w:ind w:left="4817" w:hanging="360"/>
      </w:pPr>
      <w:rPr>
        <w:rFonts w:hint="default"/>
        <w:lang w:val="en-US" w:eastAsia="en-US" w:bidi="ar-SA"/>
      </w:rPr>
    </w:lvl>
    <w:lvl w:ilvl="7" w:tplc="9A2ACA34">
      <w:numFmt w:val="bullet"/>
      <w:lvlText w:val="•"/>
      <w:lvlJc w:val="left"/>
      <w:pPr>
        <w:ind w:left="5530" w:hanging="360"/>
      </w:pPr>
      <w:rPr>
        <w:rFonts w:hint="default"/>
        <w:lang w:val="en-US" w:eastAsia="en-US" w:bidi="ar-SA"/>
      </w:rPr>
    </w:lvl>
    <w:lvl w:ilvl="8" w:tplc="C37C0436">
      <w:numFmt w:val="bullet"/>
      <w:lvlText w:val="•"/>
      <w:lvlJc w:val="left"/>
      <w:pPr>
        <w:ind w:left="6243" w:hanging="360"/>
      </w:pPr>
      <w:rPr>
        <w:rFonts w:hint="default"/>
        <w:lang w:val="en-US" w:eastAsia="en-US" w:bidi="ar-SA"/>
      </w:rPr>
    </w:lvl>
  </w:abstractNum>
  <w:abstractNum w:abstractNumId="59" w15:restartNumberingAfterBreak="0">
    <w:nsid w:val="2C1443A5"/>
    <w:multiLevelType w:val="multilevel"/>
    <w:tmpl w:val="AEB6FC08"/>
    <w:lvl w:ilvl="0">
      <w:start w:val="3"/>
      <w:numFmt w:val="decimal"/>
      <w:lvlText w:val="%1"/>
      <w:lvlJc w:val="left"/>
      <w:pPr>
        <w:ind w:left="503" w:hanging="452"/>
        <w:jc w:val="left"/>
      </w:pPr>
      <w:rPr>
        <w:rFonts w:hint="default"/>
        <w:lang w:val="en-US" w:eastAsia="en-US" w:bidi="ar-SA"/>
      </w:rPr>
    </w:lvl>
    <w:lvl w:ilvl="1">
      <w:start w:val="3"/>
      <w:numFmt w:val="decimal"/>
      <w:lvlText w:val="%1.%2"/>
      <w:lvlJc w:val="left"/>
      <w:pPr>
        <w:ind w:left="503" w:hanging="452"/>
        <w:jc w:val="left"/>
      </w:pPr>
      <w:rPr>
        <w:rFonts w:ascii="Calibri" w:eastAsia="Calibri" w:hAnsi="Calibri" w:cs="Calibri" w:hint="default"/>
        <w:b/>
        <w:bCs/>
        <w:i w:val="0"/>
        <w:iCs w:val="0"/>
        <w:color w:val="00ACA3"/>
        <w:spacing w:val="-2"/>
        <w:w w:val="100"/>
        <w:sz w:val="22"/>
        <w:szCs w:val="22"/>
        <w:lang w:val="en-US" w:eastAsia="en-US" w:bidi="ar-SA"/>
      </w:rPr>
    </w:lvl>
    <w:lvl w:ilvl="2">
      <w:start w:val="1"/>
      <w:numFmt w:val="decimal"/>
      <w:lvlText w:val="%3."/>
      <w:lvlJc w:val="left"/>
      <w:pPr>
        <w:ind w:left="503" w:hanging="361"/>
        <w:jc w:val="right"/>
      </w:pPr>
      <w:rPr>
        <w:rFonts w:ascii="Calibri" w:eastAsia="Calibri" w:hAnsi="Calibri" w:cs="Calibri" w:hint="default"/>
        <w:b/>
        <w:bCs/>
        <w:i w:val="0"/>
        <w:iCs w:val="0"/>
        <w:spacing w:val="0"/>
        <w:w w:val="100"/>
        <w:sz w:val="22"/>
        <w:szCs w:val="22"/>
        <w:lang w:val="en-US" w:eastAsia="en-US" w:bidi="ar-SA"/>
      </w:rPr>
    </w:lvl>
    <w:lvl w:ilvl="3">
      <w:numFmt w:val="bullet"/>
      <w:lvlText w:val=""/>
      <w:lvlJc w:val="left"/>
      <w:pPr>
        <w:ind w:left="863" w:hanging="361"/>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1224" w:hanging="360"/>
      </w:pPr>
      <w:rPr>
        <w:rFonts w:ascii="Calibri" w:eastAsia="Calibri" w:hAnsi="Calibri" w:cs="Calibri" w:hint="default"/>
        <w:b w:val="0"/>
        <w:bCs w:val="0"/>
        <w:i w:val="0"/>
        <w:iCs w:val="0"/>
        <w:spacing w:val="0"/>
        <w:w w:val="100"/>
        <w:sz w:val="22"/>
        <w:szCs w:val="22"/>
        <w:lang w:val="en-US" w:eastAsia="en-US" w:bidi="ar-SA"/>
      </w:rPr>
    </w:lvl>
    <w:lvl w:ilvl="5">
      <w:numFmt w:val="bullet"/>
      <w:lvlText w:val="•"/>
      <w:lvlJc w:val="left"/>
      <w:pPr>
        <w:ind w:left="4430" w:hanging="360"/>
      </w:pPr>
      <w:rPr>
        <w:rFonts w:hint="default"/>
        <w:lang w:val="en-US" w:eastAsia="en-US" w:bidi="ar-SA"/>
      </w:rPr>
    </w:lvl>
    <w:lvl w:ilvl="6">
      <w:numFmt w:val="bullet"/>
      <w:lvlText w:val="•"/>
      <w:lvlJc w:val="left"/>
      <w:pPr>
        <w:ind w:left="5500" w:hanging="360"/>
      </w:pPr>
      <w:rPr>
        <w:rFonts w:hint="default"/>
        <w:lang w:val="en-US" w:eastAsia="en-US" w:bidi="ar-SA"/>
      </w:rPr>
    </w:lvl>
    <w:lvl w:ilvl="7">
      <w:numFmt w:val="bullet"/>
      <w:lvlText w:val="•"/>
      <w:lvlJc w:val="left"/>
      <w:pPr>
        <w:ind w:left="6570" w:hanging="360"/>
      </w:pPr>
      <w:rPr>
        <w:rFonts w:hint="default"/>
        <w:lang w:val="en-US" w:eastAsia="en-US" w:bidi="ar-SA"/>
      </w:rPr>
    </w:lvl>
    <w:lvl w:ilvl="8">
      <w:numFmt w:val="bullet"/>
      <w:lvlText w:val="•"/>
      <w:lvlJc w:val="left"/>
      <w:pPr>
        <w:ind w:left="7641" w:hanging="360"/>
      </w:pPr>
      <w:rPr>
        <w:rFonts w:hint="default"/>
        <w:lang w:val="en-US" w:eastAsia="en-US" w:bidi="ar-SA"/>
      </w:rPr>
    </w:lvl>
  </w:abstractNum>
  <w:abstractNum w:abstractNumId="60" w15:restartNumberingAfterBreak="0">
    <w:nsid w:val="2D043870"/>
    <w:multiLevelType w:val="hybridMultilevel"/>
    <w:tmpl w:val="A44C8900"/>
    <w:lvl w:ilvl="0" w:tplc="53404AA0">
      <w:numFmt w:val="bullet"/>
      <w:lvlText w:val="-"/>
      <w:lvlJc w:val="left"/>
      <w:pPr>
        <w:ind w:left="280" w:hanging="161"/>
      </w:pPr>
      <w:rPr>
        <w:rFonts w:ascii="Calibri" w:eastAsia="Calibri" w:hAnsi="Calibri" w:cs="Calibri" w:hint="default"/>
        <w:b w:val="0"/>
        <w:bCs w:val="0"/>
        <w:i w:val="0"/>
        <w:iCs w:val="0"/>
        <w:spacing w:val="0"/>
        <w:w w:val="100"/>
        <w:sz w:val="18"/>
        <w:szCs w:val="18"/>
        <w:lang w:val="en-US" w:eastAsia="en-US" w:bidi="ar-SA"/>
      </w:rPr>
    </w:lvl>
    <w:lvl w:ilvl="1" w:tplc="4378C90A">
      <w:numFmt w:val="bullet"/>
      <w:lvlText w:val="•"/>
      <w:lvlJc w:val="left"/>
      <w:pPr>
        <w:ind w:left="587" w:hanging="161"/>
      </w:pPr>
      <w:rPr>
        <w:rFonts w:hint="default"/>
        <w:lang w:val="en-US" w:eastAsia="en-US" w:bidi="ar-SA"/>
      </w:rPr>
    </w:lvl>
    <w:lvl w:ilvl="2" w:tplc="21AE5976">
      <w:numFmt w:val="bullet"/>
      <w:lvlText w:val="•"/>
      <w:lvlJc w:val="left"/>
      <w:pPr>
        <w:ind w:left="895" w:hanging="161"/>
      </w:pPr>
      <w:rPr>
        <w:rFonts w:hint="default"/>
        <w:lang w:val="en-US" w:eastAsia="en-US" w:bidi="ar-SA"/>
      </w:rPr>
    </w:lvl>
    <w:lvl w:ilvl="3" w:tplc="69487C40">
      <w:numFmt w:val="bullet"/>
      <w:lvlText w:val="•"/>
      <w:lvlJc w:val="left"/>
      <w:pPr>
        <w:ind w:left="1202" w:hanging="161"/>
      </w:pPr>
      <w:rPr>
        <w:rFonts w:hint="default"/>
        <w:lang w:val="en-US" w:eastAsia="en-US" w:bidi="ar-SA"/>
      </w:rPr>
    </w:lvl>
    <w:lvl w:ilvl="4" w:tplc="0B7845FC">
      <w:numFmt w:val="bullet"/>
      <w:lvlText w:val="•"/>
      <w:lvlJc w:val="left"/>
      <w:pPr>
        <w:ind w:left="1510" w:hanging="161"/>
      </w:pPr>
      <w:rPr>
        <w:rFonts w:hint="default"/>
        <w:lang w:val="en-US" w:eastAsia="en-US" w:bidi="ar-SA"/>
      </w:rPr>
    </w:lvl>
    <w:lvl w:ilvl="5" w:tplc="6A76968C">
      <w:numFmt w:val="bullet"/>
      <w:lvlText w:val="•"/>
      <w:lvlJc w:val="left"/>
      <w:pPr>
        <w:ind w:left="1817" w:hanging="161"/>
      </w:pPr>
      <w:rPr>
        <w:rFonts w:hint="default"/>
        <w:lang w:val="en-US" w:eastAsia="en-US" w:bidi="ar-SA"/>
      </w:rPr>
    </w:lvl>
    <w:lvl w:ilvl="6" w:tplc="005AEA0E">
      <w:numFmt w:val="bullet"/>
      <w:lvlText w:val="•"/>
      <w:lvlJc w:val="left"/>
      <w:pPr>
        <w:ind w:left="2125" w:hanging="161"/>
      </w:pPr>
      <w:rPr>
        <w:rFonts w:hint="default"/>
        <w:lang w:val="en-US" w:eastAsia="en-US" w:bidi="ar-SA"/>
      </w:rPr>
    </w:lvl>
    <w:lvl w:ilvl="7" w:tplc="DD3AA310">
      <w:numFmt w:val="bullet"/>
      <w:lvlText w:val="•"/>
      <w:lvlJc w:val="left"/>
      <w:pPr>
        <w:ind w:left="2432" w:hanging="161"/>
      </w:pPr>
      <w:rPr>
        <w:rFonts w:hint="default"/>
        <w:lang w:val="en-US" w:eastAsia="en-US" w:bidi="ar-SA"/>
      </w:rPr>
    </w:lvl>
    <w:lvl w:ilvl="8" w:tplc="324E4872">
      <w:numFmt w:val="bullet"/>
      <w:lvlText w:val="•"/>
      <w:lvlJc w:val="left"/>
      <w:pPr>
        <w:ind w:left="2740" w:hanging="161"/>
      </w:pPr>
      <w:rPr>
        <w:rFonts w:hint="default"/>
        <w:lang w:val="en-US" w:eastAsia="en-US" w:bidi="ar-SA"/>
      </w:rPr>
    </w:lvl>
  </w:abstractNum>
  <w:abstractNum w:abstractNumId="61" w15:restartNumberingAfterBreak="0">
    <w:nsid w:val="2E1D4616"/>
    <w:multiLevelType w:val="hybridMultilevel"/>
    <w:tmpl w:val="E1C84B80"/>
    <w:lvl w:ilvl="0" w:tplc="00B0DEA4">
      <w:numFmt w:val="bullet"/>
      <w:lvlText w:val="•"/>
      <w:lvlJc w:val="left"/>
      <w:pPr>
        <w:ind w:left="452" w:hanging="360"/>
      </w:pPr>
      <w:rPr>
        <w:rFonts w:ascii="Trebuchet MS" w:eastAsia="Trebuchet MS" w:hAnsi="Trebuchet MS" w:cs="Trebuchet MS" w:hint="default"/>
        <w:b w:val="0"/>
        <w:bCs w:val="0"/>
        <w:i w:val="0"/>
        <w:iCs w:val="0"/>
        <w:spacing w:val="0"/>
        <w:w w:val="89"/>
        <w:sz w:val="18"/>
        <w:szCs w:val="18"/>
        <w:lang w:val="en-US" w:eastAsia="en-US" w:bidi="ar-SA"/>
      </w:rPr>
    </w:lvl>
    <w:lvl w:ilvl="1" w:tplc="F5928F28">
      <w:numFmt w:val="bullet"/>
      <w:lvlText w:val="•"/>
      <w:lvlJc w:val="left"/>
      <w:pPr>
        <w:ind w:left="1189" w:hanging="360"/>
      </w:pPr>
      <w:rPr>
        <w:rFonts w:hint="default"/>
        <w:lang w:val="en-US" w:eastAsia="en-US" w:bidi="ar-SA"/>
      </w:rPr>
    </w:lvl>
    <w:lvl w:ilvl="2" w:tplc="584A8E50">
      <w:numFmt w:val="bullet"/>
      <w:lvlText w:val="•"/>
      <w:lvlJc w:val="left"/>
      <w:pPr>
        <w:ind w:left="1919" w:hanging="360"/>
      </w:pPr>
      <w:rPr>
        <w:rFonts w:hint="default"/>
        <w:lang w:val="en-US" w:eastAsia="en-US" w:bidi="ar-SA"/>
      </w:rPr>
    </w:lvl>
    <w:lvl w:ilvl="3" w:tplc="2654D050">
      <w:numFmt w:val="bullet"/>
      <w:lvlText w:val="•"/>
      <w:lvlJc w:val="left"/>
      <w:pPr>
        <w:ind w:left="2648" w:hanging="360"/>
      </w:pPr>
      <w:rPr>
        <w:rFonts w:hint="default"/>
        <w:lang w:val="en-US" w:eastAsia="en-US" w:bidi="ar-SA"/>
      </w:rPr>
    </w:lvl>
    <w:lvl w:ilvl="4" w:tplc="2F646EA8">
      <w:numFmt w:val="bullet"/>
      <w:lvlText w:val="•"/>
      <w:lvlJc w:val="left"/>
      <w:pPr>
        <w:ind w:left="3378" w:hanging="360"/>
      </w:pPr>
      <w:rPr>
        <w:rFonts w:hint="default"/>
        <w:lang w:val="en-US" w:eastAsia="en-US" w:bidi="ar-SA"/>
      </w:rPr>
    </w:lvl>
    <w:lvl w:ilvl="5" w:tplc="908A8D8A">
      <w:numFmt w:val="bullet"/>
      <w:lvlText w:val="•"/>
      <w:lvlJc w:val="left"/>
      <w:pPr>
        <w:ind w:left="4108" w:hanging="360"/>
      </w:pPr>
      <w:rPr>
        <w:rFonts w:hint="default"/>
        <w:lang w:val="en-US" w:eastAsia="en-US" w:bidi="ar-SA"/>
      </w:rPr>
    </w:lvl>
    <w:lvl w:ilvl="6" w:tplc="5E100908">
      <w:numFmt w:val="bullet"/>
      <w:lvlText w:val="•"/>
      <w:lvlJc w:val="left"/>
      <w:pPr>
        <w:ind w:left="4837" w:hanging="360"/>
      </w:pPr>
      <w:rPr>
        <w:rFonts w:hint="default"/>
        <w:lang w:val="en-US" w:eastAsia="en-US" w:bidi="ar-SA"/>
      </w:rPr>
    </w:lvl>
    <w:lvl w:ilvl="7" w:tplc="D0D2AF1A">
      <w:numFmt w:val="bullet"/>
      <w:lvlText w:val="•"/>
      <w:lvlJc w:val="left"/>
      <w:pPr>
        <w:ind w:left="5567" w:hanging="360"/>
      </w:pPr>
      <w:rPr>
        <w:rFonts w:hint="default"/>
        <w:lang w:val="en-US" w:eastAsia="en-US" w:bidi="ar-SA"/>
      </w:rPr>
    </w:lvl>
    <w:lvl w:ilvl="8" w:tplc="24DA4CE8">
      <w:numFmt w:val="bullet"/>
      <w:lvlText w:val="•"/>
      <w:lvlJc w:val="left"/>
      <w:pPr>
        <w:ind w:left="6296" w:hanging="360"/>
      </w:pPr>
      <w:rPr>
        <w:rFonts w:hint="default"/>
        <w:lang w:val="en-US" w:eastAsia="en-US" w:bidi="ar-SA"/>
      </w:rPr>
    </w:lvl>
  </w:abstractNum>
  <w:abstractNum w:abstractNumId="62" w15:restartNumberingAfterBreak="0">
    <w:nsid w:val="2E774453"/>
    <w:multiLevelType w:val="hybridMultilevel"/>
    <w:tmpl w:val="B3E030AC"/>
    <w:lvl w:ilvl="0" w:tplc="AB405922">
      <w:numFmt w:val="bullet"/>
      <w:lvlText w:val="•"/>
      <w:lvlJc w:val="left"/>
      <w:pPr>
        <w:ind w:left="513" w:hanging="360"/>
      </w:pPr>
      <w:rPr>
        <w:rFonts w:ascii="Trebuchet MS" w:eastAsia="Trebuchet MS" w:hAnsi="Trebuchet MS" w:cs="Trebuchet MS" w:hint="default"/>
        <w:b w:val="0"/>
        <w:bCs w:val="0"/>
        <w:i w:val="0"/>
        <w:iCs w:val="0"/>
        <w:spacing w:val="0"/>
        <w:w w:val="89"/>
        <w:sz w:val="18"/>
        <w:szCs w:val="18"/>
        <w:lang w:val="en-US" w:eastAsia="en-US" w:bidi="ar-SA"/>
      </w:rPr>
    </w:lvl>
    <w:lvl w:ilvl="1" w:tplc="E34C7D7A">
      <w:numFmt w:val="bullet"/>
      <w:lvlText w:val="•"/>
      <w:lvlJc w:val="left"/>
      <w:pPr>
        <w:ind w:left="943" w:hanging="360"/>
      </w:pPr>
      <w:rPr>
        <w:rFonts w:hint="default"/>
        <w:lang w:val="en-US" w:eastAsia="en-US" w:bidi="ar-SA"/>
      </w:rPr>
    </w:lvl>
    <w:lvl w:ilvl="2" w:tplc="30DE09C2">
      <w:numFmt w:val="bullet"/>
      <w:lvlText w:val="•"/>
      <w:lvlJc w:val="left"/>
      <w:pPr>
        <w:ind w:left="1367" w:hanging="360"/>
      </w:pPr>
      <w:rPr>
        <w:rFonts w:hint="default"/>
        <w:lang w:val="en-US" w:eastAsia="en-US" w:bidi="ar-SA"/>
      </w:rPr>
    </w:lvl>
    <w:lvl w:ilvl="3" w:tplc="93F809D6">
      <w:numFmt w:val="bullet"/>
      <w:lvlText w:val="•"/>
      <w:lvlJc w:val="left"/>
      <w:pPr>
        <w:ind w:left="1790" w:hanging="360"/>
      </w:pPr>
      <w:rPr>
        <w:rFonts w:hint="default"/>
        <w:lang w:val="en-US" w:eastAsia="en-US" w:bidi="ar-SA"/>
      </w:rPr>
    </w:lvl>
    <w:lvl w:ilvl="4" w:tplc="9FFC0E84">
      <w:numFmt w:val="bullet"/>
      <w:lvlText w:val="•"/>
      <w:lvlJc w:val="left"/>
      <w:pPr>
        <w:ind w:left="2214" w:hanging="360"/>
      </w:pPr>
      <w:rPr>
        <w:rFonts w:hint="default"/>
        <w:lang w:val="en-US" w:eastAsia="en-US" w:bidi="ar-SA"/>
      </w:rPr>
    </w:lvl>
    <w:lvl w:ilvl="5" w:tplc="53EE4876">
      <w:numFmt w:val="bullet"/>
      <w:lvlText w:val="•"/>
      <w:lvlJc w:val="left"/>
      <w:pPr>
        <w:ind w:left="2638" w:hanging="360"/>
      </w:pPr>
      <w:rPr>
        <w:rFonts w:hint="default"/>
        <w:lang w:val="en-US" w:eastAsia="en-US" w:bidi="ar-SA"/>
      </w:rPr>
    </w:lvl>
    <w:lvl w:ilvl="6" w:tplc="532C5A00">
      <w:numFmt w:val="bullet"/>
      <w:lvlText w:val="•"/>
      <w:lvlJc w:val="left"/>
      <w:pPr>
        <w:ind w:left="3061" w:hanging="360"/>
      </w:pPr>
      <w:rPr>
        <w:rFonts w:hint="default"/>
        <w:lang w:val="en-US" w:eastAsia="en-US" w:bidi="ar-SA"/>
      </w:rPr>
    </w:lvl>
    <w:lvl w:ilvl="7" w:tplc="25627784">
      <w:numFmt w:val="bullet"/>
      <w:lvlText w:val="•"/>
      <w:lvlJc w:val="left"/>
      <w:pPr>
        <w:ind w:left="3485" w:hanging="360"/>
      </w:pPr>
      <w:rPr>
        <w:rFonts w:hint="default"/>
        <w:lang w:val="en-US" w:eastAsia="en-US" w:bidi="ar-SA"/>
      </w:rPr>
    </w:lvl>
    <w:lvl w:ilvl="8" w:tplc="929CF0C6">
      <w:numFmt w:val="bullet"/>
      <w:lvlText w:val="•"/>
      <w:lvlJc w:val="left"/>
      <w:pPr>
        <w:ind w:left="3908" w:hanging="360"/>
      </w:pPr>
      <w:rPr>
        <w:rFonts w:hint="default"/>
        <w:lang w:val="en-US" w:eastAsia="en-US" w:bidi="ar-SA"/>
      </w:rPr>
    </w:lvl>
  </w:abstractNum>
  <w:abstractNum w:abstractNumId="63" w15:restartNumberingAfterBreak="0">
    <w:nsid w:val="2E7A4C49"/>
    <w:multiLevelType w:val="hybridMultilevel"/>
    <w:tmpl w:val="8C0887C2"/>
    <w:lvl w:ilvl="0" w:tplc="7FFA0666">
      <w:numFmt w:val="bullet"/>
      <w:lvlText w:val="•"/>
      <w:lvlJc w:val="left"/>
      <w:pPr>
        <w:ind w:left="465" w:hanging="360"/>
      </w:pPr>
      <w:rPr>
        <w:rFonts w:ascii="Trebuchet MS" w:eastAsia="Trebuchet MS" w:hAnsi="Trebuchet MS" w:cs="Trebuchet MS" w:hint="default"/>
        <w:b w:val="0"/>
        <w:bCs w:val="0"/>
        <w:i w:val="0"/>
        <w:iCs w:val="0"/>
        <w:spacing w:val="0"/>
        <w:w w:val="89"/>
        <w:sz w:val="18"/>
        <w:szCs w:val="18"/>
        <w:lang w:val="en-US" w:eastAsia="en-US" w:bidi="ar-SA"/>
      </w:rPr>
    </w:lvl>
    <w:lvl w:ilvl="1" w:tplc="BB08D94A">
      <w:numFmt w:val="bullet"/>
      <w:lvlText w:val="•"/>
      <w:lvlJc w:val="left"/>
      <w:pPr>
        <w:ind w:left="992" w:hanging="360"/>
      </w:pPr>
      <w:rPr>
        <w:rFonts w:hint="default"/>
        <w:lang w:val="en-US" w:eastAsia="en-US" w:bidi="ar-SA"/>
      </w:rPr>
    </w:lvl>
    <w:lvl w:ilvl="2" w:tplc="A54E48D4">
      <w:numFmt w:val="bullet"/>
      <w:lvlText w:val="•"/>
      <w:lvlJc w:val="left"/>
      <w:pPr>
        <w:ind w:left="1525" w:hanging="360"/>
      </w:pPr>
      <w:rPr>
        <w:rFonts w:hint="default"/>
        <w:lang w:val="en-US" w:eastAsia="en-US" w:bidi="ar-SA"/>
      </w:rPr>
    </w:lvl>
    <w:lvl w:ilvl="3" w:tplc="4DDA1816">
      <w:numFmt w:val="bullet"/>
      <w:lvlText w:val="•"/>
      <w:lvlJc w:val="left"/>
      <w:pPr>
        <w:ind w:left="2058" w:hanging="360"/>
      </w:pPr>
      <w:rPr>
        <w:rFonts w:hint="default"/>
        <w:lang w:val="en-US" w:eastAsia="en-US" w:bidi="ar-SA"/>
      </w:rPr>
    </w:lvl>
    <w:lvl w:ilvl="4" w:tplc="7F66FAE4">
      <w:numFmt w:val="bullet"/>
      <w:lvlText w:val="•"/>
      <w:lvlJc w:val="left"/>
      <w:pPr>
        <w:ind w:left="2591" w:hanging="360"/>
      </w:pPr>
      <w:rPr>
        <w:rFonts w:hint="default"/>
        <w:lang w:val="en-US" w:eastAsia="en-US" w:bidi="ar-SA"/>
      </w:rPr>
    </w:lvl>
    <w:lvl w:ilvl="5" w:tplc="C78A889A">
      <w:numFmt w:val="bullet"/>
      <w:lvlText w:val="•"/>
      <w:lvlJc w:val="left"/>
      <w:pPr>
        <w:ind w:left="3124" w:hanging="360"/>
      </w:pPr>
      <w:rPr>
        <w:rFonts w:hint="default"/>
        <w:lang w:val="en-US" w:eastAsia="en-US" w:bidi="ar-SA"/>
      </w:rPr>
    </w:lvl>
    <w:lvl w:ilvl="6" w:tplc="060428C8">
      <w:numFmt w:val="bullet"/>
      <w:lvlText w:val="•"/>
      <w:lvlJc w:val="left"/>
      <w:pPr>
        <w:ind w:left="3657" w:hanging="360"/>
      </w:pPr>
      <w:rPr>
        <w:rFonts w:hint="default"/>
        <w:lang w:val="en-US" w:eastAsia="en-US" w:bidi="ar-SA"/>
      </w:rPr>
    </w:lvl>
    <w:lvl w:ilvl="7" w:tplc="F1A61E9C">
      <w:numFmt w:val="bullet"/>
      <w:lvlText w:val="•"/>
      <w:lvlJc w:val="left"/>
      <w:pPr>
        <w:ind w:left="4190" w:hanging="360"/>
      </w:pPr>
      <w:rPr>
        <w:rFonts w:hint="default"/>
        <w:lang w:val="en-US" w:eastAsia="en-US" w:bidi="ar-SA"/>
      </w:rPr>
    </w:lvl>
    <w:lvl w:ilvl="8" w:tplc="90382C06">
      <w:numFmt w:val="bullet"/>
      <w:lvlText w:val="•"/>
      <w:lvlJc w:val="left"/>
      <w:pPr>
        <w:ind w:left="4723" w:hanging="360"/>
      </w:pPr>
      <w:rPr>
        <w:rFonts w:hint="default"/>
        <w:lang w:val="en-US" w:eastAsia="en-US" w:bidi="ar-SA"/>
      </w:rPr>
    </w:lvl>
  </w:abstractNum>
  <w:abstractNum w:abstractNumId="64" w15:restartNumberingAfterBreak="0">
    <w:nsid w:val="30684FB6"/>
    <w:multiLevelType w:val="hybridMultilevel"/>
    <w:tmpl w:val="9926D586"/>
    <w:lvl w:ilvl="0" w:tplc="2836F07A">
      <w:numFmt w:val="bullet"/>
      <w:lvlText w:val="•"/>
      <w:lvlJc w:val="left"/>
      <w:pPr>
        <w:ind w:left="6791" w:hanging="360"/>
      </w:pPr>
      <w:rPr>
        <w:rFonts w:ascii="Trebuchet MS" w:eastAsia="Trebuchet MS" w:hAnsi="Trebuchet MS" w:cs="Trebuchet MS" w:hint="default"/>
        <w:b w:val="0"/>
        <w:bCs w:val="0"/>
        <w:i w:val="0"/>
        <w:iCs w:val="0"/>
        <w:spacing w:val="0"/>
        <w:w w:val="89"/>
        <w:sz w:val="18"/>
        <w:szCs w:val="18"/>
        <w:lang w:val="en-US" w:eastAsia="en-US" w:bidi="ar-SA"/>
      </w:rPr>
    </w:lvl>
    <w:lvl w:ilvl="1" w:tplc="0B22601E">
      <w:numFmt w:val="bullet"/>
      <w:lvlText w:val=""/>
      <w:lvlJc w:val="left"/>
      <w:pPr>
        <w:ind w:left="863" w:hanging="361"/>
      </w:pPr>
      <w:rPr>
        <w:rFonts w:ascii="Symbol" w:eastAsia="Symbol" w:hAnsi="Symbol" w:cs="Symbol" w:hint="default"/>
        <w:b w:val="0"/>
        <w:bCs w:val="0"/>
        <w:i w:val="0"/>
        <w:iCs w:val="0"/>
        <w:spacing w:val="0"/>
        <w:w w:val="100"/>
        <w:sz w:val="22"/>
        <w:szCs w:val="22"/>
        <w:lang w:val="en-US" w:eastAsia="en-US" w:bidi="ar-SA"/>
      </w:rPr>
    </w:lvl>
    <w:lvl w:ilvl="2" w:tplc="C9485492">
      <w:numFmt w:val="bullet"/>
      <w:lvlText w:val="o"/>
      <w:lvlJc w:val="left"/>
      <w:pPr>
        <w:ind w:left="1223" w:hanging="361"/>
      </w:pPr>
      <w:rPr>
        <w:rFonts w:ascii="Courier New" w:eastAsia="Courier New" w:hAnsi="Courier New" w:cs="Courier New" w:hint="default"/>
        <w:b w:val="0"/>
        <w:bCs w:val="0"/>
        <w:i w:val="0"/>
        <w:iCs w:val="0"/>
        <w:spacing w:val="0"/>
        <w:w w:val="100"/>
        <w:sz w:val="22"/>
        <w:szCs w:val="22"/>
        <w:lang w:val="en-US" w:eastAsia="en-US" w:bidi="ar-SA"/>
      </w:rPr>
    </w:lvl>
    <w:lvl w:ilvl="3" w:tplc="EEFCC992">
      <w:numFmt w:val="bullet"/>
      <w:lvlText w:val="•"/>
      <w:lvlJc w:val="left"/>
      <w:pPr>
        <w:ind w:left="7172" w:hanging="361"/>
      </w:pPr>
      <w:rPr>
        <w:rFonts w:hint="default"/>
        <w:lang w:val="en-US" w:eastAsia="en-US" w:bidi="ar-SA"/>
      </w:rPr>
    </w:lvl>
    <w:lvl w:ilvl="4" w:tplc="95987872">
      <w:numFmt w:val="bullet"/>
      <w:lvlText w:val="•"/>
      <w:lvlJc w:val="left"/>
      <w:pPr>
        <w:ind w:left="7545" w:hanging="361"/>
      </w:pPr>
      <w:rPr>
        <w:rFonts w:hint="default"/>
        <w:lang w:val="en-US" w:eastAsia="en-US" w:bidi="ar-SA"/>
      </w:rPr>
    </w:lvl>
    <w:lvl w:ilvl="5" w:tplc="44586512">
      <w:numFmt w:val="bullet"/>
      <w:lvlText w:val="•"/>
      <w:lvlJc w:val="left"/>
      <w:pPr>
        <w:ind w:left="7918" w:hanging="361"/>
      </w:pPr>
      <w:rPr>
        <w:rFonts w:hint="default"/>
        <w:lang w:val="en-US" w:eastAsia="en-US" w:bidi="ar-SA"/>
      </w:rPr>
    </w:lvl>
    <w:lvl w:ilvl="6" w:tplc="CE8C664A">
      <w:numFmt w:val="bullet"/>
      <w:lvlText w:val="•"/>
      <w:lvlJc w:val="left"/>
      <w:pPr>
        <w:ind w:left="8290" w:hanging="361"/>
      </w:pPr>
      <w:rPr>
        <w:rFonts w:hint="default"/>
        <w:lang w:val="en-US" w:eastAsia="en-US" w:bidi="ar-SA"/>
      </w:rPr>
    </w:lvl>
    <w:lvl w:ilvl="7" w:tplc="837E0D5E">
      <w:numFmt w:val="bullet"/>
      <w:lvlText w:val="•"/>
      <w:lvlJc w:val="left"/>
      <w:pPr>
        <w:ind w:left="8663" w:hanging="361"/>
      </w:pPr>
      <w:rPr>
        <w:rFonts w:hint="default"/>
        <w:lang w:val="en-US" w:eastAsia="en-US" w:bidi="ar-SA"/>
      </w:rPr>
    </w:lvl>
    <w:lvl w:ilvl="8" w:tplc="27E27C38">
      <w:numFmt w:val="bullet"/>
      <w:lvlText w:val="•"/>
      <w:lvlJc w:val="left"/>
      <w:pPr>
        <w:ind w:left="9036" w:hanging="361"/>
      </w:pPr>
      <w:rPr>
        <w:rFonts w:hint="default"/>
        <w:lang w:val="en-US" w:eastAsia="en-US" w:bidi="ar-SA"/>
      </w:rPr>
    </w:lvl>
  </w:abstractNum>
  <w:abstractNum w:abstractNumId="65" w15:restartNumberingAfterBreak="0">
    <w:nsid w:val="31251E27"/>
    <w:multiLevelType w:val="hybridMultilevel"/>
    <w:tmpl w:val="F594D884"/>
    <w:lvl w:ilvl="0" w:tplc="E3F23C62">
      <w:numFmt w:val="bullet"/>
      <w:lvlText w:val=""/>
      <w:lvlJc w:val="left"/>
      <w:pPr>
        <w:ind w:left="863" w:hanging="360"/>
      </w:pPr>
      <w:rPr>
        <w:rFonts w:ascii="Symbol" w:eastAsia="Symbol" w:hAnsi="Symbol" w:cs="Symbol" w:hint="default"/>
        <w:b w:val="0"/>
        <w:bCs w:val="0"/>
        <w:i w:val="0"/>
        <w:iCs w:val="0"/>
        <w:spacing w:val="0"/>
        <w:w w:val="100"/>
        <w:sz w:val="22"/>
        <w:szCs w:val="22"/>
        <w:lang w:val="en-US" w:eastAsia="en-US" w:bidi="ar-SA"/>
      </w:rPr>
    </w:lvl>
    <w:lvl w:ilvl="1" w:tplc="CA10553C">
      <w:numFmt w:val="bullet"/>
      <w:lvlText w:val="o"/>
      <w:lvlJc w:val="left"/>
      <w:pPr>
        <w:ind w:left="1223" w:hanging="361"/>
      </w:pPr>
      <w:rPr>
        <w:rFonts w:ascii="Courier New" w:eastAsia="Courier New" w:hAnsi="Courier New" w:cs="Courier New" w:hint="default"/>
        <w:b w:val="0"/>
        <w:bCs w:val="0"/>
        <w:i w:val="0"/>
        <w:iCs w:val="0"/>
        <w:spacing w:val="0"/>
        <w:w w:val="100"/>
        <w:sz w:val="22"/>
        <w:szCs w:val="22"/>
        <w:lang w:val="en-US" w:eastAsia="en-US" w:bidi="ar-SA"/>
      </w:rPr>
    </w:lvl>
    <w:lvl w:ilvl="2" w:tplc="746A80D8">
      <w:numFmt w:val="bullet"/>
      <w:lvlText w:val="•"/>
      <w:lvlJc w:val="left"/>
      <w:pPr>
        <w:ind w:left="2171" w:hanging="361"/>
      </w:pPr>
      <w:rPr>
        <w:rFonts w:hint="default"/>
        <w:lang w:val="en-US" w:eastAsia="en-US" w:bidi="ar-SA"/>
      </w:rPr>
    </w:lvl>
    <w:lvl w:ilvl="3" w:tplc="65D28AE2">
      <w:numFmt w:val="bullet"/>
      <w:lvlText w:val="•"/>
      <w:lvlJc w:val="left"/>
      <w:pPr>
        <w:ind w:left="3122" w:hanging="361"/>
      </w:pPr>
      <w:rPr>
        <w:rFonts w:hint="default"/>
        <w:lang w:val="en-US" w:eastAsia="en-US" w:bidi="ar-SA"/>
      </w:rPr>
    </w:lvl>
    <w:lvl w:ilvl="4" w:tplc="85766326">
      <w:numFmt w:val="bullet"/>
      <w:lvlText w:val="•"/>
      <w:lvlJc w:val="left"/>
      <w:pPr>
        <w:ind w:left="4073" w:hanging="361"/>
      </w:pPr>
      <w:rPr>
        <w:rFonts w:hint="default"/>
        <w:lang w:val="en-US" w:eastAsia="en-US" w:bidi="ar-SA"/>
      </w:rPr>
    </w:lvl>
    <w:lvl w:ilvl="5" w:tplc="21F40102">
      <w:numFmt w:val="bullet"/>
      <w:lvlText w:val="•"/>
      <w:lvlJc w:val="left"/>
      <w:pPr>
        <w:ind w:left="5025" w:hanging="361"/>
      </w:pPr>
      <w:rPr>
        <w:rFonts w:hint="default"/>
        <w:lang w:val="en-US" w:eastAsia="en-US" w:bidi="ar-SA"/>
      </w:rPr>
    </w:lvl>
    <w:lvl w:ilvl="6" w:tplc="2BFE0D34">
      <w:numFmt w:val="bullet"/>
      <w:lvlText w:val="•"/>
      <w:lvlJc w:val="left"/>
      <w:pPr>
        <w:ind w:left="5976" w:hanging="361"/>
      </w:pPr>
      <w:rPr>
        <w:rFonts w:hint="default"/>
        <w:lang w:val="en-US" w:eastAsia="en-US" w:bidi="ar-SA"/>
      </w:rPr>
    </w:lvl>
    <w:lvl w:ilvl="7" w:tplc="05D4EED6">
      <w:numFmt w:val="bullet"/>
      <w:lvlText w:val="•"/>
      <w:lvlJc w:val="left"/>
      <w:pPr>
        <w:ind w:left="6927" w:hanging="361"/>
      </w:pPr>
      <w:rPr>
        <w:rFonts w:hint="default"/>
        <w:lang w:val="en-US" w:eastAsia="en-US" w:bidi="ar-SA"/>
      </w:rPr>
    </w:lvl>
    <w:lvl w:ilvl="8" w:tplc="3D043B04">
      <w:numFmt w:val="bullet"/>
      <w:lvlText w:val="•"/>
      <w:lvlJc w:val="left"/>
      <w:pPr>
        <w:ind w:left="7878" w:hanging="361"/>
      </w:pPr>
      <w:rPr>
        <w:rFonts w:hint="default"/>
        <w:lang w:val="en-US" w:eastAsia="en-US" w:bidi="ar-SA"/>
      </w:rPr>
    </w:lvl>
  </w:abstractNum>
  <w:abstractNum w:abstractNumId="66" w15:restartNumberingAfterBreak="0">
    <w:nsid w:val="31990029"/>
    <w:multiLevelType w:val="hybridMultilevel"/>
    <w:tmpl w:val="8F54F794"/>
    <w:lvl w:ilvl="0" w:tplc="819CD510">
      <w:numFmt w:val="bullet"/>
      <w:lvlText w:val="•"/>
      <w:lvlJc w:val="left"/>
      <w:pPr>
        <w:ind w:left="478" w:hanging="360"/>
      </w:pPr>
      <w:rPr>
        <w:rFonts w:ascii="Trebuchet MS" w:eastAsia="Trebuchet MS" w:hAnsi="Trebuchet MS" w:cs="Trebuchet MS" w:hint="default"/>
        <w:b w:val="0"/>
        <w:bCs w:val="0"/>
        <w:i w:val="0"/>
        <w:iCs w:val="0"/>
        <w:spacing w:val="0"/>
        <w:w w:val="89"/>
        <w:sz w:val="18"/>
        <w:szCs w:val="18"/>
        <w:lang w:val="en-US" w:eastAsia="en-US" w:bidi="ar-SA"/>
      </w:rPr>
    </w:lvl>
    <w:lvl w:ilvl="1" w:tplc="888284F2">
      <w:numFmt w:val="bullet"/>
      <w:lvlText w:val="•"/>
      <w:lvlJc w:val="left"/>
      <w:pPr>
        <w:ind w:left="1111" w:hanging="360"/>
      </w:pPr>
      <w:rPr>
        <w:rFonts w:hint="default"/>
        <w:lang w:val="en-US" w:eastAsia="en-US" w:bidi="ar-SA"/>
      </w:rPr>
    </w:lvl>
    <w:lvl w:ilvl="2" w:tplc="DFC0492C">
      <w:numFmt w:val="bullet"/>
      <w:lvlText w:val="•"/>
      <w:lvlJc w:val="left"/>
      <w:pPr>
        <w:ind w:left="1742" w:hanging="360"/>
      </w:pPr>
      <w:rPr>
        <w:rFonts w:hint="default"/>
        <w:lang w:val="en-US" w:eastAsia="en-US" w:bidi="ar-SA"/>
      </w:rPr>
    </w:lvl>
    <w:lvl w:ilvl="3" w:tplc="A1CEC78C">
      <w:numFmt w:val="bullet"/>
      <w:lvlText w:val="•"/>
      <w:lvlJc w:val="left"/>
      <w:pPr>
        <w:ind w:left="2373" w:hanging="360"/>
      </w:pPr>
      <w:rPr>
        <w:rFonts w:hint="default"/>
        <w:lang w:val="en-US" w:eastAsia="en-US" w:bidi="ar-SA"/>
      </w:rPr>
    </w:lvl>
    <w:lvl w:ilvl="4" w:tplc="CAD27E64">
      <w:numFmt w:val="bullet"/>
      <w:lvlText w:val="•"/>
      <w:lvlJc w:val="left"/>
      <w:pPr>
        <w:ind w:left="3004" w:hanging="360"/>
      </w:pPr>
      <w:rPr>
        <w:rFonts w:hint="default"/>
        <w:lang w:val="en-US" w:eastAsia="en-US" w:bidi="ar-SA"/>
      </w:rPr>
    </w:lvl>
    <w:lvl w:ilvl="5" w:tplc="67049960">
      <w:numFmt w:val="bullet"/>
      <w:lvlText w:val="•"/>
      <w:lvlJc w:val="left"/>
      <w:pPr>
        <w:ind w:left="3635" w:hanging="360"/>
      </w:pPr>
      <w:rPr>
        <w:rFonts w:hint="default"/>
        <w:lang w:val="en-US" w:eastAsia="en-US" w:bidi="ar-SA"/>
      </w:rPr>
    </w:lvl>
    <w:lvl w:ilvl="6" w:tplc="8F1A536C">
      <w:numFmt w:val="bullet"/>
      <w:lvlText w:val="•"/>
      <w:lvlJc w:val="left"/>
      <w:pPr>
        <w:ind w:left="4266" w:hanging="360"/>
      </w:pPr>
      <w:rPr>
        <w:rFonts w:hint="default"/>
        <w:lang w:val="en-US" w:eastAsia="en-US" w:bidi="ar-SA"/>
      </w:rPr>
    </w:lvl>
    <w:lvl w:ilvl="7" w:tplc="B1E648C2">
      <w:numFmt w:val="bullet"/>
      <w:lvlText w:val="•"/>
      <w:lvlJc w:val="left"/>
      <w:pPr>
        <w:ind w:left="4897" w:hanging="360"/>
      </w:pPr>
      <w:rPr>
        <w:rFonts w:hint="default"/>
        <w:lang w:val="en-US" w:eastAsia="en-US" w:bidi="ar-SA"/>
      </w:rPr>
    </w:lvl>
    <w:lvl w:ilvl="8" w:tplc="BEDA56AC">
      <w:numFmt w:val="bullet"/>
      <w:lvlText w:val="•"/>
      <w:lvlJc w:val="left"/>
      <w:pPr>
        <w:ind w:left="5528" w:hanging="360"/>
      </w:pPr>
      <w:rPr>
        <w:rFonts w:hint="default"/>
        <w:lang w:val="en-US" w:eastAsia="en-US" w:bidi="ar-SA"/>
      </w:rPr>
    </w:lvl>
  </w:abstractNum>
  <w:abstractNum w:abstractNumId="67" w15:restartNumberingAfterBreak="0">
    <w:nsid w:val="31CB77EA"/>
    <w:multiLevelType w:val="hybridMultilevel"/>
    <w:tmpl w:val="4538EF04"/>
    <w:lvl w:ilvl="0" w:tplc="0F78F3A6">
      <w:numFmt w:val="bullet"/>
      <w:lvlText w:val="•"/>
      <w:lvlJc w:val="left"/>
      <w:pPr>
        <w:ind w:left="907" w:hanging="360"/>
      </w:pPr>
      <w:rPr>
        <w:rFonts w:ascii="Trebuchet MS" w:eastAsia="Trebuchet MS" w:hAnsi="Trebuchet MS" w:cs="Trebuchet MS" w:hint="default"/>
        <w:b w:val="0"/>
        <w:bCs w:val="0"/>
        <w:i w:val="0"/>
        <w:iCs w:val="0"/>
        <w:spacing w:val="0"/>
        <w:w w:val="89"/>
        <w:sz w:val="18"/>
        <w:szCs w:val="18"/>
        <w:lang w:val="en-US" w:eastAsia="en-US" w:bidi="ar-SA"/>
      </w:rPr>
    </w:lvl>
    <w:lvl w:ilvl="1" w:tplc="C5DC0092">
      <w:numFmt w:val="bullet"/>
      <w:lvlText w:val="•"/>
      <w:lvlJc w:val="left"/>
      <w:pPr>
        <w:ind w:left="1576" w:hanging="360"/>
      </w:pPr>
      <w:rPr>
        <w:rFonts w:hint="default"/>
        <w:lang w:val="en-US" w:eastAsia="en-US" w:bidi="ar-SA"/>
      </w:rPr>
    </w:lvl>
    <w:lvl w:ilvl="2" w:tplc="4D567588">
      <w:numFmt w:val="bullet"/>
      <w:lvlText w:val="•"/>
      <w:lvlJc w:val="left"/>
      <w:pPr>
        <w:ind w:left="2252" w:hanging="360"/>
      </w:pPr>
      <w:rPr>
        <w:rFonts w:hint="default"/>
        <w:lang w:val="en-US" w:eastAsia="en-US" w:bidi="ar-SA"/>
      </w:rPr>
    </w:lvl>
    <w:lvl w:ilvl="3" w:tplc="541E798E">
      <w:numFmt w:val="bullet"/>
      <w:lvlText w:val="•"/>
      <w:lvlJc w:val="left"/>
      <w:pPr>
        <w:ind w:left="2928" w:hanging="360"/>
      </w:pPr>
      <w:rPr>
        <w:rFonts w:hint="default"/>
        <w:lang w:val="en-US" w:eastAsia="en-US" w:bidi="ar-SA"/>
      </w:rPr>
    </w:lvl>
    <w:lvl w:ilvl="4" w:tplc="CE14642C">
      <w:numFmt w:val="bullet"/>
      <w:lvlText w:val="•"/>
      <w:lvlJc w:val="left"/>
      <w:pPr>
        <w:ind w:left="3604" w:hanging="360"/>
      </w:pPr>
      <w:rPr>
        <w:rFonts w:hint="default"/>
        <w:lang w:val="en-US" w:eastAsia="en-US" w:bidi="ar-SA"/>
      </w:rPr>
    </w:lvl>
    <w:lvl w:ilvl="5" w:tplc="72661C5A">
      <w:numFmt w:val="bullet"/>
      <w:lvlText w:val="•"/>
      <w:lvlJc w:val="left"/>
      <w:pPr>
        <w:ind w:left="4280" w:hanging="360"/>
      </w:pPr>
      <w:rPr>
        <w:rFonts w:hint="default"/>
        <w:lang w:val="en-US" w:eastAsia="en-US" w:bidi="ar-SA"/>
      </w:rPr>
    </w:lvl>
    <w:lvl w:ilvl="6" w:tplc="338498FA">
      <w:numFmt w:val="bullet"/>
      <w:lvlText w:val="•"/>
      <w:lvlJc w:val="left"/>
      <w:pPr>
        <w:ind w:left="4956" w:hanging="360"/>
      </w:pPr>
      <w:rPr>
        <w:rFonts w:hint="default"/>
        <w:lang w:val="en-US" w:eastAsia="en-US" w:bidi="ar-SA"/>
      </w:rPr>
    </w:lvl>
    <w:lvl w:ilvl="7" w:tplc="390878BC">
      <w:numFmt w:val="bullet"/>
      <w:lvlText w:val="•"/>
      <w:lvlJc w:val="left"/>
      <w:pPr>
        <w:ind w:left="5632" w:hanging="360"/>
      </w:pPr>
      <w:rPr>
        <w:rFonts w:hint="default"/>
        <w:lang w:val="en-US" w:eastAsia="en-US" w:bidi="ar-SA"/>
      </w:rPr>
    </w:lvl>
    <w:lvl w:ilvl="8" w:tplc="3E02377E">
      <w:numFmt w:val="bullet"/>
      <w:lvlText w:val="•"/>
      <w:lvlJc w:val="left"/>
      <w:pPr>
        <w:ind w:left="6308" w:hanging="360"/>
      </w:pPr>
      <w:rPr>
        <w:rFonts w:hint="default"/>
        <w:lang w:val="en-US" w:eastAsia="en-US" w:bidi="ar-SA"/>
      </w:rPr>
    </w:lvl>
  </w:abstractNum>
  <w:abstractNum w:abstractNumId="68" w15:restartNumberingAfterBreak="0">
    <w:nsid w:val="34FE39B2"/>
    <w:multiLevelType w:val="hybridMultilevel"/>
    <w:tmpl w:val="3B4E994E"/>
    <w:lvl w:ilvl="0" w:tplc="DAD6CFCC">
      <w:numFmt w:val="bullet"/>
      <w:lvlText w:val="•"/>
      <w:lvlJc w:val="left"/>
      <w:pPr>
        <w:ind w:left="465" w:hanging="360"/>
      </w:pPr>
      <w:rPr>
        <w:rFonts w:ascii="Trebuchet MS" w:eastAsia="Trebuchet MS" w:hAnsi="Trebuchet MS" w:cs="Trebuchet MS" w:hint="default"/>
        <w:b w:val="0"/>
        <w:bCs w:val="0"/>
        <w:i w:val="0"/>
        <w:iCs w:val="0"/>
        <w:spacing w:val="0"/>
        <w:w w:val="89"/>
        <w:sz w:val="18"/>
        <w:szCs w:val="18"/>
        <w:lang w:val="en-US" w:eastAsia="en-US" w:bidi="ar-SA"/>
      </w:rPr>
    </w:lvl>
    <w:lvl w:ilvl="1" w:tplc="4BCC2F7E">
      <w:numFmt w:val="bullet"/>
      <w:lvlText w:val="•"/>
      <w:lvlJc w:val="left"/>
      <w:pPr>
        <w:ind w:left="992" w:hanging="360"/>
      </w:pPr>
      <w:rPr>
        <w:rFonts w:hint="default"/>
        <w:lang w:val="en-US" w:eastAsia="en-US" w:bidi="ar-SA"/>
      </w:rPr>
    </w:lvl>
    <w:lvl w:ilvl="2" w:tplc="7C927CC2">
      <w:numFmt w:val="bullet"/>
      <w:lvlText w:val="•"/>
      <w:lvlJc w:val="left"/>
      <w:pPr>
        <w:ind w:left="1525" w:hanging="360"/>
      </w:pPr>
      <w:rPr>
        <w:rFonts w:hint="default"/>
        <w:lang w:val="en-US" w:eastAsia="en-US" w:bidi="ar-SA"/>
      </w:rPr>
    </w:lvl>
    <w:lvl w:ilvl="3" w:tplc="83AA965C">
      <w:numFmt w:val="bullet"/>
      <w:lvlText w:val="•"/>
      <w:lvlJc w:val="left"/>
      <w:pPr>
        <w:ind w:left="2058" w:hanging="360"/>
      </w:pPr>
      <w:rPr>
        <w:rFonts w:hint="default"/>
        <w:lang w:val="en-US" w:eastAsia="en-US" w:bidi="ar-SA"/>
      </w:rPr>
    </w:lvl>
    <w:lvl w:ilvl="4" w:tplc="B71A1A0E">
      <w:numFmt w:val="bullet"/>
      <w:lvlText w:val="•"/>
      <w:lvlJc w:val="left"/>
      <w:pPr>
        <w:ind w:left="2591" w:hanging="360"/>
      </w:pPr>
      <w:rPr>
        <w:rFonts w:hint="default"/>
        <w:lang w:val="en-US" w:eastAsia="en-US" w:bidi="ar-SA"/>
      </w:rPr>
    </w:lvl>
    <w:lvl w:ilvl="5" w:tplc="D9A898A8">
      <w:numFmt w:val="bullet"/>
      <w:lvlText w:val="•"/>
      <w:lvlJc w:val="left"/>
      <w:pPr>
        <w:ind w:left="3124" w:hanging="360"/>
      </w:pPr>
      <w:rPr>
        <w:rFonts w:hint="default"/>
        <w:lang w:val="en-US" w:eastAsia="en-US" w:bidi="ar-SA"/>
      </w:rPr>
    </w:lvl>
    <w:lvl w:ilvl="6" w:tplc="CB02B412">
      <w:numFmt w:val="bullet"/>
      <w:lvlText w:val="•"/>
      <w:lvlJc w:val="left"/>
      <w:pPr>
        <w:ind w:left="3657" w:hanging="360"/>
      </w:pPr>
      <w:rPr>
        <w:rFonts w:hint="default"/>
        <w:lang w:val="en-US" w:eastAsia="en-US" w:bidi="ar-SA"/>
      </w:rPr>
    </w:lvl>
    <w:lvl w:ilvl="7" w:tplc="CAB8AB38">
      <w:numFmt w:val="bullet"/>
      <w:lvlText w:val="•"/>
      <w:lvlJc w:val="left"/>
      <w:pPr>
        <w:ind w:left="4190" w:hanging="360"/>
      </w:pPr>
      <w:rPr>
        <w:rFonts w:hint="default"/>
        <w:lang w:val="en-US" w:eastAsia="en-US" w:bidi="ar-SA"/>
      </w:rPr>
    </w:lvl>
    <w:lvl w:ilvl="8" w:tplc="FBC8EDDC">
      <w:numFmt w:val="bullet"/>
      <w:lvlText w:val="•"/>
      <w:lvlJc w:val="left"/>
      <w:pPr>
        <w:ind w:left="4723" w:hanging="360"/>
      </w:pPr>
      <w:rPr>
        <w:rFonts w:hint="default"/>
        <w:lang w:val="en-US" w:eastAsia="en-US" w:bidi="ar-SA"/>
      </w:rPr>
    </w:lvl>
  </w:abstractNum>
  <w:abstractNum w:abstractNumId="69" w15:restartNumberingAfterBreak="0">
    <w:nsid w:val="35302459"/>
    <w:multiLevelType w:val="hybridMultilevel"/>
    <w:tmpl w:val="56CEB308"/>
    <w:lvl w:ilvl="0" w:tplc="D6B4486A">
      <w:numFmt w:val="bullet"/>
      <w:lvlText w:val=""/>
      <w:lvlJc w:val="left"/>
      <w:pPr>
        <w:ind w:left="863" w:hanging="360"/>
      </w:pPr>
      <w:rPr>
        <w:rFonts w:ascii="Symbol" w:eastAsia="Symbol" w:hAnsi="Symbol" w:cs="Symbol" w:hint="default"/>
        <w:spacing w:val="0"/>
        <w:w w:val="100"/>
        <w:lang w:val="en-US" w:eastAsia="en-US" w:bidi="ar-SA"/>
      </w:rPr>
    </w:lvl>
    <w:lvl w:ilvl="1" w:tplc="95B0FF2E">
      <w:numFmt w:val="bullet"/>
      <w:lvlText w:val="•"/>
      <w:lvlJc w:val="left"/>
      <w:pPr>
        <w:ind w:left="1723" w:hanging="360"/>
      </w:pPr>
      <w:rPr>
        <w:rFonts w:hint="default"/>
        <w:lang w:val="en-US" w:eastAsia="en-US" w:bidi="ar-SA"/>
      </w:rPr>
    </w:lvl>
    <w:lvl w:ilvl="2" w:tplc="294A56C2">
      <w:numFmt w:val="bullet"/>
      <w:lvlText w:val="•"/>
      <w:lvlJc w:val="left"/>
      <w:pPr>
        <w:ind w:left="2587" w:hanging="360"/>
      </w:pPr>
      <w:rPr>
        <w:rFonts w:hint="default"/>
        <w:lang w:val="en-US" w:eastAsia="en-US" w:bidi="ar-SA"/>
      </w:rPr>
    </w:lvl>
    <w:lvl w:ilvl="3" w:tplc="AE56AC0C">
      <w:numFmt w:val="bullet"/>
      <w:lvlText w:val="•"/>
      <w:lvlJc w:val="left"/>
      <w:pPr>
        <w:ind w:left="3451" w:hanging="360"/>
      </w:pPr>
      <w:rPr>
        <w:rFonts w:hint="default"/>
        <w:lang w:val="en-US" w:eastAsia="en-US" w:bidi="ar-SA"/>
      </w:rPr>
    </w:lvl>
    <w:lvl w:ilvl="4" w:tplc="E320D3DA">
      <w:numFmt w:val="bullet"/>
      <w:lvlText w:val="•"/>
      <w:lvlJc w:val="left"/>
      <w:pPr>
        <w:ind w:left="4315" w:hanging="360"/>
      </w:pPr>
      <w:rPr>
        <w:rFonts w:hint="default"/>
        <w:lang w:val="en-US" w:eastAsia="en-US" w:bidi="ar-SA"/>
      </w:rPr>
    </w:lvl>
    <w:lvl w:ilvl="5" w:tplc="E7486EFA">
      <w:numFmt w:val="bullet"/>
      <w:lvlText w:val="•"/>
      <w:lvlJc w:val="left"/>
      <w:pPr>
        <w:ind w:left="5179" w:hanging="360"/>
      </w:pPr>
      <w:rPr>
        <w:rFonts w:hint="default"/>
        <w:lang w:val="en-US" w:eastAsia="en-US" w:bidi="ar-SA"/>
      </w:rPr>
    </w:lvl>
    <w:lvl w:ilvl="6" w:tplc="DC5A0B56">
      <w:numFmt w:val="bullet"/>
      <w:lvlText w:val="•"/>
      <w:lvlJc w:val="left"/>
      <w:pPr>
        <w:ind w:left="6043" w:hanging="360"/>
      </w:pPr>
      <w:rPr>
        <w:rFonts w:hint="default"/>
        <w:lang w:val="en-US" w:eastAsia="en-US" w:bidi="ar-SA"/>
      </w:rPr>
    </w:lvl>
    <w:lvl w:ilvl="7" w:tplc="5BD2079E">
      <w:numFmt w:val="bullet"/>
      <w:lvlText w:val="•"/>
      <w:lvlJc w:val="left"/>
      <w:pPr>
        <w:ind w:left="6906" w:hanging="360"/>
      </w:pPr>
      <w:rPr>
        <w:rFonts w:hint="default"/>
        <w:lang w:val="en-US" w:eastAsia="en-US" w:bidi="ar-SA"/>
      </w:rPr>
    </w:lvl>
    <w:lvl w:ilvl="8" w:tplc="968261AE">
      <w:numFmt w:val="bullet"/>
      <w:lvlText w:val="•"/>
      <w:lvlJc w:val="left"/>
      <w:pPr>
        <w:ind w:left="7770" w:hanging="360"/>
      </w:pPr>
      <w:rPr>
        <w:rFonts w:hint="default"/>
        <w:lang w:val="en-US" w:eastAsia="en-US" w:bidi="ar-SA"/>
      </w:rPr>
    </w:lvl>
  </w:abstractNum>
  <w:abstractNum w:abstractNumId="70" w15:restartNumberingAfterBreak="0">
    <w:nsid w:val="364943D7"/>
    <w:multiLevelType w:val="multilevel"/>
    <w:tmpl w:val="A51CC0F8"/>
    <w:lvl w:ilvl="0">
      <w:start w:val="3"/>
      <w:numFmt w:val="decimal"/>
      <w:lvlText w:val="%1"/>
      <w:lvlJc w:val="left"/>
      <w:pPr>
        <w:ind w:left="683" w:hanging="632"/>
        <w:jc w:val="left"/>
      </w:pPr>
      <w:rPr>
        <w:rFonts w:hint="default"/>
        <w:lang w:val="en-US" w:eastAsia="en-US" w:bidi="ar-SA"/>
      </w:rPr>
    </w:lvl>
    <w:lvl w:ilvl="1">
      <w:start w:val="1"/>
      <w:numFmt w:val="decimal"/>
      <w:lvlText w:val="%1.%2"/>
      <w:lvlJc w:val="left"/>
      <w:pPr>
        <w:ind w:left="683" w:hanging="632"/>
        <w:jc w:val="left"/>
      </w:pPr>
      <w:rPr>
        <w:rFonts w:ascii="Calibri" w:eastAsia="Calibri" w:hAnsi="Calibri" w:cs="Calibri" w:hint="default"/>
        <w:b/>
        <w:bCs/>
        <w:i w:val="0"/>
        <w:iCs w:val="0"/>
        <w:color w:val="00ACA3"/>
        <w:spacing w:val="-2"/>
        <w:w w:val="100"/>
        <w:sz w:val="22"/>
        <w:szCs w:val="22"/>
        <w:lang w:val="en-US" w:eastAsia="en-US" w:bidi="ar-SA"/>
      </w:rPr>
    </w:lvl>
    <w:lvl w:ilvl="2">
      <w:start w:val="1"/>
      <w:numFmt w:val="decimal"/>
      <w:lvlText w:val="%3."/>
      <w:lvlJc w:val="left"/>
      <w:pPr>
        <w:ind w:left="503" w:hanging="361"/>
        <w:jc w:val="right"/>
      </w:pPr>
      <w:rPr>
        <w:rFonts w:ascii="Calibri" w:eastAsia="Calibri" w:hAnsi="Calibri" w:cs="Calibri" w:hint="default"/>
        <w:b/>
        <w:bCs/>
        <w:i w:val="0"/>
        <w:iCs w:val="0"/>
        <w:spacing w:val="0"/>
        <w:w w:val="100"/>
        <w:sz w:val="22"/>
        <w:szCs w:val="22"/>
        <w:lang w:val="en-US" w:eastAsia="en-US" w:bidi="ar-SA"/>
      </w:rPr>
    </w:lvl>
    <w:lvl w:ilvl="3">
      <w:numFmt w:val="bullet"/>
      <w:lvlText w:val=""/>
      <w:lvlJc w:val="left"/>
      <w:pPr>
        <w:ind w:left="863" w:hanging="361"/>
      </w:pPr>
      <w:rPr>
        <w:rFonts w:ascii="Symbol" w:eastAsia="Symbol" w:hAnsi="Symbol" w:cs="Symbol" w:hint="default"/>
        <w:b w:val="0"/>
        <w:bCs w:val="0"/>
        <w:i w:val="0"/>
        <w:iCs w:val="0"/>
        <w:spacing w:val="0"/>
        <w:w w:val="100"/>
        <w:sz w:val="22"/>
        <w:szCs w:val="22"/>
        <w:lang w:val="en-US" w:eastAsia="en-US" w:bidi="ar-SA"/>
      </w:rPr>
    </w:lvl>
    <w:lvl w:ilvl="4">
      <w:numFmt w:val="bullet"/>
      <w:lvlText w:val="o"/>
      <w:lvlJc w:val="left"/>
      <w:pPr>
        <w:ind w:left="1223" w:hanging="361"/>
      </w:pPr>
      <w:rPr>
        <w:rFonts w:ascii="Courier New" w:eastAsia="Courier New" w:hAnsi="Courier New" w:cs="Courier New" w:hint="default"/>
        <w:b w:val="0"/>
        <w:bCs w:val="0"/>
        <w:i w:val="0"/>
        <w:iCs w:val="0"/>
        <w:spacing w:val="0"/>
        <w:w w:val="100"/>
        <w:sz w:val="22"/>
        <w:szCs w:val="22"/>
        <w:lang w:val="en-US" w:eastAsia="en-US" w:bidi="ar-SA"/>
      </w:rPr>
    </w:lvl>
    <w:lvl w:ilvl="5">
      <w:numFmt w:val="bullet"/>
      <w:lvlText w:val="•"/>
      <w:lvlJc w:val="left"/>
      <w:pPr>
        <w:ind w:left="3666" w:hanging="361"/>
      </w:pPr>
      <w:rPr>
        <w:rFonts w:hint="default"/>
        <w:lang w:val="en-US" w:eastAsia="en-US" w:bidi="ar-SA"/>
      </w:rPr>
    </w:lvl>
    <w:lvl w:ilvl="6">
      <w:numFmt w:val="bullet"/>
      <w:lvlText w:val="•"/>
      <w:lvlJc w:val="left"/>
      <w:pPr>
        <w:ind w:left="4889" w:hanging="361"/>
      </w:pPr>
      <w:rPr>
        <w:rFonts w:hint="default"/>
        <w:lang w:val="en-US" w:eastAsia="en-US" w:bidi="ar-SA"/>
      </w:rPr>
    </w:lvl>
    <w:lvl w:ilvl="7">
      <w:numFmt w:val="bullet"/>
      <w:lvlText w:val="•"/>
      <w:lvlJc w:val="left"/>
      <w:pPr>
        <w:ind w:left="6112" w:hanging="361"/>
      </w:pPr>
      <w:rPr>
        <w:rFonts w:hint="default"/>
        <w:lang w:val="en-US" w:eastAsia="en-US" w:bidi="ar-SA"/>
      </w:rPr>
    </w:lvl>
    <w:lvl w:ilvl="8">
      <w:numFmt w:val="bullet"/>
      <w:lvlText w:val="•"/>
      <w:lvlJc w:val="left"/>
      <w:pPr>
        <w:ind w:left="7335" w:hanging="361"/>
      </w:pPr>
      <w:rPr>
        <w:rFonts w:hint="default"/>
        <w:lang w:val="en-US" w:eastAsia="en-US" w:bidi="ar-SA"/>
      </w:rPr>
    </w:lvl>
  </w:abstractNum>
  <w:abstractNum w:abstractNumId="71" w15:restartNumberingAfterBreak="0">
    <w:nsid w:val="36A62AB5"/>
    <w:multiLevelType w:val="hybridMultilevel"/>
    <w:tmpl w:val="22F8E53E"/>
    <w:lvl w:ilvl="0" w:tplc="2C623768">
      <w:numFmt w:val="bullet"/>
      <w:lvlText w:val="•"/>
      <w:lvlJc w:val="left"/>
      <w:pPr>
        <w:ind w:left="327" w:hanging="180"/>
      </w:pPr>
      <w:rPr>
        <w:rFonts w:ascii="Trebuchet MS" w:eastAsia="Trebuchet MS" w:hAnsi="Trebuchet MS" w:cs="Trebuchet MS" w:hint="default"/>
        <w:b w:val="0"/>
        <w:bCs w:val="0"/>
        <w:i w:val="0"/>
        <w:iCs w:val="0"/>
        <w:spacing w:val="0"/>
        <w:w w:val="89"/>
        <w:sz w:val="18"/>
        <w:szCs w:val="18"/>
        <w:lang w:val="en-US" w:eastAsia="en-US" w:bidi="ar-SA"/>
      </w:rPr>
    </w:lvl>
    <w:lvl w:ilvl="1" w:tplc="D9C26BCC">
      <w:numFmt w:val="bullet"/>
      <w:lvlText w:val="•"/>
      <w:lvlJc w:val="left"/>
      <w:pPr>
        <w:ind w:left="499" w:hanging="180"/>
      </w:pPr>
      <w:rPr>
        <w:rFonts w:hint="default"/>
        <w:lang w:val="en-US" w:eastAsia="en-US" w:bidi="ar-SA"/>
      </w:rPr>
    </w:lvl>
    <w:lvl w:ilvl="2" w:tplc="CB8AE6CC">
      <w:numFmt w:val="bullet"/>
      <w:lvlText w:val="•"/>
      <w:lvlJc w:val="left"/>
      <w:pPr>
        <w:ind w:left="679" w:hanging="180"/>
      </w:pPr>
      <w:rPr>
        <w:rFonts w:hint="default"/>
        <w:lang w:val="en-US" w:eastAsia="en-US" w:bidi="ar-SA"/>
      </w:rPr>
    </w:lvl>
    <w:lvl w:ilvl="3" w:tplc="C6927C42">
      <w:numFmt w:val="bullet"/>
      <w:lvlText w:val="•"/>
      <w:lvlJc w:val="left"/>
      <w:pPr>
        <w:ind w:left="859" w:hanging="180"/>
      </w:pPr>
      <w:rPr>
        <w:rFonts w:hint="default"/>
        <w:lang w:val="en-US" w:eastAsia="en-US" w:bidi="ar-SA"/>
      </w:rPr>
    </w:lvl>
    <w:lvl w:ilvl="4" w:tplc="5964BDBC">
      <w:numFmt w:val="bullet"/>
      <w:lvlText w:val="•"/>
      <w:lvlJc w:val="left"/>
      <w:pPr>
        <w:ind w:left="1039" w:hanging="180"/>
      </w:pPr>
      <w:rPr>
        <w:rFonts w:hint="default"/>
        <w:lang w:val="en-US" w:eastAsia="en-US" w:bidi="ar-SA"/>
      </w:rPr>
    </w:lvl>
    <w:lvl w:ilvl="5" w:tplc="65D866EC">
      <w:numFmt w:val="bullet"/>
      <w:lvlText w:val="•"/>
      <w:lvlJc w:val="left"/>
      <w:pPr>
        <w:ind w:left="1219" w:hanging="180"/>
      </w:pPr>
      <w:rPr>
        <w:rFonts w:hint="default"/>
        <w:lang w:val="en-US" w:eastAsia="en-US" w:bidi="ar-SA"/>
      </w:rPr>
    </w:lvl>
    <w:lvl w:ilvl="6" w:tplc="E6169A72">
      <w:numFmt w:val="bullet"/>
      <w:lvlText w:val="•"/>
      <w:lvlJc w:val="left"/>
      <w:pPr>
        <w:ind w:left="1399" w:hanging="180"/>
      </w:pPr>
      <w:rPr>
        <w:rFonts w:hint="default"/>
        <w:lang w:val="en-US" w:eastAsia="en-US" w:bidi="ar-SA"/>
      </w:rPr>
    </w:lvl>
    <w:lvl w:ilvl="7" w:tplc="7D386590">
      <w:numFmt w:val="bullet"/>
      <w:lvlText w:val="•"/>
      <w:lvlJc w:val="left"/>
      <w:pPr>
        <w:ind w:left="1579" w:hanging="180"/>
      </w:pPr>
      <w:rPr>
        <w:rFonts w:hint="default"/>
        <w:lang w:val="en-US" w:eastAsia="en-US" w:bidi="ar-SA"/>
      </w:rPr>
    </w:lvl>
    <w:lvl w:ilvl="8" w:tplc="BFACB9E2">
      <w:numFmt w:val="bullet"/>
      <w:lvlText w:val="•"/>
      <w:lvlJc w:val="left"/>
      <w:pPr>
        <w:ind w:left="1759" w:hanging="180"/>
      </w:pPr>
      <w:rPr>
        <w:rFonts w:hint="default"/>
        <w:lang w:val="en-US" w:eastAsia="en-US" w:bidi="ar-SA"/>
      </w:rPr>
    </w:lvl>
  </w:abstractNum>
  <w:abstractNum w:abstractNumId="72" w15:restartNumberingAfterBreak="0">
    <w:nsid w:val="36CB51FC"/>
    <w:multiLevelType w:val="hybridMultilevel"/>
    <w:tmpl w:val="F666491E"/>
    <w:lvl w:ilvl="0" w:tplc="8CDEB450">
      <w:numFmt w:val="bullet"/>
      <w:lvlText w:val="•"/>
      <w:lvlJc w:val="left"/>
      <w:pPr>
        <w:ind w:left="533" w:hanging="360"/>
      </w:pPr>
      <w:rPr>
        <w:rFonts w:ascii="Trebuchet MS" w:eastAsia="Trebuchet MS" w:hAnsi="Trebuchet MS" w:cs="Trebuchet MS" w:hint="default"/>
        <w:b w:val="0"/>
        <w:bCs w:val="0"/>
        <w:i w:val="0"/>
        <w:iCs w:val="0"/>
        <w:spacing w:val="0"/>
        <w:w w:val="89"/>
        <w:sz w:val="18"/>
        <w:szCs w:val="18"/>
        <w:lang w:val="en-US" w:eastAsia="en-US" w:bidi="ar-SA"/>
      </w:rPr>
    </w:lvl>
    <w:lvl w:ilvl="1" w:tplc="00B47038">
      <w:numFmt w:val="bullet"/>
      <w:lvlText w:val="•"/>
      <w:lvlJc w:val="left"/>
      <w:pPr>
        <w:ind w:left="1253" w:hanging="360"/>
      </w:pPr>
      <w:rPr>
        <w:rFonts w:hint="default"/>
        <w:lang w:val="en-US" w:eastAsia="en-US" w:bidi="ar-SA"/>
      </w:rPr>
    </w:lvl>
    <w:lvl w:ilvl="2" w:tplc="9240242C">
      <w:numFmt w:val="bullet"/>
      <w:lvlText w:val="•"/>
      <w:lvlJc w:val="left"/>
      <w:pPr>
        <w:ind w:left="1967" w:hanging="360"/>
      </w:pPr>
      <w:rPr>
        <w:rFonts w:hint="default"/>
        <w:lang w:val="en-US" w:eastAsia="en-US" w:bidi="ar-SA"/>
      </w:rPr>
    </w:lvl>
    <w:lvl w:ilvl="3" w:tplc="FA789B62">
      <w:numFmt w:val="bullet"/>
      <w:lvlText w:val="•"/>
      <w:lvlJc w:val="left"/>
      <w:pPr>
        <w:ind w:left="2680" w:hanging="360"/>
      </w:pPr>
      <w:rPr>
        <w:rFonts w:hint="default"/>
        <w:lang w:val="en-US" w:eastAsia="en-US" w:bidi="ar-SA"/>
      </w:rPr>
    </w:lvl>
    <w:lvl w:ilvl="4" w:tplc="8A8EF67C">
      <w:numFmt w:val="bullet"/>
      <w:lvlText w:val="•"/>
      <w:lvlJc w:val="left"/>
      <w:pPr>
        <w:ind w:left="3394" w:hanging="360"/>
      </w:pPr>
      <w:rPr>
        <w:rFonts w:hint="default"/>
        <w:lang w:val="en-US" w:eastAsia="en-US" w:bidi="ar-SA"/>
      </w:rPr>
    </w:lvl>
    <w:lvl w:ilvl="5" w:tplc="8508FC32">
      <w:numFmt w:val="bullet"/>
      <w:lvlText w:val="•"/>
      <w:lvlJc w:val="left"/>
      <w:pPr>
        <w:ind w:left="4107" w:hanging="360"/>
      </w:pPr>
      <w:rPr>
        <w:rFonts w:hint="default"/>
        <w:lang w:val="en-US" w:eastAsia="en-US" w:bidi="ar-SA"/>
      </w:rPr>
    </w:lvl>
    <w:lvl w:ilvl="6" w:tplc="D556E3FC">
      <w:numFmt w:val="bullet"/>
      <w:lvlText w:val="•"/>
      <w:lvlJc w:val="left"/>
      <w:pPr>
        <w:ind w:left="4821" w:hanging="360"/>
      </w:pPr>
      <w:rPr>
        <w:rFonts w:hint="default"/>
        <w:lang w:val="en-US" w:eastAsia="en-US" w:bidi="ar-SA"/>
      </w:rPr>
    </w:lvl>
    <w:lvl w:ilvl="7" w:tplc="B548409E">
      <w:numFmt w:val="bullet"/>
      <w:lvlText w:val="•"/>
      <w:lvlJc w:val="left"/>
      <w:pPr>
        <w:ind w:left="5534" w:hanging="360"/>
      </w:pPr>
      <w:rPr>
        <w:rFonts w:hint="default"/>
        <w:lang w:val="en-US" w:eastAsia="en-US" w:bidi="ar-SA"/>
      </w:rPr>
    </w:lvl>
    <w:lvl w:ilvl="8" w:tplc="7090B064">
      <w:numFmt w:val="bullet"/>
      <w:lvlText w:val="•"/>
      <w:lvlJc w:val="left"/>
      <w:pPr>
        <w:ind w:left="6248" w:hanging="360"/>
      </w:pPr>
      <w:rPr>
        <w:rFonts w:hint="default"/>
        <w:lang w:val="en-US" w:eastAsia="en-US" w:bidi="ar-SA"/>
      </w:rPr>
    </w:lvl>
  </w:abstractNum>
  <w:abstractNum w:abstractNumId="73" w15:restartNumberingAfterBreak="0">
    <w:nsid w:val="373826F1"/>
    <w:multiLevelType w:val="hybridMultilevel"/>
    <w:tmpl w:val="6558774E"/>
    <w:lvl w:ilvl="0" w:tplc="5C6AD90E">
      <w:numFmt w:val="bullet"/>
      <w:lvlText w:val="•"/>
      <w:lvlJc w:val="left"/>
      <w:pPr>
        <w:ind w:left="436" w:hanging="360"/>
      </w:pPr>
      <w:rPr>
        <w:rFonts w:ascii="Trebuchet MS" w:eastAsia="Trebuchet MS" w:hAnsi="Trebuchet MS" w:cs="Trebuchet MS" w:hint="default"/>
        <w:b w:val="0"/>
        <w:bCs w:val="0"/>
        <w:i w:val="0"/>
        <w:iCs w:val="0"/>
        <w:spacing w:val="0"/>
        <w:w w:val="89"/>
        <w:sz w:val="18"/>
        <w:szCs w:val="18"/>
        <w:lang w:val="en-US" w:eastAsia="en-US" w:bidi="ar-SA"/>
      </w:rPr>
    </w:lvl>
    <w:lvl w:ilvl="1" w:tplc="6B1C9C5A">
      <w:numFmt w:val="bullet"/>
      <w:lvlText w:val="•"/>
      <w:lvlJc w:val="left"/>
      <w:pPr>
        <w:ind w:left="683" w:hanging="360"/>
      </w:pPr>
      <w:rPr>
        <w:rFonts w:hint="default"/>
        <w:lang w:val="en-US" w:eastAsia="en-US" w:bidi="ar-SA"/>
      </w:rPr>
    </w:lvl>
    <w:lvl w:ilvl="2" w:tplc="8DE070D8">
      <w:numFmt w:val="bullet"/>
      <w:lvlText w:val="•"/>
      <w:lvlJc w:val="left"/>
      <w:pPr>
        <w:ind w:left="927" w:hanging="360"/>
      </w:pPr>
      <w:rPr>
        <w:rFonts w:hint="default"/>
        <w:lang w:val="en-US" w:eastAsia="en-US" w:bidi="ar-SA"/>
      </w:rPr>
    </w:lvl>
    <w:lvl w:ilvl="3" w:tplc="86B8BAC4">
      <w:numFmt w:val="bullet"/>
      <w:lvlText w:val="•"/>
      <w:lvlJc w:val="left"/>
      <w:pPr>
        <w:ind w:left="1171" w:hanging="360"/>
      </w:pPr>
      <w:rPr>
        <w:rFonts w:hint="default"/>
        <w:lang w:val="en-US" w:eastAsia="en-US" w:bidi="ar-SA"/>
      </w:rPr>
    </w:lvl>
    <w:lvl w:ilvl="4" w:tplc="974A8636">
      <w:numFmt w:val="bullet"/>
      <w:lvlText w:val="•"/>
      <w:lvlJc w:val="left"/>
      <w:pPr>
        <w:ind w:left="1415" w:hanging="360"/>
      </w:pPr>
      <w:rPr>
        <w:rFonts w:hint="default"/>
        <w:lang w:val="en-US" w:eastAsia="en-US" w:bidi="ar-SA"/>
      </w:rPr>
    </w:lvl>
    <w:lvl w:ilvl="5" w:tplc="57E08D74">
      <w:numFmt w:val="bullet"/>
      <w:lvlText w:val="•"/>
      <w:lvlJc w:val="left"/>
      <w:pPr>
        <w:ind w:left="1659" w:hanging="360"/>
      </w:pPr>
      <w:rPr>
        <w:rFonts w:hint="default"/>
        <w:lang w:val="en-US" w:eastAsia="en-US" w:bidi="ar-SA"/>
      </w:rPr>
    </w:lvl>
    <w:lvl w:ilvl="6" w:tplc="056EBBB8">
      <w:numFmt w:val="bullet"/>
      <w:lvlText w:val="•"/>
      <w:lvlJc w:val="left"/>
      <w:pPr>
        <w:ind w:left="1903" w:hanging="360"/>
      </w:pPr>
      <w:rPr>
        <w:rFonts w:hint="default"/>
        <w:lang w:val="en-US" w:eastAsia="en-US" w:bidi="ar-SA"/>
      </w:rPr>
    </w:lvl>
    <w:lvl w:ilvl="7" w:tplc="1CCC01B8">
      <w:numFmt w:val="bullet"/>
      <w:lvlText w:val="•"/>
      <w:lvlJc w:val="left"/>
      <w:pPr>
        <w:ind w:left="2147" w:hanging="360"/>
      </w:pPr>
      <w:rPr>
        <w:rFonts w:hint="default"/>
        <w:lang w:val="en-US" w:eastAsia="en-US" w:bidi="ar-SA"/>
      </w:rPr>
    </w:lvl>
    <w:lvl w:ilvl="8" w:tplc="6B02A9CE">
      <w:numFmt w:val="bullet"/>
      <w:lvlText w:val="•"/>
      <w:lvlJc w:val="left"/>
      <w:pPr>
        <w:ind w:left="2391" w:hanging="360"/>
      </w:pPr>
      <w:rPr>
        <w:rFonts w:hint="default"/>
        <w:lang w:val="en-US" w:eastAsia="en-US" w:bidi="ar-SA"/>
      </w:rPr>
    </w:lvl>
  </w:abstractNum>
  <w:abstractNum w:abstractNumId="74" w15:restartNumberingAfterBreak="0">
    <w:nsid w:val="37CB1F61"/>
    <w:multiLevelType w:val="hybridMultilevel"/>
    <w:tmpl w:val="EE2C95C0"/>
    <w:lvl w:ilvl="0" w:tplc="714A943C">
      <w:numFmt w:val="bullet"/>
      <w:lvlText w:val="•"/>
      <w:lvlJc w:val="left"/>
      <w:pPr>
        <w:ind w:left="590" w:hanging="360"/>
      </w:pPr>
      <w:rPr>
        <w:rFonts w:ascii="Trebuchet MS" w:eastAsia="Trebuchet MS" w:hAnsi="Trebuchet MS" w:cs="Trebuchet MS" w:hint="default"/>
        <w:b w:val="0"/>
        <w:bCs w:val="0"/>
        <w:i w:val="0"/>
        <w:iCs w:val="0"/>
        <w:spacing w:val="0"/>
        <w:w w:val="89"/>
        <w:sz w:val="18"/>
        <w:szCs w:val="18"/>
        <w:lang w:val="en-US" w:eastAsia="en-US" w:bidi="ar-SA"/>
      </w:rPr>
    </w:lvl>
    <w:lvl w:ilvl="1" w:tplc="310E639A">
      <w:numFmt w:val="bullet"/>
      <w:lvlText w:val="•"/>
      <w:lvlJc w:val="left"/>
      <w:pPr>
        <w:ind w:left="1329" w:hanging="360"/>
      </w:pPr>
      <w:rPr>
        <w:rFonts w:hint="default"/>
        <w:lang w:val="en-US" w:eastAsia="en-US" w:bidi="ar-SA"/>
      </w:rPr>
    </w:lvl>
    <w:lvl w:ilvl="2" w:tplc="AA7E3D08">
      <w:numFmt w:val="bullet"/>
      <w:lvlText w:val="•"/>
      <w:lvlJc w:val="left"/>
      <w:pPr>
        <w:ind w:left="2058" w:hanging="360"/>
      </w:pPr>
      <w:rPr>
        <w:rFonts w:hint="default"/>
        <w:lang w:val="en-US" w:eastAsia="en-US" w:bidi="ar-SA"/>
      </w:rPr>
    </w:lvl>
    <w:lvl w:ilvl="3" w:tplc="E830200C">
      <w:numFmt w:val="bullet"/>
      <w:lvlText w:val="•"/>
      <w:lvlJc w:val="left"/>
      <w:pPr>
        <w:ind w:left="2788" w:hanging="360"/>
      </w:pPr>
      <w:rPr>
        <w:rFonts w:hint="default"/>
        <w:lang w:val="en-US" w:eastAsia="en-US" w:bidi="ar-SA"/>
      </w:rPr>
    </w:lvl>
    <w:lvl w:ilvl="4" w:tplc="E5C8A5F0">
      <w:numFmt w:val="bullet"/>
      <w:lvlText w:val="•"/>
      <w:lvlJc w:val="left"/>
      <w:pPr>
        <w:ind w:left="3517" w:hanging="360"/>
      </w:pPr>
      <w:rPr>
        <w:rFonts w:hint="default"/>
        <w:lang w:val="en-US" w:eastAsia="en-US" w:bidi="ar-SA"/>
      </w:rPr>
    </w:lvl>
    <w:lvl w:ilvl="5" w:tplc="752A359E">
      <w:numFmt w:val="bullet"/>
      <w:lvlText w:val="•"/>
      <w:lvlJc w:val="left"/>
      <w:pPr>
        <w:ind w:left="4247" w:hanging="360"/>
      </w:pPr>
      <w:rPr>
        <w:rFonts w:hint="default"/>
        <w:lang w:val="en-US" w:eastAsia="en-US" w:bidi="ar-SA"/>
      </w:rPr>
    </w:lvl>
    <w:lvl w:ilvl="6" w:tplc="68EA577E">
      <w:numFmt w:val="bullet"/>
      <w:lvlText w:val="•"/>
      <w:lvlJc w:val="left"/>
      <w:pPr>
        <w:ind w:left="4976" w:hanging="360"/>
      </w:pPr>
      <w:rPr>
        <w:rFonts w:hint="default"/>
        <w:lang w:val="en-US" w:eastAsia="en-US" w:bidi="ar-SA"/>
      </w:rPr>
    </w:lvl>
    <w:lvl w:ilvl="7" w:tplc="E814C5D0">
      <w:numFmt w:val="bullet"/>
      <w:lvlText w:val="•"/>
      <w:lvlJc w:val="left"/>
      <w:pPr>
        <w:ind w:left="5705" w:hanging="360"/>
      </w:pPr>
      <w:rPr>
        <w:rFonts w:hint="default"/>
        <w:lang w:val="en-US" w:eastAsia="en-US" w:bidi="ar-SA"/>
      </w:rPr>
    </w:lvl>
    <w:lvl w:ilvl="8" w:tplc="3BEE70FC">
      <w:numFmt w:val="bullet"/>
      <w:lvlText w:val="•"/>
      <w:lvlJc w:val="left"/>
      <w:pPr>
        <w:ind w:left="6435" w:hanging="360"/>
      </w:pPr>
      <w:rPr>
        <w:rFonts w:hint="default"/>
        <w:lang w:val="en-US" w:eastAsia="en-US" w:bidi="ar-SA"/>
      </w:rPr>
    </w:lvl>
  </w:abstractNum>
  <w:abstractNum w:abstractNumId="75" w15:restartNumberingAfterBreak="0">
    <w:nsid w:val="384162DB"/>
    <w:multiLevelType w:val="hybridMultilevel"/>
    <w:tmpl w:val="56E4D028"/>
    <w:lvl w:ilvl="0" w:tplc="10F008C8">
      <w:numFmt w:val="bullet"/>
      <w:lvlText w:val="•"/>
      <w:lvlJc w:val="left"/>
      <w:pPr>
        <w:ind w:left="501" w:hanging="360"/>
      </w:pPr>
      <w:rPr>
        <w:rFonts w:ascii="Trebuchet MS" w:eastAsia="Trebuchet MS" w:hAnsi="Trebuchet MS" w:cs="Trebuchet MS" w:hint="default"/>
        <w:b w:val="0"/>
        <w:bCs w:val="0"/>
        <w:i w:val="0"/>
        <w:iCs w:val="0"/>
        <w:spacing w:val="0"/>
        <w:w w:val="89"/>
        <w:sz w:val="18"/>
        <w:szCs w:val="18"/>
        <w:lang w:val="en-US" w:eastAsia="en-US" w:bidi="ar-SA"/>
      </w:rPr>
    </w:lvl>
    <w:lvl w:ilvl="1" w:tplc="5E566A92">
      <w:numFmt w:val="bullet"/>
      <w:lvlText w:val="•"/>
      <w:lvlJc w:val="left"/>
      <w:pPr>
        <w:ind w:left="1149" w:hanging="360"/>
      </w:pPr>
      <w:rPr>
        <w:rFonts w:hint="default"/>
        <w:lang w:val="en-US" w:eastAsia="en-US" w:bidi="ar-SA"/>
      </w:rPr>
    </w:lvl>
    <w:lvl w:ilvl="2" w:tplc="F4E82D90">
      <w:numFmt w:val="bullet"/>
      <w:lvlText w:val="•"/>
      <w:lvlJc w:val="left"/>
      <w:pPr>
        <w:ind w:left="1798" w:hanging="360"/>
      </w:pPr>
      <w:rPr>
        <w:rFonts w:hint="default"/>
        <w:lang w:val="en-US" w:eastAsia="en-US" w:bidi="ar-SA"/>
      </w:rPr>
    </w:lvl>
    <w:lvl w:ilvl="3" w:tplc="5B1A7AA6">
      <w:numFmt w:val="bullet"/>
      <w:lvlText w:val="•"/>
      <w:lvlJc w:val="left"/>
      <w:pPr>
        <w:ind w:left="2447" w:hanging="360"/>
      </w:pPr>
      <w:rPr>
        <w:rFonts w:hint="default"/>
        <w:lang w:val="en-US" w:eastAsia="en-US" w:bidi="ar-SA"/>
      </w:rPr>
    </w:lvl>
    <w:lvl w:ilvl="4" w:tplc="D50CE31A">
      <w:numFmt w:val="bullet"/>
      <w:lvlText w:val="•"/>
      <w:lvlJc w:val="left"/>
      <w:pPr>
        <w:ind w:left="3097" w:hanging="360"/>
      </w:pPr>
      <w:rPr>
        <w:rFonts w:hint="default"/>
        <w:lang w:val="en-US" w:eastAsia="en-US" w:bidi="ar-SA"/>
      </w:rPr>
    </w:lvl>
    <w:lvl w:ilvl="5" w:tplc="F6502562">
      <w:numFmt w:val="bullet"/>
      <w:lvlText w:val="•"/>
      <w:lvlJc w:val="left"/>
      <w:pPr>
        <w:ind w:left="3746" w:hanging="360"/>
      </w:pPr>
      <w:rPr>
        <w:rFonts w:hint="default"/>
        <w:lang w:val="en-US" w:eastAsia="en-US" w:bidi="ar-SA"/>
      </w:rPr>
    </w:lvl>
    <w:lvl w:ilvl="6" w:tplc="6F268616">
      <w:numFmt w:val="bullet"/>
      <w:lvlText w:val="•"/>
      <w:lvlJc w:val="left"/>
      <w:pPr>
        <w:ind w:left="4395" w:hanging="360"/>
      </w:pPr>
      <w:rPr>
        <w:rFonts w:hint="default"/>
        <w:lang w:val="en-US" w:eastAsia="en-US" w:bidi="ar-SA"/>
      </w:rPr>
    </w:lvl>
    <w:lvl w:ilvl="7" w:tplc="92762A32">
      <w:numFmt w:val="bullet"/>
      <w:lvlText w:val="•"/>
      <w:lvlJc w:val="left"/>
      <w:pPr>
        <w:ind w:left="5045" w:hanging="360"/>
      </w:pPr>
      <w:rPr>
        <w:rFonts w:hint="default"/>
        <w:lang w:val="en-US" w:eastAsia="en-US" w:bidi="ar-SA"/>
      </w:rPr>
    </w:lvl>
    <w:lvl w:ilvl="8" w:tplc="44C8055E">
      <w:numFmt w:val="bullet"/>
      <w:lvlText w:val="•"/>
      <w:lvlJc w:val="left"/>
      <w:pPr>
        <w:ind w:left="5694" w:hanging="360"/>
      </w:pPr>
      <w:rPr>
        <w:rFonts w:hint="default"/>
        <w:lang w:val="en-US" w:eastAsia="en-US" w:bidi="ar-SA"/>
      </w:rPr>
    </w:lvl>
  </w:abstractNum>
  <w:abstractNum w:abstractNumId="76" w15:restartNumberingAfterBreak="0">
    <w:nsid w:val="38FC6638"/>
    <w:multiLevelType w:val="hybridMultilevel"/>
    <w:tmpl w:val="957648AA"/>
    <w:lvl w:ilvl="0" w:tplc="EDA4633C">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82CEC29E">
      <w:numFmt w:val="bullet"/>
      <w:lvlText w:val="•"/>
      <w:lvlJc w:val="left"/>
      <w:pPr>
        <w:ind w:left="1752" w:hanging="360"/>
      </w:pPr>
      <w:rPr>
        <w:rFonts w:hint="default"/>
        <w:lang w:val="en-US" w:eastAsia="en-US" w:bidi="ar-SA"/>
      </w:rPr>
    </w:lvl>
    <w:lvl w:ilvl="2" w:tplc="B2BECCC6">
      <w:numFmt w:val="bullet"/>
      <w:lvlText w:val="•"/>
      <w:lvlJc w:val="left"/>
      <w:pPr>
        <w:ind w:left="2644" w:hanging="360"/>
      </w:pPr>
      <w:rPr>
        <w:rFonts w:hint="default"/>
        <w:lang w:val="en-US" w:eastAsia="en-US" w:bidi="ar-SA"/>
      </w:rPr>
    </w:lvl>
    <w:lvl w:ilvl="3" w:tplc="6B74A6A0">
      <w:numFmt w:val="bullet"/>
      <w:lvlText w:val="•"/>
      <w:lvlJc w:val="left"/>
      <w:pPr>
        <w:ind w:left="3536" w:hanging="360"/>
      </w:pPr>
      <w:rPr>
        <w:rFonts w:hint="default"/>
        <w:lang w:val="en-US" w:eastAsia="en-US" w:bidi="ar-SA"/>
      </w:rPr>
    </w:lvl>
    <w:lvl w:ilvl="4" w:tplc="B8425390">
      <w:numFmt w:val="bullet"/>
      <w:lvlText w:val="•"/>
      <w:lvlJc w:val="left"/>
      <w:pPr>
        <w:ind w:left="4428" w:hanging="360"/>
      </w:pPr>
      <w:rPr>
        <w:rFonts w:hint="default"/>
        <w:lang w:val="en-US" w:eastAsia="en-US" w:bidi="ar-SA"/>
      </w:rPr>
    </w:lvl>
    <w:lvl w:ilvl="5" w:tplc="3C56253C">
      <w:numFmt w:val="bullet"/>
      <w:lvlText w:val="•"/>
      <w:lvlJc w:val="left"/>
      <w:pPr>
        <w:ind w:left="5320" w:hanging="360"/>
      </w:pPr>
      <w:rPr>
        <w:rFonts w:hint="default"/>
        <w:lang w:val="en-US" w:eastAsia="en-US" w:bidi="ar-SA"/>
      </w:rPr>
    </w:lvl>
    <w:lvl w:ilvl="6" w:tplc="E870BC10">
      <w:numFmt w:val="bullet"/>
      <w:lvlText w:val="•"/>
      <w:lvlJc w:val="left"/>
      <w:pPr>
        <w:ind w:left="6212" w:hanging="360"/>
      </w:pPr>
      <w:rPr>
        <w:rFonts w:hint="default"/>
        <w:lang w:val="en-US" w:eastAsia="en-US" w:bidi="ar-SA"/>
      </w:rPr>
    </w:lvl>
    <w:lvl w:ilvl="7" w:tplc="5A9EBB3A">
      <w:numFmt w:val="bullet"/>
      <w:lvlText w:val="•"/>
      <w:lvlJc w:val="left"/>
      <w:pPr>
        <w:ind w:left="7104" w:hanging="360"/>
      </w:pPr>
      <w:rPr>
        <w:rFonts w:hint="default"/>
        <w:lang w:val="en-US" w:eastAsia="en-US" w:bidi="ar-SA"/>
      </w:rPr>
    </w:lvl>
    <w:lvl w:ilvl="8" w:tplc="324C03B2">
      <w:numFmt w:val="bullet"/>
      <w:lvlText w:val="•"/>
      <w:lvlJc w:val="left"/>
      <w:pPr>
        <w:ind w:left="7997" w:hanging="360"/>
      </w:pPr>
      <w:rPr>
        <w:rFonts w:hint="default"/>
        <w:lang w:val="en-US" w:eastAsia="en-US" w:bidi="ar-SA"/>
      </w:rPr>
    </w:lvl>
  </w:abstractNum>
  <w:abstractNum w:abstractNumId="77" w15:restartNumberingAfterBreak="0">
    <w:nsid w:val="3A3E2775"/>
    <w:multiLevelType w:val="hybridMultilevel"/>
    <w:tmpl w:val="DD0CB8B2"/>
    <w:lvl w:ilvl="0" w:tplc="F3221A10">
      <w:numFmt w:val="bullet"/>
      <w:lvlText w:val="•"/>
      <w:lvlJc w:val="left"/>
      <w:pPr>
        <w:ind w:left="493" w:hanging="360"/>
      </w:pPr>
      <w:rPr>
        <w:rFonts w:ascii="Trebuchet MS" w:eastAsia="Trebuchet MS" w:hAnsi="Trebuchet MS" w:cs="Trebuchet MS" w:hint="default"/>
        <w:b w:val="0"/>
        <w:bCs w:val="0"/>
        <w:i w:val="0"/>
        <w:iCs w:val="0"/>
        <w:spacing w:val="0"/>
        <w:w w:val="89"/>
        <w:sz w:val="18"/>
        <w:szCs w:val="18"/>
        <w:lang w:val="en-US" w:eastAsia="en-US" w:bidi="ar-SA"/>
      </w:rPr>
    </w:lvl>
    <w:lvl w:ilvl="1" w:tplc="26BC4DEE">
      <w:numFmt w:val="bullet"/>
      <w:lvlText w:val="•"/>
      <w:lvlJc w:val="left"/>
      <w:pPr>
        <w:ind w:left="1085" w:hanging="360"/>
      </w:pPr>
      <w:rPr>
        <w:rFonts w:hint="default"/>
        <w:lang w:val="en-US" w:eastAsia="en-US" w:bidi="ar-SA"/>
      </w:rPr>
    </w:lvl>
    <w:lvl w:ilvl="2" w:tplc="235028CC">
      <w:numFmt w:val="bullet"/>
      <w:lvlText w:val="•"/>
      <w:lvlJc w:val="left"/>
      <w:pPr>
        <w:ind w:left="1671" w:hanging="360"/>
      </w:pPr>
      <w:rPr>
        <w:rFonts w:hint="default"/>
        <w:lang w:val="en-US" w:eastAsia="en-US" w:bidi="ar-SA"/>
      </w:rPr>
    </w:lvl>
    <w:lvl w:ilvl="3" w:tplc="A1607E1E">
      <w:numFmt w:val="bullet"/>
      <w:lvlText w:val="•"/>
      <w:lvlJc w:val="left"/>
      <w:pPr>
        <w:ind w:left="2256" w:hanging="360"/>
      </w:pPr>
      <w:rPr>
        <w:rFonts w:hint="default"/>
        <w:lang w:val="en-US" w:eastAsia="en-US" w:bidi="ar-SA"/>
      </w:rPr>
    </w:lvl>
    <w:lvl w:ilvl="4" w:tplc="C068E4C8">
      <w:numFmt w:val="bullet"/>
      <w:lvlText w:val="•"/>
      <w:lvlJc w:val="left"/>
      <w:pPr>
        <w:ind w:left="2842" w:hanging="360"/>
      </w:pPr>
      <w:rPr>
        <w:rFonts w:hint="default"/>
        <w:lang w:val="en-US" w:eastAsia="en-US" w:bidi="ar-SA"/>
      </w:rPr>
    </w:lvl>
    <w:lvl w:ilvl="5" w:tplc="7F14AC04">
      <w:numFmt w:val="bullet"/>
      <w:lvlText w:val="•"/>
      <w:lvlJc w:val="left"/>
      <w:pPr>
        <w:ind w:left="3428" w:hanging="360"/>
      </w:pPr>
      <w:rPr>
        <w:rFonts w:hint="default"/>
        <w:lang w:val="en-US" w:eastAsia="en-US" w:bidi="ar-SA"/>
      </w:rPr>
    </w:lvl>
    <w:lvl w:ilvl="6" w:tplc="BC2A0E66">
      <w:numFmt w:val="bullet"/>
      <w:lvlText w:val="•"/>
      <w:lvlJc w:val="left"/>
      <w:pPr>
        <w:ind w:left="4013" w:hanging="360"/>
      </w:pPr>
      <w:rPr>
        <w:rFonts w:hint="default"/>
        <w:lang w:val="en-US" w:eastAsia="en-US" w:bidi="ar-SA"/>
      </w:rPr>
    </w:lvl>
    <w:lvl w:ilvl="7" w:tplc="AA807124">
      <w:numFmt w:val="bullet"/>
      <w:lvlText w:val="•"/>
      <w:lvlJc w:val="left"/>
      <w:pPr>
        <w:ind w:left="4599" w:hanging="360"/>
      </w:pPr>
      <w:rPr>
        <w:rFonts w:hint="default"/>
        <w:lang w:val="en-US" w:eastAsia="en-US" w:bidi="ar-SA"/>
      </w:rPr>
    </w:lvl>
    <w:lvl w:ilvl="8" w:tplc="EC96FAB6">
      <w:numFmt w:val="bullet"/>
      <w:lvlText w:val="•"/>
      <w:lvlJc w:val="left"/>
      <w:pPr>
        <w:ind w:left="5184" w:hanging="360"/>
      </w:pPr>
      <w:rPr>
        <w:rFonts w:hint="default"/>
        <w:lang w:val="en-US" w:eastAsia="en-US" w:bidi="ar-SA"/>
      </w:rPr>
    </w:lvl>
  </w:abstractNum>
  <w:abstractNum w:abstractNumId="78" w15:restartNumberingAfterBreak="0">
    <w:nsid w:val="3A67376B"/>
    <w:multiLevelType w:val="hybridMultilevel"/>
    <w:tmpl w:val="5F5226CC"/>
    <w:lvl w:ilvl="0" w:tplc="D2D27134">
      <w:numFmt w:val="bullet"/>
      <w:lvlText w:val="•"/>
      <w:lvlJc w:val="left"/>
      <w:pPr>
        <w:ind w:left="453" w:hanging="360"/>
      </w:pPr>
      <w:rPr>
        <w:rFonts w:ascii="Trebuchet MS" w:eastAsia="Trebuchet MS" w:hAnsi="Trebuchet MS" w:cs="Trebuchet MS" w:hint="default"/>
        <w:b w:val="0"/>
        <w:bCs w:val="0"/>
        <w:i w:val="0"/>
        <w:iCs w:val="0"/>
        <w:spacing w:val="0"/>
        <w:w w:val="89"/>
        <w:sz w:val="18"/>
        <w:szCs w:val="18"/>
        <w:lang w:val="en-US" w:eastAsia="en-US" w:bidi="ar-SA"/>
      </w:rPr>
    </w:lvl>
    <w:lvl w:ilvl="1" w:tplc="6DC24E46">
      <w:numFmt w:val="bullet"/>
      <w:lvlText w:val="•"/>
      <w:lvlJc w:val="left"/>
      <w:pPr>
        <w:ind w:left="1189" w:hanging="360"/>
      </w:pPr>
      <w:rPr>
        <w:rFonts w:hint="default"/>
        <w:lang w:val="en-US" w:eastAsia="en-US" w:bidi="ar-SA"/>
      </w:rPr>
    </w:lvl>
    <w:lvl w:ilvl="2" w:tplc="6CA6A794">
      <w:numFmt w:val="bullet"/>
      <w:lvlText w:val="•"/>
      <w:lvlJc w:val="left"/>
      <w:pPr>
        <w:ind w:left="1919" w:hanging="360"/>
      </w:pPr>
      <w:rPr>
        <w:rFonts w:hint="default"/>
        <w:lang w:val="en-US" w:eastAsia="en-US" w:bidi="ar-SA"/>
      </w:rPr>
    </w:lvl>
    <w:lvl w:ilvl="3" w:tplc="64BAC064">
      <w:numFmt w:val="bullet"/>
      <w:lvlText w:val="•"/>
      <w:lvlJc w:val="left"/>
      <w:pPr>
        <w:ind w:left="2648" w:hanging="360"/>
      </w:pPr>
      <w:rPr>
        <w:rFonts w:hint="default"/>
        <w:lang w:val="en-US" w:eastAsia="en-US" w:bidi="ar-SA"/>
      </w:rPr>
    </w:lvl>
    <w:lvl w:ilvl="4" w:tplc="3386FFD8">
      <w:numFmt w:val="bullet"/>
      <w:lvlText w:val="•"/>
      <w:lvlJc w:val="left"/>
      <w:pPr>
        <w:ind w:left="3378" w:hanging="360"/>
      </w:pPr>
      <w:rPr>
        <w:rFonts w:hint="default"/>
        <w:lang w:val="en-US" w:eastAsia="en-US" w:bidi="ar-SA"/>
      </w:rPr>
    </w:lvl>
    <w:lvl w:ilvl="5" w:tplc="944A4F06">
      <w:numFmt w:val="bullet"/>
      <w:lvlText w:val="•"/>
      <w:lvlJc w:val="left"/>
      <w:pPr>
        <w:ind w:left="4108" w:hanging="360"/>
      </w:pPr>
      <w:rPr>
        <w:rFonts w:hint="default"/>
        <w:lang w:val="en-US" w:eastAsia="en-US" w:bidi="ar-SA"/>
      </w:rPr>
    </w:lvl>
    <w:lvl w:ilvl="6" w:tplc="F4167EC8">
      <w:numFmt w:val="bullet"/>
      <w:lvlText w:val="•"/>
      <w:lvlJc w:val="left"/>
      <w:pPr>
        <w:ind w:left="4837" w:hanging="360"/>
      </w:pPr>
      <w:rPr>
        <w:rFonts w:hint="default"/>
        <w:lang w:val="en-US" w:eastAsia="en-US" w:bidi="ar-SA"/>
      </w:rPr>
    </w:lvl>
    <w:lvl w:ilvl="7" w:tplc="212A9A62">
      <w:numFmt w:val="bullet"/>
      <w:lvlText w:val="•"/>
      <w:lvlJc w:val="left"/>
      <w:pPr>
        <w:ind w:left="5567" w:hanging="360"/>
      </w:pPr>
      <w:rPr>
        <w:rFonts w:hint="default"/>
        <w:lang w:val="en-US" w:eastAsia="en-US" w:bidi="ar-SA"/>
      </w:rPr>
    </w:lvl>
    <w:lvl w:ilvl="8" w:tplc="31D8A014">
      <w:numFmt w:val="bullet"/>
      <w:lvlText w:val="•"/>
      <w:lvlJc w:val="left"/>
      <w:pPr>
        <w:ind w:left="6296" w:hanging="360"/>
      </w:pPr>
      <w:rPr>
        <w:rFonts w:hint="default"/>
        <w:lang w:val="en-US" w:eastAsia="en-US" w:bidi="ar-SA"/>
      </w:rPr>
    </w:lvl>
  </w:abstractNum>
  <w:abstractNum w:abstractNumId="79" w15:restartNumberingAfterBreak="0">
    <w:nsid w:val="3B20776E"/>
    <w:multiLevelType w:val="hybridMultilevel"/>
    <w:tmpl w:val="1032B298"/>
    <w:lvl w:ilvl="0" w:tplc="E5CC7082">
      <w:start w:val="1"/>
      <w:numFmt w:val="decimal"/>
      <w:lvlText w:val="%1."/>
      <w:lvlJc w:val="left"/>
      <w:pPr>
        <w:ind w:left="862"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C2B8C72E">
      <w:numFmt w:val="bullet"/>
      <w:lvlText w:val=""/>
      <w:lvlJc w:val="left"/>
      <w:pPr>
        <w:ind w:left="863" w:hanging="361"/>
      </w:pPr>
      <w:rPr>
        <w:rFonts w:ascii="Symbol" w:eastAsia="Symbol" w:hAnsi="Symbol" w:cs="Symbol" w:hint="default"/>
        <w:b w:val="0"/>
        <w:bCs w:val="0"/>
        <w:i w:val="0"/>
        <w:iCs w:val="0"/>
        <w:spacing w:val="0"/>
        <w:w w:val="100"/>
        <w:sz w:val="22"/>
        <w:szCs w:val="22"/>
        <w:lang w:val="en-US" w:eastAsia="en-US" w:bidi="ar-SA"/>
      </w:rPr>
    </w:lvl>
    <w:lvl w:ilvl="2" w:tplc="BC8A70AE">
      <w:numFmt w:val="bullet"/>
      <w:lvlText w:val="•"/>
      <w:lvlJc w:val="left"/>
      <w:pPr>
        <w:ind w:left="2587" w:hanging="361"/>
      </w:pPr>
      <w:rPr>
        <w:rFonts w:hint="default"/>
        <w:lang w:val="en-US" w:eastAsia="en-US" w:bidi="ar-SA"/>
      </w:rPr>
    </w:lvl>
    <w:lvl w:ilvl="3" w:tplc="63E0ECE8">
      <w:numFmt w:val="bullet"/>
      <w:lvlText w:val="•"/>
      <w:lvlJc w:val="left"/>
      <w:pPr>
        <w:ind w:left="3451" w:hanging="361"/>
      </w:pPr>
      <w:rPr>
        <w:rFonts w:hint="default"/>
        <w:lang w:val="en-US" w:eastAsia="en-US" w:bidi="ar-SA"/>
      </w:rPr>
    </w:lvl>
    <w:lvl w:ilvl="4" w:tplc="15AE2426">
      <w:numFmt w:val="bullet"/>
      <w:lvlText w:val="•"/>
      <w:lvlJc w:val="left"/>
      <w:pPr>
        <w:ind w:left="4315" w:hanging="361"/>
      </w:pPr>
      <w:rPr>
        <w:rFonts w:hint="default"/>
        <w:lang w:val="en-US" w:eastAsia="en-US" w:bidi="ar-SA"/>
      </w:rPr>
    </w:lvl>
    <w:lvl w:ilvl="5" w:tplc="2B908F92">
      <w:numFmt w:val="bullet"/>
      <w:lvlText w:val="•"/>
      <w:lvlJc w:val="left"/>
      <w:pPr>
        <w:ind w:left="5179" w:hanging="361"/>
      </w:pPr>
      <w:rPr>
        <w:rFonts w:hint="default"/>
        <w:lang w:val="en-US" w:eastAsia="en-US" w:bidi="ar-SA"/>
      </w:rPr>
    </w:lvl>
    <w:lvl w:ilvl="6" w:tplc="6E7C01EE">
      <w:numFmt w:val="bullet"/>
      <w:lvlText w:val="•"/>
      <w:lvlJc w:val="left"/>
      <w:pPr>
        <w:ind w:left="6043" w:hanging="361"/>
      </w:pPr>
      <w:rPr>
        <w:rFonts w:hint="default"/>
        <w:lang w:val="en-US" w:eastAsia="en-US" w:bidi="ar-SA"/>
      </w:rPr>
    </w:lvl>
    <w:lvl w:ilvl="7" w:tplc="58287E0E">
      <w:numFmt w:val="bullet"/>
      <w:lvlText w:val="•"/>
      <w:lvlJc w:val="left"/>
      <w:pPr>
        <w:ind w:left="6906" w:hanging="361"/>
      </w:pPr>
      <w:rPr>
        <w:rFonts w:hint="default"/>
        <w:lang w:val="en-US" w:eastAsia="en-US" w:bidi="ar-SA"/>
      </w:rPr>
    </w:lvl>
    <w:lvl w:ilvl="8" w:tplc="6AF6EE12">
      <w:numFmt w:val="bullet"/>
      <w:lvlText w:val="•"/>
      <w:lvlJc w:val="left"/>
      <w:pPr>
        <w:ind w:left="7770" w:hanging="361"/>
      </w:pPr>
      <w:rPr>
        <w:rFonts w:hint="default"/>
        <w:lang w:val="en-US" w:eastAsia="en-US" w:bidi="ar-SA"/>
      </w:rPr>
    </w:lvl>
  </w:abstractNum>
  <w:abstractNum w:abstractNumId="80" w15:restartNumberingAfterBreak="0">
    <w:nsid w:val="3C036D4D"/>
    <w:multiLevelType w:val="hybridMultilevel"/>
    <w:tmpl w:val="F53CA852"/>
    <w:lvl w:ilvl="0" w:tplc="DE5E43CC">
      <w:numFmt w:val="bullet"/>
      <w:lvlText w:val=""/>
      <w:lvlJc w:val="left"/>
      <w:pPr>
        <w:ind w:left="684" w:hanging="361"/>
      </w:pPr>
      <w:rPr>
        <w:rFonts w:ascii="Symbol" w:eastAsia="Symbol" w:hAnsi="Symbol" w:cs="Symbol" w:hint="default"/>
        <w:b w:val="0"/>
        <w:bCs w:val="0"/>
        <w:i w:val="0"/>
        <w:iCs w:val="0"/>
        <w:spacing w:val="0"/>
        <w:w w:val="100"/>
        <w:sz w:val="22"/>
        <w:szCs w:val="22"/>
        <w:lang w:val="en-US" w:eastAsia="en-US" w:bidi="ar-SA"/>
      </w:rPr>
    </w:lvl>
    <w:lvl w:ilvl="1" w:tplc="4482C220">
      <w:numFmt w:val="bullet"/>
      <w:lvlText w:val=""/>
      <w:lvlJc w:val="left"/>
      <w:pPr>
        <w:ind w:left="863" w:hanging="360"/>
      </w:pPr>
      <w:rPr>
        <w:rFonts w:ascii="Symbol" w:eastAsia="Symbol" w:hAnsi="Symbol" w:cs="Symbol" w:hint="default"/>
        <w:b w:val="0"/>
        <w:bCs w:val="0"/>
        <w:i w:val="0"/>
        <w:iCs w:val="0"/>
        <w:spacing w:val="0"/>
        <w:w w:val="100"/>
        <w:sz w:val="22"/>
        <w:szCs w:val="22"/>
        <w:lang w:val="en-US" w:eastAsia="en-US" w:bidi="ar-SA"/>
      </w:rPr>
    </w:lvl>
    <w:lvl w:ilvl="2" w:tplc="D1ECEE42">
      <w:numFmt w:val="bullet"/>
      <w:lvlText w:val="•"/>
      <w:lvlJc w:val="left"/>
      <w:pPr>
        <w:ind w:left="1851" w:hanging="360"/>
      </w:pPr>
      <w:rPr>
        <w:rFonts w:hint="default"/>
        <w:lang w:val="en-US" w:eastAsia="en-US" w:bidi="ar-SA"/>
      </w:rPr>
    </w:lvl>
    <w:lvl w:ilvl="3" w:tplc="02C47EAC">
      <w:numFmt w:val="bullet"/>
      <w:lvlText w:val="•"/>
      <w:lvlJc w:val="left"/>
      <w:pPr>
        <w:ind w:left="2842" w:hanging="360"/>
      </w:pPr>
      <w:rPr>
        <w:rFonts w:hint="default"/>
        <w:lang w:val="en-US" w:eastAsia="en-US" w:bidi="ar-SA"/>
      </w:rPr>
    </w:lvl>
    <w:lvl w:ilvl="4" w:tplc="0A6AF702">
      <w:numFmt w:val="bullet"/>
      <w:lvlText w:val="•"/>
      <w:lvlJc w:val="left"/>
      <w:pPr>
        <w:ind w:left="3833" w:hanging="360"/>
      </w:pPr>
      <w:rPr>
        <w:rFonts w:hint="default"/>
        <w:lang w:val="en-US" w:eastAsia="en-US" w:bidi="ar-SA"/>
      </w:rPr>
    </w:lvl>
    <w:lvl w:ilvl="5" w:tplc="BA54BFD6">
      <w:numFmt w:val="bullet"/>
      <w:lvlText w:val="•"/>
      <w:lvlJc w:val="left"/>
      <w:pPr>
        <w:ind w:left="4825" w:hanging="360"/>
      </w:pPr>
      <w:rPr>
        <w:rFonts w:hint="default"/>
        <w:lang w:val="en-US" w:eastAsia="en-US" w:bidi="ar-SA"/>
      </w:rPr>
    </w:lvl>
    <w:lvl w:ilvl="6" w:tplc="08089C40">
      <w:numFmt w:val="bullet"/>
      <w:lvlText w:val="•"/>
      <w:lvlJc w:val="left"/>
      <w:pPr>
        <w:ind w:left="5816" w:hanging="360"/>
      </w:pPr>
      <w:rPr>
        <w:rFonts w:hint="default"/>
        <w:lang w:val="en-US" w:eastAsia="en-US" w:bidi="ar-SA"/>
      </w:rPr>
    </w:lvl>
    <w:lvl w:ilvl="7" w:tplc="A92697D4">
      <w:numFmt w:val="bullet"/>
      <w:lvlText w:val="•"/>
      <w:lvlJc w:val="left"/>
      <w:pPr>
        <w:ind w:left="6807" w:hanging="360"/>
      </w:pPr>
      <w:rPr>
        <w:rFonts w:hint="default"/>
        <w:lang w:val="en-US" w:eastAsia="en-US" w:bidi="ar-SA"/>
      </w:rPr>
    </w:lvl>
    <w:lvl w:ilvl="8" w:tplc="42844EB0">
      <w:numFmt w:val="bullet"/>
      <w:lvlText w:val="•"/>
      <w:lvlJc w:val="left"/>
      <w:pPr>
        <w:ind w:left="7798" w:hanging="360"/>
      </w:pPr>
      <w:rPr>
        <w:rFonts w:hint="default"/>
        <w:lang w:val="en-US" w:eastAsia="en-US" w:bidi="ar-SA"/>
      </w:rPr>
    </w:lvl>
  </w:abstractNum>
  <w:abstractNum w:abstractNumId="81" w15:restartNumberingAfterBreak="0">
    <w:nsid w:val="3D726CD3"/>
    <w:multiLevelType w:val="multilevel"/>
    <w:tmpl w:val="576C6228"/>
    <w:lvl w:ilvl="0">
      <w:start w:val="3"/>
      <w:numFmt w:val="decimal"/>
      <w:lvlText w:val="%1"/>
      <w:lvlJc w:val="left"/>
      <w:pPr>
        <w:ind w:left="683" w:hanging="632"/>
        <w:jc w:val="left"/>
      </w:pPr>
      <w:rPr>
        <w:rFonts w:hint="default"/>
        <w:lang w:val="en-US" w:eastAsia="en-US" w:bidi="ar-SA"/>
      </w:rPr>
    </w:lvl>
    <w:lvl w:ilvl="1">
      <w:start w:val="1"/>
      <w:numFmt w:val="decimal"/>
      <w:lvlText w:val="%1.%2"/>
      <w:lvlJc w:val="left"/>
      <w:pPr>
        <w:ind w:left="683" w:hanging="632"/>
        <w:jc w:val="left"/>
      </w:pPr>
      <w:rPr>
        <w:rFonts w:ascii="Calibri" w:eastAsia="Calibri" w:hAnsi="Calibri" w:cs="Calibri" w:hint="default"/>
        <w:b/>
        <w:bCs/>
        <w:i w:val="0"/>
        <w:iCs w:val="0"/>
        <w:color w:val="00ACA3"/>
        <w:spacing w:val="-2"/>
        <w:w w:val="100"/>
        <w:sz w:val="22"/>
        <w:szCs w:val="22"/>
        <w:lang w:val="en-US" w:eastAsia="en-US" w:bidi="ar-SA"/>
      </w:rPr>
    </w:lvl>
    <w:lvl w:ilvl="2">
      <w:start w:val="1"/>
      <w:numFmt w:val="decimal"/>
      <w:lvlText w:val="%3."/>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3">
      <w:numFmt w:val="bullet"/>
      <w:lvlText w:val="•"/>
      <w:lvlJc w:val="left"/>
      <w:pPr>
        <w:ind w:left="2842" w:hanging="360"/>
      </w:pPr>
      <w:rPr>
        <w:rFonts w:hint="default"/>
        <w:lang w:val="en-US" w:eastAsia="en-US" w:bidi="ar-SA"/>
      </w:rPr>
    </w:lvl>
    <w:lvl w:ilvl="4">
      <w:numFmt w:val="bullet"/>
      <w:lvlText w:val="•"/>
      <w:lvlJc w:val="left"/>
      <w:pPr>
        <w:ind w:left="3833" w:hanging="360"/>
      </w:pPr>
      <w:rPr>
        <w:rFonts w:hint="default"/>
        <w:lang w:val="en-US" w:eastAsia="en-US" w:bidi="ar-SA"/>
      </w:rPr>
    </w:lvl>
    <w:lvl w:ilvl="5">
      <w:numFmt w:val="bullet"/>
      <w:lvlText w:val="•"/>
      <w:lvlJc w:val="left"/>
      <w:pPr>
        <w:ind w:left="4825" w:hanging="360"/>
      </w:pPr>
      <w:rPr>
        <w:rFonts w:hint="default"/>
        <w:lang w:val="en-US" w:eastAsia="en-US" w:bidi="ar-SA"/>
      </w:rPr>
    </w:lvl>
    <w:lvl w:ilvl="6">
      <w:numFmt w:val="bullet"/>
      <w:lvlText w:val="•"/>
      <w:lvlJc w:val="left"/>
      <w:pPr>
        <w:ind w:left="5816" w:hanging="360"/>
      </w:pPr>
      <w:rPr>
        <w:rFonts w:hint="default"/>
        <w:lang w:val="en-US" w:eastAsia="en-US" w:bidi="ar-SA"/>
      </w:rPr>
    </w:lvl>
    <w:lvl w:ilvl="7">
      <w:numFmt w:val="bullet"/>
      <w:lvlText w:val="•"/>
      <w:lvlJc w:val="left"/>
      <w:pPr>
        <w:ind w:left="6807" w:hanging="360"/>
      </w:pPr>
      <w:rPr>
        <w:rFonts w:hint="default"/>
        <w:lang w:val="en-US" w:eastAsia="en-US" w:bidi="ar-SA"/>
      </w:rPr>
    </w:lvl>
    <w:lvl w:ilvl="8">
      <w:numFmt w:val="bullet"/>
      <w:lvlText w:val="•"/>
      <w:lvlJc w:val="left"/>
      <w:pPr>
        <w:ind w:left="7798" w:hanging="360"/>
      </w:pPr>
      <w:rPr>
        <w:rFonts w:hint="default"/>
        <w:lang w:val="en-US" w:eastAsia="en-US" w:bidi="ar-SA"/>
      </w:rPr>
    </w:lvl>
  </w:abstractNum>
  <w:abstractNum w:abstractNumId="82" w15:restartNumberingAfterBreak="0">
    <w:nsid w:val="3DBC15F2"/>
    <w:multiLevelType w:val="multilevel"/>
    <w:tmpl w:val="529EEAB2"/>
    <w:lvl w:ilvl="0">
      <w:start w:val="3"/>
      <w:numFmt w:val="decimal"/>
      <w:lvlText w:val="%1"/>
      <w:lvlJc w:val="left"/>
      <w:pPr>
        <w:ind w:left="683" w:hanging="632"/>
        <w:jc w:val="left"/>
      </w:pPr>
      <w:rPr>
        <w:rFonts w:hint="default"/>
        <w:lang w:val="en-US" w:eastAsia="en-US" w:bidi="ar-SA"/>
      </w:rPr>
    </w:lvl>
    <w:lvl w:ilvl="1">
      <w:start w:val="1"/>
      <w:numFmt w:val="decimal"/>
      <w:lvlText w:val="%1.%2"/>
      <w:lvlJc w:val="left"/>
      <w:pPr>
        <w:ind w:left="683" w:hanging="632"/>
        <w:jc w:val="left"/>
      </w:pPr>
      <w:rPr>
        <w:rFonts w:ascii="Calibri" w:eastAsia="Calibri" w:hAnsi="Calibri" w:cs="Calibri" w:hint="default"/>
        <w:b/>
        <w:bCs/>
        <w:i w:val="0"/>
        <w:iCs w:val="0"/>
        <w:color w:val="00ACA3"/>
        <w:spacing w:val="-2"/>
        <w:w w:val="100"/>
        <w:sz w:val="22"/>
        <w:szCs w:val="22"/>
        <w:lang w:val="en-US" w:eastAsia="en-US" w:bidi="ar-SA"/>
      </w:rPr>
    </w:lvl>
    <w:lvl w:ilvl="2">
      <w:start w:val="1"/>
      <w:numFmt w:val="decimal"/>
      <w:lvlText w:val="%3."/>
      <w:lvlJc w:val="left"/>
      <w:pPr>
        <w:ind w:left="503" w:hanging="361"/>
        <w:jc w:val="right"/>
      </w:pPr>
      <w:rPr>
        <w:rFonts w:ascii="Calibri" w:eastAsia="Calibri" w:hAnsi="Calibri" w:cs="Calibri" w:hint="default"/>
        <w:b/>
        <w:bCs/>
        <w:i w:val="0"/>
        <w:iCs w:val="0"/>
        <w:spacing w:val="0"/>
        <w:w w:val="100"/>
        <w:sz w:val="22"/>
        <w:szCs w:val="22"/>
        <w:lang w:val="en-US" w:eastAsia="en-US" w:bidi="ar-SA"/>
      </w:rPr>
    </w:lvl>
    <w:lvl w:ilvl="3">
      <w:numFmt w:val="bullet"/>
      <w:lvlText w:val=""/>
      <w:lvlJc w:val="left"/>
      <w:pPr>
        <w:ind w:left="863" w:hanging="361"/>
      </w:pPr>
      <w:rPr>
        <w:rFonts w:ascii="Symbol" w:eastAsia="Symbol" w:hAnsi="Symbol" w:cs="Symbol" w:hint="default"/>
        <w:b w:val="0"/>
        <w:bCs w:val="0"/>
        <w:i w:val="0"/>
        <w:iCs w:val="0"/>
        <w:spacing w:val="0"/>
        <w:w w:val="100"/>
        <w:sz w:val="22"/>
        <w:szCs w:val="22"/>
        <w:lang w:val="en-US" w:eastAsia="en-US" w:bidi="ar-SA"/>
      </w:rPr>
    </w:lvl>
    <w:lvl w:ilvl="4">
      <w:numFmt w:val="bullet"/>
      <w:lvlText w:val="o"/>
      <w:lvlJc w:val="left"/>
      <w:pPr>
        <w:ind w:left="1223" w:hanging="361"/>
      </w:pPr>
      <w:rPr>
        <w:rFonts w:ascii="Courier New" w:eastAsia="Courier New" w:hAnsi="Courier New" w:cs="Courier New" w:hint="default"/>
        <w:b w:val="0"/>
        <w:bCs w:val="0"/>
        <w:i w:val="0"/>
        <w:iCs w:val="0"/>
        <w:spacing w:val="0"/>
        <w:w w:val="100"/>
        <w:sz w:val="22"/>
        <w:szCs w:val="22"/>
        <w:lang w:val="en-US" w:eastAsia="en-US" w:bidi="ar-SA"/>
      </w:rPr>
    </w:lvl>
    <w:lvl w:ilvl="5">
      <w:numFmt w:val="bullet"/>
      <w:lvlText w:val="-"/>
      <w:lvlJc w:val="left"/>
      <w:pPr>
        <w:ind w:left="1583" w:hanging="360"/>
      </w:pPr>
      <w:rPr>
        <w:rFonts w:ascii="Calibri" w:eastAsia="Calibri" w:hAnsi="Calibri" w:cs="Calibri" w:hint="default"/>
        <w:b w:val="0"/>
        <w:bCs w:val="0"/>
        <w:i w:val="0"/>
        <w:iCs w:val="0"/>
        <w:spacing w:val="0"/>
        <w:w w:val="100"/>
        <w:sz w:val="22"/>
        <w:szCs w:val="22"/>
        <w:lang w:val="en-US" w:eastAsia="en-US" w:bidi="ar-SA"/>
      </w:rPr>
    </w:lvl>
    <w:lvl w:ilvl="6">
      <w:numFmt w:val="bullet"/>
      <w:lvlText w:val="•"/>
      <w:lvlJc w:val="left"/>
      <w:pPr>
        <w:ind w:left="4313" w:hanging="360"/>
      </w:pPr>
      <w:rPr>
        <w:rFonts w:hint="default"/>
        <w:lang w:val="en-US" w:eastAsia="en-US" w:bidi="ar-SA"/>
      </w:rPr>
    </w:lvl>
    <w:lvl w:ilvl="7">
      <w:numFmt w:val="bullet"/>
      <w:lvlText w:val="•"/>
      <w:lvlJc w:val="left"/>
      <w:pPr>
        <w:ind w:left="5680" w:hanging="360"/>
      </w:pPr>
      <w:rPr>
        <w:rFonts w:hint="default"/>
        <w:lang w:val="en-US" w:eastAsia="en-US" w:bidi="ar-SA"/>
      </w:rPr>
    </w:lvl>
    <w:lvl w:ilvl="8">
      <w:numFmt w:val="bullet"/>
      <w:lvlText w:val="•"/>
      <w:lvlJc w:val="left"/>
      <w:pPr>
        <w:ind w:left="7047" w:hanging="360"/>
      </w:pPr>
      <w:rPr>
        <w:rFonts w:hint="default"/>
        <w:lang w:val="en-US" w:eastAsia="en-US" w:bidi="ar-SA"/>
      </w:rPr>
    </w:lvl>
  </w:abstractNum>
  <w:abstractNum w:abstractNumId="83" w15:restartNumberingAfterBreak="0">
    <w:nsid w:val="3E086BB8"/>
    <w:multiLevelType w:val="hybridMultilevel"/>
    <w:tmpl w:val="99CEE3BE"/>
    <w:lvl w:ilvl="0" w:tplc="75001318">
      <w:numFmt w:val="bullet"/>
      <w:lvlText w:val="•"/>
      <w:lvlJc w:val="left"/>
      <w:pPr>
        <w:ind w:left="456" w:hanging="360"/>
      </w:pPr>
      <w:rPr>
        <w:rFonts w:ascii="Trebuchet MS" w:eastAsia="Trebuchet MS" w:hAnsi="Trebuchet MS" w:cs="Trebuchet MS" w:hint="default"/>
        <w:b w:val="0"/>
        <w:bCs w:val="0"/>
        <w:i w:val="0"/>
        <w:iCs w:val="0"/>
        <w:spacing w:val="0"/>
        <w:w w:val="89"/>
        <w:sz w:val="18"/>
        <w:szCs w:val="18"/>
        <w:lang w:val="en-US" w:eastAsia="en-US" w:bidi="ar-SA"/>
      </w:rPr>
    </w:lvl>
    <w:lvl w:ilvl="1" w:tplc="DDBADAF6">
      <w:numFmt w:val="bullet"/>
      <w:lvlText w:val="•"/>
      <w:lvlJc w:val="left"/>
      <w:pPr>
        <w:ind w:left="1108" w:hanging="360"/>
      </w:pPr>
      <w:rPr>
        <w:rFonts w:hint="default"/>
        <w:lang w:val="en-US" w:eastAsia="en-US" w:bidi="ar-SA"/>
      </w:rPr>
    </w:lvl>
    <w:lvl w:ilvl="2" w:tplc="BCF8111C">
      <w:numFmt w:val="bullet"/>
      <w:lvlText w:val="•"/>
      <w:lvlJc w:val="left"/>
      <w:pPr>
        <w:ind w:left="1757" w:hanging="360"/>
      </w:pPr>
      <w:rPr>
        <w:rFonts w:hint="default"/>
        <w:lang w:val="en-US" w:eastAsia="en-US" w:bidi="ar-SA"/>
      </w:rPr>
    </w:lvl>
    <w:lvl w:ilvl="3" w:tplc="A9E2B042">
      <w:numFmt w:val="bullet"/>
      <w:lvlText w:val="•"/>
      <w:lvlJc w:val="left"/>
      <w:pPr>
        <w:ind w:left="2406" w:hanging="360"/>
      </w:pPr>
      <w:rPr>
        <w:rFonts w:hint="default"/>
        <w:lang w:val="en-US" w:eastAsia="en-US" w:bidi="ar-SA"/>
      </w:rPr>
    </w:lvl>
    <w:lvl w:ilvl="4" w:tplc="5C72EAFA">
      <w:numFmt w:val="bullet"/>
      <w:lvlText w:val="•"/>
      <w:lvlJc w:val="left"/>
      <w:pPr>
        <w:ind w:left="3055" w:hanging="360"/>
      </w:pPr>
      <w:rPr>
        <w:rFonts w:hint="default"/>
        <w:lang w:val="en-US" w:eastAsia="en-US" w:bidi="ar-SA"/>
      </w:rPr>
    </w:lvl>
    <w:lvl w:ilvl="5" w:tplc="4190AEFA">
      <w:numFmt w:val="bullet"/>
      <w:lvlText w:val="•"/>
      <w:lvlJc w:val="left"/>
      <w:pPr>
        <w:ind w:left="3704" w:hanging="360"/>
      </w:pPr>
      <w:rPr>
        <w:rFonts w:hint="default"/>
        <w:lang w:val="en-US" w:eastAsia="en-US" w:bidi="ar-SA"/>
      </w:rPr>
    </w:lvl>
    <w:lvl w:ilvl="6" w:tplc="51D827F8">
      <w:numFmt w:val="bullet"/>
      <w:lvlText w:val="•"/>
      <w:lvlJc w:val="left"/>
      <w:pPr>
        <w:ind w:left="4352" w:hanging="360"/>
      </w:pPr>
      <w:rPr>
        <w:rFonts w:hint="default"/>
        <w:lang w:val="en-US" w:eastAsia="en-US" w:bidi="ar-SA"/>
      </w:rPr>
    </w:lvl>
    <w:lvl w:ilvl="7" w:tplc="99F6096A">
      <w:numFmt w:val="bullet"/>
      <w:lvlText w:val="•"/>
      <w:lvlJc w:val="left"/>
      <w:pPr>
        <w:ind w:left="5001" w:hanging="360"/>
      </w:pPr>
      <w:rPr>
        <w:rFonts w:hint="default"/>
        <w:lang w:val="en-US" w:eastAsia="en-US" w:bidi="ar-SA"/>
      </w:rPr>
    </w:lvl>
    <w:lvl w:ilvl="8" w:tplc="6B1A1BCC">
      <w:numFmt w:val="bullet"/>
      <w:lvlText w:val="•"/>
      <w:lvlJc w:val="left"/>
      <w:pPr>
        <w:ind w:left="5650" w:hanging="360"/>
      </w:pPr>
      <w:rPr>
        <w:rFonts w:hint="default"/>
        <w:lang w:val="en-US" w:eastAsia="en-US" w:bidi="ar-SA"/>
      </w:rPr>
    </w:lvl>
  </w:abstractNum>
  <w:abstractNum w:abstractNumId="84" w15:restartNumberingAfterBreak="0">
    <w:nsid w:val="3F4B6138"/>
    <w:multiLevelType w:val="hybridMultilevel"/>
    <w:tmpl w:val="C228181A"/>
    <w:lvl w:ilvl="0" w:tplc="19FE6BF8">
      <w:numFmt w:val="bullet"/>
      <w:lvlText w:val="•"/>
      <w:lvlJc w:val="left"/>
      <w:pPr>
        <w:ind w:left="515" w:hanging="360"/>
      </w:pPr>
      <w:rPr>
        <w:rFonts w:ascii="Trebuchet MS" w:eastAsia="Trebuchet MS" w:hAnsi="Trebuchet MS" w:cs="Trebuchet MS" w:hint="default"/>
        <w:b w:val="0"/>
        <w:bCs w:val="0"/>
        <w:i w:val="0"/>
        <w:iCs w:val="0"/>
        <w:spacing w:val="0"/>
        <w:w w:val="89"/>
        <w:sz w:val="18"/>
        <w:szCs w:val="18"/>
        <w:lang w:val="en-US" w:eastAsia="en-US" w:bidi="ar-SA"/>
      </w:rPr>
    </w:lvl>
    <w:lvl w:ilvl="1" w:tplc="9A7643F4">
      <w:numFmt w:val="bullet"/>
      <w:lvlText w:val="•"/>
      <w:lvlJc w:val="left"/>
      <w:pPr>
        <w:ind w:left="1237" w:hanging="360"/>
      </w:pPr>
      <w:rPr>
        <w:rFonts w:hint="default"/>
        <w:lang w:val="en-US" w:eastAsia="en-US" w:bidi="ar-SA"/>
      </w:rPr>
    </w:lvl>
    <w:lvl w:ilvl="2" w:tplc="70E44924">
      <w:numFmt w:val="bullet"/>
      <w:lvlText w:val="•"/>
      <w:lvlJc w:val="left"/>
      <w:pPr>
        <w:ind w:left="1954" w:hanging="360"/>
      </w:pPr>
      <w:rPr>
        <w:rFonts w:hint="default"/>
        <w:lang w:val="en-US" w:eastAsia="en-US" w:bidi="ar-SA"/>
      </w:rPr>
    </w:lvl>
    <w:lvl w:ilvl="3" w:tplc="3982A9F8">
      <w:numFmt w:val="bullet"/>
      <w:lvlText w:val="•"/>
      <w:lvlJc w:val="left"/>
      <w:pPr>
        <w:ind w:left="2671" w:hanging="360"/>
      </w:pPr>
      <w:rPr>
        <w:rFonts w:hint="default"/>
        <w:lang w:val="en-US" w:eastAsia="en-US" w:bidi="ar-SA"/>
      </w:rPr>
    </w:lvl>
    <w:lvl w:ilvl="4" w:tplc="0B588AD6">
      <w:numFmt w:val="bullet"/>
      <w:lvlText w:val="•"/>
      <w:lvlJc w:val="left"/>
      <w:pPr>
        <w:ind w:left="3389" w:hanging="360"/>
      </w:pPr>
      <w:rPr>
        <w:rFonts w:hint="default"/>
        <w:lang w:val="en-US" w:eastAsia="en-US" w:bidi="ar-SA"/>
      </w:rPr>
    </w:lvl>
    <w:lvl w:ilvl="5" w:tplc="CDAAB17A">
      <w:numFmt w:val="bullet"/>
      <w:lvlText w:val="•"/>
      <w:lvlJc w:val="left"/>
      <w:pPr>
        <w:ind w:left="4106" w:hanging="360"/>
      </w:pPr>
      <w:rPr>
        <w:rFonts w:hint="default"/>
        <w:lang w:val="en-US" w:eastAsia="en-US" w:bidi="ar-SA"/>
      </w:rPr>
    </w:lvl>
    <w:lvl w:ilvl="6" w:tplc="3E4A2D06">
      <w:numFmt w:val="bullet"/>
      <w:lvlText w:val="•"/>
      <w:lvlJc w:val="left"/>
      <w:pPr>
        <w:ind w:left="4823" w:hanging="360"/>
      </w:pPr>
      <w:rPr>
        <w:rFonts w:hint="default"/>
        <w:lang w:val="en-US" w:eastAsia="en-US" w:bidi="ar-SA"/>
      </w:rPr>
    </w:lvl>
    <w:lvl w:ilvl="7" w:tplc="C428BE5A">
      <w:numFmt w:val="bullet"/>
      <w:lvlText w:val="•"/>
      <w:lvlJc w:val="left"/>
      <w:pPr>
        <w:ind w:left="5541" w:hanging="360"/>
      </w:pPr>
      <w:rPr>
        <w:rFonts w:hint="default"/>
        <w:lang w:val="en-US" w:eastAsia="en-US" w:bidi="ar-SA"/>
      </w:rPr>
    </w:lvl>
    <w:lvl w:ilvl="8" w:tplc="2E9EBD4E">
      <w:numFmt w:val="bullet"/>
      <w:lvlText w:val="•"/>
      <w:lvlJc w:val="left"/>
      <w:pPr>
        <w:ind w:left="6258" w:hanging="360"/>
      </w:pPr>
      <w:rPr>
        <w:rFonts w:hint="default"/>
        <w:lang w:val="en-US" w:eastAsia="en-US" w:bidi="ar-SA"/>
      </w:rPr>
    </w:lvl>
  </w:abstractNum>
  <w:abstractNum w:abstractNumId="85" w15:restartNumberingAfterBreak="0">
    <w:nsid w:val="3FAC64F3"/>
    <w:multiLevelType w:val="hybridMultilevel"/>
    <w:tmpl w:val="F11410F6"/>
    <w:lvl w:ilvl="0" w:tplc="01903E46">
      <w:start w:val="1"/>
      <w:numFmt w:val="decimal"/>
      <w:lvlText w:val="%1."/>
      <w:lvlJc w:val="left"/>
      <w:pPr>
        <w:ind w:left="861"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64D83560">
      <w:numFmt w:val="bullet"/>
      <w:lvlText w:val="•"/>
      <w:lvlJc w:val="left"/>
      <w:pPr>
        <w:ind w:left="1752" w:hanging="360"/>
      </w:pPr>
      <w:rPr>
        <w:rFonts w:hint="default"/>
        <w:lang w:val="en-US" w:eastAsia="en-US" w:bidi="ar-SA"/>
      </w:rPr>
    </w:lvl>
    <w:lvl w:ilvl="2" w:tplc="146E2DB6">
      <w:numFmt w:val="bullet"/>
      <w:lvlText w:val="•"/>
      <w:lvlJc w:val="left"/>
      <w:pPr>
        <w:ind w:left="2644" w:hanging="360"/>
      </w:pPr>
      <w:rPr>
        <w:rFonts w:hint="default"/>
        <w:lang w:val="en-US" w:eastAsia="en-US" w:bidi="ar-SA"/>
      </w:rPr>
    </w:lvl>
    <w:lvl w:ilvl="3" w:tplc="23F83EA4">
      <w:numFmt w:val="bullet"/>
      <w:lvlText w:val="•"/>
      <w:lvlJc w:val="left"/>
      <w:pPr>
        <w:ind w:left="3536" w:hanging="360"/>
      </w:pPr>
      <w:rPr>
        <w:rFonts w:hint="default"/>
        <w:lang w:val="en-US" w:eastAsia="en-US" w:bidi="ar-SA"/>
      </w:rPr>
    </w:lvl>
    <w:lvl w:ilvl="4" w:tplc="766EF9CA">
      <w:numFmt w:val="bullet"/>
      <w:lvlText w:val="•"/>
      <w:lvlJc w:val="left"/>
      <w:pPr>
        <w:ind w:left="4428" w:hanging="360"/>
      </w:pPr>
      <w:rPr>
        <w:rFonts w:hint="default"/>
        <w:lang w:val="en-US" w:eastAsia="en-US" w:bidi="ar-SA"/>
      </w:rPr>
    </w:lvl>
    <w:lvl w:ilvl="5" w:tplc="58D43120">
      <w:numFmt w:val="bullet"/>
      <w:lvlText w:val="•"/>
      <w:lvlJc w:val="left"/>
      <w:pPr>
        <w:ind w:left="5320" w:hanging="360"/>
      </w:pPr>
      <w:rPr>
        <w:rFonts w:hint="default"/>
        <w:lang w:val="en-US" w:eastAsia="en-US" w:bidi="ar-SA"/>
      </w:rPr>
    </w:lvl>
    <w:lvl w:ilvl="6" w:tplc="0464B44C">
      <w:numFmt w:val="bullet"/>
      <w:lvlText w:val="•"/>
      <w:lvlJc w:val="left"/>
      <w:pPr>
        <w:ind w:left="6212" w:hanging="360"/>
      </w:pPr>
      <w:rPr>
        <w:rFonts w:hint="default"/>
        <w:lang w:val="en-US" w:eastAsia="en-US" w:bidi="ar-SA"/>
      </w:rPr>
    </w:lvl>
    <w:lvl w:ilvl="7" w:tplc="4F56103C">
      <w:numFmt w:val="bullet"/>
      <w:lvlText w:val="•"/>
      <w:lvlJc w:val="left"/>
      <w:pPr>
        <w:ind w:left="7104" w:hanging="360"/>
      </w:pPr>
      <w:rPr>
        <w:rFonts w:hint="default"/>
        <w:lang w:val="en-US" w:eastAsia="en-US" w:bidi="ar-SA"/>
      </w:rPr>
    </w:lvl>
    <w:lvl w:ilvl="8" w:tplc="1EDC25D2">
      <w:numFmt w:val="bullet"/>
      <w:lvlText w:val="•"/>
      <w:lvlJc w:val="left"/>
      <w:pPr>
        <w:ind w:left="7997" w:hanging="360"/>
      </w:pPr>
      <w:rPr>
        <w:rFonts w:hint="default"/>
        <w:lang w:val="en-US" w:eastAsia="en-US" w:bidi="ar-SA"/>
      </w:rPr>
    </w:lvl>
  </w:abstractNum>
  <w:abstractNum w:abstractNumId="86" w15:restartNumberingAfterBreak="0">
    <w:nsid w:val="405712DE"/>
    <w:multiLevelType w:val="hybridMultilevel"/>
    <w:tmpl w:val="225EBE2A"/>
    <w:lvl w:ilvl="0" w:tplc="EE1680AA">
      <w:numFmt w:val="bullet"/>
      <w:lvlText w:val="•"/>
      <w:lvlJc w:val="left"/>
      <w:pPr>
        <w:ind w:left="461" w:hanging="360"/>
      </w:pPr>
      <w:rPr>
        <w:rFonts w:ascii="Trebuchet MS" w:eastAsia="Trebuchet MS" w:hAnsi="Trebuchet MS" w:cs="Trebuchet MS" w:hint="default"/>
        <w:b w:val="0"/>
        <w:bCs w:val="0"/>
        <w:i w:val="0"/>
        <w:iCs w:val="0"/>
        <w:spacing w:val="0"/>
        <w:w w:val="89"/>
        <w:sz w:val="18"/>
        <w:szCs w:val="18"/>
        <w:lang w:val="en-US" w:eastAsia="en-US" w:bidi="ar-SA"/>
      </w:rPr>
    </w:lvl>
    <w:lvl w:ilvl="1" w:tplc="6D7A45AC">
      <w:numFmt w:val="bullet"/>
      <w:lvlText w:val="•"/>
      <w:lvlJc w:val="left"/>
      <w:pPr>
        <w:ind w:left="1100" w:hanging="360"/>
      </w:pPr>
      <w:rPr>
        <w:rFonts w:hint="default"/>
        <w:lang w:val="en-US" w:eastAsia="en-US" w:bidi="ar-SA"/>
      </w:rPr>
    </w:lvl>
    <w:lvl w:ilvl="2" w:tplc="3F3EC1DE">
      <w:numFmt w:val="bullet"/>
      <w:lvlText w:val="•"/>
      <w:lvlJc w:val="left"/>
      <w:pPr>
        <w:ind w:left="1740" w:hanging="360"/>
      </w:pPr>
      <w:rPr>
        <w:rFonts w:hint="default"/>
        <w:lang w:val="en-US" w:eastAsia="en-US" w:bidi="ar-SA"/>
      </w:rPr>
    </w:lvl>
    <w:lvl w:ilvl="3" w:tplc="D6643542">
      <w:numFmt w:val="bullet"/>
      <w:lvlText w:val="•"/>
      <w:lvlJc w:val="left"/>
      <w:pPr>
        <w:ind w:left="2380" w:hanging="360"/>
      </w:pPr>
      <w:rPr>
        <w:rFonts w:hint="default"/>
        <w:lang w:val="en-US" w:eastAsia="en-US" w:bidi="ar-SA"/>
      </w:rPr>
    </w:lvl>
    <w:lvl w:ilvl="4" w:tplc="840C33AE">
      <w:numFmt w:val="bullet"/>
      <w:lvlText w:val="•"/>
      <w:lvlJc w:val="left"/>
      <w:pPr>
        <w:ind w:left="3021" w:hanging="360"/>
      </w:pPr>
      <w:rPr>
        <w:rFonts w:hint="default"/>
        <w:lang w:val="en-US" w:eastAsia="en-US" w:bidi="ar-SA"/>
      </w:rPr>
    </w:lvl>
    <w:lvl w:ilvl="5" w:tplc="25F20AA2">
      <w:numFmt w:val="bullet"/>
      <w:lvlText w:val="•"/>
      <w:lvlJc w:val="left"/>
      <w:pPr>
        <w:ind w:left="3661" w:hanging="360"/>
      </w:pPr>
      <w:rPr>
        <w:rFonts w:hint="default"/>
        <w:lang w:val="en-US" w:eastAsia="en-US" w:bidi="ar-SA"/>
      </w:rPr>
    </w:lvl>
    <w:lvl w:ilvl="6" w:tplc="6CF6A626">
      <w:numFmt w:val="bullet"/>
      <w:lvlText w:val="•"/>
      <w:lvlJc w:val="left"/>
      <w:pPr>
        <w:ind w:left="4301" w:hanging="360"/>
      </w:pPr>
      <w:rPr>
        <w:rFonts w:hint="default"/>
        <w:lang w:val="en-US" w:eastAsia="en-US" w:bidi="ar-SA"/>
      </w:rPr>
    </w:lvl>
    <w:lvl w:ilvl="7" w:tplc="8A44CF8A">
      <w:numFmt w:val="bullet"/>
      <w:lvlText w:val="•"/>
      <w:lvlJc w:val="left"/>
      <w:pPr>
        <w:ind w:left="4942" w:hanging="360"/>
      </w:pPr>
      <w:rPr>
        <w:rFonts w:hint="default"/>
        <w:lang w:val="en-US" w:eastAsia="en-US" w:bidi="ar-SA"/>
      </w:rPr>
    </w:lvl>
    <w:lvl w:ilvl="8" w:tplc="61F8CEAC">
      <w:numFmt w:val="bullet"/>
      <w:lvlText w:val="•"/>
      <w:lvlJc w:val="left"/>
      <w:pPr>
        <w:ind w:left="5582" w:hanging="360"/>
      </w:pPr>
      <w:rPr>
        <w:rFonts w:hint="default"/>
        <w:lang w:val="en-US" w:eastAsia="en-US" w:bidi="ar-SA"/>
      </w:rPr>
    </w:lvl>
  </w:abstractNum>
  <w:abstractNum w:abstractNumId="87" w15:restartNumberingAfterBreak="0">
    <w:nsid w:val="40610DDB"/>
    <w:multiLevelType w:val="hybridMultilevel"/>
    <w:tmpl w:val="7EEA6414"/>
    <w:lvl w:ilvl="0" w:tplc="F27E5F52">
      <w:numFmt w:val="bullet"/>
      <w:lvlText w:val="•"/>
      <w:lvlJc w:val="left"/>
      <w:pPr>
        <w:ind w:left="493" w:hanging="360"/>
      </w:pPr>
      <w:rPr>
        <w:rFonts w:ascii="Trebuchet MS" w:eastAsia="Trebuchet MS" w:hAnsi="Trebuchet MS" w:cs="Trebuchet MS" w:hint="default"/>
        <w:b w:val="0"/>
        <w:bCs w:val="0"/>
        <w:i w:val="0"/>
        <w:iCs w:val="0"/>
        <w:spacing w:val="0"/>
        <w:w w:val="89"/>
        <w:sz w:val="18"/>
        <w:szCs w:val="18"/>
        <w:lang w:val="en-US" w:eastAsia="en-US" w:bidi="ar-SA"/>
      </w:rPr>
    </w:lvl>
    <w:lvl w:ilvl="1" w:tplc="4760AC48">
      <w:numFmt w:val="bullet"/>
      <w:lvlText w:val="•"/>
      <w:lvlJc w:val="left"/>
      <w:pPr>
        <w:ind w:left="1085" w:hanging="360"/>
      </w:pPr>
      <w:rPr>
        <w:rFonts w:hint="default"/>
        <w:lang w:val="en-US" w:eastAsia="en-US" w:bidi="ar-SA"/>
      </w:rPr>
    </w:lvl>
    <w:lvl w:ilvl="2" w:tplc="C22A7474">
      <w:numFmt w:val="bullet"/>
      <w:lvlText w:val="•"/>
      <w:lvlJc w:val="left"/>
      <w:pPr>
        <w:ind w:left="1671" w:hanging="360"/>
      </w:pPr>
      <w:rPr>
        <w:rFonts w:hint="default"/>
        <w:lang w:val="en-US" w:eastAsia="en-US" w:bidi="ar-SA"/>
      </w:rPr>
    </w:lvl>
    <w:lvl w:ilvl="3" w:tplc="2A265704">
      <w:numFmt w:val="bullet"/>
      <w:lvlText w:val="•"/>
      <w:lvlJc w:val="left"/>
      <w:pPr>
        <w:ind w:left="2256" w:hanging="360"/>
      </w:pPr>
      <w:rPr>
        <w:rFonts w:hint="default"/>
        <w:lang w:val="en-US" w:eastAsia="en-US" w:bidi="ar-SA"/>
      </w:rPr>
    </w:lvl>
    <w:lvl w:ilvl="4" w:tplc="A79CB256">
      <w:numFmt w:val="bullet"/>
      <w:lvlText w:val="•"/>
      <w:lvlJc w:val="left"/>
      <w:pPr>
        <w:ind w:left="2842" w:hanging="360"/>
      </w:pPr>
      <w:rPr>
        <w:rFonts w:hint="default"/>
        <w:lang w:val="en-US" w:eastAsia="en-US" w:bidi="ar-SA"/>
      </w:rPr>
    </w:lvl>
    <w:lvl w:ilvl="5" w:tplc="4404A64A">
      <w:numFmt w:val="bullet"/>
      <w:lvlText w:val="•"/>
      <w:lvlJc w:val="left"/>
      <w:pPr>
        <w:ind w:left="3428" w:hanging="360"/>
      </w:pPr>
      <w:rPr>
        <w:rFonts w:hint="default"/>
        <w:lang w:val="en-US" w:eastAsia="en-US" w:bidi="ar-SA"/>
      </w:rPr>
    </w:lvl>
    <w:lvl w:ilvl="6" w:tplc="CFCEA9B4">
      <w:numFmt w:val="bullet"/>
      <w:lvlText w:val="•"/>
      <w:lvlJc w:val="left"/>
      <w:pPr>
        <w:ind w:left="4013" w:hanging="360"/>
      </w:pPr>
      <w:rPr>
        <w:rFonts w:hint="default"/>
        <w:lang w:val="en-US" w:eastAsia="en-US" w:bidi="ar-SA"/>
      </w:rPr>
    </w:lvl>
    <w:lvl w:ilvl="7" w:tplc="CAE4422C">
      <w:numFmt w:val="bullet"/>
      <w:lvlText w:val="•"/>
      <w:lvlJc w:val="left"/>
      <w:pPr>
        <w:ind w:left="4599" w:hanging="360"/>
      </w:pPr>
      <w:rPr>
        <w:rFonts w:hint="default"/>
        <w:lang w:val="en-US" w:eastAsia="en-US" w:bidi="ar-SA"/>
      </w:rPr>
    </w:lvl>
    <w:lvl w:ilvl="8" w:tplc="1FEE4814">
      <w:numFmt w:val="bullet"/>
      <w:lvlText w:val="•"/>
      <w:lvlJc w:val="left"/>
      <w:pPr>
        <w:ind w:left="5184" w:hanging="360"/>
      </w:pPr>
      <w:rPr>
        <w:rFonts w:hint="default"/>
        <w:lang w:val="en-US" w:eastAsia="en-US" w:bidi="ar-SA"/>
      </w:rPr>
    </w:lvl>
  </w:abstractNum>
  <w:abstractNum w:abstractNumId="88" w15:restartNumberingAfterBreak="0">
    <w:nsid w:val="408E4D4E"/>
    <w:multiLevelType w:val="hybridMultilevel"/>
    <w:tmpl w:val="FE4E8FF0"/>
    <w:lvl w:ilvl="0" w:tplc="6D1406BA">
      <w:numFmt w:val="bullet"/>
      <w:lvlText w:val="•"/>
      <w:lvlJc w:val="left"/>
      <w:pPr>
        <w:ind w:left="436" w:hanging="360"/>
      </w:pPr>
      <w:rPr>
        <w:rFonts w:ascii="Trebuchet MS" w:eastAsia="Trebuchet MS" w:hAnsi="Trebuchet MS" w:cs="Trebuchet MS" w:hint="default"/>
        <w:b w:val="0"/>
        <w:bCs w:val="0"/>
        <w:i w:val="0"/>
        <w:iCs w:val="0"/>
        <w:spacing w:val="0"/>
        <w:w w:val="89"/>
        <w:sz w:val="18"/>
        <w:szCs w:val="18"/>
        <w:lang w:val="en-US" w:eastAsia="en-US" w:bidi="ar-SA"/>
      </w:rPr>
    </w:lvl>
    <w:lvl w:ilvl="1" w:tplc="6CDE0200">
      <w:numFmt w:val="bullet"/>
      <w:lvlText w:val="•"/>
      <w:lvlJc w:val="left"/>
      <w:pPr>
        <w:ind w:left="683" w:hanging="360"/>
      </w:pPr>
      <w:rPr>
        <w:rFonts w:hint="default"/>
        <w:lang w:val="en-US" w:eastAsia="en-US" w:bidi="ar-SA"/>
      </w:rPr>
    </w:lvl>
    <w:lvl w:ilvl="2" w:tplc="16366614">
      <w:numFmt w:val="bullet"/>
      <w:lvlText w:val="•"/>
      <w:lvlJc w:val="left"/>
      <w:pPr>
        <w:ind w:left="927" w:hanging="360"/>
      </w:pPr>
      <w:rPr>
        <w:rFonts w:hint="default"/>
        <w:lang w:val="en-US" w:eastAsia="en-US" w:bidi="ar-SA"/>
      </w:rPr>
    </w:lvl>
    <w:lvl w:ilvl="3" w:tplc="98E0671E">
      <w:numFmt w:val="bullet"/>
      <w:lvlText w:val="•"/>
      <w:lvlJc w:val="left"/>
      <w:pPr>
        <w:ind w:left="1171" w:hanging="360"/>
      </w:pPr>
      <w:rPr>
        <w:rFonts w:hint="default"/>
        <w:lang w:val="en-US" w:eastAsia="en-US" w:bidi="ar-SA"/>
      </w:rPr>
    </w:lvl>
    <w:lvl w:ilvl="4" w:tplc="5F4C6EFA">
      <w:numFmt w:val="bullet"/>
      <w:lvlText w:val="•"/>
      <w:lvlJc w:val="left"/>
      <w:pPr>
        <w:ind w:left="1415" w:hanging="360"/>
      </w:pPr>
      <w:rPr>
        <w:rFonts w:hint="default"/>
        <w:lang w:val="en-US" w:eastAsia="en-US" w:bidi="ar-SA"/>
      </w:rPr>
    </w:lvl>
    <w:lvl w:ilvl="5" w:tplc="F9141924">
      <w:numFmt w:val="bullet"/>
      <w:lvlText w:val="•"/>
      <w:lvlJc w:val="left"/>
      <w:pPr>
        <w:ind w:left="1659" w:hanging="360"/>
      </w:pPr>
      <w:rPr>
        <w:rFonts w:hint="default"/>
        <w:lang w:val="en-US" w:eastAsia="en-US" w:bidi="ar-SA"/>
      </w:rPr>
    </w:lvl>
    <w:lvl w:ilvl="6" w:tplc="FA8EB398">
      <w:numFmt w:val="bullet"/>
      <w:lvlText w:val="•"/>
      <w:lvlJc w:val="left"/>
      <w:pPr>
        <w:ind w:left="1903" w:hanging="360"/>
      </w:pPr>
      <w:rPr>
        <w:rFonts w:hint="default"/>
        <w:lang w:val="en-US" w:eastAsia="en-US" w:bidi="ar-SA"/>
      </w:rPr>
    </w:lvl>
    <w:lvl w:ilvl="7" w:tplc="82209262">
      <w:numFmt w:val="bullet"/>
      <w:lvlText w:val="•"/>
      <w:lvlJc w:val="left"/>
      <w:pPr>
        <w:ind w:left="2147" w:hanging="360"/>
      </w:pPr>
      <w:rPr>
        <w:rFonts w:hint="default"/>
        <w:lang w:val="en-US" w:eastAsia="en-US" w:bidi="ar-SA"/>
      </w:rPr>
    </w:lvl>
    <w:lvl w:ilvl="8" w:tplc="5FC6899A">
      <w:numFmt w:val="bullet"/>
      <w:lvlText w:val="•"/>
      <w:lvlJc w:val="left"/>
      <w:pPr>
        <w:ind w:left="2391" w:hanging="360"/>
      </w:pPr>
      <w:rPr>
        <w:rFonts w:hint="default"/>
        <w:lang w:val="en-US" w:eastAsia="en-US" w:bidi="ar-SA"/>
      </w:rPr>
    </w:lvl>
  </w:abstractNum>
  <w:abstractNum w:abstractNumId="89" w15:restartNumberingAfterBreak="0">
    <w:nsid w:val="41732447"/>
    <w:multiLevelType w:val="hybridMultilevel"/>
    <w:tmpl w:val="E9DE975C"/>
    <w:lvl w:ilvl="0" w:tplc="16D2FA82">
      <w:numFmt w:val="bullet"/>
      <w:lvlText w:val="•"/>
      <w:lvlJc w:val="left"/>
      <w:pPr>
        <w:ind w:left="533" w:hanging="360"/>
      </w:pPr>
      <w:rPr>
        <w:rFonts w:ascii="Trebuchet MS" w:eastAsia="Trebuchet MS" w:hAnsi="Trebuchet MS" w:cs="Trebuchet MS" w:hint="default"/>
        <w:b w:val="0"/>
        <w:bCs w:val="0"/>
        <w:i w:val="0"/>
        <w:iCs w:val="0"/>
        <w:spacing w:val="0"/>
        <w:w w:val="89"/>
        <w:sz w:val="18"/>
        <w:szCs w:val="18"/>
        <w:lang w:val="en-US" w:eastAsia="en-US" w:bidi="ar-SA"/>
      </w:rPr>
    </w:lvl>
    <w:lvl w:ilvl="1" w:tplc="1310D1B8">
      <w:numFmt w:val="bullet"/>
      <w:lvlText w:val="•"/>
      <w:lvlJc w:val="left"/>
      <w:pPr>
        <w:ind w:left="1253" w:hanging="360"/>
      </w:pPr>
      <w:rPr>
        <w:rFonts w:hint="default"/>
        <w:lang w:val="en-US" w:eastAsia="en-US" w:bidi="ar-SA"/>
      </w:rPr>
    </w:lvl>
    <w:lvl w:ilvl="2" w:tplc="01044448">
      <w:numFmt w:val="bullet"/>
      <w:lvlText w:val="•"/>
      <w:lvlJc w:val="left"/>
      <w:pPr>
        <w:ind w:left="1967" w:hanging="360"/>
      </w:pPr>
      <w:rPr>
        <w:rFonts w:hint="default"/>
        <w:lang w:val="en-US" w:eastAsia="en-US" w:bidi="ar-SA"/>
      </w:rPr>
    </w:lvl>
    <w:lvl w:ilvl="3" w:tplc="09CE60E4">
      <w:numFmt w:val="bullet"/>
      <w:lvlText w:val="•"/>
      <w:lvlJc w:val="left"/>
      <w:pPr>
        <w:ind w:left="2680" w:hanging="360"/>
      </w:pPr>
      <w:rPr>
        <w:rFonts w:hint="default"/>
        <w:lang w:val="en-US" w:eastAsia="en-US" w:bidi="ar-SA"/>
      </w:rPr>
    </w:lvl>
    <w:lvl w:ilvl="4" w:tplc="78C0BCCC">
      <w:numFmt w:val="bullet"/>
      <w:lvlText w:val="•"/>
      <w:lvlJc w:val="left"/>
      <w:pPr>
        <w:ind w:left="3394" w:hanging="360"/>
      </w:pPr>
      <w:rPr>
        <w:rFonts w:hint="default"/>
        <w:lang w:val="en-US" w:eastAsia="en-US" w:bidi="ar-SA"/>
      </w:rPr>
    </w:lvl>
    <w:lvl w:ilvl="5" w:tplc="6BDEBA92">
      <w:numFmt w:val="bullet"/>
      <w:lvlText w:val="•"/>
      <w:lvlJc w:val="left"/>
      <w:pPr>
        <w:ind w:left="4107" w:hanging="360"/>
      </w:pPr>
      <w:rPr>
        <w:rFonts w:hint="default"/>
        <w:lang w:val="en-US" w:eastAsia="en-US" w:bidi="ar-SA"/>
      </w:rPr>
    </w:lvl>
    <w:lvl w:ilvl="6" w:tplc="00C625A8">
      <w:numFmt w:val="bullet"/>
      <w:lvlText w:val="•"/>
      <w:lvlJc w:val="left"/>
      <w:pPr>
        <w:ind w:left="4821" w:hanging="360"/>
      </w:pPr>
      <w:rPr>
        <w:rFonts w:hint="default"/>
        <w:lang w:val="en-US" w:eastAsia="en-US" w:bidi="ar-SA"/>
      </w:rPr>
    </w:lvl>
    <w:lvl w:ilvl="7" w:tplc="0BEA6438">
      <w:numFmt w:val="bullet"/>
      <w:lvlText w:val="•"/>
      <w:lvlJc w:val="left"/>
      <w:pPr>
        <w:ind w:left="5534" w:hanging="360"/>
      </w:pPr>
      <w:rPr>
        <w:rFonts w:hint="default"/>
        <w:lang w:val="en-US" w:eastAsia="en-US" w:bidi="ar-SA"/>
      </w:rPr>
    </w:lvl>
    <w:lvl w:ilvl="8" w:tplc="4F1C538E">
      <w:numFmt w:val="bullet"/>
      <w:lvlText w:val="•"/>
      <w:lvlJc w:val="left"/>
      <w:pPr>
        <w:ind w:left="6248" w:hanging="360"/>
      </w:pPr>
      <w:rPr>
        <w:rFonts w:hint="default"/>
        <w:lang w:val="en-US" w:eastAsia="en-US" w:bidi="ar-SA"/>
      </w:rPr>
    </w:lvl>
  </w:abstractNum>
  <w:abstractNum w:abstractNumId="90" w15:restartNumberingAfterBreak="0">
    <w:nsid w:val="41BD3648"/>
    <w:multiLevelType w:val="hybridMultilevel"/>
    <w:tmpl w:val="60226584"/>
    <w:lvl w:ilvl="0" w:tplc="FF226DD6">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363611C6">
      <w:numFmt w:val="bullet"/>
      <w:lvlText w:val=""/>
      <w:lvlJc w:val="left"/>
      <w:pPr>
        <w:ind w:left="863" w:hanging="360"/>
      </w:pPr>
      <w:rPr>
        <w:rFonts w:ascii="Symbol" w:eastAsia="Symbol" w:hAnsi="Symbol" w:cs="Symbol" w:hint="default"/>
        <w:b w:val="0"/>
        <w:bCs w:val="0"/>
        <w:i w:val="0"/>
        <w:iCs w:val="0"/>
        <w:spacing w:val="0"/>
        <w:w w:val="99"/>
        <w:sz w:val="20"/>
        <w:szCs w:val="20"/>
        <w:lang w:val="en-US" w:eastAsia="en-US" w:bidi="ar-SA"/>
      </w:rPr>
    </w:lvl>
    <w:lvl w:ilvl="2" w:tplc="2680769E">
      <w:numFmt w:val="bullet"/>
      <w:lvlText w:val="•"/>
      <w:lvlJc w:val="left"/>
      <w:pPr>
        <w:ind w:left="2587" w:hanging="360"/>
      </w:pPr>
      <w:rPr>
        <w:rFonts w:hint="default"/>
        <w:lang w:val="en-US" w:eastAsia="en-US" w:bidi="ar-SA"/>
      </w:rPr>
    </w:lvl>
    <w:lvl w:ilvl="3" w:tplc="3030FC8E">
      <w:numFmt w:val="bullet"/>
      <w:lvlText w:val="•"/>
      <w:lvlJc w:val="left"/>
      <w:pPr>
        <w:ind w:left="3451" w:hanging="360"/>
      </w:pPr>
      <w:rPr>
        <w:rFonts w:hint="default"/>
        <w:lang w:val="en-US" w:eastAsia="en-US" w:bidi="ar-SA"/>
      </w:rPr>
    </w:lvl>
    <w:lvl w:ilvl="4" w:tplc="99CA6EDE">
      <w:numFmt w:val="bullet"/>
      <w:lvlText w:val="•"/>
      <w:lvlJc w:val="left"/>
      <w:pPr>
        <w:ind w:left="4315" w:hanging="360"/>
      </w:pPr>
      <w:rPr>
        <w:rFonts w:hint="default"/>
        <w:lang w:val="en-US" w:eastAsia="en-US" w:bidi="ar-SA"/>
      </w:rPr>
    </w:lvl>
    <w:lvl w:ilvl="5" w:tplc="D1203740">
      <w:numFmt w:val="bullet"/>
      <w:lvlText w:val="•"/>
      <w:lvlJc w:val="left"/>
      <w:pPr>
        <w:ind w:left="5179" w:hanging="360"/>
      </w:pPr>
      <w:rPr>
        <w:rFonts w:hint="default"/>
        <w:lang w:val="en-US" w:eastAsia="en-US" w:bidi="ar-SA"/>
      </w:rPr>
    </w:lvl>
    <w:lvl w:ilvl="6" w:tplc="13644092">
      <w:numFmt w:val="bullet"/>
      <w:lvlText w:val="•"/>
      <w:lvlJc w:val="left"/>
      <w:pPr>
        <w:ind w:left="6043" w:hanging="360"/>
      </w:pPr>
      <w:rPr>
        <w:rFonts w:hint="default"/>
        <w:lang w:val="en-US" w:eastAsia="en-US" w:bidi="ar-SA"/>
      </w:rPr>
    </w:lvl>
    <w:lvl w:ilvl="7" w:tplc="B1128A46">
      <w:numFmt w:val="bullet"/>
      <w:lvlText w:val="•"/>
      <w:lvlJc w:val="left"/>
      <w:pPr>
        <w:ind w:left="6906" w:hanging="360"/>
      </w:pPr>
      <w:rPr>
        <w:rFonts w:hint="default"/>
        <w:lang w:val="en-US" w:eastAsia="en-US" w:bidi="ar-SA"/>
      </w:rPr>
    </w:lvl>
    <w:lvl w:ilvl="8" w:tplc="2DE626B4">
      <w:numFmt w:val="bullet"/>
      <w:lvlText w:val="•"/>
      <w:lvlJc w:val="left"/>
      <w:pPr>
        <w:ind w:left="7770" w:hanging="360"/>
      </w:pPr>
      <w:rPr>
        <w:rFonts w:hint="default"/>
        <w:lang w:val="en-US" w:eastAsia="en-US" w:bidi="ar-SA"/>
      </w:rPr>
    </w:lvl>
  </w:abstractNum>
  <w:abstractNum w:abstractNumId="91" w15:restartNumberingAfterBreak="0">
    <w:nsid w:val="41C84E1E"/>
    <w:multiLevelType w:val="hybridMultilevel"/>
    <w:tmpl w:val="3886D0D6"/>
    <w:lvl w:ilvl="0" w:tplc="4BC08890">
      <w:numFmt w:val="bullet"/>
      <w:lvlText w:val="•"/>
      <w:lvlJc w:val="left"/>
      <w:pPr>
        <w:ind w:left="531" w:hanging="360"/>
      </w:pPr>
      <w:rPr>
        <w:rFonts w:ascii="Trebuchet MS" w:eastAsia="Trebuchet MS" w:hAnsi="Trebuchet MS" w:cs="Trebuchet MS" w:hint="default"/>
        <w:b w:val="0"/>
        <w:bCs w:val="0"/>
        <w:i w:val="0"/>
        <w:iCs w:val="0"/>
        <w:spacing w:val="0"/>
        <w:w w:val="89"/>
        <w:sz w:val="18"/>
        <w:szCs w:val="18"/>
        <w:lang w:val="en-US" w:eastAsia="en-US" w:bidi="ar-SA"/>
      </w:rPr>
    </w:lvl>
    <w:lvl w:ilvl="1" w:tplc="9BC0AC1C">
      <w:numFmt w:val="bullet"/>
      <w:lvlText w:val="•"/>
      <w:lvlJc w:val="left"/>
      <w:pPr>
        <w:ind w:left="1215" w:hanging="360"/>
      </w:pPr>
      <w:rPr>
        <w:rFonts w:hint="default"/>
        <w:lang w:val="en-US" w:eastAsia="en-US" w:bidi="ar-SA"/>
      </w:rPr>
    </w:lvl>
    <w:lvl w:ilvl="2" w:tplc="2D8CA0E2">
      <w:numFmt w:val="bullet"/>
      <w:lvlText w:val="•"/>
      <w:lvlJc w:val="left"/>
      <w:pPr>
        <w:ind w:left="1891" w:hanging="360"/>
      </w:pPr>
      <w:rPr>
        <w:rFonts w:hint="default"/>
        <w:lang w:val="en-US" w:eastAsia="en-US" w:bidi="ar-SA"/>
      </w:rPr>
    </w:lvl>
    <w:lvl w:ilvl="3" w:tplc="76564844">
      <w:numFmt w:val="bullet"/>
      <w:lvlText w:val="•"/>
      <w:lvlJc w:val="left"/>
      <w:pPr>
        <w:ind w:left="2566" w:hanging="360"/>
      </w:pPr>
      <w:rPr>
        <w:rFonts w:hint="default"/>
        <w:lang w:val="en-US" w:eastAsia="en-US" w:bidi="ar-SA"/>
      </w:rPr>
    </w:lvl>
    <w:lvl w:ilvl="4" w:tplc="D152BA24">
      <w:numFmt w:val="bullet"/>
      <w:lvlText w:val="•"/>
      <w:lvlJc w:val="left"/>
      <w:pPr>
        <w:ind w:left="3242" w:hanging="360"/>
      </w:pPr>
      <w:rPr>
        <w:rFonts w:hint="default"/>
        <w:lang w:val="en-US" w:eastAsia="en-US" w:bidi="ar-SA"/>
      </w:rPr>
    </w:lvl>
    <w:lvl w:ilvl="5" w:tplc="838E3D32">
      <w:numFmt w:val="bullet"/>
      <w:lvlText w:val="•"/>
      <w:lvlJc w:val="left"/>
      <w:pPr>
        <w:ind w:left="3917" w:hanging="360"/>
      </w:pPr>
      <w:rPr>
        <w:rFonts w:hint="default"/>
        <w:lang w:val="en-US" w:eastAsia="en-US" w:bidi="ar-SA"/>
      </w:rPr>
    </w:lvl>
    <w:lvl w:ilvl="6" w:tplc="3B0A489C">
      <w:numFmt w:val="bullet"/>
      <w:lvlText w:val="•"/>
      <w:lvlJc w:val="left"/>
      <w:pPr>
        <w:ind w:left="4593" w:hanging="360"/>
      </w:pPr>
      <w:rPr>
        <w:rFonts w:hint="default"/>
        <w:lang w:val="en-US" w:eastAsia="en-US" w:bidi="ar-SA"/>
      </w:rPr>
    </w:lvl>
    <w:lvl w:ilvl="7" w:tplc="E9A64B76">
      <w:numFmt w:val="bullet"/>
      <w:lvlText w:val="•"/>
      <w:lvlJc w:val="left"/>
      <w:pPr>
        <w:ind w:left="5268" w:hanging="360"/>
      </w:pPr>
      <w:rPr>
        <w:rFonts w:hint="default"/>
        <w:lang w:val="en-US" w:eastAsia="en-US" w:bidi="ar-SA"/>
      </w:rPr>
    </w:lvl>
    <w:lvl w:ilvl="8" w:tplc="5C5A42A2">
      <w:numFmt w:val="bullet"/>
      <w:lvlText w:val="•"/>
      <w:lvlJc w:val="left"/>
      <w:pPr>
        <w:ind w:left="5944" w:hanging="360"/>
      </w:pPr>
      <w:rPr>
        <w:rFonts w:hint="default"/>
        <w:lang w:val="en-US" w:eastAsia="en-US" w:bidi="ar-SA"/>
      </w:rPr>
    </w:lvl>
  </w:abstractNum>
  <w:abstractNum w:abstractNumId="92" w15:restartNumberingAfterBreak="0">
    <w:nsid w:val="42E87D73"/>
    <w:multiLevelType w:val="hybridMultilevel"/>
    <w:tmpl w:val="E976E47C"/>
    <w:lvl w:ilvl="0" w:tplc="15E0937A">
      <w:numFmt w:val="bullet"/>
      <w:lvlText w:val="•"/>
      <w:lvlJc w:val="left"/>
      <w:pPr>
        <w:ind w:left="1800" w:hanging="360"/>
      </w:pPr>
      <w:rPr>
        <w:rFonts w:ascii="Trebuchet MS" w:eastAsia="Trebuchet MS" w:hAnsi="Trebuchet MS" w:cs="Trebuchet MS" w:hint="default"/>
        <w:b w:val="0"/>
        <w:bCs w:val="0"/>
        <w:i w:val="0"/>
        <w:iCs w:val="0"/>
        <w:spacing w:val="0"/>
        <w:w w:val="89"/>
        <w:sz w:val="18"/>
        <w:szCs w:val="18"/>
        <w:lang w:val="en-US" w:eastAsia="en-US" w:bidi="ar-SA"/>
      </w:rPr>
    </w:lvl>
    <w:lvl w:ilvl="1" w:tplc="41189F66">
      <w:numFmt w:val="bullet"/>
      <w:lvlText w:val="•"/>
      <w:lvlJc w:val="left"/>
      <w:pPr>
        <w:ind w:left="2053" w:hanging="360"/>
      </w:pPr>
      <w:rPr>
        <w:rFonts w:hint="default"/>
        <w:lang w:val="en-US" w:eastAsia="en-US" w:bidi="ar-SA"/>
      </w:rPr>
    </w:lvl>
    <w:lvl w:ilvl="2" w:tplc="A1EEB8A4">
      <w:numFmt w:val="bullet"/>
      <w:lvlText w:val="•"/>
      <w:lvlJc w:val="left"/>
      <w:pPr>
        <w:ind w:left="2306" w:hanging="360"/>
      </w:pPr>
      <w:rPr>
        <w:rFonts w:hint="default"/>
        <w:lang w:val="en-US" w:eastAsia="en-US" w:bidi="ar-SA"/>
      </w:rPr>
    </w:lvl>
    <w:lvl w:ilvl="3" w:tplc="EB804D98">
      <w:numFmt w:val="bullet"/>
      <w:lvlText w:val="•"/>
      <w:lvlJc w:val="left"/>
      <w:pPr>
        <w:ind w:left="2559" w:hanging="360"/>
      </w:pPr>
      <w:rPr>
        <w:rFonts w:hint="default"/>
        <w:lang w:val="en-US" w:eastAsia="en-US" w:bidi="ar-SA"/>
      </w:rPr>
    </w:lvl>
    <w:lvl w:ilvl="4" w:tplc="2C529A0C">
      <w:numFmt w:val="bullet"/>
      <w:lvlText w:val="•"/>
      <w:lvlJc w:val="left"/>
      <w:pPr>
        <w:ind w:left="2812" w:hanging="360"/>
      </w:pPr>
      <w:rPr>
        <w:rFonts w:hint="default"/>
        <w:lang w:val="en-US" w:eastAsia="en-US" w:bidi="ar-SA"/>
      </w:rPr>
    </w:lvl>
    <w:lvl w:ilvl="5" w:tplc="22DCB636">
      <w:numFmt w:val="bullet"/>
      <w:lvlText w:val="•"/>
      <w:lvlJc w:val="left"/>
      <w:pPr>
        <w:ind w:left="3065" w:hanging="360"/>
      </w:pPr>
      <w:rPr>
        <w:rFonts w:hint="default"/>
        <w:lang w:val="en-US" w:eastAsia="en-US" w:bidi="ar-SA"/>
      </w:rPr>
    </w:lvl>
    <w:lvl w:ilvl="6" w:tplc="D62A9FF0">
      <w:numFmt w:val="bullet"/>
      <w:lvlText w:val="•"/>
      <w:lvlJc w:val="left"/>
      <w:pPr>
        <w:ind w:left="3318" w:hanging="360"/>
      </w:pPr>
      <w:rPr>
        <w:rFonts w:hint="default"/>
        <w:lang w:val="en-US" w:eastAsia="en-US" w:bidi="ar-SA"/>
      </w:rPr>
    </w:lvl>
    <w:lvl w:ilvl="7" w:tplc="3D50A8F4">
      <w:numFmt w:val="bullet"/>
      <w:lvlText w:val="•"/>
      <w:lvlJc w:val="left"/>
      <w:pPr>
        <w:ind w:left="3571" w:hanging="360"/>
      </w:pPr>
      <w:rPr>
        <w:rFonts w:hint="default"/>
        <w:lang w:val="en-US" w:eastAsia="en-US" w:bidi="ar-SA"/>
      </w:rPr>
    </w:lvl>
    <w:lvl w:ilvl="8" w:tplc="32488598">
      <w:numFmt w:val="bullet"/>
      <w:lvlText w:val="•"/>
      <w:lvlJc w:val="left"/>
      <w:pPr>
        <w:ind w:left="3824" w:hanging="360"/>
      </w:pPr>
      <w:rPr>
        <w:rFonts w:hint="default"/>
        <w:lang w:val="en-US" w:eastAsia="en-US" w:bidi="ar-SA"/>
      </w:rPr>
    </w:lvl>
  </w:abstractNum>
  <w:abstractNum w:abstractNumId="93" w15:restartNumberingAfterBreak="0">
    <w:nsid w:val="436539E4"/>
    <w:multiLevelType w:val="hybridMultilevel"/>
    <w:tmpl w:val="58CCE9F8"/>
    <w:lvl w:ilvl="0" w:tplc="89F88962">
      <w:numFmt w:val="bullet"/>
      <w:lvlText w:val="•"/>
      <w:lvlJc w:val="left"/>
      <w:pPr>
        <w:ind w:left="515" w:hanging="360"/>
      </w:pPr>
      <w:rPr>
        <w:rFonts w:ascii="Trebuchet MS" w:eastAsia="Trebuchet MS" w:hAnsi="Trebuchet MS" w:cs="Trebuchet MS" w:hint="default"/>
        <w:b w:val="0"/>
        <w:bCs w:val="0"/>
        <w:i w:val="0"/>
        <w:iCs w:val="0"/>
        <w:spacing w:val="0"/>
        <w:w w:val="89"/>
        <w:sz w:val="18"/>
        <w:szCs w:val="18"/>
        <w:lang w:val="en-US" w:eastAsia="en-US" w:bidi="ar-SA"/>
      </w:rPr>
    </w:lvl>
    <w:lvl w:ilvl="1" w:tplc="0FE2CDFE">
      <w:numFmt w:val="bullet"/>
      <w:lvlText w:val="•"/>
      <w:lvlJc w:val="left"/>
      <w:pPr>
        <w:ind w:left="1237" w:hanging="360"/>
      </w:pPr>
      <w:rPr>
        <w:rFonts w:hint="default"/>
        <w:lang w:val="en-US" w:eastAsia="en-US" w:bidi="ar-SA"/>
      </w:rPr>
    </w:lvl>
    <w:lvl w:ilvl="2" w:tplc="0E669C2E">
      <w:numFmt w:val="bullet"/>
      <w:lvlText w:val="•"/>
      <w:lvlJc w:val="left"/>
      <w:pPr>
        <w:ind w:left="1954" w:hanging="360"/>
      </w:pPr>
      <w:rPr>
        <w:rFonts w:hint="default"/>
        <w:lang w:val="en-US" w:eastAsia="en-US" w:bidi="ar-SA"/>
      </w:rPr>
    </w:lvl>
    <w:lvl w:ilvl="3" w:tplc="1E0E46DE">
      <w:numFmt w:val="bullet"/>
      <w:lvlText w:val="•"/>
      <w:lvlJc w:val="left"/>
      <w:pPr>
        <w:ind w:left="2671" w:hanging="360"/>
      </w:pPr>
      <w:rPr>
        <w:rFonts w:hint="default"/>
        <w:lang w:val="en-US" w:eastAsia="en-US" w:bidi="ar-SA"/>
      </w:rPr>
    </w:lvl>
    <w:lvl w:ilvl="4" w:tplc="2DD25E34">
      <w:numFmt w:val="bullet"/>
      <w:lvlText w:val="•"/>
      <w:lvlJc w:val="left"/>
      <w:pPr>
        <w:ind w:left="3389" w:hanging="360"/>
      </w:pPr>
      <w:rPr>
        <w:rFonts w:hint="default"/>
        <w:lang w:val="en-US" w:eastAsia="en-US" w:bidi="ar-SA"/>
      </w:rPr>
    </w:lvl>
    <w:lvl w:ilvl="5" w:tplc="6152F98C">
      <w:numFmt w:val="bullet"/>
      <w:lvlText w:val="•"/>
      <w:lvlJc w:val="left"/>
      <w:pPr>
        <w:ind w:left="4106" w:hanging="360"/>
      </w:pPr>
      <w:rPr>
        <w:rFonts w:hint="default"/>
        <w:lang w:val="en-US" w:eastAsia="en-US" w:bidi="ar-SA"/>
      </w:rPr>
    </w:lvl>
    <w:lvl w:ilvl="6" w:tplc="0CF0963A">
      <w:numFmt w:val="bullet"/>
      <w:lvlText w:val="•"/>
      <w:lvlJc w:val="left"/>
      <w:pPr>
        <w:ind w:left="4823" w:hanging="360"/>
      </w:pPr>
      <w:rPr>
        <w:rFonts w:hint="default"/>
        <w:lang w:val="en-US" w:eastAsia="en-US" w:bidi="ar-SA"/>
      </w:rPr>
    </w:lvl>
    <w:lvl w:ilvl="7" w:tplc="B9CA2092">
      <w:numFmt w:val="bullet"/>
      <w:lvlText w:val="•"/>
      <w:lvlJc w:val="left"/>
      <w:pPr>
        <w:ind w:left="5541" w:hanging="360"/>
      </w:pPr>
      <w:rPr>
        <w:rFonts w:hint="default"/>
        <w:lang w:val="en-US" w:eastAsia="en-US" w:bidi="ar-SA"/>
      </w:rPr>
    </w:lvl>
    <w:lvl w:ilvl="8" w:tplc="DA8266B2">
      <w:numFmt w:val="bullet"/>
      <w:lvlText w:val="•"/>
      <w:lvlJc w:val="left"/>
      <w:pPr>
        <w:ind w:left="6258" w:hanging="360"/>
      </w:pPr>
      <w:rPr>
        <w:rFonts w:hint="default"/>
        <w:lang w:val="en-US" w:eastAsia="en-US" w:bidi="ar-SA"/>
      </w:rPr>
    </w:lvl>
  </w:abstractNum>
  <w:abstractNum w:abstractNumId="94" w15:restartNumberingAfterBreak="0">
    <w:nsid w:val="436F3E25"/>
    <w:multiLevelType w:val="hybridMultilevel"/>
    <w:tmpl w:val="972AA11A"/>
    <w:lvl w:ilvl="0" w:tplc="F806C882">
      <w:numFmt w:val="bullet"/>
      <w:lvlText w:val=""/>
      <w:lvlJc w:val="left"/>
      <w:pPr>
        <w:ind w:left="863" w:hanging="360"/>
      </w:pPr>
      <w:rPr>
        <w:rFonts w:ascii="Symbol" w:eastAsia="Symbol" w:hAnsi="Symbol" w:cs="Symbol" w:hint="default"/>
        <w:b w:val="0"/>
        <w:bCs w:val="0"/>
        <w:i w:val="0"/>
        <w:iCs w:val="0"/>
        <w:spacing w:val="0"/>
        <w:w w:val="99"/>
        <w:sz w:val="20"/>
        <w:szCs w:val="20"/>
        <w:lang w:val="en-US" w:eastAsia="en-US" w:bidi="ar-SA"/>
      </w:rPr>
    </w:lvl>
    <w:lvl w:ilvl="1" w:tplc="A72A69F6">
      <w:numFmt w:val="bullet"/>
      <w:lvlText w:val="•"/>
      <w:lvlJc w:val="left"/>
      <w:pPr>
        <w:ind w:left="1723" w:hanging="360"/>
      </w:pPr>
      <w:rPr>
        <w:rFonts w:hint="default"/>
        <w:lang w:val="en-US" w:eastAsia="en-US" w:bidi="ar-SA"/>
      </w:rPr>
    </w:lvl>
    <w:lvl w:ilvl="2" w:tplc="7C6A7044">
      <w:numFmt w:val="bullet"/>
      <w:lvlText w:val="•"/>
      <w:lvlJc w:val="left"/>
      <w:pPr>
        <w:ind w:left="2587" w:hanging="360"/>
      </w:pPr>
      <w:rPr>
        <w:rFonts w:hint="default"/>
        <w:lang w:val="en-US" w:eastAsia="en-US" w:bidi="ar-SA"/>
      </w:rPr>
    </w:lvl>
    <w:lvl w:ilvl="3" w:tplc="847AAA94">
      <w:numFmt w:val="bullet"/>
      <w:lvlText w:val="•"/>
      <w:lvlJc w:val="left"/>
      <w:pPr>
        <w:ind w:left="3451" w:hanging="360"/>
      </w:pPr>
      <w:rPr>
        <w:rFonts w:hint="default"/>
        <w:lang w:val="en-US" w:eastAsia="en-US" w:bidi="ar-SA"/>
      </w:rPr>
    </w:lvl>
    <w:lvl w:ilvl="4" w:tplc="7882A36C">
      <w:numFmt w:val="bullet"/>
      <w:lvlText w:val="•"/>
      <w:lvlJc w:val="left"/>
      <w:pPr>
        <w:ind w:left="4315" w:hanging="360"/>
      </w:pPr>
      <w:rPr>
        <w:rFonts w:hint="default"/>
        <w:lang w:val="en-US" w:eastAsia="en-US" w:bidi="ar-SA"/>
      </w:rPr>
    </w:lvl>
    <w:lvl w:ilvl="5" w:tplc="E9A2874A">
      <w:numFmt w:val="bullet"/>
      <w:lvlText w:val="•"/>
      <w:lvlJc w:val="left"/>
      <w:pPr>
        <w:ind w:left="5179" w:hanging="360"/>
      </w:pPr>
      <w:rPr>
        <w:rFonts w:hint="default"/>
        <w:lang w:val="en-US" w:eastAsia="en-US" w:bidi="ar-SA"/>
      </w:rPr>
    </w:lvl>
    <w:lvl w:ilvl="6" w:tplc="AB429762">
      <w:numFmt w:val="bullet"/>
      <w:lvlText w:val="•"/>
      <w:lvlJc w:val="left"/>
      <w:pPr>
        <w:ind w:left="6043" w:hanging="360"/>
      </w:pPr>
      <w:rPr>
        <w:rFonts w:hint="default"/>
        <w:lang w:val="en-US" w:eastAsia="en-US" w:bidi="ar-SA"/>
      </w:rPr>
    </w:lvl>
    <w:lvl w:ilvl="7" w:tplc="EF4A7C12">
      <w:numFmt w:val="bullet"/>
      <w:lvlText w:val="•"/>
      <w:lvlJc w:val="left"/>
      <w:pPr>
        <w:ind w:left="6906" w:hanging="360"/>
      </w:pPr>
      <w:rPr>
        <w:rFonts w:hint="default"/>
        <w:lang w:val="en-US" w:eastAsia="en-US" w:bidi="ar-SA"/>
      </w:rPr>
    </w:lvl>
    <w:lvl w:ilvl="8" w:tplc="28E682CA">
      <w:numFmt w:val="bullet"/>
      <w:lvlText w:val="•"/>
      <w:lvlJc w:val="left"/>
      <w:pPr>
        <w:ind w:left="7770" w:hanging="360"/>
      </w:pPr>
      <w:rPr>
        <w:rFonts w:hint="default"/>
        <w:lang w:val="en-US" w:eastAsia="en-US" w:bidi="ar-SA"/>
      </w:rPr>
    </w:lvl>
  </w:abstractNum>
  <w:abstractNum w:abstractNumId="95" w15:restartNumberingAfterBreak="0">
    <w:nsid w:val="43750F2A"/>
    <w:multiLevelType w:val="hybridMultilevel"/>
    <w:tmpl w:val="BBF4232C"/>
    <w:lvl w:ilvl="0" w:tplc="D8745124">
      <w:numFmt w:val="bullet"/>
      <w:lvlText w:val="•"/>
      <w:lvlJc w:val="left"/>
      <w:pPr>
        <w:ind w:left="452" w:hanging="360"/>
      </w:pPr>
      <w:rPr>
        <w:rFonts w:ascii="Trebuchet MS" w:eastAsia="Trebuchet MS" w:hAnsi="Trebuchet MS" w:cs="Trebuchet MS" w:hint="default"/>
        <w:b w:val="0"/>
        <w:bCs w:val="0"/>
        <w:i w:val="0"/>
        <w:iCs w:val="0"/>
        <w:spacing w:val="0"/>
        <w:w w:val="89"/>
        <w:sz w:val="18"/>
        <w:szCs w:val="18"/>
        <w:lang w:val="en-US" w:eastAsia="en-US" w:bidi="ar-SA"/>
      </w:rPr>
    </w:lvl>
    <w:lvl w:ilvl="1" w:tplc="6C6E58A8">
      <w:numFmt w:val="bullet"/>
      <w:lvlText w:val="•"/>
      <w:lvlJc w:val="left"/>
      <w:pPr>
        <w:ind w:left="1189" w:hanging="360"/>
      </w:pPr>
      <w:rPr>
        <w:rFonts w:hint="default"/>
        <w:lang w:val="en-US" w:eastAsia="en-US" w:bidi="ar-SA"/>
      </w:rPr>
    </w:lvl>
    <w:lvl w:ilvl="2" w:tplc="BA7CD8DC">
      <w:numFmt w:val="bullet"/>
      <w:lvlText w:val="•"/>
      <w:lvlJc w:val="left"/>
      <w:pPr>
        <w:ind w:left="1919" w:hanging="360"/>
      </w:pPr>
      <w:rPr>
        <w:rFonts w:hint="default"/>
        <w:lang w:val="en-US" w:eastAsia="en-US" w:bidi="ar-SA"/>
      </w:rPr>
    </w:lvl>
    <w:lvl w:ilvl="3" w:tplc="30A6BEAE">
      <w:numFmt w:val="bullet"/>
      <w:lvlText w:val="•"/>
      <w:lvlJc w:val="left"/>
      <w:pPr>
        <w:ind w:left="2648" w:hanging="360"/>
      </w:pPr>
      <w:rPr>
        <w:rFonts w:hint="default"/>
        <w:lang w:val="en-US" w:eastAsia="en-US" w:bidi="ar-SA"/>
      </w:rPr>
    </w:lvl>
    <w:lvl w:ilvl="4" w:tplc="8BA241E2">
      <w:numFmt w:val="bullet"/>
      <w:lvlText w:val="•"/>
      <w:lvlJc w:val="left"/>
      <w:pPr>
        <w:ind w:left="3378" w:hanging="360"/>
      </w:pPr>
      <w:rPr>
        <w:rFonts w:hint="default"/>
        <w:lang w:val="en-US" w:eastAsia="en-US" w:bidi="ar-SA"/>
      </w:rPr>
    </w:lvl>
    <w:lvl w:ilvl="5" w:tplc="11789D14">
      <w:numFmt w:val="bullet"/>
      <w:lvlText w:val="•"/>
      <w:lvlJc w:val="left"/>
      <w:pPr>
        <w:ind w:left="4108" w:hanging="360"/>
      </w:pPr>
      <w:rPr>
        <w:rFonts w:hint="default"/>
        <w:lang w:val="en-US" w:eastAsia="en-US" w:bidi="ar-SA"/>
      </w:rPr>
    </w:lvl>
    <w:lvl w:ilvl="6" w:tplc="8120080A">
      <w:numFmt w:val="bullet"/>
      <w:lvlText w:val="•"/>
      <w:lvlJc w:val="left"/>
      <w:pPr>
        <w:ind w:left="4837" w:hanging="360"/>
      </w:pPr>
      <w:rPr>
        <w:rFonts w:hint="default"/>
        <w:lang w:val="en-US" w:eastAsia="en-US" w:bidi="ar-SA"/>
      </w:rPr>
    </w:lvl>
    <w:lvl w:ilvl="7" w:tplc="AB6CF6C4">
      <w:numFmt w:val="bullet"/>
      <w:lvlText w:val="•"/>
      <w:lvlJc w:val="left"/>
      <w:pPr>
        <w:ind w:left="5567" w:hanging="360"/>
      </w:pPr>
      <w:rPr>
        <w:rFonts w:hint="default"/>
        <w:lang w:val="en-US" w:eastAsia="en-US" w:bidi="ar-SA"/>
      </w:rPr>
    </w:lvl>
    <w:lvl w:ilvl="8" w:tplc="3DB6BB20">
      <w:numFmt w:val="bullet"/>
      <w:lvlText w:val="•"/>
      <w:lvlJc w:val="left"/>
      <w:pPr>
        <w:ind w:left="6296" w:hanging="360"/>
      </w:pPr>
      <w:rPr>
        <w:rFonts w:hint="default"/>
        <w:lang w:val="en-US" w:eastAsia="en-US" w:bidi="ar-SA"/>
      </w:rPr>
    </w:lvl>
  </w:abstractNum>
  <w:abstractNum w:abstractNumId="96" w15:restartNumberingAfterBreak="0">
    <w:nsid w:val="43A857DE"/>
    <w:multiLevelType w:val="hybridMultilevel"/>
    <w:tmpl w:val="7238353C"/>
    <w:lvl w:ilvl="0" w:tplc="C4883382">
      <w:numFmt w:val="bullet"/>
      <w:lvlText w:val="•"/>
      <w:lvlJc w:val="left"/>
      <w:pPr>
        <w:ind w:left="455" w:hanging="360"/>
      </w:pPr>
      <w:rPr>
        <w:rFonts w:ascii="Trebuchet MS" w:eastAsia="Trebuchet MS" w:hAnsi="Trebuchet MS" w:cs="Trebuchet MS" w:hint="default"/>
        <w:b w:val="0"/>
        <w:bCs w:val="0"/>
        <w:i w:val="0"/>
        <w:iCs w:val="0"/>
        <w:spacing w:val="0"/>
        <w:w w:val="89"/>
        <w:sz w:val="18"/>
        <w:szCs w:val="18"/>
        <w:lang w:val="en-US" w:eastAsia="en-US" w:bidi="ar-SA"/>
      </w:rPr>
    </w:lvl>
    <w:lvl w:ilvl="1" w:tplc="6E42628C">
      <w:numFmt w:val="bullet"/>
      <w:lvlText w:val="•"/>
      <w:lvlJc w:val="left"/>
      <w:pPr>
        <w:ind w:left="1115" w:hanging="360"/>
      </w:pPr>
      <w:rPr>
        <w:rFonts w:hint="default"/>
        <w:lang w:val="en-US" w:eastAsia="en-US" w:bidi="ar-SA"/>
      </w:rPr>
    </w:lvl>
    <w:lvl w:ilvl="2" w:tplc="EE664852">
      <w:numFmt w:val="bullet"/>
      <w:lvlText w:val="•"/>
      <w:lvlJc w:val="left"/>
      <w:pPr>
        <w:ind w:left="1771" w:hanging="360"/>
      </w:pPr>
      <w:rPr>
        <w:rFonts w:hint="default"/>
        <w:lang w:val="en-US" w:eastAsia="en-US" w:bidi="ar-SA"/>
      </w:rPr>
    </w:lvl>
    <w:lvl w:ilvl="3" w:tplc="D802429E">
      <w:numFmt w:val="bullet"/>
      <w:lvlText w:val="•"/>
      <w:lvlJc w:val="left"/>
      <w:pPr>
        <w:ind w:left="2426" w:hanging="360"/>
      </w:pPr>
      <w:rPr>
        <w:rFonts w:hint="default"/>
        <w:lang w:val="en-US" w:eastAsia="en-US" w:bidi="ar-SA"/>
      </w:rPr>
    </w:lvl>
    <w:lvl w:ilvl="4" w:tplc="3154CDE8">
      <w:numFmt w:val="bullet"/>
      <w:lvlText w:val="•"/>
      <w:lvlJc w:val="left"/>
      <w:pPr>
        <w:ind w:left="3082" w:hanging="360"/>
      </w:pPr>
      <w:rPr>
        <w:rFonts w:hint="default"/>
        <w:lang w:val="en-US" w:eastAsia="en-US" w:bidi="ar-SA"/>
      </w:rPr>
    </w:lvl>
    <w:lvl w:ilvl="5" w:tplc="E6F8652E">
      <w:numFmt w:val="bullet"/>
      <w:lvlText w:val="•"/>
      <w:lvlJc w:val="left"/>
      <w:pPr>
        <w:ind w:left="3737" w:hanging="360"/>
      </w:pPr>
      <w:rPr>
        <w:rFonts w:hint="default"/>
        <w:lang w:val="en-US" w:eastAsia="en-US" w:bidi="ar-SA"/>
      </w:rPr>
    </w:lvl>
    <w:lvl w:ilvl="6" w:tplc="F8BA7FAA">
      <w:numFmt w:val="bullet"/>
      <w:lvlText w:val="•"/>
      <w:lvlJc w:val="left"/>
      <w:pPr>
        <w:ind w:left="4393" w:hanging="360"/>
      </w:pPr>
      <w:rPr>
        <w:rFonts w:hint="default"/>
        <w:lang w:val="en-US" w:eastAsia="en-US" w:bidi="ar-SA"/>
      </w:rPr>
    </w:lvl>
    <w:lvl w:ilvl="7" w:tplc="FAD8DB06">
      <w:numFmt w:val="bullet"/>
      <w:lvlText w:val="•"/>
      <w:lvlJc w:val="left"/>
      <w:pPr>
        <w:ind w:left="5048" w:hanging="360"/>
      </w:pPr>
      <w:rPr>
        <w:rFonts w:hint="default"/>
        <w:lang w:val="en-US" w:eastAsia="en-US" w:bidi="ar-SA"/>
      </w:rPr>
    </w:lvl>
    <w:lvl w:ilvl="8" w:tplc="12C8C9EE">
      <w:numFmt w:val="bullet"/>
      <w:lvlText w:val="•"/>
      <w:lvlJc w:val="left"/>
      <w:pPr>
        <w:ind w:left="5704" w:hanging="360"/>
      </w:pPr>
      <w:rPr>
        <w:rFonts w:hint="default"/>
        <w:lang w:val="en-US" w:eastAsia="en-US" w:bidi="ar-SA"/>
      </w:rPr>
    </w:lvl>
  </w:abstractNum>
  <w:abstractNum w:abstractNumId="97" w15:restartNumberingAfterBreak="0">
    <w:nsid w:val="46E57B63"/>
    <w:multiLevelType w:val="hybridMultilevel"/>
    <w:tmpl w:val="9C68B848"/>
    <w:lvl w:ilvl="0" w:tplc="4B02F3D8">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5D7CC394">
      <w:numFmt w:val="bullet"/>
      <w:lvlText w:val="•"/>
      <w:lvlJc w:val="left"/>
      <w:pPr>
        <w:ind w:left="1723" w:hanging="360"/>
      </w:pPr>
      <w:rPr>
        <w:rFonts w:hint="default"/>
        <w:lang w:val="en-US" w:eastAsia="en-US" w:bidi="ar-SA"/>
      </w:rPr>
    </w:lvl>
    <w:lvl w:ilvl="2" w:tplc="A2065812">
      <w:numFmt w:val="bullet"/>
      <w:lvlText w:val="•"/>
      <w:lvlJc w:val="left"/>
      <w:pPr>
        <w:ind w:left="2587" w:hanging="360"/>
      </w:pPr>
      <w:rPr>
        <w:rFonts w:hint="default"/>
        <w:lang w:val="en-US" w:eastAsia="en-US" w:bidi="ar-SA"/>
      </w:rPr>
    </w:lvl>
    <w:lvl w:ilvl="3" w:tplc="06AEAED4">
      <w:numFmt w:val="bullet"/>
      <w:lvlText w:val="•"/>
      <w:lvlJc w:val="left"/>
      <w:pPr>
        <w:ind w:left="3451" w:hanging="360"/>
      </w:pPr>
      <w:rPr>
        <w:rFonts w:hint="default"/>
        <w:lang w:val="en-US" w:eastAsia="en-US" w:bidi="ar-SA"/>
      </w:rPr>
    </w:lvl>
    <w:lvl w:ilvl="4" w:tplc="9A0A0DC0">
      <w:numFmt w:val="bullet"/>
      <w:lvlText w:val="•"/>
      <w:lvlJc w:val="left"/>
      <w:pPr>
        <w:ind w:left="4315" w:hanging="360"/>
      </w:pPr>
      <w:rPr>
        <w:rFonts w:hint="default"/>
        <w:lang w:val="en-US" w:eastAsia="en-US" w:bidi="ar-SA"/>
      </w:rPr>
    </w:lvl>
    <w:lvl w:ilvl="5" w:tplc="F432E954">
      <w:numFmt w:val="bullet"/>
      <w:lvlText w:val="•"/>
      <w:lvlJc w:val="left"/>
      <w:pPr>
        <w:ind w:left="5179" w:hanging="360"/>
      </w:pPr>
      <w:rPr>
        <w:rFonts w:hint="default"/>
        <w:lang w:val="en-US" w:eastAsia="en-US" w:bidi="ar-SA"/>
      </w:rPr>
    </w:lvl>
    <w:lvl w:ilvl="6" w:tplc="D9869270">
      <w:numFmt w:val="bullet"/>
      <w:lvlText w:val="•"/>
      <w:lvlJc w:val="left"/>
      <w:pPr>
        <w:ind w:left="6043" w:hanging="360"/>
      </w:pPr>
      <w:rPr>
        <w:rFonts w:hint="default"/>
        <w:lang w:val="en-US" w:eastAsia="en-US" w:bidi="ar-SA"/>
      </w:rPr>
    </w:lvl>
    <w:lvl w:ilvl="7" w:tplc="6C383022">
      <w:numFmt w:val="bullet"/>
      <w:lvlText w:val="•"/>
      <w:lvlJc w:val="left"/>
      <w:pPr>
        <w:ind w:left="6906" w:hanging="360"/>
      </w:pPr>
      <w:rPr>
        <w:rFonts w:hint="default"/>
        <w:lang w:val="en-US" w:eastAsia="en-US" w:bidi="ar-SA"/>
      </w:rPr>
    </w:lvl>
    <w:lvl w:ilvl="8" w:tplc="FFE0D142">
      <w:numFmt w:val="bullet"/>
      <w:lvlText w:val="•"/>
      <w:lvlJc w:val="left"/>
      <w:pPr>
        <w:ind w:left="7770" w:hanging="360"/>
      </w:pPr>
      <w:rPr>
        <w:rFonts w:hint="default"/>
        <w:lang w:val="en-US" w:eastAsia="en-US" w:bidi="ar-SA"/>
      </w:rPr>
    </w:lvl>
  </w:abstractNum>
  <w:abstractNum w:abstractNumId="98" w15:restartNumberingAfterBreak="0">
    <w:nsid w:val="46EB69F1"/>
    <w:multiLevelType w:val="hybridMultilevel"/>
    <w:tmpl w:val="41A85ECC"/>
    <w:lvl w:ilvl="0" w:tplc="394EEB16">
      <w:numFmt w:val="bullet"/>
      <w:lvlText w:val="•"/>
      <w:lvlJc w:val="left"/>
      <w:pPr>
        <w:ind w:left="460" w:hanging="360"/>
      </w:pPr>
      <w:rPr>
        <w:rFonts w:ascii="Trebuchet MS" w:eastAsia="Trebuchet MS" w:hAnsi="Trebuchet MS" w:cs="Trebuchet MS" w:hint="default"/>
        <w:b w:val="0"/>
        <w:bCs w:val="0"/>
        <w:i w:val="0"/>
        <w:iCs w:val="0"/>
        <w:spacing w:val="0"/>
        <w:w w:val="89"/>
        <w:sz w:val="18"/>
        <w:szCs w:val="18"/>
        <w:lang w:val="en-US" w:eastAsia="en-US" w:bidi="ar-SA"/>
      </w:rPr>
    </w:lvl>
    <w:lvl w:ilvl="1" w:tplc="3B8CDDC6">
      <w:numFmt w:val="bullet"/>
      <w:lvlText w:val="•"/>
      <w:lvlJc w:val="left"/>
      <w:pPr>
        <w:ind w:left="1091" w:hanging="360"/>
      </w:pPr>
      <w:rPr>
        <w:rFonts w:hint="default"/>
        <w:lang w:val="en-US" w:eastAsia="en-US" w:bidi="ar-SA"/>
      </w:rPr>
    </w:lvl>
    <w:lvl w:ilvl="2" w:tplc="798C8782">
      <w:numFmt w:val="bullet"/>
      <w:lvlText w:val="•"/>
      <w:lvlJc w:val="left"/>
      <w:pPr>
        <w:ind w:left="1722" w:hanging="360"/>
      </w:pPr>
      <w:rPr>
        <w:rFonts w:hint="default"/>
        <w:lang w:val="en-US" w:eastAsia="en-US" w:bidi="ar-SA"/>
      </w:rPr>
    </w:lvl>
    <w:lvl w:ilvl="3" w:tplc="1F600A8E">
      <w:numFmt w:val="bullet"/>
      <w:lvlText w:val="•"/>
      <w:lvlJc w:val="left"/>
      <w:pPr>
        <w:ind w:left="2353" w:hanging="360"/>
      </w:pPr>
      <w:rPr>
        <w:rFonts w:hint="default"/>
        <w:lang w:val="en-US" w:eastAsia="en-US" w:bidi="ar-SA"/>
      </w:rPr>
    </w:lvl>
    <w:lvl w:ilvl="4" w:tplc="6E0A0908">
      <w:numFmt w:val="bullet"/>
      <w:lvlText w:val="•"/>
      <w:lvlJc w:val="left"/>
      <w:pPr>
        <w:ind w:left="2985" w:hanging="360"/>
      </w:pPr>
      <w:rPr>
        <w:rFonts w:hint="default"/>
        <w:lang w:val="en-US" w:eastAsia="en-US" w:bidi="ar-SA"/>
      </w:rPr>
    </w:lvl>
    <w:lvl w:ilvl="5" w:tplc="F1AAC378">
      <w:numFmt w:val="bullet"/>
      <w:lvlText w:val="•"/>
      <w:lvlJc w:val="left"/>
      <w:pPr>
        <w:ind w:left="3616" w:hanging="360"/>
      </w:pPr>
      <w:rPr>
        <w:rFonts w:hint="default"/>
        <w:lang w:val="en-US" w:eastAsia="en-US" w:bidi="ar-SA"/>
      </w:rPr>
    </w:lvl>
    <w:lvl w:ilvl="6" w:tplc="82B02D98">
      <w:numFmt w:val="bullet"/>
      <w:lvlText w:val="•"/>
      <w:lvlJc w:val="left"/>
      <w:pPr>
        <w:ind w:left="4247" w:hanging="360"/>
      </w:pPr>
      <w:rPr>
        <w:rFonts w:hint="default"/>
        <w:lang w:val="en-US" w:eastAsia="en-US" w:bidi="ar-SA"/>
      </w:rPr>
    </w:lvl>
    <w:lvl w:ilvl="7" w:tplc="96DE31AA">
      <w:numFmt w:val="bullet"/>
      <w:lvlText w:val="•"/>
      <w:lvlJc w:val="left"/>
      <w:pPr>
        <w:ind w:left="4879" w:hanging="360"/>
      </w:pPr>
      <w:rPr>
        <w:rFonts w:hint="default"/>
        <w:lang w:val="en-US" w:eastAsia="en-US" w:bidi="ar-SA"/>
      </w:rPr>
    </w:lvl>
    <w:lvl w:ilvl="8" w:tplc="AF6E7CA0">
      <w:numFmt w:val="bullet"/>
      <w:lvlText w:val="•"/>
      <w:lvlJc w:val="left"/>
      <w:pPr>
        <w:ind w:left="5510" w:hanging="360"/>
      </w:pPr>
      <w:rPr>
        <w:rFonts w:hint="default"/>
        <w:lang w:val="en-US" w:eastAsia="en-US" w:bidi="ar-SA"/>
      </w:rPr>
    </w:lvl>
  </w:abstractNum>
  <w:abstractNum w:abstractNumId="99" w15:restartNumberingAfterBreak="0">
    <w:nsid w:val="47C34B84"/>
    <w:multiLevelType w:val="hybridMultilevel"/>
    <w:tmpl w:val="99DC1698"/>
    <w:lvl w:ilvl="0" w:tplc="101082E0">
      <w:numFmt w:val="bullet"/>
      <w:lvlText w:val="•"/>
      <w:lvlJc w:val="left"/>
      <w:pPr>
        <w:ind w:left="539" w:hanging="360"/>
      </w:pPr>
      <w:rPr>
        <w:rFonts w:ascii="Trebuchet MS" w:eastAsia="Trebuchet MS" w:hAnsi="Trebuchet MS" w:cs="Trebuchet MS" w:hint="default"/>
        <w:b w:val="0"/>
        <w:bCs w:val="0"/>
        <w:i w:val="0"/>
        <w:iCs w:val="0"/>
        <w:spacing w:val="0"/>
        <w:w w:val="89"/>
        <w:sz w:val="18"/>
        <w:szCs w:val="18"/>
        <w:lang w:val="en-US" w:eastAsia="en-US" w:bidi="ar-SA"/>
      </w:rPr>
    </w:lvl>
    <w:lvl w:ilvl="1" w:tplc="410E079A">
      <w:numFmt w:val="bullet"/>
      <w:lvlText w:val="•"/>
      <w:lvlJc w:val="left"/>
      <w:pPr>
        <w:ind w:left="1252" w:hanging="360"/>
      </w:pPr>
      <w:rPr>
        <w:rFonts w:hint="default"/>
        <w:lang w:val="en-US" w:eastAsia="en-US" w:bidi="ar-SA"/>
      </w:rPr>
    </w:lvl>
    <w:lvl w:ilvl="2" w:tplc="15F81520">
      <w:numFmt w:val="bullet"/>
      <w:lvlText w:val="•"/>
      <w:lvlJc w:val="left"/>
      <w:pPr>
        <w:ind w:left="1965" w:hanging="360"/>
      </w:pPr>
      <w:rPr>
        <w:rFonts w:hint="default"/>
        <w:lang w:val="en-US" w:eastAsia="en-US" w:bidi="ar-SA"/>
      </w:rPr>
    </w:lvl>
    <w:lvl w:ilvl="3" w:tplc="E74272F0">
      <w:numFmt w:val="bullet"/>
      <w:lvlText w:val="•"/>
      <w:lvlJc w:val="left"/>
      <w:pPr>
        <w:ind w:left="2678" w:hanging="360"/>
      </w:pPr>
      <w:rPr>
        <w:rFonts w:hint="default"/>
        <w:lang w:val="en-US" w:eastAsia="en-US" w:bidi="ar-SA"/>
      </w:rPr>
    </w:lvl>
    <w:lvl w:ilvl="4" w:tplc="F4260E94">
      <w:numFmt w:val="bullet"/>
      <w:lvlText w:val="•"/>
      <w:lvlJc w:val="left"/>
      <w:pPr>
        <w:ind w:left="3391" w:hanging="360"/>
      </w:pPr>
      <w:rPr>
        <w:rFonts w:hint="default"/>
        <w:lang w:val="en-US" w:eastAsia="en-US" w:bidi="ar-SA"/>
      </w:rPr>
    </w:lvl>
    <w:lvl w:ilvl="5" w:tplc="9FAE76F4">
      <w:numFmt w:val="bullet"/>
      <w:lvlText w:val="•"/>
      <w:lvlJc w:val="left"/>
      <w:pPr>
        <w:ind w:left="4104" w:hanging="360"/>
      </w:pPr>
      <w:rPr>
        <w:rFonts w:hint="default"/>
        <w:lang w:val="en-US" w:eastAsia="en-US" w:bidi="ar-SA"/>
      </w:rPr>
    </w:lvl>
    <w:lvl w:ilvl="6" w:tplc="E9840AFA">
      <w:numFmt w:val="bullet"/>
      <w:lvlText w:val="•"/>
      <w:lvlJc w:val="left"/>
      <w:pPr>
        <w:ind w:left="4817" w:hanging="360"/>
      </w:pPr>
      <w:rPr>
        <w:rFonts w:hint="default"/>
        <w:lang w:val="en-US" w:eastAsia="en-US" w:bidi="ar-SA"/>
      </w:rPr>
    </w:lvl>
    <w:lvl w:ilvl="7" w:tplc="7C0C70E2">
      <w:numFmt w:val="bullet"/>
      <w:lvlText w:val="•"/>
      <w:lvlJc w:val="left"/>
      <w:pPr>
        <w:ind w:left="5530" w:hanging="360"/>
      </w:pPr>
      <w:rPr>
        <w:rFonts w:hint="default"/>
        <w:lang w:val="en-US" w:eastAsia="en-US" w:bidi="ar-SA"/>
      </w:rPr>
    </w:lvl>
    <w:lvl w:ilvl="8" w:tplc="14BE0CFC">
      <w:numFmt w:val="bullet"/>
      <w:lvlText w:val="•"/>
      <w:lvlJc w:val="left"/>
      <w:pPr>
        <w:ind w:left="6243" w:hanging="360"/>
      </w:pPr>
      <w:rPr>
        <w:rFonts w:hint="default"/>
        <w:lang w:val="en-US" w:eastAsia="en-US" w:bidi="ar-SA"/>
      </w:rPr>
    </w:lvl>
  </w:abstractNum>
  <w:abstractNum w:abstractNumId="100" w15:restartNumberingAfterBreak="0">
    <w:nsid w:val="487D382E"/>
    <w:multiLevelType w:val="hybridMultilevel"/>
    <w:tmpl w:val="1ADCE468"/>
    <w:lvl w:ilvl="0" w:tplc="FFC263F2">
      <w:numFmt w:val="bullet"/>
      <w:lvlText w:val="•"/>
      <w:lvlJc w:val="left"/>
      <w:pPr>
        <w:ind w:left="439" w:hanging="360"/>
      </w:pPr>
      <w:rPr>
        <w:rFonts w:ascii="Trebuchet MS" w:eastAsia="Trebuchet MS" w:hAnsi="Trebuchet MS" w:cs="Trebuchet MS" w:hint="default"/>
        <w:b w:val="0"/>
        <w:bCs w:val="0"/>
        <w:i w:val="0"/>
        <w:iCs w:val="0"/>
        <w:spacing w:val="0"/>
        <w:w w:val="89"/>
        <w:sz w:val="18"/>
        <w:szCs w:val="18"/>
        <w:lang w:val="en-US" w:eastAsia="en-US" w:bidi="ar-SA"/>
      </w:rPr>
    </w:lvl>
    <w:lvl w:ilvl="1" w:tplc="B36A7C66">
      <w:numFmt w:val="bullet"/>
      <w:lvlText w:val="•"/>
      <w:lvlJc w:val="left"/>
      <w:pPr>
        <w:ind w:left="1154" w:hanging="360"/>
      </w:pPr>
      <w:rPr>
        <w:rFonts w:hint="default"/>
        <w:lang w:val="en-US" w:eastAsia="en-US" w:bidi="ar-SA"/>
      </w:rPr>
    </w:lvl>
    <w:lvl w:ilvl="2" w:tplc="EE362C4A">
      <w:numFmt w:val="bullet"/>
      <w:lvlText w:val="•"/>
      <w:lvlJc w:val="left"/>
      <w:pPr>
        <w:ind w:left="1868" w:hanging="360"/>
      </w:pPr>
      <w:rPr>
        <w:rFonts w:hint="default"/>
        <w:lang w:val="en-US" w:eastAsia="en-US" w:bidi="ar-SA"/>
      </w:rPr>
    </w:lvl>
    <w:lvl w:ilvl="3" w:tplc="9E9445C4">
      <w:numFmt w:val="bullet"/>
      <w:lvlText w:val="•"/>
      <w:lvlJc w:val="left"/>
      <w:pPr>
        <w:ind w:left="2582" w:hanging="360"/>
      </w:pPr>
      <w:rPr>
        <w:rFonts w:hint="default"/>
        <w:lang w:val="en-US" w:eastAsia="en-US" w:bidi="ar-SA"/>
      </w:rPr>
    </w:lvl>
    <w:lvl w:ilvl="4" w:tplc="BEEC1672">
      <w:numFmt w:val="bullet"/>
      <w:lvlText w:val="•"/>
      <w:lvlJc w:val="left"/>
      <w:pPr>
        <w:ind w:left="3296" w:hanging="360"/>
      </w:pPr>
      <w:rPr>
        <w:rFonts w:hint="default"/>
        <w:lang w:val="en-US" w:eastAsia="en-US" w:bidi="ar-SA"/>
      </w:rPr>
    </w:lvl>
    <w:lvl w:ilvl="5" w:tplc="6BEA79A0">
      <w:numFmt w:val="bullet"/>
      <w:lvlText w:val="•"/>
      <w:lvlJc w:val="left"/>
      <w:pPr>
        <w:ind w:left="4011" w:hanging="360"/>
      </w:pPr>
      <w:rPr>
        <w:rFonts w:hint="default"/>
        <w:lang w:val="en-US" w:eastAsia="en-US" w:bidi="ar-SA"/>
      </w:rPr>
    </w:lvl>
    <w:lvl w:ilvl="6" w:tplc="7F7E9FEE">
      <w:numFmt w:val="bullet"/>
      <w:lvlText w:val="•"/>
      <w:lvlJc w:val="left"/>
      <w:pPr>
        <w:ind w:left="4725" w:hanging="360"/>
      </w:pPr>
      <w:rPr>
        <w:rFonts w:hint="default"/>
        <w:lang w:val="en-US" w:eastAsia="en-US" w:bidi="ar-SA"/>
      </w:rPr>
    </w:lvl>
    <w:lvl w:ilvl="7" w:tplc="EBA4A4B8">
      <w:numFmt w:val="bullet"/>
      <w:lvlText w:val="•"/>
      <w:lvlJc w:val="left"/>
      <w:pPr>
        <w:ind w:left="5439" w:hanging="360"/>
      </w:pPr>
      <w:rPr>
        <w:rFonts w:hint="default"/>
        <w:lang w:val="en-US" w:eastAsia="en-US" w:bidi="ar-SA"/>
      </w:rPr>
    </w:lvl>
    <w:lvl w:ilvl="8" w:tplc="BFE2BB1A">
      <w:numFmt w:val="bullet"/>
      <w:lvlText w:val="•"/>
      <w:lvlJc w:val="left"/>
      <w:pPr>
        <w:ind w:left="6153" w:hanging="360"/>
      </w:pPr>
      <w:rPr>
        <w:rFonts w:hint="default"/>
        <w:lang w:val="en-US" w:eastAsia="en-US" w:bidi="ar-SA"/>
      </w:rPr>
    </w:lvl>
  </w:abstractNum>
  <w:abstractNum w:abstractNumId="101" w15:restartNumberingAfterBreak="0">
    <w:nsid w:val="48C1489F"/>
    <w:multiLevelType w:val="hybridMultilevel"/>
    <w:tmpl w:val="8294D892"/>
    <w:lvl w:ilvl="0" w:tplc="F4562392">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07629170">
      <w:numFmt w:val="bullet"/>
      <w:lvlText w:val="•"/>
      <w:lvlJc w:val="left"/>
      <w:pPr>
        <w:ind w:left="1723" w:hanging="360"/>
      </w:pPr>
      <w:rPr>
        <w:rFonts w:hint="default"/>
        <w:lang w:val="en-US" w:eastAsia="en-US" w:bidi="ar-SA"/>
      </w:rPr>
    </w:lvl>
    <w:lvl w:ilvl="2" w:tplc="E5FED7E2">
      <w:numFmt w:val="bullet"/>
      <w:lvlText w:val="•"/>
      <w:lvlJc w:val="left"/>
      <w:pPr>
        <w:ind w:left="2587" w:hanging="360"/>
      </w:pPr>
      <w:rPr>
        <w:rFonts w:hint="default"/>
        <w:lang w:val="en-US" w:eastAsia="en-US" w:bidi="ar-SA"/>
      </w:rPr>
    </w:lvl>
    <w:lvl w:ilvl="3" w:tplc="B78028A6">
      <w:numFmt w:val="bullet"/>
      <w:lvlText w:val="•"/>
      <w:lvlJc w:val="left"/>
      <w:pPr>
        <w:ind w:left="3451" w:hanging="360"/>
      </w:pPr>
      <w:rPr>
        <w:rFonts w:hint="default"/>
        <w:lang w:val="en-US" w:eastAsia="en-US" w:bidi="ar-SA"/>
      </w:rPr>
    </w:lvl>
    <w:lvl w:ilvl="4" w:tplc="D85E245A">
      <w:numFmt w:val="bullet"/>
      <w:lvlText w:val="•"/>
      <w:lvlJc w:val="left"/>
      <w:pPr>
        <w:ind w:left="4315" w:hanging="360"/>
      </w:pPr>
      <w:rPr>
        <w:rFonts w:hint="default"/>
        <w:lang w:val="en-US" w:eastAsia="en-US" w:bidi="ar-SA"/>
      </w:rPr>
    </w:lvl>
    <w:lvl w:ilvl="5" w:tplc="0D20D2B6">
      <w:numFmt w:val="bullet"/>
      <w:lvlText w:val="•"/>
      <w:lvlJc w:val="left"/>
      <w:pPr>
        <w:ind w:left="5179" w:hanging="360"/>
      </w:pPr>
      <w:rPr>
        <w:rFonts w:hint="default"/>
        <w:lang w:val="en-US" w:eastAsia="en-US" w:bidi="ar-SA"/>
      </w:rPr>
    </w:lvl>
    <w:lvl w:ilvl="6" w:tplc="0C4CFDD2">
      <w:numFmt w:val="bullet"/>
      <w:lvlText w:val="•"/>
      <w:lvlJc w:val="left"/>
      <w:pPr>
        <w:ind w:left="6043" w:hanging="360"/>
      </w:pPr>
      <w:rPr>
        <w:rFonts w:hint="default"/>
        <w:lang w:val="en-US" w:eastAsia="en-US" w:bidi="ar-SA"/>
      </w:rPr>
    </w:lvl>
    <w:lvl w:ilvl="7" w:tplc="F776128C">
      <w:numFmt w:val="bullet"/>
      <w:lvlText w:val="•"/>
      <w:lvlJc w:val="left"/>
      <w:pPr>
        <w:ind w:left="6906" w:hanging="360"/>
      </w:pPr>
      <w:rPr>
        <w:rFonts w:hint="default"/>
        <w:lang w:val="en-US" w:eastAsia="en-US" w:bidi="ar-SA"/>
      </w:rPr>
    </w:lvl>
    <w:lvl w:ilvl="8" w:tplc="CBEEEEE2">
      <w:numFmt w:val="bullet"/>
      <w:lvlText w:val="•"/>
      <w:lvlJc w:val="left"/>
      <w:pPr>
        <w:ind w:left="7770" w:hanging="360"/>
      </w:pPr>
      <w:rPr>
        <w:rFonts w:hint="default"/>
        <w:lang w:val="en-US" w:eastAsia="en-US" w:bidi="ar-SA"/>
      </w:rPr>
    </w:lvl>
  </w:abstractNum>
  <w:abstractNum w:abstractNumId="102" w15:restartNumberingAfterBreak="0">
    <w:nsid w:val="4AB4132F"/>
    <w:multiLevelType w:val="hybridMultilevel"/>
    <w:tmpl w:val="29807B2C"/>
    <w:lvl w:ilvl="0" w:tplc="DB6E91A0">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416C33DA">
      <w:numFmt w:val="bullet"/>
      <w:lvlText w:val="•"/>
      <w:lvlJc w:val="left"/>
      <w:pPr>
        <w:ind w:left="1752" w:hanging="360"/>
      </w:pPr>
      <w:rPr>
        <w:rFonts w:hint="default"/>
        <w:lang w:val="en-US" w:eastAsia="en-US" w:bidi="ar-SA"/>
      </w:rPr>
    </w:lvl>
    <w:lvl w:ilvl="2" w:tplc="AA30A7E8">
      <w:numFmt w:val="bullet"/>
      <w:lvlText w:val="•"/>
      <w:lvlJc w:val="left"/>
      <w:pPr>
        <w:ind w:left="2644" w:hanging="360"/>
      </w:pPr>
      <w:rPr>
        <w:rFonts w:hint="default"/>
        <w:lang w:val="en-US" w:eastAsia="en-US" w:bidi="ar-SA"/>
      </w:rPr>
    </w:lvl>
    <w:lvl w:ilvl="3" w:tplc="DD0C990C">
      <w:numFmt w:val="bullet"/>
      <w:lvlText w:val="•"/>
      <w:lvlJc w:val="left"/>
      <w:pPr>
        <w:ind w:left="3536" w:hanging="360"/>
      </w:pPr>
      <w:rPr>
        <w:rFonts w:hint="default"/>
        <w:lang w:val="en-US" w:eastAsia="en-US" w:bidi="ar-SA"/>
      </w:rPr>
    </w:lvl>
    <w:lvl w:ilvl="4" w:tplc="DC902F26">
      <w:numFmt w:val="bullet"/>
      <w:lvlText w:val="•"/>
      <w:lvlJc w:val="left"/>
      <w:pPr>
        <w:ind w:left="4428" w:hanging="360"/>
      </w:pPr>
      <w:rPr>
        <w:rFonts w:hint="default"/>
        <w:lang w:val="en-US" w:eastAsia="en-US" w:bidi="ar-SA"/>
      </w:rPr>
    </w:lvl>
    <w:lvl w:ilvl="5" w:tplc="4530A1A4">
      <w:numFmt w:val="bullet"/>
      <w:lvlText w:val="•"/>
      <w:lvlJc w:val="left"/>
      <w:pPr>
        <w:ind w:left="5320" w:hanging="360"/>
      </w:pPr>
      <w:rPr>
        <w:rFonts w:hint="default"/>
        <w:lang w:val="en-US" w:eastAsia="en-US" w:bidi="ar-SA"/>
      </w:rPr>
    </w:lvl>
    <w:lvl w:ilvl="6" w:tplc="8D9E7712">
      <w:numFmt w:val="bullet"/>
      <w:lvlText w:val="•"/>
      <w:lvlJc w:val="left"/>
      <w:pPr>
        <w:ind w:left="6212" w:hanging="360"/>
      </w:pPr>
      <w:rPr>
        <w:rFonts w:hint="default"/>
        <w:lang w:val="en-US" w:eastAsia="en-US" w:bidi="ar-SA"/>
      </w:rPr>
    </w:lvl>
    <w:lvl w:ilvl="7" w:tplc="867010A4">
      <w:numFmt w:val="bullet"/>
      <w:lvlText w:val="•"/>
      <w:lvlJc w:val="left"/>
      <w:pPr>
        <w:ind w:left="7104" w:hanging="360"/>
      </w:pPr>
      <w:rPr>
        <w:rFonts w:hint="default"/>
        <w:lang w:val="en-US" w:eastAsia="en-US" w:bidi="ar-SA"/>
      </w:rPr>
    </w:lvl>
    <w:lvl w:ilvl="8" w:tplc="E1029AE4">
      <w:numFmt w:val="bullet"/>
      <w:lvlText w:val="•"/>
      <w:lvlJc w:val="left"/>
      <w:pPr>
        <w:ind w:left="7997" w:hanging="360"/>
      </w:pPr>
      <w:rPr>
        <w:rFonts w:hint="default"/>
        <w:lang w:val="en-US" w:eastAsia="en-US" w:bidi="ar-SA"/>
      </w:rPr>
    </w:lvl>
  </w:abstractNum>
  <w:abstractNum w:abstractNumId="103" w15:restartNumberingAfterBreak="0">
    <w:nsid w:val="4B456D16"/>
    <w:multiLevelType w:val="hybridMultilevel"/>
    <w:tmpl w:val="52864DCA"/>
    <w:lvl w:ilvl="0" w:tplc="AE486DDC">
      <w:numFmt w:val="bullet"/>
      <w:lvlText w:val="•"/>
      <w:lvlJc w:val="left"/>
      <w:pPr>
        <w:ind w:left="516" w:hanging="360"/>
      </w:pPr>
      <w:rPr>
        <w:rFonts w:ascii="Trebuchet MS" w:eastAsia="Trebuchet MS" w:hAnsi="Trebuchet MS" w:cs="Trebuchet MS" w:hint="default"/>
        <w:b w:val="0"/>
        <w:bCs w:val="0"/>
        <w:i w:val="0"/>
        <w:iCs w:val="0"/>
        <w:spacing w:val="0"/>
        <w:w w:val="89"/>
        <w:sz w:val="18"/>
        <w:szCs w:val="18"/>
        <w:lang w:val="en-US" w:eastAsia="en-US" w:bidi="ar-SA"/>
      </w:rPr>
    </w:lvl>
    <w:lvl w:ilvl="1" w:tplc="1964758E">
      <w:numFmt w:val="bullet"/>
      <w:lvlText w:val="•"/>
      <w:lvlJc w:val="left"/>
      <w:pPr>
        <w:ind w:left="1237" w:hanging="360"/>
      </w:pPr>
      <w:rPr>
        <w:rFonts w:hint="default"/>
        <w:lang w:val="en-US" w:eastAsia="en-US" w:bidi="ar-SA"/>
      </w:rPr>
    </w:lvl>
    <w:lvl w:ilvl="2" w:tplc="3AA64DD0">
      <w:numFmt w:val="bullet"/>
      <w:lvlText w:val="•"/>
      <w:lvlJc w:val="left"/>
      <w:pPr>
        <w:ind w:left="1954" w:hanging="360"/>
      </w:pPr>
      <w:rPr>
        <w:rFonts w:hint="default"/>
        <w:lang w:val="en-US" w:eastAsia="en-US" w:bidi="ar-SA"/>
      </w:rPr>
    </w:lvl>
    <w:lvl w:ilvl="3" w:tplc="9E582DDC">
      <w:numFmt w:val="bullet"/>
      <w:lvlText w:val="•"/>
      <w:lvlJc w:val="left"/>
      <w:pPr>
        <w:ind w:left="2671" w:hanging="360"/>
      </w:pPr>
      <w:rPr>
        <w:rFonts w:hint="default"/>
        <w:lang w:val="en-US" w:eastAsia="en-US" w:bidi="ar-SA"/>
      </w:rPr>
    </w:lvl>
    <w:lvl w:ilvl="4" w:tplc="D302A61C">
      <w:numFmt w:val="bullet"/>
      <w:lvlText w:val="•"/>
      <w:lvlJc w:val="left"/>
      <w:pPr>
        <w:ind w:left="3388" w:hanging="360"/>
      </w:pPr>
      <w:rPr>
        <w:rFonts w:hint="default"/>
        <w:lang w:val="en-US" w:eastAsia="en-US" w:bidi="ar-SA"/>
      </w:rPr>
    </w:lvl>
    <w:lvl w:ilvl="5" w:tplc="22906146">
      <w:numFmt w:val="bullet"/>
      <w:lvlText w:val="•"/>
      <w:lvlJc w:val="left"/>
      <w:pPr>
        <w:ind w:left="4106" w:hanging="360"/>
      </w:pPr>
      <w:rPr>
        <w:rFonts w:hint="default"/>
        <w:lang w:val="en-US" w:eastAsia="en-US" w:bidi="ar-SA"/>
      </w:rPr>
    </w:lvl>
    <w:lvl w:ilvl="6" w:tplc="1E62F806">
      <w:numFmt w:val="bullet"/>
      <w:lvlText w:val="•"/>
      <w:lvlJc w:val="left"/>
      <w:pPr>
        <w:ind w:left="4823" w:hanging="360"/>
      </w:pPr>
      <w:rPr>
        <w:rFonts w:hint="default"/>
        <w:lang w:val="en-US" w:eastAsia="en-US" w:bidi="ar-SA"/>
      </w:rPr>
    </w:lvl>
    <w:lvl w:ilvl="7" w:tplc="C4102100">
      <w:numFmt w:val="bullet"/>
      <w:lvlText w:val="•"/>
      <w:lvlJc w:val="left"/>
      <w:pPr>
        <w:ind w:left="5540" w:hanging="360"/>
      </w:pPr>
      <w:rPr>
        <w:rFonts w:hint="default"/>
        <w:lang w:val="en-US" w:eastAsia="en-US" w:bidi="ar-SA"/>
      </w:rPr>
    </w:lvl>
    <w:lvl w:ilvl="8" w:tplc="55504CC4">
      <w:numFmt w:val="bullet"/>
      <w:lvlText w:val="•"/>
      <w:lvlJc w:val="left"/>
      <w:pPr>
        <w:ind w:left="6257" w:hanging="360"/>
      </w:pPr>
      <w:rPr>
        <w:rFonts w:hint="default"/>
        <w:lang w:val="en-US" w:eastAsia="en-US" w:bidi="ar-SA"/>
      </w:rPr>
    </w:lvl>
  </w:abstractNum>
  <w:abstractNum w:abstractNumId="104" w15:restartNumberingAfterBreak="0">
    <w:nsid w:val="4BA7014F"/>
    <w:multiLevelType w:val="hybridMultilevel"/>
    <w:tmpl w:val="CD52706C"/>
    <w:lvl w:ilvl="0" w:tplc="4D76FDEE">
      <w:numFmt w:val="bullet"/>
      <w:lvlText w:val="•"/>
      <w:lvlJc w:val="left"/>
      <w:pPr>
        <w:ind w:left="549" w:hanging="360"/>
      </w:pPr>
      <w:rPr>
        <w:rFonts w:ascii="Trebuchet MS" w:eastAsia="Trebuchet MS" w:hAnsi="Trebuchet MS" w:cs="Trebuchet MS" w:hint="default"/>
        <w:b w:val="0"/>
        <w:bCs w:val="0"/>
        <w:i w:val="0"/>
        <w:iCs w:val="0"/>
        <w:spacing w:val="0"/>
        <w:w w:val="89"/>
        <w:sz w:val="18"/>
        <w:szCs w:val="18"/>
        <w:lang w:val="en-US" w:eastAsia="en-US" w:bidi="ar-SA"/>
      </w:rPr>
    </w:lvl>
    <w:lvl w:ilvl="1" w:tplc="43CEA0F4">
      <w:numFmt w:val="bullet"/>
      <w:lvlText w:val="•"/>
      <w:lvlJc w:val="left"/>
      <w:pPr>
        <w:ind w:left="1073" w:hanging="360"/>
      </w:pPr>
      <w:rPr>
        <w:rFonts w:hint="default"/>
        <w:lang w:val="en-US" w:eastAsia="en-US" w:bidi="ar-SA"/>
      </w:rPr>
    </w:lvl>
    <w:lvl w:ilvl="2" w:tplc="21F4D14A">
      <w:numFmt w:val="bullet"/>
      <w:lvlText w:val="•"/>
      <w:lvlJc w:val="left"/>
      <w:pPr>
        <w:ind w:left="1606" w:hanging="360"/>
      </w:pPr>
      <w:rPr>
        <w:rFonts w:hint="default"/>
        <w:lang w:val="en-US" w:eastAsia="en-US" w:bidi="ar-SA"/>
      </w:rPr>
    </w:lvl>
    <w:lvl w:ilvl="3" w:tplc="8F7C0FBE">
      <w:numFmt w:val="bullet"/>
      <w:lvlText w:val="•"/>
      <w:lvlJc w:val="left"/>
      <w:pPr>
        <w:ind w:left="2139" w:hanging="360"/>
      </w:pPr>
      <w:rPr>
        <w:rFonts w:hint="default"/>
        <w:lang w:val="en-US" w:eastAsia="en-US" w:bidi="ar-SA"/>
      </w:rPr>
    </w:lvl>
    <w:lvl w:ilvl="4" w:tplc="3DB6DAB2">
      <w:numFmt w:val="bullet"/>
      <w:lvlText w:val="•"/>
      <w:lvlJc w:val="left"/>
      <w:pPr>
        <w:ind w:left="2672" w:hanging="360"/>
      </w:pPr>
      <w:rPr>
        <w:rFonts w:hint="default"/>
        <w:lang w:val="en-US" w:eastAsia="en-US" w:bidi="ar-SA"/>
      </w:rPr>
    </w:lvl>
    <w:lvl w:ilvl="5" w:tplc="8B5012AE">
      <w:numFmt w:val="bullet"/>
      <w:lvlText w:val="•"/>
      <w:lvlJc w:val="left"/>
      <w:pPr>
        <w:ind w:left="3206" w:hanging="360"/>
      </w:pPr>
      <w:rPr>
        <w:rFonts w:hint="default"/>
        <w:lang w:val="en-US" w:eastAsia="en-US" w:bidi="ar-SA"/>
      </w:rPr>
    </w:lvl>
    <w:lvl w:ilvl="6" w:tplc="FE8E1F48">
      <w:numFmt w:val="bullet"/>
      <w:lvlText w:val="•"/>
      <w:lvlJc w:val="left"/>
      <w:pPr>
        <w:ind w:left="3739" w:hanging="360"/>
      </w:pPr>
      <w:rPr>
        <w:rFonts w:hint="default"/>
        <w:lang w:val="en-US" w:eastAsia="en-US" w:bidi="ar-SA"/>
      </w:rPr>
    </w:lvl>
    <w:lvl w:ilvl="7" w:tplc="59C2DA04">
      <w:numFmt w:val="bullet"/>
      <w:lvlText w:val="•"/>
      <w:lvlJc w:val="left"/>
      <w:pPr>
        <w:ind w:left="4272" w:hanging="360"/>
      </w:pPr>
      <w:rPr>
        <w:rFonts w:hint="default"/>
        <w:lang w:val="en-US" w:eastAsia="en-US" w:bidi="ar-SA"/>
      </w:rPr>
    </w:lvl>
    <w:lvl w:ilvl="8" w:tplc="58C2784C">
      <w:numFmt w:val="bullet"/>
      <w:lvlText w:val="•"/>
      <w:lvlJc w:val="left"/>
      <w:pPr>
        <w:ind w:left="4805" w:hanging="360"/>
      </w:pPr>
      <w:rPr>
        <w:rFonts w:hint="default"/>
        <w:lang w:val="en-US" w:eastAsia="en-US" w:bidi="ar-SA"/>
      </w:rPr>
    </w:lvl>
  </w:abstractNum>
  <w:abstractNum w:abstractNumId="105" w15:restartNumberingAfterBreak="0">
    <w:nsid w:val="4C784EE4"/>
    <w:multiLevelType w:val="hybridMultilevel"/>
    <w:tmpl w:val="7CCC0EB8"/>
    <w:lvl w:ilvl="0" w:tplc="EC727726">
      <w:numFmt w:val="bullet"/>
      <w:lvlText w:val="•"/>
      <w:lvlJc w:val="left"/>
      <w:pPr>
        <w:ind w:left="533" w:hanging="360"/>
      </w:pPr>
      <w:rPr>
        <w:rFonts w:ascii="Trebuchet MS" w:eastAsia="Trebuchet MS" w:hAnsi="Trebuchet MS" w:cs="Trebuchet MS" w:hint="default"/>
        <w:b w:val="0"/>
        <w:bCs w:val="0"/>
        <w:i w:val="0"/>
        <w:iCs w:val="0"/>
        <w:spacing w:val="0"/>
        <w:w w:val="89"/>
        <w:sz w:val="18"/>
        <w:szCs w:val="18"/>
        <w:lang w:val="en-US" w:eastAsia="en-US" w:bidi="ar-SA"/>
      </w:rPr>
    </w:lvl>
    <w:lvl w:ilvl="1" w:tplc="62B42DA6">
      <w:numFmt w:val="bullet"/>
      <w:lvlText w:val="•"/>
      <w:lvlJc w:val="left"/>
      <w:pPr>
        <w:ind w:left="1253" w:hanging="360"/>
      </w:pPr>
      <w:rPr>
        <w:rFonts w:hint="default"/>
        <w:lang w:val="en-US" w:eastAsia="en-US" w:bidi="ar-SA"/>
      </w:rPr>
    </w:lvl>
    <w:lvl w:ilvl="2" w:tplc="B310129A">
      <w:numFmt w:val="bullet"/>
      <w:lvlText w:val="•"/>
      <w:lvlJc w:val="left"/>
      <w:pPr>
        <w:ind w:left="1967" w:hanging="360"/>
      </w:pPr>
      <w:rPr>
        <w:rFonts w:hint="default"/>
        <w:lang w:val="en-US" w:eastAsia="en-US" w:bidi="ar-SA"/>
      </w:rPr>
    </w:lvl>
    <w:lvl w:ilvl="3" w:tplc="0C1E55D8">
      <w:numFmt w:val="bullet"/>
      <w:lvlText w:val="•"/>
      <w:lvlJc w:val="left"/>
      <w:pPr>
        <w:ind w:left="2680" w:hanging="360"/>
      </w:pPr>
      <w:rPr>
        <w:rFonts w:hint="default"/>
        <w:lang w:val="en-US" w:eastAsia="en-US" w:bidi="ar-SA"/>
      </w:rPr>
    </w:lvl>
    <w:lvl w:ilvl="4" w:tplc="C9A09ECC">
      <w:numFmt w:val="bullet"/>
      <w:lvlText w:val="•"/>
      <w:lvlJc w:val="left"/>
      <w:pPr>
        <w:ind w:left="3394" w:hanging="360"/>
      </w:pPr>
      <w:rPr>
        <w:rFonts w:hint="default"/>
        <w:lang w:val="en-US" w:eastAsia="en-US" w:bidi="ar-SA"/>
      </w:rPr>
    </w:lvl>
    <w:lvl w:ilvl="5" w:tplc="A19C8828">
      <w:numFmt w:val="bullet"/>
      <w:lvlText w:val="•"/>
      <w:lvlJc w:val="left"/>
      <w:pPr>
        <w:ind w:left="4107" w:hanging="360"/>
      </w:pPr>
      <w:rPr>
        <w:rFonts w:hint="default"/>
        <w:lang w:val="en-US" w:eastAsia="en-US" w:bidi="ar-SA"/>
      </w:rPr>
    </w:lvl>
    <w:lvl w:ilvl="6" w:tplc="01BCFDA0">
      <w:numFmt w:val="bullet"/>
      <w:lvlText w:val="•"/>
      <w:lvlJc w:val="left"/>
      <w:pPr>
        <w:ind w:left="4821" w:hanging="360"/>
      </w:pPr>
      <w:rPr>
        <w:rFonts w:hint="default"/>
        <w:lang w:val="en-US" w:eastAsia="en-US" w:bidi="ar-SA"/>
      </w:rPr>
    </w:lvl>
    <w:lvl w:ilvl="7" w:tplc="A7BA1EFE">
      <w:numFmt w:val="bullet"/>
      <w:lvlText w:val="•"/>
      <w:lvlJc w:val="left"/>
      <w:pPr>
        <w:ind w:left="5534" w:hanging="360"/>
      </w:pPr>
      <w:rPr>
        <w:rFonts w:hint="default"/>
        <w:lang w:val="en-US" w:eastAsia="en-US" w:bidi="ar-SA"/>
      </w:rPr>
    </w:lvl>
    <w:lvl w:ilvl="8" w:tplc="7006114A">
      <w:numFmt w:val="bullet"/>
      <w:lvlText w:val="•"/>
      <w:lvlJc w:val="left"/>
      <w:pPr>
        <w:ind w:left="6248" w:hanging="360"/>
      </w:pPr>
      <w:rPr>
        <w:rFonts w:hint="default"/>
        <w:lang w:val="en-US" w:eastAsia="en-US" w:bidi="ar-SA"/>
      </w:rPr>
    </w:lvl>
  </w:abstractNum>
  <w:abstractNum w:abstractNumId="106" w15:restartNumberingAfterBreak="0">
    <w:nsid w:val="4F6F20B6"/>
    <w:multiLevelType w:val="hybridMultilevel"/>
    <w:tmpl w:val="2A6A9D5C"/>
    <w:lvl w:ilvl="0" w:tplc="7C006764">
      <w:numFmt w:val="bullet"/>
      <w:lvlText w:val="•"/>
      <w:lvlJc w:val="left"/>
      <w:pPr>
        <w:ind w:left="456" w:hanging="360"/>
      </w:pPr>
      <w:rPr>
        <w:rFonts w:ascii="Trebuchet MS" w:eastAsia="Trebuchet MS" w:hAnsi="Trebuchet MS" w:cs="Trebuchet MS" w:hint="default"/>
        <w:b w:val="0"/>
        <w:bCs w:val="0"/>
        <w:i w:val="0"/>
        <w:iCs w:val="0"/>
        <w:spacing w:val="0"/>
        <w:w w:val="89"/>
        <w:sz w:val="18"/>
        <w:szCs w:val="18"/>
        <w:lang w:val="en-US" w:eastAsia="en-US" w:bidi="ar-SA"/>
      </w:rPr>
    </w:lvl>
    <w:lvl w:ilvl="1" w:tplc="04045714">
      <w:numFmt w:val="bullet"/>
      <w:lvlText w:val="•"/>
      <w:lvlJc w:val="left"/>
      <w:pPr>
        <w:ind w:left="1084" w:hanging="360"/>
      </w:pPr>
      <w:rPr>
        <w:rFonts w:hint="default"/>
        <w:lang w:val="en-US" w:eastAsia="en-US" w:bidi="ar-SA"/>
      </w:rPr>
    </w:lvl>
    <w:lvl w:ilvl="2" w:tplc="ED72DD0E">
      <w:numFmt w:val="bullet"/>
      <w:lvlText w:val="•"/>
      <w:lvlJc w:val="left"/>
      <w:pPr>
        <w:ind w:left="1709" w:hanging="360"/>
      </w:pPr>
      <w:rPr>
        <w:rFonts w:hint="default"/>
        <w:lang w:val="en-US" w:eastAsia="en-US" w:bidi="ar-SA"/>
      </w:rPr>
    </w:lvl>
    <w:lvl w:ilvl="3" w:tplc="2514BE4C">
      <w:numFmt w:val="bullet"/>
      <w:lvlText w:val="•"/>
      <w:lvlJc w:val="left"/>
      <w:pPr>
        <w:ind w:left="2334" w:hanging="360"/>
      </w:pPr>
      <w:rPr>
        <w:rFonts w:hint="default"/>
        <w:lang w:val="en-US" w:eastAsia="en-US" w:bidi="ar-SA"/>
      </w:rPr>
    </w:lvl>
    <w:lvl w:ilvl="4" w:tplc="FDB4671A">
      <w:numFmt w:val="bullet"/>
      <w:lvlText w:val="•"/>
      <w:lvlJc w:val="left"/>
      <w:pPr>
        <w:ind w:left="2959" w:hanging="360"/>
      </w:pPr>
      <w:rPr>
        <w:rFonts w:hint="default"/>
        <w:lang w:val="en-US" w:eastAsia="en-US" w:bidi="ar-SA"/>
      </w:rPr>
    </w:lvl>
    <w:lvl w:ilvl="5" w:tplc="E7F42184">
      <w:numFmt w:val="bullet"/>
      <w:lvlText w:val="•"/>
      <w:lvlJc w:val="left"/>
      <w:pPr>
        <w:ind w:left="3584" w:hanging="360"/>
      </w:pPr>
      <w:rPr>
        <w:rFonts w:hint="default"/>
        <w:lang w:val="en-US" w:eastAsia="en-US" w:bidi="ar-SA"/>
      </w:rPr>
    </w:lvl>
    <w:lvl w:ilvl="6" w:tplc="3F3E8180">
      <w:numFmt w:val="bullet"/>
      <w:lvlText w:val="•"/>
      <w:lvlJc w:val="left"/>
      <w:pPr>
        <w:ind w:left="4208" w:hanging="360"/>
      </w:pPr>
      <w:rPr>
        <w:rFonts w:hint="default"/>
        <w:lang w:val="en-US" w:eastAsia="en-US" w:bidi="ar-SA"/>
      </w:rPr>
    </w:lvl>
    <w:lvl w:ilvl="7" w:tplc="B11C2A22">
      <w:numFmt w:val="bullet"/>
      <w:lvlText w:val="•"/>
      <w:lvlJc w:val="left"/>
      <w:pPr>
        <w:ind w:left="4833" w:hanging="360"/>
      </w:pPr>
      <w:rPr>
        <w:rFonts w:hint="default"/>
        <w:lang w:val="en-US" w:eastAsia="en-US" w:bidi="ar-SA"/>
      </w:rPr>
    </w:lvl>
    <w:lvl w:ilvl="8" w:tplc="BEB25C92">
      <w:numFmt w:val="bullet"/>
      <w:lvlText w:val="•"/>
      <w:lvlJc w:val="left"/>
      <w:pPr>
        <w:ind w:left="5458" w:hanging="360"/>
      </w:pPr>
      <w:rPr>
        <w:rFonts w:hint="default"/>
        <w:lang w:val="en-US" w:eastAsia="en-US" w:bidi="ar-SA"/>
      </w:rPr>
    </w:lvl>
  </w:abstractNum>
  <w:abstractNum w:abstractNumId="107" w15:restartNumberingAfterBreak="0">
    <w:nsid w:val="4F891337"/>
    <w:multiLevelType w:val="hybridMultilevel"/>
    <w:tmpl w:val="AAD6515C"/>
    <w:lvl w:ilvl="0" w:tplc="97122EA0">
      <w:numFmt w:val="bullet"/>
      <w:lvlText w:val="•"/>
      <w:lvlJc w:val="left"/>
      <w:pPr>
        <w:ind w:left="516" w:hanging="360"/>
      </w:pPr>
      <w:rPr>
        <w:rFonts w:ascii="Trebuchet MS" w:eastAsia="Trebuchet MS" w:hAnsi="Trebuchet MS" w:cs="Trebuchet MS" w:hint="default"/>
        <w:b w:val="0"/>
        <w:bCs w:val="0"/>
        <w:i w:val="0"/>
        <w:iCs w:val="0"/>
        <w:spacing w:val="0"/>
        <w:w w:val="89"/>
        <w:sz w:val="18"/>
        <w:szCs w:val="18"/>
        <w:lang w:val="en-US" w:eastAsia="en-US" w:bidi="ar-SA"/>
      </w:rPr>
    </w:lvl>
    <w:lvl w:ilvl="1" w:tplc="113EB678">
      <w:numFmt w:val="bullet"/>
      <w:lvlText w:val="•"/>
      <w:lvlJc w:val="left"/>
      <w:pPr>
        <w:ind w:left="1237" w:hanging="360"/>
      </w:pPr>
      <w:rPr>
        <w:rFonts w:hint="default"/>
        <w:lang w:val="en-US" w:eastAsia="en-US" w:bidi="ar-SA"/>
      </w:rPr>
    </w:lvl>
    <w:lvl w:ilvl="2" w:tplc="993C1FBA">
      <w:numFmt w:val="bullet"/>
      <w:lvlText w:val="•"/>
      <w:lvlJc w:val="left"/>
      <w:pPr>
        <w:ind w:left="1954" w:hanging="360"/>
      </w:pPr>
      <w:rPr>
        <w:rFonts w:hint="default"/>
        <w:lang w:val="en-US" w:eastAsia="en-US" w:bidi="ar-SA"/>
      </w:rPr>
    </w:lvl>
    <w:lvl w:ilvl="3" w:tplc="7E5036DA">
      <w:numFmt w:val="bullet"/>
      <w:lvlText w:val="•"/>
      <w:lvlJc w:val="left"/>
      <w:pPr>
        <w:ind w:left="2671" w:hanging="360"/>
      </w:pPr>
      <w:rPr>
        <w:rFonts w:hint="default"/>
        <w:lang w:val="en-US" w:eastAsia="en-US" w:bidi="ar-SA"/>
      </w:rPr>
    </w:lvl>
    <w:lvl w:ilvl="4" w:tplc="B9300438">
      <w:numFmt w:val="bullet"/>
      <w:lvlText w:val="•"/>
      <w:lvlJc w:val="left"/>
      <w:pPr>
        <w:ind w:left="3388" w:hanging="360"/>
      </w:pPr>
      <w:rPr>
        <w:rFonts w:hint="default"/>
        <w:lang w:val="en-US" w:eastAsia="en-US" w:bidi="ar-SA"/>
      </w:rPr>
    </w:lvl>
    <w:lvl w:ilvl="5" w:tplc="4A4CBB94">
      <w:numFmt w:val="bullet"/>
      <w:lvlText w:val="•"/>
      <w:lvlJc w:val="left"/>
      <w:pPr>
        <w:ind w:left="4106" w:hanging="360"/>
      </w:pPr>
      <w:rPr>
        <w:rFonts w:hint="default"/>
        <w:lang w:val="en-US" w:eastAsia="en-US" w:bidi="ar-SA"/>
      </w:rPr>
    </w:lvl>
    <w:lvl w:ilvl="6" w:tplc="AEFEF88A">
      <w:numFmt w:val="bullet"/>
      <w:lvlText w:val="•"/>
      <w:lvlJc w:val="left"/>
      <w:pPr>
        <w:ind w:left="4823" w:hanging="360"/>
      </w:pPr>
      <w:rPr>
        <w:rFonts w:hint="default"/>
        <w:lang w:val="en-US" w:eastAsia="en-US" w:bidi="ar-SA"/>
      </w:rPr>
    </w:lvl>
    <w:lvl w:ilvl="7" w:tplc="53242516">
      <w:numFmt w:val="bullet"/>
      <w:lvlText w:val="•"/>
      <w:lvlJc w:val="left"/>
      <w:pPr>
        <w:ind w:left="5540" w:hanging="360"/>
      </w:pPr>
      <w:rPr>
        <w:rFonts w:hint="default"/>
        <w:lang w:val="en-US" w:eastAsia="en-US" w:bidi="ar-SA"/>
      </w:rPr>
    </w:lvl>
    <w:lvl w:ilvl="8" w:tplc="13086688">
      <w:numFmt w:val="bullet"/>
      <w:lvlText w:val="•"/>
      <w:lvlJc w:val="left"/>
      <w:pPr>
        <w:ind w:left="6257" w:hanging="360"/>
      </w:pPr>
      <w:rPr>
        <w:rFonts w:hint="default"/>
        <w:lang w:val="en-US" w:eastAsia="en-US" w:bidi="ar-SA"/>
      </w:rPr>
    </w:lvl>
  </w:abstractNum>
  <w:abstractNum w:abstractNumId="108" w15:restartNumberingAfterBreak="0">
    <w:nsid w:val="4FB10D7A"/>
    <w:multiLevelType w:val="hybridMultilevel"/>
    <w:tmpl w:val="431E361C"/>
    <w:lvl w:ilvl="0" w:tplc="432A2554">
      <w:numFmt w:val="bullet"/>
      <w:lvlText w:val="•"/>
      <w:lvlJc w:val="left"/>
      <w:pPr>
        <w:ind w:left="515" w:hanging="360"/>
      </w:pPr>
      <w:rPr>
        <w:rFonts w:ascii="Trebuchet MS" w:eastAsia="Trebuchet MS" w:hAnsi="Trebuchet MS" w:cs="Trebuchet MS" w:hint="default"/>
        <w:b w:val="0"/>
        <w:bCs w:val="0"/>
        <w:i w:val="0"/>
        <w:iCs w:val="0"/>
        <w:spacing w:val="0"/>
        <w:w w:val="89"/>
        <w:sz w:val="18"/>
        <w:szCs w:val="18"/>
        <w:lang w:val="en-US" w:eastAsia="en-US" w:bidi="ar-SA"/>
      </w:rPr>
    </w:lvl>
    <w:lvl w:ilvl="1" w:tplc="61F8E352">
      <w:numFmt w:val="bullet"/>
      <w:lvlText w:val="•"/>
      <w:lvlJc w:val="left"/>
      <w:pPr>
        <w:ind w:left="1237" w:hanging="360"/>
      </w:pPr>
      <w:rPr>
        <w:rFonts w:hint="default"/>
        <w:lang w:val="en-US" w:eastAsia="en-US" w:bidi="ar-SA"/>
      </w:rPr>
    </w:lvl>
    <w:lvl w:ilvl="2" w:tplc="7B88B746">
      <w:numFmt w:val="bullet"/>
      <w:lvlText w:val="•"/>
      <w:lvlJc w:val="left"/>
      <w:pPr>
        <w:ind w:left="1954" w:hanging="360"/>
      </w:pPr>
      <w:rPr>
        <w:rFonts w:hint="default"/>
        <w:lang w:val="en-US" w:eastAsia="en-US" w:bidi="ar-SA"/>
      </w:rPr>
    </w:lvl>
    <w:lvl w:ilvl="3" w:tplc="AB6A73FE">
      <w:numFmt w:val="bullet"/>
      <w:lvlText w:val="•"/>
      <w:lvlJc w:val="left"/>
      <w:pPr>
        <w:ind w:left="2671" w:hanging="360"/>
      </w:pPr>
      <w:rPr>
        <w:rFonts w:hint="default"/>
        <w:lang w:val="en-US" w:eastAsia="en-US" w:bidi="ar-SA"/>
      </w:rPr>
    </w:lvl>
    <w:lvl w:ilvl="4" w:tplc="4E2672AE">
      <w:numFmt w:val="bullet"/>
      <w:lvlText w:val="•"/>
      <w:lvlJc w:val="left"/>
      <w:pPr>
        <w:ind w:left="3389" w:hanging="360"/>
      </w:pPr>
      <w:rPr>
        <w:rFonts w:hint="default"/>
        <w:lang w:val="en-US" w:eastAsia="en-US" w:bidi="ar-SA"/>
      </w:rPr>
    </w:lvl>
    <w:lvl w:ilvl="5" w:tplc="DF4E380E">
      <w:numFmt w:val="bullet"/>
      <w:lvlText w:val="•"/>
      <w:lvlJc w:val="left"/>
      <w:pPr>
        <w:ind w:left="4106" w:hanging="360"/>
      </w:pPr>
      <w:rPr>
        <w:rFonts w:hint="default"/>
        <w:lang w:val="en-US" w:eastAsia="en-US" w:bidi="ar-SA"/>
      </w:rPr>
    </w:lvl>
    <w:lvl w:ilvl="6" w:tplc="EB6E8EA6">
      <w:numFmt w:val="bullet"/>
      <w:lvlText w:val="•"/>
      <w:lvlJc w:val="left"/>
      <w:pPr>
        <w:ind w:left="4823" w:hanging="360"/>
      </w:pPr>
      <w:rPr>
        <w:rFonts w:hint="default"/>
        <w:lang w:val="en-US" w:eastAsia="en-US" w:bidi="ar-SA"/>
      </w:rPr>
    </w:lvl>
    <w:lvl w:ilvl="7" w:tplc="F6B42274">
      <w:numFmt w:val="bullet"/>
      <w:lvlText w:val="•"/>
      <w:lvlJc w:val="left"/>
      <w:pPr>
        <w:ind w:left="5541" w:hanging="360"/>
      </w:pPr>
      <w:rPr>
        <w:rFonts w:hint="default"/>
        <w:lang w:val="en-US" w:eastAsia="en-US" w:bidi="ar-SA"/>
      </w:rPr>
    </w:lvl>
    <w:lvl w:ilvl="8" w:tplc="1C2ABFF8">
      <w:numFmt w:val="bullet"/>
      <w:lvlText w:val="•"/>
      <w:lvlJc w:val="left"/>
      <w:pPr>
        <w:ind w:left="6258" w:hanging="360"/>
      </w:pPr>
      <w:rPr>
        <w:rFonts w:hint="default"/>
        <w:lang w:val="en-US" w:eastAsia="en-US" w:bidi="ar-SA"/>
      </w:rPr>
    </w:lvl>
  </w:abstractNum>
  <w:abstractNum w:abstractNumId="109" w15:restartNumberingAfterBreak="0">
    <w:nsid w:val="4FD60DA2"/>
    <w:multiLevelType w:val="hybridMultilevel"/>
    <w:tmpl w:val="64B4B3A6"/>
    <w:lvl w:ilvl="0" w:tplc="74100CE2">
      <w:numFmt w:val="bullet"/>
      <w:lvlText w:val="•"/>
      <w:lvlJc w:val="left"/>
      <w:pPr>
        <w:ind w:left="415" w:hanging="360"/>
      </w:pPr>
      <w:rPr>
        <w:rFonts w:ascii="Trebuchet MS" w:eastAsia="Trebuchet MS" w:hAnsi="Trebuchet MS" w:cs="Trebuchet MS" w:hint="default"/>
        <w:b w:val="0"/>
        <w:bCs w:val="0"/>
        <w:i w:val="0"/>
        <w:iCs w:val="0"/>
        <w:spacing w:val="0"/>
        <w:w w:val="89"/>
        <w:sz w:val="18"/>
        <w:szCs w:val="18"/>
        <w:lang w:val="en-US" w:eastAsia="en-US" w:bidi="ar-SA"/>
      </w:rPr>
    </w:lvl>
    <w:lvl w:ilvl="1" w:tplc="A166527C">
      <w:numFmt w:val="bullet"/>
      <w:lvlText w:val="•"/>
      <w:lvlJc w:val="left"/>
      <w:pPr>
        <w:ind w:left="1059" w:hanging="360"/>
      </w:pPr>
      <w:rPr>
        <w:rFonts w:hint="default"/>
        <w:lang w:val="en-US" w:eastAsia="en-US" w:bidi="ar-SA"/>
      </w:rPr>
    </w:lvl>
    <w:lvl w:ilvl="2" w:tplc="AE5482F8">
      <w:numFmt w:val="bullet"/>
      <w:lvlText w:val="•"/>
      <w:lvlJc w:val="left"/>
      <w:pPr>
        <w:ind w:left="1699" w:hanging="360"/>
      </w:pPr>
      <w:rPr>
        <w:rFonts w:hint="default"/>
        <w:lang w:val="en-US" w:eastAsia="en-US" w:bidi="ar-SA"/>
      </w:rPr>
    </w:lvl>
    <w:lvl w:ilvl="3" w:tplc="DAD4990A">
      <w:numFmt w:val="bullet"/>
      <w:lvlText w:val="•"/>
      <w:lvlJc w:val="left"/>
      <w:pPr>
        <w:ind w:left="2339" w:hanging="360"/>
      </w:pPr>
      <w:rPr>
        <w:rFonts w:hint="default"/>
        <w:lang w:val="en-US" w:eastAsia="en-US" w:bidi="ar-SA"/>
      </w:rPr>
    </w:lvl>
    <w:lvl w:ilvl="4" w:tplc="8640B4DC">
      <w:numFmt w:val="bullet"/>
      <w:lvlText w:val="•"/>
      <w:lvlJc w:val="left"/>
      <w:pPr>
        <w:ind w:left="2979" w:hanging="360"/>
      </w:pPr>
      <w:rPr>
        <w:rFonts w:hint="default"/>
        <w:lang w:val="en-US" w:eastAsia="en-US" w:bidi="ar-SA"/>
      </w:rPr>
    </w:lvl>
    <w:lvl w:ilvl="5" w:tplc="ED103298">
      <w:numFmt w:val="bullet"/>
      <w:lvlText w:val="•"/>
      <w:lvlJc w:val="left"/>
      <w:pPr>
        <w:ind w:left="3619" w:hanging="360"/>
      </w:pPr>
      <w:rPr>
        <w:rFonts w:hint="default"/>
        <w:lang w:val="en-US" w:eastAsia="en-US" w:bidi="ar-SA"/>
      </w:rPr>
    </w:lvl>
    <w:lvl w:ilvl="6" w:tplc="74F8B666">
      <w:numFmt w:val="bullet"/>
      <w:lvlText w:val="•"/>
      <w:lvlJc w:val="left"/>
      <w:pPr>
        <w:ind w:left="4258" w:hanging="360"/>
      </w:pPr>
      <w:rPr>
        <w:rFonts w:hint="default"/>
        <w:lang w:val="en-US" w:eastAsia="en-US" w:bidi="ar-SA"/>
      </w:rPr>
    </w:lvl>
    <w:lvl w:ilvl="7" w:tplc="DBC0045A">
      <w:numFmt w:val="bullet"/>
      <w:lvlText w:val="•"/>
      <w:lvlJc w:val="left"/>
      <w:pPr>
        <w:ind w:left="4898" w:hanging="360"/>
      </w:pPr>
      <w:rPr>
        <w:rFonts w:hint="default"/>
        <w:lang w:val="en-US" w:eastAsia="en-US" w:bidi="ar-SA"/>
      </w:rPr>
    </w:lvl>
    <w:lvl w:ilvl="8" w:tplc="7012CB4C">
      <w:numFmt w:val="bullet"/>
      <w:lvlText w:val="•"/>
      <w:lvlJc w:val="left"/>
      <w:pPr>
        <w:ind w:left="5538" w:hanging="360"/>
      </w:pPr>
      <w:rPr>
        <w:rFonts w:hint="default"/>
        <w:lang w:val="en-US" w:eastAsia="en-US" w:bidi="ar-SA"/>
      </w:rPr>
    </w:lvl>
  </w:abstractNum>
  <w:abstractNum w:abstractNumId="110" w15:restartNumberingAfterBreak="0">
    <w:nsid w:val="5174186A"/>
    <w:multiLevelType w:val="hybridMultilevel"/>
    <w:tmpl w:val="892038AA"/>
    <w:lvl w:ilvl="0" w:tplc="24C2ACE6">
      <w:numFmt w:val="bullet"/>
      <w:lvlText w:val=""/>
      <w:lvlJc w:val="left"/>
      <w:pPr>
        <w:ind w:left="683" w:hanging="360"/>
      </w:pPr>
      <w:rPr>
        <w:rFonts w:ascii="Symbol" w:eastAsia="Symbol" w:hAnsi="Symbol" w:cs="Symbol" w:hint="default"/>
        <w:b w:val="0"/>
        <w:bCs w:val="0"/>
        <w:i w:val="0"/>
        <w:iCs w:val="0"/>
        <w:spacing w:val="0"/>
        <w:w w:val="100"/>
        <w:sz w:val="22"/>
        <w:szCs w:val="22"/>
        <w:lang w:val="en-US" w:eastAsia="en-US" w:bidi="ar-SA"/>
      </w:rPr>
    </w:lvl>
    <w:lvl w:ilvl="1" w:tplc="7466DAAA">
      <w:numFmt w:val="bullet"/>
      <w:lvlText w:val="•"/>
      <w:lvlJc w:val="left"/>
      <w:pPr>
        <w:ind w:left="1590" w:hanging="360"/>
      </w:pPr>
      <w:rPr>
        <w:rFonts w:hint="default"/>
        <w:lang w:val="en-US" w:eastAsia="en-US" w:bidi="ar-SA"/>
      </w:rPr>
    </w:lvl>
    <w:lvl w:ilvl="2" w:tplc="3976E27E">
      <w:numFmt w:val="bullet"/>
      <w:lvlText w:val="•"/>
      <w:lvlJc w:val="left"/>
      <w:pPr>
        <w:ind w:left="2500" w:hanging="360"/>
      </w:pPr>
      <w:rPr>
        <w:rFonts w:hint="default"/>
        <w:lang w:val="en-US" w:eastAsia="en-US" w:bidi="ar-SA"/>
      </w:rPr>
    </w:lvl>
    <w:lvl w:ilvl="3" w:tplc="A6967740">
      <w:numFmt w:val="bullet"/>
      <w:lvlText w:val="•"/>
      <w:lvlJc w:val="left"/>
      <w:pPr>
        <w:ind w:left="3410" w:hanging="360"/>
      </w:pPr>
      <w:rPr>
        <w:rFonts w:hint="default"/>
        <w:lang w:val="en-US" w:eastAsia="en-US" w:bidi="ar-SA"/>
      </w:rPr>
    </w:lvl>
    <w:lvl w:ilvl="4" w:tplc="4BE01F32">
      <w:numFmt w:val="bullet"/>
      <w:lvlText w:val="•"/>
      <w:lvlJc w:val="left"/>
      <w:pPr>
        <w:ind w:left="4320" w:hanging="360"/>
      </w:pPr>
      <w:rPr>
        <w:rFonts w:hint="default"/>
        <w:lang w:val="en-US" w:eastAsia="en-US" w:bidi="ar-SA"/>
      </w:rPr>
    </w:lvl>
    <w:lvl w:ilvl="5" w:tplc="16480728">
      <w:numFmt w:val="bullet"/>
      <w:lvlText w:val="•"/>
      <w:lvlJc w:val="left"/>
      <w:pPr>
        <w:ind w:left="5230" w:hanging="360"/>
      </w:pPr>
      <w:rPr>
        <w:rFonts w:hint="default"/>
        <w:lang w:val="en-US" w:eastAsia="en-US" w:bidi="ar-SA"/>
      </w:rPr>
    </w:lvl>
    <w:lvl w:ilvl="6" w:tplc="C63EE5F2">
      <w:numFmt w:val="bullet"/>
      <w:lvlText w:val="•"/>
      <w:lvlJc w:val="left"/>
      <w:pPr>
        <w:ind w:left="6140" w:hanging="360"/>
      </w:pPr>
      <w:rPr>
        <w:rFonts w:hint="default"/>
        <w:lang w:val="en-US" w:eastAsia="en-US" w:bidi="ar-SA"/>
      </w:rPr>
    </w:lvl>
    <w:lvl w:ilvl="7" w:tplc="13785CB6">
      <w:numFmt w:val="bullet"/>
      <w:lvlText w:val="•"/>
      <w:lvlJc w:val="left"/>
      <w:pPr>
        <w:ind w:left="7050" w:hanging="360"/>
      </w:pPr>
      <w:rPr>
        <w:rFonts w:hint="default"/>
        <w:lang w:val="en-US" w:eastAsia="en-US" w:bidi="ar-SA"/>
      </w:rPr>
    </w:lvl>
    <w:lvl w:ilvl="8" w:tplc="2D4AF60E">
      <w:numFmt w:val="bullet"/>
      <w:lvlText w:val="•"/>
      <w:lvlJc w:val="left"/>
      <w:pPr>
        <w:ind w:left="7961" w:hanging="360"/>
      </w:pPr>
      <w:rPr>
        <w:rFonts w:hint="default"/>
        <w:lang w:val="en-US" w:eastAsia="en-US" w:bidi="ar-SA"/>
      </w:rPr>
    </w:lvl>
  </w:abstractNum>
  <w:abstractNum w:abstractNumId="111" w15:restartNumberingAfterBreak="0">
    <w:nsid w:val="518E0DBA"/>
    <w:multiLevelType w:val="hybridMultilevel"/>
    <w:tmpl w:val="7E366264"/>
    <w:lvl w:ilvl="0" w:tplc="25F2FA74">
      <w:numFmt w:val="bullet"/>
      <w:lvlText w:val="•"/>
      <w:lvlJc w:val="left"/>
      <w:pPr>
        <w:ind w:left="531" w:hanging="360"/>
      </w:pPr>
      <w:rPr>
        <w:rFonts w:ascii="Trebuchet MS" w:eastAsia="Trebuchet MS" w:hAnsi="Trebuchet MS" w:cs="Trebuchet MS" w:hint="default"/>
        <w:b w:val="0"/>
        <w:bCs w:val="0"/>
        <w:i w:val="0"/>
        <w:iCs w:val="0"/>
        <w:spacing w:val="0"/>
        <w:w w:val="89"/>
        <w:sz w:val="18"/>
        <w:szCs w:val="18"/>
        <w:lang w:val="en-US" w:eastAsia="en-US" w:bidi="ar-SA"/>
      </w:rPr>
    </w:lvl>
    <w:lvl w:ilvl="1" w:tplc="CED416CE">
      <w:numFmt w:val="bullet"/>
      <w:lvlText w:val="•"/>
      <w:lvlJc w:val="left"/>
      <w:pPr>
        <w:ind w:left="1215" w:hanging="360"/>
      </w:pPr>
      <w:rPr>
        <w:rFonts w:hint="default"/>
        <w:lang w:val="en-US" w:eastAsia="en-US" w:bidi="ar-SA"/>
      </w:rPr>
    </w:lvl>
    <w:lvl w:ilvl="2" w:tplc="1B0E355A">
      <w:numFmt w:val="bullet"/>
      <w:lvlText w:val="•"/>
      <w:lvlJc w:val="left"/>
      <w:pPr>
        <w:ind w:left="1891" w:hanging="360"/>
      </w:pPr>
      <w:rPr>
        <w:rFonts w:hint="default"/>
        <w:lang w:val="en-US" w:eastAsia="en-US" w:bidi="ar-SA"/>
      </w:rPr>
    </w:lvl>
    <w:lvl w:ilvl="3" w:tplc="4C9A0F66">
      <w:numFmt w:val="bullet"/>
      <w:lvlText w:val="•"/>
      <w:lvlJc w:val="left"/>
      <w:pPr>
        <w:ind w:left="2566" w:hanging="360"/>
      </w:pPr>
      <w:rPr>
        <w:rFonts w:hint="default"/>
        <w:lang w:val="en-US" w:eastAsia="en-US" w:bidi="ar-SA"/>
      </w:rPr>
    </w:lvl>
    <w:lvl w:ilvl="4" w:tplc="124AF940">
      <w:numFmt w:val="bullet"/>
      <w:lvlText w:val="•"/>
      <w:lvlJc w:val="left"/>
      <w:pPr>
        <w:ind w:left="3242" w:hanging="360"/>
      </w:pPr>
      <w:rPr>
        <w:rFonts w:hint="default"/>
        <w:lang w:val="en-US" w:eastAsia="en-US" w:bidi="ar-SA"/>
      </w:rPr>
    </w:lvl>
    <w:lvl w:ilvl="5" w:tplc="C4A0D4BE">
      <w:numFmt w:val="bullet"/>
      <w:lvlText w:val="•"/>
      <w:lvlJc w:val="left"/>
      <w:pPr>
        <w:ind w:left="3917" w:hanging="360"/>
      </w:pPr>
      <w:rPr>
        <w:rFonts w:hint="default"/>
        <w:lang w:val="en-US" w:eastAsia="en-US" w:bidi="ar-SA"/>
      </w:rPr>
    </w:lvl>
    <w:lvl w:ilvl="6" w:tplc="38428BA6">
      <w:numFmt w:val="bullet"/>
      <w:lvlText w:val="•"/>
      <w:lvlJc w:val="left"/>
      <w:pPr>
        <w:ind w:left="4593" w:hanging="360"/>
      </w:pPr>
      <w:rPr>
        <w:rFonts w:hint="default"/>
        <w:lang w:val="en-US" w:eastAsia="en-US" w:bidi="ar-SA"/>
      </w:rPr>
    </w:lvl>
    <w:lvl w:ilvl="7" w:tplc="06AC34BA">
      <w:numFmt w:val="bullet"/>
      <w:lvlText w:val="•"/>
      <w:lvlJc w:val="left"/>
      <w:pPr>
        <w:ind w:left="5268" w:hanging="360"/>
      </w:pPr>
      <w:rPr>
        <w:rFonts w:hint="default"/>
        <w:lang w:val="en-US" w:eastAsia="en-US" w:bidi="ar-SA"/>
      </w:rPr>
    </w:lvl>
    <w:lvl w:ilvl="8" w:tplc="357A066E">
      <w:numFmt w:val="bullet"/>
      <w:lvlText w:val="•"/>
      <w:lvlJc w:val="left"/>
      <w:pPr>
        <w:ind w:left="5944" w:hanging="360"/>
      </w:pPr>
      <w:rPr>
        <w:rFonts w:hint="default"/>
        <w:lang w:val="en-US" w:eastAsia="en-US" w:bidi="ar-SA"/>
      </w:rPr>
    </w:lvl>
  </w:abstractNum>
  <w:abstractNum w:abstractNumId="112" w15:restartNumberingAfterBreak="0">
    <w:nsid w:val="529C6050"/>
    <w:multiLevelType w:val="hybridMultilevel"/>
    <w:tmpl w:val="6B2C0328"/>
    <w:lvl w:ilvl="0" w:tplc="939E76D8">
      <w:numFmt w:val="bullet"/>
      <w:lvlText w:val="•"/>
      <w:lvlJc w:val="left"/>
      <w:pPr>
        <w:ind w:left="501" w:hanging="360"/>
      </w:pPr>
      <w:rPr>
        <w:rFonts w:ascii="Trebuchet MS" w:eastAsia="Trebuchet MS" w:hAnsi="Trebuchet MS" w:cs="Trebuchet MS" w:hint="default"/>
        <w:b w:val="0"/>
        <w:bCs w:val="0"/>
        <w:i w:val="0"/>
        <w:iCs w:val="0"/>
        <w:spacing w:val="0"/>
        <w:w w:val="89"/>
        <w:sz w:val="18"/>
        <w:szCs w:val="18"/>
        <w:lang w:val="en-US" w:eastAsia="en-US" w:bidi="ar-SA"/>
      </w:rPr>
    </w:lvl>
    <w:lvl w:ilvl="1" w:tplc="D5DE3F70">
      <w:numFmt w:val="bullet"/>
      <w:lvlText w:val="•"/>
      <w:lvlJc w:val="left"/>
      <w:pPr>
        <w:ind w:left="1149" w:hanging="360"/>
      </w:pPr>
      <w:rPr>
        <w:rFonts w:hint="default"/>
        <w:lang w:val="en-US" w:eastAsia="en-US" w:bidi="ar-SA"/>
      </w:rPr>
    </w:lvl>
    <w:lvl w:ilvl="2" w:tplc="0F6C0928">
      <w:numFmt w:val="bullet"/>
      <w:lvlText w:val="•"/>
      <w:lvlJc w:val="left"/>
      <w:pPr>
        <w:ind w:left="1798" w:hanging="360"/>
      </w:pPr>
      <w:rPr>
        <w:rFonts w:hint="default"/>
        <w:lang w:val="en-US" w:eastAsia="en-US" w:bidi="ar-SA"/>
      </w:rPr>
    </w:lvl>
    <w:lvl w:ilvl="3" w:tplc="8AF69D48">
      <w:numFmt w:val="bullet"/>
      <w:lvlText w:val="•"/>
      <w:lvlJc w:val="left"/>
      <w:pPr>
        <w:ind w:left="2447" w:hanging="360"/>
      </w:pPr>
      <w:rPr>
        <w:rFonts w:hint="default"/>
        <w:lang w:val="en-US" w:eastAsia="en-US" w:bidi="ar-SA"/>
      </w:rPr>
    </w:lvl>
    <w:lvl w:ilvl="4" w:tplc="57802246">
      <w:numFmt w:val="bullet"/>
      <w:lvlText w:val="•"/>
      <w:lvlJc w:val="left"/>
      <w:pPr>
        <w:ind w:left="3097" w:hanging="360"/>
      </w:pPr>
      <w:rPr>
        <w:rFonts w:hint="default"/>
        <w:lang w:val="en-US" w:eastAsia="en-US" w:bidi="ar-SA"/>
      </w:rPr>
    </w:lvl>
    <w:lvl w:ilvl="5" w:tplc="4648A754">
      <w:numFmt w:val="bullet"/>
      <w:lvlText w:val="•"/>
      <w:lvlJc w:val="left"/>
      <w:pPr>
        <w:ind w:left="3746" w:hanging="360"/>
      </w:pPr>
      <w:rPr>
        <w:rFonts w:hint="default"/>
        <w:lang w:val="en-US" w:eastAsia="en-US" w:bidi="ar-SA"/>
      </w:rPr>
    </w:lvl>
    <w:lvl w:ilvl="6" w:tplc="D39805FA">
      <w:numFmt w:val="bullet"/>
      <w:lvlText w:val="•"/>
      <w:lvlJc w:val="left"/>
      <w:pPr>
        <w:ind w:left="4395" w:hanging="360"/>
      </w:pPr>
      <w:rPr>
        <w:rFonts w:hint="default"/>
        <w:lang w:val="en-US" w:eastAsia="en-US" w:bidi="ar-SA"/>
      </w:rPr>
    </w:lvl>
    <w:lvl w:ilvl="7" w:tplc="A60CCE8E">
      <w:numFmt w:val="bullet"/>
      <w:lvlText w:val="•"/>
      <w:lvlJc w:val="left"/>
      <w:pPr>
        <w:ind w:left="5045" w:hanging="360"/>
      </w:pPr>
      <w:rPr>
        <w:rFonts w:hint="default"/>
        <w:lang w:val="en-US" w:eastAsia="en-US" w:bidi="ar-SA"/>
      </w:rPr>
    </w:lvl>
    <w:lvl w:ilvl="8" w:tplc="A556516C">
      <w:numFmt w:val="bullet"/>
      <w:lvlText w:val="•"/>
      <w:lvlJc w:val="left"/>
      <w:pPr>
        <w:ind w:left="5694" w:hanging="360"/>
      </w:pPr>
      <w:rPr>
        <w:rFonts w:hint="default"/>
        <w:lang w:val="en-US" w:eastAsia="en-US" w:bidi="ar-SA"/>
      </w:rPr>
    </w:lvl>
  </w:abstractNum>
  <w:abstractNum w:abstractNumId="113" w15:restartNumberingAfterBreak="0">
    <w:nsid w:val="532D2F34"/>
    <w:multiLevelType w:val="hybridMultilevel"/>
    <w:tmpl w:val="28A24F60"/>
    <w:lvl w:ilvl="0" w:tplc="AED2225E">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E3B052D8">
      <w:numFmt w:val="bullet"/>
      <w:lvlText w:val=""/>
      <w:lvlJc w:val="left"/>
      <w:pPr>
        <w:ind w:left="1222" w:hanging="361"/>
      </w:pPr>
      <w:rPr>
        <w:rFonts w:ascii="Symbol" w:eastAsia="Symbol" w:hAnsi="Symbol" w:cs="Symbol" w:hint="default"/>
        <w:b w:val="0"/>
        <w:bCs w:val="0"/>
        <w:i w:val="0"/>
        <w:iCs w:val="0"/>
        <w:spacing w:val="0"/>
        <w:w w:val="100"/>
        <w:sz w:val="22"/>
        <w:szCs w:val="22"/>
        <w:lang w:val="en-US" w:eastAsia="en-US" w:bidi="ar-SA"/>
      </w:rPr>
    </w:lvl>
    <w:lvl w:ilvl="2" w:tplc="805A72DA">
      <w:numFmt w:val="bullet"/>
      <w:lvlText w:val="•"/>
      <w:lvlJc w:val="left"/>
      <w:pPr>
        <w:ind w:left="2171" w:hanging="361"/>
      </w:pPr>
      <w:rPr>
        <w:rFonts w:hint="default"/>
        <w:lang w:val="en-US" w:eastAsia="en-US" w:bidi="ar-SA"/>
      </w:rPr>
    </w:lvl>
    <w:lvl w:ilvl="3" w:tplc="A8BE0004">
      <w:numFmt w:val="bullet"/>
      <w:lvlText w:val="•"/>
      <w:lvlJc w:val="left"/>
      <w:pPr>
        <w:ind w:left="3122" w:hanging="361"/>
      </w:pPr>
      <w:rPr>
        <w:rFonts w:hint="default"/>
        <w:lang w:val="en-US" w:eastAsia="en-US" w:bidi="ar-SA"/>
      </w:rPr>
    </w:lvl>
    <w:lvl w:ilvl="4" w:tplc="E9E0C194">
      <w:numFmt w:val="bullet"/>
      <w:lvlText w:val="•"/>
      <w:lvlJc w:val="left"/>
      <w:pPr>
        <w:ind w:left="4073" w:hanging="361"/>
      </w:pPr>
      <w:rPr>
        <w:rFonts w:hint="default"/>
        <w:lang w:val="en-US" w:eastAsia="en-US" w:bidi="ar-SA"/>
      </w:rPr>
    </w:lvl>
    <w:lvl w:ilvl="5" w:tplc="F95246A4">
      <w:numFmt w:val="bullet"/>
      <w:lvlText w:val="•"/>
      <w:lvlJc w:val="left"/>
      <w:pPr>
        <w:ind w:left="5025" w:hanging="361"/>
      </w:pPr>
      <w:rPr>
        <w:rFonts w:hint="default"/>
        <w:lang w:val="en-US" w:eastAsia="en-US" w:bidi="ar-SA"/>
      </w:rPr>
    </w:lvl>
    <w:lvl w:ilvl="6" w:tplc="67DCC634">
      <w:numFmt w:val="bullet"/>
      <w:lvlText w:val="•"/>
      <w:lvlJc w:val="left"/>
      <w:pPr>
        <w:ind w:left="5976" w:hanging="361"/>
      </w:pPr>
      <w:rPr>
        <w:rFonts w:hint="default"/>
        <w:lang w:val="en-US" w:eastAsia="en-US" w:bidi="ar-SA"/>
      </w:rPr>
    </w:lvl>
    <w:lvl w:ilvl="7" w:tplc="591E2A30">
      <w:numFmt w:val="bullet"/>
      <w:lvlText w:val="•"/>
      <w:lvlJc w:val="left"/>
      <w:pPr>
        <w:ind w:left="6927" w:hanging="361"/>
      </w:pPr>
      <w:rPr>
        <w:rFonts w:hint="default"/>
        <w:lang w:val="en-US" w:eastAsia="en-US" w:bidi="ar-SA"/>
      </w:rPr>
    </w:lvl>
    <w:lvl w:ilvl="8" w:tplc="E0A4A812">
      <w:numFmt w:val="bullet"/>
      <w:lvlText w:val="•"/>
      <w:lvlJc w:val="left"/>
      <w:pPr>
        <w:ind w:left="7878" w:hanging="361"/>
      </w:pPr>
      <w:rPr>
        <w:rFonts w:hint="default"/>
        <w:lang w:val="en-US" w:eastAsia="en-US" w:bidi="ar-SA"/>
      </w:rPr>
    </w:lvl>
  </w:abstractNum>
  <w:abstractNum w:abstractNumId="114" w15:restartNumberingAfterBreak="0">
    <w:nsid w:val="542D7721"/>
    <w:multiLevelType w:val="hybridMultilevel"/>
    <w:tmpl w:val="EFB208AC"/>
    <w:lvl w:ilvl="0" w:tplc="17B026D6">
      <w:numFmt w:val="bullet"/>
      <w:lvlText w:val="•"/>
      <w:lvlJc w:val="left"/>
      <w:pPr>
        <w:ind w:left="472" w:hanging="360"/>
      </w:pPr>
      <w:rPr>
        <w:rFonts w:ascii="Trebuchet MS" w:eastAsia="Trebuchet MS" w:hAnsi="Trebuchet MS" w:cs="Trebuchet MS" w:hint="default"/>
        <w:b w:val="0"/>
        <w:bCs w:val="0"/>
        <w:i w:val="0"/>
        <w:iCs w:val="0"/>
        <w:spacing w:val="0"/>
        <w:w w:val="89"/>
        <w:sz w:val="18"/>
        <w:szCs w:val="18"/>
        <w:lang w:val="en-US" w:eastAsia="en-US" w:bidi="ar-SA"/>
      </w:rPr>
    </w:lvl>
    <w:lvl w:ilvl="1" w:tplc="490831B6">
      <w:numFmt w:val="bullet"/>
      <w:lvlText w:val="•"/>
      <w:lvlJc w:val="left"/>
      <w:pPr>
        <w:ind w:left="1104" w:hanging="360"/>
      </w:pPr>
      <w:rPr>
        <w:rFonts w:hint="default"/>
        <w:lang w:val="en-US" w:eastAsia="en-US" w:bidi="ar-SA"/>
      </w:rPr>
    </w:lvl>
    <w:lvl w:ilvl="2" w:tplc="9F040BF2">
      <w:numFmt w:val="bullet"/>
      <w:lvlText w:val="•"/>
      <w:lvlJc w:val="left"/>
      <w:pPr>
        <w:ind w:left="1728" w:hanging="360"/>
      </w:pPr>
      <w:rPr>
        <w:rFonts w:hint="default"/>
        <w:lang w:val="en-US" w:eastAsia="en-US" w:bidi="ar-SA"/>
      </w:rPr>
    </w:lvl>
    <w:lvl w:ilvl="3" w:tplc="9F7CF642">
      <w:numFmt w:val="bullet"/>
      <w:lvlText w:val="•"/>
      <w:lvlJc w:val="left"/>
      <w:pPr>
        <w:ind w:left="2353" w:hanging="360"/>
      </w:pPr>
      <w:rPr>
        <w:rFonts w:hint="default"/>
        <w:lang w:val="en-US" w:eastAsia="en-US" w:bidi="ar-SA"/>
      </w:rPr>
    </w:lvl>
    <w:lvl w:ilvl="4" w:tplc="FC02A112">
      <w:numFmt w:val="bullet"/>
      <w:lvlText w:val="•"/>
      <w:lvlJc w:val="left"/>
      <w:pPr>
        <w:ind w:left="2977" w:hanging="360"/>
      </w:pPr>
      <w:rPr>
        <w:rFonts w:hint="default"/>
        <w:lang w:val="en-US" w:eastAsia="en-US" w:bidi="ar-SA"/>
      </w:rPr>
    </w:lvl>
    <w:lvl w:ilvl="5" w:tplc="D422D67E">
      <w:numFmt w:val="bullet"/>
      <w:lvlText w:val="•"/>
      <w:lvlJc w:val="left"/>
      <w:pPr>
        <w:ind w:left="3602" w:hanging="360"/>
      </w:pPr>
      <w:rPr>
        <w:rFonts w:hint="default"/>
        <w:lang w:val="en-US" w:eastAsia="en-US" w:bidi="ar-SA"/>
      </w:rPr>
    </w:lvl>
    <w:lvl w:ilvl="6" w:tplc="1A36F1DE">
      <w:numFmt w:val="bullet"/>
      <w:lvlText w:val="•"/>
      <w:lvlJc w:val="left"/>
      <w:pPr>
        <w:ind w:left="4226" w:hanging="360"/>
      </w:pPr>
      <w:rPr>
        <w:rFonts w:hint="default"/>
        <w:lang w:val="en-US" w:eastAsia="en-US" w:bidi="ar-SA"/>
      </w:rPr>
    </w:lvl>
    <w:lvl w:ilvl="7" w:tplc="50EE4152">
      <w:numFmt w:val="bullet"/>
      <w:lvlText w:val="•"/>
      <w:lvlJc w:val="left"/>
      <w:pPr>
        <w:ind w:left="4850" w:hanging="360"/>
      </w:pPr>
      <w:rPr>
        <w:rFonts w:hint="default"/>
        <w:lang w:val="en-US" w:eastAsia="en-US" w:bidi="ar-SA"/>
      </w:rPr>
    </w:lvl>
    <w:lvl w:ilvl="8" w:tplc="31D63D5A">
      <w:numFmt w:val="bullet"/>
      <w:lvlText w:val="•"/>
      <w:lvlJc w:val="left"/>
      <w:pPr>
        <w:ind w:left="5475" w:hanging="360"/>
      </w:pPr>
      <w:rPr>
        <w:rFonts w:hint="default"/>
        <w:lang w:val="en-US" w:eastAsia="en-US" w:bidi="ar-SA"/>
      </w:rPr>
    </w:lvl>
  </w:abstractNum>
  <w:abstractNum w:abstractNumId="115" w15:restartNumberingAfterBreak="0">
    <w:nsid w:val="54712D09"/>
    <w:multiLevelType w:val="hybridMultilevel"/>
    <w:tmpl w:val="E6249CD2"/>
    <w:lvl w:ilvl="0" w:tplc="C34E35E8">
      <w:numFmt w:val="bullet"/>
      <w:lvlText w:val="•"/>
      <w:lvlJc w:val="left"/>
      <w:pPr>
        <w:ind w:left="465" w:hanging="360"/>
      </w:pPr>
      <w:rPr>
        <w:rFonts w:ascii="Trebuchet MS" w:eastAsia="Trebuchet MS" w:hAnsi="Trebuchet MS" w:cs="Trebuchet MS" w:hint="default"/>
        <w:b w:val="0"/>
        <w:bCs w:val="0"/>
        <w:i w:val="0"/>
        <w:iCs w:val="0"/>
        <w:spacing w:val="0"/>
        <w:w w:val="89"/>
        <w:sz w:val="18"/>
        <w:szCs w:val="18"/>
        <w:lang w:val="en-US" w:eastAsia="en-US" w:bidi="ar-SA"/>
      </w:rPr>
    </w:lvl>
    <w:lvl w:ilvl="1" w:tplc="62A48A90">
      <w:numFmt w:val="bullet"/>
      <w:lvlText w:val="•"/>
      <w:lvlJc w:val="left"/>
      <w:pPr>
        <w:ind w:left="992" w:hanging="360"/>
      </w:pPr>
      <w:rPr>
        <w:rFonts w:hint="default"/>
        <w:lang w:val="en-US" w:eastAsia="en-US" w:bidi="ar-SA"/>
      </w:rPr>
    </w:lvl>
    <w:lvl w:ilvl="2" w:tplc="54E06708">
      <w:numFmt w:val="bullet"/>
      <w:lvlText w:val="•"/>
      <w:lvlJc w:val="left"/>
      <w:pPr>
        <w:ind w:left="1525" w:hanging="360"/>
      </w:pPr>
      <w:rPr>
        <w:rFonts w:hint="default"/>
        <w:lang w:val="en-US" w:eastAsia="en-US" w:bidi="ar-SA"/>
      </w:rPr>
    </w:lvl>
    <w:lvl w:ilvl="3" w:tplc="30CC89E8">
      <w:numFmt w:val="bullet"/>
      <w:lvlText w:val="•"/>
      <w:lvlJc w:val="left"/>
      <w:pPr>
        <w:ind w:left="2058" w:hanging="360"/>
      </w:pPr>
      <w:rPr>
        <w:rFonts w:hint="default"/>
        <w:lang w:val="en-US" w:eastAsia="en-US" w:bidi="ar-SA"/>
      </w:rPr>
    </w:lvl>
    <w:lvl w:ilvl="4" w:tplc="2926E9B6">
      <w:numFmt w:val="bullet"/>
      <w:lvlText w:val="•"/>
      <w:lvlJc w:val="left"/>
      <w:pPr>
        <w:ind w:left="2591" w:hanging="360"/>
      </w:pPr>
      <w:rPr>
        <w:rFonts w:hint="default"/>
        <w:lang w:val="en-US" w:eastAsia="en-US" w:bidi="ar-SA"/>
      </w:rPr>
    </w:lvl>
    <w:lvl w:ilvl="5" w:tplc="8FB46FCC">
      <w:numFmt w:val="bullet"/>
      <w:lvlText w:val="•"/>
      <w:lvlJc w:val="left"/>
      <w:pPr>
        <w:ind w:left="3124" w:hanging="360"/>
      </w:pPr>
      <w:rPr>
        <w:rFonts w:hint="default"/>
        <w:lang w:val="en-US" w:eastAsia="en-US" w:bidi="ar-SA"/>
      </w:rPr>
    </w:lvl>
    <w:lvl w:ilvl="6" w:tplc="491C422C">
      <w:numFmt w:val="bullet"/>
      <w:lvlText w:val="•"/>
      <w:lvlJc w:val="left"/>
      <w:pPr>
        <w:ind w:left="3657" w:hanging="360"/>
      </w:pPr>
      <w:rPr>
        <w:rFonts w:hint="default"/>
        <w:lang w:val="en-US" w:eastAsia="en-US" w:bidi="ar-SA"/>
      </w:rPr>
    </w:lvl>
    <w:lvl w:ilvl="7" w:tplc="E35AA52E">
      <w:numFmt w:val="bullet"/>
      <w:lvlText w:val="•"/>
      <w:lvlJc w:val="left"/>
      <w:pPr>
        <w:ind w:left="4190" w:hanging="360"/>
      </w:pPr>
      <w:rPr>
        <w:rFonts w:hint="default"/>
        <w:lang w:val="en-US" w:eastAsia="en-US" w:bidi="ar-SA"/>
      </w:rPr>
    </w:lvl>
    <w:lvl w:ilvl="8" w:tplc="447A5484">
      <w:numFmt w:val="bullet"/>
      <w:lvlText w:val="•"/>
      <w:lvlJc w:val="left"/>
      <w:pPr>
        <w:ind w:left="4723" w:hanging="360"/>
      </w:pPr>
      <w:rPr>
        <w:rFonts w:hint="default"/>
        <w:lang w:val="en-US" w:eastAsia="en-US" w:bidi="ar-SA"/>
      </w:rPr>
    </w:lvl>
  </w:abstractNum>
  <w:abstractNum w:abstractNumId="116" w15:restartNumberingAfterBreak="0">
    <w:nsid w:val="565B1EB1"/>
    <w:multiLevelType w:val="hybridMultilevel"/>
    <w:tmpl w:val="562C50A2"/>
    <w:lvl w:ilvl="0" w:tplc="D332A9E0">
      <w:numFmt w:val="bullet"/>
      <w:lvlText w:val="•"/>
      <w:lvlJc w:val="left"/>
      <w:pPr>
        <w:ind w:left="466" w:hanging="360"/>
      </w:pPr>
      <w:rPr>
        <w:rFonts w:ascii="Trebuchet MS" w:eastAsia="Trebuchet MS" w:hAnsi="Trebuchet MS" w:cs="Trebuchet MS" w:hint="default"/>
        <w:b w:val="0"/>
        <w:bCs w:val="0"/>
        <w:i w:val="0"/>
        <w:iCs w:val="0"/>
        <w:spacing w:val="0"/>
        <w:w w:val="89"/>
        <w:sz w:val="18"/>
        <w:szCs w:val="18"/>
        <w:lang w:val="en-US" w:eastAsia="en-US" w:bidi="ar-SA"/>
      </w:rPr>
    </w:lvl>
    <w:lvl w:ilvl="1" w:tplc="99746C42">
      <w:numFmt w:val="bullet"/>
      <w:lvlText w:val="•"/>
      <w:lvlJc w:val="left"/>
      <w:pPr>
        <w:ind w:left="1073" w:hanging="360"/>
      </w:pPr>
      <w:rPr>
        <w:rFonts w:hint="default"/>
        <w:lang w:val="en-US" w:eastAsia="en-US" w:bidi="ar-SA"/>
      </w:rPr>
    </w:lvl>
    <w:lvl w:ilvl="2" w:tplc="A59853A6">
      <w:numFmt w:val="bullet"/>
      <w:lvlText w:val="•"/>
      <w:lvlJc w:val="left"/>
      <w:pPr>
        <w:ind w:left="1687" w:hanging="360"/>
      </w:pPr>
      <w:rPr>
        <w:rFonts w:hint="default"/>
        <w:lang w:val="en-US" w:eastAsia="en-US" w:bidi="ar-SA"/>
      </w:rPr>
    </w:lvl>
    <w:lvl w:ilvl="3" w:tplc="6F8226F8">
      <w:numFmt w:val="bullet"/>
      <w:lvlText w:val="•"/>
      <w:lvlJc w:val="left"/>
      <w:pPr>
        <w:ind w:left="2301" w:hanging="360"/>
      </w:pPr>
      <w:rPr>
        <w:rFonts w:hint="default"/>
        <w:lang w:val="en-US" w:eastAsia="en-US" w:bidi="ar-SA"/>
      </w:rPr>
    </w:lvl>
    <w:lvl w:ilvl="4" w:tplc="4356B924">
      <w:numFmt w:val="bullet"/>
      <w:lvlText w:val="•"/>
      <w:lvlJc w:val="left"/>
      <w:pPr>
        <w:ind w:left="2915" w:hanging="360"/>
      </w:pPr>
      <w:rPr>
        <w:rFonts w:hint="default"/>
        <w:lang w:val="en-US" w:eastAsia="en-US" w:bidi="ar-SA"/>
      </w:rPr>
    </w:lvl>
    <w:lvl w:ilvl="5" w:tplc="3E06EA94">
      <w:numFmt w:val="bullet"/>
      <w:lvlText w:val="•"/>
      <w:lvlJc w:val="left"/>
      <w:pPr>
        <w:ind w:left="3529" w:hanging="360"/>
      </w:pPr>
      <w:rPr>
        <w:rFonts w:hint="default"/>
        <w:lang w:val="en-US" w:eastAsia="en-US" w:bidi="ar-SA"/>
      </w:rPr>
    </w:lvl>
    <w:lvl w:ilvl="6" w:tplc="C52A8428">
      <w:numFmt w:val="bullet"/>
      <w:lvlText w:val="•"/>
      <w:lvlJc w:val="left"/>
      <w:pPr>
        <w:ind w:left="4142" w:hanging="360"/>
      </w:pPr>
      <w:rPr>
        <w:rFonts w:hint="default"/>
        <w:lang w:val="en-US" w:eastAsia="en-US" w:bidi="ar-SA"/>
      </w:rPr>
    </w:lvl>
    <w:lvl w:ilvl="7" w:tplc="6AC812B8">
      <w:numFmt w:val="bullet"/>
      <w:lvlText w:val="•"/>
      <w:lvlJc w:val="left"/>
      <w:pPr>
        <w:ind w:left="4756" w:hanging="360"/>
      </w:pPr>
      <w:rPr>
        <w:rFonts w:hint="default"/>
        <w:lang w:val="en-US" w:eastAsia="en-US" w:bidi="ar-SA"/>
      </w:rPr>
    </w:lvl>
    <w:lvl w:ilvl="8" w:tplc="A2180EA0">
      <w:numFmt w:val="bullet"/>
      <w:lvlText w:val="•"/>
      <w:lvlJc w:val="left"/>
      <w:pPr>
        <w:ind w:left="5370" w:hanging="360"/>
      </w:pPr>
      <w:rPr>
        <w:rFonts w:hint="default"/>
        <w:lang w:val="en-US" w:eastAsia="en-US" w:bidi="ar-SA"/>
      </w:rPr>
    </w:lvl>
  </w:abstractNum>
  <w:abstractNum w:abstractNumId="117" w15:restartNumberingAfterBreak="0">
    <w:nsid w:val="58CD69F2"/>
    <w:multiLevelType w:val="hybridMultilevel"/>
    <w:tmpl w:val="73CA7332"/>
    <w:lvl w:ilvl="0" w:tplc="A582087E">
      <w:numFmt w:val="bullet"/>
      <w:lvlText w:val="•"/>
      <w:lvlJc w:val="left"/>
      <w:pPr>
        <w:ind w:left="436" w:hanging="360"/>
      </w:pPr>
      <w:rPr>
        <w:rFonts w:ascii="Trebuchet MS" w:eastAsia="Trebuchet MS" w:hAnsi="Trebuchet MS" w:cs="Trebuchet MS" w:hint="default"/>
        <w:b w:val="0"/>
        <w:bCs w:val="0"/>
        <w:i w:val="0"/>
        <w:iCs w:val="0"/>
        <w:spacing w:val="0"/>
        <w:w w:val="89"/>
        <w:sz w:val="18"/>
        <w:szCs w:val="18"/>
        <w:lang w:val="en-US" w:eastAsia="en-US" w:bidi="ar-SA"/>
      </w:rPr>
    </w:lvl>
    <w:lvl w:ilvl="1" w:tplc="381A9A74">
      <w:numFmt w:val="bullet"/>
      <w:lvlText w:val="•"/>
      <w:lvlJc w:val="left"/>
      <w:pPr>
        <w:ind w:left="683" w:hanging="360"/>
      </w:pPr>
      <w:rPr>
        <w:rFonts w:hint="default"/>
        <w:lang w:val="en-US" w:eastAsia="en-US" w:bidi="ar-SA"/>
      </w:rPr>
    </w:lvl>
    <w:lvl w:ilvl="2" w:tplc="F3AA6C96">
      <w:numFmt w:val="bullet"/>
      <w:lvlText w:val="•"/>
      <w:lvlJc w:val="left"/>
      <w:pPr>
        <w:ind w:left="927" w:hanging="360"/>
      </w:pPr>
      <w:rPr>
        <w:rFonts w:hint="default"/>
        <w:lang w:val="en-US" w:eastAsia="en-US" w:bidi="ar-SA"/>
      </w:rPr>
    </w:lvl>
    <w:lvl w:ilvl="3" w:tplc="26CCD212">
      <w:numFmt w:val="bullet"/>
      <w:lvlText w:val="•"/>
      <w:lvlJc w:val="left"/>
      <w:pPr>
        <w:ind w:left="1171" w:hanging="360"/>
      </w:pPr>
      <w:rPr>
        <w:rFonts w:hint="default"/>
        <w:lang w:val="en-US" w:eastAsia="en-US" w:bidi="ar-SA"/>
      </w:rPr>
    </w:lvl>
    <w:lvl w:ilvl="4" w:tplc="AD784FA2">
      <w:numFmt w:val="bullet"/>
      <w:lvlText w:val="•"/>
      <w:lvlJc w:val="left"/>
      <w:pPr>
        <w:ind w:left="1415" w:hanging="360"/>
      </w:pPr>
      <w:rPr>
        <w:rFonts w:hint="default"/>
        <w:lang w:val="en-US" w:eastAsia="en-US" w:bidi="ar-SA"/>
      </w:rPr>
    </w:lvl>
    <w:lvl w:ilvl="5" w:tplc="66B4697C">
      <w:numFmt w:val="bullet"/>
      <w:lvlText w:val="•"/>
      <w:lvlJc w:val="left"/>
      <w:pPr>
        <w:ind w:left="1659" w:hanging="360"/>
      </w:pPr>
      <w:rPr>
        <w:rFonts w:hint="default"/>
        <w:lang w:val="en-US" w:eastAsia="en-US" w:bidi="ar-SA"/>
      </w:rPr>
    </w:lvl>
    <w:lvl w:ilvl="6" w:tplc="578E7EDE">
      <w:numFmt w:val="bullet"/>
      <w:lvlText w:val="•"/>
      <w:lvlJc w:val="left"/>
      <w:pPr>
        <w:ind w:left="1903" w:hanging="360"/>
      </w:pPr>
      <w:rPr>
        <w:rFonts w:hint="default"/>
        <w:lang w:val="en-US" w:eastAsia="en-US" w:bidi="ar-SA"/>
      </w:rPr>
    </w:lvl>
    <w:lvl w:ilvl="7" w:tplc="A3BA96F8">
      <w:numFmt w:val="bullet"/>
      <w:lvlText w:val="•"/>
      <w:lvlJc w:val="left"/>
      <w:pPr>
        <w:ind w:left="2147" w:hanging="360"/>
      </w:pPr>
      <w:rPr>
        <w:rFonts w:hint="default"/>
        <w:lang w:val="en-US" w:eastAsia="en-US" w:bidi="ar-SA"/>
      </w:rPr>
    </w:lvl>
    <w:lvl w:ilvl="8" w:tplc="4272805E">
      <w:numFmt w:val="bullet"/>
      <w:lvlText w:val="•"/>
      <w:lvlJc w:val="left"/>
      <w:pPr>
        <w:ind w:left="2391" w:hanging="360"/>
      </w:pPr>
      <w:rPr>
        <w:rFonts w:hint="default"/>
        <w:lang w:val="en-US" w:eastAsia="en-US" w:bidi="ar-SA"/>
      </w:rPr>
    </w:lvl>
  </w:abstractNum>
  <w:abstractNum w:abstractNumId="118" w15:restartNumberingAfterBreak="0">
    <w:nsid w:val="5A70330C"/>
    <w:multiLevelType w:val="multilevel"/>
    <w:tmpl w:val="28A252C8"/>
    <w:lvl w:ilvl="0">
      <w:start w:val="3"/>
      <w:numFmt w:val="decimal"/>
      <w:lvlText w:val="%1"/>
      <w:lvlJc w:val="left"/>
      <w:pPr>
        <w:ind w:left="683" w:hanging="632"/>
        <w:jc w:val="left"/>
      </w:pPr>
      <w:rPr>
        <w:rFonts w:hint="default"/>
        <w:lang w:val="en-US" w:eastAsia="en-US" w:bidi="ar-SA"/>
      </w:rPr>
    </w:lvl>
    <w:lvl w:ilvl="1">
      <w:start w:val="1"/>
      <w:numFmt w:val="decimal"/>
      <w:lvlText w:val="%1.%2"/>
      <w:lvlJc w:val="left"/>
      <w:pPr>
        <w:ind w:left="683" w:hanging="632"/>
        <w:jc w:val="left"/>
      </w:pPr>
      <w:rPr>
        <w:rFonts w:ascii="Calibri" w:eastAsia="Calibri" w:hAnsi="Calibri" w:cs="Calibri" w:hint="default"/>
        <w:b/>
        <w:bCs/>
        <w:i w:val="0"/>
        <w:iCs w:val="0"/>
        <w:color w:val="00ACA3"/>
        <w:spacing w:val="-2"/>
        <w:w w:val="100"/>
        <w:sz w:val="22"/>
        <w:szCs w:val="22"/>
        <w:lang w:val="en-US" w:eastAsia="en-US" w:bidi="ar-SA"/>
      </w:rPr>
    </w:lvl>
    <w:lvl w:ilvl="2">
      <w:numFmt w:val="bullet"/>
      <w:lvlText w:val="•"/>
      <w:lvlJc w:val="left"/>
      <w:pPr>
        <w:ind w:left="2500" w:hanging="632"/>
      </w:pPr>
      <w:rPr>
        <w:rFonts w:hint="default"/>
        <w:lang w:val="en-US" w:eastAsia="en-US" w:bidi="ar-SA"/>
      </w:rPr>
    </w:lvl>
    <w:lvl w:ilvl="3">
      <w:numFmt w:val="bullet"/>
      <w:lvlText w:val="•"/>
      <w:lvlJc w:val="left"/>
      <w:pPr>
        <w:ind w:left="3410" w:hanging="632"/>
      </w:pPr>
      <w:rPr>
        <w:rFonts w:hint="default"/>
        <w:lang w:val="en-US" w:eastAsia="en-US" w:bidi="ar-SA"/>
      </w:rPr>
    </w:lvl>
    <w:lvl w:ilvl="4">
      <w:numFmt w:val="bullet"/>
      <w:lvlText w:val="•"/>
      <w:lvlJc w:val="left"/>
      <w:pPr>
        <w:ind w:left="4320" w:hanging="632"/>
      </w:pPr>
      <w:rPr>
        <w:rFonts w:hint="default"/>
        <w:lang w:val="en-US" w:eastAsia="en-US" w:bidi="ar-SA"/>
      </w:rPr>
    </w:lvl>
    <w:lvl w:ilvl="5">
      <w:numFmt w:val="bullet"/>
      <w:lvlText w:val="•"/>
      <w:lvlJc w:val="left"/>
      <w:pPr>
        <w:ind w:left="5230" w:hanging="632"/>
      </w:pPr>
      <w:rPr>
        <w:rFonts w:hint="default"/>
        <w:lang w:val="en-US" w:eastAsia="en-US" w:bidi="ar-SA"/>
      </w:rPr>
    </w:lvl>
    <w:lvl w:ilvl="6">
      <w:numFmt w:val="bullet"/>
      <w:lvlText w:val="•"/>
      <w:lvlJc w:val="left"/>
      <w:pPr>
        <w:ind w:left="6140" w:hanging="632"/>
      </w:pPr>
      <w:rPr>
        <w:rFonts w:hint="default"/>
        <w:lang w:val="en-US" w:eastAsia="en-US" w:bidi="ar-SA"/>
      </w:rPr>
    </w:lvl>
    <w:lvl w:ilvl="7">
      <w:numFmt w:val="bullet"/>
      <w:lvlText w:val="•"/>
      <w:lvlJc w:val="left"/>
      <w:pPr>
        <w:ind w:left="7050" w:hanging="632"/>
      </w:pPr>
      <w:rPr>
        <w:rFonts w:hint="default"/>
        <w:lang w:val="en-US" w:eastAsia="en-US" w:bidi="ar-SA"/>
      </w:rPr>
    </w:lvl>
    <w:lvl w:ilvl="8">
      <w:numFmt w:val="bullet"/>
      <w:lvlText w:val="•"/>
      <w:lvlJc w:val="left"/>
      <w:pPr>
        <w:ind w:left="7961" w:hanging="632"/>
      </w:pPr>
      <w:rPr>
        <w:rFonts w:hint="default"/>
        <w:lang w:val="en-US" w:eastAsia="en-US" w:bidi="ar-SA"/>
      </w:rPr>
    </w:lvl>
  </w:abstractNum>
  <w:abstractNum w:abstractNumId="119" w15:restartNumberingAfterBreak="0">
    <w:nsid w:val="5AB22D50"/>
    <w:multiLevelType w:val="hybridMultilevel"/>
    <w:tmpl w:val="0C0EBE58"/>
    <w:lvl w:ilvl="0" w:tplc="BEC2CA40">
      <w:numFmt w:val="bullet"/>
      <w:lvlText w:val="•"/>
      <w:lvlJc w:val="left"/>
      <w:pPr>
        <w:ind w:left="472" w:hanging="360"/>
      </w:pPr>
      <w:rPr>
        <w:rFonts w:ascii="Trebuchet MS" w:eastAsia="Trebuchet MS" w:hAnsi="Trebuchet MS" w:cs="Trebuchet MS" w:hint="default"/>
        <w:b w:val="0"/>
        <w:bCs w:val="0"/>
        <w:i w:val="0"/>
        <w:iCs w:val="0"/>
        <w:spacing w:val="0"/>
        <w:w w:val="89"/>
        <w:sz w:val="18"/>
        <w:szCs w:val="18"/>
        <w:lang w:val="en-US" w:eastAsia="en-US" w:bidi="ar-SA"/>
      </w:rPr>
    </w:lvl>
    <w:lvl w:ilvl="1" w:tplc="A40E41AC">
      <w:numFmt w:val="bullet"/>
      <w:lvlText w:val="•"/>
      <w:lvlJc w:val="left"/>
      <w:pPr>
        <w:ind w:left="1104" w:hanging="360"/>
      </w:pPr>
      <w:rPr>
        <w:rFonts w:hint="default"/>
        <w:lang w:val="en-US" w:eastAsia="en-US" w:bidi="ar-SA"/>
      </w:rPr>
    </w:lvl>
    <w:lvl w:ilvl="2" w:tplc="E20699B2">
      <w:numFmt w:val="bullet"/>
      <w:lvlText w:val="•"/>
      <w:lvlJc w:val="left"/>
      <w:pPr>
        <w:ind w:left="1728" w:hanging="360"/>
      </w:pPr>
      <w:rPr>
        <w:rFonts w:hint="default"/>
        <w:lang w:val="en-US" w:eastAsia="en-US" w:bidi="ar-SA"/>
      </w:rPr>
    </w:lvl>
    <w:lvl w:ilvl="3" w:tplc="CA1081F8">
      <w:numFmt w:val="bullet"/>
      <w:lvlText w:val="•"/>
      <w:lvlJc w:val="left"/>
      <w:pPr>
        <w:ind w:left="2353" w:hanging="360"/>
      </w:pPr>
      <w:rPr>
        <w:rFonts w:hint="default"/>
        <w:lang w:val="en-US" w:eastAsia="en-US" w:bidi="ar-SA"/>
      </w:rPr>
    </w:lvl>
    <w:lvl w:ilvl="4" w:tplc="774E7C18">
      <w:numFmt w:val="bullet"/>
      <w:lvlText w:val="•"/>
      <w:lvlJc w:val="left"/>
      <w:pPr>
        <w:ind w:left="2977" w:hanging="360"/>
      </w:pPr>
      <w:rPr>
        <w:rFonts w:hint="default"/>
        <w:lang w:val="en-US" w:eastAsia="en-US" w:bidi="ar-SA"/>
      </w:rPr>
    </w:lvl>
    <w:lvl w:ilvl="5" w:tplc="30C42086">
      <w:numFmt w:val="bullet"/>
      <w:lvlText w:val="•"/>
      <w:lvlJc w:val="left"/>
      <w:pPr>
        <w:ind w:left="3602" w:hanging="360"/>
      </w:pPr>
      <w:rPr>
        <w:rFonts w:hint="default"/>
        <w:lang w:val="en-US" w:eastAsia="en-US" w:bidi="ar-SA"/>
      </w:rPr>
    </w:lvl>
    <w:lvl w:ilvl="6" w:tplc="16FAB494">
      <w:numFmt w:val="bullet"/>
      <w:lvlText w:val="•"/>
      <w:lvlJc w:val="left"/>
      <w:pPr>
        <w:ind w:left="4226" w:hanging="360"/>
      </w:pPr>
      <w:rPr>
        <w:rFonts w:hint="default"/>
        <w:lang w:val="en-US" w:eastAsia="en-US" w:bidi="ar-SA"/>
      </w:rPr>
    </w:lvl>
    <w:lvl w:ilvl="7" w:tplc="3658247A">
      <w:numFmt w:val="bullet"/>
      <w:lvlText w:val="•"/>
      <w:lvlJc w:val="left"/>
      <w:pPr>
        <w:ind w:left="4850" w:hanging="360"/>
      </w:pPr>
      <w:rPr>
        <w:rFonts w:hint="default"/>
        <w:lang w:val="en-US" w:eastAsia="en-US" w:bidi="ar-SA"/>
      </w:rPr>
    </w:lvl>
    <w:lvl w:ilvl="8" w:tplc="AC0CC9DA">
      <w:numFmt w:val="bullet"/>
      <w:lvlText w:val="•"/>
      <w:lvlJc w:val="left"/>
      <w:pPr>
        <w:ind w:left="5475" w:hanging="360"/>
      </w:pPr>
      <w:rPr>
        <w:rFonts w:hint="default"/>
        <w:lang w:val="en-US" w:eastAsia="en-US" w:bidi="ar-SA"/>
      </w:rPr>
    </w:lvl>
  </w:abstractNum>
  <w:abstractNum w:abstractNumId="120" w15:restartNumberingAfterBreak="0">
    <w:nsid w:val="5B34115C"/>
    <w:multiLevelType w:val="hybridMultilevel"/>
    <w:tmpl w:val="490238FA"/>
    <w:lvl w:ilvl="0" w:tplc="31A612FC">
      <w:numFmt w:val="bullet"/>
      <w:lvlText w:val="•"/>
      <w:lvlJc w:val="left"/>
      <w:pPr>
        <w:ind w:left="624" w:hanging="360"/>
      </w:pPr>
      <w:rPr>
        <w:rFonts w:ascii="Trebuchet MS" w:eastAsia="Trebuchet MS" w:hAnsi="Trebuchet MS" w:cs="Trebuchet MS" w:hint="default"/>
        <w:b w:val="0"/>
        <w:bCs w:val="0"/>
        <w:i w:val="0"/>
        <w:iCs w:val="0"/>
        <w:spacing w:val="0"/>
        <w:w w:val="89"/>
        <w:sz w:val="18"/>
        <w:szCs w:val="18"/>
        <w:lang w:val="en-US" w:eastAsia="en-US" w:bidi="ar-SA"/>
      </w:rPr>
    </w:lvl>
    <w:lvl w:ilvl="1" w:tplc="8AE28D8C">
      <w:numFmt w:val="bullet"/>
      <w:lvlText w:val="•"/>
      <w:lvlJc w:val="left"/>
      <w:pPr>
        <w:ind w:left="1344" w:hanging="360"/>
      </w:pPr>
      <w:rPr>
        <w:rFonts w:hint="default"/>
        <w:lang w:val="en-US" w:eastAsia="en-US" w:bidi="ar-SA"/>
      </w:rPr>
    </w:lvl>
    <w:lvl w:ilvl="2" w:tplc="B6C64D4C">
      <w:numFmt w:val="bullet"/>
      <w:lvlText w:val="•"/>
      <w:lvlJc w:val="left"/>
      <w:pPr>
        <w:ind w:left="2068" w:hanging="360"/>
      </w:pPr>
      <w:rPr>
        <w:rFonts w:hint="default"/>
        <w:lang w:val="en-US" w:eastAsia="en-US" w:bidi="ar-SA"/>
      </w:rPr>
    </w:lvl>
    <w:lvl w:ilvl="3" w:tplc="F3A6EA70">
      <w:numFmt w:val="bullet"/>
      <w:lvlText w:val="•"/>
      <w:lvlJc w:val="left"/>
      <w:pPr>
        <w:ind w:left="2792" w:hanging="360"/>
      </w:pPr>
      <w:rPr>
        <w:rFonts w:hint="default"/>
        <w:lang w:val="en-US" w:eastAsia="en-US" w:bidi="ar-SA"/>
      </w:rPr>
    </w:lvl>
    <w:lvl w:ilvl="4" w:tplc="6D5E1F08">
      <w:numFmt w:val="bullet"/>
      <w:lvlText w:val="•"/>
      <w:lvlJc w:val="left"/>
      <w:pPr>
        <w:ind w:left="3516" w:hanging="360"/>
      </w:pPr>
      <w:rPr>
        <w:rFonts w:hint="default"/>
        <w:lang w:val="en-US" w:eastAsia="en-US" w:bidi="ar-SA"/>
      </w:rPr>
    </w:lvl>
    <w:lvl w:ilvl="5" w:tplc="B9D81D34">
      <w:numFmt w:val="bullet"/>
      <w:lvlText w:val="•"/>
      <w:lvlJc w:val="left"/>
      <w:pPr>
        <w:ind w:left="4240" w:hanging="360"/>
      </w:pPr>
      <w:rPr>
        <w:rFonts w:hint="default"/>
        <w:lang w:val="en-US" w:eastAsia="en-US" w:bidi="ar-SA"/>
      </w:rPr>
    </w:lvl>
    <w:lvl w:ilvl="6" w:tplc="CCA2FF46">
      <w:numFmt w:val="bullet"/>
      <w:lvlText w:val="•"/>
      <w:lvlJc w:val="left"/>
      <w:pPr>
        <w:ind w:left="4964" w:hanging="360"/>
      </w:pPr>
      <w:rPr>
        <w:rFonts w:hint="default"/>
        <w:lang w:val="en-US" w:eastAsia="en-US" w:bidi="ar-SA"/>
      </w:rPr>
    </w:lvl>
    <w:lvl w:ilvl="7" w:tplc="B248F23A">
      <w:numFmt w:val="bullet"/>
      <w:lvlText w:val="•"/>
      <w:lvlJc w:val="left"/>
      <w:pPr>
        <w:ind w:left="5688" w:hanging="360"/>
      </w:pPr>
      <w:rPr>
        <w:rFonts w:hint="default"/>
        <w:lang w:val="en-US" w:eastAsia="en-US" w:bidi="ar-SA"/>
      </w:rPr>
    </w:lvl>
    <w:lvl w:ilvl="8" w:tplc="335A8938">
      <w:numFmt w:val="bullet"/>
      <w:lvlText w:val="•"/>
      <w:lvlJc w:val="left"/>
      <w:pPr>
        <w:ind w:left="6412" w:hanging="360"/>
      </w:pPr>
      <w:rPr>
        <w:rFonts w:hint="default"/>
        <w:lang w:val="en-US" w:eastAsia="en-US" w:bidi="ar-SA"/>
      </w:rPr>
    </w:lvl>
  </w:abstractNum>
  <w:abstractNum w:abstractNumId="121" w15:restartNumberingAfterBreak="0">
    <w:nsid w:val="5C462CB1"/>
    <w:multiLevelType w:val="hybridMultilevel"/>
    <w:tmpl w:val="78D4D1FA"/>
    <w:lvl w:ilvl="0" w:tplc="1D06F63C">
      <w:numFmt w:val="bullet"/>
      <w:lvlText w:val="•"/>
      <w:lvlJc w:val="left"/>
      <w:pPr>
        <w:ind w:left="466" w:hanging="360"/>
      </w:pPr>
      <w:rPr>
        <w:rFonts w:ascii="Trebuchet MS" w:eastAsia="Trebuchet MS" w:hAnsi="Trebuchet MS" w:cs="Trebuchet MS" w:hint="default"/>
        <w:b w:val="0"/>
        <w:bCs w:val="0"/>
        <w:i w:val="0"/>
        <w:iCs w:val="0"/>
        <w:spacing w:val="0"/>
        <w:w w:val="89"/>
        <w:sz w:val="18"/>
        <w:szCs w:val="18"/>
        <w:lang w:val="en-US" w:eastAsia="en-US" w:bidi="ar-SA"/>
      </w:rPr>
    </w:lvl>
    <w:lvl w:ilvl="1" w:tplc="F0F8ED12">
      <w:numFmt w:val="bullet"/>
      <w:lvlText w:val="•"/>
      <w:lvlJc w:val="left"/>
      <w:pPr>
        <w:ind w:left="1073" w:hanging="360"/>
      </w:pPr>
      <w:rPr>
        <w:rFonts w:hint="default"/>
        <w:lang w:val="en-US" w:eastAsia="en-US" w:bidi="ar-SA"/>
      </w:rPr>
    </w:lvl>
    <w:lvl w:ilvl="2" w:tplc="4F4811F0">
      <w:numFmt w:val="bullet"/>
      <w:lvlText w:val="•"/>
      <w:lvlJc w:val="left"/>
      <w:pPr>
        <w:ind w:left="1687" w:hanging="360"/>
      </w:pPr>
      <w:rPr>
        <w:rFonts w:hint="default"/>
        <w:lang w:val="en-US" w:eastAsia="en-US" w:bidi="ar-SA"/>
      </w:rPr>
    </w:lvl>
    <w:lvl w:ilvl="3" w:tplc="AA34345E">
      <w:numFmt w:val="bullet"/>
      <w:lvlText w:val="•"/>
      <w:lvlJc w:val="left"/>
      <w:pPr>
        <w:ind w:left="2301" w:hanging="360"/>
      </w:pPr>
      <w:rPr>
        <w:rFonts w:hint="default"/>
        <w:lang w:val="en-US" w:eastAsia="en-US" w:bidi="ar-SA"/>
      </w:rPr>
    </w:lvl>
    <w:lvl w:ilvl="4" w:tplc="552CF338">
      <w:numFmt w:val="bullet"/>
      <w:lvlText w:val="•"/>
      <w:lvlJc w:val="left"/>
      <w:pPr>
        <w:ind w:left="2915" w:hanging="360"/>
      </w:pPr>
      <w:rPr>
        <w:rFonts w:hint="default"/>
        <w:lang w:val="en-US" w:eastAsia="en-US" w:bidi="ar-SA"/>
      </w:rPr>
    </w:lvl>
    <w:lvl w:ilvl="5" w:tplc="4CF02C38">
      <w:numFmt w:val="bullet"/>
      <w:lvlText w:val="•"/>
      <w:lvlJc w:val="left"/>
      <w:pPr>
        <w:ind w:left="3529" w:hanging="360"/>
      </w:pPr>
      <w:rPr>
        <w:rFonts w:hint="default"/>
        <w:lang w:val="en-US" w:eastAsia="en-US" w:bidi="ar-SA"/>
      </w:rPr>
    </w:lvl>
    <w:lvl w:ilvl="6" w:tplc="C0202CDC">
      <w:numFmt w:val="bullet"/>
      <w:lvlText w:val="•"/>
      <w:lvlJc w:val="left"/>
      <w:pPr>
        <w:ind w:left="4142" w:hanging="360"/>
      </w:pPr>
      <w:rPr>
        <w:rFonts w:hint="default"/>
        <w:lang w:val="en-US" w:eastAsia="en-US" w:bidi="ar-SA"/>
      </w:rPr>
    </w:lvl>
    <w:lvl w:ilvl="7" w:tplc="5B565C7C">
      <w:numFmt w:val="bullet"/>
      <w:lvlText w:val="•"/>
      <w:lvlJc w:val="left"/>
      <w:pPr>
        <w:ind w:left="4756" w:hanging="360"/>
      </w:pPr>
      <w:rPr>
        <w:rFonts w:hint="default"/>
        <w:lang w:val="en-US" w:eastAsia="en-US" w:bidi="ar-SA"/>
      </w:rPr>
    </w:lvl>
    <w:lvl w:ilvl="8" w:tplc="9D5C7D30">
      <w:numFmt w:val="bullet"/>
      <w:lvlText w:val="•"/>
      <w:lvlJc w:val="left"/>
      <w:pPr>
        <w:ind w:left="5370" w:hanging="360"/>
      </w:pPr>
      <w:rPr>
        <w:rFonts w:hint="default"/>
        <w:lang w:val="en-US" w:eastAsia="en-US" w:bidi="ar-SA"/>
      </w:rPr>
    </w:lvl>
  </w:abstractNum>
  <w:abstractNum w:abstractNumId="122" w15:restartNumberingAfterBreak="0">
    <w:nsid w:val="5C8B1455"/>
    <w:multiLevelType w:val="hybridMultilevel"/>
    <w:tmpl w:val="7708FC0E"/>
    <w:lvl w:ilvl="0" w:tplc="56A08A84">
      <w:numFmt w:val="bullet"/>
      <w:lvlText w:val="•"/>
      <w:lvlJc w:val="left"/>
      <w:pPr>
        <w:ind w:left="453" w:hanging="360"/>
      </w:pPr>
      <w:rPr>
        <w:rFonts w:ascii="Trebuchet MS" w:eastAsia="Trebuchet MS" w:hAnsi="Trebuchet MS" w:cs="Trebuchet MS" w:hint="default"/>
        <w:b w:val="0"/>
        <w:bCs w:val="0"/>
        <w:i w:val="0"/>
        <w:iCs w:val="0"/>
        <w:spacing w:val="0"/>
        <w:w w:val="89"/>
        <w:sz w:val="18"/>
        <w:szCs w:val="18"/>
        <w:lang w:val="en-US" w:eastAsia="en-US" w:bidi="ar-SA"/>
      </w:rPr>
    </w:lvl>
    <w:lvl w:ilvl="1" w:tplc="899CC7E2">
      <w:numFmt w:val="bullet"/>
      <w:lvlText w:val="•"/>
      <w:lvlJc w:val="left"/>
      <w:pPr>
        <w:ind w:left="1189" w:hanging="360"/>
      </w:pPr>
      <w:rPr>
        <w:rFonts w:hint="default"/>
        <w:lang w:val="en-US" w:eastAsia="en-US" w:bidi="ar-SA"/>
      </w:rPr>
    </w:lvl>
    <w:lvl w:ilvl="2" w:tplc="A2F2C84A">
      <w:numFmt w:val="bullet"/>
      <w:lvlText w:val="•"/>
      <w:lvlJc w:val="left"/>
      <w:pPr>
        <w:ind w:left="1919" w:hanging="360"/>
      </w:pPr>
      <w:rPr>
        <w:rFonts w:hint="default"/>
        <w:lang w:val="en-US" w:eastAsia="en-US" w:bidi="ar-SA"/>
      </w:rPr>
    </w:lvl>
    <w:lvl w:ilvl="3" w:tplc="562A075A">
      <w:numFmt w:val="bullet"/>
      <w:lvlText w:val="•"/>
      <w:lvlJc w:val="left"/>
      <w:pPr>
        <w:ind w:left="2648" w:hanging="360"/>
      </w:pPr>
      <w:rPr>
        <w:rFonts w:hint="default"/>
        <w:lang w:val="en-US" w:eastAsia="en-US" w:bidi="ar-SA"/>
      </w:rPr>
    </w:lvl>
    <w:lvl w:ilvl="4" w:tplc="61488B54">
      <w:numFmt w:val="bullet"/>
      <w:lvlText w:val="•"/>
      <w:lvlJc w:val="left"/>
      <w:pPr>
        <w:ind w:left="3378" w:hanging="360"/>
      </w:pPr>
      <w:rPr>
        <w:rFonts w:hint="default"/>
        <w:lang w:val="en-US" w:eastAsia="en-US" w:bidi="ar-SA"/>
      </w:rPr>
    </w:lvl>
    <w:lvl w:ilvl="5" w:tplc="AC560D78">
      <w:numFmt w:val="bullet"/>
      <w:lvlText w:val="•"/>
      <w:lvlJc w:val="left"/>
      <w:pPr>
        <w:ind w:left="4107" w:hanging="360"/>
      </w:pPr>
      <w:rPr>
        <w:rFonts w:hint="default"/>
        <w:lang w:val="en-US" w:eastAsia="en-US" w:bidi="ar-SA"/>
      </w:rPr>
    </w:lvl>
    <w:lvl w:ilvl="6" w:tplc="21700D3C">
      <w:numFmt w:val="bullet"/>
      <w:lvlText w:val="•"/>
      <w:lvlJc w:val="left"/>
      <w:pPr>
        <w:ind w:left="4837" w:hanging="360"/>
      </w:pPr>
      <w:rPr>
        <w:rFonts w:hint="default"/>
        <w:lang w:val="en-US" w:eastAsia="en-US" w:bidi="ar-SA"/>
      </w:rPr>
    </w:lvl>
    <w:lvl w:ilvl="7" w:tplc="16CC14AC">
      <w:numFmt w:val="bullet"/>
      <w:lvlText w:val="•"/>
      <w:lvlJc w:val="left"/>
      <w:pPr>
        <w:ind w:left="5566" w:hanging="360"/>
      </w:pPr>
      <w:rPr>
        <w:rFonts w:hint="default"/>
        <w:lang w:val="en-US" w:eastAsia="en-US" w:bidi="ar-SA"/>
      </w:rPr>
    </w:lvl>
    <w:lvl w:ilvl="8" w:tplc="63DEB6A6">
      <w:numFmt w:val="bullet"/>
      <w:lvlText w:val="•"/>
      <w:lvlJc w:val="left"/>
      <w:pPr>
        <w:ind w:left="6296" w:hanging="360"/>
      </w:pPr>
      <w:rPr>
        <w:rFonts w:hint="default"/>
        <w:lang w:val="en-US" w:eastAsia="en-US" w:bidi="ar-SA"/>
      </w:rPr>
    </w:lvl>
  </w:abstractNum>
  <w:abstractNum w:abstractNumId="123" w15:restartNumberingAfterBreak="0">
    <w:nsid w:val="5DDD2B64"/>
    <w:multiLevelType w:val="hybridMultilevel"/>
    <w:tmpl w:val="CBBC9C42"/>
    <w:lvl w:ilvl="0" w:tplc="168C7F88">
      <w:numFmt w:val="bullet"/>
      <w:lvlText w:val="•"/>
      <w:lvlJc w:val="left"/>
      <w:pPr>
        <w:ind w:left="523" w:hanging="360"/>
      </w:pPr>
      <w:rPr>
        <w:rFonts w:ascii="Trebuchet MS" w:eastAsia="Trebuchet MS" w:hAnsi="Trebuchet MS" w:cs="Trebuchet MS" w:hint="default"/>
        <w:b w:val="0"/>
        <w:bCs w:val="0"/>
        <w:i w:val="0"/>
        <w:iCs w:val="0"/>
        <w:spacing w:val="0"/>
        <w:w w:val="89"/>
        <w:sz w:val="18"/>
        <w:szCs w:val="18"/>
        <w:lang w:val="en-US" w:eastAsia="en-US" w:bidi="ar-SA"/>
      </w:rPr>
    </w:lvl>
    <w:lvl w:ilvl="1" w:tplc="015C9C24">
      <w:numFmt w:val="bullet"/>
      <w:lvlText w:val="•"/>
      <w:lvlJc w:val="left"/>
      <w:pPr>
        <w:ind w:left="1106" w:hanging="360"/>
      </w:pPr>
      <w:rPr>
        <w:rFonts w:hint="default"/>
        <w:lang w:val="en-US" w:eastAsia="en-US" w:bidi="ar-SA"/>
      </w:rPr>
    </w:lvl>
    <w:lvl w:ilvl="2" w:tplc="811CA772">
      <w:numFmt w:val="bullet"/>
      <w:lvlText w:val="•"/>
      <w:lvlJc w:val="left"/>
      <w:pPr>
        <w:ind w:left="1693" w:hanging="360"/>
      </w:pPr>
      <w:rPr>
        <w:rFonts w:hint="default"/>
        <w:lang w:val="en-US" w:eastAsia="en-US" w:bidi="ar-SA"/>
      </w:rPr>
    </w:lvl>
    <w:lvl w:ilvl="3" w:tplc="6EDEDDEE">
      <w:numFmt w:val="bullet"/>
      <w:lvlText w:val="•"/>
      <w:lvlJc w:val="left"/>
      <w:pPr>
        <w:ind w:left="2280" w:hanging="360"/>
      </w:pPr>
      <w:rPr>
        <w:rFonts w:hint="default"/>
        <w:lang w:val="en-US" w:eastAsia="en-US" w:bidi="ar-SA"/>
      </w:rPr>
    </w:lvl>
    <w:lvl w:ilvl="4" w:tplc="ABE4CE4A">
      <w:numFmt w:val="bullet"/>
      <w:lvlText w:val="•"/>
      <w:lvlJc w:val="left"/>
      <w:pPr>
        <w:ind w:left="2866" w:hanging="360"/>
      </w:pPr>
      <w:rPr>
        <w:rFonts w:hint="default"/>
        <w:lang w:val="en-US" w:eastAsia="en-US" w:bidi="ar-SA"/>
      </w:rPr>
    </w:lvl>
    <w:lvl w:ilvl="5" w:tplc="73446D00">
      <w:numFmt w:val="bullet"/>
      <w:lvlText w:val="•"/>
      <w:lvlJc w:val="left"/>
      <w:pPr>
        <w:ind w:left="3453" w:hanging="360"/>
      </w:pPr>
      <w:rPr>
        <w:rFonts w:hint="default"/>
        <w:lang w:val="en-US" w:eastAsia="en-US" w:bidi="ar-SA"/>
      </w:rPr>
    </w:lvl>
    <w:lvl w:ilvl="6" w:tplc="2E1AF034">
      <w:numFmt w:val="bullet"/>
      <w:lvlText w:val="•"/>
      <w:lvlJc w:val="left"/>
      <w:pPr>
        <w:ind w:left="4040" w:hanging="360"/>
      </w:pPr>
      <w:rPr>
        <w:rFonts w:hint="default"/>
        <w:lang w:val="en-US" w:eastAsia="en-US" w:bidi="ar-SA"/>
      </w:rPr>
    </w:lvl>
    <w:lvl w:ilvl="7" w:tplc="797E7A4A">
      <w:numFmt w:val="bullet"/>
      <w:lvlText w:val="•"/>
      <w:lvlJc w:val="left"/>
      <w:pPr>
        <w:ind w:left="4626" w:hanging="360"/>
      </w:pPr>
      <w:rPr>
        <w:rFonts w:hint="default"/>
        <w:lang w:val="en-US" w:eastAsia="en-US" w:bidi="ar-SA"/>
      </w:rPr>
    </w:lvl>
    <w:lvl w:ilvl="8" w:tplc="DB947428">
      <w:numFmt w:val="bullet"/>
      <w:lvlText w:val="•"/>
      <w:lvlJc w:val="left"/>
      <w:pPr>
        <w:ind w:left="5213" w:hanging="360"/>
      </w:pPr>
      <w:rPr>
        <w:rFonts w:hint="default"/>
        <w:lang w:val="en-US" w:eastAsia="en-US" w:bidi="ar-SA"/>
      </w:rPr>
    </w:lvl>
  </w:abstractNum>
  <w:abstractNum w:abstractNumId="124" w15:restartNumberingAfterBreak="0">
    <w:nsid w:val="5DFC645D"/>
    <w:multiLevelType w:val="hybridMultilevel"/>
    <w:tmpl w:val="12C0AB80"/>
    <w:lvl w:ilvl="0" w:tplc="DDE2B44E">
      <w:numFmt w:val="bullet"/>
      <w:lvlText w:val="•"/>
      <w:lvlJc w:val="left"/>
      <w:pPr>
        <w:ind w:left="533" w:hanging="360"/>
      </w:pPr>
      <w:rPr>
        <w:rFonts w:ascii="Trebuchet MS" w:eastAsia="Trebuchet MS" w:hAnsi="Trebuchet MS" w:cs="Trebuchet MS" w:hint="default"/>
        <w:b w:val="0"/>
        <w:bCs w:val="0"/>
        <w:i w:val="0"/>
        <w:iCs w:val="0"/>
        <w:spacing w:val="0"/>
        <w:w w:val="89"/>
        <w:sz w:val="18"/>
        <w:szCs w:val="18"/>
        <w:lang w:val="en-US" w:eastAsia="en-US" w:bidi="ar-SA"/>
      </w:rPr>
    </w:lvl>
    <w:lvl w:ilvl="1" w:tplc="AE488C2C">
      <w:numFmt w:val="bullet"/>
      <w:lvlText w:val="•"/>
      <w:lvlJc w:val="left"/>
      <w:pPr>
        <w:ind w:left="1253" w:hanging="360"/>
      </w:pPr>
      <w:rPr>
        <w:rFonts w:hint="default"/>
        <w:lang w:val="en-US" w:eastAsia="en-US" w:bidi="ar-SA"/>
      </w:rPr>
    </w:lvl>
    <w:lvl w:ilvl="2" w:tplc="1A163CCE">
      <w:numFmt w:val="bullet"/>
      <w:lvlText w:val="•"/>
      <w:lvlJc w:val="left"/>
      <w:pPr>
        <w:ind w:left="1967" w:hanging="360"/>
      </w:pPr>
      <w:rPr>
        <w:rFonts w:hint="default"/>
        <w:lang w:val="en-US" w:eastAsia="en-US" w:bidi="ar-SA"/>
      </w:rPr>
    </w:lvl>
    <w:lvl w:ilvl="3" w:tplc="22C8BC04">
      <w:numFmt w:val="bullet"/>
      <w:lvlText w:val="•"/>
      <w:lvlJc w:val="left"/>
      <w:pPr>
        <w:ind w:left="2680" w:hanging="360"/>
      </w:pPr>
      <w:rPr>
        <w:rFonts w:hint="default"/>
        <w:lang w:val="en-US" w:eastAsia="en-US" w:bidi="ar-SA"/>
      </w:rPr>
    </w:lvl>
    <w:lvl w:ilvl="4" w:tplc="7D12B484">
      <w:numFmt w:val="bullet"/>
      <w:lvlText w:val="•"/>
      <w:lvlJc w:val="left"/>
      <w:pPr>
        <w:ind w:left="3394" w:hanging="360"/>
      </w:pPr>
      <w:rPr>
        <w:rFonts w:hint="default"/>
        <w:lang w:val="en-US" w:eastAsia="en-US" w:bidi="ar-SA"/>
      </w:rPr>
    </w:lvl>
    <w:lvl w:ilvl="5" w:tplc="9CBEA59A">
      <w:numFmt w:val="bullet"/>
      <w:lvlText w:val="•"/>
      <w:lvlJc w:val="left"/>
      <w:pPr>
        <w:ind w:left="4107" w:hanging="360"/>
      </w:pPr>
      <w:rPr>
        <w:rFonts w:hint="default"/>
        <w:lang w:val="en-US" w:eastAsia="en-US" w:bidi="ar-SA"/>
      </w:rPr>
    </w:lvl>
    <w:lvl w:ilvl="6" w:tplc="9BC0A300">
      <w:numFmt w:val="bullet"/>
      <w:lvlText w:val="•"/>
      <w:lvlJc w:val="left"/>
      <w:pPr>
        <w:ind w:left="4821" w:hanging="360"/>
      </w:pPr>
      <w:rPr>
        <w:rFonts w:hint="default"/>
        <w:lang w:val="en-US" w:eastAsia="en-US" w:bidi="ar-SA"/>
      </w:rPr>
    </w:lvl>
    <w:lvl w:ilvl="7" w:tplc="BA92E992">
      <w:numFmt w:val="bullet"/>
      <w:lvlText w:val="•"/>
      <w:lvlJc w:val="left"/>
      <w:pPr>
        <w:ind w:left="5534" w:hanging="360"/>
      </w:pPr>
      <w:rPr>
        <w:rFonts w:hint="default"/>
        <w:lang w:val="en-US" w:eastAsia="en-US" w:bidi="ar-SA"/>
      </w:rPr>
    </w:lvl>
    <w:lvl w:ilvl="8" w:tplc="3E1630DA">
      <w:numFmt w:val="bullet"/>
      <w:lvlText w:val="•"/>
      <w:lvlJc w:val="left"/>
      <w:pPr>
        <w:ind w:left="6248" w:hanging="360"/>
      </w:pPr>
      <w:rPr>
        <w:rFonts w:hint="default"/>
        <w:lang w:val="en-US" w:eastAsia="en-US" w:bidi="ar-SA"/>
      </w:rPr>
    </w:lvl>
  </w:abstractNum>
  <w:abstractNum w:abstractNumId="125" w15:restartNumberingAfterBreak="0">
    <w:nsid w:val="5E2869FE"/>
    <w:multiLevelType w:val="hybridMultilevel"/>
    <w:tmpl w:val="EA509AC6"/>
    <w:lvl w:ilvl="0" w:tplc="23FCEBAC">
      <w:numFmt w:val="bullet"/>
      <w:lvlText w:val="•"/>
      <w:lvlJc w:val="left"/>
      <w:pPr>
        <w:ind w:left="478" w:hanging="360"/>
      </w:pPr>
      <w:rPr>
        <w:rFonts w:ascii="Trebuchet MS" w:eastAsia="Trebuchet MS" w:hAnsi="Trebuchet MS" w:cs="Trebuchet MS" w:hint="default"/>
        <w:b w:val="0"/>
        <w:bCs w:val="0"/>
        <w:i w:val="0"/>
        <w:iCs w:val="0"/>
        <w:spacing w:val="0"/>
        <w:w w:val="89"/>
        <w:sz w:val="18"/>
        <w:szCs w:val="18"/>
        <w:lang w:val="en-US" w:eastAsia="en-US" w:bidi="ar-SA"/>
      </w:rPr>
    </w:lvl>
    <w:lvl w:ilvl="1" w:tplc="B79093FA">
      <w:numFmt w:val="bullet"/>
      <w:lvlText w:val="•"/>
      <w:lvlJc w:val="left"/>
      <w:pPr>
        <w:ind w:left="1111" w:hanging="360"/>
      </w:pPr>
      <w:rPr>
        <w:rFonts w:hint="default"/>
        <w:lang w:val="en-US" w:eastAsia="en-US" w:bidi="ar-SA"/>
      </w:rPr>
    </w:lvl>
    <w:lvl w:ilvl="2" w:tplc="7034F82E">
      <w:numFmt w:val="bullet"/>
      <w:lvlText w:val="•"/>
      <w:lvlJc w:val="left"/>
      <w:pPr>
        <w:ind w:left="1742" w:hanging="360"/>
      </w:pPr>
      <w:rPr>
        <w:rFonts w:hint="default"/>
        <w:lang w:val="en-US" w:eastAsia="en-US" w:bidi="ar-SA"/>
      </w:rPr>
    </w:lvl>
    <w:lvl w:ilvl="3" w:tplc="8D50BD4C">
      <w:numFmt w:val="bullet"/>
      <w:lvlText w:val="•"/>
      <w:lvlJc w:val="left"/>
      <w:pPr>
        <w:ind w:left="2373" w:hanging="360"/>
      </w:pPr>
      <w:rPr>
        <w:rFonts w:hint="default"/>
        <w:lang w:val="en-US" w:eastAsia="en-US" w:bidi="ar-SA"/>
      </w:rPr>
    </w:lvl>
    <w:lvl w:ilvl="4" w:tplc="A14A3EE2">
      <w:numFmt w:val="bullet"/>
      <w:lvlText w:val="•"/>
      <w:lvlJc w:val="left"/>
      <w:pPr>
        <w:ind w:left="3004" w:hanging="360"/>
      </w:pPr>
      <w:rPr>
        <w:rFonts w:hint="default"/>
        <w:lang w:val="en-US" w:eastAsia="en-US" w:bidi="ar-SA"/>
      </w:rPr>
    </w:lvl>
    <w:lvl w:ilvl="5" w:tplc="F6EEC1A8">
      <w:numFmt w:val="bullet"/>
      <w:lvlText w:val="•"/>
      <w:lvlJc w:val="left"/>
      <w:pPr>
        <w:ind w:left="3635" w:hanging="360"/>
      </w:pPr>
      <w:rPr>
        <w:rFonts w:hint="default"/>
        <w:lang w:val="en-US" w:eastAsia="en-US" w:bidi="ar-SA"/>
      </w:rPr>
    </w:lvl>
    <w:lvl w:ilvl="6" w:tplc="0294427C">
      <w:numFmt w:val="bullet"/>
      <w:lvlText w:val="•"/>
      <w:lvlJc w:val="left"/>
      <w:pPr>
        <w:ind w:left="4266" w:hanging="360"/>
      </w:pPr>
      <w:rPr>
        <w:rFonts w:hint="default"/>
        <w:lang w:val="en-US" w:eastAsia="en-US" w:bidi="ar-SA"/>
      </w:rPr>
    </w:lvl>
    <w:lvl w:ilvl="7" w:tplc="DFA2EB80">
      <w:numFmt w:val="bullet"/>
      <w:lvlText w:val="•"/>
      <w:lvlJc w:val="left"/>
      <w:pPr>
        <w:ind w:left="4897" w:hanging="360"/>
      </w:pPr>
      <w:rPr>
        <w:rFonts w:hint="default"/>
        <w:lang w:val="en-US" w:eastAsia="en-US" w:bidi="ar-SA"/>
      </w:rPr>
    </w:lvl>
    <w:lvl w:ilvl="8" w:tplc="2C448110">
      <w:numFmt w:val="bullet"/>
      <w:lvlText w:val="•"/>
      <w:lvlJc w:val="left"/>
      <w:pPr>
        <w:ind w:left="5528" w:hanging="360"/>
      </w:pPr>
      <w:rPr>
        <w:rFonts w:hint="default"/>
        <w:lang w:val="en-US" w:eastAsia="en-US" w:bidi="ar-SA"/>
      </w:rPr>
    </w:lvl>
  </w:abstractNum>
  <w:abstractNum w:abstractNumId="126" w15:restartNumberingAfterBreak="0">
    <w:nsid w:val="5F050C8E"/>
    <w:multiLevelType w:val="hybridMultilevel"/>
    <w:tmpl w:val="A22023AC"/>
    <w:lvl w:ilvl="0" w:tplc="CE646D9C">
      <w:numFmt w:val="bullet"/>
      <w:lvlText w:val="•"/>
      <w:lvlJc w:val="left"/>
      <w:pPr>
        <w:ind w:left="516" w:hanging="360"/>
      </w:pPr>
      <w:rPr>
        <w:rFonts w:ascii="Trebuchet MS" w:eastAsia="Trebuchet MS" w:hAnsi="Trebuchet MS" w:cs="Trebuchet MS" w:hint="default"/>
        <w:b w:val="0"/>
        <w:bCs w:val="0"/>
        <w:i w:val="0"/>
        <w:iCs w:val="0"/>
        <w:spacing w:val="0"/>
        <w:w w:val="89"/>
        <w:sz w:val="18"/>
        <w:szCs w:val="18"/>
        <w:lang w:val="en-US" w:eastAsia="en-US" w:bidi="ar-SA"/>
      </w:rPr>
    </w:lvl>
    <w:lvl w:ilvl="1" w:tplc="81FE7B70">
      <w:numFmt w:val="bullet"/>
      <w:lvlText w:val="•"/>
      <w:lvlJc w:val="left"/>
      <w:pPr>
        <w:ind w:left="1237" w:hanging="360"/>
      </w:pPr>
      <w:rPr>
        <w:rFonts w:hint="default"/>
        <w:lang w:val="en-US" w:eastAsia="en-US" w:bidi="ar-SA"/>
      </w:rPr>
    </w:lvl>
    <w:lvl w:ilvl="2" w:tplc="DE46D47E">
      <w:numFmt w:val="bullet"/>
      <w:lvlText w:val="•"/>
      <w:lvlJc w:val="left"/>
      <w:pPr>
        <w:ind w:left="1954" w:hanging="360"/>
      </w:pPr>
      <w:rPr>
        <w:rFonts w:hint="default"/>
        <w:lang w:val="en-US" w:eastAsia="en-US" w:bidi="ar-SA"/>
      </w:rPr>
    </w:lvl>
    <w:lvl w:ilvl="3" w:tplc="8AB6E586">
      <w:numFmt w:val="bullet"/>
      <w:lvlText w:val="•"/>
      <w:lvlJc w:val="left"/>
      <w:pPr>
        <w:ind w:left="2671" w:hanging="360"/>
      </w:pPr>
      <w:rPr>
        <w:rFonts w:hint="default"/>
        <w:lang w:val="en-US" w:eastAsia="en-US" w:bidi="ar-SA"/>
      </w:rPr>
    </w:lvl>
    <w:lvl w:ilvl="4" w:tplc="CD582B4E">
      <w:numFmt w:val="bullet"/>
      <w:lvlText w:val="•"/>
      <w:lvlJc w:val="left"/>
      <w:pPr>
        <w:ind w:left="3388" w:hanging="360"/>
      </w:pPr>
      <w:rPr>
        <w:rFonts w:hint="default"/>
        <w:lang w:val="en-US" w:eastAsia="en-US" w:bidi="ar-SA"/>
      </w:rPr>
    </w:lvl>
    <w:lvl w:ilvl="5" w:tplc="D2B05BC2">
      <w:numFmt w:val="bullet"/>
      <w:lvlText w:val="•"/>
      <w:lvlJc w:val="left"/>
      <w:pPr>
        <w:ind w:left="4106" w:hanging="360"/>
      </w:pPr>
      <w:rPr>
        <w:rFonts w:hint="default"/>
        <w:lang w:val="en-US" w:eastAsia="en-US" w:bidi="ar-SA"/>
      </w:rPr>
    </w:lvl>
    <w:lvl w:ilvl="6" w:tplc="95F2EF3E">
      <w:numFmt w:val="bullet"/>
      <w:lvlText w:val="•"/>
      <w:lvlJc w:val="left"/>
      <w:pPr>
        <w:ind w:left="4823" w:hanging="360"/>
      </w:pPr>
      <w:rPr>
        <w:rFonts w:hint="default"/>
        <w:lang w:val="en-US" w:eastAsia="en-US" w:bidi="ar-SA"/>
      </w:rPr>
    </w:lvl>
    <w:lvl w:ilvl="7" w:tplc="C49413DE">
      <w:numFmt w:val="bullet"/>
      <w:lvlText w:val="•"/>
      <w:lvlJc w:val="left"/>
      <w:pPr>
        <w:ind w:left="5540" w:hanging="360"/>
      </w:pPr>
      <w:rPr>
        <w:rFonts w:hint="default"/>
        <w:lang w:val="en-US" w:eastAsia="en-US" w:bidi="ar-SA"/>
      </w:rPr>
    </w:lvl>
    <w:lvl w:ilvl="8" w:tplc="88C68298">
      <w:numFmt w:val="bullet"/>
      <w:lvlText w:val="•"/>
      <w:lvlJc w:val="left"/>
      <w:pPr>
        <w:ind w:left="6257" w:hanging="360"/>
      </w:pPr>
      <w:rPr>
        <w:rFonts w:hint="default"/>
        <w:lang w:val="en-US" w:eastAsia="en-US" w:bidi="ar-SA"/>
      </w:rPr>
    </w:lvl>
  </w:abstractNum>
  <w:abstractNum w:abstractNumId="127" w15:restartNumberingAfterBreak="0">
    <w:nsid w:val="5F77345B"/>
    <w:multiLevelType w:val="hybridMultilevel"/>
    <w:tmpl w:val="7C24EA36"/>
    <w:lvl w:ilvl="0" w:tplc="BD727934">
      <w:numFmt w:val="bullet"/>
      <w:lvlText w:val="•"/>
      <w:lvlJc w:val="left"/>
      <w:pPr>
        <w:ind w:left="415" w:hanging="360"/>
      </w:pPr>
      <w:rPr>
        <w:rFonts w:ascii="Trebuchet MS" w:eastAsia="Trebuchet MS" w:hAnsi="Trebuchet MS" w:cs="Trebuchet MS" w:hint="default"/>
        <w:b w:val="0"/>
        <w:bCs w:val="0"/>
        <w:i w:val="0"/>
        <w:iCs w:val="0"/>
        <w:spacing w:val="0"/>
        <w:w w:val="89"/>
        <w:sz w:val="18"/>
        <w:szCs w:val="18"/>
        <w:lang w:val="en-US" w:eastAsia="en-US" w:bidi="ar-SA"/>
      </w:rPr>
    </w:lvl>
    <w:lvl w:ilvl="1" w:tplc="3160770C">
      <w:numFmt w:val="bullet"/>
      <w:lvlText w:val="•"/>
      <w:lvlJc w:val="left"/>
      <w:pPr>
        <w:ind w:left="1059" w:hanging="360"/>
      </w:pPr>
      <w:rPr>
        <w:rFonts w:hint="default"/>
        <w:lang w:val="en-US" w:eastAsia="en-US" w:bidi="ar-SA"/>
      </w:rPr>
    </w:lvl>
    <w:lvl w:ilvl="2" w:tplc="7BDC22CA">
      <w:numFmt w:val="bullet"/>
      <w:lvlText w:val="•"/>
      <w:lvlJc w:val="left"/>
      <w:pPr>
        <w:ind w:left="1699" w:hanging="360"/>
      </w:pPr>
      <w:rPr>
        <w:rFonts w:hint="default"/>
        <w:lang w:val="en-US" w:eastAsia="en-US" w:bidi="ar-SA"/>
      </w:rPr>
    </w:lvl>
    <w:lvl w:ilvl="3" w:tplc="E084A8F6">
      <w:numFmt w:val="bullet"/>
      <w:lvlText w:val="•"/>
      <w:lvlJc w:val="left"/>
      <w:pPr>
        <w:ind w:left="2339" w:hanging="360"/>
      </w:pPr>
      <w:rPr>
        <w:rFonts w:hint="default"/>
        <w:lang w:val="en-US" w:eastAsia="en-US" w:bidi="ar-SA"/>
      </w:rPr>
    </w:lvl>
    <w:lvl w:ilvl="4" w:tplc="7752173C">
      <w:numFmt w:val="bullet"/>
      <w:lvlText w:val="•"/>
      <w:lvlJc w:val="left"/>
      <w:pPr>
        <w:ind w:left="2979" w:hanging="360"/>
      </w:pPr>
      <w:rPr>
        <w:rFonts w:hint="default"/>
        <w:lang w:val="en-US" w:eastAsia="en-US" w:bidi="ar-SA"/>
      </w:rPr>
    </w:lvl>
    <w:lvl w:ilvl="5" w:tplc="DC44B160">
      <w:numFmt w:val="bullet"/>
      <w:lvlText w:val="•"/>
      <w:lvlJc w:val="left"/>
      <w:pPr>
        <w:ind w:left="3619" w:hanging="360"/>
      </w:pPr>
      <w:rPr>
        <w:rFonts w:hint="default"/>
        <w:lang w:val="en-US" w:eastAsia="en-US" w:bidi="ar-SA"/>
      </w:rPr>
    </w:lvl>
    <w:lvl w:ilvl="6" w:tplc="1BF85D38">
      <w:numFmt w:val="bullet"/>
      <w:lvlText w:val="•"/>
      <w:lvlJc w:val="left"/>
      <w:pPr>
        <w:ind w:left="4258" w:hanging="360"/>
      </w:pPr>
      <w:rPr>
        <w:rFonts w:hint="default"/>
        <w:lang w:val="en-US" w:eastAsia="en-US" w:bidi="ar-SA"/>
      </w:rPr>
    </w:lvl>
    <w:lvl w:ilvl="7" w:tplc="9AFAD0CC">
      <w:numFmt w:val="bullet"/>
      <w:lvlText w:val="•"/>
      <w:lvlJc w:val="left"/>
      <w:pPr>
        <w:ind w:left="4898" w:hanging="360"/>
      </w:pPr>
      <w:rPr>
        <w:rFonts w:hint="default"/>
        <w:lang w:val="en-US" w:eastAsia="en-US" w:bidi="ar-SA"/>
      </w:rPr>
    </w:lvl>
    <w:lvl w:ilvl="8" w:tplc="C1020968">
      <w:numFmt w:val="bullet"/>
      <w:lvlText w:val="•"/>
      <w:lvlJc w:val="left"/>
      <w:pPr>
        <w:ind w:left="5538" w:hanging="360"/>
      </w:pPr>
      <w:rPr>
        <w:rFonts w:hint="default"/>
        <w:lang w:val="en-US" w:eastAsia="en-US" w:bidi="ar-SA"/>
      </w:rPr>
    </w:lvl>
  </w:abstractNum>
  <w:abstractNum w:abstractNumId="128" w15:restartNumberingAfterBreak="0">
    <w:nsid w:val="625B0BAF"/>
    <w:multiLevelType w:val="hybridMultilevel"/>
    <w:tmpl w:val="C32A953E"/>
    <w:lvl w:ilvl="0" w:tplc="159E939C">
      <w:numFmt w:val="bullet"/>
      <w:lvlText w:val="•"/>
      <w:lvlJc w:val="left"/>
      <w:pPr>
        <w:ind w:left="533" w:hanging="360"/>
      </w:pPr>
      <w:rPr>
        <w:rFonts w:ascii="Trebuchet MS" w:eastAsia="Trebuchet MS" w:hAnsi="Trebuchet MS" w:cs="Trebuchet MS" w:hint="default"/>
        <w:b w:val="0"/>
        <w:bCs w:val="0"/>
        <w:i w:val="0"/>
        <w:iCs w:val="0"/>
        <w:spacing w:val="0"/>
        <w:w w:val="89"/>
        <w:sz w:val="18"/>
        <w:szCs w:val="18"/>
        <w:lang w:val="en-US" w:eastAsia="en-US" w:bidi="ar-SA"/>
      </w:rPr>
    </w:lvl>
    <w:lvl w:ilvl="1" w:tplc="6ABE67B6">
      <w:numFmt w:val="bullet"/>
      <w:lvlText w:val="•"/>
      <w:lvlJc w:val="left"/>
      <w:pPr>
        <w:ind w:left="1253" w:hanging="360"/>
      </w:pPr>
      <w:rPr>
        <w:rFonts w:hint="default"/>
        <w:lang w:val="en-US" w:eastAsia="en-US" w:bidi="ar-SA"/>
      </w:rPr>
    </w:lvl>
    <w:lvl w:ilvl="2" w:tplc="3044155A">
      <w:numFmt w:val="bullet"/>
      <w:lvlText w:val="•"/>
      <w:lvlJc w:val="left"/>
      <w:pPr>
        <w:ind w:left="1967" w:hanging="360"/>
      </w:pPr>
      <w:rPr>
        <w:rFonts w:hint="default"/>
        <w:lang w:val="en-US" w:eastAsia="en-US" w:bidi="ar-SA"/>
      </w:rPr>
    </w:lvl>
    <w:lvl w:ilvl="3" w:tplc="85A0E4D4">
      <w:numFmt w:val="bullet"/>
      <w:lvlText w:val="•"/>
      <w:lvlJc w:val="left"/>
      <w:pPr>
        <w:ind w:left="2680" w:hanging="360"/>
      </w:pPr>
      <w:rPr>
        <w:rFonts w:hint="default"/>
        <w:lang w:val="en-US" w:eastAsia="en-US" w:bidi="ar-SA"/>
      </w:rPr>
    </w:lvl>
    <w:lvl w:ilvl="4" w:tplc="2D06A7FE">
      <w:numFmt w:val="bullet"/>
      <w:lvlText w:val="•"/>
      <w:lvlJc w:val="left"/>
      <w:pPr>
        <w:ind w:left="3394" w:hanging="360"/>
      </w:pPr>
      <w:rPr>
        <w:rFonts w:hint="default"/>
        <w:lang w:val="en-US" w:eastAsia="en-US" w:bidi="ar-SA"/>
      </w:rPr>
    </w:lvl>
    <w:lvl w:ilvl="5" w:tplc="3EC0C9B4">
      <w:numFmt w:val="bullet"/>
      <w:lvlText w:val="•"/>
      <w:lvlJc w:val="left"/>
      <w:pPr>
        <w:ind w:left="4107" w:hanging="360"/>
      </w:pPr>
      <w:rPr>
        <w:rFonts w:hint="default"/>
        <w:lang w:val="en-US" w:eastAsia="en-US" w:bidi="ar-SA"/>
      </w:rPr>
    </w:lvl>
    <w:lvl w:ilvl="6" w:tplc="76C29174">
      <w:numFmt w:val="bullet"/>
      <w:lvlText w:val="•"/>
      <w:lvlJc w:val="left"/>
      <w:pPr>
        <w:ind w:left="4821" w:hanging="360"/>
      </w:pPr>
      <w:rPr>
        <w:rFonts w:hint="default"/>
        <w:lang w:val="en-US" w:eastAsia="en-US" w:bidi="ar-SA"/>
      </w:rPr>
    </w:lvl>
    <w:lvl w:ilvl="7" w:tplc="A0A2E524">
      <w:numFmt w:val="bullet"/>
      <w:lvlText w:val="•"/>
      <w:lvlJc w:val="left"/>
      <w:pPr>
        <w:ind w:left="5534" w:hanging="360"/>
      </w:pPr>
      <w:rPr>
        <w:rFonts w:hint="default"/>
        <w:lang w:val="en-US" w:eastAsia="en-US" w:bidi="ar-SA"/>
      </w:rPr>
    </w:lvl>
    <w:lvl w:ilvl="8" w:tplc="12D017F2">
      <w:numFmt w:val="bullet"/>
      <w:lvlText w:val="•"/>
      <w:lvlJc w:val="left"/>
      <w:pPr>
        <w:ind w:left="6248" w:hanging="360"/>
      </w:pPr>
      <w:rPr>
        <w:rFonts w:hint="default"/>
        <w:lang w:val="en-US" w:eastAsia="en-US" w:bidi="ar-SA"/>
      </w:rPr>
    </w:lvl>
  </w:abstractNum>
  <w:abstractNum w:abstractNumId="129" w15:restartNumberingAfterBreak="0">
    <w:nsid w:val="62DE2380"/>
    <w:multiLevelType w:val="hybridMultilevel"/>
    <w:tmpl w:val="3CB4403E"/>
    <w:lvl w:ilvl="0" w:tplc="EC94756C">
      <w:numFmt w:val="bullet"/>
      <w:lvlText w:val="•"/>
      <w:lvlJc w:val="left"/>
      <w:pPr>
        <w:ind w:left="439" w:hanging="360"/>
      </w:pPr>
      <w:rPr>
        <w:rFonts w:ascii="Trebuchet MS" w:eastAsia="Trebuchet MS" w:hAnsi="Trebuchet MS" w:cs="Trebuchet MS" w:hint="default"/>
        <w:b w:val="0"/>
        <w:bCs w:val="0"/>
        <w:i w:val="0"/>
        <w:iCs w:val="0"/>
        <w:spacing w:val="0"/>
        <w:w w:val="89"/>
        <w:sz w:val="18"/>
        <w:szCs w:val="18"/>
        <w:lang w:val="en-US" w:eastAsia="en-US" w:bidi="ar-SA"/>
      </w:rPr>
    </w:lvl>
    <w:lvl w:ilvl="1" w:tplc="3BC41C98">
      <w:numFmt w:val="bullet"/>
      <w:lvlText w:val="•"/>
      <w:lvlJc w:val="left"/>
      <w:pPr>
        <w:ind w:left="918" w:hanging="360"/>
      </w:pPr>
      <w:rPr>
        <w:rFonts w:hint="default"/>
        <w:lang w:val="en-US" w:eastAsia="en-US" w:bidi="ar-SA"/>
      </w:rPr>
    </w:lvl>
    <w:lvl w:ilvl="2" w:tplc="67467C7C">
      <w:numFmt w:val="bullet"/>
      <w:lvlText w:val="•"/>
      <w:lvlJc w:val="left"/>
      <w:pPr>
        <w:ind w:left="1396" w:hanging="360"/>
      </w:pPr>
      <w:rPr>
        <w:rFonts w:hint="default"/>
        <w:lang w:val="en-US" w:eastAsia="en-US" w:bidi="ar-SA"/>
      </w:rPr>
    </w:lvl>
    <w:lvl w:ilvl="3" w:tplc="05ACFD44">
      <w:numFmt w:val="bullet"/>
      <w:lvlText w:val="•"/>
      <w:lvlJc w:val="left"/>
      <w:pPr>
        <w:ind w:left="1874" w:hanging="360"/>
      </w:pPr>
      <w:rPr>
        <w:rFonts w:hint="default"/>
        <w:lang w:val="en-US" w:eastAsia="en-US" w:bidi="ar-SA"/>
      </w:rPr>
    </w:lvl>
    <w:lvl w:ilvl="4" w:tplc="AEC8CC76">
      <w:numFmt w:val="bullet"/>
      <w:lvlText w:val="•"/>
      <w:lvlJc w:val="left"/>
      <w:pPr>
        <w:ind w:left="2352" w:hanging="360"/>
      </w:pPr>
      <w:rPr>
        <w:rFonts w:hint="default"/>
        <w:lang w:val="en-US" w:eastAsia="en-US" w:bidi="ar-SA"/>
      </w:rPr>
    </w:lvl>
    <w:lvl w:ilvl="5" w:tplc="5CA0D116">
      <w:numFmt w:val="bullet"/>
      <w:lvlText w:val="•"/>
      <w:lvlJc w:val="left"/>
      <w:pPr>
        <w:ind w:left="2830" w:hanging="360"/>
      </w:pPr>
      <w:rPr>
        <w:rFonts w:hint="default"/>
        <w:lang w:val="en-US" w:eastAsia="en-US" w:bidi="ar-SA"/>
      </w:rPr>
    </w:lvl>
    <w:lvl w:ilvl="6" w:tplc="EF540A8C">
      <w:numFmt w:val="bullet"/>
      <w:lvlText w:val="•"/>
      <w:lvlJc w:val="left"/>
      <w:pPr>
        <w:ind w:left="3308" w:hanging="360"/>
      </w:pPr>
      <w:rPr>
        <w:rFonts w:hint="default"/>
        <w:lang w:val="en-US" w:eastAsia="en-US" w:bidi="ar-SA"/>
      </w:rPr>
    </w:lvl>
    <w:lvl w:ilvl="7" w:tplc="DA44F8C2">
      <w:numFmt w:val="bullet"/>
      <w:lvlText w:val="•"/>
      <w:lvlJc w:val="left"/>
      <w:pPr>
        <w:ind w:left="3786" w:hanging="360"/>
      </w:pPr>
      <w:rPr>
        <w:rFonts w:hint="default"/>
        <w:lang w:val="en-US" w:eastAsia="en-US" w:bidi="ar-SA"/>
      </w:rPr>
    </w:lvl>
    <w:lvl w:ilvl="8" w:tplc="DF0C8954">
      <w:numFmt w:val="bullet"/>
      <w:lvlText w:val="•"/>
      <w:lvlJc w:val="left"/>
      <w:pPr>
        <w:ind w:left="4264" w:hanging="360"/>
      </w:pPr>
      <w:rPr>
        <w:rFonts w:hint="default"/>
        <w:lang w:val="en-US" w:eastAsia="en-US" w:bidi="ar-SA"/>
      </w:rPr>
    </w:lvl>
  </w:abstractNum>
  <w:abstractNum w:abstractNumId="130" w15:restartNumberingAfterBreak="0">
    <w:nsid w:val="65606DD9"/>
    <w:multiLevelType w:val="hybridMultilevel"/>
    <w:tmpl w:val="0026EDD4"/>
    <w:lvl w:ilvl="0" w:tplc="A150E0A6">
      <w:numFmt w:val="bullet"/>
      <w:lvlText w:val="•"/>
      <w:lvlJc w:val="left"/>
      <w:pPr>
        <w:ind w:left="437" w:hanging="360"/>
      </w:pPr>
      <w:rPr>
        <w:rFonts w:ascii="Trebuchet MS" w:eastAsia="Trebuchet MS" w:hAnsi="Trebuchet MS" w:cs="Trebuchet MS" w:hint="default"/>
        <w:b w:val="0"/>
        <w:bCs w:val="0"/>
        <w:i w:val="0"/>
        <w:iCs w:val="0"/>
        <w:spacing w:val="0"/>
        <w:w w:val="89"/>
        <w:sz w:val="18"/>
        <w:szCs w:val="18"/>
        <w:lang w:val="en-US" w:eastAsia="en-US" w:bidi="ar-SA"/>
      </w:rPr>
    </w:lvl>
    <w:lvl w:ilvl="1" w:tplc="FF8AE734">
      <w:numFmt w:val="bullet"/>
      <w:lvlText w:val="•"/>
      <w:lvlJc w:val="left"/>
      <w:pPr>
        <w:ind w:left="666" w:hanging="360"/>
      </w:pPr>
      <w:rPr>
        <w:rFonts w:hint="default"/>
        <w:lang w:val="en-US" w:eastAsia="en-US" w:bidi="ar-SA"/>
      </w:rPr>
    </w:lvl>
    <w:lvl w:ilvl="2" w:tplc="33942E18">
      <w:numFmt w:val="bullet"/>
      <w:lvlText w:val="•"/>
      <w:lvlJc w:val="left"/>
      <w:pPr>
        <w:ind w:left="892" w:hanging="360"/>
      </w:pPr>
      <w:rPr>
        <w:rFonts w:hint="default"/>
        <w:lang w:val="en-US" w:eastAsia="en-US" w:bidi="ar-SA"/>
      </w:rPr>
    </w:lvl>
    <w:lvl w:ilvl="3" w:tplc="9C46A43A">
      <w:numFmt w:val="bullet"/>
      <w:lvlText w:val="•"/>
      <w:lvlJc w:val="left"/>
      <w:pPr>
        <w:ind w:left="1118" w:hanging="360"/>
      </w:pPr>
      <w:rPr>
        <w:rFonts w:hint="default"/>
        <w:lang w:val="en-US" w:eastAsia="en-US" w:bidi="ar-SA"/>
      </w:rPr>
    </w:lvl>
    <w:lvl w:ilvl="4" w:tplc="DB68CF92">
      <w:numFmt w:val="bullet"/>
      <w:lvlText w:val="•"/>
      <w:lvlJc w:val="left"/>
      <w:pPr>
        <w:ind w:left="1344" w:hanging="360"/>
      </w:pPr>
      <w:rPr>
        <w:rFonts w:hint="default"/>
        <w:lang w:val="en-US" w:eastAsia="en-US" w:bidi="ar-SA"/>
      </w:rPr>
    </w:lvl>
    <w:lvl w:ilvl="5" w:tplc="C13EE7DE">
      <w:numFmt w:val="bullet"/>
      <w:lvlText w:val="•"/>
      <w:lvlJc w:val="left"/>
      <w:pPr>
        <w:ind w:left="1570" w:hanging="360"/>
      </w:pPr>
      <w:rPr>
        <w:rFonts w:hint="default"/>
        <w:lang w:val="en-US" w:eastAsia="en-US" w:bidi="ar-SA"/>
      </w:rPr>
    </w:lvl>
    <w:lvl w:ilvl="6" w:tplc="BD84FDBC">
      <w:numFmt w:val="bullet"/>
      <w:lvlText w:val="•"/>
      <w:lvlJc w:val="left"/>
      <w:pPr>
        <w:ind w:left="1796" w:hanging="360"/>
      </w:pPr>
      <w:rPr>
        <w:rFonts w:hint="default"/>
        <w:lang w:val="en-US" w:eastAsia="en-US" w:bidi="ar-SA"/>
      </w:rPr>
    </w:lvl>
    <w:lvl w:ilvl="7" w:tplc="C4BE4056">
      <w:numFmt w:val="bullet"/>
      <w:lvlText w:val="•"/>
      <w:lvlJc w:val="left"/>
      <w:pPr>
        <w:ind w:left="2022" w:hanging="360"/>
      </w:pPr>
      <w:rPr>
        <w:rFonts w:hint="default"/>
        <w:lang w:val="en-US" w:eastAsia="en-US" w:bidi="ar-SA"/>
      </w:rPr>
    </w:lvl>
    <w:lvl w:ilvl="8" w:tplc="B7D4F3B6">
      <w:numFmt w:val="bullet"/>
      <w:lvlText w:val="•"/>
      <w:lvlJc w:val="left"/>
      <w:pPr>
        <w:ind w:left="2248" w:hanging="360"/>
      </w:pPr>
      <w:rPr>
        <w:rFonts w:hint="default"/>
        <w:lang w:val="en-US" w:eastAsia="en-US" w:bidi="ar-SA"/>
      </w:rPr>
    </w:lvl>
  </w:abstractNum>
  <w:abstractNum w:abstractNumId="131" w15:restartNumberingAfterBreak="0">
    <w:nsid w:val="663547D6"/>
    <w:multiLevelType w:val="multilevel"/>
    <w:tmpl w:val="46B63CCC"/>
    <w:lvl w:ilvl="0">
      <w:start w:val="3"/>
      <w:numFmt w:val="decimal"/>
      <w:lvlText w:val="%1"/>
      <w:lvlJc w:val="left"/>
      <w:pPr>
        <w:ind w:left="683" w:hanging="632"/>
        <w:jc w:val="left"/>
      </w:pPr>
      <w:rPr>
        <w:rFonts w:hint="default"/>
        <w:lang w:val="en-US" w:eastAsia="en-US" w:bidi="ar-SA"/>
      </w:rPr>
    </w:lvl>
    <w:lvl w:ilvl="1">
      <w:start w:val="1"/>
      <w:numFmt w:val="decimal"/>
      <w:lvlText w:val="%1.%2"/>
      <w:lvlJc w:val="left"/>
      <w:pPr>
        <w:ind w:left="683" w:hanging="632"/>
        <w:jc w:val="left"/>
      </w:pPr>
      <w:rPr>
        <w:rFonts w:ascii="Calibri" w:eastAsia="Calibri" w:hAnsi="Calibri" w:cs="Calibri" w:hint="default"/>
        <w:b/>
        <w:bCs/>
        <w:i w:val="0"/>
        <w:iCs w:val="0"/>
        <w:color w:val="00ACA3"/>
        <w:spacing w:val="-2"/>
        <w:w w:val="100"/>
        <w:sz w:val="22"/>
        <w:szCs w:val="22"/>
        <w:lang w:val="en-US" w:eastAsia="en-US" w:bidi="ar-SA"/>
      </w:rPr>
    </w:lvl>
    <w:lvl w:ilvl="2">
      <w:start w:val="1"/>
      <w:numFmt w:val="decimal"/>
      <w:lvlText w:val="%3."/>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3">
      <w:numFmt w:val="bullet"/>
      <w:lvlText w:val="•"/>
      <w:lvlJc w:val="left"/>
      <w:pPr>
        <w:ind w:left="2842" w:hanging="360"/>
      </w:pPr>
      <w:rPr>
        <w:rFonts w:hint="default"/>
        <w:lang w:val="en-US" w:eastAsia="en-US" w:bidi="ar-SA"/>
      </w:rPr>
    </w:lvl>
    <w:lvl w:ilvl="4">
      <w:numFmt w:val="bullet"/>
      <w:lvlText w:val="•"/>
      <w:lvlJc w:val="left"/>
      <w:pPr>
        <w:ind w:left="3833" w:hanging="360"/>
      </w:pPr>
      <w:rPr>
        <w:rFonts w:hint="default"/>
        <w:lang w:val="en-US" w:eastAsia="en-US" w:bidi="ar-SA"/>
      </w:rPr>
    </w:lvl>
    <w:lvl w:ilvl="5">
      <w:numFmt w:val="bullet"/>
      <w:lvlText w:val="•"/>
      <w:lvlJc w:val="left"/>
      <w:pPr>
        <w:ind w:left="4825" w:hanging="360"/>
      </w:pPr>
      <w:rPr>
        <w:rFonts w:hint="default"/>
        <w:lang w:val="en-US" w:eastAsia="en-US" w:bidi="ar-SA"/>
      </w:rPr>
    </w:lvl>
    <w:lvl w:ilvl="6">
      <w:numFmt w:val="bullet"/>
      <w:lvlText w:val="•"/>
      <w:lvlJc w:val="left"/>
      <w:pPr>
        <w:ind w:left="5816" w:hanging="360"/>
      </w:pPr>
      <w:rPr>
        <w:rFonts w:hint="default"/>
        <w:lang w:val="en-US" w:eastAsia="en-US" w:bidi="ar-SA"/>
      </w:rPr>
    </w:lvl>
    <w:lvl w:ilvl="7">
      <w:numFmt w:val="bullet"/>
      <w:lvlText w:val="•"/>
      <w:lvlJc w:val="left"/>
      <w:pPr>
        <w:ind w:left="6807" w:hanging="360"/>
      </w:pPr>
      <w:rPr>
        <w:rFonts w:hint="default"/>
        <w:lang w:val="en-US" w:eastAsia="en-US" w:bidi="ar-SA"/>
      </w:rPr>
    </w:lvl>
    <w:lvl w:ilvl="8">
      <w:numFmt w:val="bullet"/>
      <w:lvlText w:val="•"/>
      <w:lvlJc w:val="left"/>
      <w:pPr>
        <w:ind w:left="7798" w:hanging="360"/>
      </w:pPr>
      <w:rPr>
        <w:rFonts w:hint="default"/>
        <w:lang w:val="en-US" w:eastAsia="en-US" w:bidi="ar-SA"/>
      </w:rPr>
    </w:lvl>
  </w:abstractNum>
  <w:abstractNum w:abstractNumId="132" w15:restartNumberingAfterBreak="0">
    <w:nsid w:val="66562D5A"/>
    <w:multiLevelType w:val="hybridMultilevel"/>
    <w:tmpl w:val="1BB2D4AE"/>
    <w:lvl w:ilvl="0" w:tplc="9CE227C0">
      <w:numFmt w:val="bullet"/>
      <w:lvlText w:val="-"/>
      <w:lvlJc w:val="left"/>
      <w:pPr>
        <w:ind w:left="240" w:hanging="161"/>
      </w:pPr>
      <w:rPr>
        <w:rFonts w:ascii="Calibri" w:eastAsia="Calibri" w:hAnsi="Calibri" w:cs="Calibri" w:hint="default"/>
        <w:b w:val="0"/>
        <w:bCs w:val="0"/>
        <w:i w:val="0"/>
        <w:iCs w:val="0"/>
        <w:spacing w:val="0"/>
        <w:w w:val="100"/>
        <w:sz w:val="18"/>
        <w:szCs w:val="18"/>
        <w:lang w:val="en-US" w:eastAsia="en-US" w:bidi="ar-SA"/>
      </w:rPr>
    </w:lvl>
    <w:lvl w:ilvl="1" w:tplc="586CA2D2">
      <w:numFmt w:val="bullet"/>
      <w:lvlText w:val="•"/>
      <w:lvlJc w:val="left"/>
      <w:pPr>
        <w:ind w:left="782" w:hanging="161"/>
      </w:pPr>
      <w:rPr>
        <w:rFonts w:hint="default"/>
        <w:lang w:val="en-US" w:eastAsia="en-US" w:bidi="ar-SA"/>
      </w:rPr>
    </w:lvl>
    <w:lvl w:ilvl="2" w:tplc="D3E80DAE">
      <w:numFmt w:val="bullet"/>
      <w:lvlText w:val="•"/>
      <w:lvlJc w:val="left"/>
      <w:pPr>
        <w:ind w:left="1325" w:hanging="161"/>
      </w:pPr>
      <w:rPr>
        <w:rFonts w:hint="default"/>
        <w:lang w:val="en-US" w:eastAsia="en-US" w:bidi="ar-SA"/>
      </w:rPr>
    </w:lvl>
    <w:lvl w:ilvl="3" w:tplc="420E7D7E">
      <w:numFmt w:val="bullet"/>
      <w:lvlText w:val="•"/>
      <w:lvlJc w:val="left"/>
      <w:pPr>
        <w:ind w:left="1868" w:hanging="161"/>
      </w:pPr>
      <w:rPr>
        <w:rFonts w:hint="default"/>
        <w:lang w:val="en-US" w:eastAsia="en-US" w:bidi="ar-SA"/>
      </w:rPr>
    </w:lvl>
    <w:lvl w:ilvl="4" w:tplc="C7188C78">
      <w:numFmt w:val="bullet"/>
      <w:lvlText w:val="•"/>
      <w:lvlJc w:val="left"/>
      <w:pPr>
        <w:ind w:left="2411" w:hanging="161"/>
      </w:pPr>
      <w:rPr>
        <w:rFonts w:hint="default"/>
        <w:lang w:val="en-US" w:eastAsia="en-US" w:bidi="ar-SA"/>
      </w:rPr>
    </w:lvl>
    <w:lvl w:ilvl="5" w:tplc="7A14CFBC">
      <w:numFmt w:val="bullet"/>
      <w:lvlText w:val="•"/>
      <w:lvlJc w:val="left"/>
      <w:pPr>
        <w:ind w:left="2954" w:hanging="161"/>
      </w:pPr>
      <w:rPr>
        <w:rFonts w:hint="default"/>
        <w:lang w:val="en-US" w:eastAsia="en-US" w:bidi="ar-SA"/>
      </w:rPr>
    </w:lvl>
    <w:lvl w:ilvl="6" w:tplc="1234AA7E">
      <w:numFmt w:val="bullet"/>
      <w:lvlText w:val="•"/>
      <w:lvlJc w:val="left"/>
      <w:pPr>
        <w:ind w:left="3497" w:hanging="161"/>
      </w:pPr>
      <w:rPr>
        <w:rFonts w:hint="default"/>
        <w:lang w:val="en-US" w:eastAsia="en-US" w:bidi="ar-SA"/>
      </w:rPr>
    </w:lvl>
    <w:lvl w:ilvl="7" w:tplc="3A146C9E">
      <w:numFmt w:val="bullet"/>
      <w:lvlText w:val="•"/>
      <w:lvlJc w:val="left"/>
      <w:pPr>
        <w:ind w:left="4040" w:hanging="161"/>
      </w:pPr>
      <w:rPr>
        <w:rFonts w:hint="default"/>
        <w:lang w:val="en-US" w:eastAsia="en-US" w:bidi="ar-SA"/>
      </w:rPr>
    </w:lvl>
    <w:lvl w:ilvl="8" w:tplc="588A1862">
      <w:numFmt w:val="bullet"/>
      <w:lvlText w:val="•"/>
      <w:lvlJc w:val="left"/>
      <w:pPr>
        <w:ind w:left="4583" w:hanging="161"/>
      </w:pPr>
      <w:rPr>
        <w:rFonts w:hint="default"/>
        <w:lang w:val="en-US" w:eastAsia="en-US" w:bidi="ar-SA"/>
      </w:rPr>
    </w:lvl>
  </w:abstractNum>
  <w:abstractNum w:abstractNumId="133" w15:restartNumberingAfterBreak="0">
    <w:nsid w:val="67F1637F"/>
    <w:multiLevelType w:val="hybridMultilevel"/>
    <w:tmpl w:val="7A220EC8"/>
    <w:lvl w:ilvl="0" w:tplc="857C6142">
      <w:numFmt w:val="bullet"/>
      <w:lvlText w:val="•"/>
      <w:lvlJc w:val="left"/>
      <w:pPr>
        <w:ind w:left="455" w:hanging="360"/>
      </w:pPr>
      <w:rPr>
        <w:rFonts w:ascii="Trebuchet MS" w:eastAsia="Trebuchet MS" w:hAnsi="Trebuchet MS" w:cs="Trebuchet MS" w:hint="default"/>
        <w:b w:val="0"/>
        <w:bCs w:val="0"/>
        <w:i w:val="0"/>
        <w:iCs w:val="0"/>
        <w:spacing w:val="0"/>
        <w:w w:val="89"/>
        <w:sz w:val="18"/>
        <w:szCs w:val="18"/>
        <w:lang w:val="en-US" w:eastAsia="en-US" w:bidi="ar-SA"/>
      </w:rPr>
    </w:lvl>
    <w:lvl w:ilvl="1" w:tplc="A88A68F4">
      <w:numFmt w:val="bullet"/>
      <w:lvlText w:val="•"/>
      <w:lvlJc w:val="left"/>
      <w:pPr>
        <w:ind w:left="1115" w:hanging="360"/>
      </w:pPr>
      <w:rPr>
        <w:rFonts w:hint="default"/>
        <w:lang w:val="en-US" w:eastAsia="en-US" w:bidi="ar-SA"/>
      </w:rPr>
    </w:lvl>
    <w:lvl w:ilvl="2" w:tplc="B37E582C">
      <w:numFmt w:val="bullet"/>
      <w:lvlText w:val="•"/>
      <w:lvlJc w:val="left"/>
      <w:pPr>
        <w:ind w:left="1771" w:hanging="360"/>
      </w:pPr>
      <w:rPr>
        <w:rFonts w:hint="default"/>
        <w:lang w:val="en-US" w:eastAsia="en-US" w:bidi="ar-SA"/>
      </w:rPr>
    </w:lvl>
    <w:lvl w:ilvl="3" w:tplc="F5684786">
      <w:numFmt w:val="bullet"/>
      <w:lvlText w:val="•"/>
      <w:lvlJc w:val="left"/>
      <w:pPr>
        <w:ind w:left="2426" w:hanging="360"/>
      </w:pPr>
      <w:rPr>
        <w:rFonts w:hint="default"/>
        <w:lang w:val="en-US" w:eastAsia="en-US" w:bidi="ar-SA"/>
      </w:rPr>
    </w:lvl>
    <w:lvl w:ilvl="4" w:tplc="45C061F8">
      <w:numFmt w:val="bullet"/>
      <w:lvlText w:val="•"/>
      <w:lvlJc w:val="left"/>
      <w:pPr>
        <w:ind w:left="3082" w:hanging="360"/>
      </w:pPr>
      <w:rPr>
        <w:rFonts w:hint="default"/>
        <w:lang w:val="en-US" w:eastAsia="en-US" w:bidi="ar-SA"/>
      </w:rPr>
    </w:lvl>
    <w:lvl w:ilvl="5" w:tplc="DD62BAB2">
      <w:numFmt w:val="bullet"/>
      <w:lvlText w:val="•"/>
      <w:lvlJc w:val="left"/>
      <w:pPr>
        <w:ind w:left="3737" w:hanging="360"/>
      </w:pPr>
      <w:rPr>
        <w:rFonts w:hint="default"/>
        <w:lang w:val="en-US" w:eastAsia="en-US" w:bidi="ar-SA"/>
      </w:rPr>
    </w:lvl>
    <w:lvl w:ilvl="6" w:tplc="CFC0A82E">
      <w:numFmt w:val="bullet"/>
      <w:lvlText w:val="•"/>
      <w:lvlJc w:val="left"/>
      <w:pPr>
        <w:ind w:left="4393" w:hanging="360"/>
      </w:pPr>
      <w:rPr>
        <w:rFonts w:hint="default"/>
        <w:lang w:val="en-US" w:eastAsia="en-US" w:bidi="ar-SA"/>
      </w:rPr>
    </w:lvl>
    <w:lvl w:ilvl="7" w:tplc="6B1459C8">
      <w:numFmt w:val="bullet"/>
      <w:lvlText w:val="•"/>
      <w:lvlJc w:val="left"/>
      <w:pPr>
        <w:ind w:left="5048" w:hanging="360"/>
      </w:pPr>
      <w:rPr>
        <w:rFonts w:hint="default"/>
        <w:lang w:val="en-US" w:eastAsia="en-US" w:bidi="ar-SA"/>
      </w:rPr>
    </w:lvl>
    <w:lvl w:ilvl="8" w:tplc="EAE8585E">
      <w:numFmt w:val="bullet"/>
      <w:lvlText w:val="•"/>
      <w:lvlJc w:val="left"/>
      <w:pPr>
        <w:ind w:left="5704" w:hanging="360"/>
      </w:pPr>
      <w:rPr>
        <w:rFonts w:hint="default"/>
        <w:lang w:val="en-US" w:eastAsia="en-US" w:bidi="ar-SA"/>
      </w:rPr>
    </w:lvl>
  </w:abstractNum>
  <w:abstractNum w:abstractNumId="134" w15:restartNumberingAfterBreak="0">
    <w:nsid w:val="68EF6EC9"/>
    <w:multiLevelType w:val="hybridMultilevel"/>
    <w:tmpl w:val="C97E9A1C"/>
    <w:lvl w:ilvl="0" w:tplc="A6EADCBE">
      <w:numFmt w:val="bullet"/>
      <w:lvlText w:val="•"/>
      <w:lvlJc w:val="left"/>
      <w:pPr>
        <w:ind w:left="436" w:hanging="360"/>
      </w:pPr>
      <w:rPr>
        <w:rFonts w:ascii="Trebuchet MS" w:eastAsia="Trebuchet MS" w:hAnsi="Trebuchet MS" w:cs="Trebuchet MS" w:hint="default"/>
        <w:b w:val="0"/>
        <w:bCs w:val="0"/>
        <w:i w:val="0"/>
        <w:iCs w:val="0"/>
        <w:spacing w:val="0"/>
        <w:w w:val="89"/>
        <w:sz w:val="18"/>
        <w:szCs w:val="18"/>
        <w:lang w:val="en-US" w:eastAsia="en-US" w:bidi="ar-SA"/>
      </w:rPr>
    </w:lvl>
    <w:lvl w:ilvl="1" w:tplc="03A4E92A">
      <w:numFmt w:val="bullet"/>
      <w:lvlText w:val="•"/>
      <w:lvlJc w:val="left"/>
      <w:pPr>
        <w:ind w:left="683" w:hanging="360"/>
      </w:pPr>
      <w:rPr>
        <w:rFonts w:hint="default"/>
        <w:lang w:val="en-US" w:eastAsia="en-US" w:bidi="ar-SA"/>
      </w:rPr>
    </w:lvl>
    <w:lvl w:ilvl="2" w:tplc="810C370E">
      <w:numFmt w:val="bullet"/>
      <w:lvlText w:val="•"/>
      <w:lvlJc w:val="left"/>
      <w:pPr>
        <w:ind w:left="927" w:hanging="360"/>
      </w:pPr>
      <w:rPr>
        <w:rFonts w:hint="default"/>
        <w:lang w:val="en-US" w:eastAsia="en-US" w:bidi="ar-SA"/>
      </w:rPr>
    </w:lvl>
    <w:lvl w:ilvl="3" w:tplc="9732F0C4">
      <w:numFmt w:val="bullet"/>
      <w:lvlText w:val="•"/>
      <w:lvlJc w:val="left"/>
      <w:pPr>
        <w:ind w:left="1171" w:hanging="360"/>
      </w:pPr>
      <w:rPr>
        <w:rFonts w:hint="default"/>
        <w:lang w:val="en-US" w:eastAsia="en-US" w:bidi="ar-SA"/>
      </w:rPr>
    </w:lvl>
    <w:lvl w:ilvl="4" w:tplc="1E32A8F6">
      <w:numFmt w:val="bullet"/>
      <w:lvlText w:val="•"/>
      <w:lvlJc w:val="left"/>
      <w:pPr>
        <w:ind w:left="1415" w:hanging="360"/>
      </w:pPr>
      <w:rPr>
        <w:rFonts w:hint="default"/>
        <w:lang w:val="en-US" w:eastAsia="en-US" w:bidi="ar-SA"/>
      </w:rPr>
    </w:lvl>
    <w:lvl w:ilvl="5" w:tplc="9114251A">
      <w:numFmt w:val="bullet"/>
      <w:lvlText w:val="•"/>
      <w:lvlJc w:val="left"/>
      <w:pPr>
        <w:ind w:left="1659" w:hanging="360"/>
      </w:pPr>
      <w:rPr>
        <w:rFonts w:hint="default"/>
        <w:lang w:val="en-US" w:eastAsia="en-US" w:bidi="ar-SA"/>
      </w:rPr>
    </w:lvl>
    <w:lvl w:ilvl="6" w:tplc="E12AB1FC">
      <w:numFmt w:val="bullet"/>
      <w:lvlText w:val="•"/>
      <w:lvlJc w:val="left"/>
      <w:pPr>
        <w:ind w:left="1903" w:hanging="360"/>
      </w:pPr>
      <w:rPr>
        <w:rFonts w:hint="default"/>
        <w:lang w:val="en-US" w:eastAsia="en-US" w:bidi="ar-SA"/>
      </w:rPr>
    </w:lvl>
    <w:lvl w:ilvl="7" w:tplc="C3CE3DCA">
      <w:numFmt w:val="bullet"/>
      <w:lvlText w:val="•"/>
      <w:lvlJc w:val="left"/>
      <w:pPr>
        <w:ind w:left="2147" w:hanging="360"/>
      </w:pPr>
      <w:rPr>
        <w:rFonts w:hint="default"/>
        <w:lang w:val="en-US" w:eastAsia="en-US" w:bidi="ar-SA"/>
      </w:rPr>
    </w:lvl>
    <w:lvl w:ilvl="8" w:tplc="E3E42922">
      <w:numFmt w:val="bullet"/>
      <w:lvlText w:val="•"/>
      <w:lvlJc w:val="left"/>
      <w:pPr>
        <w:ind w:left="2391" w:hanging="360"/>
      </w:pPr>
      <w:rPr>
        <w:rFonts w:hint="default"/>
        <w:lang w:val="en-US" w:eastAsia="en-US" w:bidi="ar-SA"/>
      </w:rPr>
    </w:lvl>
  </w:abstractNum>
  <w:abstractNum w:abstractNumId="135" w15:restartNumberingAfterBreak="0">
    <w:nsid w:val="690663E2"/>
    <w:multiLevelType w:val="hybridMultilevel"/>
    <w:tmpl w:val="202EC79C"/>
    <w:lvl w:ilvl="0" w:tplc="352E9012">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82625148">
      <w:numFmt w:val="bullet"/>
      <w:lvlText w:val="•"/>
      <w:lvlJc w:val="left"/>
      <w:pPr>
        <w:ind w:left="1752" w:hanging="360"/>
      </w:pPr>
      <w:rPr>
        <w:rFonts w:hint="default"/>
        <w:lang w:val="en-US" w:eastAsia="en-US" w:bidi="ar-SA"/>
      </w:rPr>
    </w:lvl>
    <w:lvl w:ilvl="2" w:tplc="ACC0F5E8">
      <w:numFmt w:val="bullet"/>
      <w:lvlText w:val="•"/>
      <w:lvlJc w:val="left"/>
      <w:pPr>
        <w:ind w:left="2644" w:hanging="360"/>
      </w:pPr>
      <w:rPr>
        <w:rFonts w:hint="default"/>
        <w:lang w:val="en-US" w:eastAsia="en-US" w:bidi="ar-SA"/>
      </w:rPr>
    </w:lvl>
    <w:lvl w:ilvl="3" w:tplc="63F6403C">
      <w:numFmt w:val="bullet"/>
      <w:lvlText w:val="•"/>
      <w:lvlJc w:val="left"/>
      <w:pPr>
        <w:ind w:left="3536" w:hanging="360"/>
      </w:pPr>
      <w:rPr>
        <w:rFonts w:hint="default"/>
        <w:lang w:val="en-US" w:eastAsia="en-US" w:bidi="ar-SA"/>
      </w:rPr>
    </w:lvl>
    <w:lvl w:ilvl="4" w:tplc="ABEC039A">
      <w:numFmt w:val="bullet"/>
      <w:lvlText w:val="•"/>
      <w:lvlJc w:val="left"/>
      <w:pPr>
        <w:ind w:left="4428" w:hanging="360"/>
      </w:pPr>
      <w:rPr>
        <w:rFonts w:hint="default"/>
        <w:lang w:val="en-US" w:eastAsia="en-US" w:bidi="ar-SA"/>
      </w:rPr>
    </w:lvl>
    <w:lvl w:ilvl="5" w:tplc="78B88696">
      <w:numFmt w:val="bullet"/>
      <w:lvlText w:val="•"/>
      <w:lvlJc w:val="left"/>
      <w:pPr>
        <w:ind w:left="5320" w:hanging="360"/>
      </w:pPr>
      <w:rPr>
        <w:rFonts w:hint="default"/>
        <w:lang w:val="en-US" w:eastAsia="en-US" w:bidi="ar-SA"/>
      </w:rPr>
    </w:lvl>
    <w:lvl w:ilvl="6" w:tplc="C818C24E">
      <w:numFmt w:val="bullet"/>
      <w:lvlText w:val="•"/>
      <w:lvlJc w:val="left"/>
      <w:pPr>
        <w:ind w:left="6212" w:hanging="360"/>
      </w:pPr>
      <w:rPr>
        <w:rFonts w:hint="default"/>
        <w:lang w:val="en-US" w:eastAsia="en-US" w:bidi="ar-SA"/>
      </w:rPr>
    </w:lvl>
    <w:lvl w:ilvl="7" w:tplc="9FA6260E">
      <w:numFmt w:val="bullet"/>
      <w:lvlText w:val="•"/>
      <w:lvlJc w:val="left"/>
      <w:pPr>
        <w:ind w:left="7104" w:hanging="360"/>
      </w:pPr>
      <w:rPr>
        <w:rFonts w:hint="default"/>
        <w:lang w:val="en-US" w:eastAsia="en-US" w:bidi="ar-SA"/>
      </w:rPr>
    </w:lvl>
    <w:lvl w:ilvl="8" w:tplc="38D80964">
      <w:numFmt w:val="bullet"/>
      <w:lvlText w:val="•"/>
      <w:lvlJc w:val="left"/>
      <w:pPr>
        <w:ind w:left="7997" w:hanging="360"/>
      </w:pPr>
      <w:rPr>
        <w:rFonts w:hint="default"/>
        <w:lang w:val="en-US" w:eastAsia="en-US" w:bidi="ar-SA"/>
      </w:rPr>
    </w:lvl>
  </w:abstractNum>
  <w:abstractNum w:abstractNumId="136" w15:restartNumberingAfterBreak="0">
    <w:nsid w:val="695948B9"/>
    <w:multiLevelType w:val="hybridMultilevel"/>
    <w:tmpl w:val="46802598"/>
    <w:lvl w:ilvl="0" w:tplc="C3843A8E">
      <w:numFmt w:val="bullet"/>
      <w:lvlText w:val="•"/>
      <w:lvlJc w:val="left"/>
      <w:pPr>
        <w:ind w:left="278" w:hanging="180"/>
      </w:pPr>
      <w:rPr>
        <w:rFonts w:ascii="Trebuchet MS" w:eastAsia="Trebuchet MS" w:hAnsi="Trebuchet MS" w:cs="Trebuchet MS" w:hint="default"/>
        <w:b w:val="0"/>
        <w:bCs w:val="0"/>
        <w:i w:val="0"/>
        <w:iCs w:val="0"/>
        <w:spacing w:val="0"/>
        <w:w w:val="89"/>
        <w:sz w:val="18"/>
        <w:szCs w:val="18"/>
        <w:lang w:val="en-US" w:eastAsia="en-US" w:bidi="ar-SA"/>
      </w:rPr>
    </w:lvl>
    <w:lvl w:ilvl="1" w:tplc="AA949912">
      <w:start w:val="1"/>
      <w:numFmt w:val="lowerLetter"/>
      <w:lvlText w:val="%2."/>
      <w:lvlJc w:val="left"/>
      <w:pPr>
        <w:ind w:left="451" w:hanging="180"/>
        <w:jc w:val="left"/>
      </w:pPr>
      <w:rPr>
        <w:rFonts w:ascii="Calibri Light" w:eastAsia="Calibri Light" w:hAnsi="Calibri Light" w:cs="Calibri Light" w:hint="default"/>
        <w:b w:val="0"/>
        <w:bCs w:val="0"/>
        <w:i w:val="0"/>
        <w:iCs w:val="0"/>
        <w:spacing w:val="-1"/>
        <w:w w:val="100"/>
        <w:sz w:val="18"/>
        <w:szCs w:val="18"/>
        <w:lang w:val="en-US" w:eastAsia="en-US" w:bidi="ar-SA"/>
      </w:rPr>
    </w:lvl>
    <w:lvl w:ilvl="2" w:tplc="C2548CDE">
      <w:numFmt w:val="bullet"/>
      <w:lvlText w:val="•"/>
      <w:lvlJc w:val="left"/>
      <w:pPr>
        <w:ind w:left="639" w:hanging="180"/>
      </w:pPr>
      <w:rPr>
        <w:rFonts w:hint="default"/>
        <w:lang w:val="en-US" w:eastAsia="en-US" w:bidi="ar-SA"/>
      </w:rPr>
    </w:lvl>
    <w:lvl w:ilvl="3" w:tplc="83605CC8">
      <w:numFmt w:val="bullet"/>
      <w:lvlText w:val="•"/>
      <w:lvlJc w:val="left"/>
      <w:pPr>
        <w:ind w:left="818" w:hanging="180"/>
      </w:pPr>
      <w:rPr>
        <w:rFonts w:hint="default"/>
        <w:lang w:val="en-US" w:eastAsia="en-US" w:bidi="ar-SA"/>
      </w:rPr>
    </w:lvl>
    <w:lvl w:ilvl="4" w:tplc="E5242AA6">
      <w:numFmt w:val="bullet"/>
      <w:lvlText w:val="•"/>
      <w:lvlJc w:val="left"/>
      <w:pPr>
        <w:ind w:left="997" w:hanging="180"/>
      </w:pPr>
      <w:rPr>
        <w:rFonts w:hint="default"/>
        <w:lang w:val="en-US" w:eastAsia="en-US" w:bidi="ar-SA"/>
      </w:rPr>
    </w:lvl>
    <w:lvl w:ilvl="5" w:tplc="6E5E8FA8">
      <w:numFmt w:val="bullet"/>
      <w:lvlText w:val="•"/>
      <w:lvlJc w:val="left"/>
      <w:pPr>
        <w:ind w:left="1176" w:hanging="180"/>
      </w:pPr>
      <w:rPr>
        <w:rFonts w:hint="default"/>
        <w:lang w:val="en-US" w:eastAsia="en-US" w:bidi="ar-SA"/>
      </w:rPr>
    </w:lvl>
    <w:lvl w:ilvl="6" w:tplc="8410B992">
      <w:numFmt w:val="bullet"/>
      <w:lvlText w:val="•"/>
      <w:lvlJc w:val="left"/>
      <w:pPr>
        <w:ind w:left="1355" w:hanging="180"/>
      </w:pPr>
      <w:rPr>
        <w:rFonts w:hint="default"/>
        <w:lang w:val="en-US" w:eastAsia="en-US" w:bidi="ar-SA"/>
      </w:rPr>
    </w:lvl>
    <w:lvl w:ilvl="7" w:tplc="8974B1BE">
      <w:numFmt w:val="bullet"/>
      <w:lvlText w:val="•"/>
      <w:lvlJc w:val="left"/>
      <w:pPr>
        <w:ind w:left="1534" w:hanging="180"/>
      </w:pPr>
      <w:rPr>
        <w:rFonts w:hint="default"/>
        <w:lang w:val="en-US" w:eastAsia="en-US" w:bidi="ar-SA"/>
      </w:rPr>
    </w:lvl>
    <w:lvl w:ilvl="8" w:tplc="5090250E">
      <w:numFmt w:val="bullet"/>
      <w:lvlText w:val="•"/>
      <w:lvlJc w:val="left"/>
      <w:pPr>
        <w:ind w:left="1713" w:hanging="180"/>
      </w:pPr>
      <w:rPr>
        <w:rFonts w:hint="default"/>
        <w:lang w:val="en-US" w:eastAsia="en-US" w:bidi="ar-SA"/>
      </w:rPr>
    </w:lvl>
  </w:abstractNum>
  <w:abstractNum w:abstractNumId="137" w15:restartNumberingAfterBreak="0">
    <w:nsid w:val="6A4221D3"/>
    <w:multiLevelType w:val="hybridMultilevel"/>
    <w:tmpl w:val="CB0058E2"/>
    <w:lvl w:ilvl="0" w:tplc="4B0ECA8A">
      <w:numFmt w:val="bullet"/>
      <w:lvlText w:val="•"/>
      <w:lvlJc w:val="left"/>
      <w:pPr>
        <w:ind w:left="460" w:hanging="360"/>
      </w:pPr>
      <w:rPr>
        <w:rFonts w:ascii="Trebuchet MS" w:eastAsia="Trebuchet MS" w:hAnsi="Trebuchet MS" w:cs="Trebuchet MS" w:hint="default"/>
        <w:b w:val="0"/>
        <w:bCs w:val="0"/>
        <w:i w:val="0"/>
        <w:iCs w:val="0"/>
        <w:spacing w:val="0"/>
        <w:w w:val="89"/>
        <w:sz w:val="18"/>
        <w:szCs w:val="18"/>
        <w:lang w:val="en-US" w:eastAsia="en-US" w:bidi="ar-SA"/>
      </w:rPr>
    </w:lvl>
    <w:lvl w:ilvl="1" w:tplc="A5F6492C">
      <w:numFmt w:val="bullet"/>
      <w:lvlText w:val="•"/>
      <w:lvlJc w:val="left"/>
      <w:pPr>
        <w:ind w:left="1091" w:hanging="360"/>
      </w:pPr>
      <w:rPr>
        <w:rFonts w:hint="default"/>
        <w:lang w:val="en-US" w:eastAsia="en-US" w:bidi="ar-SA"/>
      </w:rPr>
    </w:lvl>
    <w:lvl w:ilvl="2" w:tplc="921E2220">
      <w:numFmt w:val="bullet"/>
      <w:lvlText w:val="•"/>
      <w:lvlJc w:val="left"/>
      <w:pPr>
        <w:ind w:left="1722" w:hanging="360"/>
      </w:pPr>
      <w:rPr>
        <w:rFonts w:hint="default"/>
        <w:lang w:val="en-US" w:eastAsia="en-US" w:bidi="ar-SA"/>
      </w:rPr>
    </w:lvl>
    <w:lvl w:ilvl="3" w:tplc="695C7B06">
      <w:numFmt w:val="bullet"/>
      <w:lvlText w:val="•"/>
      <w:lvlJc w:val="left"/>
      <w:pPr>
        <w:ind w:left="2353" w:hanging="360"/>
      </w:pPr>
      <w:rPr>
        <w:rFonts w:hint="default"/>
        <w:lang w:val="en-US" w:eastAsia="en-US" w:bidi="ar-SA"/>
      </w:rPr>
    </w:lvl>
    <w:lvl w:ilvl="4" w:tplc="FF7498C2">
      <w:numFmt w:val="bullet"/>
      <w:lvlText w:val="•"/>
      <w:lvlJc w:val="left"/>
      <w:pPr>
        <w:ind w:left="2985" w:hanging="360"/>
      </w:pPr>
      <w:rPr>
        <w:rFonts w:hint="default"/>
        <w:lang w:val="en-US" w:eastAsia="en-US" w:bidi="ar-SA"/>
      </w:rPr>
    </w:lvl>
    <w:lvl w:ilvl="5" w:tplc="C87CEC7A">
      <w:numFmt w:val="bullet"/>
      <w:lvlText w:val="•"/>
      <w:lvlJc w:val="left"/>
      <w:pPr>
        <w:ind w:left="3616" w:hanging="360"/>
      </w:pPr>
      <w:rPr>
        <w:rFonts w:hint="default"/>
        <w:lang w:val="en-US" w:eastAsia="en-US" w:bidi="ar-SA"/>
      </w:rPr>
    </w:lvl>
    <w:lvl w:ilvl="6" w:tplc="8CB452CE">
      <w:numFmt w:val="bullet"/>
      <w:lvlText w:val="•"/>
      <w:lvlJc w:val="left"/>
      <w:pPr>
        <w:ind w:left="4247" w:hanging="360"/>
      </w:pPr>
      <w:rPr>
        <w:rFonts w:hint="default"/>
        <w:lang w:val="en-US" w:eastAsia="en-US" w:bidi="ar-SA"/>
      </w:rPr>
    </w:lvl>
    <w:lvl w:ilvl="7" w:tplc="1E52A364">
      <w:numFmt w:val="bullet"/>
      <w:lvlText w:val="•"/>
      <w:lvlJc w:val="left"/>
      <w:pPr>
        <w:ind w:left="4879" w:hanging="360"/>
      </w:pPr>
      <w:rPr>
        <w:rFonts w:hint="default"/>
        <w:lang w:val="en-US" w:eastAsia="en-US" w:bidi="ar-SA"/>
      </w:rPr>
    </w:lvl>
    <w:lvl w:ilvl="8" w:tplc="D152DF3C">
      <w:numFmt w:val="bullet"/>
      <w:lvlText w:val="•"/>
      <w:lvlJc w:val="left"/>
      <w:pPr>
        <w:ind w:left="5510" w:hanging="360"/>
      </w:pPr>
      <w:rPr>
        <w:rFonts w:hint="default"/>
        <w:lang w:val="en-US" w:eastAsia="en-US" w:bidi="ar-SA"/>
      </w:rPr>
    </w:lvl>
  </w:abstractNum>
  <w:abstractNum w:abstractNumId="138" w15:restartNumberingAfterBreak="0">
    <w:nsid w:val="6A5C19D1"/>
    <w:multiLevelType w:val="hybridMultilevel"/>
    <w:tmpl w:val="141CE71A"/>
    <w:lvl w:ilvl="0" w:tplc="7DEC4462">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F3720022">
      <w:numFmt w:val="bullet"/>
      <w:lvlText w:val="•"/>
      <w:lvlJc w:val="left"/>
      <w:pPr>
        <w:ind w:left="1752" w:hanging="360"/>
      </w:pPr>
      <w:rPr>
        <w:rFonts w:hint="default"/>
        <w:lang w:val="en-US" w:eastAsia="en-US" w:bidi="ar-SA"/>
      </w:rPr>
    </w:lvl>
    <w:lvl w:ilvl="2" w:tplc="890ACF7E">
      <w:numFmt w:val="bullet"/>
      <w:lvlText w:val="•"/>
      <w:lvlJc w:val="left"/>
      <w:pPr>
        <w:ind w:left="2644" w:hanging="360"/>
      </w:pPr>
      <w:rPr>
        <w:rFonts w:hint="default"/>
        <w:lang w:val="en-US" w:eastAsia="en-US" w:bidi="ar-SA"/>
      </w:rPr>
    </w:lvl>
    <w:lvl w:ilvl="3" w:tplc="A840516E">
      <w:numFmt w:val="bullet"/>
      <w:lvlText w:val="•"/>
      <w:lvlJc w:val="left"/>
      <w:pPr>
        <w:ind w:left="3536" w:hanging="360"/>
      </w:pPr>
      <w:rPr>
        <w:rFonts w:hint="default"/>
        <w:lang w:val="en-US" w:eastAsia="en-US" w:bidi="ar-SA"/>
      </w:rPr>
    </w:lvl>
    <w:lvl w:ilvl="4" w:tplc="438CCDBA">
      <w:numFmt w:val="bullet"/>
      <w:lvlText w:val="•"/>
      <w:lvlJc w:val="left"/>
      <w:pPr>
        <w:ind w:left="4428" w:hanging="360"/>
      </w:pPr>
      <w:rPr>
        <w:rFonts w:hint="default"/>
        <w:lang w:val="en-US" w:eastAsia="en-US" w:bidi="ar-SA"/>
      </w:rPr>
    </w:lvl>
    <w:lvl w:ilvl="5" w:tplc="E6865550">
      <w:numFmt w:val="bullet"/>
      <w:lvlText w:val="•"/>
      <w:lvlJc w:val="left"/>
      <w:pPr>
        <w:ind w:left="5320" w:hanging="360"/>
      </w:pPr>
      <w:rPr>
        <w:rFonts w:hint="default"/>
        <w:lang w:val="en-US" w:eastAsia="en-US" w:bidi="ar-SA"/>
      </w:rPr>
    </w:lvl>
    <w:lvl w:ilvl="6" w:tplc="739A5BE2">
      <w:numFmt w:val="bullet"/>
      <w:lvlText w:val="•"/>
      <w:lvlJc w:val="left"/>
      <w:pPr>
        <w:ind w:left="6212" w:hanging="360"/>
      </w:pPr>
      <w:rPr>
        <w:rFonts w:hint="default"/>
        <w:lang w:val="en-US" w:eastAsia="en-US" w:bidi="ar-SA"/>
      </w:rPr>
    </w:lvl>
    <w:lvl w:ilvl="7" w:tplc="7D00E4CE">
      <w:numFmt w:val="bullet"/>
      <w:lvlText w:val="•"/>
      <w:lvlJc w:val="left"/>
      <w:pPr>
        <w:ind w:left="7104" w:hanging="360"/>
      </w:pPr>
      <w:rPr>
        <w:rFonts w:hint="default"/>
        <w:lang w:val="en-US" w:eastAsia="en-US" w:bidi="ar-SA"/>
      </w:rPr>
    </w:lvl>
    <w:lvl w:ilvl="8" w:tplc="455AF030">
      <w:numFmt w:val="bullet"/>
      <w:lvlText w:val="•"/>
      <w:lvlJc w:val="left"/>
      <w:pPr>
        <w:ind w:left="7997" w:hanging="360"/>
      </w:pPr>
      <w:rPr>
        <w:rFonts w:hint="default"/>
        <w:lang w:val="en-US" w:eastAsia="en-US" w:bidi="ar-SA"/>
      </w:rPr>
    </w:lvl>
  </w:abstractNum>
  <w:abstractNum w:abstractNumId="139" w15:restartNumberingAfterBreak="0">
    <w:nsid w:val="6AA042E3"/>
    <w:multiLevelType w:val="hybridMultilevel"/>
    <w:tmpl w:val="672A3382"/>
    <w:lvl w:ilvl="0" w:tplc="80DC1E8E">
      <w:numFmt w:val="bullet"/>
      <w:lvlText w:val="•"/>
      <w:lvlJc w:val="left"/>
      <w:pPr>
        <w:ind w:left="590" w:hanging="360"/>
      </w:pPr>
      <w:rPr>
        <w:rFonts w:ascii="Trebuchet MS" w:eastAsia="Trebuchet MS" w:hAnsi="Trebuchet MS" w:cs="Trebuchet MS" w:hint="default"/>
        <w:b w:val="0"/>
        <w:bCs w:val="0"/>
        <w:i w:val="0"/>
        <w:iCs w:val="0"/>
        <w:spacing w:val="0"/>
        <w:w w:val="89"/>
        <w:sz w:val="18"/>
        <w:szCs w:val="18"/>
        <w:lang w:val="en-US" w:eastAsia="en-US" w:bidi="ar-SA"/>
      </w:rPr>
    </w:lvl>
    <w:lvl w:ilvl="1" w:tplc="72547D58">
      <w:numFmt w:val="bullet"/>
      <w:lvlText w:val="•"/>
      <w:lvlJc w:val="left"/>
      <w:pPr>
        <w:ind w:left="1329" w:hanging="360"/>
      </w:pPr>
      <w:rPr>
        <w:rFonts w:hint="default"/>
        <w:lang w:val="en-US" w:eastAsia="en-US" w:bidi="ar-SA"/>
      </w:rPr>
    </w:lvl>
    <w:lvl w:ilvl="2" w:tplc="F5EC28C2">
      <w:numFmt w:val="bullet"/>
      <w:lvlText w:val="•"/>
      <w:lvlJc w:val="left"/>
      <w:pPr>
        <w:ind w:left="2058" w:hanging="360"/>
      </w:pPr>
      <w:rPr>
        <w:rFonts w:hint="default"/>
        <w:lang w:val="en-US" w:eastAsia="en-US" w:bidi="ar-SA"/>
      </w:rPr>
    </w:lvl>
    <w:lvl w:ilvl="3" w:tplc="034025C2">
      <w:numFmt w:val="bullet"/>
      <w:lvlText w:val="•"/>
      <w:lvlJc w:val="left"/>
      <w:pPr>
        <w:ind w:left="2788" w:hanging="360"/>
      </w:pPr>
      <w:rPr>
        <w:rFonts w:hint="default"/>
        <w:lang w:val="en-US" w:eastAsia="en-US" w:bidi="ar-SA"/>
      </w:rPr>
    </w:lvl>
    <w:lvl w:ilvl="4" w:tplc="F9B2B8A0">
      <w:numFmt w:val="bullet"/>
      <w:lvlText w:val="•"/>
      <w:lvlJc w:val="left"/>
      <w:pPr>
        <w:ind w:left="3517" w:hanging="360"/>
      </w:pPr>
      <w:rPr>
        <w:rFonts w:hint="default"/>
        <w:lang w:val="en-US" w:eastAsia="en-US" w:bidi="ar-SA"/>
      </w:rPr>
    </w:lvl>
    <w:lvl w:ilvl="5" w:tplc="7A2A3ABA">
      <w:numFmt w:val="bullet"/>
      <w:lvlText w:val="•"/>
      <w:lvlJc w:val="left"/>
      <w:pPr>
        <w:ind w:left="4247" w:hanging="360"/>
      </w:pPr>
      <w:rPr>
        <w:rFonts w:hint="default"/>
        <w:lang w:val="en-US" w:eastAsia="en-US" w:bidi="ar-SA"/>
      </w:rPr>
    </w:lvl>
    <w:lvl w:ilvl="6" w:tplc="6A8E2CE4">
      <w:numFmt w:val="bullet"/>
      <w:lvlText w:val="•"/>
      <w:lvlJc w:val="left"/>
      <w:pPr>
        <w:ind w:left="4976" w:hanging="360"/>
      </w:pPr>
      <w:rPr>
        <w:rFonts w:hint="default"/>
        <w:lang w:val="en-US" w:eastAsia="en-US" w:bidi="ar-SA"/>
      </w:rPr>
    </w:lvl>
    <w:lvl w:ilvl="7" w:tplc="8AF6762C">
      <w:numFmt w:val="bullet"/>
      <w:lvlText w:val="•"/>
      <w:lvlJc w:val="left"/>
      <w:pPr>
        <w:ind w:left="5705" w:hanging="360"/>
      </w:pPr>
      <w:rPr>
        <w:rFonts w:hint="default"/>
        <w:lang w:val="en-US" w:eastAsia="en-US" w:bidi="ar-SA"/>
      </w:rPr>
    </w:lvl>
    <w:lvl w:ilvl="8" w:tplc="D9901424">
      <w:numFmt w:val="bullet"/>
      <w:lvlText w:val="•"/>
      <w:lvlJc w:val="left"/>
      <w:pPr>
        <w:ind w:left="6435" w:hanging="360"/>
      </w:pPr>
      <w:rPr>
        <w:rFonts w:hint="default"/>
        <w:lang w:val="en-US" w:eastAsia="en-US" w:bidi="ar-SA"/>
      </w:rPr>
    </w:lvl>
  </w:abstractNum>
  <w:abstractNum w:abstractNumId="140" w15:restartNumberingAfterBreak="0">
    <w:nsid w:val="6AA92276"/>
    <w:multiLevelType w:val="hybridMultilevel"/>
    <w:tmpl w:val="733660E6"/>
    <w:lvl w:ilvl="0" w:tplc="CAE2B3F8">
      <w:numFmt w:val="bullet"/>
      <w:lvlText w:val="•"/>
      <w:lvlJc w:val="left"/>
      <w:pPr>
        <w:ind w:left="541" w:hanging="360"/>
      </w:pPr>
      <w:rPr>
        <w:rFonts w:ascii="Trebuchet MS" w:eastAsia="Trebuchet MS" w:hAnsi="Trebuchet MS" w:cs="Trebuchet MS" w:hint="default"/>
        <w:b w:val="0"/>
        <w:bCs w:val="0"/>
        <w:i w:val="0"/>
        <w:iCs w:val="0"/>
        <w:spacing w:val="0"/>
        <w:w w:val="89"/>
        <w:sz w:val="18"/>
        <w:szCs w:val="18"/>
        <w:lang w:val="en-US" w:eastAsia="en-US" w:bidi="ar-SA"/>
      </w:rPr>
    </w:lvl>
    <w:lvl w:ilvl="1" w:tplc="B1D81864">
      <w:numFmt w:val="bullet"/>
      <w:lvlText w:val="•"/>
      <w:lvlJc w:val="left"/>
      <w:pPr>
        <w:ind w:left="1216" w:hanging="360"/>
      </w:pPr>
      <w:rPr>
        <w:rFonts w:hint="default"/>
        <w:lang w:val="en-US" w:eastAsia="en-US" w:bidi="ar-SA"/>
      </w:rPr>
    </w:lvl>
    <w:lvl w:ilvl="2" w:tplc="19F2B434">
      <w:numFmt w:val="bullet"/>
      <w:lvlText w:val="•"/>
      <w:lvlJc w:val="left"/>
      <w:pPr>
        <w:ind w:left="1892" w:hanging="360"/>
      </w:pPr>
      <w:rPr>
        <w:rFonts w:hint="default"/>
        <w:lang w:val="en-US" w:eastAsia="en-US" w:bidi="ar-SA"/>
      </w:rPr>
    </w:lvl>
    <w:lvl w:ilvl="3" w:tplc="BD0AA35A">
      <w:numFmt w:val="bullet"/>
      <w:lvlText w:val="•"/>
      <w:lvlJc w:val="left"/>
      <w:pPr>
        <w:ind w:left="2569" w:hanging="360"/>
      </w:pPr>
      <w:rPr>
        <w:rFonts w:hint="default"/>
        <w:lang w:val="en-US" w:eastAsia="en-US" w:bidi="ar-SA"/>
      </w:rPr>
    </w:lvl>
    <w:lvl w:ilvl="4" w:tplc="2192492C">
      <w:numFmt w:val="bullet"/>
      <w:lvlText w:val="•"/>
      <w:lvlJc w:val="left"/>
      <w:pPr>
        <w:ind w:left="3245" w:hanging="360"/>
      </w:pPr>
      <w:rPr>
        <w:rFonts w:hint="default"/>
        <w:lang w:val="en-US" w:eastAsia="en-US" w:bidi="ar-SA"/>
      </w:rPr>
    </w:lvl>
    <w:lvl w:ilvl="5" w:tplc="9938A0E6">
      <w:numFmt w:val="bullet"/>
      <w:lvlText w:val="•"/>
      <w:lvlJc w:val="left"/>
      <w:pPr>
        <w:ind w:left="3922" w:hanging="360"/>
      </w:pPr>
      <w:rPr>
        <w:rFonts w:hint="default"/>
        <w:lang w:val="en-US" w:eastAsia="en-US" w:bidi="ar-SA"/>
      </w:rPr>
    </w:lvl>
    <w:lvl w:ilvl="6" w:tplc="14AC5C4E">
      <w:numFmt w:val="bullet"/>
      <w:lvlText w:val="•"/>
      <w:lvlJc w:val="left"/>
      <w:pPr>
        <w:ind w:left="4598" w:hanging="360"/>
      </w:pPr>
      <w:rPr>
        <w:rFonts w:hint="default"/>
        <w:lang w:val="en-US" w:eastAsia="en-US" w:bidi="ar-SA"/>
      </w:rPr>
    </w:lvl>
    <w:lvl w:ilvl="7" w:tplc="7DEC3A74">
      <w:numFmt w:val="bullet"/>
      <w:lvlText w:val="•"/>
      <w:lvlJc w:val="left"/>
      <w:pPr>
        <w:ind w:left="5274" w:hanging="360"/>
      </w:pPr>
      <w:rPr>
        <w:rFonts w:hint="default"/>
        <w:lang w:val="en-US" w:eastAsia="en-US" w:bidi="ar-SA"/>
      </w:rPr>
    </w:lvl>
    <w:lvl w:ilvl="8" w:tplc="F404FBF6">
      <w:numFmt w:val="bullet"/>
      <w:lvlText w:val="•"/>
      <w:lvlJc w:val="left"/>
      <w:pPr>
        <w:ind w:left="5951" w:hanging="360"/>
      </w:pPr>
      <w:rPr>
        <w:rFonts w:hint="default"/>
        <w:lang w:val="en-US" w:eastAsia="en-US" w:bidi="ar-SA"/>
      </w:rPr>
    </w:lvl>
  </w:abstractNum>
  <w:abstractNum w:abstractNumId="141" w15:restartNumberingAfterBreak="0">
    <w:nsid w:val="6AF455B5"/>
    <w:multiLevelType w:val="hybridMultilevel"/>
    <w:tmpl w:val="6C707A5C"/>
    <w:lvl w:ilvl="0" w:tplc="9E6C1E80">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7280115A">
      <w:numFmt w:val="bullet"/>
      <w:lvlText w:val="•"/>
      <w:lvlJc w:val="left"/>
      <w:pPr>
        <w:ind w:left="1752" w:hanging="360"/>
      </w:pPr>
      <w:rPr>
        <w:rFonts w:hint="default"/>
        <w:lang w:val="en-US" w:eastAsia="en-US" w:bidi="ar-SA"/>
      </w:rPr>
    </w:lvl>
    <w:lvl w:ilvl="2" w:tplc="28EC2A54">
      <w:numFmt w:val="bullet"/>
      <w:lvlText w:val="•"/>
      <w:lvlJc w:val="left"/>
      <w:pPr>
        <w:ind w:left="2644" w:hanging="360"/>
      </w:pPr>
      <w:rPr>
        <w:rFonts w:hint="default"/>
        <w:lang w:val="en-US" w:eastAsia="en-US" w:bidi="ar-SA"/>
      </w:rPr>
    </w:lvl>
    <w:lvl w:ilvl="3" w:tplc="1F8C918C">
      <w:numFmt w:val="bullet"/>
      <w:lvlText w:val="•"/>
      <w:lvlJc w:val="left"/>
      <w:pPr>
        <w:ind w:left="3536" w:hanging="360"/>
      </w:pPr>
      <w:rPr>
        <w:rFonts w:hint="default"/>
        <w:lang w:val="en-US" w:eastAsia="en-US" w:bidi="ar-SA"/>
      </w:rPr>
    </w:lvl>
    <w:lvl w:ilvl="4" w:tplc="14D80B20">
      <w:numFmt w:val="bullet"/>
      <w:lvlText w:val="•"/>
      <w:lvlJc w:val="left"/>
      <w:pPr>
        <w:ind w:left="4428" w:hanging="360"/>
      </w:pPr>
      <w:rPr>
        <w:rFonts w:hint="default"/>
        <w:lang w:val="en-US" w:eastAsia="en-US" w:bidi="ar-SA"/>
      </w:rPr>
    </w:lvl>
    <w:lvl w:ilvl="5" w:tplc="090C8B58">
      <w:numFmt w:val="bullet"/>
      <w:lvlText w:val="•"/>
      <w:lvlJc w:val="left"/>
      <w:pPr>
        <w:ind w:left="5320" w:hanging="360"/>
      </w:pPr>
      <w:rPr>
        <w:rFonts w:hint="default"/>
        <w:lang w:val="en-US" w:eastAsia="en-US" w:bidi="ar-SA"/>
      </w:rPr>
    </w:lvl>
    <w:lvl w:ilvl="6" w:tplc="5086B2CA">
      <w:numFmt w:val="bullet"/>
      <w:lvlText w:val="•"/>
      <w:lvlJc w:val="left"/>
      <w:pPr>
        <w:ind w:left="6212" w:hanging="360"/>
      </w:pPr>
      <w:rPr>
        <w:rFonts w:hint="default"/>
        <w:lang w:val="en-US" w:eastAsia="en-US" w:bidi="ar-SA"/>
      </w:rPr>
    </w:lvl>
    <w:lvl w:ilvl="7" w:tplc="9BE2D548">
      <w:numFmt w:val="bullet"/>
      <w:lvlText w:val="•"/>
      <w:lvlJc w:val="left"/>
      <w:pPr>
        <w:ind w:left="7104" w:hanging="360"/>
      </w:pPr>
      <w:rPr>
        <w:rFonts w:hint="default"/>
        <w:lang w:val="en-US" w:eastAsia="en-US" w:bidi="ar-SA"/>
      </w:rPr>
    </w:lvl>
    <w:lvl w:ilvl="8" w:tplc="DB0AB8EE">
      <w:numFmt w:val="bullet"/>
      <w:lvlText w:val="•"/>
      <w:lvlJc w:val="left"/>
      <w:pPr>
        <w:ind w:left="7997" w:hanging="360"/>
      </w:pPr>
      <w:rPr>
        <w:rFonts w:hint="default"/>
        <w:lang w:val="en-US" w:eastAsia="en-US" w:bidi="ar-SA"/>
      </w:rPr>
    </w:lvl>
  </w:abstractNum>
  <w:abstractNum w:abstractNumId="142" w15:restartNumberingAfterBreak="0">
    <w:nsid w:val="6B5A37EF"/>
    <w:multiLevelType w:val="multilevel"/>
    <w:tmpl w:val="F8FECFF2"/>
    <w:lvl w:ilvl="0">
      <w:start w:val="3"/>
      <w:numFmt w:val="decimal"/>
      <w:lvlText w:val="%1"/>
      <w:lvlJc w:val="left"/>
      <w:pPr>
        <w:ind w:left="683" w:hanging="632"/>
        <w:jc w:val="left"/>
      </w:pPr>
      <w:rPr>
        <w:rFonts w:hint="default"/>
        <w:lang w:val="en-US" w:eastAsia="en-US" w:bidi="ar-SA"/>
      </w:rPr>
    </w:lvl>
    <w:lvl w:ilvl="1">
      <w:start w:val="1"/>
      <w:numFmt w:val="decimal"/>
      <w:lvlText w:val="%1.%2"/>
      <w:lvlJc w:val="left"/>
      <w:pPr>
        <w:ind w:left="683" w:hanging="632"/>
        <w:jc w:val="left"/>
      </w:pPr>
      <w:rPr>
        <w:rFonts w:ascii="Calibri" w:eastAsia="Calibri" w:hAnsi="Calibri" w:cs="Calibri" w:hint="default"/>
        <w:b/>
        <w:bCs/>
        <w:i w:val="0"/>
        <w:iCs w:val="0"/>
        <w:color w:val="00ACA3"/>
        <w:spacing w:val="-2"/>
        <w:w w:val="100"/>
        <w:sz w:val="22"/>
        <w:szCs w:val="22"/>
        <w:lang w:val="en-US" w:eastAsia="en-US" w:bidi="ar-SA"/>
      </w:rPr>
    </w:lvl>
    <w:lvl w:ilvl="2">
      <w:start w:val="1"/>
      <w:numFmt w:val="decimal"/>
      <w:lvlText w:val="%3."/>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3">
      <w:numFmt w:val="bullet"/>
      <w:lvlText w:val="•"/>
      <w:lvlJc w:val="left"/>
      <w:pPr>
        <w:ind w:left="2842" w:hanging="360"/>
      </w:pPr>
      <w:rPr>
        <w:rFonts w:hint="default"/>
        <w:lang w:val="en-US" w:eastAsia="en-US" w:bidi="ar-SA"/>
      </w:rPr>
    </w:lvl>
    <w:lvl w:ilvl="4">
      <w:numFmt w:val="bullet"/>
      <w:lvlText w:val="•"/>
      <w:lvlJc w:val="left"/>
      <w:pPr>
        <w:ind w:left="3833" w:hanging="360"/>
      </w:pPr>
      <w:rPr>
        <w:rFonts w:hint="default"/>
        <w:lang w:val="en-US" w:eastAsia="en-US" w:bidi="ar-SA"/>
      </w:rPr>
    </w:lvl>
    <w:lvl w:ilvl="5">
      <w:numFmt w:val="bullet"/>
      <w:lvlText w:val="•"/>
      <w:lvlJc w:val="left"/>
      <w:pPr>
        <w:ind w:left="4825" w:hanging="360"/>
      </w:pPr>
      <w:rPr>
        <w:rFonts w:hint="default"/>
        <w:lang w:val="en-US" w:eastAsia="en-US" w:bidi="ar-SA"/>
      </w:rPr>
    </w:lvl>
    <w:lvl w:ilvl="6">
      <w:numFmt w:val="bullet"/>
      <w:lvlText w:val="•"/>
      <w:lvlJc w:val="left"/>
      <w:pPr>
        <w:ind w:left="5816" w:hanging="360"/>
      </w:pPr>
      <w:rPr>
        <w:rFonts w:hint="default"/>
        <w:lang w:val="en-US" w:eastAsia="en-US" w:bidi="ar-SA"/>
      </w:rPr>
    </w:lvl>
    <w:lvl w:ilvl="7">
      <w:numFmt w:val="bullet"/>
      <w:lvlText w:val="•"/>
      <w:lvlJc w:val="left"/>
      <w:pPr>
        <w:ind w:left="6807" w:hanging="360"/>
      </w:pPr>
      <w:rPr>
        <w:rFonts w:hint="default"/>
        <w:lang w:val="en-US" w:eastAsia="en-US" w:bidi="ar-SA"/>
      </w:rPr>
    </w:lvl>
    <w:lvl w:ilvl="8">
      <w:numFmt w:val="bullet"/>
      <w:lvlText w:val="•"/>
      <w:lvlJc w:val="left"/>
      <w:pPr>
        <w:ind w:left="7798" w:hanging="360"/>
      </w:pPr>
      <w:rPr>
        <w:rFonts w:hint="default"/>
        <w:lang w:val="en-US" w:eastAsia="en-US" w:bidi="ar-SA"/>
      </w:rPr>
    </w:lvl>
  </w:abstractNum>
  <w:abstractNum w:abstractNumId="143" w15:restartNumberingAfterBreak="0">
    <w:nsid w:val="6C2B0816"/>
    <w:multiLevelType w:val="hybridMultilevel"/>
    <w:tmpl w:val="DA7A15CA"/>
    <w:lvl w:ilvl="0" w:tplc="3A4E3426">
      <w:numFmt w:val="bullet"/>
      <w:lvlText w:val=""/>
      <w:lvlJc w:val="left"/>
      <w:pPr>
        <w:ind w:left="683" w:hanging="360"/>
      </w:pPr>
      <w:rPr>
        <w:rFonts w:ascii="Symbol" w:eastAsia="Symbol" w:hAnsi="Symbol" w:cs="Symbol" w:hint="default"/>
        <w:b w:val="0"/>
        <w:bCs w:val="0"/>
        <w:i w:val="0"/>
        <w:iCs w:val="0"/>
        <w:spacing w:val="0"/>
        <w:w w:val="100"/>
        <w:sz w:val="22"/>
        <w:szCs w:val="22"/>
        <w:lang w:val="en-US" w:eastAsia="en-US" w:bidi="ar-SA"/>
      </w:rPr>
    </w:lvl>
    <w:lvl w:ilvl="1" w:tplc="FD6A8EE8">
      <w:numFmt w:val="bullet"/>
      <w:lvlText w:val="•"/>
      <w:lvlJc w:val="left"/>
      <w:pPr>
        <w:ind w:left="1590" w:hanging="360"/>
      </w:pPr>
      <w:rPr>
        <w:rFonts w:hint="default"/>
        <w:lang w:val="en-US" w:eastAsia="en-US" w:bidi="ar-SA"/>
      </w:rPr>
    </w:lvl>
    <w:lvl w:ilvl="2" w:tplc="E11457BA">
      <w:numFmt w:val="bullet"/>
      <w:lvlText w:val="•"/>
      <w:lvlJc w:val="left"/>
      <w:pPr>
        <w:ind w:left="2500" w:hanging="360"/>
      </w:pPr>
      <w:rPr>
        <w:rFonts w:hint="default"/>
        <w:lang w:val="en-US" w:eastAsia="en-US" w:bidi="ar-SA"/>
      </w:rPr>
    </w:lvl>
    <w:lvl w:ilvl="3" w:tplc="D91A51A4">
      <w:numFmt w:val="bullet"/>
      <w:lvlText w:val="•"/>
      <w:lvlJc w:val="left"/>
      <w:pPr>
        <w:ind w:left="3410" w:hanging="360"/>
      </w:pPr>
      <w:rPr>
        <w:rFonts w:hint="default"/>
        <w:lang w:val="en-US" w:eastAsia="en-US" w:bidi="ar-SA"/>
      </w:rPr>
    </w:lvl>
    <w:lvl w:ilvl="4" w:tplc="7BF2502C">
      <w:numFmt w:val="bullet"/>
      <w:lvlText w:val="•"/>
      <w:lvlJc w:val="left"/>
      <w:pPr>
        <w:ind w:left="4320" w:hanging="360"/>
      </w:pPr>
      <w:rPr>
        <w:rFonts w:hint="default"/>
        <w:lang w:val="en-US" w:eastAsia="en-US" w:bidi="ar-SA"/>
      </w:rPr>
    </w:lvl>
    <w:lvl w:ilvl="5" w:tplc="2F369848">
      <w:numFmt w:val="bullet"/>
      <w:lvlText w:val="•"/>
      <w:lvlJc w:val="left"/>
      <w:pPr>
        <w:ind w:left="5230" w:hanging="360"/>
      </w:pPr>
      <w:rPr>
        <w:rFonts w:hint="default"/>
        <w:lang w:val="en-US" w:eastAsia="en-US" w:bidi="ar-SA"/>
      </w:rPr>
    </w:lvl>
    <w:lvl w:ilvl="6" w:tplc="A1EEC3BE">
      <w:numFmt w:val="bullet"/>
      <w:lvlText w:val="•"/>
      <w:lvlJc w:val="left"/>
      <w:pPr>
        <w:ind w:left="6140" w:hanging="360"/>
      </w:pPr>
      <w:rPr>
        <w:rFonts w:hint="default"/>
        <w:lang w:val="en-US" w:eastAsia="en-US" w:bidi="ar-SA"/>
      </w:rPr>
    </w:lvl>
    <w:lvl w:ilvl="7" w:tplc="D2F49470">
      <w:numFmt w:val="bullet"/>
      <w:lvlText w:val="•"/>
      <w:lvlJc w:val="left"/>
      <w:pPr>
        <w:ind w:left="7050" w:hanging="360"/>
      </w:pPr>
      <w:rPr>
        <w:rFonts w:hint="default"/>
        <w:lang w:val="en-US" w:eastAsia="en-US" w:bidi="ar-SA"/>
      </w:rPr>
    </w:lvl>
    <w:lvl w:ilvl="8" w:tplc="32F8CC42">
      <w:numFmt w:val="bullet"/>
      <w:lvlText w:val="•"/>
      <w:lvlJc w:val="left"/>
      <w:pPr>
        <w:ind w:left="7961" w:hanging="360"/>
      </w:pPr>
      <w:rPr>
        <w:rFonts w:hint="default"/>
        <w:lang w:val="en-US" w:eastAsia="en-US" w:bidi="ar-SA"/>
      </w:rPr>
    </w:lvl>
  </w:abstractNum>
  <w:abstractNum w:abstractNumId="144" w15:restartNumberingAfterBreak="0">
    <w:nsid w:val="6C402106"/>
    <w:multiLevelType w:val="hybridMultilevel"/>
    <w:tmpl w:val="203CFAF4"/>
    <w:lvl w:ilvl="0" w:tplc="177410EA">
      <w:numFmt w:val="bullet"/>
      <w:lvlText w:val="•"/>
      <w:lvlJc w:val="left"/>
      <w:pPr>
        <w:ind w:left="379" w:hanging="180"/>
      </w:pPr>
      <w:rPr>
        <w:rFonts w:ascii="Trebuchet MS" w:eastAsia="Trebuchet MS" w:hAnsi="Trebuchet MS" w:cs="Trebuchet MS" w:hint="default"/>
        <w:b w:val="0"/>
        <w:bCs w:val="0"/>
        <w:i w:val="0"/>
        <w:iCs w:val="0"/>
        <w:spacing w:val="0"/>
        <w:w w:val="89"/>
        <w:sz w:val="18"/>
        <w:szCs w:val="18"/>
        <w:lang w:val="en-US" w:eastAsia="en-US" w:bidi="ar-SA"/>
      </w:rPr>
    </w:lvl>
    <w:lvl w:ilvl="1" w:tplc="65F02BB8">
      <w:numFmt w:val="bullet"/>
      <w:lvlText w:val="•"/>
      <w:lvlJc w:val="left"/>
      <w:pPr>
        <w:ind w:left="552" w:hanging="180"/>
      </w:pPr>
      <w:rPr>
        <w:rFonts w:ascii="Trebuchet MS" w:eastAsia="Trebuchet MS" w:hAnsi="Trebuchet MS" w:cs="Trebuchet MS" w:hint="default"/>
        <w:b w:val="0"/>
        <w:bCs w:val="0"/>
        <w:i w:val="0"/>
        <w:iCs w:val="0"/>
        <w:spacing w:val="0"/>
        <w:w w:val="89"/>
        <w:sz w:val="18"/>
        <w:szCs w:val="18"/>
        <w:lang w:val="en-US" w:eastAsia="en-US" w:bidi="ar-SA"/>
      </w:rPr>
    </w:lvl>
    <w:lvl w:ilvl="2" w:tplc="9DE4CE66">
      <w:numFmt w:val="bullet"/>
      <w:lvlText w:val="•"/>
      <w:lvlJc w:val="left"/>
      <w:pPr>
        <w:ind w:left="739" w:hanging="180"/>
      </w:pPr>
      <w:rPr>
        <w:rFonts w:hint="default"/>
        <w:lang w:val="en-US" w:eastAsia="en-US" w:bidi="ar-SA"/>
      </w:rPr>
    </w:lvl>
    <w:lvl w:ilvl="3" w:tplc="B3846060">
      <w:numFmt w:val="bullet"/>
      <w:lvlText w:val="•"/>
      <w:lvlJc w:val="left"/>
      <w:pPr>
        <w:ind w:left="918" w:hanging="180"/>
      </w:pPr>
      <w:rPr>
        <w:rFonts w:hint="default"/>
        <w:lang w:val="en-US" w:eastAsia="en-US" w:bidi="ar-SA"/>
      </w:rPr>
    </w:lvl>
    <w:lvl w:ilvl="4" w:tplc="A7EEE392">
      <w:numFmt w:val="bullet"/>
      <w:lvlText w:val="•"/>
      <w:lvlJc w:val="left"/>
      <w:pPr>
        <w:ind w:left="1097" w:hanging="180"/>
      </w:pPr>
      <w:rPr>
        <w:rFonts w:hint="default"/>
        <w:lang w:val="en-US" w:eastAsia="en-US" w:bidi="ar-SA"/>
      </w:rPr>
    </w:lvl>
    <w:lvl w:ilvl="5" w:tplc="1666B3A6">
      <w:numFmt w:val="bullet"/>
      <w:lvlText w:val="•"/>
      <w:lvlJc w:val="left"/>
      <w:pPr>
        <w:ind w:left="1276" w:hanging="180"/>
      </w:pPr>
      <w:rPr>
        <w:rFonts w:hint="default"/>
        <w:lang w:val="en-US" w:eastAsia="en-US" w:bidi="ar-SA"/>
      </w:rPr>
    </w:lvl>
    <w:lvl w:ilvl="6" w:tplc="8AF8E848">
      <w:numFmt w:val="bullet"/>
      <w:lvlText w:val="•"/>
      <w:lvlJc w:val="left"/>
      <w:pPr>
        <w:ind w:left="1455" w:hanging="180"/>
      </w:pPr>
      <w:rPr>
        <w:rFonts w:hint="default"/>
        <w:lang w:val="en-US" w:eastAsia="en-US" w:bidi="ar-SA"/>
      </w:rPr>
    </w:lvl>
    <w:lvl w:ilvl="7" w:tplc="C1B25054">
      <w:numFmt w:val="bullet"/>
      <w:lvlText w:val="•"/>
      <w:lvlJc w:val="left"/>
      <w:pPr>
        <w:ind w:left="1634" w:hanging="180"/>
      </w:pPr>
      <w:rPr>
        <w:rFonts w:hint="default"/>
        <w:lang w:val="en-US" w:eastAsia="en-US" w:bidi="ar-SA"/>
      </w:rPr>
    </w:lvl>
    <w:lvl w:ilvl="8" w:tplc="40AEA7DA">
      <w:numFmt w:val="bullet"/>
      <w:lvlText w:val="•"/>
      <w:lvlJc w:val="left"/>
      <w:pPr>
        <w:ind w:left="1813" w:hanging="180"/>
      </w:pPr>
      <w:rPr>
        <w:rFonts w:hint="default"/>
        <w:lang w:val="en-US" w:eastAsia="en-US" w:bidi="ar-SA"/>
      </w:rPr>
    </w:lvl>
  </w:abstractNum>
  <w:abstractNum w:abstractNumId="145" w15:restartNumberingAfterBreak="0">
    <w:nsid w:val="6C5D7C6E"/>
    <w:multiLevelType w:val="hybridMultilevel"/>
    <w:tmpl w:val="9F6A2DD4"/>
    <w:lvl w:ilvl="0" w:tplc="9B1628AC">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C3F8862C">
      <w:numFmt w:val="bullet"/>
      <w:lvlText w:val="•"/>
      <w:lvlJc w:val="left"/>
      <w:pPr>
        <w:ind w:left="1723" w:hanging="360"/>
      </w:pPr>
      <w:rPr>
        <w:rFonts w:hint="default"/>
        <w:lang w:val="en-US" w:eastAsia="en-US" w:bidi="ar-SA"/>
      </w:rPr>
    </w:lvl>
    <w:lvl w:ilvl="2" w:tplc="B2A4D752">
      <w:numFmt w:val="bullet"/>
      <w:lvlText w:val="•"/>
      <w:lvlJc w:val="left"/>
      <w:pPr>
        <w:ind w:left="2587" w:hanging="360"/>
      </w:pPr>
      <w:rPr>
        <w:rFonts w:hint="default"/>
        <w:lang w:val="en-US" w:eastAsia="en-US" w:bidi="ar-SA"/>
      </w:rPr>
    </w:lvl>
    <w:lvl w:ilvl="3" w:tplc="04128EB2">
      <w:numFmt w:val="bullet"/>
      <w:lvlText w:val="•"/>
      <w:lvlJc w:val="left"/>
      <w:pPr>
        <w:ind w:left="3451" w:hanging="360"/>
      </w:pPr>
      <w:rPr>
        <w:rFonts w:hint="default"/>
        <w:lang w:val="en-US" w:eastAsia="en-US" w:bidi="ar-SA"/>
      </w:rPr>
    </w:lvl>
    <w:lvl w:ilvl="4" w:tplc="B52026B0">
      <w:numFmt w:val="bullet"/>
      <w:lvlText w:val="•"/>
      <w:lvlJc w:val="left"/>
      <w:pPr>
        <w:ind w:left="4315" w:hanging="360"/>
      </w:pPr>
      <w:rPr>
        <w:rFonts w:hint="default"/>
        <w:lang w:val="en-US" w:eastAsia="en-US" w:bidi="ar-SA"/>
      </w:rPr>
    </w:lvl>
    <w:lvl w:ilvl="5" w:tplc="8D662730">
      <w:numFmt w:val="bullet"/>
      <w:lvlText w:val="•"/>
      <w:lvlJc w:val="left"/>
      <w:pPr>
        <w:ind w:left="5179" w:hanging="360"/>
      </w:pPr>
      <w:rPr>
        <w:rFonts w:hint="default"/>
        <w:lang w:val="en-US" w:eastAsia="en-US" w:bidi="ar-SA"/>
      </w:rPr>
    </w:lvl>
    <w:lvl w:ilvl="6" w:tplc="C7EC3A3E">
      <w:numFmt w:val="bullet"/>
      <w:lvlText w:val="•"/>
      <w:lvlJc w:val="left"/>
      <w:pPr>
        <w:ind w:left="6043" w:hanging="360"/>
      </w:pPr>
      <w:rPr>
        <w:rFonts w:hint="default"/>
        <w:lang w:val="en-US" w:eastAsia="en-US" w:bidi="ar-SA"/>
      </w:rPr>
    </w:lvl>
    <w:lvl w:ilvl="7" w:tplc="BF2A24DA">
      <w:numFmt w:val="bullet"/>
      <w:lvlText w:val="•"/>
      <w:lvlJc w:val="left"/>
      <w:pPr>
        <w:ind w:left="6906" w:hanging="360"/>
      </w:pPr>
      <w:rPr>
        <w:rFonts w:hint="default"/>
        <w:lang w:val="en-US" w:eastAsia="en-US" w:bidi="ar-SA"/>
      </w:rPr>
    </w:lvl>
    <w:lvl w:ilvl="8" w:tplc="2FD08DFE">
      <w:numFmt w:val="bullet"/>
      <w:lvlText w:val="•"/>
      <w:lvlJc w:val="left"/>
      <w:pPr>
        <w:ind w:left="7770" w:hanging="360"/>
      </w:pPr>
      <w:rPr>
        <w:rFonts w:hint="default"/>
        <w:lang w:val="en-US" w:eastAsia="en-US" w:bidi="ar-SA"/>
      </w:rPr>
    </w:lvl>
  </w:abstractNum>
  <w:abstractNum w:abstractNumId="146" w15:restartNumberingAfterBreak="0">
    <w:nsid w:val="6C780415"/>
    <w:multiLevelType w:val="hybridMultilevel"/>
    <w:tmpl w:val="9F109EDC"/>
    <w:lvl w:ilvl="0" w:tplc="EEBC45C2">
      <w:numFmt w:val="bullet"/>
      <w:lvlText w:val="•"/>
      <w:lvlJc w:val="left"/>
      <w:pPr>
        <w:ind w:left="456" w:hanging="360"/>
      </w:pPr>
      <w:rPr>
        <w:rFonts w:ascii="Trebuchet MS" w:eastAsia="Trebuchet MS" w:hAnsi="Trebuchet MS" w:cs="Trebuchet MS" w:hint="default"/>
        <w:b w:val="0"/>
        <w:bCs w:val="0"/>
        <w:i w:val="0"/>
        <w:iCs w:val="0"/>
        <w:spacing w:val="0"/>
        <w:w w:val="89"/>
        <w:sz w:val="18"/>
        <w:szCs w:val="18"/>
        <w:lang w:val="en-US" w:eastAsia="en-US" w:bidi="ar-SA"/>
      </w:rPr>
    </w:lvl>
    <w:lvl w:ilvl="1" w:tplc="9C669E64">
      <w:numFmt w:val="bullet"/>
      <w:lvlText w:val="•"/>
      <w:lvlJc w:val="left"/>
      <w:pPr>
        <w:ind w:left="1084" w:hanging="360"/>
      </w:pPr>
      <w:rPr>
        <w:rFonts w:hint="default"/>
        <w:lang w:val="en-US" w:eastAsia="en-US" w:bidi="ar-SA"/>
      </w:rPr>
    </w:lvl>
    <w:lvl w:ilvl="2" w:tplc="11D8C75E">
      <w:numFmt w:val="bullet"/>
      <w:lvlText w:val="•"/>
      <w:lvlJc w:val="left"/>
      <w:pPr>
        <w:ind w:left="1709" w:hanging="360"/>
      </w:pPr>
      <w:rPr>
        <w:rFonts w:hint="default"/>
        <w:lang w:val="en-US" w:eastAsia="en-US" w:bidi="ar-SA"/>
      </w:rPr>
    </w:lvl>
    <w:lvl w:ilvl="3" w:tplc="0D54B6F2">
      <w:numFmt w:val="bullet"/>
      <w:lvlText w:val="•"/>
      <w:lvlJc w:val="left"/>
      <w:pPr>
        <w:ind w:left="2334" w:hanging="360"/>
      </w:pPr>
      <w:rPr>
        <w:rFonts w:hint="default"/>
        <w:lang w:val="en-US" w:eastAsia="en-US" w:bidi="ar-SA"/>
      </w:rPr>
    </w:lvl>
    <w:lvl w:ilvl="4" w:tplc="FC8066F8">
      <w:numFmt w:val="bullet"/>
      <w:lvlText w:val="•"/>
      <w:lvlJc w:val="left"/>
      <w:pPr>
        <w:ind w:left="2959" w:hanging="360"/>
      </w:pPr>
      <w:rPr>
        <w:rFonts w:hint="default"/>
        <w:lang w:val="en-US" w:eastAsia="en-US" w:bidi="ar-SA"/>
      </w:rPr>
    </w:lvl>
    <w:lvl w:ilvl="5" w:tplc="90965984">
      <w:numFmt w:val="bullet"/>
      <w:lvlText w:val="•"/>
      <w:lvlJc w:val="left"/>
      <w:pPr>
        <w:ind w:left="3584" w:hanging="360"/>
      </w:pPr>
      <w:rPr>
        <w:rFonts w:hint="default"/>
        <w:lang w:val="en-US" w:eastAsia="en-US" w:bidi="ar-SA"/>
      </w:rPr>
    </w:lvl>
    <w:lvl w:ilvl="6" w:tplc="8EFA71CE">
      <w:numFmt w:val="bullet"/>
      <w:lvlText w:val="•"/>
      <w:lvlJc w:val="left"/>
      <w:pPr>
        <w:ind w:left="4208" w:hanging="360"/>
      </w:pPr>
      <w:rPr>
        <w:rFonts w:hint="default"/>
        <w:lang w:val="en-US" w:eastAsia="en-US" w:bidi="ar-SA"/>
      </w:rPr>
    </w:lvl>
    <w:lvl w:ilvl="7" w:tplc="68D4F872">
      <w:numFmt w:val="bullet"/>
      <w:lvlText w:val="•"/>
      <w:lvlJc w:val="left"/>
      <w:pPr>
        <w:ind w:left="4833" w:hanging="360"/>
      </w:pPr>
      <w:rPr>
        <w:rFonts w:hint="default"/>
        <w:lang w:val="en-US" w:eastAsia="en-US" w:bidi="ar-SA"/>
      </w:rPr>
    </w:lvl>
    <w:lvl w:ilvl="8" w:tplc="C200FA62">
      <w:numFmt w:val="bullet"/>
      <w:lvlText w:val="•"/>
      <w:lvlJc w:val="left"/>
      <w:pPr>
        <w:ind w:left="5458" w:hanging="360"/>
      </w:pPr>
      <w:rPr>
        <w:rFonts w:hint="default"/>
        <w:lang w:val="en-US" w:eastAsia="en-US" w:bidi="ar-SA"/>
      </w:rPr>
    </w:lvl>
  </w:abstractNum>
  <w:abstractNum w:abstractNumId="147" w15:restartNumberingAfterBreak="0">
    <w:nsid w:val="6E0F0C8A"/>
    <w:multiLevelType w:val="hybridMultilevel"/>
    <w:tmpl w:val="8AAA0154"/>
    <w:lvl w:ilvl="0" w:tplc="3190B6FC">
      <w:numFmt w:val="bullet"/>
      <w:lvlText w:val="•"/>
      <w:lvlJc w:val="left"/>
      <w:pPr>
        <w:ind w:left="415" w:hanging="360"/>
      </w:pPr>
      <w:rPr>
        <w:rFonts w:ascii="Trebuchet MS" w:eastAsia="Trebuchet MS" w:hAnsi="Trebuchet MS" w:cs="Trebuchet MS" w:hint="default"/>
        <w:b w:val="0"/>
        <w:bCs w:val="0"/>
        <w:i w:val="0"/>
        <w:iCs w:val="0"/>
        <w:spacing w:val="0"/>
        <w:w w:val="89"/>
        <w:sz w:val="18"/>
        <w:szCs w:val="18"/>
        <w:lang w:val="en-US" w:eastAsia="en-US" w:bidi="ar-SA"/>
      </w:rPr>
    </w:lvl>
    <w:lvl w:ilvl="1" w:tplc="56345C06">
      <w:numFmt w:val="bullet"/>
      <w:lvlText w:val="•"/>
      <w:lvlJc w:val="left"/>
      <w:pPr>
        <w:ind w:left="1059" w:hanging="360"/>
      </w:pPr>
      <w:rPr>
        <w:rFonts w:hint="default"/>
        <w:lang w:val="en-US" w:eastAsia="en-US" w:bidi="ar-SA"/>
      </w:rPr>
    </w:lvl>
    <w:lvl w:ilvl="2" w:tplc="E6784B58">
      <w:numFmt w:val="bullet"/>
      <w:lvlText w:val="•"/>
      <w:lvlJc w:val="left"/>
      <w:pPr>
        <w:ind w:left="1699" w:hanging="360"/>
      </w:pPr>
      <w:rPr>
        <w:rFonts w:hint="default"/>
        <w:lang w:val="en-US" w:eastAsia="en-US" w:bidi="ar-SA"/>
      </w:rPr>
    </w:lvl>
    <w:lvl w:ilvl="3" w:tplc="FB209B06">
      <w:numFmt w:val="bullet"/>
      <w:lvlText w:val="•"/>
      <w:lvlJc w:val="left"/>
      <w:pPr>
        <w:ind w:left="2339" w:hanging="360"/>
      </w:pPr>
      <w:rPr>
        <w:rFonts w:hint="default"/>
        <w:lang w:val="en-US" w:eastAsia="en-US" w:bidi="ar-SA"/>
      </w:rPr>
    </w:lvl>
    <w:lvl w:ilvl="4" w:tplc="D564DD02">
      <w:numFmt w:val="bullet"/>
      <w:lvlText w:val="•"/>
      <w:lvlJc w:val="left"/>
      <w:pPr>
        <w:ind w:left="2979" w:hanging="360"/>
      </w:pPr>
      <w:rPr>
        <w:rFonts w:hint="default"/>
        <w:lang w:val="en-US" w:eastAsia="en-US" w:bidi="ar-SA"/>
      </w:rPr>
    </w:lvl>
    <w:lvl w:ilvl="5" w:tplc="17B8527E">
      <w:numFmt w:val="bullet"/>
      <w:lvlText w:val="•"/>
      <w:lvlJc w:val="left"/>
      <w:pPr>
        <w:ind w:left="3619" w:hanging="360"/>
      </w:pPr>
      <w:rPr>
        <w:rFonts w:hint="default"/>
        <w:lang w:val="en-US" w:eastAsia="en-US" w:bidi="ar-SA"/>
      </w:rPr>
    </w:lvl>
    <w:lvl w:ilvl="6" w:tplc="080AEC4C">
      <w:numFmt w:val="bullet"/>
      <w:lvlText w:val="•"/>
      <w:lvlJc w:val="left"/>
      <w:pPr>
        <w:ind w:left="4258" w:hanging="360"/>
      </w:pPr>
      <w:rPr>
        <w:rFonts w:hint="default"/>
        <w:lang w:val="en-US" w:eastAsia="en-US" w:bidi="ar-SA"/>
      </w:rPr>
    </w:lvl>
    <w:lvl w:ilvl="7" w:tplc="DAAEEF5A">
      <w:numFmt w:val="bullet"/>
      <w:lvlText w:val="•"/>
      <w:lvlJc w:val="left"/>
      <w:pPr>
        <w:ind w:left="4898" w:hanging="360"/>
      </w:pPr>
      <w:rPr>
        <w:rFonts w:hint="default"/>
        <w:lang w:val="en-US" w:eastAsia="en-US" w:bidi="ar-SA"/>
      </w:rPr>
    </w:lvl>
    <w:lvl w:ilvl="8" w:tplc="07466446">
      <w:numFmt w:val="bullet"/>
      <w:lvlText w:val="•"/>
      <w:lvlJc w:val="left"/>
      <w:pPr>
        <w:ind w:left="5538" w:hanging="360"/>
      </w:pPr>
      <w:rPr>
        <w:rFonts w:hint="default"/>
        <w:lang w:val="en-US" w:eastAsia="en-US" w:bidi="ar-SA"/>
      </w:rPr>
    </w:lvl>
  </w:abstractNum>
  <w:abstractNum w:abstractNumId="148" w15:restartNumberingAfterBreak="0">
    <w:nsid w:val="6E8A6EB1"/>
    <w:multiLevelType w:val="hybridMultilevel"/>
    <w:tmpl w:val="7EACFCD2"/>
    <w:lvl w:ilvl="0" w:tplc="8842BED6">
      <w:numFmt w:val="bullet"/>
      <w:lvlText w:val=""/>
      <w:lvlJc w:val="left"/>
      <w:pPr>
        <w:ind w:left="683" w:hanging="360"/>
      </w:pPr>
      <w:rPr>
        <w:rFonts w:ascii="Symbol" w:eastAsia="Symbol" w:hAnsi="Symbol" w:cs="Symbol" w:hint="default"/>
        <w:b w:val="0"/>
        <w:bCs w:val="0"/>
        <w:i w:val="0"/>
        <w:iCs w:val="0"/>
        <w:spacing w:val="0"/>
        <w:w w:val="100"/>
        <w:sz w:val="22"/>
        <w:szCs w:val="22"/>
        <w:lang w:val="en-US" w:eastAsia="en-US" w:bidi="ar-SA"/>
      </w:rPr>
    </w:lvl>
    <w:lvl w:ilvl="1" w:tplc="B76C3A42">
      <w:numFmt w:val="bullet"/>
      <w:lvlText w:val="•"/>
      <w:lvlJc w:val="left"/>
      <w:pPr>
        <w:ind w:left="7242" w:hanging="360"/>
      </w:pPr>
      <w:rPr>
        <w:rFonts w:ascii="Trebuchet MS" w:eastAsia="Trebuchet MS" w:hAnsi="Trebuchet MS" w:cs="Trebuchet MS" w:hint="default"/>
        <w:b w:val="0"/>
        <w:bCs w:val="0"/>
        <w:i w:val="0"/>
        <w:iCs w:val="0"/>
        <w:spacing w:val="0"/>
        <w:w w:val="89"/>
        <w:sz w:val="18"/>
        <w:szCs w:val="18"/>
        <w:lang w:val="en-US" w:eastAsia="en-US" w:bidi="ar-SA"/>
      </w:rPr>
    </w:lvl>
    <w:lvl w:ilvl="2" w:tplc="818EB958">
      <w:numFmt w:val="bullet"/>
      <w:lvlText w:val="•"/>
      <w:lvlJc w:val="left"/>
      <w:pPr>
        <w:ind w:left="7522" w:hanging="360"/>
      </w:pPr>
      <w:rPr>
        <w:rFonts w:hint="default"/>
        <w:lang w:val="en-US" w:eastAsia="en-US" w:bidi="ar-SA"/>
      </w:rPr>
    </w:lvl>
    <w:lvl w:ilvl="3" w:tplc="D41E3922">
      <w:numFmt w:val="bullet"/>
      <w:lvlText w:val="•"/>
      <w:lvlJc w:val="left"/>
      <w:pPr>
        <w:ind w:left="7804" w:hanging="360"/>
      </w:pPr>
      <w:rPr>
        <w:rFonts w:hint="default"/>
        <w:lang w:val="en-US" w:eastAsia="en-US" w:bidi="ar-SA"/>
      </w:rPr>
    </w:lvl>
    <w:lvl w:ilvl="4" w:tplc="345E66F8">
      <w:numFmt w:val="bullet"/>
      <w:lvlText w:val="•"/>
      <w:lvlJc w:val="left"/>
      <w:pPr>
        <w:ind w:left="8087" w:hanging="360"/>
      </w:pPr>
      <w:rPr>
        <w:rFonts w:hint="default"/>
        <w:lang w:val="en-US" w:eastAsia="en-US" w:bidi="ar-SA"/>
      </w:rPr>
    </w:lvl>
    <w:lvl w:ilvl="5" w:tplc="AB94EB40">
      <w:numFmt w:val="bullet"/>
      <w:lvlText w:val="•"/>
      <w:lvlJc w:val="left"/>
      <w:pPr>
        <w:ind w:left="8369" w:hanging="360"/>
      </w:pPr>
      <w:rPr>
        <w:rFonts w:hint="default"/>
        <w:lang w:val="en-US" w:eastAsia="en-US" w:bidi="ar-SA"/>
      </w:rPr>
    </w:lvl>
    <w:lvl w:ilvl="6" w:tplc="B22CDE0A">
      <w:numFmt w:val="bullet"/>
      <w:lvlText w:val="•"/>
      <w:lvlJc w:val="left"/>
      <w:pPr>
        <w:ind w:left="8651" w:hanging="360"/>
      </w:pPr>
      <w:rPr>
        <w:rFonts w:hint="default"/>
        <w:lang w:val="en-US" w:eastAsia="en-US" w:bidi="ar-SA"/>
      </w:rPr>
    </w:lvl>
    <w:lvl w:ilvl="7" w:tplc="B1B277E4">
      <w:numFmt w:val="bullet"/>
      <w:lvlText w:val="•"/>
      <w:lvlJc w:val="left"/>
      <w:pPr>
        <w:ind w:left="8934" w:hanging="360"/>
      </w:pPr>
      <w:rPr>
        <w:rFonts w:hint="default"/>
        <w:lang w:val="en-US" w:eastAsia="en-US" w:bidi="ar-SA"/>
      </w:rPr>
    </w:lvl>
    <w:lvl w:ilvl="8" w:tplc="E7D45A78">
      <w:numFmt w:val="bullet"/>
      <w:lvlText w:val="•"/>
      <w:lvlJc w:val="left"/>
      <w:pPr>
        <w:ind w:left="9216" w:hanging="360"/>
      </w:pPr>
      <w:rPr>
        <w:rFonts w:hint="default"/>
        <w:lang w:val="en-US" w:eastAsia="en-US" w:bidi="ar-SA"/>
      </w:rPr>
    </w:lvl>
  </w:abstractNum>
  <w:abstractNum w:abstractNumId="149" w15:restartNumberingAfterBreak="0">
    <w:nsid w:val="6ECB301D"/>
    <w:multiLevelType w:val="hybridMultilevel"/>
    <w:tmpl w:val="F52C4630"/>
    <w:lvl w:ilvl="0" w:tplc="10DADFBE">
      <w:numFmt w:val="bullet"/>
      <w:lvlText w:val=""/>
      <w:lvlJc w:val="left"/>
      <w:pPr>
        <w:ind w:left="683" w:hanging="360"/>
      </w:pPr>
      <w:rPr>
        <w:rFonts w:ascii="Symbol" w:eastAsia="Symbol" w:hAnsi="Symbol" w:cs="Symbol" w:hint="default"/>
        <w:b w:val="0"/>
        <w:bCs w:val="0"/>
        <w:i w:val="0"/>
        <w:iCs w:val="0"/>
        <w:spacing w:val="0"/>
        <w:w w:val="100"/>
        <w:sz w:val="22"/>
        <w:szCs w:val="22"/>
        <w:lang w:val="en-US" w:eastAsia="en-US" w:bidi="ar-SA"/>
      </w:rPr>
    </w:lvl>
    <w:lvl w:ilvl="1" w:tplc="3D1849DE">
      <w:numFmt w:val="bullet"/>
      <w:lvlText w:val="•"/>
      <w:lvlJc w:val="left"/>
      <w:pPr>
        <w:ind w:left="1590" w:hanging="360"/>
      </w:pPr>
      <w:rPr>
        <w:rFonts w:hint="default"/>
        <w:lang w:val="en-US" w:eastAsia="en-US" w:bidi="ar-SA"/>
      </w:rPr>
    </w:lvl>
    <w:lvl w:ilvl="2" w:tplc="2716D936">
      <w:numFmt w:val="bullet"/>
      <w:lvlText w:val="•"/>
      <w:lvlJc w:val="left"/>
      <w:pPr>
        <w:ind w:left="2500" w:hanging="360"/>
      </w:pPr>
      <w:rPr>
        <w:rFonts w:hint="default"/>
        <w:lang w:val="en-US" w:eastAsia="en-US" w:bidi="ar-SA"/>
      </w:rPr>
    </w:lvl>
    <w:lvl w:ilvl="3" w:tplc="77CA037A">
      <w:numFmt w:val="bullet"/>
      <w:lvlText w:val="•"/>
      <w:lvlJc w:val="left"/>
      <w:pPr>
        <w:ind w:left="3410" w:hanging="360"/>
      </w:pPr>
      <w:rPr>
        <w:rFonts w:hint="default"/>
        <w:lang w:val="en-US" w:eastAsia="en-US" w:bidi="ar-SA"/>
      </w:rPr>
    </w:lvl>
    <w:lvl w:ilvl="4" w:tplc="A06CDFF8">
      <w:numFmt w:val="bullet"/>
      <w:lvlText w:val="•"/>
      <w:lvlJc w:val="left"/>
      <w:pPr>
        <w:ind w:left="4320" w:hanging="360"/>
      </w:pPr>
      <w:rPr>
        <w:rFonts w:hint="default"/>
        <w:lang w:val="en-US" w:eastAsia="en-US" w:bidi="ar-SA"/>
      </w:rPr>
    </w:lvl>
    <w:lvl w:ilvl="5" w:tplc="D6144780">
      <w:numFmt w:val="bullet"/>
      <w:lvlText w:val="•"/>
      <w:lvlJc w:val="left"/>
      <w:pPr>
        <w:ind w:left="5230" w:hanging="360"/>
      </w:pPr>
      <w:rPr>
        <w:rFonts w:hint="default"/>
        <w:lang w:val="en-US" w:eastAsia="en-US" w:bidi="ar-SA"/>
      </w:rPr>
    </w:lvl>
    <w:lvl w:ilvl="6" w:tplc="52D88AD0">
      <w:numFmt w:val="bullet"/>
      <w:lvlText w:val="•"/>
      <w:lvlJc w:val="left"/>
      <w:pPr>
        <w:ind w:left="6140" w:hanging="360"/>
      </w:pPr>
      <w:rPr>
        <w:rFonts w:hint="default"/>
        <w:lang w:val="en-US" w:eastAsia="en-US" w:bidi="ar-SA"/>
      </w:rPr>
    </w:lvl>
    <w:lvl w:ilvl="7" w:tplc="DC16DC58">
      <w:numFmt w:val="bullet"/>
      <w:lvlText w:val="•"/>
      <w:lvlJc w:val="left"/>
      <w:pPr>
        <w:ind w:left="7050" w:hanging="360"/>
      </w:pPr>
      <w:rPr>
        <w:rFonts w:hint="default"/>
        <w:lang w:val="en-US" w:eastAsia="en-US" w:bidi="ar-SA"/>
      </w:rPr>
    </w:lvl>
    <w:lvl w:ilvl="8" w:tplc="CA54A480">
      <w:numFmt w:val="bullet"/>
      <w:lvlText w:val="•"/>
      <w:lvlJc w:val="left"/>
      <w:pPr>
        <w:ind w:left="7961" w:hanging="360"/>
      </w:pPr>
      <w:rPr>
        <w:rFonts w:hint="default"/>
        <w:lang w:val="en-US" w:eastAsia="en-US" w:bidi="ar-SA"/>
      </w:rPr>
    </w:lvl>
  </w:abstractNum>
  <w:abstractNum w:abstractNumId="150" w15:restartNumberingAfterBreak="0">
    <w:nsid w:val="7008457F"/>
    <w:multiLevelType w:val="hybridMultilevel"/>
    <w:tmpl w:val="B4722466"/>
    <w:lvl w:ilvl="0" w:tplc="DD58F82C">
      <w:start w:val="1"/>
      <w:numFmt w:val="decimal"/>
      <w:lvlText w:val="%1."/>
      <w:lvlJc w:val="left"/>
      <w:pPr>
        <w:ind w:left="862"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65F4C266">
      <w:numFmt w:val="bullet"/>
      <w:lvlText w:val="•"/>
      <w:lvlJc w:val="left"/>
      <w:pPr>
        <w:ind w:left="1752" w:hanging="360"/>
      </w:pPr>
      <w:rPr>
        <w:rFonts w:hint="default"/>
        <w:lang w:val="en-US" w:eastAsia="en-US" w:bidi="ar-SA"/>
      </w:rPr>
    </w:lvl>
    <w:lvl w:ilvl="2" w:tplc="4B1C001C">
      <w:numFmt w:val="bullet"/>
      <w:lvlText w:val="•"/>
      <w:lvlJc w:val="left"/>
      <w:pPr>
        <w:ind w:left="2644" w:hanging="360"/>
      </w:pPr>
      <w:rPr>
        <w:rFonts w:hint="default"/>
        <w:lang w:val="en-US" w:eastAsia="en-US" w:bidi="ar-SA"/>
      </w:rPr>
    </w:lvl>
    <w:lvl w:ilvl="3" w:tplc="925A12FC">
      <w:numFmt w:val="bullet"/>
      <w:lvlText w:val="•"/>
      <w:lvlJc w:val="left"/>
      <w:pPr>
        <w:ind w:left="3536" w:hanging="360"/>
      </w:pPr>
      <w:rPr>
        <w:rFonts w:hint="default"/>
        <w:lang w:val="en-US" w:eastAsia="en-US" w:bidi="ar-SA"/>
      </w:rPr>
    </w:lvl>
    <w:lvl w:ilvl="4" w:tplc="C3F2C71A">
      <w:numFmt w:val="bullet"/>
      <w:lvlText w:val="•"/>
      <w:lvlJc w:val="left"/>
      <w:pPr>
        <w:ind w:left="4428" w:hanging="360"/>
      </w:pPr>
      <w:rPr>
        <w:rFonts w:hint="default"/>
        <w:lang w:val="en-US" w:eastAsia="en-US" w:bidi="ar-SA"/>
      </w:rPr>
    </w:lvl>
    <w:lvl w:ilvl="5" w:tplc="D12C1E6E">
      <w:numFmt w:val="bullet"/>
      <w:lvlText w:val="•"/>
      <w:lvlJc w:val="left"/>
      <w:pPr>
        <w:ind w:left="5320" w:hanging="360"/>
      </w:pPr>
      <w:rPr>
        <w:rFonts w:hint="default"/>
        <w:lang w:val="en-US" w:eastAsia="en-US" w:bidi="ar-SA"/>
      </w:rPr>
    </w:lvl>
    <w:lvl w:ilvl="6" w:tplc="EDE620D4">
      <w:numFmt w:val="bullet"/>
      <w:lvlText w:val="•"/>
      <w:lvlJc w:val="left"/>
      <w:pPr>
        <w:ind w:left="6212" w:hanging="360"/>
      </w:pPr>
      <w:rPr>
        <w:rFonts w:hint="default"/>
        <w:lang w:val="en-US" w:eastAsia="en-US" w:bidi="ar-SA"/>
      </w:rPr>
    </w:lvl>
    <w:lvl w:ilvl="7" w:tplc="E3E69AA2">
      <w:numFmt w:val="bullet"/>
      <w:lvlText w:val="•"/>
      <w:lvlJc w:val="left"/>
      <w:pPr>
        <w:ind w:left="7104" w:hanging="360"/>
      </w:pPr>
      <w:rPr>
        <w:rFonts w:hint="default"/>
        <w:lang w:val="en-US" w:eastAsia="en-US" w:bidi="ar-SA"/>
      </w:rPr>
    </w:lvl>
    <w:lvl w:ilvl="8" w:tplc="C24C8F16">
      <w:numFmt w:val="bullet"/>
      <w:lvlText w:val="•"/>
      <w:lvlJc w:val="left"/>
      <w:pPr>
        <w:ind w:left="7997" w:hanging="360"/>
      </w:pPr>
      <w:rPr>
        <w:rFonts w:hint="default"/>
        <w:lang w:val="en-US" w:eastAsia="en-US" w:bidi="ar-SA"/>
      </w:rPr>
    </w:lvl>
  </w:abstractNum>
  <w:abstractNum w:abstractNumId="151" w15:restartNumberingAfterBreak="0">
    <w:nsid w:val="703866AE"/>
    <w:multiLevelType w:val="hybridMultilevel"/>
    <w:tmpl w:val="C8867364"/>
    <w:lvl w:ilvl="0" w:tplc="21E84384">
      <w:numFmt w:val="bullet"/>
      <w:lvlText w:val="•"/>
      <w:lvlJc w:val="left"/>
      <w:pPr>
        <w:ind w:left="435" w:hanging="180"/>
      </w:pPr>
      <w:rPr>
        <w:rFonts w:ascii="Trebuchet MS" w:eastAsia="Trebuchet MS" w:hAnsi="Trebuchet MS" w:cs="Trebuchet MS" w:hint="default"/>
        <w:b w:val="0"/>
        <w:bCs w:val="0"/>
        <w:i w:val="0"/>
        <w:iCs w:val="0"/>
        <w:spacing w:val="0"/>
        <w:w w:val="89"/>
        <w:sz w:val="18"/>
        <w:szCs w:val="18"/>
        <w:lang w:val="en-US" w:eastAsia="en-US" w:bidi="ar-SA"/>
      </w:rPr>
    </w:lvl>
    <w:lvl w:ilvl="1" w:tplc="69A6711E">
      <w:numFmt w:val="bullet"/>
      <w:lvlText w:val="•"/>
      <w:lvlJc w:val="left"/>
      <w:pPr>
        <w:ind w:left="618" w:hanging="180"/>
      </w:pPr>
      <w:rPr>
        <w:rFonts w:hint="default"/>
        <w:lang w:val="en-US" w:eastAsia="en-US" w:bidi="ar-SA"/>
      </w:rPr>
    </w:lvl>
    <w:lvl w:ilvl="2" w:tplc="1C984E4E">
      <w:numFmt w:val="bullet"/>
      <w:lvlText w:val="•"/>
      <w:lvlJc w:val="left"/>
      <w:pPr>
        <w:ind w:left="797" w:hanging="180"/>
      </w:pPr>
      <w:rPr>
        <w:rFonts w:hint="default"/>
        <w:lang w:val="en-US" w:eastAsia="en-US" w:bidi="ar-SA"/>
      </w:rPr>
    </w:lvl>
    <w:lvl w:ilvl="3" w:tplc="5A4A4834">
      <w:numFmt w:val="bullet"/>
      <w:lvlText w:val="•"/>
      <w:lvlJc w:val="left"/>
      <w:pPr>
        <w:ind w:left="976" w:hanging="180"/>
      </w:pPr>
      <w:rPr>
        <w:rFonts w:hint="default"/>
        <w:lang w:val="en-US" w:eastAsia="en-US" w:bidi="ar-SA"/>
      </w:rPr>
    </w:lvl>
    <w:lvl w:ilvl="4" w:tplc="70EC7138">
      <w:numFmt w:val="bullet"/>
      <w:lvlText w:val="•"/>
      <w:lvlJc w:val="left"/>
      <w:pPr>
        <w:ind w:left="1155" w:hanging="180"/>
      </w:pPr>
      <w:rPr>
        <w:rFonts w:hint="default"/>
        <w:lang w:val="en-US" w:eastAsia="en-US" w:bidi="ar-SA"/>
      </w:rPr>
    </w:lvl>
    <w:lvl w:ilvl="5" w:tplc="FC0E6390">
      <w:numFmt w:val="bullet"/>
      <w:lvlText w:val="•"/>
      <w:lvlJc w:val="left"/>
      <w:pPr>
        <w:ind w:left="1334" w:hanging="180"/>
      </w:pPr>
      <w:rPr>
        <w:rFonts w:hint="default"/>
        <w:lang w:val="en-US" w:eastAsia="en-US" w:bidi="ar-SA"/>
      </w:rPr>
    </w:lvl>
    <w:lvl w:ilvl="6" w:tplc="E8F837FC">
      <w:numFmt w:val="bullet"/>
      <w:lvlText w:val="•"/>
      <w:lvlJc w:val="left"/>
      <w:pPr>
        <w:ind w:left="1513" w:hanging="180"/>
      </w:pPr>
      <w:rPr>
        <w:rFonts w:hint="default"/>
        <w:lang w:val="en-US" w:eastAsia="en-US" w:bidi="ar-SA"/>
      </w:rPr>
    </w:lvl>
    <w:lvl w:ilvl="7" w:tplc="2794E700">
      <w:numFmt w:val="bullet"/>
      <w:lvlText w:val="•"/>
      <w:lvlJc w:val="left"/>
      <w:pPr>
        <w:ind w:left="1692" w:hanging="180"/>
      </w:pPr>
      <w:rPr>
        <w:rFonts w:hint="default"/>
        <w:lang w:val="en-US" w:eastAsia="en-US" w:bidi="ar-SA"/>
      </w:rPr>
    </w:lvl>
    <w:lvl w:ilvl="8" w:tplc="89F2AC6A">
      <w:numFmt w:val="bullet"/>
      <w:lvlText w:val="•"/>
      <w:lvlJc w:val="left"/>
      <w:pPr>
        <w:ind w:left="1871" w:hanging="180"/>
      </w:pPr>
      <w:rPr>
        <w:rFonts w:hint="default"/>
        <w:lang w:val="en-US" w:eastAsia="en-US" w:bidi="ar-SA"/>
      </w:rPr>
    </w:lvl>
  </w:abstractNum>
  <w:abstractNum w:abstractNumId="152" w15:restartNumberingAfterBreak="0">
    <w:nsid w:val="705F372E"/>
    <w:multiLevelType w:val="hybridMultilevel"/>
    <w:tmpl w:val="30243DEE"/>
    <w:lvl w:ilvl="0" w:tplc="5C48BDAE">
      <w:numFmt w:val="bullet"/>
      <w:lvlText w:val="•"/>
      <w:lvlJc w:val="left"/>
      <w:pPr>
        <w:ind w:left="541" w:hanging="360"/>
      </w:pPr>
      <w:rPr>
        <w:rFonts w:ascii="Trebuchet MS" w:eastAsia="Trebuchet MS" w:hAnsi="Trebuchet MS" w:cs="Trebuchet MS" w:hint="default"/>
        <w:b w:val="0"/>
        <w:bCs w:val="0"/>
        <w:i w:val="0"/>
        <w:iCs w:val="0"/>
        <w:spacing w:val="0"/>
        <w:w w:val="89"/>
        <w:sz w:val="18"/>
        <w:szCs w:val="18"/>
        <w:lang w:val="en-US" w:eastAsia="en-US" w:bidi="ar-SA"/>
      </w:rPr>
    </w:lvl>
    <w:lvl w:ilvl="1" w:tplc="60FE6D52">
      <w:numFmt w:val="bullet"/>
      <w:lvlText w:val="•"/>
      <w:lvlJc w:val="left"/>
      <w:pPr>
        <w:ind w:left="1216" w:hanging="360"/>
      </w:pPr>
      <w:rPr>
        <w:rFonts w:hint="default"/>
        <w:lang w:val="en-US" w:eastAsia="en-US" w:bidi="ar-SA"/>
      </w:rPr>
    </w:lvl>
    <w:lvl w:ilvl="2" w:tplc="6C9AC694">
      <w:numFmt w:val="bullet"/>
      <w:lvlText w:val="•"/>
      <w:lvlJc w:val="left"/>
      <w:pPr>
        <w:ind w:left="1892" w:hanging="360"/>
      </w:pPr>
      <w:rPr>
        <w:rFonts w:hint="default"/>
        <w:lang w:val="en-US" w:eastAsia="en-US" w:bidi="ar-SA"/>
      </w:rPr>
    </w:lvl>
    <w:lvl w:ilvl="3" w:tplc="A7E23888">
      <w:numFmt w:val="bullet"/>
      <w:lvlText w:val="•"/>
      <w:lvlJc w:val="left"/>
      <w:pPr>
        <w:ind w:left="2569" w:hanging="360"/>
      </w:pPr>
      <w:rPr>
        <w:rFonts w:hint="default"/>
        <w:lang w:val="en-US" w:eastAsia="en-US" w:bidi="ar-SA"/>
      </w:rPr>
    </w:lvl>
    <w:lvl w:ilvl="4" w:tplc="101EAEF6">
      <w:numFmt w:val="bullet"/>
      <w:lvlText w:val="•"/>
      <w:lvlJc w:val="left"/>
      <w:pPr>
        <w:ind w:left="3245" w:hanging="360"/>
      </w:pPr>
      <w:rPr>
        <w:rFonts w:hint="default"/>
        <w:lang w:val="en-US" w:eastAsia="en-US" w:bidi="ar-SA"/>
      </w:rPr>
    </w:lvl>
    <w:lvl w:ilvl="5" w:tplc="8BC8F4BC">
      <w:numFmt w:val="bullet"/>
      <w:lvlText w:val="•"/>
      <w:lvlJc w:val="left"/>
      <w:pPr>
        <w:ind w:left="3922" w:hanging="360"/>
      </w:pPr>
      <w:rPr>
        <w:rFonts w:hint="default"/>
        <w:lang w:val="en-US" w:eastAsia="en-US" w:bidi="ar-SA"/>
      </w:rPr>
    </w:lvl>
    <w:lvl w:ilvl="6" w:tplc="547CA0C0">
      <w:numFmt w:val="bullet"/>
      <w:lvlText w:val="•"/>
      <w:lvlJc w:val="left"/>
      <w:pPr>
        <w:ind w:left="4598" w:hanging="360"/>
      </w:pPr>
      <w:rPr>
        <w:rFonts w:hint="default"/>
        <w:lang w:val="en-US" w:eastAsia="en-US" w:bidi="ar-SA"/>
      </w:rPr>
    </w:lvl>
    <w:lvl w:ilvl="7" w:tplc="8B6AC442">
      <w:numFmt w:val="bullet"/>
      <w:lvlText w:val="•"/>
      <w:lvlJc w:val="left"/>
      <w:pPr>
        <w:ind w:left="5274" w:hanging="360"/>
      </w:pPr>
      <w:rPr>
        <w:rFonts w:hint="default"/>
        <w:lang w:val="en-US" w:eastAsia="en-US" w:bidi="ar-SA"/>
      </w:rPr>
    </w:lvl>
    <w:lvl w:ilvl="8" w:tplc="C2B403B6">
      <w:numFmt w:val="bullet"/>
      <w:lvlText w:val="•"/>
      <w:lvlJc w:val="left"/>
      <w:pPr>
        <w:ind w:left="5951" w:hanging="360"/>
      </w:pPr>
      <w:rPr>
        <w:rFonts w:hint="default"/>
        <w:lang w:val="en-US" w:eastAsia="en-US" w:bidi="ar-SA"/>
      </w:rPr>
    </w:lvl>
  </w:abstractNum>
  <w:abstractNum w:abstractNumId="153" w15:restartNumberingAfterBreak="0">
    <w:nsid w:val="70623F11"/>
    <w:multiLevelType w:val="hybridMultilevel"/>
    <w:tmpl w:val="3FBA2D10"/>
    <w:lvl w:ilvl="0" w:tplc="4CD868F8">
      <w:numFmt w:val="bullet"/>
      <w:lvlText w:val="•"/>
      <w:lvlJc w:val="left"/>
      <w:pPr>
        <w:ind w:left="532" w:hanging="360"/>
      </w:pPr>
      <w:rPr>
        <w:rFonts w:ascii="Trebuchet MS" w:eastAsia="Trebuchet MS" w:hAnsi="Trebuchet MS" w:cs="Trebuchet MS" w:hint="default"/>
        <w:b w:val="0"/>
        <w:bCs w:val="0"/>
        <w:i w:val="0"/>
        <w:iCs w:val="0"/>
        <w:spacing w:val="0"/>
        <w:w w:val="89"/>
        <w:sz w:val="18"/>
        <w:szCs w:val="18"/>
        <w:lang w:val="en-US" w:eastAsia="en-US" w:bidi="ar-SA"/>
      </w:rPr>
    </w:lvl>
    <w:lvl w:ilvl="1" w:tplc="7632F3EA">
      <w:numFmt w:val="bullet"/>
      <w:lvlText w:val="•"/>
      <w:lvlJc w:val="left"/>
      <w:pPr>
        <w:ind w:left="1253" w:hanging="360"/>
      </w:pPr>
      <w:rPr>
        <w:rFonts w:hint="default"/>
        <w:lang w:val="en-US" w:eastAsia="en-US" w:bidi="ar-SA"/>
      </w:rPr>
    </w:lvl>
    <w:lvl w:ilvl="2" w:tplc="073CFC14">
      <w:numFmt w:val="bullet"/>
      <w:lvlText w:val="•"/>
      <w:lvlJc w:val="left"/>
      <w:pPr>
        <w:ind w:left="1967" w:hanging="360"/>
      </w:pPr>
      <w:rPr>
        <w:rFonts w:hint="default"/>
        <w:lang w:val="en-US" w:eastAsia="en-US" w:bidi="ar-SA"/>
      </w:rPr>
    </w:lvl>
    <w:lvl w:ilvl="3" w:tplc="405C9E66">
      <w:numFmt w:val="bullet"/>
      <w:lvlText w:val="•"/>
      <w:lvlJc w:val="left"/>
      <w:pPr>
        <w:ind w:left="2680" w:hanging="360"/>
      </w:pPr>
      <w:rPr>
        <w:rFonts w:hint="default"/>
        <w:lang w:val="en-US" w:eastAsia="en-US" w:bidi="ar-SA"/>
      </w:rPr>
    </w:lvl>
    <w:lvl w:ilvl="4" w:tplc="22821E2A">
      <w:numFmt w:val="bullet"/>
      <w:lvlText w:val="•"/>
      <w:lvlJc w:val="left"/>
      <w:pPr>
        <w:ind w:left="3394" w:hanging="360"/>
      </w:pPr>
      <w:rPr>
        <w:rFonts w:hint="default"/>
        <w:lang w:val="en-US" w:eastAsia="en-US" w:bidi="ar-SA"/>
      </w:rPr>
    </w:lvl>
    <w:lvl w:ilvl="5" w:tplc="B9A815B2">
      <w:numFmt w:val="bullet"/>
      <w:lvlText w:val="•"/>
      <w:lvlJc w:val="left"/>
      <w:pPr>
        <w:ind w:left="4108" w:hanging="360"/>
      </w:pPr>
      <w:rPr>
        <w:rFonts w:hint="default"/>
        <w:lang w:val="en-US" w:eastAsia="en-US" w:bidi="ar-SA"/>
      </w:rPr>
    </w:lvl>
    <w:lvl w:ilvl="6" w:tplc="D2AA77C4">
      <w:numFmt w:val="bullet"/>
      <w:lvlText w:val="•"/>
      <w:lvlJc w:val="left"/>
      <w:pPr>
        <w:ind w:left="4821" w:hanging="360"/>
      </w:pPr>
      <w:rPr>
        <w:rFonts w:hint="default"/>
        <w:lang w:val="en-US" w:eastAsia="en-US" w:bidi="ar-SA"/>
      </w:rPr>
    </w:lvl>
    <w:lvl w:ilvl="7" w:tplc="FCB4195A">
      <w:numFmt w:val="bullet"/>
      <w:lvlText w:val="•"/>
      <w:lvlJc w:val="left"/>
      <w:pPr>
        <w:ind w:left="5535" w:hanging="360"/>
      </w:pPr>
      <w:rPr>
        <w:rFonts w:hint="default"/>
        <w:lang w:val="en-US" w:eastAsia="en-US" w:bidi="ar-SA"/>
      </w:rPr>
    </w:lvl>
    <w:lvl w:ilvl="8" w:tplc="17F8CAAE">
      <w:numFmt w:val="bullet"/>
      <w:lvlText w:val="•"/>
      <w:lvlJc w:val="left"/>
      <w:pPr>
        <w:ind w:left="6248" w:hanging="360"/>
      </w:pPr>
      <w:rPr>
        <w:rFonts w:hint="default"/>
        <w:lang w:val="en-US" w:eastAsia="en-US" w:bidi="ar-SA"/>
      </w:rPr>
    </w:lvl>
  </w:abstractNum>
  <w:abstractNum w:abstractNumId="154" w15:restartNumberingAfterBreak="0">
    <w:nsid w:val="714F4501"/>
    <w:multiLevelType w:val="hybridMultilevel"/>
    <w:tmpl w:val="E290405C"/>
    <w:lvl w:ilvl="0" w:tplc="9DD6BA8C">
      <w:numFmt w:val="bullet"/>
      <w:lvlText w:val="•"/>
      <w:lvlJc w:val="left"/>
      <w:pPr>
        <w:ind w:left="452" w:hanging="360"/>
      </w:pPr>
      <w:rPr>
        <w:rFonts w:ascii="Trebuchet MS" w:eastAsia="Trebuchet MS" w:hAnsi="Trebuchet MS" w:cs="Trebuchet MS" w:hint="default"/>
        <w:b w:val="0"/>
        <w:bCs w:val="0"/>
        <w:i w:val="0"/>
        <w:iCs w:val="0"/>
        <w:spacing w:val="0"/>
        <w:w w:val="89"/>
        <w:sz w:val="18"/>
        <w:szCs w:val="18"/>
        <w:lang w:val="en-US" w:eastAsia="en-US" w:bidi="ar-SA"/>
      </w:rPr>
    </w:lvl>
    <w:lvl w:ilvl="1" w:tplc="112C3586">
      <w:numFmt w:val="bullet"/>
      <w:lvlText w:val="•"/>
      <w:lvlJc w:val="left"/>
      <w:pPr>
        <w:ind w:left="1189" w:hanging="360"/>
      </w:pPr>
      <w:rPr>
        <w:rFonts w:hint="default"/>
        <w:lang w:val="en-US" w:eastAsia="en-US" w:bidi="ar-SA"/>
      </w:rPr>
    </w:lvl>
    <w:lvl w:ilvl="2" w:tplc="E0DC0AFE">
      <w:numFmt w:val="bullet"/>
      <w:lvlText w:val="•"/>
      <w:lvlJc w:val="left"/>
      <w:pPr>
        <w:ind w:left="1919" w:hanging="360"/>
      </w:pPr>
      <w:rPr>
        <w:rFonts w:hint="default"/>
        <w:lang w:val="en-US" w:eastAsia="en-US" w:bidi="ar-SA"/>
      </w:rPr>
    </w:lvl>
    <w:lvl w:ilvl="3" w:tplc="F8AEC8EA">
      <w:numFmt w:val="bullet"/>
      <w:lvlText w:val="•"/>
      <w:lvlJc w:val="left"/>
      <w:pPr>
        <w:ind w:left="2648" w:hanging="360"/>
      </w:pPr>
      <w:rPr>
        <w:rFonts w:hint="default"/>
        <w:lang w:val="en-US" w:eastAsia="en-US" w:bidi="ar-SA"/>
      </w:rPr>
    </w:lvl>
    <w:lvl w:ilvl="4" w:tplc="45CC1B86">
      <w:numFmt w:val="bullet"/>
      <w:lvlText w:val="•"/>
      <w:lvlJc w:val="left"/>
      <w:pPr>
        <w:ind w:left="3378" w:hanging="360"/>
      </w:pPr>
      <w:rPr>
        <w:rFonts w:hint="default"/>
        <w:lang w:val="en-US" w:eastAsia="en-US" w:bidi="ar-SA"/>
      </w:rPr>
    </w:lvl>
    <w:lvl w:ilvl="5" w:tplc="64BCF408">
      <w:numFmt w:val="bullet"/>
      <w:lvlText w:val="•"/>
      <w:lvlJc w:val="left"/>
      <w:pPr>
        <w:ind w:left="4108" w:hanging="360"/>
      </w:pPr>
      <w:rPr>
        <w:rFonts w:hint="default"/>
        <w:lang w:val="en-US" w:eastAsia="en-US" w:bidi="ar-SA"/>
      </w:rPr>
    </w:lvl>
    <w:lvl w:ilvl="6" w:tplc="6EFE81EC">
      <w:numFmt w:val="bullet"/>
      <w:lvlText w:val="•"/>
      <w:lvlJc w:val="left"/>
      <w:pPr>
        <w:ind w:left="4837" w:hanging="360"/>
      </w:pPr>
      <w:rPr>
        <w:rFonts w:hint="default"/>
        <w:lang w:val="en-US" w:eastAsia="en-US" w:bidi="ar-SA"/>
      </w:rPr>
    </w:lvl>
    <w:lvl w:ilvl="7" w:tplc="A00A34E8">
      <w:numFmt w:val="bullet"/>
      <w:lvlText w:val="•"/>
      <w:lvlJc w:val="left"/>
      <w:pPr>
        <w:ind w:left="5567" w:hanging="360"/>
      </w:pPr>
      <w:rPr>
        <w:rFonts w:hint="default"/>
        <w:lang w:val="en-US" w:eastAsia="en-US" w:bidi="ar-SA"/>
      </w:rPr>
    </w:lvl>
    <w:lvl w:ilvl="8" w:tplc="3550B404">
      <w:numFmt w:val="bullet"/>
      <w:lvlText w:val="•"/>
      <w:lvlJc w:val="left"/>
      <w:pPr>
        <w:ind w:left="6296" w:hanging="360"/>
      </w:pPr>
      <w:rPr>
        <w:rFonts w:hint="default"/>
        <w:lang w:val="en-US" w:eastAsia="en-US" w:bidi="ar-SA"/>
      </w:rPr>
    </w:lvl>
  </w:abstractNum>
  <w:abstractNum w:abstractNumId="155" w15:restartNumberingAfterBreak="0">
    <w:nsid w:val="71604AB6"/>
    <w:multiLevelType w:val="hybridMultilevel"/>
    <w:tmpl w:val="E760EF92"/>
    <w:lvl w:ilvl="0" w:tplc="786AF41A">
      <w:numFmt w:val="bullet"/>
      <w:lvlText w:val="•"/>
      <w:lvlJc w:val="left"/>
      <w:pPr>
        <w:ind w:left="464" w:hanging="401"/>
      </w:pPr>
      <w:rPr>
        <w:rFonts w:ascii="Trebuchet MS" w:eastAsia="Trebuchet MS" w:hAnsi="Trebuchet MS" w:cs="Trebuchet MS" w:hint="default"/>
        <w:b w:val="0"/>
        <w:bCs w:val="0"/>
        <w:i w:val="0"/>
        <w:iCs w:val="0"/>
        <w:spacing w:val="0"/>
        <w:w w:val="89"/>
        <w:sz w:val="18"/>
        <w:szCs w:val="18"/>
        <w:lang w:val="en-US" w:eastAsia="en-US" w:bidi="ar-SA"/>
      </w:rPr>
    </w:lvl>
    <w:lvl w:ilvl="1" w:tplc="0BD088D6">
      <w:numFmt w:val="bullet"/>
      <w:lvlText w:val="•"/>
      <w:lvlJc w:val="left"/>
      <w:pPr>
        <w:ind w:left="1064" w:hanging="401"/>
      </w:pPr>
      <w:rPr>
        <w:rFonts w:hint="default"/>
        <w:lang w:val="en-US" w:eastAsia="en-US" w:bidi="ar-SA"/>
      </w:rPr>
    </w:lvl>
    <w:lvl w:ilvl="2" w:tplc="E31E96BE">
      <w:numFmt w:val="bullet"/>
      <w:lvlText w:val="•"/>
      <w:lvlJc w:val="left"/>
      <w:pPr>
        <w:ind w:left="1669" w:hanging="401"/>
      </w:pPr>
      <w:rPr>
        <w:rFonts w:hint="default"/>
        <w:lang w:val="en-US" w:eastAsia="en-US" w:bidi="ar-SA"/>
      </w:rPr>
    </w:lvl>
    <w:lvl w:ilvl="3" w:tplc="83C2370E">
      <w:numFmt w:val="bullet"/>
      <w:lvlText w:val="•"/>
      <w:lvlJc w:val="left"/>
      <w:pPr>
        <w:ind w:left="2274" w:hanging="401"/>
      </w:pPr>
      <w:rPr>
        <w:rFonts w:hint="default"/>
        <w:lang w:val="en-US" w:eastAsia="en-US" w:bidi="ar-SA"/>
      </w:rPr>
    </w:lvl>
    <w:lvl w:ilvl="4" w:tplc="63BA5512">
      <w:numFmt w:val="bullet"/>
      <w:lvlText w:val="•"/>
      <w:lvlJc w:val="left"/>
      <w:pPr>
        <w:ind w:left="2879" w:hanging="401"/>
      </w:pPr>
      <w:rPr>
        <w:rFonts w:hint="default"/>
        <w:lang w:val="en-US" w:eastAsia="en-US" w:bidi="ar-SA"/>
      </w:rPr>
    </w:lvl>
    <w:lvl w:ilvl="5" w:tplc="FFC2494E">
      <w:numFmt w:val="bullet"/>
      <w:lvlText w:val="•"/>
      <w:lvlJc w:val="left"/>
      <w:pPr>
        <w:ind w:left="3484" w:hanging="401"/>
      </w:pPr>
      <w:rPr>
        <w:rFonts w:hint="default"/>
        <w:lang w:val="en-US" w:eastAsia="en-US" w:bidi="ar-SA"/>
      </w:rPr>
    </w:lvl>
    <w:lvl w:ilvl="6" w:tplc="CE00592E">
      <w:numFmt w:val="bullet"/>
      <w:lvlText w:val="•"/>
      <w:lvlJc w:val="left"/>
      <w:pPr>
        <w:ind w:left="4088" w:hanging="401"/>
      </w:pPr>
      <w:rPr>
        <w:rFonts w:hint="default"/>
        <w:lang w:val="en-US" w:eastAsia="en-US" w:bidi="ar-SA"/>
      </w:rPr>
    </w:lvl>
    <w:lvl w:ilvl="7" w:tplc="CD8E4046">
      <w:numFmt w:val="bullet"/>
      <w:lvlText w:val="•"/>
      <w:lvlJc w:val="left"/>
      <w:pPr>
        <w:ind w:left="4693" w:hanging="401"/>
      </w:pPr>
      <w:rPr>
        <w:rFonts w:hint="default"/>
        <w:lang w:val="en-US" w:eastAsia="en-US" w:bidi="ar-SA"/>
      </w:rPr>
    </w:lvl>
    <w:lvl w:ilvl="8" w:tplc="3F74AB92">
      <w:numFmt w:val="bullet"/>
      <w:lvlText w:val="•"/>
      <w:lvlJc w:val="left"/>
      <w:pPr>
        <w:ind w:left="5298" w:hanging="401"/>
      </w:pPr>
      <w:rPr>
        <w:rFonts w:hint="default"/>
        <w:lang w:val="en-US" w:eastAsia="en-US" w:bidi="ar-SA"/>
      </w:rPr>
    </w:lvl>
  </w:abstractNum>
  <w:abstractNum w:abstractNumId="156" w15:restartNumberingAfterBreak="0">
    <w:nsid w:val="71970D69"/>
    <w:multiLevelType w:val="hybridMultilevel"/>
    <w:tmpl w:val="3F40E15E"/>
    <w:lvl w:ilvl="0" w:tplc="9588139C">
      <w:start w:val="1"/>
      <w:numFmt w:val="decimal"/>
      <w:lvlText w:val="%1."/>
      <w:lvlJc w:val="left"/>
      <w:pPr>
        <w:ind w:left="863" w:hanging="360"/>
        <w:jc w:val="left"/>
      </w:pPr>
      <w:rPr>
        <w:rFonts w:ascii="Calibri Light" w:eastAsia="Calibri Light" w:hAnsi="Calibri Light" w:cs="Calibri Light" w:hint="default"/>
        <w:b w:val="0"/>
        <w:bCs w:val="0"/>
        <w:i w:val="0"/>
        <w:iCs w:val="0"/>
        <w:spacing w:val="0"/>
        <w:w w:val="100"/>
        <w:sz w:val="22"/>
        <w:szCs w:val="22"/>
        <w:lang w:val="en-US" w:eastAsia="en-US" w:bidi="ar-SA"/>
      </w:rPr>
    </w:lvl>
    <w:lvl w:ilvl="1" w:tplc="97FE8FF6">
      <w:numFmt w:val="bullet"/>
      <w:lvlText w:val="•"/>
      <w:lvlJc w:val="left"/>
      <w:pPr>
        <w:ind w:left="1752" w:hanging="360"/>
      </w:pPr>
      <w:rPr>
        <w:rFonts w:hint="default"/>
        <w:lang w:val="en-US" w:eastAsia="en-US" w:bidi="ar-SA"/>
      </w:rPr>
    </w:lvl>
    <w:lvl w:ilvl="2" w:tplc="7E203788">
      <w:numFmt w:val="bullet"/>
      <w:lvlText w:val="•"/>
      <w:lvlJc w:val="left"/>
      <w:pPr>
        <w:ind w:left="2644" w:hanging="360"/>
      </w:pPr>
      <w:rPr>
        <w:rFonts w:hint="default"/>
        <w:lang w:val="en-US" w:eastAsia="en-US" w:bidi="ar-SA"/>
      </w:rPr>
    </w:lvl>
    <w:lvl w:ilvl="3" w:tplc="AF8AC33C">
      <w:numFmt w:val="bullet"/>
      <w:lvlText w:val="•"/>
      <w:lvlJc w:val="left"/>
      <w:pPr>
        <w:ind w:left="3536" w:hanging="360"/>
      </w:pPr>
      <w:rPr>
        <w:rFonts w:hint="default"/>
        <w:lang w:val="en-US" w:eastAsia="en-US" w:bidi="ar-SA"/>
      </w:rPr>
    </w:lvl>
    <w:lvl w:ilvl="4" w:tplc="7C66DDC8">
      <w:numFmt w:val="bullet"/>
      <w:lvlText w:val="•"/>
      <w:lvlJc w:val="left"/>
      <w:pPr>
        <w:ind w:left="4428" w:hanging="360"/>
      </w:pPr>
      <w:rPr>
        <w:rFonts w:hint="default"/>
        <w:lang w:val="en-US" w:eastAsia="en-US" w:bidi="ar-SA"/>
      </w:rPr>
    </w:lvl>
    <w:lvl w:ilvl="5" w:tplc="F3F6EF78">
      <w:numFmt w:val="bullet"/>
      <w:lvlText w:val="•"/>
      <w:lvlJc w:val="left"/>
      <w:pPr>
        <w:ind w:left="5320" w:hanging="360"/>
      </w:pPr>
      <w:rPr>
        <w:rFonts w:hint="default"/>
        <w:lang w:val="en-US" w:eastAsia="en-US" w:bidi="ar-SA"/>
      </w:rPr>
    </w:lvl>
    <w:lvl w:ilvl="6" w:tplc="658AF544">
      <w:numFmt w:val="bullet"/>
      <w:lvlText w:val="•"/>
      <w:lvlJc w:val="left"/>
      <w:pPr>
        <w:ind w:left="6212" w:hanging="360"/>
      </w:pPr>
      <w:rPr>
        <w:rFonts w:hint="default"/>
        <w:lang w:val="en-US" w:eastAsia="en-US" w:bidi="ar-SA"/>
      </w:rPr>
    </w:lvl>
    <w:lvl w:ilvl="7" w:tplc="DC040D32">
      <w:numFmt w:val="bullet"/>
      <w:lvlText w:val="•"/>
      <w:lvlJc w:val="left"/>
      <w:pPr>
        <w:ind w:left="7104" w:hanging="360"/>
      </w:pPr>
      <w:rPr>
        <w:rFonts w:hint="default"/>
        <w:lang w:val="en-US" w:eastAsia="en-US" w:bidi="ar-SA"/>
      </w:rPr>
    </w:lvl>
    <w:lvl w:ilvl="8" w:tplc="7E4232EA">
      <w:numFmt w:val="bullet"/>
      <w:lvlText w:val="•"/>
      <w:lvlJc w:val="left"/>
      <w:pPr>
        <w:ind w:left="7997" w:hanging="360"/>
      </w:pPr>
      <w:rPr>
        <w:rFonts w:hint="default"/>
        <w:lang w:val="en-US" w:eastAsia="en-US" w:bidi="ar-SA"/>
      </w:rPr>
    </w:lvl>
  </w:abstractNum>
  <w:abstractNum w:abstractNumId="157" w15:restartNumberingAfterBreak="0">
    <w:nsid w:val="71B45CBC"/>
    <w:multiLevelType w:val="hybridMultilevel"/>
    <w:tmpl w:val="E9F28AA4"/>
    <w:lvl w:ilvl="0" w:tplc="3620D96E">
      <w:numFmt w:val="bullet"/>
      <w:lvlText w:val=""/>
      <w:lvlJc w:val="left"/>
      <w:pPr>
        <w:ind w:left="683" w:hanging="360"/>
      </w:pPr>
      <w:rPr>
        <w:rFonts w:ascii="Symbol" w:eastAsia="Symbol" w:hAnsi="Symbol" w:cs="Symbol" w:hint="default"/>
        <w:b w:val="0"/>
        <w:bCs w:val="0"/>
        <w:i w:val="0"/>
        <w:iCs w:val="0"/>
        <w:spacing w:val="0"/>
        <w:w w:val="100"/>
        <w:sz w:val="22"/>
        <w:szCs w:val="22"/>
        <w:lang w:val="en-US" w:eastAsia="en-US" w:bidi="ar-SA"/>
      </w:rPr>
    </w:lvl>
    <w:lvl w:ilvl="1" w:tplc="EB329C1C">
      <w:numFmt w:val="bullet"/>
      <w:lvlText w:val="•"/>
      <w:lvlJc w:val="left"/>
      <w:pPr>
        <w:ind w:left="1590" w:hanging="360"/>
      </w:pPr>
      <w:rPr>
        <w:rFonts w:hint="default"/>
        <w:lang w:val="en-US" w:eastAsia="en-US" w:bidi="ar-SA"/>
      </w:rPr>
    </w:lvl>
    <w:lvl w:ilvl="2" w:tplc="708AF466">
      <w:numFmt w:val="bullet"/>
      <w:lvlText w:val="•"/>
      <w:lvlJc w:val="left"/>
      <w:pPr>
        <w:ind w:left="2500" w:hanging="360"/>
      </w:pPr>
      <w:rPr>
        <w:rFonts w:hint="default"/>
        <w:lang w:val="en-US" w:eastAsia="en-US" w:bidi="ar-SA"/>
      </w:rPr>
    </w:lvl>
    <w:lvl w:ilvl="3" w:tplc="7ED2A636">
      <w:numFmt w:val="bullet"/>
      <w:lvlText w:val="•"/>
      <w:lvlJc w:val="left"/>
      <w:pPr>
        <w:ind w:left="3410" w:hanging="360"/>
      </w:pPr>
      <w:rPr>
        <w:rFonts w:hint="default"/>
        <w:lang w:val="en-US" w:eastAsia="en-US" w:bidi="ar-SA"/>
      </w:rPr>
    </w:lvl>
    <w:lvl w:ilvl="4" w:tplc="DFF09C26">
      <w:numFmt w:val="bullet"/>
      <w:lvlText w:val="•"/>
      <w:lvlJc w:val="left"/>
      <w:pPr>
        <w:ind w:left="4320" w:hanging="360"/>
      </w:pPr>
      <w:rPr>
        <w:rFonts w:hint="default"/>
        <w:lang w:val="en-US" w:eastAsia="en-US" w:bidi="ar-SA"/>
      </w:rPr>
    </w:lvl>
    <w:lvl w:ilvl="5" w:tplc="00DEB9B4">
      <w:numFmt w:val="bullet"/>
      <w:lvlText w:val="•"/>
      <w:lvlJc w:val="left"/>
      <w:pPr>
        <w:ind w:left="5230" w:hanging="360"/>
      </w:pPr>
      <w:rPr>
        <w:rFonts w:hint="default"/>
        <w:lang w:val="en-US" w:eastAsia="en-US" w:bidi="ar-SA"/>
      </w:rPr>
    </w:lvl>
    <w:lvl w:ilvl="6" w:tplc="B0702530">
      <w:numFmt w:val="bullet"/>
      <w:lvlText w:val="•"/>
      <w:lvlJc w:val="left"/>
      <w:pPr>
        <w:ind w:left="6140" w:hanging="360"/>
      </w:pPr>
      <w:rPr>
        <w:rFonts w:hint="default"/>
        <w:lang w:val="en-US" w:eastAsia="en-US" w:bidi="ar-SA"/>
      </w:rPr>
    </w:lvl>
    <w:lvl w:ilvl="7" w:tplc="27D2EA92">
      <w:numFmt w:val="bullet"/>
      <w:lvlText w:val="•"/>
      <w:lvlJc w:val="left"/>
      <w:pPr>
        <w:ind w:left="7050" w:hanging="360"/>
      </w:pPr>
      <w:rPr>
        <w:rFonts w:hint="default"/>
        <w:lang w:val="en-US" w:eastAsia="en-US" w:bidi="ar-SA"/>
      </w:rPr>
    </w:lvl>
    <w:lvl w:ilvl="8" w:tplc="62165642">
      <w:numFmt w:val="bullet"/>
      <w:lvlText w:val="•"/>
      <w:lvlJc w:val="left"/>
      <w:pPr>
        <w:ind w:left="7961" w:hanging="360"/>
      </w:pPr>
      <w:rPr>
        <w:rFonts w:hint="default"/>
        <w:lang w:val="en-US" w:eastAsia="en-US" w:bidi="ar-SA"/>
      </w:rPr>
    </w:lvl>
  </w:abstractNum>
  <w:abstractNum w:abstractNumId="158" w15:restartNumberingAfterBreak="0">
    <w:nsid w:val="7266778F"/>
    <w:multiLevelType w:val="hybridMultilevel"/>
    <w:tmpl w:val="DC564E80"/>
    <w:lvl w:ilvl="0" w:tplc="FBA6B314">
      <w:numFmt w:val="bullet"/>
      <w:lvlText w:val="-"/>
      <w:lvlJc w:val="left"/>
      <w:pPr>
        <w:ind w:left="1223" w:hanging="360"/>
      </w:pPr>
      <w:rPr>
        <w:rFonts w:ascii="Calibri" w:eastAsia="Calibri" w:hAnsi="Calibri" w:cs="Calibri" w:hint="default"/>
        <w:b w:val="0"/>
        <w:bCs w:val="0"/>
        <w:i w:val="0"/>
        <w:iCs w:val="0"/>
        <w:spacing w:val="0"/>
        <w:w w:val="100"/>
        <w:sz w:val="22"/>
        <w:szCs w:val="22"/>
        <w:lang w:val="en-US" w:eastAsia="en-US" w:bidi="ar-SA"/>
      </w:rPr>
    </w:lvl>
    <w:lvl w:ilvl="1" w:tplc="B01A60E6">
      <w:numFmt w:val="bullet"/>
      <w:lvlText w:val="•"/>
      <w:lvlJc w:val="left"/>
      <w:pPr>
        <w:ind w:left="2076" w:hanging="360"/>
      </w:pPr>
      <w:rPr>
        <w:rFonts w:hint="default"/>
        <w:lang w:val="en-US" w:eastAsia="en-US" w:bidi="ar-SA"/>
      </w:rPr>
    </w:lvl>
    <w:lvl w:ilvl="2" w:tplc="F13E5A3E">
      <w:numFmt w:val="bullet"/>
      <w:lvlText w:val="•"/>
      <w:lvlJc w:val="left"/>
      <w:pPr>
        <w:ind w:left="2932" w:hanging="360"/>
      </w:pPr>
      <w:rPr>
        <w:rFonts w:hint="default"/>
        <w:lang w:val="en-US" w:eastAsia="en-US" w:bidi="ar-SA"/>
      </w:rPr>
    </w:lvl>
    <w:lvl w:ilvl="3" w:tplc="75E685FC">
      <w:numFmt w:val="bullet"/>
      <w:lvlText w:val="•"/>
      <w:lvlJc w:val="left"/>
      <w:pPr>
        <w:ind w:left="3788" w:hanging="360"/>
      </w:pPr>
      <w:rPr>
        <w:rFonts w:hint="default"/>
        <w:lang w:val="en-US" w:eastAsia="en-US" w:bidi="ar-SA"/>
      </w:rPr>
    </w:lvl>
    <w:lvl w:ilvl="4" w:tplc="9F3C4FD6">
      <w:numFmt w:val="bullet"/>
      <w:lvlText w:val="•"/>
      <w:lvlJc w:val="left"/>
      <w:pPr>
        <w:ind w:left="4644" w:hanging="360"/>
      </w:pPr>
      <w:rPr>
        <w:rFonts w:hint="default"/>
        <w:lang w:val="en-US" w:eastAsia="en-US" w:bidi="ar-SA"/>
      </w:rPr>
    </w:lvl>
    <w:lvl w:ilvl="5" w:tplc="486481C2">
      <w:numFmt w:val="bullet"/>
      <w:lvlText w:val="•"/>
      <w:lvlJc w:val="left"/>
      <w:pPr>
        <w:ind w:left="5500" w:hanging="360"/>
      </w:pPr>
      <w:rPr>
        <w:rFonts w:hint="default"/>
        <w:lang w:val="en-US" w:eastAsia="en-US" w:bidi="ar-SA"/>
      </w:rPr>
    </w:lvl>
    <w:lvl w:ilvl="6" w:tplc="722EECB2">
      <w:numFmt w:val="bullet"/>
      <w:lvlText w:val="•"/>
      <w:lvlJc w:val="left"/>
      <w:pPr>
        <w:ind w:left="6356" w:hanging="360"/>
      </w:pPr>
      <w:rPr>
        <w:rFonts w:hint="default"/>
        <w:lang w:val="en-US" w:eastAsia="en-US" w:bidi="ar-SA"/>
      </w:rPr>
    </w:lvl>
    <w:lvl w:ilvl="7" w:tplc="F65AA6FC">
      <w:numFmt w:val="bullet"/>
      <w:lvlText w:val="•"/>
      <w:lvlJc w:val="left"/>
      <w:pPr>
        <w:ind w:left="7212" w:hanging="360"/>
      </w:pPr>
      <w:rPr>
        <w:rFonts w:hint="default"/>
        <w:lang w:val="en-US" w:eastAsia="en-US" w:bidi="ar-SA"/>
      </w:rPr>
    </w:lvl>
    <w:lvl w:ilvl="8" w:tplc="9C1E9516">
      <w:numFmt w:val="bullet"/>
      <w:lvlText w:val="•"/>
      <w:lvlJc w:val="left"/>
      <w:pPr>
        <w:ind w:left="8069" w:hanging="360"/>
      </w:pPr>
      <w:rPr>
        <w:rFonts w:hint="default"/>
        <w:lang w:val="en-US" w:eastAsia="en-US" w:bidi="ar-SA"/>
      </w:rPr>
    </w:lvl>
  </w:abstractNum>
  <w:abstractNum w:abstractNumId="159" w15:restartNumberingAfterBreak="0">
    <w:nsid w:val="74D14D16"/>
    <w:multiLevelType w:val="hybridMultilevel"/>
    <w:tmpl w:val="1D84A564"/>
    <w:lvl w:ilvl="0" w:tplc="5D26F5EA">
      <w:numFmt w:val="bullet"/>
      <w:lvlText w:val="•"/>
      <w:lvlJc w:val="left"/>
      <w:pPr>
        <w:ind w:left="465" w:hanging="360"/>
      </w:pPr>
      <w:rPr>
        <w:rFonts w:ascii="Trebuchet MS" w:eastAsia="Trebuchet MS" w:hAnsi="Trebuchet MS" w:cs="Trebuchet MS" w:hint="default"/>
        <w:b w:val="0"/>
        <w:bCs w:val="0"/>
        <w:i w:val="0"/>
        <w:iCs w:val="0"/>
        <w:spacing w:val="0"/>
        <w:w w:val="89"/>
        <w:sz w:val="18"/>
        <w:szCs w:val="18"/>
        <w:lang w:val="en-US" w:eastAsia="en-US" w:bidi="ar-SA"/>
      </w:rPr>
    </w:lvl>
    <w:lvl w:ilvl="1" w:tplc="A0DEFC84">
      <w:numFmt w:val="bullet"/>
      <w:lvlText w:val="•"/>
      <w:lvlJc w:val="left"/>
      <w:pPr>
        <w:ind w:left="992" w:hanging="360"/>
      </w:pPr>
      <w:rPr>
        <w:rFonts w:hint="default"/>
        <w:lang w:val="en-US" w:eastAsia="en-US" w:bidi="ar-SA"/>
      </w:rPr>
    </w:lvl>
    <w:lvl w:ilvl="2" w:tplc="1A5C8590">
      <w:numFmt w:val="bullet"/>
      <w:lvlText w:val="•"/>
      <w:lvlJc w:val="left"/>
      <w:pPr>
        <w:ind w:left="1525" w:hanging="360"/>
      </w:pPr>
      <w:rPr>
        <w:rFonts w:hint="default"/>
        <w:lang w:val="en-US" w:eastAsia="en-US" w:bidi="ar-SA"/>
      </w:rPr>
    </w:lvl>
    <w:lvl w:ilvl="3" w:tplc="629C970C">
      <w:numFmt w:val="bullet"/>
      <w:lvlText w:val="•"/>
      <w:lvlJc w:val="left"/>
      <w:pPr>
        <w:ind w:left="2058" w:hanging="360"/>
      </w:pPr>
      <w:rPr>
        <w:rFonts w:hint="default"/>
        <w:lang w:val="en-US" w:eastAsia="en-US" w:bidi="ar-SA"/>
      </w:rPr>
    </w:lvl>
    <w:lvl w:ilvl="4" w:tplc="4C12A104">
      <w:numFmt w:val="bullet"/>
      <w:lvlText w:val="•"/>
      <w:lvlJc w:val="left"/>
      <w:pPr>
        <w:ind w:left="2591" w:hanging="360"/>
      </w:pPr>
      <w:rPr>
        <w:rFonts w:hint="default"/>
        <w:lang w:val="en-US" w:eastAsia="en-US" w:bidi="ar-SA"/>
      </w:rPr>
    </w:lvl>
    <w:lvl w:ilvl="5" w:tplc="A936E972">
      <w:numFmt w:val="bullet"/>
      <w:lvlText w:val="•"/>
      <w:lvlJc w:val="left"/>
      <w:pPr>
        <w:ind w:left="3124" w:hanging="360"/>
      </w:pPr>
      <w:rPr>
        <w:rFonts w:hint="default"/>
        <w:lang w:val="en-US" w:eastAsia="en-US" w:bidi="ar-SA"/>
      </w:rPr>
    </w:lvl>
    <w:lvl w:ilvl="6" w:tplc="731A2212">
      <w:numFmt w:val="bullet"/>
      <w:lvlText w:val="•"/>
      <w:lvlJc w:val="left"/>
      <w:pPr>
        <w:ind w:left="3657" w:hanging="360"/>
      </w:pPr>
      <w:rPr>
        <w:rFonts w:hint="default"/>
        <w:lang w:val="en-US" w:eastAsia="en-US" w:bidi="ar-SA"/>
      </w:rPr>
    </w:lvl>
    <w:lvl w:ilvl="7" w:tplc="6C9C2738">
      <w:numFmt w:val="bullet"/>
      <w:lvlText w:val="•"/>
      <w:lvlJc w:val="left"/>
      <w:pPr>
        <w:ind w:left="4190" w:hanging="360"/>
      </w:pPr>
      <w:rPr>
        <w:rFonts w:hint="default"/>
        <w:lang w:val="en-US" w:eastAsia="en-US" w:bidi="ar-SA"/>
      </w:rPr>
    </w:lvl>
    <w:lvl w:ilvl="8" w:tplc="0228FF06">
      <w:numFmt w:val="bullet"/>
      <w:lvlText w:val="•"/>
      <w:lvlJc w:val="left"/>
      <w:pPr>
        <w:ind w:left="4723" w:hanging="360"/>
      </w:pPr>
      <w:rPr>
        <w:rFonts w:hint="default"/>
        <w:lang w:val="en-US" w:eastAsia="en-US" w:bidi="ar-SA"/>
      </w:rPr>
    </w:lvl>
  </w:abstractNum>
  <w:abstractNum w:abstractNumId="160" w15:restartNumberingAfterBreak="0">
    <w:nsid w:val="74F82006"/>
    <w:multiLevelType w:val="hybridMultilevel"/>
    <w:tmpl w:val="885E2030"/>
    <w:lvl w:ilvl="0" w:tplc="529CBCA8">
      <w:numFmt w:val="bullet"/>
      <w:lvlText w:val="•"/>
      <w:lvlJc w:val="left"/>
      <w:pPr>
        <w:ind w:left="278" w:hanging="180"/>
      </w:pPr>
      <w:rPr>
        <w:rFonts w:ascii="Trebuchet MS" w:eastAsia="Trebuchet MS" w:hAnsi="Trebuchet MS" w:cs="Trebuchet MS" w:hint="default"/>
        <w:b w:val="0"/>
        <w:bCs w:val="0"/>
        <w:i w:val="0"/>
        <w:iCs w:val="0"/>
        <w:spacing w:val="0"/>
        <w:w w:val="89"/>
        <w:sz w:val="18"/>
        <w:szCs w:val="18"/>
        <w:lang w:val="en-US" w:eastAsia="en-US" w:bidi="ar-SA"/>
      </w:rPr>
    </w:lvl>
    <w:lvl w:ilvl="1" w:tplc="0BB8EC50">
      <w:numFmt w:val="bullet"/>
      <w:lvlText w:val="•"/>
      <w:lvlJc w:val="left"/>
      <w:pPr>
        <w:ind w:left="459" w:hanging="180"/>
      </w:pPr>
      <w:rPr>
        <w:rFonts w:hint="default"/>
        <w:lang w:val="en-US" w:eastAsia="en-US" w:bidi="ar-SA"/>
      </w:rPr>
    </w:lvl>
    <w:lvl w:ilvl="2" w:tplc="641850CA">
      <w:numFmt w:val="bullet"/>
      <w:lvlText w:val="•"/>
      <w:lvlJc w:val="left"/>
      <w:pPr>
        <w:ind w:left="638" w:hanging="180"/>
      </w:pPr>
      <w:rPr>
        <w:rFonts w:hint="default"/>
        <w:lang w:val="en-US" w:eastAsia="en-US" w:bidi="ar-SA"/>
      </w:rPr>
    </w:lvl>
    <w:lvl w:ilvl="3" w:tplc="CD3C0362">
      <w:numFmt w:val="bullet"/>
      <w:lvlText w:val="•"/>
      <w:lvlJc w:val="left"/>
      <w:pPr>
        <w:ind w:left="817" w:hanging="180"/>
      </w:pPr>
      <w:rPr>
        <w:rFonts w:hint="default"/>
        <w:lang w:val="en-US" w:eastAsia="en-US" w:bidi="ar-SA"/>
      </w:rPr>
    </w:lvl>
    <w:lvl w:ilvl="4" w:tplc="01C06A94">
      <w:numFmt w:val="bullet"/>
      <w:lvlText w:val="•"/>
      <w:lvlJc w:val="left"/>
      <w:pPr>
        <w:ind w:left="996" w:hanging="180"/>
      </w:pPr>
      <w:rPr>
        <w:rFonts w:hint="default"/>
        <w:lang w:val="en-US" w:eastAsia="en-US" w:bidi="ar-SA"/>
      </w:rPr>
    </w:lvl>
    <w:lvl w:ilvl="5" w:tplc="4D226204">
      <w:numFmt w:val="bullet"/>
      <w:lvlText w:val="•"/>
      <w:lvlJc w:val="left"/>
      <w:pPr>
        <w:ind w:left="1175" w:hanging="180"/>
      </w:pPr>
      <w:rPr>
        <w:rFonts w:hint="default"/>
        <w:lang w:val="en-US" w:eastAsia="en-US" w:bidi="ar-SA"/>
      </w:rPr>
    </w:lvl>
    <w:lvl w:ilvl="6" w:tplc="BCC08E68">
      <w:numFmt w:val="bullet"/>
      <w:lvlText w:val="•"/>
      <w:lvlJc w:val="left"/>
      <w:pPr>
        <w:ind w:left="1354" w:hanging="180"/>
      </w:pPr>
      <w:rPr>
        <w:rFonts w:hint="default"/>
        <w:lang w:val="en-US" w:eastAsia="en-US" w:bidi="ar-SA"/>
      </w:rPr>
    </w:lvl>
    <w:lvl w:ilvl="7" w:tplc="A23ECEC4">
      <w:numFmt w:val="bullet"/>
      <w:lvlText w:val="•"/>
      <w:lvlJc w:val="left"/>
      <w:pPr>
        <w:ind w:left="1533" w:hanging="180"/>
      </w:pPr>
      <w:rPr>
        <w:rFonts w:hint="default"/>
        <w:lang w:val="en-US" w:eastAsia="en-US" w:bidi="ar-SA"/>
      </w:rPr>
    </w:lvl>
    <w:lvl w:ilvl="8" w:tplc="AE7C5D9A">
      <w:numFmt w:val="bullet"/>
      <w:lvlText w:val="•"/>
      <w:lvlJc w:val="left"/>
      <w:pPr>
        <w:ind w:left="1712" w:hanging="180"/>
      </w:pPr>
      <w:rPr>
        <w:rFonts w:hint="default"/>
        <w:lang w:val="en-US" w:eastAsia="en-US" w:bidi="ar-SA"/>
      </w:rPr>
    </w:lvl>
  </w:abstractNum>
  <w:abstractNum w:abstractNumId="161" w15:restartNumberingAfterBreak="0">
    <w:nsid w:val="75FE6FDD"/>
    <w:multiLevelType w:val="hybridMultilevel"/>
    <w:tmpl w:val="63C63636"/>
    <w:lvl w:ilvl="0" w:tplc="27184CC0">
      <w:numFmt w:val="bullet"/>
      <w:lvlText w:val="•"/>
      <w:lvlJc w:val="left"/>
      <w:pPr>
        <w:ind w:left="6522" w:hanging="360"/>
      </w:pPr>
      <w:rPr>
        <w:rFonts w:ascii="Trebuchet MS" w:eastAsia="Trebuchet MS" w:hAnsi="Trebuchet MS" w:cs="Trebuchet MS" w:hint="default"/>
        <w:b w:val="0"/>
        <w:bCs w:val="0"/>
        <w:i w:val="0"/>
        <w:iCs w:val="0"/>
        <w:spacing w:val="0"/>
        <w:w w:val="89"/>
        <w:sz w:val="18"/>
        <w:szCs w:val="18"/>
        <w:lang w:val="en-US" w:eastAsia="en-US" w:bidi="ar-SA"/>
      </w:rPr>
    </w:lvl>
    <w:lvl w:ilvl="1" w:tplc="C2A4C6DA">
      <w:numFmt w:val="bullet"/>
      <w:lvlText w:val="•"/>
      <w:lvlJc w:val="left"/>
      <w:pPr>
        <w:ind w:left="6846" w:hanging="360"/>
      </w:pPr>
      <w:rPr>
        <w:rFonts w:hint="default"/>
        <w:lang w:val="en-US" w:eastAsia="en-US" w:bidi="ar-SA"/>
      </w:rPr>
    </w:lvl>
    <w:lvl w:ilvl="2" w:tplc="4330FB7A">
      <w:numFmt w:val="bullet"/>
      <w:lvlText w:val="•"/>
      <w:lvlJc w:val="left"/>
      <w:pPr>
        <w:ind w:left="7172" w:hanging="360"/>
      </w:pPr>
      <w:rPr>
        <w:rFonts w:hint="default"/>
        <w:lang w:val="en-US" w:eastAsia="en-US" w:bidi="ar-SA"/>
      </w:rPr>
    </w:lvl>
    <w:lvl w:ilvl="3" w:tplc="3006D232">
      <w:numFmt w:val="bullet"/>
      <w:lvlText w:val="•"/>
      <w:lvlJc w:val="left"/>
      <w:pPr>
        <w:ind w:left="7498" w:hanging="360"/>
      </w:pPr>
      <w:rPr>
        <w:rFonts w:hint="default"/>
        <w:lang w:val="en-US" w:eastAsia="en-US" w:bidi="ar-SA"/>
      </w:rPr>
    </w:lvl>
    <w:lvl w:ilvl="4" w:tplc="5A783896">
      <w:numFmt w:val="bullet"/>
      <w:lvlText w:val="•"/>
      <w:lvlJc w:val="left"/>
      <w:pPr>
        <w:ind w:left="7824" w:hanging="360"/>
      </w:pPr>
      <w:rPr>
        <w:rFonts w:hint="default"/>
        <w:lang w:val="en-US" w:eastAsia="en-US" w:bidi="ar-SA"/>
      </w:rPr>
    </w:lvl>
    <w:lvl w:ilvl="5" w:tplc="39087302">
      <w:numFmt w:val="bullet"/>
      <w:lvlText w:val="•"/>
      <w:lvlJc w:val="left"/>
      <w:pPr>
        <w:ind w:left="8150" w:hanging="360"/>
      </w:pPr>
      <w:rPr>
        <w:rFonts w:hint="default"/>
        <w:lang w:val="en-US" w:eastAsia="en-US" w:bidi="ar-SA"/>
      </w:rPr>
    </w:lvl>
    <w:lvl w:ilvl="6" w:tplc="B596D9E6">
      <w:numFmt w:val="bullet"/>
      <w:lvlText w:val="•"/>
      <w:lvlJc w:val="left"/>
      <w:pPr>
        <w:ind w:left="8476" w:hanging="360"/>
      </w:pPr>
      <w:rPr>
        <w:rFonts w:hint="default"/>
        <w:lang w:val="en-US" w:eastAsia="en-US" w:bidi="ar-SA"/>
      </w:rPr>
    </w:lvl>
    <w:lvl w:ilvl="7" w:tplc="E1A05D74">
      <w:numFmt w:val="bullet"/>
      <w:lvlText w:val="•"/>
      <w:lvlJc w:val="left"/>
      <w:pPr>
        <w:ind w:left="8802" w:hanging="360"/>
      </w:pPr>
      <w:rPr>
        <w:rFonts w:hint="default"/>
        <w:lang w:val="en-US" w:eastAsia="en-US" w:bidi="ar-SA"/>
      </w:rPr>
    </w:lvl>
    <w:lvl w:ilvl="8" w:tplc="C23861D6">
      <w:numFmt w:val="bullet"/>
      <w:lvlText w:val="•"/>
      <w:lvlJc w:val="left"/>
      <w:pPr>
        <w:ind w:left="9129" w:hanging="360"/>
      </w:pPr>
      <w:rPr>
        <w:rFonts w:hint="default"/>
        <w:lang w:val="en-US" w:eastAsia="en-US" w:bidi="ar-SA"/>
      </w:rPr>
    </w:lvl>
  </w:abstractNum>
  <w:abstractNum w:abstractNumId="162" w15:restartNumberingAfterBreak="0">
    <w:nsid w:val="772A540C"/>
    <w:multiLevelType w:val="hybridMultilevel"/>
    <w:tmpl w:val="3A180190"/>
    <w:lvl w:ilvl="0" w:tplc="33361418">
      <w:numFmt w:val="bullet"/>
      <w:lvlText w:val="•"/>
      <w:lvlJc w:val="left"/>
      <w:pPr>
        <w:ind w:left="121" w:hanging="360"/>
      </w:pPr>
      <w:rPr>
        <w:rFonts w:ascii="Trebuchet MS" w:eastAsia="Trebuchet MS" w:hAnsi="Trebuchet MS" w:cs="Trebuchet MS" w:hint="default"/>
        <w:b w:val="0"/>
        <w:bCs w:val="0"/>
        <w:i w:val="0"/>
        <w:iCs w:val="0"/>
        <w:spacing w:val="0"/>
        <w:w w:val="89"/>
        <w:sz w:val="18"/>
        <w:szCs w:val="18"/>
        <w:lang w:val="en-US" w:eastAsia="en-US" w:bidi="ar-SA"/>
      </w:rPr>
    </w:lvl>
    <w:lvl w:ilvl="1" w:tplc="20F4AEEA">
      <w:numFmt w:val="bullet"/>
      <w:lvlText w:val="•"/>
      <w:lvlJc w:val="left"/>
      <w:pPr>
        <w:ind w:left="883" w:hanging="360"/>
      </w:pPr>
      <w:rPr>
        <w:rFonts w:hint="default"/>
        <w:lang w:val="en-US" w:eastAsia="en-US" w:bidi="ar-SA"/>
      </w:rPr>
    </w:lvl>
    <w:lvl w:ilvl="2" w:tplc="C80020EA">
      <w:numFmt w:val="bullet"/>
      <w:lvlText w:val="•"/>
      <w:lvlJc w:val="left"/>
      <w:pPr>
        <w:ind w:left="1647" w:hanging="360"/>
      </w:pPr>
      <w:rPr>
        <w:rFonts w:hint="default"/>
        <w:lang w:val="en-US" w:eastAsia="en-US" w:bidi="ar-SA"/>
      </w:rPr>
    </w:lvl>
    <w:lvl w:ilvl="3" w:tplc="FCB0AB64">
      <w:numFmt w:val="bullet"/>
      <w:lvlText w:val="•"/>
      <w:lvlJc w:val="left"/>
      <w:pPr>
        <w:ind w:left="2410" w:hanging="360"/>
      </w:pPr>
      <w:rPr>
        <w:rFonts w:hint="default"/>
        <w:lang w:val="en-US" w:eastAsia="en-US" w:bidi="ar-SA"/>
      </w:rPr>
    </w:lvl>
    <w:lvl w:ilvl="4" w:tplc="90A44728">
      <w:numFmt w:val="bullet"/>
      <w:lvlText w:val="•"/>
      <w:lvlJc w:val="left"/>
      <w:pPr>
        <w:ind w:left="3174" w:hanging="360"/>
      </w:pPr>
      <w:rPr>
        <w:rFonts w:hint="default"/>
        <w:lang w:val="en-US" w:eastAsia="en-US" w:bidi="ar-SA"/>
      </w:rPr>
    </w:lvl>
    <w:lvl w:ilvl="5" w:tplc="2ABA6AD2">
      <w:numFmt w:val="bullet"/>
      <w:lvlText w:val="•"/>
      <w:lvlJc w:val="left"/>
      <w:pPr>
        <w:ind w:left="3938" w:hanging="360"/>
      </w:pPr>
      <w:rPr>
        <w:rFonts w:hint="default"/>
        <w:lang w:val="en-US" w:eastAsia="en-US" w:bidi="ar-SA"/>
      </w:rPr>
    </w:lvl>
    <w:lvl w:ilvl="6" w:tplc="9754081A">
      <w:numFmt w:val="bullet"/>
      <w:lvlText w:val="•"/>
      <w:lvlJc w:val="left"/>
      <w:pPr>
        <w:ind w:left="4701" w:hanging="360"/>
      </w:pPr>
      <w:rPr>
        <w:rFonts w:hint="default"/>
        <w:lang w:val="en-US" w:eastAsia="en-US" w:bidi="ar-SA"/>
      </w:rPr>
    </w:lvl>
    <w:lvl w:ilvl="7" w:tplc="150CBAA0">
      <w:numFmt w:val="bullet"/>
      <w:lvlText w:val="•"/>
      <w:lvlJc w:val="left"/>
      <w:pPr>
        <w:ind w:left="5465" w:hanging="360"/>
      </w:pPr>
      <w:rPr>
        <w:rFonts w:hint="default"/>
        <w:lang w:val="en-US" w:eastAsia="en-US" w:bidi="ar-SA"/>
      </w:rPr>
    </w:lvl>
    <w:lvl w:ilvl="8" w:tplc="178CD816">
      <w:numFmt w:val="bullet"/>
      <w:lvlText w:val="•"/>
      <w:lvlJc w:val="left"/>
      <w:pPr>
        <w:ind w:left="6228" w:hanging="360"/>
      </w:pPr>
      <w:rPr>
        <w:rFonts w:hint="default"/>
        <w:lang w:val="en-US" w:eastAsia="en-US" w:bidi="ar-SA"/>
      </w:rPr>
    </w:lvl>
  </w:abstractNum>
  <w:abstractNum w:abstractNumId="163" w15:restartNumberingAfterBreak="0">
    <w:nsid w:val="77802ADA"/>
    <w:multiLevelType w:val="hybridMultilevel"/>
    <w:tmpl w:val="3604BB0C"/>
    <w:lvl w:ilvl="0" w:tplc="5DF04E84">
      <w:numFmt w:val="bullet"/>
      <w:lvlText w:val="•"/>
      <w:lvlJc w:val="left"/>
      <w:pPr>
        <w:ind w:left="1399" w:hanging="360"/>
      </w:pPr>
      <w:rPr>
        <w:rFonts w:ascii="Trebuchet MS" w:eastAsia="Trebuchet MS" w:hAnsi="Trebuchet MS" w:cs="Trebuchet MS" w:hint="default"/>
        <w:b w:val="0"/>
        <w:bCs w:val="0"/>
        <w:i w:val="0"/>
        <w:iCs w:val="0"/>
        <w:spacing w:val="0"/>
        <w:w w:val="89"/>
        <w:sz w:val="18"/>
        <w:szCs w:val="18"/>
        <w:lang w:val="en-US" w:eastAsia="en-US" w:bidi="ar-SA"/>
      </w:rPr>
    </w:lvl>
    <w:lvl w:ilvl="1" w:tplc="7548D3BE">
      <w:numFmt w:val="bullet"/>
      <w:lvlText w:val="•"/>
      <w:lvlJc w:val="left"/>
      <w:pPr>
        <w:ind w:left="1788" w:hanging="360"/>
      </w:pPr>
      <w:rPr>
        <w:rFonts w:hint="default"/>
        <w:lang w:val="en-US" w:eastAsia="en-US" w:bidi="ar-SA"/>
      </w:rPr>
    </w:lvl>
    <w:lvl w:ilvl="2" w:tplc="AA726FE6">
      <w:numFmt w:val="bullet"/>
      <w:lvlText w:val="•"/>
      <w:lvlJc w:val="left"/>
      <w:pPr>
        <w:ind w:left="2176" w:hanging="360"/>
      </w:pPr>
      <w:rPr>
        <w:rFonts w:hint="default"/>
        <w:lang w:val="en-US" w:eastAsia="en-US" w:bidi="ar-SA"/>
      </w:rPr>
    </w:lvl>
    <w:lvl w:ilvl="3" w:tplc="25A6BCD8">
      <w:numFmt w:val="bullet"/>
      <w:lvlText w:val="•"/>
      <w:lvlJc w:val="left"/>
      <w:pPr>
        <w:ind w:left="2564" w:hanging="360"/>
      </w:pPr>
      <w:rPr>
        <w:rFonts w:hint="default"/>
        <w:lang w:val="en-US" w:eastAsia="en-US" w:bidi="ar-SA"/>
      </w:rPr>
    </w:lvl>
    <w:lvl w:ilvl="4" w:tplc="460EEED0">
      <w:numFmt w:val="bullet"/>
      <w:lvlText w:val="•"/>
      <w:lvlJc w:val="left"/>
      <w:pPr>
        <w:ind w:left="2952" w:hanging="360"/>
      </w:pPr>
      <w:rPr>
        <w:rFonts w:hint="default"/>
        <w:lang w:val="en-US" w:eastAsia="en-US" w:bidi="ar-SA"/>
      </w:rPr>
    </w:lvl>
    <w:lvl w:ilvl="5" w:tplc="298A1F72">
      <w:numFmt w:val="bullet"/>
      <w:lvlText w:val="•"/>
      <w:lvlJc w:val="left"/>
      <w:pPr>
        <w:ind w:left="3340" w:hanging="360"/>
      </w:pPr>
      <w:rPr>
        <w:rFonts w:hint="default"/>
        <w:lang w:val="en-US" w:eastAsia="en-US" w:bidi="ar-SA"/>
      </w:rPr>
    </w:lvl>
    <w:lvl w:ilvl="6" w:tplc="A1247EA2">
      <w:numFmt w:val="bullet"/>
      <w:lvlText w:val="•"/>
      <w:lvlJc w:val="left"/>
      <w:pPr>
        <w:ind w:left="3728" w:hanging="360"/>
      </w:pPr>
      <w:rPr>
        <w:rFonts w:hint="default"/>
        <w:lang w:val="en-US" w:eastAsia="en-US" w:bidi="ar-SA"/>
      </w:rPr>
    </w:lvl>
    <w:lvl w:ilvl="7" w:tplc="759A195C">
      <w:numFmt w:val="bullet"/>
      <w:lvlText w:val="•"/>
      <w:lvlJc w:val="left"/>
      <w:pPr>
        <w:ind w:left="4116" w:hanging="360"/>
      </w:pPr>
      <w:rPr>
        <w:rFonts w:hint="default"/>
        <w:lang w:val="en-US" w:eastAsia="en-US" w:bidi="ar-SA"/>
      </w:rPr>
    </w:lvl>
    <w:lvl w:ilvl="8" w:tplc="68CAAA4A">
      <w:numFmt w:val="bullet"/>
      <w:lvlText w:val="•"/>
      <w:lvlJc w:val="left"/>
      <w:pPr>
        <w:ind w:left="4504" w:hanging="360"/>
      </w:pPr>
      <w:rPr>
        <w:rFonts w:hint="default"/>
        <w:lang w:val="en-US" w:eastAsia="en-US" w:bidi="ar-SA"/>
      </w:rPr>
    </w:lvl>
  </w:abstractNum>
  <w:abstractNum w:abstractNumId="164" w15:restartNumberingAfterBreak="0">
    <w:nsid w:val="77A121C7"/>
    <w:multiLevelType w:val="hybridMultilevel"/>
    <w:tmpl w:val="F29E6288"/>
    <w:lvl w:ilvl="0" w:tplc="8F44BCEA">
      <w:numFmt w:val="bullet"/>
      <w:lvlText w:val=""/>
      <w:lvlJc w:val="left"/>
      <w:pPr>
        <w:ind w:left="863" w:hanging="360"/>
      </w:pPr>
      <w:rPr>
        <w:rFonts w:ascii="Symbol" w:eastAsia="Symbol" w:hAnsi="Symbol" w:cs="Symbol" w:hint="default"/>
        <w:b w:val="0"/>
        <w:bCs w:val="0"/>
        <w:i w:val="0"/>
        <w:iCs w:val="0"/>
        <w:spacing w:val="0"/>
        <w:w w:val="99"/>
        <w:sz w:val="20"/>
        <w:szCs w:val="20"/>
        <w:lang w:val="en-US" w:eastAsia="en-US" w:bidi="ar-SA"/>
      </w:rPr>
    </w:lvl>
    <w:lvl w:ilvl="1" w:tplc="1690DFBE">
      <w:numFmt w:val="bullet"/>
      <w:lvlText w:val="•"/>
      <w:lvlJc w:val="left"/>
      <w:pPr>
        <w:ind w:left="1723" w:hanging="360"/>
      </w:pPr>
      <w:rPr>
        <w:rFonts w:hint="default"/>
        <w:lang w:val="en-US" w:eastAsia="en-US" w:bidi="ar-SA"/>
      </w:rPr>
    </w:lvl>
    <w:lvl w:ilvl="2" w:tplc="1150AEC2">
      <w:numFmt w:val="bullet"/>
      <w:lvlText w:val="•"/>
      <w:lvlJc w:val="left"/>
      <w:pPr>
        <w:ind w:left="2587" w:hanging="360"/>
      </w:pPr>
      <w:rPr>
        <w:rFonts w:hint="default"/>
        <w:lang w:val="en-US" w:eastAsia="en-US" w:bidi="ar-SA"/>
      </w:rPr>
    </w:lvl>
    <w:lvl w:ilvl="3" w:tplc="BD5643DA">
      <w:numFmt w:val="bullet"/>
      <w:lvlText w:val="•"/>
      <w:lvlJc w:val="left"/>
      <w:pPr>
        <w:ind w:left="3451" w:hanging="360"/>
      </w:pPr>
      <w:rPr>
        <w:rFonts w:hint="default"/>
        <w:lang w:val="en-US" w:eastAsia="en-US" w:bidi="ar-SA"/>
      </w:rPr>
    </w:lvl>
    <w:lvl w:ilvl="4" w:tplc="574C753C">
      <w:numFmt w:val="bullet"/>
      <w:lvlText w:val="•"/>
      <w:lvlJc w:val="left"/>
      <w:pPr>
        <w:ind w:left="4315" w:hanging="360"/>
      </w:pPr>
      <w:rPr>
        <w:rFonts w:hint="default"/>
        <w:lang w:val="en-US" w:eastAsia="en-US" w:bidi="ar-SA"/>
      </w:rPr>
    </w:lvl>
    <w:lvl w:ilvl="5" w:tplc="F1422E12">
      <w:numFmt w:val="bullet"/>
      <w:lvlText w:val="•"/>
      <w:lvlJc w:val="left"/>
      <w:pPr>
        <w:ind w:left="5179" w:hanging="360"/>
      </w:pPr>
      <w:rPr>
        <w:rFonts w:hint="default"/>
        <w:lang w:val="en-US" w:eastAsia="en-US" w:bidi="ar-SA"/>
      </w:rPr>
    </w:lvl>
    <w:lvl w:ilvl="6" w:tplc="D15E990E">
      <w:numFmt w:val="bullet"/>
      <w:lvlText w:val="•"/>
      <w:lvlJc w:val="left"/>
      <w:pPr>
        <w:ind w:left="6043" w:hanging="360"/>
      </w:pPr>
      <w:rPr>
        <w:rFonts w:hint="default"/>
        <w:lang w:val="en-US" w:eastAsia="en-US" w:bidi="ar-SA"/>
      </w:rPr>
    </w:lvl>
    <w:lvl w:ilvl="7" w:tplc="49745CDA">
      <w:numFmt w:val="bullet"/>
      <w:lvlText w:val="•"/>
      <w:lvlJc w:val="left"/>
      <w:pPr>
        <w:ind w:left="6906" w:hanging="360"/>
      </w:pPr>
      <w:rPr>
        <w:rFonts w:hint="default"/>
        <w:lang w:val="en-US" w:eastAsia="en-US" w:bidi="ar-SA"/>
      </w:rPr>
    </w:lvl>
    <w:lvl w:ilvl="8" w:tplc="B35EBDB6">
      <w:numFmt w:val="bullet"/>
      <w:lvlText w:val="•"/>
      <w:lvlJc w:val="left"/>
      <w:pPr>
        <w:ind w:left="7770" w:hanging="360"/>
      </w:pPr>
      <w:rPr>
        <w:rFonts w:hint="default"/>
        <w:lang w:val="en-US" w:eastAsia="en-US" w:bidi="ar-SA"/>
      </w:rPr>
    </w:lvl>
  </w:abstractNum>
  <w:abstractNum w:abstractNumId="165" w15:restartNumberingAfterBreak="0">
    <w:nsid w:val="79F87137"/>
    <w:multiLevelType w:val="hybridMultilevel"/>
    <w:tmpl w:val="28C8EC1A"/>
    <w:lvl w:ilvl="0" w:tplc="2826B910">
      <w:numFmt w:val="bullet"/>
      <w:lvlText w:val="•"/>
      <w:lvlJc w:val="left"/>
      <w:pPr>
        <w:ind w:left="624" w:hanging="360"/>
      </w:pPr>
      <w:rPr>
        <w:rFonts w:ascii="Trebuchet MS" w:eastAsia="Trebuchet MS" w:hAnsi="Trebuchet MS" w:cs="Trebuchet MS" w:hint="default"/>
        <w:b w:val="0"/>
        <w:bCs w:val="0"/>
        <w:i w:val="0"/>
        <w:iCs w:val="0"/>
        <w:spacing w:val="0"/>
        <w:w w:val="89"/>
        <w:sz w:val="18"/>
        <w:szCs w:val="18"/>
        <w:lang w:val="en-US" w:eastAsia="en-US" w:bidi="ar-SA"/>
      </w:rPr>
    </w:lvl>
    <w:lvl w:ilvl="1" w:tplc="0A56C316">
      <w:numFmt w:val="bullet"/>
      <w:lvlText w:val="•"/>
      <w:lvlJc w:val="left"/>
      <w:pPr>
        <w:ind w:left="1344" w:hanging="360"/>
      </w:pPr>
      <w:rPr>
        <w:rFonts w:hint="default"/>
        <w:lang w:val="en-US" w:eastAsia="en-US" w:bidi="ar-SA"/>
      </w:rPr>
    </w:lvl>
    <w:lvl w:ilvl="2" w:tplc="A5A8AE96">
      <w:numFmt w:val="bullet"/>
      <w:lvlText w:val="•"/>
      <w:lvlJc w:val="left"/>
      <w:pPr>
        <w:ind w:left="2068" w:hanging="360"/>
      </w:pPr>
      <w:rPr>
        <w:rFonts w:hint="default"/>
        <w:lang w:val="en-US" w:eastAsia="en-US" w:bidi="ar-SA"/>
      </w:rPr>
    </w:lvl>
    <w:lvl w:ilvl="3" w:tplc="42923532">
      <w:numFmt w:val="bullet"/>
      <w:lvlText w:val="•"/>
      <w:lvlJc w:val="left"/>
      <w:pPr>
        <w:ind w:left="2792" w:hanging="360"/>
      </w:pPr>
      <w:rPr>
        <w:rFonts w:hint="default"/>
        <w:lang w:val="en-US" w:eastAsia="en-US" w:bidi="ar-SA"/>
      </w:rPr>
    </w:lvl>
    <w:lvl w:ilvl="4" w:tplc="31669C12">
      <w:numFmt w:val="bullet"/>
      <w:lvlText w:val="•"/>
      <w:lvlJc w:val="left"/>
      <w:pPr>
        <w:ind w:left="3516" w:hanging="360"/>
      </w:pPr>
      <w:rPr>
        <w:rFonts w:hint="default"/>
        <w:lang w:val="en-US" w:eastAsia="en-US" w:bidi="ar-SA"/>
      </w:rPr>
    </w:lvl>
    <w:lvl w:ilvl="5" w:tplc="CAA8208C">
      <w:numFmt w:val="bullet"/>
      <w:lvlText w:val="•"/>
      <w:lvlJc w:val="left"/>
      <w:pPr>
        <w:ind w:left="4240" w:hanging="360"/>
      </w:pPr>
      <w:rPr>
        <w:rFonts w:hint="default"/>
        <w:lang w:val="en-US" w:eastAsia="en-US" w:bidi="ar-SA"/>
      </w:rPr>
    </w:lvl>
    <w:lvl w:ilvl="6" w:tplc="02D03810">
      <w:numFmt w:val="bullet"/>
      <w:lvlText w:val="•"/>
      <w:lvlJc w:val="left"/>
      <w:pPr>
        <w:ind w:left="4964" w:hanging="360"/>
      </w:pPr>
      <w:rPr>
        <w:rFonts w:hint="default"/>
        <w:lang w:val="en-US" w:eastAsia="en-US" w:bidi="ar-SA"/>
      </w:rPr>
    </w:lvl>
    <w:lvl w:ilvl="7" w:tplc="2F34504C">
      <w:numFmt w:val="bullet"/>
      <w:lvlText w:val="•"/>
      <w:lvlJc w:val="left"/>
      <w:pPr>
        <w:ind w:left="5688" w:hanging="360"/>
      </w:pPr>
      <w:rPr>
        <w:rFonts w:hint="default"/>
        <w:lang w:val="en-US" w:eastAsia="en-US" w:bidi="ar-SA"/>
      </w:rPr>
    </w:lvl>
    <w:lvl w:ilvl="8" w:tplc="EABCEB02">
      <w:numFmt w:val="bullet"/>
      <w:lvlText w:val="•"/>
      <w:lvlJc w:val="left"/>
      <w:pPr>
        <w:ind w:left="6412" w:hanging="360"/>
      </w:pPr>
      <w:rPr>
        <w:rFonts w:hint="default"/>
        <w:lang w:val="en-US" w:eastAsia="en-US" w:bidi="ar-SA"/>
      </w:rPr>
    </w:lvl>
  </w:abstractNum>
  <w:abstractNum w:abstractNumId="166" w15:restartNumberingAfterBreak="0">
    <w:nsid w:val="7D0D3800"/>
    <w:multiLevelType w:val="hybridMultilevel"/>
    <w:tmpl w:val="2C24D022"/>
    <w:lvl w:ilvl="0" w:tplc="40EC21D8">
      <w:numFmt w:val="bullet"/>
      <w:lvlText w:val="•"/>
      <w:lvlJc w:val="left"/>
      <w:pPr>
        <w:ind w:left="464" w:hanging="360"/>
      </w:pPr>
      <w:rPr>
        <w:rFonts w:ascii="Trebuchet MS" w:eastAsia="Trebuchet MS" w:hAnsi="Trebuchet MS" w:cs="Trebuchet MS" w:hint="default"/>
        <w:b w:val="0"/>
        <w:bCs w:val="0"/>
        <w:i w:val="0"/>
        <w:iCs w:val="0"/>
        <w:spacing w:val="0"/>
        <w:w w:val="89"/>
        <w:sz w:val="18"/>
        <w:szCs w:val="18"/>
        <w:lang w:val="en-US" w:eastAsia="en-US" w:bidi="ar-SA"/>
      </w:rPr>
    </w:lvl>
    <w:lvl w:ilvl="1" w:tplc="C46E484A">
      <w:numFmt w:val="bullet"/>
      <w:lvlText w:val="•"/>
      <w:lvlJc w:val="left"/>
      <w:pPr>
        <w:ind w:left="1064" w:hanging="360"/>
      </w:pPr>
      <w:rPr>
        <w:rFonts w:hint="default"/>
        <w:lang w:val="en-US" w:eastAsia="en-US" w:bidi="ar-SA"/>
      </w:rPr>
    </w:lvl>
    <w:lvl w:ilvl="2" w:tplc="CF04643E">
      <w:numFmt w:val="bullet"/>
      <w:lvlText w:val="•"/>
      <w:lvlJc w:val="left"/>
      <w:pPr>
        <w:ind w:left="1669" w:hanging="360"/>
      </w:pPr>
      <w:rPr>
        <w:rFonts w:hint="default"/>
        <w:lang w:val="en-US" w:eastAsia="en-US" w:bidi="ar-SA"/>
      </w:rPr>
    </w:lvl>
    <w:lvl w:ilvl="3" w:tplc="11A2E504">
      <w:numFmt w:val="bullet"/>
      <w:lvlText w:val="•"/>
      <w:lvlJc w:val="left"/>
      <w:pPr>
        <w:ind w:left="2274" w:hanging="360"/>
      </w:pPr>
      <w:rPr>
        <w:rFonts w:hint="default"/>
        <w:lang w:val="en-US" w:eastAsia="en-US" w:bidi="ar-SA"/>
      </w:rPr>
    </w:lvl>
    <w:lvl w:ilvl="4" w:tplc="729C3272">
      <w:numFmt w:val="bullet"/>
      <w:lvlText w:val="•"/>
      <w:lvlJc w:val="left"/>
      <w:pPr>
        <w:ind w:left="2879" w:hanging="360"/>
      </w:pPr>
      <w:rPr>
        <w:rFonts w:hint="default"/>
        <w:lang w:val="en-US" w:eastAsia="en-US" w:bidi="ar-SA"/>
      </w:rPr>
    </w:lvl>
    <w:lvl w:ilvl="5" w:tplc="BDA2681A">
      <w:numFmt w:val="bullet"/>
      <w:lvlText w:val="•"/>
      <w:lvlJc w:val="left"/>
      <w:pPr>
        <w:ind w:left="3484" w:hanging="360"/>
      </w:pPr>
      <w:rPr>
        <w:rFonts w:hint="default"/>
        <w:lang w:val="en-US" w:eastAsia="en-US" w:bidi="ar-SA"/>
      </w:rPr>
    </w:lvl>
    <w:lvl w:ilvl="6" w:tplc="23C232AC">
      <w:numFmt w:val="bullet"/>
      <w:lvlText w:val="•"/>
      <w:lvlJc w:val="left"/>
      <w:pPr>
        <w:ind w:left="4088" w:hanging="360"/>
      </w:pPr>
      <w:rPr>
        <w:rFonts w:hint="default"/>
        <w:lang w:val="en-US" w:eastAsia="en-US" w:bidi="ar-SA"/>
      </w:rPr>
    </w:lvl>
    <w:lvl w:ilvl="7" w:tplc="57247092">
      <w:numFmt w:val="bullet"/>
      <w:lvlText w:val="•"/>
      <w:lvlJc w:val="left"/>
      <w:pPr>
        <w:ind w:left="4693" w:hanging="360"/>
      </w:pPr>
      <w:rPr>
        <w:rFonts w:hint="default"/>
        <w:lang w:val="en-US" w:eastAsia="en-US" w:bidi="ar-SA"/>
      </w:rPr>
    </w:lvl>
    <w:lvl w:ilvl="8" w:tplc="1C8ED7E6">
      <w:numFmt w:val="bullet"/>
      <w:lvlText w:val="•"/>
      <w:lvlJc w:val="left"/>
      <w:pPr>
        <w:ind w:left="5298" w:hanging="360"/>
      </w:pPr>
      <w:rPr>
        <w:rFonts w:hint="default"/>
        <w:lang w:val="en-US" w:eastAsia="en-US" w:bidi="ar-SA"/>
      </w:rPr>
    </w:lvl>
  </w:abstractNum>
  <w:abstractNum w:abstractNumId="167" w15:restartNumberingAfterBreak="0">
    <w:nsid w:val="7DBD10A6"/>
    <w:multiLevelType w:val="hybridMultilevel"/>
    <w:tmpl w:val="A1C21DF6"/>
    <w:lvl w:ilvl="0" w:tplc="B4CEB2E2">
      <w:numFmt w:val="bullet"/>
      <w:lvlText w:val="•"/>
      <w:lvlJc w:val="left"/>
      <w:pPr>
        <w:ind w:left="907" w:hanging="360"/>
      </w:pPr>
      <w:rPr>
        <w:rFonts w:ascii="Trebuchet MS" w:eastAsia="Trebuchet MS" w:hAnsi="Trebuchet MS" w:cs="Trebuchet MS" w:hint="default"/>
        <w:b w:val="0"/>
        <w:bCs w:val="0"/>
        <w:i w:val="0"/>
        <w:iCs w:val="0"/>
        <w:spacing w:val="0"/>
        <w:w w:val="89"/>
        <w:sz w:val="18"/>
        <w:szCs w:val="18"/>
        <w:lang w:val="en-US" w:eastAsia="en-US" w:bidi="ar-SA"/>
      </w:rPr>
    </w:lvl>
    <w:lvl w:ilvl="1" w:tplc="FE2C67D2">
      <w:numFmt w:val="bullet"/>
      <w:lvlText w:val="•"/>
      <w:lvlJc w:val="left"/>
      <w:pPr>
        <w:ind w:left="1576" w:hanging="360"/>
      </w:pPr>
      <w:rPr>
        <w:rFonts w:hint="default"/>
        <w:lang w:val="en-US" w:eastAsia="en-US" w:bidi="ar-SA"/>
      </w:rPr>
    </w:lvl>
    <w:lvl w:ilvl="2" w:tplc="685E6074">
      <w:numFmt w:val="bullet"/>
      <w:lvlText w:val="•"/>
      <w:lvlJc w:val="left"/>
      <w:pPr>
        <w:ind w:left="2252" w:hanging="360"/>
      </w:pPr>
      <w:rPr>
        <w:rFonts w:hint="default"/>
        <w:lang w:val="en-US" w:eastAsia="en-US" w:bidi="ar-SA"/>
      </w:rPr>
    </w:lvl>
    <w:lvl w:ilvl="3" w:tplc="DCE255C8">
      <w:numFmt w:val="bullet"/>
      <w:lvlText w:val="•"/>
      <w:lvlJc w:val="left"/>
      <w:pPr>
        <w:ind w:left="2928" w:hanging="360"/>
      </w:pPr>
      <w:rPr>
        <w:rFonts w:hint="default"/>
        <w:lang w:val="en-US" w:eastAsia="en-US" w:bidi="ar-SA"/>
      </w:rPr>
    </w:lvl>
    <w:lvl w:ilvl="4" w:tplc="42DA1794">
      <w:numFmt w:val="bullet"/>
      <w:lvlText w:val="•"/>
      <w:lvlJc w:val="left"/>
      <w:pPr>
        <w:ind w:left="3604" w:hanging="360"/>
      </w:pPr>
      <w:rPr>
        <w:rFonts w:hint="default"/>
        <w:lang w:val="en-US" w:eastAsia="en-US" w:bidi="ar-SA"/>
      </w:rPr>
    </w:lvl>
    <w:lvl w:ilvl="5" w:tplc="D1D8D0AA">
      <w:numFmt w:val="bullet"/>
      <w:lvlText w:val="•"/>
      <w:lvlJc w:val="left"/>
      <w:pPr>
        <w:ind w:left="4280" w:hanging="360"/>
      </w:pPr>
      <w:rPr>
        <w:rFonts w:hint="default"/>
        <w:lang w:val="en-US" w:eastAsia="en-US" w:bidi="ar-SA"/>
      </w:rPr>
    </w:lvl>
    <w:lvl w:ilvl="6" w:tplc="976210AA">
      <w:numFmt w:val="bullet"/>
      <w:lvlText w:val="•"/>
      <w:lvlJc w:val="left"/>
      <w:pPr>
        <w:ind w:left="4956" w:hanging="360"/>
      </w:pPr>
      <w:rPr>
        <w:rFonts w:hint="default"/>
        <w:lang w:val="en-US" w:eastAsia="en-US" w:bidi="ar-SA"/>
      </w:rPr>
    </w:lvl>
    <w:lvl w:ilvl="7" w:tplc="CBB0C5CE">
      <w:numFmt w:val="bullet"/>
      <w:lvlText w:val="•"/>
      <w:lvlJc w:val="left"/>
      <w:pPr>
        <w:ind w:left="5632" w:hanging="360"/>
      </w:pPr>
      <w:rPr>
        <w:rFonts w:hint="default"/>
        <w:lang w:val="en-US" w:eastAsia="en-US" w:bidi="ar-SA"/>
      </w:rPr>
    </w:lvl>
    <w:lvl w:ilvl="8" w:tplc="E4808A3A">
      <w:numFmt w:val="bullet"/>
      <w:lvlText w:val="•"/>
      <w:lvlJc w:val="left"/>
      <w:pPr>
        <w:ind w:left="6308" w:hanging="360"/>
      </w:pPr>
      <w:rPr>
        <w:rFonts w:hint="default"/>
        <w:lang w:val="en-US" w:eastAsia="en-US" w:bidi="ar-SA"/>
      </w:rPr>
    </w:lvl>
  </w:abstractNum>
  <w:abstractNum w:abstractNumId="168" w15:restartNumberingAfterBreak="0">
    <w:nsid w:val="7DD10DBD"/>
    <w:multiLevelType w:val="hybridMultilevel"/>
    <w:tmpl w:val="6E88DCEA"/>
    <w:lvl w:ilvl="0" w:tplc="977AB684">
      <w:numFmt w:val="bullet"/>
      <w:lvlText w:val="•"/>
      <w:lvlJc w:val="left"/>
      <w:pPr>
        <w:ind w:left="310" w:hanging="180"/>
      </w:pPr>
      <w:rPr>
        <w:rFonts w:ascii="Trebuchet MS" w:eastAsia="Trebuchet MS" w:hAnsi="Trebuchet MS" w:cs="Trebuchet MS" w:hint="default"/>
        <w:b w:val="0"/>
        <w:bCs w:val="0"/>
        <w:i w:val="0"/>
        <w:iCs w:val="0"/>
        <w:spacing w:val="0"/>
        <w:w w:val="89"/>
        <w:sz w:val="18"/>
        <w:szCs w:val="18"/>
        <w:lang w:val="en-US" w:eastAsia="en-US" w:bidi="ar-SA"/>
      </w:rPr>
    </w:lvl>
    <w:lvl w:ilvl="1" w:tplc="9B2C8048">
      <w:numFmt w:val="bullet"/>
      <w:lvlText w:val="•"/>
      <w:lvlJc w:val="left"/>
      <w:pPr>
        <w:ind w:left="497" w:hanging="180"/>
      </w:pPr>
      <w:rPr>
        <w:rFonts w:hint="default"/>
        <w:lang w:val="en-US" w:eastAsia="en-US" w:bidi="ar-SA"/>
      </w:rPr>
    </w:lvl>
    <w:lvl w:ilvl="2" w:tplc="C06EE1CE">
      <w:numFmt w:val="bullet"/>
      <w:lvlText w:val="•"/>
      <w:lvlJc w:val="left"/>
      <w:pPr>
        <w:ind w:left="675" w:hanging="180"/>
      </w:pPr>
      <w:rPr>
        <w:rFonts w:hint="default"/>
        <w:lang w:val="en-US" w:eastAsia="en-US" w:bidi="ar-SA"/>
      </w:rPr>
    </w:lvl>
    <w:lvl w:ilvl="3" w:tplc="50681D9E">
      <w:numFmt w:val="bullet"/>
      <w:lvlText w:val="•"/>
      <w:lvlJc w:val="left"/>
      <w:pPr>
        <w:ind w:left="853" w:hanging="180"/>
      </w:pPr>
      <w:rPr>
        <w:rFonts w:hint="default"/>
        <w:lang w:val="en-US" w:eastAsia="en-US" w:bidi="ar-SA"/>
      </w:rPr>
    </w:lvl>
    <w:lvl w:ilvl="4" w:tplc="87288B78">
      <w:numFmt w:val="bullet"/>
      <w:lvlText w:val="•"/>
      <w:lvlJc w:val="left"/>
      <w:pPr>
        <w:ind w:left="1031" w:hanging="180"/>
      </w:pPr>
      <w:rPr>
        <w:rFonts w:hint="default"/>
        <w:lang w:val="en-US" w:eastAsia="en-US" w:bidi="ar-SA"/>
      </w:rPr>
    </w:lvl>
    <w:lvl w:ilvl="5" w:tplc="F87C30BC">
      <w:numFmt w:val="bullet"/>
      <w:lvlText w:val="•"/>
      <w:lvlJc w:val="left"/>
      <w:pPr>
        <w:ind w:left="1209" w:hanging="180"/>
      </w:pPr>
      <w:rPr>
        <w:rFonts w:hint="default"/>
        <w:lang w:val="en-US" w:eastAsia="en-US" w:bidi="ar-SA"/>
      </w:rPr>
    </w:lvl>
    <w:lvl w:ilvl="6" w:tplc="FE3C017E">
      <w:numFmt w:val="bullet"/>
      <w:lvlText w:val="•"/>
      <w:lvlJc w:val="left"/>
      <w:pPr>
        <w:ind w:left="1387" w:hanging="180"/>
      </w:pPr>
      <w:rPr>
        <w:rFonts w:hint="default"/>
        <w:lang w:val="en-US" w:eastAsia="en-US" w:bidi="ar-SA"/>
      </w:rPr>
    </w:lvl>
    <w:lvl w:ilvl="7" w:tplc="9B720D48">
      <w:numFmt w:val="bullet"/>
      <w:lvlText w:val="•"/>
      <w:lvlJc w:val="left"/>
      <w:pPr>
        <w:ind w:left="1565" w:hanging="180"/>
      </w:pPr>
      <w:rPr>
        <w:rFonts w:hint="default"/>
        <w:lang w:val="en-US" w:eastAsia="en-US" w:bidi="ar-SA"/>
      </w:rPr>
    </w:lvl>
    <w:lvl w:ilvl="8" w:tplc="F608171E">
      <w:numFmt w:val="bullet"/>
      <w:lvlText w:val="•"/>
      <w:lvlJc w:val="left"/>
      <w:pPr>
        <w:ind w:left="1743" w:hanging="180"/>
      </w:pPr>
      <w:rPr>
        <w:rFonts w:hint="default"/>
        <w:lang w:val="en-US" w:eastAsia="en-US" w:bidi="ar-SA"/>
      </w:rPr>
    </w:lvl>
  </w:abstractNum>
  <w:abstractNum w:abstractNumId="169" w15:restartNumberingAfterBreak="0">
    <w:nsid w:val="7DEF1E57"/>
    <w:multiLevelType w:val="hybridMultilevel"/>
    <w:tmpl w:val="35B6F41E"/>
    <w:lvl w:ilvl="0" w:tplc="B3289322">
      <w:numFmt w:val="bullet"/>
      <w:lvlText w:val="•"/>
      <w:lvlJc w:val="left"/>
      <w:pPr>
        <w:ind w:left="472" w:hanging="360"/>
      </w:pPr>
      <w:rPr>
        <w:rFonts w:ascii="Trebuchet MS" w:eastAsia="Trebuchet MS" w:hAnsi="Trebuchet MS" w:cs="Trebuchet MS" w:hint="default"/>
        <w:b w:val="0"/>
        <w:bCs w:val="0"/>
        <w:i w:val="0"/>
        <w:iCs w:val="0"/>
        <w:spacing w:val="0"/>
        <w:w w:val="89"/>
        <w:sz w:val="18"/>
        <w:szCs w:val="18"/>
        <w:lang w:val="en-US" w:eastAsia="en-US" w:bidi="ar-SA"/>
      </w:rPr>
    </w:lvl>
    <w:lvl w:ilvl="1" w:tplc="FB2A2EB6">
      <w:numFmt w:val="bullet"/>
      <w:lvlText w:val="•"/>
      <w:lvlJc w:val="left"/>
      <w:pPr>
        <w:ind w:left="1104" w:hanging="360"/>
      </w:pPr>
      <w:rPr>
        <w:rFonts w:hint="default"/>
        <w:lang w:val="en-US" w:eastAsia="en-US" w:bidi="ar-SA"/>
      </w:rPr>
    </w:lvl>
    <w:lvl w:ilvl="2" w:tplc="85C8B64E">
      <w:numFmt w:val="bullet"/>
      <w:lvlText w:val="•"/>
      <w:lvlJc w:val="left"/>
      <w:pPr>
        <w:ind w:left="1728" w:hanging="360"/>
      </w:pPr>
      <w:rPr>
        <w:rFonts w:hint="default"/>
        <w:lang w:val="en-US" w:eastAsia="en-US" w:bidi="ar-SA"/>
      </w:rPr>
    </w:lvl>
    <w:lvl w:ilvl="3" w:tplc="5BE23FB2">
      <w:numFmt w:val="bullet"/>
      <w:lvlText w:val="•"/>
      <w:lvlJc w:val="left"/>
      <w:pPr>
        <w:ind w:left="2353" w:hanging="360"/>
      </w:pPr>
      <w:rPr>
        <w:rFonts w:hint="default"/>
        <w:lang w:val="en-US" w:eastAsia="en-US" w:bidi="ar-SA"/>
      </w:rPr>
    </w:lvl>
    <w:lvl w:ilvl="4" w:tplc="F81CD884">
      <w:numFmt w:val="bullet"/>
      <w:lvlText w:val="•"/>
      <w:lvlJc w:val="left"/>
      <w:pPr>
        <w:ind w:left="2977" w:hanging="360"/>
      </w:pPr>
      <w:rPr>
        <w:rFonts w:hint="default"/>
        <w:lang w:val="en-US" w:eastAsia="en-US" w:bidi="ar-SA"/>
      </w:rPr>
    </w:lvl>
    <w:lvl w:ilvl="5" w:tplc="0136D060">
      <w:numFmt w:val="bullet"/>
      <w:lvlText w:val="•"/>
      <w:lvlJc w:val="left"/>
      <w:pPr>
        <w:ind w:left="3602" w:hanging="360"/>
      </w:pPr>
      <w:rPr>
        <w:rFonts w:hint="default"/>
        <w:lang w:val="en-US" w:eastAsia="en-US" w:bidi="ar-SA"/>
      </w:rPr>
    </w:lvl>
    <w:lvl w:ilvl="6" w:tplc="8F927DC8">
      <w:numFmt w:val="bullet"/>
      <w:lvlText w:val="•"/>
      <w:lvlJc w:val="left"/>
      <w:pPr>
        <w:ind w:left="4226" w:hanging="360"/>
      </w:pPr>
      <w:rPr>
        <w:rFonts w:hint="default"/>
        <w:lang w:val="en-US" w:eastAsia="en-US" w:bidi="ar-SA"/>
      </w:rPr>
    </w:lvl>
    <w:lvl w:ilvl="7" w:tplc="03FC19E6">
      <w:numFmt w:val="bullet"/>
      <w:lvlText w:val="•"/>
      <w:lvlJc w:val="left"/>
      <w:pPr>
        <w:ind w:left="4850" w:hanging="360"/>
      </w:pPr>
      <w:rPr>
        <w:rFonts w:hint="default"/>
        <w:lang w:val="en-US" w:eastAsia="en-US" w:bidi="ar-SA"/>
      </w:rPr>
    </w:lvl>
    <w:lvl w:ilvl="8" w:tplc="E488C386">
      <w:numFmt w:val="bullet"/>
      <w:lvlText w:val="•"/>
      <w:lvlJc w:val="left"/>
      <w:pPr>
        <w:ind w:left="5475" w:hanging="360"/>
      </w:pPr>
      <w:rPr>
        <w:rFonts w:hint="default"/>
        <w:lang w:val="en-US" w:eastAsia="en-US" w:bidi="ar-SA"/>
      </w:rPr>
    </w:lvl>
  </w:abstractNum>
  <w:abstractNum w:abstractNumId="170" w15:restartNumberingAfterBreak="0">
    <w:nsid w:val="7F1B7982"/>
    <w:multiLevelType w:val="hybridMultilevel"/>
    <w:tmpl w:val="A49A28FC"/>
    <w:lvl w:ilvl="0" w:tplc="B204C864">
      <w:numFmt w:val="bullet"/>
      <w:lvlText w:val="•"/>
      <w:lvlJc w:val="left"/>
      <w:pPr>
        <w:ind w:left="394" w:hanging="180"/>
      </w:pPr>
      <w:rPr>
        <w:rFonts w:ascii="Trebuchet MS" w:eastAsia="Trebuchet MS" w:hAnsi="Trebuchet MS" w:cs="Trebuchet MS" w:hint="default"/>
        <w:b w:val="0"/>
        <w:bCs w:val="0"/>
        <w:i w:val="0"/>
        <w:iCs w:val="0"/>
        <w:spacing w:val="0"/>
        <w:w w:val="89"/>
        <w:sz w:val="18"/>
        <w:szCs w:val="18"/>
        <w:lang w:val="en-US" w:eastAsia="en-US" w:bidi="ar-SA"/>
      </w:rPr>
    </w:lvl>
    <w:lvl w:ilvl="1" w:tplc="2D14C6BC">
      <w:numFmt w:val="bullet"/>
      <w:lvlText w:val="•"/>
      <w:lvlJc w:val="left"/>
      <w:pPr>
        <w:ind w:left="578" w:hanging="180"/>
      </w:pPr>
      <w:rPr>
        <w:rFonts w:hint="default"/>
        <w:lang w:val="en-US" w:eastAsia="en-US" w:bidi="ar-SA"/>
      </w:rPr>
    </w:lvl>
    <w:lvl w:ilvl="2" w:tplc="D026E5D2">
      <w:numFmt w:val="bullet"/>
      <w:lvlText w:val="•"/>
      <w:lvlJc w:val="left"/>
      <w:pPr>
        <w:ind w:left="757" w:hanging="180"/>
      </w:pPr>
      <w:rPr>
        <w:rFonts w:hint="default"/>
        <w:lang w:val="en-US" w:eastAsia="en-US" w:bidi="ar-SA"/>
      </w:rPr>
    </w:lvl>
    <w:lvl w:ilvl="3" w:tplc="2F2AAA9E">
      <w:numFmt w:val="bullet"/>
      <w:lvlText w:val="•"/>
      <w:lvlJc w:val="left"/>
      <w:pPr>
        <w:ind w:left="936" w:hanging="180"/>
      </w:pPr>
      <w:rPr>
        <w:rFonts w:hint="default"/>
        <w:lang w:val="en-US" w:eastAsia="en-US" w:bidi="ar-SA"/>
      </w:rPr>
    </w:lvl>
    <w:lvl w:ilvl="4" w:tplc="F9D87180">
      <w:numFmt w:val="bullet"/>
      <w:lvlText w:val="•"/>
      <w:lvlJc w:val="left"/>
      <w:pPr>
        <w:ind w:left="1114" w:hanging="180"/>
      </w:pPr>
      <w:rPr>
        <w:rFonts w:hint="default"/>
        <w:lang w:val="en-US" w:eastAsia="en-US" w:bidi="ar-SA"/>
      </w:rPr>
    </w:lvl>
    <w:lvl w:ilvl="5" w:tplc="C27CC208">
      <w:numFmt w:val="bullet"/>
      <w:lvlText w:val="•"/>
      <w:lvlJc w:val="left"/>
      <w:pPr>
        <w:ind w:left="1293" w:hanging="180"/>
      </w:pPr>
      <w:rPr>
        <w:rFonts w:hint="default"/>
        <w:lang w:val="en-US" w:eastAsia="en-US" w:bidi="ar-SA"/>
      </w:rPr>
    </w:lvl>
    <w:lvl w:ilvl="6" w:tplc="22384384">
      <w:numFmt w:val="bullet"/>
      <w:lvlText w:val="•"/>
      <w:lvlJc w:val="left"/>
      <w:pPr>
        <w:ind w:left="1472" w:hanging="180"/>
      </w:pPr>
      <w:rPr>
        <w:rFonts w:hint="default"/>
        <w:lang w:val="en-US" w:eastAsia="en-US" w:bidi="ar-SA"/>
      </w:rPr>
    </w:lvl>
    <w:lvl w:ilvl="7" w:tplc="92E26EA0">
      <w:numFmt w:val="bullet"/>
      <w:lvlText w:val="•"/>
      <w:lvlJc w:val="left"/>
      <w:pPr>
        <w:ind w:left="1650" w:hanging="180"/>
      </w:pPr>
      <w:rPr>
        <w:rFonts w:hint="default"/>
        <w:lang w:val="en-US" w:eastAsia="en-US" w:bidi="ar-SA"/>
      </w:rPr>
    </w:lvl>
    <w:lvl w:ilvl="8" w:tplc="74FEA94A">
      <w:numFmt w:val="bullet"/>
      <w:lvlText w:val="•"/>
      <w:lvlJc w:val="left"/>
      <w:pPr>
        <w:ind w:left="1829" w:hanging="180"/>
      </w:pPr>
      <w:rPr>
        <w:rFonts w:hint="default"/>
        <w:lang w:val="en-US" w:eastAsia="en-US" w:bidi="ar-SA"/>
      </w:rPr>
    </w:lvl>
  </w:abstractNum>
  <w:abstractNum w:abstractNumId="171" w15:restartNumberingAfterBreak="0">
    <w:nsid w:val="7F496B67"/>
    <w:multiLevelType w:val="hybridMultilevel"/>
    <w:tmpl w:val="3080F7BC"/>
    <w:lvl w:ilvl="0" w:tplc="815894A8">
      <w:numFmt w:val="bullet"/>
      <w:lvlText w:val="•"/>
      <w:lvlJc w:val="left"/>
      <w:pPr>
        <w:ind w:left="549" w:hanging="360"/>
      </w:pPr>
      <w:rPr>
        <w:rFonts w:ascii="Trebuchet MS" w:eastAsia="Trebuchet MS" w:hAnsi="Trebuchet MS" w:cs="Trebuchet MS" w:hint="default"/>
        <w:b w:val="0"/>
        <w:bCs w:val="0"/>
        <w:i w:val="0"/>
        <w:iCs w:val="0"/>
        <w:spacing w:val="0"/>
        <w:w w:val="89"/>
        <w:sz w:val="18"/>
        <w:szCs w:val="18"/>
        <w:lang w:val="en-US" w:eastAsia="en-US" w:bidi="ar-SA"/>
      </w:rPr>
    </w:lvl>
    <w:lvl w:ilvl="1" w:tplc="86A4BC5A">
      <w:numFmt w:val="bullet"/>
      <w:lvlText w:val="•"/>
      <w:lvlJc w:val="left"/>
      <w:pPr>
        <w:ind w:left="1073" w:hanging="360"/>
      </w:pPr>
      <w:rPr>
        <w:rFonts w:hint="default"/>
        <w:lang w:val="en-US" w:eastAsia="en-US" w:bidi="ar-SA"/>
      </w:rPr>
    </w:lvl>
    <w:lvl w:ilvl="2" w:tplc="6A383EC6">
      <w:numFmt w:val="bullet"/>
      <w:lvlText w:val="•"/>
      <w:lvlJc w:val="left"/>
      <w:pPr>
        <w:ind w:left="1606" w:hanging="360"/>
      </w:pPr>
      <w:rPr>
        <w:rFonts w:hint="default"/>
        <w:lang w:val="en-US" w:eastAsia="en-US" w:bidi="ar-SA"/>
      </w:rPr>
    </w:lvl>
    <w:lvl w:ilvl="3" w:tplc="A3DEEAC6">
      <w:numFmt w:val="bullet"/>
      <w:lvlText w:val="•"/>
      <w:lvlJc w:val="left"/>
      <w:pPr>
        <w:ind w:left="2139" w:hanging="360"/>
      </w:pPr>
      <w:rPr>
        <w:rFonts w:hint="default"/>
        <w:lang w:val="en-US" w:eastAsia="en-US" w:bidi="ar-SA"/>
      </w:rPr>
    </w:lvl>
    <w:lvl w:ilvl="4" w:tplc="351CF5EA">
      <w:numFmt w:val="bullet"/>
      <w:lvlText w:val="•"/>
      <w:lvlJc w:val="left"/>
      <w:pPr>
        <w:ind w:left="2672" w:hanging="360"/>
      </w:pPr>
      <w:rPr>
        <w:rFonts w:hint="default"/>
        <w:lang w:val="en-US" w:eastAsia="en-US" w:bidi="ar-SA"/>
      </w:rPr>
    </w:lvl>
    <w:lvl w:ilvl="5" w:tplc="B24EED3E">
      <w:numFmt w:val="bullet"/>
      <w:lvlText w:val="•"/>
      <w:lvlJc w:val="left"/>
      <w:pPr>
        <w:ind w:left="3206" w:hanging="360"/>
      </w:pPr>
      <w:rPr>
        <w:rFonts w:hint="default"/>
        <w:lang w:val="en-US" w:eastAsia="en-US" w:bidi="ar-SA"/>
      </w:rPr>
    </w:lvl>
    <w:lvl w:ilvl="6" w:tplc="1BC26AF8">
      <w:numFmt w:val="bullet"/>
      <w:lvlText w:val="•"/>
      <w:lvlJc w:val="left"/>
      <w:pPr>
        <w:ind w:left="3739" w:hanging="360"/>
      </w:pPr>
      <w:rPr>
        <w:rFonts w:hint="default"/>
        <w:lang w:val="en-US" w:eastAsia="en-US" w:bidi="ar-SA"/>
      </w:rPr>
    </w:lvl>
    <w:lvl w:ilvl="7" w:tplc="2BBAE932">
      <w:numFmt w:val="bullet"/>
      <w:lvlText w:val="•"/>
      <w:lvlJc w:val="left"/>
      <w:pPr>
        <w:ind w:left="4272" w:hanging="360"/>
      </w:pPr>
      <w:rPr>
        <w:rFonts w:hint="default"/>
        <w:lang w:val="en-US" w:eastAsia="en-US" w:bidi="ar-SA"/>
      </w:rPr>
    </w:lvl>
    <w:lvl w:ilvl="8" w:tplc="A516AFC0">
      <w:numFmt w:val="bullet"/>
      <w:lvlText w:val="•"/>
      <w:lvlJc w:val="left"/>
      <w:pPr>
        <w:ind w:left="4805" w:hanging="360"/>
      </w:pPr>
      <w:rPr>
        <w:rFonts w:hint="default"/>
        <w:lang w:val="en-US" w:eastAsia="en-US" w:bidi="ar-SA"/>
      </w:rPr>
    </w:lvl>
  </w:abstractNum>
  <w:num w:numId="1" w16cid:durableId="162744839">
    <w:abstractNumId w:val="39"/>
  </w:num>
  <w:num w:numId="2" w16cid:durableId="1791624340">
    <w:abstractNumId w:val="58"/>
  </w:num>
  <w:num w:numId="3" w16cid:durableId="603540121">
    <w:abstractNumId w:val="18"/>
  </w:num>
  <w:num w:numId="4" w16cid:durableId="115607190">
    <w:abstractNumId w:val="99"/>
  </w:num>
  <w:num w:numId="5" w16cid:durableId="1256667970">
    <w:abstractNumId w:val="171"/>
  </w:num>
  <w:num w:numId="6" w16cid:durableId="318191108">
    <w:abstractNumId w:val="104"/>
  </w:num>
  <w:num w:numId="7" w16cid:durableId="1085222793">
    <w:abstractNumId w:val="159"/>
  </w:num>
  <w:num w:numId="8" w16cid:durableId="1609972847">
    <w:abstractNumId w:val="63"/>
  </w:num>
  <w:num w:numId="9" w16cid:durableId="721179327">
    <w:abstractNumId w:val="68"/>
  </w:num>
  <w:num w:numId="10" w16cid:durableId="1353648156">
    <w:abstractNumId w:val="115"/>
  </w:num>
  <w:num w:numId="11" w16cid:durableId="426773641">
    <w:abstractNumId w:val="8"/>
  </w:num>
  <w:num w:numId="12" w16cid:durableId="861821573">
    <w:abstractNumId w:val="93"/>
  </w:num>
  <w:num w:numId="13" w16cid:durableId="177349145">
    <w:abstractNumId w:val="84"/>
  </w:num>
  <w:num w:numId="14" w16cid:durableId="1160659283">
    <w:abstractNumId w:val="108"/>
  </w:num>
  <w:num w:numId="15" w16cid:durableId="1523007998">
    <w:abstractNumId w:val="26"/>
  </w:num>
  <w:num w:numId="16" w16cid:durableId="588579486">
    <w:abstractNumId w:val="77"/>
  </w:num>
  <w:num w:numId="17" w16cid:durableId="1701979344">
    <w:abstractNumId w:val="87"/>
  </w:num>
  <w:num w:numId="18" w16cid:durableId="1889608906">
    <w:abstractNumId w:val="17"/>
  </w:num>
  <w:num w:numId="19" w16cid:durableId="19549560">
    <w:abstractNumId w:val="51"/>
  </w:num>
  <w:num w:numId="20" w16cid:durableId="705259561">
    <w:abstractNumId w:val="123"/>
  </w:num>
  <w:num w:numId="21" w16cid:durableId="283050162">
    <w:abstractNumId w:val="131"/>
  </w:num>
  <w:num w:numId="22" w16cid:durableId="1681858514">
    <w:abstractNumId w:val="22"/>
  </w:num>
  <w:num w:numId="23" w16cid:durableId="175929881">
    <w:abstractNumId w:val="107"/>
  </w:num>
  <w:num w:numId="24" w16cid:durableId="547228257">
    <w:abstractNumId w:val="64"/>
  </w:num>
  <w:num w:numId="25" w16cid:durableId="777333135">
    <w:abstractNumId w:val="112"/>
  </w:num>
  <w:num w:numId="26" w16cid:durableId="322899655">
    <w:abstractNumId w:val="75"/>
  </w:num>
  <w:num w:numId="27" w16cid:durableId="1581405916">
    <w:abstractNumId w:val="46"/>
  </w:num>
  <w:num w:numId="28" w16cid:durableId="1679229224">
    <w:abstractNumId w:val="12"/>
  </w:num>
  <w:num w:numId="29" w16cid:durableId="26950279">
    <w:abstractNumId w:val="53"/>
  </w:num>
  <w:num w:numId="30" w16cid:durableId="1205874721">
    <w:abstractNumId w:val="83"/>
  </w:num>
  <w:num w:numId="31" w16cid:durableId="2052924783">
    <w:abstractNumId w:val="142"/>
  </w:num>
  <w:num w:numId="32" w16cid:durableId="109446093">
    <w:abstractNumId w:val="9"/>
  </w:num>
  <w:num w:numId="33" w16cid:durableId="1088040891">
    <w:abstractNumId w:val="21"/>
  </w:num>
  <w:num w:numId="34" w16cid:durableId="359546870">
    <w:abstractNumId w:val="103"/>
  </w:num>
  <w:num w:numId="35" w16cid:durableId="704447444">
    <w:abstractNumId w:val="126"/>
  </w:num>
  <w:num w:numId="36" w16cid:durableId="1164473383">
    <w:abstractNumId w:val="65"/>
  </w:num>
  <w:num w:numId="37" w16cid:durableId="1897468066">
    <w:abstractNumId w:val="11"/>
  </w:num>
  <w:num w:numId="38" w16cid:durableId="357588692">
    <w:abstractNumId w:val="161"/>
  </w:num>
  <w:num w:numId="39" w16cid:durableId="1564752778">
    <w:abstractNumId w:val="7"/>
  </w:num>
  <w:num w:numId="40" w16cid:durableId="550264307">
    <w:abstractNumId w:val="166"/>
  </w:num>
  <w:num w:numId="41" w16cid:durableId="316762317">
    <w:abstractNumId w:val="20"/>
  </w:num>
  <w:num w:numId="42" w16cid:durableId="480929072">
    <w:abstractNumId w:val="155"/>
  </w:num>
  <w:num w:numId="43" w16cid:durableId="974801229">
    <w:abstractNumId w:val="81"/>
  </w:num>
  <w:num w:numId="44" w16cid:durableId="2051227022">
    <w:abstractNumId w:val="140"/>
  </w:num>
  <w:num w:numId="45" w16cid:durableId="929772263">
    <w:abstractNumId w:val="152"/>
  </w:num>
  <w:num w:numId="46" w16cid:durableId="1278562099">
    <w:abstractNumId w:val="111"/>
  </w:num>
  <w:num w:numId="47" w16cid:durableId="405109079">
    <w:abstractNumId w:val="16"/>
  </w:num>
  <w:num w:numId="48" w16cid:durableId="1112551873">
    <w:abstractNumId w:val="91"/>
  </w:num>
  <w:num w:numId="49" w16cid:durableId="1176262275">
    <w:abstractNumId w:val="113"/>
  </w:num>
  <w:num w:numId="50" w16cid:durableId="1096052579">
    <w:abstractNumId w:val="95"/>
  </w:num>
  <w:num w:numId="51" w16cid:durableId="121584887">
    <w:abstractNumId w:val="162"/>
  </w:num>
  <w:num w:numId="52" w16cid:durableId="133372577">
    <w:abstractNumId w:val="154"/>
  </w:num>
  <w:num w:numId="53" w16cid:durableId="1578857808">
    <w:abstractNumId w:val="158"/>
  </w:num>
  <w:num w:numId="54" w16cid:durableId="1330596773">
    <w:abstractNumId w:val="29"/>
  </w:num>
  <w:num w:numId="55" w16cid:durableId="1583762336">
    <w:abstractNumId w:val="148"/>
  </w:num>
  <w:num w:numId="56" w16cid:durableId="1003321729">
    <w:abstractNumId w:val="163"/>
  </w:num>
  <w:num w:numId="57" w16cid:durableId="1522205785">
    <w:abstractNumId w:val="86"/>
  </w:num>
  <w:num w:numId="58" w16cid:durableId="1964771307">
    <w:abstractNumId w:val="57"/>
  </w:num>
  <w:num w:numId="59" w16cid:durableId="669794407">
    <w:abstractNumId w:val="10"/>
  </w:num>
  <w:num w:numId="60" w16cid:durableId="612638120">
    <w:abstractNumId w:val="37"/>
  </w:num>
  <w:num w:numId="61" w16cid:durableId="1883059331">
    <w:abstractNumId w:val="50"/>
  </w:num>
  <w:num w:numId="62" w16cid:durableId="331226801">
    <w:abstractNumId w:val="138"/>
  </w:num>
  <w:num w:numId="63" w16cid:durableId="2076274544">
    <w:abstractNumId w:val="13"/>
  </w:num>
  <w:num w:numId="64" w16cid:durableId="1903247947">
    <w:abstractNumId w:val="85"/>
  </w:num>
  <w:num w:numId="65" w16cid:durableId="1095398860">
    <w:abstractNumId w:val="135"/>
  </w:num>
  <w:num w:numId="66" w16cid:durableId="579600932">
    <w:abstractNumId w:val="139"/>
  </w:num>
  <w:num w:numId="67" w16cid:durableId="1381704322">
    <w:abstractNumId w:val="31"/>
  </w:num>
  <w:num w:numId="68" w16cid:durableId="951202246">
    <w:abstractNumId w:val="19"/>
  </w:num>
  <w:num w:numId="69" w16cid:durableId="2013139778">
    <w:abstractNumId w:val="122"/>
  </w:num>
  <w:num w:numId="70" w16cid:durableId="19477602">
    <w:abstractNumId w:val="92"/>
  </w:num>
  <w:num w:numId="71" w16cid:durableId="1960991890">
    <w:abstractNumId w:val="1"/>
  </w:num>
  <w:num w:numId="72" w16cid:durableId="1975943065">
    <w:abstractNumId w:val="80"/>
  </w:num>
  <w:num w:numId="73" w16cid:durableId="241524960">
    <w:abstractNumId w:val="3"/>
  </w:num>
  <w:num w:numId="74" w16cid:durableId="1753818843">
    <w:abstractNumId w:val="45"/>
  </w:num>
  <w:num w:numId="75" w16cid:durableId="1661615162">
    <w:abstractNumId w:val="137"/>
  </w:num>
  <w:num w:numId="76" w16cid:durableId="2130321494">
    <w:abstractNumId w:val="98"/>
  </w:num>
  <w:num w:numId="77" w16cid:durableId="1914854648">
    <w:abstractNumId w:val="66"/>
  </w:num>
  <w:num w:numId="78" w16cid:durableId="1319846851">
    <w:abstractNumId w:val="125"/>
  </w:num>
  <w:num w:numId="79" w16cid:durableId="136075411">
    <w:abstractNumId w:val="70"/>
  </w:num>
  <w:num w:numId="80" w16cid:durableId="615259399">
    <w:abstractNumId w:val="15"/>
  </w:num>
  <w:num w:numId="81" w16cid:durableId="990713788">
    <w:abstractNumId w:val="28"/>
  </w:num>
  <w:num w:numId="82" w16cid:durableId="726028518">
    <w:abstractNumId w:val="116"/>
  </w:num>
  <w:num w:numId="83" w16cid:durableId="1717854032">
    <w:abstractNumId w:val="121"/>
  </w:num>
  <w:num w:numId="84" w16cid:durableId="1007096760">
    <w:abstractNumId w:val="55"/>
  </w:num>
  <w:num w:numId="85" w16cid:durableId="1381203774">
    <w:abstractNumId w:val="141"/>
  </w:num>
  <w:num w:numId="86" w16cid:durableId="148906771">
    <w:abstractNumId w:val="32"/>
  </w:num>
  <w:num w:numId="87" w16cid:durableId="1330450646">
    <w:abstractNumId w:val="24"/>
  </w:num>
  <w:num w:numId="88" w16cid:durableId="40715104">
    <w:abstractNumId w:val="124"/>
  </w:num>
  <w:num w:numId="89" w16cid:durableId="1517186321">
    <w:abstractNumId w:val="72"/>
  </w:num>
  <w:num w:numId="90" w16cid:durableId="444620446">
    <w:abstractNumId w:val="43"/>
  </w:num>
  <w:num w:numId="91" w16cid:durableId="1702320169">
    <w:abstractNumId w:val="4"/>
  </w:num>
  <w:num w:numId="92" w16cid:durableId="1366523485">
    <w:abstractNumId w:val="100"/>
  </w:num>
  <w:num w:numId="93" w16cid:durableId="806049265">
    <w:abstractNumId w:val="153"/>
  </w:num>
  <w:num w:numId="94" w16cid:durableId="1847285739">
    <w:abstractNumId w:val="128"/>
  </w:num>
  <w:num w:numId="95" w16cid:durableId="1672296288">
    <w:abstractNumId w:val="105"/>
  </w:num>
  <w:num w:numId="96" w16cid:durableId="1481458223">
    <w:abstractNumId w:val="89"/>
  </w:num>
  <w:num w:numId="97" w16cid:durableId="409423575">
    <w:abstractNumId w:val="67"/>
  </w:num>
  <w:num w:numId="98" w16cid:durableId="477114162">
    <w:abstractNumId w:val="167"/>
  </w:num>
  <w:num w:numId="99" w16cid:durableId="1303729000">
    <w:abstractNumId w:val="56"/>
  </w:num>
  <w:num w:numId="100" w16cid:durableId="844829203">
    <w:abstractNumId w:val="130"/>
  </w:num>
  <w:num w:numId="101" w16cid:durableId="1102646616">
    <w:abstractNumId w:val="110"/>
  </w:num>
  <w:num w:numId="102" w16cid:durableId="427191678">
    <w:abstractNumId w:val="62"/>
  </w:num>
  <w:num w:numId="103" w16cid:durableId="586303371">
    <w:abstractNumId w:val="114"/>
  </w:num>
  <w:num w:numId="104" w16cid:durableId="1914579747">
    <w:abstractNumId w:val="119"/>
  </w:num>
  <w:num w:numId="105" w16cid:durableId="490414073">
    <w:abstractNumId w:val="169"/>
  </w:num>
  <w:num w:numId="106" w16cid:durableId="296642197">
    <w:abstractNumId w:val="106"/>
  </w:num>
  <w:num w:numId="107" w16cid:durableId="629289614">
    <w:abstractNumId w:val="146"/>
  </w:num>
  <w:num w:numId="108" w16cid:durableId="765073448">
    <w:abstractNumId w:val="59"/>
  </w:num>
  <w:num w:numId="109" w16cid:durableId="1173881516">
    <w:abstractNumId w:val="102"/>
  </w:num>
  <w:num w:numId="110" w16cid:durableId="1367945717">
    <w:abstractNumId w:val="165"/>
  </w:num>
  <w:num w:numId="111" w16cid:durableId="512769987">
    <w:abstractNumId w:val="120"/>
  </w:num>
  <w:num w:numId="112" w16cid:durableId="286353792">
    <w:abstractNumId w:val="25"/>
  </w:num>
  <w:num w:numId="113" w16cid:durableId="402266044">
    <w:abstractNumId w:val="34"/>
  </w:num>
  <w:num w:numId="114" w16cid:durableId="1760903556">
    <w:abstractNumId w:val="6"/>
  </w:num>
  <w:num w:numId="115" w16cid:durableId="383142207">
    <w:abstractNumId w:val="96"/>
  </w:num>
  <w:num w:numId="116" w16cid:durableId="1231385043">
    <w:abstractNumId w:val="133"/>
  </w:num>
  <w:num w:numId="117" w16cid:durableId="62530678">
    <w:abstractNumId w:val="42"/>
  </w:num>
  <w:num w:numId="118" w16cid:durableId="1248150080">
    <w:abstractNumId w:val="118"/>
  </w:num>
  <w:num w:numId="119" w16cid:durableId="1658075273">
    <w:abstractNumId w:val="76"/>
  </w:num>
  <w:num w:numId="120" w16cid:durableId="516240394">
    <w:abstractNumId w:val="150"/>
  </w:num>
  <w:num w:numId="121" w16cid:durableId="1512724711">
    <w:abstractNumId w:val="5"/>
  </w:num>
  <w:num w:numId="122" w16cid:durableId="1396784717">
    <w:abstractNumId w:val="74"/>
  </w:num>
  <w:num w:numId="123" w16cid:durableId="1570767135">
    <w:abstractNumId w:val="14"/>
  </w:num>
  <w:num w:numId="124" w16cid:durableId="1704553401">
    <w:abstractNumId w:val="47"/>
  </w:num>
  <w:num w:numId="125" w16cid:durableId="1387488685">
    <w:abstractNumId w:val="78"/>
  </w:num>
  <w:num w:numId="126" w16cid:durableId="437678488">
    <w:abstractNumId w:val="157"/>
  </w:num>
  <w:num w:numId="127" w16cid:durableId="1885753561">
    <w:abstractNumId w:val="129"/>
  </w:num>
  <w:num w:numId="128" w16cid:durableId="780997912">
    <w:abstractNumId w:val="127"/>
  </w:num>
  <w:num w:numId="129" w16cid:durableId="1159005963">
    <w:abstractNumId w:val="147"/>
  </w:num>
  <w:num w:numId="130" w16cid:durableId="1606961334">
    <w:abstractNumId w:val="52"/>
  </w:num>
  <w:num w:numId="131" w16cid:durableId="1174763784">
    <w:abstractNumId w:val="33"/>
  </w:num>
  <w:num w:numId="132" w16cid:durableId="1392465120">
    <w:abstractNumId w:val="109"/>
  </w:num>
  <w:num w:numId="133" w16cid:durableId="812604429">
    <w:abstractNumId w:val="82"/>
  </w:num>
  <w:num w:numId="134" w16cid:durableId="212935039">
    <w:abstractNumId w:val="23"/>
  </w:num>
  <w:num w:numId="135" w16cid:durableId="547298746">
    <w:abstractNumId w:val="156"/>
  </w:num>
  <w:num w:numId="136" w16cid:durableId="2052027014">
    <w:abstractNumId w:val="44"/>
  </w:num>
  <w:num w:numId="137" w16cid:durableId="584728554">
    <w:abstractNumId w:val="61"/>
  </w:num>
  <w:num w:numId="138" w16cid:durableId="667831791">
    <w:abstractNumId w:val="36"/>
  </w:num>
  <w:num w:numId="139" w16cid:durableId="184751688">
    <w:abstractNumId w:val="2"/>
  </w:num>
  <w:num w:numId="140" w16cid:durableId="1397506977">
    <w:abstractNumId w:val="117"/>
  </w:num>
  <w:num w:numId="141" w16cid:durableId="876047101">
    <w:abstractNumId w:val="73"/>
  </w:num>
  <w:num w:numId="142" w16cid:durableId="1854101761">
    <w:abstractNumId w:val="134"/>
  </w:num>
  <w:num w:numId="143" w16cid:durableId="1725715831">
    <w:abstractNumId w:val="88"/>
  </w:num>
  <w:num w:numId="144" w16cid:durableId="71510446">
    <w:abstractNumId w:val="149"/>
  </w:num>
  <w:num w:numId="145" w16cid:durableId="2053184957">
    <w:abstractNumId w:val="54"/>
  </w:num>
  <w:num w:numId="146" w16cid:durableId="1763723325">
    <w:abstractNumId w:val="151"/>
  </w:num>
  <w:num w:numId="147" w16cid:durableId="656541367">
    <w:abstractNumId w:val="170"/>
  </w:num>
  <w:num w:numId="148" w16cid:durableId="305742613">
    <w:abstractNumId w:val="41"/>
  </w:num>
  <w:num w:numId="149" w16cid:durableId="1916431860">
    <w:abstractNumId w:val="168"/>
  </w:num>
  <w:num w:numId="150" w16cid:durableId="908734743">
    <w:abstractNumId w:val="40"/>
  </w:num>
  <w:num w:numId="151" w16cid:durableId="1227690533">
    <w:abstractNumId w:val="35"/>
  </w:num>
  <w:num w:numId="152" w16cid:durableId="766968422">
    <w:abstractNumId w:val="71"/>
  </w:num>
  <w:num w:numId="153" w16cid:durableId="90470130">
    <w:abstractNumId w:val="30"/>
  </w:num>
  <w:num w:numId="154" w16cid:durableId="1466463232">
    <w:abstractNumId w:val="144"/>
  </w:num>
  <w:num w:numId="155" w16cid:durableId="1450659584">
    <w:abstractNumId w:val="27"/>
  </w:num>
  <w:num w:numId="156" w16cid:durableId="750196367">
    <w:abstractNumId w:val="136"/>
  </w:num>
  <w:num w:numId="157" w16cid:durableId="1272738291">
    <w:abstractNumId w:val="160"/>
  </w:num>
  <w:num w:numId="158" w16cid:durableId="1381325359">
    <w:abstractNumId w:val="49"/>
  </w:num>
  <w:num w:numId="159" w16cid:durableId="1246576097">
    <w:abstractNumId w:val="132"/>
  </w:num>
  <w:num w:numId="160" w16cid:durableId="502936585">
    <w:abstractNumId w:val="60"/>
  </w:num>
  <w:num w:numId="161" w16cid:durableId="2062514379">
    <w:abstractNumId w:val="48"/>
  </w:num>
  <w:num w:numId="162" w16cid:durableId="903368888">
    <w:abstractNumId w:val="143"/>
  </w:num>
  <w:num w:numId="163" w16cid:durableId="1348943901">
    <w:abstractNumId w:val="0"/>
  </w:num>
  <w:num w:numId="164" w16cid:durableId="1066994136">
    <w:abstractNumId w:val="164"/>
  </w:num>
  <w:num w:numId="165" w16cid:durableId="26756757">
    <w:abstractNumId w:val="97"/>
  </w:num>
  <w:num w:numId="166" w16cid:durableId="978345332">
    <w:abstractNumId w:val="90"/>
  </w:num>
  <w:num w:numId="167" w16cid:durableId="311495340">
    <w:abstractNumId w:val="94"/>
  </w:num>
  <w:num w:numId="168" w16cid:durableId="874851919">
    <w:abstractNumId w:val="145"/>
  </w:num>
  <w:num w:numId="169" w16cid:durableId="131606638">
    <w:abstractNumId w:val="38"/>
  </w:num>
  <w:num w:numId="170" w16cid:durableId="1587884376">
    <w:abstractNumId w:val="101"/>
  </w:num>
  <w:num w:numId="171" w16cid:durableId="1694071531">
    <w:abstractNumId w:val="79"/>
  </w:num>
  <w:num w:numId="172" w16cid:durableId="605888780">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C24A8"/>
    <w:rsid w:val="00042205"/>
    <w:rsid w:val="00165068"/>
    <w:rsid w:val="001C161C"/>
    <w:rsid w:val="002E536E"/>
    <w:rsid w:val="00740C0B"/>
    <w:rsid w:val="00795364"/>
    <w:rsid w:val="0088287A"/>
    <w:rsid w:val="00BC24A8"/>
    <w:rsid w:val="00D06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ED0FA"/>
  <w15:docId w15:val="{4A863E43-CF1E-4164-B8E2-3828C9E4E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spacing w:before="80"/>
      <w:ind w:left="143"/>
      <w:outlineLvl w:val="0"/>
    </w:pPr>
    <w:rPr>
      <w:rFonts w:ascii="Trebuchet MS" w:eastAsia="Trebuchet MS" w:hAnsi="Trebuchet MS" w:cs="Trebuchet MS"/>
      <w:b/>
      <w:bCs/>
      <w:sz w:val="60"/>
      <w:szCs w:val="60"/>
    </w:rPr>
  </w:style>
  <w:style w:type="paragraph" w:styleId="Heading2">
    <w:name w:val="heading 2"/>
    <w:basedOn w:val="Normal"/>
    <w:uiPriority w:val="9"/>
    <w:unhideWhenUsed/>
    <w:qFormat/>
    <w:pPr>
      <w:spacing w:before="79"/>
      <w:ind w:left="143"/>
      <w:outlineLvl w:val="1"/>
    </w:pPr>
    <w:rPr>
      <w:rFonts w:ascii="Trebuchet MS" w:eastAsia="Trebuchet MS" w:hAnsi="Trebuchet MS" w:cs="Trebuchet MS"/>
      <w:b/>
      <w:bCs/>
      <w:sz w:val="40"/>
      <w:szCs w:val="40"/>
    </w:rPr>
  </w:style>
  <w:style w:type="paragraph" w:styleId="Heading3">
    <w:name w:val="heading 3"/>
    <w:basedOn w:val="Normal"/>
    <w:uiPriority w:val="9"/>
    <w:unhideWhenUsed/>
    <w:qFormat/>
    <w:pPr>
      <w:spacing w:before="79"/>
      <w:ind w:left="143"/>
      <w:outlineLvl w:val="2"/>
    </w:pPr>
    <w:rPr>
      <w:rFonts w:ascii="Trebuchet MS" w:eastAsia="Trebuchet MS" w:hAnsi="Trebuchet MS" w:cs="Trebuchet MS"/>
      <w:b/>
      <w:bCs/>
      <w:sz w:val="32"/>
      <w:szCs w:val="32"/>
    </w:rPr>
  </w:style>
  <w:style w:type="paragraph" w:styleId="Heading4">
    <w:name w:val="heading 4"/>
    <w:basedOn w:val="Normal"/>
    <w:uiPriority w:val="9"/>
    <w:unhideWhenUsed/>
    <w:qFormat/>
    <w:pPr>
      <w:spacing w:before="158"/>
      <w:ind w:left="143"/>
      <w:outlineLvl w:val="3"/>
    </w:pPr>
    <w:rPr>
      <w:rFonts w:ascii="Trebuchet MS" w:eastAsia="Trebuchet MS" w:hAnsi="Trebuchet MS" w:cs="Trebuchet MS"/>
      <w:b/>
      <w:bCs/>
      <w:sz w:val="28"/>
      <w:szCs w:val="28"/>
    </w:rPr>
  </w:style>
  <w:style w:type="paragraph" w:styleId="Heading5">
    <w:name w:val="heading 5"/>
    <w:basedOn w:val="Normal"/>
    <w:uiPriority w:val="9"/>
    <w:unhideWhenUsed/>
    <w:qFormat/>
    <w:pPr>
      <w:ind w:left="143"/>
      <w:outlineLvl w:val="4"/>
    </w:pPr>
    <w:rPr>
      <w:rFonts w:ascii="Calibri" w:eastAsia="Calibri" w:hAnsi="Calibri" w:cs="Calibri"/>
      <w:b/>
      <w:bCs/>
    </w:rPr>
  </w:style>
  <w:style w:type="paragraph" w:styleId="Heading6">
    <w:name w:val="heading 6"/>
    <w:basedOn w:val="Normal"/>
    <w:uiPriority w:val="9"/>
    <w:unhideWhenUsed/>
    <w:qFormat/>
    <w:pPr>
      <w:ind w:left="143" w:right="282"/>
      <w:jc w:val="both"/>
      <w:outlineLvl w:val="5"/>
    </w:pPr>
    <w:rPr>
      <w:rFonts w:ascii="Trebuchet MS" w:eastAsia="Trebuchet MS" w:hAnsi="Trebuchet MS" w:cs="Trebuchet MS"/>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43"/>
    </w:pPr>
  </w:style>
  <w:style w:type="paragraph" w:styleId="TOC2">
    <w:name w:val="toc 2"/>
    <w:basedOn w:val="Normal"/>
    <w:uiPriority w:val="1"/>
    <w:qFormat/>
    <w:pPr>
      <w:ind w:left="995"/>
    </w:pPr>
  </w:style>
  <w:style w:type="paragraph" w:styleId="BodyText">
    <w:name w:val="Body Text"/>
    <w:basedOn w:val="Normal"/>
    <w:uiPriority w:val="1"/>
    <w:qFormat/>
  </w:style>
  <w:style w:type="paragraph" w:styleId="ListParagraph">
    <w:name w:val="List Paragraph"/>
    <w:basedOn w:val="Normal"/>
    <w:uiPriority w:val="1"/>
    <w:qFormat/>
    <w:pPr>
      <w:ind w:left="863"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46.jpeg"/><Relationship Id="rId68" Type="http://schemas.openxmlformats.org/officeDocument/2006/relationships/footer" Target="footer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spm.bangda.kemendagri.go.id/" TargetMode="External"/><Relationship Id="rId58" Type="http://schemas.openxmlformats.org/officeDocument/2006/relationships/hyperlink" Target="https://spm.bangda.kemendagri.go.id/" TargetMode="External"/><Relationship Id="rId66" Type="http://schemas.openxmlformats.org/officeDocument/2006/relationships/hyperlink" Target="mailto:info@skala.or.id" TargetMode="External"/><Relationship Id="rId5" Type="http://schemas.openxmlformats.org/officeDocument/2006/relationships/footnotes" Target="footnotes.xml"/><Relationship Id="rId61" Type="http://schemas.openxmlformats.org/officeDocument/2006/relationships/hyperlink" Target="https://djpk.kemenkeu.go.id/" TargetMode="External"/><Relationship Id="rId19" Type="http://schemas.openxmlformats.org/officeDocument/2006/relationships/footer" Target="footer4.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www.google.com/search?rlz=1C1GCEJ_enID1063ID1063&amp;cs=0&amp;sca_esv=4db0d55285a79519&amp;q=Otonomi%2BKhusus%2BProvinsi%2BPapua&amp;sa=X&amp;ved=2ahUKEwjXv9i3uImPAxUwRmcHHWqcMM4QxccNegQIAxAB&amp;mstk=AUtExfCn7OUVGEMXSG9FlacJa-QSV7JRXj_rh-KlWisyKsIkhFpuf6-5UAnMdGZ3gkdwu0-2DvkFuusRzAhNRaJ2t3j5RmtUkhnP3TwIYvOi1ZFS7WrcMVpSVKsSX7XcpmEU-QHWxws0Hb45HFqERFvM1kKPoB3A5vYRsenq1ydNdlfGol0&amp;csui=3" TargetMode="External"/><Relationship Id="rId64" Type="http://schemas.openxmlformats.org/officeDocument/2006/relationships/image" Target="media/image3.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djpk.kemenkeu.go.id/" TargetMode="External"/><Relationship Id="rId67" Type="http://schemas.openxmlformats.org/officeDocument/2006/relationships/hyperlink" Target="mailto:info@skala.or.id"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djpk.kemenkeu.go.id/" TargetMode="External"/><Relationship Id="rId62" Type="http://schemas.openxmlformats.org/officeDocument/2006/relationships/image" Target="media/image2.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s://spm.bangda.kemendagri.go.id/publikasi"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hyperlink" Target="https://spm.bangda.kemendagri.go.id/publikasi" TargetMode="External"/><Relationship Id="rId60" Type="http://schemas.openxmlformats.org/officeDocument/2006/relationships/hyperlink" Target="https://spm.bangda.kemendagri.go.id/publikasi" TargetMode="External"/><Relationship Id="rId65"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7.jpeg"/><Relationship Id="rId18" Type="http://schemas.openxmlformats.org/officeDocument/2006/relationships/footer" Target="footer3.xml"/><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hyperlink" Target="https://djpk.kemenkeu.go.i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138</Pages>
  <Words>64036</Words>
  <Characters>383579</Characters>
  <Application>Microsoft Office Word</Application>
  <DocSecurity>0</DocSecurity>
  <Lines>11623</Lines>
  <Paragraphs>6886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tsalisa aqila</dc:creator>
  <cp:keywords>[SEC=OFFICIAL]</cp:keywords>
  <dc:description/>
  <cp:lastModifiedBy>Freddy Pamungkas</cp:lastModifiedBy>
  <cp:revision>3</cp:revision>
  <dcterms:created xsi:type="dcterms:W3CDTF">2025-10-27T00:44:00Z</dcterms:created>
  <dcterms:modified xsi:type="dcterms:W3CDTF">2025-10-27T01:21:00Z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0x01010060BD30286AE2EA4A984EEA22FA8EE58B</vt:lpwstr>
  </property>
  <property fmtid="{D5CDD505-2E9C-101B-9397-08002B2CF9AE}" pid="3" name="Created">
    <vt:filetime>2025-10-24T00:00:00Z</vt:filetime>
  </property>
  <property fmtid="{D5CDD505-2E9C-101B-9397-08002B2CF9AE}" pid="4" name="Creator">
    <vt:lpwstr>Acrobat PDFMaker 25 for Word</vt:lpwstr>
  </property>
  <property fmtid="{D5CDD505-2E9C-101B-9397-08002B2CF9AE}" pid="5" name="GrammarlyDocumentId">
    <vt:lpwstr>6adb09f5-cc94-4641-85bf-a2574c77de36</vt:lpwstr>
  </property>
  <property fmtid="{D5CDD505-2E9C-101B-9397-08002B2CF9AE}" pid="6" name="LastSaved">
    <vt:filetime>2025-10-27T00:00:00Z</vt:filetime>
  </property>
  <property fmtid="{D5CDD505-2E9C-101B-9397-08002B2CF9AE}" pid="7" name="MSIP_Label_defa4170-0d19-0005-0004-bc88714345d2_ActionId">
    <vt:lpwstr>1af0e86c-8b88-4a98-b7d9-684769d3824a</vt:lpwstr>
  </property>
  <property fmtid="{D5CDD505-2E9C-101B-9397-08002B2CF9AE}" pid="8" name="MSIP_Label_defa4170-0d19-0005-0004-bc88714345d2_ContentBits">
    <vt:lpwstr>0</vt:lpwstr>
  </property>
  <property fmtid="{D5CDD505-2E9C-101B-9397-08002B2CF9AE}" pid="9" name="MSIP_Label_defa4170-0d19-0005-0004-bc88714345d2_Enabled">
    <vt:lpwstr>true</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etDate">
    <vt:lpwstr>2025-08-18T14:00:16Z</vt:lpwstr>
  </property>
  <property fmtid="{D5CDD505-2E9C-101B-9397-08002B2CF9AE}" pid="13" name="MSIP_Label_defa4170-0d19-0005-0004-bc88714345d2_SiteId">
    <vt:lpwstr>75b7436c-36be-48b8-bdc9-f0d258ef3586</vt:lpwstr>
  </property>
  <property fmtid="{D5CDD505-2E9C-101B-9397-08002B2CF9AE}" pid="14" name="MSIP_Label_defa4170-0d19-0005-0004-bc88714345d2_Tag">
    <vt:lpwstr>10, 3, 0, 1</vt:lpwstr>
  </property>
  <property fmtid="{D5CDD505-2E9C-101B-9397-08002B2CF9AE}" pid="15" name="PMHMAC">
    <vt:lpwstr>v=2022.1;a=SHA256;h=509569BAB2F03EFBE3FA22C27518E26AD006B1FAAD8C74F59BF34C875DC784A9</vt:lpwstr>
  </property>
  <property fmtid="{D5CDD505-2E9C-101B-9397-08002B2CF9AE}" pid="16" name="PMUuid">
    <vt:lpwstr>v=2022.2;d=gov.au;g=46DD6D7C-8107-577B-BC6E-F348953B2E44</vt:lpwstr>
  </property>
  <property fmtid="{D5CDD505-2E9C-101B-9397-08002B2CF9AE}" pid="17" name="PM_Caveats_Count">
    <vt:lpwstr>0</vt:lpwstr>
  </property>
  <property fmtid="{D5CDD505-2E9C-101B-9397-08002B2CF9AE}" pid="18" name="PM_Display">
    <vt:lpwstr>OFFICIAL</vt:lpwstr>
  </property>
  <property fmtid="{D5CDD505-2E9C-101B-9397-08002B2CF9AE}" pid="19" name="PM_DisplayValueSecClassificationWithQualifier">
    <vt:lpwstr>OFFICIAL</vt:lpwstr>
  </property>
  <property fmtid="{D5CDD505-2E9C-101B-9397-08002B2CF9AE}" pid="20" name="PM_DownTo">
    <vt:lpwstr/>
  </property>
  <property fmtid="{D5CDD505-2E9C-101B-9397-08002B2CF9AE}" pid="21" name="PM_Expires">
    <vt:lpwstr/>
  </property>
  <property fmtid="{D5CDD505-2E9C-101B-9397-08002B2CF9AE}" pid="22" name="PM_Hash_SHA1">
    <vt:lpwstr>86E4FBE780292ADEDE052E94873F266961D2DDDA</vt:lpwstr>
  </property>
  <property fmtid="{D5CDD505-2E9C-101B-9397-08002B2CF9AE}" pid="23" name="PM_Hash_Salt">
    <vt:lpwstr>85EAC5E6004F8DA74D708A6499F614CC</vt:lpwstr>
  </property>
  <property fmtid="{D5CDD505-2E9C-101B-9397-08002B2CF9AE}" pid="24" name="PM_Hash_Salt_Prev">
    <vt:lpwstr>36C24E46158A232D769173653C4CAC07</vt:lpwstr>
  </property>
  <property fmtid="{D5CDD505-2E9C-101B-9397-08002B2CF9AE}" pid="25" name="PM_Hash_Version">
    <vt:lpwstr>2022.1</vt:lpwstr>
  </property>
  <property fmtid="{D5CDD505-2E9C-101B-9397-08002B2CF9AE}" pid="26" name="PM_InsertionValue">
    <vt:lpwstr>OFFICIAL</vt:lpwstr>
  </property>
  <property fmtid="{D5CDD505-2E9C-101B-9397-08002B2CF9AE}" pid="27" name="PM_Markers">
    <vt:lpwstr/>
  </property>
  <property fmtid="{D5CDD505-2E9C-101B-9397-08002B2CF9AE}" pid="28" name="PM_Namespace">
    <vt:lpwstr>gov.au</vt:lpwstr>
  </property>
  <property fmtid="{D5CDD505-2E9C-101B-9397-08002B2CF9AE}" pid="29" name="PM_Note">
    <vt:lpwstr/>
  </property>
  <property fmtid="{D5CDD505-2E9C-101B-9397-08002B2CF9AE}" pid="30" name="PM_Originating_FileId">
    <vt:lpwstr>70564FF41C7244FA89F69958E60B23C3</vt:lpwstr>
  </property>
  <property fmtid="{D5CDD505-2E9C-101B-9397-08002B2CF9AE}" pid="31" name="PM_OriginationTimeStamp">
    <vt:lpwstr>2025-10-23T02:43:16Z</vt:lpwstr>
  </property>
  <property fmtid="{D5CDD505-2E9C-101B-9397-08002B2CF9AE}" pid="32" name="PM_OriginatorDomainName_SHA256">
    <vt:lpwstr>6F3591835F3B2A8A025B00B5BA6418010DA3A17C9C26EA9C049FFD28039489A2</vt:lpwstr>
  </property>
  <property fmtid="{D5CDD505-2E9C-101B-9397-08002B2CF9AE}" pid="33" name="PM_OriginatorUserAccountName_SHA256">
    <vt:lpwstr>22980FE8F13CFE857E08A0CBB034CE7CC2C9B710603D1143DF696959082F4A9E</vt:lpwstr>
  </property>
  <property fmtid="{D5CDD505-2E9C-101B-9397-08002B2CF9AE}" pid="34" name="PM_Originator_Hash_SHA1">
    <vt:lpwstr>35D21B068CCB7981FF69710A042467490410BFD7</vt:lpwstr>
  </property>
  <property fmtid="{D5CDD505-2E9C-101B-9397-08002B2CF9AE}" pid="35" name="PM_ProtectiveMarkingValue_Footer">
    <vt:lpwstr>OFFICIAL</vt:lpwstr>
  </property>
  <property fmtid="{D5CDD505-2E9C-101B-9397-08002B2CF9AE}" pid="36" name="PM_ProtectiveMarkingValue_Header">
    <vt:lpwstr>OFFICIAL</vt:lpwstr>
  </property>
  <property fmtid="{D5CDD505-2E9C-101B-9397-08002B2CF9AE}" pid="37" name="PM_Qualifier">
    <vt:lpwstr/>
  </property>
  <property fmtid="{D5CDD505-2E9C-101B-9397-08002B2CF9AE}" pid="38" name="PM_SecurityClassification">
    <vt:lpwstr>OFFICIAL</vt:lpwstr>
  </property>
  <property fmtid="{D5CDD505-2E9C-101B-9397-08002B2CF9AE}" pid="39" name="PM_Version">
    <vt:lpwstr>2018.4</vt:lpwstr>
  </property>
  <property fmtid="{D5CDD505-2E9C-101B-9397-08002B2CF9AE}" pid="40" name="Producer">
    <vt:lpwstr>Adobe PDF Library 25.1.20</vt:lpwstr>
  </property>
  <property fmtid="{D5CDD505-2E9C-101B-9397-08002B2CF9AE}" pid="41" name="SourceModified">
    <vt:lpwstr>D:20251024073519</vt:lpwstr>
  </property>
</Properties>
</file>